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8.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heme="minorHAnsi" w:hAnsi="Times New Roman" w:cs="Times New Roman"/>
          <w:color w:val="auto"/>
          <w:sz w:val="20"/>
          <w:szCs w:val="20"/>
          <w:lang w:eastAsia="en-US"/>
        </w:rPr>
        <w:id w:val="-1279868921"/>
        <w:docPartObj>
          <w:docPartGallery w:val="Table of Contents"/>
          <w:docPartUnique/>
        </w:docPartObj>
      </w:sdtPr>
      <w:sdtEndPr>
        <w:rPr>
          <w:b/>
          <w:bCs/>
        </w:rPr>
      </w:sdtEndPr>
      <w:sdtContent>
        <w:p w14:paraId="1EBD9708" w14:textId="77777777" w:rsidR="00052B0A" w:rsidRPr="00F81735" w:rsidRDefault="00052B0A" w:rsidP="001E2730">
          <w:pPr>
            <w:pStyle w:val="Hlavikaobsahu"/>
            <w:spacing w:line="360" w:lineRule="auto"/>
            <w:rPr>
              <w:rFonts w:ascii="Times New Roman" w:hAnsi="Times New Roman" w:cs="Times New Roman"/>
              <w:b/>
              <w:sz w:val="28"/>
              <w:szCs w:val="20"/>
            </w:rPr>
          </w:pPr>
          <w:r w:rsidRPr="00F81735">
            <w:rPr>
              <w:rFonts w:ascii="Times New Roman" w:hAnsi="Times New Roman" w:cs="Times New Roman"/>
              <w:b/>
              <w:sz w:val="28"/>
              <w:szCs w:val="20"/>
            </w:rPr>
            <w:t>Obsah</w:t>
          </w:r>
        </w:p>
        <w:p w14:paraId="31B9A2F3" w14:textId="5AA50B3C" w:rsidR="003E15A8" w:rsidRPr="003E15A8" w:rsidRDefault="00052B0A">
          <w:pPr>
            <w:pStyle w:val="Obsah1"/>
            <w:tabs>
              <w:tab w:val="right" w:leader="dot" w:pos="9062"/>
            </w:tabs>
            <w:rPr>
              <w:rFonts w:ascii="Times New Roman" w:eastAsiaTheme="minorEastAsia" w:hAnsi="Times New Roman" w:cs="Times New Roman"/>
              <w:noProof/>
              <w:sz w:val="24"/>
              <w:szCs w:val="24"/>
              <w:lang w:eastAsia="sk-SK"/>
            </w:rPr>
          </w:pPr>
          <w:r w:rsidRPr="003E15A8">
            <w:rPr>
              <w:rFonts w:ascii="Times New Roman" w:hAnsi="Times New Roman" w:cs="Times New Roman"/>
              <w:b/>
              <w:bCs/>
              <w:sz w:val="24"/>
              <w:szCs w:val="24"/>
            </w:rPr>
            <w:fldChar w:fldCharType="begin"/>
          </w:r>
          <w:r w:rsidRPr="003E15A8">
            <w:rPr>
              <w:rFonts w:ascii="Times New Roman" w:hAnsi="Times New Roman" w:cs="Times New Roman"/>
              <w:b/>
              <w:bCs/>
              <w:sz w:val="24"/>
              <w:szCs w:val="24"/>
            </w:rPr>
            <w:instrText xml:space="preserve"> TOC \o "1-3" \h \z \u </w:instrText>
          </w:r>
          <w:r w:rsidRPr="003E15A8">
            <w:rPr>
              <w:rFonts w:ascii="Times New Roman" w:hAnsi="Times New Roman" w:cs="Times New Roman"/>
              <w:b/>
              <w:bCs/>
              <w:sz w:val="24"/>
              <w:szCs w:val="24"/>
            </w:rPr>
            <w:fldChar w:fldCharType="separate"/>
          </w:r>
          <w:hyperlink w:anchor="_Toc152946754" w:history="1">
            <w:r w:rsidR="003E15A8" w:rsidRPr="003E15A8">
              <w:rPr>
                <w:rStyle w:val="Hypertextovprepojenie"/>
                <w:rFonts w:ascii="Times New Roman" w:hAnsi="Times New Roman" w:cs="Times New Roman"/>
                <w:b/>
                <w:noProof/>
                <w:sz w:val="24"/>
                <w:szCs w:val="24"/>
              </w:rPr>
              <w:t>Zhrnutie</w:t>
            </w:r>
            <w:r w:rsidR="003E15A8" w:rsidRPr="003E15A8">
              <w:rPr>
                <w:rFonts w:ascii="Times New Roman" w:hAnsi="Times New Roman" w:cs="Times New Roman"/>
                <w:noProof/>
                <w:webHidden/>
                <w:sz w:val="24"/>
                <w:szCs w:val="24"/>
              </w:rPr>
              <w:tab/>
            </w:r>
            <w:r w:rsidR="003E15A8" w:rsidRPr="003E15A8">
              <w:rPr>
                <w:rFonts w:ascii="Times New Roman" w:hAnsi="Times New Roman" w:cs="Times New Roman"/>
                <w:noProof/>
                <w:webHidden/>
                <w:sz w:val="24"/>
                <w:szCs w:val="24"/>
              </w:rPr>
              <w:fldChar w:fldCharType="begin"/>
            </w:r>
            <w:r w:rsidR="003E15A8" w:rsidRPr="003E15A8">
              <w:rPr>
                <w:rFonts w:ascii="Times New Roman" w:hAnsi="Times New Roman" w:cs="Times New Roman"/>
                <w:noProof/>
                <w:webHidden/>
                <w:sz w:val="24"/>
                <w:szCs w:val="24"/>
              </w:rPr>
              <w:instrText xml:space="preserve"> PAGEREF _Toc152946754 \h </w:instrText>
            </w:r>
            <w:r w:rsidR="003E15A8" w:rsidRPr="003E15A8">
              <w:rPr>
                <w:rFonts w:ascii="Times New Roman" w:hAnsi="Times New Roman" w:cs="Times New Roman"/>
                <w:noProof/>
                <w:webHidden/>
                <w:sz w:val="24"/>
                <w:szCs w:val="24"/>
              </w:rPr>
            </w:r>
            <w:r w:rsidR="003E15A8" w:rsidRPr="003E15A8">
              <w:rPr>
                <w:rFonts w:ascii="Times New Roman" w:hAnsi="Times New Roman" w:cs="Times New Roman"/>
                <w:noProof/>
                <w:webHidden/>
                <w:sz w:val="24"/>
                <w:szCs w:val="24"/>
              </w:rPr>
              <w:fldChar w:fldCharType="separate"/>
            </w:r>
            <w:r w:rsidR="00776107">
              <w:rPr>
                <w:rFonts w:ascii="Times New Roman" w:hAnsi="Times New Roman" w:cs="Times New Roman"/>
                <w:noProof/>
                <w:webHidden/>
                <w:sz w:val="24"/>
                <w:szCs w:val="24"/>
              </w:rPr>
              <w:t>5</w:t>
            </w:r>
            <w:r w:rsidR="003E15A8" w:rsidRPr="003E15A8">
              <w:rPr>
                <w:rFonts w:ascii="Times New Roman" w:hAnsi="Times New Roman" w:cs="Times New Roman"/>
                <w:noProof/>
                <w:webHidden/>
                <w:sz w:val="24"/>
                <w:szCs w:val="24"/>
              </w:rPr>
              <w:fldChar w:fldCharType="end"/>
            </w:r>
          </w:hyperlink>
        </w:p>
        <w:p w14:paraId="39ACFFC5" w14:textId="6E6E8EFE" w:rsidR="003E15A8" w:rsidRPr="003E15A8" w:rsidRDefault="002F44B7">
          <w:pPr>
            <w:pStyle w:val="Obsah1"/>
            <w:tabs>
              <w:tab w:val="left" w:pos="440"/>
              <w:tab w:val="right" w:leader="dot" w:pos="9062"/>
            </w:tabs>
            <w:rPr>
              <w:rFonts w:ascii="Times New Roman" w:eastAsiaTheme="minorEastAsia" w:hAnsi="Times New Roman" w:cs="Times New Roman"/>
              <w:noProof/>
              <w:sz w:val="24"/>
              <w:szCs w:val="24"/>
              <w:lang w:eastAsia="sk-SK"/>
            </w:rPr>
          </w:pPr>
          <w:hyperlink w:anchor="_Toc152946755" w:history="1">
            <w:r w:rsidR="003E15A8" w:rsidRPr="003E15A8">
              <w:rPr>
                <w:rStyle w:val="Hypertextovprepojenie"/>
                <w:rFonts w:ascii="Times New Roman" w:hAnsi="Times New Roman" w:cs="Times New Roman"/>
                <w:b/>
                <w:noProof/>
                <w:sz w:val="24"/>
                <w:szCs w:val="24"/>
              </w:rPr>
              <w:t>1.</w:t>
            </w:r>
            <w:r w:rsidR="003E15A8">
              <w:rPr>
                <w:rFonts w:ascii="Times New Roman" w:eastAsiaTheme="minorEastAsia" w:hAnsi="Times New Roman" w:cs="Times New Roman"/>
                <w:noProof/>
                <w:sz w:val="24"/>
                <w:szCs w:val="24"/>
                <w:lang w:eastAsia="sk-SK"/>
              </w:rPr>
              <w:t xml:space="preserve"> </w:t>
            </w:r>
            <w:r w:rsidR="003E15A8" w:rsidRPr="003E15A8">
              <w:rPr>
                <w:rStyle w:val="Hypertextovprepojenie"/>
                <w:rFonts w:ascii="Times New Roman" w:hAnsi="Times New Roman" w:cs="Times New Roman"/>
                <w:b/>
                <w:noProof/>
                <w:sz w:val="24"/>
                <w:szCs w:val="24"/>
              </w:rPr>
              <w:t>Makroekonomické predpoklady rozpočtu</w:t>
            </w:r>
            <w:r w:rsidR="003E15A8" w:rsidRPr="003E15A8">
              <w:rPr>
                <w:rFonts w:ascii="Times New Roman" w:hAnsi="Times New Roman" w:cs="Times New Roman"/>
                <w:noProof/>
                <w:webHidden/>
                <w:sz w:val="24"/>
                <w:szCs w:val="24"/>
              </w:rPr>
              <w:tab/>
            </w:r>
            <w:r w:rsidR="003E15A8" w:rsidRPr="003E15A8">
              <w:rPr>
                <w:rFonts w:ascii="Times New Roman" w:hAnsi="Times New Roman" w:cs="Times New Roman"/>
                <w:noProof/>
                <w:webHidden/>
                <w:sz w:val="24"/>
                <w:szCs w:val="24"/>
              </w:rPr>
              <w:fldChar w:fldCharType="begin"/>
            </w:r>
            <w:r w:rsidR="003E15A8" w:rsidRPr="003E15A8">
              <w:rPr>
                <w:rFonts w:ascii="Times New Roman" w:hAnsi="Times New Roman" w:cs="Times New Roman"/>
                <w:noProof/>
                <w:webHidden/>
                <w:sz w:val="24"/>
                <w:szCs w:val="24"/>
              </w:rPr>
              <w:instrText xml:space="preserve"> PAGEREF _Toc152946755 \h </w:instrText>
            </w:r>
            <w:r w:rsidR="003E15A8" w:rsidRPr="003E15A8">
              <w:rPr>
                <w:rFonts w:ascii="Times New Roman" w:hAnsi="Times New Roman" w:cs="Times New Roman"/>
                <w:noProof/>
                <w:webHidden/>
                <w:sz w:val="24"/>
                <w:szCs w:val="24"/>
              </w:rPr>
            </w:r>
            <w:r w:rsidR="003E15A8" w:rsidRPr="003E15A8">
              <w:rPr>
                <w:rFonts w:ascii="Times New Roman" w:hAnsi="Times New Roman" w:cs="Times New Roman"/>
                <w:noProof/>
                <w:webHidden/>
                <w:sz w:val="24"/>
                <w:szCs w:val="24"/>
              </w:rPr>
              <w:fldChar w:fldCharType="separate"/>
            </w:r>
            <w:r w:rsidR="00776107">
              <w:rPr>
                <w:rFonts w:ascii="Times New Roman" w:hAnsi="Times New Roman" w:cs="Times New Roman"/>
                <w:noProof/>
                <w:webHidden/>
                <w:sz w:val="24"/>
                <w:szCs w:val="24"/>
              </w:rPr>
              <w:t>8</w:t>
            </w:r>
            <w:r w:rsidR="003E15A8" w:rsidRPr="003E15A8">
              <w:rPr>
                <w:rFonts w:ascii="Times New Roman" w:hAnsi="Times New Roman" w:cs="Times New Roman"/>
                <w:noProof/>
                <w:webHidden/>
                <w:sz w:val="24"/>
                <w:szCs w:val="24"/>
              </w:rPr>
              <w:fldChar w:fldCharType="end"/>
            </w:r>
          </w:hyperlink>
        </w:p>
        <w:p w14:paraId="3CDD0AF3" w14:textId="63A81AFE" w:rsidR="003E15A8" w:rsidRPr="003E15A8" w:rsidRDefault="002F44B7">
          <w:pPr>
            <w:pStyle w:val="Obsah1"/>
            <w:tabs>
              <w:tab w:val="left" w:pos="440"/>
              <w:tab w:val="right" w:leader="dot" w:pos="9062"/>
            </w:tabs>
            <w:rPr>
              <w:rFonts w:ascii="Times New Roman" w:eastAsiaTheme="minorEastAsia" w:hAnsi="Times New Roman" w:cs="Times New Roman"/>
              <w:noProof/>
              <w:sz w:val="24"/>
              <w:szCs w:val="24"/>
              <w:lang w:eastAsia="sk-SK"/>
            </w:rPr>
          </w:pPr>
          <w:hyperlink w:anchor="_Toc152946756" w:history="1">
            <w:r w:rsidR="003E15A8" w:rsidRPr="003E15A8">
              <w:rPr>
                <w:rStyle w:val="Hypertextovprepojenie"/>
                <w:rFonts w:ascii="Times New Roman" w:hAnsi="Times New Roman" w:cs="Times New Roman"/>
                <w:b/>
                <w:noProof/>
                <w:sz w:val="24"/>
                <w:szCs w:val="24"/>
              </w:rPr>
              <w:t>2.</w:t>
            </w:r>
            <w:r w:rsidR="003E15A8">
              <w:rPr>
                <w:rFonts w:ascii="Times New Roman" w:eastAsiaTheme="minorEastAsia" w:hAnsi="Times New Roman" w:cs="Times New Roman"/>
                <w:noProof/>
                <w:sz w:val="24"/>
                <w:szCs w:val="24"/>
                <w:lang w:eastAsia="sk-SK"/>
              </w:rPr>
              <w:t xml:space="preserve"> </w:t>
            </w:r>
            <w:r w:rsidR="003E15A8" w:rsidRPr="003E15A8">
              <w:rPr>
                <w:rStyle w:val="Hypertextovprepojenie"/>
                <w:rFonts w:ascii="Times New Roman" w:hAnsi="Times New Roman" w:cs="Times New Roman"/>
                <w:b/>
                <w:noProof/>
                <w:sz w:val="24"/>
                <w:szCs w:val="24"/>
              </w:rPr>
              <w:t>Východiskový rámec rozpočtu verejnej správy na roky 2024 až 2026 v metodike ESA 2010</w:t>
            </w:r>
            <w:r w:rsidR="003E15A8" w:rsidRPr="003E15A8">
              <w:rPr>
                <w:rFonts w:ascii="Times New Roman" w:hAnsi="Times New Roman" w:cs="Times New Roman"/>
                <w:noProof/>
                <w:webHidden/>
                <w:sz w:val="24"/>
                <w:szCs w:val="24"/>
              </w:rPr>
              <w:tab/>
            </w:r>
            <w:r w:rsidR="003E15A8" w:rsidRPr="003E15A8">
              <w:rPr>
                <w:rFonts w:ascii="Times New Roman" w:hAnsi="Times New Roman" w:cs="Times New Roman"/>
                <w:noProof/>
                <w:webHidden/>
                <w:sz w:val="24"/>
                <w:szCs w:val="24"/>
              </w:rPr>
              <w:fldChar w:fldCharType="begin"/>
            </w:r>
            <w:r w:rsidR="003E15A8" w:rsidRPr="003E15A8">
              <w:rPr>
                <w:rFonts w:ascii="Times New Roman" w:hAnsi="Times New Roman" w:cs="Times New Roman"/>
                <w:noProof/>
                <w:webHidden/>
                <w:sz w:val="24"/>
                <w:szCs w:val="24"/>
              </w:rPr>
              <w:instrText xml:space="preserve"> PAGEREF _Toc152946756 \h </w:instrText>
            </w:r>
            <w:r w:rsidR="003E15A8" w:rsidRPr="003E15A8">
              <w:rPr>
                <w:rFonts w:ascii="Times New Roman" w:hAnsi="Times New Roman" w:cs="Times New Roman"/>
                <w:noProof/>
                <w:webHidden/>
                <w:sz w:val="24"/>
                <w:szCs w:val="24"/>
              </w:rPr>
            </w:r>
            <w:r w:rsidR="003E15A8" w:rsidRPr="003E15A8">
              <w:rPr>
                <w:rFonts w:ascii="Times New Roman" w:hAnsi="Times New Roman" w:cs="Times New Roman"/>
                <w:noProof/>
                <w:webHidden/>
                <w:sz w:val="24"/>
                <w:szCs w:val="24"/>
              </w:rPr>
              <w:fldChar w:fldCharType="separate"/>
            </w:r>
            <w:r w:rsidR="00776107">
              <w:rPr>
                <w:rFonts w:ascii="Times New Roman" w:hAnsi="Times New Roman" w:cs="Times New Roman"/>
                <w:noProof/>
                <w:webHidden/>
                <w:sz w:val="24"/>
                <w:szCs w:val="24"/>
              </w:rPr>
              <w:t>11</w:t>
            </w:r>
            <w:r w:rsidR="003E15A8" w:rsidRPr="003E15A8">
              <w:rPr>
                <w:rFonts w:ascii="Times New Roman" w:hAnsi="Times New Roman" w:cs="Times New Roman"/>
                <w:noProof/>
                <w:webHidden/>
                <w:sz w:val="24"/>
                <w:szCs w:val="24"/>
              </w:rPr>
              <w:fldChar w:fldCharType="end"/>
            </w:r>
          </w:hyperlink>
        </w:p>
        <w:p w14:paraId="06F9D2B7" w14:textId="30C943F6" w:rsidR="003E15A8" w:rsidRPr="003E15A8" w:rsidRDefault="002F44B7">
          <w:pPr>
            <w:pStyle w:val="Obsah2"/>
            <w:rPr>
              <w:rFonts w:eastAsiaTheme="minorEastAsia"/>
              <w:bCs w:val="0"/>
              <w:iCs w:val="0"/>
              <w:lang w:eastAsia="sk-SK"/>
            </w:rPr>
          </w:pPr>
          <w:hyperlink w:anchor="_Toc152946757" w:history="1">
            <w:r w:rsidR="003E15A8" w:rsidRPr="003E15A8">
              <w:rPr>
                <w:rStyle w:val="Hypertextovprepojenie"/>
                <w:rFonts w:eastAsiaTheme="majorEastAsia"/>
              </w:rPr>
              <w:t>2.1. Aktuálny vývoj verejných financií v roku 2023</w:t>
            </w:r>
            <w:r w:rsidR="003E15A8" w:rsidRPr="003E15A8">
              <w:rPr>
                <w:webHidden/>
              </w:rPr>
              <w:tab/>
            </w:r>
            <w:r w:rsidR="003E15A8" w:rsidRPr="003E15A8">
              <w:rPr>
                <w:webHidden/>
              </w:rPr>
              <w:fldChar w:fldCharType="begin"/>
            </w:r>
            <w:r w:rsidR="003E15A8" w:rsidRPr="003E15A8">
              <w:rPr>
                <w:webHidden/>
              </w:rPr>
              <w:instrText xml:space="preserve"> PAGEREF _Toc152946757 \h </w:instrText>
            </w:r>
            <w:r w:rsidR="003E15A8" w:rsidRPr="003E15A8">
              <w:rPr>
                <w:webHidden/>
              </w:rPr>
            </w:r>
            <w:r w:rsidR="003E15A8" w:rsidRPr="003E15A8">
              <w:rPr>
                <w:webHidden/>
              </w:rPr>
              <w:fldChar w:fldCharType="separate"/>
            </w:r>
            <w:r w:rsidR="00776107">
              <w:rPr>
                <w:webHidden/>
              </w:rPr>
              <w:t>11</w:t>
            </w:r>
            <w:r w:rsidR="003E15A8" w:rsidRPr="003E15A8">
              <w:rPr>
                <w:webHidden/>
              </w:rPr>
              <w:fldChar w:fldCharType="end"/>
            </w:r>
          </w:hyperlink>
        </w:p>
        <w:p w14:paraId="39156011" w14:textId="0D02D901" w:rsidR="003E15A8" w:rsidRPr="003E15A8" w:rsidRDefault="002F44B7">
          <w:pPr>
            <w:pStyle w:val="Obsah2"/>
            <w:tabs>
              <w:tab w:val="left" w:pos="880"/>
            </w:tabs>
            <w:rPr>
              <w:rFonts w:eastAsiaTheme="minorEastAsia"/>
              <w:bCs w:val="0"/>
              <w:iCs w:val="0"/>
              <w:lang w:eastAsia="sk-SK"/>
            </w:rPr>
          </w:pPr>
          <w:hyperlink w:anchor="_Toc152946758" w:history="1">
            <w:r w:rsidR="003E15A8" w:rsidRPr="003E15A8">
              <w:rPr>
                <w:rStyle w:val="Hypertextovprepojenie"/>
                <w:rFonts w:eastAsiaTheme="majorEastAsia"/>
              </w:rPr>
              <w:t>2.2.</w:t>
            </w:r>
            <w:r w:rsidR="003E15A8" w:rsidRPr="003E15A8">
              <w:rPr>
                <w:rFonts w:eastAsiaTheme="minorEastAsia"/>
                <w:bCs w:val="0"/>
                <w:iCs w:val="0"/>
                <w:lang w:eastAsia="sk-SK"/>
              </w:rPr>
              <w:t xml:space="preserve"> </w:t>
            </w:r>
            <w:r w:rsidR="003E15A8" w:rsidRPr="003E15A8">
              <w:rPr>
                <w:rStyle w:val="Hypertextovprepojenie"/>
                <w:rFonts w:eastAsiaTheme="majorEastAsia"/>
              </w:rPr>
              <w:t>Rozpočtové ciele</w:t>
            </w:r>
            <w:r w:rsidR="003E15A8" w:rsidRPr="003E15A8">
              <w:rPr>
                <w:webHidden/>
              </w:rPr>
              <w:tab/>
            </w:r>
            <w:r w:rsidR="003E15A8" w:rsidRPr="003E15A8">
              <w:rPr>
                <w:webHidden/>
              </w:rPr>
              <w:fldChar w:fldCharType="begin"/>
            </w:r>
            <w:r w:rsidR="003E15A8" w:rsidRPr="003E15A8">
              <w:rPr>
                <w:webHidden/>
              </w:rPr>
              <w:instrText xml:space="preserve"> PAGEREF _Toc152946758 \h </w:instrText>
            </w:r>
            <w:r w:rsidR="003E15A8" w:rsidRPr="003E15A8">
              <w:rPr>
                <w:webHidden/>
              </w:rPr>
            </w:r>
            <w:r w:rsidR="003E15A8" w:rsidRPr="003E15A8">
              <w:rPr>
                <w:webHidden/>
              </w:rPr>
              <w:fldChar w:fldCharType="separate"/>
            </w:r>
            <w:r w:rsidR="00776107">
              <w:rPr>
                <w:webHidden/>
              </w:rPr>
              <w:t>19</w:t>
            </w:r>
            <w:r w:rsidR="003E15A8" w:rsidRPr="003E15A8">
              <w:rPr>
                <w:webHidden/>
              </w:rPr>
              <w:fldChar w:fldCharType="end"/>
            </w:r>
          </w:hyperlink>
        </w:p>
        <w:p w14:paraId="04133EC0" w14:textId="064A4B37" w:rsidR="003E15A8" w:rsidRPr="003E15A8" w:rsidRDefault="002F44B7">
          <w:pPr>
            <w:pStyle w:val="Obsah2"/>
            <w:tabs>
              <w:tab w:val="left" w:pos="880"/>
            </w:tabs>
            <w:rPr>
              <w:rFonts w:eastAsiaTheme="minorEastAsia"/>
              <w:bCs w:val="0"/>
              <w:iCs w:val="0"/>
              <w:lang w:eastAsia="sk-SK"/>
            </w:rPr>
          </w:pPr>
          <w:hyperlink w:anchor="_Toc152946759" w:history="1">
            <w:r w:rsidR="003E15A8" w:rsidRPr="003E15A8">
              <w:rPr>
                <w:rStyle w:val="Hypertextovprepojenie"/>
                <w:rFonts w:eastAsiaTheme="majorEastAsia"/>
              </w:rPr>
              <w:t>2.3.</w:t>
            </w:r>
            <w:r w:rsidR="003E15A8" w:rsidRPr="003E15A8">
              <w:rPr>
                <w:rFonts w:eastAsiaTheme="minorEastAsia"/>
                <w:bCs w:val="0"/>
                <w:iCs w:val="0"/>
                <w:lang w:eastAsia="sk-SK"/>
              </w:rPr>
              <w:t xml:space="preserve"> </w:t>
            </w:r>
            <w:r w:rsidR="003E15A8" w:rsidRPr="003E15A8">
              <w:rPr>
                <w:rStyle w:val="Hypertextovprepojenie"/>
                <w:rFonts w:eastAsiaTheme="majorEastAsia"/>
              </w:rPr>
              <w:t>Vzťah limitu verejných výdavkov k návrhu rozpočtu verejnej správy na roky 2024 až 2026.................</w:t>
            </w:r>
            <w:r w:rsidR="003E15A8">
              <w:rPr>
                <w:webHidden/>
              </w:rPr>
              <w:t>......................................................................................................................</w:t>
            </w:r>
            <w:r w:rsidR="003E15A8" w:rsidRPr="003E15A8">
              <w:rPr>
                <w:webHidden/>
              </w:rPr>
              <w:fldChar w:fldCharType="begin"/>
            </w:r>
            <w:r w:rsidR="003E15A8" w:rsidRPr="003E15A8">
              <w:rPr>
                <w:webHidden/>
              </w:rPr>
              <w:instrText xml:space="preserve"> PAGEREF _Toc152946759 \h </w:instrText>
            </w:r>
            <w:r w:rsidR="003E15A8" w:rsidRPr="003E15A8">
              <w:rPr>
                <w:webHidden/>
              </w:rPr>
            </w:r>
            <w:r w:rsidR="003E15A8" w:rsidRPr="003E15A8">
              <w:rPr>
                <w:webHidden/>
              </w:rPr>
              <w:fldChar w:fldCharType="separate"/>
            </w:r>
            <w:r w:rsidR="00776107">
              <w:rPr>
                <w:webHidden/>
              </w:rPr>
              <w:t>19</w:t>
            </w:r>
            <w:r w:rsidR="003E15A8" w:rsidRPr="003E15A8">
              <w:rPr>
                <w:webHidden/>
              </w:rPr>
              <w:fldChar w:fldCharType="end"/>
            </w:r>
          </w:hyperlink>
        </w:p>
        <w:p w14:paraId="715B05AB" w14:textId="42CC536C" w:rsidR="003E15A8" w:rsidRPr="003E15A8" w:rsidRDefault="002F44B7">
          <w:pPr>
            <w:pStyle w:val="Obsah2"/>
            <w:rPr>
              <w:rFonts w:eastAsiaTheme="minorEastAsia"/>
              <w:bCs w:val="0"/>
              <w:iCs w:val="0"/>
              <w:lang w:eastAsia="sk-SK"/>
            </w:rPr>
          </w:pPr>
          <w:hyperlink w:anchor="_Toc152946760" w:history="1">
            <w:r w:rsidR="003E15A8" w:rsidRPr="003E15A8">
              <w:rPr>
                <w:rStyle w:val="Hypertextovprepojenie"/>
                <w:rFonts w:eastAsiaTheme="majorEastAsia"/>
              </w:rPr>
              <w:t>2.4. Hrubý dlh</w:t>
            </w:r>
            <w:r w:rsidR="003E15A8" w:rsidRPr="003E15A8">
              <w:rPr>
                <w:webHidden/>
              </w:rPr>
              <w:tab/>
            </w:r>
            <w:r w:rsidR="003E15A8" w:rsidRPr="003E15A8">
              <w:rPr>
                <w:webHidden/>
              </w:rPr>
              <w:fldChar w:fldCharType="begin"/>
            </w:r>
            <w:r w:rsidR="003E15A8" w:rsidRPr="003E15A8">
              <w:rPr>
                <w:webHidden/>
              </w:rPr>
              <w:instrText xml:space="preserve"> PAGEREF _Toc152946760 \h </w:instrText>
            </w:r>
            <w:r w:rsidR="003E15A8" w:rsidRPr="003E15A8">
              <w:rPr>
                <w:webHidden/>
              </w:rPr>
            </w:r>
            <w:r w:rsidR="003E15A8" w:rsidRPr="003E15A8">
              <w:rPr>
                <w:webHidden/>
              </w:rPr>
              <w:fldChar w:fldCharType="separate"/>
            </w:r>
            <w:r w:rsidR="00776107">
              <w:rPr>
                <w:webHidden/>
              </w:rPr>
              <w:t>20</w:t>
            </w:r>
            <w:r w:rsidR="003E15A8" w:rsidRPr="003E15A8">
              <w:rPr>
                <w:webHidden/>
              </w:rPr>
              <w:fldChar w:fldCharType="end"/>
            </w:r>
          </w:hyperlink>
        </w:p>
        <w:p w14:paraId="54CA792B" w14:textId="42E66D9D" w:rsidR="003E15A8" w:rsidRPr="003E15A8" w:rsidRDefault="002F44B7">
          <w:pPr>
            <w:pStyle w:val="Obsah2"/>
            <w:rPr>
              <w:rFonts w:eastAsiaTheme="minorEastAsia"/>
              <w:bCs w:val="0"/>
              <w:iCs w:val="0"/>
              <w:lang w:eastAsia="sk-SK"/>
            </w:rPr>
          </w:pPr>
          <w:hyperlink w:anchor="_Toc152946763" w:history="1">
            <w:r w:rsidR="003E15A8" w:rsidRPr="003E15A8">
              <w:rPr>
                <w:rStyle w:val="Hypertextovprepojenie"/>
                <w:rFonts w:eastAsiaTheme="majorEastAsia"/>
              </w:rPr>
              <w:t>2.5. Bilancia príjmov a výdavkov rozpočtu verejnej správy na roky 2024 až 2026          v metodike ESA 2010</w:t>
            </w:r>
            <w:r w:rsidR="003E15A8" w:rsidRPr="003E15A8">
              <w:rPr>
                <w:webHidden/>
              </w:rPr>
              <w:tab/>
            </w:r>
            <w:r w:rsidR="003E15A8" w:rsidRPr="003E15A8">
              <w:rPr>
                <w:webHidden/>
              </w:rPr>
              <w:fldChar w:fldCharType="begin"/>
            </w:r>
            <w:r w:rsidR="003E15A8" w:rsidRPr="003E15A8">
              <w:rPr>
                <w:webHidden/>
              </w:rPr>
              <w:instrText xml:space="preserve"> PAGEREF _Toc152946763 \h </w:instrText>
            </w:r>
            <w:r w:rsidR="003E15A8" w:rsidRPr="003E15A8">
              <w:rPr>
                <w:webHidden/>
              </w:rPr>
            </w:r>
            <w:r w:rsidR="003E15A8" w:rsidRPr="003E15A8">
              <w:rPr>
                <w:webHidden/>
              </w:rPr>
              <w:fldChar w:fldCharType="separate"/>
            </w:r>
            <w:r w:rsidR="00776107">
              <w:rPr>
                <w:webHidden/>
              </w:rPr>
              <w:t>23</w:t>
            </w:r>
            <w:r w:rsidR="003E15A8" w:rsidRPr="003E15A8">
              <w:rPr>
                <w:webHidden/>
              </w:rPr>
              <w:fldChar w:fldCharType="end"/>
            </w:r>
          </w:hyperlink>
        </w:p>
        <w:p w14:paraId="76975CC8" w14:textId="1A14EA9E" w:rsidR="003E15A8" w:rsidRPr="003E15A8" w:rsidRDefault="002F44B7">
          <w:pPr>
            <w:pStyle w:val="Obsah2"/>
            <w:rPr>
              <w:rFonts w:eastAsiaTheme="minorEastAsia"/>
              <w:bCs w:val="0"/>
              <w:iCs w:val="0"/>
              <w:lang w:eastAsia="sk-SK"/>
            </w:rPr>
          </w:pPr>
          <w:hyperlink w:anchor="_Toc152946764" w:history="1">
            <w:r w:rsidR="003E15A8" w:rsidRPr="003E15A8">
              <w:rPr>
                <w:rStyle w:val="Hypertextovprepojenie"/>
                <w:rFonts w:eastAsiaTheme="majorEastAsia"/>
              </w:rPr>
              <w:t>2.6. Informácia o zapracovaných úpravách niektorých príjmov a výdavkov rozpočtu   verejnej správy v metodike ESA 2010</w:t>
            </w:r>
            <w:r w:rsidR="003E15A8" w:rsidRPr="003E15A8">
              <w:rPr>
                <w:webHidden/>
              </w:rPr>
              <w:tab/>
            </w:r>
            <w:r w:rsidR="003E15A8" w:rsidRPr="003E15A8">
              <w:rPr>
                <w:webHidden/>
              </w:rPr>
              <w:fldChar w:fldCharType="begin"/>
            </w:r>
            <w:r w:rsidR="003E15A8" w:rsidRPr="003E15A8">
              <w:rPr>
                <w:webHidden/>
              </w:rPr>
              <w:instrText xml:space="preserve"> PAGEREF _Toc152946764 \h </w:instrText>
            </w:r>
            <w:r w:rsidR="003E15A8" w:rsidRPr="003E15A8">
              <w:rPr>
                <w:webHidden/>
              </w:rPr>
            </w:r>
            <w:r w:rsidR="003E15A8" w:rsidRPr="003E15A8">
              <w:rPr>
                <w:webHidden/>
              </w:rPr>
              <w:fldChar w:fldCharType="separate"/>
            </w:r>
            <w:r w:rsidR="00776107">
              <w:rPr>
                <w:webHidden/>
              </w:rPr>
              <w:t>25</w:t>
            </w:r>
            <w:r w:rsidR="003E15A8" w:rsidRPr="003E15A8">
              <w:rPr>
                <w:webHidden/>
              </w:rPr>
              <w:fldChar w:fldCharType="end"/>
            </w:r>
          </w:hyperlink>
        </w:p>
        <w:p w14:paraId="27CF4FA8" w14:textId="2609CA15" w:rsidR="003E15A8" w:rsidRPr="003E15A8" w:rsidRDefault="002F44B7">
          <w:pPr>
            <w:pStyle w:val="Obsah2"/>
            <w:rPr>
              <w:rFonts w:eastAsiaTheme="minorEastAsia"/>
              <w:bCs w:val="0"/>
              <w:iCs w:val="0"/>
              <w:lang w:eastAsia="sk-SK"/>
            </w:rPr>
          </w:pPr>
          <w:hyperlink w:anchor="_Toc152946765" w:history="1">
            <w:r w:rsidR="003E15A8" w:rsidRPr="003E15A8">
              <w:rPr>
                <w:rStyle w:val="Hypertextovprepojenie"/>
                <w:rFonts w:eastAsiaTheme="majorEastAsia"/>
              </w:rPr>
              <w:t>2.7. Informácia o nerozpočtovaných tituloch</w:t>
            </w:r>
            <w:r w:rsidR="003E15A8" w:rsidRPr="003E15A8">
              <w:rPr>
                <w:webHidden/>
              </w:rPr>
              <w:tab/>
            </w:r>
            <w:r w:rsidR="003E15A8" w:rsidRPr="003E15A8">
              <w:rPr>
                <w:webHidden/>
              </w:rPr>
              <w:fldChar w:fldCharType="begin"/>
            </w:r>
            <w:r w:rsidR="003E15A8" w:rsidRPr="003E15A8">
              <w:rPr>
                <w:webHidden/>
              </w:rPr>
              <w:instrText xml:space="preserve"> PAGEREF _Toc152946765 \h </w:instrText>
            </w:r>
            <w:r w:rsidR="003E15A8" w:rsidRPr="003E15A8">
              <w:rPr>
                <w:webHidden/>
              </w:rPr>
            </w:r>
            <w:r w:rsidR="003E15A8" w:rsidRPr="003E15A8">
              <w:rPr>
                <w:webHidden/>
              </w:rPr>
              <w:fldChar w:fldCharType="separate"/>
            </w:r>
            <w:r w:rsidR="00776107">
              <w:rPr>
                <w:webHidden/>
              </w:rPr>
              <w:t>26</w:t>
            </w:r>
            <w:r w:rsidR="003E15A8" w:rsidRPr="003E15A8">
              <w:rPr>
                <w:webHidden/>
              </w:rPr>
              <w:fldChar w:fldCharType="end"/>
            </w:r>
          </w:hyperlink>
        </w:p>
        <w:p w14:paraId="572FA231" w14:textId="49F6EFAC" w:rsidR="003E15A8" w:rsidRPr="003E15A8" w:rsidRDefault="002F44B7">
          <w:pPr>
            <w:pStyle w:val="Obsah2"/>
            <w:rPr>
              <w:rFonts w:eastAsiaTheme="minorEastAsia"/>
              <w:bCs w:val="0"/>
              <w:iCs w:val="0"/>
              <w:lang w:eastAsia="sk-SK"/>
            </w:rPr>
          </w:pPr>
          <w:hyperlink w:anchor="_Toc152946766" w:history="1">
            <w:r w:rsidR="003E15A8" w:rsidRPr="003E15A8">
              <w:rPr>
                <w:rStyle w:val="Hypertextovprepojenie"/>
                <w:rFonts w:eastAsiaTheme="majorEastAsia"/>
              </w:rPr>
              <w:t>2.8. Jednorazové a dočasné opatrenia</w:t>
            </w:r>
            <w:r w:rsidR="003E15A8" w:rsidRPr="003E15A8">
              <w:rPr>
                <w:webHidden/>
              </w:rPr>
              <w:tab/>
            </w:r>
            <w:r w:rsidR="003E15A8" w:rsidRPr="003E15A8">
              <w:rPr>
                <w:webHidden/>
              </w:rPr>
              <w:fldChar w:fldCharType="begin"/>
            </w:r>
            <w:r w:rsidR="003E15A8" w:rsidRPr="003E15A8">
              <w:rPr>
                <w:webHidden/>
              </w:rPr>
              <w:instrText xml:space="preserve"> PAGEREF _Toc152946766 \h </w:instrText>
            </w:r>
            <w:r w:rsidR="003E15A8" w:rsidRPr="003E15A8">
              <w:rPr>
                <w:webHidden/>
              </w:rPr>
            </w:r>
            <w:r w:rsidR="003E15A8" w:rsidRPr="003E15A8">
              <w:rPr>
                <w:webHidden/>
              </w:rPr>
              <w:fldChar w:fldCharType="separate"/>
            </w:r>
            <w:r w:rsidR="00776107">
              <w:rPr>
                <w:webHidden/>
              </w:rPr>
              <w:t>27</w:t>
            </w:r>
            <w:r w:rsidR="003E15A8" w:rsidRPr="003E15A8">
              <w:rPr>
                <w:webHidden/>
              </w:rPr>
              <w:fldChar w:fldCharType="end"/>
            </w:r>
          </w:hyperlink>
        </w:p>
        <w:p w14:paraId="596E1A8D" w14:textId="02D1B4F9" w:rsidR="003E15A8" w:rsidRPr="003E15A8" w:rsidRDefault="002F44B7">
          <w:pPr>
            <w:pStyle w:val="Obsah1"/>
            <w:tabs>
              <w:tab w:val="right" w:leader="dot" w:pos="9062"/>
            </w:tabs>
            <w:rPr>
              <w:rFonts w:ascii="Times New Roman" w:eastAsiaTheme="minorEastAsia" w:hAnsi="Times New Roman" w:cs="Times New Roman"/>
              <w:noProof/>
              <w:sz w:val="24"/>
              <w:szCs w:val="24"/>
              <w:lang w:eastAsia="sk-SK"/>
            </w:rPr>
          </w:pPr>
          <w:hyperlink w:anchor="_Toc152946767" w:history="1">
            <w:r w:rsidR="003E15A8" w:rsidRPr="003E15A8">
              <w:rPr>
                <w:rStyle w:val="Hypertextovprepojenie"/>
                <w:rFonts w:ascii="Times New Roman" w:hAnsi="Times New Roman" w:cs="Times New Roman"/>
                <w:b/>
                <w:noProof/>
                <w:sz w:val="24"/>
                <w:szCs w:val="24"/>
              </w:rPr>
              <w:t>3. Rozpočtovanie príjmov verejnej správy</w:t>
            </w:r>
            <w:r w:rsidR="003E15A8" w:rsidRPr="003E15A8">
              <w:rPr>
                <w:rFonts w:ascii="Times New Roman" w:hAnsi="Times New Roman" w:cs="Times New Roman"/>
                <w:noProof/>
                <w:webHidden/>
                <w:sz w:val="24"/>
                <w:szCs w:val="24"/>
              </w:rPr>
              <w:tab/>
            </w:r>
            <w:r w:rsidR="003E15A8" w:rsidRPr="003E15A8">
              <w:rPr>
                <w:rFonts w:ascii="Times New Roman" w:hAnsi="Times New Roman" w:cs="Times New Roman"/>
                <w:noProof/>
                <w:webHidden/>
                <w:sz w:val="24"/>
                <w:szCs w:val="24"/>
              </w:rPr>
              <w:fldChar w:fldCharType="begin"/>
            </w:r>
            <w:r w:rsidR="003E15A8" w:rsidRPr="003E15A8">
              <w:rPr>
                <w:rFonts w:ascii="Times New Roman" w:hAnsi="Times New Roman" w:cs="Times New Roman"/>
                <w:noProof/>
                <w:webHidden/>
                <w:sz w:val="24"/>
                <w:szCs w:val="24"/>
              </w:rPr>
              <w:instrText xml:space="preserve"> PAGEREF _Toc152946767 \h </w:instrText>
            </w:r>
            <w:r w:rsidR="003E15A8" w:rsidRPr="003E15A8">
              <w:rPr>
                <w:rFonts w:ascii="Times New Roman" w:hAnsi="Times New Roman" w:cs="Times New Roman"/>
                <w:noProof/>
                <w:webHidden/>
                <w:sz w:val="24"/>
                <w:szCs w:val="24"/>
              </w:rPr>
            </w:r>
            <w:r w:rsidR="003E15A8" w:rsidRPr="003E15A8">
              <w:rPr>
                <w:rFonts w:ascii="Times New Roman" w:hAnsi="Times New Roman" w:cs="Times New Roman"/>
                <w:noProof/>
                <w:webHidden/>
                <w:sz w:val="24"/>
                <w:szCs w:val="24"/>
              </w:rPr>
              <w:fldChar w:fldCharType="separate"/>
            </w:r>
            <w:r w:rsidR="00776107">
              <w:rPr>
                <w:rFonts w:ascii="Times New Roman" w:hAnsi="Times New Roman" w:cs="Times New Roman"/>
                <w:noProof/>
                <w:webHidden/>
                <w:sz w:val="24"/>
                <w:szCs w:val="24"/>
              </w:rPr>
              <w:t>31</w:t>
            </w:r>
            <w:r w:rsidR="003E15A8" w:rsidRPr="003E15A8">
              <w:rPr>
                <w:rFonts w:ascii="Times New Roman" w:hAnsi="Times New Roman" w:cs="Times New Roman"/>
                <w:noProof/>
                <w:webHidden/>
                <w:sz w:val="24"/>
                <w:szCs w:val="24"/>
              </w:rPr>
              <w:fldChar w:fldCharType="end"/>
            </w:r>
          </w:hyperlink>
        </w:p>
        <w:p w14:paraId="6FFD6A83" w14:textId="68BA7514" w:rsidR="003E15A8" w:rsidRPr="003E15A8" w:rsidRDefault="002F44B7">
          <w:pPr>
            <w:pStyle w:val="Obsah2"/>
            <w:rPr>
              <w:rFonts w:eastAsiaTheme="minorEastAsia"/>
              <w:bCs w:val="0"/>
              <w:iCs w:val="0"/>
              <w:lang w:eastAsia="sk-SK"/>
            </w:rPr>
          </w:pPr>
          <w:hyperlink w:anchor="_Toc152946768" w:history="1">
            <w:r w:rsidR="003E15A8" w:rsidRPr="003E15A8">
              <w:rPr>
                <w:rStyle w:val="Hypertextovprepojenie"/>
                <w:rFonts w:eastAsiaTheme="majorEastAsia"/>
              </w:rPr>
              <w:t>3.1. Rozpočtovanie daňových a odvodových príjmov verejnej správy</w:t>
            </w:r>
            <w:r w:rsidR="003E15A8" w:rsidRPr="003E15A8">
              <w:rPr>
                <w:webHidden/>
              </w:rPr>
              <w:tab/>
            </w:r>
            <w:r w:rsidR="003E15A8" w:rsidRPr="003E15A8">
              <w:rPr>
                <w:webHidden/>
              </w:rPr>
              <w:fldChar w:fldCharType="begin"/>
            </w:r>
            <w:r w:rsidR="003E15A8" w:rsidRPr="003E15A8">
              <w:rPr>
                <w:webHidden/>
              </w:rPr>
              <w:instrText xml:space="preserve"> PAGEREF _Toc152946768 \h </w:instrText>
            </w:r>
            <w:r w:rsidR="003E15A8" w:rsidRPr="003E15A8">
              <w:rPr>
                <w:webHidden/>
              </w:rPr>
            </w:r>
            <w:r w:rsidR="003E15A8" w:rsidRPr="003E15A8">
              <w:rPr>
                <w:webHidden/>
              </w:rPr>
              <w:fldChar w:fldCharType="separate"/>
            </w:r>
            <w:r w:rsidR="00776107">
              <w:rPr>
                <w:webHidden/>
              </w:rPr>
              <w:t>31</w:t>
            </w:r>
            <w:r w:rsidR="003E15A8" w:rsidRPr="003E15A8">
              <w:rPr>
                <w:webHidden/>
              </w:rPr>
              <w:fldChar w:fldCharType="end"/>
            </w:r>
          </w:hyperlink>
        </w:p>
        <w:p w14:paraId="67EC14E1" w14:textId="7D940317" w:rsidR="003E15A8" w:rsidRPr="003E15A8" w:rsidRDefault="002F44B7">
          <w:pPr>
            <w:pStyle w:val="Obsah2"/>
            <w:rPr>
              <w:rFonts w:eastAsiaTheme="minorEastAsia"/>
              <w:bCs w:val="0"/>
              <w:iCs w:val="0"/>
              <w:lang w:eastAsia="sk-SK"/>
            </w:rPr>
          </w:pPr>
          <w:hyperlink w:anchor="_Toc152946769" w:history="1">
            <w:r w:rsidR="003E15A8" w:rsidRPr="003E15A8">
              <w:rPr>
                <w:rStyle w:val="Hypertextovprepojenie"/>
                <w:rFonts w:eastAsiaTheme="majorEastAsia"/>
                <w:lang w:eastAsia="sk-SK"/>
              </w:rPr>
              <w:t>3.2. Iné ako daňové príjmy verejnej správy</w:t>
            </w:r>
            <w:r w:rsidR="003E15A8" w:rsidRPr="003E15A8">
              <w:rPr>
                <w:webHidden/>
              </w:rPr>
              <w:tab/>
            </w:r>
            <w:r w:rsidR="003E15A8" w:rsidRPr="003E15A8">
              <w:rPr>
                <w:webHidden/>
              </w:rPr>
              <w:fldChar w:fldCharType="begin"/>
            </w:r>
            <w:r w:rsidR="003E15A8" w:rsidRPr="003E15A8">
              <w:rPr>
                <w:webHidden/>
              </w:rPr>
              <w:instrText xml:space="preserve"> PAGEREF _Toc152946769 \h </w:instrText>
            </w:r>
            <w:r w:rsidR="003E15A8" w:rsidRPr="003E15A8">
              <w:rPr>
                <w:webHidden/>
              </w:rPr>
            </w:r>
            <w:r w:rsidR="003E15A8" w:rsidRPr="003E15A8">
              <w:rPr>
                <w:webHidden/>
              </w:rPr>
              <w:fldChar w:fldCharType="separate"/>
            </w:r>
            <w:r w:rsidR="00776107">
              <w:rPr>
                <w:webHidden/>
              </w:rPr>
              <w:t>46</w:t>
            </w:r>
            <w:r w:rsidR="003E15A8" w:rsidRPr="003E15A8">
              <w:rPr>
                <w:webHidden/>
              </w:rPr>
              <w:fldChar w:fldCharType="end"/>
            </w:r>
          </w:hyperlink>
        </w:p>
        <w:p w14:paraId="66E9EE27" w14:textId="36E64DDC" w:rsidR="003E15A8" w:rsidRPr="003E15A8" w:rsidRDefault="002F44B7">
          <w:pPr>
            <w:pStyle w:val="Obsah2"/>
            <w:rPr>
              <w:rFonts w:eastAsiaTheme="minorEastAsia"/>
              <w:bCs w:val="0"/>
              <w:iCs w:val="0"/>
              <w:lang w:eastAsia="sk-SK"/>
            </w:rPr>
          </w:pPr>
          <w:hyperlink w:anchor="_Toc152946770" w:history="1">
            <w:r w:rsidR="003E15A8" w:rsidRPr="003E15A8">
              <w:rPr>
                <w:rStyle w:val="Hypertextovprepojenie"/>
                <w:rFonts w:eastAsiaTheme="majorEastAsia"/>
                <w:lang w:eastAsia="sk-SK"/>
              </w:rPr>
              <w:t>3.3. Príjmy samostatných účtov štátnych rozpočtových organizácií vstupujúce do rozpočtu verejnej správy</w:t>
            </w:r>
            <w:r w:rsidR="003E15A8" w:rsidRPr="003E15A8">
              <w:rPr>
                <w:webHidden/>
              </w:rPr>
              <w:tab/>
            </w:r>
            <w:r w:rsidR="003E15A8" w:rsidRPr="003E15A8">
              <w:rPr>
                <w:webHidden/>
              </w:rPr>
              <w:fldChar w:fldCharType="begin"/>
            </w:r>
            <w:r w:rsidR="003E15A8" w:rsidRPr="003E15A8">
              <w:rPr>
                <w:webHidden/>
              </w:rPr>
              <w:instrText xml:space="preserve"> PAGEREF _Toc152946770 \h </w:instrText>
            </w:r>
            <w:r w:rsidR="003E15A8" w:rsidRPr="003E15A8">
              <w:rPr>
                <w:webHidden/>
              </w:rPr>
            </w:r>
            <w:r w:rsidR="003E15A8" w:rsidRPr="003E15A8">
              <w:rPr>
                <w:webHidden/>
              </w:rPr>
              <w:fldChar w:fldCharType="separate"/>
            </w:r>
            <w:r w:rsidR="00776107">
              <w:rPr>
                <w:webHidden/>
              </w:rPr>
              <w:t>58</w:t>
            </w:r>
            <w:r w:rsidR="003E15A8" w:rsidRPr="003E15A8">
              <w:rPr>
                <w:webHidden/>
              </w:rPr>
              <w:fldChar w:fldCharType="end"/>
            </w:r>
          </w:hyperlink>
        </w:p>
        <w:p w14:paraId="37623605" w14:textId="39E9EA2B" w:rsidR="003E15A8" w:rsidRPr="003E15A8" w:rsidRDefault="002F44B7">
          <w:pPr>
            <w:pStyle w:val="Obsah2"/>
            <w:rPr>
              <w:rFonts w:eastAsiaTheme="minorEastAsia"/>
              <w:bCs w:val="0"/>
              <w:iCs w:val="0"/>
              <w:lang w:eastAsia="sk-SK"/>
            </w:rPr>
          </w:pPr>
          <w:hyperlink w:anchor="_Toc152946771" w:history="1">
            <w:r w:rsidR="003E15A8" w:rsidRPr="003E15A8">
              <w:rPr>
                <w:rStyle w:val="Hypertextovprepojenie"/>
                <w:rFonts w:eastAsia="Calibri"/>
              </w:rPr>
              <w:t>3.4. Daňové výdavky</w:t>
            </w:r>
            <w:r w:rsidR="003E15A8" w:rsidRPr="003E15A8">
              <w:rPr>
                <w:webHidden/>
              </w:rPr>
              <w:tab/>
            </w:r>
            <w:r w:rsidR="003E15A8" w:rsidRPr="003E15A8">
              <w:rPr>
                <w:webHidden/>
              </w:rPr>
              <w:fldChar w:fldCharType="begin"/>
            </w:r>
            <w:r w:rsidR="003E15A8" w:rsidRPr="003E15A8">
              <w:rPr>
                <w:webHidden/>
              </w:rPr>
              <w:instrText xml:space="preserve"> PAGEREF _Toc152946771 \h </w:instrText>
            </w:r>
            <w:r w:rsidR="003E15A8" w:rsidRPr="003E15A8">
              <w:rPr>
                <w:webHidden/>
              </w:rPr>
            </w:r>
            <w:r w:rsidR="003E15A8" w:rsidRPr="003E15A8">
              <w:rPr>
                <w:webHidden/>
              </w:rPr>
              <w:fldChar w:fldCharType="separate"/>
            </w:r>
            <w:r w:rsidR="00776107">
              <w:rPr>
                <w:webHidden/>
              </w:rPr>
              <w:t>59</w:t>
            </w:r>
            <w:r w:rsidR="003E15A8" w:rsidRPr="003E15A8">
              <w:rPr>
                <w:webHidden/>
              </w:rPr>
              <w:fldChar w:fldCharType="end"/>
            </w:r>
          </w:hyperlink>
        </w:p>
        <w:p w14:paraId="4DBF2E37" w14:textId="2FFD5F6B" w:rsidR="003E15A8" w:rsidRPr="003E15A8" w:rsidRDefault="002F44B7">
          <w:pPr>
            <w:pStyle w:val="Obsah1"/>
            <w:tabs>
              <w:tab w:val="right" w:leader="dot" w:pos="9062"/>
            </w:tabs>
            <w:rPr>
              <w:rFonts w:ascii="Times New Roman" w:eastAsiaTheme="minorEastAsia" w:hAnsi="Times New Roman" w:cs="Times New Roman"/>
              <w:noProof/>
              <w:sz w:val="24"/>
              <w:szCs w:val="24"/>
              <w:lang w:eastAsia="sk-SK"/>
            </w:rPr>
          </w:pPr>
          <w:hyperlink w:anchor="_Toc152946772" w:history="1">
            <w:r w:rsidR="003E15A8" w:rsidRPr="003E15A8">
              <w:rPr>
                <w:rStyle w:val="Hypertextovprepojenie"/>
                <w:rFonts w:ascii="Times New Roman" w:hAnsi="Times New Roman" w:cs="Times New Roman"/>
                <w:b/>
                <w:noProof/>
                <w:sz w:val="24"/>
                <w:szCs w:val="24"/>
              </w:rPr>
              <w:t>4. Rozpočtovanie výdavkov návrhu rozpočtu verejnej správy</w:t>
            </w:r>
            <w:r w:rsidR="003E15A8" w:rsidRPr="003E15A8">
              <w:rPr>
                <w:rFonts w:ascii="Times New Roman" w:hAnsi="Times New Roman" w:cs="Times New Roman"/>
                <w:noProof/>
                <w:webHidden/>
                <w:sz w:val="24"/>
                <w:szCs w:val="24"/>
              </w:rPr>
              <w:tab/>
            </w:r>
            <w:r w:rsidR="003E15A8" w:rsidRPr="003E15A8">
              <w:rPr>
                <w:rFonts w:ascii="Times New Roman" w:hAnsi="Times New Roman" w:cs="Times New Roman"/>
                <w:noProof/>
                <w:webHidden/>
                <w:sz w:val="24"/>
                <w:szCs w:val="24"/>
              </w:rPr>
              <w:fldChar w:fldCharType="begin"/>
            </w:r>
            <w:r w:rsidR="003E15A8" w:rsidRPr="003E15A8">
              <w:rPr>
                <w:rFonts w:ascii="Times New Roman" w:hAnsi="Times New Roman" w:cs="Times New Roman"/>
                <w:noProof/>
                <w:webHidden/>
                <w:sz w:val="24"/>
                <w:szCs w:val="24"/>
              </w:rPr>
              <w:instrText xml:space="preserve"> PAGEREF _Toc152946772 \h </w:instrText>
            </w:r>
            <w:r w:rsidR="003E15A8" w:rsidRPr="003E15A8">
              <w:rPr>
                <w:rFonts w:ascii="Times New Roman" w:hAnsi="Times New Roman" w:cs="Times New Roman"/>
                <w:noProof/>
                <w:webHidden/>
                <w:sz w:val="24"/>
                <w:szCs w:val="24"/>
              </w:rPr>
            </w:r>
            <w:r w:rsidR="003E15A8" w:rsidRPr="003E15A8">
              <w:rPr>
                <w:rFonts w:ascii="Times New Roman" w:hAnsi="Times New Roman" w:cs="Times New Roman"/>
                <w:noProof/>
                <w:webHidden/>
                <w:sz w:val="24"/>
                <w:szCs w:val="24"/>
              </w:rPr>
              <w:fldChar w:fldCharType="separate"/>
            </w:r>
            <w:r w:rsidR="00776107">
              <w:rPr>
                <w:rFonts w:ascii="Times New Roman" w:hAnsi="Times New Roman" w:cs="Times New Roman"/>
                <w:noProof/>
                <w:webHidden/>
                <w:sz w:val="24"/>
                <w:szCs w:val="24"/>
              </w:rPr>
              <w:t>65</w:t>
            </w:r>
            <w:r w:rsidR="003E15A8" w:rsidRPr="003E15A8">
              <w:rPr>
                <w:rFonts w:ascii="Times New Roman" w:hAnsi="Times New Roman" w:cs="Times New Roman"/>
                <w:noProof/>
                <w:webHidden/>
                <w:sz w:val="24"/>
                <w:szCs w:val="24"/>
              </w:rPr>
              <w:fldChar w:fldCharType="end"/>
            </w:r>
          </w:hyperlink>
        </w:p>
        <w:p w14:paraId="28ED804D" w14:textId="0A170F7B" w:rsidR="00052B0A" w:rsidRPr="00114C4B" w:rsidRDefault="00052B0A" w:rsidP="001E2730">
          <w:pPr>
            <w:spacing w:line="360" w:lineRule="auto"/>
            <w:rPr>
              <w:rFonts w:ascii="Times New Roman" w:hAnsi="Times New Roman" w:cs="Times New Roman"/>
              <w:sz w:val="20"/>
              <w:szCs w:val="20"/>
            </w:rPr>
          </w:pPr>
          <w:r w:rsidRPr="003E15A8">
            <w:rPr>
              <w:rFonts w:ascii="Times New Roman" w:hAnsi="Times New Roman" w:cs="Times New Roman"/>
              <w:b/>
              <w:bCs/>
              <w:sz w:val="24"/>
              <w:szCs w:val="24"/>
            </w:rPr>
            <w:fldChar w:fldCharType="end"/>
          </w:r>
        </w:p>
      </w:sdtContent>
    </w:sdt>
    <w:p w14:paraId="3A5FCD1C" w14:textId="77777777" w:rsidR="00F2304D" w:rsidRDefault="00F2304D"/>
    <w:p w14:paraId="084C7B6C" w14:textId="77777777" w:rsidR="009C79B2" w:rsidRDefault="009C79B2"/>
    <w:p w14:paraId="7927A650" w14:textId="77777777" w:rsidR="009C79B2" w:rsidRDefault="009C79B2"/>
    <w:p w14:paraId="0124413B" w14:textId="77777777" w:rsidR="00137C90" w:rsidRDefault="00137C90"/>
    <w:p w14:paraId="66E712C7" w14:textId="77777777" w:rsidR="00215DF1" w:rsidRDefault="00215DF1"/>
    <w:p w14:paraId="49C84BCA" w14:textId="77777777" w:rsidR="00215DF1" w:rsidRDefault="00FE026F" w:rsidP="00FE026F">
      <w:pPr>
        <w:tabs>
          <w:tab w:val="left" w:pos="3450"/>
        </w:tabs>
      </w:pPr>
      <w:r>
        <w:tab/>
      </w:r>
    </w:p>
    <w:p w14:paraId="24104E1D" w14:textId="77777777" w:rsidR="00215DF1" w:rsidRDefault="00215DF1"/>
    <w:p w14:paraId="20917E30" w14:textId="77777777" w:rsidR="00215DF1" w:rsidRDefault="00215DF1"/>
    <w:p w14:paraId="08A2AE24" w14:textId="77777777" w:rsidR="00BD6A07" w:rsidRDefault="00BD6A07"/>
    <w:p w14:paraId="63FF3F1E" w14:textId="64513F96" w:rsidR="00C91520" w:rsidRDefault="00C91520"/>
    <w:p w14:paraId="1C013F93" w14:textId="77777777" w:rsidR="00DF1224" w:rsidRDefault="00DF1224"/>
    <w:p w14:paraId="522549E6" w14:textId="77777777" w:rsidR="00C91520" w:rsidRDefault="00C91520"/>
    <w:p w14:paraId="7B90DAE3" w14:textId="77777777" w:rsidR="001D520C" w:rsidRDefault="001D520C"/>
    <w:p w14:paraId="7F2A2A9A" w14:textId="77777777" w:rsidR="00052B0A" w:rsidRPr="00052B0A" w:rsidRDefault="00052B0A">
      <w:pPr>
        <w:rPr>
          <w:rFonts w:ascii="Times New Roman" w:hAnsi="Times New Roman" w:cs="Times New Roman"/>
          <w:b/>
          <w:color w:val="5B9BD5" w:themeColor="accent1"/>
          <w:sz w:val="28"/>
        </w:rPr>
      </w:pPr>
      <w:r w:rsidRPr="00052B0A">
        <w:rPr>
          <w:rFonts w:ascii="Times New Roman" w:hAnsi="Times New Roman" w:cs="Times New Roman"/>
          <w:b/>
          <w:color w:val="5B9BD5" w:themeColor="accent1"/>
          <w:sz w:val="28"/>
        </w:rPr>
        <w:lastRenderedPageBreak/>
        <w:t>Zoznam tabuliek</w:t>
      </w:r>
    </w:p>
    <w:p w14:paraId="53B986FA" w14:textId="0F9F8BE6" w:rsidR="008C5446" w:rsidRPr="008C5446" w:rsidRDefault="00052B0A">
      <w:pPr>
        <w:pStyle w:val="Zoznamobrzkov"/>
        <w:tabs>
          <w:tab w:val="right" w:leader="dot" w:pos="9062"/>
        </w:tabs>
        <w:rPr>
          <w:rFonts w:ascii="Times New Roman" w:eastAsiaTheme="minorEastAsia" w:hAnsi="Times New Roman" w:cs="Times New Roman"/>
          <w:noProof/>
          <w:sz w:val="20"/>
          <w:szCs w:val="20"/>
          <w:lang w:eastAsia="sk-SK"/>
        </w:rPr>
      </w:pPr>
      <w:r w:rsidRPr="008C5446">
        <w:rPr>
          <w:rFonts w:ascii="Times New Roman" w:hAnsi="Times New Roman" w:cs="Times New Roman"/>
          <w:sz w:val="20"/>
          <w:szCs w:val="20"/>
        </w:rPr>
        <w:fldChar w:fldCharType="begin"/>
      </w:r>
      <w:r w:rsidRPr="008C5446">
        <w:rPr>
          <w:rFonts w:ascii="Times New Roman" w:hAnsi="Times New Roman" w:cs="Times New Roman"/>
          <w:sz w:val="20"/>
          <w:szCs w:val="20"/>
        </w:rPr>
        <w:instrText xml:space="preserve"> TOC \h \z \c "Tabuľka" </w:instrText>
      </w:r>
      <w:r w:rsidRPr="008C5446">
        <w:rPr>
          <w:rFonts w:ascii="Times New Roman" w:hAnsi="Times New Roman" w:cs="Times New Roman"/>
          <w:sz w:val="20"/>
          <w:szCs w:val="20"/>
        </w:rPr>
        <w:fldChar w:fldCharType="separate"/>
      </w:r>
      <w:hyperlink w:anchor="_Toc153012999" w:history="1">
        <w:r w:rsidR="008C5446" w:rsidRPr="008C5446">
          <w:rPr>
            <w:rStyle w:val="Hypertextovprepojenie"/>
            <w:rFonts w:ascii="Times New Roman" w:hAnsi="Times New Roman" w:cs="Times New Roman"/>
            <w:bCs/>
            <w:noProof/>
            <w:sz w:val="20"/>
            <w:szCs w:val="20"/>
            <w:lang w:eastAsia="sk-SK"/>
          </w:rPr>
          <w:t>Tabuľka</w:t>
        </w:r>
        <w:r w:rsidR="008C5446" w:rsidRPr="008C5446">
          <w:rPr>
            <w:rStyle w:val="Hypertextovprepojenie"/>
            <w:rFonts w:ascii="Times New Roman" w:hAnsi="Times New Roman" w:cs="Times New Roman"/>
            <w:noProof/>
            <w:sz w:val="20"/>
            <w:szCs w:val="20"/>
          </w:rPr>
          <w:t xml:space="preserve"> 1 - </w:t>
        </w:r>
        <w:r w:rsidR="008C5446" w:rsidRPr="008C5446">
          <w:rPr>
            <w:rStyle w:val="Hypertextovprepojenie"/>
            <w:rFonts w:ascii="Times New Roman" w:hAnsi="Times New Roman" w:cs="Times New Roman"/>
            <w:bCs/>
            <w:noProof/>
            <w:sz w:val="20"/>
            <w:szCs w:val="20"/>
            <w:lang w:eastAsia="sk-SK"/>
          </w:rPr>
          <w:t>Prognóza vybraných ukazovateľov ekonomiky (december 2023)</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_Toc153012999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10</w:t>
        </w:r>
        <w:r w:rsidR="008C5446" w:rsidRPr="008C5446">
          <w:rPr>
            <w:rFonts w:ascii="Times New Roman" w:hAnsi="Times New Roman" w:cs="Times New Roman"/>
            <w:noProof/>
            <w:webHidden/>
            <w:sz w:val="20"/>
            <w:szCs w:val="20"/>
          </w:rPr>
          <w:fldChar w:fldCharType="end"/>
        </w:r>
      </w:hyperlink>
    </w:p>
    <w:p w14:paraId="0F7C02A2" w14:textId="57038A3E"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00" w:history="1">
        <w:r w:rsidR="008C5446" w:rsidRPr="008C5446">
          <w:rPr>
            <w:rStyle w:val="Hypertextovprepojenie"/>
            <w:rFonts w:ascii="Times New Roman" w:hAnsi="Times New Roman" w:cs="Times New Roman"/>
            <w:noProof/>
            <w:sz w:val="20"/>
            <w:szCs w:val="20"/>
          </w:rPr>
          <w:t xml:space="preserve">Tabuľka 2 - </w:t>
        </w:r>
        <w:r w:rsidR="008C5446" w:rsidRPr="008C5446">
          <w:rPr>
            <w:rStyle w:val="Hypertextovprepojenie"/>
            <w:rFonts w:ascii="Times New Roman" w:hAnsi="Times New Roman" w:cs="Times New Roman"/>
            <w:bCs/>
            <w:noProof/>
            <w:sz w:val="20"/>
            <w:szCs w:val="20"/>
            <w:lang w:eastAsia="sk-SK"/>
          </w:rPr>
          <w:t>Porovnanie prognóz Európskej komisie (EK) a MF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_Toc153013000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10</w:t>
        </w:r>
        <w:r w:rsidR="008C5446" w:rsidRPr="008C5446">
          <w:rPr>
            <w:rFonts w:ascii="Times New Roman" w:hAnsi="Times New Roman" w:cs="Times New Roman"/>
            <w:noProof/>
            <w:webHidden/>
            <w:sz w:val="20"/>
            <w:szCs w:val="20"/>
          </w:rPr>
          <w:fldChar w:fldCharType="end"/>
        </w:r>
      </w:hyperlink>
    </w:p>
    <w:p w14:paraId="237DC437" w14:textId="435D3032"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01" w:history="1">
        <w:r w:rsidR="008C5446" w:rsidRPr="008C5446">
          <w:rPr>
            <w:rStyle w:val="Hypertextovprepojenie"/>
            <w:rFonts w:ascii="Times New Roman" w:hAnsi="Times New Roman" w:cs="Times New Roman"/>
            <w:noProof/>
            <w:sz w:val="20"/>
            <w:szCs w:val="20"/>
          </w:rPr>
          <w:t>Tabuľka 3 - Rozdiely príjmových a výdavkových položiek oproti schválenému rozpočtu</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_Toc153013001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w:t>
        </w:r>
        <w:r w:rsidR="008C5446" w:rsidRPr="008C5446">
          <w:rPr>
            <w:rFonts w:ascii="Times New Roman" w:hAnsi="Times New Roman" w:cs="Times New Roman"/>
            <w:noProof/>
            <w:webHidden/>
            <w:sz w:val="20"/>
            <w:szCs w:val="20"/>
          </w:rPr>
          <w:fldChar w:fldCharType="end"/>
        </w:r>
      </w:hyperlink>
    </w:p>
    <w:p w14:paraId="2ADD30C6" w14:textId="758D161A"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02" w:history="1">
        <w:r w:rsidR="008C5446" w:rsidRPr="008C5446">
          <w:rPr>
            <w:rStyle w:val="Hypertextovprepojenie"/>
            <w:rFonts w:ascii="Times New Roman" w:hAnsi="Times New Roman" w:cs="Times New Roman"/>
            <w:noProof/>
            <w:sz w:val="20"/>
            <w:szCs w:val="20"/>
          </w:rPr>
          <w:t>Tabuľka 4 – Výdavky na kompenzačné opatrenia súvisiace s rastom cien energií</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_Toc153013002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12</w:t>
        </w:r>
        <w:r w:rsidR="008C5446" w:rsidRPr="008C5446">
          <w:rPr>
            <w:rFonts w:ascii="Times New Roman" w:hAnsi="Times New Roman" w:cs="Times New Roman"/>
            <w:noProof/>
            <w:webHidden/>
            <w:sz w:val="20"/>
            <w:szCs w:val="20"/>
          </w:rPr>
          <w:fldChar w:fldCharType="end"/>
        </w:r>
      </w:hyperlink>
    </w:p>
    <w:p w14:paraId="02A4D7A7" w14:textId="45FC461A"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03" w:history="1">
        <w:r w:rsidR="008C5446" w:rsidRPr="008C5446">
          <w:rPr>
            <w:rStyle w:val="Hypertextovprepojenie"/>
            <w:rFonts w:ascii="Times New Roman" w:hAnsi="Times New Roman" w:cs="Times New Roman"/>
            <w:noProof/>
            <w:sz w:val="20"/>
            <w:szCs w:val="20"/>
          </w:rPr>
          <w:t>Tabuľka 5 – Výdavky štátneho rozpočtu</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_Toc153013003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13</w:t>
        </w:r>
        <w:r w:rsidR="008C5446" w:rsidRPr="008C5446">
          <w:rPr>
            <w:rFonts w:ascii="Times New Roman" w:hAnsi="Times New Roman" w:cs="Times New Roman"/>
            <w:noProof/>
            <w:webHidden/>
            <w:sz w:val="20"/>
            <w:szCs w:val="20"/>
          </w:rPr>
          <w:fldChar w:fldCharType="end"/>
        </w:r>
      </w:hyperlink>
    </w:p>
    <w:p w14:paraId="08F1CC3B" w14:textId="53B04178"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04" w:history="1">
        <w:r w:rsidR="008C5446" w:rsidRPr="008C5446">
          <w:rPr>
            <w:rStyle w:val="Hypertextovprepojenie"/>
            <w:rFonts w:ascii="Times New Roman" w:hAnsi="Times New Roman" w:cs="Times New Roman"/>
            <w:noProof/>
            <w:sz w:val="20"/>
            <w:szCs w:val="20"/>
          </w:rPr>
          <w:t>Tabuľka 6 – Hospodárenie samospráv bez daní</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_Toc153013004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14</w:t>
        </w:r>
        <w:r w:rsidR="008C5446" w:rsidRPr="008C5446">
          <w:rPr>
            <w:rFonts w:ascii="Times New Roman" w:hAnsi="Times New Roman" w:cs="Times New Roman"/>
            <w:noProof/>
            <w:webHidden/>
            <w:sz w:val="20"/>
            <w:szCs w:val="20"/>
          </w:rPr>
          <w:fldChar w:fldCharType="end"/>
        </w:r>
      </w:hyperlink>
    </w:p>
    <w:p w14:paraId="3F34AD81" w14:textId="6E63A944"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05" w:history="1">
        <w:r w:rsidR="008C5446" w:rsidRPr="008C5446">
          <w:rPr>
            <w:rStyle w:val="Hypertextovprepojenie"/>
            <w:rFonts w:ascii="Times New Roman" w:hAnsi="Times New Roman" w:cs="Times New Roman"/>
            <w:noProof/>
            <w:sz w:val="20"/>
            <w:szCs w:val="20"/>
          </w:rPr>
          <w:t>Tabuľka 7 – Fondy sociálneho poistenia</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_Toc153013005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15</w:t>
        </w:r>
        <w:r w:rsidR="008C5446" w:rsidRPr="008C5446">
          <w:rPr>
            <w:rFonts w:ascii="Times New Roman" w:hAnsi="Times New Roman" w:cs="Times New Roman"/>
            <w:noProof/>
            <w:webHidden/>
            <w:sz w:val="20"/>
            <w:szCs w:val="20"/>
          </w:rPr>
          <w:fldChar w:fldCharType="end"/>
        </w:r>
      </w:hyperlink>
    </w:p>
    <w:p w14:paraId="62F115ED" w14:textId="4B9E4C05"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06" w:history="1">
        <w:r w:rsidR="008C5446" w:rsidRPr="008C5446">
          <w:rPr>
            <w:rStyle w:val="Hypertextovprepojenie"/>
            <w:rFonts w:ascii="Times New Roman" w:hAnsi="Times New Roman" w:cs="Times New Roman"/>
            <w:noProof/>
            <w:sz w:val="20"/>
            <w:szCs w:val="20"/>
          </w:rPr>
          <w:t>Tabuľka 8 – Daňová prognóza</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_Toc153013006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16</w:t>
        </w:r>
        <w:r w:rsidR="008C5446" w:rsidRPr="008C5446">
          <w:rPr>
            <w:rFonts w:ascii="Times New Roman" w:hAnsi="Times New Roman" w:cs="Times New Roman"/>
            <w:noProof/>
            <w:webHidden/>
            <w:sz w:val="20"/>
            <w:szCs w:val="20"/>
          </w:rPr>
          <w:fldChar w:fldCharType="end"/>
        </w:r>
      </w:hyperlink>
    </w:p>
    <w:p w14:paraId="55E3217A" w14:textId="5F6A4860"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07" w:history="1">
        <w:r w:rsidR="008C5446" w:rsidRPr="008C5446">
          <w:rPr>
            <w:rStyle w:val="Hypertextovprepojenie"/>
            <w:rFonts w:ascii="Times New Roman" w:hAnsi="Times New Roman" w:cs="Times New Roman"/>
            <w:noProof/>
            <w:sz w:val="20"/>
            <w:szCs w:val="20"/>
          </w:rPr>
          <w:t xml:space="preserve">Tabuľka 9 - </w:t>
        </w:r>
        <w:r w:rsidR="008C5446" w:rsidRPr="008C5446">
          <w:rPr>
            <w:rStyle w:val="Hypertextovprepojenie"/>
            <w:rFonts w:ascii="Times New Roman" w:hAnsi="Times New Roman" w:cs="Times New Roman"/>
            <w:bCs/>
            <w:noProof/>
            <w:sz w:val="20"/>
            <w:szCs w:val="20"/>
          </w:rPr>
          <w:t>Vplyvy legislatívy na výnos daní v roku 2023 (ESA 2010, v mil. eur) – zmena oproti RVS</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_Toc153013007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17</w:t>
        </w:r>
        <w:r w:rsidR="008C5446" w:rsidRPr="008C5446">
          <w:rPr>
            <w:rFonts w:ascii="Times New Roman" w:hAnsi="Times New Roman" w:cs="Times New Roman"/>
            <w:noProof/>
            <w:webHidden/>
            <w:sz w:val="20"/>
            <w:szCs w:val="20"/>
          </w:rPr>
          <w:fldChar w:fldCharType="end"/>
        </w:r>
      </w:hyperlink>
    </w:p>
    <w:p w14:paraId="0588333E" w14:textId="4C8A7B7D"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08" w:history="1">
        <w:r w:rsidR="008C5446" w:rsidRPr="008C5446">
          <w:rPr>
            <w:rStyle w:val="Hypertextovprepojenie"/>
            <w:rFonts w:ascii="Times New Roman" w:hAnsi="Times New Roman" w:cs="Times New Roman"/>
            <w:noProof/>
            <w:sz w:val="20"/>
            <w:szCs w:val="20"/>
          </w:rPr>
          <w:t>Tabuľka 10 – Výdavky vyvolané vojnou na Ukrajine</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_Toc153013008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18</w:t>
        </w:r>
        <w:r w:rsidR="008C5446" w:rsidRPr="008C5446">
          <w:rPr>
            <w:rFonts w:ascii="Times New Roman" w:hAnsi="Times New Roman" w:cs="Times New Roman"/>
            <w:noProof/>
            <w:webHidden/>
            <w:sz w:val="20"/>
            <w:szCs w:val="20"/>
          </w:rPr>
          <w:fldChar w:fldCharType="end"/>
        </w:r>
      </w:hyperlink>
    </w:p>
    <w:p w14:paraId="552296E8" w14:textId="0B4675D9"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09" w:history="1">
        <w:r w:rsidR="008C5446" w:rsidRPr="008C5446">
          <w:rPr>
            <w:rStyle w:val="Hypertextovprepojenie"/>
            <w:rFonts w:ascii="Times New Roman" w:hAnsi="Times New Roman" w:cs="Times New Roman"/>
            <w:noProof/>
            <w:sz w:val="20"/>
            <w:szCs w:val="20"/>
          </w:rPr>
          <w:t>Tabuľka 11 - Rozpočtové ciele</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_Toc153013009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19</w:t>
        </w:r>
        <w:r w:rsidR="008C5446" w:rsidRPr="008C5446">
          <w:rPr>
            <w:rFonts w:ascii="Times New Roman" w:hAnsi="Times New Roman" w:cs="Times New Roman"/>
            <w:noProof/>
            <w:webHidden/>
            <w:sz w:val="20"/>
            <w:szCs w:val="20"/>
          </w:rPr>
          <w:fldChar w:fldCharType="end"/>
        </w:r>
      </w:hyperlink>
    </w:p>
    <w:p w14:paraId="2B0423C4" w14:textId="360DFE53"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10" w:history="1">
        <w:r w:rsidR="008C5446" w:rsidRPr="008C5446">
          <w:rPr>
            <w:rStyle w:val="Hypertextovprepojenie"/>
            <w:rFonts w:ascii="Times New Roman" w:hAnsi="Times New Roman" w:cs="Times New Roman"/>
            <w:noProof/>
            <w:sz w:val="20"/>
            <w:szCs w:val="20"/>
          </w:rPr>
          <w:t>Tabuľka 12 - Štruktúra hrubého dlhu verejnej správy (% v HDP)</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_Toc153013010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21</w:t>
        </w:r>
        <w:r w:rsidR="008C5446" w:rsidRPr="008C5446">
          <w:rPr>
            <w:rFonts w:ascii="Times New Roman" w:hAnsi="Times New Roman" w:cs="Times New Roman"/>
            <w:noProof/>
            <w:webHidden/>
            <w:sz w:val="20"/>
            <w:szCs w:val="20"/>
          </w:rPr>
          <w:fldChar w:fldCharType="end"/>
        </w:r>
      </w:hyperlink>
    </w:p>
    <w:p w14:paraId="58DCD5BE" w14:textId="0505215D"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11" w:history="1">
        <w:r w:rsidR="008C5446" w:rsidRPr="008C5446">
          <w:rPr>
            <w:rStyle w:val="Hypertextovprepojenie"/>
            <w:rFonts w:ascii="Times New Roman" w:hAnsi="Times New Roman" w:cs="Times New Roman"/>
            <w:noProof/>
            <w:sz w:val="20"/>
            <w:szCs w:val="20"/>
          </w:rPr>
          <w:t>Tabuľka 13 – Vplyvy na zmenu hrubého dlhu verejnej správy</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_Toc153013011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22</w:t>
        </w:r>
        <w:r w:rsidR="008C5446" w:rsidRPr="008C5446">
          <w:rPr>
            <w:rFonts w:ascii="Times New Roman" w:hAnsi="Times New Roman" w:cs="Times New Roman"/>
            <w:noProof/>
            <w:webHidden/>
            <w:sz w:val="20"/>
            <w:szCs w:val="20"/>
          </w:rPr>
          <w:fldChar w:fldCharType="end"/>
        </w:r>
      </w:hyperlink>
    </w:p>
    <w:p w14:paraId="2B00B510" w14:textId="20E2B5A1"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12" w:history="1">
        <w:r w:rsidR="008C5446" w:rsidRPr="008C5446">
          <w:rPr>
            <w:rStyle w:val="Hypertextovprepojenie"/>
            <w:rFonts w:ascii="Times New Roman" w:hAnsi="Times New Roman" w:cs="Times New Roman"/>
            <w:noProof/>
            <w:sz w:val="20"/>
            <w:szCs w:val="20"/>
          </w:rPr>
          <w:t>Tabuľka 14 - Bilancia rozpočtu verejnej správy na roky 2024 až 2026 v metodike ESA 2010</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_Toc153013012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23</w:t>
        </w:r>
        <w:r w:rsidR="008C5446" w:rsidRPr="008C5446">
          <w:rPr>
            <w:rFonts w:ascii="Times New Roman" w:hAnsi="Times New Roman" w:cs="Times New Roman"/>
            <w:noProof/>
            <w:webHidden/>
            <w:sz w:val="20"/>
            <w:szCs w:val="20"/>
          </w:rPr>
          <w:fldChar w:fldCharType="end"/>
        </w:r>
      </w:hyperlink>
    </w:p>
    <w:p w14:paraId="552EF4E3" w14:textId="40E46A8D"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13" w:history="1">
        <w:r w:rsidR="008C5446" w:rsidRPr="008C5446">
          <w:rPr>
            <w:rStyle w:val="Hypertextovprepojenie"/>
            <w:rFonts w:ascii="Times New Roman" w:hAnsi="Times New Roman" w:cs="Times New Roman"/>
            <w:noProof/>
            <w:sz w:val="20"/>
            <w:szCs w:val="20"/>
          </w:rPr>
          <w:t>Tabuľka 15 – ESA 2010 tituly</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_Toc153013013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26</w:t>
        </w:r>
        <w:r w:rsidR="008C5446" w:rsidRPr="008C5446">
          <w:rPr>
            <w:rFonts w:ascii="Times New Roman" w:hAnsi="Times New Roman" w:cs="Times New Roman"/>
            <w:noProof/>
            <w:webHidden/>
            <w:sz w:val="20"/>
            <w:szCs w:val="20"/>
          </w:rPr>
          <w:fldChar w:fldCharType="end"/>
        </w:r>
      </w:hyperlink>
    </w:p>
    <w:p w14:paraId="05758CA6" w14:textId="1979A110"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14" w:history="1">
        <w:r w:rsidR="008C5446" w:rsidRPr="008C5446">
          <w:rPr>
            <w:rStyle w:val="Hypertextovprepojenie"/>
            <w:rFonts w:ascii="Times New Roman" w:hAnsi="Times New Roman" w:cs="Times New Roman"/>
            <w:noProof/>
            <w:sz w:val="20"/>
            <w:szCs w:val="20"/>
          </w:rPr>
          <w:t>Tabuľka 16 - Príjmy a výdavky nerozpočtovaných subjektov</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_Toc153013014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27</w:t>
        </w:r>
        <w:r w:rsidR="008C5446" w:rsidRPr="008C5446">
          <w:rPr>
            <w:rFonts w:ascii="Times New Roman" w:hAnsi="Times New Roman" w:cs="Times New Roman"/>
            <w:noProof/>
            <w:webHidden/>
            <w:sz w:val="20"/>
            <w:szCs w:val="20"/>
          </w:rPr>
          <w:fldChar w:fldCharType="end"/>
        </w:r>
      </w:hyperlink>
    </w:p>
    <w:p w14:paraId="09A16A2A" w14:textId="59E93710"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15" w:history="1">
        <w:r w:rsidR="008C5446" w:rsidRPr="008C5446">
          <w:rPr>
            <w:rStyle w:val="Hypertextovprepojenie"/>
            <w:rFonts w:ascii="Times New Roman" w:hAnsi="Times New Roman" w:cs="Times New Roman"/>
            <w:noProof/>
            <w:sz w:val="20"/>
            <w:szCs w:val="20"/>
          </w:rPr>
          <w:t>Tabuľka 17 - Príjmy a výdavky EFSF - European Financial Stability Facility</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_Toc153013015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27</w:t>
        </w:r>
        <w:r w:rsidR="008C5446" w:rsidRPr="008C5446">
          <w:rPr>
            <w:rFonts w:ascii="Times New Roman" w:hAnsi="Times New Roman" w:cs="Times New Roman"/>
            <w:noProof/>
            <w:webHidden/>
            <w:sz w:val="20"/>
            <w:szCs w:val="20"/>
          </w:rPr>
          <w:fldChar w:fldCharType="end"/>
        </w:r>
      </w:hyperlink>
    </w:p>
    <w:p w14:paraId="10728708" w14:textId="76916056"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16" w:history="1">
        <w:r w:rsidR="008C5446" w:rsidRPr="008C5446">
          <w:rPr>
            <w:rStyle w:val="Hypertextovprepojenie"/>
            <w:rFonts w:ascii="Times New Roman" w:hAnsi="Times New Roman" w:cs="Times New Roman"/>
            <w:noProof/>
            <w:sz w:val="20"/>
            <w:szCs w:val="20"/>
          </w:rPr>
          <w:t>Tabuľka 18 - Jednorazové a dočasné opatrenia</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_Toc153013016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28</w:t>
        </w:r>
        <w:r w:rsidR="008C5446" w:rsidRPr="008C5446">
          <w:rPr>
            <w:rFonts w:ascii="Times New Roman" w:hAnsi="Times New Roman" w:cs="Times New Roman"/>
            <w:noProof/>
            <w:webHidden/>
            <w:sz w:val="20"/>
            <w:szCs w:val="20"/>
          </w:rPr>
          <w:fldChar w:fldCharType="end"/>
        </w:r>
      </w:hyperlink>
    </w:p>
    <w:p w14:paraId="14B2F31C" w14:textId="550BCF37"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17" w:history="1">
        <w:r w:rsidR="008C5446" w:rsidRPr="008C5446">
          <w:rPr>
            <w:rStyle w:val="Hypertextovprepojenie"/>
            <w:rFonts w:ascii="Times New Roman" w:eastAsia="Calibri" w:hAnsi="Times New Roman" w:cs="Times New Roman"/>
            <w:iCs/>
            <w:noProof/>
            <w:sz w:val="20"/>
            <w:szCs w:val="20"/>
          </w:rPr>
          <w:t>Tabuľka 19 - Rozdiely aktuálneho odhadu daní s rozpočtom verejnej správy na roky 2023 až 2025 (ESA 2010, v tis. eur)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_Toc153013017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33</w:t>
        </w:r>
        <w:r w:rsidR="008C5446" w:rsidRPr="008C5446">
          <w:rPr>
            <w:rFonts w:ascii="Times New Roman" w:hAnsi="Times New Roman" w:cs="Times New Roman"/>
            <w:noProof/>
            <w:webHidden/>
            <w:sz w:val="20"/>
            <w:szCs w:val="20"/>
          </w:rPr>
          <w:fldChar w:fldCharType="end"/>
        </w:r>
      </w:hyperlink>
    </w:p>
    <w:p w14:paraId="30252B4D" w14:textId="329E0FE4"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18" w:history="1">
        <w:r w:rsidR="008C5446" w:rsidRPr="008C5446">
          <w:rPr>
            <w:rStyle w:val="Hypertextovprepojenie"/>
            <w:rFonts w:ascii="Times New Roman" w:hAnsi="Times New Roman" w:cs="Times New Roman"/>
            <w:noProof/>
            <w:sz w:val="20"/>
            <w:szCs w:val="20"/>
          </w:rPr>
          <w:t xml:space="preserve">Tabuľka </w:t>
        </w:r>
        <w:r w:rsidR="008C5446" w:rsidRPr="008C5446">
          <w:rPr>
            <w:rStyle w:val="Hypertextovprepojenie"/>
            <w:rFonts w:ascii="Times New Roman" w:eastAsia="Calibri" w:hAnsi="Times New Roman" w:cs="Times New Roman"/>
            <w:iCs/>
            <w:noProof/>
            <w:sz w:val="20"/>
            <w:szCs w:val="20"/>
          </w:rPr>
          <w:t>20</w:t>
        </w:r>
        <w:r w:rsidR="008C5446" w:rsidRPr="008C5446">
          <w:rPr>
            <w:rStyle w:val="Hypertextovprepojenie"/>
            <w:rFonts w:ascii="Times New Roman" w:hAnsi="Times New Roman" w:cs="Times New Roman"/>
            <w:noProof/>
            <w:sz w:val="20"/>
            <w:szCs w:val="20"/>
          </w:rPr>
          <w:t xml:space="preserve"> - Legislatívne opatrenia prijaté v roku 2022 (nezahrnuté v daňovej prognóze do RVS na roky 2023-2025) (ESA 2010, v tis. eur)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_Toc153013018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35</w:t>
        </w:r>
        <w:r w:rsidR="008C5446" w:rsidRPr="008C5446">
          <w:rPr>
            <w:rFonts w:ascii="Times New Roman" w:hAnsi="Times New Roman" w:cs="Times New Roman"/>
            <w:noProof/>
            <w:webHidden/>
            <w:sz w:val="20"/>
            <w:szCs w:val="20"/>
          </w:rPr>
          <w:fldChar w:fldCharType="end"/>
        </w:r>
      </w:hyperlink>
    </w:p>
    <w:p w14:paraId="1CFAF04F" w14:textId="7158B6C7"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19" w:history="1">
        <w:r w:rsidR="008C5446" w:rsidRPr="008C5446">
          <w:rPr>
            <w:rStyle w:val="Hypertextovprepojenie"/>
            <w:rFonts w:ascii="Times New Roman" w:eastAsia="Calibri" w:hAnsi="Times New Roman" w:cs="Times New Roman"/>
            <w:iCs/>
            <w:noProof/>
            <w:sz w:val="20"/>
            <w:szCs w:val="20"/>
          </w:rPr>
          <w:t>Tabuľka 21 - Vplyv legislatívnych opatrení prijatých v prvom polroku 2023 zahrnutých v prognóze daňových a odvodových príjmov verejnej správy na roky 2024 až 2026 (v tis. eur, ESA 2010)</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_Toc153013019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36</w:t>
        </w:r>
        <w:r w:rsidR="008C5446" w:rsidRPr="008C5446">
          <w:rPr>
            <w:rFonts w:ascii="Times New Roman" w:hAnsi="Times New Roman" w:cs="Times New Roman"/>
            <w:noProof/>
            <w:webHidden/>
            <w:sz w:val="20"/>
            <w:szCs w:val="20"/>
          </w:rPr>
          <w:fldChar w:fldCharType="end"/>
        </w:r>
      </w:hyperlink>
    </w:p>
    <w:p w14:paraId="61E1B72D" w14:textId="32FB9A15"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20" w:history="1">
        <w:r w:rsidR="008C5446" w:rsidRPr="008C5446">
          <w:rPr>
            <w:rStyle w:val="Hypertextovprepojenie"/>
            <w:rFonts w:ascii="Times New Roman" w:eastAsia="Calibri" w:hAnsi="Times New Roman" w:cs="Times New Roman"/>
            <w:iCs/>
            <w:noProof/>
            <w:sz w:val="20"/>
            <w:szCs w:val="20"/>
          </w:rPr>
          <w:t>Tabuľka 22 - Vplyv legislatívnych opatrení prijatých koncom roka 2023 na príjmy verejnej správy v súvislosti so zlepšením stavu verejných financií  (ESA 2010, v tis. eur)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_Toc153013020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36</w:t>
        </w:r>
        <w:r w:rsidR="008C5446" w:rsidRPr="008C5446">
          <w:rPr>
            <w:rFonts w:ascii="Times New Roman" w:hAnsi="Times New Roman" w:cs="Times New Roman"/>
            <w:noProof/>
            <w:webHidden/>
            <w:sz w:val="20"/>
            <w:szCs w:val="20"/>
          </w:rPr>
          <w:fldChar w:fldCharType="end"/>
        </w:r>
      </w:hyperlink>
    </w:p>
    <w:p w14:paraId="2B3D2732" w14:textId="7EC36053"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21" w:history="1">
        <w:r w:rsidR="008C5446" w:rsidRPr="008C5446">
          <w:rPr>
            <w:rStyle w:val="Hypertextovprepojenie"/>
            <w:rFonts w:ascii="Times New Roman" w:eastAsia="Arial Narrow" w:hAnsi="Times New Roman" w:cs="Times New Roman"/>
            <w:bCs/>
            <w:noProof/>
            <w:sz w:val="20"/>
            <w:szCs w:val="20"/>
          </w:rPr>
          <w:t xml:space="preserve">Tabuľka </w:t>
        </w:r>
        <w:r w:rsidR="008C5446" w:rsidRPr="008C5446">
          <w:rPr>
            <w:rStyle w:val="Hypertextovprepojenie"/>
            <w:rFonts w:ascii="Times New Roman" w:eastAsia="Calibri" w:hAnsi="Times New Roman" w:cs="Times New Roman"/>
            <w:iCs/>
            <w:noProof/>
            <w:sz w:val="20"/>
            <w:szCs w:val="20"/>
          </w:rPr>
          <w:t>23 -</w:t>
        </w:r>
        <w:r w:rsidR="008C5446" w:rsidRPr="008C5446">
          <w:rPr>
            <w:rStyle w:val="Hypertextovprepojenie"/>
            <w:rFonts w:ascii="Times New Roman" w:eastAsia="Arial Narrow" w:hAnsi="Times New Roman" w:cs="Times New Roman"/>
            <w:bCs/>
            <w:noProof/>
            <w:sz w:val="20"/>
            <w:szCs w:val="20"/>
          </w:rPr>
          <w:t xml:space="preserve"> Minimálna daň firmy v závislosti od jej zdaniteľných príjmov</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_Toc153013021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41</w:t>
        </w:r>
        <w:r w:rsidR="008C5446" w:rsidRPr="008C5446">
          <w:rPr>
            <w:rFonts w:ascii="Times New Roman" w:hAnsi="Times New Roman" w:cs="Times New Roman"/>
            <w:noProof/>
            <w:webHidden/>
            <w:sz w:val="20"/>
            <w:szCs w:val="20"/>
          </w:rPr>
          <w:fldChar w:fldCharType="end"/>
        </w:r>
      </w:hyperlink>
    </w:p>
    <w:p w14:paraId="64156794" w14:textId="6E3604B6"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22" w:history="1">
        <w:r w:rsidR="008C5446" w:rsidRPr="008C5446">
          <w:rPr>
            <w:rStyle w:val="Hypertextovprepojenie"/>
            <w:rFonts w:ascii="Times New Roman" w:eastAsia="Calibri" w:hAnsi="Times New Roman" w:cs="Times New Roman"/>
            <w:iCs/>
            <w:noProof/>
            <w:sz w:val="20"/>
            <w:szCs w:val="20"/>
          </w:rPr>
          <w:t>Tabuľka 24 - Daňové a odvodové príjmy (ESA 2010, v tis. eur)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_Toc153013022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42</w:t>
        </w:r>
        <w:r w:rsidR="008C5446" w:rsidRPr="008C5446">
          <w:rPr>
            <w:rFonts w:ascii="Times New Roman" w:hAnsi="Times New Roman" w:cs="Times New Roman"/>
            <w:noProof/>
            <w:webHidden/>
            <w:sz w:val="20"/>
            <w:szCs w:val="20"/>
          </w:rPr>
          <w:fldChar w:fldCharType="end"/>
        </w:r>
      </w:hyperlink>
    </w:p>
    <w:p w14:paraId="24337E5F" w14:textId="452353C0"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23" w:history="1">
        <w:r w:rsidR="008C5446" w:rsidRPr="008C5446">
          <w:rPr>
            <w:rStyle w:val="Hypertextovprepojenie"/>
            <w:rFonts w:ascii="Times New Roman" w:eastAsia="Calibri" w:hAnsi="Times New Roman" w:cs="Times New Roman"/>
            <w:iCs/>
            <w:noProof/>
            <w:sz w:val="20"/>
            <w:szCs w:val="20"/>
          </w:rPr>
          <w:t>Tabuľka 25 - Daňové a odvodové príjmy (hotovostný princíp, v tis. eur)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_Toc153013023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43</w:t>
        </w:r>
        <w:r w:rsidR="008C5446" w:rsidRPr="008C5446">
          <w:rPr>
            <w:rFonts w:ascii="Times New Roman" w:hAnsi="Times New Roman" w:cs="Times New Roman"/>
            <w:noProof/>
            <w:webHidden/>
            <w:sz w:val="20"/>
            <w:szCs w:val="20"/>
          </w:rPr>
          <w:fldChar w:fldCharType="end"/>
        </w:r>
      </w:hyperlink>
    </w:p>
    <w:p w14:paraId="6683C1AD" w14:textId="2A963C89"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24" w:history="1">
        <w:r w:rsidR="008C5446" w:rsidRPr="008C5446">
          <w:rPr>
            <w:rStyle w:val="Hypertextovprepojenie"/>
            <w:rFonts w:ascii="Times New Roman" w:eastAsia="Calibri" w:hAnsi="Times New Roman" w:cs="Times New Roman"/>
            <w:iCs/>
            <w:noProof/>
            <w:sz w:val="20"/>
            <w:szCs w:val="20"/>
          </w:rPr>
          <w:t>Tabuľka 26 - Predpokladaný vývoj sankcií (v tis. eur)</w:t>
        </w:r>
        <w:r w:rsidR="008C5446" w:rsidRPr="008C5446">
          <w:rPr>
            <w:rStyle w:val="Hypertextovprepojenie"/>
            <w:rFonts w:ascii="Times New Roman" w:eastAsia="Calibri" w:hAnsi="Times New Roman" w:cs="Times New Roman"/>
            <w:iCs/>
            <w:noProof/>
            <w:sz w:val="20"/>
            <w:szCs w:val="20"/>
            <w:vertAlign w:val="superscript"/>
          </w:rPr>
          <w:t>*</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_Toc153013024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44</w:t>
        </w:r>
        <w:r w:rsidR="008C5446" w:rsidRPr="008C5446">
          <w:rPr>
            <w:rFonts w:ascii="Times New Roman" w:hAnsi="Times New Roman" w:cs="Times New Roman"/>
            <w:noProof/>
            <w:webHidden/>
            <w:sz w:val="20"/>
            <w:szCs w:val="20"/>
          </w:rPr>
          <w:fldChar w:fldCharType="end"/>
        </w:r>
      </w:hyperlink>
    </w:p>
    <w:p w14:paraId="67A9E868" w14:textId="5D96ADA9"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25" w:history="1">
        <w:r w:rsidR="008C5446" w:rsidRPr="008C5446">
          <w:rPr>
            <w:rStyle w:val="Hypertextovprepojenie"/>
            <w:rFonts w:ascii="Times New Roman" w:eastAsia="Calibri" w:hAnsi="Times New Roman" w:cs="Times New Roman"/>
            <w:iCs/>
            <w:noProof/>
            <w:sz w:val="20"/>
            <w:szCs w:val="20"/>
          </w:rPr>
          <w:t>Tabuľka 27 - Odhad rozdielu medzi akruálnymi a hotovostnými prognózami v rokoch 2021 až 2026 (v tis. eur)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_Toc153013025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44</w:t>
        </w:r>
        <w:r w:rsidR="008C5446" w:rsidRPr="008C5446">
          <w:rPr>
            <w:rFonts w:ascii="Times New Roman" w:hAnsi="Times New Roman" w:cs="Times New Roman"/>
            <w:noProof/>
            <w:webHidden/>
            <w:sz w:val="20"/>
            <w:szCs w:val="20"/>
          </w:rPr>
          <w:fldChar w:fldCharType="end"/>
        </w:r>
      </w:hyperlink>
    </w:p>
    <w:p w14:paraId="7C45C075" w14:textId="0D57B394"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26" w:history="1">
        <w:r w:rsidR="008C5446" w:rsidRPr="008C5446">
          <w:rPr>
            <w:rStyle w:val="Hypertextovprepojenie"/>
            <w:rFonts w:ascii="Times New Roman" w:eastAsia="Calibri" w:hAnsi="Times New Roman" w:cs="Times New Roman"/>
            <w:iCs/>
            <w:noProof/>
            <w:sz w:val="20"/>
            <w:szCs w:val="20"/>
          </w:rPr>
          <w:t>Tabuľka 28 - Vplyv daňových kreditov na rozpočet (ESA 2010, v tis. eur)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_Toc153013026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45</w:t>
        </w:r>
        <w:r w:rsidR="008C5446" w:rsidRPr="008C5446">
          <w:rPr>
            <w:rFonts w:ascii="Times New Roman" w:hAnsi="Times New Roman" w:cs="Times New Roman"/>
            <w:noProof/>
            <w:webHidden/>
            <w:sz w:val="20"/>
            <w:szCs w:val="20"/>
          </w:rPr>
          <w:fldChar w:fldCharType="end"/>
        </w:r>
      </w:hyperlink>
    </w:p>
    <w:p w14:paraId="1AF5512D" w14:textId="7EEE3BF5"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27" w:history="1">
        <w:r w:rsidR="008C5446" w:rsidRPr="008C5446">
          <w:rPr>
            <w:rStyle w:val="Hypertextovprepojenie"/>
            <w:rFonts w:ascii="Times New Roman" w:eastAsia="Calibri" w:hAnsi="Times New Roman" w:cs="Times New Roman"/>
            <w:iCs/>
            <w:noProof/>
            <w:sz w:val="20"/>
            <w:szCs w:val="20"/>
          </w:rPr>
          <w:t>Tabuľka 29 - Vplyv prevodu prostriedkov na verejnoprospešný účel (VPÚ) na rozpočet (ESA 2010, v tis. eur)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_Toc153013027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45</w:t>
        </w:r>
        <w:r w:rsidR="008C5446" w:rsidRPr="008C5446">
          <w:rPr>
            <w:rFonts w:ascii="Times New Roman" w:hAnsi="Times New Roman" w:cs="Times New Roman"/>
            <w:noProof/>
            <w:webHidden/>
            <w:sz w:val="20"/>
            <w:szCs w:val="20"/>
          </w:rPr>
          <w:fldChar w:fldCharType="end"/>
        </w:r>
      </w:hyperlink>
    </w:p>
    <w:p w14:paraId="5037EAD0" w14:textId="2C9C0B19"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28" w:history="1">
        <w:r w:rsidR="008C5446" w:rsidRPr="008C5446">
          <w:rPr>
            <w:rStyle w:val="Hypertextovprepojenie"/>
            <w:rFonts w:ascii="Times New Roman" w:eastAsia="Arial Narrow" w:hAnsi="Times New Roman" w:cs="Times New Roman"/>
            <w:bCs/>
            <w:noProof/>
            <w:sz w:val="20"/>
            <w:szCs w:val="20"/>
            <w:bdr w:val="nil"/>
            <w:lang w:eastAsia="sk-SK"/>
          </w:rPr>
          <w:t>Tabuľka 30 – Prognóza vybraných nedaňových príjmov verejnej správy</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_Toc153013028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46</w:t>
        </w:r>
        <w:r w:rsidR="008C5446" w:rsidRPr="008C5446">
          <w:rPr>
            <w:rFonts w:ascii="Times New Roman" w:hAnsi="Times New Roman" w:cs="Times New Roman"/>
            <w:noProof/>
            <w:webHidden/>
            <w:sz w:val="20"/>
            <w:szCs w:val="20"/>
          </w:rPr>
          <w:fldChar w:fldCharType="end"/>
        </w:r>
      </w:hyperlink>
    </w:p>
    <w:p w14:paraId="0C3801A3" w14:textId="3E2100E3"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29" w:history="1">
        <w:r w:rsidR="008C5446" w:rsidRPr="008C5446">
          <w:rPr>
            <w:rStyle w:val="Hypertextovprepojenie"/>
            <w:rFonts w:ascii="Times New Roman" w:eastAsia="Arial Narrow" w:hAnsi="Times New Roman" w:cs="Times New Roman"/>
            <w:bCs/>
            <w:noProof/>
            <w:sz w:val="20"/>
            <w:szCs w:val="20"/>
            <w:bdr w:val="nil"/>
            <w:lang w:eastAsia="sk-SK"/>
          </w:rPr>
          <w:t>Tabuľka 31 – Legislatívne opatrenia zapracované v aktuálnej prognóze (ESA 2010, v tis. eur)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_Toc153013029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46</w:t>
        </w:r>
        <w:r w:rsidR="008C5446" w:rsidRPr="008C5446">
          <w:rPr>
            <w:rFonts w:ascii="Times New Roman" w:hAnsi="Times New Roman" w:cs="Times New Roman"/>
            <w:noProof/>
            <w:webHidden/>
            <w:sz w:val="20"/>
            <w:szCs w:val="20"/>
          </w:rPr>
          <w:fldChar w:fldCharType="end"/>
        </w:r>
      </w:hyperlink>
    </w:p>
    <w:p w14:paraId="5BA3760C" w14:textId="360707AC"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30" w:history="1">
        <w:r w:rsidR="008C5446" w:rsidRPr="008C5446">
          <w:rPr>
            <w:rStyle w:val="Hypertextovprepojenie"/>
            <w:rFonts w:ascii="Times New Roman" w:hAnsi="Times New Roman" w:cs="Times New Roman"/>
            <w:noProof/>
            <w:sz w:val="20"/>
            <w:szCs w:val="20"/>
          </w:rPr>
          <w:t>Tabuľka 32 - Iné ako daňové príjmy rozpočtu verejnej správy*</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_Toc153013030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47</w:t>
        </w:r>
        <w:r w:rsidR="008C5446" w:rsidRPr="008C5446">
          <w:rPr>
            <w:rFonts w:ascii="Times New Roman" w:hAnsi="Times New Roman" w:cs="Times New Roman"/>
            <w:noProof/>
            <w:webHidden/>
            <w:sz w:val="20"/>
            <w:szCs w:val="20"/>
          </w:rPr>
          <w:fldChar w:fldCharType="end"/>
        </w:r>
      </w:hyperlink>
    </w:p>
    <w:p w14:paraId="28F48E2A" w14:textId="1DF0EAB9"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31" w:history="1">
        <w:r w:rsidR="008C5446" w:rsidRPr="008C5446">
          <w:rPr>
            <w:rStyle w:val="Hypertextovprepojenie"/>
            <w:rFonts w:ascii="Times New Roman" w:eastAsia="Times New Roman" w:hAnsi="Times New Roman" w:cs="Times New Roman"/>
            <w:noProof/>
            <w:sz w:val="20"/>
            <w:szCs w:val="20"/>
            <w:lang w:eastAsia="sk-SK"/>
          </w:rPr>
          <w:t xml:space="preserve">Tabuľka </w:t>
        </w:r>
        <w:r w:rsidR="008C5446" w:rsidRPr="008C5446">
          <w:rPr>
            <w:rStyle w:val="Hypertextovprepojenie"/>
            <w:rFonts w:ascii="Times New Roman" w:hAnsi="Times New Roman" w:cs="Times New Roman"/>
            <w:noProof/>
            <w:sz w:val="20"/>
            <w:szCs w:val="20"/>
          </w:rPr>
          <w:t>33</w:t>
        </w:r>
        <w:r w:rsidR="008C5446" w:rsidRPr="008C5446">
          <w:rPr>
            <w:rStyle w:val="Hypertextovprepojenie"/>
            <w:rFonts w:ascii="Times New Roman" w:eastAsia="Times New Roman" w:hAnsi="Times New Roman" w:cs="Times New Roman"/>
            <w:noProof/>
            <w:sz w:val="20"/>
            <w:szCs w:val="20"/>
            <w:lang w:eastAsia="sk-SK"/>
          </w:rPr>
          <w:t xml:space="preserve"> - Iné ako daňové príjmy štátneho rozpočtu</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_Toc153013031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48</w:t>
        </w:r>
        <w:r w:rsidR="008C5446" w:rsidRPr="008C5446">
          <w:rPr>
            <w:rFonts w:ascii="Times New Roman" w:hAnsi="Times New Roman" w:cs="Times New Roman"/>
            <w:noProof/>
            <w:webHidden/>
            <w:sz w:val="20"/>
            <w:szCs w:val="20"/>
          </w:rPr>
          <w:fldChar w:fldCharType="end"/>
        </w:r>
      </w:hyperlink>
    </w:p>
    <w:p w14:paraId="48FEB900" w14:textId="072D3FAD"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32" w:history="1">
        <w:r w:rsidR="008C5446" w:rsidRPr="008C5446">
          <w:rPr>
            <w:rStyle w:val="Hypertextovprepojenie"/>
            <w:rFonts w:ascii="Times New Roman" w:eastAsia="Times New Roman" w:hAnsi="Times New Roman" w:cs="Times New Roman"/>
            <w:noProof/>
            <w:sz w:val="20"/>
            <w:szCs w:val="20"/>
            <w:lang w:eastAsia="sk-SK"/>
          </w:rPr>
          <w:t xml:space="preserve">Tabuľka </w:t>
        </w:r>
        <w:r w:rsidR="008C5446" w:rsidRPr="008C5446">
          <w:rPr>
            <w:rStyle w:val="Hypertextovprepojenie"/>
            <w:rFonts w:ascii="Times New Roman" w:hAnsi="Times New Roman" w:cs="Times New Roman"/>
            <w:noProof/>
            <w:sz w:val="20"/>
            <w:szCs w:val="20"/>
          </w:rPr>
          <w:t>34</w:t>
        </w:r>
        <w:r w:rsidR="008C5446" w:rsidRPr="008C5446">
          <w:rPr>
            <w:rStyle w:val="Hypertextovprepojenie"/>
            <w:rFonts w:ascii="Times New Roman" w:eastAsia="Times New Roman" w:hAnsi="Times New Roman" w:cs="Times New Roman"/>
            <w:noProof/>
            <w:sz w:val="20"/>
            <w:szCs w:val="20"/>
            <w:lang w:eastAsia="sk-SK"/>
          </w:rPr>
          <w:t xml:space="preserve"> - Nedaňové príjmy štátneho rozpočtu</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_Toc153013032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48</w:t>
        </w:r>
        <w:r w:rsidR="008C5446" w:rsidRPr="008C5446">
          <w:rPr>
            <w:rFonts w:ascii="Times New Roman" w:hAnsi="Times New Roman" w:cs="Times New Roman"/>
            <w:noProof/>
            <w:webHidden/>
            <w:sz w:val="20"/>
            <w:szCs w:val="20"/>
          </w:rPr>
          <w:fldChar w:fldCharType="end"/>
        </w:r>
      </w:hyperlink>
    </w:p>
    <w:p w14:paraId="6F0C035F" w14:textId="210ED8E3"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33" w:history="1">
        <w:r w:rsidR="008C5446" w:rsidRPr="008C5446">
          <w:rPr>
            <w:rStyle w:val="Hypertextovprepojenie"/>
            <w:rFonts w:ascii="Times New Roman" w:eastAsia="Times New Roman" w:hAnsi="Times New Roman" w:cs="Times New Roman"/>
            <w:noProof/>
            <w:sz w:val="20"/>
            <w:szCs w:val="20"/>
            <w:lang w:eastAsia="sk-SK"/>
          </w:rPr>
          <w:t xml:space="preserve">Tabuľka </w:t>
        </w:r>
        <w:r w:rsidR="008C5446" w:rsidRPr="008C5446">
          <w:rPr>
            <w:rStyle w:val="Hypertextovprepojenie"/>
            <w:rFonts w:ascii="Times New Roman" w:hAnsi="Times New Roman" w:cs="Times New Roman"/>
            <w:noProof/>
            <w:sz w:val="20"/>
            <w:szCs w:val="20"/>
          </w:rPr>
          <w:t>35</w:t>
        </w:r>
        <w:r w:rsidR="008C5446" w:rsidRPr="008C5446">
          <w:rPr>
            <w:rStyle w:val="Hypertextovprepojenie"/>
            <w:rFonts w:ascii="Times New Roman" w:eastAsia="Times New Roman" w:hAnsi="Times New Roman" w:cs="Times New Roman"/>
            <w:noProof/>
            <w:sz w:val="20"/>
            <w:szCs w:val="20"/>
            <w:lang w:eastAsia="sk-SK"/>
          </w:rPr>
          <w:t xml:space="preserve"> - Príjmy štátneho rozpočtu z dividend</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_Toc153013033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49</w:t>
        </w:r>
        <w:r w:rsidR="008C5446" w:rsidRPr="008C5446">
          <w:rPr>
            <w:rFonts w:ascii="Times New Roman" w:hAnsi="Times New Roman" w:cs="Times New Roman"/>
            <w:noProof/>
            <w:webHidden/>
            <w:sz w:val="20"/>
            <w:szCs w:val="20"/>
          </w:rPr>
          <w:fldChar w:fldCharType="end"/>
        </w:r>
      </w:hyperlink>
    </w:p>
    <w:p w14:paraId="3AEA5391" w14:textId="3965B427"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34" w:history="1">
        <w:r w:rsidR="008C5446" w:rsidRPr="008C5446">
          <w:rPr>
            <w:rStyle w:val="Hypertextovprepojenie"/>
            <w:rFonts w:ascii="Times New Roman" w:eastAsia="Times New Roman" w:hAnsi="Times New Roman" w:cs="Times New Roman"/>
            <w:noProof/>
            <w:sz w:val="20"/>
            <w:szCs w:val="20"/>
            <w:lang w:eastAsia="sk-SK"/>
          </w:rPr>
          <w:t xml:space="preserve">Tabuľka </w:t>
        </w:r>
        <w:r w:rsidR="008C5446" w:rsidRPr="008C5446">
          <w:rPr>
            <w:rStyle w:val="Hypertextovprepojenie"/>
            <w:rFonts w:ascii="Times New Roman" w:hAnsi="Times New Roman" w:cs="Times New Roman"/>
            <w:noProof/>
            <w:sz w:val="20"/>
            <w:szCs w:val="20"/>
          </w:rPr>
          <w:t>36</w:t>
        </w:r>
        <w:r w:rsidR="008C5446" w:rsidRPr="008C5446">
          <w:rPr>
            <w:rStyle w:val="Hypertextovprepojenie"/>
            <w:rFonts w:ascii="Times New Roman" w:eastAsia="Times New Roman" w:hAnsi="Times New Roman" w:cs="Times New Roman"/>
            <w:noProof/>
            <w:sz w:val="20"/>
            <w:szCs w:val="20"/>
            <w:lang w:eastAsia="sk-SK"/>
          </w:rPr>
          <w:t xml:space="preserve"> - Príjmy štátneho rozpočtu z grantov a transferov</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_Toc153013034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51</w:t>
        </w:r>
        <w:r w:rsidR="008C5446" w:rsidRPr="008C5446">
          <w:rPr>
            <w:rFonts w:ascii="Times New Roman" w:hAnsi="Times New Roman" w:cs="Times New Roman"/>
            <w:noProof/>
            <w:webHidden/>
            <w:sz w:val="20"/>
            <w:szCs w:val="20"/>
          </w:rPr>
          <w:fldChar w:fldCharType="end"/>
        </w:r>
      </w:hyperlink>
    </w:p>
    <w:p w14:paraId="4A94A57C" w14:textId="7EED8FA0"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35" w:history="1">
        <w:r w:rsidR="008C5446" w:rsidRPr="008C5446">
          <w:rPr>
            <w:rStyle w:val="Hypertextovprepojenie"/>
            <w:rFonts w:ascii="Times New Roman" w:eastAsia="Times New Roman" w:hAnsi="Times New Roman" w:cs="Times New Roman"/>
            <w:noProof/>
            <w:sz w:val="20"/>
            <w:szCs w:val="20"/>
            <w:lang w:eastAsia="sk-SK"/>
          </w:rPr>
          <w:t>Tabuľka</w:t>
        </w:r>
        <w:r w:rsidR="008C5446" w:rsidRPr="008C5446">
          <w:rPr>
            <w:rStyle w:val="Hypertextovprepojenie"/>
            <w:rFonts w:ascii="Times New Roman" w:hAnsi="Times New Roman" w:cs="Times New Roman"/>
            <w:noProof/>
            <w:sz w:val="20"/>
            <w:szCs w:val="20"/>
          </w:rPr>
          <w:t xml:space="preserve"> 37</w:t>
        </w:r>
        <w:r w:rsidR="008C5446" w:rsidRPr="008C5446">
          <w:rPr>
            <w:rStyle w:val="Hypertextovprepojenie"/>
            <w:rFonts w:ascii="Times New Roman" w:eastAsia="Times New Roman" w:hAnsi="Times New Roman" w:cs="Times New Roman"/>
            <w:noProof/>
            <w:sz w:val="20"/>
            <w:szCs w:val="20"/>
            <w:lang w:eastAsia="sk-SK"/>
          </w:rPr>
          <w:t xml:space="preserve"> - Príjmy štátneho rozpočtu zo zahraničných transferov – prostriedkov z rozpočtu EÚ</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_Toc153013035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52</w:t>
        </w:r>
        <w:r w:rsidR="008C5446" w:rsidRPr="008C5446">
          <w:rPr>
            <w:rFonts w:ascii="Times New Roman" w:hAnsi="Times New Roman" w:cs="Times New Roman"/>
            <w:noProof/>
            <w:webHidden/>
            <w:sz w:val="20"/>
            <w:szCs w:val="20"/>
          </w:rPr>
          <w:fldChar w:fldCharType="end"/>
        </w:r>
      </w:hyperlink>
    </w:p>
    <w:p w14:paraId="439D6EA6" w14:textId="2760D8CB"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36" w:history="1">
        <w:r w:rsidR="008C5446" w:rsidRPr="008C5446">
          <w:rPr>
            <w:rStyle w:val="Hypertextovprepojenie"/>
            <w:rFonts w:ascii="Times New Roman" w:hAnsi="Times New Roman" w:cs="Times New Roman"/>
            <w:noProof/>
            <w:sz w:val="20"/>
            <w:szCs w:val="20"/>
          </w:rPr>
          <w:t>Tabuľka 38 - Iné ako daňové príjmy ostatných subjektov ústrednej správy</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_Toc153013036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52</w:t>
        </w:r>
        <w:r w:rsidR="008C5446" w:rsidRPr="008C5446">
          <w:rPr>
            <w:rFonts w:ascii="Times New Roman" w:hAnsi="Times New Roman" w:cs="Times New Roman"/>
            <w:noProof/>
            <w:webHidden/>
            <w:sz w:val="20"/>
            <w:szCs w:val="20"/>
          </w:rPr>
          <w:fldChar w:fldCharType="end"/>
        </w:r>
      </w:hyperlink>
    </w:p>
    <w:p w14:paraId="09AA9FAA" w14:textId="060A34DF"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37" w:history="1">
        <w:r w:rsidR="008C5446" w:rsidRPr="008C5446">
          <w:rPr>
            <w:rStyle w:val="Hypertextovprepojenie"/>
            <w:rFonts w:ascii="Times New Roman" w:hAnsi="Times New Roman" w:cs="Times New Roman"/>
            <w:noProof/>
            <w:sz w:val="20"/>
            <w:szCs w:val="20"/>
          </w:rPr>
          <w:t>Tabuľka 39 - Nedaňové príjmy ostatných subjektov ústrednej správy</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_Toc153013037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53</w:t>
        </w:r>
        <w:r w:rsidR="008C5446" w:rsidRPr="008C5446">
          <w:rPr>
            <w:rFonts w:ascii="Times New Roman" w:hAnsi="Times New Roman" w:cs="Times New Roman"/>
            <w:noProof/>
            <w:webHidden/>
            <w:sz w:val="20"/>
            <w:szCs w:val="20"/>
          </w:rPr>
          <w:fldChar w:fldCharType="end"/>
        </w:r>
      </w:hyperlink>
    </w:p>
    <w:p w14:paraId="71BBE990" w14:textId="4ED61925"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38" w:history="1">
        <w:r w:rsidR="008C5446" w:rsidRPr="008C5446">
          <w:rPr>
            <w:rStyle w:val="Hypertextovprepojenie"/>
            <w:rFonts w:ascii="Times New Roman" w:hAnsi="Times New Roman" w:cs="Times New Roman"/>
            <w:noProof/>
            <w:sz w:val="20"/>
            <w:szCs w:val="20"/>
          </w:rPr>
          <w:t>Tabuľka 40 - Príjmy ostatných subjektov ústrednej správy z grantov a transferov</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_Toc153013038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54</w:t>
        </w:r>
        <w:r w:rsidR="008C5446" w:rsidRPr="008C5446">
          <w:rPr>
            <w:rFonts w:ascii="Times New Roman" w:hAnsi="Times New Roman" w:cs="Times New Roman"/>
            <w:noProof/>
            <w:webHidden/>
            <w:sz w:val="20"/>
            <w:szCs w:val="20"/>
          </w:rPr>
          <w:fldChar w:fldCharType="end"/>
        </w:r>
      </w:hyperlink>
    </w:p>
    <w:p w14:paraId="50FC2AFA" w14:textId="03D925FC"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39" w:history="1">
        <w:r w:rsidR="008C5446" w:rsidRPr="008C5446">
          <w:rPr>
            <w:rStyle w:val="Hypertextovprepojenie"/>
            <w:rFonts w:ascii="Times New Roman" w:hAnsi="Times New Roman" w:cs="Times New Roman"/>
            <w:iCs/>
            <w:noProof/>
            <w:sz w:val="20"/>
            <w:szCs w:val="20"/>
          </w:rPr>
          <w:t>Tabuľka 41 - Iné ako daňové príjmy vo fondoch sociálneho poistenia a fondoch zdravotného poistenia</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_Toc153013039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54</w:t>
        </w:r>
        <w:r w:rsidR="008C5446" w:rsidRPr="008C5446">
          <w:rPr>
            <w:rFonts w:ascii="Times New Roman" w:hAnsi="Times New Roman" w:cs="Times New Roman"/>
            <w:noProof/>
            <w:webHidden/>
            <w:sz w:val="20"/>
            <w:szCs w:val="20"/>
          </w:rPr>
          <w:fldChar w:fldCharType="end"/>
        </w:r>
      </w:hyperlink>
    </w:p>
    <w:p w14:paraId="7509A7C9" w14:textId="2CFCFB6C"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40" w:history="1">
        <w:r w:rsidR="008C5446" w:rsidRPr="008C5446">
          <w:rPr>
            <w:rStyle w:val="Hypertextovprepojenie"/>
            <w:rFonts w:ascii="Times New Roman" w:eastAsia="Calibri" w:hAnsi="Times New Roman" w:cs="Times New Roman"/>
            <w:bCs/>
            <w:noProof/>
            <w:sz w:val="20"/>
            <w:szCs w:val="20"/>
          </w:rPr>
          <w:t xml:space="preserve">Tabuľka </w:t>
        </w:r>
        <w:r w:rsidR="008C5446" w:rsidRPr="008C5446">
          <w:rPr>
            <w:rStyle w:val="Hypertextovprepojenie"/>
            <w:rFonts w:ascii="Times New Roman" w:eastAsia="Arial Narrow" w:hAnsi="Times New Roman" w:cs="Times New Roman"/>
            <w:bCs/>
            <w:noProof/>
            <w:sz w:val="20"/>
            <w:szCs w:val="20"/>
            <w:bdr w:val="nil"/>
            <w:lang w:eastAsia="sk-SK"/>
          </w:rPr>
          <w:t xml:space="preserve">42 </w:t>
        </w:r>
        <w:r w:rsidR="008C5446" w:rsidRPr="008C5446">
          <w:rPr>
            <w:rStyle w:val="Hypertextovprepojenie"/>
            <w:rFonts w:ascii="Times New Roman" w:eastAsia="Calibri" w:hAnsi="Times New Roman" w:cs="Times New Roman"/>
            <w:bCs/>
            <w:noProof/>
            <w:sz w:val="20"/>
            <w:szCs w:val="20"/>
          </w:rPr>
          <w:t>- Iné ako daňové príjmy územnej samosprávy</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_Toc153013040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55</w:t>
        </w:r>
        <w:r w:rsidR="008C5446" w:rsidRPr="008C5446">
          <w:rPr>
            <w:rFonts w:ascii="Times New Roman" w:hAnsi="Times New Roman" w:cs="Times New Roman"/>
            <w:noProof/>
            <w:webHidden/>
            <w:sz w:val="20"/>
            <w:szCs w:val="20"/>
          </w:rPr>
          <w:fldChar w:fldCharType="end"/>
        </w:r>
      </w:hyperlink>
    </w:p>
    <w:p w14:paraId="0E76CA9A" w14:textId="66C030F4"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41" w:history="1">
        <w:r w:rsidR="008C5446" w:rsidRPr="008C5446">
          <w:rPr>
            <w:rStyle w:val="Hypertextovprepojenie"/>
            <w:rFonts w:ascii="Times New Roman" w:eastAsia="Calibri" w:hAnsi="Times New Roman" w:cs="Times New Roman"/>
            <w:bCs/>
            <w:noProof/>
            <w:sz w:val="20"/>
            <w:szCs w:val="20"/>
          </w:rPr>
          <w:t xml:space="preserve">Tabuľka </w:t>
        </w:r>
        <w:r w:rsidR="000202B6">
          <w:rPr>
            <w:rStyle w:val="Hypertextovprepojenie"/>
            <w:rFonts w:ascii="Times New Roman" w:eastAsia="Arial Narrow" w:hAnsi="Times New Roman" w:cs="Times New Roman"/>
            <w:bCs/>
            <w:noProof/>
            <w:sz w:val="20"/>
            <w:szCs w:val="20"/>
            <w:bdr w:val="nil"/>
            <w:lang w:eastAsia="sk-SK"/>
          </w:rPr>
          <w:t>43</w:t>
        </w:r>
        <w:r w:rsidR="008C5446" w:rsidRPr="008C5446">
          <w:rPr>
            <w:rStyle w:val="Hypertextovprepojenie"/>
            <w:rFonts w:ascii="Times New Roman" w:eastAsia="Arial Narrow" w:hAnsi="Times New Roman" w:cs="Times New Roman"/>
            <w:bCs/>
            <w:noProof/>
            <w:sz w:val="20"/>
            <w:szCs w:val="20"/>
            <w:bdr w:val="nil"/>
            <w:lang w:eastAsia="sk-SK"/>
          </w:rPr>
          <w:t xml:space="preserve"> - </w:t>
        </w:r>
        <w:r w:rsidR="008C5446" w:rsidRPr="008C5446">
          <w:rPr>
            <w:rStyle w:val="Hypertextovprepojenie"/>
            <w:rFonts w:ascii="Times New Roman" w:eastAsia="Calibri" w:hAnsi="Times New Roman" w:cs="Times New Roman"/>
            <w:bCs/>
            <w:noProof/>
            <w:sz w:val="20"/>
            <w:szCs w:val="20"/>
          </w:rPr>
          <w:t>Nedaňové príjmy územnej samosprávy</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_Toc153013041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55</w:t>
        </w:r>
        <w:r w:rsidR="008C5446" w:rsidRPr="008C5446">
          <w:rPr>
            <w:rFonts w:ascii="Times New Roman" w:hAnsi="Times New Roman" w:cs="Times New Roman"/>
            <w:noProof/>
            <w:webHidden/>
            <w:sz w:val="20"/>
            <w:szCs w:val="20"/>
          </w:rPr>
          <w:fldChar w:fldCharType="end"/>
        </w:r>
      </w:hyperlink>
    </w:p>
    <w:p w14:paraId="7E471DBB" w14:textId="53FD7B6D"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42" w:history="1">
        <w:r w:rsidR="008C5446" w:rsidRPr="008C5446">
          <w:rPr>
            <w:rStyle w:val="Hypertextovprepojenie"/>
            <w:rFonts w:ascii="Times New Roman" w:eastAsia="Arial Narrow" w:hAnsi="Times New Roman" w:cs="Times New Roman"/>
            <w:bCs/>
            <w:noProof/>
            <w:sz w:val="20"/>
            <w:szCs w:val="20"/>
            <w:bdr w:val="nil"/>
            <w:lang w:eastAsia="sk-SK"/>
          </w:rPr>
          <w:t>Tabuľka 44 - Príjmy územnej samosprávy z grantov a transferov</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_Toc153013042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56</w:t>
        </w:r>
        <w:r w:rsidR="008C5446" w:rsidRPr="008C5446">
          <w:rPr>
            <w:rFonts w:ascii="Times New Roman" w:hAnsi="Times New Roman" w:cs="Times New Roman"/>
            <w:noProof/>
            <w:webHidden/>
            <w:sz w:val="20"/>
            <w:szCs w:val="20"/>
          </w:rPr>
          <w:fldChar w:fldCharType="end"/>
        </w:r>
      </w:hyperlink>
    </w:p>
    <w:p w14:paraId="094C7A16" w14:textId="70377D7E"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43" w:history="1">
        <w:r w:rsidR="008C5446" w:rsidRPr="008C5446">
          <w:rPr>
            <w:rStyle w:val="Hypertextovprepojenie"/>
            <w:rFonts w:ascii="Times New Roman" w:hAnsi="Times New Roman" w:cs="Times New Roman"/>
            <w:iCs/>
            <w:noProof/>
            <w:sz w:val="20"/>
            <w:szCs w:val="20"/>
          </w:rPr>
          <w:t>Tabuľka 45 - Príjmy samostatných účtov štátnych rozpočtových organizácií</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_Toc153013043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59</w:t>
        </w:r>
        <w:r w:rsidR="008C5446" w:rsidRPr="008C5446">
          <w:rPr>
            <w:rFonts w:ascii="Times New Roman" w:hAnsi="Times New Roman" w:cs="Times New Roman"/>
            <w:noProof/>
            <w:webHidden/>
            <w:sz w:val="20"/>
            <w:szCs w:val="20"/>
          </w:rPr>
          <w:fldChar w:fldCharType="end"/>
        </w:r>
      </w:hyperlink>
    </w:p>
    <w:p w14:paraId="55F447E0" w14:textId="7C116D57"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44" w:history="1">
        <w:r w:rsidR="008C5446" w:rsidRPr="008C5446">
          <w:rPr>
            <w:rStyle w:val="Hypertextovprepojenie"/>
            <w:rFonts w:ascii="Times New Roman" w:eastAsia="Calibri" w:hAnsi="Times New Roman" w:cs="Times New Roman"/>
            <w:noProof/>
            <w:sz w:val="20"/>
            <w:szCs w:val="20"/>
          </w:rPr>
          <w:t xml:space="preserve">Tabuľka 46 - </w:t>
        </w:r>
        <w:r w:rsidR="008C5446" w:rsidRPr="008C5446">
          <w:rPr>
            <w:rStyle w:val="Hypertextovprepojenie"/>
            <w:rFonts w:ascii="Times New Roman" w:eastAsia="Times New Roman" w:hAnsi="Times New Roman" w:cs="Times New Roman"/>
            <w:bCs/>
            <w:noProof/>
            <w:sz w:val="20"/>
            <w:szCs w:val="20"/>
            <w:lang w:eastAsia="sk-SK"/>
          </w:rPr>
          <w:t>Prehľad daňových výdavkov podľa typu dane alebo poistného (ESA 2010, tis. eur)*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_Toc153013044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61</w:t>
        </w:r>
        <w:r w:rsidR="008C5446" w:rsidRPr="008C5446">
          <w:rPr>
            <w:rFonts w:ascii="Times New Roman" w:hAnsi="Times New Roman" w:cs="Times New Roman"/>
            <w:noProof/>
            <w:webHidden/>
            <w:sz w:val="20"/>
            <w:szCs w:val="20"/>
          </w:rPr>
          <w:fldChar w:fldCharType="end"/>
        </w:r>
      </w:hyperlink>
    </w:p>
    <w:p w14:paraId="17764AD2" w14:textId="7A02D0CC"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45" w:history="1">
        <w:r w:rsidR="008C5446" w:rsidRPr="008C5446">
          <w:rPr>
            <w:rStyle w:val="Hypertextovprepojenie"/>
            <w:rFonts w:ascii="Times New Roman" w:eastAsia="Calibri" w:hAnsi="Times New Roman" w:cs="Times New Roman"/>
            <w:noProof/>
            <w:sz w:val="20"/>
            <w:szCs w:val="20"/>
          </w:rPr>
          <w:t xml:space="preserve">Tabuľka 47 - </w:t>
        </w:r>
        <w:r w:rsidR="008C5446" w:rsidRPr="008C5446">
          <w:rPr>
            <w:rStyle w:val="Hypertextovprepojenie"/>
            <w:rFonts w:ascii="Times New Roman" w:eastAsia="Times New Roman" w:hAnsi="Times New Roman" w:cs="Times New Roman"/>
            <w:bCs/>
            <w:noProof/>
            <w:sz w:val="20"/>
            <w:szCs w:val="20"/>
            <w:lang w:eastAsia="sk-SK"/>
          </w:rPr>
          <w:t>Zmena daňových výdavkov oproti RVS 2023 - 2025 podľa typu dane alebo poistného (ESA 2010, tis. eur)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_Toc153013045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62</w:t>
        </w:r>
        <w:r w:rsidR="008C5446" w:rsidRPr="008C5446">
          <w:rPr>
            <w:rFonts w:ascii="Times New Roman" w:hAnsi="Times New Roman" w:cs="Times New Roman"/>
            <w:noProof/>
            <w:webHidden/>
            <w:sz w:val="20"/>
            <w:szCs w:val="20"/>
          </w:rPr>
          <w:fldChar w:fldCharType="end"/>
        </w:r>
      </w:hyperlink>
    </w:p>
    <w:p w14:paraId="30212A17" w14:textId="2C1C072E"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46" w:history="1">
        <w:r w:rsidR="008C5446" w:rsidRPr="008C5446">
          <w:rPr>
            <w:rStyle w:val="Hypertextovprepojenie"/>
            <w:rFonts w:ascii="Times New Roman" w:eastAsia="Calibri" w:hAnsi="Times New Roman" w:cs="Times New Roman"/>
            <w:noProof/>
            <w:sz w:val="20"/>
            <w:szCs w:val="20"/>
          </w:rPr>
          <w:t>Tabuľka 48</w:t>
        </w:r>
        <w:r w:rsidR="008C5446" w:rsidRPr="008C5446">
          <w:rPr>
            <w:rStyle w:val="Hypertextovprepojenie"/>
            <w:rFonts w:ascii="Times New Roman" w:eastAsia="Times New Roman" w:hAnsi="Times New Roman" w:cs="Times New Roman"/>
            <w:bCs/>
            <w:noProof/>
            <w:sz w:val="20"/>
            <w:szCs w:val="20"/>
            <w:lang w:eastAsia="sk-SK"/>
          </w:rPr>
          <w:t xml:space="preserve"> - Prehľad daňových výdavkov podľa ich účelu (ESA 2010, tis. eur)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_Toc153013046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63</w:t>
        </w:r>
        <w:r w:rsidR="008C5446" w:rsidRPr="008C5446">
          <w:rPr>
            <w:rFonts w:ascii="Times New Roman" w:hAnsi="Times New Roman" w:cs="Times New Roman"/>
            <w:noProof/>
            <w:webHidden/>
            <w:sz w:val="20"/>
            <w:szCs w:val="20"/>
          </w:rPr>
          <w:fldChar w:fldCharType="end"/>
        </w:r>
      </w:hyperlink>
    </w:p>
    <w:p w14:paraId="035878FE" w14:textId="2F6D37D7"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47" w:history="1">
        <w:r w:rsidR="008C5446" w:rsidRPr="008C5446">
          <w:rPr>
            <w:rStyle w:val="Hypertextovprepojenie"/>
            <w:rFonts w:ascii="Times New Roman" w:hAnsi="Times New Roman" w:cs="Times New Roman"/>
            <w:noProof/>
            <w:sz w:val="20"/>
            <w:szCs w:val="20"/>
          </w:rPr>
          <w:t>Tabuľka 49 - Zamestnanosť vo verejnej správe</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_Toc153013047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68</w:t>
        </w:r>
        <w:r w:rsidR="008C5446" w:rsidRPr="008C5446">
          <w:rPr>
            <w:rFonts w:ascii="Times New Roman" w:hAnsi="Times New Roman" w:cs="Times New Roman"/>
            <w:noProof/>
            <w:webHidden/>
            <w:sz w:val="20"/>
            <w:szCs w:val="20"/>
          </w:rPr>
          <w:fldChar w:fldCharType="end"/>
        </w:r>
      </w:hyperlink>
    </w:p>
    <w:p w14:paraId="74266A6F" w14:textId="68570E4C"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48" w:history="1">
        <w:r w:rsidR="008C5446" w:rsidRPr="008C5446">
          <w:rPr>
            <w:rStyle w:val="Hypertextovprepojenie"/>
            <w:rFonts w:ascii="Times New Roman" w:hAnsi="Times New Roman" w:cs="Times New Roman"/>
            <w:iCs/>
            <w:noProof/>
            <w:sz w:val="20"/>
            <w:szCs w:val="20"/>
          </w:rPr>
          <w:t>Tabuľka 50 - Ukazovatele zamestnanosti v subjektoch verejnej správy</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_Toc153013048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70</w:t>
        </w:r>
        <w:r w:rsidR="008C5446" w:rsidRPr="008C5446">
          <w:rPr>
            <w:rFonts w:ascii="Times New Roman" w:hAnsi="Times New Roman" w:cs="Times New Roman"/>
            <w:noProof/>
            <w:webHidden/>
            <w:sz w:val="20"/>
            <w:szCs w:val="20"/>
          </w:rPr>
          <w:fldChar w:fldCharType="end"/>
        </w:r>
      </w:hyperlink>
    </w:p>
    <w:p w14:paraId="00CE0D14" w14:textId="54C6CF62"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49" w:history="1">
        <w:r w:rsidR="008C5446" w:rsidRPr="008C5446">
          <w:rPr>
            <w:rStyle w:val="Hypertextovprepojenie"/>
            <w:rFonts w:ascii="Times New Roman" w:hAnsi="Times New Roman" w:cs="Times New Roman"/>
            <w:noProof/>
            <w:sz w:val="20"/>
            <w:szCs w:val="20"/>
          </w:rPr>
          <w:t>Tabuľka</w:t>
        </w:r>
        <w:r w:rsidR="008C5446" w:rsidRPr="008C5446">
          <w:rPr>
            <w:rStyle w:val="Hypertextovprepojenie"/>
            <w:rFonts w:ascii="Times New Roman" w:eastAsia="Calibri" w:hAnsi="Times New Roman" w:cs="Times New Roman"/>
            <w:noProof/>
            <w:sz w:val="20"/>
            <w:szCs w:val="20"/>
          </w:rPr>
          <w:t xml:space="preserve"> 51</w:t>
        </w:r>
        <w:r w:rsidR="008C5446" w:rsidRPr="008C5446">
          <w:rPr>
            <w:rStyle w:val="Hypertextovprepojenie"/>
            <w:rFonts w:ascii="Times New Roman" w:hAnsi="Times New Roman" w:cs="Times New Roman"/>
            <w:noProof/>
            <w:sz w:val="20"/>
            <w:szCs w:val="20"/>
          </w:rPr>
          <w:t xml:space="preserve"> - Zamestnanosť v regionálnom školstve</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_Toc153013049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73</w:t>
        </w:r>
        <w:r w:rsidR="008C5446" w:rsidRPr="008C5446">
          <w:rPr>
            <w:rFonts w:ascii="Times New Roman" w:hAnsi="Times New Roman" w:cs="Times New Roman"/>
            <w:noProof/>
            <w:webHidden/>
            <w:sz w:val="20"/>
            <w:szCs w:val="20"/>
          </w:rPr>
          <w:fldChar w:fldCharType="end"/>
        </w:r>
      </w:hyperlink>
    </w:p>
    <w:p w14:paraId="7BD86957" w14:textId="51132788"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50" w:history="1">
        <w:r w:rsidR="008C5446" w:rsidRPr="008C5446">
          <w:rPr>
            <w:rStyle w:val="Hypertextovprepojenie"/>
            <w:rFonts w:ascii="Times New Roman" w:hAnsi="Times New Roman" w:cs="Times New Roman"/>
            <w:noProof/>
            <w:sz w:val="20"/>
            <w:szCs w:val="20"/>
          </w:rPr>
          <w:t>Tabuľka</w:t>
        </w:r>
        <w:r w:rsidR="008C5446" w:rsidRPr="008C5446">
          <w:rPr>
            <w:rStyle w:val="Hypertextovprepojenie"/>
            <w:rFonts w:ascii="Times New Roman" w:eastAsia="Calibri" w:hAnsi="Times New Roman" w:cs="Times New Roman"/>
            <w:noProof/>
            <w:sz w:val="20"/>
            <w:szCs w:val="20"/>
          </w:rPr>
          <w:t xml:space="preserve"> 52</w:t>
        </w:r>
        <w:r w:rsidR="008C5446" w:rsidRPr="008C5446">
          <w:rPr>
            <w:rStyle w:val="Hypertextovprepojenie"/>
            <w:rFonts w:ascii="Times New Roman" w:hAnsi="Times New Roman" w:cs="Times New Roman"/>
            <w:noProof/>
            <w:sz w:val="20"/>
            <w:szCs w:val="20"/>
          </w:rPr>
          <w:t xml:space="preserve"> - Zamestnanosť vo verejných vysokých školách</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_Toc153013050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73</w:t>
        </w:r>
        <w:r w:rsidR="008C5446" w:rsidRPr="008C5446">
          <w:rPr>
            <w:rFonts w:ascii="Times New Roman" w:hAnsi="Times New Roman" w:cs="Times New Roman"/>
            <w:noProof/>
            <w:webHidden/>
            <w:sz w:val="20"/>
            <w:szCs w:val="20"/>
          </w:rPr>
          <w:fldChar w:fldCharType="end"/>
        </w:r>
      </w:hyperlink>
    </w:p>
    <w:p w14:paraId="384E2DD6" w14:textId="049BFEE8"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51" w:history="1">
        <w:r w:rsidR="008C5446" w:rsidRPr="008C5446">
          <w:rPr>
            <w:rStyle w:val="Hypertextovprepojenie"/>
            <w:rFonts w:ascii="Times New Roman" w:eastAsia="Calibri" w:hAnsi="Times New Roman" w:cs="Times New Roman"/>
            <w:iCs/>
            <w:noProof/>
            <w:sz w:val="20"/>
            <w:szCs w:val="20"/>
            <w:lang w:eastAsia="cs-CZ"/>
          </w:rPr>
          <w:t xml:space="preserve">Tabuľka </w:t>
        </w:r>
        <w:r w:rsidR="008C5446" w:rsidRPr="008C5446">
          <w:rPr>
            <w:rStyle w:val="Hypertextovprepojenie"/>
            <w:rFonts w:ascii="Times New Roman" w:hAnsi="Times New Roman" w:cs="Times New Roman"/>
            <w:noProof/>
            <w:sz w:val="20"/>
            <w:szCs w:val="20"/>
          </w:rPr>
          <w:t>53</w:t>
        </w:r>
        <w:r w:rsidR="008C5446" w:rsidRPr="008C5446">
          <w:rPr>
            <w:rStyle w:val="Hypertextovprepojenie"/>
            <w:rFonts w:ascii="Times New Roman" w:eastAsia="Calibri" w:hAnsi="Times New Roman" w:cs="Times New Roman"/>
            <w:iCs/>
            <w:noProof/>
            <w:sz w:val="20"/>
            <w:szCs w:val="20"/>
            <w:lang w:eastAsia="cs-CZ"/>
          </w:rPr>
          <w:t xml:space="preserve"> - Rozpočtové rezervy</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_Toc153013051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90</w:t>
        </w:r>
        <w:r w:rsidR="008C5446" w:rsidRPr="008C5446">
          <w:rPr>
            <w:rFonts w:ascii="Times New Roman" w:hAnsi="Times New Roman" w:cs="Times New Roman"/>
            <w:noProof/>
            <w:webHidden/>
            <w:sz w:val="20"/>
            <w:szCs w:val="20"/>
          </w:rPr>
          <w:fldChar w:fldCharType="end"/>
        </w:r>
      </w:hyperlink>
    </w:p>
    <w:p w14:paraId="2A413A18" w14:textId="059BED09"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52" w:history="1">
        <w:r w:rsidR="008C5446" w:rsidRPr="008C5446">
          <w:rPr>
            <w:rStyle w:val="Hypertextovprepojenie"/>
            <w:rFonts w:ascii="Times New Roman" w:eastAsia="Calibri" w:hAnsi="Times New Roman" w:cs="Times New Roman"/>
            <w:iCs/>
            <w:noProof/>
            <w:sz w:val="20"/>
            <w:szCs w:val="20"/>
            <w:lang w:eastAsia="cs-CZ"/>
          </w:rPr>
          <w:t xml:space="preserve">Tabuľka </w:t>
        </w:r>
        <w:r w:rsidR="008C5446" w:rsidRPr="008C5446">
          <w:rPr>
            <w:rStyle w:val="Hypertextovprepojenie"/>
            <w:rFonts w:ascii="Times New Roman" w:hAnsi="Times New Roman" w:cs="Times New Roman"/>
            <w:noProof/>
            <w:sz w:val="20"/>
            <w:szCs w:val="20"/>
          </w:rPr>
          <w:t>54</w:t>
        </w:r>
        <w:r w:rsidR="008C5446" w:rsidRPr="008C5446">
          <w:rPr>
            <w:rStyle w:val="Hypertextovprepojenie"/>
            <w:rFonts w:ascii="Times New Roman" w:eastAsia="Calibri" w:hAnsi="Times New Roman" w:cs="Times New Roman"/>
            <w:iCs/>
            <w:noProof/>
            <w:sz w:val="20"/>
            <w:szCs w:val="20"/>
            <w:lang w:eastAsia="cs-CZ"/>
          </w:rPr>
          <w:t xml:space="preserve"> - Transfer Sociálnej poisťovni</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_Toc153013052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92</w:t>
        </w:r>
        <w:r w:rsidR="008C5446" w:rsidRPr="008C5446">
          <w:rPr>
            <w:rFonts w:ascii="Times New Roman" w:hAnsi="Times New Roman" w:cs="Times New Roman"/>
            <w:noProof/>
            <w:webHidden/>
            <w:sz w:val="20"/>
            <w:szCs w:val="20"/>
          </w:rPr>
          <w:fldChar w:fldCharType="end"/>
        </w:r>
      </w:hyperlink>
    </w:p>
    <w:p w14:paraId="235E6BE9" w14:textId="09172171"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53"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55 </w:t>
        </w:r>
        <w:r w:rsidR="008C5446" w:rsidRPr="008C5446">
          <w:rPr>
            <w:rStyle w:val="Hypertextovprepojenie"/>
            <w:rFonts w:ascii="Times New Roman" w:eastAsia="Times New Roman" w:hAnsi="Times New Roman" w:cs="Times New Roman"/>
            <w:iCs/>
            <w:noProof/>
            <w:sz w:val="20"/>
            <w:szCs w:val="20"/>
            <w:lang w:eastAsia="sk-SK"/>
          </w:rPr>
          <w:t>- Príjmy kapitoly KNR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_Toc153013053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93</w:t>
        </w:r>
        <w:r w:rsidR="008C5446" w:rsidRPr="008C5446">
          <w:rPr>
            <w:rFonts w:ascii="Times New Roman" w:hAnsi="Times New Roman" w:cs="Times New Roman"/>
            <w:noProof/>
            <w:webHidden/>
            <w:sz w:val="20"/>
            <w:szCs w:val="20"/>
          </w:rPr>
          <w:fldChar w:fldCharType="end"/>
        </w:r>
      </w:hyperlink>
    </w:p>
    <w:p w14:paraId="785E7E2B" w14:textId="1F755CE2"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54"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56 - </w:t>
        </w:r>
        <w:r w:rsidR="008C5446" w:rsidRPr="008C5446">
          <w:rPr>
            <w:rStyle w:val="Hypertextovprepojenie"/>
            <w:rFonts w:ascii="Times New Roman" w:eastAsia="Times New Roman" w:hAnsi="Times New Roman" w:cs="Times New Roman"/>
            <w:iCs/>
            <w:noProof/>
            <w:sz w:val="20"/>
            <w:szCs w:val="20"/>
            <w:lang w:eastAsia="sk-SK"/>
          </w:rPr>
          <w:t>Výdavky kapitoly KNR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_Toc153013054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93</w:t>
        </w:r>
        <w:r w:rsidR="008C5446" w:rsidRPr="008C5446">
          <w:rPr>
            <w:rFonts w:ascii="Times New Roman" w:hAnsi="Times New Roman" w:cs="Times New Roman"/>
            <w:noProof/>
            <w:webHidden/>
            <w:sz w:val="20"/>
            <w:szCs w:val="20"/>
          </w:rPr>
          <w:fldChar w:fldCharType="end"/>
        </w:r>
      </w:hyperlink>
    </w:p>
    <w:p w14:paraId="5C1B1E1F" w14:textId="333DB11C"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55"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57 - </w:t>
        </w:r>
        <w:r w:rsidR="008C5446" w:rsidRPr="008C5446">
          <w:rPr>
            <w:rStyle w:val="Hypertextovprepojenie"/>
            <w:rFonts w:ascii="Times New Roman" w:eastAsia="Times New Roman" w:hAnsi="Times New Roman" w:cs="Times New Roman"/>
            <w:iCs/>
            <w:noProof/>
            <w:sz w:val="20"/>
            <w:szCs w:val="20"/>
            <w:lang w:eastAsia="sk-SK"/>
          </w:rPr>
          <w:t>Príjmy kapitoly KP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_Toc153013055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94</w:t>
        </w:r>
        <w:r w:rsidR="008C5446" w:rsidRPr="008C5446">
          <w:rPr>
            <w:rFonts w:ascii="Times New Roman" w:hAnsi="Times New Roman" w:cs="Times New Roman"/>
            <w:noProof/>
            <w:webHidden/>
            <w:sz w:val="20"/>
            <w:szCs w:val="20"/>
          </w:rPr>
          <w:fldChar w:fldCharType="end"/>
        </w:r>
      </w:hyperlink>
    </w:p>
    <w:p w14:paraId="175F77B0" w14:textId="0DD41CC7"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56"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58 - </w:t>
        </w:r>
        <w:r w:rsidR="008C5446" w:rsidRPr="008C5446">
          <w:rPr>
            <w:rStyle w:val="Hypertextovprepojenie"/>
            <w:rFonts w:ascii="Times New Roman" w:eastAsia="Times New Roman" w:hAnsi="Times New Roman" w:cs="Times New Roman"/>
            <w:iCs/>
            <w:noProof/>
            <w:sz w:val="20"/>
            <w:szCs w:val="20"/>
            <w:lang w:eastAsia="sk-SK"/>
          </w:rPr>
          <w:t>Výdavky kapitoly KP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_Toc153013056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94</w:t>
        </w:r>
        <w:r w:rsidR="008C5446" w:rsidRPr="008C5446">
          <w:rPr>
            <w:rFonts w:ascii="Times New Roman" w:hAnsi="Times New Roman" w:cs="Times New Roman"/>
            <w:noProof/>
            <w:webHidden/>
            <w:sz w:val="20"/>
            <w:szCs w:val="20"/>
          </w:rPr>
          <w:fldChar w:fldCharType="end"/>
        </w:r>
      </w:hyperlink>
    </w:p>
    <w:p w14:paraId="447F480B" w14:textId="7046883C"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57"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59 - </w:t>
        </w:r>
        <w:r w:rsidR="008C5446" w:rsidRPr="008C5446">
          <w:rPr>
            <w:rStyle w:val="Hypertextovprepojenie"/>
            <w:rFonts w:ascii="Times New Roman" w:eastAsia="Times New Roman" w:hAnsi="Times New Roman" w:cs="Times New Roman"/>
            <w:iCs/>
            <w:noProof/>
            <w:sz w:val="20"/>
            <w:szCs w:val="20"/>
            <w:lang w:eastAsia="sk-SK"/>
          </w:rPr>
          <w:t>Príjmy kapitoly ÚV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_Toc153013057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95</w:t>
        </w:r>
        <w:r w:rsidR="008C5446" w:rsidRPr="008C5446">
          <w:rPr>
            <w:rFonts w:ascii="Times New Roman" w:hAnsi="Times New Roman" w:cs="Times New Roman"/>
            <w:noProof/>
            <w:webHidden/>
            <w:sz w:val="20"/>
            <w:szCs w:val="20"/>
          </w:rPr>
          <w:fldChar w:fldCharType="end"/>
        </w:r>
      </w:hyperlink>
    </w:p>
    <w:p w14:paraId="61FBB52C" w14:textId="501E5743"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58"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60 - </w:t>
        </w:r>
        <w:r w:rsidR="008C5446" w:rsidRPr="008C5446">
          <w:rPr>
            <w:rStyle w:val="Hypertextovprepojenie"/>
            <w:rFonts w:ascii="Times New Roman" w:eastAsia="Times New Roman" w:hAnsi="Times New Roman" w:cs="Times New Roman"/>
            <w:iCs/>
            <w:noProof/>
            <w:sz w:val="20"/>
            <w:szCs w:val="20"/>
            <w:lang w:eastAsia="sk-SK"/>
          </w:rPr>
          <w:t>Výdavky kapitoly ÚV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_Toc153013058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95</w:t>
        </w:r>
        <w:r w:rsidR="008C5446" w:rsidRPr="008C5446">
          <w:rPr>
            <w:rFonts w:ascii="Times New Roman" w:hAnsi="Times New Roman" w:cs="Times New Roman"/>
            <w:noProof/>
            <w:webHidden/>
            <w:sz w:val="20"/>
            <w:szCs w:val="20"/>
          </w:rPr>
          <w:fldChar w:fldCharType="end"/>
        </w:r>
      </w:hyperlink>
    </w:p>
    <w:p w14:paraId="10623766" w14:textId="4AB08EE4"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59" w:history="1">
        <w:r w:rsidR="008C5446" w:rsidRPr="008C5446">
          <w:rPr>
            <w:rStyle w:val="Hypertextovprepojenie"/>
            <w:rFonts w:ascii="Times New Roman" w:hAnsi="Times New Roman" w:cs="Times New Roman"/>
            <w:noProof/>
            <w:sz w:val="20"/>
            <w:szCs w:val="20"/>
          </w:rPr>
          <w:t xml:space="preserve">Tabuľka 61 - </w:t>
        </w:r>
        <w:r w:rsidR="008C5446" w:rsidRPr="008C5446">
          <w:rPr>
            <w:rStyle w:val="Hypertextovprepojenie"/>
            <w:rFonts w:ascii="Times New Roman" w:eastAsia="Times New Roman" w:hAnsi="Times New Roman" w:cs="Times New Roman"/>
            <w:iCs/>
            <w:noProof/>
            <w:sz w:val="20"/>
            <w:szCs w:val="20"/>
            <w:lang w:eastAsia="sk-SK"/>
          </w:rPr>
          <w:t>Príjmy kapitoly MIRRI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_Toc153013059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96</w:t>
        </w:r>
        <w:r w:rsidR="008C5446" w:rsidRPr="008C5446">
          <w:rPr>
            <w:rFonts w:ascii="Times New Roman" w:hAnsi="Times New Roman" w:cs="Times New Roman"/>
            <w:noProof/>
            <w:webHidden/>
            <w:sz w:val="20"/>
            <w:szCs w:val="20"/>
          </w:rPr>
          <w:fldChar w:fldCharType="end"/>
        </w:r>
      </w:hyperlink>
    </w:p>
    <w:p w14:paraId="22F3F270" w14:textId="53E6A3B4"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60"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62 - </w:t>
        </w:r>
        <w:r w:rsidR="008C5446" w:rsidRPr="008C5446">
          <w:rPr>
            <w:rStyle w:val="Hypertextovprepojenie"/>
            <w:rFonts w:ascii="Times New Roman" w:eastAsia="Times New Roman" w:hAnsi="Times New Roman" w:cs="Times New Roman"/>
            <w:iCs/>
            <w:noProof/>
            <w:sz w:val="20"/>
            <w:szCs w:val="20"/>
            <w:lang w:eastAsia="sk-SK"/>
          </w:rPr>
          <w:t>Výdavky kapitoly MIRRI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_Toc153013060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96</w:t>
        </w:r>
        <w:r w:rsidR="008C5446" w:rsidRPr="008C5446">
          <w:rPr>
            <w:rFonts w:ascii="Times New Roman" w:hAnsi="Times New Roman" w:cs="Times New Roman"/>
            <w:noProof/>
            <w:webHidden/>
            <w:sz w:val="20"/>
            <w:szCs w:val="20"/>
          </w:rPr>
          <w:fldChar w:fldCharType="end"/>
        </w:r>
      </w:hyperlink>
    </w:p>
    <w:p w14:paraId="03A876E0" w14:textId="15E7F46A"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61"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63 - </w:t>
        </w:r>
        <w:r w:rsidR="008C5446" w:rsidRPr="008C5446">
          <w:rPr>
            <w:rStyle w:val="Hypertextovprepojenie"/>
            <w:rFonts w:ascii="Times New Roman" w:eastAsia="Times New Roman" w:hAnsi="Times New Roman" w:cs="Times New Roman"/>
            <w:iCs/>
            <w:noProof/>
            <w:sz w:val="20"/>
            <w:szCs w:val="20"/>
            <w:lang w:eastAsia="sk-SK"/>
          </w:rPr>
          <w:t>Príjmy kapitoly KÚS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_Toc153013061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97</w:t>
        </w:r>
        <w:r w:rsidR="008C5446" w:rsidRPr="008C5446">
          <w:rPr>
            <w:rFonts w:ascii="Times New Roman" w:hAnsi="Times New Roman" w:cs="Times New Roman"/>
            <w:noProof/>
            <w:webHidden/>
            <w:sz w:val="20"/>
            <w:szCs w:val="20"/>
          </w:rPr>
          <w:fldChar w:fldCharType="end"/>
        </w:r>
      </w:hyperlink>
    </w:p>
    <w:p w14:paraId="70E52E16" w14:textId="75D883B7"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62"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64 - </w:t>
        </w:r>
        <w:r w:rsidR="008C5446" w:rsidRPr="008C5446">
          <w:rPr>
            <w:rStyle w:val="Hypertextovprepojenie"/>
            <w:rFonts w:ascii="Times New Roman" w:eastAsia="Times New Roman" w:hAnsi="Times New Roman" w:cs="Times New Roman"/>
            <w:iCs/>
            <w:noProof/>
            <w:sz w:val="20"/>
            <w:szCs w:val="20"/>
            <w:lang w:eastAsia="sk-SK"/>
          </w:rPr>
          <w:t>Výdavky kapitoly KÚS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_Toc153013062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97</w:t>
        </w:r>
        <w:r w:rsidR="008C5446" w:rsidRPr="008C5446">
          <w:rPr>
            <w:rFonts w:ascii="Times New Roman" w:hAnsi="Times New Roman" w:cs="Times New Roman"/>
            <w:noProof/>
            <w:webHidden/>
            <w:sz w:val="20"/>
            <w:szCs w:val="20"/>
          </w:rPr>
          <w:fldChar w:fldCharType="end"/>
        </w:r>
      </w:hyperlink>
    </w:p>
    <w:p w14:paraId="23260378" w14:textId="42601ACD"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63"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65 - </w:t>
        </w:r>
        <w:r w:rsidR="008C5446" w:rsidRPr="008C5446">
          <w:rPr>
            <w:rStyle w:val="Hypertextovprepojenie"/>
            <w:rFonts w:ascii="Times New Roman" w:eastAsia="Times New Roman" w:hAnsi="Times New Roman" w:cs="Times New Roman"/>
            <w:iCs/>
            <w:noProof/>
            <w:sz w:val="20"/>
            <w:szCs w:val="20"/>
            <w:lang w:eastAsia="sk-SK"/>
          </w:rPr>
          <w:t>Príjmy kapitoly KNS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_Toc153013063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98</w:t>
        </w:r>
        <w:r w:rsidR="008C5446" w:rsidRPr="008C5446">
          <w:rPr>
            <w:rFonts w:ascii="Times New Roman" w:hAnsi="Times New Roman" w:cs="Times New Roman"/>
            <w:noProof/>
            <w:webHidden/>
            <w:sz w:val="20"/>
            <w:szCs w:val="20"/>
          </w:rPr>
          <w:fldChar w:fldCharType="end"/>
        </w:r>
      </w:hyperlink>
    </w:p>
    <w:p w14:paraId="045FE7A4" w14:textId="0B6214A8"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64"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66 - </w:t>
        </w:r>
        <w:r w:rsidR="008C5446" w:rsidRPr="008C5446">
          <w:rPr>
            <w:rStyle w:val="Hypertextovprepojenie"/>
            <w:rFonts w:ascii="Times New Roman" w:eastAsia="Times New Roman" w:hAnsi="Times New Roman" w:cs="Times New Roman"/>
            <w:iCs/>
            <w:noProof/>
            <w:sz w:val="20"/>
            <w:szCs w:val="20"/>
            <w:lang w:eastAsia="sk-SK"/>
          </w:rPr>
          <w:t>Výdavky kapitoly KNS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_Toc153013064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98</w:t>
        </w:r>
        <w:r w:rsidR="008C5446" w:rsidRPr="008C5446">
          <w:rPr>
            <w:rFonts w:ascii="Times New Roman" w:hAnsi="Times New Roman" w:cs="Times New Roman"/>
            <w:noProof/>
            <w:webHidden/>
            <w:sz w:val="20"/>
            <w:szCs w:val="20"/>
          </w:rPr>
          <w:fldChar w:fldCharType="end"/>
        </w:r>
      </w:hyperlink>
    </w:p>
    <w:p w14:paraId="6E463845" w14:textId="284644BE"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65"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67 - </w:t>
        </w:r>
        <w:r w:rsidR="008C5446" w:rsidRPr="008C5446">
          <w:rPr>
            <w:rStyle w:val="Hypertextovprepojenie"/>
            <w:rFonts w:ascii="Times New Roman" w:eastAsia="Times New Roman" w:hAnsi="Times New Roman" w:cs="Times New Roman"/>
            <w:iCs/>
            <w:noProof/>
            <w:sz w:val="20"/>
            <w:szCs w:val="20"/>
            <w:lang w:eastAsia="sk-SK"/>
          </w:rPr>
          <w:t>Príjmy kapitoly GP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_Toc153013065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98</w:t>
        </w:r>
        <w:r w:rsidR="008C5446" w:rsidRPr="008C5446">
          <w:rPr>
            <w:rFonts w:ascii="Times New Roman" w:hAnsi="Times New Roman" w:cs="Times New Roman"/>
            <w:noProof/>
            <w:webHidden/>
            <w:sz w:val="20"/>
            <w:szCs w:val="20"/>
          </w:rPr>
          <w:fldChar w:fldCharType="end"/>
        </w:r>
      </w:hyperlink>
    </w:p>
    <w:p w14:paraId="16E9AA07" w14:textId="1E505F51"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66"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68 - </w:t>
        </w:r>
        <w:r w:rsidR="008C5446" w:rsidRPr="008C5446">
          <w:rPr>
            <w:rStyle w:val="Hypertextovprepojenie"/>
            <w:rFonts w:ascii="Times New Roman" w:eastAsia="Times New Roman" w:hAnsi="Times New Roman" w:cs="Times New Roman"/>
            <w:iCs/>
            <w:noProof/>
            <w:sz w:val="20"/>
            <w:szCs w:val="20"/>
            <w:lang w:eastAsia="sk-SK"/>
          </w:rPr>
          <w:t>Výdavky kapitoly GP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_Toc153013066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98</w:t>
        </w:r>
        <w:r w:rsidR="008C5446" w:rsidRPr="008C5446">
          <w:rPr>
            <w:rFonts w:ascii="Times New Roman" w:hAnsi="Times New Roman" w:cs="Times New Roman"/>
            <w:noProof/>
            <w:webHidden/>
            <w:sz w:val="20"/>
            <w:szCs w:val="20"/>
          </w:rPr>
          <w:fldChar w:fldCharType="end"/>
        </w:r>
      </w:hyperlink>
    </w:p>
    <w:p w14:paraId="1D2C84DE" w14:textId="5D04D6E5"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67"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69 - </w:t>
        </w:r>
        <w:r w:rsidR="008C5446" w:rsidRPr="008C5446">
          <w:rPr>
            <w:rStyle w:val="Hypertextovprepojenie"/>
            <w:rFonts w:ascii="Times New Roman" w:eastAsia="Times New Roman" w:hAnsi="Times New Roman" w:cs="Times New Roman"/>
            <w:iCs/>
            <w:noProof/>
            <w:sz w:val="20"/>
            <w:szCs w:val="20"/>
            <w:lang w:eastAsia="sk-SK"/>
          </w:rPr>
          <w:t>Príjmy kapitoly NKÚ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_Toc153013067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99</w:t>
        </w:r>
        <w:r w:rsidR="008C5446" w:rsidRPr="008C5446">
          <w:rPr>
            <w:rFonts w:ascii="Times New Roman" w:hAnsi="Times New Roman" w:cs="Times New Roman"/>
            <w:noProof/>
            <w:webHidden/>
            <w:sz w:val="20"/>
            <w:szCs w:val="20"/>
          </w:rPr>
          <w:fldChar w:fldCharType="end"/>
        </w:r>
      </w:hyperlink>
    </w:p>
    <w:p w14:paraId="4FF20693" w14:textId="490D8A53"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68"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70 - </w:t>
        </w:r>
        <w:r w:rsidR="008C5446" w:rsidRPr="008C5446">
          <w:rPr>
            <w:rStyle w:val="Hypertextovprepojenie"/>
            <w:rFonts w:ascii="Times New Roman" w:eastAsia="Times New Roman" w:hAnsi="Times New Roman" w:cs="Times New Roman"/>
            <w:iCs/>
            <w:noProof/>
            <w:sz w:val="20"/>
            <w:szCs w:val="20"/>
            <w:lang w:eastAsia="sk-SK"/>
          </w:rPr>
          <w:t>Výdavky kapitoly NKÚ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_Toc153013068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99</w:t>
        </w:r>
        <w:r w:rsidR="008C5446" w:rsidRPr="008C5446">
          <w:rPr>
            <w:rFonts w:ascii="Times New Roman" w:hAnsi="Times New Roman" w:cs="Times New Roman"/>
            <w:noProof/>
            <w:webHidden/>
            <w:sz w:val="20"/>
            <w:szCs w:val="20"/>
          </w:rPr>
          <w:fldChar w:fldCharType="end"/>
        </w:r>
      </w:hyperlink>
    </w:p>
    <w:p w14:paraId="12F30BA6" w14:textId="7E9FFF09"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69"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71 - </w:t>
        </w:r>
        <w:r w:rsidR="008C5446" w:rsidRPr="008C5446">
          <w:rPr>
            <w:rStyle w:val="Hypertextovprepojenie"/>
            <w:rFonts w:ascii="Times New Roman" w:eastAsia="Times New Roman" w:hAnsi="Times New Roman" w:cs="Times New Roman"/>
            <w:iCs/>
            <w:noProof/>
            <w:sz w:val="20"/>
            <w:szCs w:val="20"/>
            <w:lang w:eastAsia="sk-SK"/>
          </w:rPr>
          <w:t>Príjmy kapitoly SIS</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_Toc153013069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99</w:t>
        </w:r>
        <w:r w:rsidR="008C5446" w:rsidRPr="008C5446">
          <w:rPr>
            <w:rFonts w:ascii="Times New Roman" w:hAnsi="Times New Roman" w:cs="Times New Roman"/>
            <w:noProof/>
            <w:webHidden/>
            <w:sz w:val="20"/>
            <w:szCs w:val="20"/>
          </w:rPr>
          <w:fldChar w:fldCharType="end"/>
        </w:r>
      </w:hyperlink>
    </w:p>
    <w:p w14:paraId="11129568" w14:textId="2AC98860"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70"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72 - </w:t>
        </w:r>
        <w:r w:rsidR="008C5446" w:rsidRPr="008C5446">
          <w:rPr>
            <w:rStyle w:val="Hypertextovprepojenie"/>
            <w:rFonts w:ascii="Times New Roman" w:eastAsia="Times New Roman" w:hAnsi="Times New Roman" w:cs="Times New Roman"/>
            <w:iCs/>
            <w:noProof/>
            <w:sz w:val="20"/>
            <w:szCs w:val="20"/>
            <w:lang w:eastAsia="sk-SK"/>
          </w:rPr>
          <w:t>Výdavky kapitoly SIS</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_Toc153013070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99</w:t>
        </w:r>
        <w:r w:rsidR="008C5446" w:rsidRPr="008C5446">
          <w:rPr>
            <w:rFonts w:ascii="Times New Roman" w:hAnsi="Times New Roman" w:cs="Times New Roman"/>
            <w:noProof/>
            <w:webHidden/>
            <w:sz w:val="20"/>
            <w:szCs w:val="20"/>
          </w:rPr>
          <w:fldChar w:fldCharType="end"/>
        </w:r>
      </w:hyperlink>
    </w:p>
    <w:p w14:paraId="10FA6FCE" w14:textId="2B02D8A7"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71"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73 - </w:t>
        </w:r>
        <w:r w:rsidR="008C5446" w:rsidRPr="008C5446">
          <w:rPr>
            <w:rStyle w:val="Hypertextovprepojenie"/>
            <w:rFonts w:ascii="Times New Roman" w:eastAsia="Times New Roman" w:hAnsi="Times New Roman" w:cs="Times New Roman"/>
            <w:iCs/>
            <w:noProof/>
            <w:sz w:val="20"/>
            <w:szCs w:val="20"/>
            <w:lang w:eastAsia="sk-SK"/>
          </w:rPr>
          <w:t>Príjmy kapitoly MZVEZ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_Toc153013071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100</w:t>
        </w:r>
        <w:r w:rsidR="008C5446" w:rsidRPr="008C5446">
          <w:rPr>
            <w:rFonts w:ascii="Times New Roman" w:hAnsi="Times New Roman" w:cs="Times New Roman"/>
            <w:noProof/>
            <w:webHidden/>
            <w:sz w:val="20"/>
            <w:szCs w:val="20"/>
          </w:rPr>
          <w:fldChar w:fldCharType="end"/>
        </w:r>
      </w:hyperlink>
    </w:p>
    <w:p w14:paraId="729FEE13" w14:textId="71BB395B"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72"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74 - </w:t>
        </w:r>
        <w:r w:rsidR="008C5446" w:rsidRPr="008C5446">
          <w:rPr>
            <w:rStyle w:val="Hypertextovprepojenie"/>
            <w:rFonts w:ascii="Times New Roman" w:eastAsia="Times New Roman" w:hAnsi="Times New Roman" w:cs="Times New Roman"/>
            <w:iCs/>
            <w:noProof/>
            <w:sz w:val="20"/>
            <w:szCs w:val="20"/>
            <w:lang w:eastAsia="sk-SK"/>
          </w:rPr>
          <w:t>Výdavky kapitoly MZVEZ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_Toc153013072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100</w:t>
        </w:r>
        <w:r w:rsidR="008C5446" w:rsidRPr="008C5446">
          <w:rPr>
            <w:rFonts w:ascii="Times New Roman" w:hAnsi="Times New Roman" w:cs="Times New Roman"/>
            <w:noProof/>
            <w:webHidden/>
            <w:sz w:val="20"/>
            <w:szCs w:val="20"/>
          </w:rPr>
          <w:fldChar w:fldCharType="end"/>
        </w:r>
      </w:hyperlink>
    </w:p>
    <w:p w14:paraId="7C7D509A" w14:textId="2B8EA968"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73" w:history="1">
        <w:r w:rsidR="008C5446" w:rsidRPr="008C5446">
          <w:rPr>
            <w:rStyle w:val="Hypertextovprepojenie"/>
            <w:rFonts w:ascii="Times New Roman" w:hAnsi="Times New Roman" w:cs="Times New Roman"/>
            <w:noProof/>
            <w:sz w:val="20"/>
            <w:szCs w:val="20"/>
          </w:rPr>
          <w:t xml:space="preserve">Tabuľka 75 - </w:t>
        </w:r>
        <w:r w:rsidR="008C5446" w:rsidRPr="008C5446">
          <w:rPr>
            <w:rStyle w:val="Hypertextovprepojenie"/>
            <w:rFonts w:ascii="Times New Roman" w:eastAsia="Times New Roman" w:hAnsi="Times New Roman" w:cs="Times New Roman"/>
            <w:iCs/>
            <w:noProof/>
            <w:sz w:val="20"/>
            <w:szCs w:val="20"/>
            <w:lang w:eastAsia="sk-SK"/>
          </w:rPr>
          <w:t>Príjmy kapitoly MO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_Toc153013073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101</w:t>
        </w:r>
        <w:r w:rsidR="008C5446" w:rsidRPr="008C5446">
          <w:rPr>
            <w:rFonts w:ascii="Times New Roman" w:hAnsi="Times New Roman" w:cs="Times New Roman"/>
            <w:noProof/>
            <w:webHidden/>
            <w:sz w:val="20"/>
            <w:szCs w:val="20"/>
          </w:rPr>
          <w:fldChar w:fldCharType="end"/>
        </w:r>
      </w:hyperlink>
    </w:p>
    <w:p w14:paraId="6E8A0DF7" w14:textId="1AE9C4C8"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74"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76 - </w:t>
        </w:r>
        <w:r w:rsidR="008C5446" w:rsidRPr="008C5446">
          <w:rPr>
            <w:rStyle w:val="Hypertextovprepojenie"/>
            <w:rFonts w:ascii="Times New Roman" w:eastAsia="Times New Roman" w:hAnsi="Times New Roman" w:cs="Times New Roman"/>
            <w:iCs/>
            <w:noProof/>
            <w:sz w:val="20"/>
            <w:szCs w:val="20"/>
            <w:lang w:eastAsia="sk-SK"/>
          </w:rPr>
          <w:t>Výdavky kapitoly MO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_Toc153013074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101</w:t>
        </w:r>
        <w:r w:rsidR="008C5446" w:rsidRPr="008C5446">
          <w:rPr>
            <w:rFonts w:ascii="Times New Roman" w:hAnsi="Times New Roman" w:cs="Times New Roman"/>
            <w:noProof/>
            <w:webHidden/>
            <w:sz w:val="20"/>
            <w:szCs w:val="20"/>
          </w:rPr>
          <w:fldChar w:fldCharType="end"/>
        </w:r>
      </w:hyperlink>
    </w:p>
    <w:p w14:paraId="4146BDD5" w14:textId="3B59F8D6"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75"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77 - </w:t>
        </w:r>
        <w:r w:rsidR="008C5446" w:rsidRPr="008C5446">
          <w:rPr>
            <w:rStyle w:val="Hypertextovprepojenie"/>
            <w:rFonts w:ascii="Times New Roman" w:eastAsia="Times New Roman" w:hAnsi="Times New Roman" w:cs="Times New Roman"/>
            <w:iCs/>
            <w:noProof/>
            <w:sz w:val="20"/>
            <w:szCs w:val="20"/>
            <w:lang w:eastAsia="sk-SK"/>
          </w:rPr>
          <w:t>Príjmy kapitoly MV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_Toc153013075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102</w:t>
        </w:r>
        <w:r w:rsidR="008C5446" w:rsidRPr="008C5446">
          <w:rPr>
            <w:rFonts w:ascii="Times New Roman" w:hAnsi="Times New Roman" w:cs="Times New Roman"/>
            <w:noProof/>
            <w:webHidden/>
            <w:sz w:val="20"/>
            <w:szCs w:val="20"/>
          </w:rPr>
          <w:fldChar w:fldCharType="end"/>
        </w:r>
      </w:hyperlink>
    </w:p>
    <w:p w14:paraId="51ED6D05" w14:textId="7172F524"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76"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78 - </w:t>
        </w:r>
        <w:r w:rsidR="008C5446" w:rsidRPr="008C5446">
          <w:rPr>
            <w:rStyle w:val="Hypertextovprepojenie"/>
            <w:rFonts w:ascii="Times New Roman" w:eastAsia="Times New Roman" w:hAnsi="Times New Roman" w:cs="Times New Roman"/>
            <w:iCs/>
            <w:noProof/>
            <w:sz w:val="20"/>
            <w:szCs w:val="20"/>
            <w:lang w:eastAsia="sk-SK"/>
          </w:rPr>
          <w:t>Výdavky kapitoly MV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_Toc153013076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102</w:t>
        </w:r>
        <w:r w:rsidR="008C5446" w:rsidRPr="008C5446">
          <w:rPr>
            <w:rFonts w:ascii="Times New Roman" w:hAnsi="Times New Roman" w:cs="Times New Roman"/>
            <w:noProof/>
            <w:webHidden/>
            <w:sz w:val="20"/>
            <w:szCs w:val="20"/>
          </w:rPr>
          <w:fldChar w:fldCharType="end"/>
        </w:r>
      </w:hyperlink>
    </w:p>
    <w:p w14:paraId="1C7C2E16" w14:textId="388C9A7F"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77"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79</w:t>
        </w:r>
        <w:r w:rsidR="008C5446" w:rsidRPr="008C5446">
          <w:rPr>
            <w:rStyle w:val="Hypertextovprepojenie"/>
            <w:rFonts w:ascii="Times New Roman" w:eastAsia="Times New Roman" w:hAnsi="Times New Roman" w:cs="Times New Roman"/>
            <w:iCs/>
            <w:noProof/>
            <w:sz w:val="20"/>
            <w:szCs w:val="20"/>
            <w:lang w:eastAsia="sk-SK"/>
          </w:rPr>
          <w:t xml:space="preserve"> - Príjmy kapitoly MS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_Toc153013077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103</w:t>
        </w:r>
        <w:r w:rsidR="008C5446" w:rsidRPr="008C5446">
          <w:rPr>
            <w:rFonts w:ascii="Times New Roman" w:hAnsi="Times New Roman" w:cs="Times New Roman"/>
            <w:noProof/>
            <w:webHidden/>
            <w:sz w:val="20"/>
            <w:szCs w:val="20"/>
          </w:rPr>
          <w:fldChar w:fldCharType="end"/>
        </w:r>
      </w:hyperlink>
    </w:p>
    <w:p w14:paraId="6300D097" w14:textId="1E6A7DF0"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78"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80 - </w:t>
        </w:r>
        <w:r w:rsidR="008C5446" w:rsidRPr="008C5446">
          <w:rPr>
            <w:rStyle w:val="Hypertextovprepojenie"/>
            <w:rFonts w:ascii="Times New Roman" w:eastAsia="Times New Roman" w:hAnsi="Times New Roman" w:cs="Times New Roman"/>
            <w:iCs/>
            <w:noProof/>
            <w:sz w:val="20"/>
            <w:szCs w:val="20"/>
            <w:lang w:eastAsia="sk-SK"/>
          </w:rPr>
          <w:t>Výdavky kapitoly MS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_Toc153013078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103</w:t>
        </w:r>
        <w:r w:rsidR="008C5446" w:rsidRPr="008C5446">
          <w:rPr>
            <w:rFonts w:ascii="Times New Roman" w:hAnsi="Times New Roman" w:cs="Times New Roman"/>
            <w:noProof/>
            <w:webHidden/>
            <w:sz w:val="20"/>
            <w:szCs w:val="20"/>
          </w:rPr>
          <w:fldChar w:fldCharType="end"/>
        </w:r>
      </w:hyperlink>
    </w:p>
    <w:p w14:paraId="314F1F73" w14:textId="65246949"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79"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81 - </w:t>
        </w:r>
        <w:r w:rsidR="008C5446" w:rsidRPr="008C5446">
          <w:rPr>
            <w:rStyle w:val="Hypertextovprepojenie"/>
            <w:rFonts w:ascii="Times New Roman" w:eastAsia="Times New Roman" w:hAnsi="Times New Roman" w:cs="Times New Roman"/>
            <w:iCs/>
            <w:noProof/>
            <w:sz w:val="20"/>
            <w:szCs w:val="20"/>
            <w:lang w:eastAsia="sk-SK"/>
          </w:rPr>
          <w:t>Príjmy kapitoly MF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_Toc153013079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104</w:t>
        </w:r>
        <w:r w:rsidR="008C5446" w:rsidRPr="008C5446">
          <w:rPr>
            <w:rFonts w:ascii="Times New Roman" w:hAnsi="Times New Roman" w:cs="Times New Roman"/>
            <w:noProof/>
            <w:webHidden/>
            <w:sz w:val="20"/>
            <w:szCs w:val="20"/>
          </w:rPr>
          <w:fldChar w:fldCharType="end"/>
        </w:r>
      </w:hyperlink>
    </w:p>
    <w:p w14:paraId="43765C83" w14:textId="352ABE19"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80"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82 - </w:t>
        </w:r>
        <w:r w:rsidR="008C5446" w:rsidRPr="008C5446">
          <w:rPr>
            <w:rStyle w:val="Hypertextovprepojenie"/>
            <w:rFonts w:ascii="Times New Roman" w:eastAsia="Times New Roman" w:hAnsi="Times New Roman" w:cs="Times New Roman"/>
            <w:iCs/>
            <w:noProof/>
            <w:sz w:val="20"/>
            <w:szCs w:val="20"/>
            <w:lang w:eastAsia="sk-SK"/>
          </w:rPr>
          <w:t>Výdavky kapitoly MF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_Toc153013080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104</w:t>
        </w:r>
        <w:r w:rsidR="008C5446" w:rsidRPr="008C5446">
          <w:rPr>
            <w:rFonts w:ascii="Times New Roman" w:hAnsi="Times New Roman" w:cs="Times New Roman"/>
            <w:noProof/>
            <w:webHidden/>
            <w:sz w:val="20"/>
            <w:szCs w:val="20"/>
          </w:rPr>
          <w:fldChar w:fldCharType="end"/>
        </w:r>
      </w:hyperlink>
    </w:p>
    <w:p w14:paraId="2EC7F059" w14:textId="09B938F6"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81"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83 - </w:t>
        </w:r>
        <w:r w:rsidR="008C5446" w:rsidRPr="008C5446">
          <w:rPr>
            <w:rStyle w:val="Hypertextovprepojenie"/>
            <w:rFonts w:ascii="Times New Roman" w:eastAsia="Times New Roman" w:hAnsi="Times New Roman" w:cs="Times New Roman"/>
            <w:iCs/>
            <w:noProof/>
            <w:sz w:val="20"/>
            <w:szCs w:val="20"/>
            <w:lang w:eastAsia="sk-SK"/>
          </w:rPr>
          <w:t>Príjmy kapitoly MŽP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_Toc153013081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105</w:t>
        </w:r>
        <w:r w:rsidR="008C5446" w:rsidRPr="008C5446">
          <w:rPr>
            <w:rFonts w:ascii="Times New Roman" w:hAnsi="Times New Roman" w:cs="Times New Roman"/>
            <w:noProof/>
            <w:webHidden/>
            <w:sz w:val="20"/>
            <w:szCs w:val="20"/>
          </w:rPr>
          <w:fldChar w:fldCharType="end"/>
        </w:r>
      </w:hyperlink>
    </w:p>
    <w:p w14:paraId="475C493E" w14:textId="501D5D69"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82"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84 - </w:t>
        </w:r>
        <w:r w:rsidR="008C5446" w:rsidRPr="008C5446">
          <w:rPr>
            <w:rStyle w:val="Hypertextovprepojenie"/>
            <w:rFonts w:ascii="Times New Roman" w:eastAsia="Times New Roman" w:hAnsi="Times New Roman" w:cs="Times New Roman"/>
            <w:iCs/>
            <w:noProof/>
            <w:sz w:val="20"/>
            <w:szCs w:val="20"/>
            <w:lang w:eastAsia="sk-SK"/>
          </w:rPr>
          <w:t>Výdavky kapitoly MŽP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_Toc153013082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105</w:t>
        </w:r>
        <w:r w:rsidR="008C5446" w:rsidRPr="008C5446">
          <w:rPr>
            <w:rFonts w:ascii="Times New Roman" w:hAnsi="Times New Roman" w:cs="Times New Roman"/>
            <w:noProof/>
            <w:webHidden/>
            <w:sz w:val="20"/>
            <w:szCs w:val="20"/>
          </w:rPr>
          <w:fldChar w:fldCharType="end"/>
        </w:r>
      </w:hyperlink>
    </w:p>
    <w:p w14:paraId="3A72B13B" w14:textId="65C762AC"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83"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85 - </w:t>
        </w:r>
        <w:r w:rsidR="008C5446" w:rsidRPr="008C5446">
          <w:rPr>
            <w:rStyle w:val="Hypertextovprepojenie"/>
            <w:rFonts w:ascii="Times New Roman" w:eastAsia="Times New Roman" w:hAnsi="Times New Roman" w:cs="Times New Roman"/>
            <w:iCs/>
            <w:noProof/>
            <w:sz w:val="20"/>
            <w:szCs w:val="20"/>
            <w:lang w:eastAsia="sk-SK"/>
          </w:rPr>
          <w:t>Príjmy kapitoly MŠVVŠ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_Toc153013083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106</w:t>
        </w:r>
        <w:r w:rsidR="008C5446" w:rsidRPr="008C5446">
          <w:rPr>
            <w:rFonts w:ascii="Times New Roman" w:hAnsi="Times New Roman" w:cs="Times New Roman"/>
            <w:noProof/>
            <w:webHidden/>
            <w:sz w:val="20"/>
            <w:szCs w:val="20"/>
          </w:rPr>
          <w:fldChar w:fldCharType="end"/>
        </w:r>
      </w:hyperlink>
    </w:p>
    <w:p w14:paraId="5D05F8E0" w14:textId="49B3C303"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84"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86 - </w:t>
        </w:r>
        <w:r w:rsidR="008C5446" w:rsidRPr="008C5446">
          <w:rPr>
            <w:rStyle w:val="Hypertextovprepojenie"/>
            <w:rFonts w:ascii="Times New Roman" w:eastAsia="Times New Roman" w:hAnsi="Times New Roman" w:cs="Times New Roman"/>
            <w:iCs/>
            <w:noProof/>
            <w:sz w:val="20"/>
            <w:szCs w:val="20"/>
            <w:lang w:eastAsia="sk-SK"/>
          </w:rPr>
          <w:t>Výdavky kapitoly MŠVVŠ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_Toc153013084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106</w:t>
        </w:r>
        <w:r w:rsidR="008C5446" w:rsidRPr="008C5446">
          <w:rPr>
            <w:rFonts w:ascii="Times New Roman" w:hAnsi="Times New Roman" w:cs="Times New Roman"/>
            <w:noProof/>
            <w:webHidden/>
            <w:sz w:val="20"/>
            <w:szCs w:val="20"/>
          </w:rPr>
          <w:fldChar w:fldCharType="end"/>
        </w:r>
      </w:hyperlink>
    </w:p>
    <w:p w14:paraId="49299E6A" w14:textId="3016C33D"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85"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87 - </w:t>
        </w:r>
        <w:r w:rsidR="008C5446" w:rsidRPr="008C5446">
          <w:rPr>
            <w:rStyle w:val="Hypertextovprepojenie"/>
            <w:rFonts w:ascii="Times New Roman" w:eastAsia="Times New Roman" w:hAnsi="Times New Roman" w:cs="Times New Roman"/>
            <w:iCs/>
            <w:noProof/>
            <w:sz w:val="20"/>
            <w:szCs w:val="20"/>
            <w:lang w:eastAsia="sk-SK"/>
          </w:rPr>
          <w:t>Príjmy kapitoly MZ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_Toc153013085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107</w:t>
        </w:r>
        <w:r w:rsidR="008C5446" w:rsidRPr="008C5446">
          <w:rPr>
            <w:rFonts w:ascii="Times New Roman" w:hAnsi="Times New Roman" w:cs="Times New Roman"/>
            <w:noProof/>
            <w:webHidden/>
            <w:sz w:val="20"/>
            <w:szCs w:val="20"/>
          </w:rPr>
          <w:fldChar w:fldCharType="end"/>
        </w:r>
      </w:hyperlink>
    </w:p>
    <w:p w14:paraId="5CAF17B5" w14:textId="3CDA5337"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86"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88 - </w:t>
        </w:r>
        <w:r w:rsidR="008C5446" w:rsidRPr="008C5446">
          <w:rPr>
            <w:rStyle w:val="Hypertextovprepojenie"/>
            <w:rFonts w:ascii="Times New Roman" w:eastAsia="Times New Roman" w:hAnsi="Times New Roman" w:cs="Times New Roman"/>
            <w:iCs/>
            <w:noProof/>
            <w:sz w:val="20"/>
            <w:szCs w:val="20"/>
            <w:lang w:eastAsia="sk-SK"/>
          </w:rPr>
          <w:t>Výdavky kapitoly MZ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_Toc153013086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107</w:t>
        </w:r>
        <w:r w:rsidR="008C5446" w:rsidRPr="008C5446">
          <w:rPr>
            <w:rFonts w:ascii="Times New Roman" w:hAnsi="Times New Roman" w:cs="Times New Roman"/>
            <w:noProof/>
            <w:webHidden/>
            <w:sz w:val="20"/>
            <w:szCs w:val="20"/>
          </w:rPr>
          <w:fldChar w:fldCharType="end"/>
        </w:r>
      </w:hyperlink>
    </w:p>
    <w:p w14:paraId="442D545E" w14:textId="3A2D436B"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87" w:history="1">
        <w:r w:rsidR="008C5446" w:rsidRPr="008C5446">
          <w:rPr>
            <w:rStyle w:val="Hypertextovprepojenie"/>
            <w:rFonts w:ascii="Times New Roman" w:hAnsi="Times New Roman" w:cs="Times New Roman"/>
            <w:noProof/>
            <w:sz w:val="20"/>
            <w:szCs w:val="20"/>
          </w:rPr>
          <w:t xml:space="preserve">Tabuľka 89 - </w:t>
        </w:r>
        <w:r w:rsidR="008C5446" w:rsidRPr="008C5446">
          <w:rPr>
            <w:rStyle w:val="Hypertextovprepojenie"/>
            <w:rFonts w:ascii="Times New Roman" w:eastAsia="Times New Roman" w:hAnsi="Times New Roman" w:cs="Times New Roman"/>
            <w:iCs/>
            <w:noProof/>
            <w:sz w:val="20"/>
            <w:szCs w:val="20"/>
            <w:lang w:eastAsia="sk-SK"/>
          </w:rPr>
          <w:t>Príjmy kapitoly MPSVR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_Toc153013087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108</w:t>
        </w:r>
        <w:r w:rsidR="008C5446" w:rsidRPr="008C5446">
          <w:rPr>
            <w:rFonts w:ascii="Times New Roman" w:hAnsi="Times New Roman" w:cs="Times New Roman"/>
            <w:noProof/>
            <w:webHidden/>
            <w:sz w:val="20"/>
            <w:szCs w:val="20"/>
          </w:rPr>
          <w:fldChar w:fldCharType="end"/>
        </w:r>
      </w:hyperlink>
    </w:p>
    <w:p w14:paraId="1A0A7D48" w14:textId="56CF363D"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88"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90 - </w:t>
        </w:r>
        <w:r w:rsidR="008C5446" w:rsidRPr="008C5446">
          <w:rPr>
            <w:rStyle w:val="Hypertextovprepojenie"/>
            <w:rFonts w:ascii="Times New Roman" w:eastAsia="Times New Roman" w:hAnsi="Times New Roman" w:cs="Times New Roman"/>
            <w:iCs/>
            <w:noProof/>
            <w:sz w:val="20"/>
            <w:szCs w:val="20"/>
            <w:lang w:eastAsia="sk-SK"/>
          </w:rPr>
          <w:t>Výdavky kapitoly MPSVR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_Toc153013088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108</w:t>
        </w:r>
        <w:r w:rsidR="008C5446" w:rsidRPr="008C5446">
          <w:rPr>
            <w:rFonts w:ascii="Times New Roman" w:hAnsi="Times New Roman" w:cs="Times New Roman"/>
            <w:noProof/>
            <w:webHidden/>
            <w:sz w:val="20"/>
            <w:szCs w:val="20"/>
          </w:rPr>
          <w:fldChar w:fldCharType="end"/>
        </w:r>
      </w:hyperlink>
    </w:p>
    <w:p w14:paraId="1F74F28C" w14:textId="1415FC0D"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89"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91 - </w:t>
        </w:r>
        <w:r w:rsidR="008C5446" w:rsidRPr="008C5446">
          <w:rPr>
            <w:rStyle w:val="Hypertextovprepojenie"/>
            <w:rFonts w:ascii="Times New Roman" w:eastAsia="Times New Roman" w:hAnsi="Times New Roman" w:cs="Times New Roman"/>
            <w:iCs/>
            <w:noProof/>
            <w:sz w:val="20"/>
            <w:szCs w:val="20"/>
            <w:lang w:eastAsia="sk-SK"/>
          </w:rPr>
          <w:t>Príjmy kapitoly MK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_Toc153013089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109</w:t>
        </w:r>
        <w:r w:rsidR="008C5446" w:rsidRPr="008C5446">
          <w:rPr>
            <w:rFonts w:ascii="Times New Roman" w:hAnsi="Times New Roman" w:cs="Times New Roman"/>
            <w:noProof/>
            <w:webHidden/>
            <w:sz w:val="20"/>
            <w:szCs w:val="20"/>
          </w:rPr>
          <w:fldChar w:fldCharType="end"/>
        </w:r>
      </w:hyperlink>
    </w:p>
    <w:p w14:paraId="6489B1F5" w14:textId="1EE840BF"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90"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92 - </w:t>
        </w:r>
        <w:r w:rsidR="008C5446" w:rsidRPr="008C5446">
          <w:rPr>
            <w:rStyle w:val="Hypertextovprepojenie"/>
            <w:rFonts w:ascii="Times New Roman" w:eastAsia="Times New Roman" w:hAnsi="Times New Roman" w:cs="Times New Roman"/>
            <w:iCs/>
            <w:noProof/>
            <w:sz w:val="20"/>
            <w:szCs w:val="20"/>
            <w:lang w:eastAsia="sk-SK"/>
          </w:rPr>
          <w:t>Výdavky kapitoly MK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_Toc153013090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109</w:t>
        </w:r>
        <w:r w:rsidR="008C5446" w:rsidRPr="008C5446">
          <w:rPr>
            <w:rFonts w:ascii="Times New Roman" w:hAnsi="Times New Roman" w:cs="Times New Roman"/>
            <w:noProof/>
            <w:webHidden/>
            <w:sz w:val="20"/>
            <w:szCs w:val="20"/>
          </w:rPr>
          <w:fldChar w:fldCharType="end"/>
        </w:r>
      </w:hyperlink>
    </w:p>
    <w:p w14:paraId="117D00B0" w14:textId="7C59BE68"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91"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93 - </w:t>
        </w:r>
        <w:r w:rsidR="008C5446" w:rsidRPr="008C5446">
          <w:rPr>
            <w:rStyle w:val="Hypertextovprepojenie"/>
            <w:rFonts w:ascii="Times New Roman" w:eastAsia="Times New Roman" w:hAnsi="Times New Roman" w:cs="Times New Roman"/>
            <w:iCs/>
            <w:noProof/>
            <w:sz w:val="20"/>
            <w:szCs w:val="20"/>
            <w:lang w:eastAsia="sk-SK"/>
          </w:rPr>
          <w:t>Príjmy kapitoly MH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_Toc153013091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110</w:t>
        </w:r>
        <w:r w:rsidR="008C5446" w:rsidRPr="008C5446">
          <w:rPr>
            <w:rFonts w:ascii="Times New Roman" w:hAnsi="Times New Roman" w:cs="Times New Roman"/>
            <w:noProof/>
            <w:webHidden/>
            <w:sz w:val="20"/>
            <w:szCs w:val="20"/>
          </w:rPr>
          <w:fldChar w:fldCharType="end"/>
        </w:r>
      </w:hyperlink>
    </w:p>
    <w:p w14:paraId="03901D02" w14:textId="4EF771A1"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92"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94 </w:t>
        </w:r>
        <w:r w:rsidR="008C5446" w:rsidRPr="008C5446">
          <w:rPr>
            <w:rStyle w:val="Hypertextovprepojenie"/>
            <w:rFonts w:ascii="Times New Roman" w:eastAsia="Times New Roman" w:hAnsi="Times New Roman" w:cs="Times New Roman"/>
            <w:iCs/>
            <w:noProof/>
            <w:sz w:val="20"/>
            <w:szCs w:val="20"/>
            <w:lang w:eastAsia="sk-SK"/>
          </w:rPr>
          <w:t>- Výdavky kapitoly MH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_Toc153013092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110</w:t>
        </w:r>
        <w:r w:rsidR="008C5446" w:rsidRPr="008C5446">
          <w:rPr>
            <w:rFonts w:ascii="Times New Roman" w:hAnsi="Times New Roman" w:cs="Times New Roman"/>
            <w:noProof/>
            <w:webHidden/>
            <w:sz w:val="20"/>
            <w:szCs w:val="20"/>
          </w:rPr>
          <w:fldChar w:fldCharType="end"/>
        </w:r>
      </w:hyperlink>
    </w:p>
    <w:p w14:paraId="4AB58AA0" w14:textId="121384F7"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93"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95 - </w:t>
        </w:r>
        <w:r w:rsidR="008C5446" w:rsidRPr="008C5446">
          <w:rPr>
            <w:rStyle w:val="Hypertextovprepojenie"/>
            <w:rFonts w:ascii="Times New Roman" w:eastAsia="Times New Roman" w:hAnsi="Times New Roman" w:cs="Times New Roman"/>
            <w:iCs/>
            <w:noProof/>
            <w:sz w:val="20"/>
            <w:szCs w:val="20"/>
            <w:lang w:eastAsia="sk-SK"/>
          </w:rPr>
          <w:t>Príjmy kapitoly MPRV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_Toc153013093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111</w:t>
        </w:r>
        <w:r w:rsidR="008C5446" w:rsidRPr="008C5446">
          <w:rPr>
            <w:rFonts w:ascii="Times New Roman" w:hAnsi="Times New Roman" w:cs="Times New Roman"/>
            <w:noProof/>
            <w:webHidden/>
            <w:sz w:val="20"/>
            <w:szCs w:val="20"/>
          </w:rPr>
          <w:fldChar w:fldCharType="end"/>
        </w:r>
      </w:hyperlink>
    </w:p>
    <w:p w14:paraId="3193FF1B" w14:textId="2E3AD6F6"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94"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96 - </w:t>
        </w:r>
        <w:r w:rsidR="008C5446" w:rsidRPr="008C5446">
          <w:rPr>
            <w:rStyle w:val="Hypertextovprepojenie"/>
            <w:rFonts w:ascii="Times New Roman" w:eastAsia="Times New Roman" w:hAnsi="Times New Roman" w:cs="Times New Roman"/>
            <w:iCs/>
            <w:noProof/>
            <w:sz w:val="20"/>
            <w:szCs w:val="20"/>
            <w:lang w:eastAsia="sk-SK"/>
          </w:rPr>
          <w:t>Výdavky kapitoly MPRV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_Toc153013094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111</w:t>
        </w:r>
        <w:r w:rsidR="008C5446" w:rsidRPr="008C5446">
          <w:rPr>
            <w:rFonts w:ascii="Times New Roman" w:hAnsi="Times New Roman" w:cs="Times New Roman"/>
            <w:noProof/>
            <w:webHidden/>
            <w:sz w:val="20"/>
            <w:szCs w:val="20"/>
          </w:rPr>
          <w:fldChar w:fldCharType="end"/>
        </w:r>
      </w:hyperlink>
    </w:p>
    <w:p w14:paraId="15AE86A1" w14:textId="521AE7AD"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95"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97 - </w:t>
        </w:r>
        <w:r w:rsidR="008C5446" w:rsidRPr="008C5446">
          <w:rPr>
            <w:rStyle w:val="Hypertextovprepojenie"/>
            <w:rFonts w:ascii="Times New Roman" w:eastAsia="Times New Roman" w:hAnsi="Times New Roman" w:cs="Times New Roman"/>
            <w:iCs/>
            <w:noProof/>
            <w:sz w:val="20"/>
            <w:szCs w:val="20"/>
            <w:lang w:eastAsia="sk-SK"/>
          </w:rPr>
          <w:t>Príjmy kapitoly MD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_Toc153013095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112</w:t>
        </w:r>
        <w:r w:rsidR="008C5446" w:rsidRPr="008C5446">
          <w:rPr>
            <w:rFonts w:ascii="Times New Roman" w:hAnsi="Times New Roman" w:cs="Times New Roman"/>
            <w:noProof/>
            <w:webHidden/>
            <w:sz w:val="20"/>
            <w:szCs w:val="20"/>
          </w:rPr>
          <w:fldChar w:fldCharType="end"/>
        </w:r>
      </w:hyperlink>
    </w:p>
    <w:p w14:paraId="636F7D77" w14:textId="7925E307"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96"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98 - </w:t>
        </w:r>
        <w:r w:rsidR="008C5446" w:rsidRPr="008C5446">
          <w:rPr>
            <w:rStyle w:val="Hypertextovprepojenie"/>
            <w:rFonts w:ascii="Times New Roman" w:eastAsia="Times New Roman" w:hAnsi="Times New Roman" w:cs="Times New Roman"/>
            <w:iCs/>
            <w:noProof/>
            <w:sz w:val="20"/>
            <w:szCs w:val="20"/>
            <w:lang w:eastAsia="sk-SK"/>
          </w:rPr>
          <w:t>Výdavky kapitoly MD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_Toc153013096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112</w:t>
        </w:r>
        <w:r w:rsidR="008C5446" w:rsidRPr="008C5446">
          <w:rPr>
            <w:rFonts w:ascii="Times New Roman" w:hAnsi="Times New Roman" w:cs="Times New Roman"/>
            <w:noProof/>
            <w:webHidden/>
            <w:sz w:val="20"/>
            <w:szCs w:val="20"/>
          </w:rPr>
          <w:fldChar w:fldCharType="end"/>
        </w:r>
      </w:hyperlink>
    </w:p>
    <w:p w14:paraId="472D3A29" w14:textId="7E64C1CD"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97"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99 - </w:t>
        </w:r>
        <w:r w:rsidR="008C5446" w:rsidRPr="008C5446">
          <w:rPr>
            <w:rStyle w:val="Hypertextovprepojenie"/>
            <w:rFonts w:ascii="Times New Roman" w:eastAsia="Times New Roman" w:hAnsi="Times New Roman" w:cs="Times New Roman"/>
            <w:iCs/>
            <w:noProof/>
            <w:sz w:val="20"/>
            <w:szCs w:val="20"/>
            <w:lang w:eastAsia="sk-SK"/>
          </w:rPr>
          <w:t>Príjmy kapitoly ÚGKK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_Toc153013097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113</w:t>
        </w:r>
        <w:r w:rsidR="008C5446" w:rsidRPr="008C5446">
          <w:rPr>
            <w:rFonts w:ascii="Times New Roman" w:hAnsi="Times New Roman" w:cs="Times New Roman"/>
            <w:noProof/>
            <w:webHidden/>
            <w:sz w:val="20"/>
            <w:szCs w:val="20"/>
          </w:rPr>
          <w:fldChar w:fldCharType="end"/>
        </w:r>
      </w:hyperlink>
    </w:p>
    <w:p w14:paraId="2D1D215E" w14:textId="6E097F96"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98"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100 - </w:t>
        </w:r>
        <w:r w:rsidR="008C5446" w:rsidRPr="008C5446">
          <w:rPr>
            <w:rStyle w:val="Hypertextovprepojenie"/>
            <w:rFonts w:ascii="Times New Roman" w:eastAsia="Times New Roman" w:hAnsi="Times New Roman" w:cs="Times New Roman"/>
            <w:iCs/>
            <w:noProof/>
            <w:sz w:val="20"/>
            <w:szCs w:val="20"/>
            <w:lang w:eastAsia="sk-SK"/>
          </w:rPr>
          <w:t>Výdavky kapitoly ÚGKK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_Toc153013098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113</w:t>
        </w:r>
        <w:r w:rsidR="008C5446" w:rsidRPr="008C5446">
          <w:rPr>
            <w:rFonts w:ascii="Times New Roman" w:hAnsi="Times New Roman" w:cs="Times New Roman"/>
            <w:noProof/>
            <w:webHidden/>
            <w:sz w:val="20"/>
            <w:szCs w:val="20"/>
          </w:rPr>
          <w:fldChar w:fldCharType="end"/>
        </w:r>
      </w:hyperlink>
    </w:p>
    <w:p w14:paraId="5195F142" w14:textId="01D40AF0"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099"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101 - </w:t>
        </w:r>
        <w:r w:rsidR="008C5446" w:rsidRPr="008C5446">
          <w:rPr>
            <w:rStyle w:val="Hypertextovprepojenie"/>
            <w:rFonts w:ascii="Times New Roman" w:eastAsia="Times New Roman" w:hAnsi="Times New Roman" w:cs="Times New Roman"/>
            <w:iCs/>
            <w:noProof/>
            <w:sz w:val="20"/>
            <w:szCs w:val="20"/>
            <w:lang w:eastAsia="sk-SK"/>
          </w:rPr>
          <w:t>Príjmy kapitoly ŠÚ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_Toc153013099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113</w:t>
        </w:r>
        <w:r w:rsidR="008C5446" w:rsidRPr="008C5446">
          <w:rPr>
            <w:rFonts w:ascii="Times New Roman" w:hAnsi="Times New Roman" w:cs="Times New Roman"/>
            <w:noProof/>
            <w:webHidden/>
            <w:sz w:val="20"/>
            <w:szCs w:val="20"/>
          </w:rPr>
          <w:fldChar w:fldCharType="end"/>
        </w:r>
      </w:hyperlink>
    </w:p>
    <w:p w14:paraId="00555037" w14:textId="2526C396"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00"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102 - </w:t>
        </w:r>
        <w:r w:rsidR="008C5446" w:rsidRPr="008C5446">
          <w:rPr>
            <w:rStyle w:val="Hypertextovprepojenie"/>
            <w:rFonts w:ascii="Times New Roman" w:eastAsia="Times New Roman" w:hAnsi="Times New Roman" w:cs="Times New Roman"/>
            <w:iCs/>
            <w:noProof/>
            <w:sz w:val="20"/>
            <w:szCs w:val="20"/>
            <w:lang w:eastAsia="sk-SK"/>
          </w:rPr>
          <w:t>Výdavky kapitoly ŠÚ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_Toc153013100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113</w:t>
        </w:r>
        <w:r w:rsidR="008C5446" w:rsidRPr="008C5446">
          <w:rPr>
            <w:rFonts w:ascii="Times New Roman" w:hAnsi="Times New Roman" w:cs="Times New Roman"/>
            <w:noProof/>
            <w:webHidden/>
            <w:sz w:val="20"/>
            <w:szCs w:val="20"/>
          </w:rPr>
          <w:fldChar w:fldCharType="end"/>
        </w:r>
      </w:hyperlink>
    </w:p>
    <w:p w14:paraId="63F2FC49" w14:textId="6DDF0EF8"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01"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103 - </w:t>
        </w:r>
        <w:r w:rsidR="008C5446" w:rsidRPr="008C5446">
          <w:rPr>
            <w:rStyle w:val="Hypertextovprepojenie"/>
            <w:rFonts w:ascii="Times New Roman" w:eastAsia="Times New Roman" w:hAnsi="Times New Roman" w:cs="Times New Roman"/>
            <w:iCs/>
            <w:noProof/>
            <w:sz w:val="20"/>
            <w:szCs w:val="20"/>
            <w:lang w:eastAsia="sk-SK"/>
          </w:rPr>
          <w:t>Príjmy kapitoly ÚVO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_Toc153013101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114</w:t>
        </w:r>
        <w:r w:rsidR="008C5446" w:rsidRPr="008C5446">
          <w:rPr>
            <w:rFonts w:ascii="Times New Roman" w:hAnsi="Times New Roman" w:cs="Times New Roman"/>
            <w:noProof/>
            <w:webHidden/>
            <w:sz w:val="20"/>
            <w:szCs w:val="20"/>
          </w:rPr>
          <w:fldChar w:fldCharType="end"/>
        </w:r>
      </w:hyperlink>
    </w:p>
    <w:p w14:paraId="7BC56019" w14:textId="686E9026"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02"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104 - </w:t>
        </w:r>
        <w:r w:rsidR="008C5446" w:rsidRPr="008C5446">
          <w:rPr>
            <w:rStyle w:val="Hypertextovprepojenie"/>
            <w:rFonts w:ascii="Times New Roman" w:eastAsia="Times New Roman" w:hAnsi="Times New Roman" w:cs="Times New Roman"/>
            <w:iCs/>
            <w:noProof/>
            <w:sz w:val="20"/>
            <w:szCs w:val="20"/>
            <w:lang w:eastAsia="sk-SK"/>
          </w:rPr>
          <w:t>Výdavky kapitoly ÚVO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_Toc153013102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114</w:t>
        </w:r>
        <w:r w:rsidR="008C5446" w:rsidRPr="008C5446">
          <w:rPr>
            <w:rFonts w:ascii="Times New Roman" w:hAnsi="Times New Roman" w:cs="Times New Roman"/>
            <w:noProof/>
            <w:webHidden/>
            <w:sz w:val="20"/>
            <w:szCs w:val="20"/>
          </w:rPr>
          <w:fldChar w:fldCharType="end"/>
        </w:r>
      </w:hyperlink>
    </w:p>
    <w:p w14:paraId="5E0496AB" w14:textId="10859829"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03"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105 - </w:t>
        </w:r>
        <w:r w:rsidR="008C5446" w:rsidRPr="008C5446">
          <w:rPr>
            <w:rStyle w:val="Hypertextovprepojenie"/>
            <w:rFonts w:ascii="Times New Roman" w:eastAsia="Times New Roman" w:hAnsi="Times New Roman" w:cs="Times New Roman"/>
            <w:iCs/>
            <w:noProof/>
            <w:sz w:val="20"/>
            <w:szCs w:val="20"/>
            <w:lang w:eastAsia="sk-SK"/>
          </w:rPr>
          <w:t>Príjmy kapitoly ÚRSO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_Toc153013103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115</w:t>
        </w:r>
        <w:r w:rsidR="008C5446" w:rsidRPr="008C5446">
          <w:rPr>
            <w:rFonts w:ascii="Times New Roman" w:hAnsi="Times New Roman" w:cs="Times New Roman"/>
            <w:noProof/>
            <w:webHidden/>
            <w:sz w:val="20"/>
            <w:szCs w:val="20"/>
          </w:rPr>
          <w:fldChar w:fldCharType="end"/>
        </w:r>
      </w:hyperlink>
    </w:p>
    <w:p w14:paraId="7114F410" w14:textId="2ED5F217"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04"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106 - </w:t>
        </w:r>
        <w:r w:rsidR="008C5446" w:rsidRPr="008C5446">
          <w:rPr>
            <w:rStyle w:val="Hypertextovprepojenie"/>
            <w:rFonts w:ascii="Times New Roman" w:eastAsia="Times New Roman" w:hAnsi="Times New Roman" w:cs="Times New Roman"/>
            <w:iCs/>
            <w:noProof/>
            <w:sz w:val="20"/>
            <w:szCs w:val="20"/>
            <w:lang w:eastAsia="sk-SK"/>
          </w:rPr>
          <w:t>Výdavky kapitoly ÚRSO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_Toc153013104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115</w:t>
        </w:r>
        <w:r w:rsidR="008C5446" w:rsidRPr="008C5446">
          <w:rPr>
            <w:rFonts w:ascii="Times New Roman" w:hAnsi="Times New Roman" w:cs="Times New Roman"/>
            <w:noProof/>
            <w:webHidden/>
            <w:sz w:val="20"/>
            <w:szCs w:val="20"/>
          </w:rPr>
          <w:fldChar w:fldCharType="end"/>
        </w:r>
      </w:hyperlink>
    </w:p>
    <w:p w14:paraId="4BE3F0C3" w14:textId="47AF9CA3"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05"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107 - </w:t>
        </w:r>
        <w:r w:rsidR="008C5446" w:rsidRPr="008C5446">
          <w:rPr>
            <w:rStyle w:val="Hypertextovprepojenie"/>
            <w:rFonts w:ascii="Times New Roman" w:eastAsia="Times New Roman" w:hAnsi="Times New Roman" w:cs="Times New Roman"/>
            <w:iCs/>
            <w:noProof/>
            <w:sz w:val="20"/>
            <w:szCs w:val="20"/>
            <w:lang w:eastAsia="sk-SK"/>
          </w:rPr>
          <w:t>Príjmy kapitoly ÚJD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_Toc153013105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115</w:t>
        </w:r>
        <w:r w:rsidR="008C5446" w:rsidRPr="008C5446">
          <w:rPr>
            <w:rFonts w:ascii="Times New Roman" w:hAnsi="Times New Roman" w:cs="Times New Roman"/>
            <w:noProof/>
            <w:webHidden/>
            <w:sz w:val="20"/>
            <w:szCs w:val="20"/>
          </w:rPr>
          <w:fldChar w:fldCharType="end"/>
        </w:r>
      </w:hyperlink>
    </w:p>
    <w:p w14:paraId="029858DD" w14:textId="1974EE66"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06"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108 - </w:t>
        </w:r>
        <w:r w:rsidR="008C5446" w:rsidRPr="008C5446">
          <w:rPr>
            <w:rStyle w:val="Hypertextovprepojenie"/>
            <w:rFonts w:ascii="Times New Roman" w:eastAsia="Times New Roman" w:hAnsi="Times New Roman" w:cs="Times New Roman"/>
            <w:iCs/>
            <w:noProof/>
            <w:sz w:val="20"/>
            <w:szCs w:val="20"/>
            <w:lang w:eastAsia="sk-SK"/>
          </w:rPr>
          <w:t>Výdavky kapitoly ÚJD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_Toc153013106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115</w:t>
        </w:r>
        <w:r w:rsidR="008C5446" w:rsidRPr="008C5446">
          <w:rPr>
            <w:rFonts w:ascii="Times New Roman" w:hAnsi="Times New Roman" w:cs="Times New Roman"/>
            <w:noProof/>
            <w:webHidden/>
            <w:sz w:val="20"/>
            <w:szCs w:val="20"/>
          </w:rPr>
          <w:fldChar w:fldCharType="end"/>
        </w:r>
      </w:hyperlink>
    </w:p>
    <w:p w14:paraId="2995B89B" w14:textId="7DDF9846"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07"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109 - </w:t>
        </w:r>
        <w:r w:rsidR="008C5446" w:rsidRPr="008C5446">
          <w:rPr>
            <w:rStyle w:val="Hypertextovprepojenie"/>
            <w:rFonts w:ascii="Times New Roman" w:eastAsia="Times New Roman" w:hAnsi="Times New Roman" w:cs="Times New Roman"/>
            <w:iCs/>
            <w:noProof/>
            <w:sz w:val="20"/>
            <w:szCs w:val="20"/>
            <w:lang w:eastAsia="sk-SK"/>
          </w:rPr>
          <w:t>Príjmy kapitoly ÚPV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_Toc153013107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116</w:t>
        </w:r>
        <w:r w:rsidR="008C5446" w:rsidRPr="008C5446">
          <w:rPr>
            <w:rFonts w:ascii="Times New Roman" w:hAnsi="Times New Roman" w:cs="Times New Roman"/>
            <w:noProof/>
            <w:webHidden/>
            <w:sz w:val="20"/>
            <w:szCs w:val="20"/>
          </w:rPr>
          <w:fldChar w:fldCharType="end"/>
        </w:r>
      </w:hyperlink>
    </w:p>
    <w:p w14:paraId="6FD7CD21" w14:textId="00566B05"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08"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110 - </w:t>
        </w:r>
        <w:r w:rsidR="008C5446" w:rsidRPr="008C5446">
          <w:rPr>
            <w:rStyle w:val="Hypertextovprepojenie"/>
            <w:rFonts w:ascii="Times New Roman" w:eastAsia="Times New Roman" w:hAnsi="Times New Roman" w:cs="Times New Roman"/>
            <w:iCs/>
            <w:noProof/>
            <w:sz w:val="20"/>
            <w:szCs w:val="20"/>
            <w:lang w:eastAsia="sk-SK"/>
          </w:rPr>
          <w:t>Výdavky kapitoly ÚPV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_Toc153013108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116</w:t>
        </w:r>
        <w:r w:rsidR="008C5446" w:rsidRPr="008C5446">
          <w:rPr>
            <w:rFonts w:ascii="Times New Roman" w:hAnsi="Times New Roman" w:cs="Times New Roman"/>
            <w:noProof/>
            <w:webHidden/>
            <w:sz w:val="20"/>
            <w:szCs w:val="20"/>
          </w:rPr>
          <w:fldChar w:fldCharType="end"/>
        </w:r>
      </w:hyperlink>
    </w:p>
    <w:p w14:paraId="44E54C05" w14:textId="43EFA07F"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09"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111 - </w:t>
        </w:r>
        <w:r w:rsidR="008C5446" w:rsidRPr="008C5446">
          <w:rPr>
            <w:rStyle w:val="Hypertextovprepojenie"/>
            <w:rFonts w:ascii="Times New Roman" w:eastAsia="Times New Roman" w:hAnsi="Times New Roman" w:cs="Times New Roman"/>
            <w:iCs/>
            <w:noProof/>
            <w:sz w:val="20"/>
            <w:szCs w:val="20"/>
            <w:lang w:eastAsia="sk-SK"/>
          </w:rPr>
          <w:t>Príjmy kapitoly ÚNMS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_Toc153013109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117</w:t>
        </w:r>
        <w:r w:rsidR="008C5446" w:rsidRPr="008C5446">
          <w:rPr>
            <w:rFonts w:ascii="Times New Roman" w:hAnsi="Times New Roman" w:cs="Times New Roman"/>
            <w:noProof/>
            <w:webHidden/>
            <w:sz w:val="20"/>
            <w:szCs w:val="20"/>
          </w:rPr>
          <w:fldChar w:fldCharType="end"/>
        </w:r>
      </w:hyperlink>
    </w:p>
    <w:p w14:paraId="2BA23E59" w14:textId="5F23437F"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10"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112 - </w:t>
        </w:r>
        <w:r w:rsidR="008C5446" w:rsidRPr="008C5446">
          <w:rPr>
            <w:rStyle w:val="Hypertextovprepojenie"/>
            <w:rFonts w:ascii="Times New Roman" w:eastAsia="Times New Roman" w:hAnsi="Times New Roman" w:cs="Times New Roman"/>
            <w:iCs/>
            <w:noProof/>
            <w:sz w:val="20"/>
            <w:szCs w:val="20"/>
            <w:lang w:eastAsia="sk-SK"/>
          </w:rPr>
          <w:t>Výdavky kapitoly ÚNMS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_Toc153013110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117</w:t>
        </w:r>
        <w:r w:rsidR="008C5446" w:rsidRPr="008C5446">
          <w:rPr>
            <w:rFonts w:ascii="Times New Roman" w:hAnsi="Times New Roman" w:cs="Times New Roman"/>
            <w:noProof/>
            <w:webHidden/>
            <w:sz w:val="20"/>
            <w:szCs w:val="20"/>
          </w:rPr>
          <w:fldChar w:fldCharType="end"/>
        </w:r>
      </w:hyperlink>
    </w:p>
    <w:p w14:paraId="0A3EB0B4" w14:textId="36490AD7"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11"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113 - </w:t>
        </w:r>
        <w:r w:rsidR="008C5446" w:rsidRPr="008C5446">
          <w:rPr>
            <w:rStyle w:val="Hypertextovprepojenie"/>
            <w:rFonts w:ascii="Times New Roman" w:eastAsia="Times New Roman" w:hAnsi="Times New Roman" w:cs="Times New Roman"/>
            <w:iCs/>
            <w:noProof/>
            <w:sz w:val="20"/>
            <w:szCs w:val="20"/>
            <w:lang w:eastAsia="sk-SK"/>
          </w:rPr>
          <w:t>Príjmy kapitoly PMÚ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_Toc153013111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118</w:t>
        </w:r>
        <w:r w:rsidR="008C5446" w:rsidRPr="008C5446">
          <w:rPr>
            <w:rFonts w:ascii="Times New Roman" w:hAnsi="Times New Roman" w:cs="Times New Roman"/>
            <w:noProof/>
            <w:webHidden/>
            <w:sz w:val="20"/>
            <w:szCs w:val="20"/>
          </w:rPr>
          <w:fldChar w:fldCharType="end"/>
        </w:r>
      </w:hyperlink>
    </w:p>
    <w:p w14:paraId="220DB119" w14:textId="41F58932"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12"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114 - </w:t>
        </w:r>
        <w:r w:rsidR="008C5446" w:rsidRPr="008C5446">
          <w:rPr>
            <w:rStyle w:val="Hypertextovprepojenie"/>
            <w:rFonts w:ascii="Times New Roman" w:eastAsia="Times New Roman" w:hAnsi="Times New Roman" w:cs="Times New Roman"/>
            <w:iCs/>
            <w:noProof/>
            <w:sz w:val="20"/>
            <w:szCs w:val="20"/>
            <w:lang w:eastAsia="sk-SK"/>
          </w:rPr>
          <w:t>Výdavky kapitoly PMÚ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_Toc153013112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118</w:t>
        </w:r>
        <w:r w:rsidR="008C5446" w:rsidRPr="008C5446">
          <w:rPr>
            <w:rFonts w:ascii="Times New Roman" w:hAnsi="Times New Roman" w:cs="Times New Roman"/>
            <w:noProof/>
            <w:webHidden/>
            <w:sz w:val="20"/>
            <w:szCs w:val="20"/>
          </w:rPr>
          <w:fldChar w:fldCharType="end"/>
        </w:r>
      </w:hyperlink>
    </w:p>
    <w:p w14:paraId="024FDF68" w14:textId="3636212B"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13"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115 - </w:t>
        </w:r>
        <w:r w:rsidR="008C5446" w:rsidRPr="008C5446">
          <w:rPr>
            <w:rStyle w:val="Hypertextovprepojenie"/>
            <w:rFonts w:ascii="Times New Roman" w:eastAsia="Times New Roman" w:hAnsi="Times New Roman" w:cs="Times New Roman"/>
            <w:iCs/>
            <w:noProof/>
            <w:sz w:val="20"/>
            <w:szCs w:val="20"/>
            <w:lang w:eastAsia="sk-SK"/>
          </w:rPr>
          <w:t>Príjmy kapitoly NBÚ</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_Toc153013113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119</w:t>
        </w:r>
        <w:r w:rsidR="008C5446" w:rsidRPr="008C5446">
          <w:rPr>
            <w:rFonts w:ascii="Times New Roman" w:hAnsi="Times New Roman" w:cs="Times New Roman"/>
            <w:noProof/>
            <w:webHidden/>
            <w:sz w:val="20"/>
            <w:szCs w:val="20"/>
          </w:rPr>
          <w:fldChar w:fldCharType="end"/>
        </w:r>
      </w:hyperlink>
    </w:p>
    <w:p w14:paraId="4D3A4BA8" w14:textId="40E85A0C"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14"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116 - </w:t>
        </w:r>
        <w:r w:rsidR="008C5446" w:rsidRPr="008C5446">
          <w:rPr>
            <w:rStyle w:val="Hypertextovprepojenie"/>
            <w:rFonts w:ascii="Times New Roman" w:eastAsia="Times New Roman" w:hAnsi="Times New Roman" w:cs="Times New Roman"/>
            <w:iCs/>
            <w:noProof/>
            <w:sz w:val="20"/>
            <w:szCs w:val="20"/>
            <w:lang w:eastAsia="sk-SK"/>
          </w:rPr>
          <w:t>Výdavky kapitoly NBÚ</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_Toc153013114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119</w:t>
        </w:r>
        <w:r w:rsidR="008C5446" w:rsidRPr="008C5446">
          <w:rPr>
            <w:rFonts w:ascii="Times New Roman" w:hAnsi="Times New Roman" w:cs="Times New Roman"/>
            <w:noProof/>
            <w:webHidden/>
            <w:sz w:val="20"/>
            <w:szCs w:val="20"/>
          </w:rPr>
          <w:fldChar w:fldCharType="end"/>
        </w:r>
      </w:hyperlink>
    </w:p>
    <w:p w14:paraId="507552AF" w14:textId="70ED4568"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15"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117 - </w:t>
        </w:r>
        <w:r w:rsidR="008C5446" w:rsidRPr="008C5446">
          <w:rPr>
            <w:rStyle w:val="Hypertextovprepojenie"/>
            <w:rFonts w:ascii="Times New Roman" w:eastAsia="Times New Roman" w:hAnsi="Times New Roman" w:cs="Times New Roman"/>
            <w:iCs/>
            <w:noProof/>
            <w:sz w:val="20"/>
            <w:szCs w:val="20"/>
            <w:lang w:eastAsia="sk-SK"/>
          </w:rPr>
          <w:t>Príjmy kapitoly SŠHR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_Toc153013115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120</w:t>
        </w:r>
        <w:r w:rsidR="008C5446" w:rsidRPr="008C5446">
          <w:rPr>
            <w:rFonts w:ascii="Times New Roman" w:hAnsi="Times New Roman" w:cs="Times New Roman"/>
            <w:noProof/>
            <w:webHidden/>
            <w:sz w:val="20"/>
            <w:szCs w:val="20"/>
          </w:rPr>
          <w:fldChar w:fldCharType="end"/>
        </w:r>
      </w:hyperlink>
    </w:p>
    <w:p w14:paraId="3FF1EE92" w14:textId="378A3F31"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16"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118 - </w:t>
        </w:r>
        <w:r w:rsidR="008C5446" w:rsidRPr="008C5446">
          <w:rPr>
            <w:rStyle w:val="Hypertextovprepojenie"/>
            <w:rFonts w:ascii="Times New Roman" w:eastAsia="Times New Roman" w:hAnsi="Times New Roman" w:cs="Times New Roman"/>
            <w:iCs/>
            <w:noProof/>
            <w:sz w:val="20"/>
            <w:szCs w:val="20"/>
            <w:lang w:eastAsia="sk-SK"/>
          </w:rPr>
          <w:t>Výdavky kapitoly SŠHR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_Toc153013116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120</w:t>
        </w:r>
        <w:r w:rsidR="008C5446" w:rsidRPr="008C5446">
          <w:rPr>
            <w:rFonts w:ascii="Times New Roman" w:hAnsi="Times New Roman" w:cs="Times New Roman"/>
            <w:noProof/>
            <w:webHidden/>
            <w:sz w:val="20"/>
            <w:szCs w:val="20"/>
          </w:rPr>
          <w:fldChar w:fldCharType="end"/>
        </w:r>
      </w:hyperlink>
    </w:p>
    <w:p w14:paraId="3F5A3F90" w14:textId="0E0BA4D9"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17"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119 - </w:t>
        </w:r>
        <w:r w:rsidR="008C5446" w:rsidRPr="008C5446">
          <w:rPr>
            <w:rStyle w:val="Hypertextovprepojenie"/>
            <w:rFonts w:ascii="Times New Roman" w:eastAsia="Times New Roman" w:hAnsi="Times New Roman" w:cs="Times New Roman"/>
            <w:iCs/>
            <w:noProof/>
            <w:sz w:val="20"/>
            <w:szCs w:val="20"/>
            <w:lang w:eastAsia="sk-SK"/>
          </w:rPr>
          <w:t>Príjmy kapitoly VPS</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_Toc153013117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121</w:t>
        </w:r>
        <w:r w:rsidR="008C5446" w:rsidRPr="008C5446">
          <w:rPr>
            <w:rFonts w:ascii="Times New Roman" w:hAnsi="Times New Roman" w:cs="Times New Roman"/>
            <w:noProof/>
            <w:webHidden/>
            <w:sz w:val="20"/>
            <w:szCs w:val="20"/>
          </w:rPr>
          <w:fldChar w:fldCharType="end"/>
        </w:r>
      </w:hyperlink>
    </w:p>
    <w:p w14:paraId="04456011" w14:textId="0F0A5909"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18"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120 - </w:t>
        </w:r>
        <w:r w:rsidR="008C5446" w:rsidRPr="008C5446">
          <w:rPr>
            <w:rStyle w:val="Hypertextovprepojenie"/>
            <w:rFonts w:ascii="Times New Roman" w:eastAsia="Times New Roman" w:hAnsi="Times New Roman" w:cs="Times New Roman"/>
            <w:iCs/>
            <w:noProof/>
            <w:sz w:val="20"/>
            <w:szCs w:val="20"/>
            <w:lang w:eastAsia="sk-SK"/>
          </w:rPr>
          <w:t>Výdavky kapitoly VPS</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_Toc153013118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121</w:t>
        </w:r>
        <w:r w:rsidR="008C5446" w:rsidRPr="008C5446">
          <w:rPr>
            <w:rFonts w:ascii="Times New Roman" w:hAnsi="Times New Roman" w:cs="Times New Roman"/>
            <w:noProof/>
            <w:webHidden/>
            <w:sz w:val="20"/>
            <w:szCs w:val="20"/>
          </w:rPr>
          <w:fldChar w:fldCharType="end"/>
        </w:r>
      </w:hyperlink>
    </w:p>
    <w:p w14:paraId="74831D1A" w14:textId="250064DE"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19"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121 - </w:t>
        </w:r>
        <w:r w:rsidR="008C5446" w:rsidRPr="008C5446">
          <w:rPr>
            <w:rStyle w:val="Hypertextovprepojenie"/>
            <w:rFonts w:ascii="Times New Roman" w:eastAsia="Times New Roman" w:hAnsi="Times New Roman" w:cs="Times New Roman"/>
            <w:iCs/>
            <w:noProof/>
            <w:sz w:val="20"/>
            <w:szCs w:val="20"/>
            <w:lang w:eastAsia="sk-SK"/>
          </w:rPr>
          <w:t>Príjmy kapitoly SAV</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_Toc153013119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122</w:t>
        </w:r>
        <w:r w:rsidR="008C5446" w:rsidRPr="008C5446">
          <w:rPr>
            <w:rFonts w:ascii="Times New Roman" w:hAnsi="Times New Roman" w:cs="Times New Roman"/>
            <w:noProof/>
            <w:webHidden/>
            <w:sz w:val="20"/>
            <w:szCs w:val="20"/>
          </w:rPr>
          <w:fldChar w:fldCharType="end"/>
        </w:r>
      </w:hyperlink>
    </w:p>
    <w:p w14:paraId="65005FBC" w14:textId="0C4AB30D"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20"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122 - </w:t>
        </w:r>
        <w:r w:rsidR="008C5446" w:rsidRPr="008C5446">
          <w:rPr>
            <w:rStyle w:val="Hypertextovprepojenie"/>
            <w:rFonts w:ascii="Times New Roman" w:eastAsia="Times New Roman" w:hAnsi="Times New Roman" w:cs="Times New Roman"/>
            <w:iCs/>
            <w:noProof/>
            <w:sz w:val="20"/>
            <w:szCs w:val="20"/>
            <w:lang w:eastAsia="sk-SK"/>
          </w:rPr>
          <w:t>Výdavky kapitoly SAV</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_Toc153013120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122</w:t>
        </w:r>
        <w:r w:rsidR="008C5446" w:rsidRPr="008C5446">
          <w:rPr>
            <w:rFonts w:ascii="Times New Roman" w:hAnsi="Times New Roman" w:cs="Times New Roman"/>
            <w:noProof/>
            <w:webHidden/>
            <w:sz w:val="20"/>
            <w:szCs w:val="20"/>
          </w:rPr>
          <w:fldChar w:fldCharType="end"/>
        </w:r>
      </w:hyperlink>
    </w:p>
    <w:p w14:paraId="5A65A1B6" w14:textId="3B51B908"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21"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123 - </w:t>
        </w:r>
        <w:r w:rsidR="008C5446" w:rsidRPr="008C5446">
          <w:rPr>
            <w:rStyle w:val="Hypertextovprepojenie"/>
            <w:rFonts w:ascii="Times New Roman" w:eastAsia="Times New Roman" w:hAnsi="Times New Roman" w:cs="Times New Roman"/>
            <w:iCs/>
            <w:noProof/>
            <w:sz w:val="20"/>
            <w:szCs w:val="20"/>
            <w:lang w:eastAsia="sk-SK"/>
          </w:rPr>
          <w:t>Výdavky kapitoly KSR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_Toc153013121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123</w:t>
        </w:r>
        <w:r w:rsidR="008C5446" w:rsidRPr="008C5446">
          <w:rPr>
            <w:rFonts w:ascii="Times New Roman" w:hAnsi="Times New Roman" w:cs="Times New Roman"/>
            <w:noProof/>
            <w:webHidden/>
            <w:sz w:val="20"/>
            <w:szCs w:val="20"/>
          </w:rPr>
          <w:fldChar w:fldCharType="end"/>
        </w:r>
      </w:hyperlink>
    </w:p>
    <w:p w14:paraId="07F9AAF9" w14:textId="6419F256"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22"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124 - </w:t>
        </w:r>
        <w:r w:rsidR="008C5446" w:rsidRPr="008C5446">
          <w:rPr>
            <w:rStyle w:val="Hypertextovprepojenie"/>
            <w:rFonts w:ascii="Times New Roman" w:eastAsia="Times New Roman" w:hAnsi="Times New Roman" w:cs="Times New Roman"/>
            <w:iCs/>
            <w:noProof/>
            <w:sz w:val="20"/>
            <w:szCs w:val="20"/>
            <w:lang w:eastAsia="sk-SK"/>
          </w:rPr>
          <w:t>Príjmy kapitoly KNSS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_Toc153013122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123</w:t>
        </w:r>
        <w:r w:rsidR="008C5446" w:rsidRPr="008C5446">
          <w:rPr>
            <w:rFonts w:ascii="Times New Roman" w:hAnsi="Times New Roman" w:cs="Times New Roman"/>
            <w:noProof/>
            <w:webHidden/>
            <w:sz w:val="20"/>
            <w:szCs w:val="20"/>
          </w:rPr>
          <w:fldChar w:fldCharType="end"/>
        </w:r>
      </w:hyperlink>
    </w:p>
    <w:p w14:paraId="1020BC7F" w14:textId="135523B7"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23"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125 - </w:t>
        </w:r>
        <w:r w:rsidR="008C5446" w:rsidRPr="008C5446">
          <w:rPr>
            <w:rStyle w:val="Hypertextovprepojenie"/>
            <w:rFonts w:ascii="Times New Roman" w:eastAsia="Times New Roman" w:hAnsi="Times New Roman" w:cs="Times New Roman"/>
            <w:iCs/>
            <w:noProof/>
            <w:sz w:val="20"/>
            <w:szCs w:val="20"/>
            <w:lang w:eastAsia="sk-SK"/>
          </w:rPr>
          <w:t>Výdavky kapitoly KNSS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_Toc153013123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123</w:t>
        </w:r>
        <w:r w:rsidR="008C5446" w:rsidRPr="008C5446">
          <w:rPr>
            <w:rFonts w:ascii="Times New Roman" w:hAnsi="Times New Roman" w:cs="Times New Roman"/>
            <w:noProof/>
            <w:webHidden/>
            <w:sz w:val="20"/>
            <w:szCs w:val="20"/>
          </w:rPr>
          <w:fldChar w:fldCharType="end"/>
        </w:r>
      </w:hyperlink>
    </w:p>
    <w:p w14:paraId="52EC03CA" w14:textId="4891CEEC"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24"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126 - </w:t>
        </w:r>
        <w:r w:rsidR="008C5446" w:rsidRPr="008C5446">
          <w:rPr>
            <w:rStyle w:val="Hypertextovprepojenie"/>
            <w:rFonts w:ascii="Times New Roman" w:eastAsia="Times New Roman" w:hAnsi="Times New Roman" w:cs="Times New Roman"/>
            <w:iCs/>
            <w:noProof/>
            <w:sz w:val="20"/>
            <w:szCs w:val="20"/>
            <w:lang w:eastAsia="sk-SK"/>
          </w:rPr>
          <w:t>Príjmy kapitoly ÚÚPV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_Toc153013124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124</w:t>
        </w:r>
        <w:r w:rsidR="008C5446" w:rsidRPr="008C5446">
          <w:rPr>
            <w:rFonts w:ascii="Times New Roman" w:hAnsi="Times New Roman" w:cs="Times New Roman"/>
            <w:noProof/>
            <w:webHidden/>
            <w:sz w:val="20"/>
            <w:szCs w:val="20"/>
          </w:rPr>
          <w:fldChar w:fldCharType="end"/>
        </w:r>
      </w:hyperlink>
    </w:p>
    <w:p w14:paraId="435A4A4E" w14:textId="7E464C99" w:rsidR="008C5446" w:rsidRPr="008C5446"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3125" w:history="1">
        <w:r w:rsidR="008C5446" w:rsidRPr="008C5446">
          <w:rPr>
            <w:rStyle w:val="Hypertextovprepojenie"/>
            <w:rFonts w:ascii="Times New Roman" w:eastAsia="Times New Roman" w:hAnsi="Times New Roman" w:cs="Times New Roman"/>
            <w:iCs/>
            <w:noProof/>
            <w:sz w:val="20"/>
            <w:szCs w:val="20"/>
            <w:lang w:eastAsia="sk-SK"/>
          </w:rPr>
          <w:t xml:space="preserve">Tabuľka </w:t>
        </w:r>
        <w:r w:rsidR="008C5446" w:rsidRPr="008C5446">
          <w:rPr>
            <w:rStyle w:val="Hypertextovprepojenie"/>
            <w:rFonts w:ascii="Times New Roman" w:hAnsi="Times New Roman" w:cs="Times New Roman"/>
            <w:noProof/>
            <w:sz w:val="20"/>
            <w:szCs w:val="20"/>
          </w:rPr>
          <w:t xml:space="preserve">127 - </w:t>
        </w:r>
        <w:r w:rsidR="008C5446" w:rsidRPr="008C5446">
          <w:rPr>
            <w:rStyle w:val="Hypertextovprepojenie"/>
            <w:rFonts w:ascii="Times New Roman" w:eastAsia="Times New Roman" w:hAnsi="Times New Roman" w:cs="Times New Roman"/>
            <w:iCs/>
            <w:noProof/>
            <w:sz w:val="20"/>
            <w:szCs w:val="20"/>
            <w:lang w:eastAsia="sk-SK"/>
          </w:rPr>
          <w:t>Výdavky kapitoly ÚÚPV SR</w:t>
        </w:r>
        <w:r w:rsidR="008C5446" w:rsidRPr="008C5446">
          <w:rPr>
            <w:rFonts w:ascii="Times New Roman" w:hAnsi="Times New Roman" w:cs="Times New Roman"/>
            <w:noProof/>
            <w:webHidden/>
            <w:sz w:val="20"/>
            <w:szCs w:val="20"/>
          </w:rPr>
          <w:tab/>
        </w:r>
        <w:r w:rsidR="008C5446" w:rsidRPr="008C5446">
          <w:rPr>
            <w:rFonts w:ascii="Times New Roman" w:hAnsi="Times New Roman" w:cs="Times New Roman"/>
            <w:noProof/>
            <w:webHidden/>
            <w:sz w:val="20"/>
            <w:szCs w:val="20"/>
          </w:rPr>
          <w:fldChar w:fldCharType="begin"/>
        </w:r>
        <w:r w:rsidR="008C5446" w:rsidRPr="008C5446">
          <w:rPr>
            <w:rFonts w:ascii="Times New Roman" w:hAnsi="Times New Roman" w:cs="Times New Roman"/>
            <w:noProof/>
            <w:webHidden/>
            <w:sz w:val="20"/>
            <w:szCs w:val="20"/>
          </w:rPr>
          <w:instrText xml:space="preserve"> PAGEREF _Toc153013125 \h </w:instrText>
        </w:r>
        <w:r w:rsidR="008C5446" w:rsidRPr="008C5446">
          <w:rPr>
            <w:rFonts w:ascii="Times New Roman" w:hAnsi="Times New Roman" w:cs="Times New Roman"/>
            <w:noProof/>
            <w:webHidden/>
            <w:sz w:val="20"/>
            <w:szCs w:val="20"/>
          </w:rPr>
        </w:r>
        <w:r w:rsidR="008C5446" w:rsidRPr="008C5446">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124</w:t>
        </w:r>
        <w:r w:rsidR="008C5446" w:rsidRPr="008C5446">
          <w:rPr>
            <w:rFonts w:ascii="Times New Roman" w:hAnsi="Times New Roman" w:cs="Times New Roman"/>
            <w:noProof/>
            <w:webHidden/>
            <w:sz w:val="20"/>
            <w:szCs w:val="20"/>
          </w:rPr>
          <w:fldChar w:fldCharType="end"/>
        </w:r>
      </w:hyperlink>
    </w:p>
    <w:p w14:paraId="21911E9F" w14:textId="140660BA" w:rsidR="009E1EE1" w:rsidRDefault="00052B0A" w:rsidP="00D14E17">
      <w:pPr>
        <w:spacing w:after="0"/>
        <w:rPr>
          <w:rFonts w:ascii="Times New Roman" w:hAnsi="Times New Roman" w:cs="Times New Roman"/>
          <w:sz w:val="20"/>
          <w:szCs w:val="20"/>
        </w:rPr>
      </w:pPr>
      <w:r w:rsidRPr="008C5446">
        <w:rPr>
          <w:rFonts w:ascii="Times New Roman" w:hAnsi="Times New Roman" w:cs="Times New Roman"/>
          <w:sz w:val="20"/>
          <w:szCs w:val="20"/>
        </w:rPr>
        <w:fldChar w:fldCharType="end"/>
      </w:r>
    </w:p>
    <w:p w14:paraId="5750770D" w14:textId="77777777" w:rsidR="00052B0A" w:rsidRDefault="00052B0A" w:rsidP="00D14E17">
      <w:pPr>
        <w:spacing w:after="0"/>
        <w:rPr>
          <w:rFonts w:ascii="Times New Roman" w:hAnsi="Times New Roman" w:cs="Times New Roman"/>
          <w:b/>
          <w:color w:val="5B9BD5" w:themeColor="accent1"/>
          <w:sz w:val="28"/>
        </w:rPr>
      </w:pPr>
      <w:r w:rsidRPr="00052B0A">
        <w:rPr>
          <w:rFonts w:ascii="Times New Roman" w:hAnsi="Times New Roman" w:cs="Times New Roman"/>
          <w:b/>
          <w:color w:val="5B9BD5" w:themeColor="accent1"/>
          <w:sz w:val="28"/>
        </w:rPr>
        <w:t xml:space="preserve">Zoznam </w:t>
      </w:r>
      <w:r>
        <w:rPr>
          <w:rFonts w:ascii="Times New Roman" w:hAnsi="Times New Roman" w:cs="Times New Roman"/>
          <w:b/>
          <w:color w:val="5B9BD5" w:themeColor="accent1"/>
          <w:sz w:val="28"/>
        </w:rPr>
        <w:t>grafov</w:t>
      </w:r>
    </w:p>
    <w:p w14:paraId="44F41DE4" w14:textId="77777777" w:rsidR="00D14E17" w:rsidRPr="005F019B" w:rsidRDefault="00D14E17" w:rsidP="00D14E17">
      <w:pPr>
        <w:spacing w:after="0"/>
        <w:rPr>
          <w:rFonts w:ascii="Times New Roman" w:hAnsi="Times New Roman" w:cs="Times New Roman"/>
          <w:color w:val="5B9BD5" w:themeColor="accent1"/>
          <w:sz w:val="20"/>
          <w:szCs w:val="20"/>
        </w:rPr>
      </w:pPr>
    </w:p>
    <w:p w14:paraId="10FE898D" w14:textId="0B605EFC" w:rsidR="00560D43" w:rsidRPr="00560D43" w:rsidRDefault="00362824">
      <w:pPr>
        <w:pStyle w:val="Zoznamobrzkov"/>
        <w:tabs>
          <w:tab w:val="right" w:leader="dot" w:pos="9062"/>
        </w:tabs>
        <w:rPr>
          <w:rFonts w:ascii="Times New Roman" w:eastAsiaTheme="minorEastAsia" w:hAnsi="Times New Roman" w:cs="Times New Roman"/>
          <w:noProof/>
          <w:sz w:val="20"/>
          <w:szCs w:val="20"/>
          <w:lang w:eastAsia="sk-SK"/>
        </w:rPr>
      </w:pPr>
      <w:r w:rsidRPr="00560D43">
        <w:rPr>
          <w:rFonts w:ascii="Times New Roman" w:hAnsi="Times New Roman" w:cs="Times New Roman"/>
          <w:sz w:val="20"/>
          <w:szCs w:val="20"/>
        </w:rPr>
        <w:fldChar w:fldCharType="begin"/>
      </w:r>
      <w:r w:rsidRPr="00560D43">
        <w:rPr>
          <w:rFonts w:ascii="Times New Roman" w:hAnsi="Times New Roman" w:cs="Times New Roman"/>
          <w:sz w:val="20"/>
          <w:szCs w:val="20"/>
        </w:rPr>
        <w:instrText xml:space="preserve"> TOC \h \z \c "Obrázok" </w:instrText>
      </w:r>
      <w:r w:rsidRPr="00560D43">
        <w:rPr>
          <w:rFonts w:ascii="Times New Roman" w:hAnsi="Times New Roman" w:cs="Times New Roman"/>
          <w:sz w:val="20"/>
          <w:szCs w:val="20"/>
        </w:rPr>
        <w:fldChar w:fldCharType="separate"/>
      </w:r>
      <w:hyperlink w:anchor="_Toc153014648" w:history="1">
        <w:r w:rsidR="00560D43" w:rsidRPr="00560D43">
          <w:rPr>
            <w:rStyle w:val="Hypertextovprepojenie"/>
            <w:rFonts w:ascii="Times New Roman" w:hAnsi="Times New Roman" w:cs="Times New Roman"/>
            <w:noProof/>
            <w:sz w:val="20"/>
            <w:szCs w:val="20"/>
          </w:rPr>
          <w:t xml:space="preserve">Graf </w:t>
        </w:r>
        <w:r w:rsidR="00560D43" w:rsidRPr="00560D43">
          <w:rPr>
            <w:rStyle w:val="Hypertextovprepojenie"/>
            <w:rFonts w:ascii="Times New Roman" w:eastAsia="Calibri" w:hAnsi="Times New Roman" w:cs="Times New Roman"/>
            <w:iCs/>
            <w:noProof/>
            <w:sz w:val="20"/>
            <w:szCs w:val="20"/>
          </w:rPr>
          <w:t>1 -</w:t>
        </w:r>
        <w:r w:rsidR="00560D43" w:rsidRPr="00560D43">
          <w:rPr>
            <w:rStyle w:val="Hypertextovprepojenie"/>
            <w:rFonts w:ascii="Times New Roman" w:hAnsi="Times New Roman" w:cs="Times New Roman"/>
            <w:noProof/>
            <w:sz w:val="20"/>
            <w:szCs w:val="20"/>
          </w:rPr>
          <w:t xml:space="preserve">  Zmena odhadu výberu daní a odvodov v roku 2023 voči RVS – (podľa jednotlivých faktorov, v mil. eur)</w:t>
        </w:r>
        <w:r w:rsidR="00560D43" w:rsidRPr="00560D43">
          <w:rPr>
            <w:rFonts w:ascii="Times New Roman" w:hAnsi="Times New Roman" w:cs="Times New Roman"/>
            <w:noProof/>
            <w:webHidden/>
            <w:sz w:val="20"/>
            <w:szCs w:val="20"/>
          </w:rPr>
          <w:tab/>
        </w:r>
        <w:r w:rsidR="00560D43" w:rsidRPr="00560D43">
          <w:rPr>
            <w:rFonts w:ascii="Times New Roman" w:hAnsi="Times New Roman" w:cs="Times New Roman"/>
            <w:noProof/>
            <w:webHidden/>
            <w:sz w:val="20"/>
            <w:szCs w:val="20"/>
          </w:rPr>
          <w:fldChar w:fldCharType="begin"/>
        </w:r>
        <w:r w:rsidR="00560D43" w:rsidRPr="00560D43">
          <w:rPr>
            <w:rFonts w:ascii="Times New Roman" w:hAnsi="Times New Roman" w:cs="Times New Roman"/>
            <w:noProof/>
            <w:webHidden/>
            <w:sz w:val="20"/>
            <w:szCs w:val="20"/>
          </w:rPr>
          <w:instrText xml:space="preserve"> PAGEREF _Toc153014648 \h </w:instrText>
        </w:r>
        <w:r w:rsidR="00560D43" w:rsidRPr="00560D43">
          <w:rPr>
            <w:rFonts w:ascii="Times New Roman" w:hAnsi="Times New Roman" w:cs="Times New Roman"/>
            <w:noProof/>
            <w:webHidden/>
            <w:sz w:val="20"/>
            <w:szCs w:val="20"/>
          </w:rPr>
        </w:r>
        <w:r w:rsidR="00560D43" w:rsidRPr="00560D43">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17</w:t>
        </w:r>
        <w:r w:rsidR="00560D43" w:rsidRPr="00560D43">
          <w:rPr>
            <w:rFonts w:ascii="Times New Roman" w:hAnsi="Times New Roman" w:cs="Times New Roman"/>
            <w:noProof/>
            <w:webHidden/>
            <w:sz w:val="20"/>
            <w:szCs w:val="20"/>
          </w:rPr>
          <w:fldChar w:fldCharType="end"/>
        </w:r>
      </w:hyperlink>
    </w:p>
    <w:p w14:paraId="0FEF9462" w14:textId="5C0628A6" w:rsidR="00560D43" w:rsidRPr="00560D43"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4649" w:history="1">
        <w:r w:rsidR="00560D43" w:rsidRPr="00560D43">
          <w:rPr>
            <w:rStyle w:val="Hypertextovprepojenie"/>
            <w:rFonts w:ascii="Times New Roman" w:hAnsi="Times New Roman" w:cs="Times New Roman"/>
            <w:noProof/>
            <w:sz w:val="20"/>
            <w:szCs w:val="20"/>
          </w:rPr>
          <w:t xml:space="preserve">Graf </w:t>
        </w:r>
        <w:r w:rsidR="00560D43" w:rsidRPr="00560D43">
          <w:rPr>
            <w:rStyle w:val="Hypertextovprepojenie"/>
            <w:rFonts w:ascii="Times New Roman" w:eastAsia="Calibri" w:hAnsi="Times New Roman" w:cs="Times New Roman"/>
            <w:iCs/>
            <w:noProof/>
            <w:sz w:val="20"/>
            <w:szCs w:val="20"/>
          </w:rPr>
          <w:t xml:space="preserve">2 - </w:t>
        </w:r>
        <w:r w:rsidR="00560D43" w:rsidRPr="00560D43">
          <w:rPr>
            <w:rStyle w:val="Hypertextovprepojenie"/>
            <w:rFonts w:ascii="Times New Roman" w:hAnsi="Times New Roman" w:cs="Times New Roman"/>
            <w:noProof/>
            <w:sz w:val="20"/>
            <w:szCs w:val="20"/>
          </w:rPr>
          <w:t>Zmena odhadu výberu daní a odvodov voči rozpočtu verejnej správy (podľa vybraných daní, rok 2023, v mil. eur)</w:t>
        </w:r>
        <w:r w:rsidR="00560D43" w:rsidRPr="00560D43">
          <w:rPr>
            <w:rFonts w:ascii="Times New Roman" w:hAnsi="Times New Roman" w:cs="Times New Roman"/>
            <w:noProof/>
            <w:webHidden/>
            <w:sz w:val="20"/>
            <w:szCs w:val="20"/>
          </w:rPr>
          <w:tab/>
        </w:r>
        <w:r w:rsidR="00560D43" w:rsidRPr="00560D43">
          <w:rPr>
            <w:rFonts w:ascii="Times New Roman" w:hAnsi="Times New Roman" w:cs="Times New Roman"/>
            <w:noProof/>
            <w:webHidden/>
            <w:sz w:val="20"/>
            <w:szCs w:val="20"/>
          </w:rPr>
          <w:fldChar w:fldCharType="begin"/>
        </w:r>
        <w:r w:rsidR="00560D43" w:rsidRPr="00560D43">
          <w:rPr>
            <w:rFonts w:ascii="Times New Roman" w:hAnsi="Times New Roman" w:cs="Times New Roman"/>
            <w:noProof/>
            <w:webHidden/>
            <w:sz w:val="20"/>
            <w:szCs w:val="20"/>
          </w:rPr>
          <w:instrText xml:space="preserve"> PAGEREF _Toc153014649 \h </w:instrText>
        </w:r>
        <w:r w:rsidR="00560D43" w:rsidRPr="00560D43">
          <w:rPr>
            <w:rFonts w:ascii="Times New Roman" w:hAnsi="Times New Roman" w:cs="Times New Roman"/>
            <w:noProof/>
            <w:webHidden/>
            <w:sz w:val="20"/>
            <w:szCs w:val="20"/>
          </w:rPr>
        </w:r>
        <w:r w:rsidR="00560D43" w:rsidRPr="00560D43">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17</w:t>
        </w:r>
        <w:r w:rsidR="00560D43" w:rsidRPr="00560D43">
          <w:rPr>
            <w:rFonts w:ascii="Times New Roman" w:hAnsi="Times New Roman" w:cs="Times New Roman"/>
            <w:noProof/>
            <w:webHidden/>
            <w:sz w:val="20"/>
            <w:szCs w:val="20"/>
          </w:rPr>
          <w:fldChar w:fldCharType="end"/>
        </w:r>
      </w:hyperlink>
    </w:p>
    <w:p w14:paraId="751C22E1" w14:textId="73BB2443" w:rsidR="00560D43" w:rsidRPr="00560D43"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4650" w:history="1">
        <w:r w:rsidR="00560D43" w:rsidRPr="00560D43">
          <w:rPr>
            <w:rStyle w:val="Hypertextovprepojenie"/>
            <w:rFonts w:ascii="Times New Roman" w:hAnsi="Times New Roman" w:cs="Times New Roman"/>
            <w:bCs/>
            <w:noProof/>
            <w:sz w:val="20"/>
            <w:szCs w:val="20"/>
          </w:rPr>
          <w:t xml:space="preserve">Graf </w:t>
        </w:r>
        <w:r w:rsidR="00560D43" w:rsidRPr="00560D43">
          <w:rPr>
            <w:rStyle w:val="Hypertextovprepojenie"/>
            <w:rFonts w:ascii="Times New Roman" w:eastAsia="Calibri" w:hAnsi="Times New Roman" w:cs="Times New Roman"/>
            <w:iCs/>
            <w:noProof/>
            <w:sz w:val="20"/>
            <w:szCs w:val="20"/>
          </w:rPr>
          <w:t>3</w:t>
        </w:r>
        <w:r w:rsidR="00560D43" w:rsidRPr="00560D43">
          <w:rPr>
            <w:rStyle w:val="Hypertextovprepojenie"/>
            <w:rFonts w:ascii="Times New Roman" w:hAnsi="Times New Roman" w:cs="Times New Roman"/>
            <w:bCs/>
            <w:noProof/>
            <w:sz w:val="20"/>
            <w:szCs w:val="20"/>
          </w:rPr>
          <w:t xml:space="preserve"> – Strednodobá prognóza hrubého a čistého dlhu verejnej správy</w:t>
        </w:r>
        <w:r w:rsidR="00560D43" w:rsidRPr="00560D43">
          <w:rPr>
            <w:rFonts w:ascii="Times New Roman" w:hAnsi="Times New Roman" w:cs="Times New Roman"/>
            <w:noProof/>
            <w:webHidden/>
            <w:sz w:val="20"/>
            <w:szCs w:val="20"/>
          </w:rPr>
          <w:tab/>
        </w:r>
        <w:r w:rsidR="00560D43" w:rsidRPr="00560D43">
          <w:rPr>
            <w:rFonts w:ascii="Times New Roman" w:hAnsi="Times New Roman" w:cs="Times New Roman"/>
            <w:noProof/>
            <w:webHidden/>
            <w:sz w:val="20"/>
            <w:szCs w:val="20"/>
          </w:rPr>
          <w:fldChar w:fldCharType="begin"/>
        </w:r>
        <w:r w:rsidR="00560D43" w:rsidRPr="00560D43">
          <w:rPr>
            <w:rFonts w:ascii="Times New Roman" w:hAnsi="Times New Roman" w:cs="Times New Roman"/>
            <w:noProof/>
            <w:webHidden/>
            <w:sz w:val="20"/>
            <w:szCs w:val="20"/>
          </w:rPr>
          <w:instrText xml:space="preserve"> PAGEREF _Toc153014650 \h </w:instrText>
        </w:r>
        <w:r w:rsidR="00560D43" w:rsidRPr="00560D43">
          <w:rPr>
            <w:rFonts w:ascii="Times New Roman" w:hAnsi="Times New Roman" w:cs="Times New Roman"/>
            <w:noProof/>
            <w:webHidden/>
            <w:sz w:val="20"/>
            <w:szCs w:val="20"/>
          </w:rPr>
        </w:r>
        <w:r w:rsidR="00560D43" w:rsidRPr="00560D43">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21</w:t>
        </w:r>
        <w:r w:rsidR="00560D43" w:rsidRPr="00560D43">
          <w:rPr>
            <w:rFonts w:ascii="Times New Roman" w:hAnsi="Times New Roman" w:cs="Times New Roman"/>
            <w:noProof/>
            <w:webHidden/>
            <w:sz w:val="20"/>
            <w:szCs w:val="20"/>
          </w:rPr>
          <w:fldChar w:fldCharType="end"/>
        </w:r>
      </w:hyperlink>
    </w:p>
    <w:p w14:paraId="5373032E" w14:textId="788AF5EF" w:rsidR="00560D43" w:rsidRPr="00560D43"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4651" w:history="1">
        <w:r w:rsidR="00560D43" w:rsidRPr="00560D43">
          <w:rPr>
            <w:rStyle w:val="Hypertextovprepojenie"/>
            <w:rFonts w:ascii="Times New Roman" w:hAnsi="Times New Roman" w:cs="Times New Roman"/>
            <w:bCs/>
            <w:noProof/>
            <w:sz w:val="20"/>
            <w:szCs w:val="20"/>
          </w:rPr>
          <w:t xml:space="preserve">Graf </w:t>
        </w:r>
        <w:r w:rsidR="00560D43" w:rsidRPr="00560D43">
          <w:rPr>
            <w:rStyle w:val="Hypertextovprepojenie"/>
            <w:rFonts w:ascii="Times New Roman" w:eastAsia="Calibri" w:hAnsi="Times New Roman" w:cs="Times New Roman"/>
            <w:iCs/>
            <w:noProof/>
            <w:sz w:val="20"/>
            <w:szCs w:val="20"/>
          </w:rPr>
          <w:t>4</w:t>
        </w:r>
        <w:r w:rsidR="00560D43" w:rsidRPr="00560D43">
          <w:rPr>
            <w:rStyle w:val="Hypertextovprepojenie"/>
            <w:rFonts w:ascii="Times New Roman" w:hAnsi="Times New Roman" w:cs="Times New Roman"/>
            <w:bCs/>
            <w:noProof/>
            <w:sz w:val="20"/>
            <w:szCs w:val="20"/>
          </w:rPr>
          <w:t xml:space="preserve"> – Príspevky k medziročnej zmene hrubého dlhu</w:t>
        </w:r>
        <w:r w:rsidR="00560D43" w:rsidRPr="00560D43">
          <w:rPr>
            <w:rFonts w:ascii="Times New Roman" w:hAnsi="Times New Roman" w:cs="Times New Roman"/>
            <w:noProof/>
            <w:webHidden/>
            <w:sz w:val="20"/>
            <w:szCs w:val="20"/>
          </w:rPr>
          <w:tab/>
        </w:r>
        <w:r w:rsidR="00560D43" w:rsidRPr="00560D43">
          <w:rPr>
            <w:rFonts w:ascii="Times New Roman" w:hAnsi="Times New Roman" w:cs="Times New Roman"/>
            <w:noProof/>
            <w:webHidden/>
            <w:sz w:val="20"/>
            <w:szCs w:val="20"/>
          </w:rPr>
          <w:fldChar w:fldCharType="begin"/>
        </w:r>
        <w:r w:rsidR="00560D43" w:rsidRPr="00560D43">
          <w:rPr>
            <w:rFonts w:ascii="Times New Roman" w:hAnsi="Times New Roman" w:cs="Times New Roman"/>
            <w:noProof/>
            <w:webHidden/>
            <w:sz w:val="20"/>
            <w:szCs w:val="20"/>
          </w:rPr>
          <w:instrText xml:space="preserve"> PAGEREF _Toc153014651 \h </w:instrText>
        </w:r>
        <w:r w:rsidR="00560D43" w:rsidRPr="00560D43">
          <w:rPr>
            <w:rFonts w:ascii="Times New Roman" w:hAnsi="Times New Roman" w:cs="Times New Roman"/>
            <w:noProof/>
            <w:webHidden/>
            <w:sz w:val="20"/>
            <w:szCs w:val="20"/>
          </w:rPr>
        </w:r>
        <w:r w:rsidR="00560D43" w:rsidRPr="00560D43">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21</w:t>
        </w:r>
        <w:r w:rsidR="00560D43" w:rsidRPr="00560D43">
          <w:rPr>
            <w:rFonts w:ascii="Times New Roman" w:hAnsi="Times New Roman" w:cs="Times New Roman"/>
            <w:noProof/>
            <w:webHidden/>
            <w:sz w:val="20"/>
            <w:szCs w:val="20"/>
          </w:rPr>
          <w:fldChar w:fldCharType="end"/>
        </w:r>
      </w:hyperlink>
    </w:p>
    <w:p w14:paraId="7E4DD5D9" w14:textId="432D857A" w:rsidR="00560D43" w:rsidRPr="00560D43"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4652" w:history="1">
        <w:r w:rsidR="00560D43" w:rsidRPr="00560D43">
          <w:rPr>
            <w:rStyle w:val="Hypertextovprepojenie"/>
            <w:rFonts w:ascii="Times New Roman" w:eastAsia="Calibri" w:hAnsi="Times New Roman" w:cs="Times New Roman"/>
            <w:iCs/>
            <w:noProof/>
            <w:sz w:val="20"/>
            <w:szCs w:val="20"/>
          </w:rPr>
          <w:t>Graf 5 - Medziročný vývoj daňových a odvodových príjmov verejnej správy</w:t>
        </w:r>
        <w:r w:rsidR="00560D43" w:rsidRPr="00560D43">
          <w:rPr>
            <w:rFonts w:ascii="Times New Roman" w:hAnsi="Times New Roman" w:cs="Times New Roman"/>
            <w:noProof/>
            <w:webHidden/>
            <w:sz w:val="20"/>
            <w:szCs w:val="20"/>
          </w:rPr>
          <w:tab/>
        </w:r>
        <w:r w:rsidR="00560D43" w:rsidRPr="00560D43">
          <w:rPr>
            <w:rFonts w:ascii="Times New Roman" w:hAnsi="Times New Roman" w:cs="Times New Roman"/>
            <w:noProof/>
            <w:webHidden/>
            <w:sz w:val="20"/>
            <w:szCs w:val="20"/>
          </w:rPr>
          <w:fldChar w:fldCharType="begin"/>
        </w:r>
        <w:r w:rsidR="00560D43" w:rsidRPr="00560D43">
          <w:rPr>
            <w:rFonts w:ascii="Times New Roman" w:hAnsi="Times New Roman" w:cs="Times New Roman"/>
            <w:noProof/>
            <w:webHidden/>
            <w:sz w:val="20"/>
            <w:szCs w:val="20"/>
          </w:rPr>
          <w:instrText xml:space="preserve"> PAGEREF _Toc153014652 \h </w:instrText>
        </w:r>
        <w:r w:rsidR="00560D43" w:rsidRPr="00560D43">
          <w:rPr>
            <w:rFonts w:ascii="Times New Roman" w:hAnsi="Times New Roman" w:cs="Times New Roman"/>
            <w:noProof/>
            <w:webHidden/>
            <w:sz w:val="20"/>
            <w:szCs w:val="20"/>
          </w:rPr>
        </w:r>
        <w:r w:rsidR="00560D43" w:rsidRPr="00560D43">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31</w:t>
        </w:r>
        <w:r w:rsidR="00560D43" w:rsidRPr="00560D43">
          <w:rPr>
            <w:rFonts w:ascii="Times New Roman" w:hAnsi="Times New Roman" w:cs="Times New Roman"/>
            <w:noProof/>
            <w:webHidden/>
            <w:sz w:val="20"/>
            <w:szCs w:val="20"/>
          </w:rPr>
          <w:fldChar w:fldCharType="end"/>
        </w:r>
      </w:hyperlink>
    </w:p>
    <w:p w14:paraId="0B11D361" w14:textId="30D397D8" w:rsidR="00560D43" w:rsidRPr="00560D43"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4653" w:history="1">
        <w:r w:rsidR="00560D43" w:rsidRPr="00560D43">
          <w:rPr>
            <w:rStyle w:val="Hypertextovprepojenie"/>
            <w:rFonts w:ascii="Times New Roman" w:eastAsia="Calibri" w:hAnsi="Times New Roman" w:cs="Times New Roman"/>
            <w:noProof/>
            <w:sz w:val="20"/>
            <w:szCs w:val="20"/>
          </w:rPr>
          <w:t xml:space="preserve">Graf </w:t>
        </w:r>
        <w:r w:rsidR="00560D43" w:rsidRPr="00560D43">
          <w:rPr>
            <w:rStyle w:val="Hypertextovprepojenie"/>
            <w:rFonts w:ascii="Times New Roman" w:eastAsia="Calibri" w:hAnsi="Times New Roman" w:cs="Times New Roman"/>
            <w:iCs/>
            <w:noProof/>
            <w:sz w:val="20"/>
            <w:szCs w:val="20"/>
          </w:rPr>
          <w:t>6</w:t>
        </w:r>
        <w:r w:rsidR="00560D43" w:rsidRPr="00560D43">
          <w:rPr>
            <w:rStyle w:val="Hypertextovprepojenie"/>
            <w:rFonts w:ascii="Times New Roman" w:eastAsia="Calibri" w:hAnsi="Times New Roman" w:cs="Times New Roman"/>
            <w:noProof/>
            <w:sz w:val="20"/>
            <w:szCs w:val="20"/>
          </w:rPr>
          <w:t xml:space="preserve"> - Prognóza daňových</w:t>
        </w:r>
        <w:r w:rsidR="00560D43" w:rsidRPr="00560D43">
          <w:rPr>
            <w:rStyle w:val="Hypertextovprepojenie"/>
            <w:rFonts w:ascii="Times New Roman" w:eastAsia="Calibri" w:hAnsi="Times New Roman" w:cs="Times New Roman"/>
            <w:iCs/>
            <w:noProof/>
            <w:sz w:val="20"/>
            <w:szCs w:val="20"/>
          </w:rPr>
          <w:t xml:space="preserve"> príjmov verejnej správy na rok 2024 podľa sektorov (ESA 2010, v mil. eur)</w:t>
        </w:r>
        <w:r w:rsidR="00560D43" w:rsidRPr="00560D43">
          <w:rPr>
            <w:rFonts w:ascii="Times New Roman" w:hAnsi="Times New Roman" w:cs="Times New Roman"/>
            <w:noProof/>
            <w:webHidden/>
            <w:sz w:val="20"/>
            <w:szCs w:val="20"/>
          </w:rPr>
          <w:tab/>
        </w:r>
        <w:r w:rsidR="00560D43" w:rsidRPr="00560D43">
          <w:rPr>
            <w:rFonts w:ascii="Times New Roman" w:hAnsi="Times New Roman" w:cs="Times New Roman"/>
            <w:noProof/>
            <w:webHidden/>
            <w:sz w:val="20"/>
            <w:szCs w:val="20"/>
          </w:rPr>
          <w:fldChar w:fldCharType="begin"/>
        </w:r>
        <w:r w:rsidR="00560D43" w:rsidRPr="00560D43">
          <w:rPr>
            <w:rFonts w:ascii="Times New Roman" w:hAnsi="Times New Roman" w:cs="Times New Roman"/>
            <w:noProof/>
            <w:webHidden/>
            <w:sz w:val="20"/>
            <w:szCs w:val="20"/>
          </w:rPr>
          <w:instrText xml:space="preserve"> PAGEREF _Toc153014653 \h </w:instrText>
        </w:r>
        <w:r w:rsidR="00560D43" w:rsidRPr="00560D43">
          <w:rPr>
            <w:rFonts w:ascii="Times New Roman" w:hAnsi="Times New Roman" w:cs="Times New Roman"/>
            <w:noProof/>
            <w:webHidden/>
            <w:sz w:val="20"/>
            <w:szCs w:val="20"/>
          </w:rPr>
        </w:r>
        <w:r w:rsidR="00560D43" w:rsidRPr="00560D43">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32</w:t>
        </w:r>
        <w:r w:rsidR="00560D43" w:rsidRPr="00560D43">
          <w:rPr>
            <w:rFonts w:ascii="Times New Roman" w:hAnsi="Times New Roman" w:cs="Times New Roman"/>
            <w:noProof/>
            <w:webHidden/>
            <w:sz w:val="20"/>
            <w:szCs w:val="20"/>
          </w:rPr>
          <w:fldChar w:fldCharType="end"/>
        </w:r>
      </w:hyperlink>
    </w:p>
    <w:p w14:paraId="45E6F94B" w14:textId="12E079C4" w:rsidR="00560D43" w:rsidRPr="00560D43"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4654" w:history="1">
        <w:r w:rsidR="00560D43" w:rsidRPr="00560D43">
          <w:rPr>
            <w:rStyle w:val="Hypertextovprepojenie"/>
            <w:rFonts w:ascii="Times New Roman" w:hAnsi="Times New Roman" w:cs="Times New Roman"/>
            <w:iCs/>
            <w:noProof/>
            <w:sz w:val="20"/>
            <w:szCs w:val="20"/>
          </w:rPr>
          <w:t xml:space="preserve">Graf </w:t>
        </w:r>
        <w:r w:rsidR="00560D43" w:rsidRPr="00560D43">
          <w:rPr>
            <w:rStyle w:val="Hypertextovprepojenie"/>
            <w:rFonts w:ascii="Times New Roman" w:eastAsia="Calibri" w:hAnsi="Times New Roman" w:cs="Times New Roman"/>
            <w:iCs/>
            <w:noProof/>
            <w:sz w:val="20"/>
            <w:szCs w:val="20"/>
          </w:rPr>
          <w:t>7</w:t>
        </w:r>
        <w:r w:rsidR="00560D43" w:rsidRPr="00560D43">
          <w:rPr>
            <w:rStyle w:val="Hypertextovprepojenie"/>
            <w:rFonts w:ascii="Times New Roman" w:hAnsi="Times New Roman" w:cs="Times New Roman"/>
            <w:iCs/>
            <w:noProof/>
            <w:sz w:val="20"/>
            <w:szCs w:val="20"/>
          </w:rPr>
          <w:t xml:space="preserve"> - Medziročná zmena počtu zamestnancov</w:t>
        </w:r>
        <w:r w:rsidR="00560D43" w:rsidRPr="00560D43">
          <w:rPr>
            <w:rFonts w:ascii="Times New Roman" w:hAnsi="Times New Roman" w:cs="Times New Roman"/>
            <w:noProof/>
            <w:webHidden/>
            <w:sz w:val="20"/>
            <w:szCs w:val="20"/>
          </w:rPr>
          <w:tab/>
        </w:r>
        <w:r w:rsidR="00560D43" w:rsidRPr="00560D43">
          <w:rPr>
            <w:rFonts w:ascii="Times New Roman" w:hAnsi="Times New Roman" w:cs="Times New Roman"/>
            <w:noProof/>
            <w:webHidden/>
            <w:sz w:val="20"/>
            <w:szCs w:val="20"/>
          </w:rPr>
          <w:fldChar w:fldCharType="begin"/>
        </w:r>
        <w:r w:rsidR="00560D43" w:rsidRPr="00560D43">
          <w:rPr>
            <w:rFonts w:ascii="Times New Roman" w:hAnsi="Times New Roman" w:cs="Times New Roman"/>
            <w:noProof/>
            <w:webHidden/>
            <w:sz w:val="20"/>
            <w:szCs w:val="20"/>
          </w:rPr>
          <w:instrText xml:space="preserve"> PAGEREF _Toc153014654 \h </w:instrText>
        </w:r>
        <w:r w:rsidR="00560D43" w:rsidRPr="00560D43">
          <w:rPr>
            <w:rFonts w:ascii="Times New Roman" w:hAnsi="Times New Roman" w:cs="Times New Roman"/>
            <w:noProof/>
            <w:webHidden/>
            <w:sz w:val="20"/>
            <w:szCs w:val="20"/>
          </w:rPr>
        </w:r>
        <w:r w:rsidR="00560D43" w:rsidRPr="00560D43">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69</w:t>
        </w:r>
        <w:r w:rsidR="00560D43" w:rsidRPr="00560D43">
          <w:rPr>
            <w:rFonts w:ascii="Times New Roman" w:hAnsi="Times New Roman" w:cs="Times New Roman"/>
            <w:noProof/>
            <w:webHidden/>
            <w:sz w:val="20"/>
            <w:szCs w:val="20"/>
          </w:rPr>
          <w:fldChar w:fldCharType="end"/>
        </w:r>
      </w:hyperlink>
    </w:p>
    <w:p w14:paraId="48F68FE8" w14:textId="7D6521BE" w:rsidR="00560D43" w:rsidRPr="00560D43"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4655" w:history="1">
        <w:r w:rsidR="00560D43" w:rsidRPr="00560D43">
          <w:rPr>
            <w:rStyle w:val="Hypertextovprepojenie"/>
            <w:rFonts w:ascii="Times New Roman" w:hAnsi="Times New Roman" w:cs="Times New Roman"/>
            <w:noProof/>
            <w:sz w:val="20"/>
            <w:szCs w:val="20"/>
          </w:rPr>
          <w:t xml:space="preserve">Graf </w:t>
        </w:r>
        <w:r w:rsidR="00560D43" w:rsidRPr="00560D43">
          <w:rPr>
            <w:rStyle w:val="Hypertextovprepojenie"/>
            <w:rFonts w:ascii="Times New Roman" w:eastAsia="Calibri" w:hAnsi="Times New Roman" w:cs="Times New Roman"/>
            <w:iCs/>
            <w:noProof/>
            <w:sz w:val="20"/>
            <w:szCs w:val="20"/>
          </w:rPr>
          <w:t>8 -</w:t>
        </w:r>
        <w:r w:rsidR="00560D43" w:rsidRPr="00560D43">
          <w:rPr>
            <w:rStyle w:val="Hypertextovprepojenie"/>
            <w:rFonts w:ascii="Times New Roman" w:hAnsi="Times New Roman" w:cs="Times New Roman"/>
            <w:noProof/>
            <w:sz w:val="20"/>
            <w:szCs w:val="20"/>
          </w:rPr>
          <w:t xml:space="preserve"> Počet zamestnancov na realizáciu Plánu obnovy a odolnosti SR</w:t>
        </w:r>
        <w:r w:rsidR="00560D43" w:rsidRPr="00560D43">
          <w:rPr>
            <w:rFonts w:ascii="Times New Roman" w:hAnsi="Times New Roman" w:cs="Times New Roman"/>
            <w:noProof/>
            <w:webHidden/>
            <w:sz w:val="20"/>
            <w:szCs w:val="20"/>
          </w:rPr>
          <w:tab/>
        </w:r>
        <w:r w:rsidR="00560D43" w:rsidRPr="00560D43">
          <w:rPr>
            <w:rFonts w:ascii="Times New Roman" w:hAnsi="Times New Roman" w:cs="Times New Roman"/>
            <w:noProof/>
            <w:webHidden/>
            <w:sz w:val="20"/>
            <w:szCs w:val="20"/>
          </w:rPr>
          <w:fldChar w:fldCharType="begin"/>
        </w:r>
        <w:r w:rsidR="00560D43" w:rsidRPr="00560D43">
          <w:rPr>
            <w:rFonts w:ascii="Times New Roman" w:hAnsi="Times New Roman" w:cs="Times New Roman"/>
            <w:noProof/>
            <w:webHidden/>
            <w:sz w:val="20"/>
            <w:szCs w:val="20"/>
          </w:rPr>
          <w:instrText xml:space="preserve"> PAGEREF _Toc153014655 \h </w:instrText>
        </w:r>
        <w:r w:rsidR="00560D43" w:rsidRPr="00560D43">
          <w:rPr>
            <w:rFonts w:ascii="Times New Roman" w:hAnsi="Times New Roman" w:cs="Times New Roman"/>
            <w:noProof/>
            <w:webHidden/>
            <w:sz w:val="20"/>
            <w:szCs w:val="20"/>
          </w:rPr>
        </w:r>
        <w:r w:rsidR="00560D43" w:rsidRPr="00560D43">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70</w:t>
        </w:r>
        <w:r w:rsidR="00560D43" w:rsidRPr="00560D43">
          <w:rPr>
            <w:rFonts w:ascii="Times New Roman" w:hAnsi="Times New Roman" w:cs="Times New Roman"/>
            <w:noProof/>
            <w:webHidden/>
            <w:sz w:val="20"/>
            <w:szCs w:val="20"/>
          </w:rPr>
          <w:fldChar w:fldCharType="end"/>
        </w:r>
      </w:hyperlink>
    </w:p>
    <w:p w14:paraId="35FB9312" w14:textId="007BC19C" w:rsidR="00560D43" w:rsidRPr="00560D43"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4656" w:history="1">
        <w:r w:rsidR="00560D43" w:rsidRPr="00560D43">
          <w:rPr>
            <w:rStyle w:val="Hypertextovprepojenie"/>
            <w:rFonts w:ascii="Times New Roman" w:hAnsi="Times New Roman" w:cs="Times New Roman"/>
            <w:iCs/>
            <w:noProof/>
            <w:sz w:val="20"/>
            <w:szCs w:val="20"/>
          </w:rPr>
          <w:t xml:space="preserve">Graf </w:t>
        </w:r>
        <w:r w:rsidR="00560D43" w:rsidRPr="00560D43">
          <w:rPr>
            <w:rStyle w:val="Hypertextovprepojenie"/>
            <w:rFonts w:ascii="Times New Roman" w:eastAsia="Calibri" w:hAnsi="Times New Roman" w:cs="Times New Roman"/>
            <w:iCs/>
            <w:noProof/>
            <w:sz w:val="20"/>
            <w:szCs w:val="20"/>
          </w:rPr>
          <w:t>9 -</w:t>
        </w:r>
        <w:r w:rsidR="00560D43" w:rsidRPr="00560D43">
          <w:rPr>
            <w:rStyle w:val="Hypertextovprepojenie"/>
            <w:rFonts w:ascii="Times New Roman" w:hAnsi="Times New Roman" w:cs="Times New Roman"/>
            <w:iCs/>
            <w:noProof/>
            <w:sz w:val="20"/>
            <w:szCs w:val="20"/>
          </w:rPr>
          <w:t xml:space="preserve"> Zamestnanosť financovaná zo štátneho rozpočtu</w:t>
        </w:r>
        <w:r w:rsidR="00560D43" w:rsidRPr="00560D43">
          <w:rPr>
            <w:rFonts w:ascii="Times New Roman" w:hAnsi="Times New Roman" w:cs="Times New Roman"/>
            <w:noProof/>
            <w:webHidden/>
            <w:sz w:val="20"/>
            <w:szCs w:val="20"/>
          </w:rPr>
          <w:tab/>
        </w:r>
        <w:r w:rsidR="00560D43" w:rsidRPr="00560D43">
          <w:rPr>
            <w:rFonts w:ascii="Times New Roman" w:hAnsi="Times New Roman" w:cs="Times New Roman"/>
            <w:noProof/>
            <w:webHidden/>
            <w:sz w:val="20"/>
            <w:szCs w:val="20"/>
          </w:rPr>
          <w:fldChar w:fldCharType="begin"/>
        </w:r>
        <w:r w:rsidR="00560D43" w:rsidRPr="00560D43">
          <w:rPr>
            <w:rFonts w:ascii="Times New Roman" w:hAnsi="Times New Roman" w:cs="Times New Roman"/>
            <w:noProof/>
            <w:webHidden/>
            <w:sz w:val="20"/>
            <w:szCs w:val="20"/>
          </w:rPr>
          <w:instrText xml:space="preserve"> PAGEREF _Toc153014656 \h </w:instrText>
        </w:r>
        <w:r w:rsidR="00560D43" w:rsidRPr="00560D43">
          <w:rPr>
            <w:rFonts w:ascii="Times New Roman" w:hAnsi="Times New Roman" w:cs="Times New Roman"/>
            <w:noProof/>
            <w:webHidden/>
            <w:sz w:val="20"/>
            <w:szCs w:val="20"/>
          </w:rPr>
        </w:r>
        <w:r w:rsidR="00560D43" w:rsidRPr="00560D43">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71</w:t>
        </w:r>
        <w:r w:rsidR="00560D43" w:rsidRPr="00560D43">
          <w:rPr>
            <w:rFonts w:ascii="Times New Roman" w:hAnsi="Times New Roman" w:cs="Times New Roman"/>
            <w:noProof/>
            <w:webHidden/>
            <w:sz w:val="20"/>
            <w:szCs w:val="20"/>
          </w:rPr>
          <w:fldChar w:fldCharType="end"/>
        </w:r>
      </w:hyperlink>
    </w:p>
    <w:p w14:paraId="0F45E093" w14:textId="233C442F" w:rsidR="00560D43" w:rsidRPr="00560D43" w:rsidRDefault="002F44B7">
      <w:pPr>
        <w:pStyle w:val="Zoznamobrzkov"/>
        <w:tabs>
          <w:tab w:val="right" w:leader="dot" w:pos="9062"/>
        </w:tabs>
        <w:rPr>
          <w:rFonts w:ascii="Times New Roman" w:eastAsiaTheme="minorEastAsia" w:hAnsi="Times New Roman" w:cs="Times New Roman"/>
          <w:noProof/>
          <w:sz w:val="20"/>
          <w:szCs w:val="20"/>
          <w:lang w:eastAsia="sk-SK"/>
        </w:rPr>
      </w:pPr>
      <w:hyperlink w:anchor="_Toc153014657" w:history="1">
        <w:r w:rsidR="00560D43" w:rsidRPr="00560D43">
          <w:rPr>
            <w:rStyle w:val="Hypertextovprepojenie"/>
            <w:rFonts w:ascii="Times New Roman" w:eastAsia="Calibri" w:hAnsi="Times New Roman" w:cs="Times New Roman"/>
            <w:iCs/>
            <w:noProof/>
            <w:sz w:val="20"/>
            <w:szCs w:val="20"/>
            <w:lang w:eastAsia="cs-CZ"/>
          </w:rPr>
          <w:t xml:space="preserve">Graf </w:t>
        </w:r>
        <w:r w:rsidR="00560D43" w:rsidRPr="00560D43">
          <w:rPr>
            <w:rStyle w:val="Hypertextovprepojenie"/>
            <w:rFonts w:ascii="Times New Roman" w:eastAsia="Calibri" w:hAnsi="Times New Roman" w:cs="Times New Roman"/>
            <w:iCs/>
            <w:noProof/>
            <w:sz w:val="20"/>
            <w:szCs w:val="20"/>
          </w:rPr>
          <w:t>10 -</w:t>
        </w:r>
        <w:r w:rsidR="00560D43" w:rsidRPr="00560D43">
          <w:rPr>
            <w:rStyle w:val="Hypertextovprepojenie"/>
            <w:rFonts w:ascii="Times New Roman" w:eastAsia="Calibri" w:hAnsi="Times New Roman" w:cs="Times New Roman"/>
            <w:iCs/>
            <w:noProof/>
            <w:sz w:val="20"/>
            <w:szCs w:val="20"/>
            <w:lang w:eastAsia="cs-CZ"/>
          </w:rPr>
          <w:t xml:space="preserve"> Štruktúra rozpočtových rezerv kapitoly VPS</w:t>
        </w:r>
        <w:r w:rsidR="00560D43" w:rsidRPr="00560D43">
          <w:rPr>
            <w:rFonts w:ascii="Times New Roman" w:hAnsi="Times New Roman" w:cs="Times New Roman"/>
            <w:noProof/>
            <w:webHidden/>
            <w:sz w:val="20"/>
            <w:szCs w:val="20"/>
          </w:rPr>
          <w:tab/>
        </w:r>
        <w:r w:rsidR="00560D43" w:rsidRPr="00560D43">
          <w:rPr>
            <w:rFonts w:ascii="Times New Roman" w:hAnsi="Times New Roman" w:cs="Times New Roman"/>
            <w:noProof/>
            <w:webHidden/>
            <w:sz w:val="20"/>
            <w:szCs w:val="20"/>
          </w:rPr>
          <w:fldChar w:fldCharType="begin"/>
        </w:r>
        <w:r w:rsidR="00560D43" w:rsidRPr="00560D43">
          <w:rPr>
            <w:rFonts w:ascii="Times New Roman" w:hAnsi="Times New Roman" w:cs="Times New Roman"/>
            <w:noProof/>
            <w:webHidden/>
            <w:sz w:val="20"/>
            <w:szCs w:val="20"/>
          </w:rPr>
          <w:instrText xml:space="preserve"> PAGEREF _Toc153014657 \h </w:instrText>
        </w:r>
        <w:r w:rsidR="00560D43" w:rsidRPr="00560D43">
          <w:rPr>
            <w:rFonts w:ascii="Times New Roman" w:hAnsi="Times New Roman" w:cs="Times New Roman"/>
            <w:noProof/>
            <w:webHidden/>
            <w:sz w:val="20"/>
            <w:szCs w:val="20"/>
          </w:rPr>
        </w:r>
        <w:r w:rsidR="00560D43" w:rsidRPr="00560D43">
          <w:rPr>
            <w:rFonts w:ascii="Times New Roman" w:hAnsi="Times New Roman" w:cs="Times New Roman"/>
            <w:noProof/>
            <w:webHidden/>
            <w:sz w:val="20"/>
            <w:szCs w:val="20"/>
          </w:rPr>
          <w:fldChar w:fldCharType="separate"/>
        </w:r>
        <w:r w:rsidR="00776107">
          <w:rPr>
            <w:rFonts w:ascii="Times New Roman" w:hAnsi="Times New Roman" w:cs="Times New Roman"/>
            <w:noProof/>
            <w:webHidden/>
            <w:sz w:val="20"/>
            <w:szCs w:val="20"/>
          </w:rPr>
          <w:t>91</w:t>
        </w:r>
        <w:r w:rsidR="00560D43" w:rsidRPr="00560D43">
          <w:rPr>
            <w:rFonts w:ascii="Times New Roman" w:hAnsi="Times New Roman" w:cs="Times New Roman"/>
            <w:noProof/>
            <w:webHidden/>
            <w:sz w:val="20"/>
            <w:szCs w:val="20"/>
          </w:rPr>
          <w:fldChar w:fldCharType="end"/>
        </w:r>
      </w:hyperlink>
    </w:p>
    <w:p w14:paraId="0F2227B6" w14:textId="5A4B2CB2" w:rsidR="00635E4E" w:rsidRPr="00385B9E" w:rsidRDefault="00362824" w:rsidP="00DF1224">
      <w:pPr>
        <w:jc w:val="both"/>
        <w:rPr>
          <w:rFonts w:ascii="Times New Roman" w:hAnsi="Times New Roman" w:cs="Times New Roman"/>
          <w:sz w:val="20"/>
          <w:szCs w:val="20"/>
        </w:rPr>
      </w:pPr>
      <w:r w:rsidRPr="00560D43">
        <w:rPr>
          <w:rFonts w:ascii="Times New Roman" w:hAnsi="Times New Roman" w:cs="Times New Roman"/>
          <w:sz w:val="20"/>
          <w:szCs w:val="20"/>
        </w:rPr>
        <w:fldChar w:fldCharType="end"/>
      </w:r>
      <w:bookmarkStart w:id="0" w:name="_Toc52893234"/>
    </w:p>
    <w:p w14:paraId="2C5A347B" w14:textId="77777777" w:rsidR="00272075" w:rsidRDefault="00272075" w:rsidP="00272075">
      <w:pPr>
        <w:rPr>
          <w:rFonts w:ascii="Times New Roman" w:hAnsi="Times New Roman" w:cs="Times New Roman"/>
          <w:sz w:val="20"/>
          <w:szCs w:val="20"/>
        </w:rPr>
      </w:pPr>
    </w:p>
    <w:p w14:paraId="1B9C117A" w14:textId="77777777" w:rsidR="009E1EE1" w:rsidRDefault="009E1EE1" w:rsidP="00272075">
      <w:pPr>
        <w:rPr>
          <w:rFonts w:ascii="Times New Roman" w:hAnsi="Times New Roman" w:cs="Times New Roman"/>
          <w:sz w:val="20"/>
          <w:szCs w:val="20"/>
        </w:rPr>
      </w:pPr>
    </w:p>
    <w:p w14:paraId="4D57310A" w14:textId="77777777" w:rsidR="008D78D4" w:rsidRDefault="008D78D4" w:rsidP="00272075">
      <w:pPr>
        <w:rPr>
          <w:rFonts w:ascii="Times New Roman" w:hAnsi="Times New Roman" w:cs="Times New Roman"/>
          <w:sz w:val="20"/>
          <w:szCs w:val="20"/>
        </w:rPr>
      </w:pPr>
    </w:p>
    <w:p w14:paraId="25011D8F" w14:textId="77777777" w:rsidR="008D78D4" w:rsidRDefault="008D78D4" w:rsidP="00272075">
      <w:pPr>
        <w:rPr>
          <w:rFonts w:ascii="Times New Roman" w:hAnsi="Times New Roman" w:cs="Times New Roman"/>
          <w:sz w:val="20"/>
          <w:szCs w:val="20"/>
        </w:rPr>
      </w:pPr>
    </w:p>
    <w:p w14:paraId="36D7B105" w14:textId="77777777" w:rsidR="008D78D4" w:rsidRDefault="008D78D4" w:rsidP="00272075">
      <w:pPr>
        <w:rPr>
          <w:rFonts w:ascii="Times New Roman" w:hAnsi="Times New Roman" w:cs="Times New Roman"/>
          <w:sz w:val="20"/>
          <w:szCs w:val="20"/>
        </w:rPr>
      </w:pPr>
    </w:p>
    <w:p w14:paraId="0BAEDDE4" w14:textId="77777777" w:rsidR="008D78D4" w:rsidRDefault="008D78D4" w:rsidP="00272075">
      <w:pPr>
        <w:rPr>
          <w:rFonts w:ascii="Times New Roman" w:hAnsi="Times New Roman" w:cs="Times New Roman"/>
          <w:sz w:val="20"/>
          <w:szCs w:val="20"/>
        </w:rPr>
      </w:pPr>
    </w:p>
    <w:p w14:paraId="4E833BD5" w14:textId="77777777" w:rsidR="008D78D4" w:rsidRDefault="008D78D4" w:rsidP="00272075">
      <w:pPr>
        <w:rPr>
          <w:rFonts w:ascii="Times New Roman" w:hAnsi="Times New Roman" w:cs="Times New Roman"/>
          <w:sz w:val="20"/>
          <w:szCs w:val="20"/>
        </w:rPr>
      </w:pPr>
    </w:p>
    <w:p w14:paraId="1B9B4993" w14:textId="77777777" w:rsidR="008D78D4" w:rsidRDefault="008D78D4" w:rsidP="00272075">
      <w:pPr>
        <w:rPr>
          <w:rFonts w:ascii="Times New Roman" w:hAnsi="Times New Roman" w:cs="Times New Roman"/>
          <w:sz w:val="20"/>
          <w:szCs w:val="20"/>
        </w:rPr>
      </w:pPr>
    </w:p>
    <w:p w14:paraId="2F625529" w14:textId="77777777" w:rsidR="008D78D4" w:rsidRDefault="008D78D4" w:rsidP="00272075">
      <w:pPr>
        <w:rPr>
          <w:rFonts w:ascii="Times New Roman" w:hAnsi="Times New Roman" w:cs="Times New Roman"/>
          <w:sz w:val="20"/>
          <w:szCs w:val="20"/>
        </w:rPr>
      </w:pPr>
    </w:p>
    <w:p w14:paraId="2F46F48F" w14:textId="72415789" w:rsidR="00385B9E" w:rsidRDefault="00385B9E" w:rsidP="00272075">
      <w:pPr>
        <w:rPr>
          <w:rFonts w:ascii="Times New Roman" w:hAnsi="Times New Roman" w:cs="Times New Roman"/>
          <w:sz w:val="20"/>
          <w:szCs w:val="20"/>
        </w:rPr>
      </w:pPr>
    </w:p>
    <w:p w14:paraId="5020CEDE" w14:textId="77777777" w:rsidR="00052B0A" w:rsidRDefault="00052B0A" w:rsidP="00052B0A">
      <w:pPr>
        <w:pStyle w:val="Nadpis1"/>
        <w:keepNext w:val="0"/>
        <w:widowControl w:val="0"/>
        <w:spacing w:before="0"/>
        <w:rPr>
          <w:rFonts w:ascii="Times New Roman" w:hAnsi="Times New Roman" w:cs="Times New Roman"/>
          <w:b/>
          <w:color w:val="5B9BD5" w:themeColor="accent1"/>
          <w:sz w:val="28"/>
        </w:rPr>
      </w:pPr>
      <w:bookmarkStart w:id="1" w:name="_Toc152946754"/>
      <w:r w:rsidRPr="00052B0A">
        <w:rPr>
          <w:rFonts w:ascii="Times New Roman" w:hAnsi="Times New Roman" w:cs="Times New Roman"/>
          <w:b/>
          <w:color w:val="5B9BD5" w:themeColor="accent1"/>
          <w:sz w:val="28"/>
        </w:rPr>
        <w:lastRenderedPageBreak/>
        <w:t>Zhrnutie</w:t>
      </w:r>
      <w:bookmarkEnd w:id="0"/>
      <w:bookmarkEnd w:id="1"/>
    </w:p>
    <w:p w14:paraId="15ACE7FA" w14:textId="77777777" w:rsidR="00522737" w:rsidRDefault="00522737" w:rsidP="00522737">
      <w:pPr>
        <w:spacing w:after="0" w:line="276" w:lineRule="auto"/>
        <w:jc w:val="both"/>
        <w:rPr>
          <w:rFonts w:ascii="Times New Roman" w:eastAsia="Calibri" w:hAnsi="Times New Roman" w:cs="Times New Roman"/>
          <w:b/>
          <w:sz w:val="24"/>
          <w:szCs w:val="24"/>
        </w:rPr>
      </w:pPr>
    </w:p>
    <w:p w14:paraId="5B0963AD" w14:textId="51644FF4" w:rsidR="007F1377" w:rsidRPr="004B70B7" w:rsidRDefault="007F1377" w:rsidP="007F1377">
      <w:pPr>
        <w:spacing w:after="0" w:line="276" w:lineRule="auto"/>
        <w:jc w:val="both"/>
        <w:rPr>
          <w:rFonts w:ascii="Times New Roman" w:eastAsia="Calibri" w:hAnsi="Times New Roman" w:cs="Times New Roman"/>
          <w:b/>
          <w:sz w:val="24"/>
          <w:szCs w:val="24"/>
        </w:rPr>
      </w:pPr>
      <w:r w:rsidRPr="004B70B7">
        <w:rPr>
          <w:rFonts w:ascii="Times New Roman" w:eastAsia="Calibri" w:hAnsi="Times New Roman" w:cs="Times New Roman"/>
          <w:b/>
          <w:sz w:val="24"/>
          <w:szCs w:val="24"/>
        </w:rPr>
        <w:t>Návrh rozpočtu verejnej správy na roky 2024 až 2026</w:t>
      </w:r>
      <w:r>
        <w:rPr>
          <w:rFonts w:ascii="Times New Roman" w:eastAsia="Calibri" w:hAnsi="Times New Roman" w:cs="Times New Roman"/>
          <w:b/>
          <w:sz w:val="24"/>
          <w:szCs w:val="24"/>
        </w:rPr>
        <w:t xml:space="preserve"> predkladá </w:t>
      </w:r>
      <w:r w:rsidRPr="004B70B7">
        <w:rPr>
          <w:rFonts w:ascii="Times New Roman" w:eastAsia="Calibri" w:hAnsi="Times New Roman" w:cs="Times New Roman"/>
          <w:b/>
          <w:sz w:val="24"/>
          <w:szCs w:val="24"/>
        </w:rPr>
        <w:t xml:space="preserve">Vláda SR, vymenovaná </w:t>
      </w:r>
      <w:r>
        <w:rPr>
          <w:rFonts w:ascii="Times New Roman" w:eastAsia="Calibri" w:hAnsi="Times New Roman" w:cs="Times New Roman"/>
          <w:b/>
          <w:sz w:val="24"/>
          <w:szCs w:val="24"/>
        </w:rPr>
        <w:t>na základe výsledkov</w:t>
      </w:r>
      <w:r w:rsidRPr="004B70B7">
        <w:rPr>
          <w:rFonts w:ascii="Times New Roman" w:eastAsia="Calibri" w:hAnsi="Times New Roman" w:cs="Times New Roman"/>
          <w:b/>
          <w:sz w:val="24"/>
          <w:szCs w:val="24"/>
        </w:rPr>
        <w:t xml:space="preserve"> septembr</w:t>
      </w:r>
      <w:r>
        <w:rPr>
          <w:rFonts w:ascii="Times New Roman" w:eastAsia="Calibri" w:hAnsi="Times New Roman" w:cs="Times New Roman"/>
          <w:b/>
          <w:sz w:val="24"/>
          <w:szCs w:val="24"/>
        </w:rPr>
        <w:t>ových volieb. Táto vláda dňa</w:t>
      </w:r>
      <w:r w:rsidRPr="004B70B7">
        <w:rPr>
          <w:rFonts w:ascii="Times New Roman" w:eastAsia="Calibri" w:hAnsi="Times New Roman" w:cs="Times New Roman"/>
          <w:b/>
          <w:sz w:val="24"/>
          <w:szCs w:val="24"/>
        </w:rPr>
        <w:t xml:space="preserve"> 21. novembra 2023</w:t>
      </w:r>
      <w:r>
        <w:rPr>
          <w:rFonts w:ascii="Times New Roman" w:eastAsia="Calibri" w:hAnsi="Times New Roman" w:cs="Times New Roman"/>
          <w:b/>
          <w:sz w:val="24"/>
          <w:szCs w:val="24"/>
        </w:rPr>
        <w:t xml:space="preserve"> získala</w:t>
      </w:r>
      <w:r w:rsidRPr="004B70B7">
        <w:rPr>
          <w:rFonts w:ascii="Times New Roman" w:eastAsia="Calibri" w:hAnsi="Times New Roman" w:cs="Times New Roman"/>
          <w:b/>
          <w:sz w:val="24"/>
          <w:szCs w:val="24"/>
        </w:rPr>
        <w:t xml:space="preserve"> dôveru v Národnej rade SR </w:t>
      </w:r>
      <w:r>
        <w:rPr>
          <w:rFonts w:ascii="Times New Roman" w:eastAsia="Calibri" w:hAnsi="Times New Roman" w:cs="Times New Roman"/>
          <w:b/>
          <w:sz w:val="24"/>
          <w:szCs w:val="24"/>
        </w:rPr>
        <w:t>a spolu s ňou aj možnosť pripraviť návrh rozpočtu, ktorý rešpektuje jej programové vyhlásenie, pričom sa musela v návrhu rozpočtu vysporiadať s bezprecedentným stavom verejných financií v podobe deficitov nad úrovňou 6</w:t>
      </w:r>
      <w:r w:rsidR="0061349B">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a dlhu prekračujúceho sankčné pásma vyplývajúce zo zákona o rozpočtovej zodpovednosti. </w:t>
      </w:r>
    </w:p>
    <w:p w14:paraId="1241C6D5" w14:textId="77777777" w:rsidR="007F1377" w:rsidRPr="004B70B7" w:rsidRDefault="007F1377" w:rsidP="007F1377">
      <w:pPr>
        <w:spacing w:after="0" w:line="276" w:lineRule="auto"/>
        <w:jc w:val="both"/>
        <w:rPr>
          <w:rFonts w:ascii="Times New Roman" w:eastAsia="Calibri" w:hAnsi="Times New Roman" w:cs="Times New Roman"/>
          <w:b/>
          <w:sz w:val="24"/>
          <w:szCs w:val="24"/>
        </w:rPr>
      </w:pPr>
    </w:p>
    <w:p w14:paraId="0075964D" w14:textId="77777777" w:rsidR="007F1377" w:rsidRPr="004B70B7" w:rsidRDefault="007F1377" w:rsidP="007F1377">
      <w:pPr>
        <w:spacing w:after="0" w:line="276" w:lineRule="auto"/>
        <w:jc w:val="both"/>
        <w:rPr>
          <w:rFonts w:ascii="Times New Roman" w:eastAsia="Calibri" w:hAnsi="Times New Roman" w:cs="Times New Roman"/>
          <w:sz w:val="24"/>
          <w:szCs w:val="24"/>
        </w:rPr>
      </w:pPr>
      <w:r w:rsidRPr="004B70B7">
        <w:rPr>
          <w:rFonts w:ascii="Times New Roman" w:eastAsia="Calibri" w:hAnsi="Times New Roman" w:cs="Times New Roman"/>
          <w:sz w:val="24"/>
          <w:szCs w:val="24"/>
        </w:rPr>
        <w:t xml:space="preserve">Predchádzajúca vláda SR v nadväznosti na povinnosť aplikovať najprísnejšie opatrenia dlhovej brzdy schválila 11. októbra 2023 </w:t>
      </w:r>
      <w:r w:rsidRPr="002B084A">
        <w:rPr>
          <w:rFonts w:ascii="Times New Roman" w:eastAsia="Calibri" w:hAnsi="Times New Roman" w:cs="Times New Roman"/>
          <w:bCs/>
          <w:sz w:val="24"/>
          <w:szCs w:val="24"/>
        </w:rPr>
        <w:t>vyrovnaný</w:t>
      </w:r>
      <w:r w:rsidRPr="004B70B7">
        <w:rPr>
          <w:rFonts w:ascii="Times New Roman" w:eastAsia="Calibri" w:hAnsi="Times New Roman" w:cs="Times New Roman"/>
          <w:sz w:val="24"/>
          <w:szCs w:val="24"/>
        </w:rPr>
        <w:t xml:space="preserve"> rozpočet verejnej správy na roky 2024 až 2026 a predložila ho Národnej rade SR. Realizácia vyrovnaného rozpočtu verejnej správy by však mala za následok prudkú recesiu krajiny, ochromenie trhu práce, zníženie reálnych miezd, pokles zamestnanosti, neschopnosť verejných inštitúcií uhrádzať záväzky a v neposlednom rade aj ohrozenie bezpečnosti Slovenskej republiky.   </w:t>
      </w:r>
    </w:p>
    <w:p w14:paraId="3A13AEF0" w14:textId="77777777" w:rsidR="007F1377" w:rsidRPr="004B70B7" w:rsidRDefault="007F1377" w:rsidP="007F1377">
      <w:pPr>
        <w:spacing w:after="0" w:line="276" w:lineRule="auto"/>
        <w:jc w:val="both"/>
        <w:rPr>
          <w:rFonts w:ascii="Times New Roman" w:eastAsia="Calibri" w:hAnsi="Times New Roman" w:cs="Times New Roman"/>
          <w:sz w:val="24"/>
          <w:szCs w:val="24"/>
        </w:rPr>
      </w:pPr>
    </w:p>
    <w:p w14:paraId="202AF20D" w14:textId="77777777" w:rsidR="007F1377" w:rsidRPr="004B70B7" w:rsidRDefault="007F1377" w:rsidP="007F1377">
      <w:pPr>
        <w:spacing w:after="0" w:line="276" w:lineRule="auto"/>
        <w:jc w:val="both"/>
        <w:rPr>
          <w:rFonts w:ascii="Times New Roman" w:eastAsia="Calibri" w:hAnsi="Times New Roman" w:cs="Times New Roman"/>
          <w:sz w:val="24"/>
          <w:szCs w:val="24"/>
        </w:rPr>
      </w:pPr>
      <w:r w:rsidRPr="008A5D03">
        <w:rPr>
          <w:rFonts w:ascii="Times New Roman" w:eastAsia="Calibri" w:hAnsi="Times New Roman" w:cs="Times New Roman"/>
          <w:b/>
          <w:sz w:val="24"/>
          <w:szCs w:val="24"/>
        </w:rPr>
        <w:t>Od schválenia programového vyhlásenia vlády a vyslovenia dôvery vláde sa</w:t>
      </w:r>
      <w:r w:rsidRPr="004B70B7">
        <w:rPr>
          <w:rFonts w:ascii="Times New Roman" w:eastAsia="Calibri" w:hAnsi="Times New Roman" w:cs="Times New Roman"/>
          <w:sz w:val="24"/>
          <w:szCs w:val="24"/>
        </w:rPr>
        <w:t xml:space="preserve"> </w:t>
      </w:r>
      <w:r w:rsidRPr="004B70B7">
        <w:rPr>
          <w:rFonts w:ascii="Times New Roman" w:eastAsia="Calibri" w:hAnsi="Times New Roman" w:cs="Times New Roman"/>
          <w:b/>
          <w:sz w:val="24"/>
          <w:szCs w:val="24"/>
        </w:rPr>
        <w:t>na 24 mesiacov</w:t>
      </w:r>
      <w:r w:rsidRPr="004B70B7">
        <w:rPr>
          <w:rFonts w:ascii="Times New Roman" w:eastAsia="Calibri" w:hAnsi="Times New Roman" w:cs="Times New Roman"/>
          <w:sz w:val="24"/>
          <w:szCs w:val="24"/>
        </w:rPr>
        <w:t xml:space="preserve"> </w:t>
      </w:r>
      <w:r w:rsidRPr="004B70B7">
        <w:rPr>
          <w:rFonts w:ascii="Times New Roman" w:eastAsia="Calibri" w:hAnsi="Times New Roman" w:cs="Times New Roman"/>
          <w:b/>
          <w:sz w:val="24"/>
          <w:szCs w:val="24"/>
        </w:rPr>
        <w:t>neuplatňujú najprísnejšie sankčné opatrenia</w:t>
      </w:r>
      <w:r w:rsidRPr="004B70B7">
        <w:rPr>
          <w:rFonts w:ascii="Times New Roman" w:eastAsia="Calibri" w:hAnsi="Times New Roman" w:cs="Times New Roman"/>
          <w:sz w:val="24"/>
          <w:szCs w:val="24"/>
        </w:rPr>
        <w:t xml:space="preserve"> </w:t>
      </w:r>
      <w:r w:rsidRPr="004B70B7">
        <w:rPr>
          <w:rFonts w:ascii="Times New Roman" w:eastAsia="Calibri" w:hAnsi="Times New Roman" w:cs="Times New Roman"/>
          <w:b/>
          <w:sz w:val="24"/>
          <w:szCs w:val="24"/>
        </w:rPr>
        <w:t>dlhovej brzdy,</w:t>
      </w:r>
      <w:r w:rsidRPr="004B70B7">
        <w:rPr>
          <w:rFonts w:ascii="Times New Roman" w:eastAsia="Calibri" w:hAnsi="Times New Roman" w:cs="Times New Roman"/>
          <w:sz w:val="24"/>
          <w:szCs w:val="24"/>
        </w:rPr>
        <w:t xml:space="preserve"> t. j. v uvedenom období sa neuplatňuje sankčné opatrenie vo vzťahu k rozpočtu verejnej správy, že vláda nesmie predložiť Národnej rade SR návrh rozpočtu verejnej správy s rozpočtovaným schodkom a medziročným nominálnym rastom konsolidovaných výdavkov verejnej správy oproti rozpočtu verejnej správy na predchádzajúci rozpočtový rok.</w:t>
      </w:r>
    </w:p>
    <w:p w14:paraId="2A9498E4" w14:textId="77777777" w:rsidR="007F1377" w:rsidRPr="004B70B7" w:rsidRDefault="007F1377" w:rsidP="007F1377">
      <w:pPr>
        <w:spacing w:after="0" w:line="276" w:lineRule="auto"/>
        <w:jc w:val="both"/>
        <w:rPr>
          <w:rFonts w:ascii="Times New Roman" w:eastAsia="Calibri" w:hAnsi="Times New Roman" w:cs="Times New Roman"/>
          <w:sz w:val="24"/>
          <w:szCs w:val="24"/>
        </w:rPr>
      </w:pPr>
    </w:p>
    <w:p w14:paraId="21BA3733" w14:textId="4E5013CC" w:rsidR="007F1377" w:rsidRPr="004B70B7" w:rsidRDefault="007F1377" w:rsidP="007F1377">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 ohľadom na vyššie uvedené, </w:t>
      </w:r>
      <w:r w:rsidRPr="008A5D03">
        <w:rPr>
          <w:rFonts w:ascii="Times New Roman" w:eastAsia="Calibri" w:hAnsi="Times New Roman" w:cs="Times New Roman"/>
          <w:b/>
          <w:sz w:val="24"/>
          <w:szCs w:val="24"/>
        </w:rPr>
        <w:t>napriek mimoriadne krátkemu časovému obdobiu, pristúpila vláda zodpovedne k príprave nového návrhu rozpočtu verejnej správy na roky 2024 až 2026</w:t>
      </w:r>
      <w:r w:rsidRPr="004B70B7">
        <w:rPr>
          <w:rFonts w:ascii="Times New Roman" w:eastAsia="Calibri" w:hAnsi="Times New Roman" w:cs="Times New Roman"/>
          <w:sz w:val="24"/>
          <w:szCs w:val="24"/>
        </w:rPr>
        <w:t xml:space="preserve"> </w:t>
      </w:r>
      <w:r w:rsidRPr="00896A8E">
        <w:rPr>
          <w:rFonts w:ascii="Times New Roman" w:eastAsia="Calibri" w:hAnsi="Times New Roman" w:cs="Times New Roman"/>
          <w:sz w:val="24"/>
          <w:szCs w:val="24"/>
        </w:rPr>
        <w:t>so zohľadnením potrebnej konsolidácie verejných financií požadovanej zo strany Európskej komisie, ako aj napĺňania cieľov Programového vyhlásenia vlády SR. Vzhľadom na doteraj</w:t>
      </w:r>
      <w:r>
        <w:rPr>
          <w:rFonts w:ascii="Times New Roman" w:eastAsia="Calibri" w:hAnsi="Times New Roman" w:cs="Times New Roman"/>
          <w:sz w:val="24"/>
          <w:szCs w:val="24"/>
        </w:rPr>
        <w:t xml:space="preserve">ší </w:t>
      </w:r>
      <w:r w:rsidRPr="004B70B7">
        <w:rPr>
          <w:rFonts w:ascii="Times New Roman" w:eastAsia="Calibri" w:hAnsi="Times New Roman" w:cs="Times New Roman"/>
          <w:sz w:val="24"/>
          <w:szCs w:val="24"/>
        </w:rPr>
        <w:t xml:space="preserve">vysoký deficit verejných financií a zadlženie Slovenskej republiky vláda SR schválila súbor konsolidačných opatrení, ktoré prispejú k stabilizácii verejných financií a k eliminácii negatívnych vplyvov na vývoj hospodárenia Slovenskej republiky. </w:t>
      </w:r>
      <w:r>
        <w:rPr>
          <w:rFonts w:ascii="Times New Roman" w:eastAsia="Calibri" w:hAnsi="Times New Roman" w:cs="Times New Roman"/>
          <w:sz w:val="24"/>
          <w:szCs w:val="24"/>
        </w:rPr>
        <w:t>V</w:t>
      </w:r>
      <w:r w:rsidRPr="004B70B7">
        <w:rPr>
          <w:rFonts w:ascii="Times New Roman" w:eastAsia="Calibri" w:hAnsi="Times New Roman" w:cs="Times New Roman"/>
          <w:sz w:val="24"/>
          <w:szCs w:val="24"/>
        </w:rPr>
        <w:t>plyvy týchto opatrení sú zahrnuté v</w:t>
      </w:r>
      <w:r>
        <w:rPr>
          <w:rFonts w:ascii="Times New Roman" w:eastAsia="Calibri" w:hAnsi="Times New Roman" w:cs="Times New Roman"/>
          <w:sz w:val="24"/>
          <w:szCs w:val="24"/>
        </w:rPr>
        <w:t> </w:t>
      </w:r>
      <w:r w:rsidRPr="004B70B7">
        <w:rPr>
          <w:rFonts w:ascii="Times New Roman" w:eastAsia="Calibri" w:hAnsi="Times New Roman" w:cs="Times New Roman"/>
          <w:sz w:val="24"/>
          <w:szCs w:val="24"/>
        </w:rPr>
        <w:t>predkladanom</w:t>
      </w:r>
      <w:r>
        <w:rPr>
          <w:rFonts w:ascii="Times New Roman" w:eastAsia="Calibri" w:hAnsi="Times New Roman" w:cs="Times New Roman"/>
          <w:sz w:val="24"/>
          <w:szCs w:val="24"/>
        </w:rPr>
        <w:t xml:space="preserve"> návrhu</w:t>
      </w:r>
      <w:r w:rsidRPr="004B70B7">
        <w:rPr>
          <w:rFonts w:ascii="Times New Roman" w:eastAsia="Calibri" w:hAnsi="Times New Roman" w:cs="Times New Roman"/>
          <w:sz w:val="24"/>
          <w:szCs w:val="24"/>
        </w:rPr>
        <w:t xml:space="preserve"> rozpočt</w:t>
      </w:r>
      <w:r>
        <w:rPr>
          <w:rFonts w:ascii="Times New Roman" w:eastAsia="Calibri" w:hAnsi="Times New Roman" w:cs="Times New Roman"/>
          <w:sz w:val="24"/>
          <w:szCs w:val="24"/>
        </w:rPr>
        <w:t>u</w:t>
      </w:r>
      <w:r w:rsidRPr="004B70B7">
        <w:rPr>
          <w:rFonts w:ascii="Times New Roman" w:eastAsia="Calibri" w:hAnsi="Times New Roman" w:cs="Times New Roman"/>
          <w:sz w:val="24"/>
          <w:szCs w:val="24"/>
        </w:rPr>
        <w:t xml:space="preserve"> verejnej správy.</w:t>
      </w:r>
    </w:p>
    <w:p w14:paraId="7FE4673B" w14:textId="77777777" w:rsidR="007F1377" w:rsidRPr="004B70B7" w:rsidRDefault="007F1377" w:rsidP="007F1377">
      <w:pPr>
        <w:spacing w:after="0" w:line="276" w:lineRule="auto"/>
        <w:jc w:val="both"/>
        <w:rPr>
          <w:rFonts w:ascii="Times New Roman" w:eastAsia="Calibri" w:hAnsi="Times New Roman" w:cs="Times New Roman"/>
          <w:sz w:val="24"/>
          <w:szCs w:val="24"/>
        </w:rPr>
      </w:pPr>
    </w:p>
    <w:p w14:paraId="78593C1D" w14:textId="4E095B88" w:rsidR="007F1377" w:rsidRPr="004B70B7" w:rsidRDefault="007F1377" w:rsidP="007F1377">
      <w:pPr>
        <w:spacing w:after="0" w:line="276" w:lineRule="auto"/>
        <w:jc w:val="both"/>
        <w:rPr>
          <w:rFonts w:ascii="Times New Roman" w:eastAsia="Calibri" w:hAnsi="Times New Roman" w:cs="Times New Roman"/>
          <w:sz w:val="24"/>
          <w:szCs w:val="24"/>
        </w:rPr>
      </w:pPr>
      <w:r w:rsidRPr="008A5D03">
        <w:rPr>
          <w:rFonts w:ascii="Times New Roman" w:eastAsia="Calibri" w:hAnsi="Times New Roman" w:cs="Times New Roman"/>
          <w:b/>
          <w:sz w:val="24"/>
          <w:szCs w:val="24"/>
        </w:rPr>
        <w:t>Predkladaný návrh rozpočtu verejnej správy na roky 2024 až 2026 okrem potrebnej konsolidácie zohľadňuje aj výrazné vplyvy legislatívnych a nelegislatívnych materiálov schválených v predchádzajúcom volebnom období</w:t>
      </w:r>
      <w:r w:rsidRPr="004B70B7">
        <w:rPr>
          <w:rFonts w:ascii="Times New Roman" w:eastAsia="Calibri" w:hAnsi="Times New Roman" w:cs="Times New Roman"/>
          <w:sz w:val="24"/>
          <w:szCs w:val="24"/>
        </w:rPr>
        <w:t xml:space="preserve">. Napriek tejto skutočnosti však vláda SR v predkladanom návrhu rozpočtu verejnej správy neznižuje výdavky určené na vyplácanie dôchodkov, či výdavky určené na podporu iných zraniteľných skupín obyvateľstva, ako ani výdavky na školstvo, zdravotníctvo, sociálne veci, rodinnú politiku a mnohé ďalšie oblasti, aby negatívne vplyvy na obyvateľstvo boli čo najmenšie. </w:t>
      </w:r>
      <w:r w:rsidR="005747C0" w:rsidRPr="005747C0">
        <w:rPr>
          <w:rFonts w:ascii="Times New Roman" w:eastAsia="Calibri" w:hAnsi="Times New Roman" w:cs="Times New Roman"/>
          <w:sz w:val="24"/>
          <w:szCs w:val="24"/>
        </w:rPr>
        <w:t>Vplyv legislatívy schválenej v predchádzajúcom období</w:t>
      </w:r>
      <w:r w:rsidR="005747C0">
        <w:rPr>
          <w:rFonts w:ascii="Times New Roman" w:eastAsia="Calibri" w:hAnsi="Times New Roman" w:cs="Times New Roman"/>
          <w:sz w:val="24"/>
          <w:szCs w:val="24"/>
        </w:rPr>
        <w:t>,</w:t>
      </w:r>
      <w:r w:rsidR="005747C0" w:rsidRPr="005747C0">
        <w:rPr>
          <w:rFonts w:ascii="Times New Roman" w:eastAsia="Calibri" w:hAnsi="Times New Roman" w:cs="Times New Roman"/>
          <w:sz w:val="24"/>
          <w:szCs w:val="24"/>
        </w:rPr>
        <w:t xml:space="preserve"> ako aj opatrenia nelegislatívneho charakteru</w:t>
      </w:r>
      <w:r w:rsidR="005747C0">
        <w:rPr>
          <w:rFonts w:ascii="Times New Roman" w:eastAsia="Calibri" w:hAnsi="Times New Roman" w:cs="Times New Roman"/>
          <w:sz w:val="24"/>
          <w:szCs w:val="24"/>
        </w:rPr>
        <w:t>,</w:t>
      </w:r>
      <w:r w:rsidR="005747C0" w:rsidRPr="005747C0">
        <w:rPr>
          <w:rFonts w:ascii="Times New Roman" w:eastAsia="Calibri" w:hAnsi="Times New Roman" w:cs="Times New Roman"/>
          <w:sz w:val="24"/>
          <w:szCs w:val="24"/>
        </w:rPr>
        <w:t xml:space="preserve"> výraznou mierou ov</w:t>
      </w:r>
      <w:r w:rsidR="005747C0">
        <w:rPr>
          <w:rFonts w:ascii="Times New Roman" w:eastAsia="Calibri" w:hAnsi="Times New Roman" w:cs="Times New Roman"/>
          <w:sz w:val="24"/>
          <w:szCs w:val="24"/>
        </w:rPr>
        <w:t>plyvňujú tvorbu návrhu rozpočtu na nas</w:t>
      </w:r>
      <w:r w:rsidR="005747C0" w:rsidRPr="005747C0">
        <w:rPr>
          <w:rFonts w:ascii="Times New Roman" w:eastAsia="Calibri" w:hAnsi="Times New Roman" w:cs="Times New Roman"/>
          <w:sz w:val="24"/>
          <w:szCs w:val="24"/>
        </w:rPr>
        <w:t>l</w:t>
      </w:r>
      <w:r w:rsidR="005747C0">
        <w:rPr>
          <w:rFonts w:ascii="Times New Roman" w:eastAsia="Calibri" w:hAnsi="Times New Roman" w:cs="Times New Roman"/>
          <w:sz w:val="24"/>
          <w:szCs w:val="24"/>
        </w:rPr>
        <w:t>e</w:t>
      </w:r>
      <w:r w:rsidR="005747C0" w:rsidRPr="005747C0">
        <w:rPr>
          <w:rFonts w:ascii="Times New Roman" w:eastAsia="Calibri" w:hAnsi="Times New Roman" w:cs="Times New Roman"/>
          <w:sz w:val="24"/>
          <w:szCs w:val="24"/>
        </w:rPr>
        <w:t xml:space="preserve">dujúce roky. </w:t>
      </w:r>
      <w:r w:rsidR="005747C0">
        <w:rPr>
          <w:rFonts w:ascii="Times New Roman" w:eastAsia="Calibri" w:hAnsi="Times New Roman" w:cs="Times New Roman"/>
          <w:sz w:val="24"/>
          <w:szCs w:val="24"/>
        </w:rPr>
        <w:t>V prípade, a</w:t>
      </w:r>
      <w:r w:rsidR="005747C0" w:rsidRPr="005747C0">
        <w:rPr>
          <w:rFonts w:ascii="Times New Roman" w:eastAsia="Calibri" w:hAnsi="Times New Roman" w:cs="Times New Roman"/>
          <w:sz w:val="24"/>
          <w:szCs w:val="24"/>
        </w:rPr>
        <w:t>k by nová vláda nevykonala žiadne zmeny l</w:t>
      </w:r>
      <w:r w:rsidR="005747C0">
        <w:rPr>
          <w:rFonts w:ascii="Times New Roman" w:eastAsia="Calibri" w:hAnsi="Times New Roman" w:cs="Times New Roman"/>
          <w:sz w:val="24"/>
          <w:szCs w:val="24"/>
        </w:rPr>
        <w:t>egislatívy v skrátenom legislatívnom ko</w:t>
      </w:r>
      <w:r w:rsidR="005747C0" w:rsidRPr="005747C0">
        <w:rPr>
          <w:rFonts w:ascii="Times New Roman" w:eastAsia="Calibri" w:hAnsi="Times New Roman" w:cs="Times New Roman"/>
          <w:sz w:val="24"/>
          <w:szCs w:val="24"/>
        </w:rPr>
        <w:t xml:space="preserve">naní a neprijala operatívne </w:t>
      </w:r>
      <w:r w:rsidR="005747C0" w:rsidRPr="005747C0">
        <w:rPr>
          <w:rFonts w:ascii="Times New Roman" w:eastAsia="Calibri" w:hAnsi="Times New Roman" w:cs="Times New Roman"/>
          <w:sz w:val="24"/>
          <w:szCs w:val="24"/>
        </w:rPr>
        <w:lastRenderedPageBreak/>
        <w:t xml:space="preserve">kroky na </w:t>
      </w:r>
      <w:r w:rsidR="005747C0">
        <w:rPr>
          <w:rFonts w:ascii="Times New Roman" w:eastAsia="Calibri" w:hAnsi="Times New Roman" w:cs="Times New Roman"/>
          <w:sz w:val="24"/>
          <w:szCs w:val="24"/>
        </w:rPr>
        <w:t xml:space="preserve">zníženie </w:t>
      </w:r>
      <w:r w:rsidR="006B43C5">
        <w:rPr>
          <w:rFonts w:ascii="Times New Roman" w:eastAsia="Calibri" w:hAnsi="Times New Roman" w:cs="Times New Roman"/>
          <w:sz w:val="24"/>
          <w:szCs w:val="24"/>
        </w:rPr>
        <w:t>výdavkov</w:t>
      </w:r>
      <w:r w:rsidR="005747C0" w:rsidRPr="005747C0">
        <w:rPr>
          <w:rFonts w:ascii="Times New Roman" w:eastAsia="Calibri" w:hAnsi="Times New Roman" w:cs="Times New Roman"/>
          <w:sz w:val="24"/>
          <w:szCs w:val="24"/>
        </w:rPr>
        <w:t xml:space="preserve"> rozpočtu jednotlivých kapitol</w:t>
      </w:r>
      <w:r w:rsidR="005747C0">
        <w:rPr>
          <w:rFonts w:ascii="Times New Roman" w:eastAsia="Calibri" w:hAnsi="Times New Roman" w:cs="Times New Roman"/>
          <w:sz w:val="24"/>
          <w:szCs w:val="24"/>
        </w:rPr>
        <w:t>, tak by defic</w:t>
      </w:r>
      <w:r w:rsidR="005747C0" w:rsidRPr="005747C0">
        <w:rPr>
          <w:rFonts w:ascii="Times New Roman" w:eastAsia="Calibri" w:hAnsi="Times New Roman" w:cs="Times New Roman"/>
          <w:sz w:val="24"/>
          <w:szCs w:val="24"/>
        </w:rPr>
        <w:t xml:space="preserve">it </w:t>
      </w:r>
      <w:r w:rsidR="006B43C5">
        <w:rPr>
          <w:rFonts w:ascii="Times New Roman" w:eastAsia="Calibri" w:hAnsi="Times New Roman" w:cs="Times New Roman"/>
          <w:sz w:val="24"/>
          <w:szCs w:val="24"/>
        </w:rPr>
        <w:t xml:space="preserve">rozpočtu </w:t>
      </w:r>
      <w:r w:rsidR="005747C0" w:rsidRPr="005747C0">
        <w:rPr>
          <w:rFonts w:ascii="Times New Roman" w:eastAsia="Calibri" w:hAnsi="Times New Roman" w:cs="Times New Roman"/>
          <w:sz w:val="24"/>
          <w:szCs w:val="24"/>
        </w:rPr>
        <w:t>ver</w:t>
      </w:r>
      <w:r w:rsidR="005747C0">
        <w:rPr>
          <w:rFonts w:ascii="Times New Roman" w:eastAsia="Calibri" w:hAnsi="Times New Roman" w:cs="Times New Roman"/>
          <w:sz w:val="24"/>
          <w:szCs w:val="24"/>
        </w:rPr>
        <w:t>ej</w:t>
      </w:r>
      <w:r w:rsidR="005747C0" w:rsidRPr="005747C0">
        <w:rPr>
          <w:rFonts w:ascii="Times New Roman" w:eastAsia="Calibri" w:hAnsi="Times New Roman" w:cs="Times New Roman"/>
          <w:sz w:val="24"/>
          <w:szCs w:val="24"/>
        </w:rPr>
        <w:t>ných fina</w:t>
      </w:r>
      <w:r w:rsidR="006B43C5">
        <w:rPr>
          <w:rFonts w:ascii="Times New Roman" w:eastAsia="Calibri" w:hAnsi="Times New Roman" w:cs="Times New Roman"/>
          <w:sz w:val="24"/>
          <w:szCs w:val="24"/>
        </w:rPr>
        <w:t>ncií v roku 2024</w:t>
      </w:r>
      <w:r w:rsidR="005747C0">
        <w:rPr>
          <w:rFonts w:ascii="Times New Roman" w:eastAsia="Calibri" w:hAnsi="Times New Roman" w:cs="Times New Roman"/>
          <w:sz w:val="24"/>
          <w:szCs w:val="24"/>
        </w:rPr>
        <w:t xml:space="preserve"> dosiahol 6,55 % HDP, t. j. 8,5</w:t>
      </w:r>
      <w:r w:rsidR="005747C0" w:rsidRPr="005747C0">
        <w:rPr>
          <w:rFonts w:ascii="Times New Roman" w:eastAsia="Calibri" w:hAnsi="Times New Roman" w:cs="Times New Roman"/>
          <w:sz w:val="24"/>
          <w:szCs w:val="24"/>
        </w:rPr>
        <w:t xml:space="preserve"> mld. eur.</w:t>
      </w:r>
    </w:p>
    <w:p w14:paraId="12642424" w14:textId="77777777" w:rsidR="007F1377" w:rsidRPr="004B70B7" w:rsidRDefault="007F1377" w:rsidP="007F1377">
      <w:pPr>
        <w:spacing w:after="0" w:line="276" w:lineRule="auto"/>
        <w:jc w:val="both"/>
        <w:rPr>
          <w:rFonts w:ascii="Times New Roman" w:eastAsia="Calibri" w:hAnsi="Times New Roman" w:cs="Times New Roman"/>
          <w:sz w:val="24"/>
          <w:szCs w:val="24"/>
        </w:rPr>
      </w:pPr>
    </w:p>
    <w:p w14:paraId="26CB3972" w14:textId="1A09743D" w:rsidR="007F1377" w:rsidRPr="004B70B7" w:rsidRDefault="007F1377" w:rsidP="007F1377">
      <w:pPr>
        <w:spacing w:after="0" w:line="276" w:lineRule="auto"/>
        <w:jc w:val="both"/>
        <w:rPr>
          <w:rFonts w:ascii="Times New Roman" w:eastAsia="Calibri" w:hAnsi="Times New Roman" w:cs="Times New Roman"/>
          <w:sz w:val="24"/>
          <w:szCs w:val="24"/>
        </w:rPr>
      </w:pPr>
      <w:r w:rsidRPr="004B70B7">
        <w:rPr>
          <w:rFonts w:ascii="Times New Roman" w:eastAsia="Calibri" w:hAnsi="Times New Roman" w:cs="Times New Roman"/>
          <w:sz w:val="24"/>
          <w:szCs w:val="24"/>
        </w:rPr>
        <w:t xml:space="preserve">Pri zohľadnení potrebného konsolidačného úsilia, návrh rozpočtu verejnej správy počíta aj </w:t>
      </w:r>
      <w:r w:rsidRPr="004B0A60">
        <w:rPr>
          <w:rFonts w:ascii="Times New Roman" w:eastAsia="Calibri" w:hAnsi="Times New Roman" w:cs="Times New Roman"/>
          <w:sz w:val="24"/>
          <w:szCs w:val="24"/>
        </w:rPr>
        <w:t>s výdavkami určenými na prijatie trvalého 13. dôchodku vo výške priemernej mesačnej sumy daného druhu dôchodku za predchádzajúci rok, a</w:t>
      </w:r>
      <w:r w:rsidRPr="004B70B7">
        <w:rPr>
          <w:rFonts w:ascii="Times New Roman" w:eastAsia="Calibri" w:hAnsi="Times New Roman" w:cs="Times New Roman"/>
          <w:sz w:val="24"/>
          <w:szCs w:val="24"/>
        </w:rPr>
        <w:t xml:space="preserve"> to </w:t>
      </w:r>
      <w:r>
        <w:rPr>
          <w:rFonts w:ascii="Times New Roman" w:eastAsia="Calibri" w:hAnsi="Times New Roman" w:cs="Times New Roman"/>
          <w:sz w:val="24"/>
          <w:szCs w:val="24"/>
        </w:rPr>
        <w:t xml:space="preserve">súčasne </w:t>
      </w:r>
      <w:r w:rsidRPr="004B70B7">
        <w:rPr>
          <w:rFonts w:ascii="Times New Roman" w:eastAsia="Calibri" w:hAnsi="Times New Roman" w:cs="Times New Roman"/>
          <w:sz w:val="24"/>
          <w:szCs w:val="24"/>
        </w:rPr>
        <w:t xml:space="preserve">pri zachovaní rodičovského dôchodku. Rovnako je v návrhu rozpočtu verejnej správy zabezpečená pomoc pri splácaní úverov na bývanie v súvislosti s nárastom úrokových sadzieb, ktoré </w:t>
      </w:r>
      <w:r w:rsidR="006B43C5">
        <w:rPr>
          <w:rFonts w:ascii="Times New Roman" w:eastAsia="Calibri" w:hAnsi="Times New Roman" w:cs="Times New Roman"/>
          <w:sz w:val="24"/>
          <w:szCs w:val="24"/>
        </w:rPr>
        <w:t xml:space="preserve">zvyšujú finančné zaťaženie </w:t>
      </w:r>
      <w:r w:rsidRPr="004B70B7">
        <w:rPr>
          <w:rFonts w:ascii="Times New Roman" w:eastAsia="Calibri" w:hAnsi="Times New Roman" w:cs="Times New Roman"/>
          <w:sz w:val="24"/>
          <w:szCs w:val="24"/>
        </w:rPr>
        <w:t xml:space="preserve"> domácností a mohlo by dôjsť k vážnemu ohrozeniu platobnej schopnosti obyvateľov splácať tieto úvery. Návrh rozpočtu verejnej správy taktiež zahŕňa aj výdavky na vytvorenie nového Ministerstva cestovného ruchu a športu SR, ktorého cieľom je posilniť a zefektívniť využívanie verejných zdrojov a potenciálu v cestovnom ruchu, rozvoj kúpeľného cestovného ruchu a cykloturistiky, ako aj podpora športu. Zároveň kvôli stále prebiehajúcej </w:t>
      </w:r>
      <w:proofErr w:type="spellStart"/>
      <w:r w:rsidRPr="004B70B7">
        <w:rPr>
          <w:rFonts w:ascii="Times New Roman" w:eastAsia="Calibri" w:hAnsi="Times New Roman" w:cs="Times New Roman"/>
          <w:sz w:val="24"/>
          <w:szCs w:val="24"/>
        </w:rPr>
        <w:t>energokríze</w:t>
      </w:r>
      <w:proofErr w:type="spellEnd"/>
      <w:r w:rsidRPr="004B70B7">
        <w:rPr>
          <w:rFonts w:ascii="Times New Roman" w:eastAsia="Calibri" w:hAnsi="Times New Roman" w:cs="Times New Roman"/>
          <w:sz w:val="24"/>
          <w:szCs w:val="24"/>
        </w:rPr>
        <w:t xml:space="preserve"> sa v rozpočte verejnej správy počíta s pomocou vlády SR na kompenzáciu vysokých cien pre domácnosti</w:t>
      </w:r>
      <w:r>
        <w:rPr>
          <w:rFonts w:ascii="Times New Roman" w:eastAsia="Calibri" w:hAnsi="Times New Roman" w:cs="Times New Roman"/>
          <w:sz w:val="24"/>
          <w:szCs w:val="24"/>
        </w:rPr>
        <w:t xml:space="preserve"> </w:t>
      </w:r>
      <w:r w:rsidRPr="004B70B7">
        <w:rPr>
          <w:rFonts w:ascii="Times New Roman" w:eastAsia="Calibri" w:hAnsi="Times New Roman" w:cs="Times New Roman"/>
          <w:sz w:val="24"/>
          <w:szCs w:val="24"/>
        </w:rPr>
        <w:t>s cieľom ich stabilizácie.</w:t>
      </w:r>
    </w:p>
    <w:p w14:paraId="5D677F03" w14:textId="77777777" w:rsidR="007F1377" w:rsidRDefault="007F1377" w:rsidP="007F1377">
      <w:pPr>
        <w:spacing w:after="0" w:line="276" w:lineRule="auto"/>
        <w:jc w:val="both"/>
        <w:rPr>
          <w:rFonts w:ascii="Times New Roman" w:eastAsia="Calibri" w:hAnsi="Times New Roman" w:cs="Times New Roman"/>
          <w:sz w:val="24"/>
          <w:szCs w:val="24"/>
        </w:rPr>
      </w:pPr>
    </w:p>
    <w:p w14:paraId="6680838F" w14:textId="12556D4C" w:rsidR="007F1377" w:rsidRPr="00637CE4" w:rsidRDefault="007F1377" w:rsidP="007F1377">
      <w:pPr>
        <w:spacing w:after="0" w:line="276" w:lineRule="auto"/>
        <w:jc w:val="both"/>
        <w:rPr>
          <w:rFonts w:ascii="Times New Roman" w:eastAsia="Calibri" w:hAnsi="Times New Roman" w:cs="Times New Roman"/>
          <w:sz w:val="24"/>
          <w:szCs w:val="24"/>
        </w:rPr>
      </w:pPr>
      <w:r w:rsidRPr="008A5D03">
        <w:rPr>
          <w:rFonts w:ascii="Times New Roman" w:eastAsia="Calibri" w:hAnsi="Times New Roman" w:cs="Times New Roman"/>
          <w:b/>
          <w:sz w:val="24"/>
          <w:szCs w:val="24"/>
        </w:rPr>
        <w:t>V budúcom roku vláda v súlade so svojím programovým vyhlásením plánuje znížiť</w:t>
      </w:r>
      <w:r w:rsidRPr="004E6E4E">
        <w:rPr>
          <w:rFonts w:ascii="Times New Roman" w:eastAsia="Calibri" w:hAnsi="Times New Roman" w:cs="Times New Roman"/>
          <w:b/>
          <w:sz w:val="24"/>
          <w:szCs w:val="24"/>
        </w:rPr>
        <w:t xml:space="preserve"> deficit </w:t>
      </w:r>
      <w:r w:rsidRPr="004E6E4E">
        <w:rPr>
          <w:rFonts w:ascii="Times New Roman" w:eastAsia="Calibri" w:hAnsi="Times New Roman" w:cs="Times New Roman"/>
          <w:b/>
          <w:sz w:val="24"/>
          <w:szCs w:val="24"/>
        </w:rPr>
        <w:br/>
        <w:t>na 5,97 % HDP</w:t>
      </w:r>
      <w:r w:rsidRPr="0004105B">
        <w:rPr>
          <w:rFonts w:ascii="Times New Roman" w:eastAsia="Calibri" w:hAnsi="Times New Roman" w:cs="Times New Roman"/>
          <w:b/>
          <w:sz w:val="24"/>
          <w:szCs w:val="24"/>
        </w:rPr>
        <w:t xml:space="preserve">. </w:t>
      </w:r>
      <w:r>
        <w:rPr>
          <w:rFonts w:ascii="Times New Roman" w:eastAsia="Calibri" w:hAnsi="Times New Roman" w:cs="Times New Roman"/>
          <w:sz w:val="24"/>
          <w:szCs w:val="24"/>
        </w:rPr>
        <w:t>S</w:t>
      </w:r>
      <w:r w:rsidRPr="0004105B">
        <w:rPr>
          <w:rFonts w:ascii="Times New Roman" w:eastAsia="Calibri" w:hAnsi="Times New Roman" w:cs="Times New Roman"/>
          <w:sz w:val="24"/>
          <w:szCs w:val="24"/>
        </w:rPr>
        <w:t>chodok sa tak má znížiť o viac ako 0,5 % HDP z úrovne 6,52 % v tomto roku. K medziročnému poklesu schodku prispej</w:t>
      </w:r>
      <w:r>
        <w:rPr>
          <w:rFonts w:ascii="Times New Roman" w:eastAsia="Calibri" w:hAnsi="Times New Roman" w:cs="Times New Roman"/>
          <w:sz w:val="24"/>
          <w:szCs w:val="24"/>
        </w:rPr>
        <w:t xml:space="preserve">ú </w:t>
      </w:r>
      <w:r w:rsidRPr="0004105B">
        <w:rPr>
          <w:rFonts w:ascii="Times New Roman" w:eastAsia="Calibri" w:hAnsi="Times New Roman" w:cs="Times New Roman"/>
          <w:sz w:val="24"/>
          <w:szCs w:val="24"/>
        </w:rPr>
        <w:t xml:space="preserve">najmä </w:t>
      </w:r>
      <w:r>
        <w:rPr>
          <w:rFonts w:ascii="Times New Roman" w:eastAsia="Calibri" w:hAnsi="Times New Roman" w:cs="Times New Roman"/>
          <w:sz w:val="24"/>
          <w:szCs w:val="24"/>
        </w:rPr>
        <w:t xml:space="preserve">prijaté konsolidačné opatrenia, a to najmä </w:t>
      </w:r>
      <w:r w:rsidRPr="0004105B">
        <w:rPr>
          <w:rFonts w:ascii="Times New Roman" w:eastAsia="Calibri" w:hAnsi="Times New Roman" w:cs="Times New Roman"/>
          <w:sz w:val="24"/>
          <w:szCs w:val="24"/>
        </w:rPr>
        <w:t xml:space="preserve">zdanenie dočasných vysokých ziskov v bankovom sektore, zvýšenie zdravotných odvodov, predĺženie platnosti solidárneho príspevku v odvetví </w:t>
      </w:r>
      <w:proofErr w:type="spellStart"/>
      <w:r w:rsidRPr="0004105B">
        <w:rPr>
          <w:rFonts w:ascii="Times New Roman" w:eastAsia="Calibri" w:hAnsi="Times New Roman" w:cs="Times New Roman"/>
          <w:sz w:val="24"/>
          <w:szCs w:val="24"/>
        </w:rPr>
        <w:t>spracujúcom</w:t>
      </w:r>
      <w:proofErr w:type="spellEnd"/>
      <w:r w:rsidRPr="0004105B">
        <w:rPr>
          <w:rFonts w:ascii="Times New Roman" w:eastAsia="Calibri" w:hAnsi="Times New Roman" w:cs="Times New Roman"/>
          <w:sz w:val="24"/>
          <w:szCs w:val="24"/>
        </w:rPr>
        <w:t xml:space="preserve"> ropu, zníženie odvodov do 2. dôchodkového piliera, zavedenie minimálnej a </w:t>
      </w:r>
      <w:proofErr w:type="spellStart"/>
      <w:r w:rsidRPr="0004105B">
        <w:rPr>
          <w:rFonts w:ascii="Times New Roman" w:eastAsia="Calibri" w:hAnsi="Times New Roman" w:cs="Times New Roman"/>
          <w:sz w:val="24"/>
          <w:szCs w:val="24"/>
        </w:rPr>
        <w:t>dorovnávacej</w:t>
      </w:r>
      <w:proofErr w:type="spellEnd"/>
      <w:r w:rsidRPr="0004105B">
        <w:rPr>
          <w:rFonts w:ascii="Times New Roman" w:eastAsia="Calibri" w:hAnsi="Times New Roman" w:cs="Times New Roman"/>
          <w:sz w:val="24"/>
          <w:szCs w:val="24"/>
        </w:rPr>
        <w:t xml:space="preserve"> dane pre právnické osoby, či zvýšenie daní z tabaku a liehu a iné. Od roku 2025 si budú </w:t>
      </w:r>
      <w:r w:rsidRPr="00637CE4">
        <w:rPr>
          <w:rFonts w:ascii="Times New Roman" w:eastAsia="Calibri" w:hAnsi="Times New Roman" w:cs="Times New Roman"/>
          <w:b/>
          <w:sz w:val="24"/>
          <w:szCs w:val="24"/>
        </w:rPr>
        <w:t>európske fiškálne pravidlá</w:t>
      </w:r>
      <w:r w:rsidRPr="0004105B">
        <w:rPr>
          <w:rFonts w:ascii="Times New Roman" w:eastAsia="Calibri" w:hAnsi="Times New Roman" w:cs="Times New Roman"/>
          <w:sz w:val="24"/>
          <w:szCs w:val="24"/>
        </w:rPr>
        <w:t xml:space="preserve"> pravdepodobne vyžadovať ďalšie</w:t>
      </w:r>
      <w:r w:rsidRPr="0004105B">
        <w:rPr>
          <w:rFonts w:ascii="Times New Roman" w:eastAsia="Calibri" w:hAnsi="Times New Roman" w:cs="Times New Roman"/>
          <w:b/>
          <w:sz w:val="24"/>
          <w:szCs w:val="24"/>
        </w:rPr>
        <w:t xml:space="preserve"> </w:t>
      </w:r>
      <w:r w:rsidRPr="00637CE4">
        <w:rPr>
          <w:rFonts w:ascii="Times New Roman" w:eastAsia="Calibri" w:hAnsi="Times New Roman" w:cs="Times New Roman"/>
          <w:sz w:val="24"/>
          <w:szCs w:val="24"/>
        </w:rPr>
        <w:t>znižovanie nominálneho deficitu o 1 % HDP ročne.</w:t>
      </w:r>
    </w:p>
    <w:p w14:paraId="6B43ED3F" w14:textId="77777777" w:rsidR="007F1377" w:rsidRDefault="007F1377" w:rsidP="007F1377">
      <w:pPr>
        <w:spacing w:after="0" w:line="276" w:lineRule="auto"/>
        <w:jc w:val="both"/>
        <w:rPr>
          <w:rFonts w:ascii="Times New Roman" w:eastAsia="Calibri" w:hAnsi="Times New Roman" w:cs="Times New Roman"/>
          <w:sz w:val="24"/>
          <w:szCs w:val="24"/>
        </w:rPr>
      </w:pPr>
    </w:p>
    <w:p w14:paraId="27F18419" w14:textId="51E12754" w:rsidR="007F1377" w:rsidRDefault="007F1377" w:rsidP="007F1377">
      <w:pPr>
        <w:spacing w:after="0" w:line="276" w:lineRule="auto"/>
        <w:jc w:val="both"/>
        <w:rPr>
          <w:rFonts w:ascii="Times New Roman" w:hAnsi="Times New Roman" w:cs="Times New Roman"/>
          <w:sz w:val="24"/>
          <w:szCs w:val="24"/>
        </w:rPr>
      </w:pPr>
      <w:r w:rsidRPr="008A5D03">
        <w:rPr>
          <w:rFonts w:ascii="Times New Roman" w:eastAsia="Calibri" w:hAnsi="Times New Roman" w:cs="Times New Roman"/>
          <w:b/>
          <w:sz w:val="24"/>
          <w:szCs w:val="24"/>
        </w:rPr>
        <w:t xml:space="preserve">Z pohľadu makroekonomických predpokladov slovenská ekonomika v roku 2023 posilní </w:t>
      </w:r>
      <w:r w:rsidRPr="008A5D03">
        <w:rPr>
          <w:rFonts w:ascii="Times New Roman" w:eastAsia="Calibri" w:hAnsi="Times New Roman" w:cs="Times New Roman"/>
          <w:b/>
          <w:sz w:val="24"/>
          <w:szCs w:val="24"/>
        </w:rPr>
        <w:br/>
        <w:t>o 1,2 %</w:t>
      </w:r>
      <w:r w:rsidRPr="00541C84">
        <w:rPr>
          <w:rFonts w:ascii="Times New Roman" w:eastAsia="Calibri" w:hAnsi="Times New Roman" w:cs="Times New Roman"/>
          <w:sz w:val="24"/>
          <w:szCs w:val="24"/>
        </w:rPr>
        <w:t xml:space="preserve"> z dôvodu slabšieho zahraničného dopytu a vysokých cien. Domácnosti č</w:t>
      </w:r>
      <w:r>
        <w:rPr>
          <w:rFonts w:ascii="Times New Roman" w:eastAsia="Calibri" w:hAnsi="Times New Roman" w:cs="Times New Roman"/>
          <w:sz w:val="24"/>
          <w:szCs w:val="24"/>
        </w:rPr>
        <w:t>a</w:t>
      </w:r>
      <w:r w:rsidRPr="00541C84">
        <w:rPr>
          <w:rFonts w:ascii="Times New Roman" w:eastAsia="Calibri" w:hAnsi="Times New Roman" w:cs="Times New Roman"/>
          <w:sz w:val="24"/>
          <w:szCs w:val="24"/>
        </w:rPr>
        <w:t>kajú na ústup inflácie, spotreba preto ostáva utlmená</w:t>
      </w:r>
      <w:r w:rsidR="00CA1C84">
        <w:rPr>
          <w:rFonts w:ascii="Times New Roman" w:eastAsia="Calibri" w:hAnsi="Times New Roman" w:cs="Times New Roman"/>
          <w:sz w:val="24"/>
          <w:szCs w:val="24"/>
        </w:rPr>
        <w:t>,</w:t>
      </w:r>
      <w:r w:rsidRPr="00541C84">
        <w:rPr>
          <w:rFonts w:ascii="Times New Roman" w:eastAsia="Calibri" w:hAnsi="Times New Roman" w:cs="Times New Roman"/>
          <w:sz w:val="24"/>
          <w:szCs w:val="24"/>
        </w:rPr>
        <w:t xml:space="preserve"> aj keď v závere roka podporí reálne príjmy domácností 13. dôchodok.</w:t>
      </w:r>
      <w:r w:rsidRPr="00541C84">
        <w:rPr>
          <w:rFonts w:ascii="Times New Roman" w:hAnsi="Times New Roman" w:cs="Times New Roman"/>
          <w:sz w:val="24"/>
          <w:szCs w:val="24"/>
        </w:rPr>
        <w:t xml:space="preserve"> </w:t>
      </w:r>
      <w:r w:rsidRPr="00541C84">
        <w:rPr>
          <w:rFonts w:ascii="Times New Roman" w:eastAsia="Calibri" w:hAnsi="Times New Roman" w:cs="Times New Roman"/>
          <w:sz w:val="24"/>
          <w:szCs w:val="24"/>
        </w:rPr>
        <w:t xml:space="preserve">V dôsledku nových stropov na ceny energií pre domácnosti inflácia ustúpi a dynamika rastu slovenskej ekonomiky sa v roku 2024 zrýchli na </w:t>
      </w:r>
      <w:r w:rsidRPr="008A5D03">
        <w:rPr>
          <w:rFonts w:ascii="Times New Roman" w:eastAsia="Calibri" w:hAnsi="Times New Roman" w:cs="Times New Roman"/>
          <w:sz w:val="24"/>
          <w:szCs w:val="24"/>
        </w:rPr>
        <w:t>2,7 %</w:t>
      </w:r>
      <w:r w:rsidRPr="006C02EC">
        <w:rPr>
          <w:rFonts w:ascii="Times New Roman" w:eastAsia="Calibri" w:hAnsi="Times New Roman" w:cs="Times New Roman"/>
          <w:sz w:val="24"/>
          <w:szCs w:val="24"/>
        </w:rPr>
        <w:t>.</w:t>
      </w:r>
      <w:r>
        <w:rPr>
          <w:rFonts w:ascii="Times New Roman" w:eastAsia="Calibri" w:hAnsi="Times New Roman" w:cs="Times New Roman"/>
          <w:sz w:val="24"/>
          <w:szCs w:val="24"/>
        </w:rPr>
        <w:t xml:space="preserve"> Rok 2024 </w:t>
      </w:r>
      <w:r>
        <w:rPr>
          <w:rFonts w:ascii="Times New Roman" w:hAnsi="Times New Roman" w:cs="Times New Roman"/>
          <w:sz w:val="24"/>
          <w:szCs w:val="24"/>
        </w:rPr>
        <w:t xml:space="preserve">prinesie </w:t>
      </w:r>
      <w:r w:rsidRPr="00FD0835">
        <w:rPr>
          <w:rFonts w:ascii="Times New Roman" w:hAnsi="Times New Roman" w:cs="Times New Roman"/>
          <w:sz w:val="24"/>
          <w:szCs w:val="24"/>
        </w:rPr>
        <w:t>spomalenie inflácie na 3,2 %</w:t>
      </w:r>
      <w:r>
        <w:rPr>
          <w:rFonts w:ascii="Times New Roman" w:hAnsi="Times New Roman" w:cs="Times New Roman"/>
          <w:sz w:val="24"/>
          <w:szCs w:val="24"/>
        </w:rPr>
        <w:t xml:space="preserve"> a miera nezamestnanosti </w:t>
      </w:r>
      <w:r w:rsidRPr="00762040">
        <w:rPr>
          <w:rFonts w:ascii="Times New Roman" w:hAnsi="Times New Roman" w:cs="Times New Roman"/>
          <w:sz w:val="24"/>
          <w:szCs w:val="24"/>
        </w:rPr>
        <w:t>dosiahne nové historické minimum na úrovni 5,4 %.</w:t>
      </w:r>
      <w:r>
        <w:rPr>
          <w:rFonts w:ascii="Times New Roman" w:hAnsi="Times New Roman" w:cs="Times New Roman"/>
          <w:sz w:val="24"/>
          <w:szCs w:val="24"/>
        </w:rPr>
        <w:t xml:space="preserve"> </w:t>
      </w:r>
      <w:r w:rsidRPr="004351FF">
        <w:rPr>
          <w:rFonts w:ascii="Times New Roman" w:hAnsi="Times New Roman" w:cs="Times New Roman"/>
          <w:bCs/>
          <w:sz w:val="24"/>
          <w:szCs w:val="24"/>
        </w:rPr>
        <w:t xml:space="preserve">Reálna mzda sa v roku 2024 po dvoch rokoch vráti k rastu. </w:t>
      </w:r>
    </w:p>
    <w:p w14:paraId="77657072" w14:textId="77777777" w:rsidR="007F1377" w:rsidRDefault="007F1377" w:rsidP="007F1377">
      <w:pPr>
        <w:spacing w:after="0" w:line="276" w:lineRule="auto"/>
        <w:jc w:val="both"/>
        <w:rPr>
          <w:rFonts w:ascii="Times New Roman" w:hAnsi="Times New Roman" w:cs="Times New Roman"/>
          <w:sz w:val="24"/>
          <w:szCs w:val="24"/>
        </w:rPr>
      </w:pPr>
    </w:p>
    <w:p w14:paraId="0997BC8E" w14:textId="03A4CD3F" w:rsidR="007F1377" w:rsidRDefault="007F1377" w:rsidP="007F1377">
      <w:pPr>
        <w:spacing w:after="0" w:line="276" w:lineRule="auto"/>
        <w:jc w:val="both"/>
        <w:rPr>
          <w:rFonts w:ascii="Times New Roman" w:eastAsia="Calibri" w:hAnsi="Times New Roman" w:cs="Times New Roman"/>
          <w:sz w:val="24"/>
          <w:szCs w:val="24"/>
        </w:rPr>
      </w:pPr>
      <w:r w:rsidRPr="008A5D03">
        <w:rPr>
          <w:rFonts w:ascii="Times New Roman" w:eastAsia="Calibri" w:hAnsi="Times New Roman" w:cs="Times New Roman"/>
          <w:b/>
          <w:sz w:val="24"/>
        </w:rPr>
        <w:t>Makroekonomické predpoklady boli základom pre vypracovanie aktuálnych prognóz daňových a odvodových príjmov verejnej správy na roky 2024 až 2026</w:t>
      </w:r>
      <w:r w:rsidRPr="00D94493">
        <w:rPr>
          <w:rFonts w:ascii="Times New Roman" w:eastAsia="Calibri" w:hAnsi="Times New Roman" w:cs="Times New Roman"/>
          <w:sz w:val="24"/>
        </w:rPr>
        <w:t xml:space="preserve">. Aktuálna </w:t>
      </w:r>
      <w:r>
        <w:rPr>
          <w:rFonts w:ascii="Times New Roman" w:eastAsia="Calibri" w:hAnsi="Times New Roman" w:cs="Times New Roman"/>
          <w:sz w:val="24"/>
        </w:rPr>
        <w:t xml:space="preserve">decembrová </w:t>
      </w:r>
      <w:r w:rsidRPr="00D94493">
        <w:rPr>
          <w:rFonts w:ascii="Times New Roman" w:eastAsia="Calibri" w:hAnsi="Times New Roman" w:cs="Times New Roman"/>
          <w:sz w:val="24"/>
        </w:rPr>
        <w:t>prognóza bola všetkými členmi Výboru</w:t>
      </w:r>
      <w:r>
        <w:rPr>
          <w:rFonts w:ascii="Times New Roman" w:eastAsia="Calibri" w:hAnsi="Times New Roman" w:cs="Times New Roman"/>
          <w:sz w:val="24"/>
        </w:rPr>
        <w:t xml:space="preserve"> pre daňové prognózy</w:t>
      </w:r>
      <w:r w:rsidRPr="00D94493">
        <w:rPr>
          <w:rFonts w:ascii="Times New Roman" w:eastAsia="Calibri" w:hAnsi="Times New Roman" w:cs="Times New Roman"/>
          <w:sz w:val="24"/>
        </w:rPr>
        <w:t xml:space="preserve"> označená ako </w:t>
      </w:r>
      <w:r w:rsidRPr="00D94493">
        <w:rPr>
          <w:rFonts w:ascii="Times New Roman" w:eastAsia="Calibri" w:hAnsi="Times New Roman" w:cs="Times New Roman"/>
          <w:b/>
          <w:bCs/>
          <w:sz w:val="24"/>
        </w:rPr>
        <w:t>realistická</w:t>
      </w:r>
      <w:r w:rsidRPr="0006588A">
        <w:rPr>
          <w:rFonts w:ascii="Times New Roman" w:eastAsia="Calibri" w:hAnsi="Times New Roman" w:cs="Times New Roman"/>
          <w:bCs/>
          <w:sz w:val="24"/>
        </w:rPr>
        <w:t>.</w:t>
      </w:r>
      <w:r>
        <w:rPr>
          <w:rFonts w:ascii="Times New Roman" w:eastAsia="Calibri" w:hAnsi="Times New Roman" w:cs="Times New Roman"/>
          <w:bCs/>
          <w:sz w:val="24"/>
        </w:rPr>
        <w:t xml:space="preserve"> </w:t>
      </w:r>
      <w:r w:rsidRPr="00BD3C0F">
        <w:rPr>
          <w:rFonts w:ascii="Times New Roman" w:eastAsia="Calibri" w:hAnsi="Times New Roman" w:cs="Times New Roman"/>
          <w:bCs/>
          <w:sz w:val="24"/>
          <w:szCs w:val="24"/>
        </w:rPr>
        <w:t>Výnos daní a odvodov z práce bude na horizonte rozpočtu ovplyvnený zhoršením</w:t>
      </w:r>
      <w:r>
        <w:rPr>
          <w:rFonts w:ascii="Times New Roman" w:eastAsia="Calibri" w:hAnsi="Times New Roman" w:cs="Times New Roman"/>
          <w:bCs/>
          <w:sz w:val="24"/>
          <w:szCs w:val="24"/>
        </w:rPr>
        <w:t xml:space="preserve"> </w:t>
      </w:r>
      <w:r w:rsidRPr="00BD3C0F">
        <w:rPr>
          <w:rFonts w:ascii="Times New Roman" w:eastAsia="Calibri" w:hAnsi="Times New Roman" w:cs="Times New Roman"/>
          <w:bCs/>
          <w:sz w:val="24"/>
          <w:szCs w:val="24"/>
        </w:rPr>
        <w:t xml:space="preserve">makroekonomického prostredia a legislatívnymi zmenami. </w:t>
      </w:r>
      <w:r w:rsidRPr="00BD3C0F">
        <w:rPr>
          <w:rFonts w:ascii="Times New Roman" w:eastAsia="Calibri" w:hAnsi="Times New Roman" w:cs="Times New Roman"/>
          <w:sz w:val="24"/>
          <w:szCs w:val="24"/>
        </w:rPr>
        <w:t>Najvýznamnejšie zme</w:t>
      </w:r>
      <w:r w:rsidRPr="00D94493">
        <w:rPr>
          <w:rFonts w:ascii="Times New Roman" w:eastAsia="Calibri" w:hAnsi="Times New Roman" w:cs="Times New Roman"/>
          <w:sz w:val="24"/>
          <w:szCs w:val="24"/>
        </w:rPr>
        <w:t xml:space="preserve">ny na rok 2024 sa týkajú zvýšenia zdravotných odvodov zamestnávateľa o 1 p. b. a zníženia príspevku na dôchodkové sporenie na 4 % s vplyvom na rozpočet verejnej správy vo výške 763 mil. eur. </w:t>
      </w:r>
      <w:r w:rsidRPr="00D94493">
        <w:rPr>
          <w:rFonts w:ascii="Times New Roman" w:eastAsia="Calibri" w:hAnsi="Times New Roman" w:cs="Times New Roman"/>
          <w:b/>
          <w:bCs/>
          <w:sz w:val="24"/>
          <w:szCs w:val="24"/>
        </w:rPr>
        <w:t xml:space="preserve"> </w:t>
      </w:r>
      <w:r w:rsidRPr="00D94493">
        <w:rPr>
          <w:rFonts w:ascii="Times New Roman" w:eastAsia="Calibri" w:hAnsi="Times New Roman" w:cs="Times New Roman"/>
          <w:sz w:val="24"/>
          <w:szCs w:val="24"/>
        </w:rPr>
        <w:t xml:space="preserve">Pozitívne vplyvy legislatívnych zmien na budúci rok tak kompenzujú horšie makroekonomické predpoklady v porovnaní s minuloročným rozpočtom. </w:t>
      </w:r>
    </w:p>
    <w:p w14:paraId="52840EE6" w14:textId="727BC6AB" w:rsidR="007F1377" w:rsidRDefault="007F1377" w:rsidP="007F1377">
      <w:pPr>
        <w:spacing w:after="0" w:line="276" w:lineRule="auto"/>
        <w:jc w:val="both"/>
        <w:rPr>
          <w:rFonts w:ascii="Times New Roman" w:eastAsia="Calibri" w:hAnsi="Times New Roman" w:cs="Times New Roman"/>
          <w:sz w:val="24"/>
          <w:szCs w:val="24"/>
        </w:rPr>
      </w:pPr>
    </w:p>
    <w:p w14:paraId="662221CD" w14:textId="6ED3F15C" w:rsidR="00522737" w:rsidRDefault="007F1377" w:rsidP="007F1377">
      <w:pPr>
        <w:spacing w:after="0" w:line="276" w:lineRule="auto"/>
        <w:jc w:val="both"/>
        <w:rPr>
          <w:rFonts w:ascii="Times New Roman" w:eastAsia="Calibri" w:hAnsi="Times New Roman" w:cs="Times New Roman"/>
          <w:b/>
          <w:sz w:val="24"/>
          <w:szCs w:val="24"/>
        </w:rPr>
      </w:pPr>
      <w:r w:rsidRPr="00E41896">
        <w:rPr>
          <w:rFonts w:ascii="Times New Roman" w:eastAsia="Calibri" w:hAnsi="Times New Roman" w:cs="Times New Roman"/>
          <w:sz w:val="24"/>
          <w:szCs w:val="24"/>
        </w:rPr>
        <w:lastRenderedPageBreak/>
        <w:t xml:space="preserve">Vynaložené mimoriadne úsilie vlády na zostavenie nového návrhu rozpočtu verejnej správy na roky 2024 až 2026 </w:t>
      </w:r>
      <w:r>
        <w:rPr>
          <w:rFonts w:ascii="Times New Roman" w:eastAsia="Calibri" w:hAnsi="Times New Roman" w:cs="Times New Roman"/>
          <w:sz w:val="24"/>
          <w:szCs w:val="24"/>
        </w:rPr>
        <w:t xml:space="preserve">v tak krátkom čase </w:t>
      </w:r>
      <w:r w:rsidRPr="00E41896">
        <w:rPr>
          <w:rFonts w:ascii="Times New Roman" w:eastAsia="Calibri" w:hAnsi="Times New Roman" w:cs="Times New Roman"/>
          <w:sz w:val="24"/>
          <w:szCs w:val="24"/>
        </w:rPr>
        <w:t xml:space="preserve">vytvára predpoklad na vyhnutie sa spravovaniu hospodárenia krajiny rozpočtovým provizóriom. </w:t>
      </w:r>
      <w:r>
        <w:rPr>
          <w:rFonts w:ascii="Times New Roman" w:eastAsia="Calibri" w:hAnsi="Times New Roman" w:cs="Times New Roman"/>
          <w:sz w:val="24"/>
          <w:szCs w:val="24"/>
        </w:rPr>
        <w:t>Rozpočtové provizórium nie je v súčasnej situácii dobré riešenie pre verejné financie. Realizácia provizória so sebou prináša obmedzenia v podobe absolútnej nemožnosti reagovať na nepredvídané okolnosti úpravami rozpočtu počas roka, či možnosť čerpania maximálne 1/12 limitu provizória. Okrem vyššie spomenutých obmedzení, je potrebné za hlavné obmedzenie vnímať skutočnosť, že samotné provizórium si vyžaduje určitý čas na jeho prípravu, čo automaticky odčerpáva čas a zdroje potrebné pre riešenie vážnej situácie vo verejných financiách. Riešenie by sa len posunulo v čase a Slovensko by sa z pohľadu verejných financií ocitlo v neistote. Oveľa lepším a pre verejné financie správnym riešením je prijatie predloženého rozpočtu, čo umožní pokračovať v úsilí stabilizácie a ozdravenia verejných financií</w:t>
      </w:r>
      <w:r w:rsidR="004D1E22">
        <w:rPr>
          <w:rFonts w:ascii="Times New Roman" w:eastAsia="Calibri" w:hAnsi="Times New Roman" w:cs="Times New Roman"/>
          <w:sz w:val="24"/>
          <w:szCs w:val="24"/>
        </w:rPr>
        <w:t>.</w:t>
      </w:r>
    </w:p>
    <w:p w14:paraId="4677A617" w14:textId="77777777" w:rsidR="004B70B7" w:rsidRDefault="004B70B7" w:rsidP="0064597C"/>
    <w:p w14:paraId="772B9A6B" w14:textId="77777777" w:rsidR="004B70B7" w:rsidRDefault="004B70B7" w:rsidP="0064597C"/>
    <w:p w14:paraId="5ECFE172" w14:textId="77777777" w:rsidR="004B70B7" w:rsidRDefault="004B70B7" w:rsidP="0064597C"/>
    <w:p w14:paraId="6808C5E0" w14:textId="77777777" w:rsidR="004B70B7" w:rsidRDefault="004B70B7" w:rsidP="0064597C"/>
    <w:p w14:paraId="339C1F0F" w14:textId="77777777" w:rsidR="004B70B7" w:rsidRDefault="004B70B7" w:rsidP="0064597C"/>
    <w:p w14:paraId="07603F85" w14:textId="77777777" w:rsidR="004B70B7" w:rsidRDefault="004B70B7" w:rsidP="0064597C"/>
    <w:p w14:paraId="12718638" w14:textId="77777777" w:rsidR="004B70B7" w:rsidRDefault="004B70B7" w:rsidP="0064597C"/>
    <w:p w14:paraId="2836CEF6" w14:textId="77777777" w:rsidR="004B70B7" w:rsidRDefault="004B70B7" w:rsidP="0064597C"/>
    <w:p w14:paraId="59AE8B2F" w14:textId="77777777" w:rsidR="004B70B7" w:rsidRDefault="004B70B7" w:rsidP="0064597C"/>
    <w:p w14:paraId="181E5F6C" w14:textId="77777777" w:rsidR="004B70B7" w:rsidRDefault="004B70B7" w:rsidP="0064597C"/>
    <w:p w14:paraId="603F6170" w14:textId="5579B35E" w:rsidR="004B70B7" w:rsidRDefault="004B70B7" w:rsidP="0064597C"/>
    <w:p w14:paraId="38E30F1D" w14:textId="32EBFA32" w:rsidR="007F1377" w:rsidRDefault="007F1377" w:rsidP="0064597C"/>
    <w:p w14:paraId="21EA2236" w14:textId="08D2F734" w:rsidR="007F1377" w:rsidRDefault="007F1377" w:rsidP="0064597C"/>
    <w:p w14:paraId="206232C6" w14:textId="63F53E43" w:rsidR="007F1377" w:rsidRDefault="007F1377" w:rsidP="0064597C"/>
    <w:p w14:paraId="52627FC2" w14:textId="7755C0DD" w:rsidR="007F1377" w:rsidRDefault="007F1377" w:rsidP="0064597C"/>
    <w:p w14:paraId="2FD4C8AF" w14:textId="4CA89939" w:rsidR="007F1377" w:rsidRDefault="007F1377" w:rsidP="0064597C"/>
    <w:p w14:paraId="7B0B0382" w14:textId="69CAED72" w:rsidR="007F1377" w:rsidRDefault="007F1377" w:rsidP="0064597C"/>
    <w:p w14:paraId="29041764" w14:textId="3A93B526" w:rsidR="007F1377" w:rsidRDefault="007F1377" w:rsidP="0064597C"/>
    <w:p w14:paraId="4F993C15" w14:textId="77777777" w:rsidR="0065386F" w:rsidRDefault="0065386F" w:rsidP="0064597C"/>
    <w:p w14:paraId="57788A46" w14:textId="77777777" w:rsidR="007F1377" w:rsidRDefault="007F1377" w:rsidP="0064597C"/>
    <w:p w14:paraId="7A89F028" w14:textId="77777777" w:rsidR="004B70B7" w:rsidRDefault="004B70B7" w:rsidP="0064597C"/>
    <w:p w14:paraId="6D522168" w14:textId="0ED57CF1" w:rsidR="004B70B7" w:rsidRDefault="004B70B7" w:rsidP="0064597C"/>
    <w:p w14:paraId="02D88773" w14:textId="77777777" w:rsidR="00052B0A" w:rsidRDefault="00052B0A" w:rsidP="00CB1CE1">
      <w:pPr>
        <w:pStyle w:val="Nadpis1"/>
        <w:numPr>
          <w:ilvl w:val="0"/>
          <w:numId w:val="1"/>
        </w:numPr>
        <w:spacing w:before="0"/>
        <w:ind w:left="284" w:hanging="284"/>
        <w:rPr>
          <w:rFonts w:ascii="Times New Roman" w:hAnsi="Times New Roman"/>
          <w:b/>
          <w:color w:val="5B9BD5" w:themeColor="accent1"/>
          <w:sz w:val="28"/>
          <w:szCs w:val="24"/>
        </w:rPr>
      </w:pPr>
      <w:bookmarkStart w:id="2" w:name="_Toc152946755"/>
      <w:r w:rsidRPr="00AF6D19">
        <w:rPr>
          <w:rFonts w:ascii="Times New Roman" w:hAnsi="Times New Roman"/>
          <w:b/>
          <w:color w:val="5B9BD5" w:themeColor="accent1"/>
          <w:sz w:val="28"/>
          <w:szCs w:val="24"/>
        </w:rPr>
        <w:lastRenderedPageBreak/>
        <w:t>Makroekonomické predpoklady rozpočtu</w:t>
      </w:r>
      <w:bookmarkEnd w:id="2"/>
      <w:r w:rsidRPr="00AF6D19">
        <w:rPr>
          <w:rFonts w:ascii="Times New Roman" w:hAnsi="Times New Roman"/>
          <w:b/>
          <w:color w:val="5B9BD5" w:themeColor="accent1"/>
          <w:sz w:val="28"/>
          <w:szCs w:val="24"/>
        </w:rPr>
        <w:t xml:space="preserve"> </w:t>
      </w:r>
    </w:p>
    <w:p w14:paraId="47D0F336" w14:textId="77777777" w:rsidR="004B6424" w:rsidRDefault="004B6424" w:rsidP="00762040">
      <w:pPr>
        <w:pStyle w:val="NormalList"/>
        <w:spacing w:line="276" w:lineRule="auto"/>
        <w:rPr>
          <w:rFonts w:asciiTheme="minorHAnsi" w:eastAsiaTheme="minorHAnsi" w:hAnsiTheme="minorHAnsi" w:cstheme="minorBidi"/>
        </w:rPr>
      </w:pPr>
    </w:p>
    <w:p w14:paraId="360F2D72" w14:textId="77777777" w:rsidR="007903A2" w:rsidRDefault="007903A2" w:rsidP="007903A2">
      <w:pPr>
        <w:pStyle w:val="NormalList"/>
        <w:spacing w:line="276" w:lineRule="auto"/>
        <w:rPr>
          <w:rFonts w:ascii="Times New Roman" w:hAnsi="Times New Roman" w:cs="Times New Roman"/>
          <w:sz w:val="24"/>
          <w:szCs w:val="24"/>
        </w:rPr>
      </w:pPr>
      <w:bookmarkStart w:id="3" w:name="_Toc53040754"/>
      <w:bookmarkStart w:id="4" w:name="_Toc494463958"/>
      <w:bookmarkStart w:id="5" w:name="_Toc526273177"/>
      <w:bookmarkStart w:id="6" w:name="_Toc21596070"/>
      <w:r w:rsidRPr="00762040">
        <w:rPr>
          <w:rFonts w:ascii="Times New Roman" w:hAnsi="Times New Roman" w:cs="Times New Roman"/>
          <w:sz w:val="24"/>
          <w:szCs w:val="24"/>
        </w:rPr>
        <w:t xml:space="preserve">Slovenská ekonomika v roku 2023 posilní o 1,2 % z dôvodu slabšieho zahraničného dopytu a vysokých cien. Domácnosti vyčkávajú na ústup inflácie, spotreba preto ostáva utlmená a klesne o 2 %, aj keď v závere roka podporí reálne príjmy domácností 13. dôchodok. Slabý domáci dopyt zrýchľuje investičná aktivita z EÚ zdrojov, ktorá kulminuje ku koncu roka. Zahraničný obchod klesne tento rok pre recesiu v Nemecku a pre slabší výkon ostatných krajín eurozóny a V3. V Nemecku, podobne ako u nás, tlmia aktivitu odvetvia náročné na energiu. Vplyvom slabého domáceho dopytu a predzásobenia v predošlom roku vyschol kanál dovozov a investície sú na Slovensku predovšetkým ťahané zo zásob. Napriek slabším vývozom energeticky náročných odvetví je tak príspevok čistého exportu v roku 2023 pozitívny. Trh práce sa dostáva pod tlak vplyvom demografie, zamestnanosť však vplyvom prílevu zahraničných pracovníkov odoláva a mierne stúpne. </w:t>
      </w:r>
    </w:p>
    <w:p w14:paraId="7F4F3C30" w14:textId="77777777" w:rsidR="007903A2" w:rsidRPr="00762040" w:rsidRDefault="007903A2" w:rsidP="007903A2">
      <w:pPr>
        <w:pStyle w:val="NormalList"/>
        <w:spacing w:line="276" w:lineRule="auto"/>
        <w:rPr>
          <w:rFonts w:ascii="Times New Roman" w:hAnsi="Times New Roman" w:cs="Times New Roman"/>
          <w:sz w:val="24"/>
          <w:szCs w:val="24"/>
        </w:rPr>
      </w:pPr>
    </w:p>
    <w:p w14:paraId="1DC4EC1C" w14:textId="77777777" w:rsidR="007903A2" w:rsidRDefault="007903A2" w:rsidP="007903A2">
      <w:pPr>
        <w:pStyle w:val="NormalList"/>
        <w:spacing w:line="276" w:lineRule="auto"/>
        <w:rPr>
          <w:rFonts w:ascii="Times New Roman" w:hAnsi="Times New Roman" w:cs="Times New Roman"/>
          <w:sz w:val="24"/>
          <w:szCs w:val="24"/>
        </w:rPr>
      </w:pPr>
      <w:r w:rsidRPr="00762040">
        <w:rPr>
          <w:rFonts w:ascii="Times New Roman" w:hAnsi="Times New Roman" w:cs="Times New Roman"/>
          <w:sz w:val="24"/>
          <w:szCs w:val="24"/>
        </w:rPr>
        <w:t xml:space="preserve">V dôsledku nových stropov na ceny energií pre domácnosti inflácia ustúpi a dynamika rastu slovenskej ekonomiky sa v roku 2024 zrýchli na 2,7 %. Rast reálnych príjmov čiastočne dobehne dva roky stratených príjmov a domácnosti prestanú byť v spotrebe zdržanlivé. Spotreba vymaže </w:t>
      </w:r>
      <w:r>
        <w:rPr>
          <w:rFonts w:ascii="Times New Roman" w:hAnsi="Times New Roman" w:cs="Times New Roman"/>
          <w:sz w:val="24"/>
          <w:szCs w:val="24"/>
        </w:rPr>
        <w:t>pokles</w:t>
      </w:r>
      <w:r w:rsidRPr="00762040">
        <w:rPr>
          <w:rFonts w:ascii="Times New Roman" w:hAnsi="Times New Roman" w:cs="Times New Roman"/>
          <w:sz w:val="24"/>
          <w:szCs w:val="24"/>
        </w:rPr>
        <w:t xml:space="preserve"> z roku 2023 a miera úspor sa ustáli. Prílev investícií z Plánu obnovy a odolnosti nahradí </w:t>
      </w:r>
      <w:r>
        <w:rPr>
          <w:rFonts w:ascii="Times New Roman" w:hAnsi="Times New Roman" w:cs="Times New Roman"/>
          <w:sz w:val="24"/>
          <w:szCs w:val="24"/>
        </w:rPr>
        <w:t>čerpanie zo</w:t>
      </w:r>
      <w:r w:rsidRPr="00762040">
        <w:rPr>
          <w:rFonts w:ascii="Times New Roman" w:hAnsi="Times New Roman" w:cs="Times New Roman"/>
          <w:sz w:val="24"/>
          <w:szCs w:val="24"/>
        </w:rPr>
        <w:t xml:space="preserve"> štrukturáln</w:t>
      </w:r>
      <w:r>
        <w:rPr>
          <w:rFonts w:ascii="Times New Roman" w:hAnsi="Times New Roman" w:cs="Times New Roman"/>
          <w:sz w:val="24"/>
          <w:szCs w:val="24"/>
        </w:rPr>
        <w:t>ych</w:t>
      </w:r>
      <w:r w:rsidRPr="00762040">
        <w:rPr>
          <w:rFonts w:ascii="Times New Roman" w:hAnsi="Times New Roman" w:cs="Times New Roman"/>
          <w:sz w:val="24"/>
          <w:szCs w:val="24"/>
        </w:rPr>
        <w:t xml:space="preserve"> fond</w:t>
      </w:r>
      <w:r>
        <w:rPr>
          <w:rFonts w:ascii="Times New Roman" w:hAnsi="Times New Roman" w:cs="Times New Roman"/>
          <w:sz w:val="24"/>
          <w:szCs w:val="24"/>
        </w:rPr>
        <w:t>ov</w:t>
      </w:r>
      <w:r w:rsidRPr="00762040">
        <w:rPr>
          <w:rFonts w:ascii="Times New Roman" w:hAnsi="Times New Roman" w:cs="Times New Roman"/>
          <w:sz w:val="24"/>
          <w:szCs w:val="24"/>
        </w:rPr>
        <w:t xml:space="preserve"> EÚ. Investície ostanú v pluse aj z dôvodu </w:t>
      </w:r>
      <w:r>
        <w:rPr>
          <w:rFonts w:ascii="Times New Roman" w:hAnsi="Times New Roman" w:cs="Times New Roman"/>
          <w:sz w:val="24"/>
          <w:szCs w:val="24"/>
        </w:rPr>
        <w:t>dodávok obstaranej</w:t>
      </w:r>
      <w:r w:rsidRPr="00762040">
        <w:rPr>
          <w:rFonts w:ascii="Times New Roman" w:hAnsi="Times New Roman" w:cs="Times New Roman"/>
          <w:sz w:val="24"/>
          <w:szCs w:val="24"/>
        </w:rPr>
        <w:t xml:space="preserve"> vojenskej techniky. Zahraničný obchod sa odrazí od dna a začiatkom budúceho roka sa nálada vo svetovej ekonomike bude pomaly zlepšovať, čo podporí slovenský export.</w:t>
      </w:r>
    </w:p>
    <w:p w14:paraId="26A2AC97" w14:textId="77777777" w:rsidR="007903A2" w:rsidRDefault="007903A2" w:rsidP="007903A2">
      <w:pPr>
        <w:pStyle w:val="NormalList"/>
        <w:spacing w:line="276" w:lineRule="auto"/>
        <w:rPr>
          <w:rFonts w:ascii="Times New Roman" w:hAnsi="Times New Roman" w:cs="Times New Roman"/>
          <w:sz w:val="24"/>
          <w:szCs w:val="24"/>
        </w:rPr>
      </w:pPr>
    </w:p>
    <w:p w14:paraId="49C3DC18" w14:textId="77777777" w:rsidR="007903A2" w:rsidRDefault="007903A2" w:rsidP="007903A2">
      <w:pPr>
        <w:pStyle w:val="NormalList"/>
        <w:spacing w:line="276" w:lineRule="auto"/>
        <w:rPr>
          <w:rFonts w:ascii="Times New Roman" w:hAnsi="Times New Roman" w:cs="Times New Roman"/>
          <w:sz w:val="24"/>
          <w:szCs w:val="24"/>
        </w:rPr>
      </w:pPr>
      <w:r w:rsidRPr="00762040">
        <w:rPr>
          <w:rFonts w:ascii="Times New Roman" w:hAnsi="Times New Roman" w:cs="Times New Roman"/>
          <w:sz w:val="24"/>
          <w:szCs w:val="24"/>
        </w:rPr>
        <w:t xml:space="preserve">Ekonomika bude v rokoch 2025 až 2027 pod vplyvom </w:t>
      </w:r>
      <w:r>
        <w:rPr>
          <w:rFonts w:ascii="Times New Roman" w:hAnsi="Times New Roman" w:cs="Times New Roman"/>
          <w:sz w:val="24"/>
          <w:szCs w:val="24"/>
        </w:rPr>
        <w:t xml:space="preserve">nevyhnutnej </w:t>
      </w:r>
      <w:r w:rsidRPr="00762040">
        <w:rPr>
          <w:rFonts w:ascii="Times New Roman" w:hAnsi="Times New Roman" w:cs="Times New Roman"/>
          <w:sz w:val="24"/>
          <w:szCs w:val="24"/>
        </w:rPr>
        <w:t>konsolidácie verejných financií. Rast bude podporený tlmenou spotrebou domácnosti, ktorá bude tlačená nadol nižším rastom príjmov zamestnancov verejnej správy a zaťažená vyššou spotrebnou daňou zdraviu škodlivých tovarov. Rast exportov na úrovni zahraničných partnerov zrýchlia od konca roku 2026 nové exportné kapacity v automobilovom priemysle. Tie budú čiastočne tlmiť dočerpávanie prostriedkov z Plánu obnovy a </w:t>
      </w:r>
      <w:r>
        <w:rPr>
          <w:rFonts w:ascii="Times New Roman" w:hAnsi="Times New Roman" w:cs="Times New Roman"/>
          <w:sz w:val="24"/>
          <w:szCs w:val="24"/>
        </w:rPr>
        <w:t xml:space="preserve">odolnosti v roku 2026 a 2027.  </w:t>
      </w:r>
    </w:p>
    <w:p w14:paraId="79DF6A3E" w14:textId="77777777" w:rsidR="007903A2" w:rsidRDefault="007903A2" w:rsidP="007903A2">
      <w:pPr>
        <w:pStyle w:val="NormalList"/>
        <w:spacing w:line="276" w:lineRule="auto"/>
        <w:rPr>
          <w:rFonts w:ascii="Times New Roman" w:hAnsi="Times New Roman" w:cs="Times New Roman"/>
          <w:sz w:val="24"/>
          <w:szCs w:val="24"/>
        </w:rPr>
      </w:pPr>
    </w:p>
    <w:p w14:paraId="0AFBD173" w14:textId="77777777" w:rsidR="007903A2" w:rsidRDefault="007903A2" w:rsidP="007903A2">
      <w:pPr>
        <w:pStyle w:val="NormalList"/>
        <w:spacing w:line="276" w:lineRule="auto"/>
        <w:rPr>
          <w:rFonts w:ascii="Times New Roman" w:hAnsi="Times New Roman" w:cs="Times New Roman"/>
          <w:sz w:val="24"/>
          <w:szCs w:val="24"/>
        </w:rPr>
      </w:pPr>
      <w:r w:rsidRPr="00762040">
        <w:rPr>
          <w:rFonts w:ascii="Times New Roman" w:hAnsi="Times New Roman" w:cs="Times New Roman"/>
          <w:sz w:val="24"/>
          <w:szCs w:val="24"/>
        </w:rPr>
        <w:t>Trh práce v roku 2023 v dôsledku ruskej invázie výrazne zvoľní</w:t>
      </w:r>
      <w:r>
        <w:rPr>
          <w:rFonts w:ascii="Times New Roman" w:hAnsi="Times New Roman" w:cs="Times New Roman"/>
          <w:sz w:val="24"/>
          <w:szCs w:val="24"/>
        </w:rPr>
        <w:t xml:space="preserve"> dynamiku tvorby pracovných miest</w:t>
      </w:r>
      <w:r w:rsidRPr="00762040">
        <w:rPr>
          <w:rFonts w:ascii="Times New Roman" w:hAnsi="Times New Roman" w:cs="Times New Roman"/>
          <w:sz w:val="24"/>
          <w:szCs w:val="24"/>
        </w:rPr>
        <w:t>. Zamestnanosť porastie o 0,3 % a vytvorí sa približne 7 tisíc nových pracovných miest</w:t>
      </w:r>
      <w:r>
        <w:rPr>
          <w:rFonts w:ascii="Times New Roman" w:hAnsi="Times New Roman" w:cs="Times New Roman"/>
          <w:sz w:val="24"/>
          <w:szCs w:val="24"/>
        </w:rPr>
        <w:t>, kým v roku 2022 to bolo 42 tisíc</w:t>
      </w:r>
      <w:r w:rsidRPr="00762040">
        <w:rPr>
          <w:rFonts w:ascii="Times New Roman" w:hAnsi="Times New Roman" w:cs="Times New Roman"/>
          <w:sz w:val="24"/>
          <w:szCs w:val="24"/>
        </w:rPr>
        <w:t>. Tie budú vznikať s výnimkou priemyslu vo všetkých sektoroch ekonomiky, najrýchlejší rast sa dosiahne v stavebníctve. Nedostatok pracovných síl bude aj naďalej čiastočne tlmiť pokračujúci nárast počtu zahraničných pracovníkov na Slovensku, ktorých na Slovensku pracuje už vyše 100 tisíc. Miera nezamestnanosti tak klesne na úroveň 5,9 %, čo je blízko historického minima z</w:t>
      </w:r>
      <w:r>
        <w:rPr>
          <w:rFonts w:ascii="Times New Roman" w:hAnsi="Times New Roman" w:cs="Times New Roman"/>
          <w:sz w:val="24"/>
          <w:szCs w:val="24"/>
        </w:rPr>
        <w:t> roku 2019.</w:t>
      </w:r>
    </w:p>
    <w:p w14:paraId="799EE53E" w14:textId="77777777" w:rsidR="007903A2" w:rsidRDefault="007903A2" w:rsidP="007903A2">
      <w:pPr>
        <w:pStyle w:val="NormalList"/>
        <w:spacing w:line="276" w:lineRule="auto"/>
        <w:rPr>
          <w:rFonts w:ascii="Times New Roman" w:hAnsi="Times New Roman" w:cs="Times New Roman"/>
          <w:sz w:val="24"/>
          <w:szCs w:val="24"/>
        </w:rPr>
      </w:pPr>
    </w:p>
    <w:p w14:paraId="5FCD6BC4" w14:textId="77777777" w:rsidR="007903A2" w:rsidRDefault="007903A2" w:rsidP="007903A2">
      <w:pPr>
        <w:pStyle w:val="NormalList"/>
        <w:spacing w:line="276" w:lineRule="auto"/>
        <w:rPr>
          <w:rFonts w:ascii="Times New Roman" w:hAnsi="Times New Roman" w:cs="Times New Roman"/>
          <w:sz w:val="24"/>
          <w:szCs w:val="24"/>
        </w:rPr>
      </w:pPr>
      <w:r w:rsidRPr="00762040">
        <w:rPr>
          <w:rFonts w:ascii="Times New Roman" w:hAnsi="Times New Roman" w:cs="Times New Roman"/>
          <w:sz w:val="24"/>
          <w:szCs w:val="24"/>
        </w:rPr>
        <w:t xml:space="preserve">V roku 2024 dynamika zamestnanosti mierne zrýchli na 0,4 %. Oživenie ekonomickej </w:t>
      </w:r>
      <w:r>
        <w:rPr>
          <w:rFonts w:ascii="Times New Roman" w:hAnsi="Times New Roman" w:cs="Times New Roman"/>
          <w:sz w:val="24"/>
          <w:szCs w:val="24"/>
        </w:rPr>
        <w:t>aktivity, najmä spotreby domácn</w:t>
      </w:r>
      <w:r w:rsidRPr="00762040">
        <w:rPr>
          <w:rFonts w:ascii="Times New Roman" w:hAnsi="Times New Roman" w:cs="Times New Roman"/>
          <w:sz w:val="24"/>
          <w:szCs w:val="24"/>
        </w:rPr>
        <w:t>o</w:t>
      </w:r>
      <w:r>
        <w:rPr>
          <w:rFonts w:ascii="Times New Roman" w:hAnsi="Times New Roman" w:cs="Times New Roman"/>
          <w:sz w:val="24"/>
          <w:szCs w:val="24"/>
        </w:rPr>
        <w:t>s</w:t>
      </w:r>
      <w:r w:rsidRPr="00762040">
        <w:rPr>
          <w:rFonts w:ascii="Times New Roman" w:hAnsi="Times New Roman" w:cs="Times New Roman"/>
          <w:sz w:val="24"/>
          <w:szCs w:val="24"/>
        </w:rPr>
        <w:t>tí, na začiatku roka 2024 následne povedie k miernemu obnoveniu tvorby nových pracovných miest. Pozitívny vplyv čerpania prostriedkov z Plánu obnovy budú tlmiť</w:t>
      </w:r>
      <w:r>
        <w:rPr>
          <w:rFonts w:ascii="Times New Roman" w:hAnsi="Times New Roman" w:cs="Times New Roman"/>
          <w:sz w:val="24"/>
          <w:szCs w:val="24"/>
        </w:rPr>
        <w:t xml:space="preserve"> nevyhnutné</w:t>
      </w:r>
      <w:r w:rsidRPr="00762040">
        <w:rPr>
          <w:rFonts w:ascii="Times New Roman" w:hAnsi="Times New Roman" w:cs="Times New Roman"/>
          <w:sz w:val="24"/>
          <w:szCs w:val="24"/>
        </w:rPr>
        <w:t xml:space="preserve"> konsolidačné opatrenia vlády. Miera nezamestnanosti dosiahne nové historické minimum na úrovni 5,4 %. Vo zvyšku prognózovaného obdobia bude </w:t>
      </w:r>
      <w:r w:rsidRPr="00762040">
        <w:rPr>
          <w:rFonts w:ascii="Times New Roman" w:hAnsi="Times New Roman" w:cs="Times New Roman"/>
          <w:sz w:val="24"/>
          <w:szCs w:val="24"/>
        </w:rPr>
        <w:lastRenderedPageBreak/>
        <w:t>nezamestnanosť stagnovať a pracovných miest bude pribúdať tempom v priemere o 0,1 % ročne.</w:t>
      </w:r>
    </w:p>
    <w:p w14:paraId="66AC1BF0" w14:textId="77777777" w:rsidR="007903A2" w:rsidRPr="00762040" w:rsidRDefault="007903A2" w:rsidP="007903A2">
      <w:pPr>
        <w:pStyle w:val="NormalList"/>
        <w:spacing w:line="276" w:lineRule="auto"/>
        <w:rPr>
          <w:rFonts w:ascii="Times New Roman" w:hAnsi="Times New Roman" w:cs="Times New Roman"/>
          <w:sz w:val="24"/>
          <w:szCs w:val="24"/>
        </w:rPr>
      </w:pPr>
    </w:p>
    <w:p w14:paraId="73B8A8F1" w14:textId="77777777" w:rsidR="007903A2" w:rsidRDefault="007903A2" w:rsidP="007903A2">
      <w:pPr>
        <w:pStyle w:val="NormalList"/>
        <w:spacing w:line="276" w:lineRule="auto"/>
        <w:rPr>
          <w:rFonts w:ascii="Times New Roman" w:eastAsia="NeueHaasGroteskText W02" w:hAnsi="Times New Roman" w:cs="Times New Roman"/>
          <w:sz w:val="24"/>
          <w:szCs w:val="24"/>
        </w:rPr>
      </w:pPr>
      <w:r w:rsidRPr="00762040">
        <w:rPr>
          <w:rFonts w:ascii="Times New Roman" w:eastAsia="NeueHaasGroteskText W02" w:hAnsi="Times New Roman" w:cs="Times New Roman"/>
          <w:sz w:val="24"/>
          <w:szCs w:val="24"/>
        </w:rPr>
        <w:t>Inflácia v roku 2023 dosiahne v priemere 10,7 %, v závere však už len asi 6 %. Spomalenie medzimesačného rastu cien od jari malo za následok postupné znižovanie miery inflácie z viac ako 15% na začiatku roka až k očakávaným 6% v jeho závere. K spomaleniu rastu výraznou mierou prispeli ceny potravín, ktoré v letných mesiacoch dokonca mierne poklesli. Celkový rast cenovej hladiny v tomto roku tlmili opatrenia na zabezpečenie nižších cien energií. Zvýšenie cien elektriny, plynu a tepla na začiatku roka tak neodrážalo podmienky na trhu s </w:t>
      </w:r>
      <w:proofErr w:type="spellStart"/>
      <w:r w:rsidRPr="00762040">
        <w:rPr>
          <w:rFonts w:ascii="Times New Roman" w:eastAsia="NeueHaasGroteskText W02" w:hAnsi="Times New Roman" w:cs="Times New Roman"/>
          <w:sz w:val="24"/>
          <w:szCs w:val="24"/>
        </w:rPr>
        <w:t>energokomoditami</w:t>
      </w:r>
      <w:proofErr w:type="spellEnd"/>
      <w:r w:rsidRPr="00762040">
        <w:rPr>
          <w:rFonts w:ascii="Times New Roman" w:eastAsia="NeueHaasGroteskText W02" w:hAnsi="Times New Roman" w:cs="Times New Roman"/>
          <w:sz w:val="24"/>
          <w:szCs w:val="24"/>
        </w:rPr>
        <w:t xml:space="preserve">. Imputované nájomné, reflektujúce ceny energií a stavebných materiálov, po dvoch rokoch prestalo prispievať k rastu cenovej hladiny. </w:t>
      </w:r>
      <w:proofErr w:type="spellStart"/>
      <w:r w:rsidRPr="00762040">
        <w:rPr>
          <w:rFonts w:ascii="Times New Roman" w:eastAsia="NeueHaasGroteskText W02" w:hAnsi="Times New Roman" w:cs="Times New Roman"/>
          <w:sz w:val="24"/>
          <w:szCs w:val="24"/>
        </w:rPr>
        <w:t>Dezinflačný</w:t>
      </w:r>
      <w:proofErr w:type="spellEnd"/>
      <w:r w:rsidRPr="00762040">
        <w:rPr>
          <w:rFonts w:ascii="Times New Roman" w:eastAsia="NeueHaasGroteskText W02" w:hAnsi="Times New Roman" w:cs="Times New Roman"/>
          <w:sz w:val="24"/>
          <w:szCs w:val="24"/>
        </w:rPr>
        <w:t xml:space="preserve"> trend sa dotkol aj cien tovarov, ceny služieb však zlacňujú l</w:t>
      </w:r>
      <w:r>
        <w:rPr>
          <w:rFonts w:ascii="Times New Roman" w:eastAsia="NeueHaasGroteskText W02" w:hAnsi="Times New Roman" w:cs="Times New Roman"/>
          <w:sz w:val="24"/>
          <w:szCs w:val="24"/>
        </w:rPr>
        <w:t>en pomaly.</w:t>
      </w:r>
    </w:p>
    <w:p w14:paraId="0E360ED4" w14:textId="77777777" w:rsidR="007903A2" w:rsidRDefault="007903A2" w:rsidP="007903A2">
      <w:pPr>
        <w:pStyle w:val="NormalList"/>
        <w:spacing w:line="276" w:lineRule="auto"/>
        <w:rPr>
          <w:rFonts w:ascii="Times New Roman" w:eastAsia="NeueHaasGroteskText W02" w:hAnsi="Times New Roman" w:cs="Times New Roman"/>
          <w:sz w:val="24"/>
          <w:szCs w:val="24"/>
        </w:rPr>
      </w:pPr>
    </w:p>
    <w:p w14:paraId="4AE3966F" w14:textId="77777777" w:rsidR="007903A2" w:rsidRDefault="007903A2" w:rsidP="007903A2">
      <w:pPr>
        <w:pStyle w:val="NormalList"/>
        <w:spacing w:line="276" w:lineRule="auto"/>
        <w:rPr>
          <w:rFonts w:ascii="Times New Roman" w:eastAsia="NeueHaasGroteskText W02" w:hAnsi="Times New Roman" w:cs="Times New Roman"/>
          <w:bCs/>
          <w:sz w:val="24"/>
          <w:szCs w:val="24"/>
        </w:rPr>
      </w:pPr>
      <w:r w:rsidRPr="00762040">
        <w:rPr>
          <w:rFonts w:ascii="Times New Roman" w:eastAsia="NeueHaasGroteskText W02" w:hAnsi="Times New Roman" w:cs="Times New Roman"/>
          <w:sz w:val="24"/>
          <w:szCs w:val="24"/>
        </w:rPr>
        <w:t xml:space="preserve">Rok 2024 prinesie ďalšie spomalenie inflácie na 3,2 %. Hlavným faktorom bude vývoj regulovaných cien energií. Ceny plynu a elektriny na európskom trhu stále klesajú, pre minulé </w:t>
      </w:r>
      <w:proofErr w:type="spellStart"/>
      <w:r w:rsidRPr="00762040">
        <w:rPr>
          <w:rFonts w:ascii="Times New Roman" w:eastAsia="NeueHaasGroteskText W02" w:hAnsi="Times New Roman" w:cs="Times New Roman"/>
          <w:sz w:val="24"/>
          <w:szCs w:val="24"/>
        </w:rPr>
        <w:t>zastropovania</w:t>
      </w:r>
      <w:proofErr w:type="spellEnd"/>
      <w:r w:rsidRPr="00762040">
        <w:rPr>
          <w:rFonts w:ascii="Times New Roman" w:eastAsia="NeueHaasGroteskText W02" w:hAnsi="Times New Roman" w:cs="Times New Roman"/>
          <w:sz w:val="24"/>
          <w:szCs w:val="24"/>
        </w:rPr>
        <w:t xml:space="preserve"> by však prechod na trhové ceny energií stále znamenal prudký nárast pre koncových užívateľov. V roku 2024 predpokladáme opatrenia, ktoré udržia ceny energií na úrovni z roku 2023. Pri pokračovaní súčasného trendu by sa mal bázický efekt pri cenách potravín vytratiť z medziročných ukazovateľov na jar a  pri cenách obchodovateľných tovarov v letných mesiacoch. Inflácia sa tak vráti na úrovne porovnateľné s obdobím pred prudkým rastom cien za posledné dva roky. Rast miezd súvisiaci s napätým trhom práce sa prejaví v rýchlejšom raste najmä cien služieb na strednodobom horizonte, konsolidácia verejných financií však infláciu naopak stlačí nadol.</w:t>
      </w:r>
    </w:p>
    <w:p w14:paraId="180EFBBD" w14:textId="77777777" w:rsidR="007903A2" w:rsidRDefault="007903A2" w:rsidP="007903A2">
      <w:pPr>
        <w:pStyle w:val="NormalList"/>
        <w:spacing w:line="276" w:lineRule="auto"/>
        <w:rPr>
          <w:rFonts w:ascii="Times New Roman" w:eastAsia="NeueHaasGroteskText W02" w:hAnsi="Times New Roman" w:cs="Times New Roman"/>
          <w:bCs/>
          <w:sz w:val="24"/>
          <w:szCs w:val="24"/>
        </w:rPr>
      </w:pPr>
    </w:p>
    <w:p w14:paraId="11DC4C38" w14:textId="77777777" w:rsidR="007903A2" w:rsidRDefault="007903A2" w:rsidP="007903A2">
      <w:pPr>
        <w:pStyle w:val="NormalList"/>
        <w:spacing w:line="276" w:lineRule="auto"/>
        <w:rPr>
          <w:rFonts w:ascii="Times New Roman" w:hAnsi="Times New Roman" w:cs="Times New Roman"/>
          <w:sz w:val="24"/>
          <w:szCs w:val="24"/>
        </w:rPr>
      </w:pPr>
      <w:r w:rsidRPr="00762040">
        <w:rPr>
          <w:rFonts w:ascii="Times New Roman" w:eastAsia="NeueHaasGroteskText W02" w:hAnsi="Times New Roman" w:cs="Times New Roman"/>
          <w:bCs/>
          <w:sz w:val="24"/>
          <w:szCs w:val="24"/>
        </w:rPr>
        <w:t xml:space="preserve">Reálna mzda sa v roku 2024 po dvoch rokoch vráti k rastu. </w:t>
      </w:r>
      <w:r w:rsidRPr="00762040">
        <w:rPr>
          <w:rFonts w:ascii="Times New Roman" w:hAnsi="Times New Roman" w:cs="Times New Roman"/>
          <w:sz w:val="24"/>
          <w:szCs w:val="24"/>
        </w:rPr>
        <w:t>Zvyšovanie priemernej nominálnej mzdy v roku 2023 dosiahne takmer 10 % najmä vďaka historicky najvyššej valorizácii vo verejnom sektore. Zrýchlenie bude citeľné vo takmer všetkých sektoroch okrem nízko-kvalifikovaných služieb. V roku 2024 sa nominálne mzdy zvýšia o viac ako 7,0 %. Zo sektorového hľadiska sa budú mzdy zvyšovať rýchlejšie v každom odvetví okrem verejného sektora. Reálna mzda v roku 2024 vráti k rastu, keď porastie o 3,7 %. V ďalších rokoch by mal jej rast postupne spomaliť pod 2 %.</w:t>
      </w:r>
    </w:p>
    <w:p w14:paraId="4B64A98E" w14:textId="1AFD4897" w:rsidR="007903A2" w:rsidRDefault="007903A2" w:rsidP="007903A2">
      <w:pPr>
        <w:pStyle w:val="NormalList"/>
        <w:spacing w:line="276" w:lineRule="auto"/>
        <w:rPr>
          <w:rFonts w:ascii="Times New Roman" w:eastAsia="NeueHaasGroteskText W02" w:hAnsi="Times New Roman" w:cs="Times New Roman"/>
          <w:bCs/>
          <w:sz w:val="24"/>
          <w:szCs w:val="24"/>
        </w:rPr>
      </w:pPr>
    </w:p>
    <w:p w14:paraId="01D68613" w14:textId="28CA28A1" w:rsidR="00F63632" w:rsidRDefault="00F63632" w:rsidP="007903A2">
      <w:pPr>
        <w:pStyle w:val="NormalList"/>
        <w:spacing w:line="276" w:lineRule="auto"/>
        <w:rPr>
          <w:rFonts w:ascii="Times New Roman" w:eastAsia="NeueHaasGroteskText W02" w:hAnsi="Times New Roman" w:cs="Times New Roman"/>
          <w:bCs/>
          <w:sz w:val="24"/>
          <w:szCs w:val="24"/>
        </w:rPr>
      </w:pPr>
    </w:p>
    <w:p w14:paraId="6E85737D" w14:textId="18A28A8F" w:rsidR="00F63632" w:rsidRDefault="00F63632" w:rsidP="007903A2">
      <w:pPr>
        <w:pStyle w:val="NormalList"/>
        <w:spacing w:line="276" w:lineRule="auto"/>
        <w:rPr>
          <w:rFonts w:ascii="Times New Roman" w:eastAsia="NeueHaasGroteskText W02" w:hAnsi="Times New Roman" w:cs="Times New Roman"/>
          <w:bCs/>
          <w:sz w:val="24"/>
          <w:szCs w:val="24"/>
        </w:rPr>
      </w:pPr>
    </w:p>
    <w:p w14:paraId="2EAA5E53" w14:textId="1B3EF004" w:rsidR="00F63632" w:rsidRDefault="00F63632" w:rsidP="007903A2">
      <w:pPr>
        <w:pStyle w:val="NormalList"/>
        <w:spacing w:line="276" w:lineRule="auto"/>
        <w:rPr>
          <w:rFonts w:ascii="Times New Roman" w:eastAsia="NeueHaasGroteskText W02" w:hAnsi="Times New Roman" w:cs="Times New Roman"/>
          <w:bCs/>
          <w:sz w:val="24"/>
          <w:szCs w:val="24"/>
        </w:rPr>
      </w:pPr>
    </w:p>
    <w:p w14:paraId="588A9787" w14:textId="53BCD7B3" w:rsidR="00F63632" w:rsidRDefault="00F63632" w:rsidP="007903A2">
      <w:pPr>
        <w:pStyle w:val="NormalList"/>
        <w:spacing w:line="276" w:lineRule="auto"/>
        <w:rPr>
          <w:rFonts w:ascii="Times New Roman" w:eastAsia="NeueHaasGroteskText W02" w:hAnsi="Times New Roman" w:cs="Times New Roman"/>
          <w:bCs/>
          <w:sz w:val="24"/>
          <w:szCs w:val="24"/>
        </w:rPr>
      </w:pPr>
    </w:p>
    <w:p w14:paraId="0EABDF19" w14:textId="434BD399" w:rsidR="00F63632" w:rsidRDefault="00F63632" w:rsidP="007903A2">
      <w:pPr>
        <w:pStyle w:val="NormalList"/>
        <w:spacing w:line="276" w:lineRule="auto"/>
        <w:rPr>
          <w:rFonts w:ascii="Times New Roman" w:eastAsia="NeueHaasGroteskText W02" w:hAnsi="Times New Roman" w:cs="Times New Roman"/>
          <w:bCs/>
          <w:sz w:val="24"/>
          <w:szCs w:val="24"/>
        </w:rPr>
      </w:pPr>
    </w:p>
    <w:p w14:paraId="4F017EAE" w14:textId="7200024D" w:rsidR="00F63632" w:rsidRDefault="00F63632" w:rsidP="007903A2">
      <w:pPr>
        <w:pStyle w:val="NormalList"/>
        <w:spacing w:line="276" w:lineRule="auto"/>
        <w:rPr>
          <w:rFonts w:ascii="Times New Roman" w:eastAsia="NeueHaasGroteskText W02" w:hAnsi="Times New Roman" w:cs="Times New Roman"/>
          <w:bCs/>
          <w:sz w:val="24"/>
          <w:szCs w:val="24"/>
        </w:rPr>
      </w:pPr>
    </w:p>
    <w:p w14:paraId="05654694" w14:textId="01BFA63D" w:rsidR="00F63632" w:rsidRDefault="00F63632" w:rsidP="007903A2">
      <w:pPr>
        <w:pStyle w:val="NormalList"/>
        <w:spacing w:line="276" w:lineRule="auto"/>
        <w:rPr>
          <w:rFonts w:ascii="Times New Roman" w:eastAsia="NeueHaasGroteskText W02" w:hAnsi="Times New Roman" w:cs="Times New Roman"/>
          <w:bCs/>
          <w:sz w:val="24"/>
          <w:szCs w:val="24"/>
        </w:rPr>
      </w:pPr>
    </w:p>
    <w:p w14:paraId="30592257" w14:textId="50EDE2AA" w:rsidR="00F63632" w:rsidRDefault="00F63632" w:rsidP="007903A2">
      <w:pPr>
        <w:pStyle w:val="NormalList"/>
        <w:spacing w:line="276" w:lineRule="auto"/>
        <w:rPr>
          <w:rFonts w:ascii="Times New Roman" w:eastAsia="NeueHaasGroteskText W02" w:hAnsi="Times New Roman" w:cs="Times New Roman"/>
          <w:bCs/>
          <w:sz w:val="24"/>
          <w:szCs w:val="24"/>
        </w:rPr>
      </w:pPr>
    </w:p>
    <w:p w14:paraId="511D8580" w14:textId="0E0E94FA" w:rsidR="00F63632" w:rsidRDefault="00F63632" w:rsidP="007903A2">
      <w:pPr>
        <w:pStyle w:val="NormalList"/>
        <w:spacing w:line="276" w:lineRule="auto"/>
        <w:rPr>
          <w:rFonts w:ascii="Times New Roman" w:eastAsia="NeueHaasGroteskText W02" w:hAnsi="Times New Roman" w:cs="Times New Roman"/>
          <w:bCs/>
          <w:sz w:val="24"/>
          <w:szCs w:val="24"/>
        </w:rPr>
      </w:pPr>
    </w:p>
    <w:p w14:paraId="60760453" w14:textId="76EF74E5" w:rsidR="00F63632" w:rsidRDefault="00F63632" w:rsidP="007903A2">
      <w:pPr>
        <w:pStyle w:val="NormalList"/>
        <w:spacing w:line="276" w:lineRule="auto"/>
        <w:rPr>
          <w:rFonts w:ascii="Times New Roman" w:eastAsia="NeueHaasGroteskText W02" w:hAnsi="Times New Roman" w:cs="Times New Roman"/>
          <w:bCs/>
          <w:sz w:val="24"/>
          <w:szCs w:val="24"/>
        </w:rPr>
      </w:pPr>
    </w:p>
    <w:p w14:paraId="5B64770A" w14:textId="12449DBE" w:rsidR="00F63632" w:rsidRDefault="00F63632" w:rsidP="007903A2">
      <w:pPr>
        <w:pStyle w:val="NormalList"/>
        <w:spacing w:line="276" w:lineRule="auto"/>
        <w:rPr>
          <w:rFonts w:ascii="Times New Roman" w:eastAsia="NeueHaasGroteskText W02" w:hAnsi="Times New Roman" w:cs="Times New Roman"/>
          <w:bCs/>
          <w:sz w:val="24"/>
          <w:szCs w:val="24"/>
        </w:rPr>
      </w:pPr>
    </w:p>
    <w:p w14:paraId="6D644562" w14:textId="77777777" w:rsidR="00F63632" w:rsidRPr="00126F63" w:rsidRDefault="00F63632" w:rsidP="007903A2">
      <w:pPr>
        <w:pStyle w:val="NormalList"/>
        <w:spacing w:line="276" w:lineRule="auto"/>
        <w:rPr>
          <w:rFonts w:ascii="Times New Roman" w:eastAsia="NeueHaasGroteskText W02" w:hAnsi="Times New Roman" w:cs="Times New Roman"/>
          <w:bCs/>
          <w:sz w:val="24"/>
          <w:szCs w:val="24"/>
        </w:rPr>
      </w:pPr>
    </w:p>
    <w:tbl>
      <w:tblPr>
        <w:tblW w:w="5000" w:type="pct"/>
        <w:jc w:val="center"/>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78"/>
        <w:gridCol w:w="751"/>
        <w:gridCol w:w="829"/>
        <w:gridCol w:w="655"/>
        <w:gridCol w:w="639"/>
        <w:gridCol w:w="668"/>
        <w:gridCol w:w="679"/>
        <w:gridCol w:w="673"/>
      </w:tblGrid>
      <w:tr w:rsidR="007903A2" w:rsidRPr="003C4F5D" w14:paraId="20A71BBD" w14:textId="77777777" w:rsidTr="00D94493">
        <w:trPr>
          <w:trHeight w:val="227"/>
          <w:jc w:val="center"/>
        </w:trPr>
        <w:tc>
          <w:tcPr>
            <w:tcW w:w="5000" w:type="pct"/>
            <w:gridSpan w:val="8"/>
            <w:tcBorders>
              <w:top w:val="nil"/>
            </w:tcBorders>
          </w:tcPr>
          <w:p w14:paraId="6FC982AD" w14:textId="7EFD3D57" w:rsidR="007903A2" w:rsidRPr="003C4F5D" w:rsidRDefault="007903A2" w:rsidP="00D94493">
            <w:pPr>
              <w:contextualSpacing/>
              <w:rPr>
                <w:rFonts w:ascii="Times New Roman" w:hAnsi="Times New Roman" w:cs="Times New Roman"/>
                <w:b/>
                <w:bCs/>
                <w:sz w:val="18"/>
                <w:szCs w:val="14"/>
                <w:lang w:eastAsia="sk-SK"/>
              </w:rPr>
            </w:pPr>
            <w:bookmarkStart w:id="7" w:name="_Toc153012999"/>
            <w:r w:rsidRPr="00F63632">
              <w:rPr>
                <w:rFonts w:ascii="Times New Roman" w:hAnsi="Times New Roman" w:cs="Times New Roman"/>
                <w:b/>
                <w:bCs/>
                <w:color w:val="5B9BD5" w:themeColor="accent1"/>
                <w:sz w:val="20"/>
                <w:szCs w:val="14"/>
                <w:lang w:eastAsia="sk-SK"/>
              </w:rPr>
              <w:lastRenderedPageBreak/>
              <w:t>Tabuľka</w:t>
            </w:r>
            <w:r w:rsidRPr="00F63632">
              <w:rPr>
                <w:rFonts w:ascii="Times New Roman" w:hAnsi="Times New Roman" w:cs="Times New Roman"/>
                <w:b/>
                <w:color w:val="5B9BD5" w:themeColor="accent1"/>
                <w:szCs w:val="20"/>
              </w:rPr>
              <w:t xml:space="preserve"> </w:t>
            </w:r>
            <w:r w:rsidRPr="00F63632">
              <w:rPr>
                <w:rFonts w:ascii="Times New Roman" w:hAnsi="Times New Roman" w:cs="Times New Roman"/>
                <w:b/>
                <w:color w:val="5B9BD5" w:themeColor="accent1"/>
                <w:szCs w:val="20"/>
              </w:rPr>
              <w:fldChar w:fldCharType="begin"/>
            </w:r>
            <w:r w:rsidRPr="00F63632">
              <w:rPr>
                <w:rFonts w:ascii="Times New Roman" w:hAnsi="Times New Roman" w:cs="Times New Roman"/>
                <w:b/>
                <w:color w:val="5B9BD5" w:themeColor="accent1"/>
                <w:szCs w:val="20"/>
              </w:rPr>
              <w:instrText xml:space="preserve"> SEQ Tabuľka \* ARABIC </w:instrText>
            </w:r>
            <w:r w:rsidRPr="00F63632">
              <w:rPr>
                <w:rFonts w:ascii="Times New Roman" w:hAnsi="Times New Roman" w:cs="Times New Roman"/>
                <w:b/>
                <w:color w:val="5B9BD5" w:themeColor="accent1"/>
                <w:szCs w:val="20"/>
              </w:rPr>
              <w:fldChar w:fldCharType="separate"/>
            </w:r>
            <w:r w:rsidR="003D5A3A">
              <w:rPr>
                <w:rFonts w:ascii="Times New Roman" w:hAnsi="Times New Roman" w:cs="Times New Roman"/>
                <w:b/>
                <w:noProof/>
                <w:color w:val="5B9BD5" w:themeColor="accent1"/>
                <w:szCs w:val="20"/>
              </w:rPr>
              <w:t>1</w:t>
            </w:r>
            <w:r w:rsidRPr="00F63632">
              <w:rPr>
                <w:rFonts w:ascii="Times New Roman" w:hAnsi="Times New Roman" w:cs="Times New Roman"/>
                <w:b/>
                <w:color w:val="5B9BD5" w:themeColor="accent1"/>
                <w:szCs w:val="20"/>
              </w:rPr>
              <w:fldChar w:fldCharType="end"/>
            </w:r>
            <w:r w:rsidRPr="00F63632">
              <w:rPr>
                <w:rFonts w:ascii="Times New Roman" w:hAnsi="Times New Roman" w:cs="Times New Roman"/>
                <w:b/>
                <w:color w:val="5B9BD5" w:themeColor="accent1"/>
                <w:szCs w:val="20"/>
              </w:rPr>
              <w:t xml:space="preserve"> - </w:t>
            </w:r>
            <w:r w:rsidRPr="00F63632">
              <w:rPr>
                <w:rFonts w:ascii="Times New Roman" w:hAnsi="Times New Roman" w:cs="Times New Roman"/>
                <w:b/>
                <w:bCs/>
                <w:color w:val="5B9BD5" w:themeColor="accent1"/>
                <w:sz w:val="20"/>
                <w:szCs w:val="14"/>
                <w:lang w:eastAsia="sk-SK"/>
              </w:rPr>
              <w:t>Prognóza vybraných ukazovateľov ekonomiky (december 2023)</w:t>
            </w:r>
            <w:bookmarkEnd w:id="7"/>
          </w:p>
        </w:tc>
      </w:tr>
      <w:tr w:rsidR="007903A2" w:rsidRPr="003C4F5D" w14:paraId="40C26298" w14:textId="77777777" w:rsidTr="00D94493">
        <w:trPr>
          <w:trHeight w:val="227"/>
          <w:jc w:val="center"/>
        </w:trPr>
        <w:tc>
          <w:tcPr>
            <w:tcW w:w="2303" w:type="pct"/>
            <w:vMerge w:val="restart"/>
            <w:shd w:val="clear" w:color="auto" w:fill="auto"/>
            <w:noWrap/>
            <w:vAlign w:val="center"/>
            <w:hideMark/>
          </w:tcPr>
          <w:p w14:paraId="45DFE2EC" w14:textId="77777777" w:rsidR="007903A2" w:rsidRPr="00762040" w:rsidRDefault="007903A2" w:rsidP="00D94493">
            <w:pPr>
              <w:contextualSpacing/>
              <w:jc w:val="center"/>
              <w:rPr>
                <w:rFonts w:ascii="Times New Roman" w:hAnsi="Times New Roman" w:cs="Times New Roman"/>
                <w:b/>
                <w:bCs/>
                <w:sz w:val="16"/>
                <w:szCs w:val="16"/>
                <w:lang w:eastAsia="sk-SK"/>
              </w:rPr>
            </w:pPr>
            <w:r w:rsidRPr="00762040">
              <w:rPr>
                <w:rFonts w:ascii="Times New Roman" w:hAnsi="Times New Roman" w:cs="Times New Roman"/>
                <w:b/>
                <w:bCs/>
                <w:sz w:val="16"/>
                <w:szCs w:val="16"/>
                <w:lang w:eastAsia="sk-SK"/>
              </w:rPr>
              <w:t xml:space="preserve">Ukazovateľ </w:t>
            </w:r>
            <w:r w:rsidRPr="00762040">
              <w:rPr>
                <w:rFonts w:ascii="Times New Roman" w:hAnsi="Times New Roman" w:cs="Times New Roman"/>
                <w:b/>
                <w:sz w:val="16"/>
                <w:szCs w:val="16"/>
                <w:lang w:eastAsia="sk-SK"/>
              </w:rPr>
              <w:t>(rast v %, ak nie je uvedené inak)</w:t>
            </w:r>
          </w:p>
        </w:tc>
        <w:tc>
          <w:tcPr>
            <w:tcW w:w="871" w:type="pct"/>
            <w:gridSpan w:val="2"/>
            <w:vAlign w:val="center"/>
          </w:tcPr>
          <w:p w14:paraId="39115997" w14:textId="77777777" w:rsidR="007903A2" w:rsidRPr="00762040" w:rsidRDefault="007903A2" w:rsidP="00D94493">
            <w:pPr>
              <w:contextualSpacing/>
              <w:jc w:val="center"/>
              <w:rPr>
                <w:rFonts w:ascii="Times New Roman" w:hAnsi="Times New Roman" w:cs="Times New Roman"/>
                <w:b/>
                <w:bCs/>
                <w:sz w:val="16"/>
                <w:szCs w:val="16"/>
                <w:lang w:eastAsia="sk-SK"/>
              </w:rPr>
            </w:pPr>
            <w:r w:rsidRPr="00762040">
              <w:rPr>
                <w:rFonts w:ascii="Times New Roman" w:hAnsi="Times New Roman" w:cs="Times New Roman"/>
                <w:b/>
                <w:bCs/>
                <w:sz w:val="16"/>
                <w:szCs w:val="16"/>
                <w:lang w:eastAsia="sk-SK"/>
              </w:rPr>
              <w:t>Skutočnosť</w:t>
            </w:r>
          </w:p>
        </w:tc>
        <w:tc>
          <w:tcPr>
            <w:tcW w:w="1826" w:type="pct"/>
            <w:gridSpan w:val="5"/>
            <w:shd w:val="clear" w:color="auto" w:fill="auto"/>
            <w:noWrap/>
            <w:vAlign w:val="center"/>
            <w:hideMark/>
          </w:tcPr>
          <w:p w14:paraId="69A6D83C" w14:textId="77777777" w:rsidR="007903A2" w:rsidRPr="00762040" w:rsidRDefault="007903A2" w:rsidP="00D94493">
            <w:pPr>
              <w:contextualSpacing/>
              <w:jc w:val="center"/>
              <w:rPr>
                <w:rFonts w:ascii="Times New Roman" w:hAnsi="Times New Roman" w:cs="Times New Roman"/>
                <w:b/>
                <w:bCs/>
                <w:sz w:val="16"/>
                <w:szCs w:val="16"/>
                <w:lang w:eastAsia="sk-SK"/>
              </w:rPr>
            </w:pPr>
            <w:r w:rsidRPr="00762040">
              <w:rPr>
                <w:rFonts w:ascii="Times New Roman" w:hAnsi="Times New Roman" w:cs="Times New Roman"/>
                <w:b/>
                <w:bCs/>
                <w:sz w:val="16"/>
                <w:szCs w:val="16"/>
                <w:lang w:eastAsia="sk-SK"/>
              </w:rPr>
              <w:t>Prognóza</w:t>
            </w:r>
          </w:p>
        </w:tc>
      </w:tr>
      <w:tr w:rsidR="007903A2" w:rsidRPr="003C4F5D" w14:paraId="6DBA165F" w14:textId="77777777" w:rsidTr="00D94493">
        <w:trPr>
          <w:trHeight w:val="227"/>
          <w:jc w:val="center"/>
        </w:trPr>
        <w:tc>
          <w:tcPr>
            <w:tcW w:w="2303" w:type="pct"/>
            <w:vMerge/>
            <w:shd w:val="clear" w:color="auto" w:fill="auto"/>
            <w:vAlign w:val="center"/>
            <w:hideMark/>
          </w:tcPr>
          <w:p w14:paraId="7C4D312A" w14:textId="77777777" w:rsidR="007903A2" w:rsidRPr="00762040" w:rsidRDefault="007903A2" w:rsidP="00D94493">
            <w:pPr>
              <w:contextualSpacing/>
              <w:rPr>
                <w:rFonts w:ascii="Times New Roman" w:hAnsi="Times New Roman" w:cs="Times New Roman"/>
                <w:b/>
                <w:bCs/>
                <w:sz w:val="16"/>
                <w:szCs w:val="16"/>
                <w:lang w:eastAsia="sk-SK"/>
              </w:rPr>
            </w:pPr>
          </w:p>
        </w:tc>
        <w:tc>
          <w:tcPr>
            <w:tcW w:w="414" w:type="pct"/>
            <w:tcBorders>
              <w:right w:val="nil"/>
            </w:tcBorders>
            <w:vAlign w:val="center"/>
          </w:tcPr>
          <w:p w14:paraId="38641131" w14:textId="77777777" w:rsidR="007903A2" w:rsidRPr="00762040" w:rsidRDefault="007903A2" w:rsidP="00D94493">
            <w:pPr>
              <w:contextualSpacing/>
              <w:jc w:val="center"/>
              <w:rPr>
                <w:rFonts w:ascii="Times New Roman" w:hAnsi="Times New Roman" w:cs="Times New Roman"/>
                <w:b/>
                <w:sz w:val="16"/>
                <w:szCs w:val="16"/>
                <w:lang w:eastAsia="sk-SK"/>
              </w:rPr>
            </w:pPr>
            <w:r w:rsidRPr="00762040">
              <w:rPr>
                <w:rFonts w:ascii="Times New Roman" w:hAnsi="Times New Roman" w:cs="Times New Roman"/>
                <w:b/>
                <w:sz w:val="16"/>
                <w:szCs w:val="16"/>
                <w:lang w:eastAsia="sk-SK"/>
              </w:rPr>
              <w:t>2021</w:t>
            </w:r>
          </w:p>
        </w:tc>
        <w:tc>
          <w:tcPr>
            <w:tcW w:w="457" w:type="pct"/>
            <w:tcBorders>
              <w:left w:val="nil"/>
            </w:tcBorders>
            <w:shd w:val="clear" w:color="auto" w:fill="auto"/>
            <w:noWrap/>
            <w:vAlign w:val="center"/>
          </w:tcPr>
          <w:p w14:paraId="71F4653B" w14:textId="77777777" w:rsidR="007903A2" w:rsidRPr="00762040" w:rsidRDefault="007903A2" w:rsidP="00D94493">
            <w:pPr>
              <w:contextualSpacing/>
              <w:jc w:val="center"/>
              <w:rPr>
                <w:rFonts w:ascii="Times New Roman" w:hAnsi="Times New Roman" w:cs="Times New Roman"/>
                <w:b/>
                <w:sz w:val="16"/>
                <w:szCs w:val="16"/>
                <w:lang w:eastAsia="sk-SK"/>
              </w:rPr>
            </w:pPr>
            <w:r w:rsidRPr="00762040">
              <w:rPr>
                <w:rFonts w:ascii="Times New Roman" w:hAnsi="Times New Roman" w:cs="Times New Roman"/>
                <w:b/>
                <w:sz w:val="16"/>
                <w:szCs w:val="16"/>
                <w:lang w:eastAsia="sk-SK"/>
              </w:rPr>
              <w:t>2022</w:t>
            </w:r>
          </w:p>
        </w:tc>
        <w:tc>
          <w:tcPr>
            <w:tcW w:w="361" w:type="pct"/>
            <w:tcBorders>
              <w:right w:val="nil"/>
            </w:tcBorders>
            <w:shd w:val="clear" w:color="auto" w:fill="auto"/>
            <w:noWrap/>
            <w:vAlign w:val="center"/>
            <w:hideMark/>
          </w:tcPr>
          <w:p w14:paraId="47DC7FDF" w14:textId="77777777" w:rsidR="007903A2" w:rsidRPr="00762040" w:rsidRDefault="007903A2" w:rsidP="00D94493">
            <w:pPr>
              <w:contextualSpacing/>
              <w:jc w:val="center"/>
              <w:rPr>
                <w:rFonts w:ascii="Times New Roman" w:hAnsi="Times New Roman" w:cs="Times New Roman"/>
                <w:b/>
                <w:sz w:val="16"/>
                <w:szCs w:val="16"/>
                <w:lang w:eastAsia="sk-SK"/>
              </w:rPr>
            </w:pPr>
            <w:r w:rsidRPr="00762040">
              <w:rPr>
                <w:rFonts w:ascii="Times New Roman" w:hAnsi="Times New Roman" w:cs="Times New Roman"/>
                <w:b/>
                <w:sz w:val="16"/>
                <w:szCs w:val="16"/>
                <w:lang w:eastAsia="sk-SK"/>
              </w:rPr>
              <w:t>2023</w:t>
            </w:r>
          </w:p>
        </w:tc>
        <w:tc>
          <w:tcPr>
            <w:tcW w:w="352" w:type="pct"/>
            <w:tcBorders>
              <w:left w:val="nil"/>
              <w:right w:val="nil"/>
            </w:tcBorders>
            <w:shd w:val="clear" w:color="auto" w:fill="auto"/>
            <w:noWrap/>
            <w:vAlign w:val="center"/>
            <w:hideMark/>
          </w:tcPr>
          <w:p w14:paraId="7122562A" w14:textId="77777777" w:rsidR="007903A2" w:rsidRPr="00762040" w:rsidRDefault="007903A2" w:rsidP="00D94493">
            <w:pPr>
              <w:contextualSpacing/>
              <w:jc w:val="center"/>
              <w:rPr>
                <w:rFonts w:ascii="Times New Roman" w:hAnsi="Times New Roman" w:cs="Times New Roman"/>
                <w:b/>
                <w:sz w:val="16"/>
                <w:szCs w:val="16"/>
                <w:lang w:eastAsia="sk-SK"/>
              </w:rPr>
            </w:pPr>
            <w:r w:rsidRPr="00762040">
              <w:rPr>
                <w:rFonts w:ascii="Times New Roman" w:hAnsi="Times New Roman" w:cs="Times New Roman"/>
                <w:b/>
                <w:sz w:val="16"/>
                <w:szCs w:val="16"/>
                <w:lang w:eastAsia="sk-SK"/>
              </w:rPr>
              <w:t>2024</w:t>
            </w:r>
          </w:p>
        </w:tc>
        <w:tc>
          <w:tcPr>
            <w:tcW w:w="368" w:type="pct"/>
            <w:tcBorders>
              <w:left w:val="nil"/>
              <w:right w:val="nil"/>
            </w:tcBorders>
            <w:shd w:val="clear" w:color="auto" w:fill="auto"/>
            <w:noWrap/>
            <w:vAlign w:val="center"/>
            <w:hideMark/>
          </w:tcPr>
          <w:p w14:paraId="4D508663" w14:textId="77777777" w:rsidR="007903A2" w:rsidRPr="00762040" w:rsidRDefault="007903A2" w:rsidP="00D94493">
            <w:pPr>
              <w:contextualSpacing/>
              <w:jc w:val="center"/>
              <w:rPr>
                <w:rFonts w:ascii="Times New Roman" w:hAnsi="Times New Roman" w:cs="Times New Roman"/>
                <w:b/>
                <w:sz w:val="16"/>
                <w:szCs w:val="16"/>
                <w:lang w:eastAsia="sk-SK"/>
              </w:rPr>
            </w:pPr>
            <w:r w:rsidRPr="00762040">
              <w:rPr>
                <w:rFonts w:ascii="Times New Roman" w:hAnsi="Times New Roman" w:cs="Times New Roman"/>
                <w:b/>
                <w:sz w:val="16"/>
                <w:szCs w:val="16"/>
                <w:lang w:eastAsia="sk-SK"/>
              </w:rPr>
              <w:t>2025</w:t>
            </w:r>
          </w:p>
        </w:tc>
        <w:tc>
          <w:tcPr>
            <w:tcW w:w="374" w:type="pct"/>
            <w:tcBorders>
              <w:left w:val="nil"/>
              <w:right w:val="nil"/>
            </w:tcBorders>
            <w:shd w:val="clear" w:color="auto" w:fill="auto"/>
            <w:noWrap/>
            <w:vAlign w:val="center"/>
            <w:hideMark/>
          </w:tcPr>
          <w:p w14:paraId="25406AFE" w14:textId="77777777" w:rsidR="007903A2" w:rsidRPr="00762040" w:rsidRDefault="007903A2" w:rsidP="00D94493">
            <w:pPr>
              <w:contextualSpacing/>
              <w:jc w:val="center"/>
              <w:rPr>
                <w:rFonts w:ascii="Times New Roman" w:hAnsi="Times New Roman" w:cs="Times New Roman"/>
                <w:b/>
                <w:sz w:val="16"/>
                <w:szCs w:val="16"/>
                <w:lang w:eastAsia="sk-SK"/>
              </w:rPr>
            </w:pPr>
            <w:r w:rsidRPr="00762040">
              <w:rPr>
                <w:rFonts w:ascii="Times New Roman" w:hAnsi="Times New Roman" w:cs="Times New Roman"/>
                <w:b/>
                <w:sz w:val="16"/>
                <w:szCs w:val="16"/>
                <w:lang w:eastAsia="sk-SK"/>
              </w:rPr>
              <w:t>2026</w:t>
            </w:r>
          </w:p>
        </w:tc>
        <w:tc>
          <w:tcPr>
            <w:tcW w:w="371" w:type="pct"/>
            <w:tcBorders>
              <w:left w:val="nil"/>
            </w:tcBorders>
            <w:shd w:val="clear" w:color="auto" w:fill="auto"/>
            <w:vAlign w:val="center"/>
          </w:tcPr>
          <w:p w14:paraId="335562BF" w14:textId="77777777" w:rsidR="007903A2" w:rsidRPr="00762040" w:rsidRDefault="007903A2" w:rsidP="00D94493">
            <w:pPr>
              <w:contextualSpacing/>
              <w:jc w:val="center"/>
              <w:rPr>
                <w:rFonts w:ascii="Times New Roman" w:hAnsi="Times New Roman" w:cs="Times New Roman"/>
                <w:b/>
                <w:sz w:val="16"/>
                <w:szCs w:val="16"/>
                <w:lang w:eastAsia="sk-SK"/>
              </w:rPr>
            </w:pPr>
            <w:r w:rsidRPr="00762040">
              <w:rPr>
                <w:rFonts w:ascii="Times New Roman" w:hAnsi="Times New Roman" w:cs="Times New Roman"/>
                <w:b/>
                <w:sz w:val="16"/>
                <w:szCs w:val="16"/>
                <w:lang w:eastAsia="sk-SK"/>
              </w:rPr>
              <w:t>2027</w:t>
            </w:r>
          </w:p>
        </w:tc>
      </w:tr>
      <w:tr w:rsidR="007903A2" w:rsidRPr="003C4F5D" w14:paraId="6EF2D6D1" w14:textId="77777777" w:rsidTr="00F63632">
        <w:trPr>
          <w:trHeight w:val="227"/>
          <w:jc w:val="center"/>
        </w:trPr>
        <w:tc>
          <w:tcPr>
            <w:tcW w:w="5000" w:type="pct"/>
            <w:gridSpan w:val="8"/>
            <w:tcBorders>
              <w:bottom w:val="single" w:sz="4" w:space="0" w:color="auto"/>
            </w:tcBorders>
          </w:tcPr>
          <w:p w14:paraId="16F92450" w14:textId="125EE684" w:rsidR="007903A2" w:rsidRPr="00762040" w:rsidRDefault="00F63632" w:rsidP="00D94493">
            <w:pPr>
              <w:contextualSpacing/>
              <w:rPr>
                <w:rFonts w:ascii="Times New Roman" w:hAnsi="Times New Roman" w:cs="Times New Roman"/>
                <w:b/>
                <w:bCs/>
                <w:sz w:val="16"/>
                <w:szCs w:val="16"/>
                <w:lang w:eastAsia="sk-SK"/>
              </w:rPr>
            </w:pPr>
            <w:r>
              <w:rPr>
                <w:rFonts w:ascii="Times New Roman" w:hAnsi="Times New Roman" w:cs="Times New Roman"/>
                <w:b/>
                <w:bCs/>
                <w:sz w:val="16"/>
                <w:szCs w:val="16"/>
                <w:lang w:eastAsia="sk-SK"/>
              </w:rPr>
              <w:t>Hrubý domáci produkt</w:t>
            </w:r>
          </w:p>
        </w:tc>
      </w:tr>
      <w:tr w:rsidR="007903A2" w:rsidRPr="003C4F5D" w14:paraId="517B3A0F" w14:textId="77777777" w:rsidTr="00F63632">
        <w:trPr>
          <w:trHeight w:val="227"/>
          <w:jc w:val="center"/>
        </w:trPr>
        <w:tc>
          <w:tcPr>
            <w:tcW w:w="2303" w:type="pct"/>
            <w:tcBorders>
              <w:bottom w:val="nil"/>
            </w:tcBorders>
            <w:noWrap/>
            <w:vAlign w:val="center"/>
            <w:hideMark/>
          </w:tcPr>
          <w:p w14:paraId="7528143F" w14:textId="3DCE4591" w:rsidR="007903A2" w:rsidRPr="00762040" w:rsidRDefault="007903A2" w:rsidP="00D94493">
            <w:pPr>
              <w:contextualSpacing/>
              <w:rPr>
                <w:rFonts w:ascii="Times New Roman" w:hAnsi="Times New Roman" w:cs="Times New Roman"/>
                <w:sz w:val="16"/>
                <w:szCs w:val="16"/>
                <w:lang w:eastAsia="sk-SK"/>
              </w:rPr>
            </w:pPr>
            <w:r w:rsidRPr="00762040">
              <w:rPr>
                <w:rFonts w:ascii="Times New Roman" w:hAnsi="Times New Roman" w:cs="Times New Roman"/>
                <w:sz w:val="16"/>
                <w:szCs w:val="16"/>
                <w:lang w:eastAsia="sk-SK"/>
              </w:rPr>
              <w:t>HDP, s.</w:t>
            </w:r>
            <w:r w:rsidR="00F63632">
              <w:rPr>
                <w:rFonts w:ascii="Times New Roman" w:hAnsi="Times New Roman" w:cs="Times New Roman"/>
                <w:sz w:val="16"/>
                <w:szCs w:val="16"/>
                <w:lang w:eastAsia="sk-SK"/>
              </w:rPr>
              <w:t xml:space="preserve"> </w:t>
            </w:r>
            <w:r w:rsidRPr="00762040">
              <w:rPr>
                <w:rFonts w:ascii="Times New Roman" w:hAnsi="Times New Roman" w:cs="Times New Roman"/>
                <w:sz w:val="16"/>
                <w:szCs w:val="16"/>
                <w:lang w:eastAsia="sk-SK"/>
              </w:rPr>
              <w:t>c.</w:t>
            </w:r>
          </w:p>
        </w:tc>
        <w:tc>
          <w:tcPr>
            <w:tcW w:w="414" w:type="pct"/>
            <w:tcBorders>
              <w:bottom w:val="nil"/>
              <w:right w:val="nil"/>
            </w:tcBorders>
          </w:tcPr>
          <w:p w14:paraId="1D9DACB3"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4,8</w:t>
            </w:r>
          </w:p>
        </w:tc>
        <w:tc>
          <w:tcPr>
            <w:tcW w:w="457" w:type="pct"/>
            <w:tcBorders>
              <w:left w:val="nil"/>
              <w:bottom w:val="nil"/>
            </w:tcBorders>
            <w:noWrap/>
          </w:tcPr>
          <w:p w14:paraId="44F71396" w14:textId="77777777" w:rsidR="007903A2" w:rsidRPr="00762040" w:rsidRDefault="007903A2" w:rsidP="00D94493">
            <w:pPr>
              <w:spacing w:after="0"/>
              <w:jc w:val="center"/>
              <w:rPr>
                <w:rFonts w:ascii="Times New Roman" w:hAnsi="Times New Roman" w:cs="Times New Roman"/>
                <w:sz w:val="16"/>
                <w:szCs w:val="16"/>
              </w:rPr>
            </w:pPr>
            <w:r w:rsidRPr="00762040">
              <w:rPr>
                <w:rFonts w:ascii="Times New Roman" w:hAnsi="Times New Roman" w:cs="Times New Roman"/>
                <w:sz w:val="16"/>
                <w:szCs w:val="16"/>
              </w:rPr>
              <w:t>1,8</w:t>
            </w:r>
          </w:p>
        </w:tc>
        <w:tc>
          <w:tcPr>
            <w:tcW w:w="361" w:type="pct"/>
            <w:tcBorders>
              <w:bottom w:val="nil"/>
              <w:right w:val="nil"/>
            </w:tcBorders>
            <w:noWrap/>
          </w:tcPr>
          <w:p w14:paraId="55B7430C" w14:textId="77777777" w:rsidR="007903A2" w:rsidRPr="00762040" w:rsidRDefault="007903A2" w:rsidP="00D94493">
            <w:pPr>
              <w:spacing w:after="0"/>
              <w:jc w:val="center"/>
              <w:rPr>
                <w:rFonts w:ascii="Times New Roman" w:hAnsi="Times New Roman" w:cs="Times New Roman"/>
                <w:sz w:val="16"/>
                <w:szCs w:val="16"/>
              </w:rPr>
            </w:pPr>
            <w:r w:rsidRPr="00762040">
              <w:rPr>
                <w:rFonts w:ascii="Times New Roman" w:hAnsi="Times New Roman" w:cs="Times New Roman"/>
                <w:sz w:val="16"/>
                <w:szCs w:val="16"/>
              </w:rPr>
              <w:t>1,2</w:t>
            </w:r>
          </w:p>
        </w:tc>
        <w:tc>
          <w:tcPr>
            <w:tcW w:w="352" w:type="pct"/>
            <w:tcBorders>
              <w:left w:val="nil"/>
              <w:bottom w:val="nil"/>
              <w:right w:val="nil"/>
            </w:tcBorders>
            <w:noWrap/>
          </w:tcPr>
          <w:p w14:paraId="7294103A" w14:textId="77777777" w:rsidR="007903A2" w:rsidRPr="00762040" w:rsidRDefault="007903A2" w:rsidP="00D94493">
            <w:pPr>
              <w:spacing w:after="0"/>
              <w:jc w:val="center"/>
              <w:rPr>
                <w:rFonts w:ascii="Times New Roman" w:hAnsi="Times New Roman" w:cs="Times New Roman"/>
                <w:sz w:val="16"/>
                <w:szCs w:val="16"/>
              </w:rPr>
            </w:pPr>
            <w:r w:rsidRPr="00762040">
              <w:rPr>
                <w:rFonts w:ascii="Times New Roman" w:hAnsi="Times New Roman" w:cs="Times New Roman"/>
                <w:sz w:val="16"/>
                <w:szCs w:val="16"/>
              </w:rPr>
              <w:t>2,7</w:t>
            </w:r>
          </w:p>
        </w:tc>
        <w:tc>
          <w:tcPr>
            <w:tcW w:w="368" w:type="pct"/>
            <w:tcBorders>
              <w:left w:val="nil"/>
              <w:bottom w:val="nil"/>
              <w:right w:val="nil"/>
            </w:tcBorders>
            <w:noWrap/>
          </w:tcPr>
          <w:p w14:paraId="353F7E5A" w14:textId="77777777" w:rsidR="007903A2" w:rsidRPr="00762040" w:rsidRDefault="007903A2" w:rsidP="00D94493">
            <w:pPr>
              <w:spacing w:after="0"/>
              <w:jc w:val="center"/>
              <w:rPr>
                <w:rFonts w:ascii="Times New Roman" w:hAnsi="Times New Roman" w:cs="Times New Roman"/>
                <w:sz w:val="16"/>
                <w:szCs w:val="16"/>
              </w:rPr>
            </w:pPr>
            <w:r w:rsidRPr="00762040">
              <w:rPr>
                <w:rFonts w:ascii="Times New Roman" w:hAnsi="Times New Roman" w:cs="Times New Roman"/>
                <w:sz w:val="16"/>
                <w:szCs w:val="16"/>
              </w:rPr>
              <w:t>2,8</w:t>
            </w:r>
          </w:p>
        </w:tc>
        <w:tc>
          <w:tcPr>
            <w:tcW w:w="374" w:type="pct"/>
            <w:tcBorders>
              <w:left w:val="nil"/>
              <w:bottom w:val="nil"/>
              <w:right w:val="nil"/>
            </w:tcBorders>
            <w:noWrap/>
          </w:tcPr>
          <w:p w14:paraId="5FDF1125" w14:textId="77777777" w:rsidR="007903A2" w:rsidRPr="00762040" w:rsidRDefault="007903A2" w:rsidP="00D94493">
            <w:pPr>
              <w:spacing w:after="0"/>
              <w:jc w:val="center"/>
              <w:rPr>
                <w:rFonts w:ascii="Times New Roman" w:hAnsi="Times New Roman" w:cs="Times New Roman"/>
                <w:sz w:val="16"/>
                <w:szCs w:val="16"/>
              </w:rPr>
            </w:pPr>
            <w:r w:rsidRPr="00762040">
              <w:rPr>
                <w:rFonts w:ascii="Times New Roman" w:hAnsi="Times New Roman" w:cs="Times New Roman"/>
                <w:sz w:val="16"/>
                <w:szCs w:val="16"/>
              </w:rPr>
              <w:t>2,1</w:t>
            </w:r>
          </w:p>
        </w:tc>
        <w:tc>
          <w:tcPr>
            <w:tcW w:w="371" w:type="pct"/>
            <w:tcBorders>
              <w:left w:val="nil"/>
              <w:bottom w:val="nil"/>
            </w:tcBorders>
          </w:tcPr>
          <w:p w14:paraId="0BA1991A" w14:textId="77777777" w:rsidR="007903A2" w:rsidRPr="00762040" w:rsidRDefault="007903A2" w:rsidP="00D94493">
            <w:pPr>
              <w:spacing w:after="0"/>
              <w:jc w:val="center"/>
              <w:rPr>
                <w:rFonts w:ascii="Times New Roman" w:hAnsi="Times New Roman" w:cs="Times New Roman"/>
                <w:sz w:val="16"/>
                <w:szCs w:val="16"/>
              </w:rPr>
            </w:pPr>
            <w:r w:rsidRPr="00762040">
              <w:rPr>
                <w:rFonts w:ascii="Times New Roman" w:hAnsi="Times New Roman" w:cs="Times New Roman"/>
                <w:sz w:val="16"/>
                <w:szCs w:val="16"/>
              </w:rPr>
              <w:t>1,7</w:t>
            </w:r>
          </w:p>
        </w:tc>
      </w:tr>
      <w:tr w:rsidR="007903A2" w:rsidRPr="003C4F5D" w14:paraId="3CD80615" w14:textId="77777777" w:rsidTr="00F63632">
        <w:trPr>
          <w:trHeight w:val="227"/>
          <w:jc w:val="center"/>
        </w:trPr>
        <w:tc>
          <w:tcPr>
            <w:tcW w:w="2303" w:type="pct"/>
            <w:tcBorders>
              <w:top w:val="nil"/>
              <w:bottom w:val="nil"/>
            </w:tcBorders>
            <w:noWrap/>
            <w:vAlign w:val="center"/>
            <w:hideMark/>
          </w:tcPr>
          <w:p w14:paraId="7F6F3374" w14:textId="2C702C64" w:rsidR="007903A2" w:rsidRPr="00762040" w:rsidRDefault="007903A2" w:rsidP="00D94493">
            <w:pPr>
              <w:contextualSpacing/>
              <w:rPr>
                <w:rFonts w:ascii="Times New Roman" w:hAnsi="Times New Roman" w:cs="Times New Roman"/>
                <w:sz w:val="16"/>
                <w:szCs w:val="16"/>
                <w:lang w:eastAsia="sk-SK"/>
              </w:rPr>
            </w:pPr>
            <w:r w:rsidRPr="00762040">
              <w:rPr>
                <w:rFonts w:ascii="Times New Roman" w:hAnsi="Times New Roman" w:cs="Times New Roman"/>
                <w:sz w:val="16"/>
                <w:szCs w:val="16"/>
                <w:lang w:eastAsia="sk-SK"/>
              </w:rPr>
              <w:t>HDP, b.</w:t>
            </w:r>
            <w:r w:rsidR="00F63632">
              <w:rPr>
                <w:rFonts w:ascii="Times New Roman" w:hAnsi="Times New Roman" w:cs="Times New Roman"/>
                <w:sz w:val="16"/>
                <w:szCs w:val="16"/>
                <w:lang w:eastAsia="sk-SK"/>
              </w:rPr>
              <w:t xml:space="preserve"> </w:t>
            </w:r>
            <w:r w:rsidRPr="00762040">
              <w:rPr>
                <w:rFonts w:ascii="Times New Roman" w:hAnsi="Times New Roman" w:cs="Times New Roman"/>
                <w:sz w:val="16"/>
                <w:szCs w:val="16"/>
                <w:lang w:eastAsia="sk-SK"/>
              </w:rPr>
              <w:t>c. (mld. eur)</w:t>
            </w:r>
          </w:p>
        </w:tc>
        <w:tc>
          <w:tcPr>
            <w:tcW w:w="414" w:type="pct"/>
            <w:tcBorders>
              <w:top w:val="nil"/>
              <w:bottom w:val="nil"/>
              <w:right w:val="nil"/>
            </w:tcBorders>
          </w:tcPr>
          <w:p w14:paraId="6815D975"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100,3</w:t>
            </w:r>
          </w:p>
        </w:tc>
        <w:tc>
          <w:tcPr>
            <w:tcW w:w="457" w:type="pct"/>
            <w:tcBorders>
              <w:top w:val="nil"/>
              <w:left w:val="nil"/>
              <w:bottom w:val="nil"/>
            </w:tcBorders>
            <w:noWrap/>
          </w:tcPr>
          <w:p w14:paraId="29444222"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109,6</w:t>
            </w:r>
          </w:p>
        </w:tc>
        <w:tc>
          <w:tcPr>
            <w:tcW w:w="361" w:type="pct"/>
            <w:tcBorders>
              <w:top w:val="nil"/>
              <w:bottom w:val="nil"/>
              <w:right w:val="nil"/>
            </w:tcBorders>
            <w:noWrap/>
          </w:tcPr>
          <w:p w14:paraId="3AA9EA05"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121,9</w:t>
            </w:r>
          </w:p>
        </w:tc>
        <w:tc>
          <w:tcPr>
            <w:tcW w:w="352" w:type="pct"/>
            <w:tcBorders>
              <w:top w:val="nil"/>
              <w:left w:val="nil"/>
              <w:bottom w:val="nil"/>
              <w:right w:val="nil"/>
            </w:tcBorders>
            <w:noWrap/>
          </w:tcPr>
          <w:p w14:paraId="2383893A"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131,3</w:t>
            </w:r>
          </w:p>
        </w:tc>
        <w:tc>
          <w:tcPr>
            <w:tcW w:w="368" w:type="pct"/>
            <w:tcBorders>
              <w:top w:val="nil"/>
              <w:left w:val="nil"/>
              <w:bottom w:val="nil"/>
              <w:right w:val="nil"/>
            </w:tcBorders>
            <w:noWrap/>
          </w:tcPr>
          <w:p w14:paraId="08342D85"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139,2</w:t>
            </w:r>
          </w:p>
        </w:tc>
        <w:tc>
          <w:tcPr>
            <w:tcW w:w="374" w:type="pct"/>
            <w:tcBorders>
              <w:top w:val="nil"/>
              <w:left w:val="nil"/>
              <w:bottom w:val="nil"/>
              <w:right w:val="nil"/>
            </w:tcBorders>
            <w:noWrap/>
          </w:tcPr>
          <w:p w14:paraId="54C30AAD"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146,6</w:t>
            </w:r>
          </w:p>
        </w:tc>
        <w:tc>
          <w:tcPr>
            <w:tcW w:w="371" w:type="pct"/>
            <w:tcBorders>
              <w:top w:val="nil"/>
              <w:left w:val="nil"/>
              <w:bottom w:val="nil"/>
            </w:tcBorders>
          </w:tcPr>
          <w:p w14:paraId="597D7400"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152,1</w:t>
            </w:r>
          </w:p>
        </w:tc>
      </w:tr>
      <w:tr w:rsidR="007903A2" w:rsidRPr="003C4F5D" w14:paraId="39DCA252" w14:textId="77777777" w:rsidTr="00F63632">
        <w:trPr>
          <w:trHeight w:val="227"/>
          <w:jc w:val="center"/>
        </w:trPr>
        <w:tc>
          <w:tcPr>
            <w:tcW w:w="2303" w:type="pct"/>
            <w:tcBorders>
              <w:top w:val="nil"/>
              <w:bottom w:val="nil"/>
            </w:tcBorders>
            <w:noWrap/>
            <w:vAlign w:val="center"/>
            <w:hideMark/>
          </w:tcPr>
          <w:p w14:paraId="466E248D" w14:textId="1AF7017B" w:rsidR="007903A2" w:rsidRPr="00762040" w:rsidRDefault="007903A2" w:rsidP="00D94493">
            <w:pPr>
              <w:contextualSpacing/>
              <w:rPr>
                <w:rFonts w:ascii="Times New Roman" w:hAnsi="Times New Roman" w:cs="Times New Roman"/>
                <w:sz w:val="16"/>
                <w:szCs w:val="16"/>
                <w:lang w:eastAsia="sk-SK"/>
              </w:rPr>
            </w:pPr>
            <w:r w:rsidRPr="00762040">
              <w:rPr>
                <w:rFonts w:ascii="Times New Roman" w:hAnsi="Times New Roman" w:cs="Times New Roman"/>
                <w:sz w:val="16"/>
                <w:szCs w:val="16"/>
                <w:lang w:eastAsia="sk-SK"/>
              </w:rPr>
              <w:t>Súkromná spotreba, s.</w:t>
            </w:r>
            <w:r w:rsidR="00F63632">
              <w:rPr>
                <w:rFonts w:ascii="Times New Roman" w:hAnsi="Times New Roman" w:cs="Times New Roman"/>
                <w:sz w:val="16"/>
                <w:szCs w:val="16"/>
                <w:lang w:eastAsia="sk-SK"/>
              </w:rPr>
              <w:t xml:space="preserve"> </w:t>
            </w:r>
            <w:r w:rsidRPr="00762040">
              <w:rPr>
                <w:rFonts w:ascii="Times New Roman" w:hAnsi="Times New Roman" w:cs="Times New Roman"/>
                <w:sz w:val="16"/>
                <w:szCs w:val="16"/>
                <w:lang w:eastAsia="sk-SK"/>
              </w:rPr>
              <w:t>c.</w:t>
            </w:r>
          </w:p>
        </w:tc>
        <w:tc>
          <w:tcPr>
            <w:tcW w:w="414" w:type="pct"/>
            <w:tcBorders>
              <w:top w:val="nil"/>
              <w:bottom w:val="nil"/>
              <w:right w:val="nil"/>
            </w:tcBorders>
            <w:vAlign w:val="bottom"/>
          </w:tcPr>
          <w:p w14:paraId="0A7D15A9"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2,7</w:t>
            </w:r>
          </w:p>
        </w:tc>
        <w:tc>
          <w:tcPr>
            <w:tcW w:w="457" w:type="pct"/>
            <w:tcBorders>
              <w:top w:val="nil"/>
              <w:left w:val="nil"/>
              <w:bottom w:val="nil"/>
            </w:tcBorders>
            <w:noWrap/>
            <w:vAlign w:val="bottom"/>
          </w:tcPr>
          <w:p w14:paraId="7BB49F1A"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5,7</w:t>
            </w:r>
          </w:p>
        </w:tc>
        <w:tc>
          <w:tcPr>
            <w:tcW w:w="361" w:type="pct"/>
            <w:tcBorders>
              <w:top w:val="nil"/>
              <w:bottom w:val="nil"/>
              <w:right w:val="nil"/>
            </w:tcBorders>
            <w:noWrap/>
            <w:vAlign w:val="bottom"/>
          </w:tcPr>
          <w:p w14:paraId="5B4896D0"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-1,9</w:t>
            </w:r>
          </w:p>
        </w:tc>
        <w:tc>
          <w:tcPr>
            <w:tcW w:w="352" w:type="pct"/>
            <w:tcBorders>
              <w:top w:val="nil"/>
              <w:left w:val="nil"/>
              <w:bottom w:val="nil"/>
              <w:right w:val="nil"/>
            </w:tcBorders>
            <w:noWrap/>
            <w:vAlign w:val="bottom"/>
          </w:tcPr>
          <w:p w14:paraId="0ACE98D6"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3,3</w:t>
            </w:r>
          </w:p>
        </w:tc>
        <w:tc>
          <w:tcPr>
            <w:tcW w:w="368" w:type="pct"/>
            <w:tcBorders>
              <w:top w:val="nil"/>
              <w:left w:val="nil"/>
              <w:bottom w:val="nil"/>
              <w:right w:val="nil"/>
            </w:tcBorders>
            <w:noWrap/>
            <w:vAlign w:val="bottom"/>
          </w:tcPr>
          <w:p w14:paraId="32C9F31B"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1,7</w:t>
            </w:r>
          </w:p>
        </w:tc>
        <w:tc>
          <w:tcPr>
            <w:tcW w:w="374" w:type="pct"/>
            <w:tcBorders>
              <w:top w:val="nil"/>
              <w:left w:val="nil"/>
              <w:bottom w:val="nil"/>
              <w:right w:val="nil"/>
            </w:tcBorders>
            <w:noWrap/>
            <w:vAlign w:val="bottom"/>
          </w:tcPr>
          <w:p w14:paraId="0880107A"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1,0</w:t>
            </w:r>
          </w:p>
        </w:tc>
        <w:tc>
          <w:tcPr>
            <w:tcW w:w="371" w:type="pct"/>
            <w:tcBorders>
              <w:top w:val="nil"/>
              <w:left w:val="nil"/>
              <w:bottom w:val="nil"/>
            </w:tcBorders>
            <w:vAlign w:val="bottom"/>
          </w:tcPr>
          <w:p w14:paraId="3404DE9B"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1,1</w:t>
            </w:r>
          </w:p>
        </w:tc>
      </w:tr>
      <w:tr w:rsidR="007903A2" w:rsidRPr="003C4F5D" w14:paraId="0485CA0E" w14:textId="77777777" w:rsidTr="00F63632">
        <w:trPr>
          <w:trHeight w:val="227"/>
          <w:jc w:val="center"/>
        </w:trPr>
        <w:tc>
          <w:tcPr>
            <w:tcW w:w="2303" w:type="pct"/>
            <w:tcBorders>
              <w:top w:val="nil"/>
              <w:bottom w:val="nil"/>
            </w:tcBorders>
            <w:noWrap/>
            <w:vAlign w:val="center"/>
            <w:hideMark/>
          </w:tcPr>
          <w:p w14:paraId="604BFE9A" w14:textId="493FC6D4" w:rsidR="007903A2" w:rsidRPr="00762040" w:rsidRDefault="007903A2" w:rsidP="00D94493">
            <w:pPr>
              <w:contextualSpacing/>
              <w:rPr>
                <w:rFonts w:ascii="Times New Roman" w:hAnsi="Times New Roman" w:cs="Times New Roman"/>
                <w:sz w:val="16"/>
                <w:szCs w:val="16"/>
                <w:lang w:eastAsia="sk-SK"/>
              </w:rPr>
            </w:pPr>
            <w:r w:rsidRPr="00762040">
              <w:rPr>
                <w:rFonts w:ascii="Times New Roman" w:hAnsi="Times New Roman" w:cs="Times New Roman"/>
                <w:sz w:val="16"/>
                <w:szCs w:val="16"/>
                <w:lang w:eastAsia="sk-SK"/>
              </w:rPr>
              <w:t>Súkromná spotreba, b.</w:t>
            </w:r>
            <w:r w:rsidR="00F63632">
              <w:rPr>
                <w:rFonts w:ascii="Times New Roman" w:hAnsi="Times New Roman" w:cs="Times New Roman"/>
                <w:sz w:val="16"/>
                <w:szCs w:val="16"/>
                <w:lang w:eastAsia="sk-SK"/>
              </w:rPr>
              <w:t xml:space="preserve"> </w:t>
            </w:r>
            <w:r w:rsidRPr="00762040">
              <w:rPr>
                <w:rFonts w:ascii="Times New Roman" w:hAnsi="Times New Roman" w:cs="Times New Roman"/>
                <w:sz w:val="16"/>
                <w:szCs w:val="16"/>
                <w:lang w:eastAsia="sk-SK"/>
              </w:rPr>
              <w:t>c.</w:t>
            </w:r>
          </w:p>
        </w:tc>
        <w:tc>
          <w:tcPr>
            <w:tcW w:w="414" w:type="pct"/>
            <w:tcBorders>
              <w:top w:val="nil"/>
              <w:bottom w:val="nil"/>
              <w:right w:val="nil"/>
            </w:tcBorders>
            <w:vAlign w:val="bottom"/>
          </w:tcPr>
          <w:p w14:paraId="5E73397A"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6,0</w:t>
            </w:r>
          </w:p>
        </w:tc>
        <w:tc>
          <w:tcPr>
            <w:tcW w:w="457" w:type="pct"/>
            <w:tcBorders>
              <w:top w:val="nil"/>
              <w:left w:val="nil"/>
              <w:bottom w:val="nil"/>
            </w:tcBorders>
            <w:noWrap/>
            <w:vAlign w:val="bottom"/>
          </w:tcPr>
          <w:p w14:paraId="0570EDDE"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18,6</w:t>
            </w:r>
          </w:p>
        </w:tc>
        <w:tc>
          <w:tcPr>
            <w:tcW w:w="361" w:type="pct"/>
            <w:tcBorders>
              <w:top w:val="nil"/>
              <w:bottom w:val="nil"/>
              <w:right w:val="nil"/>
            </w:tcBorders>
            <w:noWrap/>
            <w:vAlign w:val="bottom"/>
          </w:tcPr>
          <w:p w14:paraId="58620A61"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9,0</w:t>
            </w:r>
          </w:p>
        </w:tc>
        <w:tc>
          <w:tcPr>
            <w:tcW w:w="352" w:type="pct"/>
            <w:tcBorders>
              <w:top w:val="nil"/>
              <w:left w:val="nil"/>
              <w:bottom w:val="nil"/>
              <w:right w:val="nil"/>
            </w:tcBorders>
            <w:noWrap/>
            <w:vAlign w:val="bottom"/>
          </w:tcPr>
          <w:p w14:paraId="443515F0"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7,1</w:t>
            </w:r>
          </w:p>
        </w:tc>
        <w:tc>
          <w:tcPr>
            <w:tcW w:w="368" w:type="pct"/>
            <w:tcBorders>
              <w:top w:val="nil"/>
              <w:left w:val="nil"/>
              <w:bottom w:val="nil"/>
              <w:right w:val="nil"/>
            </w:tcBorders>
            <w:noWrap/>
            <w:vAlign w:val="bottom"/>
          </w:tcPr>
          <w:p w14:paraId="439764D7"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5,0</w:t>
            </w:r>
          </w:p>
        </w:tc>
        <w:tc>
          <w:tcPr>
            <w:tcW w:w="374" w:type="pct"/>
            <w:tcBorders>
              <w:top w:val="nil"/>
              <w:left w:val="nil"/>
              <w:bottom w:val="nil"/>
              <w:right w:val="nil"/>
            </w:tcBorders>
            <w:noWrap/>
            <w:vAlign w:val="bottom"/>
          </w:tcPr>
          <w:p w14:paraId="22045EFA"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4,4</w:t>
            </w:r>
          </w:p>
        </w:tc>
        <w:tc>
          <w:tcPr>
            <w:tcW w:w="371" w:type="pct"/>
            <w:tcBorders>
              <w:top w:val="nil"/>
              <w:left w:val="nil"/>
              <w:bottom w:val="nil"/>
            </w:tcBorders>
            <w:vAlign w:val="bottom"/>
          </w:tcPr>
          <w:p w14:paraId="1CBC729E"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3,3</w:t>
            </w:r>
          </w:p>
        </w:tc>
      </w:tr>
      <w:tr w:rsidR="007903A2" w:rsidRPr="003C4F5D" w14:paraId="65A54E79" w14:textId="77777777" w:rsidTr="00F63632">
        <w:trPr>
          <w:trHeight w:val="227"/>
          <w:jc w:val="center"/>
        </w:trPr>
        <w:tc>
          <w:tcPr>
            <w:tcW w:w="2303" w:type="pct"/>
            <w:tcBorders>
              <w:top w:val="nil"/>
              <w:bottom w:val="nil"/>
            </w:tcBorders>
            <w:noWrap/>
            <w:vAlign w:val="center"/>
            <w:hideMark/>
          </w:tcPr>
          <w:p w14:paraId="1BA52679" w14:textId="77777777" w:rsidR="007903A2" w:rsidRPr="00762040" w:rsidRDefault="007903A2" w:rsidP="00D94493">
            <w:pPr>
              <w:contextualSpacing/>
              <w:rPr>
                <w:rFonts w:ascii="Times New Roman" w:hAnsi="Times New Roman" w:cs="Times New Roman"/>
                <w:sz w:val="16"/>
                <w:szCs w:val="16"/>
                <w:lang w:eastAsia="sk-SK"/>
              </w:rPr>
            </w:pPr>
            <w:r w:rsidRPr="00762040">
              <w:rPr>
                <w:rFonts w:ascii="Times New Roman" w:hAnsi="Times New Roman" w:cs="Times New Roman"/>
                <w:sz w:val="16"/>
                <w:szCs w:val="16"/>
                <w:lang w:eastAsia="sk-SK"/>
              </w:rPr>
              <w:t>Vládna spotreba</w:t>
            </w:r>
          </w:p>
        </w:tc>
        <w:tc>
          <w:tcPr>
            <w:tcW w:w="414" w:type="pct"/>
            <w:tcBorders>
              <w:top w:val="nil"/>
              <w:bottom w:val="nil"/>
              <w:right w:val="nil"/>
            </w:tcBorders>
            <w:vAlign w:val="bottom"/>
          </w:tcPr>
          <w:p w14:paraId="29C1A9F4"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4,2</w:t>
            </w:r>
          </w:p>
        </w:tc>
        <w:tc>
          <w:tcPr>
            <w:tcW w:w="457" w:type="pct"/>
            <w:tcBorders>
              <w:top w:val="nil"/>
              <w:left w:val="nil"/>
              <w:bottom w:val="nil"/>
            </w:tcBorders>
            <w:noWrap/>
            <w:vAlign w:val="bottom"/>
          </w:tcPr>
          <w:p w14:paraId="05A1BFC0"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-4,2</w:t>
            </w:r>
          </w:p>
        </w:tc>
        <w:tc>
          <w:tcPr>
            <w:tcW w:w="361" w:type="pct"/>
            <w:tcBorders>
              <w:top w:val="nil"/>
              <w:bottom w:val="nil"/>
              <w:right w:val="nil"/>
            </w:tcBorders>
            <w:noWrap/>
            <w:vAlign w:val="bottom"/>
          </w:tcPr>
          <w:p w14:paraId="2945CE84"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-1,5</w:t>
            </w:r>
          </w:p>
        </w:tc>
        <w:tc>
          <w:tcPr>
            <w:tcW w:w="352" w:type="pct"/>
            <w:tcBorders>
              <w:top w:val="nil"/>
              <w:left w:val="nil"/>
              <w:bottom w:val="nil"/>
              <w:right w:val="nil"/>
            </w:tcBorders>
            <w:noWrap/>
            <w:vAlign w:val="bottom"/>
          </w:tcPr>
          <w:p w14:paraId="76106668"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1,3</w:t>
            </w:r>
          </w:p>
        </w:tc>
        <w:tc>
          <w:tcPr>
            <w:tcW w:w="368" w:type="pct"/>
            <w:tcBorders>
              <w:top w:val="nil"/>
              <w:left w:val="nil"/>
              <w:bottom w:val="nil"/>
              <w:right w:val="nil"/>
            </w:tcBorders>
            <w:noWrap/>
            <w:vAlign w:val="bottom"/>
          </w:tcPr>
          <w:p w14:paraId="6E35966B"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-0,4</w:t>
            </w:r>
          </w:p>
        </w:tc>
        <w:tc>
          <w:tcPr>
            <w:tcW w:w="374" w:type="pct"/>
            <w:tcBorders>
              <w:top w:val="nil"/>
              <w:left w:val="nil"/>
              <w:bottom w:val="nil"/>
              <w:right w:val="nil"/>
            </w:tcBorders>
            <w:noWrap/>
            <w:vAlign w:val="bottom"/>
          </w:tcPr>
          <w:p w14:paraId="18D883C7"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-0,9</w:t>
            </w:r>
          </w:p>
        </w:tc>
        <w:tc>
          <w:tcPr>
            <w:tcW w:w="371" w:type="pct"/>
            <w:tcBorders>
              <w:top w:val="nil"/>
              <w:left w:val="nil"/>
              <w:bottom w:val="nil"/>
            </w:tcBorders>
            <w:vAlign w:val="bottom"/>
          </w:tcPr>
          <w:p w14:paraId="45443B57"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0,4</w:t>
            </w:r>
          </w:p>
        </w:tc>
      </w:tr>
      <w:tr w:rsidR="007903A2" w:rsidRPr="003C4F5D" w14:paraId="51FC4158" w14:textId="77777777" w:rsidTr="00F63632">
        <w:trPr>
          <w:trHeight w:val="227"/>
          <w:jc w:val="center"/>
        </w:trPr>
        <w:tc>
          <w:tcPr>
            <w:tcW w:w="2303" w:type="pct"/>
            <w:tcBorders>
              <w:top w:val="nil"/>
              <w:bottom w:val="nil"/>
            </w:tcBorders>
            <w:noWrap/>
            <w:vAlign w:val="center"/>
            <w:hideMark/>
          </w:tcPr>
          <w:p w14:paraId="11C057F1" w14:textId="77777777" w:rsidR="007903A2" w:rsidRPr="00762040" w:rsidRDefault="007903A2" w:rsidP="00D94493">
            <w:pPr>
              <w:contextualSpacing/>
              <w:rPr>
                <w:rFonts w:ascii="Times New Roman" w:hAnsi="Times New Roman" w:cs="Times New Roman"/>
                <w:sz w:val="16"/>
                <w:szCs w:val="16"/>
                <w:lang w:eastAsia="sk-SK"/>
              </w:rPr>
            </w:pPr>
            <w:r w:rsidRPr="00762040">
              <w:rPr>
                <w:rFonts w:ascii="Times New Roman" w:hAnsi="Times New Roman" w:cs="Times New Roman"/>
                <w:sz w:val="16"/>
                <w:szCs w:val="16"/>
                <w:lang w:eastAsia="sk-SK"/>
              </w:rPr>
              <w:t>Fixné investície</w:t>
            </w:r>
          </w:p>
        </w:tc>
        <w:tc>
          <w:tcPr>
            <w:tcW w:w="414" w:type="pct"/>
            <w:tcBorders>
              <w:top w:val="nil"/>
              <w:bottom w:val="nil"/>
              <w:right w:val="nil"/>
            </w:tcBorders>
            <w:vAlign w:val="bottom"/>
          </w:tcPr>
          <w:p w14:paraId="1AFA862E"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3,5</w:t>
            </w:r>
          </w:p>
        </w:tc>
        <w:tc>
          <w:tcPr>
            <w:tcW w:w="457" w:type="pct"/>
            <w:tcBorders>
              <w:top w:val="nil"/>
              <w:left w:val="nil"/>
              <w:bottom w:val="nil"/>
            </w:tcBorders>
            <w:noWrap/>
            <w:vAlign w:val="bottom"/>
          </w:tcPr>
          <w:p w14:paraId="17FA4D15"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4,5</w:t>
            </w:r>
          </w:p>
        </w:tc>
        <w:tc>
          <w:tcPr>
            <w:tcW w:w="361" w:type="pct"/>
            <w:tcBorders>
              <w:top w:val="nil"/>
              <w:bottom w:val="nil"/>
              <w:right w:val="nil"/>
            </w:tcBorders>
            <w:noWrap/>
            <w:vAlign w:val="bottom"/>
          </w:tcPr>
          <w:p w14:paraId="786BE535"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7,7</w:t>
            </w:r>
          </w:p>
        </w:tc>
        <w:tc>
          <w:tcPr>
            <w:tcW w:w="352" w:type="pct"/>
            <w:tcBorders>
              <w:top w:val="nil"/>
              <w:left w:val="nil"/>
              <w:bottom w:val="nil"/>
              <w:right w:val="nil"/>
            </w:tcBorders>
            <w:noWrap/>
            <w:vAlign w:val="bottom"/>
          </w:tcPr>
          <w:p w14:paraId="5E452680"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5,1</w:t>
            </w:r>
          </w:p>
        </w:tc>
        <w:tc>
          <w:tcPr>
            <w:tcW w:w="368" w:type="pct"/>
            <w:tcBorders>
              <w:top w:val="nil"/>
              <w:left w:val="nil"/>
              <w:bottom w:val="nil"/>
              <w:right w:val="nil"/>
            </w:tcBorders>
            <w:noWrap/>
            <w:vAlign w:val="bottom"/>
          </w:tcPr>
          <w:p w14:paraId="1DE2ED45"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4,3</w:t>
            </w:r>
          </w:p>
        </w:tc>
        <w:tc>
          <w:tcPr>
            <w:tcW w:w="374" w:type="pct"/>
            <w:tcBorders>
              <w:top w:val="nil"/>
              <w:left w:val="nil"/>
              <w:bottom w:val="nil"/>
              <w:right w:val="nil"/>
            </w:tcBorders>
            <w:noWrap/>
            <w:vAlign w:val="bottom"/>
          </w:tcPr>
          <w:p w14:paraId="25B531B5"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0,9</w:t>
            </w:r>
          </w:p>
        </w:tc>
        <w:tc>
          <w:tcPr>
            <w:tcW w:w="371" w:type="pct"/>
            <w:tcBorders>
              <w:top w:val="nil"/>
              <w:left w:val="nil"/>
              <w:bottom w:val="nil"/>
            </w:tcBorders>
            <w:vAlign w:val="bottom"/>
          </w:tcPr>
          <w:p w14:paraId="3340A4BA"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-2,7</w:t>
            </w:r>
          </w:p>
        </w:tc>
      </w:tr>
      <w:tr w:rsidR="007903A2" w:rsidRPr="003C4F5D" w14:paraId="02B42351" w14:textId="77777777" w:rsidTr="00F63632">
        <w:trPr>
          <w:trHeight w:val="227"/>
          <w:jc w:val="center"/>
        </w:trPr>
        <w:tc>
          <w:tcPr>
            <w:tcW w:w="2303" w:type="pct"/>
            <w:tcBorders>
              <w:top w:val="nil"/>
              <w:bottom w:val="nil"/>
            </w:tcBorders>
            <w:noWrap/>
            <w:vAlign w:val="center"/>
            <w:hideMark/>
          </w:tcPr>
          <w:p w14:paraId="5563BBA3" w14:textId="77777777" w:rsidR="007903A2" w:rsidRPr="00762040" w:rsidRDefault="007903A2" w:rsidP="00D94493">
            <w:pPr>
              <w:contextualSpacing/>
              <w:rPr>
                <w:rFonts w:ascii="Times New Roman" w:hAnsi="Times New Roman" w:cs="Times New Roman"/>
                <w:sz w:val="16"/>
                <w:szCs w:val="16"/>
                <w:lang w:eastAsia="sk-SK"/>
              </w:rPr>
            </w:pPr>
            <w:r w:rsidRPr="00762040">
              <w:rPr>
                <w:rFonts w:ascii="Times New Roman" w:hAnsi="Times New Roman" w:cs="Times New Roman"/>
                <w:sz w:val="16"/>
                <w:szCs w:val="16"/>
                <w:lang w:eastAsia="sk-SK"/>
              </w:rPr>
              <w:t>Export tovarov a služieb</w:t>
            </w:r>
          </w:p>
        </w:tc>
        <w:tc>
          <w:tcPr>
            <w:tcW w:w="414" w:type="pct"/>
            <w:tcBorders>
              <w:top w:val="nil"/>
              <w:bottom w:val="nil"/>
              <w:right w:val="nil"/>
            </w:tcBorders>
            <w:vAlign w:val="bottom"/>
          </w:tcPr>
          <w:p w14:paraId="6E2240EA"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10,5</w:t>
            </w:r>
          </w:p>
        </w:tc>
        <w:tc>
          <w:tcPr>
            <w:tcW w:w="457" w:type="pct"/>
            <w:tcBorders>
              <w:top w:val="nil"/>
              <w:left w:val="nil"/>
              <w:bottom w:val="nil"/>
            </w:tcBorders>
            <w:noWrap/>
            <w:vAlign w:val="bottom"/>
          </w:tcPr>
          <w:p w14:paraId="33215602"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3,0</w:t>
            </w:r>
          </w:p>
        </w:tc>
        <w:tc>
          <w:tcPr>
            <w:tcW w:w="361" w:type="pct"/>
            <w:tcBorders>
              <w:top w:val="nil"/>
              <w:bottom w:val="nil"/>
              <w:right w:val="nil"/>
            </w:tcBorders>
            <w:noWrap/>
            <w:vAlign w:val="bottom"/>
          </w:tcPr>
          <w:p w14:paraId="20ED4E17"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-0,7</w:t>
            </w:r>
          </w:p>
        </w:tc>
        <w:tc>
          <w:tcPr>
            <w:tcW w:w="352" w:type="pct"/>
            <w:tcBorders>
              <w:top w:val="nil"/>
              <w:left w:val="nil"/>
              <w:bottom w:val="nil"/>
              <w:right w:val="nil"/>
            </w:tcBorders>
            <w:noWrap/>
            <w:vAlign w:val="bottom"/>
          </w:tcPr>
          <w:p w14:paraId="4AD98725"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4,0</w:t>
            </w:r>
          </w:p>
        </w:tc>
        <w:tc>
          <w:tcPr>
            <w:tcW w:w="368" w:type="pct"/>
            <w:tcBorders>
              <w:top w:val="nil"/>
              <w:left w:val="nil"/>
              <w:bottom w:val="nil"/>
              <w:right w:val="nil"/>
            </w:tcBorders>
            <w:noWrap/>
            <w:vAlign w:val="bottom"/>
          </w:tcPr>
          <w:p w14:paraId="16227887"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3,9</w:t>
            </w:r>
          </w:p>
        </w:tc>
        <w:tc>
          <w:tcPr>
            <w:tcW w:w="374" w:type="pct"/>
            <w:tcBorders>
              <w:top w:val="nil"/>
              <w:left w:val="nil"/>
              <w:bottom w:val="nil"/>
              <w:right w:val="nil"/>
            </w:tcBorders>
            <w:noWrap/>
            <w:vAlign w:val="bottom"/>
          </w:tcPr>
          <w:p w14:paraId="43767D9A"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4,6</w:t>
            </w:r>
          </w:p>
        </w:tc>
        <w:tc>
          <w:tcPr>
            <w:tcW w:w="371" w:type="pct"/>
            <w:tcBorders>
              <w:top w:val="nil"/>
              <w:left w:val="nil"/>
              <w:bottom w:val="nil"/>
            </w:tcBorders>
            <w:vAlign w:val="bottom"/>
          </w:tcPr>
          <w:p w14:paraId="33BD5D61"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4,4</w:t>
            </w:r>
          </w:p>
        </w:tc>
      </w:tr>
      <w:tr w:rsidR="007903A2" w:rsidRPr="003C4F5D" w14:paraId="188DB63D" w14:textId="77777777" w:rsidTr="00F63632">
        <w:trPr>
          <w:trHeight w:val="227"/>
          <w:jc w:val="center"/>
        </w:trPr>
        <w:tc>
          <w:tcPr>
            <w:tcW w:w="2303" w:type="pct"/>
            <w:tcBorders>
              <w:top w:val="nil"/>
            </w:tcBorders>
            <w:noWrap/>
            <w:vAlign w:val="center"/>
            <w:hideMark/>
          </w:tcPr>
          <w:p w14:paraId="53BB7C11" w14:textId="77777777" w:rsidR="007903A2" w:rsidRPr="00762040" w:rsidRDefault="007903A2" w:rsidP="00D94493">
            <w:pPr>
              <w:contextualSpacing/>
              <w:rPr>
                <w:rFonts w:ascii="Times New Roman" w:hAnsi="Times New Roman" w:cs="Times New Roman"/>
                <w:sz w:val="16"/>
                <w:szCs w:val="16"/>
                <w:lang w:eastAsia="sk-SK"/>
              </w:rPr>
            </w:pPr>
            <w:r w:rsidRPr="00762040">
              <w:rPr>
                <w:rFonts w:ascii="Times New Roman" w:hAnsi="Times New Roman" w:cs="Times New Roman"/>
                <w:sz w:val="16"/>
                <w:szCs w:val="16"/>
                <w:lang w:eastAsia="sk-SK"/>
              </w:rPr>
              <w:t>Import tovarov a služieb</w:t>
            </w:r>
          </w:p>
        </w:tc>
        <w:tc>
          <w:tcPr>
            <w:tcW w:w="414" w:type="pct"/>
            <w:tcBorders>
              <w:top w:val="nil"/>
              <w:right w:val="nil"/>
            </w:tcBorders>
            <w:vAlign w:val="bottom"/>
          </w:tcPr>
          <w:p w14:paraId="5A93875F"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11,7</w:t>
            </w:r>
          </w:p>
        </w:tc>
        <w:tc>
          <w:tcPr>
            <w:tcW w:w="457" w:type="pct"/>
            <w:tcBorders>
              <w:top w:val="nil"/>
              <w:left w:val="nil"/>
            </w:tcBorders>
            <w:noWrap/>
            <w:vAlign w:val="bottom"/>
          </w:tcPr>
          <w:p w14:paraId="68BD2745"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4,2</w:t>
            </w:r>
          </w:p>
        </w:tc>
        <w:tc>
          <w:tcPr>
            <w:tcW w:w="361" w:type="pct"/>
            <w:tcBorders>
              <w:top w:val="nil"/>
              <w:right w:val="nil"/>
            </w:tcBorders>
            <w:noWrap/>
            <w:vAlign w:val="bottom"/>
          </w:tcPr>
          <w:p w14:paraId="3B986127"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-6,4</w:t>
            </w:r>
          </w:p>
        </w:tc>
        <w:tc>
          <w:tcPr>
            <w:tcW w:w="352" w:type="pct"/>
            <w:tcBorders>
              <w:top w:val="nil"/>
              <w:left w:val="nil"/>
              <w:right w:val="nil"/>
            </w:tcBorders>
            <w:noWrap/>
            <w:vAlign w:val="bottom"/>
          </w:tcPr>
          <w:p w14:paraId="5FD3DBE6"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7,4</w:t>
            </w:r>
          </w:p>
        </w:tc>
        <w:tc>
          <w:tcPr>
            <w:tcW w:w="368" w:type="pct"/>
            <w:tcBorders>
              <w:top w:val="nil"/>
              <w:left w:val="nil"/>
              <w:right w:val="nil"/>
            </w:tcBorders>
            <w:noWrap/>
            <w:vAlign w:val="bottom"/>
          </w:tcPr>
          <w:p w14:paraId="5DA7F260"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3,5</w:t>
            </w:r>
          </w:p>
        </w:tc>
        <w:tc>
          <w:tcPr>
            <w:tcW w:w="374" w:type="pct"/>
            <w:tcBorders>
              <w:top w:val="nil"/>
              <w:left w:val="nil"/>
              <w:right w:val="nil"/>
            </w:tcBorders>
            <w:noWrap/>
            <w:vAlign w:val="bottom"/>
          </w:tcPr>
          <w:p w14:paraId="0F0A3554"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3,2</w:t>
            </w:r>
          </w:p>
        </w:tc>
        <w:tc>
          <w:tcPr>
            <w:tcW w:w="371" w:type="pct"/>
            <w:tcBorders>
              <w:top w:val="nil"/>
              <w:left w:val="nil"/>
            </w:tcBorders>
            <w:vAlign w:val="bottom"/>
          </w:tcPr>
          <w:p w14:paraId="15AC92F0"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3,0</w:t>
            </w:r>
          </w:p>
        </w:tc>
      </w:tr>
      <w:tr w:rsidR="007903A2" w:rsidRPr="003C4F5D" w14:paraId="6415980D" w14:textId="77777777" w:rsidTr="00F63632">
        <w:trPr>
          <w:trHeight w:val="227"/>
          <w:jc w:val="center"/>
        </w:trPr>
        <w:tc>
          <w:tcPr>
            <w:tcW w:w="5000" w:type="pct"/>
            <w:gridSpan w:val="8"/>
            <w:tcBorders>
              <w:bottom w:val="single" w:sz="4" w:space="0" w:color="auto"/>
            </w:tcBorders>
            <w:vAlign w:val="center"/>
          </w:tcPr>
          <w:p w14:paraId="0F950CB8" w14:textId="5A16F19D" w:rsidR="007903A2" w:rsidRPr="00F63632" w:rsidRDefault="00F63632" w:rsidP="00F63632">
            <w:pPr>
              <w:spacing w:after="0"/>
              <w:contextualSpacing/>
              <w:rPr>
                <w:rFonts w:ascii="Times New Roman" w:hAnsi="Times New Roman" w:cs="Times New Roman"/>
                <w:b/>
                <w:sz w:val="16"/>
                <w:szCs w:val="16"/>
              </w:rPr>
            </w:pPr>
            <w:r w:rsidRPr="00F63632">
              <w:rPr>
                <w:rFonts w:ascii="Times New Roman" w:hAnsi="Times New Roman" w:cs="Times New Roman"/>
                <w:b/>
                <w:sz w:val="16"/>
                <w:szCs w:val="16"/>
              </w:rPr>
              <w:t>Trh práce</w:t>
            </w:r>
          </w:p>
        </w:tc>
      </w:tr>
      <w:tr w:rsidR="007903A2" w:rsidRPr="003C4F5D" w14:paraId="2D74D996" w14:textId="77777777" w:rsidTr="00F63632">
        <w:trPr>
          <w:trHeight w:val="227"/>
          <w:jc w:val="center"/>
        </w:trPr>
        <w:tc>
          <w:tcPr>
            <w:tcW w:w="2303" w:type="pct"/>
            <w:tcBorders>
              <w:bottom w:val="nil"/>
            </w:tcBorders>
            <w:noWrap/>
            <w:vAlign w:val="center"/>
            <w:hideMark/>
          </w:tcPr>
          <w:p w14:paraId="2B77272E" w14:textId="77777777" w:rsidR="007903A2" w:rsidRPr="00762040" w:rsidRDefault="007903A2" w:rsidP="00D94493">
            <w:pPr>
              <w:contextualSpacing/>
              <w:rPr>
                <w:rFonts w:ascii="Times New Roman" w:hAnsi="Times New Roman" w:cs="Times New Roman"/>
                <w:sz w:val="16"/>
                <w:szCs w:val="16"/>
                <w:lang w:eastAsia="sk-SK"/>
              </w:rPr>
            </w:pPr>
            <w:r w:rsidRPr="00762040">
              <w:rPr>
                <w:rFonts w:ascii="Times New Roman" w:hAnsi="Times New Roman" w:cs="Times New Roman"/>
                <w:sz w:val="16"/>
                <w:szCs w:val="16"/>
                <w:lang w:eastAsia="sk-SK"/>
              </w:rPr>
              <w:t>Zamestnanosť (štatistické výkazníctvo)</w:t>
            </w:r>
          </w:p>
        </w:tc>
        <w:tc>
          <w:tcPr>
            <w:tcW w:w="414" w:type="pct"/>
            <w:tcBorders>
              <w:bottom w:val="nil"/>
              <w:right w:val="nil"/>
            </w:tcBorders>
            <w:vAlign w:val="bottom"/>
          </w:tcPr>
          <w:p w14:paraId="1526DE3D"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-0,7</w:t>
            </w:r>
          </w:p>
        </w:tc>
        <w:tc>
          <w:tcPr>
            <w:tcW w:w="457" w:type="pct"/>
            <w:tcBorders>
              <w:left w:val="nil"/>
              <w:bottom w:val="nil"/>
            </w:tcBorders>
            <w:noWrap/>
            <w:vAlign w:val="bottom"/>
          </w:tcPr>
          <w:p w14:paraId="0F288B6D"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1,7</w:t>
            </w:r>
          </w:p>
        </w:tc>
        <w:tc>
          <w:tcPr>
            <w:tcW w:w="361" w:type="pct"/>
            <w:tcBorders>
              <w:bottom w:val="nil"/>
              <w:right w:val="nil"/>
            </w:tcBorders>
            <w:noWrap/>
            <w:vAlign w:val="bottom"/>
          </w:tcPr>
          <w:p w14:paraId="21799018"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0,2</w:t>
            </w:r>
          </w:p>
        </w:tc>
        <w:tc>
          <w:tcPr>
            <w:tcW w:w="352" w:type="pct"/>
            <w:tcBorders>
              <w:left w:val="nil"/>
              <w:bottom w:val="nil"/>
              <w:right w:val="nil"/>
            </w:tcBorders>
            <w:noWrap/>
            <w:vAlign w:val="bottom"/>
          </w:tcPr>
          <w:p w14:paraId="4F99A4BC"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0,4</w:t>
            </w:r>
          </w:p>
        </w:tc>
        <w:tc>
          <w:tcPr>
            <w:tcW w:w="368" w:type="pct"/>
            <w:tcBorders>
              <w:left w:val="nil"/>
              <w:bottom w:val="nil"/>
              <w:right w:val="nil"/>
            </w:tcBorders>
            <w:noWrap/>
            <w:vAlign w:val="bottom"/>
          </w:tcPr>
          <w:p w14:paraId="5451AD18"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0,5</w:t>
            </w:r>
          </w:p>
        </w:tc>
        <w:tc>
          <w:tcPr>
            <w:tcW w:w="374" w:type="pct"/>
            <w:tcBorders>
              <w:left w:val="nil"/>
              <w:bottom w:val="nil"/>
              <w:right w:val="nil"/>
            </w:tcBorders>
            <w:noWrap/>
            <w:vAlign w:val="bottom"/>
          </w:tcPr>
          <w:p w14:paraId="5C6A41AA"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0,1</w:t>
            </w:r>
          </w:p>
        </w:tc>
        <w:tc>
          <w:tcPr>
            <w:tcW w:w="371" w:type="pct"/>
            <w:tcBorders>
              <w:left w:val="nil"/>
              <w:bottom w:val="nil"/>
            </w:tcBorders>
            <w:vAlign w:val="bottom"/>
          </w:tcPr>
          <w:p w14:paraId="73660FB0"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-0,3</w:t>
            </w:r>
          </w:p>
        </w:tc>
      </w:tr>
      <w:tr w:rsidR="007903A2" w:rsidRPr="003C4F5D" w14:paraId="534663F0" w14:textId="77777777" w:rsidTr="00F63632">
        <w:trPr>
          <w:trHeight w:val="227"/>
          <w:jc w:val="center"/>
        </w:trPr>
        <w:tc>
          <w:tcPr>
            <w:tcW w:w="2303" w:type="pct"/>
            <w:tcBorders>
              <w:top w:val="nil"/>
              <w:bottom w:val="nil"/>
            </w:tcBorders>
            <w:noWrap/>
            <w:vAlign w:val="center"/>
            <w:hideMark/>
          </w:tcPr>
          <w:p w14:paraId="76CC12B3" w14:textId="77777777" w:rsidR="007903A2" w:rsidRPr="00762040" w:rsidRDefault="007903A2" w:rsidP="00D94493">
            <w:pPr>
              <w:contextualSpacing/>
              <w:rPr>
                <w:rFonts w:ascii="Times New Roman" w:hAnsi="Times New Roman" w:cs="Times New Roman"/>
                <w:sz w:val="16"/>
                <w:szCs w:val="16"/>
                <w:lang w:eastAsia="sk-SK"/>
              </w:rPr>
            </w:pPr>
            <w:r w:rsidRPr="00762040">
              <w:rPr>
                <w:rFonts w:ascii="Times New Roman" w:hAnsi="Times New Roman" w:cs="Times New Roman"/>
                <w:sz w:val="16"/>
                <w:szCs w:val="16"/>
                <w:lang w:eastAsia="sk-SK"/>
              </w:rPr>
              <w:t>Mzdy, nominálne</w:t>
            </w:r>
          </w:p>
        </w:tc>
        <w:tc>
          <w:tcPr>
            <w:tcW w:w="414" w:type="pct"/>
            <w:tcBorders>
              <w:top w:val="nil"/>
              <w:bottom w:val="nil"/>
              <w:right w:val="nil"/>
            </w:tcBorders>
            <w:vAlign w:val="bottom"/>
          </w:tcPr>
          <w:p w14:paraId="0DF65A9C"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6,9</w:t>
            </w:r>
          </w:p>
        </w:tc>
        <w:tc>
          <w:tcPr>
            <w:tcW w:w="457" w:type="pct"/>
            <w:tcBorders>
              <w:top w:val="nil"/>
              <w:left w:val="nil"/>
              <w:bottom w:val="nil"/>
            </w:tcBorders>
            <w:noWrap/>
            <w:vAlign w:val="bottom"/>
          </w:tcPr>
          <w:p w14:paraId="3EFED6A2"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7,7</w:t>
            </w:r>
          </w:p>
        </w:tc>
        <w:tc>
          <w:tcPr>
            <w:tcW w:w="361" w:type="pct"/>
            <w:tcBorders>
              <w:top w:val="nil"/>
              <w:bottom w:val="nil"/>
              <w:right w:val="nil"/>
            </w:tcBorders>
            <w:noWrap/>
            <w:vAlign w:val="bottom"/>
          </w:tcPr>
          <w:p w14:paraId="517CD506"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9,8</w:t>
            </w:r>
          </w:p>
        </w:tc>
        <w:tc>
          <w:tcPr>
            <w:tcW w:w="352" w:type="pct"/>
            <w:tcBorders>
              <w:top w:val="nil"/>
              <w:left w:val="nil"/>
              <w:bottom w:val="nil"/>
              <w:right w:val="nil"/>
            </w:tcBorders>
            <w:noWrap/>
            <w:vAlign w:val="bottom"/>
          </w:tcPr>
          <w:p w14:paraId="3D052EA8"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7,1</w:t>
            </w:r>
          </w:p>
        </w:tc>
        <w:tc>
          <w:tcPr>
            <w:tcW w:w="368" w:type="pct"/>
            <w:tcBorders>
              <w:top w:val="nil"/>
              <w:left w:val="nil"/>
              <w:bottom w:val="nil"/>
              <w:right w:val="nil"/>
            </w:tcBorders>
            <w:noWrap/>
            <w:vAlign w:val="bottom"/>
          </w:tcPr>
          <w:p w14:paraId="0ADBB6F4"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5,3</w:t>
            </w:r>
          </w:p>
        </w:tc>
        <w:tc>
          <w:tcPr>
            <w:tcW w:w="374" w:type="pct"/>
            <w:tcBorders>
              <w:top w:val="nil"/>
              <w:left w:val="nil"/>
              <w:bottom w:val="nil"/>
              <w:right w:val="nil"/>
            </w:tcBorders>
            <w:noWrap/>
            <w:vAlign w:val="bottom"/>
          </w:tcPr>
          <w:p w14:paraId="2A0672E7"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4,5</w:t>
            </w:r>
          </w:p>
        </w:tc>
        <w:tc>
          <w:tcPr>
            <w:tcW w:w="371" w:type="pct"/>
            <w:tcBorders>
              <w:top w:val="nil"/>
              <w:left w:val="nil"/>
              <w:bottom w:val="nil"/>
            </w:tcBorders>
            <w:vAlign w:val="bottom"/>
          </w:tcPr>
          <w:p w14:paraId="5472CD9A"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4,2</w:t>
            </w:r>
          </w:p>
        </w:tc>
      </w:tr>
      <w:tr w:rsidR="007903A2" w:rsidRPr="003C4F5D" w14:paraId="25150892" w14:textId="77777777" w:rsidTr="00F63632">
        <w:trPr>
          <w:trHeight w:val="227"/>
          <w:jc w:val="center"/>
        </w:trPr>
        <w:tc>
          <w:tcPr>
            <w:tcW w:w="2303" w:type="pct"/>
            <w:tcBorders>
              <w:top w:val="nil"/>
              <w:bottom w:val="nil"/>
            </w:tcBorders>
            <w:noWrap/>
            <w:vAlign w:val="center"/>
            <w:hideMark/>
          </w:tcPr>
          <w:p w14:paraId="4E74C39B" w14:textId="77777777" w:rsidR="007903A2" w:rsidRPr="00762040" w:rsidRDefault="007903A2" w:rsidP="00D94493">
            <w:pPr>
              <w:contextualSpacing/>
              <w:rPr>
                <w:rFonts w:ascii="Times New Roman" w:hAnsi="Times New Roman" w:cs="Times New Roman"/>
                <w:sz w:val="16"/>
                <w:szCs w:val="16"/>
                <w:lang w:eastAsia="sk-SK"/>
              </w:rPr>
            </w:pPr>
            <w:r w:rsidRPr="00762040">
              <w:rPr>
                <w:rFonts w:ascii="Times New Roman" w:hAnsi="Times New Roman" w:cs="Times New Roman"/>
                <w:sz w:val="16"/>
                <w:szCs w:val="16"/>
                <w:lang w:eastAsia="sk-SK"/>
              </w:rPr>
              <w:t>Mzdy, reálne</w:t>
            </w:r>
          </w:p>
        </w:tc>
        <w:tc>
          <w:tcPr>
            <w:tcW w:w="414" w:type="pct"/>
            <w:tcBorders>
              <w:top w:val="nil"/>
              <w:bottom w:val="nil"/>
              <w:right w:val="nil"/>
            </w:tcBorders>
            <w:vAlign w:val="bottom"/>
          </w:tcPr>
          <w:p w14:paraId="7080EDD8"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3,6</w:t>
            </w:r>
          </w:p>
        </w:tc>
        <w:tc>
          <w:tcPr>
            <w:tcW w:w="457" w:type="pct"/>
            <w:tcBorders>
              <w:top w:val="nil"/>
              <w:left w:val="nil"/>
              <w:bottom w:val="nil"/>
            </w:tcBorders>
            <w:noWrap/>
            <w:vAlign w:val="bottom"/>
          </w:tcPr>
          <w:p w14:paraId="1D315DD3"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-4,5</w:t>
            </w:r>
          </w:p>
        </w:tc>
        <w:tc>
          <w:tcPr>
            <w:tcW w:w="361" w:type="pct"/>
            <w:tcBorders>
              <w:top w:val="nil"/>
              <w:bottom w:val="nil"/>
              <w:right w:val="nil"/>
            </w:tcBorders>
            <w:noWrap/>
            <w:vAlign w:val="bottom"/>
          </w:tcPr>
          <w:p w14:paraId="09E91FED"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-0,8</w:t>
            </w:r>
          </w:p>
        </w:tc>
        <w:tc>
          <w:tcPr>
            <w:tcW w:w="352" w:type="pct"/>
            <w:tcBorders>
              <w:top w:val="nil"/>
              <w:left w:val="nil"/>
              <w:bottom w:val="nil"/>
              <w:right w:val="nil"/>
            </w:tcBorders>
            <w:noWrap/>
            <w:vAlign w:val="bottom"/>
          </w:tcPr>
          <w:p w14:paraId="4F7A8A62"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3,7</w:t>
            </w:r>
          </w:p>
        </w:tc>
        <w:tc>
          <w:tcPr>
            <w:tcW w:w="368" w:type="pct"/>
            <w:tcBorders>
              <w:top w:val="nil"/>
              <w:left w:val="nil"/>
              <w:bottom w:val="nil"/>
              <w:right w:val="nil"/>
            </w:tcBorders>
            <w:noWrap/>
            <w:vAlign w:val="bottom"/>
          </w:tcPr>
          <w:p w14:paraId="2B1BAFCA"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2,2</w:t>
            </w:r>
          </w:p>
        </w:tc>
        <w:tc>
          <w:tcPr>
            <w:tcW w:w="374" w:type="pct"/>
            <w:tcBorders>
              <w:top w:val="nil"/>
              <w:left w:val="nil"/>
              <w:bottom w:val="nil"/>
              <w:right w:val="nil"/>
            </w:tcBorders>
            <w:noWrap/>
            <w:vAlign w:val="bottom"/>
          </w:tcPr>
          <w:p w14:paraId="60339838"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1,3</w:t>
            </w:r>
          </w:p>
        </w:tc>
        <w:tc>
          <w:tcPr>
            <w:tcW w:w="371" w:type="pct"/>
            <w:tcBorders>
              <w:top w:val="nil"/>
              <w:left w:val="nil"/>
              <w:bottom w:val="nil"/>
            </w:tcBorders>
            <w:vAlign w:val="bottom"/>
          </w:tcPr>
          <w:p w14:paraId="36639341"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1,7</w:t>
            </w:r>
          </w:p>
        </w:tc>
      </w:tr>
      <w:tr w:rsidR="007903A2" w:rsidRPr="003C4F5D" w14:paraId="4358477F" w14:textId="77777777" w:rsidTr="00F63632">
        <w:trPr>
          <w:trHeight w:val="227"/>
          <w:jc w:val="center"/>
        </w:trPr>
        <w:tc>
          <w:tcPr>
            <w:tcW w:w="2303" w:type="pct"/>
            <w:tcBorders>
              <w:top w:val="nil"/>
            </w:tcBorders>
            <w:noWrap/>
            <w:vAlign w:val="center"/>
            <w:hideMark/>
          </w:tcPr>
          <w:p w14:paraId="32F6885B" w14:textId="77777777" w:rsidR="007903A2" w:rsidRPr="00762040" w:rsidRDefault="007903A2" w:rsidP="00D94493">
            <w:pPr>
              <w:contextualSpacing/>
              <w:rPr>
                <w:rFonts w:ascii="Times New Roman" w:hAnsi="Times New Roman" w:cs="Times New Roman"/>
                <w:sz w:val="16"/>
                <w:szCs w:val="16"/>
                <w:lang w:eastAsia="sk-SK"/>
              </w:rPr>
            </w:pPr>
            <w:r w:rsidRPr="00762040">
              <w:rPr>
                <w:rFonts w:ascii="Times New Roman" w:hAnsi="Times New Roman" w:cs="Times New Roman"/>
                <w:sz w:val="16"/>
                <w:szCs w:val="16"/>
                <w:lang w:eastAsia="sk-SK"/>
              </w:rPr>
              <w:t>Miera nezamestnanosti</w:t>
            </w:r>
          </w:p>
        </w:tc>
        <w:tc>
          <w:tcPr>
            <w:tcW w:w="414" w:type="pct"/>
            <w:tcBorders>
              <w:top w:val="nil"/>
              <w:right w:val="nil"/>
            </w:tcBorders>
            <w:vAlign w:val="bottom"/>
          </w:tcPr>
          <w:p w14:paraId="36D9D131"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6,8</w:t>
            </w:r>
          </w:p>
        </w:tc>
        <w:tc>
          <w:tcPr>
            <w:tcW w:w="457" w:type="pct"/>
            <w:tcBorders>
              <w:top w:val="nil"/>
              <w:left w:val="nil"/>
            </w:tcBorders>
            <w:noWrap/>
            <w:vAlign w:val="bottom"/>
          </w:tcPr>
          <w:p w14:paraId="5D3B1F3D"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6,1</w:t>
            </w:r>
          </w:p>
        </w:tc>
        <w:tc>
          <w:tcPr>
            <w:tcW w:w="361" w:type="pct"/>
            <w:tcBorders>
              <w:top w:val="nil"/>
              <w:right w:val="nil"/>
            </w:tcBorders>
            <w:noWrap/>
            <w:vAlign w:val="bottom"/>
          </w:tcPr>
          <w:p w14:paraId="402A4A37"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5,9</w:t>
            </w:r>
          </w:p>
        </w:tc>
        <w:tc>
          <w:tcPr>
            <w:tcW w:w="352" w:type="pct"/>
            <w:tcBorders>
              <w:top w:val="nil"/>
              <w:left w:val="nil"/>
              <w:right w:val="nil"/>
            </w:tcBorders>
            <w:noWrap/>
            <w:vAlign w:val="bottom"/>
          </w:tcPr>
          <w:p w14:paraId="316DFEC4"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5,4</w:t>
            </w:r>
          </w:p>
        </w:tc>
        <w:tc>
          <w:tcPr>
            <w:tcW w:w="368" w:type="pct"/>
            <w:tcBorders>
              <w:top w:val="nil"/>
              <w:left w:val="nil"/>
              <w:right w:val="nil"/>
            </w:tcBorders>
            <w:noWrap/>
            <w:vAlign w:val="bottom"/>
          </w:tcPr>
          <w:p w14:paraId="63D3766C"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5,1</w:t>
            </w:r>
          </w:p>
        </w:tc>
        <w:tc>
          <w:tcPr>
            <w:tcW w:w="374" w:type="pct"/>
            <w:tcBorders>
              <w:top w:val="nil"/>
              <w:left w:val="nil"/>
              <w:right w:val="nil"/>
            </w:tcBorders>
            <w:noWrap/>
            <w:vAlign w:val="bottom"/>
          </w:tcPr>
          <w:p w14:paraId="4273098A"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5,0</w:t>
            </w:r>
          </w:p>
        </w:tc>
        <w:tc>
          <w:tcPr>
            <w:tcW w:w="371" w:type="pct"/>
            <w:tcBorders>
              <w:top w:val="nil"/>
              <w:left w:val="nil"/>
            </w:tcBorders>
            <w:vAlign w:val="bottom"/>
          </w:tcPr>
          <w:p w14:paraId="5241DA15"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5,3</w:t>
            </w:r>
          </w:p>
        </w:tc>
      </w:tr>
      <w:tr w:rsidR="007903A2" w:rsidRPr="003C4F5D" w14:paraId="37FE97F3" w14:textId="77777777" w:rsidTr="00D94493">
        <w:trPr>
          <w:trHeight w:val="227"/>
          <w:jc w:val="center"/>
        </w:trPr>
        <w:tc>
          <w:tcPr>
            <w:tcW w:w="5000" w:type="pct"/>
            <w:gridSpan w:val="8"/>
            <w:vAlign w:val="center"/>
          </w:tcPr>
          <w:p w14:paraId="2CBBB43F" w14:textId="4B01F655" w:rsidR="007903A2" w:rsidRPr="00F63632" w:rsidRDefault="00F63632" w:rsidP="00F63632">
            <w:pPr>
              <w:spacing w:after="0"/>
              <w:contextualSpacing/>
              <w:rPr>
                <w:rFonts w:ascii="Times New Roman" w:hAnsi="Times New Roman" w:cs="Times New Roman"/>
                <w:b/>
                <w:sz w:val="16"/>
                <w:szCs w:val="16"/>
              </w:rPr>
            </w:pPr>
            <w:r w:rsidRPr="00F63632">
              <w:rPr>
                <w:rFonts w:ascii="Times New Roman" w:hAnsi="Times New Roman" w:cs="Times New Roman"/>
                <w:b/>
                <w:sz w:val="16"/>
                <w:szCs w:val="16"/>
              </w:rPr>
              <w:t>Inflácia</w:t>
            </w:r>
          </w:p>
        </w:tc>
      </w:tr>
      <w:tr w:rsidR="007903A2" w:rsidRPr="003C4F5D" w14:paraId="1FB344F9" w14:textId="77777777" w:rsidTr="00D94493">
        <w:trPr>
          <w:trHeight w:val="227"/>
          <w:jc w:val="center"/>
        </w:trPr>
        <w:tc>
          <w:tcPr>
            <w:tcW w:w="2303" w:type="pct"/>
            <w:tcBorders>
              <w:bottom w:val="single" w:sz="4" w:space="0" w:color="auto"/>
            </w:tcBorders>
            <w:noWrap/>
            <w:vAlign w:val="center"/>
            <w:hideMark/>
          </w:tcPr>
          <w:p w14:paraId="3D180E8F" w14:textId="77777777" w:rsidR="007903A2" w:rsidRPr="00762040" w:rsidRDefault="007903A2" w:rsidP="00D94493">
            <w:pPr>
              <w:contextualSpacing/>
              <w:rPr>
                <w:rFonts w:ascii="Times New Roman" w:hAnsi="Times New Roman" w:cs="Times New Roman"/>
                <w:sz w:val="16"/>
                <w:szCs w:val="16"/>
                <w:lang w:eastAsia="sk-SK"/>
              </w:rPr>
            </w:pPr>
            <w:r w:rsidRPr="00762040">
              <w:rPr>
                <w:rFonts w:ascii="Times New Roman" w:hAnsi="Times New Roman" w:cs="Times New Roman"/>
                <w:sz w:val="16"/>
                <w:szCs w:val="16"/>
                <w:lang w:eastAsia="sk-SK"/>
              </w:rPr>
              <w:t>Index spotrebiteľských cien</w:t>
            </w:r>
          </w:p>
        </w:tc>
        <w:tc>
          <w:tcPr>
            <w:tcW w:w="414" w:type="pct"/>
            <w:tcBorders>
              <w:bottom w:val="single" w:sz="4" w:space="0" w:color="auto"/>
              <w:right w:val="nil"/>
            </w:tcBorders>
            <w:vAlign w:val="bottom"/>
          </w:tcPr>
          <w:p w14:paraId="5EF35026"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3,2</w:t>
            </w:r>
          </w:p>
        </w:tc>
        <w:tc>
          <w:tcPr>
            <w:tcW w:w="457" w:type="pct"/>
            <w:tcBorders>
              <w:left w:val="nil"/>
              <w:bottom w:val="single" w:sz="4" w:space="0" w:color="auto"/>
            </w:tcBorders>
            <w:noWrap/>
            <w:vAlign w:val="bottom"/>
          </w:tcPr>
          <w:p w14:paraId="3756B798"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12,7</w:t>
            </w:r>
          </w:p>
        </w:tc>
        <w:tc>
          <w:tcPr>
            <w:tcW w:w="361" w:type="pct"/>
            <w:tcBorders>
              <w:bottom w:val="single" w:sz="4" w:space="0" w:color="auto"/>
              <w:right w:val="nil"/>
            </w:tcBorders>
            <w:noWrap/>
            <w:vAlign w:val="bottom"/>
          </w:tcPr>
          <w:p w14:paraId="14CE0A61"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10,7</w:t>
            </w:r>
          </w:p>
        </w:tc>
        <w:tc>
          <w:tcPr>
            <w:tcW w:w="352" w:type="pct"/>
            <w:tcBorders>
              <w:left w:val="nil"/>
              <w:bottom w:val="single" w:sz="4" w:space="0" w:color="auto"/>
              <w:right w:val="nil"/>
            </w:tcBorders>
            <w:noWrap/>
            <w:vAlign w:val="bottom"/>
          </w:tcPr>
          <w:p w14:paraId="3F70DBA4"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3,2</w:t>
            </w:r>
          </w:p>
        </w:tc>
        <w:tc>
          <w:tcPr>
            <w:tcW w:w="368" w:type="pct"/>
            <w:tcBorders>
              <w:left w:val="nil"/>
              <w:bottom w:val="single" w:sz="4" w:space="0" w:color="auto"/>
              <w:right w:val="nil"/>
            </w:tcBorders>
            <w:noWrap/>
            <w:vAlign w:val="bottom"/>
          </w:tcPr>
          <w:p w14:paraId="67A70974"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3,1</w:t>
            </w:r>
          </w:p>
        </w:tc>
        <w:tc>
          <w:tcPr>
            <w:tcW w:w="374" w:type="pct"/>
            <w:tcBorders>
              <w:left w:val="nil"/>
              <w:bottom w:val="single" w:sz="4" w:space="0" w:color="auto"/>
              <w:right w:val="nil"/>
            </w:tcBorders>
            <w:noWrap/>
            <w:vAlign w:val="bottom"/>
          </w:tcPr>
          <w:p w14:paraId="0E22900B"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3,1</w:t>
            </w:r>
          </w:p>
        </w:tc>
        <w:tc>
          <w:tcPr>
            <w:tcW w:w="371" w:type="pct"/>
            <w:tcBorders>
              <w:left w:val="nil"/>
              <w:bottom w:val="single" w:sz="4" w:space="0" w:color="auto"/>
            </w:tcBorders>
            <w:vAlign w:val="bottom"/>
          </w:tcPr>
          <w:p w14:paraId="5EFCB4DC" w14:textId="77777777" w:rsidR="007903A2" w:rsidRPr="00762040" w:rsidRDefault="007903A2" w:rsidP="00D94493">
            <w:pPr>
              <w:spacing w:after="0"/>
              <w:contextualSpacing/>
              <w:jc w:val="center"/>
              <w:rPr>
                <w:rFonts w:ascii="Times New Roman" w:hAnsi="Times New Roman" w:cs="Times New Roman"/>
                <w:sz w:val="16"/>
                <w:szCs w:val="16"/>
              </w:rPr>
            </w:pPr>
            <w:r w:rsidRPr="00762040">
              <w:rPr>
                <w:rFonts w:ascii="Times New Roman" w:hAnsi="Times New Roman" w:cs="Times New Roman"/>
                <w:sz w:val="16"/>
                <w:szCs w:val="16"/>
              </w:rPr>
              <w:t>2,5</w:t>
            </w:r>
          </w:p>
        </w:tc>
      </w:tr>
      <w:tr w:rsidR="007903A2" w:rsidRPr="003C4F5D" w14:paraId="658DB1C8" w14:textId="77777777" w:rsidTr="00D94493">
        <w:trPr>
          <w:trHeight w:val="227"/>
          <w:jc w:val="center"/>
        </w:trPr>
        <w:tc>
          <w:tcPr>
            <w:tcW w:w="5000" w:type="pct"/>
            <w:gridSpan w:val="8"/>
            <w:tcBorders>
              <w:top w:val="single" w:sz="4" w:space="0" w:color="auto"/>
              <w:bottom w:val="nil"/>
            </w:tcBorders>
          </w:tcPr>
          <w:p w14:paraId="3B69D142" w14:textId="77777777" w:rsidR="007903A2" w:rsidRPr="00762040" w:rsidRDefault="007903A2" w:rsidP="00D94493">
            <w:pPr>
              <w:contextualSpacing/>
              <w:jc w:val="right"/>
              <w:rPr>
                <w:rFonts w:ascii="Times New Roman" w:hAnsi="Times New Roman" w:cs="Times New Roman"/>
                <w:i/>
                <w:sz w:val="16"/>
                <w:szCs w:val="16"/>
              </w:rPr>
            </w:pPr>
            <w:r w:rsidRPr="00762040">
              <w:rPr>
                <w:rFonts w:ascii="Times New Roman" w:hAnsi="Times New Roman" w:cs="Times New Roman"/>
                <w:i/>
                <w:sz w:val="16"/>
                <w:szCs w:val="16"/>
              </w:rPr>
              <w:t>Zdroj: ŠÚ SR, MF SR</w:t>
            </w:r>
          </w:p>
        </w:tc>
      </w:tr>
    </w:tbl>
    <w:p w14:paraId="19485D55" w14:textId="77777777" w:rsidR="00F63632" w:rsidRDefault="00F63632" w:rsidP="007903A2">
      <w:pPr>
        <w:pStyle w:val="NormalList"/>
        <w:spacing w:line="276" w:lineRule="auto"/>
        <w:rPr>
          <w:rFonts w:ascii="Times New Roman" w:eastAsia="NeueHaasGroteskText W02" w:hAnsi="Times New Roman" w:cs="Times New Roman"/>
          <w:noProof/>
          <w:sz w:val="24"/>
          <w:szCs w:val="24"/>
        </w:rPr>
      </w:pPr>
    </w:p>
    <w:p w14:paraId="07EA3993" w14:textId="6FEA291A" w:rsidR="007903A2" w:rsidRPr="00813CD6" w:rsidRDefault="007903A2" w:rsidP="007903A2">
      <w:pPr>
        <w:pStyle w:val="NormalList"/>
        <w:spacing w:line="276" w:lineRule="auto"/>
        <w:rPr>
          <w:rFonts w:ascii="Times New Roman" w:eastAsia="NeueHaasGroteskText W02" w:hAnsi="Times New Roman" w:cs="Times New Roman"/>
          <w:noProof/>
          <w:sz w:val="24"/>
          <w:szCs w:val="24"/>
        </w:rPr>
      </w:pPr>
      <w:r w:rsidRPr="00813CD6">
        <w:rPr>
          <w:rFonts w:ascii="Times New Roman" w:eastAsia="NeueHaasGroteskText W02" w:hAnsi="Times New Roman" w:cs="Times New Roman"/>
          <w:noProof/>
          <w:sz w:val="24"/>
          <w:szCs w:val="24"/>
        </w:rPr>
        <w:t>Prognóza MF SR je v porovnaní s jesennou prognózou EK optimistickejšia</w:t>
      </w:r>
      <w:r w:rsidRPr="00813CD6">
        <w:rPr>
          <w:rFonts w:ascii="Times New Roman" w:eastAsia="NeueHaasGroteskText W02" w:hAnsi="Times New Roman"/>
          <w:noProof/>
          <w:sz w:val="24"/>
          <w:szCs w:val="24"/>
          <w:vertAlign w:val="superscript"/>
        </w:rPr>
        <w:footnoteReference w:id="1"/>
      </w:r>
      <w:r w:rsidRPr="00813CD6">
        <w:rPr>
          <w:rFonts w:ascii="Times New Roman" w:eastAsia="NeueHaasGroteskText W02" w:hAnsi="Times New Roman" w:cs="Times New Roman"/>
          <w:noProof/>
          <w:sz w:val="24"/>
          <w:szCs w:val="24"/>
        </w:rPr>
        <w:t>. Hlavným dôvodom je fakt, že v decembrovej prognóze MF SR sa od roku 2024 odráža v spotrebe domácností, HDP a zamestnanosti prudký pokles cien energií pre domácností, ktorý je výsledkom vládnych opatrení v predkladanom rozpočte. Z rovnakého dôvodu prognóza MF</w:t>
      </w:r>
      <w:r w:rsidR="00E077EB">
        <w:rPr>
          <w:rFonts w:ascii="Times New Roman" w:eastAsia="NeueHaasGroteskText W02" w:hAnsi="Times New Roman" w:cs="Times New Roman"/>
          <w:noProof/>
          <w:sz w:val="24"/>
          <w:szCs w:val="24"/>
        </w:rPr>
        <w:t xml:space="preserve"> </w:t>
      </w:r>
      <w:r w:rsidRPr="00813CD6">
        <w:rPr>
          <w:rFonts w:ascii="Times New Roman" w:eastAsia="NeueHaasGroteskText W02" w:hAnsi="Times New Roman" w:cs="Times New Roman"/>
          <w:noProof/>
          <w:sz w:val="24"/>
          <w:szCs w:val="24"/>
        </w:rPr>
        <w:t>SR uvažuje s mierne prehrievajúcou sa ekonomikou, kým prognóza EK uvažuje na horizonte prognóz s podchladením.</w:t>
      </w:r>
    </w:p>
    <w:p w14:paraId="3FAF6FCE" w14:textId="77777777" w:rsidR="007903A2" w:rsidRPr="00813CD6" w:rsidRDefault="007903A2" w:rsidP="007903A2">
      <w:pPr>
        <w:pStyle w:val="NormalList"/>
        <w:spacing w:line="276" w:lineRule="auto"/>
        <w:rPr>
          <w:rFonts w:ascii="Times New Roman" w:eastAsia="NeueHaasGroteskText W02" w:hAnsi="Times New Roman" w:cs="Times New Roman"/>
          <w:noProof/>
          <w:color w:val="5B9BD5" w:themeColor="accent1"/>
          <w:szCs w:val="20"/>
        </w:rPr>
      </w:pPr>
    </w:p>
    <w:tbl>
      <w:tblPr>
        <w:tblW w:w="5000" w:type="pct"/>
        <w:jc w:val="center"/>
        <w:tblCellMar>
          <w:left w:w="70" w:type="dxa"/>
          <w:right w:w="70" w:type="dxa"/>
        </w:tblCellMar>
        <w:tblLook w:val="04A0" w:firstRow="1" w:lastRow="0" w:firstColumn="1" w:lastColumn="0" w:noHBand="0" w:noVBand="1"/>
      </w:tblPr>
      <w:tblGrid>
        <w:gridCol w:w="4043"/>
        <w:gridCol w:w="2344"/>
        <w:gridCol w:w="704"/>
        <w:gridCol w:w="704"/>
        <w:gridCol w:w="637"/>
        <w:gridCol w:w="640"/>
      </w:tblGrid>
      <w:tr w:rsidR="007903A2" w:rsidRPr="00813CD6" w14:paraId="4BC517A5" w14:textId="77777777" w:rsidTr="00D94493">
        <w:trPr>
          <w:trHeight w:val="227"/>
          <w:jc w:val="center"/>
        </w:trPr>
        <w:tc>
          <w:tcPr>
            <w:tcW w:w="5000" w:type="pct"/>
            <w:gridSpan w:val="6"/>
            <w:tcBorders>
              <w:bottom w:val="single" w:sz="4" w:space="0" w:color="auto"/>
            </w:tcBorders>
            <w:shd w:val="clear" w:color="auto" w:fill="auto"/>
            <w:noWrap/>
            <w:vAlign w:val="center"/>
            <w:hideMark/>
          </w:tcPr>
          <w:p w14:paraId="4860FC8A" w14:textId="723149A7" w:rsidR="007903A2" w:rsidRPr="00F63632" w:rsidRDefault="007903A2" w:rsidP="00D94493">
            <w:pPr>
              <w:spacing w:after="0"/>
              <w:contextualSpacing/>
              <w:rPr>
                <w:rFonts w:ascii="Times New Roman" w:hAnsi="Times New Roman" w:cs="Times New Roman"/>
                <w:b/>
                <w:bCs/>
                <w:color w:val="5B9BD5" w:themeColor="accent1"/>
                <w:sz w:val="20"/>
                <w:szCs w:val="20"/>
                <w:lang w:eastAsia="sk-SK"/>
              </w:rPr>
            </w:pPr>
            <w:bookmarkStart w:id="8" w:name="_Toc153013000"/>
            <w:r w:rsidRPr="00F63632">
              <w:rPr>
                <w:rFonts w:ascii="Times New Roman" w:hAnsi="Times New Roman" w:cs="Times New Roman"/>
                <w:b/>
                <w:color w:val="5B9BD5" w:themeColor="accent1"/>
                <w:sz w:val="20"/>
                <w:szCs w:val="20"/>
              </w:rPr>
              <w:t xml:space="preserve">Tabuľka </w:t>
            </w:r>
            <w:r w:rsidRPr="00F63632">
              <w:rPr>
                <w:rFonts w:ascii="Times New Roman" w:hAnsi="Times New Roman" w:cs="Times New Roman"/>
                <w:b/>
                <w:color w:val="5B9BD5" w:themeColor="accent1"/>
                <w:sz w:val="20"/>
                <w:szCs w:val="20"/>
              </w:rPr>
              <w:fldChar w:fldCharType="begin"/>
            </w:r>
            <w:r w:rsidRPr="00F63632">
              <w:rPr>
                <w:rFonts w:ascii="Times New Roman" w:hAnsi="Times New Roman" w:cs="Times New Roman"/>
                <w:b/>
                <w:color w:val="5B9BD5" w:themeColor="accent1"/>
                <w:sz w:val="20"/>
                <w:szCs w:val="20"/>
              </w:rPr>
              <w:instrText xml:space="preserve"> SEQ Tabuľka \* ARABIC </w:instrText>
            </w:r>
            <w:r w:rsidRPr="00F63632">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2</w:t>
            </w:r>
            <w:r w:rsidRPr="00F63632">
              <w:rPr>
                <w:rFonts w:ascii="Times New Roman" w:hAnsi="Times New Roman" w:cs="Times New Roman"/>
                <w:b/>
                <w:color w:val="5B9BD5" w:themeColor="accent1"/>
                <w:sz w:val="20"/>
                <w:szCs w:val="20"/>
              </w:rPr>
              <w:fldChar w:fldCharType="end"/>
            </w:r>
            <w:r w:rsidRPr="00F63632">
              <w:rPr>
                <w:rFonts w:ascii="Times New Roman" w:hAnsi="Times New Roman" w:cs="Times New Roman"/>
                <w:b/>
                <w:color w:val="5B9BD5" w:themeColor="accent1"/>
                <w:sz w:val="20"/>
                <w:szCs w:val="20"/>
              </w:rPr>
              <w:t xml:space="preserve"> - </w:t>
            </w:r>
            <w:r w:rsidRPr="00F63632">
              <w:rPr>
                <w:rFonts w:ascii="Times New Roman" w:hAnsi="Times New Roman" w:cs="Times New Roman"/>
                <w:b/>
                <w:bCs/>
                <w:color w:val="5B9BD5" w:themeColor="accent1"/>
                <w:sz w:val="20"/>
                <w:szCs w:val="20"/>
                <w:lang w:eastAsia="sk-SK"/>
              </w:rPr>
              <w:t>Porovnanie prognóz Európskej komisie (EK) a MF SR</w:t>
            </w:r>
            <w:bookmarkEnd w:id="8"/>
          </w:p>
        </w:tc>
      </w:tr>
      <w:tr w:rsidR="007903A2" w:rsidRPr="00AD5BE5" w14:paraId="1DC4C111" w14:textId="77777777" w:rsidTr="00F63632">
        <w:trPr>
          <w:trHeight w:val="227"/>
          <w:jc w:val="center"/>
        </w:trPr>
        <w:tc>
          <w:tcPr>
            <w:tcW w:w="2228" w:type="pct"/>
            <w:tcBorders>
              <w:top w:val="nil"/>
              <w:bottom w:val="single" w:sz="4" w:space="0" w:color="auto"/>
              <w:right w:val="nil"/>
            </w:tcBorders>
            <w:shd w:val="clear" w:color="auto" w:fill="auto"/>
            <w:noWrap/>
            <w:vAlign w:val="center"/>
            <w:hideMark/>
          </w:tcPr>
          <w:p w14:paraId="6328E2CA" w14:textId="77777777" w:rsidR="007903A2" w:rsidRPr="00AD5BE5" w:rsidRDefault="007903A2" w:rsidP="00D94493">
            <w:pPr>
              <w:spacing w:after="0"/>
              <w:contextualSpacing/>
              <w:rPr>
                <w:rFonts w:ascii="Times New Roman" w:hAnsi="Times New Roman" w:cs="Times New Roman"/>
                <w:color w:val="000000"/>
                <w:sz w:val="14"/>
                <w:szCs w:val="14"/>
                <w:lang w:eastAsia="sk-SK"/>
              </w:rPr>
            </w:pPr>
            <w:r w:rsidRPr="00AD5BE5">
              <w:rPr>
                <w:rFonts w:ascii="Times New Roman" w:hAnsi="Times New Roman" w:cs="Times New Roman"/>
                <w:color w:val="000000"/>
                <w:sz w:val="14"/>
                <w:szCs w:val="14"/>
                <w:lang w:eastAsia="sk-SK"/>
              </w:rPr>
              <w:t> </w:t>
            </w:r>
            <w:r w:rsidRPr="00AD5BE5">
              <w:rPr>
                <w:rFonts w:ascii="Times New Roman" w:hAnsi="Times New Roman" w:cs="Times New Roman"/>
                <w:b/>
                <w:bCs/>
                <w:sz w:val="14"/>
                <w:szCs w:val="14"/>
                <w:lang w:eastAsia="sk-SK"/>
              </w:rPr>
              <w:t xml:space="preserve">Ukazovateľ </w:t>
            </w:r>
            <w:r w:rsidRPr="00AD5BE5">
              <w:rPr>
                <w:rFonts w:ascii="Times New Roman" w:hAnsi="Times New Roman" w:cs="Times New Roman"/>
                <w:b/>
                <w:sz w:val="14"/>
                <w:szCs w:val="14"/>
                <w:lang w:eastAsia="sk-SK"/>
              </w:rPr>
              <w:t>(rast v %, ak nie je uvedené inak)</w:t>
            </w:r>
          </w:p>
        </w:tc>
        <w:tc>
          <w:tcPr>
            <w:tcW w:w="1292" w:type="pct"/>
            <w:tcBorders>
              <w:top w:val="nil"/>
              <w:left w:val="nil"/>
              <w:bottom w:val="single" w:sz="4" w:space="0" w:color="auto"/>
            </w:tcBorders>
            <w:shd w:val="clear" w:color="auto" w:fill="auto"/>
            <w:noWrap/>
            <w:vAlign w:val="bottom"/>
            <w:hideMark/>
          </w:tcPr>
          <w:p w14:paraId="32915505" w14:textId="77777777" w:rsidR="007903A2" w:rsidRPr="00AD5BE5" w:rsidRDefault="007903A2" w:rsidP="00D94493">
            <w:pPr>
              <w:spacing w:after="0"/>
              <w:contextualSpacing/>
              <w:rPr>
                <w:rFonts w:ascii="Times New Roman" w:hAnsi="Times New Roman" w:cs="Times New Roman"/>
                <w:color w:val="000000"/>
                <w:sz w:val="14"/>
                <w:szCs w:val="14"/>
                <w:lang w:eastAsia="sk-SK"/>
              </w:rPr>
            </w:pPr>
            <w:r w:rsidRPr="00AD5BE5">
              <w:rPr>
                <w:rFonts w:ascii="Times New Roman" w:hAnsi="Times New Roman" w:cs="Times New Roman"/>
                <w:color w:val="000000"/>
                <w:sz w:val="14"/>
                <w:szCs w:val="14"/>
                <w:lang w:eastAsia="sk-SK"/>
              </w:rPr>
              <w:t> </w:t>
            </w:r>
          </w:p>
        </w:tc>
        <w:tc>
          <w:tcPr>
            <w:tcW w:w="388" w:type="pct"/>
            <w:tcBorders>
              <w:top w:val="single" w:sz="4" w:space="0" w:color="auto"/>
              <w:left w:val="nil"/>
              <w:bottom w:val="single" w:sz="4" w:space="0" w:color="auto"/>
            </w:tcBorders>
            <w:shd w:val="clear" w:color="auto" w:fill="auto"/>
            <w:noWrap/>
            <w:vAlign w:val="bottom"/>
            <w:hideMark/>
          </w:tcPr>
          <w:p w14:paraId="0C778167" w14:textId="77777777" w:rsidR="007903A2" w:rsidRPr="00AD5BE5" w:rsidRDefault="007903A2" w:rsidP="00F63632">
            <w:pPr>
              <w:spacing w:after="0"/>
              <w:contextualSpacing/>
              <w:jc w:val="right"/>
              <w:rPr>
                <w:rFonts w:ascii="Times New Roman" w:hAnsi="Times New Roman" w:cs="Times New Roman"/>
                <w:b/>
                <w:bCs/>
                <w:color w:val="000000"/>
                <w:sz w:val="14"/>
                <w:szCs w:val="14"/>
                <w:lang w:eastAsia="sk-SK"/>
              </w:rPr>
            </w:pPr>
            <w:r>
              <w:rPr>
                <w:rFonts w:ascii="Times New Roman" w:hAnsi="Times New Roman" w:cs="Times New Roman"/>
                <w:b/>
                <w:bCs/>
                <w:color w:val="000000"/>
                <w:sz w:val="14"/>
                <w:szCs w:val="14"/>
                <w:lang w:eastAsia="sk-SK"/>
              </w:rPr>
              <w:t>2022</w:t>
            </w:r>
          </w:p>
        </w:tc>
        <w:tc>
          <w:tcPr>
            <w:tcW w:w="388" w:type="pct"/>
            <w:tcBorders>
              <w:top w:val="single" w:sz="4" w:space="0" w:color="auto"/>
              <w:left w:val="nil"/>
              <w:bottom w:val="single" w:sz="4" w:space="0" w:color="auto"/>
            </w:tcBorders>
            <w:shd w:val="clear" w:color="auto" w:fill="auto"/>
            <w:noWrap/>
            <w:vAlign w:val="bottom"/>
            <w:hideMark/>
          </w:tcPr>
          <w:p w14:paraId="5FAC0510" w14:textId="77777777" w:rsidR="007903A2" w:rsidRPr="00AD5BE5" w:rsidRDefault="007903A2" w:rsidP="00F63632">
            <w:pPr>
              <w:spacing w:after="0"/>
              <w:contextualSpacing/>
              <w:jc w:val="right"/>
              <w:rPr>
                <w:rFonts w:ascii="Times New Roman" w:hAnsi="Times New Roman" w:cs="Times New Roman"/>
                <w:b/>
                <w:bCs/>
                <w:color w:val="000000"/>
                <w:sz w:val="14"/>
                <w:szCs w:val="14"/>
                <w:lang w:eastAsia="sk-SK"/>
              </w:rPr>
            </w:pPr>
            <w:r>
              <w:rPr>
                <w:rFonts w:ascii="Times New Roman" w:hAnsi="Times New Roman" w:cs="Times New Roman"/>
                <w:b/>
                <w:bCs/>
                <w:color w:val="000000"/>
                <w:sz w:val="14"/>
                <w:szCs w:val="14"/>
                <w:lang w:eastAsia="sk-SK"/>
              </w:rPr>
              <w:t>2023</w:t>
            </w:r>
          </w:p>
        </w:tc>
        <w:tc>
          <w:tcPr>
            <w:tcW w:w="351" w:type="pct"/>
            <w:tcBorders>
              <w:top w:val="single" w:sz="4" w:space="0" w:color="auto"/>
              <w:left w:val="nil"/>
              <w:bottom w:val="single" w:sz="4" w:space="0" w:color="auto"/>
            </w:tcBorders>
            <w:shd w:val="clear" w:color="auto" w:fill="auto"/>
            <w:noWrap/>
            <w:vAlign w:val="bottom"/>
            <w:hideMark/>
          </w:tcPr>
          <w:p w14:paraId="654B1CF0" w14:textId="77777777" w:rsidR="007903A2" w:rsidRPr="00AD5BE5" w:rsidRDefault="007903A2" w:rsidP="00F63632">
            <w:pPr>
              <w:spacing w:after="0"/>
              <w:contextualSpacing/>
              <w:jc w:val="right"/>
              <w:rPr>
                <w:rFonts w:ascii="Times New Roman" w:hAnsi="Times New Roman" w:cs="Times New Roman"/>
                <w:b/>
                <w:bCs/>
                <w:color w:val="000000"/>
                <w:sz w:val="14"/>
                <w:szCs w:val="14"/>
                <w:lang w:eastAsia="sk-SK"/>
              </w:rPr>
            </w:pPr>
            <w:r>
              <w:rPr>
                <w:rFonts w:ascii="Times New Roman" w:hAnsi="Times New Roman" w:cs="Times New Roman"/>
                <w:b/>
                <w:bCs/>
                <w:color w:val="000000"/>
                <w:sz w:val="14"/>
                <w:szCs w:val="14"/>
                <w:lang w:eastAsia="sk-SK"/>
              </w:rPr>
              <w:t>2024</w:t>
            </w:r>
          </w:p>
        </w:tc>
        <w:tc>
          <w:tcPr>
            <w:tcW w:w="353" w:type="pct"/>
            <w:tcBorders>
              <w:top w:val="single" w:sz="4" w:space="0" w:color="auto"/>
              <w:left w:val="nil"/>
              <w:bottom w:val="single" w:sz="4" w:space="0" w:color="auto"/>
            </w:tcBorders>
            <w:shd w:val="clear" w:color="auto" w:fill="auto"/>
            <w:noWrap/>
            <w:vAlign w:val="bottom"/>
            <w:hideMark/>
          </w:tcPr>
          <w:p w14:paraId="0DA21322" w14:textId="77777777" w:rsidR="007903A2" w:rsidRPr="00AD5BE5" w:rsidRDefault="007903A2" w:rsidP="00F63632">
            <w:pPr>
              <w:spacing w:after="0"/>
              <w:contextualSpacing/>
              <w:jc w:val="right"/>
              <w:rPr>
                <w:rFonts w:ascii="Times New Roman" w:hAnsi="Times New Roman" w:cs="Times New Roman"/>
                <w:b/>
                <w:bCs/>
                <w:color w:val="000000"/>
                <w:sz w:val="14"/>
                <w:szCs w:val="14"/>
                <w:lang w:eastAsia="sk-SK"/>
              </w:rPr>
            </w:pPr>
            <w:r>
              <w:rPr>
                <w:rFonts w:ascii="Times New Roman" w:hAnsi="Times New Roman" w:cs="Times New Roman"/>
                <w:b/>
                <w:bCs/>
                <w:color w:val="000000"/>
                <w:sz w:val="14"/>
                <w:szCs w:val="14"/>
                <w:lang w:eastAsia="sk-SK"/>
              </w:rPr>
              <w:t>2025</w:t>
            </w:r>
          </w:p>
        </w:tc>
      </w:tr>
      <w:tr w:rsidR="007903A2" w:rsidRPr="00AD5BE5" w14:paraId="11E49C44" w14:textId="77777777" w:rsidTr="00F63632">
        <w:trPr>
          <w:trHeight w:val="227"/>
          <w:jc w:val="center"/>
        </w:trPr>
        <w:tc>
          <w:tcPr>
            <w:tcW w:w="2228" w:type="pct"/>
            <w:vMerge w:val="restart"/>
            <w:tcBorders>
              <w:top w:val="single" w:sz="4" w:space="0" w:color="auto"/>
              <w:bottom w:val="single" w:sz="4" w:space="0" w:color="000000"/>
            </w:tcBorders>
            <w:shd w:val="clear" w:color="auto" w:fill="auto"/>
            <w:noWrap/>
            <w:vAlign w:val="center"/>
            <w:hideMark/>
          </w:tcPr>
          <w:p w14:paraId="202F681E" w14:textId="77777777" w:rsidR="007903A2" w:rsidRPr="00AD5BE5" w:rsidRDefault="007903A2" w:rsidP="00D94493">
            <w:pPr>
              <w:spacing w:after="0"/>
              <w:contextualSpacing/>
              <w:rPr>
                <w:rFonts w:ascii="Times New Roman" w:hAnsi="Times New Roman" w:cs="Times New Roman"/>
                <w:color w:val="000000"/>
                <w:sz w:val="14"/>
                <w:szCs w:val="14"/>
                <w:lang w:eastAsia="sk-SK"/>
              </w:rPr>
            </w:pPr>
            <w:r w:rsidRPr="00AD5BE5">
              <w:rPr>
                <w:rFonts w:ascii="Times New Roman" w:hAnsi="Times New Roman" w:cs="Times New Roman"/>
                <w:color w:val="000000"/>
                <w:sz w:val="14"/>
                <w:szCs w:val="14"/>
                <w:lang w:eastAsia="sk-SK"/>
              </w:rPr>
              <w:t>Reálne HDP</w:t>
            </w:r>
          </w:p>
        </w:tc>
        <w:tc>
          <w:tcPr>
            <w:tcW w:w="1292" w:type="pct"/>
            <w:tcBorders>
              <w:top w:val="single" w:sz="4" w:space="0" w:color="auto"/>
              <w:left w:val="nil"/>
              <w:bottom w:val="nil"/>
            </w:tcBorders>
            <w:shd w:val="clear" w:color="auto" w:fill="auto"/>
            <w:noWrap/>
            <w:vAlign w:val="bottom"/>
            <w:hideMark/>
          </w:tcPr>
          <w:p w14:paraId="55BA108D" w14:textId="77777777" w:rsidR="007903A2" w:rsidRPr="00AD5BE5" w:rsidRDefault="007903A2" w:rsidP="00D94493">
            <w:pPr>
              <w:spacing w:after="0"/>
              <w:contextualSpacing/>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Prognóza EK (jeseň</w:t>
            </w:r>
            <w:r w:rsidRPr="00AD5BE5">
              <w:rPr>
                <w:rFonts w:ascii="Times New Roman" w:hAnsi="Times New Roman" w:cs="Times New Roman"/>
                <w:color w:val="000000"/>
                <w:sz w:val="14"/>
                <w:szCs w:val="14"/>
                <w:lang w:eastAsia="sk-SK"/>
              </w:rPr>
              <w:t>)</w:t>
            </w:r>
          </w:p>
        </w:tc>
        <w:tc>
          <w:tcPr>
            <w:tcW w:w="388" w:type="pct"/>
            <w:tcBorders>
              <w:top w:val="single" w:sz="4" w:space="0" w:color="auto"/>
              <w:left w:val="nil"/>
              <w:bottom w:val="nil"/>
            </w:tcBorders>
            <w:shd w:val="clear" w:color="auto" w:fill="auto"/>
            <w:noWrap/>
            <w:vAlign w:val="bottom"/>
          </w:tcPr>
          <w:p w14:paraId="5E19E044" w14:textId="77777777" w:rsidR="007903A2" w:rsidRPr="00AD5BE5" w:rsidRDefault="007903A2" w:rsidP="00D94493">
            <w:pPr>
              <w:spacing w:after="0"/>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1,8</w:t>
            </w:r>
          </w:p>
        </w:tc>
        <w:tc>
          <w:tcPr>
            <w:tcW w:w="388" w:type="pct"/>
            <w:tcBorders>
              <w:top w:val="single" w:sz="4" w:space="0" w:color="auto"/>
              <w:left w:val="nil"/>
              <w:bottom w:val="nil"/>
            </w:tcBorders>
            <w:shd w:val="clear" w:color="auto" w:fill="auto"/>
            <w:noWrap/>
            <w:vAlign w:val="bottom"/>
          </w:tcPr>
          <w:p w14:paraId="21BD71E3" w14:textId="77777777" w:rsidR="007903A2" w:rsidRPr="00AD5BE5" w:rsidRDefault="007903A2" w:rsidP="00D94493">
            <w:pPr>
              <w:spacing w:after="0"/>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1,3</w:t>
            </w:r>
          </w:p>
        </w:tc>
        <w:tc>
          <w:tcPr>
            <w:tcW w:w="351" w:type="pct"/>
            <w:tcBorders>
              <w:top w:val="single" w:sz="4" w:space="0" w:color="auto"/>
              <w:left w:val="nil"/>
              <w:bottom w:val="nil"/>
            </w:tcBorders>
            <w:shd w:val="clear" w:color="auto" w:fill="auto"/>
            <w:noWrap/>
            <w:vAlign w:val="bottom"/>
          </w:tcPr>
          <w:p w14:paraId="7BC6DB7E" w14:textId="77777777" w:rsidR="007903A2" w:rsidRPr="00AD5BE5" w:rsidRDefault="007903A2" w:rsidP="00D94493">
            <w:pPr>
              <w:spacing w:after="0"/>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1,7</w:t>
            </w:r>
          </w:p>
        </w:tc>
        <w:tc>
          <w:tcPr>
            <w:tcW w:w="353" w:type="pct"/>
            <w:tcBorders>
              <w:top w:val="nil"/>
              <w:left w:val="nil"/>
              <w:bottom w:val="nil"/>
            </w:tcBorders>
            <w:shd w:val="clear" w:color="auto" w:fill="auto"/>
            <w:noWrap/>
            <w:vAlign w:val="bottom"/>
          </w:tcPr>
          <w:p w14:paraId="16DF5C4C" w14:textId="77777777" w:rsidR="007903A2" w:rsidRPr="00AD5BE5" w:rsidRDefault="007903A2" w:rsidP="00D94493">
            <w:pPr>
              <w:spacing w:after="0"/>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2,0</w:t>
            </w:r>
          </w:p>
        </w:tc>
      </w:tr>
      <w:tr w:rsidR="007903A2" w:rsidRPr="00AD5BE5" w14:paraId="6BB5AE72" w14:textId="77777777" w:rsidTr="00F63632">
        <w:trPr>
          <w:trHeight w:val="227"/>
          <w:jc w:val="center"/>
        </w:trPr>
        <w:tc>
          <w:tcPr>
            <w:tcW w:w="2228" w:type="pct"/>
            <w:vMerge/>
            <w:tcBorders>
              <w:top w:val="single" w:sz="4" w:space="0" w:color="000000"/>
              <w:bottom w:val="single" w:sz="4" w:space="0" w:color="000000"/>
            </w:tcBorders>
            <w:vAlign w:val="center"/>
            <w:hideMark/>
          </w:tcPr>
          <w:p w14:paraId="0A4B8937" w14:textId="77777777" w:rsidR="007903A2" w:rsidRPr="00AD5BE5" w:rsidRDefault="007903A2" w:rsidP="00D94493">
            <w:pPr>
              <w:contextualSpacing/>
              <w:rPr>
                <w:rFonts w:ascii="Times New Roman" w:hAnsi="Times New Roman" w:cs="Times New Roman"/>
                <w:color w:val="000000"/>
                <w:sz w:val="14"/>
                <w:szCs w:val="14"/>
                <w:lang w:eastAsia="sk-SK"/>
              </w:rPr>
            </w:pPr>
          </w:p>
        </w:tc>
        <w:tc>
          <w:tcPr>
            <w:tcW w:w="1292" w:type="pct"/>
            <w:tcBorders>
              <w:top w:val="nil"/>
              <w:left w:val="nil"/>
              <w:bottom w:val="single" w:sz="4" w:space="0" w:color="auto"/>
            </w:tcBorders>
            <w:shd w:val="clear" w:color="auto" w:fill="auto"/>
            <w:noWrap/>
            <w:vAlign w:val="bottom"/>
            <w:hideMark/>
          </w:tcPr>
          <w:p w14:paraId="0EDBB26A" w14:textId="77777777" w:rsidR="007903A2" w:rsidRPr="00AD5BE5" w:rsidRDefault="007903A2" w:rsidP="00D94493">
            <w:pPr>
              <w:contextualSpacing/>
              <w:rPr>
                <w:rFonts w:ascii="Times New Roman" w:hAnsi="Times New Roman" w:cs="Times New Roman"/>
                <w:color w:val="000000"/>
                <w:sz w:val="14"/>
                <w:szCs w:val="14"/>
                <w:lang w:eastAsia="sk-SK"/>
              </w:rPr>
            </w:pPr>
            <w:r w:rsidRPr="00AD5BE5">
              <w:rPr>
                <w:rFonts w:ascii="Times New Roman" w:hAnsi="Times New Roman" w:cs="Times New Roman"/>
                <w:color w:val="000000"/>
                <w:sz w:val="14"/>
                <w:szCs w:val="14"/>
                <w:lang w:eastAsia="sk-SK"/>
              </w:rPr>
              <w:t>Prognóza MF SR (</w:t>
            </w:r>
            <w:proofErr w:type="spellStart"/>
            <w:r>
              <w:rPr>
                <w:rFonts w:ascii="Times New Roman" w:hAnsi="Times New Roman" w:cs="Times New Roman"/>
                <w:color w:val="000000"/>
                <w:sz w:val="14"/>
                <w:szCs w:val="14"/>
                <w:lang w:eastAsia="sk-SK"/>
              </w:rPr>
              <w:t>dec</w:t>
            </w:r>
            <w:proofErr w:type="spellEnd"/>
            <w:r w:rsidRPr="00AD5BE5">
              <w:rPr>
                <w:rFonts w:ascii="Times New Roman" w:hAnsi="Times New Roman" w:cs="Times New Roman"/>
                <w:color w:val="000000"/>
                <w:sz w:val="14"/>
                <w:szCs w:val="14"/>
                <w:lang w:eastAsia="sk-SK"/>
              </w:rPr>
              <w:t>)</w:t>
            </w:r>
          </w:p>
        </w:tc>
        <w:tc>
          <w:tcPr>
            <w:tcW w:w="388" w:type="pct"/>
            <w:tcBorders>
              <w:top w:val="nil"/>
              <w:left w:val="nil"/>
              <w:bottom w:val="single" w:sz="4" w:space="0" w:color="auto"/>
            </w:tcBorders>
            <w:shd w:val="clear" w:color="auto" w:fill="auto"/>
            <w:noWrap/>
          </w:tcPr>
          <w:p w14:paraId="1D583F29" w14:textId="77777777" w:rsidR="007903A2" w:rsidRPr="005A1A9D" w:rsidRDefault="007903A2" w:rsidP="00D94493">
            <w:pPr>
              <w:contextualSpacing/>
              <w:jc w:val="right"/>
              <w:rPr>
                <w:rFonts w:ascii="Times New Roman" w:hAnsi="Times New Roman" w:cs="Times New Roman"/>
                <w:color w:val="000000"/>
                <w:sz w:val="14"/>
                <w:szCs w:val="14"/>
                <w:lang w:eastAsia="sk-SK"/>
              </w:rPr>
            </w:pPr>
            <w:r w:rsidRPr="005A1A9D">
              <w:rPr>
                <w:rFonts w:ascii="Times New Roman" w:hAnsi="Times New Roman" w:cs="Times New Roman"/>
                <w:color w:val="000000"/>
                <w:sz w:val="14"/>
                <w:szCs w:val="14"/>
                <w:lang w:eastAsia="sk-SK"/>
              </w:rPr>
              <w:t>1</w:t>
            </w:r>
            <w:r>
              <w:rPr>
                <w:rFonts w:ascii="Times New Roman" w:hAnsi="Times New Roman" w:cs="Times New Roman"/>
                <w:color w:val="000000"/>
                <w:sz w:val="14"/>
                <w:szCs w:val="14"/>
                <w:lang w:eastAsia="sk-SK"/>
              </w:rPr>
              <w:t>,</w:t>
            </w:r>
            <w:r w:rsidRPr="005A1A9D">
              <w:rPr>
                <w:rFonts w:ascii="Times New Roman" w:hAnsi="Times New Roman" w:cs="Times New Roman"/>
                <w:color w:val="000000"/>
                <w:sz w:val="14"/>
                <w:szCs w:val="14"/>
                <w:lang w:eastAsia="sk-SK"/>
              </w:rPr>
              <w:t>8</w:t>
            </w:r>
          </w:p>
        </w:tc>
        <w:tc>
          <w:tcPr>
            <w:tcW w:w="388" w:type="pct"/>
            <w:tcBorders>
              <w:top w:val="nil"/>
              <w:left w:val="nil"/>
              <w:bottom w:val="single" w:sz="4" w:space="0" w:color="auto"/>
            </w:tcBorders>
            <w:shd w:val="clear" w:color="auto" w:fill="auto"/>
            <w:noWrap/>
          </w:tcPr>
          <w:p w14:paraId="5D7BD9A4" w14:textId="77777777" w:rsidR="007903A2" w:rsidRPr="005A1A9D" w:rsidRDefault="007903A2" w:rsidP="00D94493">
            <w:pPr>
              <w:contextualSpacing/>
              <w:jc w:val="right"/>
              <w:rPr>
                <w:rFonts w:ascii="Times New Roman" w:hAnsi="Times New Roman" w:cs="Times New Roman"/>
                <w:color w:val="000000"/>
                <w:sz w:val="14"/>
                <w:szCs w:val="14"/>
                <w:lang w:eastAsia="sk-SK"/>
              </w:rPr>
            </w:pPr>
            <w:r w:rsidRPr="005A1A9D">
              <w:rPr>
                <w:rFonts w:ascii="Times New Roman" w:hAnsi="Times New Roman" w:cs="Times New Roman"/>
                <w:color w:val="000000"/>
                <w:sz w:val="14"/>
                <w:szCs w:val="14"/>
                <w:lang w:eastAsia="sk-SK"/>
              </w:rPr>
              <w:t>1</w:t>
            </w:r>
            <w:r>
              <w:rPr>
                <w:rFonts w:ascii="Times New Roman" w:hAnsi="Times New Roman" w:cs="Times New Roman"/>
                <w:color w:val="000000"/>
                <w:sz w:val="14"/>
                <w:szCs w:val="14"/>
                <w:lang w:eastAsia="sk-SK"/>
              </w:rPr>
              <w:t>,</w:t>
            </w:r>
            <w:r w:rsidRPr="005A1A9D">
              <w:rPr>
                <w:rFonts w:ascii="Times New Roman" w:hAnsi="Times New Roman" w:cs="Times New Roman"/>
                <w:color w:val="000000"/>
                <w:sz w:val="14"/>
                <w:szCs w:val="14"/>
                <w:lang w:eastAsia="sk-SK"/>
              </w:rPr>
              <w:t>2</w:t>
            </w:r>
          </w:p>
        </w:tc>
        <w:tc>
          <w:tcPr>
            <w:tcW w:w="351" w:type="pct"/>
            <w:tcBorders>
              <w:top w:val="nil"/>
              <w:left w:val="nil"/>
              <w:bottom w:val="single" w:sz="4" w:space="0" w:color="auto"/>
            </w:tcBorders>
            <w:shd w:val="clear" w:color="auto" w:fill="auto"/>
            <w:noWrap/>
          </w:tcPr>
          <w:p w14:paraId="735948EF" w14:textId="77777777" w:rsidR="007903A2" w:rsidRPr="005A1A9D" w:rsidRDefault="007903A2" w:rsidP="00D94493">
            <w:pPr>
              <w:contextualSpacing/>
              <w:jc w:val="right"/>
              <w:rPr>
                <w:rFonts w:ascii="Times New Roman" w:hAnsi="Times New Roman" w:cs="Times New Roman"/>
                <w:color w:val="000000"/>
                <w:sz w:val="14"/>
                <w:szCs w:val="14"/>
                <w:lang w:eastAsia="sk-SK"/>
              </w:rPr>
            </w:pPr>
            <w:r w:rsidRPr="005A1A9D">
              <w:rPr>
                <w:rFonts w:ascii="Times New Roman" w:hAnsi="Times New Roman" w:cs="Times New Roman"/>
                <w:color w:val="000000"/>
                <w:sz w:val="14"/>
                <w:szCs w:val="14"/>
                <w:lang w:eastAsia="sk-SK"/>
              </w:rPr>
              <w:t>2</w:t>
            </w:r>
            <w:r>
              <w:rPr>
                <w:rFonts w:ascii="Times New Roman" w:hAnsi="Times New Roman" w:cs="Times New Roman"/>
                <w:color w:val="000000"/>
                <w:sz w:val="14"/>
                <w:szCs w:val="14"/>
                <w:lang w:eastAsia="sk-SK"/>
              </w:rPr>
              <w:t>,</w:t>
            </w:r>
            <w:r w:rsidRPr="005A1A9D">
              <w:rPr>
                <w:rFonts w:ascii="Times New Roman" w:hAnsi="Times New Roman" w:cs="Times New Roman"/>
                <w:color w:val="000000"/>
                <w:sz w:val="14"/>
                <w:szCs w:val="14"/>
                <w:lang w:eastAsia="sk-SK"/>
              </w:rPr>
              <w:t>7</w:t>
            </w:r>
          </w:p>
        </w:tc>
        <w:tc>
          <w:tcPr>
            <w:tcW w:w="353" w:type="pct"/>
            <w:tcBorders>
              <w:top w:val="nil"/>
              <w:left w:val="nil"/>
              <w:bottom w:val="single" w:sz="4" w:space="0" w:color="auto"/>
            </w:tcBorders>
            <w:shd w:val="clear" w:color="auto" w:fill="auto"/>
            <w:noWrap/>
          </w:tcPr>
          <w:p w14:paraId="434FE94B" w14:textId="77777777" w:rsidR="007903A2" w:rsidRPr="005A1A9D" w:rsidRDefault="007903A2" w:rsidP="00D94493">
            <w:pPr>
              <w:contextualSpacing/>
              <w:jc w:val="right"/>
              <w:rPr>
                <w:rFonts w:ascii="Times New Roman" w:hAnsi="Times New Roman" w:cs="Times New Roman"/>
                <w:color w:val="000000"/>
                <w:sz w:val="14"/>
                <w:szCs w:val="14"/>
                <w:lang w:eastAsia="sk-SK"/>
              </w:rPr>
            </w:pPr>
            <w:r w:rsidRPr="005A1A9D">
              <w:rPr>
                <w:rFonts w:ascii="Times New Roman" w:hAnsi="Times New Roman" w:cs="Times New Roman"/>
                <w:color w:val="000000"/>
                <w:sz w:val="14"/>
                <w:szCs w:val="14"/>
                <w:lang w:eastAsia="sk-SK"/>
              </w:rPr>
              <w:t>2</w:t>
            </w:r>
            <w:r>
              <w:rPr>
                <w:rFonts w:ascii="Times New Roman" w:hAnsi="Times New Roman" w:cs="Times New Roman"/>
                <w:color w:val="000000"/>
                <w:sz w:val="14"/>
                <w:szCs w:val="14"/>
                <w:lang w:eastAsia="sk-SK"/>
              </w:rPr>
              <w:t>,</w:t>
            </w:r>
            <w:r w:rsidRPr="005A1A9D">
              <w:rPr>
                <w:rFonts w:ascii="Times New Roman" w:hAnsi="Times New Roman" w:cs="Times New Roman"/>
                <w:color w:val="000000"/>
                <w:sz w:val="14"/>
                <w:szCs w:val="14"/>
                <w:lang w:eastAsia="sk-SK"/>
              </w:rPr>
              <w:t>8</w:t>
            </w:r>
          </w:p>
        </w:tc>
      </w:tr>
      <w:tr w:rsidR="007903A2" w:rsidRPr="00AD5BE5" w14:paraId="7F5715AF" w14:textId="77777777" w:rsidTr="00F63632">
        <w:trPr>
          <w:trHeight w:val="227"/>
          <w:jc w:val="center"/>
        </w:trPr>
        <w:tc>
          <w:tcPr>
            <w:tcW w:w="2228" w:type="pct"/>
            <w:vMerge w:val="restart"/>
            <w:tcBorders>
              <w:top w:val="single" w:sz="4" w:space="0" w:color="000000"/>
              <w:bottom w:val="single" w:sz="4" w:space="0" w:color="000000"/>
            </w:tcBorders>
            <w:shd w:val="clear" w:color="auto" w:fill="auto"/>
            <w:noWrap/>
            <w:vAlign w:val="center"/>
            <w:hideMark/>
          </w:tcPr>
          <w:p w14:paraId="33F24134" w14:textId="77777777" w:rsidR="007903A2" w:rsidRPr="00AD5BE5" w:rsidRDefault="007903A2" w:rsidP="00D94493">
            <w:pPr>
              <w:ind w:firstLineChars="300" w:firstLine="420"/>
              <w:contextualSpacing/>
              <w:rPr>
                <w:rFonts w:ascii="Times New Roman" w:hAnsi="Times New Roman" w:cs="Times New Roman"/>
                <w:color w:val="000000"/>
                <w:sz w:val="14"/>
                <w:szCs w:val="14"/>
                <w:lang w:eastAsia="sk-SK"/>
              </w:rPr>
            </w:pPr>
            <w:r w:rsidRPr="00AD5BE5">
              <w:rPr>
                <w:rFonts w:ascii="Times New Roman" w:hAnsi="Times New Roman" w:cs="Times New Roman"/>
                <w:color w:val="000000"/>
                <w:sz w:val="14"/>
                <w:szCs w:val="14"/>
                <w:lang w:eastAsia="sk-SK"/>
              </w:rPr>
              <w:t>Súkromná spotreba</w:t>
            </w:r>
          </w:p>
        </w:tc>
        <w:tc>
          <w:tcPr>
            <w:tcW w:w="1292" w:type="pct"/>
            <w:tcBorders>
              <w:top w:val="nil"/>
              <w:left w:val="nil"/>
              <w:bottom w:val="nil"/>
            </w:tcBorders>
            <w:shd w:val="clear" w:color="auto" w:fill="auto"/>
            <w:noWrap/>
            <w:vAlign w:val="bottom"/>
            <w:hideMark/>
          </w:tcPr>
          <w:p w14:paraId="6FBC300B" w14:textId="77777777" w:rsidR="007903A2" w:rsidRPr="00AD5BE5" w:rsidRDefault="007903A2" w:rsidP="00D94493">
            <w:pPr>
              <w:contextualSpacing/>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Prognóza EK (jeseň</w:t>
            </w:r>
            <w:r w:rsidRPr="00AD5BE5">
              <w:rPr>
                <w:rFonts w:ascii="Times New Roman" w:hAnsi="Times New Roman" w:cs="Times New Roman"/>
                <w:color w:val="000000"/>
                <w:sz w:val="14"/>
                <w:szCs w:val="14"/>
                <w:lang w:eastAsia="sk-SK"/>
              </w:rPr>
              <w:t>)</w:t>
            </w:r>
          </w:p>
        </w:tc>
        <w:tc>
          <w:tcPr>
            <w:tcW w:w="388" w:type="pct"/>
            <w:tcBorders>
              <w:top w:val="nil"/>
              <w:left w:val="nil"/>
              <w:bottom w:val="nil"/>
            </w:tcBorders>
            <w:shd w:val="clear" w:color="auto" w:fill="auto"/>
            <w:noWrap/>
            <w:vAlign w:val="bottom"/>
          </w:tcPr>
          <w:p w14:paraId="218C1321"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5,5</w:t>
            </w:r>
          </w:p>
        </w:tc>
        <w:tc>
          <w:tcPr>
            <w:tcW w:w="388" w:type="pct"/>
            <w:tcBorders>
              <w:top w:val="nil"/>
              <w:left w:val="nil"/>
              <w:bottom w:val="nil"/>
            </w:tcBorders>
            <w:shd w:val="clear" w:color="auto" w:fill="auto"/>
            <w:noWrap/>
            <w:vAlign w:val="bottom"/>
          </w:tcPr>
          <w:p w14:paraId="15C699A8"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-1,6</w:t>
            </w:r>
          </w:p>
        </w:tc>
        <w:tc>
          <w:tcPr>
            <w:tcW w:w="351" w:type="pct"/>
            <w:tcBorders>
              <w:top w:val="nil"/>
              <w:left w:val="nil"/>
              <w:bottom w:val="nil"/>
            </w:tcBorders>
            <w:shd w:val="clear" w:color="auto" w:fill="auto"/>
            <w:noWrap/>
            <w:vAlign w:val="bottom"/>
          </w:tcPr>
          <w:p w14:paraId="7F016C23"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1,5</w:t>
            </w:r>
          </w:p>
        </w:tc>
        <w:tc>
          <w:tcPr>
            <w:tcW w:w="353" w:type="pct"/>
            <w:tcBorders>
              <w:top w:val="nil"/>
              <w:left w:val="nil"/>
              <w:bottom w:val="nil"/>
            </w:tcBorders>
            <w:shd w:val="clear" w:color="auto" w:fill="auto"/>
            <w:noWrap/>
            <w:vAlign w:val="bottom"/>
          </w:tcPr>
          <w:p w14:paraId="749E7E10"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0,9</w:t>
            </w:r>
          </w:p>
        </w:tc>
      </w:tr>
      <w:tr w:rsidR="007903A2" w:rsidRPr="00AD5BE5" w14:paraId="2A2E27C1" w14:textId="77777777" w:rsidTr="00F63632">
        <w:trPr>
          <w:trHeight w:val="227"/>
          <w:jc w:val="center"/>
        </w:trPr>
        <w:tc>
          <w:tcPr>
            <w:tcW w:w="2228" w:type="pct"/>
            <w:vMerge/>
            <w:tcBorders>
              <w:top w:val="single" w:sz="4" w:space="0" w:color="000000"/>
              <w:bottom w:val="single" w:sz="4" w:space="0" w:color="000000"/>
            </w:tcBorders>
            <w:vAlign w:val="center"/>
            <w:hideMark/>
          </w:tcPr>
          <w:p w14:paraId="4AE7CDBD" w14:textId="77777777" w:rsidR="007903A2" w:rsidRPr="00AD5BE5" w:rsidRDefault="007903A2" w:rsidP="00D94493">
            <w:pPr>
              <w:contextualSpacing/>
              <w:rPr>
                <w:rFonts w:ascii="Times New Roman" w:hAnsi="Times New Roman" w:cs="Times New Roman"/>
                <w:color w:val="000000"/>
                <w:sz w:val="14"/>
                <w:szCs w:val="14"/>
                <w:lang w:eastAsia="sk-SK"/>
              </w:rPr>
            </w:pPr>
          </w:p>
        </w:tc>
        <w:tc>
          <w:tcPr>
            <w:tcW w:w="1292" w:type="pct"/>
            <w:tcBorders>
              <w:top w:val="nil"/>
              <w:left w:val="nil"/>
              <w:bottom w:val="single" w:sz="4" w:space="0" w:color="auto"/>
            </w:tcBorders>
            <w:shd w:val="clear" w:color="auto" w:fill="auto"/>
            <w:noWrap/>
            <w:vAlign w:val="bottom"/>
            <w:hideMark/>
          </w:tcPr>
          <w:p w14:paraId="39CCAC8B" w14:textId="77777777" w:rsidR="007903A2" w:rsidRPr="00AD5BE5" w:rsidRDefault="007903A2" w:rsidP="00D94493">
            <w:pPr>
              <w:contextualSpacing/>
              <w:rPr>
                <w:rFonts w:ascii="Times New Roman" w:hAnsi="Times New Roman" w:cs="Times New Roman"/>
                <w:color w:val="000000"/>
                <w:sz w:val="14"/>
                <w:szCs w:val="14"/>
                <w:lang w:eastAsia="sk-SK"/>
              </w:rPr>
            </w:pPr>
            <w:r w:rsidRPr="00AD5BE5">
              <w:rPr>
                <w:rFonts w:ascii="Times New Roman" w:hAnsi="Times New Roman" w:cs="Times New Roman"/>
                <w:color w:val="000000"/>
                <w:sz w:val="14"/>
                <w:szCs w:val="14"/>
                <w:lang w:eastAsia="sk-SK"/>
              </w:rPr>
              <w:t>Prognóza MF SR (</w:t>
            </w:r>
            <w:proofErr w:type="spellStart"/>
            <w:r>
              <w:rPr>
                <w:rFonts w:ascii="Times New Roman" w:hAnsi="Times New Roman" w:cs="Times New Roman"/>
                <w:color w:val="000000"/>
                <w:sz w:val="14"/>
                <w:szCs w:val="14"/>
                <w:lang w:eastAsia="sk-SK"/>
              </w:rPr>
              <w:t>dec</w:t>
            </w:r>
            <w:proofErr w:type="spellEnd"/>
            <w:r w:rsidRPr="00AD5BE5">
              <w:rPr>
                <w:rFonts w:ascii="Times New Roman" w:hAnsi="Times New Roman" w:cs="Times New Roman"/>
                <w:color w:val="000000"/>
                <w:sz w:val="14"/>
                <w:szCs w:val="14"/>
                <w:lang w:eastAsia="sk-SK"/>
              </w:rPr>
              <w:t>)</w:t>
            </w:r>
          </w:p>
        </w:tc>
        <w:tc>
          <w:tcPr>
            <w:tcW w:w="388" w:type="pct"/>
            <w:tcBorders>
              <w:top w:val="nil"/>
              <w:left w:val="nil"/>
              <w:bottom w:val="single" w:sz="4" w:space="0" w:color="auto"/>
            </w:tcBorders>
            <w:shd w:val="clear" w:color="auto" w:fill="auto"/>
            <w:noWrap/>
            <w:vAlign w:val="bottom"/>
          </w:tcPr>
          <w:p w14:paraId="7C042503"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5</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7</w:t>
            </w:r>
          </w:p>
        </w:tc>
        <w:tc>
          <w:tcPr>
            <w:tcW w:w="388" w:type="pct"/>
            <w:tcBorders>
              <w:top w:val="nil"/>
              <w:left w:val="nil"/>
              <w:bottom w:val="single" w:sz="4" w:space="0" w:color="auto"/>
            </w:tcBorders>
            <w:shd w:val="clear" w:color="auto" w:fill="auto"/>
            <w:noWrap/>
            <w:vAlign w:val="bottom"/>
          </w:tcPr>
          <w:p w14:paraId="460CE019"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-1</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9</w:t>
            </w:r>
          </w:p>
        </w:tc>
        <w:tc>
          <w:tcPr>
            <w:tcW w:w="351" w:type="pct"/>
            <w:tcBorders>
              <w:top w:val="nil"/>
              <w:left w:val="nil"/>
              <w:bottom w:val="single" w:sz="4" w:space="0" w:color="auto"/>
            </w:tcBorders>
            <w:shd w:val="clear" w:color="auto" w:fill="auto"/>
            <w:noWrap/>
            <w:vAlign w:val="bottom"/>
          </w:tcPr>
          <w:p w14:paraId="76FDEA3B"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3</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3</w:t>
            </w:r>
          </w:p>
        </w:tc>
        <w:tc>
          <w:tcPr>
            <w:tcW w:w="353" w:type="pct"/>
            <w:tcBorders>
              <w:top w:val="nil"/>
              <w:left w:val="nil"/>
              <w:bottom w:val="single" w:sz="4" w:space="0" w:color="auto"/>
            </w:tcBorders>
            <w:shd w:val="clear" w:color="auto" w:fill="auto"/>
            <w:noWrap/>
            <w:vAlign w:val="bottom"/>
          </w:tcPr>
          <w:p w14:paraId="060FE0C2"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1</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7</w:t>
            </w:r>
          </w:p>
        </w:tc>
      </w:tr>
      <w:tr w:rsidR="007903A2" w:rsidRPr="00AD5BE5" w14:paraId="24E7CC94" w14:textId="77777777" w:rsidTr="00F63632">
        <w:trPr>
          <w:trHeight w:val="227"/>
          <w:jc w:val="center"/>
        </w:trPr>
        <w:tc>
          <w:tcPr>
            <w:tcW w:w="2228" w:type="pct"/>
            <w:vMerge w:val="restart"/>
            <w:tcBorders>
              <w:top w:val="single" w:sz="4" w:space="0" w:color="000000"/>
              <w:bottom w:val="single" w:sz="4" w:space="0" w:color="000000"/>
            </w:tcBorders>
            <w:shd w:val="clear" w:color="auto" w:fill="auto"/>
            <w:noWrap/>
            <w:vAlign w:val="center"/>
            <w:hideMark/>
          </w:tcPr>
          <w:p w14:paraId="47B7D035" w14:textId="77777777" w:rsidR="007903A2" w:rsidRPr="00AD5BE5" w:rsidRDefault="007903A2" w:rsidP="00D94493">
            <w:pPr>
              <w:ind w:firstLineChars="300" w:firstLine="420"/>
              <w:contextualSpacing/>
              <w:rPr>
                <w:rFonts w:ascii="Times New Roman" w:hAnsi="Times New Roman" w:cs="Times New Roman"/>
                <w:color w:val="000000"/>
                <w:sz w:val="14"/>
                <w:szCs w:val="14"/>
                <w:lang w:eastAsia="sk-SK"/>
              </w:rPr>
            </w:pPr>
            <w:r w:rsidRPr="00AD5BE5">
              <w:rPr>
                <w:rFonts w:ascii="Times New Roman" w:hAnsi="Times New Roman" w:cs="Times New Roman"/>
                <w:color w:val="000000"/>
                <w:sz w:val="14"/>
                <w:szCs w:val="14"/>
                <w:lang w:eastAsia="sk-SK"/>
              </w:rPr>
              <w:t>Verejná spotreba</w:t>
            </w:r>
          </w:p>
        </w:tc>
        <w:tc>
          <w:tcPr>
            <w:tcW w:w="1292" w:type="pct"/>
            <w:tcBorders>
              <w:top w:val="nil"/>
              <w:left w:val="nil"/>
              <w:bottom w:val="nil"/>
            </w:tcBorders>
            <w:shd w:val="clear" w:color="auto" w:fill="auto"/>
            <w:noWrap/>
            <w:vAlign w:val="bottom"/>
            <w:hideMark/>
          </w:tcPr>
          <w:p w14:paraId="71BB6AD3" w14:textId="77777777" w:rsidR="007903A2" w:rsidRPr="00AD5BE5" w:rsidRDefault="007903A2" w:rsidP="00D94493">
            <w:pPr>
              <w:contextualSpacing/>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Prognóza EK (jeseň</w:t>
            </w:r>
            <w:r w:rsidRPr="00AD5BE5">
              <w:rPr>
                <w:rFonts w:ascii="Times New Roman" w:hAnsi="Times New Roman" w:cs="Times New Roman"/>
                <w:color w:val="000000"/>
                <w:sz w:val="14"/>
                <w:szCs w:val="14"/>
                <w:lang w:eastAsia="sk-SK"/>
              </w:rPr>
              <w:t>)</w:t>
            </w:r>
          </w:p>
        </w:tc>
        <w:tc>
          <w:tcPr>
            <w:tcW w:w="388" w:type="pct"/>
            <w:tcBorders>
              <w:top w:val="nil"/>
              <w:left w:val="nil"/>
              <w:bottom w:val="nil"/>
            </w:tcBorders>
            <w:shd w:val="clear" w:color="auto" w:fill="auto"/>
            <w:noWrap/>
            <w:vAlign w:val="bottom"/>
          </w:tcPr>
          <w:p w14:paraId="3DFE1E3C"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-4,2</w:t>
            </w:r>
          </w:p>
        </w:tc>
        <w:tc>
          <w:tcPr>
            <w:tcW w:w="388" w:type="pct"/>
            <w:tcBorders>
              <w:top w:val="nil"/>
              <w:left w:val="nil"/>
              <w:bottom w:val="nil"/>
            </w:tcBorders>
            <w:shd w:val="clear" w:color="auto" w:fill="auto"/>
            <w:noWrap/>
            <w:vAlign w:val="bottom"/>
          </w:tcPr>
          <w:p w14:paraId="58DAA7C1"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-4,3</w:t>
            </w:r>
          </w:p>
        </w:tc>
        <w:tc>
          <w:tcPr>
            <w:tcW w:w="351" w:type="pct"/>
            <w:tcBorders>
              <w:top w:val="nil"/>
              <w:left w:val="nil"/>
              <w:bottom w:val="nil"/>
            </w:tcBorders>
            <w:shd w:val="clear" w:color="auto" w:fill="auto"/>
            <w:noWrap/>
            <w:vAlign w:val="bottom"/>
          </w:tcPr>
          <w:p w14:paraId="57628DA6"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2,9</w:t>
            </w:r>
          </w:p>
        </w:tc>
        <w:tc>
          <w:tcPr>
            <w:tcW w:w="353" w:type="pct"/>
            <w:tcBorders>
              <w:top w:val="nil"/>
              <w:left w:val="nil"/>
              <w:bottom w:val="nil"/>
            </w:tcBorders>
            <w:shd w:val="clear" w:color="auto" w:fill="auto"/>
            <w:noWrap/>
            <w:vAlign w:val="bottom"/>
          </w:tcPr>
          <w:p w14:paraId="7AE100C7"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1,3</w:t>
            </w:r>
          </w:p>
        </w:tc>
      </w:tr>
      <w:tr w:rsidR="007903A2" w:rsidRPr="00AD5BE5" w14:paraId="68270494" w14:textId="77777777" w:rsidTr="00F63632">
        <w:trPr>
          <w:trHeight w:val="227"/>
          <w:jc w:val="center"/>
        </w:trPr>
        <w:tc>
          <w:tcPr>
            <w:tcW w:w="2228" w:type="pct"/>
            <w:vMerge/>
            <w:tcBorders>
              <w:top w:val="single" w:sz="4" w:space="0" w:color="000000"/>
              <w:bottom w:val="single" w:sz="4" w:space="0" w:color="000000"/>
            </w:tcBorders>
            <w:vAlign w:val="center"/>
            <w:hideMark/>
          </w:tcPr>
          <w:p w14:paraId="6BA00E06" w14:textId="77777777" w:rsidR="007903A2" w:rsidRPr="00AD5BE5" w:rsidRDefault="007903A2" w:rsidP="00D94493">
            <w:pPr>
              <w:contextualSpacing/>
              <w:rPr>
                <w:rFonts w:ascii="Times New Roman" w:hAnsi="Times New Roman" w:cs="Times New Roman"/>
                <w:color w:val="000000"/>
                <w:sz w:val="14"/>
                <w:szCs w:val="14"/>
                <w:lang w:eastAsia="sk-SK"/>
              </w:rPr>
            </w:pPr>
          </w:p>
        </w:tc>
        <w:tc>
          <w:tcPr>
            <w:tcW w:w="1292" w:type="pct"/>
            <w:tcBorders>
              <w:top w:val="nil"/>
              <w:left w:val="nil"/>
              <w:bottom w:val="single" w:sz="4" w:space="0" w:color="auto"/>
            </w:tcBorders>
            <w:shd w:val="clear" w:color="auto" w:fill="auto"/>
            <w:noWrap/>
            <w:vAlign w:val="bottom"/>
            <w:hideMark/>
          </w:tcPr>
          <w:p w14:paraId="7646E839" w14:textId="77777777" w:rsidR="007903A2" w:rsidRPr="00AD5BE5" w:rsidRDefault="007903A2" w:rsidP="00D94493">
            <w:pPr>
              <w:contextualSpacing/>
              <w:rPr>
                <w:rFonts w:ascii="Times New Roman" w:hAnsi="Times New Roman" w:cs="Times New Roman"/>
                <w:color w:val="000000"/>
                <w:sz w:val="14"/>
                <w:szCs w:val="14"/>
                <w:lang w:eastAsia="sk-SK"/>
              </w:rPr>
            </w:pPr>
            <w:r w:rsidRPr="00AD5BE5">
              <w:rPr>
                <w:rFonts w:ascii="Times New Roman" w:hAnsi="Times New Roman" w:cs="Times New Roman"/>
                <w:color w:val="000000"/>
                <w:sz w:val="14"/>
                <w:szCs w:val="14"/>
                <w:lang w:eastAsia="sk-SK"/>
              </w:rPr>
              <w:t>Prognóza MF SR (</w:t>
            </w:r>
            <w:proofErr w:type="spellStart"/>
            <w:r>
              <w:rPr>
                <w:rFonts w:ascii="Times New Roman" w:hAnsi="Times New Roman" w:cs="Times New Roman"/>
                <w:color w:val="000000"/>
                <w:sz w:val="14"/>
                <w:szCs w:val="14"/>
                <w:lang w:eastAsia="sk-SK"/>
              </w:rPr>
              <w:t>dec</w:t>
            </w:r>
            <w:proofErr w:type="spellEnd"/>
            <w:r w:rsidRPr="00AD5BE5">
              <w:rPr>
                <w:rFonts w:ascii="Times New Roman" w:hAnsi="Times New Roman" w:cs="Times New Roman"/>
                <w:color w:val="000000"/>
                <w:sz w:val="14"/>
                <w:szCs w:val="14"/>
                <w:lang w:eastAsia="sk-SK"/>
              </w:rPr>
              <w:t>)</w:t>
            </w:r>
          </w:p>
        </w:tc>
        <w:tc>
          <w:tcPr>
            <w:tcW w:w="388" w:type="pct"/>
            <w:tcBorders>
              <w:top w:val="nil"/>
              <w:left w:val="nil"/>
              <w:bottom w:val="single" w:sz="4" w:space="0" w:color="auto"/>
            </w:tcBorders>
            <w:shd w:val="clear" w:color="auto" w:fill="auto"/>
            <w:noWrap/>
            <w:vAlign w:val="bottom"/>
          </w:tcPr>
          <w:p w14:paraId="1947D037"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-4</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2</w:t>
            </w:r>
          </w:p>
        </w:tc>
        <w:tc>
          <w:tcPr>
            <w:tcW w:w="388" w:type="pct"/>
            <w:tcBorders>
              <w:top w:val="nil"/>
              <w:left w:val="nil"/>
              <w:bottom w:val="single" w:sz="4" w:space="0" w:color="auto"/>
            </w:tcBorders>
            <w:shd w:val="clear" w:color="auto" w:fill="auto"/>
            <w:noWrap/>
            <w:vAlign w:val="bottom"/>
          </w:tcPr>
          <w:p w14:paraId="730B8B0B"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-1</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1</w:t>
            </w:r>
          </w:p>
        </w:tc>
        <w:tc>
          <w:tcPr>
            <w:tcW w:w="351" w:type="pct"/>
            <w:tcBorders>
              <w:top w:val="nil"/>
              <w:left w:val="nil"/>
              <w:bottom w:val="single" w:sz="4" w:space="0" w:color="auto"/>
            </w:tcBorders>
            <w:shd w:val="clear" w:color="auto" w:fill="auto"/>
            <w:noWrap/>
            <w:vAlign w:val="bottom"/>
          </w:tcPr>
          <w:p w14:paraId="1CE226A0"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1</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2</w:t>
            </w:r>
          </w:p>
        </w:tc>
        <w:tc>
          <w:tcPr>
            <w:tcW w:w="353" w:type="pct"/>
            <w:tcBorders>
              <w:top w:val="nil"/>
              <w:left w:val="nil"/>
              <w:bottom w:val="single" w:sz="4" w:space="0" w:color="auto"/>
            </w:tcBorders>
            <w:shd w:val="clear" w:color="auto" w:fill="auto"/>
            <w:noWrap/>
            <w:vAlign w:val="bottom"/>
          </w:tcPr>
          <w:p w14:paraId="2AF084E5"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0</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9</w:t>
            </w:r>
          </w:p>
        </w:tc>
      </w:tr>
      <w:tr w:rsidR="007903A2" w:rsidRPr="00AD5BE5" w14:paraId="431BBF35" w14:textId="77777777" w:rsidTr="00F63632">
        <w:trPr>
          <w:trHeight w:val="227"/>
          <w:jc w:val="center"/>
        </w:trPr>
        <w:tc>
          <w:tcPr>
            <w:tcW w:w="2228" w:type="pct"/>
            <w:vMerge w:val="restart"/>
            <w:tcBorders>
              <w:top w:val="single" w:sz="4" w:space="0" w:color="000000"/>
              <w:bottom w:val="single" w:sz="4" w:space="0" w:color="000000"/>
            </w:tcBorders>
            <w:shd w:val="clear" w:color="auto" w:fill="auto"/>
            <w:noWrap/>
            <w:vAlign w:val="center"/>
            <w:hideMark/>
          </w:tcPr>
          <w:p w14:paraId="3BE7953B" w14:textId="77777777" w:rsidR="007903A2" w:rsidRPr="00AD5BE5" w:rsidRDefault="007903A2" w:rsidP="00D94493">
            <w:pPr>
              <w:ind w:firstLineChars="300" w:firstLine="420"/>
              <w:contextualSpacing/>
              <w:rPr>
                <w:rFonts w:ascii="Times New Roman" w:hAnsi="Times New Roman" w:cs="Times New Roman"/>
                <w:color w:val="000000"/>
                <w:sz w:val="14"/>
                <w:szCs w:val="14"/>
                <w:lang w:eastAsia="sk-SK"/>
              </w:rPr>
            </w:pPr>
            <w:r w:rsidRPr="00AD5BE5">
              <w:rPr>
                <w:rFonts w:ascii="Times New Roman" w:hAnsi="Times New Roman" w:cs="Times New Roman"/>
                <w:color w:val="000000"/>
                <w:sz w:val="14"/>
                <w:szCs w:val="14"/>
                <w:lang w:eastAsia="sk-SK"/>
              </w:rPr>
              <w:t>Investície</w:t>
            </w:r>
          </w:p>
        </w:tc>
        <w:tc>
          <w:tcPr>
            <w:tcW w:w="1292" w:type="pct"/>
            <w:tcBorders>
              <w:top w:val="nil"/>
              <w:left w:val="nil"/>
              <w:bottom w:val="nil"/>
            </w:tcBorders>
            <w:shd w:val="clear" w:color="auto" w:fill="auto"/>
            <w:noWrap/>
            <w:vAlign w:val="bottom"/>
            <w:hideMark/>
          </w:tcPr>
          <w:p w14:paraId="3E54CEC0" w14:textId="77777777" w:rsidR="007903A2" w:rsidRPr="00AD5BE5" w:rsidRDefault="007903A2" w:rsidP="00D94493">
            <w:pPr>
              <w:contextualSpacing/>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Prognóza EK (jeseň</w:t>
            </w:r>
            <w:r w:rsidRPr="00AD5BE5">
              <w:rPr>
                <w:rFonts w:ascii="Times New Roman" w:hAnsi="Times New Roman" w:cs="Times New Roman"/>
                <w:color w:val="000000"/>
                <w:sz w:val="14"/>
                <w:szCs w:val="14"/>
                <w:lang w:eastAsia="sk-SK"/>
              </w:rPr>
              <w:t>)</w:t>
            </w:r>
          </w:p>
        </w:tc>
        <w:tc>
          <w:tcPr>
            <w:tcW w:w="388" w:type="pct"/>
            <w:tcBorders>
              <w:top w:val="nil"/>
              <w:left w:val="nil"/>
              <w:bottom w:val="nil"/>
            </w:tcBorders>
            <w:shd w:val="clear" w:color="auto" w:fill="auto"/>
            <w:noWrap/>
            <w:vAlign w:val="bottom"/>
          </w:tcPr>
          <w:p w14:paraId="568C7F2E"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4,5</w:t>
            </w:r>
          </w:p>
        </w:tc>
        <w:tc>
          <w:tcPr>
            <w:tcW w:w="388" w:type="pct"/>
            <w:tcBorders>
              <w:top w:val="nil"/>
              <w:left w:val="nil"/>
              <w:bottom w:val="nil"/>
            </w:tcBorders>
            <w:shd w:val="clear" w:color="auto" w:fill="auto"/>
            <w:noWrap/>
            <w:vAlign w:val="bottom"/>
          </w:tcPr>
          <w:p w14:paraId="66F7E2F9"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5,0</w:t>
            </w:r>
          </w:p>
        </w:tc>
        <w:tc>
          <w:tcPr>
            <w:tcW w:w="351" w:type="pct"/>
            <w:tcBorders>
              <w:top w:val="nil"/>
              <w:left w:val="nil"/>
              <w:bottom w:val="nil"/>
            </w:tcBorders>
            <w:shd w:val="clear" w:color="auto" w:fill="auto"/>
            <w:noWrap/>
            <w:vAlign w:val="bottom"/>
          </w:tcPr>
          <w:p w14:paraId="4ECB4D70"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2,5</w:t>
            </w:r>
          </w:p>
        </w:tc>
        <w:tc>
          <w:tcPr>
            <w:tcW w:w="353" w:type="pct"/>
            <w:tcBorders>
              <w:top w:val="nil"/>
              <w:left w:val="nil"/>
              <w:bottom w:val="nil"/>
            </w:tcBorders>
            <w:shd w:val="clear" w:color="auto" w:fill="auto"/>
            <w:noWrap/>
            <w:vAlign w:val="bottom"/>
          </w:tcPr>
          <w:p w14:paraId="68669980"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3,3</w:t>
            </w:r>
          </w:p>
        </w:tc>
      </w:tr>
      <w:tr w:rsidR="007903A2" w:rsidRPr="00AD5BE5" w14:paraId="02EF3FCA" w14:textId="77777777" w:rsidTr="00F63632">
        <w:trPr>
          <w:trHeight w:val="227"/>
          <w:jc w:val="center"/>
        </w:trPr>
        <w:tc>
          <w:tcPr>
            <w:tcW w:w="2228" w:type="pct"/>
            <w:vMerge/>
            <w:tcBorders>
              <w:top w:val="single" w:sz="4" w:space="0" w:color="000000"/>
              <w:bottom w:val="single" w:sz="4" w:space="0" w:color="000000"/>
            </w:tcBorders>
            <w:vAlign w:val="center"/>
            <w:hideMark/>
          </w:tcPr>
          <w:p w14:paraId="1A8329D3" w14:textId="77777777" w:rsidR="007903A2" w:rsidRPr="00AD5BE5" w:rsidRDefault="007903A2" w:rsidP="00D94493">
            <w:pPr>
              <w:contextualSpacing/>
              <w:rPr>
                <w:rFonts w:ascii="Times New Roman" w:hAnsi="Times New Roman" w:cs="Times New Roman"/>
                <w:color w:val="000000"/>
                <w:sz w:val="14"/>
                <w:szCs w:val="14"/>
                <w:lang w:eastAsia="sk-SK"/>
              </w:rPr>
            </w:pPr>
          </w:p>
        </w:tc>
        <w:tc>
          <w:tcPr>
            <w:tcW w:w="1292" w:type="pct"/>
            <w:tcBorders>
              <w:top w:val="nil"/>
              <w:left w:val="nil"/>
              <w:bottom w:val="single" w:sz="4" w:space="0" w:color="auto"/>
            </w:tcBorders>
            <w:shd w:val="clear" w:color="auto" w:fill="auto"/>
            <w:noWrap/>
            <w:vAlign w:val="bottom"/>
            <w:hideMark/>
          </w:tcPr>
          <w:p w14:paraId="34E847C3" w14:textId="77777777" w:rsidR="007903A2" w:rsidRPr="00AD5BE5" w:rsidRDefault="007903A2" w:rsidP="00D94493">
            <w:pPr>
              <w:contextualSpacing/>
              <w:rPr>
                <w:rFonts w:ascii="Times New Roman" w:hAnsi="Times New Roman" w:cs="Times New Roman"/>
                <w:color w:val="000000"/>
                <w:sz w:val="14"/>
                <w:szCs w:val="14"/>
                <w:lang w:eastAsia="sk-SK"/>
              </w:rPr>
            </w:pPr>
            <w:r w:rsidRPr="00AD5BE5">
              <w:rPr>
                <w:rFonts w:ascii="Times New Roman" w:hAnsi="Times New Roman" w:cs="Times New Roman"/>
                <w:color w:val="000000"/>
                <w:sz w:val="14"/>
                <w:szCs w:val="14"/>
                <w:lang w:eastAsia="sk-SK"/>
              </w:rPr>
              <w:t>Prognóza MF SR (</w:t>
            </w:r>
            <w:proofErr w:type="spellStart"/>
            <w:r>
              <w:rPr>
                <w:rFonts w:ascii="Times New Roman" w:hAnsi="Times New Roman" w:cs="Times New Roman"/>
                <w:color w:val="000000"/>
                <w:sz w:val="14"/>
                <w:szCs w:val="14"/>
                <w:lang w:eastAsia="sk-SK"/>
              </w:rPr>
              <w:t>dec</w:t>
            </w:r>
            <w:proofErr w:type="spellEnd"/>
            <w:r w:rsidRPr="00AD5BE5">
              <w:rPr>
                <w:rFonts w:ascii="Times New Roman" w:hAnsi="Times New Roman" w:cs="Times New Roman"/>
                <w:color w:val="000000"/>
                <w:sz w:val="14"/>
                <w:szCs w:val="14"/>
                <w:lang w:eastAsia="sk-SK"/>
              </w:rPr>
              <w:t>)</w:t>
            </w:r>
          </w:p>
        </w:tc>
        <w:tc>
          <w:tcPr>
            <w:tcW w:w="388" w:type="pct"/>
            <w:tcBorders>
              <w:top w:val="nil"/>
              <w:left w:val="nil"/>
              <w:bottom w:val="single" w:sz="4" w:space="0" w:color="auto"/>
            </w:tcBorders>
            <w:shd w:val="clear" w:color="auto" w:fill="auto"/>
            <w:noWrap/>
            <w:vAlign w:val="bottom"/>
          </w:tcPr>
          <w:p w14:paraId="4E15E1F3"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4</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5</w:t>
            </w:r>
          </w:p>
        </w:tc>
        <w:tc>
          <w:tcPr>
            <w:tcW w:w="388" w:type="pct"/>
            <w:tcBorders>
              <w:top w:val="nil"/>
              <w:left w:val="nil"/>
              <w:bottom w:val="single" w:sz="4" w:space="0" w:color="auto"/>
            </w:tcBorders>
            <w:shd w:val="clear" w:color="auto" w:fill="auto"/>
            <w:noWrap/>
            <w:vAlign w:val="bottom"/>
          </w:tcPr>
          <w:p w14:paraId="388A0683"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7</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7</w:t>
            </w:r>
          </w:p>
        </w:tc>
        <w:tc>
          <w:tcPr>
            <w:tcW w:w="351" w:type="pct"/>
            <w:tcBorders>
              <w:top w:val="nil"/>
              <w:left w:val="nil"/>
              <w:bottom w:val="single" w:sz="4" w:space="0" w:color="auto"/>
            </w:tcBorders>
            <w:shd w:val="clear" w:color="auto" w:fill="auto"/>
            <w:noWrap/>
            <w:vAlign w:val="bottom"/>
          </w:tcPr>
          <w:p w14:paraId="2228A443"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5</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1</w:t>
            </w:r>
          </w:p>
        </w:tc>
        <w:tc>
          <w:tcPr>
            <w:tcW w:w="353" w:type="pct"/>
            <w:tcBorders>
              <w:top w:val="nil"/>
              <w:left w:val="nil"/>
              <w:bottom w:val="single" w:sz="4" w:space="0" w:color="auto"/>
            </w:tcBorders>
            <w:shd w:val="clear" w:color="auto" w:fill="auto"/>
            <w:noWrap/>
            <w:vAlign w:val="bottom"/>
          </w:tcPr>
          <w:p w14:paraId="0C325B8F"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4</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3</w:t>
            </w:r>
          </w:p>
        </w:tc>
      </w:tr>
      <w:tr w:rsidR="007903A2" w:rsidRPr="00AD5BE5" w14:paraId="0FB6F2C2" w14:textId="77777777" w:rsidTr="00F63632">
        <w:trPr>
          <w:trHeight w:val="227"/>
          <w:jc w:val="center"/>
        </w:trPr>
        <w:tc>
          <w:tcPr>
            <w:tcW w:w="2228" w:type="pct"/>
            <w:vMerge w:val="restart"/>
            <w:tcBorders>
              <w:top w:val="single" w:sz="4" w:space="0" w:color="000000"/>
              <w:bottom w:val="single" w:sz="4" w:space="0" w:color="000000"/>
            </w:tcBorders>
            <w:shd w:val="clear" w:color="auto" w:fill="auto"/>
            <w:noWrap/>
            <w:vAlign w:val="center"/>
            <w:hideMark/>
          </w:tcPr>
          <w:p w14:paraId="2F6EDCC2" w14:textId="77777777" w:rsidR="007903A2" w:rsidRPr="00AD5BE5" w:rsidRDefault="007903A2" w:rsidP="00D94493">
            <w:pPr>
              <w:ind w:firstLineChars="300" w:firstLine="420"/>
              <w:contextualSpacing/>
              <w:rPr>
                <w:rFonts w:ascii="Times New Roman" w:hAnsi="Times New Roman" w:cs="Times New Roman"/>
                <w:color w:val="000000"/>
                <w:sz w:val="14"/>
                <w:szCs w:val="14"/>
                <w:lang w:eastAsia="sk-SK"/>
              </w:rPr>
            </w:pPr>
            <w:r w:rsidRPr="00AD5BE5">
              <w:rPr>
                <w:rFonts w:ascii="Times New Roman" w:hAnsi="Times New Roman" w:cs="Times New Roman"/>
                <w:color w:val="000000"/>
                <w:sz w:val="14"/>
                <w:szCs w:val="14"/>
                <w:lang w:eastAsia="sk-SK"/>
              </w:rPr>
              <w:t>Export</w:t>
            </w:r>
          </w:p>
        </w:tc>
        <w:tc>
          <w:tcPr>
            <w:tcW w:w="1292" w:type="pct"/>
            <w:tcBorders>
              <w:top w:val="nil"/>
              <w:left w:val="nil"/>
              <w:bottom w:val="nil"/>
            </w:tcBorders>
            <w:shd w:val="clear" w:color="auto" w:fill="auto"/>
            <w:noWrap/>
            <w:vAlign w:val="bottom"/>
            <w:hideMark/>
          </w:tcPr>
          <w:p w14:paraId="4B17D70B" w14:textId="77777777" w:rsidR="007903A2" w:rsidRPr="00AD5BE5" w:rsidRDefault="007903A2" w:rsidP="00D94493">
            <w:pPr>
              <w:contextualSpacing/>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Prognóza EK (jeseň</w:t>
            </w:r>
            <w:r w:rsidRPr="00AD5BE5">
              <w:rPr>
                <w:rFonts w:ascii="Times New Roman" w:hAnsi="Times New Roman" w:cs="Times New Roman"/>
                <w:color w:val="000000"/>
                <w:sz w:val="14"/>
                <w:szCs w:val="14"/>
                <w:lang w:eastAsia="sk-SK"/>
              </w:rPr>
              <w:t>)</w:t>
            </w:r>
          </w:p>
        </w:tc>
        <w:tc>
          <w:tcPr>
            <w:tcW w:w="388" w:type="pct"/>
            <w:tcBorders>
              <w:top w:val="nil"/>
              <w:left w:val="nil"/>
              <w:bottom w:val="nil"/>
            </w:tcBorders>
            <w:shd w:val="clear" w:color="auto" w:fill="auto"/>
            <w:noWrap/>
            <w:vAlign w:val="bottom"/>
          </w:tcPr>
          <w:p w14:paraId="6CA1A64C"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3,0</w:t>
            </w:r>
          </w:p>
        </w:tc>
        <w:tc>
          <w:tcPr>
            <w:tcW w:w="388" w:type="pct"/>
            <w:tcBorders>
              <w:top w:val="nil"/>
              <w:left w:val="nil"/>
              <w:bottom w:val="nil"/>
            </w:tcBorders>
            <w:shd w:val="clear" w:color="auto" w:fill="auto"/>
            <w:noWrap/>
            <w:vAlign w:val="bottom"/>
          </w:tcPr>
          <w:p w14:paraId="1075A1A1"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-1,2</w:t>
            </w:r>
          </w:p>
        </w:tc>
        <w:tc>
          <w:tcPr>
            <w:tcW w:w="351" w:type="pct"/>
            <w:tcBorders>
              <w:top w:val="nil"/>
              <w:left w:val="nil"/>
              <w:bottom w:val="nil"/>
            </w:tcBorders>
            <w:shd w:val="clear" w:color="auto" w:fill="auto"/>
            <w:noWrap/>
            <w:vAlign w:val="bottom"/>
          </w:tcPr>
          <w:p w14:paraId="0BC6663F"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5,7</w:t>
            </w:r>
          </w:p>
        </w:tc>
        <w:tc>
          <w:tcPr>
            <w:tcW w:w="353" w:type="pct"/>
            <w:tcBorders>
              <w:top w:val="nil"/>
              <w:left w:val="nil"/>
              <w:bottom w:val="nil"/>
            </w:tcBorders>
            <w:shd w:val="clear" w:color="auto" w:fill="auto"/>
            <w:noWrap/>
            <w:vAlign w:val="bottom"/>
          </w:tcPr>
          <w:p w14:paraId="554D40AC"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4,3</w:t>
            </w:r>
          </w:p>
        </w:tc>
      </w:tr>
      <w:tr w:rsidR="007903A2" w:rsidRPr="00AD5BE5" w14:paraId="0BE80774" w14:textId="77777777" w:rsidTr="00F63632">
        <w:trPr>
          <w:trHeight w:val="227"/>
          <w:jc w:val="center"/>
        </w:trPr>
        <w:tc>
          <w:tcPr>
            <w:tcW w:w="2228" w:type="pct"/>
            <w:vMerge/>
            <w:tcBorders>
              <w:top w:val="single" w:sz="4" w:space="0" w:color="000000"/>
              <w:bottom w:val="single" w:sz="4" w:space="0" w:color="000000"/>
            </w:tcBorders>
            <w:vAlign w:val="center"/>
            <w:hideMark/>
          </w:tcPr>
          <w:p w14:paraId="788BC202" w14:textId="77777777" w:rsidR="007903A2" w:rsidRPr="00AD5BE5" w:rsidRDefault="007903A2" w:rsidP="00D94493">
            <w:pPr>
              <w:contextualSpacing/>
              <w:rPr>
                <w:rFonts w:ascii="Times New Roman" w:hAnsi="Times New Roman" w:cs="Times New Roman"/>
                <w:color w:val="000000"/>
                <w:sz w:val="14"/>
                <w:szCs w:val="14"/>
                <w:lang w:eastAsia="sk-SK"/>
              </w:rPr>
            </w:pPr>
          </w:p>
        </w:tc>
        <w:tc>
          <w:tcPr>
            <w:tcW w:w="1292" w:type="pct"/>
            <w:tcBorders>
              <w:top w:val="nil"/>
              <w:left w:val="nil"/>
              <w:bottom w:val="single" w:sz="4" w:space="0" w:color="auto"/>
            </w:tcBorders>
            <w:shd w:val="clear" w:color="auto" w:fill="auto"/>
            <w:noWrap/>
            <w:vAlign w:val="bottom"/>
            <w:hideMark/>
          </w:tcPr>
          <w:p w14:paraId="249EB626" w14:textId="77777777" w:rsidR="007903A2" w:rsidRPr="00AD5BE5" w:rsidRDefault="007903A2" w:rsidP="00D94493">
            <w:pPr>
              <w:contextualSpacing/>
              <w:rPr>
                <w:rFonts w:ascii="Times New Roman" w:hAnsi="Times New Roman" w:cs="Times New Roman"/>
                <w:color w:val="000000"/>
                <w:sz w:val="14"/>
                <w:szCs w:val="14"/>
                <w:lang w:eastAsia="sk-SK"/>
              </w:rPr>
            </w:pPr>
            <w:r w:rsidRPr="00AD5BE5">
              <w:rPr>
                <w:rFonts w:ascii="Times New Roman" w:hAnsi="Times New Roman" w:cs="Times New Roman"/>
                <w:color w:val="000000"/>
                <w:sz w:val="14"/>
                <w:szCs w:val="14"/>
                <w:lang w:eastAsia="sk-SK"/>
              </w:rPr>
              <w:t>Prognóza MF SR (</w:t>
            </w:r>
            <w:proofErr w:type="spellStart"/>
            <w:r>
              <w:rPr>
                <w:rFonts w:ascii="Times New Roman" w:hAnsi="Times New Roman" w:cs="Times New Roman"/>
                <w:color w:val="000000"/>
                <w:sz w:val="14"/>
                <w:szCs w:val="14"/>
                <w:lang w:eastAsia="sk-SK"/>
              </w:rPr>
              <w:t>dec</w:t>
            </w:r>
            <w:proofErr w:type="spellEnd"/>
            <w:r w:rsidRPr="00AD5BE5">
              <w:rPr>
                <w:rFonts w:ascii="Times New Roman" w:hAnsi="Times New Roman" w:cs="Times New Roman"/>
                <w:color w:val="000000"/>
                <w:sz w:val="14"/>
                <w:szCs w:val="14"/>
                <w:lang w:eastAsia="sk-SK"/>
              </w:rPr>
              <w:t>)</w:t>
            </w:r>
          </w:p>
        </w:tc>
        <w:tc>
          <w:tcPr>
            <w:tcW w:w="388" w:type="pct"/>
            <w:tcBorders>
              <w:top w:val="nil"/>
              <w:left w:val="nil"/>
              <w:bottom w:val="single" w:sz="4" w:space="0" w:color="auto"/>
            </w:tcBorders>
            <w:shd w:val="clear" w:color="auto" w:fill="auto"/>
            <w:noWrap/>
            <w:vAlign w:val="bottom"/>
          </w:tcPr>
          <w:p w14:paraId="77BE872C"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3</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0</w:t>
            </w:r>
          </w:p>
        </w:tc>
        <w:tc>
          <w:tcPr>
            <w:tcW w:w="388" w:type="pct"/>
            <w:tcBorders>
              <w:top w:val="nil"/>
              <w:left w:val="nil"/>
              <w:bottom w:val="single" w:sz="4" w:space="0" w:color="auto"/>
            </w:tcBorders>
            <w:shd w:val="clear" w:color="auto" w:fill="auto"/>
            <w:noWrap/>
            <w:vAlign w:val="bottom"/>
          </w:tcPr>
          <w:p w14:paraId="6354AC1A"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-0</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7</w:t>
            </w:r>
          </w:p>
        </w:tc>
        <w:tc>
          <w:tcPr>
            <w:tcW w:w="351" w:type="pct"/>
            <w:tcBorders>
              <w:top w:val="nil"/>
              <w:left w:val="nil"/>
              <w:bottom w:val="single" w:sz="4" w:space="0" w:color="auto"/>
            </w:tcBorders>
            <w:shd w:val="clear" w:color="auto" w:fill="auto"/>
            <w:noWrap/>
            <w:vAlign w:val="bottom"/>
          </w:tcPr>
          <w:p w14:paraId="425B4ADF"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4</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0</w:t>
            </w:r>
          </w:p>
        </w:tc>
        <w:tc>
          <w:tcPr>
            <w:tcW w:w="353" w:type="pct"/>
            <w:tcBorders>
              <w:top w:val="nil"/>
              <w:left w:val="nil"/>
              <w:bottom w:val="single" w:sz="4" w:space="0" w:color="auto"/>
            </w:tcBorders>
            <w:shd w:val="clear" w:color="auto" w:fill="auto"/>
            <w:noWrap/>
            <w:vAlign w:val="bottom"/>
          </w:tcPr>
          <w:p w14:paraId="4354164B"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3</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9</w:t>
            </w:r>
          </w:p>
        </w:tc>
      </w:tr>
      <w:tr w:rsidR="007903A2" w:rsidRPr="00AD5BE5" w14:paraId="149D2C19" w14:textId="77777777" w:rsidTr="00F63632">
        <w:trPr>
          <w:trHeight w:val="227"/>
          <w:jc w:val="center"/>
        </w:trPr>
        <w:tc>
          <w:tcPr>
            <w:tcW w:w="2228" w:type="pct"/>
            <w:vMerge w:val="restart"/>
            <w:tcBorders>
              <w:top w:val="single" w:sz="4" w:space="0" w:color="000000"/>
              <w:bottom w:val="single" w:sz="4" w:space="0" w:color="000000"/>
            </w:tcBorders>
            <w:shd w:val="clear" w:color="auto" w:fill="auto"/>
            <w:noWrap/>
            <w:vAlign w:val="center"/>
            <w:hideMark/>
          </w:tcPr>
          <w:p w14:paraId="5F729633" w14:textId="77777777" w:rsidR="007903A2" w:rsidRPr="00AD5BE5" w:rsidRDefault="007903A2" w:rsidP="00D94493">
            <w:pPr>
              <w:ind w:firstLineChars="300" w:firstLine="420"/>
              <w:contextualSpacing/>
              <w:rPr>
                <w:rFonts w:ascii="Times New Roman" w:hAnsi="Times New Roman" w:cs="Times New Roman"/>
                <w:color w:val="000000"/>
                <w:sz w:val="14"/>
                <w:szCs w:val="14"/>
                <w:lang w:eastAsia="sk-SK"/>
              </w:rPr>
            </w:pPr>
            <w:r w:rsidRPr="00AD5BE5">
              <w:rPr>
                <w:rFonts w:ascii="Times New Roman" w:hAnsi="Times New Roman" w:cs="Times New Roman"/>
                <w:color w:val="000000"/>
                <w:sz w:val="14"/>
                <w:szCs w:val="14"/>
                <w:lang w:eastAsia="sk-SK"/>
              </w:rPr>
              <w:t>Import</w:t>
            </w:r>
          </w:p>
        </w:tc>
        <w:tc>
          <w:tcPr>
            <w:tcW w:w="1292" w:type="pct"/>
            <w:tcBorders>
              <w:top w:val="nil"/>
              <w:left w:val="nil"/>
              <w:bottom w:val="nil"/>
            </w:tcBorders>
            <w:shd w:val="clear" w:color="auto" w:fill="auto"/>
            <w:noWrap/>
            <w:vAlign w:val="bottom"/>
            <w:hideMark/>
          </w:tcPr>
          <w:p w14:paraId="49F9110C" w14:textId="77777777" w:rsidR="007903A2" w:rsidRPr="00AD5BE5" w:rsidRDefault="007903A2" w:rsidP="00D94493">
            <w:pPr>
              <w:contextualSpacing/>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Prognóza EK (jeseň</w:t>
            </w:r>
            <w:r w:rsidRPr="00AD5BE5">
              <w:rPr>
                <w:rFonts w:ascii="Times New Roman" w:hAnsi="Times New Roman" w:cs="Times New Roman"/>
                <w:color w:val="000000"/>
                <w:sz w:val="14"/>
                <w:szCs w:val="14"/>
                <w:lang w:eastAsia="sk-SK"/>
              </w:rPr>
              <w:t>)</w:t>
            </w:r>
          </w:p>
        </w:tc>
        <w:tc>
          <w:tcPr>
            <w:tcW w:w="388" w:type="pct"/>
            <w:tcBorders>
              <w:top w:val="nil"/>
              <w:left w:val="nil"/>
              <w:bottom w:val="nil"/>
            </w:tcBorders>
            <w:shd w:val="clear" w:color="auto" w:fill="auto"/>
            <w:noWrap/>
            <w:vAlign w:val="bottom"/>
          </w:tcPr>
          <w:p w14:paraId="730FD020"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4,2</w:t>
            </w:r>
          </w:p>
        </w:tc>
        <w:tc>
          <w:tcPr>
            <w:tcW w:w="388" w:type="pct"/>
            <w:tcBorders>
              <w:top w:val="nil"/>
              <w:left w:val="nil"/>
              <w:bottom w:val="nil"/>
            </w:tcBorders>
            <w:shd w:val="clear" w:color="auto" w:fill="auto"/>
            <w:noWrap/>
            <w:vAlign w:val="bottom"/>
          </w:tcPr>
          <w:p w14:paraId="40B04280"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-6,0</w:t>
            </w:r>
          </w:p>
        </w:tc>
        <w:tc>
          <w:tcPr>
            <w:tcW w:w="351" w:type="pct"/>
            <w:tcBorders>
              <w:top w:val="nil"/>
              <w:left w:val="nil"/>
              <w:bottom w:val="nil"/>
            </w:tcBorders>
            <w:shd w:val="clear" w:color="auto" w:fill="auto"/>
            <w:noWrap/>
            <w:vAlign w:val="bottom"/>
          </w:tcPr>
          <w:p w14:paraId="44F41179"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6,3</w:t>
            </w:r>
          </w:p>
        </w:tc>
        <w:tc>
          <w:tcPr>
            <w:tcW w:w="353" w:type="pct"/>
            <w:tcBorders>
              <w:top w:val="nil"/>
              <w:left w:val="nil"/>
              <w:bottom w:val="nil"/>
            </w:tcBorders>
            <w:shd w:val="clear" w:color="auto" w:fill="auto"/>
            <w:noWrap/>
            <w:vAlign w:val="bottom"/>
          </w:tcPr>
          <w:p w14:paraId="624F3B27"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4,2</w:t>
            </w:r>
          </w:p>
        </w:tc>
      </w:tr>
      <w:tr w:rsidR="007903A2" w:rsidRPr="00AD5BE5" w14:paraId="4A00A0C3" w14:textId="77777777" w:rsidTr="00F63632">
        <w:trPr>
          <w:trHeight w:val="227"/>
          <w:jc w:val="center"/>
        </w:trPr>
        <w:tc>
          <w:tcPr>
            <w:tcW w:w="2228" w:type="pct"/>
            <w:vMerge/>
            <w:tcBorders>
              <w:top w:val="single" w:sz="4" w:space="0" w:color="000000"/>
              <w:bottom w:val="single" w:sz="4" w:space="0" w:color="000000"/>
            </w:tcBorders>
            <w:vAlign w:val="center"/>
            <w:hideMark/>
          </w:tcPr>
          <w:p w14:paraId="6CB18841" w14:textId="77777777" w:rsidR="007903A2" w:rsidRPr="00AD5BE5" w:rsidRDefault="007903A2" w:rsidP="00D94493">
            <w:pPr>
              <w:contextualSpacing/>
              <w:rPr>
                <w:rFonts w:ascii="Times New Roman" w:hAnsi="Times New Roman" w:cs="Times New Roman"/>
                <w:color w:val="000000"/>
                <w:sz w:val="14"/>
                <w:szCs w:val="14"/>
                <w:lang w:eastAsia="sk-SK"/>
              </w:rPr>
            </w:pPr>
          </w:p>
        </w:tc>
        <w:tc>
          <w:tcPr>
            <w:tcW w:w="1292" w:type="pct"/>
            <w:tcBorders>
              <w:top w:val="nil"/>
              <w:left w:val="nil"/>
              <w:bottom w:val="single" w:sz="4" w:space="0" w:color="auto"/>
            </w:tcBorders>
            <w:shd w:val="clear" w:color="auto" w:fill="auto"/>
            <w:noWrap/>
            <w:vAlign w:val="bottom"/>
            <w:hideMark/>
          </w:tcPr>
          <w:p w14:paraId="71C52942" w14:textId="77777777" w:rsidR="007903A2" w:rsidRPr="00AD5BE5" w:rsidRDefault="007903A2" w:rsidP="00D94493">
            <w:pPr>
              <w:contextualSpacing/>
              <w:rPr>
                <w:rFonts w:ascii="Times New Roman" w:hAnsi="Times New Roman" w:cs="Times New Roman"/>
                <w:color w:val="000000"/>
                <w:sz w:val="14"/>
                <w:szCs w:val="14"/>
                <w:lang w:eastAsia="sk-SK"/>
              </w:rPr>
            </w:pPr>
            <w:r w:rsidRPr="00AD5BE5">
              <w:rPr>
                <w:rFonts w:ascii="Times New Roman" w:hAnsi="Times New Roman" w:cs="Times New Roman"/>
                <w:color w:val="000000"/>
                <w:sz w:val="14"/>
                <w:szCs w:val="14"/>
                <w:lang w:eastAsia="sk-SK"/>
              </w:rPr>
              <w:t>Prognóza MF SR (</w:t>
            </w:r>
            <w:proofErr w:type="spellStart"/>
            <w:r>
              <w:rPr>
                <w:rFonts w:ascii="Times New Roman" w:hAnsi="Times New Roman" w:cs="Times New Roman"/>
                <w:color w:val="000000"/>
                <w:sz w:val="14"/>
                <w:szCs w:val="14"/>
                <w:lang w:eastAsia="sk-SK"/>
              </w:rPr>
              <w:t>dec</w:t>
            </w:r>
            <w:proofErr w:type="spellEnd"/>
            <w:r w:rsidRPr="00AD5BE5">
              <w:rPr>
                <w:rFonts w:ascii="Times New Roman" w:hAnsi="Times New Roman" w:cs="Times New Roman"/>
                <w:color w:val="000000"/>
                <w:sz w:val="14"/>
                <w:szCs w:val="14"/>
                <w:lang w:eastAsia="sk-SK"/>
              </w:rPr>
              <w:t>)</w:t>
            </w:r>
          </w:p>
        </w:tc>
        <w:tc>
          <w:tcPr>
            <w:tcW w:w="388" w:type="pct"/>
            <w:tcBorders>
              <w:top w:val="nil"/>
              <w:left w:val="nil"/>
              <w:bottom w:val="single" w:sz="4" w:space="0" w:color="auto"/>
            </w:tcBorders>
            <w:shd w:val="clear" w:color="auto" w:fill="auto"/>
            <w:noWrap/>
            <w:vAlign w:val="bottom"/>
          </w:tcPr>
          <w:p w14:paraId="33CCCEBA"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4</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2</w:t>
            </w:r>
          </w:p>
        </w:tc>
        <w:tc>
          <w:tcPr>
            <w:tcW w:w="388" w:type="pct"/>
            <w:tcBorders>
              <w:top w:val="nil"/>
              <w:left w:val="nil"/>
              <w:bottom w:val="single" w:sz="4" w:space="0" w:color="auto"/>
            </w:tcBorders>
            <w:shd w:val="clear" w:color="auto" w:fill="auto"/>
            <w:noWrap/>
            <w:vAlign w:val="bottom"/>
          </w:tcPr>
          <w:p w14:paraId="532371E3"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-6</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4</w:t>
            </w:r>
          </w:p>
        </w:tc>
        <w:tc>
          <w:tcPr>
            <w:tcW w:w="351" w:type="pct"/>
            <w:tcBorders>
              <w:top w:val="nil"/>
              <w:left w:val="nil"/>
              <w:bottom w:val="single" w:sz="4" w:space="0" w:color="auto"/>
            </w:tcBorders>
            <w:shd w:val="clear" w:color="auto" w:fill="auto"/>
            <w:noWrap/>
            <w:vAlign w:val="bottom"/>
          </w:tcPr>
          <w:p w14:paraId="11D4F3C6"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7</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4</w:t>
            </w:r>
          </w:p>
        </w:tc>
        <w:tc>
          <w:tcPr>
            <w:tcW w:w="353" w:type="pct"/>
            <w:tcBorders>
              <w:top w:val="nil"/>
              <w:left w:val="nil"/>
              <w:bottom w:val="single" w:sz="4" w:space="0" w:color="auto"/>
            </w:tcBorders>
            <w:shd w:val="clear" w:color="auto" w:fill="auto"/>
            <w:noWrap/>
            <w:vAlign w:val="bottom"/>
          </w:tcPr>
          <w:p w14:paraId="3198B265"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3</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5</w:t>
            </w:r>
          </w:p>
        </w:tc>
      </w:tr>
      <w:tr w:rsidR="007903A2" w:rsidRPr="00AD5BE5" w14:paraId="74379F43" w14:textId="77777777" w:rsidTr="00F63632">
        <w:trPr>
          <w:trHeight w:val="227"/>
          <w:jc w:val="center"/>
        </w:trPr>
        <w:tc>
          <w:tcPr>
            <w:tcW w:w="2228" w:type="pct"/>
            <w:vMerge w:val="restart"/>
            <w:tcBorders>
              <w:top w:val="single" w:sz="4" w:space="0" w:color="000000"/>
              <w:bottom w:val="single" w:sz="4" w:space="0" w:color="000000"/>
            </w:tcBorders>
            <w:shd w:val="clear" w:color="auto" w:fill="auto"/>
            <w:noWrap/>
            <w:vAlign w:val="center"/>
            <w:hideMark/>
          </w:tcPr>
          <w:p w14:paraId="15242B0A" w14:textId="77777777" w:rsidR="007903A2" w:rsidRPr="00AD5BE5" w:rsidRDefault="007903A2" w:rsidP="00D94493">
            <w:pPr>
              <w:contextualSpacing/>
              <w:rPr>
                <w:rFonts w:ascii="Times New Roman" w:hAnsi="Times New Roman" w:cs="Times New Roman"/>
                <w:color w:val="000000"/>
                <w:sz w:val="14"/>
                <w:szCs w:val="14"/>
                <w:lang w:eastAsia="sk-SK"/>
              </w:rPr>
            </w:pPr>
            <w:r w:rsidRPr="00AD5BE5">
              <w:rPr>
                <w:rFonts w:ascii="Times New Roman" w:hAnsi="Times New Roman" w:cs="Times New Roman"/>
                <w:color w:val="000000"/>
                <w:sz w:val="14"/>
                <w:szCs w:val="14"/>
                <w:lang w:eastAsia="sk-SK"/>
              </w:rPr>
              <w:t>Inflácia (HICP)</w:t>
            </w:r>
          </w:p>
        </w:tc>
        <w:tc>
          <w:tcPr>
            <w:tcW w:w="1292" w:type="pct"/>
            <w:tcBorders>
              <w:top w:val="nil"/>
              <w:left w:val="nil"/>
              <w:bottom w:val="nil"/>
            </w:tcBorders>
            <w:shd w:val="clear" w:color="auto" w:fill="auto"/>
            <w:noWrap/>
            <w:vAlign w:val="bottom"/>
            <w:hideMark/>
          </w:tcPr>
          <w:p w14:paraId="2793DC13" w14:textId="77777777" w:rsidR="007903A2" w:rsidRPr="00AD5BE5" w:rsidRDefault="007903A2" w:rsidP="00D94493">
            <w:pPr>
              <w:contextualSpacing/>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Prognóza EK (jeseň</w:t>
            </w:r>
            <w:r w:rsidRPr="00AD5BE5">
              <w:rPr>
                <w:rFonts w:ascii="Times New Roman" w:hAnsi="Times New Roman" w:cs="Times New Roman"/>
                <w:color w:val="000000"/>
                <w:sz w:val="14"/>
                <w:szCs w:val="14"/>
                <w:lang w:eastAsia="sk-SK"/>
              </w:rPr>
              <w:t>)</w:t>
            </w:r>
          </w:p>
        </w:tc>
        <w:tc>
          <w:tcPr>
            <w:tcW w:w="388" w:type="pct"/>
            <w:tcBorders>
              <w:top w:val="nil"/>
              <w:left w:val="nil"/>
              <w:bottom w:val="nil"/>
            </w:tcBorders>
            <w:shd w:val="clear" w:color="auto" w:fill="auto"/>
            <w:noWrap/>
            <w:vAlign w:val="bottom"/>
          </w:tcPr>
          <w:p w14:paraId="6E6E9CA4"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12,1</w:t>
            </w:r>
          </w:p>
        </w:tc>
        <w:tc>
          <w:tcPr>
            <w:tcW w:w="388" w:type="pct"/>
            <w:tcBorders>
              <w:top w:val="nil"/>
              <w:left w:val="nil"/>
              <w:bottom w:val="nil"/>
            </w:tcBorders>
            <w:shd w:val="clear" w:color="auto" w:fill="auto"/>
            <w:noWrap/>
            <w:vAlign w:val="bottom"/>
          </w:tcPr>
          <w:p w14:paraId="247C3452"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10,8</w:t>
            </w:r>
          </w:p>
        </w:tc>
        <w:tc>
          <w:tcPr>
            <w:tcW w:w="351" w:type="pct"/>
            <w:tcBorders>
              <w:top w:val="nil"/>
              <w:left w:val="nil"/>
              <w:bottom w:val="nil"/>
            </w:tcBorders>
            <w:shd w:val="clear" w:color="auto" w:fill="auto"/>
            <w:noWrap/>
            <w:vAlign w:val="bottom"/>
          </w:tcPr>
          <w:p w14:paraId="4BEFE144"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5,2</w:t>
            </w:r>
          </w:p>
        </w:tc>
        <w:tc>
          <w:tcPr>
            <w:tcW w:w="353" w:type="pct"/>
            <w:tcBorders>
              <w:top w:val="nil"/>
              <w:left w:val="nil"/>
              <w:bottom w:val="nil"/>
            </w:tcBorders>
            <w:shd w:val="clear" w:color="auto" w:fill="auto"/>
            <w:noWrap/>
            <w:vAlign w:val="bottom"/>
          </w:tcPr>
          <w:p w14:paraId="4CA1BF60"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3,0</w:t>
            </w:r>
          </w:p>
        </w:tc>
      </w:tr>
      <w:tr w:rsidR="007903A2" w:rsidRPr="00AD5BE5" w14:paraId="74EBB2E0" w14:textId="77777777" w:rsidTr="00F63632">
        <w:trPr>
          <w:trHeight w:val="227"/>
          <w:jc w:val="center"/>
        </w:trPr>
        <w:tc>
          <w:tcPr>
            <w:tcW w:w="2228" w:type="pct"/>
            <w:vMerge/>
            <w:tcBorders>
              <w:top w:val="single" w:sz="4" w:space="0" w:color="000000"/>
              <w:bottom w:val="single" w:sz="4" w:space="0" w:color="000000"/>
            </w:tcBorders>
            <w:vAlign w:val="center"/>
            <w:hideMark/>
          </w:tcPr>
          <w:p w14:paraId="14E5C1EE" w14:textId="77777777" w:rsidR="007903A2" w:rsidRPr="00AD5BE5" w:rsidRDefault="007903A2" w:rsidP="00D94493">
            <w:pPr>
              <w:contextualSpacing/>
              <w:rPr>
                <w:rFonts w:ascii="Times New Roman" w:hAnsi="Times New Roman" w:cs="Times New Roman"/>
                <w:color w:val="000000"/>
                <w:sz w:val="14"/>
                <w:szCs w:val="14"/>
                <w:lang w:eastAsia="sk-SK"/>
              </w:rPr>
            </w:pPr>
          </w:p>
        </w:tc>
        <w:tc>
          <w:tcPr>
            <w:tcW w:w="1292" w:type="pct"/>
            <w:tcBorders>
              <w:top w:val="nil"/>
              <w:left w:val="nil"/>
              <w:bottom w:val="single" w:sz="4" w:space="0" w:color="auto"/>
            </w:tcBorders>
            <w:shd w:val="clear" w:color="auto" w:fill="auto"/>
            <w:noWrap/>
            <w:vAlign w:val="bottom"/>
            <w:hideMark/>
          </w:tcPr>
          <w:p w14:paraId="4D4D9337" w14:textId="77777777" w:rsidR="007903A2" w:rsidRPr="00AD5BE5" w:rsidRDefault="007903A2" w:rsidP="00D94493">
            <w:pPr>
              <w:contextualSpacing/>
              <w:rPr>
                <w:rFonts w:ascii="Times New Roman" w:hAnsi="Times New Roman" w:cs="Times New Roman"/>
                <w:color w:val="000000"/>
                <w:sz w:val="14"/>
                <w:szCs w:val="14"/>
                <w:lang w:eastAsia="sk-SK"/>
              </w:rPr>
            </w:pPr>
            <w:r w:rsidRPr="00AD5BE5">
              <w:rPr>
                <w:rFonts w:ascii="Times New Roman" w:hAnsi="Times New Roman" w:cs="Times New Roman"/>
                <w:color w:val="000000"/>
                <w:sz w:val="14"/>
                <w:szCs w:val="14"/>
                <w:lang w:eastAsia="sk-SK"/>
              </w:rPr>
              <w:t>Prognóza MF SR (</w:t>
            </w:r>
            <w:proofErr w:type="spellStart"/>
            <w:r>
              <w:rPr>
                <w:rFonts w:ascii="Times New Roman" w:hAnsi="Times New Roman" w:cs="Times New Roman"/>
                <w:color w:val="000000"/>
                <w:sz w:val="14"/>
                <w:szCs w:val="14"/>
                <w:lang w:eastAsia="sk-SK"/>
              </w:rPr>
              <w:t>dec</w:t>
            </w:r>
            <w:proofErr w:type="spellEnd"/>
            <w:r w:rsidRPr="00AD5BE5">
              <w:rPr>
                <w:rFonts w:ascii="Times New Roman" w:hAnsi="Times New Roman" w:cs="Times New Roman"/>
                <w:color w:val="000000"/>
                <w:sz w:val="14"/>
                <w:szCs w:val="14"/>
                <w:lang w:eastAsia="sk-SK"/>
              </w:rPr>
              <w:t>)</w:t>
            </w:r>
          </w:p>
        </w:tc>
        <w:tc>
          <w:tcPr>
            <w:tcW w:w="388" w:type="pct"/>
            <w:tcBorders>
              <w:top w:val="nil"/>
              <w:left w:val="nil"/>
              <w:bottom w:val="single" w:sz="4" w:space="0" w:color="auto"/>
            </w:tcBorders>
            <w:shd w:val="clear" w:color="auto" w:fill="auto"/>
            <w:noWrap/>
            <w:vAlign w:val="bottom"/>
          </w:tcPr>
          <w:p w14:paraId="341570F5"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12</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1</w:t>
            </w:r>
          </w:p>
        </w:tc>
        <w:tc>
          <w:tcPr>
            <w:tcW w:w="388" w:type="pct"/>
            <w:tcBorders>
              <w:top w:val="nil"/>
              <w:left w:val="nil"/>
              <w:bottom w:val="single" w:sz="4" w:space="0" w:color="auto"/>
            </w:tcBorders>
            <w:shd w:val="clear" w:color="auto" w:fill="auto"/>
            <w:noWrap/>
            <w:vAlign w:val="bottom"/>
          </w:tcPr>
          <w:p w14:paraId="359B47E3"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11</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1</w:t>
            </w:r>
          </w:p>
        </w:tc>
        <w:tc>
          <w:tcPr>
            <w:tcW w:w="351" w:type="pct"/>
            <w:tcBorders>
              <w:top w:val="nil"/>
              <w:left w:val="nil"/>
              <w:bottom w:val="single" w:sz="4" w:space="0" w:color="auto"/>
            </w:tcBorders>
            <w:shd w:val="clear" w:color="auto" w:fill="auto"/>
            <w:noWrap/>
            <w:vAlign w:val="bottom"/>
          </w:tcPr>
          <w:p w14:paraId="2121A3FC"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3</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2</w:t>
            </w:r>
          </w:p>
        </w:tc>
        <w:tc>
          <w:tcPr>
            <w:tcW w:w="353" w:type="pct"/>
            <w:tcBorders>
              <w:top w:val="nil"/>
              <w:left w:val="nil"/>
              <w:bottom w:val="single" w:sz="4" w:space="0" w:color="auto"/>
            </w:tcBorders>
            <w:shd w:val="clear" w:color="auto" w:fill="auto"/>
            <w:noWrap/>
            <w:vAlign w:val="bottom"/>
          </w:tcPr>
          <w:p w14:paraId="229CD031"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3</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4</w:t>
            </w:r>
          </w:p>
        </w:tc>
      </w:tr>
      <w:tr w:rsidR="007903A2" w:rsidRPr="00AD5BE5" w14:paraId="0BCFD95A" w14:textId="77777777" w:rsidTr="00F63632">
        <w:trPr>
          <w:trHeight w:val="227"/>
          <w:jc w:val="center"/>
        </w:trPr>
        <w:tc>
          <w:tcPr>
            <w:tcW w:w="2228" w:type="pct"/>
            <w:vMerge w:val="restart"/>
            <w:tcBorders>
              <w:top w:val="single" w:sz="4" w:space="0" w:color="000000"/>
              <w:bottom w:val="single" w:sz="4" w:space="0" w:color="000000"/>
            </w:tcBorders>
            <w:shd w:val="clear" w:color="auto" w:fill="auto"/>
            <w:noWrap/>
            <w:vAlign w:val="center"/>
            <w:hideMark/>
          </w:tcPr>
          <w:p w14:paraId="113A3BBB" w14:textId="77777777" w:rsidR="007903A2" w:rsidRPr="00AD5BE5" w:rsidRDefault="007903A2" w:rsidP="00D94493">
            <w:pPr>
              <w:contextualSpacing/>
              <w:rPr>
                <w:rFonts w:ascii="Times New Roman" w:hAnsi="Times New Roman" w:cs="Times New Roman"/>
                <w:color w:val="000000"/>
                <w:sz w:val="14"/>
                <w:szCs w:val="14"/>
                <w:lang w:eastAsia="sk-SK"/>
              </w:rPr>
            </w:pPr>
            <w:r w:rsidRPr="00AD5BE5">
              <w:rPr>
                <w:rFonts w:ascii="Times New Roman" w:hAnsi="Times New Roman" w:cs="Times New Roman"/>
                <w:color w:val="000000"/>
                <w:sz w:val="14"/>
                <w:szCs w:val="14"/>
                <w:lang w:eastAsia="sk-SK"/>
              </w:rPr>
              <w:t>Zamestnanosť (ESA)</w:t>
            </w:r>
          </w:p>
        </w:tc>
        <w:tc>
          <w:tcPr>
            <w:tcW w:w="1292" w:type="pct"/>
            <w:tcBorders>
              <w:top w:val="nil"/>
              <w:left w:val="nil"/>
              <w:bottom w:val="nil"/>
            </w:tcBorders>
            <w:shd w:val="clear" w:color="auto" w:fill="auto"/>
            <w:noWrap/>
            <w:vAlign w:val="bottom"/>
            <w:hideMark/>
          </w:tcPr>
          <w:p w14:paraId="02122E42" w14:textId="77777777" w:rsidR="007903A2" w:rsidRPr="00AD5BE5" w:rsidRDefault="007903A2" w:rsidP="00D94493">
            <w:pPr>
              <w:contextualSpacing/>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Prognóza EK (jeseň</w:t>
            </w:r>
            <w:r w:rsidRPr="00AD5BE5">
              <w:rPr>
                <w:rFonts w:ascii="Times New Roman" w:hAnsi="Times New Roman" w:cs="Times New Roman"/>
                <w:color w:val="000000"/>
                <w:sz w:val="14"/>
                <w:szCs w:val="14"/>
                <w:lang w:eastAsia="sk-SK"/>
              </w:rPr>
              <w:t>)</w:t>
            </w:r>
          </w:p>
        </w:tc>
        <w:tc>
          <w:tcPr>
            <w:tcW w:w="388" w:type="pct"/>
            <w:tcBorders>
              <w:top w:val="nil"/>
              <w:left w:val="nil"/>
              <w:bottom w:val="nil"/>
            </w:tcBorders>
            <w:shd w:val="clear" w:color="auto" w:fill="auto"/>
            <w:noWrap/>
            <w:vAlign w:val="bottom"/>
          </w:tcPr>
          <w:p w14:paraId="0E854BBB"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1,8</w:t>
            </w:r>
          </w:p>
        </w:tc>
        <w:tc>
          <w:tcPr>
            <w:tcW w:w="388" w:type="pct"/>
            <w:tcBorders>
              <w:top w:val="nil"/>
              <w:left w:val="nil"/>
              <w:bottom w:val="nil"/>
            </w:tcBorders>
            <w:shd w:val="clear" w:color="auto" w:fill="auto"/>
            <w:noWrap/>
            <w:vAlign w:val="bottom"/>
          </w:tcPr>
          <w:p w14:paraId="2AB70FCA"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0,6</w:t>
            </w:r>
          </w:p>
        </w:tc>
        <w:tc>
          <w:tcPr>
            <w:tcW w:w="351" w:type="pct"/>
            <w:tcBorders>
              <w:top w:val="nil"/>
              <w:left w:val="nil"/>
              <w:bottom w:val="nil"/>
            </w:tcBorders>
            <w:shd w:val="clear" w:color="auto" w:fill="auto"/>
            <w:noWrap/>
            <w:vAlign w:val="bottom"/>
          </w:tcPr>
          <w:p w14:paraId="4BE59478"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0,1</w:t>
            </w:r>
          </w:p>
        </w:tc>
        <w:tc>
          <w:tcPr>
            <w:tcW w:w="353" w:type="pct"/>
            <w:tcBorders>
              <w:top w:val="nil"/>
              <w:left w:val="nil"/>
              <w:bottom w:val="nil"/>
            </w:tcBorders>
            <w:shd w:val="clear" w:color="auto" w:fill="auto"/>
            <w:noWrap/>
            <w:vAlign w:val="bottom"/>
          </w:tcPr>
          <w:p w14:paraId="417DA280"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0,1</w:t>
            </w:r>
          </w:p>
        </w:tc>
      </w:tr>
      <w:tr w:rsidR="007903A2" w:rsidRPr="00AD5BE5" w14:paraId="64034896" w14:textId="77777777" w:rsidTr="00F63632">
        <w:trPr>
          <w:trHeight w:val="227"/>
          <w:jc w:val="center"/>
        </w:trPr>
        <w:tc>
          <w:tcPr>
            <w:tcW w:w="2228" w:type="pct"/>
            <w:vMerge/>
            <w:tcBorders>
              <w:top w:val="single" w:sz="4" w:space="0" w:color="000000"/>
              <w:bottom w:val="single" w:sz="4" w:space="0" w:color="000000"/>
            </w:tcBorders>
            <w:vAlign w:val="center"/>
            <w:hideMark/>
          </w:tcPr>
          <w:p w14:paraId="3FD204CC" w14:textId="77777777" w:rsidR="007903A2" w:rsidRPr="00AD5BE5" w:rsidRDefault="007903A2" w:rsidP="00D94493">
            <w:pPr>
              <w:contextualSpacing/>
              <w:rPr>
                <w:rFonts w:ascii="Times New Roman" w:hAnsi="Times New Roman" w:cs="Times New Roman"/>
                <w:color w:val="000000"/>
                <w:sz w:val="14"/>
                <w:szCs w:val="14"/>
                <w:lang w:eastAsia="sk-SK"/>
              </w:rPr>
            </w:pPr>
          </w:p>
        </w:tc>
        <w:tc>
          <w:tcPr>
            <w:tcW w:w="1292" w:type="pct"/>
            <w:tcBorders>
              <w:top w:val="nil"/>
              <w:left w:val="nil"/>
              <w:bottom w:val="single" w:sz="4" w:space="0" w:color="auto"/>
            </w:tcBorders>
            <w:shd w:val="clear" w:color="auto" w:fill="auto"/>
            <w:noWrap/>
            <w:vAlign w:val="bottom"/>
            <w:hideMark/>
          </w:tcPr>
          <w:p w14:paraId="770EDB4D" w14:textId="77777777" w:rsidR="007903A2" w:rsidRPr="00AD5BE5" w:rsidRDefault="007903A2" w:rsidP="00D94493">
            <w:pPr>
              <w:contextualSpacing/>
              <w:rPr>
                <w:rFonts w:ascii="Times New Roman" w:hAnsi="Times New Roman" w:cs="Times New Roman"/>
                <w:color w:val="000000"/>
                <w:sz w:val="14"/>
                <w:szCs w:val="14"/>
                <w:lang w:eastAsia="sk-SK"/>
              </w:rPr>
            </w:pPr>
            <w:r w:rsidRPr="00AD5BE5">
              <w:rPr>
                <w:rFonts w:ascii="Times New Roman" w:hAnsi="Times New Roman" w:cs="Times New Roman"/>
                <w:color w:val="000000"/>
                <w:sz w:val="14"/>
                <w:szCs w:val="14"/>
                <w:lang w:eastAsia="sk-SK"/>
              </w:rPr>
              <w:t>Prognóza MF SR (</w:t>
            </w:r>
            <w:proofErr w:type="spellStart"/>
            <w:r>
              <w:rPr>
                <w:rFonts w:ascii="Times New Roman" w:hAnsi="Times New Roman" w:cs="Times New Roman"/>
                <w:color w:val="000000"/>
                <w:sz w:val="14"/>
                <w:szCs w:val="14"/>
                <w:lang w:eastAsia="sk-SK"/>
              </w:rPr>
              <w:t>dec</w:t>
            </w:r>
            <w:proofErr w:type="spellEnd"/>
            <w:r w:rsidRPr="00AD5BE5">
              <w:rPr>
                <w:rFonts w:ascii="Times New Roman" w:hAnsi="Times New Roman" w:cs="Times New Roman"/>
                <w:color w:val="000000"/>
                <w:sz w:val="14"/>
                <w:szCs w:val="14"/>
                <w:lang w:eastAsia="sk-SK"/>
              </w:rPr>
              <w:t>)</w:t>
            </w:r>
          </w:p>
        </w:tc>
        <w:tc>
          <w:tcPr>
            <w:tcW w:w="388" w:type="pct"/>
            <w:tcBorders>
              <w:top w:val="nil"/>
              <w:left w:val="nil"/>
              <w:bottom w:val="single" w:sz="4" w:space="0" w:color="auto"/>
            </w:tcBorders>
            <w:shd w:val="clear" w:color="auto" w:fill="auto"/>
            <w:noWrap/>
            <w:vAlign w:val="bottom"/>
          </w:tcPr>
          <w:p w14:paraId="100006F8"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1</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8</w:t>
            </w:r>
          </w:p>
        </w:tc>
        <w:tc>
          <w:tcPr>
            <w:tcW w:w="388" w:type="pct"/>
            <w:tcBorders>
              <w:top w:val="nil"/>
              <w:left w:val="nil"/>
              <w:bottom w:val="single" w:sz="4" w:space="0" w:color="auto"/>
            </w:tcBorders>
            <w:shd w:val="clear" w:color="auto" w:fill="auto"/>
            <w:noWrap/>
            <w:vAlign w:val="bottom"/>
          </w:tcPr>
          <w:p w14:paraId="6C182471"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0</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3</w:t>
            </w:r>
          </w:p>
        </w:tc>
        <w:tc>
          <w:tcPr>
            <w:tcW w:w="351" w:type="pct"/>
            <w:tcBorders>
              <w:top w:val="nil"/>
              <w:left w:val="nil"/>
              <w:bottom w:val="single" w:sz="4" w:space="0" w:color="auto"/>
            </w:tcBorders>
            <w:shd w:val="clear" w:color="auto" w:fill="auto"/>
            <w:noWrap/>
            <w:vAlign w:val="bottom"/>
          </w:tcPr>
          <w:p w14:paraId="753B06C6"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0</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4</w:t>
            </w:r>
          </w:p>
        </w:tc>
        <w:tc>
          <w:tcPr>
            <w:tcW w:w="353" w:type="pct"/>
            <w:tcBorders>
              <w:top w:val="nil"/>
              <w:left w:val="nil"/>
              <w:bottom w:val="single" w:sz="4" w:space="0" w:color="auto"/>
            </w:tcBorders>
            <w:shd w:val="clear" w:color="auto" w:fill="auto"/>
            <w:noWrap/>
            <w:vAlign w:val="bottom"/>
          </w:tcPr>
          <w:p w14:paraId="747FC05B"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0</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5</w:t>
            </w:r>
          </w:p>
        </w:tc>
      </w:tr>
      <w:tr w:rsidR="007903A2" w:rsidRPr="00AD5BE5" w14:paraId="1CE2F52C" w14:textId="77777777" w:rsidTr="00F63632">
        <w:trPr>
          <w:trHeight w:val="227"/>
          <w:jc w:val="center"/>
        </w:trPr>
        <w:tc>
          <w:tcPr>
            <w:tcW w:w="2228" w:type="pct"/>
            <w:vMerge w:val="restart"/>
            <w:tcBorders>
              <w:top w:val="single" w:sz="4" w:space="0" w:color="000000"/>
              <w:bottom w:val="single" w:sz="4" w:space="0" w:color="000000"/>
            </w:tcBorders>
            <w:shd w:val="clear" w:color="auto" w:fill="auto"/>
            <w:vAlign w:val="center"/>
            <w:hideMark/>
          </w:tcPr>
          <w:p w14:paraId="6D048120" w14:textId="77777777" w:rsidR="007903A2" w:rsidRPr="00AD5BE5" w:rsidRDefault="007903A2" w:rsidP="00D94493">
            <w:pPr>
              <w:contextualSpacing/>
              <w:rPr>
                <w:rFonts w:ascii="Times New Roman" w:hAnsi="Times New Roman" w:cs="Times New Roman"/>
                <w:color w:val="000000"/>
                <w:sz w:val="14"/>
                <w:szCs w:val="14"/>
                <w:lang w:eastAsia="sk-SK"/>
              </w:rPr>
            </w:pPr>
            <w:r w:rsidRPr="00AD5BE5">
              <w:rPr>
                <w:rFonts w:ascii="Times New Roman" w:hAnsi="Times New Roman" w:cs="Times New Roman"/>
                <w:color w:val="000000"/>
                <w:sz w:val="14"/>
                <w:szCs w:val="14"/>
                <w:lang w:eastAsia="sk-SK"/>
              </w:rPr>
              <w:t>Produkčná medzera</w:t>
            </w:r>
            <w:r w:rsidRPr="00AD5BE5">
              <w:rPr>
                <w:rFonts w:ascii="Times New Roman" w:hAnsi="Times New Roman" w:cs="Times New Roman"/>
                <w:color w:val="000000"/>
                <w:sz w:val="14"/>
                <w:szCs w:val="14"/>
                <w:lang w:eastAsia="sk-SK"/>
              </w:rPr>
              <w:br/>
              <w:t>(% z pot. HDP)</w:t>
            </w:r>
          </w:p>
        </w:tc>
        <w:tc>
          <w:tcPr>
            <w:tcW w:w="1292" w:type="pct"/>
            <w:tcBorders>
              <w:top w:val="nil"/>
              <w:left w:val="nil"/>
              <w:bottom w:val="nil"/>
            </w:tcBorders>
            <w:shd w:val="clear" w:color="auto" w:fill="auto"/>
            <w:noWrap/>
            <w:vAlign w:val="bottom"/>
            <w:hideMark/>
          </w:tcPr>
          <w:p w14:paraId="60DA9246" w14:textId="77777777" w:rsidR="007903A2" w:rsidRPr="00AD5BE5" w:rsidRDefault="007903A2" w:rsidP="00D94493">
            <w:pPr>
              <w:contextualSpacing/>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Prognóza EK (jeseň</w:t>
            </w:r>
            <w:r w:rsidRPr="00AD5BE5">
              <w:rPr>
                <w:rFonts w:ascii="Times New Roman" w:hAnsi="Times New Roman" w:cs="Times New Roman"/>
                <w:color w:val="000000"/>
                <w:sz w:val="14"/>
                <w:szCs w:val="14"/>
                <w:lang w:eastAsia="sk-SK"/>
              </w:rPr>
              <w:t>)</w:t>
            </w:r>
          </w:p>
        </w:tc>
        <w:tc>
          <w:tcPr>
            <w:tcW w:w="388" w:type="pct"/>
            <w:tcBorders>
              <w:top w:val="nil"/>
              <w:left w:val="nil"/>
              <w:bottom w:val="nil"/>
            </w:tcBorders>
            <w:shd w:val="clear" w:color="auto" w:fill="auto"/>
            <w:noWrap/>
            <w:vAlign w:val="bottom"/>
          </w:tcPr>
          <w:p w14:paraId="3C2A65C4"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0,5</w:t>
            </w:r>
          </w:p>
        </w:tc>
        <w:tc>
          <w:tcPr>
            <w:tcW w:w="388" w:type="pct"/>
            <w:tcBorders>
              <w:top w:val="nil"/>
              <w:left w:val="nil"/>
              <w:bottom w:val="nil"/>
            </w:tcBorders>
            <w:shd w:val="clear" w:color="auto" w:fill="auto"/>
            <w:noWrap/>
            <w:vAlign w:val="bottom"/>
          </w:tcPr>
          <w:p w14:paraId="418EDDFB"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-0,4</w:t>
            </w:r>
          </w:p>
        </w:tc>
        <w:tc>
          <w:tcPr>
            <w:tcW w:w="351" w:type="pct"/>
            <w:tcBorders>
              <w:top w:val="nil"/>
              <w:left w:val="nil"/>
              <w:bottom w:val="nil"/>
            </w:tcBorders>
            <w:shd w:val="clear" w:color="auto" w:fill="auto"/>
            <w:noWrap/>
            <w:vAlign w:val="bottom"/>
          </w:tcPr>
          <w:p w14:paraId="20E6AE7E"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-0,5</w:t>
            </w:r>
          </w:p>
        </w:tc>
        <w:tc>
          <w:tcPr>
            <w:tcW w:w="353" w:type="pct"/>
            <w:tcBorders>
              <w:top w:val="nil"/>
              <w:left w:val="nil"/>
              <w:bottom w:val="nil"/>
            </w:tcBorders>
            <w:shd w:val="clear" w:color="auto" w:fill="auto"/>
            <w:noWrap/>
            <w:vAlign w:val="bottom"/>
          </w:tcPr>
          <w:p w14:paraId="4CC0D61D" w14:textId="77777777" w:rsidR="007903A2" w:rsidRPr="00AD5BE5" w:rsidRDefault="007903A2" w:rsidP="00D94493">
            <w:pPr>
              <w:contextualSpacing/>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-0,4</w:t>
            </w:r>
          </w:p>
        </w:tc>
      </w:tr>
      <w:tr w:rsidR="007903A2" w:rsidRPr="00AD5BE5" w14:paraId="14A6C05D" w14:textId="77777777" w:rsidTr="00F63632">
        <w:trPr>
          <w:trHeight w:val="227"/>
          <w:jc w:val="center"/>
        </w:trPr>
        <w:tc>
          <w:tcPr>
            <w:tcW w:w="2228" w:type="pct"/>
            <w:vMerge/>
            <w:tcBorders>
              <w:top w:val="single" w:sz="4" w:space="0" w:color="000000"/>
              <w:bottom w:val="single" w:sz="4" w:space="0" w:color="000000"/>
            </w:tcBorders>
            <w:vAlign w:val="center"/>
            <w:hideMark/>
          </w:tcPr>
          <w:p w14:paraId="49E45C45" w14:textId="77777777" w:rsidR="007903A2" w:rsidRPr="00AD5BE5" w:rsidRDefault="007903A2" w:rsidP="00D94493">
            <w:pPr>
              <w:contextualSpacing/>
              <w:rPr>
                <w:rFonts w:ascii="Times New Roman" w:hAnsi="Times New Roman" w:cs="Times New Roman"/>
                <w:color w:val="000000"/>
                <w:sz w:val="14"/>
                <w:szCs w:val="14"/>
                <w:lang w:eastAsia="sk-SK"/>
              </w:rPr>
            </w:pPr>
          </w:p>
        </w:tc>
        <w:tc>
          <w:tcPr>
            <w:tcW w:w="1292" w:type="pct"/>
            <w:tcBorders>
              <w:top w:val="nil"/>
              <w:left w:val="nil"/>
              <w:bottom w:val="single" w:sz="4" w:space="0" w:color="auto"/>
            </w:tcBorders>
            <w:shd w:val="clear" w:color="auto" w:fill="auto"/>
            <w:noWrap/>
            <w:vAlign w:val="bottom"/>
            <w:hideMark/>
          </w:tcPr>
          <w:p w14:paraId="58B4A140" w14:textId="77777777" w:rsidR="007903A2" w:rsidRPr="00AD5BE5" w:rsidRDefault="007903A2" w:rsidP="00D94493">
            <w:pPr>
              <w:contextualSpacing/>
              <w:rPr>
                <w:rFonts w:ascii="Times New Roman" w:hAnsi="Times New Roman" w:cs="Times New Roman"/>
                <w:color w:val="000000"/>
                <w:sz w:val="14"/>
                <w:szCs w:val="14"/>
                <w:lang w:eastAsia="sk-SK"/>
              </w:rPr>
            </w:pPr>
            <w:r w:rsidRPr="00AD5BE5">
              <w:rPr>
                <w:rFonts w:ascii="Times New Roman" w:hAnsi="Times New Roman" w:cs="Times New Roman"/>
                <w:color w:val="000000"/>
                <w:sz w:val="14"/>
                <w:szCs w:val="14"/>
                <w:lang w:eastAsia="sk-SK"/>
              </w:rPr>
              <w:t>Prognóza MF SR (</w:t>
            </w:r>
            <w:proofErr w:type="spellStart"/>
            <w:r>
              <w:rPr>
                <w:rFonts w:ascii="Times New Roman" w:hAnsi="Times New Roman" w:cs="Times New Roman"/>
                <w:color w:val="000000"/>
                <w:sz w:val="14"/>
                <w:szCs w:val="14"/>
                <w:lang w:eastAsia="sk-SK"/>
              </w:rPr>
              <w:t>dec</w:t>
            </w:r>
            <w:proofErr w:type="spellEnd"/>
            <w:r w:rsidRPr="00AD5BE5">
              <w:rPr>
                <w:rFonts w:ascii="Times New Roman" w:hAnsi="Times New Roman" w:cs="Times New Roman"/>
                <w:color w:val="000000"/>
                <w:sz w:val="14"/>
                <w:szCs w:val="14"/>
                <w:lang w:eastAsia="sk-SK"/>
              </w:rPr>
              <w:t>)</w:t>
            </w:r>
          </w:p>
        </w:tc>
        <w:tc>
          <w:tcPr>
            <w:tcW w:w="388" w:type="pct"/>
            <w:tcBorders>
              <w:top w:val="nil"/>
              <w:left w:val="nil"/>
              <w:bottom w:val="single" w:sz="4" w:space="0" w:color="auto"/>
            </w:tcBorders>
            <w:shd w:val="clear" w:color="auto" w:fill="auto"/>
            <w:noWrap/>
            <w:vAlign w:val="bottom"/>
          </w:tcPr>
          <w:p w14:paraId="249AFA74"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0</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5</w:t>
            </w:r>
          </w:p>
        </w:tc>
        <w:tc>
          <w:tcPr>
            <w:tcW w:w="388" w:type="pct"/>
            <w:tcBorders>
              <w:top w:val="nil"/>
              <w:left w:val="nil"/>
              <w:bottom w:val="single" w:sz="4" w:space="0" w:color="auto"/>
            </w:tcBorders>
            <w:shd w:val="clear" w:color="auto" w:fill="auto"/>
            <w:noWrap/>
            <w:vAlign w:val="bottom"/>
          </w:tcPr>
          <w:p w14:paraId="688704B0"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-0</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2</w:t>
            </w:r>
          </w:p>
        </w:tc>
        <w:tc>
          <w:tcPr>
            <w:tcW w:w="351" w:type="pct"/>
            <w:tcBorders>
              <w:top w:val="nil"/>
              <w:left w:val="nil"/>
              <w:bottom w:val="single" w:sz="4" w:space="0" w:color="auto"/>
            </w:tcBorders>
            <w:shd w:val="clear" w:color="auto" w:fill="auto"/>
            <w:noWrap/>
            <w:vAlign w:val="bottom"/>
          </w:tcPr>
          <w:p w14:paraId="1ECBB7E5"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0</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5</w:t>
            </w:r>
          </w:p>
        </w:tc>
        <w:tc>
          <w:tcPr>
            <w:tcW w:w="353" w:type="pct"/>
            <w:tcBorders>
              <w:top w:val="nil"/>
              <w:left w:val="nil"/>
              <w:bottom w:val="single" w:sz="4" w:space="0" w:color="auto"/>
            </w:tcBorders>
            <w:shd w:val="clear" w:color="auto" w:fill="auto"/>
            <w:noWrap/>
            <w:vAlign w:val="bottom"/>
          </w:tcPr>
          <w:p w14:paraId="085A8B82" w14:textId="77777777" w:rsidR="007903A2" w:rsidRPr="00226355" w:rsidRDefault="007903A2" w:rsidP="00D94493">
            <w:pPr>
              <w:contextualSpacing/>
              <w:jc w:val="right"/>
              <w:rPr>
                <w:rFonts w:ascii="Times New Roman" w:hAnsi="Times New Roman" w:cs="Times New Roman"/>
                <w:color w:val="000000"/>
                <w:sz w:val="14"/>
                <w:szCs w:val="14"/>
                <w:lang w:eastAsia="sk-SK"/>
              </w:rPr>
            </w:pPr>
            <w:r w:rsidRPr="00226355">
              <w:rPr>
                <w:rFonts w:ascii="Times New Roman" w:hAnsi="Times New Roman" w:cs="Times New Roman"/>
                <w:color w:val="000000"/>
                <w:sz w:val="14"/>
                <w:szCs w:val="14"/>
                <w:lang w:eastAsia="sk-SK"/>
              </w:rPr>
              <w:t>1</w:t>
            </w:r>
            <w:r>
              <w:rPr>
                <w:rFonts w:ascii="Times New Roman" w:hAnsi="Times New Roman" w:cs="Times New Roman"/>
                <w:color w:val="000000"/>
                <w:sz w:val="14"/>
                <w:szCs w:val="14"/>
                <w:lang w:eastAsia="sk-SK"/>
              </w:rPr>
              <w:t>,</w:t>
            </w:r>
            <w:r w:rsidRPr="00226355">
              <w:rPr>
                <w:rFonts w:ascii="Times New Roman" w:hAnsi="Times New Roman" w:cs="Times New Roman"/>
                <w:color w:val="000000"/>
                <w:sz w:val="14"/>
                <w:szCs w:val="14"/>
                <w:lang w:eastAsia="sk-SK"/>
              </w:rPr>
              <w:t>1</w:t>
            </w:r>
          </w:p>
        </w:tc>
      </w:tr>
      <w:tr w:rsidR="007903A2" w:rsidRPr="00717D0B" w14:paraId="7AB9D1F9" w14:textId="77777777" w:rsidTr="00D94493">
        <w:trPr>
          <w:trHeight w:val="227"/>
          <w:jc w:val="center"/>
        </w:trPr>
        <w:tc>
          <w:tcPr>
            <w:tcW w:w="5000" w:type="pct"/>
            <w:gridSpan w:val="6"/>
            <w:tcBorders>
              <w:top w:val="single" w:sz="4" w:space="0" w:color="auto"/>
              <w:left w:val="nil"/>
              <w:bottom w:val="nil"/>
              <w:right w:val="nil"/>
            </w:tcBorders>
            <w:shd w:val="clear" w:color="auto" w:fill="auto"/>
            <w:noWrap/>
            <w:vAlign w:val="bottom"/>
            <w:hideMark/>
          </w:tcPr>
          <w:p w14:paraId="5C2E63DC" w14:textId="77777777" w:rsidR="007903A2" w:rsidRPr="00717D0B" w:rsidRDefault="007903A2" w:rsidP="00D94493">
            <w:pPr>
              <w:contextualSpacing/>
              <w:jc w:val="right"/>
              <w:rPr>
                <w:rFonts w:ascii="Times New Roman" w:hAnsi="Times New Roman" w:cs="Times New Roman"/>
                <w:i/>
                <w:iCs/>
                <w:color w:val="000000"/>
                <w:sz w:val="14"/>
                <w:szCs w:val="14"/>
                <w:lang w:eastAsia="sk-SK"/>
              </w:rPr>
            </w:pPr>
            <w:r w:rsidRPr="00AD5BE5">
              <w:rPr>
                <w:rFonts w:ascii="Times New Roman" w:hAnsi="Times New Roman" w:cs="Times New Roman"/>
                <w:iCs/>
                <w:color w:val="000000"/>
                <w:sz w:val="14"/>
                <w:szCs w:val="14"/>
                <w:lang w:eastAsia="sk-SK"/>
              </w:rPr>
              <w:t>Zdroj: MF SR, EK</w:t>
            </w:r>
          </w:p>
        </w:tc>
      </w:tr>
    </w:tbl>
    <w:p w14:paraId="45B9429B" w14:textId="77777777" w:rsidR="007903A2" w:rsidRPr="00825F3E" w:rsidRDefault="007903A2" w:rsidP="007903A2">
      <w:pPr>
        <w:spacing w:before="240" w:line="276" w:lineRule="auto"/>
        <w:jc w:val="both"/>
        <w:rPr>
          <w:rFonts w:ascii="Times New Roman" w:eastAsia="NeueHaasGroteskText W02" w:hAnsi="Times New Roman" w:cs="Times New Roman"/>
          <w:bCs/>
          <w:noProof/>
          <w:lang w:eastAsia="sk-SK"/>
        </w:rPr>
      </w:pPr>
    </w:p>
    <w:p w14:paraId="71358F2C" w14:textId="7E93A0B1" w:rsidR="00F009A7" w:rsidRDefault="00F009A7" w:rsidP="00DD77BA">
      <w:pPr>
        <w:pStyle w:val="Nadpis1"/>
        <w:tabs>
          <w:tab w:val="left" w:pos="284"/>
        </w:tabs>
        <w:jc w:val="both"/>
        <w:rPr>
          <w:rFonts w:ascii="Times New Roman" w:hAnsi="Times New Roman"/>
          <w:b/>
          <w:color w:val="5B9BD5" w:themeColor="accent1"/>
          <w:sz w:val="28"/>
          <w:szCs w:val="24"/>
        </w:rPr>
      </w:pPr>
      <w:bookmarkStart w:id="9" w:name="_Toc152946756"/>
      <w:r w:rsidRPr="000C265D">
        <w:rPr>
          <w:rFonts w:ascii="Times New Roman" w:hAnsi="Times New Roman"/>
          <w:b/>
          <w:color w:val="5B9BD5" w:themeColor="accent1"/>
          <w:sz w:val="28"/>
          <w:szCs w:val="24"/>
        </w:rPr>
        <w:lastRenderedPageBreak/>
        <w:t>2.</w:t>
      </w:r>
      <w:r w:rsidRPr="000C265D">
        <w:rPr>
          <w:rFonts w:ascii="Times New Roman" w:hAnsi="Times New Roman"/>
          <w:b/>
          <w:color w:val="5B9BD5" w:themeColor="accent1"/>
          <w:sz w:val="28"/>
          <w:szCs w:val="24"/>
        </w:rPr>
        <w:tab/>
        <w:t>Východiskový rámec rozpo</w:t>
      </w:r>
      <w:r w:rsidR="00655223">
        <w:rPr>
          <w:rFonts w:ascii="Times New Roman" w:hAnsi="Times New Roman"/>
          <w:b/>
          <w:color w:val="5B9BD5" w:themeColor="accent1"/>
          <w:sz w:val="28"/>
          <w:szCs w:val="24"/>
        </w:rPr>
        <w:t>čtu verejnej správy na roky 2024 až 2026</w:t>
      </w:r>
      <w:r w:rsidRPr="000C265D">
        <w:rPr>
          <w:rFonts w:ascii="Times New Roman" w:hAnsi="Times New Roman"/>
          <w:b/>
          <w:color w:val="5B9BD5" w:themeColor="accent1"/>
          <w:sz w:val="28"/>
          <w:szCs w:val="24"/>
        </w:rPr>
        <w:t xml:space="preserve"> v metodike ESA 2010</w:t>
      </w:r>
      <w:r w:rsidRPr="000C265D">
        <w:rPr>
          <w:rFonts w:ascii="Times New Roman" w:hAnsi="Times New Roman"/>
          <w:b/>
          <w:color w:val="5B9BD5" w:themeColor="accent1"/>
          <w:sz w:val="28"/>
          <w:szCs w:val="24"/>
          <w:vertAlign w:val="superscript"/>
        </w:rPr>
        <w:footnoteReference w:id="2"/>
      </w:r>
      <w:bookmarkEnd w:id="3"/>
      <w:bookmarkEnd w:id="9"/>
    </w:p>
    <w:p w14:paraId="2EC27B3A" w14:textId="77777777" w:rsidR="00670AD7" w:rsidRPr="007B4FDF" w:rsidRDefault="00670AD7" w:rsidP="00B271BE">
      <w:pPr>
        <w:spacing w:after="0"/>
      </w:pPr>
    </w:p>
    <w:p w14:paraId="75FE3DCD" w14:textId="77777777" w:rsidR="003E1EF9" w:rsidRPr="00AB2E4C" w:rsidRDefault="000C265D" w:rsidP="00AB2E4C">
      <w:pPr>
        <w:pStyle w:val="Nadpis2"/>
        <w:spacing w:before="0" w:after="0"/>
        <w:rPr>
          <w:rFonts w:ascii="Times New Roman" w:hAnsi="Times New Roman"/>
          <w:i w:val="0"/>
          <w:color w:val="5B9BD5" w:themeColor="accent1"/>
          <w:sz w:val="24"/>
          <w:szCs w:val="24"/>
        </w:rPr>
      </w:pPr>
      <w:bookmarkStart w:id="10" w:name="_Toc53040755"/>
      <w:bookmarkStart w:id="11" w:name="_Toc152946757"/>
      <w:bookmarkEnd w:id="4"/>
      <w:bookmarkEnd w:id="5"/>
      <w:bookmarkEnd w:id="6"/>
      <w:r w:rsidRPr="00463362">
        <w:rPr>
          <w:rFonts w:ascii="Times New Roman" w:hAnsi="Times New Roman"/>
          <w:i w:val="0"/>
          <w:color w:val="5B9BD5" w:themeColor="accent1"/>
          <w:sz w:val="24"/>
          <w:szCs w:val="24"/>
        </w:rPr>
        <w:t>2.1. Aktuálny vývoj verejných financií v roku 202</w:t>
      </w:r>
      <w:bookmarkEnd w:id="10"/>
      <w:r w:rsidR="00AB2E4C">
        <w:rPr>
          <w:rFonts w:ascii="Times New Roman" w:hAnsi="Times New Roman"/>
          <w:i w:val="0"/>
          <w:color w:val="5B9BD5" w:themeColor="accent1"/>
          <w:sz w:val="24"/>
          <w:szCs w:val="24"/>
        </w:rPr>
        <w:t>3</w:t>
      </w:r>
      <w:bookmarkEnd w:id="11"/>
      <w:r w:rsidR="00AB2E4C">
        <w:rPr>
          <w:rFonts w:ascii="Times New Roman" w:hAnsi="Times New Roman"/>
          <w:sz w:val="16"/>
          <w:szCs w:val="16"/>
        </w:rPr>
        <w:tab/>
      </w:r>
      <w:r w:rsidR="00AB2E4C">
        <w:rPr>
          <w:rFonts w:ascii="Times New Roman" w:hAnsi="Times New Roman"/>
          <w:sz w:val="16"/>
          <w:szCs w:val="16"/>
        </w:rPr>
        <w:tab/>
      </w:r>
      <w:r w:rsidR="00AB2E4C">
        <w:rPr>
          <w:rFonts w:ascii="Times New Roman" w:hAnsi="Times New Roman"/>
          <w:sz w:val="16"/>
          <w:szCs w:val="16"/>
        </w:rPr>
        <w:tab/>
      </w:r>
      <w:r w:rsidR="009041CA">
        <w:rPr>
          <w:rFonts w:ascii="Times New Roman" w:hAnsi="Times New Roman"/>
          <w:sz w:val="16"/>
          <w:szCs w:val="16"/>
        </w:rPr>
        <w:tab/>
      </w:r>
      <w:r w:rsidR="009041CA">
        <w:rPr>
          <w:rFonts w:ascii="Times New Roman" w:hAnsi="Times New Roman"/>
          <w:sz w:val="16"/>
          <w:szCs w:val="16"/>
        </w:rPr>
        <w:tab/>
      </w:r>
      <w:r w:rsidR="009041CA">
        <w:rPr>
          <w:rFonts w:ascii="Times New Roman" w:hAnsi="Times New Roman"/>
          <w:sz w:val="16"/>
          <w:szCs w:val="16"/>
        </w:rPr>
        <w:tab/>
      </w:r>
      <w:r w:rsidR="009041CA">
        <w:rPr>
          <w:rFonts w:ascii="Times New Roman" w:hAnsi="Times New Roman"/>
          <w:sz w:val="16"/>
          <w:szCs w:val="16"/>
        </w:rPr>
        <w:tab/>
      </w:r>
      <w:r w:rsidR="009041CA">
        <w:rPr>
          <w:rFonts w:ascii="Times New Roman" w:hAnsi="Times New Roman"/>
          <w:sz w:val="16"/>
          <w:szCs w:val="16"/>
        </w:rPr>
        <w:tab/>
        <w:t xml:space="preserve">   </w:t>
      </w:r>
      <w:r w:rsidR="00B501E1">
        <w:rPr>
          <w:rFonts w:ascii="Times New Roman" w:hAnsi="Times New Roman"/>
          <w:sz w:val="16"/>
          <w:szCs w:val="16"/>
        </w:rPr>
        <w:t xml:space="preserve">    </w:t>
      </w:r>
    </w:p>
    <w:p w14:paraId="3595EA98" w14:textId="0AB465A9" w:rsidR="001177B1" w:rsidRDefault="001177B1" w:rsidP="001177B1">
      <w:pPr>
        <w:contextualSpacing/>
        <w:jc w:val="both"/>
        <w:rPr>
          <w:rFonts w:ascii="Times New Roman" w:hAnsi="Times New Roman" w:cs="Times New Roman"/>
          <w:sz w:val="24"/>
          <w:szCs w:val="24"/>
        </w:rPr>
      </w:pPr>
      <w:r w:rsidRPr="002E562F">
        <w:rPr>
          <w:rFonts w:ascii="Times New Roman" w:hAnsi="Times New Roman" w:cs="Times New Roman"/>
          <w:b/>
          <w:sz w:val="24"/>
          <w:szCs w:val="24"/>
        </w:rPr>
        <w:t>Hospodárenie rozpočtu verejnej správy v roku 202</w:t>
      </w:r>
      <w:r>
        <w:rPr>
          <w:rFonts w:ascii="Times New Roman" w:hAnsi="Times New Roman" w:cs="Times New Roman"/>
          <w:b/>
          <w:sz w:val="24"/>
          <w:szCs w:val="24"/>
        </w:rPr>
        <w:t>3</w:t>
      </w:r>
      <w:r w:rsidRPr="002E562F">
        <w:rPr>
          <w:rFonts w:ascii="Times New Roman" w:hAnsi="Times New Roman" w:cs="Times New Roman"/>
          <w:sz w:val="24"/>
          <w:szCs w:val="24"/>
        </w:rPr>
        <w:t xml:space="preserve"> sa </w:t>
      </w:r>
      <w:r>
        <w:rPr>
          <w:rFonts w:ascii="Times New Roman" w:hAnsi="Times New Roman" w:cs="Times New Roman"/>
          <w:sz w:val="24"/>
          <w:szCs w:val="24"/>
        </w:rPr>
        <w:t>v zmysle metodiky ESA 2010</w:t>
      </w:r>
      <w:r w:rsidRPr="006D692D">
        <w:rPr>
          <w:rStyle w:val="Odkaznapoznmkupodiarou"/>
          <w:bCs/>
        </w:rPr>
        <w:t xml:space="preserve"> </w:t>
      </w:r>
      <w:r w:rsidRPr="002E562F">
        <w:rPr>
          <w:rFonts w:ascii="Times New Roman" w:hAnsi="Times New Roman" w:cs="Times New Roman"/>
          <w:sz w:val="24"/>
          <w:szCs w:val="24"/>
        </w:rPr>
        <w:t xml:space="preserve">očakáva na úrovni </w:t>
      </w:r>
      <w:r w:rsidRPr="002E562F">
        <w:rPr>
          <w:rFonts w:ascii="Times New Roman" w:hAnsi="Times New Roman" w:cs="Times New Roman"/>
          <w:b/>
          <w:sz w:val="24"/>
          <w:szCs w:val="24"/>
        </w:rPr>
        <w:t>-</w:t>
      </w:r>
      <w:r>
        <w:rPr>
          <w:rFonts w:ascii="Times New Roman" w:hAnsi="Times New Roman" w:cs="Times New Roman"/>
          <w:b/>
          <w:sz w:val="24"/>
          <w:szCs w:val="24"/>
        </w:rPr>
        <w:t>7,95</w:t>
      </w:r>
      <w:r w:rsidRPr="002E562F">
        <w:rPr>
          <w:rFonts w:ascii="Times New Roman" w:hAnsi="Times New Roman" w:cs="Times New Roman"/>
          <w:b/>
          <w:sz w:val="24"/>
          <w:szCs w:val="24"/>
        </w:rPr>
        <w:t xml:space="preserve"> mld. eur</w:t>
      </w:r>
      <w:r>
        <w:rPr>
          <w:rFonts w:ascii="Times New Roman" w:hAnsi="Times New Roman" w:cs="Times New Roman"/>
          <w:sz w:val="24"/>
          <w:szCs w:val="24"/>
        </w:rPr>
        <w:t>, resp.</w:t>
      </w:r>
      <w:r w:rsidRPr="002E562F">
        <w:rPr>
          <w:rFonts w:ascii="Times New Roman" w:hAnsi="Times New Roman" w:cs="Times New Roman"/>
          <w:sz w:val="24"/>
          <w:szCs w:val="24"/>
        </w:rPr>
        <w:t xml:space="preserve"> </w:t>
      </w:r>
      <w:r w:rsidRPr="002E562F">
        <w:rPr>
          <w:rFonts w:ascii="Times New Roman" w:hAnsi="Times New Roman" w:cs="Times New Roman"/>
          <w:b/>
          <w:sz w:val="24"/>
          <w:szCs w:val="24"/>
        </w:rPr>
        <w:t>-</w:t>
      </w:r>
      <w:r>
        <w:rPr>
          <w:rFonts w:ascii="Times New Roman" w:hAnsi="Times New Roman" w:cs="Times New Roman"/>
          <w:b/>
          <w:sz w:val="24"/>
          <w:szCs w:val="24"/>
        </w:rPr>
        <w:t>6,52</w:t>
      </w:r>
      <w:r w:rsidRPr="002E562F">
        <w:rPr>
          <w:rFonts w:ascii="Times New Roman" w:hAnsi="Times New Roman" w:cs="Times New Roman"/>
          <w:b/>
          <w:sz w:val="24"/>
          <w:szCs w:val="24"/>
        </w:rPr>
        <w:t xml:space="preserve"> % HDP</w:t>
      </w:r>
      <w:r>
        <w:rPr>
          <w:rFonts w:ascii="Times New Roman" w:hAnsi="Times New Roman" w:cs="Times New Roman"/>
          <w:sz w:val="24"/>
          <w:szCs w:val="24"/>
        </w:rPr>
        <w:t xml:space="preserve">. </w:t>
      </w:r>
      <w:r w:rsidRPr="002E562F">
        <w:rPr>
          <w:rFonts w:ascii="Times New Roman" w:hAnsi="Times New Roman" w:cs="Times New Roman"/>
          <w:sz w:val="24"/>
          <w:szCs w:val="24"/>
        </w:rPr>
        <w:t>Najvýznamnejšie rozdiely oproti schválenému rozpočtu podľa vybraných príjmových a výdavkových položiek, resp. hospodárenia jednotlivých subjektov rozpočtu verejnej správy zobrazuje nasledovná tabuľka.</w:t>
      </w:r>
    </w:p>
    <w:p w14:paraId="53558C47" w14:textId="77777777" w:rsidR="00E3423F" w:rsidRPr="003D5A3A" w:rsidRDefault="00E3423F" w:rsidP="009041CA">
      <w:pPr>
        <w:spacing w:after="0"/>
        <w:jc w:val="both"/>
        <w:rPr>
          <w:rFonts w:ascii="Times New Roman" w:hAnsi="Times New Roman" w:cs="Times New Roman"/>
          <w:color w:val="5B9BD5" w:themeColor="accent1"/>
          <w:sz w:val="24"/>
          <w:szCs w:val="24"/>
        </w:rPr>
      </w:pPr>
    </w:p>
    <w:p w14:paraId="13F36F70" w14:textId="4E2841CC" w:rsidR="00E3423F" w:rsidRPr="003D5A3A" w:rsidRDefault="009041CA" w:rsidP="00E3423F">
      <w:pPr>
        <w:spacing w:after="0"/>
        <w:rPr>
          <w:rFonts w:ascii="Times New Roman" w:hAnsi="Times New Roman" w:cs="Times New Roman"/>
          <w:b/>
          <w:color w:val="5B9BD5" w:themeColor="accent1"/>
          <w:sz w:val="20"/>
          <w:szCs w:val="20"/>
        </w:rPr>
      </w:pPr>
      <w:bookmarkStart w:id="12" w:name="_Toc53040817"/>
      <w:bookmarkStart w:id="13" w:name="_Toc53086340"/>
      <w:bookmarkStart w:id="14" w:name="_Toc84580557"/>
      <w:bookmarkStart w:id="15" w:name="_Toc116288180"/>
      <w:bookmarkStart w:id="16" w:name="_Toc153013001"/>
      <w:r w:rsidRPr="003D5A3A">
        <w:rPr>
          <w:rFonts w:ascii="Times New Roman" w:hAnsi="Times New Roman" w:cs="Times New Roman"/>
          <w:b/>
          <w:color w:val="5B9BD5" w:themeColor="accent1"/>
          <w:sz w:val="20"/>
          <w:szCs w:val="20"/>
        </w:rPr>
        <w:t xml:space="preserve">Tabuľka </w:t>
      </w:r>
      <w:r w:rsidRPr="003D5A3A">
        <w:rPr>
          <w:rFonts w:ascii="Times New Roman" w:hAnsi="Times New Roman" w:cs="Times New Roman"/>
          <w:b/>
          <w:color w:val="5B9BD5" w:themeColor="accent1"/>
          <w:sz w:val="20"/>
          <w:szCs w:val="20"/>
        </w:rPr>
        <w:fldChar w:fldCharType="begin"/>
      </w:r>
      <w:r w:rsidRPr="003D5A3A">
        <w:rPr>
          <w:rFonts w:ascii="Times New Roman" w:hAnsi="Times New Roman" w:cs="Times New Roman"/>
          <w:b/>
          <w:color w:val="5B9BD5" w:themeColor="accent1"/>
          <w:sz w:val="20"/>
          <w:szCs w:val="20"/>
        </w:rPr>
        <w:instrText xml:space="preserve"> SEQ Tabuľka \* ARABIC </w:instrText>
      </w:r>
      <w:r w:rsidRPr="003D5A3A">
        <w:rPr>
          <w:rFonts w:ascii="Times New Roman" w:hAnsi="Times New Roman" w:cs="Times New Roman"/>
          <w:b/>
          <w:color w:val="5B9BD5" w:themeColor="accent1"/>
          <w:sz w:val="20"/>
          <w:szCs w:val="20"/>
        </w:rPr>
        <w:fldChar w:fldCharType="separate"/>
      </w:r>
      <w:r w:rsidR="003D5A3A" w:rsidRPr="003D5A3A">
        <w:rPr>
          <w:rFonts w:ascii="Times New Roman" w:hAnsi="Times New Roman" w:cs="Times New Roman"/>
          <w:b/>
          <w:noProof/>
          <w:color w:val="5B9BD5" w:themeColor="accent1"/>
          <w:sz w:val="20"/>
          <w:szCs w:val="20"/>
        </w:rPr>
        <w:t>3</w:t>
      </w:r>
      <w:r w:rsidRPr="003D5A3A">
        <w:rPr>
          <w:rFonts w:ascii="Times New Roman" w:hAnsi="Times New Roman" w:cs="Times New Roman"/>
          <w:b/>
          <w:color w:val="5B9BD5" w:themeColor="accent1"/>
          <w:sz w:val="20"/>
          <w:szCs w:val="20"/>
        </w:rPr>
        <w:fldChar w:fldCharType="end"/>
      </w:r>
      <w:r w:rsidRPr="003D5A3A">
        <w:rPr>
          <w:rFonts w:ascii="Times New Roman" w:hAnsi="Times New Roman" w:cs="Times New Roman"/>
          <w:b/>
          <w:color w:val="5B9BD5" w:themeColor="accent1"/>
          <w:sz w:val="20"/>
          <w:szCs w:val="20"/>
        </w:rPr>
        <w:t xml:space="preserve"> - Rozdiely príjmových a výdavkových položiek oproti schválenému rozpočtu</w:t>
      </w:r>
      <w:bookmarkEnd w:id="12"/>
      <w:bookmarkEnd w:id="13"/>
      <w:bookmarkEnd w:id="14"/>
      <w:bookmarkEnd w:id="15"/>
      <w:bookmarkEnd w:id="16"/>
      <w:r w:rsidRPr="003D5A3A">
        <w:rPr>
          <w:rFonts w:ascii="Times New Roman" w:hAnsi="Times New Roman" w:cs="Times New Roman"/>
          <w:i/>
          <w:color w:val="5B9BD5" w:themeColor="accent1"/>
          <w:sz w:val="16"/>
          <w:szCs w:val="16"/>
        </w:rPr>
        <w:t xml:space="preserve">   </w:t>
      </w:r>
    </w:p>
    <w:tbl>
      <w:tblPr>
        <w:tblW w:w="5000" w:type="pct"/>
        <w:jc w:val="center"/>
        <w:tblCellMar>
          <w:left w:w="70" w:type="dxa"/>
          <w:right w:w="70" w:type="dxa"/>
        </w:tblCellMar>
        <w:tblLook w:val="04A0" w:firstRow="1" w:lastRow="0" w:firstColumn="1" w:lastColumn="0" w:noHBand="0" w:noVBand="1"/>
      </w:tblPr>
      <w:tblGrid>
        <w:gridCol w:w="7222"/>
        <w:gridCol w:w="925"/>
        <w:gridCol w:w="925"/>
      </w:tblGrid>
      <w:tr w:rsidR="001177B1" w:rsidRPr="001177B1" w14:paraId="11257A56" w14:textId="77777777" w:rsidTr="001177B1">
        <w:trPr>
          <w:trHeight w:val="255"/>
          <w:jc w:val="center"/>
        </w:trPr>
        <w:tc>
          <w:tcPr>
            <w:tcW w:w="3980" w:type="pct"/>
            <w:tcBorders>
              <w:top w:val="single" w:sz="4" w:space="0" w:color="auto"/>
              <w:left w:val="nil"/>
              <w:bottom w:val="single" w:sz="4" w:space="0" w:color="auto"/>
              <w:right w:val="nil"/>
            </w:tcBorders>
            <w:shd w:val="clear" w:color="auto" w:fill="auto"/>
            <w:noWrap/>
            <w:hideMark/>
          </w:tcPr>
          <w:p w14:paraId="7D06E7E3" w14:textId="77777777" w:rsidR="001177B1" w:rsidRPr="001177B1" w:rsidRDefault="001177B1" w:rsidP="001177B1">
            <w:pPr>
              <w:spacing w:after="0" w:line="240" w:lineRule="auto"/>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(na akruálnej báze)</w:t>
            </w:r>
          </w:p>
        </w:tc>
        <w:tc>
          <w:tcPr>
            <w:tcW w:w="510" w:type="pct"/>
            <w:tcBorders>
              <w:top w:val="single" w:sz="4" w:space="0" w:color="auto"/>
              <w:left w:val="nil"/>
              <w:bottom w:val="single" w:sz="4" w:space="0" w:color="auto"/>
              <w:right w:val="nil"/>
            </w:tcBorders>
            <w:shd w:val="clear" w:color="auto" w:fill="auto"/>
            <w:vAlign w:val="center"/>
            <w:hideMark/>
          </w:tcPr>
          <w:p w14:paraId="0CFAE541"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v mil. eur</w:t>
            </w:r>
          </w:p>
        </w:tc>
        <w:tc>
          <w:tcPr>
            <w:tcW w:w="510" w:type="pct"/>
            <w:tcBorders>
              <w:top w:val="single" w:sz="4" w:space="0" w:color="auto"/>
              <w:left w:val="nil"/>
              <w:bottom w:val="single" w:sz="4" w:space="0" w:color="auto"/>
              <w:right w:val="nil"/>
            </w:tcBorders>
            <w:shd w:val="clear" w:color="auto" w:fill="auto"/>
            <w:vAlign w:val="center"/>
            <w:hideMark/>
          </w:tcPr>
          <w:p w14:paraId="1039B6C6"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 HDP</w:t>
            </w:r>
          </w:p>
        </w:tc>
      </w:tr>
      <w:tr w:rsidR="001177B1" w:rsidRPr="001177B1" w14:paraId="46A20A7A" w14:textId="77777777" w:rsidTr="001177B1">
        <w:trPr>
          <w:trHeight w:val="255"/>
          <w:jc w:val="center"/>
        </w:trPr>
        <w:tc>
          <w:tcPr>
            <w:tcW w:w="3980" w:type="pct"/>
            <w:tcBorders>
              <w:top w:val="nil"/>
              <w:left w:val="nil"/>
              <w:bottom w:val="single" w:sz="4" w:space="0" w:color="auto"/>
              <w:right w:val="nil"/>
            </w:tcBorders>
            <w:shd w:val="clear" w:color="auto" w:fill="auto"/>
            <w:noWrap/>
            <w:vAlign w:val="center"/>
            <w:hideMark/>
          </w:tcPr>
          <w:p w14:paraId="65D2F5C1" w14:textId="77777777" w:rsidR="001177B1" w:rsidRPr="001177B1" w:rsidRDefault="001177B1" w:rsidP="001177B1">
            <w:pPr>
              <w:spacing w:after="0" w:line="240" w:lineRule="auto"/>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Schválený schodok rozpočtu verejnej správy 2023</w:t>
            </w:r>
          </w:p>
        </w:tc>
        <w:tc>
          <w:tcPr>
            <w:tcW w:w="510" w:type="pct"/>
            <w:tcBorders>
              <w:top w:val="nil"/>
              <w:left w:val="nil"/>
              <w:bottom w:val="single" w:sz="4" w:space="0" w:color="auto"/>
              <w:right w:val="nil"/>
            </w:tcBorders>
            <w:shd w:val="clear" w:color="auto" w:fill="auto"/>
            <w:noWrap/>
            <w:vAlign w:val="center"/>
            <w:hideMark/>
          </w:tcPr>
          <w:p w14:paraId="692AD603"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-7 871</w:t>
            </w:r>
          </w:p>
        </w:tc>
        <w:tc>
          <w:tcPr>
            <w:tcW w:w="510" w:type="pct"/>
            <w:tcBorders>
              <w:top w:val="nil"/>
              <w:left w:val="nil"/>
              <w:bottom w:val="single" w:sz="4" w:space="0" w:color="auto"/>
              <w:right w:val="nil"/>
            </w:tcBorders>
            <w:shd w:val="clear" w:color="auto" w:fill="auto"/>
            <w:noWrap/>
            <w:vAlign w:val="center"/>
            <w:hideMark/>
          </w:tcPr>
          <w:p w14:paraId="2B611652"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-6,44</w:t>
            </w:r>
          </w:p>
        </w:tc>
      </w:tr>
      <w:tr w:rsidR="001177B1" w:rsidRPr="001177B1" w14:paraId="22B5951F" w14:textId="77777777" w:rsidTr="001177B1">
        <w:trPr>
          <w:trHeight w:val="255"/>
          <w:jc w:val="center"/>
        </w:trPr>
        <w:tc>
          <w:tcPr>
            <w:tcW w:w="3980" w:type="pct"/>
            <w:tcBorders>
              <w:top w:val="nil"/>
              <w:left w:val="nil"/>
              <w:bottom w:val="nil"/>
              <w:right w:val="nil"/>
            </w:tcBorders>
            <w:shd w:val="clear" w:color="auto" w:fill="auto"/>
            <w:noWrap/>
            <w:vAlign w:val="center"/>
            <w:hideMark/>
          </w:tcPr>
          <w:p w14:paraId="5178B71F" w14:textId="77777777" w:rsidR="001177B1" w:rsidRPr="001177B1" w:rsidRDefault="001177B1" w:rsidP="001177B1">
            <w:pPr>
              <w:spacing w:after="0" w:line="240" w:lineRule="auto"/>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Výdavky na kompenzačné opatrenia súvisiace s rastom cien energií</w:t>
            </w:r>
          </w:p>
        </w:tc>
        <w:tc>
          <w:tcPr>
            <w:tcW w:w="510" w:type="pct"/>
            <w:tcBorders>
              <w:top w:val="nil"/>
              <w:left w:val="nil"/>
              <w:bottom w:val="nil"/>
              <w:right w:val="nil"/>
            </w:tcBorders>
            <w:shd w:val="clear" w:color="auto" w:fill="auto"/>
            <w:noWrap/>
            <w:vAlign w:val="center"/>
            <w:hideMark/>
          </w:tcPr>
          <w:p w14:paraId="1F160112"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844</w:t>
            </w:r>
          </w:p>
        </w:tc>
        <w:tc>
          <w:tcPr>
            <w:tcW w:w="510" w:type="pct"/>
            <w:tcBorders>
              <w:top w:val="nil"/>
              <w:left w:val="nil"/>
              <w:bottom w:val="nil"/>
              <w:right w:val="nil"/>
            </w:tcBorders>
            <w:shd w:val="clear" w:color="auto" w:fill="auto"/>
            <w:noWrap/>
            <w:vAlign w:val="center"/>
            <w:hideMark/>
          </w:tcPr>
          <w:p w14:paraId="2A33DD17"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0,69</w:t>
            </w:r>
          </w:p>
        </w:tc>
      </w:tr>
      <w:tr w:rsidR="001177B1" w:rsidRPr="001177B1" w14:paraId="6E396326" w14:textId="77777777" w:rsidTr="001177B1">
        <w:trPr>
          <w:trHeight w:val="255"/>
          <w:jc w:val="center"/>
        </w:trPr>
        <w:tc>
          <w:tcPr>
            <w:tcW w:w="3980" w:type="pct"/>
            <w:tcBorders>
              <w:top w:val="nil"/>
              <w:left w:val="nil"/>
              <w:bottom w:val="nil"/>
              <w:right w:val="nil"/>
            </w:tcBorders>
            <w:shd w:val="clear" w:color="auto" w:fill="auto"/>
            <w:noWrap/>
            <w:vAlign w:val="center"/>
            <w:hideMark/>
          </w:tcPr>
          <w:p w14:paraId="2B2690F8" w14:textId="77777777" w:rsidR="001177B1" w:rsidRPr="001177B1" w:rsidRDefault="001177B1" w:rsidP="001177B1">
            <w:pPr>
              <w:spacing w:after="0" w:line="240" w:lineRule="auto"/>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Vzťahy s rozpočtom EÚ</w:t>
            </w:r>
          </w:p>
        </w:tc>
        <w:tc>
          <w:tcPr>
            <w:tcW w:w="510" w:type="pct"/>
            <w:tcBorders>
              <w:top w:val="nil"/>
              <w:left w:val="nil"/>
              <w:bottom w:val="nil"/>
              <w:right w:val="nil"/>
            </w:tcBorders>
            <w:shd w:val="clear" w:color="auto" w:fill="auto"/>
            <w:noWrap/>
            <w:vAlign w:val="center"/>
            <w:hideMark/>
          </w:tcPr>
          <w:p w14:paraId="0194313F"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382</w:t>
            </w:r>
          </w:p>
        </w:tc>
        <w:tc>
          <w:tcPr>
            <w:tcW w:w="510" w:type="pct"/>
            <w:tcBorders>
              <w:top w:val="nil"/>
              <w:left w:val="nil"/>
              <w:bottom w:val="nil"/>
              <w:right w:val="nil"/>
            </w:tcBorders>
            <w:shd w:val="clear" w:color="auto" w:fill="auto"/>
            <w:noWrap/>
            <w:vAlign w:val="center"/>
            <w:hideMark/>
          </w:tcPr>
          <w:p w14:paraId="2D31E560"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0,31</w:t>
            </w:r>
          </w:p>
        </w:tc>
      </w:tr>
      <w:tr w:rsidR="001177B1" w:rsidRPr="001177B1" w14:paraId="2BD09909" w14:textId="77777777" w:rsidTr="001177B1">
        <w:trPr>
          <w:trHeight w:val="255"/>
          <w:jc w:val="center"/>
        </w:trPr>
        <w:tc>
          <w:tcPr>
            <w:tcW w:w="3980" w:type="pct"/>
            <w:tcBorders>
              <w:top w:val="nil"/>
              <w:left w:val="nil"/>
              <w:bottom w:val="nil"/>
              <w:right w:val="nil"/>
            </w:tcBorders>
            <w:shd w:val="clear" w:color="auto" w:fill="auto"/>
            <w:noWrap/>
            <w:vAlign w:val="center"/>
            <w:hideMark/>
          </w:tcPr>
          <w:p w14:paraId="2A9D94E4" w14:textId="77777777" w:rsidR="001177B1" w:rsidRPr="001177B1" w:rsidRDefault="001177B1" w:rsidP="001177B1">
            <w:pPr>
              <w:spacing w:after="0" w:line="240" w:lineRule="auto"/>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Hospodárenie samospráv bez daňových príjmov</w:t>
            </w:r>
          </w:p>
        </w:tc>
        <w:tc>
          <w:tcPr>
            <w:tcW w:w="510" w:type="pct"/>
            <w:tcBorders>
              <w:top w:val="nil"/>
              <w:left w:val="nil"/>
              <w:bottom w:val="nil"/>
              <w:right w:val="nil"/>
            </w:tcBorders>
            <w:shd w:val="clear" w:color="auto" w:fill="auto"/>
            <w:noWrap/>
            <w:vAlign w:val="center"/>
            <w:hideMark/>
          </w:tcPr>
          <w:p w14:paraId="7A65B63B"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166</w:t>
            </w:r>
          </w:p>
        </w:tc>
        <w:tc>
          <w:tcPr>
            <w:tcW w:w="510" w:type="pct"/>
            <w:tcBorders>
              <w:top w:val="nil"/>
              <w:left w:val="nil"/>
              <w:bottom w:val="nil"/>
              <w:right w:val="nil"/>
            </w:tcBorders>
            <w:shd w:val="clear" w:color="auto" w:fill="auto"/>
            <w:noWrap/>
            <w:vAlign w:val="center"/>
            <w:hideMark/>
          </w:tcPr>
          <w:p w14:paraId="2B0CF99C"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0,14</w:t>
            </w:r>
          </w:p>
        </w:tc>
      </w:tr>
      <w:tr w:rsidR="001177B1" w:rsidRPr="001177B1" w14:paraId="11B7CAD2" w14:textId="77777777" w:rsidTr="001177B1">
        <w:trPr>
          <w:trHeight w:val="255"/>
          <w:jc w:val="center"/>
        </w:trPr>
        <w:tc>
          <w:tcPr>
            <w:tcW w:w="3980" w:type="pct"/>
            <w:tcBorders>
              <w:top w:val="nil"/>
              <w:left w:val="nil"/>
              <w:bottom w:val="nil"/>
              <w:right w:val="nil"/>
            </w:tcBorders>
            <w:shd w:val="clear" w:color="auto" w:fill="auto"/>
            <w:noWrap/>
            <w:vAlign w:val="center"/>
            <w:hideMark/>
          </w:tcPr>
          <w:p w14:paraId="7C8BAD0E" w14:textId="77777777" w:rsidR="001177B1" w:rsidRPr="001177B1" w:rsidRDefault="001177B1" w:rsidP="001177B1">
            <w:pPr>
              <w:spacing w:after="0" w:line="240" w:lineRule="auto"/>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Výdavky súvisiace s nákupom, uskladnením a použitím vakcín a liekov</w:t>
            </w:r>
          </w:p>
        </w:tc>
        <w:tc>
          <w:tcPr>
            <w:tcW w:w="510" w:type="pct"/>
            <w:tcBorders>
              <w:top w:val="nil"/>
              <w:left w:val="nil"/>
              <w:bottom w:val="nil"/>
              <w:right w:val="nil"/>
            </w:tcBorders>
            <w:shd w:val="clear" w:color="auto" w:fill="auto"/>
            <w:noWrap/>
            <w:vAlign w:val="center"/>
            <w:hideMark/>
          </w:tcPr>
          <w:p w14:paraId="157AFA89"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95</w:t>
            </w:r>
          </w:p>
        </w:tc>
        <w:tc>
          <w:tcPr>
            <w:tcW w:w="510" w:type="pct"/>
            <w:tcBorders>
              <w:top w:val="nil"/>
              <w:left w:val="nil"/>
              <w:bottom w:val="nil"/>
              <w:right w:val="nil"/>
            </w:tcBorders>
            <w:shd w:val="clear" w:color="auto" w:fill="auto"/>
            <w:noWrap/>
            <w:vAlign w:val="center"/>
            <w:hideMark/>
          </w:tcPr>
          <w:p w14:paraId="29EA0468"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0,08</w:t>
            </w:r>
          </w:p>
        </w:tc>
      </w:tr>
      <w:tr w:rsidR="001177B1" w:rsidRPr="001177B1" w14:paraId="2D73A55F" w14:textId="77777777" w:rsidTr="001177B1">
        <w:trPr>
          <w:trHeight w:val="255"/>
          <w:jc w:val="center"/>
        </w:trPr>
        <w:tc>
          <w:tcPr>
            <w:tcW w:w="3980" w:type="pct"/>
            <w:tcBorders>
              <w:top w:val="nil"/>
              <w:left w:val="nil"/>
              <w:bottom w:val="nil"/>
              <w:right w:val="nil"/>
            </w:tcBorders>
            <w:shd w:val="clear" w:color="auto" w:fill="auto"/>
            <w:noWrap/>
            <w:vAlign w:val="center"/>
            <w:hideMark/>
          </w:tcPr>
          <w:p w14:paraId="52ECA73D" w14:textId="77777777" w:rsidR="001177B1" w:rsidRPr="001177B1" w:rsidRDefault="001177B1" w:rsidP="001177B1">
            <w:pPr>
              <w:spacing w:after="0" w:line="240" w:lineRule="auto"/>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Fondy sociálneho zabezpečenia</w:t>
            </w:r>
          </w:p>
        </w:tc>
        <w:tc>
          <w:tcPr>
            <w:tcW w:w="510" w:type="pct"/>
            <w:tcBorders>
              <w:top w:val="nil"/>
              <w:left w:val="nil"/>
              <w:bottom w:val="nil"/>
              <w:right w:val="nil"/>
            </w:tcBorders>
            <w:shd w:val="clear" w:color="auto" w:fill="auto"/>
            <w:noWrap/>
            <w:vAlign w:val="center"/>
            <w:hideMark/>
          </w:tcPr>
          <w:p w14:paraId="5BD8BDE7"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-616</w:t>
            </w:r>
          </w:p>
        </w:tc>
        <w:tc>
          <w:tcPr>
            <w:tcW w:w="510" w:type="pct"/>
            <w:tcBorders>
              <w:top w:val="nil"/>
              <w:left w:val="nil"/>
              <w:bottom w:val="nil"/>
              <w:right w:val="nil"/>
            </w:tcBorders>
            <w:shd w:val="clear" w:color="auto" w:fill="auto"/>
            <w:noWrap/>
            <w:vAlign w:val="center"/>
            <w:hideMark/>
          </w:tcPr>
          <w:p w14:paraId="24FA3298"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-0,51</w:t>
            </w:r>
          </w:p>
        </w:tc>
      </w:tr>
      <w:tr w:rsidR="001177B1" w:rsidRPr="001177B1" w14:paraId="1DE8F457" w14:textId="77777777" w:rsidTr="001177B1">
        <w:trPr>
          <w:trHeight w:val="255"/>
          <w:jc w:val="center"/>
        </w:trPr>
        <w:tc>
          <w:tcPr>
            <w:tcW w:w="3980" w:type="pct"/>
            <w:tcBorders>
              <w:top w:val="nil"/>
              <w:left w:val="nil"/>
              <w:bottom w:val="nil"/>
              <w:right w:val="nil"/>
            </w:tcBorders>
            <w:shd w:val="clear" w:color="auto" w:fill="auto"/>
            <w:noWrap/>
            <w:vAlign w:val="center"/>
            <w:hideMark/>
          </w:tcPr>
          <w:p w14:paraId="489BF12C" w14:textId="77777777" w:rsidR="001177B1" w:rsidRPr="001177B1" w:rsidRDefault="001177B1" w:rsidP="001177B1">
            <w:pPr>
              <w:spacing w:after="0" w:line="240" w:lineRule="auto"/>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Výpadok nedaňových príjmov štátneho rozpočtu - solidárny príspevok presunutý do daní</w:t>
            </w:r>
          </w:p>
        </w:tc>
        <w:tc>
          <w:tcPr>
            <w:tcW w:w="510" w:type="pct"/>
            <w:tcBorders>
              <w:top w:val="nil"/>
              <w:left w:val="nil"/>
              <w:bottom w:val="nil"/>
              <w:right w:val="nil"/>
            </w:tcBorders>
            <w:shd w:val="clear" w:color="auto" w:fill="auto"/>
            <w:noWrap/>
            <w:vAlign w:val="center"/>
            <w:hideMark/>
          </w:tcPr>
          <w:p w14:paraId="217FFFA6"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-462</w:t>
            </w:r>
          </w:p>
        </w:tc>
        <w:tc>
          <w:tcPr>
            <w:tcW w:w="510" w:type="pct"/>
            <w:tcBorders>
              <w:top w:val="nil"/>
              <w:left w:val="nil"/>
              <w:bottom w:val="nil"/>
              <w:right w:val="nil"/>
            </w:tcBorders>
            <w:shd w:val="clear" w:color="auto" w:fill="auto"/>
            <w:noWrap/>
            <w:vAlign w:val="center"/>
            <w:hideMark/>
          </w:tcPr>
          <w:p w14:paraId="467F54E7"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-0,38</w:t>
            </w:r>
          </w:p>
        </w:tc>
      </w:tr>
      <w:tr w:rsidR="001177B1" w:rsidRPr="001177B1" w14:paraId="41E19C8D" w14:textId="77777777" w:rsidTr="001177B1">
        <w:trPr>
          <w:trHeight w:val="255"/>
          <w:jc w:val="center"/>
        </w:trPr>
        <w:tc>
          <w:tcPr>
            <w:tcW w:w="3980" w:type="pct"/>
            <w:tcBorders>
              <w:top w:val="nil"/>
              <w:left w:val="nil"/>
              <w:bottom w:val="nil"/>
              <w:right w:val="nil"/>
            </w:tcBorders>
            <w:shd w:val="clear" w:color="auto" w:fill="auto"/>
            <w:noWrap/>
            <w:vAlign w:val="center"/>
            <w:hideMark/>
          </w:tcPr>
          <w:p w14:paraId="0CF27FF5" w14:textId="77777777" w:rsidR="001177B1" w:rsidRPr="001177B1" w:rsidRDefault="001177B1" w:rsidP="001177B1">
            <w:pPr>
              <w:spacing w:after="0" w:line="240" w:lineRule="auto"/>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Výdavky na zdravotnú starostlivosť v rámci verejného zdravotného poistenia</w:t>
            </w:r>
          </w:p>
        </w:tc>
        <w:tc>
          <w:tcPr>
            <w:tcW w:w="510" w:type="pct"/>
            <w:tcBorders>
              <w:top w:val="nil"/>
              <w:left w:val="nil"/>
              <w:bottom w:val="nil"/>
              <w:right w:val="nil"/>
            </w:tcBorders>
            <w:shd w:val="clear" w:color="auto" w:fill="auto"/>
            <w:noWrap/>
            <w:vAlign w:val="center"/>
            <w:hideMark/>
          </w:tcPr>
          <w:p w14:paraId="4E237F05"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-275</w:t>
            </w:r>
          </w:p>
        </w:tc>
        <w:tc>
          <w:tcPr>
            <w:tcW w:w="510" w:type="pct"/>
            <w:tcBorders>
              <w:top w:val="nil"/>
              <w:left w:val="nil"/>
              <w:bottom w:val="nil"/>
              <w:right w:val="nil"/>
            </w:tcBorders>
            <w:shd w:val="clear" w:color="auto" w:fill="auto"/>
            <w:noWrap/>
            <w:vAlign w:val="center"/>
            <w:hideMark/>
          </w:tcPr>
          <w:p w14:paraId="42CCB251"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-0,23</w:t>
            </w:r>
          </w:p>
        </w:tc>
      </w:tr>
      <w:tr w:rsidR="001177B1" w:rsidRPr="001177B1" w14:paraId="6A81EB72" w14:textId="77777777" w:rsidTr="001177B1">
        <w:trPr>
          <w:trHeight w:val="255"/>
          <w:jc w:val="center"/>
        </w:trPr>
        <w:tc>
          <w:tcPr>
            <w:tcW w:w="3980" w:type="pct"/>
            <w:tcBorders>
              <w:top w:val="nil"/>
              <w:left w:val="nil"/>
              <w:bottom w:val="nil"/>
              <w:right w:val="nil"/>
            </w:tcBorders>
            <w:shd w:val="clear" w:color="auto" w:fill="auto"/>
            <w:noWrap/>
            <w:vAlign w:val="center"/>
            <w:hideMark/>
          </w:tcPr>
          <w:p w14:paraId="073F9FDF" w14:textId="77777777" w:rsidR="001177B1" w:rsidRPr="001177B1" w:rsidRDefault="001177B1" w:rsidP="001177B1">
            <w:pPr>
              <w:spacing w:after="0" w:line="240" w:lineRule="auto"/>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 xml:space="preserve">Daňová prognóza </w:t>
            </w:r>
            <w:r w:rsidRPr="001177B1">
              <w:rPr>
                <w:rFonts w:ascii="Times New Roman" w:eastAsia="Times New Roman" w:hAnsi="Times New Roman" w:cs="Times New Roman"/>
                <w:i/>
                <w:iCs/>
                <w:color w:val="000000"/>
                <w:sz w:val="16"/>
                <w:szCs w:val="16"/>
                <w:lang w:eastAsia="sk-SK"/>
              </w:rPr>
              <w:t>(bez platieb štátu)</w:t>
            </w:r>
          </w:p>
        </w:tc>
        <w:tc>
          <w:tcPr>
            <w:tcW w:w="510" w:type="pct"/>
            <w:tcBorders>
              <w:top w:val="nil"/>
              <w:left w:val="nil"/>
              <w:bottom w:val="nil"/>
              <w:right w:val="nil"/>
            </w:tcBorders>
            <w:shd w:val="clear" w:color="auto" w:fill="auto"/>
            <w:noWrap/>
            <w:vAlign w:val="center"/>
            <w:hideMark/>
          </w:tcPr>
          <w:p w14:paraId="2EE4EEE7"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-235</w:t>
            </w:r>
          </w:p>
        </w:tc>
        <w:tc>
          <w:tcPr>
            <w:tcW w:w="510" w:type="pct"/>
            <w:tcBorders>
              <w:top w:val="nil"/>
              <w:left w:val="nil"/>
              <w:bottom w:val="nil"/>
              <w:right w:val="nil"/>
            </w:tcBorders>
            <w:shd w:val="clear" w:color="auto" w:fill="auto"/>
            <w:noWrap/>
            <w:vAlign w:val="center"/>
            <w:hideMark/>
          </w:tcPr>
          <w:p w14:paraId="1FADD2EF"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-0,19</w:t>
            </w:r>
          </w:p>
        </w:tc>
      </w:tr>
      <w:tr w:rsidR="001177B1" w:rsidRPr="001177B1" w14:paraId="08D5F91B" w14:textId="77777777" w:rsidTr="001177B1">
        <w:trPr>
          <w:trHeight w:val="255"/>
          <w:jc w:val="center"/>
        </w:trPr>
        <w:tc>
          <w:tcPr>
            <w:tcW w:w="3980" w:type="pct"/>
            <w:tcBorders>
              <w:top w:val="nil"/>
              <w:left w:val="nil"/>
              <w:bottom w:val="nil"/>
              <w:right w:val="nil"/>
            </w:tcBorders>
            <w:shd w:val="clear" w:color="auto" w:fill="auto"/>
            <w:noWrap/>
            <w:vAlign w:val="center"/>
            <w:hideMark/>
          </w:tcPr>
          <w:p w14:paraId="15325F57" w14:textId="77777777" w:rsidR="001177B1" w:rsidRPr="001177B1" w:rsidRDefault="001177B1" w:rsidP="001177B1">
            <w:pPr>
              <w:spacing w:after="0" w:line="240" w:lineRule="auto"/>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 xml:space="preserve">Kapitálové výdavky štátneho rozpočtu </w:t>
            </w:r>
            <w:r w:rsidRPr="001177B1">
              <w:rPr>
                <w:rFonts w:ascii="Times New Roman" w:eastAsia="Times New Roman" w:hAnsi="Times New Roman" w:cs="Times New Roman"/>
                <w:i/>
                <w:iCs/>
                <w:color w:val="000000"/>
                <w:sz w:val="16"/>
                <w:szCs w:val="16"/>
                <w:lang w:eastAsia="sk-SK"/>
              </w:rPr>
              <w:t xml:space="preserve">(§ 8 zákona o </w:t>
            </w:r>
            <w:proofErr w:type="spellStart"/>
            <w:r w:rsidRPr="001177B1">
              <w:rPr>
                <w:rFonts w:ascii="Times New Roman" w:eastAsia="Times New Roman" w:hAnsi="Times New Roman" w:cs="Times New Roman"/>
                <w:i/>
                <w:iCs/>
                <w:color w:val="000000"/>
                <w:sz w:val="16"/>
                <w:szCs w:val="16"/>
                <w:lang w:eastAsia="sk-SK"/>
              </w:rPr>
              <w:t>rozp</w:t>
            </w:r>
            <w:proofErr w:type="spellEnd"/>
            <w:r w:rsidRPr="001177B1">
              <w:rPr>
                <w:rFonts w:ascii="Times New Roman" w:eastAsia="Times New Roman" w:hAnsi="Times New Roman" w:cs="Times New Roman"/>
                <w:i/>
                <w:iCs/>
                <w:color w:val="000000"/>
                <w:sz w:val="16"/>
                <w:szCs w:val="16"/>
                <w:lang w:eastAsia="sk-SK"/>
              </w:rPr>
              <w:t xml:space="preserve">. pravidlách verejnej správy) </w:t>
            </w:r>
          </w:p>
        </w:tc>
        <w:tc>
          <w:tcPr>
            <w:tcW w:w="510" w:type="pct"/>
            <w:tcBorders>
              <w:top w:val="nil"/>
              <w:left w:val="nil"/>
              <w:bottom w:val="nil"/>
              <w:right w:val="nil"/>
            </w:tcBorders>
            <w:shd w:val="clear" w:color="auto" w:fill="auto"/>
            <w:noWrap/>
            <w:vAlign w:val="center"/>
            <w:hideMark/>
          </w:tcPr>
          <w:p w14:paraId="488047CC"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-104</w:t>
            </w:r>
          </w:p>
        </w:tc>
        <w:tc>
          <w:tcPr>
            <w:tcW w:w="510" w:type="pct"/>
            <w:tcBorders>
              <w:top w:val="nil"/>
              <w:left w:val="nil"/>
              <w:bottom w:val="nil"/>
              <w:right w:val="nil"/>
            </w:tcBorders>
            <w:shd w:val="clear" w:color="auto" w:fill="auto"/>
            <w:noWrap/>
            <w:vAlign w:val="center"/>
            <w:hideMark/>
          </w:tcPr>
          <w:p w14:paraId="7C4F49FA"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-0,09</w:t>
            </w:r>
          </w:p>
        </w:tc>
      </w:tr>
      <w:tr w:rsidR="001177B1" w:rsidRPr="001177B1" w14:paraId="00ACAA36" w14:textId="77777777" w:rsidTr="001177B1">
        <w:trPr>
          <w:trHeight w:val="255"/>
          <w:jc w:val="center"/>
        </w:trPr>
        <w:tc>
          <w:tcPr>
            <w:tcW w:w="3980" w:type="pct"/>
            <w:tcBorders>
              <w:top w:val="nil"/>
              <w:left w:val="nil"/>
              <w:bottom w:val="nil"/>
              <w:right w:val="nil"/>
            </w:tcBorders>
            <w:shd w:val="clear" w:color="auto" w:fill="auto"/>
            <w:noWrap/>
            <w:vAlign w:val="center"/>
            <w:hideMark/>
          </w:tcPr>
          <w:p w14:paraId="13C228E6" w14:textId="77777777" w:rsidR="001177B1" w:rsidRPr="001177B1" w:rsidRDefault="001177B1" w:rsidP="001177B1">
            <w:pPr>
              <w:spacing w:after="0" w:line="240" w:lineRule="auto"/>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Dividendy v rámci štátneho rozpočtu</w:t>
            </w:r>
          </w:p>
        </w:tc>
        <w:tc>
          <w:tcPr>
            <w:tcW w:w="510" w:type="pct"/>
            <w:tcBorders>
              <w:top w:val="nil"/>
              <w:left w:val="nil"/>
              <w:bottom w:val="nil"/>
              <w:right w:val="nil"/>
            </w:tcBorders>
            <w:shd w:val="clear" w:color="auto" w:fill="auto"/>
            <w:noWrap/>
            <w:vAlign w:val="center"/>
            <w:hideMark/>
          </w:tcPr>
          <w:p w14:paraId="1AA7B9DA"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-111</w:t>
            </w:r>
          </w:p>
        </w:tc>
        <w:tc>
          <w:tcPr>
            <w:tcW w:w="510" w:type="pct"/>
            <w:tcBorders>
              <w:top w:val="nil"/>
              <w:left w:val="nil"/>
              <w:bottom w:val="nil"/>
              <w:right w:val="nil"/>
            </w:tcBorders>
            <w:shd w:val="clear" w:color="auto" w:fill="auto"/>
            <w:noWrap/>
            <w:vAlign w:val="center"/>
            <w:hideMark/>
          </w:tcPr>
          <w:p w14:paraId="2F919FD0"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-0,09</w:t>
            </w:r>
          </w:p>
        </w:tc>
      </w:tr>
      <w:tr w:rsidR="001177B1" w:rsidRPr="001177B1" w14:paraId="2CECFE2B" w14:textId="77777777" w:rsidTr="001177B1">
        <w:trPr>
          <w:trHeight w:val="255"/>
          <w:jc w:val="center"/>
        </w:trPr>
        <w:tc>
          <w:tcPr>
            <w:tcW w:w="3980" w:type="pct"/>
            <w:tcBorders>
              <w:top w:val="nil"/>
              <w:left w:val="nil"/>
              <w:bottom w:val="nil"/>
              <w:right w:val="nil"/>
            </w:tcBorders>
            <w:shd w:val="clear" w:color="auto" w:fill="auto"/>
            <w:noWrap/>
            <w:vAlign w:val="center"/>
            <w:hideMark/>
          </w:tcPr>
          <w:p w14:paraId="7B0A7D34" w14:textId="77777777" w:rsidR="001177B1" w:rsidRPr="001177B1" w:rsidRDefault="001177B1" w:rsidP="001177B1">
            <w:pPr>
              <w:spacing w:after="0" w:line="240" w:lineRule="auto"/>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Výdavky vyvolané vojnou na Ukrajine</w:t>
            </w:r>
          </w:p>
        </w:tc>
        <w:tc>
          <w:tcPr>
            <w:tcW w:w="510" w:type="pct"/>
            <w:tcBorders>
              <w:top w:val="nil"/>
              <w:left w:val="nil"/>
              <w:bottom w:val="nil"/>
              <w:right w:val="nil"/>
            </w:tcBorders>
            <w:shd w:val="clear" w:color="auto" w:fill="auto"/>
            <w:noWrap/>
            <w:vAlign w:val="center"/>
            <w:hideMark/>
          </w:tcPr>
          <w:p w14:paraId="5C723ECF"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-23</w:t>
            </w:r>
          </w:p>
        </w:tc>
        <w:tc>
          <w:tcPr>
            <w:tcW w:w="510" w:type="pct"/>
            <w:tcBorders>
              <w:top w:val="nil"/>
              <w:left w:val="nil"/>
              <w:bottom w:val="nil"/>
              <w:right w:val="nil"/>
            </w:tcBorders>
            <w:shd w:val="clear" w:color="auto" w:fill="auto"/>
            <w:noWrap/>
            <w:vAlign w:val="center"/>
            <w:hideMark/>
          </w:tcPr>
          <w:p w14:paraId="25E06770"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-0,02</w:t>
            </w:r>
          </w:p>
        </w:tc>
      </w:tr>
      <w:tr w:rsidR="001177B1" w:rsidRPr="001177B1" w14:paraId="7BE13444" w14:textId="77777777" w:rsidTr="001177B1">
        <w:trPr>
          <w:trHeight w:val="255"/>
          <w:jc w:val="center"/>
        </w:trPr>
        <w:tc>
          <w:tcPr>
            <w:tcW w:w="3980" w:type="pct"/>
            <w:tcBorders>
              <w:top w:val="nil"/>
              <w:left w:val="nil"/>
              <w:bottom w:val="single" w:sz="4" w:space="0" w:color="auto"/>
              <w:right w:val="nil"/>
            </w:tcBorders>
            <w:shd w:val="clear" w:color="auto" w:fill="auto"/>
            <w:noWrap/>
            <w:vAlign w:val="center"/>
            <w:hideMark/>
          </w:tcPr>
          <w:p w14:paraId="1ADF803B" w14:textId="77777777" w:rsidR="001177B1" w:rsidRPr="001177B1" w:rsidRDefault="001177B1" w:rsidP="001177B1">
            <w:pPr>
              <w:spacing w:after="0" w:line="240" w:lineRule="auto"/>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 xml:space="preserve">Ostatné </w:t>
            </w:r>
            <w:r w:rsidRPr="001177B1">
              <w:rPr>
                <w:rFonts w:ascii="Times New Roman" w:eastAsia="Times New Roman" w:hAnsi="Times New Roman" w:cs="Times New Roman"/>
                <w:i/>
                <w:iCs/>
                <w:color w:val="000000"/>
                <w:sz w:val="16"/>
                <w:szCs w:val="16"/>
                <w:lang w:eastAsia="sk-SK"/>
              </w:rPr>
              <w:t xml:space="preserve">(najmä </w:t>
            </w:r>
            <w:proofErr w:type="spellStart"/>
            <w:r w:rsidRPr="001177B1">
              <w:rPr>
                <w:rFonts w:ascii="Times New Roman" w:eastAsia="Times New Roman" w:hAnsi="Times New Roman" w:cs="Times New Roman"/>
                <w:i/>
                <w:iCs/>
                <w:color w:val="000000"/>
                <w:sz w:val="16"/>
                <w:szCs w:val="16"/>
                <w:lang w:eastAsia="sk-SK"/>
              </w:rPr>
              <w:t>akrualizácia</w:t>
            </w:r>
            <w:proofErr w:type="spellEnd"/>
            <w:r w:rsidRPr="001177B1">
              <w:rPr>
                <w:rFonts w:ascii="Times New Roman" w:eastAsia="Times New Roman" w:hAnsi="Times New Roman" w:cs="Times New Roman"/>
                <w:i/>
                <w:iCs/>
                <w:color w:val="000000"/>
                <w:sz w:val="16"/>
                <w:szCs w:val="16"/>
                <w:lang w:eastAsia="sk-SK"/>
              </w:rPr>
              <w:t xml:space="preserve"> dodávok vojenskej techniky)</w:t>
            </w:r>
          </w:p>
        </w:tc>
        <w:tc>
          <w:tcPr>
            <w:tcW w:w="510" w:type="pct"/>
            <w:tcBorders>
              <w:top w:val="nil"/>
              <w:left w:val="nil"/>
              <w:bottom w:val="nil"/>
              <w:right w:val="nil"/>
            </w:tcBorders>
            <w:shd w:val="clear" w:color="auto" w:fill="auto"/>
            <w:noWrap/>
            <w:vAlign w:val="center"/>
            <w:hideMark/>
          </w:tcPr>
          <w:p w14:paraId="0B470B4A"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261</w:t>
            </w:r>
          </w:p>
        </w:tc>
        <w:tc>
          <w:tcPr>
            <w:tcW w:w="510" w:type="pct"/>
            <w:tcBorders>
              <w:top w:val="nil"/>
              <w:left w:val="nil"/>
              <w:bottom w:val="nil"/>
              <w:right w:val="nil"/>
            </w:tcBorders>
            <w:shd w:val="clear" w:color="auto" w:fill="auto"/>
            <w:noWrap/>
            <w:vAlign w:val="center"/>
            <w:hideMark/>
          </w:tcPr>
          <w:p w14:paraId="3F88BDAC"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0,21</w:t>
            </w:r>
          </w:p>
        </w:tc>
      </w:tr>
      <w:tr w:rsidR="001177B1" w:rsidRPr="001177B1" w14:paraId="2B5B93AA" w14:textId="77777777" w:rsidTr="001177B1">
        <w:trPr>
          <w:trHeight w:val="255"/>
          <w:jc w:val="center"/>
        </w:trPr>
        <w:tc>
          <w:tcPr>
            <w:tcW w:w="3980" w:type="pct"/>
            <w:tcBorders>
              <w:top w:val="nil"/>
              <w:left w:val="nil"/>
              <w:bottom w:val="single" w:sz="4" w:space="0" w:color="auto"/>
              <w:right w:val="nil"/>
            </w:tcBorders>
            <w:shd w:val="clear" w:color="auto" w:fill="auto"/>
            <w:noWrap/>
            <w:vAlign w:val="center"/>
            <w:hideMark/>
          </w:tcPr>
          <w:p w14:paraId="099F0B2B" w14:textId="77777777" w:rsidR="001177B1" w:rsidRPr="001177B1" w:rsidRDefault="001177B1" w:rsidP="001177B1">
            <w:pPr>
              <w:spacing w:after="0" w:line="240" w:lineRule="auto"/>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Aktuálny odhad schodku rozpočtu verejnej správy 2023</w:t>
            </w:r>
          </w:p>
        </w:tc>
        <w:tc>
          <w:tcPr>
            <w:tcW w:w="510" w:type="pct"/>
            <w:tcBorders>
              <w:top w:val="single" w:sz="4" w:space="0" w:color="auto"/>
              <w:left w:val="nil"/>
              <w:bottom w:val="single" w:sz="4" w:space="0" w:color="auto"/>
              <w:right w:val="nil"/>
            </w:tcBorders>
            <w:shd w:val="clear" w:color="auto" w:fill="auto"/>
            <w:noWrap/>
            <w:vAlign w:val="center"/>
            <w:hideMark/>
          </w:tcPr>
          <w:p w14:paraId="357C2AD7"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-7 949</w:t>
            </w:r>
          </w:p>
        </w:tc>
        <w:tc>
          <w:tcPr>
            <w:tcW w:w="510" w:type="pct"/>
            <w:tcBorders>
              <w:top w:val="single" w:sz="4" w:space="0" w:color="auto"/>
              <w:left w:val="nil"/>
              <w:bottom w:val="single" w:sz="4" w:space="0" w:color="auto"/>
              <w:right w:val="nil"/>
            </w:tcBorders>
            <w:shd w:val="clear" w:color="auto" w:fill="auto"/>
            <w:noWrap/>
            <w:vAlign w:val="center"/>
            <w:hideMark/>
          </w:tcPr>
          <w:p w14:paraId="7784591D"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-6,52</w:t>
            </w:r>
          </w:p>
        </w:tc>
      </w:tr>
      <w:tr w:rsidR="001177B1" w:rsidRPr="001177B1" w14:paraId="37E17C9C" w14:textId="77777777" w:rsidTr="001177B1">
        <w:trPr>
          <w:trHeight w:val="255"/>
          <w:jc w:val="center"/>
        </w:trPr>
        <w:tc>
          <w:tcPr>
            <w:tcW w:w="3980" w:type="pct"/>
            <w:tcBorders>
              <w:top w:val="single" w:sz="4" w:space="0" w:color="auto"/>
              <w:left w:val="nil"/>
              <w:bottom w:val="single" w:sz="4" w:space="0" w:color="auto"/>
              <w:right w:val="nil"/>
            </w:tcBorders>
            <w:shd w:val="clear" w:color="auto" w:fill="auto"/>
            <w:noWrap/>
            <w:vAlign w:val="center"/>
            <w:hideMark/>
          </w:tcPr>
          <w:p w14:paraId="733CAA69" w14:textId="77777777" w:rsidR="001177B1" w:rsidRPr="001177B1" w:rsidRDefault="001177B1" w:rsidP="001177B1">
            <w:pPr>
              <w:spacing w:after="0" w:line="240" w:lineRule="auto"/>
              <w:rPr>
                <w:rFonts w:ascii="Times New Roman" w:eastAsia="Times New Roman" w:hAnsi="Times New Roman" w:cs="Times New Roman"/>
                <w:i/>
                <w:iCs/>
                <w:color w:val="000000"/>
                <w:sz w:val="18"/>
                <w:szCs w:val="18"/>
                <w:lang w:eastAsia="sk-SK"/>
              </w:rPr>
            </w:pPr>
            <w:r w:rsidRPr="001177B1">
              <w:rPr>
                <w:rFonts w:ascii="Times New Roman" w:eastAsia="Times New Roman" w:hAnsi="Times New Roman" w:cs="Times New Roman"/>
                <w:i/>
                <w:iCs/>
                <w:color w:val="000000"/>
                <w:sz w:val="18"/>
                <w:szCs w:val="18"/>
                <w:lang w:eastAsia="sk-SK"/>
              </w:rPr>
              <w:t>HDP v  b. c.</w:t>
            </w:r>
          </w:p>
        </w:tc>
        <w:tc>
          <w:tcPr>
            <w:tcW w:w="510" w:type="pct"/>
            <w:tcBorders>
              <w:top w:val="nil"/>
              <w:left w:val="nil"/>
              <w:bottom w:val="single" w:sz="4" w:space="0" w:color="auto"/>
              <w:right w:val="nil"/>
            </w:tcBorders>
            <w:shd w:val="clear" w:color="auto" w:fill="auto"/>
            <w:noWrap/>
            <w:vAlign w:val="center"/>
            <w:hideMark/>
          </w:tcPr>
          <w:p w14:paraId="79626D2F" w14:textId="77777777" w:rsidR="001177B1" w:rsidRPr="001177B1" w:rsidRDefault="001177B1" w:rsidP="001177B1">
            <w:pPr>
              <w:spacing w:after="0" w:line="240" w:lineRule="auto"/>
              <w:jc w:val="right"/>
              <w:rPr>
                <w:rFonts w:ascii="Times New Roman" w:eastAsia="Times New Roman" w:hAnsi="Times New Roman" w:cs="Times New Roman"/>
                <w:i/>
                <w:iCs/>
                <w:color w:val="000000"/>
                <w:sz w:val="18"/>
                <w:szCs w:val="18"/>
                <w:lang w:eastAsia="sk-SK"/>
              </w:rPr>
            </w:pPr>
            <w:r w:rsidRPr="001177B1">
              <w:rPr>
                <w:rFonts w:ascii="Times New Roman" w:eastAsia="Times New Roman" w:hAnsi="Times New Roman" w:cs="Times New Roman"/>
                <w:i/>
                <w:iCs/>
                <w:color w:val="000000"/>
                <w:sz w:val="18"/>
                <w:szCs w:val="18"/>
                <w:lang w:eastAsia="sk-SK"/>
              </w:rPr>
              <w:t>121 902</w:t>
            </w:r>
          </w:p>
        </w:tc>
        <w:tc>
          <w:tcPr>
            <w:tcW w:w="510" w:type="pct"/>
            <w:tcBorders>
              <w:top w:val="nil"/>
              <w:left w:val="nil"/>
              <w:bottom w:val="single" w:sz="4" w:space="0" w:color="auto"/>
              <w:right w:val="nil"/>
            </w:tcBorders>
            <w:shd w:val="clear" w:color="auto" w:fill="auto"/>
            <w:noWrap/>
            <w:vAlign w:val="center"/>
            <w:hideMark/>
          </w:tcPr>
          <w:p w14:paraId="5003ABC5" w14:textId="77777777" w:rsidR="001177B1" w:rsidRPr="001177B1" w:rsidRDefault="001177B1" w:rsidP="001177B1">
            <w:pPr>
              <w:spacing w:after="0" w:line="240" w:lineRule="auto"/>
              <w:rPr>
                <w:rFonts w:ascii="Times New Roman" w:eastAsia="Times New Roman" w:hAnsi="Times New Roman" w:cs="Times New Roman"/>
                <w:i/>
                <w:iCs/>
                <w:color w:val="000000"/>
                <w:sz w:val="18"/>
                <w:szCs w:val="18"/>
                <w:lang w:eastAsia="sk-SK"/>
              </w:rPr>
            </w:pPr>
            <w:r w:rsidRPr="001177B1">
              <w:rPr>
                <w:rFonts w:ascii="Times New Roman" w:eastAsia="Times New Roman" w:hAnsi="Times New Roman" w:cs="Times New Roman"/>
                <w:i/>
                <w:iCs/>
                <w:color w:val="000000"/>
                <w:sz w:val="18"/>
                <w:szCs w:val="18"/>
                <w:lang w:eastAsia="sk-SK"/>
              </w:rPr>
              <w:t> </w:t>
            </w:r>
          </w:p>
        </w:tc>
      </w:tr>
    </w:tbl>
    <w:p w14:paraId="6076308E" w14:textId="77777777" w:rsidR="009041CA" w:rsidRPr="002E562F" w:rsidRDefault="009041CA" w:rsidP="009041CA">
      <w:pPr>
        <w:ind w:left="7080" w:firstLine="708"/>
        <w:jc w:val="center"/>
        <w:rPr>
          <w:rFonts w:ascii="Times New Roman" w:hAnsi="Times New Roman" w:cs="Times New Roman"/>
          <w:i/>
          <w:sz w:val="16"/>
          <w:szCs w:val="16"/>
        </w:rPr>
      </w:pPr>
      <w:r w:rsidRPr="002E562F">
        <w:rPr>
          <w:rFonts w:ascii="Times New Roman" w:hAnsi="Times New Roman" w:cs="Times New Roman"/>
          <w:i/>
          <w:sz w:val="16"/>
          <w:szCs w:val="16"/>
        </w:rPr>
        <w:t xml:space="preserve">      Zdroj: MF SR</w:t>
      </w:r>
    </w:p>
    <w:p w14:paraId="3131A728" w14:textId="77777777" w:rsidR="00AB2E4C" w:rsidRDefault="00AB2E4C" w:rsidP="007B4FDF">
      <w:pPr>
        <w:spacing w:after="0" w:line="240" w:lineRule="auto"/>
        <w:jc w:val="both"/>
        <w:rPr>
          <w:rFonts w:ascii="Times New Roman" w:hAnsi="Times New Roman" w:cs="Times New Roman"/>
          <w:sz w:val="24"/>
          <w:szCs w:val="24"/>
        </w:rPr>
      </w:pPr>
    </w:p>
    <w:p w14:paraId="58E66EC4" w14:textId="77777777" w:rsidR="007B4FDF" w:rsidRDefault="0080040F" w:rsidP="00B932F5">
      <w:pPr>
        <w:pStyle w:val="CharCharCharCharCharCharCharCharChar1"/>
        <w:spacing w:after="0"/>
        <w:rPr>
          <w:rFonts w:ascii="Times New Roman" w:hAnsi="Times New Roman" w:cs="Times New Roman"/>
          <w:b/>
          <w:color w:val="5B9BD5" w:themeColor="accent1"/>
          <w:sz w:val="24"/>
          <w:szCs w:val="24"/>
          <w:lang w:val="sk-SK"/>
        </w:rPr>
      </w:pPr>
      <w:bookmarkStart w:id="17" w:name="_Toc79153407"/>
      <w:r w:rsidRPr="0080040F">
        <w:rPr>
          <w:rFonts w:ascii="Times New Roman" w:hAnsi="Times New Roman" w:cs="Times New Roman"/>
          <w:b/>
          <w:color w:val="5B9BD5" w:themeColor="accent1"/>
          <w:sz w:val="24"/>
          <w:szCs w:val="24"/>
        </w:rPr>
        <w:t xml:space="preserve">2.1.1. </w:t>
      </w:r>
      <w:bookmarkEnd w:id="17"/>
      <w:proofErr w:type="spellStart"/>
      <w:r w:rsidR="00AB2E4C">
        <w:rPr>
          <w:rFonts w:ascii="Times New Roman" w:hAnsi="Times New Roman" w:cs="Times New Roman"/>
          <w:b/>
          <w:color w:val="5B9BD5" w:themeColor="accent1"/>
          <w:sz w:val="24"/>
          <w:szCs w:val="24"/>
        </w:rPr>
        <w:t>Výdavky</w:t>
      </w:r>
      <w:proofErr w:type="spellEnd"/>
      <w:r w:rsidR="00AB2E4C">
        <w:rPr>
          <w:rFonts w:ascii="Times New Roman" w:hAnsi="Times New Roman" w:cs="Times New Roman"/>
          <w:b/>
          <w:color w:val="5B9BD5" w:themeColor="accent1"/>
          <w:sz w:val="24"/>
          <w:szCs w:val="24"/>
        </w:rPr>
        <w:t xml:space="preserve"> </w:t>
      </w:r>
      <w:proofErr w:type="spellStart"/>
      <w:r w:rsidR="00AB2E4C">
        <w:rPr>
          <w:rFonts w:ascii="Times New Roman" w:hAnsi="Times New Roman" w:cs="Times New Roman"/>
          <w:b/>
          <w:color w:val="5B9BD5" w:themeColor="accent1"/>
          <w:sz w:val="24"/>
          <w:szCs w:val="24"/>
        </w:rPr>
        <w:t>na</w:t>
      </w:r>
      <w:proofErr w:type="spellEnd"/>
      <w:r w:rsidR="00AB2E4C">
        <w:rPr>
          <w:rFonts w:ascii="Times New Roman" w:hAnsi="Times New Roman" w:cs="Times New Roman"/>
          <w:b/>
          <w:color w:val="5B9BD5" w:themeColor="accent1"/>
          <w:sz w:val="24"/>
          <w:szCs w:val="24"/>
        </w:rPr>
        <w:t xml:space="preserve"> </w:t>
      </w:r>
      <w:proofErr w:type="spellStart"/>
      <w:r w:rsidR="00AB2E4C">
        <w:rPr>
          <w:rFonts w:ascii="Times New Roman" w:hAnsi="Times New Roman" w:cs="Times New Roman"/>
          <w:b/>
          <w:color w:val="5B9BD5" w:themeColor="accent1"/>
          <w:sz w:val="24"/>
          <w:szCs w:val="24"/>
        </w:rPr>
        <w:t>kompenzačné</w:t>
      </w:r>
      <w:proofErr w:type="spellEnd"/>
      <w:r w:rsidR="00AB2E4C">
        <w:rPr>
          <w:rFonts w:ascii="Times New Roman" w:hAnsi="Times New Roman" w:cs="Times New Roman"/>
          <w:b/>
          <w:color w:val="5B9BD5" w:themeColor="accent1"/>
          <w:sz w:val="24"/>
          <w:szCs w:val="24"/>
        </w:rPr>
        <w:t xml:space="preserve"> </w:t>
      </w:r>
      <w:proofErr w:type="spellStart"/>
      <w:r w:rsidR="00AB2E4C">
        <w:rPr>
          <w:rFonts w:ascii="Times New Roman" w:hAnsi="Times New Roman" w:cs="Times New Roman"/>
          <w:b/>
          <w:color w:val="5B9BD5" w:themeColor="accent1"/>
          <w:sz w:val="24"/>
          <w:szCs w:val="24"/>
        </w:rPr>
        <w:t>opatrenia</w:t>
      </w:r>
      <w:proofErr w:type="spellEnd"/>
      <w:r w:rsidR="00AB2E4C">
        <w:rPr>
          <w:rFonts w:ascii="Times New Roman" w:hAnsi="Times New Roman" w:cs="Times New Roman"/>
          <w:b/>
          <w:color w:val="5B9BD5" w:themeColor="accent1"/>
          <w:sz w:val="24"/>
          <w:szCs w:val="24"/>
        </w:rPr>
        <w:t xml:space="preserve"> </w:t>
      </w:r>
      <w:proofErr w:type="spellStart"/>
      <w:r w:rsidR="00AB2E4C">
        <w:rPr>
          <w:rFonts w:ascii="Times New Roman" w:hAnsi="Times New Roman" w:cs="Times New Roman"/>
          <w:b/>
          <w:color w:val="5B9BD5" w:themeColor="accent1"/>
          <w:sz w:val="24"/>
          <w:szCs w:val="24"/>
        </w:rPr>
        <w:t>súvisiace</w:t>
      </w:r>
      <w:proofErr w:type="spellEnd"/>
      <w:r w:rsidR="00AB2E4C">
        <w:rPr>
          <w:rFonts w:ascii="Times New Roman" w:hAnsi="Times New Roman" w:cs="Times New Roman"/>
          <w:b/>
          <w:color w:val="5B9BD5" w:themeColor="accent1"/>
          <w:sz w:val="24"/>
          <w:szCs w:val="24"/>
        </w:rPr>
        <w:t xml:space="preserve"> s </w:t>
      </w:r>
      <w:proofErr w:type="spellStart"/>
      <w:r w:rsidR="00AB2E4C">
        <w:rPr>
          <w:rFonts w:ascii="Times New Roman" w:hAnsi="Times New Roman" w:cs="Times New Roman"/>
          <w:b/>
          <w:color w:val="5B9BD5" w:themeColor="accent1"/>
          <w:sz w:val="24"/>
          <w:szCs w:val="24"/>
        </w:rPr>
        <w:t>rastom</w:t>
      </w:r>
      <w:proofErr w:type="spellEnd"/>
      <w:r w:rsidR="00AB2E4C">
        <w:rPr>
          <w:rFonts w:ascii="Times New Roman" w:hAnsi="Times New Roman" w:cs="Times New Roman"/>
          <w:b/>
          <w:color w:val="5B9BD5" w:themeColor="accent1"/>
          <w:sz w:val="24"/>
          <w:szCs w:val="24"/>
        </w:rPr>
        <w:t xml:space="preserve"> </w:t>
      </w:r>
      <w:proofErr w:type="spellStart"/>
      <w:r w:rsidR="00AB2E4C">
        <w:rPr>
          <w:rFonts w:ascii="Times New Roman" w:hAnsi="Times New Roman" w:cs="Times New Roman"/>
          <w:b/>
          <w:color w:val="5B9BD5" w:themeColor="accent1"/>
          <w:sz w:val="24"/>
          <w:szCs w:val="24"/>
        </w:rPr>
        <w:t>cien</w:t>
      </w:r>
      <w:proofErr w:type="spellEnd"/>
      <w:r w:rsidR="00AB2E4C">
        <w:rPr>
          <w:rFonts w:ascii="Times New Roman" w:hAnsi="Times New Roman" w:cs="Times New Roman"/>
          <w:b/>
          <w:color w:val="5B9BD5" w:themeColor="accent1"/>
          <w:sz w:val="24"/>
          <w:szCs w:val="24"/>
        </w:rPr>
        <w:t xml:space="preserve"> </w:t>
      </w:r>
      <w:proofErr w:type="spellStart"/>
      <w:r w:rsidR="00AB2E4C">
        <w:rPr>
          <w:rFonts w:ascii="Times New Roman" w:hAnsi="Times New Roman" w:cs="Times New Roman"/>
          <w:b/>
          <w:color w:val="5B9BD5" w:themeColor="accent1"/>
          <w:sz w:val="24"/>
          <w:szCs w:val="24"/>
        </w:rPr>
        <w:t>energií</w:t>
      </w:r>
      <w:proofErr w:type="spellEnd"/>
    </w:p>
    <w:p w14:paraId="1B3428C0" w14:textId="77777777" w:rsidR="003E1EF9" w:rsidRDefault="003E1EF9" w:rsidP="00B932F5">
      <w:pPr>
        <w:pStyle w:val="CharCharCharCharCharCharCharCharChar1"/>
        <w:spacing w:after="0"/>
        <w:rPr>
          <w:rFonts w:ascii="Times New Roman" w:hAnsi="Times New Roman" w:cs="Times New Roman"/>
          <w:b/>
          <w:color w:val="5B9BD5" w:themeColor="accent1"/>
          <w:sz w:val="24"/>
          <w:szCs w:val="24"/>
          <w:lang w:val="sk-SK"/>
        </w:rPr>
      </w:pPr>
    </w:p>
    <w:p w14:paraId="3B0C1588" w14:textId="7AF49B22" w:rsidR="001177B1" w:rsidRDefault="001177B1" w:rsidP="00AD6831">
      <w:pPr>
        <w:spacing w:after="0"/>
        <w:jc w:val="both"/>
        <w:rPr>
          <w:rFonts w:ascii="Times New Roman" w:hAnsi="Times New Roman" w:cs="Times New Roman"/>
          <w:sz w:val="24"/>
          <w:szCs w:val="24"/>
        </w:rPr>
      </w:pPr>
      <w:r w:rsidRPr="002A1916">
        <w:rPr>
          <w:rFonts w:ascii="Times New Roman" w:hAnsi="Times New Roman" w:cs="Times New Roman"/>
          <w:sz w:val="24"/>
          <w:szCs w:val="24"/>
        </w:rPr>
        <w:t xml:space="preserve">Hlavným poskytovateľom pomoci s </w:t>
      </w:r>
      <w:r w:rsidRPr="002A1916">
        <w:rPr>
          <w:rFonts w:ascii="Times New Roman" w:hAnsi="Times New Roman" w:cs="Times New Roman"/>
          <w:bCs/>
          <w:sz w:val="24"/>
          <w:szCs w:val="24"/>
        </w:rPr>
        <w:t>vysokými cenami energií pre domácnosti, verejný sektor a podnikateľské subjekty na Slovensku je Ministerstvo hospodárstva SR</w:t>
      </w:r>
      <w:r>
        <w:rPr>
          <w:rStyle w:val="Odkaznapoznmkupodiarou"/>
          <w:rFonts w:ascii="Times New Roman" w:hAnsi="Times New Roman"/>
          <w:bCs/>
          <w:sz w:val="24"/>
          <w:szCs w:val="24"/>
        </w:rPr>
        <w:footnoteReference w:id="3"/>
      </w:r>
      <w:r w:rsidRPr="002A1916">
        <w:rPr>
          <w:rFonts w:ascii="Times New Roman" w:hAnsi="Times New Roman" w:cs="Times New Roman"/>
          <w:bCs/>
          <w:sz w:val="24"/>
          <w:szCs w:val="24"/>
        </w:rPr>
        <w:t xml:space="preserve">. </w:t>
      </w:r>
      <w:r>
        <w:rPr>
          <w:rFonts w:ascii="Times New Roman" w:hAnsi="Times New Roman" w:cs="Times New Roman"/>
          <w:bCs/>
          <w:sz w:val="24"/>
          <w:szCs w:val="24"/>
        </w:rPr>
        <w:t>Na rok 2023 boli v rámci ministerstva alokované zdroje na úrovni 1 400 mil. eur, pričom aktuálny odhad kvantifikácie jednotlivých schém pomoci sa odhaduje na 2 896 mil. eur. Z</w:t>
      </w:r>
      <w:r w:rsidRPr="002A1916">
        <w:rPr>
          <w:rFonts w:ascii="Times New Roman" w:hAnsi="Times New Roman" w:cs="Times New Roman"/>
          <w:sz w:val="24"/>
          <w:szCs w:val="24"/>
        </w:rPr>
        <w:t> prostriedkov rozpočtu EÚ b</w:t>
      </w:r>
      <w:r>
        <w:rPr>
          <w:rFonts w:ascii="Times New Roman" w:hAnsi="Times New Roman" w:cs="Times New Roman"/>
          <w:sz w:val="24"/>
          <w:szCs w:val="24"/>
        </w:rPr>
        <w:t>ola</w:t>
      </w:r>
      <w:r w:rsidRPr="002A1916">
        <w:rPr>
          <w:rFonts w:ascii="Times New Roman" w:hAnsi="Times New Roman" w:cs="Times New Roman"/>
          <w:sz w:val="24"/>
          <w:szCs w:val="24"/>
        </w:rPr>
        <w:t xml:space="preserve"> refundova</w:t>
      </w:r>
      <w:r>
        <w:rPr>
          <w:rFonts w:ascii="Times New Roman" w:hAnsi="Times New Roman" w:cs="Times New Roman"/>
          <w:sz w:val="24"/>
          <w:szCs w:val="24"/>
        </w:rPr>
        <w:t>ná</w:t>
      </w:r>
      <w:r w:rsidRPr="002A1916">
        <w:rPr>
          <w:rFonts w:ascii="Times New Roman" w:hAnsi="Times New Roman" w:cs="Times New Roman"/>
          <w:sz w:val="24"/>
          <w:szCs w:val="24"/>
        </w:rPr>
        <w:t xml:space="preserve"> poskytnutú pomoc na úrovni </w:t>
      </w:r>
      <w:r>
        <w:rPr>
          <w:rFonts w:ascii="Times New Roman" w:hAnsi="Times New Roman" w:cs="Times New Roman"/>
          <w:sz w:val="24"/>
          <w:szCs w:val="24"/>
        </w:rPr>
        <w:t>500</w:t>
      </w:r>
      <w:r w:rsidRPr="002A1916">
        <w:rPr>
          <w:rFonts w:ascii="Times New Roman" w:hAnsi="Times New Roman" w:cs="Times New Roman"/>
          <w:sz w:val="24"/>
          <w:szCs w:val="24"/>
        </w:rPr>
        <w:t xml:space="preserve"> mil. eur</w:t>
      </w:r>
      <w:r>
        <w:rPr>
          <w:rStyle w:val="Odkaznapoznmkupodiarou"/>
          <w:rFonts w:ascii="Times New Roman" w:hAnsi="Times New Roman"/>
          <w:sz w:val="24"/>
          <w:szCs w:val="24"/>
        </w:rPr>
        <w:footnoteReference w:id="4"/>
      </w:r>
      <w:r w:rsidRPr="002A1916">
        <w:rPr>
          <w:rFonts w:ascii="Times New Roman" w:hAnsi="Times New Roman" w:cs="Times New Roman"/>
          <w:sz w:val="24"/>
          <w:szCs w:val="24"/>
        </w:rPr>
        <w:t>. To znamená, že z národných zdrojov by malo financovanie pokryť 2 </w:t>
      </w:r>
      <w:r>
        <w:rPr>
          <w:rFonts w:ascii="Times New Roman" w:hAnsi="Times New Roman" w:cs="Times New Roman"/>
          <w:sz w:val="24"/>
          <w:szCs w:val="24"/>
        </w:rPr>
        <w:t>396</w:t>
      </w:r>
      <w:r w:rsidRPr="002A1916">
        <w:rPr>
          <w:rFonts w:ascii="Times New Roman" w:hAnsi="Times New Roman" w:cs="Times New Roman"/>
          <w:sz w:val="24"/>
          <w:szCs w:val="24"/>
        </w:rPr>
        <w:t xml:space="preserve"> mil. eur. </w:t>
      </w:r>
      <w:r w:rsidRPr="007D76B2">
        <w:rPr>
          <w:rFonts w:ascii="Times New Roman" w:hAnsi="Times New Roman" w:cs="Times New Roman"/>
          <w:sz w:val="24"/>
          <w:szCs w:val="24"/>
        </w:rPr>
        <w:t>Nakoľko</w:t>
      </w:r>
      <w:r w:rsidR="00AD6831" w:rsidRPr="007D76B2">
        <w:rPr>
          <w:rFonts w:ascii="Times New Roman" w:hAnsi="Times New Roman" w:cs="Times New Roman"/>
          <w:sz w:val="24"/>
          <w:szCs w:val="24"/>
        </w:rPr>
        <w:t xml:space="preserve"> </w:t>
      </w:r>
      <w:r w:rsidR="007D76B2" w:rsidRPr="007D76B2">
        <w:rPr>
          <w:rFonts w:ascii="Times New Roman" w:hAnsi="Times New Roman" w:cs="Times New Roman"/>
          <w:sz w:val="24"/>
          <w:szCs w:val="24"/>
        </w:rPr>
        <w:t>zúčtovanie</w:t>
      </w:r>
      <w:r w:rsidRPr="007D76B2">
        <w:rPr>
          <w:rFonts w:ascii="Times New Roman" w:hAnsi="Times New Roman" w:cs="Times New Roman"/>
          <w:sz w:val="24"/>
          <w:szCs w:val="24"/>
        </w:rPr>
        <w:t xml:space="preserve"> pomoci</w:t>
      </w:r>
      <w:r w:rsidRPr="002A1916">
        <w:rPr>
          <w:rFonts w:ascii="Times New Roman" w:hAnsi="Times New Roman" w:cs="Times New Roman"/>
          <w:sz w:val="24"/>
          <w:szCs w:val="24"/>
        </w:rPr>
        <w:t xml:space="preserve"> </w:t>
      </w:r>
      <w:r w:rsidRPr="002A1916">
        <w:rPr>
          <w:rFonts w:ascii="Times New Roman" w:hAnsi="Times New Roman" w:cs="Times New Roman"/>
          <w:sz w:val="24"/>
          <w:szCs w:val="24"/>
        </w:rPr>
        <w:lastRenderedPageBreak/>
        <w:t>za</w:t>
      </w:r>
      <w:r w:rsidR="00FE1284">
        <w:rPr>
          <w:rFonts w:ascii="Times New Roman" w:hAnsi="Times New Roman" w:cs="Times New Roman"/>
          <w:sz w:val="24"/>
          <w:szCs w:val="24"/>
        </w:rPr>
        <w:t xml:space="preserve"> štvrtý kvartál bude realizované</w:t>
      </w:r>
      <w:r w:rsidRPr="002A1916">
        <w:rPr>
          <w:rFonts w:ascii="Times New Roman" w:hAnsi="Times New Roman" w:cs="Times New Roman"/>
          <w:sz w:val="24"/>
          <w:szCs w:val="24"/>
        </w:rPr>
        <w:t xml:space="preserve"> až začiatkom budúceho roka a odhaduje sa v objeme </w:t>
      </w:r>
      <w:r>
        <w:rPr>
          <w:rFonts w:ascii="Times New Roman" w:hAnsi="Times New Roman" w:cs="Times New Roman"/>
          <w:sz w:val="24"/>
          <w:szCs w:val="24"/>
        </w:rPr>
        <w:t xml:space="preserve">           121</w:t>
      </w:r>
      <w:r w:rsidRPr="002A1916">
        <w:rPr>
          <w:rFonts w:ascii="Times New Roman" w:hAnsi="Times New Roman" w:cs="Times New Roman"/>
          <w:sz w:val="24"/>
          <w:szCs w:val="24"/>
        </w:rPr>
        <w:t xml:space="preserve"> mil. eur, potreba národných zdrojov pre kapitolu Ministerstva h</w:t>
      </w:r>
      <w:r>
        <w:rPr>
          <w:rFonts w:ascii="Times New Roman" w:hAnsi="Times New Roman" w:cs="Times New Roman"/>
          <w:sz w:val="24"/>
          <w:szCs w:val="24"/>
        </w:rPr>
        <w:t>ospodárstva SR predstavuje 2 275</w:t>
      </w:r>
      <w:r w:rsidRPr="002A1916">
        <w:rPr>
          <w:rFonts w:ascii="Times New Roman" w:hAnsi="Times New Roman" w:cs="Times New Roman"/>
          <w:sz w:val="24"/>
          <w:szCs w:val="24"/>
        </w:rPr>
        <w:t xml:space="preserve"> mil. eur. </w:t>
      </w:r>
      <w:r>
        <w:rPr>
          <w:rFonts w:ascii="Times New Roman" w:hAnsi="Times New Roman" w:cs="Times New Roman"/>
          <w:sz w:val="24"/>
          <w:szCs w:val="24"/>
        </w:rPr>
        <w:t>Uvedené znamená prekročenie rozpočtovanej úrovne o 875 mil. eur.</w:t>
      </w:r>
    </w:p>
    <w:p w14:paraId="59A2DCB2" w14:textId="77777777" w:rsidR="001177B1" w:rsidRDefault="001177B1" w:rsidP="00AD6831">
      <w:pPr>
        <w:pStyle w:val="CharCharCharCharCharCharCharCharChar1"/>
        <w:spacing w:after="0"/>
        <w:rPr>
          <w:rFonts w:ascii="Times New Roman" w:hAnsi="Times New Roman" w:cs="Times New Roman"/>
          <w:b/>
          <w:color w:val="5B9BD5" w:themeColor="accent1"/>
          <w:sz w:val="24"/>
          <w:szCs w:val="24"/>
          <w:lang w:val="sk-SK"/>
        </w:rPr>
      </w:pPr>
    </w:p>
    <w:p w14:paraId="57F96DC8" w14:textId="39483CD4" w:rsidR="00E3423F" w:rsidRPr="003D5A3A" w:rsidRDefault="00E3423F" w:rsidP="00AD6831">
      <w:pPr>
        <w:spacing w:after="0"/>
        <w:rPr>
          <w:rFonts w:ascii="Times New Roman" w:hAnsi="Times New Roman" w:cs="Times New Roman"/>
          <w:b/>
          <w:color w:val="5B9BD5" w:themeColor="accent1"/>
          <w:sz w:val="20"/>
          <w:szCs w:val="20"/>
        </w:rPr>
      </w:pPr>
      <w:bookmarkStart w:id="18" w:name="_Toc153013002"/>
      <w:bookmarkStart w:id="19" w:name="_Toc79153408"/>
      <w:r w:rsidRPr="003D5A3A">
        <w:rPr>
          <w:rFonts w:ascii="Times New Roman" w:hAnsi="Times New Roman" w:cs="Times New Roman"/>
          <w:b/>
          <w:color w:val="5B9BD5" w:themeColor="accent1"/>
          <w:sz w:val="20"/>
          <w:szCs w:val="20"/>
        </w:rPr>
        <w:t xml:space="preserve">Tabuľka </w:t>
      </w:r>
      <w:r w:rsidRPr="003D5A3A">
        <w:rPr>
          <w:rFonts w:ascii="Times New Roman" w:hAnsi="Times New Roman" w:cs="Times New Roman"/>
          <w:b/>
          <w:color w:val="5B9BD5" w:themeColor="accent1"/>
          <w:sz w:val="20"/>
          <w:szCs w:val="20"/>
        </w:rPr>
        <w:fldChar w:fldCharType="begin"/>
      </w:r>
      <w:r w:rsidRPr="003D5A3A">
        <w:rPr>
          <w:rFonts w:ascii="Times New Roman" w:hAnsi="Times New Roman" w:cs="Times New Roman"/>
          <w:b/>
          <w:color w:val="5B9BD5" w:themeColor="accent1"/>
          <w:sz w:val="20"/>
          <w:szCs w:val="20"/>
        </w:rPr>
        <w:instrText xml:space="preserve"> SEQ Tabuľka \* ARABIC </w:instrText>
      </w:r>
      <w:r w:rsidRPr="003D5A3A">
        <w:rPr>
          <w:rFonts w:ascii="Times New Roman" w:hAnsi="Times New Roman" w:cs="Times New Roman"/>
          <w:b/>
          <w:color w:val="5B9BD5" w:themeColor="accent1"/>
          <w:sz w:val="20"/>
          <w:szCs w:val="20"/>
        </w:rPr>
        <w:fldChar w:fldCharType="separate"/>
      </w:r>
      <w:r w:rsidR="003D5A3A" w:rsidRPr="003D5A3A">
        <w:rPr>
          <w:rFonts w:ascii="Times New Roman" w:hAnsi="Times New Roman" w:cs="Times New Roman"/>
          <w:b/>
          <w:noProof/>
          <w:color w:val="5B9BD5" w:themeColor="accent1"/>
          <w:sz w:val="20"/>
          <w:szCs w:val="20"/>
        </w:rPr>
        <w:t>4</w:t>
      </w:r>
      <w:r w:rsidRPr="003D5A3A">
        <w:rPr>
          <w:rFonts w:ascii="Times New Roman" w:hAnsi="Times New Roman" w:cs="Times New Roman"/>
          <w:b/>
          <w:color w:val="5B9BD5" w:themeColor="accent1"/>
          <w:sz w:val="20"/>
          <w:szCs w:val="20"/>
        </w:rPr>
        <w:fldChar w:fldCharType="end"/>
      </w:r>
      <w:r w:rsidRPr="003D5A3A">
        <w:rPr>
          <w:rFonts w:ascii="Times New Roman" w:hAnsi="Times New Roman" w:cs="Times New Roman"/>
          <w:b/>
          <w:color w:val="5B9BD5" w:themeColor="accent1"/>
          <w:sz w:val="20"/>
          <w:szCs w:val="20"/>
        </w:rPr>
        <w:t xml:space="preserve"> – Výdavky na kompenzačné opatrenia súvisiace s rastom cien energií</w:t>
      </w:r>
      <w:bookmarkEnd w:id="18"/>
    </w:p>
    <w:tbl>
      <w:tblPr>
        <w:tblW w:w="5000" w:type="pct"/>
        <w:jc w:val="center"/>
        <w:tblCellMar>
          <w:left w:w="70" w:type="dxa"/>
          <w:right w:w="70" w:type="dxa"/>
        </w:tblCellMar>
        <w:tblLook w:val="04A0" w:firstRow="1" w:lastRow="0" w:firstColumn="1" w:lastColumn="0" w:noHBand="0" w:noVBand="1"/>
      </w:tblPr>
      <w:tblGrid>
        <w:gridCol w:w="4124"/>
        <w:gridCol w:w="1127"/>
        <w:gridCol w:w="1553"/>
        <w:gridCol w:w="1134"/>
        <w:gridCol w:w="1134"/>
      </w:tblGrid>
      <w:tr w:rsidR="001177B1" w:rsidRPr="001177B1" w14:paraId="42E53B53" w14:textId="77777777" w:rsidTr="001177B1">
        <w:trPr>
          <w:trHeight w:val="255"/>
          <w:jc w:val="center"/>
        </w:trPr>
        <w:tc>
          <w:tcPr>
            <w:tcW w:w="2894" w:type="pct"/>
            <w:gridSpan w:val="2"/>
            <w:tcBorders>
              <w:top w:val="single" w:sz="4" w:space="0" w:color="auto"/>
              <w:left w:val="nil"/>
              <w:bottom w:val="single" w:sz="4" w:space="0" w:color="auto"/>
              <w:right w:val="nil"/>
            </w:tcBorders>
            <w:shd w:val="clear" w:color="auto" w:fill="auto"/>
            <w:vAlign w:val="center"/>
            <w:hideMark/>
          </w:tcPr>
          <w:p w14:paraId="16F578AF" w14:textId="77777777" w:rsidR="001177B1" w:rsidRPr="001177B1" w:rsidRDefault="001177B1" w:rsidP="001177B1">
            <w:pPr>
              <w:spacing w:after="0" w:line="240" w:lineRule="auto"/>
              <w:rPr>
                <w:rFonts w:ascii="Times New Roman" w:eastAsia="Times New Roman" w:hAnsi="Times New Roman" w:cs="Times New Roman"/>
                <w:sz w:val="18"/>
                <w:szCs w:val="18"/>
                <w:lang w:eastAsia="sk-SK"/>
              </w:rPr>
            </w:pPr>
            <w:r w:rsidRPr="001177B1">
              <w:rPr>
                <w:rFonts w:ascii="Times New Roman" w:eastAsia="Times New Roman" w:hAnsi="Times New Roman" w:cs="Times New Roman"/>
                <w:sz w:val="18"/>
                <w:szCs w:val="18"/>
                <w:lang w:eastAsia="sk-SK"/>
              </w:rPr>
              <w:t>(v mil. eur; na nekonsolidovanej báze)</w:t>
            </w:r>
          </w:p>
        </w:tc>
        <w:tc>
          <w:tcPr>
            <w:tcW w:w="856" w:type="pct"/>
            <w:tcBorders>
              <w:top w:val="single" w:sz="4" w:space="0" w:color="auto"/>
              <w:left w:val="nil"/>
              <w:bottom w:val="single" w:sz="4" w:space="0" w:color="auto"/>
              <w:right w:val="nil"/>
            </w:tcBorders>
            <w:shd w:val="clear" w:color="auto" w:fill="auto"/>
            <w:noWrap/>
            <w:vAlign w:val="center"/>
            <w:hideMark/>
          </w:tcPr>
          <w:p w14:paraId="6223A20C" w14:textId="77777777" w:rsidR="001177B1" w:rsidRPr="001177B1" w:rsidRDefault="001177B1" w:rsidP="001177B1">
            <w:pPr>
              <w:spacing w:after="0" w:line="240" w:lineRule="auto"/>
              <w:jc w:val="right"/>
              <w:rPr>
                <w:rFonts w:ascii="Times New Roman" w:eastAsia="Times New Roman" w:hAnsi="Times New Roman" w:cs="Times New Roman"/>
                <w:sz w:val="18"/>
                <w:szCs w:val="18"/>
                <w:lang w:eastAsia="sk-SK"/>
              </w:rPr>
            </w:pPr>
            <w:r w:rsidRPr="001177B1">
              <w:rPr>
                <w:rFonts w:ascii="Times New Roman" w:eastAsia="Times New Roman" w:hAnsi="Times New Roman" w:cs="Times New Roman"/>
                <w:sz w:val="18"/>
                <w:szCs w:val="18"/>
                <w:lang w:eastAsia="sk-SK"/>
              </w:rPr>
              <w:t>R</w:t>
            </w:r>
          </w:p>
        </w:tc>
        <w:tc>
          <w:tcPr>
            <w:tcW w:w="625" w:type="pct"/>
            <w:tcBorders>
              <w:top w:val="single" w:sz="4" w:space="0" w:color="auto"/>
              <w:left w:val="nil"/>
              <w:bottom w:val="single" w:sz="4" w:space="0" w:color="auto"/>
              <w:right w:val="nil"/>
            </w:tcBorders>
            <w:shd w:val="clear" w:color="auto" w:fill="auto"/>
            <w:noWrap/>
            <w:vAlign w:val="center"/>
            <w:hideMark/>
          </w:tcPr>
          <w:p w14:paraId="0C0C8359" w14:textId="77777777" w:rsidR="001177B1" w:rsidRPr="001177B1" w:rsidRDefault="001177B1" w:rsidP="001177B1">
            <w:pPr>
              <w:spacing w:after="0" w:line="240" w:lineRule="auto"/>
              <w:jc w:val="right"/>
              <w:rPr>
                <w:rFonts w:ascii="Times New Roman" w:eastAsia="Times New Roman" w:hAnsi="Times New Roman" w:cs="Times New Roman"/>
                <w:sz w:val="18"/>
                <w:szCs w:val="18"/>
                <w:lang w:eastAsia="sk-SK"/>
              </w:rPr>
            </w:pPr>
            <w:r w:rsidRPr="001177B1">
              <w:rPr>
                <w:rFonts w:ascii="Times New Roman" w:eastAsia="Times New Roman" w:hAnsi="Times New Roman" w:cs="Times New Roman"/>
                <w:sz w:val="18"/>
                <w:szCs w:val="18"/>
                <w:lang w:eastAsia="sk-SK"/>
              </w:rPr>
              <w:t>OS</w:t>
            </w:r>
          </w:p>
        </w:tc>
        <w:tc>
          <w:tcPr>
            <w:tcW w:w="625" w:type="pct"/>
            <w:tcBorders>
              <w:top w:val="single" w:sz="4" w:space="0" w:color="auto"/>
              <w:left w:val="nil"/>
              <w:bottom w:val="single" w:sz="4" w:space="0" w:color="auto"/>
              <w:right w:val="nil"/>
            </w:tcBorders>
            <w:shd w:val="clear" w:color="auto" w:fill="auto"/>
            <w:noWrap/>
            <w:vAlign w:val="center"/>
            <w:hideMark/>
          </w:tcPr>
          <w:p w14:paraId="5717B0C4" w14:textId="77777777" w:rsidR="001177B1" w:rsidRPr="001177B1" w:rsidRDefault="001177B1" w:rsidP="001177B1">
            <w:pPr>
              <w:spacing w:after="0" w:line="240" w:lineRule="auto"/>
              <w:jc w:val="right"/>
              <w:rPr>
                <w:rFonts w:ascii="Times New Roman" w:eastAsia="Times New Roman" w:hAnsi="Times New Roman" w:cs="Times New Roman"/>
                <w:sz w:val="18"/>
                <w:szCs w:val="18"/>
                <w:lang w:eastAsia="sk-SK"/>
              </w:rPr>
            </w:pPr>
            <w:r w:rsidRPr="001177B1">
              <w:rPr>
                <w:rFonts w:ascii="Times New Roman" w:eastAsia="Times New Roman" w:hAnsi="Times New Roman" w:cs="Times New Roman"/>
                <w:sz w:val="18"/>
                <w:szCs w:val="18"/>
                <w:lang w:eastAsia="sk-SK"/>
              </w:rPr>
              <w:t>R - OS</w:t>
            </w:r>
          </w:p>
        </w:tc>
      </w:tr>
      <w:tr w:rsidR="001177B1" w:rsidRPr="001177B1" w14:paraId="3D9DDA1A" w14:textId="77777777" w:rsidTr="001177B1">
        <w:trPr>
          <w:trHeight w:val="255"/>
          <w:jc w:val="center"/>
        </w:trPr>
        <w:tc>
          <w:tcPr>
            <w:tcW w:w="2273" w:type="pct"/>
            <w:tcBorders>
              <w:top w:val="nil"/>
              <w:left w:val="nil"/>
              <w:bottom w:val="nil"/>
              <w:right w:val="nil"/>
            </w:tcBorders>
            <w:shd w:val="clear" w:color="auto" w:fill="auto"/>
            <w:noWrap/>
            <w:vAlign w:val="center"/>
            <w:hideMark/>
          </w:tcPr>
          <w:p w14:paraId="6F21BD1C" w14:textId="77777777" w:rsidR="001177B1" w:rsidRPr="001177B1" w:rsidRDefault="001177B1" w:rsidP="001177B1">
            <w:pPr>
              <w:spacing w:after="0" w:line="240" w:lineRule="auto"/>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Ministerstvo hospodárstva SR</w:t>
            </w:r>
          </w:p>
        </w:tc>
        <w:tc>
          <w:tcPr>
            <w:tcW w:w="621" w:type="pct"/>
            <w:tcBorders>
              <w:top w:val="nil"/>
              <w:left w:val="nil"/>
              <w:bottom w:val="nil"/>
              <w:right w:val="nil"/>
            </w:tcBorders>
            <w:shd w:val="clear" w:color="auto" w:fill="auto"/>
            <w:noWrap/>
            <w:vAlign w:val="center"/>
            <w:hideMark/>
          </w:tcPr>
          <w:p w14:paraId="7C60D2D4" w14:textId="77777777" w:rsidR="001177B1" w:rsidRPr="001177B1" w:rsidRDefault="001177B1" w:rsidP="001177B1">
            <w:pPr>
              <w:spacing w:after="0" w:line="240" w:lineRule="auto"/>
              <w:rPr>
                <w:rFonts w:ascii="Times New Roman" w:eastAsia="Times New Roman" w:hAnsi="Times New Roman" w:cs="Times New Roman"/>
                <w:b/>
                <w:bCs/>
                <w:color w:val="000000"/>
                <w:sz w:val="18"/>
                <w:szCs w:val="18"/>
                <w:lang w:eastAsia="sk-SK"/>
              </w:rPr>
            </w:pPr>
          </w:p>
        </w:tc>
        <w:tc>
          <w:tcPr>
            <w:tcW w:w="856" w:type="pct"/>
            <w:tcBorders>
              <w:top w:val="single" w:sz="4" w:space="0" w:color="auto"/>
              <w:left w:val="nil"/>
              <w:bottom w:val="nil"/>
              <w:right w:val="nil"/>
            </w:tcBorders>
            <w:shd w:val="clear" w:color="auto" w:fill="auto"/>
            <w:noWrap/>
            <w:vAlign w:val="center"/>
            <w:hideMark/>
          </w:tcPr>
          <w:p w14:paraId="2985125E"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1 400</w:t>
            </w:r>
          </w:p>
        </w:tc>
        <w:tc>
          <w:tcPr>
            <w:tcW w:w="625" w:type="pct"/>
            <w:tcBorders>
              <w:top w:val="single" w:sz="4" w:space="0" w:color="auto"/>
              <w:left w:val="nil"/>
              <w:bottom w:val="nil"/>
              <w:right w:val="nil"/>
            </w:tcBorders>
            <w:shd w:val="clear" w:color="auto" w:fill="auto"/>
            <w:noWrap/>
            <w:vAlign w:val="center"/>
            <w:hideMark/>
          </w:tcPr>
          <w:p w14:paraId="711E63A8"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2 275</w:t>
            </w:r>
          </w:p>
        </w:tc>
        <w:tc>
          <w:tcPr>
            <w:tcW w:w="625" w:type="pct"/>
            <w:tcBorders>
              <w:top w:val="single" w:sz="4" w:space="0" w:color="auto"/>
              <w:left w:val="nil"/>
              <w:bottom w:val="nil"/>
              <w:right w:val="nil"/>
            </w:tcBorders>
            <w:shd w:val="clear" w:color="auto" w:fill="auto"/>
            <w:noWrap/>
            <w:vAlign w:val="center"/>
            <w:hideMark/>
          </w:tcPr>
          <w:p w14:paraId="35E2171F"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-875</w:t>
            </w:r>
          </w:p>
        </w:tc>
      </w:tr>
      <w:tr w:rsidR="001177B1" w:rsidRPr="001177B1" w14:paraId="6A872EE0" w14:textId="77777777" w:rsidTr="001177B1">
        <w:trPr>
          <w:trHeight w:val="255"/>
          <w:jc w:val="center"/>
        </w:trPr>
        <w:tc>
          <w:tcPr>
            <w:tcW w:w="2273" w:type="pct"/>
            <w:tcBorders>
              <w:top w:val="nil"/>
              <w:left w:val="nil"/>
              <w:bottom w:val="nil"/>
              <w:right w:val="nil"/>
            </w:tcBorders>
            <w:shd w:val="clear" w:color="auto" w:fill="auto"/>
            <w:noWrap/>
            <w:vAlign w:val="center"/>
            <w:hideMark/>
          </w:tcPr>
          <w:p w14:paraId="6BC4E91D" w14:textId="77777777" w:rsidR="001177B1" w:rsidRPr="001177B1" w:rsidRDefault="001177B1" w:rsidP="001177B1">
            <w:pPr>
              <w:spacing w:after="0" w:line="240" w:lineRule="auto"/>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Schémy podpory</w:t>
            </w:r>
          </w:p>
        </w:tc>
        <w:tc>
          <w:tcPr>
            <w:tcW w:w="621" w:type="pct"/>
            <w:tcBorders>
              <w:top w:val="nil"/>
              <w:left w:val="nil"/>
              <w:bottom w:val="nil"/>
              <w:right w:val="nil"/>
            </w:tcBorders>
            <w:shd w:val="clear" w:color="auto" w:fill="auto"/>
            <w:noWrap/>
            <w:vAlign w:val="center"/>
            <w:hideMark/>
          </w:tcPr>
          <w:p w14:paraId="7C2FFD49" w14:textId="77777777" w:rsidR="001177B1" w:rsidRPr="001177B1" w:rsidRDefault="001177B1" w:rsidP="001177B1">
            <w:pPr>
              <w:spacing w:after="0" w:line="240" w:lineRule="auto"/>
              <w:rPr>
                <w:rFonts w:ascii="Times New Roman" w:eastAsia="Times New Roman" w:hAnsi="Times New Roman" w:cs="Times New Roman"/>
                <w:color w:val="000000"/>
                <w:sz w:val="18"/>
                <w:szCs w:val="18"/>
                <w:lang w:eastAsia="sk-SK"/>
              </w:rPr>
            </w:pPr>
          </w:p>
        </w:tc>
        <w:tc>
          <w:tcPr>
            <w:tcW w:w="856" w:type="pct"/>
            <w:tcBorders>
              <w:top w:val="nil"/>
              <w:left w:val="nil"/>
              <w:bottom w:val="nil"/>
              <w:right w:val="nil"/>
            </w:tcBorders>
            <w:shd w:val="clear" w:color="auto" w:fill="auto"/>
            <w:noWrap/>
            <w:vAlign w:val="center"/>
            <w:hideMark/>
          </w:tcPr>
          <w:p w14:paraId="5814CE2F" w14:textId="77777777" w:rsidR="001177B1" w:rsidRPr="001177B1" w:rsidRDefault="001177B1" w:rsidP="001177B1">
            <w:pPr>
              <w:spacing w:after="0" w:line="240" w:lineRule="auto"/>
              <w:rPr>
                <w:rFonts w:ascii="Times New Roman" w:eastAsia="Times New Roman" w:hAnsi="Times New Roman" w:cs="Times New Roman"/>
                <w:sz w:val="20"/>
                <w:szCs w:val="20"/>
                <w:lang w:eastAsia="sk-SK"/>
              </w:rPr>
            </w:pPr>
          </w:p>
        </w:tc>
        <w:tc>
          <w:tcPr>
            <w:tcW w:w="625" w:type="pct"/>
            <w:tcBorders>
              <w:top w:val="nil"/>
              <w:left w:val="nil"/>
              <w:bottom w:val="nil"/>
              <w:right w:val="nil"/>
            </w:tcBorders>
            <w:shd w:val="clear" w:color="auto" w:fill="auto"/>
            <w:noWrap/>
            <w:vAlign w:val="center"/>
            <w:hideMark/>
          </w:tcPr>
          <w:p w14:paraId="3136B3DF"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2 896</w:t>
            </w:r>
          </w:p>
        </w:tc>
        <w:tc>
          <w:tcPr>
            <w:tcW w:w="625" w:type="pct"/>
            <w:tcBorders>
              <w:top w:val="nil"/>
              <w:left w:val="nil"/>
              <w:bottom w:val="nil"/>
              <w:right w:val="nil"/>
            </w:tcBorders>
            <w:shd w:val="clear" w:color="auto" w:fill="auto"/>
            <w:noWrap/>
            <w:vAlign w:val="center"/>
            <w:hideMark/>
          </w:tcPr>
          <w:p w14:paraId="1A9F40D7"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-2 896</w:t>
            </w:r>
          </w:p>
        </w:tc>
      </w:tr>
      <w:tr w:rsidR="001177B1" w:rsidRPr="001177B1" w14:paraId="6E6C4076" w14:textId="77777777" w:rsidTr="001177B1">
        <w:trPr>
          <w:trHeight w:val="255"/>
          <w:jc w:val="center"/>
        </w:trPr>
        <w:tc>
          <w:tcPr>
            <w:tcW w:w="2273" w:type="pct"/>
            <w:tcBorders>
              <w:top w:val="nil"/>
              <w:left w:val="nil"/>
              <w:bottom w:val="nil"/>
              <w:right w:val="nil"/>
            </w:tcBorders>
            <w:shd w:val="clear" w:color="auto" w:fill="auto"/>
            <w:noWrap/>
            <w:vAlign w:val="center"/>
            <w:hideMark/>
          </w:tcPr>
          <w:p w14:paraId="5F1E3F1C" w14:textId="77777777" w:rsidR="001177B1" w:rsidRPr="001177B1" w:rsidRDefault="001177B1" w:rsidP="001177B1">
            <w:pPr>
              <w:spacing w:after="0" w:line="240" w:lineRule="auto"/>
              <w:ind w:firstLineChars="200" w:firstLine="360"/>
              <w:rPr>
                <w:rFonts w:ascii="Times New Roman" w:eastAsia="Times New Roman" w:hAnsi="Times New Roman" w:cs="Times New Roman"/>
                <w:i/>
                <w:iCs/>
                <w:color w:val="000000"/>
                <w:sz w:val="18"/>
                <w:szCs w:val="18"/>
                <w:lang w:eastAsia="sk-SK"/>
              </w:rPr>
            </w:pPr>
            <w:r w:rsidRPr="001177B1">
              <w:rPr>
                <w:rFonts w:ascii="Times New Roman" w:eastAsia="Times New Roman" w:hAnsi="Times New Roman" w:cs="Times New Roman"/>
                <w:i/>
                <w:iCs/>
                <w:color w:val="000000"/>
                <w:sz w:val="18"/>
                <w:szCs w:val="18"/>
                <w:lang w:eastAsia="sk-SK"/>
              </w:rPr>
              <w:t xml:space="preserve">schéma 2.1 podnikatelia </w:t>
            </w:r>
          </w:p>
        </w:tc>
        <w:tc>
          <w:tcPr>
            <w:tcW w:w="621" w:type="pct"/>
            <w:tcBorders>
              <w:top w:val="nil"/>
              <w:left w:val="nil"/>
              <w:bottom w:val="nil"/>
              <w:right w:val="nil"/>
            </w:tcBorders>
            <w:shd w:val="clear" w:color="auto" w:fill="auto"/>
            <w:vAlign w:val="center"/>
            <w:hideMark/>
          </w:tcPr>
          <w:p w14:paraId="2667F90E" w14:textId="77777777" w:rsidR="001177B1" w:rsidRPr="001177B1" w:rsidRDefault="001177B1" w:rsidP="001177B1">
            <w:pPr>
              <w:spacing w:after="0" w:line="240" w:lineRule="auto"/>
              <w:ind w:firstLineChars="200" w:firstLine="360"/>
              <w:rPr>
                <w:rFonts w:ascii="Times New Roman" w:eastAsia="Times New Roman" w:hAnsi="Times New Roman" w:cs="Times New Roman"/>
                <w:i/>
                <w:iCs/>
                <w:color w:val="000000"/>
                <w:sz w:val="18"/>
                <w:szCs w:val="18"/>
                <w:lang w:eastAsia="sk-SK"/>
              </w:rPr>
            </w:pPr>
          </w:p>
        </w:tc>
        <w:tc>
          <w:tcPr>
            <w:tcW w:w="856" w:type="pct"/>
            <w:tcBorders>
              <w:top w:val="nil"/>
              <w:left w:val="nil"/>
              <w:bottom w:val="nil"/>
              <w:right w:val="nil"/>
            </w:tcBorders>
            <w:shd w:val="clear" w:color="auto" w:fill="auto"/>
            <w:noWrap/>
            <w:vAlign w:val="center"/>
            <w:hideMark/>
          </w:tcPr>
          <w:p w14:paraId="7DCA466E" w14:textId="77777777" w:rsidR="001177B1" w:rsidRPr="001177B1" w:rsidRDefault="001177B1" w:rsidP="001177B1">
            <w:pPr>
              <w:spacing w:after="0" w:line="240" w:lineRule="auto"/>
              <w:ind w:firstLineChars="200" w:firstLine="400"/>
              <w:rPr>
                <w:rFonts w:ascii="Times New Roman" w:eastAsia="Times New Roman" w:hAnsi="Times New Roman" w:cs="Times New Roman"/>
                <w:sz w:val="20"/>
                <w:szCs w:val="20"/>
                <w:lang w:eastAsia="sk-SK"/>
              </w:rPr>
            </w:pPr>
          </w:p>
        </w:tc>
        <w:tc>
          <w:tcPr>
            <w:tcW w:w="625" w:type="pct"/>
            <w:tcBorders>
              <w:top w:val="nil"/>
              <w:left w:val="nil"/>
              <w:bottom w:val="nil"/>
              <w:right w:val="nil"/>
            </w:tcBorders>
            <w:shd w:val="clear" w:color="auto" w:fill="auto"/>
            <w:noWrap/>
            <w:vAlign w:val="center"/>
            <w:hideMark/>
          </w:tcPr>
          <w:p w14:paraId="53FCDA94" w14:textId="77777777" w:rsidR="001177B1" w:rsidRPr="001177B1" w:rsidRDefault="001177B1" w:rsidP="001177B1">
            <w:pPr>
              <w:spacing w:after="0" w:line="240" w:lineRule="auto"/>
              <w:jc w:val="right"/>
              <w:rPr>
                <w:rFonts w:ascii="Times New Roman" w:eastAsia="Times New Roman" w:hAnsi="Times New Roman" w:cs="Times New Roman"/>
                <w:i/>
                <w:iCs/>
                <w:color w:val="000000"/>
                <w:sz w:val="18"/>
                <w:szCs w:val="18"/>
                <w:lang w:eastAsia="sk-SK"/>
              </w:rPr>
            </w:pPr>
            <w:r w:rsidRPr="001177B1">
              <w:rPr>
                <w:rFonts w:ascii="Times New Roman" w:eastAsia="Times New Roman" w:hAnsi="Times New Roman" w:cs="Times New Roman"/>
                <w:i/>
                <w:iCs/>
                <w:color w:val="000000"/>
                <w:sz w:val="18"/>
                <w:szCs w:val="18"/>
                <w:lang w:eastAsia="sk-SK"/>
              </w:rPr>
              <w:t>309</w:t>
            </w:r>
          </w:p>
        </w:tc>
        <w:tc>
          <w:tcPr>
            <w:tcW w:w="625" w:type="pct"/>
            <w:tcBorders>
              <w:top w:val="nil"/>
              <w:left w:val="nil"/>
              <w:bottom w:val="nil"/>
              <w:right w:val="nil"/>
            </w:tcBorders>
            <w:shd w:val="clear" w:color="auto" w:fill="auto"/>
            <w:noWrap/>
            <w:vAlign w:val="center"/>
            <w:hideMark/>
          </w:tcPr>
          <w:p w14:paraId="265A39E8" w14:textId="77777777" w:rsidR="001177B1" w:rsidRPr="001177B1" w:rsidRDefault="001177B1" w:rsidP="001177B1">
            <w:pPr>
              <w:spacing w:after="0" w:line="240" w:lineRule="auto"/>
              <w:jc w:val="right"/>
              <w:rPr>
                <w:rFonts w:ascii="Times New Roman" w:eastAsia="Times New Roman" w:hAnsi="Times New Roman" w:cs="Times New Roman"/>
                <w:i/>
                <w:iCs/>
                <w:color w:val="000000"/>
                <w:sz w:val="18"/>
                <w:szCs w:val="18"/>
                <w:lang w:eastAsia="sk-SK"/>
              </w:rPr>
            </w:pPr>
            <w:r w:rsidRPr="001177B1">
              <w:rPr>
                <w:rFonts w:ascii="Times New Roman" w:eastAsia="Times New Roman" w:hAnsi="Times New Roman" w:cs="Times New Roman"/>
                <w:i/>
                <w:iCs/>
                <w:color w:val="000000"/>
                <w:sz w:val="18"/>
                <w:szCs w:val="18"/>
                <w:lang w:eastAsia="sk-SK"/>
              </w:rPr>
              <w:t>-309</w:t>
            </w:r>
          </w:p>
        </w:tc>
      </w:tr>
      <w:tr w:rsidR="001177B1" w:rsidRPr="001177B1" w14:paraId="2A7D472F" w14:textId="77777777" w:rsidTr="001177B1">
        <w:trPr>
          <w:trHeight w:val="255"/>
          <w:jc w:val="center"/>
        </w:trPr>
        <w:tc>
          <w:tcPr>
            <w:tcW w:w="2273" w:type="pct"/>
            <w:tcBorders>
              <w:top w:val="nil"/>
              <w:left w:val="nil"/>
              <w:bottom w:val="nil"/>
              <w:right w:val="nil"/>
            </w:tcBorders>
            <w:shd w:val="clear" w:color="auto" w:fill="auto"/>
            <w:noWrap/>
            <w:vAlign w:val="center"/>
            <w:hideMark/>
          </w:tcPr>
          <w:p w14:paraId="49F1DE23" w14:textId="77777777" w:rsidR="001177B1" w:rsidRPr="001177B1" w:rsidRDefault="001177B1" w:rsidP="001177B1">
            <w:pPr>
              <w:spacing w:after="0" w:line="240" w:lineRule="auto"/>
              <w:ind w:firstLineChars="200" w:firstLine="360"/>
              <w:rPr>
                <w:rFonts w:ascii="Times New Roman" w:eastAsia="Times New Roman" w:hAnsi="Times New Roman" w:cs="Times New Roman"/>
                <w:i/>
                <w:iCs/>
                <w:color w:val="000000"/>
                <w:sz w:val="18"/>
                <w:szCs w:val="18"/>
                <w:lang w:eastAsia="sk-SK"/>
              </w:rPr>
            </w:pPr>
            <w:r w:rsidRPr="001177B1">
              <w:rPr>
                <w:rFonts w:ascii="Times New Roman" w:eastAsia="Times New Roman" w:hAnsi="Times New Roman" w:cs="Times New Roman"/>
                <w:i/>
                <w:iCs/>
                <w:color w:val="000000"/>
                <w:sz w:val="18"/>
                <w:szCs w:val="18"/>
                <w:lang w:eastAsia="sk-SK"/>
              </w:rPr>
              <w:t>subjekty VS + cirkvi</w:t>
            </w:r>
          </w:p>
        </w:tc>
        <w:tc>
          <w:tcPr>
            <w:tcW w:w="621" w:type="pct"/>
            <w:tcBorders>
              <w:top w:val="nil"/>
              <w:left w:val="nil"/>
              <w:bottom w:val="nil"/>
              <w:right w:val="nil"/>
            </w:tcBorders>
            <w:shd w:val="clear" w:color="auto" w:fill="auto"/>
            <w:vAlign w:val="center"/>
            <w:hideMark/>
          </w:tcPr>
          <w:p w14:paraId="5EE3B483" w14:textId="77777777" w:rsidR="001177B1" w:rsidRPr="001177B1" w:rsidRDefault="001177B1" w:rsidP="001177B1">
            <w:pPr>
              <w:spacing w:after="0" w:line="240" w:lineRule="auto"/>
              <w:ind w:firstLineChars="200" w:firstLine="360"/>
              <w:rPr>
                <w:rFonts w:ascii="Times New Roman" w:eastAsia="Times New Roman" w:hAnsi="Times New Roman" w:cs="Times New Roman"/>
                <w:i/>
                <w:iCs/>
                <w:color w:val="000000"/>
                <w:sz w:val="18"/>
                <w:szCs w:val="18"/>
                <w:lang w:eastAsia="sk-SK"/>
              </w:rPr>
            </w:pPr>
          </w:p>
        </w:tc>
        <w:tc>
          <w:tcPr>
            <w:tcW w:w="856" w:type="pct"/>
            <w:tcBorders>
              <w:top w:val="nil"/>
              <w:left w:val="nil"/>
              <w:bottom w:val="nil"/>
              <w:right w:val="nil"/>
            </w:tcBorders>
            <w:shd w:val="clear" w:color="auto" w:fill="auto"/>
            <w:noWrap/>
            <w:vAlign w:val="center"/>
            <w:hideMark/>
          </w:tcPr>
          <w:p w14:paraId="6090F096" w14:textId="77777777" w:rsidR="001177B1" w:rsidRPr="001177B1" w:rsidRDefault="001177B1" w:rsidP="001177B1">
            <w:pPr>
              <w:spacing w:after="0" w:line="240" w:lineRule="auto"/>
              <w:ind w:firstLineChars="200" w:firstLine="400"/>
              <w:rPr>
                <w:rFonts w:ascii="Times New Roman" w:eastAsia="Times New Roman" w:hAnsi="Times New Roman" w:cs="Times New Roman"/>
                <w:sz w:val="20"/>
                <w:szCs w:val="20"/>
                <w:lang w:eastAsia="sk-SK"/>
              </w:rPr>
            </w:pPr>
          </w:p>
        </w:tc>
        <w:tc>
          <w:tcPr>
            <w:tcW w:w="625" w:type="pct"/>
            <w:tcBorders>
              <w:top w:val="nil"/>
              <w:left w:val="nil"/>
              <w:bottom w:val="nil"/>
              <w:right w:val="nil"/>
            </w:tcBorders>
            <w:shd w:val="clear" w:color="auto" w:fill="auto"/>
            <w:noWrap/>
            <w:vAlign w:val="center"/>
            <w:hideMark/>
          </w:tcPr>
          <w:p w14:paraId="336A9305" w14:textId="77777777" w:rsidR="001177B1" w:rsidRPr="001177B1" w:rsidRDefault="001177B1" w:rsidP="001177B1">
            <w:pPr>
              <w:spacing w:after="0" w:line="240" w:lineRule="auto"/>
              <w:jc w:val="right"/>
              <w:rPr>
                <w:rFonts w:ascii="Times New Roman" w:eastAsia="Times New Roman" w:hAnsi="Times New Roman" w:cs="Times New Roman"/>
                <w:i/>
                <w:iCs/>
                <w:color w:val="000000"/>
                <w:sz w:val="18"/>
                <w:szCs w:val="18"/>
                <w:lang w:eastAsia="sk-SK"/>
              </w:rPr>
            </w:pPr>
            <w:r w:rsidRPr="001177B1">
              <w:rPr>
                <w:rFonts w:ascii="Times New Roman" w:eastAsia="Times New Roman" w:hAnsi="Times New Roman" w:cs="Times New Roman"/>
                <w:i/>
                <w:iCs/>
                <w:color w:val="000000"/>
                <w:sz w:val="18"/>
                <w:szCs w:val="18"/>
                <w:lang w:eastAsia="sk-SK"/>
              </w:rPr>
              <w:t>11</w:t>
            </w:r>
          </w:p>
        </w:tc>
        <w:tc>
          <w:tcPr>
            <w:tcW w:w="625" w:type="pct"/>
            <w:tcBorders>
              <w:top w:val="nil"/>
              <w:left w:val="nil"/>
              <w:bottom w:val="nil"/>
              <w:right w:val="nil"/>
            </w:tcBorders>
            <w:shd w:val="clear" w:color="auto" w:fill="auto"/>
            <w:noWrap/>
            <w:vAlign w:val="center"/>
            <w:hideMark/>
          </w:tcPr>
          <w:p w14:paraId="1A96E935" w14:textId="77777777" w:rsidR="001177B1" w:rsidRPr="001177B1" w:rsidRDefault="001177B1" w:rsidP="001177B1">
            <w:pPr>
              <w:spacing w:after="0" w:line="240" w:lineRule="auto"/>
              <w:jc w:val="right"/>
              <w:rPr>
                <w:rFonts w:ascii="Times New Roman" w:eastAsia="Times New Roman" w:hAnsi="Times New Roman" w:cs="Times New Roman"/>
                <w:i/>
                <w:iCs/>
                <w:color w:val="000000"/>
                <w:sz w:val="18"/>
                <w:szCs w:val="18"/>
                <w:lang w:eastAsia="sk-SK"/>
              </w:rPr>
            </w:pPr>
            <w:r w:rsidRPr="001177B1">
              <w:rPr>
                <w:rFonts w:ascii="Times New Roman" w:eastAsia="Times New Roman" w:hAnsi="Times New Roman" w:cs="Times New Roman"/>
                <w:i/>
                <w:iCs/>
                <w:color w:val="000000"/>
                <w:sz w:val="18"/>
                <w:szCs w:val="18"/>
                <w:lang w:eastAsia="sk-SK"/>
              </w:rPr>
              <w:t>-11</w:t>
            </w:r>
          </w:p>
        </w:tc>
      </w:tr>
      <w:tr w:rsidR="001177B1" w:rsidRPr="001177B1" w14:paraId="74CB22D1" w14:textId="77777777" w:rsidTr="001177B1">
        <w:trPr>
          <w:trHeight w:val="255"/>
          <w:jc w:val="center"/>
        </w:trPr>
        <w:tc>
          <w:tcPr>
            <w:tcW w:w="3750" w:type="pct"/>
            <w:gridSpan w:val="3"/>
            <w:tcBorders>
              <w:top w:val="nil"/>
              <w:left w:val="nil"/>
              <w:bottom w:val="nil"/>
              <w:right w:val="nil"/>
            </w:tcBorders>
            <w:shd w:val="clear" w:color="auto" w:fill="auto"/>
            <w:noWrap/>
            <w:vAlign w:val="center"/>
            <w:hideMark/>
          </w:tcPr>
          <w:p w14:paraId="2320A101" w14:textId="77777777" w:rsidR="001177B1" w:rsidRPr="001177B1" w:rsidRDefault="001177B1" w:rsidP="001177B1">
            <w:pPr>
              <w:spacing w:after="0" w:line="240" w:lineRule="auto"/>
              <w:ind w:firstLineChars="200" w:firstLine="360"/>
              <w:rPr>
                <w:rFonts w:ascii="Times New Roman" w:eastAsia="Times New Roman" w:hAnsi="Times New Roman" w:cs="Times New Roman"/>
                <w:i/>
                <w:iCs/>
                <w:color w:val="000000"/>
                <w:sz w:val="18"/>
                <w:szCs w:val="18"/>
                <w:lang w:eastAsia="sk-SK"/>
              </w:rPr>
            </w:pPr>
            <w:r w:rsidRPr="001177B1">
              <w:rPr>
                <w:rFonts w:ascii="Times New Roman" w:eastAsia="Times New Roman" w:hAnsi="Times New Roman" w:cs="Times New Roman"/>
                <w:i/>
                <w:iCs/>
                <w:color w:val="000000"/>
                <w:sz w:val="18"/>
                <w:szCs w:val="18"/>
                <w:lang w:eastAsia="sk-SK"/>
              </w:rPr>
              <w:t>plyn a teplo pre domácnosti, elektrina a plyn pre malých odberateľov...</w:t>
            </w:r>
          </w:p>
        </w:tc>
        <w:tc>
          <w:tcPr>
            <w:tcW w:w="625" w:type="pct"/>
            <w:tcBorders>
              <w:top w:val="nil"/>
              <w:left w:val="nil"/>
              <w:bottom w:val="nil"/>
              <w:right w:val="nil"/>
            </w:tcBorders>
            <w:shd w:val="clear" w:color="auto" w:fill="auto"/>
            <w:noWrap/>
            <w:vAlign w:val="center"/>
            <w:hideMark/>
          </w:tcPr>
          <w:p w14:paraId="35CD6F6B" w14:textId="77777777" w:rsidR="001177B1" w:rsidRPr="001177B1" w:rsidRDefault="001177B1" w:rsidP="001177B1">
            <w:pPr>
              <w:spacing w:after="0" w:line="240" w:lineRule="auto"/>
              <w:jc w:val="right"/>
              <w:rPr>
                <w:rFonts w:ascii="Times New Roman" w:eastAsia="Times New Roman" w:hAnsi="Times New Roman" w:cs="Times New Roman"/>
                <w:i/>
                <w:iCs/>
                <w:color w:val="000000"/>
                <w:sz w:val="18"/>
                <w:szCs w:val="18"/>
                <w:lang w:eastAsia="sk-SK"/>
              </w:rPr>
            </w:pPr>
            <w:r w:rsidRPr="001177B1">
              <w:rPr>
                <w:rFonts w:ascii="Times New Roman" w:eastAsia="Times New Roman" w:hAnsi="Times New Roman" w:cs="Times New Roman"/>
                <w:i/>
                <w:iCs/>
                <w:color w:val="000000"/>
                <w:sz w:val="18"/>
                <w:szCs w:val="18"/>
                <w:lang w:eastAsia="sk-SK"/>
              </w:rPr>
              <w:t>2 576</w:t>
            </w:r>
          </w:p>
        </w:tc>
        <w:tc>
          <w:tcPr>
            <w:tcW w:w="625" w:type="pct"/>
            <w:tcBorders>
              <w:top w:val="nil"/>
              <w:left w:val="nil"/>
              <w:bottom w:val="nil"/>
              <w:right w:val="nil"/>
            </w:tcBorders>
            <w:shd w:val="clear" w:color="auto" w:fill="auto"/>
            <w:noWrap/>
            <w:vAlign w:val="center"/>
            <w:hideMark/>
          </w:tcPr>
          <w:p w14:paraId="25381D5C" w14:textId="77777777" w:rsidR="001177B1" w:rsidRPr="001177B1" w:rsidRDefault="001177B1" w:rsidP="001177B1">
            <w:pPr>
              <w:spacing w:after="0" w:line="240" w:lineRule="auto"/>
              <w:jc w:val="right"/>
              <w:rPr>
                <w:rFonts w:ascii="Times New Roman" w:eastAsia="Times New Roman" w:hAnsi="Times New Roman" w:cs="Times New Roman"/>
                <w:i/>
                <w:iCs/>
                <w:color w:val="000000"/>
                <w:sz w:val="18"/>
                <w:szCs w:val="18"/>
                <w:lang w:eastAsia="sk-SK"/>
              </w:rPr>
            </w:pPr>
            <w:r w:rsidRPr="001177B1">
              <w:rPr>
                <w:rFonts w:ascii="Times New Roman" w:eastAsia="Times New Roman" w:hAnsi="Times New Roman" w:cs="Times New Roman"/>
                <w:i/>
                <w:iCs/>
                <w:color w:val="000000"/>
                <w:sz w:val="18"/>
                <w:szCs w:val="18"/>
                <w:lang w:eastAsia="sk-SK"/>
              </w:rPr>
              <w:t>-2 576</w:t>
            </w:r>
          </w:p>
        </w:tc>
      </w:tr>
      <w:tr w:rsidR="001177B1" w:rsidRPr="001177B1" w14:paraId="76393753" w14:textId="77777777" w:rsidTr="001177B1">
        <w:trPr>
          <w:trHeight w:val="255"/>
          <w:jc w:val="center"/>
        </w:trPr>
        <w:tc>
          <w:tcPr>
            <w:tcW w:w="2273" w:type="pct"/>
            <w:tcBorders>
              <w:top w:val="nil"/>
              <w:left w:val="nil"/>
              <w:bottom w:val="nil"/>
              <w:right w:val="nil"/>
            </w:tcBorders>
            <w:shd w:val="clear" w:color="auto" w:fill="auto"/>
            <w:noWrap/>
            <w:vAlign w:val="center"/>
            <w:hideMark/>
          </w:tcPr>
          <w:p w14:paraId="3003A84F" w14:textId="77777777" w:rsidR="001177B1" w:rsidRPr="001177B1" w:rsidRDefault="001177B1" w:rsidP="001177B1">
            <w:pPr>
              <w:spacing w:after="0" w:line="240" w:lineRule="auto"/>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Refundácia zo zdrojov EÚ</w:t>
            </w:r>
          </w:p>
        </w:tc>
        <w:tc>
          <w:tcPr>
            <w:tcW w:w="621" w:type="pct"/>
            <w:tcBorders>
              <w:top w:val="nil"/>
              <w:left w:val="nil"/>
              <w:bottom w:val="nil"/>
              <w:right w:val="nil"/>
            </w:tcBorders>
            <w:shd w:val="clear" w:color="auto" w:fill="auto"/>
            <w:noWrap/>
            <w:vAlign w:val="center"/>
            <w:hideMark/>
          </w:tcPr>
          <w:p w14:paraId="175CA642" w14:textId="77777777" w:rsidR="001177B1" w:rsidRPr="001177B1" w:rsidRDefault="001177B1" w:rsidP="001177B1">
            <w:pPr>
              <w:spacing w:after="0" w:line="240" w:lineRule="auto"/>
              <w:rPr>
                <w:rFonts w:ascii="Times New Roman" w:eastAsia="Times New Roman" w:hAnsi="Times New Roman" w:cs="Times New Roman"/>
                <w:color w:val="000000"/>
                <w:sz w:val="18"/>
                <w:szCs w:val="18"/>
                <w:lang w:eastAsia="sk-SK"/>
              </w:rPr>
            </w:pPr>
          </w:p>
        </w:tc>
        <w:tc>
          <w:tcPr>
            <w:tcW w:w="856" w:type="pct"/>
            <w:tcBorders>
              <w:top w:val="nil"/>
              <w:left w:val="nil"/>
              <w:bottom w:val="nil"/>
              <w:right w:val="nil"/>
            </w:tcBorders>
            <w:shd w:val="clear" w:color="auto" w:fill="auto"/>
            <w:noWrap/>
            <w:vAlign w:val="center"/>
            <w:hideMark/>
          </w:tcPr>
          <w:p w14:paraId="5862F75C" w14:textId="77777777" w:rsidR="001177B1" w:rsidRPr="001177B1" w:rsidRDefault="001177B1" w:rsidP="001177B1">
            <w:pPr>
              <w:spacing w:after="0" w:line="240" w:lineRule="auto"/>
              <w:rPr>
                <w:rFonts w:ascii="Times New Roman" w:eastAsia="Times New Roman" w:hAnsi="Times New Roman" w:cs="Times New Roman"/>
                <w:sz w:val="20"/>
                <w:szCs w:val="20"/>
                <w:lang w:eastAsia="sk-SK"/>
              </w:rPr>
            </w:pPr>
          </w:p>
        </w:tc>
        <w:tc>
          <w:tcPr>
            <w:tcW w:w="625" w:type="pct"/>
            <w:tcBorders>
              <w:top w:val="nil"/>
              <w:left w:val="nil"/>
              <w:bottom w:val="nil"/>
              <w:right w:val="nil"/>
            </w:tcBorders>
            <w:shd w:val="clear" w:color="auto" w:fill="auto"/>
            <w:noWrap/>
            <w:vAlign w:val="center"/>
            <w:hideMark/>
          </w:tcPr>
          <w:p w14:paraId="67B865E7"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-500</w:t>
            </w:r>
          </w:p>
        </w:tc>
        <w:tc>
          <w:tcPr>
            <w:tcW w:w="625" w:type="pct"/>
            <w:tcBorders>
              <w:top w:val="nil"/>
              <w:left w:val="nil"/>
              <w:bottom w:val="nil"/>
              <w:right w:val="nil"/>
            </w:tcBorders>
            <w:shd w:val="clear" w:color="auto" w:fill="auto"/>
            <w:noWrap/>
            <w:vAlign w:val="center"/>
            <w:hideMark/>
          </w:tcPr>
          <w:p w14:paraId="282A34D2"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500</w:t>
            </w:r>
          </w:p>
        </w:tc>
      </w:tr>
      <w:tr w:rsidR="001177B1" w:rsidRPr="001177B1" w14:paraId="0C7E1C78" w14:textId="77777777" w:rsidTr="001177B1">
        <w:trPr>
          <w:trHeight w:val="255"/>
          <w:jc w:val="center"/>
        </w:trPr>
        <w:tc>
          <w:tcPr>
            <w:tcW w:w="2894" w:type="pct"/>
            <w:gridSpan w:val="2"/>
            <w:tcBorders>
              <w:top w:val="nil"/>
              <w:left w:val="nil"/>
              <w:bottom w:val="nil"/>
              <w:right w:val="nil"/>
            </w:tcBorders>
            <w:shd w:val="clear" w:color="auto" w:fill="auto"/>
            <w:noWrap/>
            <w:vAlign w:val="center"/>
            <w:hideMark/>
          </w:tcPr>
          <w:p w14:paraId="0C0C5F98" w14:textId="77777777" w:rsidR="001177B1" w:rsidRPr="001177B1" w:rsidRDefault="001177B1" w:rsidP="001177B1">
            <w:pPr>
              <w:spacing w:after="0" w:line="240" w:lineRule="auto"/>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Zúčtovanie 4. Q začiatkom budúceho roka</w:t>
            </w:r>
          </w:p>
        </w:tc>
        <w:tc>
          <w:tcPr>
            <w:tcW w:w="856" w:type="pct"/>
            <w:tcBorders>
              <w:top w:val="nil"/>
              <w:left w:val="nil"/>
              <w:bottom w:val="nil"/>
              <w:right w:val="nil"/>
            </w:tcBorders>
            <w:shd w:val="clear" w:color="auto" w:fill="auto"/>
            <w:noWrap/>
            <w:vAlign w:val="center"/>
            <w:hideMark/>
          </w:tcPr>
          <w:p w14:paraId="51BC082F" w14:textId="77777777" w:rsidR="001177B1" w:rsidRPr="001177B1" w:rsidRDefault="001177B1" w:rsidP="001177B1">
            <w:pPr>
              <w:spacing w:after="0" w:line="240" w:lineRule="auto"/>
              <w:rPr>
                <w:rFonts w:ascii="Times New Roman" w:eastAsia="Times New Roman" w:hAnsi="Times New Roman" w:cs="Times New Roman"/>
                <w:color w:val="000000"/>
                <w:sz w:val="18"/>
                <w:szCs w:val="18"/>
                <w:lang w:eastAsia="sk-SK"/>
              </w:rPr>
            </w:pPr>
          </w:p>
        </w:tc>
        <w:tc>
          <w:tcPr>
            <w:tcW w:w="625" w:type="pct"/>
            <w:tcBorders>
              <w:top w:val="nil"/>
              <w:left w:val="nil"/>
              <w:bottom w:val="nil"/>
              <w:right w:val="nil"/>
            </w:tcBorders>
            <w:shd w:val="clear" w:color="auto" w:fill="auto"/>
            <w:noWrap/>
            <w:vAlign w:val="center"/>
            <w:hideMark/>
          </w:tcPr>
          <w:p w14:paraId="3592D53B"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-121</w:t>
            </w:r>
          </w:p>
        </w:tc>
        <w:tc>
          <w:tcPr>
            <w:tcW w:w="625" w:type="pct"/>
            <w:tcBorders>
              <w:top w:val="nil"/>
              <w:left w:val="nil"/>
              <w:bottom w:val="nil"/>
              <w:right w:val="nil"/>
            </w:tcBorders>
            <w:shd w:val="clear" w:color="auto" w:fill="auto"/>
            <w:noWrap/>
            <w:vAlign w:val="center"/>
            <w:hideMark/>
          </w:tcPr>
          <w:p w14:paraId="5D0B1053" w14:textId="77777777" w:rsidR="001177B1" w:rsidRPr="001177B1" w:rsidRDefault="001177B1" w:rsidP="001177B1">
            <w:pPr>
              <w:spacing w:after="0" w:line="240" w:lineRule="auto"/>
              <w:jc w:val="right"/>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121</w:t>
            </w:r>
          </w:p>
        </w:tc>
      </w:tr>
      <w:tr w:rsidR="001177B1" w:rsidRPr="001177B1" w14:paraId="07032D12" w14:textId="77777777" w:rsidTr="001177B1">
        <w:trPr>
          <w:trHeight w:val="255"/>
          <w:jc w:val="center"/>
        </w:trPr>
        <w:tc>
          <w:tcPr>
            <w:tcW w:w="2894" w:type="pct"/>
            <w:gridSpan w:val="2"/>
            <w:tcBorders>
              <w:top w:val="nil"/>
              <w:left w:val="nil"/>
              <w:bottom w:val="single" w:sz="4" w:space="0" w:color="auto"/>
              <w:right w:val="nil"/>
            </w:tcBorders>
            <w:shd w:val="clear" w:color="auto" w:fill="auto"/>
            <w:noWrap/>
            <w:vAlign w:val="center"/>
            <w:hideMark/>
          </w:tcPr>
          <w:p w14:paraId="5D16D2AD" w14:textId="77777777" w:rsidR="001177B1" w:rsidRPr="001177B1" w:rsidRDefault="001177B1" w:rsidP="001177B1">
            <w:pPr>
              <w:spacing w:after="0" w:line="240" w:lineRule="auto"/>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Ministerstvo práce, sociálnych vecí a rodiny SR</w:t>
            </w:r>
          </w:p>
        </w:tc>
        <w:tc>
          <w:tcPr>
            <w:tcW w:w="856" w:type="pct"/>
            <w:tcBorders>
              <w:top w:val="nil"/>
              <w:left w:val="nil"/>
              <w:bottom w:val="nil"/>
              <w:right w:val="nil"/>
            </w:tcBorders>
            <w:shd w:val="clear" w:color="auto" w:fill="auto"/>
            <w:noWrap/>
            <w:vAlign w:val="center"/>
            <w:hideMark/>
          </w:tcPr>
          <w:p w14:paraId="4F9D21B2"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900</w:t>
            </w:r>
          </w:p>
        </w:tc>
        <w:tc>
          <w:tcPr>
            <w:tcW w:w="625" w:type="pct"/>
            <w:tcBorders>
              <w:top w:val="nil"/>
              <w:left w:val="nil"/>
              <w:bottom w:val="nil"/>
              <w:right w:val="nil"/>
            </w:tcBorders>
            <w:shd w:val="clear" w:color="auto" w:fill="auto"/>
            <w:noWrap/>
            <w:vAlign w:val="center"/>
            <w:hideMark/>
          </w:tcPr>
          <w:p w14:paraId="5A228440"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7</w:t>
            </w:r>
          </w:p>
        </w:tc>
        <w:tc>
          <w:tcPr>
            <w:tcW w:w="625" w:type="pct"/>
            <w:tcBorders>
              <w:top w:val="nil"/>
              <w:left w:val="nil"/>
              <w:bottom w:val="nil"/>
              <w:right w:val="nil"/>
            </w:tcBorders>
            <w:shd w:val="clear" w:color="auto" w:fill="auto"/>
            <w:noWrap/>
            <w:vAlign w:val="center"/>
            <w:hideMark/>
          </w:tcPr>
          <w:p w14:paraId="79387C3D"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893</w:t>
            </w:r>
          </w:p>
        </w:tc>
      </w:tr>
      <w:tr w:rsidR="001177B1" w:rsidRPr="001177B1" w14:paraId="4F948D83" w14:textId="77777777" w:rsidTr="001177B1">
        <w:trPr>
          <w:trHeight w:val="255"/>
          <w:jc w:val="center"/>
        </w:trPr>
        <w:tc>
          <w:tcPr>
            <w:tcW w:w="2273" w:type="pct"/>
            <w:tcBorders>
              <w:top w:val="nil"/>
              <w:left w:val="nil"/>
              <w:bottom w:val="nil"/>
              <w:right w:val="nil"/>
            </w:tcBorders>
            <w:shd w:val="clear" w:color="auto" w:fill="auto"/>
            <w:noWrap/>
            <w:vAlign w:val="center"/>
            <w:hideMark/>
          </w:tcPr>
          <w:p w14:paraId="1FE4B739" w14:textId="77777777" w:rsidR="001177B1" w:rsidRPr="001177B1" w:rsidRDefault="001177B1" w:rsidP="001177B1">
            <w:pPr>
              <w:spacing w:after="0" w:line="240" w:lineRule="auto"/>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Všeobecné pokladničná správa</w:t>
            </w:r>
          </w:p>
        </w:tc>
        <w:tc>
          <w:tcPr>
            <w:tcW w:w="621" w:type="pct"/>
            <w:tcBorders>
              <w:top w:val="nil"/>
              <w:left w:val="nil"/>
              <w:bottom w:val="nil"/>
              <w:right w:val="nil"/>
            </w:tcBorders>
            <w:shd w:val="clear" w:color="auto" w:fill="auto"/>
            <w:noWrap/>
            <w:vAlign w:val="center"/>
            <w:hideMark/>
          </w:tcPr>
          <w:p w14:paraId="2455DB94" w14:textId="77777777" w:rsidR="001177B1" w:rsidRPr="001177B1" w:rsidRDefault="001177B1" w:rsidP="001177B1">
            <w:pPr>
              <w:spacing w:after="0" w:line="240" w:lineRule="auto"/>
              <w:rPr>
                <w:rFonts w:ascii="Times New Roman" w:eastAsia="Times New Roman" w:hAnsi="Times New Roman" w:cs="Times New Roman"/>
                <w:b/>
                <w:bCs/>
                <w:color w:val="000000"/>
                <w:sz w:val="18"/>
                <w:szCs w:val="18"/>
                <w:lang w:eastAsia="sk-SK"/>
              </w:rPr>
            </w:pPr>
          </w:p>
        </w:tc>
        <w:tc>
          <w:tcPr>
            <w:tcW w:w="856" w:type="pct"/>
            <w:tcBorders>
              <w:top w:val="single" w:sz="4" w:space="0" w:color="auto"/>
              <w:left w:val="nil"/>
              <w:bottom w:val="nil"/>
              <w:right w:val="nil"/>
            </w:tcBorders>
            <w:shd w:val="clear" w:color="auto" w:fill="auto"/>
            <w:noWrap/>
            <w:vAlign w:val="center"/>
            <w:hideMark/>
          </w:tcPr>
          <w:p w14:paraId="0CD57664"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860</w:t>
            </w:r>
          </w:p>
        </w:tc>
        <w:tc>
          <w:tcPr>
            <w:tcW w:w="625" w:type="pct"/>
            <w:tcBorders>
              <w:top w:val="single" w:sz="4" w:space="0" w:color="auto"/>
              <w:left w:val="nil"/>
              <w:bottom w:val="nil"/>
              <w:right w:val="nil"/>
            </w:tcBorders>
            <w:shd w:val="clear" w:color="auto" w:fill="auto"/>
            <w:noWrap/>
            <w:vAlign w:val="center"/>
            <w:hideMark/>
          </w:tcPr>
          <w:p w14:paraId="742B8196"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0</w:t>
            </w:r>
          </w:p>
        </w:tc>
        <w:tc>
          <w:tcPr>
            <w:tcW w:w="625" w:type="pct"/>
            <w:tcBorders>
              <w:top w:val="single" w:sz="4" w:space="0" w:color="auto"/>
              <w:left w:val="nil"/>
              <w:bottom w:val="nil"/>
              <w:right w:val="nil"/>
            </w:tcBorders>
            <w:shd w:val="clear" w:color="auto" w:fill="auto"/>
            <w:noWrap/>
            <w:vAlign w:val="center"/>
            <w:hideMark/>
          </w:tcPr>
          <w:p w14:paraId="44175E97"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860</w:t>
            </w:r>
          </w:p>
        </w:tc>
      </w:tr>
      <w:tr w:rsidR="001177B1" w:rsidRPr="001177B1" w14:paraId="73A13FF2" w14:textId="77777777" w:rsidTr="001177B1">
        <w:trPr>
          <w:trHeight w:val="255"/>
          <w:jc w:val="center"/>
        </w:trPr>
        <w:tc>
          <w:tcPr>
            <w:tcW w:w="2273" w:type="pct"/>
            <w:tcBorders>
              <w:top w:val="nil"/>
              <w:left w:val="nil"/>
              <w:bottom w:val="nil"/>
              <w:right w:val="nil"/>
            </w:tcBorders>
            <w:shd w:val="clear" w:color="auto" w:fill="auto"/>
            <w:noWrap/>
            <w:vAlign w:val="center"/>
            <w:hideMark/>
          </w:tcPr>
          <w:p w14:paraId="1105BF72" w14:textId="77777777" w:rsidR="001177B1" w:rsidRPr="001177B1" w:rsidRDefault="001177B1" w:rsidP="001177B1">
            <w:pPr>
              <w:spacing w:after="0" w:line="240" w:lineRule="auto"/>
              <w:rPr>
                <w:rFonts w:ascii="Times New Roman" w:eastAsia="Times New Roman" w:hAnsi="Times New Roman" w:cs="Times New Roman"/>
                <w:iCs/>
                <w:color w:val="000000"/>
                <w:sz w:val="18"/>
                <w:szCs w:val="18"/>
                <w:lang w:eastAsia="sk-SK"/>
              </w:rPr>
            </w:pPr>
            <w:r w:rsidRPr="001177B1">
              <w:rPr>
                <w:rFonts w:ascii="Times New Roman" w:eastAsia="Times New Roman" w:hAnsi="Times New Roman" w:cs="Times New Roman"/>
                <w:iCs/>
                <w:color w:val="000000"/>
                <w:sz w:val="18"/>
                <w:szCs w:val="18"/>
                <w:lang w:eastAsia="sk-SK"/>
              </w:rPr>
              <w:t>Alokácia</w:t>
            </w:r>
          </w:p>
        </w:tc>
        <w:tc>
          <w:tcPr>
            <w:tcW w:w="621" w:type="pct"/>
            <w:tcBorders>
              <w:top w:val="nil"/>
              <w:left w:val="nil"/>
              <w:bottom w:val="nil"/>
              <w:right w:val="nil"/>
            </w:tcBorders>
            <w:shd w:val="clear" w:color="auto" w:fill="auto"/>
            <w:noWrap/>
            <w:vAlign w:val="center"/>
            <w:hideMark/>
          </w:tcPr>
          <w:p w14:paraId="248E3EA0" w14:textId="77777777" w:rsidR="001177B1" w:rsidRPr="001177B1" w:rsidRDefault="001177B1" w:rsidP="001177B1">
            <w:pPr>
              <w:spacing w:after="0" w:line="240" w:lineRule="auto"/>
              <w:rPr>
                <w:rFonts w:ascii="Times New Roman" w:eastAsia="Times New Roman" w:hAnsi="Times New Roman" w:cs="Times New Roman"/>
                <w:iCs/>
                <w:color w:val="000000"/>
                <w:sz w:val="18"/>
                <w:szCs w:val="18"/>
                <w:lang w:eastAsia="sk-SK"/>
              </w:rPr>
            </w:pPr>
          </w:p>
        </w:tc>
        <w:tc>
          <w:tcPr>
            <w:tcW w:w="856" w:type="pct"/>
            <w:tcBorders>
              <w:top w:val="nil"/>
              <w:left w:val="nil"/>
              <w:bottom w:val="nil"/>
              <w:right w:val="nil"/>
            </w:tcBorders>
            <w:shd w:val="clear" w:color="auto" w:fill="auto"/>
            <w:noWrap/>
            <w:vAlign w:val="center"/>
            <w:hideMark/>
          </w:tcPr>
          <w:p w14:paraId="00053B2C" w14:textId="77777777" w:rsidR="001177B1" w:rsidRPr="001177B1" w:rsidRDefault="001177B1" w:rsidP="001177B1">
            <w:pPr>
              <w:spacing w:after="0" w:line="240" w:lineRule="auto"/>
              <w:rPr>
                <w:rFonts w:ascii="Times New Roman" w:eastAsia="Times New Roman" w:hAnsi="Times New Roman" w:cs="Times New Roman"/>
                <w:sz w:val="20"/>
                <w:szCs w:val="20"/>
                <w:lang w:eastAsia="sk-SK"/>
              </w:rPr>
            </w:pPr>
          </w:p>
        </w:tc>
        <w:tc>
          <w:tcPr>
            <w:tcW w:w="625" w:type="pct"/>
            <w:tcBorders>
              <w:top w:val="nil"/>
              <w:left w:val="nil"/>
              <w:bottom w:val="nil"/>
              <w:right w:val="nil"/>
            </w:tcBorders>
            <w:shd w:val="clear" w:color="auto" w:fill="auto"/>
            <w:noWrap/>
            <w:vAlign w:val="center"/>
            <w:hideMark/>
          </w:tcPr>
          <w:p w14:paraId="63BBBF8E" w14:textId="77777777" w:rsidR="001177B1" w:rsidRPr="001177B1" w:rsidRDefault="001177B1" w:rsidP="001177B1">
            <w:pPr>
              <w:spacing w:after="0" w:line="240" w:lineRule="auto"/>
              <w:jc w:val="right"/>
              <w:rPr>
                <w:rFonts w:ascii="Times New Roman" w:eastAsia="Times New Roman" w:hAnsi="Times New Roman" w:cs="Times New Roman"/>
                <w:iCs/>
                <w:color w:val="000000"/>
                <w:sz w:val="18"/>
                <w:szCs w:val="18"/>
                <w:lang w:eastAsia="sk-SK"/>
              </w:rPr>
            </w:pPr>
            <w:r w:rsidRPr="001177B1">
              <w:rPr>
                <w:rFonts w:ascii="Times New Roman" w:eastAsia="Times New Roman" w:hAnsi="Times New Roman" w:cs="Times New Roman"/>
                <w:iCs/>
                <w:color w:val="000000"/>
                <w:sz w:val="18"/>
                <w:szCs w:val="18"/>
                <w:lang w:eastAsia="sk-SK"/>
              </w:rPr>
              <w:t>100</w:t>
            </w:r>
          </w:p>
        </w:tc>
        <w:tc>
          <w:tcPr>
            <w:tcW w:w="625" w:type="pct"/>
            <w:tcBorders>
              <w:top w:val="nil"/>
              <w:left w:val="nil"/>
              <w:bottom w:val="nil"/>
              <w:right w:val="nil"/>
            </w:tcBorders>
            <w:shd w:val="clear" w:color="auto" w:fill="auto"/>
            <w:noWrap/>
            <w:vAlign w:val="center"/>
            <w:hideMark/>
          </w:tcPr>
          <w:p w14:paraId="34B089BF" w14:textId="77777777" w:rsidR="001177B1" w:rsidRPr="001177B1" w:rsidRDefault="001177B1" w:rsidP="001177B1">
            <w:pPr>
              <w:spacing w:after="0" w:line="240" w:lineRule="auto"/>
              <w:jc w:val="right"/>
              <w:rPr>
                <w:rFonts w:ascii="Times New Roman" w:eastAsia="Times New Roman" w:hAnsi="Times New Roman" w:cs="Times New Roman"/>
                <w:iCs/>
                <w:color w:val="000000"/>
                <w:sz w:val="18"/>
                <w:szCs w:val="18"/>
                <w:lang w:eastAsia="sk-SK"/>
              </w:rPr>
            </w:pPr>
            <w:r w:rsidRPr="001177B1">
              <w:rPr>
                <w:rFonts w:ascii="Times New Roman" w:eastAsia="Times New Roman" w:hAnsi="Times New Roman" w:cs="Times New Roman"/>
                <w:iCs/>
                <w:color w:val="000000"/>
                <w:sz w:val="18"/>
                <w:szCs w:val="18"/>
                <w:lang w:eastAsia="sk-SK"/>
              </w:rPr>
              <w:t>-100</w:t>
            </w:r>
          </w:p>
        </w:tc>
      </w:tr>
      <w:tr w:rsidR="001177B1" w:rsidRPr="001177B1" w14:paraId="1AC156D5" w14:textId="77777777" w:rsidTr="001177B1">
        <w:trPr>
          <w:trHeight w:val="255"/>
          <w:jc w:val="center"/>
        </w:trPr>
        <w:tc>
          <w:tcPr>
            <w:tcW w:w="2273" w:type="pct"/>
            <w:tcBorders>
              <w:top w:val="nil"/>
              <w:left w:val="nil"/>
              <w:bottom w:val="single" w:sz="4" w:space="0" w:color="auto"/>
              <w:right w:val="nil"/>
            </w:tcBorders>
            <w:shd w:val="clear" w:color="auto" w:fill="auto"/>
            <w:noWrap/>
            <w:vAlign w:val="center"/>
            <w:hideMark/>
          </w:tcPr>
          <w:p w14:paraId="0C1F25C5" w14:textId="77777777" w:rsidR="001177B1" w:rsidRPr="001177B1" w:rsidRDefault="001177B1" w:rsidP="001177B1">
            <w:pPr>
              <w:spacing w:after="0" w:line="240" w:lineRule="auto"/>
              <w:rPr>
                <w:rFonts w:ascii="Times New Roman" w:eastAsia="Times New Roman" w:hAnsi="Times New Roman" w:cs="Times New Roman"/>
                <w:iCs/>
                <w:color w:val="000000"/>
                <w:sz w:val="18"/>
                <w:szCs w:val="18"/>
                <w:lang w:eastAsia="sk-SK"/>
              </w:rPr>
            </w:pPr>
            <w:r w:rsidRPr="001177B1">
              <w:rPr>
                <w:rFonts w:ascii="Times New Roman" w:eastAsia="Times New Roman" w:hAnsi="Times New Roman" w:cs="Times New Roman"/>
                <w:iCs/>
                <w:color w:val="000000"/>
                <w:sz w:val="18"/>
                <w:szCs w:val="18"/>
                <w:lang w:eastAsia="sk-SK"/>
              </w:rPr>
              <w:t>Presun do roka 2024</w:t>
            </w:r>
          </w:p>
        </w:tc>
        <w:tc>
          <w:tcPr>
            <w:tcW w:w="621" w:type="pct"/>
            <w:tcBorders>
              <w:top w:val="nil"/>
              <w:left w:val="nil"/>
              <w:bottom w:val="single" w:sz="4" w:space="0" w:color="auto"/>
              <w:right w:val="nil"/>
            </w:tcBorders>
            <w:shd w:val="clear" w:color="auto" w:fill="auto"/>
            <w:noWrap/>
            <w:vAlign w:val="center"/>
            <w:hideMark/>
          </w:tcPr>
          <w:p w14:paraId="21F8BDFA" w14:textId="77777777" w:rsidR="001177B1" w:rsidRPr="001177B1" w:rsidRDefault="001177B1" w:rsidP="001177B1">
            <w:pPr>
              <w:spacing w:after="0" w:line="240" w:lineRule="auto"/>
              <w:rPr>
                <w:rFonts w:ascii="Times New Roman" w:eastAsia="Times New Roman" w:hAnsi="Times New Roman" w:cs="Times New Roman"/>
                <w:iCs/>
                <w:color w:val="000000"/>
                <w:sz w:val="18"/>
                <w:szCs w:val="18"/>
                <w:lang w:eastAsia="sk-SK"/>
              </w:rPr>
            </w:pPr>
            <w:r w:rsidRPr="001177B1">
              <w:rPr>
                <w:rFonts w:ascii="Times New Roman" w:eastAsia="Times New Roman" w:hAnsi="Times New Roman" w:cs="Times New Roman"/>
                <w:iCs/>
                <w:color w:val="000000"/>
                <w:sz w:val="18"/>
                <w:szCs w:val="18"/>
                <w:lang w:eastAsia="sk-SK"/>
              </w:rPr>
              <w:t> </w:t>
            </w:r>
          </w:p>
        </w:tc>
        <w:tc>
          <w:tcPr>
            <w:tcW w:w="856" w:type="pct"/>
            <w:tcBorders>
              <w:top w:val="nil"/>
              <w:left w:val="nil"/>
              <w:bottom w:val="single" w:sz="4" w:space="0" w:color="auto"/>
              <w:right w:val="nil"/>
            </w:tcBorders>
            <w:shd w:val="clear" w:color="auto" w:fill="auto"/>
            <w:noWrap/>
            <w:vAlign w:val="center"/>
            <w:hideMark/>
          </w:tcPr>
          <w:p w14:paraId="5E9CD744" w14:textId="77777777" w:rsidR="001177B1" w:rsidRPr="001177B1" w:rsidRDefault="001177B1" w:rsidP="001177B1">
            <w:pPr>
              <w:spacing w:after="0" w:line="240" w:lineRule="auto"/>
              <w:jc w:val="right"/>
              <w:rPr>
                <w:rFonts w:ascii="Times New Roman" w:eastAsia="Times New Roman" w:hAnsi="Times New Roman" w:cs="Times New Roman"/>
                <w:iCs/>
                <w:color w:val="000000"/>
                <w:sz w:val="18"/>
                <w:szCs w:val="18"/>
                <w:lang w:eastAsia="sk-SK"/>
              </w:rPr>
            </w:pPr>
            <w:r w:rsidRPr="001177B1">
              <w:rPr>
                <w:rFonts w:ascii="Times New Roman" w:eastAsia="Times New Roman" w:hAnsi="Times New Roman" w:cs="Times New Roman"/>
                <w:iCs/>
                <w:color w:val="000000"/>
                <w:sz w:val="18"/>
                <w:szCs w:val="18"/>
                <w:lang w:eastAsia="sk-SK"/>
              </w:rPr>
              <w:t> </w:t>
            </w:r>
          </w:p>
        </w:tc>
        <w:tc>
          <w:tcPr>
            <w:tcW w:w="625" w:type="pct"/>
            <w:tcBorders>
              <w:top w:val="nil"/>
              <w:left w:val="nil"/>
              <w:bottom w:val="single" w:sz="4" w:space="0" w:color="auto"/>
              <w:right w:val="nil"/>
            </w:tcBorders>
            <w:shd w:val="clear" w:color="auto" w:fill="auto"/>
            <w:noWrap/>
            <w:vAlign w:val="center"/>
            <w:hideMark/>
          </w:tcPr>
          <w:p w14:paraId="41FB356D" w14:textId="77777777" w:rsidR="001177B1" w:rsidRPr="001177B1" w:rsidRDefault="001177B1" w:rsidP="001177B1">
            <w:pPr>
              <w:spacing w:after="0" w:line="240" w:lineRule="auto"/>
              <w:jc w:val="right"/>
              <w:rPr>
                <w:rFonts w:ascii="Times New Roman" w:eastAsia="Times New Roman" w:hAnsi="Times New Roman" w:cs="Times New Roman"/>
                <w:iCs/>
                <w:color w:val="000000"/>
                <w:sz w:val="18"/>
                <w:szCs w:val="18"/>
                <w:lang w:eastAsia="sk-SK"/>
              </w:rPr>
            </w:pPr>
            <w:r w:rsidRPr="001177B1">
              <w:rPr>
                <w:rFonts w:ascii="Times New Roman" w:eastAsia="Times New Roman" w:hAnsi="Times New Roman" w:cs="Times New Roman"/>
                <w:iCs/>
                <w:color w:val="000000"/>
                <w:sz w:val="18"/>
                <w:szCs w:val="18"/>
                <w:lang w:eastAsia="sk-SK"/>
              </w:rPr>
              <w:t>-100</w:t>
            </w:r>
          </w:p>
        </w:tc>
        <w:tc>
          <w:tcPr>
            <w:tcW w:w="625" w:type="pct"/>
            <w:tcBorders>
              <w:top w:val="nil"/>
              <w:left w:val="nil"/>
              <w:bottom w:val="single" w:sz="4" w:space="0" w:color="auto"/>
              <w:right w:val="nil"/>
            </w:tcBorders>
            <w:shd w:val="clear" w:color="auto" w:fill="auto"/>
            <w:noWrap/>
            <w:vAlign w:val="center"/>
            <w:hideMark/>
          </w:tcPr>
          <w:p w14:paraId="5D3D7BC0" w14:textId="77777777" w:rsidR="001177B1" w:rsidRPr="001177B1" w:rsidRDefault="001177B1" w:rsidP="001177B1">
            <w:pPr>
              <w:spacing w:after="0" w:line="240" w:lineRule="auto"/>
              <w:jc w:val="right"/>
              <w:rPr>
                <w:rFonts w:ascii="Times New Roman" w:eastAsia="Times New Roman" w:hAnsi="Times New Roman" w:cs="Times New Roman"/>
                <w:iCs/>
                <w:color w:val="000000"/>
                <w:sz w:val="18"/>
                <w:szCs w:val="18"/>
                <w:lang w:eastAsia="sk-SK"/>
              </w:rPr>
            </w:pPr>
            <w:r w:rsidRPr="001177B1">
              <w:rPr>
                <w:rFonts w:ascii="Times New Roman" w:eastAsia="Times New Roman" w:hAnsi="Times New Roman" w:cs="Times New Roman"/>
                <w:iCs/>
                <w:color w:val="000000"/>
                <w:sz w:val="18"/>
                <w:szCs w:val="18"/>
                <w:lang w:eastAsia="sk-SK"/>
              </w:rPr>
              <w:t>100</w:t>
            </w:r>
          </w:p>
        </w:tc>
      </w:tr>
      <w:tr w:rsidR="001177B1" w:rsidRPr="001177B1" w14:paraId="63EBF5FB" w14:textId="77777777" w:rsidTr="001177B1">
        <w:trPr>
          <w:trHeight w:val="255"/>
          <w:jc w:val="center"/>
        </w:trPr>
        <w:tc>
          <w:tcPr>
            <w:tcW w:w="2273" w:type="pct"/>
            <w:tcBorders>
              <w:top w:val="nil"/>
              <w:left w:val="nil"/>
              <w:bottom w:val="nil"/>
              <w:right w:val="nil"/>
            </w:tcBorders>
            <w:shd w:val="clear" w:color="auto" w:fill="auto"/>
            <w:noWrap/>
            <w:vAlign w:val="center"/>
            <w:hideMark/>
          </w:tcPr>
          <w:p w14:paraId="062CFA4E" w14:textId="77777777" w:rsidR="001177B1" w:rsidRPr="001177B1" w:rsidRDefault="001177B1" w:rsidP="001177B1">
            <w:pPr>
              <w:spacing w:after="0" w:line="240" w:lineRule="auto"/>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Ministerstvo dopravy SR</w:t>
            </w:r>
          </w:p>
        </w:tc>
        <w:tc>
          <w:tcPr>
            <w:tcW w:w="621" w:type="pct"/>
            <w:tcBorders>
              <w:top w:val="nil"/>
              <w:left w:val="nil"/>
              <w:bottom w:val="nil"/>
              <w:right w:val="nil"/>
            </w:tcBorders>
            <w:shd w:val="clear" w:color="auto" w:fill="auto"/>
            <w:noWrap/>
            <w:vAlign w:val="center"/>
            <w:hideMark/>
          </w:tcPr>
          <w:p w14:paraId="068B3C69" w14:textId="77777777" w:rsidR="001177B1" w:rsidRPr="001177B1" w:rsidRDefault="001177B1" w:rsidP="001177B1">
            <w:pPr>
              <w:spacing w:after="0" w:line="240" w:lineRule="auto"/>
              <w:rPr>
                <w:rFonts w:ascii="Times New Roman" w:eastAsia="Times New Roman" w:hAnsi="Times New Roman" w:cs="Times New Roman"/>
                <w:b/>
                <w:bCs/>
                <w:color w:val="000000"/>
                <w:sz w:val="18"/>
                <w:szCs w:val="18"/>
                <w:lang w:eastAsia="sk-SK"/>
              </w:rPr>
            </w:pPr>
          </w:p>
        </w:tc>
        <w:tc>
          <w:tcPr>
            <w:tcW w:w="856" w:type="pct"/>
            <w:tcBorders>
              <w:top w:val="nil"/>
              <w:left w:val="nil"/>
              <w:bottom w:val="nil"/>
              <w:right w:val="nil"/>
            </w:tcBorders>
            <w:shd w:val="clear" w:color="auto" w:fill="auto"/>
            <w:noWrap/>
            <w:vAlign w:val="center"/>
            <w:hideMark/>
          </w:tcPr>
          <w:p w14:paraId="269932DB"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160</w:t>
            </w:r>
          </w:p>
        </w:tc>
        <w:tc>
          <w:tcPr>
            <w:tcW w:w="625" w:type="pct"/>
            <w:tcBorders>
              <w:top w:val="nil"/>
              <w:left w:val="nil"/>
              <w:bottom w:val="nil"/>
              <w:right w:val="nil"/>
            </w:tcBorders>
            <w:shd w:val="clear" w:color="auto" w:fill="auto"/>
            <w:noWrap/>
            <w:vAlign w:val="center"/>
            <w:hideMark/>
          </w:tcPr>
          <w:p w14:paraId="5E40C390"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52</w:t>
            </w:r>
          </w:p>
        </w:tc>
        <w:tc>
          <w:tcPr>
            <w:tcW w:w="625" w:type="pct"/>
            <w:tcBorders>
              <w:top w:val="nil"/>
              <w:left w:val="nil"/>
              <w:bottom w:val="nil"/>
              <w:right w:val="nil"/>
            </w:tcBorders>
            <w:shd w:val="clear" w:color="auto" w:fill="auto"/>
            <w:noWrap/>
            <w:vAlign w:val="center"/>
            <w:hideMark/>
          </w:tcPr>
          <w:p w14:paraId="759B5A81"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108</w:t>
            </w:r>
          </w:p>
        </w:tc>
      </w:tr>
      <w:tr w:rsidR="001177B1" w:rsidRPr="001177B1" w14:paraId="0A3CB2E5" w14:textId="77777777" w:rsidTr="001177B1">
        <w:trPr>
          <w:trHeight w:val="255"/>
          <w:jc w:val="center"/>
        </w:trPr>
        <w:tc>
          <w:tcPr>
            <w:tcW w:w="2273" w:type="pct"/>
            <w:tcBorders>
              <w:top w:val="nil"/>
              <w:left w:val="nil"/>
              <w:bottom w:val="nil"/>
              <w:right w:val="nil"/>
            </w:tcBorders>
            <w:shd w:val="clear" w:color="auto" w:fill="auto"/>
            <w:noWrap/>
            <w:vAlign w:val="center"/>
            <w:hideMark/>
          </w:tcPr>
          <w:p w14:paraId="6E488668" w14:textId="77777777" w:rsidR="001177B1" w:rsidRPr="001177B1" w:rsidRDefault="001177B1" w:rsidP="001177B1">
            <w:pPr>
              <w:spacing w:after="0" w:line="240" w:lineRule="auto"/>
              <w:rPr>
                <w:rFonts w:ascii="Times New Roman" w:eastAsia="Times New Roman" w:hAnsi="Times New Roman" w:cs="Times New Roman"/>
                <w:iCs/>
                <w:color w:val="000000"/>
                <w:sz w:val="18"/>
                <w:szCs w:val="18"/>
                <w:lang w:eastAsia="sk-SK"/>
              </w:rPr>
            </w:pPr>
            <w:r w:rsidRPr="001177B1">
              <w:rPr>
                <w:rFonts w:ascii="Times New Roman" w:eastAsia="Times New Roman" w:hAnsi="Times New Roman" w:cs="Times New Roman"/>
                <w:iCs/>
                <w:color w:val="000000"/>
                <w:sz w:val="18"/>
                <w:szCs w:val="18"/>
                <w:lang w:eastAsia="sk-SK"/>
              </w:rPr>
              <w:t>Kapitola</w:t>
            </w:r>
          </w:p>
        </w:tc>
        <w:tc>
          <w:tcPr>
            <w:tcW w:w="621" w:type="pct"/>
            <w:tcBorders>
              <w:top w:val="nil"/>
              <w:left w:val="nil"/>
              <w:bottom w:val="nil"/>
              <w:right w:val="nil"/>
            </w:tcBorders>
            <w:shd w:val="clear" w:color="auto" w:fill="auto"/>
            <w:noWrap/>
            <w:vAlign w:val="center"/>
            <w:hideMark/>
          </w:tcPr>
          <w:p w14:paraId="6F593705" w14:textId="77777777" w:rsidR="001177B1" w:rsidRPr="001177B1" w:rsidRDefault="001177B1" w:rsidP="001177B1">
            <w:pPr>
              <w:spacing w:after="0" w:line="240" w:lineRule="auto"/>
              <w:rPr>
                <w:rFonts w:ascii="Times New Roman" w:eastAsia="Times New Roman" w:hAnsi="Times New Roman" w:cs="Times New Roman"/>
                <w:iCs/>
                <w:color w:val="000000"/>
                <w:sz w:val="18"/>
                <w:szCs w:val="18"/>
                <w:lang w:eastAsia="sk-SK"/>
              </w:rPr>
            </w:pPr>
          </w:p>
        </w:tc>
        <w:tc>
          <w:tcPr>
            <w:tcW w:w="856" w:type="pct"/>
            <w:tcBorders>
              <w:top w:val="nil"/>
              <w:left w:val="nil"/>
              <w:bottom w:val="nil"/>
              <w:right w:val="nil"/>
            </w:tcBorders>
            <w:shd w:val="clear" w:color="auto" w:fill="auto"/>
            <w:noWrap/>
            <w:vAlign w:val="center"/>
            <w:hideMark/>
          </w:tcPr>
          <w:p w14:paraId="4CA0A2BE" w14:textId="77777777" w:rsidR="001177B1" w:rsidRPr="001177B1" w:rsidRDefault="001177B1" w:rsidP="001177B1">
            <w:pPr>
              <w:spacing w:after="0" w:line="240" w:lineRule="auto"/>
              <w:jc w:val="right"/>
              <w:rPr>
                <w:rFonts w:ascii="Times New Roman" w:eastAsia="Times New Roman" w:hAnsi="Times New Roman" w:cs="Times New Roman"/>
                <w:iCs/>
                <w:color w:val="000000"/>
                <w:sz w:val="18"/>
                <w:szCs w:val="18"/>
                <w:lang w:eastAsia="sk-SK"/>
              </w:rPr>
            </w:pPr>
            <w:r w:rsidRPr="001177B1">
              <w:rPr>
                <w:rFonts w:ascii="Times New Roman" w:eastAsia="Times New Roman" w:hAnsi="Times New Roman" w:cs="Times New Roman"/>
                <w:iCs/>
                <w:color w:val="000000"/>
                <w:sz w:val="18"/>
                <w:szCs w:val="18"/>
                <w:lang w:eastAsia="sk-SK"/>
              </w:rPr>
              <w:t>20</w:t>
            </w:r>
          </w:p>
        </w:tc>
        <w:tc>
          <w:tcPr>
            <w:tcW w:w="625" w:type="pct"/>
            <w:tcBorders>
              <w:top w:val="nil"/>
              <w:left w:val="nil"/>
              <w:bottom w:val="nil"/>
              <w:right w:val="nil"/>
            </w:tcBorders>
            <w:shd w:val="clear" w:color="auto" w:fill="auto"/>
            <w:noWrap/>
            <w:vAlign w:val="center"/>
            <w:hideMark/>
          </w:tcPr>
          <w:p w14:paraId="49902A77" w14:textId="77777777" w:rsidR="001177B1" w:rsidRPr="001177B1" w:rsidRDefault="001177B1" w:rsidP="001177B1">
            <w:pPr>
              <w:spacing w:after="0" w:line="240" w:lineRule="auto"/>
              <w:jc w:val="right"/>
              <w:rPr>
                <w:rFonts w:ascii="Times New Roman" w:eastAsia="Times New Roman" w:hAnsi="Times New Roman" w:cs="Times New Roman"/>
                <w:iCs/>
                <w:color w:val="000000"/>
                <w:sz w:val="18"/>
                <w:szCs w:val="18"/>
                <w:lang w:eastAsia="sk-SK"/>
              </w:rPr>
            </w:pPr>
            <w:r w:rsidRPr="001177B1">
              <w:rPr>
                <w:rFonts w:ascii="Times New Roman" w:eastAsia="Times New Roman" w:hAnsi="Times New Roman" w:cs="Times New Roman"/>
                <w:iCs/>
                <w:color w:val="000000"/>
                <w:sz w:val="18"/>
                <w:szCs w:val="18"/>
                <w:lang w:eastAsia="sk-SK"/>
              </w:rPr>
              <w:t>20</w:t>
            </w:r>
          </w:p>
        </w:tc>
        <w:tc>
          <w:tcPr>
            <w:tcW w:w="625" w:type="pct"/>
            <w:tcBorders>
              <w:top w:val="nil"/>
              <w:left w:val="nil"/>
              <w:bottom w:val="nil"/>
              <w:right w:val="nil"/>
            </w:tcBorders>
            <w:shd w:val="clear" w:color="auto" w:fill="auto"/>
            <w:noWrap/>
            <w:vAlign w:val="center"/>
            <w:hideMark/>
          </w:tcPr>
          <w:p w14:paraId="3AB9F019" w14:textId="77777777" w:rsidR="001177B1" w:rsidRPr="001177B1" w:rsidRDefault="001177B1" w:rsidP="001177B1">
            <w:pPr>
              <w:spacing w:after="0" w:line="240" w:lineRule="auto"/>
              <w:jc w:val="right"/>
              <w:rPr>
                <w:rFonts w:ascii="Times New Roman" w:eastAsia="Times New Roman" w:hAnsi="Times New Roman" w:cs="Times New Roman"/>
                <w:iCs/>
                <w:color w:val="000000"/>
                <w:sz w:val="18"/>
                <w:szCs w:val="18"/>
                <w:lang w:eastAsia="sk-SK"/>
              </w:rPr>
            </w:pPr>
            <w:r w:rsidRPr="001177B1">
              <w:rPr>
                <w:rFonts w:ascii="Times New Roman" w:eastAsia="Times New Roman" w:hAnsi="Times New Roman" w:cs="Times New Roman"/>
                <w:iCs/>
                <w:color w:val="000000"/>
                <w:sz w:val="18"/>
                <w:szCs w:val="18"/>
                <w:lang w:eastAsia="sk-SK"/>
              </w:rPr>
              <w:t>0</w:t>
            </w:r>
          </w:p>
        </w:tc>
      </w:tr>
      <w:tr w:rsidR="001177B1" w:rsidRPr="001177B1" w14:paraId="27C9B9E2" w14:textId="77777777" w:rsidTr="001177B1">
        <w:trPr>
          <w:trHeight w:val="255"/>
          <w:jc w:val="center"/>
        </w:trPr>
        <w:tc>
          <w:tcPr>
            <w:tcW w:w="2273" w:type="pct"/>
            <w:tcBorders>
              <w:top w:val="nil"/>
              <w:left w:val="nil"/>
              <w:bottom w:val="nil"/>
              <w:right w:val="nil"/>
            </w:tcBorders>
            <w:shd w:val="clear" w:color="auto" w:fill="auto"/>
            <w:noWrap/>
            <w:vAlign w:val="center"/>
            <w:hideMark/>
          </w:tcPr>
          <w:p w14:paraId="55A7BD6D" w14:textId="77777777" w:rsidR="001177B1" w:rsidRPr="001177B1" w:rsidRDefault="001177B1" w:rsidP="001177B1">
            <w:pPr>
              <w:spacing w:after="0" w:line="240" w:lineRule="auto"/>
              <w:rPr>
                <w:rFonts w:ascii="Times New Roman" w:eastAsia="Times New Roman" w:hAnsi="Times New Roman" w:cs="Times New Roman"/>
                <w:iCs/>
                <w:color w:val="000000"/>
                <w:sz w:val="18"/>
                <w:szCs w:val="18"/>
                <w:lang w:eastAsia="sk-SK"/>
              </w:rPr>
            </w:pPr>
            <w:r w:rsidRPr="001177B1">
              <w:rPr>
                <w:rFonts w:ascii="Times New Roman" w:eastAsia="Times New Roman" w:hAnsi="Times New Roman" w:cs="Times New Roman"/>
                <w:iCs/>
                <w:color w:val="000000"/>
                <w:sz w:val="18"/>
                <w:szCs w:val="18"/>
                <w:lang w:eastAsia="sk-SK"/>
              </w:rPr>
              <w:t>Železnice SR</w:t>
            </w:r>
          </w:p>
        </w:tc>
        <w:tc>
          <w:tcPr>
            <w:tcW w:w="621" w:type="pct"/>
            <w:tcBorders>
              <w:top w:val="nil"/>
              <w:left w:val="nil"/>
              <w:bottom w:val="nil"/>
              <w:right w:val="nil"/>
            </w:tcBorders>
            <w:shd w:val="clear" w:color="auto" w:fill="auto"/>
            <w:noWrap/>
            <w:vAlign w:val="center"/>
            <w:hideMark/>
          </w:tcPr>
          <w:p w14:paraId="1F1AEE51" w14:textId="77777777" w:rsidR="001177B1" w:rsidRPr="001177B1" w:rsidRDefault="001177B1" w:rsidP="001177B1">
            <w:pPr>
              <w:spacing w:after="0" w:line="240" w:lineRule="auto"/>
              <w:rPr>
                <w:rFonts w:ascii="Times New Roman" w:eastAsia="Times New Roman" w:hAnsi="Times New Roman" w:cs="Times New Roman"/>
                <w:iCs/>
                <w:color w:val="000000"/>
                <w:sz w:val="18"/>
                <w:szCs w:val="18"/>
                <w:lang w:eastAsia="sk-SK"/>
              </w:rPr>
            </w:pPr>
          </w:p>
        </w:tc>
        <w:tc>
          <w:tcPr>
            <w:tcW w:w="856" w:type="pct"/>
            <w:tcBorders>
              <w:top w:val="nil"/>
              <w:left w:val="nil"/>
              <w:bottom w:val="nil"/>
              <w:right w:val="nil"/>
            </w:tcBorders>
            <w:shd w:val="clear" w:color="auto" w:fill="auto"/>
            <w:noWrap/>
            <w:vAlign w:val="center"/>
            <w:hideMark/>
          </w:tcPr>
          <w:p w14:paraId="67356C98" w14:textId="77777777" w:rsidR="001177B1" w:rsidRPr="001177B1" w:rsidRDefault="001177B1" w:rsidP="001177B1">
            <w:pPr>
              <w:spacing w:after="0" w:line="240" w:lineRule="auto"/>
              <w:jc w:val="right"/>
              <w:rPr>
                <w:rFonts w:ascii="Times New Roman" w:eastAsia="Times New Roman" w:hAnsi="Times New Roman" w:cs="Times New Roman"/>
                <w:iCs/>
                <w:color w:val="000000"/>
                <w:sz w:val="18"/>
                <w:szCs w:val="18"/>
                <w:lang w:eastAsia="sk-SK"/>
              </w:rPr>
            </w:pPr>
            <w:r w:rsidRPr="001177B1">
              <w:rPr>
                <w:rFonts w:ascii="Times New Roman" w:eastAsia="Times New Roman" w:hAnsi="Times New Roman" w:cs="Times New Roman"/>
                <w:iCs/>
                <w:color w:val="000000"/>
                <w:sz w:val="18"/>
                <w:szCs w:val="18"/>
                <w:lang w:eastAsia="sk-SK"/>
              </w:rPr>
              <w:t>90</w:t>
            </w:r>
          </w:p>
        </w:tc>
        <w:tc>
          <w:tcPr>
            <w:tcW w:w="625" w:type="pct"/>
            <w:tcBorders>
              <w:top w:val="nil"/>
              <w:left w:val="nil"/>
              <w:bottom w:val="nil"/>
              <w:right w:val="nil"/>
            </w:tcBorders>
            <w:shd w:val="clear" w:color="auto" w:fill="auto"/>
            <w:noWrap/>
            <w:vAlign w:val="center"/>
            <w:hideMark/>
          </w:tcPr>
          <w:p w14:paraId="0793F4E4" w14:textId="77777777" w:rsidR="001177B1" w:rsidRPr="001177B1" w:rsidRDefault="001177B1" w:rsidP="001177B1">
            <w:pPr>
              <w:spacing w:after="0" w:line="240" w:lineRule="auto"/>
              <w:jc w:val="right"/>
              <w:rPr>
                <w:rFonts w:ascii="Times New Roman" w:eastAsia="Times New Roman" w:hAnsi="Times New Roman" w:cs="Times New Roman"/>
                <w:iCs/>
                <w:color w:val="000000"/>
                <w:sz w:val="18"/>
                <w:szCs w:val="18"/>
                <w:lang w:eastAsia="sk-SK"/>
              </w:rPr>
            </w:pPr>
            <w:r w:rsidRPr="001177B1">
              <w:rPr>
                <w:rFonts w:ascii="Times New Roman" w:eastAsia="Times New Roman" w:hAnsi="Times New Roman" w:cs="Times New Roman"/>
                <w:iCs/>
                <w:color w:val="000000"/>
                <w:sz w:val="18"/>
                <w:szCs w:val="18"/>
                <w:lang w:eastAsia="sk-SK"/>
              </w:rPr>
              <w:t>12</w:t>
            </w:r>
          </w:p>
        </w:tc>
        <w:tc>
          <w:tcPr>
            <w:tcW w:w="625" w:type="pct"/>
            <w:tcBorders>
              <w:top w:val="nil"/>
              <w:left w:val="nil"/>
              <w:bottom w:val="nil"/>
              <w:right w:val="nil"/>
            </w:tcBorders>
            <w:shd w:val="clear" w:color="auto" w:fill="auto"/>
            <w:noWrap/>
            <w:vAlign w:val="center"/>
            <w:hideMark/>
          </w:tcPr>
          <w:p w14:paraId="522670FF" w14:textId="77777777" w:rsidR="001177B1" w:rsidRPr="001177B1" w:rsidRDefault="001177B1" w:rsidP="001177B1">
            <w:pPr>
              <w:spacing w:after="0" w:line="240" w:lineRule="auto"/>
              <w:jc w:val="right"/>
              <w:rPr>
                <w:rFonts w:ascii="Times New Roman" w:eastAsia="Times New Roman" w:hAnsi="Times New Roman" w:cs="Times New Roman"/>
                <w:iCs/>
                <w:color w:val="000000"/>
                <w:sz w:val="18"/>
                <w:szCs w:val="18"/>
                <w:lang w:eastAsia="sk-SK"/>
              </w:rPr>
            </w:pPr>
            <w:r w:rsidRPr="001177B1">
              <w:rPr>
                <w:rFonts w:ascii="Times New Roman" w:eastAsia="Times New Roman" w:hAnsi="Times New Roman" w:cs="Times New Roman"/>
                <w:iCs/>
                <w:color w:val="000000"/>
                <w:sz w:val="18"/>
                <w:szCs w:val="18"/>
                <w:lang w:eastAsia="sk-SK"/>
              </w:rPr>
              <w:t>78</w:t>
            </w:r>
          </w:p>
        </w:tc>
      </w:tr>
      <w:tr w:rsidR="001177B1" w:rsidRPr="001177B1" w14:paraId="0266B498" w14:textId="77777777" w:rsidTr="001177B1">
        <w:trPr>
          <w:trHeight w:val="255"/>
          <w:jc w:val="center"/>
        </w:trPr>
        <w:tc>
          <w:tcPr>
            <w:tcW w:w="2273" w:type="pct"/>
            <w:tcBorders>
              <w:top w:val="nil"/>
              <w:left w:val="nil"/>
              <w:bottom w:val="single" w:sz="4" w:space="0" w:color="auto"/>
              <w:right w:val="nil"/>
            </w:tcBorders>
            <w:shd w:val="clear" w:color="auto" w:fill="auto"/>
            <w:noWrap/>
            <w:vAlign w:val="center"/>
            <w:hideMark/>
          </w:tcPr>
          <w:p w14:paraId="00ECE561" w14:textId="77777777" w:rsidR="001177B1" w:rsidRPr="001177B1" w:rsidRDefault="001177B1" w:rsidP="001177B1">
            <w:pPr>
              <w:spacing w:after="0" w:line="240" w:lineRule="auto"/>
              <w:rPr>
                <w:rFonts w:ascii="Times New Roman" w:eastAsia="Times New Roman" w:hAnsi="Times New Roman" w:cs="Times New Roman"/>
                <w:iCs/>
                <w:color w:val="000000"/>
                <w:sz w:val="18"/>
                <w:szCs w:val="18"/>
                <w:lang w:eastAsia="sk-SK"/>
              </w:rPr>
            </w:pPr>
            <w:r w:rsidRPr="001177B1">
              <w:rPr>
                <w:rFonts w:ascii="Times New Roman" w:eastAsia="Times New Roman" w:hAnsi="Times New Roman" w:cs="Times New Roman"/>
                <w:iCs/>
                <w:color w:val="000000"/>
                <w:sz w:val="18"/>
                <w:szCs w:val="18"/>
                <w:lang w:eastAsia="sk-SK"/>
              </w:rPr>
              <w:t>Železničná spoločnosť Slovensko</w:t>
            </w:r>
          </w:p>
        </w:tc>
        <w:tc>
          <w:tcPr>
            <w:tcW w:w="621" w:type="pct"/>
            <w:tcBorders>
              <w:top w:val="nil"/>
              <w:left w:val="nil"/>
              <w:bottom w:val="single" w:sz="4" w:space="0" w:color="auto"/>
              <w:right w:val="nil"/>
            </w:tcBorders>
            <w:shd w:val="clear" w:color="auto" w:fill="auto"/>
            <w:noWrap/>
            <w:vAlign w:val="center"/>
            <w:hideMark/>
          </w:tcPr>
          <w:p w14:paraId="1B285849" w14:textId="77777777" w:rsidR="001177B1" w:rsidRPr="001177B1" w:rsidRDefault="001177B1" w:rsidP="001177B1">
            <w:pPr>
              <w:spacing w:after="0" w:line="240" w:lineRule="auto"/>
              <w:rPr>
                <w:rFonts w:ascii="Times New Roman" w:eastAsia="Times New Roman" w:hAnsi="Times New Roman" w:cs="Times New Roman"/>
                <w:iCs/>
                <w:color w:val="000000"/>
                <w:sz w:val="18"/>
                <w:szCs w:val="18"/>
                <w:lang w:eastAsia="sk-SK"/>
              </w:rPr>
            </w:pPr>
            <w:r w:rsidRPr="001177B1">
              <w:rPr>
                <w:rFonts w:ascii="Times New Roman" w:eastAsia="Times New Roman" w:hAnsi="Times New Roman" w:cs="Times New Roman"/>
                <w:iCs/>
                <w:color w:val="000000"/>
                <w:sz w:val="18"/>
                <w:szCs w:val="18"/>
                <w:lang w:eastAsia="sk-SK"/>
              </w:rPr>
              <w:t> </w:t>
            </w:r>
          </w:p>
        </w:tc>
        <w:tc>
          <w:tcPr>
            <w:tcW w:w="856" w:type="pct"/>
            <w:tcBorders>
              <w:top w:val="nil"/>
              <w:left w:val="nil"/>
              <w:bottom w:val="nil"/>
              <w:right w:val="nil"/>
            </w:tcBorders>
            <w:shd w:val="clear" w:color="auto" w:fill="auto"/>
            <w:noWrap/>
            <w:vAlign w:val="center"/>
            <w:hideMark/>
          </w:tcPr>
          <w:p w14:paraId="75CFBC23" w14:textId="77777777" w:rsidR="001177B1" w:rsidRPr="001177B1" w:rsidRDefault="001177B1" w:rsidP="001177B1">
            <w:pPr>
              <w:spacing w:after="0" w:line="240" w:lineRule="auto"/>
              <w:jc w:val="right"/>
              <w:rPr>
                <w:rFonts w:ascii="Times New Roman" w:eastAsia="Times New Roman" w:hAnsi="Times New Roman" w:cs="Times New Roman"/>
                <w:iCs/>
                <w:color w:val="000000"/>
                <w:sz w:val="18"/>
                <w:szCs w:val="18"/>
                <w:lang w:eastAsia="sk-SK"/>
              </w:rPr>
            </w:pPr>
            <w:r w:rsidRPr="001177B1">
              <w:rPr>
                <w:rFonts w:ascii="Times New Roman" w:eastAsia="Times New Roman" w:hAnsi="Times New Roman" w:cs="Times New Roman"/>
                <w:iCs/>
                <w:color w:val="000000"/>
                <w:sz w:val="18"/>
                <w:szCs w:val="18"/>
                <w:lang w:eastAsia="sk-SK"/>
              </w:rPr>
              <w:t>50</w:t>
            </w:r>
          </w:p>
        </w:tc>
        <w:tc>
          <w:tcPr>
            <w:tcW w:w="625" w:type="pct"/>
            <w:tcBorders>
              <w:top w:val="nil"/>
              <w:left w:val="nil"/>
              <w:bottom w:val="nil"/>
              <w:right w:val="nil"/>
            </w:tcBorders>
            <w:shd w:val="clear" w:color="auto" w:fill="auto"/>
            <w:noWrap/>
            <w:vAlign w:val="center"/>
            <w:hideMark/>
          </w:tcPr>
          <w:p w14:paraId="3D718B54" w14:textId="77777777" w:rsidR="001177B1" w:rsidRPr="001177B1" w:rsidRDefault="001177B1" w:rsidP="001177B1">
            <w:pPr>
              <w:spacing w:after="0" w:line="240" w:lineRule="auto"/>
              <w:jc w:val="right"/>
              <w:rPr>
                <w:rFonts w:ascii="Times New Roman" w:eastAsia="Times New Roman" w:hAnsi="Times New Roman" w:cs="Times New Roman"/>
                <w:iCs/>
                <w:color w:val="000000"/>
                <w:sz w:val="18"/>
                <w:szCs w:val="18"/>
                <w:lang w:eastAsia="sk-SK"/>
              </w:rPr>
            </w:pPr>
            <w:r w:rsidRPr="001177B1">
              <w:rPr>
                <w:rFonts w:ascii="Times New Roman" w:eastAsia="Times New Roman" w:hAnsi="Times New Roman" w:cs="Times New Roman"/>
                <w:iCs/>
                <w:color w:val="000000"/>
                <w:sz w:val="18"/>
                <w:szCs w:val="18"/>
                <w:lang w:eastAsia="sk-SK"/>
              </w:rPr>
              <w:t>20</w:t>
            </w:r>
          </w:p>
        </w:tc>
        <w:tc>
          <w:tcPr>
            <w:tcW w:w="625" w:type="pct"/>
            <w:tcBorders>
              <w:top w:val="nil"/>
              <w:left w:val="nil"/>
              <w:bottom w:val="nil"/>
              <w:right w:val="nil"/>
            </w:tcBorders>
            <w:shd w:val="clear" w:color="auto" w:fill="auto"/>
            <w:noWrap/>
            <w:vAlign w:val="center"/>
            <w:hideMark/>
          </w:tcPr>
          <w:p w14:paraId="47FAFA72" w14:textId="77777777" w:rsidR="001177B1" w:rsidRPr="001177B1" w:rsidRDefault="001177B1" w:rsidP="001177B1">
            <w:pPr>
              <w:spacing w:after="0" w:line="240" w:lineRule="auto"/>
              <w:jc w:val="right"/>
              <w:rPr>
                <w:rFonts w:ascii="Times New Roman" w:eastAsia="Times New Roman" w:hAnsi="Times New Roman" w:cs="Times New Roman"/>
                <w:iCs/>
                <w:color w:val="000000"/>
                <w:sz w:val="18"/>
                <w:szCs w:val="18"/>
                <w:lang w:eastAsia="sk-SK"/>
              </w:rPr>
            </w:pPr>
            <w:r w:rsidRPr="001177B1">
              <w:rPr>
                <w:rFonts w:ascii="Times New Roman" w:eastAsia="Times New Roman" w:hAnsi="Times New Roman" w:cs="Times New Roman"/>
                <w:iCs/>
                <w:color w:val="000000"/>
                <w:sz w:val="18"/>
                <w:szCs w:val="18"/>
                <w:lang w:eastAsia="sk-SK"/>
              </w:rPr>
              <w:t>30</w:t>
            </w:r>
          </w:p>
        </w:tc>
      </w:tr>
      <w:tr w:rsidR="001177B1" w:rsidRPr="001177B1" w14:paraId="4B770BBD" w14:textId="77777777" w:rsidTr="001177B1">
        <w:trPr>
          <w:trHeight w:val="255"/>
          <w:jc w:val="center"/>
        </w:trPr>
        <w:tc>
          <w:tcPr>
            <w:tcW w:w="2273" w:type="pct"/>
            <w:tcBorders>
              <w:top w:val="single" w:sz="4" w:space="0" w:color="auto"/>
              <w:left w:val="nil"/>
              <w:bottom w:val="single" w:sz="4" w:space="0" w:color="auto"/>
              <w:right w:val="nil"/>
            </w:tcBorders>
            <w:shd w:val="clear" w:color="auto" w:fill="auto"/>
            <w:noWrap/>
            <w:vAlign w:val="center"/>
            <w:hideMark/>
          </w:tcPr>
          <w:p w14:paraId="392AE224" w14:textId="77777777" w:rsidR="001177B1" w:rsidRPr="001177B1" w:rsidRDefault="001177B1" w:rsidP="001177B1">
            <w:pPr>
              <w:spacing w:after="0" w:line="240" w:lineRule="auto"/>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Ministerstvo zdravotníctva SR</w:t>
            </w:r>
          </w:p>
        </w:tc>
        <w:tc>
          <w:tcPr>
            <w:tcW w:w="621" w:type="pct"/>
            <w:tcBorders>
              <w:top w:val="single" w:sz="4" w:space="0" w:color="auto"/>
              <w:left w:val="nil"/>
              <w:bottom w:val="single" w:sz="4" w:space="0" w:color="auto"/>
              <w:right w:val="nil"/>
            </w:tcBorders>
            <w:shd w:val="clear" w:color="auto" w:fill="auto"/>
            <w:noWrap/>
            <w:vAlign w:val="center"/>
            <w:hideMark/>
          </w:tcPr>
          <w:p w14:paraId="3D325E64" w14:textId="77777777" w:rsidR="001177B1" w:rsidRPr="001177B1" w:rsidRDefault="001177B1" w:rsidP="001177B1">
            <w:pPr>
              <w:spacing w:after="0" w:line="240" w:lineRule="auto"/>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 </w:t>
            </w:r>
          </w:p>
        </w:tc>
        <w:tc>
          <w:tcPr>
            <w:tcW w:w="856" w:type="pct"/>
            <w:tcBorders>
              <w:top w:val="single" w:sz="4" w:space="0" w:color="auto"/>
              <w:left w:val="nil"/>
              <w:bottom w:val="single" w:sz="4" w:space="0" w:color="auto"/>
              <w:right w:val="nil"/>
            </w:tcBorders>
            <w:shd w:val="clear" w:color="auto" w:fill="auto"/>
            <w:noWrap/>
            <w:vAlign w:val="center"/>
            <w:hideMark/>
          </w:tcPr>
          <w:p w14:paraId="505BEE9B"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80</w:t>
            </w:r>
          </w:p>
        </w:tc>
        <w:tc>
          <w:tcPr>
            <w:tcW w:w="625" w:type="pct"/>
            <w:tcBorders>
              <w:top w:val="single" w:sz="4" w:space="0" w:color="auto"/>
              <w:left w:val="nil"/>
              <w:bottom w:val="single" w:sz="4" w:space="0" w:color="auto"/>
              <w:right w:val="nil"/>
            </w:tcBorders>
            <w:shd w:val="clear" w:color="auto" w:fill="auto"/>
            <w:noWrap/>
            <w:vAlign w:val="center"/>
            <w:hideMark/>
          </w:tcPr>
          <w:p w14:paraId="71DD86B3"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3</w:t>
            </w:r>
          </w:p>
        </w:tc>
        <w:tc>
          <w:tcPr>
            <w:tcW w:w="625" w:type="pct"/>
            <w:tcBorders>
              <w:top w:val="single" w:sz="4" w:space="0" w:color="auto"/>
              <w:left w:val="nil"/>
              <w:bottom w:val="single" w:sz="4" w:space="0" w:color="auto"/>
              <w:right w:val="nil"/>
            </w:tcBorders>
            <w:shd w:val="clear" w:color="auto" w:fill="auto"/>
            <w:noWrap/>
            <w:vAlign w:val="center"/>
            <w:hideMark/>
          </w:tcPr>
          <w:p w14:paraId="5A856B6D"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77</w:t>
            </w:r>
          </w:p>
        </w:tc>
      </w:tr>
      <w:tr w:rsidR="001177B1" w:rsidRPr="001177B1" w14:paraId="3AB7DEDA" w14:textId="77777777" w:rsidTr="001177B1">
        <w:trPr>
          <w:trHeight w:val="255"/>
          <w:jc w:val="center"/>
        </w:trPr>
        <w:tc>
          <w:tcPr>
            <w:tcW w:w="3750" w:type="pct"/>
            <w:gridSpan w:val="3"/>
            <w:tcBorders>
              <w:top w:val="single" w:sz="4" w:space="0" w:color="auto"/>
              <w:left w:val="nil"/>
              <w:bottom w:val="single" w:sz="4" w:space="0" w:color="auto"/>
              <w:right w:val="nil"/>
            </w:tcBorders>
            <w:shd w:val="clear" w:color="auto" w:fill="auto"/>
            <w:noWrap/>
            <w:vAlign w:val="center"/>
            <w:hideMark/>
          </w:tcPr>
          <w:p w14:paraId="310A3504" w14:textId="77777777" w:rsidR="001177B1" w:rsidRPr="001177B1" w:rsidRDefault="001177B1" w:rsidP="001177B1">
            <w:pPr>
              <w:spacing w:after="0" w:line="240" w:lineRule="auto"/>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Ministerstvo školstva, vedy, výskumu a športu SR</w:t>
            </w:r>
          </w:p>
        </w:tc>
        <w:tc>
          <w:tcPr>
            <w:tcW w:w="625" w:type="pct"/>
            <w:tcBorders>
              <w:top w:val="nil"/>
              <w:left w:val="nil"/>
              <w:bottom w:val="single" w:sz="4" w:space="0" w:color="auto"/>
              <w:right w:val="nil"/>
            </w:tcBorders>
            <w:shd w:val="clear" w:color="auto" w:fill="auto"/>
            <w:noWrap/>
            <w:vAlign w:val="center"/>
            <w:hideMark/>
          </w:tcPr>
          <w:p w14:paraId="6FA0AEBF"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146</w:t>
            </w:r>
          </w:p>
        </w:tc>
        <w:tc>
          <w:tcPr>
            <w:tcW w:w="625" w:type="pct"/>
            <w:tcBorders>
              <w:top w:val="nil"/>
              <w:left w:val="nil"/>
              <w:bottom w:val="single" w:sz="4" w:space="0" w:color="auto"/>
              <w:right w:val="nil"/>
            </w:tcBorders>
            <w:shd w:val="clear" w:color="auto" w:fill="auto"/>
            <w:noWrap/>
            <w:vAlign w:val="center"/>
            <w:hideMark/>
          </w:tcPr>
          <w:p w14:paraId="025CBC7E"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-146</w:t>
            </w:r>
          </w:p>
        </w:tc>
      </w:tr>
      <w:tr w:rsidR="001177B1" w:rsidRPr="001177B1" w14:paraId="655648D5" w14:textId="77777777" w:rsidTr="001177B1">
        <w:trPr>
          <w:trHeight w:val="255"/>
          <w:jc w:val="center"/>
        </w:trPr>
        <w:tc>
          <w:tcPr>
            <w:tcW w:w="2273" w:type="pct"/>
            <w:tcBorders>
              <w:top w:val="nil"/>
              <w:left w:val="nil"/>
              <w:bottom w:val="single" w:sz="4" w:space="0" w:color="auto"/>
              <w:right w:val="nil"/>
            </w:tcBorders>
            <w:shd w:val="clear" w:color="auto" w:fill="auto"/>
            <w:noWrap/>
            <w:vAlign w:val="center"/>
            <w:hideMark/>
          </w:tcPr>
          <w:p w14:paraId="3AED2A10" w14:textId="77777777" w:rsidR="001177B1" w:rsidRPr="001177B1" w:rsidRDefault="001177B1" w:rsidP="001177B1">
            <w:pPr>
              <w:spacing w:after="0" w:line="240" w:lineRule="auto"/>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Ministerstvo vnútra SR</w:t>
            </w:r>
          </w:p>
        </w:tc>
        <w:tc>
          <w:tcPr>
            <w:tcW w:w="621" w:type="pct"/>
            <w:tcBorders>
              <w:top w:val="nil"/>
              <w:left w:val="nil"/>
              <w:bottom w:val="single" w:sz="4" w:space="0" w:color="auto"/>
              <w:right w:val="nil"/>
            </w:tcBorders>
            <w:shd w:val="clear" w:color="auto" w:fill="auto"/>
            <w:noWrap/>
            <w:vAlign w:val="center"/>
            <w:hideMark/>
          </w:tcPr>
          <w:p w14:paraId="377382A0" w14:textId="77777777" w:rsidR="001177B1" w:rsidRPr="001177B1" w:rsidRDefault="001177B1" w:rsidP="001177B1">
            <w:pPr>
              <w:spacing w:after="0" w:line="240" w:lineRule="auto"/>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 </w:t>
            </w:r>
          </w:p>
        </w:tc>
        <w:tc>
          <w:tcPr>
            <w:tcW w:w="856" w:type="pct"/>
            <w:tcBorders>
              <w:top w:val="nil"/>
              <w:left w:val="nil"/>
              <w:bottom w:val="single" w:sz="4" w:space="0" w:color="auto"/>
              <w:right w:val="nil"/>
            </w:tcBorders>
            <w:shd w:val="clear" w:color="auto" w:fill="auto"/>
            <w:noWrap/>
            <w:vAlign w:val="center"/>
            <w:hideMark/>
          </w:tcPr>
          <w:p w14:paraId="656713A8" w14:textId="77777777" w:rsidR="001177B1" w:rsidRPr="001177B1" w:rsidRDefault="001177B1" w:rsidP="001177B1">
            <w:pPr>
              <w:spacing w:after="0" w:line="240" w:lineRule="auto"/>
              <w:rPr>
                <w:rFonts w:ascii="Times New Roman" w:eastAsia="Times New Roman" w:hAnsi="Times New Roman" w:cs="Times New Roman"/>
                <w:b/>
                <w:bCs/>
                <w:sz w:val="18"/>
                <w:szCs w:val="18"/>
                <w:lang w:eastAsia="sk-SK"/>
              </w:rPr>
            </w:pPr>
            <w:r w:rsidRPr="001177B1">
              <w:rPr>
                <w:rFonts w:ascii="Times New Roman" w:eastAsia="Times New Roman" w:hAnsi="Times New Roman" w:cs="Times New Roman"/>
                <w:b/>
                <w:bCs/>
                <w:sz w:val="18"/>
                <w:szCs w:val="18"/>
                <w:lang w:eastAsia="sk-SK"/>
              </w:rPr>
              <w:t> </w:t>
            </w:r>
          </w:p>
        </w:tc>
        <w:tc>
          <w:tcPr>
            <w:tcW w:w="625" w:type="pct"/>
            <w:tcBorders>
              <w:top w:val="nil"/>
              <w:left w:val="nil"/>
              <w:bottom w:val="single" w:sz="4" w:space="0" w:color="auto"/>
              <w:right w:val="nil"/>
            </w:tcBorders>
            <w:shd w:val="clear" w:color="auto" w:fill="auto"/>
            <w:noWrap/>
            <w:vAlign w:val="center"/>
            <w:hideMark/>
          </w:tcPr>
          <w:p w14:paraId="3E6A0493"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39</w:t>
            </w:r>
          </w:p>
        </w:tc>
        <w:tc>
          <w:tcPr>
            <w:tcW w:w="625" w:type="pct"/>
            <w:tcBorders>
              <w:top w:val="nil"/>
              <w:left w:val="nil"/>
              <w:bottom w:val="single" w:sz="4" w:space="0" w:color="auto"/>
              <w:right w:val="nil"/>
            </w:tcBorders>
            <w:shd w:val="clear" w:color="auto" w:fill="auto"/>
            <w:noWrap/>
            <w:vAlign w:val="center"/>
            <w:hideMark/>
          </w:tcPr>
          <w:p w14:paraId="043E4E80"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-39</w:t>
            </w:r>
          </w:p>
        </w:tc>
      </w:tr>
      <w:tr w:rsidR="001177B1" w:rsidRPr="001177B1" w14:paraId="18D8826A" w14:textId="77777777" w:rsidTr="001177B1">
        <w:trPr>
          <w:trHeight w:val="255"/>
          <w:jc w:val="center"/>
        </w:trPr>
        <w:tc>
          <w:tcPr>
            <w:tcW w:w="2273" w:type="pct"/>
            <w:tcBorders>
              <w:top w:val="nil"/>
              <w:left w:val="nil"/>
              <w:bottom w:val="single" w:sz="4" w:space="0" w:color="auto"/>
              <w:right w:val="nil"/>
            </w:tcBorders>
            <w:shd w:val="clear" w:color="auto" w:fill="auto"/>
            <w:noWrap/>
            <w:vAlign w:val="center"/>
            <w:hideMark/>
          </w:tcPr>
          <w:p w14:paraId="3A350665" w14:textId="77777777" w:rsidR="001177B1" w:rsidRPr="001177B1" w:rsidRDefault="001177B1" w:rsidP="001177B1">
            <w:pPr>
              <w:spacing w:after="0" w:line="240" w:lineRule="auto"/>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Ministerstvo spravodlivosti SR</w:t>
            </w:r>
          </w:p>
        </w:tc>
        <w:tc>
          <w:tcPr>
            <w:tcW w:w="621" w:type="pct"/>
            <w:tcBorders>
              <w:top w:val="nil"/>
              <w:left w:val="nil"/>
              <w:bottom w:val="single" w:sz="4" w:space="0" w:color="auto"/>
              <w:right w:val="nil"/>
            </w:tcBorders>
            <w:shd w:val="clear" w:color="auto" w:fill="auto"/>
            <w:noWrap/>
            <w:vAlign w:val="center"/>
            <w:hideMark/>
          </w:tcPr>
          <w:p w14:paraId="1F432390" w14:textId="77777777" w:rsidR="001177B1" w:rsidRPr="001177B1" w:rsidRDefault="001177B1" w:rsidP="001177B1">
            <w:pPr>
              <w:spacing w:after="0" w:line="240" w:lineRule="auto"/>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 </w:t>
            </w:r>
          </w:p>
        </w:tc>
        <w:tc>
          <w:tcPr>
            <w:tcW w:w="856" w:type="pct"/>
            <w:tcBorders>
              <w:top w:val="nil"/>
              <w:left w:val="nil"/>
              <w:bottom w:val="single" w:sz="4" w:space="0" w:color="auto"/>
              <w:right w:val="nil"/>
            </w:tcBorders>
            <w:shd w:val="clear" w:color="auto" w:fill="auto"/>
            <w:noWrap/>
            <w:vAlign w:val="center"/>
            <w:hideMark/>
          </w:tcPr>
          <w:p w14:paraId="6DB8211A" w14:textId="77777777" w:rsidR="001177B1" w:rsidRPr="001177B1" w:rsidRDefault="001177B1" w:rsidP="001177B1">
            <w:pPr>
              <w:spacing w:after="0" w:line="240" w:lineRule="auto"/>
              <w:rPr>
                <w:rFonts w:ascii="Times New Roman" w:eastAsia="Times New Roman" w:hAnsi="Times New Roman" w:cs="Times New Roman"/>
                <w:b/>
                <w:bCs/>
                <w:sz w:val="18"/>
                <w:szCs w:val="18"/>
                <w:lang w:eastAsia="sk-SK"/>
              </w:rPr>
            </w:pPr>
            <w:r w:rsidRPr="001177B1">
              <w:rPr>
                <w:rFonts w:ascii="Times New Roman" w:eastAsia="Times New Roman" w:hAnsi="Times New Roman" w:cs="Times New Roman"/>
                <w:b/>
                <w:bCs/>
                <w:sz w:val="18"/>
                <w:szCs w:val="18"/>
                <w:lang w:eastAsia="sk-SK"/>
              </w:rPr>
              <w:t> </w:t>
            </w:r>
          </w:p>
        </w:tc>
        <w:tc>
          <w:tcPr>
            <w:tcW w:w="625" w:type="pct"/>
            <w:tcBorders>
              <w:top w:val="nil"/>
              <w:left w:val="nil"/>
              <w:bottom w:val="single" w:sz="4" w:space="0" w:color="auto"/>
              <w:right w:val="nil"/>
            </w:tcBorders>
            <w:shd w:val="clear" w:color="auto" w:fill="auto"/>
            <w:noWrap/>
            <w:vAlign w:val="center"/>
            <w:hideMark/>
          </w:tcPr>
          <w:p w14:paraId="4BDAE1D3"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17</w:t>
            </w:r>
          </w:p>
        </w:tc>
        <w:tc>
          <w:tcPr>
            <w:tcW w:w="625" w:type="pct"/>
            <w:tcBorders>
              <w:top w:val="nil"/>
              <w:left w:val="nil"/>
              <w:bottom w:val="single" w:sz="4" w:space="0" w:color="auto"/>
              <w:right w:val="nil"/>
            </w:tcBorders>
            <w:shd w:val="clear" w:color="auto" w:fill="auto"/>
            <w:noWrap/>
            <w:vAlign w:val="center"/>
            <w:hideMark/>
          </w:tcPr>
          <w:p w14:paraId="27162D67"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-17</w:t>
            </w:r>
          </w:p>
        </w:tc>
      </w:tr>
      <w:tr w:rsidR="001177B1" w:rsidRPr="001177B1" w14:paraId="2BAD3ECA" w14:textId="77777777" w:rsidTr="001177B1">
        <w:trPr>
          <w:trHeight w:val="255"/>
          <w:jc w:val="center"/>
        </w:trPr>
        <w:tc>
          <w:tcPr>
            <w:tcW w:w="2273" w:type="pct"/>
            <w:tcBorders>
              <w:top w:val="nil"/>
              <w:left w:val="nil"/>
              <w:bottom w:val="single" w:sz="4" w:space="0" w:color="auto"/>
              <w:right w:val="nil"/>
            </w:tcBorders>
            <w:shd w:val="clear" w:color="auto" w:fill="auto"/>
            <w:noWrap/>
            <w:vAlign w:val="center"/>
            <w:hideMark/>
          </w:tcPr>
          <w:p w14:paraId="450FE69D" w14:textId="77777777" w:rsidR="001177B1" w:rsidRPr="001177B1" w:rsidRDefault="001177B1" w:rsidP="001177B1">
            <w:pPr>
              <w:spacing w:after="0" w:line="240" w:lineRule="auto"/>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Ostatné kapitoly</w:t>
            </w:r>
          </w:p>
        </w:tc>
        <w:tc>
          <w:tcPr>
            <w:tcW w:w="621" w:type="pct"/>
            <w:tcBorders>
              <w:top w:val="nil"/>
              <w:left w:val="nil"/>
              <w:bottom w:val="single" w:sz="4" w:space="0" w:color="auto"/>
              <w:right w:val="nil"/>
            </w:tcBorders>
            <w:shd w:val="clear" w:color="auto" w:fill="auto"/>
            <w:noWrap/>
            <w:vAlign w:val="center"/>
            <w:hideMark/>
          </w:tcPr>
          <w:p w14:paraId="0E0EE12A" w14:textId="77777777" w:rsidR="001177B1" w:rsidRPr="001177B1" w:rsidRDefault="001177B1" w:rsidP="001177B1">
            <w:pPr>
              <w:spacing w:after="0" w:line="240" w:lineRule="auto"/>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 </w:t>
            </w:r>
          </w:p>
        </w:tc>
        <w:tc>
          <w:tcPr>
            <w:tcW w:w="856" w:type="pct"/>
            <w:tcBorders>
              <w:top w:val="nil"/>
              <w:left w:val="nil"/>
              <w:bottom w:val="single" w:sz="4" w:space="0" w:color="auto"/>
              <w:right w:val="nil"/>
            </w:tcBorders>
            <w:shd w:val="clear" w:color="auto" w:fill="auto"/>
            <w:noWrap/>
            <w:vAlign w:val="center"/>
            <w:hideMark/>
          </w:tcPr>
          <w:p w14:paraId="6BE0D0B6" w14:textId="77777777" w:rsidR="001177B1" w:rsidRPr="001177B1" w:rsidRDefault="001177B1" w:rsidP="001177B1">
            <w:pPr>
              <w:spacing w:after="0" w:line="240" w:lineRule="auto"/>
              <w:rPr>
                <w:rFonts w:ascii="Times New Roman" w:eastAsia="Times New Roman" w:hAnsi="Times New Roman" w:cs="Times New Roman"/>
                <w:b/>
                <w:bCs/>
                <w:sz w:val="18"/>
                <w:szCs w:val="18"/>
                <w:lang w:eastAsia="sk-SK"/>
              </w:rPr>
            </w:pPr>
            <w:r w:rsidRPr="001177B1">
              <w:rPr>
                <w:rFonts w:ascii="Times New Roman" w:eastAsia="Times New Roman" w:hAnsi="Times New Roman" w:cs="Times New Roman"/>
                <w:b/>
                <w:bCs/>
                <w:sz w:val="18"/>
                <w:szCs w:val="18"/>
                <w:lang w:eastAsia="sk-SK"/>
              </w:rPr>
              <w:t> </w:t>
            </w:r>
          </w:p>
        </w:tc>
        <w:tc>
          <w:tcPr>
            <w:tcW w:w="625" w:type="pct"/>
            <w:tcBorders>
              <w:top w:val="nil"/>
              <w:left w:val="nil"/>
              <w:bottom w:val="single" w:sz="4" w:space="0" w:color="auto"/>
              <w:right w:val="nil"/>
            </w:tcBorders>
            <w:shd w:val="clear" w:color="auto" w:fill="auto"/>
            <w:noWrap/>
            <w:vAlign w:val="center"/>
            <w:hideMark/>
          </w:tcPr>
          <w:p w14:paraId="2AB3C8C2"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17</w:t>
            </w:r>
          </w:p>
        </w:tc>
        <w:tc>
          <w:tcPr>
            <w:tcW w:w="625" w:type="pct"/>
            <w:tcBorders>
              <w:top w:val="nil"/>
              <w:left w:val="nil"/>
              <w:bottom w:val="single" w:sz="4" w:space="0" w:color="auto"/>
              <w:right w:val="nil"/>
            </w:tcBorders>
            <w:shd w:val="clear" w:color="auto" w:fill="auto"/>
            <w:noWrap/>
            <w:vAlign w:val="center"/>
            <w:hideMark/>
          </w:tcPr>
          <w:p w14:paraId="4E299105"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-17</w:t>
            </w:r>
          </w:p>
        </w:tc>
      </w:tr>
      <w:tr w:rsidR="001177B1" w:rsidRPr="001177B1" w14:paraId="52EC9E6F" w14:textId="77777777" w:rsidTr="001177B1">
        <w:trPr>
          <w:trHeight w:val="255"/>
          <w:jc w:val="center"/>
        </w:trPr>
        <w:tc>
          <w:tcPr>
            <w:tcW w:w="2273" w:type="pct"/>
            <w:tcBorders>
              <w:top w:val="nil"/>
              <w:left w:val="nil"/>
              <w:bottom w:val="single" w:sz="4" w:space="0" w:color="auto"/>
              <w:right w:val="nil"/>
            </w:tcBorders>
            <w:shd w:val="clear" w:color="auto" w:fill="auto"/>
            <w:noWrap/>
            <w:vAlign w:val="center"/>
            <w:hideMark/>
          </w:tcPr>
          <w:p w14:paraId="304E9A49" w14:textId="77777777" w:rsidR="001177B1" w:rsidRPr="001177B1" w:rsidRDefault="001177B1" w:rsidP="001177B1">
            <w:pPr>
              <w:spacing w:after="0" w:line="240" w:lineRule="auto"/>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SPOLU</w:t>
            </w:r>
          </w:p>
        </w:tc>
        <w:tc>
          <w:tcPr>
            <w:tcW w:w="621" w:type="pct"/>
            <w:tcBorders>
              <w:top w:val="nil"/>
              <w:left w:val="nil"/>
              <w:bottom w:val="single" w:sz="4" w:space="0" w:color="auto"/>
              <w:right w:val="nil"/>
            </w:tcBorders>
            <w:shd w:val="clear" w:color="auto" w:fill="auto"/>
            <w:noWrap/>
            <w:vAlign w:val="center"/>
            <w:hideMark/>
          </w:tcPr>
          <w:p w14:paraId="5281A042" w14:textId="77777777" w:rsidR="001177B1" w:rsidRPr="001177B1" w:rsidRDefault="001177B1" w:rsidP="001177B1">
            <w:pPr>
              <w:spacing w:after="0" w:line="240" w:lineRule="auto"/>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color w:val="000000"/>
                <w:sz w:val="18"/>
                <w:szCs w:val="18"/>
                <w:lang w:eastAsia="sk-SK"/>
              </w:rPr>
              <w:t> </w:t>
            </w:r>
          </w:p>
        </w:tc>
        <w:tc>
          <w:tcPr>
            <w:tcW w:w="856" w:type="pct"/>
            <w:tcBorders>
              <w:top w:val="nil"/>
              <w:left w:val="nil"/>
              <w:bottom w:val="single" w:sz="4" w:space="0" w:color="auto"/>
              <w:right w:val="nil"/>
            </w:tcBorders>
            <w:shd w:val="clear" w:color="auto" w:fill="auto"/>
            <w:noWrap/>
            <w:vAlign w:val="center"/>
            <w:hideMark/>
          </w:tcPr>
          <w:p w14:paraId="51EDF797"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3 400</w:t>
            </w:r>
          </w:p>
        </w:tc>
        <w:tc>
          <w:tcPr>
            <w:tcW w:w="625" w:type="pct"/>
            <w:tcBorders>
              <w:top w:val="nil"/>
              <w:left w:val="nil"/>
              <w:bottom w:val="single" w:sz="4" w:space="0" w:color="auto"/>
              <w:right w:val="nil"/>
            </w:tcBorders>
            <w:shd w:val="clear" w:color="auto" w:fill="auto"/>
            <w:noWrap/>
            <w:vAlign w:val="center"/>
            <w:hideMark/>
          </w:tcPr>
          <w:p w14:paraId="3140401C"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2 556</w:t>
            </w:r>
          </w:p>
        </w:tc>
        <w:tc>
          <w:tcPr>
            <w:tcW w:w="625" w:type="pct"/>
            <w:tcBorders>
              <w:top w:val="nil"/>
              <w:left w:val="nil"/>
              <w:bottom w:val="single" w:sz="4" w:space="0" w:color="auto"/>
              <w:right w:val="nil"/>
            </w:tcBorders>
            <w:shd w:val="clear" w:color="auto" w:fill="auto"/>
            <w:noWrap/>
            <w:vAlign w:val="center"/>
            <w:hideMark/>
          </w:tcPr>
          <w:p w14:paraId="08E84D5D"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844</w:t>
            </w:r>
          </w:p>
        </w:tc>
      </w:tr>
    </w:tbl>
    <w:p w14:paraId="5A86E443" w14:textId="77777777" w:rsidR="00E3423F" w:rsidRPr="00DB32F1" w:rsidRDefault="00E3423F" w:rsidP="001177B1">
      <w:pPr>
        <w:spacing w:after="0"/>
        <w:jc w:val="right"/>
        <w:rPr>
          <w:rFonts w:ascii="Times New Roman" w:hAnsi="Times New Roman" w:cs="Times New Roman"/>
          <w:i/>
          <w:sz w:val="16"/>
          <w:szCs w:val="16"/>
        </w:rPr>
      </w:pPr>
      <w:r w:rsidRPr="00DB32F1">
        <w:rPr>
          <w:rFonts w:ascii="Times New Roman" w:hAnsi="Times New Roman" w:cs="Times New Roman"/>
          <w:i/>
          <w:sz w:val="16"/>
          <w:szCs w:val="16"/>
        </w:rPr>
        <w:t>Zdroj: MF SR</w:t>
      </w:r>
    </w:p>
    <w:p w14:paraId="03EFB350" w14:textId="77777777" w:rsidR="001177B1" w:rsidRDefault="001177B1" w:rsidP="001177B1">
      <w:pPr>
        <w:spacing w:after="0" w:line="240" w:lineRule="auto"/>
        <w:jc w:val="both"/>
        <w:rPr>
          <w:rFonts w:ascii="Times New Roman" w:eastAsia="Times New Roman" w:hAnsi="Times New Roman" w:cs="Times New Roman"/>
          <w:sz w:val="24"/>
          <w:szCs w:val="24"/>
          <w:lang w:eastAsia="sk-SK"/>
        </w:rPr>
      </w:pPr>
    </w:p>
    <w:p w14:paraId="1DBEB6CB" w14:textId="77777777" w:rsidR="001177B1" w:rsidRPr="001177B1" w:rsidRDefault="001177B1" w:rsidP="001177B1">
      <w:pPr>
        <w:spacing w:after="0" w:line="240" w:lineRule="auto"/>
        <w:jc w:val="both"/>
        <w:rPr>
          <w:rFonts w:ascii="Times New Roman" w:eastAsia="Times New Roman" w:hAnsi="Times New Roman" w:cs="Times New Roman"/>
          <w:sz w:val="24"/>
          <w:szCs w:val="24"/>
          <w:lang w:eastAsia="sk-SK"/>
        </w:rPr>
      </w:pPr>
      <w:r w:rsidRPr="001177B1">
        <w:rPr>
          <w:rFonts w:ascii="Times New Roman" w:eastAsia="Times New Roman" w:hAnsi="Times New Roman" w:cs="Times New Roman"/>
          <w:sz w:val="24"/>
          <w:szCs w:val="24"/>
          <w:lang w:eastAsia="sk-SK"/>
        </w:rPr>
        <w:t xml:space="preserve">V rozpočte Ministerstva práce, sociálnych vecí a rodiny SR sa nečerpá alokovaná suma </w:t>
      </w:r>
      <w:r w:rsidR="00E07023">
        <w:rPr>
          <w:rFonts w:ascii="Times New Roman" w:eastAsia="Times New Roman" w:hAnsi="Times New Roman" w:cs="Times New Roman"/>
          <w:sz w:val="24"/>
          <w:szCs w:val="24"/>
          <w:lang w:eastAsia="sk-SK"/>
        </w:rPr>
        <w:br/>
      </w:r>
      <w:r w:rsidRPr="001177B1">
        <w:rPr>
          <w:rFonts w:ascii="Times New Roman" w:eastAsia="Times New Roman" w:hAnsi="Times New Roman" w:cs="Times New Roman"/>
          <w:sz w:val="24"/>
          <w:szCs w:val="24"/>
          <w:lang w:eastAsia="sk-SK"/>
        </w:rPr>
        <w:t>900 mil. eur, nakoľko schémy na kompenzáci</w:t>
      </w:r>
      <w:r w:rsidR="00E07023">
        <w:rPr>
          <w:rFonts w:ascii="Times New Roman" w:eastAsia="Times New Roman" w:hAnsi="Times New Roman" w:cs="Times New Roman"/>
          <w:sz w:val="24"/>
          <w:szCs w:val="24"/>
          <w:lang w:eastAsia="sk-SK"/>
        </w:rPr>
        <w:t>u cien energií</w:t>
      </w:r>
      <w:r w:rsidR="00AD6831">
        <w:rPr>
          <w:rFonts w:ascii="Times New Roman" w:eastAsia="Times New Roman" w:hAnsi="Times New Roman" w:cs="Times New Roman"/>
          <w:sz w:val="24"/>
          <w:szCs w:val="24"/>
          <w:lang w:eastAsia="sk-SK"/>
        </w:rPr>
        <w:t xml:space="preserve"> pre domácnosti </w:t>
      </w:r>
      <w:r w:rsidRPr="001177B1">
        <w:rPr>
          <w:rFonts w:ascii="Times New Roman" w:eastAsia="Times New Roman" w:hAnsi="Times New Roman" w:cs="Times New Roman"/>
          <w:sz w:val="24"/>
          <w:szCs w:val="24"/>
          <w:lang w:eastAsia="sk-SK"/>
        </w:rPr>
        <w:t>realizuje Ministerstvo hospodárstva SR.</w:t>
      </w:r>
    </w:p>
    <w:p w14:paraId="38773C19" w14:textId="77777777" w:rsidR="001177B1" w:rsidRPr="001177B1" w:rsidRDefault="001177B1" w:rsidP="001177B1">
      <w:pPr>
        <w:spacing w:after="0" w:line="240" w:lineRule="auto"/>
        <w:jc w:val="both"/>
        <w:rPr>
          <w:rFonts w:ascii="Times New Roman" w:eastAsia="Times New Roman" w:hAnsi="Times New Roman" w:cs="Times New Roman"/>
          <w:sz w:val="24"/>
          <w:szCs w:val="24"/>
          <w:lang w:eastAsia="sk-SK"/>
        </w:rPr>
      </w:pPr>
    </w:p>
    <w:p w14:paraId="51496751" w14:textId="77777777" w:rsidR="001177B1" w:rsidRPr="001177B1" w:rsidRDefault="001177B1" w:rsidP="001177B1">
      <w:pPr>
        <w:spacing w:after="0" w:line="240" w:lineRule="auto"/>
        <w:jc w:val="both"/>
        <w:rPr>
          <w:rFonts w:ascii="Times New Roman" w:eastAsia="Times New Roman" w:hAnsi="Times New Roman" w:cs="Times New Roman"/>
          <w:sz w:val="24"/>
          <w:szCs w:val="24"/>
          <w:lang w:eastAsia="sk-SK"/>
        </w:rPr>
      </w:pPr>
      <w:r w:rsidRPr="001177B1">
        <w:rPr>
          <w:rFonts w:ascii="Times New Roman" w:eastAsia="Times New Roman" w:hAnsi="Times New Roman" w:cs="Times New Roman"/>
          <w:sz w:val="24"/>
          <w:szCs w:val="24"/>
          <w:lang w:eastAsia="sk-SK"/>
        </w:rPr>
        <w:t xml:space="preserve">V rámci schváleného rozpočtu bola v rámci kapitoly Všeobecná pokladničná správa vytvorená rezerva na finančné krytie indikovaného negatívneho vplyvu súvisiaceho s rastom cien energií na rozpočet organizácií verejnej správy vo výške 860 mil. eur. </w:t>
      </w:r>
      <w:r w:rsidR="00AD6831">
        <w:rPr>
          <w:rFonts w:ascii="Times New Roman" w:eastAsia="Times New Roman" w:hAnsi="Times New Roman" w:cs="Times New Roman"/>
          <w:sz w:val="24"/>
          <w:szCs w:val="24"/>
          <w:lang w:eastAsia="sk-SK"/>
        </w:rPr>
        <w:t>Skutočné čerpanie sa prejavuje v iných kapitolách, pričom prostriedky sa uvoľňujú cez rozpočtové opatrenia.</w:t>
      </w:r>
      <w:r w:rsidRPr="001177B1">
        <w:rPr>
          <w:rFonts w:ascii="Times New Roman" w:eastAsia="Times New Roman" w:hAnsi="Times New Roman" w:cs="Times New Roman"/>
          <w:sz w:val="24"/>
          <w:szCs w:val="24"/>
          <w:lang w:eastAsia="sk-SK"/>
        </w:rPr>
        <w:t xml:space="preserve"> </w:t>
      </w:r>
    </w:p>
    <w:p w14:paraId="080D7F46" w14:textId="77777777" w:rsidR="001177B1" w:rsidRPr="001177B1" w:rsidRDefault="001177B1" w:rsidP="001177B1">
      <w:pPr>
        <w:spacing w:after="0" w:line="240" w:lineRule="auto"/>
        <w:jc w:val="both"/>
        <w:rPr>
          <w:rFonts w:ascii="Times New Roman" w:eastAsia="Times New Roman" w:hAnsi="Times New Roman" w:cs="Times New Roman"/>
          <w:sz w:val="24"/>
          <w:szCs w:val="24"/>
          <w:lang w:eastAsia="sk-SK"/>
        </w:rPr>
      </w:pPr>
    </w:p>
    <w:p w14:paraId="08D842AD" w14:textId="77777777" w:rsidR="001177B1" w:rsidRPr="001177B1" w:rsidRDefault="001177B1" w:rsidP="001177B1">
      <w:pPr>
        <w:spacing w:after="0" w:line="240" w:lineRule="auto"/>
        <w:jc w:val="both"/>
        <w:rPr>
          <w:rFonts w:ascii="Times New Roman" w:eastAsia="Times New Roman" w:hAnsi="Times New Roman" w:cs="Times New Roman"/>
          <w:sz w:val="24"/>
          <w:szCs w:val="24"/>
          <w:lang w:eastAsia="sk-SK"/>
        </w:rPr>
      </w:pPr>
      <w:r w:rsidRPr="001177B1">
        <w:rPr>
          <w:rFonts w:ascii="Times New Roman" w:eastAsia="Times New Roman" w:hAnsi="Times New Roman" w:cs="Times New Roman"/>
          <w:sz w:val="24"/>
          <w:szCs w:val="24"/>
          <w:lang w:eastAsia="sk-SK"/>
        </w:rPr>
        <w:t>V rámci Ministerstva dopravy SR boli alokované prostriedky na pomoc s vysokými cenami energií vo výške 160 mil. eur, a to pre kapitolu na úrovni 20 mil. eur, pre Železnice SR na úrovni 90 mil. eur a pre Železničnú spoločnosť Slovensko na úrovni 50 mil. eur. Aktuálne sa predpokladá, že bude poskytnutá nižšia pomoc pre Železnice SR o 78 mil. eur a pre Železničnú spoločnosť Slovensko o 30 mil. eur. Celkovo tak dochádza k nečerpaniu na úrovni 108 mil. eur.</w:t>
      </w:r>
    </w:p>
    <w:p w14:paraId="6B829AB2" w14:textId="77777777" w:rsidR="001177B1" w:rsidRPr="001177B1" w:rsidRDefault="001177B1" w:rsidP="001177B1">
      <w:pPr>
        <w:spacing w:after="0" w:line="240" w:lineRule="auto"/>
        <w:jc w:val="both"/>
        <w:rPr>
          <w:rFonts w:ascii="Times New Roman" w:eastAsia="Times New Roman" w:hAnsi="Times New Roman" w:cs="Times New Roman"/>
          <w:sz w:val="24"/>
          <w:szCs w:val="24"/>
          <w:lang w:eastAsia="sk-SK"/>
        </w:rPr>
      </w:pPr>
    </w:p>
    <w:p w14:paraId="4D64401A" w14:textId="77777777" w:rsidR="00590E2B" w:rsidRDefault="001177B1" w:rsidP="00590E2B">
      <w:pPr>
        <w:spacing w:after="0" w:line="240" w:lineRule="auto"/>
        <w:jc w:val="both"/>
        <w:rPr>
          <w:rFonts w:ascii="Times New Roman" w:eastAsia="Times New Roman" w:hAnsi="Times New Roman" w:cs="Times New Roman"/>
          <w:sz w:val="24"/>
          <w:szCs w:val="24"/>
          <w:lang w:eastAsia="sk-SK"/>
        </w:rPr>
      </w:pPr>
      <w:r w:rsidRPr="001177B1">
        <w:rPr>
          <w:rFonts w:ascii="Times New Roman" w:eastAsia="Times New Roman" w:hAnsi="Times New Roman" w:cs="Times New Roman"/>
          <w:sz w:val="24"/>
          <w:szCs w:val="24"/>
          <w:lang w:eastAsia="sk-SK"/>
        </w:rPr>
        <w:t>V rámci Ministerstva zdravotníctva SR bolo v schválenom rozpočte alokovaných na pomoc s vysokými cenami energií 80 mil. eur. Avšak ministerstvo použilo 77 mil. eur na krytie navýšenia platby štátu za poistencov štátu v rámci verejného zdravotného poistenia</w:t>
      </w:r>
      <w:r w:rsidRPr="001177B1">
        <w:rPr>
          <w:rFonts w:ascii="Times New Roman" w:eastAsia="Times New Roman" w:hAnsi="Times New Roman" w:cs="Times New Roman"/>
          <w:sz w:val="24"/>
          <w:szCs w:val="24"/>
          <w:vertAlign w:val="superscript"/>
          <w:lang w:eastAsia="sk-SK"/>
        </w:rPr>
        <w:footnoteReference w:id="5"/>
      </w:r>
      <w:r w:rsidRPr="001177B1">
        <w:rPr>
          <w:rFonts w:ascii="Times New Roman" w:eastAsia="Times New Roman" w:hAnsi="Times New Roman" w:cs="Times New Roman"/>
          <w:sz w:val="24"/>
          <w:szCs w:val="24"/>
          <w:lang w:eastAsia="sk-SK"/>
        </w:rPr>
        <w:t>.</w:t>
      </w:r>
    </w:p>
    <w:p w14:paraId="46A8AE57" w14:textId="2DF93B4A" w:rsidR="00590E2B" w:rsidRPr="00590E2B" w:rsidRDefault="00590E2B" w:rsidP="00590E2B">
      <w:pPr>
        <w:spacing w:after="0" w:line="240" w:lineRule="auto"/>
        <w:jc w:val="both"/>
        <w:rPr>
          <w:rFonts w:ascii="Times New Roman" w:eastAsia="Times New Roman" w:hAnsi="Times New Roman" w:cs="Times New Roman"/>
          <w:sz w:val="24"/>
          <w:szCs w:val="24"/>
          <w:lang w:eastAsia="sk-SK"/>
        </w:rPr>
      </w:pPr>
      <w:r w:rsidRPr="00590E2B">
        <w:rPr>
          <w:rFonts w:ascii="Times New Roman" w:hAnsi="Times New Roman" w:cs="Times New Roman"/>
          <w:sz w:val="24"/>
          <w:szCs w:val="24"/>
        </w:rPr>
        <w:lastRenderedPageBreak/>
        <w:t>Ministerstvu školstva, vedy, výskumu a športu SR boli poskytnuté zdroje vo výške 146 mil. eur na zvýšené ceny energií, najvyššia suma smerovala do oblasti regionálneho školstva a pre verejné vysoké školy a časť výdavkov bola určená pre úrad a podriadené organizácie.</w:t>
      </w:r>
    </w:p>
    <w:p w14:paraId="3D565032" w14:textId="77777777" w:rsidR="001177B1" w:rsidRPr="001177B1" w:rsidRDefault="001177B1" w:rsidP="001177B1">
      <w:pPr>
        <w:spacing w:after="0" w:line="240" w:lineRule="auto"/>
        <w:jc w:val="both"/>
        <w:rPr>
          <w:rFonts w:ascii="Times New Roman" w:eastAsia="Times New Roman" w:hAnsi="Times New Roman" w:cs="Times New Roman"/>
          <w:sz w:val="24"/>
          <w:szCs w:val="24"/>
          <w:lang w:eastAsia="sk-SK"/>
        </w:rPr>
      </w:pPr>
    </w:p>
    <w:p w14:paraId="334F6695" w14:textId="77777777" w:rsidR="001177B1" w:rsidRPr="00CA1C84" w:rsidRDefault="00AD6831" w:rsidP="001177B1">
      <w:pPr>
        <w:spacing w:after="0" w:line="240" w:lineRule="auto"/>
        <w:jc w:val="both"/>
        <w:rPr>
          <w:rFonts w:ascii="Times New Roman" w:eastAsia="Times New Roman" w:hAnsi="Times New Roman" w:cs="Times New Roman"/>
          <w:sz w:val="24"/>
          <w:szCs w:val="24"/>
          <w:lang w:eastAsia="sk-SK"/>
        </w:rPr>
      </w:pPr>
      <w:r w:rsidRPr="00CA1C84">
        <w:rPr>
          <w:rFonts w:ascii="Times New Roman" w:eastAsia="Times New Roman" w:hAnsi="Times New Roman" w:cs="Times New Roman"/>
          <w:sz w:val="24"/>
          <w:szCs w:val="24"/>
          <w:lang w:eastAsia="sk-SK"/>
        </w:rPr>
        <w:t>Celkovo sa v rámci štátneho rozpočtu</w:t>
      </w:r>
      <w:r w:rsidR="001177B1" w:rsidRPr="00CA1C84">
        <w:rPr>
          <w:rFonts w:ascii="Times New Roman" w:eastAsia="Times New Roman" w:hAnsi="Times New Roman" w:cs="Times New Roman"/>
          <w:sz w:val="24"/>
          <w:szCs w:val="24"/>
          <w:lang w:eastAsia="sk-SK"/>
        </w:rPr>
        <w:t xml:space="preserve"> aktuálne odhaduje použitie národných zdrojov na kompenzačné opatrenia súvisiace s rastom cien energií vo výške 2 556 mil. eur, čo oproti schválenému rozpočtu (3 400 mil. eur) predstavuje nečerpanie na úrovni 844 mil. eur. </w:t>
      </w:r>
    </w:p>
    <w:p w14:paraId="081F227F" w14:textId="77777777" w:rsidR="001177B1" w:rsidRPr="00CA1C84" w:rsidRDefault="001177B1" w:rsidP="001177B1">
      <w:pPr>
        <w:spacing w:after="0" w:line="240" w:lineRule="auto"/>
        <w:jc w:val="both"/>
        <w:rPr>
          <w:rFonts w:ascii="Times New Roman" w:eastAsia="Times New Roman" w:hAnsi="Times New Roman" w:cs="Times New Roman"/>
          <w:sz w:val="24"/>
          <w:szCs w:val="24"/>
          <w:lang w:eastAsia="sk-SK"/>
        </w:rPr>
      </w:pPr>
    </w:p>
    <w:p w14:paraId="2D7B16BD" w14:textId="77777777" w:rsidR="001177B1" w:rsidRPr="001177B1" w:rsidRDefault="001177B1" w:rsidP="001177B1">
      <w:pPr>
        <w:spacing w:after="0" w:line="240" w:lineRule="auto"/>
        <w:jc w:val="both"/>
        <w:rPr>
          <w:rFonts w:ascii="Times New Roman" w:eastAsia="Times New Roman" w:hAnsi="Times New Roman" w:cs="Times New Roman"/>
          <w:sz w:val="24"/>
          <w:szCs w:val="24"/>
          <w:lang w:eastAsia="sk-SK"/>
        </w:rPr>
      </w:pPr>
      <w:r w:rsidRPr="00CA1C84">
        <w:rPr>
          <w:rFonts w:ascii="Times New Roman" w:eastAsia="Times New Roman" w:hAnsi="Times New Roman" w:cs="Times New Roman"/>
          <w:sz w:val="24"/>
          <w:szCs w:val="24"/>
          <w:lang w:eastAsia="sk-SK"/>
        </w:rPr>
        <w:t>Nejde o úsporu výdavkov štátneho rozpočtu, nakoľko tieto zdroje boli použité</w:t>
      </w:r>
      <w:r w:rsidRPr="001177B1">
        <w:rPr>
          <w:rFonts w:ascii="Times New Roman" w:eastAsia="Times New Roman" w:hAnsi="Times New Roman" w:cs="Times New Roman"/>
          <w:sz w:val="24"/>
          <w:szCs w:val="24"/>
          <w:lang w:eastAsia="sk-SK"/>
        </w:rPr>
        <w:t xml:space="preserve"> na zabezpečenie financovania zvýšenej platby štátu za poistencov štátu v rámci</w:t>
      </w:r>
      <w:r w:rsidR="00AD6831">
        <w:rPr>
          <w:rFonts w:ascii="Times New Roman" w:eastAsia="Times New Roman" w:hAnsi="Times New Roman" w:cs="Times New Roman"/>
          <w:sz w:val="24"/>
          <w:szCs w:val="24"/>
          <w:lang w:eastAsia="sk-SK"/>
        </w:rPr>
        <w:t xml:space="preserve"> verejného zdravotného poistenia</w:t>
      </w:r>
      <w:r w:rsidRPr="001177B1">
        <w:rPr>
          <w:rFonts w:ascii="Times New Roman" w:eastAsia="Times New Roman" w:hAnsi="Times New Roman" w:cs="Times New Roman"/>
          <w:sz w:val="24"/>
          <w:szCs w:val="24"/>
          <w:lang w:eastAsia="sk-SK"/>
        </w:rPr>
        <w:t xml:space="preserve"> na úrovni</w:t>
      </w:r>
      <w:r w:rsidR="00AD6831">
        <w:rPr>
          <w:rFonts w:ascii="Times New Roman" w:eastAsia="Times New Roman" w:hAnsi="Times New Roman" w:cs="Times New Roman"/>
          <w:sz w:val="24"/>
          <w:szCs w:val="24"/>
          <w:lang w:eastAsia="sk-SK"/>
        </w:rPr>
        <w:t xml:space="preserve"> 316 mil. eur a </w:t>
      </w:r>
      <w:r w:rsidRPr="001177B1">
        <w:rPr>
          <w:rFonts w:ascii="Times New Roman" w:eastAsia="Times New Roman" w:hAnsi="Times New Roman" w:cs="Times New Roman"/>
          <w:sz w:val="24"/>
          <w:szCs w:val="24"/>
          <w:lang w:eastAsia="sk-SK"/>
        </w:rPr>
        <w:t xml:space="preserve">na krytie zvýšených nárokov na štátny rozpočet vyvolaných prijímanou legislatívou v Národnej rade </w:t>
      </w:r>
      <w:r w:rsidR="00E07023">
        <w:rPr>
          <w:rFonts w:ascii="Times New Roman" w:eastAsia="Times New Roman" w:hAnsi="Times New Roman" w:cs="Times New Roman"/>
          <w:sz w:val="24"/>
          <w:szCs w:val="24"/>
          <w:lang w:eastAsia="sk-SK"/>
        </w:rPr>
        <w:t>SR a vláde SR</w:t>
      </w:r>
      <w:r w:rsidRPr="001177B1">
        <w:rPr>
          <w:rFonts w:ascii="Times New Roman" w:eastAsia="Times New Roman" w:hAnsi="Times New Roman" w:cs="Times New Roman"/>
          <w:sz w:val="24"/>
          <w:szCs w:val="24"/>
          <w:lang w:eastAsia="sk-SK"/>
        </w:rPr>
        <w:t xml:space="preserve"> vo výške 974 mil. eur (nad rámec rezervy na riešenie vplyvov legislatívnych zmien). </w:t>
      </w:r>
    </w:p>
    <w:p w14:paraId="662417C4" w14:textId="77777777" w:rsidR="009041CA" w:rsidRPr="00776107" w:rsidRDefault="009041CA" w:rsidP="0080040F">
      <w:pPr>
        <w:pStyle w:val="Zkladntext"/>
        <w:rPr>
          <w:rFonts w:ascii="Times New Roman" w:hAnsi="Times New Roman" w:cs="Times New Roman"/>
          <w:b/>
          <w:color w:val="5B9BD5" w:themeColor="accent1"/>
          <w:sz w:val="28"/>
        </w:rPr>
      </w:pPr>
    </w:p>
    <w:p w14:paraId="11B0A282" w14:textId="77777777" w:rsidR="007B4FDF" w:rsidRDefault="0080040F" w:rsidP="0080040F">
      <w:pPr>
        <w:pStyle w:val="Zkladntext"/>
        <w:rPr>
          <w:rFonts w:ascii="Times New Roman" w:hAnsi="Times New Roman" w:cs="Times New Roman"/>
          <w:b/>
          <w:color w:val="5B9BD5" w:themeColor="accent1"/>
        </w:rPr>
      </w:pPr>
      <w:r>
        <w:rPr>
          <w:rFonts w:ascii="Times New Roman" w:hAnsi="Times New Roman" w:cs="Times New Roman"/>
          <w:b/>
          <w:color w:val="5B9BD5" w:themeColor="accent1"/>
        </w:rPr>
        <w:t xml:space="preserve">2.1.2. </w:t>
      </w:r>
      <w:bookmarkEnd w:id="19"/>
      <w:r w:rsidR="00615471">
        <w:rPr>
          <w:rFonts w:ascii="Times New Roman" w:hAnsi="Times New Roman" w:cs="Times New Roman"/>
          <w:b/>
          <w:color w:val="5B9BD5" w:themeColor="accent1"/>
        </w:rPr>
        <w:t>Vzťahy s rozpočtom EÚ</w:t>
      </w:r>
    </w:p>
    <w:p w14:paraId="405702B5" w14:textId="77777777" w:rsidR="00A025F3" w:rsidRDefault="00A025F3" w:rsidP="0080040F">
      <w:pPr>
        <w:pStyle w:val="Zkladntext"/>
        <w:rPr>
          <w:rFonts w:ascii="Times New Roman" w:hAnsi="Times New Roman" w:cs="Times New Roman"/>
          <w:b/>
          <w:color w:val="5B9BD5" w:themeColor="accent1"/>
        </w:rPr>
      </w:pPr>
    </w:p>
    <w:p w14:paraId="650FBD68" w14:textId="77777777" w:rsidR="001177B1" w:rsidRPr="00CA1C84" w:rsidRDefault="001177B1" w:rsidP="001177B1">
      <w:pPr>
        <w:spacing w:after="0" w:line="240" w:lineRule="auto"/>
        <w:jc w:val="both"/>
        <w:rPr>
          <w:rFonts w:ascii="Times New Roman" w:eastAsia="Times New Roman" w:hAnsi="Times New Roman" w:cs="Times New Roman"/>
          <w:sz w:val="24"/>
          <w:szCs w:val="24"/>
          <w:lang w:eastAsia="sk-SK"/>
        </w:rPr>
      </w:pPr>
      <w:r w:rsidRPr="00CA1C84">
        <w:rPr>
          <w:rFonts w:ascii="Times New Roman" w:eastAsia="Times New Roman" w:hAnsi="Times New Roman" w:cs="Times New Roman"/>
          <w:sz w:val="24"/>
          <w:szCs w:val="24"/>
          <w:lang w:eastAsia="sk-SK"/>
        </w:rPr>
        <w:t xml:space="preserve">Vzťahy s rozpočtom EÚ majú pozitívny vplyv na hospodárenie rozpočtu verejnej správy v roku 2023 na úrovni 382 mil. eur. </w:t>
      </w:r>
    </w:p>
    <w:p w14:paraId="27E22EF3" w14:textId="77777777" w:rsidR="001177B1" w:rsidRPr="001177B1" w:rsidRDefault="001177B1" w:rsidP="001177B1">
      <w:pPr>
        <w:spacing w:after="0" w:line="240" w:lineRule="auto"/>
        <w:ind w:left="450"/>
        <w:jc w:val="both"/>
        <w:rPr>
          <w:rFonts w:ascii="Times New Roman" w:eastAsia="Times New Roman" w:hAnsi="Times New Roman" w:cs="Times New Roman"/>
          <w:sz w:val="24"/>
          <w:szCs w:val="24"/>
          <w:lang w:eastAsia="sk-SK"/>
        </w:rPr>
      </w:pPr>
    </w:p>
    <w:p w14:paraId="2B2FF6E5" w14:textId="77777777" w:rsidR="001177B1" w:rsidRPr="001177B1" w:rsidRDefault="001177B1" w:rsidP="001177B1">
      <w:pPr>
        <w:spacing w:after="0" w:line="240" w:lineRule="auto"/>
        <w:jc w:val="both"/>
        <w:rPr>
          <w:rFonts w:ascii="Times New Roman" w:eastAsia="Times New Roman" w:hAnsi="Times New Roman" w:cs="Times New Roman"/>
          <w:sz w:val="24"/>
          <w:szCs w:val="24"/>
          <w:lang w:eastAsia="sk-SK"/>
        </w:rPr>
      </w:pPr>
      <w:r w:rsidRPr="001177B1">
        <w:rPr>
          <w:rFonts w:ascii="Times New Roman" w:eastAsia="Times New Roman" w:hAnsi="Times New Roman" w:cs="Times New Roman"/>
          <w:sz w:val="24"/>
          <w:szCs w:val="24"/>
          <w:lang w:eastAsia="sk-SK"/>
        </w:rPr>
        <w:t>Predpokladá sa nižšie čerpanie výdavkov spolufinancovania spoločných programov SR a EÚ vo výške 112 mil. eur a taktiež nižšie čerpanie výdavkov na platbu DPH k prostriedkom Plánu obnovy a odolnosti vo výške 315 mil. eur.</w:t>
      </w:r>
      <w:r w:rsidR="000933BA" w:rsidRPr="000933BA">
        <w:t xml:space="preserve"> </w:t>
      </w:r>
      <w:r w:rsidR="000933BA" w:rsidRPr="000933BA">
        <w:rPr>
          <w:rFonts w:ascii="Times New Roman" w:eastAsia="Times New Roman" w:hAnsi="Times New Roman" w:cs="Times New Roman"/>
          <w:sz w:val="24"/>
          <w:szCs w:val="24"/>
          <w:lang w:eastAsia="sk-SK"/>
        </w:rPr>
        <w:t>Tieto prostriedky sa presunú a budú čerpané v nasledujúcich rokoch</w:t>
      </w:r>
      <w:r w:rsidR="000933BA">
        <w:rPr>
          <w:rFonts w:ascii="Times New Roman" w:eastAsia="Times New Roman" w:hAnsi="Times New Roman" w:cs="Times New Roman"/>
          <w:sz w:val="24"/>
          <w:szCs w:val="24"/>
          <w:lang w:eastAsia="sk-SK"/>
        </w:rPr>
        <w:t>.</w:t>
      </w:r>
    </w:p>
    <w:p w14:paraId="6A1F8821" w14:textId="77777777" w:rsidR="001177B1" w:rsidRPr="001177B1" w:rsidRDefault="001177B1" w:rsidP="001177B1">
      <w:pPr>
        <w:spacing w:after="0" w:line="240" w:lineRule="auto"/>
        <w:jc w:val="both"/>
        <w:rPr>
          <w:rFonts w:ascii="Times New Roman" w:eastAsia="Times New Roman" w:hAnsi="Times New Roman" w:cs="Times New Roman"/>
          <w:sz w:val="24"/>
          <w:szCs w:val="24"/>
          <w:lang w:eastAsia="sk-SK"/>
        </w:rPr>
      </w:pPr>
    </w:p>
    <w:p w14:paraId="56B64B21" w14:textId="77777777" w:rsidR="001177B1" w:rsidRPr="001177B1" w:rsidRDefault="001177B1" w:rsidP="001177B1">
      <w:pPr>
        <w:spacing w:after="0" w:line="240" w:lineRule="auto"/>
        <w:jc w:val="both"/>
        <w:rPr>
          <w:rFonts w:ascii="Times New Roman" w:eastAsia="Times New Roman" w:hAnsi="Times New Roman" w:cs="Times New Roman"/>
          <w:sz w:val="24"/>
          <w:szCs w:val="24"/>
          <w:lang w:eastAsia="sk-SK"/>
        </w:rPr>
      </w:pPr>
      <w:r w:rsidRPr="001177B1">
        <w:rPr>
          <w:rFonts w:ascii="Times New Roman" w:eastAsia="Times New Roman" w:hAnsi="Times New Roman" w:cs="Times New Roman"/>
          <w:sz w:val="24"/>
          <w:szCs w:val="24"/>
          <w:lang w:eastAsia="sk-SK"/>
        </w:rPr>
        <w:t>V rámci odvodu do rozpočtu EÚ sa očakáva nečerpanie na úrovni 22 mil. eur.</w:t>
      </w:r>
    </w:p>
    <w:p w14:paraId="2A6D1578" w14:textId="77777777" w:rsidR="001177B1" w:rsidRPr="001177B1" w:rsidRDefault="001177B1" w:rsidP="001177B1">
      <w:pPr>
        <w:spacing w:after="0" w:line="240" w:lineRule="auto"/>
        <w:jc w:val="both"/>
        <w:rPr>
          <w:rFonts w:ascii="Times New Roman" w:eastAsia="Times New Roman" w:hAnsi="Times New Roman" w:cs="Times New Roman"/>
          <w:sz w:val="24"/>
          <w:szCs w:val="24"/>
          <w:lang w:eastAsia="sk-SK"/>
        </w:rPr>
      </w:pPr>
    </w:p>
    <w:p w14:paraId="35DD6653" w14:textId="77777777" w:rsidR="001177B1" w:rsidRPr="001177B1" w:rsidRDefault="001177B1" w:rsidP="001177B1">
      <w:pPr>
        <w:spacing w:after="0" w:line="240" w:lineRule="auto"/>
        <w:jc w:val="both"/>
        <w:rPr>
          <w:rFonts w:ascii="Times New Roman" w:eastAsia="Times New Roman" w:hAnsi="Times New Roman" w:cs="Times New Roman"/>
          <w:sz w:val="24"/>
          <w:szCs w:val="24"/>
          <w:lang w:eastAsia="sk-SK"/>
        </w:rPr>
      </w:pPr>
      <w:r w:rsidRPr="001177B1">
        <w:rPr>
          <w:rFonts w:ascii="Times New Roman" w:eastAsia="Times New Roman" w:hAnsi="Times New Roman" w:cs="Times New Roman"/>
          <w:sz w:val="24"/>
          <w:szCs w:val="24"/>
          <w:lang w:eastAsia="sk-SK"/>
        </w:rPr>
        <w:t xml:space="preserve">Vplyv korekcií k čerpaniu EÚ fondov vrátane očistenia vplyvu príjmov platobných jednotiek za prostriedky EÚ z uhradených korekcií má negatívny vplyv 67 mil. eur. </w:t>
      </w:r>
    </w:p>
    <w:p w14:paraId="09AB4DCE" w14:textId="77777777" w:rsidR="001177B1" w:rsidRPr="001177B1" w:rsidRDefault="001177B1" w:rsidP="001177B1">
      <w:pPr>
        <w:spacing w:after="0" w:line="240" w:lineRule="auto"/>
        <w:jc w:val="both"/>
        <w:rPr>
          <w:rFonts w:ascii="Times New Roman" w:eastAsia="Times New Roman" w:hAnsi="Times New Roman" w:cs="Times New Roman"/>
          <w:sz w:val="24"/>
          <w:szCs w:val="24"/>
          <w:lang w:eastAsia="sk-SK"/>
        </w:rPr>
      </w:pPr>
    </w:p>
    <w:p w14:paraId="0BD48E89" w14:textId="77777777" w:rsidR="001177B1" w:rsidRPr="001177B1" w:rsidRDefault="001177B1" w:rsidP="001177B1">
      <w:pPr>
        <w:spacing w:after="0" w:line="240" w:lineRule="auto"/>
        <w:jc w:val="both"/>
        <w:rPr>
          <w:rFonts w:ascii="Times New Roman" w:eastAsia="Times New Roman" w:hAnsi="Times New Roman" w:cs="Times New Roman"/>
          <w:sz w:val="24"/>
          <w:szCs w:val="24"/>
          <w:lang w:eastAsia="sk-SK"/>
        </w:rPr>
      </w:pPr>
      <w:r w:rsidRPr="001177B1">
        <w:rPr>
          <w:rFonts w:ascii="Times New Roman" w:eastAsia="Times New Roman" w:hAnsi="Times New Roman" w:cs="Times New Roman"/>
          <w:sz w:val="24"/>
          <w:szCs w:val="24"/>
          <w:lang w:eastAsia="sk-SK"/>
        </w:rPr>
        <w:t>Pre informáciu uvádzame aj predpokladané čerpanie prostriedkov z rozpočtu EÚ a prostriedkov Plánu obnovy a odolnosti. Tieto nemajú v zmysle metodiky ESA 2010 vplyv na schodok rozpočtu verejnej správy.</w:t>
      </w:r>
    </w:p>
    <w:p w14:paraId="746CE82C" w14:textId="77777777" w:rsidR="00AF2AF3" w:rsidRDefault="00AF2AF3" w:rsidP="00AF2AF3">
      <w:pPr>
        <w:spacing w:after="0"/>
        <w:jc w:val="both"/>
        <w:rPr>
          <w:rFonts w:ascii="Times New Roman" w:hAnsi="Times New Roman" w:cs="Times New Roman"/>
          <w:sz w:val="24"/>
          <w:szCs w:val="24"/>
        </w:rPr>
      </w:pPr>
    </w:p>
    <w:p w14:paraId="1113C7FD" w14:textId="5FA95262" w:rsidR="00AF2AF3" w:rsidRPr="00D937CB" w:rsidRDefault="00AF2AF3" w:rsidP="00AF2AF3">
      <w:pPr>
        <w:spacing w:after="0"/>
        <w:rPr>
          <w:rFonts w:ascii="Times New Roman" w:hAnsi="Times New Roman" w:cs="Times New Roman"/>
          <w:b/>
          <w:color w:val="5B9BD5" w:themeColor="accent1"/>
          <w:sz w:val="20"/>
          <w:szCs w:val="20"/>
        </w:rPr>
      </w:pPr>
      <w:bookmarkStart w:id="20" w:name="_Toc153013003"/>
      <w:r w:rsidRPr="00D937CB">
        <w:rPr>
          <w:rFonts w:ascii="Times New Roman" w:hAnsi="Times New Roman" w:cs="Times New Roman"/>
          <w:b/>
          <w:color w:val="5B9BD5" w:themeColor="accent1"/>
          <w:sz w:val="20"/>
          <w:szCs w:val="20"/>
        </w:rPr>
        <w:t xml:space="preserve">Tabuľka </w:t>
      </w:r>
      <w:r w:rsidRPr="00D937CB">
        <w:rPr>
          <w:rFonts w:ascii="Times New Roman" w:hAnsi="Times New Roman" w:cs="Times New Roman"/>
          <w:b/>
          <w:color w:val="5B9BD5" w:themeColor="accent1"/>
          <w:sz w:val="20"/>
          <w:szCs w:val="20"/>
        </w:rPr>
        <w:fldChar w:fldCharType="begin"/>
      </w:r>
      <w:r w:rsidRPr="00D937CB">
        <w:rPr>
          <w:rFonts w:ascii="Times New Roman" w:hAnsi="Times New Roman" w:cs="Times New Roman"/>
          <w:b/>
          <w:color w:val="5B9BD5" w:themeColor="accent1"/>
          <w:sz w:val="20"/>
          <w:szCs w:val="20"/>
        </w:rPr>
        <w:instrText xml:space="preserve"> SEQ Tabuľka \* ARABIC </w:instrText>
      </w:r>
      <w:r w:rsidRPr="00D937CB">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5</w:t>
      </w:r>
      <w:r w:rsidRPr="00D937CB">
        <w:rPr>
          <w:rFonts w:ascii="Times New Roman" w:hAnsi="Times New Roman" w:cs="Times New Roman"/>
          <w:b/>
          <w:color w:val="5B9BD5" w:themeColor="accent1"/>
          <w:sz w:val="20"/>
          <w:szCs w:val="20"/>
        </w:rPr>
        <w:fldChar w:fldCharType="end"/>
      </w:r>
      <w:r w:rsidRPr="00D937CB">
        <w:rPr>
          <w:rFonts w:ascii="Times New Roman" w:hAnsi="Times New Roman" w:cs="Times New Roman"/>
          <w:b/>
          <w:color w:val="5B9BD5" w:themeColor="accent1"/>
          <w:sz w:val="20"/>
          <w:szCs w:val="20"/>
        </w:rPr>
        <w:t xml:space="preserve"> – Výdavky štátneho rozpočtu</w:t>
      </w:r>
      <w:bookmarkEnd w:id="20"/>
    </w:p>
    <w:tbl>
      <w:tblPr>
        <w:tblW w:w="5000" w:type="pct"/>
        <w:jc w:val="center"/>
        <w:tblCellMar>
          <w:left w:w="70" w:type="dxa"/>
          <w:right w:w="70" w:type="dxa"/>
        </w:tblCellMar>
        <w:tblLook w:val="04A0" w:firstRow="1" w:lastRow="0" w:firstColumn="1" w:lastColumn="0" w:noHBand="0" w:noVBand="1"/>
      </w:tblPr>
      <w:tblGrid>
        <w:gridCol w:w="5838"/>
        <w:gridCol w:w="1078"/>
        <w:gridCol w:w="1078"/>
        <w:gridCol w:w="1078"/>
      </w:tblGrid>
      <w:tr w:rsidR="001177B1" w:rsidRPr="001177B1" w14:paraId="7D023687" w14:textId="77777777" w:rsidTr="001177B1">
        <w:trPr>
          <w:trHeight w:val="255"/>
          <w:jc w:val="center"/>
        </w:trPr>
        <w:tc>
          <w:tcPr>
            <w:tcW w:w="3218" w:type="pct"/>
            <w:tcBorders>
              <w:top w:val="single" w:sz="4" w:space="0" w:color="auto"/>
              <w:left w:val="nil"/>
              <w:bottom w:val="single" w:sz="4" w:space="0" w:color="auto"/>
              <w:right w:val="nil"/>
            </w:tcBorders>
            <w:shd w:val="clear" w:color="auto" w:fill="auto"/>
            <w:vAlign w:val="center"/>
            <w:hideMark/>
          </w:tcPr>
          <w:p w14:paraId="3EEBECE2" w14:textId="77777777" w:rsidR="001177B1" w:rsidRPr="001177B1" w:rsidRDefault="001177B1" w:rsidP="001177B1">
            <w:pPr>
              <w:spacing w:after="0" w:line="240" w:lineRule="auto"/>
              <w:rPr>
                <w:rFonts w:ascii="Times New Roman" w:eastAsia="Times New Roman" w:hAnsi="Times New Roman" w:cs="Times New Roman"/>
                <w:sz w:val="18"/>
                <w:szCs w:val="18"/>
                <w:lang w:eastAsia="sk-SK"/>
              </w:rPr>
            </w:pPr>
            <w:r w:rsidRPr="001177B1">
              <w:rPr>
                <w:rFonts w:ascii="Times New Roman" w:eastAsia="Times New Roman" w:hAnsi="Times New Roman" w:cs="Times New Roman"/>
                <w:b/>
                <w:bCs/>
                <w:sz w:val="18"/>
                <w:szCs w:val="18"/>
                <w:lang w:eastAsia="sk-SK"/>
              </w:rPr>
              <w:t>Výdavky štátneho rozpočtu</w:t>
            </w:r>
            <w:r w:rsidRPr="001177B1">
              <w:rPr>
                <w:rFonts w:ascii="Times New Roman" w:eastAsia="Times New Roman" w:hAnsi="Times New Roman" w:cs="Times New Roman"/>
                <w:b/>
                <w:bCs/>
                <w:sz w:val="18"/>
                <w:szCs w:val="18"/>
                <w:lang w:eastAsia="sk-SK"/>
              </w:rPr>
              <w:br/>
            </w:r>
            <w:r w:rsidRPr="001177B1">
              <w:rPr>
                <w:rFonts w:ascii="Times New Roman" w:eastAsia="Times New Roman" w:hAnsi="Times New Roman" w:cs="Times New Roman"/>
                <w:sz w:val="18"/>
                <w:szCs w:val="18"/>
                <w:lang w:eastAsia="sk-SK"/>
              </w:rPr>
              <w:t>(na hotovostnej a nekonsolidovanej báze; v mil. eur)</w:t>
            </w:r>
          </w:p>
        </w:tc>
        <w:tc>
          <w:tcPr>
            <w:tcW w:w="594" w:type="pct"/>
            <w:tcBorders>
              <w:top w:val="single" w:sz="4" w:space="0" w:color="auto"/>
              <w:left w:val="nil"/>
              <w:bottom w:val="single" w:sz="4" w:space="0" w:color="auto"/>
              <w:right w:val="nil"/>
            </w:tcBorders>
            <w:shd w:val="clear" w:color="auto" w:fill="auto"/>
            <w:noWrap/>
            <w:vAlign w:val="center"/>
            <w:hideMark/>
          </w:tcPr>
          <w:p w14:paraId="7BEB67E0" w14:textId="77777777" w:rsidR="001177B1" w:rsidRPr="00D937CB" w:rsidRDefault="001177B1" w:rsidP="001177B1">
            <w:pPr>
              <w:spacing w:after="0" w:line="240" w:lineRule="auto"/>
              <w:jc w:val="right"/>
              <w:rPr>
                <w:rFonts w:ascii="Times New Roman" w:eastAsia="Times New Roman" w:hAnsi="Times New Roman" w:cs="Times New Roman"/>
                <w:b/>
                <w:sz w:val="18"/>
                <w:szCs w:val="18"/>
                <w:lang w:eastAsia="sk-SK"/>
              </w:rPr>
            </w:pPr>
            <w:r w:rsidRPr="00D937CB">
              <w:rPr>
                <w:rFonts w:ascii="Times New Roman" w:eastAsia="Times New Roman" w:hAnsi="Times New Roman" w:cs="Times New Roman"/>
                <w:b/>
                <w:sz w:val="18"/>
                <w:szCs w:val="18"/>
                <w:lang w:eastAsia="sk-SK"/>
              </w:rPr>
              <w:t>Rozpočet</w:t>
            </w:r>
          </w:p>
        </w:tc>
        <w:tc>
          <w:tcPr>
            <w:tcW w:w="594" w:type="pct"/>
            <w:tcBorders>
              <w:top w:val="single" w:sz="4" w:space="0" w:color="auto"/>
              <w:left w:val="nil"/>
              <w:bottom w:val="single" w:sz="4" w:space="0" w:color="auto"/>
              <w:right w:val="nil"/>
            </w:tcBorders>
            <w:shd w:val="clear" w:color="auto" w:fill="auto"/>
            <w:noWrap/>
            <w:vAlign w:val="center"/>
            <w:hideMark/>
          </w:tcPr>
          <w:p w14:paraId="10FCEB0C" w14:textId="77777777" w:rsidR="001177B1" w:rsidRPr="00D937CB" w:rsidRDefault="001177B1" w:rsidP="001177B1">
            <w:pPr>
              <w:spacing w:after="0" w:line="240" w:lineRule="auto"/>
              <w:jc w:val="right"/>
              <w:rPr>
                <w:rFonts w:ascii="Times New Roman" w:eastAsia="Times New Roman" w:hAnsi="Times New Roman" w:cs="Times New Roman"/>
                <w:b/>
                <w:sz w:val="18"/>
                <w:szCs w:val="18"/>
                <w:lang w:eastAsia="sk-SK"/>
              </w:rPr>
            </w:pPr>
            <w:r w:rsidRPr="00D937CB">
              <w:rPr>
                <w:rFonts w:ascii="Times New Roman" w:eastAsia="Times New Roman" w:hAnsi="Times New Roman" w:cs="Times New Roman"/>
                <w:b/>
                <w:sz w:val="18"/>
                <w:szCs w:val="18"/>
                <w:lang w:eastAsia="sk-SK"/>
              </w:rPr>
              <w:t>OS</w:t>
            </w:r>
          </w:p>
        </w:tc>
        <w:tc>
          <w:tcPr>
            <w:tcW w:w="594" w:type="pct"/>
            <w:tcBorders>
              <w:top w:val="single" w:sz="4" w:space="0" w:color="auto"/>
              <w:left w:val="nil"/>
              <w:bottom w:val="single" w:sz="4" w:space="0" w:color="auto"/>
              <w:right w:val="nil"/>
            </w:tcBorders>
            <w:shd w:val="clear" w:color="auto" w:fill="auto"/>
            <w:noWrap/>
            <w:vAlign w:val="center"/>
            <w:hideMark/>
          </w:tcPr>
          <w:p w14:paraId="51D1E9C6" w14:textId="77777777" w:rsidR="001177B1" w:rsidRPr="00D937CB" w:rsidRDefault="001177B1" w:rsidP="001177B1">
            <w:pPr>
              <w:spacing w:after="0" w:line="240" w:lineRule="auto"/>
              <w:jc w:val="right"/>
              <w:rPr>
                <w:rFonts w:ascii="Times New Roman" w:eastAsia="Times New Roman" w:hAnsi="Times New Roman" w:cs="Times New Roman"/>
                <w:b/>
                <w:sz w:val="18"/>
                <w:szCs w:val="18"/>
                <w:lang w:eastAsia="sk-SK"/>
              </w:rPr>
            </w:pPr>
            <w:r w:rsidRPr="00D937CB">
              <w:rPr>
                <w:rFonts w:ascii="Times New Roman" w:eastAsia="Times New Roman" w:hAnsi="Times New Roman" w:cs="Times New Roman"/>
                <w:b/>
                <w:sz w:val="18"/>
                <w:szCs w:val="18"/>
                <w:lang w:eastAsia="sk-SK"/>
              </w:rPr>
              <w:t>Rozdiel</w:t>
            </w:r>
          </w:p>
        </w:tc>
      </w:tr>
      <w:tr w:rsidR="001177B1" w:rsidRPr="001177B1" w14:paraId="30B551B7" w14:textId="77777777" w:rsidTr="001177B1">
        <w:trPr>
          <w:trHeight w:val="255"/>
          <w:jc w:val="center"/>
        </w:trPr>
        <w:tc>
          <w:tcPr>
            <w:tcW w:w="3218" w:type="pct"/>
            <w:tcBorders>
              <w:top w:val="nil"/>
              <w:left w:val="nil"/>
              <w:bottom w:val="nil"/>
              <w:right w:val="nil"/>
            </w:tcBorders>
            <w:shd w:val="clear" w:color="auto" w:fill="auto"/>
            <w:noWrap/>
            <w:vAlign w:val="center"/>
            <w:hideMark/>
          </w:tcPr>
          <w:p w14:paraId="58F2E4EF" w14:textId="77777777" w:rsidR="001177B1" w:rsidRPr="001177B1" w:rsidRDefault="001177B1" w:rsidP="001177B1">
            <w:pPr>
              <w:spacing w:after="0" w:line="240" w:lineRule="auto"/>
              <w:rPr>
                <w:rFonts w:ascii="Times New Roman" w:eastAsia="Times New Roman" w:hAnsi="Times New Roman" w:cs="Times New Roman"/>
                <w:sz w:val="18"/>
                <w:szCs w:val="18"/>
                <w:lang w:eastAsia="sk-SK"/>
              </w:rPr>
            </w:pPr>
            <w:r w:rsidRPr="001177B1">
              <w:rPr>
                <w:rFonts w:ascii="Times New Roman" w:eastAsia="Times New Roman" w:hAnsi="Times New Roman" w:cs="Times New Roman"/>
                <w:sz w:val="18"/>
                <w:szCs w:val="18"/>
                <w:lang w:eastAsia="sk-SK"/>
              </w:rPr>
              <w:t>Prostriedky z rozpočtu EÚ</w:t>
            </w:r>
          </w:p>
        </w:tc>
        <w:tc>
          <w:tcPr>
            <w:tcW w:w="594" w:type="pct"/>
            <w:tcBorders>
              <w:top w:val="nil"/>
              <w:left w:val="nil"/>
              <w:bottom w:val="nil"/>
              <w:right w:val="nil"/>
            </w:tcBorders>
            <w:shd w:val="clear" w:color="auto" w:fill="auto"/>
            <w:noWrap/>
            <w:vAlign w:val="center"/>
            <w:hideMark/>
          </w:tcPr>
          <w:p w14:paraId="79458375" w14:textId="77777777" w:rsidR="001177B1" w:rsidRPr="001177B1" w:rsidRDefault="001177B1" w:rsidP="001177B1">
            <w:pPr>
              <w:spacing w:after="0" w:line="240" w:lineRule="auto"/>
              <w:jc w:val="right"/>
              <w:rPr>
                <w:rFonts w:ascii="Times New Roman" w:eastAsia="Times New Roman" w:hAnsi="Times New Roman" w:cs="Times New Roman"/>
                <w:sz w:val="18"/>
                <w:szCs w:val="18"/>
                <w:lang w:eastAsia="sk-SK"/>
              </w:rPr>
            </w:pPr>
            <w:r w:rsidRPr="001177B1">
              <w:rPr>
                <w:rFonts w:ascii="Times New Roman" w:eastAsia="Times New Roman" w:hAnsi="Times New Roman" w:cs="Times New Roman"/>
                <w:sz w:val="18"/>
                <w:szCs w:val="18"/>
                <w:lang w:eastAsia="sk-SK"/>
              </w:rPr>
              <w:t>5 718</w:t>
            </w:r>
          </w:p>
        </w:tc>
        <w:tc>
          <w:tcPr>
            <w:tcW w:w="594" w:type="pct"/>
            <w:tcBorders>
              <w:top w:val="nil"/>
              <w:left w:val="nil"/>
              <w:bottom w:val="nil"/>
              <w:right w:val="nil"/>
            </w:tcBorders>
            <w:shd w:val="clear" w:color="auto" w:fill="auto"/>
            <w:noWrap/>
            <w:vAlign w:val="center"/>
            <w:hideMark/>
          </w:tcPr>
          <w:p w14:paraId="7AD10926" w14:textId="77777777" w:rsidR="001177B1" w:rsidRPr="001177B1" w:rsidRDefault="001177B1" w:rsidP="001177B1">
            <w:pPr>
              <w:spacing w:after="0" w:line="240" w:lineRule="auto"/>
              <w:jc w:val="right"/>
              <w:rPr>
                <w:rFonts w:ascii="Times New Roman" w:eastAsia="Times New Roman" w:hAnsi="Times New Roman" w:cs="Times New Roman"/>
                <w:sz w:val="18"/>
                <w:szCs w:val="18"/>
                <w:lang w:eastAsia="sk-SK"/>
              </w:rPr>
            </w:pPr>
            <w:r w:rsidRPr="001177B1">
              <w:rPr>
                <w:rFonts w:ascii="Times New Roman" w:eastAsia="Times New Roman" w:hAnsi="Times New Roman" w:cs="Times New Roman"/>
                <w:sz w:val="18"/>
                <w:szCs w:val="18"/>
                <w:lang w:eastAsia="sk-SK"/>
              </w:rPr>
              <w:t>5 552</w:t>
            </w:r>
          </w:p>
        </w:tc>
        <w:tc>
          <w:tcPr>
            <w:tcW w:w="594" w:type="pct"/>
            <w:tcBorders>
              <w:top w:val="nil"/>
              <w:left w:val="nil"/>
              <w:bottom w:val="nil"/>
              <w:right w:val="nil"/>
            </w:tcBorders>
            <w:shd w:val="clear" w:color="auto" w:fill="auto"/>
            <w:noWrap/>
            <w:vAlign w:val="center"/>
            <w:hideMark/>
          </w:tcPr>
          <w:p w14:paraId="4058FB81" w14:textId="77777777" w:rsidR="001177B1" w:rsidRPr="001177B1" w:rsidRDefault="001177B1" w:rsidP="001177B1">
            <w:pPr>
              <w:spacing w:after="0" w:line="240" w:lineRule="auto"/>
              <w:jc w:val="right"/>
              <w:rPr>
                <w:rFonts w:ascii="Times New Roman" w:eastAsia="Times New Roman" w:hAnsi="Times New Roman" w:cs="Times New Roman"/>
                <w:sz w:val="18"/>
                <w:szCs w:val="18"/>
                <w:lang w:eastAsia="sk-SK"/>
              </w:rPr>
            </w:pPr>
            <w:r w:rsidRPr="001177B1">
              <w:rPr>
                <w:rFonts w:ascii="Times New Roman" w:eastAsia="Times New Roman" w:hAnsi="Times New Roman" w:cs="Times New Roman"/>
                <w:sz w:val="18"/>
                <w:szCs w:val="18"/>
                <w:lang w:eastAsia="sk-SK"/>
              </w:rPr>
              <w:t>-166</w:t>
            </w:r>
          </w:p>
        </w:tc>
      </w:tr>
      <w:tr w:rsidR="001177B1" w:rsidRPr="001177B1" w14:paraId="4A82139D" w14:textId="77777777" w:rsidTr="001177B1">
        <w:trPr>
          <w:trHeight w:val="255"/>
          <w:jc w:val="center"/>
        </w:trPr>
        <w:tc>
          <w:tcPr>
            <w:tcW w:w="3218" w:type="pct"/>
            <w:tcBorders>
              <w:top w:val="nil"/>
              <w:left w:val="nil"/>
              <w:bottom w:val="single" w:sz="4" w:space="0" w:color="auto"/>
              <w:right w:val="nil"/>
            </w:tcBorders>
            <w:shd w:val="clear" w:color="auto" w:fill="auto"/>
            <w:noWrap/>
            <w:vAlign w:val="center"/>
            <w:hideMark/>
          </w:tcPr>
          <w:p w14:paraId="370CA8C1" w14:textId="6E622AF9" w:rsidR="001177B1" w:rsidRPr="001177B1" w:rsidRDefault="001177B1" w:rsidP="001177B1">
            <w:pPr>
              <w:spacing w:after="0" w:line="240" w:lineRule="auto"/>
              <w:rPr>
                <w:rFonts w:ascii="Times New Roman" w:eastAsia="Times New Roman" w:hAnsi="Times New Roman" w:cs="Times New Roman"/>
                <w:sz w:val="18"/>
                <w:szCs w:val="18"/>
                <w:lang w:eastAsia="sk-SK"/>
              </w:rPr>
            </w:pPr>
            <w:r w:rsidRPr="001177B1">
              <w:rPr>
                <w:rFonts w:ascii="Times New Roman" w:eastAsia="Times New Roman" w:hAnsi="Times New Roman" w:cs="Times New Roman"/>
                <w:sz w:val="18"/>
                <w:szCs w:val="18"/>
                <w:lang w:eastAsia="sk-SK"/>
              </w:rPr>
              <w:t>Prostriedky Plánu obnovy a</w:t>
            </w:r>
            <w:r w:rsidR="00305080">
              <w:rPr>
                <w:rFonts w:ascii="Times New Roman" w:eastAsia="Times New Roman" w:hAnsi="Times New Roman" w:cs="Times New Roman"/>
                <w:sz w:val="18"/>
                <w:szCs w:val="18"/>
                <w:lang w:eastAsia="sk-SK"/>
              </w:rPr>
              <w:t> </w:t>
            </w:r>
            <w:r w:rsidRPr="001177B1">
              <w:rPr>
                <w:rFonts w:ascii="Times New Roman" w:eastAsia="Times New Roman" w:hAnsi="Times New Roman" w:cs="Times New Roman"/>
                <w:sz w:val="18"/>
                <w:szCs w:val="18"/>
                <w:lang w:eastAsia="sk-SK"/>
              </w:rPr>
              <w:t>odolnosti</w:t>
            </w:r>
          </w:p>
        </w:tc>
        <w:tc>
          <w:tcPr>
            <w:tcW w:w="594" w:type="pct"/>
            <w:tcBorders>
              <w:top w:val="nil"/>
              <w:left w:val="nil"/>
              <w:bottom w:val="single" w:sz="4" w:space="0" w:color="auto"/>
              <w:right w:val="nil"/>
            </w:tcBorders>
            <w:shd w:val="clear" w:color="auto" w:fill="auto"/>
            <w:noWrap/>
            <w:vAlign w:val="center"/>
            <w:hideMark/>
          </w:tcPr>
          <w:p w14:paraId="7BB2D4B1" w14:textId="77777777" w:rsidR="001177B1" w:rsidRPr="001177B1" w:rsidRDefault="001177B1" w:rsidP="001177B1">
            <w:pPr>
              <w:spacing w:after="0" w:line="240" w:lineRule="auto"/>
              <w:jc w:val="right"/>
              <w:rPr>
                <w:rFonts w:ascii="Times New Roman" w:eastAsia="Times New Roman" w:hAnsi="Times New Roman" w:cs="Times New Roman"/>
                <w:sz w:val="18"/>
                <w:szCs w:val="18"/>
                <w:lang w:eastAsia="sk-SK"/>
              </w:rPr>
            </w:pPr>
            <w:r w:rsidRPr="001177B1">
              <w:rPr>
                <w:rFonts w:ascii="Times New Roman" w:eastAsia="Times New Roman" w:hAnsi="Times New Roman" w:cs="Times New Roman"/>
                <w:sz w:val="18"/>
                <w:szCs w:val="18"/>
                <w:lang w:eastAsia="sk-SK"/>
              </w:rPr>
              <w:t>2 011</w:t>
            </w:r>
          </w:p>
        </w:tc>
        <w:tc>
          <w:tcPr>
            <w:tcW w:w="594" w:type="pct"/>
            <w:tcBorders>
              <w:top w:val="nil"/>
              <w:left w:val="nil"/>
              <w:bottom w:val="single" w:sz="4" w:space="0" w:color="auto"/>
              <w:right w:val="nil"/>
            </w:tcBorders>
            <w:shd w:val="clear" w:color="auto" w:fill="auto"/>
            <w:noWrap/>
            <w:vAlign w:val="center"/>
            <w:hideMark/>
          </w:tcPr>
          <w:p w14:paraId="16968FAD" w14:textId="77777777" w:rsidR="001177B1" w:rsidRPr="001177B1" w:rsidRDefault="001177B1" w:rsidP="001177B1">
            <w:pPr>
              <w:spacing w:after="0" w:line="240" w:lineRule="auto"/>
              <w:jc w:val="right"/>
              <w:rPr>
                <w:rFonts w:ascii="Times New Roman" w:eastAsia="Times New Roman" w:hAnsi="Times New Roman" w:cs="Times New Roman"/>
                <w:sz w:val="18"/>
                <w:szCs w:val="18"/>
                <w:lang w:eastAsia="sk-SK"/>
              </w:rPr>
            </w:pPr>
            <w:r w:rsidRPr="001177B1">
              <w:rPr>
                <w:rFonts w:ascii="Times New Roman" w:eastAsia="Times New Roman" w:hAnsi="Times New Roman" w:cs="Times New Roman"/>
                <w:sz w:val="18"/>
                <w:szCs w:val="18"/>
                <w:lang w:eastAsia="sk-SK"/>
              </w:rPr>
              <w:t>412</w:t>
            </w:r>
          </w:p>
        </w:tc>
        <w:tc>
          <w:tcPr>
            <w:tcW w:w="594" w:type="pct"/>
            <w:tcBorders>
              <w:top w:val="nil"/>
              <w:left w:val="nil"/>
              <w:bottom w:val="single" w:sz="4" w:space="0" w:color="auto"/>
              <w:right w:val="nil"/>
            </w:tcBorders>
            <w:shd w:val="clear" w:color="auto" w:fill="auto"/>
            <w:noWrap/>
            <w:vAlign w:val="center"/>
            <w:hideMark/>
          </w:tcPr>
          <w:p w14:paraId="29129F9D" w14:textId="77777777" w:rsidR="001177B1" w:rsidRPr="001177B1" w:rsidRDefault="001177B1" w:rsidP="001177B1">
            <w:pPr>
              <w:spacing w:after="0" w:line="240" w:lineRule="auto"/>
              <w:jc w:val="right"/>
              <w:rPr>
                <w:rFonts w:ascii="Times New Roman" w:eastAsia="Times New Roman" w:hAnsi="Times New Roman" w:cs="Times New Roman"/>
                <w:sz w:val="18"/>
                <w:szCs w:val="18"/>
                <w:lang w:eastAsia="sk-SK"/>
              </w:rPr>
            </w:pPr>
            <w:r w:rsidRPr="001177B1">
              <w:rPr>
                <w:rFonts w:ascii="Times New Roman" w:eastAsia="Times New Roman" w:hAnsi="Times New Roman" w:cs="Times New Roman"/>
                <w:sz w:val="18"/>
                <w:szCs w:val="18"/>
                <w:lang w:eastAsia="sk-SK"/>
              </w:rPr>
              <w:t>-1 599</w:t>
            </w:r>
          </w:p>
        </w:tc>
      </w:tr>
    </w:tbl>
    <w:p w14:paraId="14EF557A" w14:textId="03B692BF" w:rsidR="005556B0" w:rsidRPr="004B0A60" w:rsidRDefault="00AF2AF3" w:rsidP="004B0A60">
      <w:pPr>
        <w:jc w:val="right"/>
        <w:rPr>
          <w:rFonts w:ascii="Times New Roman" w:hAnsi="Times New Roman" w:cs="Times New Roman"/>
          <w:i/>
          <w:sz w:val="16"/>
          <w:szCs w:val="16"/>
        </w:rPr>
      </w:pPr>
      <w:r>
        <w:rPr>
          <w:rFonts w:ascii="Times New Roman" w:hAnsi="Times New Roman" w:cs="Times New Roman"/>
          <w:i/>
          <w:sz w:val="16"/>
          <w:szCs w:val="16"/>
        </w:rPr>
        <w:t xml:space="preserve"> </w:t>
      </w:r>
      <w:r w:rsidRPr="00DB32F1">
        <w:rPr>
          <w:rFonts w:ascii="Times New Roman" w:hAnsi="Times New Roman" w:cs="Times New Roman"/>
          <w:i/>
          <w:sz w:val="16"/>
          <w:szCs w:val="16"/>
        </w:rPr>
        <w:t>Zdroj: MF SR</w:t>
      </w:r>
    </w:p>
    <w:p w14:paraId="3CAEF2FA" w14:textId="77777777" w:rsidR="00500AE2" w:rsidRDefault="0080040F" w:rsidP="0080040F">
      <w:pPr>
        <w:pStyle w:val="Zkladntext"/>
        <w:rPr>
          <w:rFonts w:ascii="Times New Roman" w:hAnsi="Times New Roman" w:cs="Times New Roman"/>
          <w:b/>
          <w:color w:val="5B9BD5" w:themeColor="accent1"/>
        </w:rPr>
      </w:pPr>
      <w:bookmarkStart w:id="21" w:name="_Toc79153409"/>
      <w:r w:rsidRPr="0080040F">
        <w:rPr>
          <w:rFonts w:ascii="Times New Roman" w:hAnsi="Times New Roman" w:cs="Times New Roman"/>
          <w:b/>
          <w:color w:val="5B9BD5" w:themeColor="accent1"/>
        </w:rPr>
        <w:t xml:space="preserve">2.1.3. </w:t>
      </w:r>
      <w:bookmarkEnd w:id="21"/>
      <w:r w:rsidR="00615471">
        <w:rPr>
          <w:rFonts w:ascii="Times New Roman" w:hAnsi="Times New Roman" w:cs="Times New Roman"/>
          <w:b/>
          <w:color w:val="5B9BD5" w:themeColor="accent1"/>
        </w:rPr>
        <w:t>Hospodárenie samospráv bez daňových príjmov</w:t>
      </w:r>
    </w:p>
    <w:p w14:paraId="1EAC2981" w14:textId="77777777" w:rsidR="00615471" w:rsidRDefault="00615471" w:rsidP="0080040F">
      <w:pPr>
        <w:pStyle w:val="Zkladntext"/>
        <w:rPr>
          <w:rFonts w:ascii="Times New Roman" w:hAnsi="Times New Roman" w:cs="Times New Roman"/>
          <w:b/>
          <w:color w:val="5B9BD5" w:themeColor="accent1"/>
        </w:rPr>
      </w:pPr>
    </w:p>
    <w:p w14:paraId="4DC0F4AE" w14:textId="3EC0F034" w:rsidR="00AF2AF3" w:rsidRDefault="00AF2AF3" w:rsidP="00AF2AF3">
      <w:pPr>
        <w:spacing w:after="0"/>
        <w:jc w:val="both"/>
        <w:rPr>
          <w:rFonts w:ascii="Times New Roman" w:hAnsi="Times New Roman" w:cs="Times New Roman"/>
          <w:sz w:val="24"/>
          <w:szCs w:val="24"/>
        </w:rPr>
      </w:pPr>
      <w:r>
        <w:rPr>
          <w:rFonts w:ascii="Times New Roman" w:hAnsi="Times New Roman" w:cs="Times New Roman"/>
          <w:sz w:val="24"/>
          <w:szCs w:val="24"/>
        </w:rPr>
        <w:t xml:space="preserve">Hospodárenie samospráv bez daňových príjmov sa aktuálne </w:t>
      </w:r>
      <w:r w:rsidRPr="00CA1C84">
        <w:rPr>
          <w:rFonts w:ascii="Times New Roman" w:hAnsi="Times New Roman" w:cs="Times New Roman"/>
          <w:sz w:val="24"/>
          <w:szCs w:val="24"/>
        </w:rPr>
        <w:t>očakáva lepšie o 166 mil. eur oproti schválenému rozpočtu.</w:t>
      </w:r>
    </w:p>
    <w:p w14:paraId="0ACBC227" w14:textId="7951B794" w:rsidR="00590E2B" w:rsidRDefault="00590E2B" w:rsidP="00AF2AF3">
      <w:pPr>
        <w:spacing w:after="0"/>
        <w:jc w:val="both"/>
        <w:rPr>
          <w:rFonts w:ascii="Times New Roman" w:hAnsi="Times New Roman" w:cs="Times New Roman"/>
          <w:sz w:val="24"/>
          <w:szCs w:val="24"/>
        </w:rPr>
      </w:pPr>
    </w:p>
    <w:p w14:paraId="4EFCA1C6" w14:textId="0FB9201E" w:rsidR="00590E2B" w:rsidRDefault="00590E2B" w:rsidP="00AF2AF3">
      <w:pPr>
        <w:spacing w:after="0"/>
        <w:jc w:val="both"/>
        <w:rPr>
          <w:rFonts w:ascii="Times New Roman" w:hAnsi="Times New Roman" w:cs="Times New Roman"/>
          <w:sz w:val="24"/>
          <w:szCs w:val="24"/>
        </w:rPr>
      </w:pPr>
    </w:p>
    <w:p w14:paraId="4C11DF7C" w14:textId="0C32E71C" w:rsidR="00590E2B" w:rsidRDefault="00590E2B" w:rsidP="00AF2AF3">
      <w:pPr>
        <w:spacing w:after="0"/>
        <w:jc w:val="both"/>
        <w:rPr>
          <w:rFonts w:ascii="Times New Roman" w:hAnsi="Times New Roman" w:cs="Times New Roman"/>
          <w:sz w:val="24"/>
          <w:szCs w:val="24"/>
        </w:rPr>
      </w:pPr>
    </w:p>
    <w:p w14:paraId="17D8C3D6" w14:textId="23C37110" w:rsidR="00590E2B" w:rsidRDefault="00590E2B" w:rsidP="00AF2AF3">
      <w:pPr>
        <w:spacing w:after="0"/>
        <w:jc w:val="both"/>
        <w:rPr>
          <w:rFonts w:ascii="Times New Roman" w:hAnsi="Times New Roman" w:cs="Times New Roman"/>
          <w:sz w:val="24"/>
          <w:szCs w:val="24"/>
        </w:rPr>
      </w:pPr>
    </w:p>
    <w:p w14:paraId="1BD52B03" w14:textId="0F393FF0" w:rsidR="00590E2B" w:rsidRDefault="00590E2B" w:rsidP="00AF2AF3">
      <w:pPr>
        <w:spacing w:after="0"/>
        <w:jc w:val="both"/>
        <w:rPr>
          <w:rFonts w:ascii="Times New Roman" w:hAnsi="Times New Roman" w:cs="Times New Roman"/>
          <w:sz w:val="24"/>
          <w:szCs w:val="24"/>
        </w:rPr>
      </w:pPr>
    </w:p>
    <w:p w14:paraId="4F65AA78" w14:textId="3352DEAA" w:rsidR="00BB1F06" w:rsidRDefault="00BB1F06" w:rsidP="00AF2AF3">
      <w:pPr>
        <w:spacing w:after="0"/>
        <w:jc w:val="both"/>
        <w:rPr>
          <w:rFonts w:ascii="Times New Roman" w:hAnsi="Times New Roman" w:cs="Times New Roman"/>
          <w:sz w:val="24"/>
          <w:szCs w:val="24"/>
        </w:rPr>
      </w:pPr>
    </w:p>
    <w:p w14:paraId="0D34FF85" w14:textId="77777777" w:rsidR="00776107" w:rsidRDefault="00776107" w:rsidP="00AF2AF3">
      <w:pPr>
        <w:spacing w:after="0"/>
        <w:jc w:val="both"/>
        <w:rPr>
          <w:rFonts w:ascii="Times New Roman" w:hAnsi="Times New Roman" w:cs="Times New Roman"/>
          <w:sz w:val="24"/>
          <w:szCs w:val="24"/>
        </w:rPr>
      </w:pPr>
    </w:p>
    <w:p w14:paraId="0A498A40" w14:textId="72103704" w:rsidR="00AF2AF3" w:rsidRPr="00D937CB" w:rsidRDefault="00AF2AF3" w:rsidP="00AF2AF3">
      <w:pPr>
        <w:spacing w:after="0"/>
        <w:rPr>
          <w:rFonts w:ascii="Times New Roman" w:hAnsi="Times New Roman" w:cs="Times New Roman"/>
          <w:b/>
          <w:color w:val="5B9BD5" w:themeColor="accent1"/>
          <w:sz w:val="20"/>
          <w:szCs w:val="20"/>
        </w:rPr>
      </w:pPr>
      <w:bookmarkStart w:id="22" w:name="_Toc153013004"/>
      <w:r w:rsidRPr="00D937CB">
        <w:rPr>
          <w:rFonts w:ascii="Times New Roman" w:hAnsi="Times New Roman" w:cs="Times New Roman"/>
          <w:b/>
          <w:color w:val="5B9BD5" w:themeColor="accent1"/>
          <w:sz w:val="20"/>
          <w:szCs w:val="20"/>
        </w:rPr>
        <w:t xml:space="preserve">Tabuľka </w:t>
      </w:r>
      <w:r w:rsidRPr="00D937CB">
        <w:rPr>
          <w:rFonts w:ascii="Times New Roman" w:hAnsi="Times New Roman" w:cs="Times New Roman"/>
          <w:b/>
          <w:color w:val="5B9BD5" w:themeColor="accent1"/>
          <w:sz w:val="20"/>
          <w:szCs w:val="20"/>
        </w:rPr>
        <w:fldChar w:fldCharType="begin"/>
      </w:r>
      <w:r w:rsidRPr="00D937CB">
        <w:rPr>
          <w:rFonts w:ascii="Times New Roman" w:hAnsi="Times New Roman" w:cs="Times New Roman"/>
          <w:b/>
          <w:color w:val="5B9BD5" w:themeColor="accent1"/>
          <w:sz w:val="20"/>
          <w:szCs w:val="20"/>
        </w:rPr>
        <w:instrText xml:space="preserve"> SEQ Tabuľka \* ARABIC </w:instrText>
      </w:r>
      <w:r w:rsidRPr="00D937CB">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6</w:t>
      </w:r>
      <w:r w:rsidRPr="00D937CB">
        <w:rPr>
          <w:rFonts w:ascii="Times New Roman" w:hAnsi="Times New Roman" w:cs="Times New Roman"/>
          <w:b/>
          <w:color w:val="5B9BD5" w:themeColor="accent1"/>
          <w:sz w:val="20"/>
          <w:szCs w:val="20"/>
        </w:rPr>
        <w:fldChar w:fldCharType="end"/>
      </w:r>
      <w:r w:rsidRPr="00D937CB">
        <w:rPr>
          <w:rFonts w:ascii="Times New Roman" w:hAnsi="Times New Roman" w:cs="Times New Roman"/>
          <w:b/>
          <w:color w:val="5B9BD5" w:themeColor="accent1"/>
          <w:sz w:val="20"/>
          <w:szCs w:val="20"/>
        </w:rPr>
        <w:t xml:space="preserve"> – Hospodárenie samospráv bez daní</w:t>
      </w:r>
      <w:bookmarkEnd w:id="22"/>
    </w:p>
    <w:tbl>
      <w:tblPr>
        <w:tblW w:w="5000" w:type="pct"/>
        <w:jc w:val="center"/>
        <w:tblCellMar>
          <w:left w:w="70" w:type="dxa"/>
          <w:right w:w="70" w:type="dxa"/>
        </w:tblCellMar>
        <w:tblLook w:val="04A0" w:firstRow="1" w:lastRow="0" w:firstColumn="1" w:lastColumn="0" w:noHBand="0" w:noVBand="1"/>
      </w:tblPr>
      <w:tblGrid>
        <w:gridCol w:w="7666"/>
        <w:gridCol w:w="1406"/>
      </w:tblGrid>
      <w:tr w:rsidR="001177B1" w:rsidRPr="001177B1" w14:paraId="47F1C515" w14:textId="77777777" w:rsidTr="001177B1">
        <w:trPr>
          <w:trHeight w:val="255"/>
          <w:jc w:val="center"/>
        </w:trPr>
        <w:tc>
          <w:tcPr>
            <w:tcW w:w="4225" w:type="pct"/>
            <w:tcBorders>
              <w:top w:val="single" w:sz="4" w:space="0" w:color="auto"/>
              <w:left w:val="nil"/>
              <w:bottom w:val="single" w:sz="4" w:space="0" w:color="auto"/>
              <w:right w:val="nil"/>
            </w:tcBorders>
            <w:shd w:val="clear" w:color="auto" w:fill="auto"/>
            <w:vAlign w:val="center"/>
            <w:hideMark/>
          </w:tcPr>
          <w:p w14:paraId="424965C2" w14:textId="77777777" w:rsidR="001177B1" w:rsidRPr="001177B1" w:rsidRDefault="001177B1" w:rsidP="001177B1">
            <w:pPr>
              <w:spacing w:after="0" w:line="240" w:lineRule="auto"/>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b/>
                <w:bCs/>
                <w:color w:val="000000"/>
                <w:sz w:val="18"/>
                <w:szCs w:val="18"/>
                <w:lang w:eastAsia="sk-SK"/>
              </w:rPr>
              <w:t>Hospodárenie samospráv bez daní</w:t>
            </w:r>
            <w:r w:rsidRPr="001177B1">
              <w:rPr>
                <w:rFonts w:ascii="Times New Roman" w:eastAsia="Times New Roman" w:hAnsi="Times New Roman" w:cs="Times New Roman"/>
                <w:color w:val="000000"/>
                <w:sz w:val="18"/>
                <w:szCs w:val="18"/>
                <w:lang w:eastAsia="sk-SK"/>
              </w:rPr>
              <w:br/>
              <w:t>(v mil. eur; na nekonsolidovanej báze)</w:t>
            </w:r>
          </w:p>
        </w:tc>
        <w:tc>
          <w:tcPr>
            <w:tcW w:w="775" w:type="pct"/>
            <w:tcBorders>
              <w:top w:val="single" w:sz="4" w:space="0" w:color="auto"/>
              <w:left w:val="nil"/>
              <w:bottom w:val="single" w:sz="4" w:space="0" w:color="auto"/>
              <w:right w:val="nil"/>
            </w:tcBorders>
            <w:shd w:val="clear" w:color="auto" w:fill="auto"/>
            <w:noWrap/>
            <w:vAlign w:val="center"/>
            <w:hideMark/>
          </w:tcPr>
          <w:p w14:paraId="14D19946"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166</w:t>
            </w:r>
          </w:p>
        </w:tc>
      </w:tr>
      <w:tr w:rsidR="001177B1" w:rsidRPr="001177B1" w14:paraId="7A73E6E6" w14:textId="77777777" w:rsidTr="001177B1">
        <w:trPr>
          <w:trHeight w:val="255"/>
          <w:jc w:val="center"/>
        </w:trPr>
        <w:tc>
          <w:tcPr>
            <w:tcW w:w="4225" w:type="pct"/>
            <w:tcBorders>
              <w:top w:val="nil"/>
              <w:left w:val="nil"/>
              <w:bottom w:val="nil"/>
              <w:right w:val="nil"/>
            </w:tcBorders>
            <w:shd w:val="clear" w:color="auto" w:fill="auto"/>
            <w:noWrap/>
            <w:vAlign w:val="center"/>
            <w:hideMark/>
          </w:tcPr>
          <w:p w14:paraId="21228861" w14:textId="77777777" w:rsidR="001177B1" w:rsidRPr="001177B1" w:rsidRDefault="001177B1" w:rsidP="001177B1">
            <w:pPr>
              <w:spacing w:after="0" w:line="240" w:lineRule="auto"/>
              <w:rPr>
                <w:rFonts w:ascii="Times New Roman" w:eastAsia="Times New Roman" w:hAnsi="Times New Roman" w:cs="Times New Roman"/>
                <w:sz w:val="18"/>
                <w:szCs w:val="18"/>
                <w:lang w:eastAsia="sk-SK"/>
              </w:rPr>
            </w:pPr>
            <w:r w:rsidRPr="001177B1">
              <w:rPr>
                <w:rFonts w:ascii="Times New Roman" w:eastAsia="Times New Roman" w:hAnsi="Times New Roman" w:cs="Times New Roman"/>
                <w:sz w:val="18"/>
                <w:szCs w:val="18"/>
                <w:lang w:eastAsia="sk-SK"/>
              </w:rPr>
              <w:t>Nedaňové príjmy</w:t>
            </w:r>
          </w:p>
        </w:tc>
        <w:tc>
          <w:tcPr>
            <w:tcW w:w="775" w:type="pct"/>
            <w:tcBorders>
              <w:top w:val="single" w:sz="4" w:space="0" w:color="auto"/>
              <w:left w:val="nil"/>
              <w:bottom w:val="nil"/>
              <w:right w:val="nil"/>
            </w:tcBorders>
            <w:shd w:val="clear" w:color="auto" w:fill="auto"/>
            <w:noWrap/>
            <w:vAlign w:val="center"/>
            <w:hideMark/>
          </w:tcPr>
          <w:p w14:paraId="44D6AB3C" w14:textId="77777777" w:rsidR="001177B1" w:rsidRPr="001177B1" w:rsidRDefault="001177B1" w:rsidP="001177B1">
            <w:pPr>
              <w:spacing w:after="0" w:line="240" w:lineRule="auto"/>
              <w:jc w:val="right"/>
              <w:rPr>
                <w:rFonts w:ascii="Times New Roman" w:eastAsia="Times New Roman" w:hAnsi="Times New Roman" w:cs="Times New Roman"/>
                <w:i/>
                <w:iCs/>
                <w:color w:val="000000"/>
                <w:sz w:val="18"/>
                <w:szCs w:val="18"/>
                <w:lang w:eastAsia="sk-SK"/>
              </w:rPr>
            </w:pPr>
            <w:r w:rsidRPr="001177B1">
              <w:rPr>
                <w:rFonts w:ascii="Times New Roman" w:eastAsia="Times New Roman" w:hAnsi="Times New Roman" w:cs="Times New Roman"/>
                <w:i/>
                <w:iCs/>
                <w:color w:val="000000"/>
                <w:sz w:val="18"/>
                <w:szCs w:val="18"/>
                <w:lang w:eastAsia="sk-SK"/>
              </w:rPr>
              <w:t>90</w:t>
            </w:r>
          </w:p>
        </w:tc>
      </w:tr>
      <w:tr w:rsidR="001177B1" w:rsidRPr="001177B1" w14:paraId="0ADF9A35" w14:textId="77777777" w:rsidTr="001177B1">
        <w:trPr>
          <w:trHeight w:val="255"/>
          <w:jc w:val="center"/>
        </w:trPr>
        <w:tc>
          <w:tcPr>
            <w:tcW w:w="4225" w:type="pct"/>
            <w:tcBorders>
              <w:top w:val="nil"/>
              <w:left w:val="nil"/>
              <w:bottom w:val="nil"/>
              <w:right w:val="nil"/>
            </w:tcBorders>
            <w:shd w:val="clear" w:color="auto" w:fill="auto"/>
            <w:noWrap/>
            <w:vAlign w:val="center"/>
            <w:hideMark/>
          </w:tcPr>
          <w:p w14:paraId="4B6DF80B" w14:textId="58CDBAB4" w:rsidR="001177B1" w:rsidRPr="001177B1" w:rsidRDefault="001177B1" w:rsidP="001177B1">
            <w:pPr>
              <w:spacing w:after="0" w:line="240" w:lineRule="auto"/>
              <w:rPr>
                <w:rFonts w:ascii="Times New Roman" w:eastAsia="Times New Roman" w:hAnsi="Times New Roman" w:cs="Times New Roman"/>
                <w:sz w:val="18"/>
                <w:szCs w:val="18"/>
                <w:lang w:eastAsia="sk-SK"/>
              </w:rPr>
            </w:pPr>
            <w:r w:rsidRPr="001177B1">
              <w:rPr>
                <w:rFonts w:ascii="Times New Roman" w:eastAsia="Times New Roman" w:hAnsi="Times New Roman" w:cs="Times New Roman"/>
                <w:sz w:val="18"/>
                <w:szCs w:val="18"/>
                <w:lang w:eastAsia="sk-SK"/>
              </w:rPr>
              <w:t>Granty a</w:t>
            </w:r>
            <w:r w:rsidR="00305080">
              <w:rPr>
                <w:rFonts w:ascii="Times New Roman" w:eastAsia="Times New Roman" w:hAnsi="Times New Roman" w:cs="Times New Roman"/>
                <w:sz w:val="18"/>
                <w:szCs w:val="18"/>
                <w:lang w:eastAsia="sk-SK"/>
              </w:rPr>
              <w:t> </w:t>
            </w:r>
            <w:r w:rsidRPr="001177B1">
              <w:rPr>
                <w:rFonts w:ascii="Times New Roman" w:eastAsia="Times New Roman" w:hAnsi="Times New Roman" w:cs="Times New Roman"/>
                <w:sz w:val="18"/>
                <w:szCs w:val="18"/>
                <w:lang w:eastAsia="sk-SK"/>
              </w:rPr>
              <w:t>transfery</w:t>
            </w:r>
          </w:p>
        </w:tc>
        <w:tc>
          <w:tcPr>
            <w:tcW w:w="775" w:type="pct"/>
            <w:tcBorders>
              <w:top w:val="nil"/>
              <w:left w:val="nil"/>
              <w:bottom w:val="nil"/>
              <w:right w:val="nil"/>
            </w:tcBorders>
            <w:shd w:val="clear" w:color="auto" w:fill="auto"/>
            <w:noWrap/>
            <w:vAlign w:val="center"/>
            <w:hideMark/>
          </w:tcPr>
          <w:p w14:paraId="54D1ACD0" w14:textId="77777777" w:rsidR="001177B1" w:rsidRPr="001177B1" w:rsidRDefault="001177B1" w:rsidP="001177B1">
            <w:pPr>
              <w:spacing w:after="0" w:line="240" w:lineRule="auto"/>
              <w:jc w:val="right"/>
              <w:rPr>
                <w:rFonts w:ascii="Times New Roman" w:eastAsia="Times New Roman" w:hAnsi="Times New Roman" w:cs="Times New Roman"/>
                <w:i/>
                <w:iCs/>
                <w:color w:val="000000"/>
                <w:sz w:val="18"/>
                <w:szCs w:val="18"/>
                <w:lang w:eastAsia="sk-SK"/>
              </w:rPr>
            </w:pPr>
            <w:r w:rsidRPr="001177B1">
              <w:rPr>
                <w:rFonts w:ascii="Times New Roman" w:eastAsia="Times New Roman" w:hAnsi="Times New Roman" w:cs="Times New Roman"/>
                <w:i/>
                <w:iCs/>
                <w:color w:val="000000"/>
                <w:sz w:val="18"/>
                <w:szCs w:val="18"/>
                <w:lang w:eastAsia="sk-SK"/>
              </w:rPr>
              <w:t>1 221</w:t>
            </w:r>
          </w:p>
        </w:tc>
      </w:tr>
      <w:tr w:rsidR="001177B1" w:rsidRPr="001177B1" w14:paraId="6933EDBA" w14:textId="77777777" w:rsidTr="001177B1">
        <w:trPr>
          <w:trHeight w:val="255"/>
          <w:jc w:val="center"/>
        </w:trPr>
        <w:tc>
          <w:tcPr>
            <w:tcW w:w="4225" w:type="pct"/>
            <w:tcBorders>
              <w:top w:val="nil"/>
              <w:left w:val="nil"/>
              <w:bottom w:val="nil"/>
              <w:right w:val="nil"/>
            </w:tcBorders>
            <w:shd w:val="clear" w:color="auto" w:fill="auto"/>
            <w:noWrap/>
            <w:vAlign w:val="center"/>
            <w:hideMark/>
          </w:tcPr>
          <w:p w14:paraId="3F2B9349" w14:textId="77777777" w:rsidR="001177B1" w:rsidRPr="001177B1" w:rsidRDefault="001177B1" w:rsidP="001177B1">
            <w:pPr>
              <w:spacing w:after="0" w:line="240" w:lineRule="auto"/>
              <w:rPr>
                <w:rFonts w:ascii="Times New Roman" w:eastAsia="Times New Roman" w:hAnsi="Times New Roman" w:cs="Times New Roman"/>
                <w:sz w:val="18"/>
                <w:szCs w:val="18"/>
                <w:lang w:eastAsia="sk-SK"/>
              </w:rPr>
            </w:pPr>
            <w:r w:rsidRPr="001177B1">
              <w:rPr>
                <w:rFonts w:ascii="Times New Roman" w:eastAsia="Times New Roman" w:hAnsi="Times New Roman" w:cs="Times New Roman"/>
                <w:sz w:val="18"/>
                <w:szCs w:val="18"/>
                <w:lang w:eastAsia="sk-SK"/>
              </w:rPr>
              <w:t>Bežné výdavky</w:t>
            </w:r>
          </w:p>
        </w:tc>
        <w:tc>
          <w:tcPr>
            <w:tcW w:w="775" w:type="pct"/>
            <w:tcBorders>
              <w:top w:val="nil"/>
              <w:left w:val="nil"/>
              <w:bottom w:val="nil"/>
              <w:right w:val="nil"/>
            </w:tcBorders>
            <w:shd w:val="clear" w:color="auto" w:fill="auto"/>
            <w:noWrap/>
            <w:vAlign w:val="center"/>
            <w:hideMark/>
          </w:tcPr>
          <w:p w14:paraId="05BE1B8F" w14:textId="77777777" w:rsidR="001177B1" w:rsidRPr="001177B1" w:rsidRDefault="001177B1" w:rsidP="001177B1">
            <w:pPr>
              <w:spacing w:after="0" w:line="240" w:lineRule="auto"/>
              <w:jc w:val="right"/>
              <w:rPr>
                <w:rFonts w:ascii="Times New Roman" w:eastAsia="Times New Roman" w:hAnsi="Times New Roman" w:cs="Times New Roman"/>
                <w:i/>
                <w:iCs/>
                <w:color w:val="000000"/>
                <w:sz w:val="18"/>
                <w:szCs w:val="18"/>
                <w:lang w:eastAsia="sk-SK"/>
              </w:rPr>
            </w:pPr>
            <w:r w:rsidRPr="001177B1">
              <w:rPr>
                <w:rFonts w:ascii="Times New Roman" w:eastAsia="Times New Roman" w:hAnsi="Times New Roman" w:cs="Times New Roman"/>
                <w:i/>
                <w:iCs/>
                <w:color w:val="000000"/>
                <w:sz w:val="18"/>
                <w:szCs w:val="18"/>
                <w:lang w:eastAsia="sk-SK"/>
              </w:rPr>
              <w:t>-754</w:t>
            </w:r>
          </w:p>
        </w:tc>
      </w:tr>
      <w:tr w:rsidR="001177B1" w:rsidRPr="001177B1" w14:paraId="4721CE6E" w14:textId="77777777" w:rsidTr="001177B1">
        <w:trPr>
          <w:trHeight w:val="255"/>
          <w:jc w:val="center"/>
        </w:trPr>
        <w:tc>
          <w:tcPr>
            <w:tcW w:w="4225" w:type="pct"/>
            <w:tcBorders>
              <w:top w:val="nil"/>
              <w:left w:val="nil"/>
              <w:bottom w:val="nil"/>
              <w:right w:val="nil"/>
            </w:tcBorders>
            <w:shd w:val="clear" w:color="auto" w:fill="auto"/>
            <w:noWrap/>
            <w:vAlign w:val="center"/>
            <w:hideMark/>
          </w:tcPr>
          <w:p w14:paraId="0833DBEE" w14:textId="77777777" w:rsidR="001177B1" w:rsidRPr="001177B1" w:rsidRDefault="001177B1" w:rsidP="001177B1">
            <w:pPr>
              <w:spacing w:after="0" w:line="240" w:lineRule="auto"/>
              <w:rPr>
                <w:rFonts w:ascii="Times New Roman" w:eastAsia="Times New Roman" w:hAnsi="Times New Roman" w:cs="Times New Roman"/>
                <w:sz w:val="18"/>
                <w:szCs w:val="18"/>
                <w:lang w:eastAsia="sk-SK"/>
              </w:rPr>
            </w:pPr>
            <w:r w:rsidRPr="001177B1">
              <w:rPr>
                <w:rFonts w:ascii="Times New Roman" w:eastAsia="Times New Roman" w:hAnsi="Times New Roman" w:cs="Times New Roman"/>
                <w:sz w:val="18"/>
                <w:szCs w:val="18"/>
                <w:lang w:eastAsia="sk-SK"/>
              </w:rPr>
              <w:t>Kapitálové výdavky</w:t>
            </w:r>
          </w:p>
        </w:tc>
        <w:tc>
          <w:tcPr>
            <w:tcW w:w="775" w:type="pct"/>
            <w:tcBorders>
              <w:top w:val="nil"/>
              <w:left w:val="nil"/>
              <w:bottom w:val="nil"/>
              <w:right w:val="nil"/>
            </w:tcBorders>
            <w:shd w:val="clear" w:color="auto" w:fill="auto"/>
            <w:noWrap/>
            <w:vAlign w:val="center"/>
            <w:hideMark/>
          </w:tcPr>
          <w:p w14:paraId="4888E764" w14:textId="77777777" w:rsidR="001177B1" w:rsidRPr="001177B1" w:rsidRDefault="001177B1" w:rsidP="001177B1">
            <w:pPr>
              <w:spacing w:after="0" w:line="240" w:lineRule="auto"/>
              <w:jc w:val="right"/>
              <w:rPr>
                <w:rFonts w:ascii="Times New Roman" w:eastAsia="Times New Roman" w:hAnsi="Times New Roman" w:cs="Times New Roman"/>
                <w:i/>
                <w:iCs/>
                <w:color w:val="000000"/>
                <w:sz w:val="18"/>
                <w:szCs w:val="18"/>
                <w:lang w:eastAsia="sk-SK"/>
              </w:rPr>
            </w:pPr>
            <w:r w:rsidRPr="001177B1">
              <w:rPr>
                <w:rFonts w:ascii="Times New Roman" w:eastAsia="Times New Roman" w:hAnsi="Times New Roman" w:cs="Times New Roman"/>
                <w:i/>
                <w:iCs/>
                <w:color w:val="000000"/>
                <w:sz w:val="18"/>
                <w:szCs w:val="18"/>
                <w:lang w:eastAsia="sk-SK"/>
              </w:rPr>
              <w:t>-543</w:t>
            </w:r>
          </w:p>
        </w:tc>
      </w:tr>
      <w:tr w:rsidR="001177B1" w:rsidRPr="001177B1" w14:paraId="1AF40D7B" w14:textId="77777777" w:rsidTr="001177B1">
        <w:trPr>
          <w:trHeight w:val="255"/>
          <w:jc w:val="center"/>
        </w:trPr>
        <w:tc>
          <w:tcPr>
            <w:tcW w:w="4225" w:type="pct"/>
            <w:tcBorders>
              <w:top w:val="nil"/>
              <w:left w:val="nil"/>
              <w:bottom w:val="single" w:sz="4" w:space="0" w:color="auto"/>
              <w:right w:val="nil"/>
            </w:tcBorders>
            <w:shd w:val="clear" w:color="auto" w:fill="auto"/>
            <w:noWrap/>
            <w:vAlign w:val="center"/>
            <w:hideMark/>
          </w:tcPr>
          <w:p w14:paraId="76F92966" w14:textId="77777777" w:rsidR="001177B1" w:rsidRPr="001177B1" w:rsidRDefault="001177B1" w:rsidP="001177B1">
            <w:pPr>
              <w:spacing w:after="0" w:line="240" w:lineRule="auto"/>
              <w:rPr>
                <w:rFonts w:ascii="Times New Roman" w:eastAsia="Times New Roman" w:hAnsi="Times New Roman" w:cs="Times New Roman"/>
                <w:sz w:val="18"/>
                <w:szCs w:val="18"/>
                <w:lang w:eastAsia="sk-SK"/>
              </w:rPr>
            </w:pPr>
            <w:r w:rsidRPr="001177B1">
              <w:rPr>
                <w:rFonts w:ascii="Times New Roman" w:eastAsia="Times New Roman" w:hAnsi="Times New Roman" w:cs="Times New Roman"/>
                <w:sz w:val="18"/>
                <w:szCs w:val="18"/>
                <w:lang w:eastAsia="sk-SK"/>
              </w:rPr>
              <w:t>Odpustenie návratných finančných výpomocí (</w:t>
            </w:r>
            <w:proofErr w:type="spellStart"/>
            <w:r w:rsidRPr="001177B1">
              <w:rPr>
                <w:rFonts w:ascii="Times New Roman" w:eastAsia="Times New Roman" w:hAnsi="Times New Roman" w:cs="Times New Roman"/>
                <w:sz w:val="18"/>
                <w:szCs w:val="18"/>
                <w:lang w:eastAsia="sk-SK"/>
              </w:rPr>
              <w:t>uzn.vl</w:t>
            </w:r>
            <w:proofErr w:type="spellEnd"/>
            <w:r w:rsidRPr="001177B1">
              <w:rPr>
                <w:rFonts w:ascii="Times New Roman" w:eastAsia="Times New Roman" w:hAnsi="Times New Roman" w:cs="Times New Roman"/>
                <w:sz w:val="18"/>
                <w:szCs w:val="18"/>
                <w:lang w:eastAsia="sk-SK"/>
              </w:rPr>
              <w:t>. 459/2023)</w:t>
            </w:r>
          </w:p>
        </w:tc>
        <w:tc>
          <w:tcPr>
            <w:tcW w:w="775" w:type="pct"/>
            <w:tcBorders>
              <w:top w:val="nil"/>
              <w:left w:val="nil"/>
              <w:bottom w:val="single" w:sz="4" w:space="0" w:color="auto"/>
              <w:right w:val="nil"/>
            </w:tcBorders>
            <w:shd w:val="clear" w:color="auto" w:fill="auto"/>
            <w:noWrap/>
            <w:vAlign w:val="center"/>
            <w:hideMark/>
          </w:tcPr>
          <w:p w14:paraId="4FB62D48" w14:textId="77777777" w:rsidR="001177B1" w:rsidRPr="001177B1" w:rsidRDefault="001177B1" w:rsidP="001177B1">
            <w:pPr>
              <w:spacing w:after="0" w:line="240" w:lineRule="auto"/>
              <w:jc w:val="right"/>
              <w:rPr>
                <w:rFonts w:ascii="Times New Roman" w:eastAsia="Times New Roman" w:hAnsi="Times New Roman" w:cs="Times New Roman"/>
                <w:i/>
                <w:iCs/>
                <w:color w:val="000000"/>
                <w:sz w:val="18"/>
                <w:szCs w:val="18"/>
                <w:lang w:eastAsia="sk-SK"/>
              </w:rPr>
            </w:pPr>
            <w:r w:rsidRPr="001177B1">
              <w:rPr>
                <w:rFonts w:ascii="Times New Roman" w:eastAsia="Times New Roman" w:hAnsi="Times New Roman" w:cs="Times New Roman"/>
                <w:i/>
                <w:iCs/>
                <w:color w:val="000000"/>
                <w:sz w:val="18"/>
                <w:szCs w:val="18"/>
                <w:lang w:eastAsia="sk-SK"/>
              </w:rPr>
              <w:t>152</w:t>
            </w:r>
          </w:p>
        </w:tc>
      </w:tr>
    </w:tbl>
    <w:p w14:paraId="38DF019D" w14:textId="77777777" w:rsidR="00590E2B" w:rsidRDefault="00590E2B" w:rsidP="001177B1">
      <w:pPr>
        <w:spacing w:after="0"/>
        <w:jc w:val="both"/>
        <w:rPr>
          <w:rFonts w:ascii="Times New Roman" w:hAnsi="Times New Roman" w:cs="Times New Roman"/>
          <w:sz w:val="24"/>
          <w:szCs w:val="24"/>
        </w:rPr>
      </w:pPr>
    </w:p>
    <w:p w14:paraId="22F27409" w14:textId="273F0CE9" w:rsidR="001177B1" w:rsidRPr="001001ED" w:rsidRDefault="001177B1" w:rsidP="001177B1">
      <w:pPr>
        <w:spacing w:after="0"/>
        <w:jc w:val="both"/>
        <w:rPr>
          <w:rFonts w:ascii="Times New Roman" w:hAnsi="Times New Roman" w:cs="Times New Roman"/>
          <w:sz w:val="24"/>
          <w:szCs w:val="24"/>
        </w:rPr>
      </w:pPr>
      <w:r w:rsidRPr="001001ED">
        <w:rPr>
          <w:rFonts w:ascii="Times New Roman" w:hAnsi="Times New Roman" w:cs="Times New Roman"/>
          <w:sz w:val="24"/>
          <w:szCs w:val="24"/>
        </w:rPr>
        <w:t xml:space="preserve">Na základe dostupných údajov o vývoji skutočnosti sa odhaduje oproti schválenému rozpočtu na rok 2023 nárast iných ako daňových príjmov subjektov územnej samosprávy (obcí, vyšších územných celkov a dopravných podnikov) vo výške </w:t>
      </w:r>
      <w:r>
        <w:rPr>
          <w:rFonts w:ascii="Times New Roman" w:hAnsi="Times New Roman" w:cs="Times New Roman"/>
          <w:sz w:val="24"/>
          <w:szCs w:val="24"/>
        </w:rPr>
        <w:t>9</w:t>
      </w:r>
      <w:r w:rsidRPr="001001ED">
        <w:rPr>
          <w:rFonts w:ascii="Times New Roman" w:hAnsi="Times New Roman" w:cs="Times New Roman"/>
          <w:sz w:val="24"/>
          <w:szCs w:val="24"/>
        </w:rPr>
        <w:t xml:space="preserve">0 mil. eur. </w:t>
      </w:r>
    </w:p>
    <w:p w14:paraId="4A5A5130" w14:textId="77777777" w:rsidR="001177B1" w:rsidRDefault="001177B1" w:rsidP="001177B1">
      <w:pPr>
        <w:spacing w:after="0"/>
        <w:jc w:val="both"/>
        <w:rPr>
          <w:rFonts w:ascii="Times New Roman" w:hAnsi="Times New Roman" w:cs="Times New Roman"/>
          <w:sz w:val="24"/>
          <w:szCs w:val="24"/>
        </w:rPr>
      </w:pPr>
    </w:p>
    <w:p w14:paraId="05E98910" w14:textId="77777777" w:rsidR="00054DA1" w:rsidRDefault="00054DA1" w:rsidP="001177B1">
      <w:pPr>
        <w:spacing w:after="0"/>
        <w:jc w:val="both"/>
        <w:rPr>
          <w:rFonts w:ascii="Times New Roman" w:hAnsi="Times New Roman" w:cs="Times New Roman"/>
          <w:sz w:val="24"/>
          <w:szCs w:val="24"/>
        </w:rPr>
      </w:pPr>
      <w:r w:rsidRPr="00054DA1">
        <w:rPr>
          <w:rFonts w:ascii="Times New Roman" w:hAnsi="Times New Roman" w:cs="Times New Roman"/>
          <w:sz w:val="24"/>
          <w:szCs w:val="24"/>
        </w:rPr>
        <w:t>Oproti schválenému rozpočtu sa predpokladá zvýšenie grantov a transferov o 1 221 mil. eur, ktoré slúžia najmä na financovanie spoločných projektov EÚ a SR z 3. programového obdobia, keďže jednotlivé rozpočtové kapitoly tieto finančné prostriedky nerozpočtovali v rámci rozpočtu verejnej správy na rok 2023 pre subjekty územnej samosprávy. Ďalšie zvýšenie uvedených grantov a transferov súvisí s navýšením preneseného výkonu štátnej správy pre subjekty územnej samosprávy, či s dotáciou na stravu na podporu výchovy detí k zdravým stravovacím návykom.</w:t>
      </w:r>
    </w:p>
    <w:p w14:paraId="6B3BF07E" w14:textId="77777777" w:rsidR="00054DA1" w:rsidRDefault="00054DA1" w:rsidP="001177B1">
      <w:pPr>
        <w:spacing w:after="0"/>
        <w:jc w:val="both"/>
        <w:rPr>
          <w:rFonts w:ascii="Times New Roman" w:hAnsi="Times New Roman" w:cs="Times New Roman"/>
          <w:sz w:val="24"/>
          <w:szCs w:val="24"/>
        </w:rPr>
      </w:pPr>
    </w:p>
    <w:p w14:paraId="75860F20" w14:textId="77777777" w:rsidR="001177B1" w:rsidRDefault="001177B1" w:rsidP="001177B1">
      <w:pPr>
        <w:spacing w:after="0"/>
        <w:jc w:val="both"/>
        <w:rPr>
          <w:rFonts w:ascii="Times New Roman" w:hAnsi="Times New Roman" w:cs="Times New Roman"/>
          <w:sz w:val="24"/>
          <w:szCs w:val="24"/>
        </w:rPr>
      </w:pPr>
      <w:r w:rsidRPr="001001ED">
        <w:rPr>
          <w:rFonts w:ascii="Times New Roman" w:hAnsi="Times New Roman" w:cs="Times New Roman"/>
          <w:sz w:val="24"/>
          <w:szCs w:val="24"/>
        </w:rPr>
        <w:t xml:space="preserve">Bežné výdavky samospráv sa odhadujú vyššie o </w:t>
      </w:r>
      <w:r>
        <w:rPr>
          <w:rFonts w:ascii="Times New Roman" w:hAnsi="Times New Roman" w:cs="Times New Roman"/>
          <w:sz w:val="24"/>
          <w:szCs w:val="24"/>
        </w:rPr>
        <w:t>754</w:t>
      </w:r>
      <w:r w:rsidRPr="001001ED">
        <w:rPr>
          <w:rFonts w:ascii="Times New Roman" w:hAnsi="Times New Roman" w:cs="Times New Roman"/>
          <w:sz w:val="24"/>
          <w:szCs w:val="24"/>
        </w:rPr>
        <w:t xml:space="preserve"> mil. eur, kde kompenzácie zamestnancov sa očakávajú </w:t>
      </w:r>
      <w:r>
        <w:rPr>
          <w:rFonts w:ascii="Times New Roman" w:hAnsi="Times New Roman" w:cs="Times New Roman"/>
          <w:sz w:val="24"/>
          <w:szCs w:val="24"/>
        </w:rPr>
        <w:t>vyššie oproti schválenému rozpočtu o 9 mil. eur.</w:t>
      </w:r>
      <w:r w:rsidRPr="001001ED">
        <w:rPr>
          <w:rFonts w:ascii="Times New Roman" w:hAnsi="Times New Roman" w:cs="Times New Roman"/>
          <w:sz w:val="24"/>
          <w:szCs w:val="24"/>
        </w:rPr>
        <w:t xml:space="preserve"> Tovary a služby sa odhadujú vyššie o </w:t>
      </w:r>
      <w:r>
        <w:rPr>
          <w:rFonts w:ascii="Times New Roman" w:hAnsi="Times New Roman" w:cs="Times New Roman"/>
          <w:sz w:val="24"/>
          <w:szCs w:val="24"/>
        </w:rPr>
        <w:t>559</w:t>
      </w:r>
      <w:r w:rsidRPr="001001ED">
        <w:rPr>
          <w:rFonts w:ascii="Times New Roman" w:hAnsi="Times New Roman" w:cs="Times New Roman"/>
          <w:sz w:val="24"/>
          <w:szCs w:val="24"/>
        </w:rPr>
        <w:t xml:space="preserve"> mil. eur, bežné transfery sa odhadujú vyššie o 1</w:t>
      </w:r>
      <w:r>
        <w:rPr>
          <w:rFonts w:ascii="Times New Roman" w:hAnsi="Times New Roman" w:cs="Times New Roman"/>
          <w:sz w:val="24"/>
          <w:szCs w:val="24"/>
        </w:rPr>
        <w:t>8</w:t>
      </w:r>
      <w:r w:rsidRPr="001001ED">
        <w:rPr>
          <w:rFonts w:ascii="Times New Roman" w:hAnsi="Times New Roman" w:cs="Times New Roman"/>
          <w:sz w:val="24"/>
          <w:szCs w:val="24"/>
        </w:rPr>
        <w:t>0 mil. eur, a to z dôvodu premietnutia očakávaných zvýšených bežných grantov a transferov poskytovaných jednotli</w:t>
      </w:r>
      <w:r w:rsidR="00E07023">
        <w:rPr>
          <w:rFonts w:ascii="Times New Roman" w:hAnsi="Times New Roman" w:cs="Times New Roman"/>
          <w:sz w:val="24"/>
          <w:szCs w:val="24"/>
        </w:rPr>
        <w:t>vými rozpočtovými kapitolami ŠR</w:t>
      </w:r>
      <w:r w:rsidRPr="001001ED">
        <w:rPr>
          <w:rFonts w:ascii="Times New Roman" w:hAnsi="Times New Roman" w:cs="Times New Roman"/>
          <w:sz w:val="24"/>
          <w:szCs w:val="24"/>
        </w:rPr>
        <w:t xml:space="preserve"> a zohľadnenia skutočného vývoja výdavkov subjektov územnej samosprávy v predošlom období.</w:t>
      </w:r>
      <w:r>
        <w:rPr>
          <w:rFonts w:ascii="Times New Roman" w:hAnsi="Times New Roman" w:cs="Times New Roman"/>
          <w:sz w:val="24"/>
          <w:szCs w:val="24"/>
        </w:rPr>
        <w:t xml:space="preserve"> </w:t>
      </w:r>
      <w:r w:rsidRPr="00181252">
        <w:rPr>
          <w:rFonts w:ascii="Times New Roman" w:hAnsi="Times New Roman" w:cs="Times New Roman"/>
          <w:sz w:val="24"/>
          <w:szCs w:val="24"/>
        </w:rPr>
        <w:t>Splácanie úrokov a ostatné platby s</w:t>
      </w:r>
      <w:r>
        <w:rPr>
          <w:rFonts w:ascii="Times New Roman" w:hAnsi="Times New Roman" w:cs="Times New Roman"/>
          <w:sz w:val="24"/>
          <w:szCs w:val="24"/>
        </w:rPr>
        <w:t> </w:t>
      </w:r>
      <w:r w:rsidRPr="00181252">
        <w:rPr>
          <w:rFonts w:ascii="Times New Roman" w:hAnsi="Times New Roman" w:cs="Times New Roman"/>
          <w:sz w:val="24"/>
          <w:szCs w:val="24"/>
        </w:rPr>
        <w:t>úvermi</w:t>
      </w:r>
      <w:r>
        <w:rPr>
          <w:rFonts w:ascii="Times New Roman" w:hAnsi="Times New Roman" w:cs="Times New Roman"/>
          <w:sz w:val="24"/>
          <w:szCs w:val="24"/>
        </w:rPr>
        <w:t xml:space="preserve"> sa predpokladajú oproti rozpočtu vyššie o 6 mil. eur.</w:t>
      </w:r>
    </w:p>
    <w:p w14:paraId="32FF3A7C" w14:textId="77777777" w:rsidR="001177B1" w:rsidRDefault="001177B1" w:rsidP="001177B1">
      <w:pPr>
        <w:spacing w:after="0"/>
        <w:jc w:val="both"/>
        <w:rPr>
          <w:rFonts w:ascii="Times New Roman" w:hAnsi="Times New Roman" w:cs="Times New Roman"/>
          <w:sz w:val="24"/>
          <w:szCs w:val="24"/>
        </w:rPr>
      </w:pPr>
    </w:p>
    <w:p w14:paraId="04736444" w14:textId="77777777" w:rsidR="001177B1" w:rsidRDefault="001177B1" w:rsidP="001177B1">
      <w:pPr>
        <w:spacing w:after="0"/>
        <w:jc w:val="both"/>
        <w:rPr>
          <w:rFonts w:ascii="Times New Roman" w:hAnsi="Times New Roman" w:cs="Times New Roman"/>
          <w:sz w:val="24"/>
          <w:szCs w:val="24"/>
        </w:rPr>
      </w:pPr>
      <w:r w:rsidRPr="001001ED">
        <w:rPr>
          <w:rFonts w:ascii="Times New Roman" w:hAnsi="Times New Roman" w:cs="Times New Roman"/>
          <w:sz w:val="24"/>
          <w:szCs w:val="24"/>
        </w:rPr>
        <w:t xml:space="preserve">Kapitálové výdavky samospráv sa odhadujú vyššie o </w:t>
      </w:r>
      <w:r>
        <w:rPr>
          <w:rFonts w:ascii="Times New Roman" w:hAnsi="Times New Roman" w:cs="Times New Roman"/>
          <w:sz w:val="24"/>
          <w:szCs w:val="24"/>
        </w:rPr>
        <w:t>543</w:t>
      </w:r>
      <w:r w:rsidRPr="001001ED">
        <w:rPr>
          <w:rFonts w:ascii="Times New Roman" w:hAnsi="Times New Roman" w:cs="Times New Roman"/>
          <w:sz w:val="24"/>
          <w:szCs w:val="24"/>
        </w:rPr>
        <w:t xml:space="preserve"> mil. </w:t>
      </w:r>
      <w:r w:rsidR="00E07023">
        <w:rPr>
          <w:rFonts w:ascii="Times New Roman" w:hAnsi="Times New Roman" w:cs="Times New Roman"/>
          <w:sz w:val="24"/>
          <w:szCs w:val="24"/>
        </w:rPr>
        <w:t>eur, a to z dôvodu premietnutia</w:t>
      </w:r>
      <w:r w:rsidRPr="001001ED">
        <w:rPr>
          <w:rFonts w:ascii="Times New Roman" w:hAnsi="Times New Roman" w:cs="Times New Roman"/>
          <w:sz w:val="24"/>
          <w:szCs w:val="24"/>
        </w:rPr>
        <w:t xml:space="preserve"> očakávaných zvýšených kapitálových transferov poskytovaných jednotlivými rozpočtovými kapitolami ŠR.</w:t>
      </w:r>
    </w:p>
    <w:p w14:paraId="59DA478A" w14:textId="77777777" w:rsidR="001177B1" w:rsidRDefault="001177B1" w:rsidP="001177B1">
      <w:pPr>
        <w:spacing w:after="0"/>
        <w:jc w:val="both"/>
        <w:rPr>
          <w:rFonts w:ascii="Times New Roman" w:hAnsi="Times New Roman" w:cs="Times New Roman"/>
          <w:sz w:val="24"/>
          <w:szCs w:val="24"/>
        </w:rPr>
      </w:pPr>
    </w:p>
    <w:p w14:paraId="25F753DF" w14:textId="2EC0A6C2" w:rsidR="001177B1" w:rsidRDefault="001177B1" w:rsidP="001177B1">
      <w:pPr>
        <w:spacing w:after="0"/>
        <w:jc w:val="both"/>
        <w:rPr>
          <w:rFonts w:ascii="Times New Roman" w:hAnsi="Times New Roman" w:cs="Times New Roman"/>
          <w:sz w:val="24"/>
          <w:szCs w:val="24"/>
        </w:rPr>
      </w:pPr>
      <w:r>
        <w:rPr>
          <w:rFonts w:ascii="Times New Roman" w:hAnsi="Times New Roman" w:cs="Times New Roman"/>
          <w:sz w:val="24"/>
          <w:szCs w:val="24"/>
        </w:rPr>
        <w:t>Vláda SR svojim uznesením č. 459 z 13. septembra 2023 schválila zníženie štátnych finančných aktív v sume 152 mil. eur poskytnutých ako návratná finančná výpomo</w:t>
      </w:r>
      <w:r w:rsidR="002271B6">
        <w:rPr>
          <w:rFonts w:ascii="Times New Roman" w:hAnsi="Times New Roman" w:cs="Times New Roman"/>
          <w:sz w:val="24"/>
          <w:szCs w:val="24"/>
        </w:rPr>
        <w:t>c obciam, mestám a vyšším územný</w:t>
      </w:r>
      <w:r>
        <w:rPr>
          <w:rFonts w:ascii="Times New Roman" w:hAnsi="Times New Roman" w:cs="Times New Roman"/>
          <w:sz w:val="24"/>
          <w:szCs w:val="24"/>
        </w:rPr>
        <w:t>m celkom na kompenzáciu výpadku príjmov z dane z príjmov fyzických osôb v roku 2020. Uvedené nemá vplyv na schodok rozpočtu verejnej správy, nakoľko pozitívum v rámci samosprávy kompenzuje negatívny vplyv v rámci štátnych finančných aktív.</w:t>
      </w:r>
    </w:p>
    <w:p w14:paraId="1C596A94" w14:textId="77777777" w:rsidR="00B352A4" w:rsidRPr="006728EC" w:rsidRDefault="00B352A4" w:rsidP="00576E98">
      <w:pPr>
        <w:spacing w:after="0" w:line="240" w:lineRule="auto"/>
        <w:rPr>
          <w:rFonts w:ascii="Times New Roman" w:hAnsi="Times New Roman" w:cs="Times New Roman"/>
          <w:i/>
          <w:sz w:val="24"/>
          <w:szCs w:val="16"/>
        </w:rPr>
      </w:pPr>
    </w:p>
    <w:p w14:paraId="2D5A7E11" w14:textId="77777777" w:rsidR="00576E98" w:rsidRDefault="0080040F" w:rsidP="00DD75E7">
      <w:pPr>
        <w:pStyle w:val="Zkladntext"/>
        <w:rPr>
          <w:rFonts w:ascii="Times New Roman" w:hAnsi="Times New Roman" w:cs="Times New Roman"/>
          <w:b/>
          <w:color w:val="5B9BD5" w:themeColor="accent1"/>
        </w:rPr>
      </w:pPr>
      <w:bookmarkStart w:id="23" w:name="_Toc79153410"/>
      <w:r w:rsidRPr="0080040F">
        <w:rPr>
          <w:rFonts w:ascii="Times New Roman" w:hAnsi="Times New Roman" w:cs="Times New Roman"/>
          <w:b/>
          <w:color w:val="5B9BD5" w:themeColor="accent1"/>
        </w:rPr>
        <w:t xml:space="preserve">2.1.4. </w:t>
      </w:r>
      <w:bookmarkEnd w:id="23"/>
      <w:r w:rsidR="00615471">
        <w:rPr>
          <w:rFonts w:ascii="Times New Roman" w:hAnsi="Times New Roman" w:cs="Times New Roman"/>
          <w:b/>
          <w:color w:val="5B9BD5" w:themeColor="accent1"/>
        </w:rPr>
        <w:t>Výdavky súvisiace s nákupom, uskladnením a použitím vakcín a liekov</w:t>
      </w:r>
    </w:p>
    <w:p w14:paraId="03A324E7" w14:textId="77777777" w:rsidR="00A669A7" w:rsidRPr="00DD75E7" w:rsidRDefault="00A669A7" w:rsidP="00DD75E7">
      <w:pPr>
        <w:pStyle w:val="Zkladntext"/>
        <w:rPr>
          <w:rFonts w:ascii="Times New Roman" w:hAnsi="Times New Roman" w:cs="Times New Roman"/>
          <w:b/>
          <w:color w:val="5B9BD5" w:themeColor="accent1"/>
        </w:rPr>
      </w:pPr>
    </w:p>
    <w:p w14:paraId="24CB536A" w14:textId="77777777" w:rsidR="001177B1" w:rsidRPr="00CA1C84" w:rsidRDefault="001177B1" w:rsidP="001177B1">
      <w:pPr>
        <w:spacing w:after="0"/>
        <w:jc w:val="both"/>
        <w:rPr>
          <w:rFonts w:ascii="Times New Roman" w:hAnsi="Times New Roman" w:cs="Times New Roman"/>
          <w:sz w:val="24"/>
          <w:szCs w:val="24"/>
        </w:rPr>
      </w:pPr>
      <w:r w:rsidRPr="00026A4B">
        <w:rPr>
          <w:rFonts w:ascii="Times New Roman" w:hAnsi="Times New Roman" w:cs="Times New Roman"/>
          <w:sz w:val="24"/>
          <w:szCs w:val="24"/>
        </w:rPr>
        <w:t xml:space="preserve">Aktuálne sa </w:t>
      </w:r>
      <w:r w:rsidRPr="00CA1C84">
        <w:rPr>
          <w:rFonts w:ascii="Times New Roman" w:hAnsi="Times New Roman" w:cs="Times New Roman"/>
          <w:sz w:val="24"/>
          <w:szCs w:val="24"/>
        </w:rPr>
        <w:t>predpokladá nečerpanie výdavkov súvisiacich s nákupom, uskladnením a použitím vakcín a liekov na úrovni 95 mil. eur.</w:t>
      </w:r>
    </w:p>
    <w:p w14:paraId="274BC467" w14:textId="77777777" w:rsidR="001177B1" w:rsidRDefault="001177B1" w:rsidP="001177B1">
      <w:pPr>
        <w:spacing w:after="0"/>
        <w:jc w:val="both"/>
        <w:rPr>
          <w:rFonts w:ascii="Times New Roman" w:hAnsi="Times New Roman" w:cs="Times New Roman"/>
          <w:sz w:val="24"/>
          <w:szCs w:val="24"/>
        </w:rPr>
      </w:pPr>
    </w:p>
    <w:p w14:paraId="20BA746B" w14:textId="77777777" w:rsidR="001177B1" w:rsidRDefault="00F46283" w:rsidP="007B4FDF">
      <w:pPr>
        <w:spacing w:after="0" w:line="240" w:lineRule="auto"/>
        <w:jc w:val="both"/>
        <w:rPr>
          <w:rFonts w:ascii="Times New Roman" w:hAnsi="Times New Roman" w:cs="Times New Roman"/>
          <w:sz w:val="24"/>
          <w:szCs w:val="24"/>
        </w:rPr>
      </w:pPr>
      <w:r w:rsidRPr="00F46283">
        <w:rPr>
          <w:rFonts w:ascii="Times New Roman" w:hAnsi="Times New Roman" w:cs="Times New Roman"/>
          <w:sz w:val="24"/>
          <w:szCs w:val="24"/>
        </w:rPr>
        <w:t>Tieto výdavky sa rozpočtovali v objeme 250 mil. eur a aktuálne sa očakávajú čerpať v celkovej sume 155 mil. eur, pričom výdavky na lieky sa predpokladajú vo výške 50 mil. eur a výdavky na nákup vakcín, ich distribúciu a skladovanie vo výške 105 mil. eur.</w:t>
      </w:r>
    </w:p>
    <w:p w14:paraId="1DF086C9" w14:textId="7D6F01D0" w:rsidR="001177B1" w:rsidRPr="00264220" w:rsidRDefault="001177B1" w:rsidP="007B4FDF">
      <w:pPr>
        <w:spacing w:after="0" w:line="240" w:lineRule="auto"/>
        <w:jc w:val="both"/>
        <w:rPr>
          <w:rFonts w:ascii="Times New Roman" w:hAnsi="Times New Roman" w:cs="Times New Roman"/>
          <w:sz w:val="24"/>
          <w:szCs w:val="24"/>
        </w:rPr>
      </w:pPr>
    </w:p>
    <w:p w14:paraId="2F6F9EFE" w14:textId="77777777" w:rsidR="001177B1" w:rsidRDefault="0080040F" w:rsidP="001177B1">
      <w:pPr>
        <w:pStyle w:val="CharCharCharCharCharCharCharCharChar1"/>
        <w:spacing w:after="0"/>
        <w:rPr>
          <w:rFonts w:ascii="Times New Roman" w:hAnsi="Times New Roman" w:cs="Times New Roman"/>
          <w:b/>
          <w:color w:val="5B9BD5" w:themeColor="accent1"/>
          <w:sz w:val="24"/>
          <w:szCs w:val="24"/>
          <w:lang w:val="sk-SK"/>
        </w:rPr>
      </w:pPr>
      <w:bookmarkStart w:id="24" w:name="_Toc79153411"/>
      <w:r w:rsidRPr="0080040F">
        <w:rPr>
          <w:rFonts w:ascii="Times New Roman" w:hAnsi="Times New Roman" w:cs="Times New Roman"/>
          <w:b/>
          <w:color w:val="5B9BD5" w:themeColor="accent1"/>
          <w:sz w:val="24"/>
          <w:szCs w:val="24"/>
        </w:rPr>
        <w:t xml:space="preserve">2.1.5. </w:t>
      </w:r>
      <w:bookmarkEnd w:id="24"/>
      <w:r w:rsidR="00615471">
        <w:rPr>
          <w:rFonts w:ascii="Times New Roman" w:hAnsi="Times New Roman" w:cs="Times New Roman"/>
          <w:b/>
          <w:color w:val="5B9BD5" w:themeColor="accent1"/>
          <w:sz w:val="24"/>
          <w:szCs w:val="24"/>
          <w:lang w:val="sk-SK"/>
        </w:rPr>
        <w:t>Fondy sociálneho poistenia</w:t>
      </w:r>
    </w:p>
    <w:p w14:paraId="6833452C" w14:textId="77777777" w:rsidR="001177B1" w:rsidRDefault="001177B1" w:rsidP="001177B1">
      <w:pPr>
        <w:pStyle w:val="CharCharCharCharCharCharCharCharChar1"/>
        <w:spacing w:after="0"/>
        <w:rPr>
          <w:rFonts w:ascii="Times New Roman" w:hAnsi="Times New Roman" w:cs="Times New Roman"/>
          <w:b/>
          <w:color w:val="5B9BD5" w:themeColor="accent1"/>
          <w:sz w:val="24"/>
          <w:szCs w:val="24"/>
          <w:lang w:val="sk-SK"/>
        </w:rPr>
      </w:pPr>
    </w:p>
    <w:p w14:paraId="11F18D17" w14:textId="77777777" w:rsidR="001177B1" w:rsidRPr="00E07023" w:rsidRDefault="001177B1" w:rsidP="00E07023">
      <w:pPr>
        <w:pStyle w:val="CharCharCharCharCharCharCharCharChar1"/>
        <w:spacing w:after="0" w:line="240" w:lineRule="auto"/>
        <w:jc w:val="both"/>
        <w:rPr>
          <w:rFonts w:ascii="Times New Roman" w:hAnsi="Times New Roman" w:cs="Times New Roman"/>
          <w:b/>
          <w:color w:val="5B9BD5" w:themeColor="accent1"/>
          <w:sz w:val="24"/>
          <w:szCs w:val="24"/>
        </w:rPr>
      </w:pPr>
      <w:r w:rsidRPr="00CA1C84">
        <w:rPr>
          <w:rFonts w:ascii="Times New Roman" w:hAnsi="Times New Roman" w:cs="Times New Roman"/>
          <w:sz w:val="24"/>
          <w:szCs w:val="24"/>
        </w:rPr>
        <w:t>V </w:t>
      </w:r>
      <w:proofErr w:type="spellStart"/>
      <w:r w:rsidRPr="00CA1C84">
        <w:rPr>
          <w:rFonts w:ascii="Times New Roman" w:hAnsi="Times New Roman" w:cs="Times New Roman"/>
          <w:sz w:val="24"/>
          <w:szCs w:val="24"/>
        </w:rPr>
        <w:t>rámci</w:t>
      </w:r>
      <w:proofErr w:type="spellEnd"/>
      <w:r w:rsidRPr="00CA1C84">
        <w:rPr>
          <w:rFonts w:ascii="Times New Roman" w:hAnsi="Times New Roman" w:cs="Times New Roman"/>
          <w:sz w:val="24"/>
          <w:szCs w:val="24"/>
        </w:rPr>
        <w:t xml:space="preserve"> </w:t>
      </w:r>
      <w:proofErr w:type="spellStart"/>
      <w:r w:rsidRPr="00CA1C84">
        <w:rPr>
          <w:rFonts w:ascii="Times New Roman" w:hAnsi="Times New Roman" w:cs="Times New Roman"/>
          <w:sz w:val="24"/>
          <w:szCs w:val="24"/>
        </w:rPr>
        <w:t>fondov</w:t>
      </w:r>
      <w:proofErr w:type="spellEnd"/>
      <w:r w:rsidRPr="00CA1C84">
        <w:rPr>
          <w:rFonts w:ascii="Times New Roman" w:hAnsi="Times New Roman" w:cs="Times New Roman"/>
          <w:sz w:val="24"/>
          <w:szCs w:val="24"/>
        </w:rPr>
        <w:t xml:space="preserve"> </w:t>
      </w:r>
      <w:proofErr w:type="spellStart"/>
      <w:r w:rsidRPr="00CA1C84">
        <w:rPr>
          <w:rFonts w:ascii="Times New Roman" w:hAnsi="Times New Roman" w:cs="Times New Roman"/>
          <w:sz w:val="24"/>
          <w:szCs w:val="24"/>
        </w:rPr>
        <w:t>sociálneho</w:t>
      </w:r>
      <w:proofErr w:type="spellEnd"/>
      <w:r w:rsidRPr="00CA1C84">
        <w:rPr>
          <w:rFonts w:ascii="Times New Roman" w:hAnsi="Times New Roman" w:cs="Times New Roman"/>
          <w:sz w:val="24"/>
          <w:szCs w:val="24"/>
        </w:rPr>
        <w:t xml:space="preserve"> </w:t>
      </w:r>
      <w:proofErr w:type="spellStart"/>
      <w:r w:rsidRPr="00CA1C84">
        <w:rPr>
          <w:rFonts w:ascii="Times New Roman" w:hAnsi="Times New Roman" w:cs="Times New Roman"/>
          <w:sz w:val="24"/>
          <w:szCs w:val="24"/>
        </w:rPr>
        <w:t>poistenia</w:t>
      </w:r>
      <w:proofErr w:type="spellEnd"/>
      <w:r w:rsidRPr="00CA1C84">
        <w:rPr>
          <w:rFonts w:ascii="Times New Roman" w:hAnsi="Times New Roman" w:cs="Times New Roman"/>
          <w:sz w:val="24"/>
          <w:szCs w:val="24"/>
        </w:rPr>
        <w:t xml:space="preserve"> </w:t>
      </w:r>
      <w:proofErr w:type="spellStart"/>
      <w:r w:rsidRPr="00CA1C84">
        <w:rPr>
          <w:rFonts w:ascii="Times New Roman" w:hAnsi="Times New Roman" w:cs="Times New Roman"/>
          <w:sz w:val="24"/>
          <w:szCs w:val="24"/>
        </w:rPr>
        <w:t>dochádza</w:t>
      </w:r>
      <w:proofErr w:type="spellEnd"/>
      <w:r w:rsidRPr="00CA1C84">
        <w:rPr>
          <w:rFonts w:ascii="Times New Roman" w:hAnsi="Times New Roman" w:cs="Times New Roman"/>
          <w:sz w:val="24"/>
          <w:szCs w:val="24"/>
        </w:rPr>
        <w:t xml:space="preserve"> k </w:t>
      </w:r>
      <w:proofErr w:type="spellStart"/>
      <w:r w:rsidRPr="00CA1C84">
        <w:rPr>
          <w:rFonts w:ascii="Times New Roman" w:hAnsi="Times New Roman" w:cs="Times New Roman"/>
          <w:sz w:val="24"/>
          <w:szCs w:val="24"/>
        </w:rPr>
        <w:t>prekročeniu</w:t>
      </w:r>
      <w:proofErr w:type="spellEnd"/>
      <w:r w:rsidRPr="00CA1C84">
        <w:rPr>
          <w:rFonts w:ascii="Times New Roman" w:hAnsi="Times New Roman" w:cs="Times New Roman"/>
          <w:sz w:val="24"/>
          <w:szCs w:val="24"/>
        </w:rPr>
        <w:t xml:space="preserve"> </w:t>
      </w:r>
      <w:proofErr w:type="spellStart"/>
      <w:r w:rsidRPr="00CA1C84">
        <w:rPr>
          <w:rFonts w:ascii="Times New Roman" w:hAnsi="Times New Roman" w:cs="Times New Roman"/>
          <w:sz w:val="24"/>
          <w:szCs w:val="24"/>
        </w:rPr>
        <w:t>rozpočtovanej</w:t>
      </w:r>
      <w:proofErr w:type="spellEnd"/>
      <w:r w:rsidRPr="00CA1C84">
        <w:rPr>
          <w:rFonts w:ascii="Times New Roman" w:hAnsi="Times New Roman" w:cs="Times New Roman"/>
          <w:sz w:val="24"/>
          <w:szCs w:val="24"/>
        </w:rPr>
        <w:t xml:space="preserve"> </w:t>
      </w:r>
      <w:proofErr w:type="spellStart"/>
      <w:r w:rsidRPr="00CA1C84">
        <w:rPr>
          <w:rFonts w:ascii="Times New Roman" w:hAnsi="Times New Roman" w:cs="Times New Roman"/>
          <w:sz w:val="24"/>
          <w:szCs w:val="24"/>
        </w:rPr>
        <w:t>úrovne</w:t>
      </w:r>
      <w:proofErr w:type="spellEnd"/>
      <w:r w:rsidRPr="00CA1C84">
        <w:rPr>
          <w:rFonts w:ascii="Times New Roman" w:hAnsi="Times New Roman" w:cs="Times New Roman"/>
          <w:sz w:val="24"/>
          <w:szCs w:val="24"/>
        </w:rPr>
        <w:t xml:space="preserve"> o 616 mil. </w:t>
      </w:r>
      <w:proofErr w:type="spellStart"/>
      <w:r w:rsidRPr="00CA1C84">
        <w:rPr>
          <w:rFonts w:ascii="Times New Roman" w:hAnsi="Times New Roman" w:cs="Times New Roman"/>
          <w:sz w:val="24"/>
          <w:szCs w:val="24"/>
        </w:rPr>
        <w:t>eur.</w:t>
      </w:r>
      <w:proofErr w:type="spellEnd"/>
      <w:r w:rsidRPr="00CA1C84">
        <w:rPr>
          <w:rFonts w:ascii="Times New Roman" w:hAnsi="Times New Roman" w:cs="Times New Roman"/>
          <w:sz w:val="24"/>
          <w:szCs w:val="24"/>
        </w:rPr>
        <w:t xml:space="preserve"> </w:t>
      </w:r>
      <w:proofErr w:type="spellStart"/>
      <w:r w:rsidRPr="00CA1C84">
        <w:rPr>
          <w:rFonts w:ascii="Times New Roman" w:hAnsi="Times New Roman" w:cs="Times New Roman"/>
          <w:sz w:val="24"/>
          <w:szCs w:val="24"/>
        </w:rPr>
        <w:t>Výdavky</w:t>
      </w:r>
      <w:proofErr w:type="spellEnd"/>
      <w:r w:rsidRPr="00CA1C84">
        <w:rPr>
          <w:rFonts w:ascii="Times New Roman" w:hAnsi="Times New Roman" w:cs="Times New Roman"/>
          <w:sz w:val="24"/>
          <w:szCs w:val="24"/>
        </w:rPr>
        <w:t xml:space="preserve"> </w:t>
      </w:r>
      <w:proofErr w:type="spellStart"/>
      <w:r w:rsidRPr="00CA1C84">
        <w:rPr>
          <w:rFonts w:ascii="Times New Roman" w:hAnsi="Times New Roman" w:cs="Times New Roman"/>
          <w:sz w:val="24"/>
          <w:szCs w:val="24"/>
        </w:rPr>
        <w:t>Sociálnej</w:t>
      </w:r>
      <w:proofErr w:type="spellEnd"/>
      <w:r w:rsidRPr="00CA1C84">
        <w:rPr>
          <w:rFonts w:ascii="Times New Roman" w:hAnsi="Times New Roman" w:cs="Times New Roman"/>
          <w:sz w:val="24"/>
          <w:szCs w:val="24"/>
        </w:rPr>
        <w:t xml:space="preserve"> </w:t>
      </w:r>
      <w:proofErr w:type="spellStart"/>
      <w:r w:rsidRPr="00CA1C84">
        <w:rPr>
          <w:rFonts w:ascii="Times New Roman" w:hAnsi="Times New Roman" w:cs="Times New Roman"/>
          <w:sz w:val="24"/>
          <w:szCs w:val="24"/>
        </w:rPr>
        <w:t>poisťovne</w:t>
      </w:r>
      <w:proofErr w:type="spellEnd"/>
      <w:r w:rsidRPr="00CA1C84">
        <w:rPr>
          <w:rFonts w:ascii="Times New Roman" w:hAnsi="Times New Roman" w:cs="Times New Roman"/>
          <w:sz w:val="24"/>
          <w:szCs w:val="24"/>
        </w:rPr>
        <w:t xml:space="preserve"> </w:t>
      </w:r>
      <w:proofErr w:type="spellStart"/>
      <w:r w:rsidRPr="00CA1C84">
        <w:rPr>
          <w:rFonts w:ascii="Times New Roman" w:hAnsi="Times New Roman" w:cs="Times New Roman"/>
          <w:sz w:val="24"/>
          <w:szCs w:val="24"/>
        </w:rPr>
        <w:t>sú</w:t>
      </w:r>
      <w:proofErr w:type="spellEnd"/>
      <w:r w:rsidRPr="00CA1C84">
        <w:rPr>
          <w:rFonts w:ascii="Times New Roman" w:hAnsi="Times New Roman" w:cs="Times New Roman"/>
          <w:sz w:val="24"/>
          <w:szCs w:val="24"/>
        </w:rPr>
        <w:t xml:space="preserve"> </w:t>
      </w:r>
      <w:proofErr w:type="spellStart"/>
      <w:r w:rsidRPr="00CA1C84">
        <w:rPr>
          <w:rFonts w:ascii="Times New Roman" w:hAnsi="Times New Roman" w:cs="Times New Roman"/>
          <w:sz w:val="24"/>
          <w:szCs w:val="24"/>
        </w:rPr>
        <w:t>ovplyvnené</w:t>
      </w:r>
      <w:proofErr w:type="spellEnd"/>
      <w:r w:rsidRPr="00CA1C84">
        <w:rPr>
          <w:rFonts w:ascii="Times New Roman" w:hAnsi="Times New Roman" w:cs="Times New Roman"/>
          <w:sz w:val="24"/>
          <w:szCs w:val="24"/>
        </w:rPr>
        <w:t xml:space="preserve"> </w:t>
      </w:r>
      <w:proofErr w:type="spellStart"/>
      <w:r w:rsidRPr="00CA1C84">
        <w:rPr>
          <w:rFonts w:ascii="Times New Roman" w:hAnsi="Times New Roman" w:cs="Times New Roman"/>
          <w:sz w:val="24"/>
          <w:szCs w:val="24"/>
        </w:rPr>
        <w:t>najmä</w:t>
      </w:r>
      <w:proofErr w:type="spellEnd"/>
      <w:r w:rsidRPr="00CA1C84">
        <w:rPr>
          <w:rFonts w:ascii="Times New Roman" w:hAnsi="Times New Roman" w:cs="Times New Roman"/>
          <w:sz w:val="24"/>
          <w:szCs w:val="24"/>
        </w:rPr>
        <w:t xml:space="preserve"> </w:t>
      </w:r>
      <w:proofErr w:type="spellStart"/>
      <w:r w:rsidRPr="00CA1C84">
        <w:rPr>
          <w:rFonts w:ascii="Times New Roman" w:hAnsi="Times New Roman" w:cs="Times New Roman"/>
          <w:sz w:val="24"/>
          <w:szCs w:val="24"/>
        </w:rPr>
        <w:t>zavedením</w:t>
      </w:r>
      <w:proofErr w:type="spellEnd"/>
      <w:r w:rsidRPr="00CA1C84">
        <w:rPr>
          <w:rFonts w:ascii="Times New Roman" w:hAnsi="Times New Roman" w:cs="Times New Roman"/>
          <w:sz w:val="24"/>
          <w:szCs w:val="24"/>
        </w:rPr>
        <w:t xml:space="preserve"> </w:t>
      </w:r>
      <w:proofErr w:type="spellStart"/>
      <w:r w:rsidRPr="00CA1C84">
        <w:rPr>
          <w:rFonts w:ascii="Times New Roman" w:hAnsi="Times New Roman" w:cs="Times New Roman"/>
          <w:sz w:val="24"/>
          <w:szCs w:val="24"/>
        </w:rPr>
        <w:t>rodičovského</w:t>
      </w:r>
      <w:proofErr w:type="spellEnd"/>
      <w:r w:rsidRPr="00CA1C84">
        <w:rPr>
          <w:rFonts w:ascii="Times New Roman" w:hAnsi="Times New Roman" w:cs="Times New Roman"/>
          <w:sz w:val="24"/>
          <w:szCs w:val="24"/>
        </w:rPr>
        <w:t xml:space="preserve"> </w:t>
      </w:r>
      <w:proofErr w:type="spellStart"/>
      <w:r w:rsidRPr="00CA1C84">
        <w:rPr>
          <w:rFonts w:ascii="Times New Roman" w:hAnsi="Times New Roman" w:cs="Times New Roman"/>
          <w:sz w:val="24"/>
          <w:szCs w:val="24"/>
        </w:rPr>
        <w:t>dôchodku</w:t>
      </w:r>
      <w:proofErr w:type="spellEnd"/>
      <w:r w:rsidRPr="00CA1C84">
        <w:rPr>
          <w:rFonts w:ascii="Times New Roman" w:hAnsi="Times New Roman" w:cs="Times New Roman"/>
          <w:sz w:val="24"/>
          <w:szCs w:val="24"/>
        </w:rPr>
        <w:t xml:space="preserve"> a </w:t>
      </w:r>
      <w:proofErr w:type="spellStart"/>
      <w:r w:rsidRPr="00CA1C84">
        <w:rPr>
          <w:rFonts w:ascii="Times New Roman" w:hAnsi="Times New Roman" w:cs="Times New Roman"/>
          <w:sz w:val="24"/>
          <w:szCs w:val="24"/>
        </w:rPr>
        <w:t>predsunutím</w:t>
      </w:r>
      <w:proofErr w:type="spellEnd"/>
      <w:r w:rsidRPr="00CA1C84">
        <w:rPr>
          <w:rFonts w:ascii="Times New Roman" w:hAnsi="Times New Roman" w:cs="Times New Roman"/>
          <w:sz w:val="24"/>
          <w:szCs w:val="24"/>
        </w:rPr>
        <w:t xml:space="preserve"> </w:t>
      </w:r>
      <w:proofErr w:type="spellStart"/>
      <w:r w:rsidRPr="00CA1C84">
        <w:rPr>
          <w:rFonts w:ascii="Times New Roman" w:hAnsi="Times New Roman" w:cs="Times New Roman"/>
          <w:sz w:val="24"/>
          <w:szCs w:val="24"/>
        </w:rPr>
        <w:t>valorizácie</w:t>
      </w:r>
      <w:proofErr w:type="spellEnd"/>
      <w:r w:rsidRPr="00CA1C84">
        <w:rPr>
          <w:rFonts w:ascii="Times New Roman" w:hAnsi="Times New Roman" w:cs="Times New Roman"/>
          <w:sz w:val="24"/>
          <w:szCs w:val="24"/>
        </w:rPr>
        <w:t xml:space="preserve"> </w:t>
      </w:r>
      <w:proofErr w:type="spellStart"/>
      <w:r w:rsidRPr="00CA1C84">
        <w:rPr>
          <w:rFonts w:ascii="Times New Roman" w:hAnsi="Times New Roman" w:cs="Times New Roman"/>
          <w:sz w:val="24"/>
          <w:szCs w:val="24"/>
        </w:rPr>
        <w:t>dôchodkov</w:t>
      </w:r>
      <w:proofErr w:type="spellEnd"/>
      <w:r w:rsidRPr="00CA1C84">
        <w:rPr>
          <w:rFonts w:ascii="Times New Roman" w:hAnsi="Times New Roman" w:cs="Times New Roman"/>
          <w:sz w:val="24"/>
          <w:szCs w:val="24"/>
        </w:rPr>
        <w:t xml:space="preserve"> zo </w:t>
      </w:r>
      <w:proofErr w:type="spellStart"/>
      <w:r w:rsidRPr="00CA1C84">
        <w:rPr>
          <w:rFonts w:ascii="Times New Roman" w:hAnsi="Times New Roman" w:cs="Times New Roman"/>
          <w:sz w:val="24"/>
          <w:szCs w:val="24"/>
        </w:rPr>
        <w:t>začiatku</w:t>
      </w:r>
      <w:proofErr w:type="spellEnd"/>
      <w:r w:rsidRPr="00CA1C84">
        <w:rPr>
          <w:rFonts w:ascii="Times New Roman" w:hAnsi="Times New Roman" w:cs="Times New Roman"/>
          <w:sz w:val="24"/>
          <w:szCs w:val="24"/>
        </w:rPr>
        <w:t xml:space="preserve"> </w:t>
      </w:r>
      <w:proofErr w:type="spellStart"/>
      <w:r w:rsidRPr="00CA1C84">
        <w:rPr>
          <w:rFonts w:ascii="Times New Roman" w:hAnsi="Times New Roman" w:cs="Times New Roman"/>
          <w:sz w:val="24"/>
          <w:szCs w:val="24"/>
        </w:rPr>
        <w:t>budúceho</w:t>
      </w:r>
      <w:proofErr w:type="spellEnd"/>
      <w:r w:rsidRPr="00CA1C84">
        <w:rPr>
          <w:rFonts w:ascii="Times New Roman" w:hAnsi="Times New Roman" w:cs="Times New Roman"/>
          <w:sz w:val="24"/>
          <w:szCs w:val="24"/>
        </w:rPr>
        <w:t xml:space="preserve"> </w:t>
      </w:r>
      <w:proofErr w:type="spellStart"/>
      <w:r w:rsidRPr="00CA1C84">
        <w:rPr>
          <w:rFonts w:ascii="Times New Roman" w:hAnsi="Times New Roman" w:cs="Times New Roman"/>
          <w:sz w:val="24"/>
          <w:szCs w:val="24"/>
        </w:rPr>
        <w:t>roka</w:t>
      </w:r>
      <w:proofErr w:type="spellEnd"/>
      <w:r w:rsidRPr="00CA1C84">
        <w:rPr>
          <w:rFonts w:ascii="Times New Roman" w:hAnsi="Times New Roman" w:cs="Times New Roman"/>
          <w:sz w:val="24"/>
          <w:szCs w:val="24"/>
        </w:rPr>
        <w:t xml:space="preserve"> </w:t>
      </w:r>
      <w:proofErr w:type="spellStart"/>
      <w:r w:rsidRPr="00CA1C84">
        <w:rPr>
          <w:rFonts w:ascii="Times New Roman" w:hAnsi="Times New Roman" w:cs="Times New Roman"/>
          <w:sz w:val="24"/>
          <w:szCs w:val="24"/>
        </w:rPr>
        <w:t>na</w:t>
      </w:r>
      <w:proofErr w:type="spellEnd"/>
      <w:r w:rsidRPr="00CA1C84">
        <w:rPr>
          <w:rFonts w:ascii="Times New Roman" w:hAnsi="Times New Roman" w:cs="Times New Roman"/>
          <w:sz w:val="24"/>
          <w:szCs w:val="24"/>
        </w:rPr>
        <w:t xml:space="preserve"> </w:t>
      </w:r>
      <w:proofErr w:type="spellStart"/>
      <w:r w:rsidRPr="00CA1C84">
        <w:rPr>
          <w:rFonts w:ascii="Times New Roman" w:hAnsi="Times New Roman" w:cs="Times New Roman"/>
          <w:sz w:val="24"/>
          <w:szCs w:val="24"/>
        </w:rPr>
        <w:t>júl</w:t>
      </w:r>
      <w:proofErr w:type="spellEnd"/>
      <w:r w:rsidRPr="00CA1C84">
        <w:rPr>
          <w:rFonts w:ascii="Times New Roman" w:hAnsi="Times New Roman" w:cs="Times New Roman"/>
          <w:sz w:val="24"/>
          <w:szCs w:val="24"/>
        </w:rPr>
        <w:t xml:space="preserve"> </w:t>
      </w:r>
      <w:proofErr w:type="spellStart"/>
      <w:r w:rsidRPr="00CA1C84">
        <w:rPr>
          <w:rFonts w:ascii="Times New Roman" w:hAnsi="Times New Roman" w:cs="Times New Roman"/>
          <w:sz w:val="24"/>
          <w:szCs w:val="24"/>
        </w:rPr>
        <w:t>tohto</w:t>
      </w:r>
      <w:proofErr w:type="spellEnd"/>
      <w:r w:rsidRPr="00E07023">
        <w:rPr>
          <w:rFonts w:ascii="Times New Roman" w:hAnsi="Times New Roman" w:cs="Times New Roman"/>
          <w:sz w:val="24"/>
          <w:szCs w:val="24"/>
        </w:rPr>
        <w:t xml:space="preserve"> </w:t>
      </w:r>
      <w:proofErr w:type="spellStart"/>
      <w:r w:rsidRPr="00E07023">
        <w:rPr>
          <w:rFonts w:ascii="Times New Roman" w:hAnsi="Times New Roman" w:cs="Times New Roman"/>
          <w:sz w:val="24"/>
          <w:szCs w:val="24"/>
        </w:rPr>
        <w:t>roka</w:t>
      </w:r>
      <w:proofErr w:type="spellEnd"/>
      <w:r w:rsidRPr="00E07023">
        <w:rPr>
          <w:rStyle w:val="Odkaznapoznmkupodiarou"/>
          <w:rFonts w:ascii="Times New Roman" w:hAnsi="Times New Roman"/>
          <w:sz w:val="24"/>
          <w:szCs w:val="24"/>
        </w:rPr>
        <w:footnoteReference w:id="6"/>
      </w:r>
      <w:r w:rsidRPr="00E07023">
        <w:rPr>
          <w:rFonts w:ascii="Times New Roman" w:hAnsi="Times New Roman" w:cs="Times New Roman"/>
          <w:sz w:val="24"/>
          <w:szCs w:val="24"/>
        </w:rPr>
        <w:t>.</w:t>
      </w:r>
    </w:p>
    <w:p w14:paraId="7ABE789A" w14:textId="77777777" w:rsidR="00AF2AF3" w:rsidRPr="00D937CB" w:rsidRDefault="00AF2AF3" w:rsidP="00AF2AF3">
      <w:pPr>
        <w:spacing w:after="0"/>
        <w:jc w:val="both"/>
        <w:rPr>
          <w:rFonts w:ascii="Times New Roman" w:hAnsi="Times New Roman" w:cs="Times New Roman"/>
          <w:color w:val="5B9BD5" w:themeColor="accent1"/>
          <w:sz w:val="24"/>
          <w:szCs w:val="24"/>
        </w:rPr>
      </w:pPr>
    </w:p>
    <w:p w14:paraId="7825B68F" w14:textId="7C18DBB4" w:rsidR="001177B1" w:rsidRPr="00D937CB" w:rsidRDefault="00AF2AF3" w:rsidP="001177B1">
      <w:pPr>
        <w:spacing w:after="0"/>
        <w:rPr>
          <w:rFonts w:ascii="Times New Roman" w:hAnsi="Times New Roman" w:cs="Times New Roman"/>
          <w:b/>
          <w:color w:val="5B9BD5" w:themeColor="accent1"/>
          <w:sz w:val="20"/>
          <w:szCs w:val="20"/>
        </w:rPr>
      </w:pPr>
      <w:bookmarkStart w:id="25" w:name="_Toc153013005"/>
      <w:r w:rsidRPr="00D937CB">
        <w:rPr>
          <w:rFonts w:ascii="Times New Roman" w:hAnsi="Times New Roman" w:cs="Times New Roman"/>
          <w:b/>
          <w:color w:val="5B9BD5" w:themeColor="accent1"/>
          <w:sz w:val="20"/>
          <w:szCs w:val="20"/>
        </w:rPr>
        <w:t xml:space="preserve">Tabuľka </w:t>
      </w:r>
      <w:r w:rsidRPr="00D937CB">
        <w:rPr>
          <w:rFonts w:ascii="Times New Roman" w:hAnsi="Times New Roman" w:cs="Times New Roman"/>
          <w:b/>
          <w:color w:val="5B9BD5" w:themeColor="accent1"/>
          <w:sz w:val="20"/>
          <w:szCs w:val="20"/>
        </w:rPr>
        <w:fldChar w:fldCharType="begin"/>
      </w:r>
      <w:r w:rsidRPr="00D937CB">
        <w:rPr>
          <w:rFonts w:ascii="Times New Roman" w:hAnsi="Times New Roman" w:cs="Times New Roman"/>
          <w:b/>
          <w:color w:val="5B9BD5" w:themeColor="accent1"/>
          <w:sz w:val="20"/>
          <w:szCs w:val="20"/>
        </w:rPr>
        <w:instrText xml:space="preserve"> SEQ Tabuľka \* ARABIC </w:instrText>
      </w:r>
      <w:r w:rsidRPr="00D937CB">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7</w:t>
      </w:r>
      <w:r w:rsidRPr="00D937CB">
        <w:rPr>
          <w:rFonts w:ascii="Times New Roman" w:hAnsi="Times New Roman" w:cs="Times New Roman"/>
          <w:b/>
          <w:color w:val="5B9BD5" w:themeColor="accent1"/>
          <w:sz w:val="20"/>
          <w:szCs w:val="20"/>
        </w:rPr>
        <w:fldChar w:fldCharType="end"/>
      </w:r>
      <w:r w:rsidRPr="00D937CB">
        <w:rPr>
          <w:rFonts w:ascii="Times New Roman" w:hAnsi="Times New Roman" w:cs="Times New Roman"/>
          <w:b/>
          <w:color w:val="5B9BD5" w:themeColor="accent1"/>
          <w:sz w:val="20"/>
          <w:szCs w:val="20"/>
        </w:rPr>
        <w:t xml:space="preserve"> – Fondy sociálneho poistenia</w:t>
      </w:r>
      <w:bookmarkEnd w:id="25"/>
      <w:r w:rsidRPr="00D937CB">
        <w:rPr>
          <w:rFonts w:ascii="Times New Roman" w:hAnsi="Times New Roman" w:cs="Times New Roman"/>
          <w:i/>
          <w:color w:val="5B9BD5" w:themeColor="accent1"/>
          <w:sz w:val="16"/>
          <w:szCs w:val="16"/>
        </w:rPr>
        <w:t xml:space="preserve">  </w:t>
      </w:r>
    </w:p>
    <w:tbl>
      <w:tblPr>
        <w:tblW w:w="5000" w:type="pct"/>
        <w:jc w:val="center"/>
        <w:tblCellMar>
          <w:left w:w="70" w:type="dxa"/>
          <w:right w:w="70" w:type="dxa"/>
        </w:tblCellMar>
        <w:tblLook w:val="04A0" w:firstRow="1" w:lastRow="0" w:firstColumn="1" w:lastColumn="0" w:noHBand="0" w:noVBand="1"/>
      </w:tblPr>
      <w:tblGrid>
        <w:gridCol w:w="7689"/>
        <w:gridCol w:w="1383"/>
      </w:tblGrid>
      <w:tr w:rsidR="001177B1" w:rsidRPr="001177B1" w14:paraId="6FB8882D" w14:textId="77777777" w:rsidTr="001177B1">
        <w:trPr>
          <w:trHeight w:val="255"/>
          <w:jc w:val="center"/>
        </w:trPr>
        <w:tc>
          <w:tcPr>
            <w:tcW w:w="4238" w:type="pct"/>
            <w:tcBorders>
              <w:top w:val="single" w:sz="4" w:space="0" w:color="auto"/>
              <w:left w:val="nil"/>
              <w:bottom w:val="single" w:sz="4" w:space="0" w:color="auto"/>
              <w:right w:val="nil"/>
            </w:tcBorders>
            <w:shd w:val="clear" w:color="auto" w:fill="auto"/>
            <w:vAlign w:val="center"/>
            <w:hideMark/>
          </w:tcPr>
          <w:p w14:paraId="59D98DA6" w14:textId="77777777" w:rsidR="001177B1" w:rsidRPr="001177B1" w:rsidRDefault="001177B1" w:rsidP="001177B1">
            <w:pPr>
              <w:spacing w:after="0" w:line="240" w:lineRule="auto"/>
              <w:rPr>
                <w:rFonts w:ascii="Times New Roman" w:eastAsia="Times New Roman" w:hAnsi="Times New Roman" w:cs="Times New Roman"/>
                <w:color w:val="000000"/>
                <w:sz w:val="18"/>
                <w:szCs w:val="18"/>
                <w:lang w:eastAsia="sk-SK"/>
              </w:rPr>
            </w:pPr>
            <w:r w:rsidRPr="001177B1">
              <w:rPr>
                <w:rFonts w:ascii="Times New Roman" w:eastAsia="Times New Roman" w:hAnsi="Times New Roman" w:cs="Times New Roman"/>
                <w:b/>
                <w:bCs/>
                <w:color w:val="000000"/>
                <w:sz w:val="18"/>
                <w:szCs w:val="18"/>
                <w:lang w:eastAsia="sk-SK"/>
              </w:rPr>
              <w:t>Fondy sociálneho poistenia</w:t>
            </w:r>
            <w:r w:rsidRPr="001177B1">
              <w:rPr>
                <w:rFonts w:ascii="Times New Roman" w:eastAsia="Times New Roman" w:hAnsi="Times New Roman" w:cs="Times New Roman"/>
                <w:color w:val="000000"/>
                <w:sz w:val="18"/>
                <w:szCs w:val="18"/>
                <w:lang w:eastAsia="sk-SK"/>
              </w:rPr>
              <w:br/>
              <w:t>(v mil. eur; na akruálnej báze)</w:t>
            </w:r>
          </w:p>
        </w:tc>
        <w:tc>
          <w:tcPr>
            <w:tcW w:w="762" w:type="pct"/>
            <w:tcBorders>
              <w:top w:val="single" w:sz="4" w:space="0" w:color="auto"/>
              <w:left w:val="nil"/>
              <w:bottom w:val="single" w:sz="4" w:space="0" w:color="auto"/>
              <w:right w:val="nil"/>
            </w:tcBorders>
            <w:shd w:val="clear" w:color="auto" w:fill="auto"/>
            <w:noWrap/>
            <w:vAlign w:val="center"/>
            <w:hideMark/>
          </w:tcPr>
          <w:p w14:paraId="0A1C0355" w14:textId="77777777" w:rsidR="001177B1" w:rsidRPr="001177B1" w:rsidRDefault="001177B1" w:rsidP="001177B1">
            <w:pPr>
              <w:spacing w:after="0" w:line="240" w:lineRule="auto"/>
              <w:jc w:val="right"/>
              <w:rPr>
                <w:rFonts w:ascii="Times New Roman" w:eastAsia="Times New Roman" w:hAnsi="Times New Roman" w:cs="Times New Roman"/>
                <w:b/>
                <w:bCs/>
                <w:color w:val="000000"/>
                <w:sz w:val="18"/>
                <w:szCs w:val="18"/>
                <w:lang w:eastAsia="sk-SK"/>
              </w:rPr>
            </w:pPr>
            <w:r w:rsidRPr="001177B1">
              <w:rPr>
                <w:rFonts w:ascii="Times New Roman" w:eastAsia="Times New Roman" w:hAnsi="Times New Roman" w:cs="Times New Roman"/>
                <w:b/>
                <w:bCs/>
                <w:color w:val="000000"/>
                <w:sz w:val="18"/>
                <w:szCs w:val="18"/>
                <w:lang w:eastAsia="sk-SK"/>
              </w:rPr>
              <w:t>-616</w:t>
            </w:r>
          </w:p>
        </w:tc>
      </w:tr>
      <w:tr w:rsidR="001177B1" w:rsidRPr="001177B1" w14:paraId="26D24A7B" w14:textId="77777777" w:rsidTr="001177B1">
        <w:trPr>
          <w:trHeight w:val="255"/>
          <w:jc w:val="center"/>
        </w:trPr>
        <w:tc>
          <w:tcPr>
            <w:tcW w:w="4238" w:type="pct"/>
            <w:tcBorders>
              <w:top w:val="nil"/>
              <w:left w:val="nil"/>
              <w:bottom w:val="nil"/>
              <w:right w:val="nil"/>
            </w:tcBorders>
            <w:shd w:val="clear" w:color="auto" w:fill="auto"/>
            <w:noWrap/>
            <w:vAlign w:val="center"/>
            <w:hideMark/>
          </w:tcPr>
          <w:p w14:paraId="154D1E50" w14:textId="77777777" w:rsidR="001177B1" w:rsidRPr="001177B1" w:rsidRDefault="001177B1" w:rsidP="001177B1">
            <w:pPr>
              <w:spacing w:after="0" w:line="240" w:lineRule="auto"/>
              <w:rPr>
                <w:rFonts w:ascii="Times New Roman" w:eastAsia="Times New Roman" w:hAnsi="Times New Roman" w:cs="Times New Roman"/>
                <w:sz w:val="18"/>
                <w:szCs w:val="18"/>
                <w:lang w:eastAsia="sk-SK"/>
              </w:rPr>
            </w:pPr>
            <w:r w:rsidRPr="001177B1">
              <w:rPr>
                <w:rFonts w:ascii="Times New Roman" w:eastAsia="Times New Roman" w:hAnsi="Times New Roman" w:cs="Times New Roman"/>
                <w:sz w:val="18"/>
                <w:szCs w:val="18"/>
                <w:lang w:eastAsia="sk-SK"/>
              </w:rPr>
              <w:t>Výdavky dôchodkového poistenia</w:t>
            </w:r>
          </w:p>
        </w:tc>
        <w:tc>
          <w:tcPr>
            <w:tcW w:w="762" w:type="pct"/>
            <w:tcBorders>
              <w:top w:val="nil"/>
              <w:left w:val="nil"/>
              <w:bottom w:val="nil"/>
              <w:right w:val="nil"/>
            </w:tcBorders>
            <w:shd w:val="clear" w:color="auto" w:fill="auto"/>
            <w:noWrap/>
            <w:vAlign w:val="center"/>
            <w:hideMark/>
          </w:tcPr>
          <w:p w14:paraId="4A908F32" w14:textId="77777777" w:rsidR="001177B1" w:rsidRPr="001177B1" w:rsidRDefault="001177B1" w:rsidP="001177B1">
            <w:pPr>
              <w:spacing w:after="0" w:line="240" w:lineRule="auto"/>
              <w:jc w:val="right"/>
              <w:rPr>
                <w:rFonts w:ascii="Times New Roman" w:eastAsia="Times New Roman" w:hAnsi="Times New Roman" w:cs="Times New Roman"/>
                <w:i/>
                <w:iCs/>
                <w:color w:val="000000"/>
                <w:sz w:val="18"/>
                <w:szCs w:val="18"/>
                <w:lang w:eastAsia="sk-SK"/>
              </w:rPr>
            </w:pPr>
            <w:r w:rsidRPr="001177B1">
              <w:rPr>
                <w:rFonts w:ascii="Times New Roman" w:eastAsia="Times New Roman" w:hAnsi="Times New Roman" w:cs="Times New Roman"/>
                <w:i/>
                <w:iCs/>
                <w:color w:val="000000"/>
                <w:sz w:val="18"/>
                <w:szCs w:val="18"/>
                <w:lang w:eastAsia="sk-SK"/>
              </w:rPr>
              <w:t>-998</w:t>
            </w:r>
          </w:p>
        </w:tc>
      </w:tr>
      <w:tr w:rsidR="001177B1" w:rsidRPr="001177B1" w14:paraId="299E495A" w14:textId="77777777" w:rsidTr="001177B1">
        <w:trPr>
          <w:trHeight w:val="255"/>
          <w:jc w:val="center"/>
        </w:trPr>
        <w:tc>
          <w:tcPr>
            <w:tcW w:w="4238" w:type="pct"/>
            <w:tcBorders>
              <w:top w:val="nil"/>
              <w:left w:val="nil"/>
              <w:bottom w:val="nil"/>
              <w:right w:val="nil"/>
            </w:tcBorders>
            <w:shd w:val="clear" w:color="auto" w:fill="auto"/>
            <w:noWrap/>
            <w:vAlign w:val="center"/>
            <w:hideMark/>
          </w:tcPr>
          <w:p w14:paraId="6C8017F0" w14:textId="77777777" w:rsidR="001177B1" w:rsidRPr="001177B1" w:rsidRDefault="001177B1" w:rsidP="001177B1">
            <w:pPr>
              <w:spacing w:after="0" w:line="240" w:lineRule="auto"/>
              <w:rPr>
                <w:rFonts w:ascii="Times New Roman" w:eastAsia="Times New Roman" w:hAnsi="Times New Roman" w:cs="Times New Roman"/>
                <w:sz w:val="18"/>
                <w:szCs w:val="18"/>
                <w:lang w:eastAsia="sk-SK"/>
              </w:rPr>
            </w:pPr>
            <w:r w:rsidRPr="001177B1">
              <w:rPr>
                <w:rFonts w:ascii="Times New Roman" w:eastAsia="Times New Roman" w:hAnsi="Times New Roman" w:cs="Times New Roman"/>
                <w:sz w:val="18"/>
                <w:szCs w:val="18"/>
                <w:lang w:eastAsia="sk-SK"/>
              </w:rPr>
              <w:t>Výdavky nemocenského poistenia</w:t>
            </w:r>
          </w:p>
        </w:tc>
        <w:tc>
          <w:tcPr>
            <w:tcW w:w="762" w:type="pct"/>
            <w:tcBorders>
              <w:top w:val="nil"/>
              <w:left w:val="nil"/>
              <w:bottom w:val="nil"/>
              <w:right w:val="nil"/>
            </w:tcBorders>
            <w:shd w:val="clear" w:color="auto" w:fill="auto"/>
            <w:noWrap/>
            <w:vAlign w:val="center"/>
            <w:hideMark/>
          </w:tcPr>
          <w:p w14:paraId="0923486E" w14:textId="77777777" w:rsidR="001177B1" w:rsidRPr="001177B1" w:rsidRDefault="001177B1" w:rsidP="001177B1">
            <w:pPr>
              <w:spacing w:after="0" w:line="240" w:lineRule="auto"/>
              <w:jc w:val="right"/>
              <w:rPr>
                <w:rFonts w:ascii="Times New Roman" w:eastAsia="Times New Roman" w:hAnsi="Times New Roman" w:cs="Times New Roman"/>
                <w:i/>
                <w:iCs/>
                <w:color w:val="000000"/>
                <w:sz w:val="18"/>
                <w:szCs w:val="18"/>
                <w:lang w:eastAsia="sk-SK"/>
              </w:rPr>
            </w:pPr>
            <w:r w:rsidRPr="001177B1">
              <w:rPr>
                <w:rFonts w:ascii="Times New Roman" w:eastAsia="Times New Roman" w:hAnsi="Times New Roman" w:cs="Times New Roman"/>
                <w:i/>
                <w:iCs/>
                <w:color w:val="000000"/>
                <w:sz w:val="18"/>
                <w:szCs w:val="18"/>
                <w:lang w:eastAsia="sk-SK"/>
              </w:rPr>
              <w:t>110</w:t>
            </w:r>
          </w:p>
        </w:tc>
      </w:tr>
      <w:tr w:rsidR="001177B1" w:rsidRPr="001177B1" w14:paraId="3FD98AAB" w14:textId="77777777" w:rsidTr="001177B1">
        <w:trPr>
          <w:trHeight w:val="255"/>
          <w:jc w:val="center"/>
        </w:trPr>
        <w:tc>
          <w:tcPr>
            <w:tcW w:w="4238" w:type="pct"/>
            <w:tcBorders>
              <w:top w:val="nil"/>
              <w:left w:val="nil"/>
              <w:bottom w:val="nil"/>
              <w:right w:val="nil"/>
            </w:tcBorders>
            <w:shd w:val="clear" w:color="auto" w:fill="auto"/>
            <w:noWrap/>
            <w:vAlign w:val="center"/>
            <w:hideMark/>
          </w:tcPr>
          <w:p w14:paraId="3870CDAC" w14:textId="2145B004" w:rsidR="001177B1" w:rsidRPr="001177B1" w:rsidRDefault="001177B1" w:rsidP="001177B1">
            <w:pPr>
              <w:spacing w:after="0" w:line="240" w:lineRule="auto"/>
              <w:rPr>
                <w:rFonts w:ascii="Times New Roman" w:eastAsia="Times New Roman" w:hAnsi="Times New Roman" w:cs="Times New Roman"/>
                <w:sz w:val="18"/>
                <w:szCs w:val="18"/>
                <w:lang w:eastAsia="sk-SK"/>
              </w:rPr>
            </w:pPr>
            <w:r w:rsidRPr="001177B1">
              <w:rPr>
                <w:rFonts w:ascii="Times New Roman" w:eastAsia="Times New Roman" w:hAnsi="Times New Roman" w:cs="Times New Roman"/>
                <w:sz w:val="18"/>
                <w:szCs w:val="18"/>
                <w:lang w:eastAsia="sk-SK"/>
              </w:rPr>
              <w:t>Výdavky poistenia v</w:t>
            </w:r>
            <w:r w:rsidR="00305080">
              <w:rPr>
                <w:rFonts w:ascii="Times New Roman" w:eastAsia="Times New Roman" w:hAnsi="Times New Roman" w:cs="Times New Roman"/>
                <w:sz w:val="18"/>
                <w:szCs w:val="18"/>
                <w:lang w:eastAsia="sk-SK"/>
              </w:rPr>
              <w:t> </w:t>
            </w:r>
            <w:r w:rsidRPr="001177B1">
              <w:rPr>
                <w:rFonts w:ascii="Times New Roman" w:eastAsia="Times New Roman" w:hAnsi="Times New Roman" w:cs="Times New Roman"/>
                <w:sz w:val="18"/>
                <w:szCs w:val="18"/>
                <w:lang w:eastAsia="sk-SK"/>
              </w:rPr>
              <w:t>nezamestnanosti</w:t>
            </w:r>
          </w:p>
        </w:tc>
        <w:tc>
          <w:tcPr>
            <w:tcW w:w="762" w:type="pct"/>
            <w:tcBorders>
              <w:top w:val="nil"/>
              <w:left w:val="nil"/>
              <w:bottom w:val="nil"/>
              <w:right w:val="nil"/>
            </w:tcBorders>
            <w:shd w:val="clear" w:color="auto" w:fill="auto"/>
            <w:noWrap/>
            <w:vAlign w:val="center"/>
            <w:hideMark/>
          </w:tcPr>
          <w:p w14:paraId="5A8F205E" w14:textId="77777777" w:rsidR="001177B1" w:rsidRPr="001177B1" w:rsidRDefault="001177B1" w:rsidP="001177B1">
            <w:pPr>
              <w:spacing w:after="0" w:line="240" w:lineRule="auto"/>
              <w:jc w:val="right"/>
              <w:rPr>
                <w:rFonts w:ascii="Times New Roman" w:eastAsia="Times New Roman" w:hAnsi="Times New Roman" w:cs="Times New Roman"/>
                <w:i/>
                <w:iCs/>
                <w:color w:val="000000"/>
                <w:sz w:val="18"/>
                <w:szCs w:val="18"/>
                <w:lang w:eastAsia="sk-SK"/>
              </w:rPr>
            </w:pPr>
            <w:r w:rsidRPr="001177B1">
              <w:rPr>
                <w:rFonts w:ascii="Times New Roman" w:eastAsia="Times New Roman" w:hAnsi="Times New Roman" w:cs="Times New Roman"/>
                <w:i/>
                <w:iCs/>
                <w:color w:val="000000"/>
                <w:sz w:val="18"/>
                <w:szCs w:val="18"/>
                <w:lang w:eastAsia="sk-SK"/>
              </w:rPr>
              <w:t>13</w:t>
            </w:r>
          </w:p>
        </w:tc>
      </w:tr>
      <w:tr w:rsidR="001177B1" w:rsidRPr="001177B1" w14:paraId="2D477526" w14:textId="77777777" w:rsidTr="001177B1">
        <w:trPr>
          <w:trHeight w:val="255"/>
          <w:jc w:val="center"/>
        </w:trPr>
        <w:tc>
          <w:tcPr>
            <w:tcW w:w="4238" w:type="pct"/>
            <w:tcBorders>
              <w:top w:val="nil"/>
              <w:left w:val="nil"/>
              <w:bottom w:val="nil"/>
              <w:right w:val="nil"/>
            </w:tcBorders>
            <w:shd w:val="clear" w:color="auto" w:fill="auto"/>
            <w:noWrap/>
            <w:vAlign w:val="center"/>
            <w:hideMark/>
          </w:tcPr>
          <w:p w14:paraId="17A997C4" w14:textId="77777777" w:rsidR="001177B1" w:rsidRPr="001177B1" w:rsidRDefault="001177B1" w:rsidP="001177B1">
            <w:pPr>
              <w:spacing w:after="0" w:line="240" w:lineRule="auto"/>
              <w:rPr>
                <w:rFonts w:ascii="Times New Roman" w:eastAsia="Times New Roman" w:hAnsi="Times New Roman" w:cs="Times New Roman"/>
                <w:sz w:val="18"/>
                <w:szCs w:val="18"/>
                <w:lang w:eastAsia="sk-SK"/>
              </w:rPr>
            </w:pPr>
            <w:r w:rsidRPr="001177B1">
              <w:rPr>
                <w:rFonts w:ascii="Times New Roman" w:eastAsia="Times New Roman" w:hAnsi="Times New Roman" w:cs="Times New Roman"/>
                <w:sz w:val="18"/>
                <w:szCs w:val="18"/>
                <w:lang w:eastAsia="sk-SK"/>
              </w:rPr>
              <w:t>Výdavky úrazového poistenia</w:t>
            </w:r>
          </w:p>
        </w:tc>
        <w:tc>
          <w:tcPr>
            <w:tcW w:w="762" w:type="pct"/>
            <w:tcBorders>
              <w:top w:val="nil"/>
              <w:left w:val="nil"/>
              <w:bottom w:val="nil"/>
              <w:right w:val="nil"/>
            </w:tcBorders>
            <w:shd w:val="clear" w:color="auto" w:fill="auto"/>
            <w:noWrap/>
            <w:vAlign w:val="center"/>
            <w:hideMark/>
          </w:tcPr>
          <w:p w14:paraId="60300548" w14:textId="77777777" w:rsidR="001177B1" w:rsidRPr="001177B1" w:rsidRDefault="001177B1" w:rsidP="001177B1">
            <w:pPr>
              <w:spacing w:after="0" w:line="240" w:lineRule="auto"/>
              <w:jc w:val="right"/>
              <w:rPr>
                <w:rFonts w:ascii="Times New Roman" w:eastAsia="Times New Roman" w:hAnsi="Times New Roman" w:cs="Times New Roman"/>
                <w:i/>
                <w:iCs/>
                <w:color w:val="000000"/>
                <w:sz w:val="18"/>
                <w:szCs w:val="18"/>
                <w:lang w:eastAsia="sk-SK"/>
              </w:rPr>
            </w:pPr>
            <w:r w:rsidRPr="001177B1">
              <w:rPr>
                <w:rFonts w:ascii="Times New Roman" w:eastAsia="Times New Roman" w:hAnsi="Times New Roman" w:cs="Times New Roman"/>
                <w:i/>
                <w:iCs/>
                <w:color w:val="000000"/>
                <w:sz w:val="18"/>
                <w:szCs w:val="18"/>
                <w:lang w:eastAsia="sk-SK"/>
              </w:rPr>
              <w:t>-1</w:t>
            </w:r>
          </w:p>
        </w:tc>
      </w:tr>
      <w:tr w:rsidR="001177B1" w:rsidRPr="001177B1" w14:paraId="74BF5CFC" w14:textId="77777777" w:rsidTr="001177B1">
        <w:trPr>
          <w:trHeight w:val="255"/>
          <w:jc w:val="center"/>
        </w:trPr>
        <w:tc>
          <w:tcPr>
            <w:tcW w:w="4238" w:type="pct"/>
            <w:tcBorders>
              <w:top w:val="nil"/>
              <w:left w:val="nil"/>
              <w:bottom w:val="single" w:sz="4" w:space="0" w:color="auto"/>
              <w:right w:val="nil"/>
            </w:tcBorders>
            <w:shd w:val="clear" w:color="auto" w:fill="auto"/>
            <w:noWrap/>
            <w:vAlign w:val="center"/>
            <w:hideMark/>
          </w:tcPr>
          <w:p w14:paraId="2965EC0D" w14:textId="77777777" w:rsidR="001177B1" w:rsidRPr="001177B1" w:rsidRDefault="001177B1" w:rsidP="001177B1">
            <w:pPr>
              <w:spacing w:after="0" w:line="240" w:lineRule="auto"/>
              <w:rPr>
                <w:rFonts w:ascii="Times New Roman" w:eastAsia="Times New Roman" w:hAnsi="Times New Roman" w:cs="Times New Roman"/>
                <w:sz w:val="18"/>
                <w:szCs w:val="18"/>
                <w:lang w:eastAsia="sk-SK"/>
              </w:rPr>
            </w:pPr>
            <w:r w:rsidRPr="001177B1">
              <w:rPr>
                <w:rFonts w:ascii="Times New Roman" w:eastAsia="Times New Roman" w:hAnsi="Times New Roman" w:cs="Times New Roman"/>
                <w:sz w:val="18"/>
                <w:szCs w:val="18"/>
                <w:lang w:eastAsia="sk-SK"/>
              </w:rPr>
              <w:t>Rezerva v štátnom rozpočte na Rodičovský dôchodok</w:t>
            </w:r>
          </w:p>
        </w:tc>
        <w:tc>
          <w:tcPr>
            <w:tcW w:w="762" w:type="pct"/>
            <w:tcBorders>
              <w:top w:val="nil"/>
              <w:left w:val="nil"/>
              <w:bottom w:val="single" w:sz="4" w:space="0" w:color="auto"/>
              <w:right w:val="nil"/>
            </w:tcBorders>
            <w:shd w:val="clear" w:color="auto" w:fill="auto"/>
            <w:noWrap/>
            <w:vAlign w:val="center"/>
            <w:hideMark/>
          </w:tcPr>
          <w:p w14:paraId="461D7FDF" w14:textId="77777777" w:rsidR="001177B1" w:rsidRPr="001177B1" w:rsidRDefault="001177B1" w:rsidP="001177B1">
            <w:pPr>
              <w:spacing w:after="0" w:line="240" w:lineRule="auto"/>
              <w:jc w:val="right"/>
              <w:rPr>
                <w:rFonts w:ascii="Times New Roman" w:eastAsia="Times New Roman" w:hAnsi="Times New Roman" w:cs="Times New Roman"/>
                <w:i/>
                <w:iCs/>
                <w:color w:val="000000"/>
                <w:sz w:val="18"/>
                <w:szCs w:val="18"/>
                <w:lang w:eastAsia="sk-SK"/>
              </w:rPr>
            </w:pPr>
            <w:r w:rsidRPr="001177B1">
              <w:rPr>
                <w:rFonts w:ascii="Times New Roman" w:eastAsia="Times New Roman" w:hAnsi="Times New Roman" w:cs="Times New Roman"/>
                <w:i/>
                <w:iCs/>
                <w:color w:val="000000"/>
                <w:sz w:val="18"/>
                <w:szCs w:val="18"/>
                <w:lang w:eastAsia="sk-SK"/>
              </w:rPr>
              <w:t>260</w:t>
            </w:r>
          </w:p>
        </w:tc>
      </w:tr>
    </w:tbl>
    <w:p w14:paraId="6C5F1A9E" w14:textId="77777777" w:rsidR="00AF2AF3" w:rsidRPr="002E562F" w:rsidRDefault="00AF2AF3" w:rsidP="00AF2AF3">
      <w:pPr>
        <w:spacing w:after="0"/>
        <w:ind w:left="7080" w:firstLine="708"/>
        <w:jc w:val="center"/>
        <w:rPr>
          <w:rFonts w:ascii="Times New Roman" w:hAnsi="Times New Roman" w:cs="Times New Roman"/>
          <w:i/>
          <w:sz w:val="16"/>
          <w:szCs w:val="16"/>
        </w:rPr>
      </w:pPr>
      <w:r w:rsidRPr="002E562F">
        <w:rPr>
          <w:rFonts w:ascii="Times New Roman" w:hAnsi="Times New Roman" w:cs="Times New Roman"/>
          <w:i/>
          <w:sz w:val="16"/>
          <w:szCs w:val="16"/>
        </w:rPr>
        <w:t xml:space="preserve">       Zdroj: MF SR</w:t>
      </w:r>
    </w:p>
    <w:p w14:paraId="178D0EF8" w14:textId="77777777" w:rsidR="00AF2AF3" w:rsidRDefault="00AF2AF3" w:rsidP="00AF2AF3">
      <w:pPr>
        <w:spacing w:after="0"/>
        <w:jc w:val="both"/>
        <w:rPr>
          <w:rFonts w:ascii="Times New Roman" w:hAnsi="Times New Roman" w:cs="Times New Roman"/>
          <w:sz w:val="24"/>
          <w:szCs w:val="24"/>
        </w:rPr>
      </w:pPr>
    </w:p>
    <w:p w14:paraId="19840568" w14:textId="77777777" w:rsidR="001177B1" w:rsidRPr="001177B1" w:rsidRDefault="001177B1" w:rsidP="001177B1">
      <w:pPr>
        <w:spacing w:after="0" w:line="240" w:lineRule="auto"/>
        <w:jc w:val="both"/>
        <w:rPr>
          <w:rFonts w:ascii="Times New Roman" w:eastAsia="Times New Roman" w:hAnsi="Times New Roman" w:cs="Times New Roman"/>
          <w:sz w:val="24"/>
          <w:szCs w:val="24"/>
          <w:lang w:eastAsia="sk-SK"/>
        </w:rPr>
      </w:pPr>
      <w:r w:rsidRPr="001177B1">
        <w:rPr>
          <w:rFonts w:ascii="Times New Roman" w:eastAsia="Times New Roman" w:hAnsi="Times New Roman" w:cs="Times New Roman"/>
          <w:sz w:val="24"/>
          <w:szCs w:val="24"/>
          <w:lang w:eastAsia="sk-SK"/>
        </w:rPr>
        <w:t>Najväčšiu zmenu zaznamenali výdavky na dôchodky, ktoré oproti schválenému rozpočtu rastú o 998 mil. eur, a to najmä z dôvodu zahrnutia výdavkov na mimoriadnu valorizáciu dôchodkov vo výške 524 miliónov eur, rodičovský dôchodok vo výške 293 miliónov eur a vplyv odchodu do dôchodku po odpracovaných 40 rokoch vo výške 22 mil. eur. Zvyšok tvorí bežný medziročný nárast dôchodkov v súvislosti so zmenou v počte poberateľov a v súvislosti s tým, že novopriznané dôchodky sa vyplácajú vo vyššej sume.</w:t>
      </w:r>
    </w:p>
    <w:p w14:paraId="78D01AEE" w14:textId="77777777" w:rsidR="001177B1" w:rsidRPr="001177B1" w:rsidRDefault="001177B1" w:rsidP="001177B1">
      <w:pPr>
        <w:spacing w:after="0" w:line="240" w:lineRule="auto"/>
        <w:jc w:val="both"/>
        <w:rPr>
          <w:rFonts w:ascii="Times New Roman" w:eastAsia="Times New Roman" w:hAnsi="Times New Roman" w:cs="Book Antiqua"/>
          <w:sz w:val="24"/>
          <w:szCs w:val="24"/>
          <w:lang w:eastAsia="sk-SK"/>
        </w:rPr>
      </w:pPr>
    </w:p>
    <w:p w14:paraId="62A6067C" w14:textId="77777777" w:rsidR="001177B1" w:rsidRPr="001177B1" w:rsidRDefault="001177B1" w:rsidP="001177B1">
      <w:pPr>
        <w:spacing w:after="0" w:line="240" w:lineRule="auto"/>
        <w:jc w:val="both"/>
        <w:rPr>
          <w:rFonts w:ascii="Times New Roman" w:eastAsia="Times New Roman" w:hAnsi="Times New Roman" w:cs="Times New Roman"/>
          <w:sz w:val="24"/>
          <w:szCs w:val="24"/>
          <w:lang w:eastAsia="sk-SK"/>
        </w:rPr>
      </w:pPr>
      <w:r w:rsidRPr="001177B1">
        <w:rPr>
          <w:rFonts w:ascii="Times New Roman" w:eastAsia="Times New Roman" w:hAnsi="Times New Roman" w:cs="Times New Roman"/>
          <w:sz w:val="24"/>
          <w:szCs w:val="24"/>
          <w:lang w:eastAsia="sk-SK"/>
        </w:rPr>
        <w:t>V rámci výdavkov nemocenského poistenia sa očakáva úspora 110 mil. eur. Výdavky na nemocenské dávky sú nižšie najmä kvôli menšiemu počtu dávok materské a tehotenské. Odhad je revidovaný nadol kvôli zmene metodiky prognózy - naviazaniu dávok na počet pôrodov</w:t>
      </w:r>
      <w:r w:rsidRPr="001177B1">
        <w:rPr>
          <w:rFonts w:ascii="Times New Roman" w:eastAsia="Times New Roman" w:hAnsi="Times New Roman" w:cs="Times New Roman"/>
          <w:sz w:val="24"/>
          <w:szCs w:val="24"/>
          <w:vertAlign w:val="superscript"/>
          <w:lang w:eastAsia="sk-SK"/>
        </w:rPr>
        <w:footnoteReference w:id="7"/>
      </w:r>
      <w:r w:rsidRPr="001177B1">
        <w:rPr>
          <w:rFonts w:ascii="Times New Roman" w:eastAsia="Times New Roman" w:hAnsi="Times New Roman" w:cs="Times New Roman"/>
          <w:sz w:val="24"/>
          <w:szCs w:val="24"/>
          <w:lang w:eastAsia="sk-SK"/>
        </w:rPr>
        <w:t>. Aj pri dávkach nemocenské a ošetrovné sa očakávajú nižšie výdavky v porovnaní s rozpočtom. Nižší bude ako počet dávok kvôli spomaleniu rastu zamestnanosti, tak aj výška dávky kvôli pomalšiemu rastu priemernej mzdy.</w:t>
      </w:r>
    </w:p>
    <w:p w14:paraId="16539DCA" w14:textId="77777777" w:rsidR="001177B1" w:rsidRPr="001177B1" w:rsidRDefault="001177B1" w:rsidP="001177B1">
      <w:pPr>
        <w:spacing w:after="0" w:line="240" w:lineRule="auto"/>
        <w:jc w:val="both"/>
        <w:rPr>
          <w:rFonts w:ascii="Times New Roman" w:eastAsia="Times New Roman" w:hAnsi="Times New Roman" w:cs="Book Antiqua"/>
          <w:sz w:val="24"/>
          <w:szCs w:val="24"/>
          <w:lang w:eastAsia="sk-SK"/>
        </w:rPr>
      </w:pPr>
    </w:p>
    <w:p w14:paraId="20D90096" w14:textId="77777777" w:rsidR="001177B1" w:rsidRPr="001177B1" w:rsidRDefault="001177B1" w:rsidP="001177B1">
      <w:pPr>
        <w:spacing w:after="0" w:line="240" w:lineRule="auto"/>
        <w:jc w:val="both"/>
        <w:rPr>
          <w:rFonts w:ascii="Times New Roman" w:eastAsia="Times New Roman" w:hAnsi="Times New Roman" w:cs="Times New Roman"/>
          <w:sz w:val="24"/>
          <w:szCs w:val="24"/>
          <w:lang w:eastAsia="sk-SK"/>
        </w:rPr>
      </w:pPr>
      <w:r w:rsidRPr="001177B1">
        <w:rPr>
          <w:rFonts w:ascii="Times New Roman" w:eastAsia="Times New Roman" w:hAnsi="Times New Roman" w:cs="Times New Roman"/>
          <w:sz w:val="24"/>
          <w:szCs w:val="24"/>
          <w:lang w:eastAsia="sk-SK"/>
        </w:rPr>
        <w:t xml:space="preserve">V rámci výdavkov poistenia v nezamestnanosti sa očakáva úspora 13 mil. eur, pričom úspora výdavkov na </w:t>
      </w:r>
      <w:proofErr w:type="spellStart"/>
      <w:r w:rsidRPr="001177B1">
        <w:rPr>
          <w:rFonts w:ascii="Times New Roman" w:eastAsia="Times New Roman" w:hAnsi="Times New Roman" w:cs="Times New Roman"/>
          <w:sz w:val="24"/>
          <w:szCs w:val="24"/>
          <w:lang w:eastAsia="sk-SK"/>
        </w:rPr>
        <w:t>kurzarbeit</w:t>
      </w:r>
      <w:proofErr w:type="spellEnd"/>
      <w:r w:rsidRPr="001177B1">
        <w:rPr>
          <w:rFonts w:ascii="Times New Roman" w:eastAsia="Times New Roman" w:hAnsi="Times New Roman" w:cs="Times New Roman"/>
          <w:sz w:val="24"/>
          <w:szCs w:val="24"/>
          <w:lang w:eastAsia="sk-SK"/>
        </w:rPr>
        <w:t xml:space="preserve"> predstavuje 17 mil. eur.</w:t>
      </w:r>
    </w:p>
    <w:p w14:paraId="3FF848CB" w14:textId="77777777" w:rsidR="001177B1" w:rsidRPr="001177B1" w:rsidRDefault="001177B1" w:rsidP="001177B1">
      <w:pPr>
        <w:spacing w:after="0" w:line="240" w:lineRule="auto"/>
        <w:jc w:val="both"/>
        <w:rPr>
          <w:rFonts w:ascii="Times New Roman" w:eastAsia="Times New Roman" w:hAnsi="Times New Roman" w:cs="Book Antiqua"/>
          <w:sz w:val="24"/>
          <w:szCs w:val="24"/>
          <w:lang w:eastAsia="sk-SK"/>
        </w:rPr>
      </w:pPr>
    </w:p>
    <w:p w14:paraId="330D6678" w14:textId="77777777" w:rsidR="001177B1" w:rsidRPr="001177B1" w:rsidRDefault="001177B1" w:rsidP="001177B1">
      <w:pPr>
        <w:spacing w:after="0" w:line="240" w:lineRule="auto"/>
        <w:jc w:val="both"/>
        <w:rPr>
          <w:rFonts w:ascii="Times New Roman" w:eastAsia="Times New Roman" w:hAnsi="Times New Roman" w:cs="Book Antiqua"/>
          <w:sz w:val="24"/>
          <w:szCs w:val="24"/>
          <w:lang w:eastAsia="sk-SK"/>
        </w:rPr>
      </w:pPr>
      <w:r w:rsidRPr="001177B1">
        <w:rPr>
          <w:rFonts w:ascii="Times New Roman" w:eastAsia="Times New Roman" w:hAnsi="Times New Roman" w:cs="Book Antiqua"/>
          <w:sz w:val="24"/>
          <w:szCs w:val="24"/>
          <w:lang w:eastAsia="sk-SK"/>
        </w:rPr>
        <w:t>V rámci schváleného rozpočtu bola v štátnom rozpočte alokovaná rezerva na zavedenie rodičovského dôchodku.</w:t>
      </w:r>
    </w:p>
    <w:p w14:paraId="2420D174" w14:textId="77777777" w:rsidR="001177B1" w:rsidRDefault="001177B1" w:rsidP="007B4FDF">
      <w:pPr>
        <w:spacing w:after="0" w:line="240" w:lineRule="auto"/>
        <w:jc w:val="both"/>
        <w:rPr>
          <w:rFonts w:ascii="Times New Roman" w:hAnsi="Times New Roman"/>
          <w:sz w:val="24"/>
          <w:szCs w:val="24"/>
        </w:rPr>
      </w:pPr>
    </w:p>
    <w:p w14:paraId="1A100A09" w14:textId="77777777" w:rsidR="007B4FDF" w:rsidRDefault="0080040F" w:rsidP="0080040F">
      <w:pPr>
        <w:pStyle w:val="Zkladntext"/>
        <w:rPr>
          <w:rFonts w:ascii="Times New Roman" w:hAnsi="Times New Roman" w:cs="Times New Roman"/>
          <w:b/>
          <w:color w:val="5B9BD5" w:themeColor="accent1"/>
        </w:rPr>
      </w:pPr>
      <w:bookmarkStart w:id="26" w:name="_Toc79153412"/>
      <w:r w:rsidRPr="0080040F">
        <w:rPr>
          <w:rFonts w:ascii="Times New Roman" w:hAnsi="Times New Roman" w:cs="Times New Roman"/>
          <w:b/>
          <w:color w:val="5B9BD5" w:themeColor="accent1"/>
        </w:rPr>
        <w:t xml:space="preserve">2.1.6. </w:t>
      </w:r>
      <w:r w:rsidR="007B4FDF" w:rsidRPr="0080040F">
        <w:rPr>
          <w:rFonts w:ascii="Times New Roman" w:hAnsi="Times New Roman" w:cs="Times New Roman"/>
          <w:b/>
          <w:color w:val="5B9BD5" w:themeColor="accent1"/>
        </w:rPr>
        <w:t>Vý</w:t>
      </w:r>
      <w:bookmarkEnd w:id="26"/>
      <w:r w:rsidR="00615471">
        <w:rPr>
          <w:rFonts w:ascii="Times New Roman" w:hAnsi="Times New Roman" w:cs="Times New Roman"/>
          <w:b/>
          <w:color w:val="5B9BD5" w:themeColor="accent1"/>
        </w:rPr>
        <w:t>padok nedaňových príjmov štátneho rozpočtu – solidárny príspevok presunutý do daní</w:t>
      </w:r>
    </w:p>
    <w:p w14:paraId="745DCC44" w14:textId="77777777" w:rsidR="00576E98" w:rsidRDefault="00576E98" w:rsidP="0080040F">
      <w:pPr>
        <w:pStyle w:val="Zkladntext"/>
        <w:rPr>
          <w:rFonts w:ascii="Times New Roman" w:hAnsi="Times New Roman" w:cs="Times New Roman"/>
          <w:b/>
          <w:color w:val="5B9BD5" w:themeColor="accent1"/>
        </w:rPr>
      </w:pPr>
    </w:p>
    <w:p w14:paraId="4D72341B" w14:textId="77777777" w:rsidR="001177B1" w:rsidRPr="001177B1" w:rsidRDefault="001177B1" w:rsidP="001177B1">
      <w:pPr>
        <w:spacing w:after="0" w:line="240" w:lineRule="auto"/>
        <w:jc w:val="both"/>
        <w:rPr>
          <w:rFonts w:ascii="Times New Roman" w:eastAsia="Times New Roman" w:hAnsi="Times New Roman" w:cs="Times New Roman"/>
          <w:color w:val="000000"/>
          <w:sz w:val="24"/>
          <w:szCs w:val="24"/>
          <w:lang w:eastAsia="sk-SK"/>
        </w:rPr>
      </w:pPr>
      <w:bookmarkStart w:id="27" w:name="_Toc79153413"/>
      <w:r w:rsidRPr="001177B1">
        <w:rPr>
          <w:rFonts w:ascii="Times New Roman" w:eastAsia="Times New Roman" w:hAnsi="Times New Roman" w:cs="Times New Roman"/>
          <w:color w:val="000000"/>
          <w:sz w:val="24"/>
          <w:szCs w:val="24"/>
          <w:lang w:eastAsia="sk-SK"/>
        </w:rPr>
        <w:t xml:space="preserve">V rámci nedaňových príjmov štátneho rozpočtu bol rozpočtovaný solidárny príspevok z činností v odvetviach ropy, zemného plynu, uhlia a rafinérií na úrovni 462 mil. eur. Keďže je v </w:t>
      </w:r>
      <w:r w:rsidRPr="001177B1">
        <w:rPr>
          <w:rFonts w:ascii="Times New Roman" w:eastAsia="Times New Roman" w:hAnsi="Times New Roman" w:cs="Times New Roman"/>
          <w:color w:val="000000"/>
          <w:sz w:val="24"/>
          <w:szCs w:val="24"/>
          <w:lang w:eastAsia="sk-SK"/>
        </w:rPr>
        <w:lastRenderedPageBreak/>
        <w:t xml:space="preserve">súčasnosti súčasťou daňových </w:t>
      </w:r>
      <w:r w:rsidRPr="00CA1C84">
        <w:rPr>
          <w:rFonts w:ascii="Times New Roman" w:eastAsia="Times New Roman" w:hAnsi="Times New Roman" w:cs="Times New Roman"/>
          <w:color w:val="000000"/>
          <w:sz w:val="24"/>
          <w:szCs w:val="24"/>
          <w:lang w:eastAsia="sk-SK"/>
        </w:rPr>
        <w:t>príjmov štátneho rozpočtu, dochádza v rámci nedaňových príjmov k výpadku na úrovni 462 mil. eur</w:t>
      </w:r>
      <w:r w:rsidRPr="00CA1C84">
        <w:rPr>
          <w:rFonts w:ascii="Times New Roman" w:eastAsia="Times New Roman" w:hAnsi="Times New Roman" w:cs="Times New Roman"/>
          <w:color w:val="000000"/>
          <w:sz w:val="24"/>
          <w:szCs w:val="24"/>
          <w:vertAlign w:val="superscript"/>
          <w:lang w:eastAsia="sk-SK"/>
        </w:rPr>
        <w:footnoteReference w:id="8"/>
      </w:r>
      <w:r w:rsidRPr="00CA1C84">
        <w:rPr>
          <w:rFonts w:ascii="Times New Roman" w:eastAsia="Times New Roman" w:hAnsi="Times New Roman" w:cs="Times New Roman"/>
          <w:color w:val="000000"/>
          <w:sz w:val="24"/>
          <w:szCs w:val="24"/>
          <w:lang w:eastAsia="sk-SK"/>
        </w:rPr>
        <w:t>.</w:t>
      </w:r>
    </w:p>
    <w:p w14:paraId="3145BCC3" w14:textId="77777777" w:rsidR="000608BE" w:rsidRDefault="000608BE" w:rsidP="00AF2AF3">
      <w:pPr>
        <w:pStyle w:val="Zkladntext"/>
        <w:rPr>
          <w:rFonts w:ascii="Times New Roman" w:hAnsi="Times New Roman" w:cs="Times New Roman"/>
          <w:b/>
          <w:color w:val="5B9BD5" w:themeColor="accent1"/>
        </w:rPr>
      </w:pPr>
    </w:p>
    <w:p w14:paraId="5B674D38" w14:textId="77777777" w:rsidR="007B4FDF" w:rsidRPr="0080040F" w:rsidRDefault="0080040F" w:rsidP="00AF2AF3">
      <w:pPr>
        <w:pStyle w:val="Zkladntext"/>
        <w:rPr>
          <w:rFonts w:ascii="Times New Roman" w:hAnsi="Times New Roman" w:cs="Times New Roman"/>
          <w:b/>
          <w:color w:val="5B9BD5" w:themeColor="accent1"/>
        </w:rPr>
      </w:pPr>
      <w:r w:rsidRPr="0080040F">
        <w:rPr>
          <w:rFonts w:ascii="Times New Roman" w:hAnsi="Times New Roman" w:cs="Times New Roman"/>
          <w:b/>
          <w:color w:val="5B9BD5" w:themeColor="accent1"/>
        </w:rPr>
        <w:t xml:space="preserve">2.1.7. </w:t>
      </w:r>
      <w:r w:rsidR="007B4FDF" w:rsidRPr="0080040F">
        <w:rPr>
          <w:rFonts w:ascii="Times New Roman" w:hAnsi="Times New Roman" w:cs="Times New Roman"/>
          <w:b/>
          <w:color w:val="5B9BD5" w:themeColor="accent1"/>
        </w:rPr>
        <w:t xml:space="preserve">Výdavky </w:t>
      </w:r>
      <w:bookmarkEnd w:id="27"/>
      <w:r w:rsidR="00615471">
        <w:rPr>
          <w:rFonts w:ascii="Times New Roman" w:hAnsi="Times New Roman" w:cs="Times New Roman"/>
          <w:b/>
          <w:color w:val="5B9BD5" w:themeColor="accent1"/>
        </w:rPr>
        <w:t>na zdravotnú starostlivosť v rámci verejného zdravotného poistenia</w:t>
      </w:r>
    </w:p>
    <w:p w14:paraId="250A4905" w14:textId="77777777" w:rsidR="007B4FDF" w:rsidRDefault="007B4FDF" w:rsidP="007B4FDF">
      <w:pPr>
        <w:spacing w:after="0" w:line="240" w:lineRule="auto"/>
        <w:jc w:val="both"/>
        <w:rPr>
          <w:rFonts w:ascii="Times New Roman" w:hAnsi="Times New Roman" w:cs="Times New Roman"/>
          <w:color w:val="000000"/>
          <w:sz w:val="24"/>
          <w:szCs w:val="24"/>
        </w:rPr>
      </w:pPr>
    </w:p>
    <w:p w14:paraId="169FF8F8" w14:textId="77777777" w:rsidR="005D3D72" w:rsidRPr="005D3D72" w:rsidRDefault="005D3D72" w:rsidP="005D3D72">
      <w:pPr>
        <w:spacing w:after="0" w:line="240" w:lineRule="auto"/>
        <w:jc w:val="both"/>
        <w:rPr>
          <w:rFonts w:ascii="Times New Roman" w:eastAsia="Times New Roman" w:hAnsi="Times New Roman" w:cs="Times New Roman"/>
          <w:color w:val="000000"/>
          <w:sz w:val="24"/>
          <w:szCs w:val="24"/>
          <w:lang w:eastAsia="sk-SK"/>
        </w:rPr>
      </w:pPr>
      <w:bookmarkStart w:id="28" w:name="_Toc79153414"/>
      <w:r w:rsidRPr="005D3D72">
        <w:rPr>
          <w:rFonts w:ascii="Times New Roman" w:eastAsia="Times New Roman" w:hAnsi="Times New Roman" w:cs="Times New Roman"/>
          <w:color w:val="000000"/>
          <w:sz w:val="24"/>
          <w:szCs w:val="24"/>
          <w:lang w:eastAsia="sk-SK"/>
        </w:rPr>
        <w:t xml:space="preserve">Skutočné </w:t>
      </w:r>
      <w:r w:rsidRPr="00CA1C84">
        <w:rPr>
          <w:rFonts w:ascii="Times New Roman" w:eastAsia="Times New Roman" w:hAnsi="Times New Roman" w:cs="Times New Roman"/>
          <w:color w:val="000000"/>
          <w:sz w:val="24"/>
          <w:szCs w:val="24"/>
          <w:lang w:eastAsia="sk-SK"/>
        </w:rPr>
        <w:t>výdavky roka 2023 sa očakávajú vo výške 6 891 mil. eur, čo predstavuje nárast   o 275 mil. eur oproti rozpočtovaným výdavkom na rok 2023. Navýšenie na úrovni 191 mil. eur je spôsobené najmä dofinancovaním ambulantnej</w:t>
      </w:r>
      <w:r w:rsidRPr="005D3D72">
        <w:rPr>
          <w:rFonts w:ascii="Times New Roman" w:eastAsia="Times New Roman" w:hAnsi="Times New Roman" w:cs="Times New Roman"/>
          <w:color w:val="000000"/>
          <w:sz w:val="24"/>
          <w:szCs w:val="24"/>
          <w:lang w:eastAsia="sk-SK"/>
        </w:rPr>
        <w:t xml:space="preserve"> starostlivosti v dôsledku inflácie, cien energií a nárastu úhrad. Kategorizácia nových liekov a lieky na výnimky nad rámec plánovaného rozpočtu na liekovú politiku, ako aj vyššia spotreba už kategorizovaných liekov predstavujú vplyv na úrovni 72 mil. eur. Nárast výdavkov na zdravotnícke pomôcky, z dôvodu rastu nákladov na výrobu, predstavuje 12 mil. eur.</w:t>
      </w:r>
    </w:p>
    <w:p w14:paraId="121F05C2" w14:textId="77777777" w:rsidR="000608BE" w:rsidRDefault="000608BE" w:rsidP="00D87DB6">
      <w:pPr>
        <w:pStyle w:val="Zkladntext"/>
        <w:rPr>
          <w:rFonts w:ascii="Times New Roman" w:hAnsi="Times New Roman" w:cs="Times New Roman"/>
          <w:b/>
          <w:color w:val="5B9BD5" w:themeColor="accent1"/>
        </w:rPr>
      </w:pPr>
    </w:p>
    <w:p w14:paraId="4B2C97C7" w14:textId="77777777" w:rsidR="007B4FDF" w:rsidRPr="0080040F" w:rsidRDefault="0080040F" w:rsidP="00D87DB6">
      <w:pPr>
        <w:pStyle w:val="Zkladntext"/>
        <w:rPr>
          <w:rFonts w:ascii="Times New Roman" w:hAnsi="Times New Roman" w:cs="Times New Roman"/>
          <w:b/>
          <w:color w:val="5B9BD5" w:themeColor="accent1"/>
        </w:rPr>
      </w:pPr>
      <w:r w:rsidRPr="0080040F">
        <w:rPr>
          <w:rFonts w:ascii="Times New Roman" w:hAnsi="Times New Roman" w:cs="Times New Roman"/>
          <w:b/>
          <w:color w:val="5B9BD5" w:themeColor="accent1"/>
        </w:rPr>
        <w:t xml:space="preserve">2.1.8. </w:t>
      </w:r>
      <w:bookmarkEnd w:id="28"/>
      <w:r w:rsidR="00B02926">
        <w:rPr>
          <w:rFonts w:ascii="Times New Roman" w:hAnsi="Times New Roman" w:cs="Times New Roman"/>
          <w:b/>
          <w:color w:val="5B9BD5" w:themeColor="accent1"/>
        </w:rPr>
        <w:t>Daňová prognóza</w:t>
      </w:r>
      <w:r w:rsidR="00D87DB6">
        <w:rPr>
          <w:rFonts w:ascii="Times New Roman" w:hAnsi="Times New Roman" w:cs="Times New Roman"/>
          <w:b/>
          <w:color w:val="5B9BD5" w:themeColor="accent1"/>
        </w:rPr>
        <w:t xml:space="preserve"> (bez platieb štátu)</w:t>
      </w:r>
    </w:p>
    <w:p w14:paraId="08C77EE5" w14:textId="77777777" w:rsidR="007B4FDF" w:rsidRDefault="007B4FDF" w:rsidP="007B4FDF">
      <w:pPr>
        <w:spacing w:after="0" w:line="240" w:lineRule="auto"/>
        <w:jc w:val="both"/>
        <w:rPr>
          <w:rFonts w:ascii="Times New Roman" w:hAnsi="Times New Roman" w:cs="Times New Roman"/>
          <w:color w:val="000000"/>
          <w:sz w:val="24"/>
          <w:szCs w:val="24"/>
        </w:rPr>
      </w:pPr>
    </w:p>
    <w:p w14:paraId="685BC33F" w14:textId="77777777" w:rsidR="00D87DB6" w:rsidRDefault="005D3D72" w:rsidP="005D3D72">
      <w:pPr>
        <w:spacing w:after="0" w:line="240" w:lineRule="auto"/>
        <w:jc w:val="both"/>
        <w:rPr>
          <w:rFonts w:ascii="Times New Roman" w:eastAsia="Times New Roman" w:hAnsi="Times New Roman" w:cs="Times New Roman"/>
          <w:color w:val="000000"/>
          <w:sz w:val="24"/>
          <w:szCs w:val="24"/>
          <w:lang w:eastAsia="sk-SK"/>
        </w:rPr>
      </w:pPr>
      <w:r w:rsidRPr="005D3D72">
        <w:rPr>
          <w:rFonts w:ascii="Times New Roman" w:eastAsia="Times New Roman" w:hAnsi="Times New Roman" w:cs="Times New Roman"/>
          <w:color w:val="000000"/>
          <w:sz w:val="24"/>
          <w:szCs w:val="24"/>
          <w:lang w:eastAsia="sk-SK"/>
        </w:rPr>
        <w:t>Aktualizáciou daňovej prognózy dochádza k </w:t>
      </w:r>
      <w:r w:rsidRPr="005D3D72">
        <w:rPr>
          <w:rFonts w:ascii="Times New Roman" w:eastAsia="Times New Roman" w:hAnsi="Times New Roman" w:cs="Times New Roman"/>
          <w:b/>
          <w:color w:val="000000"/>
          <w:sz w:val="24"/>
          <w:szCs w:val="24"/>
          <w:lang w:eastAsia="sk-SK"/>
        </w:rPr>
        <w:t>negatívnemu vplyvu</w:t>
      </w:r>
      <w:r w:rsidRPr="005D3D72">
        <w:rPr>
          <w:rFonts w:ascii="Times New Roman" w:eastAsia="Times New Roman" w:hAnsi="Times New Roman" w:cs="Times New Roman"/>
          <w:color w:val="000000"/>
          <w:sz w:val="24"/>
          <w:szCs w:val="24"/>
          <w:lang w:eastAsia="sk-SK"/>
        </w:rPr>
        <w:t xml:space="preserve"> na schodok rozpočtu verejnej správy v roku 2023 na úrovni </w:t>
      </w:r>
      <w:r w:rsidRPr="005D3D72">
        <w:rPr>
          <w:rFonts w:ascii="Times New Roman" w:eastAsia="Times New Roman" w:hAnsi="Times New Roman" w:cs="Times New Roman"/>
          <w:b/>
          <w:color w:val="000000"/>
          <w:sz w:val="24"/>
          <w:szCs w:val="24"/>
          <w:lang w:eastAsia="sk-SK"/>
        </w:rPr>
        <w:t>235 mil. eur</w:t>
      </w:r>
      <w:r w:rsidRPr="005D3D72">
        <w:rPr>
          <w:rFonts w:ascii="Times New Roman" w:eastAsia="Times New Roman" w:hAnsi="Times New Roman" w:cs="Times New Roman"/>
          <w:color w:val="000000"/>
          <w:sz w:val="24"/>
          <w:szCs w:val="24"/>
          <w:lang w:eastAsia="sk-SK"/>
        </w:rPr>
        <w:t>. Ide najmä o výpadok odvodových príjmov Sociálnej poisťovne a zdravotných poisťovní. Ďalším výrazným negatívom je zvýšenie daňového bonusu na dieťa.</w:t>
      </w:r>
    </w:p>
    <w:p w14:paraId="235E4099" w14:textId="77777777" w:rsidR="005D3D72" w:rsidRPr="005D3D72" w:rsidRDefault="005D3D72" w:rsidP="005D3D72">
      <w:pPr>
        <w:spacing w:after="0" w:line="240" w:lineRule="auto"/>
        <w:jc w:val="both"/>
        <w:rPr>
          <w:rFonts w:ascii="Times New Roman" w:eastAsia="Times New Roman" w:hAnsi="Times New Roman" w:cs="Times New Roman"/>
          <w:color w:val="000000"/>
          <w:sz w:val="24"/>
          <w:szCs w:val="24"/>
          <w:lang w:eastAsia="sk-SK"/>
        </w:rPr>
      </w:pPr>
    </w:p>
    <w:p w14:paraId="71E0F8F5" w14:textId="2C2DB032" w:rsidR="00D87DB6" w:rsidRPr="003D5A3A" w:rsidRDefault="00D87DB6" w:rsidP="00D87DB6">
      <w:pPr>
        <w:spacing w:after="0"/>
        <w:rPr>
          <w:rFonts w:ascii="Times New Roman" w:hAnsi="Times New Roman" w:cs="Times New Roman"/>
          <w:b/>
          <w:color w:val="5B9BD5" w:themeColor="accent1"/>
          <w:sz w:val="20"/>
          <w:szCs w:val="20"/>
        </w:rPr>
      </w:pPr>
      <w:bookmarkStart w:id="29" w:name="_Toc153013006"/>
      <w:r w:rsidRPr="003D5A3A">
        <w:rPr>
          <w:rFonts w:ascii="Times New Roman" w:hAnsi="Times New Roman" w:cs="Times New Roman"/>
          <w:b/>
          <w:color w:val="5B9BD5" w:themeColor="accent1"/>
          <w:sz w:val="20"/>
          <w:szCs w:val="20"/>
        </w:rPr>
        <w:t xml:space="preserve">Tabuľka </w:t>
      </w:r>
      <w:r w:rsidRPr="003D5A3A">
        <w:rPr>
          <w:rFonts w:ascii="Times New Roman" w:hAnsi="Times New Roman" w:cs="Times New Roman"/>
          <w:b/>
          <w:color w:val="5B9BD5" w:themeColor="accent1"/>
          <w:sz w:val="20"/>
          <w:szCs w:val="20"/>
        </w:rPr>
        <w:fldChar w:fldCharType="begin"/>
      </w:r>
      <w:r w:rsidRPr="003D5A3A">
        <w:rPr>
          <w:rFonts w:ascii="Times New Roman" w:hAnsi="Times New Roman" w:cs="Times New Roman"/>
          <w:b/>
          <w:color w:val="5B9BD5" w:themeColor="accent1"/>
          <w:sz w:val="20"/>
          <w:szCs w:val="20"/>
        </w:rPr>
        <w:instrText xml:space="preserve"> SEQ Tabuľka \* ARABIC </w:instrText>
      </w:r>
      <w:r w:rsidRPr="003D5A3A">
        <w:rPr>
          <w:rFonts w:ascii="Times New Roman" w:hAnsi="Times New Roman" w:cs="Times New Roman"/>
          <w:b/>
          <w:color w:val="5B9BD5" w:themeColor="accent1"/>
          <w:sz w:val="20"/>
          <w:szCs w:val="20"/>
        </w:rPr>
        <w:fldChar w:fldCharType="separate"/>
      </w:r>
      <w:r w:rsidR="003D5A3A" w:rsidRPr="003D5A3A">
        <w:rPr>
          <w:rFonts w:ascii="Times New Roman" w:hAnsi="Times New Roman" w:cs="Times New Roman"/>
          <w:b/>
          <w:noProof/>
          <w:color w:val="5B9BD5" w:themeColor="accent1"/>
          <w:sz w:val="20"/>
          <w:szCs w:val="20"/>
        </w:rPr>
        <w:t>8</w:t>
      </w:r>
      <w:r w:rsidRPr="003D5A3A">
        <w:rPr>
          <w:rFonts w:ascii="Times New Roman" w:hAnsi="Times New Roman" w:cs="Times New Roman"/>
          <w:b/>
          <w:color w:val="5B9BD5" w:themeColor="accent1"/>
          <w:sz w:val="20"/>
          <w:szCs w:val="20"/>
        </w:rPr>
        <w:fldChar w:fldCharType="end"/>
      </w:r>
      <w:r w:rsidRPr="003D5A3A">
        <w:rPr>
          <w:rFonts w:ascii="Times New Roman" w:hAnsi="Times New Roman" w:cs="Times New Roman"/>
          <w:b/>
          <w:color w:val="5B9BD5" w:themeColor="accent1"/>
          <w:sz w:val="20"/>
          <w:szCs w:val="20"/>
        </w:rPr>
        <w:t xml:space="preserve"> – Daňová prognóza</w:t>
      </w:r>
      <w:bookmarkEnd w:id="29"/>
    </w:p>
    <w:tbl>
      <w:tblPr>
        <w:tblW w:w="5000" w:type="pct"/>
        <w:jc w:val="center"/>
        <w:tblCellMar>
          <w:left w:w="70" w:type="dxa"/>
          <w:right w:w="70" w:type="dxa"/>
        </w:tblCellMar>
        <w:tblLook w:val="04A0" w:firstRow="1" w:lastRow="0" w:firstColumn="1" w:lastColumn="0" w:noHBand="0" w:noVBand="1"/>
      </w:tblPr>
      <w:tblGrid>
        <w:gridCol w:w="7689"/>
        <w:gridCol w:w="1383"/>
      </w:tblGrid>
      <w:tr w:rsidR="005D3D72" w:rsidRPr="005D3D72" w14:paraId="0EDD2973" w14:textId="77777777" w:rsidTr="00CA70F5">
        <w:trPr>
          <w:trHeight w:val="255"/>
          <w:jc w:val="center"/>
        </w:trPr>
        <w:tc>
          <w:tcPr>
            <w:tcW w:w="4238" w:type="pct"/>
            <w:tcBorders>
              <w:top w:val="single" w:sz="4" w:space="0" w:color="auto"/>
              <w:left w:val="nil"/>
              <w:bottom w:val="single" w:sz="4" w:space="0" w:color="auto"/>
              <w:right w:val="nil"/>
            </w:tcBorders>
            <w:shd w:val="clear" w:color="auto" w:fill="auto"/>
            <w:vAlign w:val="center"/>
            <w:hideMark/>
          </w:tcPr>
          <w:p w14:paraId="5EBBC4DD" w14:textId="77777777" w:rsidR="005D3D72" w:rsidRPr="005D3D72" w:rsidRDefault="005D3D72" w:rsidP="005D3D72">
            <w:pPr>
              <w:spacing w:after="0" w:line="240" w:lineRule="auto"/>
              <w:rPr>
                <w:rFonts w:ascii="Times New Roman" w:eastAsia="Times New Roman" w:hAnsi="Times New Roman" w:cs="Times New Roman"/>
                <w:b/>
                <w:bCs/>
                <w:sz w:val="18"/>
                <w:szCs w:val="18"/>
                <w:lang w:eastAsia="sk-SK"/>
              </w:rPr>
            </w:pPr>
            <w:r w:rsidRPr="005D3D72">
              <w:rPr>
                <w:rFonts w:ascii="Times New Roman" w:eastAsia="Times New Roman" w:hAnsi="Times New Roman" w:cs="Times New Roman"/>
                <w:b/>
                <w:bCs/>
                <w:sz w:val="18"/>
                <w:szCs w:val="18"/>
                <w:lang w:eastAsia="sk-SK"/>
              </w:rPr>
              <w:t>Daňová prognóza</w:t>
            </w:r>
            <w:r w:rsidRPr="005D3D72">
              <w:rPr>
                <w:rFonts w:ascii="Times New Roman" w:eastAsia="Times New Roman" w:hAnsi="Times New Roman" w:cs="Times New Roman"/>
                <w:b/>
                <w:bCs/>
                <w:sz w:val="18"/>
                <w:szCs w:val="18"/>
                <w:lang w:eastAsia="sk-SK"/>
              </w:rPr>
              <w:br/>
            </w:r>
            <w:r w:rsidRPr="005D3D72">
              <w:rPr>
                <w:rFonts w:ascii="Times New Roman" w:eastAsia="Times New Roman" w:hAnsi="Times New Roman" w:cs="Times New Roman"/>
                <w:sz w:val="18"/>
                <w:szCs w:val="18"/>
                <w:lang w:eastAsia="sk-SK"/>
              </w:rPr>
              <w:t>(v mil. eur; na akruálnej báze)</w:t>
            </w:r>
          </w:p>
        </w:tc>
        <w:tc>
          <w:tcPr>
            <w:tcW w:w="762" w:type="pct"/>
            <w:tcBorders>
              <w:top w:val="single" w:sz="4" w:space="0" w:color="auto"/>
              <w:left w:val="nil"/>
              <w:bottom w:val="single" w:sz="4" w:space="0" w:color="auto"/>
              <w:right w:val="nil"/>
            </w:tcBorders>
            <w:shd w:val="clear" w:color="auto" w:fill="auto"/>
            <w:noWrap/>
            <w:vAlign w:val="center"/>
            <w:hideMark/>
          </w:tcPr>
          <w:p w14:paraId="647C47D9" w14:textId="77777777" w:rsidR="005D3D72" w:rsidRPr="005D3D72" w:rsidRDefault="005D3D72" w:rsidP="005D3D72">
            <w:pPr>
              <w:spacing w:after="0" w:line="240" w:lineRule="auto"/>
              <w:jc w:val="right"/>
              <w:rPr>
                <w:rFonts w:ascii="Times New Roman" w:eastAsia="Times New Roman" w:hAnsi="Times New Roman" w:cs="Times New Roman"/>
                <w:b/>
                <w:bCs/>
                <w:sz w:val="18"/>
                <w:szCs w:val="18"/>
                <w:lang w:eastAsia="sk-SK"/>
              </w:rPr>
            </w:pPr>
            <w:r w:rsidRPr="005D3D72">
              <w:rPr>
                <w:rFonts w:ascii="Times New Roman" w:eastAsia="Times New Roman" w:hAnsi="Times New Roman" w:cs="Times New Roman"/>
                <w:b/>
                <w:bCs/>
                <w:sz w:val="18"/>
                <w:szCs w:val="18"/>
                <w:lang w:eastAsia="sk-SK"/>
              </w:rPr>
              <w:t>-235</w:t>
            </w:r>
          </w:p>
        </w:tc>
      </w:tr>
      <w:tr w:rsidR="005D3D72" w:rsidRPr="005D3D72" w14:paraId="47EC7B5A" w14:textId="77777777" w:rsidTr="00CA70F5">
        <w:trPr>
          <w:trHeight w:val="255"/>
          <w:jc w:val="center"/>
        </w:trPr>
        <w:tc>
          <w:tcPr>
            <w:tcW w:w="4238" w:type="pct"/>
            <w:tcBorders>
              <w:top w:val="nil"/>
              <w:left w:val="nil"/>
              <w:bottom w:val="nil"/>
              <w:right w:val="nil"/>
            </w:tcBorders>
            <w:shd w:val="clear" w:color="auto" w:fill="auto"/>
            <w:noWrap/>
            <w:vAlign w:val="center"/>
            <w:hideMark/>
          </w:tcPr>
          <w:p w14:paraId="558BDD8B" w14:textId="77777777" w:rsidR="005D3D72" w:rsidRPr="005D3D72" w:rsidRDefault="005D3D72" w:rsidP="005D3D72">
            <w:pPr>
              <w:spacing w:after="0" w:line="240" w:lineRule="auto"/>
              <w:rPr>
                <w:rFonts w:ascii="Times New Roman" w:eastAsia="Times New Roman" w:hAnsi="Times New Roman" w:cs="Times New Roman"/>
                <w:color w:val="000000"/>
                <w:sz w:val="18"/>
                <w:szCs w:val="18"/>
                <w:lang w:eastAsia="sk-SK"/>
              </w:rPr>
            </w:pPr>
            <w:r w:rsidRPr="005D3D72">
              <w:rPr>
                <w:rFonts w:ascii="Times New Roman" w:eastAsia="Times New Roman" w:hAnsi="Times New Roman" w:cs="Times New Roman"/>
                <w:color w:val="000000"/>
                <w:sz w:val="18"/>
                <w:szCs w:val="18"/>
                <w:lang w:eastAsia="sk-SK"/>
              </w:rPr>
              <w:t>Sociálna poisťovňa (</w:t>
            </w:r>
            <w:proofErr w:type="spellStart"/>
            <w:r w:rsidRPr="005D3D72">
              <w:rPr>
                <w:rFonts w:ascii="Times New Roman" w:eastAsia="Times New Roman" w:hAnsi="Times New Roman" w:cs="Times New Roman"/>
                <w:color w:val="000000"/>
                <w:sz w:val="18"/>
                <w:szCs w:val="18"/>
                <w:lang w:eastAsia="sk-SK"/>
              </w:rPr>
              <w:t>EAO+dlžné</w:t>
            </w:r>
            <w:proofErr w:type="spellEnd"/>
            <w:r w:rsidRPr="005D3D72">
              <w:rPr>
                <w:rFonts w:ascii="Times New Roman" w:eastAsia="Times New Roman" w:hAnsi="Times New Roman" w:cs="Times New Roman"/>
                <w:color w:val="000000"/>
                <w:sz w:val="18"/>
                <w:szCs w:val="18"/>
                <w:lang w:eastAsia="sk-SK"/>
              </w:rPr>
              <w:t>)</w:t>
            </w:r>
          </w:p>
        </w:tc>
        <w:tc>
          <w:tcPr>
            <w:tcW w:w="762" w:type="pct"/>
            <w:tcBorders>
              <w:top w:val="nil"/>
              <w:left w:val="nil"/>
              <w:bottom w:val="nil"/>
              <w:right w:val="nil"/>
            </w:tcBorders>
            <w:shd w:val="clear" w:color="auto" w:fill="auto"/>
            <w:noWrap/>
            <w:vAlign w:val="center"/>
            <w:hideMark/>
          </w:tcPr>
          <w:p w14:paraId="71BF033F" w14:textId="77777777" w:rsidR="005D3D72" w:rsidRPr="005D3D72" w:rsidRDefault="005D3D72" w:rsidP="005D3D72">
            <w:pPr>
              <w:spacing w:after="0" w:line="240" w:lineRule="auto"/>
              <w:jc w:val="right"/>
              <w:rPr>
                <w:rFonts w:ascii="Times New Roman" w:eastAsia="Times New Roman" w:hAnsi="Times New Roman" w:cs="Times New Roman"/>
                <w:color w:val="000000"/>
                <w:sz w:val="18"/>
                <w:szCs w:val="18"/>
                <w:lang w:eastAsia="sk-SK"/>
              </w:rPr>
            </w:pPr>
            <w:r w:rsidRPr="005D3D72">
              <w:rPr>
                <w:rFonts w:ascii="Times New Roman" w:eastAsia="Times New Roman" w:hAnsi="Times New Roman" w:cs="Times New Roman"/>
                <w:color w:val="000000"/>
                <w:sz w:val="18"/>
                <w:szCs w:val="18"/>
                <w:lang w:eastAsia="sk-SK"/>
              </w:rPr>
              <w:t>-198</w:t>
            </w:r>
          </w:p>
        </w:tc>
      </w:tr>
      <w:tr w:rsidR="005D3D72" w:rsidRPr="005D3D72" w14:paraId="04AC0379" w14:textId="77777777" w:rsidTr="00CA70F5">
        <w:trPr>
          <w:trHeight w:val="255"/>
          <w:jc w:val="center"/>
        </w:trPr>
        <w:tc>
          <w:tcPr>
            <w:tcW w:w="4238" w:type="pct"/>
            <w:tcBorders>
              <w:top w:val="nil"/>
              <w:left w:val="nil"/>
              <w:bottom w:val="nil"/>
              <w:right w:val="nil"/>
            </w:tcBorders>
            <w:shd w:val="clear" w:color="auto" w:fill="auto"/>
            <w:noWrap/>
            <w:vAlign w:val="center"/>
            <w:hideMark/>
          </w:tcPr>
          <w:p w14:paraId="56450216" w14:textId="77777777" w:rsidR="005D3D72" w:rsidRPr="005D3D72" w:rsidRDefault="005D3D72" w:rsidP="005D3D72">
            <w:pPr>
              <w:spacing w:after="0" w:line="240" w:lineRule="auto"/>
              <w:rPr>
                <w:rFonts w:ascii="Times New Roman" w:eastAsia="Times New Roman" w:hAnsi="Times New Roman" w:cs="Times New Roman"/>
                <w:color w:val="000000"/>
                <w:sz w:val="18"/>
                <w:szCs w:val="18"/>
                <w:lang w:eastAsia="sk-SK"/>
              </w:rPr>
            </w:pPr>
            <w:r w:rsidRPr="005D3D72">
              <w:rPr>
                <w:rFonts w:ascii="Times New Roman" w:eastAsia="Times New Roman" w:hAnsi="Times New Roman" w:cs="Times New Roman"/>
                <w:color w:val="000000"/>
                <w:sz w:val="18"/>
                <w:szCs w:val="18"/>
                <w:lang w:eastAsia="sk-SK"/>
              </w:rPr>
              <w:t>Zdravotné poisťovne (</w:t>
            </w:r>
            <w:proofErr w:type="spellStart"/>
            <w:r w:rsidRPr="005D3D72">
              <w:rPr>
                <w:rFonts w:ascii="Times New Roman" w:eastAsia="Times New Roman" w:hAnsi="Times New Roman" w:cs="Times New Roman"/>
                <w:color w:val="000000"/>
                <w:sz w:val="18"/>
                <w:szCs w:val="18"/>
                <w:lang w:eastAsia="sk-SK"/>
              </w:rPr>
              <w:t>EAO+dlžné</w:t>
            </w:r>
            <w:proofErr w:type="spellEnd"/>
            <w:r w:rsidRPr="005D3D72">
              <w:rPr>
                <w:rFonts w:ascii="Times New Roman" w:eastAsia="Times New Roman" w:hAnsi="Times New Roman" w:cs="Times New Roman"/>
                <w:color w:val="000000"/>
                <w:sz w:val="18"/>
                <w:szCs w:val="18"/>
                <w:lang w:eastAsia="sk-SK"/>
              </w:rPr>
              <w:t>)</w:t>
            </w:r>
          </w:p>
        </w:tc>
        <w:tc>
          <w:tcPr>
            <w:tcW w:w="762" w:type="pct"/>
            <w:tcBorders>
              <w:top w:val="nil"/>
              <w:left w:val="nil"/>
              <w:bottom w:val="nil"/>
              <w:right w:val="nil"/>
            </w:tcBorders>
            <w:shd w:val="clear" w:color="auto" w:fill="auto"/>
            <w:noWrap/>
            <w:vAlign w:val="center"/>
            <w:hideMark/>
          </w:tcPr>
          <w:p w14:paraId="306DF064" w14:textId="77777777" w:rsidR="005D3D72" w:rsidRPr="005D3D72" w:rsidRDefault="005D3D72" w:rsidP="005D3D72">
            <w:pPr>
              <w:spacing w:after="0" w:line="240" w:lineRule="auto"/>
              <w:jc w:val="right"/>
              <w:rPr>
                <w:rFonts w:ascii="Times New Roman" w:eastAsia="Times New Roman" w:hAnsi="Times New Roman" w:cs="Times New Roman"/>
                <w:color w:val="000000"/>
                <w:sz w:val="18"/>
                <w:szCs w:val="18"/>
                <w:lang w:eastAsia="sk-SK"/>
              </w:rPr>
            </w:pPr>
            <w:r w:rsidRPr="005D3D72">
              <w:rPr>
                <w:rFonts w:ascii="Times New Roman" w:eastAsia="Times New Roman" w:hAnsi="Times New Roman" w:cs="Times New Roman"/>
                <w:color w:val="000000"/>
                <w:sz w:val="18"/>
                <w:szCs w:val="18"/>
                <w:lang w:eastAsia="sk-SK"/>
              </w:rPr>
              <w:t>-107</w:t>
            </w:r>
          </w:p>
        </w:tc>
      </w:tr>
      <w:tr w:rsidR="005D3D72" w:rsidRPr="005D3D72" w14:paraId="7510AB23" w14:textId="77777777" w:rsidTr="00CA70F5">
        <w:trPr>
          <w:trHeight w:val="255"/>
          <w:jc w:val="center"/>
        </w:trPr>
        <w:tc>
          <w:tcPr>
            <w:tcW w:w="4238" w:type="pct"/>
            <w:tcBorders>
              <w:top w:val="nil"/>
              <w:left w:val="nil"/>
              <w:bottom w:val="nil"/>
              <w:right w:val="nil"/>
            </w:tcBorders>
            <w:shd w:val="clear" w:color="auto" w:fill="auto"/>
            <w:noWrap/>
            <w:vAlign w:val="center"/>
            <w:hideMark/>
          </w:tcPr>
          <w:p w14:paraId="560DF5F3" w14:textId="77777777" w:rsidR="005D3D72" w:rsidRPr="005D3D72" w:rsidRDefault="005D3D72" w:rsidP="005D3D72">
            <w:pPr>
              <w:spacing w:after="0" w:line="240" w:lineRule="auto"/>
              <w:rPr>
                <w:rFonts w:ascii="Times New Roman" w:eastAsia="Times New Roman" w:hAnsi="Times New Roman" w:cs="Times New Roman"/>
                <w:color w:val="000000"/>
                <w:sz w:val="18"/>
                <w:szCs w:val="18"/>
                <w:lang w:eastAsia="sk-SK"/>
              </w:rPr>
            </w:pPr>
            <w:r w:rsidRPr="005D3D72">
              <w:rPr>
                <w:rFonts w:ascii="Times New Roman" w:eastAsia="Times New Roman" w:hAnsi="Times New Roman" w:cs="Times New Roman"/>
                <w:color w:val="000000"/>
                <w:sz w:val="18"/>
                <w:szCs w:val="18"/>
                <w:lang w:eastAsia="sk-SK"/>
              </w:rPr>
              <w:t>Daňové príjmy verejnej správy spolu</w:t>
            </w:r>
          </w:p>
        </w:tc>
        <w:tc>
          <w:tcPr>
            <w:tcW w:w="762" w:type="pct"/>
            <w:tcBorders>
              <w:top w:val="nil"/>
              <w:left w:val="nil"/>
              <w:bottom w:val="nil"/>
              <w:right w:val="nil"/>
            </w:tcBorders>
            <w:shd w:val="clear" w:color="auto" w:fill="auto"/>
            <w:noWrap/>
            <w:vAlign w:val="center"/>
            <w:hideMark/>
          </w:tcPr>
          <w:p w14:paraId="70A13F92" w14:textId="77777777" w:rsidR="005D3D72" w:rsidRPr="005D3D72" w:rsidRDefault="005D3D72" w:rsidP="005D3D72">
            <w:pPr>
              <w:spacing w:after="0" w:line="240" w:lineRule="auto"/>
              <w:jc w:val="right"/>
              <w:rPr>
                <w:rFonts w:ascii="Times New Roman" w:eastAsia="Times New Roman" w:hAnsi="Times New Roman" w:cs="Times New Roman"/>
                <w:color w:val="000000"/>
                <w:sz w:val="18"/>
                <w:szCs w:val="18"/>
                <w:lang w:eastAsia="sk-SK"/>
              </w:rPr>
            </w:pPr>
            <w:r w:rsidRPr="005D3D72">
              <w:rPr>
                <w:rFonts w:ascii="Times New Roman" w:eastAsia="Times New Roman" w:hAnsi="Times New Roman" w:cs="Times New Roman"/>
                <w:color w:val="000000"/>
                <w:sz w:val="18"/>
                <w:szCs w:val="18"/>
                <w:lang w:eastAsia="sk-SK"/>
              </w:rPr>
              <w:t>100</w:t>
            </w:r>
          </w:p>
        </w:tc>
      </w:tr>
      <w:tr w:rsidR="005D3D72" w:rsidRPr="005D3D72" w14:paraId="0F116CC2" w14:textId="77777777" w:rsidTr="00CA70F5">
        <w:trPr>
          <w:trHeight w:val="255"/>
          <w:jc w:val="center"/>
        </w:trPr>
        <w:tc>
          <w:tcPr>
            <w:tcW w:w="4238" w:type="pct"/>
            <w:tcBorders>
              <w:top w:val="nil"/>
              <w:left w:val="nil"/>
              <w:bottom w:val="nil"/>
              <w:right w:val="nil"/>
            </w:tcBorders>
            <w:shd w:val="clear" w:color="auto" w:fill="auto"/>
            <w:noWrap/>
            <w:vAlign w:val="center"/>
            <w:hideMark/>
          </w:tcPr>
          <w:p w14:paraId="1B825B86" w14:textId="77777777" w:rsidR="005D3D72" w:rsidRPr="005D3D72" w:rsidRDefault="005D3D72" w:rsidP="005D3D72">
            <w:pPr>
              <w:spacing w:after="0" w:line="240" w:lineRule="auto"/>
              <w:ind w:firstLineChars="200" w:firstLine="360"/>
              <w:rPr>
                <w:rFonts w:ascii="Times New Roman" w:eastAsia="Times New Roman" w:hAnsi="Times New Roman" w:cs="Times New Roman"/>
                <w:i/>
                <w:iCs/>
                <w:color w:val="000000"/>
                <w:sz w:val="18"/>
                <w:szCs w:val="18"/>
                <w:lang w:eastAsia="sk-SK"/>
              </w:rPr>
            </w:pPr>
            <w:r w:rsidRPr="005D3D72">
              <w:rPr>
                <w:rFonts w:ascii="Times New Roman" w:eastAsia="Times New Roman" w:hAnsi="Times New Roman" w:cs="Times New Roman"/>
                <w:i/>
                <w:iCs/>
                <w:color w:val="000000"/>
                <w:sz w:val="18"/>
                <w:szCs w:val="18"/>
                <w:lang w:eastAsia="sk-SK"/>
              </w:rPr>
              <w:t>Daňové príjmy ŠR</w:t>
            </w:r>
          </w:p>
        </w:tc>
        <w:tc>
          <w:tcPr>
            <w:tcW w:w="762" w:type="pct"/>
            <w:tcBorders>
              <w:top w:val="nil"/>
              <w:left w:val="nil"/>
              <w:bottom w:val="nil"/>
              <w:right w:val="nil"/>
            </w:tcBorders>
            <w:shd w:val="clear" w:color="auto" w:fill="auto"/>
            <w:noWrap/>
            <w:vAlign w:val="center"/>
            <w:hideMark/>
          </w:tcPr>
          <w:p w14:paraId="72FDD641" w14:textId="77777777" w:rsidR="005D3D72" w:rsidRPr="005D3D72" w:rsidRDefault="005D3D72" w:rsidP="005D3D72">
            <w:pPr>
              <w:spacing w:after="0" w:line="240" w:lineRule="auto"/>
              <w:jc w:val="right"/>
              <w:rPr>
                <w:rFonts w:ascii="Times New Roman" w:eastAsia="Times New Roman" w:hAnsi="Times New Roman" w:cs="Times New Roman"/>
                <w:i/>
                <w:iCs/>
                <w:color w:val="000000"/>
                <w:sz w:val="18"/>
                <w:szCs w:val="18"/>
                <w:lang w:eastAsia="sk-SK"/>
              </w:rPr>
            </w:pPr>
            <w:r w:rsidRPr="005D3D72">
              <w:rPr>
                <w:rFonts w:ascii="Times New Roman" w:eastAsia="Times New Roman" w:hAnsi="Times New Roman" w:cs="Times New Roman"/>
                <w:i/>
                <w:iCs/>
                <w:color w:val="000000"/>
                <w:sz w:val="18"/>
                <w:szCs w:val="18"/>
                <w:lang w:eastAsia="sk-SK"/>
              </w:rPr>
              <w:t>21</w:t>
            </w:r>
          </w:p>
        </w:tc>
      </w:tr>
      <w:tr w:rsidR="005D3D72" w:rsidRPr="005D3D72" w14:paraId="6924C9B5" w14:textId="77777777" w:rsidTr="00CA70F5">
        <w:trPr>
          <w:trHeight w:val="255"/>
          <w:jc w:val="center"/>
        </w:trPr>
        <w:tc>
          <w:tcPr>
            <w:tcW w:w="4238" w:type="pct"/>
            <w:tcBorders>
              <w:top w:val="nil"/>
              <w:left w:val="nil"/>
              <w:bottom w:val="nil"/>
              <w:right w:val="nil"/>
            </w:tcBorders>
            <w:shd w:val="clear" w:color="auto" w:fill="auto"/>
            <w:noWrap/>
            <w:vAlign w:val="center"/>
            <w:hideMark/>
          </w:tcPr>
          <w:p w14:paraId="2A860CBE" w14:textId="77777777" w:rsidR="005D3D72" w:rsidRPr="005D3D72" w:rsidRDefault="005D3D72" w:rsidP="005D3D72">
            <w:pPr>
              <w:spacing w:after="0" w:line="240" w:lineRule="auto"/>
              <w:ind w:firstLineChars="200" w:firstLine="360"/>
              <w:rPr>
                <w:rFonts w:ascii="Times New Roman" w:eastAsia="Times New Roman" w:hAnsi="Times New Roman" w:cs="Times New Roman"/>
                <w:i/>
                <w:iCs/>
                <w:color w:val="000000"/>
                <w:sz w:val="18"/>
                <w:szCs w:val="18"/>
                <w:lang w:eastAsia="sk-SK"/>
              </w:rPr>
            </w:pPr>
            <w:r w:rsidRPr="005D3D72">
              <w:rPr>
                <w:rFonts w:ascii="Times New Roman" w:eastAsia="Times New Roman" w:hAnsi="Times New Roman" w:cs="Times New Roman"/>
                <w:i/>
                <w:iCs/>
                <w:color w:val="000000"/>
                <w:sz w:val="18"/>
                <w:szCs w:val="18"/>
                <w:lang w:eastAsia="sk-SK"/>
              </w:rPr>
              <w:t>Samostatné účty</w:t>
            </w:r>
          </w:p>
        </w:tc>
        <w:tc>
          <w:tcPr>
            <w:tcW w:w="762" w:type="pct"/>
            <w:tcBorders>
              <w:top w:val="nil"/>
              <w:left w:val="nil"/>
              <w:bottom w:val="nil"/>
              <w:right w:val="nil"/>
            </w:tcBorders>
            <w:shd w:val="clear" w:color="auto" w:fill="auto"/>
            <w:noWrap/>
            <w:vAlign w:val="center"/>
            <w:hideMark/>
          </w:tcPr>
          <w:p w14:paraId="73A3ACB0" w14:textId="77777777" w:rsidR="005D3D72" w:rsidRPr="005D3D72" w:rsidRDefault="005D3D72" w:rsidP="005D3D72">
            <w:pPr>
              <w:spacing w:after="0" w:line="240" w:lineRule="auto"/>
              <w:jc w:val="right"/>
              <w:rPr>
                <w:rFonts w:ascii="Times New Roman" w:eastAsia="Times New Roman" w:hAnsi="Times New Roman" w:cs="Times New Roman"/>
                <w:i/>
                <w:iCs/>
                <w:color w:val="000000"/>
                <w:sz w:val="18"/>
                <w:szCs w:val="18"/>
                <w:lang w:eastAsia="sk-SK"/>
              </w:rPr>
            </w:pPr>
            <w:r w:rsidRPr="005D3D72">
              <w:rPr>
                <w:rFonts w:ascii="Times New Roman" w:eastAsia="Times New Roman" w:hAnsi="Times New Roman" w:cs="Times New Roman"/>
                <w:i/>
                <w:iCs/>
                <w:color w:val="000000"/>
                <w:sz w:val="18"/>
                <w:szCs w:val="18"/>
                <w:lang w:eastAsia="sk-SK"/>
              </w:rPr>
              <w:t>0</w:t>
            </w:r>
          </w:p>
        </w:tc>
      </w:tr>
      <w:tr w:rsidR="005D3D72" w:rsidRPr="005D3D72" w14:paraId="147F0051" w14:textId="77777777" w:rsidTr="00CA70F5">
        <w:trPr>
          <w:trHeight w:val="255"/>
          <w:jc w:val="center"/>
        </w:trPr>
        <w:tc>
          <w:tcPr>
            <w:tcW w:w="4238" w:type="pct"/>
            <w:tcBorders>
              <w:top w:val="nil"/>
              <w:left w:val="nil"/>
              <w:bottom w:val="nil"/>
              <w:right w:val="nil"/>
            </w:tcBorders>
            <w:shd w:val="clear" w:color="auto" w:fill="auto"/>
            <w:noWrap/>
            <w:vAlign w:val="center"/>
            <w:hideMark/>
          </w:tcPr>
          <w:p w14:paraId="435B02A4" w14:textId="77777777" w:rsidR="005D3D72" w:rsidRPr="005D3D72" w:rsidRDefault="005D3D72" w:rsidP="005D3D72">
            <w:pPr>
              <w:spacing w:after="0" w:line="240" w:lineRule="auto"/>
              <w:ind w:firstLineChars="200" w:firstLine="360"/>
              <w:rPr>
                <w:rFonts w:ascii="Times New Roman" w:eastAsia="Times New Roman" w:hAnsi="Times New Roman" w:cs="Times New Roman"/>
                <w:i/>
                <w:iCs/>
                <w:color w:val="000000"/>
                <w:sz w:val="18"/>
                <w:szCs w:val="18"/>
                <w:lang w:eastAsia="sk-SK"/>
              </w:rPr>
            </w:pPr>
            <w:r w:rsidRPr="005D3D72">
              <w:rPr>
                <w:rFonts w:ascii="Times New Roman" w:eastAsia="Times New Roman" w:hAnsi="Times New Roman" w:cs="Times New Roman"/>
                <w:i/>
                <w:iCs/>
                <w:color w:val="000000"/>
                <w:sz w:val="18"/>
                <w:szCs w:val="18"/>
                <w:lang w:eastAsia="sk-SK"/>
              </w:rPr>
              <w:t>Štátne finančné aktíva</w:t>
            </w:r>
          </w:p>
        </w:tc>
        <w:tc>
          <w:tcPr>
            <w:tcW w:w="762" w:type="pct"/>
            <w:tcBorders>
              <w:top w:val="nil"/>
              <w:left w:val="nil"/>
              <w:bottom w:val="nil"/>
              <w:right w:val="nil"/>
            </w:tcBorders>
            <w:shd w:val="clear" w:color="auto" w:fill="auto"/>
            <w:noWrap/>
            <w:vAlign w:val="center"/>
            <w:hideMark/>
          </w:tcPr>
          <w:p w14:paraId="158117E9" w14:textId="77777777" w:rsidR="005D3D72" w:rsidRPr="005D3D72" w:rsidRDefault="005D3D72" w:rsidP="005D3D72">
            <w:pPr>
              <w:spacing w:after="0" w:line="240" w:lineRule="auto"/>
              <w:jc w:val="right"/>
              <w:rPr>
                <w:rFonts w:ascii="Times New Roman" w:eastAsia="Times New Roman" w:hAnsi="Times New Roman" w:cs="Times New Roman"/>
                <w:i/>
                <w:iCs/>
                <w:color w:val="000000"/>
                <w:sz w:val="18"/>
                <w:szCs w:val="18"/>
                <w:lang w:eastAsia="sk-SK"/>
              </w:rPr>
            </w:pPr>
            <w:r w:rsidRPr="005D3D72">
              <w:rPr>
                <w:rFonts w:ascii="Times New Roman" w:eastAsia="Times New Roman" w:hAnsi="Times New Roman" w:cs="Times New Roman"/>
                <w:i/>
                <w:iCs/>
                <w:color w:val="000000"/>
                <w:sz w:val="18"/>
                <w:szCs w:val="18"/>
                <w:lang w:eastAsia="sk-SK"/>
              </w:rPr>
              <w:t>-16</w:t>
            </w:r>
          </w:p>
        </w:tc>
      </w:tr>
      <w:tr w:rsidR="005D3D72" w:rsidRPr="005D3D72" w14:paraId="747364AB" w14:textId="77777777" w:rsidTr="00CA70F5">
        <w:trPr>
          <w:trHeight w:val="255"/>
          <w:jc w:val="center"/>
        </w:trPr>
        <w:tc>
          <w:tcPr>
            <w:tcW w:w="4238" w:type="pct"/>
            <w:tcBorders>
              <w:top w:val="nil"/>
              <w:left w:val="nil"/>
              <w:bottom w:val="nil"/>
              <w:right w:val="nil"/>
            </w:tcBorders>
            <w:shd w:val="clear" w:color="auto" w:fill="auto"/>
            <w:noWrap/>
            <w:vAlign w:val="center"/>
            <w:hideMark/>
          </w:tcPr>
          <w:p w14:paraId="673BDF84" w14:textId="77777777" w:rsidR="005D3D72" w:rsidRPr="005D3D72" w:rsidRDefault="005D3D72" w:rsidP="005D3D72">
            <w:pPr>
              <w:spacing w:after="0" w:line="240" w:lineRule="auto"/>
              <w:ind w:firstLineChars="200" w:firstLine="360"/>
              <w:rPr>
                <w:rFonts w:ascii="Times New Roman" w:eastAsia="Times New Roman" w:hAnsi="Times New Roman" w:cs="Times New Roman"/>
                <w:i/>
                <w:iCs/>
                <w:color w:val="000000"/>
                <w:sz w:val="18"/>
                <w:szCs w:val="18"/>
                <w:lang w:eastAsia="sk-SK"/>
              </w:rPr>
            </w:pPr>
            <w:r w:rsidRPr="005D3D72">
              <w:rPr>
                <w:rFonts w:ascii="Times New Roman" w:eastAsia="Times New Roman" w:hAnsi="Times New Roman" w:cs="Times New Roman"/>
                <w:i/>
                <w:iCs/>
                <w:color w:val="000000"/>
                <w:sz w:val="18"/>
                <w:szCs w:val="18"/>
                <w:lang w:eastAsia="sk-SK"/>
              </w:rPr>
              <w:t xml:space="preserve">Daňové príjmy obcí </w:t>
            </w:r>
          </w:p>
        </w:tc>
        <w:tc>
          <w:tcPr>
            <w:tcW w:w="762" w:type="pct"/>
            <w:tcBorders>
              <w:top w:val="nil"/>
              <w:left w:val="nil"/>
              <w:bottom w:val="nil"/>
              <w:right w:val="nil"/>
            </w:tcBorders>
            <w:shd w:val="clear" w:color="auto" w:fill="auto"/>
            <w:noWrap/>
            <w:vAlign w:val="center"/>
            <w:hideMark/>
          </w:tcPr>
          <w:p w14:paraId="7EFABEB7" w14:textId="77777777" w:rsidR="005D3D72" w:rsidRPr="005D3D72" w:rsidRDefault="005D3D72" w:rsidP="005D3D72">
            <w:pPr>
              <w:spacing w:after="0" w:line="240" w:lineRule="auto"/>
              <w:jc w:val="right"/>
              <w:rPr>
                <w:rFonts w:ascii="Times New Roman" w:eastAsia="Times New Roman" w:hAnsi="Times New Roman" w:cs="Times New Roman"/>
                <w:i/>
                <w:iCs/>
                <w:color w:val="000000"/>
                <w:sz w:val="18"/>
                <w:szCs w:val="18"/>
                <w:lang w:eastAsia="sk-SK"/>
              </w:rPr>
            </w:pPr>
            <w:r w:rsidRPr="005D3D72">
              <w:rPr>
                <w:rFonts w:ascii="Times New Roman" w:eastAsia="Times New Roman" w:hAnsi="Times New Roman" w:cs="Times New Roman"/>
                <w:i/>
                <w:iCs/>
                <w:color w:val="000000"/>
                <w:sz w:val="18"/>
                <w:szCs w:val="18"/>
                <w:lang w:eastAsia="sk-SK"/>
              </w:rPr>
              <w:t>99</w:t>
            </w:r>
          </w:p>
        </w:tc>
      </w:tr>
      <w:tr w:rsidR="005D3D72" w:rsidRPr="005D3D72" w14:paraId="1F887AF9" w14:textId="77777777" w:rsidTr="00CA70F5">
        <w:trPr>
          <w:trHeight w:val="255"/>
          <w:jc w:val="center"/>
        </w:trPr>
        <w:tc>
          <w:tcPr>
            <w:tcW w:w="4238" w:type="pct"/>
            <w:tcBorders>
              <w:top w:val="nil"/>
              <w:left w:val="nil"/>
              <w:bottom w:val="nil"/>
              <w:right w:val="nil"/>
            </w:tcBorders>
            <w:shd w:val="clear" w:color="auto" w:fill="auto"/>
            <w:noWrap/>
            <w:vAlign w:val="center"/>
            <w:hideMark/>
          </w:tcPr>
          <w:p w14:paraId="09E9ED6F" w14:textId="77777777" w:rsidR="005D3D72" w:rsidRPr="005D3D72" w:rsidRDefault="005D3D72" w:rsidP="005D3D72">
            <w:pPr>
              <w:spacing w:after="0" w:line="240" w:lineRule="auto"/>
              <w:ind w:firstLineChars="200" w:firstLine="360"/>
              <w:rPr>
                <w:rFonts w:ascii="Times New Roman" w:eastAsia="Times New Roman" w:hAnsi="Times New Roman" w:cs="Times New Roman"/>
                <w:i/>
                <w:iCs/>
                <w:color w:val="000000"/>
                <w:sz w:val="18"/>
                <w:szCs w:val="18"/>
                <w:lang w:eastAsia="sk-SK"/>
              </w:rPr>
            </w:pPr>
            <w:r w:rsidRPr="005D3D72">
              <w:rPr>
                <w:rFonts w:ascii="Times New Roman" w:eastAsia="Times New Roman" w:hAnsi="Times New Roman" w:cs="Times New Roman"/>
                <w:i/>
                <w:iCs/>
                <w:color w:val="000000"/>
                <w:sz w:val="18"/>
                <w:szCs w:val="18"/>
                <w:lang w:eastAsia="sk-SK"/>
              </w:rPr>
              <w:t>Daňové príjmy VÚC</w:t>
            </w:r>
          </w:p>
        </w:tc>
        <w:tc>
          <w:tcPr>
            <w:tcW w:w="762" w:type="pct"/>
            <w:tcBorders>
              <w:top w:val="nil"/>
              <w:left w:val="nil"/>
              <w:bottom w:val="nil"/>
              <w:right w:val="nil"/>
            </w:tcBorders>
            <w:shd w:val="clear" w:color="auto" w:fill="auto"/>
            <w:noWrap/>
            <w:vAlign w:val="center"/>
            <w:hideMark/>
          </w:tcPr>
          <w:p w14:paraId="6E4671CB" w14:textId="77777777" w:rsidR="005D3D72" w:rsidRPr="005D3D72" w:rsidRDefault="005D3D72" w:rsidP="005D3D72">
            <w:pPr>
              <w:spacing w:after="0" w:line="240" w:lineRule="auto"/>
              <w:jc w:val="right"/>
              <w:rPr>
                <w:rFonts w:ascii="Times New Roman" w:eastAsia="Times New Roman" w:hAnsi="Times New Roman" w:cs="Times New Roman"/>
                <w:i/>
                <w:iCs/>
                <w:color w:val="000000"/>
                <w:sz w:val="18"/>
                <w:szCs w:val="18"/>
                <w:lang w:eastAsia="sk-SK"/>
              </w:rPr>
            </w:pPr>
            <w:r w:rsidRPr="005D3D72">
              <w:rPr>
                <w:rFonts w:ascii="Times New Roman" w:eastAsia="Times New Roman" w:hAnsi="Times New Roman" w:cs="Times New Roman"/>
                <w:i/>
                <w:iCs/>
                <w:color w:val="000000"/>
                <w:sz w:val="18"/>
                <w:szCs w:val="18"/>
                <w:lang w:eastAsia="sk-SK"/>
              </w:rPr>
              <w:t>26</w:t>
            </w:r>
          </w:p>
        </w:tc>
      </w:tr>
      <w:tr w:rsidR="005D3D72" w:rsidRPr="005D3D72" w14:paraId="5C37B99A" w14:textId="77777777" w:rsidTr="00CA70F5">
        <w:trPr>
          <w:trHeight w:val="255"/>
          <w:jc w:val="center"/>
        </w:trPr>
        <w:tc>
          <w:tcPr>
            <w:tcW w:w="4238" w:type="pct"/>
            <w:tcBorders>
              <w:top w:val="nil"/>
              <w:left w:val="nil"/>
              <w:bottom w:val="nil"/>
              <w:right w:val="nil"/>
            </w:tcBorders>
            <w:shd w:val="clear" w:color="auto" w:fill="auto"/>
            <w:noWrap/>
            <w:vAlign w:val="center"/>
            <w:hideMark/>
          </w:tcPr>
          <w:p w14:paraId="51E2709B" w14:textId="77777777" w:rsidR="005D3D72" w:rsidRPr="005D3D72" w:rsidRDefault="005D3D72" w:rsidP="005D3D72">
            <w:pPr>
              <w:spacing w:after="0" w:line="240" w:lineRule="auto"/>
              <w:ind w:firstLineChars="200" w:firstLine="360"/>
              <w:rPr>
                <w:rFonts w:ascii="Times New Roman" w:eastAsia="Times New Roman" w:hAnsi="Times New Roman" w:cs="Times New Roman"/>
                <w:i/>
                <w:iCs/>
                <w:color w:val="000000"/>
                <w:sz w:val="18"/>
                <w:szCs w:val="18"/>
                <w:lang w:eastAsia="sk-SK"/>
              </w:rPr>
            </w:pPr>
            <w:r w:rsidRPr="005D3D72">
              <w:rPr>
                <w:rFonts w:ascii="Times New Roman" w:eastAsia="Times New Roman" w:hAnsi="Times New Roman" w:cs="Times New Roman"/>
                <w:i/>
                <w:iCs/>
                <w:color w:val="000000"/>
                <w:sz w:val="18"/>
                <w:szCs w:val="18"/>
                <w:lang w:eastAsia="sk-SK"/>
              </w:rPr>
              <w:t>Daňové príjmy Rozhlasu a televízie Slovenska</w:t>
            </w:r>
          </w:p>
        </w:tc>
        <w:tc>
          <w:tcPr>
            <w:tcW w:w="762" w:type="pct"/>
            <w:tcBorders>
              <w:top w:val="nil"/>
              <w:left w:val="nil"/>
              <w:bottom w:val="nil"/>
              <w:right w:val="nil"/>
            </w:tcBorders>
            <w:shd w:val="clear" w:color="auto" w:fill="auto"/>
            <w:noWrap/>
            <w:vAlign w:val="center"/>
            <w:hideMark/>
          </w:tcPr>
          <w:p w14:paraId="7706D574" w14:textId="77777777" w:rsidR="005D3D72" w:rsidRPr="005D3D72" w:rsidRDefault="005D3D72" w:rsidP="005D3D72">
            <w:pPr>
              <w:spacing w:after="0" w:line="240" w:lineRule="auto"/>
              <w:jc w:val="right"/>
              <w:rPr>
                <w:rFonts w:ascii="Times New Roman" w:eastAsia="Times New Roman" w:hAnsi="Times New Roman" w:cs="Times New Roman"/>
                <w:i/>
                <w:iCs/>
                <w:color w:val="000000"/>
                <w:sz w:val="18"/>
                <w:szCs w:val="18"/>
                <w:lang w:eastAsia="sk-SK"/>
              </w:rPr>
            </w:pPr>
            <w:r w:rsidRPr="005D3D72">
              <w:rPr>
                <w:rFonts w:ascii="Times New Roman" w:eastAsia="Times New Roman" w:hAnsi="Times New Roman" w:cs="Times New Roman"/>
                <w:i/>
                <w:iCs/>
                <w:color w:val="000000"/>
                <w:sz w:val="18"/>
                <w:szCs w:val="18"/>
                <w:lang w:eastAsia="sk-SK"/>
              </w:rPr>
              <w:t>-32</w:t>
            </w:r>
          </w:p>
        </w:tc>
      </w:tr>
      <w:tr w:rsidR="005D3D72" w:rsidRPr="005D3D72" w14:paraId="16EE7BDA" w14:textId="77777777" w:rsidTr="00CA70F5">
        <w:trPr>
          <w:trHeight w:val="255"/>
          <w:jc w:val="center"/>
        </w:trPr>
        <w:tc>
          <w:tcPr>
            <w:tcW w:w="4238" w:type="pct"/>
            <w:tcBorders>
              <w:top w:val="nil"/>
              <w:left w:val="nil"/>
              <w:bottom w:val="nil"/>
              <w:right w:val="nil"/>
            </w:tcBorders>
            <w:shd w:val="clear" w:color="auto" w:fill="auto"/>
            <w:noWrap/>
            <w:vAlign w:val="center"/>
            <w:hideMark/>
          </w:tcPr>
          <w:p w14:paraId="60D82987" w14:textId="77777777" w:rsidR="005D3D72" w:rsidRPr="005D3D72" w:rsidRDefault="005D3D72" w:rsidP="005D3D72">
            <w:pPr>
              <w:spacing w:after="0" w:line="240" w:lineRule="auto"/>
              <w:ind w:firstLineChars="200" w:firstLine="360"/>
              <w:rPr>
                <w:rFonts w:ascii="Times New Roman" w:eastAsia="Times New Roman" w:hAnsi="Times New Roman" w:cs="Times New Roman"/>
                <w:i/>
                <w:iCs/>
                <w:color w:val="000000"/>
                <w:sz w:val="18"/>
                <w:szCs w:val="18"/>
                <w:lang w:eastAsia="sk-SK"/>
              </w:rPr>
            </w:pPr>
            <w:r w:rsidRPr="005D3D72">
              <w:rPr>
                <w:rFonts w:ascii="Times New Roman" w:eastAsia="Times New Roman" w:hAnsi="Times New Roman" w:cs="Times New Roman"/>
                <w:i/>
                <w:iCs/>
                <w:color w:val="000000"/>
                <w:sz w:val="18"/>
                <w:szCs w:val="18"/>
                <w:lang w:eastAsia="sk-SK"/>
              </w:rPr>
              <w:t>Environmentálny fond</w:t>
            </w:r>
          </w:p>
        </w:tc>
        <w:tc>
          <w:tcPr>
            <w:tcW w:w="762" w:type="pct"/>
            <w:tcBorders>
              <w:top w:val="nil"/>
              <w:left w:val="nil"/>
              <w:bottom w:val="nil"/>
              <w:right w:val="nil"/>
            </w:tcBorders>
            <w:shd w:val="clear" w:color="auto" w:fill="auto"/>
            <w:noWrap/>
            <w:vAlign w:val="center"/>
            <w:hideMark/>
          </w:tcPr>
          <w:p w14:paraId="5FBDFF0D" w14:textId="77777777" w:rsidR="005D3D72" w:rsidRPr="005D3D72" w:rsidRDefault="005D3D72" w:rsidP="005D3D72">
            <w:pPr>
              <w:spacing w:after="0" w:line="240" w:lineRule="auto"/>
              <w:jc w:val="right"/>
              <w:rPr>
                <w:rFonts w:ascii="Times New Roman" w:eastAsia="Times New Roman" w:hAnsi="Times New Roman" w:cs="Times New Roman"/>
                <w:i/>
                <w:iCs/>
                <w:color w:val="000000"/>
                <w:sz w:val="18"/>
                <w:szCs w:val="18"/>
                <w:lang w:eastAsia="sk-SK"/>
              </w:rPr>
            </w:pPr>
            <w:r w:rsidRPr="005D3D72">
              <w:rPr>
                <w:rFonts w:ascii="Times New Roman" w:eastAsia="Times New Roman" w:hAnsi="Times New Roman" w:cs="Times New Roman"/>
                <w:i/>
                <w:iCs/>
                <w:color w:val="000000"/>
                <w:sz w:val="18"/>
                <w:szCs w:val="18"/>
                <w:lang w:eastAsia="sk-SK"/>
              </w:rPr>
              <w:t>2</w:t>
            </w:r>
          </w:p>
        </w:tc>
      </w:tr>
      <w:tr w:rsidR="005D3D72" w:rsidRPr="005D3D72" w14:paraId="60914AAA" w14:textId="77777777" w:rsidTr="00CA70F5">
        <w:trPr>
          <w:trHeight w:val="255"/>
          <w:jc w:val="center"/>
        </w:trPr>
        <w:tc>
          <w:tcPr>
            <w:tcW w:w="4238" w:type="pct"/>
            <w:tcBorders>
              <w:top w:val="nil"/>
              <w:left w:val="nil"/>
              <w:bottom w:val="nil"/>
              <w:right w:val="nil"/>
            </w:tcBorders>
            <w:shd w:val="clear" w:color="auto" w:fill="auto"/>
            <w:noWrap/>
            <w:vAlign w:val="center"/>
            <w:hideMark/>
          </w:tcPr>
          <w:p w14:paraId="561223C6" w14:textId="77777777" w:rsidR="005D3D72" w:rsidRPr="005D3D72" w:rsidRDefault="005D3D72" w:rsidP="005D3D72">
            <w:pPr>
              <w:spacing w:after="0" w:line="240" w:lineRule="auto"/>
              <w:rPr>
                <w:rFonts w:ascii="Times New Roman" w:eastAsia="Times New Roman" w:hAnsi="Times New Roman" w:cs="Times New Roman"/>
                <w:color w:val="000000"/>
                <w:sz w:val="18"/>
                <w:szCs w:val="18"/>
                <w:lang w:eastAsia="sk-SK"/>
              </w:rPr>
            </w:pPr>
            <w:r w:rsidRPr="005D3D72">
              <w:rPr>
                <w:rFonts w:ascii="Times New Roman" w:eastAsia="Times New Roman" w:hAnsi="Times New Roman" w:cs="Times New Roman"/>
                <w:color w:val="000000"/>
                <w:sz w:val="18"/>
                <w:szCs w:val="18"/>
                <w:lang w:eastAsia="sk-SK"/>
              </w:rPr>
              <w:t>Sankcie</w:t>
            </w:r>
          </w:p>
        </w:tc>
        <w:tc>
          <w:tcPr>
            <w:tcW w:w="762" w:type="pct"/>
            <w:tcBorders>
              <w:top w:val="nil"/>
              <w:left w:val="nil"/>
              <w:bottom w:val="nil"/>
              <w:right w:val="nil"/>
            </w:tcBorders>
            <w:shd w:val="clear" w:color="auto" w:fill="auto"/>
            <w:noWrap/>
            <w:vAlign w:val="center"/>
            <w:hideMark/>
          </w:tcPr>
          <w:p w14:paraId="10F34B02" w14:textId="77777777" w:rsidR="005D3D72" w:rsidRPr="005D3D72" w:rsidRDefault="005D3D72" w:rsidP="005D3D72">
            <w:pPr>
              <w:spacing w:after="0" w:line="240" w:lineRule="auto"/>
              <w:jc w:val="right"/>
              <w:rPr>
                <w:rFonts w:ascii="Times New Roman" w:eastAsia="Times New Roman" w:hAnsi="Times New Roman" w:cs="Times New Roman"/>
                <w:color w:val="000000"/>
                <w:sz w:val="18"/>
                <w:szCs w:val="18"/>
                <w:lang w:eastAsia="sk-SK"/>
              </w:rPr>
            </w:pPr>
            <w:r w:rsidRPr="005D3D72">
              <w:rPr>
                <w:rFonts w:ascii="Times New Roman" w:eastAsia="Times New Roman" w:hAnsi="Times New Roman" w:cs="Times New Roman"/>
                <w:color w:val="000000"/>
                <w:sz w:val="18"/>
                <w:szCs w:val="18"/>
                <w:lang w:eastAsia="sk-SK"/>
              </w:rPr>
              <w:t>23</w:t>
            </w:r>
          </w:p>
        </w:tc>
      </w:tr>
      <w:tr w:rsidR="005D3D72" w:rsidRPr="005D3D72" w14:paraId="32DC06A4" w14:textId="77777777" w:rsidTr="00CA70F5">
        <w:trPr>
          <w:trHeight w:val="255"/>
          <w:jc w:val="center"/>
        </w:trPr>
        <w:tc>
          <w:tcPr>
            <w:tcW w:w="4238" w:type="pct"/>
            <w:tcBorders>
              <w:top w:val="nil"/>
              <w:left w:val="nil"/>
              <w:bottom w:val="nil"/>
              <w:right w:val="nil"/>
            </w:tcBorders>
            <w:shd w:val="clear" w:color="auto" w:fill="auto"/>
            <w:noWrap/>
            <w:vAlign w:val="center"/>
            <w:hideMark/>
          </w:tcPr>
          <w:p w14:paraId="40EA4BC7" w14:textId="77777777" w:rsidR="005D3D72" w:rsidRPr="005D3D72" w:rsidRDefault="005D3D72" w:rsidP="005D3D72">
            <w:pPr>
              <w:spacing w:after="0" w:line="240" w:lineRule="auto"/>
              <w:rPr>
                <w:rFonts w:ascii="Times New Roman" w:eastAsia="Times New Roman" w:hAnsi="Times New Roman" w:cs="Times New Roman"/>
                <w:color w:val="000000"/>
                <w:sz w:val="18"/>
                <w:szCs w:val="18"/>
                <w:lang w:eastAsia="sk-SK"/>
              </w:rPr>
            </w:pPr>
            <w:r w:rsidRPr="005D3D72">
              <w:rPr>
                <w:rFonts w:ascii="Times New Roman" w:eastAsia="Times New Roman" w:hAnsi="Times New Roman" w:cs="Times New Roman"/>
                <w:color w:val="000000"/>
                <w:sz w:val="18"/>
                <w:szCs w:val="18"/>
                <w:lang w:eastAsia="sk-SK"/>
              </w:rPr>
              <w:t>Výdavky na verejnoprospešný účel</w:t>
            </w:r>
          </w:p>
        </w:tc>
        <w:tc>
          <w:tcPr>
            <w:tcW w:w="762" w:type="pct"/>
            <w:tcBorders>
              <w:top w:val="nil"/>
              <w:left w:val="nil"/>
              <w:bottom w:val="nil"/>
              <w:right w:val="nil"/>
            </w:tcBorders>
            <w:shd w:val="clear" w:color="auto" w:fill="auto"/>
            <w:noWrap/>
            <w:vAlign w:val="center"/>
            <w:hideMark/>
          </w:tcPr>
          <w:p w14:paraId="7769D9F8" w14:textId="77777777" w:rsidR="005D3D72" w:rsidRPr="005D3D72" w:rsidRDefault="005D3D72" w:rsidP="005D3D72">
            <w:pPr>
              <w:spacing w:after="0" w:line="240" w:lineRule="auto"/>
              <w:jc w:val="right"/>
              <w:rPr>
                <w:rFonts w:ascii="Times New Roman" w:eastAsia="Times New Roman" w:hAnsi="Times New Roman" w:cs="Times New Roman"/>
                <w:color w:val="000000"/>
                <w:sz w:val="18"/>
                <w:szCs w:val="18"/>
                <w:lang w:eastAsia="sk-SK"/>
              </w:rPr>
            </w:pPr>
            <w:r w:rsidRPr="005D3D72">
              <w:rPr>
                <w:rFonts w:ascii="Times New Roman" w:eastAsia="Times New Roman" w:hAnsi="Times New Roman" w:cs="Times New Roman"/>
                <w:color w:val="000000"/>
                <w:sz w:val="18"/>
                <w:szCs w:val="18"/>
                <w:lang w:eastAsia="sk-SK"/>
              </w:rPr>
              <w:t>-4</w:t>
            </w:r>
          </w:p>
        </w:tc>
      </w:tr>
      <w:tr w:rsidR="005D3D72" w:rsidRPr="005D3D72" w14:paraId="610DB5D8" w14:textId="77777777" w:rsidTr="00CA70F5">
        <w:trPr>
          <w:trHeight w:val="255"/>
          <w:jc w:val="center"/>
        </w:trPr>
        <w:tc>
          <w:tcPr>
            <w:tcW w:w="4238" w:type="pct"/>
            <w:tcBorders>
              <w:top w:val="nil"/>
              <w:left w:val="nil"/>
              <w:bottom w:val="single" w:sz="4" w:space="0" w:color="auto"/>
              <w:right w:val="nil"/>
            </w:tcBorders>
            <w:shd w:val="clear" w:color="auto" w:fill="auto"/>
            <w:noWrap/>
            <w:vAlign w:val="center"/>
            <w:hideMark/>
          </w:tcPr>
          <w:p w14:paraId="3DF78BAF" w14:textId="77777777" w:rsidR="005D3D72" w:rsidRPr="005D3D72" w:rsidRDefault="005D3D72" w:rsidP="005D3D72">
            <w:pPr>
              <w:spacing w:after="0" w:line="240" w:lineRule="auto"/>
              <w:rPr>
                <w:rFonts w:ascii="Times New Roman" w:eastAsia="Times New Roman" w:hAnsi="Times New Roman" w:cs="Times New Roman"/>
                <w:color w:val="000000"/>
                <w:sz w:val="18"/>
                <w:szCs w:val="18"/>
                <w:lang w:eastAsia="sk-SK"/>
              </w:rPr>
            </w:pPr>
            <w:r w:rsidRPr="005D3D72">
              <w:rPr>
                <w:rFonts w:ascii="Times New Roman" w:eastAsia="Times New Roman" w:hAnsi="Times New Roman" w:cs="Times New Roman"/>
                <w:color w:val="000000"/>
                <w:sz w:val="18"/>
                <w:szCs w:val="18"/>
                <w:lang w:eastAsia="sk-SK"/>
              </w:rPr>
              <w:t>Daňové kredity</w:t>
            </w:r>
          </w:p>
        </w:tc>
        <w:tc>
          <w:tcPr>
            <w:tcW w:w="762" w:type="pct"/>
            <w:tcBorders>
              <w:top w:val="nil"/>
              <w:left w:val="nil"/>
              <w:bottom w:val="single" w:sz="4" w:space="0" w:color="auto"/>
              <w:right w:val="nil"/>
            </w:tcBorders>
            <w:shd w:val="clear" w:color="auto" w:fill="auto"/>
            <w:noWrap/>
            <w:vAlign w:val="center"/>
            <w:hideMark/>
          </w:tcPr>
          <w:p w14:paraId="5CB684B3" w14:textId="77777777" w:rsidR="005D3D72" w:rsidRPr="005D3D72" w:rsidRDefault="005D3D72" w:rsidP="005D3D72">
            <w:pPr>
              <w:spacing w:after="0" w:line="240" w:lineRule="auto"/>
              <w:jc w:val="right"/>
              <w:rPr>
                <w:rFonts w:ascii="Times New Roman" w:eastAsia="Times New Roman" w:hAnsi="Times New Roman" w:cs="Times New Roman"/>
                <w:color w:val="000000"/>
                <w:sz w:val="18"/>
                <w:szCs w:val="18"/>
                <w:lang w:eastAsia="sk-SK"/>
              </w:rPr>
            </w:pPr>
            <w:r w:rsidRPr="005D3D72">
              <w:rPr>
                <w:rFonts w:ascii="Times New Roman" w:eastAsia="Times New Roman" w:hAnsi="Times New Roman" w:cs="Times New Roman"/>
                <w:color w:val="000000"/>
                <w:sz w:val="18"/>
                <w:szCs w:val="18"/>
                <w:lang w:eastAsia="sk-SK"/>
              </w:rPr>
              <w:t>-49</w:t>
            </w:r>
          </w:p>
        </w:tc>
      </w:tr>
    </w:tbl>
    <w:p w14:paraId="6606121B" w14:textId="77777777" w:rsidR="00D87DB6" w:rsidRPr="002E562F" w:rsidRDefault="00D87DB6" w:rsidP="00D87DB6">
      <w:pPr>
        <w:spacing w:after="0"/>
        <w:ind w:left="7080" w:firstLine="708"/>
        <w:jc w:val="center"/>
        <w:rPr>
          <w:rFonts w:ascii="Times New Roman" w:hAnsi="Times New Roman" w:cs="Times New Roman"/>
          <w:i/>
          <w:sz w:val="16"/>
          <w:szCs w:val="16"/>
        </w:rPr>
      </w:pPr>
      <w:r w:rsidRPr="002E562F">
        <w:rPr>
          <w:rFonts w:ascii="Times New Roman" w:hAnsi="Times New Roman" w:cs="Times New Roman"/>
          <w:i/>
          <w:sz w:val="16"/>
          <w:szCs w:val="16"/>
        </w:rPr>
        <w:t xml:space="preserve">         Zdroj: MF SR</w:t>
      </w:r>
    </w:p>
    <w:p w14:paraId="11F19291" w14:textId="77777777" w:rsidR="005D3D72" w:rsidRDefault="005D3D72" w:rsidP="005D3D72">
      <w:pPr>
        <w:spacing w:after="0" w:line="240" w:lineRule="auto"/>
        <w:jc w:val="both"/>
        <w:rPr>
          <w:rFonts w:ascii="Times New Roman" w:eastAsia="Times New Roman" w:hAnsi="Times New Roman" w:cs="Times New Roman"/>
          <w:color w:val="000000"/>
          <w:sz w:val="24"/>
          <w:szCs w:val="24"/>
          <w:lang w:eastAsia="sk-SK"/>
        </w:rPr>
      </w:pPr>
    </w:p>
    <w:p w14:paraId="7B9088B5" w14:textId="16418626" w:rsidR="00D87DB6" w:rsidRDefault="005D3D72" w:rsidP="005D3D72">
      <w:pPr>
        <w:spacing w:after="0" w:line="240" w:lineRule="auto"/>
        <w:jc w:val="both"/>
        <w:rPr>
          <w:rFonts w:ascii="Times New Roman" w:eastAsia="Times New Roman" w:hAnsi="Times New Roman" w:cs="Times New Roman"/>
          <w:color w:val="000000"/>
          <w:sz w:val="24"/>
          <w:szCs w:val="24"/>
          <w:highlight w:val="yellow"/>
          <w:lang w:eastAsia="sk-SK"/>
        </w:rPr>
      </w:pPr>
      <w:r w:rsidRPr="005D3D72">
        <w:rPr>
          <w:rFonts w:ascii="Times New Roman" w:eastAsia="Times New Roman" w:hAnsi="Times New Roman" w:cs="Times New Roman"/>
          <w:color w:val="000000"/>
          <w:sz w:val="24"/>
          <w:szCs w:val="24"/>
          <w:lang w:eastAsia="sk-SK"/>
        </w:rPr>
        <w:t>Aktuálna prognóza daňovo – odvodových príjmov</w:t>
      </w:r>
      <w:r w:rsidRPr="005D3D72">
        <w:rPr>
          <w:rFonts w:ascii="Times New Roman" w:eastAsia="Times New Roman" w:hAnsi="Times New Roman" w:cs="Times New Roman"/>
          <w:sz w:val="24"/>
          <w:szCs w:val="24"/>
          <w:vertAlign w:val="superscript"/>
          <w:lang w:eastAsia="sk-SK"/>
        </w:rPr>
        <w:footnoteReference w:id="9"/>
      </w:r>
      <w:r w:rsidRPr="005D3D72">
        <w:rPr>
          <w:rFonts w:ascii="Book Antiqua" w:eastAsia="Times New Roman" w:hAnsi="Book Antiqua" w:cs="Times New Roman"/>
          <w:vertAlign w:val="superscript"/>
          <w:lang w:eastAsia="sk-SK"/>
        </w:rPr>
        <w:t xml:space="preserve"> </w:t>
      </w:r>
      <w:r w:rsidRPr="005D3D72">
        <w:rPr>
          <w:rFonts w:ascii="Times New Roman" w:eastAsia="Times New Roman" w:hAnsi="Times New Roman" w:cs="Times New Roman"/>
          <w:color w:val="000000"/>
          <w:sz w:val="24"/>
          <w:szCs w:val="24"/>
          <w:lang w:eastAsia="sk-SK"/>
        </w:rPr>
        <w:t xml:space="preserve">(bez sankcií, výdavkov na verejnoprospešný účel a daňových kreditov) predpokladá pokles príjmov oproti schválenému rozpočtu o 205 mil. eur. Revízia odhadu je spôsobená hlavne korekciou makroekonomických ukazovateľov smerom nadol. Očakáva sa pomalší rast mzdovej bázy, nominálneho HDP a slabšej spotreby domácností. Vyššia efektívna daňová sadzba je najmä vplyvom </w:t>
      </w:r>
      <w:proofErr w:type="spellStart"/>
      <w:r w:rsidRPr="005D3D72">
        <w:rPr>
          <w:rFonts w:ascii="Times New Roman" w:eastAsia="Times New Roman" w:hAnsi="Times New Roman" w:cs="Times New Roman"/>
          <w:color w:val="000000"/>
          <w:sz w:val="24"/>
          <w:szCs w:val="24"/>
          <w:lang w:eastAsia="sk-SK"/>
        </w:rPr>
        <w:t>korporátnej</w:t>
      </w:r>
      <w:proofErr w:type="spellEnd"/>
      <w:r w:rsidRPr="005D3D72">
        <w:rPr>
          <w:rFonts w:ascii="Times New Roman" w:eastAsia="Times New Roman" w:hAnsi="Times New Roman" w:cs="Times New Roman"/>
          <w:color w:val="000000"/>
          <w:sz w:val="24"/>
          <w:szCs w:val="24"/>
          <w:lang w:eastAsia="sk-SK"/>
        </w:rPr>
        <w:t xml:space="preserve"> dane. Pri daniach z trhu práce výnos znižuje slabšia dynamika EDS. Pozitívny vplyv legislatívy je tvorený jednak novou legislatívou schválenou v parlamente koncom roka 2022 a taktiež zvýšením sadzieb miestnych daní</w:t>
      </w:r>
      <w:r w:rsidR="00305080">
        <w:rPr>
          <w:rFonts w:ascii="Times New Roman" w:eastAsia="Times New Roman" w:hAnsi="Times New Roman" w:cs="Times New Roman"/>
          <w:color w:val="000000"/>
          <w:sz w:val="24"/>
          <w:szCs w:val="24"/>
          <w:lang w:eastAsia="sk-SK"/>
        </w:rPr>
        <w:t xml:space="preserve"> na úrovní obcí.</w:t>
      </w:r>
    </w:p>
    <w:p w14:paraId="72D98542" w14:textId="4F92D400" w:rsidR="005D3D72" w:rsidRDefault="005D3D72" w:rsidP="005D3D72">
      <w:pPr>
        <w:spacing w:after="0" w:line="240" w:lineRule="auto"/>
        <w:jc w:val="both"/>
        <w:rPr>
          <w:rFonts w:ascii="Times New Roman" w:eastAsia="Times New Roman" w:hAnsi="Times New Roman" w:cs="Times New Roman"/>
          <w:color w:val="000000"/>
          <w:sz w:val="24"/>
          <w:szCs w:val="24"/>
          <w:highlight w:val="yellow"/>
          <w:lang w:eastAsia="sk-SK"/>
        </w:rPr>
      </w:pPr>
    </w:p>
    <w:p w14:paraId="1DDA1869" w14:textId="383D452E" w:rsidR="00E17FA8" w:rsidRPr="005D3D72" w:rsidRDefault="00E17FA8" w:rsidP="005D3D72">
      <w:pPr>
        <w:spacing w:after="0" w:line="240" w:lineRule="auto"/>
        <w:jc w:val="both"/>
        <w:rPr>
          <w:rFonts w:ascii="Times New Roman" w:eastAsia="Times New Roman" w:hAnsi="Times New Roman" w:cs="Times New Roman"/>
          <w:color w:val="000000"/>
          <w:sz w:val="24"/>
          <w:szCs w:val="24"/>
          <w:highlight w:val="yellow"/>
          <w:lang w:eastAsia="sk-SK"/>
        </w:rPr>
      </w:pPr>
    </w:p>
    <w:tbl>
      <w:tblPr>
        <w:tblW w:w="5000" w:type="pct"/>
        <w:jc w:val="center"/>
        <w:tblCellMar>
          <w:left w:w="70" w:type="dxa"/>
          <w:right w:w="70" w:type="dxa"/>
        </w:tblCellMar>
        <w:tblLook w:val="04A0" w:firstRow="1" w:lastRow="0" w:firstColumn="1" w:lastColumn="0" w:noHBand="0" w:noVBand="1"/>
      </w:tblPr>
      <w:tblGrid>
        <w:gridCol w:w="7746"/>
        <w:gridCol w:w="1326"/>
      </w:tblGrid>
      <w:tr w:rsidR="00D87DB6" w:rsidRPr="00CF011E" w14:paraId="09214DDA" w14:textId="77777777" w:rsidTr="001177B1">
        <w:trPr>
          <w:trHeight w:val="255"/>
          <w:jc w:val="center"/>
        </w:trPr>
        <w:tc>
          <w:tcPr>
            <w:tcW w:w="5000" w:type="pct"/>
            <w:gridSpan w:val="2"/>
            <w:tcBorders>
              <w:top w:val="nil"/>
              <w:left w:val="nil"/>
              <w:bottom w:val="nil"/>
              <w:right w:val="nil"/>
            </w:tcBorders>
            <w:shd w:val="clear" w:color="auto" w:fill="auto"/>
            <w:noWrap/>
            <w:vAlign w:val="center"/>
            <w:hideMark/>
          </w:tcPr>
          <w:p w14:paraId="52E7291E" w14:textId="2B0F7A89" w:rsidR="00D87DB6" w:rsidRPr="00D87DB6" w:rsidRDefault="00D87DB6" w:rsidP="00D87DB6">
            <w:pPr>
              <w:spacing w:after="0"/>
              <w:rPr>
                <w:rFonts w:ascii="Times New Roman" w:hAnsi="Times New Roman" w:cs="Times New Roman"/>
                <w:b/>
                <w:bCs/>
                <w:color w:val="5B9BD5" w:themeColor="accent1"/>
                <w:sz w:val="20"/>
                <w:szCs w:val="20"/>
              </w:rPr>
            </w:pPr>
            <w:bookmarkStart w:id="30" w:name="_Toc153013007"/>
            <w:r w:rsidRPr="00D87DB6">
              <w:rPr>
                <w:rFonts w:ascii="Times New Roman" w:hAnsi="Times New Roman" w:cs="Times New Roman"/>
                <w:b/>
                <w:color w:val="5B9BD5" w:themeColor="accent1"/>
                <w:sz w:val="20"/>
                <w:szCs w:val="20"/>
              </w:rPr>
              <w:lastRenderedPageBreak/>
              <w:t xml:space="preserve">Tabuľka </w:t>
            </w:r>
            <w:r w:rsidRPr="00D87DB6">
              <w:rPr>
                <w:rFonts w:ascii="Times New Roman" w:hAnsi="Times New Roman" w:cs="Times New Roman"/>
                <w:b/>
                <w:color w:val="5B9BD5" w:themeColor="accent1"/>
                <w:sz w:val="20"/>
                <w:szCs w:val="20"/>
              </w:rPr>
              <w:fldChar w:fldCharType="begin"/>
            </w:r>
            <w:r w:rsidRPr="00D87DB6">
              <w:rPr>
                <w:rFonts w:ascii="Times New Roman" w:hAnsi="Times New Roman" w:cs="Times New Roman"/>
                <w:b/>
                <w:color w:val="5B9BD5" w:themeColor="accent1"/>
                <w:sz w:val="20"/>
                <w:szCs w:val="20"/>
              </w:rPr>
              <w:instrText xml:space="preserve"> SEQ Tabuľka \* ARABIC </w:instrText>
            </w:r>
            <w:r w:rsidRPr="00D87DB6">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9</w:t>
            </w:r>
            <w:r w:rsidRPr="00D87DB6">
              <w:rPr>
                <w:rFonts w:ascii="Times New Roman" w:hAnsi="Times New Roman" w:cs="Times New Roman"/>
                <w:b/>
                <w:color w:val="5B9BD5" w:themeColor="accent1"/>
                <w:sz w:val="20"/>
                <w:szCs w:val="20"/>
              </w:rPr>
              <w:fldChar w:fldCharType="end"/>
            </w:r>
            <w:r w:rsidRPr="00D87DB6">
              <w:rPr>
                <w:rFonts w:ascii="Times New Roman" w:hAnsi="Times New Roman" w:cs="Times New Roman"/>
                <w:b/>
                <w:color w:val="5B9BD5" w:themeColor="accent1"/>
                <w:sz w:val="20"/>
                <w:szCs w:val="20"/>
              </w:rPr>
              <w:t xml:space="preserve"> - </w:t>
            </w:r>
            <w:r w:rsidRPr="00D87DB6">
              <w:rPr>
                <w:rFonts w:ascii="Times New Roman" w:hAnsi="Times New Roman" w:cs="Times New Roman"/>
                <w:b/>
                <w:bCs/>
                <w:color w:val="5B9BD5" w:themeColor="accent1"/>
                <w:sz w:val="20"/>
                <w:szCs w:val="20"/>
              </w:rPr>
              <w:t>Vplyvy legislatívy na výnos daní v roku 2023 (ESA</w:t>
            </w:r>
            <w:r w:rsidR="00BA7275">
              <w:rPr>
                <w:rFonts w:ascii="Times New Roman" w:hAnsi="Times New Roman" w:cs="Times New Roman"/>
                <w:b/>
                <w:bCs/>
                <w:color w:val="5B9BD5" w:themeColor="accent1"/>
                <w:sz w:val="20"/>
                <w:szCs w:val="20"/>
              </w:rPr>
              <w:t xml:space="preserve"> </w:t>
            </w:r>
            <w:r w:rsidRPr="00D87DB6">
              <w:rPr>
                <w:rFonts w:ascii="Times New Roman" w:hAnsi="Times New Roman" w:cs="Times New Roman"/>
                <w:b/>
                <w:bCs/>
                <w:color w:val="5B9BD5" w:themeColor="accent1"/>
                <w:sz w:val="20"/>
                <w:szCs w:val="20"/>
              </w:rPr>
              <w:t>2010, v mil. eur) – zmena oproti RVS</w:t>
            </w:r>
            <w:bookmarkEnd w:id="30"/>
          </w:p>
        </w:tc>
      </w:tr>
      <w:tr w:rsidR="00D87DB6" w:rsidRPr="00CF011E" w14:paraId="7FED73E2" w14:textId="77777777" w:rsidTr="001177B1">
        <w:trPr>
          <w:trHeight w:val="255"/>
          <w:jc w:val="center"/>
        </w:trPr>
        <w:tc>
          <w:tcPr>
            <w:tcW w:w="4269" w:type="pct"/>
            <w:tcBorders>
              <w:top w:val="single" w:sz="4" w:space="0" w:color="auto"/>
              <w:left w:val="nil"/>
              <w:bottom w:val="single" w:sz="4" w:space="0" w:color="auto"/>
              <w:right w:val="nil"/>
            </w:tcBorders>
            <w:shd w:val="clear" w:color="auto" w:fill="auto"/>
            <w:noWrap/>
            <w:vAlign w:val="center"/>
            <w:hideMark/>
          </w:tcPr>
          <w:p w14:paraId="5DB45187" w14:textId="77777777" w:rsidR="00D87DB6" w:rsidRPr="00D87DB6" w:rsidRDefault="00D87DB6" w:rsidP="00D87DB6">
            <w:pPr>
              <w:spacing w:after="0"/>
              <w:rPr>
                <w:rFonts w:ascii="Times New Roman" w:hAnsi="Times New Roman" w:cs="Times New Roman"/>
                <w:b/>
                <w:bCs/>
                <w:color w:val="000000" w:themeColor="text1"/>
                <w:sz w:val="16"/>
                <w:szCs w:val="16"/>
              </w:rPr>
            </w:pPr>
            <w:r w:rsidRPr="00D87DB6">
              <w:rPr>
                <w:rFonts w:ascii="Times New Roman" w:hAnsi="Times New Roman" w:cs="Times New Roman"/>
                <w:b/>
                <w:bCs/>
                <w:color w:val="000000" w:themeColor="text1"/>
                <w:sz w:val="16"/>
                <w:szCs w:val="16"/>
              </w:rPr>
              <w:t>Legislatíva schválená v NR SR koncom roka 2022</w:t>
            </w:r>
          </w:p>
        </w:tc>
        <w:tc>
          <w:tcPr>
            <w:tcW w:w="731" w:type="pct"/>
            <w:tcBorders>
              <w:top w:val="single" w:sz="4" w:space="0" w:color="auto"/>
              <w:left w:val="nil"/>
              <w:bottom w:val="single" w:sz="4" w:space="0" w:color="auto"/>
              <w:right w:val="nil"/>
            </w:tcBorders>
            <w:shd w:val="clear" w:color="auto" w:fill="auto"/>
            <w:noWrap/>
            <w:vAlign w:val="center"/>
            <w:hideMark/>
          </w:tcPr>
          <w:p w14:paraId="69A87DC2" w14:textId="77777777" w:rsidR="00D87DB6" w:rsidRPr="00D87DB6" w:rsidRDefault="005D3D72" w:rsidP="00D87DB6">
            <w:pPr>
              <w:spacing w:after="0"/>
              <w:jc w:val="right"/>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rPr>
              <w:t>154</w:t>
            </w:r>
          </w:p>
        </w:tc>
      </w:tr>
      <w:tr w:rsidR="00D87DB6" w:rsidRPr="00CF011E" w14:paraId="1FDFC0A8" w14:textId="77777777" w:rsidTr="001177B1">
        <w:trPr>
          <w:trHeight w:val="255"/>
          <w:jc w:val="center"/>
        </w:trPr>
        <w:tc>
          <w:tcPr>
            <w:tcW w:w="4269" w:type="pct"/>
            <w:tcBorders>
              <w:top w:val="nil"/>
              <w:left w:val="nil"/>
              <w:bottom w:val="nil"/>
              <w:right w:val="nil"/>
            </w:tcBorders>
            <w:shd w:val="clear" w:color="auto" w:fill="auto"/>
            <w:vAlign w:val="center"/>
            <w:hideMark/>
          </w:tcPr>
          <w:p w14:paraId="5383A155" w14:textId="77777777" w:rsidR="00D87DB6" w:rsidRPr="00D87DB6" w:rsidRDefault="00D87DB6" w:rsidP="001177B1">
            <w:pPr>
              <w:ind w:firstLineChars="200" w:firstLine="320"/>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Solidárny príspevok z činností v odvetviach ropy, zemného plynu, uhlia a rafinérií</w:t>
            </w:r>
          </w:p>
        </w:tc>
        <w:tc>
          <w:tcPr>
            <w:tcW w:w="731" w:type="pct"/>
            <w:tcBorders>
              <w:top w:val="nil"/>
              <w:left w:val="nil"/>
              <w:bottom w:val="nil"/>
              <w:right w:val="nil"/>
            </w:tcBorders>
            <w:shd w:val="clear" w:color="auto" w:fill="auto"/>
            <w:vAlign w:val="center"/>
            <w:hideMark/>
          </w:tcPr>
          <w:p w14:paraId="7BD11A02" w14:textId="77777777" w:rsidR="00D87DB6" w:rsidRPr="00D87DB6" w:rsidRDefault="00D87DB6" w:rsidP="001177B1">
            <w:pPr>
              <w:jc w:val="right"/>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28</w:t>
            </w:r>
            <w:r w:rsidR="005D3D72">
              <w:rPr>
                <w:rFonts w:ascii="Times New Roman" w:hAnsi="Times New Roman" w:cs="Times New Roman"/>
                <w:color w:val="000000" w:themeColor="text1"/>
                <w:sz w:val="16"/>
                <w:szCs w:val="16"/>
              </w:rPr>
              <w:t>3</w:t>
            </w:r>
          </w:p>
        </w:tc>
      </w:tr>
      <w:tr w:rsidR="00D87DB6" w:rsidRPr="00CF011E" w14:paraId="7147EEB1" w14:textId="77777777" w:rsidTr="001177B1">
        <w:trPr>
          <w:trHeight w:val="255"/>
          <w:jc w:val="center"/>
        </w:trPr>
        <w:tc>
          <w:tcPr>
            <w:tcW w:w="4269" w:type="pct"/>
            <w:tcBorders>
              <w:top w:val="nil"/>
              <w:left w:val="nil"/>
              <w:bottom w:val="nil"/>
              <w:right w:val="nil"/>
            </w:tcBorders>
            <w:shd w:val="clear" w:color="auto" w:fill="auto"/>
            <w:vAlign w:val="center"/>
            <w:hideMark/>
          </w:tcPr>
          <w:p w14:paraId="65EE9F4E" w14:textId="77777777" w:rsidR="00D87DB6" w:rsidRPr="00D87DB6" w:rsidRDefault="00D87DB6" w:rsidP="001177B1">
            <w:pPr>
              <w:ind w:firstLineChars="200" w:firstLine="320"/>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Zmrazenie odvodov do II. piliera na 2 roky</w:t>
            </w:r>
          </w:p>
        </w:tc>
        <w:tc>
          <w:tcPr>
            <w:tcW w:w="731" w:type="pct"/>
            <w:tcBorders>
              <w:top w:val="nil"/>
              <w:left w:val="nil"/>
              <w:bottom w:val="nil"/>
              <w:right w:val="nil"/>
            </w:tcBorders>
            <w:shd w:val="clear" w:color="auto" w:fill="auto"/>
            <w:vAlign w:val="center"/>
            <w:hideMark/>
          </w:tcPr>
          <w:p w14:paraId="0E626EF9" w14:textId="77777777" w:rsidR="00D87DB6" w:rsidRPr="00D87DB6" w:rsidRDefault="00D87DB6" w:rsidP="001177B1">
            <w:pPr>
              <w:jc w:val="right"/>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50</w:t>
            </w:r>
          </w:p>
        </w:tc>
      </w:tr>
      <w:tr w:rsidR="00D87DB6" w:rsidRPr="00CF011E" w14:paraId="0D1DD6EE" w14:textId="77777777" w:rsidTr="001177B1">
        <w:trPr>
          <w:trHeight w:val="255"/>
          <w:jc w:val="center"/>
        </w:trPr>
        <w:tc>
          <w:tcPr>
            <w:tcW w:w="4269" w:type="pct"/>
            <w:tcBorders>
              <w:top w:val="nil"/>
              <w:left w:val="nil"/>
              <w:bottom w:val="nil"/>
              <w:right w:val="nil"/>
            </w:tcBorders>
            <w:shd w:val="clear" w:color="auto" w:fill="auto"/>
            <w:vAlign w:val="center"/>
            <w:hideMark/>
          </w:tcPr>
          <w:p w14:paraId="6F9CEAE4" w14:textId="77777777" w:rsidR="00D87DB6" w:rsidRPr="00D87DB6" w:rsidRDefault="00D87DB6" w:rsidP="001177B1">
            <w:pPr>
              <w:ind w:firstLineChars="200" w:firstLine="320"/>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Zvýšenie sadzby SD z liehu o 30 %</w:t>
            </w:r>
          </w:p>
        </w:tc>
        <w:tc>
          <w:tcPr>
            <w:tcW w:w="731" w:type="pct"/>
            <w:tcBorders>
              <w:top w:val="nil"/>
              <w:left w:val="nil"/>
              <w:bottom w:val="nil"/>
              <w:right w:val="nil"/>
            </w:tcBorders>
            <w:shd w:val="clear" w:color="auto" w:fill="auto"/>
            <w:vAlign w:val="center"/>
            <w:hideMark/>
          </w:tcPr>
          <w:p w14:paraId="71EC30ED" w14:textId="77777777" w:rsidR="00D87DB6" w:rsidRPr="00D87DB6" w:rsidRDefault="00D87DB6" w:rsidP="001177B1">
            <w:pPr>
              <w:jc w:val="right"/>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34</w:t>
            </w:r>
          </w:p>
        </w:tc>
      </w:tr>
      <w:tr w:rsidR="00D87DB6" w:rsidRPr="00CF011E" w14:paraId="5781C382" w14:textId="77777777" w:rsidTr="001177B1">
        <w:trPr>
          <w:trHeight w:val="255"/>
          <w:jc w:val="center"/>
        </w:trPr>
        <w:tc>
          <w:tcPr>
            <w:tcW w:w="4269" w:type="pct"/>
            <w:tcBorders>
              <w:top w:val="nil"/>
              <w:left w:val="nil"/>
              <w:bottom w:val="nil"/>
              <w:right w:val="nil"/>
            </w:tcBorders>
            <w:shd w:val="clear" w:color="auto" w:fill="auto"/>
            <w:vAlign w:val="center"/>
            <w:hideMark/>
          </w:tcPr>
          <w:p w14:paraId="4CCB326A" w14:textId="08F68CA1" w:rsidR="00D87DB6" w:rsidRPr="00D87DB6" w:rsidRDefault="00D87DB6" w:rsidP="001177B1">
            <w:pPr>
              <w:ind w:firstLineChars="200" w:firstLine="320"/>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 xml:space="preserve">Príjem z odvodu z nadmerných príjmov </w:t>
            </w:r>
            <w:r w:rsidR="005F2C35">
              <w:rPr>
                <w:rFonts w:ascii="Times New Roman" w:hAnsi="Times New Roman" w:cs="Times New Roman"/>
                <w:color w:val="000000" w:themeColor="text1"/>
                <w:sz w:val="16"/>
                <w:szCs w:val="16"/>
              </w:rPr>
              <w:t>–</w:t>
            </w:r>
            <w:r w:rsidRPr="00D87DB6">
              <w:rPr>
                <w:rFonts w:ascii="Times New Roman" w:hAnsi="Times New Roman" w:cs="Times New Roman"/>
                <w:color w:val="000000" w:themeColor="text1"/>
                <w:sz w:val="16"/>
                <w:szCs w:val="16"/>
              </w:rPr>
              <w:t xml:space="preserve"> elektrárne</w:t>
            </w:r>
          </w:p>
        </w:tc>
        <w:tc>
          <w:tcPr>
            <w:tcW w:w="731" w:type="pct"/>
            <w:tcBorders>
              <w:top w:val="nil"/>
              <w:left w:val="nil"/>
              <w:bottom w:val="nil"/>
              <w:right w:val="nil"/>
            </w:tcBorders>
            <w:shd w:val="clear" w:color="auto" w:fill="auto"/>
            <w:vAlign w:val="center"/>
            <w:hideMark/>
          </w:tcPr>
          <w:p w14:paraId="2A59F110" w14:textId="77777777" w:rsidR="00D87DB6" w:rsidRPr="00D87DB6" w:rsidRDefault="005D3D72" w:rsidP="001177B1">
            <w:pPr>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29</w:t>
            </w:r>
          </w:p>
        </w:tc>
      </w:tr>
      <w:tr w:rsidR="00D87DB6" w:rsidRPr="00CF011E" w14:paraId="62DF7A1F" w14:textId="77777777" w:rsidTr="001177B1">
        <w:trPr>
          <w:trHeight w:val="255"/>
          <w:jc w:val="center"/>
        </w:trPr>
        <w:tc>
          <w:tcPr>
            <w:tcW w:w="4269" w:type="pct"/>
            <w:tcBorders>
              <w:top w:val="nil"/>
              <w:left w:val="nil"/>
              <w:bottom w:val="nil"/>
              <w:right w:val="nil"/>
            </w:tcBorders>
            <w:shd w:val="clear" w:color="auto" w:fill="auto"/>
            <w:vAlign w:val="center"/>
            <w:hideMark/>
          </w:tcPr>
          <w:p w14:paraId="2836441F" w14:textId="77777777" w:rsidR="00D87DB6" w:rsidRPr="00D87DB6" w:rsidRDefault="00D87DB6" w:rsidP="001177B1">
            <w:pPr>
              <w:ind w:firstLineChars="200" w:firstLine="320"/>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Minimálne poistné zo zdravotných odvodov</w:t>
            </w:r>
          </w:p>
        </w:tc>
        <w:tc>
          <w:tcPr>
            <w:tcW w:w="731" w:type="pct"/>
            <w:tcBorders>
              <w:top w:val="nil"/>
              <w:left w:val="nil"/>
              <w:bottom w:val="nil"/>
              <w:right w:val="nil"/>
            </w:tcBorders>
            <w:shd w:val="clear" w:color="auto" w:fill="auto"/>
            <w:vAlign w:val="center"/>
            <w:hideMark/>
          </w:tcPr>
          <w:p w14:paraId="44E01056" w14:textId="77777777" w:rsidR="00D87DB6" w:rsidRPr="00D87DB6" w:rsidRDefault="00D87DB6" w:rsidP="001177B1">
            <w:pPr>
              <w:jc w:val="right"/>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20</w:t>
            </w:r>
          </w:p>
        </w:tc>
      </w:tr>
      <w:tr w:rsidR="00D87DB6" w:rsidRPr="00CF011E" w14:paraId="6CA721B5" w14:textId="77777777" w:rsidTr="001177B1">
        <w:trPr>
          <w:trHeight w:val="255"/>
          <w:jc w:val="center"/>
        </w:trPr>
        <w:tc>
          <w:tcPr>
            <w:tcW w:w="4269" w:type="pct"/>
            <w:tcBorders>
              <w:top w:val="nil"/>
              <w:left w:val="nil"/>
              <w:bottom w:val="nil"/>
              <w:right w:val="nil"/>
            </w:tcBorders>
            <w:shd w:val="clear" w:color="auto" w:fill="auto"/>
            <w:vAlign w:val="center"/>
            <w:hideMark/>
          </w:tcPr>
          <w:p w14:paraId="325CF105" w14:textId="77777777" w:rsidR="00D87DB6" w:rsidRPr="00D87DB6" w:rsidRDefault="00D87DB6" w:rsidP="001177B1">
            <w:pPr>
              <w:ind w:firstLineChars="200" w:firstLine="320"/>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Reforma II. piliera</w:t>
            </w:r>
          </w:p>
        </w:tc>
        <w:tc>
          <w:tcPr>
            <w:tcW w:w="731" w:type="pct"/>
            <w:tcBorders>
              <w:top w:val="nil"/>
              <w:left w:val="nil"/>
              <w:bottom w:val="nil"/>
              <w:right w:val="nil"/>
            </w:tcBorders>
            <w:shd w:val="clear" w:color="auto" w:fill="auto"/>
            <w:vAlign w:val="center"/>
            <w:hideMark/>
          </w:tcPr>
          <w:p w14:paraId="32972D07" w14:textId="77777777" w:rsidR="00D87DB6" w:rsidRPr="00D87DB6" w:rsidRDefault="00D87DB6" w:rsidP="001177B1">
            <w:pPr>
              <w:jc w:val="right"/>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-11</w:t>
            </w:r>
          </w:p>
        </w:tc>
      </w:tr>
      <w:tr w:rsidR="00D87DB6" w:rsidRPr="00CF011E" w14:paraId="5AB5B7F5" w14:textId="77777777" w:rsidTr="001177B1">
        <w:trPr>
          <w:trHeight w:val="255"/>
          <w:jc w:val="center"/>
        </w:trPr>
        <w:tc>
          <w:tcPr>
            <w:tcW w:w="4269" w:type="pct"/>
            <w:tcBorders>
              <w:top w:val="nil"/>
              <w:left w:val="nil"/>
              <w:bottom w:val="nil"/>
              <w:right w:val="nil"/>
            </w:tcBorders>
            <w:shd w:val="clear" w:color="auto" w:fill="auto"/>
            <w:vAlign w:val="center"/>
            <w:hideMark/>
          </w:tcPr>
          <w:p w14:paraId="62C5177C" w14:textId="77777777" w:rsidR="00D87DB6" w:rsidRPr="00D87DB6" w:rsidRDefault="00D87DB6" w:rsidP="001177B1">
            <w:pPr>
              <w:ind w:firstLineChars="200" w:firstLine="320"/>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Zrušenie koncesionárskych poplatkov</w:t>
            </w:r>
          </w:p>
        </w:tc>
        <w:tc>
          <w:tcPr>
            <w:tcW w:w="731" w:type="pct"/>
            <w:tcBorders>
              <w:top w:val="nil"/>
              <w:left w:val="nil"/>
              <w:bottom w:val="nil"/>
              <w:right w:val="nil"/>
            </w:tcBorders>
            <w:shd w:val="clear" w:color="auto" w:fill="auto"/>
            <w:vAlign w:val="center"/>
            <w:hideMark/>
          </w:tcPr>
          <w:p w14:paraId="3E22DE44" w14:textId="77777777" w:rsidR="00D87DB6" w:rsidRPr="00D87DB6" w:rsidRDefault="00D87DB6" w:rsidP="001177B1">
            <w:pPr>
              <w:jc w:val="right"/>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-35</w:t>
            </w:r>
          </w:p>
        </w:tc>
      </w:tr>
      <w:tr w:rsidR="00D87DB6" w:rsidRPr="00CF011E" w14:paraId="5ABA4A63" w14:textId="77777777" w:rsidTr="001177B1">
        <w:trPr>
          <w:trHeight w:val="255"/>
          <w:jc w:val="center"/>
        </w:trPr>
        <w:tc>
          <w:tcPr>
            <w:tcW w:w="4269" w:type="pct"/>
            <w:tcBorders>
              <w:top w:val="nil"/>
              <w:left w:val="nil"/>
              <w:bottom w:val="nil"/>
              <w:right w:val="nil"/>
            </w:tcBorders>
            <w:shd w:val="clear" w:color="auto" w:fill="auto"/>
            <w:vAlign w:val="center"/>
            <w:hideMark/>
          </w:tcPr>
          <w:p w14:paraId="085F295E" w14:textId="77777777" w:rsidR="00D87DB6" w:rsidRPr="00D87DB6" w:rsidRDefault="00D87DB6" w:rsidP="001177B1">
            <w:pPr>
              <w:ind w:firstLineChars="200" w:firstLine="320"/>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 xml:space="preserve">Trvalé zníženie sadzby DPH na 10% na </w:t>
            </w:r>
            <w:proofErr w:type="spellStart"/>
            <w:r w:rsidRPr="00D87DB6">
              <w:rPr>
                <w:rFonts w:ascii="Times New Roman" w:hAnsi="Times New Roman" w:cs="Times New Roman"/>
                <w:color w:val="000000" w:themeColor="text1"/>
                <w:sz w:val="16"/>
                <w:szCs w:val="16"/>
              </w:rPr>
              <w:t>gastro</w:t>
            </w:r>
            <w:proofErr w:type="spellEnd"/>
            <w:r w:rsidRPr="00D87DB6">
              <w:rPr>
                <w:rFonts w:ascii="Times New Roman" w:hAnsi="Times New Roman" w:cs="Times New Roman"/>
                <w:color w:val="000000" w:themeColor="text1"/>
                <w:sz w:val="16"/>
                <w:szCs w:val="16"/>
              </w:rPr>
              <w:t xml:space="preserve">, vleky, </w:t>
            </w:r>
            <w:proofErr w:type="spellStart"/>
            <w:r w:rsidRPr="00D87DB6">
              <w:rPr>
                <w:rFonts w:ascii="Times New Roman" w:hAnsi="Times New Roman" w:cs="Times New Roman"/>
                <w:color w:val="000000" w:themeColor="text1"/>
                <w:sz w:val="16"/>
                <w:szCs w:val="16"/>
              </w:rPr>
              <w:t>aquaparky</w:t>
            </w:r>
            <w:proofErr w:type="spellEnd"/>
            <w:r w:rsidRPr="00D87DB6">
              <w:rPr>
                <w:rFonts w:ascii="Times New Roman" w:hAnsi="Times New Roman" w:cs="Times New Roman"/>
                <w:color w:val="000000" w:themeColor="text1"/>
                <w:sz w:val="16"/>
                <w:szCs w:val="16"/>
              </w:rPr>
              <w:t xml:space="preserve"> a športoviská</w:t>
            </w:r>
          </w:p>
        </w:tc>
        <w:tc>
          <w:tcPr>
            <w:tcW w:w="731" w:type="pct"/>
            <w:tcBorders>
              <w:top w:val="nil"/>
              <w:left w:val="nil"/>
              <w:bottom w:val="nil"/>
              <w:right w:val="nil"/>
            </w:tcBorders>
            <w:shd w:val="clear" w:color="auto" w:fill="auto"/>
            <w:vAlign w:val="center"/>
            <w:hideMark/>
          </w:tcPr>
          <w:p w14:paraId="45C2BC30" w14:textId="77777777" w:rsidR="00D87DB6" w:rsidRPr="00D87DB6" w:rsidRDefault="00D87DB6" w:rsidP="001177B1">
            <w:pPr>
              <w:jc w:val="right"/>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-205</w:t>
            </w:r>
          </w:p>
        </w:tc>
      </w:tr>
      <w:tr w:rsidR="00D87DB6" w:rsidRPr="00CF011E" w14:paraId="3C3F851D" w14:textId="77777777" w:rsidTr="001177B1">
        <w:trPr>
          <w:trHeight w:val="255"/>
          <w:jc w:val="center"/>
        </w:trPr>
        <w:tc>
          <w:tcPr>
            <w:tcW w:w="4269" w:type="pct"/>
            <w:tcBorders>
              <w:top w:val="nil"/>
              <w:left w:val="nil"/>
              <w:bottom w:val="nil"/>
              <w:right w:val="nil"/>
            </w:tcBorders>
            <w:shd w:val="clear" w:color="auto" w:fill="auto"/>
            <w:vAlign w:val="center"/>
            <w:hideMark/>
          </w:tcPr>
          <w:p w14:paraId="37C4A6B6" w14:textId="77777777" w:rsidR="00D87DB6" w:rsidRPr="00D87DB6" w:rsidRDefault="00D87DB6" w:rsidP="001177B1">
            <w:pPr>
              <w:ind w:firstLineChars="200" w:firstLine="320"/>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Ostatné</w:t>
            </w:r>
          </w:p>
        </w:tc>
        <w:tc>
          <w:tcPr>
            <w:tcW w:w="731" w:type="pct"/>
            <w:tcBorders>
              <w:top w:val="nil"/>
              <w:left w:val="nil"/>
              <w:bottom w:val="nil"/>
              <w:right w:val="nil"/>
            </w:tcBorders>
            <w:shd w:val="clear" w:color="auto" w:fill="auto"/>
            <w:vAlign w:val="center"/>
            <w:hideMark/>
          </w:tcPr>
          <w:p w14:paraId="0E3C596E" w14:textId="77777777" w:rsidR="00D87DB6" w:rsidRPr="00D87DB6" w:rsidRDefault="00D87DB6" w:rsidP="001177B1">
            <w:pPr>
              <w:jc w:val="right"/>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-11</w:t>
            </w:r>
          </w:p>
        </w:tc>
      </w:tr>
      <w:tr w:rsidR="00D87DB6" w:rsidRPr="00CF011E" w14:paraId="28E123C4" w14:textId="77777777" w:rsidTr="001177B1">
        <w:trPr>
          <w:trHeight w:val="255"/>
          <w:jc w:val="center"/>
        </w:trPr>
        <w:tc>
          <w:tcPr>
            <w:tcW w:w="4269" w:type="pct"/>
            <w:tcBorders>
              <w:top w:val="single" w:sz="4" w:space="0" w:color="auto"/>
              <w:left w:val="nil"/>
              <w:bottom w:val="single" w:sz="4" w:space="0" w:color="auto"/>
              <w:right w:val="nil"/>
            </w:tcBorders>
            <w:shd w:val="clear" w:color="auto" w:fill="auto"/>
            <w:vAlign w:val="center"/>
            <w:hideMark/>
          </w:tcPr>
          <w:p w14:paraId="6BE26D31" w14:textId="77777777" w:rsidR="00D87DB6" w:rsidRPr="00D87DB6" w:rsidRDefault="00D87DB6" w:rsidP="001177B1">
            <w:pPr>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Úprava sadzieb miestnych daní na úrovni obcí (dane z nehnuteľností, dane za špecifické služby)</w:t>
            </w:r>
          </w:p>
        </w:tc>
        <w:tc>
          <w:tcPr>
            <w:tcW w:w="731" w:type="pct"/>
            <w:tcBorders>
              <w:top w:val="single" w:sz="4" w:space="0" w:color="auto"/>
              <w:left w:val="nil"/>
              <w:bottom w:val="single" w:sz="4" w:space="0" w:color="auto"/>
              <w:right w:val="nil"/>
            </w:tcBorders>
            <w:shd w:val="clear" w:color="auto" w:fill="auto"/>
            <w:vAlign w:val="center"/>
            <w:hideMark/>
          </w:tcPr>
          <w:p w14:paraId="6883F1D3" w14:textId="77777777" w:rsidR="00D87DB6" w:rsidRPr="00D87DB6" w:rsidRDefault="00D87DB6" w:rsidP="001177B1">
            <w:pPr>
              <w:jc w:val="right"/>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74</w:t>
            </w:r>
          </w:p>
        </w:tc>
      </w:tr>
      <w:tr w:rsidR="00D87DB6" w:rsidRPr="00CF011E" w14:paraId="122558FB" w14:textId="77777777" w:rsidTr="001177B1">
        <w:trPr>
          <w:trHeight w:val="255"/>
          <w:jc w:val="center"/>
        </w:trPr>
        <w:tc>
          <w:tcPr>
            <w:tcW w:w="4269" w:type="pct"/>
            <w:tcBorders>
              <w:top w:val="nil"/>
              <w:left w:val="nil"/>
              <w:bottom w:val="single" w:sz="4" w:space="0" w:color="auto"/>
              <w:right w:val="nil"/>
            </w:tcBorders>
            <w:shd w:val="clear" w:color="auto" w:fill="auto"/>
            <w:vAlign w:val="center"/>
          </w:tcPr>
          <w:p w14:paraId="6025D032" w14:textId="77777777" w:rsidR="00D87DB6" w:rsidRPr="00D87DB6" w:rsidRDefault="00D87DB6" w:rsidP="001177B1">
            <w:pPr>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Odpustenie sociálnych odvodov zamestnávateľov v potravinárskom priemysle</w:t>
            </w:r>
          </w:p>
        </w:tc>
        <w:tc>
          <w:tcPr>
            <w:tcW w:w="731" w:type="pct"/>
            <w:tcBorders>
              <w:top w:val="nil"/>
              <w:left w:val="nil"/>
              <w:bottom w:val="single" w:sz="4" w:space="0" w:color="auto"/>
              <w:right w:val="nil"/>
            </w:tcBorders>
            <w:shd w:val="clear" w:color="auto" w:fill="auto"/>
            <w:vAlign w:val="center"/>
          </w:tcPr>
          <w:p w14:paraId="25B0FEA2" w14:textId="77777777" w:rsidR="00D87DB6" w:rsidRPr="00D87DB6" w:rsidRDefault="00D87DB6" w:rsidP="001177B1">
            <w:pPr>
              <w:jc w:val="right"/>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-24</w:t>
            </w:r>
          </w:p>
        </w:tc>
      </w:tr>
      <w:tr w:rsidR="00D87DB6" w:rsidRPr="00CF011E" w14:paraId="7D782FF3" w14:textId="77777777" w:rsidTr="001177B1">
        <w:trPr>
          <w:trHeight w:val="255"/>
          <w:jc w:val="center"/>
        </w:trPr>
        <w:tc>
          <w:tcPr>
            <w:tcW w:w="4269" w:type="pct"/>
            <w:tcBorders>
              <w:top w:val="nil"/>
              <w:left w:val="nil"/>
              <w:bottom w:val="single" w:sz="4" w:space="0" w:color="auto"/>
              <w:right w:val="nil"/>
            </w:tcBorders>
            <w:shd w:val="clear" w:color="auto" w:fill="auto"/>
            <w:vAlign w:val="center"/>
            <w:hideMark/>
          </w:tcPr>
          <w:p w14:paraId="3DD35DA4" w14:textId="77777777" w:rsidR="00D87DB6" w:rsidRPr="00D87DB6" w:rsidRDefault="00D87DB6" w:rsidP="001177B1">
            <w:pPr>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aktualizácia starej legislatívy</w:t>
            </w:r>
          </w:p>
        </w:tc>
        <w:tc>
          <w:tcPr>
            <w:tcW w:w="731" w:type="pct"/>
            <w:tcBorders>
              <w:top w:val="nil"/>
              <w:left w:val="nil"/>
              <w:bottom w:val="single" w:sz="4" w:space="0" w:color="auto"/>
              <w:right w:val="nil"/>
            </w:tcBorders>
            <w:shd w:val="clear" w:color="auto" w:fill="auto"/>
            <w:vAlign w:val="center"/>
            <w:hideMark/>
          </w:tcPr>
          <w:p w14:paraId="70BC28DA" w14:textId="77777777" w:rsidR="00D87DB6" w:rsidRPr="00D87DB6" w:rsidRDefault="00D87DB6" w:rsidP="001177B1">
            <w:pPr>
              <w:jc w:val="right"/>
              <w:rPr>
                <w:rFonts w:ascii="Times New Roman" w:hAnsi="Times New Roman" w:cs="Times New Roman"/>
                <w:color w:val="000000" w:themeColor="text1"/>
                <w:sz w:val="16"/>
                <w:szCs w:val="16"/>
              </w:rPr>
            </w:pPr>
            <w:r w:rsidRPr="00D87DB6">
              <w:rPr>
                <w:rFonts w:ascii="Times New Roman" w:hAnsi="Times New Roman" w:cs="Times New Roman"/>
                <w:color w:val="000000" w:themeColor="text1"/>
                <w:sz w:val="16"/>
                <w:szCs w:val="16"/>
              </w:rPr>
              <w:t>-12</w:t>
            </w:r>
          </w:p>
        </w:tc>
      </w:tr>
      <w:tr w:rsidR="00D87DB6" w:rsidRPr="00CF011E" w14:paraId="2D52CD07" w14:textId="77777777" w:rsidTr="001177B1">
        <w:trPr>
          <w:trHeight w:val="255"/>
          <w:jc w:val="center"/>
        </w:trPr>
        <w:tc>
          <w:tcPr>
            <w:tcW w:w="4269" w:type="pct"/>
            <w:tcBorders>
              <w:top w:val="single" w:sz="4" w:space="0" w:color="auto"/>
              <w:left w:val="nil"/>
              <w:bottom w:val="single" w:sz="4" w:space="0" w:color="auto"/>
              <w:right w:val="nil"/>
            </w:tcBorders>
            <w:shd w:val="clear" w:color="auto" w:fill="auto"/>
            <w:vAlign w:val="center"/>
            <w:hideMark/>
          </w:tcPr>
          <w:p w14:paraId="06D467C1" w14:textId="77777777" w:rsidR="00D87DB6" w:rsidRPr="00D87DB6" w:rsidRDefault="00D87DB6" w:rsidP="001177B1">
            <w:pPr>
              <w:rPr>
                <w:rFonts w:ascii="Times New Roman" w:hAnsi="Times New Roman" w:cs="Times New Roman"/>
                <w:b/>
                <w:color w:val="000000" w:themeColor="text1"/>
                <w:sz w:val="16"/>
                <w:szCs w:val="16"/>
              </w:rPr>
            </w:pPr>
            <w:r w:rsidRPr="00D87DB6">
              <w:rPr>
                <w:rFonts w:ascii="Times New Roman" w:hAnsi="Times New Roman" w:cs="Times New Roman"/>
                <w:b/>
                <w:color w:val="000000" w:themeColor="text1"/>
                <w:sz w:val="16"/>
                <w:szCs w:val="16"/>
              </w:rPr>
              <w:t>Vplyv celkom</w:t>
            </w:r>
          </w:p>
        </w:tc>
        <w:tc>
          <w:tcPr>
            <w:tcW w:w="731" w:type="pct"/>
            <w:tcBorders>
              <w:top w:val="single" w:sz="4" w:space="0" w:color="auto"/>
              <w:left w:val="nil"/>
              <w:bottom w:val="single" w:sz="4" w:space="0" w:color="auto"/>
              <w:right w:val="nil"/>
            </w:tcBorders>
            <w:shd w:val="clear" w:color="auto" w:fill="auto"/>
            <w:noWrap/>
            <w:vAlign w:val="center"/>
            <w:hideMark/>
          </w:tcPr>
          <w:p w14:paraId="1D9D0EF0" w14:textId="77777777" w:rsidR="00D87DB6" w:rsidRPr="00D87DB6" w:rsidRDefault="005D3D72" w:rsidP="001177B1">
            <w:pPr>
              <w:jc w:val="right"/>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rPr>
              <w:t>191</w:t>
            </w:r>
          </w:p>
        </w:tc>
      </w:tr>
      <w:tr w:rsidR="00D87DB6" w:rsidRPr="00CF011E" w14:paraId="439D8061" w14:textId="77777777" w:rsidTr="00832254">
        <w:trPr>
          <w:trHeight w:val="255"/>
          <w:jc w:val="center"/>
        </w:trPr>
        <w:tc>
          <w:tcPr>
            <w:tcW w:w="4269" w:type="pct"/>
            <w:tcBorders>
              <w:top w:val="single" w:sz="4" w:space="0" w:color="auto"/>
              <w:left w:val="nil"/>
              <w:right w:val="nil"/>
            </w:tcBorders>
            <w:shd w:val="clear" w:color="auto" w:fill="auto"/>
            <w:vAlign w:val="center"/>
          </w:tcPr>
          <w:p w14:paraId="5A74A565" w14:textId="77777777" w:rsidR="00D87DB6" w:rsidRDefault="00D87DB6" w:rsidP="001177B1">
            <w:pPr>
              <w:rPr>
                <w:rFonts w:ascii="Times New Roman" w:hAnsi="Times New Roman" w:cs="Times New Roman"/>
                <w:b/>
                <w:color w:val="000000" w:themeColor="text1"/>
                <w:sz w:val="18"/>
                <w:szCs w:val="18"/>
              </w:rPr>
            </w:pPr>
          </w:p>
          <w:p w14:paraId="5C905617" w14:textId="57F7DA0A" w:rsidR="00590E2B" w:rsidRPr="00FF2A71" w:rsidRDefault="00590E2B" w:rsidP="001177B1">
            <w:pPr>
              <w:rPr>
                <w:rFonts w:ascii="Times New Roman" w:hAnsi="Times New Roman" w:cs="Times New Roman"/>
                <w:b/>
                <w:color w:val="000000" w:themeColor="text1"/>
                <w:sz w:val="18"/>
                <w:szCs w:val="18"/>
              </w:rPr>
            </w:pPr>
          </w:p>
        </w:tc>
        <w:tc>
          <w:tcPr>
            <w:tcW w:w="731" w:type="pct"/>
            <w:tcBorders>
              <w:top w:val="single" w:sz="4" w:space="0" w:color="auto"/>
              <w:left w:val="nil"/>
              <w:right w:val="nil"/>
            </w:tcBorders>
            <w:shd w:val="clear" w:color="auto" w:fill="auto"/>
            <w:noWrap/>
            <w:vAlign w:val="center"/>
          </w:tcPr>
          <w:p w14:paraId="28439450" w14:textId="77777777" w:rsidR="00D87DB6" w:rsidRPr="00CF011E" w:rsidRDefault="00D87DB6" w:rsidP="001177B1">
            <w:pPr>
              <w:jc w:val="right"/>
              <w:rPr>
                <w:rFonts w:ascii="Times New Roman" w:hAnsi="Times New Roman" w:cs="Times New Roman"/>
                <w:b/>
                <w:bCs/>
                <w:color w:val="000000" w:themeColor="text1"/>
                <w:sz w:val="18"/>
                <w:szCs w:val="18"/>
                <w:highlight w:val="yellow"/>
              </w:rPr>
            </w:pPr>
          </w:p>
        </w:tc>
      </w:tr>
    </w:tbl>
    <w:tbl>
      <w:tblPr>
        <w:tblStyle w:val="Mriekatabuky39"/>
        <w:tblW w:w="9072"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1"/>
        <w:gridCol w:w="4361"/>
      </w:tblGrid>
      <w:tr w:rsidR="005D3D72" w:rsidRPr="00997C45" w14:paraId="3A23D255" w14:textId="77777777" w:rsidTr="005D3D72">
        <w:trPr>
          <w:jc w:val="center"/>
        </w:trPr>
        <w:tc>
          <w:tcPr>
            <w:tcW w:w="4711" w:type="dxa"/>
            <w:tcBorders>
              <w:bottom w:val="single" w:sz="4" w:space="0" w:color="auto"/>
            </w:tcBorders>
            <w:shd w:val="clear" w:color="auto" w:fill="auto"/>
          </w:tcPr>
          <w:p w14:paraId="0C52CF60" w14:textId="38FCEB3B" w:rsidR="005D3D72" w:rsidRPr="00B10329" w:rsidRDefault="009A1FF2" w:rsidP="00CA70F5">
            <w:pPr>
              <w:rPr>
                <w:rFonts w:ascii="Times New Roman" w:hAnsi="Times New Roman" w:cs="Times New Roman"/>
                <w:b/>
                <w:color w:val="5B9BD5" w:themeColor="accent1"/>
                <w:lang w:val="sk-SK"/>
              </w:rPr>
            </w:pPr>
            <w:bookmarkStart w:id="31" w:name="_Toc153014648"/>
            <w:r w:rsidRPr="00DF01A5">
              <w:rPr>
                <w:rFonts w:ascii="Times New Roman" w:hAnsi="Times New Roman" w:cs="Times New Roman"/>
                <w:b/>
                <w:color w:val="5B9BD5" w:themeColor="accent1"/>
                <w:lang w:val="sk-SK"/>
              </w:rPr>
              <w:t>Graf</w:t>
            </w:r>
            <w:r w:rsidR="00DF01A5" w:rsidRPr="00DF01A5">
              <w:rPr>
                <w:rFonts w:ascii="Times New Roman" w:hAnsi="Times New Roman" w:cs="Times New Roman"/>
                <w:b/>
                <w:color w:val="5B9BD5" w:themeColor="accent1"/>
                <w:lang w:val="sk-SK"/>
              </w:rPr>
              <w:t xml:space="preserve"> </w:t>
            </w:r>
            <w:r w:rsidR="00DF01A5" w:rsidRPr="00DF01A5">
              <w:rPr>
                <w:rFonts w:ascii="Times New Roman" w:eastAsia="Calibri" w:hAnsi="Times New Roman" w:cs="Times New Roman"/>
                <w:b/>
                <w:iCs/>
                <w:color w:val="5B9BD5"/>
                <w:szCs w:val="18"/>
              </w:rPr>
              <w:fldChar w:fldCharType="begin"/>
            </w:r>
            <w:r w:rsidR="00DF01A5" w:rsidRPr="00DF01A5">
              <w:rPr>
                <w:rFonts w:ascii="Times New Roman" w:eastAsia="Calibri" w:hAnsi="Times New Roman" w:cs="Times New Roman"/>
                <w:b/>
                <w:iCs/>
                <w:color w:val="5B9BD5"/>
                <w:szCs w:val="18"/>
              </w:rPr>
              <w:instrText xml:space="preserve"> SEQ Obrázok \* ARABIC </w:instrText>
            </w:r>
            <w:r w:rsidR="00DF01A5" w:rsidRPr="00DF01A5">
              <w:rPr>
                <w:rFonts w:ascii="Times New Roman" w:eastAsia="Calibri" w:hAnsi="Times New Roman" w:cs="Times New Roman"/>
                <w:b/>
                <w:iCs/>
                <w:color w:val="5B9BD5"/>
                <w:szCs w:val="18"/>
              </w:rPr>
              <w:fldChar w:fldCharType="separate"/>
            </w:r>
            <w:r w:rsidR="003D5A3A">
              <w:rPr>
                <w:rFonts w:ascii="Times New Roman" w:eastAsia="Calibri" w:hAnsi="Times New Roman" w:cs="Times New Roman"/>
                <w:b/>
                <w:iCs/>
                <w:noProof/>
                <w:color w:val="5B9BD5"/>
                <w:szCs w:val="18"/>
              </w:rPr>
              <w:t>1</w:t>
            </w:r>
            <w:r w:rsidR="00DF01A5" w:rsidRPr="00DF01A5">
              <w:rPr>
                <w:rFonts w:ascii="Times New Roman" w:eastAsia="Calibri" w:hAnsi="Times New Roman" w:cs="Times New Roman"/>
                <w:b/>
                <w:iCs/>
                <w:color w:val="5B9BD5"/>
                <w:szCs w:val="18"/>
              </w:rPr>
              <w:fldChar w:fldCharType="end"/>
            </w:r>
            <w:r w:rsidR="00DF01A5" w:rsidRPr="00DF01A5">
              <w:rPr>
                <w:rFonts w:ascii="Times New Roman" w:eastAsia="Calibri" w:hAnsi="Times New Roman" w:cs="Times New Roman"/>
                <w:b/>
                <w:iCs/>
                <w:color w:val="5B9BD5"/>
                <w:szCs w:val="18"/>
              </w:rPr>
              <w:t xml:space="preserve"> -</w:t>
            </w:r>
            <w:r w:rsidR="00DF01A5" w:rsidRPr="00DF01A5">
              <w:rPr>
                <w:rFonts w:ascii="Times New Roman" w:hAnsi="Times New Roman" w:cs="Times New Roman"/>
                <w:b/>
                <w:color w:val="5B9BD5" w:themeColor="accent1"/>
                <w:lang w:val="sk-SK"/>
              </w:rPr>
              <w:t xml:space="preserve"> </w:t>
            </w:r>
            <w:r w:rsidRPr="00DF01A5">
              <w:rPr>
                <w:rFonts w:ascii="Times New Roman" w:hAnsi="Times New Roman" w:cs="Times New Roman"/>
                <w:b/>
                <w:color w:val="5B9BD5" w:themeColor="accent1"/>
                <w:lang w:val="sk-SK"/>
              </w:rPr>
              <w:t xml:space="preserve"> </w:t>
            </w:r>
            <w:r w:rsidR="005D3D72" w:rsidRPr="00DF01A5">
              <w:rPr>
                <w:rFonts w:ascii="Times New Roman" w:hAnsi="Times New Roman" w:cs="Times New Roman"/>
                <w:b/>
                <w:color w:val="5B9BD5" w:themeColor="accent1"/>
                <w:lang w:val="sk-SK"/>
              </w:rPr>
              <w:t>Zmena odhadu výberu daní a odvodov v roku 2023 voči RVS – (podľa jednotlivých faktorov, v mil. eur)</w:t>
            </w:r>
            <w:bookmarkEnd w:id="31"/>
          </w:p>
        </w:tc>
        <w:tc>
          <w:tcPr>
            <w:tcW w:w="4361" w:type="dxa"/>
            <w:tcBorders>
              <w:bottom w:val="single" w:sz="4" w:space="0" w:color="auto"/>
            </w:tcBorders>
          </w:tcPr>
          <w:p w14:paraId="5FEA49F3" w14:textId="5F999901" w:rsidR="005D3D72" w:rsidRPr="00B10329" w:rsidRDefault="009A1FF2" w:rsidP="00CA70F5">
            <w:pPr>
              <w:rPr>
                <w:rFonts w:ascii="Times New Roman" w:hAnsi="Times New Roman" w:cs="Times New Roman"/>
                <w:b/>
                <w:color w:val="5B9BD5" w:themeColor="accent1"/>
                <w:lang w:val="sk-SK"/>
              </w:rPr>
            </w:pPr>
            <w:bookmarkStart w:id="32" w:name="_Toc153014649"/>
            <w:r w:rsidRPr="00B10329">
              <w:rPr>
                <w:rFonts w:ascii="Times New Roman" w:hAnsi="Times New Roman" w:cs="Times New Roman"/>
                <w:b/>
                <w:color w:val="5B9BD5" w:themeColor="accent1"/>
                <w:lang w:val="sk-SK"/>
              </w:rPr>
              <w:t xml:space="preserve">Graf </w:t>
            </w:r>
            <w:r w:rsidR="00DF01A5" w:rsidRPr="00D94493">
              <w:rPr>
                <w:rFonts w:ascii="Times New Roman" w:eastAsia="Calibri" w:hAnsi="Times New Roman" w:cs="Times New Roman"/>
                <w:b/>
                <w:iCs/>
                <w:color w:val="5B9BD5"/>
                <w:szCs w:val="18"/>
              </w:rPr>
              <w:fldChar w:fldCharType="begin"/>
            </w:r>
            <w:r w:rsidR="00DF01A5" w:rsidRPr="00D94493">
              <w:rPr>
                <w:rFonts w:ascii="Times New Roman" w:eastAsia="Calibri" w:hAnsi="Times New Roman" w:cs="Times New Roman"/>
                <w:b/>
                <w:iCs/>
                <w:color w:val="5B9BD5"/>
                <w:szCs w:val="18"/>
              </w:rPr>
              <w:instrText xml:space="preserve"> SEQ Obrázok \* ARABIC </w:instrText>
            </w:r>
            <w:r w:rsidR="00DF01A5" w:rsidRPr="00D94493">
              <w:rPr>
                <w:rFonts w:ascii="Times New Roman" w:eastAsia="Calibri" w:hAnsi="Times New Roman" w:cs="Times New Roman"/>
                <w:b/>
                <w:iCs/>
                <w:color w:val="5B9BD5"/>
                <w:szCs w:val="18"/>
              </w:rPr>
              <w:fldChar w:fldCharType="separate"/>
            </w:r>
            <w:r w:rsidR="003D5A3A">
              <w:rPr>
                <w:rFonts w:ascii="Times New Roman" w:eastAsia="Calibri" w:hAnsi="Times New Roman" w:cs="Times New Roman"/>
                <w:b/>
                <w:iCs/>
                <w:noProof/>
                <w:color w:val="5B9BD5"/>
                <w:szCs w:val="18"/>
              </w:rPr>
              <w:t>2</w:t>
            </w:r>
            <w:r w:rsidR="00DF01A5" w:rsidRPr="00D94493">
              <w:rPr>
                <w:rFonts w:ascii="Times New Roman" w:eastAsia="Calibri" w:hAnsi="Times New Roman" w:cs="Times New Roman"/>
                <w:b/>
                <w:iCs/>
                <w:color w:val="5B9BD5"/>
                <w:szCs w:val="18"/>
              </w:rPr>
              <w:fldChar w:fldCharType="end"/>
            </w:r>
            <w:r w:rsidR="00DF01A5" w:rsidRPr="00D94493">
              <w:rPr>
                <w:rFonts w:ascii="Times New Roman" w:eastAsia="Calibri" w:hAnsi="Times New Roman" w:cs="Times New Roman"/>
                <w:b/>
                <w:iCs/>
                <w:color w:val="5B9BD5"/>
                <w:szCs w:val="18"/>
              </w:rPr>
              <w:t xml:space="preserve"> </w:t>
            </w:r>
            <w:r w:rsidR="00DF01A5">
              <w:rPr>
                <w:rFonts w:ascii="Times New Roman" w:eastAsia="Calibri" w:hAnsi="Times New Roman" w:cs="Times New Roman"/>
                <w:b/>
                <w:iCs/>
                <w:color w:val="5B9BD5"/>
                <w:szCs w:val="18"/>
              </w:rPr>
              <w:t xml:space="preserve">- </w:t>
            </w:r>
            <w:r w:rsidR="005D3D72" w:rsidRPr="00B10329">
              <w:rPr>
                <w:rFonts w:ascii="Times New Roman" w:hAnsi="Times New Roman" w:cs="Times New Roman"/>
                <w:b/>
                <w:color w:val="5B9BD5" w:themeColor="accent1"/>
                <w:lang w:val="sk-SK"/>
              </w:rPr>
              <w:t>Zmena odhad</w:t>
            </w:r>
            <w:r w:rsidR="00B10329">
              <w:rPr>
                <w:rFonts w:ascii="Times New Roman" w:hAnsi="Times New Roman" w:cs="Times New Roman"/>
                <w:b/>
                <w:color w:val="5B9BD5" w:themeColor="accent1"/>
                <w:lang w:val="sk-SK"/>
              </w:rPr>
              <w:t>u výberu daní a odvodov voči rozpočtu verejnej správy</w:t>
            </w:r>
            <w:r w:rsidR="005D3D72" w:rsidRPr="00B10329">
              <w:rPr>
                <w:rFonts w:ascii="Times New Roman" w:hAnsi="Times New Roman" w:cs="Times New Roman"/>
                <w:b/>
                <w:color w:val="5B9BD5" w:themeColor="accent1"/>
                <w:lang w:val="sk-SK"/>
              </w:rPr>
              <w:t xml:space="preserve"> (podľa vybraných daní, rok 2023, v mil. eur)</w:t>
            </w:r>
            <w:bookmarkEnd w:id="32"/>
          </w:p>
        </w:tc>
      </w:tr>
      <w:tr w:rsidR="005D3D72" w:rsidRPr="00997C45" w14:paraId="2F642221" w14:textId="77777777" w:rsidTr="005D3D72">
        <w:tblPrEx>
          <w:tblCellMar>
            <w:left w:w="70" w:type="dxa"/>
            <w:right w:w="70" w:type="dxa"/>
          </w:tblCellMar>
        </w:tblPrEx>
        <w:trPr>
          <w:jc w:val="center"/>
        </w:trPr>
        <w:tc>
          <w:tcPr>
            <w:tcW w:w="4711" w:type="dxa"/>
            <w:tcBorders>
              <w:top w:val="single" w:sz="4" w:space="0" w:color="auto"/>
              <w:bottom w:val="single" w:sz="4" w:space="0" w:color="auto"/>
            </w:tcBorders>
          </w:tcPr>
          <w:p w14:paraId="0B48E5AB" w14:textId="77777777" w:rsidR="005D3D72" w:rsidRPr="00A312A2" w:rsidRDefault="005D3D72" w:rsidP="00CA70F5">
            <w:r w:rsidRPr="00A312A2">
              <w:rPr>
                <w:noProof/>
                <w:lang w:eastAsia="sk-SK"/>
              </w:rPr>
              <w:drawing>
                <wp:inline distT="0" distB="0" distL="0" distR="0" wp14:anchorId="72A2BDFE" wp14:editId="685FAF6F">
                  <wp:extent cx="2902985" cy="1497745"/>
                  <wp:effectExtent l="0" t="0" r="0" b="762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7896" cy="1505438"/>
                          </a:xfrm>
                          <a:prstGeom prst="rect">
                            <a:avLst/>
                          </a:prstGeom>
                          <a:noFill/>
                        </pic:spPr>
                      </pic:pic>
                    </a:graphicData>
                  </a:graphic>
                </wp:inline>
              </w:drawing>
            </w:r>
          </w:p>
        </w:tc>
        <w:tc>
          <w:tcPr>
            <w:tcW w:w="4361" w:type="dxa"/>
            <w:tcBorders>
              <w:top w:val="single" w:sz="4" w:space="0" w:color="auto"/>
              <w:bottom w:val="single" w:sz="4" w:space="0" w:color="auto"/>
            </w:tcBorders>
          </w:tcPr>
          <w:p w14:paraId="069F7BFC" w14:textId="77777777" w:rsidR="005D3D72" w:rsidRPr="00A312A2" w:rsidRDefault="005D3D72" w:rsidP="00CA70F5">
            <w:pPr>
              <w:jc w:val="center"/>
              <w:rPr>
                <w:rFonts w:ascii="Calibri Light" w:hAnsi="Calibri Light" w:cs="Calibri Light"/>
                <w:sz w:val="18"/>
                <w:szCs w:val="18"/>
              </w:rPr>
            </w:pPr>
            <w:r>
              <w:rPr>
                <w:rFonts w:ascii="Calibri Light" w:hAnsi="Calibri Light" w:cs="Calibri Light"/>
                <w:noProof/>
                <w:sz w:val="18"/>
                <w:szCs w:val="18"/>
                <w:lang w:eastAsia="sk-SK"/>
              </w:rPr>
              <w:drawing>
                <wp:inline distT="0" distB="0" distL="0" distR="0" wp14:anchorId="39DA2066" wp14:editId="0019B230">
                  <wp:extent cx="2550413" cy="1530035"/>
                  <wp:effectExtent l="0" t="0" r="254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395" cy="1542623"/>
                          </a:xfrm>
                          <a:prstGeom prst="rect">
                            <a:avLst/>
                          </a:prstGeom>
                          <a:noFill/>
                        </pic:spPr>
                      </pic:pic>
                    </a:graphicData>
                  </a:graphic>
                </wp:inline>
              </w:drawing>
            </w:r>
          </w:p>
        </w:tc>
      </w:tr>
      <w:tr w:rsidR="005D3D72" w:rsidRPr="00997C45" w14:paraId="74485F2C" w14:textId="77777777" w:rsidTr="005D3D72">
        <w:trPr>
          <w:jc w:val="center"/>
        </w:trPr>
        <w:tc>
          <w:tcPr>
            <w:tcW w:w="4711" w:type="dxa"/>
            <w:tcBorders>
              <w:top w:val="single" w:sz="4" w:space="0" w:color="auto"/>
            </w:tcBorders>
          </w:tcPr>
          <w:p w14:paraId="2F7E0C94" w14:textId="77777777" w:rsidR="005D3D72" w:rsidRPr="00A312A2" w:rsidRDefault="005D3D72" w:rsidP="00CA70F5">
            <w:pPr>
              <w:jc w:val="right"/>
              <w:rPr>
                <w:rFonts w:ascii="Times New Roman" w:hAnsi="Times New Roman" w:cs="Times New Roman"/>
                <w:sz w:val="16"/>
                <w:szCs w:val="16"/>
                <w:lang w:val="sk-SK"/>
              </w:rPr>
            </w:pPr>
            <w:r w:rsidRPr="00A312A2">
              <w:rPr>
                <w:rFonts w:ascii="Times New Roman" w:hAnsi="Times New Roman" w:cs="Times New Roman"/>
                <w:i/>
                <w:sz w:val="16"/>
                <w:szCs w:val="16"/>
                <w:lang w:val="sk-SK"/>
              </w:rPr>
              <w:t>Zdroj</w:t>
            </w:r>
            <w:r w:rsidRPr="00A312A2">
              <w:rPr>
                <w:rFonts w:ascii="Times New Roman" w:hAnsi="Times New Roman" w:cs="Times New Roman"/>
                <w:i/>
                <w:sz w:val="16"/>
                <w:szCs w:val="16"/>
              </w:rPr>
              <w:t>: MF SR</w:t>
            </w:r>
          </w:p>
        </w:tc>
        <w:tc>
          <w:tcPr>
            <w:tcW w:w="4361" w:type="dxa"/>
            <w:tcBorders>
              <w:top w:val="single" w:sz="4" w:space="0" w:color="auto"/>
            </w:tcBorders>
          </w:tcPr>
          <w:p w14:paraId="11B55346" w14:textId="77777777" w:rsidR="005D3D72" w:rsidRPr="00A312A2" w:rsidRDefault="005D3D72" w:rsidP="00CA70F5">
            <w:pPr>
              <w:jc w:val="right"/>
              <w:rPr>
                <w:rFonts w:ascii="Times New Roman" w:hAnsi="Times New Roman" w:cs="Times New Roman"/>
                <w:i/>
                <w:sz w:val="16"/>
                <w:szCs w:val="16"/>
              </w:rPr>
            </w:pPr>
            <w:r w:rsidRPr="00A312A2">
              <w:rPr>
                <w:rFonts w:ascii="Times New Roman" w:hAnsi="Times New Roman" w:cs="Times New Roman"/>
                <w:i/>
                <w:sz w:val="16"/>
                <w:szCs w:val="16"/>
                <w:lang w:val="sk-SK"/>
              </w:rPr>
              <w:t>Zdroj</w:t>
            </w:r>
            <w:r w:rsidRPr="00A312A2">
              <w:rPr>
                <w:rFonts w:ascii="Times New Roman" w:hAnsi="Times New Roman" w:cs="Times New Roman"/>
                <w:i/>
                <w:sz w:val="16"/>
                <w:szCs w:val="16"/>
              </w:rPr>
              <w:t>: MF SR</w:t>
            </w:r>
          </w:p>
        </w:tc>
      </w:tr>
    </w:tbl>
    <w:p w14:paraId="724DF97F" w14:textId="0AB6F40C" w:rsidR="009A1FF2" w:rsidRDefault="009A1FF2" w:rsidP="009A1FF2">
      <w:pPr>
        <w:spacing w:after="0" w:line="240" w:lineRule="auto"/>
        <w:jc w:val="both"/>
        <w:rPr>
          <w:rFonts w:ascii="Times New Roman" w:eastAsia="Times New Roman" w:hAnsi="Times New Roman" w:cs="Times New Roman"/>
          <w:b/>
          <w:sz w:val="24"/>
          <w:szCs w:val="24"/>
          <w:lang w:eastAsia="sk-SK"/>
        </w:rPr>
      </w:pPr>
    </w:p>
    <w:p w14:paraId="346976AC" w14:textId="77777777" w:rsidR="009A1FF2" w:rsidRPr="009A1FF2" w:rsidRDefault="009A1FF2" w:rsidP="009A1FF2">
      <w:pPr>
        <w:spacing w:after="0" w:line="240" w:lineRule="auto"/>
        <w:jc w:val="both"/>
        <w:rPr>
          <w:rFonts w:ascii="Times New Roman" w:eastAsia="Times New Roman" w:hAnsi="Times New Roman" w:cs="Times New Roman"/>
          <w:sz w:val="24"/>
          <w:szCs w:val="24"/>
          <w:lang w:eastAsia="sk-SK"/>
        </w:rPr>
      </w:pPr>
      <w:r w:rsidRPr="009A1FF2">
        <w:rPr>
          <w:rFonts w:ascii="Times New Roman" w:eastAsia="Times New Roman" w:hAnsi="Times New Roman" w:cs="Times New Roman"/>
          <w:b/>
          <w:sz w:val="24"/>
          <w:szCs w:val="24"/>
          <w:lang w:eastAsia="sk-SK"/>
        </w:rPr>
        <w:t>Odhad výnosu DPH je oproti rozpočtu nižší o 510 mil. eur.</w:t>
      </w:r>
      <w:r w:rsidRPr="009A1FF2">
        <w:rPr>
          <w:rFonts w:ascii="Times New Roman" w:eastAsia="Times New Roman" w:hAnsi="Times New Roman" w:cs="Times New Roman"/>
          <w:sz w:val="24"/>
          <w:szCs w:val="24"/>
          <w:lang w:eastAsia="sk-SK"/>
        </w:rPr>
        <w:t xml:space="preserve"> Jedným z hlavných ťahúňov nadol boli legislatívne zmeny účinné od začiatku tohto roka</w:t>
      </w:r>
      <w:r w:rsidRPr="009A1FF2">
        <w:rPr>
          <w:rFonts w:ascii="Times New Roman" w:eastAsia="Times New Roman" w:hAnsi="Times New Roman" w:cs="Times New Roman"/>
          <w:sz w:val="24"/>
          <w:szCs w:val="24"/>
          <w:vertAlign w:val="superscript"/>
          <w:lang w:eastAsia="sk-SK"/>
        </w:rPr>
        <w:footnoteReference w:id="10"/>
      </w:r>
      <w:r w:rsidRPr="009A1FF2">
        <w:rPr>
          <w:rFonts w:ascii="Times New Roman" w:eastAsia="Times New Roman" w:hAnsi="Times New Roman" w:cs="Times New Roman"/>
          <w:sz w:val="24"/>
          <w:szCs w:val="24"/>
          <w:lang w:eastAsia="sk-SK"/>
        </w:rPr>
        <w:t xml:space="preserve">, a to predovšetkým zníženie uplatňovanej sadzby pre </w:t>
      </w:r>
      <w:proofErr w:type="spellStart"/>
      <w:r w:rsidRPr="009A1FF2">
        <w:rPr>
          <w:rFonts w:ascii="Times New Roman" w:eastAsia="Times New Roman" w:hAnsi="Times New Roman" w:cs="Times New Roman"/>
          <w:sz w:val="24"/>
          <w:szCs w:val="24"/>
          <w:lang w:eastAsia="sk-SK"/>
        </w:rPr>
        <w:t>gastro</w:t>
      </w:r>
      <w:proofErr w:type="spellEnd"/>
      <w:r w:rsidRPr="009A1FF2">
        <w:rPr>
          <w:rFonts w:ascii="Times New Roman" w:eastAsia="Times New Roman" w:hAnsi="Times New Roman" w:cs="Times New Roman"/>
          <w:sz w:val="24"/>
          <w:szCs w:val="24"/>
          <w:lang w:eastAsia="sk-SK"/>
        </w:rPr>
        <w:t xml:space="preserve"> sektor a športoviská (-205 mil. eur). Významne negatívne pôsobí tiež slabší než očakávaný makroekonomický vývoj (-127 mil. eur). Okrem legislatívnych zmien sa pod znížený odhad výnosu podpisuje slabšie čerpanie prostriedkov z Plánu obnovy a odolnosti</w:t>
      </w:r>
      <w:r w:rsidRPr="009A1FF2">
        <w:rPr>
          <w:rFonts w:ascii="Times New Roman" w:eastAsia="Times New Roman" w:hAnsi="Times New Roman" w:cs="Times New Roman"/>
          <w:sz w:val="24"/>
          <w:szCs w:val="24"/>
          <w:vertAlign w:val="superscript"/>
          <w:lang w:eastAsia="sk-SK"/>
        </w:rPr>
        <w:footnoteReference w:id="11"/>
      </w:r>
      <w:r w:rsidRPr="009A1FF2">
        <w:rPr>
          <w:rFonts w:ascii="Times New Roman" w:eastAsia="Times New Roman" w:hAnsi="Times New Roman" w:cs="Times New Roman"/>
          <w:sz w:val="24"/>
          <w:szCs w:val="24"/>
          <w:lang w:eastAsia="sk-SK"/>
        </w:rPr>
        <w:t xml:space="preserve"> a odhadovaný výnos je znížený aj z dôvodu poskytovanej pomoci domácnostiam na kompenzáciu vyšších cien energií</w:t>
      </w:r>
      <w:r w:rsidRPr="009A1FF2">
        <w:rPr>
          <w:rFonts w:ascii="Times New Roman" w:eastAsia="Times New Roman" w:hAnsi="Times New Roman" w:cs="Times New Roman"/>
          <w:sz w:val="24"/>
          <w:szCs w:val="24"/>
          <w:vertAlign w:val="superscript"/>
          <w:lang w:eastAsia="sk-SK"/>
        </w:rPr>
        <w:footnoteReference w:id="12"/>
      </w:r>
      <w:r w:rsidRPr="009A1FF2">
        <w:rPr>
          <w:rFonts w:ascii="Times New Roman" w:eastAsia="Times New Roman" w:hAnsi="Times New Roman" w:cs="Times New Roman"/>
          <w:sz w:val="24"/>
          <w:szCs w:val="24"/>
          <w:lang w:eastAsia="sk-SK"/>
        </w:rPr>
        <w:t xml:space="preserve">. K odchýleniu odhadu výnosu oproti rozpočtu tiež malou mierou prispela legislatíva týkajúca sa zvýšenia spotrebnej dane z liehu a znížená sadzba pre sektor štátom podporovaného nájomného bývania. </w:t>
      </w:r>
    </w:p>
    <w:p w14:paraId="4CFA6FF0" w14:textId="77777777" w:rsidR="009A1FF2" w:rsidRPr="009A1FF2" w:rsidRDefault="009A1FF2" w:rsidP="009A1FF2">
      <w:pPr>
        <w:spacing w:after="0" w:line="240" w:lineRule="auto"/>
        <w:jc w:val="both"/>
        <w:rPr>
          <w:rFonts w:ascii="Times New Roman" w:eastAsia="Times New Roman" w:hAnsi="Times New Roman" w:cs="Times New Roman"/>
          <w:sz w:val="24"/>
          <w:szCs w:val="24"/>
          <w:lang w:eastAsia="sk-SK"/>
        </w:rPr>
      </w:pPr>
    </w:p>
    <w:p w14:paraId="3EA520A8" w14:textId="77777777" w:rsidR="009A1FF2" w:rsidRPr="009A1FF2" w:rsidRDefault="009A1FF2" w:rsidP="009A1FF2">
      <w:pPr>
        <w:spacing w:after="0" w:line="240" w:lineRule="auto"/>
        <w:jc w:val="both"/>
        <w:rPr>
          <w:rFonts w:ascii="Times New Roman" w:eastAsia="Times New Roman" w:hAnsi="Times New Roman" w:cs="Times New Roman"/>
          <w:sz w:val="24"/>
          <w:szCs w:val="24"/>
          <w:lang w:eastAsia="sk-SK"/>
        </w:rPr>
      </w:pPr>
      <w:r w:rsidRPr="009A1FF2">
        <w:rPr>
          <w:rFonts w:ascii="Times New Roman" w:eastAsia="Times New Roman" w:hAnsi="Times New Roman" w:cs="Times New Roman"/>
          <w:b/>
          <w:sz w:val="24"/>
          <w:szCs w:val="24"/>
          <w:lang w:eastAsia="sk-SK"/>
        </w:rPr>
        <w:lastRenderedPageBreak/>
        <w:t>Výnos daní naviazaných na trh práce klesá najmä z dôvodu zhoršenia makroekonomických predpokladov</w:t>
      </w:r>
      <w:r w:rsidRPr="009A1FF2">
        <w:rPr>
          <w:rFonts w:ascii="Times New Roman" w:eastAsia="Times New Roman" w:hAnsi="Times New Roman" w:cs="Times New Roman"/>
          <w:sz w:val="24"/>
          <w:szCs w:val="24"/>
          <w:lang w:eastAsia="sk-SK"/>
        </w:rPr>
        <w:t xml:space="preserve"> (nižší odhad vývoja zamestnanosti aj miezd)</w:t>
      </w:r>
      <w:r w:rsidRPr="009A1FF2">
        <w:rPr>
          <w:rFonts w:ascii="Times New Roman" w:eastAsia="Times New Roman" w:hAnsi="Times New Roman" w:cs="Times New Roman"/>
          <w:b/>
          <w:sz w:val="24"/>
          <w:szCs w:val="24"/>
          <w:lang w:eastAsia="sk-SK"/>
        </w:rPr>
        <w:t>, z titulu slabšieho plnenia v poslednom štvrťroku a aktualizácie vplyvov platnej legislatívy</w:t>
      </w:r>
      <w:r w:rsidRPr="009A1FF2">
        <w:rPr>
          <w:rFonts w:ascii="Times New Roman" w:eastAsia="Times New Roman" w:hAnsi="Times New Roman" w:cs="Times New Roman"/>
          <w:sz w:val="24"/>
          <w:szCs w:val="24"/>
          <w:lang w:eastAsia="sk-SK"/>
        </w:rPr>
        <w:t xml:space="preserve">. Zníženie výnosu sociálnych odvodov je ovplyvnené aj prijatou legislatívou z júna 2023 ohľadom odpustenia odvodov zamestnávateľov v potravinárstve (-24 mil. eur). Celkový vplyv nižších daní a odvodov naviazaných na trh práce je -550 mil. eur, z čoho zdravotné odvody tvoria -107 mil. eur, sociálne odvody -198 mil. eur a DPFO -245 mil. eur.  </w:t>
      </w:r>
    </w:p>
    <w:p w14:paraId="5FE29808" w14:textId="77777777" w:rsidR="009A1FF2" w:rsidRPr="009A1FF2" w:rsidRDefault="009A1FF2" w:rsidP="009A1FF2">
      <w:pPr>
        <w:spacing w:after="0" w:line="240" w:lineRule="auto"/>
        <w:jc w:val="both"/>
        <w:rPr>
          <w:rFonts w:ascii="Times New Roman" w:eastAsia="Times New Roman" w:hAnsi="Times New Roman" w:cs="Times New Roman"/>
          <w:b/>
          <w:sz w:val="24"/>
          <w:szCs w:val="24"/>
          <w:highlight w:val="yellow"/>
          <w:lang w:eastAsia="sk-SK"/>
        </w:rPr>
      </w:pPr>
    </w:p>
    <w:p w14:paraId="12EF644B" w14:textId="77777777" w:rsidR="009A1FF2" w:rsidRPr="009A1FF2" w:rsidRDefault="009A1FF2" w:rsidP="009A1FF2">
      <w:pPr>
        <w:spacing w:after="0" w:line="240" w:lineRule="auto"/>
        <w:jc w:val="both"/>
        <w:rPr>
          <w:rFonts w:ascii="Times New Roman" w:eastAsia="Times New Roman" w:hAnsi="Times New Roman" w:cs="Times New Roman"/>
          <w:sz w:val="24"/>
          <w:szCs w:val="24"/>
          <w:lang w:eastAsia="sk-SK"/>
        </w:rPr>
      </w:pPr>
      <w:r w:rsidRPr="009A1FF2">
        <w:rPr>
          <w:rFonts w:ascii="Times New Roman" w:eastAsia="Times New Roman" w:hAnsi="Times New Roman" w:cs="Times New Roman"/>
          <w:b/>
          <w:sz w:val="24"/>
          <w:szCs w:val="24"/>
          <w:lang w:eastAsia="sk-SK"/>
        </w:rPr>
        <w:t xml:space="preserve">Očakávaný výnos DPPO na rok 2023 je o 355 mil. eur vyšší v porovnaní s rozpočtom. </w:t>
      </w:r>
      <w:r w:rsidRPr="009A1FF2">
        <w:rPr>
          <w:rFonts w:ascii="Times New Roman" w:eastAsia="Times New Roman" w:hAnsi="Times New Roman" w:cs="Times New Roman"/>
          <w:sz w:val="24"/>
          <w:szCs w:val="24"/>
          <w:lang w:eastAsia="sk-SK"/>
        </w:rPr>
        <w:t>Podobne ako pri DPH, tak aj DPPO negatívne poznačili legislatívne zmeny. Primárne ide o  zavedenie a následne predĺženie Solidárneho príspevku, ktorého zaplatenie znižuje pre špecifické subjekty základ dane. Ďalším negatívnym faktorom je zhoršenie výhľadu makroekonomického prostredia, ktoré negatívne vplýva na vývoj ziskovosti podnikov. To je výrazne kompenzované lepším výberom dane. Odhad výnosu DPPO je založený na lepšej skutočnosti za rok 2022, ktoré naznačujú pokračujúci rast ziskovosti a následnému silnému medziročnému rastu dane o takmer 12%. Negatívne riziko výnosu DPPO na rok 2023 tak ostáva udržanie lepšej ziskovosti podnikov z roku 2022.</w:t>
      </w:r>
    </w:p>
    <w:p w14:paraId="04E74E9E" w14:textId="77777777" w:rsidR="007B4FDF" w:rsidRDefault="007B4FDF" w:rsidP="00506904">
      <w:pPr>
        <w:suppressAutoHyphens/>
        <w:spacing w:after="0" w:line="240" w:lineRule="auto"/>
        <w:jc w:val="both"/>
        <w:rPr>
          <w:rFonts w:ascii="Times New Roman" w:hAnsi="Times New Roman" w:cs="Times New Roman"/>
          <w:color w:val="000000"/>
          <w:sz w:val="24"/>
          <w:szCs w:val="24"/>
        </w:rPr>
      </w:pPr>
    </w:p>
    <w:p w14:paraId="38BFADCF" w14:textId="77777777" w:rsidR="007B4FDF" w:rsidRDefault="0080040F" w:rsidP="00506904">
      <w:pPr>
        <w:pStyle w:val="Zkladntext"/>
        <w:rPr>
          <w:rFonts w:ascii="Times New Roman" w:hAnsi="Times New Roman" w:cs="Times New Roman"/>
          <w:b/>
          <w:color w:val="5B9BD5" w:themeColor="accent1"/>
        </w:rPr>
      </w:pPr>
      <w:bookmarkStart w:id="33" w:name="_Toc79153415"/>
      <w:r w:rsidRPr="0080040F">
        <w:rPr>
          <w:rFonts w:ascii="Times New Roman" w:hAnsi="Times New Roman" w:cs="Times New Roman"/>
          <w:b/>
          <w:color w:val="5B9BD5" w:themeColor="accent1"/>
        </w:rPr>
        <w:t xml:space="preserve">2.1.9. </w:t>
      </w:r>
      <w:bookmarkEnd w:id="33"/>
      <w:r w:rsidR="00201872">
        <w:rPr>
          <w:rFonts w:ascii="Times New Roman" w:hAnsi="Times New Roman" w:cs="Times New Roman"/>
          <w:b/>
          <w:color w:val="5B9BD5" w:themeColor="accent1"/>
        </w:rPr>
        <w:t>Kapitálové výdavky štátneho rozpočtu</w:t>
      </w:r>
    </w:p>
    <w:p w14:paraId="2C7BB0B2" w14:textId="77777777" w:rsidR="00201872" w:rsidRDefault="00201872" w:rsidP="00506904">
      <w:pPr>
        <w:pStyle w:val="Zkladntext"/>
        <w:rPr>
          <w:rFonts w:ascii="Times New Roman" w:hAnsi="Times New Roman" w:cs="Times New Roman"/>
          <w:b/>
          <w:color w:val="5B9BD5" w:themeColor="accent1"/>
        </w:rPr>
      </w:pPr>
    </w:p>
    <w:p w14:paraId="203675FB" w14:textId="77777777" w:rsidR="009A1FF2" w:rsidRPr="009A1FF2" w:rsidRDefault="009A1FF2" w:rsidP="009A1FF2">
      <w:pPr>
        <w:suppressAutoHyphens/>
        <w:spacing w:after="0" w:line="240" w:lineRule="auto"/>
        <w:jc w:val="both"/>
        <w:rPr>
          <w:rFonts w:ascii="Times New Roman" w:eastAsia="Times New Roman" w:hAnsi="Times New Roman" w:cs="Times New Roman"/>
          <w:color w:val="000000"/>
          <w:sz w:val="24"/>
          <w:szCs w:val="24"/>
          <w:lang w:eastAsia="sk-SK"/>
        </w:rPr>
      </w:pPr>
      <w:r w:rsidRPr="009A1FF2">
        <w:rPr>
          <w:rFonts w:ascii="Times New Roman" w:eastAsia="Times New Roman" w:hAnsi="Times New Roman" w:cs="Times New Roman"/>
          <w:color w:val="000000"/>
          <w:sz w:val="24"/>
          <w:szCs w:val="24"/>
          <w:lang w:eastAsia="sk-SK"/>
        </w:rPr>
        <w:t>Presun limitov výdavkov štátneho rozpočtu z minulých rokov v objeme 500 mil. eur (§</w:t>
      </w:r>
      <w:r>
        <w:rPr>
          <w:rFonts w:ascii="Times New Roman" w:eastAsia="Times New Roman" w:hAnsi="Times New Roman" w:cs="Times New Roman"/>
          <w:color w:val="000000"/>
          <w:sz w:val="24"/>
          <w:szCs w:val="24"/>
          <w:lang w:eastAsia="sk-SK"/>
        </w:rPr>
        <w:t xml:space="preserve"> </w:t>
      </w:r>
      <w:r w:rsidRPr="009A1FF2">
        <w:rPr>
          <w:rFonts w:ascii="Times New Roman" w:eastAsia="Times New Roman" w:hAnsi="Times New Roman" w:cs="Times New Roman"/>
          <w:color w:val="000000"/>
          <w:sz w:val="24"/>
          <w:szCs w:val="24"/>
          <w:lang w:eastAsia="sk-SK"/>
        </w:rPr>
        <w:t>8 zákona č. 523/2004 Z.</w:t>
      </w:r>
      <w:r>
        <w:rPr>
          <w:rFonts w:ascii="Times New Roman" w:eastAsia="Times New Roman" w:hAnsi="Times New Roman" w:cs="Times New Roman"/>
          <w:color w:val="000000"/>
          <w:sz w:val="24"/>
          <w:szCs w:val="24"/>
          <w:lang w:eastAsia="sk-SK"/>
        </w:rPr>
        <w:t xml:space="preserve"> </w:t>
      </w:r>
      <w:r w:rsidRPr="009A1FF2">
        <w:rPr>
          <w:rFonts w:ascii="Times New Roman" w:eastAsia="Times New Roman" w:hAnsi="Times New Roman" w:cs="Times New Roman"/>
          <w:color w:val="000000"/>
          <w:sz w:val="24"/>
          <w:szCs w:val="24"/>
          <w:lang w:eastAsia="sk-SK"/>
        </w:rPr>
        <w:t>z.) je kompenzovaný predpokladaným presunom čerpania kapitálových výdavkov do roku 2024 vo výške 396 mil. eur, čím dochádza k </w:t>
      </w:r>
      <w:r w:rsidRPr="009A1FF2">
        <w:rPr>
          <w:rFonts w:ascii="Times New Roman" w:eastAsia="Times New Roman" w:hAnsi="Times New Roman" w:cs="Times New Roman"/>
          <w:b/>
          <w:color w:val="000000"/>
          <w:sz w:val="24"/>
          <w:szCs w:val="24"/>
          <w:lang w:eastAsia="sk-SK"/>
        </w:rPr>
        <w:t>negatívnemu vplyvu</w:t>
      </w:r>
      <w:r w:rsidRPr="009A1FF2">
        <w:rPr>
          <w:rFonts w:ascii="Times New Roman" w:eastAsia="Times New Roman" w:hAnsi="Times New Roman" w:cs="Times New Roman"/>
          <w:color w:val="000000"/>
          <w:sz w:val="24"/>
          <w:szCs w:val="24"/>
          <w:lang w:eastAsia="sk-SK"/>
        </w:rPr>
        <w:t xml:space="preserve"> na úrovni </w:t>
      </w:r>
      <w:r w:rsidRPr="009A1FF2">
        <w:rPr>
          <w:rFonts w:ascii="Times New Roman" w:eastAsia="Times New Roman" w:hAnsi="Times New Roman" w:cs="Times New Roman"/>
          <w:b/>
          <w:color w:val="000000"/>
          <w:sz w:val="24"/>
          <w:szCs w:val="24"/>
          <w:lang w:eastAsia="sk-SK"/>
        </w:rPr>
        <w:t>104 mil. eur</w:t>
      </w:r>
      <w:r w:rsidRPr="009A1FF2">
        <w:rPr>
          <w:rFonts w:ascii="Times New Roman" w:eastAsia="Times New Roman" w:hAnsi="Times New Roman" w:cs="Times New Roman"/>
          <w:color w:val="000000"/>
          <w:sz w:val="24"/>
          <w:szCs w:val="24"/>
          <w:lang w:eastAsia="sk-SK"/>
        </w:rPr>
        <w:t xml:space="preserve">. </w:t>
      </w:r>
    </w:p>
    <w:p w14:paraId="6458E570" w14:textId="77777777" w:rsidR="007A2102" w:rsidRPr="007A2102" w:rsidRDefault="007A2102" w:rsidP="008515CF">
      <w:pPr>
        <w:suppressAutoHyphens/>
        <w:spacing w:after="0" w:line="240" w:lineRule="auto"/>
        <w:jc w:val="both"/>
        <w:rPr>
          <w:rFonts w:ascii="Times New Roman" w:eastAsia="Times New Roman" w:hAnsi="Times New Roman" w:cs="Times New Roman"/>
          <w:color w:val="000000"/>
          <w:sz w:val="24"/>
          <w:szCs w:val="24"/>
          <w:lang w:eastAsia="sk-SK"/>
        </w:rPr>
      </w:pPr>
    </w:p>
    <w:p w14:paraId="4166EFED" w14:textId="77777777" w:rsidR="006F0FCB" w:rsidRDefault="007A2102" w:rsidP="008515CF">
      <w:pPr>
        <w:spacing w:after="0"/>
        <w:rPr>
          <w:rFonts w:ascii="Times New Roman" w:hAnsi="Times New Roman" w:cs="Times New Roman"/>
          <w:b/>
          <w:color w:val="5B9BD5" w:themeColor="accent1"/>
          <w:sz w:val="24"/>
          <w:lang w:eastAsia="sk-SK"/>
        </w:rPr>
      </w:pPr>
      <w:r w:rsidRPr="007A2102">
        <w:rPr>
          <w:rFonts w:ascii="Times New Roman" w:hAnsi="Times New Roman" w:cs="Times New Roman"/>
          <w:b/>
          <w:color w:val="5B9BD5" w:themeColor="accent1"/>
          <w:sz w:val="24"/>
          <w:lang w:eastAsia="sk-SK"/>
        </w:rPr>
        <w:t>2.1.10. Dividendy v rámci štátneho rozpočtu</w:t>
      </w:r>
    </w:p>
    <w:p w14:paraId="250F22B4" w14:textId="77777777" w:rsidR="007A2102" w:rsidRDefault="007A2102" w:rsidP="007A2102">
      <w:pPr>
        <w:spacing w:after="0"/>
        <w:rPr>
          <w:rFonts w:ascii="Times New Roman" w:hAnsi="Times New Roman" w:cs="Times New Roman"/>
          <w:b/>
          <w:color w:val="5B9BD5" w:themeColor="accent1"/>
          <w:sz w:val="24"/>
          <w:lang w:eastAsia="sk-SK"/>
        </w:rPr>
      </w:pPr>
    </w:p>
    <w:p w14:paraId="50B3116E" w14:textId="77777777" w:rsidR="009A1FF2" w:rsidRPr="009A1FF2" w:rsidRDefault="009A1FF2" w:rsidP="009A1FF2">
      <w:pPr>
        <w:suppressAutoHyphens/>
        <w:spacing w:after="0" w:line="240" w:lineRule="auto"/>
        <w:jc w:val="both"/>
        <w:rPr>
          <w:rFonts w:ascii="Times New Roman" w:eastAsia="Times New Roman" w:hAnsi="Times New Roman" w:cs="Times New Roman"/>
          <w:color w:val="000000"/>
          <w:sz w:val="24"/>
          <w:szCs w:val="24"/>
          <w:lang w:eastAsia="sk-SK"/>
        </w:rPr>
      </w:pPr>
      <w:r w:rsidRPr="009A1FF2">
        <w:rPr>
          <w:rFonts w:ascii="Times New Roman" w:eastAsia="Times New Roman" w:hAnsi="Times New Roman" w:cs="Times New Roman"/>
          <w:color w:val="000000"/>
          <w:sz w:val="24"/>
          <w:szCs w:val="24"/>
          <w:lang w:eastAsia="sk-SK"/>
        </w:rPr>
        <w:t>V rámci dividend realizovaných prostredníctvom štátneho rozpočtu dochádza k </w:t>
      </w:r>
      <w:r w:rsidRPr="009A1FF2">
        <w:rPr>
          <w:rFonts w:ascii="Times New Roman" w:eastAsia="Times New Roman" w:hAnsi="Times New Roman" w:cs="Times New Roman"/>
          <w:b/>
          <w:color w:val="000000"/>
          <w:sz w:val="24"/>
          <w:szCs w:val="24"/>
          <w:lang w:eastAsia="sk-SK"/>
        </w:rPr>
        <w:t>výpadku</w:t>
      </w:r>
      <w:r w:rsidRPr="009A1FF2">
        <w:rPr>
          <w:rFonts w:ascii="Times New Roman" w:eastAsia="Times New Roman" w:hAnsi="Times New Roman" w:cs="Times New Roman"/>
          <w:color w:val="000000"/>
          <w:sz w:val="24"/>
          <w:szCs w:val="24"/>
          <w:lang w:eastAsia="sk-SK"/>
        </w:rPr>
        <w:t xml:space="preserve"> príjmov na úrovni </w:t>
      </w:r>
      <w:r w:rsidRPr="009A1FF2">
        <w:rPr>
          <w:rFonts w:ascii="Times New Roman" w:eastAsia="Times New Roman" w:hAnsi="Times New Roman" w:cs="Times New Roman"/>
          <w:b/>
          <w:color w:val="000000"/>
          <w:sz w:val="24"/>
          <w:szCs w:val="24"/>
          <w:lang w:eastAsia="sk-SK"/>
        </w:rPr>
        <w:t>111 mil. eur</w:t>
      </w:r>
      <w:r w:rsidRPr="009A1FF2">
        <w:rPr>
          <w:rFonts w:ascii="Times New Roman" w:eastAsia="Times New Roman" w:hAnsi="Times New Roman" w:cs="Times New Roman"/>
          <w:color w:val="000000"/>
          <w:sz w:val="24"/>
          <w:szCs w:val="24"/>
          <w:lang w:eastAsia="sk-SK"/>
        </w:rPr>
        <w:t>. Uvedené súvisí najmä s výpadkom dividend Slovenského plynárenského priemyslu, a. s. na úrovni 156 mil. eur, ktorý je čiastočne kompenzovaný zvýšenými dividendami od spoločnosti Tipos, a. s. vo výške 22 mil. eur a od spoločnosti Slovenská elektrizačná prenosová sústava, a. s. vo výške 16 mil. eur.</w:t>
      </w:r>
    </w:p>
    <w:p w14:paraId="00B09217" w14:textId="77777777" w:rsidR="006F0FCB" w:rsidRDefault="006F0FCB" w:rsidP="006F0FCB">
      <w:pPr>
        <w:suppressAutoHyphens/>
        <w:spacing w:after="0" w:line="240" w:lineRule="auto"/>
        <w:jc w:val="both"/>
        <w:rPr>
          <w:lang w:eastAsia="cs-CZ"/>
        </w:rPr>
      </w:pPr>
    </w:p>
    <w:p w14:paraId="10E129C4" w14:textId="77777777" w:rsidR="00653F4A" w:rsidRDefault="007A2102" w:rsidP="00653F4A">
      <w:pPr>
        <w:suppressAutoHyphens/>
        <w:spacing w:after="0" w:line="240" w:lineRule="auto"/>
        <w:jc w:val="both"/>
        <w:rPr>
          <w:rFonts w:ascii="Times New Roman" w:hAnsi="Times New Roman" w:cs="Times New Roman"/>
          <w:b/>
          <w:color w:val="5B9BD5" w:themeColor="accent1"/>
          <w:sz w:val="24"/>
          <w:szCs w:val="24"/>
          <w:lang w:eastAsia="cs-CZ"/>
        </w:rPr>
      </w:pPr>
      <w:r w:rsidRPr="007A2102">
        <w:rPr>
          <w:rFonts w:ascii="Times New Roman" w:hAnsi="Times New Roman" w:cs="Times New Roman"/>
          <w:b/>
          <w:color w:val="5B9BD5" w:themeColor="accent1"/>
          <w:sz w:val="24"/>
          <w:szCs w:val="24"/>
          <w:lang w:eastAsia="cs-CZ"/>
        </w:rPr>
        <w:t>2.1.11. Výda</w:t>
      </w:r>
      <w:r w:rsidR="00653F4A">
        <w:rPr>
          <w:rFonts w:ascii="Times New Roman" w:hAnsi="Times New Roman" w:cs="Times New Roman"/>
          <w:b/>
          <w:color w:val="5B9BD5" w:themeColor="accent1"/>
          <w:sz w:val="24"/>
          <w:szCs w:val="24"/>
          <w:lang w:eastAsia="cs-CZ"/>
        </w:rPr>
        <w:t>vky vyvolané vojnou na Ukrajine</w:t>
      </w:r>
    </w:p>
    <w:p w14:paraId="290BFA87" w14:textId="77777777" w:rsidR="00653F4A" w:rsidRDefault="00653F4A" w:rsidP="00653F4A">
      <w:pPr>
        <w:suppressAutoHyphens/>
        <w:spacing w:after="0" w:line="240" w:lineRule="auto"/>
        <w:jc w:val="both"/>
        <w:rPr>
          <w:rFonts w:ascii="Times New Roman" w:hAnsi="Times New Roman" w:cs="Times New Roman"/>
          <w:b/>
          <w:color w:val="5B9BD5" w:themeColor="accent1"/>
          <w:sz w:val="24"/>
          <w:szCs w:val="24"/>
          <w:lang w:eastAsia="cs-CZ"/>
        </w:rPr>
      </w:pPr>
    </w:p>
    <w:p w14:paraId="4B96E678" w14:textId="77777777" w:rsidR="009A1FF2" w:rsidRPr="009A1FF2" w:rsidRDefault="009A1FF2" w:rsidP="009A1FF2">
      <w:pPr>
        <w:suppressAutoHyphens/>
        <w:spacing w:after="0" w:line="240" w:lineRule="auto"/>
        <w:jc w:val="both"/>
        <w:rPr>
          <w:rFonts w:ascii="Times New Roman" w:eastAsia="Times New Roman" w:hAnsi="Times New Roman" w:cs="Times New Roman"/>
          <w:color w:val="000000"/>
          <w:sz w:val="24"/>
          <w:szCs w:val="24"/>
          <w:lang w:eastAsia="sk-SK"/>
        </w:rPr>
      </w:pPr>
      <w:r w:rsidRPr="009A1FF2">
        <w:rPr>
          <w:rFonts w:ascii="Times New Roman" w:eastAsia="Times New Roman" w:hAnsi="Times New Roman" w:cs="Times New Roman"/>
          <w:color w:val="000000"/>
          <w:sz w:val="24"/>
          <w:szCs w:val="24"/>
          <w:lang w:eastAsia="sk-SK"/>
        </w:rPr>
        <w:t xml:space="preserve">V rámci schváleného rozpočtu boli na výdavky vyvolané vojnou na Ukrajine alokované prostriedky vo výške 100 mil. eur. Aktuálne sa predpokladá </w:t>
      </w:r>
      <w:r w:rsidRPr="009A1FF2">
        <w:rPr>
          <w:rFonts w:ascii="Times New Roman" w:eastAsia="Times New Roman" w:hAnsi="Times New Roman" w:cs="Times New Roman"/>
          <w:b/>
          <w:color w:val="000000"/>
          <w:sz w:val="24"/>
          <w:szCs w:val="24"/>
          <w:lang w:eastAsia="sk-SK"/>
        </w:rPr>
        <w:t>prekročenie</w:t>
      </w:r>
      <w:r w:rsidRPr="009A1FF2">
        <w:rPr>
          <w:rFonts w:ascii="Times New Roman" w:eastAsia="Times New Roman" w:hAnsi="Times New Roman" w:cs="Times New Roman"/>
          <w:color w:val="000000"/>
          <w:sz w:val="24"/>
          <w:szCs w:val="24"/>
          <w:lang w:eastAsia="sk-SK"/>
        </w:rPr>
        <w:t xml:space="preserve"> tejto úrovne z národných zdrojov o </w:t>
      </w:r>
      <w:r w:rsidRPr="009A1FF2">
        <w:rPr>
          <w:rFonts w:ascii="Times New Roman" w:eastAsia="Times New Roman" w:hAnsi="Times New Roman" w:cs="Times New Roman"/>
          <w:b/>
          <w:color w:val="000000"/>
          <w:sz w:val="24"/>
          <w:szCs w:val="24"/>
          <w:lang w:eastAsia="sk-SK"/>
        </w:rPr>
        <w:t>23 mil. eur</w:t>
      </w:r>
      <w:r w:rsidRPr="009A1FF2">
        <w:rPr>
          <w:rFonts w:ascii="Times New Roman" w:eastAsia="Times New Roman" w:hAnsi="Times New Roman" w:cs="Times New Roman"/>
          <w:color w:val="000000"/>
          <w:sz w:val="24"/>
          <w:szCs w:val="24"/>
          <w:lang w:eastAsia="sk-SK"/>
        </w:rPr>
        <w:t xml:space="preserve">. </w:t>
      </w:r>
    </w:p>
    <w:p w14:paraId="77146E7B" w14:textId="77777777" w:rsidR="00653F4A" w:rsidRPr="003D5A3A" w:rsidRDefault="00653F4A" w:rsidP="00653F4A">
      <w:pPr>
        <w:spacing w:after="0"/>
        <w:rPr>
          <w:rFonts w:ascii="Times New Roman" w:hAnsi="Times New Roman" w:cs="Times New Roman"/>
          <w:color w:val="5B9BD5" w:themeColor="accent1"/>
          <w:sz w:val="24"/>
          <w:szCs w:val="24"/>
        </w:rPr>
      </w:pPr>
    </w:p>
    <w:p w14:paraId="65DF67F5" w14:textId="49C7F951" w:rsidR="009A1FF2" w:rsidRPr="003D5A3A" w:rsidRDefault="00653F4A" w:rsidP="009A1FF2">
      <w:pPr>
        <w:spacing w:after="0"/>
        <w:rPr>
          <w:rFonts w:ascii="Times New Roman" w:hAnsi="Times New Roman" w:cs="Times New Roman"/>
          <w:b/>
          <w:color w:val="5B9BD5" w:themeColor="accent1"/>
          <w:sz w:val="20"/>
          <w:szCs w:val="20"/>
        </w:rPr>
      </w:pPr>
      <w:bookmarkStart w:id="34" w:name="_Toc153013008"/>
      <w:r w:rsidRPr="003D5A3A">
        <w:rPr>
          <w:rFonts w:ascii="Times New Roman" w:hAnsi="Times New Roman" w:cs="Times New Roman"/>
          <w:b/>
          <w:color w:val="5B9BD5" w:themeColor="accent1"/>
          <w:sz w:val="20"/>
          <w:szCs w:val="20"/>
        </w:rPr>
        <w:t xml:space="preserve">Tabuľka </w:t>
      </w:r>
      <w:r w:rsidRPr="003D5A3A">
        <w:rPr>
          <w:rFonts w:ascii="Times New Roman" w:hAnsi="Times New Roman" w:cs="Times New Roman"/>
          <w:b/>
          <w:color w:val="5B9BD5" w:themeColor="accent1"/>
          <w:sz w:val="20"/>
          <w:szCs w:val="20"/>
        </w:rPr>
        <w:fldChar w:fldCharType="begin"/>
      </w:r>
      <w:r w:rsidRPr="003D5A3A">
        <w:rPr>
          <w:rFonts w:ascii="Times New Roman" w:hAnsi="Times New Roman" w:cs="Times New Roman"/>
          <w:b/>
          <w:color w:val="5B9BD5" w:themeColor="accent1"/>
          <w:sz w:val="20"/>
          <w:szCs w:val="20"/>
        </w:rPr>
        <w:instrText xml:space="preserve"> SEQ Tabuľka \* ARABIC </w:instrText>
      </w:r>
      <w:r w:rsidRPr="003D5A3A">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10</w:t>
      </w:r>
      <w:r w:rsidRPr="003D5A3A">
        <w:rPr>
          <w:rFonts w:ascii="Times New Roman" w:hAnsi="Times New Roman" w:cs="Times New Roman"/>
          <w:b/>
          <w:color w:val="5B9BD5" w:themeColor="accent1"/>
          <w:sz w:val="20"/>
          <w:szCs w:val="20"/>
        </w:rPr>
        <w:fldChar w:fldCharType="end"/>
      </w:r>
      <w:r w:rsidRPr="003D5A3A">
        <w:rPr>
          <w:rFonts w:ascii="Times New Roman" w:hAnsi="Times New Roman" w:cs="Times New Roman"/>
          <w:b/>
          <w:color w:val="5B9BD5" w:themeColor="accent1"/>
          <w:sz w:val="20"/>
          <w:szCs w:val="20"/>
        </w:rPr>
        <w:t xml:space="preserve"> – Výdavky vyvolané vojnou na Ukrajine</w:t>
      </w:r>
      <w:bookmarkEnd w:id="34"/>
      <w:r w:rsidRPr="003D5A3A">
        <w:rPr>
          <w:rFonts w:ascii="Times New Roman" w:hAnsi="Times New Roman" w:cs="Times New Roman"/>
          <w:i/>
          <w:color w:val="5B9BD5" w:themeColor="accent1"/>
          <w:sz w:val="16"/>
          <w:szCs w:val="16"/>
        </w:rPr>
        <w:t xml:space="preserve"> </w:t>
      </w:r>
    </w:p>
    <w:tbl>
      <w:tblPr>
        <w:tblW w:w="5000" w:type="pct"/>
        <w:jc w:val="center"/>
        <w:tblCellMar>
          <w:left w:w="70" w:type="dxa"/>
          <w:right w:w="70" w:type="dxa"/>
        </w:tblCellMar>
        <w:tblLook w:val="04A0" w:firstRow="1" w:lastRow="0" w:firstColumn="1" w:lastColumn="0" w:noHBand="0" w:noVBand="1"/>
      </w:tblPr>
      <w:tblGrid>
        <w:gridCol w:w="7689"/>
        <w:gridCol w:w="1383"/>
      </w:tblGrid>
      <w:tr w:rsidR="009A1FF2" w:rsidRPr="009A1FF2" w14:paraId="2CAD6459" w14:textId="77777777" w:rsidTr="00CA70F5">
        <w:trPr>
          <w:trHeight w:val="255"/>
          <w:jc w:val="center"/>
        </w:trPr>
        <w:tc>
          <w:tcPr>
            <w:tcW w:w="4238" w:type="pct"/>
            <w:tcBorders>
              <w:top w:val="single" w:sz="4" w:space="0" w:color="auto"/>
              <w:left w:val="nil"/>
              <w:bottom w:val="single" w:sz="4" w:space="0" w:color="auto"/>
              <w:right w:val="nil"/>
            </w:tcBorders>
            <w:shd w:val="clear" w:color="auto" w:fill="auto"/>
            <w:vAlign w:val="center"/>
            <w:hideMark/>
          </w:tcPr>
          <w:p w14:paraId="46A404D6" w14:textId="77777777" w:rsidR="009A1FF2" w:rsidRPr="009A1FF2" w:rsidRDefault="009A1FF2" w:rsidP="009A1FF2">
            <w:pPr>
              <w:spacing w:after="0" w:line="240" w:lineRule="auto"/>
              <w:rPr>
                <w:rFonts w:ascii="Times New Roman" w:eastAsia="Times New Roman" w:hAnsi="Times New Roman" w:cs="Times New Roman"/>
                <w:color w:val="000000"/>
                <w:sz w:val="18"/>
                <w:szCs w:val="18"/>
                <w:lang w:eastAsia="sk-SK"/>
              </w:rPr>
            </w:pPr>
            <w:r w:rsidRPr="009A1FF2">
              <w:rPr>
                <w:rFonts w:ascii="Times New Roman" w:eastAsia="Times New Roman" w:hAnsi="Times New Roman" w:cs="Times New Roman"/>
                <w:b/>
                <w:bCs/>
                <w:color w:val="000000"/>
                <w:sz w:val="18"/>
                <w:szCs w:val="18"/>
                <w:lang w:eastAsia="sk-SK"/>
              </w:rPr>
              <w:t>Výdavky vyvolané vojnou na Ukrajine</w:t>
            </w:r>
            <w:r w:rsidRPr="009A1FF2">
              <w:rPr>
                <w:rFonts w:ascii="Times New Roman" w:eastAsia="Times New Roman" w:hAnsi="Times New Roman" w:cs="Times New Roman"/>
                <w:color w:val="000000"/>
                <w:sz w:val="18"/>
                <w:szCs w:val="18"/>
                <w:lang w:eastAsia="sk-SK"/>
              </w:rPr>
              <w:br/>
              <w:t>(v mil. eur; na akruálnej báze)</w:t>
            </w:r>
          </w:p>
        </w:tc>
        <w:tc>
          <w:tcPr>
            <w:tcW w:w="762" w:type="pct"/>
            <w:tcBorders>
              <w:top w:val="single" w:sz="4" w:space="0" w:color="auto"/>
              <w:left w:val="nil"/>
              <w:bottom w:val="single" w:sz="4" w:space="0" w:color="auto"/>
              <w:right w:val="nil"/>
            </w:tcBorders>
            <w:shd w:val="clear" w:color="auto" w:fill="auto"/>
            <w:noWrap/>
            <w:vAlign w:val="center"/>
            <w:hideMark/>
          </w:tcPr>
          <w:p w14:paraId="1D5A4FA0" w14:textId="77777777" w:rsidR="009A1FF2" w:rsidRPr="009A1FF2" w:rsidRDefault="009A1FF2" w:rsidP="009A1FF2">
            <w:pPr>
              <w:spacing w:after="0" w:line="240" w:lineRule="auto"/>
              <w:jc w:val="right"/>
              <w:rPr>
                <w:rFonts w:ascii="Times New Roman" w:eastAsia="Times New Roman" w:hAnsi="Times New Roman" w:cs="Times New Roman"/>
                <w:b/>
                <w:bCs/>
                <w:color w:val="000000"/>
                <w:sz w:val="18"/>
                <w:szCs w:val="18"/>
                <w:lang w:eastAsia="sk-SK"/>
              </w:rPr>
            </w:pPr>
            <w:r w:rsidRPr="009A1FF2">
              <w:rPr>
                <w:rFonts w:ascii="Times New Roman" w:eastAsia="Times New Roman" w:hAnsi="Times New Roman" w:cs="Times New Roman"/>
                <w:b/>
                <w:bCs/>
                <w:color w:val="000000"/>
                <w:sz w:val="18"/>
                <w:szCs w:val="18"/>
                <w:lang w:eastAsia="sk-SK"/>
              </w:rPr>
              <w:t>-23</w:t>
            </w:r>
          </w:p>
        </w:tc>
      </w:tr>
      <w:tr w:rsidR="009A1FF2" w:rsidRPr="009A1FF2" w14:paraId="24DE18C0" w14:textId="77777777" w:rsidTr="00CA70F5">
        <w:trPr>
          <w:trHeight w:val="255"/>
          <w:jc w:val="center"/>
        </w:trPr>
        <w:tc>
          <w:tcPr>
            <w:tcW w:w="4238" w:type="pct"/>
            <w:tcBorders>
              <w:top w:val="nil"/>
              <w:left w:val="nil"/>
              <w:bottom w:val="nil"/>
              <w:right w:val="nil"/>
            </w:tcBorders>
            <w:shd w:val="clear" w:color="auto" w:fill="auto"/>
            <w:noWrap/>
            <w:vAlign w:val="center"/>
            <w:hideMark/>
          </w:tcPr>
          <w:p w14:paraId="12EF7F27" w14:textId="77777777" w:rsidR="009A1FF2" w:rsidRPr="009A1FF2" w:rsidRDefault="009A1FF2" w:rsidP="009A1FF2">
            <w:pPr>
              <w:spacing w:after="0" w:line="240" w:lineRule="auto"/>
              <w:rPr>
                <w:rFonts w:ascii="Times New Roman" w:eastAsia="Times New Roman" w:hAnsi="Times New Roman" w:cs="Times New Roman"/>
                <w:color w:val="000000"/>
                <w:sz w:val="18"/>
                <w:szCs w:val="18"/>
                <w:lang w:eastAsia="sk-SK"/>
              </w:rPr>
            </w:pPr>
            <w:r w:rsidRPr="009A1FF2">
              <w:rPr>
                <w:rFonts w:ascii="Times New Roman" w:eastAsia="Times New Roman" w:hAnsi="Times New Roman" w:cs="Times New Roman"/>
                <w:color w:val="000000"/>
                <w:sz w:val="18"/>
                <w:szCs w:val="18"/>
                <w:lang w:eastAsia="sk-SK"/>
              </w:rPr>
              <w:t>Rezerva na výdavky vyvolané vojnou na Ukrajine</w:t>
            </w:r>
          </w:p>
        </w:tc>
        <w:tc>
          <w:tcPr>
            <w:tcW w:w="762" w:type="pct"/>
            <w:tcBorders>
              <w:top w:val="nil"/>
              <w:left w:val="nil"/>
              <w:bottom w:val="nil"/>
              <w:right w:val="nil"/>
            </w:tcBorders>
            <w:shd w:val="clear" w:color="auto" w:fill="auto"/>
            <w:noWrap/>
            <w:vAlign w:val="center"/>
            <w:hideMark/>
          </w:tcPr>
          <w:p w14:paraId="08EDC653" w14:textId="77777777" w:rsidR="009A1FF2" w:rsidRPr="009A1FF2" w:rsidRDefault="009A1FF2" w:rsidP="009A1FF2">
            <w:pPr>
              <w:spacing w:after="0" w:line="240" w:lineRule="auto"/>
              <w:jc w:val="right"/>
              <w:rPr>
                <w:rFonts w:ascii="Times New Roman" w:eastAsia="Times New Roman" w:hAnsi="Times New Roman" w:cs="Times New Roman"/>
                <w:color w:val="000000"/>
                <w:sz w:val="18"/>
                <w:szCs w:val="18"/>
                <w:lang w:eastAsia="sk-SK"/>
              </w:rPr>
            </w:pPr>
            <w:r w:rsidRPr="009A1FF2">
              <w:rPr>
                <w:rFonts w:ascii="Times New Roman" w:eastAsia="Times New Roman" w:hAnsi="Times New Roman" w:cs="Times New Roman"/>
                <w:color w:val="000000"/>
                <w:sz w:val="18"/>
                <w:szCs w:val="18"/>
                <w:lang w:eastAsia="sk-SK"/>
              </w:rPr>
              <w:t>100</w:t>
            </w:r>
          </w:p>
        </w:tc>
      </w:tr>
      <w:tr w:rsidR="009A1FF2" w:rsidRPr="009A1FF2" w14:paraId="594E1F02" w14:textId="77777777" w:rsidTr="00CA70F5">
        <w:trPr>
          <w:trHeight w:val="255"/>
          <w:jc w:val="center"/>
        </w:trPr>
        <w:tc>
          <w:tcPr>
            <w:tcW w:w="4238" w:type="pct"/>
            <w:tcBorders>
              <w:top w:val="nil"/>
              <w:left w:val="nil"/>
              <w:bottom w:val="nil"/>
              <w:right w:val="nil"/>
            </w:tcBorders>
            <w:shd w:val="clear" w:color="auto" w:fill="auto"/>
            <w:noWrap/>
            <w:vAlign w:val="center"/>
            <w:hideMark/>
          </w:tcPr>
          <w:p w14:paraId="776832DF" w14:textId="77777777" w:rsidR="009A1FF2" w:rsidRPr="009A1FF2" w:rsidRDefault="009A1FF2" w:rsidP="009A1FF2">
            <w:pPr>
              <w:spacing w:after="0" w:line="240" w:lineRule="auto"/>
              <w:rPr>
                <w:rFonts w:ascii="Times New Roman" w:eastAsia="Times New Roman" w:hAnsi="Times New Roman" w:cs="Times New Roman"/>
                <w:color w:val="000000"/>
                <w:sz w:val="18"/>
                <w:szCs w:val="18"/>
                <w:lang w:eastAsia="sk-SK"/>
              </w:rPr>
            </w:pPr>
            <w:r w:rsidRPr="009A1FF2">
              <w:rPr>
                <w:rFonts w:ascii="Times New Roman" w:eastAsia="Times New Roman" w:hAnsi="Times New Roman" w:cs="Times New Roman"/>
                <w:color w:val="000000"/>
                <w:sz w:val="18"/>
                <w:szCs w:val="18"/>
                <w:lang w:eastAsia="sk-SK"/>
              </w:rPr>
              <w:t>Príspevok za ubytovanie odídencov</w:t>
            </w:r>
          </w:p>
        </w:tc>
        <w:tc>
          <w:tcPr>
            <w:tcW w:w="762" w:type="pct"/>
            <w:tcBorders>
              <w:top w:val="nil"/>
              <w:left w:val="nil"/>
              <w:bottom w:val="nil"/>
              <w:right w:val="nil"/>
            </w:tcBorders>
            <w:shd w:val="clear" w:color="auto" w:fill="auto"/>
            <w:noWrap/>
            <w:vAlign w:val="center"/>
            <w:hideMark/>
          </w:tcPr>
          <w:p w14:paraId="73748CE5" w14:textId="77777777" w:rsidR="009A1FF2" w:rsidRPr="009A1FF2" w:rsidRDefault="009A1FF2" w:rsidP="009A1FF2">
            <w:pPr>
              <w:spacing w:after="0" w:line="240" w:lineRule="auto"/>
              <w:jc w:val="right"/>
              <w:rPr>
                <w:rFonts w:ascii="Times New Roman" w:eastAsia="Times New Roman" w:hAnsi="Times New Roman" w:cs="Times New Roman"/>
                <w:color w:val="000000"/>
                <w:sz w:val="18"/>
                <w:szCs w:val="18"/>
                <w:lang w:eastAsia="sk-SK"/>
              </w:rPr>
            </w:pPr>
            <w:r w:rsidRPr="009A1FF2">
              <w:rPr>
                <w:rFonts w:ascii="Times New Roman" w:eastAsia="Times New Roman" w:hAnsi="Times New Roman" w:cs="Times New Roman"/>
                <w:color w:val="000000"/>
                <w:sz w:val="18"/>
                <w:szCs w:val="18"/>
                <w:lang w:eastAsia="sk-SK"/>
              </w:rPr>
              <w:t>-69</w:t>
            </w:r>
          </w:p>
        </w:tc>
      </w:tr>
      <w:tr w:rsidR="009A1FF2" w:rsidRPr="009A1FF2" w14:paraId="43744988" w14:textId="77777777" w:rsidTr="00CA70F5">
        <w:trPr>
          <w:trHeight w:val="255"/>
          <w:jc w:val="center"/>
        </w:trPr>
        <w:tc>
          <w:tcPr>
            <w:tcW w:w="4238" w:type="pct"/>
            <w:tcBorders>
              <w:top w:val="nil"/>
              <w:left w:val="nil"/>
              <w:bottom w:val="nil"/>
              <w:right w:val="nil"/>
            </w:tcBorders>
            <w:shd w:val="clear" w:color="auto" w:fill="auto"/>
            <w:noWrap/>
            <w:vAlign w:val="center"/>
            <w:hideMark/>
          </w:tcPr>
          <w:p w14:paraId="25086645" w14:textId="77777777" w:rsidR="009A1FF2" w:rsidRPr="009A1FF2" w:rsidRDefault="009A1FF2" w:rsidP="009A1FF2">
            <w:pPr>
              <w:spacing w:after="0" w:line="240" w:lineRule="auto"/>
              <w:rPr>
                <w:rFonts w:ascii="Times New Roman" w:eastAsia="Times New Roman" w:hAnsi="Times New Roman" w:cs="Times New Roman"/>
                <w:color w:val="000000"/>
                <w:sz w:val="18"/>
                <w:szCs w:val="18"/>
                <w:lang w:eastAsia="sk-SK"/>
              </w:rPr>
            </w:pPr>
            <w:r w:rsidRPr="009A1FF2">
              <w:rPr>
                <w:rFonts w:ascii="Times New Roman" w:eastAsia="Times New Roman" w:hAnsi="Times New Roman" w:cs="Times New Roman"/>
                <w:color w:val="000000"/>
                <w:sz w:val="18"/>
                <w:szCs w:val="18"/>
                <w:lang w:eastAsia="sk-SK"/>
              </w:rPr>
              <w:t>Úhrada zdravotnej starostlivosti za osoby, ktoré nie sú verejne zdravotne poistené</w:t>
            </w:r>
          </w:p>
        </w:tc>
        <w:tc>
          <w:tcPr>
            <w:tcW w:w="762" w:type="pct"/>
            <w:tcBorders>
              <w:top w:val="nil"/>
              <w:left w:val="nil"/>
              <w:bottom w:val="nil"/>
              <w:right w:val="nil"/>
            </w:tcBorders>
            <w:shd w:val="clear" w:color="auto" w:fill="auto"/>
            <w:noWrap/>
            <w:vAlign w:val="center"/>
            <w:hideMark/>
          </w:tcPr>
          <w:p w14:paraId="4E48370A" w14:textId="77777777" w:rsidR="009A1FF2" w:rsidRPr="009A1FF2" w:rsidRDefault="009A1FF2" w:rsidP="009A1FF2">
            <w:pPr>
              <w:spacing w:after="0" w:line="240" w:lineRule="auto"/>
              <w:jc w:val="right"/>
              <w:rPr>
                <w:rFonts w:ascii="Times New Roman" w:eastAsia="Times New Roman" w:hAnsi="Times New Roman" w:cs="Times New Roman"/>
                <w:color w:val="000000"/>
                <w:sz w:val="18"/>
                <w:szCs w:val="18"/>
                <w:lang w:eastAsia="sk-SK"/>
              </w:rPr>
            </w:pPr>
            <w:r w:rsidRPr="009A1FF2">
              <w:rPr>
                <w:rFonts w:ascii="Times New Roman" w:eastAsia="Times New Roman" w:hAnsi="Times New Roman" w:cs="Times New Roman"/>
                <w:color w:val="000000"/>
                <w:sz w:val="18"/>
                <w:szCs w:val="18"/>
                <w:lang w:eastAsia="sk-SK"/>
              </w:rPr>
              <w:t>-10</w:t>
            </w:r>
          </w:p>
        </w:tc>
      </w:tr>
      <w:tr w:rsidR="009A1FF2" w:rsidRPr="009A1FF2" w14:paraId="73A6AC5B" w14:textId="77777777" w:rsidTr="00CA70F5">
        <w:trPr>
          <w:trHeight w:val="255"/>
          <w:jc w:val="center"/>
        </w:trPr>
        <w:tc>
          <w:tcPr>
            <w:tcW w:w="4238" w:type="pct"/>
            <w:tcBorders>
              <w:top w:val="nil"/>
              <w:left w:val="nil"/>
              <w:bottom w:val="nil"/>
              <w:right w:val="nil"/>
            </w:tcBorders>
            <w:shd w:val="clear" w:color="auto" w:fill="auto"/>
            <w:noWrap/>
            <w:vAlign w:val="center"/>
            <w:hideMark/>
          </w:tcPr>
          <w:p w14:paraId="5F35CA82" w14:textId="26FB1C81" w:rsidR="009A1FF2" w:rsidRPr="009A1FF2" w:rsidRDefault="009A1FF2" w:rsidP="009A1FF2">
            <w:pPr>
              <w:spacing w:after="0" w:line="240" w:lineRule="auto"/>
              <w:rPr>
                <w:rFonts w:ascii="Times New Roman" w:eastAsia="Times New Roman" w:hAnsi="Times New Roman" w:cs="Times New Roman"/>
                <w:color w:val="000000"/>
                <w:sz w:val="18"/>
                <w:szCs w:val="18"/>
                <w:lang w:eastAsia="sk-SK"/>
              </w:rPr>
            </w:pPr>
            <w:r w:rsidRPr="009A1FF2">
              <w:rPr>
                <w:rFonts w:ascii="Times New Roman" w:eastAsia="Times New Roman" w:hAnsi="Times New Roman" w:cs="Times New Roman"/>
                <w:color w:val="000000"/>
                <w:sz w:val="18"/>
                <w:szCs w:val="18"/>
                <w:lang w:eastAsia="sk-SK"/>
              </w:rPr>
              <w:t>Podpora začlenenia detí, žiakov a študentov z</w:t>
            </w:r>
            <w:r w:rsidR="005F2C35">
              <w:rPr>
                <w:rFonts w:ascii="Times New Roman" w:eastAsia="Times New Roman" w:hAnsi="Times New Roman" w:cs="Times New Roman"/>
                <w:color w:val="000000"/>
                <w:sz w:val="18"/>
                <w:szCs w:val="18"/>
                <w:lang w:eastAsia="sk-SK"/>
              </w:rPr>
              <w:t> </w:t>
            </w:r>
            <w:r w:rsidRPr="009A1FF2">
              <w:rPr>
                <w:rFonts w:ascii="Times New Roman" w:eastAsia="Times New Roman" w:hAnsi="Times New Roman" w:cs="Times New Roman"/>
                <w:color w:val="000000"/>
                <w:sz w:val="18"/>
                <w:szCs w:val="18"/>
                <w:lang w:eastAsia="sk-SK"/>
              </w:rPr>
              <w:t>Ukrajiny</w:t>
            </w:r>
          </w:p>
        </w:tc>
        <w:tc>
          <w:tcPr>
            <w:tcW w:w="762" w:type="pct"/>
            <w:tcBorders>
              <w:top w:val="nil"/>
              <w:left w:val="nil"/>
              <w:bottom w:val="nil"/>
              <w:right w:val="nil"/>
            </w:tcBorders>
            <w:shd w:val="clear" w:color="auto" w:fill="auto"/>
            <w:noWrap/>
            <w:vAlign w:val="center"/>
            <w:hideMark/>
          </w:tcPr>
          <w:p w14:paraId="2DA6D0D8" w14:textId="77777777" w:rsidR="009A1FF2" w:rsidRPr="009A1FF2" w:rsidRDefault="009A1FF2" w:rsidP="009A1FF2">
            <w:pPr>
              <w:spacing w:after="0" w:line="240" w:lineRule="auto"/>
              <w:jc w:val="right"/>
              <w:rPr>
                <w:rFonts w:ascii="Times New Roman" w:eastAsia="Times New Roman" w:hAnsi="Times New Roman" w:cs="Times New Roman"/>
                <w:color w:val="000000"/>
                <w:sz w:val="18"/>
                <w:szCs w:val="18"/>
                <w:lang w:eastAsia="sk-SK"/>
              </w:rPr>
            </w:pPr>
            <w:r w:rsidRPr="009A1FF2">
              <w:rPr>
                <w:rFonts w:ascii="Times New Roman" w:eastAsia="Times New Roman" w:hAnsi="Times New Roman" w:cs="Times New Roman"/>
                <w:color w:val="000000"/>
                <w:sz w:val="18"/>
                <w:szCs w:val="18"/>
                <w:lang w:eastAsia="sk-SK"/>
              </w:rPr>
              <w:t>-8</w:t>
            </w:r>
          </w:p>
        </w:tc>
      </w:tr>
      <w:tr w:rsidR="009A1FF2" w:rsidRPr="009A1FF2" w14:paraId="63DBE161" w14:textId="77777777" w:rsidTr="00CA70F5">
        <w:trPr>
          <w:trHeight w:val="255"/>
          <w:jc w:val="center"/>
        </w:trPr>
        <w:tc>
          <w:tcPr>
            <w:tcW w:w="4238" w:type="pct"/>
            <w:tcBorders>
              <w:top w:val="nil"/>
              <w:left w:val="nil"/>
              <w:bottom w:val="nil"/>
              <w:right w:val="nil"/>
            </w:tcBorders>
            <w:shd w:val="clear" w:color="auto" w:fill="auto"/>
            <w:noWrap/>
            <w:vAlign w:val="center"/>
            <w:hideMark/>
          </w:tcPr>
          <w:p w14:paraId="5C2F209C" w14:textId="77777777" w:rsidR="009A1FF2" w:rsidRPr="009A1FF2" w:rsidRDefault="009A1FF2" w:rsidP="009A1FF2">
            <w:pPr>
              <w:spacing w:after="0" w:line="240" w:lineRule="auto"/>
              <w:rPr>
                <w:rFonts w:ascii="Times New Roman" w:eastAsia="Times New Roman" w:hAnsi="Times New Roman" w:cs="Times New Roman"/>
                <w:color w:val="000000"/>
                <w:sz w:val="18"/>
                <w:szCs w:val="18"/>
                <w:lang w:eastAsia="sk-SK"/>
              </w:rPr>
            </w:pPr>
            <w:r w:rsidRPr="009A1FF2">
              <w:rPr>
                <w:rFonts w:ascii="Times New Roman" w:eastAsia="Times New Roman" w:hAnsi="Times New Roman" w:cs="Times New Roman"/>
                <w:color w:val="000000"/>
                <w:sz w:val="18"/>
                <w:szCs w:val="18"/>
                <w:lang w:eastAsia="sk-SK"/>
              </w:rPr>
              <w:t>Výdavky civilnej ochrany a výkonom záchranných prác</w:t>
            </w:r>
          </w:p>
        </w:tc>
        <w:tc>
          <w:tcPr>
            <w:tcW w:w="762" w:type="pct"/>
            <w:tcBorders>
              <w:top w:val="nil"/>
              <w:left w:val="nil"/>
              <w:bottom w:val="nil"/>
              <w:right w:val="nil"/>
            </w:tcBorders>
            <w:shd w:val="clear" w:color="auto" w:fill="auto"/>
            <w:noWrap/>
            <w:vAlign w:val="center"/>
            <w:hideMark/>
          </w:tcPr>
          <w:p w14:paraId="1702DCC3" w14:textId="77777777" w:rsidR="009A1FF2" w:rsidRPr="009A1FF2" w:rsidRDefault="009A1FF2" w:rsidP="009A1FF2">
            <w:pPr>
              <w:spacing w:after="0" w:line="240" w:lineRule="auto"/>
              <w:jc w:val="right"/>
              <w:rPr>
                <w:rFonts w:ascii="Times New Roman" w:eastAsia="Times New Roman" w:hAnsi="Times New Roman" w:cs="Times New Roman"/>
                <w:color w:val="000000"/>
                <w:sz w:val="18"/>
                <w:szCs w:val="18"/>
                <w:lang w:eastAsia="sk-SK"/>
              </w:rPr>
            </w:pPr>
            <w:r w:rsidRPr="009A1FF2">
              <w:rPr>
                <w:rFonts w:ascii="Times New Roman" w:eastAsia="Times New Roman" w:hAnsi="Times New Roman" w:cs="Times New Roman"/>
                <w:color w:val="000000"/>
                <w:sz w:val="18"/>
                <w:szCs w:val="18"/>
                <w:lang w:eastAsia="sk-SK"/>
              </w:rPr>
              <w:t>-7</w:t>
            </w:r>
          </w:p>
        </w:tc>
      </w:tr>
      <w:tr w:rsidR="009A1FF2" w:rsidRPr="009A1FF2" w14:paraId="304CA5B8" w14:textId="77777777" w:rsidTr="00CA70F5">
        <w:trPr>
          <w:trHeight w:val="255"/>
          <w:jc w:val="center"/>
        </w:trPr>
        <w:tc>
          <w:tcPr>
            <w:tcW w:w="4238" w:type="pct"/>
            <w:tcBorders>
              <w:top w:val="nil"/>
              <w:left w:val="nil"/>
              <w:bottom w:val="nil"/>
              <w:right w:val="nil"/>
            </w:tcBorders>
            <w:shd w:val="clear" w:color="auto" w:fill="auto"/>
            <w:noWrap/>
            <w:vAlign w:val="center"/>
            <w:hideMark/>
          </w:tcPr>
          <w:p w14:paraId="05623D74" w14:textId="77777777" w:rsidR="009A1FF2" w:rsidRPr="009A1FF2" w:rsidRDefault="009A1FF2" w:rsidP="009A1FF2">
            <w:pPr>
              <w:spacing w:after="0" w:line="240" w:lineRule="auto"/>
              <w:rPr>
                <w:rFonts w:ascii="Times New Roman" w:eastAsia="Times New Roman" w:hAnsi="Times New Roman" w:cs="Times New Roman"/>
                <w:color w:val="000000"/>
                <w:sz w:val="18"/>
                <w:szCs w:val="18"/>
                <w:lang w:eastAsia="sk-SK"/>
              </w:rPr>
            </w:pPr>
            <w:r w:rsidRPr="009A1FF2">
              <w:rPr>
                <w:rFonts w:ascii="Times New Roman" w:eastAsia="Times New Roman" w:hAnsi="Times New Roman" w:cs="Times New Roman"/>
                <w:color w:val="000000"/>
                <w:sz w:val="18"/>
                <w:szCs w:val="18"/>
                <w:lang w:eastAsia="sk-SK"/>
              </w:rPr>
              <w:t>Dávky v hmotnej núdzi, dotácie na stravu pre dieťa, na školské potreby a pod.</w:t>
            </w:r>
          </w:p>
        </w:tc>
        <w:tc>
          <w:tcPr>
            <w:tcW w:w="762" w:type="pct"/>
            <w:tcBorders>
              <w:top w:val="nil"/>
              <w:left w:val="nil"/>
              <w:bottom w:val="nil"/>
              <w:right w:val="nil"/>
            </w:tcBorders>
            <w:shd w:val="clear" w:color="auto" w:fill="auto"/>
            <w:noWrap/>
            <w:vAlign w:val="center"/>
            <w:hideMark/>
          </w:tcPr>
          <w:p w14:paraId="24DC3E3E" w14:textId="77777777" w:rsidR="009A1FF2" w:rsidRPr="009A1FF2" w:rsidRDefault="009A1FF2" w:rsidP="009A1FF2">
            <w:pPr>
              <w:spacing w:after="0" w:line="240" w:lineRule="auto"/>
              <w:jc w:val="right"/>
              <w:rPr>
                <w:rFonts w:ascii="Times New Roman" w:eastAsia="Times New Roman" w:hAnsi="Times New Roman" w:cs="Times New Roman"/>
                <w:color w:val="000000"/>
                <w:sz w:val="18"/>
                <w:szCs w:val="18"/>
                <w:lang w:eastAsia="sk-SK"/>
              </w:rPr>
            </w:pPr>
            <w:r w:rsidRPr="009A1FF2">
              <w:rPr>
                <w:rFonts w:ascii="Times New Roman" w:eastAsia="Times New Roman" w:hAnsi="Times New Roman" w:cs="Times New Roman"/>
                <w:color w:val="000000"/>
                <w:sz w:val="18"/>
                <w:szCs w:val="18"/>
                <w:lang w:eastAsia="sk-SK"/>
              </w:rPr>
              <w:t>-6</w:t>
            </w:r>
          </w:p>
        </w:tc>
      </w:tr>
      <w:tr w:rsidR="009A1FF2" w:rsidRPr="009A1FF2" w14:paraId="26F0CAD9" w14:textId="77777777" w:rsidTr="00E07023">
        <w:trPr>
          <w:trHeight w:val="255"/>
          <w:jc w:val="center"/>
        </w:trPr>
        <w:tc>
          <w:tcPr>
            <w:tcW w:w="4238" w:type="pct"/>
            <w:tcBorders>
              <w:top w:val="nil"/>
              <w:left w:val="nil"/>
              <w:right w:val="nil"/>
            </w:tcBorders>
            <w:shd w:val="clear" w:color="auto" w:fill="auto"/>
            <w:noWrap/>
            <w:vAlign w:val="center"/>
            <w:hideMark/>
          </w:tcPr>
          <w:p w14:paraId="077E4B7B" w14:textId="77777777" w:rsidR="009A1FF2" w:rsidRPr="009A1FF2" w:rsidRDefault="009A1FF2" w:rsidP="009A1FF2">
            <w:pPr>
              <w:spacing w:after="0" w:line="240" w:lineRule="auto"/>
              <w:rPr>
                <w:rFonts w:ascii="Times New Roman" w:eastAsia="Times New Roman" w:hAnsi="Times New Roman" w:cs="Times New Roman"/>
                <w:color w:val="000000"/>
                <w:sz w:val="18"/>
                <w:szCs w:val="18"/>
                <w:lang w:eastAsia="sk-SK"/>
              </w:rPr>
            </w:pPr>
            <w:r w:rsidRPr="009A1FF2">
              <w:rPr>
                <w:rFonts w:ascii="Times New Roman" w:eastAsia="Times New Roman" w:hAnsi="Times New Roman" w:cs="Times New Roman"/>
                <w:color w:val="000000"/>
                <w:sz w:val="18"/>
                <w:szCs w:val="18"/>
                <w:lang w:eastAsia="sk-SK"/>
              </w:rPr>
              <w:t>Kontingenčný plán SR pre riešenie mimoriadnej situácie; UZN č.665/2022</w:t>
            </w:r>
          </w:p>
        </w:tc>
        <w:tc>
          <w:tcPr>
            <w:tcW w:w="762" w:type="pct"/>
            <w:tcBorders>
              <w:top w:val="nil"/>
              <w:left w:val="nil"/>
              <w:right w:val="nil"/>
            </w:tcBorders>
            <w:shd w:val="clear" w:color="auto" w:fill="auto"/>
            <w:noWrap/>
            <w:vAlign w:val="center"/>
            <w:hideMark/>
          </w:tcPr>
          <w:p w14:paraId="132253AD" w14:textId="77777777" w:rsidR="009A1FF2" w:rsidRPr="009A1FF2" w:rsidRDefault="009A1FF2" w:rsidP="009A1FF2">
            <w:pPr>
              <w:spacing w:after="0" w:line="240" w:lineRule="auto"/>
              <w:jc w:val="right"/>
              <w:rPr>
                <w:rFonts w:ascii="Times New Roman" w:eastAsia="Times New Roman" w:hAnsi="Times New Roman" w:cs="Times New Roman"/>
                <w:color w:val="000000"/>
                <w:sz w:val="18"/>
                <w:szCs w:val="18"/>
                <w:lang w:eastAsia="sk-SK"/>
              </w:rPr>
            </w:pPr>
            <w:r w:rsidRPr="009A1FF2">
              <w:rPr>
                <w:rFonts w:ascii="Times New Roman" w:eastAsia="Times New Roman" w:hAnsi="Times New Roman" w:cs="Times New Roman"/>
                <w:color w:val="000000"/>
                <w:sz w:val="18"/>
                <w:szCs w:val="18"/>
                <w:lang w:eastAsia="sk-SK"/>
              </w:rPr>
              <w:t>-5</w:t>
            </w:r>
          </w:p>
        </w:tc>
      </w:tr>
      <w:tr w:rsidR="009A1FF2" w:rsidRPr="009A1FF2" w14:paraId="7D05B1BF" w14:textId="77777777" w:rsidTr="00E07023">
        <w:trPr>
          <w:trHeight w:val="255"/>
          <w:jc w:val="center"/>
        </w:trPr>
        <w:tc>
          <w:tcPr>
            <w:tcW w:w="4238" w:type="pct"/>
            <w:tcBorders>
              <w:top w:val="nil"/>
              <w:left w:val="nil"/>
              <w:bottom w:val="single" w:sz="4" w:space="0" w:color="auto"/>
              <w:right w:val="nil"/>
            </w:tcBorders>
            <w:shd w:val="clear" w:color="auto" w:fill="auto"/>
            <w:noWrap/>
            <w:vAlign w:val="center"/>
            <w:hideMark/>
          </w:tcPr>
          <w:p w14:paraId="7EA2A6BE" w14:textId="77777777" w:rsidR="009A1FF2" w:rsidRPr="009A1FF2" w:rsidRDefault="009A1FF2" w:rsidP="009A1FF2">
            <w:pPr>
              <w:spacing w:after="0" w:line="240" w:lineRule="auto"/>
              <w:rPr>
                <w:rFonts w:ascii="Times New Roman" w:eastAsia="Times New Roman" w:hAnsi="Times New Roman" w:cs="Times New Roman"/>
                <w:color w:val="000000"/>
                <w:sz w:val="18"/>
                <w:szCs w:val="18"/>
                <w:lang w:eastAsia="sk-SK"/>
              </w:rPr>
            </w:pPr>
            <w:r w:rsidRPr="009A1FF2">
              <w:rPr>
                <w:rFonts w:ascii="Times New Roman" w:eastAsia="Times New Roman" w:hAnsi="Times New Roman" w:cs="Times New Roman"/>
                <w:color w:val="000000"/>
                <w:sz w:val="18"/>
                <w:szCs w:val="18"/>
                <w:lang w:eastAsia="sk-SK"/>
              </w:rPr>
              <w:t>Ostatné</w:t>
            </w:r>
          </w:p>
        </w:tc>
        <w:tc>
          <w:tcPr>
            <w:tcW w:w="762" w:type="pct"/>
            <w:tcBorders>
              <w:top w:val="nil"/>
              <w:left w:val="nil"/>
              <w:bottom w:val="single" w:sz="4" w:space="0" w:color="auto"/>
              <w:right w:val="nil"/>
            </w:tcBorders>
            <w:shd w:val="clear" w:color="auto" w:fill="auto"/>
            <w:noWrap/>
            <w:vAlign w:val="center"/>
            <w:hideMark/>
          </w:tcPr>
          <w:p w14:paraId="40E3C4E7" w14:textId="77777777" w:rsidR="009A1FF2" w:rsidRPr="009A1FF2" w:rsidRDefault="009A1FF2" w:rsidP="009A1FF2">
            <w:pPr>
              <w:spacing w:after="0" w:line="240" w:lineRule="auto"/>
              <w:jc w:val="right"/>
              <w:rPr>
                <w:rFonts w:ascii="Times New Roman" w:eastAsia="Times New Roman" w:hAnsi="Times New Roman" w:cs="Times New Roman"/>
                <w:color w:val="000000"/>
                <w:sz w:val="18"/>
                <w:szCs w:val="18"/>
                <w:lang w:eastAsia="sk-SK"/>
              </w:rPr>
            </w:pPr>
            <w:r w:rsidRPr="009A1FF2">
              <w:rPr>
                <w:rFonts w:ascii="Times New Roman" w:eastAsia="Times New Roman" w:hAnsi="Times New Roman" w:cs="Times New Roman"/>
                <w:color w:val="000000"/>
                <w:sz w:val="18"/>
                <w:szCs w:val="18"/>
                <w:lang w:eastAsia="sk-SK"/>
              </w:rPr>
              <w:t>-18</w:t>
            </w:r>
          </w:p>
        </w:tc>
      </w:tr>
    </w:tbl>
    <w:p w14:paraId="14D5B99A" w14:textId="2E744CBC" w:rsidR="000608BE" w:rsidRPr="00B10329" w:rsidRDefault="00653F4A" w:rsidP="00B10329">
      <w:pPr>
        <w:ind w:left="7080" w:firstLine="708"/>
        <w:jc w:val="center"/>
        <w:rPr>
          <w:rFonts w:ascii="Times New Roman" w:hAnsi="Times New Roman" w:cs="Times New Roman"/>
          <w:i/>
          <w:sz w:val="16"/>
          <w:szCs w:val="16"/>
        </w:rPr>
      </w:pPr>
      <w:r w:rsidRPr="002E562F">
        <w:rPr>
          <w:rFonts w:ascii="Times New Roman" w:hAnsi="Times New Roman" w:cs="Times New Roman"/>
          <w:i/>
          <w:sz w:val="16"/>
          <w:szCs w:val="16"/>
        </w:rPr>
        <w:t xml:space="preserve">        Zdroj: MF SR</w:t>
      </w:r>
      <w:bookmarkStart w:id="35" w:name="_Toc53040756"/>
    </w:p>
    <w:p w14:paraId="663DF65A" w14:textId="77777777" w:rsidR="000C265D" w:rsidRPr="000C41B0" w:rsidRDefault="000C265D" w:rsidP="00BF1C14">
      <w:pPr>
        <w:pStyle w:val="Nadpis2"/>
        <w:tabs>
          <w:tab w:val="left" w:pos="426"/>
        </w:tabs>
        <w:spacing w:before="0" w:after="0"/>
        <w:rPr>
          <w:rFonts w:ascii="Times New Roman" w:hAnsi="Times New Roman"/>
          <w:b w:val="0"/>
          <w:i w:val="0"/>
          <w:color w:val="5B9BD5" w:themeColor="accent1"/>
          <w:sz w:val="24"/>
          <w:szCs w:val="24"/>
        </w:rPr>
      </w:pPr>
      <w:bookmarkStart w:id="36" w:name="_Toc152946758"/>
      <w:r w:rsidRPr="000C41B0">
        <w:rPr>
          <w:rFonts w:ascii="Times New Roman" w:hAnsi="Times New Roman"/>
          <w:i w:val="0"/>
          <w:color w:val="5B9BD5" w:themeColor="accent1"/>
          <w:sz w:val="24"/>
          <w:szCs w:val="24"/>
        </w:rPr>
        <w:lastRenderedPageBreak/>
        <w:t>2.2.</w:t>
      </w:r>
      <w:r w:rsidRPr="000C41B0">
        <w:rPr>
          <w:rFonts w:ascii="Times New Roman" w:hAnsi="Times New Roman"/>
          <w:i w:val="0"/>
          <w:color w:val="5B9BD5" w:themeColor="accent1"/>
          <w:sz w:val="24"/>
          <w:szCs w:val="24"/>
        </w:rPr>
        <w:tab/>
        <w:t>Rozpočtové ciele</w:t>
      </w:r>
      <w:bookmarkEnd w:id="35"/>
      <w:bookmarkEnd w:id="36"/>
    </w:p>
    <w:p w14:paraId="7220B761" w14:textId="77777777" w:rsidR="00006A2D" w:rsidRDefault="00006A2D" w:rsidP="00850281">
      <w:pPr>
        <w:spacing w:after="0" w:line="240" w:lineRule="auto"/>
        <w:jc w:val="both"/>
        <w:rPr>
          <w:rFonts w:ascii="Times New Roman" w:hAnsi="Times New Roman" w:cs="Times New Roman"/>
          <w:sz w:val="24"/>
          <w:szCs w:val="24"/>
        </w:rPr>
      </w:pPr>
    </w:p>
    <w:p w14:paraId="12059854" w14:textId="3959ACAD" w:rsidR="00D90B31" w:rsidRPr="00D90B31" w:rsidRDefault="00D90B31" w:rsidP="00D90B31">
      <w:pPr>
        <w:spacing w:after="0" w:line="240" w:lineRule="auto"/>
        <w:jc w:val="both"/>
        <w:rPr>
          <w:rFonts w:ascii="Times New Roman" w:eastAsia="Calibri" w:hAnsi="Times New Roman" w:cs="Times New Roman"/>
          <w:b/>
          <w:sz w:val="24"/>
          <w:szCs w:val="24"/>
        </w:rPr>
      </w:pPr>
      <w:r w:rsidRPr="00D90B31">
        <w:rPr>
          <w:rFonts w:ascii="Times New Roman" w:eastAsia="Calibri" w:hAnsi="Times New Roman" w:cs="Times New Roman"/>
          <w:b/>
          <w:sz w:val="24"/>
          <w:szCs w:val="24"/>
        </w:rPr>
        <w:t xml:space="preserve">V budúcom roku vláda v súlade so svojím programovým vyhlásením zníži deficit na 5,97 % HDP. </w:t>
      </w:r>
      <w:r w:rsidRPr="00D90B31">
        <w:rPr>
          <w:rFonts w:ascii="Times New Roman" w:eastAsia="Calibri" w:hAnsi="Times New Roman" w:cs="Times New Roman"/>
          <w:sz w:val="24"/>
          <w:szCs w:val="24"/>
        </w:rPr>
        <w:t>Nominálny schodok sa tak má znížiť o viac ako 0,5 % HDP z úrovne 6,52 % v tomto roku. K medziročnému poklesu schodku prispeje najmä zdanenie dočasných vys</w:t>
      </w:r>
      <w:r w:rsidR="00F540F4">
        <w:rPr>
          <w:rFonts w:ascii="Times New Roman" w:eastAsia="Calibri" w:hAnsi="Times New Roman" w:cs="Times New Roman"/>
          <w:sz w:val="24"/>
          <w:szCs w:val="24"/>
        </w:rPr>
        <w:t>okých ziskov v bankovom sektore</w:t>
      </w:r>
      <w:r w:rsidRPr="00D90B31">
        <w:rPr>
          <w:rFonts w:ascii="Times New Roman" w:eastAsia="Calibri" w:hAnsi="Times New Roman" w:cs="Times New Roman"/>
          <w:sz w:val="24"/>
          <w:szCs w:val="24"/>
        </w:rPr>
        <w:t xml:space="preserve">, predĺženie platnosti solidárneho príspevku v odvetví </w:t>
      </w:r>
      <w:proofErr w:type="spellStart"/>
      <w:r w:rsidRPr="00D90B31">
        <w:rPr>
          <w:rFonts w:ascii="Times New Roman" w:eastAsia="Calibri" w:hAnsi="Times New Roman" w:cs="Times New Roman"/>
          <w:sz w:val="24"/>
          <w:szCs w:val="24"/>
        </w:rPr>
        <w:t>spracujúcom</w:t>
      </w:r>
      <w:proofErr w:type="spellEnd"/>
      <w:r w:rsidRPr="00D90B31">
        <w:rPr>
          <w:rFonts w:ascii="Times New Roman" w:eastAsia="Calibri" w:hAnsi="Times New Roman" w:cs="Times New Roman"/>
          <w:sz w:val="24"/>
          <w:szCs w:val="24"/>
        </w:rPr>
        <w:t xml:space="preserve"> ropu, zníženie odvodov do 2. dôchodkového piliera, zavedenie minimálnej a </w:t>
      </w:r>
      <w:proofErr w:type="spellStart"/>
      <w:r w:rsidRPr="00D90B31">
        <w:rPr>
          <w:rFonts w:ascii="Times New Roman" w:eastAsia="Calibri" w:hAnsi="Times New Roman" w:cs="Times New Roman"/>
          <w:sz w:val="24"/>
          <w:szCs w:val="24"/>
        </w:rPr>
        <w:t>dorovnávacej</w:t>
      </w:r>
      <w:proofErr w:type="spellEnd"/>
      <w:r w:rsidRPr="00D90B31">
        <w:rPr>
          <w:rFonts w:ascii="Times New Roman" w:eastAsia="Calibri" w:hAnsi="Times New Roman" w:cs="Times New Roman"/>
          <w:sz w:val="24"/>
          <w:szCs w:val="24"/>
        </w:rPr>
        <w:t xml:space="preserve"> dane pre právnické osoby, zvýšenie zdravotných odvodov</w:t>
      </w:r>
      <w:r w:rsidR="00F540F4">
        <w:rPr>
          <w:rFonts w:ascii="Times New Roman" w:eastAsia="Calibri" w:hAnsi="Times New Roman" w:cs="Times New Roman"/>
          <w:sz w:val="24"/>
          <w:szCs w:val="24"/>
        </w:rPr>
        <w:t xml:space="preserve">, </w:t>
      </w:r>
      <w:r w:rsidRPr="00D90B31">
        <w:rPr>
          <w:rFonts w:ascii="Times New Roman" w:eastAsia="Calibri" w:hAnsi="Times New Roman" w:cs="Times New Roman"/>
          <w:sz w:val="24"/>
          <w:szCs w:val="24"/>
        </w:rPr>
        <w:t xml:space="preserve">či zvýšenie daní z tabaku a liehu a iné (podrobnejšie v ďalších častiach materiálu). Konsolidačný balík v celkovom objeme 1,5 % HDP zároveň vytvára pri plánovanom znížení deficitu o viac ako 0,5 % HDP  rozpočtový priestor pre priority vlády. </w:t>
      </w:r>
    </w:p>
    <w:p w14:paraId="54762949" w14:textId="77777777" w:rsidR="00A3675F" w:rsidRPr="0063697C" w:rsidRDefault="00A3675F" w:rsidP="00A3675F">
      <w:pPr>
        <w:spacing w:after="0" w:line="240" w:lineRule="auto"/>
        <w:jc w:val="both"/>
        <w:rPr>
          <w:rFonts w:ascii="Times New Roman" w:hAnsi="Times New Roman" w:cs="Times New Roman"/>
          <w:sz w:val="24"/>
          <w:szCs w:val="24"/>
          <w:highlight w:val="yellow"/>
        </w:rPr>
      </w:pPr>
    </w:p>
    <w:p w14:paraId="541AB20E" w14:textId="6DECC29B" w:rsidR="00A3675F" w:rsidRPr="00A45001" w:rsidRDefault="00A3675F" w:rsidP="00A3675F">
      <w:pPr>
        <w:spacing w:after="0"/>
        <w:rPr>
          <w:rFonts w:ascii="Times New Roman" w:hAnsi="Times New Roman" w:cs="Times New Roman"/>
          <w:b/>
          <w:color w:val="5B9BD5" w:themeColor="accent1"/>
          <w:sz w:val="20"/>
          <w:szCs w:val="20"/>
        </w:rPr>
      </w:pPr>
      <w:bookmarkStart w:id="37" w:name="_Toc53080954"/>
      <w:bookmarkStart w:id="38" w:name="_Toc53086341"/>
      <w:bookmarkStart w:id="39" w:name="_Toc153013009"/>
      <w:r w:rsidRPr="00A45001">
        <w:rPr>
          <w:rFonts w:ascii="Times New Roman" w:hAnsi="Times New Roman" w:cs="Times New Roman"/>
          <w:b/>
          <w:color w:val="5B9BD5" w:themeColor="accent1"/>
          <w:sz w:val="20"/>
          <w:szCs w:val="20"/>
        </w:rPr>
        <w:t xml:space="preserve">Tabuľka </w:t>
      </w:r>
      <w:r w:rsidRPr="00A45001">
        <w:rPr>
          <w:rFonts w:ascii="Times New Roman" w:hAnsi="Times New Roman" w:cs="Times New Roman"/>
          <w:b/>
          <w:color w:val="5B9BD5" w:themeColor="accent1"/>
          <w:sz w:val="20"/>
          <w:szCs w:val="20"/>
        </w:rPr>
        <w:fldChar w:fldCharType="begin"/>
      </w:r>
      <w:r w:rsidRPr="00A45001">
        <w:rPr>
          <w:rFonts w:ascii="Times New Roman" w:hAnsi="Times New Roman" w:cs="Times New Roman"/>
          <w:b/>
          <w:color w:val="5B9BD5" w:themeColor="accent1"/>
          <w:sz w:val="20"/>
          <w:szCs w:val="20"/>
        </w:rPr>
        <w:instrText xml:space="preserve"> SEQ Tabuľka \* ARABIC </w:instrText>
      </w:r>
      <w:r w:rsidRPr="00A45001">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11</w:t>
      </w:r>
      <w:r w:rsidRPr="00A45001">
        <w:rPr>
          <w:rFonts w:ascii="Times New Roman" w:hAnsi="Times New Roman" w:cs="Times New Roman"/>
          <w:b/>
          <w:color w:val="5B9BD5" w:themeColor="accent1"/>
          <w:sz w:val="20"/>
          <w:szCs w:val="20"/>
        </w:rPr>
        <w:fldChar w:fldCharType="end"/>
      </w:r>
      <w:r w:rsidRPr="00A45001">
        <w:rPr>
          <w:rFonts w:ascii="Times New Roman" w:hAnsi="Times New Roman" w:cs="Times New Roman"/>
          <w:b/>
          <w:color w:val="5B9BD5" w:themeColor="accent1"/>
          <w:sz w:val="20"/>
          <w:szCs w:val="20"/>
        </w:rPr>
        <w:t xml:space="preserve"> - Rozpočtové ciele</w:t>
      </w:r>
      <w:bookmarkEnd w:id="37"/>
      <w:bookmarkEnd w:id="38"/>
      <w:bookmarkEnd w:id="39"/>
    </w:p>
    <w:tbl>
      <w:tblPr>
        <w:tblW w:w="9196" w:type="dxa"/>
        <w:tblCellMar>
          <w:left w:w="70" w:type="dxa"/>
          <w:right w:w="70" w:type="dxa"/>
        </w:tblCellMar>
        <w:tblLook w:val="04A0" w:firstRow="1" w:lastRow="0" w:firstColumn="1" w:lastColumn="0" w:noHBand="0" w:noVBand="1"/>
      </w:tblPr>
      <w:tblGrid>
        <w:gridCol w:w="3027"/>
        <w:gridCol w:w="1084"/>
        <w:gridCol w:w="709"/>
        <w:gridCol w:w="709"/>
        <w:gridCol w:w="992"/>
        <w:gridCol w:w="850"/>
        <w:gridCol w:w="1134"/>
        <w:gridCol w:w="691"/>
      </w:tblGrid>
      <w:tr w:rsidR="00C37395" w:rsidRPr="00A45001" w14:paraId="2C2155CA" w14:textId="77777777" w:rsidTr="00C37395">
        <w:trPr>
          <w:trHeight w:val="230"/>
        </w:trPr>
        <w:tc>
          <w:tcPr>
            <w:tcW w:w="3027" w:type="dxa"/>
            <w:tcBorders>
              <w:top w:val="single" w:sz="8" w:space="0" w:color="auto"/>
              <w:left w:val="nil"/>
              <w:bottom w:val="single" w:sz="8" w:space="0" w:color="auto"/>
            </w:tcBorders>
            <w:shd w:val="clear" w:color="auto" w:fill="auto"/>
            <w:noWrap/>
            <w:vAlign w:val="center"/>
            <w:hideMark/>
          </w:tcPr>
          <w:p w14:paraId="1F2DA971" w14:textId="77777777" w:rsidR="00A3675F" w:rsidRPr="00DF01A5" w:rsidRDefault="00A3675F" w:rsidP="00D94493">
            <w:pPr>
              <w:spacing w:after="0" w:line="240" w:lineRule="auto"/>
              <w:rPr>
                <w:rFonts w:ascii="Times New Roman" w:eastAsia="Times New Roman" w:hAnsi="Times New Roman" w:cs="Times New Roman"/>
                <w:b/>
                <w:bCs/>
                <w:color w:val="000000"/>
                <w:sz w:val="16"/>
                <w:szCs w:val="16"/>
                <w:lang w:eastAsia="sk-SK"/>
              </w:rPr>
            </w:pPr>
            <w:r w:rsidRPr="00DF01A5">
              <w:rPr>
                <w:rFonts w:ascii="Times New Roman" w:eastAsia="Times New Roman" w:hAnsi="Times New Roman" w:cs="Times New Roman"/>
                <w:b/>
                <w:bCs/>
                <w:color w:val="000000"/>
                <w:sz w:val="16"/>
                <w:szCs w:val="16"/>
                <w:lang w:eastAsia="sk-SK"/>
              </w:rPr>
              <w:t>(v % HDP)</w:t>
            </w:r>
          </w:p>
        </w:tc>
        <w:tc>
          <w:tcPr>
            <w:tcW w:w="1084" w:type="dxa"/>
            <w:tcBorders>
              <w:top w:val="single" w:sz="8" w:space="0" w:color="auto"/>
              <w:left w:val="nil"/>
              <w:bottom w:val="single" w:sz="8" w:space="0" w:color="auto"/>
            </w:tcBorders>
            <w:vAlign w:val="center"/>
          </w:tcPr>
          <w:p w14:paraId="35CA0C2C" w14:textId="77777777" w:rsidR="00A3675F" w:rsidRPr="00DF01A5" w:rsidRDefault="00A3675F" w:rsidP="00D94493">
            <w:pPr>
              <w:spacing w:after="0" w:line="240" w:lineRule="auto"/>
              <w:jc w:val="center"/>
              <w:rPr>
                <w:rFonts w:ascii="Times New Roman" w:eastAsia="Times New Roman" w:hAnsi="Times New Roman" w:cs="Times New Roman"/>
                <w:b/>
                <w:bCs/>
                <w:color w:val="000000"/>
                <w:sz w:val="16"/>
                <w:szCs w:val="16"/>
                <w:lang w:eastAsia="sk-SK"/>
              </w:rPr>
            </w:pPr>
            <w:r w:rsidRPr="00DF01A5">
              <w:rPr>
                <w:rFonts w:ascii="Times New Roman" w:hAnsi="Times New Roman" w:cs="Times New Roman"/>
                <w:b/>
                <w:bCs/>
                <w:color w:val="000000"/>
                <w:sz w:val="16"/>
                <w:szCs w:val="16"/>
              </w:rPr>
              <w:t>2021 S</w:t>
            </w:r>
          </w:p>
        </w:tc>
        <w:tc>
          <w:tcPr>
            <w:tcW w:w="709" w:type="dxa"/>
            <w:tcBorders>
              <w:top w:val="single" w:sz="8" w:space="0" w:color="auto"/>
              <w:left w:val="nil"/>
              <w:bottom w:val="single" w:sz="8" w:space="0" w:color="auto"/>
            </w:tcBorders>
            <w:vAlign w:val="center"/>
          </w:tcPr>
          <w:p w14:paraId="2341CFB3" w14:textId="77777777" w:rsidR="00A3675F" w:rsidRPr="00DF01A5" w:rsidRDefault="00A3675F" w:rsidP="00D94493">
            <w:pPr>
              <w:spacing w:after="0" w:line="240" w:lineRule="auto"/>
              <w:jc w:val="center"/>
              <w:rPr>
                <w:rFonts w:ascii="Times New Roman" w:eastAsia="Times New Roman" w:hAnsi="Times New Roman" w:cs="Times New Roman"/>
                <w:b/>
                <w:bCs/>
                <w:color w:val="000000"/>
                <w:sz w:val="16"/>
                <w:szCs w:val="16"/>
                <w:lang w:eastAsia="sk-SK"/>
              </w:rPr>
            </w:pPr>
            <w:r w:rsidRPr="00DF01A5">
              <w:rPr>
                <w:rFonts w:ascii="Times New Roman" w:hAnsi="Times New Roman" w:cs="Times New Roman"/>
                <w:b/>
                <w:bCs/>
                <w:color w:val="000000"/>
                <w:sz w:val="16"/>
                <w:szCs w:val="16"/>
              </w:rPr>
              <w:t>2022 S</w:t>
            </w:r>
          </w:p>
        </w:tc>
        <w:tc>
          <w:tcPr>
            <w:tcW w:w="709" w:type="dxa"/>
            <w:tcBorders>
              <w:top w:val="single" w:sz="8" w:space="0" w:color="auto"/>
              <w:left w:val="nil"/>
              <w:bottom w:val="single" w:sz="8" w:space="0" w:color="auto"/>
            </w:tcBorders>
            <w:shd w:val="clear" w:color="auto" w:fill="auto"/>
            <w:noWrap/>
            <w:vAlign w:val="center"/>
            <w:hideMark/>
          </w:tcPr>
          <w:p w14:paraId="2EC9C618" w14:textId="77777777" w:rsidR="00A3675F" w:rsidRPr="00DF01A5" w:rsidRDefault="00A3675F" w:rsidP="00D94493">
            <w:pPr>
              <w:spacing w:after="0" w:line="240" w:lineRule="auto"/>
              <w:jc w:val="center"/>
              <w:rPr>
                <w:rFonts w:ascii="Times New Roman" w:eastAsia="Times New Roman" w:hAnsi="Times New Roman" w:cs="Times New Roman"/>
                <w:b/>
                <w:bCs/>
                <w:color w:val="000000"/>
                <w:sz w:val="16"/>
                <w:szCs w:val="16"/>
                <w:lang w:eastAsia="sk-SK"/>
              </w:rPr>
            </w:pPr>
            <w:r w:rsidRPr="00DF01A5">
              <w:rPr>
                <w:rFonts w:ascii="Times New Roman" w:eastAsia="Times New Roman" w:hAnsi="Times New Roman" w:cs="Times New Roman"/>
                <w:b/>
                <w:bCs/>
                <w:color w:val="000000"/>
                <w:sz w:val="16"/>
                <w:szCs w:val="16"/>
                <w:lang w:eastAsia="sk-SK"/>
              </w:rPr>
              <w:t>2023 R</w:t>
            </w:r>
          </w:p>
        </w:tc>
        <w:tc>
          <w:tcPr>
            <w:tcW w:w="992" w:type="dxa"/>
            <w:tcBorders>
              <w:top w:val="single" w:sz="8" w:space="0" w:color="auto"/>
              <w:left w:val="nil"/>
              <w:bottom w:val="single" w:sz="8" w:space="0" w:color="auto"/>
            </w:tcBorders>
            <w:shd w:val="clear" w:color="auto" w:fill="auto"/>
            <w:noWrap/>
            <w:vAlign w:val="center"/>
            <w:hideMark/>
          </w:tcPr>
          <w:p w14:paraId="0DC145D0" w14:textId="77777777" w:rsidR="00A3675F" w:rsidRPr="00DF01A5" w:rsidRDefault="00A3675F" w:rsidP="00D94493">
            <w:pPr>
              <w:spacing w:after="0" w:line="240" w:lineRule="auto"/>
              <w:jc w:val="center"/>
              <w:rPr>
                <w:rFonts w:ascii="Times New Roman" w:eastAsia="Times New Roman" w:hAnsi="Times New Roman" w:cs="Times New Roman"/>
                <w:b/>
                <w:bCs/>
                <w:color w:val="000000"/>
                <w:sz w:val="16"/>
                <w:szCs w:val="16"/>
                <w:lang w:eastAsia="sk-SK"/>
              </w:rPr>
            </w:pPr>
            <w:r w:rsidRPr="00DF01A5">
              <w:rPr>
                <w:rFonts w:ascii="Times New Roman" w:eastAsia="Times New Roman" w:hAnsi="Times New Roman" w:cs="Times New Roman"/>
                <w:b/>
                <w:bCs/>
                <w:color w:val="000000"/>
                <w:sz w:val="16"/>
                <w:szCs w:val="16"/>
                <w:lang w:eastAsia="sk-SK"/>
              </w:rPr>
              <w:t>2023 OS</w:t>
            </w:r>
          </w:p>
        </w:tc>
        <w:tc>
          <w:tcPr>
            <w:tcW w:w="850" w:type="dxa"/>
            <w:tcBorders>
              <w:top w:val="single" w:sz="8" w:space="0" w:color="auto"/>
              <w:left w:val="nil"/>
              <w:bottom w:val="single" w:sz="8" w:space="0" w:color="auto"/>
              <w:right w:val="nil"/>
            </w:tcBorders>
            <w:shd w:val="clear" w:color="auto" w:fill="auto"/>
            <w:noWrap/>
            <w:vAlign w:val="center"/>
            <w:hideMark/>
          </w:tcPr>
          <w:p w14:paraId="4A9FEDCA" w14:textId="77777777" w:rsidR="00A3675F" w:rsidRPr="00DF01A5" w:rsidRDefault="00A3675F" w:rsidP="00D94493">
            <w:pPr>
              <w:spacing w:after="0" w:line="240" w:lineRule="auto"/>
              <w:jc w:val="center"/>
              <w:rPr>
                <w:rFonts w:ascii="Times New Roman" w:eastAsia="Times New Roman" w:hAnsi="Times New Roman" w:cs="Times New Roman"/>
                <w:b/>
                <w:bCs/>
                <w:color w:val="000000"/>
                <w:sz w:val="16"/>
                <w:szCs w:val="16"/>
                <w:lang w:eastAsia="sk-SK"/>
              </w:rPr>
            </w:pPr>
            <w:r w:rsidRPr="00DF01A5">
              <w:rPr>
                <w:rFonts w:ascii="Times New Roman" w:eastAsia="Times New Roman" w:hAnsi="Times New Roman" w:cs="Times New Roman"/>
                <w:b/>
                <w:bCs/>
                <w:color w:val="000000"/>
                <w:sz w:val="16"/>
                <w:szCs w:val="16"/>
                <w:lang w:eastAsia="sk-SK"/>
              </w:rPr>
              <w:t>2024 N</w:t>
            </w:r>
          </w:p>
        </w:tc>
        <w:tc>
          <w:tcPr>
            <w:tcW w:w="1134" w:type="dxa"/>
            <w:tcBorders>
              <w:top w:val="single" w:sz="8" w:space="0" w:color="auto"/>
              <w:left w:val="nil"/>
              <w:bottom w:val="single" w:sz="8" w:space="0" w:color="auto"/>
              <w:right w:val="nil"/>
            </w:tcBorders>
            <w:shd w:val="clear" w:color="auto" w:fill="auto"/>
            <w:vAlign w:val="center"/>
            <w:hideMark/>
          </w:tcPr>
          <w:p w14:paraId="7472452E" w14:textId="77777777" w:rsidR="00A3675F" w:rsidRPr="00DF01A5" w:rsidRDefault="00A3675F" w:rsidP="00D94493">
            <w:pPr>
              <w:spacing w:after="0" w:line="240" w:lineRule="auto"/>
              <w:jc w:val="center"/>
              <w:rPr>
                <w:rFonts w:ascii="Times New Roman" w:eastAsia="Times New Roman" w:hAnsi="Times New Roman" w:cs="Times New Roman"/>
                <w:b/>
                <w:bCs/>
                <w:color w:val="000000"/>
                <w:sz w:val="16"/>
                <w:szCs w:val="16"/>
                <w:lang w:eastAsia="sk-SK"/>
              </w:rPr>
            </w:pPr>
            <w:r w:rsidRPr="00DF01A5">
              <w:rPr>
                <w:rFonts w:ascii="Times New Roman" w:eastAsia="Times New Roman" w:hAnsi="Times New Roman" w:cs="Times New Roman"/>
                <w:b/>
                <w:bCs/>
                <w:color w:val="000000"/>
                <w:sz w:val="16"/>
                <w:szCs w:val="16"/>
                <w:lang w:eastAsia="sk-SK"/>
              </w:rPr>
              <w:t>2025 N</w:t>
            </w:r>
          </w:p>
        </w:tc>
        <w:tc>
          <w:tcPr>
            <w:tcW w:w="691" w:type="dxa"/>
            <w:tcBorders>
              <w:top w:val="single" w:sz="8" w:space="0" w:color="auto"/>
              <w:left w:val="nil"/>
              <w:bottom w:val="single" w:sz="8" w:space="0" w:color="auto"/>
              <w:right w:val="nil"/>
            </w:tcBorders>
            <w:vAlign w:val="center"/>
          </w:tcPr>
          <w:p w14:paraId="5ED4FE01" w14:textId="77777777" w:rsidR="00A3675F" w:rsidRPr="00DF01A5" w:rsidRDefault="00A3675F" w:rsidP="00D94493">
            <w:pPr>
              <w:spacing w:after="0" w:line="240" w:lineRule="auto"/>
              <w:jc w:val="center"/>
              <w:rPr>
                <w:rFonts w:ascii="Times New Roman" w:eastAsia="Times New Roman" w:hAnsi="Times New Roman" w:cs="Times New Roman"/>
                <w:b/>
                <w:bCs/>
                <w:color w:val="000000"/>
                <w:sz w:val="16"/>
                <w:szCs w:val="16"/>
                <w:lang w:eastAsia="sk-SK"/>
              </w:rPr>
            </w:pPr>
            <w:r w:rsidRPr="00DF01A5">
              <w:rPr>
                <w:rFonts w:ascii="Times New Roman" w:eastAsia="Times New Roman" w:hAnsi="Times New Roman" w:cs="Times New Roman"/>
                <w:b/>
                <w:bCs/>
                <w:color w:val="000000"/>
                <w:sz w:val="16"/>
                <w:szCs w:val="16"/>
                <w:lang w:eastAsia="sk-SK"/>
              </w:rPr>
              <w:t>2026 N</w:t>
            </w:r>
          </w:p>
        </w:tc>
      </w:tr>
      <w:tr w:rsidR="00C37395" w:rsidRPr="0063697C" w14:paraId="5DDE9EF3" w14:textId="77777777" w:rsidTr="00C37395">
        <w:trPr>
          <w:trHeight w:val="209"/>
        </w:trPr>
        <w:tc>
          <w:tcPr>
            <w:tcW w:w="3027" w:type="dxa"/>
            <w:tcBorders>
              <w:top w:val="nil"/>
              <w:left w:val="nil"/>
              <w:bottom w:val="nil"/>
            </w:tcBorders>
            <w:shd w:val="clear" w:color="auto" w:fill="auto"/>
            <w:noWrap/>
            <w:vAlign w:val="center"/>
            <w:hideMark/>
          </w:tcPr>
          <w:p w14:paraId="15E4EFAA" w14:textId="77777777" w:rsidR="00A3675F" w:rsidRPr="00DF01A5" w:rsidRDefault="00A3675F" w:rsidP="00D94493">
            <w:pPr>
              <w:spacing w:after="0" w:line="240" w:lineRule="auto"/>
              <w:rPr>
                <w:rFonts w:ascii="Times New Roman" w:eastAsia="Times New Roman" w:hAnsi="Times New Roman" w:cs="Times New Roman"/>
                <w:color w:val="000000"/>
                <w:sz w:val="16"/>
                <w:szCs w:val="16"/>
                <w:lang w:eastAsia="sk-SK"/>
              </w:rPr>
            </w:pPr>
            <w:r w:rsidRPr="00DF01A5">
              <w:rPr>
                <w:rFonts w:ascii="Times New Roman" w:eastAsia="Times New Roman" w:hAnsi="Times New Roman" w:cs="Times New Roman"/>
                <w:color w:val="000000"/>
                <w:sz w:val="16"/>
                <w:szCs w:val="16"/>
                <w:lang w:eastAsia="sk-SK"/>
              </w:rPr>
              <w:t xml:space="preserve">Ciele pre schodok rozpočtu verejnej správy </w:t>
            </w:r>
          </w:p>
        </w:tc>
        <w:tc>
          <w:tcPr>
            <w:tcW w:w="1084" w:type="dxa"/>
            <w:tcBorders>
              <w:top w:val="nil"/>
              <w:left w:val="nil"/>
              <w:bottom w:val="nil"/>
            </w:tcBorders>
            <w:vAlign w:val="center"/>
          </w:tcPr>
          <w:p w14:paraId="0ACB18F7" w14:textId="77777777" w:rsidR="00A3675F" w:rsidRPr="00DF01A5" w:rsidRDefault="00A3675F" w:rsidP="00D94493">
            <w:pPr>
              <w:spacing w:after="0" w:line="240" w:lineRule="auto"/>
              <w:jc w:val="center"/>
              <w:rPr>
                <w:rFonts w:ascii="Times New Roman" w:hAnsi="Times New Roman" w:cs="Times New Roman"/>
                <w:color w:val="000000"/>
                <w:sz w:val="16"/>
                <w:szCs w:val="16"/>
              </w:rPr>
            </w:pPr>
            <w:r w:rsidRPr="00DF01A5">
              <w:rPr>
                <w:rFonts w:ascii="Times New Roman" w:hAnsi="Times New Roman" w:cs="Times New Roman"/>
                <w:color w:val="000000"/>
                <w:sz w:val="16"/>
                <w:szCs w:val="16"/>
              </w:rPr>
              <w:t>-7,44</w:t>
            </w:r>
          </w:p>
        </w:tc>
        <w:tc>
          <w:tcPr>
            <w:tcW w:w="709" w:type="dxa"/>
            <w:tcBorders>
              <w:top w:val="nil"/>
              <w:left w:val="nil"/>
              <w:bottom w:val="nil"/>
            </w:tcBorders>
            <w:vAlign w:val="center"/>
          </w:tcPr>
          <w:p w14:paraId="2C8964CB" w14:textId="77777777" w:rsidR="00A3675F" w:rsidRPr="00DF01A5" w:rsidRDefault="00A3675F" w:rsidP="00D94493">
            <w:pPr>
              <w:spacing w:after="0" w:line="240" w:lineRule="auto"/>
              <w:jc w:val="center"/>
              <w:rPr>
                <w:rFonts w:ascii="Times New Roman" w:hAnsi="Times New Roman" w:cs="Times New Roman"/>
                <w:color w:val="000000"/>
                <w:sz w:val="16"/>
                <w:szCs w:val="16"/>
              </w:rPr>
            </w:pPr>
            <w:r w:rsidRPr="00DF01A5">
              <w:rPr>
                <w:rFonts w:ascii="Times New Roman" w:hAnsi="Times New Roman" w:cs="Times New Roman"/>
                <w:color w:val="000000"/>
                <w:sz w:val="16"/>
                <w:szCs w:val="16"/>
              </w:rPr>
              <w:t>-4,94</w:t>
            </w:r>
          </w:p>
        </w:tc>
        <w:tc>
          <w:tcPr>
            <w:tcW w:w="709" w:type="dxa"/>
            <w:tcBorders>
              <w:top w:val="nil"/>
              <w:left w:val="nil"/>
              <w:bottom w:val="nil"/>
            </w:tcBorders>
            <w:shd w:val="clear" w:color="auto" w:fill="auto"/>
            <w:noWrap/>
            <w:vAlign w:val="center"/>
            <w:hideMark/>
          </w:tcPr>
          <w:p w14:paraId="2DEC87E7" w14:textId="77777777" w:rsidR="00A3675F" w:rsidRPr="00DF01A5" w:rsidRDefault="00A3675F" w:rsidP="00D94493">
            <w:pPr>
              <w:spacing w:after="0" w:line="240" w:lineRule="auto"/>
              <w:jc w:val="center"/>
              <w:rPr>
                <w:rFonts w:ascii="Times New Roman" w:hAnsi="Times New Roman" w:cs="Times New Roman"/>
                <w:color w:val="000000"/>
                <w:sz w:val="16"/>
                <w:szCs w:val="16"/>
              </w:rPr>
            </w:pPr>
            <w:r w:rsidRPr="00DF01A5">
              <w:rPr>
                <w:rFonts w:ascii="Times New Roman" w:hAnsi="Times New Roman" w:cs="Times New Roman"/>
                <w:color w:val="000000"/>
                <w:sz w:val="16"/>
                <w:szCs w:val="16"/>
              </w:rPr>
              <w:t>-6,44</w:t>
            </w:r>
          </w:p>
        </w:tc>
        <w:tc>
          <w:tcPr>
            <w:tcW w:w="992" w:type="dxa"/>
            <w:tcBorders>
              <w:top w:val="nil"/>
              <w:left w:val="nil"/>
              <w:bottom w:val="nil"/>
            </w:tcBorders>
            <w:shd w:val="clear" w:color="auto" w:fill="auto"/>
            <w:noWrap/>
            <w:vAlign w:val="center"/>
            <w:hideMark/>
          </w:tcPr>
          <w:p w14:paraId="66267FAF" w14:textId="227BDFC4" w:rsidR="00A3675F" w:rsidRPr="00DF01A5" w:rsidRDefault="007F4C6D" w:rsidP="00D94493">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w:t>
            </w:r>
          </w:p>
        </w:tc>
        <w:tc>
          <w:tcPr>
            <w:tcW w:w="850" w:type="dxa"/>
            <w:tcBorders>
              <w:top w:val="nil"/>
              <w:left w:val="nil"/>
              <w:bottom w:val="nil"/>
              <w:right w:val="nil"/>
            </w:tcBorders>
            <w:shd w:val="clear" w:color="auto" w:fill="auto"/>
            <w:noWrap/>
            <w:vAlign w:val="center"/>
          </w:tcPr>
          <w:p w14:paraId="6DFD4373" w14:textId="77777777" w:rsidR="00A3675F" w:rsidRPr="00DF01A5" w:rsidRDefault="00A3675F" w:rsidP="00D94493">
            <w:pPr>
              <w:spacing w:after="0" w:line="240" w:lineRule="auto"/>
              <w:jc w:val="center"/>
              <w:rPr>
                <w:rFonts w:ascii="Times New Roman" w:hAnsi="Times New Roman" w:cs="Times New Roman"/>
                <w:color w:val="000000"/>
                <w:sz w:val="16"/>
                <w:szCs w:val="16"/>
              </w:rPr>
            </w:pPr>
            <w:r w:rsidRPr="00DF01A5">
              <w:rPr>
                <w:rFonts w:ascii="Times New Roman" w:hAnsi="Times New Roman" w:cs="Times New Roman"/>
                <w:color w:val="000000"/>
                <w:sz w:val="16"/>
                <w:szCs w:val="16"/>
              </w:rPr>
              <w:t>-5,97</w:t>
            </w:r>
          </w:p>
        </w:tc>
        <w:tc>
          <w:tcPr>
            <w:tcW w:w="1134" w:type="dxa"/>
            <w:tcBorders>
              <w:top w:val="nil"/>
              <w:left w:val="nil"/>
              <w:bottom w:val="nil"/>
              <w:right w:val="nil"/>
            </w:tcBorders>
            <w:shd w:val="clear" w:color="auto" w:fill="auto"/>
            <w:noWrap/>
            <w:vAlign w:val="center"/>
          </w:tcPr>
          <w:p w14:paraId="28117BAE" w14:textId="77777777" w:rsidR="00A3675F" w:rsidRPr="00DF01A5" w:rsidRDefault="00A3675F" w:rsidP="00D94493">
            <w:pPr>
              <w:spacing w:after="0" w:line="240" w:lineRule="auto"/>
              <w:jc w:val="center"/>
              <w:rPr>
                <w:rFonts w:ascii="Times New Roman" w:hAnsi="Times New Roman" w:cs="Times New Roman"/>
                <w:color w:val="000000"/>
                <w:sz w:val="16"/>
                <w:szCs w:val="16"/>
              </w:rPr>
            </w:pPr>
            <w:r w:rsidRPr="00DF01A5">
              <w:rPr>
                <w:rFonts w:ascii="Times New Roman" w:hAnsi="Times New Roman" w:cs="Times New Roman"/>
                <w:color w:val="000000"/>
                <w:sz w:val="16"/>
                <w:szCs w:val="16"/>
              </w:rPr>
              <w:t>-4,97</w:t>
            </w:r>
          </w:p>
        </w:tc>
        <w:tc>
          <w:tcPr>
            <w:tcW w:w="691" w:type="dxa"/>
            <w:tcBorders>
              <w:top w:val="nil"/>
              <w:left w:val="nil"/>
              <w:bottom w:val="nil"/>
              <w:right w:val="nil"/>
            </w:tcBorders>
            <w:vAlign w:val="center"/>
          </w:tcPr>
          <w:p w14:paraId="41C28113" w14:textId="77777777" w:rsidR="00A3675F" w:rsidRPr="00DF01A5" w:rsidRDefault="00A3675F" w:rsidP="00D94493">
            <w:pPr>
              <w:spacing w:after="0" w:line="240" w:lineRule="auto"/>
              <w:jc w:val="center"/>
              <w:rPr>
                <w:rFonts w:ascii="Times New Roman" w:hAnsi="Times New Roman" w:cs="Times New Roman"/>
                <w:color w:val="000000"/>
                <w:sz w:val="16"/>
                <w:szCs w:val="16"/>
              </w:rPr>
            </w:pPr>
            <w:r w:rsidRPr="00DF01A5">
              <w:rPr>
                <w:rFonts w:ascii="Times New Roman" w:hAnsi="Times New Roman" w:cs="Times New Roman"/>
                <w:color w:val="000000"/>
                <w:sz w:val="16"/>
                <w:szCs w:val="16"/>
              </w:rPr>
              <w:t>-3,97</w:t>
            </w:r>
          </w:p>
        </w:tc>
      </w:tr>
      <w:tr w:rsidR="00C37395" w:rsidRPr="0063697C" w14:paraId="621878F5" w14:textId="77777777" w:rsidTr="00C37395">
        <w:trPr>
          <w:trHeight w:val="209"/>
        </w:trPr>
        <w:tc>
          <w:tcPr>
            <w:tcW w:w="3027" w:type="dxa"/>
            <w:tcBorders>
              <w:top w:val="nil"/>
              <w:left w:val="nil"/>
            </w:tcBorders>
            <w:shd w:val="clear" w:color="auto" w:fill="auto"/>
            <w:noWrap/>
            <w:vAlign w:val="center"/>
            <w:hideMark/>
          </w:tcPr>
          <w:p w14:paraId="4084C371" w14:textId="77777777" w:rsidR="00A3675F" w:rsidRPr="00DF01A5" w:rsidRDefault="00A3675F" w:rsidP="00D94493">
            <w:pPr>
              <w:spacing w:after="0" w:line="240" w:lineRule="auto"/>
              <w:rPr>
                <w:rFonts w:ascii="Times New Roman" w:eastAsia="Times New Roman" w:hAnsi="Times New Roman" w:cs="Times New Roman"/>
                <w:color w:val="000000"/>
                <w:sz w:val="16"/>
                <w:szCs w:val="16"/>
                <w:lang w:eastAsia="sk-SK"/>
              </w:rPr>
            </w:pPr>
            <w:r w:rsidRPr="00DF01A5">
              <w:rPr>
                <w:rFonts w:ascii="Times New Roman" w:eastAsia="Times New Roman" w:hAnsi="Times New Roman" w:cs="Times New Roman"/>
                <w:color w:val="000000"/>
                <w:sz w:val="16"/>
                <w:szCs w:val="16"/>
                <w:lang w:eastAsia="sk-SK"/>
              </w:rPr>
              <w:t>Návrh rozpočtu verejnej správy (resp. skutočne dosiahnuté nominálne saldo za minulosť)</w:t>
            </w:r>
          </w:p>
        </w:tc>
        <w:tc>
          <w:tcPr>
            <w:tcW w:w="1084" w:type="dxa"/>
            <w:tcBorders>
              <w:top w:val="nil"/>
              <w:left w:val="nil"/>
            </w:tcBorders>
            <w:vAlign w:val="center"/>
          </w:tcPr>
          <w:p w14:paraId="404AA6DC" w14:textId="77777777" w:rsidR="00A3675F" w:rsidRPr="00DF01A5" w:rsidRDefault="00A3675F" w:rsidP="00D94493">
            <w:pPr>
              <w:spacing w:after="0" w:line="240" w:lineRule="auto"/>
              <w:jc w:val="center"/>
              <w:rPr>
                <w:rFonts w:ascii="Times New Roman" w:hAnsi="Times New Roman" w:cs="Times New Roman"/>
                <w:color w:val="000000"/>
                <w:sz w:val="16"/>
                <w:szCs w:val="16"/>
              </w:rPr>
            </w:pPr>
            <w:r w:rsidRPr="00DF01A5">
              <w:rPr>
                <w:rFonts w:ascii="Times New Roman" w:hAnsi="Times New Roman" w:cs="Times New Roman"/>
                <w:color w:val="000000"/>
                <w:sz w:val="16"/>
                <w:szCs w:val="16"/>
              </w:rPr>
              <w:t>-5,18</w:t>
            </w:r>
          </w:p>
        </w:tc>
        <w:tc>
          <w:tcPr>
            <w:tcW w:w="709" w:type="dxa"/>
            <w:tcBorders>
              <w:top w:val="nil"/>
              <w:left w:val="nil"/>
            </w:tcBorders>
            <w:vAlign w:val="center"/>
          </w:tcPr>
          <w:p w14:paraId="0AF0137A" w14:textId="77777777" w:rsidR="00A3675F" w:rsidRPr="00DF01A5" w:rsidRDefault="00A3675F" w:rsidP="00D94493">
            <w:pPr>
              <w:spacing w:after="0" w:line="240" w:lineRule="auto"/>
              <w:jc w:val="center"/>
              <w:rPr>
                <w:rFonts w:ascii="Times New Roman" w:hAnsi="Times New Roman" w:cs="Times New Roman"/>
                <w:color w:val="000000"/>
                <w:sz w:val="16"/>
                <w:szCs w:val="16"/>
              </w:rPr>
            </w:pPr>
            <w:r w:rsidRPr="00DF01A5">
              <w:rPr>
                <w:rFonts w:ascii="Times New Roman" w:hAnsi="Times New Roman" w:cs="Times New Roman"/>
                <w:color w:val="000000"/>
                <w:sz w:val="16"/>
                <w:szCs w:val="16"/>
              </w:rPr>
              <w:t>-2,02</w:t>
            </w:r>
          </w:p>
        </w:tc>
        <w:tc>
          <w:tcPr>
            <w:tcW w:w="709" w:type="dxa"/>
            <w:tcBorders>
              <w:top w:val="nil"/>
              <w:left w:val="nil"/>
            </w:tcBorders>
            <w:shd w:val="clear" w:color="auto" w:fill="auto"/>
            <w:noWrap/>
            <w:vAlign w:val="center"/>
          </w:tcPr>
          <w:p w14:paraId="3727E2B9" w14:textId="77777777" w:rsidR="00A3675F" w:rsidRPr="00DF01A5" w:rsidRDefault="00A3675F" w:rsidP="00D94493">
            <w:pPr>
              <w:spacing w:after="0" w:line="240" w:lineRule="auto"/>
              <w:jc w:val="center"/>
              <w:rPr>
                <w:rFonts w:ascii="Times New Roman" w:hAnsi="Times New Roman" w:cs="Times New Roman"/>
                <w:color w:val="000000"/>
                <w:sz w:val="16"/>
                <w:szCs w:val="16"/>
              </w:rPr>
            </w:pPr>
            <w:r w:rsidRPr="00DF01A5">
              <w:rPr>
                <w:rFonts w:ascii="Times New Roman" w:hAnsi="Times New Roman" w:cs="Times New Roman"/>
                <w:color w:val="000000"/>
                <w:sz w:val="16"/>
                <w:szCs w:val="16"/>
              </w:rPr>
              <w:t>-6,44</w:t>
            </w:r>
          </w:p>
        </w:tc>
        <w:tc>
          <w:tcPr>
            <w:tcW w:w="992" w:type="dxa"/>
            <w:tcBorders>
              <w:top w:val="nil"/>
              <w:left w:val="nil"/>
            </w:tcBorders>
            <w:shd w:val="clear" w:color="auto" w:fill="auto"/>
            <w:noWrap/>
            <w:vAlign w:val="center"/>
            <w:hideMark/>
          </w:tcPr>
          <w:p w14:paraId="10319DEA" w14:textId="77777777" w:rsidR="00A3675F" w:rsidRPr="00DF01A5" w:rsidRDefault="00A3675F" w:rsidP="00D94493">
            <w:pPr>
              <w:spacing w:after="0" w:line="240" w:lineRule="auto"/>
              <w:jc w:val="center"/>
              <w:rPr>
                <w:rFonts w:ascii="Times New Roman" w:hAnsi="Times New Roman" w:cs="Times New Roman"/>
                <w:color w:val="000000"/>
                <w:sz w:val="16"/>
                <w:szCs w:val="16"/>
              </w:rPr>
            </w:pPr>
            <w:r w:rsidRPr="00DF01A5">
              <w:rPr>
                <w:rFonts w:ascii="Times New Roman" w:hAnsi="Times New Roman" w:cs="Times New Roman"/>
                <w:color w:val="000000"/>
                <w:sz w:val="16"/>
                <w:szCs w:val="16"/>
              </w:rPr>
              <w:t>-6,52*</w:t>
            </w:r>
          </w:p>
        </w:tc>
        <w:tc>
          <w:tcPr>
            <w:tcW w:w="850" w:type="dxa"/>
            <w:tcBorders>
              <w:top w:val="nil"/>
              <w:left w:val="nil"/>
              <w:right w:val="nil"/>
            </w:tcBorders>
            <w:shd w:val="clear" w:color="auto" w:fill="auto"/>
            <w:noWrap/>
            <w:vAlign w:val="center"/>
            <w:hideMark/>
          </w:tcPr>
          <w:p w14:paraId="5A83D127" w14:textId="77777777" w:rsidR="00A3675F" w:rsidRPr="00DF01A5" w:rsidRDefault="00A3675F" w:rsidP="00D94493">
            <w:pPr>
              <w:spacing w:after="0" w:line="240" w:lineRule="auto"/>
              <w:jc w:val="center"/>
              <w:rPr>
                <w:rFonts w:ascii="Times New Roman" w:hAnsi="Times New Roman" w:cs="Times New Roman"/>
                <w:color w:val="000000"/>
                <w:sz w:val="16"/>
                <w:szCs w:val="16"/>
              </w:rPr>
            </w:pPr>
            <w:r w:rsidRPr="00DF01A5">
              <w:rPr>
                <w:rFonts w:ascii="Times New Roman" w:hAnsi="Times New Roman" w:cs="Times New Roman"/>
                <w:color w:val="000000"/>
                <w:sz w:val="16"/>
                <w:szCs w:val="16"/>
              </w:rPr>
              <w:t>-5,97</w:t>
            </w:r>
          </w:p>
        </w:tc>
        <w:tc>
          <w:tcPr>
            <w:tcW w:w="1134" w:type="dxa"/>
            <w:tcBorders>
              <w:top w:val="nil"/>
              <w:left w:val="nil"/>
              <w:right w:val="nil"/>
            </w:tcBorders>
            <w:shd w:val="clear" w:color="auto" w:fill="auto"/>
            <w:noWrap/>
            <w:vAlign w:val="center"/>
            <w:hideMark/>
          </w:tcPr>
          <w:p w14:paraId="0DFBB963" w14:textId="77777777" w:rsidR="00A3675F" w:rsidRPr="00DF01A5" w:rsidRDefault="00A3675F" w:rsidP="00D94493">
            <w:pPr>
              <w:spacing w:after="0" w:line="240" w:lineRule="auto"/>
              <w:jc w:val="center"/>
              <w:rPr>
                <w:rFonts w:ascii="Times New Roman" w:hAnsi="Times New Roman" w:cs="Times New Roman"/>
                <w:color w:val="000000"/>
                <w:sz w:val="16"/>
                <w:szCs w:val="16"/>
              </w:rPr>
            </w:pPr>
            <w:r w:rsidRPr="00DF01A5">
              <w:rPr>
                <w:rFonts w:ascii="Times New Roman" w:hAnsi="Times New Roman" w:cs="Times New Roman"/>
                <w:color w:val="000000"/>
                <w:sz w:val="16"/>
                <w:szCs w:val="16"/>
              </w:rPr>
              <w:t>-6,07</w:t>
            </w:r>
          </w:p>
        </w:tc>
        <w:tc>
          <w:tcPr>
            <w:tcW w:w="691" w:type="dxa"/>
            <w:tcBorders>
              <w:top w:val="nil"/>
              <w:left w:val="nil"/>
              <w:right w:val="nil"/>
            </w:tcBorders>
            <w:vAlign w:val="center"/>
          </w:tcPr>
          <w:p w14:paraId="0D03B3E1" w14:textId="77777777" w:rsidR="00A3675F" w:rsidRPr="00DF01A5" w:rsidRDefault="00A3675F" w:rsidP="00D94493">
            <w:pPr>
              <w:spacing w:after="0" w:line="240" w:lineRule="auto"/>
              <w:jc w:val="center"/>
              <w:rPr>
                <w:rFonts w:ascii="Times New Roman" w:hAnsi="Times New Roman" w:cs="Times New Roman"/>
                <w:color w:val="000000"/>
                <w:sz w:val="16"/>
                <w:szCs w:val="16"/>
              </w:rPr>
            </w:pPr>
            <w:r w:rsidRPr="00DF01A5">
              <w:rPr>
                <w:rFonts w:ascii="Times New Roman" w:hAnsi="Times New Roman" w:cs="Times New Roman"/>
                <w:color w:val="000000"/>
                <w:sz w:val="16"/>
                <w:szCs w:val="16"/>
              </w:rPr>
              <w:t>-5,55</w:t>
            </w:r>
          </w:p>
        </w:tc>
      </w:tr>
      <w:tr w:rsidR="00C37395" w:rsidRPr="0063697C" w14:paraId="1B26CA8A" w14:textId="77777777" w:rsidTr="00C37395">
        <w:trPr>
          <w:trHeight w:val="209"/>
        </w:trPr>
        <w:tc>
          <w:tcPr>
            <w:tcW w:w="3027" w:type="dxa"/>
            <w:tcBorders>
              <w:top w:val="nil"/>
              <w:left w:val="nil"/>
              <w:bottom w:val="single" w:sz="4" w:space="0" w:color="auto"/>
            </w:tcBorders>
            <w:shd w:val="clear" w:color="auto" w:fill="auto"/>
            <w:noWrap/>
            <w:vAlign w:val="center"/>
            <w:hideMark/>
          </w:tcPr>
          <w:p w14:paraId="5FE52E03" w14:textId="77777777" w:rsidR="00A3675F" w:rsidRPr="00DF01A5" w:rsidRDefault="00A3675F" w:rsidP="00D94493">
            <w:pPr>
              <w:spacing w:after="0" w:line="240" w:lineRule="auto"/>
              <w:rPr>
                <w:rFonts w:ascii="Times New Roman" w:eastAsia="Times New Roman" w:hAnsi="Times New Roman" w:cs="Times New Roman"/>
                <w:color w:val="000000"/>
                <w:sz w:val="16"/>
                <w:szCs w:val="16"/>
                <w:lang w:eastAsia="sk-SK"/>
              </w:rPr>
            </w:pPr>
            <w:r w:rsidRPr="00DF01A5">
              <w:rPr>
                <w:rFonts w:ascii="Times New Roman" w:eastAsia="Times New Roman" w:hAnsi="Times New Roman" w:cs="Times New Roman"/>
                <w:color w:val="000000"/>
                <w:sz w:val="16"/>
                <w:szCs w:val="16"/>
                <w:lang w:eastAsia="sk-SK"/>
              </w:rPr>
              <w:t>Rozdiel</w:t>
            </w:r>
          </w:p>
        </w:tc>
        <w:tc>
          <w:tcPr>
            <w:tcW w:w="1084" w:type="dxa"/>
            <w:tcBorders>
              <w:top w:val="nil"/>
              <w:left w:val="nil"/>
              <w:bottom w:val="single" w:sz="4" w:space="0" w:color="auto"/>
            </w:tcBorders>
            <w:vAlign w:val="center"/>
          </w:tcPr>
          <w:p w14:paraId="76230F37" w14:textId="77777777" w:rsidR="00A3675F" w:rsidRPr="00DF01A5" w:rsidRDefault="00A3675F" w:rsidP="00D94493">
            <w:pPr>
              <w:spacing w:after="0" w:line="240" w:lineRule="auto"/>
              <w:jc w:val="center"/>
              <w:rPr>
                <w:rFonts w:ascii="Times New Roman" w:hAnsi="Times New Roman" w:cs="Times New Roman"/>
                <w:color w:val="000000"/>
                <w:sz w:val="16"/>
                <w:szCs w:val="16"/>
                <w:highlight w:val="yellow"/>
              </w:rPr>
            </w:pPr>
            <w:r w:rsidRPr="00DF01A5">
              <w:rPr>
                <w:rFonts w:ascii="Times New Roman" w:hAnsi="Times New Roman" w:cs="Times New Roman"/>
                <w:color w:val="000000"/>
                <w:sz w:val="16"/>
                <w:szCs w:val="16"/>
              </w:rPr>
              <w:t>2,26</w:t>
            </w:r>
          </w:p>
        </w:tc>
        <w:tc>
          <w:tcPr>
            <w:tcW w:w="709" w:type="dxa"/>
            <w:tcBorders>
              <w:top w:val="nil"/>
              <w:left w:val="nil"/>
              <w:bottom w:val="single" w:sz="4" w:space="0" w:color="auto"/>
            </w:tcBorders>
            <w:vAlign w:val="center"/>
          </w:tcPr>
          <w:p w14:paraId="3A0BA0ED" w14:textId="77777777" w:rsidR="00A3675F" w:rsidRPr="00DF01A5" w:rsidRDefault="00A3675F" w:rsidP="00D94493">
            <w:pPr>
              <w:spacing w:after="0" w:line="240" w:lineRule="auto"/>
              <w:jc w:val="center"/>
              <w:rPr>
                <w:rFonts w:ascii="Times New Roman" w:hAnsi="Times New Roman" w:cs="Times New Roman"/>
                <w:color w:val="000000"/>
                <w:sz w:val="16"/>
                <w:szCs w:val="16"/>
              </w:rPr>
            </w:pPr>
            <w:r w:rsidRPr="00DF01A5">
              <w:rPr>
                <w:rFonts w:ascii="Times New Roman" w:hAnsi="Times New Roman" w:cs="Times New Roman"/>
                <w:color w:val="000000"/>
                <w:sz w:val="16"/>
                <w:szCs w:val="16"/>
              </w:rPr>
              <w:t>2,92</w:t>
            </w:r>
          </w:p>
        </w:tc>
        <w:tc>
          <w:tcPr>
            <w:tcW w:w="709" w:type="dxa"/>
            <w:tcBorders>
              <w:top w:val="nil"/>
              <w:left w:val="nil"/>
              <w:bottom w:val="single" w:sz="4" w:space="0" w:color="auto"/>
            </w:tcBorders>
            <w:shd w:val="clear" w:color="auto" w:fill="auto"/>
            <w:noWrap/>
            <w:vAlign w:val="center"/>
          </w:tcPr>
          <w:p w14:paraId="6B2965F5" w14:textId="77777777" w:rsidR="00A3675F" w:rsidRPr="00DF01A5" w:rsidRDefault="00A3675F" w:rsidP="00D94493">
            <w:pPr>
              <w:spacing w:after="0" w:line="240" w:lineRule="auto"/>
              <w:jc w:val="center"/>
              <w:rPr>
                <w:rFonts w:ascii="Times New Roman" w:hAnsi="Times New Roman" w:cs="Times New Roman"/>
                <w:color w:val="000000"/>
                <w:sz w:val="16"/>
                <w:szCs w:val="16"/>
              </w:rPr>
            </w:pPr>
            <w:r w:rsidRPr="00DF01A5">
              <w:rPr>
                <w:rFonts w:ascii="Times New Roman" w:hAnsi="Times New Roman" w:cs="Times New Roman"/>
                <w:color w:val="000000"/>
                <w:sz w:val="16"/>
                <w:szCs w:val="16"/>
              </w:rPr>
              <w:t>0</w:t>
            </w:r>
          </w:p>
        </w:tc>
        <w:tc>
          <w:tcPr>
            <w:tcW w:w="992" w:type="dxa"/>
            <w:tcBorders>
              <w:top w:val="nil"/>
              <w:left w:val="nil"/>
              <w:bottom w:val="single" w:sz="4" w:space="0" w:color="auto"/>
            </w:tcBorders>
            <w:shd w:val="clear" w:color="auto" w:fill="auto"/>
            <w:noWrap/>
            <w:vAlign w:val="center"/>
            <w:hideMark/>
          </w:tcPr>
          <w:p w14:paraId="2E395B3F" w14:textId="6EBCF9FF" w:rsidR="00A3675F" w:rsidRPr="00DF01A5" w:rsidRDefault="007F4C6D" w:rsidP="00D94493">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w:t>
            </w:r>
          </w:p>
        </w:tc>
        <w:tc>
          <w:tcPr>
            <w:tcW w:w="850" w:type="dxa"/>
            <w:tcBorders>
              <w:top w:val="nil"/>
              <w:left w:val="nil"/>
              <w:bottom w:val="single" w:sz="4" w:space="0" w:color="auto"/>
              <w:right w:val="nil"/>
            </w:tcBorders>
            <w:shd w:val="clear" w:color="auto" w:fill="auto"/>
            <w:noWrap/>
            <w:vAlign w:val="center"/>
            <w:hideMark/>
          </w:tcPr>
          <w:p w14:paraId="696E4172" w14:textId="77777777" w:rsidR="00A3675F" w:rsidRPr="00DF01A5" w:rsidRDefault="00A3675F" w:rsidP="00D94493">
            <w:pPr>
              <w:spacing w:after="0" w:line="240" w:lineRule="auto"/>
              <w:jc w:val="center"/>
              <w:rPr>
                <w:rFonts w:ascii="Times New Roman" w:hAnsi="Times New Roman" w:cs="Times New Roman"/>
                <w:color w:val="000000"/>
                <w:sz w:val="16"/>
                <w:szCs w:val="16"/>
              </w:rPr>
            </w:pPr>
            <w:r w:rsidRPr="00DF01A5">
              <w:rPr>
                <w:rFonts w:ascii="Times New Roman" w:hAnsi="Times New Roman" w:cs="Times New Roman"/>
                <w:color w:val="000000"/>
                <w:sz w:val="16"/>
                <w:szCs w:val="16"/>
              </w:rPr>
              <w:t>0</w:t>
            </w:r>
          </w:p>
        </w:tc>
        <w:tc>
          <w:tcPr>
            <w:tcW w:w="1134" w:type="dxa"/>
            <w:tcBorders>
              <w:top w:val="nil"/>
              <w:left w:val="nil"/>
              <w:bottom w:val="single" w:sz="4" w:space="0" w:color="auto"/>
              <w:right w:val="nil"/>
            </w:tcBorders>
            <w:shd w:val="clear" w:color="auto" w:fill="auto"/>
            <w:noWrap/>
            <w:vAlign w:val="center"/>
            <w:hideMark/>
          </w:tcPr>
          <w:p w14:paraId="45D1B025" w14:textId="77777777" w:rsidR="00A3675F" w:rsidRPr="00DF01A5" w:rsidRDefault="00A3675F" w:rsidP="00D94493">
            <w:pPr>
              <w:spacing w:after="0" w:line="240" w:lineRule="auto"/>
              <w:jc w:val="center"/>
              <w:rPr>
                <w:rFonts w:ascii="Times New Roman" w:hAnsi="Times New Roman" w:cs="Times New Roman"/>
                <w:color w:val="000000"/>
                <w:sz w:val="16"/>
                <w:szCs w:val="16"/>
              </w:rPr>
            </w:pPr>
            <w:r w:rsidRPr="00DF01A5">
              <w:rPr>
                <w:rFonts w:ascii="Times New Roman" w:hAnsi="Times New Roman" w:cs="Times New Roman"/>
                <w:color w:val="000000"/>
                <w:sz w:val="16"/>
                <w:szCs w:val="16"/>
              </w:rPr>
              <w:t>-1,10</w:t>
            </w:r>
          </w:p>
        </w:tc>
        <w:tc>
          <w:tcPr>
            <w:tcW w:w="691" w:type="dxa"/>
            <w:tcBorders>
              <w:top w:val="nil"/>
              <w:left w:val="nil"/>
              <w:bottom w:val="single" w:sz="4" w:space="0" w:color="auto"/>
              <w:right w:val="nil"/>
            </w:tcBorders>
            <w:vAlign w:val="center"/>
          </w:tcPr>
          <w:p w14:paraId="185F4D57" w14:textId="77777777" w:rsidR="00A3675F" w:rsidRPr="00DF01A5" w:rsidRDefault="00A3675F" w:rsidP="00D94493">
            <w:pPr>
              <w:spacing w:after="0" w:line="240" w:lineRule="auto"/>
              <w:jc w:val="center"/>
              <w:rPr>
                <w:rFonts w:ascii="Times New Roman" w:hAnsi="Times New Roman" w:cs="Times New Roman"/>
                <w:color w:val="000000"/>
                <w:sz w:val="16"/>
                <w:szCs w:val="16"/>
              </w:rPr>
            </w:pPr>
            <w:r w:rsidRPr="00DF01A5">
              <w:rPr>
                <w:rFonts w:ascii="Times New Roman" w:hAnsi="Times New Roman" w:cs="Times New Roman"/>
                <w:color w:val="000000"/>
                <w:sz w:val="16"/>
                <w:szCs w:val="16"/>
              </w:rPr>
              <w:t>-1,58</w:t>
            </w:r>
          </w:p>
        </w:tc>
      </w:tr>
    </w:tbl>
    <w:p w14:paraId="3A34D1FF" w14:textId="77777777" w:rsidR="00A3675F" w:rsidRPr="00A45001" w:rsidRDefault="00A3675F" w:rsidP="00A3675F">
      <w:pPr>
        <w:spacing w:after="0" w:line="240" w:lineRule="auto"/>
        <w:contextualSpacing/>
        <w:jc w:val="right"/>
        <w:rPr>
          <w:rFonts w:ascii="Times New Roman" w:hAnsi="Times New Roman" w:cs="Times New Roman"/>
          <w:i/>
          <w:sz w:val="16"/>
          <w:szCs w:val="16"/>
        </w:rPr>
      </w:pPr>
      <w:r w:rsidRPr="00A45001">
        <w:rPr>
          <w:rFonts w:ascii="Times New Roman" w:hAnsi="Times New Roman" w:cs="Times New Roman"/>
          <w:i/>
          <w:sz w:val="16"/>
          <w:szCs w:val="16"/>
        </w:rPr>
        <w:t xml:space="preserve"> Zdroj: MF SR</w:t>
      </w:r>
    </w:p>
    <w:p w14:paraId="1768F084" w14:textId="393AE10E" w:rsidR="00A3675F" w:rsidRPr="00A45001" w:rsidRDefault="00A3675F" w:rsidP="00A3675F">
      <w:pPr>
        <w:spacing w:after="0" w:line="240" w:lineRule="auto"/>
        <w:jc w:val="both"/>
        <w:rPr>
          <w:rFonts w:ascii="Times New Roman" w:hAnsi="Times New Roman" w:cs="Times New Roman"/>
          <w:sz w:val="16"/>
          <w:szCs w:val="16"/>
        </w:rPr>
      </w:pPr>
      <w:r>
        <w:rPr>
          <w:rFonts w:ascii="Times New Roman" w:hAnsi="Times New Roman" w:cs="Times New Roman"/>
          <w:sz w:val="16"/>
          <w:szCs w:val="16"/>
        </w:rPr>
        <w:t>*</w:t>
      </w:r>
      <w:r w:rsidRPr="00A45001">
        <w:rPr>
          <w:rFonts w:ascii="Times New Roman" w:hAnsi="Times New Roman" w:cs="Times New Roman"/>
          <w:sz w:val="16"/>
          <w:szCs w:val="16"/>
        </w:rPr>
        <w:t xml:space="preserve"> Ide o aktuálny odhad skutočnosti tohto roka.</w:t>
      </w:r>
    </w:p>
    <w:p w14:paraId="2FDFB95E" w14:textId="77777777" w:rsidR="00A3675F" w:rsidRPr="00A45001" w:rsidRDefault="00A3675F" w:rsidP="00A3675F">
      <w:pPr>
        <w:spacing w:after="0" w:line="240" w:lineRule="auto"/>
        <w:jc w:val="both"/>
        <w:rPr>
          <w:rFonts w:ascii="Times New Roman" w:hAnsi="Times New Roman" w:cs="Times New Roman"/>
          <w:sz w:val="16"/>
          <w:szCs w:val="16"/>
        </w:rPr>
      </w:pPr>
      <w:r w:rsidRPr="00A45001">
        <w:rPr>
          <w:rFonts w:ascii="Times New Roman" w:hAnsi="Times New Roman" w:cs="Times New Roman"/>
          <w:sz w:val="16"/>
          <w:szCs w:val="16"/>
        </w:rPr>
        <w:t>Poznámka: Hodnoty nominálneho salda za rok 2021 a 2022 sú na zá</w:t>
      </w:r>
      <w:r>
        <w:rPr>
          <w:rFonts w:ascii="Times New Roman" w:hAnsi="Times New Roman" w:cs="Times New Roman"/>
          <w:sz w:val="16"/>
          <w:szCs w:val="16"/>
        </w:rPr>
        <w:t xml:space="preserve">klade údajov </w:t>
      </w:r>
      <w:r w:rsidRPr="00A45001">
        <w:rPr>
          <w:rFonts w:ascii="Times New Roman" w:hAnsi="Times New Roman" w:cs="Times New Roman"/>
          <w:sz w:val="16"/>
          <w:szCs w:val="16"/>
        </w:rPr>
        <w:t>jesennej notifikácie EUROSTAT-u. Rozpočtové hodnoty pre rok 2023 sú podľa údajov, ktoré vchádzali do návrhu rozpočtu verejnej správy na roky 2024 až 2026.</w:t>
      </w:r>
    </w:p>
    <w:p w14:paraId="34D71494" w14:textId="77777777" w:rsidR="00A3675F" w:rsidRPr="0063697C" w:rsidRDefault="00A3675F" w:rsidP="00A3675F">
      <w:pPr>
        <w:pStyle w:val="Odsekzoznamu"/>
        <w:jc w:val="both"/>
        <w:rPr>
          <w:rFonts w:ascii="Times New Roman" w:hAnsi="Times New Roman" w:cs="Times New Roman"/>
          <w:highlight w:val="yellow"/>
        </w:rPr>
      </w:pPr>
    </w:p>
    <w:p w14:paraId="2E4D653F" w14:textId="668B7424" w:rsidR="00D90B31" w:rsidRPr="00D90B31" w:rsidRDefault="00F540F4" w:rsidP="00D90B31">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Od roku 2025</w:t>
      </w:r>
      <w:r w:rsidR="00D90B31" w:rsidRPr="00D90B31">
        <w:rPr>
          <w:rFonts w:ascii="Times New Roman" w:eastAsia="Calibri" w:hAnsi="Times New Roman" w:cs="Times New Roman"/>
          <w:bCs/>
          <w:sz w:val="24"/>
          <w:szCs w:val="24"/>
        </w:rPr>
        <w:t xml:space="preserve"> budú európske fiškálne pravidlá pravdepodobne vyžadovať ďalšie znižovanie nominálneho deficitu o 1 % HDP ročne. V budúcom roku Slovensko zrejme vstúpi do procedúry nadmerného deficitu, čo povedie k sprísneniu dohľadu z európskej úrovne. Preto na rok 2025 je žiadúce stanoviť cieľ schodku verejnej správy na 5 % HDP, resp. 4 % v roku 2026. Tempo znižovania deficitu približne o 1 p. b. ročne reflektuje aj na aktuálne diskutovanú reformu pravidiel Paktu stability a rastu. Podľa nej by najneskôr na prelome ďalšej dekády mala byť dosiahnutá pozícia blízko vyrovnaného rozpočtu. Toto tempo zároveň stabilizuje vývoj zadlženia, čo je  tiež požiadavkou nových pravidiel.</w:t>
      </w:r>
    </w:p>
    <w:p w14:paraId="6A31F8CD" w14:textId="77777777" w:rsidR="00D90B31" w:rsidRPr="00D90B31" w:rsidRDefault="00D90B31" w:rsidP="00D90B31">
      <w:pPr>
        <w:spacing w:after="0" w:line="240" w:lineRule="auto"/>
        <w:jc w:val="both"/>
        <w:rPr>
          <w:rFonts w:ascii="Times New Roman" w:eastAsia="Calibri" w:hAnsi="Times New Roman" w:cs="Times New Roman"/>
          <w:bCs/>
          <w:sz w:val="24"/>
          <w:szCs w:val="24"/>
        </w:rPr>
      </w:pPr>
    </w:p>
    <w:p w14:paraId="1A22D0CA" w14:textId="77777777" w:rsidR="00D90B31" w:rsidRPr="00D90B31" w:rsidRDefault="00D90B31" w:rsidP="00D90B31">
      <w:pPr>
        <w:spacing w:after="0" w:line="240" w:lineRule="auto"/>
        <w:jc w:val="both"/>
        <w:rPr>
          <w:rFonts w:ascii="Times New Roman" w:eastAsia="Calibri" w:hAnsi="Times New Roman" w:cs="Times New Roman"/>
          <w:sz w:val="24"/>
          <w:szCs w:val="24"/>
          <w:highlight w:val="yellow"/>
        </w:rPr>
      </w:pPr>
      <w:r w:rsidRPr="00D90B31">
        <w:rPr>
          <w:rFonts w:ascii="Times New Roman" w:eastAsia="Calibri" w:hAnsi="Times New Roman" w:cs="Times New Roman"/>
          <w:bCs/>
          <w:sz w:val="24"/>
          <w:szCs w:val="24"/>
        </w:rPr>
        <w:t>Na dosiahnutie stanovených cieľov do roku 2026 musí vláda predstaviť dodatočné konsolidačné opatrenia v objeme 1,6 % HDP. Konsolidačné opatrenia síce stačia na dosiahnutie cieľa v roku 2024, avšak z dôvodu krátkeho</w:t>
      </w:r>
      <w:r w:rsidRPr="00D90B31">
        <w:rPr>
          <w:rFonts w:ascii="Times New Roman" w:eastAsia="Calibri" w:hAnsi="Times New Roman" w:cs="Times New Roman"/>
          <w:sz w:val="24"/>
          <w:szCs w:val="24"/>
        </w:rPr>
        <w:t xml:space="preserve"> časového obdobia od schválenia Programového vyhlásenia vlády zatiaľ nebol predstavený konsolidačný plán na naplnenie cieľov pre roky 2025 a 2026. Na dosiahnutie cieľov sú potrebné dodatočné opatrenia v objeme 2,3 mld. eur do roku 2026.  Vláda však avizuje zámer prijať ďalšie opatrenia smerujúce k progresívnejšiemu a spravodlivejšiemu daňovému systému. S rovnakým cieľom vláda pristúpi k dôkladným analýzam výdavkov celej verejnej správy. </w:t>
      </w:r>
    </w:p>
    <w:p w14:paraId="7E630E6F" w14:textId="77777777" w:rsidR="00653F4A" w:rsidRDefault="00653F4A" w:rsidP="00850281">
      <w:pPr>
        <w:spacing w:after="0" w:line="240" w:lineRule="auto"/>
        <w:jc w:val="both"/>
        <w:rPr>
          <w:rFonts w:ascii="Times New Roman" w:hAnsi="Times New Roman" w:cs="Times New Roman"/>
          <w:sz w:val="24"/>
          <w:szCs w:val="24"/>
        </w:rPr>
      </w:pPr>
    </w:p>
    <w:p w14:paraId="392DC2B8" w14:textId="1FC14C42" w:rsidR="00E0030D" w:rsidRPr="000C41B0" w:rsidRDefault="00F34596" w:rsidP="00E0030D">
      <w:pPr>
        <w:pStyle w:val="Nadpis2"/>
        <w:tabs>
          <w:tab w:val="left" w:pos="426"/>
        </w:tabs>
        <w:spacing w:before="0" w:after="0"/>
        <w:rPr>
          <w:rFonts w:ascii="Times New Roman" w:hAnsi="Times New Roman"/>
          <w:b w:val="0"/>
          <w:i w:val="0"/>
          <w:color w:val="5B9BD5" w:themeColor="accent1"/>
          <w:sz w:val="24"/>
          <w:szCs w:val="24"/>
        </w:rPr>
      </w:pPr>
      <w:bookmarkStart w:id="40" w:name="_Toc152946759"/>
      <w:r>
        <w:rPr>
          <w:rFonts w:ascii="Times New Roman" w:hAnsi="Times New Roman"/>
          <w:i w:val="0"/>
          <w:color w:val="5B9BD5" w:themeColor="accent1"/>
          <w:sz w:val="24"/>
          <w:szCs w:val="24"/>
        </w:rPr>
        <w:t>2.3.</w:t>
      </w:r>
      <w:r>
        <w:rPr>
          <w:rFonts w:ascii="Times New Roman" w:hAnsi="Times New Roman"/>
          <w:i w:val="0"/>
          <w:color w:val="5B9BD5" w:themeColor="accent1"/>
          <w:sz w:val="24"/>
          <w:szCs w:val="24"/>
        </w:rPr>
        <w:tab/>
        <w:t>Vzťah</w:t>
      </w:r>
      <w:r w:rsidR="00E0030D" w:rsidRPr="007A2102">
        <w:rPr>
          <w:rFonts w:ascii="Times New Roman" w:hAnsi="Times New Roman"/>
          <w:i w:val="0"/>
          <w:color w:val="5B9BD5" w:themeColor="accent1"/>
          <w:sz w:val="24"/>
          <w:szCs w:val="24"/>
        </w:rPr>
        <w:t xml:space="preserve"> limitu verejných výdavkov k</w:t>
      </w:r>
      <w:r w:rsidR="004528CC" w:rsidRPr="007A2102">
        <w:rPr>
          <w:rFonts w:ascii="Times New Roman" w:hAnsi="Times New Roman"/>
          <w:i w:val="0"/>
          <w:color w:val="5B9BD5" w:themeColor="accent1"/>
          <w:sz w:val="24"/>
          <w:szCs w:val="24"/>
        </w:rPr>
        <w:t xml:space="preserve"> návrhu </w:t>
      </w:r>
      <w:r w:rsidR="00E0030D" w:rsidRPr="007A2102">
        <w:rPr>
          <w:rFonts w:ascii="Times New Roman" w:hAnsi="Times New Roman"/>
          <w:i w:val="0"/>
          <w:color w:val="5B9BD5" w:themeColor="accent1"/>
          <w:sz w:val="24"/>
          <w:szCs w:val="24"/>
        </w:rPr>
        <w:t>rozpočtu verejnej správy na roky 2024 až 2026</w:t>
      </w:r>
      <w:bookmarkEnd w:id="40"/>
    </w:p>
    <w:p w14:paraId="2B93D334" w14:textId="77777777" w:rsidR="00E0030D" w:rsidRDefault="00E0030D" w:rsidP="00850281">
      <w:pPr>
        <w:spacing w:after="0" w:line="240" w:lineRule="auto"/>
        <w:jc w:val="both"/>
        <w:rPr>
          <w:rFonts w:ascii="Times New Roman" w:hAnsi="Times New Roman" w:cs="Times New Roman"/>
          <w:sz w:val="24"/>
          <w:szCs w:val="24"/>
        </w:rPr>
      </w:pPr>
    </w:p>
    <w:p w14:paraId="611A3ADE" w14:textId="77777777" w:rsidR="00F62FCA" w:rsidRPr="00D02A05" w:rsidRDefault="00F62FCA" w:rsidP="00F62FCA">
      <w:pPr>
        <w:spacing w:after="0" w:line="240" w:lineRule="auto"/>
        <w:jc w:val="both"/>
        <w:rPr>
          <w:rFonts w:ascii="Times New Roman" w:hAnsi="Times New Roman" w:cs="Times New Roman"/>
          <w:sz w:val="24"/>
          <w:szCs w:val="24"/>
        </w:rPr>
      </w:pPr>
      <w:r w:rsidRPr="00D02A05">
        <w:rPr>
          <w:rFonts w:ascii="Times New Roman" w:hAnsi="Times New Roman" w:cs="Times New Roman"/>
          <w:sz w:val="24"/>
          <w:szCs w:val="24"/>
        </w:rPr>
        <w:t>Zákonom č. 101/2022 Z. z., ktorým sa mení a dopĺňa zákon č. 523/2004 Z. z. o rozpočtových pravidlách verejnej správy a o zmene a doplnení niektorých zákonov v znení neskorších predpisov a ktorým sa menia a dopĺňajú niektoré zákony účinným od 1. apríla 2022 boli do právneho poriadku SR prijaté ustanovenia týkajúce sa limitu verejných výdavkov s cieľom zabezpečenia dlhodobej udržateľnosti verejných financií.</w:t>
      </w:r>
    </w:p>
    <w:p w14:paraId="465153B4" w14:textId="77777777" w:rsidR="00F62FCA" w:rsidRPr="00D02A05" w:rsidRDefault="00F62FCA" w:rsidP="00F62FCA">
      <w:pPr>
        <w:spacing w:after="0" w:line="240" w:lineRule="auto"/>
        <w:ind w:left="57"/>
        <w:jc w:val="both"/>
        <w:rPr>
          <w:rFonts w:ascii="Times New Roman" w:hAnsi="Times New Roman" w:cs="Times New Roman"/>
          <w:sz w:val="24"/>
          <w:szCs w:val="24"/>
        </w:rPr>
      </w:pPr>
    </w:p>
    <w:p w14:paraId="3905004D" w14:textId="77777777" w:rsidR="00F62FCA" w:rsidRPr="00D02A05" w:rsidRDefault="00F62FCA" w:rsidP="00F62FCA">
      <w:pPr>
        <w:spacing w:after="0" w:line="240" w:lineRule="auto"/>
        <w:jc w:val="both"/>
        <w:rPr>
          <w:rFonts w:ascii="Times New Roman" w:hAnsi="Times New Roman" w:cs="Times New Roman"/>
          <w:sz w:val="24"/>
          <w:szCs w:val="24"/>
        </w:rPr>
      </w:pPr>
      <w:r w:rsidRPr="00D02A05">
        <w:rPr>
          <w:rFonts w:ascii="Times New Roman" w:hAnsi="Times New Roman" w:cs="Times New Roman"/>
          <w:sz w:val="24"/>
          <w:szCs w:val="24"/>
        </w:rPr>
        <w:t xml:space="preserve">Limitom verejných výdavkov sa rozumie maximálna výška celkových časovo rozlíšených konsolidovaných výdavkov verejnej správy v jednotnej metodike platnej pre Európsku úniu, </w:t>
      </w:r>
      <w:r w:rsidRPr="00D02A05">
        <w:rPr>
          <w:rFonts w:ascii="Times New Roman" w:hAnsi="Times New Roman" w:cs="Times New Roman"/>
          <w:sz w:val="24"/>
          <w:szCs w:val="24"/>
        </w:rPr>
        <w:lastRenderedPageBreak/>
        <w:t>pričom limit verejných výdavkov sa nevzťahuje na výdavky územnej samosprávy, prostriedky z rozpočtu Európskej únie a prostriedky štátneho rozpočtu určené na financovanie spoločných programov Slovenskej republiky a Európskej únie, odvody Európskej únii, výdavky na správu dlhu verejnej správy, jednorazové výdavky a vplyv hospodárskeho cyklu na výdavky verejnej správy. Za prostriedky z rozpočtu Európskej únie sa považujú aj prostriedky mechanizmu na podporu obnovy a odolnosti.</w:t>
      </w:r>
    </w:p>
    <w:p w14:paraId="0FE950A2" w14:textId="77777777" w:rsidR="00F62FCA" w:rsidRPr="00D02A05" w:rsidRDefault="00F62FCA" w:rsidP="00F62FCA">
      <w:pPr>
        <w:spacing w:after="0" w:line="240" w:lineRule="auto"/>
        <w:jc w:val="both"/>
        <w:rPr>
          <w:rFonts w:ascii="Times New Roman" w:hAnsi="Times New Roman" w:cs="Times New Roman"/>
          <w:sz w:val="24"/>
          <w:szCs w:val="24"/>
        </w:rPr>
      </w:pPr>
    </w:p>
    <w:p w14:paraId="04C71558" w14:textId="0F277B37" w:rsidR="00F62FCA" w:rsidRPr="007A4042" w:rsidRDefault="00F62FCA" w:rsidP="00F62FCA">
      <w:pPr>
        <w:spacing w:after="0" w:line="240" w:lineRule="auto"/>
        <w:jc w:val="both"/>
        <w:rPr>
          <w:rFonts w:ascii="Times New Roman" w:hAnsi="Times New Roman" w:cs="Times New Roman"/>
          <w:b/>
          <w:sz w:val="24"/>
          <w:szCs w:val="24"/>
        </w:rPr>
      </w:pPr>
      <w:r w:rsidRPr="00D02A05">
        <w:rPr>
          <w:rFonts w:ascii="Times New Roman" w:hAnsi="Times New Roman" w:cs="Times New Roman"/>
          <w:sz w:val="24"/>
          <w:szCs w:val="24"/>
        </w:rPr>
        <w:t>Dňa 1. februára 2023 Národná rada SR schválila limit verejných výdavkov na roky 2023 až 2025.</w:t>
      </w:r>
      <w:r w:rsidRPr="00D02A05">
        <w:rPr>
          <w:rFonts w:ascii="Arial Narrow" w:hAnsi="Arial Narrow"/>
          <w:b/>
        </w:rPr>
        <w:t xml:space="preserve"> </w:t>
      </w:r>
      <w:r w:rsidRPr="007A4042">
        <w:rPr>
          <w:rFonts w:ascii="Times New Roman" w:hAnsi="Times New Roman" w:cs="Times New Roman"/>
          <w:sz w:val="24"/>
          <w:szCs w:val="24"/>
        </w:rPr>
        <w:t>S ohľadom n</w:t>
      </w:r>
      <w:r>
        <w:rPr>
          <w:rFonts w:ascii="Times New Roman" w:hAnsi="Times New Roman" w:cs="Times New Roman"/>
          <w:sz w:val="24"/>
          <w:szCs w:val="24"/>
        </w:rPr>
        <w:t>a znenie prechodného ustanovenia</w:t>
      </w:r>
      <w:r w:rsidRPr="007A4042">
        <w:rPr>
          <w:rFonts w:ascii="Times New Roman" w:hAnsi="Times New Roman" w:cs="Times New Roman"/>
          <w:sz w:val="24"/>
          <w:szCs w:val="24"/>
        </w:rPr>
        <w:t xml:space="preserve"> § 37m ods. 4 zákona č. 523/2004 Z. z. uplynutím VIII. volebného obdobia limity</w:t>
      </w:r>
      <w:r>
        <w:rPr>
          <w:rFonts w:ascii="Times New Roman" w:hAnsi="Times New Roman" w:cs="Times New Roman"/>
          <w:sz w:val="24"/>
          <w:szCs w:val="24"/>
        </w:rPr>
        <w:t xml:space="preserve"> verejných výdavkov</w:t>
      </w:r>
      <w:r w:rsidRPr="007A4042">
        <w:rPr>
          <w:rFonts w:ascii="Times New Roman" w:hAnsi="Times New Roman" w:cs="Times New Roman"/>
          <w:sz w:val="24"/>
          <w:szCs w:val="24"/>
        </w:rPr>
        <w:t xml:space="preserve"> schvále</w:t>
      </w:r>
      <w:r>
        <w:rPr>
          <w:rFonts w:ascii="Times New Roman" w:hAnsi="Times New Roman" w:cs="Times New Roman"/>
          <w:sz w:val="24"/>
          <w:szCs w:val="24"/>
        </w:rPr>
        <w:t>né národnou radou na roky 2024 a </w:t>
      </w:r>
      <w:r w:rsidRPr="007A4042">
        <w:rPr>
          <w:rFonts w:ascii="Times New Roman" w:hAnsi="Times New Roman" w:cs="Times New Roman"/>
          <w:sz w:val="24"/>
          <w:szCs w:val="24"/>
        </w:rPr>
        <w:t>2025</w:t>
      </w:r>
      <w:r>
        <w:rPr>
          <w:rFonts w:ascii="Times New Roman" w:hAnsi="Times New Roman" w:cs="Times New Roman"/>
          <w:sz w:val="24"/>
          <w:szCs w:val="24"/>
        </w:rPr>
        <w:t xml:space="preserve"> strácajú platnosť</w:t>
      </w:r>
      <w:r w:rsidRPr="007A4042">
        <w:rPr>
          <w:rFonts w:ascii="Times New Roman" w:hAnsi="Times New Roman" w:cs="Times New Roman"/>
          <w:sz w:val="24"/>
          <w:szCs w:val="24"/>
        </w:rPr>
        <w:t>.</w:t>
      </w:r>
      <w:r w:rsidRPr="007A4042">
        <w:rPr>
          <w:rFonts w:ascii="Arial Narrow" w:hAnsi="Arial Narrow"/>
        </w:rPr>
        <w:t xml:space="preserve"> </w:t>
      </w:r>
      <w:r w:rsidRPr="007A4042">
        <w:rPr>
          <w:rFonts w:ascii="Times New Roman" w:hAnsi="Times New Roman" w:cs="Times New Roman"/>
          <w:sz w:val="24"/>
          <w:szCs w:val="24"/>
        </w:rPr>
        <w:t>V novom volebnom období sa už aplikujú systémové ustan</w:t>
      </w:r>
      <w:r w:rsidR="000B63C5">
        <w:rPr>
          <w:rFonts w:ascii="Times New Roman" w:hAnsi="Times New Roman" w:cs="Times New Roman"/>
          <w:sz w:val="24"/>
          <w:szCs w:val="24"/>
        </w:rPr>
        <w:t>ovenia. P</w:t>
      </w:r>
      <w:r w:rsidRPr="007A4042">
        <w:rPr>
          <w:rFonts w:ascii="Times New Roman" w:hAnsi="Times New Roman" w:cs="Times New Roman"/>
          <w:sz w:val="24"/>
          <w:szCs w:val="24"/>
        </w:rPr>
        <w:t xml:space="preserve">rechodné ustanovenia </w:t>
      </w:r>
      <w:r w:rsidR="00CA096E">
        <w:rPr>
          <w:rFonts w:ascii="Times New Roman" w:hAnsi="Times New Roman" w:cs="Times New Roman"/>
          <w:sz w:val="24"/>
          <w:szCs w:val="24"/>
        </w:rPr>
        <w:t xml:space="preserve">37m ods. 4 </w:t>
      </w:r>
      <w:r w:rsidRPr="007A4042">
        <w:rPr>
          <w:rFonts w:ascii="Times New Roman" w:hAnsi="Times New Roman" w:cs="Times New Roman"/>
          <w:sz w:val="24"/>
          <w:szCs w:val="24"/>
        </w:rPr>
        <w:t>zákona č. 523/2004 Z. z., ktoré upravovali limit verejných výdavkov v priebehu pre</w:t>
      </w:r>
      <w:r w:rsidR="000B63C5">
        <w:rPr>
          <w:rFonts w:ascii="Times New Roman" w:hAnsi="Times New Roman" w:cs="Times New Roman"/>
          <w:sz w:val="24"/>
          <w:szCs w:val="24"/>
        </w:rPr>
        <w:t>dchádzajúceho volebného obdobia sa neaplikujú.</w:t>
      </w:r>
    </w:p>
    <w:p w14:paraId="648A972D" w14:textId="77777777" w:rsidR="00F62FCA" w:rsidRDefault="00F62FCA" w:rsidP="00F62FCA">
      <w:pPr>
        <w:spacing w:after="0" w:line="240" w:lineRule="auto"/>
        <w:jc w:val="both"/>
        <w:rPr>
          <w:rFonts w:ascii="Times New Roman" w:hAnsi="Times New Roman" w:cs="Times New Roman"/>
          <w:sz w:val="24"/>
          <w:szCs w:val="24"/>
        </w:rPr>
      </w:pPr>
    </w:p>
    <w:p w14:paraId="33D67AC1" w14:textId="594D4D3A" w:rsidR="00F62FCA" w:rsidRDefault="00F62FCA" w:rsidP="00F62F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Nakoľko</w:t>
      </w:r>
      <w:r w:rsidRPr="00D02A05">
        <w:rPr>
          <w:rFonts w:ascii="Times New Roman" w:hAnsi="Times New Roman" w:cs="Times New Roman"/>
          <w:sz w:val="24"/>
          <w:szCs w:val="24"/>
        </w:rPr>
        <w:t xml:space="preserve"> do 30. septembra nebolo schválené programové vyhlásenie vlády a vyslovená dôvera vláde</w:t>
      </w:r>
      <w:r w:rsidR="00B73E62">
        <w:rPr>
          <w:rFonts w:ascii="Times New Roman" w:hAnsi="Times New Roman" w:cs="Times New Roman"/>
          <w:sz w:val="24"/>
          <w:szCs w:val="24"/>
        </w:rPr>
        <w:t>,</w:t>
      </w:r>
      <w:r w:rsidRPr="00D02A05">
        <w:rPr>
          <w:rFonts w:ascii="Times New Roman" w:hAnsi="Times New Roman" w:cs="Times New Roman"/>
          <w:sz w:val="24"/>
          <w:szCs w:val="24"/>
        </w:rPr>
        <w:t xml:space="preserve"> Rada pre rozpočtovú zodpovednosť </w:t>
      </w:r>
      <w:r>
        <w:rPr>
          <w:rFonts w:ascii="Times New Roman" w:hAnsi="Times New Roman" w:cs="Times New Roman"/>
          <w:sz w:val="24"/>
          <w:szCs w:val="24"/>
        </w:rPr>
        <w:t>v zmysle § 30aa</w:t>
      </w:r>
      <w:r w:rsidRPr="00D02A05">
        <w:rPr>
          <w:rFonts w:ascii="Times New Roman" w:hAnsi="Times New Roman" w:cs="Times New Roman"/>
          <w:sz w:val="24"/>
          <w:szCs w:val="24"/>
        </w:rPr>
        <w:t xml:space="preserve"> ods. 16 zákona č. 523/2004 Z.</w:t>
      </w:r>
      <w:r>
        <w:rPr>
          <w:rFonts w:ascii="Times New Roman" w:hAnsi="Times New Roman" w:cs="Times New Roman"/>
          <w:sz w:val="24"/>
          <w:szCs w:val="24"/>
        </w:rPr>
        <w:t xml:space="preserve"> </w:t>
      </w:r>
      <w:r w:rsidRPr="00D02A05">
        <w:rPr>
          <w:rFonts w:ascii="Times New Roman" w:hAnsi="Times New Roman" w:cs="Times New Roman"/>
          <w:sz w:val="24"/>
          <w:szCs w:val="24"/>
        </w:rPr>
        <w:t>z. vypočítala</w:t>
      </w:r>
      <w:r>
        <w:rPr>
          <w:rFonts w:ascii="Times New Roman" w:hAnsi="Times New Roman" w:cs="Times New Roman"/>
          <w:sz w:val="24"/>
          <w:szCs w:val="24"/>
        </w:rPr>
        <w:t xml:space="preserve"> limit verejných výdavkov (tzv. indikatívny limit verejných výdavkov na roky 2024 až 2027). </w:t>
      </w:r>
    </w:p>
    <w:p w14:paraId="46301D0C" w14:textId="77777777" w:rsidR="000B63C5" w:rsidRDefault="000B63C5" w:rsidP="00F62FCA">
      <w:pPr>
        <w:spacing w:after="0" w:line="240" w:lineRule="auto"/>
        <w:jc w:val="both"/>
        <w:rPr>
          <w:rFonts w:ascii="Times New Roman" w:hAnsi="Times New Roman" w:cs="Times New Roman"/>
          <w:sz w:val="24"/>
          <w:szCs w:val="24"/>
        </w:rPr>
      </w:pPr>
    </w:p>
    <w:p w14:paraId="3ED73485" w14:textId="77777777" w:rsidR="00F62FCA" w:rsidRDefault="00F62FCA" w:rsidP="00F62FCA">
      <w:pPr>
        <w:spacing w:after="0" w:line="240" w:lineRule="auto"/>
        <w:jc w:val="both"/>
        <w:rPr>
          <w:rFonts w:ascii="Times New Roman" w:hAnsi="Times New Roman" w:cs="Times New Roman"/>
          <w:sz w:val="24"/>
          <w:szCs w:val="24"/>
        </w:rPr>
      </w:pPr>
      <w:r w:rsidRPr="005E75EE">
        <w:rPr>
          <w:rFonts w:ascii="Times New Roman" w:hAnsi="Times New Roman" w:cs="Times New Roman"/>
          <w:sz w:val="24"/>
          <w:szCs w:val="24"/>
        </w:rPr>
        <w:t>Indikatívny limit verejných výdavkov však neobsahuje najnovšiu makro</w:t>
      </w:r>
      <w:r>
        <w:rPr>
          <w:rFonts w:ascii="Times New Roman" w:hAnsi="Times New Roman" w:cs="Times New Roman"/>
          <w:sz w:val="24"/>
          <w:szCs w:val="24"/>
        </w:rPr>
        <w:t xml:space="preserve">ekonomickú prognózu </w:t>
      </w:r>
      <w:r w:rsidRPr="005E75EE">
        <w:rPr>
          <w:rFonts w:ascii="Times New Roman" w:hAnsi="Times New Roman" w:cs="Times New Roman"/>
          <w:sz w:val="24"/>
          <w:szCs w:val="24"/>
        </w:rPr>
        <w:t xml:space="preserve"> a</w:t>
      </w:r>
      <w:r>
        <w:rPr>
          <w:rFonts w:ascii="Times New Roman" w:hAnsi="Times New Roman" w:cs="Times New Roman"/>
          <w:sz w:val="24"/>
          <w:szCs w:val="24"/>
        </w:rPr>
        <w:t> daňovo-odvodovú</w:t>
      </w:r>
      <w:r w:rsidRPr="005E75EE">
        <w:rPr>
          <w:rFonts w:ascii="Times New Roman" w:hAnsi="Times New Roman" w:cs="Times New Roman"/>
          <w:sz w:val="24"/>
          <w:szCs w:val="24"/>
        </w:rPr>
        <w:t xml:space="preserve"> prognózu a ani ďalšie aktualizované dáta,</w:t>
      </w:r>
      <w:r>
        <w:rPr>
          <w:rFonts w:ascii="Times New Roman" w:hAnsi="Times New Roman" w:cs="Times New Roman"/>
          <w:sz w:val="24"/>
          <w:szCs w:val="24"/>
        </w:rPr>
        <w:t xml:space="preserve"> t. j. oproti návrhu rozpočtu je postavený na rozdielnych kľúčových predpokladoch, </w:t>
      </w:r>
      <w:r w:rsidRPr="005E75EE">
        <w:rPr>
          <w:rFonts w:ascii="Times New Roman" w:hAnsi="Times New Roman" w:cs="Times New Roman"/>
          <w:sz w:val="24"/>
          <w:szCs w:val="24"/>
        </w:rPr>
        <w:t xml:space="preserve">nie je možné </w:t>
      </w:r>
      <w:r>
        <w:rPr>
          <w:rFonts w:ascii="Times New Roman" w:hAnsi="Times New Roman" w:cs="Times New Roman"/>
          <w:sz w:val="24"/>
          <w:szCs w:val="24"/>
        </w:rPr>
        <w:t xml:space="preserve">ho </w:t>
      </w:r>
      <w:r w:rsidRPr="005E75EE">
        <w:rPr>
          <w:rFonts w:ascii="Times New Roman" w:hAnsi="Times New Roman" w:cs="Times New Roman"/>
          <w:sz w:val="24"/>
          <w:szCs w:val="24"/>
        </w:rPr>
        <w:t xml:space="preserve">považovať </w:t>
      </w:r>
      <w:r w:rsidRPr="005B3D0C">
        <w:rPr>
          <w:rFonts w:ascii="Times New Roman" w:hAnsi="Times New Roman" w:cs="Times New Roman"/>
          <w:sz w:val="24"/>
          <w:szCs w:val="24"/>
        </w:rPr>
        <w:t>za náležitý a porovnateľný pre zostavenie návrhu rozpočtu verejnej správy na roky 2024 až 2026.</w:t>
      </w:r>
    </w:p>
    <w:p w14:paraId="6106A004" w14:textId="77777777" w:rsidR="00F62FCA" w:rsidRDefault="00F62FCA" w:rsidP="00F62F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635A127" w14:textId="77777777" w:rsidR="00F62FCA" w:rsidRDefault="00F62FCA" w:rsidP="00F62F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D02A05">
        <w:rPr>
          <w:rFonts w:ascii="Times New Roman" w:hAnsi="Times New Roman" w:cs="Times New Roman"/>
          <w:sz w:val="24"/>
          <w:szCs w:val="24"/>
        </w:rPr>
        <w:t>o schválení programového vyhlásenia vlády a vyslovení dôvery vláde</w:t>
      </w:r>
      <w:r>
        <w:rPr>
          <w:rFonts w:ascii="Times New Roman" w:hAnsi="Times New Roman" w:cs="Times New Roman"/>
          <w:sz w:val="24"/>
          <w:szCs w:val="24"/>
        </w:rPr>
        <w:t xml:space="preserve"> má</w:t>
      </w:r>
      <w:r w:rsidRPr="00D02A05">
        <w:rPr>
          <w:rFonts w:ascii="Times New Roman" w:hAnsi="Times New Roman" w:cs="Times New Roman"/>
          <w:sz w:val="24"/>
          <w:szCs w:val="24"/>
        </w:rPr>
        <w:t xml:space="preserve"> rada</w:t>
      </w:r>
      <w:r>
        <w:rPr>
          <w:rFonts w:ascii="Times New Roman" w:hAnsi="Times New Roman" w:cs="Times New Roman"/>
          <w:sz w:val="24"/>
          <w:szCs w:val="24"/>
        </w:rPr>
        <w:t xml:space="preserve"> povinnosť</w:t>
      </w:r>
      <w:r w:rsidRPr="00D02A05">
        <w:rPr>
          <w:rFonts w:ascii="Times New Roman" w:hAnsi="Times New Roman" w:cs="Times New Roman"/>
          <w:sz w:val="24"/>
          <w:szCs w:val="24"/>
        </w:rPr>
        <w:t xml:space="preserve"> limity</w:t>
      </w:r>
      <w:r>
        <w:rPr>
          <w:rFonts w:ascii="Times New Roman" w:hAnsi="Times New Roman" w:cs="Times New Roman"/>
          <w:sz w:val="24"/>
          <w:szCs w:val="24"/>
        </w:rPr>
        <w:t xml:space="preserve"> verejných výdavkov</w:t>
      </w:r>
      <w:r w:rsidRPr="00D02A05">
        <w:rPr>
          <w:rFonts w:ascii="Times New Roman" w:hAnsi="Times New Roman" w:cs="Times New Roman"/>
          <w:sz w:val="24"/>
          <w:szCs w:val="24"/>
        </w:rPr>
        <w:t xml:space="preserve"> opätovne vypočíta</w:t>
      </w:r>
      <w:r>
        <w:rPr>
          <w:rFonts w:ascii="Times New Roman" w:hAnsi="Times New Roman" w:cs="Times New Roman"/>
          <w:sz w:val="24"/>
          <w:szCs w:val="24"/>
        </w:rPr>
        <w:t>ť</w:t>
      </w:r>
      <w:r w:rsidRPr="00D02A05">
        <w:rPr>
          <w:rFonts w:ascii="Times New Roman" w:hAnsi="Times New Roman" w:cs="Times New Roman"/>
          <w:sz w:val="24"/>
          <w:szCs w:val="24"/>
        </w:rPr>
        <w:t xml:space="preserve"> </w:t>
      </w:r>
      <w:r>
        <w:rPr>
          <w:rFonts w:ascii="Times New Roman" w:hAnsi="Times New Roman" w:cs="Times New Roman"/>
          <w:sz w:val="24"/>
          <w:szCs w:val="24"/>
        </w:rPr>
        <w:t>a predložiť</w:t>
      </w:r>
      <w:r w:rsidRPr="00D02A05">
        <w:rPr>
          <w:rFonts w:ascii="Times New Roman" w:hAnsi="Times New Roman" w:cs="Times New Roman"/>
          <w:sz w:val="24"/>
          <w:szCs w:val="24"/>
        </w:rPr>
        <w:t xml:space="preserve"> na rokovanie národnej rady do 60 dní po schválení programového vyhlásenia vlády a vyslovení dôvery vláde. </w:t>
      </w:r>
      <w:r>
        <w:rPr>
          <w:rFonts w:ascii="Times New Roman" w:hAnsi="Times New Roman" w:cs="Times New Roman"/>
          <w:sz w:val="24"/>
          <w:szCs w:val="24"/>
        </w:rPr>
        <w:t xml:space="preserve">Takto vypočítaný a </w:t>
      </w:r>
      <w:r w:rsidRPr="00D02A05">
        <w:rPr>
          <w:rFonts w:ascii="Times New Roman" w:hAnsi="Times New Roman" w:cs="Times New Roman"/>
          <w:sz w:val="24"/>
          <w:szCs w:val="24"/>
        </w:rPr>
        <w:t>Národnou radou SR</w:t>
      </w:r>
      <w:r>
        <w:rPr>
          <w:rFonts w:ascii="Times New Roman" w:hAnsi="Times New Roman" w:cs="Times New Roman"/>
          <w:sz w:val="24"/>
          <w:szCs w:val="24"/>
        </w:rPr>
        <w:t xml:space="preserve"> schválený limit </w:t>
      </w:r>
      <w:r w:rsidRPr="00D02A05">
        <w:rPr>
          <w:rFonts w:ascii="Times New Roman" w:hAnsi="Times New Roman" w:cs="Times New Roman"/>
          <w:sz w:val="24"/>
          <w:szCs w:val="24"/>
        </w:rPr>
        <w:t xml:space="preserve">bude </w:t>
      </w:r>
      <w:r>
        <w:rPr>
          <w:rFonts w:ascii="Times New Roman" w:hAnsi="Times New Roman" w:cs="Times New Roman"/>
          <w:sz w:val="24"/>
          <w:szCs w:val="24"/>
        </w:rPr>
        <w:t>platným limitom verejných výdavkov pre realizáciu rozpočtu verejnej správy</w:t>
      </w:r>
      <w:r w:rsidRPr="00D02A05">
        <w:rPr>
          <w:rFonts w:ascii="Times New Roman" w:hAnsi="Times New Roman" w:cs="Times New Roman"/>
          <w:sz w:val="24"/>
          <w:szCs w:val="24"/>
        </w:rPr>
        <w:t>.</w:t>
      </w:r>
      <w:r>
        <w:rPr>
          <w:rFonts w:ascii="Times New Roman" w:hAnsi="Times New Roman" w:cs="Times New Roman"/>
          <w:sz w:val="24"/>
          <w:szCs w:val="24"/>
        </w:rPr>
        <w:t xml:space="preserve"> Z dôvodu neexistencie platného limitu nie je možné v návrhu rozpočtu verejnej správy reflektovať na limit verejných výdavkov.</w:t>
      </w:r>
    </w:p>
    <w:p w14:paraId="62743DFE" w14:textId="77777777" w:rsidR="00F62FCA" w:rsidRDefault="00F62FCA" w:rsidP="00F62FCA">
      <w:pPr>
        <w:spacing w:after="0" w:line="240" w:lineRule="auto"/>
        <w:jc w:val="both"/>
        <w:rPr>
          <w:rFonts w:ascii="Times New Roman" w:hAnsi="Times New Roman" w:cs="Times New Roman"/>
          <w:sz w:val="24"/>
          <w:szCs w:val="24"/>
        </w:rPr>
      </w:pPr>
    </w:p>
    <w:p w14:paraId="207B1789" w14:textId="77777777" w:rsidR="00F62FCA" w:rsidRDefault="00F62FCA" w:rsidP="00F62F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 situácii, ak Národná rada SR schváli návrh zákona o štátnom rozpočte na rok 2024 skôr ako schváli limit verejných výdavkov, rozpočet verejnej správy by sa v zmysle platnej legislatívy realizoval v súlade s takto schváleným limitom verejných výdavkov. </w:t>
      </w:r>
    </w:p>
    <w:p w14:paraId="71705F31" w14:textId="1BB6C27C" w:rsidR="00276934" w:rsidRDefault="00276934" w:rsidP="00850281">
      <w:pPr>
        <w:spacing w:after="0" w:line="240" w:lineRule="auto"/>
        <w:jc w:val="both"/>
        <w:rPr>
          <w:rFonts w:ascii="Times New Roman" w:hAnsi="Times New Roman" w:cs="Times New Roman"/>
          <w:sz w:val="24"/>
          <w:szCs w:val="24"/>
        </w:rPr>
      </w:pPr>
    </w:p>
    <w:p w14:paraId="7F00BF20" w14:textId="77777777" w:rsidR="000C265D" w:rsidRDefault="007A2102" w:rsidP="00850281">
      <w:pPr>
        <w:pStyle w:val="Nadpis2"/>
        <w:spacing w:before="0" w:after="0"/>
        <w:rPr>
          <w:rFonts w:ascii="Times New Roman" w:hAnsi="Times New Roman"/>
          <w:i w:val="0"/>
          <w:color w:val="5B9BD5" w:themeColor="accent1"/>
          <w:sz w:val="24"/>
          <w:szCs w:val="24"/>
        </w:rPr>
      </w:pPr>
      <w:bookmarkStart w:id="41" w:name="_Toc53040757"/>
      <w:bookmarkStart w:id="42" w:name="_Toc152946760"/>
      <w:r>
        <w:rPr>
          <w:rFonts w:ascii="Times New Roman" w:hAnsi="Times New Roman"/>
          <w:i w:val="0"/>
          <w:color w:val="5B9BD5" w:themeColor="accent1"/>
          <w:sz w:val="24"/>
          <w:szCs w:val="24"/>
        </w:rPr>
        <w:t>2.4</w:t>
      </w:r>
      <w:r w:rsidR="000C265D">
        <w:rPr>
          <w:rFonts w:ascii="Times New Roman" w:hAnsi="Times New Roman"/>
          <w:i w:val="0"/>
          <w:color w:val="5B9BD5" w:themeColor="accent1"/>
          <w:sz w:val="24"/>
          <w:szCs w:val="24"/>
        </w:rPr>
        <w:t xml:space="preserve">. </w:t>
      </w:r>
      <w:r w:rsidR="000C265D" w:rsidRPr="000C41B0">
        <w:rPr>
          <w:rFonts w:ascii="Times New Roman" w:hAnsi="Times New Roman"/>
          <w:i w:val="0"/>
          <w:color w:val="5B9BD5" w:themeColor="accent1"/>
          <w:sz w:val="24"/>
          <w:szCs w:val="24"/>
        </w:rPr>
        <w:t>Hrubý dlh</w:t>
      </w:r>
      <w:bookmarkEnd w:id="41"/>
      <w:bookmarkEnd w:id="42"/>
    </w:p>
    <w:p w14:paraId="5BB91250" w14:textId="35E7EA50" w:rsidR="00B01C4E" w:rsidRPr="00B01C4E" w:rsidRDefault="00B01C4E" w:rsidP="00B01C4E">
      <w:pPr>
        <w:widowControl w:val="0"/>
        <w:spacing w:before="240" w:after="240"/>
        <w:jc w:val="both"/>
        <w:rPr>
          <w:rFonts w:ascii="Times New Roman" w:eastAsia="Calibri" w:hAnsi="Times New Roman" w:cs="Times New Roman"/>
          <w:sz w:val="24"/>
          <w:szCs w:val="24"/>
        </w:rPr>
      </w:pPr>
      <w:r w:rsidRPr="00B01C4E">
        <w:rPr>
          <w:rFonts w:ascii="Times New Roman" w:eastAsia="Calibri" w:hAnsi="Times New Roman" w:cs="Times New Roman"/>
          <w:b/>
          <w:sz w:val="24"/>
          <w:szCs w:val="24"/>
        </w:rPr>
        <w:t xml:space="preserve">Dlh verejnej správy v roku 2022 dosiahol 63,378 mld. EUR (57,8 % HDP) a medziročne </w:t>
      </w:r>
      <w:r>
        <w:rPr>
          <w:rFonts w:ascii="Times New Roman" w:eastAsia="Calibri" w:hAnsi="Times New Roman" w:cs="Times New Roman"/>
          <w:b/>
          <w:sz w:val="24"/>
          <w:szCs w:val="24"/>
        </w:rPr>
        <w:t>vzrástol o 2,141 mld. eur</w:t>
      </w:r>
      <w:r w:rsidRPr="00B01C4E">
        <w:rPr>
          <w:rFonts w:ascii="Times New Roman" w:eastAsia="Calibri" w:hAnsi="Times New Roman" w:cs="Times New Roman"/>
          <w:b/>
          <w:sz w:val="24"/>
          <w:szCs w:val="24"/>
        </w:rPr>
        <w:t xml:space="preserve">. </w:t>
      </w:r>
      <w:r w:rsidRPr="00B01C4E">
        <w:rPr>
          <w:rFonts w:ascii="Times New Roman" w:eastAsia="Calibri" w:hAnsi="Times New Roman" w:cs="Times New Roman"/>
          <w:sz w:val="24"/>
          <w:szCs w:val="24"/>
        </w:rPr>
        <w:t xml:space="preserve">V pomere k HDP sa vrátil späť pod referenčnú hranicu 60 % HDP. Počas pandémie hrubý dlh prudko stúpol z predkrízových 48 % na vyše 61 % HDP v roku 2021 čo v nominálnom vyjadrení je nárast o 18,072 mld. EUR. V minulom roku sa rýchlosť rastu zadlženia spomalila a len vďaka vysokej inflácie sa dlh v pomere k HDP prvýkrát po </w:t>
      </w:r>
      <w:proofErr w:type="spellStart"/>
      <w:r w:rsidRPr="00B01C4E">
        <w:rPr>
          <w:rFonts w:ascii="Times New Roman" w:eastAsia="Calibri" w:hAnsi="Times New Roman" w:cs="Times New Roman"/>
          <w:sz w:val="24"/>
          <w:szCs w:val="24"/>
        </w:rPr>
        <w:t>pandemickej</w:t>
      </w:r>
      <w:proofErr w:type="spellEnd"/>
      <w:r w:rsidRPr="00B01C4E">
        <w:rPr>
          <w:rFonts w:ascii="Times New Roman" w:eastAsia="Calibri" w:hAnsi="Times New Roman" w:cs="Times New Roman"/>
          <w:sz w:val="24"/>
          <w:szCs w:val="24"/>
        </w:rPr>
        <w:t xml:space="preserve"> kríze mierne znížil. </w:t>
      </w:r>
    </w:p>
    <w:p w14:paraId="1A17F0C2" w14:textId="4FC27E1B" w:rsidR="00B10329" w:rsidRPr="00B01C4E" w:rsidRDefault="00B01C4E" w:rsidP="00D94493">
      <w:pPr>
        <w:spacing w:after="0" w:line="240" w:lineRule="auto"/>
        <w:jc w:val="both"/>
        <w:rPr>
          <w:rFonts w:ascii="Times New Roman" w:eastAsia="Calibri" w:hAnsi="Times New Roman" w:cs="Times New Roman"/>
          <w:sz w:val="24"/>
          <w:szCs w:val="24"/>
        </w:rPr>
      </w:pPr>
      <w:r w:rsidRPr="00B01C4E">
        <w:rPr>
          <w:rFonts w:ascii="Times New Roman" w:eastAsia="Calibri" w:hAnsi="Times New Roman" w:cs="Times New Roman"/>
          <w:b/>
          <w:sz w:val="24"/>
          <w:szCs w:val="24"/>
        </w:rPr>
        <w:t>V roku 2023 sa medziročný rast dlhu opäť zrýchli na 5,823 mld</w:t>
      </w:r>
      <w:r>
        <w:rPr>
          <w:rFonts w:ascii="Times New Roman" w:eastAsia="Calibri" w:hAnsi="Times New Roman" w:cs="Times New Roman"/>
          <w:b/>
          <w:sz w:val="24"/>
          <w:szCs w:val="24"/>
        </w:rPr>
        <w:t>. eur</w:t>
      </w:r>
      <w:r w:rsidRPr="00B01C4E">
        <w:rPr>
          <w:rFonts w:ascii="Times New Roman" w:eastAsia="Calibri" w:hAnsi="Times New Roman" w:cs="Times New Roman"/>
          <w:b/>
          <w:sz w:val="24"/>
          <w:szCs w:val="24"/>
        </w:rPr>
        <w:t>.</w:t>
      </w:r>
      <w:r w:rsidR="005F74CB">
        <w:rPr>
          <w:rFonts w:ascii="Times New Roman" w:eastAsia="Calibri" w:hAnsi="Times New Roman" w:cs="Times New Roman"/>
          <w:b/>
          <w:sz w:val="24"/>
          <w:szCs w:val="24"/>
        </w:rPr>
        <w:t xml:space="preserve"> </w:t>
      </w:r>
      <w:r w:rsidRPr="00B01C4E">
        <w:rPr>
          <w:rFonts w:ascii="Times New Roman" w:eastAsia="Calibri" w:hAnsi="Times New Roman" w:cs="Times New Roman"/>
          <w:b/>
          <w:sz w:val="24"/>
          <w:szCs w:val="24"/>
        </w:rPr>
        <w:t xml:space="preserve"> </w:t>
      </w:r>
      <w:r w:rsidR="005F74CB">
        <w:rPr>
          <w:rFonts w:ascii="Times New Roman" w:eastAsia="Calibri" w:hAnsi="Times New Roman" w:cs="Times New Roman"/>
          <w:sz w:val="24"/>
          <w:szCs w:val="24"/>
        </w:rPr>
        <w:t>N</w:t>
      </w:r>
      <w:r w:rsidRPr="00B01C4E">
        <w:rPr>
          <w:rFonts w:ascii="Times New Roman" w:eastAsia="Calibri" w:hAnsi="Times New Roman" w:cs="Times New Roman"/>
          <w:sz w:val="24"/>
          <w:szCs w:val="24"/>
        </w:rPr>
        <w:t>apriek očakávanému deficitu rozpočtu verejnej správy na úrovni viac než 6 % HDP by mal dlh v pomere k H</w:t>
      </w:r>
      <w:r w:rsidR="0012793C">
        <w:rPr>
          <w:rFonts w:ascii="Times New Roman" w:eastAsia="Calibri" w:hAnsi="Times New Roman" w:cs="Times New Roman"/>
          <w:sz w:val="24"/>
          <w:szCs w:val="24"/>
        </w:rPr>
        <w:t>DP medziročne klesnúť o 1 p. b.</w:t>
      </w:r>
      <w:r w:rsidRPr="00B01C4E">
        <w:rPr>
          <w:rFonts w:ascii="Times New Roman" w:eastAsia="Calibri" w:hAnsi="Times New Roman" w:cs="Times New Roman"/>
          <w:sz w:val="24"/>
          <w:szCs w:val="24"/>
        </w:rPr>
        <w:t xml:space="preserve"> Negatívny vplyv vysokého schodku rozpočtu na dlh bude totiž kompenzovať silný nominálny rast ekonomiky ťahaný predovšetkým vysokou infláciou. K poklesu dlhu prispeje tiež väčšie využitie likvidných finančných zdrojov naakumulovaných v posledných dvoch rokoch, čo však nemožno považovať za faktor, ktorý by </w:t>
      </w:r>
      <w:r w:rsidRPr="00B01C4E">
        <w:rPr>
          <w:rFonts w:ascii="Times New Roman" w:eastAsia="Calibri" w:hAnsi="Times New Roman" w:cs="Times New Roman"/>
          <w:sz w:val="24"/>
          <w:szCs w:val="24"/>
        </w:rPr>
        <w:lastRenderedPageBreak/>
        <w:t>menil pohľad na stav zadlženia krajiny. Hrubý dlh by tak mal vo výsledku dosiahnuť 69,201 mld.</w:t>
      </w:r>
      <w:r>
        <w:rPr>
          <w:rFonts w:ascii="Times New Roman" w:eastAsia="Calibri" w:hAnsi="Times New Roman" w:cs="Times New Roman"/>
          <w:sz w:val="24"/>
          <w:szCs w:val="24"/>
        </w:rPr>
        <w:t xml:space="preserve"> eur</w:t>
      </w:r>
      <w:r w:rsidRPr="00B01C4E">
        <w:rPr>
          <w:rFonts w:ascii="Times New Roman" w:eastAsia="Calibri" w:hAnsi="Times New Roman" w:cs="Times New Roman"/>
          <w:sz w:val="24"/>
          <w:szCs w:val="24"/>
        </w:rPr>
        <w:t xml:space="preserve"> a v pomere k HDP sa dočasne znížiť pod 57 %.</w:t>
      </w:r>
    </w:p>
    <w:tbl>
      <w:tblPr>
        <w:tblW w:w="9072"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1E0" w:firstRow="1" w:lastRow="1" w:firstColumn="1" w:lastColumn="1" w:noHBand="0" w:noVBand="0"/>
      </w:tblPr>
      <w:tblGrid>
        <w:gridCol w:w="4950"/>
        <w:gridCol w:w="146"/>
        <w:gridCol w:w="3976"/>
      </w:tblGrid>
      <w:tr w:rsidR="00D94493" w:rsidRPr="00D94493" w14:paraId="61D6C654" w14:textId="77777777" w:rsidTr="00D94493">
        <w:trPr>
          <w:trHeight w:val="1678"/>
          <w:jc w:val="center"/>
        </w:trPr>
        <w:tc>
          <w:tcPr>
            <w:tcW w:w="4946" w:type="dxa"/>
            <w:tcBorders>
              <w:top w:val="nil"/>
              <w:left w:val="nil"/>
              <w:bottom w:val="single" w:sz="4" w:space="0" w:color="auto"/>
              <w:right w:val="nil"/>
            </w:tcBorders>
          </w:tcPr>
          <w:p w14:paraId="709E4657" w14:textId="76401AAC" w:rsidR="00D94493" w:rsidRPr="00D94493" w:rsidRDefault="00DF01A5" w:rsidP="00D94493">
            <w:pPr>
              <w:widowControl w:val="0"/>
              <w:pBdr>
                <w:bottom w:val="single" w:sz="4" w:space="1" w:color="auto"/>
              </w:pBdr>
              <w:spacing w:before="240" w:after="60" w:line="240" w:lineRule="auto"/>
              <w:outlineLvl w:val="2"/>
              <w:rPr>
                <w:rFonts w:ascii="Times New Roman" w:hAnsi="Times New Roman" w:cs="Times New Roman"/>
                <w:bCs/>
                <w:color w:val="2C9ADC"/>
                <w:sz w:val="20"/>
                <w:szCs w:val="20"/>
              </w:rPr>
            </w:pPr>
            <w:bookmarkStart w:id="43" w:name="_Toc152946761"/>
            <w:bookmarkStart w:id="44" w:name="_Toc153014650"/>
            <w:bookmarkStart w:id="45" w:name="_Toc101881952"/>
            <w:r>
              <w:rPr>
                <w:rFonts w:ascii="Times New Roman" w:hAnsi="Times New Roman" w:cs="Times New Roman"/>
                <w:b/>
                <w:bCs/>
                <w:color w:val="2C9ADC"/>
                <w:sz w:val="20"/>
                <w:szCs w:val="20"/>
              </w:rPr>
              <w:t xml:space="preserve">Graf </w:t>
            </w:r>
            <w:r w:rsidRPr="00D94493">
              <w:rPr>
                <w:rFonts w:ascii="Times New Roman" w:eastAsia="Calibri" w:hAnsi="Times New Roman" w:cs="Times New Roman"/>
                <w:b/>
                <w:iCs/>
                <w:color w:val="5B9BD5"/>
                <w:sz w:val="20"/>
                <w:szCs w:val="18"/>
              </w:rPr>
              <w:fldChar w:fldCharType="begin"/>
            </w:r>
            <w:r w:rsidRPr="00D94493">
              <w:rPr>
                <w:rFonts w:ascii="Times New Roman" w:eastAsia="Calibri" w:hAnsi="Times New Roman" w:cs="Times New Roman"/>
                <w:b/>
                <w:iCs/>
                <w:color w:val="5B9BD5"/>
                <w:sz w:val="20"/>
                <w:szCs w:val="18"/>
              </w:rPr>
              <w:instrText xml:space="preserve"> SEQ Obrázok \* ARABIC </w:instrText>
            </w:r>
            <w:r w:rsidRPr="00D94493">
              <w:rPr>
                <w:rFonts w:ascii="Times New Roman" w:eastAsia="Calibri" w:hAnsi="Times New Roman" w:cs="Times New Roman"/>
                <w:b/>
                <w:iCs/>
                <w:color w:val="5B9BD5"/>
                <w:sz w:val="20"/>
                <w:szCs w:val="18"/>
              </w:rPr>
              <w:fldChar w:fldCharType="separate"/>
            </w:r>
            <w:r w:rsidR="003D5A3A">
              <w:rPr>
                <w:rFonts w:ascii="Times New Roman" w:eastAsia="Calibri" w:hAnsi="Times New Roman" w:cs="Times New Roman"/>
                <w:b/>
                <w:iCs/>
                <w:noProof/>
                <w:color w:val="5B9BD5"/>
                <w:sz w:val="20"/>
                <w:szCs w:val="18"/>
              </w:rPr>
              <w:t>3</w:t>
            </w:r>
            <w:r w:rsidRPr="00D94493">
              <w:rPr>
                <w:rFonts w:ascii="Times New Roman" w:eastAsia="Calibri" w:hAnsi="Times New Roman" w:cs="Times New Roman"/>
                <w:b/>
                <w:iCs/>
                <w:color w:val="5B9BD5"/>
                <w:sz w:val="20"/>
                <w:szCs w:val="18"/>
              </w:rPr>
              <w:fldChar w:fldCharType="end"/>
            </w:r>
            <w:r w:rsidR="00D94493" w:rsidRPr="00D94493">
              <w:rPr>
                <w:rFonts w:ascii="Times New Roman" w:hAnsi="Times New Roman" w:cs="Times New Roman"/>
                <w:b/>
                <w:bCs/>
                <w:color w:val="2C9ADC"/>
                <w:sz w:val="20"/>
                <w:szCs w:val="20"/>
              </w:rPr>
              <w:t xml:space="preserve"> – Strednodobá prognóza hrubého a čistého dlhu verejnej správy</w:t>
            </w:r>
            <w:bookmarkEnd w:id="43"/>
            <w:bookmarkEnd w:id="44"/>
            <w:r w:rsidR="00D94493" w:rsidRPr="00D94493">
              <w:rPr>
                <w:rFonts w:ascii="Times New Roman" w:hAnsi="Times New Roman" w:cs="Times New Roman"/>
                <w:b/>
                <w:bCs/>
                <w:color w:val="2C9ADC"/>
                <w:sz w:val="20"/>
                <w:szCs w:val="20"/>
              </w:rPr>
              <w:t xml:space="preserve"> </w:t>
            </w:r>
            <w:bookmarkEnd w:id="45"/>
          </w:p>
          <w:p w14:paraId="02FD5F4F" w14:textId="77777777" w:rsidR="00D94493" w:rsidRPr="00D94493" w:rsidRDefault="00D94493" w:rsidP="00D94493">
            <w:pPr>
              <w:widowControl w:val="0"/>
              <w:rPr>
                <w:rFonts w:ascii="Times New Roman" w:hAnsi="Times New Roman" w:cs="Times New Roman"/>
                <w:b/>
                <w:sz w:val="20"/>
                <w:szCs w:val="20"/>
              </w:rPr>
            </w:pPr>
            <w:r w:rsidRPr="00D94493">
              <w:rPr>
                <w:rFonts w:ascii="Times New Roman" w:hAnsi="Times New Roman" w:cs="Times New Roman"/>
                <w:b/>
                <w:noProof/>
                <w:sz w:val="20"/>
                <w:szCs w:val="20"/>
                <w:lang w:eastAsia="sk-SK"/>
              </w:rPr>
              <mc:AlternateContent>
                <mc:Choice Requires="wps">
                  <w:drawing>
                    <wp:anchor distT="45720" distB="45720" distL="114300" distR="114300" simplePos="0" relativeHeight="251659264" behindDoc="0" locked="0" layoutInCell="1" allowOverlap="1" wp14:anchorId="07BA8C7E" wp14:editId="1AAC82DC">
                      <wp:simplePos x="0" y="0"/>
                      <wp:positionH relativeFrom="column">
                        <wp:posOffset>2206349</wp:posOffset>
                      </wp:positionH>
                      <wp:positionV relativeFrom="paragraph">
                        <wp:posOffset>1222209</wp:posOffset>
                      </wp:positionV>
                      <wp:extent cx="647700" cy="300625"/>
                      <wp:effectExtent l="0" t="0" r="0" b="4445"/>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00625"/>
                              </a:xfrm>
                              <a:prstGeom prst="rect">
                                <a:avLst/>
                              </a:prstGeom>
                              <a:noFill/>
                              <a:ln w="9525">
                                <a:noFill/>
                                <a:miter lim="800000"/>
                                <a:headEnd/>
                                <a:tailEnd/>
                              </a:ln>
                            </wps:spPr>
                            <wps:txbx>
                              <w:txbxContent>
                                <w:p w14:paraId="4A977578" w14:textId="77777777" w:rsidR="002F44B7" w:rsidRPr="00C6032E" w:rsidRDefault="002F44B7" w:rsidP="00D94493">
                                  <w:pPr>
                                    <w:jc w:val="center"/>
                                    <w:rPr>
                                      <w:rFonts w:ascii="Times New Roman" w:hAnsi="Times New Roman" w:cs="Times New Roman"/>
                                      <w:color w:val="FFFFFF" w:themeColor="background1"/>
                                      <w:sz w:val="10"/>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BA8C7E" id="_x0000_t202" coordsize="21600,21600" o:spt="202" path="m,l,21600r21600,l21600,xe">
                      <v:stroke joinstyle="miter"/>
                      <v:path gradientshapeok="t" o:connecttype="rect"/>
                    </v:shapetype>
                    <v:shape id="Textové pole 8" o:spid="_x0000_s1026" type="#_x0000_t202" style="position:absolute;margin-left:173.75pt;margin-top:96.25pt;width:51pt;height:23.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" filled="f" stroked="f">
                      <v:textbox>
                        <w:txbxContent>
                          <w:p w14:paraId="4A977578" w14:textId="77777777" w:rsidR="002F44B7" w:rsidRPr="00C6032E" w:rsidRDefault="002F44B7" w:rsidP="00D94493">
                            <w:pPr>
                              <w:jc w:val="center"/>
                              <w:rPr>
                                <w:rFonts w:ascii="Times New Roman" w:hAnsi="Times New Roman" w:cs="Times New Roman"/>
                                <w:color w:val="FFFFFF" w:themeColor="background1"/>
                                <w:sz w:val="10"/>
                                <w:szCs w:val="14"/>
                              </w:rPr>
                            </w:pPr>
                          </w:p>
                        </w:txbxContent>
                      </v:textbox>
                    </v:shape>
                  </w:pict>
                </mc:Fallback>
              </mc:AlternateContent>
            </w:r>
            <w:r w:rsidRPr="00D94493">
              <w:rPr>
                <w:noProof/>
                <w:lang w:eastAsia="sk-SK"/>
              </w:rPr>
              <w:drawing>
                <wp:inline distT="0" distB="0" distL="0" distR="0" wp14:anchorId="6724F787" wp14:editId="1038EC6F">
                  <wp:extent cx="3100192" cy="2448838"/>
                  <wp:effectExtent l="0" t="0" r="5080" b="889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146" w:type="dxa"/>
            <w:tcBorders>
              <w:top w:val="nil"/>
              <w:left w:val="nil"/>
              <w:bottom w:val="nil"/>
              <w:right w:val="nil"/>
            </w:tcBorders>
            <w:vAlign w:val="center"/>
          </w:tcPr>
          <w:p w14:paraId="4D3E1C29" w14:textId="77777777" w:rsidR="00D94493" w:rsidRPr="00D94493" w:rsidRDefault="00D94493" w:rsidP="00D94493">
            <w:pPr>
              <w:widowControl w:val="0"/>
              <w:jc w:val="center"/>
              <w:rPr>
                <w:rFonts w:ascii="Times New Roman" w:hAnsi="Times New Roman" w:cs="Times New Roman"/>
                <w:b/>
                <w:sz w:val="20"/>
                <w:szCs w:val="20"/>
              </w:rPr>
            </w:pPr>
          </w:p>
        </w:tc>
        <w:tc>
          <w:tcPr>
            <w:tcW w:w="3980" w:type="dxa"/>
            <w:tcBorders>
              <w:top w:val="nil"/>
              <w:left w:val="nil"/>
              <w:bottom w:val="single" w:sz="4" w:space="0" w:color="auto"/>
              <w:right w:val="nil"/>
            </w:tcBorders>
          </w:tcPr>
          <w:p w14:paraId="62CB2F28" w14:textId="34C41DA4" w:rsidR="00D94493" w:rsidRPr="00D94493" w:rsidRDefault="00DF01A5" w:rsidP="00D94493">
            <w:pPr>
              <w:widowControl w:val="0"/>
              <w:pBdr>
                <w:bottom w:val="single" w:sz="4" w:space="1" w:color="auto"/>
              </w:pBdr>
              <w:spacing w:before="240" w:after="60" w:line="240" w:lineRule="auto"/>
              <w:outlineLvl w:val="2"/>
              <w:rPr>
                <w:rFonts w:ascii="Times New Roman" w:hAnsi="Times New Roman" w:cs="Times New Roman"/>
                <w:bCs/>
                <w:color w:val="2C9ADC"/>
                <w:sz w:val="20"/>
                <w:szCs w:val="20"/>
              </w:rPr>
            </w:pPr>
            <w:bookmarkStart w:id="46" w:name="_Toc152946762"/>
            <w:bookmarkStart w:id="47" w:name="_Toc153014651"/>
            <w:bookmarkStart w:id="48" w:name="_Toc101881953"/>
            <w:r>
              <w:rPr>
                <w:rFonts w:ascii="Times New Roman" w:hAnsi="Times New Roman" w:cs="Times New Roman"/>
                <w:b/>
                <w:bCs/>
                <w:color w:val="2C9ADC"/>
                <w:sz w:val="20"/>
                <w:szCs w:val="20"/>
              </w:rPr>
              <w:t xml:space="preserve">Graf </w:t>
            </w:r>
            <w:r w:rsidRPr="00D94493">
              <w:rPr>
                <w:rFonts w:ascii="Times New Roman" w:eastAsia="Calibri" w:hAnsi="Times New Roman" w:cs="Times New Roman"/>
                <w:b/>
                <w:iCs/>
                <w:color w:val="5B9BD5"/>
                <w:sz w:val="20"/>
                <w:szCs w:val="18"/>
              </w:rPr>
              <w:fldChar w:fldCharType="begin"/>
            </w:r>
            <w:r w:rsidRPr="00D94493">
              <w:rPr>
                <w:rFonts w:ascii="Times New Roman" w:eastAsia="Calibri" w:hAnsi="Times New Roman" w:cs="Times New Roman"/>
                <w:b/>
                <w:iCs/>
                <w:color w:val="5B9BD5"/>
                <w:sz w:val="20"/>
                <w:szCs w:val="18"/>
              </w:rPr>
              <w:instrText xml:space="preserve"> SEQ Obrázok \* ARABIC </w:instrText>
            </w:r>
            <w:r w:rsidRPr="00D94493">
              <w:rPr>
                <w:rFonts w:ascii="Times New Roman" w:eastAsia="Calibri" w:hAnsi="Times New Roman" w:cs="Times New Roman"/>
                <w:b/>
                <w:iCs/>
                <w:color w:val="5B9BD5"/>
                <w:sz w:val="20"/>
                <w:szCs w:val="18"/>
              </w:rPr>
              <w:fldChar w:fldCharType="separate"/>
            </w:r>
            <w:r w:rsidR="003D5A3A">
              <w:rPr>
                <w:rFonts w:ascii="Times New Roman" w:eastAsia="Calibri" w:hAnsi="Times New Roman" w:cs="Times New Roman"/>
                <w:b/>
                <w:iCs/>
                <w:noProof/>
                <w:color w:val="5B9BD5"/>
                <w:sz w:val="20"/>
                <w:szCs w:val="18"/>
              </w:rPr>
              <w:t>4</w:t>
            </w:r>
            <w:r w:rsidRPr="00D94493">
              <w:rPr>
                <w:rFonts w:ascii="Times New Roman" w:eastAsia="Calibri" w:hAnsi="Times New Roman" w:cs="Times New Roman"/>
                <w:b/>
                <w:iCs/>
                <w:color w:val="5B9BD5"/>
                <w:sz w:val="20"/>
                <w:szCs w:val="18"/>
              </w:rPr>
              <w:fldChar w:fldCharType="end"/>
            </w:r>
            <w:r w:rsidR="00D94493" w:rsidRPr="00D94493">
              <w:rPr>
                <w:rFonts w:ascii="Times New Roman" w:hAnsi="Times New Roman" w:cs="Times New Roman"/>
                <w:b/>
                <w:bCs/>
                <w:color w:val="2C9ADC"/>
                <w:sz w:val="20"/>
                <w:szCs w:val="20"/>
              </w:rPr>
              <w:t xml:space="preserve"> – Príspevky k medziročnej zmene hrubého dlhu</w:t>
            </w:r>
            <w:bookmarkEnd w:id="46"/>
            <w:bookmarkEnd w:id="47"/>
            <w:r w:rsidR="00D94493" w:rsidRPr="00D94493">
              <w:rPr>
                <w:rFonts w:ascii="Times New Roman" w:hAnsi="Times New Roman" w:cs="Times New Roman"/>
                <w:b/>
                <w:bCs/>
                <w:color w:val="2C9ADC"/>
                <w:sz w:val="20"/>
                <w:szCs w:val="20"/>
              </w:rPr>
              <w:t xml:space="preserve"> </w:t>
            </w:r>
            <w:bookmarkEnd w:id="48"/>
          </w:p>
          <w:p w14:paraId="27DCEF58" w14:textId="77777777" w:rsidR="00D94493" w:rsidRPr="00D94493" w:rsidRDefault="00D94493" w:rsidP="00D94493">
            <w:pPr>
              <w:widowControl w:val="0"/>
              <w:rPr>
                <w:rFonts w:ascii="Times New Roman" w:hAnsi="Times New Roman" w:cs="Times New Roman"/>
                <w:b/>
                <w:sz w:val="20"/>
                <w:szCs w:val="20"/>
              </w:rPr>
            </w:pPr>
            <w:r w:rsidRPr="00D94493">
              <w:rPr>
                <w:noProof/>
                <w:lang w:eastAsia="sk-SK"/>
              </w:rPr>
              <w:drawing>
                <wp:inline distT="0" distB="0" distL="0" distR="0" wp14:anchorId="72D3117F" wp14:editId="265337AA">
                  <wp:extent cx="2474595" cy="2240915"/>
                  <wp:effectExtent l="0" t="0" r="1905" b="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D94493" w:rsidRPr="00D94493" w14:paraId="0749FCCA" w14:textId="77777777" w:rsidTr="00D94493">
        <w:trPr>
          <w:trHeight w:val="86"/>
          <w:jc w:val="center"/>
        </w:trPr>
        <w:tc>
          <w:tcPr>
            <w:tcW w:w="4946" w:type="dxa"/>
            <w:tcBorders>
              <w:top w:val="single" w:sz="4" w:space="0" w:color="auto"/>
              <w:left w:val="nil"/>
              <w:bottom w:val="nil"/>
              <w:right w:val="nil"/>
            </w:tcBorders>
          </w:tcPr>
          <w:p w14:paraId="078369AC" w14:textId="77777777" w:rsidR="00D94493" w:rsidRPr="00D94493" w:rsidRDefault="00D94493" w:rsidP="00B10329">
            <w:pPr>
              <w:widowControl w:val="0"/>
              <w:spacing w:before="40" w:after="0" w:line="240" w:lineRule="auto"/>
              <w:jc w:val="both"/>
              <w:rPr>
                <w:rFonts w:ascii="Times New Roman" w:eastAsia="Times New Roman" w:hAnsi="Times New Roman" w:cs="Times New Roman"/>
                <w:i/>
                <w:iCs/>
                <w:sz w:val="16"/>
                <w:szCs w:val="16"/>
                <w:highlight w:val="yellow"/>
                <w:lang w:eastAsia="sk-SK"/>
              </w:rPr>
            </w:pPr>
            <w:r w:rsidRPr="00D94493">
              <w:rPr>
                <w:rFonts w:ascii="Times New Roman" w:eastAsia="Times New Roman" w:hAnsi="Times New Roman" w:cs="Times New Roman"/>
                <w:i/>
                <w:iCs/>
                <w:sz w:val="16"/>
                <w:szCs w:val="16"/>
                <w:lang w:eastAsia="sk-SK"/>
              </w:rPr>
              <w:t>Pozn.: Prognóza predpokladá splnenie rozpočtových cieľov aktuálnych deficitov verejnej správy na úrovni 6,0 % HDP, 5,0 % HDP a 4,0 % HDP v rokoch 2024-2026, resp. 6,1 a 5,6 % HDP v 2025 a 2026 v prípade vývoja bez zmeny politík.</w:t>
            </w:r>
          </w:p>
        </w:tc>
        <w:tc>
          <w:tcPr>
            <w:tcW w:w="146" w:type="dxa"/>
            <w:tcBorders>
              <w:top w:val="nil"/>
              <w:left w:val="nil"/>
              <w:bottom w:val="nil"/>
              <w:right w:val="nil"/>
            </w:tcBorders>
            <w:vAlign w:val="center"/>
          </w:tcPr>
          <w:p w14:paraId="5779A733" w14:textId="77777777" w:rsidR="00D94493" w:rsidRPr="00D94493" w:rsidRDefault="00D94493" w:rsidP="00B10329">
            <w:pPr>
              <w:widowControl w:val="0"/>
              <w:spacing w:after="0" w:line="240" w:lineRule="auto"/>
              <w:jc w:val="right"/>
              <w:rPr>
                <w:rFonts w:ascii="Times New Roman" w:eastAsia="Times New Roman" w:hAnsi="Times New Roman" w:cs="Times New Roman"/>
                <w:i/>
                <w:iCs/>
                <w:sz w:val="16"/>
                <w:szCs w:val="16"/>
                <w:highlight w:val="yellow"/>
                <w:lang w:eastAsia="sk-SK"/>
              </w:rPr>
            </w:pPr>
          </w:p>
        </w:tc>
        <w:tc>
          <w:tcPr>
            <w:tcW w:w="3980" w:type="dxa"/>
            <w:tcBorders>
              <w:top w:val="single" w:sz="4" w:space="0" w:color="auto"/>
              <w:left w:val="nil"/>
              <w:bottom w:val="nil"/>
              <w:right w:val="nil"/>
            </w:tcBorders>
          </w:tcPr>
          <w:p w14:paraId="711046CF" w14:textId="15E98AEB" w:rsidR="00D94493" w:rsidRPr="00D94493" w:rsidRDefault="00B10329" w:rsidP="00B10329">
            <w:pPr>
              <w:widowControl w:val="0"/>
              <w:spacing w:after="0" w:line="240" w:lineRule="auto"/>
              <w:jc w:val="center"/>
              <w:rPr>
                <w:rFonts w:ascii="Times New Roman" w:eastAsia="Times New Roman" w:hAnsi="Times New Roman" w:cs="Times New Roman"/>
                <w:i/>
                <w:iCs/>
                <w:sz w:val="16"/>
                <w:szCs w:val="16"/>
                <w:lang w:eastAsia="sk-SK"/>
              </w:rPr>
            </w:pPr>
            <w:r>
              <w:rPr>
                <w:rFonts w:ascii="Times New Roman" w:eastAsia="Times New Roman" w:hAnsi="Times New Roman" w:cs="Times New Roman"/>
                <w:i/>
                <w:iCs/>
                <w:sz w:val="16"/>
                <w:szCs w:val="16"/>
                <w:lang w:eastAsia="sk-SK"/>
              </w:rPr>
              <w:t xml:space="preserve">                                                                      </w:t>
            </w:r>
            <w:r w:rsidR="00D94493" w:rsidRPr="00D94493">
              <w:rPr>
                <w:rFonts w:ascii="Times New Roman" w:eastAsia="Times New Roman" w:hAnsi="Times New Roman" w:cs="Times New Roman"/>
                <w:i/>
                <w:iCs/>
                <w:sz w:val="16"/>
                <w:szCs w:val="16"/>
                <w:lang w:eastAsia="sk-SK"/>
              </w:rPr>
              <w:t>Zdroj: MF SR</w:t>
            </w:r>
          </w:p>
          <w:p w14:paraId="187979FF" w14:textId="77777777" w:rsidR="00D94493" w:rsidRPr="00D94493" w:rsidRDefault="00D94493" w:rsidP="00B10329">
            <w:pPr>
              <w:widowControl w:val="0"/>
              <w:spacing w:after="0" w:line="240" w:lineRule="auto"/>
              <w:rPr>
                <w:rFonts w:ascii="Times New Roman" w:eastAsia="Times New Roman" w:hAnsi="Times New Roman" w:cs="Times New Roman"/>
                <w:i/>
                <w:iCs/>
                <w:sz w:val="16"/>
                <w:szCs w:val="16"/>
                <w:highlight w:val="yellow"/>
                <w:lang w:eastAsia="sk-SK"/>
              </w:rPr>
            </w:pPr>
          </w:p>
        </w:tc>
      </w:tr>
    </w:tbl>
    <w:p w14:paraId="3C7379FF" w14:textId="77777777" w:rsidR="00D94493" w:rsidRPr="00D94493" w:rsidRDefault="00D94493" w:rsidP="00D94493">
      <w:pPr>
        <w:spacing w:after="0" w:line="240" w:lineRule="auto"/>
        <w:jc w:val="both"/>
        <w:rPr>
          <w:rFonts w:ascii="Times New Roman" w:hAnsi="Times New Roman" w:cs="Times New Roman"/>
          <w:sz w:val="24"/>
          <w:szCs w:val="24"/>
          <w:highlight w:val="yellow"/>
        </w:rPr>
      </w:pPr>
    </w:p>
    <w:p w14:paraId="36318838" w14:textId="77777777" w:rsidR="00B01C4E" w:rsidRPr="00B01C4E" w:rsidRDefault="00B01C4E" w:rsidP="00B01C4E">
      <w:pPr>
        <w:widowControl w:val="0"/>
        <w:spacing w:after="0"/>
        <w:jc w:val="both"/>
        <w:rPr>
          <w:rFonts w:ascii="Times New Roman" w:eastAsia="Calibri" w:hAnsi="Times New Roman" w:cs="Times New Roman"/>
          <w:sz w:val="24"/>
          <w:szCs w:val="24"/>
        </w:rPr>
      </w:pPr>
      <w:r w:rsidRPr="00B01C4E">
        <w:rPr>
          <w:rFonts w:ascii="Times New Roman" w:eastAsia="Calibri" w:hAnsi="Times New Roman" w:cs="Times New Roman"/>
          <w:b/>
          <w:sz w:val="24"/>
          <w:szCs w:val="24"/>
        </w:rPr>
        <w:t xml:space="preserve">Od budúceho roku bude dlh rásť postupne nad 60 % HDP a jeho nárast bude spomaľovať žiadaný pokles schodku hospodárenia v ďalších rokoch o 1 p. b. ročne. </w:t>
      </w:r>
      <w:r w:rsidRPr="00B01C4E">
        <w:rPr>
          <w:rFonts w:ascii="Times New Roman" w:eastAsia="Calibri" w:hAnsi="Times New Roman" w:cs="Times New Roman"/>
          <w:sz w:val="24"/>
          <w:szCs w:val="24"/>
        </w:rPr>
        <w:t>Hlavným zdrojom rastúceho dlhu na horizonte rozpočtu sú rozpočtové schodky, ktoré aj napriek nominálnym poklesom, budú tlačiť na rast dlhu. Naviac, odznievajúca inflácia nebude opticky pomáhať znižovať dlh v pomere k HDP tak rýchlo ako predchádzajúcich rokoch. Prudký rast úrokových sadzieb vyvolaný krokmi ECB prispieva k výraznému nárastu úrokových nákladov oproti aktuálnemu roku, keďže vysoké sadzby sa budú postupe premietať do nárastu dlhovej služby.</w:t>
      </w:r>
    </w:p>
    <w:p w14:paraId="24911D6B" w14:textId="77777777" w:rsidR="00DF01A5" w:rsidRPr="00D94493" w:rsidRDefault="00DF01A5" w:rsidP="00DF01A5">
      <w:pPr>
        <w:widowControl w:val="0"/>
        <w:spacing w:after="0"/>
        <w:jc w:val="both"/>
        <w:rPr>
          <w:rFonts w:ascii="Times New Roman" w:hAnsi="Times New Roman" w:cs="Times New Roman"/>
          <w:sz w:val="24"/>
          <w:szCs w:val="24"/>
        </w:rPr>
      </w:pPr>
    </w:p>
    <w:p w14:paraId="0BE04F77" w14:textId="0E4DB0B9" w:rsidR="00D94493" w:rsidRPr="00213458" w:rsidRDefault="00213458" w:rsidP="00DF01A5">
      <w:pPr>
        <w:spacing w:after="0" w:line="240" w:lineRule="auto"/>
        <w:jc w:val="both"/>
        <w:rPr>
          <w:rFonts w:ascii="Times New Roman" w:hAnsi="Times New Roman" w:cs="Times New Roman"/>
          <w:b/>
          <w:color w:val="5B9BD5" w:themeColor="accent1"/>
          <w:sz w:val="20"/>
          <w:szCs w:val="20"/>
        </w:rPr>
      </w:pPr>
      <w:bookmarkStart w:id="49" w:name="_Toc153013010"/>
      <w:r>
        <w:rPr>
          <w:rFonts w:ascii="Times New Roman" w:hAnsi="Times New Roman" w:cs="Times New Roman"/>
          <w:b/>
          <w:color w:val="5B9BD5" w:themeColor="accent1"/>
          <w:sz w:val="20"/>
          <w:szCs w:val="20"/>
        </w:rPr>
        <w:t>Tabuľka</w:t>
      </w:r>
      <w:r w:rsidRPr="00213458">
        <w:rPr>
          <w:rFonts w:ascii="Times New Roman" w:hAnsi="Times New Roman" w:cs="Times New Roman"/>
          <w:b/>
          <w:color w:val="5B9BD5" w:themeColor="accent1"/>
          <w:sz w:val="20"/>
          <w:szCs w:val="20"/>
        </w:rPr>
        <w:t xml:space="preserve"> </w:t>
      </w:r>
      <w:r w:rsidRPr="00213458">
        <w:rPr>
          <w:rFonts w:ascii="Times New Roman" w:hAnsi="Times New Roman" w:cs="Times New Roman"/>
          <w:b/>
          <w:color w:val="5B9BD5" w:themeColor="accent1"/>
          <w:sz w:val="20"/>
          <w:szCs w:val="20"/>
        </w:rPr>
        <w:fldChar w:fldCharType="begin"/>
      </w:r>
      <w:r w:rsidRPr="00213458">
        <w:rPr>
          <w:rFonts w:ascii="Times New Roman" w:hAnsi="Times New Roman" w:cs="Times New Roman"/>
          <w:b/>
          <w:color w:val="5B9BD5" w:themeColor="accent1"/>
          <w:sz w:val="20"/>
          <w:szCs w:val="20"/>
        </w:rPr>
        <w:instrText xml:space="preserve"> SEQ Tabuľka \* ARABIC </w:instrText>
      </w:r>
      <w:r w:rsidRPr="00213458">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12</w:t>
      </w:r>
      <w:r w:rsidRPr="00213458">
        <w:rPr>
          <w:rFonts w:ascii="Times New Roman" w:hAnsi="Times New Roman" w:cs="Times New Roman"/>
          <w:b/>
          <w:color w:val="5B9BD5" w:themeColor="accent1"/>
          <w:sz w:val="20"/>
          <w:szCs w:val="20"/>
        </w:rPr>
        <w:fldChar w:fldCharType="end"/>
      </w:r>
      <w:r>
        <w:rPr>
          <w:rFonts w:ascii="Times New Roman" w:hAnsi="Times New Roman" w:cs="Times New Roman"/>
          <w:b/>
          <w:color w:val="5B9BD5" w:themeColor="accent1"/>
          <w:sz w:val="20"/>
          <w:szCs w:val="20"/>
        </w:rPr>
        <w:t xml:space="preserve"> </w:t>
      </w:r>
      <w:r w:rsidRPr="00213458">
        <w:rPr>
          <w:rFonts w:ascii="Times New Roman" w:hAnsi="Times New Roman" w:cs="Times New Roman"/>
          <w:b/>
          <w:color w:val="5B9BD5" w:themeColor="accent1"/>
          <w:sz w:val="20"/>
          <w:szCs w:val="20"/>
        </w:rPr>
        <w:t>- Štruktúra hrubého dlhu verejnej správy (% v HDP)</w:t>
      </w:r>
      <w:bookmarkEnd w:id="49"/>
    </w:p>
    <w:tbl>
      <w:tblPr>
        <w:tblW w:w="5037" w:type="pct"/>
        <w:jc w:val="center"/>
        <w:tblLayout w:type="fixed"/>
        <w:tblCellMar>
          <w:left w:w="70" w:type="dxa"/>
          <w:right w:w="70" w:type="dxa"/>
        </w:tblCellMar>
        <w:tblLook w:val="04A0" w:firstRow="1" w:lastRow="0" w:firstColumn="1" w:lastColumn="0" w:noHBand="0" w:noVBand="1"/>
      </w:tblPr>
      <w:tblGrid>
        <w:gridCol w:w="2445"/>
        <w:gridCol w:w="332"/>
        <w:gridCol w:w="906"/>
        <w:gridCol w:w="906"/>
        <w:gridCol w:w="907"/>
        <w:gridCol w:w="907"/>
        <w:gridCol w:w="907"/>
        <w:gridCol w:w="907"/>
        <w:gridCol w:w="854"/>
        <w:gridCol w:w="68"/>
      </w:tblGrid>
      <w:tr w:rsidR="00D94493" w:rsidRPr="00D94493" w14:paraId="0DA06268" w14:textId="77777777" w:rsidTr="00213458">
        <w:trPr>
          <w:trHeight w:val="210"/>
          <w:jc w:val="center"/>
        </w:trPr>
        <w:tc>
          <w:tcPr>
            <w:tcW w:w="1338" w:type="pct"/>
            <w:tcBorders>
              <w:top w:val="single" w:sz="6" w:space="0" w:color="auto"/>
              <w:bottom w:val="single" w:sz="6" w:space="0" w:color="auto"/>
            </w:tcBorders>
            <w:shd w:val="clear" w:color="auto" w:fill="auto"/>
            <w:noWrap/>
            <w:vAlign w:val="center"/>
            <w:hideMark/>
          </w:tcPr>
          <w:p w14:paraId="3755467F" w14:textId="77777777" w:rsidR="00D94493" w:rsidRPr="00D94493" w:rsidRDefault="00D94493" w:rsidP="00D94493">
            <w:pPr>
              <w:widowControl w:val="0"/>
              <w:spacing w:after="0"/>
              <w:rPr>
                <w:rFonts w:ascii="Times New Roman" w:hAnsi="Times New Roman" w:cs="Times New Roman"/>
                <w:b/>
                <w:bCs/>
                <w:sz w:val="14"/>
                <w:szCs w:val="14"/>
              </w:rPr>
            </w:pPr>
            <w:r w:rsidRPr="00D94493">
              <w:rPr>
                <w:rFonts w:ascii="Times New Roman" w:hAnsi="Times New Roman" w:cs="Times New Roman"/>
                <w:b/>
                <w:bCs/>
                <w:sz w:val="14"/>
                <w:szCs w:val="14"/>
              </w:rPr>
              <w:t>(% HDP, stav k 31.12.) </w:t>
            </w:r>
          </w:p>
        </w:tc>
        <w:tc>
          <w:tcPr>
            <w:tcW w:w="182" w:type="pct"/>
            <w:tcBorders>
              <w:top w:val="single" w:sz="6" w:space="0" w:color="auto"/>
              <w:bottom w:val="single" w:sz="6" w:space="0" w:color="auto"/>
            </w:tcBorders>
            <w:shd w:val="clear" w:color="auto" w:fill="auto"/>
            <w:noWrap/>
            <w:vAlign w:val="center"/>
          </w:tcPr>
          <w:p w14:paraId="5D7E4DCD" w14:textId="77777777" w:rsidR="00D94493" w:rsidRPr="00D94493" w:rsidRDefault="00D94493" w:rsidP="00D94493">
            <w:pPr>
              <w:widowControl w:val="0"/>
              <w:spacing w:after="0"/>
              <w:jc w:val="center"/>
              <w:rPr>
                <w:rFonts w:ascii="Times New Roman" w:hAnsi="Times New Roman" w:cs="Times New Roman"/>
                <w:b/>
                <w:bCs/>
                <w:sz w:val="14"/>
                <w:szCs w:val="14"/>
                <w:lang w:eastAsia="sk-SK"/>
              </w:rPr>
            </w:pPr>
          </w:p>
        </w:tc>
        <w:tc>
          <w:tcPr>
            <w:tcW w:w="496" w:type="pct"/>
            <w:tcBorders>
              <w:top w:val="single" w:sz="6" w:space="0" w:color="auto"/>
              <w:bottom w:val="single" w:sz="6" w:space="0" w:color="auto"/>
            </w:tcBorders>
            <w:shd w:val="clear" w:color="auto" w:fill="auto"/>
            <w:noWrap/>
            <w:vAlign w:val="center"/>
          </w:tcPr>
          <w:p w14:paraId="517B9F3E" w14:textId="77777777" w:rsidR="00D94493" w:rsidRPr="00D94493" w:rsidRDefault="00D94493" w:rsidP="00D94493">
            <w:pPr>
              <w:widowControl w:val="0"/>
              <w:spacing w:after="0"/>
              <w:jc w:val="center"/>
              <w:rPr>
                <w:rFonts w:ascii="Times New Roman" w:hAnsi="Times New Roman" w:cs="Times New Roman"/>
                <w:b/>
                <w:bCs/>
                <w:sz w:val="14"/>
                <w:szCs w:val="14"/>
              </w:rPr>
            </w:pPr>
            <w:r w:rsidRPr="00D94493">
              <w:rPr>
                <w:rFonts w:ascii="Times New Roman" w:hAnsi="Times New Roman" w:cs="Times New Roman"/>
                <w:b/>
                <w:bCs/>
                <w:sz w:val="14"/>
                <w:szCs w:val="14"/>
              </w:rPr>
              <w:t>2021</w:t>
            </w:r>
          </w:p>
        </w:tc>
        <w:tc>
          <w:tcPr>
            <w:tcW w:w="496" w:type="pct"/>
            <w:tcBorders>
              <w:top w:val="single" w:sz="6" w:space="0" w:color="auto"/>
              <w:bottom w:val="single" w:sz="6" w:space="0" w:color="auto"/>
            </w:tcBorders>
            <w:shd w:val="clear" w:color="auto" w:fill="auto"/>
            <w:noWrap/>
            <w:vAlign w:val="center"/>
          </w:tcPr>
          <w:p w14:paraId="0E98EB56" w14:textId="77777777" w:rsidR="00D94493" w:rsidRPr="00D94493" w:rsidRDefault="00D94493" w:rsidP="00D94493">
            <w:pPr>
              <w:widowControl w:val="0"/>
              <w:spacing w:after="0"/>
              <w:jc w:val="center"/>
              <w:rPr>
                <w:rFonts w:ascii="Times New Roman" w:hAnsi="Times New Roman" w:cs="Times New Roman"/>
                <w:b/>
                <w:bCs/>
                <w:sz w:val="14"/>
                <w:szCs w:val="14"/>
              </w:rPr>
            </w:pPr>
            <w:r w:rsidRPr="00D94493">
              <w:rPr>
                <w:rFonts w:ascii="Times New Roman" w:hAnsi="Times New Roman" w:cs="Times New Roman"/>
                <w:b/>
                <w:bCs/>
                <w:sz w:val="14"/>
                <w:szCs w:val="14"/>
              </w:rPr>
              <w:t>2022</w:t>
            </w:r>
          </w:p>
        </w:tc>
        <w:tc>
          <w:tcPr>
            <w:tcW w:w="496" w:type="pct"/>
            <w:tcBorders>
              <w:top w:val="single" w:sz="6" w:space="0" w:color="auto"/>
              <w:bottom w:val="single" w:sz="6" w:space="0" w:color="auto"/>
            </w:tcBorders>
            <w:shd w:val="clear" w:color="auto" w:fill="auto"/>
            <w:vAlign w:val="center"/>
          </w:tcPr>
          <w:p w14:paraId="1B89059B" w14:textId="77777777" w:rsidR="00D94493" w:rsidRPr="00213458" w:rsidRDefault="00D94493" w:rsidP="00D94493">
            <w:pPr>
              <w:widowControl w:val="0"/>
              <w:spacing w:after="0"/>
              <w:jc w:val="center"/>
              <w:rPr>
                <w:rFonts w:ascii="Times New Roman" w:hAnsi="Times New Roman" w:cs="Times New Roman"/>
                <w:b/>
                <w:bCs/>
                <w:sz w:val="14"/>
                <w:szCs w:val="14"/>
              </w:rPr>
            </w:pPr>
            <w:r w:rsidRPr="00213458">
              <w:rPr>
                <w:rFonts w:ascii="Times New Roman" w:hAnsi="Times New Roman" w:cs="Times New Roman"/>
                <w:b/>
                <w:bCs/>
                <w:sz w:val="14"/>
                <w:szCs w:val="14"/>
              </w:rPr>
              <w:t>2023 R</w:t>
            </w:r>
          </w:p>
        </w:tc>
        <w:tc>
          <w:tcPr>
            <w:tcW w:w="496" w:type="pct"/>
            <w:tcBorders>
              <w:top w:val="single" w:sz="6" w:space="0" w:color="auto"/>
              <w:bottom w:val="single" w:sz="6" w:space="0" w:color="auto"/>
            </w:tcBorders>
            <w:shd w:val="clear" w:color="auto" w:fill="auto"/>
            <w:noWrap/>
            <w:vAlign w:val="center"/>
          </w:tcPr>
          <w:p w14:paraId="72A8CA19" w14:textId="77777777" w:rsidR="00D94493" w:rsidRPr="00D94493" w:rsidRDefault="00D94493" w:rsidP="00D94493">
            <w:pPr>
              <w:widowControl w:val="0"/>
              <w:spacing w:after="0"/>
              <w:jc w:val="center"/>
              <w:rPr>
                <w:rFonts w:ascii="Times New Roman" w:hAnsi="Times New Roman" w:cs="Times New Roman"/>
                <w:b/>
                <w:bCs/>
                <w:sz w:val="14"/>
                <w:szCs w:val="14"/>
              </w:rPr>
            </w:pPr>
            <w:r w:rsidRPr="00D94493">
              <w:rPr>
                <w:rFonts w:ascii="Times New Roman" w:hAnsi="Times New Roman" w:cs="Times New Roman"/>
                <w:b/>
                <w:bCs/>
                <w:sz w:val="14"/>
                <w:szCs w:val="14"/>
              </w:rPr>
              <w:t>2023 OS</w:t>
            </w:r>
          </w:p>
        </w:tc>
        <w:tc>
          <w:tcPr>
            <w:tcW w:w="496" w:type="pct"/>
            <w:tcBorders>
              <w:top w:val="single" w:sz="6" w:space="0" w:color="auto"/>
              <w:bottom w:val="single" w:sz="6" w:space="0" w:color="auto"/>
            </w:tcBorders>
            <w:shd w:val="clear" w:color="auto" w:fill="auto"/>
            <w:noWrap/>
            <w:vAlign w:val="center"/>
          </w:tcPr>
          <w:p w14:paraId="505E032A" w14:textId="77777777" w:rsidR="00D94493" w:rsidRPr="00D94493" w:rsidRDefault="00D94493" w:rsidP="00D94493">
            <w:pPr>
              <w:widowControl w:val="0"/>
              <w:spacing w:after="0"/>
              <w:jc w:val="center"/>
              <w:rPr>
                <w:rFonts w:ascii="Times New Roman" w:hAnsi="Times New Roman" w:cs="Times New Roman"/>
                <w:b/>
                <w:bCs/>
                <w:sz w:val="14"/>
                <w:szCs w:val="14"/>
              </w:rPr>
            </w:pPr>
            <w:r w:rsidRPr="00D94493">
              <w:rPr>
                <w:rFonts w:ascii="Times New Roman" w:hAnsi="Times New Roman" w:cs="Times New Roman"/>
                <w:b/>
                <w:bCs/>
                <w:sz w:val="14"/>
                <w:szCs w:val="14"/>
              </w:rPr>
              <w:t>2024 N</w:t>
            </w:r>
          </w:p>
        </w:tc>
        <w:tc>
          <w:tcPr>
            <w:tcW w:w="496" w:type="pct"/>
            <w:tcBorders>
              <w:top w:val="single" w:sz="6" w:space="0" w:color="auto"/>
              <w:bottom w:val="single" w:sz="6" w:space="0" w:color="auto"/>
            </w:tcBorders>
            <w:shd w:val="clear" w:color="auto" w:fill="auto"/>
            <w:noWrap/>
            <w:vAlign w:val="center"/>
          </w:tcPr>
          <w:p w14:paraId="41AC3341" w14:textId="77777777" w:rsidR="00D94493" w:rsidRPr="00D94493" w:rsidRDefault="00D94493" w:rsidP="00D94493">
            <w:pPr>
              <w:widowControl w:val="0"/>
              <w:spacing w:after="0"/>
              <w:jc w:val="center"/>
              <w:rPr>
                <w:rFonts w:ascii="Times New Roman" w:hAnsi="Times New Roman" w:cs="Times New Roman"/>
                <w:b/>
                <w:bCs/>
                <w:sz w:val="14"/>
                <w:szCs w:val="14"/>
              </w:rPr>
            </w:pPr>
            <w:r w:rsidRPr="00D94493">
              <w:rPr>
                <w:rFonts w:ascii="Times New Roman" w:hAnsi="Times New Roman" w:cs="Times New Roman"/>
                <w:b/>
                <w:bCs/>
                <w:sz w:val="14"/>
                <w:szCs w:val="14"/>
              </w:rPr>
              <w:t>2025 N</w:t>
            </w:r>
          </w:p>
        </w:tc>
        <w:tc>
          <w:tcPr>
            <w:tcW w:w="504" w:type="pct"/>
            <w:gridSpan w:val="2"/>
            <w:tcBorders>
              <w:top w:val="single" w:sz="6" w:space="0" w:color="auto"/>
              <w:bottom w:val="single" w:sz="6" w:space="0" w:color="auto"/>
            </w:tcBorders>
            <w:shd w:val="clear" w:color="auto" w:fill="auto"/>
            <w:vAlign w:val="center"/>
          </w:tcPr>
          <w:p w14:paraId="06372C05" w14:textId="77777777" w:rsidR="00D94493" w:rsidRPr="00D94493" w:rsidRDefault="00D94493" w:rsidP="00D94493">
            <w:pPr>
              <w:widowControl w:val="0"/>
              <w:spacing w:after="0"/>
              <w:jc w:val="center"/>
              <w:rPr>
                <w:rFonts w:ascii="Times New Roman" w:hAnsi="Times New Roman" w:cs="Times New Roman"/>
                <w:b/>
                <w:bCs/>
                <w:sz w:val="14"/>
                <w:szCs w:val="14"/>
              </w:rPr>
            </w:pPr>
            <w:r w:rsidRPr="00D94493">
              <w:rPr>
                <w:rFonts w:ascii="Times New Roman" w:hAnsi="Times New Roman" w:cs="Times New Roman"/>
                <w:b/>
                <w:bCs/>
                <w:sz w:val="14"/>
                <w:szCs w:val="14"/>
              </w:rPr>
              <w:t>2026 N</w:t>
            </w:r>
          </w:p>
        </w:tc>
      </w:tr>
      <w:tr w:rsidR="00D94493" w:rsidRPr="00D94493" w14:paraId="67246ED1" w14:textId="77777777" w:rsidTr="00213458">
        <w:trPr>
          <w:trHeight w:val="210"/>
          <w:jc w:val="center"/>
        </w:trPr>
        <w:tc>
          <w:tcPr>
            <w:tcW w:w="1338" w:type="pct"/>
            <w:tcBorders>
              <w:top w:val="single" w:sz="6" w:space="0" w:color="auto"/>
            </w:tcBorders>
            <w:shd w:val="clear" w:color="auto" w:fill="auto"/>
            <w:noWrap/>
            <w:vAlign w:val="center"/>
            <w:hideMark/>
          </w:tcPr>
          <w:p w14:paraId="5CEBF829" w14:textId="77777777" w:rsidR="00D94493" w:rsidRPr="00D94493" w:rsidRDefault="00D94493" w:rsidP="00D94493">
            <w:pPr>
              <w:widowControl w:val="0"/>
              <w:spacing w:after="0"/>
              <w:rPr>
                <w:rFonts w:ascii="Times New Roman" w:hAnsi="Times New Roman" w:cs="Times New Roman"/>
                <w:b/>
                <w:bCs/>
                <w:sz w:val="14"/>
                <w:szCs w:val="14"/>
              </w:rPr>
            </w:pPr>
            <w:r w:rsidRPr="00D94493">
              <w:rPr>
                <w:rFonts w:ascii="Times New Roman" w:hAnsi="Times New Roman" w:cs="Times New Roman"/>
                <w:b/>
                <w:bCs/>
                <w:sz w:val="14"/>
                <w:szCs w:val="14"/>
              </w:rPr>
              <w:t>Hrubý dlh verejnej správy</w:t>
            </w:r>
          </w:p>
        </w:tc>
        <w:tc>
          <w:tcPr>
            <w:tcW w:w="182" w:type="pct"/>
            <w:tcBorders>
              <w:top w:val="single" w:sz="6" w:space="0" w:color="auto"/>
            </w:tcBorders>
            <w:shd w:val="clear" w:color="auto" w:fill="auto"/>
            <w:vAlign w:val="center"/>
          </w:tcPr>
          <w:p w14:paraId="639C2891" w14:textId="77777777" w:rsidR="00D94493" w:rsidRPr="00D94493" w:rsidRDefault="00D94493" w:rsidP="00D94493">
            <w:pPr>
              <w:widowControl w:val="0"/>
              <w:spacing w:after="0"/>
              <w:jc w:val="center"/>
              <w:rPr>
                <w:rFonts w:ascii="Times New Roman" w:hAnsi="Times New Roman" w:cs="Times New Roman"/>
                <w:b/>
                <w:sz w:val="14"/>
                <w:szCs w:val="14"/>
              </w:rPr>
            </w:pPr>
          </w:p>
        </w:tc>
        <w:tc>
          <w:tcPr>
            <w:tcW w:w="496" w:type="pct"/>
            <w:tcBorders>
              <w:top w:val="single" w:sz="6" w:space="0" w:color="auto"/>
            </w:tcBorders>
            <w:shd w:val="clear" w:color="auto" w:fill="auto"/>
            <w:vAlign w:val="center"/>
          </w:tcPr>
          <w:p w14:paraId="78CD1D30" w14:textId="77777777" w:rsidR="00D94493" w:rsidRPr="00D94493" w:rsidRDefault="00D94493" w:rsidP="00D94493">
            <w:pPr>
              <w:widowControl w:val="0"/>
              <w:spacing w:after="0"/>
              <w:jc w:val="center"/>
              <w:rPr>
                <w:rFonts w:ascii="Times New Roman" w:hAnsi="Times New Roman" w:cs="Times New Roman"/>
                <w:b/>
                <w:sz w:val="14"/>
                <w:szCs w:val="14"/>
              </w:rPr>
            </w:pPr>
            <w:r w:rsidRPr="00D94493">
              <w:rPr>
                <w:rFonts w:ascii="Times New Roman" w:hAnsi="Times New Roman" w:cs="Times New Roman"/>
                <w:b/>
                <w:bCs/>
                <w:color w:val="000000"/>
                <w:sz w:val="14"/>
                <w:szCs w:val="14"/>
              </w:rPr>
              <w:t>61,0</w:t>
            </w:r>
          </w:p>
        </w:tc>
        <w:tc>
          <w:tcPr>
            <w:tcW w:w="496" w:type="pct"/>
            <w:tcBorders>
              <w:top w:val="single" w:sz="6" w:space="0" w:color="auto"/>
            </w:tcBorders>
            <w:shd w:val="clear" w:color="auto" w:fill="auto"/>
            <w:vAlign w:val="center"/>
          </w:tcPr>
          <w:p w14:paraId="6FE5A475" w14:textId="77777777" w:rsidR="00D94493" w:rsidRPr="00D94493" w:rsidRDefault="00D94493" w:rsidP="00D94493">
            <w:pPr>
              <w:widowControl w:val="0"/>
              <w:spacing w:after="0"/>
              <w:jc w:val="center"/>
              <w:rPr>
                <w:rFonts w:ascii="Times New Roman" w:hAnsi="Times New Roman" w:cs="Times New Roman"/>
                <w:b/>
                <w:bCs/>
                <w:sz w:val="14"/>
                <w:szCs w:val="14"/>
              </w:rPr>
            </w:pPr>
            <w:r w:rsidRPr="00D94493">
              <w:rPr>
                <w:rFonts w:ascii="Times New Roman" w:hAnsi="Times New Roman" w:cs="Times New Roman"/>
                <w:b/>
                <w:bCs/>
                <w:color w:val="000000"/>
                <w:sz w:val="14"/>
                <w:szCs w:val="14"/>
              </w:rPr>
              <w:t>57,8</w:t>
            </w:r>
          </w:p>
        </w:tc>
        <w:tc>
          <w:tcPr>
            <w:tcW w:w="496" w:type="pct"/>
            <w:tcBorders>
              <w:top w:val="single" w:sz="6" w:space="0" w:color="auto"/>
            </w:tcBorders>
            <w:shd w:val="clear" w:color="auto" w:fill="auto"/>
            <w:vAlign w:val="center"/>
          </w:tcPr>
          <w:p w14:paraId="57E31D9B" w14:textId="77777777" w:rsidR="00D94493" w:rsidRPr="00213458" w:rsidRDefault="00D94493" w:rsidP="00D94493">
            <w:pPr>
              <w:widowControl w:val="0"/>
              <w:spacing w:after="0"/>
              <w:jc w:val="center"/>
              <w:rPr>
                <w:rFonts w:ascii="Times New Roman" w:hAnsi="Times New Roman" w:cs="Times New Roman"/>
                <w:b/>
                <w:bCs/>
                <w:sz w:val="14"/>
                <w:szCs w:val="14"/>
              </w:rPr>
            </w:pPr>
            <w:r w:rsidRPr="00213458">
              <w:rPr>
                <w:rFonts w:ascii="Times New Roman" w:hAnsi="Times New Roman" w:cs="Times New Roman"/>
                <w:b/>
                <w:bCs/>
                <w:color w:val="000000"/>
                <w:sz w:val="14"/>
                <w:szCs w:val="14"/>
              </w:rPr>
              <w:t>57,9</w:t>
            </w:r>
          </w:p>
        </w:tc>
        <w:tc>
          <w:tcPr>
            <w:tcW w:w="496" w:type="pct"/>
            <w:tcBorders>
              <w:top w:val="single" w:sz="6" w:space="0" w:color="auto"/>
            </w:tcBorders>
            <w:shd w:val="clear" w:color="auto" w:fill="auto"/>
            <w:vAlign w:val="center"/>
          </w:tcPr>
          <w:p w14:paraId="3EF39BF3" w14:textId="77777777" w:rsidR="00D94493" w:rsidRPr="00D94493" w:rsidRDefault="00D94493" w:rsidP="00D94493">
            <w:pPr>
              <w:widowControl w:val="0"/>
              <w:spacing w:after="0"/>
              <w:jc w:val="center"/>
              <w:rPr>
                <w:rFonts w:ascii="Times New Roman" w:hAnsi="Times New Roman" w:cs="Times New Roman"/>
                <w:b/>
                <w:bCs/>
                <w:color w:val="000000"/>
                <w:sz w:val="14"/>
                <w:szCs w:val="14"/>
              </w:rPr>
            </w:pPr>
            <w:r w:rsidRPr="00D94493">
              <w:rPr>
                <w:rFonts w:ascii="Times New Roman" w:hAnsi="Times New Roman" w:cs="Times New Roman"/>
                <w:b/>
                <w:bCs/>
                <w:color w:val="000000"/>
                <w:sz w:val="14"/>
                <w:szCs w:val="14"/>
              </w:rPr>
              <w:t>56,8</w:t>
            </w:r>
          </w:p>
        </w:tc>
        <w:tc>
          <w:tcPr>
            <w:tcW w:w="496" w:type="pct"/>
            <w:tcBorders>
              <w:top w:val="single" w:sz="6" w:space="0" w:color="auto"/>
            </w:tcBorders>
            <w:shd w:val="clear" w:color="auto" w:fill="auto"/>
            <w:vAlign w:val="center"/>
          </w:tcPr>
          <w:p w14:paraId="22B28E8C" w14:textId="77777777" w:rsidR="00D94493" w:rsidRPr="00D94493" w:rsidRDefault="00D94493" w:rsidP="00D94493">
            <w:pPr>
              <w:widowControl w:val="0"/>
              <w:spacing w:after="0"/>
              <w:jc w:val="center"/>
              <w:rPr>
                <w:rFonts w:ascii="Times New Roman" w:hAnsi="Times New Roman" w:cs="Times New Roman"/>
                <w:b/>
                <w:bCs/>
                <w:color w:val="000000"/>
                <w:sz w:val="14"/>
                <w:szCs w:val="14"/>
              </w:rPr>
            </w:pPr>
            <w:r w:rsidRPr="00D94493">
              <w:rPr>
                <w:rFonts w:ascii="Times New Roman" w:hAnsi="Times New Roman" w:cs="Times New Roman"/>
                <w:b/>
                <w:bCs/>
                <w:color w:val="000000"/>
                <w:sz w:val="14"/>
                <w:szCs w:val="14"/>
              </w:rPr>
              <w:t>58,3</w:t>
            </w:r>
          </w:p>
        </w:tc>
        <w:tc>
          <w:tcPr>
            <w:tcW w:w="496" w:type="pct"/>
            <w:tcBorders>
              <w:top w:val="single" w:sz="6" w:space="0" w:color="auto"/>
            </w:tcBorders>
            <w:shd w:val="clear" w:color="auto" w:fill="auto"/>
            <w:vAlign w:val="center"/>
          </w:tcPr>
          <w:p w14:paraId="37135F76" w14:textId="77777777" w:rsidR="00D94493" w:rsidRPr="00D94493" w:rsidRDefault="00D94493" w:rsidP="00D94493">
            <w:pPr>
              <w:widowControl w:val="0"/>
              <w:spacing w:after="0"/>
              <w:jc w:val="center"/>
              <w:rPr>
                <w:rFonts w:ascii="Times New Roman" w:hAnsi="Times New Roman" w:cs="Times New Roman"/>
                <w:b/>
                <w:bCs/>
                <w:color w:val="000000"/>
                <w:sz w:val="14"/>
                <w:szCs w:val="14"/>
              </w:rPr>
            </w:pPr>
            <w:r w:rsidRPr="00D94493">
              <w:rPr>
                <w:rFonts w:ascii="Times New Roman" w:hAnsi="Times New Roman" w:cs="Times New Roman"/>
                <w:b/>
                <w:bCs/>
                <w:color w:val="000000"/>
                <w:sz w:val="14"/>
                <w:szCs w:val="14"/>
              </w:rPr>
              <w:t>59,6</w:t>
            </w:r>
          </w:p>
        </w:tc>
        <w:tc>
          <w:tcPr>
            <w:tcW w:w="504" w:type="pct"/>
            <w:gridSpan w:val="2"/>
            <w:tcBorders>
              <w:top w:val="single" w:sz="6" w:space="0" w:color="auto"/>
            </w:tcBorders>
            <w:shd w:val="clear" w:color="auto" w:fill="auto"/>
            <w:vAlign w:val="center"/>
          </w:tcPr>
          <w:p w14:paraId="7D41FA18" w14:textId="77777777" w:rsidR="00D94493" w:rsidRPr="00D94493" w:rsidRDefault="00D94493" w:rsidP="00D94493">
            <w:pPr>
              <w:widowControl w:val="0"/>
              <w:spacing w:after="0"/>
              <w:jc w:val="center"/>
              <w:rPr>
                <w:rFonts w:ascii="Times New Roman" w:hAnsi="Times New Roman" w:cs="Times New Roman"/>
                <w:b/>
                <w:bCs/>
                <w:color w:val="000000"/>
                <w:sz w:val="14"/>
                <w:szCs w:val="14"/>
              </w:rPr>
            </w:pPr>
            <w:r w:rsidRPr="00D94493">
              <w:rPr>
                <w:rFonts w:ascii="Times New Roman" w:hAnsi="Times New Roman" w:cs="Times New Roman"/>
                <w:b/>
                <w:bCs/>
                <w:color w:val="000000"/>
                <w:sz w:val="14"/>
                <w:szCs w:val="14"/>
              </w:rPr>
              <w:t>61,4</w:t>
            </w:r>
          </w:p>
        </w:tc>
      </w:tr>
      <w:tr w:rsidR="00D94493" w:rsidRPr="00D94493" w14:paraId="17AF246E" w14:textId="77777777" w:rsidTr="00213458">
        <w:trPr>
          <w:trHeight w:val="210"/>
          <w:jc w:val="center"/>
        </w:trPr>
        <w:tc>
          <w:tcPr>
            <w:tcW w:w="1338" w:type="pct"/>
            <w:shd w:val="clear" w:color="auto" w:fill="auto"/>
            <w:noWrap/>
            <w:vAlign w:val="center"/>
            <w:hideMark/>
          </w:tcPr>
          <w:p w14:paraId="7BBC2AC1" w14:textId="77777777" w:rsidR="00D94493" w:rsidRPr="00D94493" w:rsidRDefault="00D94493" w:rsidP="00D94493">
            <w:pPr>
              <w:widowControl w:val="0"/>
              <w:spacing w:after="0"/>
              <w:rPr>
                <w:rFonts w:ascii="Times New Roman" w:hAnsi="Times New Roman" w:cs="Times New Roman"/>
                <w:sz w:val="14"/>
                <w:szCs w:val="14"/>
              </w:rPr>
            </w:pPr>
            <w:r w:rsidRPr="00D94493">
              <w:rPr>
                <w:rFonts w:ascii="Times New Roman" w:hAnsi="Times New Roman" w:cs="Times New Roman"/>
                <w:sz w:val="14"/>
                <w:szCs w:val="14"/>
              </w:rPr>
              <w:t xml:space="preserve">  - štátny dlh (bez vplyvu medzinár. záväzkov)</w:t>
            </w:r>
          </w:p>
        </w:tc>
        <w:tc>
          <w:tcPr>
            <w:tcW w:w="182" w:type="pct"/>
            <w:shd w:val="clear" w:color="auto" w:fill="auto"/>
            <w:vAlign w:val="center"/>
          </w:tcPr>
          <w:p w14:paraId="7CC11E5A" w14:textId="77777777" w:rsidR="00D94493" w:rsidRPr="00D94493" w:rsidRDefault="00D94493" w:rsidP="00D94493">
            <w:pPr>
              <w:widowControl w:val="0"/>
              <w:spacing w:after="0"/>
              <w:jc w:val="center"/>
              <w:rPr>
                <w:rFonts w:ascii="Times New Roman" w:hAnsi="Times New Roman" w:cs="Times New Roman"/>
                <w:sz w:val="14"/>
                <w:szCs w:val="14"/>
              </w:rPr>
            </w:pPr>
          </w:p>
        </w:tc>
        <w:tc>
          <w:tcPr>
            <w:tcW w:w="496" w:type="pct"/>
            <w:shd w:val="clear" w:color="auto" w:fill="auto"/>
            <w:vAlign w:val="center"/>
          </w:tcPr>
          <w:p w14:paraId="17B666CC" w14:textId="77777777" w:rsidR="00D94493" w:rsidRPr="00D94493" w:rsidRDefault="00D94493" w:rsidP="00D94493">
            <w:pPr>
              <w:widowControl w:val="0"/>
              <w:spacing w:after="0"/>
              <w:jc w:val="center"/>
              <w:rPr>
                <w:rFonts w:ascii="Times New Roman" w:hAnsi="Times New Roman" w:cs="Times New Roman"/>
                <w:sz w:val="14"/>
                <w:szCs w:val="14"/>
              </w:rPr>
            </w:pPr>
            <w:r w:rsidRPr="00D94493">
              <w:rPr>
                <w:rFonts w:ascii="Times New Roman" w:hAnsi="Times New Roman" w:cs="Times New Roman"/>
                <w:color w:val="000000"/>
                <w:sz w:val="14"/>
                <w:szCs w:val="14"/>
              </w:rPr>
              <w:t>56,3</w:t>
            </w:r>
          </w:p>
        </w:tc>
        <w:tc>
          <w:tcPr>
            <w:tcW w:w="496" w:type="pct"/>
            <w:shd w:val="clear" w:color="auto" w:fill="auto"/>
            <w:vAlign w:val="center"/>
          </w:tcPr>
          <w:p w14:paraId="4B925C93" w14:textId="77777777" w:rsidR="00D94493" w:rsidRPr="00D94493" w:rsidRDefault="00D94493" w:rsidP="00D94493">
            <w:pPr>
              <w:widowControl w:val="0"/>
              <w:spacing w:after="0"/>
              <w:jc w:val="center"/>
              <w:rPr>
                <w:rFonts w:ascii="Times New Roman" w:hAnsi="Times New Roman" w:cs="Times New Roman"/>
                <w:bCs/>
                <w:sz w:val="14"/>
                <w:szCs w:val="14"/>
              </w:rPr>
            </w:pPr>
            <w:r w:rsidRPr="00D94493">
              <w:rPr>
                <w:rFonts w:ascii="Times New Roman" w:hAnsi="Times New Roman" w:cs="Times New Roman"/>
                <w:color w:val="000000"/>
                <w:sz w:val="14"/>
                <w:szCs w:val="14"/>
              </w:rPr>
              <w:t>53,3</w:t>
            </w:r>
          </w:p>
        </w:tc>
        <w:tc>
          <w:tcPr>
            <w:tcW w:w="496" w:type="pct"/>
            <w:shd w:val="clear" w:color="auto" w:fill="auto"/>
            <w:vAlign w:val="center"/>
          </w:tcPr>
          <w:p w14:paraId="48F663A5" w14:textId="77777777" w:rsidR="00D94493" w:rsidRPr="00213458" w:rsidRDefault="00D94493" w:rsidP="00D94493">
            <w:pPr>
              <w:widowControl w:val="0"/>
              <w:spacing w:after="0"/>
              <w:jc w:val="center"/>
              <w:rPr>
                <w:rFonts w:ascii="Times New Roman" w:hAnsi="Times New Roman" w:cs="Times New Roman"/>
                <w:bCs/>
                <w:sz w:val="14"/>
                <w:szCs w:val="14"/>
              </w:rPr>
            </w:pPr>
            <w:r w:rsidRPr="00213458">
              <w:rPr>
                <w:rFonts w:ascii="Times New Roman" w:hAnsi="Times New Roman" w:cs="Times New Roman"/>
                <w:color w:val="000000"/>
                <w:sz w:val="14"/>
                <w:szCs w:val="14"/>
              </w:rPr>
              <w:t>53,9</w:t>
            </w:r>
          </w:p>
        </w:tc>
        <w:tc>
          <w:tcPr>
            <w:tcW w:w="496" w:type="pct"/>
            <w:shd w:val="clear" w:color="auto" w:fill="auto"/>
            <w:vAlign w:val="center"/>
          </w:tcPr>
          <w:p w14:paraId="2F598E87" w14:textId="77777777" w:rsidR="00D94493" w:rsidRPr="00D94493" w:rsidRDefault="00D94493" w:rsidP="00D94493">
            <w:pPr>
              <w:widowControl w:val="0"/>
              <w:spacing w:after="0"/>
              <w:jc w:val="center"/>
              <w:rPr>
                <w:rFonts w:ascii="Times New Roman" w:hAnsi="Times New Roman" w:cs="Times New Roman"/>
                <w:bCs/>
                <w:color w:val="000000"/>
                <w:sz w:val="14"/>
                <w:szCs w:val="14"/>
              </w:rPr>
            </w:pPr>
            <w:r w:rsidRPr="00D94493">
              <w:rPr>
                <w:rFonts w:ascii="Times New Roman" w:hAnsi="Times New Roman" w:cs="Times New Roman"/>
                <w:bCs/>
                <w:color w:val="000000"/>
                <w:sz w:val="14"/>
                <w:szCs w:val="14"/>
              </w:rPr>
              <w:t>52,7</w:t>
            </w:r>
          </w:p>
        </w:tc>
        <w:tc>
          <w:tcPr>
            <w:tcW w:w="496" w:type="pct"/>
            <w:shd w:val="clear" w:color="auto" w:fill="auto"/>
            <w:vAlign w:val="center"/>
          </w:tcPr>
          <w:p w14:paraId="19BDA5DD" w14:textId="77777777" w:rsidR="00D94493" w:rsidRPr="00D94493" w:rsidRDefault="00D94493" w:rsidP="00D94493">
            <w:pPr>
              <w:widowControl w:val="0"/>
              <w:spacing w:after="0"/>
              <w:jc w:val="center"/>
              <w:rPr>
                <w:rFonts w:ascii="Times New Roman" w:hAnsi="Times New Roman" w:cs="Times New Roman"/>
                <w:bCs/>
                <w:color w:val="000000"/>
                <w:sz w:val="14"/>
                <w:szCs w:val="14"/>
              </w:rPr>
            </w:pPr>
            <w:r w:rsidRPr="00D94493">
              <w:rPr>
                <w:rFonts w:ascii="Times New Roman" w:hAnsi="Times New Roman" w:cs="Times New Roman"/>
                <w:bCs/>
                <w:color w:val="000000"/>
                <w:sz w:val="14"/>
                <w:szCs w:val="14"/>
              </w:rPr>
              <w:t>54,4</w:t>
            </w:r>
          </w:p>
        </w:tc>
        <w:tc>
          <w:tcPr>
            <w:tcW w:w="496" w:type="pct"/>
            <w:shd w:val="clear" w:color="auto" w:fill="auto"/>
            <w:vAlign w:val="center"/>
          </w:tcPr>
          <w:p w14:paraId="1B90DA71" w14:textId="77777777" w:rsidR="00D94493" w:rsidRPr="00D94493" w:rsidRDefault="00D94493" w:rsidP="00D94493">
            <w:pPr>
              <w:widowControl w:val="0"/>
              <w:spacing w:after="0"/>
              <w:jc w:val="center"/>
              <w:rPr>
                <w:rFonts w:ascii="Times New Roman" w:hAnsi="Times New Roman" w:cs="Times New Roman"/>
                <w:bCs/>
                <w:color w:val="000000"/>
                <w:sz w:val="14"/>
                <w:szCs w:val="14"/>
              </w:rPr>
            </w:pPr>
            <w:r w:rsidRPr="00D94493">
              <w:rPr>
                <w:rFonts w:ascii="Times New Roman" w:hAnsi="Times New Roman" w:cs="Times New Roman"/>
                <w:bCs/>
                <w:color w:val="000000"/>
                <w:sz w:val="14"/>
                <w:szCs w:val="14"/>
              </w:rPr>
              <w:t>55,8</w:t>
            </w:r>
          </w:p>
        </w:tc>
        <w:tc>
          <w:tcPr>
            <w:tcW w:w="504" w:type="pct"/>
            <w:gridSpan w:val="2"/>
            <w:shd w:val="clear" w:color="auto" w:fill="auto"/>
            <w:vAlign w:val="center"/>
          </w:tcPr>
          <w:p w14:paraId="1F18DBA6" w14:textId="77777777" w:rsidR="00D94493" w:rsidRPr="00D94493" w:rsidRDefault="00D94493" w:rsidP="00D94493">
            <w:pPr>
              <w:widowControl w:val="0"/>
              <w:spacing w:after="0"/>
              <w:jc w:val="center"/>
              <w:rPr>
                <w:rFonts w:ascii="Times New Roman" w:hAnsi="Times New Roman" w:cs="Times New Roman"/>
                <w:bCs/>
                <w:color w:val="000000"/>
                <w:sz w:val="14"/>
                <w:szCs w:val="14"/>
              </w:rPr>
            </w:pPr>
            <w:r w:rsidRPr="00D94493">
              <w:rPr>
                <w:rFonts w:ascii="Times New Roman" w:hAnsi="Times New Roman" w:cs="Times New Roman"/>
                <w:bCs/>
                <w:color w:val="000000"/>
                <w:sz w:val="14"/>
                <w:szCs w:val="14"/>
              </w:rPr>
              <w:t>57,6</w:t>
            </w:r>
          </w:p>
        </w:tc>
      </w:tr>
      <w:tr w:rsidR="00D94493" w:rsidRPr="00D94493" w14:paraId="1DAD276E" w14:textId="77777777" w:rsidTr="00213458">
        <w:trPr>
          <w:trHeight w:val="210"/>
          <w:jc w:val="center"/>
        </w:trPr>
        <w:tc>
          <w:tcPr>
            <w:tcW w:w="1338" w:type="pct"/>
            <w:shd w:val="clear" w:color="auto" w:fill="auto"/>
            <w:noWrap/>
            <w:vAlign w:val="center"/>
            <w:hideMark/>
          </w:tcPr>
          <w:p w14:paraId="3515617C" w14:textId="77777777" w:rsidR="00D94493" w:rsidRPr="00D94493" w:rsidRDefault="00D94493" w:rsidP="00D94493">
            <w:pPr>
              <w:widowControl w:val="0"/>
              <w:spacing w:after="0"/>
              <w:rPr>
                <w:rFonts w:ascii="Times New Roman" w:hAnsi="Times New Roman" w:cs="Times New Roman"/>
                <w:sz w:val="14"/>
                <w:szCs w:val="14"/>
              </w:rPr>
            </w:pPr>
            <w:r w:rsidRPr="00D94493">
              <w:rPr>
                <w:rFonts w:ascii="Times New Roman" w:hAnsi="Times New Roman" w:cs="Times New Roman"/>
                <w:sz w:val="14"/>
                <w:szCs w:val="14"/>
              </w:rPr>
              <w:t xml:space="preserve">  - podiel SR na dlhu EFSF</w:t>
            </w:r>
          </w:p>
        </w:tc>
        <w:tc>
          <w:tcPr>
            <w:tcW w:w="182" w:type="pct"/>
            <w:shd w:val="clear" w:color="auto" w:fill="auto"/>
            <w:vAlign w:val="center"/>
          </w:tcPr>
          <w:p w14:paraId="10499D81" w14:textId="77777777" w:rsidR="00D94493" w:rsidRPr="00D94493" w:rsidRDefault="00D94493" w:rsidP="00D94493">
            <w:pPr>
              <w:widowControl w:val="0"/>
              <w:spacing w:after="0"/>
              <w:jc w:val="center"/>
              <w:rPr>
                <w:rFonts w:ascii="Times New Roman" w:hAnsi="Times New Roman" w:cs="Times New Roman"/>
                <w:sz w:val="14"/>
                <w:szCs w:val="14"/>
              </w:rPr>
            </w:pPr>
          </w:p>
        </w:tc>
        <w:tc>
          <w:tcPr>
            <w:tcW w:w="496" w:type="pct"/>
            <w:shd w:val="clear" w:color="auto" w:fill="auto"/>
            <w:vAlign w:val="center"/>
          </w:tcPr>
          <w:p w14:paraId="732C0DF7" w14:textId="77777777" w:rsidR="00D94493" w:rsidRPr="00D94493" w:rsidRDefault="00D94493" w:rsidP="00D94493">
            <w:pPr>
              <w:widowControl w:val="0"/>
              <w:spacing w:after="0"/>
              <w:jc w:val="center"/>
              <w:rPr>
                <w:rFonts w:ascii="Times New Roman" w:hAnsi="Times New Roman" w:cs="Times New Roman"/>
                <w:sz w:val="14"/>
                <w:szCs w:val="14"/>
              </w:rPr>
            </w:pPr>
            <w:r w:rsidRPr="00D94493">
              <w:rPr>
                <w:rFonts w:ascii="Times New Roman" w:hAnsi="Times New Roman" w:cs="Times New Roman"/>
                <w:color w:val="000000"/>
                <w:sz w:val="14"/>
                <w:szCs w:val="14"/>
              </w:rPr>
              <w:t>1,9</w:t>
            </w:r>
          </w:p>
        </w:tc>
        <w:tc>
          <w:tcPr>
            <w:tcW w:w="496" w:type="pct"/>
            <w:shd w:val="clear" w:color="auto" w:fill="auto"/>
            <w:vAlign w:val="center"/>
          </w:tcPr>
          <w:p w14:paraId="7C20AE18" w14:textId="77777777" w:rsidR="00D94493" w:rsidRPr="00D94493" w:rsidRDefault="00D94493" w:rsidP="00D94493">
            <w:pPr>
              <w:widowControl w:val="0"/>
              <w:spacing w:after="0"/>
              <w:jc w:val="center"/>
              <w:rPr>
                <w:rFonts w:ascii="Times New Roman" w:hAnsi="Times New Roman" w:cs="Times New Roman"/>
                <w:bCs/>
                <w:sz w:val="14"/>
                <w:szCs w:val="14"/>
              </w:rPr>
            </w:pPr>
            <w:r w:rsidRPr="00D94493">
              <w:rPr>
                <w:rFonts w:ascii="Times New Roman" w:hAnsi="Times New Roman" w:cs="Times New Roman"/>
                <w:color w:val="000000"/>
                <w:sz w:val="14"/>
                <w:szCs w:val="14"/>
              </w:rPr>
              <w:t>1,7</w:t>
            </w:r>
          </w:p>
        </w:tc>
        <w:tc>
          <w:tcPr>
            <w:tcW w:w="496" w:type="pct"/>
            <w:shd w:val="clear" w:color="auto" w:fill="auto"/>
            <w:vAlign w:val="center"/>
          </w:tcPr>
          <w:p w14:paraId="0CC3C82E" w14:textId="77777777" w:rsidR="00D94493" w:rsidRPr="00213458" w:rsidRDefault="00D94493" w:rsidP="00D94493">
            <w:pPr>
              <w:widowControl w:val="0"/>
              <w:spacing w:after="0"/>
              <w:jc w:val="center"/>
              <w:rPr>
                <w:rFonts w:ascii="Times New Roman" w:hAnsi="Times New Roman" w:cs="Times New Roman"/>
                <w:bCs/>
                <w:sz w:val="14"/>
                <w:szCs w:val="14"/>
              </w:rPr>
            </w:pPr>
            <w:r w:rsidRPr="00213458">
              <w:rPr>
                <w:rFonts w:ascii="Times New Roman" w:hAnsi="Times New Roman" w:cs="Times New Roman"/>
                <w:color w:val="000000"/>
                <w:sz w:val="14"/>
                <w:szCs w:val="14"/>
              </w:rPr>
              <w:t>1,5</w:t>
            </w:r>
          </w:p>
        </w:tc>
        <w:tc>
          <w:tcPr>
            <w:tcW w:w="496" w:type="pct"/>
            <w:shd w:val="clear" w:color="auto" w:fill="auto"/>
            <w:vAlign w:val="center"/>
          </w:tcPr>
          <w:p w14:paraId="4DE3511F" w14:textId="77777777" w:rsidR="00D94493" w:rsidRPr="00D94493" w:rsidRDefault="00D94493" w:rsidP="00D94493">
            <w:pPr>
              <w:widowControl w:val="0"/>
              <w:spacing w:after="0"/>
              <w:jc w:val="center"/>
              <w:rPr>
                <w:rFonts w:ascii="Times New Roman" w:hAnsi="Times New Roman" w:cs="Times New Roman"/>
                <w:bCs/>
                <w:color w:val="000000"/>
                <w:sz w:val="14"/>
                <w:szCs w:val="14"/>
              </w:rPr>
            </w:pPr>
            <w:r w:rsidRPr="00D94493">
              <w:rPr>
                <w:rFonts w:ascii="Times New Roman" w:hAnsi="Times New Roman" w:cs="Times New Roman"/>
                <w:bCs/>
                <w:color w:val="000000"/>
                <w:sz w:val="14"/>
                <w:szCs w:val="14"/>
              </w:rPr>
              <w:t>1,5</w:t>
            </w:r>
          </w:p>
        </w:tc>
        <w:tc>
          <w:tcPr>
            <w:tcW w:w="496" w:type="pct"/>
            <w:shd w:val="clear" w:color="auto" w:fill="auto"/>
            <w:vAlign w:val="center"/>
          </w:tcPr>
          <w:p w14:paraId="24ABE5E2" w14:textId="77777777" w:rsidR="00D94493" w:rsidRPr="00D94493" w:rsidRDefault="00D94493" w:rsidP="00D94493">
            <w:pPr>
              <w:widowControl w:val="0"/>
              <w:spacing w:after="0"/>
              <w:jc w:val="center"/>
              <w:rPr>
                <w:rFonts w:ascii="Times New Roman" w:hAnsi="Times New Roman" w:cs="Times New Roman"/>
                <w:bCs/>
                <w:color w:val="000000"/>
                <w:sz w:val="14"/>
                <w:szCs w:val="14"/>
              </w:rPr>
            </w:pPr>
            <w:r w:rsidRPr="00D94493">
              <w:rPr>
                <w:rFonts w:ascii="Times New Roman" w:hAnsi="Times New Roman" w:cs="Times New Roman"/>
                <w:bCs/>
                <w:color w:val="000000"/>
                <w:sz w:val="14"/>
                <w:szCs w:val="14"/>
              </w:rPr>
              <w:t>1,4</w:t>
            </w:r>
          </w:p>
        </w:tc>
        <w:tc>
          <w:tcPr>
            <w:tcW w:w="496" w:type="pct"/>
            <w:shd w:val="clear" w:color="auto" w:fill="auto"/>
            <w:vAlign w:val="center"/>
          </w:tcPr>
          <w:p w14:paraId="719EDDD9" w14:textId="77777777" w:rsidR="00D94493" w:rsidRPr="00D94493" w:rsidRDefault="00D94493" w:rsidP="00D94493">
            <w:pPr>
              <w:widowControl w:val="0"/>
              <w:spacing w:after="0"/>
              <w:jc w:val="center"/>
              <w:rPr>
                <w:rFonts w:ascii="Times New Roman" w:hAnsi="Times New Roman" w:cs="Times New Roman"/>
                <w:bCs/>
                <w:color w:val="000000"/>
                <w:sz w:val="14"/>
                <w:szCs w:val="14"/>
              </w:rPr>
            </w:pPr>
            <w:r w:rsidRPr="00D94493">
              <w:rPr>
                <w:rFonts w:ascii="Times New Roman" w:hAnsi="Times New Roman" w:cs="Times New Roman"/>
                <w:bCs/>
                <w:color w:val="000000"/>
                <w:sz w:val="14"/>
                <w:szCs w:val="14"/>
              </w:rPr>
              <w:t>1,3</w:t>
            </w:r>
          </w:p>
        </w:tc>
        <w:tc>
          <w:tcPr>
            <w:tcW w:w="504" w:type="pct"/>
            <w:gridSpan w:val="2"/>
            <w:shd w:val="clear" w:color="auto" w:fill="auto"/>
            <w:vAlign w:val="center"/>
          </w:tcPr>
          <w:p w14:paraId="76B1CA5C" w14:textId="77777777" w:rsidR="00D94493" w:rsidRPr="00D94493" w:rsidRDefault="00D94493" w:rsidP="00D94493">
            <w:pPr>
              <w:widowControl w:val="0"/>
              <w:spacing w:after="0"/>
              <w:jc w:val="center"/>
              <w:rPr>
                <w:rFonts w:ascii="Times New Roman" w:hAnsi="Times New Roman" w:cs="Times New Roman"/>
                <w:bCs/>
                <w:color w:val="000000"/>
                <w:sz w:val="14"/>
                <w:szCs w:val="14"/>
              </w:rPr>
            </w:pPr>
            <w:r w:rsidRPr="00D94493">
              <w:rPr>
                <w:rFonts w:ascii="Times New Roman" w:hAnsi="Times New Roman" w:cs="Times New Roman"/>
                <w:bCs/>
                <w:color w:val="000000"/>
                <w:sz w:val="14"/>
                <w:szCs w:val="14"/>
              </w:rPr>
              <w:t>1,3</w:t>
            </w:r>
          </w:p>
        </w:tc>
      </w:tr>
      <w:tr w:rsidR="00D94493" w:rsidRPr="00D94493" w14:paraId="474C0400" w14:textId="77777777" w:rsidTr="00213458">
        <w:trPr>
          <w:trHeight w:val="210"/>
          <w:jc w:val="center"/>
        </w:trPr>
        <w:tc>
          <w:tcPr>
            <w:tcW w:w="1338" w:type="pct"/>
            <w:shd w:val="clear" w:color="auto" w:fill="auto"/>
            <w:noWrap/>
            <w:vAlign w:val="center"/>
            <w:hideMark/>
          </w:tcPr>
          <w:p w14:paraId="16CE721E" w14:textId="77777777" w:rsidR="00D94493" w:rsidRPr="00D94493" w:rsidRDefault="00D94493" w:rsidP="00D94493">
            <w:pPr>
              <w:widowControl w:val="0"/>
              <w:spacing w:after="0"/>
              <w:rPr>
                <w:rFonts w:ascii="Times New Roman" w:hAnsi="Times New Roman" w:cs="Times New Roman"/>
                <w:sz w:val="14"/>
                <w:szCs w:val="14"/>
              </w:rPr>
            </w:pPr>
            <w:r w:rsidRPr="00D94493">
              <w:rPr>
                <w:rFonts w:ascii="Times New Roman" w:hAnsi="Times New Roman" w:cs="Times New Roman"/>
                <w:sz w:val="14"/>
                <w:szCs w:val="14"/>
              </w:rPr>
              <w:t xml:space="preserve">  - vklad v ESM</w:t>
            </w:r>
          </w:p>
        </w:tc>
        <w:tc>
          <w:tcPr>
            <w:tcW w:w="182" w:type="pct"/>
            <w:shd w:val="clear" w:color="auto" w:fill="auto"/>
            <w:vAlign w:val="center"/>
          </w:tcPr>
          <w:p w14:paraId="08FCA37F" w14:textId="77777777" w:rsidR="00D94493" w:rsidRPr="00D94493" w:rsidRDefault="00D94493" w:rsidP="00D94493">
            <w:pPr>
              <w:widowControl w:val="0"/>
              <w:spacing w:after="0"/>
              <w:jc w:val="center"/>
              <w:rPr>
                <w:rFonts w:ascii="Times New Roman" w:hAnsi="Times New Roman" w:cs="Times New Roman"/>
                <w:sz w:val="14"/>
                <w:szCs w:val="14"/>
              </w:rPr>
            </w:pPr>
          </w:p>
        </w:tc>
        <w:tc>
          <w:tcPr>
            <w:tcW w:w="496" w:type="pct"/>
            <w:shd w:val="clear" w:color="auto" w:fill="auto"/>
            <w:vAlign w:val="center"/>
          </w:tcPr>
          <w:p w14:paraId="5F18F442" w14:textId="77777777" w:rsidR="00D94493" w:rsidRPr="00D94493" w:rsidRDefault="00D94493" w:rsidP="00D94493">
            <w:pPr>
              <w:widowControl w:val="0"/>
              <w:spacing w:after="0"/>
              <w:jc w:val="center"/>
              <w:rPr>
                <w:rFonts w:ascii="Times New Roman" w:hAnsi="Times New Roman" w:cs="Times New Roman"/>
                <w:sz w:val="14"/>
                <w:szCs w:val="14"/>
              </w:rPr>
            </w:pPr>
            <w:r w:rsidRPr="00D94493">
              <w:rPr>
                <w:rFonts w:ascii="Times New Roman" w:hAnsi="Times New Roman" w:cs="Times New Roman"/>
                <w:color w:val="000000"/>
                <w:sz w:val="14"/>
                <w:szCs w:val="14"/>
              </w:rPr>
              <w:t>0,8</w:t>
            </w:r>
          </w:p>
        </w:tc>
        <w:tc>
          <w:tcPr>
            <w:tcW w:w="496" w:type="pct"/>
            <w:shd w:val="clear" w:color="auto" w:fill="auto"/>
            <w:vAlign w:val="center"/>
          </w:tcPr>
          <w:p w14:paraId="5B5F7FDC" w14:textId="77777777" w:rsidR="00D94493" w:rsidRPr="00D94493" w:rsidRDefault="00D94493" w:rsidP="00D94493">
            <w:pPr>
              <w:widowControl w:val="0"/>
              <w:spacing w:after="0"/>
              <w:jc w:val="center"/>
              <w:rPr>
                <w:rFonts w:ascii="Times New Roman" w:hAnsi="Times New Roman" w:cs="Times New Roman"/>
                <w:bCs/>
                <w:sz w:val="14"/>
                <w:szCs w:val="14"/>
              </w:rPr>
            </w:pPr>
            <w:r w:rsidRPr="00D94493">
              <w:rPr>
                <w:rFonts w:ascii="Times New Roman" w:hAnsi="Times New Roman" w:cs="Times New Roman"/>
                <w:color w:val="000000"/>
                <w:sz w:val="14"/>
                <w:szCs w:val="14"/>
              </w:rPr>
              <w:t>0,7</w:t>
            </w:r>
          </w:p>
        </w:tc>
        <w:tc>
          <w:tcPr>
            <w:tcW w:w="496" w:type="pct"/>
            <w:shd w:val="clear" w:color="auto" w:fill="auto"/>
            <w:vAlign w:val="center"/>
          </w:tcPr>
          <w:p w14:paraId="79B90CBC" w14:textId="77777777" w:rsidR="00D94493" w:rsidRPr="00213458" w:rsidRDefault="00D94493" w:rsidP="00D94493">
            <w:pPr>
              <w:widowControl w:val="0"/>
              <w:spacing w:after="0"/>
              <w:jc w:val="center"/>
              <w:rPr>
                <w:rFonts w:ascii="Times New Roman" w:hAnsi="Times New Roman" w:cs="Times New Roman"/>
                <w:bCs/>
                <w:sz w:val="14"/>
                <w:szCs w:val="14"/>
              </w:rPr>
            </w:pPr>
            <w:r w:rsidRPr="00213458">
              <w:rPr>
                <w:rFonts w:ascii="Times New Roman" w:hAnsi="Times New Roman" w:cs="Times New Roman"/>
                <w:bCs/>
                <w:sz w:val="14"/>
                <w:szCs w:val="14"/>
              </w:rPr>
              <w:t>0,6</w:t>
            </w:r>
          </w:p>
        </w:tc>
        <w:tc>
          <w:tcPr>
            <w:tcW w:w="496" w:type="pct"/>
            <w:shd w:val="clear" w:color="auto" w:fill="auto"/>
            <w:vAlign w:val="center"/>
          </w:tcPr>
          <w:p w14:paraId="4B2A8521" w14:textId="77777777" w:rsidR="00D94493" w:rsidRPr="00D94493" w:rsidRDefault="00D94493" w:rsidP="00D94493">
            <w:pPr>
              <w:widowControl w:val="0"/>
              <w:spacing w:after="0"/>
              <w:jc w:val="center"/>
              <w:rPr>
                <w:rFonts w:ascii="Times New Roman" w:hAnsi="Times New Roman" w:cs="Times New Roman"/>
                <w:bCs/>
                <w:color w:val="000000"/>
                <w:sz w:val="14"/>
                <w:szCs w:val="14"/>
              </w:rPr>
            </w:pPr>
            <w:r w:rsidRPr="00D94493">
              <w:rPr>
                <w:rFonts w:ascii="Times New Roman" w:hAnsi="Times New Roman" w:cs="Times New Roman"/>
                <w:bCs/>
                <w:color w:val="000000"/>
                <w:sz w:val="14"/>
                <w:szCs w:val="14"/>
              </w:rPr>
              <w:t>0,7</w:t>
            </w:r>
          </w:p>
        </w:tc>
        <w:tc>
          <w:tcPr>
            <w:tcW w:w="496" w:type="pct"/>
            <w:shd w:val="clear" w:color="auto" w:fill="auto"/>
            <w:vAlign w:val="center"/>
          </w:tcPr>
          <w:p w14:paraId="39420E24" w14:textId="77777777" w:rsidR="00D94493" w:rsidRPr="00D94493" w:rsidRDefault="00D94493" w:rsidP="00D94493">
            <w:pPr>
              <w:widowControl w:val="0"/>
              <w:spacing w:after="0"/>
              <w:jc w:val="center"/>
              <w:rPr>
                <w:rFonts w:ascii="Times New Roman" w:hAnsi="Times New Roman" w:cs="Times New Roman"/>
                <w:bCs/>
                <w:color w:val="000000"/>
                <w:sz w:val="14"/>
                <w:szCs w:val="14"/>
              </w:rPr>
            </w:pPr>
            <w:r w:rsidRPr="00D94493">
              <w:rPr>
                <w:rFonts w:ascii="Times New Roman" w:hAnsi="Times New Roman" w:cs="Times New Roman"/>
                <w:bCs/>
                <w:color w:val="000000"/>
                <w:sz w:val="14"/>
                <w:szCs w:val="14"/>
              </w:rPr>
              <w:t>0,6</w:t>
            </w:r>
          </w:p>
        </w:tc>
        <w:tc>
          <w:tcPr>
            <w:tcW w:w="496" w:type="pct"/>
            <w:shd w:val="clear" w:color="auto" w:fill="auto"/>
            <w:vAlign w:val="center"/>
          </w:tcPr>
          <w:p w14:paraId="36255C09" w14:textId="77777777" w:rsidR="00D94493" w:rsidRPr="00D94493" w:rsidRDefault="00D94493" w:rsidP="00D94493">
            <w:pPr>
              <w:widowControl w:val="0"/>
              <w:spacing w:after="0"/>
              <w:jc w:val="center"/>
              <w:rPr>
                <w:rFonts w:ascii="Times New Roman" w:hAnsi="Times New Roman" w:cs="Times New Roman"/>
                <w:bCs/>
                <w:color w:val="000000"/>
                <w:sz w:val="14"/>
                <w:szCs w:val="14"/>
              </w:rPr>
            </w:pPr>
            <w:r w:rsidRPr="00D94493">
              <w:rPr>
                <w:rFonts w:ascii="Times New Roman" w:hAnsi="Times New Roman" w:cs="Times New Roman"/>
                <w:bCs/>
                <w:color w:val="000000"/>
                <w:sz w:val="14"/>
                <w:szCs w:val="14"/>
              </w:rPr>
              <w:t>0,6</w:t>
            </w:r>
          </w:p>
        </w:tc>
        <w:tc>
          <w:tcPr>
            <w:tcW w:w="504" w:type="pct"/>
            <w:gridSpan w:val="2"/>
            <w:shd w:val="clear" w:color="auto" w:fill="auto"/>
            <w:vAlign w:val="center"/>
          </w:tcPr>
          <w:p w14:paraId="5248A0C2" w14:textId="77777777" w:rsidR="00D94493" w:rsidRPr="00D94493" w:rsidRDefault="00D94493" w:rsidP="00D94493">
            <w:pPr>
              <w:widowControl w:val="0"/>
              <w:spacing w:after="0"/>
              <w:jc w:val="center"/>
              <w:rPr>
                <w:rFonts w:ascii="Times New Roman" w:hAnsi="Times New Roman" w:cs="Times New Roman"/>
                <w:bCs/>
                <w:color w:val="000000"/>
                <w:sz w:val="14"/>
                <w:szCs w:val="14"/>
              </w:rPr>
            </w:pPr>
            <w:r w:rsidRPr="00D94493">
              <w:rPr>
                <w:rFonts w:ascii="Times New Roman" w:hAnsi="Times New Roman" w:cs="Times New Roman"/>
                <w:bCs/>
                <w:color w:val="000000"/>
                <w:sz w:val="14"/>
                <w:szCs w:val="14"/>
              </w:rPr>
              <w:t>0,5</w:t>
            </w:r>
          </w:p>
        </w:tc>
      </w:tr>
      <w:tr w:rsidR="00D94493" w:rsidRPr="00D94493" w14:paraId="04818AA0" w14:textId="77777777" w:rsidTr="00213458">
        <w:trPr>
          <w:trHeight w:val="210"/>
          <w:jc w:val="center"/>
        </w:trPr>
        <w:tc>
          <w:tcPr>
            <w:tcW w:w="1338" w:type="pct"/>
            <w:shd w:val="clear" w:color="auto" w:fill="auto"/>
            <w:noWrap/>
            <w:vAlign w:val="center"/>
            <w:hideMark/>
          </w:tcPr>
          <w:p w14:paraId="4A423F74" w14:textId="77777777" w:rsidR="00D94493" w:rsidRPr="00D94493" w:rsidRDefault="00D94493" w:rsidP="00D94493">
            <w:pPr>
              <w:widowControl w:val="0"/>
              <w:spacing w:after="0"/>
              <w:rPr>
                <w:rFonts w:ascii="Times New Roman" w:hAnsi="Times New Roman" w:cs="Times New Roman"/>
                <w:sz w:val="14"/>
                <w:szCs w:val="14"/>
              </w:rPr>
            </w:pPr>
            <w:r w:rsidRPr="00D94493">
              <w:rPr>
                <w:rFonts w:ascii="Times New Roman" w:hAnsi="Times New Roman" w:cs="Times New Roman"/>
                <w:sz w:val="14"/>
                <w:szCs w:val="14"/>
              </w:rPr>
              <w:t xml:space="preserve">  - dlh ostatných subjektov verejnej správy</w:t>
            </w:r>
          </w:p>
        </w:tc>
        <w:tc>
          <w:tcPr>
            <w:tcW w:w="182" w:type="pct"/>
            <w:shd w:val="clear" w:color="auto" w:fill="auto"/>
            <w:vAlign w:val="center"/>
          </w:tcPr>
          <w:p w14:paraId="6A891B9B" w14:textId="77777777" w:rsidR="00D94493" w:rsidRPr="00D94493" w:rsidRDefault="00D94493" w:rsidP="00D94493">
            <w:pPr>
              <w:widowControl w:val="0"/>
              <w:spacing w:after="0"/>
              <w:jc w:val="center"/>
              <w:rPr>
                <w:rFonts w:ascii="Times New Roman" w:hAnsi="Times New Roman" w:cs="Times New Roman"/>
                <w:sz w:val="14"/>
                <w:szCs w:val="14"/>
              </w:rPr>
            </w:pPr>
          </w:p>
        </w:tc>
        <w:tc>
          <w:tcPr>
            <w:tcW w:w="496" w:type="pct"/>
            <w:shd w:val="clear" w:color="auto" w:fill="auto"/>
            <w:vAlign w:val="center"/>
          </w:tcPr>
          <w:p w14:paraId="28F4FAAD" w14:textId="77777777" w:rsidR="00D94493" w:rsidRPr="00D94493" w:rsidRDefault="00D94493" w:rsidP="00D94493">
            <w:pPr>
              <w:widowControl w:val="0"/>
              <w:spacing w:after="0"/>
              <w:jc w:val="center"/>
              <w:rPr>
                <w:rFonts w:ascii="Times New Roman" w:hAnsi="Times New Roman" w:cs="Times New Roman"/>
                <w:sz w:val="14"/>
                <w:szCs w:val="14"/>
              </w:rPr>
            </w:pPr>
            <w:r w:rsidRPr="00D94493">
              <w:rPr>
                <w:rFonts w:ascii="Times New Roman" w:hAnsi="Times New Roman" w:cs="Times New Roman"/>
                <w:color w:val="000000"/>
                <w:sz w:val="14"/>
                <w:szCs w:val="14"/>
              </w:rPr>
              <w:t>2,1</w:t>
            </w:r>
          </w:p>
        </w:tc>
        <w:tc>
          <w:tcPr>
            <w:tcW w:w="496" w:type="pct"/>
            <w:shd w:val="clear" w:color="auto" w:fill="auto"/>
            <w:vAlign w:val="center"/>
          </w:tcPr>
          <w:p w14:paraId="594191DE" w14:textId="77777777" w:rsidR="00D94493" w:rsidRPr="00D94493" w:rsidRDefault="00D94493" w:rsidP="00D94493">
            <w:pPr>
              <w:widowControl w:val="0"/>
              <w:spacing w:after="0"/>
              <w:jc w:val="center"/>
              <w:rPr>
                <w:rFonts w:ascii="Times New Roman" w:hAnsi="Times New Roman" w:cs="Times New Roman"/>
                <w:bCs/>
                <w:sz w:val="14"/>
                <w:szCs w:val="14"/>
              </w:rPr>
            </w:pPr>
            <w:r w:rsidRPr="00D94493">
              <w:rPr>
                <w:rFonts w:ascii="Times New Roman" w:hAnsi="Times New Roman" w:cs="Times New Roman"/>
                <w:color w:val="000000"/>
                <w:sz w:val="14"/>
                <w:szCs w:val="14"/>
              </w:rPr>
              <w:t>2,0</w:t>
            </w:r>
          </w:p>
        </w:tc>
        <w:tc>
          <w:tcPr>
            <w:tcW w:w="496" w:type="pct"/>
            <w:shd w:val="clear" w:color="auto" w:fill="auto"/>
            <w:vAlign w:val="center"/>
          </w:tcPr>
          <w:p w14:paraId="4385D561" w14:textId="77777777" w:rsidR="00D94493" w:rsidRPr="00213458" w:rsidRDefault="00D94493" w:rsidP="00D94493">
            <w:pPr>
              <w:widowControl w:val="0"/>
              <w:spacing w:after="0"/>
              <w:jc w:val="center"/>
              <w:rPr>
                <w:rFonts w:ascii="Times New Roman" w:hAnsi="Times New Roman" w:cs="Times New Roman"/>
                <w:bCs/>
                <w:sz w:val="14"/>
                <w:szCs w:val="14"/>
              </w:rPr>
            </w:pPr>
            <w:r w:rsidRPr="00213458">
              <w:rPr>
                <w:rFonts w:ascii="Times New Roman" w:hAnsi="Times New Roman" w:cs="Times New Roman"/>
                <w:bCs/>
                <w:sz w:val="14"/>
                <w:szCs w:val="14"/>
              </w:rPr>
              <w:t>1,8</w:t>
            </w:r>
          </w:p>
        </w:tc>
        <w:tc>
          <w:tcPr>
            <w:tcW w:w="496" w:type="pct"/>
            <w:shd w:val="clear" w:color="auto" w:fill="auto"/>
            <w:vAlign w:val="center"/>
          </w:tcPr>
          <w:p w14:paraId="0057BB04" w14:textId="77777777" w:rsidR="00D94493" w:rsidRPr="00D94493" w:rsidRDefault="00D94493" w:rsidP="00D94493">
            <w:pPr>
              <w:widowControl w:val="0"/>
              <w:spacing w:after="0"/>
              <w:jc w:val="center"/>
              <w:rPr>
                <w:rFonts w:ascii="Times New Roman" w:hAnsi="Times New Roman" w:cs="Times New Roman"/>
                <w:bCs/>
                <w:color w:val="000000"/>
                <w:sz w:val="14"/>
                <w:szCs w:val="14"/>
              </w:rPr>
            </w:pPr>
            <w:r w:rsidRPr="00D94493">
              <w:rPr>
                <w:rFonts w:ascii="Times New Roman" w:hAnsi="Times New Roman" w:cs="Times New Roman"/>
                <w:bCs/>
                <w:color w:val="000000"/>
                <w:sz w:val="14"/>
                <w:szCs w:val="14"/>
              </w:rPr>
              <w:t>1,9</w:t>
            </w:r>
          </w:p>
        </w:tc>
        <w:tc>
          <w:tcPr>
            <w:tcW w:w="496" w:type="pct"/>
            <w:shd w:val="clear" w:color="auto" w:fill="auto"/>
            <w:vAlign w:val="center"/>
          </w:tcPr>
          <w:p w14:paraId="40AE3496" w14:textId="77777777" w:rsidR="00D94493" w:rsidRPr="00D94493" w:rsidRDefault="00D94493" w:rsidP="00D94493">
            <w:pPr>
              <w:widowControl w:val="0"/>
              <w:spacing w:after="0"/>
              <w:jc w:val="center"/>
              <w:rPr>
                <w:rFonts w:ascii="Times New Roman" w:hAnsi="Times New Roman" w:cs="Times New Roman"/>
                <w:bCs/>
                <w:color w:val="000000"/>
                <w:sz w:val="14"/>
                <w:szCs w:val="14"/>
              </w:rPr>
            </w:pPr>
            <w:r w:rsidRPr="00D94493">
              <w:rPr>
                <w:rFonts w:ascii="Times New Roman" w:hAnsi="Times New Roman" w:cs="Times New Roman"/>
                <w:bCs/>
                <w:color w:val="000000"/>
                <w:sz w:val="14"/>
                <w:szCs w:val="14"/>
              </w:rPr>
              <w:t>1,9</w:t>
            </w:r>
          </w:p>
        </w:tc>
        <w:tc>
          <w:tcPr>
            <w:tcW w:w="496" w:type="pct"/>
            <w:shd w:val="clear" w:color="auto" w:fill="auto"/>
            <w:vAlign w:val="center"/>
          </w:tcPr>
          <w:p w14:paraId="762437CE" w14:textId="77777777" w:rsidR="00D94493" w:rsidRPr="00D94493" w:rsidRDefault="00D94493" w:rsidP="00D94493">
            <w:pPr>
              <w:widowControl w:val="0"/>
              <w:spacing w:after="0"/>
              <w:jc w:val="center"/>
              <w:rPr>
                <w:rFonts w:ascii="Times New Roman" w:hAnsi="Times New Roman" w:cs="Times New Roman"/>
                <w:bCs/>
                <w:color w:val="000000"/>
                <w:sz w:val="14"/>
                <w:szCs w:val="14"/>
              </w:rPr>
            </w:pPr>
            <w:r w:rsidRPr="00D94493">
              <w:rPr>
                <w:rFonts w:ascii="Times New Roman" w:hAnsi="Times New Roman" w:cs="Times New Roman"/>
                <w:bCs/>
                <w:color w:val="000000"/>
                <w:sz w:val="14"/>
                <w:szCs w:val="14"/>
              </w:rPr>
              <w:t>1,9</w:t>
            </w:r>
          </w:p>
        </w:tc>
        <w:tc>
          <w:tcPr>
            <w:tcW w:w="504" w:type="pct"/>
            <w:gridSpan w:val="2"/>
            <w:shd w:val="clear" w:color="auto" w:fill="auto"/>
            <w:vAlign w:val="center"/>
          </w:tcPr>
          <w:p w14:paraId="667DD5D7" w14:textId="77777777" w:rsidR="00D94493" w:rsidRPr="00D94493" w:rsidRDefault="00D94493" w:rsidP="00D94493">
            <w:pPr>
              <w:widowControl w:val="0"/>
              <w:spacing w:after="0"/>
              <w:jc w:val="center"/>
              <w:rPr>
                <w:rFonts w:ascii="Times New Roman" w:hAnsi="Times New Roman" w:cs="Times New Roman"/>
                <w:bCs/>
                <w:color w:val="000000"/>
                <w:sz w:val="14"/>
                <w:szCs w:val="14"/>
              </w:rPr>
            </w:pPr>
            <w:r w:rsidRPr="00D94493">
              <w:rPr>
                <w:rFonts w:ascii="Times New Roman" w:hAnsi="Times New Roman" w:cs="Times New Roman"/>
                <w:bCs/>
                <w:color w:val="000000"/>
                <w:sz w:val="14"/>
                <w:szCs w:val="14"/>
              </w:rPr>
              <w:t>1,9</w:t>
            </w:r>
          </w:p>
        </w:tc>
      </w:tr>
      <w:tr w:rsidR="00D94493" w:rsidRPr="00D94493" w14:paraId="0891515E" w14:textId="77777777" w:rsidTr="00213458">
        <w:trPr>
          <w:trHeight w:val="210"/>
          <w:jc w:val="center"/>
        </w:trPr>
        <w:tc>
          <w:tcPr>
            <w:tcW w:w="1338" w:type="pct"/>
            <w:tcBorders>
              <w:bottom w:val="single" w:sz="6" w:space="0" w:color="000000" w:themeColor="text1"/>
            </w:tcBorders>
            <w:shd w:val="clear" w:color="auto" w:fill="auto"/>
            <w:noWrap/>
            <w:vAlign w:val="center"/>
            <w:hideMark/>
          </w:tcPr>
          <w:p w14:paraId="78AFD6B7" w14:textId="77777777" w:rsidR="00D94493" w:rsidRPr="00D94493" w:rsidRDefault="00D94493" w:rsidP="00D94493">
            <w:pPr>
              <w:widowControl w:val="0"/>
              <w:spacing w:after="0"/>
              <w:rPr>
                <w:rFonts w:ascii="Times New Roman" w:hAnsi="Times New Roman" w:cs="Times New Roman"/>
                <w:b/>
                <w:sz w:val="14"/>
                <w:szCs w:val="14"/>
              </w:rPr>
            </w:pPr>
            <w:r w:rsidRPr="00D94493">
              <w:rPr>
                <w:rFonts w:ascii="Times New Roman" w:hAnsi="Times New Roman" w:cs="Times New Roman"/>
                <w:b/>
                <w:sz w:val="14"/>
                <w:szCs w:val="14"/>
              </w:rPr>
              <w:t>Medziročná zmena hrubého dlhu</w:t>
            </w:r>
          </w:p>
        </w:tc>
        <w:tc>
          <w:tcPr>
            <w:tcW w:w="182" w:type="pct"/>
            <w:tcBorders>
              <w:bottom w:val="single" w:sz="6" w:space="0" w:color="000000" w:themeColor="text1"/>
            </w:tcBorders>
            <w:shd w:val="clear" w:color="auto" w:fill="auto"/>
            <w:vAlign w:val="center"/>
          </w:tcPr>
          <w:p w14:paraId="0CCD2C56" w14:textId="77777777" w:rsidR="00D94493" w:rsidRPr="00D94493" w:rsidRDefault="00D94493" w:rsidP="00D94493">
            <w:pPr>
              <w:widowControl w:val="0"/>
              <w:spacing w:after="0"/>
              <w:jc w:val="center"/>
              <w:rPr>
                <w:rFonts w:ascii="Times New Roman" w:hAnsi="Times New Roman" w:cs="Times New Roman"/>
                <w:b/>
                <w:sz w:val="14"/>
                <w:szCs w:val="14"/>
              </w:rPr>
            </w:pPr>
          </w:p>
        </w:tc>
        <w:tc>
          <w:tcPr>
            <w:tcW w:w="496" w:type="pct"/>
            <w:tcBorders>
              <w:bottom w:val="single" w:sz="6" w:space="0" w:color="000000" w:themeColor="text1"/>
            </w:tcBorders>
            <w:shd w:val="clear" w:color="auto" w:fill="auto"/>
            <w:vAlign w:val="center"/>
          </w:tcPr>
          <w:p w14:paraId="362A8A7A" w14:textId="77777777" w:rsidR="00D94493" w:rsidRPr="00D94493" w:rsidRDefault="00D94493" w:rsidP="00D94493">
            <w:pPr>
              <w:widowControl w:val="0"/>
              <w:spacing w:after="0"/>
              <w:jc w:val="center"/>
              <w:rPr>
                <w:rFonts w:ascii="Times New Roman" w:hAnsi="Times New Roman" w:cs="Times New Roman"/>
                <w:b/>
                <w:sz w:val="14"/>
                <w:szCs w:val="14"/>
              </w:rPr>
            </w:pPr>
            <w:r w:rsidRPr="00D94493">
              <w:rPr>
                <w:rFonts w:ascii="Times New Roman" w:hAnsi="Times New Roman" w:cs="Times New Roman"/>
                <w:b/>
                <w:color w:val="000000"/>
                <w:sz w:val="14"/>
                <w:szCs w:val="14"/>
              </w:rPr>
              <w:t>2,2</w:t>
            </w:r>
          </w:p>
        </w:tc>
        <w:tc>
          <w:tcPr>
            <w:tcW w:w="496" w:type="pct"/>
            <w:tcBorders>
              <w:bottom w:val="single" w:sz="6" w:space="0" w:color="000000" w:themeColor="text1"/>
            </w:tcBorders>
            <w:shd w:val="clear" w:color="auto" w:fill="auto"/>
            <w:vAlign w:val="center"/>
          </w:tcPr>
          <w:p w14:paraId="190F3CBE" w14:textId="77777777" w:rsidR="00D94493" w:rsidRPr="00D94493" w:rsidRDefault="00D94493" w:rsidP="00D94493">
            <w:pPr>
              <w:widowControl w:val="0"/>
              <w:spacing w:after="0"/>
              <w:jc w:val="center"/>
              <w:rPr>
                <w:rFonts w:ascii="Times New Roman" w:hAnsi="Times New Roman" w:cs="Times New Roman"/>
                <w:b/>
                <w:bCs/>
                <w:sz w:val="14"/>
                <w:szCs w:val="14"/>
              </w:rPr>
            </w:pPr>
            <w:r w:rsidRPr="00D94493">
              <w:rPr>
                <w:rFonts w:ascii="Times New Roman" w:hAnsi="Times New Roman" w:cs="Times New Roman"/>
                <w:b/>
                <w:color w:val="000000"/>
                <w:sz w:val="14"/>
                <w:szCs w:val="14"/>
              </w:rPr>
              <w:t>-3,3</w:t>
            </w:r>
          </w:p>
        </w:tc>
        <w:tc>
          <w:tcPr>
            <w:tcW w:w="496" w:type="pct"/>
            <w:tcBorders>
              <w:bottom w:val="single" w:sz="6" w:space="0" w:color="000000" w:themeColor="text1"/>
            </w:tcBorders>
            <w:shd w:val="clear" w:color="auto" w:fill="auto"/>
            <w:vAlign w:val="center"/>
          </w:tcPr>
          <w:p w14:paraId="789A175E" w14:textId="77777777" w:rsidR="00D94493" w:rsidRPr="00213458" w:rsidRDefault="00D94493" w:rsidP="00D94493">
            <w:pPr>
              <w:widowControl w:val="0"/>
              <w:spacing w:after="0"/>
              <w:jc w:val="center"/>
              <w:rPr>
                <w:rFonts w:ascii="Times New Roman" w:hAnsi="Times New Roman" w:cs="Times New Roman"/>
                <w:b/>
                <w:bCs/>
                <w:sz w:val="14"/>
                <w:szCs w:val="14"/>
              </w:rPr>
            </w:pPr>
            <w:r w:rsidRPr="00213458">
              <w:rPr>
                <w:rFonts w:ascii="Times New Roman" w:hAnsi="Times New Roman" w:cs="Times New Roman"/>
                <w:b/>
                <w:bCs/>
                <w:sz w:val="14"/>
                <w:szCs w:val="14"/>
              </w:rPr>
              <w:t>-0,7</w:t>
            </w:r>
          </w:p>
        </w:tc>
        <w:tc>
          <w:tcPr>
            <w:tcW w:w="496" w:type="pct"/>
            <w:tcBorders>
              <w:bottom w:val="single" w:sz="6" w:space="0" w:color="000000" w:themeColor="text1"/>
            </w:tcBorders>
            <w:shd w:val="clear" w:color="auto" w:fill="auto"/>
            <w:vAlign w:val="center"/>
          </w:tcPr>
          <w:p w14:paraId="4A7F62E4" w14:textId="77777777" w:rsidR="00D94493" w:rsidRPr="00D94493" w:rsidRDefault="00D94493" w:rsidP="00D94493">
            <w:pPr>
              <w:widowControl w:val="0"/>
              <w:spacing w:after="0"/>
              <w:jc w:val="center"/>
              <w:rPr>
                <w:rFonts w:ascii="Times New Roman" w:hAnsi="Times New Roman" w:cs="Times New Roman"/>
                <w:b/>
                <w:bCs/>
                <w:color w:val="000000"/>
                <w:sz w:val="14"/>
                <w:szCs w:val="14"/>
              </w:rPr>
            </w:pPr>
            <w:r w:rsidRPr="00D94493">
              <w:rPr>
                <w:rFonts w:ascii="Times New Roman" w:hAnsi="Times New Roman" w:cs="Times New Roman"/>
                <w:b/>
                <w:bCs/>
                <w:color w:val="000000"/>
                <w:sz w:val="14"/>
                <w:szCs w:val="14"/>
              </w:rPr>
              <w:t>-1,0</w:t>
            </w:r>
          </w:p>
        </w:tc>
        <w:tc>
          <w:tcPr>
            <w:tcW w:w="496" w:type="pct"/>
            <w:tcBorders>
              <w:bottom w:val="single" w:sz="6" w:space="0" w:color="000000" w:themeColor="text1"/>
            </w:tcBorders>
            <w:shd w:val="clear" w:color="auto" w:fill="auto"/>
            <w:vAlign w:val="center"/>
          </w:tcPr>
          <w:p w14:paraId="1401947B" w14:textId="77777777" w:rsidR="00D94493" w:rsidRPr="00D94493" w:rsidRDefault="00D94493" w:rsidP="00D94493">
            <w:pPr>
              <w:widowControl w:val="0"/>
              <w:spacing w:after="0"/>
              <w:jc w:val="center"/>
              <w:rPr>
                <w:rFonts w:ascii="Times New Roman" w:hAnsi="Times New Roman" w:cs="Times New Roman"/>
                <w:b/>
                <w:bCs/>
                <w:color w:val="000000"/>
                <w:sz w:val="14"/>
                <w:szCs w:val="14"/>
              </w:rPr>
            </w:pPr>
            <w:r w:rsidRPr="00D94493">
              <w:rPr>
                <w:rFonts w:ascii="Times New Roman" w:hAnsi="Times New Roman" w:cs="Times New Roman"/>
                <w:b/>
                <w:bCs/>
                <w:color w:val="000000"/>
                <w:sz w:val="14"/>
                <w:szCs w:val="14"/>
              </w:rPr>
              <w:t>1,5</w:t>
            </w:r>
          </w:p>
        </w:tc>
        <w:tc>
          <w:tcPr>
            <w:tcW w:w="496" w:type="pct"/>
            <w:tcBorders>
              <w:bottom w:val="single" w:sz="6" w:space="0" w:color="000000" w:themeColor="text1"/>
            </w:tcBorders>
            <w:shd w:val="clear" w:color="auto" w:fill="auto"/>
            <w:vAlign w:val="center"/>
          </w:tcPr>
          <w:p w14:paraId="1BA9E962" w14:textId="77777777" w:rsidR="00D94493" w:rsidRPr="00D94493" w:rsidRDefault="00D94493" w:rsidP="00D94493">
            <w:pPr>
              <w:widowControl w:val="0"/>
              <w:spacing w:after="0"/>
              <w:jc w:val="center"/>
              <w:rPr>
                <w:rFonts w:ascii="Times New Roman" w:hAnsi="Times New Roman" w:cs="Times New Roman"/>
                <w:b/>
                <w:bCs/>
                <w:color w:val="000000"/>
                <w:sz w:val="14"/>
                <w:szCs w:val="14"/>
              </w:rPr>
            </w:pPr>
            <w:r w:rsidRPr="00D94493">
              <w:rPr>
                <w:rFonts w:ascii="Times New Roman" w:hAnsi="Times New Roman" w:cs="Times New Roman"/>
                <w:b/>
                <w:bCs/>
                <w:color w:val="000000"/>
                <w:sz w:val="14"/>
                <w:szCs w:val="14"/>
              </w:rPr>
              <w:t>1,3</w:t>
            </w:r>
          </w:p>
        </w:tc>
        <w:tc>
          <w:tcPr>
            <w:tcW w:w="504" w:type="pct"/>
            <w:gridSpan w:val="2"/>
            <w:tcBorders>
              <w:bottom w:val="single" w:sz="6" w:space="0" w:color="000000" w:themeColor="text1"/>
            </w:tcBorders>
            <w:shd w:val="clear" w:color="auto" w:fill="auto"/>
            <w:vAlign w:val="center"/>
          </w:tcPr>
          <w:p w14:paraId="606B1F01" w14:textId="77777777" w:rsidR="00D94493" w:rsidRPr="00D94493" w:rsidRDefault="00D94493" w:rsidP="00D94493">
            <w:pPr>
              <w:widowControl w:val="0"/>
              <w:spacing w:after="0"/>
              <w:jc w:val="center"/>
              <w:rPr>
                <w:rFonts w:ascii="Times New Roman" w:hAnsi="Times New Roman" w:cs="Times New Roman"/>
                <w:b/>
                <w:bCs/>
                <w:color w:val="000000"/>
                <w:sz w:val="14"/>
                <w:szCs w:val="14"/>
              </w:rPr>
            </w:pPr>
            <w:r w:rsidRPr="00D94493">
              <w:rPr>
                <w:rFonts w:ascii="Times New Roman" w:hAnsi="Times New Roman" w:cs="Times New Roman"/>
                <w:b/>
                <w:bCs/>
                <w:color w:val="000000"/>
                <w:sz w:val="14"/>
                <w:szCs w:val="14"/>
              </w:rPr>
              <w:t>1,8</w:t>
            </w:r>
          </w:p>
        </w:tc>
      </w:tr>
      <w:tr w:rsidR="00D94493" w:rsidRPr="00D94493" w14:paraId="46CAED53" w14:textId="77777777" w:rsidTr="00213458">
        <w:trPr>
          <w:trHeight w:val="210"/>
          <w:jc w:val="center"/>
        </w:trPr>
        <w:tc>
          <w:tcPr>
            <w:tcW w:w="1338" w:type="pct"/>
            <w:tcBorders>
              <w:top w:val="single" w:sz="6" w:space="0" w:color="000000" w:themeColor="text1"/>
              <w:bottom w:val="single" w:sz="6" w:space="0" w:color="000000" w:themeColor="text1"/>
            </w:tcBorders>
            <w:shd w:val="clear" w:color="auto" w:fill="auto"/>
            <w:noWrap/>
            <w:vAlign w:val="center"/>
          </w:tcPr>
          <w:p w14:paraId="49EB3B1F" w14:textId="77777777" w:rsidR="00D94493" w:rsidRPr="00D94493" w:rsidRDefault="00D94493" w:rsidP="00D94493">
            <w:pPr>
              <w:widowControl w:val="0"/>
              <w:spacing w:after="0"/>
              <w:rPr>
                <w:rFonts w:ascii="Times New Roman" w:hAnsi="Times New Roman" w:cs="Times New Roman"/>
                <w:b/>
                <w:sz w:val="14"/>
                <w:szCs w:val="14"/>
              </w:rPr>
            </w:pPr>
            <w:r w:rsidRPr="00D94493">
              <w:rPr>
                <w:rFonts w:ascii="Times New Roman" w:hAnsi="Times New Roman" w:cs="Times New Roman"/>
                <w:b/>
                <w:sz w:val="14"/>
                <w:szCs w:val="14"/>
              </w:rPr>
              <w:t>Čistý dlh verejnej správy</w:t>
            </w:r>
          </w:p>
        </w:tc>
        <w:tc>
          <w:tcPr>
            <w:tcW w:w="182" w:type="pct"/>
            <w:tcBorders>
              <w:top w:val="single" w:sz="6" w:space="0" w:color="000000" w:themeColor="text1"/>
              <w:bottom w:val="single" w:sz="6" w:space="0" w:color="000000" w:themeColor="text1"/>
            </w:tcBorders>
            <w:shd w:val="clear" w:color="auto" w:fill="auto"/>
            <w:vAlign w:val="center"/>
          </w:tcPr>
          <w:p w14:paraId="6047E209" w14:textId="77777777" w:rsidR="00D94493" w:rsidRPr="00D94493" w:rsidRDefault="00D94493" w:rsidP="00D94493">
            <w:pPr>
              <w:widowControl w:val="0"/>
              <w:spacing w:after="0"/>
              <w:jc w:val="center"/>
              <w:rPr>
                <w:rFonts w:ascii="Times New Roman" w:hAnsi="Times New Roman" w:cs="Times New Roman"/>
                <w:b/>
                <w:sz w:val="14"/>
                <w:szCs w:val="14"/>
              </w:rPr>
            </w:pPr>
          </w:p>
        </w:tc>
        <w:tc>
          <w:tcPr>
            <w:tcW w:w="496" w:type="pct"/>
            <w:tcBorders>
              <w:top w:val="single" w:sz="6" w:space="0" w:color="000000" w:themeColor="text1"/>
              <w:bottom w:val="single" w:sz="6" w:space="0" w:color="000000" w:themeColor="text1"/>
            </w:tcBorders>
            <w:shd w:val="clear" w:color="auto" w:fill="auto"/>
            <w:vAlign w:val="center"/>
          </w:tcPr>
          <w:p w14:paraId="40B761F0" w14:textId="77777777" w:rsidR="00D94493" w:rsidRPr="00D94493" w:rsidRDefault="00D94493" w:rsidP="00D94493">
            <w:pPr>
              <w:widowControl w:val="0"/>
              <w:spacing w:after="0"/>
              <w:jc w:val="center"/>
              <w:rPr>
                <w:rFonts w:ascii="Times New Roman" w:hAnsi="Times New Roman" w:cs="Times New Roman"/>
                <w:b/>
                <w:sz w:val="14"/>
                <w:szCs w:val="14"/>
              </w:rPr>
            </w:pPr>
            <w:r w:rsidRPr="00D94493">
              <w:rPr>
                <w:rFonts w:ascii="Times New Roman" w:hAnsi="Times New Roman" w:cs="Times New Roman"/>
                <w:b/>
                <w:color w:val="000000"/>
                <w:sz w:val="14"/>
                <w:szCs w:val="14"/>
              </w:rPr>
              <w:t>49,6</w:t>
            </w:r>
          </w:p>
        </w:tc>
        <w:tc>
          <w:tcPr>
            <w:tcW w:w="496" w:type="pct"/>
            <w:tcBorders>
              <w:top w:val="single" w:sz="6" w:space="0" w:color="000000" w:themeColor="text1"/>
              <w:bottom w:val="single" w:sz="6" w:space="0" w:color="000000" w:themeColor="text1"/>
            </w:tcBorders>
            <w:shd w:val="clear" w:color="auto" w:fill="auto"/>
            <w:vAlign w:val="center"/>
          </w:tcPr>
          <w:p w14:paraId="563518E4" w14:textId="77777777" w:rsidR="00D94493" w:rsidRPr="00D94493" w:rsidRDefault="00D94493" w:rsidP="00D94493">
            <w:pPr>
              <w:widowControl w:val="0"/>
              <w:spacing w:after="0"/>
              <w:jc w:val="center"/>
              <w:rPr>
                <w:rFonts w:ascii="Times New Roman" w:hAnsi="Times New Roman" w:cs="Times New Roman"/>
                <w:b/>
                <w:bCs/>
                <w:sz w:val="14"/>
                <w:szCs w:val="14"/>
              </w:rPr>
            </w:pPr>
            <w:r w:rsidRPr="00D94493">
              <w:rPr>
                <w:rFonts w:ascii="Times New Roman" w:hAnsi="Times New Roman" w:cs="Times New Roman"/>
                <w:b/>
                <w:color w:val="000000"/>
                <w:sz w:val="14"/>
                <w:szCs w:val="14"/>
              </w:rPr>
              <w:t>47,7</w:t>
            </w:r>
          </w:p>
        </w:tc>
        <w:tc>
          <w:tcPr>
            <w:tcW w:w="496" w:type="pct"/>
            <w:tcBorders>
              <w:top w:val="single" w:sz="6" w:space="0" w:color="000000" w:themeColor="text1"/>
              <w:bottom w:val="single" w:sz="6" w:space="0" w:color="000000" w:themeColor="text1"/>
            </w:tcBorders>
            <w:shd w:val="clear" w:color="auto" w:fill="auto"/>
            <w:vAlign w:val="center"/>
          </w:tcPr>
          <w:p w14:paraId="4E08C176" w14:textId="77777777" w:rsidR="00D94493" w:rsidRPr="00213458" w:rsidRDefault="00D94493" w:rsidP="00D94493">
            <w:pPr>
              <w:widowControl w:val="0"/>
              <w:spacing w:after="0"/>
              <w:jc w:val="center"/>
              <w:rPr>
                <w:rFonts w:ascii="Times New Roman" w:hAnsi="Times New Roman" w:cs="Times New Roman"/>
                <w:b/>
                <w:bCs/>
                <w:sz w:val="14"/>
                <w:szCs w:val="14"/>
              </w:rPr>
            </w:pPr>
            <w:r w:rsidRPr="00213458">
              <w:rPr>
                <w:rFonts w:ascii="Times New Roman" w:hAnsi="Times New Roman" w:cs="Times New Roman"/>
                <w:b/>
                <w:bCs/>
                <w:sz w:val="14"/>
                <w:szCs w:val="14"/>
              </w:rPr>
              <w:t>51,8</w:t>
            </w:r>
          </w:p>
        </w:tc>
        <w:tc>
          <w:tcPr>
            <w:tcW w:w="496" w:type="pct"/>
            <w:tcBorders>
              <w:top w:val="single" w:sz="6" w:space="0" w:color="000000" w:themeColor="text1"/>
              <w:bottom w:val="single" w:sz="6" w:space="0" w:color="000000" w:themeColor="text1"/>
            </w:tcBorders>
            <w:shd w:val="clear" w:color="auto" w:fill="auto"/>
            <w:vAlign w:val="center"/>
          </w:tcPr>
          <w:p w14:paraId="40F2B584" w14:textId="77777777" w:rsidR="00D94493" w:rsidRPr="00D94493" w:rsidRDefault="00D94493" w:rsidP="00D94493">
            <w:pPr>
              <w:widowControl w:val="0"/>
              <w:spacing w:after="0"/>
              <w:jc w:val="center"/>
              <w:rPr>
                <w:rFonts w:ascii="Times New Roman" w:hAnsi="Times New Roman" w:cs="Times New Roman"/>
                <w:b/>
                <w:bCs/>
                <w:color w:val="000000"/>
                <w:sz w:val="14"/>
                <w:szCs w:val="14"/>
              </w:rPr>
            </w:pPr>
            <w:r w:rsidRPr="00D94493">
              <w:rPr>
                <w:rFonts w:ascii="Times New Roman" w:hAnsi="Times New Roman" w:cs="Times New Roman"/>
                <w:b/>
                <w:bCs/>
                <w:color w:val="000000"/>
                <w:sz w:val="14"/>
                <w:szCs w:val="14"/>
              </w:rPr>
              <w:t>49,6</w:t>
            </w:r>
          </w:p>
        </w:tc>
        <w:tc>
          <w:tcPr>
            <w:tcW w:w="496" w:type="pct"/>
            <w:tcBorders>
              <w:top w:val="single" w:sz="6" w:space="0" w:color="000000" w:themeColor="text1"/>
              <w:bottom w:val="single" w:sz="6" w:space="0" w:color="000000" w:themeColor="text1"/>
            </w:tcBorders>
            <w:shd w:val="clear" w:color="auto" w:fill="auto"/>
            <w:vAlign w:val="center"/>
          </w:tcPr>
          <w:p w14:paraId="3A2A6723" w14:textId="77777777" w:rsidR="00D94493" w:rsidRPr="00D94493" w:rsidRDefault="00D94493" w:rsidP="00D94493">
            <w:pPr>
              <w:widowControl w:val="0"/>
              <w:spacing w:after="0"/>
              <w:jc w:val="center"/>
              <w:rPr>
                <w:rFonts w:ascii="Times New Roman" w:hAnsi="Times New Roman" w:cs="Times New Roman"/>
                <w:b/>
                <w:bCs/>
                <w:color w:val="000000"/>
                <w:sz w:val="14"/>
                <w:szCs w:val="14"/>
              </w:rPr>
            </w:pPr>
            <w:r w:rsidRPr="00D94493">
              <w:rPr>
                <w:rFonts w:ascii="Times New Roman" w:hAnsi="Times New Roman" w:cs="Times New Roman"/>
                <w:b/>
                <w:bCs/>
                <w:color w:val="000000"/>
                <w:sz w:val="14"/>
                <w:szCs w:val="14"/>
              </w:rPr>
              <w:t>52,7</w:t>
            </w:r>
          </w:p>
        </w:tc>
        <w:tc>
          <w:tcPr>
            <w:tcW w:w="496" w:type="pct"/>
            <w:tcBorders>
              <w:top w:val="single" w:sz="6" w:space="0" w:color="000000" w:themeColor="text1"/>
              <w:bottom w:val="single" w:sz="6" w:space="0" w:color="000000" w:themeColor="text1"/>
            </w:tcBorders>
            <w:shd w:val="clear" w:color="auto" w:fill="auto"/>
            <w:vAlign w:val="center"/>
          </w:tcPr>
          <w:p w14:paraId="07C38FEC" w14:textId="77777777" w:rsidR="00D94493" w:rsidRPr="00D94493" w:rsidRDefault="00D94493" w:rsidP="00D94493">
            <w:pPr>
              <w:widowControl w:val="0"/>
              <w:spacing w:after="0"/>
              <w:jc w:val="center"/>
              <w:rPr>
                <w:rFonts w:ascii="Times New Roman" w:hAnsi="Times New Roman" w:cs="Times New Roman"/>
                <w:b/>
                <w:bCs/>
                <w:color w:val="000000"/>
                <w:sz w:val="14"/>
                <w:szCs w:val="14"/>
              </w:rPr>
            </w:pPr>
            <w:r w:rsidRPr="00D94493">
              <w:rPr>
                <w:rFonts w:ascii="Times New Roman" w:hAnsi="Times New Roman" w:cs="Times New Roman"/>
                <w:b/>
                <w:bCs/>
                <w:color w:val="000000"/>
                <w:sz w:val="14"/>
                <w:szCs w:val="14"/>
              </w:rPr>
              <w:t>54,4</w:t>
            </w:r>
          </w:p>
        </w:tc>
        <w:tc>
          <w:tcPr>
            <w:tcW w:w="504" w:type="pct"/>
            <w:gridSpan w:val="2"/>
            <w:tcBorders>
              <w:top w:val="single" w:sz="6" w:space="0" w:color="000000" w:themeColor="text1"/>
              <w:bottom w:val="single" w:sz="6" w:space="0" w:color="000000" w:themeColor="text1"/>
            </w:tcBorders>
            <w:shd w:val="clear" w:color="auto" w:fill="auto"/>
            <w:vAlign w:val="center"/>
          </w:tcPr>
          <w:p w14:paraId="7474FAEB" w14:textId="77777777" w:rsidR="00D94493" w:rsidRPr="00D94493" w:rsidRDefault="00D94493" w:rsidP="00D94493">
            <w:pPr>
              <w:widowControl w:val="0"/>
              <w:spacing w:after="0"/>
              <w:jc w:val="center"/>
              <w:rPr>
                <w:rFonts w:ascii="Times New Roman" w:hAnsi="Times New Roman" w:cs="Times New Roman"/>
                <w:b/>
                <w:bCs/>
                <w:color w:val="000000"/>
                <w:sz w:val="14"/>
                <w:szCs w:val="14"/>
              </w:rPr>
            </w:pPr>
            <w:r w:rsidRPr="00D94493">
              <w:rPr>
                <w:rFonts w:ascii="Times New Roman" w:hAnsi="Times New Roman" w:cs="Times New Roman"/>
                <w:b/>
                <w:bCs/>
                <w:color w:val="000000"/>
                <w:sz w:val="14"/>
                <w:szCs w:val="14"/>
              </w:rPr>
              <w:t>56,4</w:t>
            </w:r>
          </w:p>
        </w:tc>
      </w:tr>
      <w:tr w:rsidR="00D94493" w:rsidRPr="00D94493" w14:paraId="20F2FAF6" w14:textId="77777777" w:rsidTr="00D94493">
        <w:trPr>
          <w:gridAfter w:val="1"/>
          <w:wAfter w:w="37" w:type="pct"/>
          <w:trHeight w:val="667"/>
          <w:jc w:val="center"/>
        </w:trPr>
        <w:tc>
          <w:tcPr>
            <w:tcW w:w="4963" w:type="pct"/>
            <w:gridSpan w:val="9"/>
          </w:tcPr>
          <w:p w14:paraId="71FF6EFA" w14:textId="77777777" w:rsidR="00D94493" w:rsidRPr="00D94493" w:rsidRDefault="00D94493" w:rsidP="00D94493">
            <w:pPr>
              <w:widowControl w:val="0"/>
              <w:jc w:val="both"/>
              <w:rPr>
                <w:rFonts w:ascii="Times New Roman" w:hAnsi="Times New Roman" w:cs="Times New Roman"/>
                <w:sz w:val="14"/>
                <w:szCs w:val="14"/>
              </w:rPr>
            </w:pPr>
            <w:r w:rsidRPr="00D94493">
              <w:rPr>
                <w:rFonts w:ascii="Times New Roman" w:hAnsi="Times New Roman" w:cs="Times New Roman"/>
                <w:i/>
                <w:sz w:val="14"/>
                <w:szCs w:val="14"/>
              </w:rPr>
              <w:t xml:space="preserve">Pozn.: Prezentovaná prognóza hrubého dlhu uvažuje s deficitmi podľa rozpočtových cieľov vlády. OS – očakávaná skutočnosť ku koncu roka; N – návrh rozpočtu.                               </w:t>
            </w:r>
            <w:r w:rsidRPr="00D94493">
              <w:rPr>
                <w:rFonts w:ascii="Times New Roman" w:hAnsi="Times New Roman" w:cs="Times New Roman"/>
                <w:i/>
                <w:color w:val="FFFFFF" w:themeColor="background1"/>
                <w:sz w:val="14"/>
                <w:szCs w:val="14"/>
              </w:rPr>
              <w:t xml:space="preserve">SKSKSKSKSKSKSKSKSKSKSKSKSKSKSKSKSKSKSKSKSKSKS                                                                                  </w:t>
            </w:r>
            <w:r w:rsidRPr="00D94493">
              <w:rPr>
                <w:rFonts w:ascii="Times New Roman" w:hAnsi="Times New Roman" w:cs="Times New Roman"/>
                <w:i/>
                <w:sz w:val="14"/>
                <w:szCs w:val="14"/>
              </w:rPr>
              <w:t>Zdroj: MF SR</w:t>
            </w:r>
          </w:p>
          <w:p w14:paraId="5721C992" w14:textId="59D786F1" w:rsidR="00D94493" w:rsidRDefault="00D94493" w:rsidP="00D94493">
            <w:pPr>
              <w:widowControl w:val="0"/>
              <w:rPr>
                <w:rFonts w:ascii="Times New Roman" w:hAnsi="Times New Roman" w:cs="Times New Roman"/>
                <w:i/>
                <w:sz w:val="14"/>
                <w:szCs w:val="14"/>
              </w:rPr>
            </w:pPr>
          </w:p>
          <w:p w14:paraId="3C60A3BE" w14:textId="77777777" w:rsidR="00E1009B" w:rsidRDefault="00E1009B" w:rsidP="00D94493">
            <w:pPr>
              <w:widowControl w:val="0"/>
              <w:rPr>
                <w:rFonts w:ascii="Times New Roman" w:hAnsi="Times New Roman" w:cs="Times New Roman"/>
                <w:i/>
                <w:sz w:val="14"/>
                <w:szCs w:val="14"/>
              </w:rPr>
            </w:pPr>
          </w:p>
          <w:p w14:paraId="0EB04DB5" w14:textId="77777777" w:rsidR="00213458" w:rsidRDefault="00213458" w:rsidP="00D94493">
            <w:pPr>
              <w:widowControl w:val="0"/>
              <w:rPr>
                <w:rFonts w:ascii="Times New Roman" w:hAnsi="Times New Roman" w:cs="Times New Roman"/>
                <w:i/>
                <w:sz w:val="14"/>
                <w:szCs w:val="14"/>
              </w:rPr>
            </w:pPr>
          </w:p>
          <w:p w14:paraId="56B94E33" w14:textId="77777777" w:rsidR="00213458" w:rsidRDefault="00213458" w:rsidP="00D94493">
            <w:pPr>
              <w:widowControl w:val="0"/>
              <w:rPr>
                <w:rFonts w:ascii="Times New Roman" w:hAnsi="Times New Roman" w:cs="Times New Roman"/>
                <w:i/>
                <w:sz w:val="14"/>
                <w:szCs w:val="14"/>
              </w:rPr>
            </w:pPr>
          </w:p>
          <w:p w14:paraId="29867B62" w14:textId="77777777" w:rsidR="007F4C6D" w:rsidRDefault="007F4C6D" w:rsidP="00D94493">
            <w:pPr>
              <w:widowControl w:val="0"/>
              <w:rPr>
                <w:rFonts w:ascii="Times New Roman" w:hAnsi="Times New Roman" w:cs="Times New Roman"/>
                <w:i/>
                <w:sz w:val="14"/>
                <w:szCs w:val="14"/>
              </w:rPr>
            </w:pPr>
          </w:p>
          <w:p w14:paraId="437F61B2" w14:textId="77777777" w:rsidR="007F4C6D" w:rsidRDefault="007F4C6D" w:rsidP="00D94493">
            <w:pPr>
              <w:widowControl w:val="0"/>
              <w:rPr>
                <w:rFonts w:ascii="Times New Roman" w:hAnsi="Times New Roman" w:cs="Times New Roman"/>
                <w:i/>
                <w:sz w:val="14"/>
                <w:szCs w:val="14"/>
              </w:rPr>
            </w:pPr>
          </w:p>
          <w:p w14:paraId="6F516740" w14:textId="6992E59B" w:rsidR="0012793C" w:rsidRPr="00D94493" w:rsidRDefault="0012793C" w:rsidP="00D94493">
            <w:pPr>
              <w:widowControl w:val="0"/>
              <w:rPr>
                <w:rFonts w:ascii="Times New Roman" w:hAnsi="Times New Roman" w:cs="Times New Roman"/>
                <w:i/>
                <w:sz w:val="14"/>
                <w:szCs w:val="14"/>
              </w:rPr>
            </w:pPr>
          </w:p>
        </w:tc>
      </w:tr>
    </w:tbl>
    <w:p w14:paraId="24927AD2" w14:textId="77777777" w:rsidR="00D94493" w:rsidRPr="00D94493" w:rsidRDefault="00D94493" w:rsidP="00D94493">
      <w:pPr>
        <w:spacing w:after="0" w:line="240" w:lineRule="auto"/>
        <w:rPr>
          <w:rFonts w:ascii="Times New Roman" w:hAnsi="Times New Roman"/>
          <w:b/>
          <w:color w:val="5B9BD5"/>
          <w:kern w:val="32"/>
          <w:sz w:val="24"/>
          <w:szCs w:val="24"/>
        </w:rPr>
      </w:pPr>
      <w:r w:rsidRPr="00D94493">
        <w:rPr>
          <w:rFonts w:ascii="Times New Roman" w:eastAsia="Times New Roman" w:hAnsi="Times New Roman" w:cs="Times New Roman"/>
          <w:b/>
          <w:bCs/>
          <w:color w:val="5B9BD5"/>
          <w:kern w:val="32"/>
          <w:sz w:val="24"/>
          <w:szCs w:val="24"/>
          <w:lang w:eastAsia="cs-CZ"/>
        </w:rPr>
        <w:lastRenderedPageBreak/>
        <w:t>Hrubý dlh verejnej správy z pohľadu hotovostných tokov</w:t>
      </w:r>
    </w:p>
    <w:p w14:paraId="227EA0C2" w14:textId="0CA16A8D" w:rsidR="00D94493" w:rsidRDefault="00D94493" w:rsidP="00D94493">
      <w:pPr>
        <w:widowControl w:val="0"/>
        <w:jc w:val="both"/>
        <w:rPr>
          <w:rFonts w:ascii="Times New Roman" w:hAnsi="Times New Roman" w:cs="Times New Roman"/>
          <w:b/>
        </w:rPr>
      </w:pPr>
    </w:p>
    <w:p w14:paraId="6A226915" w14:textId="33DD4383" w:rsidR="00B01C4E" w:rsidRPr="00B01C4E" w:rsidRDefault="00B01C4E" w:rsidP="00B01C4E">
      <w:pPr>
        <w:spacing w:after="0" w:line="240" w:lineRule="auto"/>
        <w:jc w:val="both"/>
        <w:rPr>
          <w:rFonts w:ascii="Times New Roman" w:eastAsia="Calibri" w:hAnsi="Times New Roman" w:cs="Times New Roman"/>
          <w:sz w:val="24"/>
          <w:szCs w:val="24"/>
        </w:rPr>
      </w:pPr>
      <w:r w:rsidRPr="00B01C4E">
        <w:rPr>
          <w:rFonts w:ascii="Times New Roman" w:eastAsia="Calibri" w:hAnsi="Times New Roman" w:cs="Times New Roman"/>
          <w:b/>
          <w:sz w:val="24"/>
          <w:szCs w:val="24"/>
        </w:rPr>
        <w:t>Vývoj nominálneho dlhu bude na celom horizonte rozpočtu ovplyvnený predovšetkým potrebou krytia hotovostných schodkov štátneho rozpočtu.</w:t>
      </w:r>
      <w:r w:rsidRPr="00B01C4E">
        <w:rPr>
          <w:rFonts w:ascii="Times New Roman" w:eastAsia="Calibri" w:hAnsi="Times New Roman" w:cs="Times New Roman"/>
          <w:sz w:val="24"/>
          <w:szCs w:val="24"/>
        </w:rPr>
        <w:t xml:space="preserve"> Hlavným faktorom rastúceho zadlženia bude pretrvávajúci deficit rozpočtu verejnej správy. Počas celého rozpočtového horizontu sa predpokladá využívanie finančných prostriedkov naakumulovaných v Štátnej pokladnici (ŠP), čo by umožnilo realizovať menší objem nových emisií dlhopisov a čiastočne stlmiť vplyv deficitu na dlh</w:t>
      </w:r>
      <w:r w:rsidRPr="00B01C4E">
        <w:rPr>
          <w:rFonts w:ascii="Times New Roman" w:eastAsia="Calibri" w:hAnsi="Times New Roman" w:cs="Times New Roman"/>
          <w:sz w:val="24"/>
          <w:szCs w:val="24"/>
          <w:vertAlign w:val="superscript"/>
        </w:rPr>
        <w:footnoteReference w:id="13"/>
      </w:r>
      <w:r w:rsidRPr="00B01C4E">
        <w:rPr>
          <w:rFonts w:ascii="Times New Roman" w:eastAsia="Calibri" w:hAnsi="Times New Roman" w:cs="Times New Roman"/>
          <w:sz w:val="24"/>
          <w:szCs w:val="24"/>
        </w:rPr>
        <w:t>. Úverová aktivita ostatných subjektov verejnej</w:t>
      </w:r>
      <w:r w:rsidR="005F74CB">
        <w:rPr>
          <w:rFonts w:ascii="Times New Roman" w:eastAsia="Calibri" w:hAnsi="Times New Roman" w:cs="Times New Roman"/>
          <w:sz w:val="24"/>
          <w:szCs w:val="24"/>
        </w:rPr>
        <w:t xml:space="preserve"> správy</w:t>
      </w:r>
      <w:r w:rsidRPr="00B01C4E">
        <w:rPr>
          <w:rFonts w:ascii="Times New Roman" w:eastAsia="Calibri" w:hAnsi="Times New Roman" w:cs="Times New Roman"/>
          <w:sz w:val="24"/>
          <w:szCs w:val="24"/>
        </w:rPr>
        <w:t xml:space="preserve"> prispeje k rastu zadlženia verejnej správy, s najväčším vplyvom pri Eximbanke a ZSSK.  Na rast zadlženia bude vplývať aj nové prostredie vyšších úrokových sadzieb cez faktor diskontov pri emisii dlhopisov. Aktuálne vyššie úrokové sadzby totiž pri nízkych kupónoch štátnych dlhopisov zvyšujú požadované diskonty pri emisiách, čo znamená, že štát si na svoje financovanie musí požičať viac ako reálne získava.</w:t>
      </w:r>
    </w:p>
    <w:p w14:paraId="34ACA8ED" w14:textId="728DACE8" w:rsidR="00213458" w:rsidRPr="00D94493" w:rsidRDefault="00213458" w:rsidP="00D94493">
      <w:pPr>
        <w:spacing w:after="0" w:line="240" w:lineRule="auto"/>
        <w:jc w:val="both"/>
        <w:rPr>
          <w:rFonts w:ascii="Times New Roman" w:hAnsi="Times New Roman" w:cs="Times New Roman"/>
          <w:sz w:val="24"/>
          <w:szCs w:val="24"/>
        </w:rPr>
      </w:pPr>
    </w:p>
    <w:p w14:paraId="21AE2AB5" w14:textId="416C4F7E" w:rsidR="00D94493" w:rsidRPr="00213458" w:rsidRDefault="00213458" w:rsidP="00D94493">
      <w:pPr>
        <w:spacing w:after="0" w:line="240" w:lineRule="auto"/>
        <w:jc w:val="both"/>
        <w:rPr>
          <w:rFonts w:ascii="Times New Roman" w:hAnsi="Times New Roman" w:cs="Times New Roman"/>
          <w:b/>
          <w:color w:val="5B9BD5" w:themeColor="accent1"/>
          <w:sz w:val="20"/>
          <w:szCs w:val="20"/>
        </w:rPr>
      </w:pPr>
      <w:bookmarkStart w:id="50" w:name="_Toc153013011"/>
      <w:r w:rsidRPr="00213458">
        <w:rPr>
          <w:rFonts w:ascii="Times New Roman" w:hAnsi="Times New Roman" w:cs="Times New Roman"/>
          <w:b/>
          <w:color w:val="5B9BD5" w:themeColor="accent1"/>
          <w:sz w:val="20"/>
          <w:szCs w:val="20"/>
        </w:rPr>
        <w:t xml:space="preserve">Tabuľka </w:t>
      </w:r>
      <w:r w:rsidRPr="00213458">
        <w:rPr>
          <w:rFonts w:ascii="Times New Roman" w:hAnsi="Times New Roman" w:cs="Times New Roman"/>
          <w:b/>
          <w:color w:val="5B9BD5" w:themeColor="accent1"/>
          <w:sz w:val="20"/>
          <w:szCs w:val="20"/>
        </w:rPr>
        <w:fldChar w:fldCharType="begin"/>
      </w:r>
      <w:r w:rsidRPr="00213458">
        <w:rPr>
          <w:rFonts w:ascii="Times New Roman" w:hAnsi="Times New Roman" w:cs="Times New Roman"/>
          <w:b/>
          <w:color w:val="5B9BD5" w:themeColor="accent1"/>
          <w:sz w:val="20"/>
          <w:szCs w:val="20"/>
        </w:rPr>
        <w:instrText xml:space="preserve"> SEQ Tabuľka \* ARABIC </w:instrText>
      </w:r>
      <w:r w:rsidRPr="00213458">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13</w:t>
      </w:r>
      <w:r w:rsidRPr="00213458">
        <w:rPr>
          <w:rFonts w:ascii="Times New Roman" w:hAnsi="Times New Roman" w:cs="Times New Roman"/>
          <w:b/>
          <w:color w:val="5B9BD5" w:themeColor="accent1"/>
          <w:sz w:val="20"/>
          <w:szCs w:val="20"/>
        </w:rPr>
        <w:fldChar w:fldCharType="end"/>
      </w:r>
      <w:r w:rsidRPr="00213458">
        <w:rPr>
          <w:rFonts w:ascii="Times New Roman" w:hAnsi="Times New Roman" w:cs="Times New Roman"/>
          <w:b/>
          <w:color w:val="5B9BD5" w:themeColor="accent1"/>
          <w:sz w:val="20"/>
          <w:szCs w:val="20"/>
        </w:rPr>
        <w:t xml:space="preserve"> – Vplyvy na zmenu hrubého dlhu verejnej správy</w:t>
      </w:r>
      <w:bookmarkEnd w:id="50"/>
      <w:r w:rsidRPr="00213458">
        <w:rPr>
          <w:rFonts w:ascii="Times New Roman" w:hAnsi="Times New Roman" w:cs="Times New Roman"/>
          <w:b/>
          <w:color w:val="5B9BD5" w:themeColor="accent1"/>
          <w:sz w:val="20"/>
          <w:szCs w:val="20"/>
        </w:rPr>
        <w:t xml:space="preserve"> </w:t>
      </w:r>
    </w:p>
    <w:tbl>
      <w:tblPr>
        <w:tblW w:w="9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29"/>
        <w:gridCol w:w="340"/>
        <w:gridCol w:w="680"/>
        <w:gridCol w:w="680"/>
        <w:gridCol w:w="680"/>
        <w:gridCol w:w="680"/>
        <w:gridCol w:w="680"/>
        <w:gridCol w:w="680"/>
        <w:gridCol w:w="680"/>
        <w:gridCol w:w="7"/>
      </w:tblGrid>
      <w:tr w:rsidR="00D94493" w:rsidRPr="00D94493" w14:paraId="3B4C4F64" w14:textId="77777777" w:rsidTr="00213458">
        <w:trPr>
          <w:gridAfter w:val="1"/>
          <w:wAfter w:w="7" w:type="dxa"/>
          <w:trHeight w:val="218"/>
          <w:jc w:val="center"/>
        </w:trPr>
        <w:tc>
          <w:tcPr>
            <w:tcW w:w="0" w:type="auto"/>
            <w:tcBorders>
              <w:top w:val="single" w:sz="6" w:space="0" w:color="auto"/>
              <w:left w:val="nil"/>
              <w:bottom w:val="single" w:sz="6" w:space="0" w:color="auto"/>
              <w:right w:val="nil"/>
            </w:tcBorders>
            <w:shd w:val="clear" w:color="auto" w:fill="auto"/>
            <w:noWrap/>
            <w:vAlign w:val="center"/>
            <w:hideMark/>
          </w:tcPr>
          <w:p w14:paraId="31A91F1F" w14:textId="77777777" w:rsidR="00D94493" w:rsidRPr="00D94493" w:rsidRDefault="00D94493" w:rsidP="00D94493">
            <w:pPr>
              <w:widowControl w:val="0"/>
              <w:spacing w:after="0"/>
              <w:rPr>
                <w:rFonts w:ascii="Times New Roman" w:hAnsi="Times New Roman" w:cs="Times New Roman"/>
                <w:b/>
                <w:bCs/>
                <w:sz w:val="14"/>
                <w:szCs w:val="14"/>
              </w:rPr>
            </w:pPr>
            <w:r w:rsidRPr="00D94493">
              <w:rPr>
                <w:rFonts w:ascii="Times New Roman" w:hAnsi="Times New Roman" w:cs="Times New Roman"/>
                <w:b/>
                <w:bCs/>
                <w:sz w:val="14"/>
                <w:szCs w:val="14"/>
              </w:rPr>
              <w:t>(v mil. eur) </w:t>
            </w:r>
          </w:p>
        </w:tc>
        <w:tc>
          <w:tcPr>
            <w:tcW w:w="340" w:type="dxa"/>
            <w:tcBorders>
              <w:top w:val="single" w:sz="6" w:space="0" w:color="auto"/>
              <w:left w:val="nil"/>
              <w:bottom w:val="single" w:sz="6" w:space="0" w:color="auto"/>
              <w:right w:val="nil"/>
            </w:tcBorders>
            <w:shd w:val="clear" w:color="auto" w:fill="auto"/>
            <w:noWrap/>
            <w:vAlign w:val="center"/>
          </w:tcPr>
          <w:p w14:paraId="401BB909" w14:textId="77777777" w:rsidR="00D94493" w:rsidRPr="00D94493" w:rsidRDefault="00D94493" w:rsidP="00D94493">
            <w:pPr>
              <w:widowControl w:val="0"/>
              <w:spacing w:after="0"/>
              <w:jc w:val="right"/>
              <w:rPr>
                <w:rFonts w:ascii="Times New Roman" w:hAnsi="Times New Roman" w:cs="Times New Roman"/>
                <w:b/>
                <w:bCs/>
                <w:sz w:val="14"/>
                <w:szCs w:val="14"/>
                <w:lang w:eastAsia="sk-SK"/>
              </w:rPr>
            </w:pPr>
          </w:p>
        </w:tc>
        <w:tc>
          <w:tcPr>
            <w:tcW w:w="680" w:type="dxa"/>
            <w:tcBorders>
              <w:top w:val="single" w:sz="6" w:space="0" w:color="auto"/>
              <w:left w:val="nil"/>
              <w:bottom w:val="single" w:sz="6" w:space="0" w:color="auto"/>
              <w:right w:val="nil"/>
            </w:tcBorders>
            <w:shd w:val="clear" w:color="auto" w:fill="auto"/>
            <w:noWrap/>
            <w:vAlign w:val="center"/>
          </w:tcPr>
          <w:p w14:paraId="029660C5"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sz w:val="14"/>
                <w:szCs w:val="14"/>
              </w:rPr>
              <w:t>2021</w:t>
            </w:r>
          </w:p>
        </w:tc>
        <w:tc>
          <w:tcPr>
            <w:tcW w:w="680" w:type="dxa"/>
            <w:tcBorders>
              <w:top w:val="single" w:sz="6" w:space="0" w:color="auto"/>
              <w:left w:val="nil"/>
              <w:bottom w:val="single" w:sz="6" w:space="0" w:color="auto"/>
              <w:right w:val="nil"/>
            </w:tcBorders>
            <w:shd w:val="clear" w:color="auto" w:fill="auto"/>
            <w:noWrap/>
            <w:vAlign w:val="center"/>
          </w:tcPr>
          <w:p w14:paraId="5E0B1884"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sz w:val="14"/>
                <w:szCs w:val="14"/>
              </w:rPr>
              <w:t>2022</w:t>
            </w:r>
          </w:p>
        </w:tc>
        <w:tc>
          <w:tcPr>
            <w:tcW w:w="680" w:type="dxa"/>
            <w:tcBorders>
              <w:top w:val="single" w:sz="6" w:space="0" w:color="auto"/>
              <w:left w:val="nil"/>
              <w:bottom w:val="single" w:sz="6" w:space="0" w:color="auto"/>
              <w:right w:val="nil"/>
            </w:tcBorders>
            <w:shd w:val="clear" w:color="auto" w:fill="auto"/>
            <w:vAlign w:val="center"/>
          </w:tcPr>
          <w:p w14:paraId="6AB86D93" w14:textId="77777777" w:rsidR="00D94493" w:rsidRPr="00D94493" w:rsidRDefault="00D94493" w:rsidP="00D94493">
            <w:pPr>
              <w:widowControl w:val="0"/>
              <w:spacing w:after="0"/>
              <w:jc w:val="right"/>
              <w:rPr>
                <w:rFonts w:ascii="Times New Roman" w:hAnsi="Times New Roman" w:cs="Times New Roman"/>
                <w:b/>
                <w:sz w:val="14"/>
                <w:szCs w:val="14"/>
              </w:rPr>
            </w:pPr>
            <w:r w:rsidRPr="00D94493">
              <w:rPr>
                <w:rFonts w:ascii="Times New Roman" w:hAnsi="Times New Roman" w:cs="Times New Roman"/>
                <w:b/>
                <w:sz w:val="14"/>
                <w:szCs w:val="14"/>
              </w:rPr>
              <w:t>2023 R</w:t>
            </w:r>
          </w:p>
        </w:tc>
        <w:tc>
          <w:tcPr>
            <w:tcW w:w="680" w:type="dxa"/>
            <w:tcBorders>
              <w:top w:val="single" w:sz="6" w:space="0" w:color="auto"/>
              <w:left w:val="nil"/>
              <w:bottom w:val="single" w:sz="6" w:space="0" w:color="auto"/>
              <w:right w:val="nil"/>
            </w:tcBorders>
            <w:shd w:val="clear" w:color="auto" w:fill="auto"/>
            <w:noWrap/>
            <w:vAlign w:val="center"/>
          </w:tcPr>
          <w:p w14:paraId="40508747"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sz w:val="14"/>
                <w:szCs w:val="14"/>
              </w:rPr>
              <w:t>2023 OS</w:t>
            </w:r>
          </w:p>
        </w:tc>
        <w:tc>
          <w:tcPr>
            <w:tcW w:w="680" w:type="dxa"/>
            <w:tcBorders>
              <w:top w:val="single" w:sz="6" w:space="0" w:color="auto"/>
              <w:left w:val="nil"/>
              <w:bottom w:val="single" w:sz="6" w:space="0" w:color="auto"/>
              <w:right w:val="nil"/>
            </w:tcBorders>
            <w:shd w:val="clear" w:color="auto" w:fill="auto"/>
            <w:noWrap/>
            <w:vAlign w:val="center"/>
          </w:tcPr>
          <w:p w14:paraId="6C6297B1"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sz w:val="14"/>
                <w:szCs w:val="14"/>
              </w:rPr>
              <w:t>2024 N</w:t>
            </w:r>
          </w:p>
        </w:tc>
        <w:tc>
          <w:tcPr>
            <w:tcW w:w="680" w:type="dxa"/>
            <w:tcBorders>
              <w:top w:val="single" w:sz="6" w:space="0" w:color="auto"/>
              <w:left w:val="nil"/>
              <w:bottom w:val="single" w:sz="6" w:space="0" w:color="auto"/>
              <w:right w:val="nil"/>
            </w:tcBorders>
            <w:shd w:val="clear" w:color="auto" w:fill="auto"/>
            <w:noWrap/>
            <w:vAlign w:val="center"/>
          </w:tcPr>
          <w:p w14:paraId="1D624688"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sz w:val="14"/>
                <w:szCs w:val="14"/>
              </w:rPr>
              <w:t>2025 N</w:t>
            </w:r>
          </w:p>
        </w:tc>
        <w:tc>
          <w:tcPr>
            <w:tcW w:w="680" w:type="dxa"/>
            <w:tcBorders>
              <w:top w:val="single" w:sz="6" w:space="0" w:color="auto"/>
              <w:left w:val="nil"/>
              <w:bottom w:val="single" w:sz="6" w:space="0" w:color="auto"/>
              <w:right w:val="nil"/>
            </w:tcBorders>
            <w:shd w:val="clear" w:color="auto" w:fill="auto"/>
            <w:vAlign w:val="center"/>
          </w:tcPr>
          <w:p w14:paraId="5E38922A"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sz w:val="14"/>
                <w:szCs w:val="14"/>
              </w:rPr>
              <w:t>2026 N</w:t>
            </w:r>
          </w:p>
        </w:tc>
      </w:tr>
      <w:tr w:rsidR="00D94493" w:rsidRPr="00D94493" w14:paraId="5343412B" w14:textId="77777777" w:rsidTr="00213458">
        <w:trPr>
          <w:gridAfter w:val="1"/>
          <w:wAfter w:w="7" w:type="dxa"/>
          <w:trHeight w:val="218"/>
          <w:jc w:val="center"/>
        </w:trPr>
        <w:tc>
          <w:tcPr>
            <w:tcW w:w="0" w:type="auto"/>
            <w:tcBorders>
              <w:top w:val="single" w:sz="6" w:space="0" w:color="auto"/>
              <w:left w:val="nil"/>
              <w:bottom w:val="nil"/>
              <w:right w:val="nil"/>
            </w:tcBorders>
            <w:shd w:val="clear" w:color="auto" w:fill="auto"/>
            <w:noWrap/>
            <w:vAlign w:val="center"/>
          </w:tcPr>
          <w:p w14:paraId="798E8C03" w14:textId="77777777" w:rsidR="00D94493" w:rsidRPr="00D94493" w:rsidRDefault="00D94493" w:rsidP="00D94493">
            <w:pPr>
              <w:widowControl w:val="0"/>
              <w:spacing w:after="0"/>
              <w:rPr>
                <w:rFonts w:ascii="Times New Roman" w:hAnsi="Times New Roman" w:cs="Times New Roman"/>
                <w:b/>
                <w:bCs/>
                <w:sz w:val="14"/>
                <w:szCs w:val="14"/>
                <w:lang w:eastAsia="sk-SK"/>
              </w:rPr>
            </w:pPr>
            <w:r w:rsidRPr="00D94493">
              <w:rPr>
                <w:rFonts w:ascii="Times New Roman" w:hAnsi="Times New Roman" w:cs="Times New Roman"/>
                <w:b/>
                <w:sz w:val="14"/>
                <w:szCs w:val="14"/>
              </w:rPr>
              <w:t>A. Hrubý dlh verejnej správy (k 1.1.)</w:t>
            </w:r>
          </w:p>
        </w:tc>
        <w:tc>
          <w:tcPr>
            <w:tcW w:w="340" w:type="dxa"/>
            <w:tcBorders>
              <w:top w:val="single" w:sz="6" w:space="0" w:color="auto"/>
              <w:left w:val="nil"/>
              <w:bottom w:val="nil"/>
              <w:right w:val="nil"/>
            </w:tcBorders>
            <w:shd w:val="clear" w:color="auto" w:fill="auto"/>
            <w:noWrap/>
            <w:vAlign w:val="center"/>
          </w:tcPr>
          <w:p w14:paraId="6C9E4360" w14:textId="77777777" w:rsidR="00D94493" w:rsidRPr="00D94493" w:rsidRDefault="00D94493" w:rsidP="00D94493">
            <w:pPr>
              <w:widowControl w:val="0"/>
              <w:spacing w:after="0"/>
              <w:jc w:val="right"/>
              <w:rPr>
                <w:rFonts w:ascii="Times New Roman" w:hAnsi="Times New Roman" w:cs="Times New Roman"/>
                <w:b/>
                <w:sz w:val="14"/>
                <w:szCs w:val="14"/>
              </w:rPr>
            </w:pPr>
          </w:p>
        </w:tc>
        <w:tc>
          <w:tcPr>
            <w:tcW w:w="680" w:type="dxa"/>
            <w:tcBorders>
              <w:top w:val="single" w:sz="6" w:space="0" w:color="auto"/>
              <w:left w:val="nil"/>
              <w:bottom w:val="nil"/>
              <w:right w:val="nil"/>
            </w:tcBorders>
            <w:shd w:val="clear" w:color="auto" w:fill="auto"/>
            <w:noWrap/>
            <w:vAlign w:val="center"/>
          </w:tcPr>
          <w:p w14:paraId="0E8BB67C"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54 993</w:t>
            </w:r>
          </w:p>
        </w:tc>
        <w:tc>
          <w:tcPr>
            <w:tcW w:w="680" w:type="dxa"/>
            <w:tcBorders>
              <w:top w:val="single" w:sz="6" w:space="0" w:color="auto"/>
              <w:left w:val="nil"/>
              <w:bottom w:val="nil"/>
              <w:right w:val="nil"/>
            </w:tcBorders>
            <w:shd w:val="clear" w:color="auto" w:fill="auto"/>
            <w:noWrap/>
            <w:vAlign w:val="center"/>
          </w:tcPr>
          <w:p w14:paraId="20E46939"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61 237</w:t>
            </w:r>
          </w:p>
        </w:tc>
        <w:tc>
          <w:tcPr>
            <w:tcW w:w="680" w:type="dxa"/>
            <w:tcBorders>
              <w:top w:val="single" w:sz="6" w:space="0" w:color="auto"/>
              <w:left w:val="nil"/>
              <w:bottom w:val="nil"/>
              <w:right w:val="nil"/>
            </w:tcBorders>
            <w:shd w:val="clear" w:color="auto" w:fill="auto"/>
            <w:vAlign w:val="center"/>
          </w:tcPr>
          <w:p w14:paraId="75A56FB1"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63 545</w:t>
            </w:r>
          </w:p>
        </w:tc>
        <w:tc>
          <w:tcPr>
            <w:tcW w:w="680" w:type="dxa"/>
            <w:tcBorders>
              <w:top w:val="single" w:sz="6" w:space="0" w:color="auto"/>
              <w:left w:val="nil"/>
              <w:bottom w:val="nil"/>
              <w:right w:val="nil"/>
            </w:tcBorders>
            <w:shd w:val="clear" w:color="auto" w:fill="auto"/>
            <w:noWrap/>
            <w:vAlign w:val="center"/>
          </w:tcPr>
          <w:p w14:paraId="66BADE26"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63 378</w:t>
            </w:r>
          </w:p>
        </w:tc>
        <w:tc>
          <w:tcPr>
            <w:tcW w:w="680" w:type="dxa"/>
            <w:tcBorders>
              <w:top w:val="single" w:sz="6" w:space="0" w:color="auto"/>
              <w:left w:val="nil"/>
              <w:bottom w:val="nil"/>
              <w:right w:val="nil"/>
            </w:tcBorders>
            <w:shd w:val="clear" w:color="auto" w:fill="auto"/>
            <w:noWrap/>
            <w:vAlign w:val="center"/>
          </w:tcPr>
          <w:p w14:paraId="29E93398"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69 201</w:t>
            </w:r>
          </w:p>
        </w:tc>
        <w:tc>
          <w:tcPr>
            <w:tcW w:w="680" w:type="dxa"/>
            <w:tcBorders>
              <w:top w:val="single" w:sz="6" w:space="0" w:color="auto"/>
              <w:left w:val="nil"/>
              <w:bottom w:val="nil"/>
              <w:right w:val="nil"/>
            </w:tcBorders>
            <w:shd w:val="clear" w:color="auto" w:fill="auto"/>
            <w:noWrap/>
            <w:vAlign w:val="center"/>
          </w:tcPr>
          <w:p w14:paraId="726D153F"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76 586</w:t>
            </w:r>
          </w:p>
        </w:tc>
        <w:tc>
          <w:tcPr>
            <w:tcW w:w="680" w:type="dxa"/>
            <w:tcBorders>
              <w:top w:val="single" w:sz="6" w:space="0" w:color="auto"/>
              <w:left w:val="nil"/>
              <w:bottom w:val="nil"/>
              <w:right w:val="nil"/>
            </w:tcBorders>
            <w:shd w:val="clear" w:color="auto" w:fill="auto"/>
            <w:vAlign w:val="center"/>
          </w:tcPr>
          <w:p w14:paraId="5DD51995"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82 976</w:t>
            </w:r>
          </w:p>
        </w:tc>
      </w:tr>
      <w:tr w:rsidR="00D94493" w:rsidRPr="00D94493" w14:paraId="3A3AD269" w14:textId="77777777" w:rsidTr="00213458">
        <w:trPr>
          <w:gridAfter w:val="1"/>
          <w:wAfter w:w="7" w:type="dxa"/>
          <w:trHeight w:val="218"/>
          <w:jc w:val="center"/>
        </w:trPr>
        <w:tc>
          <w:tcPr>
            <w:tcW w:w="0" w:type="auto"/>
            <w:tcBorders>
              <w:top w:val="nil"/>
              <w:left w:val="nil"/>
              <w:bottom w:val="nil"/>
              <w:right w:val="nil"/>
            </w:tcBorders>
            <w:shd w:val="clear" w:color="auto" w:fill="auto"/>
            <w:noWrap/>
            <w:vAlign w:val="center"/>
          </w:tcPr>
          <w:p w14:paraId="5627F8DE" w14:textId="77777777" w:rsidR="00D94493" w:rsidRPr="00D94493" w:rsidRDefault="00D94493" w:rsidP="00D94493">
            <w:pPr>
              <w:widowControl w:val="0"/>
              <w:spacing w:after="0"/>
              <w:rPr>
                <w:rFonts w:ascii="Times New Roman" w:hAnsi="Times New Roman" w:cs="Times New Roman"/>
                <w:b/>
                <w:bCs/>
                <w:sz w:val="14"/>
                <w:szCs w:val="14"/>
              </w:rPr>
            </w:pPr>
            <w:r w:rsidRPr="00D94493">
              <w:rPr>
                <w:rFonts w:ascii="Times New Roman" w:hAnsi="Times New Roman" w:cs="Times New Roman"/>
                <w:b/>
                <w:sz w:val="14"/>
                <w:szCs w:val="14"/>
              </w:rPr>
              <w:t>B. Celková medziročná zmena hrubého dlhu VS</w:t>
            </w:r>
          </w:p>
        </w:tc>
        <w:tc>
          <w:tcPr>
            <w:tcW w:w="340" w:type="dxa"/>
            <w:tcBorders>
              <w:top w:val="nil"/>
              <w:left w:val="nil"/>
              <w:bottom w:val="nil"/>
              <w:right w:val="nil"/>
            </w:tcBorders>
            <w:shd w:val="clear" w:color="auto" w:fill="auto"/>
            <w:noWrap/>
            <w:vAlign w:val="center"/>
          </w:tcPr>
          <w:p w14:paraId="56834C37" w14:textId="77777777" w:rsidR="00D94493" w:rsidRPr="00D94493" w:rsidRDefault="00D94493" w:rsidP="00D94493">
            <w:pPr>
              <w:widowControl w:val="0"/>
              <w:spacing w:after="0"/>
              <w:jc w:val="right"/>
              <w:rPr>
                <w:rFonts w:ascii="Times New Roman" w:hAnsi="Times New Roman" w:cs="Times New Roman"/>
                <w:b/>
                <w:sz w:val="14"/>
                <w:szCs w:val="14"/>
              </w:rPr>
            </w:pPr>
          </w:p>
        </w:tc>
        <w:tc>
          <w:tcPr>
            <w:tcW w:w="680" w:type="dxa"/>
            <w:tcBorders>
              <w:top w:val="nil"/>
              <w:left w:val="nil"/>
              <w:bottom w:val="nil"/>
              <w:right w:val="nil"/>
            </w:tcBorders>
            <w:shd w:val="clear" w:color="auto" w:fill="auto"/>
            <w:noWrap/>
            <w:vAlign w:val="center"/>
          </w:tcPr>
          <w:p w14:paraId="060FC595"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6 244</w:t>
            </w:r>
          </w:p>
        </w:tc>
        <w:tc>
          <w:tcPr>
            <w:tcW w:w="680" w:type="dxa"/>
            <w:tcBorders>
              <w:top w:val="nil"/>
              <w:left w:val="nil"/>
              <w:bottom w:val="nil"/>
              <w:right w:val="nil"/>
            </w:tcBorders>
            <w:shd w:val="clear" w:color="auto" w:fill="auto"/>
            <w:noWrap/>
            <w:vAlign w:val="center"/>
          </w:tcPr>
          <w:p w14:paraId="261B9250"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2 141</w:t>
            </w:r>
          </w:p>
        </w:tc>
        <w:tc>
          <w:tcPr>
            <w:tcW w:w="680" w:type="dxa"/>
            <w:tcBorders>
              <w:top w:val="nil"/>
              <w:left w:val="nil"/>
              <w:bottom w:val="nil"/>
              <w:right w:val="nil"/>
            </w:tcBorders>
            <w:shd w:val="clear" w:color="auto" w:fill="auto"/>
            <w:vAlign w:val="center"/>
          </w:tcPr>
          <w:p w14:paraId="0AC8CED9"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7 226</w:t>
            </w:r>
          </w:p>
        </w:tc>
        <w:tc>
          <w:tcPr>
            <w:tcW w:w="680" w:type="dxa"/>
            <w:tcBorders>
              <w:top w:val="nil"/>
              <w:left w:val="nil"/>
              <w:bottom w:val="nil"/>
              <w:right w:val="nil"/>
            </w:tcBorders>
            <w:shd w:val="clear" w:color="auto" w:fill="auto"/>
            <w:noWrap/>
            <w:vAlign w:val="center"/>
          </w:tcPr>
          <w:p w14:paraId="54B40EC2"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5 823</w:t>
            </w:r>
          </w:p>
        </w:tc>
        <w:tc>
          <w:tcPr>
            <w:tcW w:w="680" w:type="dxa"/>
            <w:tcBorders>
              <w:top w:val="nil"/>
              <w:left w:val="nil"/>
              <w:bottom w:val="nil"/>
              <w:right w:val="nil"/>
            </w:tcBorders>
            <w:shd w:val="clear" w:color="auto" w:fill="auto"/>
            <w:noWrap/>
            <w:vAlign w:val="center"/>
          </w:tcPr>
          <w:p w14:paraId="1AA6FD99"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7 385</w:t>
            </w:r>
          </w:p>
        </w:tc>
        <w:tc>
          <w:tcPr>
            <w:tcW w:w="680" w:type="dxa"/>
            <w:tcBorders>
              <w:top w:val="nil"/>
              <w:left w:val="nil"/>
              <w:bottom w:val="nil"/>
              <w:right w:val="nil"/>
            </w:tcBorders>
            <w:shd w:val="clear" w:color="auto" w:fill="auto"/>
            <w:noWrap/>
            <w:vAlign w:val="center"/>
          </w:tcPr>
          <w:p w14:paraId="135B9740"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6 390</w:t>
            </w:r>
          </w:p>
        </w:tc>
        <w:tc>
          <w:tcPr>
            <w:tcW w:w="680" w:type="dxa"/>
            <w:tcBorders>
              <w:top w:val="nil"/>
              <w:left w:val="nil"/>
              <w:bottom w:val="nil"/>
              <w:right w:val="nil"/>
            </w:tcBorders>
            <w:shd w:val="clear" w:color="auto" w:fill="auto"/>
            <w:vAlign w:val="center"/>
          </w:tcPr>
          <w:p w14:paraId="3BC61C5C"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6 968</w:t>
            </w:r>
          </w:p>
        </w:tc>
      </w:tr>
      <w:tr w:rsidR="00D94493" w:rsidRPr="00D94493" w14:paraId="49121692" w14:textId="77777777" w:rsidTr="00213458">
        <w:trPr>
          <w:gridAfter w:val="1"/>
          <w:wAfter w:w="7" w:type="dxa"/>
          <w:trHeight w:val="218"/>
          <w:jc w:val="center"/>
        </w:trPr>
        <w:tc>
          <w:tcPr>
            <w:tcW w:w="0" w:type="auto"/>
            <w:tcBorders>
              <w:top w:val="nil"/>
              <w:left w:val="nil"/>
              <w:bottom w:val="nil"/>
              <w:right w:val="nil"/>
            </w:tcBorders>
            <w:shd w:val="clear" w:color="auto" w:fill="auto"/>
            <w:noWrap/>
            <w:vAlign w:val="center"/>
          </w:tcPr>
          <w:p w14:paraId="7DA6C994" w14:textId="77777777" w:rsidR="00D94493" w:rsidRPr="00D94493" w:rsidRDefault="00D94493" w:rsidP="00D94493">
            <w:pPr>
              <w:widowControl w:val="0"/>
              <w:spacing w:after="0"/>
              <w:ind w:firstLineChars="47" w:firstLine="66"/>
              <w:rPr>
                <w:rFonts w:ascii="Times New Roman" w:hAnsi="Times New Roman" w:cs="Times New Roman"/>
                <w:sz w:val="14"/>
                <w:szCs w:val="14"/>
              </w:rPr>
            </w:pPr>
            <w:r w:rsidRPr="00D94493">
              <w:rPr>
                <w:rFonts w:ascii="Times New Roman" w:hAnsi="Times New Roman" w:cs="Times New Roman"/>
                <w:sz w:val="14"/>
                <w:szCs w:val="14"/>
              </w:rPr>
              <w:t xml:space="preserve"> - hotovostný deficit ŠR</w:t>
            </w:r>
          </w:p>
        </w:tc>
        <w:tc>
          <w:tcPr>
            <w:tcW w:w="340" w:type="dxa"/>
            <w:tcBorders>
              <w:top w:val="nil"/>
              <w:left w:val="nil"/>
              <w:bottom w:val="nil"/>
              <w:right w:val="nil"/>
            </w:tcBorders>
            <w:shd w:val="clear" w:color="auto" w:fill="auto"/>
            <w:noWrap/>
            <w:vAlign w:val="center"/>
          </w:tcPr>
          <w:p w14:paraId="02901EE4" w14:textId="77777777" w:rsidR="00D94493" w:rsidRPr="00D94493" w:rsidRDefault="00D94493" w:rsidP="00D94493">
            <w:pPr>
              <w:widowControl w:val="0"/>
              <w:spacing w:after="0"/>
              <w:jc w:val="right"/>
              <w:rPr>
                <w:rFonts w:ascii="Times New Roman" w:hAnsi="Times New Roman" w:cs="Times New Roman"/>
                <w:sz w:val="14"/>
                <w:szCs w:val="14"/>
              </w:rPr>
            </w:pPr>
          </w:p>
        </w:tc>
        <w:tc>
          <w:tcPr>
            <w:tcW w:w="680" w:type="dxa"/>
            <w:tcBorders>
              <w:top w:val="nil"/>
              <w:left w:val="nil"/>
              <w:bottom w:val="nil"/>
              <w:right w:val="nil"/>
            </w:tcBorders>
            <w:shd w:val="clear" w:color="auto" w:fill="auto"/>
            <w:noWrap/>
            <w:vAlign w:val="center"/>
          </w:tcPr>
          <w:p w14:paraId="6DFDC87F"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7 014</w:t>
            </w:r>
          </w:p>
        </w:tc>
        <w:tc>
          <w:tcPr>
            <w:tcW w:w="680" w:type="dxa"/>
            <w:tcBorders>
              <w:top w:val="nil"/>
              <w:left w:val="nil"/>
              <w:bottom w:val="nil"/>
              <w:right w:val="nil"/>
            </w:tcBorders>
            <w:shd w:val="clear" w:color="auto" w:fill="auto"/>
            <w:noWrap/>
            <w:vAlign w:val="center"/>
          </w:tcPr>
          <w:p w14:paraId="3C01AEC5"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4 525</w:t>
            </w:r>
          </w:p>
        </w:tc>
        <w:tc>
          <w:tcPr>
            <w:tcW w:w="680" w:type="dxa"/>
            <w:tcBorders>
              <w:top w:val="nil"/>
              <w:left w:val="nil"/>
              <w:bottom w:val="nil"/>
              <w:right w:val="nil"/>
            </w:tcBorders>
            <w:shd w:val="clear" w:color="auto" w:fill="auto"/>
            <w:vAlign w:val="center"/>
          </w:tcPr>
          <w:p w14:paraId="279A8513"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8 341</w:t>
            </w:r>
          </w:p>
        </w:tc>
        <w:tc>
          <w:tcPr>
            <w:tcW w:w="680" w:type="dxa"/>
            <w:tcBorders>
              <w:top w:val="nil"/>
              <w:left w:val="nil"/>
              <w:bottom w:val="nil"/>
              <w:right w:val="nil"/>
            </w:tcBorders>
            <w:shd w:val="clear" w:color="auto" w:fill="auto"/>
            <w:noWrap/>
            <w:vAlign w:val="center"/>
          </w:tcPr>
          <w:p w14:paraId="6DEFE4A5"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7 809</w:t>
            </w:r>
          </w:p>
        </w:tc>
        <w:tc>
          <w:tcPr>
            <w:tcW w:w="680" w:type="dxa"/>
            <w:tcBorders>
              <w:top w:val="nil"/>
              <w:left w:val="nil"/>
              <w:bottom w:val="nil"/>
              <w:right w:val="nil"/>
            </w:tcBorders>
            <w:shd w:val="clear" w:color="auto" w:fill="auto"/>
            <w:noWrap/>
            <w:vAlign w:val="center"/>
          </w:tcPr>
          <w:p w14:paraId="2723775E"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7 616</w:t>
            </w:r>
          </w:p>
        </w:tc>
        <w:tc>
          <w:tcPr>
            <w:tcW w:w="680" w:type="dxa"/>
            <w:tcBorders>
              <w:top w:val="nil"/>
              <w:left w:val="nil"/>
              <w:bottom w:val="nil"/>
              <w:right w:val="nil"/>
            </w:tcBorders>
            <w:shd w:val="clear" w:color="auto" w:fill="auto"/>
            <w:noWrap/>
            <w:vAlign w:val="center"/>
          </w:tcPr>
          <w:p w14:paraId="16A71A82"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6 652</w:t>
            </w:r>
          </w:p>
        </w:tc>
        <w:tc>
          <w:tcPr>
            <w:tcW w:w="680" w:type="dxa"/>
            <w:tcBorders>
              <w:top w:val="nil"/>
              <w:left w:val="nil"/>
              <w:bottom w:val="nil"/>
              <w:right w:val="nil"/>
            </w:tcBorders>
            <w:shd w:val="clear" w:color="auto" w:fill="auto"/>
            <w:vAlign w:val="center"/>
          </w:tcPr>
          <w:p w14:paraId="23B09A09"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7 851</w:t>
            </w:r>
          </w:p>
        </w:tc>
      </w:tr>
      <w:tr w:rsidR="00D94493" w:rsidRPr="00D94493" w14:paraId="6604A421" w14:textId="77777777" w:rsidTr="00213458">
        <w:trPr>
          <w:gridAfter w:val="1"/>
          <w:wAfter w:w="7" w:type="dxa"/>
          <w:trHeight w:val="209"/>
          <w:jc w:val="center"/>
        </w:trPr>
        <w:tc>
          <w:tcPr>
            <w:tcW w:w="0" w:type="auto"/>
            <w:tcBorders>
              <w:top w:val="nil"/>
              <w:left w:val="nil"/>
              <w:bottom w:val="nil"/>
              <w:right w:val="nil"/>
            </w:tcBorders>
            <w:shd w:val="clear" w:color="auto" w:fill="auto"/>
            <w:vAlign w:val="center"/>
          </w:tcPr>
          <w:p w14:paraId="55F8CDEF" w14:textId="77777777" w:rsidR="00D94493" w:rsidRPr="00D94493" w:rsidRDefault="00D94493" w:rsidP="00D94493">
            <w:pPr>
              <w:widowControl w:val="0"/>
              <w:spacing w:after="0"/>
              <w:ind w:firstLineChars="47" w:firstLine="66"/>
              <w:rPr>
                <w:rFonts w:ascii="Times New Roman" w:hAnsi="Times New Roman" w:cs="Times New Roman"/>
                <w:sz w:val="14"/>
                <w:szCs w:val="14"/>
              </w:rPr>
            </w:pPr>
            <w:r w:rsidRPr="00D94493">
              <w:rPr>
                <w:rFonts w:ascii="Times New Roman" w:hAnsi="Times New Roman" w:cs="Times New Roman"/>
                <w:sz w:val="14"/>
                <w:szCs w:val="14"/>
              </w:rPr>
              <w:t xml:space="preserve"> - prostriedky ŠP využité pre financovanie hotovostného deficitu ŠR</w:t>
            </w:r>
          </w:p>
        </w:tc>
        <w:tc>
          <w:tcPr>
            <w:tcW w:w="340" w:type="dxa"/>
            <w:tcBorders>
              <w:top w:val="nil"/>
              <w:left w:val="nil"/>
              <w:bottom w:val="nil"/>
              <w:right w:val="nil"/>
            </w:tcBorders>
            <w:shd w:val="clear" w:color="auto" w:fill="auto"/>
            <w:noWrap/>
            <w:vAlign w:val="center"/>
          </w:tcPr>
          <w:p w14:paraId="45011D12" w14:textId="77777777" w:rsidR="00D94493" w:rsidRPr="00D94493" w:rsidRDefault="00D94493" w:rsidP="00D94493">
            <w:pPr>
              <w:widowControl w:val="0"/>
              <w:spacing w:after="0"/>
              <w:jc w:val="right"/>
              <w:rPr>
                <w:rFonts w:ascii="Times New Roman" w:hAnsi="Times New Roman" w:cs="Times New Roman"/>
                <w:sz w:val="14"/>
                <w:szCs w:val="14"/>
              </w:rPr>
            </w:pPr>
          </w:p>
        </w:tc>
        <w:tc>
          <w:tcPr>
            <w:tcW w:w="680" w:type="dxa"/>
            <w:tcBorders>
              <w:top w:val="nil"/>
              <w:left w:val="nil"/>
              <w:bottom w:val="nil"/>
              <w:right w:val="nil"/>
            </w:tcBorders>
            <w:shd w:val="clear" w:color="auto" w:fill="auto"/>
            <w:noWrap/>
            <w:vAlign w:val="center"/>
          </w:tcPr>
          <w:p w14:paraId="56C50DCF"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-2 365</w:t>
            </w:r>
          </w:p>
        </w:tc>
        <w:tc>
          <w:tcPr>
            <w:tcW w:w="680" w:type="dxa"/>
            <w:tcBorders>
              <w:top w:val="nil"/>
              <w:left w:val="nil"/>
              <w:bottom w:val="nil"/>
              <w:right w:val="nil"/>
            </w:tcBorders>
            <w:shd w:val="clear" w:color="auto" w:fill="auto"/>
            <w:noWrap/>
            <w:vAlign w:val="center"/>
          </w:tcPr>
          <w:p w14:paraId="60AFA8F8"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-954</w:t>
            </w:r>
          </w:p>
        </w:tc>
        <w:tc>
          <w:tcPr>
            <w:tcW w:w="680" w:type="dxa"/>
            <w:tcBorders>
              <w:top w:val="nil"/>
              <w:left w:val="nil"/>
              <w:bottom w:val="nil"/>
              <w:right w:val="nil"/>
            </w:tcBorders>
            <w:shd w:val="clear" w:color="auto" w:fill="auto"/>
            <w:vAlign w:val="center"/>
          </w:tcPr>
          <w:p w14:paraId="4DF22C14"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-2 363</w:t>
            </w:r>
          </w:p>
        </w:tc>
        <w:tc>
          <w:tcPr>
            <w:tcW w:w="680" w:type="dxa"/>
            <w:tcBorders>
              <w:top w:val="nil"/>
              <w:left w:val="nil"/>
              <w:bottom w:val="nil"/>
              <w:right w:val="nil"/>
            </w:tcBorders>
            <w:shd w:val="clear" w:color="auto" w:fill="auto"/>
            <w:noWrap/>
            <w:vAlign w:val="center"/>
          </w:tcPr>
          <w:p w14:paraId="5E91CA04"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-2 305</w:t>
            </w:r>
          </w:p>
        </w:tc>
        <w:tc>
          <w:tcPr>
            <w:tcW w:w="680" w:type="dxa"/>
            <w:tcBorders>
              <w:top w:val="nil"/>
              <w:left w:val="nil"/>
              <w:bottom w:val="nil"/>
              <w:right w:val="nil"/>
            </w:tcBorders>
            <w:shd w:val="clear" w:color="auto" w:fill="auto"/>
            <w:noWrap/>
            <w:vAlign w:val="center"/>
          </w:tcPr>
          <w:p w14:paraId="19FFD1A0"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-1 144</w:t>
            </w:r>
          </w:p>
        </w:tc>
        <w:tc>
          <w:tcPr>
            <w:tcW w:w="680" w:type="dxa"/>
            <w:tcBorders>
              <w:top w:val="nil"/>
              <w:left w:val="nil"/>
              <w:bottom w:val="nil"/>
              <w:right w:val="nil"/>
            </w:tcBorders>
            <w:shd w:val="clear" w:color="auto" w:fill="auto"/>
            <w:noWrap/>
            <w:vAlign w:val="center"/>
          </w:tcPr>
          <w:p w14:paraId="06199642"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-868</w:t>
            </w:r>
          </w:p>
        </w:tc>
        <w:tc>
          <w:tcPr>
            <w:tcW w:w="680" w:type="dxa"/>
            <w:tcBorders>
              <w:top w:val="nil"/>
              <w:left w:val="nil"/>
              <w:bottom w:val="nil"/>
              <w:right w:val="nil"/>
            </w:tcBorders>
            <w:shd w:val="clear" w:color="auto" w:fill="auto"/>
            <w:vAlign w:val="center"/>
          </w:tcPr>
          <w:p w14:paraId="1EA61F1F"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-1 836</w:t>
            </w:r>
          </w:p>
        </w:tc>
      </w:tr>
      <w:tr w:rsidR="00D94493" w:rsidRPr="00D94493" w14:paraId="4E0A830B" w14:textId="77777777" w:rsidTr="00213458">
        <w:trPr>
          <w:gridAfter w:val="1"/>
          <w:wAfter w:w="7" w:type="dxa"/>
          <w:trHeight w:val="218"/>
          <w:jc w:val="center"/>
        </w:trPr>
        <w:tc>
          <w:tcPr>
            <w:tcW w:w="0" w:type="auto"/>
            <w:tcBorders>
              <w:top w:val="nil"/>
              <w:left w:val="nil"/>
              <w:bottom w:val="nil"/>
              <w:right w:val="nil"/>
            </w:tcBorders>
            <w:shd w:val="clear" w:color="auto" w:fill="auto"/>
            <w:noWrap/>
            <w:vAlign w:val="center"/>
          </w:tcPr>
          <w:p w14:paraId="5B1964D9" w14:textId="77777777" w:rsidR="00D94493" w:rsidRPr="00D94493" w:rsidRDefault="00D94493" w:rsidP="00D94493">
            <w:pPr>
              <w:widowControl w:val="0"/>
              <w:spacing w:after="0"/>
              <w:ind w:firstLineChars="47" w:firstLine="66"/>
              <w:rPr>
                <w:rFonts w:ascii="Times New Roman" w:hAnsi="Times New Roman" w:cs="Times New Roman"/>
                <w:sz w:val="14"/>
                <w:szCs w:val="14"/>
              </w:rPr>
            </w:pPr>
            <w:r w:rsidRPr="00D94493">
              <w:rPr>
                <w:rFonts w:ascii="Times New Roman" w:hAnsi="Times New Roman" w:cs="Times New Roman"/>
                <w:sz w:val="14"/>
                <w:szCs w:val="14"/>
              </w:rPr>
              <w:t xml:space="preserve"> - zadlženie ostatných subjektov VS</w:t>
            </w:r>
          </w:p>
        </w:tc>
        <w:tc>
          <w:tcPr>
            <w:tcW w:w="340" w:type="dxa"/>
            <w:tcBorders>
              <w:top w:val="nil"/>
              <w:left w:val="nil"/>
              <w:bottom w:val="nil"/>
              <w:right w:val="nil"/>
            </w:tcBorders>
            <w:shd w:val="clear" w:color="auto" w:fill="auto"/>
            <w:noWrap/>
            <w:vAlign w:val="center"/>
          </w:tcPr>
          <w:p w14:paraId="783EB105" w14:textId="77777777" w:rsidR="00D94493" w:rsidRPr="00D94493" w:rsidRDefault="00D94493" w:rsidP="00D94493">
            <w:pPr>
              <w:widowControl w:val="0"/>
              <w:spacing w:after="0"/>
              <w:jc w:val="right"/>
              <w:rPr>
                <w:rFonts w:ascii="Times New Roman" w:hAnsi="Times New Roman" w:cs="Times New Roman"/>
                <w:sz w:val="14"/>
                <w:szCs w:val="14"/>
              </w:rPr>
            </w:pPr>
          </w:p>
        </w:tc>
        <w:tc>
          <w:tcPr>
            <w:tcW w:w="680" w:type="dxa"/>
            <w:tcBorders>
              <w:top w:val="nil"/>
              <w:left w:val="nil"/>
              <w:bottom w:val="nil"/>
              <w:right w:val="nil"/>
            </w:tcBorders>
            <w:shd w:val="clear" w:color="auto" w:fill="auto"/>
            <w:noWrap/>
            <w:vAlign w:val="center"/>
          </w:tcPr>
          <w:p w14:paraId="181A0501"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-153</w:t>
            </w:r>
          </w:p>
        </w:tc>
        <w:tc>
          <w:tcPr>
            <w:tcW w:w="680" w:type="dxa"/>
            <w:tcBorders>
              <w:top w:val="nil"/>
              <w:left w:val="nil"/>
              <w:bottom w:val="nil"/>
              <w:right w:val="nil"/>
            </w:tcBorders>
            <w:shd w:val="clear" w:color="auto" w:fill="auto"/>
            <w:noWrap/>
            <w:vAlign w:val="center"/>
          </w:tcPr>
          <w:p w14:paraId="393EB854"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117</w:t>
            </w:r>
          </w:p>
        </w:tc>
        <w:tc>
          <w:tcPr>
            <w:tcW w:w="680" w:type="dxa"/>
            <w:tcBorders>
              <w:top w:val="nil"/>
              <w:left w:val="nil"/>
              <w:bottom w:val="nil"/>
              <w:right w:val="nil"/>
            </w:tcBorders>
            <w:shd w:val="clear" w:color="auto" w:fill="auto"/>
            <w:vAlign w:val="center"/>
          </w:tcPr>
          <w:p w14:paraId="36323480"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16</w:t>
            </w:r>
          </w:p>
        </w:tc>
        <w:tc>
          <w:tcPr>
            <w:tcW w:w="680" w:type="dxa"/>
            <w:tcBorders>
              <w:top w:val="nil"/>
              <w:left w:val="nil"/>
              <w:bottom w:val="nil"/>
              <w:right w:val="nil"/>
            </w:tcBorders>
            <w:shd w:val="clear" w:color="auto" w:fill="auto"/>
            <w:noWrap/>
            <w:vAlign w:val="center"/>
          </w:tcPr>
          <w:p w14:paraId="3F14DF01"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62</w:t>
            </w:r>
          </w:p>
        </w:tc>
        <w:tc>
          <w:tcPr>
            <w:tcW w:w="680" w:type="dxa"/>
            <w:tcBorders>
              <w:top w:val="nil"/>
              <w:left w:val="nil"/>
              <w:bottom w:val="nil"/>
              <w:right w:val="nil"/>
            </w:tcBorders>
            <w:shd w:val="clear" w:color="auto" w:fill="auto"/>
            <w:noWrap/>
            <w:vAlign w:val="center"/>
          </w:tcPr>
          <w:p w14:paraId="1EBBEE4D"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229</w:t>
            </w:r>
          </w:p>
        </w:tc>
        <w:tc>
          <w:tcPr>
            <w:tcW w:w="680" w:type="dxa"/>
            <w:tcBorders>
              <w:top w:val="nil"/>
              <w:left w:val="nil"/>
              <w:bottom w:val="nil"/>
              <w:right w:val="nil"/>
            </w:tcBorders>
            <w:shd w:val="clear" w:color="auto" w:fill="auto"/>
            <w:noWrap/>
            <w:vAlign w:val="center"/>
          </w:tcPr>
          <w:p w14:paraId="2AB1B7A5"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144</w:t>
            </w:r>
          </w:p>
        </w:tc>
        <w:tc>
          <w:tcPr>
            <w:tcW w:w="680" w:type="dxa"/>
            <w:tcBorders>
              <w:top w:val="nil"/>
              <w:left w:val="nil"/>
              <w:bottom w:val="nil"/>
              <w:right w:val="nil"/>
            </w:tcBorders>
            <w:shd w:val="clear" w:color="auto" w:fill="auto"/>
            <w:vAlign w:val="center"/>
          </w:tcPr>
          <w:p w14:paraId="7EDF0D34"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170</w:t>
            </w:r>
          </w:p>
        </w:tc>
      </w:tr>
      <w:tr w:rsidR="00D94493" w:rsidRPr="00D94493" w14:paraId="6FA32F11" w14:textId="77777777" w:rsidTr="00213458">
        <w:trPr>
          <w:gridAfter w:val="1"/>
          <w:wAfter w:w="7" w:type="dxa"/>
          <w:trHeight w:val="218"/>
          <w:jc w:val="center"/>
        </w:trPr>
        <w:tc>
          <w:tcPr>
            <w:tcW w:w="0" w:type="auto"/>
            <w:tcBorders>
              <w:top w:val="nil"/>
              <w:left w:val="nil"/>
              <w:bottom w:val="nil"/>
              <w:right w:val="nil"/>
            </w:tcBorders>
            <w:shd w:val="clear" w:color="auto" w:fill="auto"/>
            <w:noWrap/>
            <w:vAlign w:val="center"/>
          </w:tcPr>
          <w:p w14:paraId="04522048" w14:textId="19E5C1FB" w:rsidR="00D94493" w:rsidRPr="00D94493" w:rsidRDefault="00186832" w:rsidP="00D94493">
            <w:pPr>
              <w:widowControl w:val="0"/>
              <w:spacing w:after="0"/>
              <w:ind w:firstLineChars="250" w:firstLine="350"/>
              <w:rPr>
                <w:rFonts w:ascii="Times New Roman" w:hAnsi="Times New Roman" w:cs="Times New Roman"/>
                <w:sz w:val="14"/>
                <w:szCs w:val="14"/>
              </w:rPr>
            </w:pPr>
            <w:r>
              <w:rPr>
                <w:rFonts w:ascii="Times New Roman" w:hAnsi="Times New Roman" w:cs="Times New Roman"/>
                <w:sz w:val="14"/>
                <w:szCs w:val="14"/>
              </w:rPr>
              <w:t>z toho: ŽSR + Z</w:t>
            </w:r>
            <w:r w:rsidR="00D94493" w:rsidRPr="00D94493">
              <w:rPr>
                <w:rFonts w:ascii="Times New Roman" w:hAnsi="Times New Roman" w:cs="Times New Roman"/>
                <w:sz w:val="14"/>
                <w:szCs w:val="14"/>
              </w:rPr>
              <w:t>SSK</w:t>
            </w:r>
          </w:p>
        </w:tc>
        <w:tc>
          <w:tcPr>
            <w:tcW w:w="340" w:type="dxa"/>
            <w:tcBorders>
              <w:top w:val="nil"/>
              <w:left w:val="nil"/>
              <w:bottom w:val="nil"/>
              <w:right w:val="nil"/>
            </w:tcBorders>
            <w:shd w:val="clear" w:color="auto" w:fill="auto"/>
            <w:noWrap/>
            <w:vAlign w:val="center"/>
          </w:tcPr>
          <w:p w14:paraId="5DAD111E" w14:textId="77777777" w:rsidR="00D94493" w:rsidRPr="00D94493" w:rsidRDefault="00D94493" w:rsidP="00D94493">
            <w:pPr>
              <w:widowControl w:val="0"/>
              <w:spacing w:after="0"/>
              <w:jc w:val="right"/>
              <w:rPr>
                <w:rFonts w:ascii="Times New Roman" w:hAnsi="Times New Roman" w:cs="Times New Roman"/>
                <w:sz w:val="14"/>
                <w:szCs w:val="14"/>
              </w:rPr>
            </w:pPr>
          </w:p>
        </w:tc>
        <w:tc>
          <w:tcPr>
            <w:tcW w:w="680" w:type="dxa"/>
            <w:tcBorders>
              <w:top w:val="nil"/>
              <w:left w:val="nil"/>
              <w:bottom w:val="nil"/>
              <w:right w:val="nil"/>
            </w:tcBorders>
            <w:shd w:val="clear" w:color="auto" w:fill="auto"/>
            <w:noWrap/>
            <w:vAlign w:val="center"/>
          </w:tcPr>
          <w:p w14:paraId="5376971F"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-140</w:t>
            </w:r>
          </w:p>
        </w:tc>
        <w:tc>
          <w:tcPr>
            <w:tcW w:w="680" w:type="dxa"/>
            <w:tcBorders>
              <w:top w:val="nil"/>
              <w:left w:val="nil"/>
              <w:bottom w:val="nil"/>
              <w:right w:val="nil"/>
            </w:tcBorders>
            <w:shd w:val="clear" w:color="auto" w:fill="auto"/>
            <w:noWrap/>
            <w:vAlign w:val="center"/>
          </w:tcPr>
          <w:p w14:paraId="07905755"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-62</w:t>
            </w:r>
          </w:p>
        </w:tc>
        <w:tc>
          <w:tcPr>
            <w:tcW w:w="680" w:type="dxa"/>
            <w:tcBorders>
              <w:top w:val="nil"/>
              <w:left w:val="nil"/>
              <w:bottom w:val="nil"/>
              <w:right w:val="nil"/>
            </w:tcBorders>
            <w:shd w:val="clear" w:color="auto" w:fill="auto"/>
            <w:vAlign w:val="center"/>
          </w:tcPr>
          <w:p w14:paraId="47730DE7"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-42</w:t>
            </w:r>
          </w:p>
        </w:tc>
        <w:tc>
          <w:tcPr>
            <w:tcW w:w="680" w:type="dxa"/>
            <w:tcBorders>
              <w:top w:val="nil"/>
              <w:left w:val="nil"/>
              <w:bottom w:val="nil"/>
              <w:right w:val="nil"/>
            </w:tcBorders>
            <w:shd w:val="clear" w:color="auto" w:fill="auto"/>
            <w:noWrap/>
            <w:vAlign w:val="center"/>
          </w:tcPr>
          <w:p w14:paraId="23E92F56"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24</w:t>
            </w:r>
          </w:p>
        </w:tc>
        <w:tc>
          <w:tcPr>
            <w:tcW w:w="680" w:type="dxa"/>
            <w:tcBorders>
              <w:top w:val="nil"/>
              <w:left w:val="nil"/>
              <w:bottom w:val="nil"/>
              <w:right w:val="nil"/>
            </w:tcBorders>
            <w:shd w:val="clear" w:color="auto" w:fill="auto"/>
            <w:noWrap/>
            <w:vAlign w:val="center"/>
          </w:tcPr>
          <w:p w14:paraId="43C9B69B"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66</w:t>
            </w:r>
          </w:p>
        </w:tc>
        <w:tc>
          <w:tcPr>
            <w:tcW w:w="680" w:type="dxa"/>
            <w:tcBorders>
              <w:top w:val="nil"/>
              <w:left w:val="nil"/>
              <w:bottom w:val="nil"/>
              <w:right w:val="nil"/>
            </w:tcBorders>
            <w:shd w:val="clear" w:color="auto" w:fill="auto"/>
            <w:noWrap/>
            <w:vAlign w:val="center"/>
          </w:tcPr>
          <w:p w14:paraId="2C6F3346"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67</w:t>
            </w:r>
          </w:p>
        </w:tc>
        <w:tc>
          <w:tcPr>
            <w:tcW w:w="680" w:type="dxa"/>
            <w:tcBorders>
              <w:top w:val="nil"/>
              <w:left w:val="nil"/>
              <w:bottom w:val="nil"/>
              <w:right w:val="nil"/>
            </w:tcBorders>
            <w:shd w:val="clear" w:color="auto" w:fill="auto"/>
            <w:vAlign w:val="center"/>
          </w:tcPr>
          <w:p w14:paraId="410ECB89"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100</w:t>
            </w:r>
          </w:p>
        </w:tc>
      </w:tr>
      <w:tr w:rsidR="00D94493" w:rsidRPr="00D94493" w14:paraId="7B5C3F1C" w14:textId="77777777" w:rsidTr="00213458">
        <w:trPr>
          <w:gridAfter w:val="1"/>
          <w:wAfter w:w="7" w:type="dxa"/>
          <w:trHeight w:val="218"/>
          <w:jc w:val="center"/>
        </w:trPr>
        <w:tc>
          <w:tcPr>
            <w:tcW w:w="0" w:type="auto"/>
            <w:tcBorders>
              <w:top w:val="nil"/>
              <w:left w:val="nil"/>
              <w:bottom w:val="nil"/>
              <w:right w:val="nil"/>
            </w:tcBorders>
            <w:shd w:val="clear" w:color="auto" w:fill="auto"/>
            <w:noWrap/>
            <w:vAlign w:val="center"/>
          </w:tcPr>
          <w:p w14:paraId="62519962" w14:textId="77777777" w:rsidR="00D94493" w:rsidRPr="00D94493" w:rsidRDefault="00D94493" w:rsidP="00D94493">
            <w:pPr>
              <w:widowControl w:val="0"/>
              <w:spacing w:after="0"/>
              <w:ind w:firstLineChars="250" w:firstLine="350"/>
              <w:rPr>
                <w:rFonts w:ascii="Times New Roman" w:hAnsi="Times New Roman" w:cs="Times New Roman"/>
                <w:sz w:val="14"/>
                <w:szCs w:val="14"/>
              </w:rPr>
            </w:pPr>
            <w:r w:rsidRPr="00D94493">
              <w:rPr>
                <w:rFonts w:ascii="Times New Roman" w:hAnsi="Times New Roman" w:cs="Times New Roman"/>
                <w:sz w:val="14"/>
                <w:szCs w:val="14"/>
              </w:rPr>
              <w:t>z toho: Eximbanka</w:t>
            </w:r>
          </w:p>
        </w:tc>
        <w:tc>
          <w:tcPr>
            <w:tcW w:w="340" w:type="dxa"/>
            <w:tcBorders>
              <w:top w:val="nil"/>
              <w:left w:val="nil"/>
              <w:bottom w:val="nil"/>
              <w:right w:val="nil"/>
            </w:tcBorders>
            <w:shd w:val="clear" w:color="auto" w:fill="auto"/>
            <w:vAlign w:val="center"/>
          </w:tcPr>
          <w:p w14:paraId="6F762854" w14:textId="77777777" w:rsidR="00D94493" w:rsidRPr="00D94493" w:rsidRDefault="00D94493" w:rsidP="00D94493">
            <w:pPr>
              <w:widowControl w:val="0"/>
              <w:spacing w:after="0"/>
              <w:jc w:val="right"/>
              <w:rPr>
                <w:rFonts w:ascii="Times New Roman" w:hAnsi="Times New Roman" w:cs="Times New Roman"/>
                <w:sz w:val="14"/>
                <w:szCs w:val="14"/>
              </w:rPr>
            </w:pPr>
          </w:p>
        </w:tc>
        <w:tc>
          <w:tcPr>
            <w:tcW w:w="680" w:type="dxa"/>
            <w:tcBorders>
              <w:top w:val="nil"/>
              <w:left w:val="nil"/>
              <w:bottom w:val="nil"/>
              <w:right w:val="nil"/>
            </w:tcBorders>
            <w:shd w:val="clear" w:color="auto" w:fill="auto"/>
            <w:vAlign w:val="center"/>
          </w:tcPr>
          <w:p w14:paraId="22F615A7"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-2</w:t>
            </w:r>
          </w:p>
        </w:tc>
        <w:tc>
          <w:tcPr>
            <w:tcW w:w="680" w:type="dxa"/>
            <w:tcBorders>
              <w:top w:val="nil"/>
              <w:left w:val="nil"/>
              <w:bottom w:val="nil"/>
              <w:right w:val="nil"/>
            </w:tcBorders>
            <w:shd w:val="clear" w:color="auto" w:fill="auto"/>
            <w:vAlign w:val="center"/>
          </w:tcPr>
          <w:p w14:paraId="55A97A50"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14</w:t>
            </w:r>
          </w:p>
        </w:tc>
        <w:tc>
          <w:tcPr>
            <w:tcW w:w="680" w:type="dxa"/>
            <w:tcBorders>
              <w:top w:val="nil"/>
              <w:left w:val="nil"/>
              <w:bottom w:val="nil"/>
              <w:right w:val="nil"/>
            </w:tcBorders>
            <w:shd w:val="clear" w:color="auto" w:fill="auto"/>
            <w:vAlign w:val="center"/>
          </w:tcPr>
          <w:p w14:paraId="61C63650"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-5</w:t>
            </w:r>
          </w:p>
        </w:tc>
        <w:tc>
          <w:tcPr>
            <w:tcW w:w="680" w:type="dxa"/>
            <w:tcBorders>
              <w:top w:val="nil"/>
              <w:left w:val="nil"/>
              <w:bottom w:val="nil"/>
              <w:right w:val="nil"/>
            </w:tcBorders>
            <w:shd w:val="clear" w:color="auto" w:fill="auto"/>
            <w:vAlign w:val="center"/>
          </w:tcPr>
          <w:p w14:paraId="0C1E8072"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5</w:t>
            </w:r>
          </w:p>
        </w:tc>
        <w:tc>
          <w:tcPr>
            <w:tcW w:w="680" w:type="dxa"/>
            <w:tcBorders>
              <w:top w:val="nil"/>
              <w:left w:val="nil"/>
              <w:bottom w:val="nil"/>
              <w:right w:val="nil"/>
            </w:tcBorders>
            <w:shd w:val="clear" w:color="auto" w:fill="auto"/>
            <w:vAlign w:val="center"/>
          </w:tcPr>
          <w:p w14:paraId="09323FAD"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100</w:t>
            </w:r>
          </w:p>
        </w:tc>
        <w:tc>
          <w:tcPr>
            <w:tcW w:w="680" w:type="dxa"/>
            <w:tcBorders>
              <w:top w:val="nil"/>
              <w:left w:val="nil"/>
              <w:bottom w:val="nil"/>
              <w:right w:val="nil"/>
            </w:tcBorders>
            <w:shd w:val="clear" w:color="auto" w:fill="auto"/>
            <w:vAlign w:val="center"/>
          </w:tcPr>
          <w:p w14:paraId="67C19468"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50</w:t>
            </w:r>
          </w:p>
        </w:tc>
        <w:tc>
          <w:tcPr>
            <w:tcW w:w="680" w:type="dxa"/>
            <w:tcBorders>
              <w:top w:val="nil"/>
              <w:left w:val="nil"/>
              <w:bottom w:val="nil"/>
              <w:right w:val="nil"/>
            </w:tcBorders>
            <w:shd w:val="clear" w:color="auto" w:fill="auto"/>
            <w:vAlign w:val="center"/>
          </w:tcPr>
          <w:p w14:paraId="08673B57"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50</w:t>
            </w:r>
          </w:p>
        </w:tc>
      </w:tr>
      <w:tr w:rsidR="00D94493" w:rsidRPr="00D94493" w14:paraId="7DDD1E51" w14:textId="77777777" w:rsidTr="00213458">
        <w:trPr>
          <w:gridAfter w:val="1"/>
          <w:wAfter w:w="7" w:type="dxa"/>
          <w:trHeight w:val="218"/>
          <w:jc w:val="center"/>
        </w:trPr>
        <w:tc>
          <w:tcPr>
            <w:tcW w:w="0" w:type="auto"/>
            <w:tcBorders>
              <w:top w:val="nil"/>
              <w:left w:val="nil"/>
              <w:bottom w:val="nil"/>
              <w:right w:val="nil"/>
            </w:tcBorders>
            <w:shd w:val="clear" w:color="auto" w:fill="auto"/>
            <w:noWrap/>
            <w:vAlign w:val="center"/>
          </w:tcPr>
          <w:p w14:paraId="1CEE1274" w14:textId="77777777" w:rsidR="00D94493" w:rsidRPr="00D94493" w:rsidRDefault="00D94493" w:rsidP="00D94493">
            <w:pPr>
              <w:widowControl w:val="0"/>
              <w:spacing w:after="0"/>
              <w:ind w:firstLineChars="250" w:firstLine="350"/>
              <w:rPr>
                <w:rFonts w:ascii="Times New Roman" w:hAnsi="Times New Roman" w:cs="Times New Roman"/>
                <w:sz w:val="14"/>
                <w:szCs w:val="14"/>
              </w:rPr>
            </w:pPr>
            <w:r w:rsidRPr="00D94493">
              <w:rPr>
                <w:rFonts w:ascii="Times New Roman" w:hAnsi="Times New Roman" w:cs="Times New Roman"/>
                <w:sz w:val="14"/>
                <w:szCs w:val="14"/>
              </w:rPr>
              <w:t>z toho: Dopravné podniky obcí</w:t>
            </w:r>
          </w:p>
        </w:tc>
        <w:tc>
          <w:tcPr>
            <w:tcW w:w="340" w:type="dxa"/>
            <w:tcBorders>
              <w:top w:val="nil"/>
              <w:left w:val="nil"/>
              <w:bottom w:val="nil"/>
              <w:right w:val="nil"/>
            </w:tcBorders>
            <w:shd w:val="clear" w:color="auto" w:fill="auto"/>
            <w:noWrap/>
            <w:vAlign w:val="center"/>
          </w:tcPr>
          <w:p w14:paraId="7446BA96" w14:textId="77777777" w:rsidR="00D94493" w:rsidRPr="00D94493" w:rsidRDefault="00D94493" w:rsidP="00D94493">
            <w:pPr>
              <w:widowControl w:val="0"/>
              <w:spacing w:after="0"/>
              <w:jc w:val="right"/>
              <w:rPr>
                <w:rFonts w:ascii="Times New Roman" w:hAnsi="Times New Roman" w:cs="Times New Roman"/>
                <w:sz w:val="14"/>
                <w:szCs w:val="14"/>
              </w:rPr>
            </w:pPr>
          </w:p>
        </w:tc>
        <w:tc>
          <w:tcPr>
            <w:tcW w:w="680" w:type="dxa"/>
            <w:tcBorders>
              <w:top w:val="nil"/>
              <w:left w:val="nil"/>
              <w:bottom w:val="nil"/>
              <w:right w:val="nil"/>
            </w:tcBorders>
            <w:shd w:val="clear" w:color="auto" w:fill="auto"/>
            <w:noWrap/>
            <w:vAlign w:val="center"/>
          </w:tcPr>
          <w:p w14:paraId="58711383"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-6</w:t>
            </w:r>
          </w:p>
        </w:tc>
        <w:tc>
          <w:tcPr>
            <w:tcW w:w="680" w:type="dxa"/>
            <w:tcBorders>
              <w:top w:val="nil"/>
              <w:left w:val="nil"/>
              <w:bottom w:val="nil"/>
              <w:right w:val="nil"/>
            </w:tcBorders>
            <w:shd w:val="clear" w:color="auto" w:fill="auto"/>
            <w:noWrap/>
            <w:vAlign w:val="center"/>
          </w:tcPr>
          <w:p w14:paraId="05066EB9"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44</w:t>
            </w:r>
          </w:p>
        </w:tc>
        <w:tc>
          <w:tcPr>
            <w:tcW w:w="680" w:type="dxa"/>
            <w:tcBorders>
              <w:top w:val="nil"/>
              <w:left w:val="nil"/>
              <w:bottom w:val="nil"/>
              <w:right w:val="nil"/>
            </w:tcBorders>
            <w:shd w:val="clear" w:color="auto" w:fill="auto"/>
            <w:vAlign w:val="center"/>
          </w:tcPr>
          <w:p w14:paraId="62D2526C"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35</w:t>
            </w:r>
          </w:p>
        </w:tc>
        <w:tc>
          <w:tcPr>
            <w:tcW w:w="680" w:type="dxa"/>
            <w:tcBorders>
              <w:top w:val="nil"/>
              <w:left w:val="nil"/>
              <w:bottom w:val="nil"/>
              <w:right w:val="nil"/>
            </w:tcBorders>
            <w:shd w:val="clear" w:color="auto" w:fill="auto"/>
            <w:noWrap/>
            <w:vAlign w:val="center"/>
          </w:tcPr>
          <w:p w14:paraId="39B0E14F"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26</w:t>
            </w:r>
          </w:p>
        </w:tc>
        <w:tc>
          <w:tcPr>
            <w:tcW w:w="680" w:type="dxa"/>
            <w:tcBorders>
              <w:top w:val="nil"/>
              <w:left w:val="nil"/>
              <w:bottom w:val="nil"/>
              <w:right w:val="nil"/>
            </w:tcBorders>
            <w:shd w:val="clear" w:color="auto" w:fill="auto"/>
            <w:noWrap/>
            <w:vAlign w:val="center"/>
          </w:tcPr>
          <w:p w14:paraId="51C07900"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13</w:t>
            </w:r>
          </w:p>
        </w:tc>
        <w:tc>
          <w:tcPr>
            <w:tcW w:w="680" w:type="dxa"/>
            <w:tcBorders>
              <w:top w:val="nil"/>
              <w:left w:val="nil"/>
              <w:bottom w:val="nil"/>
              <w:right w:val="nil"/>
            </w:tcBorders>
            <w:shd w:val="clear" w:color="auto" w:fill="auto"/>
            <w:noWrap/>
            <w:vAlign w:val="center"/>
          </w:tcPr>
          <w:p w14:paraId="5FEEE504"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10</w:t>
            </w:r>
          </w:p>
        </w:tc>
        <w:tc>
          <w:tcPr>
            <w:tcW w:w="680" w:type="dxa"/>
            <w:tcBorders>
              <w:top w:val="nil"/>
              <w:left w:val="nil"/>
              <w:bottom w:val="nil"/>
              <w:right w:val="nil"/>
            </w:tcBorders>
            <w:shd w:val="clear" w:color="auto" w:fill="auto"/>
            <w:vAlign w:val="center"/>
          </w:tcPr>
          <w:p w14:paraId="6AD4B97F"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3</w:t>
            </w:r>
          </w:p>
        </w:tc>
      </w:tr>
      <w:tr w:rsidR="00D94493" w:rsidRPr="00D94493" w14:paraId="7174AA32" w14:textId="77777777" w:rsidTr="00213458">
        <w:trPr>
          <w:gridAfter w:val="1"/>
          <w:wAfter w:w="7" w:type="dxa"/>
          <w:trHeight w:val="218"/>
          <w:jc w:val="center"/>
        </w:trPr>
        <w:tc>
          <w:tcPr>
            <w:tcW w:w="0" w:type="auto"/>
            <w:tcBorders>
              <w:top w:val="nil"/>
              <w:left w:val="nil"/>
              <w:bottom w:val="nil"/>
              <w:right w:val="nil"/>
            </w:tcBorders>
            <w:shd w:val="clear" w:color="auto" w:fill="auto"/>
            <w:noWrap/>
            <w:vAlign w:val="center"/>
          </w:tcPr>
          <w:p w14:paraId="26E0F9E5" w14:textId="77777777" w:rsidR="00D94493" w:rsidRPr="00D94493" w:rsidRDefault="00D94493" w:rsidP="00D94493">
            <w:pPr>
              <w:widowControl w:val="0"/>
              <w:spacing w:after="0"/>
              <w:ind w:firstLineChars="250" w:firstLine="350"/>
              <w:rPr>
                <w:rFonts w:ascii="Times New Roman" w:hAnsi="Times New Roman" w:cs="Times New Roman"/>
                <w:sz w:val="14"/>
                <w:szCs w:val="14"/>
              </w:rPr>
            </w:pPr>
            <w:r w:rsidRPr="00D94493">
              <w:rPr>
                <w:rFonts w:ascii="Times New Roman" w:hAnsi="Times New Roman" w:cs="Times New Roman"/>
                <w:sz w:val="14"/>
                <w:szCs w:val="14"/>
              </w:rPr>
              <w:t>z toho: Samosprávy (obce + VÚC)</w:t>
            </w:r>
          </w:p>
        </w:tc>
        <w:tc>
          <w:tcPr>
            <w:tcW w:w="340" w:type="dxa"/>
            <w:tcBorders>
              <w:top w:val="nil"/>
              <w:left w:val="nil"/>
              <w:bottom w:val="nil"/>
              <w:right w:val="nil"/>
            </w:tcBorders>
            <w:shd w:val="clear" w:color="auto" w:fill="auto"/>
            <w:noWrap/>
            <w:vAlign w:val="center"/>
          </w:tcPr>
          <w:p w14:paraId="1FDF9265" w14:textId="77777777" w:rsidR="00D94493" w:rsidRPr="00D94493" w:rsidRDefault="00D94493" w:rsidP="00D94493">
            <w:pPr>
              <w:widowControl w:val="0"/>
              <w:spacing w:after="0"/>
              <w:jc w:val="right"/>
              <w:rPr>
                <w:rFonts w:ascii="Times New Roman" w:hAnsi="Times New Roman" w:cs="Times New Roman"/>
                <w:sz w:val="14"/>
                <w:szCs w:val="14"/>
              </w:rPr>
            </w:pPr>
          </w:p>
        </w:tc>
        <w:tc>
          <w:tcPr>
            <w:tcW w:w="680" w:type="dxa"/>
            <w:tcBorders>
              <w:top w:val="nil"/>
              <w:left w:val="nil"/>
              <w:bottom w:val="nil"/>
              <w:right w:val="nil"/>
            </w:tcBorders>
            <w:shd w:val="clear" w:color="auto" w:fill="auto"/>
            <w:noWrap/>
            <w:vAlign w:val="center"/>
          </w:tcPr>
          <w:p w14:paraId="5EFFFC1D"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18</w:t>
            </w:r>
          </w:p>
        </w:tc>
        <w:tc>
          <w:tcPr>
            <w:tcW w:w="680" w:type="dxa"/>
            <w:tcBorders>
              <w:top w:val="nil"/>
              <w:left w:val="nil"/>
              <w:bottom w:val="nil"/>
              <w:right w:val="nil"/>
            </w:tcBorders>
            <w:shd w:val="clear" w:color="auto" w:fill="auto"/>
            <w:noWrap/>
            <w:vAlign w:val="center"/>
          </w:tcPr>
          <w:p w14:paraId="1D77D30F"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149</w:t>
            </w:r>
          </w:p>
        </w:tc>
        <w:tc>
          <w:tcPr>
            <w:tcW w:w="680" w:type="dxa"/>
            <w:tcBorders>
              <w:top w:val="nil"/>
              <w:left w:val="nil"/>
              <w:bottom w:val="nil"/>
              <w:right w:val="nil"/>
            </w:tcBorders>
            <w:shd w:val="clear" w:color="auto" w:fill="auto"/>
            <w:vAlign w:val="center"/>
          </w:tcPr>
          <w:p w14:paraId="18E896DB"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32</w:t>
            </w:r>
          </w:p>
        </w:tc>
        <w:tc>
          <w:tcPr>
            <w:tcW w:w="680" w:type="dxa"/>
            <w:tcBorders>
              <w:top w:val="nil"/>
              <w:left w:val="nil"/>
              <w:bottom w:val="nil"/>
              <w:right w:val="nil"/>
            </w:tcBorders>
            <w:shd w:val="clear" w:color="auto" w:fill="auto"/>
            <w:noWrap/>
            <w:vAlign w:val="center"/>
          </w:tcPr>
          <w:p w14:paraId="2DF01013"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-3</w:t>
            </w:r>
          </w:p>
        </w:tc>
        <w:tc>
          <w:tcPr>
            <w:tcW w:w="680" w:type="dxa"/>
            <w:tcBorders>
              <w:top w:val="nil"/>
              <w:left w:val="nil"/>
              <w:bottom w:val="nil"/>
              <w:right w:val="nil"/>
            </w:tcBorders>
            <w:shd w:val="clear" w:color="auto" w:fill="auto"/>
            <w:noWrap/>
            <w:vAlign w:val="center"/>
          </w:tcPr>
          <w:p w14:paraId="6DA56B70"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42</w:t>
            </w:r>
          </w:p>
        </w:tc>
        <w:tc>
          <w:tcPr>
            <w:tcW w:w="680" w:type="dxa"/>
            <w:tcBorders>
              <w:top w:val="nil"/>
              <w:left w:val="nil"/>
              <w:bottom w:val="nil"/>
              <w:right w:val="nil"/>
            </w:tcBorders>
            <w:shd w:val="clear" w:color="auto" w:fill="auto"/>
            <w:noWrap/>
            <w:vAlign w:val="center"/>
          </w:tcPr>
          <w:p w14:paraId="7E178CEA"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33</w:t>
            </w:r>
          </w:p>
        </w:tc>
        <w:tc>
          <w:tcPr>
            <w:tcW w:w="680" w:type="dxa"/>
            <w:tcBorders>
              <w:top w:val="nil"/>
              <w:left w:val="nil"/>
              <w:bottom w:val="nil"/>
              <w:right w:val="nil"/>
            </w:tcBorders>
            <w:shd w:val="clear" w:color="auto" w:fill="auto"/>
            <w:vAlign w:val="center"/>
          </w:tcPr>
          <w:p w14:paraId="6885D621"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32</w:t>
            </w:r>
          </w:p>
        </w:tc>
      </w:tr>
      <w:tr w:rsidR="00D94493" w:rsidRPr="00D94493" w14:paraId="3D840D0A" w14:textId="77777777" w:rsidTr="00213458">
        <w:trPr>
          <w:gridAfter w:val="1"/>
          <w:wAfter w:w="7" w:type="dxa"/>
          <w:trHeight w:val="218"/>
          <w:jc w:val="center"/>
        </w:trPr>
        <w:tc>
          <w:tcPr>
            <w:tcW w:w="0" w:type="auto"/>
            <w:tcBorders>
              <w:top w:val="nil"/>
              <w:left w:val="nil"/>
              <w:bottom w:val="nil"/>
              <w:right w:val="nil"/>
            </w:tcBorders>
            <w:shd w:val="clear" w:color="auto" w:fill="auto"/>
            <w:noWrap/>
            <w:vAlign w:val="center"/>
          </w:tcPr>
          <w:p w14:paraId="23B223D2" w14:textId="77777777" w:rsidR="00D94493" w:rsidRPr="00D94493" w:rsidRDefault="00D94493" w:rsidP="00D94493">
            <w:pPr>
              <w:widowControl w:val="0"/>
              <w:spacing w:after="0"/>
              <w:ind w:firstLineChars="47" w:firstLine="66"/>
              <w:rPr>
                <w:rFonts w:ascii="Times New Roman" w:hAnsi="Times New Roman" w:cs="Times New Roman"/>
                <w:sz w:val="14"/>
                <w:szCs w:val="14"/>
              </w:rPr>
            </w:pPr>
            <w:r w:rsidRPr="00D94493">
              <w:rPr>
                <w:rFonts w:ascii="Times New Roman" w:hAnsi="Times New Roman" w:cs="Times New Roman"/>
                <w:sz w:val="14"/>
                <w:szCs w:val="14"/>
              </w:rPr>
              <w:t xml:space="preserve"> - emisný diskont</w:t>
            </w:r>
          </w:p>
        </w:tc>
        <w:tc>
          <w:tcPr>
            <w:tcW w:w="340" w:type="dxa"/>
            <w:tcBorders>
              <w:top w:val="nil"/>
              <w:left w:val="nil"/>
              <w:bottom w:val="nil"/>
              <w:right w:val="nil"/>
            </w:tcBorders>
            <w:shd w:val="clear" w:color="auto" w:fill="auto"/>
            <w:noWrap/>
            <w:vAlign w:val="center"/>
          </w:tcPr>
          <w:p w14:paraId="0414F93F" w14:textId="77777777" w:rsidR="00D94493" w:rsidRPr="00D94493" w:rsidRDefault="00D94493" w:rsidP="00D94493">
            <w:pPr>
              <w:widowControl w:val="0"/>
              <w:spacing w:after="0"/>
              <w:jc w:val="right"/>
              <w:rPr>
                <w:rFonts w:ascii="Times New Roman" w:hAnsi="Times New Roman" w:cs="Times New Roman"/>
                <w:sz w:val="14"/>
                <w:szCs w:val="14"/>
              </w:rPr>
            </w:pPr>
          </w:p>
        </w:tc>
        <w:tc>
          <w:tcPr>
            <w:tcW w:w="680" w:type="dxa"/>
            <w:tcBorders>
              <w:top w:val="nil"/>
              <w:left w:val="nil"/>
              <w:bottom w:val="nil"/>
              <w:right w:val="nil"/>
            </w:tcBorders>
            <w:shd w:val="clear" w:color="auto" w:fill="auto"/>
            <w:noWrap/>
            <w:vAlign w:val="center"/>
          </w:tcPr>
          <w:p w14:paraId="33AAA414"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18</w:t>
            </w:r>
          </w:p>
        </w:tc>
        <w:tc>
          <w:tcPr>
            <w:tcW w:w="680" w:type="dxa"/>
            <w:tcBorders>
              <w:top w:val="nil"/>
              <w:left w:val="nil"/>
              <w:bottom w:val="nil"/>
              <w:right w:val="nil"/>
            </w:tcBorders>
            <w:shd w:val="clear" w:color="auto" w:fill="auto"/>
            <w:noWrap/>
            <w:vAlign w:val="center"/>
          </w:tcPr>
          <w:p w14:paraId="346563F7"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542</w:t>
            </w:r>
          </w:p>
        </w:tc>
        <w:tc>
          <w:tcPr>
            <w:tcW w:w="680" w:type="dxa"/>
            <w:tcBorders>
              <w:top w:val="nil"/>
              <w:left w:val="nil"/>
              <w:bottom w:val="nil"/>
              <w:right w:val="nil"/>
            </w:tcBorders>
            <w:shd w:val="clear" w:color="auto" w:fill="auto"/>
            <w:vAlign w:val="center"/>
          </w:tcPr>
          <w:p w14:paraId="30B8C642"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1 281</w:t>
            </w:r>
          </w:p>
        </w:tc>
        <w:tc>
          <w:tcPr>
            <w:tcW w:w="680" w:type="dxa"/>
            <w:tcBorders>
              <w:top w:val="nil"/>
              <w:left w:val="nil"/>
              <w:bottom w:val="nil"/>
              <w:right w:val="nil"/>
            </w:tcBorders>
            <w:shd w:val="clear" w:color="auto" w:fill="auto"/>
            <w:noWrap/>
            <w:vAlign w:val="center"/>
          </w:tcPr>
          <w:p w14:paraId="3B9AAF6A"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454</w:t>
            </w:r>
          </w:p>
        </w:tc>
        <w:tc>
          <w:tcPr>
            <w:tcW w:w="680" w:type="dxa"/>
            <w:tcBorders>
              <w:top w:val="nil"/>
              <w:left w:val="nil"/>
              <w:bottom w:val="nil"/>
              <w:right w:val="nil"/>
            </w:tcBorders>
            <w:shd w:val="clear" w:color="auto" w:fill="auto"/>
            <w:noWrap/>
            <w:vAlign w:val="center"/>
          </w:tcPr>
          <w:p w14:paraId="38483C64"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699</w:t>
            </w:r>
          </w:p>
        </w:tc>
        <w:tc>
          <w:tcPr>
            <w:tcW w:w="680" w:type="dxa"/>
            <w:tcBorders>
              <w:top w:val="nil"/>
              <w:left w:val="nil"/>
              <w:bottom w:val="nil"/>
              <w:right w:val="nil"/>
            </w:tcBorders>
            <w:shd w:val="clear" w:color="auto" w:fill="auto"/>
            <w:noWrap/>
            <w:vAlign w:val="center"/>
          </w:tcPr>
          <w:p w14:paraId="46419BB9"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515</w:t>
            </w:r>
          </w:p>
        </w:tc>
        <w:tc>
          <w:tcPr>
            <w:tcW w:w="680" w:type="dxa"/>
            <w:tcBorders>
              <w:top w:val="nil"/>
              <w:left w:val="nil"/>
              <w:bottom w:val="nil"/>
              <w:right w:val="nil"/>
            </w:tcBorders>
            <w:shd w:val="clear" w:color="auto" w:fill="auto"/>
            <w:vAlign w:val="center"/>
          </w:tcPr>
          <w:p w14:paraId="5DFFE86A"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817</w:t>
            </w:r>
          </w:p>
        </w:tc>
      </w:tr>
      <w:tr w:rsidR="00D94493" w:rsidRPr="00D94493" w14:paraId="276C3CF7" w14:textId="77777777" w:rsidTr="00213458">
        <w:trPr>
          <w:gridAfter w:val="1"/>
          <w:wAfter w:w="7" w:type="dxa"/>
          <w:trHeight w:val="218"/>
          <w:jc w:val="center"/>
        </w:trPr>
        <w:tc>
          <w:tcPr>
            <w:tcW w:w="0" w:type="auto"/>
            <w:tcBorders>
              <w:top w:val="nil"/>
              <w:left w:val="nil"/>
              <w:bottom w:val="nil"/>
              <w:right w:val="nil"/>
            </w:tcBorders>
            <w:shd w:val="clear" w:color="auto" w:fill="auto"/>
            <w:noWrap/>
            <w:vAlign w:val="center"/>
          </w:tcPr>
          <w:p w14:paraId="0DF50D01" w14:textId="77777777" w:rsidR="00D94493" w:rsidRPr="00D94493" w:rsidRDefault="00D94493" w:rsidP="00D94493">
            <w:pPr>
              <w:widowControl w:val="0"/>
              <w:spacing w:after="0"/>
              <w:ind w:firstLineChars="47" w:firstLine="66"/>
              <w:rPr>
                <w:rFonts w:ascii="Times New Roman" w:hAnsi="Times New Roman" w:cs="Times New Roman"/>
                <w:sz w:val="14"/>
                <w:szCs w:val="14"/>
              </w:rPr>
            </w:pPr>
            <w:r w:rsidRPr="00D94493">
              <w:rPr>
                <w:rFonts w:ascii="Times New Roman" w:hAnsi="Times New Roman" w:cs="Times New Roman"/>
                <w:sz w:val="14"/>
                <w:szCs w:val="14"/>
              </w:rPr>
              <w:t xml:space="preserve"> - diskont pri splatnosti</w:t>
            </w:r>
          </w:p>
        </w:tc>
        <w:tc>
          <w:tcPr>
            <w:tcW w:w="340" w:type="dxa"/>
            <w:tcBorders>
              <w:top w:val="nil"/>
              <w:left w:val="nil"/>
              <w:bottom w:val="nil"/>
              <w:right w:val="nil"/>
            </w:tcBorders>
            <w:shd w:val="clear" w:color="auto" w:fill="auto"/>
            <w:noWrap/>
            <w:vAlign w:val="center"/>
          </w:tcPr>
          <w:p w14:paraId="0D00A713" w14:textId="77777777" w:rsidR="00D94493" w:rsidRPr="00D94493" w:rsidRDefault="00D94493" w:rsidP="00D94493">
            <w:pPr>
              <w:widowControl w:val="0"/>
              <w:spacing w:after="0"/>
              <w:jc w:val="right"/>
              <w:rPr>
                <w:rFonts w:ascii="Times New Roman" w:hAnsi="Times New Roman" w:cs="Times New Roman"/>
                <w:sz w:val="14"/>
                <w:szCs w:val="14"/>
              </w:rPr>
            </w:pPr>
          </w:p>
        </w:tc>
        <w:tc>
          <w:tcPr>
            <w:tcW w:w="680" w:type="dxa"/>
            <w:tcBorders>
              <w:top w:val="nil"/>
              <w:left w:val="nil"/>
              <w:bottom w:val="nil"/>
              <w:right w:val="nil"/>
            </w:tcBorders>
            <w:shd w:val="clear" w:color="auto" w:fill="auto"/>
            <w:noWrap/>
            <w:vAlign w:val="center"/>
          </w:tcPr>
          <w:p w14:paraId="6D1630DB"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-2</w:t>
            </w:r>
          </w:p>
        </w:tc>
        <w:tc>
          <w:tcPr>
            <w:tcW w:w="680" w:type="dxa"/>
            <w:tcBorders>
              <w:top w:val="nil"/>
              <w:left w:val="nil"/>
              <w:bottom w:val="nil"/>
              <w:right w:val="nil"/>
            </w:tcBorders>
            <w:shd w:val="clear" w:color="auto" w:fill="auto"/>
            <w:noWrap/>
            <w:vAlign w:val="center"/>
          </w:tcPr>
          <w:p w14:paraId="075D412A"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-11</w:t>
            </w:r>
          </w:p>
        </w:tc>
        <w:tc>
          <w:tcPr>
            <w:tcW w:w="680" w:type="dxa"/>
            <w:tcBorders>
              <w:top w:val="nil"/>
              <w:left w:val="nil"/>
              <w:bottom w:val="nil"/>
              <w:right w:val="nil"/>
            </w:tcBorders>
            <w:shd w:val="clear" w:color="auto" w:fill="auto"/>
            <w:vAlign w:val="center"/>
          </w:tcPr>
          <w:p w14:paraId="1F99A8A0"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-49</w:t>
            </w:r>
          </w:p>
        </w:tc>
        <w:tc>
          <w:tcPr>
            <w:tcW w:w="680" w:type="dxa"/>
            <w:tcBorders>
              <w:top w:val="nil"/>
              <w:left w:val="nil"/>
              <w:bottom w:val="nil"/>
              <w:right w:val="nil"/>
            </w:tcBorders>
            <w:shd w:val="clear" w:color="auto" w:fill="auto"/>
            <w:noWrap/>
            <w:vAlign w:val="center"/>
          </w:tcPr>
          <w:p w14:paraId="64E6B6B9"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-49</w:t>
            </w:r>
          </w:p>
        </w:tc>
        <w:tc>
          <w:tcPr>
            <w:tcW w:w="680" w:type="dxa"/>
            <w:tcBorders>
              <w:top w:val="nil"/>
              <w:left w:val="nil"/>
              <w:bottom w:val="nil"/>
              <w:right w:val="nil"/>
            </w:tcBorders>
            <w:shd w:val="clear" w:color="auto" w:fill="auto"/>
            <w:noWrap/>
            <w:vAlign w:val="center"/>
          </w:tcPr>
          <w:p w14:paraId="01FCC4AE"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-15</w:t>
            </w:r>
          </w:p>
        </w:tc>
        <w:tc>
          <w:tcPr>
            <w:tcW w:w="680" w:type="dxa"/>
            <w:tcBorders>
              <w:top w:val="nil"/>
              <w:left w:val="nil"/>
              <w:bottom w:val="nil"/>
              <w:right w:val="nil"/>
            </w:tcBorders>
            <w:shd w:val="clear" w:color="auto" w:fill="auto"/>
            <w:noWrap/>
            <w:vAlign w:val="center"/>
          </w:tcPr>
          <w:p w14:paraId="59120926"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-53</w:t>
            </w:r>
          </w:p>
        </w:tc>
        <w:tc>
          <w:tcPr>
            <w:tcW w:w="680" w:type="dxa"/>
            <w:tcBorders>
              <w:top w:val="nil"/>
              <w:left w:val="nil"/>
              <w:bottom w:val="nil"/>
              <w:right w:val="nil"/>
            </w:tcBorders>
            <w:shd w:val="clear" w:color="auto" w:fill="auto"/>
            <w:vAlign w:val="center"/>
          </w:tcPr>
          <w:p w14:paraId="23F5CAA7"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-33</w:t>
            </w:r>
          </w:p>
        </w:tc>
      </w:tr>
      <w:tr w:rsidR="00D94493" w:rsidRPr="00D94493" w14:paraId="27A8AAC8" w14:textId="77777777" w:rsidTr="00213458">
        <w:trPr>
          <w:gridAfter w:val="1"/>
          <w:wAfter w:w="7" w:type="dxa"/>
          <w:trHeight w:val="218"/>
          <w:jc w:val="center"/>
        </w:trPr>
        <w:tc>
          <w:tcPr>
            <w:tcW w:w="0" w:type="auto"/>
            <w:tcBorders>
              <w:top w:val="nil"/>
              <w:left w:val="nil"/>
              <w:bottom w:val="nil"/>
              <w:right w:val="nil"/>
            </w:tcBorders>
            <w:shd w:val="clear" w:color="auto" w:fill="auto"/>
            <w:noWrap/>
            <w:vAlign w:val="center"/>
          </w:tcPr>
          <w:p w14:paraId="7E6B9077" w14:textId="77777777" w:rsidR="00D94493" w:rsidRPr="00D94493" w:rsidRDefault="00D94493" w:rsidP="00D94493">
            <w:pPr>
              <w:widowControl w:val="0"/>
              <w:spacing w:after="0"/>
              <w:ind w:firstLineChars="47" w:firstLine="66"/>
              <w:rPr>
                <w:rFonts w:ascii="Times New Roman" w:hAnsi="Times New Roman" w:cs="Times New Roman"/>
                <w:sz w:val="14"/>
                <w:szCs w:val="14"/>
              </w:rPr>
            </w:pPr>
            <w:r w:rsidRPr="00D94493">
              <w:rPr>
                <w:rFonts w:ascii="Times New Roman" w:hAnsi="Times New Roman" w:cs="Times New Roman"/>
                <w:sz w:val="14"/>
                <w:szCs w:val="14"/>
              </w:rPr>
              <w:t xml:space="preserve"> - ostatné*</w:t>
            </w:r>
          </w:p>
        </w:tc>
        <w:tc>
          <w:tcPr>
            <w:tcW w:w="340" w:type="dxa"/>
            <w:tcBorders>
              <w:top w:val="nil"/>
              <w:left w:val="nil"/>
              <w:bottom w:val="nil"/>
              <w:right w:val="nil"/>
            </w:tcBorders>
            <w:shd w:val="clear" w:color="auto" w:fill="auto"/>
            <w:noWrap/>
            <w:vAlign w:val="center"/>
          </w:tcPr>
          <w:p w14:paraId="7F922308" w14:textId="77777777" w:rsidR="00D94493" w:rsidRPr="00D94493" w:rsidRDefault="00D94493" w:rsidP="00D94493">
            <w:pPr>
              <w:widowControl w:val="0"/>
              <w:spacing w:after="0"/>
              <w:jc w:val="right"/>
              <w:rPr>
                <w:rFonts w:ascii="Times New Roman" w:hAnsi="Times New Roman" w:cs="Times New Roman"/>
                <w:sz w:val="14"/>
                <w:szCs w:val="14"/>
              </w:rPr>
            </w:pPr>
          </w:p>
        </w:tc>
        <w:tc>
          <w:tcPr>
            <w:tcW w:w="680" w:type="dxa"/>
            <w:tcBorders>
              <w:top w:val="nil"/>
              <w:left w:val="nil"/>
              <w:bottom w:val="nil"/>
              <w:right w:val="nil"/>
            </w:tcBorders>
            <w:shd w:val="clear" w:color="auto" w:fill="auto"/>
            <w:noWrap/>
            <w:vAlign w:val="center"/>
          </w:tcPr>
          <w:p w14:paraId="2456E936"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1 732</w:t>
            </w:r>
          </w:p>
        </w:tc>
        <w:tc>
          <w:tcPr>
            <w:tcW w:w="680" w:type="dxa"/>
            <w:tcBorders>
              <w:top w:val="nil"/>
              <w:left w:val="nil"/>
              <w:bottom w:val="nil"/>
              <w:right w:val="nil"/>
            </w:tcBorders>
            <w:shd w:val="clear" w:color="auto" w:fill="auto"/>
            <w:noWrap/>
            <w:vAlign w:val="center"/>
          </w:tcPr>
          <w:p w14:paraId="353D8779"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-2 078</w:t>
            </w:r>
          </w:p>
        </w:tc>
        <w:tc>
          <w:tcPr>
            <w:tcW w:w="680" w:type="dxa"/>
            <w:tcBorders>
              <w:top w:val="nil"/>
              <w:left w:val="nil"/>
              <w:bottom w:val="nil"/>
              <w:right w:val="nil"/>
            </w:tcBorders>
            <w:shd w:val="clear" w:color="auto" w:fill="auto"/>
            <w:vAlign w:val="center"/>
          </w:tcPr>
          <w:p w14:paraId="1482F20B"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0</w:t>
            </w:r>
          </w:p>
        </w:tc>
        <w:tc>
          <w:tcPr>
            <w:tcW w:w="680" w:type="dxa"/>
            <w:tcBorders>
              <w:top w:val="nil"/>
              <w:left w:val="nil"/>
              <w:bottom w:val="nil"/>
              <w:right w:val="nil"/>
            </w:tcBorders>
            <w:shd w:val="clear" w:color="auto" w:fill="auto"/>
            <w:noWrap/>
            <w:vAlign w:val="center"/>
          </w:tcPr>
          <w:p w14:paraId="7E8C559A"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-147</w:t>
            </w:r>
          </w:p>
        </w:tc>
        <w:tc>
          <w:tcPr>
            <w:tcW w:w="680" w:type="dxa"/>
            <w:tcBorders>
              <w:top w:val="nil"/>
              <w:left w:val="nil"/>
              <w:bottom w:val="nil"/>
              <w:right w:val="nil"/>
            </w:tcBorders>
            <w:shd w:val="clear" w:color="auto" w:fill="auto"/>
            <w:noWrap/>
            <w:vAlign w:val="center"/>
          </w:tcPr>
          <w:p w14:paraId="68BCEB54"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0</w:t>
            </w:r>
          </w:p>
        </w:tc>
        <w:tc>
          <w:tcPr>
            <w:tcW w:w="680" w:type="dxa"/>
            <w:tcBorders>
              <w:top w:val="nil"/>
              <w:left w:val="nil"/>
              <w:bottom w:val="nil"/>
              <w:right w:val="nil"/>
            </w:tcBorders>
            <w:shd w:val="clear" w:color="auto" w:fill="auto"/>
            <w:noWrap/>
            <w:vAlign w:val="center"/>
          </w:tcPr>
          <w:p w14:paraId="329CF56B"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0</w:t>
            </w:r>
          </w:p>
        </w:tc>
        <w:tc>
          <w:tcPr>
            <w:tcW w:w="680" w:type="dxa"/>
            <w:tcBorders>
              <w:top w:val="nil"/>
              <w:left w:val="nil"/>
              <w:bottom w:val="nil"/>
              <w:right w:val="nil"/>
            </w:tcBorders>
            <w:shd w:val="clear" w:color="auto" w:fill="auto"/>
            <w:vAlign w:val="center"/>
          </w:tcPr>
          <w:p w14:paraId="4A7FE608" w14:textId="77777777" w:rsidR="00D94493" w:rsidRPr="00D94493" w:rsidRDefault="00D94493" w:rsidP="00D94493">
            <w:pPr>
              <w:widowControl w:val="0"/>
              <w:spacing w:after="0"/>
              <w:jc w:val="right"/>
              <w:rPr>
                <w:rFonts w:ascii="Times New Roman" w:hAnsi="Times New Roman" w:cs="Times New Roman"/>
                <w:bCs/>
                <w:sz w:val="14"/>
                <w:szCs w:val="14"/>
              </w:rPr>
            </w:pPr>
            <w:r w:rsidRPr="00D94493">
              <w:rPr>
                <w:rFonts w:ascii="Times New Roman" w:hAnsi="Times New Roman" w:cs="Times New Roman"/>
                <w:bCs/>
                <w:sz w:val="14"/>
                <w:szCs w:val="14"/>
              </w:rPr>
              <w:t>0</w:t>
            </w:r>
          </w:p>
        </w:tc>
      </w:tr>
      <w:tr w:rsidR="00D94493" w:rsidRPr="00D94493" w14:paraId="1545FEB4" w14:textId="77777777" w:rsidTr="00213458">
        <w:trPr>
          <w:gridAfter w:val="1"/>
          <w:wAfter w:w="7" w:type="dxa"/>
          <w:trHeight w:val="218"/>
          <w:jc w:val="center"/>
        </w:trPr>
        <w:tc>
          <w:tcPr>
            <w:tcW w:w="0" w:type="auto"/>
            <w:tcBorders>
              <w:top w:val="nil"/>
              <w:left w:val="nil"/>
              <w:bottom w:val="nil"/>
              <w:right w:val="nil"/>
            </w:tcBorders>
            <w:shd w:val="clear" w:color="auto" w:fill="auto"/>
            <w:noWrap/>
            <w:vAlign w:val="center"/>
          </w:tcPr>
          <w:p w14:paraId="0CAC8763" w14:textId="77777777" w:rsidR="00D94493" w:rsidRPr="00D94493" w:rsidRDefault="00D94493" w:rsidP="00D94493">
            <w:pPr>
              <w:widowControl w:val="0"/>
              <w:spacing w:after="0"/>
              <w:rPr>
                <w:rFonts w:ascii="Times New Roman" w:hAnsi="Times New Roman" w:cs="Times New Roman"/>
                <w:b/>
                <w:bCs/>
                <w:sz w:val="14"/>
                <w:szCs w:val="14"/>
              </w:rPr>
            </w:pPr>
            <w:r w:rsidRPr="00D94493">
              <w:rPr>
                <w:rFonts w:ascii="Times New Roman" w:hAnsi="Times New Roman" w:cs="Times New Roman"/>
                <w:b/>
                <w:sz w:val="14"/>
                <w:szCs w:val="14"/>
              </w:rPr>
              <w:t>C. Hrubý dlh verejnej správy (k 31.12.)</w:t>
            </w:r>
          </w:p>
        </w:tc>
        <w:tc>
          <w:tcPr>
            <w:tcW w:w="340" w:type="dxa"/>
            <w:tcBorders>
              <w:top w:val="nil"/>
              <w:left w:val="nil"/>
              <w:bottom w:val="nil"/>
              <w:right w:val="nil"/>
            </w:tcBorders>
            <w:shd w:val="clear" w:color="auto" w:fill="auto"/>
            <w:noWrap/>
            <w:vAlign w:val="center"/>
          </w:tcPr>
          <w:p w14:paraId="51D29471" w14:textId="77777777" w:rsidR="00D94493" w:rsidRPr="00D94493" w:rsidRDefault="00D94493" w:rsidP="00D94493">
            <w:pPr>
              <w:widowControl w:val="0"/>
              <w:spacing w:after="0"/>
              <w:jc w:val="right"/>
              <w:rPr>
                <w:rFonts w:ascii="Times New Roman" w:hAnsi="Times New Roman" w:cs="Times New Roman"/>
                <w:b/>
                <w:sz w:val="14"/>
                <w:szCs w:val="14"/>
              </w:rPr>
            </w:pPr>
          </w:p>
        </w:tc>
        <w:tc>
          <w:tcPr>
            <w:tcW w:w="680" w:type="dxa"/>
            <w:tcBorders>
              <w:top w:val="nil"/>
              <w:left w:val="nil"/>
              <w:bottom w:val="nil"/>
              <w:right w:val="nil"/>
            </w:tcBorders>
            <w:shd w:val="clear" w:color="auto" w:fill="auto"/>
            <w:noWrap/>
            <w:vAlign w:val="center"/>
          </w:tcPr>
          <w:p w14:paraId="169584BA"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61 237</w:t>
            </w:r>
          </w:p>
        </w:tc>
        <w:tc>
          <w:tcPr>
            <w:tcW w:w="680" w:type="dxa"/>
            <w:tcBorders>
              <w:top w:val="nil"/>
              <w:left w:val="nil"/>
              <w:bottom w:val="nil"/>
              <w:right w:val="nil"/>
            </w:tcBorders>
            <w:shd w:val="clear" w:color="auto" w:fill="auto"/>
            <w:noWrap/>
            <w:vAlign w:val="center"/>
          </w:tcPr>
          <w:p w14:paraId="0111869A"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63 378</w:t>
            </w:r>
          </w:p>
        </w:tc>
        <w:tc>
          <w:tcPr>
            <w:tcW w:w="680" w:type="dxa"/>
            <w:tcBorders>
              <w:top w:val="nil"/>
              <w:left w:val="nil"/>
              <w:bottom w:val="nil"/>
              <w:right w:val="nil"/>
            </w:tcBorders>
            <w:shd w:val="clear" w:color="auto" w:fill="auto"/>
            <w:vAlign w:val="center"/>
          </w:tcPr>
          <w:p w14:paraId="186569CF"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70 771</w:t>
            </w:r>
          </w:p>
        </w:tc>
        <w:tc>
          <w:tcPr>
            <w:tcW w:w="680" w:type="dxa"/>
            <w:tcBorders>
              <w:top w:val="nil"/>
              <w:left w:val="nil"/>
              <w:bottom w:val="nil"/>
              <w:right w:val="nil"/>
            </w:tcBorders>
            <w:shd w:val="clear" w:color="auto" w:fill="auto"/>
            <w:noWrap/>
            <w:vAlign w:val="center"/>
          </w:tcPr>
          <w:p w14:paraId="0598F5F5"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69 201</w:t>
            </w:r>
          </w:p>
        </w:tc>
        <w:tc>
          <w:tcPr>
            <w:tcW w:w="680" w:type="dxa"/>
            <w:tcBorders>
              <w:top w:val="nil"/>
              <w:left w:val="nil"/>
              <w:bottom w:val="nil"/>
              <w:right w:val="nil"/>
            </w:tcBorders>
            <w:shd w:val="clear" w:color="auto" w:fill="auto"/>
            <w:noWrap/>
            <w:vAlign w:val="center"/>
          </w:tcPr>
          <w:p w14:paraId="5820691E"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76 586</w:t>
            </w:r>
          </w:p>
        </w:tc>
        <w:tc>
          <w:tcPr>
            <w:tcW w:w="680" w:type="dxa"/>
            <w:tcBorders>
              <w:top w:val="nil"/>
              <w:left w:val="nil"/>
              <w:bottom w:val="nil"/>
              <w:right w:val="nil"/>
            </w:tcBorders>
            <w:shd w:val="clear" w:color="auto" w:fill="auto"/>
            <w:noWrap/>
            <w:vAlign w:val="center"/>
          </w:tcPr>
          <w:p w14:paraId="6E6D936D"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82 976</w:t>
            </w:r>
          </w:p>
        </w:tc>
        <w:tc>
          <w:tcPr>
            <w:tcW w:w="680" w:type="dxa"/>
            <w:tcBorders>
              <w:top w:val="nil"/>
              <w:left w:val="nil"/>
              <w:bottom w:val="nil"/>
              <w:right w:val="nil"/>
            </w:tcBorders>
            <w:shd w:val="clear" w:color="auto" w:fill="auto"/>
            <w:vAlign w:val="center"/>
          </w:tcPr>
          <w:p w14:paraId="7CBDB7ED"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89 944</w:t>
            </w:r>
          </w:p>
        </w:tc>
      </w:tr>
      <w:tr w:rsidR="00D94493" w:rsidRPr="00D94493" w14:paraId="12A81CEC" w14:textId="77777777" w:rsidTr="00213458">
        <w:trPr>
          <w:gridAfter w:val="1"/>
          <w:wAfter w:w="7" w:type="dxa"/>
          <w:trHeight w:val="218"/>
          <w:jc w:val="center"/>
        </w:trPr>
        <w:tc>
          <w:tcPr>
            <w:tcW w:w="0" w:type="auto"/>
            <w:tcBorders>
              <w:top w:val="nil"/>
              <w:left w:val="nil"/>
              <w:bottom w:val="nil"/>
              <w:right w:val="nil"/>
            </w:tcBorders>
            <w:shd w:val="clear" w:color="auto" w:fill="auto"/>
            <w:noWrap/>
            <w:vAlign w:val="center"/>
          </w:tcPr>
          <w:p w14:paraId="3948FFC1" w14:textId="77777777" w:rsidR="00D94493" w:rsidRPr="00D94493" w:rsidRDefault="00D94493" w:rsidP="00D94493">
            <w:pPr>
              <w:widowControl w:val="0"/>
              <w:spacing w:after="0"/>
              <w:ind w:firstLineChars="100" w:firstLine="140"/>
              <w:rPr>
                <w:rFonts w:ascii="Times New Roman" w:hAnsi="Times New Roman" w:cs="Times New Roman"/>
                <w:b/>
                <w:bCs/>
                <w:sz w:val="14"/>
                <w:szCs w:val="14"/>
              </w:rPr>
            </w:pPr>
            <w:r w:rsidRPr="00D94493">
              <w:rPr>
                <w:rFonts w:ascii="Times New Roman" w:hAnsi="Times New Roman" w:cs="Times New Roman"/>
                <w:b/>
                <w:sz w:val="14"/>
                <w:szCs w:val="14"/>
              </w:rPr>
              <w:t>v % HDP</w:t>
            </w:r>
          </w:p>
        </w:tc>
        <w:tc>
          <w:tcPr>
            <w:tcW w:w="340" w:type="dxa"/>
            <w:tcBorders>
              <w:top w:val="nil"/>
              <w:left w:val="nil"/>
              <w:bottom w:val="nil"/>
              <w:right w:val="nil"/>
            </w:tcBorders>
            <w:shd w:val="clear" w:color="auto" w:fill="auto"/>
            <w:noWrap/>
            <w:vAlign w:val="center"/>
          </w:tcPr>
          <w:p w14:paraId="40886A14" w14:textId="77777777" w:rsidR="00D94493" w:rsidRPr="00D94493" w:rsidRDefault="00D94493" w:rsidP="00D94493">
            <w:pPr>
              <w:widowControl w:val="0"/>
              <w:spacing w:after="0"/>
              <w:jc w:val="right"/>
              <w:rPr>
                <w:rFonts w:ascii="Times New Roman" w:hAnsi="Times New Roman" w:cs="Times New Roman"/>
                <w:b/>
                <w:sz w:val="14"/>
                <w:szCs w:val="14"/>
              </w:rPr>
            </w:pPr>
          </w:p>
        </w:tc>
        <w:tc>
          <w:tcPr>
            <w:tcW w:w="680" w:type="dxa"/>
            <w:tcBorders>
              <w:top w:val="nil"/>
              <w:left w:val="nil"/>
              <w:bottom w:val="nil"/>
              <w:right w:val="nil"/>
            </w:tcBorders>
            <w:shd w:val="clear" w:color="auto" w:fill="auto"/>
            <w:noWrap/>
            <w:vAlign w:val="center"/>
          </w:tcPr>
          <w:p w14:paraId="4C5A485F"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61,0</w:t>
            </w:r>
          </w:p>
        </w:tc>
        <w:tc>
          <w:tcPr>
            <w:tcW w:w="680" w:type="dxa"/>
            <w:tcBorders>
              <w:top w:val="nil"/>
              <w:left w:val="nil"/>
              <w:bottom w:val="nil"/>
              <w:right w:val="nil"/>
            </w:tcBorders>
            <w:shd w:val="clear" w:color="auto" w:fill="auto"/>
            <w:noWrap/>
            <w:vAlign w:val="center"/>
          </w:tcPr>
          <w:p w14:paraId="3E974CD0"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57,8</w:t>
            </w:r>
          </w:p>
        </w:tc>
        <w:tc>
          <w:tcPr>
            <w:tcW w:w="680" w:type="dxa"/>
            <w:tcBorders>
              <w:top w:val="nil"/>
              <w:left w:val="nil"/>
              <w:bottom w:val="nil"/>
              <w:right w:val="nil"/>
            </w:tcBorders>
            <w:shd w:val="clear" w:color="auto" w:fill="auto"/>
            <w:vAlign w:val="center"/>
          </w:tcPr>
          <w:p w14:paraId="4D6A9B68"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57,9</w:t>
            </w:r>
          </w:p>
        </w:tc>
        <w:tc>
          <w:tcPr>
            <w:tcW w:w="680" w:type="dxa"/>
            <w:tcBorders>
              <w:top w:val="nil"/>
              <w:left w:val="nil"/>
              <w:bottom w:val="nil"/>
              <w:right w:val="nil"/>
            </w:tcBorders>
            <w:shd w:val="clear" w:color="auto" w:fill="auto"/>
            <w:noWrap/>
            <w:vAlign w:val="center"/>
          </w:tcPr>
          <w:p w14:paraId="0DD8C870"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56,8</w:t>
            </w:r>
          </w:p>
        </w:tc>
        <w:tc>
          <w:tcPr>
            <w:tcW w:w="680" w:type="dxa"/>
            <w:tcBorders>
              <w:top w:val="nil"/>
              <w:left w:val="nil"/>
              <w:bottom w:val="nil"/>
              <w:right w:val="nil"/>
            </w:tcBorders>
            <w:shd w:val="clear" w:color="auto" w:fill="auto"/>
            <w:noWrap/>
            <w:vAlign w:val="center"/>
          </w:tcPr>
          <w:p w14:paraId="508E3A7E"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58,3</w:t>
            </w:r>
          </w:p>
        </w:tc>
        <w:tc>
          <w:tcPr>
            <w:tcW w:w="680" w:type="dxa"/>
            <w:tcBorders>
              <w:top w:val="nil"/>
              <w:left w:val="nil"/>
              <w:bottom w:val="nil"/>
              <w:right w:val="nil"/>
            </w:tcBorders>
            <w:shd w:val="clear" w:color="auto" w:fill="auto"/>
            <w:noWrap/>
            <w:vAlign w:val="center"/>
          </w:tcPr>
          <w:p w14:paraId="7B66CA63"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59,6</w:t>
            </w:r>
          </w:p>
        </w:tc>
        <w:tc>
          <w:tcPr>
            <w:tcW w:w="680" w:type="dxa"/>
            <w:tcBorders>
              <w:top w:val="nil"/>
              <w:left w:val="nil"/>
              <w:bottom w:val="nil"/>
              <w:right w:val="nil"/>
            </w:tcBorders>
            <w:shd w:val="clear" w:color="auto" w:fill="auto"/>
            <w:vAlign w:val="center"/>
          </w:tcPr>
          <w:p w14:paraId="316F3745" w14:textId="77777777" w:rsidR="00D94493" w:rsidRPr="00D94493" w:rsidRDefault="00D94493" w:rsidP="00D94493">
            <w:pPr>
              <w:widowControl w:val="0"/>
              <w:spacing w:after="0"/>
              <w:jc w:val="right"/>
              <w:rPr>
                <w:rFonts w:ascii="Times New Roman" w:hAnsi="Times New Roman" w:cs="Times New Roman"/>
                <w:b/>
                <w:bCs/>
                <w:sz w:val="14"/>
                <w:szCs w:val="14"/>
              </w:rPr>
            </w:pPr>
            <w:r w:rsidRPr="00D94493">
              <w:rPr>
                <w:rFonts w:ascii="Times New Roman" w:hAnsi="Times New Roman" w:cs="Times New Roman"/>
                <w:b/>
                <w:bCs/>
                <w:sz w:val="14"/>
                <w:szCs w:val="14"/>
              </w:rPr>
              <w:t>61,4</w:t>
            </w:r>
          </w:p>
        </w:tc>
      </w:tr>
      <w:tr w:rsidR="00D94493" w:rsidRPr="00D94493" w14:paraId="08A23D4F" w14:textId="77777777" w:rsidTr="00D94493">
        <w:trPr>
          <w:trHeight w:val="218"/>
          <w:jc w:val="center"/>
        </w:trPr>
        <w:tc>
          <w:tcPr>
            <w:tcW w:w="9136" w:type="dxa"/>
            <w:gridSpan w:val="10"/>
            <w:tcBorders>
              <w:top w:val="single" w:sz="6" w:space="0" w:color="auto"/>
              <w:left w:val="nil"/>
              <w:bottom w:val="nil"/>
              <w:right w:val="nil"/>
            </w:tcBorders>
            <w:shd w:val="clear" w:color="auto" w:fill="auto"/>
            <w:noWrap/>
            <w:vAlign w:val="center"/>
          </w:tcPr>
          <w:p w14:paraId="566A4ED1" w14:textId="77777777" w:rsidR="00D94493" w:rsidRPr="00D94493" w:rsidRDefault="00D94493" w:rsidP="00D94493">
            <w:pPr>
              <w:widowControl w:val="0"/>
              <w:spacing w:after="0"/>
              <w:jc w:val="both"/>
              <w:rPr>
                <w:rFonts w:ascii="Times New Roman" w:hAnsi="Times New Roman" w:cs="Times New Roman"/>
                <w:i/>
                <w:iCs/>
                <w:sz w:val="14"/>
                <w:szCs w:val="14"/>
              </w:rPr>
            </w:pPr>
            <w:r w:rsidRPr="00D94493">
              <w:rPr>
                <w:rFonts w:ascii="Times New Roman" w:hAnsi="Times New Roman" w:cs="Times New Roman"/>
                <w:i/>
                <w:iCs/>
                <w:sz w:val="14"/>
                <w:szCs w:val="14"/>
              </w:rPr>
              <w:t>Pozn.: * vrátane zmeny vkladov subjektov mimo sektora VS v Štátnej pokladnici.                                                                                                           Zdroj: MF SR</w:t>
            </w:r>
          </w:p>
          <w:p w14:paraId="475E93E6" w14:textId="77777777" w:rsidR="00D94493" w:rsidRPr="00D94493" w:rsidRDefault="00D94493" w:rsidP="00D94493">
            <w:pPr>
              <w:widowControl w:val="0"/>
              <w:spacing w:after="0"/>
              <w:jc w:val="both"/>
              <w:rPr>
                <w:rFonts w:ascii="Times New Roman" w:hAnsi="Times New Roman" w:cs="Times New Roman"/>
                <w:i/>
                <w:iCs/>
                <w:sz w:val="14"/>
                <w:szCs w:val="14"/>
              </w:rPr>
            </w:pPr>
            <w:r w:rsidRPr="00D94493">
              <w:rPr>
                <w:rFonts w:ascii="Times New Roman" w:hAnsi="Times New Roman" w:cs="Times New Roman"/>
                <w:i/>
                <w:iCs/>
                <w:sz w:val="14"/>
                <w:szCs w:val="14"/>
              </w:rPr>
              <w:t xml:space="preserve">Prognóza predpokladá hotovostné deficity ŠR pri splnení nominálnych cieľov deficitov VS, odlišných od tých vo fiškálnom rámci pre roky 2025 a 2026. Na ich dosiahnutie sa predpokladá prijať dodatočné opatrenia podielom 50 % v štátnom rozpočte a 50 % pri ostatných subjektoch VS. </w:t>
            </w:r>
          </w:p>
          <w:p w14:paraId="125CAE95" w14:textId="77777777" w:rsidR="00D94493" w:rsidRPr="00D94493" w:rsidRDefault="00D94493" w:rsidP="00D94493">
            <w:pPr>
              <w:widowControl w:val="0"/>
              <w:spacing w:after="0"/>
              <w:jc w:val="both"/>
              <w:rPr>
                <w:rFonts w:ascii="Times New Roman" w:hAnsi="Times New Roman" w:cs="Times New Roman"/>
                <w:i/>
                <w:sz w:val="12"/>
                <w:szCs w:val="14"/>
              </w:rPr>
            </w:pPr>
            <w:r w:rsidRPr="00D94493">
              <w:rPr>
                <w:rFonts w:ascii="Times New Roman" w:hAnsi="Times New Roman" w:cs="Times New Roman"/>
                <w:i/>
                <w:iCs/>
                <w:sz w:val="14"/>
                <w:szCs w:val="14"/>
              </w:rPr>
              <w:t xml:space="preserve">Plusové položky zvyšujú dlh verejnej správy k 31.12. príslušného roku, mínusové položky dlh znižujú.                                                                                                                                                                                                                              </w:t>
            </w:r>
          </w:p>
        </w:tc>
      </w:tr>
    </w:tbl>
    <w:p w14:paraId="460F2F6F" w14:textId="2EDD1D13" w:rsidR="00213458" w:rsidRDefault="00213458" w:rsidP="000C265D">
      <w:pPr>
        <w:spacing w:after="0" w:line="240" w:lineRule="auto"/>
        <w:jc w:val="both"/>
        <w:rPr>
          <w:rFonts w:ascii="Times New Roman" w:hAnsi="Times New Roman" w:cs="Times New Roman"/>
          <w:sz w:val="24"/>
          <w:szCs w:val="24"/>
        </w:rPr>
      </w:pPr>
    </w:p>
    <w:p w14:paraId="293DB303" w14:textId="13FBB09F" w:rsidR="000608BE" w:rsidRDefault="000608BE" w:rsidP="000C265D">
      <w:pPr>
        <w:spacing w:after="0" w:line="240" w:lineRule="auto"/>
        <w:jc w:val="both"/>
        <w:rPr>
          <w:rFonts w:ascii="Times New Roman" w:hAnsi="Times New Roman" w:cs="Times New Roman"/>
          <w:sz w:val="24"/>
          <w:szCs w:val="24"/>
        </w:rPr>
      </w:pPr>
    </w:p>
    <w:p w14:paraId="39B38A45" w14:textId="64001AF2" w:rsidR="004B0A60" w:rsidRDefault="004B0A60" w:rsidP="000C265D">
      <w:pPr>
        <w:spacing w:after="0" w:line="240" w:lineRule="auto"/>
        <w:jc w:val="both"/>
        <w:rPr>
          <w:rFonts w:ascii="Times New Roman" w:hAnsi="Times New Roman" w:cs="Times New Roman"/>
          <w:sz w:val="24"/>
          <w:szCs w:val="24"/>
        </w:rPr>
      </w:pPr>
    </w:p>
    <w:p w14:paraId="7316A51B" w14:textId="4CA951D9" w:rsidR="004B0A60" w:rsidRDefault="004B0A60" w:rsidP="000C265D">
      <w:pPr>
        <w:spacing w:after="0" w:line="240" w:lineRule="auto"/>
        <w:jc w:val="both"/>
        <w:rPr>
          <w:rFonts w:ascii="Times New Roman" w:hAnsi="Times New Roman" w:cs="Times New Roman"/>
          <w:sz w:val="24"/>
          <w:szCs w:val="24"/>
        </w:rPr>
      </w:pPr>
    </w:p>
    <w:p w14:paraId="16B5DF74" w14:textId="3906D9F8" w:rsidR="004B0A60" w:rsidRDefault="004B0A60" w:rsidP="000C265D">
      <w:pPr>
        <w:spacing w:after="0" w:line="240" w:lineRule="auto"/>
        <w:jc w:val="both"/>
        <w:rPr>
          <w:rFonts w:ascii="Times New Roman" w:hAnsi="Times New Roman" w:cs="Times New Roman"/>
          <w:sz w:val="24"/>
          <w:szCs w:val="24"/>
        </w:rPr>
      </w:pPr>
    </w:p>
    <w:p w14:paraId="56E4C719" w14:textId="468067A7" w:rsidR="004B0A60" w:rsidRDefault="004B0A60" w:rsidP="000C265D">
      <w:pPr>
        <w:spacing w:after="0" w:line="240" w:lineRule="auto"/>
        <w:jc w:val="both"/>
        <w:rPr>
          <w:rFonts w:ascii="Times New Roman" w:hAnsi="Times New Roman" w:cs="Times New Roman"/>
          <w:sz w:val="24"/>
          <w:szCs w:val="24"/>
        </w:rPr>
      </w:pPr>
    </w:p>
    <w:p w14:paraId="47154763" w14:textId="631380D4" w:rsidR="004B0A60" w:rsidRDefault="004B0A60" w:rsidP="000C265D">
      <w:pPr>
        <w:spacing w:after="0" w:line="240" w:lineRule="auto"/>
        <w:jc w:val="both"/>
        <w:rPr>
          <w:rFonts w:ascii="Times New Roman" w:hAnsi="Times New Roman" w:cs="Times New Roman"/>
          <w:sz w:val="24"/>
          <w:szCs w:val="24"/>
        </w:rPr>
      </w:pPr>
    </w:p>
    <w:p w14:paraId="7E4220E0" w14:textId="5D876248" w:rsidR="004B0A60" w:rsidRDefault="004B0A60" w:rsidP="000C265D">
      <w:pPr>
        <w:spacing w:after="0" w:line="240" w:lineRule="auto"/>
        <w:jc w:val="both"/>
        <w:rPr>
          <w:rFonts w:ascii="Times New Roman" w:hAnsi="Times New Roman" w:cs="Times New Roman"/>
          <w:sz w:val="24"/>
          <w:szCs w:val="24"/>
        </w:rPr>
      </w:pPr>
    </w:p>
    <w:p w14:paraId="2DD2597F" w14:textId="2F4D4DD0" w:rsidR="004B0A60" w:rsidRDefault="004B0A60" w:rsidP="000C265D">
      <w:pPr>
        <w:spacing w:after="0" w:line="240" w:lineRule="auto"/>
        <w:jc w:val="both"/>
        <w:rPr>
          <w:rFonts w:ascii="Times New Roman" w:hAnsi="Times New Roman" w:cs="Times New Roman"/>
          <w:sz w:val="24"/>
          <w:szCs w:val="24"/>
        </w:rPr>
      </w:pPr>
    </w:p>
    <w:p w14:paraId="43AEF602" w14:textId="0EE2F643" w:rsidR="004B0A60" w:rsidRDefault="004B0A60" w:rsidP="000C265D">
      <w:pPr>
        <w:spacing w:after="0" w:line="240" w:lineRule="auto"/>
        <w:jc w:val="both"/>
        <w:rPr>
          <w:rFonts w:ascii="Times New Roman" w:hAnsi="Times New Roman" w:cs="Times New Roman"/>
          <w:sz w:val="24"/>
          <w:szCs w:val="24"/>
        </w:rPr>
      </w:pPr>
    </w:p>
    <w:p w14:paraId="340E1DD7" w14:textId="3466C61A" w:rsidR="004B0A60" w:rsidRDefault="004B0A60" w:rsidP="000C265D">
      <w:pPr>
        <w:spacing w:after="0" w:line="240" w:lineRule="auto"/>
        <w:jc w:val="both"/>
        <w:rPr>
          <w:rFonts w:ascii="Times New Roman" w:hAnsi="Times New Roman" w:cs="Times New Roman"/>
          <w:sz w:val="24"/>
          <w:szCs w:val="24"/>
        </w:rPr>
      </w:pPr>
    </w:p>
    <w:p w14:paraId="65CAAE1B" w14:textId="52B42FA2" w:rsidR="004B0A60" w:rsidRDefault="004B0A60" w:rsidP="000C265D">
      <w:pPr>
        <w:spacing w:after="0" w:line="240" w:lineRule="auto"/>
        <w:jc w:val="both"/>
        <w:rPr>
          <w:rFonts w:ascii="Times New Roman" w:hAnsi="Times New Roman" w:cs="Times New Roman"/>
          <w:sz w:val="24"/>
          <w:szCs w:val="24"/>
        </w:rPr>
      </w:pPr>
    </w:p>
    <w:p w14:paraId="6594461F" w14:textId="4568E2A4" w:rsidR="004B0A60" w:rsidRDefault="004B0A60" w:rsidP="000C265D">
      <w:pPr>
        <w:spacing w:after="0" w:line="240" w:lineRule="auto"/>
        <w:jc w:val="both"/>
        <w:rPr>
          <w:rFonts w:ascii="Times New Roman" w:hAnsi="Times New Roman" w:cs="Times New Roman"/>
          <w:sz w:val="24"/>
          <w:szCs w:val="24"/>
        </w:rPr>
      </w:pPr>
    </w:p>
    <w:p w14:paraId="63CB7F79" w14:textId="055688A7" w:rsidR="004B0A60" w:rsidRDefault="004B0A60" w:rsidP="000C265D">
      <w:pPr>
        <w:spacing w:after="0" w:line="240" w:lineRule="auto"/>
        <w:jc w:val="both"/>
        <w:rPr>
          <w:rFonts w:ascii="Times New Roman" w:hAnsi="Times New Roman" w:cs="Times New Roman"/>
          <w:sz w:val="24"/>
          <w:szCs w:val="24"/>
        </w:rPr>
      </w:pPr>
    </w:p>
    <w:p w14:paraId="63C52870" w14:textId="7C74ED3A" w:rsidR="004B0A60" w:rsidRDefault="004B0A60" w:rsidP="000C265D">
      <w:pPr>
        <w:spacing w:after="0" w:line="240" w:lineRule="auto"/>
        <w:jc w:val="both"/>
        <w:rPr>
          <w:rFonts w:ascii="Times New Roman" w:hAnsi="Times New Roman" w:cs="Times New Roman"/>
          <w:sz w:val="24"/>
          <w:szCs w:val="24"/>
        </w:rPr>
      </w:pPr>
    </w:p>
    <w:p w14:paraId="2CBDB24C" w14:textId="77777777" w:rsidR="004B0A60" w:rsidRDefault="004B0A60" w:rsidP="000C265D">
      <w:pPr>
        <w:spacing w:after="0" w:line="240" w:lineRule="auto"/>
        <w:jc w:val="both"/>
        <w:rPr>
          <w:rFonts w:ascii="Times New Roman" w:hAnsi="Times New Roman" w:cs="Times New Roman"/>
          <w:sz w:val="24"/>
          <w:szCs w:val="24"/>
        </w:rPr>
      </w:pPr>
    </w:p>
    <w:p w14:paraId="3F0946D1" w14:textId="77777777" w:rsidR="00794342" w:rsidRDefault="000C265D" w:rsidP="00794342">
      <w:pPr>
        <w:pStyle w:val="Nadpis2"/>
        <w:spacing w:before="0" w:after="0"/>
        <w:jc w:val="both"/>
        <w:rPr>
          <w:rFonts w:ascii="Times New Roman" w:hAnsi="Times New Roman"/>
          <w:i w:val="0"/>
          <w:color w:val="5B9BD5" w:themeColor="accent1"/>
          <w:sz w:val="24"/>
        </w:rPr>
      </w:pPr>
      <w:bookmarkStart w:id="51" w:name="_Toc53040759"/>
      <w:bookmarkStart w:id="52" w:name="_Toc152946763"/>
      <w:r w:rsidRPr="00CE077C">
        <w:rPr>
          <w:rFonts w:ascii="Times New Roman" w:hAnsi="Times New Roman"/>
          <w:i w:val="0"/>
          <w:color w:val="5B9BD5" w:themeColor="accent1"/>
          <w:sz w:val="24"/>
        </w:rPr>
        <w:lastRenderedPageBreak/>
        <w:t>2.</w:t>
      </w:r>
      <w:r w:rsidR="001D520C">
        <w:rPr>
          <w:rFonts w:ascii="Times New Roman" w:hAnsi="Times New Roman"/>
          <w:i w:val="0"/>
          <w:color w:val="5B9BD5" w:themeColor="accent1"/>
          <w:sz w:val="24"/>
        </w:rPr>
        <w:t>5</w:t>
      </w:r>
      <w:r w:rsidRPr="00CE077C">
        <w:rPr>
          <w:rFonts w:ascii="Times New Roman" w:hAnsi="Times New Roman"/>
          <w:i w:val="0"/>
          <w:color w:val="5B9BD5" w:themeColor="accent1"/>
          <w:sz w:val="24"/>
        </w:rPr>
        <w:t>. Bilancia príjmov a výdavkov rozpo</w:t>
      </w:r>
      <w:r w:rsidR="00480D83">
        <w:rPr>
          <w:rFonts w:ascii="Times New Roman" w:hAnsi="Times New Roman"/>
          <w:i w:val="0"/>
          <w:color w:val="5B9BD5" w:themeColor="accent1"/>
          <w:sz w:val="24"/>
        </w:rPr>
        <w:t>čtu verejnej správy na roky 2024 až 2026</w:t>
      </w:r>
      <w:r w:rsidR="007F202B">
        <w:rPr>
          <w:rFonts w:ascii="Times New Roman" w:hAnsi="Times New Roman"/>
          <w:i w:val="0"/>
          <w:color w:val="5B9BD5" w:themeColor="accent1"/>
          <w:sz w:val="24"/>
        </w:rPr>
        <w:t xml:space="preserve"> </w:t>
      </w:r>
      <w:r w:rsidR="007F202B">
        <w:rPr>
          <w:rFonts w:ascii="Times New Roman" w:hAnsi="Times New Roman"/>
          <w:i w:val="0"/>
          <w:color w:val="5B9BD5" w:themeColor="accent1"/>
          <w:sz w:val="24"/>
        </w:rPr>
        <w:br/>
        <w:t xml:space="preserve">        </w:t>
      </w:r>
      <w:r w:rsidRPr="00CE077C">
        <w:rPr>
          <w:rFonts w:ascii="Times New Roman" w:hAnsi="Times New Roman"/>
          <w:i w:val="0"/>
          <w:color w:val="5B9BD5" w:themeColor="accent1"/>
          <w:sz w:val="24"/>
        </w:rPr>
        <w:t>v metodike ESA 2010</w:t>
      </w:r>
      <w:bookmarkEnd w:id="51"/>
      <w:bookmarkEnd w:id="52"/>
    </w:p>
    <w:p w14:paraId="61EE99C3" w14:textId="77777777" w:rsidR="00794342" w:rsidRPr="00794342" w:rsidRDefault="00794342" w:rsidP="00794342">
      <w:pPr>
        <w:spacing w:after="0"/>
        <w:rPr>
          <w:lang w:eastAsia="cs-CZ"/>
        </w:rPr>
      </w:pPr>
    </w:p>
    <w:p w14:paraId="198DC5E1" w14:textId="77777777" w:rsidR="006537D2" w:rsidRDefault="006537D2" w:rsidP="006537D2">
      <w:pPr>
        <w:spacing w:after="0" w:line="240" w:lineRule="auto"/>
        <w:jc w:val="both"/>
        <w:rPr>
          <w:rFonts w:ascii="Times New Roman" w:hAnsi="Times New Roman" w:cs="Times New Roman"/>
          <w:sz w:val="24"/>
          <w:szCs w:val="24"/>
        </w:rPr>
      </w:pPr>
      <w:r w:rsidRPr="00DB66AD">
        <w:rPr>
          <w:rFonts w:ascii="Times New Roman" w:hAnsi="Times New Roman" w:cs="Times New Roman"/>
          <w:sz w:val="24"/>
          <w:szCs w:val="24"/>
        </w:rPr>
        <w:t>Bilancia príjmov a výdavkov verejnej správy v metodike ESA 2010 poskytuje prehľad</w:t>
      </w:r>
      <w:r w:rsidRPr="008F5310">
        <w:rPr>
          <w:rFonts w:ascii="Times New Roman" w:hAnsi="Times New Roman" w:cs="Times New Roman"/>
          <w:sz w:val="24"/>
          <w:szCs w:val="24"/>
        </w:rPr>
        <w:t xml:space="preserve"> hlavných agregátnych položiek </w:t>
      </w:r>
      <w:r>
        <w:rPr>
          <w:rFonts w:ascii="Times New Roman" w:hAnsi="Times New Roman" w:cs="Times New Roman"/>
          <w:sz w:val="24"/>
          <w:szCs w:val="24"/>
        </w:rPr>
        <w:t>podľa</w:t>
      </w:r>
      <w:r w:rsidRPr="008F5310">
        <w:rPr>
          <w:rFonts w:ascii="Times New Roman" w:hAnsi="Times New Roman" w:cs="Times New Roman"/>
          <w:sz w:val="24"/>
          <w:szCs w:val="24"/>
        </w:rPr>
        <w:t> klasifikáci</w:t>
      </w:r>
      <w:r>
        <w:rPr>
          <w:rFonts w:ascii="Times New Roman" w:hAnsi="Times New Roman" w:cs="Times New Roman"/>
          <w:sz w:val="24"/>
          <w:szCs w:val="24"/>
        </w:rPr>
        <w:t>e</w:t>
      </w:r>
      <w:r w:rsidRPr="008F5310">
        <w:rPr>
          <w:rFonts w:ascii="Times New Roman" w:hAnsi="Times New Roman" w:cs="Times New Roman"/>
          <w:sz w:val="24"/>
          <w:szCs w:val="24"/>
        </w:rPr>
        <w:t xml:space="preserve"> ESA 2010</w:t>
      </w:r>
      <w:r>
        <w:rPr>
          <w:rFonts w:ascii="Times New Roman" w:hAnsi="Times New Roman" w:cs="Times New Roman"/>
          <w:sz w:val="24"/>
          <w:szCs w:val="24"/>
        </w:rPr>
        <w:t>, čím je dosiahnutá</w:t>
      </w:r>
      <w:r w:rsidRPr="008F5310">
        <w:rPr>
          <w:rFonts w:ascii="Times New Roman" w:hAnsi="Times New Roman" w:cs="Times New Roman"/>
          <w:sz w:val="24"/>
          <w:szCs w:val="24"/>
        </w:rPr>
        <w:t xml:space="preserve"> porovnateľn</w:t>
      </w:r>
      <w:r>
        <w:rPr>
          <w:rFonts w:ascii="Times New Roman" w:hAnsi="Times New Roman" w:cs="Times New Roman"/>
          <w:sz w:val="24"/>
          <w:szCs w:val="24"/>
        </w:rPr>
        <w:t xml:space="preserve">osť údajov rozpočtu verejnej správy </w:t>
      </w:r>
      <w:r w:rsidRPr="008F5310">
        <w:rPr>
          <w:rFonts w:ascii="Times New Roman" w:hAnsi="Times New Roman" w:cs="Times New Roman"/>
          <w:sz w:val="24"/>
          <w:szCs w:val="24"/>
        </w:rPr>
        <w:t>s </w:t>
      </w:r>
      <w:proofErr w:type="spellStart"/>
      <w:r w:rsidRPr="008F5310">
        <w:rPr>
          <w:rFonts w:ascii="Times New Roman" w:hAnsi="Times New Roman" w:cs="Times New Roman"/>
          <w:sz w:val="24"/>
          <w:szCs w:val="24"/>
        </w:rPr>
        <w:t>Eurostatom</w:t>
      </w:r>
      <w:proofErr w:type="spellEnd"/>
      <w:r w:rsidRPr="008F5310">
        <w:rPr>
          <w:rFonts w:ascii="Times New Roman" w:hAnsi="Times New Roman" w:cs="Times New Roman"/>
          <w:sz w:val="24"/>
          <w:szCs w:val="24"/>
        </w:rPr>
        <w:t xml:space="preserve"> notifikovanou dosiahnutou skutočnosťou </w:t>
      </w:r>
      <w:r>
        <w:rPr>
          <w:rFonts w:ascii="Times New Roman" w:hAnsi="Times New Roman" w:cs="Times New Roman"/>
          <w:sz w:val="24"/>
          <w:szCs w:val="24"/>
        </w:rPr>
        <w:t>za príslušný rok</w:t>
      </w:r>
      <w:r w:rsidRPr="008F5310">
        <w:rPr>
          <w:rFonts w:ascii="Times New Roman" w:hAnsi="Times New Roman" w:cs="Times New Roman"/>
          <w:sz w:val="24"/>
          <w:szCs w:val="24"/>
        </w:rPr>
        <w:t xml:space="preserve">. </w:t>
      </w:r>
    </w:p>
    <w:p w14:paraId="6EECFBC3" w14:textId="77777777" w:rsidR="006537D2" w:rsidRDefault="006537D2" w:rsidP="006537D2">
      <w:pPr>
        <w:spacing w:after="0" w:line="240" w:lineRule="auto"/>
        <w:jc w:val="both"/>
        <w:rPr>
          <w:rFonts w:ascii="Times New Roman" w:hAnsi="Times New Roman" w:cs="Times New Roman"/>
          <w:sz w:val="24"/>
          <w:szCs w:val="24"/>
        </w:rPr>
      </w:pPr>
    </w:p>
    <w:p w14:paraId="14835C6E" w14:textId="19305ADC" w:rsidR="006537D2" w:rsidRPr="000C41B0" w:rsidRDefault="006537D2" w:rsidP="006537D2">
      <w:pPr>
        <w:spacing w:after="0"/>
        <w:rPr>
          <w:rFonts w:ascii="Times New Roman" w:hAnsi="Times New Roman" w:cs="Times New Roman"/>
          <w:b/>
          <w:color w:val="5B9BD5" w:themeColor="accent1"/>
          <w:sz w:val="20"/>
          <w:szCs w:val="20"/>
        </w:rPr>
      </w:pPr>
      <w:bookmarkStart w:id="53" w:name="_Toc53040820"/>
      <w:bookmarkStart w:id="54" w:name="_Toc53086344"/>
      <w:bookmarkStart w:id="55" w:name="_Toc84845239"/>
      <w:bookmarkStart w:id="56" w:name="_Toc123813882"/>
      <w:bookmarkStart w:id="57" w:name="_Toc153013012"/>
      <w:r w:rsidRPr="000C41B0">
        <w:rPr>
          <w:rFonts w:ascii="Times New Roman" w:hAnsi="Times New Roman" w:cs="Times New Roman"/>
          <w:b/>
          <w:color w:val="5B9BD5" w:themeColor="accent1"/>
          <w:sz w:val="20"/>
          <w:szCs w:val="20"/>
        </w:rPr>
        <w:t xml:space="preserve">Tabuľka </w:t>
      </w:r>
      <w:r w:rsidRPr="000C41B0">
        <w:rPr>
          <w:rFonts w:ascii="Times New Roman" w:hAnsi="Times New Roman" w:cs="Times New Roman"/>
          <w:b/>
          <w:color w:val="5B9BD5" w:themeColor="accent1"/>
          <w:sz w:val="20"/>
          <w:szCs w:val="20"/>
        </w:rPr>
        <w:fldChar w:fldCharType="begin"/>
      </w:r>
      <w:r w:rsidRPr="000C41B0">
        <w:rPr>
          <w:rFonts w:ascii="Times New Roman" w:hAnsi="Times New Roman" w:cs="Times New Roman"/>
          <w:b/>
          <w:color w:val="5B9BD5" w:themeColor="accent1"/>
          <w:sz w:val="20"/>
          <w:szCs w:val="20"/>
        </w:rPr>
        <w:instrText xml:space="preserve"> SEQ Tabuľka \* ARABIC </w:instrText>
      </w:r>
      <w:r w:rsidRPr="000C41B0">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14</w:t>
      </w:r>
      <w:r w:rsidRPr="000C41B0">
        <w:rPr>
          <w:rFonts w:ascii="Times New Roman" w:hAnsi="Times New Roman" w:cs="Times New Roman"/>
          <w:b/>
          <w:color w:val="5B9BD5" w:themeColor="accent1"/>
          <w:sz w:val="20"/>
          <w:szCs w:val="20"/>
        </w:rPr>
        <w:fldChar w:fldCharType="end"/>
      </w:r>
      <w:r w:rsidRPr="000C41B0">
        <w:rPr>
          <w:rFonts w:ascii="Times New Roman" w:hAnsi="Times New Roman" w:cs="Times New Roman"/>
          <w:b/>
          <w:color w:val="5B9BD5" w:themeColor="accent1"/>
          <w:sz w:val="20"/>
          <w:szCs w:val="20"/>
        </w:rPr>
        <w:t xml:space="preserve"> </w:t>
      </w:r>
      <w:r>
        <w:rPr>
          <w:rFonts w:ascii="Times New Roman" w:hAnsi="Times New Roman" w:cs="Times New Roman"/>
          <w:b/>
          <w:color w:val="5B9BD5" w:themeColor="accent1"/>
          <w:sz w:val="20"/>
          <w:szCs w:val="20"/>
        </w:rPr>
        <w:t>-</w:t>
      </w:r>
      <w:r w:rsidRPr="000C41B0">
        <w:rPr>
          <w:rFonts w:ascii="Times New Roman" w:hAnsi="Times New Roman" w:cs="Times New Roman"/>
          <w:b/>
          <w:color w:val="5B9BD5" w:themeColor="accent1"/>
          <w:sz w:val="20"/>
          <w:szCs w:val="20"/>
        </w:rPr>
        <w:t xml:space="preserve"> Bilancia rozpo</w:t>
      </w:r>
      <w:r>
        <w:rPr>
          <w:rFonts w:ascii="Times New Roman" w:hAnsi="Times New Roman" w:cs="Times New Roman"/>
          <w:b/>
          <w:color w:val="5B9BD5" w:themeColor="accent1"/>
          <w:sz w:val="20"/>
          <w:szCs w:val="20"/>
        </w:rPr>
        <w:t>čtu verejnej správy na roky 2024 až 2026</w:t>
      </w:r>
      <w:r w:rsidRPr="000C41B0">
        <w:rPr>
          <w:rFonts w:ascii="Times New Roman" w:hAnsi="Times New Roman" w:cs="Times New Roman"/>
          <w:b/>
          <w:color w:val="5B9BD5" w:themeColor="accent1"/>
          <w:sz w:val="20"/>
          <w:szCs w:val="20"/>
        </w:rPr>
        <w:t xml:space="preserve"> v metodike ESA 2010</w:t>
      </w:r>
      <w:bookmarkEnd w:id="53"/>
      <w:bookmarkEnd w:id="54"/>
      <w:bookmarkEnd w:id="55"/>
      <w:bookmarkEnd w:id="56"/>
      <w:bookmarkEnd w:id="57"/>
    </w:p>
    <w:tbl>
      <w:tblPr>
        <w:tblW w:w="4996" w:type="pct"/>
        <w:tblLayout w:type="fixed"/>
        <w:tblCellMar>
          <w:left w:w="70" w:type="dxa"/>
          <w:right w:w="70" w:type="dxa"/>
        </w:tblCellMar>
        <w:tblLook w:val="04A0" w:firstRow="1" w:lastRow="0" w:firstColumn="1" w:lastColumn="0" w:noHBand="0" w:noVBand="1"/>
      </w:tblPr>
      <w:tblGrid>
        <w:gridCol w:w="3099"/>
        <w:gridCol w:w="1043"/>
        <w:gridCol w:w="704"/>
        <w:gridCol w:w="704"/>
        <w:gridCol w:w="703"/>
        <w:gridCol w:w="703"/>
        <w:gridCol w:w="703"/>
        <w:gridCol w:w="703"/>
        <w:gridCol w:w="703"/>
      </w:tblGrid>
      <w:tr w:rsidR="006537D2" w:rsidRPr="00267504" w14:paraId="69BC8478" w14:textId="77777777" w:rsidTr="00B63F1A">
        <w:trPr>
          <w:trHeight w:val="292"/>
        </w:trPr>
        <w:tc>
          <w:tcPr>
            <w:tcW w:w="1709" w:type="pct"/>
            <w:tcBorders>
              <w:top w:val="single" w:sz="4" w:space="0" w:color="auto"/>
              <w:left w:val="nil"/>
              <w:bottom w:val="single" w:sz="4" w:space="0" w:color="auto"/>
              <w:right w:val="nil"/>
            </w:tcBorders>
            <w:shd w:val="clear" w:color="auto" w:fill="auto"/>
            <w:vAlign w:val="center"/>
            <w:hideMark/>
          </w:tcPr>
          <w:p w14:paraId="0E7DB3B7" w14:textId="77777777" w:rsidR="006537D2" w:rsidRPr="00267504" w:rsidRDefault="006537D2" w:rsidP="00B63F1A">
            <w:pPr>
              <w:spacing w:after="0" w:line="240" w:lineRule="auto"/>
              <w:jc w:val="center"/>
              <w:rPr>
                <w:rFonts w:ascii="Times New Roman" w:eastAsia="Times New Roman" w:hAnsi="Times New Roman" w:cs="Times New Roman"/>
                <w:b/>
                <w:bCs/>
                <w:sz w:val="14"/>
                <w:szCs w:val="14"/>
                <w:lang w:eastAsia="sk-SK"/>
              </w:rPr>
            </w:pPr>
            <w:r w:rsidRPr="00267504">
              <w:rPr>
                <w:rFonts w:ascii="Times New Roman" w:eastAsia="Times New Roman" w:hAnsi="Times New Roman" w:cs="Times New Roman"/>
                <w:b/>
                <w:bCs/>
                <w:sz w:val="14"/>
                <w:szCs w:val="14"/>
                <w:lang w:eastAsia="sk-SK"/>
              </w:rPr>
              <w:t>(v mil. eur)</w:t>
            </w:r>
          </w:p>
        </w:tc>
        <w:tc>
          <w:tcPr>
            <w:tcW w:w="575" w:type="pct"/>
            <w:tcBorders>
              <w:top w:val="single" w:sz="4" w:space="0" w:color="auto"/>
              <w:left w:val="nil"/>
              <w:bottom w:val="single" w:sz="4" w:space="0" w:color="auto"/>
              <w:right w:val="nil"/>
            </w:tcBorders>
            <w:shd w:val="clear" w:color="auto" w:fill="auto"/>
            <w:noWrap/>
            <w:vAlign w:val="center"/>
            <w:hideMark/>
          </w:tcPr>
          <w:p w14:paraId="07643F76" w14:textId="77777777" w:rsidR="006537D2" w:rsidRPr="00267504" w:rsidRDefault="006537D2" w:rsidP="00B63F1A">
            <w:pPr>
              <w:spacing w:after="0" w:line="240" w:lineRule="auto"/>
              <w:jc w:val="center"/>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ESA kód</w:t>
            </w:r>
          </w:p>
        </w:tc>
        <w:tc>
          <w:tcPr>
            <w:tcW w:w="388" w:type="pct"/>
            <w:tcBorders>
              <w:top w:val="single" w:sz="4" w:space="0" w:color="auto"/>
              <w:left w:val="nil"/>
              <w:bottom w:val="single" w:sz="4" w:space="0" w:color="auto"/>
              <w:right w:val="nil"/>
            </w:tcBorders>
            <w:shd w:val="clear" w:color="auto" w:fill="auto"/>
            <w:noWrap/>
            <w:vAlign w:val="center"/>
            <w:hideMark/>
          </w:tcPr>
          <w:p w14:paraId="2BE34C63" w14:textId="77777777" w:rsidR="006537D2" w:rsidRPr="00267504" w:rsidRDefault="006537D2" w:rsidP="00B63F1A">
            <w:pPr>
              <w:spacing w:after="0" w:line="240" w:lineRule="auto"/>
              <w:jc w:val="right"/>
              <w:rPr>
                <w:rFonts w:ascii="Times New Roman" w:eastAsia="Times New Roman" w:hAnsi="Times New Roman" w:cs="Times New Roman"/>
                <w:b/>
                <w:bCs/>
                <w:sz w:val="14"/>
                <w:szCs w:val="14"/>
                <w:lang w:eastAsia="sk-SK"/>
              </w:rPr>
            </w:pPr>
            <w:r w:rsidRPr="00267504">
              <w:rPr>
                <w:rFonts w:ascii="Times New Roman" w:eastAsia="Times New Roman" w:hAnsi="Times New Roman" w:cs="Times New Roman"/>
                <w:b/>
                <w:bCs/>
                <w:sz w:val="14"/>
                <w:szCs w:val="14"/>
                <w:lang w:eastAsia="sk-SK"/>
              </w:rPr>
              <w:t>2021 S</w:t>
            </w:r>
          </w:p>
        </w:tc>
        <w:tc>
          <w:tcPr>
            <w:tcW w:w="388" w:type="pct"/>
            <w:tcBorders>
              <w:top w:val="single" w:sz="4" w:space="0" w:color="auto"/>
              <w:left w:val="nil"/>
              <w:bottom w:val="single" w:sz="4" w:space="0" w:color="auto"/>
              <w:right w:val="nil"/>
            </w:tcBorders>
            <w:shd w:val="clear" w:color="auto" w:fill="auto"/>
            <w:noWrap/>
            <w:vAlign w:val="center"/>
            <w:hideMark/>
          </w:tcPr>
          <w:p w14:paraId="49F6467C" w14:textId="77777777" w:rsidR="006537D2" w:rsidRPr="00267504" w:rsidRDefault="006537D2" w:rsidP="00B63F1A">
            <w:pPr>
              <w:spacing w:after="0" w:line="240" w:lineRule="auto"/>
              <w:jc w:val="right"/>
              <w:rPr>
                <w:rFonts w:ascii="Times New Roman" w:eastAsia="Times New Roman" w:hAnsi="Times New Roman" w:cs="Times New Roman"/>
                <w:b/>
                <w:bCs/>
                <w:sz w:val="14"/>
                <w:szCs w:val="14"/>
                <w:lang w:eastAsia="sk-SK"/>
              </w:rPr>
            </w:pPr>
            <w:r w:rsidRPr="00267504">
              <w:rPr>
                <w:rFonts w:ascii="Times New Roman" w:eastAsia="Times New Roman" w:hAnsi="Times New Roman" w:cs="Times New Roman"/>
                <w:b/>
                <w:bCs/>
                <w:sz w:val="14"/>
                <w:szCs w:val="14"/>
                <w:lang w:eastAsia="sk-SK"/>
              </w:rPr>
              <w:t>2022 S</w:t>
            </w:r>
          </w:p>
        </w:tc>
        <w:tc>
          <w:tcPr>
            <w:tcW w:w="388" w:type="pct"/>
            <w:tcBorders>
              <w:top w:val="single" w:sz="4" w:space="0" w:color="auto"/>
              <w:left w:val="nil"/>
              <w:bottom w:val="single" w:sz="4" w:space="0" w:color="auto"/>
              <w:right w:val="nil"/>
            </w:tcBorders>
            <w:shd w:val="clear" w:color="auto" w:fill="auto"/>
            <w:vAlign w:val="center"/>
            <w:hideMark/>
          </w:tcPr>
          <w:p w14:paraId="07FAD8B2" w14:textId="77777777" w:rsidR="006537D2" w:rsidRPr="00267504" w:rsidRDefault="006537D2" w:rsidP="00B63F1A">
            <w:pPr>
              <w:spacing w:after="0" w:line="240" w:lineRule="auto"/>
              <w:jc w:val="right"/>
              <w:rPr>
                <w:rFonts w:ascii="Times New Roman" w:eastAsia="Times New Roman" w:hAnsi="Times New Roman" w:cs="Times New Roman"/>
                <w:b/>
                <w:bCs/>
                <w:sz w:val="14"/>
                <w:szCs w:val="14"/>
                <w:lang w:eastAsia="sk-SK"/>
              </w:rPr>
            </w:pPr>
            <w:r w:rsidRPr="00267504">
              <w:rPr>
                <w:rFonts w:ascii="Times New Roman" w:eastAsia="Times New Roman" w:hAnsi="Times New Roman" w:cs="Times New Roman"/>
                <w:b/>
                <w:bCs/>
                <w:sz w:val="14"/>
                <w:szCs w:val="14"/>
                <w:lang w:eastAsia="sk-SK"/>
              </w:rPr>
              <w:t>2023 R</w:t>
            </w:r>
          </w:p>
        </w:tc>
        <w:tc>
          <w:tcPr>
            <w:tcW w:w="388" w:type="pct"/>
            <w:tcBorders>
              <w:top w:val="single" w:sz="4" w:space="0" w:color="auto"/>
              <w:left w:val="nil"/>
              <w:bottom w:val="single" w:sz="4" w:space="0" w:color="auto"/>
              <w:right w:val="nil"/>
            </w:tcBorders>
            <w:shd w:val="clear" w:color="auto" w:fill="auto"/>
            <w:noWrap/>
            <w:vAlign w:val="center"/>
            <w:hideMark/>
          </w:tcPr>
          <w:p w14:paraId="3D57C961" w14:textId="77777777" w:rsidR="006537D2" w:rsidRPr="00267504" w:rsidRDefault="006537D2" w:rsidP="00B63F1A">
            <w:pPr>
              <w:spacing w:after="0" w:line="240" w:lineRule="auto"/>
              <w:jc w:val="right"/>
              <w:rPr>
                <w:rFonts w:ascii="Times New Roman" w:eastAsia="Times New Roman" w:hAnsi="Times New Roman" w:cs="Times New Roman"/>
                <w:b/>
                <w:bCs/>
                <w:sz w:val="14"/>
                <w:szCs w:val="14"/>
                <w:lang w:eastAsia="sk-SK"/>
              </w:rPr>
            </w:pPr>
            <w:r w:rsidRPr="00267504">
              <w:rPr>
                <w:rFonts w:ascii="Times New Roman" w:eastAsia="Times New Roman" w:hAnsi="Times New Roman" w:cs="Times New Roman"/>
                <w:b/>
                <w:bCs/>
                <w:sz w:val="14"/>
                <w:szCs w:val="14"/>
                <w:lang w:eastAsia="sk-SK"/>
              </w:rPr>
              <w:t>2023 OS</w:t>
            </w:r>
          </w:p>
        </w:tc>
        <w:tc>
          <w:tcPr>
            <w:tcW w:w="388" w:type="pct"/>
            <w:tcBorders>
              <w:top w:val="single" w:sz="4" w:space="0" w:color="auto"/>
              <w:left w:val="nil"/>
              <w:bottom w:val="single" w:sz="4" w:space="0" w:color="auto"/>
              <w:right w:val="nil"/>
            </w:tcBorders>
            <w:shd w:val="clear" w:color="auto" w:fill="auto"/>
            <w:noWrap/>
            <w:vAlign w:val="center"/>
            <w:hideMark/>
          </w:tcPr>
          <w:p w14:paraId="6BD5683A" w14:textId="77777777" w:rsidR="006537D2" w:rsidRPr="00267504" w:rsidRDefault="006537D2" w:rsidP="00B63F1A">
            <w:pPr>
              <w:spacing w:after="0" w:line="240" w:lineRule="auto"/>
              <w:jc w:val="right"/>
              <w:rPr>
                <w:rFonts w:ascii="Times New Roman" w:eastAsia="Times New Roman" w:hAnsi="Times New Roman" w:cs="Times New Roman"/>
                <w:b/>
                <w:bCs/>
                <w:sz w:val="14"/>
                <w:szCs w:val="14"/>
                <w:lang w:eastAsia="sk-SK"/>
              </w:rPr>
            </w:pPr>
            <w:r w:rsidRPr="00267504">
              <w:rPr>
                <w:rFonts w:ascii="Times New Roman" w:eastAsia="Times New Roman" w:hAnsi="Times New Roman" w:cs="Times New Roman"/>
                <w:b/>
                <w:bCs/>
                <w:sz w:val="14"/>
                <w:szCs w:val="14"/>
                <w:lang w:eastAsia="sk-SK"/>
              </w:rPr>
              <w:t>2024 N</w:t>
            </w:r>
          </w:p>
        </w:tc>
        <w:tc>
          <w:tcPr>
            <w:tcW w:w="388" w:type="pct"/>
            <w:tcBorders>
              <w:top w:val="single" w:sz="4" w:space="0" w:color="auto"/>
              <w:left w:val="nil"/>
              <w:bottom w:val="single" w:sz="4" w:space="0" w:color="auto"/>
              <w:right w:val="nil"/>
            </w:tcBorders>
            <w:shd w:val="clear" w:color="auto" w:fill="auto"/>
            <w:noWrap/>
            <w:vAlign w:val="center"/>
            <w:hideMark/>
          </w:tcPr>
          <w:p w14:paraId="750C58AD" w14:textId="77777777" w:rsidR="006537D2" w:rsidRPr="00267504" w:rsidRDefault="006537D2" w:rsidP="00B63F1A">
            <w:pPr>
              <w:spacing w:after="0" w:line="240" w:lineRule="auto"/>
              <w:jc w:val="right"/>
              <w:rPr>
                <w:rFonts w:ascii="Times New Roman" w:eastAsia="Times New Roman" w:hAnsi="Times New Roman" w:cs="Times New Roman"/>
                <w:b/>
                <w:bCs/>
                <w:sz w:val="14"/>
                <w:szCs w:val="14"/>
                <w:lang w:eastAsia="sk-SK"/>
              </w:rPr>
            </w:pPr>
            <w:r w:rsidRPr="00267504">
              <w:rPr>
                <w:rFonts w:ascii="Times New Roman" w:eastAsia="Times New Roman" w:hAnsi="Times New Roman" w:cs="Times New Roman"/>
                <w:b/>
                <w:bCs/>
                <w:sz w:val="14"/>
                <w:szCs w:val="14"/>
                <w:lang w:eastAsia="sk-SK"/>
              </w:rPr>
              <w:t>2025 N</w:t>
            </w:r>
          </w:p>
        </w:tc>
        <w:tc>
          <w:tcPr>
            <w:tcW w:w="388" w:type="pct"/>
            <w:tcBorders>
              <w:top w:val="single" w:sz="4" w:space="0" w:color="auto"/>
              <w:left w:val="nil"/>
              <w:bottom w:val="single" w:sz="4" w:space="0" w:color="auto"/>
              <w:right w:val="nil"/>
            </w:tcBorders>
            <w:shd w:val="clear" w:color="auto" w:fill="auto"/>
            <w:noWrap/>
            <w:vAlign w:val="center"/>
            <w:hideMark/>
          </w:tcPr>
          <w:p w14:paraId="75B2DC5B" w14:textId="77777777" w:rsidR="006537D2" w:rsidRPr="00267504" w:rsidRDefault="006537D2" w:rsidP="00B63F1A">
            <w:pPr>
              <w:spacing w:after="0" w:line="240" w:lineRule="auto"/>
              <w:jc w:val="right"/>
              <w:rPr>
                <w:rFonts w:ascii="Times New Roman" w:eastAsia="Times New Roman" w:hAnsi="Times New Roman" w:cs="Times New Roman"/>
                <w:b/>
                <w:bCs/>
                <w:sz w:val="14"/>
                <w:szCs w:val="14"/>
                <w:lang w:eastAsia="sk-SK"/>
              </w:rPr>
            </w:pPr>
            <w:r w:rsidRPr="00267504">
              <w:rPr>
                <w:rFonts w:ascii="Times New Roman" w:eastAsia="Times New Roman" w:hAnsi="Times New Roman" w:cs="Times New Roman"/>
                <w:b/>
                <w:bCs/>
                <w:sz w:val="14"/>
                <w:szCs w:val="14"/>
                <w:lang w:eastAsia="sk-SK"/>
              </w:rPr>
              <w:t>2026 N</w:t>
            </w:r>
          </w:p>
        </w:tc>
      </w:tr>
      <w:tr w:rsidR="006537D2" w:rsidRPr="00267504" w14:paraId="0877160D" w14:textId="77777777" w:rsidTr="00B63F1A">
        <w:trPr>
          <w:trHeight w:val="292"/>
        </w:trPr>
        <w:tc>
          <w:tcPr>
            <w:tcW w:w="1709" w:type="pct"/>
            <w:tcBorders>
              <w:top w:val="nil"/>
              <w:left w:val="nil"/>
              <w:bottom w:val="nil"/>
              <w:right w:val="nil"/>
            </w:tcBorders>
            <w:shd w:val="clear" w:color="auto" w:fill="auto"/>
            <w:noWrap/>
            <w:vAlign w:val="center"/>
            <w:hideMark/>
          </w:tcPr>
          <w:p w14:paraId="0032E1B7" w14:textId="77777777" w:rsidR="006537D2" w:rsidRPr="00267504" w:rsidRDefault="006537D2" w:rsidP="00B63F1A">
            <w:pPr>
              <w:spacing w:after="0" w:line="240" w:lineRule="auto"/>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Príjmy spolu</w:t>
            </w:r>
          </w:p>
        </w:tc>
        <w:tc>
          <w:tcPr>
            <w:tcW w:w="575" w:type="pct"/>
            <w:tcBorders>
              <w:top w:val="nil"/>
              <w:left w:val="nil"/>
              <w:bottom w:val="nil"/>
              <w:right w:val="nil"/>
            </w:tcBorders>
            <w:shd w:val="clear" w:color="auto" w:fill="auto"/>
            <w:noWrap/>
            <w:vAlign w:val="center"/>
            <w:hideMark/>
          </w:tcPr>
          <w:p w14:paraId="3B09CF18" w14:textId="77777777" w:rsidR="006537D2" w:rsidRPr="00267504" w:rsidRDefault="006537D2" w:rsidP="00B63F1A">
            <w:pPr>
              <w:spacing w:after="0" w:line="240" w:lineRule="auto"/>
              <w:jc w:val="center"/>
              <w:rPr>
                <w:rFonts w:ascii="Times New Roman" w:eastAsia="Times New Roman" w:hAnsi="Times New Roman" w:cs="Times New Roman"/>
                <w:b/>
                <w:bCs/>
                <w:color w:val="000000"/>
                <w:sz w:val="12"/>
                <w:szCs w:val="12"/>
                <w:lang w:eastAsia="sk-SK"/>
              </w:rPr>
            </w:pPr>
            <w:r w:rsidRPr="00267504">
              <w:rPr>
                <w:rFonts w:ascii="Times New Roman" w:eastAsia="Times New Roman" w:hAnsi="Times New Roman" w:cs="Times New Roman"/>
                <w:b/>
                <w:bCs/>
                <w:color w:val="000000"/>
                <w:sz w:val="12"/>
                <w:szCs w:val="12"/>
                <w:lang w:eastAsia="sk-SK"/>
              </w:rPr>
              <w:t>TR</w:t>
            </w:r>
          </w:p>
        </w:tc>
        <w:tc>
          <w:tcPr>
            <w:tcW w:w="388" w:type="pct"/>
            <w:tcBorders>
              <w:top w:val="nil"/>
              <w:left w:val="nil"/>
              <w:bottom w:val="nil"/>
              <w:right w:val="nil"/>
            </w:tcBorders>
            <w:shd w:val="clear" w:color="auto" w:fill="auto"/>
            <w:noWrap/>
            <w:vAlign w:val="center"/>
            <w:hideMark/>
          </w:tcPr>
          <w:p w14:paraId="025AAC9B"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40 265,3</w:t>
            </w:r>
          </w:p>
        </w:tc>
        <w:tc>
          <w:tcPr>
            <w:tcW w:w="388" w:type="pct"/>
            <w:tcBorders>
              <w:top w:val="nil"/>
              <w:left w:val="nil"/>
              <w:bottom w:val="nil"/>
              <w:right w:val="nil"/>
            </w:tcBorders>
            <w:shd w:val="clear" w:color="auto" w:fill="auto"/>
            <w:noWrap/>
            <w:vAlign w:val="center"/>
            <w:hideMark/>
          </w:tcPr>
          <w:p w14:paraId="6B9C72D9"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44 119,1</w:t>
            </w:r>
          </w:p>
        </w:tc>
        <w:tc>
          <w:tcPr>
            <w:tcW w:w="388" w:type="pct"/>
            <w:tcBorders>
              <w:top w:val="nil"/>
              <w:left w:val="nil"/>
              <w:bottom w:val="nil"/>
              <w:right w:val="nil"/>
            </w:tcBorders>
            <w:shd w:val="clear" w:color="auto" w:fill="auto"/>
            <w:noWrap/>
            <w:vAlign w:val="center"/>
            <w:hideMark/>
          </w:tcPr>
          <w:p w14:paraId="6BEEE60B"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51 094,5</w:t>
            </w:r>
          </w:p>
        </w:tc>
        <w:tc>
          <w:tcPr>
            <w:tcW w:w="388" w:type="pct"/>
            <w:tcBorders>
              <w:top w:val="nil"/>
              <w:left w:val="nil"/>
              <w:bottom w:val="nil"/>
              <w:right w:val="nil"/>
            </w:tcBorders>
            <w:shd w:val="clear" w:color="auto" w:fill="auto"/>
            <w:noWrap/>
            <w:vAlign w:val="center"/>
            <w:hideMark/>
          </w:tcPr>
          <w:p w14:paraId="46FC2477"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50 581,0</w:t>
            </w:r>
          </w:p>
        </w:tc>
        <w:tc>
          <w:tcPr>
            <w:tcW w:w="388" w:type="pct"/>
            <w:tcBorders>
              <w:top w:val="nil"/>
              <w:left w:val="nil"/>
              <w:bottom w:val="nil"/>
              <w:right w:val="nil"/>
            </w:tcBorders>
            <w:shd w:val="clear" w:color="auto" w:fill="auto"/>
            <w:noWrap/>
            <w:vAlign w:val="center"/>
            <w:hideMark/>
          </w:tcPr>
          <w:p w14:paraId="520FB56F"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53 480,5</w:t>
            </w:r>
          </w:p>
        </w:tc>
        <w:tc>
          <w:tcPr>
            <w:tcW w:w="388" w:type="pct"/>
            <w:tcBorders>
              <w:top w:val="nil"/>
              <w:left w:val="nil"/>
              <w:bottom w:val="nil"/>
              <w:right w:val="nil"/>
            </w:tcBorders>
            <w:shd w:val="clear" w:color="auto" w:fill="auto"/>
            <w:noWrap/>
            <w:vAlign w:val="center"/>
            <w:hideMark/>
          </w:tcPr>
          <w:p w14:paraId="3FB032C0"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55 811,1</w:t>
            </w:r>
          </w:p>
        </w:tc>
        <w:tc>
          <w:tcPr>
            <w:tcW w:w="388" w:type="pct"/>
            <w:tcBorders>
              <w:top w:val="nil"/>
              <w:left w:val="nil"/>
              <w:bottom w:val="nil"/>
              <w:right w:val="nil"/>
            </w:tcBorders>
            <w:shd w:val="clear" w:color="auto" w:fill="auto"/>
            <w:noWrap/>
            <w:vAlign w:val="center"/>
            <w:hideMark/>
          </w:tcPr>
          <w:p w14:paraId="6597B7E7"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57 660,5</w:t>
            </w:r>
          </w:p>
        </w:tc>
      </w:tr>
      <w:tr w:rsidR="006537D2" w:rsidRPr="00267504" w14:paraId="1F606A86" w14:textId="77777777" w:rsidTr="00B63F1A">
        <w:trPr>
          <w:trHeight w:val="292"/>
        </w:trPr>
        <w:tc>
          <w:tcPr>
            <w:tcW w:w="1709" w:type="pct"/>
            <w:tcBorders>
              <w:top w:val="nil"/>
              <w:left w:val="nil"/>
              <w:bottom w:val="single" w:sz="4" w:space="0" w:color="auto"/>
              <w:right w:val="nil"/>
            </w:tcBorders>
            <w:shd w:val="clear" w:color="auto" w:fill="auto"/>
            <w:noWrap/>
            <w:vAlign w:val="center"/>
            <w:hideMark/>
          </w:tcPr>
          <w:p w14:paraId="5B95B13C" w14:textId="77777777" w:rsidR="006537D2" w:rsidRPr="00267504" w:rsidRDefault="006537D2" w:rsidP="00B63F1A">
            <w:pPr>
              <w:spacing w:after="0" w:line="240" w:lineRule="auto"/>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v % HDP</w:t>
            </w:r>
          </w:p>
        </w:tc>
        <w:tc>
          <w:tcPr>
            <w:tcW w:w="575" w:type="pct"/>
            <w:tcBorders>
              <w:top w:val="nil"/>
              <w:left w:val="nil"/>
              <w:bottom w:val="single" w:sz="4" w:space="0" w:color="auto"/>
              <w:right w:val="nil"/>
            </w:tcBorders>
            <w:shd w:val="clear" w:color="auto" w:fill="auto"/>
            <w:noWrap/>
            <w:vAlign w:val="center"/>
            <w:hideMark/>
          </w:tcPr>
          <w:p w14:paraId="18BD33B3" w14:textId="77777777" w:rsidR="006537D2" w:rsidRPr="00267504" w:rsidRDefault="006537D2" w:rsidP="00B63F1A">
            <w:pPr>
              <w:spacing w:after="0" w:line="240" w:lineRule="auto"/>
              <w:jc w:val="center"/>
              <w:rPr>
                <w:rFonts w:ascii="Times New Roman" w:eastAsia="Times New Roman" w:hAnsi="Times New Roman" w:cs="Times New Roman"/>
                <w:color w:val="000000"/>
                <w:sz w:val="12"/>
                <w:szCs w:val="12"/>
                <w:lang w:eastAsia="sk-SK"/>
              </w:rPr>
            </w:pPr>
            <w:r w:rsidRPr="00267504">
              <w:rPr>
                <w:rFonts w:ascii="Times New Roman" w:eastAsia="Times New Roman" w:hAnsi="Times New Roman" w:cs="Times New Roman"/>
                <w:color w:val="000000"/>
                <w:sz w:val="12"/>
                <w:szCs w:val="12"/>
                <w:lang w:eastAsia="sk-SK"/>
              </w:rPr>
              <w:t> </w:t>
            </w:r>
          </w:p>
        </w:tc>
        <w:tc>
          <w:tcPr>
            <w:tcW w:w="388" w:type="pct"/>
            <w:tcBorders>
              <w:top w:val="nil"/>
              <w:left w:val="nil"/>
              <w:bottom w:val="single" w:sz="4" w:space="0" w:color="auto"/>
              <w:right w:val="nil"/>
            </w:tcBorders>
            <w:shd w:val="clear" w:color="auto" w:fill="auto"/>
            <w:noWrap/>
            <w:vAlign w:val="center"/>
            <w:hideMark/>
          </w:tcPr>
          <w:p w14:paraId="2D7518E5" w14:textId="77777777" w:rsidR="006537D2" w:rsidRPr="00267504" w:rsidRDefault="006537D2" w:rsidP="00B63F1A">
            <w:pPr>
              <w:spacing w:after="0" w:line="240" w:lineRule="auto"/>
              <w:jc w:val="right"/>
              <w:rPr>
                <w:rFonts w:ascii="Times New Roman" w:eastAsia="Times New Roman" w:hAnsi="Times New Roman" w:cs="Times New Roman"/>
                <w:sz w:val="14"/>
                <w:szCs w:val="14"/>
                <w:lang w:eastAsia="sk-SK"/>
              </w:rPr>
            </w:pPr>
            <w:r w:rsidRPr="00267504">
              <w:rPr>
                <w:rFonts w:ascii="Times New Roman" w:eastAsia="Times New Roman" w:hAnsi="Times New Roman" w:cs="Times New Roman"/>
                <w:sz w:val="14"/>
                <w:szCs w:val="14"/>
                <w:lang w:eastAsia="sk-SK"/>
              </w:rPr>
              <w:t>40,16</w:t>
            </w:r>
          </w:p>
        </w:tc>
        <w:tc>
          <w:tcPr>
            <w:tcW w:w="388" w:type="pct"/>
            <w:tcBorders>
              <w:top w:val="nil"/>
              <w:left w:val="nil"/>
              <w:bottom w:val="single" w:sz="4" w:space="0" w:color="auto"/>
              <w:right w:val="nil"/>
            </w:tcBorders>
            <w:shd w:val="clear" w:color="auto" w:fill="auto"/>
            <w:noWrap/>
            <w:vAlign w:val="center"/>
            <w:hideMark/>
          </w:tcPr>
          <w:p w14:paraId="0048CBE2" w14:textId="77777777" w:rsidR="006537D2" w:rsidRPr="00267504" w:rsidRDefault="006537D2" w:rsidP="00B63F1A">
            <w:pPr>
              <w:spacing w:after="0" w:line="240" w:lineRule="auto"/>
              <w:jc w:val="right"/>
              <w:rPr>
                <w:rFonts w:ascii="Times New Roman" w:eastAsia="Times New Roman" w:hAnsi="Times New Roman" w:cs="Times New Roman"/>
                <w:sz w:val="14"/>
                <w:szCs w:val="14"/>
                <w:lang w:eastAsia="sk-SK"/>
              </w:rPr>
            </w:pPr>
            <w:r w:rsidRPr="00267504">
              <w:rPr>
                <w:rFonts w:ascii="Times New Roman" w:eastAsia="Times New Roman" w:hAnsi="Times New Roman" w:cs="Times New Roman"/>
                <w:sz w:val="14"/>
                <w:szCs w:val="14"/>
                <w:lang w:eastAsia="sk-SK"/>
              </w:rPr>
              <w:t>40,24</w:t>
            </w:r>
          </w:p>
        </w:tc>
        <w:tc>
          <w:tcPr>
            <w:tcW w:w="388" w:type="pct"/>
            <w:tcBorders>
              <w:top w:val="nil"/>
              <w:left w:val="nil"/>
              <w:bottom w:val="single" w:sz="4" w:space="0" w:color="auto"/>
              <w:right w:val="nil"/>
            </w:tcBorders>
            <w:shd w:val="clear" w:color="auto" w:fill="auto"/>
            <w:noWrap/>
            <w:vAlign w:val="center"/>
            <w:hideMark/>
          </w:tcPr>
          <w:p w14:paraId="03C2438B" w14:textId="77777777" w:rsidR="006537D2" w:rsidRPr="00267504" w:rsidRDefault="006537D2" w:rsidP="00B63F1A">
            <w:pPr>
              <w:spacing w:after="0" w:line="240" w:lineRule="auto"/>
              <w:jc w:val="right"/>
              <w:rPr>
                <w:rFonts w:ascii="Times New Roman" w:eastAsia="Times New Roman" w:hAnsi="Times New Roman" w:cs="Times New Roman"/>
                <w:sz w:val="14"/>
                <w:szCs w:val="14"/>
                <w:lang w:eastAsia="sk-SK"/>
              </w:rPr>
            </w:pPr>
            <w:r w:rsidRPr="00267504">
              <w:rPr>
                <w:rFonts w:ascii="Times New Roman" w:eastAsia="Times New Roman" w:hAnsi="Times New Roman" w:cs="Times New Roman"/>
                <w:sz w:val="14"/>
                <w:szCs w:val="14"/>
                <w:lang w:eastAsia="sk-SK"/>
              </w:rPr>
              <w:t>41,78</w:t>
            </w:r>
          </w:p>
        </w:tc>
        <w:tc>
          <w:tcPr>
            <w:tcW w:w="388" w:type="pct"/>
            <w:tcBorders>
              <w:top w:val="nil"/>
              <w:left w:val="nil"/>
              <w:bottom w:val="single" w:sz="4" w:space="0" w:color="auto"/>
              <w:right w:val="nil"/>
            </w:tcBorders>
            <w:shd w:val="clear" w:color="auto" w:fill="auto"/>
            <w:noWrap/>
            <w:vAlign w:val="center"/>
            <w:hideMark/>
          </w:tcPr>
          <w:p w14:paraId="4EA5E5F1" w14:textId="77777777" w:rsidR="006537D2" w:rsidRPr="00267504" w:rsidRDefault="006537D2" w:rsidP="00B63F1A">
            <w:pPr>
              <w:spacing w:after="0" w:line="240" w:lineRule="auto"/>
              <w:jc w:val="right"/>
              <w:rPr>
                <w:rFonts w:ascii="Times New Roman" w:eastAsia="Times New Roman" w:hAnsi="Times New Roman" w:cs="Times New Roman"/>
                <w:sz w:val="14"/>
                <w:szCs w:val="14"/>
                <w:lang w:eastAsia="sk-SK"/>
              </w:rPr>
            </w:pPr>
            <w:r w:rsidRPr="00267504">
              <w:rPr>
                <w:rFonts w:ascii="Times New Roman" w:eastAsia="Times New Roman" w:hAnsi="Times New Roman" w:cs="Times New Roman"/>
                <w:sz w:val="14"/>
                <w:szCs w:val="14"/>
                <w:lang w:eastAsia="sk-SK"/>
              </w:rPr>
              <w:t>41,49</w:t>
            </w:r>
          </w:p>
        </w:tc>
        <w:tc>
          <w:tcPr>
            <w:tcW w:w="388" w:type="pct"/>
            <w:tcBorders>
              <w:top w:val="nil"/>
              <w:left w:val="nil"/>
              <w:bottom w:val="single" w:sz="4" w:space="0" w:color="auto"/>
              <w:right w:val="nil"/>
            </w:tcBorders>
            <w:shd w:val="clear" w:color="auto" w:fill="auto"/>
            <w:noWrap/>
            <w:vAlign w:val="center"/>
            <w:hideMark/>
          </w:tcPr>
          <w:p w14:paraId="4D732A79" w14:textId="77777777" w:rsidR="006537D2" w:rsidRPr="00267504" w:rsidRDefault="006537D2" w:rsidP="00B63F1A">
            <w:pPr>
              <w:spacing w:after="0" w:line="240" w:lineRule="auto"/>
              <w:jc w:val="right"/>
              <w:rPr>
                <w:rFonts w:ascii="Times New Roman" w:eastAsia="Times New Roman" w:hAnsi="Times New Roman" w:cs="Times New Roman"/>
                <w:sz w:val="14"/>
                <w:szCs w:val="14"/>
                <w:lang w:eastAsia="sk-SK"/>
              </w:rPr>
            </w:pPr>
            <w:r w:rsidRPr="00267504">
              <w:rPr>
                <w:rFonts w:ascii="Times New Roman" w:eastAsia="Times New Roman" w:hAnsi="Times New Roman" w:cs="Times New Roman"/>
                <w:sz w:val="14"/>
                <w:szCs w:val="14"/>
                <w:lang w:eastAsia="sk-SK"/>
              </w:rPr>
              <w:t>40,72</w:t>
            </w:r>
          </w:p>
        </w:tc>
        <w:tc>
          <w:tcPr>
            <w:tcW w:w="388" w:type="pct"/>
            <w:tcBorders>
              <w:top w:val="nil"/>
              <w:left w:val="nil"/>
              <w:bottom w:val="single" w:sz="4" w:space="0" w:color="auto"/>
              <w:right w:val="nil"/>
            </w:tcBorders>
            <w:shd w:val="clear" w:color="auto" w:fill="auto"/>
            <w:noWrap/>
            <w:vAlign w:val="center"/>
            <w:hideMark/>
          </w:tcPr>
          <w:p w14:paraId="5631486F" w14:textId="77777777" w:rsidR="006537D2" w:rsidRPr="00267504" w:rsidRDefault="006537D2" w:rsidP="00B63F1A">
            <w:pPr>
              <w:spacing w:after="0" w:line="240" w:lineRule="auto"/>
              <w:jc w:val="right"/>
              <w:rPr>
                <w:rFonts w:ascii="Times New Roman" w:eastAsia="Times New Roman" w:hAnsi="Times New Roman" w:cs="Times New Roman"/>
                <w:sz w:val="14"/>
                <w:szCs w:val="14"/>
                <w:lang w:eastAsia="sk-SK"/>
              </w:rPr>
            </w:pPr>
            <w:r w:rsidRPr="00267504">
              <w:rPr>
                <w:rFonts w:ascii="Times New Roman" w:eastAsia="Times New Roman" w:hAnsi="Times New Roman" w:cs="Times New Roman"/>
                <w:sz w:val="14"/>
                <w:szCs w:val="14"/>
                <w:lang w:eastAsia="sk-SK"/>
              </w:rPr>
              <w:t>40,09</w:t>
            </w:r>
          </w:p>
        </w:tc>
        <w:tc>
          <w:tcPr>
            <w:tcW w:w="388" w:type="pct"/>
            <w:tcBorders>
              <w:top w:val="nil"/>
              <w:left w:val="nil"/>
              <w:bottom w:val="single" w:sz="4" w:space="0" w:color="auto"/>
              <w:right w:val="nil"/>
            </w:tcBorders>
            <w:shd w:val="clear" w:color="auto" w:fill="auto"/>
            <w:noWrap/>
            <w:vAlign w:val="center"/>
            <w:hideMark/>
          </w:tcPr>
          <w:p w14:paraId="3BB4BA6B" w14:textId="77777777" w:rsidR="006537D2" w:rsidRPr="00267504" w:rsidRDefault="006537D2" w:rsidP="00B63F1A">
            <w:pPr>
              <w:spacing w:after="0" w:line="240" w:lineRule="auto"/>
              <w:jc w:val="right"/>
              <w:rPr>
                <w:rFonts w:ascii="Times New Roman" w:eastAsia="Times New Roman" w:hAnsi="Times New Roman" w:cs="Times New Roman"/>
                <w:sz w:val="14"/>
                <w:szCs w:val="14"/>
                <w:lang w:eastAsia="sk-SK"/>
              </w:rPr>
            </w:pPr>
            <w:r w:rsidRPr="00267504">
              <w:rPr>
                <w:rFonts w:ascii="Times New Roman" w:eastAsia="Times New Roman" w:hAnsi="Times New Roman" w:cs="Times New Roman"/>
                <w:sz w:val="14"/>
                <w:szCs w:val="14"/>
                <w:lang w:eastAsia="sk-SK"/>
              </w:rPr>
              <w:t>39,33</w:t>
            </w:r>
          </w:p>
        </w:tc>
      </w:tr>
      <w:tr w:rsidR="006537D2" w:rsidRPr="00267504" w14:paraId="5CC4A2A6" w14:textId="77777777" w:rsidTr="00B63F1A">
        <w:trPr>
          <w:trHeight w:val="292"/>
        </w:trPr>
        <w:tc>
          <w:tcPr>
            <w:tcW w:w="1709" w:type="pct"/>
            <w:tcBorders>
              <w:top w:val="nil"/>
              <w:left w:val="nil"/>
              <w:bottom w:val="nil"/>
              <w:right w:val="nil"/>
            </w:tcBorders>
            <w:shd w:val="clear" w:color="auto" w:fill="auto"/>
            <w:noWrap/>
            <w:vAlign w:val="center"/>
            <w:hideMark/>
          </w:tcPr>
          <w:p w14:paraId="50E34D60" w14:textId="77777777" w:rsidR="006537D2" w:rsidRPr="00267504" w:rsidRDefault="006537D2" w:rsidP="00B63F1A">
            <w:pPr>
              <w:spacing w:after="0" w:line="240" w:lineRule="auto"/>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Daňové príjmy</w:t>
            </w:r>
          </w:p>
        </w:tc>
        <w:tc>
          <w:tcPr>
            <w:tcW w:w="575" w:type="pct"/>
            <w:tcBorders>
              <w:top w:val="nil"/>
              <w:left w:val="nil"/>
              <w:bottom w:val="nil"/>
              <w:right w:val="nil"/>
            </w:tcBorders>
            <w:shd w:val="clear" w:color="auto" w:fill="auto"/>
            <w:noWrap/>
            <w:vAlign w:val="center"/>
            <w:hideMark/>
          </w:tcPr>
          <w:p w14:paraId="3B1C4CA5" w14:textId="77777777" w:rsidR="006537D2" w:rsidRPr="00267504" w:rsidRDefault="006537D2" w:rsidP="00B63F1A">
            <w:pPr>
              <w:spacing w:after="0" w:line="240" w:lineRule="auto"/>
              <w:jc w:val="center"/>
              <w:rPr>
                <w:rFonts w:ascii="Times New Roman" w:eastAsia="Times New Roman" w:hAnsi="Times New Roman" w:cs="Times New Roman"/>
                <w:b/>
                <w:bCs/>
                <w:color w:val="000000"/>
                <w:sz w:val="12"/>
                <w:szCs w:val="12"/>
                <w:lang w:eastAsia="sk-SK"/>
              </w:rPr>
            </w:pPr>
            <w:r w:rsidRPr="00267504">
              <w:rPr>
                <w:rFonts w:ascii="Times New Roman" w:eastAsia="Times New Roman" w:hAnsi="Times New Roman" w:cs="Times New Roman"/>
                <w:b/>
                <w:bCs/>
                <w:color w:val="000000"/>
                <w:sz w:val="12"/>
                <w:szCs w:val="12"/>
                <w:lang w:eastAsia="sk-SK"/>
              </w:rPr>
              <w:t>D.2R+D.5R</w:t>
            </w:r>
          </w:p>
        </w:tc>
        <w:tc>
          <w:tcPr>
            <w:tcW w:w="388" w:type="pct"/>
            <w:tcBorders>
              <w:top w:val="nil"/>
              <w:left w:val="nil"/>
              <w:bottom w:val="nil"/>
              <w:right w:val="nil"/>
            </w:tcBorders>
            <w:shd w:val="clear" w:color="auto" w:fill="auto"/>
            <w:noWrap/>
            <w:vAlign w:val="center"/>
            <w:hideMark/>
          </w:tcPr>
          <w:p w14:paraId="47B51794"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19 884,1</w:t>
            </w:r>
          </w:p>
        </w:tc>
        <w:tc>
          <w:tcPr>
            <w:tcW w:w="388" w:type="pct"/>
            <w:tcBorders>
              <w:top w:val="nil"/>
              <w:left w:val="nil"/>
              <w:bottom w:val="nil"/>
              <w:right w:val="nil"/>
            </w:tcBorders>
            <w:shd w:val="clear" w:color="auto" w:fill="auto"/>
            <w:noWrap/>
            <w:vAlign w:val="center"/>
            <w:hideMark/>
          </w:tcPr>
          <w:p w14:paraId="0956671B"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21 961,2</w:t>
            </w:r>
          </w:p>
        </w:tc>
        <w:tc>
          <w:tcPr>
            <w:tcW w:w="388" w:type="pct"/>
            <w:tcBorders>
              <w:top w:val="nil"/>
              <w:left w:val="nil"/>
              <w:bottom w:val="nil"/>
              <w:right w:val="nil"/>
            </w:tcBorders>
            <w:shd w:val="clear" w:color="auto" w:fill="auto"/>
            <w:noWrap/>
            <w:vAlign w:val="center"/>
            <w:hideMark/>
          </w:tcPr>
          <w:p w14:paraId="52BE1E38"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23 893,7</w:t>
            </w:r>
          </w:p>
        </w:tc>
        <w:tc>
          <w:tcPr>
            <w:tcW w:w="388" w:type="pct"/>
            <w:tcBorders>
              <w:top w:val="nil"/>
              <w:left w:val="nil"/>
              <w:bottom w:val="nil"/>
              <w:right w:val="nil"/>
            </w:tcBorders>
            <w:shd w:val="clear" w:color="auto" w:fill="auto"/>
            <w:noWrap/>
            <w:vAlign w:val="center"/>
            <w:hideMark/>
          </w:tcPr>
          <w:p w14:paraId="629A3903"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24 200,4</w:t>
            </w:r>
          </w:p>
        </w:tc>
        <w:tc>
          <w:tcPr>
            <w:tcW w:w="388" w:type="pct"/>
            <w:tcBorders>
              <w:top w:val="nil"/>
              <w:left w:val="nil"/>
              <w:bottom w:val="nil"/>
              <w:right w:val="nil"/>
            </w:tcBorders>
            <w:shd w:val="clear" w:color="auto" w:fill="auto"/>
            <w:noWrap/>
            <w:vAlign w:val="center"/>
            <w:hideMark/>
          </w:tcPr>
          <w:p w14:paraId="518A0CCB"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25 806,6</w:t>
            </w:r>
          </w:p>
        </w:tc>
        <w:tc>
          <w:tcPr>
            <w:tcW w:w="388" w:type="pct"/>
            <w:tcBorders>
              <w:top w:val="nil"/>
              <w:left w:val="nil"/>
              <w:bottom w:val="nil"/>
              <w:right w:val="nil"/>
            </w:tcBorders>
            <w:shd w:val="clear" w:color="auto" w:fill="auto"/>
            <w:noWrap/>
            <w:vAlign w:val="center"/>
            <w:hideMark/>
          </w:tcPr>
          <w:p w14:paraId="3819A662"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26 541,7</w:t>
            </w:r>
          </w:p>
        </w:tc>
        <w:tc>
          <w:tcPr>
            <w:tcW w:w="388" w:type="pct"/>
            <w:tcBorders>
              <w:top w:val="nil"/>
              <w:left w:val="nil"/>
              <w:bottom w:val="nil"/>
              <w:right w:val="nil"/>
            </w:tcBorders>
            <w:shd w:val="clear" w:color="auto" w:fill="auto"/>
            <w:noWrap/>
            <w:vAlign w:val="center"/>
            <w:hideMark/>
          </w:tcPr>
          <w:p w14:paraId="4B10C0E3"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27 411,6</w:t>
            </w:r>
          </w:p>
        </w:tc>
      </w:tr>
      <w:tr w:rsidR="006537D2" w:rsidRPr="00267504" w14:paraId="73A2DA69" w14:textId="77777777" w:rsidTr="00B63F1A">
        <w:trPr>
          <w:trHeight w:val="292"/>
        </w:trPr>
        <w:tc>
          <w:tcPr>
            <w:tcW w:w="1709" w:type="pct"/>
            <w:tcBorders>
              <w:top w:val="nil"/>
              <w:left w:val="nil"/>
              <w:bottom w:val="nil"/>
              <w:right w:val="nil"/>
            </w:tcBorders>
            <w:shd w:val="clear" w:color="auto" w:fill="auto"/>
            <w:noWrap/>
            <w:vAlign w:val="center"/>
            <w:hideMark/>
          </w:tcPr>
          <w:p w14:paraId="7EA0A081" w14:textId="77777777" w:rsidR="006537D2" w:rsidRPr="00267504" w:rsidRDefault="006537D2" w:rsidP="00B63F1A">
            <w:pPr>
              <w:spacing w:after="0" w:line="240" w:lineRule="auto"/>
              <w:ind w:firstLineChars="100" w:firstLine="140"/>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Dane z produkcie a dovozu</w:t>
            </w:r>
          </w:p>
        </w:tc>
        <w:tc>
          <w:tcPr>
            <w:tcW w:w="575" w:type="pct"/>
            <w:tcBorders>
              <w:top w:val="nil"/>
              <w:left w:val="nil"/>
              <w:bottom w:val="nil"/>
              <w:right w:val="nil"/>
            </w:tcBorders>
            <w:shd w:val="clear" w:color="auto" w:fill="auto"/>
            <w:noWrap/>
            <w:vAlign w:val="center"/>
            <w:hideMark/>
          </w:tcPr>
          <w:p w14:paraId="733A6BC6" w14:textId="77777777" w:rsidR="006537D2" w:rsidRPr="00267504" w:rsidRDefault="006537D2" w:rsidP="00B63F1A">
            <w:pPr>
              <w:spacing w:after="0" w:line="240" w:lineRule="auto"/>
              <w:jc w:val="center"/>
              <w:rPr>
                <w:rFonts w:ascii="Times New Roman" w:eastAsia="Times New Roman" w:hAnsi="Times New Roman" w:cs="Times New Roman"/>
                <w:color w:val="000000"/>
                <w:sz w:val="12"/>
                <w:szCs w:val="12"/>
                <w:lang w:eastAsia="sk-SK"/>
              </w:rPr>
            </w:pPr>
            <w:r w:rsidRPr="00267504">
              <w:rPr>
                <w:rFonts w:ascii="Times New Roman" w:eastAsia="Times New Roman" w:hAnsi="Times New Roman" w:cs="Times New Roman"/>
                <w:color w:val="000000"/>
                <w:sz w:val="12"/>
                <w:szCs w:val="12"/>
                <w:lang w:eastAsia="sk-SK"/>
              </w:rPr>
              <w:t>D.2R</w:t>
            </w:r>
          </w:p>
        </w:tc>
        <w:tc>
          <w:tcPr>
            <w:tcW w:w="388" w:type="pct"/>
            <w:tcBorders>
              <w:top w:val="nil"/>
              <w:left w:val="nil"/>
              <w:bottom w:val="nil"/>
              <w:right w:val="nil"/>
            </w:tcBorders>
            <w:shd w:val="clear" w:color="auto" w:fill="auto"/>
            <w:noWrap/>
            <w:vAlign w:val="center"/>
            <w:hideMark/>
          </w:tcPr>
          <w:p w14:paraId="23456EF6"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12 056,5</w:t>
            </w:r>
          </w:p>
        </w:tc>
        <w:tc>
          <w:tcPr>
            <w:tcW w:w="388" w:type="pct"/>
            <w:tcBorders>
              <w:top w:val="nil"/>
              <w:left w:val="nil"/>
              <w:bottom w:val="nil"/>
              <w:right w:val="nil"/>
            </w:tcBorders>
            <w:shd w:val="clear" w:color="auto" w:fill="auto"/>
            <w:noWrap/>
            <w:vAlign w:val="center"/>
            <w:hideMark/>
          </w:tcPr>
          <w:p w14:paraId="39BE99BA"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13 479,9</w:t>
            </w:r>
          </w:p>
        </w:tc>
        <w:tc>
          <w:tcPr>
            <w:tcW w:w="388" w:type="pct"/>
            <w:tcBorders>
              <w:top w:val="nil"/>
              <w:left w:val="nil"/>
              <w:bottom w:val="nil"/>
              <w:right w:val="nil"/>
            </w:tcBorders>
            <w:shd w:val="clear" w:color="auto" w:fill="auto"/>
            <w:noWrap/>
            <w:vAlign w:val="center"/>
            <w:hideMark/>
          </w:tcPr>
          <w:p w14:paraId="601C3D8D"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14 457,1</w:t>
            </w:r>
          </w:p>
        </w:tc>
        <w:tc>
          <w:tcPr>
            <w:tcW w:w="388" w:type="pct"/>
            <w:tcBorders>
              <w:top w:val="nil"/>
              <w:left w:val="nil"/>
              <w:bottom w:val="nil"/>
              <w:right w:val="nil"/>
            </w:tcBorders>
            <w:shd w:val="clear" w:color="auto" w:fill="auto"/>
            <w:noWrap/>
            <w:vAlign w:val="center"/>
            <w:hideMark/>
          </w:tcPr>
          <w:p w14:paraId="367220EA"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14 585,3</w:t>
            </w:r>
          </w:p>
        </w:tc>
        <w:tc>
          <w:tcPr>
            <w:tcW w:w="388" w:type="pct"/>
            <w:tcBorders>
              <w:top w:val="nil"/>
              <w:left w:val="nil"/>
              <w:bottom w:val="nil"/>
              <w:right w:val="nil"/>
            </w:tcBorders>
            <w:shd w:val="clear" w:color="auto" w:fill="auto"/>
            <w:noWrap/>
            <w:vAlign w:val="center"/>
            <w:hideMark/>
          </w:tcPr>
          <w:p w14:paraId="536590EA"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15 385,7</w:t>
            </w:r>
          </w:p>
        </w:tc>
        <w:tc>
          <w:tcPr>
            <w:tcW w:w="388" w:type="pct"/>
            <w:tcBorders>
              <w:top w:val="nil"/>
              <w:left w:val="nil"/>
              <w:bottom w:val="nil"/>
              <w:right w:val="nil"/>
            </w:tcBorders>
            <w:shd w:val="clear" w:color="auto" w:fill="auto"/>
            <w:noWrap/>
            <w:vAlign w:val="center"/>
            <w:hideMark/>
          </w:tcPr>
          <w:p w14:paraId="7A754E06"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15 642,4</w:t>
            </w:r>
          </w:p>
        </w:tc>
        <w:tc>
          <w:tcPr>
            <w:tcW w:w="388" w:type="pct"/>
            <w:tcBorders>
              <w:top w:val="nil"/>
              <w:left w:val="nil"/>
              <w:bottom w:val="nil"/>
              <w:right w:val="nil"/>
            </w:tcBorders>
            <w:shd w:val="clear" w:color="auto" w:fill="auto"/>
            <w:noWrap/>
            <w:vAlign w:val="center"/>
            <w:hideMark/>
          </w:tcPr>
          <w:p w14:paraId="013F4767"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16 042,5</w:t>
            </w:r>
          </w:p>
        </w:tc>
      </w:tr>
      <w:tr w:rsidR="006537D2" w:rsidRPr="00267504" w14:paraId="3CFB1408" w14:textId="77777777" w:rsidTr="00B63F1A">
        <w:trPr>
          <w:trHeight w:val="292"/>
        </w:trPr>
        <w:tc>
          <w:tcPr>
            <w:tcW w:w="1709" w:type="pct"/>
            <w:tcBorders>
              <w:top w:val="nil"/>
              <w:left w:val="nil"/>
              <w:bottom w:val="nil"/>
              <w:right w:val="nil"/>
            </w:tcBorders>
            <w:shd w:val="clear" w:color="auto" w:fill="auto"/>
            <w:noWrap/>
            <w:vAlign w:val="center"/>
            <w:hideMark/>
          </w:tcPr>
          <w:p w14:paraId="49A1DD7D" w14:textId="77777777" w:rsidR="006537D2" w:rsidRPr="00267504" w:rsidRDefault="006537D2" w:rsidP="00B63F1A">
            <w:pPr>
              <w:spacing w:after="0" w:line="240" w:lineRule="auto"/>
              <w:ind w:firstLineChars="100" w:firstLine="140"/>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Bežné dane z dôchodkov, majetku</w:t>
            </w:r>
          </w:p>
        </w:tc>
        <w:tc>
          <w:tcPr>
            <w:tcW w:w="575" w:type="pct"/>
            <w:tcBorders>
              <w:top w:val="nil"/>
              <w:left w:val="nil"/>
              <w:bottom w:val="nil"/>
              <w:right w:val="nil"/>
            </w:tcBorders>
            <w:shd w:val="clear" w:color="auto" w:fill="auto"/>
            <w:noWrap/>
            <w:vAlign w:val="center"/>
            <w:hideMark/>
          </w:tcPr>
          <w:p w14:paraId="61BAE6A4" w14:textId="77777777" w:rsidR="006537D2" w:rsidRPr="00267504" w:rsidRDefault="006537D2" w:rsidP="00B63F1A">
            <w:pPr>
              <w:spacing w:after="0" w:line="240" w:lineRule="auto"/>
              <w:jc w:val="center"/>
              <w:rPr>
                <w:rFonts w:ascii="Times New Roman" w:eastAsia="Times New Roman" w:hAnsi="Times New Roman" w:cs="Times New Roman"/>
                <w:color w:val="000000"/>
                <w:sz w:val="12"/>
                <w:szCs w:val="12"/>
                <w:lang w:eastAsia="sk-SK"/>
              </w:rPr>
            </w:pPr>
            <w:r w:rsidRPr="00267504">
              <w:rPr>
                <w:rFonts w:ascii="Times New Roman" w:eastAsia="Times New Roman" w:hAnsi="Times New Roman" w:cs="Times New Roman"/>
                <w:color w:val="000000"/>
                <w:sz w:val="12"/>
                <w:szCs w:val="12"/>
                <w:lang w:eastAsia="sk-SK"/>
              </w:rPr>
              <w:t>D.5R</w:t>
            </w:r>
          </w:p>
        </w:tc>
        <w:tc>
          <w:tcPr>
            <w:tcW w:w="388" w:type="pct"/>
            <w:tcBorders>
              <w:top w:val="nil"/>
              <w:left w:val="nil"/>
              <w:bottom w:val="nil"/>
              <w:right w:val="nil"/>
            </w:tcBorders>
            <w:shd w:val="clear" w:color="auto" w:fill="auto"/>
            <w:noWrap/>
            <w:vAlign w:val="center"/>
            <w:hideMark/>
          </w:tcPr>
          <w:p w14:paraId="5A2F0070"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7 827,6</w:t>
            </w:r>
          </w:p>
        </w:tc>
        <w:tc>
          <w:tcPr>
            <w:tcW w:w="388" w:type="pct"/>
            <w:tcBorders>
              <w:top w:val="nil"/>
              <w:left w:val="nil"/>
              <w:bottom w:val="nil"/>
              <w:right w:val="nil"/>
            </w:tcBorders>
            <w:shd w:val="clear" w:color="auto" w:fill="auto"/>
            <w:noWrap/>
            <w:vAlign w:val="center"/>
            <w:hideMark/>
          </w:tcPr>
          <w:p w14:paraId="5830A0E0"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8 481,3</w:t>
            </w:r>
          </w:p>
        </w:tc>
        <w:tc>
          <w:tcPr>
            <w:tcW w:w="388" w:type="pct"/>
            <w:tcBorders>
              <w:top w:val="nil"/>
              <w:left w:val="nil"/>
              <w:bottom w:val="nil"/>
              <w:right w:val="nil"/>
            </w:tcBorders>
            <w:shd w:val="clear" w:color="auto" w:fill="auto"/>
            <w:noWrap/>
            <w:vAlign w:val="center"/>
            <w:hideMark/>
          </w:tcPr>
          <w:p w14:paraId="5C98A98F"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9 436,5</w:t>
            </w:r>
          </w:p>
        </w:tc>
        <w:tc>
          <w:tcPr>
            <w:tcW w:w="388" w:type="pct"/>
            <w:tcBorders>
              <w:top w:val="nil"/>
              <w:left w:val="nil"/>
              <w:bottom w:val="nil"/>
              <w:right w:val="nil"/>
            </w:tcBorders>
            <w:shd w:val="clear" w:color="auto" w:fill="auto"/>
            <w:noWrap/>
            <w:vAlign w:val="center"/>
            <w:hideMark/>
          </w:tcPr>
          <w:p w14:paraId="67ADBA46"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9 615,1</w:t>
            </w:r>
          </w:p>
        </w:tc>
        <w:tc>
          <w:tcPr>
            <w:tcW w:w="388" w:type="pct"/>
            <w:tcBorders>
              <w:top w:val="nil"/>
              <w:left w:val="nil"/>
              <w:bottom w:val="nil"/>
              <w:right w:val="nil"/>
            </w:tcBorders>
            <w:shd w:val="clear" w:color="auto" w:fill="auto"/>
            <w:noWrap/>
            <w:vAlign w:val="center"/>
            <w:hideMark/>
          </w:tcPr>
          <w:p w14:paraId="0ECFFBC8"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10 421,0</w:t>
            </w:r>
          </w:p>
        </w:tc>
        <w:tc>
          <w:tcPr>
            <w:tcW w:w="388" w:type="pct"/>
            <w:tcBorders>
              <w:top w:val="nil"/>
              <w:left w:val="nil"/>
              <w:bottom w:val="nil"/>
              <w:right w:val="nil"/>
            </w:tcBorders>
            <w:shd w:val="clear" w:color="auto" w:fill="auto"/>
            <w:noWrap/>
            <w:vAlign w:val="center"/>
            <w:hideMark/>
          </w:tcPr>
          <w:p w14:paraId="5BFACDCB"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10 899,3</w:t>
            </w:r>
          </w:p>
        </w:tc>
        <w:tc>
          <w:tcPr>
            <w:tcW w:w="388" w:type="pct"/>
            <w:tcBorders>
              <w:top w:val="nil"/>
              <w:left w:val="nil"/>
              <w:bottom w:val="nil"/>
              <w:right w:val="nil"/>
            </w:tcBorders>
            <w:shd w:val="clear" w:color="auto" w:fill="auto"/>
            <w:noWrap/>
            <w:vAlign w:val="center"/>
            <w:hideMark/>
          </w:tcPr>
          <w:p w14:paraId="3FB5D00B"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11 369,1</w:t>
            </w:r>
          </w:p>
        </w:tc>
      </w:tr>
      <w:tr w:rsidR="006537D2" w:rsidRPr="00267504" w14:paraId="6C56A6DC" w14:textId="77777777" w:rsidTr="00B63F1A">
        <w:trPr>
          <w:trHeight w:val="292"/>
        </w:trPr>
        <w:tc>
          <w:tcPr>
            <w:tcW w:w="1709" w:type="pct"/>
            <w:tcBorders>
              <w:top w:val="nil"/>
              <w:left w:val="nil"/>
              <w:bottom w:val="nil"/>
              <w:right w:val="nil"/>
            </w:tcBorders>
            <w:shd w:val="clear" w:color="auto" w:fill="auto"/>
            <w:noWrap/>
            <w:vAlign w:val="center"/>
            <w:hideMark/>
          </w:tcPr>
          <w:p w14:paraId="073C4F2D" w14:textId="77777777" w:rsidR="006537D2" w:rsidRPr="00267504" w:rsidRDefault="006537D2" w:rsidP="00B63F1A">
            <w:pPr>
              <w:spacing w:after="0" w:line="240" w:lineRule="auto"/>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Príspevky na sociálne zabezpečenie</w:t>
            </w:r>
          </w:p>
        </w:tc>
        <w:tc>
          <w:tcPr>
            <w:tcW w:w="575" w:type="pct"/>
            <w:tcBorders>
              <w:top w:val="nil"/>
              <w:left w:val="nil"/>
              <w:bottom w:val="nil"/>
              <w:right w:val="nil"/>
            </w:tcBorders>
            <w:shd w:val="clear" w:color="auto" w:fill="auto"/>
            <w:noWrap/>
            <w:vAlign w:val="center"/>
            <w:hideMark/>
          </w:tcPr>
          <w:p w14:paraId="2FB623C7" w14:textId="77777777" w:rsidR="006537D2" w:rsidRPr="00267504" w:rsidRDefault="006537D2" w:rsidP="00B63F1A">
            <w:pPr>
              <w:spacing w:after="0" w:line="240" w:lineRule="auto"/>
              <w:jc w:val="center"/>
              <w:rPr>
                <w:rFonts w:ascii="Times New Roman" w:eastAsia="Times New Roman" w:hAnsi="Times New Roman" w:cs="Times New Roman"/>
                <w:b/>
                <w:bCs/>
                <w:color w:val="000000"/>
                <w:sz w:val="12"/>
                <w:szCs w:val="12"/>
                <w:lang w:eastAsia="sk-SK"/>
              </w:rPr>
            </w:pPr>
            <w:r w:rsidRPr="00267504">
              <w:rPr>
                <w:rFonts w:ascii="Times New Roman" w:eastAsia="Times New Roman" w:hAnsi="Times New Roman" w:cs="Times New Roman"/>
                <w:b/>
                <w:bCs/>
                <w:color w:val="000000"/>
                <w:sz w:val="12"/>
                <w:szCs w:val="12"/>
                <w:lang w:eastAsia="sk-SK"/>
              </w:rPr>
              <w:t>D.61R</w:t>
            </w:r>
          </w:p>
        </w:tc>
        <w:tc>
          <w:tcPr>
            <w:tcW w:w="388" w:type="pct"/>
            <w:tcBorders>
              <w:top w:val="nil"/>
              <w:left w:val="nil"/>
              <w:bottom w:val="nil"/>
              <w:right w:val="nil"/>
            </w:tcBorders>
            <w:shd w:val="clear" w:color="auto" w:fill="auto"/>
            <w:noWrap/>
            <w:vAlign w:val="center"/>
            <w:hideMark/>
          </w:tcPr>
          <w:p w14:paraId="79874622"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15 635,1</w:t>
            </w:r>
          </w:p>
        </w:tc>
        <w:tc>
          <w:tcPr>
            <w:tcW w:w="388" w:type="pct"/>
            <w:tcBorders>
              <w:top w:val="nil"/>
              <w:left w:val="nil"/>
              <w:bottom w:val="nil"/>
              <w:right w:val="nil"/>
            </w:tcBorders>
            <w:shd w:val="clear" w:color="auto" w:fill="auto"/>
            <w:noWrap/>
            <w:vAlign w:val="center"/>
            <w:hideMark/>
          </w:tcPr>
          <w:p w14:paraId="559A7312"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16 338,5</w:t>
            </w:r>
          </w:p>
        </w:tc>
        <w:tc>
          <w:tcPr>
            <w:tcW w:w="388" w:type="pct"/>
            <w:tcBorders>
              <w:top w:val="nil"/>
              <w:left w:val="nil"/>
              <w:bottom w:val="nil"/>
              <w:right w:val="nil"/>
            </w:tcBorders>
            <w:shd w:val="clear" w:color="auto" w:fill="auto"/>
            <w:noWrap/>
            <w:vAlign w:val="center"/>
            <w:hideMark/>
          </w:tcPr>
          <w:p w14:paraId="213D68F6"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18 424,2</w:t>
            </w:r>
          </w:p>
        </w:tc>
        <w:tc>
          <w:tcPr>
            <w:tcW w:w="388" w:type="pct"/>
            <w:tcBorders>
              <w:top w:val="nil"/>
              <w:left w:val="nil"/>
              <w:bottom w:val="nil"/>
              <w:right w:val="nil"/>
            </w:tcBorders>
            <w:shd w:val="clear" w:color="auto" w:fill="auto"/>
            <w:noWrap/>
            <w:vAlign w:val="center"/>
            <w:hideMark/>
          </w:tcPr>
          <w:p w14:paraId="4BF05CAA"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18 579,5</w:t>
            </w:r>
          </w:p>
        </w:tc>
        <w:tc>
          <w:tcPr>
            <w:tcW w:w="388" w:type="pct"/>
            <w:tcBorders>
              <w:top w:val="nil"/>
              <w:left w:val="nil"/>
              <w:bottom w:val="nil"/>
              <w:right w:val="nil"/>
            </w:tcBorders>
            <w:shd w:val="clear" w:color="auto" w:fill="auto"/>
            <w:noWrap/>
            <w:vAlign w:val="center"/>
            <w:hideMark/>
          </w:tcPr>
          <w:p w14:paraId="5F1FC18B"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20 724,7</w:t>
            </w:r>
          </w:p>
        </w:tc>
        <w:tc>
          <w:tcPr>
            <w:tcW w:w="388" w:type="pct"/>
            <w:tcBorders>
              <w:top w:val="nil"/>
              <w:left w:val="nil"/>
              <w:bottom w:val="nil"/>
              <w:right w:val="nil"/>
            </w:tcBorders>
            <w:shd w:val="clear" w:color="auto" w:fill="auto"/>
            <w:noWrap/>
            <w:vAlign w:val="center"/>
            <w:hideMark/>
          </w:tcPr>
          <w:p w14:paraId="6050DEE4"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21 951,6</w:t>
            </w:r>
          </w:p>
        </w:tc>
        <w:tc>
          <w:tcPr>
            <w:tcW w:w="388" w:type="pct"/>
            <w:tcBorders>
              <w:top w:val="nil"/>
              <w:left w:val="nil"/>
              <w:bottom w:val="nil"/>
              <w:right w:val="nil"/>
            </w:tcBorders>
            <w:shd w:val="clear" w:color="auto" w:fill="auto"/>
            <w:noWrap/>
            <w:vAlign w:val="center"/>
            <w:hideMark/>
          </w:tcPr>
          <w:p w14:paraId="1983B22A"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23 232,8</w:t>
            </w:r>
          </w:p>
        </w:tc>
      </w:tr>
      <w:tr w:rsidR="006537D2" w:rsidRPr="00267504" w14:paraId="66522897" w14:textId="77777777" w:rsidTr="00B63F1A">
        <w:trPr>
          <w:trHeight w:val="292"/>
        </w:trPr>
        <w:tc>
          <w:tcPr>
            <w:tcW w:w="1709" w:type="pct"/>
            <w:tcBorders>
              <w:top w:val="nil"/>
              <w:left w:val="nil"/>
              <w:bottom w:val="nil"/>
              <w:right w:val="nil"/>
            </w:tcBorders>
            <w:shd w:val="clear" w:color="auto" w:fill="auto"/>
            <w:noWrap/>
            <w:vAlign w:val="center"/>
            <w:hideMark/>
          </w:tcPr>
          <w:p w14:paraId="534C2933" w14:textId="77777777" w:rsidR="006537D2" w:rsidRPr="00267504" w:rsidRDefault="006537D2" w:rsidP="00B63F1A">
            <w:pPr>
              <w:spacing w:after="0" w:line="240" w:lineRule="auto"/>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 xml:space="preserve">Nedaňové príjmy </w:t>
            </w:r>
          </w:p>
        </w:tc>
        <w:tc>
          <w:tcPr>
            <w:tcW w:w="575" w:type="pct"/>
            <w:tcBorders>
              <w:top w:val="nil"/>
              <w:left w:val="nil"/>
              <w:bottom w:val="nil"/>
              <w:right w:val="nil"/>
            </w:tcBorders>
            <w:shd w:val="clear" w:color="auto" w:fill="auto"/>
            <w:noWrap/>
            <w:vAlign w:val="center"/>
            <w:hideMark/>
          </w:tcPr>
          <w:p w14:paraId="2BD57D4B" w14:textId="77777777" w:rsidR="006537D2" w:rsidRPr="00267504" w:rsidRDefault="006537D2" w:rsidP="00B63F1A">
            <w:pPr>
              <w:spacing w:after="0" w:line="240" w:lineRule="auto"/>
              <w:rPr>
                <w:rFonts w:ascii="Times New Roman" w:eastAsia="Times New Roman" w:hAnsi="Times New Roman" w:cs="Times New Roman"/>
                <w:b/>
                <w:bCs/>
                <w:color w:val="000000"/>
                <w:sz w:val="14"/>
                <w:szCs w:val="14"/>
                <w:lang w:eastAsia="sk-SK"/>
              </w:rPr>
            </w:pPr>
          </w:p>
        </w:tc>
        <w:tc>
          <w:tcPr>
            <w:tcW w:w="388" w:type="pct"/>
            <w:tcBorders>
              <w:top w:val="nil"/>
              <w:left w:val="nil"/>
              <w:bottom w:val="nil"/>
              <w:right w:val="nil"/>
            </w:tcBorders>
            <w:shd w:val="clear" w:color="auto" w:fill="auto"/>
            <w:noWrap/>
            <w:vAlign w:val="center"/>
            <w:hideMark/>
          </w:tcPr>
          <w:p w14:paraId="38347213"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3 209,9</w:t>
            </w:r>
          </w:p>
        </w:tc>
        <w:tc>
          <w:tcPr>
            <w:tcW w:w="388" w:type="pct"/>
            <w:tcBorders>
              <w:top w:val="nil"/>
              <w:left w:val="nil"/>
              <w:bottom w:val="nil"/>
              <w:right w:val="nil"/>
            </w:tcBorders>
            <w:shd w:val="clear" w:color="auto" w:fill="auto"/>
            <w:noWrap/>
            <w:vAlign w:val="center"/>
            <w:hideMark/>
          </w:tcPr>
          <w:p w14:paraId="4F0915D9"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3 522,0</w:t>
            </w:r>
          </w:p>
        </w:tc>
        <w:tc>
          <w:tcPr>
            <w:tcW w:w="388" w:type="pct"/>
            <w:tcBorders>
              <w:top w:val="nil"/>
              <w:left w:val="nil"/>
              <w:bottom w:val="nil"/>
              <w:right w:val="nil"/>
            </w:tcBorders>
            <w:shd w:val="clear" w:color="auto" w:fill="auto"/>
            <w:noWrap/>
            <w:vAlign w:val="center"/>
            <w:hideMark/>
          </w:tcPr>
          <w:p w14:paraId="2A980298"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3 637,4</w:t>
            </w:r>
          </w:p>
        </w:tc>
        <w:tc>
          <w:tcPr>
            <w:tcW w:w="388" w:type="pct"/>
            <w:tcBorders>
              <w:top w:val="nil"/>
              <w:left w:val="nil"/>
              <w:bottom w:val="nil"/>
              <w:right w:val="nil"/>
            </w:tcBorders>
            <w:shd w:val="clear" w:color="auto" w:fill="auto"/>
            <w:noWrap/>
            <w:vAlign w:val="center"/>
            <w:hideMark/>
          </w:tcPr>
          <w:p w14:paraId="24A8561D"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3 708,2</w:t>
            </w:r>
          </w:p>
        </w:tc>
        <w:tc>
          <w:tcPr>
            <w:tcW w:w="388" w:type="pct"/>
            <w:tcBorders>
              <w:top w:val="nil"/>
              <w:left w:val="nil"/>
              <w:bottom w:val="nil"/>
              <w:right w:val="nil"/>
            </w:tcBorders>
            <w:shd w:val="clear" w:color="auto" w:fill="auto"/>
            <w:noWrap/>
            <w:vAlign w:val="center"/>
            <w:hideMark/>
          </w:tcPr>
          <w:p w14:paraId="68FC68A8"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4 444,5</w:t>
            </w:r>
          </w:p>
        </w:tc>
        <w:tc>
          <w:tcPr>
            <w:tcW w:w="388" w:type="pct"/>
            <w:tcBorders>
              <w:top w:val="nil"/>
              <w:left w:val="nil"/>
              <w:bottom w:val="nil"/>
              <w:right w:val="nil"/>
            </w:tcBorders>
            <w:shd w:val="clear" w:color="auto" w:fill="auto"/>
            <w:noWrap/>
            <w:vAlign w:val="center"/>
            <w:hideMark/>
          </w:tcPr>
          <w:p w14:paraId="3647D1DE"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4 362,4</w:t>
            </w:r>
          </w:p>
        </w:tc>
        <w:tc>
          <w:tcPr>
            <w:tcW w:w="388" w:type="pct"/>
            <w:tcBorders>
              <w:top w:val="nil"/>
              <w:left w:val="nil"/>
              <w:bottom w:val="nil"/>
              <w:right w:val="nil"/>
            </w:tcBorders>
            <w:shd w:val="clear" w:color="auto" w:fill="auto"/>
            <w:noWrap/>
            <w:vAlign w:val="center"/>
            <w:hideMark/>
          </w:tcPr>
          <w:p w14:paraId="7C4B0D82"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4 301,6</w:t>
            </w:r>
          </w:p>
        </w:tc>
      </w:tr>
      <w:tr w:rsidR="006537D2" w:rsidRPr="00267504" w14:paraId="119A1389" w14:textId="77777777" w:rsidTr="00B63F1A">
        <w:trPr>
          <w:trHeight w:val="292"/>
        </w:trPr>
        <w:tc>
          <w:tcPr>
            <w:tcW w:w="1709" w:type="pct"/>
            <w:tcBorders>
              <w:top w:val="nil"/>
              <w:left w:val="nil"/>
              <w:bottom w:val="nil"/>
              <w:right w:val="nil"/>
            </w:tcBorders>
            <w:shd w:val="clear" w:color="auto" w:fill="auto"/>
            <w:noWrap/>
            <w:vAlign w:val="center"/>
            <w:hideMark/>
          </w:tcPr>
          <w:p w14:paraId="78EC0623" w14:textId="77777777" w:rsidR="006537D2" w:rsidRPr="00267504" w:rsidRDefault="006537D2" w:rsidP="00B63F1A">
            <w:pPr>
              <w:spacing w:after="0" w:line="240" w:lineRule="auto"/>
              <w:ind w:firstLineChars="100" w:firstLine="140"/>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Tržby</w:t>
            </w:r>
          </w:p>
        </w:tc>
        <w:tc>
          <w:tcPr>
            <w:tcW w:w="575" w:type="pct"/>
            <w:tcBorders>
              <w:top w:val="nil"/>
              <w:left w:val="nil"/>
              <w:bottom w:val="nil"/>
              <w:right w:val="nil"/>
            </w:tcBorders>
            <w:shd w:val="clear" w:color="auto" w:fill="auto"/>
            <w:noWrap/>
            <w:vAlign w:val="center"/>
            <w:hideMark/>
          </w:tcPr>
          <w:p w14:paraId="11B47264" w14:textId="77777777" w:rsidR="006537D2" w:rsidRPr="00267504" w:rsidRDefault="006537D2" w:rsidP="00B63F1A">
            <w:pPr>
              <w:spacing w:after="0" w:line="240" w:lineRule="auto"/>
              <w:jc w:val="center"/>
              <w:rPr>
                <w:rFonts w:ascii="Times New Roman" w:eastAsia="Times New Roman" w:hAnsi="Times New Roman" w:cs="Times New Roman"/>
                <w:color w:val="000000"/>
                <w:sz w:val="12"/>
                <w:szCs w:val="12"/>
                <w:lang w:eastAsia="sk-SK"/>
              </w:rPr>
            </w:pPr>
            <w:r w:rsidRPr="00267504">
              <w:rPr>
                <w:rFonts w:ascii="Times New Roman" w:eastAsia="Times New Roman" w:hAnsi="Times New Roman" w:cs="Times New Roman"/>
                <w:color w:val="000000"/>
                <w:sz w:val="12"/>
                <w:szCs w:val="12"/>
                <w:lang w:eastAsia="sk-SK"/>
              </w:rPr>
              <w:t>P.11+P.12+P.131</w:t>
            </w:r>
          </w:p>
        </w:tc>
        <w:tc>
          <w:tcPr>
            <w:tcW w:w="388" w:type="pct"/>
            <w:tcBorders>
              <w:top w:val="nil"/>
              <w:left w:val="nil"/>
              <w:bottom w:val="nil"/>
              <w:right w:val="nil"/>
            </w:tcBorders>
            <w:shd w:val="clear" w:color="auto" w:fill="auto"/>
            <w:noWrap/>
            <w:vAlign w:val="center"/>
            <w:hideMark/>
          </w:tcPr>
          <w:p w14:paraId="52951B9A"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2 453,1</w:t>
            </w:r>
          </w:p>
        </w:tc>
        <w:tc>
          <w:tcPr>
            <w:tcW w:w="388" w:type="pct"/>
            <w:tcBorders>
              <w:top w:val="nil"/>
              <w:left w:val="nil"/>
              <w:bottom w:val="nil"/>
              <w:right w:val="nil"/>
            </w:tcBorders>
            <w:shd w:val="clear" w:color="auto" w:fill="auto"/>
            <w:noWrap/>
            <w:vAlign w:val="center"/>
            <w:hideMark/>
          </w:tcPr>
          <w:p w14:paraId="3D50C268"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2 790,4</w:t>
            </w:r>
          </w:p>
        </w:tc>
        <w:tc>
          <w:tcPr>
            <w:tcW w:w="388" w:type="pct"/>
            <w:tcBorders>
              <w:top w:val="nil"/>
              <w:left w:val="nil"/>
              <w:bottom w:val="nil"/>
              <w:right w:val="nil"/>
            </w:tcBorders>
            <w:shd w:val="clear" w:color="auto" w:fill="auto"/>
            <w:noWrap/>
            <w:vAlign w:val="center"/>
            <w:hideMark/>
          </w:tcPr>
          <w:p w14:paraId="5E3ED2FE"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2 921,8</w:t>
            </w:r>
          </w:p>
        </w:tc>
        <w:tc>
          <w:tcPr>
            <w:tcW w:w="388" w:type="pct"/>
            <w:tcBorders>
              <w:top w:val="nil"/>
              <w:left w:val="nil"/>
              <w:bottom w:val="nil"/>
              <w:right w:val="nil"/>
            </w:tcBorders>
            <w:shd w:val="clear" w:color="auto" w:fill="auto"/>
            <w:noWrap/>
            <w:vAlign w:val="center"/>
            <w:hideMark/>
          </w:tcPr>
          <w:p w14:paraId="2B31317E"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3 030,2</w:t>
            </w:r>
          </w:p>
        </w:tc>
        <w:tc>
          <w:tcPr>
            <w:tcW w:w="388" w:type="pct"/>
            <w:tcBorders>
              <w:top w:val="nil"/>
              <w:left w:val="nil"/>
              <w:bottom w:val="nil"/>
              <w:right w:val="nil"/>
            </w:tcBorders>
            <w:shd w:val="clear" w:color="auto" w:fill="auto"/>
            <w:noWrap/>
            <w:vAlign w:val="center"/>
            <w:hideMark/>
          </w:tcPr>
          <w:p w14:paraId="194472BC"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3 314,4</w:t>
            </w:r>
          </w:p>
        </w:tc>
        <w:tc>
          <w:tcPr>
            <w:tcW w:w="388" w:type="pct"/>
            <w:tcBorders>
              <w:top w:val="nil"/>
              <w:left w:val="nil"/>
              <w:bottom w:val="nil"/>
              <w:right w:val="nil"/>
            </w:tcBorders>
            <w:shd w:val="clear" w:color="auto" w:fill="auto"/>
            <w:noWrap/>
            <w:vAlign w:val="center"/>
            <w:hideMark/>
          </w:tcPr>
          <w:p w14:paraId="71F26678"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3 351,8</w:t>
            </w:r>
          </w:p>
        </w:tc>
        <w:tc>
          <w:tcPr>
            <w:tcW w:w="388" w:type="pct"/>
            <w:tcBorders>
              <w:top w:val="nil"/>
              <w:left w:val="nil"/>
              <w:bottom w:val="nil"/>
              <w:right w:val="nil"/>
            </w:tcBorders>
            <w:shd w:val="clear" w:color="auto" w:fill="auto"/>
            <w:noWrap/>
            <w:vAlign w:val="center"/>
            <w:hideMark/>
          </w:tcPr>
          <w:p w14:paraId="7B51F111"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3 411,5</w:t>
            </w:r>
          </w:p>
        </w:tc>
      </w:tr>
      <w:tr w:rsidR="006537D2" w:rsidRPr="00267504" w14:paraId="0D2AD1CE" w14:textId="77777777" w:rsidTr="00B63F1A">
        <w:trPr>
          <w:trHeight w:val="292"/>
        </w:trPr>
        <w:tc>
          <w:tcPr>
            <w:tcW w:w="1709" w:type="pct"/>
            <w:tcBorders>
              <w:top w:val="nil"/>
              <w:left w:val="nil"/>
              <w:bottom w:val="nil"/>
              <w:right w:val="nil"/>
            </w:tcBorders>
            <w:shd w:val="clear" w:color="auto" w:fill="auto"/>
            <w:noWrap/>
            <w:vAlign w:val="center"/>
            <w:hideMark/>
          </w:tcPr>
          <w:p w14:paraId="5EEC3A12" w14:textId="77777777" w:rsidR="006537D2" w:rsidRPr="00267504" w:rsidRDefault="006537D2" w:rsidP="00B63F1A">
            <w:pPr>
              <w:spacing w:after="0" w:line="240" w:lineRule="auto"/>
              <w:ind w:firstLineChars="100" w:firstLine="140"/>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Dôchodky z majetku</w:t>
            </w:r>
          </w:p>
        </w:tc>
        <w:tc>
          <w:tcPr>
            <w:tcW w:w="575" w:type="pct"/>
            <w:tcBorders>
              <w:top w:val="nil"/>
              <w:left w:val="nil"/>
              <w:bottom w:val="nil"/>
              <w:right w:val="nil"/>
            </w:tcBorders>
            <w:shd w:val="clear" w:color="auto" w:fill="auto"/>
            <w:noWrap/>
            <w:vAlign w:val="center"/>
            <w:hideMark/>
          </w:tcPr>
          <w:p w14:paraId="277CB36F" w14:textId="77777777" w:rsidR="006537D2" w:rsidRPr="00267504" w:rsidRDefault="006537D2" w:rsidP="00B63F1A">
            <w:pPr>
              <w:spacing w:after="0" w:line="240" w:lineRule="auto"/>
              <w:jc w:val="center"/>
              <w:rPr>
                <w:rFonts w:ascii="Times New Roman" w:eastAsia="Times New Roman" w:hAnsi="Times New Roman" w:cs="Times New Roman"/>
                <w:color w:val="000000"/>
                <w:sz w:val="12"/>
                <w:szCs w:val="12"/>
                <w:lang w:eastAsia="sk-SK"/>
              </w:rPr>
            </w:pPr>
            <w:r w:rsidRPr="00267504">
              <w:rPr>
                <w:rFonts w:ascii="Times New Roman" w:eastAsia="Times New Roman" w:hAnsi="Times New Roman" w:cs="Times New Roman"/>
                <w:color w:val="000000"/>
                <w:sz w:val="12"/>
                <w:szCs w:val="12"/>
                <w:lang w:eastAsia="sk-SK"/>
              </w:rPr>
              <w:t>D.4R</w:t>
            </w:r>
          </w:p>
        </w:tc>
        <w:tc>
          <w:tcPr>
            <w:tcW w:w="388" w:type="pct"/>
            <w:tcBorders>
              <w:top w:val="nil"/>
              <w:left w:val="nil"/>
              <w:bottom w:val="nil"/>
              <w:right w:val="nil"/>
            </w:tcBorders>
            <w:shd w:val="clear" w:color="auto" w:fill="auto"/>
            <w:noWrap/>
            <w:vAlign w:val="center"/>
            <w:hideMark/>
          </w:tcPr>
          <w:p w14:paraId="75FC7C91"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756,8</w:t>
            </w:r>
          </w:p>
        </w:tc>
        <w:tc>
          <w:tcPr>
            <w:tcW w:w="388" w:type="pct"/>
            <w:tcBorders>
              <w:top w:val="nil"/>
              <w:left w:val="nil"/>
              <w:bottom w:val="nil"/>
              <w:right w:val="nil"/>
            </w:tcBorders>
            <w:shd w:val="clear" w:color="auto" w:fill="auto"/>
            <w:noWrap/>
            <w:vAlign w:val="center"/>
            <w:hideMark/>
          </w:tcPr>
          <w:p w14:paraId="7243BF4F"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731,5</w:t>
            </w:r>
          </w:p>
        </w:tc>
        <w:tc>
          <w:tcPr>
            <w:tcW w:w="388" w:type="pct"/>
            <w:tcBorders>
              <w:top w:val="nil"/>
              <w:left w:val="nil"/>
              <w:bottom w:val="nil"/>
              <w:right w:val="nil"/>
            </w:tcBorders>
            <w:shd w:val="clear" w:color="auto" w:fill="auto"/>
            <w:noWrap/>
            <w:vAlign w:val="center"/>
            <w:hideMark/>
          </w:tcPr>
          <w:p w14:paraId="2C0F24A0"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715,5</w:t>
            </w:r>
          </w:p>
        </w:tc>
        <w:tc>
          <w:tcPr>
            <w:tcW w:w="388" w:type="pct"/>
            <w:tcBorders>
              <w:top w:val="nil"/>
              <w:left w:val="nil"/>
              <w:bottom w:val="nil"/>
              <w:right w:val="nil"/>
            </w:tcBorders>
            <w:shd w:val="clear" w:color="auto" w:fill="auto"/>
            <w:noWrap/>
            <w:vAlign w:val="center"/>
            <w:hideMark/>
          </w:tcPr>
          <w:p w14:paraId="5BFCC964"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678,0</w:t>
            </w:r>
          </w:p>
        </w:tc>
        <w:tc>
          <w:tcPr>
            <w:tcW w:w="388" w:type="pct"/>
            <w:tcBorders>
              <w:top w:val="nil"/>
              <w:left w:val="nil"/>
              <w:bottom w:val="nil"/>
              <w:right w:val="nil"/>
            </w:tcBorders>
            <w:shd w:val="clear" w:color="auto" w:fill="auto"/>
            <w:noWrap/>
            <w:vAlign w:val="center"/>
            <w:hideMark/>
          </w:tcPr>
          <w:p w14:paraId="0BC6F52C"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1 130,1</w:t>
            </w:r>
          </w:p>
        </w:tc>
        <w:tc>
          <w:tcPr>
            <w:tcW w:w="388" w:type="pct"/>
            <w:tcBorders>
              <w:top w:val="nil"/>
              <w:left w:val="nil"/>
              <w:bottom w:val="nil"/>
              <w:right w:val="nil"/>
            </w:tcBorders>
            <w:shd w:val="clear" w:color="auto" w:fill="auto"/>
            <w:noWrap/>
            <w:vAlign w:val="center"/>
            <w:hideMark/>
          </w:tcPr>
          <w:p w14:paraId="6AB8456A"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1 010,6</w:t>
            </w:r>
          </w:p>
        </w:tc>
        <w:tc>
          <w:tcPr>
            <w:tcW w:w="388" w:type="pct"/>
            <w:tcBorders>
              <w:top w:val="nil"/>
              <w:left w:val="nil"/>
              <w:bottom w:val="nil"/>
              <w:right w:val="nil"/>
            </w:tcBorders>
            <w:shd w:val="clear" w:color="auto" w:fill="auto"/>
            <w:noWrap/>
            <w:vAlign w:val="center"/>
            <w:hideMark/>
          </w:tcPr>
          <w:p w14:paraId="3A4BE8B2"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890,1</w:t>
            </w:r>
          </w:p>
        </w:tc>
      </w:tr>
      <w:tr w:rsidR="006537D2" w:rsidRPr="00267504" w14:paraId="75A49CF6" w14:textId="77777777" w:rsidTr="00B63F1A">
        <w:trPr>
          <w:trHeight w:val="292"/>
        </w:trPr>
        <w:tc>
          <w:tcPr>
            <w:tcW w:w="1709" w:type="pct"/>
            <w:tcBorders>
              <w:top w:val="nil"/>
              <w:left w:val="nil"/>
              <w:bottom w:val="nil"/>
              <w:right w:val="nil"/>
            </w:tcBorders>
            <w:shd w:val="clear" w:color="auto" w:fill="auto"/>
            <w:noWrap/>
            <w:vAlign w:val="center"/>
            <w:hideMark/>
          </w:tcPr>
          <w:p w14:paraId="3EBF76D8" w14:textId="77777777" w:rsidR="006537D2" w:rsidRPr="00267504" w:rsidRDefault="006537D2" w:rsidP="00B63F1A">
            <w:pPr>
              <w:spacing w:after="0" w:line="240" w:lineRule="auto"/>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Granty a transfery</w:t>
            </w:r>
          </w:p>
        </w:tc>
        <w:tc>
          <w:tcPr>
            <w:tcW w:w="575" w:type="pct"/>
            <w:tcBorders>
              <w:top w:val="nil"/>
              <w:left w:val="nil"/>
              <w:bottom w:val="nil"/>
              <w:right w:val="nil"/>
            </w:tcBorders>
            <w:shd w:val="clear" w:color="auto" w:fill="auto"/>
            <w:noWrap/>
            <w:vAlign w:val="center"/>
            <w:hideMark/>
          </w:tcPr>
          <w:p w14:paraId="523F2059" w14:textId="77777777" w:rsidR="006537D2" w:rsidRPr="00267504" w:rsidRDefault="006537D2" w:rsidP="00B63F1A">
            <w:pPr>
              <w:spacing w:after="0" w:line="240" w:lineRule="auto"/>
              <w:jc w:val="center"/>
              <w:rPr>
                <w:rFonts w:ascii="Times New Roman" w:eastAsia="Times New Roman" w:hAnsi="Times New Roman" w:cs="Times New Roman"/>
                <w:b/>
                <w:bCs/>
                <w:color w:val="000000"/>
                <w:sz w:val="12"/>
                <w:szCs w:val="12"/>
                <w:lang w:eastAsia="sk-SK"/>
              </w:rPr>
            </w:pPr>
            <w:r w:rsidRPr="00267504">
              <w:rPr>
                <w:rFonts w:ascii="Times New Roman" w:eastAsia="Times New Roman" w:hAnsi="Times New Roman" w:cs="Times New Roman"/>
                <w:b/>
                <w:bCs/>
                <w:color w:val="000000"/>
                <w:sz w:val="12"/>
                <w:szCs w:val="12"/>
                <w:lang w:eastAsia="sk-SK"/>
              </w:rPr>
              <w:t>D.39+D.7R+D.9R</w:t>
            </w:r>
          </w:p>
        </w:tc>
        <w:tc>
          <w:tcPr>
            <w:tcW w:w="388" w:type="pct"/>
            <w:tcBorders>
              <w:top w:val="nil"/>
              <w:left w:val="nil"/>
              <w:bottom w:val="nil"/>
              <w:right w:val="nil"/>
            </w:tcBorders>
            <w:shd w:val="clear" w:color="auto" w:fill="auto"/>
            <w:noWrap/>
            <w:vAlign w:val="center"/>
            <w:hideMark/>
          </w:tcPr>
          <w:p w14:paraId="5AC8D50A"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1 536,2</w:t>
            </w:r>
          </w:p>
        </w:tc>
        <w:tc>
          <w:tcPr>
            <w:tcW w:w="388" w:type="pct"/>
            <w:tcBorders>
              <w:top w:val="nil"/>
              <w:left w:val="nil"/>
              <w:bottom w:val="nil"/>
              <w:right w:val="nil"/>
            </w:tcBorders>
            <w:shd w:val="clear" w:color="auto" w:fill="auto"/>
            <w:noWrap/>
            <w:vAlign w:val="center"/>
            <w:hideMark/>
          </w:tcPr>
          <w:p w14:paraId="65A1D140"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2 297,4</w:t>
            </w:r>
          </w:p>
        </w:tc>
        <w:tc>
          <w:tcPr>
            <w:tcW w:w="388" w:type="pct"/>
            <w:tcBorders>
              <w:top w:val="nil"/>
              <w:left w:val="nil"/>
              <w:bottom w:val="nil"/>
              <w:right w:val="nil"/>
            </w:tcBorders>
            <w:shd w:val="clear" w:color="auto" w:fill="auto"/>
            <w:noWrap/>
            <w:vAlign w:val="center"/>
            <w:hideMark/>
          </w:tcPr>
          <w:p w14:paraId="0BE55E51"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5 139,3</w:t>
            </w:r>
          </w:p>
        </w:tc>
        <w:tc>
          <w:tcPr>
            <w:tcW w:w="388" w:type="pct"/>
            <w:tcBorders>
              <w:top w:val="nil"/>
              <w:left w:val="nil"/>
              <w:bottom w:val="nil"/>
              <w:right w:val="nil"/>
            </w:tcBorders>
            <w:shd w:val="clear" w:color="auto" w:fill="auto"/>
            <w:noWrap/>
            <w:vAlign w:val="center"/>
            <w:hideMark/>
          </w:tcPr>
          <w:p w14:paraId="796009A3"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4 092,8</w:t>
            </w:r>
          </w:p>
        </w:tc>
        <w:tc>
          <w:tcPr>
            <w:tcW w:w="388" w:type="pct"/>
            <w:tcBorders>
              <w:top w:val="nil"/>
              <w:left w:val="nil"/>
              <w:bottom w:val="nil"/>
              <w:right w:val="nil"/>
            </w:tcBorders>
            <w:shd w:val="clear" w:color="auto" w:fill="auto"/>
            <w:noWrap/>
            <w:vAlign w:val="center"/>
            <w:hideMark/>
          </w:tcPr>
          <w:p w14:paraId="745EA59A"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2 504,6</w:t>
            </w:r>
          </w:p>
        </w:tc>
        <w:tc>
          <w:tcPr>
            <w:tcW w:w="388" w:type="pct"/>
            <w:tcBorders>
              <w:top w:val="nil"/>
              <w:left w:val="nil"/>
              <w:bottom w:val="nil"/>
              <w:right w:val="nil"/>
            </w:tcBorders>
            <w:shd w:val="clear" w:color="auto" w:fill="auto"/>
            <w:noWrap/>
            <w:vAlign w:val="center"/>
            <w:hideMark/>
          </w:tcPr>
          <w:p w14:paraId="6E03FAA8"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2 955,4</w:t>
            </w:r>
          </w:p>
        </w:tc>
        <w:tc>
          <w:tcPr>
            <w:tcW w:w="388" w:type="pct"/>
            <w:tcBorders>
              <w:top w:val="nil"/>
              <w:left w:val="nil"/>
              <w:bottom w:val="nil"/>
              <w:right w:val="nil"/>
            </w:tcBorders>
            <w:shd w:val="clear" w:color="auto" w:fill="auto"/>
            <w:noWrap/>
            <w:vAlign w:val="center"/>
            <w:hideMark/>
          </w:tcPr>
          <w:p w14:paraId="29B3E6A9"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2 714,5</w:t>
            </w:r>
          </w:p>
        </w:tc>
      </w:tr>
      <w:tr w:rsidR="006537D2" w:rsidRPr="00267504" w14:paraId="5E3F5F8F" w14:textId="77777777" w:rsidTr="00B63F1A">
        <w:trPr>
          <w:trHeight w:val="292"/>
        </w:trPr>
        <w:tc>
          <w:tcPr>
            <w:tcW w:w="1709" w:type="pct"/>
            <w:tcBorders>
              <w:top w:val="nil"/>
              <w:left w:val="nil"/>
              <w:bottom w:val="nil"/>
              <w:right w:val="nil"/>
            </w:tcBorders>
            <w:shd w:val="clear" w:color="auto" w:fill="auto"/>
            <w:noWrap/>
            <w:vAlign w:val="center"/>
            <w:hideMark/>
          </w:tcPr>
          <w:p w14:paraId="472672B7" w14:textId="77777777" w:rsidR="006537D2" w:rsidRPr="00267504" w:rsidRDefault="006537D2" w:rsidP="00B63F1A">
            <w:pPr>
              <w:spacing w:after="0" w:line="240" w:lineRule="auto"/>
              <w:ind w:firstLineChars="200" w:firstLine="280"/>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z toho: z EÚ</w:t>
            </w:r>
          </w:p>
        </w:tc>
        <w:tc>
          <w:tcPr>
            <w:tcW w:w="575" w:type="pct"/>
            <w:tcBorders>
              <w:top w:val="nil"/>
              <w:left w:val="nil"/>
              <w:bottom w:val="nil"/>
              <w:right w:val="nil"/>
            </w:tcBorders>
            <w:shd w:val="clear" w:color="auto" w:fill="auto"/>
            <w:noWrap/>
            <w:vAlign w:val="center"/>
            <w:hideMark/>
          </w:tcPr>
          <w:p w14:paraId="290BBF4F" w14:textId="77777777" w:rsidR="006537D2" w:rsidRPr="00267504" w:rsidRDefault="006537D2" w:rsidP="00B63F1A">
            <w:pPr>
              <w:spacing w:after="0" w:line="240" w:lineRule="auto"/>
              <w:ind w:firstLineChars="200" w:firstLine="280"/>
              <w:rPr>
                <w:rFonts w:ascii="Times New Roman" w:eastAsia="Times New Roman" w:hAnsi="Times New Roman" w:cs="Times New Roman"/>
                <w:b/>
                <w:bCs/>
                <w:color w:val="000000"/>
                <w:sz w:val="14"/>
                <w:szCs w:val="14"/>
                <w:lang w:eastAsia="sk-SK"/>
              </w:rPr>
            </w:pPr>
          </w:p>
        </w:tc>
        <w:tc>
          <w:tcPr>
            <w:tcW w:w="388" w:type="pct"/>
            <w:tcBorders>
              <w:top w:val="nil"/>
              <w:left w:val="nil"/>
              <w:bottom w:val="nil"/>
              <w:right w:val="nil"/>
            </w:tcBorders>
            <w:shd w:val="clear" w:color="auto" w:fill="auto"/>
            <w:noWrap/>
            <w:vAlign w:val="center"/>
            <w:hideMark/>
          </w:tcPr>
          <w:p w14:paraId="42B6F199"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1 196,1</w:t>
            </w:r>
          </w:p>
        </w:tc>
        <w:tc>
          <w:tcPr>
            <w:tcW w:w="388" w:type="pct"/>
            <w:tcBorders>
              <w:top w:val="nil"/>
              <w:left w:val="nil"/>
              <w:bottom w:val="nil"/>
              <w:right w:val="nil"/>
            </w:tcBorders>
            <w:shd w:val="clear" w:color="auto" w:fill="auto"/>
            <w:noWrap/>
            <w:vAlign w:val="center"/>
            <w:hideMark/>
          </w:tcPr>
          <w:p w14:paraId="7F5F4163"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1 471,4</w:t>
            </w:r>
          </w:p>
        </w:tc>
        <w:tc>
          <w:tcPr>
            <w:tcW w:w="388" w:type="pct"/>
            <w:tcBorders>
              <w:top w:val="nil"/>
              <w:left w:val="nil"/>
              <w:bottom w:val="nil"/>
              <w:right w:val="nil"/>
            </w:tcBorders>
            <w:shd w:val="clear" w:color="auto" w:fill="auto"/>
            <w:noWrap/>
            <w:vAlign w:val="center"/>
            <w:hideMark/>
          </w:tcPr>
          <w:p w14:paraId="045C65C2"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3 996,8</w:t>
            </w:r>
          </w:p>
        </w:tc>
        <w:tc>
          <w:tcPr>
            <w:tcW w:w="388" w:type="pct"/>
            <w:tcBorders>
              <w:top w:val="nil"/>
              <w:left w:val="nil"/>
              <w:bottom w:val="nil"/>
              <w:right w:val="nil"/>
            </w:tcBorders>
            <w:shd w:val="clear" w:color="auto" w:fill="auto"/>
            <w:noWrap/>
            <w:vAlign w:val="center"/>
            <w:hideMark/>
          </w:tcPr>
          <w:p w14:paraId="67B88171"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3 161,0</w:t>
            </w:r>
          </w:p>
        </w:tc>
        <w:tc>
          <w:tcPr>
            <w:tcW w:w="388" w:type="pct"/>
            <w:tcBorders>
              <w:top w:val="nil"/>
              <w:left w:val="nil"/>
              <w:bottom w:val="nil"/>
              <w:right w:val="nil"/>
            </w:tcBorders>
            <w:shd w:val="clear" w:color="auto" w:fill="auto"/>
            <w:noWrap/>
            <w:vAlign w:val="center"/>
            <w:hideMark/>
          </w:tcPr>
          <w:p w14:paraId="2C4AAE35"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1 509,0</w:t>
            </w:r>
          </w:p>
        </w:tc>
        <w:tc>
          <w:tcPr>
            <w:tcW w:w="388" w:type="pct"/>
            <w:tcBorders>
              <w:top w:val="nil"/>
              <w:left w:val="nil"/>
              <w:bottom w:val="nil"/>
              <w:right w:val="nil"/>
            </w:tcBorders>
            <w:shd w:val="clear" w:color="auto" w:fill="auto"/>
            <w:noWrap/>
            <w:vAlign w:val="center"/>
            <w:hideMark/>
          </w:tcPr>
          <w:p w14:paraId="4809FF25"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2 096,9</w:t>
            </w:r>
          </w:p>
        </w:tc>
        <w:tc>
          <w:tcPr>
            <w:tcW w:w="388" w:type="pct"/>
            <w:tcBorders>
              <w:top w:val="nil"/>
              <w:left w:val="nil"/>
              <w:bottom w:val="nil"/>
              <w:right w:val="nil"/>
            </w:tcBorders>
            <w:shd w:val="clear" w:color="auto" w:fill="auto"/>
            <w:noWrap/>
            <w:vAlign w:val="center"/>
            <w:hideMark/>
          </w:tcPr>
          <w:p w14:paraId="428E0AC1"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1 930,0</w:t>
            </w:r>
          </w:p>
        </w:tc>
      </w:tr>
      <w:tr w:rsidR="006537D2" w:rsidRPr="00267504" w14:paraId="32BA993A" w14:textId="77777777" w:rsidTr="00B63F1A">
        <w:trPr>
          <w:trHeight w:val="292"/>
        </w:trPr>
        <w:tc>
          <w:tcPr>
            <w:tcW w:w="1709" w:type="pct"/>
            <w:tcBorders>
              <w:top w:val="nil"/>
              <w:left w:val="nil"/>
              <w:bottom w:val="nil"/>
              <w:right w:val="nil"/>
            </w:tcBorders>
            <w:shd w:val="clear" w:color="auto" w:fill="auto"/>
            <w:noWrap/>
            <w:vAlign w:val="center"/>
            <w:hideMark/>
          </w:tcPr>
          <w:p w14:paraId="4041DBCC" w14:textId="77777777" w:rsidR="006537D2" w:rsidRPr="00267504" w:rsidRDefault="006537D2" w:rsidP="00B63F1A">
            <w:pPr>
              <w:spacing w:after="0" w:line="240" w:lineRule="auto"/>
              <w:ind w:firstLineChars="100" w:firstLine="140"/>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Ostatné bežné transfery</w:t>
            </w:r>
          </w:p>
        </w:tc>
        <w:tc>
          <w:tcPr>
            <w:tcW w:w="575" w:type="pct"/>
            <w:tcBorders>
              <w:top w:val="nil"/>
              <w:left w:val="nil"/>
              <w:bottom w:val="nil"/>
              <w:right w:val="nil"/>
            </w:tcBorders>
            <w:shd w:val="clear" w:color="auto" w:fill="auto"/>
            <w:noWrap/>
            <w:vAlign w:val="center"/>
            <w:hideMark/>
          </w:tcPr>
          <w:p w14:paraId="3999FBB3" w14:textId="77777777" w:rsidR="006537D2" w:rsidRPr="00267504" w:rsidRDefault="006537D2" w:rsidP="00B63F1A">
            <w:pPr>
              <w:spacing w:after="0" w:line="240" w:lineRule="auto"/>
              <w:jc w:val="center"/>
              <w:rPr>
                <w:rFonts w:ascii="Times New Roman" w:eastAsia="Times New Roman" w:hAnsi="Times New Roman" w:cs="Times New Roman"/>
                <w:color w:val="000000"/>
                <w:sz w:val="12"/>
                <w:szCs w:val="12"/>
                <w:lang w:eastAsia="sk-SK"/>
              </w:rPr>
            </w:pPr>
            <w:r w:rsidRPr="00267504">
              <w:rPr>
                <w:rFonts w:ascii="Times New Roman" w:eastAsia="Times New Roman" w:hAnsi="Times New Roman" w:cs="Times New Roman"/>
                <w:color w:val="000000"/>
                <w:sz w:val="12"/>
                <w:szCs w:val="12"/>
                <w:lang w:eastAsia="sk-SK"/>
              </w:rPr>
              <w:t>D.7R</w:t>
            </w:r>
          </w:p>
        </w:tc>
        <w:tc>
          <w:tcPr>
            <w:tcW w:w="388" w:type="pct"/>
            <w:tcBorders>
              <w:top w:val="nil"/>
              <w:left w:val="nil"/>
              <w:bottom w:val="nil"/>
              <w:right w:val="nil"/>
            </w:tcBorders>
            <w:shd w:val="clear" w:color="auto" w:fill="auto"/>
            <w:noWrap/>
            <w:vAlign w:val="center"/>
            <w:hideMark/>
          </w:tcPr>
          <w:p w14:paraId="6359CCA7"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885,9</w:t>
            </w:r>
          </w:p>
        </w:tc>
        <w:tc>
          <w:tcPr>
            <w:tcW w:w="388" w:type="pct"/>
            <w:tcBorders>
              <w:top w:val="nil"/>
              <w:left w:val="nil"/>
              <w:bottom w:val="nil"/>
              <w:right w:val="nil"/>
            </w:tcBorders>
            <w:shd w:val="clear" w:color="auto" w:fill="auto"/>
            <w:noWrap/>
            <w:vAlign w:val="center"/>
            <w:hideMark/>
          </w:tcPr>
          <w:p w14:paraId="070D1F94"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1 490,2</w:t>
            </w:r>
          </w:p>
        </w:tc>
        <w:tc>
          <w:tcPr>
            <w:tcW w:w="388" w:type="pct"/>
            <w:tcBorders>
              <w:top w:val="nil"/>
              <w:left w:val="nil"/>
              <w:bottom w:val="nil"/>
              <w:right w:val="nil"/>
            </w:tcBorders>
            <w:shd w:val="clear" w:color="auto" w:fill="auto"/>
            <w:noWrap/>
            <w:vAlign w:val="center"/>
            <w:hideMark/>
          </w:tcPr>
          <w:p w14:paraId="1D811C60"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4 992,1</w:t>
            </w:r>
          </w:p>
        </w:tc>
        <w:tc>
          <w:tcPr>
            <w:tcW w:w="388" w:type="pct"/>
            <w:tcBorders>
              <w:top w:val="nil"/>
              <w:left w:val="nil"/>
              <w:bottom w:val="nil"/>
              <w:right w:val="nil"/>
            </w:tcBorders>
            <w:shd w:val="clear" w:color="auto" w:fill="auto"/>
            <w:noWrap/>
            <w:vAlign w:val="center"/>
            <w:hideMark/>
          </w:tcPr>
          <w:p w14:paraId="7D2A5DC5"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3 924,4</w:t>
            </w:r>
          </w:p>
        </w:tc>
        <w:tc>
          <w:tcPr>
            <w:tcW w:w="388" w:type="pct"/>
            <w:tcBorders>
              <w:top w:val="nil"/>
              <w:left w:val="nil"/>
              <w:bottom w:val="nil"/>
              <w:right w:val="nil"/>
            </w:tcBorders>
            <w:shd w:val="clear" w:color="auto" w:fill="auto"/>
            <w:noWrap/>
            <w:vAlign w:val="center"/>
            <w:hideMark/>
          </w:tcPr>
          <w:p w14:paraId="5D5C5908"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2 215,4</w:t>
            </w:r>
          </w:p>
        </w:tc>
        <w:tc>
          <w:tcPr>
            <w:tcW w:w="388" w:type="pct"/>
            <w:tcBorders>
              <w:top w:val="nil"/>
              <w:left w:val="nil"/>
              <w:bottom w:val="nil"/>
              <w:right w:val="nil"/>
            </w:tcBorders>
            <w:shd w:val="clear" w:color="auto" w:fill="auto"/>
            <w:noWrap/>
            <w:vAlign w:val="center"/>
            <w:hideMark/>
          </w:tcPr>
          <w:p w14:paraId="3AD07B85"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2 819,2</w:t>
            </w:r>
          </w:p>
        </w:tc>
        <w:tc>
          <w:tcPr>
            <w:tcW w:w="388" w:type="pct"/>
            <w:tcBorders>
              <w:top w:val="nil"/>
              <w:left w:val="nil"/>
              <w:bottom w:val="nil"/>
              <w:right w:val="nil"/>
            </w:tcBorders>
            <w:shd w:val="clear" w:color="auto" w:fill="auto"/>
            <w:noWrap/>
            <w:vAlign w:val="center"/>
            <w:hideMark/>
          </w:tcPr>
          <w:p w14:paraId="6B1F8191"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2 638,0</w:t>
            </w:r>
          </w:p>
        </w:tc>
      </w:tr>
      <w:tr w:rsidR="006537D2" w:rsidRPr="00267504" w14:paraId="4432BD85" w14:textId="77777777" w:rsidTr="00B63F1A">
        <w:trPr>
          <w:trHeight w:val="292"/>
        </w:trPr>
        <w:tc>
          <w:tcPr>
            <w:tcW w:w="1709" w:type="pct"/>
            <w:tcBorders>
              <w:top w:val="nil"/>
              <w:left w:val="nil"/>
              <w:bottom w:val="single" w:sz="4" w:space="0" w:color="auto"/>
              <w:right w:val="nil"/>
            </w:tcBorders>
            <w:shd w:val="clear" w:color="auto" w:fill="auto"/>
            <w:noWrap/>
            <w:vAlign w:val="center"/>
            <w:hideMark/>
          </w:tcPr>
          <w:p w14:paraId="3B952228" w14:textId="77777777" w:rsidR="006537D2" w:rsidRPr="00267504" w:rsidRDefault="006537D2" w:rsidP="00B63F1A">
            <w:pPr>
              <w:spacing w:after="0" w:line="240" w:lineRule="auto"/>
              <w:ind w:firstLineChars="100" w:firstLine="140"/>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Kapitálové transfery</w:t>
            </w:r>
          </w:p>
        </w:tc>
        <w:tc>
          <w:tcPr>
            <w:tcW w:w="575" w:type="pct"/>
            <w:tcBorders>
              <w:top w:val="nil"/>
              <w:left w:val="nil"/>
              <w:bottom w:val="single" w:sz="4" w:space="0" w:color="auto"/>
              <w:right w:val="nil"/>
            </w:tcBorders>
            <w:shd w:val="clear" w:color="auto" w:fill="auto"/>
            <w:noWrap/>
            <w:vAlign w:val="center"/>
            <w:hideMark/>
          </w:tcPr>
          <w:p w14:paraId="634C3B6F" w14:textId="77777777" w:rsidR="006537D2" w:rsidRPr="00267504" w:rsidRDefault="006537D2" w:rsidP="00B63F1A">
            <w:pPr>
              <w:spacing w:after="0" w:line="240" w:lineRule="auto"/>
              <w:jc w:val="center"/>
              <w:rPr>
                <w:rFonts w:ascii="Times New Roman" w:eastAsia="Times New Roman" w:hAnsi="Times New Roman" w:cs="Times New Roman"/>
                <w:color w:val="000000"/>
                <w:sz w:val="12"/>
                <w:szCs w:val="12"/>
                <w:lang w:eastAsia="sk-SK"/>
              </w:rPr>
            </w:pPr>
            <w:r w:rsidRPr="00267504">
              <w:rPr>
                <w:rFonts w:ascii="Times New Roman" w:eastAsia="Times New Roman" w:hAnsi="Times New Roman" w:cs="Times New Roman"/>
                <w:color w:val="000000"/>
                <w:sz w:val="12"/>
                <w:szCs w:val="12"/>
                <w:lang w:eastAsia="sk-SK"/>
              </w:rPr>
              <w:t>D.9R</w:t>
            </w:r>
          </w:p>
        </w:tc>
        <w:tc>
          <w:tcPr>
            <w:tcW w:w="388" w:type="pct"/>
            <w:tcBorders>
              <w:top w:val="nil"/>
              <w:left w:val="nil"/>
              <w:bottom w:val="single" w:sz="4" w:space="0" w:color="auto"/>
              <w:right w:val="nil"/>
            </w:tcBorders>
            <w:shd w:val="clear" w:color="auto" w:fill="auto"/>
            <w:noWrap/>
            <w:vAlign w:val="center"/>
            <w:hideMark/>
          </w:tcPr>
          <w:p w14:paraId="7E910888"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650,3</w:t>
            </w:r>
          </w:p>
        </w:tc>
        <w:tc>
          <w:tcPr>
            <w:tcW w:w="388" w:type="pct"/>
            <w:tcBorders>
              <w:top w:val="nil"/>
              <w:left w:val="nil"/>
              <w:bottom w:val="single" w:sz="4" w:space="0" w:color="auto"/>
              <w:right w:val="nil"/>
            </w:tcBorders>
            <w:shd w:val="clear" w:color="auto" w:fill="auto"/>
            <w:noWrap/>
            <w:vAlign w:val="center"/>
            <w:hideMark/>
          </w:tcPr>
          <w:p w14:paraId="1D01493D"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807,1</w:t>
            </w:r>
          </w:p>
        </w:tc>
        <w:tc>
          <w:tcPr>
            <w:tcW w:w="388" w:type="pct"/>
            <w:tcBorders>
              <w:top w:val="nil"/>
              <w:left w:val="nil"/>
              <w:bottom w:val="single" w:sz="4" w:space="0" w:color="auto"/>
              <w:right w:val="nil"/>
            </w:tcBorders>
            <w:shd w:val="clear" w:color="auto" w:fill="auto"/>
            <w:noWrap/>
            <w:vAlign w:val="center"/>
            <w:hideMark/>
          </w:tcPr>
          <w:p w14:paraId="55635824"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147,2</w:t>
            </w:r>
          </w:p>
        </w:tc>
        <w:tc>
          <w:tcPr>
            <w:tcW w:w="388" w:type="pct"/>
            <w:tcBorders>
              <w:top w:val="nil"/>
              <w:left w:val="nil"/>
              <w:bottom w:val="single" w:sz="4" w:space="0" w:color="auto"/>
              <w:right w:val="nil"/>
            </w:tcBorders>
            <w:shd w:val="clear" w:color="auto" w:fill="auto"/>
            <w:noWrap/>
            <w:vAlign w:val="center"/>
            <w:hideMark/>
          </w:tcPr>
          <w:p w14:paraId="5F3932A5"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168,4</w:t>
            </w:r>
          </w:p>
        </w:tc>
        <w:tc>
          <w:tcPr>
            <w:tcW w:w="388" w:type="pct"/>
            <w:tcBorders>
              <w:top w:val="nil"/>
              <w:left w:val="nil"/>
              <w:bottom w:val="single" w:sz="4" w:space="0" w:color="auto"/>
              <w:right w:val="nil"/>
            </w:tcBorders>
            <w:shd w:val="clear" w:color="auto" w:fill="auto"/>
            <w:noWrap/>
            <w:vAlign w:val="center"/>
            <w:hideMark/>
          </w:tcPr>
          <w:p w14:paraId="3058CE6A"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289,2</w:t>
            </w:r>
          </w:p>
        </w:tc>
        <w:tc>
          <w:tcPr>
            <w:tcW w:w="388" w:type="pct"/>
            <w:tcBorders>
              <w:top w:val="nil"/>
              <w:left w:val="nil"/>
              <w:bottom w:val="single" w:sz="4" w:space="0" w:color="auto"/>
              <w:right w:val="nil"/>
            </w:tcBorders>
            <w:shd w:val="clear" w:color="auto" w:fill="auto"/>
            <w:noWrap/>
            <w:vAlign w:val="center"/>
            <w:hideMark/>
          </w:tcPr>
          <w:p w14:paraId="59F3969E"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136,2</w:t>
            </w:r>
          </w:p>
        </w:tc>
        <w:tc>
          <w:tcPr>
            <w:tcW w:w="388" w:type="pct"/>
            <w:tcBorders>
              <w:top w:val="nil"/>
              <w:left w:val="nil"/>
              <w:bottom w:val="single" w:sz="4" w:space="0" w:color="auto"/>
              <w:right w:val="nil"/>
            </w:tcBorders>
            <w:shd w:val="clear" w:color="auto" w:fill="auto"/>
            <w:noWrap/>
            <w:vAlign w:val="center"/>
            <w:hideMark/>
          </w:tcPr>
          <w:p w14:paraId="70E60AA1"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76,4</w:t>
            </w:r>
          </w:p>
        </w:tc>
      </w:tr>
      <w:tr w:rsidR="006537D2" w:rsidRPr="00267504" w14:paraId="5B3BC3F6" w14:textId="77777777" w:rsidTr="00B63F1A">
        <w:trPr>
          <w:trHeight w:val="292"/>
        </w:trPr>
        <w:tc>
          <w:tcPr>
            <w:tcW w:w="1709" w:type="pct"/>
            <w:tcBorders>
              <w:top w:val="nil"/>
              <w:left w:val="nil"/>
              <w:bottom w:val="nil"/>
              <w:right w:val="nil"/>
            </w:tcBorders>
            <w:shd w:val="clear" w:color="auto" w:fill="auto"/>
            <w:noWrap/>
            <w:vAlign w:val="center"/>
            <w:hideMark/>
          </w:tcPr>
          <w:p w14:paraId="699D7B0B" w14:textId="77777777" w:rsidR="006537D2" w:rsidRPr="00267504" w:rsidRDefault="006537D2" w:rsidP="00B63F1A">
            <w:pPr>
              <w:spacing w:after="0" w:line="240" w:lineRule="auto"/>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Výdavky spolu</w:t>
            </w:r>
          </w:p>
        </w:tc>
        <w:tc>
          <w:tcPr>
            <w:tcW w:w="575" w:type="pct"/>
            <w:tcBorders>
              <w:top w:val="nil"/>
              <w:left w:val="nil"/>
              <w:bottom w:val="nil"/>
              <w:right w:val="nil"/>
            </w:tcBorders>
            <w:shd w:val="clear" w:color="auto" w:fill="auto"/>
            <w:noWrap/>
            <w:vAlign w:val="center"/>
            <w:hideMark/>
          </w:tcPr>
          <w:p w14:paraId="59864C21" w14:textId="77777777" w:rsidR="006537D2" w:rsidRPr="00267504" w:rsidRDefault="006537D2" w:rsidP="00B63F1A">
            <w:pPr>
              <w:spacing w:after="0" w:line="240" w:lineRule="auto"/>
              <w:jc w:val="center"/>
              <w:rPr>
                <w:rFonts w:ascii="Times New Roman" w:eastAsia="Times New Roman" w:hAnsi="Times New Roman" w:cs="Times New Roman"/>
                <w:b/>
                <w:bCs/>
                <w:color w:val="000000"/>
                <w:sz w:val="12"/>
                <w:szCs w:val="12"/>
                <w:lang w:eastAsia="sk-SK"/>
              </w:rPr>
            </w:pPr>
            <w:r w:rsidRPr="00267504">
              <w:rPr>
                <w:rFonts w:ascii="Times New Roman" w:eastAsia="Times New Roman" w:hAnsi="Times New Roman" w:cs="Times New Roman"/>
                <w:b/>
                <w:bCs/>
                <w:color w:val="000000"/>
                <w:sz w:val="12"/>
                <w:szCs w:val="12"/>
                <w:lang w:eastAsia="sk-SK"/>
              </w:rPr>
              <w:t>TE</w:t>
            </w:r>
          </w:p>
        </w:tc>
        <w:tc>
          <w:tcPr>
            <w:tcW w:w="388" w:type="pct"/>
            <w:tcBorders>
              <w:top w:val="nil"/>
              <w:left w:val="nil"/>
              <w:bottom w:val="nil"/>
              <w:right w:val="nil"/>
            </w:tcBorders>
            <w:shd w:val="clear" w:color="auto" w:fill="auto"/>
            <w:noWrap/>
            <w:vAlign w:val="center"/>
            <w:hideMark/>
          </w:tcPr>
          <w:p w14:paraId="102386DA"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45 460,0</w:t>
            </w:r>
          </w:p>
        </w:tc>
        <w:tc>
          <w:tcPr>
            <w:tcW w:w="388" w:type="pct"/>
            <w:tcBorders>
              <w:top w:val="nil"/>
              <w:left w:val="nil"/>
              <w:bottom w:val="nil"/>
              <w:right w:val="nil"/>
            </w:tcBorders>
            <w:shd w:val="clear" w:color="auto" w:fill="auto"/>
            <w:noWrap/>
            <w:vAlign w:val="center"/>
            <w:hideMark/>
          </w:tcPr>
          <w:p w14:paraId="3DF90C26"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46 334,7</w:t>
            </w:r>
          </w:p>
        </w:tc>
        <w:tc>
          <w:tcPr>
            <w:tcW w:w="388" w:type="pct"/>
            <w:tcBorders>
              <w:top w:val="nil"/>
              <w:left w:val="nil"/>
              <w:bottom w:val="nil"/>
              <w:right w:val="nil"/>
            </w:tcBorders>
            <w:shd w:val="clear" w:color="auto" w:fill="auto"/>
            <w:noWrap/>
            <w:vAlign w:val="center"/>
            <w:hideMark/>
          </w:tcPr>
          <w:p w14:paraId="1653D510"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58 965,7</w:t>
            </w:r>
          </w:p>
        </w:tc>
        <w:tc>
          <w:tcPr>
            <w:tcW w:w="388" w:type="pct"/>
            <w:tcBorders>
              <w:top w:val="nil"/>
              <w:left w:val="nil"/>
              <w:bottom w:val="nil"/>
              <w:right w:val="nil"/>
            </w:tcBorders>
            <w:shd w:val="clear" w:color="auto" w:fill="auto"/>
            <w:noWrap/>
            <w:vAlign w:val="center"/>
            <w:hideMark/>
          </w:tcPr>
          <w:p w14:paraId="292196B0"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58 529,5</w:t>
            </w:r>
          </w:p>
        </w:tc>
        <w:tc>
          <w:tcPr>
            <w:tcW w:w="388" w:type="pct"/>
            <w:tcBorders>
              <w:top w:val="nil"/>
              <w:left w:val="nil"/>
              <w:bottom w:val="nil"/>
              <w:right w:val="nil"/>
            </w:tcBorders>
            <w:shd w:val="clear" w:color="auto" w:fill="auto"/>
            <w:noWrap/>
            <w:vAlign w:val="center"/>
            <w:hideMark/>
          </w:tcPr>
          <w:p w14:paraId="089EA98B"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61 321,2</w:t>
            </w:r>
          </w:p>
        </w:tc>
        <w:tc>
          <w:tcPr>
            <w:tcW w:w="388" w:type="pct"/>
            <w:tcBorders>
              <w:top w:val="nil"/>
              <w:left w:val="nil"/>
              <w:bottom w:val="nil"/>
              <w:right w:val="nil"/>
            </w:tcBorders>
            <w:shd w:val="clear" w:color="auto" w:fill="auto"/>
            <w:noWrap/>
            <w:vAlign w:val="center"/>
            <w:hideMark/>
          </w:tcPr>
          <w:p w14:paraId="49DAF789"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64 259,9</w:t>
            </w:r>
          </w:p>
        </w:tc>
        <w:tc>
          <w:tcPr>
            <w:tcW w:w="388" w:type="pct"/>
            <w:tcBorders>
              <w:top w:val="nil"/>
              <w:left w:val="nil"/>
              <w:bottom w:val="nil"/>
              <w:right w:val="nil"/>
            </w:tcBorders>
            <w:shd w:val="clear" w:color="auto" w:fill="auto"/>
            <w:noWrap/>
            <w:vAlign w:val="center"/>
            <w:hideMark/>
          </w:tcPr>
          <w:p w14:paraId="70572BE4"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65 801,8</w:t>
            </w:r>
          </w:p>
        </w:tc>
      </w:tr>
      <w:tr w:rsidR="006537D2" w:rsidRPr="00267504" w14:paraId="16272F93" w14:textId="77777777" w:rsidTr="00B63F1A">
        <w:trPr>
          <w:trHeight w:val="292"/>
        </w:trPr>
        <w:tc>
          <w:tcPr>
            <w:tcW w:w="1709" w:type="pct"/>
            <w:tcBorders>
              <w:top w:val="nil"/>
              <w:left w:val="nil"/>
              <w:bottom w:val="single" w:sz="4" w:space="0" w:color="auto"/>
              <w:right w:val="nil"/>
            </w:tcBorders>
            <w:shd w:val="clear" w:color="auto" w:fill="auto"/>
            <w:noWrap/>
            <w:vAlign w:val="center"/>
            <w:hideMark/>
          </w:tcPr>
          <w:p w14:paraId="1ED99135" w14:textId="77777777" w:rsidR="006537D2" w:rsidRPr="00267504" w:rsidRDefault="006537D2" w:rsidP="00B63F1A">
            <w:pPr>
              <w:spacing w:after="0" w:line="240" w:lineRule="auto"/>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v % HDP</w:t>
            </w:r>
          </w:p>
        </w:tc>
        <w:tc>
          <w:tcPr>
            <w:tcW w:w="575" w:type="pct"/>
            <w:tcBorders>
              <w:top w:val="nil"/>
              <w:left w:val="nil"/>
              <w:bottom w:val="single" w:sz="4" w:space="0" w:color="auto"/>
              <w:right w:val="nil"/>
            </w:tcBorders>
            <w:shd w:val="clear" w:color="auto" w:fill="auto"/>
            <w:noWrap/>
            <w:vAlign w:val="center"/>
            <w:hideMark/>
          </w:tcPr>
          <w:p w14:paraId="1BA453C1" w14:textId="77777777" w:rsidR="006537D2" w:rsidRPr="00267504" w:rsidRDefault="006537D2" w:rsidP="00B63F1A">
            <w:pPr>
              <w:spacing w:after="0" w:line="240" w:lineRule="auto"/>
              <w:jc w:val="center"/>
              <w:rPr>
                <w:rFonts w:ascii="Times New Roman" w:eastAsia="Times New Roman" w:hAnsi="Times New Roman" w:cs="Times New Roman"/>
                <w:color w:val="000000"/>
                <w:sz w:val="12"/>
                <w:szCs w:val="12"/>
                <w:lang w:eastAsia="sk-SK"/>
              </w:rPr>
            </w:pPr>
            <w:r w:rsidRPr="00267504">
              <w:rPr>
                <w:rFonts w:ascii="Times New Roman" w:eastAsia="Times New Roman" w:hAnsi="Times New Roman" w:cs="Times New Roman"/>
                <w:color w:val="000000"/>
                <w:sz w:val="12"/>
                <w:szCs w:val="12"/>
                <w:lang w:eastAsia="sk-SK"/>
              </w:rPr>
              <w:t> </w:t>
            </w:r>
          </w:p>
        </w:tc>
        <w:tc>
          <w:tcPr>
            <w:tcW w:w="388" w:type="pct"/>
            <w:tcBorders>
              <w:top w:val="nil"/>
              <w:left w:val="nil"/>
              <w:bottom w:val="single" w:sz="4" w:space="0" w:color="auto"/>
              <w:right w:val="nil"/>
            </w:tcBorders>
            <w:shd w:val="clear" w:color="auto" w:fill="auto"/>
            <w:noWrap/>
            <w:vAlign w:val="center"/>
            <w:hideMark/>
          </w:tcPr>
          <w:p w14:paraId="0A2DE11E" w14:textId="77777777" w:rsidR="006537D2" w:rsidRPr="00267504" w:rsidRDefault="006537D2" w:rsidP="00B63F1A">
            <w:pPr>
              <w:spacing w:after="0" w:line="240" w:lineRule="auto"/>
              <w:jc w:val="right"/>
              <w:rPr>
                <w:rFonts w:ascii="Times New Roman" w:eastAsia="Times New Roman" w:hAnsi="Times New Roman" w:cs="Times New Roman"/>
                <w:sz w:val="14"/>
                <w:szCs w:val="14"/>
                <w:lang w:eastAsia="sk-SK"/>
              </w:rPr>
            </w:pPr>
            <w:r w:rsidRPr="00267504">
              <w:rPr>
                <w:rFonts w:ascii="Times New Roman" w:eastAsia="Times New Roman" w:hAnsi="Times New Roman" w:cs="Times New Roman"/>
                <w:sz w:val="14"/>
                <w:szCs w:val="14"/>
                <w:lang w:eastAsia="sk-SK"/>
              </w:rPr>
              <w:t>45,34</w:t>
            </w:r>
          </w:p>
        </w:tc>
        <w:tc>
          <w:tcPr>
            <w:tcW w:w="388" w:type="pct"/>
            <w:tcBorders>
              <w:top w:val="nil"/>
              <w:left w:val="nil"/>
              <w:bottom w:val="single" w:sz="4" w:space="0" w:color="auto"/>
              <w:right w:val="nil"/>
            </w:tcBorders>
            <w:shd w:val="clear" w:color="auto" w:fill="auto"/>
            <w:noWrap/>
            <w:vAlign w:val="center"/>
            <w:hideMark/>
          </w:tcPr>
          <w:p w14:paraId="1D21F2C0" w14:textId="77777777" w:rsidR="006537D2" w:rsidRPr="00267504" w:rsidRDefault="006537D2" w:rsidP="00B63F1A">
            <w:pPr>
              <w:spacing w:after="0" w:line="240" w:lineRule="auto"/>
              <w:jc w:val="right"/>
              <w:rPr>
                <w:rFonts w:ascii="Times New Roman" w:eastAsia="Times New Roman" w:hAnsi="Times New Roman" w:cs="Times New Roman"/>
                <w:sz w:val="14"/>
                <w:szCs w:val="14"/>
                <w:lang w:eastAsia="sk-SK"/>
              </w:rPr>
            </w:pPr>
            <w:r w:rsidRPr="00267504">
              <w:rPr>
                <w:rFonts w:ascii="Times New Roman" w:eastAsia="Times New Roman" w:hAnsi="Times New Roman" w:cs="Times New Roman"/>
                <w:sz w:val="14"/>
                <w:szCs w:val="14"/>
                <w:lang w:eastAsia="sk-SK"/>
              </w:rPr>
              <w:t>42,26</w:t>
            </w:r>
          </w:p>
        </w:tc>
        <w:tc>
          <w:tcPr>
            <w:tcW w:w="388" w:type="pct"/>
            <w:tcBorders>
              <w:top w:val="nil"/>
              <w:left w:val="nil"/>
              <w:bottom w:val="single" w:sz="4" w:space="0" w:color="auto"/>
              <w:right w:val="nil"/>
            </w:tcBorders>
            <w:shd w:val="clear" w:color="auto" w:fill="auto"/>
            <w:noWrap/>
            <w:vAlign w:val="center"/>
            <w:hideMark/>
          </w:tcPr>
          <w:p w14:paraId="3A6A61BA" w14:textId="77777777" w:rsidR="006537D2" w:rsidRPr="00267504" w:rsidRDefault="006537D2" w:rsidP="00B63F1A">
            <w:pPr>
              <w:spacing w:after="0" w:line="240" w:lineRule="auto"/>
              <w:jc w:val="right"/>
              <w:rPr>
                <w:rFonts w:ascii="Times New Roman" w:eastAsia="Times New Roman" w:hAnsi="Times New Roman" w:cs="Times New Roman"/>
                <w:sz w:val="14"/>
                <w:szCs w:val="14"/>
                <w:lang w:eastAsia="sk-SK"/>
              </w:rPr>
            </w:pPr>
            <w:r w:rsidRPr="00267504">
              <w:rPr>
                <w:rFonts w:ascii="Times New Roman" w:eastAsia="Times New Roman" w:hAnsi="Times New Roman" w:cs="Times New Roman"/>
                <w:sz w:val="14"/>
                <w:szCs w:val="14"/>
                <w:lang w:eastAsia="sk-SK"/>
              </w:rPr>
              <w:t>48,21</w:t>
            </w:r>
          </w:p>
        </w:tc>
        <w:tc>
          <w:tcPr>
            <w:tcW w:w="388" w:type="pct"/>
            <w:tcBorders>
              <w:top w:val="nil"/>
              <w:left w:val="nil"/>
              <w:bottom w:val="single" w:sz="4" w:space="0" w:color="auto"/>
              <w:right w:val="nil"/>
            </w:tcBorders>
            <w:shd w:val="clear" w:color="auto" w:fill="auto"/>
            <w:noWrap/>
            <w:vAlign w:val="center"/>
            <w:hideMark/>
          </w:tcPr>
          <w:p w14:paraId="1E33FC55" w14:textId="77777777" w:rsidR="006537D2" w:rsidRPr="00267504" w:rsidRDefault="006537D2" w:rsidP="00B63F1A">
            <w:pPr>
              <w:spacing w:after="0" w:line="240" w:lineRule="auto"/>
              <w:jc w:val="right"/>
              <w:rPr>
                <w:rFonts w:ascii="Times New Roman" w:eastAsia="Times New Roman" w:hAnsi="Times New Roman" w:cs="Times New Roman"/>
                <w:sz w:val="14"/>
                <w:szCs w:val="14"/>
                <w:lang w:eastAsia="sk-SK"/>
              </w:rPr>
            </w:pPr>
            <w:r w:rsidRPr="00267504">
              <w:rPr>
                <w:rFonts w:ascii="Times New Roman" w:eastAsia="Times New Roman" w:hAnsi="Times New Roman" w:cs="Times New Roman"/>
                <w:sz w:val="14"/>
                <w:szCs w:val="14"/>
                <w:lang w:eastAsia="sk-SK"/>
              </w:rPr>
              <w:t>48,01</w:t>
            </w:r>
          </w:p>
        </w:tc>
        <w:tc>
          <w:tcPr>
            <w:tcW w:w="388" w:type="pct"/>
            <w:tcBorders>
              <w:top w:val="nil"/>
              <w:left w:val="nil"/>
              <w:bottom w:val="single" w:sz="4" w:space="0" w:color="auto"/>
              <w:right w:val="nil"/>
            </w:tcBorders>
            <w:shd w:val="clear" w:color="auto" w:fill="auto"/>
            <w:noWrap/>
            <w:vAlign w:val="center"/>
            <w:hideMark/>
          </w:tcPr>
          <w:p w14:paraId="4B640199" w14:textId="77777777" w:rsidR="006537D2" w:rsidRPr="00267504" w:rsidRDefault="006537D2" w:rsidP="00B63F1A">
            <w:pPr>
              <w:spacing w:after="0" w:line="240" w:lineRule="auto"/>
              <w:jc w:val="right"/>
              <w:rPr>
                <w:rFonts w:ascii="Times New Roman" w:eastAsia="Times New Roman" w:hAnsi="Times New Roman" w:cs="Times New Roman"/>
                <w:sz w:val="14"/>
                <w:szCs w:val="14"/>
                <w:lang w:eastAsia="sk-SK"/>
              </w:rPr>
            </w:pPr>
            <w:r w:rsidRPr="00267504">
              <w:rPr>
                <w:rFonts w:ascii="Times New Roman" w:eastAsia="Times New Roman" w:hAnsi="Times New Roman" w:cs="Times New Roman"/>
                <w:sz w:val="14"/>
                <w:szCs w:val="14"/>
                <w:lang w:eastAsia="sk-SK"/>
              </w:rPr>
              <w:t>46,69</w:t>
            </w:r>
          </w:p>
        </w:tc>
        <w:tc>
          <w:tcPr>
            <w:tcW w:w="388" w:type="pct"/>
            <w:tcBorders>
              <w:top w:val="nil"/>
              <w:left w:val="nil"/>
              <w:bottom w:val="single" w:sz="4" w:space="0" w:color="auto"/>
              <w:right w:val="nil"/>
            </w:tcBorders>
            <w:shd w:val="clear" w:color="auto" w:fill="auto"/>
            <w:noWrap/>
            <w:vAlign w:val="center"/>
            <w:hideMark/>
          </w:tcPr>
          <w:p w14:paraId="569E37AD" w14:textId="77777777" w:rsidR="006537D2" w:rsidRPr="00267504" w:rsidRDefault="006537D2" w:rsidP="00B63F1A">
            <w:pPr>
              <w:spacing w:after="0" w:line="240" w:lineRule="auto"/>
              <w:jc w:val="right"/>
              <w:rPr>
                <w:rFonts w:ascii="Times New Roman" w:eastAsia="Times New Roman" w:hAnsi="Times New Roman" w:cs="Times New Roman"/>
                <w:sz w:val="14"/>
                <w:szCs w:val="14"/>
                <w:lang w:eastAsia="sk-SK"/>
              </w:rPr>
            </w:pPr>
            <w:r w:rsidRPr="00267504">
              <w:rPr>
                <w:rFonts w:ascii="Times New Roman" w:eastAsia="Times New Roman" w:hAnsi="Times New Roman" w:cs="Times New Roman"/>
                <w:sz w:val="14"/>
                <w:szCs w:val="14"/>
                <w:lang w:eastAsia="sk-SK"/>
              </w:rPr>
              <w:t>46,16</w:t>
            </w:r>
          </w:p>
        </w:tc>
        <w:tc>
          <w:tcPr>
            <w:tcW w:w="388" w:type="pct"/>
            <w:tcBorders>
              <w:top w:val="nil"/>
              <w:left w:val="nil"/>
              <w:bottom w:val="single" w:sz="4" w:space="0" w:color="auto"/>
              <w:right w:val="nil"/>
            </w:tcBorders>
            <w:shd w:val="clear" w:color="auto" w:fill="auto"/>
            <w:noWrap/>
            <w:vAlign w:val="center"/>
            <w:hideMark/>
          </w:tcPr>
          <w:p w14:paraId="0ECAD3AC" w14:textId="77777777" w:rsidR="006537D2" w:rsidRPr="00267504" w:rsidRDefault="006537D2" w:rsidP="00B63F1A">
            <w:pPr>
              <w:spacing w:after="0" w:line="240" w:lineRule="auto"/>
              <w:jc w:val="right"/>
              <w:rPr>
                <w:rFonts w:ascii="Times New Roman" w:eastAsia="Times New Roman" w:hAnsi="Times New Roman" w:cs="Times New Roman"/>
                <w:sz w:val="14"/>
                <w:szCs w:val="14"/>
                <w:lang w:eastAsia="sk-SK"/>
              </w:rPr>
            </w:pPr>
            <w:r w:rsidRPr="00267504">
              <w:rPr>
                <w:rFonts w:ascii="Times New Roman" w:eastAsia="Times New Roman" w:hAnsi="Times New Roman" w:cs="Times New Roman"/>
                <w:sz w:val="14"/>
                <w:szCs w:val="14"/>
                <w:lang w:eastAsia="sk-SK"/>
              </w:rPr>
              <w:t>44,89</w:t>
            </w:r>
          </w:p>
        </w:tc>
      </w:tr>
      <w:tr w:rsidR="006537D2" w:rsidRPr="00267504" w14:paraId="69911CB3" w14:textId="77777777" w:rsidTr="00B63F1A">
        <w:trPr>
          <w:trHeight w:val="292"/>
        </w:trPr>
        <w:tc>
          <w:tcPr>
            <w:tcW w:w="1709" w:type="pct"/>
            <w:tcBorders>
              <w:top w:val="nil"/>
              <w:left w:val="nil"/>
              <w:bottom w:val="nil"/>
              <w:right w:val="nil"/>
            </w:tcBorders>
            <w:shd w:val="clear" w:color="auto" w:fill="auto"/>
            <w:noWrap/>
            <w:vAlign w:val="center"/>
            <w:hideMark/>
          </w:tcPr>
          <w:p w14:paraId="7858D5D1" w14:textId="77777777" w:rsidR="006537D2" w:rsidRPr="00267504" w:rsidRDefault="006537D2" w:rsidP="00B63F1A">
            <w:pPr>
              <w:spacing w:after="0" w:line="240" w:lineRule="auto"/>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Bežné výdavky</w:t>
            </w:r>
          </w:p>
        </w:tc>
        <w:tc>
          <w:tcPr>
            <w:tcW w:w="575" w:type="pct"/>
            <w:tcBorders>
              <w:top w:val="nil"/>
              <w:left w:val="nil"/>
              <w:bottom w:val="nil"/>
              <w:right w:val="nil"/>
            </w:tcBorders>
            <w:shd w:val="clear" w:color="auto" w:fill="auto"/>
            <w:noWrap/>
            <w:vAlign w:val="center"/>
            <w:hideMark/>
          </w:tcPr>
          <w:p w14:paraId="030FB4B5" w14:textId="77777777" w:rsidR="006537D2" w:rsidRPr="00267504" w:rsidRDefault="006537D2" w:rsidP="00B63F1A">
            <w:pPr>
              <w:spacing w:after="0" w:line="240" w:lineRule="auto"/>
              <w:jc w:val="center"/>
              <w:rPr>
                <w:rFonts w:ascii="Times New Roman" w:eastAsia="Times New Roman" w:hAnsi="Times New Roman" w:cs="Times New Roman"/>
                <w:b/>
                <w:bCs/>
                <w:color w:val="000000"/>
                <w:sz w:val="12"/>
                <w:szCs w:val="12"/>
                <w:lang w:eastAsia="sk-SK"/>
              </w:rPr>
            </w:pPr>
            <w:r w:rsidRPr="00267504">
              <w:rPr>
                <w:rFonts w:ascii="Times New Roman" w:eastAsia="Times New Roman" w:hAnsi="Times New Roman" w:cs="Times New Roman"/>
                <w:b/>
                <w:bCs/>
                <w:color w:val="000000"/>
                <w:sz w:val="12"/>
                <w:szCs w:val="12"/>
                <w:lang w:eastAsia="sk-SK"/>
              </w:rPr>
              <w:t> </w:t>
            </w:r>
          </w:p>
        </w:tc>
        <w:tc>
          <w:tcPr>
            <w:tcW w:w="388" w:type="pct"/>
            <w:tcBorders>
              <w:top w:val="nil"/>
              <w:left w:val="nil"/>
              <w:bottom w:val="nil"/>
              <w:right w:val="nil"/>
            </w:tcBorders>
            <w:shd w:val="clear" w:color="auto" w:fill="auto"/>
            <w:noWrap/>
            <w:vAlign w:val="center"/>
            <w:hideMark/>
          </w:tcPr>
          <w:p w14:paraId="0C9427F3"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41 852,7</w:t>
            </w:r>
          </w:p>
        </w:tc>
        <w:tc>
          <w:tcPr>
            <w:tcW w:w="388" w:type="pct"/>
            <w:tcBorders>
              <w:top w:val="nil"/>
              <w:left w:val="nil"/>
              <w:bottom w:val="nil"/>
              <w:right w:val="nil"/>
            </w:tcBorders>
            <w:shd w:val="clear" w:color="auto" w:fill="auto"/>
            <w:noWrap/>
            <w:vAlign w:val="center"/>
            <w:hideMark/>
          </w:tcPr>
          <w:p w14:paraId="2ACD3E7E"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42 283,5</w:t>
            </w:r>
          </w:p>
        </w:tc>
        <w:tc>
          <w:tcPr>
            <w:tcW w:w="388" w:type="pct"/>
            <w:tcBorders>
              <w:top w:val="nil"/>
              <w:left w:val="nil"/>
              <w:bottom w:val="nil"/>
              <w:right w:val="nil"/>
            </w:tcBorders>
            <w:shd w:val="clear" w:color="auto" w:fill="auto"/>
            <w:noWrap/>
            <w:vAlign w:val="center"/>
            <w:hideMark/>
          </w:tcPr>
          <w:p w14:paraId="1EE32E80"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53 390,3</w:t>
            </w:r>
          </w:p>
        </w:tc>
        <w:tc>
          <w:tcPr>
            <w:tcW w:w="388" w:type="pct"/>
            <w:tcBorders>
              <w:top w:val="nil"/>
              <w:left w:val="nil"/>
              <w:bottom w:val="nil"/>
              <w:right w:val="nil"/>
            </w:tcBorders>
            <w:shd w:val="clear" w:color="auto" w:fill="auto"/>
            <w:noWrap/>
            <w:vAlign w:val="center"/>
            <w:hideMark/>
          </w:tcPr>
          <w:p w14:paraId="0C7B9AB7"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52 071,9</w:t>
            </w:r>
          </w:p>
        </w:tc>
        <w:tc>
          <w:tcPr>
            <w:tcW w:w="388" w:type="pct"/>
            <w:tcBorders>
              <w:top w:val="nil"/>
              <w:left w:val="nil"/>
              <w:bottom w:val="nil"/>
              <w:right w:val="nil"/>
            </w:tcBorders>
            <w:shd w:val="clear" w:color="auto" w:fill="auto"/>
            <w:noWrap/>
            <w:vAlign w:val="center"/>
            <w:hideMark/>
          </w:tcPr>
          <w:p w14:paraId="7CEB0EC5"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55 915,0</w:t>
            </w:r>
          </w:p>
        </w:tc>
        <w:tc>
          <w:tcPr>
            <w:tcW w:w="388" w:type="pct"/>
            <w:tcBorders>
              <w:top w:val="nil"/>
              <w:left w:val="nil"/>
              <w:bottom w:val="nil"/>
              <w:right w:val="nil"/>
            </w:tcBorders>
            <w:shd w:val="clear" w:color="auto" w:fill="auto"/>
            <w:noWrap/>
            <w:vAlign w:val="center"/>
            <w:hideMark/>
          </w:tcPr>
          <w:p w14:paraId="60A28B2C"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58 074,6</w:t>
            </w:r>
          </w:p>
        </w:tc>
        <w:tc>
          <w:tcPr>
            <w:tcW w:w="388" w:type="pct"/>
            <w:tcBorders>
              <w:top w:val="nil"/>
              <w:left w:val="nil"/>
              <w:bottom w:val="nil"/>
              <w:right w:val="nil"/>
            </w:tcBorders>
            <w:shd w:val="clear" w:color="auto" w:fill="auto"/>
            <w:noWrap/>
            <w:vAlign w:val="center"/>
            <w:hideMark/>
          </w:tcPr>
          <w:p w14:paraId="56C1F2EC"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60 999,3</w:t>
            </w:r>
          </w:p>
        </w:tc>
      </w:tr>
      <w:tr w:rsidR="006537D2" w:rsidRPr="00267504" w14:paraId="72759636" w14:textId="77777777" w:rsidTr="00B63F1A">
        <w:trPr>
          <w:trHeight w:val="292"/>
        </w:trPr>
        <w:tc>
          <w:tcPr>
            <w:tcW w:w="1709" w:type="pct"/>
            <w:tcBorders>
              <w:top w:val="nil"/>
              <w:left w:val="nil"/>
              <w:bottom w:val="nil"/>
              <w:right w:val="nil"/>
            </w:tcBorders>
            <w:shd w:val="clear" w:color="auto" w:fill="auto"/>
            <w:noWrap/>
            <w:vAlign w:val="center"/>
            <w:hideMark/>
          </w:tcPr>
          <w:p w14:paraId="7F06FE7A" w14:textId="77777777" w:rsidR="006537D2" w:rsidRPr="00267504" w:rsidRDefault="006537D2" w:rsidP="00B63F1A">
            <w:pPr>
              <w:spacing w:after="0" w:line="240" w:lineRule="auto"/>
              <w:ind w:firstLineChars="100" w:firstLine="140"/>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Kompenzácie zamestnancov</w:t>
            </w:r>
          </w:p>
        </w:tc>
        <w:tc>
          <w:tcPr>
            <w:tcW w:w="575" w:type="pct"/>
            <w:tcBorders>
              <w:top w:val="nil"/>
              <w:left w:val="nil"/>
              <w:bottom w:val="nil"/>
              <w:right w:val="nil"/>
            </w:tcBorders>
            <w:shd w:val="clear" w:color="auto" w:fill="auto"/>
            <w:noWrap/>
            <w:vAlign w:val="center"/>
            <w:hideMark/>
          </w:tcPr>
          <w:p w14:paraId="4A5D8D66" w14:textId="77777777" w:rsidR="006537D2" w:rsidRPr="00267504" w:rsidRDefault="006537D2" w:rsidP="00B63F1A">
            <w:pPr>
              <w:spacing w:after="0" w:line="240" w:lineRule="auto"/>
              <w:jc w:val="center"/>
              <w:rPr>
                <w:rFonts w:ascii="Times New Roman" w:eastAsia="Times New Roman" w:hAnsi="Times New Roman" w:cs="Times New Roman"/>
                <w:color w:val="000000"/>
                <w:sz w:val="12"/>
                <w:szCs w:val="12"/>
                <w:lang w:eastAsia="sk-SK"/>
              </w:rPr>
            </w:pPr>
            <w:r w:rsidRPr="00267504">
              <w:rPr>
                <w:rFonts w:ascii="Times New Roman" w:eastAsia="Times New Roman" w:hAnsi="Times New Roman" w:cs="Times New Roman"/>
                <w:color w:val="000000"/>
                <w:sz w:val="12"/>
                <w:szCs w:val="12"/>
                <w:lang w:eastAsia="sk-SK"/>
              </w:rPr>
              <w:t>D.1P</w:t>
            </w:r>
          </w:p>
        </w:tc>
        <w:tc>
          <w:tcPr>
            <w:tcW w:w="388" w:type="pct"/>
            <w:tcBorders>
              <w:top w:val="nil"/>
              <w:left w:val="nil"/>
              <w:bottom w:val="nil"/>
              <w:right w:val="nil"/>
            </w:tcBorders>
            <w:shd w:val="clear" w:color="auto" w:fill="auto"/>
            <w:noWrap/>
            <w:vAlign w:val="center"/>
            <w:hideMark/>
          </w:tcPr>
          <w:p w14:paraId="02065E4C"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11 354,4</w:t>
            </w:r>
          </w:p>
        </w:tc>
        <w:tc>
          <w:tcPr>
            <w:tcW w:w="388" w:type="pct"/>
            <w:tcBorders>
              <w:top w:val="nil"/>
              <w:left w:val="nil"/>
              <w:bottom w:val="nil"/>
              <w:right w:val="nil"/>
            </w:tcBorders>
            <w:shd w:val="clear" w:color="auto" w:fill="auto"/>
            <w:noWrap/>
            <w:vAlign w:val="center"/>
            <w:hideMark/>
          </w:tcPr>
          <w:p w14:paraId="495C2DB9"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11 663,6</w:t>
            </w:r>
          </w:p>
        </w:tc>
        <w:tc>
          <w:tcPr>
            <w:tcW w:w="388" w:type="pct"/>
            <w:tcBorders>
              <w:top w:val="nil"/>
              <w:left w:val="nil"/>
              <w:bottom w:val="nil"/>
              <w:right w:val="nil"/>
            </w:tcBorders>
            <w:shd w:val="clear" w:color="auto" w:fill="auto"/>
            <w:noWrap/>
            <w:vAlign w:val="center"/>
            <w:hideMark/>
          </w:tcPr>
          <w:p w14:paraId="7053012D"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12 151,5</w:t>
            </w:r>
          </w:p>
        </w:tc>
        <w:tc>
          <w:tcPr>
            <w:tcW w:w="388" w:type="pct"/>
            <w:tcBorders>
              <w:top w:val="nil"/>
              <w:left w:val="nil"/>
              <w:bottom w:val="nil"/>
              <w:right w:val="nil"/>
            </w:tcBorders>
            <w:shd w:val="clear" w:color="auto" w:fill="auto"/>
            <w:noWrap/>
            <w:vAlign w:val="center"/>
            <w:hideMark/>
          </w:tcPr>
          <w:p w14:paraId="3B610C91"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12 593,0</w:t>
            </w:r>
          </w:p>
        </w:tc>
        <w:tc>
          <w:tcPr>
            <w:tcW w:w="388" w:type="pct"/>
            <w:tcBorders>
              <w:top w:val="nil"/>
              <w:left w:val="nil"/>
              <w:bottom w:val="nil"/>
              <w:right w:val="nil"/>
            </w:tcBorders>
            <w:shd w:val="clear" w:color="auto" w:fill="auto"/>
            <w:noWrap/>
            <w:vAlign w:val="center"/>
            <w:hideMark/>
          </w:tcPr>
          <w:p w14:paraId="152BDBD6"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14 013,3</w:t>
            </w:r>
          </w:p>
        </w:tc>
        <w:tc>
          <w:tcPr>
            <w:tcW w:w="388" w:type="pct"/>
            <w:tcBorders>
              <w:top w:val="nil"/>
              <w:left w:val="nil"/>
              <w:bottom w:val="nil"/>
              <w:right w:val="nil"/>
            </w:tcBorders>
            <w:shd w:val="clear" w:color="auto" w:fill="auto"/>
            <w:noWrap/>
            <w:vAlign w:val="center"/>
            <w:hideMark/>
          </w:tcPr>
          <w:p w14:paraId="4E9D6D51"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14 728,0</w:t>
            </w:r>
          </w:p>
        </w:tc>
        <w:tc>
          <w:tcPr>
            <w:tcW w:w="388" w:type="pct"/>
            <w:tcBorders>
              <w:top w:val="nil"/>
              <w:left w:val="nil"/>
              <w:bottom w:val="nil"/>
              <w:right w:val="nil"/>
            </w:tcBorders>
            <w:shd w:val="clear" w:color="auto" w:fill="auto"/>
            <w:noWrap/>
            <w:vAlign w:val="center"/>
            <w:hideMark/>
          </w:tcPr>
          <w:p w14:paraId="0877AEB2"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15 364,2</w:t>
            </w:r>
          </w:p>
        </w:tc>
      </w:tr>
      <w:tr w:rsidR="006537D2" w:rsidRPr="00267504" w14:paraId="0D552A48" w14:textId="77777777" w:rsidTr="00B63F1A">
        <w:trPr>
          <w:trHeight w:val="292"/>
        </w:trPr>
        <w:tc>
          <w:tcPr>
            <w:tcW w:w="1709" w:type="pct"/>
            <w:tcBorders>
              <w:top w:val="nil"/>
              <w:left w:val="nil"/>
              <w:bottom w:val="nil"/>
              <w:right w:val="nil"/>
            </w:tcBorders>
            <w:shd w:val="clear" w:color="auto" w:fill="auto"/>
            <w:noWrap/>
            <w:vAlign w:val="center"/>
            <w:hideMark/>
          </w:tcPr>
          <w:p w14:paraId="2410949F" w14:textId="77777777" w:rsidR="006537D2" w:rsidRPr="00267504" w:rsidRDefault="006537D2" w:rsidP="00B63F1A">
            <w:pPr>
              <w:spacing w:after="0" w:line="240" w:lineRule="auto"/>
              <w:ind w:firstLineChars="100" w:firstLine="140"/>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Medzispotreba</w:t>
            </w:r>
          </w:p>
        </w:tc>
        <w:tc>
          <w:tcPr>
            <w:tcW w:w="575" w:type="pct"/>
            <w:tcBorders>
              <w:top w:val="nil"/>
              <w:left w:val="nil"/>
              <w:bottom w:val="nil"/>
              <w:right w:val="nil"/>
            </w:tcBorders>
            <w:shd w:val="clear" w:color="auto" w:fill="auto"/>
            <w:noWrap/>
            <w:vAlign w:val="center"/>
            <w:hideMark/>
          </w:tcPr>
          <w:p w14:paraId="2B226D1B" w14:textId="77777777" w:rsidR="006537D2" w:rsidRPr="00267504" w:rsidRDefault="006537D2" w:rsidP="00B63F1A">
            <w:pPr>
              <w:spacing w:after="0" w:line="240" w:lineRule="auto"/>
              <w:jc w:val="center"/>
              <w:rPr>
                <w:rFonts w:ascii="Times New Roman" w:eastAsia="Times New Roman" w:hAnsi="Times New Roman" w:cs="Times New Roman"/>
                <w:color w:val="000000"/>
                <w:sz w:val="12"/>
                <w:szCs w:val="12"/>
                <w:lang w:eastAsia="sk-SK"/>
              </w:rPr>
            </w:pPr>
            <w:r w:rsidRPr="00267504">
              <w:rPr>
                <w:rFonts w:ascii="Times New Roman" w:eastAsia="Times New Roman" w:hAnsi="Times New Roman" w:cs="Times New Roman"/>
                <w:color w:val="000000"/>
                <w:sz w:val="12"/>
                <w:szCs w:val="12"/>
                <w:lang w:eastAsia="sk-SK"/>
              </w:rPr>
              <w:t>P.2</w:t>
            </w:r>
          </w:p>
        </w:tc>
        <w:tc>
          <w:tcPr>
            <w:tcW w:w="388" w:type="pct"/>
            <w:tcBorders>
              <w:top w:val="nil"/>
              <w:left w:val="nil"/>
              <w:bottom w:val="nil"/>
              <w:right w:val="nil"/>
            </w:tcBorders>
            <w:shd w:val="clear" w:color="auto" w:fill="auto"/>
            <w:noWrap/>
            <w:vAlign w:val="center"/>
            <w:hideMark/>
          </w:tcPr>
          <w:p w14:paraId="62C07A60"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5 726,3</w:t>
            </w:r>
          </w:p>
        </w:tc>
        <w:tc>
          <w:tcPr>
            <w:tcW w:w="388" w:type="pct"/>
            <w:tcBorders>
              <w:top w:val="nil"/>
              <w:left w:val="nil"/>
              <w:bottom w:val="nil"/>
              <w:right w:val="nil"/>
            </w:tcBorders>
            <w:shd w:val="clear" w:color="auto" w:fill="auto"/>
            <w:noWrap/>
            <w:vAlign w:val="center"/>
            <w:hideMark/>
          </w:tcPr>
          <w:p w14:paraId="0D239F5A"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6 534,0</w:t>
            </w:r>
          </w:p>
        </w:tc>
        <w:tc>
          <w:tcPr>
            <w:tcW w:w="388" w:type="pct"/>
            <w:tcBorders>
              <w:top w:val="nil"/>
              <w:left w:val="nil"/>
              <w:bottom w:val="nil"/>
              <w:right w:val="nil"/>
            </w:tcBorders>
            <w:shd w:val="clear" w:color="auto" w:fill="auto"/>
            <w:noWrap/>
            <w:vAlign w:val="center"/>
            <w:hideMark/>
          </w:tcPr>
          <w:p w14:paraId="2AA4F772"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11 832,9</w:t>
            </w:r>
          </w:p>
        </w:tc>
        <w:tc>
          <w:tcPr>
            <w:tcW w:w="388" w:type="pct"/>
            <w:tcBorders>
              <w:top w:val="nil"/>
              <w:left w:val="nil"/>
              <w:bottom w:val="nil"/>
              <w:right w:val="nil"/>
            </w:tcBorders>
            <w:shd w:val="clear" w:color="auto" w:fill="auto"/>
            <w:noWrap/>
            <w:vAlign w:val="center"/>
            <w:hideMark/>
          </w:tcPr>
          <w:p w14:paraId="15B5894A"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7 999,5</w:t>
            </w:r>
          </w:p>
        </w:tc>
        <w:tc>
          <w:tcPr>
            <w:tcW w:w="388" w:type="pct"/>
            <w:tcBorders>
              <w:top w:val="nil"/>
              <w:left w:val="nil"/>
              <w:bottom w:val="nil"/>
              <w:right w:val="nil"/>
            </w:tcBorders>
            <w:shd w:val="clear" w:color="auto" w:fill="auto"/>
            <w:noWrap/>
            <w:vAlign w:val="center"/>
            <w:hideMark/>
          </w:tcPr>
          <w:p w14:paraId="70608A30"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8 140,1</w:t>
            </w:r>
          </w:p>
        </w:tc>
        <w:tc>
          <w:tcPr>
            <w:tcW w:w="388" w:type="pct"/>
            <w:tcBorders>
              <w:top w:val="nil"/>
              <w:left w:val="nil"/>
              <w:bottom w:val="nil"/>
              <w:right w:val="nil"/>
            </w:tcBorders>
            <w:shd w:val="clear" w:color="auto" w:fill="auto"/>
            <w:noWrap/>
            <w:vAlign w:val="center"/>
            <w:hideMark/>
          </w:tcPr>
          <w:p w14:paraId="42A23704"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8 006,8</w:t>
            </w:r>
          </w:p>
        </w:tc>
        <w:tc>
          <w:tcPr>
            <w:tcW w:w="388" w:type="pct"/>
            <w:tcBorders>
              <w:top w:val="nil"/>
              <w:left w:val="nil"/>
              <w:bottom w:val="nil"/>
              <w:right w:val="nil"/>
            </w:tcBorders>
            <w:shd w:val="clear" w:color="auto" w:fill="auto"/>
            <w:noWrap/>
            <w:vAlign w:val="center"/>
            <w:hideMark/>
          </w:tcPr>
          <w:p w14:paraId="64257DBA"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8 143,1</w:t>
            </w:r>
          </w:p>
        </w:tc>
      </w:tr>
      <w:tr w:rsidR="006537D2" w:rsidRPr="00267504" w14:paraId="3C3834F4" w14:textId="77777777" w:rsidTr="00B63F1A">
        <w:trPr>
          <w:trHeight w:val="292"/>
        </w:trPr>
        <w:tc>
          <w:tcPr>
            <w:tcW w:w="1709" w:type="pct"/>
            <w:tcBorders>
              <w:top w:val="nil"/>
              <w:left w:val="nil"/>
              <w:bottom w:val="nil"/>
              <w:right w:val="nil"/>
            </w:tcBorders>
            <w:shd w:val="clear" w:color="auto" w:fill="auto"/>
            <w:noWrap/>
            <w:vAlign w:val="center"/>
            <w:hideMark/>
          </w:tcPr>
          <w:p w14:paraId="1743BA3D" w14:textId="77777777" w:rsidR="006537D2" w:rsidRPr="00267504" w:rsidRDefault="006537D2" w:rsidP="00B63F1A">
            <w:pPr>
              <w:spacing w:after="0" w:line="240" w:lineRule="auto"/>
              <w:ind w:firstLineChars="100" w:firstLine="140"/>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Dane</w:t>
            </w:r>
          </w:p>
        </w:tc>
        <w:tc>
          <w:tcPr>
            <w:tcW w:w="575" w:type="pct"/>
            <w:tcBorders>
              <w:top w:val="nil"/>
              <w:left w:val="nil"/>
              <w:bottom w:val="nil"/>
              <w:right w:val="nil"/>
            </w:tcBorders>
            <w:shd w:val="clear" w:color="auto" w:fill="auto"/>
            <w:noWrap/>
            <w:vAlign w:val="center"/>
            <w:hideMark/>
          </w:tcPr>
          <w:p w14:paraId="1C4C84D6" w14:textId="77777777" w:rsidR="006537D2" w:rsidRPr="00267504" w:rsidRDefault="006537D2" w:rsidP="00B63F1A">
            <w:pPr>
              <w:spacing w:after="0" w:line="240" w:lineRule="auto"/>
              <w:jc w:val="center"/>
              <w:rPr>
                <w:rFonts w:ascii="Times New Roman" w:eastAsia="Times New Roman" w:hAnsi="Times New Roman" w:cs="Times New Roman"/>
                <w:color w:val="000000"/>
                <w:sz w:val="12"/>
                <w:szCs w:val="12"/>
                <w:lang w:eastAsia="sk-SK"/>
              </w:rPr>
            </w:pPr>
            <w:r w:rsidRPr="00267504">
              <w:rPr>
                <w:rFonts w:ascii="Times New Roman" w:eastAsia="Times New Roman" w:hAnsi="Times New Roman" w:cs="Times New Roman"/>
                <w:color w:val="000000"/>
                <w:sz w:val="12"/>
                <w:szCs w:val="12"/>
                <w:lang w:eastAsia="sk-SK"/>
              </w:rPr>
              <w:t>D.2P+D.5P</w:t>
            </w:r>
          </w:p>
        </w:tc>
        <w:tc>
          <w:tcPr>
            <w:tcW w:w="388" w:type="pct"/>
            <w:tcBorders>
              <w:top w:val="nil"/>
              <w:left w:val="nil"/>
              <w:bottom w:val="nil"/>
              <w:right w:val="nil"/>
            </w:tcBorders>
            <w:shd w:val="clear" w:color="auto" w:fill="auto"/>
            <w:noWrap/>
            <w:vAlign w:val="center"/>
            <w:hideMark/>
          </w:tcPr>
          <w:p w14:paraId="3E90D4F1"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173,7</w:t>
            </w:r>
          </w:p>
        </w:tc>
        <w:tc>
          <w:tcPr>
            <w:tcW w:w="388" w:type="pct"/>
            <w:tcBorders>
              <w:top w:val="nil"/>
              <w:left w:val="nil"/>
              <w:bottom w:val="nil"/>
              <w:right w:val="nil"/>
            </w:tcBorders>
            <w:shd w:val="clear" w:color="auto" w:fill="auto"/>
            <w:noWrap/>
            <w:vAlign w:val="center"/>
            <w:hideMark/>
          </w:tcPr>
          <w:p w14:paraId="5545FB2A"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116,0</w:t>
            </w:r>
          </w:p>
        </w:tc>
        <w:tc>
          <w:tcPr>
            <w:tcW w:w="388" w:type="pct"/>
            <w:tcBorders>
              <w:top w:val="nil"/>
              <w:left w:val="nil"/>
              <w:bottom w:val="nil"/>
              <w:right w:val="nil"/>
            </w:tcBorders>
            <w:shd w:val="clear" w:color="auto" w:fill="auto"/>
            <w:noWrap/>
            <w:vAlign w:val="center"/>
            <w:hideMark/>
          </w:tcPr>
          <w:p w14:paraId="78C15D63"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124,9</w:t>
            </w:r>
          </w:p>
        </w:tc>
        <w:tc>
          <w:tcPr>
            <w:tcW w:w="388" w:type="pct"/>
            <w:tcBorders>
              <w:top w:val="nil"/>
              <w:left w:val="nil"/>
              <w:bottom w:val="nil"/>
              <w:right w:val="nil"/>
            </w:tcBorders>
            <w:shd w:val="clear" w:color="auto" w:fill="auto"/>
            <w:noWrap/>
            <w:vAlign w:val="center"/>
            <w:hideMark/>
          </w:tcPr>
          <w:p w14:paraId="2D2884B8"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124,9</w:t>
            </w:r>
          </w:p>
        </w:tc>
        <w:tc>
          <w:tcPr>
            <w:tcW w:w="388" w:type="pct"/>
            <w:tcBorders>
              <w:top w:val="nil"/>
              <w:left w:val="nil"/>
              <w:bottom w:val="nil"/>
              <w:right w:val="nil"/>
            </w:tcBorders>
            <w:shd w:val="clear" w:color="auto" w:fill="auto"/>
            <w:noWrap/>
            <w:vAlign w:val="center"/>
            <w:hideMark/>
          </w:tcPr>
          <w:p w14:paraId="06785419"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146,4</w:t>
            </w:r>
          </w:p>
        </w:tc>
        <w:tc>
          <w:tcPr>
            <w:tcW w:w="388" w:type="pct"/>
            <w:tcBorders>
              <w:top w:val="nil"/>
              <w:left w:val="nil"/>
              <w:bottom w:val="nil"/>
              <w:right w:val="nil"/>
            </w:tcBorders>
            <w:shd w:val="clear" w:color="auto" w:fill="auto"/>
            <w:noWrap/>
            <w:vAlign w:val="center"/>
            <w:hideMark/>
          </w:tcPr>
          <w:p w14:paraId="513F00F9"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149,1</w:t>
            </w:r>
          </w:p>
        </w:tc>
        <w:tc>
          <w:tcPr>
            <w:tcW w:w="388" w:type="pct"/>
            <w:tcBorders>
              <w:top w:val="nil"/>
              <w:left w:val="nil"/>
              <w:bottom w:val="nil"/>
              <w:right w:val="nil"/>
            </w:tcBorders>
            <w:shd w:val="clear" w:color="auto" w:fill="auto"/>
            <w:noWrap/>
            <w:vAlign w:val="center"/>
            <w:hideMark/>
          </w:tcPr>
          <w:p w14:paraId="79152BA4"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150,1</w:t>
            </w:r>
          </w:p>
        </w:tc>
      </w:tr>
      <w:tr w:rsidR="006537D2" w:rsidRPr="00267504" w14:paraId="77750C0B" w14:textId="77777777" w:rsidTr="00B63F1A">
        <w:trPr>
          <w:trHeight w:val="292"/>
        </w:trPr>
        <w:tc>
          <w:tcPr>
            <w:tcW w:w="1709" w:type="pct"/>
            <w:tcBorders>
              <w:top w:val="nil"/>
              <w:left w:val="nil"/>
              <w:bottom w:val="nil"/>
              <w:right w:val="nil"/>
            </w:tcBorders>
            <w:shd w:val="clear" w:color="auto" w:fill="auto"/>
            <w:noWrap/>
            <w:vAlign w:val="center"/>
            <w:hideMark/>
          </w:tcPr>
          <w:p w14:paraId="53545094" w14:textId="77777777" w:rsidR="006537D2" w:rsidRPr="00267504" w:rsidRDefault="006537D2" w:rsidP="00B63F1A">
            <w:pPr>
              <w:spacing w:after="0" w:line="240" w:lineRule="auto"/>
              <w:ind w:firstLineChars="100" w:firstLine="140"/>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Subvencie</w:t>
            </w:r>
          </w:p>
        </w:tc>
        <w:tc>
          <w:tcPr>
            <w:tcW w:w="575" w:type="pct"/>
            <w:tcBorders>
              <w:top w:val="nil"/>
              <w:left w:val="nil"/>
              <w:bottom w:val="nil"/>
              <w:right w:val="nil"/>
            </w:tcBorders>
            <w:shd w:val="clear" w:color="auto" w:fill="auto"/>
            <w:noWrap/>
            <w:vAlign w:val="center"/>
            <w:hideMark/>
          </w:tcPr>
          <w:p w14:paraId="64A412BB" w14:textId="77777777" w:rsidR="006537D2" w:rsidRPr="00267504" w:rsidRDefault="006537D2" w:rsidP="00B63F1A">
            <w:pPr>
              <w:spacing w:after="0" w:line="240" w:lineRule="auto"/>
              <w:jc w:val="center"/>
              <w:rPr>
                <w:rFonts w:ascii="Times New Roman" w:eastAsia="Times New Roman" w:hAnsi="Times New Roman" w:cs="Times New Roman"/>
                <w:color w:val="000000"/>
                <w:sz w:val="12"/>
                <w:szCs w:val="12"/>
                <w:lang w:eastAsia="sk-SK"/>
              </w:rPr>
            </w:pPr>
            <w:r w:rsidRPr="00267504">
              <w:rPr>
                <w:rFonts w:ascii="Times New Roman" w:eastAsia="Times New Roman" w:hAnsi="Times New Roman" w:cs="Times New Roman"/>
                <w:color w:val="000000"/>
                <w:sz w:val="12"/>
                <w:szCs w:val="12"/>
                <w:lang w:eastAsia="sk-SK"/>
              </w:rPr>
              <w:t xml:space="preserve">D.3P </w:t>
            </w:r>
          </w:p>
        </w:tc>
        <w:tc>
          <w:tcPr>
            <w:tcW w:w="388" w:type="pct"/>
            <w:tcBorders>
              <w:top w:val="nil"/>
              <w:left w:val="nil"/>
              <w:bottom w:val="nil"/>
              <w:right w:val="nil"/>
            </w:tcBorders>
            <w:shd w:val="clear" w:color="auto" w:fill="auto"/>
            <w:noWrap/>
            <w:vAlign w:val="center"/>
            <w:hideMark/>
          </w:tcPr>
          <w:p w14:paraId="056F8F64"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1 369,2</w:t>
            </w:r>
          </w:p>
        </w:tc>
        <w:tc>
          <w:tcPr>
            <w:tcW w:w="388" w:type="pct"/>
            <w:tcBorders>
              <w:top w:val="nil"/>
              <w:left w:val="nil"/>
              <w:bottom w:val="nil"/>
              <w:right w:val="nil"/>
            </w:tcBorders>
            <w:shd w:val="clear" w:color="auto" w:fill="auto"/>
            <w:noWrap/>
            <w:vAlign w:val="center"/>
            <w:hideMark/>
          </w:tcPr>
          <w:p w14:paraId="23DCA1AF"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1 196,4</w:t>
            </w:r>
          </w:p>
        </w:tc>
        <w:tc>
          <w:tcPr>
            <w:tcW w:w="388" w:type="pct"/>
            <w:tcBorders>
              <w:top w:val="nil"/>
              <w:left w:val="nil"/>
              <w:bottom w:val="nil"/>
              <w:right w:val="nil"/>
            </w:tcBorders>
            <w:shd w:val="clear" w:color="auto" w:fill="auto"/>
            <w:noWrap/>
            <w:vAlign w:val="center"/>
            <w:hideMark/>
          </w:tcPr>
          <w:p w14:paraId="62336C72"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981,2</w:t>
            </w:r>
          </w:p>
        </w:tc>
        <w:tc>
          <w:tcPr>
            <w:tcW w:w="388" w:type="pct"/>
            <w:tcBorders>
              <w:top w:val="nil"/>
              <w:left w:val="nil"/>
              <w:bottom w:val="nil"/>
              <w:right w:val="nil"/>
            </w:tcBorders>
            <w:shd w:val="clear" w:color="auto" w:fill="auto"/>
            <w:noWrap/>
            <w:vAlign w:val="center"/>
            <w:hideMark/>
          </w:tcPr>
          <w:p w14:paraId="69D44241"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3 376,6</w:t>
            </w:r>
          </w:p>
        </w:tc>
        <w:tc>
          <w:tcPr>
            <w:tcW w:w="388" w:type="pct"/>
            <w:tcBorders>
              <w:top w:val="nil"/>
              <w:left w:val="nil"/>
              <w:bottom w:val="nil"/>
              <w:right w:val="nil"/>
            </w:tcBorders>
            <w:shd w:val="clear" w:color="auto" w:fill="auto"/>
            <w:noWrap/>
            <w:vAlign w:val="center"/>
            <w:hideMark/>
          </w:tcPr>
          <w:p w14:paraId="0EFEA696"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1 946,3</w:t>
            </w:r>
          </w:p>
        </w:tc>
        <w:tc>
          <w:tcPr>
            <w:tcW w:w="388" w:type="pct"/>
            <w:tcBorders>
              <w:top w:val="nil"/>
              <w:left w:val="nil"/>
              <w:bottom w:val="nil"/>
              <w:right w:val="nil"/>
            </w:tcBorders>
            <w:shd w:val="clear" w:color="auto" w:fill="auto"/>
            <w:noWrap/>
            <w:vAlign w:val="center"/>
            <w:hideMark/>
          </w:tcPr>
          <w:p w14:paraId="5A497C57"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1 139,1</w:t>
            </w:r>
          </w:p>
        </w:tc>
        <w:tc>
          <w:tcPr>
            <w:tcW w:w="388" w:type="pct"/>
            <w:tcBorders>
              <w:top w:val="nil"/>
              <w:left w:val="nil"/>
              <w:bottom w:val="nil"/>
              <w:right w:val="nil"/>
            </w:tcBorders>
            <w:shd w:val="clear" w:color="auto" w:fill="auto"/>
            <w:noWrap/>
            <w:vAlign w:val="center"/>
            <w:hideMark/>
          </w:tcPr>
          <w:p w14:paraId="50340A1E"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1 115,5</w:t>
            </w:r>
          </w:p>
        </w:tc>
      </w:tr>
      <w:tr w:rsidR="006537D2" w:rsidRPr="00267504" w14:paraId="5889BF92" w14:textId="77777777" w:rsidTr="00B63F1A">
        <w:trPr>
          <w:trHeight w:val="292"/>
        </w:trPr>
        <w:tc>
          <w:tcPr>
            <w:tcW w:w="1709" w:type="pct"/>
            <w:tcBorders>
              <w:top w:val="nil"/>
              <w:left w:val="nil"/>
              <w:bottom w:val="nil"/>
              <w:right w:val="nil"/>
            </w:tcBorders>
            <w:shd w:val="clear" w:color="auto" w:fill="auto"/>
            <w:noWrap/>
            <w:vAlign w:val="center"/>
            <w:hideMark/>
          </w:tcPr>
          <w:p w14:paraId="605BF875" w14:textId="77777777" w:rsidR="006537D2" w:rsidRPr="00267504" w:rsidRDefault="006537D2" w:rsidP="00B63F1A">
            <w:pPr>
              <w:spacing w:after="0" w:line="240" w:lineRule="auto"/>
              <w:ind w:firstLineChars="100" w:firstLine="140"/>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Dôchodky z majetku</w:t>
            </w:r>
          </w:p>
        </w:tc>
        <w:tc>
          <w:tcPr>
            <w:tcW w:w="575" w:type="pct"/>
            <w:tcBorders>
              <w:top w:val="nil"/>
              <w:left w:val="nil"/>
              <w:bottom w:val="nil"/>
              <w:right w:val="nil"/>
            </w:tcBorders>
            <w:shd w:val="clear" w:color="auto" w:fill="auto"/>
            <w:noWrap/>
            <w:vAlign w:val="center"/>
            <w:hideMark/>
          </w:tcPr>
          <w:p w14:paraId="43578116" w14:textId="77777777" w:rsidR="006537D2" w:rsidRPr="00267504" w:rsidRDefault="006537D2" w:rsidP="00B63F1A">
            <w:pPr>
              <w:spacing w:after="0" w:line="240" w:lineRule="auto"/>
              <w:jc w:val="center"/>
              <w:rPr>
                <w:rFonts w:ascii="Times New Roman" w:eastAsia="Times New Roman" w:hAnsi="Times New Roman" w:cs="Times New Roman"/>
                <w:color w:val="000000"/>
                <w:sz w:val="12"/>
                <w:szCs w:val="12"/>
                <w:lang w:eastAsia="sk-SK"/>
              </w:rPr>
            </w:pPr>
            <w:r w:rsidRPr="00267504">
              <w:rPr>
                <w:rFonts w:ascii="Times New Roman" w:eastAsia="Times New Roman" w:hAnsi="Times New Roman" w:cs="Times New Roman"/>
                <w:color w:val="000000"/>
                <w:sz w:val="12"/>
                <w:szCs w:val="12"/>
                <w:lang w:eastAsia="sk-SK"/>
              </w:rPr>
              <w:t>D.4P</w:t>
            </w:r>
          </w:p>
        </w:tc>
        <w:tc>
          <w:tcPr>
            <w:tcW w:w="388" w:type="pct"/>
            <w:tcBorders>
              <w:top w:val="nil"/>
              <w:left w:val="nil"/>
              <w:bottom w:val="nil"/>
              <w:right w:val="nil"/>
            </w:tcBorders>
            <w:shd w:val="clear" w:color="auto" w:fill="auto"/>
            <w:noWrap/>
            <w:vAlign w:val="center"/>
            <w:hideMark/>
          </w:tcPr>
          <w:p w14:paraId="0F000801"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1 099,0</w:t>
            </w:r>
          </w:p>
        </w:tc>
        <w:tc>
          <w:tcPr>
            <w:tcW w:w="388" w:type="pct"/>
            <w:tcBorders>
              <w:top w:val="nil"/>
              <w:left w:val="nil"/>
              <w:bottom w:val="nil"/>
              <w:right w:val="nil"/>
            </w:tcBorders>
            <w:shd w:val="clear" w:color="auto" w:fill="auto"/>
            <w:noWrap/>
            <w:vAlign w:val="center"/>
            <w:hideMark/>
          </w:tcPr>
          <w:p w14:paraId="0F3FCE21"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1 133,8</w:t>
            </w:r>
          </w:p>
        </w:tc>
        <w:tc>
          <w:tcPr>
            <w:tcW w:w="388" w:type="pct"/>
            <w:tcBorders>
              <w:top w:val="nil"/>
              <w:left w:val="nil"/>
              <w:bottom w:val="nil"/>
              <w:right w:val="nil"/>
            </w:tcBorders>
            <w:shd w:val="clear" w:color="auto" w:fill="auto"/>
            <w:noWrap/>
            <w:vAlign w:val="center"/>
            <w:hideMark/>
          </w:tcPr>
          <w:p w14:paraId="1DD39192"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1 278,2</w:t>
            </w:r>
          </w:p>
        </w:tc>
        <w:tc>
          <w:tcPr>
            <w:tcW w:w="388" w:type="pct"/>
            <w:tcBorders>
              <w:top w:val="nil"/>
              <w:left w:val="nil"/>
              <w:bottom w:val="nil"/>
              <w:right w:val="nil"/>
            </w:tcBorders>
            <w:shd w:val="clear" w:color="auto" w:fill="auto"/>
            <w:noWrap/>
            <w:vAlign w:val="center"/>
            <w:hideMark/>
          </w:tcPr>
          <w:p w14:paraId="58844FC0"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1 093,5</w:t>
            </w:r>
          </w:p>
        </w:tc>
        <w:tc>
          <w:tcPr>
            <w:tcW w:w="388" w:type="pct"/>
            <w:tcBorders>
              <w:top w:val="nil"/>
              <w:left w:val="nil"/>
              <w:bottom w:val="nil"/>
              <w:right w:val="nil"/>
            </w:tcBorders>
            <w:shd w:val="clear" w:color="auto" w:fill="auto"/>
            <w:noWrap/>
            <w:vAlign w:val="center"/>
            <w:hideMark/>
          </w:tcPr>
          <w:p w14:paraId="66F45E0D"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1 829,6</w:t>
            </w:r>
          </w:p>
        </w:tc>
        <w:tc>
          <w:tcPr>
            <w:tcW w:w="388" w:type="pct"/>
            <w:tcBorders>
              <w:top w:val="nil"/>
              <w:left w:val="nil"/>
              <w:bottom w:val="nil"/>
              <w:right w:val="nil"/>
            </w:tcBorders>
            <w:shd w:val="clear" w:color="auto" w:fill="auto"/>
            <w:noWrap/>
            <w:vAlign w:val="center"/>
            <w:hideMark/>
          </w:tcPr>
          <w:p w14:paraId="47C908BE"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2 193,1</w:t>
            </w:r>
          </w:p>
        </w:tc>
        <w:tc>
          <w:tcPr>
            <w:tcW w:w="388" w:type="pct"/>
            <w:tcBorders>
              <w:top w:val="nil"/>
              <w:left w:val="nil"/>
              <w:bottom w:val="nil"/>
              <w:right w:val="nil"/>
            </w:tcBorders>
            <w:shd w:val="clear" w:color="auto" w:fill="auto"/>
            <w:noWrap/>
            <w:vAlign w:val="center"/>
            <w:hideMark/>
          </w:tcPr>
          <w:p w14:paraId="066129B5"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2 508,9</w:t>
            </w:r>
          </w:p>
        </w:tc>
      </w:tr>
      <w:tr w:rsidR="006537D2" w:rsidRPr="00267504" w14:paraId="78AFEEA2" w14:textId="77777777" w:rsidTr="00B63F1A">
        <w:trPr>
          <w:trHeight w:val="292"/>
        </w:trPr>
        <w:tc>
          <w:tcPr>
            <w:tcW w:w="1709" w:type="pct"/>
            <w:tcBorders>
              <w:top w:val="nil"/>
              <w:left w:val="nil"/>
              <w:bottom w:val="nil"/>
              <w:right w:val="nil"/>
            </w:tcBorders>
            <w:shd w:val="clear" w:color="auto" w:fill="auto"/>
            <w:noWrap/>
            <w:vAlign w:val="center"/>
            <w:hideMark/>
          </w:tcPr>
          <w:p w14:paraId="3787346F" w14:textId="77777777" w:rsidR="006537D2" w:rsidRPr="00267504" w:rsidRDefault="006537D2" w:rsidP="00B63F1A">
            <w:pPr>
              <w:spacing w:after="0" w:line="240" w:lineRule="auto"/>
              <w:ind w:firstLineChars="100" w:firstLine="140"/>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Celkové sociálne transfery</w:t>
            </w:r>
          </w:p>
        </w:tc>
        <w:tc>
          <w:tcPr>
            <w:tcW w:w="575" w:type="pct"/>
            <w:tcBorders>
              <w:top w:val="nil"/>
              <w:left w:val="nil"/>
              <w:bottom w:val="nil"/>
              <w:right w:val="nil"/>
            </w:tcBorders>
            <w:shd w:val="clear" w:color="auto" w:fill="auto"/>
            <w:noWrap/>
            <w:vAlign w:val="center"/>
            <w:hideMark/>
          </w:tcPr>
          <w:p w14:paraId="58F34B7B" w14:textId="77777777" w:rsidR="006537D2" w:rsidRPr="00267504" w:rsidRDefault="006537D2" w:rsidP="00B63F1A">
            <w:pPr>
              <w:spacing w:after="0" w:line="240" w:lineRule="auto"/>
              <w:jc w:val="center"/>
              <w:rPr>
                <w:rFonts w:ascii="Times New Roman" w:eastAsia="Times New Roman" w:hAnsi="Times New Roman" w:cs="Times New Roman"/>
                <w:color w:val="000000"/>
                <w:sz w:val="12"/>
                <w:szCs w:val="12"/>
                <w:lang w:eastAsia="sk-SK"/>
              </w:rPr>
            </w:pPr>
            <w:r w:rsidRPr="00267504">
              <w:rPr>
                <w:rFonts w:ascii="Times New Roman" w:eastAsia="Times New Roman" w:hAnsi="Times New Roman" w:cs="Times New Roman"/>
                <w:color w:val="000000"/>
                <w:sz w:val="12"/>
                <w:szCs w:val="12"/>
                <w:lang w:eastAsia="sk-SK"/>
              </w:rPr>
              <w:t>D.6P</w:t>
            </w:r>
          </w:p>
        </w:tc>
        <w:tc>
          <w:tcPr>
            <w:tcW w:w="388" w:type="pct"/>
            <w:tcBorders>
              <w:top w:val="nil"/>
              <w:left w:val="nil"/>
              <w:bottom w:val="nil"/>
              <w:right w:val="nil"/>
            </w:tcBorders>
            <w:shd w:val="clear" w:color="auto" w:fill="auto"/>
            <w:noWrap/>
            <w:vAlign w:val="center"/>
            <w:hideMark/>
          </w:tcPr>
          <w:p w14:paraId="08A3A0A1"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18 376,5</w:t>
            </w:r>
          </w:p>
        </w:tc>
        <w:tc>
          <w:tcPr>
            <w:tcW w:w="388" w:type="pct"/>
            <w:tcBorders>
              <w:top w:val="nil"/>
              <w:left w:val="nil"/>
              <w:bottom w:val="nil"/>
              <w:right w:val="nil"/>
            </w:tcBorders>
            <w:shd w:val="clear" w:color="auto" w:fill="auto"/>
            <w:noWrap/>
            <w:vAlign w:val="center"/>
            <w:hideMark/>
          </w:tcPr>
          <w:p w14:paraId="0855E608"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19 611,6</w:t>
            </w:r>
          </w:p>
        </w:tc>
        <w:tc>
          <w:tcPr>
            <w:tcW w:w="388" w:type="pct"/>
            <w:tcBorders>
              <w:top w:val="nil"/>
              <w:left w:val="nil"/>
              <w:bottom w:val="nil"/>
              <w:right w:val="nil"/>
            </w:tcBorders>
            <w:shd w:val="clear" w:color="auto" w:fill="auto"/>
            <w:noWrap/>
            <w:vAlign w:val="center"/>
            <w:hideMark/>
          </w:tcPr>
          <w:p w14:paraId="62667475"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22 084,8</w:t>
            </w:r>
          </w:p>
        </w:tc>
        <w:tc>
          <w:tcPr>
            <w:tcW w:w="388" w:type="pct"/>
            <w:tcBorders>
              <w:top w:val="nil"/>
              <w:left w:val="nil"/>
              <w:bottom w:val="nil"/>
              <w:right w:val="nil"/>
            </w:tcBorders>
            <w:shd w:val="clear" w:color="auto" w:fill="auto"/>
            <w:noWrap/>
            <w:vAlign w:val="center"/>
            <w:hideMark/>
          </w:tcPr>
          <w:p w14:paraId="0F8E8526"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24 452,0</w:t>
            </w:r>
          </w:p>
        </w:tc>
        <w:tc>
          <w:tcPr>
            <w:tcW w:w="388" w:type="pct"/>
            <w:tcBorders>
              <w:top w:val="nil"/>
              <w:left w:val="nil"/>
              <w:bottom w:val="nil"/>
              <w:right w:val="nil"/>
            </w:tcBorders>
            <w:shd w:val="clear" w:color="auto" w:fill="auto"/>
            <w:noWrap/>
            <w:vAlign w:val="center"/>
            <w:hideMark/>
          </w:tcPr>
          <w:p w14:paraId="6996B1B5"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26 763,5</w:t>
            </w:r>
          </w:p>
        </w:tc>
        <w:tc>
          <w:tcPr>
            <w:tcW w:w="388" w:type="pct"/>
            <w:tcBorders>
              <w:top w:val="nil"/>
              <w:left w:val="nil"/>
              <w:bottom w:val="nil"/>
              <w:right w:val="nil"/>
            </w:tcBorders>
            <w:shd w:val="clear" w:color="auto" w:fill="auto"/>
            <w:noWrap/>
            <w:vAlign w:val="center"/>
            <w:hideMark/>
          </w:tcPr>
          <w:p w14:paraId="552C61B7"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27 946,4</w:t>
            </w:r>
          </w:p>
        </w:tc>
        <w:tc>
          <w:tcPr>
            <w:tcW w:w="388" w:type="pct"/>
            <w:tcBorders>
              <w:top w:val="nil"/>
              <w:left w:val="nil"/>
              <w:bottom w:val="nil"/>
              <w:right w:val="nil"/>
            </w:tcBorders>
            <w:shd w:val="clear" w:color="auto" w:fill="auto"/>
            <w:noWrap/>
            <w:vAlign w:val="center"/>
            <w:hideMark/>
          </w:tcPr>
          <w:p w14:paraId="22AD9814"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29 326,9</w:t>
            </w:r>
          </w:p>
        </w:tc>
      </w:tr>
      <w:tr w:rsidR="006537D2" w:rsidRPr="00267504" w14:paraId="3294CCAF" w14:textId="77777777" w:rsidTr="00B63F1A">
        <w:trPr>
          <w:trHeight w:val="292"/>
        </w:trPr>
        <w:tc>
          <w:tcPr>
            <w:tcW w:w="1709" w:type="pct"/>
            <w:tcBorders>
              <w:top w:val="nil"/>
              <w:left w:val="nil"/>
              <w:bottom w:val="nil"/>
              <w:right w:val="nil"/>
            </w:tcBorders>
            <w:shd w:val="clear" w:color="auto" w:fill="auto"/>
            <w:noWrap/>
            <w:vAlign w:val="center"/>
            <w:hideMark/>
          </w:tcPr>
          <w:p w14:paraId="1062C5F9" w14:textId="77777777" w:rsidR="006537D2" w:rsidRPr="00267504" w:rsidRDefault="006537D2" w:rsidP="00B63F1A">
            <w:pPr>
              <w:spacing w:after="0" w:line="240" w:lineRule="auto"/>
              <w:ind w:firstLineChars="200" w:firstLine="280"/>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Sociálne dávky okrem naturálnych soc. transferov</w:t>
            </w:r>
          </w:p>
        </w:tc>
        <w:tc>
          <w:tcPr>
            <w:tcW w:w="575" w:type="pct"/>
            <w:tcBorders>
              <w:top w:val="nil"/>
              <w:left w:val="nil"/>
              <w:bottom w:val="nil"/>
              <w:right w:val="nil"/>
            </w:tcBorders>
            <w:shd w:val="clear" w:color="auto" w:fill="auto"/>
            <w:noWrap/>
            <w:vAlign w:val="center"/>
            <w:hideMark/>
          </w:tcPr>
          <w:p w14:paraId="3851A485" w14:textId="77777777" w:rsidR="006537D2" w:rsidRPr="00267504" w:rsidRDefault="006537D2" w:rsidP="00B63F1A">
            <w:pPr>
              <w:spacing w:after="0" w:line="240" w:lineRule="auto"/>
              <w:jc w:val="center"/>
              <w:rPr>
                <w:rFonts w:ascii="Times New Roman" w:eastAsia="Times New Roman" w:hAnsi="Times New Roman" w:cs="Times New Roman"/>
                <w:color w:val="000000"/>
                <w:sz w:val="12"/>
                <w:szCs w:val="12"/>
                <w:lang w:eastAsia="sk-SK"/>
              </w:rPr>
            </w:pPr>
            <w:r w:rsidRPr="00267504">
              <w:rPr>
                <w:rFonts w:ascii="Times New Roman" w:eastAsia="Times New Roman" w:hAnsi="Times New Roman" w:cs="Times New Roman"/>
                <w:color w:val="000000"/>
                <w:sz w:val="12"/>
                <w:szCs w:val="12"/>
                <w:lang w:eastAsia="sk-SK"/>
              </w:rPr>
              <w:t>D.62P</w:t>
            </w:r>
          </w:p>
        </w:tc>
        <w:tc>
          <w:tcPr>
            <w:tcW w:w="388" w:type="pct"/>
            <w:tcBorders>
              <w:top w:val="nil"/>
              <w:left w:val="nil"/>
              <w:bottom w:val="nil"/>
              <w:right w:val="nil"/>
            </w:tcBorders>
            <w:shd w:val="clear" w:color="auto" w:fill="auto"/>
            <w:noWrap/>
            <w:vAlign w:val="center"/>
            <w:hideMark/>
          </w:tcPr>
          <w:p w14:paraId="2F214B99"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14 971,6</w:t>
            </w:r>
          </w:p>
        </w:tc>
        <w:tc>
          <w:tcPr>
            <w:tcW w:w="388" w:type="pct"/>
            <w:tcBorders>
              <w:top w:val="nil"/>
              <w:left w:val="nil"/>
              <w:bottom w:val="nil"/>
              <w:right w:val="nil"/>
            </w:tcBorders>
            <w:shd w:val="clear" w:color="auto" w:fill="auto"/>
            <w:noWrap/>
            <w:vAlign w:val="center"/>
            <w:hideMark/>
          </w:tcPr>
          <w:p w14:paraId="2B5DF8C9"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15 883,9</w:t>
            </w:r>
          </w:p>
        </w:tc>
        <w:tc>
          <w:tcPr>
            <w:tcW w:w="388" w:type="pct"/>
            <w:tcBorders>
              <w:top w:val="nil"/>
              <w:left w:val="nil"/>
              <w:bottom w:val="nil"/>
              <w:right w:val="nil"/>
            </w:tcBorders>
            <w:shd w:val="clear" w:color="auto" w:fill="auto"/>
            <w:noWrap/>
            <w:vAlign w:val="center"/>
            <w:hideMark/>
          </w:tcPr>
          <w:p w14:paraId="4F1E0671"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17 568,4</w:t>
            </w:r>
          </w:p>
        </w:tc>
        <w:tc>
          <w:tcPr>
            <w:tcW w:w="388" w:type="pct"/>
            <w:tcBorders>
              <w:top w:val="nil"/>
              <w:left w:val="nil"/>
              <w:bottom w:val="nil"/>
              <w:right w:val="nil"/>
            </w:tcBorders>
            <w:shd w:val="clear" w:color="auto" w:fill="auto"/>
            <w:noWrap/>
            <w:vAlign w:val="center"/>
            <w:hideMark/>
          </w:tcPr>
          <w:p w14:paraId="4DEA0B92"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19 660,8</w:t>
            </w:r>
          </w:p>
        </w:tc>
        <w:tc>
          <w:tcPr>
            <w:tcW w:w="388" w:type="pct"/>
            <w:tcBorders>
              <w:top w:val="nil"/>
              <w:left w:val="nil"/>
              <w:bottom w:val="nil"/>
              <w:right w:val="nil"/>
            </w:tcBorders>
            <w:shd w:val="clear" w:color="auto" w:fill="auto"/>
            <w:noWrap/>
            <w:vAlign w:val="center"/>
            <w:hideMark/>
          </w:tcPr>
          <w:p w14:paraId="26CAB6CF"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21 826,3</w:t>
            </w:r>
          </w:p>
        </w:tc>
        <w:tc>
          <w:tcPr>
            <w:tcW w:w="388" w:type="pct"/>
            <w:tcBorders>
              <w:top w:val="nil"/>
              <w:left w:val="nil"/>
              <w:bottom w:val="nil"/>
              <w:right w:val="nil"/>
            </w:tcBorders>
            <w:shd w:val="clear" w:color="auto" w:fill="auto"/>
            <w:noWrap/>
            <w:vAlign w:val="center"/>
            <w:hideMark/>
          </w:tcPr>
          <w:p w14:paraId="49D3E3B6"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22 625,8</w:t>
            </w:r>
          </w:p>
        </w:tc>
        <w:tc>
          <w:tcPr>
            <w:tcW w:w="388" w:type="pct"/>
            <w:tcBorders>
              <w:top w:val="nil"/>
              <w:left w:val="nil"/>
              <w:bottom w:val="nil"/>
              <w:right w:val="nil"/>
            </w:tcBorders>
            <w:shd w:val="clear" w:color="auto" w:fill="auto"/>
            <w:noWrap/>
            <w:vAlign w:val="center"/>
            <w:hideMark/>
          </w:tcPr>
          <w:p w14:paraId="60D3A604"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23 745,8</w:t>
            </w:r>
          </w:p>
        </w:tc>
      </w:tr>
      <w:tr w:rsidR="006537D2" w:rsidRPr="00267504" w14:paraId="77259CAE" w14:textId="77777777" w:rsidTr="00B63F1A">
        <w:trPr>
          <w:trHeight w:val="292"/>
        </w:trPr>
        <w:tc>
          <w:tcPr>
            <w:tcW w:w="1709" w:type="pct"/>
            <w:tcBorders>
              <w:top w:val="nil"/>
              <w:left w:val="nil"/>
              <w:bottom w:val="nil"/>
              <w:right w:val="nil"/>
            </w:tcBorders>
            <w:shd w:val="clear" w:color="auto" w:fill="auto"/>
            <w:noWrap/>
            <w:vAlign w:val="center"/>
            <w:hideMark/>
          </w:tcPr>
          <w:p w14:paraId="117D1843" w14:textId="77777777" w:rsidR="006537D2" w:rsidRPr="00267504" w:rsidRDefault="006537D2" w:rsidP="00B63F1A">
            <w:pPr>
              <w:spacing w:after="0" w:line="240" w:lineRule="auto"/>
              <w:ind w:firstLineChars="200" w:firstLine="280"/>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 xml:space="preserve">Naturálne sociálne transfery </w:t>
            </w:r>
          </w:p>
        </w:tc>
        <w:tc>
          <w:tcPr>
            <w:tcW w:w="575" w:type="pct"/>
            <w:tcBorders>
              <w:top w:val="nil"/>
              <w:left w:val="nil"/>
              <w:bottom w:val="nil"/>
              <w:right w:val="nil"/>
            </w:tcBorders>
            <w:shd w:val="clear" w:color="auto" w:fill="auto"/>
            <w:noWrap/>
            <w:vAlign w:val="center"/>
            <w:hideMark/>
          </w:tcPr>
          <w:p w14:paraId="07188F25" w14:textId="77777777" w:rsidR="006537D2" w:rsidRPr="00267504" w:rsidRDefault="006537D2" w:rsidP="00B63F1A">
            <w:pPr>
              <w:spacing w:after="0" w:line="240" w:lineRule="auto"/>
              <w:jc w:val="center"/>
              <w:rPr>
                <w:rFonts w:ascii="Times New Roman" w:eastAsia="Times New Roman" w:hAnsi="Times New Roman" w:cs="Times New Roman"/>
                <w:color w:val="000000"/>
                <w:sz w:val="12"/>
                <w:szCs w:val="12"/>
                <w:lang w:eastAsia="sk-SK"/>
              </w:rPr>
            </w:pPr>
            <w:r w:rsidRPr="00267504">
              <w:rPr>
                <w:rFonts w:ascii="Times New Roman" w:eastAsia="Times New Roman" w:hAnsi="Times New Roman" w:cs="Times New Roman"/>
                <w:color w:val="000000"/>
                <w:sz w:val="12"/>
                <w:szCs w:val="12"/>
                <w:lang w:eastAsia="sk-SK"/>
              </w:rPr>
              <w:t>D.632P</w:t>
            </w:r>
          </w:p>
        </w:tc>
        <w:tc>
          <w:tcPr>
            <w:tcW w:w="388" w:type="pct"/>
            <w:tcBorders>
              <w:top w:val="nil"/>
              <w:left w:val="nil"/>
              <w:bottom w:val="nil"/>
              <w:right w:val="nil"/>
            </w:tcBorders>
            <w:shd w:val="clear" w:color="auto" w:fill="auto"/>
            <w:noWrap/>
            <w:vAlign w:val="center"/>
            <w:hideMark/>
          </w:tcPr>
          <w:p w14:paraId="543838E2"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3 404,8</w:t>
            </w:r>
          </w:p>
        </w:tc>
        <w:tc>
          <w:tcPr>
            <w:tcW w:w="388" w:type="pct"/>
            <w:tcBorders>
              <w:top w:val="nil"/>
              <w:left w:val="nil"/>
              <w:bottom w:val="nil"/>
              <w:right w:val="nil"/>
            </w:tcBorders>
            <w:shd w:val="clear" w:color="auto" w:fill="auto"/>
            <w:noWrap/>
            <w:vAlign w:val="center"/>
            <w:hideMark/>
          </w:tcPr>
          <w:p w14:paraId="0BEB2A05"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3 727,7</w:t>
            </w:r>
          </w:p>
        </w:tc>
        <w:tc>
          <w:tcPr>
            <w:tcW w:w="388" w:type="pct"/>
            <w:tcBorders>
              <w:top w:val="nil"/>
              <w:left w:val="nil"/>
              <w:bottom w:val="nil"/>
              <w:right w:val="nil"/>
            </w:tcBorders>
            <w:shd w:val="clear" w:color="auto" w:fill="auto"/>
            <w:noWrap/>
            <w:vAlign w:val="center"/>
            <w:hideMark/>
          </w:tcPr>
          <w:p w14:paraId="57B7B537"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4 516,4</w:t>
            </w:r>
          </w:p>
        </w:tc>
        <w:tc>
          <w:tcPr>
            <w:tcW w:w="388" w:type="pct"/>
            <w:tcBorders>
              <w:top w:val="nil"/>
              <w:left w:val="nil"/>
              <w:bottom w:val="nil"/>
              <w:right w:val="nil"/>
            </w:tcBorders>
            <w:shd w:val="clear" w:color="auto" w:fill="auto"/>
            <w:noWrap/>
            <w:vAlign w:val="center"/>
            <w:hideMark/>
          </w:tcPr>
          <w:p w14:paraId="3DAFF00C"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4 791,2</w:t>
            </w:r>
          </w:p>
        </w:tc>
        <w:tc>
          <w:tcPr>
            <w:tcW w:w="388" w:type="pct"/>
            <w:tcBorders>
              <w:top w:val="nil"/>
              <w:left w:val="nil"/>
              <w:bottom w:val="nil"/>
              <w:right w:val="nil"/>
            </w:tcBorders>
            <w:shd w:val="clear" w:color="auto" w:fill="auto"/>
            <w:noWrap/>
            <w:vAlign w:val="center"/>
            <w:hideMark/>
          </w:tcPr>
          <w:p w14:paraId="2198D9DF"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4 937,2</w:t>
            </w:r>
          </w:p>
        </w:tc>
        <w:tc>
          <w:tcPr>
            <w:tcW w:w="388" w:type="pct"/>
            <w:tcBorders>
              <w:top w:val="nil"/>
              <w:left w:val="nil"/>
              <w:bottom w:val="nil"/>
              <w:right w:val="nil"/>
            </w:tcBorders>
            <w:shd w:val="clear" w:color="auto" w:fill="auto"/>
            <w:noWrap/>
            <w:vAlign w:val="center"/>
            <w:hideMark/>
          </w:tcPr>
          <w:p w14:paraId="7FEB0DDC"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5 320,6</w:t>
            </w:r>
          </w:p>
        </w:tc>
        <w:tc>
          <w:tcPr>
            <w:tcW w:w="388" w:type="pct"/>
            <w:tcBorders>
              <w:top w:val="nil"/>
              <w:left w:val="nil"/>
              <w:bottom w:val="nil"/>
              <w:right w:val="nil"/>
            </w:tcBorders>
            <w:shd w:val="clear" w:color="auto" w:fill="auto"/>
            <w:noWrap/>
            <w:vAlign w:val="center"/>
            <w:hideMark/>
          </w:tcPr>
          <w:p w14:paraId="777FA68E"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5 581,1</w:t>
            </w:r>
          </w:p>
        </w:tc>
      </w:tr>
      <w:tr w:rsidR="006537D2" w:rsidRPr="00267504" w14:paraId="56FD94C1" w14:textId="77777777" w:rsidTr="00B63F1A">
        <w:trPr>
          <w:trHeight w:val="292"/>
        </w:trPr>
        <w:tc>
          <w:tcPr>
            <w:tcW w:w="1709" w:type="pct"/>
            <w:tcBorders>
              <w:top w:val="nil"/>
              <w:left w:val="nil"/>
              <w:bottom w:val="nil"/>
              <w:right w:val="nil"/>
            </w:tcBorders>
            <w:shd w:val="clear" w:color="auto" w:fill="auto"/>
            <w:noWrap/>
            <w:vAlign w:val="center"/>
            <w:hideMark/>
          </w:tcPr>
          <w:p w14:paraId="78F8AC3A" w14:textId="77777777" w:rsidR="006537D2" w:rsidRPr="00267504" w:rsidRDefault="006537D2" w:rsidP="00B63F1A">
            <w:pPr>
              <w:spacing w:after="0" w:line="240" w:lineRule="auto"/>
              <w:ind w:firstLineChars="100" w:firstLine="140"/>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Ostatné bežné transfery</w:t>
            </w:r>
          </w:p>
        </w:tc>
        <w:tc>
          <w:tcPr>
            <w:tcW w:w="575" w:type="pct"/>
            <w:tcBorders>
              <w:top w:val="nil"/>
              <w:left w:val="nil"/>
              <w:bottom w:val="nil"/>
              <w:right w:val="nil"/>
            </w:tcBorders>
            <w:shd w:val="clear" w:color="auto" w:fill="auto"/>
            <w:noWrap/>
            <w:vAlign w:val="center"/>
            <w:hideMark/>
          </w:tcPr>
          <w:p w14:paraId="76F4385C" w14:textId="77777777" w:rsidR="006537D2" w:rsidRPr="00267504" w:rsidRDefault="006537D2" w:rsidP="00B63F1A">
            <w:pPr>
              <w:spacing w:after="0" w:line="240" w:lineRule="auto"/>
              <w:jc w:val="center"/>
              <w:rPr>
                <w:rFonts w:ascii="Times New Roman" w:eastAsia="Times New Roman" w:hAnsi="Times New Roman" w:cs="Times New Roman"/>
                <w:color w:val="000000"/>
                <w:sz w:val="12"/>
                <w:szCs w:val="12"/>
                <w:lang w:eastAsia="sk-SK"/>
              </w:rPr>
            </w:pPr>
            <w:r w:rsidRPr="00267504">
              <w:rPr>
                <w:rFonts w:ascii="Times New Roman" w:eastAsia="Times New Roman" w:hAnsi="Times New Roman" w:cs="Times New Roman"/>
                <w:color w:val="000000"/>
                <w:sz w:val="12"/>
                <w:szCs w:val="12"/>
                <w:lang w:eastAsia="sk-SK"/>
              </w:rPr>
              <w:t>D.7P</w:t>
            </w:r>
          </w:p>
        </w:tc>
        <w:tc>
          <w:tcPr>
            <w:tcW w:w="388" w:type="pct"/>
            <w:tcBorders>
              <w:top w:val="nil"/>
              <w:left w:val="nil"/>
              <w:bottom w:val="nil"/>
              <w:right w:val="nil"/>
            </w:tcBorders>
            <w:shd w:val="clear" w:color="auto" w:fill="auto"/>
            <w:noWrap/>
            <w:vAlign w:val="center"/>
            <w:hideMark/>
          </w:tcPr>
          <w:p w14:paraId="1223150A"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3 753,7</w:t>
            </w:r>
          </w:p>
        </w:tc>
        <w:tc>
          <w:tcPr>
            <w:tcW w:w="388" w:type="pct"/>
            <w:tcBorders>
              <w:top w:val="nil"/>
              <w:left w:val="nil"/>
              <w:bottom w:val="nil"/>
              <w:right w:val="nil"/>
            </w:tcBorders>
            <w:shd w:val="clear" w:color="auto" w:fill="auto"/>
            <w:noWrap/>
            <w:vAlign w:val="center"/>
            <w:hideMark/>
          </w:tcPr>
          <w:p w14:paraId="66EADE99"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2 028,1</w:t>
            </w:r>
          </w:p>
        </w:tc>
        <w:tc>
          <w:tcPr>
            <w:tcW w:w="388" w:type="pct"/>
            <w:tcBorders>
              <w:top w:val="nil"/>
              <w:left w:val="nil"/>
              <w:bottom w:val="nil"/>
              <w:right w:val="nil"/>
            </w:tcBorders>
            <w:shd w:val="clear" w:color="auto" w:fill="auto"/>
            <w:noWrap/>
            <w:vAlign w:val="center"/>
            <w:hideMark/>
          </w:tcPr>
          <w:p w14:paraId="5B6A75BD"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4 936,7</w:t>
            </w:r>
          </w:p>
        </w:tc>
        <w:tc>
          <w:tcPr>
            <w:tcW w:w="388" w:type="pct"/>
            <w:tcBorders>
              <w:top w:val="nil"/>
              <w:left w:val="nil"/>
              <w:bottom w:val="nil"/>
              <w:right w:val="nil"/>
            </w:tcBorders>
            <w:shd w:val="clear" w:color="auto" w:fill="auto"/>
            <w:noWrap/>
            <w:vAlign w:val="center"/>
            <w:hideMark/>
          </w:tcPr>
          <w:p w14:paraId="1E33AB8E"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2 432,4</w:t>
            </w:r>
          </w:p>
        </w:tc>
        <w:tc>
          <w:tcPr>
            <w:tcW w:w="388" w:type="pct"/>
            <w:tcBorders>
              <w:top w:val="nil"/>
              <w:left w:val="nil"/>
              <w:bottom w:val="nil"/>
              <w:right w:val="nil"/>
            </w:tcBorders>
            <w:shd w:val="clear" w:color="auto" w:fill="auto"/>
            <w:noWrap/>
            <w:vAlign w:val="center"/>
            <w:hideMark/>
          </w:tcPr>
          <w:p w14:paraId="3F491C89"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3 075,8</w:t>
            </w:r>
          </w:p>
        </w:tc>
        <w:tc>
          <w:tcPr>
            <w:tcW w:w="388" w:type="pct"/>
            <w:tcBorders>
              <w:top w:val="nil"/>
              <w:left w:val="nil"/>
              <w:bottom w:val="nil"/>
              <w:right w:val="nil"/>
            </w:tcBorders>
            <w:shd w:val="clear" w:color="auto" w:fill="auto"/>
            <w:noWrap/>
            <w:vAlign w:val="center"/>
            <w:hideMark/>
          </w:tcPr>
          <w:p w14:paraId="72D88537"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3 912,2</w:t>
            </w:r>
          </w:p>
        </w:tc>
        <w:tc>
          <w:tcPr>
            <w:tcW w:w="388" w:type="pct"/>
            <w:tcBorders>
              <w:top w:val="nil"/>
              <w:left w:val="nil"/>
              <w:bottom w:val="nil"/>
              <w:right w:val="nil"/>
            </w:tcBorders>
            <w:shd w:val="clear" w:color="auto" w:fill="auto"/>
            <w:noWrap/>
            <w:vAlign w:val="center"/>
            <w:hideMark/>
          </w:tcPr>
          <w:p w14:paraId="777B79D3"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4 390,7</w:t>
            </w:r>
          </w:p>
        </w:tc>
      </w:tr>
      <w:tr w:rsidR="006537D2" w:rsidRPr="00267504" w14:paraId="15EAA095" w14:textId="77777777" w:rsidTr="00B63F1A">
        <w:trPr>
          <w:trHeight w:val="292"/>
        </w:trPr>
        <w:tc>
          <w:tcPr>
            <w:tcW w:w="1709" w:type="pct"/>
            <w:tcBorders>
              <w:top w:val="nil"/>
              <w:left w:val="nil"/>
              <w:bottom w:val="nil"/>
              <w:right w:val="nil"/>
            </w:tcBorders>
            <w:shd w:val="clear" w:color="auto" w:fill="auto"/>
            <w:noWrap/>
            <w:vAlign w:val="center"/>
            <w:hideMark/>
          </w:tcPr>
          <w:p w14:paraId="594088C1" w14:textId="77777777" w:rsidR="006537D2" w:rsidRPr="00267504" w:rsidRDefault="006537D2" w:rsidP="00B63F1A">
            <w:pPr>
              <w:spacing w:after="0" w:line="240" w:lineRule="auto"/>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Kapitálové výdavky</w:t>
            </w:r>
          </w:p>
        </w:tc>
        <w:tc>
          <w:tcPr>
            <w:tcW w:w="575" w:type="pct"/>
            <w:tcBorders>
              <w:top w:val="nil"/>
              <w:left w:val="nil"/>
              <w:bottom w:val="nil"/>
              <w:right w:val="nil"/>
            </w:tcBorders>
            <w:shd w:val="clear" w:color="auto" w:fill="auto"/>
            <w:noWrap/>
            <w:vAlign w:val="center"/>
            <w:hideMark/>
          </w:tcPr>
          <w:p w14:paraId="1BCB2962" w14:textId="77777777" w:rsidR="006537D2" w:rsidRPr="00267504" w:rsidRDefault="006537D2" w:rsidP="00B63F1A">
            <w:pPr>
              <w:spacing w:after="0" w:line="240" w:lineRule="auto"/>
              <w:rPr>
                <w:rFonts w:ascii="Times New Roman" w:eastAsia="Times New Roman" w:hAnsi="Times New Roman" w:cs="Times New Roman"/>
                <w:b/>
                <w:bCs/>
                <w:color w:val="000000"/>
                <w:sz w:val="14"/>
                <w:szCs w:val="14"/>
                <w:lang w:eastAsia="sk-SK"/>
              </w:rPr>
            </w:pPr>
          </w:p>
        </w:tc>
        <w:tc>
          <w:tcPr>
            <w:tcW w:w="388" w:type="pct"/>
            <w:tcBorders>
              <w:top w:val="nil"/>
              <w:left w:val="nil"/>
              <w:bottom w:val="nil"/>
              <w:right w:val="nil"/>
            </w:tcBorders>
            <w:shd w:val="clear" w:color="auto" w:fill="auto"/>
            <w:noWrap/>
            <w:vAlign w:val="center"/>
            <w:hideMark/>
          </w:tcPr>
          <w:p w14:paraId="5BFF6333"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3 607,3</w:t>
            </w:r>
          </w:p>
        </w:tc>
        <w:tc>
          <w:tcPr>
            <w:tcW w:w="388" w:type="pct"/>
            <w:tcBorders>
              <w:top w:val="nil"/>
              <w:left w:val="nil"/>
              <w:bottom w:val="nil"/>
              <w:right w:val="nil"/>
            </w:tcBorders>
            <w:shd w:val="clear" w:color="auto" w:fill="auto"/>
            <w:noWrap/>
            <w:vAlign w:val="center"/>
            <w:hideMark/>
          </w:tcPr>
          <w:p w14:paraId="6F8D8A1E"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4 051,2</w:t>
            </w:r>
          </w:p>
        </w:tc>
        <w:tc>
          <w:tcPr>
            <w:tcW w:w="388" w:type="pct"/>
            <w:tcBorders>
              <w:top w:val="nil"/>
              <w:left w:val="nil"/>
              <w:bottom w:val="nil"/>
              <w:right w:val="nil"/>
            </w:tcBorders>
            <w:shd w:val="clear" w:color="auto" w:fill="auto"/>
            <w:noWrap/>
            <w:vAlign w:val="center"/>
            <w:hideMark/>
          </w:tcPr>
          <w:p w14:paraId="23F8A500"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5 575,4</w:t>
            </w:r>
          </w:p>
        </w:tc>
        <w:tc>
          <w:tcPr>
            <w:tcW w:w="388" w:type="pct"/>
            <w:tcBorders>
              <w:top w:val="nil"/>
              <w:left w:val="nil"/>
              <w:bottom w:val="nil"/>
              <w:right w:val="nil"/>
            </w:tcBorders>
            <w:shd w:val="clear" w:color="auto" w:fill="auto"/>
            <w:noWrap/>
            <w:vAlign w:val="center"/>
            <w:hideMark/>
          </w:tcPr>
          <w:p w14:paraId="14DEAD78"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6 457,6</w:t>
            </w:r>
          </w:p>
        </w:tc>
        <w:tc>
          <w:tcPr>
            <w:tcW w:w="388" w:type="pct"/>
            <w:tcBorders>
              <w:top w:val="nil"/>
              <w:left w:val="nil"/>
              <w:bottom w:val="nil"/>
              <w:right w:val="nil"/>
            </w:tcBorders>
            <w:shd w:val="clear" w:color="auto" w:fill="auto"/>
            <w:noWrap/>
            <w:vAlign w:val="center"/>
            <w:hideMark/>
          </w:tcPr>
          <w:p w14:paraId="3DB19E79"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5 406,2</w:t>
            </w:r>
          </w:p>
        </w:tc>
        <w:tc>
          <w:tcPr>
            <w:tcW w:w="388" w:type="pct"/>
            <w:tcBorders>
              <w:top w:val="nil"/>
              <w:left w:val="nil"/>
              <w:bottom w:val="nil"/>
              <w:right w:val="nil"/>
            </w:tcBorders>
            <w:shd w:val="clear" w:color="auto" w:fill="auto"/>
            <w:noWrap/>
            <w:vAlign w:val="center"/>
            <w:hideMark/>
          </w:tcPr>
          <w:p w14:paraId="6219658A"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6 185,4</w:t>
            </w:r>
          </w:p>
        </w:tc>
        <w:tc>
          <w:tcPr>
            <w:tcW w:w="388" w:type="pct"/>
            <w:tcBorders>
              <w:top w:val="nil"/>
              <w:left w:val="nil"/>
              <w:bottom w:val="nil"/>
              <w:right w:val="nil"/>
            </w:tcBorders>
            <w:shd w:val="clear" w:color="auto" w:fill="auto"/>
            <w:noWrap/>
            <w:vAlign w:val="center"/>
            <w:hideMark/>
          </w:tcPr>
          <w:p w14:paraId="03595A52"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4 802,5</w:t>
            </w:r>
          </w:p>
        </w:tc>
      </w:tr>
      <w:tr w:rsidR="006537D2" w:rsidRPr="00267504" w14:paraId="4C5820E9" w14:textId="77777777" w:rsidTr="00B63F1A">
        <w:trPr>
          <w:trHeight w:val="292"/>
        </w:trPr>
        <w:tc>
          <w:tcPr>
            <w:tcW w:w="1709" w:type="pct"/>
            <w:tcBorders>
              <w:top w:val="nil"/>
              <w:left w:val="nil"/>
              <w:bottom w:val="nil"/>
              <w:right w:val="nil"/>
            </w:tcBorders>
            <w:shd w:val="clear" w:color="auto" w:fill="auto"/>
            <w:noWrap/>
            <w:vAlign w:val="center"/>
            <w:hideMark/>
          </w:tcPr>
          <w:p w14:paraId="651F2EB9" w14:textId="77777777" w:rsidR="006537D2" w:rsidRPr="00267504" w:rsidRDefault="006537D2" w:rsidP="00B63F1A">
            <w:pPr>
              <w:spacing w:after="0" w:line="240" w:lineRule="auto"/>
              <w:ind w:firstLineChars="100" w:firstLine="140"/>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Kapitálové investície</w:t>
            </w:r>
          </w:p>
        </w:tc>
        <w:tc>
          <w:tcPr>
            <w:tcW w:w="575" w:type="pct"/>
            <w:tcBorders>
              <w:top w:val="nil"/>
              <w:left w:val="nil"/>
              <w:bottom w:val="nil"/>
              <w:right w:val="nil"/>
            </w:tcBorders>
            <w:shd w:val="clear" w:color="auto" w:fill="auto"/>
            <w:noWrap/>
            <w:vAlign w:val="center"/>
            <w:hideMark/>
          </w:tcPr>
          <w:p w14:paraId="78504AB1" w14:textId="77777777" w:rsidR="006537D2" w:rsidRPr="00267504" w:rsidRDefault="006537D2" w:rsidP="00B63F1A">
            <w:pPr>
              <w:spacing w:after="0" w:line="240" w:lineRule="auto"/>
              <w:jc w:val="center"/>
              <w:rPr>
                <w:rFonts w:ascii="Times New Roman" w:eastAsia="Times New Roman" w:hAnsi="Times New Roman" w:cs="Times New Roman"/>
                <w:color w:val="000000"/>
                <w:sz w:val="12"/>
                <w:szCs w:val="12"/>
                <w:lang w:eastAsia="sk-SK"/>
              </w:rPr>
            </w:pPr>
            <w:r w:rsidRPr="00267504">
              <w:rPr>
                <w:rFonts w:ascii="Times New Roman" w:eastAsia="Times New Roman" w:hAnsi="Times New Roman" w:cs="Times New Roman"/>
                <w:color w:val="000000"/>
                <w:sz w:val="12"/>
                <w:szCs w:val="12"/>
                <w:lang w:eastAsia="sk-SK"/>
              </w:rPr>
              <w:t>P.5L</w:t>
            </w:r>
          </w:p>
        </w:tc>
        <w:tc>
          <w:tcPr>
            <w:tcW w:w="388" w:type="pct"/>
            <w:tcBorders>
              <w:top w:val="nil"/>
              <w:left w:val="nil"/>
              <w:bottom w:val="nil"/>
              <w:right w:val="nil"/>
            </w:tcBorders>
            <w:shd w:val="clear" w:color="auto" w:fill="auto"/>
            <w:noWrap/>
            <w:vAlign w:val="center"/>
            <w:hideMark/>
          </w:tcPr>
          <w:p w14:paraId="3B4E6030"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3 151,5</w:t>
            </w:r>
          </w:p>
        </w:tc>
        <w:tc>
          <w:tcPr>
            <w:tcW w:w="388" w:type="pct"/>
            <w:tcBorders>
              <w:top w:val="nil"/>
              <w:left w:val="nil"/>
              <w:bottom w:val="nil"/>
              <w:right w:val="nil"/>
            </w:tcBorders>
            <w:shd w:val="clear" w:color="auto" w:fill="auto"/>
            <w:noWrap/>
            <w:vAlign w:val="center"/>
            <w:hideMark/>
          </w:tcPr>
          <w:p w14:paraId="48CCDCE4"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3 368,5</w:t>
            </w:r>
          </w:p>
        </w:tc>
        <w:tc>
          <w:tcPr>
            <w:tcW w:w="388" w:type="pct"/>
            <w:tcBorders>
              <w:top w:val="nil"/>
              <w:left w:val="nil"/>
              <w:bottom w:val="nil"/>
              <w:right w:val="nil"/>
            </w:tcBorders>
            <w:shd w:val="clear" w:color="auto" w:fill="auto"/>
            <w:noWrap/>
            <w:vAlign w:val="center"/>
            <w:hideMark/>
          </w:tcPr>
          <w:p w14:paraId="7642ED4B"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5 098,6</w:t>
            </w:r>
          </w:p>
        </w:tc>
        <w:tc>
          <w:tcPr>
            <w:tcW w:w="388" w:type="pct"/>
            <w:tcBorders>
              <w:top w:val="nil"/>
              <w:left w:val="nil"/>
              <w:bottom w:val="nil"/>
              <w:right w:val="nil"/>
            </w:tcBorders>
            <w:shd w:val="clear" w:color="auto" w:fill="auto"/>
            <w:noWrap/>
            <w:vAlign w:val="center"/>
            <w:hideMark/>
          </w:tcPr>
          <w:p w14:paraId="0096479E"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5 927,1</w:t>
            </w:r>
          </w:p>
        </w:tc>
        <w:tc>
          <w:tcPr>
            <w:tcW w:w="388" w:type="pct"/>
            <w:tcBorders>
              <w:top w:val="nil"/>
              <w:left w:val="nil"/>
              <w:bottom w:val="nil"/>
              <w:right w:val="nil"/>
            </w:tcBorders>
            <w:shd w:val="clear" w:color="auto" w:fill="auto"/>
            <w:noWrap/>
            <w:vAlign w:val="center"/>
            <w:hideMark/>
          </w:tcPr>
          <w:p w14:paraId="20462522"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4 547,4</w:t>
            </w:r>
          </w:p>
        </w:tc>
        <w:tc>
          <w:tcPr>
            <w:tcW w:w="388" w:type="pct"/>
            <w:tcBorders>
              <w:top w:val="nil"/>
              <w:left w:val="nil"/>
              <w:bottom w:val="nil"/>
              <w:right w:val="nil"/>
            </w:tcBorders>
            <w:shd w:val="clear" w:color="auto" w:fill="auto"/>
            <w:noWrap/>
            <w:vAlign w:val="center"/>
            <w:hideMark/>
          </w:tcPr>
          <w:p w14:paraId="3E0B4DB0"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5 390,3</w:t>
            </w:r>
          </w:p>
        </w:tc>
        <w:tc>
          <w:tcPr>
            <w:tcW w:w="388" w:type="pct"/>
            <w:tcBorders>
              <w:top w:val="nil"/>
              <w:left w:val="nil"/>
              <w:bottom w:val="nil"/>
              <w:right w:val="nil"/>
            </w:tcBorders>
            <w:shd w:val="clear" w:color="auto" w:fill="auto"/>
            <w:noWrap/>
            <w:vAlign w:val="center"/>
            <w:hideMark/>
          </w:tcPr>
          <w:p w14:paraId="52B03117"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4 152,3</w:t>
            </w:r>
          </w:p>
        </w:tc>
      </w:tr>
      <w:tr w:rsidR="006537D2" w:rsidRPr="00267504" w14:paraId="3A59CD37" w14:textId="77777777" w:rsidTr="00B63F1A">
        <w:trPr>
          <w:trHeight w:val="292"/>
        </w:trPr>
        <w:tc>
          <w:tcPr>
            <w:tcW w:w="1709" w:type="pct"/>
            <w:tcBorders>
              <w:top w:val="nil"/>
              <w:left w:val="nil"/>
              <w:bottom w:val="nil"/>
              <w:right w:val="nil"/>
            </w:tcBorders>
            <w:shd w:val="clear" w:color="auto" w:fill="auto"/>
            <w:noWrap/>
            <w:vAlign w:val="center"/>
            <w:hideMark/>
          </w:tcPr>
          <w:p w14:paraId="6BF37783" w14:textId="77777777" w:rsidR="006537D2" w:rsidRPr="00267504" w:rsidRDefault="006537D2" w:rsidP="00B63F1A">
            <w:pPr>
              <w:spacing w:after="0" w:line="240" w:lineRule="auto"/>
              <w:ind w:firstLineChars="200" w:firstLine="280"/>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Tvorba hrubého fixného kapitálu</w:t>
            </w:r>
          </w:p>
        </w:tc>
        <w:tc>
          <w:tcPr>
            <w:tcW w:w="575" w:type="pct"/>
            <w:tcBorders>
              <w:top w:val="nil"/>
              <w:left w:val="nil"/>
              <w:bottom w:val="nil"/>
              <w:right w:val="nil"/>
            </w:tcBorders>
            <w:shd w:val="clear" w:color="auto" w:fill="auto"/>
            <w:noWrap/>
            <w:vAlign w:val="center"/>
            <w:hideMark/>
          </w:tcPr>
          <w:p w14:paraId="763CD9DE" w14:textId="77777777" w:rsidR="006537D2" w:rsidRPr="00267504" w:rsidRDefault="006537D2" w:rsidP="00B63F1A">
            <w:pPr>
              <w:spacing w:after="0" w:line="240" w:lineRule="auto"/>
              <w:jc w:val="center"/>
              <w:rPr>
                <w:rFonts w:ascii="Times New Roman" w:eastAsia="Times New Roman" w:hAnsi="Times New Roman" w:cs="Times New Roman"/>
                <w:color w:val="000000"/>
                <w:sz w:val="12"/>
                <w:szCs w:val="12"/>
                <w:lang w:eastAsia="sk-SK"/>
              </w:rPr>
            </w:pPr>
            <w:r w:rsidRPr="00267504">
              <w:rPr>
                <w:rFonts w:ascii="Times New Roman" w:eastAsia="Times New Roman" w:hAnsi="Times New Roman" w:cs="Times New Roman"/>
                <w:color w:val="000000"/>
                <w:sz w:val="12"/>
                <w:szCs w:val="12"/>
                <w:lang w:eastAsia="sk-SK"/>
              </w:rPr>
              <w:t>P.51G</w:t>
            </w:r>
          </w:p>
        </w:tc>
        <w:tc>
          <w:tcPr>
            <w:tcW w:w="388" w:type="pct"/>
            <w:tcBorders>
              <w:top w:val="nil"/>
              <w:left w:val="nil"/>
              <w:bottom w:val="nil"/>
              <w:right w:val="nil"/>
            </w:tcBorders>
            <w:shd w:val="clear" w:color="auto" w:fill="auto"/>
            <w:noWrap/>
            <w:vAlign w:val="center"/>
            <w:hideMark/>
          </w:tcPr>
          <w:p w14:paraId="177F0E77"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3 065,9</w:t>
            </w:r>
          </w:p>
        </w:tc>
        <w:tc>
          <w:tcPr>
            <w:tcW w:w="388" w:type="pct"/>
            <w:tcBorders>
              <w:top w:val="nil"/>
              <w:left w:val="nil"/>
              <w:bottom w:val="nil"/>
              <w:right w:val="nil"/>
            </w:tcBorders>
            <w:shd w:val="clear" w:color="auto" w:fill="auto"/>
            <w:noWrap/>
            <w:vAlign w:val="center"/>
            <w:hideMark/>
          </w:tcPr>
          <w:p w14:paraId="005AA59B"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3 304,9</w:t>
            </w:r>
          </w:p>
        </w:tc>
        <w:tc>
          <w:tcPr>
            <w:tcW w:w="388" w:type="pct"/>
            <w:tcBorders>
              <w:top w:val="nil"/>
              <w:left w:val="nil"/>
              <w:bottom w:val="nil"/>
              <w:right w:val="nil"/>
            </w:tcBorders>
            <w:shd w:val="clear" w:color="auto" w:fill="auto"/>
            <w:noWrap/>
            <w:vAlign w:val="center"/>
            <w:hideMark/>
          </w:tcPr>
          <w:p w14:paraId="308FCB87"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4 917,1</w:t>
            </w:r>
          </w:p>
        </w:tc>
        <w:tc>
          <w:tcPr>
            <w:tcW w:w="388" w:type="pct"/>
            <w:tcBorders>
              <w:top w:val="nil"/>
              <w:left w:val="nil"/>
              <w:bottom w:val="nil"/>
              <w:right w:val="nil"/>
            </w:tcBorders>
            <w:shd w:val="clear" w:color="auto" w:fill="auto"/>
            <w:noWrap/>
            <w:vAlign w:val="center"/>
            <w:hideMark/>
          </w:tcPr>
          <w:p w14:paraId="177FD7EF"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5 703,5</w:t>
            </w:r>
          </w:p>
        </w:tc>
        <w:tc>
          <w:tcPr>
            <w:tcW w:w="388" w:type="pct"/>
            <w:tcBorders>
              <w:top w:val="nil"/>
              <w:left w:val="nil"/>
              <w:bottom w:val="nil"/>
              <w:right w:val="nil"/>
            </w:tcBorders>
            <w:shd w:val="clear" w:color="auto" w:fill="auto"/>
            <w:noWrap/>
            <w:vAlign w:val="center"/>
            <w:hideMark/>
          </w:tcPr>
          <w:p w14:paraId="1E8B9E2E"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4 404,5</w:t>
            </w:r>
          </w:p>
        </w:tc>
        <w:tc>
          <w:tcPr>
            <w:tcW w:w="388" w:type="pct"/>
            <w:tcBorders>
              <w:top w:val="nil"/>
              <w:left w:val="nil"/>
              <w:bottom w:val="nil"/>
              <w:right w:val="nil"/>
            </w:tcBorders>
            <w:shd w:val="clear" w:color="auto" w:fill="auto"/>
            <w:noWrap/>
            <w:vAlign w:val="center"/>
            <w:hideMark/>
          </w:tcPr>
          <w:p w14:paraId="6D400095"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5 269,5</w:t>
            </w:r>
          </w:p>
        </w:tc>
        <w:tc>
          <w:tcPr>
            <w:tcW w:w="388" w:type="pct"/>
            <w:tcBorders>
              <w:top w:val="nil"/>
              <w:left w:val="nil"/>
              <w:bottom w:val="nil"/>
              <w:right w:val="nil"/>
            </w:tcBorders>
            <w:shd w:val="clear" w:color="auto" w:fill="auto"/>
            <w:noWrap/>
            <w:vAlign w:val="center"/>
            <w:hideMark/>
          </w:tcPr>
          <w:p w14:paraId="4B6344F8"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4 037,0</w:t>
            </w:r>
          </w:p>
        </w:tc>
      </w:tr>
      <w:tr w:rsidR="006537D2" w:rsidRPr="00267504" w14:paraId="00E6569D" w14:textId="77777777" w:rsidTr="00B63F1A">
        <w:trPr>
          <w:trHeight w:val="292"/>
        </w:trPr>
        <w:tc>
          <w:tcPr>
            <w:tcW w:w="1709" w:type="pct"/>
            <w:tcBorders>
              <w:top w:val="nil"/>
              <w:left w:val="nil"/>
              <w:bottom w:val="nil"/>
              <w:right w:val="nil"/>
            </w:tcBorders>
            <w:shd w:val="clear" w:color="auto" w:fill="auto"/>
            <w:noWrap/>
            <w:vAlign w:val="center"/>
            <w:hideMark/>
          </w:tcPr>
          <w:p w14:paraId="222278C5" w14:textId="77777777" w:rsidR="006537D2" w:rsidRPr="00267504" w:rsidRDefault="006537D2" w:rsidP="00B63F1A">
            <w:pPr>
              <w:spacing w:after="0" w:line="240" w:lineRule="auto"/>
              <w:ind w:firstLineChars="200" w:firstLine="280"/>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 xml:space="preserve">Zmena stavu zásob a </w:t>
            </w:r>
            <w:proofErr w:type="spellStart"/>
            <w:r w:rsidRPr="00267504">
              <w:rPr>
                <w:rFonts w:ascii="Times New Roman" w:eastAsia="Times New Roman" w:hAnsi="Times New Roman" w:cs="Times New Roman"/>
                <w:color w:val="000000"/>
                <w:sz w:val="14"/>
                <w:szCs w:val="14"/>
                <w:lang w:eastAsia="sk-SK"/>
              </w:rPr>
              <w:t>nadob</w:t>
            </w:r>
            <w:proofErr w:type="spellEnd"/>
            <w:r w:rsidRPr="00267504">
              <w:rPr>
                <w:rFonts w:ascii="Times New Roman" w:eastAsia="Times New Roman" w:hAnsi="Times New Roman" w:cs="Times New Roman"/>
                <w:color w:val="000000"/>
                <w:sz w:val="14"/>
                <w:szCs w:val="14"/>
                <w:lang w:eastAsia="sk-SK"/>
              </w:rPr>
              <w:t>. mínus úbytok cenností</w:t>
            </w:r>
          </w:p>
        </w:tc>
        <w:tc>
          <w:tcPr>
            <w:tcW w:w="575" w:type="pct"/>
            <w:tcBorders>
              <w:top w:val="nil"/>
              <w:left w:val="nil"/>
              <w:bottom w:val="nil"/>
              <w:right w:val="nil"/>
            </w:tcBorders>
            <w:shd w:val="clear" w:color="auto" w:fill="auto"/>
            <w:noWrap/>
            <w:vAlign w:val="center"/>
            <w:hideMark/>
          </w:tcPr>
          <w:p w14:paraId="1F7FE37A" w14:textId="77777777" w:rsidR="006537D2" w:rsidRPr="00267504" w:rsidRDefault="006537D2" w:rsidP="00B63F1A">
            <w:pPr>
              <w:spacing w:after="0" w:line="240" w:lineRule="auto"/>
              <w:jc w:val="center"/>
              <w:rPr>
                <w:rFonts w:ascii="Times New Roman" w:eastAsia="Times New Roman" w:hAnsi="Times New Roman" w:cs="Times New Roman"/>
                <w:color w:val="000000"/>
                <w:sz w:val="12"/>
                <w:szCs w:val="12"/>
                <w:lang w:eastAsia="sk-SK"/>
              </w:rPr>
            </w:pPr>
            <w:r w:rsidRPr="00267504">
              <w:rPr>
                <w:rFonts w:ascii="Times New Roman" w:eastAsia="Times New Roman" w:hAnsi="Times New Roman" w:cs="Times New Roman"/>
                <w:color w:val="000000"/>
                <w:sz w:val="12"/>
                <w:szCs w:val="12"/>
                <w:lang w:eastAsia="sk-SK"/>
              </w:rPr>
              <w:t>P.5M</w:t>
            </w:r>
          </w:p>
        </w:tc>
        <w:tc>
          <w:tcPr>
            <w:tcW w:w="388" w:type="pct"/>
            <w:tcBorders>
              <w:top w:val="nil"/>
              <w:left w:val="nil"/>
              <w:bottom w:val="nil"/>
              <w:right w:val="nil"/>
            </w:tcBorders>
            <w:shd w:val="clear" w:color="auto" w:fill="auto"/>
            <w:noWrap/>
            <w:vAlign w:val="center"/>
            <w:hideMark/>
          </w:tcPr>
          <w:p w14:paraId="084684DC"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99,5</w:t>
            </w:r>
          </w:p>
        </w:tc>
        <w:tc>
          <w:tcPr>
            <w:tcW w:w="388" w:type="pct"/>
            <w:tcBorders>
              <w:top w:val="nil"/>
              <w:left w:val="nil"/>
              <w:bottom w:val="nil"/>
              <w:right w:val="nil"/>
            </w:tcBorders>
            <w:shd w:val="clear" w:color="auto" w:fill="auto"/>
            <w:noWrap/>
            <w:vAlign w:val="center"/>
            <w:hideMark/>
          </w:tcPr>
          <w:p w14:paraId="14638E9E"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36,6</w:t>
            </w:r>
          </w:p>
        </w:tc>
        <w:tc>
          <w:tcPr>
            <w:tcW w:w="388" w:type="pct"/>
            <w:tcBorders>
              <w:top w:val="nil"/>
              <w:left w:val="nil"/>
              <w:bottom w:val="nil"/>
              <w:right w:val="nil"/>
            </w:tcBorders>
            <w:shd w:val="clear" w:color="auto" w:fill="auto"/>
            <w:noWrap/>
            <w:vAlign w:val="center"/>
            <w:hideMark/>
          </w:tcPr>
          <w:p w14:paraId="4A62FAB2"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235,7</w:t>
            </w:r>
          </w:p>
        </w:tc>
        <w:tc>
          <w:tcPr>
            <w:tcW w:w="388" w:type="pct"/>
            <w:tcBorders>
              <w:top w:val="nil"/>
              <w:left w:val="nil"/>
              <w:bottom w:val="nil"/>
              <w:right w:val="nil"/>
            </w:tcBorders>
            <w:shd w:val="clear" w:color="auto" w:fill="auto"/>
            <w:noWrap/>
            <w:vAlign w:val="center"/>
            <w:hideMark/>
          </w:tcPr>
          <w:p w14:paraId="52385A73"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244,4</w:t>
            </w:r>
          </w:p>
        </w:tc>
        <w:tc>
          <w:tcPr>
            <w:tcW w:w="388" w:type="pct"/>
            <w:tcBorders>
              <w:top w:val="nil"/>
              <w:left w:val="nil"/>
              <w:bottom w:val="nil"/>
              <w:right w:val="nil"/>
            </w:tcBorders>
            <w:shd w:val="clear" w:color="auto" w:fill="auto"/>
            <w:noWrap/>
            <w:vAlign w:val="center"/>
            <w:hideMark/>
          </w:tcPr>
          <w:p w14:paraId="56F2DB2C"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112,5</w:t>
            </w:r>
          </w:p>
        </w:tc>
        <w:tc>
          <w:tcPr>
            <w:tcW w:w="388" w:type="pct"/>
            <w:tcBorders>
              <w:top w:val="nil"/>
              <w:left w:val="nil"/>
              <w:bottom w:val="nil"/>
              <w:right w:val="nil"/>
            </w:tcBorders>
            <w:shd w:val="clear" w:color="auto" w:fill="auto"/>
            <w:noWrap/>
            <w:vAlign w:val="center"/>
            <w:hideMark/>
          </w:tcPr>
          <w:p w14:paraId="3DCF0851"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106,7</w:t>
            </w:r>
          </w:p>
        </w:tc>
        <w:tc>
          <w:tcPr>
            <w:tcW w:w="388" w:type="pct"/>
            <w:tcBorders>
              <w:top w:val="nil"/>
              <w:left w:val="nil"/>
              <w:bottom w:val="nil"/>
              <w:right w:val="nil"/>
            </w:tcBorders>
            <w:shd w:val="clear" w:color="auto" w:fill="auto"/>
            <w:noWrap/>
            <w:vAlign w:val="center"/>
            <w:hideMark/>
          </w:tcPr>
          <w:p w14:paraId="4A7EE364"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139,4</w:t>
            </w:r>
          </w:p>
        </w:tc>
      </w:tr>
      <w:tr w:rsidR="006537D2" w:rsidRPr="00267504" w14:paraId="3B1B0146" w14:textId="77777777" w:rsidTr="00B63F1A">
        <w:trPr>
          <w:trHeight w:val="292"/>
        </w:trPr>
        <w:tc>
          <w:tcPr>
            <w:tcW w:w="1709" w:type="pct"/>
            <w:tcBorders>
              <w:top w:val="nil"/>
              <w:left w:val="nil"/>
              <w:bottom w:val="nil"/>
              <w:right w:val="nil"/>
            </w:tcBorders>
            <w:shd w:val="clear" w:color="auto" w:fill="auto"/>
            <w:noWrap/>
            <w:vAlign w:val="center"/>
            <w:hideMark/>
          </w:tcPr>
          <w:p w14:paraId="1F956C00" w14:textId="77777777" w:rsidR="006537D2" w:rsidRPr="00267504" w:rsidRDefault="006537D2" w:rsidP="00B63F1A">
            <w:pPr>
              <w:spacing w:after="0" w:line="240" w:lineRule="auto"/>
              <w:ind w:firstLineChars="200" w:firstLine="280"/>
              <w:rPr>
                <w:rFonts w:ascii="Times New Roman" w:eastAsia="Times New Roman" w:hAnsi="Times New Roman" w:cs="Times New Roman"/>
                <w:color w:val="000000"/>
                <w:sz w:val="14"/>
                <w:szCs w:val="14"/>
                <w:lang w:eastAsia="sk-SK"/>
              </w:rPr>
            </w:pPr>
            <w:proofErr w:type="spellStart"/>
            <w:r w:rsidRPr="00267504">
              <w:rPr>
                <w:rFonts w:ascii="Times New Roman" w:eastAsia="Times New Roman" w:hAnsi="Times New Roman" w:cs="Times New Roman"/>
                <w:color w:val="000000"/>
                <w:sz w:val="14"/>
                <w:szCs w:val="14"/>
                <w:lang w:eastAsia="sk-SK"/>
              </w:rPr>
              <w:t>Nadob</w:t>
            </w:r>
            <w:proofErr w:type="spellEnd"/>
            <w:r w:rsidRPr="00267504">
              <w:rPr>
                <w:rFonts w:ascii="Times New Roman" w:eastAsia="Times New Roman" w:hAnsi="Times New Roman" w:cs="Times New Roman"/>
                <w:color w:val="000000"/>
                <w:sz w:val="14"/>
                <w:szCs w:val="14"/>
                <w:lang w:eastAsia="sk-SK"/>
              </w:rPr>
              <w:t xml:space="preserve">. mínus úbytok </w:t>
            </w:r>
            <w:proofErr w:type="spellStart"/>
            <w:r w:rsidRPr="00267504">
              <w:rPr>
                <w:rFonts w:ascii="Times New Roman" w:eastAsia="Times New Roman" w:hAnsi="Times New Roman" w:cs="Times New Roman"/>
                <w:color w:val="000000"/>
                <w:sz w:val="14"/>
                <w:szCs w:val="14"/>
                <w:lang w:eastAsia="sk-SK"/>
              </w:rPr>
              <w:t>nefinan</w:t>
            </w:r>
            <w:proofErr w:type="spellEnd"/>
            <w:r w:rsidRPr="00267504">
              <w:rPr>
                <w:rFonts w:ascii="Times New Roman" w:eastAsia="Times New Roman" w:hAnsi="Times New Roman" w:cs="Times New Roman"/>
                <w:color w:val="000000"/>
                <w:sz w:val="14"/>
                <w:szCs w:val="14"/>
                <w:lang w:eastAsia="sk-SK"/>
              </w:rPr>
              <w:t>. neprodukovaných aktív</w:t>
            </w:r>
          </w:p>
        </w:tc>
        <w:tc>
          <w:tcPr>
            <w:tcW w:w="575" w:type="pct"/>
            <w:tcBorders>
              <w:top w:val="nil"/>
              <w:left w:val="nil"/>
              <w:bottom w:val="nil"/>
              <w:right w:val="nil"/>
            </w:tcBorders>
            <w:shd w:val="clear" w:color="auto" w:fill="auto"/>
            <w:noWrap/>
            <w:vAlign w:val="center"/>
            <w:hideMark/>
          </w:tcPr>
          <w:p w14:paraId="425D00DC" w14:textId="77777777" w:rsidR="006537D2" w:rsidRPr="00267504" w:rsidRDefault="006537D2" w:rsidP="00B63F1A">
            <w:pPr>
              <w:spacing w:after="0" w:line="240" w:lineRule="auto"/>
              <w:jc w:val="center"/>
              <w:rPr>
                <w:rFonts w:ascii="Times New Roman" w:eastAsia="Times New Roman" w:hAnsi="Times New Roman" w:cs="Times New Roman"/>
                <w:color w:val="000000"/>
                <w:sz w:val="12"/>
                <w:szCs w:val="12"/>
                <w:lang w:eastAsia="sk-SK"/>
              </w:rPr>
            </w:pPr>
            <w:r w:rsidRPr="00267504">
              <w:rPr>
                <w:rFonts w:ascii="Times New Roman" w:eastAsia="Times New Roman" w:hAnsi="Times New Roman" w:cs="Times New Roman"/>
                <w:color w:val="000000"/>
                <w:sz w:val="12"/>
                <w:szCs w:val="12"/>
                <w:lang w:eastAsia="sk-SK"/>
              </w:rPr>
              <w:t>NP</w:t>
            </w:r>
          </w:p>
        </w:tc>
        <w:tc>
          <w:tcPr>
            <w:tcW w:w="388" w:type="pct"/>
            <w:tcBorders>
              <w:top w:val="nil"/>
              <w:left w:val="nil"/>
              <w:bottom w:val="nil"/>
              <w:right w:val="nil"/>
            </w:tcBorders>
            <w:shd w:val="clear" w:color="auto" w:fill="auto"/>
            <w:noWrap/>
            <w:vAlign w:val="center"/>
            <w:hideMark/>
          </w:tcPr>
          <w:p w14:paraId="04F6DA7E"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-13,9</w:t>
            </w:r>
          </w:p>
        </w:tc>
        <w:tc>
          <w:tcPr>
            <w:tcW w:w="388" w:type="pct"/>
            <w:tcBorders>
              <w:top w:val="nil"/>
              <w:left w:val="nil"/>
              <w:bottom w:val="nil"/>
              <w:right w:val="nil"/>
            </w:tcBorders>
            <w:shd w:val="clear" w:color="auto" w:fill="auto"/>
            <w:noWrap/>
            <w:vAlign w:val="center"/>
            <w:hideMark/>
          </w:tcPr>
          <w:p w14:paraId="0D28D869"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27,0</w:t>
            </w:r>
          </w:p>
        </w:tc>
        <w:tc>
          <w:tcPr>
            <w:tcW w:w="388" w:type="pct"/>
            <w:tcBorders>
              <w:top w:val="nil"/>
              <w:left w:val="nil"/>
              <w:bottom w:val="nil"/>
              <w:right w:val="nil"/>
            </w:tcBorders>
            <w:shd w:val="clear" w:color="auto" w:fill="auto"/>
            <w:noWrap/>
            <w:vAlign w:val="center"/>
            <w:hideMark/>
          </w:tcPr>
          <w:p w14:paraId="7302F64E"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-54,2</w:t>
            </w:r>
          </w:p>
        </w:tc>
        <w:tc>
          <w:tcPr>
            <w:tcW w:w="388" w:type="pct"/>
            <w:tcBorders>
              <w:top w:val="nil"/>
              <w:left w:val="nil"/>
              <w:bottom w:val="nil"/>
              <w:right w:val="nil"/>
            </w:tcBorders>
            <w:shd w:val="clear" w:color="auto" w:fill="auto"/>
            <w:noWrap/>
            <w:vAlign w:val="center"/>
            <w:hideMark/>
          </w:tcPr>
          <w:p w14:paraId="53AFF716"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-20,8</w:t>
            </w:r>
          </w:p>
        </w:tc>
        <w:tc>
          <w:tcPr>
            <w:tcW w:w="388" w:type="pct"/>
            <w:tcBorders>
              <w:top w:val="nil"/>
              <w:left w:val="nil"/>
              <w:bottom w:val="nil"/>
              <w:right w:val="nil"/>
            </w:tcBorders>
            <w:shd w:val="clear" w:color="auto" w:fill="auto"/>
            <w:noWrap/>
            <w:vAlign w:val="center"/>
            <w:hideMark/>
          </w:tcPr>
          <w:p w14:paraId="20A6DE70"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30,4</w:t>
            </w:r>
          </w:p>
        </w:tc>
        <w:tc>
          <w:tcPr>
            <w:tcW w:w="388" w:type="pct"/>
            <w:tcBorders>
              <w:top w:val="nil"/>
              <w:left w:val="nil"/>
              <w:bottom w:val="nil"/>
              <w:right w:val="nil"/>
            </w:tcBorders>
            <w:shd w:val="clear" w:color="auto" w:fill="auto"/>
            <w:noWrap/>
            <w:vAlign w:val="center"/>
            <w:hideMark/>
          </w:tcPr>
          <w:p w14:paraId="3CB02131"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14,0</w:t>
            </w:r>
          </w:p>
        </w:tc>
        <w:tc>
          <w:tcPr>
            <w:tcW w:w="388" w:type="pct"/>
            <w:tcBorders>
              <w:top w:val="nil"/>
              <w:left w:val="nil"/>
              <w:bottom w:val="nil"/>
              <w:right w:val="nil"/>
            </w:tcBorders>
            <w:shd w:val="clear" w:color="auto" w:fill="auto"/>
            <w:noWrap/>
            <w:vAlign w:val="center"/>
            <w:hideMark/>
          </w:tcPr>
          <w:p w14:paraId="4BF6189C"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-24,0</w:t>
            </w:r>
          </w:p>
        </w:tc>
      </w:tr>
      <w:tr w:rsidR="006537D2" w:rsidRPr="00267504" w14:paraId="774359EE" w14:textId="77777777" w:rsidTr="00B63F1A">
        <w:trPr>
          <w:trHeight w:val="292"/>
        </w:trPr>
        <w:tc>
          <w:tcPr>
            <w:tcW w:w="1709" w:type="pct"/>
            <w:tcBorders>
              <w:top w:val="nil"/>
              <w:left w:val="nil"/>
              <w:bottom w:val="single" w:sz="4" w:space="0" w:color="auto"/>
              <w:right w:val="nil"/>
            </w:tcBorders>
            <w:shd w:val="clear" w:color="auto" w:fill="auto"/>
            <w:noWrap/>
            <w:vAlign w:val="center"/>
            <w:hideMark/>
          </w:tcPr>
          <w:p w14:paraId="160CA3CA" w14:textId="77777777" w:rsidR="006537D2" w:rsidRPr="00267504" w:rsidRDefault="006537D2" w:rsidP="00B63F1A">
            <w:pPr>
              <w:spacing w:after="0" w:line="240" w:lineRule="auto"/>
              <w:ind w:firstLineChars="100" w:firstLine="140"/>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Kapitálové transfery</w:t>
            </w:r>
          </w:p>
        </w:tc>
        <w:tc>
          <w:tcPr>
            <w:tcW w:w="575" w:type="pct"/>
            <w:tcBorders>
              <w:top w:val="nil"/>
              <w:left w:val="nil"/>
              <w:bottom w:val="single" w:sz="4" w:space="0" w:color="auto"/>
              <w:right w:val="nil"/>
            </w:tcBorders>
            <w:shd w:val="clear" w:color="auto" w:fill="auto"/>
            <w:noWrap/>
            <w:vAlign w:val="center"/>
            <w:hideMark/>
          </w:tcPr>
          <w:p w14:paraId="7DF42930" w14:textId="77777777" w:rsidR="006537D2" w:rsidRPr="00267504" w:rsidRDefault="006537D2" w:rsidP="00B63F1A">
            <w:pPr>
              <w:spacing w:after="0" w:line="240" w:lineRule="auto"/>
              <w:jc w:val="center"/>
              <w:rPr>
                <w:rFonts w:ascii="Times New Roman" w:eastAsia="Times New Roman" w:hAnsi="Times New Roman" w:cs="Times New Roman"/>
                <w:color w:val="000000"/>
                <w:sz w:val="12"/>
                <w:szCs w:val="12"/>
                <w:lang w:eastAsia="sk-SK"/>
              </w:rPr>
            </w:pPr>
            <w:r w:rsidRPr="00267504">
              <w:rPr>
                <w:rFonts w:ascii="Times New Roman" w:eastAsia="Times New Roman" w:hAnsi="Times New Roman" w:cs="Times New Roman"/>
                <w:color w:val="000000"/>
                <w:sz w:val="12"/>
                <w:szCs w:val="12"/>
                <w:lang w:eastAsia="sk-SK"/>
              </w:rPr>
              <w:t>D.9P</w:t>
            </w:r>
          </w:p>
        </w:tc>
        <w:tc>
          <w:tcPr>
            <w:tcW w:w="388" w:type="pct"/>
            <w:tcBorders>
              <w:top w:val="nil"/>
              <w:left w:val="nil"/>
              <w:bottom w:val="single" w:sz="4" w:space="0" w:color="auto"/>
              <w:right w:val="nil"/>
            </w:tcBorders>
            <w:shd w:val="clear" w:color="auto" w:fill="auto"/>
            <w:noWrap/>
            <w:vAlign w:val="center"/>
            <w:hideMark/>
          </w:tcPr>
          <w:p w14:paraId="1ADD081B"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455,9</w:t>
            </w:r>
          </w:p>
        </w:tc>
        <w:tc>
          <w:tcPr>
            <w:tcW w:w="388" w:type="pct"/>
            <w:tcBorders>
              <w:top w:val="nil"/>
              <w:left w:val="nil"/>
              <w:bottom w:val="single" w:sz="4" w:space="0" w:color="auto"/>
              <w:right w:val="nil"/>
            </w:tcBorders>
            <w:shd w:val="clear" w:color="auto" w:fill="auto"/>
            <w:noWrap/>
            <w:vAlign w:val="center"/>
            <w:hideMark/>
          </w:tcPr>
          <w:p w14:paraId="2C8CBC6A"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682,7</w:t>
            </w:r>
          </w:p>
        </w:tc>
        <w:tc>
          <w:tcPr>
            <w:tcW w:w="388" w:type="pct"/>
            <w:tcBorders>
              <w:top w:val="nil"/>
              <w:left w:val="nil"/>
              <w:bottom w:val="single" w:sz="4" w:space="0" w:color="auto"/>
              <w:right w:val="nil"/>
            </w:tcBorders>
            <w:shd w:val="clear" w:color="auto" w:fill="auto"/>
            <w:noWrap/>
            <w:vAlign w:val="center"/>
            <w:hideMark/>
          </w:tcPr>
          <w:p w14:paraId="2E2508B9"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476,8</w:t>
            </w:r>
          </w:p>
        </w:tc>
        <w:tc>
          <w:tcPr>
            <w:tcW w:w="388" w:type="pct"/>
            <w:tcBorders>
              <w:top w:val="nil"/>
              <w:left w:val="nil"/>
              <w:bottom w:val="single" w:sz="4" w:space="0" w:color="auto"/>
              <w:right w:val="nil"/>
            </w:tcBorders>
            <w:shd w:val="clear" w:color="auto" w:fill="auto"/>
            <w:noWrap/>
            <w:vAlign w:val="center"/>
            <w:hideMark/>
          </w:tcPr>
          <w:p w14:paraId="5DCC6F5B"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530,4</w:t>
            </w:r>
          </w:p>
        </w:tc>
        <w:tc>
          <w:tcPr>
            <w:tcW w:w="388" w:type="pct"/>
            <w:tcBorders>
              <w:top w:val="nil"/>
              <w:left w:val="nil"/>
              <w:bottom w:val="single" w:sz="4" w:space="0" w:color="auto"/>
              <w:right w:val="nil"/>
            </w:tcBorders>
            <w:shd w:val="clear" w:color="auto" w:fill="auto"/>
            <w:noWrap/>
            <w:vAlign w:val="center"/>
            <w:hideMark/>
          </w:tcPr>
          <w:p w14:paraId="06D8E136"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858,8</w:t>
            </w:r>
          </w:p>
        </w:tc>
        <w:tc>
          <w:tcPr>
            <w:tcW w:w="388" w:type="pct"/>
            <w:tcBorders>
              <w:top w:val="nil"/>
              <w:left w:val="nil"/>
              <w:bottom w:val="single" w:sz="4" w:space="0" w:color="auto"/>
              <w:right w:val="nil"/>
            </w:tcBorders>
            <w:shd w:val="clear" w:color="auto" w:fill="auto"/>
            <w:noWrap/>
            <w:vAlign w:val="center"/>
            <w:hideMark/>
          </w:tcPr>
          <w:p w14:paraId="49447E5A"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795,1</w:t>
            </w:r>
          </w:p>
        </w:tc>
        <w:tc>
          <w:tcPr>
            <w:tcW w:w="388" w:type="pct"/>
            <w:tcBorders>
              <w:top w:val="nil"/>
              <w:left w:val="nil"/>
              <w:bottom w:val="single" w:sz="4" w:space="0" w:color="auto"/>
              <w:right w:val="nil"/>
            </w:tcBorders>
            <w:shd w:val="clear" w:color="auto" w:fill="auto"/>
            <w:noWrap/>
            <w:vAlign w:val="center"/>
            <w:hideMark/>
          </w:tcPr>
          <w:p w14:paraId="63B02333" w14:textId="77777777" w:rsidR="006537D2" w:rsidRPr="00267504" w:rsidRDefault="006537D2" w:rsidP="00B63F1A">
            <w:pPr>
              <w:spacing w:after="0" w:line="240" w:lineRule="auto"/>
              <w:jc w:val="right"/>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650,1</w:t>
            </w:r>
          </w:p>
        </w:tc>
      </w:tr>
      <w:tr w:rsidR="006537D2" w:rsidRPr="00267504" w14:paraId="256C4C10" w14:textId="77777777" w:rsidTr="00B63F1A">
        <w:trPr>
          <w:trHeight w:val="292"/>
        </w:trPr>
        <w:tc>
          <w:tcPr>
            <w:tcW w:w="1709" w:type="pct"/>
            <w:tcBorders>
              <w:top w:val="nil"/>
              <w:left w:val="nil"/>
              <w:bottom w:val="nil"/>
              <w:right w:val="nil"/>
            </w:tcBorders>
            <w:shd w:val="clear" w:color="auto" w:fill="auto"/>
            <w:noWrap/>
            <w:vAlign w:val="center"/>
            <w:hideMark/>
          </w:tcPr>
          <w:p w14:paraId="6DDDE9B5" w14:textId="77777777" w:rsidR="006537D2" w:rsidRPr="00267504" w:rsidRDefault="006537D2" w:rsidP="00B63F1A">
            <w:pPr>
              <w:spacing w:after="0" w:line="240" w:lineRule="auto"/>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Čisté pôžičky poskytnuté (+) / prijaté (-)</w:t>
            </w:r>
          </w:p>
        </w:tc>
        <w:tc>
          <w:tcPr>
            <w:tcW w:w="575" w:type="pct"/>
            <w:tcBorders>
              <w:top w:val="nil"/>
              <w:left w:val="nil"/>
              <w:bottom w:val="nil"/>
              <w:right w:val="nil"/>
            </w:tcBorders>
            <w:shd w:val="clear" w:color="auto" w:fill="auto"/>
            <w:noWrap/>
            <w:vAlign w:val="center"/>
            <w:hideMark/>
          </w:tcPr>
          <w:p w14:paraId="755BB478" w14:textId="77777777" w:rsidR="006537D2" w:rsidRPr="00267504" w:rsidRDefault="006537D2" w:rsidP="00B63F1A">
            <w:pPr>
              <w:spacing w:after="0" w:line="240" w:lineRule="auto"/>
              <w:jc w:val="center"/>
              <w:rPr>
                <w:rFonts w:ascii="Times New Roman" w:eastAsia="Times New Roman" w:hAnsi="Times New Roman" w:cs="Times New Roman"/>
                <w:b/>
                <w:bCs/>
                <w:color w:val="000000"/>
                <w:sz w:val="12"/>
                <w:szCs w:val="12"/>
                <w:lang w:eastAsia="sk-SK"/>
              </w:rPr>
            </w:pPr>
            <w:r w:rsidRPr="00267504">
              <w:rPr>
                <w:rFonts w:ascii="Times New Roman" w:eastAsia="Times New Roman" w:hAnsi="Times New Roman" w:cs="Times New Roman"/>
                <w:b/>
                <w:bCs/>
                <w:color w:val="000000"/>
                <w:sz w:val="12"/>
                <w:szCs w:val="12"/>
                <w:lang w:eastAsia="sk-SK"/>
              </w:rPr>
              <w:t>B.9</w:t>
            </w:r>
          </w:p>
        </w:tc>
        <w:tc>
          <w:tcPr>
            <w:tcW w:w="388" w:type="pct"/>
            <w:tcBorders>
              <w:top w:val="nil"/>
              <w:left w:val="nil"/>
              <w:bottom w:val="nil"/>
              <w:right w:val="nil"/>
            </w:tcBorders>
            <w:shd w:val="clear" w:color="auto" w:fill="auto"/>
            <w:noWrap/>
            <w:vAlign w:val="center"/>
            <w:hideMark/>
          </w:tcPr>
          <w:p w14:paraId="5A275933"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-5 194,7</w:t>
            </w:r>
          </w:p>
        </w:tc>
        <w:tc>
          <w:tcPr>
            <w:tcW w:w="388" w:type="pct"/>
            <w:tcBorders>
              <w:top w:val="nil"/>
              <w:left w:val="nil"/>
              <w:bottom w:val="nil"/>
              <w:right w:val="nil"/>
            </w:tcBorders>
            <w:shd w:val="clear" w:color="auto" w:fill="auto"/>
            <w:noWrap/>
            <w:vAlign w:val="center"/>
            <w:hideMark/>
          </w:tcPr>
          <w:p w14:paraId="3295F23D"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-2 215,6</w:t>
            </w:r>
          </w:p>
        </w:tc>
        <w:tc>
          <w:tcPr>
            <w:tcW w:w="388" w:type="pct"/>
            <w:tcBorders>
              <w:top w:val="nil"/>
              <w:left w:val="nil"/>
              <w:bottom w:val="nil"/>
              <w:right w:val="nil"/>
            </w:tcBorders>
            <w:shd w:val="clear" w:color="auto" w:fill="auto"/>
            <w:noWrap/>
            <w:vAlign w:val="center"/>
            <w:hideMark/>
          </w:tcPr>
          <w:p w14:paraId="3D7AD98A"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-7 871,2</w:t>
            </w:r>
          </w:p>
        </w:tc>
        <w:tc>
          <w:tcPr>
            <w:tcW w:w="388" w:type="pct"/>
            <w:tcBorders>
              <w:top w:val="nil"/>
              <w:left w:val="nil"/>
              <w:bottom w:val="nil"/>
              <w:right w:val="nil"/>
            </w:tcBorders>
            <w:shd w:val="clear" w:color="auto" w:fill="auto"/>
            <w:noWrap/>
            <w:vAlign w:val="center"/>
            <w:hideMark/>
          </w:tcPr>
          <w:p w14:paraId="2CF852A2"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-7 948,5</w:t>
            </w:r>
          </w:p>
        </w:tc>
        <w:tc>
          <w:tcPr>
            <w:tcW w:w="388" w:type="pct"/>
            <w:tcBorders>
              <w:top w:val="nil"/>
              <w:left w:val="nil"/>
              <w:bottom w:val="nil"/>
              <w:right w:val="nil"/>
            </w:tcBorders>
            <w:shd w:val="clear" w:color="auto" w:fill="auto"/>
            <w:noWrap/>
            <w:vAlign w:val="center"/>
            <w:hideMark/>
          </w:tcPr>
          <w:p w14:paraId="4D86DFFA"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-7 840,7</w:t>
            </w:r>
          </w:p>
        </w:tc>
        <w:tc>
          <w:tcPr>
            <w:tcW w:w="388" w:type="pct"/>
            <w:tcBorders>
              <w:top w:val="nil"/>
              <w:left w:val="nil"/>
              <w:bottom w:val="nil"/>
              <w:right w:val="nil"/>
            </w:tcBorders>
            <w:shd w:val="clear" w:color="auto" w:fill="auto"/>
            <w:noWrap/>
            <w:vAlign w:val="center"/>
            <w:hideMark/>
          </w:tcPr>
          <w:p w14:paraId="4A4B4C77"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-8 448,8</w:t>
            </w:r>
          </w:p>
        </w:tc>
        <w:tc>
          <w:tcPr>
            <w:tcW w:w="388" w:type="pct"/>
            <w:tcBorders>
              <w:top w:val="nil"/>
              <w:left w:val="nil"/>
              <w:bottom w:val="nil"/>
              <w:right w:val="nil"/>
            </w:tcBorders>
            <w:shd w:val="clear" w:color="auto" w:fill="auto"/>
            <w:noWrap/>
            <w:vAlign w:val="center"/>
            <w:hideMark/>
          </w:tcPr>
          <w:p w14:paraId="45C1587B"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-8 141,3</w:t>
            </w:r>
          </w:p>
        </w:tc>
      </w:tr>
      <w:tr w:rsidR="006537D2" w:rsidRPr="00267504" w14:paraId="2908CEF3" w14:textId="77777777" w:rsidTr="00B63F1A">
        <w:trPr>
          <w:trHeight w:val="292"/>
        </w:trPr>
        <w:tc>
          <w:tcPr>
            <w:tcW w:w="1709" w:type="pct"/>
            <w:tcBorders>
              <w:top w:val="nil"/>
              <w:left w:val="nil"/>
              <w:bottom w:val="single" w:sz="4" w:space="0" w:color="auto"/>
              <w:right w:val="nil"/>
            </w:tcBorders>
            <w:shd w:val="clear" w:color="auto" w:fill="auto"/>
            <w:noWrap/>
            <w:vAlign w:val="center"/>
            <w:hideMark/>
          </w:tcPr>
          <w:p w14:paraId="46AED26F" w14:textId="77777777" w:rsidR="006537D2" w:rsidRPr="00267504" w:rsidRDefault="006537D2" w:rsidP="00B63F1A">
            <w:pPr>
              <w:spacing w:after="0" w:line="240" w:lineRule="auto"/>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v % HDP</w:t>
            </w:r>
          </w:p>
        </w:tc>
        <w:tc>
          <w:tcPr>
            <w:tcW w:w="575" w:type="pct"/>
            <w:tcBorders>
              <w:top w:val="nil"/>
              <w:left w:val="nil"/>
              <w:bottom w:val="single" w:sz="4" w:space="0" w:color="auto"/>
              <w:right w:val="nil"/>
            </w:tcBorders>
            <w:shd w:val="clear" w:color="auto" w:fill="auto"/>
            <w:noWrap/>
            <w:vAlign w:val="center"/>
            <w:hideMark/>
          </w:tcPr>
          <w:p w14:paraId="3BCBD73F" w14:textId="77777777" w:rsidR="006537D2" w:rsidRPr="00267504" w:rsidRDefault="006537D2" w:rsidP="00B63F1A">
            <w:pPr>
              <w:spacing w:after="0" w:line="240" w:lineRule="auto"/>
              <w:jc w:val="center"/>
              <w:rPr>
                <w:rFonts w:ascii="Times New Roman" w:eastAsia="Times New Roman" w:hAnsi="Times New Roman" w:cs="Times New Roman"/>
                <w:color w:val="000000"/>
                <w:sz w:val="14"/>
                <w:szCs w:val="14"/>
                <w:lang w:eastAsia="sk-SK"/>
              </w:rPr>
            </w:pPr>
            <w:r w:rsidRPr="00267504">
              <w:rPr>
                <w:rFonts w:ascii="Times New Roman" w:eastAsia="Times New Roman" w:hAnsi="Times New Roman" w:cs="Times New Roman"/>
                <w:color w:val="000000"/>
                <w:sz w:val="14"/>
                <w:szCs w:val="14"/>
                <w:lang w:eastAsia="sk-SK"/>
              </w:rPr>
              <w:t> </w:t>
            </w:r>
          </w:p>
        </w:tc>
        <w:tc>
          <w:tcPr>
            <w:tcW w:w="388" w:type="pct"/>
            <w:tcBorders>
              <w:top w:val="nil"/>
              <w:left w:val="nil"/>
              <w:bottom w:val="single" w:sz="4" w:space="0" w:color="auto"/>
              <w:right w:val="nil"/>
            </w:tcBorders>
            <w:shd w:val="clear" w:color="auto" w:fill="auto"/>
            <w:noWrap/>
            <w:vAlign w:val="center"/>
            <w:hideMark/>
          </w:tcPr>
          <w:p w14:paraId="160D6D72" w14:textId="77777777" w:rsidR="006537D2" w:rsidRPr="00267504" w:rsidRDefault="006537D2" w:rsidP="00B63F1A">
            <w:pPr>
              <w:spacing w:after="0" w:line="240" w:lineRule="auto"/>
              <w:jc w:val="right"/>
              <w:rPr>
                <w:rFonts w:ascii="Times New Roman" w:eastAsia="Times New Roman" w:hAnsi="Times New Roman" w:cs="Times New Roman"/>
                <w:sz w:val="14"/>
                <w:szCs w:val="14"/>
                <w:lang w:eastAsia="sk-SK"/>
              </w:rPr>
            </w:pPr>
            <w:r w:rsidRPr="00267504">
              <w:rPr>
                <w:rFonts w:ascii="Times New Roman" w:eastAsia="Times New Roman" w:hAnsi="Times New Roman" w:cs="Times New Roman"/>
                <w:sz w:val="14"/>
                <w:szCs w:val="14"/>
                <w:lang w:eastAsia="sk-SK"/>
              </w:rPr>
              <w:t>-5,18</w:t>
            </w:r>
          </w:p>
        </w:tc>
        <w:tc>
          <w:tcPr>
            <w:tcW w:w="388" w:type="pct"/>
            <w:tcBorders>
              <w:top w:val="nil"/>
              <w:left w:val="nil"/>
              <w:bottom w:val="single" w:sz="4" w:space="0" w:color="auto"/>
              <w:right w:val="nil"/>
            </w:tcBorders>
            <w:shd w:val="clear" w:color="auto" w:fill="auto"/>
            <w:noWrap/>
            <w:vAlign w:val="center"/>
            <w:hideMark/>
          </w:tcPr>
          <w:p w14:paraId="1C2C74ED" w14:textId="77777777" w:rsidR="006537D2" w:rsidRPr="00267504" w:rsidRDefault="006537D2" w:rsidP="00B63F1A">
            <w:pPr>
              <w:spacing w:after="0" w:line="240" w:lineRule="auto"/>
              <w:jc w:val="right"/>
              <w:rPr>
                <w:rFonts w:ascii="Times New Roman" w:eastAsia="Times New Roman" w:hAnsi="Times New Roman" w:cs="Times New Roman"/>
                <w:sz w:val="14"/>
                <w:szCs w:val="14"/>
                <w:lang w:eastAsia="sk-SK"/>
              </w:rPr>
            </w:pPr>
            <w:r w:rsidRPr="00267504">
              <w:rPr>
                <w:rFonts w:ascii="Times New Roman" w:eastAsia="Times New Roman" w:hAnsi="Times New Roman" w:cs="Times New Roman"/>
                <w:sz w:val="14"/>
                <w:szCs w:val="14"/>
                <w:lang w:eastAsia="sk-SK"/>
              </w:rPr>
              <w:t>-2,02</w:t>
            </w:r>
          </w:p>
        </w:tc>
        <w:tc>
          <w:tcPr>
            <w:tcW w:w="388" w:type="pct"/>
            <w:tcBorders>
              <w:top w:val="nil"/>
              <w:left w:val="nil"/>
              <w:bottom w:val="single" w:sz="4" w:space="0" w:color="auto"/>
              <w:right w:val="nil"/>
            </w:tcBorders>
            <w:shd w:val="clear" w:color="auto" w:fill="auto"/>
            <w:noWrap/>
            <w:vAlign w:val="center"/>
            <w:hideMark/>
          </w:tcPr>
          <w:p w14:paraId="708E58A6" w14:textId="77777777" w:rsidR="006537D2" w:rsidRPr="00267504" w:rsidRDefault="006537D2" w:rsidP="00B63F1A">
            <w:pPr>
              <w:spacing w:after="0" w:line="240" w:lineRule="auto"/>
              <w:jc w:val="right"/>
              <w:rPr>
                <w:rFonts w:ascii="Times New Roman" w:eastAsia="Times New Roman" w:hAnsi="Times New Roman" w:cs="Times New Roman"/>
                <w:sz w:val="14"/>
                <w:szCs w:val="14"/>
                <w:lang w:eastAsia="sk-SK"/>
              </w:rPr>
            </w:pPr>
            <w:r w:rsidRPr="00267504">
              <w:rPr>
                <w:rFonts w:ascii="Times New Roman" w:eastAsia="Times New Roman" w:hAnsi="Times New Roman" w:cs="Times New Roman"/>
                <w:sz w:val="14"/>
                <w:szCs w:val="14"/>
                <w:lang w:eastAsia="sk-SK"/>
              </w:rPr>
              <w:t>-6,44</w:t>
            </w:r>
          </w:p>
        </w:tc>
        <w:tc>
          <w:tcPr>
            <w:tcW w:w="388" w:type="pct"/>
            <w:tcBorders>
              <w:top w:val="nil"/>
              <w:left w:val="nil"/>
              <w:bottom w:val="single" w:sz="4" w:space="0" w:color="auto"/>
              <w:right w:val="nil"/>
            </w:tcBorders>
            <w:shd w:val="clear" w:color="auto" w:fill="auto"/>
            <w:noWrap/>
            <w:vAlign w:val="center"/>
            <w:hideMark/>
          </w:tcPr>
          <w:p w14:paraId="1FEBCD1F" w14:textId="77777777" w:rsidR="006537D2" w:rsidRPr="00267504" w:rsidRDefault="006537D2" w:rsidP="00B63F1A">
            <w:pPr>
              <w:spacing w:after="0" w:line="240" w:lineRule="auto"/>
              <w:jc w:val="right"/>
              <w:rPr>
                <w:rFonts w:ascii="Times New Roman" w:eastAsia="Times New Roman" w:hAnsi="Times New Roman" w:cs="Times New Roman"/>
                <w:sz w:val="14"/>
                <w:szCs w:val="14"/>
                <w:lang w:eastAsia="sk-SK"/>
              </w:rPr>
            </w:pPr>
            <w:r w:rsidRPr="00267504">
              <w:rPr>
                <w:rFonts w:ascii="Times New Roman" w:eastAsia="Times New Roman" w:hAnsi="Times New Roman" w:cs="Times New Roman"/>
                <w:sz w:val="14"/>
                <w:szCs w:val="14"/>
                <w:lang w:eastAsia="sk-SK"/>
              </w:rPr>
              <w:t>-6,52</w:t>
            </w:r>
          </w:p>
        </w:tc>
        <w:tc>
          <w:tcPr>
            <w:tcW w:w="388" w:type="pct"/>
            <w:tcBorders>
              <w:top w:val="nil"/>
              <w:left w:val="nil"/>
              <w:bottom w:val="single" w:sz="4" w:space="0" w:color="auto"/>
              <w:right w:val="nil"/>
            </w:tcBorders>
            <w:shd w:val="clear" w:color="auto" w:fill="auto"/>
            <w:noWrap/>
            <w:vAlign w:val="center"/>
            <w:hideMark/>
          </w:tcPr>
          <w:p w14:paraId="3428D8A2" w14:textId="77777777" w:rsidR="006537D2" w:rsidRPr="00267504" w:rsidRDefault="006537D2" w:rsidP="00B63F1A">
            <w:pPr>
              <w:spacing w:after="0" w:line="240" w:lineRule="auto"/>
              <w:jc w:val="right"/>
              <w:rPr>
                <w:rFonts w:ascii="Times New Roman" w:eastAsia="Times New Roman" w:hAnsi="Times New Roman" w:cs="Times New Roman"/>
                <w:sz w:val="14"/>
                <w:szCs w:val="14"/>
                <w:lang w:eastAsia="sk-SK"/>
              </w:rPr>
            </w:pPr>
            <w:r w:rsidRPr="00267504">
              <w:rPr>
                <w:rFonts w:ascii="Times New Roman" w:eastAsia="Times New Roman" w:hAnsi="Times New Roman" w:cs="Times New Roman"/>
                <w:sz w:val="14"/>
                <w:szCs w:val="14"/>
                <w:lang w:eastAsia="sk-SK"/>
              </w:rPr>
              <w:t>-5,97</w:t>
            </w:r>
          </w:p>
        </w:tc>
        <w:tc>
          <w:tcPr>
            <w:tcW w:w="388" w:type="pct"/>
            <w:tcBorders>
              <w:top w:val="nil"/>
              <w:left w:val="nil"/>
              <w:bottom w:val="single" w:sz="4" w:space="0" w:color="auto"/>
              <w:right w:val="nil"/>
            </w:tcBorders>
            <w:shd w:val="clear" w:color="auto" w:fill="auto"/>
            <w:noWrap/>
            <w:vAlign w:val="center"/>
            <w:hideMark/>
          </w:tcPr>
          <w:p w14:paraId="1E0B8570" w14:textId="77777777" w:rsidR="006537D2" w:rsidRPr="00267504" w:rsidRDefault="006537D2" w:rsidP="00B63F1A">
            <w:pPr>
              <w:spacing w:after="0" w:line="240" w:lineRule="auto"/>
              <w:jc w:val="right"/>
              <w:rPr>
                <w:rFonts w:ascii="Times New Roman" w:eastAsia="Times New Roman" w:hAnsi="Times New Roman" w:cs="Times New Roman"/>
                <w:sz w:val="14"/>
                <w:szCs w:val="14"/>
                <w:lang w:eastAsia="sk-SK"/>
              </w:rPr>
            </w:pPr>
            <w:r w:rsidRPr="00267504">
              <w:rPr>
                <w:rFonts w:ascii="Times New Roman" w:eastAsia="Times New Roman" w:hAnsi="Times New Roman" w:cs="Times New Roman"/>
                <w:sz w:val="14"/>
                <w:szCs w:val="14"/>
                <w:lang w:eastAsia="sk-SK"/>
              </w:rPr>
              <w:t>-6,07</w:t>
            </w:r>
          </w:p>
        </w:tc>
        <w:tc>
          <w:tcPr>
            <w:tcW w:w="388" w:type="pct"/>
            <w:tcBorders>
              <w:top w:val="nil"/>
              <w:left w:val="nil"/>
              <w:bottom w:val="single" w:sz="4" w:space="0" w:color="auto"/>
              <w:right w:val="nil"/>
            </w:tcBorders>
            <w:shd w:val="clear" w:color="auto" w:fill="auto"/>
            <w:noWrap/>
            <w:vAlign w:val="center"/>
            <w:hideMark/>
          </w:tcPr>
          <w:p w14:paraId="3B0AD136" w14:textId="77777777" w:rsidR="006537D2" w:rsidRPr="00267504" w:rsidRDefault="006537D2" w:rsidP="00B63F1A">
            <w:pPr>
              <w:spacing w:after="0" w:line="240" w:lineRule="auto"/>
              <w:jc w:val="right"/>
              <w:rPr>
                <w:rFonts w:ascii="Times New Roman" w:eastAsia="Times New Roman" w:hAnsi="Times New Roman" w:cs="Times New Roman"/>
                <w:sz w:val="14"/>
                <w:szCs w:val="14"/>
                <w:lang w:eastAsia="sk-SK"/>
              </w:rPr>
            </w:pPr>
            <w:r w:rsidRPr="00267504">
              <w:rPr>
                <w:rFonts w:ascii="Times New Roman" w:eastAsia="Times New Roman" w:hAnsi="Times New Roman" w:cs="Times New Roman"/>
                <w:sz w:val="14"/>
                <w:szCs w:val="14"/>
                <w:lang w:eastAsia="sk-SK"/>
              </w:rPr>
              <w:t>-5,55</w:t>
            </w:r>
          </w:p>
        </w:tc>
      </w:tr>
      <w:tr w:rsidR="006537D2" w:rsidRPr="00267504" w14:paraId="22629F8E" w14:textId="77777777" w:rsidTr="00B63F1A">
        <w:trPr>
          <w:trHeight w:val="292"/>
        </w:trPr>
        <w:tc>
          <w:tcPr>
            <w:tcW w:w="1709" w:type="pct"/>
            <w:tcBorders>
              <w:top w:val="nil"/>
              <w:left w:val="nil"/>
              <w:bottom w:val="single" w:sz="4" w:space="0" w:color="auto"/>
              <w:right w:val="nil"/>
            </w:tcBorders>
            <w:shd w:val="clear" w:color="auto" w:fill="auto"/>
            <w:noWrap/>
            <w:vAlign w:val="center"/>
            <w:hideMark/>
          </w:tcPr>
          <w:p w14:paraId="51F7FAF2" w14:textId="77777777" w:rsidR="006537D2" w:rsidRPr="00267504" w:rsidRDefault="006537D2" w:rsidP="00B63F1A">
            <w:pPr>
              <w:spacing w:after="0" w:line="240" w:lineRule="auto"/>
              <w:rPr>
                <w:rFonts w:ascii="Times New Roman" w:eastAsia="Times New Roman" w:hAnsi="Times New Roman" w:cs="Times New Roman"/>
                <w:b/>
                <w:bCs/>
                <w:sz w:val="14"/>
                <w:szCs w:val="14"/>
                <w:lang w:eastAsia="sk-SK"/>
              </w:rPr>
            </w:pPr>
            <w:r w:rsidRPr="00267504">
              <w:rPr>
                <w:rFonts w:ascii="Times New Roman" w:eastAsia="Times New Roman" w:hAnsi="Times New Roman" w:cs="Times New Roman"/>
                <w:b/>
                <w:bCs/>
                <w:sz w:val="14"/>
                <w:szCs w:val="14"/>
                <w:lang w:eastAsia="sk-SK"/>
              </w:rPr>
              <w:t>HDP</w:t>
            </w:r>
          </w:p>
        </w:tc>
        <w:tc>
          <w:tcPr>
            <w:tcW w:w="575" w:type="pct"/>
            <w:tcBorders>
              <w:top w:val="nil"/>
              <w:left w:val="nil"/>
              <w:bottom w:val="single" w:sz="4" w:space="0" w:color="auto"/>
              <w:right w:val="nil"/>
            </w:tcBorders>
            <w:shd w:val="clear" w:color="auto" w:fill="auto"/>
            <w:noWrap/>
            <w:vAlign w:val="center"/>
            <w:hideMark/>
          </w:tcPr>
          <w:p w14:paraId="3162F85F" w14:textId="77777777" w:rsidR="006537D2" w:rsidRPr="00267504" w:rsidRDefault="006537D2" w:rsidP="00B63F1A">
            <w:pPr>
              <w:spacing w:after="0" w:line="240" w:lineRule="auto"/>
              <w:jc w:val="center"/>
              <w:rPr>
                <w:rFonts w:ascii="Times New Roman" w:eastAsia="Times New Roman" w:hAnsi="Times New Roman" w:cs="Times New Roman"/>
                <w:b/>
                <w:bCs/>
                <w:sz w:val="14"/>
                <w:szCs w:val="14"/>
                <w:lang w:eastAsia="sk-SK"/>
              </w:rPr>
            </w:pPr>
            <w:r w:rsidRPr="00267504">
              <w:rPr>
                <w:rFonts w:ascii="Times New Roman" w:eastAsia="Times New Roman" w:hAnsi="Times New Roman" w:cs="Times New Roman"/>
                <w:b/>
                <w:bCs/>
                <w:sz w:val="14"/>
                <w:szCs w:val="14"/>
                <w:lang w:eastAsia="sk-SK"/>
              </w:rPr>
              <w:t> </w:t>
            </w:r>
          </w:p>
        </w:tc>
        <w:tc>
          <w:tcPr>
            <w:tcW w:w="388" w:type="pct"/>
            <w:tcBorders>
              <w:top w:val="nil"/>
              <w:left w:val="nil"/>
              <w:bottom w:val="single" w:sz="4" w:space="0" w:color="auto"/>
              <w:right w:val="nil"/>
            </w:tcBorders>
            <w:shd w:val="clear" w:color="auto" w:fill="auto"/>
            <w:noWrap/>
            <w:vAlign w:val="center"/>
            <w:hideMark/>
          </w:tcPr>
          <w:p w14:paraId="3CDF21EA"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100 255,7</w:t>
            </w:r>
          </w:p>
        </w:tc>
        <w:tc>
          <w:tcPr>
            <w:tcW w:w="388" w:type="pct"/>
            <w:tcBorders>
              <w:top w:val="nil"/>
              <w:left w:val="nil"/>
              <w:bottom w:val="single" w:sz="4" w:space="0" w:color="auto"/>
              <w:right w:val="nil"/>
            </w:tcBorders>
            <w:shd w:val="clear" w:color="auto" w:fill="auto"/>
            <w:noWrap/>
            <w:vAlign w:val="center"/>
            <w:hideMark/>
          </w:tcPr>
          <w:p w14:paraId="5724D9D6"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109 645,2</w:t>
            </w:r>
          </w:p>
        </w:tc>
        <w:tc>
          <w:tcPr>
            <w:tcW w:w="388" w:type="pct"/>
            <w:tcBorders>
              <w:top w:val="nil"/>
              <w:left w:val="nil"/>
              <w:bottom w:val="single" w:sz="4" w:space="0" w:color="auto"/>
              <w:right w:val="nil"/>
            </w:tcBorders>
            <w:shd w:val="clear" w:color="auto" w:fill="auto"/>
            <w:noWrap/>
            <w:vAlign w:val="center"/>
            <w:hideMark/>
          </w:tcPr>
          <w:p w14:paraId="3BC5B9B0"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122 307,7</w:t>
            </w:r>
          </w:p>
        </w:tc>
        <w:tc>
          <w:tcPr>
            <w:tcW w:w="388" w:type="pct"/>
            <w:tcBorders>
              <w:top w:val="nil"/>
              <w:left w:val="nil"/>
              <w:bottom w:val="single" w:sz="4" w:space="0" w:color="auto"/>
              <w:right w:val="nil"/>
            </w:tcBorders>
            <w:shd w:val="clear" w:color="auto" w:fill="auto"/>
            <w:noWrap/>
            <w:vAlign w:val="center"/>
            <w:hideMark/>
          </w:tcPr>
          <w:p w14:paraId="2B7171B3"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121 902,0</w:t>
            </w:r>
          </w:p>
        </w:tc>
        <w:tc>
          <w:tcPr>
            <w:tcW w:w="388" w:type="pct"/>
            <w:tcBorders>
              <w:top w:val="nil"/>
              <w:left w:val="nil"/>
              <w:bottom w:val="single" w:sz="4" w:space="0" w:color="auto"/>
              <w:right w:val="nil"/>
            </w:tcBorders>
            <w:shd w:val="clear" w:color="auto" w:fill="auto"/>
            <w:noWrap/>
            <w:vAlign w:val="center"/>
            <w:hideMark/>
          </w:tcPr>
          <w:p w14:paraId="3A23B4EC"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131 335,1</w:t>
            </w:r>
          </w:p>
        </w:tc>
        <w:tc>
          <w:tcPr>
            <w:tcW w:w="388" w:type="pct"/>
            <w:tcBorders>
              <w:top w:val="nil"/>
              <w:left w:val="nil"/>
              <w:bottom w:val="single" w:sz="4" w:space="0" w:color="auto"/>
              <w:right w:val="nil"/>
            </w:tcBorders>
            <w:shd w:val="clear" w:color="auto" w:fill="auto"/>
            <w:noWrap/>
            <w:vAlign w:val="center"/>
            <w:hideMark/>
          </w:tcPr>
          <w:p w14:paraId="06E093DC"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139 214,4</w:t>
            </w:r>
          </w:p>
        </w:tc>
        <w:tc>
          <w:tcPr>
            <w:tcW w:w="388" w:type="pct"/>
            <w:tcBorders>
              <w:top w:val="nil"/>
              <w:left w:val="nil"/>
              <w:bottom w:val="single" w:sz="4" w:space="0" w:color="auto"/>
              <w:right w:val="nil"/>
            </w:tcBorders>
            <w:shd w:val="clear" w:color="auto" w:fill="auto"/>
            <w:noWrap/>
            <w:vAlign w:val="center"/>
            <w:hideMark/>
          </w:tcPr>
          <w:p w14:paraId="70951564" w14:textId="77777777" w:rsidR="006537D2" w:rsidRPr="00267504" w:rsidRDefault="006537D2" w:rsidP="00B63F1A">
            <w:pPr>
              <w:spacing w:after="0" w:line="240" w:lineRule="auto"/>
              <w:jc w:val="right"/>
              <w:rPr>
                <w:rFonts w:ascii="Times New Roman" w:eastAsia="Times New Roman" w:hAnsi="Times New Roman" w:cs="Times New Roman"/>
                <w:b/>
                <w:bCs/>
                <w:color w:val="000000"/>
                <w:sz w:val="14"/>
                <w:szCs w:val="14"/>
                <w:lang w:eastAsia="sk-SK"/>
              </w:rPr>
            </w:pPr>
            <w:r w:rsidRPr="00267504">
              <w:rPr>
                <w:rFonts w:ascii="Times New Roman" w:eastAsia="Times New Roman" w:hAnsi="Times New Roman" w:cs="Times New Roman"/>
                <w:b/>
                <w:bCs/>
                <w:color w:val="000000"/>
                <w:sz w:val="14"/>
                <w:szCs w:val="14"/>
                <w:lang w:eastAsia="sk-SK"/>
              </w:rPr>
              <w:t>146 600,3</w:t>
            </w:r>
          </w:p>
        </w:tc>
      </w:tr>
    </w:tbl>
    <w:p w14:paraId="3C8FD8BD" w14:textId="77777777" w:rsidR="006537D2" w:rsidRPr="000650EC" w:rsidRDefault="006537D2" w:rsidP="006537D2">
      <w:pPr>
        <w:spacing w:after="0" w:line="240" w:lineRule="auto"/>
        <w:contextualSpacing/>
        <w:jc w:val="right"/>
        <w:rPr>
          <w:rFonts w:ascii="Times New Roman" w:hAnsi="Times New Roman" w:cs="Times New Roman"/>
          <w:i/>
          <w:sz w:val="14"/>
          <w:szCs w:val="14"/>
        </w:rPr>
      </w:pPr>
      <w:r w:rsidRPr="000650EC">
        <w:rPr>
          <w:rFonts w:ascii="Times New Roman" w:hAnsi="Times New Roman" w:cs="Times New Roman"/>
          <w:i/>
          <w:sz w:val="14"/>
          <w:szCs w:val="14"/>
        </w:rPr>
        <w:t>Zdroj: MF SR</w:t>
      </w:r>
    </w:p>
    <w:p w14:paraId="757A8F71" w14:textId="749E9BB9" w:rsidR="006537D2" w:rsidRDefault="006537D2" w:rsidP="006537D2">
      <w:pPr>
        <w:autoSpaceDE w:val="0"/>
        <w:autoSpaceDN w:val="0"/>
        <w:spacing w:after="0" w:line="240" w:lineRule="auto"/>
        <w:jc w:val="both"/>
        <w:rPr>
          <w:rFonts w:ascii="Times New Roman" w:hAnsi="Times New Roman" w:cs="Times New Roman"/>
          <w:sz w:val="24"/>
          <w:szCs w:val="24"/>
        </w:rPr>
      </w:pPr>
    </w:p>
    <w:p w14:paraId="03C8F30F" w14:textId="77777777" w:rsidR="00213458" w:rsidRDefault="00213458" w:rsidP="006537D2">
      <w:pPr>
        <w:autoSpaceDE w:val="0"/>
        <w:autoSpaceDN w:val="0"/>
        <w:spacing w:after="0" w:line="240" w:lineRule="auto"/>
        <w:jc w:val="both"/>
        <w:rPr>
          <w:rFonts w:ascii="Times New Roman" w:hAnsi="Times New Roman" w:cs="Times New Roman"/>
          <w:sz w:val="24"/>
          <w:szCs w:val="24"/>
        </w:rPr>
      </w:pPr>
    </w:p>
    <w:p w14:paraId="79DDD882" w14:textId="77777777" w:rsidR="006537D2" w:rsidRDefault="006537D2" w:rsidP="006537D2">
      <w:pPr>
        <w:spacing w:after="0" w:line="240" w:lineRule="auto"/>
        <w:rPr>
          <w:rFonts w:ascii="Times New Roman" w:eastAsia="Times New Roman" w:hAnsi="Times New Roman" w:cs="Times New Roman"/>
          <w:b/>
          <w:bCs/>
          <w:color w:val="5B9BD5" w:themeColor="accent1"/>
          <w:kern w:val="32"/>
          <w:sz w:val="24"/>
          <w:szCs w:val="24"/>
          <w:lang w:eastAsia="cs-CZ"/>
        </w:rPr>
      </w:pPr>
    </w:p>
    <w:p w14:paraId="4EC7FA2C" w14:textId="77777777" w:rsidR="006537D2" w:rsidRPr="00DB66AD" w:rsidRDefault="006537D2" w:rsidP="006537D2">
      <w:pPr>
        <w:spacing w:after="0" w:line="240" w:lineRule="auto"/>
        <w:rPr>
          <w:rFonts w:ascii="Times New Roman" w:eastAsia="Times New Roman" w:hAnsi="Times New Roman" w:cs="Times New Roman"/>
          <w:b/>
          <w:bCs/>
          <w:color w:val="5B9BD5" w:themeColor="accent1"/>
          <w:kern w:val="32"/>
          <w:sz w:val="24"/>
          <w:szCs w:val="24"/>
          <w:lang w:eastAsia="cs-CZ"/>
        </w:rPr>
      </w:pPr>
      <w:r w:rsidRPr="00DB66AD">
        <w:rPr>
          <w:rFonts w:ascii="Times New Roman" w:eastAsia="Times New Roman" w:hAnsi="Times New Roman" w:cs="Times New Roman"/>
          <w:b/>
          <w:bCs/>
          <w:color w:val="5B9BD5" w:themeColor="accent1"/>
          <w:kern w:val="32"/>
          <w:sz w:val="24"/>
          <w:szCs w:val="24"/>
          <w:lang w:eastAsia="cs-CZ"/>
        </w:rPr>
        <w:lastRenderedPageBreak/>
        <w:t>Celkové príjmy rozp</w:t>
      </w:r>
      <w:r>
        <w:rPr>
          <w:rFonts w:ascii="Times New Roman" w:eastAsia="Times New Roman" w:hAnsi="Times New Roman" w:cs="Times New Roman"/>
          <w:b/>
          <w:bCs/>
          <w:color w:val="5B9BD5" w:themeColor="accent1"/>
          <w:kern w:val="32"/>
          <w:sz w:val="24"/>
          <w:szCs w:val="24"/>
          <w:lang w:eastAsia="cs-CZ"/>
        </w:rPr>
        <w:t>očtu verejnej správy na rok 2024</w:t>
      </w:r>
    </w:p>
    <w:p w14:paraId="68D54911" w14:textId="77777777" w:rsidR="006537D2" w:rsidRDefault="006537D2" w:rsidP="006537D2">
      <w:pPr>
        <w:spacing w:after="0" w:line="240" w:lineRule="auto"/>
        <w:jc w:val="both"/>
        <w:rPr>
          <w:rFonts w:ascii="Times New Roman" w:hAnsi="Times New Roman" w:cs="Times New Roman"/>
          <w:sz w:val="24"/>
          <w:szCs w:val="24"/>
        </w:rPr>
      </w:pPr>
    </w:p>
    <w:p w14:paraId="5960FE45" w14:textId="77777777" w:rsidR="006537D2" w:rsidRPr="00073110" w:rsidRDefault="006537D2" w:rsidP="006537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Celkové príjmy rozpočtu verejnej </w:t>
      </w:r>
      <w:r w:rsidRPr="00073110">
        <w:rPr>
          <w:rFonts w:ascii="Times New Roman" w:hAnsi="Times New Roman" w:cs="Times New Roman"/>
          <w:sz w:val="24"/>
          <w:szCs w:val="24"/>
        </w:rPr>
        <w:t xml:space="preserve">správy na rok </w:t>
      </w:r>
      <w:r>
        <w:rPr>
          <w:rFonts w:ascii="Times New Roman" w:hAnsi="Times New Roman" w:cs="Times New Roman"/>
          <w:sz w:val="24"/>
          <w:szCs w:val="24"/>
        </w:rPr>
        <w:t>2024</w:t>
      </w:r>
      <w:r w:rsidRPr="00073110">
        <w:rPr>
          <w:rFonts w:ascii="Times New Roman" w:hAnsi="Times New Roman" w:cs="Times New Roman"/>
          <w:sz w:val="24"/>
          <w:szCs w:val="24"/>
        </w:rPr>
        <w:t xml:space="preserve"> sa rozpočtujú v objeme </w:t>
      </w:r>
      <w:r>
        <w:rPr>
          <w:rFonts w:ascii="Times New Roman" w:hAnsi="Times New Roman" w:cs="Times New Roman"/>
          <w:sz w:val="24"/>
          <w:szCs w:val="24"/>
        </w:rPr>
        <w:t>53,5</w:t>
      </w:r>
      <w:r w:rsidRPr="00073110">
        <w:rPr>
          <w:rFonts w:ascii="Times New Roman" w:hAnsi="Times New Roman" w:cs="Times New Roman"/>
          <w:sz w:val="24"/>
          <w:szCs w:val="24"/>
        </w:rPr>
        <w:t xml:space="preserve"> mld. eur, čo predstavuje </w:t>
      </w:r>
      <w:r>
        <w:rPr>
          <w:rFonts w:ascii="Times New Roman" w:hAnsi="Times New Roman" w:cs="Times New Roman"/>
          <w:sz w:val="24"/>
          <w:szCs w:val="24"/>
        </w:rPr>
        <w:t>40,7</w:t>
      </w:r>
      <w:r w:rsidRPr="00073110">
        <w:rPr>
          <w:rFonts w:ascii="Times New Roman" w:hAnsi="Times New Roman" w:cs="Times New Roman"/>
          <w:sz w:val="24"/>
          <w:szCs w:val="24"/>
        </w:rPr>
        <w:t xml:space="preserve"> % HDP. Príjmová strana rozpočtu verejnej správy pozostáva z daňových príjmov, príspevkov na sociálne zabezpečenie, nedaňových príjmov a grantov a transferov. </w:t>
      </w:r>
    </w:p>
    <w:p w14:paraId="790788E3" w14:textId="77777777" w:rsidR="006537D2" w:rsidRPr="00073110" w:rsidRDefault="006537D2" w:rsidP="006537D2">
      <w:pPr>
        <w:spacing w:after="0" w:line="240" w:lineRule="auto"/>
        <w:jc w:val="both"/>
        <w:rPr>
          <w:rFonts w:ascii="Times New Roman" w:hAnsi="Times New Roman" w:cs="Times New Roman"/>
          <w:b/>
          <w:sz w:val="24"/>
          <w:szCs w:val="24"/>
        </w:rPr>
      </w:pPr>
    </w:p>
    <w:p w14:paraId="311B54EB" w14:textId="77777777" w:rsidR="006537D2" w:rsidRPr="00073110" w:rsidRDefault="006537D2" w:rsidP="006537D2">
      <w:pPr>
        <w:spacing w:after="0" w:line="240" w:lineRule="auto"/>
        <w:jc w:val="both"/>
        <w:rPr>
          <w:rFonts w:ascii="Times New Roman" w:hAnsi="Times New Roman" w:cs="Times New Roman"/>
          <w:sz w:val="24"/>
          <w:szCs w:val="24"/>
        </w:rPr>
      </w:pPr>
      <w:r w:rsidRPr="00073110">
        <w:rPr>
          <w:rFonts w:ascii="Times New Roman" w:hAnsi="Times New Roman" w:cs="Times New Roman"/>
          <w:sz w:val="24"/>
          <w:szCs w:val="24"/>
        </w:rPr>
        <w:t>Daňové príjmy</w:t>
      </w:r>
      <w:r>
        <w:rPr>
          <w:rFonts w:ascii="Times New Roman" w:hAnsi="Times New Roman" w:cs="Times New Roman"/>
          <w:sz w:val="24"/>
          <w:szCs w:val="24"/>
        </w:rPr>
        <w:t xml:space="preserve"> svojím rozpočtovaným objemom 25,8 mld. eur na rok 2024</w:t>
      </w:r>
      <w:r w:rsidRPr="00073110">
        <w:rPr>
          <w:rFonts w:ascii="Times New Roman" w:hAnsi="Times New Roman" w:cs="Times New Roman"/>
          <w:sz w:val="24"/>
          <w:szCs w:val="24"/>
        </w:rPr>
        <w:t xml:space="preserve"> predstavujú hlavný zdroj príjmov rozpočtu</w:t>
      </w:r>
      <w:r w:rsidRPr="00EF0DDF">
        <w:rPr>
          <w:rFonts w:ascii="Times New Roman" w:hAnsi="Times New Roman" w:cs="Times New Roman"/>
          <w:sz w:val="24"/>
          <w:szCs w:val="24"/>
        </w:rPr>
        <w:t xml:space="preserve">. </w:t>
      </w:r>
    </w:p>
    <w:p w14:paraId="009576F1" w14:textId="77777777" w:rsidR="006537D2" w:rsidRPr="00073110" w:rsidRDefault="006537D2" w:rsidP="006537D2">
      <w:pPr>
        <w:spacing w:after="0" w:line="240" w:lineRule="auto"/>
        <w:jc w:val="both"/>
        <w:rPr>
          <w:rFonts w:ascii="Times New Roman" w:hAnsi="Times New Roman" w:cs="Times New Roman"/>
          <w:sz w:val="24"/>
          <w:szCs w:val="24"/>
        </w:rPr>
      </w:pPr>
    </w:p>
    <w:p w14:paraId="0100BE8A" w14:textId="77777777" w:rsidR="006537D2" w:rsidRPr="00073110" w:rsidRDefault="006537D2" w:rsidP="006537D2">
      <w:pPr>
        <w:spacing w:after="0" w:line="240" w:lineRule="auto"/>
        <w:jc w:val="both"/>
        <w:rPr>
          <w:rFonts w:ascii="Times New Roman" w:hAnsi="Times New Roman" w:cs="Times New Roman"/>
          <w:sz w:val="24"/>
          <w:szCs w:val="24"/>
        </w:rPr>
      </w:pPr>
      <w:r w:rsidRPr="00073110">
        <w:rPr>
          <w:rFonts w:ascii="Times New Roman" w:hAnsi="Times New Roman" w:cs="Times New Roman"/>
          <w:sz w:val="24"/>
          <w:szCs w:val="24"/>
        </w:rPr>
        <w:t xml:space="preserve">Najväčšiu časť tvoria dane z produkcie a dovozu, a to v objeme </w:t>
      </w:r>
      <w:r>
        <w:rPr>
          <w:rFonts w:ascii="Times New Roman" w:hAnsi="Times New Roman" w:cs="Times New Roman"/>
          <w:sz w:val="24"/>
          <w:szCs w:val="24"/>
        </w:rPr>
        <w:t>15,4</w:t>
      </w:r>
      <w:r w:rsidRPr="00073110">
        <w:rPr>
          <w:rFonts w:ascii="Times New Roman" w:hAnsi="Times New Roman" w:cs="Times New Roman"/>
          <w:sz w:val="24"/>
          <w:szCs w:val="24"/>
        </w:rPr>
        <w:t xml:space="preserve"> mld. eur, z toho daň z pridanej hodnoty </w:t>
      </w:r>
      <w:r>
        <w:rPr>
          <w:rFonts w:ascii="Times New Roman" w:hAnsi="Times New Roman" w:cs="Times New Roman"/>
          <w:sz w:val="24"/>
          <w:szCs w:val="24"/>
        </w:rPr>
        <w:t xml:space="preserve">10,1 mld. eur a spotrebné dane 3,06 </w:t>
      </w:r>
      <w:r w:rsidRPr="00073110">
        <w:rPr>
          <w:rFonts w:ascii="Times New Roman" w:hAnsi="Times New Roman" w:cs="Times New Roman"/>
          <w:sz w:val="24"/>
          <w:szCs w:val="24"/>
        </w:rPr>
        <w:t>mld. eur. Zvyšok predstavujú daň z motorových vozidiel, odvod z hazardných hier a daň z nehnuteľností, ktorá je príjmom samosprávy.</w:t>
      </w:r>
    </w:p>
    <w:p w14:paraId="149A7673" w14:textId="77777777" w:rsidR="006537D2" w:rsidRPr="00073110" w:rsidRDefault="006537D2" w:rsidP="006537D2">
      <w:pPr>
        <w:spacing w:after="0" w:line="240" w:lineRule="auto"/>
        <w:jc w:val="both"/>
        <w:rPr>
          <w:rFonts w:ascii="Times New Roman" w:hAnsi="Times New Roman" w:cs="Times New Roman"/>
          <w:b/>
          <w:sz w:val="24"/>
          <w:szCs w:val="24"/>
        </w:rPr>
      </w:pPr>
    </w:p>
    <w:p w14:paraId="04BECF3E" w14:textId="77777777" w:rsidR="006537D2" w:rsidRPr="00073110" w:rsidRDefault="006537D2" w:rsidP="006537D2">
      <w:pPr>
        <w:spacing w:after="0" w:line="240" w:lineRule="auto"/>
        <w:jc w:val="both"/>
        <w:rPr>
          <w:rFonts w:ascii="Times New Roman" w:hAnsi="Times New Roman" w:cs="Times New Roman"/>
          <w:sz w:val="24"/>
          <w:szCs w:val="24"/>
        </w:rPr>
      </w:pPr>
      <w:r w:rsidRPr="00073110">
        <w:rPr>
          <w:rFonts w:ascii="Times New Roman" w:hAnsi="Times New Roman" w:cs="Times New Roman"/>
          <w:sz w:val="24"/>
          <w:szCs w:val="24"/>
        </w:rPr>
        <w:t>Bežné d</w:t>
      </w:r>
      <w:r>
        <w:rPr>
          <w:rFonts w:ascii="Times New Roman" w:hAnsi="Times New Roman" w:cs="Times New Roman"/>
          <w:sz w:val="24"/>
          <w:szCs w:val="24"/>
        </w:rPr>
        <w:t>ane z dôchodkov sa na rok 2024</w:t>
      </w:r>
      <w:r w:rsidRPr="00073110">
        <w:rPr>
          <w:rFonts w:ascii="Times New Roman" w:hAnsi="Times New Roman" w:cs="Times New Roman"/>
          <w:sz w:val="24"/>
          <w:szCs w:val="24"/>
        </w:rPr>
        <w:t xml:space="preserve"> rozpočtujú v objeme </w:t>
      </w:r>
      <w:r>
        <w:rPr>
          <w:rFonts w:ascii="Times New Roman" w:hAnsi="Times New Roman" w:cs="Times New Roman"/>
          <w:sz w:val="24"/>
          <w:szCs w:val="24"/>
        </w:rPr>
        <w:t>10,4</w:t>
      </w:r>
      <w:r w:rsidRPr="00073110">
        <w:rPr>
          <w:rFonts w:ascii="Times New Roman" w:hAnsi="Times New Roman" w:cs="Times New Roman"/>
          <w:sz w:val="24"/>
          <w:szCs w:val="24"/>
        </w:rPr>
        <w:t xml:space="preserve"> mld. eur a zahŕňajú všetky dane z prí</w:t>
      </w:r>
      <w:r>
        <w:rPr>
          <w:rFonts w:ascii="Times New Roman" w:hAnsi="Times New Roman" w:cs="Times New Roman"/>
          <w:sz w:val="24"/>
          <w:szCs w:val="24"/>
        </w:rPr>
        <w:t>jmov fyzických osôb v objeme 4,80</w:t>
      </w:r>
      <w:r w:rsidRPr="00073110">
        <w:rPr>
          <w:rFonts w:ascii="Times New Roman" w:hAnsi="Times New Roman" w:cs="Times New Roman"/>
          <w:sz w:val="24"/>
          <w:szCs w:val="24"/>
        </w:rPr>
        <w:t xml:space="preserve"> mld. eur </w:t>
      </w:r>
      <w:r>
        <w:rPr>
          <w:rFonts w:ascii="Times New Roman" w:hAnsi="Times New Roman" w:cs="Times New Roman"/>
          <w:sz w:val="24"/>
          <w:szCs w:val="24"/>
        </w:rPr>
        <w:t xml:space="preserve">a právnických osôb v objeme </w:t>
      </w:r>
      <w:r>
        <w:rPr>
          <w:rFonts w:ascii="Times New Roman" w:hAnsi="Times New Roman" w:cs="Times New Roman"/>
          <w:sz w:val="24"/>
          <w:szCs w:val="24"/>
        </w:rPr>
        <w:br/>
        <w:t>5,03</w:t>
      </w:r>
      <w:r w:rsidRPr="00073110">
        <w:rPr>
          <w:rFonts w:ascii="Times New Roman" w:hAnsi="Times New Roman" w:cs="Times New Roman"/>
          <w:sz w:val="24"/>
          <w:szCs w:val="24"/>
        </w:rPr>
        <w:t xml:space="preserve"> mld. eur. Ďalej sem patrí aj daň z príjmov vyberaná zrážkou, dane z majetku a iné, ako napr. daň z nehnuteľností, za psa a pod.</w:t>
      </w:r>
    </w:p>
    <w:p w14:paraId="27211DDB" w14:textId="77777777" w:rsidR="006537D2" w:rsidRPr="00073110" w:rsidRDefault="006537D2" w:rsidP="006537D2">
      <w:pPr>
        <w:spacing w:after="0" w:line="240" w:lineRule="auto"/>
        <w:jc w:val="both"/>
        <w:rPr>
          <w:rFonts w:ascii="Times New Roman" w:hAnsi="Times New Roman" w:cs="Times New Roman"/>
          <w:b/>
          <w:sz w:val="24"/>
          <w:szCs w:val="24"/>
        </w:rPr>
      </w:pPr>
    </w:p>
    <w:p w14:paraId="3C832FB7" w14:textId="77777777" w:rsidR="006537D2" w:rsidRPr="00073110" w:rsidRDefault="006537D2" w:rsidP="006537D2">
      <w:pPr>
        <w:spacing w:after="0" w:line="240" w:lineRule="auto"/>
        <w:jc w:val="both"/>
        <w:rPr>
          <w:rFonts w:ascii="Times New Roman" w:hAnsi="Times New Roman" w:cs="Times New Roman"/>
          <w:sz w:val="24"/>
          <w:szCs w:val="24"/>
        </w:rPr>
      </w:pPr>
      <w:r w:rsidRPr="00073110">
        <w:rPr>
          <w:rFonts w:ascii="Times New Roman" w:hAnsi="Times New Roman" w:cs="Times New Roman"/>
          <w:sz w:val="24"/>
          <w:szCs w:val="24"/>
        </w:rPr>
        <w:t xml:space="preserve">Príspevky na sociálne zabezpečenie predstavujú druhú najvýznamnejšiu časť príjmov rozpočtu verejnej správy. Na rok </w:t>
      </w:r>
      <w:r>
        <w:rPr>
          <w:rFonts w:ascii="Times New Roman" w:hAnsi="Times New Roman" w:cs="Times New Roman"/>
          <w:sz w:val="24"/>
          <w:szCs w:val="24"/>
        </w:rPr>
        <w:t>2024 sa rozpočtujú vo výške 20,7</w:t>
      </w:r>
      <w:r w:rsidRPr="00073110">
        <w:rPr>
          <w:rFonts w:ascii="Times New Roman" w:hAnsi="Times New Roman" w:cs="Times New Roman"/>
          <w:sz w:val="24"/>
          <w:szCs w:val="24"/>
        </w:rPr>
        <w:t xml:space="preserve"> mld. eur. Rozdeľujú sa podľa toho, či platcom príspevku je zamestnávateľ (</w:t>
      </w:r>
      <w:r>
        <w:rPr>
          <w:rFonts w:ascii="Times New Roman" w:hAnsi="Times New Roman" w:cs="Times New Roman"/>
          <w:sz w:val="24"/>
          <w:szCs w:val="24"/>
        </w:rPr>
        <w:t>11,3</w:t>
      </w:r>
      <w:r w:rsidRPr="00073110">
        <w:rPr>
          <w:rFonts w:ascii="Times New Roman" w:hAnsi="Times New Roman" w:cs="Times New Roman"/>
          <w:sz w:val="24"/>
          <w:szCs w:val="24"/>
        </w:rPr>
        <w:t xml:space="preserve"> mld. eur) alebo domácnosti (</w:t>
      </w:r>
      <w:r>
        <w:rPr>
          <w:rFonts w:ascii="Times New Roman" w:hAnsi="Times New Roman" w:cs="Times New Roman"/>
          <w:sz w:val="24"/>
          <w:szCs w:val="24"/>
        </w:rPr>
        <w:t>9,07</w:t>
      </w:r>
      <w:r w:rsidRPr="00073110">
        <w:rPr>
          <w:rFonts w:ascii="Times New Roman" w:hAnsi="Times New Roman" w:cs="Times New Roman"/>
          <w:sz w:val="24"/>
          <w:szCs w:val="24"/>
        </w:rPr>
        <w:t xml:space="preserve"> mld. eur). Príspevky na </w:t>
      </w:r>
      <w:r w:rsidRPr="001654DF">
        <w:rPr>
          <w:rFonts w:ascii="Times New Roman" w:hAnsi="Times New Roman" w:cs="Times New Roman"/>
          <w:sz w:val="24"/>
          <w:szCs w:val="24"/>
        </w:rPr>
        <w:t>sociálne zabezpečenie zahŕňajú aj štátom platené poistné za skupiny osôb ustanovené zákonom.</w:t>
      </w:r>
    </w:p>
    <w:p w14:paraId="0FCA56D0" w14:textId="77777777" w:rsidR="006537D2" w:rsidRPr="00073110" w:rsidRDefault="006537D2" w:rsidP="006537D2">
      <w:pPr>
        <w:spacing w:after="0" w:line="240" w:lineRule="auto"/>
        <w:jc w:val="both"/>
        <w:rPr>
          <w:rFonts w:ascii="Times New Roman" w:hAnsi="Times New Roman" w:cs="Times New Roman"/>
          <w:b/>
          <w:sz w:val="24"/>
          <w:szCs w:val="24"/>
        </w:rPr>
      </w:pPr>
    </w:p>
    <w:p w14:paraId="607124C1" w14:textId="77777777" w:rsidR="006537D2" w:rsidRPr="00073110" w:rsidRDefault="006537D2" w:rsidP="006537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Nedaňové príjmy sa na rok 2024 rozpočtujú v objeme 4,44</w:t>
      </w:r>
      <w:r w:rsidRPr="00073110">
        <w:rPr>
          <w:rFonts w:ascii="Times New Roman" w:hAnsi="Times New Roman" w:cs="Times New Roman"/>
          <w:sz w:val="24"/>
          <w:szCs w:val="24"/>
        </w:rPr>
        <w:t xml:space="preserve"> mld. eur a sú rozdelené podľa spôsobu a zdroja ich nadobudnutia na príjmy z trhovej a netrhovej produkcie a dôchodky z majetku. Medzi príjmy z trhovej a netrhovej produkcie s rozpočtovaným objemom </w:t>
      </w:r>
      <w:r w:rsidRPr="00073110">
        <w:rPr>
          <w:rFonts w:ascii="Times New Roman" w:hAnsi="Times New Roman" w:cs="Times New Roman"/>
          <w:sz w:val="24"/>
          <w:szCs w:val="24"/>
        </w:rPr>
        <w:br/>
      </w:r>
      <w:r>
        <w:rPr>
          <w:rFonts w:ascii="Times New Roman" w:hAnsi="Times New Roman" w:cs="Times New Roman"/>
          <w:sz w:val="24"/>
          <w:szCs w:val="24"/>
        </w:rPr>
        <w:t>3,31</w:t>
      </w:r>
      <w:r w:rsidRPr="00073110">
        <w:rPr>
          <w:rFonts w:ascii="Times New Roman" w:hAnsi="Times New Roman" w:cs="Times New Roman"/>
          <w:sz w:val="24"/>
          <w:szCs w:val="24"/>
        </w:rPr>
        <w:t xml:space="preserve"> mld. eur sú zatriedené tržby, poplatky a platby za služby. Dôchodky z majetku </w:t>
      </w:r>
      <w:r>
        <w:rPr>
          <w:rFonts w:ascii="Times New Roman" w:hAnsi="Times New Roman" w:cs="Times New Roman"/>
          <w:sz w:val="24"/>
          <w:szCs w:val="24"/>
        </w:rPr>
        <w:t xml:space="preserve">s rozpočtovaným objemom 1,13 mld. eur </w:t>
      </w:r>
      <w:r w:rsidRPr="00073110">
        <w:rPr>
          <w:rFonts w:ascii="Times New Roman" w:hAnsi="Times New Roman" w:cs="Times New Roman"/>
          <w:sz w:val="24"/>
          <w:szCs w:val="24"/>
        </w:rPr>
        <w:t>pochádzajú z aktív verejnej správy, ide o príjmy ako dividendy, prijaté úroky alebo príjmy z prenájmu.</w:t>
      </w:r>
    </w:p>
    <w:p w14:paraId="6F9BECFB" w14:textId="77777777" w:rsidR="006537D2" w:rsidRPr="00073110" w:rsidRDefault="006537D2" w:rsidP="006537D2">
      <w:pPr>
        <w:spacing w:after="0" w:line="240" w:lineRule="auto"/>
        <w:jc w:val="both"/>
        <w:rPr>
          <w:rFonts w:ascii="Times New Roman" w:hAnsi="Times New Roman" w:cs="Times New Roman"/>
          <w:b/>
          <w:sz w:val="24"/>
          <w:szCs w:val="24"/>
        </w:rPr>
      </w:pPr>
    </w:p>
    <w:p w14:paraId="4BDF5677" w14:textId="77777777" w:rsidR="006537D2" w:rsidRPr="00073110" w:rsidRDefault="006537D2" w:rsidP="006537D2">
      <w:pPr>
        <w:spacing w:after="0" w:line="240" w:lineRule="auto"/>
        <w:jc w:val="both"/>
        <w:rPr>
          <w:rFonts w:ascii="Times New Roman" w:hAnsi="Times New Roman" w:cs="Times New Roman"/>
          <w:sz w:val="24"/>
          <w:szCs w:val="24"/>
        </w:rPr>
      </w:pPr>
      <w:r w:rsidRPr="00073110">
        <w:rPr>
          <w:rFonts w:ascii="Times New Roman" w:hAnsi="Times New Roman" w:cs="Times New Roman"/>
          <w:sz w:val="24"/>
          <w:szCs w:val="24"/>
        </w:rPr>
        <w:t>G</w:t>
      </w:r>
      <w:r>
        <w:rPr>
          <w:rFonts w:ascii="Times New Roman" w:hAnsi="Times New Roman" w:cs="Times New Roman"/>
          <w:sz w:val="24"/>
          <w:szCs w:val="24"/>
        </w:rPr>
        <w:t>ranty a transfery sú na rok 2024</w:t>
      </w:r>
      <w:r w:rsidRPr="00073110">
        <w:rPr>
          <w:rFonts w:ascii="Times New Roman" w:hAnsi="Times New Roman" w:cs="Times New Roman"/>
          <w:sz w:val="24"/>
          <w:szCs w:val="24"/>
        </w:rPr>
        <w:t xml:space="preserve"> rozpočtované vo výške </w:t>
      </w:r>
      <w:r>
        <w:rPr>
          <w:rFonts w:ascii="Times New Roman" w:hAnsi="Times New Roman" w:cs="Times New Roman"/>
          <w:sz w:val="24"/>
          <w:szCs w:val="24"/>
        </w:rPr>
        <w:t>2,50</w:t>
      </w:r>
      <w:r w:rsidRPr="00073110">
        <w:rPr>
          <w:rFonts w:ascii="Times New Roman" w:hAnsi="Times New Roman" w:cs="Times New Roman"/>
          <w:sz w:val="24"/>
          <w:szCs w:val="24"/>
        </w:rPr>
        <w:t xml:space="preserve"> mld. eur a najvýznamnejšiu časť predstavuje príjem zo všeobecného rozpočtu Európskej únie a prostriedky z Plánu obnovy a odolnosti v objeme </w:t>
      </w:r>
      <w:r>
        <w:rPr>
          <w:rFonts w:ascii="Times New Roman" w:hAnsi="Times New Roman" w:cs="Times New Roman"/>
          <w:sz w:val="24"/>
          <w:szCs w:val="24"/>
        </w:rPr>
        <w:t>1,51</w:t>
      </w:r>
      <w:r w:rsidRPr="00073110">
        <w:rPr>
          <w:rFonts w:ascii="Times New Roman" w:hAnsi="Times New Roman" w:cs="Times New Roman"/>
          <w:sz w:val="24"/>
          <w:szCs w:val="24"/>
        </w:rPr>
        <w:t xml:space="preserve"> mld. eur. V zmysle metodiky ESA 2010 je v rámci verejnej správy zaznamenaná tá časť prostriedkov</w:t>
      </w:r>
      <w:r w:rsidRPr="00AC6BB5">
        <w:rPr>
          <w:rFonts w:ascii="Times New Roman" w:hAnsi="Times New Roman" w:cs="Times New Roman"/>
          <w:sz w:val="24"/>
          <w:szCs w:val="24"/>
        </w:rPr>
        <w:t xml:space="preserve"> </w:t>
      </w:r>
      <w:r w:rsidRPr="00073110">
        <w:rPr>
          <w:rFonts w:ascii="Times New Roman" w:hAnsi="Times New Roman" w:cs="Times New Roman"/>
          <w:sz w:val="24"/>
          <w:szCs w:val="24"/>
        </w:rPr>
        <w:t xml:space="preserve">zo všeobecného rozpočtu Európskej únie, ktorá je spotrebovaná samotnými subjektmi sektora verejnej správy. Tradične vyšší objem prostriedkov určený pre prijímateľov mimo sektora verejnej správy je vylúčený z príjmov aj výdavkov rozpočtu verejnej správy. </w:t>
      </w:r>
    </w:p>
    <w:p w14:paraId="5204E1AE" w14:textId="77777777" w:rsidR="006537D2" w:rsidRPr="00073110" w:rsidRDefault="006537D2" w:rsidP="006537D2">
      <w:pPr>
        <w:spacing w:after="0" w:line="240" w:lineRule="auto"/>
        <w:jc w:val="both"/>
        <w:rPr>
          <w:rFonts w:ascii="Times New Roman" w:hAnsi="Times New Roman" w:cs="Times New Roman"/>
          <w:sz w:val="24"/>
          <w:szCs w:val="24"/>
        </w:rPr>
      </w:pPr>
    </w:p>
    <w:p w14:paraId="2052B0DF" w14:textId="77777777" w:rsidR="006537D2" w:rsidRPr="00073110" w:rsidRDefault="006537D2" w:rsidP="006537D2">
      <w:pPr>
        <w:spacing w:after="0" w:line="240" w:lineRule="auto"/>
        <w:rPr>
          <w:rFonts w:ascii="Times New Roman" w:eastAsia="Times New Roman" w:hAnsi="Times New Roman" w:cs="Times New Roman"/>
          <w:b/>
          <w:bCs/>
          <w:color w:val="5B9BD5" w:themeColor="accent1"/>
          <w:kern w:val="32"/>
          <w:sz w:val="24"/>
          <w:szCs w:val="24"/>
          <w:lang w:eastAsia="cs-CZ"/>
        </w:rPr>
      </w:pPr>
      <w:r w:rsidRPr="00073110">
        <w:rPr>
          <w:rFonts w:ascii="Times New Roman" w:eastAsia="Times New Roman" w:hAnsi="Times New Roman" w:cs="Times New Roman"/>
          <w:b/>
          <w:bCs/>
          <w:color w:val="5B9BD5" w:themeColor="accent1"/>
          <w:kern w:val="32"/>
          <w:sz w:val="24"/>
          <w:szCs w:val="24"/>
          <w:lang w:eastAsia="cs-CZ"/>
        </w:rPr>
        <w:t>Celkové výdavky rozp</w:t>
      </w:r>
      <w:r>
        <w:rPr>
          <w:rFonts w:ascii="Times New Roman" w:eastAsia="Times New Roman" w:hAnsi="Times New Roman" w:cs="Times New Roman"/>
          <w:b/>
          <w:bCs/>
          <w:color w:val="5B9BD5" w:themeColor="accent1"/>
          <w:kern w:val="32"/>
          <w:sz w:val="24"/>
          <w:szCs w:val="24"/>
          <w:lang w:eastAsia="cs-CZ"/>
        </w:rPr>
        <w:t>očtu verejnej správy na rok 2024</w:t>
      </w:r>
    </w:p>
    <w:p w14:paraId="1F581AA1" w14:textId="77777777" w:rsidR="00A6528C" w:rsidRDefault="00A6528C" w:rsidP="00A6528C">
      <w:pPr>
        <w:spacing w:after="0" w:line="240" w:lineRule="auto"/>
        <w:jc w:val="both"/>
        <w:rPr>
          <w:rFonts w:ascii="Times New Roman" w:hAnsi="Times New Roman" w:cs="Times New Roman"/>
          <w:sz w:val="24"/>
          <w:szCs w:val="24"/>
        </w:rPr>
      </w:pPr>
    </w:p>
    <w:p w14:paraId="12024E22" w14:textId="77777777" w:rsidR="00A6528C" w:rsidRPr="00073110" w:rsidRDefault="00A6528C" w:rsidP="00A6528C">
      <w:pPr>
        <w:spacing w:after="0" w:line="240" w:lineRule="auto"/>
        <w:jc w:val="both"/>
        <w:rPr>
          <w:rFonts w:ascii="Times New Roman" w:hAnsi="Times New Roman" w:cs="Times New Roman"/>
          <w:sz w:val="24"/>
          <w:szCs w:val="24"/>
        </w:rPr>
      </w:pPr>
      <w:r w:rsidRPr="00073110">
        <w:rPr>
          <w:rFonts w:ascii="Times New Roman" w:hAnsi="Times New Roman" w:cs="Times New Roman"/>
          <w:sz w:val="24"/>
          <w:szCs w:val="24"/>
        </w:rPr>
        <w:t xml:space="preserve">Celkové výdavky rozpočtu verejnej správy na rok </w:t>
      </w:r>
      <w:r>
        <w:rPr>
          <w:rFonts w:ascii="Times New Roman" w:hAnsi="Times New Roman" w:cs="Times New Roman"/>
          <w:sz w:val="24"/>
          <w:szCs w:val="24"/>
        </w:rPr>
        <w:t>2024</w:t>
      </w:r>
      <w:r w:rsidRPr="00073110">
        <w:rPr>
          <w:rFonts w:ascii="Times New Roman" w:hAnsi="Times New Roman" w:cs="Times New Roman"/>
          <w:sz w:val="24"/>
          <w:szCs w:val="24"/>
        </w:rPr>
        <w:t xml:space="preserve"> sa rozpočtujú v objeme </w:t>
      </w:r>
      <w:r>
        <w:rPr>
          <w:rFonts w:ascii="Times New Roman" w:hAnsi="Times New Roman" w:cs="Times New Roman"/>
          <w:sz w:val="24"/>
          <w:szCs w:val="24"/>
        </w:rPr>
        <w:t>61,3</w:t>
      </w:r>
      <w:r w:rsidRPr="00073110">
        <w:rPr>
          <w:rFonts w:ascii="Times New Roman" w:hAnsi="Times New Roman" w:cs="Times New Roman"/>
          <w:sz w:val="24"/>
          <w:szCs w:val="24"/>
        </w:rPr>
        <w:t xml:space="preserve"> mld. eur, čo predstavuje </w:t>
      </w:r>
      <w:r>
        <w:rPr>
          <w:rFonts w:ascii="Times New Roman" w:hAnsi="Times New Roman" w:cs="Times New Roman"/>
          <w:sz w:val="24"/>
          <w:szCs w:val="24"/>
        </w:rPr>
        <w:t>46,7</w:t>
      </w:r>
      <w:r w:rsidRPr="00073110">
        <w:rPr>
          <w:rFonts w:ascii="Times New Roman" w:hAnsi="Times New Roman" w:cs="Times New Roman"/>
          <w:sz w:val="24"/>
          <w:szCs w:val="24"/>
        </w:rPr>
        <w:t xml:space="preserve"> % HDP. Výdavkovú stranu rozpočtu verejnej správy v základnom delení tvoria bežné </w:t>
      </w:r>
      <w:r>
        <w:rPr>
          <w:rFonts w:ascii="Times New Roman" w:hAnsi="Times New Roman" w:cs="Times New Roman"/>
          <w:sz w:val="24"/>
          <w:szCs w:val="24"/>
        </w:rPr>
        <w:t>výdavky v objeme 55,9</w:t>
      </w:r>
      <w:r w:rsidRPr="00073110">
        <w:rPr>
          <w:rFonts w:ascii="Times New Roman" w:hAnsi="Times New Roman" w:cs="Times New Roman"/>
          <w:sz w:val="24"/>
          <w:szCs w:val="24"/>
        </w:rPr>
        <w:t xml:space="preserve"> mld. eur a kapitálové výdavky v objeme </w:t>
      </w:r>
      <w:r>
        <w:rPr>
          <w:rFonts w:ascii="Times New Roman" w:hAnsi="Times New Roman" w:cs="Times New Roman"/>
          <w:sz w:val="24"/>
          <w:szCs w:val="24"/>
        </w:rPr>
        <w:t>5,41</w:t>
      </w:r>
      <w:r w:rsidRPr="00073110">
        <w:rPr>
          <w:rFonts w:ascii="Times New Roman" w:hAnsi="Times New Roman" w:cs="Times New Roman"/>
          <w:sz w:val="24"/>
          <w:szCs w:val="24"/>
        </w:rPr>
        <w:t xml:space="preserve"> mld. eur. </w:t>
      </w:r>
    </w:p>
    <w:p w14:paraId="7D7C384D" w14:textId="77777777" w:rsidR="00A6528C" w:rsidRPr="00073110" w:rsidRDefault="00A6528C" w:rsidP="00A6528C">
      <w:pPr>
        <w:spacing w:after="0" w:line="240" w:lineRule="auto"/>
        <w:jc w:val="both"/>
        <w:rPr>
          <w:rFonts w:ascii="Times New Roman" w:hAnsi="Times New Roman" w:cs="Times New Roman"/>
          <w:sz w:val="24"/>
          <w:szCs w:val="24"/>
        </w:rPr>
      </w:pPr>
    </w:p>
    <w:p w14:paraId="2188ECE4" w14:textId="77777777" w:rsidR="00A6528C" w:rsidRPr="00073110" w:rsidRDefault="00A6528C" w:rsidP="00A6528C">
      <w:pPr>
        <w:spacing w:after="0" w:line="240" w:lineRule="auto"/>
        <w:jc w:val="both"/>
        <w:rPr>
          <w:rFonts w:ascii="Times New Roman" w:hAnsi="Times New Roman" w:cs="Times New Roman"/>
          <w:sz w:val="24"/>
          <w:szCs w:val="24"/>
        </w:rPr>
      </w:pPr>
      <w:r w:rsidRPr="00073110">
        <w:rPr>
          <w:rFonts w:ascii="Times New Roman" w:hAnsi="Times New Roman" w:cs="Times New Roman"/>
          <w:sz w:val="24"/>
          <w:szCs w:val="24"/>
        </w:rPr>
        <w:t>Kompenzácie zamestnancov tvoria výdavky subjektov verejnej správy na mzdy, poistné a ich významnou časťou sú aj prostriedky vyplatené pracovníkom pracujúcim na dohodu, odchodné, odstup</w:t>
      </w:r>
      <w:r>
        <w:rPr>
          <w:rFonts w:ascii="Times New Roman" w:hAnsi="Times New Roman" w:cs="Times New Roman"/>
          <w:sz w:val="24"/>
          <w:szCs w:val="24"/>
        </w:rPr>
        <w:t>né a naturálne mzdy. Na rok 2024</w:t>
      </w:r>
      <w:r w:rsidRPr="00073110">
        <w:rPr>
          <w:rFonts w:ascii="Times New Roman" w:hAnsi="Times New Roman" w:cs="Times New Roman"/>
          <w:sz w:val="24"/>
          <w:szCs w:val="24"/>
        </w:rPr>
        <w:t xml:space="preserve"> sa rozpočtujú v objeme </w:t>
      </w:r>
      <w:r>
        <w:rPr>
          <w:rFonts w:ascii="Times New Roman" w:hAnsi="Times New Roman" w:cs="Times New Roman"/>
          <w:sz w:val="24"/>
          <w:szCs w:val="24"/>
        </w:rPr>
        <w:t>14,0</w:t>
      </w:r>
      <w:r w:rsidRPr="00073110">
        <w:rPr>
          <w:rFonts w:ascii="Times New Roman" w:hAnsi="Times New Roman" w:cs="Times New Roman"/>
          <w:sz w:val="24"/>
          <w:szCs w:val="24"/>
        </w:rPr>
        <w:t xml:space="preserve"> mld. eur. Rozpočtované </w:t>
      </w:r>
      <w:r w:rsidRPr="00073110">
        <w:rPr>
          <w:rFonts w:ascii="Times New Roman" w:hAnsi="Times New Roman" w:cs="Times New Roman"/>
          <w:sz w:val="24"/>
          <w:szCs w:val="24"/>
        </w:rPr>
        <w:lastRenderedPageBreak/>
        <w:t>kompenzácie zamestnancov oproti skutočnosti neobsahujú prostriedky EÚ a spolufinancovanie kapitol štátn</w:t>
      </w:r>
      <w:r>
        <w:rPr>
          <w:rFonts w:ascii="Times New Roman" w:hAnsi="Times New Roman" w:cs="Times New Roman"/>
          <w:sz w:val="24"/>
          <w:szCs w:val="24"/>
        </w:rPr>
        <w:t>eho rozpočtu a grantové zdroje.</w:t>
      </w:r>
    </w:p>
    <w:p w14:paraId="1CF4B7AE" w14:textId="77777777" w:rsidR="00A6528C" w:rsidRPr="00073110" w:rsidRDefault="00A6528C" w:rsidP="00A6528C">
      <w:pPr>
        <w:spacing w:after="0" w:line="240" w:lineRule="auto"/>
        <w:jc w:val="both"/>
        <w:rPr>
          <w:rFonts w:ascii="Times New Roman" w:hAnsi="Times New Roman" w:cs="Times New Roman"/>
          <w:b/>
          <w:sz w:val="24"/>
          <w:szCs w:val="24"/>
        </w:rPr>
      </w:pPr>
    </w:p>
    <w:p w14:paraId="7337414F" w14:textId="77777777" w:rsidR="00A6528C" w:rsidRPr="00073110" w:rsidRDefault="00A6528C" w:rsidP="00A6528C">
      <w:pPr>
        <w:spacing w:after="0" w:line="240" w:lineRule="auto"/>
        <w:jc w:val="both"/>
        <w:rPr>
          <w:rFonts w:ascii="Times New Roman" w:hAnsi="Times New Roman" w:cs="Times New Roman"/>
          <w:sz w:val="24"/>
          <w:szCs w:val="24"/>
        </w:rPr>
      </w:pPr>
      <w:r w:rsidRPr="00073110">
        <w:rPr>
          <w:rFonts w:ascii="Times New Roman" w:hAnsi="Times New Roman" w:cs="Times New Roman"/>
          <w:sz w:val="24"/>
          <w:szCs w:val="24"/>
        </w:rPr>
        <w:t>Medzispotreba pozostáva najmä z výdavkov na zaobstaranie tovarov a služieb potrebných pre činnosť subjektov verejnej správy. Vývoj medzispotreby závisí od aktuálnych potrieb sektora. Na rok 202</w:t>
      </w:r>
      <w:r>
        <w:rPr>
          <w:rFonts w:ascii="Times New Roman" w:hAnsi="Times New Roman" w:cs="Times New Roman"/>
          <w:sz w:val="24"/>
          <w:szCs w:val="24"/>
        </w:rPr>
        <w:t>4</w:t>
      </w:r>
      <w:r w:rsidRPr="00073110">
        <w:rPr>
          <w:rFonts w:ascii="Times New Roman" w:hAnsi="Times New Roman" w:cs="Times New Roman"/>
          <w:sz w:val="24"/>
          <w:szCs w:val="24"/>
        </w:rPr>
        <w:t xml:space="preserve"> sa rozpočtuje v objeme </w:t>
      </w:r>
      <w:r>
        <w:rPr>
          <w:rFonts w:ascii="Times New Roman" w:hAnsi="Times New Roman" w:cs="Times New Roman"/>
          <w:sz w:val="24"/>
          <w:szCs w:val="24"/>
        </w:rPr>
        <w:t>8,14 mld. eur.</w:t>
      </w:r>
    </w:p>
    <w:p w14:paraId="29D16F42" w14:textId="77777777" w:rsidR="00A6528C" w:rsidRPr="00073110" w:rsidRDefault="00A6528C" w:rsidP="00A6528C">
      <w:pPr>
        <w:spacing w:after="0" w:line="240" w:lineRule="auto"/>
        <w:jc w:val="both"/>
        <w:rPr>
          <w:rFonts w:ascii="Times New Roman" w:hAnsi="Times New Roman" w:cs="Times New Roman"/>
          <w:sz w:val="24"/>
          <w:szCs w:val="24"/>
        </w:rPr>
      </w:pPr>
    </w:p>
    <w:p w14:paraId="62A5FEAE" w14:textId="77777777" w:rsidR="00A6528C" w:rsidRPr="00073110" w:rsidRDefault="00A6528C" w:rsidP="00A652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Subvencie sa n</w:t>
      </w:r>
      <w:r w:rsidRPr="00073110">
        <w:rPr>
          <w:rFonts w:ascii="Times New Roman" w:hAnsi="Times New Roman" w:cs="Times New Roman"/>
          <w:sz w:val="24"/>
          <w:szCs w:val="24"/>
        </w:rPr>
        <w:t>a rok 2</w:t>
      </w:r>
      <w:r>
        <w:rPr>
          <w:rFonts w:ascii="Times New Roman" w:hAnsi="Times New Roman" w:cs="Times New Roman"/>
          <w:sz w:val="24"/>
          <w:szCs w:val="24"/>
        </w:rPr>
        <w:t>024 rozpočtujú na úrovni 1,95 mld</w:t>
      </w:r>
      <w:r w:rsidR="00A37D3B">
        <w:rPr>
          <w:rFonts w:ascii="Times New Roman" w:hAnsi="Times New Roman" w:cs="Times New Roman"/>
          <w:sz w:val="24"/>
          <w:szCs w:val="24"/>
        </w:rPr>
        <w:t xml:space="preserve">. eur. Ide najmä o dotácie do poľnohospodárstva, dotácie do dopravy a dotácie do zelenej energie, ako aj výdavky na </w:t>
      </w:r>
      <w:r w:rsidRPr="00F436AD">
        <w:rPr>
          <w:rFonts w:ascii="Times New Roman" w:hAnsi="Times New Roman" w:cs="Times New Roman"/>
          <w:sz w:val="24"/>
          <w:szCs w:val="24"/>
        </w:rPr>
        <w:t>kompenzačné opatrenia sú</w:t>
      </w:r>
      <w:r w:rsidR="00A37D3B">
        <w:rPr>
          <w:rFonts w:ascii="Times New Roman" w:hAnsi="Times New Roman" w:cs="Times New Roman"/>
          <w:sz w:val="24"/>
          <w:szCs w:val="24"/>
        </w:rPr>
        <w:t>visiace s rastom cien energií.</w:t>
      </w:r>
    </w:p>
    <w:p w14:paraId="152852E6" w14:textId="77777777" w:rsidR="00A6528C" w:rsidRPr="00073110" w:rsidRDefault="00A6528C" w:rsidP="00A6528C">
      <w:pPr>
        <w:spacing w:after="0" w:line="240" w:lineRule="auto"/>
        <w:jc w:val="both"/>
        <w:rPr>
          <w:rFonts w:ascii="Times New Roman" w:hAnsi="Times New Roman" w:cs="Times New Roman"/>
          <w:sz w:val="24"/>
          <w:szCs w:val="24"/>
        </w:rPr>
      </w:pPr>
    </w:p>
    <w:p w14:paraId="4700F46E" w14:textId="77777777" w:rsidR="00A6528C" w:rsidRPr="00073110" w:rsidRDefault="00A6528C" w:rsidP="00A6528C">
      <w:pPr>
        <w:spacing w:after="0" w:line="240" w:lineRule="auto"/>
        <w:jc w:val="both"/>
        <w:rPr>
          <w:rFonts w:ascii="Times New Roman" w:hAnsi="Times New Roman" w:cs="Times New Roman"/>
          <w:sz w:val="24"/>
          <w:szCs w:val="24"/>
        </w:rPr>
      </w:pPr>
      <w:r w:rsidRPr="00073110">
        <w:rPr>
          <w:rFonts w:ascii="Times New Roman" w:hAnsi="Times New Roman" w:cs="Times New Roman"/>
          <w:sz w:val="24"/>
          <w:szCs w:val="24"/>
        </w:rPr>
        <w:t xml:space="preserve">Dôchodky z majetku na výdavkovej strane rozpočtu verejnej správy predstavujú úrokové </w:t>
      </w:r>
      <w:r>
        <w:rPr>
          <w:rFonts w:ascii="Times New Roman" w:hAnsi="Times New Roman" w:cs="Times New Roman"/>
          <w:sz w:val="24"/>
          <w:szCs w:val="24"/>
        </w:rPr>
        <w:t>náklady rozpočtované na rok 2024</w:t>
      </w:r>
      <w:r w:rsidRPr="00073110">
        <w:rPr>
          <w:rFonts w:ascii="Times New Roman" w:hAnsi="Times New Roman" w:cs="Times New Roman"/>
          <w:sz w:val="24"/>
          <w:szCs w:val="24"/>
        </w:rPr>
        <w:t xml:space="preserve"> v obje</w:t>
      </w:r>
      <w:r>
        <w:rPr>
          <w:rFonts w:ascii="Times New Roman" w:hAnsi="Times New Roman" w:cs="Times New Roman"/>
          <w:sz w:val="24"/>
          <w:szCs w:val="24"/>
        </w:rPr>
        <w:t xml:space="preserve">me 1,83 </w:t>
      </w:r>
      <w:r w:rsidRPr="00073110">
        <w:rPr>
          <w:rFonts w:ascii="Times New Roman" w:hAnsi="Times New Roman" w:cs="Times New Roman"/>
          <w:sz w:val="24"/>
          <w:szCs w:val="24"/>
        </w:rPr>
        <w:t>mld. eur. Vývoj úrokových nákladov záleží najmä od vývoja úrokových sadzieb a objemu potrebnej likvidity štátu, resp. ostatných subjektov verejnej správy.</w:t>
      </w:r>
    </w:p>
    <w:p w14:paraId="0AAE069E" w14:textId="77777777" w:rsidR="00A6528C" w:rsidRPr="00073110" w:rsidRDefault="00A6528C" w:rsidP="00A6528C">
      <w:pPr>
        <w:spacing w:after="0" w:line="240" w:lineRule="auto"/>
        <w:jc w:val="both"/>
        <w:rPr>
          <w:rFonts w:ascii="Times New Roman" w:hAnsi="Times New Roman" w:cs="Times New Roman"/>
          <w:sz w:val="24"/>
          <w:szCs w:val="24"/>
        </w:rPr>
      </w:pPr>
    </w:p>
    <w:p w14:paraId="51408907" w14:textId="77777777" w:rsidR="00A6528C" w:rsidRDefault="00A6528C" w:rsidP="00A6528C">
      <w:pPr>
        <w:spacing w:after="0" w:line="240" w:lineRule="auto"/>
        <w:jc w:val="both"/>
        <w:rPr>
          <w:rFonts w:ascii="Times New Roman" w:hAnsi="Times New Roman" w:cs="Times New Roman"/>
          <w:sz w:val="24"/>
          <w:szCs w:val="24"/>
        </w:rPr>
      </w:pPr>
      <w:r w:rsidRPr="00073110">
        <w:rPr>
          <w:rFonts w:ascii="Times New Roman" w:hAnsi="Times New Roman" w:cs="Times New Roman"/>
          <w:sz w:val="24"/>
          <w:szCs w:val="24"/>
        </w:rPr>
        <w:t>Celkové sociálne transfery tvoria najväčšiu časť výdavkov rozpočtu verejnej správy na rok 20</w:t>
      </w:r>
      <w:r>
        <w:rPr>
          <w:rFonts w:ascii="Times New Roman" w:hAnsi="Times New Roman" w:cs="Times New Roman"/>
          <w:sz w:val="24"/>
          <w:szCs w:val="24"/>
        </w:rPr>
        <w:t>24</w:t>
      </w:r>
      <w:r w:rsidRPr="00073110">
        <w:rPr>
          <w:rFonts w:ascii="Times New Roman" w:hAnsi="Times New Roman" w:cs="Times New Roman"/>
          <w:sz w:val="24"/>
          <w:szCs w:val="24"/>
        </w:rPr>
        <w:t xml:space="preserve"> a sú rozpočtované v objeme </w:t>
      </w:r>
      <w:r>
        <w:rPr>
          <w:rFonts w:ascii="Times New Roman" w:hAnsi="Times New Roman" w:cs="Times New Roman"/>
          <w:sz w:val="24"/>
          <w:szCs w:val="24"/>
        </w:rPr>
        <w:t>26,8</w:t>
      </w:r>
      <w:r w:rsidRPr="00073110">
        <w:rPr>
          <w:rFonts w:ascii="Times New Roman" w:hAnsi="Times New Roman" w:cs="Times New Roman"/>
          <w:sz w:val="24"/>
          <w:szCs w:val="24"/>
        </w:rPr>
        <w:t xml:space="preserve"> mld. eur.</w:t>
      </w:r>
      <w:r>
        <w:rPr>
          <w:rFonts w:ascii="Times New Roman" w:hAnsi="Times New Roman" w:cs="Times New Roman"/>
          <w:sz w:val="24"/>
          <w:szCs w:val="24"/>
        </w:rPr>
        <w:t xml:space="preserve"> </w:t>
      </w:r>
      <w:r w:rsidRPr="00073110">
        <w:rPr>
          <w:rFonts w:ascii="Times New Roman" w:hAnsi="Times New Roman" w:cs="Times New Roman"/>
          <w:sz w:val="24"/>
          <w:szCs w:val="24"/>
        </w:rPr>
        <w:t>Sociálne transfery sa rozdeľujú podľa spôsobu ich čerpania na sociálne dávky okrem naturálnych sociálnych transferov a naturálne sociálne transfery. Sociálne dávky okrem naturálnych sociálnych transferov zahŕňajú všetky dávky vyplácané príjemco</w:t>
      </w:r>
      <w:r>
        <w:rPr>
          <w:rFonts w:ascii="Times New Roman" w:hAnsi="Times New Roman" w:cs="Times New Roman"/>
          <w:sz w:val="24"/>
          <w:szCs w:val="24"/>
        </w:rPr>
        <w:t>m v peňažnej forme a na rok 2024</w:t>
      </w:r>
      <w:r w:rsidRPr="00073110">
        <w:rPr>
          <w:rFonts w:ascii="Times New Roman" w:hAnsi="Times New Roman" w:cs="Times New Roman"/>
          <w:sz w:val="24"/>
          <w:szCs w:val="24"/>
        </w:rPr>
        <w:t xml:space="preserve"> sa rozpočtujú v objeme </w:t>
      </w:r>
      <w:r>
        <w:rPr>
          <w:rFonts w:ascii="Times New Roman" w:hAnsi="Times New Roman" w:cs="Times New Roman"/>
          <w:sz w:val="24"/>
          <w:szCs w:val="24"/>
        </w:rPr>
        <w:t>21,8</w:t>
      </w:r>
      <w:r w:rsidRPr="00073110">
        <w:rPr>
          <w:rFonts w:ascii="Times New Roman" w:hAnsi="Times New Roman" w:cs="Times New Roman"/>
          <w:sz w:val="24"/>
          <w:szCs w:val="24"/>
        </w:rPr>
        <w:t xml:space="preserve"> mld. eur a   najväčšiu časť tvoria dôchodkové dávky zo starobného a </w:t>
      </w:r>
      <w:r>
        <w:rPr>
          <w:rFonts w:ascii="Times New Roman" w:hAnsi="Times New Roman" w:cs="Times New Roman"/>
          <w:sz w:val="24"/>
          <w:szCs w:val="24"/>
        </w:rPr>
        <w:t xml:space="preserve">invalidného poistenia v objeme 12,0 mld. eur, z toho zavedenie 13. dôchodku tvorí 823 mil. eur. </w:t>
      </w:r>
      <w:r w:rsidRPr="00701DA3">
        <w:rPr>
          <w:rFonts w:ascii="Times New Roman" w:hAnsi="Times New Roman" w:cs="Times New Roman"/>
          <w:sz w:val="24"/>
          <w:szCs w:val="24"/>
        </w:rPr>
        <w:t>V rámci naturálnych sociálnych transferov je klasifikovaná časť výdavkov poistenia v rozpočtovanom objeme 4,</w:t>
      </w:r>
      <w:r>
        <w:rPr>
          <w:rFonts w:ascii="Times New Roman" w:hAnsi="Times New Roman" w:cs="Times New Roman"/>
          <w:sz w:val="24"/>
          <w:szCs w:val="24"/>
        </w:rPr>
        <w:t>94</w:t>
      </w:r>
      <w:r w:rsidRPr="00701DA3">
        <w:rPr>
          <w:rFonts w:ascii="Times New Roman" w:hAnsi="Times New Roman" w:cs="Times New Roman"/>
          <w:sz w:val="24"/>
          <w:szCs w:val="24"/>
        </w:rPr>
        <w:t xml:space="preserve"> mld. eur (z celkovej sumy </w:t>
      </w:r>
      <w:r>
        <w:rPr>
          <w:rFonts w:ascii="Times New Roman" w:hAnsi="Times New Roman" w:cs="Times New Roman"/>
          <w:sz w:val="24"/>
          <w:szCs w:val="24"/>
        </w:rPr>
        <w:t>7,67</w:t>
      </w:r>
      <w:r w:rsidRPr="00701DA3">
        <w:rPr>
          <w:rFonts w:ascii="Times New Roman" w:hAnsi="Times New Roman" w:cs="Times New Roman"/>
          <w:sz w:val="24"/>
          <w:szCs w:val="24"/>
        </w:rPr>
        <w:t xml:space="preserve"> mld. eur alokovanej v rámci verejného zdravotného poistenia) určená zdravotníckym subjektom mimo sektora verejnej správy. Výdavky poistenia transferované zdravotníckym zariadeniam sektora verejnej správy v objeme 2,</w:t>
      </w:r>
      <w:r>
        <w:rPr>
          <w:rFonts w:ascii="Times New Roman" w:hAnsi="Times New Roman" w:cs="Times New Roman"/>
          <w:sz w:val="24"/>
          <w:szCs w:val="24"/>
        </w:rPr>
        <w:t>73</w:t>
      </w:r>
      <w:r w:rsidRPr="00701DA3">
        <w:rPr>
          <w:rFonts w:ascii="Times New Roman" w:hAnsi="Times New Roman" w:cs="Times New Roman"/>
          <w:sz w:val="24"/>
          <w:szCs w:val="24"/>
        </w:rPr>
        <w:t xml:space="preserve"> mld. eur sú v štruktúre celkových verejných výdavkov premietnuté najmä v kompenzáciách zamestnancov a medzispotrebe.</w:t>
      </w:r>
    </w:p>
    <w:p w14:paraId="33D5C323" w14:textId="77777777" w:rsidR="00A6528C" w:rsidRPr="00073110" w:rsidRDefault="00A6528C" w:rsidP="00A6528C">
      <w:pPr>
        <w:spacing w:after="0" w:line="240" w:lineRule="auto"/>
        <w:jc w:val="both"/>
        <w:rPr>
          <w:rFonts w:ascii="Times New Roman" w:hAnsi="Times New Roman" w:cs="Times New Roman"/>
          <w:sz w:val="24"/>
          <w:szCs w:val="24"/>
        </w:rPr>
      </w:pPr>
    </w:p>
    <w:p w14:paraId="2AABD747" w14:textId="77777777" w:rsidR="00A6528C" w:rsidRPr="00073110" w:rsidRDefault="00A6528C" w:rsidP="00A6528C">
      <w:pPr>
        <w:spacing w:after="0" w:line="240" w:lineRule="auto"/>
        <w:jc w:val="both"/>
        <w:rPr>
          <w:rFonts w:ascii="Times New Roman" w:hAnsi="Times New Roman" w:cs="Times New Roman"/>
          <w:sz w:val="24"/>
          <w:szCs w:val="24"/>
        </w:rPr>
      </w:pPr>
      <w:r w:rsidRPr="00073110">
        <w:rPr>
          <w:rFonts w:ascii="Times New Roman" w:hAnsi="Times New Roman" w:cs="Times New Roman"/>
          <w:sz w:val="24"/>
          <w:szCs w:val="24"/>
        </w:rPr>
        <w:t>Ostatné bežné transfery zahŕňajú bežné výdavky, ktoré svojou povahou nepatria medzi subvencie, resp. sociálne transfery. Z ich rozpočtovanej hodno</w:t>
      </w:r>
      <w:r>
        <w:rPr>
          <w:rFonts w:ascii="Times New Roman" w:hAnsi="Times New Roman" w:cs="Times New Roman"/>
          <w:sz w:val="24"/>
          <w:szCs w:val="24"/>
        </w:rPr>
        <w:t>ty na rok 2024</w:t>
      </w:r>
      <w:r w:rsidRPr="00073110">
        <w:rPr>
          <w:rFonts w:ascii="Times New Roman" w:hAnsi="Times New Roman" w:cs="Times New Roman"/>
          <w:sz w:val="24"/>
          <w:szCs w:val="24"/>
        </w:rPr>
        <w:t xml:space="preserve"> v </w:t>
      </w:r>
      <w:r>
        <w:rPr>
          <w:rFonts w:ascii="Times New Roman" w:hAnsi="Times New Roman" w:cs="Times New Roman"/>
          <w:sz w:val="24"/>
          <w:szCs w:val="24"/>
        </w:rPr>
        <w:t>objeme</w:t>
      </w:r>
      <w:r w:rsidRPr="00073110">
        <w:rPr>
          <w:rFonts w:ascii="Times New Roman" w:hAnsi="Times New Roman" w:cs="Times New Roman"/>
          <w:sz w:val="24"/>
          <w:szCs w:val="24"/>
        </w:rPr>
        <w:t xml:space="preserve"> </w:t>
      </w:r>
      <w:r>
        <w:rPr>
          <w:rFonts w:ascii="Times New Roman" w:hAnsi="Times New Roman" w:cs="Times New Roman"/>
          <w:sz w:val="24"/>
          <w:szCs w:val="24"/>
        </w:rPr>
        <w:t>3,08</w:t>
      </w:r>
      <w:r w:rsidRPr="00073110">
        <w:rPr>
          <w:rFonts w:ascii="Times New Roman" w:hAnsi="Times New Roman" w:cs="Times New Roman"/>
          <w:sz w:val="24"/>
          <w:szCs w:val="24"/>
        </w:rPr>
        <w:t xml:space="preserve"> mld. eur tvorí odvod do rozpočtu EÚ </w:t>
      </w:r>
      <w:r>
        <w:rPr>
          <w:rFonts w:ascii="Times New Roman" w:hAnsi="Times New Roman" w:cs="Times New Roman"/>
          <w:sz w:val="24"/>
          <w:szCs w:val="24"/>
        </w:rPr>
        <w:t>sumu 1,06</w:t>
      </w:r>
      <w:r w:rsidRPr="00073110">
        <w:rPr>
          <w:rFonts w:ascii="Times New Roman" w:hAnsi="Times New Roman" w:cs="Times New Roman"/>
          <w:sz w:val="24"/>
          <w:szCs w:val="24"/>
        </w:rPr>
        <w:t xml:space="preserve"> m</w:t>
      </w:r>
      <w:r>
        <w:rPr>
          <w:rFonts w:ascii="Times New Roman" w:hAnsi="Times New Roman" w:cs="Times New Roman"/>
          <w:sz w:val="24"/>
          <w:szCs w:val="24"/>
        </w:rPr>
        <w:t>ld</w:t>
      </w:r>
      <w:r w:rsidRPr="00073110">
        <w:rPr>
          <w:rFonts w:ascii="Times New Roman" w:hAnsi="Times New Roman" w:cs="Times New Roman"/>
          <w:sz w:val="24"/>
          <w:szCs w:val="24"/>
        </w:rPr>
        <w:t>. eur.</w:t>
      </w:r>
    </w:p>
    <w:p w14:paraId="1D6E9629" w14:textId="77777777" w:rsidR="00A6528C" w:rsidRPr="00073110" w:rsidRDefault="00A6528C" w:rsidP="00A6528C">
      <w:pPr>
        <w:spacing w:after="0" w:line="240" w:lineRule="auto"/>
        <w:jc w:val="both"/>
        <w:rPr>
          <w:rFonts w:ascii="Times New Roman" w:hAnsi="Times New Roman" w:cs="Times New Roman"/>
          <w:sz w:val="24"/>
          <w:szCs w:val="24"/>
        </w:rPr>
      </w:pPr>
      <w:r w:rsidRPr="00073110">
        <w:rPr>
          <w:rFonts w:ascii="Times New Roman" w:hAnsi="Times New Roman" w:cs="Times New Roman"/>
          <w:sz w:val="24"/>
          <w:szCs w:val="24"/>
        </w:rPr>
        <w:t xml:space="preserve"> </w:t>
      </w:r>
    </w:p>
    <w:p w14:paraId="368374CB" w14:textId="77777777" w:rsidR="00A6528C" w:rsidRDefault="00A6528C" w:rsidP="00A6528C">
      <w:pPr>
        <w:spacing w:after="0"/>
        <w:jc w:val="both"/>
        <w:rPr>
          <w:rFonts w:ascii="Times New Roman" w:hAnsi="Times New Roman" w:cs="Times New Roman"/>
          <w:sz w:val="24"/>
          <w:szCs w:val="24"/>
        </w:rPr>
      </w:pPr>
      <w:r>
        <w:rPr>
          <w:rFonts w:ascii="Times New Roman" w:hAnsi="Times New Roman" w:cs="Times New Roman"/>
          <w:sz w:val="24"/>
          <w:szCs w:val="24"/>
        </w:rPr>
        <w:t>Kapitálové výdavky sa v roku 2024 rozpočtujú v objeme 5,41 mld. eur, z čoho najväčšiu časť predstavujú kapitálové investície, a to v objeme 4,55 mld. eur. Zvyšnú časť predstavujú kapitálové transfery v objeme 859 mil. eur. Tieto sú určené na kapitálové investície iným subjektom mimo sektora verejnej správy.</w:t>
      </w:r>
    </w:p>
    <w:p w14:paraId="6C2457AD" w14:textId="77777777" w:rsidR="00C109BA" w:rsidRPr="008F5310" w:rsidRDefault="00C109BA" w:rsidP="00764B5B">
      <w:pPr>
        <w:spacing w:after="0"/>
        <w:jc w:val="both"/>
        <w:rPr>
          <w:rFonts w:ascii="Times New Roman" w:hAnsi="Times New Roman" w:cs="Times New Roman"/>
          <w:sz w:val="24"/>
          <w:szCs w:val="24"/>
        </w:rPr>
      </w:pPr>
    </w:p>
    <w:p w14:paraId="49447013" w14:textId="77777777" w:rsidR="000C265D" w:rsidRDefault="000C265D" w:rsidP="00764B5B">
      <w:pPr>
        <w:pStyle w:val="Nadpis2"/>
        <w:tabs>
          <w:tab w:val="left" w:pos="426"/>
        </w:tabs>
        <w:spacing w:before="0" w:after="0"/>
        <w:ind w:left="426" w:hanging="426"/>
        <w:jc w:val="both"/>
        <w:rPr>
          <w:rFonts w:ascii="Times New Roman" w:hAnsi="Times New Roman"/>
          <w:i w:val="0"/>
          <w:color w:val="5B9BD5" w:themeColor="accent1"/>
          <w:sz w:val="24"/>
        </w:rPr>
      </w:pPr>
      <w:bookmarkStart w:id="58" w:name="_Toc53040760"/>
      <w:bookmarkStart w:id="59" w:name="_Toc152946764"/>
      <w:r w:rsidRPr="00CE077C">
        <w:rPr>
          <w:rFonts w:ascii="Times New Roman" w:hAnsi="Times New Roman"/>
          <w:i w:val="0"/>
          <w:color w:val="5B9BD5" w:themeColor="accent1"/>
          <w:sz w:val="24"/>
        </w:rPr>
        <w:t>2.</w:t>
      </w:r>
      <w:r w:rsidR="001D520C">
        <w:rPr>
          <w:rFonts w:ascii="Times New Roman" w:hAnsi="Times New Roman"/>
          <w:i w:val="0"/>
          <w:color w:val="5B9BD5" w:themeColor="accent1"/>
          <w:sz w:val="24"/>
        </w:rPr>
        <w:t>6</w:t>
      </w:r>
      <w:r w:rsidR="00CE077C">
        <w:rPr>
          <w:rFonts w:ascii="Times New Roman" w:hAnsi="Times New Roman"/>
          <w:i w:val="0"/>
          <w:color w:val="5B9BD5" w:themeColor="accent1"/>
          <w:sz w:val="24"/>
        </w:rPr>
        <w:t xml:space="preserve">. </w:t>
      </w:r>
      <w:r w:rsidRPr="00CE077C">
        <w:rPr>
          <w:rFonts w:ascii="Times New Roman" w:hAnsi="Times New Roman"/>
          <w:i w:val="0"/>
          <w:color w:val="5B9BD5" w:themeColor="accent1"/>
          <w:sz w:val="24"/>
        </w:rPr>
        <w:t xml:space="preserve">Informácia o zapracovaných úpravách niektorých príjmov a výdavkov rozpočtu </w:t>
      </w:r>
      <w:r w:rsidR="00544F70">
        <w:rPr>
          <w:rFonts w:ascii="Times New Roman" w:hAnsi="Times New Roman"/>
          <w:i w:val="0"/>
          <w:color w:val="5B9BD5" w:themeColor="accent1"/>
          <w:sz w:val="24"/>
        </w:rPr>
        <w:t xml:space="preserve">  </w:t>
      </w:r>
      <w:r w:rsidRPr="00CE077C">
        <w:rPr>
          <w:rFonts w:ascii="Times New Roman" w:hAnsi="Times New Roman"/>
          <w:i w:val="0"/>
          <w:color w:val="5B9BD5" w:themeColor="accent1"/>
          <w:sz w:val="24"/>
        </w:rPr>
        <w:t>verejnej správy v metodike ESA 2010</w:t>
      </w:r>
      <w:bookmarkEnd w:id="58"/>
      <w:bookmarkEnd w:id="59"/>
    </w:p>
    <w:p w14:paraId="618C55DA" w14:textId="77777777" w:rsidR="005A7212" w:rsidRDefault="005A7212" w:rsidP="000C265D">
      <w:pPr>
        <w:spacing w:after="0" w:line="240" w:lineRule="auto"/>
        <w:jc w:val="both"/>
        <w:rPr>
          <w:rFonts w:ascii="Times New Roman" w:eastAsia="Times New Roman" w:hAnsi="Times New Roman" w:cs="Times New Roman"/>
          <w:sz w:val="24"/>
          <w:szCs w:val="24"/>
          <w:lang w:eastAsia="sk-SK"/>
        </w:rPr>
      </w:pPr>
    </w:p>
    <w:p w14:paraId="5FC67AF0" w14:textId="77777777" w:rsidR="0032421D" w:rsidRDefault="0032421D" w:rsidP="003242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Návrh r</w:t>
      </w:r>
      <w:r w:rsidRPr="00EC3CE0">
        <w:rPr>
          <w:rFonts w:ascii="Times New Roman" w:hAnsi="Times New Roman" w:cs="Times New Roman"/>
          <w:sz w:val="24"/>
          <w:szCs w:val="24"/>
        </w:rPr>
        <w:t>ozpoč</w:t>
      </w:r>
      <w:r>
        <w:rPr>
          <w:rFonts w:ascii="Times New Roman" w:hAnsi="Times New Roman" w:cs="Times New Roman"/>
          <w:sz w:val="24"/>
          <w:szCs w:val="24"/>
        </w:rPr>
        <w:t>tu</w:t>
      </w:r>
      <w:r w:rsidRPr="00EC3CE0">
        <w:rPr>
          <w:rFonts w:ascii="Times New Roman" w:hAnsi="Times New Roman" w:cs="Times New Roman"/>
          <w:sz w:val="24"/>
          <w:szCs w:val="24"/>
        </w:rPr>
        <w:t xml:space="preserve"> verejnej správy na roky 202</w:t>
      </w:r>
      <w:r>
        <w:rPr>
          <w:rFonts w:ascii="Times New Roman" w:hAnsi="Times New Roman" w:cs="Times New Roman"/>
          <w:sz w:val="24"/>
          <w:szCs w:val="24"/>
        </w:rPr>
        <w:t>4</w:t>
      </w:r>
      <w:r w:rsidRPr="00EC3CE0">
        <w:rPr>
          <w:rFonts w:ascii="Times New Roman" w:hAnsi="Times New Roman" w:cs="Times New Roman"/>
          <w:sz w:val="24"/>
          <w:szCs w:val="24"/>
        </w:rPr>
        <w:t xml:space="preserve"> až 202</w:t>
      </w:r>
      <w:r>
        <w:rPr>
          <w:rFonts w:ascii="Times New Roman" w:hAnsi="Times New Roman" w:cs="Times New Roman"/>
          <w:sz w:val="24"/>
          <w:szCs w:val="24"/>
        </w:rPr>
        <w:t>6</w:t>
      </w:r>
      <w:r w:rsidRPr="00EC3CE0">
        <w:rPr>
          <w:rFonts w:ascii="Times New Roman" w:hAnsi="Times New Roman" w:cs="Times New Roman"/>
          <w:sz w:val="24"/>
          <w:szCs w:val="24"/>
        </w:rPr>
        <w:t xml:space="preserve"> zah</w:t>
      </w:r>
      <w:r>
        <w:rPr>
          <w:rFonts w:ascii="Times New Roman" w:hAnsi="Times New Roman" w:cs="Times New Roman"/>
          <w:sz w:val="24"/>
          <w:szCs w:val="24"/>
        </w:rPr>
        <w:t>ŕňa aj tituly ako FISIM (</w:t>
      </w:r>
      <w:proofErr w:type="spellStart"/>
      <w:r w:rsidRPr="00D27BBC">
        <w:rPr>
          <w:rFonts w:ascii="Times New Roman" w:hAnsi="Times New Roman" w:cs="Times New Roman"/>
          <w:sz w:val="24"/>
          <w:szCs w:val="24"/>
        </w:rPr>
        <w:t>Financial</w:t>
      </w:r>
      <w:proofErr w:type="spellEnd"/>
      <w:r w:rsidRPr="00D27BBC">
        <w:rPr>
          <w:rFonts w:ascii="Times New Roman" w:hAnsi="Times New Roman" w:cs="Times New Roman"/>
          <w:sz w:val="24"/>
          <w:szCs w:val="24"/>
        </w:rPr>
        <w:t xml:space="preserve"> </w:t>
      </w:r>
      <w:proofErr w:type="spellStart"/>
      <w:r w:rsidRPr="00D27BBC">
        <w:rPr>
          <w:rFonts w:ascii="Times New Roman" w:hAnsi="Times New Roman" w:cs="Times New Roman"/>
          <w:sz w:val="24"/>
          <w:szCs w:val="24"/>
        </w:rPr>
        <w:t>Intermediation</w:t>
      </w:r>
      <w:proofErr w:type="spellEnd"/>
      <w:r w:rsidRPr="00D27BBC">
        <w:rPr>
          <w:rFonts w:ascii="Times New Roman" w:hAnsi="Times New Roman" w:cs="Times New Roman"/>
          <w:sz w:val="24"/>
          <w:szCs w:val="24"/>
        </w:rPr>
        <w:t xml:space="preserve"> </w:t>
      </w:r>
      <w:proofErr w:type="spellStart"/>
      <w:r w:rsidRPr="00D27BBC">
        <w:rPr>
          <w:rFonts w:ascii="Times New Roman" w:hAnsi="Times New Roman" w:cs="Times New Roman"/>
          <w:sz w:val="24"/>
          <w:szCs w:val="24"/>
        </w:rPr>
        <w:t>Services</w:t>
      </w:r>
      <w:proofErr w:type="spellEnd"/>
      <w:r w:rsidRPr="00D27BBC">
        <w:rPr>
          <w:rFonts w:ascii="Times New Roman" w:hAnsi="Times New Roman" w:cs="Times New Roman"/>
          <w:sz w:val="24"/>
          <w:szCs w:val="24"/>
        </w:rPr>
        <w:t xml:space="preserve"> </w:t>
      </w:r>
      <w:proofErr w:type="spellStart"/>
      <w:r w:rsidRPr="00D27BBC">
        <w:rPr>
          <w:rFonts w:ascii="Times New Roman" w:hAnsi="Times New Roman" w:cs="Times New Roman"/>
          <w:sz w:val="24"/>
          <w:szCs w:val="24"/>
        </w:rPr>
        <w:t>Indirectly</w:t>
      </w:r>
      <w:proofErr w:type="spellEnd"/>
      <w:r w:rsidRPr="00D27BBC">
        <w:rPr>
          <w:rFonts w:ascii="Times New Roman" w:hAnsi="Times New Roman" w:cs="Times New Roman"/>
          <w:sz w:val="24"/>
          <w:szCs w:val="24"/>
        </w:rPr>
        <w:t xml:space="preserve"> </w:t>
      </w:r>
      <w:proofErr w:type="spellStart"/>
      <w:r w:rsidRPr="00D27BBC">
        <w:rPr>
          <w:rFonts w:ascii="Times New Roman" w:hAnsi="Times New Roman" w:cs="Times New Roman"/>
          <w:sz w:val="24"/>
          <w:szCs w:val="24"/>
        </w:rPr>
        <w:t>Measured</w:t>
      </w:r>
      <w:proofErr w:type="spellEnd"/>
      <w:r>
        <w:rPr>
          <w:rFonts w:ascii="Times New Roman" w:hAnsi="Times New Roman" w:cs="Times New Roman"/>
          <w:sz w:val="24"/>
          <w:szCs w:val="24"/>
        </w:rPr>
        <w:t xml:space="preserve">), naturálne mzdy, umelecká produkcia na vlastné použitie, výroba softvéru na vlastné použitie a príjmy a výdavky spoločnosti Slovak </w:t>
      </w:r>
      <w:proofErr w:type="spellStart"/>
      <w:r>
        <w:rPr>
          <w:rFonts w:ascii="Times New Roman" w:hAnsi="Times New Roman" w:cs="Times New Roman"/>
          <w:sz w:val="24"/>
          <w:szCs w:val="24"/>
        </w:rPr>
        <w:t>Investment</w:t>
      </w:r>
      <w:proofErr w:type="spellEnd"/>
      <w:r>
        <w:rPr>
          <w:rFonts w:ascii="Times New Roman" w:hAnsi="Times New Roman" w:cs="Times New Roman"/>
          <w:sz w:val="24"/>
          <w:szCs w:val="24"/>
        </w:rPr>
        <w:t xml:space="preserve"> Holding, a. s. (SIH)</w:t>
      </w:r>
      <w:r>
        <w:rPr>
          <w:rStyle w:val="Odkaznapoznmkupodiarou"/>
          <w:rFonts w:ascii="Times New Roman" w:hAnsi="Times New Roman"/>
          <w:sz w:val="24"/>
          <w:szCs w:val="24"/>
        </w:rPr>
        <w:footnoteReference w:id="14"/>
      </w:r>
      <w:r>
        <w:rPr>
          <w:rFonts w:ascii="Times New Roman" w:hAnsi="Times New Roman" w:cs="Times New Roman"/>
          <w:sz w:val="24"/>
          <w:szCs w:val="24"/>
        </w:rPr>
        <w:t xml:space="preserve">. V rámci rozpočtu verejnej správy na roky 2024 až 2026 sa uvažuje </w:t>
      </w:r>
      <w:r>
        <w:rPr>
          <w:rFonts w:ascii="Times New Roman" w:hAnsi="Times New Roman" w:cs="Times New Roman"/>
          <w:sz w:val="24"/>
          <w:szCs w:val="24"/>
        </w:rPr>
        <w:lastRenderedPageBreak/>
        <w:t>s hodnotami na úrovni jesennej notifikácie skutočnosti za rok 2022, čo prezentuje nasledujúca tabuľka.</w:t>
      </w:r>
      <w:r w:rsidRPr="00367414">
        <w:rPr>
          <w:rFonts w:ascii="Times New Roman" w:hAnsi="Times New Roman" w:cs="Times New Roman"/>
          <w:sz w:val="24"/>
          <w:szCs w:val="24"/>
        </w:rPr>
        <w:t xml:space="preserve"> </w:t>
      </w:r>
    </w:p>
    <w:p w14:paraId="458AD21B" w14:textId="2B0C63AE" w:rsidR="0032421D" w:rsidRDefault="0032421D" w:rsidP="0032421D">
      <w:pPr>
        <w:spacing w:after="0" w:line="240" w:lineRule="auto"/>
        <w:jc w:val="both"/>
        <w:rPr>
          <w:rFonts w:ascii="Times New Roman" w:hAnsi="Times New Roman" w:cs="Times New Roman"/>
          <w:sz w:val="24"/>
          <w:szCs w:val="24"/>
        </w:rPr>
      </w:pPr>
    </w:p>
    <w:p w14:paraId="79AB2441" w14:textId="088ECAFA" w:rsidR="0032421D" w:rsidRPr="000C41B0" w:rsidRDefault="0032421D" w:rsidP="0032421D">
      <w:pPr>
        <w:spacing w:after="0"/>
        <w:rPr>
          <w:rFonts w:ascii="Times New Roman" w:hAnsi="Times New Roman" w:cs="Times New Roman"/>
          <w:b/>
          <w:color w:val="5B9BD5" w:themeColor="accent1"/>
          <w:sz w:val="20"/>
          <w:szCs w:val="20"/>
        </w:rPr>
      </w:pPr>
      <w:bookmarkStart w:id="60" w:name="_Toc84845240"/>
      <w:bookmarkStart w:id="61" w:name="_Toc116288197"/>
      <w:bookmarkStart w:id="62" w:name="_Toc153013013"/>
      <w:r w:rsidRPr="000C41B0">
        <w:rPr>
          <w:rFonts w:ascii="Times New Roman" w:hAnsi="Times New Roman" w:cs="Times New Roman"/>
          <w:b/>
          <w:color w:val="5B9BD5" w:themeColor="accent1"/>
          <w:sz w:val="20"/>
          <w:szCs w:val="20"/>
        </w:rPr>
        <w:t xml:space="preserve">Tabuľka </w:t>
      </w:r>
      <w:r w:rsidRPr="000C41B0">
        <w:rPr>
          <w:rFonts w:ascii="Times New Roman" w:hAnsi="Times New Roman" w:cs="Times New Roman"/>
          <w:b/>
          <w:color w:val="5B9BD5" w:themeColor="accent1"/>
          <w:sz w:val="20"/>
          <w:szCs w:val="20"/>
        </w:rPr>
        <w:fldChar w:fldCharType="begin"/>
      </w:r>
      <w:r w:rsidRPr="000C41B0">
        <w:rPr>
          <w:rFonts w:ascii="Times New Roman" w:hAnsi="Times New Roman" w:cs="Times New Roman"/>
          <w:b/>
          <w:color w:val="5B9BD5" w:themeColor="accent1"/>
          <w:sz w:val="20"/>
          <w:szCs w:val="20"/>
        </w:rPr>
        <w:instrText xml:space="preserve"> SEQ Tabuľka \* ARABIC </w:instrText>
      </w:r>
      <w:r w:rsidRPr="000C41B0">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15</w:t>
      </w:r>
      <w:r w:rsidRPr="000C41B0">
        <w:rPr>
          <w:rFonts w:ascii="Times New Roman" w:hAnsi="Times New Roman" w:cs="Times New Roman"/>
          <w:b/>
          <w:color w:val="5B9BD5" w:themeColor="accent1"/>
          <w:sz w:val="20"/>
          <w:szCs w:val="20"/>
        </w:rPr>
        <w:fldChar w:fldCharType="end"/>
      </w:r>
      <w:r w:rsidRPr="000C41B0">
        <w:rPr>
          <w:rFonts w:ascii="Times New Roman" w:hAnsi="Times New Roman" w:cs="Times New Roman"/>
          <w:b/>
          <w:color w:val="5B9BD5" w:themeColor="accent1"/>
          <w:sz w:val="20"/>
          <w:szCs w:val="20"/>
        </w:rPr>
        <w:t xml:space="preserve"> </w:t>
      </w:r>
      <w:r>
        <w:rPr>
          <w:rFonts w:ascii="Times New Roman" w:hAnsi="Times New Roman" w:cs="Times New Roman"/>
          <w:b/>
          <w:color w:val="5B9BD5" w:themeColor="accent1"/>
          <w:sz w:val="20"/>
          <w:szCs w:val="20"/>
        </w:rPr>
        <w:t>–</w:t>
      </w:r>
      <w:r w:rsidRPr="000C41B0">
        <w:rPr>
          <w:rFonts w:ascii="Times New Roman" w:hAnsi="Times New Roman" w:cs="Times New Roman"/>
          <w:b/>
          <w:color w:val="5B9BD5" w:themeColor="accent1"/>
          <w:sz w:val="20"/>
          <w:szCs w:val="20"/>
        </w:rPr>
        <w:t xml:space="preserve"> </w:t>
      </w:r>
      <w:r>
        <w:rPr>
          <w:rFonts w:ascii="Times New Roman" w:hAnsi="Times New Roman" w:cs="Times New Roman"/>
          <w:b/>
          <w:color w:val="5B9BD5" w:themeColor="accent1"/>
          <w:sz w:val="20"/>
          <w:szCs w:val="20"/>
        </w:rPr>
        <w:t>ESA 2010 tituly</w:t>
      </w:r>
      <w:bookmarkEnd w:id="60"/>
      <w:bookmarkEnd w:id="61"/>
      <w:bookmarkEnd w:id="62"/>
    </w:p>
    <w:tbl>
      <w:tblPr>
        <w:tblW w:w="5000" w:type="pct"/>
        <w:tblCellMar>
          <w:left w:w="70" w:type="dxa"/>
          <w:right w:w="70" w:type="dxa"/>
        </w:tblCellMar>
        <w:tblLook w:val="04A0" w:firstRow="1" w:lastRow="0" w:firstColumn="1" w:lastColumn="0" w:noHBand="0" w:noVBand="1"/>
      </w:tblPr>
      <w:tblGrid>
        <w:gridCol w:w="3330"/>
        <w:gridCol w:w="1130"/>
        <w:gridCol w:w="767"/>
        <w:gridCol w:w="767"/>
        <w:gridCol w:w="769"/>
        <w:gridCol w:w="769"/>
        <w:gridCol w:w="773"/>
        <w:gridCol w:w="767"/>
      </w:tblGrid>
      <w:tr w:rsidR="0032421D" w:rsidRPr="00447079" w14:paraId="453F1A50" w14:textId="77777777" w:rsidTr="00AF2AF3">
        <w:trPr>
          <w:trHeight w:val="255"/>
        </w:trPr>
        <w:tc>
          <w:tcPr>
            <w:tcW w:w="1835" w:type="pct"/>
            <w:tcBorders>
              <w:top w:val="single" w:sz="4" w:space="0" w:color="auto"/>
              <w:left w:val="nil"/>
              <w:bottom w:val="single" w:sz="4" w:space="0" w:color="auto"/>
              <w:right w:val="nil"/>
            </w:tcBorders>
            <w:shd w:val="clear" w:color="auto" w:fill="auto"/>
            <w:noWrap/>
            <w:vAlign w:val="center"/>
            <w:hideMark/>
          </w:tcPr>
          <w:p w14:paraId="359AD8A3" w14:textId="77777777" w:rsidR="0032421D" w:rsidRPr="00447079" w:rsidRDefault="0032421D" w:rsidP="00AF2AF3">
            <w:pPr>
              <w:spacing w:after="0" w:line="240" w:lineRule="auto"/>
              <w:rPr>
                <w:rFonts w:ascii="Times New Roman" w:eastAsia="Times New Roman" w:hAnsi="Times New Roman" w:cs="Times New Roman"/>
                <w:b/>
                <w:bCs/>
                <w:color w:val="000000"/>
                <w:sz w:val="14"/>
                <w:szCs w:val="14"/>
                <w:lang w:eastAsia="sk-SK"/>
              </w:rPr>
            </w:pPr>
            <w:r w:rsidRPr="00447079">
              <w:rPr>
                <w:rFonts w:ascii="Times New Roman" w:eastAsia="Times New Roman" w:hAnsi="Times New Roman" w:cs="Times New Roman"/>
                <w:b/>
                <w:bCs/>
                <w:color w:val="000000"/>
                <w:sz w:val="14"/>
                <w:szCs w:val="14"/>
                <w:lang w:eastAsia="sk-SK"/>
              </w:rPr>
              <w:t xml:space="preserve">ESA 2010 </w:t>
            </w:r>
            <w:proofErr w:type="spellStart"/>
            <w:r w:rsidRPr="00447079">
              <w:rPr>
                <w:rFonts w:ascii="Times New Roman" w:eastAsia="Times New Roman" w:hAnsi="Times New Roman" w:cs="Times New Roman"/>
                <w:b/>
                <w:bCs/>
                <w:color w:val="000000"/>
                <w:sz w:val="14"/>
                <w:szCs w:val="14"/>
                <w:lang w:eastAsia="sk-SK"/>
              </w:rPr>
              <w:t>input</w:t>
            </w:r>
            <w:proofErr w:type="spellEnd"/>
            <w:r w:rsidRPr="00447079">
              <w:rPr>
                <w:rFonts w:ascii="Times New Roman" w:eastAsia="Times New Roman" w:hAnsi="Times New Roman" w:cs="Times New Roman"/>
                <w:b/>
                <w:bCs/>
                <w:color w:val="000000"/>
                <w:sz w:val="14"/>
                <w:szCs w:val="14"/>
                <w:lang w:eastAsia="sk-SK"/>
              </w:rPr>
              <w:t>, v mil. eur</w:t>
            </w:r>
          </w:p>
        </w:tc>
        <w:tc>
          <w:tcPr>
            <w:tcW w:w="622" w:type="pct"/>
            <w:tcBorders>
              <w:top w:val="single" w:sz="4" w:space="0" w:color="auto"/>
              <w:left w:val="nil"/>
              <w:bottom w:val="single" w:sz="4" w:space="0" w:color="auto"/>
              <w:right w:val="nil"/>
            </w:tcBorders>
            <w:shd w:val="clear" w:color="auto" w:fill="auto"/>
            <w:vAlign w:val="center"/>
            <w:hideMark/>
          </w:tcPr>
          <w:p w14:paraId="1075A4FB" w14:textId="77777777" w:rsidR="0032421D" w:rsidRPr="00447079" w:rsidRDefault="0032421D" w:rsidP="00AF2AF3">
            <w:pPr>
              <w:spacing w:after="0" w:line="240" w:lineRule="auto"/>
              <w:jc w:val="center"/>
              <w:rPr>
                <w:rFonts w:ascii="Times New Roman" w:eastAsia="Times New Roman" w:hAnsi="Times New Roman" w:cs="Times New Roman"/>
                <w:b/>
                <w:bCs/>
                <w:color w:val="000000"/>
                <w:sz w:val="14"/>
                <w:szCs w:val="14"/>
                <w:lang w:eastAsia="sk-SK"/>
              </w:rPr>
            </w:pPr>
            <w:r w:rsidRPr="00447079">
              <w:rPr>
                <w:rFonts w:ascii="Times New Roman" w:eastAsia="Times New Roman" w:hAnsi="Times New Roman" w:cs="Times New Roman"/>
                <w:b/>
                <w:bCs/>
                <w:color w:val="000000"/>
                <w:sz w:val="14"/>
                <w:szCs w:val="14"/>
                <w:lang w:eastAsia="sk-SK"/>
              </w:rPr>
              <w:t>ESA 2010 kód</w:t>
            </w:r>
          </w:p>
        </w:tc>
        <w:tc>
          <w:tcPr>
            <w:tcW w:w="423" w:type="pct"/>
            <w:tcBorders>
              <w:top w:val="single" w:sz="4" w:space="0" w:color="auto"/>
              <w:left w:val="nil"/>
              <w:bottom w:val="single" w:sz="4" w:space="0" w:color="auto"/>
              <w:right w:val="nil"/>
            </w:tcBorders>
            <w:shd w:val="clear" w:color="auto" w:fill="auto"/>
            <w:vAlign w:val="center"/>
            <w:hideMark/>
          </w:tcPr>
          <w:p w14:paraId="0C46FAC4" w14:textId="77777777" w:rsidR="0032421D" w:rsidRPr="00447079" w:rsidRDefault="0032421D" w:rsidP="00AF2AF3">
            <w:pPr>
              <w:spacing w:after="0" w:line="240" w:lineRule="auto"/>
              <w:jc w:val="right"/>
              <w:rPr>
                <w:rFonts w:ascii="Times New Roman" w:eastAsia="Times New Roman" w:hAnsi="Times New Roman" w:cs="Times New Roman"/>
                <w:b/>
                <w:bCs/>
                <w:color w:val="000000"/>
                <w:sz w:val="14"/>
                <w:szCs w:val="14"/>
                <w:lang w:eastAsia="sk-SK"/>
              </w:rPr>
            </w:pPr>
            <w:r w:rsidRPr="00447079">
              <w:rPr>
                <w:rFonts w:ascii="Times New Roman" w:eastAsia="Times New Roman" w:hAnsi="Times New Roman" w:cs="Times New Roman"/>
                <w:b/>
                <w:bCs/>
                <w:color w:val="000000"/>
                <w:sz w:val="14"/>
                <w:szCs w:val="14"/>
                <w:lang w:eastAsia="sk-SK"/>
              </w:rPr>
              <w:t>Spolu</w:t>
            </w:r>
          </w:p>
        </w:tc>
        <w:tc>
          <w:tcPr>
            <w:tcW w:w="423" w:type="pct"/>
            <w:tcBorders>
              <w:top w:val="single" w:sz="4" w:space="0" w:color="auto"/>
              <w:left w:val="nil"/>
              <w:bottom w:val="single" w:sz="4" w:space="0" w:color="auto"/>
              <w:right w:val="nil"/>
            </w:tcBorders>
            <w:shd w:val="clear" w:color="auto" w:fill="auto"/>
            <w:vAlign w:val="center"/>
            <w:hideMark/>
          </w:tcPr>
          <w:p w14:paraId="1A0EF2EB" w14:textId="77777777" w:rsidR="0032421D" w:rsidRPr="00447079" w:rsidRDefault="0032421D" w:rsidP="00AF2AF3">
            <w:pPr>
              <w:spacing w:after="0" w:line="240" w:lineRule="auto"/>
              <w:jc w:val="right"/>
              <w:rPr>
                <w:rFonts w:ascii="Times New Roman" w:eastAsia="Times New Roman" w:hAnsi="Times New Roman" w:cs="Times New Roman"/>
                <w:b/>
                <w:bCs/>
                <w:color w:val="000000"/>
                <w:sz w:val="14"/>
                <w:szCs w:val="14"/>
                <w:lang w:eastAsia="sk-SK"/>
              </w:rPr>
            </w:pPr>
            <w:r w:rsidRPr="00447079">
              <w:rPr>
                <w:rFonts w:ascii="Times New Roman" w:eastAsia="Times New Roman" w:hAnsi="Times New Roman" w:cs="Times New Roman"/>
                <w:b/>
                <w:bCs/>
                <w:color w:val="000000"/>
                <w:sz w:val="14"/>
                <w:szCs w:val="14"/>
                <w:lang w:eastAsia="sk-SK"/>
              </w:rPr>
              <w:t>FISIM</w:t>
            </w:r>
          </w:p>
        </w:tc>
        <w:tc>
          <w:tcPr>
            <w:tcW w:w="424" w:type="pct"/>
            <w:tcBorders>
              <w:top w:val="single" w:sz="4" w:space="0" w:color="auto"/>
              <w:left w:val="nil"/>
              <w:bottom w:val="single" w:sz="4" w:space="0" w:color="auto"/>
              <w:right w:val="nil"/>
            </w:tcBorders>
            <w:shd w:val="clear" w:color="auto" w:fill="auto"/>
            <w:vAlign w:val="center"/>
            <w:hideMark/>
          </w:tcPr>
          <w:p w14:paraId="4A89E04F" w14:textId="77777777" w:rsidR="0032421D" w:rsidRPr="00447079" w:rsidRDefault="0032421D" w:rsidP="00AF2AF3">
            <w:pPr>
              <w:spacing w:after="0" w:line="240" w:lineRule="auto"/>
              <w:jc w:val="right"/>
              <w:rPr>
                <w:rFonts w:ascii="Times New Roman" w:eastAsia="Times New Roman" w:hAnsi="Times New Roman" w:cs="Times New Roman"/>
                <w:b/>
                <w:bCs/>
                <w:color w:val="000000"/>
                <w:sz w:val="14"/>
                <w:szCs w:val="14"/>
                <w:lang w:eastAsia="sk-SK"/>
              </w:rPr>
            </w:pPr>
            <w:r w:rsidRPr="00447079">
              <w:rPr>
                <w:rFonts w:ascii="Times New Roman" w:eastAsia="Times New Roman" w:hAnsi="Times New Roman" w:cs="Times New Roman"/>
                <w:b/>
                <w:bCs/>
                <w:color w:val="000000"/>
                <w:sz w:val="14"/>
                <w:szCs w:val="14"/>
                <w:lang w:eastAsia="sk-SK"/>
              </w:rPr>
              <w:t>Naturálne mzdy</w:t>
            </w:r>
          </w:p>
        </w:tc>
        <w:tc>
          <w:tcPr>
            <w:tcW w:w="424" w:type="pct"/>
            <w:tcBorders>
              <w:top w:val="single" w:sz="4" w:space="0" w:color="auto"/>
              <w:left w:val="nil"/>
              <w:bottom w:val="single" w:sz="4" w:space="0" w:color="auto"/>
              <w:right w:val="nil"/>
            </w:tcBorders>
            <w:shd w:val="clear" w:color="auto" w:fill="auto"/>
            <w:vAlign w:val="center"/>
            <w:hideMark/>
          </w:tcPr>
          <w:p w14:paraId="266F26B8" w14:textId="77777777" w:rsidR="0032421D" w:rsidRPr="00447079" w:rsidRDefault="0032421D" w:rsidP="00AF2AF3">
            <w:pPr>
              <w:spacing w:after="0" w:line="240" w:lineRule="auto"/>
              <w:jc w:val="right"/>
              <w:rPr>
                <w:rFonts w:ascii="Times New Roman" w:eastAsia="Times New Roman" w:hAnsi="Times New Roman" w:cs="Times New Roman"/>
                <w:b/>
                <w:bCs/>
                <w:color w:val="000000"/>
                <w:sz w:val="14"/>
                <w:szCs w:val="14"/>
                <w:lang w:eastAsia="sk-SK"/>
              </w:rPr>
            </w:pPr>
            <w:r w:rsidRPr="00447079">
              <w:rPr>
                <w:rFonts w:ascii="Times New Roman" w:eastAsia="Times New Roman" w:hAnsi="Times New Roman" w:cs="Times New Roman"/>
                <w:b/>
                <w:bCs/>
                <w:color w:val="000000"/>
                <w:sz w:val="14"/>
                <w:szCs w:val="14"/>
                <w:lang w:eastAsia="sk-SK"/>
              </w:rPr>
              <w:t>Umelecká produkcia</w:t>
            </w:r>
          </w:p>
        </w:tc>
        <w:tc>
          <w:tcPr>
            <w:tcW w:w="426" w:type="pct"/>
            <w:tcBorders>
              <w:top w:val="single" w:sz="4" w:space="0" w:color="auto"/>
              <w:left w:val="nil"/>
              <w:bottom w:val="single" w:sz="4" w:space="0" w:color="auto"/>
              <w:right w:val="nil"/>
            </w:tcBorders>
            <w:shd w:val="clear" w:color="auto" w:fill="auto"/>
            <w:vAlign w:val="center"/>
            <w:hideMark/>
          </w:tcPr>
          <w:p w14:paraId="112D2987" w14:textId="77777777" w:rsidR="0032421D" w:rsidRPr="00447079" w:rsidRDefault="0032421D" w:rsidP="00AF2AF3">
            <w:pPr>
              <w:spacing w:after="0" w:line="240" w:lineRule="auto"/>
              <w:jc w:val="right"/>
              <w:rPr>
                <w:rFonts w:ascii="Times New Roman" w:eastAsia="Times New Roman" w:hAnsi="Times New Roman" w:cs="Times New Roman"/>
                <w:b/>
                <w:bCs/>
                <w:color w:val="000000"/>
                <w:sz w:val="14"/>
                <w:szCs w:val="14"/>
                <w:lang w:eastAsia="sk-SK"/>
              </w:rPr>
            </w:pPr>
            <w:r w:rsidRPr="00447079">
              <w:rPr>
                <w:rFonts w:ascii="Times New Roman" w:eastAsia="Times New Roman" w:hAnsi="Times New Roman" w:cs="Times New Roman"/>
                <w:b/>
                <w:bCs/>
                <w:color w:val="000000"/>
                <w:sz w:val="14"/>
                <w:szCs w:val="14"/>
                <w:lang w:eastAsia="sk-SK"/>
              </w:rPr>
              <w:t>Softvér</w:t>
            </w:r>
          </w:p>
        </w:tc>
        <w:tc>
          <w:tcPr>
            <w:tcW w:w="424" w:type="pct"/>
            <w:tcBorders>
              <w:top w:val="single" w:sz="4" w:space="0" w:color="auto"/>
              <w:left w:val="nil"/>
              <w:bottom w:val="single" w:sz="4" w:space="0" w:color="auto"/>
              <w:right w:val="nil"/>
            </w:tcBorders>
            <w:shd w:val="clear" w:color="auto" w:fill="auto"/>
            <w:vAlign w:val="center"/>
            <w:hideMark/>
          </w:tcPr>
          <w:p w14:paraId="0C9EDADD" w14:textId="77777777" w:rsidR="0032421D" w:rsidRPr="00447079" w:rsidRDefault="0032421D" w:rsidP="00AF2AF3">
            <w:pPr>
              <w:spacing w:after="0" w:line="240" w:lineRule="auto"/>
              <w:jc w:val="right"/>
              <w:rPr>
                <w:rFonts w:ascii="Times New Roman" w:eastAsia="Times New Roman" w:hAnsi="Times New Roman" w:cs="Times New Roman"/>
                <w:b/>
                <w:bCs/>
                <w:color w:val="000000"/>
                <w:sz w:val="14"/>
                <w:szCs w:val="14"/>
                <w:lang w:eastAsia="sk-SK"/>
              </w:rPr>
            </w:pPr>
            <w:r w:rsidRPr="00447079">
              <w:rPr>
                <w:rFonts w:ascii="Times New Roman" w:eastAsia="Times New Roman" w:hAnsi="Times New Roman" w:cs="Times New Roman"/>
                <w:b/>
                <w:bCs/>
                <w:color w:val="000000"/>
                <w:sz w:val="14"/>
                <w:szCs w:val="14"/>
                <w:lang w:eastAsia="sk-SK"/>
              </w:rPr>
              <w:t>SIH</w:t>
            </w:r>
          </w:p>
        </w:tc>
      </w:tr>
      <w:tr w:rsidR="0032421D" w:rsidRPr="00447079" w14:paraId="1052E616" w14:textId="77777777" w:rsidTr="00AF2AF3">
        <w:trPr>
          <w:trHeight w:val="255"/>
        </w:trPr>
        <w:tc>
          <w:tcPr>
            <w:tcW w:w="1835" w:type="pct"/>
            <w:tcBorders>
              <w:top w:val="nil"/>
              <w:left w:val="nil"/>
              <w:bottom w:val="single" w:sz="4" w:space="0" w:color="auto"/>
              <w:right w:val="nil"/>
            </w:tcBorders>
            <w:shd w:val="clear" w:color="auto" w:fill="auto"/>
            <w:noWrap/>
            <w:vAlign w:val="center"/>
            <w:hideMark/>
          </w:tcPr>
          <w:p w14:paraId="20E15A96" w14:textId="77777777" w:rsidR="0032421D" w:rsidRPr="00447079" w:rsidRDefault="0032421D" w:rsidP="00AF2AF3">
            <w:pPr>
              <w:spacing w:after="0" w:line="240" w:lineRule="auto"/>
              <w:rPr>
                <w:rFonts w:ascii="Times New Roman" w:eastAsia="Times New Roman" w:hAnsi="Times New Roman" w:cs="Times New Roman"/>
                <w:b/>
                <w:bCs/>
                <w:color w:val="000000"/>
                <w:sz w:val="14"/>
                <w:szCs w:val="14"/>
                <w:lang w:eastAsia="sk-SK"/>
              </w:rPr>
            </w:pPr>
            <w:r w:rsidRPr="00447079">
              <w:rPr>
                <w:rFonts w:ascii="Times New Roman" w:eastAsia="Times New Roman" w:hAnsi="Times New Roman" w:cs="Times New Roman"/>
                <w:b/>
                <w:bCs/>
                <w:color w:val="000000"/>
                <w:sz w:val="14"/>
                <w:szCs w:val="14"/>
                <w:lang w:eastAsia="sk-SK"/>
              </w:rPr>
              <w:t>Saldo</w:t>
            </w:r>
          </w:p>
        </w:tc>
        <w:tc>
          <w:tcPr>
            <w:tcW w:w="622" w:type="pct"/>
            <w:tcBorders>
              <w:top w:val="nil"/>
              <w:left w:val="nil"/>
              <w:bottom w:val="single" w:sz="4" w:space="0" w:color="auto"/>
              <w:right w:val="nil"/>
            </w:tcBorders>
            <w:shd w:val="clear" w:color="auto" w:fill="auto"/>
            <w:noWrap/>
            <w:vAlign w:val="center"/>
            <w:hideMark/>
          </w:tcPr>
          <w:p w14:paraId="005CF913" w14:textId="77777777" w:rsidR="0032421D" w:rsidRPr="00447079" w:rsidRDefault="0032421D" w:rsidP="00AF2AF3">
            <w:pPr>
              <w:spacing w:after="0" w:line="240" w:lineRule="auto"/>
              <w:jc w:val="center"/>
              <w:rPr>
                <w:rFonts w:ascii="Times New Roman" w:eastAsia="Times New Roman" w:hAnsi="Times New Roman" w:cs="Times New Roman"/>
                <w:b/>
                <w:bCs/>
                <w:color w:val="000000"/>
                <w:sz w:val="14"/>
                <w:szCs w:val="14"/>
                <w:lang w:eastAsia="sk-SK"/>
              </w:rPr>
            </w:pPr>
            <w:r w:rsidRPr="00447079">
              <w:rPr>
                <w:rFonts w:ascii="Times New Roman" w:eastAsia="Times New Roman" w:hAnsi="Times New Roman" w:cs="Times New Roman"/>
                <w:b/>
                <w:bCs/>
                <w:color w:val="000000"/>
                <w:sz w:val="14"/>
                <w:szCs w:val="14"/>
                <w:lang w:eastAsia="sk-SK"/>
              </w:rPr>
              <w:t>B.9</w:t>
            </w:r>
          </w:p>
        </w:tc>
        <w:tc>
          <w:tcPr>
            <w:tcW w:w="423" w:type="pct"/>
            <w:tcBorders>
              <w:top w:val="nil"/>
              <w:left w:val="nil"/>
              <w:bottom w:val="single" w:sz="4" w:space="0" w:color="auto"/>
              <w:right w:val="nil"/>
            </w:tcBorders>
            <w:shd w:val="clear" w:color="auto" w:fill="auto"/>
            <w:noWrap/>
            <w:vAlign w:val="center"/>
            <w:hideMark/>
          </w:tcPr>
          <w:p w14:paraId="09CBF372" w14:textId="77777777" w:rsidR="0032421D" w:rsidRPr="00447079" w:rsidRDefault="0032421D" w:rsidP="00AF2AF3">
            <w:pPr>
              <w:spacing w:after="0" w:line="240" w:lineRule="auto"/>
              <w:jc w:val="right"/>
              <w:rPr>
                <w:rFonts w:ascii="Times New Roman" w:eastAsia="Times New Roman" w:hAnsi="Times New Roman" w:cs="Times New Roman"/>
                <w:b/>
                <w:bCs/>
                <w:color w:val="000000"/>
                <w:sz w:val="14"/>
                <w:szCs w:val="14"/>
                <w:lang w:eastAsia="sk-SK"/>
              </w:rPr>
            </w:pPr>
            <w:r>
              <w:rPr>
                <w:rFonts w:ascii="Times New Roman" w:eastAsia="Times New Roman" w:hAnsi="Times New Roman" w:cs="Times New Roman"/>
                <w:b/>
                <w:bCs/>
                <w:color w:val="000000"/>
                <w:sz w:val="14"/>
                <w:szCs w:val="14"/>
                <w:lang w:eastAsia="sk-SK"/>
              </w:rPr>
              <w:t>41,0</w:t>
            </w:r>
          </w:p>
        </w:tc>
        <w:tc>
          <w:tcPr>
            <w:tcW w:w="423" w:type="pct"/>
            <w:tcBorders>
              <w:top w:val="nil"/>
              <w:left w:val="nil"/>
              <w:bottom w:val="single" w:sz="4" w:space="0" w:color="auto"/>
              <w:right w:val="nil"/>
            </w:tcBorders>
            <w:shd w:val="clear" w:color="auto" w:fill="auto"/>
            <w:noWrap/>
            <w:vAlign w:val="center"/>
            <w:hideMark/>
          </w:tcPr>
          <w:p w14:paraId="70470FF7" w14:textId="77777777" w:rsidR="0032421D" w:rsidRPr="00447079" w:rsidRDefault="0032421D" w:rsidP="00AF2AF3">
            <w:pPr>
              <w:spacing w:after="0" w:line="240" w:lineRule="auto"/>
              <w:jc w:val="right"/>
              <w:rPr>
                <w:rFonts w:ascii="Times New Roman" w:eastAsia="Times New Roman" w:hAnsi="Times New Roman" w:cs="Times New Roman"/>
                <w:b/>
                <w:bCs/>
                <w:color w:val="000000"/>
                <w:sz w:val="14"/>
                <w:szCs w:val="14"/>
                <w:lang w:eastAsia="sk-SK"/>
              </w:rPr>
            </w:pPr>
            <w:r w:rsidRPr="00447079">
              <w:rPr>
                <w:rFonts w:ascii="Times New Roman" w:eastAsia="Times New Roman" w:hAnsi="Times New Roman" w:cs="Times New Roman"/>
                <w:b/>
                <w:bCs/>
                <w:color w:val="000000"/>
                <w:sz w:val="14"/>
                <w:szCs w:val="14"/>
                <w:lang w:eastAsia="sk-SK"/>
              </w:rPr>
              <w:t>0,0</w:t>
            </w:r>
          </w:p>
        </w:tc>
        <w:tc>
          <w:tcPr>
            <w:tcW w:w="424" w:type="pct"/>
            <w:tcBorders>
              <w:top w:val="nil"/>
              <w:left w:val="nil"/>
              <w:bottom w:val="single" w:sz="4" w:space="0" w:color="auto"/>
              <w:right w:val="nil"/>
            </w:tcBorders>
            <w:shd w:val="clear" w:color="auto" w:fill="auto"/>
            <w:noWrap/>
            <w:vAlign w:val="center"/>
            <w:hideMark/>
          </w:tcPr>
          <w:p w14:paraId="713C5DBF" w14:textId="77777777" w:rsidR="0032421D" w:rsidRPr="00447079" w:rsidRDefault="0032421D" w:rsidP="00AF2AF3">
            <w:pPr>
              <w:spacing w:after="0" w:line="240" w:lineRule="auto"/>
              <w:jc w:val="right"/>
              <w:rPr>
                <w:rFonts w:ascii="Times New Roman" w:eastAsia="Times New Roman" w:hAnsi="Times New Roman" w:cs="Times New Roman"/>
                <w:b/>
                <w:bCs/>
                <w:color w:val="000000"/>
                <w:sz w:val="14"/>
                <w:szCs w:val="14"/>
                <w:lang w:eastAsia="sk-SK"/>
              </w:rPr>
            </w:pPr>
            <w:r w:rsidRPr="00447079">
              <w:rPr>
                <w:rFonts w:ascii="Times New Roman" w:eastAsia="Times New Roman" w:hAnsi="Times New Roman" w:cs="Times New Roman"/>
                <w:b/>
                <w:bCs/>
                <w:color w:val="000000"/>
                <w:sz w:val="14"/>
                <w:szCs w:val="14"/>
                <w:lang w:eastAsia="sk-SK"/>
              </w:rPr>
              <w:t>0,0</w:t>
            </w:r>
          </w:p>
        </w:tc>
        <w:tc>
          <w:tcPr>
            <w:tcW w:w="424" w:type="pct"/>
            <w:tcBorders>
              <w:top w:val="nil"/>
              <w:left w:val="nil"/>
              <w:bottom w:val="single" w:sz="4" w:space="0" w:color="auto"/>
              <w:right w:val="nil"/>
            </w:tcBorders>
            <w:shd w:val="clear" w:color="auto" w:fill="auto"/>
            <w:noWrap/>
            <w:vAlign w:val="center"/>
            <w:hideMark/>
          </w:tcPr>
          <w:p w14:paraId="33E55003" w14:textId="77777777" w:rsidR="0032421D" w:rsidRPr="00447079" w:rsidRDefault="0032421D" w:rsidP="00AF2AF3">
            <w:pPr>
              <w:spacing w:after="0" w:line="240" w:lineRule="auto"/>
              <w:jc w:val="right"/>
              <w:rPr>
                <w:rFonts w:ascii="Times New Roman" w:eastAsia="Times New Roman" w:hAnsi="Times New Roman" w:cs="Times New Roman"/>
                <w:b/>
                <w:bCs/>
                <w:color w:val="000000"/>
                <w:sz w:val="14"/>
                <w:szCs w:val="14"/>
                <w:lang w:eastAsia="sk-SK"/>
              </w:rPr>
            </w:pPr>
            <w:r w:rsidRPr="00447079">
              <w:rPr>
                <w:rFonts w:ascii="Times New Roman" w:eastAsia="Times New Roman" w:hAnsi="Times New Roman" w:cs="Times New Roman"/>
                <w:b/>
                <w:bCs/>
                <w:color w:val="000000"/>
                <w:sz w:val="14"/>
                <w:szCs w:val="14"/>
                <w:lang w:eastAsia="sk-SK"/>
              </w:rPr>
              <w:t>0,0</w:t>
            </w:r>
          </w:p>
        </w:tc>
        <w:tc>
          <w:tcPr>
            <w:tcW w:w="426" w:type="pct"/>
            <w:tcBorders>
              <w:top w:val="nil"/>
              <w:left w:val="nil"/>
              <w:bottom w:val="single" w:sz="4" w:space="0" w:color="auto"/>
              <w:right w:val="nil"/>
            </w:tcBorders>
            <w:shd w:val="clear" w:color="auto" w:fill="auto"/>
            <w:noWrap/>
            <w:vAlign w:val="center"/>
            <w:hideMark/>
          </w:tcPr>
          <w:p w14:paraId="7F3B6505" w14:textId="77777777" w:rsidR="0032421D" w:rsidRPr="00447079" w:rsidRDefault="0032421D" w:rsidP="00AF2AF3">
            <w:pPr>
              <w:spacing w:after="0" w:line="240" w:lineRule="auto"/>
              <w:jc w:val="right"/>
              <w:rPr>
                <w:rFonts w:ascii="Times New Roman" w:eastAsia="Times New Roman" w:hAnsi="Times New Roman" w:cs="Times New Roman"/>
                <w:b/>
                <w:bCs/>
                <w:color w:val="000000"/>
                <w:sz w:val="14"/>
                <w:szCs w:val="14"/>
                <w:lang w:eastAsia="sk-SK"/>
              </w:rPr>
            </w:pPr>
            <w:r w:rsidRPr="00447079">
              <w:rPr>
                <w:rFonts w:ascii="Times New Roman" w:eastAsia="Times New Roman" w:hAnsi="Times New Roman" w:cs="Times New Roman"/>
                <w:b/>
                <w:bCs/>
                <w:color w:val="000000"/>
                <w:sz w:val="14"/>
                <w:szCs w:val="14"/>
                <w:lang w:eastAsia="sk-SK"/>
              </w:rPr>
              <w:t>0,0</w:t>
            </w:r>
          </w:p>
        </w:tc>
        <w:tc>
          <w:tcPr>
            <w:tcW w:w="424" w:type="pct"/>
            <w:tcBorders>
              <w:top w:val="nil"/>
              <w:left w:val="nil"/>
              <w:bottom w:val="single" w:sz="4" w:space="0" w:color="auto"/>
              <w:right w:val="nil"/>
            </w:tcBorders>
            <w:shd w:val="clear" w:color="auto" w:fill="auto"/>
            <w:noWrap/>
            <w:vAlign w:val="center"/>
            <w:hideMark/>
          </w:tcPr>
          <w:p w14:paraId="249F5A2B" w14:textId="77777777" w:rsidR="0032421D" w:rsidRPr="00447079" w:rsidRDefault="0032421D" w:rsidP="00AF2AF3">
            <w:pPr>
              <w:spacing w:after="0" w:line="240" w:lineRule="auto"/>
              <w:jc w:val="right"/>
              <w:rPr>
                <w:rFonts w:ascii="Times New Roman" w:eastAsia="Times New Roman" w:hAnsi="Times New Roman" w:cs="Times New Roman"/>
                <w:b/>
                <w:bCs/>
                <w:color w:val="000000"/>
                <w:sz w:val="14"/>
                <w:szCs w:val="14"/>
                <w:lang w:eastAsia="sk-SK"/>
              </w:rPr>
            </w:pPr>
            <w:r>
              <w:rPr>
                <w:rFonts w:ascii="Times New Roman" w:eastAsia="Times New Roman" w:hAnsi="Times New Roman" w:cs="Times New Roman"/>
                <w:b/>
                <w:bCs/>
                <w:color w:val="000000"/>
                <w:sz w:val="14"/>
                <w:szCs w:val="14"/>
                <w:lang w:eastAsia="sk-SK"/>
              </w:rPr>
              <w:t>41,0</w:t>
            </w:r>
          </w:p>
        </w:tc>
      </w:tr>
      <w:tr w:rsidR="0032421D" w:rsidRPr="00447079" w14:paraId="6A195CDA" w14:textId="77777777" w:rsidTr="00AF2AF3">
        <w:trPr>
          <w:trHeight w:val="255"/>
        </w:trPr>
        <w:tc>
          <w:tcPr>
            <w:tcW w:w="1835" w:type="pct"/>
            <w:tcBorders>
              <w:top w:val="nil"/>
              <w:left w:val="nil"/>
              <w:bottom w:val="nil"/>
              <w:right w:val="nil"/>
            </w:tcBorders>
            <w:shd w:val="clear" w:color="auto" w:fill="auto"/>
            <w:noWrap/>
            <w:vAlign w:val="center"/>
            <w:hideMark/>
          </w:tcPr>
          <w:p w14:paraId="575191E3" w14:textId="77777777" w:rsidR="0032421D" w:rsidRPr="003816F2" w:rsidRDefault="0032421D" w:rsidP="00AF2AF3">
            <w:pPr>
              <w:spacing w:after="0" w:line="240" w:lineRule="auto"/>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Príjmy</w:t>
            </w:r>
          </w:p>
        </w:tc>
        <w:tc>
          <w:tcPr>
            <w:tcW w:w="622" w:type="pct"/>
            <w:tcBorders>
              <w:top w:val="nil"/>
              <w:left w:val="nil"/>
              <w:bottom w:val="nil"/>
              <w:right w:val="nil"/>
            </w:tcBorders>
            <w:shd w:val="clear" w:color="auto" w:fill="auto"/>
            <w:noWrap/>
            <w:vAlign w:val="center"/>
            <w:hideMark/>
          </w:tcPr>
          <w:p w14:paraId="6F569EA2" w14:textId="77777777" w:rsidR="0032421D" w:rsidRPr="003816F2" w:rsidRDefault="0032421D" w:rsidP="00AF2AF3">
            <w:pPr>
              <w:spacing w:after="0" w:line="240" w:lineRule="auto"/>
              <w:jc w:val="center"/>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TR</w:t>
            </w:r>
          </w:p>
        </w:tc>
        <w:tc>
          <w:tcPr>
            <w:tcW w:w="423" w:type="pct"/>
            <w:tcBorders>
              <w:top w:val="nil"/>
              <w:left w:val="nil"/>
              <w:bottom w:val="nil"/>
              <w:right w:val="nil"/>
            </w:tcBorders>
            <w:shd w:val="clear" w:color="auto" w:fill="auto"/>
            <w:noWrap/>
            <w:vAlign w:val="center"/>
            <w:hideMark/>
          </w:tcPr>
          <w:p w14:paraId="69109FA4"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26</w:t>
            </w:r>
            <w:r>
              <w:rPr>
                <w:rFonts w:ascii="Times New Roman" w:eastAsia="Times New Roman" w:hAnsi="Times New Roman" w:cs="Times New Roman"/>
                <w:color w:val="000000"/>
                <w:sz w:val="14"/>
                <w:szCs w:val="14"/>
                <w:lang w:eastAsia="sk-SK"/>
              </w:rPr>
              <w:t>5,5</w:t>
            </w:r>
          </w:p>
        </w:tc>
        <w:tc>
          <w:tcPr>
            <w:tcW w:w="423" w:type="pct"/>
            <w:tcBorders>
              <w:top w:val="nil"/>
              <w:left w:val="nil"/>
              <w:bottom w:val="nil"/>
              <w:right w:val="nil"/>
            </w:tcBorders>
            <w:shd w:val="clear" w:color="auto" w:fill="auto"/>
            <w:noWrap/>
            <w:vAlign w:val="center"/>
            <w:hideMark/>
          </w:tcPr>
          <w:p w14:paraId="3DC93AE8"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r>
              <w:rPr>
                <w:rFonts w:ascii="Times New Roman" w:eastAsia="Times New Roman" w:hAnsi="Times New Roman" w:cs="Times New Roman"/>
                <w:color w:val="000000"/>
                <w:sz w:val="14"/>
                <w:szCs w:val="14"/>
                <w:lang w:eastAsia="sk-SK"/>
              </w:rPr>
              <w:t>30,2</w:t>
            </w:r>
          </w:p>
        </w:tc>
        <w:tc>
          <w:tcPr>
            <w:tcW w:w="424" w:type="pct"/>
            <w:tcBorders>
              <w:top w:val="nil"/>
              <w:left w:val="nil"/>
              <w:bottom w:val="nil"/>
              <w:right w:val="nil"/>
            </w:tcBorders>
            <w:shd w:val="clear" w:color="auto" w:fill="auto"/>
            <w:noWrap/>
            <w:vAlign w:val="center"/>
            <w:hideMark/>
          </w:tcPr>
          <w:p w14:paraId="6BE5B86F"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1D4E5B">
              <w:rPr>
                <w:rFonts w:ascii="Times New Roman" w:eastAsia="Times New Roman" w:hAnsi="Times New Roman" w:cs="Times New Roman"/>
                <w:color w:val="000000"/>
                <w:sz w:val="14"/>
                <w:szCs w:val="14"/>
                <w:lang w:eastAsia="sk-SK"/>
              </w:rPr>
              <w:t>137,4</w:t>
            </w:r>
          </w:p>
        </w:tc>
        <w:tc>
          <w:tcPr>
            <w:tcW w:w="424" w:type="pct"/>
            <w:tcBorders>
              <w:top w:val="nil"/>
              <w:left w:val="nil"/>
              <w:bottom w:val="nil"/>
              <w:right w:val="nil"/>
            </w:tcBorders>
            <w:shd w:val="clear" w:color="auto" w:fill="auto"/>
            <w:noWrap/>
            <w:vAlign w:val="center"/>
            <w:hideMark/>
          </w:tcPr>
          <w:p w14:paraId="66E17894"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1D4E5B">
              <w:rPr>
                <w:rFonts w:ascii="Times New Roman" w:eastAsia="Times New Roman" w:hAnsi="Times New Roman" w:cs="Times New Roman"/>
                <w:color w:val="000000"/>
                <w:sz w:val="14"/>
                <w:szCs w:val="14"/>
                <w:lang w:eastAsia="sk-SK"/>
              </w:rPr>
              <w:t>29,9</w:t>
            </w:r>
          </w:p>
        </w:tc>
        <w:tc>
          <w:tcPr>
            <w:tcW w:w="426" w:type="pct"/>
            <w:tcBorders>
              <w:top w:val="nil"/>
              <w:left w:val="nil"/>
              <w:bottom w:val="nil"/>
              <w:right w:val="nil"/>
            </w:tcBorders>
            <w:shd w:val="clear" w:color="auto" w:fill="auto"/>
            <w:noWrap/>
            <w:vAlign w:val="center"/>
            <w:hideMark/>
          </w:tcPr>
          <w:p w14:paraId="72DBA226"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1D4E5B">
              <w:rPr>
                <w:rFonts w:ascii="Times New Roman" w:eastAsia="Times New Roman" w:hAnsi="Times New Roman" w:cs="Times New Roman"/>
                <w:color w:val="000000"/>
                <w:sz w:val="14"/>
                <w:szCs w:val="14"/>
                <w:lang w:eastAsia="sk-SK"/>
              </w:rPr>
              <w:t>0,9</w:t>
            </w:r>
          </w:p>
        </w:tc>
        <w:tc>
          <w:tcPr>
            <w:tcW w:w="424" w:type="pct"/>
            <w:tcBorders>
              <w:top w:val="nil"/>
              <w:left w:val="nil"/>
              <w:bottom w:val="nil"/>
              <w:right w:val="nil"/>
            </w:tcBorders>
            <w:shd w:val="clear" w:color="auto" w:fill="auto"/>
            <w:noWrap/>
            <w:vAlign w:val="center"/>
            <w:hideMark/>
          </w:tcPr>
          <w:p w14:paraId="6EE88A95"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6</w:t>
            </w:r>
            <w:r>
              <w:rPr>
                <w:rFonts w:ascii="Times New Roman" w:eastAsia="Times New Roman" w:hAnsi="Times New Roman" w:cs="Times New Roman"/>
                <w:color w:val="000000"/>
                <w:sz w:val="14"/>
                <w:szCs w:val="14"/>
                <w:lang w:eastAsia="sk-SK"/>
              </w:rPr>
              <w:t>7,1</w:t>
            </w:r>
          </w:p>
        </w:tc>
      </w:tr>
      <w:tr w:rsidR="0032421D" w:rsidRPr="00447079" w14:paraId="1E0E2B52" w14:textId="77777777" w:rsidTr="00AF2AF3">
        <w:trPr>
          <w:trHeight w:val="255"/>
        </w:trPr>
        <w:tc>
          <w:tcPr>
            <w:tcW w:w="1835" w:type="pct"/>
            <w:tcBorders>
              <w:top w:val="nil"/>
              <w:left w:val="nil"/>
              <w:bottom w:val="nil"/>
              <w:right w:val="nil"/>
            </w:tcBorders>
            <w:shd w:val="clear" w:color="auto" w:fill="auto"/>
            <w:noWrap/>
            <w:vAlign w:val="center"/>
            <w:hideMark/>
          </w:tcPr>
          <w:p w14:paraId="6A0C1898" w14:textId="77777777" w:rsidR="0032421D" w:rsidRPr="003816F2" w:rsidRDefault="0032421D" w:rsidP="00AF2AF3">
            <w:pPr>
              <w:spacing w:after="0" w:line="240" w:lineRule="auto"/>
              <w:ind w:firstLineChars="100" w:firstLine="140"/>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Tržby</w:t>
            </w:r>
          </w:p>
        </w:tc>
        <w:tc>
          <w:tcPr>
            <w:tcW w:w="622" w:type="pct"/>
            <w:tcBorders>
              <w:top w:val="nil"/>
              <w:left w:val="nil"/>
              <w:bottom w:val="nil"/>
              <w:right w:val="nil"/>
            </w:tcBorders>
            <w:shd w:val="clear" w:color="auto" w:fill="auto"/>
            <w:noWrap/>
            <w:vAlign w:val="center"/>
            <w:hideMark/>
          </w:tcPr>
          <w:p w14:paraId="6D1873A8" w14:textId="77777777" w:rsidR="0032421D" w:rsidRPr="003816F2" w:rsidRDefault="0032421D" w:rsidP="00AF2AF3">
            <w:pPr>
              <w:spacing w:after="0" w:line="240" w:lineRule="auto"/>
              <w:jc w:val="center"/>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P.11+P.12+P.131</w:t>
            </w:r>
          </w:p>
        </w:tc>
        <w:tc>
          <w:tcPr>
            <w:tcW w:w="423" w:type="pct"/>
            <w:tcBorders>
              <w:top w:val="nil"/>
              <w:left w:val="nil"/>
              <w:bottom w:val="nil"/>
              <w:right w:val="nil"/>
            </w:tcBorders>
            <w:shd w:val="clear" w:color="auto" w:fill="auto"/>
            <w:noWrap/>
            <w:vAlign w:val="center"/>
            <w:hideMark/>
          </w:tcPr>
          <w:p w14:paraId="5E19D835"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178,4</w:t>
            </w:r>
          </w:p>
        </w:tc>
        <w:tc>
          <w:tcPr>
            <w:tcW w:w="423" w:type="pct"/>
            <w:tcBorders>
              <w:top w:val="nil"/>
              <w:left w:val="nil"/>
              <w:bottom w:val="nil"/>
              <w:right w:val="nil"/>
            </w:tcBorders>
            <w:shd w:val="clear" w:color="auto" w:fill="auto"/>
            <w:noWrap/>
            <w:vAlign w:val="center"/>
            <w:hideMark/>
          </w:tcPr>
          <w:p w14:paraId="208863EA"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p>
        </w:tc>
        <w:tc>
          <w:tcPr>
            <w:tcW w:w="424" w:type="pct"/>
            <w:tcBorders>
              <w:top w:val="nil"/>
              <w:left w:val="nil"/>
              <w:bottom w:val="nil"/>
              <w:right w:val="nil"/>
            </w:tcBorders>
            <w:shd w:val="clear" w:color="auto" w:fill="auto"/>
            <w:noWrap/>
            <w:vAlign w:val="center"/>
            <w:hideMark/>
          </w:tcPr>
          <w:p w14:paraId="2B6DC8BF"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1D4E5B">
              <w:rPr>
                <w:rFonts w:ascii="Times New Roman" w:eastAsia="Times New Roman" w:hAnsi="Times New Roman" w:cs="Times New Roman"/>
                <w:color w:val="000000"/>
                <w:sz w:val="14"/>
                <w:szCs w:val="14"/>
                <w:lang w:eastAsia="sk-SK"/>
              </w:rPr>
              <w:t>137,4</w:t>
            </w:r>
          </w:p>
        </w:tc>
        <w:tc>
          <w:tcPr>
            <w:tcW w:w="424" w:type="pct"/>
            <w:tcBorders>
              <w:top w:val="nil"/>
              <w:left w:val="nil"/>
              <w:bottom w:val="nil"/>
              <w:right w:val="nil"/>
            </w:tcBorders>
            <w:shd w:val="clear" w:color="auto" w:fill="auto"/>
            <w:noWrap/>
            <w:vAlign w:val="center"/>
            <w:hideMark/>
          </w:tcPr>
          <w:p w14:paraId="2DBB1ED4"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1D4E5B">
              <w:rPr>
                <w:rFonts w:ascii="Times New Roman" w:eastAsia="Times New Roman" w:hAnsi="Times New Roman" w:cs="Times New Roman"/>
                <w:color w:val="000000"/>
                <w:sz w:val="14"/>
                <w:szCs w:val="14"/>
                <w:lang w:eastAsia="sk-SK"/>
              </w:rPr>
              <w:t>29,9</w:t>
            </w:r>
          </w:p>
        </w:tc>
        <w:tc>
          <w:tcPr>
            <w:tcW w:w="426" w:type="pct"/>
            <w:tcBorders>
              <w:top w:val="nil"/>
              <w:left w:val="nil"/>
              <w:bottom w:val="nil"/>
              <w:right w:val="nil"/>
            </w:tcBorders>
            <w:shd w:val="clear" w:color="auto" w:fill="auto"/>
            <w:noWrap/>
            <w:vAlign w:val="center"/>
            <w:hideMark/>
          </w:tcPr>
          <w:p w14:paraId="7E9A83E1"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1D4E5B">
              <w:rPr>
                <w:rFonts w:ascii="Times New Roman" w:eastAsia="Times New Roman" w:hAnsi="Times New Roman" w:cs="Times New Roman"/>
                <w:color w:val="000000"/>
                <w:sz w:val="14"/>
                <w:szCs w:val="14"/>
                <w:lang w:eastAsia="sk-SK"/>
              </w:rPr>
              <w:t>0,9</w:t>
            </w:r>
          </w:p>
        </w:tc>
        <w:tc>
          <w:tcPr>
            <w:tcW w:w="424" w:type="pct"/>
            <w:tcBorders>
              <w:top w:val="nil"/>
              <w:left w:val="nil"/>
              <w:bottom w:val="nil"/>
              <w:right w:val="nil"/>
            </w:tcBorders>
            <w:shd w:val="clear" w:color="auto" w:fill="auto"/>
            <w:noWrap/>
            <w:vAlign w:val="center"/>
            <w:hideMark/>
          </w:tcPr>
          <w:p w14:paraId="08C238EA"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10,2</w:t>
            </w:r>
          </w:p>
        </w:tc>
      </w:tr>
      <w:tr w:rsidR="0032421D" w:rsidRPr="00447079" w14:paraId="2A40035B" w14:textId="77777777" w:rsidTr="00AF2AF3">
        <w:trPr>
          <w:trHeight w:val="255"/>
        </w:trPr>
        <w:tc>
          <w:tcPr>
            <w:tcW w:w="1835" w:type="pct"/>
            <w:tcBorders>
              <w:top w:val="nil"/>
              <w:left w:val="nil"/>
              <w:bottom w:val="nil"/>
              <w:right w:val="nil"/>
            </w:tcBorders>
            <w:shd w:val="clear" w:color="auto" w:fill="auto"/>
            <w:noWrap/>
            <w:vAlign w:val="center"/>
            <w:hideMark/>
          </w:tcPr>
          <w:p w14:paraId="20A0B91D" w14:textId="77777777" w:rsidR="0032421D" w:rsidRPr="003816F2" w:rsidRDefault="0032421D" w:rsidP="00AF2AF3">
            <w:pPr>
              <w:spacing w:after="0" w:line="240" w:lineRule="auto"/>
              <w:ind w:firstLineChars="100" w:firstLine="140"/>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Dôchodky z majetku, z toho</w:t>
            </w:r>
          </w:p>
        </w:tc>
        <w:tc>
          <w:tcPr>
            <w:tcW w:w="622" w:type="pct"/>
            <w:tcBorders>
              <w:top w:val="nil"/>
              <w:left w:val="nil"/>
              <w:bottom w:val="nil"/>
              <w:right w:val="nil"/>
            </w:tcBorders>
            <w:shd w:val="clear" w:color="auto" w:fill="auto"/>
            <w:noWrap/>
            <w:vAlign w:val="center"/>
            <w:hideMark/>
          </w:tcPr>
          <w:p w14:paraId="50EA5C95" w14:textId="77777777" w:rsidR="0032421D" w:rsidRPr="003816F2" w:rsidRDefault="0032421D" w:rsidP="00AF2AF3">
            <w:pPr>
              <w:spacing w:after="0" w:line="240" w:lineRule="auto"/>
              <w:jc w:val="center"/>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D.4r</w:t>
            </w:r>
          </w:p>
        </w:tc>
        <w:tc>
          <w:tcPr>
            <w:tcW w:w="423" w:type="pct"/>
            <w:tcBorders>
              <w:top w:val="nil"/>
              <w:left w:val="nil"/>
              <w:bottom w:val="nil"/>
              <w:right w:val="nil"/>
            </w:tcBorders>
            <w:shd w:val="clear" w:color="auto" w:fill="auto"/>
            <w:noWrap/>
            <w:vAlign w:val="center"/>
            <w:hideMark/>
          </w:tcPr>
          <w:p w14:paraId="49EEB22B"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30,7</w:t>
            </w:r>
          </w:p>
        </w:tc>
        <w:tc>
          <w:tcPr>
            <w:tcW w:w="423" w:type="pct"/>
            <w:tcBorders>
              <w:top w:val="nil"/>
              <w:left w:val="nil"/>
              <w:bottom w:val="nil"/>
              <w:right w:val="nil"/>
            </w:tcBorders>
            <w:shd w:val="clear" w:color="auto" w:fill="auto"/>
            <w:noWrap/>
            <w:vAlign w:val="center"/>
            <w:hideMark/>
          </w:tcPr>
          <w:p w14:paraId="653606FE"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r>
              <w:rPr>
                <w:rFonts w:ascii="Times New Roman" w:eastAsia="Times New Roman" w:hAnsi="Times New Roman" w:cs="Times New Roman"/>
                <w:color w:val="000000"/>
                <w:sz w:val="14"/>
                <w:szCs w:val="14"/>
                <w:lang w:eastAsia="sk-SK"/>
              </w:rPr>
              <w:t>30,2</w:t>
            </w:r>
          </w:p>
        </w:tc>
        <w:tc>
          <w:tcPr>
            <w:tcW w:w="424" w:type="pct"/>
            <w:tcBorders>
              <w:top w:val="nil"/>
              <w:left w:val="nil"/>
              <w:bottom w:val="nil"/>
              <w:right w:val="nil"/>
            </w:tcBorders>
            <w:shd w:val="clear" w:color="auto" w:fill="auto"/>
            <w:noWrap/>
            <w:vAlign w:val="center"/>
            <w:hideMark/>
          </w:tcPr>
          <w:p w14:paraId="64B72346"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p>
        </w:tc>
        <w:tc>
          <w:tcPr>
            <w:tcW w:w="424" w:type="pct"/>
            <w:tcBorders>
              <w:top w:val="nil"/>
              <w:left w:val="nil"/>
              <w:bottom w:val="nil"/>
              <w:right w:val="nil"/>
            </w:tcBorders>
            <w:shd w:val="clear" w:color="auto" w:fill="auto"/>
            <w:noWrap/>
            <w:vAlign w:val="center"/>
            <w:hideMark/>
          </w:tcPr>
          <w:p w14:paraId="60D12EF0" w14:textId="77777777" w:rsidR="0032421D" w:rsidRPr="001D4E5B" w:rsidRDefault="0032421D" w:rsidP="00AF2AF3">
            <w:pPr>
              <w:spacing w:after="0" w:line="240" w:lineRule="auto"/>
              <w:jc w:val="right"/>
              <w:rPr>
                <w:rFonts w:ascii="Times New Roman" w:eastAsia="Times New Roman" w:hAnsi="Times New Roman" w:cs="Times New Roman"/>
                <w:sz w:val="20"/>
                <w:szCs w:val="20"/>
                <w:lang w:eastAsia="sk-SK"/>
              </w:rPr>
            </w:pPr>
          </w:p>
        </w:tc>
        <w:tc>
          <w:tcPr>
            <w:tcW w:w="426" w:type="pct"/>
            <w:tcBorders>
              <w:top w:val="nil"/>
              <w:left w:val="nil"/>
              <w:bottom w:val="nil"/>
              <w:right w:val="nil"/>
            </w:tcBorders>
            <w:shd w:val="clear" w:color="auto" w:fill="auto"/>
            <w:noWrap/>
            <w:vAlign w:val="center"/>
            <w:hideMark/>
          </w:tcPr>
          <w:p w14:paraId="5402865A" w14:textId="77777777" w:rsidR="0032421D" w:rsidRPr="001D4E5B" w:rsidRDefault="0032421D" w:rsidP="00AF2AF3">
            <w:pPr>
              <w:spacing w:after="0" w:line="240" w:lineRule="auto"/>
              <w:jc w:val="right"/>
              <w:rPr>
                <w:rFonts w:ascii="Times New Roman" w:eastAsia="Times New Roman" w:hAnsi="Times New Roman" w:cs="Times New Roman"/>
                <w:sz w:val="20"/>
                <w:szCs w:val="20"/>
                <w:lang w:eastAsia="sk-SK"/>
              </w:rPr>
            </w:pPr>
          </w:p>
        </w:tc>
        <w:tc>
          <w:tcPr>
            <w:tcW w:w="424" w:type="pct"/>
            <w:tcBorders>
              <w:top w:val="nil"/>
              <w:left w:val="nil"/>
              <w:bottom w:val="nil"/>
              <w:right w:val="nil"/>
            </w:tcBorders>
            <w:shd w:val="clear" w:color="auto" w:fill="auto"/>
            <w:noWrap/>
            <w:vAlign w:val="center"/>
            <w:hideMark/>
          </w:tcPr>
          <w:p w14:paraId="7FE90A60"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0,5</w:t>
            </w:r>
          </w:p>
        </w:tc>
      </w:tr>
      <w:tr w:rsidR="0032421D" w:rsidRPr="00447079" w14:paraId="0346BFD8" w14:textId="77777777" w:rsidTr="00AF2AF3">
        <w:trPr>
          <w:trHeight w:val="255"/>
        </w:trPr>
        <w:tc>
          <w:tcPr>
            <w:tcW w:w="1835" w:type="pct"/>
            <w:tcBorders>
              <w:top w:val="nil"/>
              <w:left w:val="nil"/>
              <w:bottom w:val="nil"/>
              <w:right w:val="nil"/>
            </w:tcBorders>
            <w:shd w:val="clear" w:color="auto" w:fill="auto"/>
            <w:noWrap/>
            <w:vAlign w:val="center"/>
            <w:hideMark/>
          </w:tcPr>
          <w:p w14:paraId="74CD84E9" w14:textId="77777777" w:rsidR="0032421D" w:rsidRPr="003816F2" w:rsidRDefault="0032421D" w:rsidP="00AF2AF3">
            <w:pPr>
              <w:spacing w:after="0" w:line="240" w:lineRule="auto"/>
              <w:ind w:firstLineChars="200" w:firstLine="280"/>
              <w:rPr>
                <w:rFonts w:ascii="Times New Roman" w:eastAsia="Times New Roman" w:hAnsi="Times New Roman" w:cs="Times New Roman"/>
                <w:i/>
                <w:iCs/>
                <w:color w:val="000000"/>
                <w:sz w:val="14"/>
                <w:szCs w:val="14"/>
                <w:lang w:eastAsia="sk-SK"/>
              </w:rPr>
            </w:pPr>
            <w:r w:rsidRPr="003816F2">
              <w:rPr>
                <w:rFonts w:ascii="Times New Roman" w:eastAsia="Times New Roman" w:hAnsi="Times New Roman" w:cs="Times New Roman"/>
                <w:i/>
                <w:iCs/>
                <w:color w:val="000000"/>
                <w:sz w:val="14"/>
                <w:szCs w:val="14"/>
                <w:lang w:eastAsia="sk-SK"/>
              </w:rPr>
              <w:t>Úroky</w:t>
            </w:r>
          </w:p>
        </w:tc>
        <w:tc>
          <w:tcPr>
            <w:tcW w:w="622" w:type="pct"/>
            <w:tcBorders>
              <w:top w:val="nil"/>
              <w:left w:val="nil"/>
              <w:bottom w:val="nil"/>
              <w:right w:val="nil"/>
            </w:tcBorders>
            <w:shd w:val="clear" w:color="auto" w:fill="auto"/>
            <w:noWrap/>
            <w:vAlign w:val="center"/>
            <w:hideMark/>
          </w:tcPr>
          <w:p w14:paraId="0B70CA18" w14:textId="77777777" w:rsidR="0032421D" w:rsidRPr="007D5D36" w:rsidRDefault="0032421D" w:rsidP="00AF2AF3">
            <w:pPr>
              <w:spacing w:after="0" w:line="240" w:lineRule="auto"/>
              <w:jc w:val="center"/>
              <w:rPr>
                <w:rFonts w:ascii="Times New Roman" w:eastAsia="Times New Roman" w:hAnsi="Times New Roman" w:cs="Times New Roman"/>
                <w:i/>
                <w:color w:val="000000"/>
                <w:sz w:val="14"/>
                <w:szCs w:val="14"/>
                <w:lang w:eastAsia="sk-SK"/>
              </w:rPr>
            </w:pPr>
            <w:r w:rsidRPr="007D5D36">
              <w:rPr>
                <w:rFonts w:ascii="Times New Roman" w:eastAsia="Times New Roman" w:hAnsi="Times New Roman" w:cs="Times New Roman"/>
                <w:i/>
                <w:color w:val="000000"/>
                <w:sz w:val="14"/>
                <w:szCs w:val="14"/>
                <w:lang w:eastAsia="sk-SK"/>
              </w:rPr>
              <w:t>D.41r</w:t>
            </w:r>
          </w:p>
        </w:tc>
        <w:tc>
          <w:tcPr>
            <w:tcW w:w="423" w:type="pct"/>
            <w:tcBorders>
              <w:top w:val="nil"/>
              <w:left w:val="nil"/>
              <w:bottom w:val="nil"/>
              <w:right w:val="nil"/>
            </w:tcBorders>
            <w:shd w:val="clear" w:color="auto" w:fill="auto"/>
            <w:noWrap/>
            <w:vAlign w:val="center"/>
            <w:hideMark/>
          </w:tcPr>
          <w:p w14:paraId="0105C07B" w14:textId="77777777" w:rsidR="0032421D" w:rsidRPr="007D5D36" w:rsidRDefault="0032421D" w:rsidP="00AF2AF3">
            <w:pPr>
              <w:spacing w:after="0" w:line="240" w:lineRule="auto"/>
              <w:jc w:val="right"/>
              <w:rPr>
                <w:rFonts w:ascii="Times New Roman" w:eastAsia="Times New Roman" w:hAnsi="Times New Roman" w:cs="Times New Roman"/>
                <w:i/>
                <w:color w:val="000000"/>
                <w:sz w:val="14"/>
                <w:szCs w:val="14"/>
                <w:lang w:eastAsia="sk-SK"/>
              </w:rPr>
            </w:pPr>
            <w:r w:rsidRPr="007D5D36">
              <w:rPr>
                <w:rFonts w:ascii="Times New Roman" w:eastAsia="Times New Roman" w:hAnsi="Times New Roman" w:cs="Times New Roman"/>
                <w:i/>
                <w:color w:val="000000"/>
                <w:sz w:val="14"/>
                <w:szCs w:val="14"/>
                <w:lang w:eastAsia="sk-SK"/>
              </w:rPr>
              <w:t>30,7</w:t>
            </w:r>
          </w:p>
        </w:tc>
        <w:tc>
          <w:tcPr>
            <w:tcW w:w="423" w:type="pct"/>
            <w:tcBorders>
              <w:top w:val="nil"/>
              <w:left w:val="nil"/>
              <w:bottom w:val="nil"/>
              <w:right w:val="nil"/>
            </w:tcBorders>
            <w:shd w:val="clear" w:color="auto" w:fill="auto"/>
            <w:noWrap/>
            <w:vAlign w:val="center"/>
            <w:hideMark/>
          </w:tcPr>
          <w:p w14:paraId="54B5E648" w14:textId="77777777" w:rsidR="0032421D" w:rsidRPr="007D5D36" w:rsidRDefault="0032421D" w:rsidP="00AF2AF3">
            <w:pPr>
              <w:spacing w:after="0" w:line="240" w:lineRule="auto"/>
              <w:jc w:val="right"/>
              <w:rPr>
                <w:rFonts w:ascii="Times New Roman" w:eastAsia="Times New Roman" w:hAnsi="Times New Roman" w:cs="Times New Roman"/>
                <w:i/>
                <w:color w:val="000000"/>
                <w:sz w:val="14"/>
                <w:szCs w:val="14"/>
                <w:lang w:eastAsia="sk-SK"/>
              </w:rPr>
            </w:pPr>
            <w:r w:rsidRPr="007D5D36">
              <w:rPr>
                <w:rFonts w:ascii="Times New Roman" w:eastAsia="Times New Roman" w:hAnsi="Times New Roman" w:cs="Times New Roman"/>
                <w:i/>
                <w:color w:val="000000"/>
                <w:sz w:val="14"/>
                <w:szCs w:val="14"/>
                <w:lang w:eastAsia="sk-SK"/>
              </w:rPr>
              <w:t>30,2</w:t>
            </w:r>
          </w:p>
        </w:tc>
        <w:tc>
          <w:tcPr>
            <w:tcW w:w="424" w:type="pct"/>
            <w:tcBorders>
              <w:top w:val="nil"/>
              <w:left w:val="nil"/>
              <w:bottom w:val="nil"/>
              <w:right w:val="nil"/>
            </w:tcBorders>
            <w:shd w:val="clear" w:color="auto" w:fill="auto"/>
            <w:noWrap/>
            <w:vAlign w:val="center"/>
            <w:hideMark/>
          </w:tcPr>
          <w:p w14:paraId="61502974" w14:textId="77777777" w:rsidR="0032421D" w:rsidRPr="007D5D36" w:rsidRDefault="0032421D" w:rsidP="00AF2AF3">
            <w:pPr>
              <w:spacing w:after="0" w:line="240" w:lineRule="auto"/>
              <w:jc w:val="right"/>
              <w:rPr>
                <w:rFonts w:ascii="Times New Roman" w:eastAsia="Times New Roman" w:hAnsi="Times New Roman" w:cs="Times New Roman"/>
                <w:i/>
                <w:color w:val="000000"/>
                <w:sz w:val="14"/>
                <w:szCs w:val="14"/>
                <w:lang w:eastAsia="sk-SK"/>
              </w:rPr>
            </w:pPr>
          </w:p>
        </w:tc>
        <w:tc>
          <w:tcPr>
            <w:tcW w:w="424" w:type="pct"/>
            <w:tcBorders>
              <w:top w:val="nil"/>
              <w:left w:val="nil"/>
              <w:bottom w:val="nil"/>
              <w:right w:val="nil"/>
            </w:tcBorders>
            <w:shd w:val="clear" w:color="auto" w:fill="auto"/>
            <w:noWrap/>
            <w:vAlign w:val="center"/>
            <w:hideMark/>
          </w:tcPr>
          <w:p w14:paraId="5B532F84" w14:textId="77777777" w:rsidR="0032421D" w:rsidRPr="007D5D36" w:rsidRDefault="0032421D" w:rsidP="00AF2AF3">
            <w:pPr>
              <w:spacing w:after="0" w:line="240" w:lineRule="auto"/>
              <w:jc w:val="right"/>
              <w:rPr>
                <w:rFonts w:ascii="Times New Roman" w:eastAsia="Times New Roman" w:hAnsi="Times New Roman" w:cs="Times New Roman"/>
                <w:i/>
                <w:sz w:val="20"/>
                <w:szCs w:val="20"/>
                <w:lang w:eastAsia="sk-SK"/>
              </w:rPr>
            </w:pPr>
          </w:p>
        </w:tc>
        <w:tc>
          <w:tcPr>
            <w:tcW w:w="426" w:type="pct"/>
            <w:tcBorders>
              <w:top w:val="nil"/>
              <w:left w:val="nil"/>
              <w:bottom w:val="nil"/>
              <w:right w:val="nil"/>
            </w:tcBorders>
            <w:shd w:val="clear" w:color="auto" w:fill="auto"/>
            <w:noWrap/>
            <w:vAlign w:val="center"/>
            <w:hideMark/>
          </w:tcPr>
          <w:p w14:paraId="2152B5C5" w14:textId="77777777" w:rsidR="0032421D" w:rsidRPr="007D5D36" w:rsidRDefault="0032421D" w:rsidP="00AF2AF3">
            <w:pPr>
              <w:spacing w:after="0" w:line="240" w:lineRule="auto"/>
              <w:jc w:val="right"/>
              <w:rPr>
                <w:rFonts w:ascii="Times New Roman" w:eastAsia="Times New Roman" w:hAnsi="Times New Roman" w:cs="Times New Roman"/>
                <w:i/>
                <w:sz w:val="20"/>
                <w:szCs w:val="20"/>
                <w:lang w:eastAsia="sk-SK"/>
              </w:rPr>
            </w:pPr>
          </w:p>
        </w:tc>
        <w:tc>
          <w:tcPr>
            <w:tcW w:w="424" w:type="pct"/>
            <w:tcBorders>
              <w:top w:val="nil"/>
              <w:left w:val="nil"/>
              <w:bottom w:val="nil"/>
              <w:right w:val="nil"/>
            </w:tcBorders>
            <w:shd w:val="clear" w:color="auto" w:fill="auto"/>
            <w:noWrap/>
            <w:vAlign w:val="center"/>
            <w:hideMark/>
          </w:tcPr>
          <w:p w14:paraId="7D13FFBC" w14:textId="77777777" w:rsidR="0032421D" w:rsidRPr="007D5D36" w:rsidRDefault="0032421D" w:rsidP="00AF2AF3">
            <w:pPr>
              <w:spacing w:after="0" w:line="240" w:lineRule="auto"/>
              <w:jc w:val="right"/>
              <w:rPr>
                <w:rFonts w:ascii="Times New Roman" w:eastAsia="Times New Roman" w:hAnsi="Times New Roman" w:cs="Times New Roman"/>
                <w:i/>
                <w:color w:val="000000"/>
                <w:sz w:val="14"/>
                <w:szCs w:val="14"/>
                <w:lang w:eastAsia="sk-SK"/>
              </w:rPr>
            </w:pPr>
            <w:r w:rsidRPr="007D5D36">
              <w:rPr>
                <w:rFonts w:ascii="Times New Roman" w:eastAsia="Times New Roman" w:hAnsi="Times New Roman" w:cs="Times New Roman"/>
                <w:i/>
                <w:color w:val="000000"/>
                <w:sz w:val="14"/>
                <w:szCs w:val="14"/>
                <w:lang w:eastAsia="sk-SK"/>
              </w:rPr>
              <w:t>0,5</w:t>
            </w:r>
          </w:p>
        </w:tc>
      </w:tr>
      <w:tr w:rsidR="0032421D" w:rsidRPr="00447079" w14:paraId="618FF1D4" w14:textId="77777777" w:rsidTr="00AF2AF3">
        <w:trPr>
          <w:trHeight w:val="255"/>
        </w:trPr>
        <w:tc>
          <w:tcPr>
            <w:tcW w:w="1835" w:type="pct"/>
            <w:tcBorders>
              <w:top w:val="nil"/>
              <w:left w:val="nil"/>
              <w:bottom w:val="nil"/>
              <w:right w:val="nil"/>
            </w:tcBorders>
            <w:shd w:val="clear" w:color="auto" w:fill="auto"/>
            <w:noWrap/>
            <w:vAlign w:val="center"/>
            <w:hideMark/>
          </w:tcPr>
          <w:p w14:paraId="4C3A6E5A" w14:textId="77777777" w:rsidR="0032421D" w:rsidRPr="003816F2" w:rsidRDefault="0032421D" w:rsidP="00AF2AF3">
            <w:pPr>
              <w:spacing w:after="0" w:line="240" w:lineRule="auto"/>
              <w:ind w:firstLineChars="100" w:firstLine="140"/>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Transfery</w:t>
            </w:r>
          </w:p>
        </w:tc>
        <w:tc>
          <w:tcPr>
            <w:tcW w:w="622" w:type="pct"/>
            <w:tcBorders>
              <w:top w:val="nil"/>
              <w:left w:val="nil"/>
              <w:bottom w:val="nil"/>
              <w:right w:val="nil"/>
            </w:tcBorders>
            <w:shd w:val="clear" w:color="auto" w:fill="auto"/>
            <w:noWrap/>
            <w:vAlign w:val="center"/>
            <w:hideMark/>
          </w:tcPr>
          <w:p w14:paraId="78A844F7" w14:textId="77777777" w:rsidR="0032421D" w:rsidRPr="003816F2" w:rsidRDefault="0032421D" w:rsidP="00AF2AF3">
            <w:pPr>
              <w:spacing w:after="0" w:line="240" w:lineRule="auto"/>
              <w:jc w:val="center"/>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D.7r</w:t>
            </w:r>
          </w:p>
        </w:tc>
        <w:tc>
          <w:tcPr>
            <w:tcW w:w="423" w:type="pct"/>
            <w:tcBorders>
              <w:top w:val="nil"/>
              <w:left w:val="nil"/>
              <w:bottom w:val="nil"/>
              <w:right w:val="nil"/>
            </w:tcBorders>
            <w:shd w:val="clear" w:color="auto" w:fill="auto"/>
            <w:noWrap/>
            <w:vAlign w:val="center"/>
            <w:hideMark/>
          </w:tcPr>
          <w:p w14:paraId="6A6AB981"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56</w:t>
            </w:r>
            <w:r>
              <w:rPr>
                <w:rFonts w:ascii="Times New Roman" w:eastAsia="Times New Roman" w:hAnsi="Times New Roman" w:cs="Times New Roman"/>
                <w:color w:val="000000"/>
                <w:sz w:val="14"/>
                <w:szCs w:val="14"/>
                <w:lang w:eastAsia="sk-SK"/>
              </w:rPr>
              <w:t>,4</w:t>
            </w:r>
          </w:p>
        </w:tc>
        <w:tc>
          <w:tcPr>
            <w:tcW w:w="423" w:type="pct"/>
            <w:tcBorders>
              <w:top w:val="nil"/>
              <w:left w:val="nil"/>
              <w:bottom w:val="nil"/>
              <w:right w:val="nil"/>
            </w:tcBorders>
            <w:shd w:val="clear" w:color="auto" w:fill="auto"/>
            <w:noWrap/>
            <w:vAlign w:val="center"/>
            <w:hideMark/>
          </w:tcPr>
          <w:p w14:paraId="1B5B7AC8"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p>
        </w:tc>
        <w:tc>
          <w:tcPr>
            <w:tcW w:w="424" w:type="pct"/>
            <w:tcBorders>
              <w:top w:val="nil"/>
              <w:left w:val="nil"/>
              <w:bottom w:val="nil"/>
              <w:right w:val="nil"/>
            </w:tcBorders>
            <w:shd w:val="clear" w:color="auto" w:fill="auto"/>
            <w:noWrap/>
            <w:vAlign w:val="center"/>
            <w:hideMark/>
          </w:tcPr>
          <w:p w14:paraId="1F821A3B" w14:textId="77777777" w:rsidR="0032421D" w:rsidRPr="001D4E5B" w:rsidRDefault="0032421D" w:rsidP="00AF2AF3">
            <w:pPr>
              <w:spacing w:after="0" w:line="240" w:lineRule="auto"/>
              <w:jc w:val="right"/>
              <w:rPr>
                <w:rFonts w:ascii="Times New Roman" w:eastAsia="Times New Roman" w:hAnsi="Times New Roman" w:cs="Times New Roman"/>
                <w:sz w:val="20"/>
                <w:szCs w:val="20"/>
                <w:lang w:eastAsia="sk-SK"/>
              </w:rPr>
            </w:pPr>
          </w:p>
        </w:tc>
        <w:tc>
          <w:tcPr>
            <w:tcW w:w="424" w:type="pct"/>
            <w:tcBorders>
              <w:top w:val="nil"/>
              <w:left w:val="nil"/>
              <w:bottom w:val="nil"/>
              <w:right w:val="nil"/>
            </w:tcBorders>
            <w:shd w:val="clear" w:color="auto" w:fill="auto"/>
            <w:noWrap/>
            <w:vAlign w:val="center"/>
            <w:hideMark/>
          </w:tcPr>
          <w:p w14:paraId="5D351F86" w14:textId="77777777" w:rsidR="0032421D" w:rsidRPr="001D4E5B" w:rsidRDefault="0032421D" w:rsidP="00AF2AF3">
            <w:pPr>
              <w:spacing w:after="0" w:line="240" w:lineRule="auto"/>
              <w:jc w:val="right"/>
              <w:rPr>
                <w:rFonts w:ascii="Times New Roman" w:eastAsia="Times New Roman" w:hAnsi="Times New Roman" w:cs="Times New Roman"/>
                <w:sz w:val="20"/>
                <w:szCs w:val="20"/>
                <w:lang w:eastAsia="sk-SK"/>
              </w:rPr>
            </w:pPr>
          </w:p>
        </w:tc>
        <w:tc>
          <w:tcPr>
            <w:tcW w:w="426" w:type="pct"/>
            <w:tcBorders>
              <w:top w:val="nil"/>
              <w:left w:val="nil"/>
              <w:bottom w:val="nil"/>
              <w:right w:val="nil"/>
            </w:tcBorders>
            <w:shd w:val="clear" w:color="auto" w:fill="auto"/>
            <w:noWrap/>
            <w:vAlign w:val="center"/>
            <w:hideMark/>
          </w:tcPr>
          <w:p w14:paraId="5A074C91" w14:textId="77777777" w:rsidR="0032421D" w:rsidRPr="001D4E5B" w:rsidRDefault="0032421D" w:rsidP="00AF2AF3">
            <w:pPr>
              <w:spacing w:after="0" w:line="240" w:lineRule="auto"/>
              <w:jc w:val="right"/>
              <w:rPr>
                <w:rFonts w:ascii="Times New Roman" w:eastAsia="Times New Roman" w:hAnsi="Times New Roman" w:cs="Times New Roman"/>
                <w:sz w:val="20"/>
                <w:szCs w:val="20"/>
                <w:lang w:eastAsia="sk-SK"/>
              </w:rPr>
            </w:pPr>
          </w:p>
        </w:tc>
        <w:tc>
          <w:tcPr>
            <w:tcW w:w="424" w:type="pct"/>
            <w:tcBorders>
              <w:top w:val="nil"/>
              <w:left w:val="nil"/>
              <w:bottom w:val="nil"/>
              <w:right w:val="nil"/>
            </w:tcBorders>
            <w:shd w:val="clear" w:color="auto" w:fill="auto"/>
            <w:noWrap/>
            <w:vAlign w:val="center"/>
            <w:hideMark/>
          </w:tcPr>
          <w:p w14:paraId="65113E4D"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5</w:t>
            </w:r>
            <w:r>
              <w:rPr>
                <w:rFonts w:ascii="Times New Roman" w:eastAsia="Times New Roman" w:hAnsi="Times New Roman" w:cs="Times New Roman"/>
                <w:color w:val="000000"/>
                <w:sz w:val="14"/>
                <w:szCs w:val="14"/>
                <w:lang w:eastAsia="sk-SK"/>
              </w:rPr>
              <w:t>6,4</w:t>
            </w:r>
          </w:p>
        </w:tc>
      </w:tr>
      <w:tr w:rsidR="0032421D" w:rsidRPr="00447079" w14:paraId="7905761B" w14:textId="77777777" w:rsidTr="00AF2AF3">
        <w:trPr>
          <w:trHeight w:val="255"/>
        </w:trPr>
        <w:tc>
          <w:tcPr>
            <w:tcW w:w="1835" w:type="pct"/>
            <w:tcBorders>
              <w:top w:val="single" w:sz="4" w:space="0" w:color="auto"/>
              <w:left w:val="nil"/>
              <w:bottom w:val="nil"/>
              <w:right w:val="nil"/>
            </w:tcBorders>
            <w:shd w:val="clear" w:color="auto" w:fill="auto"/>
            <w:noWrap/>
            <w:vAlign w:val="center"/>
            <w:hideMark/>
          </w:tcPr>
          <w:p w14:paraId="6A3D3465" w14:textId="77777777" w:rsidR="0032421D" w:rsidRPr="003816F2" w:rsidRDefault="0032421D" w:rsidP="00AF2AF3">
            <w:pPr>
              <w:spacing w:after="0" w:line="240" w:lineRule="auto"/>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Výdavky</w:t>
            </w:r>
          </w:p>
        </w:tc>
        <w:tc>
          <w:tcPr>
            <w:tcW w:w="622" w:type="pct"/>
            <w:tcBorders>
              <w:top w:val="single" w:sz="4" w:space="0" w:color="auto"/>
              <w:left w:val="nil"/>
              <w:bottom w:val="nil"/>
              <w:right w:val="nil"/>
            </w:tcBorders>
            <w:shd w:val="clear" w:color="auto" w:fill="auto"/>
            <w:noWrap/>
            <w:vAlign w:val="center"/>
            <w:hideMark/>
          </w:tcPr>
          <w:p w14:paraId="490FF37D" w14:textId="77777777" w:rsidR="0032421D" w:rsidRPr="003816F2" w:rsidRDefault="0032421D" w:rsidP="00AF2AF3">
            <w:pPr>
              <w:spacing w:after="0" w:line="240" w:lineRule="auto"/>
              <w:jc w:val="center"/>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TE</w:t>
            </w:r>
          </w:p>
        </w:tc>
        <w:tc>
          <w:tcPr>
            <w:tcW w:w="423" w:type="pct"/>
            <w:tcBorders>
              <w:top w:val="single" w:sz="4" w:space="0" w:color="auto"/>
              <w:left w:val="nil"/>
              <w:bottom w:val="nil"/>
              <w:right w:val="nil"/>
            </w:tcBorders>
            <w:shd w:val="clear" w:color="auto" w:fill="auto"/>
            <w:noWrap/>
            <w:vAlign w:val="center"/>
            <w:hideMark/>
          </w:tcPr>
          <w:p w14:paraId="03FCD25D"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-224,5</w:t>
            </w:r>
          </w:p>
        </w:tc>
        <w:tc>
          <w:tcPr>
            <w:tcW w:w="423" w:type="pct"/>
            <w:tcBorders>
              <w:top w:val="single" w:sz="4" w:space="0" w:color="auto"/>
              <w:left w:val="nil"/>
              <w:bottom w:val="nil"/>
              <w:right w:val="nil"/>
            </w:tcBorders>
            <w:shd w:val="clear" w:color="auto" w:fill="auto"/>
            <w:noWrap/>
            <w:vAlign w:val="center"/>
            <w:hideMark/>
          </w:tcPr>
          <w:p w14:paraId="151EE5FF"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1D4E5B">
              <w:rPr>
                <w:rFonts w:ascii="Times New Roman" w:eastAsia="Times New Roman" w:hAnsi="Times New Roman" w:cs="Times New Roman"/>
                <w:color w:val="000000"/>
                <w:sz w:val="14"/>
                <w:szCs w:val="14"/>
                <w:lang w:eastAsia="sk-SK"/>
              </w:rPr>
              <w:t>-</w:t>
            </w:r>
            <w:r>
              <w:rPr>
                <w:rFonts w:ascii="Times New Roman" w:eastAsia="Times New Roman" w:hAnsi="Times New Roman" w:cs="Times New Roman"/>
                <w:color w:val="000000"/>
                <w:sz w:val="14"/>
                <w:szCs w:val="14"/>
                <w:lang w:eastAsia="sk-SK"/>
              </w:rPr>
              <w:t>30,2</w:t>
            </w:r>
          </w:p>
        </w:tc>
        <w:tc>
          <w:tcPr>
            <w:tcW w:w="424" w:type="pct"/>
            <w:tcBorders>
              <w:top w:val="single" w:sz="4" w:space="0" w:color="auto"/>
              <w:left w:val="nil"/>
              <w:bottom w:val="nil"/>
              <w:right w:val="nil"/>
            </w:tcBorders>
            <w:shd w:val="clear" w:color="auto" w:fill="auto"/>
            <w:noWrap/>
            <w:vAlign w:val="center"/>
            <w:hideMark/>
          </w:tcPr>
          <w:p w14:paraId="5D6A218E"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1D4E5B">
              <w:rPr>
                <w:rFonts w:ascii="Times New Roman" w:eastAsia="Times New Roman" w:hAnsi="Times New Roman" w:cs="Times New Roman"/>
                <w:color w:val="000000"/>
                <w:sz w:val="14"/>
                <w:szCs w:val="14"/>
                <w:lang w:eastAsia="sk-SK"/>
              </w:rPr>
              <w:t>-137,4</w:t>
            </w:r>
          </w:p>
        </w:tc>
        <w:tc>
          <w:tcPr>
            <w:tcW w:w="424" w:type="pct"/>
            <w:tcBorders>
              <w:top w:val="single" w:sz="4" w:space="0" w:color="auto"/>
              <w:left w:val="nil"/>
              <w:bottom w:val="nil"/>
              <w:right w:val="nil"/>
            </w:tcBorders>
            <w:shd w:val="clear" w:color="auto" w:fill="auto"/>
            <w:noWrap/>
            <w:vAlign w:val="center"/>
            <w:hideMark/>
          </w:tcPr>
          <w:p w14:paraId="4B962E16"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1D4E5B">
              <w:rPr>
                <w:rFonts w:ascii="Times New Roman" w:eastAsia="Times New Roman" w:hAnsi="Times New Roman" w:cs="Times New Roman"/>
                <w:color w:val="000000"/>
                <w:sz w:val="14"/>
                <w:szCs w:val="14"/>
                <w:lang w:eastAsia="sk-SK"/>
              </w:rPr>
              <w:t>-29,9</w:t>
            </w:r>
          </w:p>
        </w:tc>
        <w:tc>
          <w:tcPr>
            <w:tcW w:w="426" w:type="pct"/>
            <w:tcBorders>
              <w:top w:val="single" w:sz="4" w:space="0" w:color="auto"/>
              <w:left w:val="nil"/>
              <w:bottom w:val="nil"/>
              <w:right w:val="nil"/>
            </w:tcBorders>
            <w:shd w:val="clear" w:color="auto" w:fill="auto"/>
            <w:noWrap/>
            <w:vAlign w:val="center"/>
            <w:hideMark/>
          </w:tcPr>
          <w:p w14:paraId="5B72D23D"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1D4E5B">
              <w:rPr>
                <w:rFonts w:ascii="Times New Roman" w:eastAsia="Times New Roman" w:hAnsi="Times New Roman" w:cs="Times New Roman"/>
                <w:color w:val="000000"/>
                <w:sz w:val="14"/>
                <w:szCs w:val="14"/>
                <w:lang w:eastAsia="sk-SK"/>
              </w:rPr>
              <w:t>-0,9</w:t>
            </w:r>
          </w:p>
        </w:tc>
        <w:tc>
          <w:tcPr>
            <w:tcW w:w="424" w:type="pct"/>
            <w:tcBorders>
              <w:top w:val="single" w:sz="4" w:space="0" w:color="auto"/>
              <w:left w:val="nil"/>
              <w:bottom w:val="nil"/>
              <w:right w:val="nil"/>
            </w:tcBorders>
            <w:shd w:val="clear" w:color="auto" w:fill="auto"/>
            <w:noWrap/>
            <w:vAlign w:val="center"/>
            <w:hideMark/>
          </w:tcPr>
          <w:p w14:paraId="5EF85C9A"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-26,1</w:t>
            </w:r>
          </w:p>
        </w:tc>
      </w:tr>
      <w:tr w:rsidR="0032421D" w:rsidRPr="00447079" w14:paraId="58F96F86" w14:textId="77777777" w:rsidTr="00AF2AF3">
        <w:trPr>
          <w:trHeight w:val="255"/>
        </w:trPr>
        <w:tc>
          <w:tcPr>
            <w:tcW w:w="1835" w:type="pct"/>
            <w:tcBorders>
              <w:top w:val="nil"/>
              <w:left w:val="nil"/>
              <w:bottom w:val="nil"/>
              <w:right w:val="nil"/>
            </w:tcBorders>
            <w:shd w:val="clear" w:color="auto" w:fill="auto"/>
            <w:noWrap/>
            <w:vAlign w:val="center"/>
            <w:hideMark/>
          </w:tcPr>
          <w:p w14:paraId="6190D4CE" w14:textId="77777777" w:rsidR="0032421D" w:rsidRPr="003816F2" w:rsidRDefault="0032421D" w:rsidP="00AF2AF3">
            <w:pPr>
              <w:spacing w:after="0" w:line="240" w:lineRule="auto"/>
              <w:ind w:firstLineChars="100" w:firstLine="140"/>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Kompenzácie zamestnancov</w:t>
            </w:r>
          </w:p>
        </w:tc>
        <w:tc>
          <w:tcPr>
            <w:tcW w:w="622" w:type="pct"/>
            <w:tcBorders>
              <w:top w:val="nil"/>
              <w:left w:val="nil"/>
              <w:bottom w:val="nil"/>
              <w:right w:val="nil"/>
            </w:tcBorders>
            <w:shd w:val="clear" w:color="auto" w:fill="auto"/>
            <w:noWrap/>
            <w:vAlign w:val="center"/>
            <w:hideMark/>
          </w:tcPr>
          <w:p w14:paraId="0C40CB5D" w14:textId="77777777" w:rsidR="0032421D" w:rsidRPr="003816F2" w:rsidRDefault="0032421D" w:rsidP="00AF2AF3">
            <w:pPr>
              <w:spacing w:after="0" w:line="240" w:lineRule="auto"/>
              <w:jc w:val="center"/>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D.1p</w:t>
            </w:r>
          </w:p>
        </w:tc>
        <w:tc>
          <w:tcPr>
            <w:tcW w:w="423" w:type="pct"/>
            <w:tcBorders>
              <w:top w:val="nil"/>
              <w:left w:val="nil"/>
              <w:bottom w:val="nil"/>
              <w:right w:val="nil"/>
            </w:tcBorders>
            <w:shd w:val="clear" w:color="auto" w:fill="auto"/>
            <w:noWrap/>
            <w:vAlign w:val="center"/>
            <w:hideMark/>
          </w:tcPr>
          <w:p w14:paraId="2CC6712C"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-139,8</w:t>
            </w:r>
          </w:p>
        </w:tc>
        <w:tc>
          <w:tcPr>
            <w:tcW w:w="423" w:type="pct"/>
            <w:tcBorders>
              <w:top w:val="nil"/>
              <w:left w:val="nil"/>
              <w:bottom w:val="nil"/>
              <w:right w:val="nil"/>
            </w:tcBorders>
            <w:shd w:val="clear" w:color="auto" w:fill="auto"/>
            <w:noWrap/>
            <w:vAlign w:val="center"/>
            <w:hideMark/>
          </w:tcPr>
          <w:p w14:paraId="53F07C46"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p>
        </w:tc>
        <w:tc>
          <w:tcPr>
            <w:tcW w:w="424" w:type="pct"/>
            <w:tcBorders>
              <w:top w:val="nil"/>
              <w:left w:val="nil"/>
              <w:bottom w:val="nil"/>
              <w:right w:val="nil"/>
            </w:tcBorders>
            <w:shd w:val="clear" w:color="auto" w:fill="auto"/>
            <w:noWrap/>
            <w:vAlign w:val="center"/>
            <w:hideMark/>
          </w:tcPr>
          <w:p w14:paraId="4BDC7AB9"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1D4E5B">
              <w:rPr>
                <w:rFonts w:ascii="Times New Roman" w:eastAsia="Times New Roman" w:hAnsi="Times New Roman" w:cs="Times New Roman"/>
                <w:color w:val="000000"/>
                <w:sz w:val="14"/>
                <w:szCs w:val="14"/>
                <w:lang w:eastAsia="sk-SK"/>
              </w:rPr>
              <w:t>-137,4</w:t>
            </w:r>
          </w:p>
        </w:tc>
        <w:tc>
          <w:tcPr>
            <w:tcW w:w="424" w:type="pct"/>
            <w:tcBorders>
              <w:top w:val="nil"/>
              <w:left w:val="nil"/>
              <w:bottom w:val="nil"/>
              <w:right w:val="nil"/>
            </w:tcBorders>
            <w:shd w:val="clear" w:color="auto" w:fill="auto"/>
            <w:noWrap/>
            <w:vAlign w:val="center"/>
            <w:hideMark/>
          </w:tcPr>
          <w:p w14:paraId="645CD742"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p>
        </w:tc>
        <w:tc>
          <w:tcPr>
            <w:tcW w:w="426" w:type="pct"/>
            <w:tcBorders>
              <w:top w:val="nil"/>
              <w:left w:val="nil"/>
              <w:bottom w:val="nil"/>
              <w:right w:val="nil"/>
            </w:tcBorders>
            <w:shd w:val="clear" w:color="auto" w:fill="auto"/>
            <w:noWrap/>
            <w:vAlign w:val="center"/>
            <w:hideMark/>
          </w:tcPr>
          <w:p w14:paraId="58BAE6D3" w14:textId="77777777" w:rsidR="0032421D" w:rsidRPr="001D4E5B" w:rsidRDefault="0032421D" w:rsidP="00AF2AF3">
            <w:pPr>
              <w:spacing w:after="0" w:line="240" w:lineRule="auto"/>
              <w:jc w:val="right"/>
              <w:rPr>
                <w:rFonts w:ascii="Times New Roman" w:eastAsia="Times New Roman" w:hAnsi="Times New Roman" w:cs="Times New Roman"/>
                <w:sz w:val="20"/>
                <w:szCs w:val="20"/>
                <w:lang w:eastAsia="sk-SK"/>
              </w:rPr>
            </w:pPr>
          </w:p>
        </w:tc>
        <w:tc>
          <w:tcPr>
            <w:tcW w:w="424" w:type="pct"/>
            <w:tcBorders>
              <w:top w:val="nil"/>
              <w:left w:val="nil"/>
              <w:bottom w:val="nil"/>
              <w:right w:val="nil"/>
            </w:tcBorders>
            <w:shd w:val="clear" w:color="auto" w:fill="auto"/>
            <w:noWrap/>
            <w:vAlign w:val="center"/>
            <w:hideMark/>
          </w:tcPr>
          <w:p w14:paraId="1536236B"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-2,4</w:t>
            </w:r>
          </w:p>
        </w:tc>
      </w:tr>
      <w:tr w:rsidR="0032421D" w:rsidRPr="00447079" w14:paraId="565B4332" w14:textId="77777777" w:rsidTr="00AF2AF3">
        <w:trPr>
          <w:trHeight w:val="255"/>
        </w:trPr>
        <w:tc>
          <w:tcPr>
            <w:tcW w:w="1835" w:type="pct"/>
            <w:tcBorders>
              <w:top w:val="nil"/>
              <w:left w:val="nil"/>
              <w:bottom w:val="nil"/>
              <w:right w:val="nil"/>
            </w:tcBorders>
            <w:shd w:val="clear" w:color="auto" w:fill="auto"/>
            <w:noWrap/>
            <w:vAlign w:val="center"/>
            <w:hideMark/>
          </w:tcPr>
          <w:p w14:paraId="74385599" w14:textId="77777777" w:rsidR="0032421D" w:rsidRPr="003816F2" w:rsidRDefault="0032421D" w:rsidP="00AF2AF3">
            <w:pPr>
              <w:spacing w:after="0" w:line="240" w:lineRule="auto"/>
              <w:ind w:firstLineChars="100" w:firstLine="140"/>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Medzispotreba</w:t>
            </w:r>
          </w:p>
        </w:tc>
        <w:tc>
          <w:tcPr>
            <w:tcW w:w="622" w:type="pct"/>
            <w:tcBorders>
              <w:top w:val="nil"/>
              <w:left w:val="nil"/>
              <w:bottom w:val="nil"/>
              <w:right w:val="nil"/>
            </w:tcBorders>
            <w:shd w:val="clear" w:color="auto" w:fill="auto"/>
            <w:noWrap/>
            <w:vAlign w:val="center"/>
            <w:hideMark/>
          </w:tcPr>
          <w:p w14:paraId="3038BA55" w14:textId="77777777" w:rsidR="0032421D" w:rsidRPr="003816F2" w:rsidRDefault="0032421D" w:rsidP="00AF2AF3">
            <w:pPr>
              <w:spacing w:after="0" w:line="240" w:lineRule="auto"/>
              <w:jc w:val="center"/>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P.2</w:t>
            </w:r>
          </w:p>
        </w:tc>
        <w:tc>
          <w:tcPr>
            <w:tcW w:w="423" w:type="pct"/>
            <w:tcBorders>
              <w:top w:val="nil"/>
              <w:left w:val="nil"/>
              <w:bottom w:val="nil"/>
              <w:right w:val="nil"/>
            </w:tcBorders>
            <w:shd w:val="clear" w:color="auto" w:fill="auto"/>
            <w:noWrap/>
            <w:vAlign w:val="center"/>
            <w:hideMark/>
          </w:tcPr>
          <w:p w14:paraId="0B510A27"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-85,2</w:t>
            </w:r>
          </w:p>
        </w:tc>
        <w:tc>
          <w:tcPr>
            <w:tcW w:w="423" w:type="pct"/>
            <w:tcBorders>
              <w:top w:val="nil"/>
              <w:left w:val="nil"/>
              <w:bottom w:val="nil"/>
              <w:right w:val="nil"/>
            </w:tcBorders>
            <w:shd w:val="clear" w:color="auto" w:fill="auto"/>
            <w:noWrap/>
            <w:vAlign w:val="center"/>
            <w:hideMark/>
          </w:tcPr>
          <w:p w14:paraId="3EFF2148"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1D4E5B">
              <w:rPr>
                <w:rFonts w:ascii="Times New Roman" w:eastAsia="Times New Roman" w:hAnsi="Times New Roman" w:cs="Times New Roman"/>
                <w:color w:val="000000"/>
                <w:sz w:val="14"/>
                <w:szCs w:val="14"/>
                <w:lang w:eastAsia="sk-SK"/>
              </w:rPr>
              <w:t>-7</w:t>
            </w:r>
            <w:r>
              <w:rPr>
                <w:rFonts w:ascii="Times New Roman" w:eastAsia="Times New Roman" w:hAnsi="Times New Roman" w:cs="Times New Roman"/>
                <w:color w:val="000000"/>
                <w:sz w:val="14"/>
                <w:szCs w:val="14"/>
                <w:lang w:eastAsia="sk-SK"/>
              </w:rPr>
              <w:t>3,8</w:t>
            </w:r>
          </w:p>
        </w:tc>
        <w:tc>
          <w:tcPr>
            <w:tcW w:w="424" w:type="pct"/>
            <w:tcBorders>
              <w:top w:val="nil"/>
              <w:left w:val="nil"/>
              <w:bottom w:val="nil"/>
              <w:right w:val="nil"/>
            </w:tcBorders>
            <w:shd w:val="clear" w:color="auto" w:fill="auto"/>
            <w:noWrap/>
            <w:vAlign w:val="center"/>
            <w:hideMark/>
          </w:tcPr>
          <w:p w14:paraId="5CAC99F3" w14:textId="77777777" w:rsidR="0032421D" w:rsidRPr="00862F8B" w:rsidRDefault="0032421D" w:rsidP="00AF2AF3">
            <w:pPr>
              <w:spacing w:after="0" w:line="240" w:lineRule="auto"/>
              <w:jc w:val="right"/>
              <w:rPr>
                <w:rFonts w:ascii="Times New Roman" w:eastAsia="Times New Roman" w:hAnsi="Times New Roman" w:cs="Times New Roman"/>
                <w:color w:val="000000"/>
                <w:sz w:val="14"/>
                <w:szCs w:val="14"/>
                <w:highlight w:val="yellow"/>
                <w:lang w:eastAsia="sk-SK"/>
              </w:rPr>
            </w:pPr>
          </w:p>
        </w:tc>
        <w:tc>
          <w:tcPr>
            <w:tcW w:w="424" w:type="pct"/>
            <w:tcBorders>
              <w:top w:val="nil"/>
              <w:left w:val="nil"/>
              <w:bottom w:val="nil"/>
              <w:right w:val="nil"/>
            </w:tcBorders>
            <w:shd w:val="clear" w:color="auto" w:fill="auto"/>
            <w:noWrap/>
            <w:vAlign w:val="center"/>
            <w:hideMark/>
          </w:tcPr>
          <w:p w14:paraId="649AF477" w14:textId="77777777" w:rsidR="0032421D" w:rsidRPr="001D4E5B" w:rsidRDefault="0032421D" w:rsidP="00AF2AF3">
            <w:pPr>
              <w:spacing w:after="0" w:line="240" w:lineRule="auto"/>
              <w:jc w:val="right"/>
              <w:rPr>
                <w:rFonts w:ascii="Times New Roman" w:eastAsia="Times New Roman" w:hAnsi="Times New Roman" w:cs="Times New Roman"/>
                <w:sz w:val="20"/>
                <w:szCs w:val="20"/>
                <w:lang w:eastAsia="sk-SK"/>
              </w:rPr>
            </w:pPr>
          </w:p>
        </w:tc>
        <w:tc>
          <w:tcPr>
            <w:tcW w:w="426" w:type="pct"/>
            <w:tcBorders>
              <w:top w:val="nil"/>
              <w:left w:val="nil"/>
              <w:bottom w:val="nil"/>
              <w:right w:val="nil"/>
            </w:tcBorders>
            <w:shd w:val="clear" w:color="auto" w:fill="auto"/>
            <w:noWrap/>
            <w:vAlign w:val="center"/>
            <w:hideMark/>
          </w:tcPr>
          <w:p w14:paraId="27A1565E" w14:textId="77777777" w:rsidR="0032421D" w:rsidRPr="001D4E5B" w:rsidRDefault="0032421D" w:rsidP="00AF2AF3">
            <w:pPr>
              <w:spacing w:after="0" w:line="240" w:lineRule="auto"/>
              <w:jc w:val="right"/>
              <w:rPr>
                <w:rFonts w:ascii="Times New Roman" w:eastAsia="Times New Roman" w:hAnsi="Times New Roman" w:cs="Times New Roman"/>
                <w:sz w:val="20"/>
                <w:szCs w:val="20"/>
                <w:lang w:eastAsia="sk-SK"/>
              </w:rPr>
            </w:pPr>
          </w:p>
        </w:tc>
        <w:tc>
          <w:tcPr>
            <w:tcW w:w="424" w:type="pct"/>
            <w:tcBorders>
              <w:top w:val="nil"/>
              <w:left w:val="nil"/>
              <w:bottom w:val="nil"/>
              <w:right w:val="nil"/>
            </w:tcBorders>
            <w:shd w:val="clear" w:color="auto" w:fill="auto"/>
            <w:noWrap/>
            <w:vAlign w:val="center"/>
            <w:hideMark/>
          </w:tcPr>
          <w:p w14:paraId="737B2585"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-11,4</w:t>
            </w:r>
          </w:p>
        </w:tc>
      </w:tr>
      <w:tr w:rsidR="0032421D" w:rsidRPr="00447079" w14:paraId="27FCA7D6" w14:textId="77777777" w:rsidTr="00AF2AF3">
        <w:trPr>
          <w:trHeight w:val="255"/>
        </w:trPr>
        <w:tc>
          <w:tcPr>
            <w:tcW w:w="1835" w:type="pct"/>
            <w:tcBorders>
              <w:top w:val="nil"/>
              <w:left w:val="nil"/>
              <w:bottom w:val="nil"/>
              <w:right w:val="nil"/>
            </w:tcBorders>
            <w:shd w:val="clear" w:color="auto" w:fill="auto"/>
            <w:noWrap/>
            <w:vAlign w:val="center"/>
            <w:hideMark/>
          </w:tcPr>
          <w:p w14:paraId="062DB3F4" w14:textId="77777777" w:rsidR="0032421D" w:rsidRPr="003816F2" w:rsidRDefault="0032421D" w:rsidP="00AF2AF3">
            <w:pPr>
              <w:spacing w:after="0" w:line="240" w:lineRule="auto"/>
              <w:ind w:firstLineChars="100" w:firstLine="140"/>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Ostatné dane</w:t>
            </w:r>
          </w:p>
        </w:tc>
        <w:tc>
          <w:tcPr>
            <w:tcW w:w="622" w:type="pct"/>
            <w:tcBorders>
              <w:top w:val="nil"/>
              <w:left w:val="nil"/>
              <w:bottom w:val="nil"/>
              <w:right w:val="nil"/>
            </w:tcBorders>
            <w:shd w:val="clear" w:color="auto" w:fill="auto"/>
            <w:noWrap/>
            <w:vAlign w:val="center"/>
            <w:hideMark/>
          </w:tcPr>
          <w:p w14:paraId="225D4280" w14:textId="77777777" w:rsidR="0032421D" w:rsidRPr="003816F2" w:rsidRDefault="0032421D" w:rsidP="00AF2AF3">
            <w:pPr>
              <w:spacing w:after="0" w:line="240" w:lineRule="auto"/>
              <w:jc w:val="center"/>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D.29p</w:t>
            </w:r>
          </w:p>
        </w:tc>
        <w:tc>
          <w:tcPr>
            <w:tcW w:w="423" w:type="pct"/>
            <w:tcBorders>
              <w:top w:val="nil"/>
              <w:left w:val="nil"/>
              <w:bottom w:val="nil"/>
              <w:right w:val="nil"/>
            </w:tcBorders>
            <w:shd w:val="clear" w:color="auto" w:fill="auto"/>
            <w:noWrap/>
            <w:vAlign w:val="center"/>
            <w:hideMark/>
          </w:tcPr>
          <w:p w14:paraId="6ECCFE71"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-1,7</w:t>
            </w:r>
          </w:p>
        </w:tc>
        <w:tc>
          <w:tcPr>
            <w:tcW w:w="423" w:type="pct"/>
            <w:tcBorders>
              <w:top w:val="nil"/>
              <w:left w:val="nil"/>
              <w:bottom w:val="nil"/>
              <w:right w:val="nil"/>
            </w:tcBorders>
            <w:shd w:val="clear" w:color="auto" w:fill="auto"/>
            <w:noWrap/>
            <w:vAlign w:val="center"/>
            <w:hideMark/>
          </w:tcPr>
          <w:p w14:paraId="494A1C01"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p>
        </w:tc>
        <w:tc>
          <w:tcPr>
            <w:tcW w:w="424" w:type="pct"/>
            <w:tcBorders>
              <w:top w:val="nil"/>
              <w:left w:val="nil"/>
              <w:bottom w:val="nil"/>
              <w:right w:val="nil"/>
            </w:tcBorders>
            <w:shd w:val="clear" w:color="auto" w:fill="auto"/>
            <w:noWrap/>
            <w:vAlign w:val="center"/>
            <w:hideMark/>
          </w:tcPr>
          <w:p w14:paraId="3B211C05" w14:textId="77777777" w:rsidR="0032421D" w:rsidRPr="00862F8B" w:rsidRDefault="0032421D" w:rsidP="00AF2AF3">
            <w:pPr>
              <w:spacing w:after="0" w:line="240" w:lineRule="auto"/>
              <w:jc w:val="right"/>
              <w:rPr>
                <w:rFonts w:ascii="Times New Roman" w:eastAsia="Times New Roman" w:hAnsi="Times New Roman" w:cs="Times New Roman"/>
                <w:sz w:val="20"/>
                <w:szCs w:val="20"/>
                <w:highlight w:val="yellow"/>
                <w:lang w:eastAsia="sk-SK"/>
              </w:rPr>
            </w:pPr>
          </w:p>
        </w:tc>
        <w:tc>
          <w:tcPr>
            <w:tcW w:w="424" w:type="pct"/>
            <w:tcBorders>
              <w:top w:val="nil"/>
              <w:left w:val="nil"/>
              <w:bottom w:val="nil"/>
              <w:right w:val="nil"/>
            </w:tcBorders>
            <w:shd w:val="clear" w:color="auto" w:fill="auto"/>
            <w:noWrap/>
            <w:vAlign w:val="center"/>
            <w:hideMark/>
          </w:tcPr>
          <w:p w14:paraId="003CB480" w14:textId="77777777" w:rsidR="0032421D" w:rsidRPr="001D4E5B" w:rsidRDefault="0032421D" w:rsidP="00AF2AF3">
            <w:pPr>
              <w:spacing w:after="0" w:line="240" w:lineRule="auto"/>
              <w:jc w:val="right"/>
              <w:rPr>
                <w:rFonts w:ascii="Times New Roman" w:eastAsia="Times New Roman" w:hAnsi="Times New Roman" w:cs="Times New Roman"/>
                <w:sz w:val="20"/>
                <w:szCs w:val="20"/>
                <w:lang w:eastAsia="sk-SK"/>
              </w:rPr>
            </w:pPr>
          </w:p>
        </w:tc>
        <w:tc>
          <w:tcPr>
            <w:tcW w:w="426" w:type="pct"/>
            <w:tcBorders>
              <w:top w:val="nil"/>
              <w:left w:val="nil"/>
              <w:bottom w:val="nil"/>
              <w:right w:val="nil"/>
            </w:tcBorders>
            <w:shd w:val="clear" w:color="auto" w:fill="auto"/>
            <w:noWrap/>
            <w:vAlign w:val="center"/>
            <w:hideMark/>
          </w:tcPr>
          <w:p w14:paraId="33E54D52" w14:textId="77777777" w:rsidR="0032421D" w:rsidRPr="001D4E5B" w:rsidRDefault="0032421D" w:rsidP="00AF2AF3">
            <w:pPr>
              <w:spacing w:after="0" w:line="240" w:lineRule="auto"/>
              <w:jc w:val="right"/>
              <w:rPr>
                <w:rFonts w:ascii="Times New Roman" w:eastAsia="Times New Roman" w:hAnsi="Times New Roman" w:cs="Times New Roman"/>
                <w:sz w:val="20"/>
                <w:szCs w:val="20"/>
                <w:lang w:eastAsia="sk-SK"/>
              </w:rPr>
            </w:pPr>
          </w:p>
        </w:tc>
        <w:tc>
          <w:tcPr>
            <w:tcW w:w="424" w:type="pct"/>
            <w:tcBorders>
              <w:top w:val="nil"/>
              <w:left w:val="nil"/>
              <w:bottom w:val="nil"/>
              <w:right w:val="nil"/>
            </w:tcBorders>
            <w:shd w:val="clear" w:color="auto" w:fill="auto"/>
            <w:noWrap/>
            <w:vAlign w:val="center"/>
            <w:hideMark/>
          </w:tcPr>
          <w:p w14:paraId="7ED40CD1"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-1,7</w:t>
            </w:r>
          </w:p>
        </w:tc>
      </w:tr>
      <w:tr w:rsidR="0032421D" w:rsidRPr="00447079" w14:paraId="59D8946F" w14:textId="77777777" w:rsidTr="00AF2AF3">
        <w:trPr>
          <w:trHeight w:val="255"/>
        </w:trPr>
        <w:tc>
          <w:tcPr>
            <w:tcW w:w="1835" w:type="pct"/>
            <w:tcBorders>
              <w:top w:val="nil"/>
              <w:left w:val="nil"/>
              <w:bottom w:val="nil"/>
              <w:right w:val="nil"/>
            </w:tcBorders>
            <w:shd w:val="clear" w:color="auto" w:fill="auto"/>
            <w:noWrap/>
            <w:vAlign w:val="center"/>
            <w:hideMark/>
          </w:tcPr>
          <w:p w14:paraId="22BF849A" w14:textId="77777777" w:rsidR="0032421D" w:rsidRPr="003816F2" w:rsidRDefault="0032421D" w:rsidP="00AF2AF3">
            <w:pPr>
              <w:spacing w:after="0" w:line="240" w:lineRule="auto"/>
              <w:ind w:firstLineChars="100" w:firstLine="140"/>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Úrokové náklady</w:t>
            </w:r>
          </w:p>
        </w:tc>
        <w:tc>
          <w:tcPr>
            <w:tcW w:w="622" w:type="pct"/>
            <w:tcBorders>
              <w:top w:val="nil"/>
              <w:left w:val="nil"/>
              <w:bottom w:val="nil"/>
              <w:right w:val="nil"/>
            </w:tcBorders>
            <w:shd w:val="clear" w:color="auto" w:fill="auto"/>
            <w:noWrap/>
            <w:vAlign w:val="center"/>
            <w:hideMark/>
          </w:tcPr>
          <w:p w14:paraId="284EC2D7" w14:textId="77777777" w:rsidR="0032421D" w:rsidRPr="003816F2" w:rsidRDefault="0032421D" w:rsidP="00AF2AF3">
            <w:pPr>
              <w:spacing w:after="0" w:line="240" w:lineRule="auto"/>
              <w:jc w:val="center"/>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D.41p</w:t>
            </w:r>
          </w:p>
        </w:tc>
        <w:tc>
          <w:tcPr>
            <w:tcW w:w="423" w:type="pct"/>
            <w:tcBorders>
              <w:top w:val="nil"/>
              <w:left w:val="nil"/>
              <w:bottom w:val="nil"/>
              <w:right w:val="nil"/>
            </w:tcBorders>
            <w:shd w:val="clear" w:color="auto" w:fill="auto"/>
            <w:noWrap/>
            <w:vAlign w:val="center"/>
            <w:hideMark/>
          </w:tcPr>
          <w:p w14:paraId="7095831A"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43,6</w:t>
            </w:r>
          </w:p>
        </w:tc>
        <w:tc>
          <w:tcPr>
            <w:tcW w:w="423" w:type="pct"/>
            <w:tcBorders>
              <w:top w:val="nil"/>
              <w:left w:val="nil"/>
              <w:bottom w:val="nil"/>
              <w:right w:val="nil"/>
            </w:tcBorders>
            <w:shd w:val="clear" w:color="auto" w:fill="auto"/>
            <w:noWrap/>
            <w:vAlign w:val="center"/>
            <w:hideMark/>
          </w:tcPr>
          <w:p w14:paraId="32D363D9"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1D4E5B">
              <w:rPr>
                <w:rFonts w:ascii="Times New Roman" w:eastAsia="Times New Roman" w:hAnsi="Times New Roman" w:cs="Times New Roman"/>
                <w:color w:val="000000"/>
                <w:sz w:val="14"/>
                <w:szCs w:val="14"/>
                <w:lang w:eastAsia="sk-SK"/>
              </w:rPr>
              <w:t>43</w:t>
            </w:r>
            <w:r>
              <w:rPr>
                <w:rFonts w:ascii="Times New Roman" w:eastAsia="Times New Roman" w:hAnsi="Times New Roman" w:cs="Times New Roman"/>
                <w:color w:val="000000"/>
                <w:sz w:val="14"/>
                <w:szCs w:val="14"/>
                <w:lang w:eastAsia="sk-SK"/>
              </w:rPr>
              <w:t>,6</w:t>
            </w:r>
          </w:p>
        </w:tc>
        <w:tc>
          <w:tcPr>
            <w:tcW w:w="424" w:type="pct"/>
            <w:tcBorders>
              <w:top w:val="nil"/>
              <w:left w:val="nil"/>
              <w:bottom w:val="nil"/>
              <w:right w:val="nil"/>
            </w:tcBorders>
            <w:shd w:val="clear" w:color="auto" w:fill="auto"/>
            <w:noWrap/>
            <w:vAlign w:val="center"/>
            <w:hideMark/>
          </w:tcPr>
          <w:p w14:paraId="72AA48C8" w14:textId="77777777" w:rsidR="0032421D" w:rsidRPr="00862F8B" w:rsidRDefault="0032421D" w:rsidP="00AF2AF3">
            <w:pPr>
              <w:spacing w:after="0" w:line="240" w:lineRule="auto"/>
              <w:jc w:val="right"/>
              <w:rPr>
                <w:rFonts w:ascii="Times New Roman" w:eastAsia="Times New Roman" w:hAnsi="Times New Roman" w:cs="Times New Roman"/>
                <w:color w:val="000000"/>
                <w:sz w:val="14"/>
                <w:szCs w:val="14"/>
                <w:highlight w:val="yellow"/>
                <w:lang w:eastAsia="sk-SK"/>
              </w:rPr>
            </w:pPr>
          </w:p>
        </w:tc>
        <w:tc>
          <w:tcPr>
            <w:tcW w:w="424" w:type="pct"/>
            <w:tcBorders>
              <w:top w:val="nil"/>
              <w:left w:val="nil"/>
              <w:bottom w:val="nil"/>
              <w:right w:val="nil"/>
            </w:tcBorders>
            <w:shd w:val="clear" w:color="auto" w:fill="auto"/>
            <w:noWrap/>
            <w:vAlign w:val="center"/>
            <w:hideMark/>
          </w:tcPr>
          <w:p w14:paraId="09B70F67" w14:textId="77777777" w:rsidR="0032421D" w:rsidRPr="001D4E5B" w:rsidRDefault="0032421D" w:rsidP="00AF2AF3">
            <w:pPr>
              <w:spacing w:after="0" w:line="240" w:lineRule="auto"/>
              <w:jc w:val="right"/>
              <w:rPr>
                <w:rFonts w:ascii="Times New Roman" w:eastAsia="Times New Roman" w:hAnsi="Times New Roman" w:cs="Times New Roman"/>
                <w:sz w:val="20"/>
                <w:szCs w:val="20"/>
                <w:lang w:eastAsia="sk-SK"/>
              </w:rPr>
            </w:pPr>
          </w:p>
        </w:tc>
        <w:tc>
          <w:tcPr>
            <w:tcW w:w="426" w:type="pct"/>
            <w:tcBorders>
              <w:top w:val="nil"/>
              <w:left w:val="nil"/>
              <w:bottom w:val="nil"/>
              <w:right w:val="nil"/>
            </w:tcBorders>
            <w:shd w:val="clear" w:color="auto" w:fill="auto"/>
            <w:noWrap/>
            <w:vAlign w:val="center"/>
            <w:hideMark/>
          </w:tcPr>
          <w:p w14:paraId="4ED6A7E0" w14:textId="77777777" w:rsidR="0032421D" w:rsidRPr="001D4E5B" w:rsidRDefault="0032421D" w:rsidP="00AF2AF3">
            <w:pPr>
              <w:spacing w:after="0" w:line="240" w:lineRule="auto"/>
              <w:jc w:val="right"/>
              <w:rPr>
                <w:rFonts w:ascii="Times New Roman" w:eastAsia="Times New Roman" w:hAnsi="Times New Roman" w:cs="Times New Roman"/>
                <w:sz w:val="20"/>
                <w:szCs w:val="20"/>
                <w:lang w:eastAsia="sk-SK"/>
              </w:rPr>
            </w:pPr>
          </w:p>
        </w:tc>
        <w:tc>
          <w:tcPr>
            <w:tcW w:w="424" w:type="pct"/>
            <w:tcBorders>
              <w:top w:val="nil"/>
              <w:left w:val="nil"/>
              <w:bottom w:val="nil"/>
              <w:right w:val="nil"/>
            </w:tcBorders>
            <w:shd w:val="clear" w:color="auto" w:fill="auto"/>
            <w:noWrap/>
            <w:vAlign w:val="center"/>
            <w:hideMark/>
          </w:tcPr>
          <w:p w14:paraId="1BF324D4"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0,0</w:t>
            </w:r>
          </w:p>
        </w:tc>
      </w:tr>
      <w:tr w:rsidR="0032421D" w:rsidRPr="00447079" w14:paraId="6F326897" w14:textId="77777777" w:rsidTr="00AF2AF3">
        <w:trPr>
          <w:trHeight w:val="255"/>
        </w:trPr>
        <w:tc>
          <w:tcPr>
            <w:tcW w:w="1835" w:type="pct"/>
            <w:tcBorders>
              <w:top w:val="nil"/>
              <w:left w:val="nil"/>
              <w:bottom w:val="nil"/>
              <w:right w:val="nil"/>
            </w:tcBorders>
            <w:shd w:val="clear" w:color="auto" w:fill="auto"/>
            <w:noWrap/>
            <w:vAlign w:val="center"/>
            <w:hideMark/>
          </w:tcPr>
          <w:p w14:paraId="64C341BC" w14:textId="77777777" w:rsidR="0032421D" w:rsidRPr="003816F2" w:rsidRDefault="0032421D" w:rsidP="00AF2AF3">
            <w:pPr>
              <w:spacing w:after="0" w:line="240" w:lineRule="auto"/>
              <w:ind w:firstLineChars="100" w:firstLine="140"/>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Transfery</w:t>
            </w:r>
          </w:p>
        </w:tc>
        <w:tc>
          <w:tcPr>
            <w:tcW w:w="622" w:type="pct"/>
            <w:tcBorders>
              <w:top w:val="nil"/>
              <w:left w:val="nil"/>
              <w:bottom w:val="nil"/>
              <w:right w:val="nil"/>
            </w:tcBorders>
            <w:shd w:val="clear" w:color="auto" w:fill="auto"/>
            <w:noWrap/>
            <w:vAlign w:val="center"/>
            <w:hideMark/>
          </w:tcPr>
          <w:p w14:paraId="31BDBA37" w14:textId="77777777" w:rsidR="0032421D" w:rsidRPr="003816F2" w:rsidRDefault="0032421D" w:rsidP="00AF2AF3">
            <w:pPr>
              <w:spacing w:after="0" w:line="240" w:lineRule="auto"/>
              <w:jc w:val="center"/>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D.7p</w:t>
            </w:r>
          </w:p>
        </w:tc>
        <w:tc>
          <w:tcPr>
            <w:tcW w:w="423" w:type="pct"/>
            <w:tcBorders>
              <w:top w:val="nil"/>
              <w:left w:val="nil"/>
              <w:bottom w:val="nil"/>
              <w:right w:val="nil"/>
            </w:tcBorders>
            <w:shd w:val="clear" w:color="auto" w:fill="auto"/>
            <w:noWrap/>
            <w:vAlign w:val="center"/>
            <w:hideMark/>
          </w:tcPr>
          <w:p w14:paraId="569D9F8E"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-1,0</w:t>
            </w:r>
          </w:p>
        </w:tc>
        <w:tc>
          <w:tcPr>
            <w:tcW w:w="423" w:type="pct"/>
            <w:tcBorders>
              <w:top w:val="nil"/>
              <w:left w:val="nil"/>
              <w:bottom w:val="nil"/>
              <w:right w:val="nil"/>
            </w:tcBorders>
            <w:shd w:val="clear" w:color="auto" w:fill="auto"/>
            <w:noWrap/>
            <w:vAlign w:val="center"/>
            <w:hideMark/>
          </w:tcPr>
          <w:p w14:paraId="77FEE0AD"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p>
        </w:tc>
        <w:tc>
          <w:tcPr>
            <w:tcW w:w="424" w:type="pct"/>
            <w:tcBorders>
              <w:top w:val="nil"/>
              <w:left w:val="nil"/>
              <w:bottom w:val="nil"/>
              <w:right w:val="nil"/>
            </w:tcBorders>
            <w:shd w:val="clear" w:color="auto" w:fill="auto"/>
            <w:noWrap/>
            <w:vAlign w:val="center"/>
            <w:hideMark/>
          </w:tcPr>
          <w:p w14:paraId="07FE41BD" w14:textId="77777777" w:rsidR="0032421D" w:rsidRPr="00862F8B" w:rsidRDefault="0032421D" w:rsidP="00AF2AF3">
            <w:pPr>
              <w:spacing w:after="0" w:line="240" w:lineRule="auto"/>
              <w:jc w:val="right"/>
              <w:rPr>
                <w:rFonts w:ascii="Times New Roman" w:eastAsia="Times New Roman" w:hAnsi="Times New Roman" w:cs="Times New Roman"/>
                <w:sz w:val="20"/>
                <w:szCs w:val="20"/>
                <w:highlight w:val="yellow"/>
                <w:lang w:eastAsia="sk-SK"/>
              </w:rPr>
            </w:pPr>
          </w:p>
        </w:tc>
        <w:tc>
          <w:tcPr>
            <w:tcW w:w="424" w:type="pct"/>
            <w:tcBorders>
              <w:top w:val="nil"/>
              <w:left w:val="nil"/>
              <w:bottom w:val="nil"/>
              <w:right w:val="nil"/>
            </w:tcBorders>
            <w:shd w:val="clear" w:color="auto" w:fill="auto"/>
            <w:noWrap/>
            <w:vAlign w:val="center"/>
            <w:hideMark/>
          </w:tcPr>
          <w:p w14:paraId="402CB0EC" w14:textId="77777777" w:rsidR="0032421D" w:rsidRPr="001D4E5B" w:rsidRDefault="0032421D" w:rsidP="00AF2AF3">
            <w:pPr>
              <w:spacing w:after="0" w:line="240" w:lineRule="auto"/>
              <w:jc w:val="right"/>
              <w:rPr>
                <w:rFonts w:ascii="Times New Roman" w:eastAsia="Times New Roman" w:hAnsi="Times New Roman" w:cs="Times New Roman"/>
                <w:sz w:val="20"/>
                <w:szCs w:val="20"/>
                <w:lang w:eastAsia="sk-SK"/>
              </w:rPr>
            </w:pPr>
          </w:p>
        </w:tc>
        <w:tc>
          <w:tcPr>
            <w:tcW w:w="426" w:type="pct"/>
            <w:tcBorders>
              <w:top w:val="nil"/>
              <w:left w:val="nil"/>
              <w:bottom w:val="nil"/>
              <w:right w:val="nil"/>
            </w:tcBorders>
            <w:shd w:val="clear" w:color="auto" w:fill="auto"/>
            <w:noWrap/>
            <w:vAlign w:val="center"/>
            <w:hideMark/>
          </w:tcPr>
          <w:p w14:paraId="0D8C2F98" w14:textId="77777777" w:rsidR="0032421D" w:rsidRPr="001D4E5B" w:rsidRDefault="0032421D" w:rsidP="00AF2AF3">
            <w:pPr>
              <w:spacing w:after="0" w:line="240" w:lineRule="auto"/>
              <w:jc w:val="right"/>
              <w:rPr>
                <w:rFonts w:ascii="Times New Roman" w:eastAsia="Times New Roman" w:hAnsi="Times New Roman" w:cs="Times New Roman"/>
                <w:sz w:val="20"/>
                <w:szCs w:val="20"/>
                <w:lang w:eastAsia="sk-SK"/>
              </w:rPr>
            </w:pPr>
          </w:p>
        </w:tc>
        <w:tc>
          <w:tcPr>
            <w:tcW w:w="424" w:type="pct"/>
            <w:tcBorders>
              <w:top w:val="nil"/>
              <w:left w:val="nil"/>
              <w:bottom w:val="nil"/>
              <w:right w:val="nil"/>
            </w:tcBorders>
            <w:shd w:val="clear" w:color="auto" w:fill="auto"/>
            <w:noWrap/>
            <w:vAlign w:val="center"/>
            <w:hideMark/>
          </w:tcPr>
          <w:p w14:paraId="560A963C"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-1,0</w:t>
            </w:r>
          </w:p>
        </w:tc>
      </w:tr>
      <w:tr w:rsidR="0032421D" w:rsidRPr="00447079" w14:paraId="4975BEE6" w14:textId="77777777" w:rsidTr="00AF2AF3">
        <w:trPr>
          <w:trHeight w:val="255"/>
        </w:trPr>
        <w:tc>
          <w:tcPr>
            <w:tcW w:w="1835" w:type="pct"/>
            <w:tcBorders>
              <w:top w:val="nil"/>
              <w:left w:val="nil"/>
              <w:bottom w:val="nil"/>
              <w:right w:val="nil"/>
            </w:tcBorders>
            <w:shd w:val="clear" w:color="auto" w:fill="auto"/>
            <w:noWrap/>
            <w:vAlign w:val="center"/>
          </w:tcPr>
          <w:p w14:paraId="7BE35F2A" w14:textId="77777777" w:rsidR="0032421D" w:rsidRPr="003816F2" w:rsidRDefault="0032421D" w:rsidP="00AF2AF3">
            <w:pPr>
              <w:spacing w:after="0" w:line="240" w:lineRule="auto"/>
              <w:ind w:firstLineChars="100" w:firstLine="140"/>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Kapitálové investície</w:t>
            </w:r>
          </w:p>
        </w:tc>
        <w:tc>
          <w:tcPr>
            <w:tcW w:w="622" w:type="pct"/>
            <w:tcBorders>
              <w:top w:val="nil"/>
              <w:left w:val="nil"/>
              <w:bottom w:val="nil"/>
              <w:right w:val="nil"/>
            </w:tcBorders>
            <w:shd w:val="clear" w:color="auto" w:fill="auto"/>
            <w:noWrap/>
            <w:vAlign w:val="center"/>
          </w:tcPr>
          <w:p w14:paraId="5CC6C744" w14:textId="77777777" w:rsidR="0032421D" w:rsidRPr="003816F2" w:rsidRDefault="0032421D" w:rsidP="00AF2AF3">
            <w:pPr>
              <w:spacing w:after="0" w:line="240" w:lineRule="auto"/>
              <w:jc w:val="center"/>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P.5L</w:t>
            </w:r>
          </w:p>
        </w:tc>
        <w:tc>
          <w:tcPr>
            <w:tcW w:w="423" w:type="pct"/>
            <w:tcBorders>
              <w:top w:val="nil"/>
              <w:left w:val="nil"/>
              <w:bottom w:val="nil"/>
              <w:right w:val="nil"/>
            </w:tcBorders>
            <w:shd w:val="clear" w:color="auto" w:fill="auto"/>
            <w:noWrap/>
            <w:vAlign w:val="center"/>
          </w:tcPr>
          <w:p w14:paraId="50D76307"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-30,9</w:t>
            </w:r>
          </w:p>
        </w:tc>
        <w:tc>
          <w:tcPr>
            <w:tcW w:w="423" w:type="pct"/>
            <w:tcBorders>
              <w:top w:val="nil"/>
              <w:left w:val="nil"/>
              <w:bottom w:val="nil"/>
              <w:right w:val="nil"/>
            </w:tcBorders>
            <w:shd w:val="clear" w:color="auto" w:fill="auto"/>
            <w:noWrap/>
            <w:vAlign w:val="center"/>
          </w:tcPr>
          <w:p w14:paraId="71FEEFE3" w14:textId="77777777" w:rsidR="0032421D" w:rsidRPr="00862F8B" w:rsidRDefault="0032421D" w:rsidP="00AF2AF3">
            <w:pPr>
              <w:spacing w:after="0" w:line="240" w:lineRule="auto"/>
              <w:jc w:val="right"/>
              <w:rPr>
                <w:rFonts w:ascii="Times New Roman" w:eastAsia="Times New Roman" w:hAnsi="Times New Roman" w:cs="Times New Roman"/>
                <w:color w:val="000000"/>
                <w:sz w:val="14"/>
                <w:szCs w:val="14"/>
                <w:highlight w:val="yellow"/>
                <w:lang w:eastAsia="sk-SK"/>
              </w:rPr>
            </w:pPr>
          </w:p>
        </w:tc>
        <w:tc>
          <w:tcPr>
            <w:tcW w:w="424" w:type="pct"/>
            <w:tcBorders>
              <w:top w:val="nil"/>
              <w:left w:val="nil"/>
              <w:bottom w:val="nil"/>
              <w:right w:val="nil"/>
            </w:tcBorders>
            <w:shd w:val="clear" w:color="auto" w:fill="auto"/>
            <w:noWrap/>
            <w:vAlign w:val="center"/>
          </w:tcPr>
          <w:p w14:paraId="5C45CA54" w14:textId="77777777" w:rsidR="0032421D" w:rsidRPr="00862F8B" w:rsidRDefault="0032421D" w:rsidP="00AF2AF3">
            <w:pPr>
              <w:spacing w:after="0" w:line="240" w:lineRule="auto"/>
              <w:jc w:val="right"/>
              <w:rPr>
                <w:rFonts w:ascii="Times New Roman" w:eastAsia="Times New Roman" w:hAnsi="Times New Roman" w:cs="Times New Roman"/>
                <w:sz w:val="20"/>
                <w:szCs w:val="20"/>
                <w:highlight w:val="yellow"/>
                <w:lang w:eastAsia="sk-SK"/>
              </w:rPr>
            </w:pPr>
          </w:p>
        </w:tc>
        <w:tc>
          <w:tcPr>
            <w:tcW w:w="424" w:type="pct"/>
            <w:tcBorders>
              <w:top w:val="nil"/>
              <w:left w:val="nil"/>
              <w:bottom w:val="nil"/>
              <w:right w:val="nil"/>
            </w:tcBorders>
            <w:shd w:val="clear" w:color="auto" w:fill="auto"/>
            <w:noWrap/>
            <w:vAlign w:val="center"/>
          </w:tcPr>
          <w:p w14:paraId="7C6FE3E2"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1D4E5B">
              <w:rPr>
                <w:rFonts w:ascii="Times New Roman" w:eastAsia="Times New Roman" w:hAnsi="Times New Roman" w:cs="Times New Roman"/>
                <w:color w:val="000000"/>
                <w:sz w:val="14"/>
                <w:szCs w:val="14"/>
                <w:lang w:eastAsia="sk-SK"/>
              </w:rPr>
              <w:t>-29,9</w:t>
            </w:r>
          </w:p>
        </w:tc>
        <w:tc>
          <w:tcPr>
            <w:tcW w:w="426" w:type="pct"/>
            <w:tcBorders>
              <w:top w:val="nil"/>
              <w:left w:val="nil"/>
              <w:bottom w:val="nil"/>
              <w:right w:val="nil"/>
            </w:tcBorders>
            <w:shd w:val="clear" w:color="auto" w:fill="auto"/>
            <w:noWrap/>
            <w:vAlign w:val="center"/>
          </w:tcPr>
          <w:p w14:paraId="6B866077"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1D4E5B">
              <w:rPr>
                <w:rFonts w:ascii="Times New Roman" w:eastAsia="Times New Roman" w:hAnsi="Times New Roman" w:cs="Times New Roman"/>
                <w:color w:val="000000"/>
                <w:sz w:val="14"/>
                <w:szCs w:val="14"/>
                <w:lang w:eastAsia="sk-SK"/>
              </w:rPr>
              <w:t>-0,9</w:t>
            </w:r>
          </w:p>
        </w:tc>
        <w:tc>
          <w:tcPr>
            <w:tcW w:w="424" w:type="pct"/>
            <w:tcBorders>
              <w:top w:val="nil"/>
              <w:left w:val="nil"/>
              <w:bottom w:val="nil"/>
              <w:right w:val="nil"/>
            </w:tcBorders>
            <w:shd w:val="clear" w:color="auto" w:fill="auto"/>
            <w:noWrap/>
            <w:vAlign w:val="center"/>
          </w:tcPr>
          <w:p w14:paraId="1D2FAFBE"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-0,1</w:t>
            </w:r>
          </w:p>
        </w:tc>
      </w:tr>
      <w:tr w:rsidR="0032421D" w:rsidRPr="00447079" w14:paraId="3BDF99F2" w14:textId="77777777" w:rsidTr="00AF2AF3">
        <w:trPr>
          <w:trHeight w:val="255"/>
        </w:trPr>
        <w:tc>
          <w:tcPr>
            <w:tcW w:w="1835" w:type="pct"/>
            <w:tcBorders>
              <w:top w:val="nil"/>
              <w:left w:val="nil"/>
              <w:bottom w:val="nil"/>
              <w:right w:val="nil"/>
            </w:tcBorders>
            <w:shd w:val="clear" w:color="auto" w:fill="auto"/>
            <w:noWrap/>
            <w:vAlign w:val="center"/>
            <w:hideMark/>
          </w:tcPr>
          <w:p w14:paraId="45296435" w14:textId="77777777" w:rsidR="0032421D" w:rsidRPr="003816F2" w:rsidRDefault="0032421D" w:rsidP="00AF2AF3">
            <w:pPr>
              <w:spacing w:after="0" w:line="240" w:lineRule="auto"/>
              <w:ind w:firstLineChars="100" w:firstLine="140"/>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Kapitálové transfery</w:t>
            </w:r>
          </w:p>
        </w:tc>
        <w:tc>
          <w:tcPr>
            <w:tcW w:w="622" w:type="pct"/>
            <w:tcBorders>
              <w:top w:val="nil"/>
              <w:left w:val="nil"/>
              <w:bottom w:val="nil"/>
              <w:right w:val="nil"/>
            </w:tcBorders>
            <w:shd w:val="clear" w:color="auto" w:fill="auto"/>
            <w:noWrap/>
            <w:vAlign w:val="center"/>
            <w:hideMark/>
          </w:tcPr>
          <w:p w14:paraId="5FF6193F" w14:textId="77777777" w:rsidR="0032421D" w:rsidRPr="003816F2" w:rsidRDefault="0032421D" w:rsidP="00AF2AF3">
            <w:pPr>
              <w:spacing w:after="0" w:line="240" w:lineRule="auto"/>
              <w:jc w:val="center"/>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D.9p</w:t>
            </w:r>
          </w:p>
        </w:tc>
        <w:tc>
          <w:tcPr>
            <w:tcW w:w="423" w:type="pct"/>
            <w:tcBorders>
              <w:top w:val="nil"/>
              <w:left w:val="nil"/>
              <w:bottom w:val="nil"/>
              <w:right w:val="nil"/>
            </w:tcBorders>
            <w:shd w:val="clear" w:color="auto" w:fill="auto"/>
            <w:noWrap/>
            <w:vAlign w:val="center"/>
            <w:hideMark/>
          </w:tcPr>
          <w:p w14:paraId="7F337779"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-9,5</w:t>
            </w:r>
          </w:p>
        </w:tc>
        <w:tc>
          <w:tcPr>
            <w:tcW w:w="423" w:type="pct"/>
            <w:tcBorders>
              <w:top w:val="nil"/>
              <w:left w:val="nil"/>
              <w:bottom w:val="nil"/>
              <w:right w:val="nil"/>
            </w:tcBorders>
            <w:shd w:val="clear" w:color="auto" w:fill="auto"/>
            <w:noWrap/>
            <w:vAlign w:val="center"/>
            <w:hideMark/>
          </w:tcPr>
          <w:p w14:paraId="747B6B3E" w14:textId="77777777" w:rsidR="0032421D" w:rsidRPr="00862F8B" w:rsidRDefault="0032421D" w:rsidP="00AF2AF3">
            <w:pPr>
              <w:spacing w:after="0" w:line="240" w:lineRule="auto"/>
              <w:jc w:val="right"/>
              <w:rPr>
                <w:rFonts w:ascii="Times New Roman" w:eastAsia="Times New Roman" w:hAnsi="Times New Roman" w:cs="Times New Roman"/>
                <w:color w:val="000000"/>
                <w:sz w:val="14"/>
                <w:szCs w:val="14"/>
                <w:highlight w:val="yellow"/>
                <w:lang w:eastAsia="sk-SK"/>
              </w:rPr>
            </w:pPr>
          </w:p>
        </w:tc>
        <w:tc>
          <w:tcPr>
            <w:tcW w:w="424" w:type="pct"/>
            <w:tcBorders>
              <w:top w:val="nil"/>
              <w:left w:val="nil"/>
              <w:bottom w:val="nil"/>
              <w:right w:val="nil"/>
            </w:tcBorders>
            <w:shd w:val="clear" w:color="auto" w:fill="auto"/>
            <w:noWrap/>
            <w:vAlign w:val="center"/>
            <w:hideMark/>
          </w:tcPr>
          <w:p w14:paraId="3DCE2754" w14:textId="77777777" w:rsidR="0032421D" w:rsidRPr="00862F8B" w:rsidRDefault="0032421D" w:rsidP="00AF2AF3">
            <w:pPr>
              <w:spacing w:after="0" w:line="240" w:lineRule="auto"/>
              <w:jc w:val="right"/>
              <w:rPr>
                <w:rFonts w:ascii="Times New Roman" w:eastAsia="Times New Roman" w:hAnsi="Times New Roman" w:cs="Times New Roman"/>
                <w:sz w:val="20"/>
                <w:szCs w:val="20"/>
                <w:highlight w:val="yellow"/>
                <w:lang w:eastAsia="sk-SK"/>
              </w:rPr>
            </w:pPr>
          </w:p>
        </w:tc>
        <w:tc>
          <w:tcPr>
            <w:tcW w:w="424" w:type="pct"/>
            <w:tcBorders>
              <w:top w:val="nil"/>
              <w:left w:val="nil"/>
              <w:bottom w:val="nil"/>
              <w:right w:val="nil"/>
            </w:tcBorders>
            <w:shd w:val="clear" w:color="auto" w:fill="auto"/>
            <w:noWrap/>
            <w:vAlign w:val="center"/>
          </w:tcPr>
          <w:p w14:paraId="28C79A75"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p>
        </w:tc>
        <w:tc>
          <w:tcPr>
            <w:tcW w:w="426" w:type="pct"/>
            <w:tcBorders>
              <w:top w:val="nil"/>
              <w:left w:val="nil"/>
              <w:bottom w:val="nil"/>
              <w:right w:val="nil"/>
            </w:tcBorders>
            <w:shd w:val="clear" w:color="auto" w:fill="auto"/>
            <w:noWrap/>
            <w:vAlign w:val="center"/>
          </w:tcPr>
          <w:p w14:paraId="0C7D4549" w14:textId="77777777" w:rsidR="0032421D" w:rsidRPr="001D4E5B" w:rsidRDefault="0032421D" w:rsidP="00AF2AF3">
            <w:pPr>
              <w:spacing w:after="0" w:line="240" w:lineRule="auto"/>
              <w:jc w:val="right"/>
              <w:rPr>
                <w:rFonts w:ascii="Times New Roman" w:eastAsia="Times New Roman" w:hAnsi="Times New Roman" w:cs="Times New Roman"/>
                <w:color w:val="000000"/>
                <w:sz w:val="14"/>
                <w:szCs w:val="14"/>
                <w:lang w:eastAsia="sk-SK"/>
              </w:rPr>
            </w:pPr>
          </w:p>
        </w:tc>
        <w:tc>
          <w:tcPr>
            <w:tcW w:w="424" w:type="pct"/>
            <w:tcBorders>
              <w:top w:val="nil"/>
              <w:left w:val="nil"/>
              <w:bottom w:val="single" w:sz="4" w:space="0" w:color="auto"/>
              <w:right w:val="nil"/>
            </w:tcBorders>
            <w:shd w:val="clear" w:color="auto" w:fill="auto"/>
            <w:noWrap/>
            <w:vAlign w:val="center"/>
            <w:hideMark/>
          </w:tcPr>
          <w:p w14:paraId="3CD7BFA3" w14:textId="77777777" w:rsidR="0032421D" w:rsidRPr="003816F2" w:rsidRDefault="0032421D" w:rsidP="00AF2AF3">
            <w:pPr>
              <w:spacing w:after="0" w:line="240" w:lineRule="auto"/>
              <w:jc w:val="right"/>
              <w:rPr>
                <w:rFonts w:ascii="Times New Roman" w:eastAsia="Times New Roman" w:hAnsi="Times New Roman" w:cs="Times New Roman"/>
                <w:color w:val="000000"/>
                <w:sz w:val="14"/>
                <w:szCs w:val="14"/>
                <w:lang w:eastAsia="sk-SK"/>
              </w:rPr>
            </w:pPr>
            <w:r w:rsidRPr="003816F2">
              <w:rPr>
                <w:rFonts w:ascii="Times New Roman" w:eastAsia="Times New Roman" w:hAnsi="Times New Roman" w:cs="Times New Roman"/>
                <w:color w:val="000000"/>
                <w:sz w:val="14"/>
                <w:szCs w:val="14"/>
                <w:lang w:eastAsia="sk-SK"/>
              </w:rPr>
              <w:t>-9,5</w:t>
            </w:r>
          </w:p>
        </w:tc>
      </w:tr>
      <w:tr w:rsidR="0032421D" w:rsidRPr="00447079" w14:paraId="024C7961" w14:textId="77777777" w:rsidTr="00AF2AF3">
        <w:trPr>
          <w:gridAfter w:val="1"/>
          <w:wAfter w:w="424" w:type="pct"/>
          <w:trHeight w:val="255"/>
        </w:trPr>
        <w:tc>
          <w:tcPr>
            <w:tcW w:w="4576" w:type="pct"/>
            <w:gridSpan w:val="7"/>
            <w:tcBorders>
              <w:top w:val="single" w:sz="4" w:space="0" w:color="auto"/>
              <w:left w:val="nil"/>
              <w:bottom w:val="nil"/>
              <w:right w:val="nil"/>
            </w:tcBorders>
            <w:shd w:val="clear" w:color="auto" w:fill="auto"/>
            <w:vAlign w:val="center"/>
            <w:hideMark/>
          </w:tcPr>
          <w:p w14:paraId="0C21A891" w14:textId="77777777" w:rsidR="0032421D" w:rsidRPr="00447079" w:rsidRDefault="0032421D" w:rsidP="00AF2AF3">
            <w:pPr>
              <w:spacing w:after="0" w:line="240" w:lineRule="auto"/>
              <w:rPr>
                <w:rFonts w:ascii="Times New Roman" w:eastAsia="Times New Roman" w:hAnsi="Times New Roman" w:cs="Times New Roman"/>
                <w:i/>
                <w:iCs/>
                <w:color w:val="000000"/>
                <w:sz w:val="14"/>
                <w:szCs w:val="14"/>
                <w:lang w:eastAsia="sk-SK"/>
              </w:rPr>
            </w:pPr>
            <w:r w:rsidRPr="00447079">
              <w:rPr>
                <w:rFonts w:ascii="Times New Roman" w:eastAsia="Times New Roman" w:hAnsi="Times New Roman" w:cs="Times New Roman"/>
                <w:i/>
                <w:iCs/>
                <w:color w:val="000000"/>
                <w:sz w:val="14"/>
                <w:szCs w:val="14"/>
                <w:lang w:eastAsia="sk-SK"/>
              </w:rPr>
              <w:t>Pozn. znamienko (+) znamená zníženie, resp. znamienko (-) zvýšenie schodku rozpočtu verejnej správy</w:t>
            </w:r>
            <w:r>
              <w:rPr>
                <w:rFonts w:ascii="Times New Roman" w:eastAsia="Times New Roman" w:hAnsi="Times New Roman" w:cs="Times New Roman"/>
                <w:i/>
                <w:iCs/>
                <w:color w:val="000000"/>
                <w:sz w:val="14"/>
                <w:szCs w:val="14"/>
                <w:lang w:eastAsia="sk-SK"/>
              </w:rPr>
              <w:t xml:space="preserve">                                               Zdroj: ŠÚ SR</w:t>
            </w:r>
          </w:p>
        </w:tc>
      </w:tr>
    </w:tbl>
    <w:p w14:paraId="4AD92247" w14:textId="77777777" w:rsidR="0032421D" w:rsidRDefault="0032421D" w:rsidP="0032421D">
      <w:pPr>
        <w:spacing w:after="0" w:line="240" w:lineRule="auto"/>
        <w:jc w:val="both"/>
        <w:rPr>
          <w:rFonts w:ascii="Times New Roman" w:hAnsi="Times New Roman" w:cs="Times New Roman"/>
          <w:sz w:val="24"/>
          <w:szCs w:val="24"/>
        </w:rPr>
      </w:pPr>
    </w:p>
    <w:p w14:paraId="0704E5CD" w14:textId="77777777" w:rsidR="0032421D" w:rsidRDefault="0032421D" w:rsidP="003242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 rámci rozpočtu verejnej správy sa rozpočtuje nulová medziročná zmena stavu pohľadávok a záväzkov. V rámci tzv. modifikujúcich faktorov štátneho rozpočtu sa na akruálnom princípe, v súlade s metodikou ESA 2010, upravujú špecifické známe tituly, ako napr. </w:t>
      </w:r>
      <w:proofErr w:type="spellStart"/>
      <w:r>
        <w:rPr>
          <w:rFonts w:ascii="Times New Roman" w:hAnsi="Times New Roman" w:cs="Times New Roman"/>
          <w:sz w:val="24"/>
          <w:szCs w:val="24"/>
        </w:rPr>
        <w:t>akrualizácia</w:t>
      </w:r>
      <w:proofErr w:type="spellEnd"/>
      <w:r>
        <w:rPr>
          <w:rFonts w:ascii="Times New Roman" w:hAnsi="Times New Roman" w:cs="Times New Roman"/>
          <w:sz w:val="24"/>
          <w:szCs w:val="24"/>
        </w:rPr>
        <w:t xml:space="preserve"> nákupu vojenskej techniky, rozpočtovanie </w:t>
      </w:r>
      <w:proofErr w:type="spellStart"/>
      <w:r>
        <w:rPr>
          <w:rFonts w:ascii="Times New Roman" w:hAnsi="Times New Roman" w:cs="Times New Roman"/>
          <w:sz w:val="24"/>
          <w:szCs w:val="24"/>
        </w:rPr>
        <w:t>superdividend</w:t>
      </w:r>
      <w:proofErr w:type="spellEnd"/>
      <w:r>
        <w:rPr>
          <w:rFonts w:ascii="Times New Roman" w:hAnsi="Times New Roman" w:cs="Times New Roman"/>
          <w:sz w:val="24"/>
          <w:szCs w:val="24"/>
        </w:rPr>
        <w:t xml:space="preserve"> a pod. </w:t>
      </w:r>
    </w:p>
    <w:p w14:paraId="61F09215" w14:textId="77777777" w:rsidR="0032421D" w:rsidRDefault="0032421D" w:rsidP="0032421D">
      <w:pPr>
        <w:spacing w:after="0" w:line="240" w:lineRule="auto"/>
        <w:jc w:val="both"/>
        <w:rPr>
          <w:rFonts w:ascii="Times New Roman" w:hAnsi="Times New Roman" w:cs="Times New Roman"/>
          <w:sz w:val="24"/>
          <w:szCs w:val="24"/>
        </w:rPr>
      </w:pPr>
    </w:p>
    <w:p w14:paraId="65211AB3" w14:textId="77777777" w:rsidR="0032421D" w:rsidRDefault="0032421D" w:rsidP="003242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 rozpočte sa uvažuje s rovnakým objemom príjmov a výdavkov prostriedkov z rozpočtu EÚ, dochádza tak k rozpočtovaniu nulovej zmeny stavu pohľadávok voči EÚ. Rovnaký postup je použitý aj pri rozpočtovaní príjmov a výdavkov prostriedkov Plánu obnovy a odolnosti. </w:t>
      </w:r>
    </w:p>
    <w:p w14:paraId="420A3485" w14:textId="77777777" w:rsidR="0032421D" w:rsidRDefault="0032421D" w:rsidP="0032421D">
      <w:pPr>
        <w:spacing w:after="0" w:line="240" w:lineRule="auto"/>
        <w:jc w:val="both"/>
        <w:rPr>
          <w:rFonts w:ascii="Times New Roman" w:eastAsia="Times New Roman" w:hAnsi="Times New Roman" w:cs="Times New Roman"/>
          <w:sz w:val="24"/>
          <w:szCs w:val="24"/>
          <w:lang w:eastAsia="sk-SK"/>
        </w:rPr>
      </w:pPr>
    </w:p>
    <w:p w14:paraId="1C8DB6F3" w14:textId="77777777" w:rsidR="0032421D" w:rsidRDefault="0032421D" w:rsidP="0032421D">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Rozpočet verejnej správy na roky 2024 až 2026 obsahuje tak na strane príjmov ako aj na strane výdavkov údaje za zelenú energiu</w:t>
      </w:r>
      <w:r>
        <w:rPr>
          <w:rStyle w:val="Odkaznapoznmkupodiarou"/>
          <w:rFonts w:ascii="Times New Roman" w:eastAsia="Times New Roman" w:hAnsi="Times New Roman"/>
          <w:sz w:val="24"/>
          <w:szCs w:val="24"/>
          <w:lang w:eastAsia="sk-SK"/>
        </w:rPr>
        <w:footnoteReference w:id="15"/>
      </w:r>
      <w:r>
        <w:rPr>
          <w:rFonts w:ascii="Times New Roman" w:eastAsia="Times New Roman" w:hAnsi="Times New Roman" w:cs="Times New Roman"/>
          <w:sz w:val="24"/>
          <w:szCs w:val="24"/>
          <w:lang w:eastAsia="sk-SK"/>
        </w:rPr>
        <w:t>.</w:t>
      </w:r>
    </w:p>
    <w:p w14:paraId="03B03996" w14:textId="77777777" w:rsidR="0032421D" w:rsidRDefault="0032421D" w:rsidP="000C265D">
      <w:pPr>
        <w:spacing w:after="0" w:line="240" w:lineRule="auto"/>
        <w:jc w:val="both"/>
        <w:rPr>
          <w:rFonts w:ascii="Times New Roman" w:eastAsia="Times New Roman" w:hAnsi="Times New Roman" w:cs="Times New Roman"/>
          <w:sz w:val="24"/>
          <w:szCs w:val="24"/>
          <w:lang w:eastAsia="sk-SK"/>
        </w:rPr>
      </w:pPr>
    </w:p>
    <w:p w14:paraId="1A9DD08A" w14:textId="77777777" w:rsidR="000C265D" w:rsidRDefault="000C265D" w:rsidP="0076304F">
      <w:pPr>
        <w:pStyle w:val="Nadpis2"/>
        <w:spacing w:before="0" w:after="0"/>
        <w:rPr>
          <w:rFonts w:ascii="Times New Roman" w:hAnsi="Times New Roman"/>
          <w:i w:val="0"/>
          <w:color w:val="5B9BD5" w:themeColor="accent1"/>
          <w:sz w:val="24"/>
        </w:rPr>
      </w:pPr>
      <w:bookmarkStart w:id="63" w:name="_Toc53040761"/>
      <w:bookmarkStart w:id="64" w:name="_Toc152946765"/>
      <w:r w:rsidRPr="00CE077C">
        <w:rPr>
          <w:rFonts w:ascii="Times New Roman" w:hAnsi="Times New Roman"/>
          <w:i w:val="0"/>
          <w:color w:val="5B9BD5" w:themeColor="accent1"/>
          <w:sz w:val="24"/>
        </w:rPr>
        <w:t>2.</w:t>
      </w:r>
      <w:r w:rsidR="001D520C">
        <w:rPr>
          <w:rFonts w:ascii="Times New Roman" w:hAnsi="Times New Roman"/>
          <w:i w:val="0"/>
          <w:color w:val="5B9BD5" w:themeColor="accent1"/>
          <w:sz w:val="24"/>
        </w:rPr>
        <w:t>7</w:t>
      </w:r>
      <w:r w:rsidR="00CE077C" w:rsidRPr="00CE077C">
        <w:rPr>
          <w:rFonts w:ascii="Times New Roman" w:hAnsi="Times New Roman"/>
          <w:i w:val="0"/>
          <w:color w:val="5B9BD5" w:themeColor="accent1"/>
          <w:sz w:val="24"/>
        </w:rPr>
        <w:t xml:space="preserve">. </w:t>
      </w:r>
      <w:r w:rsidRPr="00CE077C">
        <w:rPr>
          <w:rFonts w:ascii="Times New Roman" w:hAnsi="Times New Roman"/>
          <w:i w:val="0"/>
          <w:color w:val="5B9BD5" w:themeColor="accent1"/>
          <w:sz w:val="24"/>
        </w:rPr>
        <w:t>Informácia o nerozpočtovaných tituloch</w:t>
      </w:r>
      <w:bookmarkEnd w:id="63"/>
      <w:bookmarkEnd w:id="64"/>
    </w:p>
    <w:p w14:paraId="3355F595" w14:textId="77777777" w:rsidR="00F54D87" w:rsidRDefault="00F54D87" w:rsidP="00EB7370">
      <w:pPr>
        <w:autoSpaceDE w:val="0"/>
        <w:autoSpaceDN w:val="0"/>
        <w:spacing w:after="0" w:line="240" w:lineRule="auto"/>
        <w:jc w:val="both"/>
        <w:rPr>
          <w:lang w:eastAsia="cs-CZ"/>
        </w:rPr>
      </w:pPr>
    </w:p>
    <w:p w14:paraId="03BB187E" w14:textId="77777777" w:rsidR="0032421D" w:rsidRPr="00EC3CE0" w:rsidRDefault="0032421D" w:rsidP="0032421D">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Do</w:t>
      </w:r>
      <w:r w:rsidRPr="00EC3CE0">
        <w:rPr>
          <w:rFonts w:ascii="Times New Roman" w:hAnsi="Times New Roman" w:cs="Times New Roman"/>
          <w:sz w:val="24"/>
          <w:szCs w:val="24"/>
        </w:rPr>
        <w:t xml:space="preserve"> </w:t>
      </w:r>
      <w:r>
        <w:rPr>
          <w:rFonts w:ascii="Times New Roman" w:hAnsi="Times New Roman" w:cs="Times New Roman"/>
          <w:sz w:val="24"/>
          <w:szCs w:val="24"/>
        </w:rPr>
        <w:t xml:space="preserve">návrhu </w:t>
      </w:r>
      <w:r w:rsidRPr="00EC3CE0">
        <w:rPr>
          <w:rFonts w:ascii="Times New Roman" w:hAnsi="Times New Roman" w:cs="Times New Roman"/>
          <w:sz w:val="24"/>
          <w:szCs w:val="24"/>
        </w:rPr>
        <w:t>rozpo</w:t>
      </w:r>
      <w:r>
        <w:rPr>
          <w:rFonts w:ascii="Times New Roman" w:hAnsi="Times New Roman" w:cs="Times New Roman"/>
          <w:sz w:val="24"/>
          <w:szCs w:val="24"/>
        </w:rPr>
        <w:t>čtu verejnej správy na roky 2024 až 2026 bola</w:t>
      </w:r>
      <w:r w:rsidRPr="00EC3CE0">
        <w:rPr>
          <w:rFonts w:ascii="Times New Roman" w:hAnsi="Times New Roman" w:cs="Times New Roman"/>
          <w:sz w:val="24"/>
          <w:szCs w:val="24"/>
        </w:rPr>
        <w:t xml:space="preserve"> </w:t>
      </w:r>
      <w:r>
        <w:rPr>
          <w:rFonts w:ascii="Times New Roman" w:hAnsi="Times New Roman" w:cs="Times New Roman"/>
          <w:sz w:val="24"/>
          <w:szCs w:val="24"/>
        </w:rPr>
        <w:t xml:space="preserve">na základe notifikovanej skutočnosti </w:t>
      </w:r>
      <w:r w:rsidRPr="00EC3CE0">
        <w:rPr>
          <w:rFonts w:ascii="Times New Roman" w:hAnsi="Times New Roman" w:cs="Times New Roman"/>
          <w:sz w:val="24"/>
          <w:szCs w:val="24"/>
        </w:rPr>
        <w:t>zahrnutá významná časť titulov, ktoré</w:t>
      </w:r>
      <w:r>
        <w:rPr>
          <w:rFonts w:ascii="Times New Roman" w:hAnsi="Times New Roman" w:cs="Times New Roman"/>
          <w:sz w:val="24"/>
          <w:szCs w:val="24"/>
        </w:rPr>
        <w:t xml:space="preserve"> dosiaľ neboli z objektívnych dôvodov obsiahnuté v rozpočte</w:t>
      </w:r>
      <w:r w:rsidRPr="00EC3CE0">
        <w:rPr>
          <w:rFonts w:ascii="Times New Roman" w:hAnsi="Times New Roman" w:cs="Times New Roman"/>
          <w:sz w:val="24"/>
          <w:szCs w:val="24"/>
        </w:rPr>
        <w:t xml:space="preserve">. </w:t>
      </w:r>
      <w:bookmarkStart w:id="65" w:name="_Toc43724322"/>
      <w:bookmarkStart w:id="66" w:name="_Toc43804984"/>
      <w:r w:rsidRPr="00EE4B95">
        <w:rPr>
          <w:rFonts w:ascii="Times New Roman" w:hAnsi="Times New Roman" w:cs="Times New Roman"/>
          <w:sz w:val="24"/>
          <w:szCs w:val="24"/>
        </w:rPr>
        <w:t>Ide najmä o subjekty, ktoré sú ŠÚ SR zaradené v sektore verejnej správ</w:t>
      </w:r>
      <w:bookmarkEnd w:id="65"/>
      <w:bookmarkEnd w:id="66"/>
      <w:r w:rsidRPr="00EE4B95">
        <w:rPr>
          <w:rFonts w:ascii="Times New Roman" w:hAnsi="Times New Roman" w:cs="Times New Roman"/>
          <w:sz w:val="24"/>
          <w:szCs w:val="24"/>
        </w:rPr>
        <w:t xml:space="preserve">y a nie sú zahrnuté v rozpočte. Sektor verejnej správy (S.13) vykazuje za </w:t>
      </w:r>
      <w:r>
        <w:rPr>
          <w:rFonts w:ascii="Times New Roman" w:hAnsi="Times New Roman" w:cs="Times New Roman"/>
          <w:sz w:val="24"/>
          <w:szCs w:val="24"/>
        </w:rPr>
        <w:t>október</w:t>
      </w:r>
      <w:r w:rsidRPr="00EE4B95">
        <w:rPr>
          <w:rFonts w:ascii="Times New Roman" w:hAnsi="Times New Roman" w:cs="Times New Roman"/>
          <w:sz w:val="24"/>
          <w:szCs w:val="24"/>
        </w:rPr>
        <w:t xml:space="preserve"> 2023 v registri organizácií vedenom ŠÚ SR celkovo 8 2</w:t>
      </w:r>
      <w:r>
        <w:rPr>
          <w:rFonts w:ascii="Times New Roman" w:hAnsi="Times New Roman" w:cs="Times New Roman"/>
          <w:sz w:val="24"/>
          <w:szCs w:val="24"/>
        </w:rPr>
        <w:t>81</w:t>
      </w:r>
      <w:r w:rsidRPr="00EE4B95">
        <w:rPr>
          <w:rFonts w:ascii="Times New Roman" w:hAnsi="Times New Roman" w:cs="Times New Roman"/>
          <w:sz w:val="24"/>
          <w:szCs w:val="24"/>
        </w:rPr>
        <w:t xml:space="preserve"> subjektov, z toho v ústrednej správe (S.1311) vykazuje </w:t>
      </w:r>
      <w:r>
        <w:rPr>
          <w:rFonts w:ascii="Times New Roman" w:hAnsi="Times New Roman" w:cs="Times New Roman"/>
          <w:sz w:val="24"/>
          <w:szCs w:val="24"/>
        </w:rPr>
        <w:t>997</w:t>
      </w:r>
      <w:r w:rsidRPr="00EE4B95">
        <w:rPr>
          <w:rFonts w:ascii="Times New Roman" w:hAnsi="Times New Roman" w:cs="Times New Roman"/>
          <w:sz w:val="24"/>
          <w:szCs w:val="24"/>
        </w:rPr>
        <w:t xml:space="preserve"> subjektov, v územnej samospráve (S.1313) vykazuje 7 2</w:t>
      </w:r>
      <w:r>
        <w:rPr>
          <w:rFonts w:ascii="Times New Roman" w:hAnsi="Times New Roman" w:cs="Times New Roman"/>
          <w:sz w:val="24"/>
          <w:szCs w:val="24"/>
        </w:rPr>
        <w:t>82</w:t>
      </w:r>
      <w:r w:rsidRPr="00EE4B95">
        <w:rPr>
          <w:rFonts w:ascii="Times New Roman" w:hAnsi="Times New Roman" w:cs="Times New Roman"/>
          <w:sz w:val="24"/>
          <w:szCs w:val="24"/>
        </w:rPr>
        <w:t xml:space="preserve"> subjektov a vo fondoch sociálneho poistenia a fondoch zdravotného poistenia (</w:t>
      </w:r>
      <w:r w:rsidRPr="00FB5A1D">
        <w:rPr>
          <w:rFonts w:ascii="Times New Roman" w:hAnsi="Times New Roman" w:cs="Times New Roman"/>
          <w:sz w:val="24"/>
          <w:szCs w:val="24"/>
        </w:rPr>
        <w:t>S.1314) vykazuje 2 subjekty, a to Sociálnu poisťovňu a Všeobecnú zdravotnú poisťovňu</w:t>
      </w:r>
      <w:r w:rsidRPr="00FB5A1D">
        <w:rPr>
          <w:rFonts w:ascii="Times New Roman" w:hAnsi="Times New Roman" w:cs="Times New Roman"/>
          <w:sz w:val="24"/>
          <w:szCs w:val="24"/>
          <w:vertAlign w:val="superscript"/>
        </w:rPr>
        <w:footnoteReference w:id="16"/>
      </w:r>
      <w:r w:rsidRPr="00FB5A1D">
        <w:rPr>
          <w:rFonts w:ascii="Times New Roman" w:hAnsi="Times New Roman" w:cs="Times New Roman"/>
          <w:sz w:val="24"/>
          <w:szCs w:val="24"/>
        </w:rPr>
        <w:t>. Z celkového počtu subjektov sektora verejnej správy (S.13) je v likvidácii, resp. v konkurze 104 subjektov. Rozpočet verejnej správy neobsahuje príjmy a výdavky za 1</w:t>
      </w:r>
      <w:r>
        <w:rPr>
          <w:rFonts w:ascii="Times New Roman" w:hAnsi="Times New Roman" w:cs="Times New Roman"/>
          <w:sz w:val="24"/>
          <w:szCs w:val="24"/>
        </w:rPr>
        <w:t xml:space="preserve"> </w:t>
      </w:r>
      <w:r w:rsidRPr="00FB5A1D">
        <w:rPr>
          <w:rFonts w:ascii="Times New Roman" w:hAnsi="Times New Roman" w:cs="Times New Roman"/>
          <w:sz w:val="24"/>
          <w:szCs w:val="24"/>
        </w:rPr>
        <w:t>0</w:t>
      </w:r>
      <w:r>
        <w:rPr>
          <w:rFonts w:ascii="Times New Roman" w:hAnsi="Times New Roman" w:cs="Times New Roman"/>
          <w:sz w:val="24"/>
          <w:szCs w:val="24"/>
        </w:rPr>
        <w:t>22</w:t>
      </w:r>
      <w:r w:rsidRPr="00FB5A1D">
        <w:rPr>
          <w:rFonts w:ascii="Times New Roman" w:hAnsi="Times New Roman" w:cs="Times New Roman"/>
          <w:sz w:val="24"/>
          <w:szCs w:val="24"/>
        </w:rPr>
        <w:t xml:space="preserve"> subjektov, z toho </w:t>
      </w:r>
      <w:r>
        <w:rPr>
          <w:rFonts w:ascii="Times New Roman" w:hAnsi="Times New Roman" w:cs="Times New Roman"/>
          <w:sz w:val="24"/>
          <w:szCs w:val="24"/>
        </w:rPr>
        <w:t>65</w:t>
      </w:r>
      <w:r w:rsidRPr="00FB5A1D">
        <w:rPr>
          <w:rFonts w:ascii="Times New Roman" w:hAnsi="Times New Roman" w:cs="Times New Roman"/>
          <w:sz w:val="24"/>
          <w:szCs w:val="24"/>
        </w:rPr>
        <w:t xml:space="preserve"> organizácií v rámci ústrednej správy (S.1311) a 9</w:t>
      </w:r>
      <w:r>
        <w:rPr>
          <w:rFonts w:ascii="Times New Roman" w:hAnsi="Times New Roman" w:cs="Times New Roman"/>
          <w:sz w:val="24"/>
          <w:szCs w:val="24"/>
        </w:rPr>
        <w:t>57</w:t>
      </w:r>
      <w:r w:rsidRPr="00FB5A1D">
        <w:rPr>
          <w:rFonts w:ascii="Times New Roman" w:hAnsi="Times New Roman" w:cs="Times New Roman"/>
          <w:sz w:val="24"/>
          <w:szCs w:val="24"/>
        </w:rPr>
        <w:t xml:space="preserve"> organizácií v rámci územnej samosprávy (S.1313).</w:t>
      </w:r>
      <w:bookmarkStart w:id="67" w:name="_Toc43724323"/>
      <w:bookmarkStart w:id="68" w:name="_Toc43804985"/>
      <w:r w:rsidRPr="00EC3CE0">
        <w:rPr>
          <w:rFonts w:ascii="Times New Roman" w:hAnsi="Times New Roman" w:cs="Times New Roman"/>
          <w:sz w:val="24"/>
          <w:szCs w:val="24"/>
        </w:rPr>
        <w:t xml:space="preserve"> </w:t>
      </w:r>
      <w:bookmarkEnd w:id="67"/>
      <w:bookmarkEnd w:id="68"/>
    </w:p>
    <w:p w14:paraId="3BA75890" w14:textId="77777777" w:rsidR="0032421D" w:rsidRPr="00EC3CE0" w:rsidRDefault="0032421D" w:rsidP="0032421D">
      <w:pPr>
        <w:autoSpaceDE w:val="0"/>
        <w:autoSpaceDN w:val="0"/>
        <w:spacing w:after="0" w:line="240" w:lineRule="auto"/>
        <w:jc w:val="both"/>
        <w:rPr>
          <w:rFonts w:ascii="Times New Roman" w:hAnsi="Times New Roman" w:cs="Times New Roman"/>
          <w:sz w:val="24"/>
          <w:szCs w:val="24"/>
        </w:rPr>
      </w:pPr>
    </w:p>
    <w:p w14:paraId="1DFD6E65" w14:textId="77777777" w:rsidR="0032421D" w:rsidRPr="00EC3CE0" w:rsidRDefault="0032421D" w:rsidP="0032421D">
      <w:pPr>
        <w:autoSpaceDE w:val="0"/>
        <w:autoSpaceDN w:val="0"/>
        <w:spacing w:after="0" w:line="240" w:lineRule="auto"/>
        <w:jc w:val="both"/>
        <w:rPr>
          <w:rFonts w:ascii="Times New Roman" w:hAnsi="Times New Roman" w:cs="Times New Roman"/>
          <w:sz w:val="24"/>
          <w:szCs w:val="24"/>
        </w:rPr>
      </w:pPr>
      <w:r w:rsidRPr="00EC3CE0">
        <w:rPr>
          <w:rFonts w:ascii="Times New Roman" w:hAnsi="Times New Roman" w:cs="Times New Roman"/>
          <w:sz w:val="24"/>
          <w:szCs w:val="24"/>
        </w:rPr>
        <w:lastRenderedPageBreak/>
        <w:t xml:space="preserve">V prípade ústrednej správy ide o malé neziskové organizácie štátu, štátne podniky, akciové spoločnosti a pod. V územnej samospráve ide najmä </w:t>
      </w:r>
      <w:r>
        <w:rPr>
          <w:rFonts w:ascii="Times New Roman" w:hAnsi="Times New Roman" w:cs="Times New Roman"/>
          <w:sz w:val="24"/>
          <w:szCs w:val="24"/>
        </w:rPr>
        <w:t xml:space="preserve">o </w:t>
      </w:r>
      <w:r w:rsidRPr="00EC3CE0">
        <w:rPr>
          <w:rFonts w:ascii="Times New Roman" w:hAnsi="Times New Roman" w:cs="Times New Roman"/>
          <w:sz w:val="24"/>
          <w:szCs w:val="24"/>
        </w:rPr>
        <w:t xml:space="preserve">neziskové účtovné jednotky (záujmové združenia právnických osôb a iné právne formy, ako napr. neziskové organizácie). Získavanie údajov od týchto subjektov je problematické. Údaje za skutočnosť sa získavajú nie z finančných výkazov, ale z účtovných výkazov jednotlivých organizácií, pričom mnohé z nich napriek zákonnej povinnosti nepredkladajú účtovné výkazy. Zároveň ich celkový vplyv na bilanciu verejných </w:t>
      </w:r>
      <w:r w:rsidRPr="001D4E5B">
        <w:rPr>
          <w:rFonts w:ascii="Times New Roman" w:hAnsi="Times New Roman" w:cs="Times New Roman"/>
          <w:sz w:val="24"/>
          <w:szCs w:val="24"/>
        </w:rPr>
        <w:t>financií bol za posledné roky zanedbateľný. Z pozitívneho vplyvu za rok 2022 na úrovni 4</w:t>
      </w:r>
      <w:r>
        <w:rPr>
          <w:rFonts w:ascii="Times New Roman" w:hAnsi="Times New Roman" w:cs="Times New Roman"/>
          <w:sz w:val="24"/>
          <w:szCs w:val="24"/>
        </w:rPr>
        <w:t>0,5</w:t>
      </w:r>
      <w:r w:rsidRPr="001D4E5B">
        <w:rPr>
          <w:rFonts w:ascii="Times New Roman" w:hAnsi="Times New Roman" w:cs="Times New Roman"/>
          <w:sz w:val="24"/>
          <w:szCs w:val="24"/>
        </w:rPr>
        <w:t xml:space="preserve"> mil. eur predstavuje podstatnú časť hospodárenie ostatných malých subjektov ústrednej správy. Vplyv</w:t>
      </w:r>
      <w:r w:rsidRPr="00EC3CE0">
        <w:rPr>
          <w:rFonts w:ascii="Times New Roman" w:hAnsi="Times New Roman" w:cs="Times New Roman"/>
          <w:sz w:val="24"/>
          <w:szCs w:val="24"/>
        </w:rPr>
        <w:t xml:space="preserve"> nerozpočtovaných subjektov na dosiahnutú skutočnosť za posledné tri roky prezentuje nasledujúca tabuľka</w:t>
      </w:r>
      <w:r>
        <w:rPr>
          <w:rFonts w:ascii="Times New Roman" w:hAnsi="Times New Roman" w:cs="Times New Roman"/>
          <w:sz w:val="24"/>
          <w:szCs w:val="24"/>
        </w:rPr>
        <w:t>.</w:t>
      </w:r>
      <w:r w:rsidRPr="00EC3CE0">
        <w:rPr>
          <w:rFonts w:ascii="Times New Roman" w:hAnsi="Times New Roman" w:cs="Times New Roman"/>
          <w:sz w:val="24"/>
          <w:szCs w:val="24"/>
        </w:rPr>
        <w:t xml:space="preserve"> </w:t>
      </w:r>
    </w:p>
    <w:p w14:paraId="1E80E99E" w14:textId="77777777" w:rsidR="0032421D" w:rsidRDefault="0032421D" w:rsidP="0032421D">
      <w:pPr>
        <w:spacing w:after="0" w:line="240" w:lineRule="auto"/>
        <w:contextualSpacing/>
        <w:jc w:val="both"/>
        <w:rPr>
          <w:rFonts w:ascii="Times New Roman" w:hAnsi="Times New Roman" w:cs="Times New Roman"/>
          <w:sz w:val="24"/>
          <w:szCs w:val="24"/>
        </w:rPr>
      </w:pPr>
    </w:p>
    <w:p w14:paraId="528F0C78" w14:textId="7279E425" w:rsidR="0032421D" w:rsidRPr="00EB7370" w:rsidRDefault="0032421D" w:rsidP="0032421D">
      <w:pPr>
        <w:pStyle w:val="Popis"/>
        <w:keepNext/>
        <w:spacing w:after="0"/>
        <w:rPr>
          <w:rFonts w:ascii="Times New Roman" w:hAnsi="Times New Roman" w:cs="Times New Roman"/>
          <w:b/>
          <w:i w:val="0"/>
          <w:color w:val="5B9BD5" w:themeColor="accent1"/>
          <w:sz w:val="20"/>
          <w:szCs w:val="20"/>
        </w:rPr>
      </w:pPr>
      <w:bookmarkStart w:id="69" w:name="_Toc84845241"/>
      <w:bookmarkStart w:id="70" w:name="_Toc116288198"/>
      <w:bookmarkStart w:id="71" w:name="_Toc153013014"/>
      <w:r w:rsidRPr="00EB7370">
        <w:rPr>
          <w:rFonts w:ascii="Times New Roman" w:hAnsi="Times New Roman" w:cs="Times New Roman"/>
          <w:b/>
          <w:i w:val="0"/>
          <w:color w:val="5B9BD5" w:themeColor="accent1"/>
          <w:sz w:val="20"/>
          <w:szCs w:val="20"/>
        </w:rPr>
        <w:t xml:space="preserve">Tabuľka </w:t>
      </w:r>
      <w:r w:rsidRPr="00EB7370">
        <w:rPr>
          <w:rFonts w:ascii="Times New Roman" w:hAnsi="Times New Roman" w:cs="Times New Roman"/>
          <w:b/>
          <w:i w:val="0"/>
          <w:color w:val="5B9BD5" w:themeColor="accent1"/>
          <w:sz w:val="20"/>
          <w:szCs w:val="20"/>
        </w:rPr>
        <w:fldChar w:fldCharType="begin"/>
      </w:r>
      <w:r w:rsidRPr="00EB7370">
        <w:rPr>
          <w:rFonts w:ascii="Times New Roman" w:hAnsi="Times New Roman" w:cs="Times New Roman"/>
          <w:b/>
          <w:i w:val="0"/>
          <w:color w:val="5B9BD5" w:themeColor="accent1"/>
          <w:sz w:val="20"/>
          <w:szCs w:val="20"/>
        </w:rPr>
        <w:instrText xml:space="preserve"> SEQ Tabuľka \* ARABIC </w:instrText>
      </w:r>
      <w:r w:rsidRPr="00EB7370">
        <w:rPr>
          <w:rFonts w:ascii="Times New Roman" w:hAnsi="Times New Roman" w:cs="Times New Roman"/>
          <w:b/>
          <w:i w:val="0"/>
          <w:color w:val="5B9BD5" w:themeColor="accent1"/>
          <w:sz w:val="20"/>
          <w:szCs w:val="20"/>
        </w:rPr>
        <w:fldChar w:fldCharType="separate"/>
      </w:r>
      <w:r w:rsidR="003D5A3A">
        <w:rPr>
          <w:rFonts w:ascii="Times New Roman" w:hAnsi="Times New Roman" w:cs="Times New Roman"/>
          <w:b/>
          <w:i w:val="0"/>
          <w:noProof/>
          <w:color w:val="5B9BD5" w:themeColor="accent1"/>
          <w:sz w:val="20"/>
          <w:szCs w:val="20"/>
        </w:rPr>
        <w:t>16</w:t>
      </w:r>
      <w:r w:rsidRPr="00EB7370">
        <w:rPr>
          <w:rFonts w:ascii="Times New Roman" w:hAnsi="Times New Roman" w:cs="Times New Roman"/>
          <w:b/>
          <w:i w:val="0"/>
          <w:color w:val="5B9BD5" w:themeColor="accent1"/>
          <w:sz w:val="20"/>
          <w:szCs w:val="20"/>
        </w:rPr>
        <w:fldChar w:fldCharType="end"/>
      </w:r>
      <w:r w:rsidRPr="00EB7370">
        <w:rPr>
          <w:rFonts w:ascii="Times New Roman" w:hAnsi="Times New Roman" w:cs="Times New Roman"/>
          <w:b/>
          <w:i w:val="0"/>
          <w:color w:val="5B9BD5" w:themeColor="accent1"/>
          <w:sz w:val="20"/>
          <w:szCs w:val="20"/>
        </w:rPr>
        <w:t xml:space="preserve"> - Príjmy a výdavky nerozpočtovaných subjektov</w:t>
      </w:r>
      <w:bookmarkEnd w:id="69"/>
      <w:bookmarkEnd w:id="70"/>
      <w:bookmarkEnd w:id="71"/>
    </w:p>
    <w:tbl>
      <w:tblPr>
        <w:tblW w:w="5000" w:type="pct"/>
        <w:tblCellMar>
          <w:left w:w="70" w:type="dxa"/>
          <w:right w:w="70" w:type="dxa"/>
        </w:tblCellMar>
        <w:tblLook w:val="04A0" w:firstRow="1" w:lastRow="0" w:firstColumn="1" w:lastColumn="0" w:noHBand="0" w:noVBand="1"/>
      </w:tblPr>
      <w:tblGrid>
        <w:gridCol w:w="5160"/>
        <w:gridCol w:w="978"/>
        <w:gridCol w:w="978"/>
        <w:gridCol w:w="978"/>
        <w:gridCol w:w="978"/>
      </w:tblGrid>
      <w:tr w:rsidR="0032421D" w:rsidRPr="00FF6481" w14:paraId="4D12A8B6" w14:textId="77777777" w:rsidTr="00AF2AF3">
        <w:trPr>
          <w:trHeight w:val="255"/>
        </w:trPr>
        <w:tc>
          <w:tcPr>
            <w:tcW w:w="2844" w:type="pct"/>
            <w:tcBorders>
              <w:top w:val="single" w:sz="4" w:space="0" w:color="auto"/>
              <w:left w:val="nil"/>
              <w:bottom w:val="single" w:sz="4" w:space="0" w:color="auto"/>
              <w:right w:val="nil"/>
            </w:tcBorders>
            <w:shd w:val="clear" w:color="auto" w:fill="auto"/>
            <w:noWrap/>
            <w:vAlign w:val="center"/>
            <w:hideMark/>
          </w:tcPr>
          <w:p w14:paraId="54DE28AA" w14:textId="77777777" w:rsidR="0032421D" w:rsidRPr="00FF6481" w:rsidRDefault="0032421D" w:rsidP="00AF2AF3">
            <w:pPr>
              <w:spacing w:after="0" w:line="240" w:lineRule="auto"/>
              <w:contextualSpacing/>
              <w:jc w:val="both"/>
              <w:rPr>
                <w:rFonts w:ascii="Times New Roman" w:hAnsi="Times New Roman" w:cs="Times New Roman"/>
                <w:b/>
                <w:bCs/>
                <w:color w:val="000000"/>
                <w:sz w:val="16"/>
                <w:szCs w:val="16"/>
              </w:rPr>
            </w:pPr>
            <w:r w:rsidRPr="00FF6481">
              <w:rPr>
                <w:rFonts w:ascii="Times New Roman" w:hAnsi="Times New Roman" w:cs="Times New Roman"/>
                <w:b/>
                <w:bCs/>
                <w:color w:val="000000"/>
                <w:sz w:val="16"/>
                <w:szCs w:val="16"/>
              </w:rPr>
              <w:t>(ESA 2010, v tis. eur)</w:t>
            </w:r>
          </w:p>
        </w:tc>
        <w:tc>
          <w:tcPr>
            <w:tcW w:w="539" w:type="pct"/>
            <w:tcBorders>
              <w:top w:val="single" w:sz="4" w:space="0" w:color="auto"/>
              <w:left w:val="nil"/>
              <w:bottom w:val="single" w:sz="4" w:space="0" w:color="auto"/>
              <w:right w:val="nil"/>
            </w:tcBorders>
            <w:shd w:val="clear" w:color="auto" w:fill="auto"/>
            <w:noWrap/>
            <w:vAlign w:val="center"/>
            <w:hideMark/>
          </w:tcPr>
          <w:p w14:paraId="69CAF020" w14:textId="77777777" w:rsidR="0032421D" w:rsidRPr="00FF6481" w:rsidRDefault="0032421D" w:rsidP="00AF2AF3">
            <w:pPr>
              <w:spacing w:after="0" w:line="240" w:lineRule="auto"/>
              <w:contextualSpacing/>
              <w:jc w:val="center"/>
              <w:rPr>
                <w:rFonts w:ascii="Times New Roman" w:hAnsi="Times New Roman" w:cs="Times New Roman"/>
                <w:b/>
                <w:bCs/>
                <w:color w:val="000000"/>
                <w:sz w:val="16"/>
                <w:szCs w:val="16"/>
              </w:rPr>
            </w:pPr>
            <w:r w:rsidRPr="00FF6481">
              <w:rPr>
                <w:rFonts w:ascii="Times New Roman" w:hAnsi="Times New Roman" w:cs="Times New Roman"/>
                <w:b/>
                <w:bCs/>
                <w:color w:val="000000"/>
                <w:sz w:val="16"/>
                <w:szCs w:val="16"/>
              </w:rPr>
              <w:t>ESA 2010</w:t>
            </w:r>
          </w:p>
        </w:tc>
        <w:tc>
          <w:tcPr>
            <w:tcW w:w="539" w:type="pct"/>
            <w:tcBorders>
              <w:top w:val="single" w:sz="4" w:space="0" w:color="auto"/>
              <w:left w:val="nil"/>
              <w:bottom w:val="single" w:sz="4" w:space="0" w:color="auto"/>
              <w:right w:val="nil"/>
            </w:tcBorders>
            <w:shd w:val="clear" w:color="auto" w:fill="auto"/>
            <w:noWrap/>
            <w:vAlign w:val="center"/>
            <w:hideMark/>
          </w:tcPr>
          <w:p w14:paraId="296AEAD2" w14:textId="77777777" w:rsidR="0032421D" w:rsidRPr="00FF6481" w:rsidRDefault="0032421D" w:rsidP="00AF2AF3">
            <w:pPr>
              <w:spacing w:after="0" w:line="240" w:lineRule="auto"/>
              <w:contextualSpacing/>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2020</w:t>
            </w:r>
            <w:r w:rsidRPr="00FF6481">
              <w:rPr>
                <w:rFonts w:ascii="Times New Roman" w:hAnsi="Times New Roman" w:cs="Times New Roman"/>
                <w:b/>
                <w:bCs/>
                <w:color w:val="000000"/>
                <w:sz w:val="16"/>
                <w:szCs w:val="16"/>
              </w:rPr>
              <w:t xml:space="preserve"> S</w:t>
            </w:r>
          </w:p>
        </w:tc>
        <w:tc>
          <w:tcPr>
            <w:tcW w:w="539" w:type="pct"/>
            <w:tcBorders>
              <w:top w:val="single" w:sz="4" w:space="0" w:color="auto"/>
              <w:left w:val="nil"/>
              <w:bottom w:val="single" w:sz="4" w:space="0" w:color="auto"/>
              <w:right w:val="nil"/>
            </w:tcBorders>
            <w:shd w:val="clear" w:color="auto" w:fill="auto"/>
            <w:noWrap/>
            <w:vAlign w:val="center"/>
            <w:hideMark/>
          </w:tcPr>
          <w:p w14:paraId="05BF430C" w14:textId="77777777" w:rsidR="0032421D" w:rsidRPr="00FF6481" w:rsidRDefault="0032421D" w:rsidP="00AF2AF3">
            <w:pPr>
              <w:spacing w:after="0" w:line="240" w:lineRule="auto"/>
              <w:contextualSpacing/>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2021</w:t>
            </w:r>
            <w:r w:rsidRPr="00FF6481">
              <w:rPr>
                <w:rFonts w:ascii="Times New Roman" w:hAnsi="Times New Roman" w:cs="Times New Roman"/>
                <w:b/>
                <w:bCs/>
                <w:color w:val="000000"/>
                <w:sz w:val="16"/>
                <w:szCs w:val="16"/>
              </w:rPr>
              <w:t xml:space="preserve"> S</w:t>
            </w:r>
          </w:p>
        </w:tc>
        <w:tc>
          <w:tcPr>
            <w:tcW w:w="539" w:type="pct"/>
            <w:tcBorders>
              <w:top w:val="single" w:sz="4" w:space="0" w:color="auto"/>
              <w:left w:val="nil"/>
              <w:bottom w:val="single" w:sz="4" w:space="0" w:color="auto"/>
              <w:right w:val="nil"/>
            </w:tcBorders>
            <w:shd w:val="clear" w:color="auto" w:fill="auto"/>
            <w:noWrap/>
            <w:vAlign w:val="center"/>
            <w:hideMark/>
          </w:tcPr>
          <w:p w14:paraId="157BE526" w14:textId="77777777" w:rsidR="0032421D" w:rsidRPr="00FF6481" w:rsidRDefault="0032421D" w:rsidP="00AF2AF3">
            <w:pPr>
              <w:spacing w:after="0" w:line="240" w:lineRule="auto"/>
              <w:contextualSpacing/>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2022</w:t>
            </w:r>
            <w:r w:rsidRPr="00FF6481">
              <w:rPr>
                <w:rFonts w:ascii="Times New Roman" w:hAnsi="Times New Roman" w:cs="Times New Roman"/>
                <w:b/>
                <w:bCs/>
                <w:color w:val="000000"/>
                <w:sz w:val="16"/>
                <w:szCs w:val="16"/>
              </w:rPr>
              <w:t xml:space="preserve"> S</w:t>
            </w:r>
          </w:p>
        </w:tc>
      </w:tr>
      <w:tr w:rsidR="0032421D" w:rsidRPr="00FF6481" w14:paraId="0616DB47" w14:textId="77777777" w:rsidTr="00AF2AF3">
        <w:trPr>
          <w:trHeight w:val="255"/>
        </w:trPr>
        <w:tc>
          <w:tcPr>
            <w:tcW w:w="2844" w:type="pct"/>
            <w:tcBorders>
              <w:top w:val="single" w:sz="4" w:space="0" w:color="auto"/>
              <w:left w:val="nil"/>
              <w:bottom w:val="single" w:sz="4" w:space="0" w:color="auto"/>
              <w:right w:val="nil"/>
            </w:tcBorders>
            <w:shd w:val="clear" w:color="auto" w:fill="auto"/>
            <w:noWrap/>
            <w:vAlign w:val="center"/>
            <w:hideMark/>
          </w:tcPr>
          <w:p w14:paraId="5FDF3A03" w14:textId="77777777" w:rsidR="0032421D" w:rsidRPr="00FF6481" w:rsidRDefault="0032421D" w:rsidP="00AF2AF3">
            <w:pPr>
              <w:spacing w:after="0" w:line="240" w:lineRule="auto"/>
              <w:contextualSpacing/>
              <w:jc w:val="both"/>
              <w:rPr>
                <w:rFonts w:ascii="Times New Roman" w:hAnsi="Times New Roman" w:cs="Times New Roman"/>
                <w:b/>
                <w:bCs/>
                <w:color w:val="000000"/>
                <w:sz w:val="16"/>
                <w:szCs w:val="16"/>
              </w:rPr>
            </w:pPr>
            <w:r w:rsidRPr="00FF6481">
              <w:rPr>
                <w:rFonts w:ascii="Times New Roman" w:hAnsi="Times New Roman" w:cs="Times New Roman"/>
                <w:b/>
                <w:bCs/>
                <w:color w:val="000000"/>
                <w:sz w:val="16"/>
                <w:szCs w:val="16"/>
              </w:rPr>
              <w:t>Saldo</w:t>
            </w:r>
          </w:p>
        </w:tc>
        <w:tc>
          <w:tcPr>
            <w:tcW w:w="539" w:type="pct"/>
            <w:tcBorders>
              <w:top w:val="single" w:sz="4" w:space="0" w:color="auto"/>
              <w:left w:val="nil"/>
              <w:bottom w:val="single" w:sz="4" w:space="0" w:color="auto"/>
              <w:right w:val="nil"/>
            </w:tcBorders>
            <w:shd w:val="clear" w:color="auto" w:fill="auto"/>
            <w:noWrap/>
            <w:vAlign w:val="center"/>
            <w:hideMark/>
          </w:tcPr>
          <w:p w14:paraId="11C17483" w14:textId="77777777" w:rsidR="0032421D" w:rsidRPr="00FF6481" w:rsidRDefault="0032421D" w:rsidP="00AF2AF3">
            <w:pPr>
              <w:spacing w:after="0" w:line="240" w:lineRule="auto"/>
              <w:contextualSpacing/>
              <w:jc w:val="center"/>
              <w:rPr>
                <w:rFonts w:ascii="Times New Roman" w:hAnsi="Times New Roman" w:cs="Times New Roman"/>
                <w:b/>
                <w:bCs/>
                <w:color w:val="000000"/>
                <w:sz w:val="16"/>
                <w:szCs w:val="16"/>
              </w:rPr>
            </w:pPr>
            <w:r w:rsidRPr="00FF6481">
              <w:rPr>
                <w:rFonts w:ascii="Times New Roman" w:hAnsi="Times New Roman" w:cs="Times New Roman"/>
                <w:b/>
                <w:bCs/>
                <w:color w:val="000000"/>
                <w:sz w:val="16"/>
                <w:szCs w:val="16"/>
              </w:rPr>
              <w:t>B.9</w:t>
            </w:r>
          </w:p>
        </w:tc>
        <w:tc>
          <w:tcPr>
            <w:tcW w:w="539" w:type="pct"/>
            <w:tcBorders>
              <w:top w:val="single" w:sz="4" w:space="0" w:color="auto"/>
              <w:left w:val="nil"/>
              <w:bottom w:val="single" w:sz="4" w:space="0" w:color="auto"/>
              <w:right w:val="nil"/>
            </w:tcBorders>
            <w:shd w:val="clear" w:color="auto" w:fill="auto"/>
            <w:noWrap/>
            <w:vAlign w:val="center"/>
            <w:hideMark/>
          </w:tcPr>
          <w:p w14:paraId="459F7CE3" w14:textId="77777777" w:rsidR="0032421D" w:rsidRPr="00FF6481" w:rsidRDefault="0032421D" w:rsidP="00AF2AF3">
            <w:pPr>
              <w:spacing w:after="0" w:line="240" w:lineRule="auto"/>
              <w:contextualSpacing/>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24 035</w:t>
            </w:r>
          </w:p>
        </w:tc>
        <w:tc>
          <w:tcPr>
            <w:tcW w:w="539" w:type="pct"/>
            <w:tcBorders>
              <w:top w:val="single" w:sz="4" w:space="0" w:color="auto"/>
              <w:left w:val="nil"/>
              <w:bottom w:val="single" w:sz="4" w:space="0" w:color="auto"/>
              <w:right w:val="nil"/>
            </w:tcBorders>
            <w:shd w:val="clear" w:color="auto" w:fill="auto"/>
            <w:noWrap/>
            <w:vAlign w:val="center"/>
            <w:hideMark/>
          </w:tcPr>
          <w:p w14:paraId="1286EC41" w14:textId="77777777" w:rsidR="0032421D" w:rsidRPr="00FF6481" w:rsidRDefault="0032421D" w:rsidP="00AF2AF3">
            <w:pPr>
              <w:spacing w:after="0" w:line="240" w:lineRule="auto"/>
              <w:contextualSpacing/>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35 442</w:t>
            </w:r>
          </w:p>
        </w:tc>
        <w:tc>
          <w:tcPr>
            <w:tcW w:w="539" w:type="pct"/>
            <w:tcBorders>
              <w:top w:val="single" w:sz="4" w:space="0" w:color="auto"/>
              <w:left w:val="nil"/>
              <w:bottom w:val="single" w:sz="4" w:space="0" w:color="auto"/>
              <w:right w:val="nil"/>
            </w:tcBorders>
            <w:shd w:val="clear" w:color="auto" w:fill="auto"/>
            <w:noWrap/>
            <w:vAlign w:val="center"/>
            <w:hideMark/>
          </w:tcPr>
          <w:p w14:paraId="5D2240A5" w14:textId="77777777" w:rsidR="0032421D" w:rsidRPr="001D4E5B" w:rsidRDefault="0032421D" w:rsidP="00AF2AF3">
            <w:pPr>
              <w:spacing w:after="0" w:line="240" w:lineRule="auto"/>
              <w:contextualSpacing/>
              <w:jc w:val="right"/>
              <w:rPr>
                <w:rFonts w:ascii="Times New Roman" w:hAnsi="Times New Roman" w:cs="Times New Roman"/>
                <w:b/>
                <w:bCs/>
                <w:color w:val="000000"/>
                <w:sz w:val="16"/>
                <w:szCs w:val="16"/>
              </w:rPr>
            </w:pPr>
            <w:r w:rsidRPr="001D4E5B">
              <w:rPr>
                <w:rFonts w:ascii="Times New Roman" w:hAnsi="Times New Roman" w:cs="Times New Roman"/>
                <w:b/>
                <w:bCs/>
                <w:color w:val="000000"/>
                <w:sz w:val="16"/>
                <w:szCs w:val="16"/>
              </w:rPr>
              <w:t>4</w:t>
            </w:r>
            <w:r>
              <w:rPr>
                <w:rFonts w:ascii="Times New Roman" w:hAnsi="Times New Roman" w:cs="Times New Roman"/>
                <w:b/>
                <w:bCs/>
                <w:color w:val="000000"/>
                <w:sz w:val="16"/>
                <w:szCs w:val="16"/>
              </w:rPr>
              <w:t>0 510</w:t>
            </w:r>
          </w:p>
        </w:tc>
      </w:tr>
      <w:tr w:rsidR="0032421D" w:rsidRPr="00FF6481" w14:paraId="4B235D4D" w14:textId="77777777" w:rsidTr="00AF2AF3">
        <w:trPr>
          <w:trHeight w:val="255"/>
        </w:trPr>
        <w:tc>
          <w:tcPr>
            <w:tcW w:w="2844" w:type="pct"/>
            <w:tcBorders>
              <w:top w:val="nil"/>
              <w:left w:val="nil"/>
              <w:bottom w:val="nil"/>
              <w:right w:val="nil"/>
            </w:tcBorders>
            <w:shd w:val="clear" w:color="auto" w:fill="FFFFFF" w:themeFill="background1"/>
            <w:noWrap/>
            <w:vAlign w:val="center"/>
            <w:hideMark/>
          </w:tcPr>
          <w:p w14:paraId="35E6E465" w14:textId="77777777" w:rsidR="0032421D" w:rsidRPr="00FF6481" w:rsidRDefault="0032421D" w:rsidP="00AF2AF3">
            <w:pPr>
              <w:spacing w:after="0" w:line="240" w:lineRule="auto"/>
              <w:contextualSpacing/>
              <w:jc w:val="both"/>
              <w:rPr>
                <w:rFonts w:ascii="Times New Roman" w:hAnsi="Times New Roman" w:cs="Times New Roman"/>
                <w:bCs/>
                <w:color w:val="000000"/>
                <w:sz w:val="16"/>
                <w:szCs w:val="16"/>
              </w:rPr>
            </w:pPr>
            <w:r w:rsidRPr="00FF6481">
              <w:rPr>
                <w:rFonts w:ascii="Times New Roman" w:hAnsi="Times New Roman" w:cs="Times New Roman"/>
                <w:bCs/>
                <w:color w:val="000000"/>
                <w:sz w:val="16"/>
                <w:szCs w:val="16"/>
              </w:rPr>
              <w:t>Príjmy</w:t>
            </w:r>
          </w:p>
        </w:tc>
        <w:tc>
          <w:tcPr>
            <w:tcW w:w="539" w:type="pct"/>
            <w:tcBorders>
              <w:top w:val="nil"/>
              <w:left w:val="nil"/>
              <w:bottom w:val="nil"/>
              <w:right w:val="nil"/>
            </w:tcBorders>
            <w:shd w:val="clear" w:color="auto" w:fill="FFFFFF" w:themeFill="background1"/>
            <w:noWrap/>
            <w:vAlign w:val="center"/>
            <w:hideMark/>
          </w:tcPr>
          <w:p w14:paraId="75D4D9F8" w14:textId="77777777" w:rsidR="0032421D" w:rsidRPr="00FF6481" w:rsidRDefault="0032421D" w:rsidP="00AF2AF3">
            <w:pPr>
              <w:spacing w:after="0" w:line="240" w:lineRule="auto"/>
              <w:contextualSpacing/>
              <w:jc w:val="center"/>
              <w:rPr>
                <w:rFonts w:ascii="Times New Roman" w:hAnsi="Times New Roman" w:cs="Times New Roman"/>
                <w:bCs/>
                <w:color w:val="000000"/>
                <w:sz w:val="16"/>
                <w:szCs w:val="16"/>
              </w:rPr>
            </w:pPr>
            <w:r w:rsidRPr="00FF6481">
              <w:rPr>
                <w:rFonts w:ascii="Times New Roman" w:hAnsi="Times New Roman" w:cs="Times New Roman"/>
                <w:bCs/>
                <w:color w:val="000000"/>
                <w:sz w:val="16"/>
                <w:szCs w:val="16"/>
              </w:rPr>
              <w:t>TR</w:t>
            </w:r>
          </w:p>
        </w:tc>
        <w:tc>
          <w:tcPr>
            <w:tcW w:w="539" w:type="pct"/>
            <w:tcBorders>
              <w:top w:val="nil"/>
              <w:left w:val="nil"/>
              <w:bottom w:val="nil"/>
              <w:right w:val="nil"/>
            </w:tcBorders>
            <w:shd w:val="clear" w:color="auto" w:fill="FFFFFF" w:themeFill="background1"/>
            <w:noWrap/>
            <w:vAlign w:val="center"/>
            <w:hideMark/>
          </w:tcPr>
          <w:p w14:paraId="01BAF2CA" w14:textId="77777777" w:rsidR="0032421D" w:rsidRPr="00FF6481" w:rsidRDefault="0032421D" w:rsidP="00AF2AF3">
            <w:pPr>
              <w:spacing w:after="0" w:line="240" w:lineRule="auto"/>
              <w:contextualSpacing/>
              <w:jc w:val="right"/>
              <w:rPr>
                <w:rFonts w:ascii="Times New Roman" w:hAnsi="Times New Roman" w:cs="Times New Roman"/>
                <w:bCs/>
                <w:color w:val="000000"/>
                <w:sz w:val="16"/>
                <w:szCs w:val="16"/>
              </w:rPr>
            </w:pPr>
            <w:r>
              <w:rPr>
                <w:rFonts w:ascii="Times New Roman" w:hAnsi="Times New Roman" w:cs="Times New Roman"/>
                <w:bCs/>
                <w:color w:val="000000"/>
                <w:sz w:val="16"/>
                <w:szCs w:val="16"/>
              </w:rPr>
              <w:t>93 420</w:t>
            </w:r>
          </w:p>
        </w:tc>
        <w:tc>
          <w:tcPr>
            <w:tcW w:w="539" w:type="pct"/>
            <w:tcBorders>
              <w:top w:val="nil"/>
              <w:left w:val="nil"/>
              <w:bottom w:val="nil"/>
              <w:right w:val="nil"/>
            </w:tcBorders>
            <w:shd w:val="clear" w:color="auto" w:fill="FFFFFF" w:themeFill="background1"/>
            <w:noWrap/>
            <w:vAlign w:val="center"/>
            <w:hideMark/>
          </w:tcPr>
          <w:p w14:paraId="7C00CDE0" w14:textId="77777777" w:rsidR="0032421D" w:rsidRPr="00FF6481" w:rsidRDefault="0032421D" w:rsidP="00AF2AF3">
            <w:pPr>
              <w:spacing w:after="0" w:line="240" w:lineRule="auto"/>
              <w:contextualSpacing/>
              <w:jc w:val="right"/>
              <w:rPr>
                <w:rFonts w:ascii="Times New Roman" w:hAnsi="Times New Roman" w:cs="Times New Roman"/>
                <w:bCs/>
                <w:color w:val="000000"/>
                <w:sz w:val="16"/>
                <w:szCs w:val="16"/>
              </w:rPr>
            </w:pPr>
            <w:r>
              <w:rPr>
                <w:rFonts w:ascii="Times New Roman" w:hAnsi="Times New Roman" w:cs="Times New Roman"/>
                <w:bCs/>
                <w:color w:val="000000"/>
                <w:sz w:val="16"/>
                <w:szCs w:val="16"/>
              </w:rPr>
              <w:t>122 234</w:t>
            </w:r>
          </w:p>
        </w:tc>
        <w:tc>
          <w:tcPr>
            <w:tcW w:w="539" w:type="pct"/>
            <w:tcBorders>
              <w:top w:val="nil"/>
              <w:left w:val="nil"/>
              <w:bottom w:val="nil"/>
              <w:right w:val="nil"/>
            </w:tcBorders>
            <w:shd w:val="clear" w:color="auto" w:fill="FFFFFF" w:themeFill="background1"/>
            <w:noWrap/>
            <w:vAlign w:val="center"/>
            <w:hideMark/>
          </w:tcPr>
          <w:p w14:paraId="45E707CF" w14:textId="77777777" w:rsidR="0032421D" w:rsidRPr="001D4E5B" w:rsidRDefault="0032421D" w:rsidP="00AF2AF3">
            <w:pPr>
              <w:spacing w:after="0" w:line="240" w:lineRule="auto"/>
              <w:contextualSpacing/>
              <w:jc w:val="right"/>
              <w:rPr>
                <w:rFonts w:ascii="Times New Roman" w:hAnsi="Times New Roman" w:cs="Times New Roman"/>
                <w:bCs/>
                <w:color w:val="000000"/>
                <w:sz w:val="16"/>
                <w:szCs w:val="16"/>
              </w:rPr>
            </w:pPr>
            <w:r>
              <w:rPr>
                <w:rFonts w:ascii="Times New Roman" w:hAnsi="Times New Roman" w:cs="Times New Roman"/>
                <w:bCs/>
                <w:color w:val="000000"/>
                <w:sz w:val="16"/>
                <w:szCs w:val="16"/>
              </w:rPr>
              <w:t>211 805</w:t>
            </w:r>
          </w:p>
        </w:tc>
      </w:tr>
      <w:tr w:rsidR="0032421D" w:rsidRPr="00FF6481" w14:paraId="1BDAE8F8" w14:textId="77777777" w:rsidTr="00AF2AF3">
        <w:trPr>
          <w:trHeight w:val="255"/>
        </w:trPr>
        <w:tc>
          <w:tcPr>
            <w:tcW w:w="2844" w:type="pct"/>
            <w:tcBorders>
              <w:top w:val="nil"/>
              <w:left w:val="nil"/>
              <w:bottom w:val="single" w:sz="4" w:space="0" w:color="auto"/>
              <w:right w:val="nil"/>
            </w:tcBorders>
            <w:shd w:val="clear" w:color="auto" w:fill="FFFFFF" w:themeFill="background1"/>
            <w:noWrap/>
            <w:vAlign w:val="center"/>
            <w:hideMark/>
          </w:tcPr>
          <w:p w14:paraId="26BF294B" w14:textId="77777777" w:rsidR="0032421D" w:rsidRPr="00FF6481" w:rsidRDefault="0032421D" w:rsidP="00AF2AF3">
            <w:pPr>
              <w:spacing w:after="0" w:line="240" w:lineRule="auto"/>
              <w:contextualSpacing/>
              <w:jc w:val="both"/>
              <w:rPr>
                <w:rFonts w:ascii="Times New Roman" w:hAnsi="Times New Roman" w:cs="Times New Roman"/>
                <w:bCs/>
                <w:color w:val="000000"/>
                <w:sz w:val="16"/>
                <w:szCs w:val="16"/>
              </w:rPr>
            </w:pPr>
            <w:r w:rsidRPr="00FF6481">
              <w:rPr>
                <w:rFonts w:ascii="Times New Roman" w:hAnsi="Times New Roman" w:cs="Times New Roman"/>
                <w:bCs/>
                <w:color w:val="000000"/>
                <w:sz w:val="16"/>
                <w:szCs w:val="16"/>
              </w:rPr>
              <w:t>Výdavky</w:t>
            </w:r>
          </w:p>
        </w:tc>
        <w:tc>
          <w:tcPr>
            <w:tcW w:w="539" w:type="pct"/>
            <w:tcBorders>
              <w:top w:val="nil"/>
              <w:left w:val="nil"/>
              <w:bottom w:val="single" w:sz="4" w:space="0" w:color="auto"/>
              <w:right w:val="nil"/>
            </w:tcBorders>
            <w:shd w:val="clear" w:color="auto" w:fill="FFFFFF" w:themeFill="background1"/>
            <w:noWrap/>
            <w:vAlign w:val="center"/>
            <w:hideMark/>
          </w:tcPr>
          <w:p w14:paraId="0E9FDF51" w14:textId="77777777" w:rsidR="0032421D" w:rsidRPr="00FF6481" w:rsidRDefault="0032421D" w:rsidP="00AF2AF3">
            <w:pPr>
              <w:spacing w:after="0" w:line="240" w:lineRule="auto"/>
              <w:contextualSpacing/>
              <w:jc w:val="center"/>
              <w:rPr>
                <w:rFonts w:ascii="Times New Roman" w:hAnsi="Times New Roman" w:cs="Times New Roman"/>
                <w:bCs/>
                <w:color w:val="000000"/>
                <w:sz w:val="16"/>
                <w:szCs w:val="16"/>
              </w:rPr>
            </w:pPr>
            <w:r w:rsidRPr="00FF6481">
              <w:rPr>
                <w:rFonts w:ascii="Times New Roman" w:hAnsi="Times New Roman" w:cs="Times New Roman"/>
                <w:bCs/>
                <w:color w:val="000000"/>
                <w:sz w:val="16"/>
                <w:szCs w:val="16"/>
              </w:rPr>
              <w:t>TE</w:t>
            </w:r>
          </w:p>
        </w:tc>
        <w:tc>
          <w:tcPr>
            <w:tcW w:w="539" w:type="pct"/>
            <w:tcBorders>
              <w:top w:val="nil"/>
              <w:left w:val="nil"/>
              <w:bottom w:val="single" w:sz="4" w:space="0" w:color="auto"/>
              <w:right w:val="nil"/>
            </w:tcBorders>
            <w:shd w:val="clear" w:color="auto" w:fill="FFFFFF" w:themeFill="background1"/>
            <w:noWrap/>
            <w:vAlign w:val="center"/>
            <w:hideMark/>
          </w:tcPr>
          <w:p w14:paraId="2646DB54" w14:textId="77777777" w:rsidR="0032421D" w:rsidRPr="00FF6481" w:rsidRDefault="0032421D" w:rsidP="00AF2AF3">
            <w:pPr>
              <w:spacing w:after="0" w:line="240" w:lineRule="auto"/>
              <w:contextualSpacing/>
              <w:jc w:val="right"/>
              <w:rPr>
                <w:rFonts w:ascii="Times New Roman" w:hAnsi="Times New Roman" w:cs="Times New Roman"/>
                <w:bCs/>
                <w:color w:val="000000"/>
                <w:sz w:val="16"/>
                <w:szCs w:val="16"/>
              </w:rPr>
            </w:pPr>
            <w:r>
              <w:rPr>
                <w:rFonts w:ascii="Times New Roman" w:hAnsi="Times New Roman" w:cs="Times New Roman"/>
                <w:bCs/>
                <w:color w:val="000000"/>
                <w:sz w:val="16"/>
                <w:szCs w:val="16"/>
              </w:rPr>
              <w:t>69 385</w:t>
            </w:r>
          </w:p>
        </w:tc>
        <w:tc>
          <w:tcPr>
            <w:tcW w:w="539" w:type="pct"/>
            <w:tcBorders>
              <w:top w:val="nil"/>
              <w:left w:val="nil"/>
              <w:bottom w:val="single" w:sz="4" w:space="0" w:color="auto"/>
              <w:right w:val="nil"/>
            </w:tcBorders>
            <w:shd w:val="clear" w:color="auto" w:fill="FFFFFF" w:themeFill="background1"/>
            <w:noWrap/>
            <w:vAlign w:val="center"/>
            <w:hideMark/>
          </w:tcPr>
          <w:p w14:paraId="0758E223" w14:textId="77777777" w:rsidR="0032421D" w:rsidRPr="00FF6481" w:rsidRDefault="0032421D" w:rsidP="00AF2AF3">
            <w:pPr>
              <w:spacing w:after="0" w:line="240" w:lineRule="auto"/>
              <w:contextualSpacing/>
              <w:jc w:val="right"/>
              <w:rPr>
                <w:rFonts w:ascii="Times New Roman" w:hAnsi="Times New Roman" w:cs="Times New Roman"/>
                <w:bCs/>
                <w:color w:val="000000"/>
                <w:sz w:val="16"/>
                <w:szCs w:val="16"/>
              </w:rPr>
            </w:pPr>
            <w:r>
              <w:rPr>
                <w:rFonts w:ascii="Times New Roman" w:hAnsi="Times New Roman" w:cs="Times New Roman"/>
                <w:bCs/>
                <w:color w:val="000000"/>
                <w:sz w:val="16"/>
                <w:szCs w:val="16"/>
              </w:rPr>
              <w:t>86 792</w:t>
            </w:r>
          </w:p>
        </w:tc>
        <w:tc>
          <w:tcPr>
            <w:tcW w:w="539" w:type="pct"/>
            <w:tcBorders>
              <w:top w:val="nil"/>
              <w:left w:val="nil"/>
              <w:bottom w:val="single" w:sz="4" w:space="0" w:color="auto"/>
              <w:right w:val="nil"/>
            </w:tcBorders>
            <w:shd w:val="clear" w:color="auto" w:fill="FFFFFF" w:themeFill="background1"/>
            <w:noWrap/>
            <w:vAlign w:val="center"/>
            <w:hideMark/>
          </w:tcPr>
          <w:p w14:paraId="77E80A2A" w14:textId="77777777" w:rsidR="0032421D" w:rsidRPr="001D4E5B" w:rsidRDefault="0032421D" w:rsidP="00AF2AF3">
            <w:pPr>
              <w:spacing w:after="0" w:line="240" w:lineRule="auto"/>
              <w:contextualSpacing/>
              <w:jc w:val="right"/>
              <w:rPr>
                <w:rFonts w:ascii="Times New Roman" w:hAnsi="Times New Roman" w:cs="Times New Roman"/>
                <w:bCs/>
                <w:color w:val="000000"/>
                <w:sz w:val="16"/>
                <w:szCs w:val="16"/>
              </w:rPr>
            </w:pPr>
            <w:r>
              <w:rPr>
                <w:rFonts w:ascii="Times New Roman" w:hAnsi="Times New Roman" w:cs="Times New Roman"/>
                <w:bCs/>
                <w:color w:val="000000"/>
                <w:sz w:val="16"/>
                <w:szCs w:val="16"/>
              </w:rPr>
              <w:t>171 295</w:t>
            </w:r>
          </w:p>
        </w:tc>
      </w:tr>
    </w:tbl>
    <w:p w14:paraId="38282160" w14:textId="77777777" w:rsidR="0032421D" w:rsidRDefault="0032421D" w:rsidP="0032421D">
      <w:pPr>
        <w:spacing w:after="0" w:line="240" w:lineRule="auto"/>
        <w:contextualSpacing/>
        <w:jc w:val="right"/>
        <w:rPr>
          <w:rFonts w:ascii="Times New Roman" w:hAnsi="Times New Roman" w:cs="Times New Roman"/>
          <w:i/>
          <w:sz w:val="16"/>
          <w:szCs w:val="16"/>
        </w:rPr>
      </w:pPr>
      <w:r w:rsidRPr="00667D6F">
        <w:rPr>
          <w:rFonts w:ascii="Times New Roman" w:hAnsi="Times New Roman" w:cs="Times New Roman"/>
          <w:i/>
          <w:sz w:val="16"/>
          <w:szCs w:val="16"/>
        </w:rPr>
        <w:t>Zdroj: ŠÚ SR</w:t>
      </w:r>
    </w:p>
    <w:p w14:paraId="76952AF3" w14:textId="77777777" w:rsidR="0032421D" w:rsidRPr="005E03FA" w:rsidRDefault="0032421D" w:rsidP="0032421D">
      <w:pPr>
        <w:spacing w:after="0" w:line="240" w:lineRule="auto"/>
        <w:contextualSpacing/>
        <w:jc w:val="right"/>
        <w:rPr>
          <w:rFonts w:ascii="Times New Roman" w:hAnsi="Times New Roman" w:cs="Times New Roman"/>
          <w:i/>
          <w:sz w:val="16"/>
          <w:szCs w:val="16"/>
        </w:rPr>
      </w:pPr>
    </w:p>
    <w:p w14:paraId="539DACA1" w14:textId="77777777" w:rsidR="0032421D" w:rsidRDefault="0032421D" w:rsidP="0032421D">
      <w:pPr>
        <w:spacing w:after="0" w:line="240" w:lineRule="auto"/>
        <w:jc w:val="both"/>
        <w:rPr>
          <w:rFonts w:ascii="Times New Roman" w:hAnsi="Times New Roman" w:cs="Times New Roman"/>
          <w:sz w:val="24"/>
          <w:szCs w:val="24"/>
        </w:rPr>
      </w:pPr>
      <w:r w:rsidRPr="00EC0017">
        <w:rPr>
          <w:rFonts w:ascii="Times New Roman" w:hAnsi="Times New Roman" w:cs="Times New Roman"/>
          <w:sz w:val="24"/>
          <w:szCs w:val="24"/>
        </w:rPr>
        <w:t xml:space="preserve">Európsky nástroj finančnej stability (EFSF), tzv. </w:t>
      </w:r>
      <w:proofErr w:type="spellStart"/>
      <w:r w:rsidRPr="00EC0017">
        <w:rPr>
          <w:rFonts w:ascii="Times New Roman" w:hAnsi="Times New Roman" w:cs="Times New Roman"/>
          <w:sz w:val="24"/>
          <w:szCs w:val="24"/>
        </w:rPr>
        <w:t>euroval</w:t>
      </w:r>
      <w:proofErr w:type="spellEnd"/>
      <w:r w:rsidRPr="00EC0017">
        <w:rPr>
          <w:rFonts w:ascii="Times New Roman" w:hAnsi="Times New Roman" w:cs="Times New Roman"/>
          <w:sz w:val="24"/>
          <w:szCs w:val="24"/>
        </w:rPr>
        <w:t xml:space="preserve"> 1 je medzinárodná akciová</w:t>
      </w:r>
      <w:r w:rsidRPr="00EC3CE0">
        <w:rPr>
          <w:rFonts w:ascii="Times New Roman" w:hAnsi="Times New Roman" w:cs="Times New Roman"/>
          <w:sz w:val="24"/>
          <w:szCs w:val="24"/>
        </w:rPr>
        <w:t xml:space="preserve"> spoločnosť, ktorú založili členské štáty eurozóny s cieľom zabezpečiť finančnú stabilitu v Európe poskytovaním finančnej pomoci krajinám eurozóny, ktoré stratili prístup k finančným trhom. EFSF si požičiava na finančných trhoch za zvýhodnených podmienok, nakoľko jej finančné záväzky sú priamo garantované jej akcionármi, t. j. členskými štátmi. Tieto finančné zdroje EFSF následne prepožičiava členskému štátu</w:t>
      </w:r>
      <w:r>
        <w:rPr>
          <w:rFonts w:ascii="Times New Roman" w:hAnsi="Times New Roman" w:cs="Times New Roman"/>
          <w:sz w:val="24"/>
          <w:szCs w:val="24"/>
        </w:rPr>
        <w:t xml:space="preserve">, ktorému bola pomoc schválená. </w:t>
      </w:r>
      <w:r w:rsidRPr="00EC3CE0">
        <w:rPr>
          <w:rFonts w:ascii="Times New Roman" w:hAnsi="Times New Roman" w:cs="Times New Roman"/>
          <w:sz w:val="24"/>
          <w:szCs w:val="24"/>
        </w:rPr>
        <w:t>Údaje za skutočnosť získava Š</w:t>
      </w:r>
      <w:r>
        <w:rPr>
          <w:rFonts w:ascii="Times New Roman" w:hAnsi="Times New Roman" w:cs="Times New Roman"/>
          <w:sz w:val="24"/>
          <w:szCs w:val="24"/>
        </w:rPr>
        <w:t>tatistický úrad</w:t>
      </w:r>
      <w:r w:rsidRPr="00EC3CE0">
        <w:rPr>
          <w:rFonts w:ascii="Times New Roman" w:hAnsi="Times New Roman" w:cs="Times New Roman"/>
          <w:sz w:val="24"/>
          <w:szCs w:val="24"/>
        </w:rPr>
        <w:t xml:space="preserve"> SR z </w:t>
      </w:r>
      <w:proofErr w:type="spellStart"/>
      <w:r w:rsidRPr="00EC3CE0">
        <w:rPr>
          <w:rFonts w:ascii="Times New Roman" w:hAnsi="Times New Roman" w:cs="Times New Roman"/>
          <w:sz w:val="24"/>
          <w:szCs w:val="24"/>
        </w:rPr>
        <w:t>Eurostatu</w:t>
      </w:r>
      <w:proofErr w:type="spellEnd"/>
      <w:r w:rsidRPr="00EC3CE0">
        <w:rPr>
          <w:rFonts w:ascii="Times New Roman" w:hAnsi="Times New Roman" w:cs="Times New Roman"/>
          <w:sz w:val="24"/>
          <w:szCs w:val="24"/>
        </w:rPr>
        <w:t xml:space="preserve">, a to až po skončení príslušného kalendárneho roka. Hodnoty príjmov a výdavkov pre danú krajinu sa každoročne prepočítavajú a menia v závislosti od objemu prijatých a uhradených úrokov za daný rok. Vplyv na bilanciu verejných financií v jednotlivých rokoch je minimálny. </w:t>
      </w:r>
      <w:r>
        <w:rPr>
          <w:rFonts w:ascii="Times New Roman" w:hAnsi="Times New Roman" w:cs="Times New Roman"/>
          <w:sz w:val="24"/>
          <w:szCs w:val="24"/>
        </w:rPr>
        <w:t>Ministerstvo financií SR</w:t>
      </w:r>
      <w:r w:rsidRPr="00EC3CE0">
        <w:rPr>
          <w:rFonts w:ascii="Times New Roman" w:hAnsi="Times New Roman" w:cs="Times New Roman"/>
          <w:sz w:val="24"/>
          <w:szCs w:val="24"/>
        </w:rPr>
        <w:t xml:space="preserve"> pri tvorbe rozpočtu verejnej správy nedisponuje potrebnými údajmi, a preto príjmy a výdavky EFSF </w:t>
      </w:r>
      <w:r>
        <w:rPr>
          <w:rFonts w:ascii="Times New Roman" w:hAnsi="Times New Roman" w:cs="Times New Roman"/>
          <w:sz w:val="24"/>
          <w:szCs w:val="24"/>
        </w:rPr>
        <w:t>nie sú obsiahnuté v rozpočte verejnej správy</w:t>
      </w:r>
      <w:r w:rsidRPr="00EC3CE0">
        <w:rPr>
          <w:rFonts w:ascii="Times New Roman" w:hAnsi="Times New Roman" w:cs="Times New Roman"/>
          <w:sz w:val="24"/>
          <w:szCs w:val="24"/>
        </w:rPr>
        <w:t>.</w:t>
      </w:r>
    </w:p>
    <w:p w14:paraId="62F47C2B" w14:textId="77777777" w:rsidR="0032421D" w:rsidRDefault="0032421D" w:rsidP="0032421D">
      <w:pPr>
        <w:spacing w:after="0" w:line="240" w:lineRule="auto"/>
        <w:jc w:val="both"/>
        <w:rPr>
          <w:lang w:eastAsia="cs-CZ"/>
        </w:rPr>
      </w:pPr>
    </w:p>
    <w:p w14:paraId="584C7C19" w14:textId="256331D4" w:rsidR="0032421D" w:rsidRPr="00EB7370" w:rsidRDefault="0032421D" w:rsidP="0032421D">
      <w:pPr>
        <w:pStyle w:val="Popis"/>
        <w:keepNext/>
        <w:spacing w:after="0"/>
        <w:rPr>
          <w:rFonts w:ascii="Times New Roman" w:hAnsi="Times New Roman" w:cs="Times New Roman"/>
          <w:b/>
          <w:i w:val="0"/>
          <w:color w:val="5B9BD5" w:themeColor="accent1"/>
          <w:sz w:val="20"/>
          <w:szCs w:val="20"/>
        </w:rPr>
      </w:pPr>
      <w:bookmarkStart w:id="72" w:name="_Toc84845243"/>
      <w:bookmarkStart w:id="73" w:name="_Toc116288199"/>
      <w:bookmarkStart w:id="74" w:name="_Toc153013015"/>
      <w:r w:rsidRPr="00EB7370">
        <w:rPr>
          <w:rFonts w:ascii="Times New Roman" w:hAnsi="Times New Roman" w:cs="Times New Roman"/>
          <w:b/>
          <w:i w:val="0"/>
          <w:color w:val="5B9BD5" w:themeColor="accent1"/>
          <w:sz w:val="20"/>
          <w:szCs w:val="20"/>
        </w:rPr>
        <w:t xml:space="preserve">Tabuľka </w:t>
      </w:r>
      <w:r w:rsidRPr="00EB7370">
        <w:rPr>
          <w:rFonts w:ascii="Times New Roman" w:hAnsi="Times New Roman" w:cs="Times New Roman"/>
          <w:b/>
          <w:i w:val="0"/>
          <w:color w:val="5B9BD5" w:themeColor="accent1"/>
          <w:sz w:val="20"/>
          <w:szCs w:val="20"/>
        </w:rPr>
        <w:fldChar w:fldCharType="begin"/>
      </w:r>
      <w:r w:rsidRPr="00EB7370">
        <w:rPr>
          <w:rFonts w:ascii="Times New Roman" w:hAnsi="Times New Roman" w:cs="Times New Roman"/>
          <w:b/>
          <w:i w:val="0"/>
          <w:color w:val="5B9BD5" w:themeColor="accent1"/>
          <w:sz w:val="20"/>
          <w:szCs w:val="20"/>
        </w:rPr>
        <w:instrText xml:space="preserve"> SEQ Tabuľka \* ARABIC </w:instrText>
      </w:r>
      <w:r w:rsidRPr="00EB7370">
        <w:rPr>
          <w:rFonts w:ascii="Times New Roman" w:hAnsi="Times New Roman" w:cs="Times New Roman"/>
          <w:b/>
          <w:i w:val="0"/>
          <w:color w:val="5B9BD5" w:themeColor="accent1"/>
          <w:sz w:val="20"/>
          <w:szCs w:val="20"/>
        </w:rPr>
        <w:fldChar w:fldCharType="separate"/>
      </w:r>
      <w:r w:rsidR="003D5A3A">
        <w:rPr>
          <w:rFonts w:ascii="Times New Roman" w:hAnsi="Times New Roman" w:cs="Times New Roman"/>
          <w:b/>
          <w:i w:val="0"/>
          <w:noProof/>
          <w:color w:val="5B9BD5" w:themeColor="accent1"/>
          <w:sz w:val="20"/>
          <w:szCs w:val="20"/>
        </w:rPr>
        <w:t>17</w:t>
      </w:r>
      <w:r w:rsidRPr="00EB7370">
        <w:rPr>
          <w:rFonts w:ascii="Times New Roman" w:hAnsi="Times New Roman" w:cs="Times New Roman"/>
          <w:b/>
          <w:i w:val="0"/>
          <w:color w:val="5B9BD5" w:themeColor="accent1"/>
          <w:sz w:val="20"/>
          <w:szCs w:val="20"/>
        </w:rPr>
        <w:fldChar w:fldCharType="end"/>
      </w:r>
      <w:r w:rsidRPr="00EB7370">
        <w:rPr>
          <w:rFonts w:ascii="Times New Roman" w:hAnsi="Times New Roman" w:cs="Times New Roman"/>
          <w:b/>
          <w:i w:val="0"/>
          <w:color w:val="5B9BD5" w:themeColor="accent1"/>
          <w:sz w:val="20"/>
          <w:szCs w:val="20"/>
        </w:rPr>
        <w:t xml:space="preserve"> - Príjmy a výdavky EFSF - </w:t>
      </w:r>
      <w:proofErr w:type="spellStart"/>
      <w:r w:rsidRPr="00EB7370">
        <w:rPr>
          <w:rFonts w:ascii="Times New Roman" w:hAnsi="Times New Roman" w:cs="Times New Roman"/>
          <w:b/>
          <w:i w:val="0"/>
          <w:color w:val="5B9BD5" w:themeColor="accent1"/>
          <w:sz w:val="20"/>
          <w:szCs w:val="20"/>
        </w:rPr>
        <w:t>European</w:t>
      </w:r>
      <w:proofErr w:type="spellEnd"/>
      <w:r w:rsidRPr="00EB7370">
        <w:rPr>
          <w:rFonts w:ascii="Times New Roman" w:hAnsi="Times New Roman" w:cs="Times New Roman"/>
          <w:b/>
          <w:i w:val="0"/>
          <w:color w:val="5B9BD5" w:themeColor="accent1"/>
          <w:sz w:val="20"/>
          <w:szCs w:val="20"/>
        </w:rPr>
        <w:t xml:space="preserve"> </w:t>
      </w:r>
      <w:proofErr w:type="spellStart"/>
      <w:r w:rsidRPr="00EB7370">
        <w:rPr>
          <w:rFonts w:ascii="Times New Roman" w:hAnsi="Times New Roman" w:cs="Times New Roman"/>
          <w:b/>
          <w:i w:val="0"/>
          <w:color w:val="5B9BD5" w:themeColor="accent1"/>
          <w:sz w:val="20"/>
          <w:szCs w:val="20"/>
        </w:rPr>
        <w:t>Financial</w:t>
      </w:r>
      <w:proofErr w:type="spellEnd"/>
      <w:r w:rsidRPr="00EB7370">
        <w:rPr>
          <w:rFonts w:ascii="Times New Roman" w:hAnsi="Times New Roman" w:cs="Times New Roman"/>
          <w:b/>
          <w:i w:val="0"/>
          <w:color w:val="5B9BD5" w:themeColor="accent1"/>
          <w:sz w:val="20"/>
          <w:szCs w:val="20"/>
        </w:rPr>
        <w:t xml:space="preserve"> Stability </w:t>
      </w:r>
      <w:proofErr w:type="spellStart"/>
      <w:r w:rsidRPr="00EB7370">
        <w:rPr>
          <w:rFonts w:ascii="Times New Roman" w:hAnsi="Times New Roman" w:cs="Times New Roman"/>
          <w:b/>
          <w:i w:val="0"/>
          <w:color w:val="5B9BD5" w:themeColor="accent1"/>
          <w:sz w:val="20"/>
          <w:szCs w:val="20"/>
        </w:rPr>
        <w:t>Facility</w:t>
      </w:r>
      <w:bookmarkEnd w:id="72"/>
      <w:bookmarkEnd w:id="73"/>
      <w:bookmarkEnd w:id="74"/>
      <w:proofErr w:type="spellEnd"/>
    </w:p>
    <w:tbl>
      <w:tblPr>
        <w:tblW w:w="9129" w:type="dxa"/>
        <w:tblCellMar>
          <w:left w:w="70" w:type="dxa"/>
          <w:right w:w="70" w:type="dxa"/>
        </w:tblCellMar>
        <w:tblLook w:val="04A0" w:firstRow="1" w:lastRow="0" w:firstColumn="1" w:lastColumn="0" w:noHBand="0" w:noVBand="1"/>
      </w:tblPr>
      <w:tblGrid>
        <w:gridCol w:w="5169"/>
        <w:gridCol w:w="990"/>
        <w:gridCol w:w="990"/>
        <w:gridCol w:w="990"/>
        <w:gridCol w:w="990"/>
      </w:tblGrid>
      <w:tr w:rsidR="0032421D" w:rsidRPr="00EC0017" w14:paraId="65487E4C" w14:textId="77777777" w:rsidTr="00AF2AF3">
        <w:trPr>
          <w:trHeight w:val="266"/>
        </w:trPr>
        <w:tc>
          <w:tcPr>
            <w:tcW w:w="5169" w:type="dxa"/>
            <w:tcBorders>
              <w:top w:val="single" w:sz="4" w:space="0" w:color="auto"/>
              <w:left w:val="nil"/>
              <w:bottom w:val="single" w:sz="4" w:space="0" w:color="auto"/>
              <w:right w:val="nil"/>
            </w:tcBorders>
            <w:shd w:val="clear" w:color="000000" w:fill="auto"/>
            <w:noWrap/>
            <w:vAlign w:val="center"/>
            <w:hideMark/>
          </w:tcPr>
          <w:p w14:paraId="0941BC4D" w14:textId="77777777" w:rsidR="0032421D" w:rsidRPr="00EC0017" w:rsidRDefault="0032421D" w:rsidP="00AF2AF3">
            <w:pPr>
              <w:spacing w:after="120" w:line="336" w:lineRule="auto"/>
              <w:contextualSpacing/>
              <w:rPr>
                <w:rFonts w:ascii="Times New Roman" w:hAnsi="Times New Roman" w:cs="Times New Roman"/>
                <w:b/>
                <w:bCs/>
                <w:color w:val="000000"/>
                <w:sz w:val="16"/>
                <w:szCs w:val="16"/>
              </w:rPr>
            </w:pPr>
            <w:r w:rsidRPr="00EC0017">
              <w:rPr>
                <w:rFonts w:ascii="Times New Roman" w:hAnsi="Times New Roman" w:cs="Times New Roman"/>
                <w:b/>
                <w:bCs/>
                <w:color w:val="000000"/>
                <w:sz w:val="16"/>
                <w:szCs w:val="16"/>
              </w:rPr>
              <w:t>(ESA 2010, v tis. eur)</w:t>
            </w:r>
          </w:p>
        </w:tc>
        <w:tc>
          <w:tcPr>
            <w:tcW w:w="990" w:type="dxa"/>
            <w:tcBorders>
              <w:top w:val="single" w:sz="4" w:space="0" w:color="auto"/>
              <w:left w:val="nil"/>
              <w:bottom w:val="single" w:sz="4" w:space="0" w:color="auto"/>
              <w:right w:val="nil"/>
            </w:tcBorders>
            <w:shd w:val="clear" w:color="000000" w:fill="auto"/>
            <w:noWrap/>
            <w:vAlign w:val="center"/>
            <w:hideMark/>
          </w:tcPr>
          <w:p w14:paraId="39E19B0F" w14:textId="77777777" w:rsidR="0032421D" w:rsidRPr="00EC0017" w:rsidRDefault="0032421D" w:rsidP="00AF2AF3">
            <w:pPr>
              <w:spacing w:after="120" w:line="336" w:lineRule="auto"/>
              <w:contextualSpacing/>
              <w:jc w:val="center"/>
              <w:rPr>
                <w:rFonts w:ascii="Times New Roman" w:hAnsi="Times New Roman" w:cs="Times New Roman"/>
                <w:b/>
                <w:bCs/>
                <w:color w:val="000000"/>
                <w:sz w:val="16"/>
                <w:szCs w:val="16"/>
              </w:rPr>
            </w:pPr>
            <w:r w:rsidRPr="00EC0017">
              <w:rPr>
                <w:rFonts w:ascii="Times New Roman" w:hAnsi="Times New Roman" w:cs="Times New Roman"/>
                <w:b/>
                <w:bCs/>
                <w:color w:val="000000"/>
                <w:sz w:val="16"/>
                <w:szCs w:val="16"/>
              </w:rPr>
              <w:t>ESA 2010</w:t>
            </w:r>
          </w:p>
        </w:tc>
        <w:tc>
          <w:tcPr>
            <w:tcW w:w="990" w:type="dxa"/>
            <w:tcBorders>
              <w:top w:val="single" w:sz="4" w:space="0" w:color="auto"/>
              <w:left w:val="nil"/>
              <w:bottom w:val="single" w:sz="4" w:space="0" w:color="auto"/>
              <w:right w:val="nil"/>
            </w:tcBorders>
            <w:shd w:val="clear" w:color="000000" w:fill="auto"/>
            <w:vAlign w:val="center"/>
          </w:tcPr>
          <w:p w14:paraId="1F06540F" w14:textId="77777777" w:rsidR="0032421D" w:rsidRPr="00EC0017" w:rsidRDefault="0032421D" w:rsidP="00AF2AF3">
            <w:pPr>
              <w:spacing w:after="120" w:line="336" w:lineRule="auto"/>
              <w:contextualSpacing/>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2020</w:t>
            </w:r>
            <w:r w:rsidRPr="00EC0017">
              <w:rPr>
                <w:rFonts w:ascii="Times New Roman" w:hAnsi="Times New Roman" w:cs="Times New Roman"/>
                <w:b/>
                <w:bCs/>
                <w:color w:val="000000"/>
                <w:sz w:val="16"/>
                <w:szCs w:val="16"/>
              </w:rPr>
              <w:t xml:space="preserve"> S</w:t>
            </w:r>
          </w:p>
        </w:tc>
        <w:tc>
          <w:tcPr>
            <w:tcW w:w="990" w:type="dxa"/>
            <w:tcBorders>
              <w:top w:val="single" w:sz="4" w:space="0" w:color="auto"/>
              <w:left w:val="nil"/>
              <w:bottom w:val="single" w:sz="4" w:space="0" w:color="auto"/>
              <w:right w:val="nil"/>
            </w:tcBorders>
            <w:shd w:val="clear" w:color="000000" w:fill="auto"/>
            <w:noWrap/>
            <w:vAlign w:val="center"/>
            <w:hideMark/>
          </w:tcPr>
          <w:p w14:paraId="50D39379" w14:textId="77777777" w:rsidR="0032421D" w:rsidRPr="00EC0017" w:rsidRDefault="0032421D" w:rsidP="00AF2AF3">
            <w:pPr>
              <w:spacing w:after="120" w:line="336" w:lineRule="auto"/>
              <w:contextualSpacing/>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2021</w:t>
            </w:r>
            <w:r w:rsidRPr="00EC0017">
              <w:rPr>
                <w:rFonts w:ascii="Times New Roman" w:hAnsi="Times New Roman" w:cs="Times New Roman"/>
                <w:b/>
                <w:bCs/>
                <w:color w:val="000000"/>
                <w:sz w:val="16"/>
                <w:szCs w:val="16"/>
              </w:rPr>
              <w:t xml:space="preserve"> S</w:t>
            </w:r>
          </w:p>
        </w:tc>
        <w:tc>
          <w:tcPr>
            <w:tcW w:w="990" w:type="dxa"/>
            <w:tcBorders>
              <w:top w:val="single" w:sz="4" w:space="0" w:color="auto"/>
              <w:left w:val="nil"/>
              <w:bottom w:val="single" w:sz="4" w:space="0" w:color="auto"/>
              <w:right w:val="nil"/>
            </w:tcBorders>
            <w:shd w:val="clear" w:color="000000" w:fill="auto"/>
            <w:noWrap/>
            <w:vAlign w:val="center"/>
            <w:hideMark/>
          </w:tcPr>
          <w:p w14:paraId="5FCD627F" w14:textId="77777777" w:rsidR="0032421D" w:rsidRPr="00EC0017" w:rsidRDefault="0032421D" w:rsidP="00AF2AF3">
            <w:pPr>
              <w:spacing w:after="120" w:line="336" w:lineRule="auto"/>
              <w:contextualSpacing/>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2022</w:t>
            </w:r>
            <w:r w:rsidRPr="00EC0017">
              <w:rPr>
                <w:rFonts w:ascii="Times New Roman" w:hAnsi="Times New Roman" w:cs="Times New Roman"/>
                <w:b/>
                <w:bCs/>
                <w:color w:val="000000"/>
                <w:sz w:val="16"/>
                <w:szCs w:val="16"/>
              </w:rPr>
              <w:t xml:space="preserve"> S</w:t>
            </w:r>
          </w:p>
        </w:tc>
      </w:tr>
      <w:tr w:rsidR="0032421D" w:rsidRPr="00EC0017" w14:paraId="7D078872" w14:textId="77777777" w:rsidTr="00AF2AF3">
        <w:trPr>
          <w:trHeight w:val="266"/>
        </w:trPr>
        <w:tc>
          <w:tcPr>
            <w:tcW w:w="5169" w:type="dxa"/>
            <w:tcBorders>
              <w:top w:val="single" w:sz="4" w:space="0" w:color="auto"/>
              <w:left w:val="nil"/>
              <w:bottom w:val="single" w:sz="4" w:space="0" w:color="auto"/>
              <w:right w:val="nil"/>
            </w:tcBorders>
            <w:shd w:val="clear" w:color="000000" w:fill="auto"/>
            <w:noWrap/>
            <w:vAlign w:val="center"/>
            <w:hideMark/>
          </w:tcPr>
          <w:p w14:paraId="2922137C" w14:textId="77777777" w:rsidR="0032421D" w:rsidRPr="00EC0017" w:rsidRDefault="0032421D" w:rsidP="00AF2AF3">
            <w:pPr>
              <w:spacing w:after="120" w:line="336" w:lineRule="auto"/>
              <w:contextualSpacing/>
              <w:rPr>
                <w:rFonts w:ascii="Times New Roman" w:hAnsi="Times New Roman" w:cs="Times New Roman"/>
                <w:b/>
                <w:bCs/>
                <w:color w:val="000000"/>
                <w:sz w:val="16"/>
                <w:szCs w:val="16"/>
              </w:rPr>
            </w:pPr>
            <w:r w:rsidRPr="00EC0017">
              <w:rPr>
                <w:rFonts w:ascii="Times New Roman" w:hAnsi="Times New Roman" w:cs="Times New Roman"/>
                <w:b/>
                <w:bCs/>
                <w:color w:val="000000"/>
                <w:sz w:val="16"/>
                <w:szCs w:val="16"/>
              </w:rPr>
              <w:t>Saldo</w:t>
            </w:r>
          </w:p>
        </w:tc>
        <w:tc>
          <w:tcPr>
            <w:tcW w:w="990" w:type="dxa"/>
            <w:tcBorders>
              <w:top w:val="single" w:sz="4" w:space="0" w:color="auto"/>
              <w:left w:val="nil"/>
              <w:bottom w:val="single" w:sz="4" w:space="0" w:color="auto"/>
              <w:right w:val="nil"/>
            </w:tcBorders>
            <w:shd w:val="clear" w:color="000000" w:fill="auto"/>
            <w:noWrap/>
            <w:vAlign w:val="center"/>
            <w:hideMark/>
          </w:tcPr>
          <w:p w14:paraId="1B5248C7" w14:textId="77777777" w:rsidR="0032421D" w:rsidRPr="00EC0017" w:rsidRDefault="0032421D" w:rsidP="00AF2AF3">
            <w:pPr>
              <w:spacing w:after="120" w:line="336" w:lineRule="auto"/>
              <w:contextualSpacing/>
              <w:jc w:val="center"/>
              <w:rPr>
                <w:rFonts w:ascii="Times New Roman" w:hAnsi="Times New Roman" w:cs="Times New Roman"/>
                <w:b/>
                <w:bCs/>
                <w:color w:val="000000"/>
                <w:sz w:val="16"/>
                <w:szCs w:val="16"/>
              </w:rPr>
            </w:pPr>
            <w:r w:rsidRPr="00EC0017">
              <w:rPr>
                <w:rFonts w:ascii="Times New Roman" w:hAnsi="Times New Roman" w:cs="Times New Roman"/>
                <w:b/>
                <w:bCs/>
                <w:color w:val="000000"/>
                <w:sz w:val="16"/>
                <w:szCs w:val="16"/>
              </w:rPr>
              <w:t>B.9</w:t>
            </w:r>
          </w:p>
        </w:tc>
        <w:tc>
          <w:tcPr>
            <w:tcW w:w="990" w:type="dxa"/>
            <w:tcBorders>
              <w:top w:val="single" w:sz="4" w:space="0" w:color="auto"/>
              <w:left w:val="nil"/>
              <w:bottom w:val="single" w:sz="4" w:space="0" w:color="auto"/>
              <w:right w:val="nil"/>
            </w:tcBorders>
            <w:shd w:val="clear" w:color="000000" w:fill="auto"/>
            <w:vAlign w:val="center"/>
          </w:tcPr>
          <w:p w14:paraId="3EBEADC5" w14:textId="77777777" w:rsidR="0032421D" w:rsidRPr="00EC0017" w:rsidRDefault="0032421D" w:rsidP="00AF2AF3">
            <w:pPr>
              <w:spacing w:after="120" w:line="336" w:lineRule="auto"/>
              <w:contextualSpacing/>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14</w:t>
            </w:r>
          </w:p>
        </w:tc>
        <w:tc>
          <w:tcPr>
            <w:tcW w:w="990" w:type="dxa"/>
            <w:tcBorders>
              <w:top w:val="single" w:sz="4" w:space="0" w:color="auto"/>
              <w:left w:val="nil"/>
              <w:bottom w:val="single" w:sz="4" w:space="0" w:color="auto"/>
              <w:right w:val="nil"/>
            </w:tcBorders>
            <w:shd w:val="clear" w:color="000000" w:fill="auto"/>
            <w:noWrap/>
            <w:vAlign w:val="center"/>
            <w:hideMark/>
          </w:tcPr>
          <w:p w14:paraId="341D303D" w14:textId="77777777" w:rsidR="0032421D" w:rsidRPr="00EC0017" w:rsidRDefault="0032421D" w:rsidP="00AF2AF3">
            <w:pPr>
              <w:spacing w:after="120" w:line="336" w:lineRule="auto"/>
              <w:contextualSpacing/>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-12 040</w:t>
            </w:r>
          </w:p>
        </w:tc>
        <w:tc>
          <w:tcPr>
            <w:tcW w:w="990" w:type="dxa"/>
            <w:tcBorders>
              <w:top w:val="single" w:sz="4" w:space="0" w:color="auto"/>
              <w:left w:val="nil"/>
              <w:bottom w:val="single" w:sz="4" w:space="0" w:color="auto"/>
              <w:right w:val="nil"/>
            </w:tcBorders>
            <w:shd w:val="clear" w:color="000000" w:fill="auto"/>
            <w:noWrap/>
            <w:vAlign w:val="center"/>
            <w:hideMark/>
          </w:tcPr>
          <w:p w14:paraId="5ED06D8C" w14:textId="77777777" w:rsidR="0032421D" w:rsidRPr="00EC0017" w:rsidRDefault="0032421D" w:rsidP="00AF2AF3">
            <w:pPr>
              <w:spacing w:after="120" w:line="336" w:lineRule="auto"/>
              <w:contextualSpacing/>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-289</w:t>
            </w:r>
          </w:p>
        </w:tc>
      </w:tr>
      <w:tr w:rsidR="0032421D" w:rsidRPr="00EC0017" w14:paraId="3740DD1C" w14:textId="77777777" w:rsidTr="00AF2AF3">
        <w:trPr>
          <w:trHeight w:val="266"/>
        </w:trPr>
        <w:tc>
          <w:tcPr>
            <w:tcW w:w="5169" w:type="dxa"/>
            <w:tcBorders>
              <w:top w:val="nil"/>
              <w:left w:val="nil"/>
              <w:right w:val="nil"/>
            </w:tcBorders>
            <w:shd w:val="clear" w:color="auto" w:fill="auto"/>
            <w:noWrap/>
            <w:vAlign w:val="center"/>
            <w:hideMark/>
          </w:tcPr>
          <w:p w14:paraId="250A6F88" w14:textId="77777777" w:rsidR="0032421D" w:rsidRPr="00EC0017" w:rsidRDefault="0032421D" w:rsidP="00AF2AF3">
            <w:pPr>
              <w:spacing w:after="120" w:line="336" w:lineRule="auto"/>
              <w:contextualSpacing/>
              <w:rPr>
                <w:rFonts w:ascii="Times New Roman" w:hAnsi="Times New Roman" w:cs="Times New Roman"/>
                <w:b/>
                <w:bCs/>
                <w:color w:val="000000"/>
                <w:sz w:val="16"/>
                <w:szCs w:val="16"/>
              </w:rPr>
            </w:pPr>
            <w:r w:rsidRPr="00EC0017">
              <w:rPr>
                <w:rFonts w:ascii="Times New Roman" w:hAnsi="Times New Roman" w:cs="Times New Roman"/>
                <w:b/>
                <w:bCs/>
                <w:color w:val="000000"/>
                <w:sz w:val="16"/>
                <w:szCs w:val="16"/>
              </w:rPr>
              <w:t>Príjmy</w:t>
            </w:r>
          </w:p>
        </w:tc>
        <w:tc>
          <w:tcPr>
            <w:tcW w:w="990" w:type="dxa"/>
            <w:tcBorders>
              <w:top w:val="nil"/>
              <w:left w:val="nil"/>
              <w:right w:val="nil"/>
            </w:tcBorders>
            <w:shd w:val="clear" w:color="auto" w:fill="auto"/>
            <w:noWrap/>
            <w:vAlign w:val="center"/>
            <w:hideMark/>
          </w:tcPr>
          <w:p w14:paraId="1C658076" w14:textId="77777777" w:rsidR="0032421D" w:rsidRPr="00EC0017" w:rsidRDefault="0032421D" w:rsidP="00AF2AF3">
            <w:pPr>
              <w:spacing w:after="120" w:line="336" w:lineRule="auto"/>
              <w:contextualSpacing/>
              <w:jc w:val="center"/>
              <w:rPr>
                <w:rFonts w:ascii="Times New Roman" w:hAnsi="Times New Roman" w:cs="Times New Roman"/>
                <w:b/>
                <w:bCs/>
                <w:color w:val="000000"/>
                <w:sz w:val="16"/>
                <w:szCs w:val="16"/>
              </w:rPr>
            </w:pPr>
            <w:r w:rsidRPr="00EC0017">
              <w:rPr>
                <w:rFonts w:ascii="Times New Roman" w:hAnsi="Times New Roman" w:cs="Times New Roman"/>
                <w:b/>
                <w:bCs/>
                <w:color w:val="000000"/>
                <w:sz w:val="16"/>
                <w:szCs w:val="16"/>
              </w:rPr>
              <w:t>TR</w:t>
            </w:r>
          </w:p>
        </w:tc>
        <w:tc>
          <w:tcPr>
            <w:tcW w:w="990" w:type="dxa"/>
            <w:tcBorders>
              <w:top w:val="nil"/>
              <w:left w:val="nil"/>
              <w:right w:val="nil"/>
            </w:tcBorders>
            <w:vAlign w:val="center"/>
          </w:tcPr>
          <w:p w14:paraId="7CFDF05A" w14:textId="77777777" w:rsidR="0032421D" w:rsidRPr="00EC0017" w:rsidRDefault="0032421D" w:rsidP="00AF2AF3">
            <w:pPr>
              <w:spacing w:after="120" w:line="336" w:lineRule="auto"/>
              <w:contextualSpacing/>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23 216</w:t>
            </w:r>
          </w:p>
        </w:tc>
        <w:tc>
          <w:tcPr>
            <w:tcW w:w="990" w:type="dxa"/>
            <w:tcBorders>
              <w:top w:val="nil"/>
              <w:left w:val="nil"/>
              <w:right w:val="nil"/>
            </w:tcBorders>
            <w:shd w:val="clear" w:color="auto" w:fill="auto"/>
            <w:noWrap/>
            <w:vAlign w:val="center"/>
            <w:hideMark/>
          </w:tcPr>
          <w:p w14:paraId="34FAA375" w14:textId="77777777" w:rsidR="0032421D" w:rsidRPr="00EC0017" w:rsidRDefault="0032421D" w:rsidP="00AF2AF3">
            <w:pPr>
              <w:spacing w:after="120" w:line="336" w:lineRule="auto"/>
              <w:contextualSpacing/>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19 132</w:t>
            </w:r>
          </w:p>
        </w:tc>
        <w:tc>
          <w:tcPr>
            <w:tcW w:w="990" w:type="dxa"/>
            <w:tcBorders>
              <w:top w:val="nil"/>
              <w:left w:val="nil"/>
              <w:right w:val="nil"/>
            </w:tcBorders>
            <w:shd w:val="clear" w:color="auto" w:fill="auto"/>
            <w:noWrap/>
            <w:vAlign w:val="center"/>
            <w:hideMark/>
          </w:tcPr>
          <w:p w14:paraId="0E5D959A" w14:textId="77777777" w:rsidR="0032421D" w:rsidRPr="00EC0017" w:rsidRDefault="0032421D" w:rsidP="00AF2AF3">
            <w:pPr>
              <w:spacing w:after="120" w:line="336" w:lineRule="auto"/>
              <w:contextualSpacing/>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17 600</w:t>
            </w:r>
          </w:p>
        </w:tc>
      </w:tr>
      <w:tr w:rsidR="0032421D" w:rsidRPr="00EC0017" w14:paraId="04E02379" w14:textId="77777777" w:rsidTr="00AF2AF3">
        <w:trPr>
          <w:trHeight w:val="266"/>
        </w:trPr>
        <w:tc>
          <w:tcPr>
            <w:tcW w:w="5169" w:type="dxa"/>
            <w:tcBorders>
              <w:top w:val="nil"/>
              <w:left w:val="nil"/>
              <w:right w:val="nil"/>
            </w:tcBorders>
            <w:shd w:val="clear" w:color="auto" w:fill="auto"/>
            <w:noWrap/>
            <w:vAlign w:val="center"/>
            <w:hideMark/>
          </w:tcPr>
          <w:p w14:paraId="4E6F3C6F" w14:textId="77777777" w:rsidR="0032421D" w:rsidRPr="00EC0017" w:rsidRDefault="0032421D" w:rsidP="00AF2AF3">
            <w:pPr>
              <w:spacing w:after="120" w:line="336" w:lineRule="auto"/>
              <w:ind w:firstLineChars="100" w:firstLine="160"/>
              <w:contextualSpacing/>
              <w:rPr>
                <w:rFonts w:ascii="Times New Roman" w:hAnsi="Times New Roman" w:cs="Times New Roman"/>
                <w:color w:val="000000"/>
                <w:sz w:val="16"/>
                <w:szCs w:val="16"/>
              </w:rPr>
            </w:pPr>
            <w:r w:rsidRPr="00EC0017">
              <w:rPr>
                <w:rFonts w:ascii="Times New Roman" w:hAnsi="Times New Roman" w:cs="Times New Roman"/>
                <w:color w:val="000000"/>
                <w:sz w:val="16"/>
                <w:szCs w:val="16"/>
              </w:rPr>
              <w:t>Imputovaný výnosový úrok EFSF</w:t>
            </w:r>
          </w:p>
        </w:tc>
        <w:tc>
          <w:tcPr>
            <w:tcW w:w="990" w:type="dxa"/>
            <w:tcBorders>
              <w:top w:val="nil"/>
              <w:left w:val="nil"/>
              <w:right w:val="nil"/>
            </w:tcBorders>
            <w:shd w:val="clear" w:color="auto" w:fill="auto"/>
            <w:noWrap/>
            <w:vAlign w:val="center"/>
            <w:hideMark/>
          </w:tcPr>
          <w:p w14:paraId="1C6E502F" w14:textId="77777777" w:rsidR="0032421D" w:rsidRPr="00EC0017" w:rsidRDefault="0032421D" w:rsidP="00AF2AF3">
            <w:pPr>
              <w:spacing w:after="120" w:line="336" w:lineRule="auto"/>
              <w:contextualSpacing/>
              <w:jc w:val="center"/>
              <w:rPr>
                <w:rFonts w:ascii="Times New Roman" w:hAnsi="Times New Roman" w:cs="Times New Roman"/>
                <w:color w:val="000000"/>
                <w:sz w:val="16"/>
                <w:szCs w:val="16"/>
              </w:rPr>
            </w:pPr>
            <w:r w:rsidRPr="00EC0017">
              <w:rPr>
                <w:rFonts w:ascii="Times New Roman" w:hAnsi="Times New Roman" w:cs="Times New Roman"/>
                <w:color w:val="000000"/>
                <w:sz w:val="16"/>
                <w:szCs w:val="16"/>
              </w:rPr>
              <w:t>D.41r</w:t>
            </w:r>
          </w:p>
        </w:tc>
        <w:tc>
          <w:tcPr>
            <w:tcW w:w="990" w:type="dxa"/>
            <w:tcBorders>
              <w:top w:val="nil"/>
              <w:left w:val="nil"/>
              <w:right w:val="nil"/>
            </w:tcBorders>
            <w:vAlign w:val="center"/>
          </w:tcPr>
          <w:p w14:paraId="4F06D717" w14:textId="77777777" w:rsidR="0032421D" w:rsidRPr="00EC0017" w:rsidRDefault="0032421D" w:rsidP="00AF2AF3">
            <w:pPr>
              <w:spacing w:after="120" w:line="336" w:lineRule="auto"/>
              <w:contextualSpacing/>
              <w:jc w:val="right"/>
              <w:rPr>
                <w:rFonts w:ascii="Times New Roman" w:hAnsi="Times New Roman" w:cs="Times New Roman"/>
                <w:color w:val="000000"/>
                <w:sz w:val="16"/>
                <w:szCs w:val="16"/>
              </w:rPr>
            </w:pPr>
            <w:r w:rsidRPr="00EC0017">
              <w:rPr>
                <w:rFonts w:ascii="Times New Roman" w:hAnsi="Times New Roman" w:cs="Times New Roman"/>
                <w:color w:val="000000"/>
                <w:sz w:val="16"/>
                <w:szCs w:val="16"/>
              </w:rPr>
              <w:t>2</w:t>
            </w:r>
            <w:r>
              <w:rPr>
                <w:rFonts w:ascii="Times New Roman" w:hAnsi="Times New Roman" w:cs="Times New Roman"/>
                <w:color w:val="000000"/>
                <w:sz w:val="16"/>
                <w:szCs w:val="16"/>
              </w:rPr>
              <w:t>3 216</w:t>
            </w:r>
          </w:p>
        </w:tc>
        <w:tc>
          <w:tcPr>
            <w:tcW w:w="990" w:type="dxa"/>
            <w:tcBorders>
              <w:top w:val="nil"/>
              <w:left w:val="nil"/>
              <w:right w:val="nil"/>
            </w:tcBorders>
            <w:shd w:val="clear" w:color="auto" w:fill="auto"/>
            <w:noWrap/>
            <w:vAlign w:val="center"/>
            <w:hideMark/>
          </w:tcPr>
          <w:p w14:paraId="54767A27" w14:textId="77777777" w:rsidR="0032421D" w:rsidRPr="00EC0017" w:rsidRDefault="0032421D" w:rsidP="00AF2AF3">
            <w:pPr>
              <w:spacing w:after="120" w:line="336" w:lineRule="auto"/>
              <w:contextualSpacing/>
              <w:jc w:val="right"/>
              <w:rPr>
                <w:rFonts w:ascii="Times New Roman" w:hAnsi="Times New Roman" w:cs="Times New Roman"/>
                <w:color w:val="000000"/>
                <w:sz w:val="16"/>
                <w:szCs w:val="16"/>
              </w:rPr>
            </w:pPr>
            <w:r>
              <w:rPr>
                <w:rFonts w:ascii="Times New Roman" w:hAnsi="Times New Roman" w:cs="Times New Roman"/>
                <w:color w:val="000000"/>
                <w:sz w:val="16"/>
                <w:szCs w:val="16"/>
              </w:rPr>
              <w:t>19 132</w:t>
            </w:r>
          </w:p>
        </w:tc>
        <w:tc>
          <w:tcPr>
            <w:tcW w:w="990" w:type="dxa"/>
            <w:tcBorders>
              <w:top w:val="nil"/>
              <w:left w:val="nil"/>
              <w:right w:val="nil"/>
            </w:tcBorders>
            <w:shd w:val="clear" w:color="auto" w:fill="auto"/>
            <w:noWrap/>
            <w:vAlign w:val="center"/>
            <w:hideMark/>
          </w:tcPr>
          <w:p w14:paraId="6038FA1D" w14:textId="77777777" w:rsidR="0032421D" w:rsidRPr="00EC0017" w:rsidRDefault="0032421D" w:rsidP="00AF2AF3">
            <w:pPr>
              <w:spacing w:after="120" w:line="336" w:lineRule="auto"/>
              <w:contextualSpacing/>
              <w:jc w:val="right"/>
              <w:rPr>
                <w:rFonts w:ascii="Times New Roman" w:hAnsi="Times New Roman" w:cs="Times New Roman"/>
                <w:color w:val="000000"/>
                <w:sz w:val="16"/>
                <w:szCs w:val="16"/>
              </w:rPr>
            </w:pPr>
            <w:r>
              <w:rPr>
                <w:rFonts w:ascii="Times New Roman" w:hAnsi="Times New Roman" w:cs="Times New Roman"/>
                <w:color w:val="000000"/>
                <w:sz w:val="16"/>
                <w:szCs w:val="16"/>
              </w:rPr>
              <w:t>17 600</w:t>
            </w:r>
          </w:p>
        </w:tc>
      </w:tr>
      <w:tr w:rsidR="0032421D" w:rsidRPr="00EC0017" w14:paraId="640B5F9C" w14:textId="77777777" w:rsidTr="00AF2AF3">
        <w:trPr>
          <w:trHeight w:val="266"/>
        </w:trPr>
        <w:tc>
          <w:tcPr>
            <w:tcW w:w="5169" w:type="dxa"/>
            <w:tcBorders>
              <w:left w:val="nil"/>
              <w:bottom w:val="nil"/>
              <w:right w:val="nil"/>
            </w:tcBorders>
            <w:shd w:val="clear" w:color="auto" w:fill="auto"/>
            <w:noWrap/>
            <w:vAlign w:val="center"/>
            <w:hideMark/>
          </w:tcPr>
          <w:p w14:paraId="25BD92E1" w14:textId="77777777" w:rsidR="0032421D" w:rsidRPr="00EC0017" w:rsidRDefault="0032421D" w:rsidP="00AF2AF3">
            <w:pPr>
              <w:spacing w:after="120" w:line="336" w:lineRule="auto"/>
              <w:contextualSpacing/>
              <w:rPr>
                <w:rFonts w:ascii="Times New Roman" w:hAnsi="Times New Roman" w:cs="Times New Roman"/>
                <w:b/>
                <w:bCs/>
                <w:color w:val="000000"/>
                <w:sz w:val="16"/>
                <w:szCs w:val="16"/>
              </w:rPr>
            </w:pPr>
            <w:r w:rsidRPr="00EC0017">
              <w:rPr>
                <w:rFonts w:ascii="Times New Roman" w:hAnsi="Times New Roman" w:cs="Times New Roman"/>
                <w:b/>
                <w:bCs/>
                <w:color w:val="000000"/>
                <w:sz w:val="16"/>
                <w:szCs w:val="16"/>
              </w:rPr>
              <w:t>Výdavky</w:t>
            </w:r>
          </w:p>
        </w:tc>
        <w:tc>
          <w:tcPr>
            <w:tcW w:w="990" w:type="dxa"/>
            <w:tcBorders>
              <w:left w:val="nil"/>
              <w:bottom w:val="nil"/>
              <w:right w:val="nil"/>
            </w:tcBorders>
            <w:shd w:val="clear" w:color="auto" w:fill="auto"/>
            <w:noWrap/>
            <w:vAlign w:val="center"/>
            <w:hideMark/>
          </w:tcPr>
          <w:p w14:paraId="74B884DF" w14:textId="77777777" w:rsidR="0032421D" w:rsidRPr="00EC0017" w:rsidRDefault="0032421D" w:rsidP="00AF2AF3">
            <w:pPr>
              <w:spacing w:after="120" w:line="336" w:lineRule="auto"/>
              <w:contextualSpacing/>
              <w:jc w:val="center"/>
              <w:rPr>
                <w:rFonts w:ascii="Times New Roman" w:hAnsi="Times New Roman" w:cs="Times New Roman"/>
                <w:b/>
                <w:bCs/>
                <w:color w:val="000000"/>
                <w:sz w:val="16"/>
                <w:szCs w:val="16"/>
              </w:rPr>
            </w:pPr>
            <w:r w:rsidRPr="00EC0017">
              <w:rPr>
                <w:rFonts w:ascii="Times New Roman" w:hAnsi="Times New Roman" w:cs="Times New Roman"/>
                <w:b/>
                <w:bCs/>
                <w:color w:val="000000"/>
                <w:sz w:val="16"/>
                <w:szCs w:val="16"/>
              </w:rPr>
              <w:t>TE</w:t>
            </w:r>
          </w:p>
        </w:tc>
        <w:tc>
          <w:tcPr>
            <w:tcW w:w="990" w:type="dxa"/>
            <w:tcBorders>
              <w:left w:val="nil"/>
              <w:bottom w:val="nil"/>
              <w:right w:val="nil"/>
            </w:tcBorders>
            <w:vAlign w:val="center"/>
          </w:tcPr>
          <w:p w14:paraId="65CE559F" w14:textId="77777777" w:rsidR="0032421D" w:rsidRPr="00EC0017" w:rsidRDefault="0032421D" w:rsidP="00AF2AF3">
            <w:pPr>
              <w:spacing w:after="120" w:line="336" w:lineRule="auto"/>
              <w:contextualSpacing/>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23 202</w:t>
            </w:r>
          </w:p>
        </w:tc>
        <w:tc>
          <w:tcPr>
            <w:tcW w:w="990" w:type="dxa"/>
            <w:tcBorders>
              <w:left w:val="nil"/>
              <w:bottom w:val="nil"/>
              <w:right w:val="nil"/>
            </w:tcBorders>
            <w:shd w:val="clear" w:color="auto" w:fill="auto"/>
            <w:noWrap/>
            <w:vAlign w:val="center"/>
            <w:hideMark/>
          </w:tcPr>
          <w:p w14:paraId="37B7A348" w14:textId="77777777" w:rsidR="0032421D" w:rsidRPr="00EC0017" w:rsidRDefault="0032421D" w:rsidP="00AF2AF3">
            <w:pPr>
              <w:spacing w:after="120" w:line="336" w:lineRule="auto"/>
              <w:contextualSpacing/>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31 172</w:t>
            </w:r>
          </w:p>
        </w:tc>
        <w:tc>
          <w:tcPr>
            <w:tcW w:w="990" w:type="dxa"/>
            <w:tcBorders>
              <w:left w:val="nil"/>
              <w:bottom w:val="nil"/>
              <w:right w:val="nil"/>
            </w:tcBorders>
            <w:shd w:val="clear" w:color="auto" w:fill="auto"/>
            <w:noWrap/>
            <w:vAlign w:val="center"/>
            <w:hideMark/>
          </w:tcPr>
          <w:p w14:paraId="1AFFD7ED" w14:textId="77777777" w:rsidR="0032421D" w:rsidRPr="00EC0017" w:rsidRDefault="0032421D" w:rsidP="00AF2AF3">
            <w:pPr>
              <w:spacing w:after="120" w:line="336" w:lineRule="auto"/>
              <w:contextualSpacing/>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17 889</w:t>
            </w:r>
          </w:p>
        </w:tc>
      </w:tr>
      <w:tr w:rsidR="0032421D" w:rsidRPr="00EC0017" w14:paraId="567F237A" w14:textId="77777777" w:rsidTr="00AF2AF3">
        <w:trPr>
          <w:trHeight w:val="266"/>
        </w:trPr>
        <w:tc>
          <w:tcPr>
            <w:tcW w:w="5169" w:type="dxa"/>
            <w:tcBorders>
              <w:top w:val="nil"/>
              <w:left w:val="nil"/>
              <w:right w:val="nil"/>
            </w:tcBorders>
            <w:shd w:val="clear" w:color="auto" w:fill="auto"/>
            <w:noWrap/>
            <w:vAlign w:val="center"/>
            <w:hideMark/>
          </w:tcPr>
          <w:p w14:paraId="235FCC93" w14:textId="77777777" w:rsidR="0032421D" w:rsidRPr="00EC0017" w:rsidRDefault="0032421D" w:rsidP="00AF2AF3">
            <w:pPr>
              <w:spacing w:after="120" w:line="336" w:lineRule="auto"/>
              <w:ind w:firstLineChars="100" w:firstLine="160"/>
              <w:contextualSpacing/>
              <w:rPr>
                <w:rFonts w:ascii="Times New Roman" w:hAnsi="Times New Roman" w:cs="Times New Roman"/>
                <w:color w:val="000000"/>
                <w:sz w:val="16"/>
                <w:szCs w:val="16"/>
              </w:rPr>
            </w:pPr>
            <w:r w:rsidRPr="00EC0017">
              <w:rPr>
                <w:rFonts w:ascii="Times New Roman" w:hAnsi="Times New Roman" w:cs="Times New Roman"/>
                <w:color w:val="000000"/>
                <w:sz w:val="16"/>
                <w:szCs w:val="16"/>
              </w:rPr>
              <w:t>Imputovaný poplatok EFSF - prevádzkové náklady</w:t>
            </w:r>
          </w:p>
        </w:tc>
        <w:tc>
          <w:tcPr>
            <w:tcW w:w="990" w:type="dxa"/>
            <w:tcBorders>
              <w:top w:val="nil"/>
              <w:left w:val="nil"/>
              <w:right w:val="nil"/>
            </w:tcBorders>
            <w:shd w:val="clear" w:color="auto" w:fill="auto"/>
            <w:noWrap/>
            <w:vAlign w:val="center"/>
            <w:hideMark/>
          </w:tcPr>
          <w:p w14:paraId="2D37E245" w14:textId="77777777" w:rsidR="0032421D" w:rsidRPr="00EC0017" w:rsidRDefault="0032421D" w:rsidP="00AF2AF3">
            <w:pPr>
              <w:spacing w:after="120" w:line="336" w:lineRule="auto"/>
              <w:contextualSpacing/>
              <w:jc w:val="center"/>
              <w:rPr>
                <w:rFonts w:ascii="Times New Roman" w:hAnsi="Times New Roman" w:cs="Times New Roman"/>
                <w:color w:val="000000"/>
                <w:sz w:val="16"/>
                <w:szCs w:val="16"/>
              </w:rPr>
            </w:pPr>
            <w:r w:rsidRPr="00EC0017">
              <w:rPr>
                <w:rFonts w:ascii="Times New Roman" w:hAnsi="Times New Roman" w:cs="Times New Roman"/>
                <w:color w:val="000000"/>
                <w:sz w:val="16"/>
                <w:szCs w:val="16"/>
              </w:rPr>
              <w:t>P.2</w:t>
            </w:r>
          </w:p>
        </w:tc>
        <w:tc>
          <w:tcPr>
            <w:tcW w:w="990" w:type="dxa"/>
            <w:tcBorders>
              <w:top w:val="nil"/>
              <w:left w:val="nil"/>
              <w:right w:val="nil"/>
            </w:tcBorders>
            <w:vAlign w:val="center"/>
          </w:tcPr>
          <w:p w14:paraId="53F033C0" w14:textId="77777777" w:rsidR="0032421D" w:rsidRPr="00EC0017" w:rsidRDefault="0032421D" w:rsidP="00AF2AF3">
            <w:pPr>
              <w:spacing w:after="120" w:line="336" w:lineRule="auto"/>
              <w:contextualSpacing/>
              <w:jc w:val="right"/>
              <w:rPr>
                <w:rFonts w:ascii="Times New Roman" w:hAnsi="Times New Roman" w:cs="Times New Roman"/>
                <w:color w:val="000000"/>
                <w:sz w:val="16"/>
                <w:szCs w:val="16"/>
              </w:rPr>
            </w:pPr>
            <w:r>
              <w:rPr>
                <w:rFonts w:ascii="Times New Roman" w:hAnsi="Times New Roman" w:cs="Times New Roman"/>
                <w:color w:val="000000"/>
                <w:sz w:val="16"/>
                <w:szCs w:val="16"/>
              </w:rPr>
              <w:t>341</w:t>
            </w:r>
          </w:p>
        </w:tc>
        <w:tc>
          <w:tcPr>
            <w:tcW w:w="990" w:type="dxa"/>
            <w:tcBorders>
              <w:top w:val="nil"/>
              <w:left w:val="nil"/>
              <w:right w:val="nil"/>
            </w:tcBorders>
            <w:shd w:val="clear" w:color="auto" w:fill="auto"/>
            <w:noWrap/>
            <w:vAlign w:val="center"/>
            <w:hideMark/>
          </w:tcPr>
          <w:p w14:paraId="40FE3FEA" w14:textId="77777777" w:rsidR="0032421D" w:rsidRPr="00EC0017" w:rsidRDefault="0032421D" w:rsidP="00AF2AF3">
            <w:pPr>
              <w:spacing w:after="120" w:line="336" w:lineRule="auto"/>
              <w:contextualSpacing/>
              <w:jc w:val="right"/>
              <w:rPr>
                <w:rFonts w:ascii="Times New Roman" w:hAnsi="Times New Roman" w:cs="Times New Roman"/>
                <w:color w:val="000000"/>
                <w:sz w:val="16"/>
                <w:szCs w:val="16"/>
              </w:rPr>
            </w:pPr>
            <w:r>
              <w:rPr>
                <w:rFonts w:ascii="Times New Roman" w:hAnsi="Times New Roman" w:cs="Times New Roman"/>
                <w:color w:val="000000"/>
                <w:sz w:val="16"/>
                <w:szCs w:val="16"/>
              </w:rPr>
              <w:t>330</w:t>
            </w:r>
          </w:p>
        </w:tc>
        <w:tc>
          <w:tcPr>
            <w:tcW w:w="990" w:type="dxa"/>
            <w:tcBorders>
              <w:top w:val="nil"/>
              <w:left w:val="nil"/>
              <w:right w:val="nil"/>
            </w:tcBorders>
            <w:shd w:val="clear" w:color="auto" w:fill="auto"/>
            <w:noWrap/>
            <w:vAlign w:val="center"/>
            <w:hideMark/>
          </w:tcPr>
          <w:p w14:paraId="74E6D4D0" w14:textId="77777777" w:rsidR="0032421D" w:rsidRPr="00EC0017" w:rsidRDefault="0032421D" w:rsidP="00AF2AF3">
            <w:pPr>
              <w:spacing w:after="120" w:line="336" w:lineRule="auto"/>
              <w:contextualSpacing/>
              <w:jc w:val="right"/>
              <w:rPr>
                <w:rFonts w:ascii="Times New Roman" w:hAnsi="Times New Roman" w:cs="Times New Roman"/>
                <w:color w:val="000000"/>
                <w:sz w:val="16"/>
                <w:szCs w:val="16"/>
              </w:rPr>
            </w:pPr>
            <w:r>
              <w:rPr>
                <w:rFonts w:ascii="Times New Roman" w:hAnsi="Times New Roman" w:cs="Times New Roman"/>
                <w:color w:val="000000"/>
                <w:sz w:val="16"/>
                <w:szCs w:val="16"/>
              </w:rPr>
              <w:t>331</w:t>
            </w:r>
          </w:p>
        </w:tc>
      </w:tr>
      <w:tr w:rsidR="0032421D" w:rsidRPr="00EC0017" w14:paraId="534385DA" w14:textId="77777777" w:rsidTr="00AF2AF3">
        <w:trPr>
          <w:trHeight w:val="266"/>
        </w:trPr>
        <w:tc>
          <w:tcPr>
            <w:tcW w:w="5169" w:type="dxa"/>
            <w:tcBorders>
              <w:top w:val="nil"/>
              <w:left w:val="nil"/>
              <w:bottom w:val="nil"/>
              <w:right w:val="nil"/>
            </w:tcBorders>
            <w:shd w:val="clear" w:color="auto" w:fill="auto"/>
            <w:noWrap/>
            <w:vAlign w:val="center"/>
            <w:hideMark/>
          </w:tcPr>
          <w:p w14:paraId="6680D928" w14:textId="77777777" w:rsidR="0032421D" w:rsidRPr="00EC0017" w:rsidRDefault="0032421D" w:rsidP="00AF2AF3">
            <w:pPr>
              <w:spacing w:after="120" w:line="336" w:lineRule="auto"/>
              <w:ind w:firstLineChars="100" w:firstLine="160"/>
              <w:contextualSpacing/>
              <w:rPr>
                <w:rFonts w:ascii="Times New Roman" w:hAnsi="Times New Roman" w:cs="Times New Roman"/>
                <w:color w:val="000000"/>
                <w:sz w:val="16"/>
                <w:szCs w:val="16"/>
              </w:rPr>
            </w:pPr>
            <w:r w:rsidRPr="00EC0017">
              <w:rPr>
                <w:rFonts w:ascii="Times New Roman" w:hAnsi="Times New Roman" w:cs="Times New Roman"/>
                <w:color w:val="000000"/>
                <w:sz w:val="16"/>
                <w:szCs w:val="16"/>
              </w:rPr>
              <w:t>Imputovaný nákladový úrok EFSF</w:t>
            </w:r>
          </w:p>
        </w:tc>
        <w:tc>
          <w:tcPr>
            <w:tcW w:w="990" w:type="dxa"/>
            <w:tcBorders>
              <w:top w:val="nil"/>
              <w:left w:val="nil"/>
              <w:bottom w:val="nil"/>
              <w:right w:val="nil"/>
            </w:tcBorders>
            <w:shd w:val="clear" w:color="auto" w:fill="auto"/>
            <w:noWrap/>
            <w:vAlign w:val="center"/>
            <w:hideMark/>
          </w:tcPr>
          <w:p w14:paraId="7817CB90" w14:textId="77777777" w:rsidR="0032421D" w:rsidRPr="00EC0017" w:rsidRDefault="0032421D" w:rsidP="00AF2AF3">
            <w:pPr>
              <w:spacing w:after="120" w:line="336" w:lineRule="auto"/>
              <w:contextualSpacing/>
              <w:jc w:val="center"/>
              <w:rPr>
                <w:rFonts w:ascii="Times New Roman" w:hAnsi="Times New Roman" w:cs="Times New Roman"/>
                <w:color w:val="000000"/>
                <w:sz w:val="16"/>
                <w:szCs w:val="16"/>
              </w:rPr>
            </w:pPr>
            <w:r w:rsidRPr="00EC0017">
              <w:rPr>
                <w:rFonts w:ascii="Times New Roman" w:hAnsi="Times New Roman" w:cs="Times New Roman"/>
                <w:color w:val="000000"/>
                <w:sz w:val="16"/>
                <w:szCs w:val="16"/>
              </w:rPr>
              <w:t>D.41p</w:t>
            </w:r>
          </w:p>
        </w:tc>
        <w:tc>
          <w:tcPr>
            <w:tcW w:w="990" w:type="dxa"/>
            <w:tcBorders>
              <w:top w:val="nil"/>
              <w:left w:val="nil"/>
              <w:bottom w:val="nil"/>
              <w:right w:val="nil"/>
            </w:tcBorders>
            <w:vAlign w:val="center"/>
          </w:tcPr>
          <w:p w14:paraId="43E95311" w14:textId="77777777" w:rsidR="0032421D" w:rsidRPr="00EC0017" w:rsidRDefault="0032421D" w:rsidP="00AF2AF3">
            <w:pPr>
              <w:spacing w:after="120" w:line="336" w:lineRule="auto"/>
              <w:contextualSpacing/>
              <w:jc w:val="right"/>
              <w:rPr>
                <w:rFonts w:ascii="Times New Roman" w:hAnsi="Times New Roman" w:cs="Times New Roman"/>
                <w:color w:val="000000"/>
                <w:sz w:val="16"/>
                <w:szCs w:val="16"/>
              </w:rPr>
            </w:pPr>
            <w:r>
              <w:rPr>
                <w:rFonts w:ascii="Times New Roman" w:hAnsi="Times New Roman" w:cs="Times New Roman"/>
                <w:color w:val="000000"/>
                <w:sz w:val="16"/>
                <w:szCs w:val="16"/>
              </w:rPr>
              <w:t>22 861</w:t>
            </w:r>
          </w:p>
        </w:tc>
        <w:tc>
          <w:tcPr>
            <w:tcW w:w="990" w:type="dxa"/>
            <w:tcBorders>
              <w:top w:val="nil"/>
              <w:left w:val="nil"/>
              <w:bottom w:val="nil"/>
              <w:right w:val="nil"/>
            </w:tcBorders>
            <w:shd w:val="clear" w:color="auto" w:fill="auto"/>
            <w:noWrap/>
            <w:vAlign w:val="center"/>
            <w:hideMark/>
          </w:tcPr>
          <w:p w14:paraId="69248179" w14:textId="77777777" w:rsidR="0032421D" w:rsidRPr="00EC0017" w:rsidRDefault="0032421D" w:rsidP="00AF2AF3">
            <w:pPr>
              <w:spacing w:after="120" w:line="336" w:lineRule="auto"/>
              <w:contextualSpacing/>
              <w:jc w:val="right"/>
              <w:rPr>
                <w:rFonts w:ascii="Times New Roman" w:hAnsi="Times New Roman" w:cs="Times New Roman"/>
                <w:color w:val="000000"/>
                <w:sz w:val="16"/>
                <w:szCs w:val="16"/>
              </w:rPr>
            </w:pPr>
            <w:r>
              <w:rPr>
                <w:rFonts w:ascii="Times New Roman" w:hAnsi="Times New Roman" w:cs="Times New Roman"/>
                <w:color w:val="000000"/>
                <w:sz w:val="16"/>
                <w:szCs w:val="16"/>
              </w:rPr>
              <w:t>18 950</w:t>
            </w:r>
          </w:p>
        </w:tc>
        <w:tc>
          <w:tcPr>
            <w:tcW w:w="990" w:type="dxa"/>
            <w:tcBorders>
              <w:top w:val="nil"/>
              <w:left w:val="nil"/>
              <w:bottom w:val="nil"/>
              <w:right w:val="nil"/>
            </w:tcBorders>
            <w:shd w:val="clear" w:color="auto" w:fill="auto"/>
            <w:noWrap/>
            <w:vAlign w:val="center"/>
            <w:hideMark/>
          </w:tcPr>
          <w:p w14:paraId="3887F80B" w14:textId="77777777" w:rsidR="0032421D" w:rsidRPr="00EC0017" w:rsidRDefault="0032421D" w:rsidP="00AF2AF3">
            <w:pPr>
              <w:spacing w:after="120" w:line="336" w:lineRule="auto"/>
              <w:contextualSpacing/>
              <w:jc w:val="right"/>
              <w:rPr>
                <w:rFonts w:ascii="Times New Roman" w:hAnsi="Times New Roman" w:cs="Times New Roman"/>
                <w:color w:val="000000"/>
                <w:sz w:val="16"/>
                <w:szCs w:val="16"/>
              </w:rPr>
            </w:pPr>
            <w:r>
              <w:rPr>
                <w:rFonts w:ascii="Times New Roman" w:hAnsi="Times New Roman" w:cs="Times New Roman"/>
                <w:color w:val="000000"/>
                <w:sz w:val="16"/>
                <w:szCs w:val="16"/>
              </w:rPr>
              <w:t>17 558</w:t>
            </w:r>
          </w:p>
        </w:tc>
      </w:tr>
      <w:tr w:rsidR="0032421D" w:rsidRPr="00EC0017" w14:paraId="3F849713" w14:textId="77777777" w:rsidTr="00AF2AF3">
        <w:trPr>
          <w:trHeight w:val="266"/>
        </w:trPr>
        <w:tc>
          <w:tcPr>
            <w:tcW w:w="5169" w:type="dxa"/>
            <w:tcBorders>
              <w:top w:val="nil"/>
              <w:left w:val="nil"/>
              <w:bottom w:val="single" w:sz="4" w:space="0" w:color="auto"/>
              <w:right w:val="nil"/>
            </w:tcBorders>
            <w:shd w:val="clear" w:color="auto" w:fill="auto"/>
            <w:noWrap/>
            <w:vAlign w:val="center"/>
          </w:tcPr>
          <w:p w14:paraId="6072DD73" w14:textId="77777777" w:rsidR="0032421D" w:rsidRPr="00EC0017" w:rsidRDefault="0032421D" w:rsidP="00AF2AF3">
            <w:pPr>
              <w:spacing w:after="120" w:line="336" w:lineRule="auto"/>
              <w:ind w:firstLineChars="100" w:firstLine="160"/>
              <w:contextualSpacing/>
              <w:rPr>
                <w:rFonts w:ascii="Times New Roman" w:hAnsi="Times New Roman" w:cs="Times New Roman"/>
                <w:color w:val="000000"/>
                <w:sz w:val="16"/>
                <w:szCs w:val="16"/>
              </w:rPr>
            </w:pPr>
            <w:r>
              <w:rPr>
                <w:rFonts w:ascii="Times New Roman" w:hAnsi="Times New Roman" w:cs="Times New Roman"/>
                <w:color w:val="000000"/>
                <w:sz w:val="16"/>
                <w:szCs w:val="16"/>
              </w:rPr>
              <w:t>Kapitálový transfer</w:t>
            </w:r>
          </w:p>
        </w:tc>
        <w:tc>
          <w:tcPr>
            <w:tcW w:w="990" w:type="dxa"/>
            <w:tcBorders>
              <w:top w:val="nil"/>
              <w:left w:val="nil"/>
              <w:bottom w:val="single" w:sz="4" w:space="0" w:color="auto"/>
              <w:right w:val="nil"/>
            </w:tcBorders>
            <w:shd w:val="clear" w:color="auto" w:fill="auto"/>
            <w:noWrap/>
            <w:vAlign w:val="center"/>
          </w:tcPr>
          <w:p w14:paraId="31A67C24" w14:textId="77777777" w:rsidR="0032421D" w:rsidRPr="00EC0017" w:rsidRDefault="0032421D" w:rsidP="00AF2AF3">
            <w:pPr>
              <w:spacing w:after="120" w:line="336" w:lineRule="auto"/>
              <w:contextualSpacing/>
              <w:jc w:val="center"/>
              <w:rPr>
                <w:rFonts w:ascii="Times New Roman" w:hAnsi="Times New Roman" w:cs="Times New Roman"/>
                <w:color w:val="000000"/>
                <w:sz w:val="16"/>
                <w:szCs w:val="16"/>
              </w:rPr>
            </w:pPr>
            <w:r>
              <w:rPr>
                <w:rFonts w:ascii="Times New Roman" w:hAnsi="Times New Roman" w:cs="Times New Roman"/>
                <w:color w:val="000000"/>
                <w:sz w:val="16"/>
                <w:szCs w:val="16"/>
              </w:rPr>
              <w:t>D.9p</w:t>
            </w:r>
          </w:p>
        </w:tc>
        <w:tc>
          <w:tcPr>
            <w:tcW w:w="990" w:type="dxa"/>
            <w:tcBorders>
              <w:top w:val="nil"/>
              <w:left w:val="nil"/>
              <w:bottom w:val="single" w:sz="4" w:space="0" w:color="auto"/>
              <w:right w:val="nil"/>
            </w:tcBorders>
            <w:vAlign w:val="center"/>
          </w:tcPr>
          <w:p w14:paraId="5AF5321D" w14:textId="77777777" w:rsidR="0032421D" w:rsidRDefault="0032421D" w:rsidP="00AF2AF3">
            <w:pPr>
              <w:spacing w:after="120" w:line="336" w:lineRule="auto"/>
              <w:contextualSpacing/>
              <w:jc w:val="right"/>
              <w:rPr>
                <w:rFonts w:ascii="Times New Roman" w:hAnsi="Times New Roman" w:cs="Times New Roman"/>
                <w:color w:val="000000"/>
                <w:sz w:val="16"/>
                <w:szCs w:val="16"/>
              </w:rPr>
            </w:pPr>
          </w:p>
        </w:tc>
        <w:tc>
          <w:tcPr>
            <w:tcW w:w="990" w:type="dxa"/>
            <w:tcBorders>
              <w:top w:val="nil"/>
              <w:left w:val="nil"/>
              <w:bottom w:val="single" w:sz="4" w:space="0" w:color="auto"/>
              <w:right w:val="nil"/>
            </w:tcBorders>
            <w:shd w:val="clear" w:color="auto" w:fill="auto"/>
            <w:noWrap/>
            <w:vAlign w:val="center"/>
          </w:tcPr>
          <w:p w14:paraId="0B9075DA" w14:textId="77777777" w:rsidR="0032421D" w:rsidRDefault="0032421D" w:rsidP="00AF2AF3">
            <w:pPr>
              <w:spacing w:after="120" w:line="336" w:lineRule="auto"/>
              <w:contextualSpacing/>
              <w:jc w:val="right"/>
              <w:rPr>
                <w:rFonts w:ascii="Times New Roman" w:hAnsi="Times New Roman" w:cs="Times New Roman"/>
                <w:color w:val="000000"/>
                <w:sz w:val="16"/>
                <w:szCs w:val="16"/>
              </w:rPr>
            </w:pPr>
            <w:r>
              <w:rPr>
                <w:rFonts w:ascii="Times New Roman" w:hAnsi="Times New Roman" w:cs="Times New Roman"/>
                <w:color w:val="000000"/>
                <w:sz w:val="16"/>
                <w:szCs w:val="16"/>
              </w:rPr>
              <w:t>11 892</w:t>
            </w:r>
          </w:p>
        </w:tc>
        <w:tc>
          <w:tcPr>
            <w:tcW w:w="990" w:type="dxa"/>
            <w:tcBorders>
              <w:top w:val="nil"/>
              <w:left w:val="nil"/>
              <w:bottom w:val="single" w:sz="4" w:space="0" w:color="auto"/>
              <w:right w:val="nil"/>
            </w:tcBorders>
            <w:shd w:val="clear" w:color="auto" w:fill="auto"/>
            <w:noWrap/>
            <w:vAlign w:val="center"/>
          </w:tcPr>
          <w:p w14:paraId="4005F494" w14:textId="77777777" w:rsidR="0032421D" w:rsidRDefault="0032421D" w:rsidP="00AF2AF3">
            <w:pPr>
              <w:spacing w:after="120" w:line="336" w:lineRule="auto"/>
              <w:contextualSpacing/>
              <w:jc w:val="right"/>
              <w:rPr>
                <w:rFonts w:ascii="Times New Roman" w:hAnsi="Times New Roman" w:cs="Times New Roman"/>
                <w:color w:val="000000"/>
                <w:sz w:val="16"/>
                <w:szCs w:val="16"/>
              </w:rPr>
            </w:pPr>
          </w:p>
        </w:tc>
      </w:tr>
    </w:tbl>
    <w:p w14:paraId="5CA48E6A" w14:textId="77777777" w:rsidR="000D22AE" w:rsidRPr="00E17FA8" w:rsidRDefault="0032421D" w:rsidP="00E17FA8">
      <w:pPr>
        <w:spacing w:after="0" w:line="240" w:lineRule="auto"/>
        <w:contextualSpacing/>
        <w:jc w:val="right"/>
        <w:rPr>
          <w:rFonts w:ascii="Times New Roman" w:hAnsi="Times New Roman" w:cs="Times New Roman"/>
          <w:i/>
          <w:sz w:val="16"/>
          <w:szCs w:val="16"/>
        </w:rPr>
      </w:pPr>
      <w:r w:rsidRPr="00667D6F">
        <w:rPr>
          <w:rFonts w:ascii="Times New Roman" w:hAnsi="Times New Roman" w:cs="Times New Roman"/>
          <w:i/>
          <w:sz w:val="16"/>
          <w:szCs w:val="16"/>
        </w:rPr>
        <w:t>Zdroj: ŠÚ SR</w:t>
      </w:r>
    </w:p>
    <w:p w14:paraId="2FF86288" w14:textId="59BB388C" w:rsidR="00CE077C" w:rsidRDefault="00CE077C" w:rsidP="004248D4">
      <w:pPr>
        <w:spacing w:after="0" w:line="240" w:lineRule="auto"/>
        <w:contextualSpacing/>
        <w:rPr>
          <w:rFonts w:ascii="Times New Roman" w:hAnsi="Times New Roman" w:cs="Times New Roman"/>
          <w:i/>
          <w:sz w:val="16"/>
          <w:szCs w:val="16"/>
        </w:rPr>
      </w:pPr>
    </w:p>
    <w:p w14:paraId="7E752FEB" w14:textId="77777777" w:rsidR="00213458" w:rsidRPr="00667D6F" w:rsidRDefault="00213458" w:rsidP="004248D4">
      <w:pPr>
        <w:spacing w:after="0" w:line="240" w:lineRule="auto"/>
        <w:contextualSpacing/>
        <w:rPr>
          <w:rFonts w:ascii="Times New Roman" w:hAnsi="Times New Roman" w:cs="Times New Roman"/>
          <w:i/>
          <w:sz w:val="16"/>
          <w:szCs w:val="16"/>
        </w:rPr>
      </w:pPr>
    </w:p>
    <w:p w14:paraId="66E8D611" w14:textId="77777777" w:rsidR="000C265D" w:rsidRDefault="000C265D" w:rsidP="00B932F5">
      <w:pPr>
        <w:pStyle w:val="Nadpis2"/>
        <w:spacing w:before="0" w:after="0"/>
        <w:rPr>
          <w:rFonts w:ascii="Times New Roman" w:hAnsi="Times New Roman"/>
          <w:i w:val="0"/>
          <w:color w:val="5B9BD5" w:themeColor="accent1"/>
          <w:sz w:val="24"/>
        </w:rPr>
      </w:pPr>
      <w:bookmarkStart w:id="75" w:name="_Toc53040762"/>
      <w:bookmarkStart w:id="76" w:name="_Toc152946766"/>
      <w:r w:rsidRPr="00835E4E">
        <w:rPr>
          <w:rFonts w:ascii="Times New Roman" w:hAnsi="Times New Roman"/>
          <w:i w:val="0"/>
          <w:color w:val="5B9BD5" w:themeColor="accent1"/>
          <w:sz w:val="24"/>
        </w:rPr>
        <w:t>2.</w:t>
      </w:r>
      <w:r w:rsidR="001D520C">
        <w:rPr>
          <w:rFonts w:ascii="Times New Roman" w:hAnsi="Times New Roman"/>
          <w:i w:val="0"/>
          <w:color w:val="5B9BD5" w:themeColor="accent1"/>
          <w:sz w:val="24"/>
        </w:rPr>
        <w:t>8</w:t>
      </w:r>
      <w:r w:rsidR="00CE077C" w:rsidRPr="00835E4E">
        <w:rPr>
          <w:rFonts w:ascii="Times New Roman" w:hAnsi="Times New Roman"/>
          <w:i w:val="0"/>
          <w:color w:val="5B9BD5" w:themeColor="accent1"/>
          <w:sz w:val="24"/>
        </w:rPr>
        <w:t xml:space="preserve">. </w:t>
      </w:r>
      <w:r w:rsidRPr="00835E4E">
        <w:rPr>
          <w:rFonts w:ascii="Times New Roman" w:hAnsi="Times New Roman"/>
          <w:i w:val="0"/>
          <w:color w:val="5B9BD5" w:themeColor="accent1"/>
          <w:sz w:val="24"/>
        </w:rPr>
        <w:t>Jednorazové a dočasné opatrenia</w:t>
      </w:r>
      <w:bookmarkEnd w:id="75"/>
      <w:bookmarkEnd w:id="76"/>
      <w:r w:rsidRPr="00835E4E">
        <w:rPr>
          <w:rFonts w:ascii="Times New Roman" w:hAnsi="Times New Roman"/>
          <w:i w:val="0"/>
          <w:color w:val="5B9BD5" w:themeColor="accent1"/>
          <w:sz w:val="24"/>
        </w:rPr>
        <w:t xml:space="preserve"> </w:t>
      </w:r>
    </w:p>
    <w:p w14:paraId="0D694224" w14:textId="77777777" w:rsidR="004248D4" w:rsidRDefault="004248D4" w:rsidP="004248D4">
      <w:pPr>
        <w:spacing w:after="0" w:line="240" w:lineRule="auto"/>
        <w:contextualSpacing/>
        <w:jc w:val="both"/>
        <w:rPr>
          <w:lang w:eastAsia="cs-CZ"/>
        </w:rPr>
      </w:pPr>
    </w:p>
    <w:p w14:paraId="1A1B0B23" w14:textId="77777777" w:rsidR="0025243E" w:rsidRPr="004E216D" w:rsidRDefault="0025243E" w:rsidP="0025243E">
      <w:pPr>
        <w:spacing w:after="0" w:line="240" w:lineRule="auto"/>
        <w:contextualSpacing/>
        <w:jc w:val="both"/>
        <w:rPr>
          <w:rFonts w:ascii="Times New Roman" w:hAnsi="Times New Roman" w:cs="Times New Roman"/>
          <w:sz w:val="24"/>
          <w:szCs w:val="24"/>
        </w:rPr>
      </w:pPr>
      <w:r w:rsidRPr="004E216D">
        <w:rPr>
          <w:rFonts w:ascii="Times New Roman" w:hAnsi="Times New Roman" w:cs="Times New Roman"/>
          <w:sz w:val="24"/>
          <w:szCs w:val="24"/>
        </w:rPr>
        <w:t>Na základe zákona o rozpočtových pravidlách verejnej správy sa jednorazovým vplyvom rozumie príjem alebo výdavok, ktorý nemá trvalý alebo opakujúci sa charakter a má časovo obmedzený vplyv na saldo rozpočtu verejnej správy. Na identifikáciu jednorazových opatrení existuje viacero metodík. Jedna  vychádza z metodiky Paktu stability a rastu</w:t>
      </w:r>
      <w:r w:rsidRPr="004E216D">
        <w:rPr>
          <w:rFonts w:ascii="Times New Roman" w:hAnsi="Times New Roman" w:cs="Times New Roman"/>
          <w:sz w:val="24"/>
          <w:szCs w:val="24"/>
          <w:vertAlign w:val="superscript"/>
        </w:rPr>
        <w:footnoteReference w:id="17"/>
      </w:r>
      <w:r w:rsidRPr="004E216D">
        <w:rPr>
          <w:rFonts w:ascii="Times New Roman" w:hAnsi="Times New Roman" w:cs="Times New Roman"/>
          <w:sz w:val="24"/>
          <w:szCs w:val="24"/>
        </w:rPr>
        <w:t>, MF SR v minulosti vypracovalo aj národnú metodiku</w:t>
      </w:r>
      <w:r w:rsidRPr="004E216D">
        <w:rPr>
          <w:rStyle w:val="Odkaznapoznmkupodiarou"/>
          <w:rFonts w:ascii="Times New Roman" w:hAnsi="Times New Roman"/>
          <w:sz w:val="24"/>
          <w:szCs w:val="24"/>
        </w:rPr>
        <w:footnoteReference w:id="18"/>
      </w:r>
      <w:r w:rsidRPr="004E216D">
        <w:rPr>
          <w:rFonts w:ascii="Times New Roman" w:hAnsi="Times New Roman" w:cs="Times New Roman"/>
          <w:sz w:val="24"/>
          <w:szCs w:val="24"/>
        </w:rPr>
        <w:t xml:space="preserve">. Nasledujúca tabuľka zobrazuje zoznam </w:t>
      </w:r>
      <w:r w:rsidRPr="004E216D">
        <w:rPr>
          <w:rFonts w:ascii="Times New Roman" w:hAnsi="Times New Roman" w:cs="Times New Roman"/>
          <w:sz w:val="24"/>
          <w:szCs w:val="24"/>
        </w:rPr>
        <w:lastRenderedPageBreak/>
        <w:t>dočasných opatrení a vplyvov zapracovaných v návrhu rozpočtu verejnej správy na roky 2024 až 2026</w:t>
      </w:r>
      <w:r>
        <w:rPr>
          <w:rFonts w:ascii="Times New Roman" w:hAnsi="Times New Roman" w:cs="Times New Roman"/>
          <w:sz w:val="24"/>
          <w:szCs w:val="24"/>
        </w:rPr>
        <w:t xml:space="preserve"> na základe národnej metodiky</w:t>
      </w:r>
      <w:r w:rsidRPr="004E216D">
        <w:rPr>
          <w:rFonts w:ascii="Times New Roman" w:hAnsi="Times New Roman" w:cs="Times New Roman"/>
          <w:sz w:val="24"/>
          <w:szCs w:val="24"/>
        </w:rPr>
        <w:t>.</w:t>
      </w:r>
    </w:p>
    <w:p w14:paraId="1A871010" w14:textId="77777777" w:rsidR="0025243E" w:rsidRPr="004E216D" w:rsidRDefault="0025243E" w:rsidP="0025243E">
      <w:pPr>
        <w:spacing w:after="0" w:line="240" w:lineRule="auto"/>
        <w:contextualSpacing/>
        <w:jc w:val="both"/>
        <w:rPr>
          <w:rFonts w:ascii="Times New Roman" w:hAnsi="Times New Roman" w:cs="Times New Roman"/>
          <w:sz w:val="24"/>
          <w:szCs w:val="24"/>
        </w:rPr>
      </w:pPr>
    </w:p>
    <w:p w14:paraId="4A800131" w14:textId="2994CDC1" w:rsidR="0025243E" w:rsidRPr="004E216D" w:rsidRDefault="0025243E" w:rsidP="0025243E">
      <w:pPr>
        <w:spacing w:after="0"/>
        <w:rPr>
          <w:rFonts w:ascii="Times New Roman" w:hAnsi="Times New Roman" w:cs="Times New Roman"/>
          <w:b/>
          <w:color w:val="5B9BD5" w:themeColor="accent1"/>
          <w:sz w:val="20"/>
          <w:szCs w:val="20"/>
        </w:rPr>
      </w:pPr>
      <w:bookmarkStart w:id="77" w:name="_Toc53086348"/>
      <w:bookmarkStart w:id="78" w:name="_Toc153013016"/>
      <w:r w:rsidRPr="004E216D">
        <w:rPr>
          <w:rFonts w:ascii="Times New Roman" w:hAnsi="Times New Roman" w:cs="Times New Roman"/>
          <w:b/>
          <w:color w:val="5B9BD5" w:themeColor="accent1"/>
          <w:sz w:val="20"/>
          <w:szCs w:val="20"/>
        </w:rPr>
        <w:t xml:space="preserve">Tabuľka </w:t>
      </w:r>
      <w:r w:rsidRPr="004E216D">
        <w:rPr>
          <w:rFonts w:ascii="Times New Roman" w:hAnsi="Times New Roman" w:cs="Times New Roman"/>
          <w:b/>
          <w:color w:val="5B9BD5" w:themeColor="accent1"/>
          <w:sz w:val="20"/>
          <w:szCs w:val="20"/>
        </w:rPr>
        <w:fldChar w:fldCharType="begin"/>
      </w:r>
      <w:r w:rsidRPr="004E216D">
        <w:rPr>
          <w:rFonts w:ascii="Times New Roman" w:hAnsi="Times New Roman" w:cs="Times New Roman"/>
          <w:b/>
          <w:color w:val="5B9BD5" w:themeColor="accent1"/>
          <w:sz w:val="20"/>
          <w:szCs w:val="20"/>
        </w:rPr>
        <w:instrText xml:space="preserve"> SEQ Tabuľka \* ARABIC </w:instrText>
      </w:r>
      <w:r w:rsidRPr="004E216D">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18</w:t>
      </w:r>
      <w:r w:rsidRPr="004E216D">
        <w:rPr>
          <w:rFonts w:ascii="Times New Roman" w:hAnsi="Times New Roman" w:cs="Times New Roman"/>
          <w:b/>
          <w:color w:val="5B9BD5" w:themeColor="accent1"/>
          <w:sz w:val="20"/>
          <w:szCs w:val="20"/>
        </w:rPr>
        <w:fldChar w:fldCharType="end"/>
      </w:r>
      <w:r w:rsidRPr="004E216D">
        <w:rPr>
          <w:rFonts w:ascii="Times New Roman" w:hAnsi="Times New Roman" w:cs="Times New Roman"/>
          <w:b/>
          <w:color w:val="5B9BD5" w:themeColor="accent1"/>
          <w:sz w:val="20"/>
          <w:szCs w:val="20"/>
        </w:rPr>
        <w:t xml:space="preserve"> - Jednorazové a dočasné opatrenia</w:t>
      </w:r>
      <w:bookmarkEnd w:id="77"/>
      <w:bookmarkEnd w:id="78"/>
    </w:p>
    <w:tbl>
      <w:tblPr>
        <w:tblW w:w="9159" w:type="dxa"/>
        <w:tblCellMar>
          <w:left w:w="70" w:type="dxa"/>
          <w:right w:w="70" w:type="dxa"/>
        </w:tblCellMar>
        <w:tblLook w:val="04A0" w:firstRow="1" w:lastRow="0" w:firstColumn="1" w:lastColumn="0" w:noHBand="0" w:noVBand="1"/>
      </w:tblPr>
      <w:tblGrid>
        <w:gridCol w:w="6379"/>
        <w:gridCol w:w="567"/>
        <w:gridCol w:w="567"/>
        <w:gridCol w:w="567"/>
        <w:gridCol w:w="567"/>
        <w:gridCol w:w="512"/>
      </w:tblGrid>
      <w:tr w:rsidR="0025243E" w:rsidRPr="00DE4F68" w14:paraId="76F4A0F1" w14:textId="77777777" w:rsidTr="00DF01A5">
        <w:trPr>
          <w:trHeight w:val="300"/>
        </w:trPr>
        <w:tc>
          <w:tcPr>
            <w:tcW w:w="6379" w:type="dxa"/>
            <w:tcBorders>
              <w:top w:val="single" w:sz="4" w:space="0" w:color="auto"/>
              <w:left w:val="nil"/>
              <w:bottom w:val="single" w:sz="8" w:space="0" w:color="auto"/>
              <w:right w:val="nil"/>
            </w:tcBorders>
            <w:shd w:val="clear" w:color="auto" w:fill="auto"/>
            <w:noWrap/>
            <w:vAlign w:val="bottom"/>
            <w:hideMark/>
          </w:tcPr>
          <w:p w14:paraId="2BBA844D" w14:textId="77777777" w:rsidR="0025243E" w:rsidRPr="00DE4F68" w:rsidRDefault="0025243E" w:rsidP="00D94493">
            <w:pPr>
              <w:spacing w:after="0" w:line="240" w:lineRule="auto"/>
              <w:rPr>
                <w:rFonts w:ascii="Times New Roman" w:eastAsia="Times New Roman" w:hAnsi="Times New Roman" w:cs="Times New Roman"/>
                <w:b/>
                <w:bCs/>
                <w:color w:val="000000"/>
                <w:sz w:val="18"/>
                <w:szCs w:val="18"/>
                <w:lang w:eastAsia="sk-SK"/>
              </w:rPr>
            </w:pPr>
            <w:r w:rsidRPr="00DE4F68">
              <w:rPr>
                <w:rFonts w:ascii="Times New Roman" w:eastAsia="Times New Roman" w:hAnsi="Times New Roman" w:cs="Times New Roman"/>
                <w:b/>
                <w:bCs/>
                <w:color w:val="000000"/>
                <w:sz w:val="18"/>
                <w:szCs w:val="18"/>
                <w:lang w:eastAsia="sk-SK"/>
              </w:rPr>
              <w:t> (ESA 2010, v mil. eur)</w:t>
            </w:r>
          </w:p>
        </w:tc>
        <w:tc>
          <w:tcPr>
            <w:tcW w:w="567" w:type="dxa"/>
            <w:tcBorders>
              <w:top w:val="single" w:sz="4" w:space="0" w:color="auto"/>
              <w:left w:val="nil"/>
              <w:bottom w:val="single" w:sz="8" w:space="0" w:color="auto"/>
              <w:right w:val="nil"/>
            </w:tcBorders>
            <w:shd w:val="clear" w:color="auto" w:fill="auto"/>
            <w:noWrap/>
            <w:vAlign w:val="bottom"/>
            <w:hideMark/>
          </w:tcPr>
          <w:p w14:paraId="2D724D19" w14:textId="77777777" w:rsidR="0025243E" w:rsidRPr="00DE4F68" w:rsidRDefault="0025243E" w:rsidP="00D94493">
            <w:pPr>
              <w:spacing w:after="0" w:line="240" w:lineRule="auto"/>
              <w:jc w:val="center"/>
              <w:rPr>
                <w:rFonts w:ascii="Times New Roman" w:eastAsia="Times New Roman" w:hAnsi="Times New Roman" w:cs="Times New Roman"/>
                <w:b/>
                <w:bCs/>
                <w:color w:val="000000"/>
                <w:sz w:val="18"/>
                <w:szCs w:val="18"/>
                <w:lang w:eastAsia="sk-SK"/>
              </w:rPr>
            </w:pPr>
            <w:r w:rsidRPr="00DE4F68">
              <w:rPr>
                <w:rFonts w:ascii="Times New Roman" w:eastAsia="Times New Roman" w:hAnsi="Times New Roman" w:cs="Times New Roman"/>
                <w:b/>
                <w:bCs/>
                <w:color w:val="000000"/>
                <w:sz w:val="18"/>
                <w:szCs w:val="18"/>
                <w:lang w:eastAsia="sk-SK"/>
              </w:rPr>
              <w:t>2022</w:t>
            </w:r>
          </w:p>
        </w:tc>
        <w:tc>
          <w:tcPr>
            <w:tcW w:w="567" w:type="dxa"/>
            <w:tcBorders>
              <w:top w:val="single" w:sz="4" w:space="0" w:color="auto"/>
              <w:left w:val="nil"/>
              <w:bottom w:val="single" w:sz="8" w:space="0" w:color="auto"/>
              <w:right w:val="nil"/>
            </w:tcBorders>
            <w:shd w:val="clear" w:color="auto" w:fill="auto"/>
            <w:noWrap/>
            <w:vAlign w:val="bottom"/>
            <w:hideMark/>
          </w:tcPr>
          <w:p w14:paraId="15048ABB" w14:textId="77777777" w:rsidR="0025243E" w:rsidRPr="00DE4F68" w:rsidRDefault="0025243E" w:rsidP="00D94493">
            <w:pPr>
              <w:spacing w:after="0" w:line="240" w:lineRule="auto"/>
              <w:jc w:val="center"/>
              <w:rPr>
                <w:rFonts w:ascii="Times New Roman" w:eastAsia="Times New Roman" w:hAnsi="Times New Roman" w:cs="Times New Roman"/>
                <w:b/>
                <w:bCs/>
                <w:color w:val="000000"/>
                <w:sz w:val="18"/>
                <w:szCs w:val="18"/>
                <w:lang w:eastAsia="sk-SK"/>
              </w:rPr>
            </w:pPr>
            <w:r w:rsidRPr="00DE4F68">
              <w:rPr>
                <w:rFonts w:ascii="Times New Roman" w:eastAsia="Times New Roman" w:hAnsi="Times New Roman" w:cs="Times New Roman"/>
                <w:b/>
                <w:bCs/>
                <w:color w:val="000000"/>
                <w:sz w:val="18"/>
                <w:szCs w:val="18"/>
                <w:lang w:eastAsia="sk-SK"/>
              </w:rPr>
              <w:t>2023</w:t>
            </w:r>
          </w:p>
        </w:tc>
        <w:tc>
          <w:tcPr>
            <w:tcW w:w="567" w:type="dxa"/>
            <w:tcBorders>
              <w:top w:val="single" w:sz="4" w:space="0" w:color="auto"/>
              <w:left w:val="nil"/>
              <w:bottom w:val="single" w:sz="8" w:space="0" w:color="auto"/>
              <w:right w:val="nil"/>
            </w:tcBorders>
            <w:shd w:val="clear" w:color="auto" w:fill="auto"/>
            <w:noWrap/>
            <w:vAlign w:val="bottom"/>
            <w:hideMark/>
          </w:tcPr>
          <w:p w14:paraId="6A4AE8D2" w14:textId="77777777" w:rsidR="0025243E" w:rsidRPr="00DE4F68" w:rsidRDefault="0025243E" w:rsidP="00D94493">
            <w:pPr>
              <w:spacing w:after="0" w:line="240" w:lineRule="auto"/>
              <w:jc w:val="center"/>
              <w:rPr>
                <w:rFonts w:ascii="Times New Roman" w:eastAsia="Times New Roman" w:hAnsi="Times New Roman" w:cs="Times New Roman"/>
                <w:b/>
                <w:bCs/>
                <w:color w:val="000000"/>
                <w:sz w:val="18"/>
                <w:szCs w:val="18"/>
                <w:lang w:eastAsia="sk-SK"/>
              </w:rPr>
            </w:pPr>
            <w:r w:rsidRPr="00DE4F68">
              <w:rPr>
                <w:rFonts w:ascii="Times New Roman" w:eastAsia="Times New Roman" w:hAnsi="Times New Roman" w:cs="Times New Roman"/>
                <w:b/>
                <w:bCs/>
                <w:color w:val="000000"/>
                <w:sz w:val="18"/>
                <w:szCs w:val="18"/>
                <w:lang w:eastAsia="sk-SK"/>
              </w:rPr>
              <w:t>2024</w:t>
            </w:r>
          </w:p>
        </w:tc>
        <w:tc>
          <w:tcPr>
            <w:tcW w:w="567" w:type="dxa"/>
            <w:tcBorders>
              <w:top w:val="single" w:sz="4" w:space="0" w:color="auto"/>
              <w:left w:val="nil"/>
              <w:bottom w:val="single" w:sz="8" w:space="0" w:color="auto"/>
              <w:right w:val="nil"/>
            </w:tcBorders>
            <w:shd w:val="clear" w:color="auto" w:fill="auto"/>
            <w:noWrap/>
            <w:vAlign w:val="bottom"/>
            <w:hideMark/>
          </w:tcPr>
          <w:p w14:paraId="56D2A5AA" w14:textId="77777777" w:rsidR="0025243E" w:rsidRPr="00DE4F68" w:rsidRDefault="0025243E" w:rsidP="00D94493">
            <w:pPr>
              <w:spacing w:after="0" w:line="240" w:lineRule="auto"/>
              <w:jc w:val="center"/>
              <w:rPr>
                <w:rFonts w:ascii="Times New Roman" w:eastAsia="Times New Roman" w:hAnsi="Times New Roman" w:cs="Times New Roman"/>
                <w:b/>
                <w:bCs/>
                <w:color w:val="000000"/>
                <w:sz w:val="18"/>
                <w:szCs w:val="18"/>
                <w:lang w:eastAsia="sk-SK"/>
              </w:rPr>
            </w:pPr>
            <w:r w:rsidRPr="00DE4F68">
              <w:rPr>
                <w:rFonts w:ascii="Times New Roman" w:eastAsia="Times New Roman" w:hAnsi="Times New Roman" w:cs="Times New Roman"/>
                <w:b/>
                <w:bCs/>
                <w:color w:val="000000"/>
                <w:sz w:val="18"/>
                <w:szCs w:val="18"/>
                <w:lang w:eastAsia="sk-SK"/>
              </w:rPr>
              <w:t>2025</w:t>
            </w:r>
          </w:p>
        </w:tc>
        <w:tc>
          <w:tcPr>
            <w:tcW w:w="512" w:type="dxa"/>
            <w:tcBorders>
              <w:top w:val="single" w:sz="4" w:space="0" w:color="auto"/>
              <w:left w:val="nil"/>
              <w:bottom w:val="single" w:sz="8" w:space="0" w:color="auto"/>
              <w:right w:val="nil"/>
            </w:tcBorders>
            <w:shd w:val="clear" w:color="auto" w:fill="auto"/>
            <w:noWrap/>
            <w:vAlign w:val="bottom"/>
            <w:hideMark/>
          </w:tcPr>
          <w:p w14:paraId="6A2A61BE" w14:textId="77777777" w:rsidR="0025243E" w:rsidRPr="00DE4F68" w:rsidRDefault="0025243E" w:rsidP="00D94493">
            <w:pPr>
              <w:spacing w:after="0" w:line="240" w:lineRule="auto"/>
              <w:jc w:val="center"/>
              <w:rPr>
                <w:rFonts w:ascii="Times New Roman" w:eastAsia="Times New Roman" w:hAnsi="Times New Roman" w:cs="Times New Roman"/>
                <w:b/>
                <w:bCs/>
                <w:color w:val="000000"/>
                <w:sz w:val="18"/>
                <w:szCs w:val="18"/>
                <w:lang w:eastAsia="sk-SK"/>
              </w:rPr>
            </w:pPr>
            <w:r w:rsidRPr="00DE4F68">
              <w:rPr>
                <w:rFonts w:ascii="Times New Roman" w:eastAsia="Times New Roman" w:hAnsi="Times New Roman" w:cs="Times New Roman"/>
                <w:b/>
                <w:bCs/>
                <w:color w:val="000000"/>
                <w:sz w:val="18"/>
                <w:szCs w:val="18"/>
                <w:lang w:eastAsia="sk-SK"/>
              </w:rPr>
              <w:t>2026</w:t>
            </w:r>
          </w:p>
        </w:tc>
      </w:tr>
      <w:tr w:rsidR="0025243E" w:rsidRPr="00DE4F68" w14:paraId="52A7B5E4" w14:textId="77777777" w:rsidTr="00D94493">
        <w:trPr>
          <w:trHeight w:val="288"/>
        </w:trPr>
        <w:tc>
          <w:tcPr>
            <w:tcW w:w="6379" w:type="dxa"/>
            <w:tcBorders>
              <w:top w:val="nil"/>
              <w:left w:val="nil"/>
              <w:bottom w:val="nil"/>
              <w:right w:val="nil"/>
            </w:tcBorders>
            <w:shd w:val="clear" w:color="auto" w:fill="auto"/>
            <w:noWrap/>
            <w:vAlign w:val="center"/>
            <w:hideMark/>
          </w:tcPr>
          <w:p w14:paraId="21CF4579" w14:textId="77777777" w:rsidR="0025243E" w:rsidRPr="00DE4F68" w:rsidRDefault="0025243E" w:rsidP="00D94493">
            <w:pPr>
              <w:spacing w:after="0" w:line="240" w:lineRule="auto"/>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Čistý vplyv opatrení vlády v boji s pandémiou COVID-19 (ponížený o preplatenie z EU fondov)</w:t>
            </w:r>
          </w:p>
        </w:tc>
        <w:tc>
          <w:tcPr>
            <w:tcW w:w="567" w:type="dxa"/>
            <w:tcBorders>
              <w:top w:val="single" w:sz="8" w:space="0" w:color="auto"/>
              <w:left w:val="nil"/>
              <w:bottom w:val="nil"/>
              <w:right w:val="nil"/>
            </w:tcBorders>
            <w:shd w:val="clear" w:color="auto" w:fill="auto"/>
            <w:vAlign w:val="center"/>
            <w:hideMark/>
          </w:tcPr>
          <w:p w14:paraId="27A8F99E"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-698</w:t>
            </w:r>
          </w:p>
        </w:tc>
        <w:tc>
          <w:tcPr>
            <w:tcW w:w="567" w:type="dxa"/>
            <w:tcBorders>
              <w:top w:val="nil"/>
              <w:left w:val="nil"/>
              <w:bottom w:val="nil"/>
              <w:right w:val="nil"/>
            </w:tcBorders>
            <w:shd w:val="clear" w:color="auto" w:fill="auto"/>
            <w:vAlign w:val="center"/>
            <w:hideMark/>
          </w:tcPr>
          <w:p w14:paraId="187CE0E4"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-155</w:t>
            </w:r>
          </w:p>
        </w:tc>
        <w:tc>
          <w:tcPr>
            <w:tcW w:w="567" w:type="dxa"/>
            <w:tcBorders>
              <w:top w:val="nil"/>
              <w:left w:val="nil"/>
              <w:bottom w:val="nil"/>
              <w:right w:val="nil"/>
            </w:tcBorders>
            <w:shd w:val="clear" w:color="auto" w:fill="auto"/>
            <w:vAlign w:val="center"/>
            <w:hideMark/>
          </w:tcPr>
          <w:p w14:paraId="09CC510A"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c>
          <w:tcPr>
            <w:tcW w:w="567" w:type="dxa"/>
            <w:tcBorders>
              <w:top w:val="nil"/>
              <w:left w:val="nil"/>
              <w:bottom w:val="nil"/>
              <w:right w:val="nil"/>
            </w:tcBorders>
            <w:shd w:val="clear" w:color="auto" w:fill="auto"/>
            <w:vAlign w:val="center"/>
            <w:hideMark/>
          </w:tcPr>
          <w:p w14:paraId="7E4DA7AC"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c>
          <w:tcPr>
            <w:tcW w:w="512" w:type="dxa"/>
            <w:tcBorders>
              <w:top w:val="nil"/>
              <w:left w:val="nil"/>
              <w:bottom w:val="nil"/>
              <w:right w:val="nil"/>
            </w:tcBorders>
            <w:shd w:val="clear" w:color="auto" w:fill="auto"/>
            <w:vAlign w:val="center"/>
            <w:hideMark/>
          </w:tcPr>
          <w:p w14:paraId="042676C9"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r>
      <w:tr w:rsidR="0025243E" w:rsidRPr="00DE4F68" w14:paraId="14117B4A" w14:textId="77777777" w:rsidTr="00D94493">
        <w:trPr>
          <w:trHeight w:val="288"/>
        </w:trPr>
        <w:tc>
          <w:tcPr>
            <w:tcW w:w="6379" w:type="dxa"/>
            <w:tcBorders>
              <w:top w:val="nil"/>
              <w:left w:val="nil"/>
              <w:bottom w:val="nil"/>
              <w:right w:val="nil"/>
            </w:tcBorders>
            <w:shd w:val="clear" w:color="auto" w:fill="auto"/>
            <w:noWrap/>
            <w:vAlign w:val="center"/>
            <w:hideMark/>
          </w:tcPr>
          <w:p w14:paraId="06F9C080" w14:textId="77777777" w:rsidR="0025243E" w:rsidRPr="00DE4F68" w:rsidRDefault="0025243E" w:rsidP="00D94493">
            <w:pPr>
              <w:spacing w:after="0" w:line="240" w:lineRule="auto"/>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Čistý vplyv výdavkov vyvolaných vojnou na Ukrajine (ponížený o preplatenie z EU fondov)</w:t>
            </w:r>
          </w:p>
        </w:tc>
        <w:tc>
          <w:tcPr>
            <w:tcW w:w="567" w:type="dxa"/>
            <w:tcBorders>
              <w:top w:val="nil"/>
              <w:left w:val="nil"/>
              <w:bottom w:val="nil"/>
              <w:right w:val="nil"/>
            </w:tcBorders>
            <w:shd w:val="clear" w:color="auto" w:fill="auto"/>
            <w:vAlign w:val="center"/>
            <w:hideMark/>
          </w:tcPr>
          <w:p w14:paraId="365AABB8"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-153</w:t>
            </w:r>
          </w:p>
        </w:tc>
        <w:tc>
          <w:tcPr>
            <w:tcW w:w="567" w:type="dxa"/>
            <w:tcBorders>
              <w:top w:val="nil"/>
              <w:left w:val="nil"/>
              <w:bottom w:val="nil"/>
              <w:right w:val="nil"/>
            </w:tcBorders>
            <w:shd w:val="clear" w:color="auto" w:fill="auto"/>
            <w:vAlign w:val="center"/>
            <w:hideMark/>
          </w:tcPr>
          <w:p w14:paraId="4F7A74AE"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-81</w:t>
            </w:r>
          </w:p>
        </w:tc>
        <w:tc>
          <w:tcPr>
            <w:tcW w:w="567" w:type="dxa"/>
            <w:tcBorders>
              <w:top w:val="nil"/>
              <w:left w:val="nil"/>
              <w:bottom w:val="nil"/>
              <w:right w:val="nil"/>
            </w:tcBorders>
            <w:shd w:val="clear" w:color="auto" w:fill="auto"/>
            <w:vAlign w:val="center"/>
            <w:hideMark/>
          </w:tcPr>
          <w:p w14:paraId="27DB11F3"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c>
          <w:tcPr>
            <w:tcW w:w="567" w:type="dxa"/>
            <w:tcBorders>
              <w:top w:val="nil"/>
              <w:left w:val="nil"/>
              <w:bottom w:val="nil"/>
              <w:right w:val="nil"/>
            </w:tcBorders>
            <w:shd w:val="clear" w:color="auto" w:fill="auto"/>
            <w:vAlign w:val="center"/>
            <w:hideMark/>
          </w:tcPr>
          <w:p w14:paraId="1A4C6FD8"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c>
          <w:tcPr>
            <w:tcW w:w="512" w:type="dxa"/>
            <w:tcBorders>
              <w:top w:val="nil"/>
              <w:left w:val="nil"/>
              <w:bottom w:val="nil"/>
              <w:right w:val="nil"/>
            </w:tcBorders>
            <w:shd w:val="clear" w:color="auto" w:fill="auto"/>
            <w:vAlign w:val="center"/>
            <w:hideMark/>
          </w:tcPr>
          <w:p w14:paraId="016B7FC6"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r>
      <w:tr w:rsidR="0025243E" w:rsidRPr="00DE4F68" w14:paraId="57BAA658" w14:textId="77777777" w:rsidTr="00D94493">
        <w:trPr>
          <w:trHeight w:val="288"/>
        </w:trPr>
        <w:tc>
          <w:tcPr>
            <w:tcW w:w="6379" w:type="dxa"/>
            <w:tcBorders>
              <w:top w:val="nil"/>
              <w:left w:val="nil"/>
              <w:bottom w:val="nil"/>
              <w:right w:val="nil"/>
            </w:tcBorders>
            <w:shd w:val="clear" w:color="auto" w:fill="auto"/>
            <w:noWrap/>
            <w:vAlign w:val="bottom"/>
            <w:hideMark/>
          </w:tcPr>
          <w:p w14:paraId="7DB38DBD" w14:textId="77777777" w:rsidR="0025243E" w:rsidRPr="00DE4F68" w:rsidRDefault="0025243E" w:rsidP="00D94493">
            <w:pPr>
              <w:spacing w:after="0" w:line="240" w:lineRule="auto"/>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Jednorazová podpora pre ľudí ohrozených infláciou</w:t>
            </w:r>
          </w:p>
        </w:tc>
        <w:tc>
          <w:tcPr>
            <w:tcW w:w="567" w:type="dxa"/>
            <w:tcBorders>
              <w:top w:val="nil"/>
              <w:left w:val="nil"/>
              <w:bottom w:val="nil"/>
              <w:right w:val="nil"/>
            </w:tcBorders>
            <w:shd w:val="clear" w:color="auto" w:fill="auto"/>
            <w:vAlign w:val="bottom"/>
            <w:hideMark/>
          </w:tcPr>
          <w:p w14:paraId="6C51786B"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-112</w:t>
            </w:r>
          </w:p>
        </w:tc>
        <w:tc>
          <w:tcPr>
            <w:tcW w:w="567" w:type="dxa"/>
            <w:tcBorders>
              <w:top w:val="nil"/>
              <w:left w:val="nil"/>
              <w:bottom w:val="nil"/>
              <w:right w:val="nil"/>
            </w:tcBorders>
            <w:shd w:val="clear" w:color="auto" w:fill="auto"/>
            <w:vAlign w:val="center"/>
            <w:hideMark/>
          </w:tcPr>
          <w:p w14:paraId="0C85808F"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c>
          <w:tcPr>
            <w:tcW w:w="567" w:type="dxa"/>
            <w:tcBorders>
              <w:top w:val="nil"/>
              <w:left w:val="nil"/>
              <w:bottom w:val="nil"/>
              <w:right w:val="nil"/>
            </w:tcBorders>
            <w:shd w:val="clear" w:color="auto" w:fill="auto"/>
            <w:vAlign w:val="center"/>
            <w:hideMark/>
          </w:tcPr>
          <w:p w14:paraId="78A19FC6"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c>
          <w:tcPr>
            <w:tcW w:w="567" w:type="dxa"/>
            <w:tcBorders>
              <w:top w:val="nil"/>
              <w:left w:val="nil"/>
              <w:bottom w:val="nil"/>
              <w:right w:val="nil"/>
            </w:tcBorders>
            <w:shd w:val="clear" w:color="auto" w:fill="auto"/>
            <w:vAlign w:val="center"/>
            <w:hideMark/>
          </w:tcPr>
          <w:p w14:paraId="6B7B671D"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c>
          <w:tcPr>
            <w:tcW w:w="512" w:type="dxa"/>
            <w:tcBorders>
              <w:top w:val="nil"/>
              <w:left w:val="nil"/>
              <w:bottom w:val="nil"/>
              <w:right w:val="nil"/>
            </w:tcBorders>
            <w:shd w:val="clear" w:color="auto" w:fill="auto"/>
            <w:vAlign w:val="center"/>
            <w:hideMark/>
          </w:tcPr>
          <w:p w14:paraId="782FAADC"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r>
      <w:tr w:rsidR="0025243E" w:rsidRPr="00DE4F68" w14:paraId="6E9BBE7C" w14:textId="77777777" w:rsidTr="00D94493">
        <w:trPr>
          <w:trHeight w:val="288"/>
        </w:trPr>
        <w:tc>
          <w:tcPr>
            <w:tcW w:w="6379" w:type="dxa"/>
            <w:tcBorders>
              <w:top w:val="nil"/>
              <w:left w:val="nil"/>
              <w:bottom w:val="nil"/>
              <w:right w:val="nil"/>
            </w:tcBorders>
            <w:shd w:val="clear" w:color="auto" w:fill="auto"/>
            <w:noWrap/>
            <w:vAlign w:val="bottom"/>
            <w:hideMark/>
          </w:tcPr>
          <w:p w14:paraId="2E8C5184" w14:textId="77777777" w:rsidR="0025243E" w:rsidRPr="00DE4F68" w:rsidRDefault="0025243E" w:rsidP="00D94493">
            <w:pPr>
              <w:spacing w:after="0" w:line="240" w:lineRule="auto"/>
              <w:rPr>
                <w:rFonts w:ascii="Times New Roman" w:eastAsia="Times New Roman" w:hAnsi="Times New Roman" w:cs="Times New Roman"/>
                <w:color w:val="000000"/>
                <w:sz w:val="18"/>
                <w:szCs w:val="18"/>
                <w:highlight w:val="yellow"/>
                <w:lang w:eastAsia="sk-SK"/>
              </w:rPr>
            </w:pPr>
            <w:r w:rsidRPr="00DE4F68">
              <w:rPr>
                <w:rFonts w:ascii="Times New Roman" w:hAnsi="Times New Roman" w:cs="Times New Roman"/>
                <w:color w:val="000000"/>
                <w:sz w:val="18"/>
                <w:szCs w:val="18"/>
              </w:rPr>
              <w:t>Vyplatenie 14. dôchodkov</w:t>
            </w:r>
          </w:p>
        </w:tc>
        <w:tc>
          <w:tcPr>
            <w:tcW w:w="567" w:type="dxa"/>
            <w:tcBorders>
              <w:top w:val="nil"/>
              <w:left w:val="nil"/>
              <w:bottom w:val="nil"/>
              <w:right w:val="nil"/>
            </w:tcBorders>
            <w:shd w:val="clear" w:color="auto" w:fill="auto"/>
            <w:vAlign w:val="bottom"/>
            <w:hideMark/>
          </w:tcPr>
          <w:p w14:paraId="581FFCBC"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-208</w:t>
            </w:r>
          </w:p>
        </w:tc>
        <w:tc>
          <w:tcPr>
            <w:tcW w:w="567" w:type="dxa"/>
            <w:tcBorders>
              <w:top w:val="nil"/>
              <w:left w:val="nil"/>
              <w:bottom w:val="nil"/>
              <w:right w:val="nil"/>
            </w:tcBorders>
            <w:shd w:val="clear" w:color="auto" w:fill="auto"/>
            <w:vAlign w:val="center"/>
            <w:hideMark/>
          </w:tcPr>
          <w:p w14:paraId="5E2F9295"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c>
          <w:tcPr>
            <w:tcW w:w="567" w:type="dxa"/>
            <w:tcBorders>
              <w:top w:val="nil"/>
              <w:left w:val="nil"/>
              <w:bottom w:val="nil"/>
              <w:right w:val="nil"/>
            </w:tcBorders>
            <w:shd w:val="clear" w:color="auto" w:fill="auto"/>
            <w:vAlign w:val="center"/>
            <w:hideMark/>
          </w:tcPr>
          <w:p w14:paraId="6217599C"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c>
          <w:tcPr>
            <w:tcW w:w="567" w:type="dxa"/>
            <w:tcBorders>
              <w:top w:val="nil"/>
              <w:left w:val="nil"/>
              <w:bottom w:val="nil"/>
              <w:right w:val="nil"/>
            </w:tcBorders>
            <w:shd w:val="clear" w:color="auto" w:fill="auto"/>
            <w:vAlign w:val="center"/>
            <w:hideMark/>
          </w:tcPr>
          <w:p w14:paraId="34D59CB3"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c>
          <w:tcPr>
            <w:tcW w:w="512" w:type="dxa"/>
            <w:tcBorders>
              <w:top w:val="nil"/>
              <w:left w:val="nil"/>
              <w:bottom w:val="nil"/>
              <w:right w:val="nil"/>
            </w:tcBorders>
            <w:shd w:val="clear" w:color="auto" w:fill="auto"/>
            <w:vAlign w:val="center"/>
            <w:hideMark/>
          </w:tcPr>
          <w:p w14:paraId="01E94F81"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r>
      <w:tr w:rsidR="0025243E" w:rsidRPr="00DE4F68" w14:paraId="01A14280" w14:textId="77777777" w:rsidTr="00D94493">
        <w:trPr>
          <w:trHeight w:val="288"/>
        </w:trPr>
        <w:tc>
          <w:tcPr>
            <w:tcW w:w="6379" w:type="dxa"/>
            <w:tcBorders>
              <w:top w:val="nil"/>
              <w:left w:val="nil"/>
              <w:bottom w:val="nil"/>
              <w:right w:val="nil"/>
            </w:tcBorders>
            <w:shd w:val="clear" w:color="auto" w:fill="auto"/>
            <w:noWrap/>
            <w:vAlign w:val="bottom"/>
            <w:hideMark/>
          </w:tcPr>
          <w:p w14:paraId="67E784D9" w14:textId="77777777" w:rsidR="0025243E" w:rsidRPr="00DE4F68" w:rsidRDefault="0025243E" w:rsidP="00D94493">
            <w:pPr>
              <w:spacing w:after="0" w:line="240" w:lineRule="auto"/>
              <w:rPr>
                <w:rFonts w:ascii="Times New Roman" w:eastAsia="Times New Roman" w:hAnsi="Times New Roman" w:cs="Times New Roman"/>
                <w:color w:val="000000"/>
                <w:sz w:val="18"/>
                <w:szCs w:val="18"/>
                <w:highlight w:val="yellow"/>
                <w:lang w:eastAsia="sk-SK"/>
              </w:rPr>
            </w:pPr>
            <w:r w:rsidRPr="00DE4F68">
              <w:rPr>
                <w:rFonts w:ascii="Times New Roman" w:hAnsi="Times New Roman" w:cs="Times New Roman"/>
                <w:color w:val="000000"/>
                <w:sz w:val="18"/>
                <w:szCs w:val="18"/>
              </w:rPr>
              <w:t>Dotácie pre sociálne služby</w:t>
            </w:r>
          </w:p>
        </w:tc>
        <w:tc>
          <w:tcPr>
            <w:tcW w:w="567" w:type="dxa"/>
            <w:tcBorders>
              <w:top w:val="nil"/>
              <w:left w:val="nil"/>
              <w:bottom w:val="nil"/>
              <w:right w:val="nil"/>
            </w:tcBorders>
            <w:shd w:val="clear" w:color="auto" w:fill="auto"/>
            <w:noWrap/>
            <w:vAlign w:val="bottom"/>
            <w:hideMark/>
          </w:tcPr>
          <w:p w14:paraId="37E055AB"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-20</w:t>
            </w:r>
          </w:p>
        </w:tc>
        <w:tc>
          <w:tcPr>
            <w:tcW w:w="567" w:type="dxa"/>
            <w:tcBorders>
              <w:top w:val="nil"/>
              <w:left w:val="nil"/>
              <w:bottom w:val="nil"/>
              <w:right w:val="nil"/>
            </w:tcBorders>
            <w:shd w:val="clear" w:color="auto" w:fill="auto"/>
            <w:vAlign w:val="center"/>
            <w:hideMark/>
          </w:tcPr>
          <w:p w14:paraId="34435CFC"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c>
          <w:tcPr>
            <w:tcW w:w="567" w:type="dxa"/>
            <w:tcBorders>
              <w:top w:val="nil"/>
              <w:left w:val="nil"/>
              <w:bottom w:val="nil"/>
              <w:right w:val="nil"/>
            </w:tcBorders>
            <w:shd w:val="clear" w:color="auto" w:fill="auto"/>
            <w:vAlign w:val="center"/>
            <w:hideMark/>
          </w:tcPr>
          <w:p w14:paraId="1752FD8D"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c>
          <w:tcPr>
            <w:tcW w:w="567" w:type="dxa"/>
            <w:tcBorders>
              <w:top w:val="nil"/>
              <w:left w:val="nil"/>
              <w:bottom w:val="nil"/>
              <w:right w:val="nil"/>
            </w:tcBorders>
            <w:shd w:val="clear" w:color="auto" w:fill="auto"/>
            <w:vAlign w:val="center"/>
            <w:hideMark/>
          </w:tcPr>
          <w:p w14:paraId="65D5C111"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c>
          <w:tcPr>
            <w:tcW w:w="512" w:type="dxa"/>
            <w:tcBorders>
              <w:top w:val="nil"/>
              <w:left w:val="nil"/>
              <w:bottom w:val="nil"/>
              <w:right w:val="nil"/>
            </w:tcBorders>
            <w:shd w:val="clear" w:color="auto" w:fill="auto"/>
            <w:vAlign w:val="center"/>
            <w:hideMark/>
          </w:tcPr>
          <w:p w14:paraId="545CA7E1"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r>
      <w:tr w:rsidR="0025243E" w:rsidRPr="00DE4F68" w14:paraId="20C979B7" w14:textId="77777777" w:rsidTr="00D94493">
        <w:trPr>
          <w:trHeight w:val="288"/>
        </w:trPr>
        <w:tc>
          <w:tcPr>
            <w:tcW w:w="6379" w:type="dxa"/>
            <w:tcBorders>
              <w:top w:val="nil"/>
              <w:left w:val="nil"/>
              <w:bottom w:val="nil"/>
              <w:right w:val="nil"/>
            </w:tcBorders>
            <w:shd w:val="clear" w:color="auto" w:fill="auto"/>
            <w:noWrap/>
            <w:vAlign w:val="bottom"/>
            <w:hideMark/>
          </w:tcPr>
          <w:p w14:paraId="2280E139" w14:textId="77777777" w:rsidR="0025243E" w:rsidRPr="00DE4F68" w:rsidRDefault="0025243E" w:rsidP="00D94493">
            <w:pPr>
              <w:spacing w:after="0" w:line="240" w:lineRule="auto"/>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Čistý vplyv schém podpory súvisiacich z vysokými cenami energií (ponížený o preplatenie z EU fondov)</w:t>
            </w:r>
          </w:p>
        </w:tc>
        <w:tc>
          <w:tcPr>
            <w:tcW w:w="567" w:type="dxa"/>
            <w:tcBorders>
              <w:top w:val="nil"/>
              <w:left w:val="nil"/>
              <w:bottom w:val="nil"/>
              <w:right w:val="nil"/>
            </w:tcBorders>
            <w:shd w:val="clear" w:color="auto" w:fill="auto"/>
            <w:noWrap/>
            <w:vAlign w:val="center"/>
            <w:hideMark/>
          </w:tcPr>
          <w:p w14:paraId="454D0E71"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-127</w:t>
            </w:r>
          </w:p>
        </w:tc>
        <w:tc>
          <w:tcPr>
            <w:tcW w:w="567" w:type="dxa"/>
            <w:tcBorders>
              <w:top w:val="nil"/>
              <w:left w:val="nil"/>
              <w:bottom w:val="nil"/>
              <w:right w:val="nil"/>
            </w:tcBorders>
            <w:shd w:val="clear" w:color="auto" w:fill="auto"/>
            <w:vAlign w:val="center"/>
            <w:hideMark/>
          </w:tcPr>
          <w:p w14:paraId="382FD603"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-2275</w:t>
            </w:r>
          </w:p>
        </w:tc>
        <w:tc>
          <w:tcPr>
            <w:tcW w:w="567" w:type="dxa"/>
            <w:tcBorders>
              <w:top w:val="nil"/>
              <w:left w:val="nil"/>
              <w:bottom w:val="nil"/>
              <w:right w:val="nil"/>
            </w:tcBorders>
            <w:shd w:val="clear" w:color="auto" w:fill="auto"/>
            <w:vAlign w:val="center"/>
            <w:hideMark/>
          </w:tcPr>
          <w:p w14:paraId="1E3201DD"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-800</w:t>
            </w:r>
          </w:p>
        </w:tc>
        <w:tc>
          <w:tcPr>
            <w:tcW w:w="567" w:type="dxa"/>
            <w:tcBorders>
              <w:top w:val="nil"/>
              <w:left w:val="nil"/>
              <w:bottom w:val="nil"/>
              <w:right w:val="nil"/>
            </w:tcBorders>
            <w:shd w:val="clear" w:color="auto" w:fill="auto"/>
            <w:vAlign w:val="center"/>
            <w:hideMark/>
          </w:tcPr>
          <w:p w14:paraId="7F7E4DC7"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c>
          <w:tcPr>
            <w:tcW w:w="512" w:type="dxa"/>
            <w:tcBorders>
              <w:top w:val="nil"/>
              <w:left w:val="nil"/>
              <w:bottom w:val="nil"/>
              <w:right w:val="nil"/>
            </w:tcBorders>
            <w:shd w:val="clear" w:color="auto" w:fill="auto"/>
            <w:vAlign w:val="center"/>
            <w:hideMark/>
          </w:tcPr>
          <w:p w14:paraId="2B7ACAF9"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r>
      <w:tr w:rsidR="0025243E" w:rsidRPr="00DE4F68" w14:paraId="5E357614" w14:textId="77777777" w:rsidTr="00D94493">
        <w:trPr>
          <w:trHeight w:val="288"/>
        </w:trPr>
        <w:tc>
          <w:tcPr>
            <w:tcW w:w="6379" w:type="dxa"/>
            <w:tcBorders>
              <w:top w:val="nil"/>
              <w:left w:val="nil"/>
              <w:right w:val="nil"/>
            </w:tcBorders>
            <w:shd w:val="clear" w:color="auto" w:fill="auto"/>
            <w:noWrap/>
            <w:vAlign w:val="bottom"/>
            <w:hideMark/>
          </w:tcPr>
          <w:p w14:paraId="6C4F315A" w14:textId="77777777" w:rsidR="0025243E" w:rsidRPr="00DE4F68" w:rsidRDefault="0025243E" w:rsidP="00D94493">
            <w:pPr>
              <w:spacing w:after="0" w:line="240" w:lineRule="auto"/>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Dočasné príjmy z nariadenia EÚ ohľadom nadmerných ziskov</w:t>
            </w:r>
          </w:p>
        </w:tc>
        <w:tc>
          <w:tcPr>
            <w:tcW w:w="567" w:type="dxa"/>
            <w:tcBorders>
              <w:top w:val="nil"/>
              <w:left w:val="nil"/>
              <w:right w:val="nil"/>
            </w:tcBorders>
            <w:shd w:val="clear" w:color="auto" w:fill="auto"/>
            <w:noWrap/>
            <w:vAlign w:val="bottom"/>
            <w:hideMark/>
          </w:tcPr>
          <w:p w14:paraId="35253BAA"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412</w:t>
            </w:r>
          </w:p>
        </w:tc>
        <w:tc>
          <w:tcPr>
            <w:tcW w:w="567" w:type="dxa"/>
            <w:tcBorders>
              <w:top w:val="nil"/>
              <w:left w:val="nil"/>
              <w:right w:val="nil"/>
            </w:tcBorders>
            <w:shd w:val="clear" w:color="auto" w:fill="auto"/>
            <w:vAlign w:val="center"/>
            <w:hideMark/>
          </w:tcPr>
          <w:p w14:paraId="706EA6DF"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283</w:t>
            </w:r>
          </w:p>
        </w:tc>
        <w:tc>
          <w:tcPr>
            <w:tcW w:w="567" w:type="dxa"/>
            <w:tcBorders>
              <w:top w:val="nil"/>
              <w:left w:val="nil"/>
              <w:right w:val="nil"/>
            </w:tcBorders>
            <w:shd w:val="clear" w:color="auto" w:fill="auto"/>
            <w:vAlign w:val="center"/>
            <w:hideMark/>
          </w:tcPr>
          <w:p w14:paraId="6004A91A"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180</w:t>
            </w:r>
          </w:p>
        </w:tc>
        <w:tc>
          <w:tcPr>
            <w:tcW w:w="567" w:type="dxa"/>
            <w:tcBorders>
              <w:top w:val="nil"/>
              <w:left w:val="nil"/>
              <w:right w:val="nil"/>
            </w:tcBorders>
            <w:shd w:val="clear" w:color="auto" w:fill="auto"/>
            <w:vAlign w:val="center"/>
            <w:hideMark/>
          </w:tcPr>
          <w:p w14:paraId="2DD84075"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c>
          <w:tcPr>
            <w:tcW w:w="512" w:type="dxa"/>
            <w:tcBorders>
              <w:top w:val="nil"/>
              <w:left w:val="nil"/>
              <w:right w:val="nil"/>
            </w:tcBorders>
            <w:shd w:val="clear" w:color="auto" w:fill="auto"/>
            <w:vAlign w:val="center"/>
            <w:hideMark/>
          </w:tcPr>
          <w:p w14:paraId="5C2DA590"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r>
      <w:tr w:rsidR="0025243E" w:rsidRPr="00DE4F68" w14:paraId="17EAB714" w14:textId="77777777" w:rsidTr="00D94493">
        <w:trPr>
          <w:trHeight w:val="288"/>
        </w:trPr>
        <w:tc>
          <w:tcPr>
            <w:tcW w:w="6379" w:type="dxa"/>
            <w:tcBorders>
              <w:top w:val="nil"/>
              <w:left w:val="nil"/>
              <w:bottom w:val="single" w:sz="4" w:space="0" w:color="auto"/>
              <w:right w:val="nil"/>
            </w:tcBorders>
            <w:shd w:val="clear" w:color="auto" w:fill="auto"/>
            <w:noWrap/>
            <w:vAlign w:val="bottom"/>
            <w:hideMark/>
          </w:tcPr>
          <w:p w14:paraId="43FFC544" w14:textId="77777777" w:rsidR="0025243E" w:rsidRPr="00DE4F68" w:rsidRDefault="0025243E" w:rsidP="00D94493">
            <w:pPr>
              <w:spacing w:after="0" w:line="240" w:lineRule="auto"/>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Cenové stropy pre výrobcov elektrickej energie</w:t>
            </w:r>
          </w:p>
        </w:tc>
        <w:tc>
          <w:tcPr>
            <w:tcW w:w="567" w:type="dxa"/>
            <w:tcBorders>
              <w:top w:val="nil"/>
              <w:left w:val="nil"/>
              <w:bottom w:val="single" w:sz="4" w:space="0" w:color="auto"/>
              <w:right w:val="nil"/>
            </w:tcBorders>
            <w:shd w:val="clear" w:color="auto" w:fill="auto"/>
            <w:noWrap/>
            <w:vAlign w:val="center"/>
            <w:hideMark/>
          </w:tcPr>
          <w:p w14:paraId="463FA00A"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c>
          <w:tcPr>
            <w:tcW w:w="567" w:type="dxa"/>
            <w:tcBorders>
              <w:top w:val="nil"/>
              <w:left w:val="nil"/>
              <w:bottom w:val="single" w:sz="4" w:space="0" w:color="auto"/>
              <w:right w:val="nil"/>
            </w:tcBorders>
            <w:shd w:val="clear" w:color="auto" w:fill="auto"/>
            <w:vAlign w:val="center"/>
            <w:hideMark/>
          </w:tcPr>
          <w:p w14:paraId="11EB6D69"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23</w:t>
            </w:r>
          </w:p>
        </w:tc>
        <w:tc>
          <w:tcPr>
            <w:tcW w:w="567" w:type="dxa"/>
            <w:tcBorders>
              <w:top w:val="nil"/>
              <w:left w:val="nil"/>
              <w:bottom w:val="single" w:sz="4" w:space="0" w:color="auto"/>
              <w:right w:val="nil"/>
            </w:tcBorders>
            <w:shd w:val="clear" w:color="auto" w:fill="auto"/>
            <w:vAlign w:val="center"/>
            <w:hideMark/>
          </w:tcPr>
          <w:p w14:paraId="0FD11D74"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1</w:t>
            </w:r>
          </w:p>
        </w:tc>
        <w:tc>
          <w:tcPr>
            <w:tcW w:w="567" w:type="dxa"/>
            <w:tcBorders>
              <w:top w:val="nil"/>
              <w:left w:val="nil"/>
              <w:bottom w:val="single" w:sz="4" w:space="0" w:color="auto"/>
              <w:right w:val="nil"/>
            </w:tcBorders>
            <w:shd w:val="clear" w:color="auto" w:fill="auto"/>
            <w:vAlign w:val="center"/>
            <w:hideMark/>
          </w:tcPr>
          <w:p w14:paraId="6463A97B"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c>
          <w:tcPr>
            <w:tcW w:w="512" w:type="dxa"/>
            <w:tcBorders>
              <w:top w:val="nil"/>
              <w:left w:val="nil"/>
              <w:bottom w:val="single" w:sz="4" w:space="0" w:color="auto"/>
              <w:right w:val="nil"/>
            </w:tcBorders>
            <w:shd w:val="clear" w:color="auto" w:fill="auto"/>
            <w:vAlign w:val="center"/>
            <w:hideMark/>
          </w:tcPr>
          <w:p w14:paraId="5E69B251"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color w:val="000000"/>
                <w:sz w:val="18"/>
                <w:szCs w:val="18"/>
              </w:rPr>
              <w:t>-</w:t>
            </w:r>
          </w:p>
        </w:tc>
      </w:tr>
      <w:tr w:rsidR="0025243E" w:rsidRPr="00DE4F68" w14:paraId="1DBC48B5" w14:textId="77777777" w:rsidTr="00D94493">
        <w:trPr>
          <w:trHeight w:val="288"/>
        </w:trPr>
        <w:tc>
          <w:tcPr>
            <w:tcW w:w="6379" w:type="dxa"/>
            <w:tcBorders>
              <w:top w:val="single" w:sz="4" w:space="0" w:color="auto"/>
              <w:left w:val="nil"/>
              <w:bottom w:val="single" w:sz="4" w:space="0" w:color="auto"/>
              <w:right w:val="nil"/>
            </w:tcBorders>
            <w:shd w:val="clear" w:color="auto" w:fill="auto"/>
            <w:noWrap/>
            <w:vAlign w:val="bottom"/>
            <w:hideMark/>
          </w:tcPr>
          <w:p w14:paraId="227E3217" w14:textId="77777777" w:rsidR="0025243E" w:rsidRPr="00DE4F68" w:rsidRDefault="0025243E" w:rsidP="00D94493">
            <w:pPr>
              <w:spacing w:after="0" w:line="240" w:lineRule="auto"/>
              <w:rPr>
                <w:rFonts w:ascii="Times New Roman" w:eastAsia="Times New Roman" w:hAnsi="Times New Roman" w:cs="Times New Roman"/>
                <w:color w:val="000000"/>
                <w:sz w:val="18"/>
                <w:szCs w:val="18"/>
                <w:highlight w:val="yellow"/>
                <w:lang w:eastAsia="sk-SK"/>
              </w:rPr>
            </w:pPr>
            <w:r w:rsidRPr="00DE4F68">
              <w:rPr>
                <w:rFonts w:ascii="Times New Roman" w:hAnsi="Times New Roman" w:cs="Times New Roman"/>
                <w:b/>
                <w:bCs/>
                <w:color w:val="000000"/>
                <w:sz w:val="18"/>
                <w:szCs w:val="18"/>
              </w:rPr>
              <w:t xml:space="preserve">Spolu  </w:t>
            </w:r>
          </w:p>
        </w:tc>
        <w:tc>
          <w:tcPr>
            <w:tcW w:w="567" w:type="dxa"/>
            <w:tcBorders>
              <w:top w:val="single" w:sz="4" w:space="0" w:color="auto"/>
              <w:left w:val="nil"/>
              <w:bottom w:val="single" w:sz="4" w:space="0" w:color="auto"/>
              <w:right w:val="nil"/>
            </w:tcBorders>
            <w:shd w:val="clear" w:color="auto" w:fill="auto"/>
            <w:noWrap/>
            <w:vAlign w:val="bottom"/>
            <w:hideMark/>
          </w:tcPr>
          <w:p w14:paraId="5E545C31"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b/>
                <w:bCs/>
                <w:color w:val="000000"/>
                <w:sz w:val="18"/>
                <w:szCs w:val="18"/>
              </w:rPr>
              <w:t>-906</w:t>
            </w:r>
          </w:p>
        </w:tc>
        <w:tc>
          <w:tcPr>
            <w:tcW w:w="567" w:type="dxa"/>
            <w:tcBorders>
              <w:top w:val="single" w:sz="4" w:space="0" w:color="auto"/>
              <w:left w:val="nil"/>
              <w:bottom w:val="single" w:sz="4" w:space="0" w:color="auto"/>
              <w:right w:val="nil"/>
            </w:tcBorders>
            <w:shd w:val="clear" w:color="auto" w:fill="auto"/>
            <w:vAlign w:val="bottom"/>
            <w:hideMark/>
          </w:tcPr>
          <w:p w14:paraId="6561BAB6"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b/>
                <w:bCs/>
                <w:color w:val="000000"/>
                <w:sz w:val="18"/>
                <w:szCs w:val="18"/>
              </w:rPr>
              <w:t>-2205</w:t>
            </w:r>
          </w:p>
        </w:tc>
        <w:tc>
          <w:tcPr>
            <w:tcW w:w="567" w:type="dxa"/>
            <w:tcBorders>
              <w:top w:val="single" w:sz="4" w:space="0" w:color="auto"/>
              <w:left w:val="nil"/>
              <w:bottom w:val="single" w:sz="4" w:space="0" w:color="auto"/>
              <w:right w:val="nil"/>
            </w:tcBorders>
            <w:shd w:val="clear" w:color="auto" w:fill="auto"/>
            <w:vAlign w:val="bottom"/>
            <w:hideMark/>
          </w:tcPr>
          <w:p w14:paraId="7144BC12"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b/>
                <w:bCs/>
                <w:color w:val="000000"/>
                <w:sz w:val="18"/>
                <w:szCs w:val="18"/>
              </w:rPr>
              <w:t>-619</w:t>
            </w:r>
          </w:p>
        </w:tc>
        <w:tc>
          <w:tcPr>
            <w:tcW w:w="567" w:type="dxa"/>
            <w:tcBorders>
              <w:top w:val="single" w:sz="4" w:space="0" w:color="auto"/>
              <w:left w:val="nil"/>
              <w:bottom w:val="single" w:sz="4" w:space="0" w:color="auto"/>
              <w:right w:val="nil"/>
            </w:tcBorders>
            <w:shd w:val="clear" w:color="auto" w:fill="auto"/>
            <w:vAlign w:val="bottom"/>
            <w:hideMark/>
          </w:tcPr>
          <w:p w14:paraId="74EFE437"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b/>
                <w:bCs/>
                <w:color w:val="000000"/>
                <w:sz w:val="18"/>
                <w:szCs w:val="18"/>
              </w:rPr>
              <w:t>0</w:t>
            </w:r>
          </w:p>
        </w:tc>
        <w:tc>
          <w:tcPr>
            <w:tcW w:w="512" w:type="dxa"/>
            <w:tcBorders>
              <w:top w:val="single" w:sz="4" w:space="0" w:color="auto"/>
              <w:left w:val="nil"/>
              <w:bottom w:val="single" w:sz="4" w:space="0" w:color="auto"/>
              <w:right w:val="nil"/>
            </w:tcBorders>
            <w:shd w:val="clear" w:color="auto" w:fill="auto"/>
            <w:vAlign w:val="bottom"/>
            <w:hideMark/>
          </w:tcPr>
          <w:p w14:paraId="3212FE8E" w14:textId="77777777" w:rsidR="0025243E" w:rsidRPr="00DE4F68" w:rsidRDefault="0025243E" w:rsidP="00D94493">
            <w:pPr>
              <w:spacing w:after="0" w:line="240" w:lineRule="auto"/>
              <w:jc w:val="center"/>
              <w:rPr>
                <w:rFonts w:ascii="Times New Roman" w:eastAsia="Times New Roman" w:hAnsi="Times New Roman" w:cs="Times New Roman"/>
                <w:color w:val="000000"/>
                <w:sz w:val="18"/>
                <w:szCs w:val="18"/>
                <w:lang w:eastAsia="sk-SK"/>
              </w:rPr>
            </w:pPr>
            <w:r w:rsidRPr="00DE4F68">
              <w:rPr>
                <w:rFonts w:ascii="Times New Roman" w:hAnsi="Times New Roman" w:cs="Times New Roman"/>
                <w:b/>
                <w:bCs/>
                <w:color w:val="000000"/>
                <w:sz w:val="18"/>
                <w:szCs w:val="18"/>
              </w:rPr>
              <w:t>0</w:t>
            </w:r>
          </w:p>
        </w:tc>
      </w:tr>
    </w:tbl>
    <w:p w14:paraId="5B3E074B" w14:textId="77777777" w:rsidR="0025243E" w:rsidRPr="00E64CF6" w:rsidRDefault="0025243E" w:rsidP="0025243E">
      <w:pPr>
        <w:spacing w:after="0" w:line="240" w:lineRule="auto"/>
        <w:jc w:val="center"/>
        <w:rPr>
          <w:rFonts w:ascii="Times New Roman" w:hAnsi="Times New Roman" w:cs="Times New Roman"/>
          <w:i/>
          <w:sz w:val="16"/>
          <w:szCs w:val="16"/>
        </w:rPr>
      </w:pPr>
      <w:r w:rsidRPr="00E64CF6">
        <w:rPr>
          <w:rFonts w:ascii="Times New Roman" w:hAnsi="Times New Roman" w:cs="Times New Roman"/>
          <w:i/>
          <w:sz w:val="16"/>
          <w:szCs w:val="16"/>
        </w:rPr>
        <w:t xml:space="preserve"> (+) zlepšenie salda, (-) zhoršenie salda</w:t>
      </w:r>
      <w:r w:rsidRPr="00E64CF6">
        <w:rPr>
          <w:rFonts w:ascii="Times New Roman" w:hAnsi="Times New Roman" w:cs="Times New Roman"/>
          <w:i/>
          <w:sz w:val="16"/>
          <w:szCs w:val="16"/>
        </w:rPr>
        <w:tab/>
      </w:r>
      <w:r w:rsidRPr="00E64CF6">
        <w:rPr>
          <w:rFonts w:ascii="Times New Roman" w:hAnsi="Times New Roman" w:cs="Times New Roman"/>
          <w:i/>
          <w:sz w:val="16"/>
          <w:szCs w:val="16"/>
        </w:rPr>
        <w:tab/>
      </w:r>
      <w:r w:rsidRPr="00E64CF6">
        <w:rPr>
          <w:rFonts w:ascii="Times New Roman" w:hAnsi="Times New Roman" w:cs="Times New Roman"/>
          <w:i/>
          <w:sz w:val="16"/>
          <w:szCs w:val="16"/>
        </w:rPr>
        <w:tab/>
      </w:r>
      <w:r w:rsidRPr="00E64CF6">
        <w:rPr>
          <w:rFonts w:ascii="Times New Roman" w:hAnsi="Times New Roman" w:cs="Times New Roman"/>
          <w:i/>
          <w:sz w:val="16"/>
          <w:szCs w:val="16"/>
        </w:rPr>
        <w:tab/>
      </w:r>
      <w:r w:rsidRPr="00E64CF6">
        <w:rPr>
          <w:rFonts w:ascii="Times New Roman" w:hAnsi="Times New Roman" w:cs="Times New Roman"/>
          <w:i/>
          <w:sz w:val="16"/>
          <w:szCs w:val="16"/>
        </w:rPr>
        <w:tab/>
      </w:r>
      <w:r w:rsidRPr="00E64CF6">
        <w:rPr>
          <w:rFonts w:ascii="Times New Roman" w:hAnsi="Times New Roman" w:cs="Times New Roman"/>
          <w:i/>
          <w:sz w:val="16"/>
          <w:szCs w:val="16"/>
        </w:rPr>
        <w:tab/>
      </w:r>
      <w:r w:rsidRPr="00E64CF6">
        <w:rPr>
          <w:rFonts w:ascii="Times New Roman" w:hAnsi="Times New Roman" w:cs="Times New Roman"/>
          <w:i/>
          <w:sz w:val="16"/>
          <w:szCs w:val="16"/>
        </w:rPr>
        <w:tab/>
        <w:t xml:space="preserve">                           Zdroj: MF SR</w:t>
      </w:r>
    </w:p>
    <w:p w14:paraId="75AAA348" w14:textId="77777777" w:rsidR="0025243E" w:rsidRPr="005C3532" w:rsidRDefault="0025243E" w:rsidP="0025243E">
      <w:pPr>
        <w:spacing w:after="0" w:line="240" w:lineRule="auto"/>
        <w:rPr>
          <w:rFonts w:ascii="Times New Roman" w:hAnsi="Times New Roman" w:cs="Times New Roman"/>
          <w:sz w:val="24"/>
          <w:szCs w:val="24"/>
          <w:highlight w:val="yellow"/>
        </w:rPr>
      </w:pPr>
    </w:p>
    <w:p w14:paraId="2E46F599" w14:textId="77777777" w:rsidR="0025243E" w:rsidRPr="00864F65" w:rsidRDefault="0025243E" w:rsidP="0025243E">
      <w:pPr>
        <w:spacing w:after="0" w:line="240" w:lineRule="auto"/>
        <w:rPr>
          <w:rFonts w:ascii="Times New Roman" w:eastAsia="Times New Roman" w:hAnsi="Times New Roman" w:cs="Times New Roman"/>
          <w:b/>
          <w:bCs/>
          <w:color w:val="5B9BD5" w:themeColor="accent1"/>
          <w:kern w:val="32"/>
          <w:sz w:val="24"/>
          <w:szCs w:val="24"/>
          <w:lang w:eastAsia="cs-CZ"/>
        </w:rPr>
      </w:pPr>
      <w:r w:rsidRPr="00864F65">
        <w:rPr>
          <w:rFonts w:ascii="Times New Roman" w:eastAsia="Times New Roman" w:hAnsi="Times New Roman" w:cs="Times New Roman"/>
          <w:b/>
          <w:bCs/>
          <w:color w:val="5B9BD5" w:themeColor="accent1"/>
          <w:kern w:val="32"/>
          <w:sz w:val="24"/>
          <w:szCs w:val="24"/>
          <w:lang w:eastAsia="cs-CZ"/>
        </w:rPr>
        <w:t xml:space="preserve">Jednorazové a dočasné opatrenia spôsobené pandémiou </w:t>
      </w:r>
    </w:p>
    <w:p w14:paraId="7348AC8C" w14:textId="77777777" w:rsidR="0025243E" w:rsidRPr="00864F65" w:rsidRDefault="0025243E" w:rsidP="0025243E">
      <w:pPr>
        <w:spacing w:after="0" w:line="240" w:lineRule="auto"/>
        <w:contextualSpacing/>
        <w:jc w:val="both"/>
        <w:rPr>
          <w:rFonts w:ascii="Times New Roman" w:hAnsi="Times New Roman" w:cs="Times New Roman"/>
          <w:sz w:val="24"/>
          <w:szCs w:val="24"/>
        </w:rPr>
      </w:pPr>
    </w:p>
    <w:p w14:paraId="46105904" w14:textId="77777777" w:rsidR="0025243E" w:rsidRPr="00864F65" w:rsidRDefault="0025243E" w:rsidP="0025243E">
      <w:pPr>
        <w:spacing w:after="0" w:line="240" w:lineRule="auto"/>
        <w:contextualSpacing/>
        <w:jc w:val="both"/>
        <w:rPr>
          <w:rFonts w:ascii="Times New Roman" w:hAnsi="Times New Roman" w:cs="Times New Roman"/>
          <w:sz w:val="24"/>
          <w:szCs w:val="24"/>
        </w:rPr>
      </w:pPr>
      <w:r w:rsidRPr="00864F65">
        <w:rPr>
          <w:rFonts w:ascii="Times New Roman" w:hAnsi="Times New Roman" w:cs="Times New Roman"/>
          <w:sz w:val="24"/>
          <w:szCs w:val="24"/>
        </w:rPr>
        <w:t xml:space="preserve">V roku 2022 a 2023 boli identifikované nasledujúce opatrenia v oblasti príjmov a výdavkov súvisiacich s pandémiou ochorenia COVID-19. Vzhľadom na to, že opatrenia tvoria spolu jednu kategóriu vládnej pomoci, do jednorazových opatrení sa kvalifikujú aj jednotlivé opatrenia s vplyvom na saldo pod 0,05 % HDP. </w:t>
      </w:r>
    </w:p>
    <w:p w14:paraId="7C33C67E" w14:textId="77777777" w:rsidR="0025243E" w:rsidRPr="005C3532" w:rsidRDefault="0025243E" w:rsidP="0025243E">
      <w:pPr>
        <w:spacing w:after="0" w:line="240" w:lineRule="auto"/>
        <w:contextualSpacing/>
        <w:jc w:val="both"/>
        <w:rPr>
          <w:rFonts w:ascii="Times New Roman" w:hAnsi="Times New Roman" w:cs="Times New Roman"/>
          <w:sz w:val="24"/>
          <w:szCs w:val="24"/>
          <w:highlight w:val="yellow"/>
        </w:rPr>
      </w:pPr>
    </w:p>
    <w:p w14:paraId="6952BA05" w14:textId="77777777" w:rsidR="0025243E" w:rsidRPr="00864F65" w:rsidRDefault="0025243E" w:rsidP="0025243E">
      <w:pPr>
        <w:pStyle w:val="Odsekzoznamu"/>
        <w:numPr>
          <w:ilvl w:val="0"/>
          <w:numId w:val="15"/>
        </w:numPr>
        <w:jc w:val="both"/>
        <w:rPr>
          <w:rFonts w:ascii="Times New Roman" w:hAnsi="Times New Roman" w:cs="Times New Roman"/>
        </w:rPr>
      </w:pPr>
      <w:r w:rsidRPr="00864F65">
        <w:rPr>
          <w:rFonts w:ascii="Times New Roman" w:hAnsi="Times New Roman" w:cs="Times New Roman"/>
          <w:b/>
        </w:rPr>
        <w:t>Vláda SR v  roku 2022 pokračovala v prijímaní ďalších  opatrení proti pandémii.</w:t>
      </w:r>
      <w:r w:rsidRPr="00864F65">
        <w:rPr>
          <w:rFonts w:ascii="Times New Roman" w:hAnsi="Times New Roman" w:cs="Times New Roman"/>
        </w:rPr>
        <w:t xml:space="preserve"> Postupne boli prijímané zákony resp. úpravy existujúcich zákonov. V sociálnej oblasti sa pokračovalo v poberaní  ošetrovného, v dočasnom predĺžení podpornej doby poberania dávky v nezamestnanosti. Podpora podnikateľov sa riešila aj schémou poskytovania dotácií na nájomné, dotácií na podnikanie v cestovnom ruchu a v oblasti gastronómie, preplácaním nákladov zamestnávateľom spojených s testovaním. V oblasti zdravotníctva išlo najmä o úhradu zvýšených výkonov zdravotníckych zariadení, mzdové výdavky na pracovníkov v prvej línii, úhradu mobilných odberových miest ako nových poskytovateľov zdravotnej starostlivosti, o dotáciu na tzv. infekčný príplatok  a ďalšie. Ďalej boli financované nákupy pohotovostných rezerv, ochranných pomôcok, dezinfekcie, testov, liekov, vakcín, pľúcnych ventilátorov, masiek a respirátorov, výdavky na štátne karanténne zariadenia, na kampaň pre očkovanie populácie, výdavky spojené s vyplácaním finančnej pomoci pre seniorov, výdavky na očkovaciu prémiu a sprostredkovateľský bonus a podobne. V roku 2023 sú výdavky spojené s pandémiou určené predovšetkým na nákup vakcín.</w:t>
      </w:r>
    </w:p>
    <w:p w14:paraId="25B74189" w14:textId="362302C8" w:rsidR="0025243E" w:rsidRDefault="0025243E" w:rsidP="0025243E">
      <w:pPr>
        <w:spacing w:after="0" w:line="240" w:lineRule="auto"/>
        <w:ind w:right="74"/>
        <w:jc w:val="both"/>
        <w:rPr>
          <w:rFonts w:ascii="Times New Roman" w:hAnsi="Times New Roman" w:cs="Times New Roman"/>
          <w:highlight w:val="yellow"/>
        </w:rPr>
      </w:pPr>
    </w:p>
    <w:p w14:paraId="782E8EAA" w14:textId="77777777" w:rsidR="00DF01A5" w:rsidRPr="005C3532" w:rsidRDefault="00DF01A5" w:rsidP="0025243E">
      <w:pPr>
        <w:spacing w:after="0" w:line="240" w:lineRule="auto"/>
        <w:ind w:right="74"/>
        <w:jc w:val="both"/>
        <w:rPr>
          <w:rFonts w:ascii="Times New Roman" w:hAnsi="Times New Roman" w:cs="Times New Roman"/>
          <w:highlight w:val="yellow"/>
        </w:rPr>
      </w:pPr>
    </w:p>
    <w:p w14:paraId="0259F7F2" w14:textId="77777777" w:rsidR="0025243E" w:rsidRPr="00864F65" w:rsidRDefault="0025243E" w:rsidP="0025243E">
      <w:pPr>
        <w:spacing w:after="0" w:line="240" w:lineRule="auto"/>
        <w:rPr>
          <w:rFonts w:ascii="Times New Roman" w:eastAsia="Times New Roman" w:hAnsi="Times New Roman" w:cs="Times New Roman"/>
          <w:b/>
          <w:bCs/>
          <w:color w:val="5B9BD5" w:themeColor="accent1"/>
          <w:kern w:val="32"/>
          <w:sz w:val="24"/>
          <w:szCs w:val="24"/>
          <w:lang w:eastAsia="cs-CZ"/>
        </w:rPr>
      </w:pPr>
      <w:r w:rsidRPr="00864F65">
        <w:rPr>
          <w:rFonts w:ascii="Times New Roman" w:eastAsia="Times New Roman" w:hAnsi="Times New Roman" w:cs="Times New Roman"/>
          <w:b/>
          <w:bCs/>
          <w:color w:val="5B9BD5" w:themeColor="accent1"/>
          <w:kern w:val="32"/>
          <w:sz w:val="24"/>
          <w:szCs w:val="24"/>
          <w:lang w:eastAsia="cs-CZ"/>
        </w:rPr>
        <w:t>Jednorazové a dočasné opatrenia súvisiace s energetickou krízou</w:t>
      </w:r>
    </w:p>
    <w:p w14:paraId="5089A3DA" w14:textId="77777777" w:rsidR="0025243E" w:rsidRPr="005C3532" w:rsidRDefault="0025243E" w:rsidP="0025243E">
      <w:pPr>
        <w:ind w:right="74"/>
        <w:jc w:val="both"/>
        <w:rPr>
          <w:rFonts w:ascii="Times New Roman" w:hAnsi="Times New Roman" w:cs="Times New Roman"/>
          <w:highlight w:val="yellow"/>
        </w:rPr>
      </w:pPr>
    </w:p>
    <w:p w14:paraId="4B5FD117" w14:textId="77777777" w:rsidR="0025243E" w:rsidRPr="007F7192" w:rsidRDefault="0025243E" w:rsidP="0025243E">
      <w:pPr>
        <w:pStyle w:val="Odsekzoznamu"/>
        <w:numPr>
          <w:ilvl w:val="0"/>
          <w:numId w:val="14"/>
        </w:numPr>
        <w:ind w:right="74"/>
        <w:jc w:val="both"/>
        <w:rPr>
          <w:rFonts w:ascii="Times New Roman" w:eastAsiaTheme="minorHAnsi" w:hAnsi="Times New Roman" w:cs="Times New Roman"/>
          <w:lang w:eastAsia="en-US"/>
        </w:rPr>
      </w:pPr>
      <w:r w:rsidRPr="007F7192">
        <w:rPr>
          <w:rFonts w:ascii="Times New Roman" w:eastAsiaTheme="minorHAnsi" w:hAnsi="Times New Roman" w:cs="Times New Roman"/>
          <w:b/>
          <w:lang w:eastAsia="en-US"/>
        </w:rPr>
        <w:t>Jednorazová pomoc vybraným skupinám obyvateľstva z dôvodu vysokej inflácie</w:t>
      </w:r>
      <w:r w:rsidRPr="007F7192">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V roku 2022 sa vyplácala jednorazová</w:t>
      </w:r>
      <w:r w:rsidRPr="007F7192">
        <w:rPr>
          <w:rFonts w:ascii="Times New Roman" w:eastAsiaTheme="minorHAnsi" w:hAnsi="Times New Roman" w:cs="Times New Roman"/>
          <w:lang w:eastAsia="en-US"/>
        </w:rPr>
        <w:t xml:space="preserve"> pomoc pre rodiny vo forme zvýšeného prídavku na deti a nízko príjmové skupiny obyvateľs</w:t>
      </w:r>
      <w:r>
        <w:rPr>
          <w:rFonts w:ascii="Times New Roman" w:eastAsiaTheme="minorHAnsi" w:hAnsi="Times New Roman" w:cs="Times New Roman"/>
          <w:lang w:eastAsia="en-US"/>
        </w:rPr>
        <w:t>tva vo výške 100 eur</w:t>
      </w:r>
      <w:r w:rsidRPr="007F7192">
        <w:rPr>
          <w:rFonts w:ascii="Times New Roman" w:eastAsiaTheme="minorHAnsi" w:hAnsi="Times New Roman" w:cs="Times New Roman"/>
          <w:lang w:eastAsia="en-US"/>
        </w:rPr>
        <w:t xml:space="preserve">. Zároveň </w:t>
      </w:r>
      <w:r>
        <w:rPr>
          <w:rFonts w:ascii="Times New Roman" w:eastAsiaTheme="minorHAnsi" w:hAnsi="Times New Roman" w:cs="Times New Roman"/>
          <w:lang w:eastAsia="en-US"/>
        </w:rPr>
        <w:t>boli vyplácané „14. dôchodky“, ktoré boli</w:t>
      </w:r>
      <w:r w:rsidRPr="007F7192">
        <w:rPr>
          <w:rFonts w:ascii="Times New Roman" w:eastAsiaTheme="minorHAnsi" w:hAnsi="Times New Roman" w:cs="Times New Roman"/>
          <w:lang w:eastAsia="en-US"/>
        </w:rPr>
        <w:t xml:space="preserve"> vo výške 70 %</w:t>
      </w:r>
      <w:r>
        <w:rPr>
          <w:rFonts w:ascii="Times New Roman" w:eastAsiaTheme="minorHAnsi" w:hAnsi="Times New Roman" w:cs="Times New Roman"/>
          <w:lang w:eastAsia="en-US"/>
        </w:rPr>
        <w:t xml:space="preserve"> tzv.</w:t>
      </w:r>
      <w:r w:rsidRPr="007F7192">
        <w:rPr>
          <w:rFonts w:ascii="Times New Roman" w:eastAsiaTheme="minorHAnsi" w:hAnsi="Times New Roman" w:cs="Times New Roman"/>
          <w:lang w:eastAsia="en-US"/>
        </w:rPr>
        <w:t xml:space="preserve"> 13. dôchodku.</w:t>
      </w:r>
      <w:r w:rsidRPr="007F7192">
        <w:t xml:space="preserve"> </w:t>
      </w:r>
      <w:r>
        <w:rPr>
          <w:rFonts w:ascii="Times New Roman" w:eastAsiaTheme="minorHAnsi" w:hAnsi="Times New Roman" w:cs="Times New Roman"/>
          <w:lang w:eastAsia="en-US"/>
        </w:rPr>
        <w:t>Jednorazovú pomoc v roku 2022 doplnila</w:t>
      </w:r>
      <w:r w:rsidRPr="007F7192">
        <w:rPr>
          <w:rFonts w:ascii="Times New Roman" w:eastAsiaTheme="minorHAnsi" w:hAnsi="Times New Roman" w:cs="Times New Roman"/>
          <w:lang w:eastAsia="en-US"/>
        </w:rPr>
        <w:t xml:space="preserve"> dotačná schéma určená pre zriaďovateľov rôznych sociálnych služieb.</w:t>
      </w:r>
    </w:p>
    <w:p w14:paraId="35E5499B" w14:textId="77777777" w:rsidR="0025243E" w:rsidRPr="005C3532" w:rsidRDefault="0025243E" w:rsidP="0025243E">
      <w:pPr>
        <w:ind w:right="74"/>
        <w:jc w:val="both"/>
        <w:rPr>
          <w:rFonts w:ascii="Times New Roman" w:hAnsi="Times New Roman" w:cs="Times New Roman"/>
          <w:highlight w:val="yellow"/>
        </w:rPr>
      </w:pPr>
    </w:p>
    <w:p w14:paraId="38458884" w14:textId="77777777" w:rsidR="0025243E" w:rsidRDefault="0025243E" w:rsidP="0025243E">
      <w:pPr>
        <w:pStyle w:val="Odsekzoznamu"/>
        <w:numPr>
          <w:ilvl w:val="0"/>
          <w:numId w:val="14"/>
        </w:numPr>
        <w:ind w:right="74"/>
        <w:jc w:val="both"/>
        <w:rPr>
          <w:rFonts w:ascii="Times New Roman" w:eastAsiaTheme="minorHAnsi" w:hAnsi="Times New Roman" w:cs="Times New Roman"/>
          <w:lang w:eastAsia="en-US"/>
        </w:rPr>
      </w:pPr>
      <w:r w:rsidRPr="000F67F9">
        <w:rPr>
          <w:rFonts w:ascii="Times New Roman" w:eastAsiaTheme="minorHAnsi" w:hAnsi="Times New Roman" w:cs="Times New Roman"/>
          <w:b/>
          <w:lang w:eastAsia="en-US"/>
        </w:rPr>
        <w:lastRenderedPageBreak/>
        <w:t>Opatrenia vlády pre domácností</w:t>
      </w:r>
      <w:r w:rsidRPr="000F67F9">
        <w:rPr>
          <w:rFonts w:ascii="Times New Roman" w:eastAsiaTheme="minorHAnsi" w:hAnsi="Times New Roman" w:cs="Times New Roman"/>
          <w:lang w:eastAsia="en-US"/>
        </w:rPr>
        <w:t>: Vláda</w:t>
      </w:r>
      <w:r>
        <w:rPr>
          <w:rFonts w:ascii="Times New Roman" w:eastAsiaTheme="minorHAnsi" w:hAnsi="Times New Roman" w:cs="Times New Roman"/>
          <w:lang w:eastAsia="en-US"/>
        </w:rPr>
        <w:t xml:space="preserve"> pre rok 2023</w:t>
      </w:r>
      <w:r w:rsidRPr="000F67F9">
        <w:rPr>
          <w:rFonts w:ascii="Times New Roman" w:eastAsiaTheme="minorHAnsi" w:hAnsi="Times New Roman" w:cs="Times New Roman"/>
          <w:lang w:eastAsia="en-US"/>
        </w:rPr>
        <w:t xml:space="preserve"> </w:t>
      </w:r>
      <w:proofErr w:type="spellStart"/>
      <w:r w:rsidRPr="000F67F9">
        <w:rPr>
          <w:rFonts w:ascii="Times New Roman" w:eastAsiaTheme="minorHAnsi" w:hAnsi="Times New Roman" w:cs="Times New Roman"/>
          <w:lang w:eastAsia="en-US"/>
        </w:rPr>
        <w:t>zastropovala</w:t>
      </w:r>
      <w:proofErr w:type="spellEnd"/>
      <w:r w:rsidRPr="000F67F9">
        <w:rPr>
          <w:rFonts w:ascii="Times New Roman" w:eastAsiaTheme="minorHAnsi" w:hAnsi="Times New Roman" w:cs="Times New Roman"/>
          <w:lang w:eastAsia="en-US"/>
        </w:rPr>
        <w:t xml:space="preserve"> medziročný rast cien plynu pre domácností na úrovni 15 %, rast cien tepla v priemere o 20 %. Rozdiel medzi maximálnym rast</w:t>
      </w:r>
      <w:r>
        <w:rPr>
          <w:rFonts w:ascii="Times New Roman" w:eastAsiaTheme="minorHAnsi" w:hAnsi="Times New Roman" w:cs="Times New Roman"/>
          <w:lang w:eastAsia="en-US"/>
        </w:rPr>
        <w:t>om a regulovanou cenou, ktorá bola</w:t>
      </w:r>
      <w:r w:rsidRPr="000F67F9">
        <w:rPr>
          <w:rFonts w:ascii="Times New Roman" w:eastAsiaTheme="minorHAnsi" w:hAnsi="Times New Roman" w:cs="Times New Roman"/>
          <w:lang w:eastAsia="en-US"/>
        </w:rPr>
        <w:t xml:space="preserve"> stanovená Úradom pre reguláci</w:t>
      </w:r>
      <w:r>
        <w:rPr>
          <w:rFonts w:ascii="Times New Roman" w:eastAsiaTheme="minorHAnsi" w:hAnsi="Times New Roman" w:cs="Times New Roman"/>
          <w:lang w:eastAsia="en-US"/>
        </w:rPr>
        <w:t>ou sieťových odvetví (URSO) na rok 2023 je</w:t>
      </w:r>
      <w:r w:rsidRPr="000F67F9">
        <w:rPr>
          <w:rFonts w:ascii="Times New Roman" w:eastAsiaTheme="minorHAnsi" w:hAnsi="Times New Roman" w:cs="Times New Roman"/>
          <w:lang w:eastAsia="en-US"/>
        </w:rPr>
        <w:t xml:space="preserve"> hradená zo štátneho rozpočtu. Vláda vďaka dohode so Slovenskými elektrárňami nemusí kompenzovať silovú zložku elektrickej energie, ktorá zostáva na úrovni roka 2022. Náklady pre verejné financie vznikajú kompenzáciou rastúcich systémových a distribučných poplatkov, keďže vláda garantuje zachovanie celkovej ceny elektriny na úrovni roku</w:t>
      </w:r>
      <w:r>
        <w:rPr>
          <w:rFonts w:ascii="Times New Roman" w:eastAsiaTheme="minorHAnsi" w:hAnsi="Times New Roman" w:cs="Times New Roman"/>
          <w:lang w:eastAsia="en-US"/>
        </w:rPr>
        <w:t xml:space="preserve"> 2022</w:t>
      </w:r>
      <w:r w:rsidRPr="000F67F9">
        <w:rPr>
          <w:rFonts w:ascii="Times New Roman" w:eastAsiaTheme="minorHAnsi" w:hAnsi="Times New Roman" w:cs="Times New Roman"/>
          <w:lang w:eastAsia="en-US"/>
        </w:rPr>
        <w:t xml:space="preserve">. Navyše zmenou legislatívy v roku 2022 vznikla nová kategória regulovaných zákazníkov, tzv. „vybraní zraniteľní odberatelia“, ktorá zahŕňa domové kotolne, zariadenia sociálnych služieb, nájomné a sociálne byty. Táto skupina bola tiež zahrnutá do vládnej pomoci. </w:t>
      </w:r>
      <w:r>
        <w:rPr>
          <w:rFonts w:ascii="Times New Roman" w:eastAsiaTheme="minorHAnsi" w:hAnsi="Times New Roman" w:cs="Times New Roman"/>
          <w:lang w:eastAsia="en-US"/>
        </w:rPr>
        <w:t>Rovnaké ceny energií pre domácností ako aj vybraných zraniteľných odberateľov ako v roku 2023 zostávajú aj pre rok 2024.</w:t>
      </w:r>
    </w:p>
    <w:p w14:paraId="5E92F52F" w14:textId="77777777" w:rsidR="0025243E" w:rsidRPr="0025243E" w:rsidRDefault="0025243E" w:rsidP="0025243E">
      <w:pPr>
        <w:ind w:right="74"/>
        <w:jc w:val="both"/>
        <w:rPr>
          <w:rFonts w:ascii="Times New Roman" w:hAnsi="Times New Roman" w:cs="Times New Roman"/>
        </w:rPr>
      </w:pPr>
    </w:p>
    <w:p w14:paraId="46D505FC" w14:textId="11D18E98" w:rsidR="0025243E" w:rsidRDefault="0025243E" w:rsidP="0025243E">
      <w:pPr>
        <w:pStyle w:val="Odsekzoznamu"/>
        <w:numPr>
          <w:ilvl w:val="0"/>
          <w:numId w:val="14"/>
        </w:numPr>
        <w:ind w:right="74"/>
        <w:jc w:val="both"/>
        <w:rPr>
          <w:rFonts w:ascii="Times New Roman" w:eastAsiaTheme="minorHAnsi" w:hAnsi="Times New Roman" w:cs="Times New Roman"/>
          <w:lang w:eastAsia="en-US"/>
        </w:rPr>
      </w:pPr>
      <w:r w:rsidRPr="000F67F9">
        <w:rPr>
          <w:rFonts w:ascii="Times New Roman" w:eastAsiaTheme="minorHAnsi" w:hAnsi="Times New Roman" w:cs="Times New Roman"/>
          <w:b/>
          <w:lang w:eastAsia="en-US"/>
        </w:rPr>
        <w:t>Opatrenia vlády zamerané na podniky</w:t>
      </w:r>
      <w:r w:rsidRPr="000F67F9">
        <w:rPr>
          <w:rFonts w:ascii="Times New Roman" w:eastAsiaTheme="minorHAnsi" w:hAnsi="Times New Roman" w:cs="Times New Roman"/>
          <w:lang w:eastAsia="en-US"/>
        </w:rPr>
        <w:t>: Koncom roku 2022 vláda za mesiac august a september podnikom kompenzovala 80 % nákladov z ceny energií nad stanovený strop. V prípade silovej zložky elektriny bol strop stanovený na 199 eur bez DPH za MWh, strop na dodávku plynu sa stanovil na 99 eur bez DPH za MWh. Rovnaká schéma s totožnými parametrami kompenzáci</w:t>
      </w:r>
      <w:r>
        <w:rPr>
          <w:rFonts w:ascii="Times New Roman" w:eastAsiaTheme="minorHAnsi" w:hAnsi="Times New Roman" w:cs="Times New Roman"/>
          <w:lang w:eastAsia="en-US"/>
        </w:rPr>
        <w:t>í bola schválená aj pre rok 2023.</w:t>
      </w:r>
      <w:r w:rsidRPr="000F67F9">
        <w:rPr>
          <w:rFonts w:ascii="Times New Roman" w:eastAsiaTheme="minorHAnsi" w:hAnsi="Times New Roman" w:cs="Times New Roman"/>
          <w:lang w:eastAsia="en-US"/>
        </w:rPr>
        <w:t xml:space="preserve"> Pre </w:t>
      </w:r>
      <w:proofErr w:type="spellStart"/>
      <w:r w:rsidRPr="000F67F9">
        <w:rPr>
          <w:rFonts w:ascii="Times New Roman" w:eastAsiaTheme="minorHAnsi" w:hAnsi="Times New Roman" w:cs="Times New Roman"/>
          <w:lang w:eastAsia="en-US"/>
        </w:rPr>
        <w:t>energeticko</w:t>
      </w:r>
      <w:proofErr w:type="spellEnd"/>
      <w:r w:rsidRPr="000F67F9">
        <w:rPr>
          <w:rFonts w:ascii="Times New Roman" w:eastAsiaTheme="minorHAnsi" w:hAnsi="Times New Roman" w:cs="Times New Roman"/>
          <w:lang w:eastAsia="en-US"/>
        </w:rPr>
        <w:t xml:space="preserve"> náročné podniky bolo v roku 2022 cez zníženie tarify za prevádzkovanie systému (TPS) vyplatených </w:t>
      </w:r>
      <w:r>
        <w:rPr>
          <w:rFonts w:ascii="Times New Roman" w:eastAsiaTheme="minorHAnsi" w:hAnsi="Times New Roman" w:cs="Times New Roman"/>
          <w:lang w:eastAsia="en-US"/>
        </w:rPr>
        <w:t>40 mil. eur.</w:t>
      </w:r>
      <w:r w:rsidRPr="000F67F9">
        <w:rPr>
          <w:rFonts w:ascii="Times New Roman" w:eastAsiaTheme="minorHAnsi" w:hAnsi="Times New Roman" w:cs="Times New Roman"/>
          <w:lang w:eastAsia="en-US"/>
        </w:rPr>
        <w:t xml:space="preserve"> Malé podniky s ročnou spotrebou 30 MWh elektriny a 100 MWh plynu ročne, sp</w:t>
      </w:r>
      <w:r>
        <w:rPr>
          <w:rFonts w:ascii="Times New Roman" w:eastAsiaTheme="minorHAnsi" w:hAnsi="Times New Roman" w:cs="Times New Roman"/>
          <w:lang w:eastAsia="en-US"/>
        </w:rPr>
        <w:t>adajúci pod regulované ceny sú</w:t>
      </w:r>
      <w:r w:rsidRPr="000F67F9">
        <w:rPr>
          <w:rFonts w:ascii="Times New Roman" w:eastAsiaTheme="minorHAnsi" w:hAnsi="Times New Roman" w:cs="Times New Roman"/>
          <w:lang w:eastAsia="en-US"/>
        </w:rPr>
        <w:t xml:space="preserve"> ko</w:t>
      </w:r>
      <w:r>
        <w:rPr>
          <w:rFonts w:ascii="Times New Roman" w:eastAsiaTheme="minorHAnsi" w:hAnsi="Times New Roman" w:cs="Times New Roman"/>
          <w:lang w:eastAsia="en-US"/>
        </w:rPr>
        <w:t>mpenzované celoročne. Vláda kompenzuje</w:t>
      </w:r>
      <w:r w:rsidRPr="000F67F9">
        <w:rPr>
          <w:rFonts w:ascii="Times New Roman" w:eastAsiaTheme="minorHAnsi" w:hAnsi="Times New Roman" w:cs="Times New Roman"/>
          <w:lang w:eastAsia="en-US"/>
        </w:rPr>
        <w:t xml:space="preserve"> 100 % nákladov z ceny energií nad stanovený strop. Strop je totožný ako v prípade neregulovaných firiem na 199 eur za MWh v prípade elektriny, resp. 99 eur za MWh v prípade plynu. Ministerstvo pôdohospodárstva SR na základe oznámenia Európskej komisie vyhlásilo na konci roka 2022 schémy štátnej pomoci na podporu prvovýroby a skladovania produktov poľnohospodárskej prvovýroby. Schémy majú trvanie do konca rok</w:t>
      </w:r>
      <w:r>
        <w:rPr>
          <w:rFonts w:ascii="Times New Roman" w:eastAsiaTheme="minorHAnsi" w:hAnsi="Times New Roman" w:cs="Times New Roman"/>
          <w:lang w:eastAsia="en-US"/>
        </w:rPr>
        <w:t>a 2023</w:t>
      </w:r>
      <w:r w:rsidRPr="000F67F9">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Vláda od mája 2023 kompenzuje podnikom aj</w:t>
      </w:r>
      <w:r w:rsidRPr="000F67F9">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 xml:space="preserve">nárast </w:t>
      </w:r>
      <w:r w:rsidRPr="000F67F9">
        <w:rPr>
          <w:rFonts w:ascii="Times New Roman" w:eastAsiaTheme="minorHAnsi" w:hAnsi="Times New Roman" w:cs="Times New Roman"/>
          <w:lang w:eastAsia="en-US"/>
        </w:rPr>
        <w:t>systémových a distribučných poplatkov</w:t>
      </w:r>
      <w:r>
        <w:rPr>
          <w:rFonts w:ascii="Times New Roman" w:eastAsiaTheme="minorHAnsi" w:hAnsi="Times New Roman" w:cs="Times New Roman"/>
          <w:lang w:eastAsia="en-US"/>
        </w:rPr>
        <w:t xml:space="preserve"> podobne ako pri domácnostiach. </w:t>
      </w:r>
      <w:r w:rsidRPr="00FF1E99">
        <w:rPr>
          <w:rFonts w:ascii="Times New Roman" w:eastAsiaTheme="minorHAnsi" w:hAnsi="Times New Roman" w:cs="Times New Roman"/>
          <w:lang w:eastAsia="en-US"/>
        </w:rPr>
        <w:t xml:space="preserve">Malým podnikom </w:t>
      </w:r>
      <w:r>
        <w:rPr>
          <w:rFonts w:ascii="Times New Roman" w:eastAsiaTheme="minorHAnsi" w:hAnsi="Times New Roman" w:cs="Times New Roman"/>
          <w:lang w:eastAsia="en-US"/>
        </w:rPr>
        <w:t xml:space="preserve">v roku 2024 </w:t>
      </w:r>
      <w:r w:rsidRPr="00FF1E99">
        <w:rPr>
          <w:rFonts w:ascii="Times New Roman" w:eastAsiaTheme="minorHAnsi" w:hAnsi="Times New Roman" w:cs="Times New Roman"/>
          <w:lang w:eastAsia="en-US"/>
        </w:rPr>
        <w:t>stanovené ceny energií</w:t>
      </w:r>
      <w:r>
        <w:rPr>
          <w:rFonts w:ascii="Times New Roman" w:eastAsiaTheme="minorHAnsi" w:hAnsi="Times New Roman" w:cs="Times New Roman"/>
          <w:lang w:eastAsia="en-US"/>
        </w:rPr>
        <w:t xml:space="preserve"> medziročne</w:t>
      </w:r>
      <w:r w:rsidRPr="00FF1E99">
        <w:rPr>
          <w:rFonts w:ascii="Times New Roman" w:eastAsiaTheme="minorHAnsi" w:hAnsi="Times New Roman" w:cs="Times New Roman"/>
          <w:lang w:eastAsia="en-US"/>
        </w:rPr>
        <w:t xml:space="preserve"> klesnú: o 10 % za elektrinu a za plyn o 20 %. Distribučné poplatky sa pre tieto malé firmy</w:t>
      </w:r>
      <w:r w:rsidR="009E7D19">
        <w:rPr>
          <w:rFonts w:ascii="Times New Roman" w:eastAsiaTheme="minorHAnsi" w:hAnsi="Times New Roman" w:cs="Times New Roman"/>
          <w:lang w:eastAsia="en-US"/>
        </w:rPr>
        <w:t xml:space="preserve"> medziročne </w:t>
      </w:r>
      <w:r w:rsidR="009E7D19" w:rsidRPr="009E7D19">
        <w:rPr>
          <w:rFonts w:ascii="Times New Roman" w:eastAsiaTheme="minorHAnsi" w:hAnsi="Times New Roman" w:cs="Times New Roman"/>
          <w:lang w:eastAsia="en-US"/>
        </w:rPr>
        <w:t>nemenia</w:t>
      </w:r>
      <w:r w:rsidRPr="009E7D19">
        <w:rPr>
          <w:rFonts w:ascii="Times New Roman" w:eastAsiaTheme="minorHAnsi" w:hAnsi="Times New Roman" w:cs="Times New Roman"/>
          <w:lang w:eastAsia="en-US"/>
        </w:rPr>
        <w:t>. Stredné</w:t>
      </w:r>
      <w:r w:rsidRPr="00FF1E99">
        <w:rPr>
          <w:rFonts w:ascii="Times New Roman" w:eastAsiaTheme="minorHAnsi" w:hAnsi="Times New Roman" w:cs="Times New Roman"/>
          <w:lang w:eastAsia="en-US"/>
        </w:rPr>
        <w:t xml:space="preserve"> a veľké podniky platia ceny v súlade s dodávateľskými zmluvami a keďže sú trhové ceny v súčasnosti výrazne nižšie, neočakáva sa potreba kompenzácie.</w:t>
      </w:r>
    </w:p>
    <w:p w14:paraId="75535C53" w14:textId="77777777" w:rsidR="0025243E" w:rsidRDefault="0025243E" w:rsidP="0025243E">
      <w:pPr>
        <w:pStyle w:val="Odsekzoznamu"/>
        <w:ind w:left="360" w:right="74"/>
        <w:jc w:val="both"/>
        <w:rPr>
          <w:rFonts w:ascii="Times New Roman" w:eastAsiaTheme="minorHAnsi" w:hAnsi="Times New Roman" w:cs="Times New Roman"/>
          <w:lang w:eastAsia="en-US"/>
        </w:rPr>
      </w:pPr>
    </w:p>
    <w:p w14:paraId="1A09DCCF" w14:textId="77777777" w:rsidR="0025243E" w:rsidRPr="000F67F9" w:rsidRDefault="0025243E" w:rsidP="0025243E">
      <w:pPr>
        <w:pStyle w:val="Odsekzoznamu"/>
        <w:numPr>
          <w:ilvl w:val="0"/>
          <w:numId w:val="14"/>
        </w:numPr>
        <w:ind w:right="74"/>
        <w:jc w:val="both"/>
        <w:rPr>
          <w:rFonts w:ascii="Times New Roman" w:eastAsiaTheme="minorHAnsi" w:hAnsi="Times New Roman" w:cs="Times New Roman"/>
          <w:lang w:eastAsia="en-US"/>
        </w:rPr>
      </w:pPr>
      <w:r w:rsidRPr="008C083E">
        <w:rPr>
          <w:rFonts w:ascii="Times New Roman" w:eastAsiaTheme="minorHAnsi" w:hAnsi="Times New Roman" w:cs="Times New Roman"/>
          <w:b/>
          <w:lang w:eastAsia="en-US"/>
        </w:rPr>
        <w:t>Nákla</w:t>
      </w:r>
      <w:r>
        <w:rPr>
          <w:rFonts w:ascii="Times New Roman" w:eastAsiaTheme="minorHAnsi" w:hAnsi="Times New Roman" w:cs="Times New Roman"/>
          <w:b/>
          <w:lang w:eastAsia="en-US"/>
        </w:rPr>
        <w:t>dy na energetické opatrenia sú sčasti kompenzované</w:t>
      </w:r>
      <w:r w:rsidRPr="008C083E">
        <w:rPr>
          <w:rFonts w:ascii="Times New Roman" w:eastAsiaTheme="minorHAnsi" w:hAnsi="Times New Roman" w:cs="Times New Roman"/>
          <w:b/>
          <w:lang w:eastAsia="en-US"/>
        </w:rPr>
        <w:t xml:space="preserve"> dočasné príjmy zo zdanenia nadmerných ziskov a EÚ fondov</w:t>
      </w:r>
      <w:r w:rsidRPr="000F67F9">
        <w:rPr>
          <w:rFonts w:ascii="Times New Roman" w:eastAsiaTheme="minorHAnsi" w:hAnsi="Times New Roman" w:cs="Times New Roman"/>
          <w:lang w:eastAsia="en-US"/>
        </w:rPr>
        <w:t xml:space="preserve">. Európska únia v reakcii na vysoké ceny energii prijala nariadenie, ktoré sa týka solidárneho príspevku z nadmerného zisku spoločností plynúce z energetickej krízy. Solidárny príspevok sa vzťahuje na firmy v odvetviach spracovania ropy, zemného plynu a uhlia, kde takéto činnosti musia predstavovať minimálne 75 % ich obratu. Na Slovensku sa tento príspevok stanovil na úrovni 55 % z </w:t>
      </w:r>
      <w:proofErr w:type="spellStart"/>
      <w:r w:rsidRPr="000F67F9">
        <w:rPr>
          <w:rFonts w:ascii="Times New Roman" w:eastAsiaTheme="minorHAnsi" w:hAnsi="Times New Roman" w:cs="Times New Roman"/>
          <w:lang w:eastAsia="en-US"/>
        </w:rPr>
        <w:t>nadziskov</w:t>
      </w:r>
      <w:proofErr w:type="spellEnd"/>
      <w:r w:rsidRPr="000F67F9">
        <w:rPr>
          <w:rFonts w:ascii="Times New Roman" w:eastAsiaTheme="minorHAnsi" w:hAnsi="Times New Roman" w:cs="Times New Roman"/>
          <w:lang w:eastAsia="en-US"/>
        </w:rPr>
        <w:t xml:space="preserve"> vytvorených v roku 2022, resp. 70 % pr</w:t>
      </w:r>
      <w:r>
        <w:rPr>
          <w:rFonts w:ascii="Times New Roman" w:eastAsiaTheme="minorHAnsi" w:hAnsi="Times New Roman" w:cs="Times New Roman"/>
          <w:lang w:eastAsia="en-US"/>
        </w:rPr>
        <w:t>e roky 2023 a 2024.</w:t>
      </w:r>
      <w:r w:rsidRPr="000F67F9">
        <w:rPr>
          <w:rFonts w:ascii="Times New Roman" w:eastAsiaTheme="minorHAnsi" w:hAnsi="Times New Roman" w:cs="Times New Roman"/>
          <w:lang w:eastAsia="en-US"/>
        </w:rPr>
        <w:t xml:space="preserve"> Na národnej úrovni v súlade s EÚ nariadením tiež došlo k </w:t>
      </w:r>
      <w:proofErr w:type="spellStart"/>
      <w:r w:rsidRPr="000F67F9">
        <w:rPr>
          <w:rFonts w:ascii="Times New Roman" w:eastAsiaTheme="minorHAnsi" w:hAnsi="Times New Roman" w:cs="Times New Roman"/>
          <w:lang w:eastAsia="en-US"/>
        </w:rPr>
        <w:t>zastropovaniu</w:t>
      </w:r>
      <w:proofErr w:type="spellEnd"/>
      <w:r w:rsidRPr="000F67F9">
        <w:rPr>
          <w:rFonts w:ascii="Times New Roman" w:eastAsiaTheme="minorHAnsi" w:hAnsi="Times New Roman" w:cs="Times New Roman"/>
          <w:lang w:eastAsia="en-US"/>
        </w:rPr>
        <w:t xml:space="preserve"> príjmo</w:t>
      </w:r>
      <w:r>
        <w:rPr>
          <w:rFonts w:ascii="Times New Roman" w:eastAsiaTheme="minorHAnsi" w:hAnsi="Times New Roman" w:cs="Times New Roman"/>
          <w:lang w:eastAsia="en-US"/>
        </w:rPr>
        <w:t>v z výroby elektrickej energie</w:t>
      </w:r>
      <w:r w:rsidRPr="000F67F9">
        <w:rPr>
          <w:rFonts w:ascii="Times New Roman" w:eastAsiaTheme="minorHAnsi" w:hAnsi="Times New Roman" w:cs="Times New Roman"/>
          <w:lang w:eastAsia="en-US"/>
        </w:rPr>
        <w:t>. Zisky firiem, ktoré predajú elektri</w:t>
      </w:r>
      <w:r>
        <w:rPr>
          <w:rFonts w:ascii="Times New Roman" w:eastAsiaTheme="minorHAnsi" w:hAnsi="Times New Roman" w:cs="Times New Roman"/>
          <w:lang w:eastAsia="en-US"/>
        </w:rPr>
        <w:t>ckú energiu nad stanovenú cenu, sa zdaňujú</w:t>
      </w:r>
      <w:r w:rsidRPr="000F67F9">
        <w:rPr>
          <w:rFonts w:ascii="Times New Roman" w:eastAsiaTheme="minorHAnsi" w:hAnsi="Times New Roman" w:cs="Times New Roman"/>
          <w:lang w:eastAsia="en-US"/>
        </w:rPr>
        <w:t xml:space="preserve"> 90 %</w:t>
      </w:r>
      <w:r>
        <w:rPr>
          <w:rFonts w:ascii="Times New Roman" w:eastAsiaTheme="minorHAnsi" w:hAnsi="Times New Roman" w:cs="Times New Roman"/>
          <w:lang w:eastAsia="en-US"/>
        </w:rPr>
        <w:t xml:space="preserve"> sadzbou</w:t>
      </w:r>
      <w:r w:rsidRPr="000F67F9">
        <w:rPr>
          <w:rFonts w:ascii="Times New Roman" w:eastAsiaTheme="minorHAnsi" w:hAnsi="Times New Roman" w:cs="Times New Roman"/>
          <w:lang w:eastAsia="en-US"/>
        </w:rPr>
        <w:t xml:space="preserve">. Ďalšie zdroje na krytie výdavkov spojených s rastom cien energií predstavuje </w:t>
      </w:r>
      <w:proofErr w:type="spellStart"/>
      <w:r w:rsidRPr="000F67F9">
        <w:rPr>
          <w:rFonts w:ascii="Times New Roman" w:eastAsiaTheme="minorHAnsi" w:hAnsi="Times New Roman" w:cs="Times New Roman"/>
          <w:lang w:eastAsia="en-US"/>
        </w:rPr>
        <w:t>realokácia</w:t>
      </w:r>
      <w:proofErr w:type="spellEnd"/>
      <w:r w:rsidRPr="000F67F9">
        <w:rPr>
          <w:rFonts w:ascii="Times New Roman" w:eastAsiaTheme="minorHAnsi" w:hAnsi="Times New Roman" w:cs="Times New Roman"/>
          <w:lang w:eastAsia="en-US"/>
        </w:rPr>
        <w:t xml:space="preserve"> zatiaľ nečerpaných EÚ fondov z III. programového obdobia.</w:t>
      </w:r>
    </w:p>
    <w:p w14:paraId="0768A008" w14:textId="62A062E8" w:rsidR="0025243E" w:rsidRDefault="0025243E" w:rsidP="0025243E">
      <w:pPr>
        <w:ind w:right="74"/>
        <w:jc w:val="both"/>
        <w:rPr>
          <w:rFonts w:ascii="Times New Roman" w:hAnsi="Times New Roman" w:cs="Times New Roman"/>
          <w:highlight w:val="yellow"/>
        </w:rPr>
      </w:pPr>
    </w:p>
    <w:p w14:paraId="3DFF44A2" w14:textId="16E454C1" w:rsidR="00DF01A5" w:rsidRDefault="00DF01A5" w:rsidP="0025243E">
      <w:pPr>
        <w:ind w:right="74"/>
        <w:jc w:val="both"/>
        <w:rPr>
          <w:rFonts w:ascii="Times New Roman" w:hAnsi="Times New Roman" w:cs="Times New Roman"/>
          <w:highlight w:val="yellow"/>
        </w:rPr>
      </w:pPr>
    </w:p>
    <w:p w14:paraId="509439D8" w14:textId="77777777" w:rsidR="00E1430D" w:rsidRPr="008C083E" w:rsidRDefault="00E1430D" w:rsidP="0025243E">
      <w:pPr>
        <w:ind w:right="74"/>
        <w:jc w:val="both"/>
        <w:rPr>
          <w:rFonts w:ascii="Times New Roman" w:hAnsi="Times New Roman" w:cs="Times New Roman"/>
          <w:highlight w:val="yellow"/>
        </w:rPr>
      </w:pPr>
    </w:p>
    <w:p w14:paraId="53D01A89" w14:textId="77777777" w:rsidR="0025243E" w:rsidRPr="00864F65" w:rsidRDefault="0025243E" w:rsidP="0025243E">
      <w:pPr>
        <w:ind w:right="74"/>
        <w:jc w:val="both"/>
        <w:rPr>
          <w:rFonts w:ascii="Times New Roman" w:hAnsi="Times New Roman" w:cs="Times New Roman"/>
        </w:rPr>
      </w:pPr>
      <w:r w:rsidRPr="00864F65">
        <w:rPr>
          <w:rFonts w:ascii="Times New Roman" w:hAnsi="Times New Roman" w:cs="Times New Roman"/>
          <w:b/>
          <w:bCs/>
          <w:color w:val="5B9BD5" w:themeColor="accent1"/>
          <w:kern w:val="32"/>
        </w:rPr>
        <w:lastRenderedPageBreak/>
        <w:t>Jednorazové a dočasné opatrenia spojené s vojnou na Ukrajine</w:t>
      </w:r>
    </w:p>
    <w:p w14:paraId="7196EC7B" w14:textId="77777777" w:rsidR="0025243E" w:rsidRPr="008C083E" w:rsidRDefault="0025243E" w:rsidP="0025243E">
      <w:pPr>
        <w:pStyle w:val="Odsekzoznamu"/>
        <w:numPr>
          <w:ilvl w:val="0"/>
          <w:numId w:val="14"/>
        </w:numPr>
        <w:ind w:right="74"/>
        <w:jc w:val="both"/>
        <w:rPr>
          <w:rFonts w:ascii="Times New Roman" w:eastAsiaTheme="minorHAnsi" w:hAnsi="Times New Roman" w:cs="Times New Roman"/>
          <w:lang w:eastAsia="en-US"/>
        </w:rPr>
      </w:pPr>
      <w:r w:rsidRPr="00864F65">
        <w:rPr>
          <w:rFonts w:ascii="Times New Roman" w:eastAsiaTheme="minorHAnsi" w:hAnsi="Times New Roman" w:cs="Times New Roman"/>
          <w:b/>
          <w:lang w:eastAsia="en-US"/>
        </w:rPr>
        <w:t>Výdavky spojené s vojenskou inváziou Ruska na Ukrajine</w:t>
      </w:r>
      <w:r w:rsidRPr="00864F65">
        <w:rPr>
          <w:rFonts w:ascii="Times New Roman" w:eastAsiaTheme="minorHAnsi" w:hAnsi="Times New Roman" w:cs="Times New Roman"/>
          <w:lang w:eastAsia="en-US"/>
        </w:rPr>
        <w:t>.</w:t>
      </w:r>
      <w:r w:rsidRPr="00864F65">
        <w:rPr>
          <w:rFonts w:ascii="Arial Narrow" w:hAnsi="Arial Narrow"/>
          <w:b/>
          <w:szCs w:val="21"/>
        </w:rPr>
        <w:t xml:space="preserve"> </w:t>
      </w:r>
      <w:r w:rsidRPr="00864F65">
        <w:rPr>
          <w:rFonts w:ascii="Times New Roman" w:hAnsi="Times New Roman" w:cs="Times New Roman"/>
        </w:rPr>
        <w:t>Ide najmä o výdavky vyplývajúce z tzv. Lex Ukrajina (I.</w:t>
      </w:r>
      <w:r>
        <w:rPr>
          <w:rFonts w:ascii="Times New Roman" w:hAnsi="Times New Roman" w:cs="Times New Roman"/>
        </w:rPr>
        <w:t>,</w:t>
      </w:r>
      <w:r w:rsidRPr="00864F65">
        <w:rPr>
          <w:rFonts w:ascii="Times New Roman" w:hAnsi="Times New Roman" w:cs="Times New Roman"/>
        </w:rPr>
        <w:t xml:space="preserve"> II.</w:t>
      </w:r>
      <w:r>
        <w:rPr>
          <w:rFonts w:ascii="Times New Roman" w:hAnsi="Times New Roman" w:cs="Times New Roman"/>
        </w:rPr>
        <w:t xml:space="preserve">, </w:t>
      </w:r>
      <w:r w:rsidRPr="00864F65">
        <w:rPr>
          <w:rFonts w:ascii="Times New Roman" w:hAnsi="Times New Roman" w:cs="Times New Roman"/>
        </w:rPr>
        <w:t xml:space="preserve">III.) a priamych nákladov spojených s bezprostredným kontaktom s utečencami. Ďalej náklady spojené s vojenskou a humanitárnou pomocou zaslanou priamo na Ukrajinu. Vojenská invázia si vyžiadala aj tzv. vyvolané náklady. </w:t>
      </w:r>
    </w:p>
    <w:p w14:paraId="45FB2E68" w14:textId="77777777" w:rsidR="0025243E" w:rsidRPr="008C083E" w:rsidRDefault="0025243E" w:rsidP="0025243E">
      <w:pPr>
        <w:pStyle w:val="Odsekzoznamu"/>
        <w:ind w:left="360" w:right="74"/>
        <w:jc w:val="both"/>
        <w:rPr>
          <w:rFonts w:ascii="Times New Roman" w:eastAsiaTheme="minorHAnsi" w:hAnsi="Times New Roman" w:cs="Times New Roman"/>
          <w:lang w:eastAsia="en-US"/>
        </w:rPr>
      </w:pPr>
    </w:p>
    <w:p w14:paraId="50303235" w14:textId="77777777" w:rsidR="0025243E" w:rsidRPr="00864F65" w:rsidRDefault="0025243E" w:rsidP="0025243E">
      <w:pPr>
        <w:pStyle w:val="Odsekzoznamu"/>
        <w:numPr>
          <w:ilvl w:val="0"/>
          <w:numId w:val="14"/>
        </w:numPr>
        <w:ind w:right="74"/>
        <w:jc w:val="both"/>
        <w:rPr>
          <w:rFonts w:ascii="Times New Roman" w:eastAsiaTheme="minorHAnsi" w:hAnsi="Times New Roman" w:cs="Times New Roman"/>
          <w:lang w:eastAsia="en-US"/>
        </w:rPr>
      </w:pPr>
      <w:r w:rsidRPr="008C083E">
        <w:rPr>
          <w:rFonts w:ascii="Times New Roman" w:hAnsi="Times New Roman" w:cs="Times New Roman"/>
          <w:b/>
        </w:rPr>
        <w:t>Príjmy spojené s vojenskou inváziou Rusku na Ukrajine</w:t>
      </w:r>
      <w:r>
        <w:rPr>
          <w:rFonts w:ascii="Times New Roman" w:hAnsi="Times New Roman" w:cs="Times New Roman"/>
        </w:rPr>
        <w:t>. Slovensko dostalo platbu</w:t>
      </w:r>
      <w:r w:rsidRPr="003535AA">
        <w:rPr>
          <w:rFonts w:ascii="Times New Roman" w:hAnsi="Times New Roman" w:cs="Times New Roman"/>
        </w:rPr>
        <w:t xml:space="preserve"> z Európskeho mie</w:t>
      </w:r>
      <w:r>
        <w:rPr>
          <w:rFonts w:ascii="Times New Roman" w:hAnsi="Times New Roman" w:cs="Times New Roman"/>
        </w:rPr>
        <w:t xml:space="preserve">rového nástroja, rovnako bolo preplatených časť nákladov z EÚ fondov. </w:t>
      </w:r>
    </w:p>
    <w:p w14:paraId="640300B4" w14:textId="77777777" w:rsidR="0025243E" w:rsidRPr="008E0D3D" w:rsidRDefault="0025243E" w:rsidP="0025243E">
      <w:pPr>
        <w:spacing w:after="0" w:line="240" w:lineRule="auto"/>
        <w:contextualSpacing/>
        <w:jc w:val="both"/>
        <w:rPr>
          <w:rFonts w:ascii="Times New Roman" w:hAnsi="Times New Roman" w:cs="Times New Roman"/>
          <w:sz w:val="24"/>
          <w:szCs w:val="24"/>
        </w:rPr>
      </w:pPr>
    </w:p>
    <w:p w14:paraId="623EF758" w14:textId="77777777" w:rsidR="0025243E" w:rsidRPr="008E0D3D" w:rsidRDefault="0025243E" w:rsidP="0025243E">
      <w:pPr>
        <w:spacing w:after="0" w:line="240" w:lineRule="auto"/>
        <w:contextualSpacing/>
        <w:jc w:val="both"/>
        <w:rPr>
          <w:rFonts w:ascii="Times New Roman" w:hAnsi="Times New Roman" w:cs="Times New Roman"/>
          <w:sz w:val="24"/>
          <w:szCs w:val="24"/>
        </w:rPr>
      </w:pPr>
    </w:p>
    <w:p w14:paraId="24A3D1C6" w14:textId="77777777" w:rsidR="0025243E" w:rsidRDefault="0025243E" w:rsidP="0025243E"/>
    <w:p w14:paraId="3BB35480" w14:textId="77777777" w:rsidR="000608BE" w:rsidRDefault="000608BE" w:rsidP="004248D4">
      <w:pPr>
        <w:spacing w:after="0" w:line="240" w:lineRule="auto"/>
        <w:contextualSpacing/>
        <w:jc w:val="both"/>
        <w:rPr>
          <w:rFonts w:ascii="Times New Roman" w:eastAsia="Calibri" w:hAnsi="Times New Roman" w:cs="Times New Roman"/>
          <w:sz w:val="24"/>
          <w:szCs w:val="24"/>
        </w:rPr>
      </w:pPr>
    </w:p>
    <w:p w14:paraId="69BD757C" w14:textId="77777777" w:rsidR="000608BE" w:rsidRDefault="000608BE" w:rsidP="004248D4">
      <w:pPr>
        <w:spacing w:after="0" w:line="240" w:lineRule="auto"/>
        <w:contextualSpacing/>
        <w:jc w:val="both"/>
        <w:rPr>
          <w:rFonts w:ascii="Times New Roman" w:eastAsia="Calibri" w:hAnsi="Times New Roman" w:cs="Times New Roman"/>
          <w:sz w:val="24"/>
          <w:szCs w:val="24"/>
        </w:rPr>
      </w:pPr>
    </w:p>
    <w:p w14:paraId="2450FEB9" w14:textId="77777777" w:rsidR="000608BE" w:rsidRDefault="000608BE" w:rsidP="004248D4">
      <w:pPr>
        <w:spacing w:after="0" w:line="240" w:lineRule="auto"/>
        <w:contextualSpacing/>
        <w:jc w:val="both"/>
        <w:rPr>
          <w:rFonts w:ascii="Times New Roman" w:eastAsia="Calibri" w:hAnsi="Times New Roman" w:cs="Times New Roman"/>
          <w:sz w:val="24"/>
          <w:szCs w:val="24"/>
        </w:rPr>
      </w:pPr>
    </w:p>
    <w:p w14:paraId="5248CF88" w14:textId="77777777" w:rsidR="00E17FA8" w:rsidRDefault="00E17FA8" w:rsidP="004248D4">
      <w:pPr>
        <w:spacing w:after="0" w:line="240" w:lineRule="auto"/>
        <w:contextualSpacing/>
        <w:jc w:val="both"/>
        <w:rPr>
          <w:rFonts w:ascii="Times New Roman" w:eastAsia="Calibri" w:hAnsi="Times New Roman" w:cs="Times New Roman"/>
          <w:sz w:val="24"/>
          <w:szCs w:val="24"/>
        </w:rPr>
      </w:pPr>
    </w:p>
    <w:p w14:paraId="4E4E6374" w14:textId="25316159" w:rsidR="004C43A6" w:rsidRDefault="004C43A6" w:rsidP="004248D4">
      <w:pPr>
        <w:spacing w:after="0" w:line="240" w:lineRule="auto"/>
        <w:contextualSpacing/>
        <w:jc w:val="both"/>
        <w:rPr>
          <w:rFonts w:ascii="Times New Roman" w:eastAsia="Calibri" w:hAnsi="Times New Roman" w:cs="Times New Roman"/>
          <w:sz w:val="24"/>
          <w:szCs w:val="24"/>
        </w:rPr>
      </w:pPr>
    </w:p>
    <w:p w14:paraId="727063CD" w14:textId="0857566C" w:rsidR="00DF01A5" w:rsidRDefault="00DF01A5" w:rsidP="004248D4">
      <w:pPr>
        <w:spacing w:after="0" w:line="240" w:lineRule="auto"/>
        <w:contextualSpacing/>
        <w:jc w:val="both"/>
        <w:rPr>
          <w:rFonts w:ascii="Times New Roman" w:eastAsia="Calibri" w:hAnsi="Times New Roman" w:cs="Times New Roman"/>
          <w:sz w:val="24"/>
          <w:szCs w:val="24"/>
        </w:rPr>
      </w:pPr>
    </w:p>
    <w:p w14:paraId="199B1D91" w14:textId="1A152F1C" w:rsidR="00DF01A5" w:rsidRDefault="00DF01A5" w:rsidP="004248D4">
      <w:pPr>
        <w:spacing w:after="0" w:line="240" w:lineRule="auto"/>
        <w:contextualSpacing/>
        <w:jc w:val="both"/>
        <w:rPr>
          <w:rFonts w:ascii="Times New Roman" w:eastAsia="Calibri" w:hAnsi="Times New Roman" w:cs="Times New Roman"/>
          <w:sz w:val="24"/>
          <w:szCs w:val="24"/>
        </w:rPr>
      </w:pPr>
    </w:p>
    <w:p w14:paraId="39BD0A42" w14:textId="6A8E5A4C" w:rsidR="00DF01A5" w:rsidRDefault="00DF01A5" w:rsidP="004248D4">
      <w:pPr>
        <w:spacing w:after="0" w:line="240" w:lineRule="auto"/>
        <w:contextualSpacing/>
        <w:jc w:val="both"/>
        <w:rPr>
          <w:rFonts w:ascii="Times New Roman" w:eastAsia="Calibri" w:hAnsi="Times New Roman" w:cs="Times New Roman"/>
          <w:sz w:val="24"/>
          <w:szCs w:val="24"/>
        </w:rPr>
      </w:pPr>
    </w:p>
    <w:p w14:paraId="722B1669" w14:textId="6D4E979D" w:rsidR="00DF01A5" w:rsidRDefault="00DF01A5" w:rsidP="004248D4">
      <w:pPr>
        <w:spacing w:after="0" w:line="240" w:lineRule="auto"/>
        <w:contextualSpacing/>
        <w:jc w:val="both"/>
        <w:rPr>
          <w:rFonts w:ascii="Times New Roman" w:eastAsia="Calibri" w:hAnsi="Times New Roman" w:cs="Times New Roman"/>
          <w:sz w:val="24"/>
          <w:szCs w:val="24"/>
        </w:rPr>
      </w:pPr>
    </w:p>
    <w:p w14:paraId="7B1B4FA7" w14:textId="2C2A7932" w:rsidR="00DF01A5" w:rsidRDefault="00DF01A5" w:rsidP="004248D4">
      <w:pPr>
        <w:spacing w:after="0" w:line="240" w:lineRule="auto"/>
        <w:contextualSpacing/>
        <w:jc w:val="both"/>
        <w:rPr>
          <w:rFonts w:ascii="Times New Roman" w:eastAsia="Calibri" w:hAnsi="Times New Roman" w:cs="Times New Roman"/>
          <w:sz w:val="24"/>
          <w:szCs w:val="24"/>
        </w:rPr>
      </w:pPr>
    </w:p>
    <w:p w14:paraId="747844FC" w14:textId="09787A12" w:rsidR="00DF01A5" w:rsidRDefault="00DF01A5" w:rsidP="004248D4">
      <w:pPr>
        <w:spacing w:after="0" w:line="240" w:lineRule="auto"/>
        <w:contextualSpacing/>
        <w:jc w:val="both"/>
        <w:rPr>
          <w:rFonts w:ascii="Times New Roman" w:eastAsia="Calibri" w:hAnsi="Times New Roman" w:cs="Times New Roman"/>
          <w:sz w:val="24"/>
          <w:szCs w:val="24"/>
        </w:rPr>
      </w:pPr>
    </w:p>
    <w:p w14:paraId="6DEFB338" w14:textId="51E32C9D" w:rsidR="00DF01A5" w:rsidRDefault="00DF01A5" w:rsidP="004248D4">
      <w:pPr>
        <w:spacing w:after="0" w:line="240" w:lineRule="auto"/>
        <w:contextualSpacing/>
        <w:jc w:val="both"/>
        <w:rPr>
          <w:rFonts w:ascii="Times New Roman" w:eastAsia="Calibri" w:hAnsi="Times New Roman" w:cs="Times New Roman"/>
          <w:sz w:val="24"/>
          <w:szCs w:val="24"/>
        </w:rPr>
      </w:pPr>
    </w:p>
    <w:p w14:paraId="13336EB6" w14:textId="7E0D5D6A" w:rsidR="00DF01A5" w:rsidRDefault="00DF01A5" w:rsidP="004248D4">
      <w:pPr>
        <w:spacing w:after="0" w:line="240" w:lineRule="auto"/>
        <w:contextualSpacing/>
        <w:jc w:val="both"/>
        <w:rPr>
          <w:rFonts w:ascii="Times New Roman" w:eastAsia="Calibri" w:hAnsi="Times New Roman" w:cs="Times New Roman"/>
          <w:sz w:val="24"/>
          <w:szCs w:val="24"/>
        </w:rPr>
      </w:pPr>
    </w:p>
    <w:p w14:paraId="61C5AC3C" w14:textId="603B006A" w:rsidR="00DF01A5" w:rsidRDefault="00DF01A5" w:rsidP="004248D4">
      <w:pPr>
        <w:spacing w:after="0" w:line="240" w:lineRule="auto"/>
        <w:contextualSpacing/>
        <w:jc w:val="both"/>
        <w:rPr>
          <w:rFonts w:ascii="Times New Roman" w:eastAsia="Calibri" w:hAnsi="Times New Roman" w:cs="Times New Roman"/>
          <w:sz w:val="24"/>
          <w:szCs w:val="24"/>
        </w:rPr>
      </w:pPr>
    </w:p>
    <w:p w14:paraId="528BDB24" w14:textId="2E3396F9" w:rsidR="00DF01A5" w:rsidRDefault="00DF01A5" w:rsidP="004248D4">
      <w:pPr>
        <w:spacing w:after="0" w:line="240" w:lineRule="auto"/>
        <w:contextualSpacing/>
        <w:jc w:val="both"/>
        <w:rPr>
          <w:rFonts w:ascii="Times New Roman" w:eastAsia="Calibri" w:hAnsi="Times New Roman" w:cs="Times New Roman"/>
          <w:sz w:val="24"/>
          <w:szCs w:val="24"/>
        </w:rPr>
      </w:pPr>
    </w:p>
    <w:p w14:paraId="0C33A933" w14:textId="1604A8FE" w:rsidR="00DF01A5" w:rsidRDefault="00DF01A5" w:rsidP="004248D4">
      <w:pPr>
        <w:spacing w:after="0" w:line="240" w:lineRule="auto"/>
        <w:contextualSpacing/>
        <w:jc w:val="both"/>
        <w:rPr>
          <w:rFonts w:ascii="Times New Roman" w:eastAsia="Calibri" w:hAnsi="Times New Roman" w:cs="Times New Roman"/>
          <w:sz w:val="24"/>
          <w:szCs w:val="24"/>
        </w:rPr>
      </w:pPr>
    </w:p>
    <w:p w14:paraId="4BD3D258" w14:textId="35F55F18" w:rsidR="00DF01A5" w:rsidRDefault="00DF01A5" w:rsidP="004248D4">
      <w:pPr>
        <w:spacing w:after="0" w:line="240" w:lineRule="auto"/>
        <w:contextualSpacing/>
        <w:jc w:val="both"/>
        <w:rPr>
          <w:rFonts w:ascii="Times New Roman" w:eastAsia="Calibri" w:hAnsi="Times New Roman" w:cs="Times New Roman"/>
          <w:sz w:val="24"/>
          <w:szCs w:val="24"/>
        </w:rPr>
      </w:pPr>
    </w:p>
    <w:p w14:paraId="214DFAF4" w14:textId="44F5CC69" w:rsidR="00DF01A5" w:rsidRDefault="00DF01A5" w:rsidP="004248D4">
      <w:pPr>
        <w:spacing w:after="0" w:line="240" w:lineRule="auto"/>
        <w:contextualSpacing/>
        <w:jc w:val="both"/>
        <w:rPr>
          <w:rFonts w:ascii="Times New Roman" w:eastAsia="Calibri" w:hAnsi="Times New Roman" w:cs="Times New Roman"/>
          <w:sz w:val="24"/>
          <w:szCs w:val="24"/>
        </w:rPr>
      </w:pPr>
    </w:p>
    <w:p w14:paraId="24AFB9DA" w14:textId="37B47802" w:rsidR="00DF01A5" w:rsidRDefault="00DF01A5" w:rsidP="004248D4">
      <w:pPr>
        <w:spacing w:after="0" w:line="240" w:lineRule="auto"/>
        <w:contextualSpacing/>
        <w:jc w:val="both"/>
        <w:rPr>
          <w:rFonts w:ascii="Times New Roman" w:eastAsia="Calibri" w:hAnsi="Times New Roman" w:cs="Times New Roman"/>
          <w:sz w:val="24"/>
          <w:szCs w:val="24"/>
        </w:rPr>
      </w:pPr>
    </w:p>
    <w:p w14:paraId="216CABB0" w14:textId="4DE9B839" w:rsidR="00DF01A5" w:rsidRDefault="00DF01A5" w:rsidP="004248D4">
      <w:pPr>
        <w:spacing w:after="0" w:line="240" w:lineRule="auto"/>
        <w:contextualSpacing/>
        <w:jc w:val="both"/>
        <w:rPr>
          <w:rFonts w:ascii="Times New Roman" w:eastAsia="Calibri" w:hAnsi="Times New Roman" w:cs="Times New Roman"/>
          <w:sz w:val="24"/>
          <w:szCs w:val="24"/>
        </w:rPr>
      </w:pPr>
    </w:p>
    <w:p w14:paraId="1A4D4DDB" w14:textId="4866B268" w:rsidR="00DF01A5" w:rsidRDefault="00DF01A5" w:rsidP="004248D4">
      <w:pPr>
        <w:spacing w:after="0" w:line="240" w:lineRule="auto"/>
        <w:contextualSpacing/>
        <w:jc w:val="both"/>
        <w:rPr>
          <w:rFonts w:ascii="Times New Roman" w:eastAsia="Calibri" w:hAnsi="Times New Roman" w:cs="Times New Roman"/>
          <w:sz w:val="24"/>
          <w:szCs w:val="24"/>
        </w:rPr>
      </w:pPr>
    </w:p>
    <w:p w14:paraId="26D70B03" w14:textId="2CB7ED76" w:rsidR="00DF01A5" w:rsidRDefault="00DF01A5" w:rsidP="004248D4">
      <w:pPr>
        <w:spacing w:after="0" w:line="240" w:lineRule="auto"/>
        <w:contextualSpacing/>
        <w:jc w:val="both"/>
        <w:rPr>
          <w:rFonts w:ascii="Times New Roman" w:eastAsia="Calibri" w:hAnsi="Times New Roman" w:cs="Times New Roman"/>
          <w:sz w:val="24"/>
          <w:szCs w:val="24"/>
        </w:rPr>
      </w:pPr>
    </w:p>
    <w:p w14:paraId="271D91C0" w14:textId="17BA772D" w:rsidR="00DF01A5" w:rsidRDefault="00DF01A5" w:rsidP="004248D4">
      <w:pPr>
        <w:spacing w:after="0" w:line="240" w:lineRule="auto"/>
        <w:contextualSpacing/>
        <w:jc w:val="both"/>
        <w:rPr>
          <w:rFonts w:ascii="Times New Roman" w:eastAsia="Calibri" w:hAnsi="Times New Roman" w:cs="Times New Roman"/>
          <w:sz w:val="24"/>
          <w:szCs w:val="24"/>
        </w:rPr>
      </w:pPr>
    </w:p>
    <w:p w14:paraId="677AA867" w14:textId="37473375" w:rsidR="00DF01A5" w:rsidRDefault="00DF01A5" w:rsidP="004248D4">
      <w:pPr>
        <w:spacing w:after="0" w:line="240" w:lineRule="auto"/>
        <w:contextualSpacing/>
        <w:jc w:val="both"/>
        <w:rPr>
          <w:rFonts w:ascii="Times New Roman" w:eastAsia="Calibri" w:hAnsi="Times New Roman" w:cs="Times New Roman"/>
          <w:sz w:val="24"/>
          <w:szCs w:val="24"/>
        </w:rPr>
      </w:pPr>
    </w:p>
    <w:p w14:paraId="418DD231" w14:textId="42B84F04" w:rsidR="00DF01A5" w:rsidRDefault="00DF01A5" w:rsidP="004248D4">
      <w:pPr>
        <w:spacing w:after="0" w:line="240" w:lineRule="auto"/>
        <w:contextualSpacing/>
        <w:jc w:val="both"/>
        <w:rPr>
          <w:rFonts w:ascii="Times New Roman" w:eastAsia="Calibri" w:hAnsi="Times New Roman" w:cs="Times New Roman"/>
          <w:sz w:val="24"/>
          <w:szCs w:val="24"/>
        </w:rPr>
      </w:pPr>
    </w:p>
    <w:p w14:paraId="33BC186E" w14:textId="125C7FCA" w:rsidR="00DF01A5" w:rsidRDefault="00DF01A5" w:rsidP="004248D4">
      <w:pPr>
        <w:spacing w:after="0" w:line="240" w:lineRule="auto"/>
        <w:contextualSpacing/>
        <w:jc w:val="both"/>
        <w:rPr>
          <w:rFonts w:ascii="Times New Roman" w:eastAsia="Calibri" w:hAnsi="Times New Roman" w:cs="Times New Roman"/>
          <w:sz w:val="24"/>
          <w:szCs w:val="24"/>
        </w:rPr>
      </w:pPr>
    </w:p>
    <w:p w14:paraId="019F1100" w14:textId="0F73893F" w:rsidR="00DF01A5" w:rsidRDefault="00DF01A5" w:rsidP="004248D4">
      <w:pPr>
        <w:spacing w:after="0" w:line="240" w:lineRule="auto"/>
        <w:contextualSpacing/>
        <w:jc w:val="both"/>
        <w:rPr>
          <w:rFonts w:ascii="Times New Roman" w:eastAsia="Calibri" w:hAnsi="Times New Roman" w:cs="Times New Roman"/>
          <w:sz w:val="24"/>
          <w:szCs w:val="24"/>
        </w:rPr>
      </w:pPr>
    </w:p>
    <w:p w14:paraId="5E64E038" w14:textId="5C153F36" w:rsidR="00DF01A5" w:rsidRDefault="00DF01A5" w:rsidP="004248D4">
      <w:pPr>
        <w:spacing w:after="0" w:line="240" w:lineRule="auto"/>
        <w:contextualSpacing/>
        <w:jc w:val="both"/>
        <w:rPr>
          <w:rFonts w:ascii="Times New Roman" w:eastAsia="Calibri" w:hAnsi="Times New Roman" w:cs="Times New Roman"/>
          <w:sz w:val="24"/>
          <w:szCs w:val="24"/>
        </w:rPr>
      </w:pPr>
    </w:p>
    <w:p w14:paraId="3626ECA9" w14:textId="7AC0E896" w:rsidR="00DF01A5" w:rsidRDefault="00DF01A5" w:rsidP="004248D4">
      <w:pPr>
        <w:spacing w:after="0" w:line="240" w:lineRule="auto"/>
        <w:contextualSpacing/>
        <w:jc w:val="both"/>
        <w:rPr>
          <w:rFonts w:ascii="Times New Roman" w:eastAsia="Calibri" w:hAnsi="Times New Roman" w:cs="Times New Roman"/>
          <w:sz w:val="24"/>
          <w:szCs w:val="24"/>
        </w:rPr>
      </w:pPr>
    </w:p>
    <w:p w14:paraId="55A7CBFC" w14:textId="7A67E4F7" w:rsidR="00DF01A5" w:rsidRDefault="00DF01A5" w:rsidP="004248D4">
      <w:pPr>
        <w:spacing w:after="0" w:line="240" w:lineRule="auto"/>
        <w:contextualSpacing/>
        <w:jc w:val="both"/>
        <w:rPr>
          <w:rFonts w:ascii="Times New Roman" w:eastAsia="Calibri" w:hAnsi="Times New Roman" w:cs="Times New Roman"/>
          <w:sz w:val="24"/>
          <w:szCs w:val="24"/>
        </w:rPr>
      </w:pPr>
    </w:p>
    <w:p w14:paraId="7EC7DADA" w14:textId="685837B2" w:rsidR="00DF01A5" w:rsidRDefault="00DF01A5" w:rsidP="004248D4">
      <w:pPr>
        <w:spacing w:after="0" w:line="240" w:lineRule="auto"/>
        <w:contextualSpacing/>
        <w:jc w:val="both"/>
        <w:rPr>
          <w:rFonts w:ascii="Times New Roman" w:eastAsia="Calibri" w:hAnsi="Times New Roman" w:cs="Times New Roman"/>
          <w:sz w:val="24"/>
          <w:szCs w:val="24"/>
        </w:rPr>
      </w:pPr>
    </w:p>
    <w:p w14:paraId="1B5D8F98" w14:textId="542730A0" w:rsidR="00DF01A5" w:rsidRDefault="00DF01A5" w:rsidP="004248D4">
      <w:pPr>
        <w:spacing w:after="0" w:line="240" w:lineRule="auto"/>
        <w:contextualSpacing/>
        <w:jc w:val="both"/>
        <w:rPr>
          <w:rFonts w:ascii="Times New Roman" w:eastAsia="Calibri" w:hAnsi="Times New Roman" w:cs="Times New Roman"/>
          <w:sz w:val="24"/>
          <w:szCs w:val="24"/>
        </w:rPr>
      </w:pPr>
    </w:p>
    <w:p w14:paraId="7E8142D6" w14:textId="0B7F1ABB" w:rsidR="00DF01A5" w:rsidRDefault="00DF01A5" w:rsidP="004248D4">
      <w:pPr>
        <w:spacing w:after="0" w:line="240" w:lineRule="auto"/>
        <w:contextualSpacing/>
        <w:jc w:val="both"/>
        <w:rPr>
          <w:rFonts w:ascii="Times New Roman" w:eastAsia="Calibri" w:hAnsi="Times New Roman" w:cs="Times New Roman"/>
          <w:sz w:val="24"/>
          <w:szCs w:val="24"/>
        </w:rPr>
      </w:pPr>
    </w:p>
    <w:p w14:paraId="263133F4" w14:textId="7AA55F41" w:rsidR="00DF01A5" w:rsidRDefault="00DF01A5" w:rsidP="004248D4">
      <w:pPr>
        <w:spacing w:after="0" w:line="240" w:lineRule="auto"/>
        <w:contextualSpacing/>
        <w:jc w:val="both"/>
        <w:rPr>
          <w:rFonts w:ascii="Times New Roman" w:eastAsia="Calibri" w:hAnsi="Times New Roman" w:cs="Times New Roman"/>
          <w:sz w:val="24"/>
          <w:szCs w:val="24"/>
        </w:rPr>
      </w:pPr>
    </w:p>
    <w:p w14:paraId="35442D8F" w14:textId="779C9918" w:rsidR="00DF01A5" w:rsidRDefault="00DF01A5" w:rsidP="004248D4">
      <w:pPr>
        <w:spacing w:after="0" w:line="240" w:lineRule="auto"/>
        <w:contextualSpacing/>
        <w:jc w:val="both"/>
        <w:rPr>
          <w:rFonts w:ascii="Times New Roman" w:eastAsia="Calibri" w:hAnsi="Times New Roman" w:cs="Times New Roman"/>
          <w:sz w:val="24"/>
          <w:szCs w:val="24"/>
        </w:rPr>
      </w:pPr>
    </w:p>
    <w:p w14:paraId="4DAA2E98" w14:textId="77777777" w:rsidR="00DF01A5" w:rsidRDefault="00DF01A5" w:rsidP="004248D4">
      <w:pPr>
        <w:spacing w:after="0" w:line="240" w:lineRule="auto"/>
        <w:contextualSpacing/>
        <w:jc w:val="both"/>
        <w:rPr>
          <w:rFonts w:ascii="Times New Roman" w:eastAsia="Calibri" w:hAnsi="Times New Roman" w:cs="Times New Roman"/>
          <w:sz w:val="24"/>
          <w:szCs w:val="24"/>
        </w:rPr>
      </w:pPr>
    </w:p>
    <w:p w14:paraId="304A4B2F" w14:textId="77777777" w:rsidR="002F16B8" w:rsidRDefault="001E2730" w:rsidP="00577D3F">
      <w:pPr>
        <w:pStyle w:val="Nadpis1"/>
        <w:spacing w:before="0"/>
        <w:rPr>
          <w:rFonts w:ascii="Times New Roman" w:hAnsi="Times New Roman" w:cs="Times New Roman"/>
          <w:b/>
          <w:color w:val="5B9BD5" w:themeColor="accent1"/>
          <w:sz w:val="28"/>
        </w:rPr>
      </w:pPr>
      <w:bookmarkStart w:id="79" w:name="_Toc152946767"/>
      <w:r>
        <w:rPr>
          <w:rFonts w:ascii="Times New Roman" w:hAnsi="Times New Roman" w:cs="Times New Roman"/>
          <w:b/>
          <w:color w:val="5B9BD5" w:themeColor="accent1"/>
          <w:sz w:val="28"/>
        </w:rPr>
        <w:lastRenderedPageBreak/>
        <w:t xml:space="preserve">3. </w:t>
      </w:r>
      <w:r w:rsidR="00A809E7" w:rsidRPr="00A809E7">
        <w:rPr>
          <w:rFonts w:ascii="Times New Roman" w:hAnsi="Times New Roman" w:cs="Times New Roman"/>
          <w:b/>
          <w:color w:val="5B9BD5" w:themeColor="accent1"/>
          <w:sz w:val="28"/>
        </w:rPr>
        <w:t>Rozpočtovanie príjmov verejnej správy</w:t>
      </w:r>
      <w:bookmarkEnd w:id="79"/>
    </w:p>
    <w:p w14:paraId="2D330F16" w14:textId="77777777" w:rsidR="000608BE" w:rsidRPr="00577D3F" w:rsidRDefault="000608BE" w:rsidP="00577D3F">
      <w:pPr>
        <w:spacing w:after="0"/>
      </w:pPr>
    </w:p>
    <w:p w14:paraId="1AD67DA3" w14:textId="77777777" w:rsidR="00A809E7" w:rsidRDefault="00A809E7" w:rsidP="00577D3F">
      <w:pPr>
        <w:pStyle w:val="Nadpis2"/>
        <w:spacing w:before="0" w:after="0"/>
        <w:ind w:left="567" w:hanging="567"/>
        <w:jc w:val="both"/>
        <w:rPr>
          <w:rFonts w:ascii="Times New Roman" w:hAnsi="Times New Roman"/>
          <w:i w:val="0"/>
          <w:iCs w:val="0"/>
          <w:color w:val="5B9BD5" w:themeColor="accent1"/>
          <w:sz w:val="24"/>
          <w:szCs w:val="24"/>
        </w:rPr>
      </w:pPr>
      <w:bookmarkStart w:id="80" w:name="_Toc525822944"/>
      <w:bookmarkStart w:id="81" w:name="_Toc152946768"/>
      <w:r w:rsidRPr="00202F66">
        <w:rPr>
          <w:rFonts w:ascii="Times New Roman" w:hAnsi="Times New Roman"/>
          <w:i w:val="0"/>
          <w:iCs w:val="0"/>
          <w:color w:val="5B9BD5" w:themeColor="accent1"/>
          <w:sz w:val="24"/>
          <w:szCs w:val="24"/>
        </w:rPr>
        <w:t>3.1. Rozpočtovanie daňových a odvodových príjmov verejnej správy</w:t>
      </w:r>
      <w:bookmarkEnd w:id="80"/>
      <w:bookmarkEnd w:id="81"/>
      <w:r w:rsidRPr="00202F66">
        <w:rPr>
          <w:rFonts w:ascii="Times New Roman" w:hAnsi="Times New Roman"/>
          <w:i w:val="0"/>
          <w:iCs w:val="0"/>
          <w:color w:val="5B9BD5" w:themeColor="accent1"/>
          <w:sz w:val="24"/>
          <w:szCs w:val="24"/>
        </w:rPr>
        <w:t xml:space="preserve"> </w:t>
      </w:r>
    </w:p>
    <w:p w14:paraId="319E83FF" w14:textId="77777777" w:rsidR="0061380B" w:rsidRPr="00E0030D" w:rsidRDefault="0061380B" w:rsidP="0061380B">
      <w:pPr>
        <w:spacing w:after="0"/>
        <w:jc w:val="both"/>
        <w:rPr>
          <w:rFonts w:ascii="Times New Roman" w:eastAsia="Calibri" w:hAnsi="Times New Roman" w:cs="Times New Roman"/>
        </w:rPr>
      </w:pPr>
    </w:p>
    <w:p w14:paraId="293AA6CE" w14:textId="77777777" w:rsidR="00D94493" w:rsidRPr="00D94493" w:rsidRDefault="00B057D9" w:rsidP="00D94493">
      <w:pPr>
        <w:spacing w:after="0" w:line="240" w:lineRule="auto"/>
        <w:jc w:val="both"/>
        <w:rPr>
          <w:rFonts w:ascii="Times New Roman" w:eastAsia="Calibri" w:hAnsi="Times New Roman" w:cs="Times New Roman"/>
          <w:sz w:val="24"/>
          <w:highlight w:val="yellow"/>
        </w:rPr>
      </w:pPr>
      <w:r w:rsidRPr="00B057D9">
        <w:rPr>
          <w:rFonts w:ascii="Times New Roman" w:eastAsia="Calibri" w:hAnsi="Times New Roman" w:cs="Times New Roman"/>
          <w:sz w:val="24"/>
        </w:rPr>
        <w:t xml:space="preserve"> </w:t>
      </w:r>
      <w:r w:rsidR="00D94493" w:rsidRPr="00D94493">
        <w:rPr>
          <w:rFonts w:ascii="Times New Roman" w:eastAsia="Calibri" w:hAnsi="Times New Roman" w:cs="Times New Roman"/>
          <w:sz w:val="24"/>
        </w:rPr>
        <w:t>Makroekonomické predpoklady uvedené v predchádzajúcej časti tohto dokumentu boli základom pre vypracovanie aktuálnych prognóz daňových príjmov verejnej správy na roky 2024 až 2026. Aktuálna prognóza bola podrobená nezávislému hodnoteniu v rámci Výboru pre daňové prognózy dňa 7.12.2023. Výsledkom je celkové hodnotenie charakteru prognózy MF SR na základe stanoveného kritéria</w:t>
      </w:r>
      <w:r w:rsidR="00D94493" w:rsidRPr="00D94493">
        <w:rPr>
          <w:rFonts w:ascii="Calibri" w:eastAsia="Calibri" w:hAnsi="Calibri" w:cs="Times New Roman"/>
          <w:sz w:val="24"/>
          <w:vertAlign w:val="superscript"/>
        </w:rPr>
        <w:footnoteReference w:id="19"/>
      </w:r>
      <w:r w:rsidR="00D94493" w:rsidRPr="00D94493">
        <w:rPr>
          <w:rFonts w:ascii="Times New Roman" w:eastAsia="Calibri" w:hAnsi="Times New Roman" w:cs="Times New Roman"/>
          <w:sz w:val="24"/>
        </w:rPr>
        <w:t xml:space="preserve">. Strednodobá prognóza daňových príjmov a sociálnych odvodov MF SR bola všetkými členmi Výboru označená ako </w:t>
      </w:r>
      <w:r w:rsidR="00D94493" w:rsidRPr="00D94493">
        <w:rPr>
          <w:rFonts w:ascii="Times New Roman" w:eastAsia="Calibri" w:hAnsi="Times New Roman" w:cs="Times New Roman"/>
          <w:b/>
          <w:bCs/>
          <w:sz w:val="24"/>
        </w:rPr>
        <w:t>realistická</w:t>
      </w:r>
      <w:r w:rsidR="00D94493" w:rsidRPr="00D94493">
        <w:rPr>
          <w:rFonts w:ascii="Times New Roman" w:eastAsia="Calibri" w:hAnsi="Times New Roman" w:cs="Times New Roman"/>
          <w:sz w:val="24"/>
        </w:rPr>
        <w:t xml:space="preserve">. </w:t>
      </w:r>
    </w:p>
    <w:p w14:paraId="4A1DE628" w14:textId="77777777" w:rsidR="00D94493" w:rsidRPr="00D94493" w:rsidRDefault="00D94493" w:rsidP="00D94493">
      <w:pPr>
        <w:spacing w:after="0" w:line="240" w:lineRule="auto"/>
        <w:jc w:val="both"/>
        <w:rPr>
          <w:rFonts w:ascii="Times New Roman" w:eastAsia="Calibri" w:hAnsi="Times New Roman" w:cs="Times New Roman"/>
          <w:sz w:val="24"/>
        </w:rPr>
      </w:pPr>
    </w:p>
    <w:p w14:paraId="781364A5" w14:textId="77777777" w:rsidR="00D94493" w:rsidRPr="00D94493" w:rsidRDefault="00D94493" w:rsidP="00D94493">
      <w:pPr>
        <w:spacing w:after="0" w:line="240" w:lineRule="auto"/>
        <w:jc w:val="both"/>
        <w:rPr>
          <w:rFonts w:ascii="Times New Roman" w:eastAsia="Calibri" w:hAnsi="Times New Roman" w:cs="Times New Roman"/>
          <w:sz w:val="24"/>
        </w:rPr>
      </w:pPr>
      <w:r w:rsidRPr="00D94493">
        <w:rPr>
          <w:rFonts w:ascii="Times New Roman" w:eastAsia="Calibri" w:hAnsi="Times New Roman" w:cs="Times New Roman"/>
          <w:sz w:val="24"/>
        </w:rPr>
        <w:t>Aktuálna prognóza zohľadňuje okrem makroekonomického rámca a platnej legislatívy aj skutočné výnosy daní za rok 2022 podľa metodiky ESA 2010 (okrem DPFO z podnikania, DPPO a osobitného odvodu z regulovaných odvetví, ktoré sú odhadmi) a aktuálne hotovostné plnenie daní za január až október 2023.</w:t>
      </w:r>
    </w:p>
    <w:p w14:paraId="1B08FF29" w14:textId="77777777" w:rsidR="00D94493" w:rsidRPr="00D94493" w:rsidRDefault="00D94493" w:rsidP="00D94493">
      <w:pPr>
        <w:spacing w:after="0"/>
        <w:jc w:val="both"/>
        <w:rPr>
          <w:rFonts w:ascii="Times New Roman" w:hAnsi="Times New Roman" w:cs="Times New Roman"/>
          <w:sz w:val="24"/>
        </w:rPr>
      </w:pPr>
    </w:p>
    <w:p w14:paraId="43318D0E" w14:textId="77777777" w:rsidR="00D94493" w:rsidRPr="00D94493" w:rsidRDefault="00D94493" w:rsidP="00D94493">
      <w:pPr>
        <w:spacing w:after="0" w:line="240" w:lineRule="auto"/>
        <w:jc w:val="both"/>
        <w:rPr>
          <w:rFonts w:ascii="Times New Roman" w:eastAsia="Calibri" w:hAnsi="Times New Roman" w:cs="Times New Roman"/>
          <w:b/>
          <w:color w:val="5B9BD5"/>
          <w:sz w:val="24"/>
        </w:rPr>
      </w:pPr>
      <w:r w:rsidRPr="00D94493">
        <w:rPr>
          <w:rFonts w:ascii="Times New Roman" w:eastAsia="Calibri" w:hAnsi="Times New Roman" w:cs="Times New Roman"/>
          <w:b/>
          <w:color w:val="5B9BD5"/>
          <w:sz w:val="24"/>
        </w:rPr>
        <w:t>Medziročný vývoj daňových a odvodových príjmov</w:t>
      </w:r>
    </w:p>
    <w:p w14:paraId="5EFD1EA9" w14:textId="77777777" w:rsidR="00D94493" w:rsidRPr="00D94493" w:rsidRDefault="00D94493" w:rsidP="00D94493">
      <w:pPr>
        <w:spacing w:after="0" w:line="240" w:lineRule="auto"/>
        <w:jc w:val="both"/>
        <w:rPr>
          <w:rFonts w:ascii="Times New Roman" w:eastAsia="Calibri" w:hAnsi="Times New Roman" w:cs="Times New Roman"/>
          <w:sz w:val="24"/>
        </w:rPr>
      </w:pPr>
    </w:p>
    <w:p w14:paraId="2F8E2BA9" w14:textId="77777777" w:rsidR="00D94493" w:rsidRPr="00D94493" w:rsidRDefault="00D94493" w:rsidP="00D94493">
      <w:pPr>
        <w:spacing w:after="0" w:line="240" w:lineRule="auto"/>
        <w:jc w:val="both"/>
        <w:rPr>
          <w:rFonts w:ascii="Times New Roman" w:eastAsia="Calibri" w:hAnsi="Times New Roman" w:cs="Times New Roman"/>
          <w:sz w:val="24"/>
        </w:rPr>
      </w:pPr>
      <w:r w:rsidRPr="00D94493">
        <w:rPr>
          <w:rFonts w:ascii="Times New Roman" w:eastAsia="Calibri" w:hAnsi="Times New Roman" w:cs="Times New Roman"/>
          <w:sz w:val="24"/>
        </w:rPr>
        <w:t>Prognóza daňových príjmov pre účely rozpočtu verejnej správy je postavená na predpoklade rastu ekonomiky v roku 2023 na úrovni 1,2 % a v roku 2024 na úrovni 2,7 %.</w:t>
      </w:r>
    </w:p>
    <w:p w14:paraId="7C2DCC4E" w14:textId="77777777" w:rsidR="00D94493" w:rsidRPr="00D94493" w:rsidRDefault="00D94493" w:rsidP="00D94493">
      <w:pPr>
        <w:spacing w:after="0" w:line="240" w:lineRule="auto"/>
        <w:jc w:val="both"/>
        <w:rPr>
          <w:rFonts w:ascii="Times New Roman" w:eastAsia="Calibri" w:hAnsi="Times New Roman" w:cs="Times New Roman"/>
          <w:sz w:val="24"/>
          <w:highlight w:val="yellow"/>
        </w:rPr>
      </w:pPr>
    </w:p>
    <w:p w14:paraId="0403CB58" w14:textId="77777777" w:rsidR="00D94493" w:rsidRPr="00D94493" w:rsidRDefault="00D94493" w:rsidP="00D94493">
      <w:pPr>
        <w:spacing w:after="0" w:line="240" w:lineRule="auto"/>
        <w:jc w:val="both"/>
        <w:rPr>
          <w:rFonts w:ascii="Times New Roman" w:eastAsia="Calibri" w:hAnsi="Times New Roman" w:cs="Times New Roman"/>
          <w:sz w:val="24"/>
          <w:szCs w:val="24"/>
        </w:rPr>
      </w:pPr>
      <w:r w:rsidRPr="00D94493">
        <w:rPr>
          <w:rFonts w:ascii="Times New Roman" w:eastAsia="Calibri" w:hAnsi="Times New Roman" w:cs="Times New Roman"/>
          <w:sz w:val="24"/>
          <w:szCs w:val="24"/>
        </w:rPr>
        <w:t>Medziročné zmeny na horizonte 2024 až 2026 sú z veľkej časti z titulu zmeny makroekonomických predpokladov. Od roku 2024 sa očakáva spomalenie rastu trhu práce cez pomalší rast miezd a zamestnanosti. Oba efekty sa v plnej miere prejavia na znížení medziročného rastu výnosov daní z práce. Oslabenie dynamiky rastu trhu práce sa prejaví aj v nižšej spotrebe domácností, a teda v nižšom výnose DPH.  Zvoľnenie tempa ekonomiky bude znamenať aj pokles rekordných rastov z roku 2022 na úroveň okolo 5 %  v rokoch 2025 a 2026. V roku 2024 bude príjmy ešte navyšovať nová legislatíva v objeme približne 1,6 mld. eur.</w:t>
      </w:r>
    </w:p>
    <w:p w14:paraId="209C9DF3" w14:textId="77777777" w:rsidR="00D94493" w:rsidRPr="00D94493" w:rsidRDefault="00D94493" w:rsidP="00D94493">
      <w:pPr>
        <w:spacing w:after="0" w:line="240" w:lineRule="auto"/>
        <w:jc w:val="both"/>
        <w:rPr>
          <w:rFonts w:ascii="Times New Roman" w:eastAsia="Calibri" w:hAnsi="Times New Roman" w:cs="Times New Roman"/>
          <w:sz w:val="24"/>
        </w:rPr>
      </w:pPr>
    </w:p>
    <w:p w14:paraId="336448D9" w14:textId="6CDE1F41" w:rsidR="00D94493" w:rsidRPr="00D94493" w:rsidRDefault="00D94493" w:rsidP="00D94493">
      <w:pPr>
        <w:keepNext/>
        <w:spacing w:after="200" w:line="240" w:lineRule="auto"/>
        <w:rPr>
          <w:rFonts w:ascii="Times New Roman" w:eastAsia="Calibri" w:hAnsi="Times New Roman" w:cs="Times New Roman"/>
          <w:b/>
          <w:iCs/>
          <w:color w:val="5B9BD5"/>
          <w:sz w:val="20"/>
          <w:szCs w:val="18"/>
        </w:rPr>
      </w:pPr>
      <w:bookmarkStart w:id="82" w:name="_Toc53086271"/>
      <w:bookmarkStart w:id="83" w:name="_Toc153014652"/>
      <w:r w:rsidRPr="00D94493">
        <w:rPr>
          <w:rFonts w:ascii="Times New Roman" w:eastAsia="Calibri" w:hAnsi="Times New Roman" w:cs="Times New Roman"/>
          <w:b/>
          <w:iCs/>
          <w:color w:val="5B9BD5"/>
          <w:sz w:val="20"/>
          <w:szCs w:val="18"/>
        </w:rPr>
        <w:t xml:space="preserve">Graf </w:t>
      </w:r>
      <w:r w:rsidRPr="00D94493">
        <w:rPr>
          <w:rFonts w:ascii="Times New Roman" w:eastAsia="Calibri" w:hAnsi="Times New Roman" w:cs="Times New Roman"/>
          <w:b/>
          <w:iCs/>
          <w:color w:val="5B9BD5"/>
          <w:sz w:val="20"/>
          <w:szCs w:val="18"/>
        </w:rPr>
        <w:fldChar w:fldCharType="begin"/>
      </w:r>
      <w:r w:rsidRPr="00D94493">
        <w:rPr>
          <w:rFonts w:ascii="Times New Roman" w:eastAsia="Calibri" w:hAnsi="Times New Roman" w:cs="Times New Roman"/>
          <w:b/>
          <w:iCs/>
          <w:color w:val="5B9BD5"/>
          <w:sz w:val="20"/>
          <w:szCs w:val="18"/>
        </w:rPr>
        <w:instrText xml:space="preserve"> SEQ Obrázok \* ARABIC </w:instrText>
      </w:r>
      <w:r w:rsidRPr="00D94493">
        <w:rPr>
          <w:rFonts w:ascii="Times New Roman" w:eastAsia="Calibri" w:hAnsi="Times New Roman" w:cs="Times New Roman"/>
          <w:b/>
          <w:iCs/>
          <w:color w:val="5B9BD5"/>
          <w:sz w:val="20"/>
          <w:szCs w:val="18"/>
        </w:rPr>
        <w:fldChar w:fldCharType="separate"/>
      </w:r>
      <w:r w:rsidR="003D5A3A">
        <w:rPr>
          <w:rFonts w:ascii="Times New Roman" w:eastAsia="Calibri" w:hAnsi="Times New Roman" w:cs="Times New Roman"/>
          <w:b/>
          <w:iCs/>
          <w:noProof/>
          <w:color w:val="5B9BD5"/>
          <w:sz w:val="20"/>
          <w:szCs w:val="18"/>
        </w:rPr>
        <w:t>5</w:t>
      </w:r>
      <w:r w:rsidRPr="00D94493">
        <w:rPr>
          <w:rFonts w:ascii="Times New Roman" w:eastAsia="Calibri" w:hAnsi="Times New Roman" w:cs="Times New Roman"/>
          <w:b/>
          <w:iCs/>
          <w:color w:val="5B9BD5"/>
          <w:sz w:val="20"/>
          <w:szCs w:val="18"/>
        </w:rPr>
        <w:fldChar w:fldCharType="end"/>
      </w:r>
      <w:r w:rsidRPr="00D94493">
        <w:rPr>
          <w:rFonts w:ascii="Times New Roman" w:eastAsia="Calibri" w:hAnsi="Times New Roman" w:cs="Times New Roman"/>
          <w:b/>
          <w:iCs/>
          <w:color w:val="5B9BD5"/>
          <w:sz w:val="20"/>
          <w:szCs w:val="18"/>
        </w:rPr>
        <w:t xml:space="preserve"> - Medziročný vývoj daňových a odvodových príjmov verejnej správy</w:t>
      </w:r>
      <w:bookmarkEnd w:id="82"/>
      <w:bookmarkEnd w:id="83"/>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22"/>
      </w:tblGrid>
      <w:tr w:rsidR="00D94493" w:rsidRPr="00D94493" w14:paraId="6F1E51A0" w14:textId="77777777" w:rsidTr="00D94493">
        <w:tc>
          <w:tcPr>
            <w:tcW w:w="4550" w:type="dxa"/>
            <w:tcBorders>
              <w:bottom w:val="single" w:sz="4" w:space="0" w:color="auto"/>
            </w:tcBorders>
          </w:tcPr>
          <w:p w14:paraId="294B70F2" w14:textId="77777777" w:rsidR="00D94493" w:rsidRPr="00D94493" w:rsidRDefault="00D94493" w:rsidP="00D94493">
            <w:pPr>
              <w:jc w:val="both"/>
              <w:rPr>
                <w:rFonts w:ascii="Times New Roman" w:hAnsi="Times New Roman"/>
                <w:b/>
                <w:color w:val="FF0000"/>
                <w:sz w:val="16"/>
                <w:szCs w:val="16"/>
              </w:rPr>
            </w:pPr>
            <w:r w:rsidRPr="00D94493">
              <w:rPr>
                <w:rFonts w:ascii="Times New Roman" w:eastAsia="Calibri" w:hAnsi="Times New Roman"/>
                <w:b/>
                <w:color w:val="5B9BD5"/>
                <w:sz w:val="18"/>
                <w:szCs w:val="18"/>
              </w:rPr>
              <w:t>Medziročný vývoj daňových a odvodových príjmov VS podľa jednotlivých faktorov (ESA 2010, rast v %)</w:t>
            </w:r>
          </w:p>
        </w:tc>
        <w:tc>
          <w:tcPr>
            <w:tcW w:w="4522" w:type="dxa"/>
            <w:tcBorders>
              <w:bottom w:val="single" w:sz="4" w:space="0" w:color="auto"/>
            </w:tcBorders>
          </w:tcPr>
          <w:p w14:paraId="4E38ABA9" w14:textId="77777777" w:rsidR="00D94493" w:rsidRPr="00D94493" w:rsidRDefault="00D94493" w:rsidP="00D94493">
            <w:pPr>
              <w:jc w:val="both"/>
              <w:rPr>
                <w:rFonts w:ascii="Times New Roman" w:hAnsi="Times New Roman"/>
                <w:color w:val="FF0000"/>
              </w:rPr>
            </w:pPr>
            <w:r w:rsidRPr="00D94493">
              <w:rPr>
                <w:rFonts w:ascii="Times New Roman" w:eastAsia="Calibri" w:hAnsi="Times New Roman"/>
                <w:b/>
                <w:color w:val="5B9BD5"/>
                <w:sz w:val="18"/>
                <w:szCs w:val="18"/>
              </w:rPr>
              <w:t>Medziročný vývoj daňových a odvodových príjmov VS podľa jednotlivých daní a odvodov (ESA 2010, v mil. eur)</w:t>
            </w:r>
          </w:p>
        </w:tc>
      </w:tr>
      <w:tr w:rsidR="00D94493" w:rsidRPr="00D94493" w14:paraId="4043E730" w14:textId="77777777" w:rsidTr="00D94493">
        <w:tblPrEx>
          <w:tblCellMar>
            <w:left w:w="70" w:type="dxa"/>
            <w:right w:w="70" w:type="dxa"/>
          </w:tblCellMar>
        </w:tblPrEx>
        <w:tc>
          <w:tcPr>
            <w:tcW w:w="4550" w:type="dxa"/>
            <w:tcBorders>
              <w:top w:val="single" w:sz="4" w:space="0" w:color="auto"/>
              <w:bottom w:val="single" w:sz="4" w:space="0" w:color="auto"/>
            </w:tcBorders>
          </w:tcPr>
          <w:p w14:paraId="792E6227" w14:textId="77777777" w:rsidR="00D94493" w:rsidRPr="00D94493" w:rsidRDefault="00D94493" w:rsidP="00D94493">
            <w:pPr>
              <w:jc w:val="both"/>
              <w:rPr>
                <w:rFonts w:ascii="Times New Roman" w:hAnsi="Times New Roman"/>
              </w:rPr>
            </w:pPr>
            <w:r w:rsidRPr="00D94493">
              <w:rPr>
                <w:rFonts w:ascii="Times New Roman" w:hAnsi="Times New Roman"/>
                <w:noProof/>
                <w:lang w:eastAsia="sk-SK"/>
              </w:rPr>
              <w:drawing>
                <wp:inline distT="0" distB="0" distL="0" distR="0" wp14:anchorId="53C8D777" wp14:editId="5AFEE5B7">
                  <wp:extent cx="2688879" cy="1636178"/>
                  <wp:effectExtent l="0" t="0" r="0" b="254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6281" cy="1652852"/>
                          </a:xfrm>
                          <a:prstGeom prst="rect">
                            <a:avLst/>
                          </a:prstGeom>
                          <a:noFill/>
                        </pic:spPr>
                      </pic:pic>
                    </a:graphicData>
                  </a:graphic>
                </wp:inline>
              </w:drawing>
            </w:r>
          </w:p>
        </w:tc>
        <w:tc>
          <w:tcPr>
            <w:tcW w:w="4522" w:type="dxa"/>
            <w:tcBorders>
              <w:top w:val="single" w:sz="4" w:space="0" w:color="auto"/>
              <w:bottom w:val="single" w:sz="4" w:space="0" w:color="auto"/>
            </w:tcBorders>
          </w:tcPr>
          <w:p w14:paraId="03787C44" w14:textId="77777777" w:rsidR="00D94493" w:rsidRPr="00D94493" w:rsidRDefault="00D94493" w:rsidP="00D94493">
            <w:pPr>
              <w:jc w:val="both"/>
              <w:rPr>
                <w:rFonts w:ascii="Times New Roman" w:hAnsi="Times New Roman"/>
              </w:rPr>
            </w:pPr>
            <w:r w:rsidRPr="00D94493">
              <w:rPr>
                <w:rFonts w:ascii="Times New Roman" w:hAnsi="Times New Roman"/>
                <w:noProof/>
                <w:lang w:eastAsia="sk-SK"/>
              </w:rPr>
              <w:drawing>
                <wp:inline distT="0" distB="0" distL="0" distR="0" wp14:anchorId="7FBF967C" wp14:editId="73FD20A9">
                  <wp:extent cx="2744393" cy="1667674"/>
                  <wp:effectExtent l="0" t="0" r="0" b="889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7365" cy="1675556"/>
                          </a:xfrm>
                          <a:prstGeom prst="rect">
                            <a:avLst/>
                          </a:prstGeom>
                          <a:noFill/>
                        </pic:spPr>
                      </pic:pic>
                    </a:graphicData>
                  </a:graphic>
                </wp:inline>
              </w:drawing>
            </w:r>
          </w:p>
        </w:tc>
      </w:tr>
    </w:tbl>
    <w:p w14:paraId="0808F5E8" w14:textId="77777777" w:rsidR="00D94493" w:rsidRPr="00D94493" w:rsidRDefault="00D94493" w:rsidP="00D94493">
      <w:pPr>
        <w:spacing w:after="0" w:line="240" w:lineRule="auto"/>
        <w:jc w:val="both"/>
        <w:rPr>
          <w:rFonts w:ascii="Times New Roman" w:eastAsia="Calibri" w:hAnsi="Times New Roman" w:cs="Times New Roman"/>
          <w:i/>
          <w:sz w:val="16"/>
        </w:rPr>
      </w:pPr>
      <w:r w:rsidRPr="00D94493">
        <w:rPr>
          <w:rFonts w:ascii="Times New Roman" w:eastAsia="Calibri" w:hAnsi="Times New Roman" w:cs="Times New Roman"/>
        </w:rPr>
        <w:tab/>
      </w:r>
      <w:r w:rsidRPr="00D94493">
        <w:rPr>
          <w:rFonts w:ascii="Times New Roman" w:eastAsia="Calibri" w:hAnsi="Times New Roman" w:cs="Times New Roman"/>
        </w:rPr>
        <w:tab/>
      </w:r>
      <w:r w:rsidRPr="00D94493">
        <w:rPr>
          <w:rFonts w:ascii="Times New Roman" w:eastAsia="Calibri" w:hAnsi="Times New Roman" w:cs="Times New Roman"/>
        </w:rPr>
        <w:tab/>
      </w:r>
      <w:r w:rsidRPr="00D94493">
        <w:rPr>
          <w:rFonts w:ascii="Times New Roman" w:eastAsia="Calibri" w:hAnsi="Times New Roman" w:cs="Times New Roman"/>
        </w:rPr>
        <w:tab/>
      </w:r>
      <w:r w:rsidRPr="00D94493">
        <w:rPr>
          <w:rFonts w:ascii="Times New Roman" w:eastAsia="Calibri" w:hAnsi="Times New Roman" w:cs="Times New Roman"/>
        </w:rPr>
        <w:tab/>
      </w:r>
      <w:r w:rsidRPr="00D94493">
        <w:rPr>
          <w:rFonts w:ascii="Times New Roman" w:eastAsia="Calibri" w:hAnsi="Times New Roman" w:cs="Times New Roman"/>
        </w:rPr>
        <w:tab/>
      </w:r>
      <w:r w:rsidRPr="00D94493">
        <w:rPr>
          <w:rFonts w:ascii="Times New Roman" w:eastAsia="Calibri" w:hAnsi="Times New Roman" w:cs="Times New Roman"/>
        </w:rPr>
        <w:tab/>
      </w:r>
      <w:r w:rsidRPr="00D94493">
        <w:rPr>
          <w:rFonts w:ascii="Times New Roman" w:eastAsia="Calibri" w:hAnsi="Times New Roman" w:cs="Times New Roman"/>
        </w:rPr>
        <w:tab/>
      </w:r>
      <w:r w:rsidRPr="00D94493">
        <w:rPr>
          <w:rFonts w:ascii="Times New Roman" w:eastAsia="Calibri" w:hAnsi="Times New Roman" w:cs="Times New Roman"/>
        </w:rPr>
        <w:tab/>
      </w:r>
      <w:r w:rsidRPr="00D94493">
        <w:rPr>
          <w:rFonts w:ascii="Times New Roman" w:eastAsia="Calibri" w:hAnsi="Times New Roman" w:cs="Times New Roman"/>
        </w:rPr>
        <w:tab/>
      </w:r>
      <w:r w:rsidRPr="00D94493">
        <w:rPr>
          <w:rFonts w:ascii="Times New Roman" w:eastAsia="Calibri" w:hAnsi="Times New Roman" w:cs="Times New Roman"/>
        </w:rPr>
        <w:tab/>
        <w:t xml:space="preserve">      </w:t>
      </w:r>
      <w:r w:rsidRPr="00D94493">
        <w:rPr>
          <w:rFonts w:ascii="Times New Roman" w:eastAsia="Calibri" w:hAnsi="Times New Roman" w:cs="Times New Roman"/>
          <w:i/>
          <w:sz w:val="16"/>
        </w:rPr>
        <w:t>Zdroj: MF SR</w:t>
      </w:r>
    </w:p>
    <w:p w14:paraId="5ACE741C" w14:textId="77777777" w:rsidR="00D94493" w:rsidRPr="00D94493" w:rsidRDefault="00D94493" w:rsidP="00D94493">
      <w:pPr>
        <w:spacing w:after="0" w:line="240" w:lineRule="auto"/>
        <w:jc w:val="both"/>
        <w:rPr>
          <w:rFonts w:ascii="Times New Roman" w:eastAsia="Calibri" w:hAnsi="Times New Roman" w:cs="Times New Roman"/>
          <w:sz w:val="24"/>
        </w:rPr>
      </w:pPr>
    </w:p>
    <w:p w14:paraId="3D49442B" w14:textId="0F31B429" w:rsidR="00D94493" w:rsidRPr="00D94493" w:rsidRDefault="00D94493" w:rsidP="00D94493">
      <w:pPr>
        <w:spacing w:after="0" w:line="240" w:lineRule="auto"/>
        <w:jc w:val="both"/>
        <w:rPr>
          <w:rFonts w:ascii="Times New Roman" w:eastAsia="Calibri" w:hAnsi="Times New Roman" w:cs="Times New Roman"/>
          <w:color w:val="FF0000"/>
          <w:sz w:val="24"/>
        </w:rPr>
      </w:pPr>
      <w:r w:rsidRPr="00D94493">
        <w:rPr>
          <w:rFonts w:ascii="Times New Roman" w:eastAsia="Calibri" w:hAnsi="Times New Roman" w:cs="Times New Roman"/>
          <w:sz w:val="24"/>
        </w:rPr>
        <w:t xml:space="preserve">Výnos daňových a odvodových príjmov verejnej správy na rok 2024 sa rozpočtuje vo výške 41 811 mil. eur. Celkové daňovo-odvodové príjmy verejnej správy je možné rozčleniť podľa </w:t>
      </w:r>
      <w:r w:rsidRPr="00D94493">
        <w:rPr>
          <w:rFonts w:ascii="Times New Roman" w:eastAsia="Calibri" w:hAnsi="Times New Roman" w:cs="Times New Roman"/>
          <w:sz w:val="24"/>
        </w:rPr>
        <w:lastRenderedPageBreak/>
        <w:t>toho,</w:t>
      </w:r>
      <w:r w:rsidR="00296CA4">
        <w:rPr>
          <w:rFonts w:ascii="Times New Roman" w:eastAsia="Calibri" w:hAnsi="Times New Roman" w:cs="Times New Roman"/>
          <w:sz w:val="24"/>
        </w:rPr>
        <w:t xml:space="preserve"> komu prislúchajú príjmy (Graf 6</w:t>
      </w:r>
      <w:r w:rsidRPr="00D94493">
        <w:rPr>
          <w:rFonts w:ascii="Times New Roman" w:eastAsia="Calibri" w:hAnsi="Times New Roman" w:cs="Times New Roman"/>
          <w:sz w:val="24"/>
        </w:rPr>
        <w:t xml:space="preserve">). Najväčšiu časť tvoria príjmy štátneho rozpočtu, nasledované príjmami Sociálnej poisťovne. </w:t>
      </w:r>
    </w:p>
    <w:p w14:paraId="3EC8F1F9" w14:textId="77777777" w:rsidR="00D94493" w:rsidRPr="00D94493" w:rsidRDefault="00D94493" w:rsidP="00D94493">
      <w:pPr>
        <w:spacing w:after="0" w:line="240" w:lineRule="auto"/>
        <w:jc w:val="both"/>
        <w:rPr>
          <w:rFonts w:ascii="Times New Roman" w:eastAsia="Calibri" w:hAnsi="Times New Roman" w:cs="Times New Roman"/>
          <w:color w:val="FF0000"/>
          <w:sz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94493" w:rsidRPr="00D94493" w14:paraId="63C6CA33" w14:textId="77777777" w:rsidTr="00D94493">
        <w:tc>
          <w:tcPr>
            <w:tcW w:w="9062" w:type="dxa"/>
            <w:tcBorders>
              <w:bottom w:val="single" w:sz="4" w:space="0" w:color="auto"/>
            </w:tcBorders>
          </w:tcPr>
          <w:p w14:paraId="3DF7BAD1" w14:textId="35B1845E" w:rsidR="00D94493" w:rsidRPr="00D94493" w:rsidRDefault="00D94493" w:rsidP="00D94493">
            <w:pPr>
              <w:jc w:val="both"/>
              <w:rPr>
                <w:rFonts w:ascii="Times New Roman" w:hAnsi="Times New Roman"/>
                <w:color w:val="FF0000"/>
                <w:sz w:val="24"/>
              </w:rPr>
            </w:pPr>
            <w:bookmarkStart w:id="84" w:name="_Toc153014653"/>
            <w:r w:rsidRPr="00D94493">
              <w:rPr>
                <w:rFonts w:ascii="Times New Roman" w:eastAsia="Calibri" w:hAnsi="Times New Roman"/>
                <w:b/>
                <w:color w:val="5B9BD5"/>
                <w:sz w:val="20"/>
                <w:szCs w:val="18"/>
              </w:rPr>
              <w:t xml:space="preserve">Graf </w:t>
            </w:r>
            <w:r w:rsidRPr="00D94493">
              <w:rPr>
                <w:rFonts w:ascii="Times New Roman" w:eastAsia="Calibri" w:hAnsi="Times New Roman"/>
                <w:b/>
                <w:iCs/>
                <w:color w:val="5B9BD5"/>
                <w:sz w:val="20"/>
                <w:szCs w:val="18"/>
              </w:rPr>
              <w:fldChar w:fldCharType="begin"/>
            </w:r>
            <w:r w:rsidRPr="00D94493">
              <w:rPr>
                <w:rFonts w:ascii="Times New Roman" w:eastAsia="Calibri" w:hAnsi="Times New Roman"/>
                <w:b/>
                <w:iCs/>
                <w:color w:val="5B9BD5"/>
                <w:sz w:val="20"/>
                <w:szCs w:val="18"/>
              </w:rPr>
              <w:instrText xml:space="preserve"> SEQ Obrázok \* ARABIC </w:instrText>
            </w:r>
            <w:r w:rsidRPr="00D94493">
              <w:rPr>
                <w:rFonts w:ascii="Times New Roman" w:eastAsia="Calibri" w:hAnsi="Times New Roman"/>
                <w:b/>
                <w:iCs/>
                <w:color w:val="5B9BD5"/>
                <w:sz w:val="20"/>
                <w:szCs w:val="18"/>
              </w:rPr>
              <w:fldChar w:fldCharType="separate"/>
            </w:r>
            <w:r w:rsidR="003D5A3A">
              <w:rPr>
                <w:rFonts w:ascii="Times New Roman" w:eastAsia="Calibri" w:hAnsi="Times New Roman"/>
                <w:b/>
                <w:iCs/>
                <w:noProof/>
                <w:color w:val="5B9BD5"/>
                <w:sz w:val="20"/>
                <w:szCs w:val="18"/>
              </w:rPr>
              <w:t>6</w:t>
            </w:r>
            <w:r w:rsidRPr="00D94493">
              <w:rPr>
                <w:rFonts w:ascii="Times New Roman" w:eastAsia="Calibri" w:hAnsi="Times New Roman"/>
                <w:b/>
                <w:iCs/>
                <w:color w:val="5B9BD5"/>
                <w:sz w:val="20"/>
                <w:szCs w:val="18"/>
              </w:rPr>
              <w:fldChar w:fldCharType="end"/>
            </w:r>
            <w:r w:rsidRPr="00D94493">
              <w:rPr>
                <w:rFonts w:ascii="Times New Roman" w:eastAsia="Calibri" w:hAnsi="Times New Roman"/>
                <w:b/>
                <w:color w:val="5B9BD5"/>
                <w:sz w:val="20"/>
                <w:szCs w:val="18"/>
              </w:rPr>
              <w:t xml:space="preserve"> - Prognóza daňových</w:t>
            </w:r>
            <w:r w:rsidRPr="00D94493">
              <w:rPr>
                <w:rFonts w:ascii="Times New Roman" w:eastAsia="Calibri" w:hAnsi="Times New Roman"/>
                <w:b/>
                <w:iCs/>
                <w:color w:val="5B9BD5"/>
                <w:sz w:val="20"/>
                <w:szCs w:val="18"/>
              </w:rPr>
              <w:t xml:space="preserve"> príjmov verejnej správy na rok 2024 podľa sektorov (ESA 2010, v mil. eur)</w:t>
            </w:r>
            <w:bookmarkEnd w:id="84"/>
          </w:p>
        </w:tc>
      </w:tr>
      <w:tr w:rsidR="00D94493" w:rsidRPr="00D94493" w14:paraId="51DDE99D" w14:textId="77777777" w:rsidTr="00D94493">
        <w:tc>
          <w:tcPr>
            <w:tcW w:w="9062" w:type="dxa"/>
            <w:tcBorders>
              <w:top w:val="single" w:sz="4" w:space="0" w:color="auto"/>
              <w:bottom w:val="single" w:sz="4" w:space="0" w:color="auto"/>
            </w:tcBorders>
          </w:tcPr>
          <w:p w14:paraId="5C480468" w14:textId="77777777" w:rsidR="00D94493" w:rsidRPr="00D94493" w:rsidRDefault="00D94493" w:rsidP="00D94493">
            <w:pPr>
              <w:jc w:val="center"/>
              <w:rPr>
                <w:rFonts w:ascii="Times New Roman" w:hAnsi="Times New Roman"/>
                <w:color w:val="FF0000"/>
                <w:sz w:val="24"/>
              </w:rPr>
            </w:pPr>
            <w:r w:rsidRPr="00D94493">
              <w:rPr>
                <w:rFonts w:ascii="Times New Roman" w:hAnsi="Times New Roman"/>
                <w:noProof/>
                <w:color w:val="FF0000"/>
                <w:sz w:val="24"/>
                <w:lang w:eastAsia="sk-SK"/>
              </w:rPr>
              <w:drawing>
                <wp:inline distT="0" distB="0" distL="0" distR="0" wp14:anchorId="50DAD8EC" wp14:editId="76C0B45E">
                  <wp:extent cx="3529008" cy="2036432"/>
                  <wp:effectExtent l="0" t="0" r="0" b="254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42434" cy="2044179"/>
                          </a:xfrm>
                          <a:prstGeom prst="rect">
                            <a:avLst/>
                          </a:prstGeom>
                          <a:noFill/>
                        </pic:spPr>
                      </pic:pic>
                    </a:graphicData>
                  </a:graphic>
                </wp:inline>
              </w:drawing>
            </w:r>
          </w:p>
        </w:tc>
      </w:tr>
      <w:tr w:rsidR="00D94493" w:rsidRPr="00D94493" w14:paraId="52BABEF7" w14:textId="77777777" w:rsidTr="00D94493">
        <w:tc>
          <w:tcPr>
            <w:tcW w:w="9062" w:type="dxa"/>
            <w:tcBorders>
              <w:top w:val="single" w:sz="4" w:space="0" w:color="auto"/>
            </w:tcBorders>
          </w:tcPr>
          <w:p w14:paraId="49581216" w14:textId="77777777" w:rsidR="00D94493" w:rsidRPr="00D94493" w:rsidRDefault="00D94493" w:rsidP="00D94493">
            <w:pPr>
              <w:jc w:val="both"/>
              <w:rPr>
                <w:rFonts w:ascii="Times New Roman" w:hAnsi="Times New Roman"/>
                <w:color w:val="FF0000"/>
                <w:sz w:val="24"/>
              </w:rPr>
            </w:pPr>
          </w:p>
        </w:tc>
      </w:tr>
    </w:tbl>
    <w:p w14:paraId="613CF5ED" w14:textId="77777777" w:rsidR="00D94493" w:rsidRPr="00D94493" w:rsidRDefault="00D94493" w:rsidP="00D94493">
      <w:pPr>
        <w:spacing w:after="0"/>
        <w:jc w:val="both"/>
        <w:rPr>
          <w:rFonts w:ascii="Times New Roman" w:eastAsia="Calibri" w:hAnsi="Times New Roman" w:cs="Times New Roman"/>
          <w:b/>
          <w:color w:val="2C9ADC"/>
          <w:sz w:val="24"/>
        </w:rPr>
      </w:pPr>
    </w:p>
    <w:p w14:paraId="7AB36A06" w14:textId="77777777" w:rsidR="00D94493" w:rsidRPr="00D94493" w:rsidRDefault="00D94493" w:rsidP="00D94493">
      <w:pPr>
        <w:spacing w:after="0" w:line="240" w:lineRule="auto"/>
        <w:jc w:val="both"/>
        <w:rPr>
          <w:rFonts w:ascii="Times New Roman" w:eastAsia="Calibri" w:hAnsi="Times New Roman" w:cs="Times New Roman"/>
          <w:b/>
          <w:color w:val="5B9BD5"/>
          <w:sz w:val="24"/>
        </w:rPr>
      </w:pPr>
      <w:r w:rsidRPr="00D94493">
        <w:rPr>
          <w:rFonts w:ascii="Times New Roman" w:eastAsia="Calibri" w:hAnsi="Times New Roman" w:cs="Times New Roman"/>
          <w:b/>
          <w:color w:val="5B9BD5"/>
          <w:sz w:val="24"/>
        </w:rPr>
        <w:t>Porovnanie aktuálnej prognózy daňových a odvodových príjmov verejnej správy so schváleným rozpočtom verejnej správy na roky 2023 až 2025</w:t>
      </w:r>
    </w:p>
    <w:p w14:paraId="4FF75BB8" w14:textId="77777777" w:rsidR="00D94493" w:rsidRPr="00D94493" w:rsidRDefault="00D94493" w:rsidP="00D94493">
      <w:pPr>
        <w:spacing w:after="0" w:line="240" w:lineRule="auto"/>
        <w:jc w:val="both"/>
        <w:rPr>
          <w:rFonts w:ascii="Times New Roman" w:eastAsia="Calibri" w:hAnsi="Times New Roman" w:cs="Times New Roman"/>
          <w:color w:val="5B9BD5"/>
          <w:sz w:val="24"/>
        </w:rPr>
      </w:pPr>
    </w:p>
    <w:p w14:paraId="5F867F47" w14:textId="77777777" w:rsidR="00D94493" w:rsidRPr="00D94493" w:rsidRDefault="00D94493" w:rsidP="00D94493">
      <w:pPr>
        <w:spacing w:after="0"/>
        <w:jc w:val="both"/>
        <w:rPr>
          <w:rFonts w:ascii="Times New Roman" w:eastAsia="Calibri" w:hAnsi="Times New Roman" w:cs="Times New Roman"/>
          <w:sz w:val="24"/>
        </w:rPr>
      </w:pPr>
      <w:r w:rsidRPr="00D94493">
        <w:rPr>
          <w:rFonts w:ascii="Times New Roman" w:eastAsia="Calibri" w:hAnsi="Times New Roman" w:cs="Times New Roman"/>
          <w:sz w:val="24"/>
        </w:rPr>
        <w:t xml:space="preserve">Nižšie uvedená tabuľka prezentuje rozdiely aktuálnej prognózy daní a odvodov v metodike ESA 2010 oproti rozpočtu verejnej správy na roky 2023 až 2025.  </w:t>
      </w:r>
    </w:p>
    <w:p w14:paraId="45CDB40A" w14:textId="77777777" w:rsidR="00D94493" w:rsidRPr="00D94493" w:rsidRDefault="00D94493" w:rsidP="00D94493">
      <w:pPr>
        <w:spacing w:after="0"/>
        <w:jc w:val="both"/>
        <w:rPr>
          <w:rFonts w:ascii="Times New Roman" w:hAnsi="Times New Roman" w:cs="Times New Roman"/>
          <w:sz w:val="24"/>
        </w:rPr>
      </w:pPr>
    </w:p>
    <w:p w14:paraId="7F80B706" w14:textId="77777777" w:rsidR="00D94493" w:rsidRPr="00D94493" w:rsidRDefault="00D94493" w:rsidP="00D94493">
      <w:pPr>
        <w:spacing w:after="0"/>
        <w:jc w:val="both"/>
        <w:rPr>
          <w:rFonts w:ascii="Times New Roman" w:hAnsi="Times New Roman" w:cs="Times New Roman"/>
          <w:sz w:val="24"/>
        </w:rPr>
      </w:pPr>
    </w:p>
    <w:p w14:paraId="07FA67C1" w14:textId="77777777" w:rsidR="00D94493" w:rsidRPr="00D94493" w:rsidRDefault="00D94493" w:rsidP="00D94493">
      <w:pPr>
        <w:spacing w:after="0"/>
        <w:jc w:val="both"/>
        <w:rPr>
          <w:rFonts w:ascii="Times New Roman" w:hAnsi="Times New Roman" w:cs="Times New Roman"/>
          <w:sz w:val="24"/>
        </w:rPr>
      </w:pPr>
    </w:p>
    <w:p w14:paraId="2C6B1348" w14:textId="77777777" w:rsidR="00D94493" w:rsidRPr="00D94493" w:rsidRDefault="00D94493" w:rsidP="00D94493">
      <w:pPr>
        <w:spacing w:after="0"/>
        <w:jc w:val="both"/>
        <w:rPr>
          <w:rFonts w:ascii="Times New Roman" w:hAnsi="Times New Roman" w:cs="Times New Roman"/>
          <w:sz w:val="24"/>
        </w:rPr>
      </w:pPr>
    </w:p>
    <w:p w14:paraId="22CF8587" w14:textId="77777777" w:rsidR="00D94493" w:rsidRPr="00D94493" w:rsidRDefault="00D94493" w:rsidP="00D94493">
      <w:pPr>
        <w:spacing w:after="0"/>
        <w:jc w:val="both"/>
        <w:rPr>
          <w:rFonts w:ascii="Times New Roman" w:hAnsi="Times New Roman" w:cs="Times New Roman"/>
          <w:sz w:val="24"/>
        </w:rPr>
      </w:pPr>
    </w:p>
    <w:p w14:paraId="0E4253C1" w14:textId="77777777" w:rsidR="00D94493" w:rsidRPr="00D94493" w:rsidRDefault="00D94493" w:rsidP="00D94493">
      <w:pPr>
        <w:spacing w:after="0"/>
        <w:jc w:val="both"/>
        <w:rPr>
          <w:rFonts w:ascii="Times New Roman" w:hAnsi="Times New Roman" w:cs="Times New Roman"/>
          <w:sz w:val="24"/>
        </w:rPr>
      </w:pPr>
    </w:p>
    <w:p w14:paraId="2193C013" w14:textId="77777777" w:rsidR="00D94493" w:rsidRPr="00D94493" w:rsidRDefault="00D94493" w:rsidP="00D94493">
      <w:pPr>
        <w:spacing w:after="0"/>
        <w:jc w:val="both"/>
        <w:rPr>
          <w:rFonts w:ascii="Times New Roman" w:hAnsi="Times New Roman" w:cs="Times New Roman"/>
          <w:sz w:val="24"/>
        </w:rPr>
      </w:pPr>
    </w:p>
    <w:p w14:paraId="3C3C4BC7" w14:textId="77777777" w:rsidR="00D94493" w:rsidRPr="00D94493" w:rsidRDefault="00D94493" w:rsidP="00D94493">
      <w:pPr>
        <w:spacing w:after="0"/>
        <w:jc w:val="both"/>
        <w:rPr>
          <w:rFonts w:ascii="Times New Roman" w:hAnsi="Times New Roman" w:cs="Times New Roman"/>
          <w:sz w:val="24"/>
        </w:rPr>
      </w:pPr>
    </w:p>
    <w:p w14:paraId="7033F7F1" w14:textId="77777777" w:rsidR="00D94493" w:rsidRPr="00D94493" w:rsidRDefault="00D94493" w:rsidP="00D94493">
      <w:pPr>
        <w:spacing w:after="0"/>
        <w:jc w:val="both"/>
        <w:rPr>
          <w:rFonts w:ascii="Times New Roman" w:hAnsi="Times New Roman" w:cs="Times New Roman"/>
          <w:sz w:val="24"/>
        </w:rPr>
      </w:pPr>
    </w:p>
    <w:p w14:paraId="14BBD2E9" w14:textId="77777777" w:rsidR="00D94493" w:rsidRPr="00D94493" w:rsidRDefault="00D94493" w:rsidP="00D94493">
      <w:pPr>
        <w:spacing w:after="0"/>
        <w:jc w:val="both"/>
        <w:rPr>
          <w:rFonts w:ascii="Times New Roman" w:hAnsi="Times New Roman" w:cs="Times New Roman"/>
          <w:sz w:val="24"/>
        </w:rPr>
      </w:pPr>
    </w:p>
    <w:p w14:paraId="0496FFF4" w14:textId="77777777" w:rsidR="00D94493" w:rsidRPr="00D94493" w:rsidRDefault="00D94493" w:rsidP="00D94493">
      <w:pPr>
        <w:spacing w:after="0"/>
        <w:jc w:val="both"/>
        <w:rPr>
          <w:rFonts w:ascii="Times New Roman" w:hAnsi="Times New Roman" w:cs="Times New Roman"/>
          <w:sz w:val="24"/>
        </w:rPr>
      </w:pPr>
    </w:p>
    <w:p w14:paraId="2FE5D5CF" w14:textId="77777777" w:rsidR="00D94493" w:rsidRPr="00D94493" w:rsidRDefault="00D94493" w:rsidP="00D94493">
      <w:pPr>
        <w:spacing w:after="0"/>
        <w:jc w:val="both"/>
        <w:rPr>
          <w:rFonts w:ascii="Times New Roman" w:hAnsi="Times New Roman" w:cs="Times New Roman"/>
          <w:sz w:val="24"/>
        </w:rPr>
      </w:pPr>
    </w:p>
    <w:p w14:paraId="1F483972" w14:textId="77777777" w:rsidR="00D94493" w:rsidRPr="00D94493" w:rsidRDefault="00D94493" w:rsidP="00D94493">
      <w:pPr>
        <w:spacing w:after="0"/>
        <w:jc w:val="both"/>
        <w:rPr>
          <w:rFonts w:ascii="Times New Roman" w:hAnsi="Times New Roman" w:cs="Times New Roman"/>
          <w:sz w:val="24"/>
        </w:rPr>
      </w:pPr>
    </w:p>
    <w:p w14:paraId="30D09CB0" w14:textId="77777777" w:rsidR="00D94493" w:rsidRPr="00D94493" w:rsidRDefault="00D94493" w:rsidP="00D94493">
      <w:pPr>
        <w:spacing w:after="0"/>
        <w:jc w:val="both"/>
        <w:rPr>
          <w:rFonts w:ascii="Times New Roman" w:hAnsi="Times New Roman" w:cs="Times New Roman"/>
          <w:sz w:val="24"/>
        </w:rPr>
      </w:pPr>
    </w:p>
    <w:p w14:paraId="4E17D059" w14:textId="77777777" w:rsidR="00D94493" w:rsidRPr="00D94493" w:rsidRDefault="00D94493" w:rsidP="00D94493">
      <w:pPr>
        <w:spacing w:after="0"/>
        <w:jc w:val="both"/>
        <w:rPr>
          <w:rFonts w:ascii="Times New Roman" w:hAnsi="Times New Roman" w:cs="Times New Roman"/>
          <w:sz w:val="24"/>
        </w:rPr>
      </w:pPr>
    </w:p>
    <w:p w14:paraId="02A0B9F5" w14:textId="77777777" w:rsidR="00D94493" w:rsidRPr="00D94493" w:rsidRDefault="00D94493" w:rsidP="00D94493">
      <w:pPr>
        <w:spacing w:after="0"/>
        <w:jc w:val="both"/>
        <w:rPr>
          <w:rFonts w:ascii="Times New Roman" w:hAnsi="Times New Roman" w:cs="Times New Roman"/>
          <w:sz w:val="24"/>
        </w:rPr>
      </w:pPr>
    </w:p>
    <w:p w14:paraId="6B0A9463" w14:textId="77777777" w:rsidR="00D94493" w:rsidRPr="00D94493" w:rsidRDefault="00D94493" w:rsidP="00D94493">
      <w:pPr>
        <w:spacing w:after="0"/>
        <w:jc w:val="both"/>
        <w:rPr>
          <w:rFonts w:ascii="Times New Roman" w:hAnsi="Times New Roman" w:cs="Times New Roman"/>
          <w:sz w:val="24"/>
        </w:rPr>
      </w:pPr>
    </w:p>
    <w:p w14:paraId="0FEB9680" w14:textId="77777777" w:rsidR="00D94493" w:rsidRPr="00D94493" w:rsidRDefault="00D94493" w:rsidP="00D94493">
      <w:pPr>
        <w:spacing w:after="0"/>
        <w:jc w:val="both"/>
        <w:rPr>
          <w:rFonts w:ascii="Times New Roman" w:hAnsi="Times New Roman" w:cs="Times New Roman"/>
          <w:sz w:val="24"/>
        </w:rPr>
      </w:pPr>
    </w:p>
    <w:p w14:paraId="5BF972B5" w14:textId="77777777" w:rsidR="00D94493" w:rsidRPr="00D94493" w:rsidRDefault="00D94493" w:rsidP="00D94493">
      <w:pPr>
        <w:spacing w:after="0"/>
        <w:jc w:val="both"/>
        <w:rPr>
          <w:rFonts w:ascii="Times New Roman" w:hAnsi="Times New Roman" w:cs="Times New Roman"/>
          <w:sz w:val="24"/>
        </w:rPr>
      </w:pPr>
    </w:p>
    <w:p w14:paraId="0BB26B2A" w14:textId="77777777" w:rsidR="00D94493" w:rsidRPr="00D94493" w:rsidRDefault="00D94493" w:rsidP="00D94493">
      <w:pPr>
        <w:spacing w:after="0"/>
        <w:jc w:val="both"/>
        <w:rPr>
          <w:rFonts w:ascii="Times New Roman" w:hAnsi="Times New Roman" w:cs="Times New Roman"/>
          <w:sz w:val="24"/>
        </w:rPr>
      </w:pPr>
    </w:p>
    <w:p w14:paraId="56C5E2D4" w14:textId="77777777" w:rsidR="00D94493" w:rsidRPr="00D94493" w:rsidRDefault="00D94493" w:rsidP="00D94493">
      <w:pPr>
        <w:spacing w:after="0"/>
        <w:jc w:val="both"/>
        <w:rPr>
          <w:rFonts w:ascii="Times New Roman" w:hAnsi="Times New Roman" w:cs="Times New Roman"/>
          <w:sz w:val="24"/>
        </w:rPr>
      </w:pPr>
    </w:p>
    <w:p w14:paraId="009BBE2E" w14:textId="77777777" w:rsidR="00D94493" w:rsidRPr="00D94493" w:rsidRDefault="00D94493" w:rsidP="00D94493">
      <w:pPr>
        <w:spacing w:after="0"/>
        <w:jc w:val="both"/>
        <w:rPr>
          <w:rFonts w:ascii="Times New Roman" w:hAnsi="Times New Roman" w:cs="Times New Roman"/>
          <w:sz w:val="24"/>
        </w:rPr>
      </w:pPr>
    </w:p>
    <w:p w14:paraId="71DB920C" w14:textId="77777777" w:rsidR="00D94493" w:rsidRPr="00D94493" w:rsidRDefault="00D94493" w:rsidP="00D94493">
      <w:pPr>
        <w:spacing w:after="0"/>
        <w:jc w:val="both"/>
        <w:rPr>
          <w:rFonts w:ascii="Times New Roman" w:hAnsi="Times New Roman" w:cs="Times New Roman"/>
          <w:sz w:val="24"/>
        </w:rPr>
      </w:pPr>
    </w:p>
    <w:p w14:paraId="0F7EBE11" w14:textId="77777777" w:rsidR="00D94493" w:rsidRPr="00D94493" w:rsidRDefault="00D94493" w:rsidP="00D94493">
      <w:pPr>
        <w:spacing w:after="0"/>
        <w:jc w:val="both"/>
        <w:rPr>
          <w:rFonts w:ascii="Times New Roman" w:hAnsi="Times New Roman" w:cs="Times New Roman"/>
          <w:sz w:val="24"/>
        </w:rPr>
      </w:pPr>
    </w:p>
    <w:tbl>
      <w:tblPr>
        <w:tblW w:w="5000" w:type="pct"/>
        <w:tblCellMar>
          <w:left w:w="70" w:type="dxa"/>
          <w:right w:w="70" w:type="dxa"/>
        </w:tblCellMar>
        <w:tblLook w:val="04A0" w:firstRow="1" w:lastRow="0" w:firstColumn="1" w:lastColumn="0" w:noHBand="0" w:noVBand="1"/>
      </w:tblPr>
      <w:tblGrid>
        <w:gridCol w:w="5595"/>
        <w:gridCol w:w="1157"/>
        <w:gridCol w:w="1160"/>
        <w:gridCol w:w="1160"/>
      </w:tblGrid>
      <w:tr w:rsidR="00D94493" w:rsidRPr="00D94493" w14:paraId="300CBDC6" w14:textId="77777777" w:rsidTr="00D94493">
        <w:trPr>
          <w:trHeight w:val="198"/>
        </w:trPr>
        <w:tc>
          <w:tcPr>
            <w:tcW w:w="9072" w:type="dxa"/>
            <w:gridSpan w:val="4"/>
            <w:tcBorders>
              <w:left w:val="nil"/>
              <w:bottom w:val="single" w:sz="4" w:space="0" w:color="auto"/>
              <w:right w:val="nil"/>
            </w:tcBorders>
            <w:shd w:val="clear" w:color="auto" w:fill="auto"/>
            <w:noWrap/>
            <w:vAlign w:val="bottom"/>
            <w:hideMark/>
          </w:tcPr>
          <w:p w14:paraId="0C4E39D1" w14:textId="543875F7" w:rsidR="00D94493" w:rsidRPr="00D94493" w:rsidRDefault="00D94493" w:rsidP="00D94493">
            <w:pPr>
              <w:keepNext/>
              <w:spacing w:after="0" w:line="240" w:lineRule="auto"/>
              <w:rPr>
                <w:rFonts w:ascii="Times New Roman" w:eastAsia="Calibri" w:hAnsi="Times New Roman" w:cs="Times New Roman"/>
                <w:b/>
                <w:iCs/>
                <w:color w:val="5B9BD5"/>
                <w:sz w:val="20"/>
                <w:szCs w:val="18"/>
              </w:rPr>
            </w:pPr>
            <w:bookmarkStart w:id="85" w:name="_Toc53086349"/>
            <w:bookmarkStart w:id="86" w:name="_Toc153013017"/>
            <w:r w:rsidRPr="00D94493">
              <w:rPr>
                <w:rFonts w:ascii="Times New Roman" w:eastAsia="Calibri" w:hAnsi="Times New Roman" w:cs="Times New Roman"/>
                <w:b/>
                <w:iCs/>
                <w:color w:val="5B9BD5"/>
                <w:sz w:val="20"/>
                <w:szCs w:val="18"/>
              </w:rPr>
              <w:lastRenderedPageBreak/>
              <w:t xml:space="preserve">Tabuľka </w:t>
            </w:r>
            <w:r w:rsidRPr="00D94493">
              <w:rPr>
                <w:rFonts w:ascii="Times New Roman" w:eastAsia="Calibri" w:hAnsi="Times New Roman" w:cs="Times New Roman"/>
                <w:b/>
                <w:iCs/>
                <w:color w:val="5B9BD5"/>
                <w:sz w:val="20"/>
                <w:szCs w:val="18"/>
              </w:rPr>
              <w:fldChar w:fldCharType="begin"/>
            </w:r>
            <w:r w:rsidRPr="00D94493">
              <w:rPr>
                <w:rFonts w:ascii="Times New Roman" w:eastAsia="Calibri" w:hAnsi="Times New Roman" w:cs="Times New Roman"/>
                <w:b/>
                <w:iCs/>
                <w:color w:val="5B9BD5"/>
                <w:sz w:val="20"/>
                <w:szCs w:val="18"/>
              </w:rPr>
              <w:instrText xml:space="preserve"> SEQ Tabuľka \* ARABIC </w:instrText>
            </w:r>
            <w:r w:rsidRPr="00D94493">
              <w:rPr>
                <w:rFonts w:ascii="Times New Roman" w:eastAsia="Calibri" w:hAnsi="Times New Roman" w:cs="Times New Roman"/>
                <w:b/>
                <w:iCs/>
                <w:color w:val="5B9BD5"/>
                <w:sz w:val="20"/>
                <w:szCs w:val="18"/>
              </w:rPr>
              <w:fldChar w:fldCharType="separate"/>
            </w:r>
            <w:r w:rsidR="003D5A3A">
              <w:rPr>
                <w:rFonts w:ascii="Times New Roman" w:eastAsia="Calibri" w:hAnsi="Times New Roman" w:cs="Times New Roman"/>
                <w:b/>
                <w:iCs/>
                <w:noProof/>
                <w:color w:val="5B9BD5"/>
                <w:sz w:val="20"/>
                <w:szCs w:val="18"/>
              </w:rPr>
              <w:t>19</w:t>
            </w:r>
            <w:r w:rsidRPr="00D94493">
              <w:rPr>
                <w:rFonts w:ascii="Times New Roman" w:eastAsia="Calibri" w:hAnsi="Times New Roman" w:cs="Times New Roman"/>
                <w:b/>
                <w:iCs/>
                <w:color w:val="5B9BD5"/>
                <w:sz w:val="20"/>
                <w:szCs w:val="18"/>
              </w:rPr>
              <w:fldChar w:fldCharType="end"/>
            </w:r>
            <w:r w:rsidRPr="00D94493">
              <w:rPr>
                <w:rFonts w:ascii="Times New Roman" w:eastAsia="Calibri" w:hAnsi="Times New Roman" w:cs="Times New Roman"/>
                <w:b/>
                <w:iCs/>
                <w:color w:val="5B9BD5"/>
                <w:sz w:val="20"/>
                <w:szCs w:val="18"/>
              </w:rPr>
              <w:t xml:space="preserve"> - Rozdiely aktuálneho odhadu</w:t>
            </w:r>
            <w:r w:rsidRPr="00D94493">
              <w:rPr>
                <w:rFonts w:ascii="Times New Roman" w:eastAsia="Calibri" w:hAnsi="Times New Roman" w:cs="Times New Roman"/>
                <w:b/>
                <w:iCs/>
                <w:color w:val="FF0000"/>
                <w:sz w:val="20"/>
                <w:szCs w:val="18"/>
              </w:rPr>
              <w:t xml:space="preserve"> </w:t>
            </w:r>
            <w:r w:rsidRPr="00D94493">
              <w:rPr>
                <w:rFonts w:ascii="Times New Roman" w:eastAsia="Calibri" w:hAnsi="Times New Roman" w:cs="Times New Roman"/>
                <w:b/>
                <w:iCs/>
                <w:color w:val="5B9BD5"/>
                <w:sz w:val="20"/>
                <w:szCs w:val="18"/>
              </w:rPr>
              <w:t>daní s rozpočtom verejnej správy na roky 2023 až 202</w:t>
            </w:r>
            <w:bookmarkEnd w:id="85"/>
            <w:r w:rsidRPr="00D94493">
              <w:rPr>
                <w:rFonts w:ascii="Times New Roman" w:eastAsia="Calibri" w:hAnsi="Times New Roman" w:cs="Times New Roman"/>
                <w:b/>
                <w:iCs/>
                <w:color w:val="5B9BD5"/>
                <w:sz w:val="20"/>
                <w:szCs w:val="18"/>
              </w:rPr>
              <w:t>5 (ESA 2010, v tis. eur)</w:t>
            </w:r>
            <w:bookmarkEnd w:id="86"/>
          </w:p>
        </w:tc>
      </w:tr>
      <w:tr w:rsidR="00D94493" w:rsidRPr="00D94493" w14:paraId="2193A0CE" w14:textId="77777777" w:rsidTr="00D94493">
        <w:trPr>
          <w:trHeight w:val="264"/>
        </w:trPr>
        <w:tc>
          <w:tcPr>
            <w:tcW w:w="5595" w:type="dxa"/>
            <w:tcBorders>
              <w:top w:val="single" w:sz="4" w:space="0" w:color="auto"/>
              <w:left w:val="nil"/>
              <w:bottom w:val="single" w:sz="4" w:space="0" w:color="auto"/>
              <w:right w:val="nil"/>
            </w:tcBorders>
            <w:shd w:val="clear" w:color="auto" w:fill="auto"/>
            <w:noWrap/>
            <w:vAlign w:val="bottom"/>
            <w:hideMark/>
          </w:tcPr>
          <w:p w14:paraId="73D92D44" w14:textId="77777777" w:rsidR="00D94493" w:rsidRPr="00D94493" w:rsidRDefault="00D94493" w:rsidP="00D94493">
            <w:pPr>
              <w:spacing w:line="240" w:lineRule="auto"/>
              <w:jc w:val="right"/>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 </w:t>
            </w:r>
          </w:p>
        </w:tc>
        <w:tc>
          <w:tcPr>
            <w:tcW w:w="1157" w:type="dxa"/>
            <w:tcBorders>
              <w:top w:val="single" w:sz="4" w:space="0" w:color="auto"/>
              <w:left w:val="nil"/>
              <w:bottom w:val="single" w:sz="4" w:space="0" w:color="auto"/>
              <w:right w:val="nil"/>
            </w:tcBorders>
            <w:shd w:val="clear" w:color="auto" w:fill="auto"/>
            <w:noWrap/>
            <w:vAlign w:val="bottom"/>
            <w:hideMark/>
          </w:tcPr>
          <w:p w14:paraId="6DAA8FD3" w14:textId="77777777" w:rsidR="00D94493" w:rsidRPr="00D94493" w:rsidRDefault="00D94493" w:rsidP="00D94493">
            <w:pPr>
              <w:spacing w:line="240" w:lineRule="auto"/>
              <w:jc w:val="right"/>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2023 OS</w:t>
            </w:r>
          </w:p>
        </w:tc>
        <w:tc>
          <w:tcPr>
            <w:tcW w:w="1160" w:type="dxa"/>
            <w:tcBorders>
              <w:top w:val="single" w:sz="4" w:space="0" w:color="auto"/>
              <w:left w:val="nil"/>
              <w:bottom w:val="single" w:sz="4" w:space="0" w:color="auto"/>
              <w:right w:val="nil"/>
            </w:tcBorders>
            <w:shd w:val="clear" w:color="auto" w:fill="auto"/>
            <w:noWrap/>
            <w:vAlign w:val="bottom"/>
            <w:hideMark/>
          </w:tcPr>
          <w:p w14:paraId="435C70E3" w14:textId="77777777" w:rsidR="00D94493" w:rsidRPr="00D94493" w:rsidRDefault="00D94493" w:rsidP="00D94493">
            <w:pPr>
              <w:spacing w:line="240" w:lineRule="auto"/>
              <w:jc w:val="right"/>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2024 N</w:t>
            </w:r>
          </w:p>
        </w:tc>
        <w:tc>
          <w:tcPr>
            <w:tcW w:w="1160" w:type="dxa"/>
            <w:tcBorders>
              <w:top w:val="single" w:sz="4" w:space="0" w:color="auto"/>
              <w:left w:val="nil"/>
              <w:bottom w:val="single" w:sz="4" w:space="0" w:color="auto"/>
              <w:right w:val="nil"/>
            </w:tcBorders>
            <w:shd w:val="clear" w:color="auto" w:fill="auto"/>
            <w:noWrap/>
            <w:vAlign w:val="bottom"/>
            <w:hideMark/>
          </w:tcPr>
          <w:p w14:paraId="4C638935" w14:textId="77777777" w:rsidR="00D94493" w:rsidRPr="00D94493" w:rsidRDefault="00D94493" w:rsidP="00D94493">
            <w:pPr>
              <w:spacing w:line="240" w:lineRule="auto"/>
              <w:jc w:val="right"/>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2025 N</w:t>
            </w:r>
          </w:p>
        </w:tc>
      </w:tr>
      <w:tr w:rsidR="00D94493" w:rsidRPr="00D94493" w14:paraId="6A2E435C" w14:textId="77777777" w:rsidTr="00D94493">
        <w:trPr>
          <w:trHeight w:val="198"/>
        </w:trPr>
        <w:tc>
          <w:tcPr>
            <w:tcW w:w="5595" w:type="dxa"/>
            <w:tcBorders>
              <w:top w:val="single" w:sz="4" w:space="0" w:color="auto"/>
              <w:left w:val="nil"/>
              <w:right w:val="nil"/>
            </w:tcBorders>
            <w:shd w:val="clear" w:color="auto" w:fill="auto"/>
            <w:noWrap/>
            <w:vAlign w:val="bottom"/>
            <w:hideMark/>
          </w:tcPr>
          <w:p w14:paraId="378CBD8D" w14:textId="77777777" w:rsidR="00D94493" w:rsidRPr="00D94493" w:rsidRDefault="00D94493" w:rsidP="00D94493">
            <w:pPr>
              <w:spacing w:line="240" w:lineRule="auto"/>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Daňové príjmy VS spolu</w:t>
            </w:r>
          </w:p>
        </w:tc>
        <w:tc>
          <w:tcPr>
            <w:tcW w:w="1157" w:type="dxa"/>
            <w:tcBorders>
              <w:top w:val="nil"/>
              <w:left w:val="nil"/>
              <w:bottom w:val="nil"/>
              <w:right w:val="nil"/>
            </w:tcBorders>
            <w:shd w:val="clear" w:color="auto" w:fill="auto"/>
            <w:noWrap/>
            <w:vAlign w:val="center"/>
            <w:hideMark/>
          </w:tcPr>
          <w:p w14:paraId="2D50A556" w14:textId="77777777" w:rsidR="00D94493" w:rsidRPr="00D94493" w:rsidRDefault="00D94493" w:rsidP="00D94493">
            <w:pPr>
              <w:spacing w:after="0" w:line="240" w:lineRule="auto"/>
              <w:jc w:val="right"/>
              <w:rPr>
                <w:rFonts w:ascii="Times New Roman" w:eastAsia="Calibri" w:hAnsi="Times New Roman" w:cs="Times New Roman"/>
                <w:b/>
                <w:bCs/>
                <w:sz w:val="16"/>
                <w:szCs w:val="16"/>
                <w:highlight w:val="yellow"/>
                <w:lang w:eastAsia="sk-SK"/>
              </w:rPr>
            </w:pPr>
            <w:r w:rsidRPr="00D94493">
              <w:rPr>
                <w:rFonts w:ascii="Times New Roman" w:eastAsia="Calibri" w:hAnsi="Times New Roman" w:cs="Times New Roman"/>
                <w:b/>
                <w:bCs/>
                <w:sz w:val="16"/>
                <w:szCs w:val="16"/>
              </w:rPr>
              <w:t>100 317</w:t>
            </w:r>
          </w:p>
        </w:tc>
        <w:tc>
          <w:tcPr>
            <w:tcW w:w="1160" w:type="dxa"/>
            <w:tcBorders>
              <w:top w:val="nil"/>
              <w:left w:val="nil"/>
              <w:bottom w:val="nil"/>
              <w:right w:val="nil"/>
            </w:tcBorders>
            <w:shd w:val="clear" w:color="auto" w:fill="auto"/>
            <w:noWrap/>
            <w:vAlign w:val="center"/>
            <w:hideMark/>
          </w:tcPr>
          <w:p w14:paraId="09E3A94A" w14:textId="77777777" w:rsidR="00D94493" w:rsidRPr="00D94493" w:rsidRDefault="00D94493" w:rsidP="00D94493">
            <w:pPr>
              <w:spacing w:after="0" w:line="240" w:lineRule="auto"/>
              <w:jc w:val="right"/>
              <w:rPr>
                <w:rFonts w:ascii="Times New Roman" w:eastAsia="Calibri" w:hAnsi="Times New Roman" w:cs="Times New Roman"/>
                <w:b/>
                <w:bCs/>
                <w:sz w:val="16"/>
                <w:szCs w:val="16"/>
                <w:highlight w:val="yellow"/>
                <w:lang w:eastAsia="sk-SK"/>
              </w:rPr>
            </w:pPr>
            <w:r w:rsidRPr="00D94493">
              <w:rPr>
                <w:rFonts w:ascii="Times New Roman" w:eastAsia="Calibri" w:hAnsi="Times New Roman" w:cs="Times New Roman"/>
                <w:b/>
                <w:bCs/>
                <w:sz w:val="16"/>
                <w:szCs w:val="16"/>
              </w:rPr>
              <w:t>445 224</w:t>
            </w:r>
          </w:p>
        </w:tc>
        <w:tc>
          <w:tcPr>
            <w:tcW w:w="1160" w:type="dxa"/>
            <w:tcBorders>
              <w:top w:val="nil"/>
              <w:left w:val="nil"/>
              <w:bottom w:val="nil"/>
              <w:right w:val="nil"/>
            </w:tcBorders>
            <w:shd w:val="clear" w:color="auto" w:fill="auto"/>
            <w:noWrap/>
            <w:vAlign w:val="center"/>
            <w:hideMark/>
          </w:tcPr>
          <w:p w14:paraId="7DE23593" w14:textId="77777777" w:rsidR="00D94493" w:rsidRPr="00D94493" w:rsidRDefault="00D94493" w:rsidP="00D94493">
            <w:pPr>
              <w:spacing w:after="0" w:line="240" w:lineRule="auto"/>
              <w:jc w:val="right"/>
              <w:rPr>
                <w:rFonts w:ascii="Times New Roman" w:eastAsia="Calibri" w:hAnsi="Times New Roman" w:cs="Times New Roman"/>
                <w:b/>
                <w:bCs/>
                <w:sz w:val="16"/>
                <w:szCs w:val="16"/>
                <w:highlight w:val="yellow"/>
                <w:lang w:eastAsia="sk-SK"/>
              </w:rPr>
            </w:pPr>
            <w:r w:rsidRPr="00D94493">
              <w:rPr>
                <w:rFonts w:ascii="Times New Roman" w:eastAsia="Calibri" w:hAnsi="Times New Roman" w:cs="Times New Roman"/>
                <w:b/>
                <w:bCs/>
                <w:sz w:val="16"/>
                <w:szCs w:val="16"/>
              </w:rPr>
              <w:t>-129 870</w:t>
            </w:r>
          </w:p>
        </w:tc>
      </w:tr>
      <w:tr w:rsidR="00D94493" w:rsidRPr="00D94493" w14:paraId="168E6C4B" w14:textId="77777777" w:rsidTr="00D94493">
        <w:trPr>
          <w:trHeight w:val="198"/>
        </w:trPr>
        <w:tc>
          <w:tcPr>
            <w:tcW w:w="5595" w:type="dxa"/>
            <w:tcBorders>
              <w:top w:val="nil"/>
              <w:left w:val="nil"/>
              <w:right w:val="nil"/>
            </w:tcBorders>
            <w:shd w:val="clear" w:color="auto" w:fill="auto"/>
            <w:noWrap/>
            <w:vAlign w:val="bottom"/>
            <w:hideMark/>
          </w:tcPr>
          <w:p w14:paraId="0BDAFD1D" w14:textId="77777777" w:rsidR="00D94493" w:rsidRPr="00D94493" w:rsidRDefault="00D94493" w:rsidP="00D94493">
            <w:pPr>
              <w:spacing w:line="240" w:lineRule="auto"/>
              <w:rPr>
                <w:rFonts w:ascii="Times New Roman" w:eastAsia="Calibri" w:hAnsi="Times New Roman" w:cs="Times New Roman"/>
                <w:b/>
                <w:bCs/>
                <w:i/>
                <w:iCs/>
                <w:sz w:val="16"/>
                <w:szCs w:val="16"/>
                <w:lang w:eastAsia="sk-SK"/>
              </w:rPr>
            </w:pPr>
            <w:r w:rsidRPr="00D94493">
              <w:rPr>
                <w:rFonts w:ascii="Times New Roman" w:eastAsia="Calibri" w:hAnsi="Times New Roman" w:cs="Times New Roman"/>
                <w:b/>
                <w:bCs/>
                <w:i/>
                <w:iCs/>
                <w:sz w:val="16"/>
                <w:szCs w:val="16"/>
                <w:lang w:eastAsia="sk-SK"/>
              </w:rPr>
              <w:t>v % HDP</w:t>
            </w:r>
          </w:p>
        </w:tc>
        <w:tc>
          <w:tcPr>
            <w:tcW w:w="1157" w:type="dxa"/>
            <w:tcBorders>
              <w:top w:val="nil"/>
              <w:left w:val="nil"/>
              <w:bottom w:val="nil"/>
              <w:right w:val="nil"/>
            </w:tcBorders>
            <w:shd w:val="clear" w:color="auto" w:fill="auto"/>
            <w:noWrap/>
            <w:vAlign w:val="center"/>
            <w:hideMark/>
          </w:tcPr>
          <w:p w14:paraId="6B2CE918" w14:textId="77777777" w:rsidR="00D94493" w:rsidRPr="00D94493" w:rsidRDefault="00D94493" w:rsidP="00D94493">
            <w:pPr>
              <w:spacing w:after="0" w:line="240" w:lineRule="auto"/>
              <w:jc w:val="right"/>
              <w:rPr>
                <w:rFonts w:ascii="Times New Roman" w:eastAsia="Calibri" w:hAnsi="Times New Roman" w:cs="Times New Roman"/>
                <w:b/>
                <w:bCs/>
                <w:i/>
                <w:iCs/>
                <w:sz w:val="16"/>
                <w:szCs w:val="16"/>
                <w:highlight w:val="yellow"/>
                <w:lang w:eastAsia="sk-SK"/>
              </w:rPr>
            </w:pPr>
            <w:r w:rsidRPr="00D94493">
              <w:rPr>
                <w:rFonts w:ascii="Times New Roman" w:eastAsia="Calibri" w:hAnsi="Times New Roman" w:cs="Times New Roman"/>
                <w:b/>
                <w:bCs/>
                <w:i/>
                <w:iCs/>
                <w:sz w:val="16"/>
                <w:szCs w:val="16"/>
              </w:rPr>
              <w:t>0,08</w:t>
            </w:r>
          </w:p>
        </w:tc>
        <w:tc>
          <w:tcPr>
            <w:tcW w:w="1160" w:type="dxa"/>
            <w:tcBorders>
              <w:top w:val="nil"/>
              <w:left w:val="nil"/>
              <w:bottom w:val="nil"/>
              <w:right w:val="nil"/>
            </w:tcBorders>
            <w:shd w:val="clear" w:color="auto" w:fill="auto"/>
            <w:noWrap/>
            <w:vAlign w:val="center"/>
            <w:hideMark/>
          </w:tcPr>
          <w:p w14:paraId="34F73A53" w14:textId="77777777" w:rsidR="00D94493" w:rsidRPr="00D94493" w:rsidRDefault="00D94493" w:rsidP="00D94493">
            <w:pPr>
              <w:spacing w:after="0" w:line="240" w:lineRule="auto"/>
              <w:jc w:val="right"/>
              <w:rPr>
                <w:rFonts w:ascii="Times New Roman" w:eastAsia="Calibri" w:hAnsi="Times New Roman" w:cs="Times New Roman"/>
                <w:b/>
                <w:bCs/>
                <w:i/>
                <w:iCs/>
                <w:sz w:val="16"/>
                <w:szCs w:val="16"/>
                <w:highlight w:val="yellow"/>
                <w:lang w:eastAsia="sk-SK"/>
              </w:rPr>
            </w:pPr>
            <w:r w:rsidRPr="00D94493">
              <w:rPr>
                <w:rFonts w:ascii="Times New Roman" w:eastAsia="Calibri" w:hAnsi="Times New Roman" w:cs="Times New Roman"/>
                <w:b/>
                <w:bCs/>
                <w:i/>
                <w:iCs/>
                <w:sz w:val="16"/>
                <w:szCs w:val="16"/>
              </w:rPr>
              <w:t>0,34</w:t>
            </w:r>
          </w:p>
        </w:tc>
        <w:tc>
          <w:tcPr>
            <w:tcW w:w="1160" w:type="dxa"/>
            <w:tcBorders>
              <w:top w:val="nil"/>
              <w:left w:val="nil"/>
              <w:bottom w:val="nil"/>
              <w:right w:val="nil"/>
            </w:tcBorders>
            <w:shd w:val="clear" w:color="auto" w:fill="auto"/>
            <w:noWrap/>
            <w:vAlign w:val="center"/>
            <w:hideMark/>
          </w:tcPr>
          <w:p w14:paraId="0B855EB1" w14:textId="77777777" w:rsidR="00D94493" w:rsidRPr="00D94493" w:rsidRDefault="00D94493" w:rsidP="00D94493">
            <w:pPr>
              <w:spacing w:after="0" w:line="240" w:lineRule="auto"/>
              <w:jc w:val="right"/>
              <w:rPr>
                <w:rFonts w:ascii="Times New Roman" w:eastAsia="Calibri" w:hAnsi="Times New Roman" w:cs="Times New Roman"/>
                <w:b/>
                <w:bCs/>
                <w:i/>
                <w:iCs/>
                <w:sz w:val="16"/>
                <w:szCs w:val="16"/>
                <w:highlight w:val="yellow"/>
                <w:lang w:eastAsia="sk-SK"/>
              </w:rPr>
            </w:pPr>
            <w:r w:rsidRPr="00D94493">
              <w:rPr>
                <w:rFonts w:ascii="Times New Roman" w:eastAsia="Calibri" w:hAnsi="Times New Roman" w:cs="Times New Roman"/>
                <w:b/>
                <w:bCs/>
                <w:i/>
                <w:iCs/>
                <w:sz w:val="16"/>
                <w:szCs w:val="16"/>
              </w:rPr>
              <w:t>-0,09</w:t>
            </w:r>
          </w:p>
        </w:tc>
      </w:tr>
      <w:tr w:rsidR="00D94493" w:rsidRPr="00D94493" w14:paraId="287B498F" w14:textId="77777777" w:rsidTr="00D94493">
        <w:trPr>
          <w:trHeight w:val="198"/>
        </w:trPr>
        <w:tc>
          <w:tcPr>
            <w:tcW w:w="5595" w:type="dxa"/>
            <w:tcBorders>
              <w:left w:val="nil"/>
              <w:bottom w:val="nil"/>
              <w:right w:val="nil"/>
            </w:tcBorders>
            <w:shd w:val="clear" w:color="auto" w:fill="auto"/>
            <w:noWrap/>
            <w:vAlign w:val="bottom"/>
            <w:hideMark/>
          </w:tcPr>
          <w:p w14:paraId="70DD315D" w14:textId="77777777" w:rsidR="00D94493" w:rsidRPr="00D94493" w:rsidRDefault="00D94493" w:rsidP="00D94493">
            <w:pPr>
              <w:spacing w:line="240" w:lineRule="auto"/>
              <w:ind w:firstLineChars="100" w:firstLine="16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Dane z príjmov, ziskov a kapitálového majetku</w:t>
            </w:r>
          </w:p>
        </w:tc>
        <w:tc>
          <w:tcPr>
            <w:tcW w:w="1157" w:type="dxa"/>
            <w:tcBorders>
              <w:top w:val="nil"/>
              <w:left w:val="nil"/>
              <w:bottom w:val="nil"/>
              <w:right w:val="nil"/>
            </w:tcBorders>
            <w:shd w:val="clear" w:color="auto" w:fill="auto"/>
            <w:noWrap/>
            <w:vAlign w:val="center"/>
            <w:hideMark/>
          </w:tcPr>
          <w:p w14:paraId="70BBBEDC"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182 591</w:t>
            </w:r>
          </w:p>
        </w:tc>
        <w:tc>
          <w:tcPr>
            <w:tcW w:w="1160" w:type="dxa"/>
            <w:tcBorders>
              <w:top w:val="nil"/>
              <w:left w:val="nil"/>
              <w:bottom w:val="nil"/>
              <w:right w:val="nil"/>
            </w:tcBorders>
            <w:shd w:val="clear" w:color="auto" w:fill="auto"/>
            <w:noWrap/>
            <w:vAlign w:val="center"/>
            <w:hideMark/>
          </w:tcPr>
          <w:p w14:paraId="6D95E459"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-17 631</w:t>
            </w:r>
          </w:p>
        </w:tc>
        <w:tc>
          <w:tcPr>
            <w:tcW w:w="1160" w:type="dxa"/>
            <w:tcBorders>
              <w:top w:val="nil"/>
              <w:left w:val="nil"/>
              <w:bottom w:val="nil"/>
              <w:right w:val="nil"/>
            </w:tcBorders>
            <w:shd w:val="clear" w:color="auto" w:fill="auto"/>
            <w:noWrap/>
            <w:vAlign w:val="center"/>
            <w:hideMark/>
          </w:tcPr>
          <w:p w14:paraId="2A660FDD"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-75 262</w:t>
            </w:r>
          </w:p>
        </w:tc>
      </w:tr>
      <w:tr w:rsidR="00D94493" w:rsidRPr="00D94493" w14:paraId="37148B8C" w14:textId="77777777" w:rsidTr="00D94493">
        <w:trPr>
          <w:trHeight w:val="198"/>
        </w:trPr>
        <w:tc>
          <w:tcPr>
            <w:tcW w:w="5595" w:type="dxa"/>
            <w:tcBorders>
              <w:top w:val="nil"/>
              <w:left w:val="nil"/>
              <w:bottom w:val="nil"/>
              <w:right w:val="nil"/>
            </w:tcBorders>
            <w:shd w:val="clear" w:color="auto" w:fill="auto"/>
            <w:noWrap/>
            <w:vAlign w:val="bottom"/>
            <w:hideMark/>
          </w:tcPr>
          <w:p w14:paraId="1CC1B63D" w14:textId="77777777" w:rsidR="00D94493" w:rsidRPr="00D94493" w:rsidRDefault="00D94493" w:rsidP="00D94493">
            <w:pPr>
              <w:spacing w:line="240" w:lineRule="auto"/>
              <w:ind w:firstLineChars="200" w:firstLine="32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Daň z príjmov fyzických osôb</w:t>
            </w:r>
          </w:p>
        </w:tc>
        <w:tc>
          <w:tcPr>
            <w:tcW w:w="1157" w:type="dxa"/>
            <w:tcBorders>
              <w:top w:val="nil"/>
              <w:left w:val="nil"/>
              <w:bottom w:val="nil"/>
              <w:right w:val="nil"/>
            </w:tcBorders>
            <w:shd w:val="clear" w:color="auto" w:fill="auto"/>
            <w:noWrap/>
            <w:vAlign w:val="center"/>
            <w:hideMark/>
          </w:tcPr>
          <w:p w14:paraId="4E78F9FB"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-219 355</w:t>
            </w:r>
          </w:p>
        </w:tc>
        <w:tc>
          <w:tcPr>
            <w:tcW w:w="1160" w:type="dxa"/>
            <w:tcBorders>
              <w:top w:val="nil"/>
              <w:left w:val="nil"/>
              <w:bottom w:val="nil"/>
              <w:right w:val="nil"/>
            </w:tcBorders>
            <w:shd w:val="clear" w:color="auto" w:fill="auto"/>
            <w:noWrap/>
            <w:vAlign w:val="center"/>
            <w:hideMark/>
          </w:tcPr>
          <w:p w14:paraId="121AF864"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-376 280</w:t>
            </w:r>
          </w:p>
        </w:tc>
        <w:tc>
          <w:tcPr>
            <w:tcW w:w="1160" w:type="dxa"/>
            <w:tcBorders>
              <w:top w:val="nil"/>
              <w:left w:val="nil"/>
              <w:bottom w:val="nil"/>
              <w:right w:val="nil"/>
            </w:tcBorders>
            <w:shd w:val="clear" w:color="auto" w:fill="auto"/>
            <w:noWrap/>
            <w:vAlign w:val="center"/>
            <w:hideMark/>
          </w:tcPr>
          <w:p w14:paraId="2FB7BE84"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-461 139</w:t>
            </w:r>
          </w:p>
        </w:tc>
      </w:tr>
      <w:tr w:rsidR="00D94493" w:rsidRPr="00D94493" w14:paraId="7F15D835" w14:textId="77777777" w:rsidTr="00D94493">
        <w:trPr>
          <w:trHeight w:val="198"/>
        </w:trPr>
        <w:tc>
          <w:tcPr>
            <w:tcW w:w="5595" w:type="dxa"/>
            <w:tcBorders>
              <w:top w:val="nil"/>
              <w:left w:val="nil"/>
              <w:bottom w:val="nil"/>
              <w:right w:val="nil"/>
            </w:tcBorders>
            <w:shd w:val="clear" w:color="auto" w:fill="auto"/>
            <w:noWrap/>
            <w:vAlign w:val="bottom"/>
            <w:hideMark/>
          </w:tcPr>
          <w:p w14:paraId="2A3A392D" w14:textId="77777777" w:rsidR="00D94493" w:rsidRPr="00D94493" w:rsidRDefault="00D94493" w:rsidP="00D94493">
            <w:pPr>
              <w:spacing w:line="240" w:lineRule="auto"/>
              <w:ind w:firstLineChars="200" w:firstLine="32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Daň z príjmov právnických osôb</w:t>
            </w:r>
          </w:p>
        </w:tc>
        <w:tc>
          <w:tcPr>
            <w:tcW w:w="1157" w:type="dxa"/>
            <w:tcBorders>
              <w:top w:val="nil"/>
              <w:left w:val="nil"/>
              <w:bottom w:val="nil"/>
              <w:right w:val="nil"/>
            </w:tcBorders>
            <w:shd w:val="clear" w:color="auto" w:fill="auto"/>
            <w:noWrap/>
            <w:vAlign w:val="center"/>
            <w:hideMark/>
          </w:tcPr>
          <w:p w14:paraId="16B0397C"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354 862</w:t>
            </w:r>
          </w:p>
        </w:tc>
        <w:tc>
          <w:tcPr>
            <w:tcW w:w="1160" w:type="dxa"/>
            <w:tcBorders>
              <w:top w:val="nil"/>
              <w:left w:val="nil"/>
              <w:bottom w:val="nil"/>
              <w:right w:val="nil"/>
            </w:tcBorders>
            <w:shd w:val="clear" w:color="auto" w:fill="auto"/>
            <w:noWrap/>
            <w:vAlign w:val="center"/>
            <w:hideMark/>
          </w:tcPr>
          <w:p w14:paraId="0199FE20"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337 267</w:t>
            </w:r>
          </w:p>
        </w:tc>
        <w:tc>
          <w:tcPr>
            <w:tcW w:w="1160" w:type="dxa"/>
            <w:tcBorders>
              <w:top w:val="nil"/>
              <w:left w:val="nil"/>
              <w:bottom w:val="nil"/>
              <w:right w:val="nil"/>
            </w:tcBorders>
            <w:shd w:val="clear" w:color="auto" w:fill="auto"/>
            <w:noWrap/>
            <w:vAlign w:val="center"/>
            <w:hideMark/>
          </w:tcPr>
          <w:p w14:paraId="0BB6CE52"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375 806</w:t>
            </w:r>
          </w:p>
        </w:tc>
      </w:tr>
      <w:tr w:rsidR="00D94493" w:rsidRPr="00D94493" w14:paraId="4D630606" w14:textId="77777777" w:rsidTr="00D94493">
        <w:trPr>
          <w:trHeight w:val="198"/>
        </w:trPr>
        <w:tc>
          <w:tcPr>
            <w:tcW w:w="5595" w:type="dxa"/>
            <w:tcBorders>
              <w:top w:val="nil"/>
              <w:left w:val="nil"/>
              <w:bottom w:val="nil"/>
              <w:right w:val="nil"/>
            </w:tcBorders>
            <w:shd w:val="clear" w:color="auto" w:fill="auto"/>
            <w:noWrap/>
            <w:vAlign w:val="bottom"/>
            <w:hideMark/>
          </w:tcPr>
          <w:p w14:paraId="04146C58" w14:textId="77777777" w:rsidR="00D94493" w:rsidRPr="00D94493" w:rsidRDefault="00D94493" w:rsidP="00D94493">
            <w:pPr>
              <w:spacing w:line="240" w:lineRule="auto"/>
              <w:ind w:firstLineChars="200" w:firstLine="32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Daň z príjmov vyberaná zrážkou</w:t>
            </w:r>
          </w:p>
        </w:tc>
        <w:tc>
          <w:tcPr>
            <w:tcW w:w="1157" w:type="dxa"/>
            <w:tcBorders>
              <w:top w:val="nil"/>
              <w:left w:val="nil"/>
              <w:bottom w:val="nil"/>
              <w:right w:val="nil"/>
            </w:tcBorders>
            <w:shd w:val="clear" w:color="auto" w:fill="auto"/>
            <w:noWrap/>
            <w:vAlign w:val="center"/>
            <w:hideMark/>
          </w:tcPr>
          <w:p w14:paraId="1E8D2A3D"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47 084</w:t>
            </w:r>
          </w:p>
        </w:tc>
        <w:tc>
          <w:tcPr>
            <w:tcW w:w="1160" w:type="dxa"/>
            <w:tcBorders>
              <w:top w:val="nil"/>
              <w:left w:val="nil"/>
              <w:bottom w:val="nil"/>
              <w:right w:val="nil"/>
            </w:tcBorders>
            <w:shd w:val="clear" w:color="auto" w:fill="auto"/>
            <w:noWrap/>
            <w:vAlign w:val="center"/>
            <w:hideMark/>
          </w:tcPr>
          <w:p w14:paraId="289A1777"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21 382</w:t>
            </w:r>
          </w:p>
        </w:tc>
        <w:tc>
          <w:tcPr>
            <w:tcW w:w="1160" w:type="dxa"/>
            <w:tcBorders>
              <w:top w:val="nil"/>
              <w:left w:val="nil"/>
              <w:bottom w:val="nil"/>
              <w:right w:val="nil"/>
            </w:tcBorders>
            <w:shd w:val="clear" w:color="auto" w:fill="auto"/>
            <w:noWrap/>
            <w:vAlign w:val="center"/>
            <w:hideMark/>
          </w:tcPr>
          <w:p w14:paraId="3A82F7A3"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10 071</w:t>
            </w:r>
          </w:p>
        </w:tc>
      </w:tr>
      <w:tr w:rsidR="00D94493" w:rsidRPr="00D94493" w14:paraId="04C3D1CB" w14:textId="77777777" w:rsidTr="00D94493">
        <w:trPr>
          <w:trHeight w:val="198"/>
        </w:trPr>
        <w:tc>
          <w:tcPr>
            <w:tcW w:w="5595" w:type="dxa"/>
            <w:tcBorders>
              <w:top w:val="nil"/>
              <w:left w:val="nil"/>
              <w:bottom w:val="nil"/>
              <w:right w:val="nil"/>
            </w:tcBorders>
            <w:shd w:val="clear" w:color="auto" w:fill="auto"/>
            <w:noWrap/>
            <w:vAlign w:val="bottom"/>
            <w:hideMark/>
          </w:tcPr>
          <w:p w14:paraId="6AEAFDE7" w14:textId="77777777" w:rsidR="00D94493" w:rsidRPr="00D94493" w:rsidRDefault="00D94493" w:rsidP="00D94493">
            <w:pPr>
              <w:spacing w:line="240" w:lineRule="auto"/>
              <w:ind w:firstLineChars="100" w:firstLine="16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Daň z pridanej hodnoty</w:t>
            </w:r>
          </w:p>
        </w:tc>
        <w:tc>
          <w:tcPr>
            <w:tcW w:w="1157" w:type="dxa"/>
            <w:tcBorders>
              <w:top w:val="nil"/>
              <w:left w:val="nil"/>
              <w:bottom w:val="nil"/>
              <w:right w:val="nil"/>
            </w:tcBorders>
            <w:shd w:val="clear" w:color="auto" w:fill="auto"/>
            <w:noWrap/>
            <w:vAlign w:val="center"/>
            <w:hideMark/>
          </w:tcPr>
          <w:p w14:paraId="541B6C12"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-510 282</w:t>
            </w:r>
          </w:p>
        </w:tc>
        <w:tc>
          <w:tcPr>
            <w:tcW w:w="1160" w:type="dxa"/>
            <w:tcBorders>
              <w:top w:val="nil"/>
              <w:left w:val="nil"/>
              <w:bottom w:val="nil"/>
              <w:right w:val="nil"/>
            </w:tcBorders>
            <w:shd w:val="clear" w:color="auto" w:fill="auto"/>
            <w:noWrap/>
            <w:vAlign w:val="center"/>
            <w:hideMark/>
          </w:tcPr>
          <w:p w14:paraId="3B0DD0C5"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-382 315</w:t>
            </w:r>
          </w:p>
        </w:tc>
        <w:tc>
          <w:tcPr>
            <w:tcW w:w="1160" w:type="dxa"/>
            <w:tcBorders>
              <w:top w:val="nil"/>
              <w:left w:val="nil"/>
              <w:bottom w:val="nil"/>
              <w:right w:val="nil"/>
            </w:tcBorders>
            <w:shd w:val="clear" w:color="auto" w:fill="auto"/>
            <w:noWrap/>
            <w:vAlign w:val="center"/>
            <w:hideMark/>
          </w:tcPr>
          <w:p w14:paraId="1C0EF46E"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-641 146</w:t>
            </w:r>
          </w:p>
        </w:tc>
      </w:tr>
      <w:tr w:rsidR="00D94493" w:rsidRPr="00D94493" w14:paraId="034333C1" w14:textId="77777777" w:rsidTr="00D94493">
        <w:trPr>
          <w:trHeight w:val="198"/>
        </w:trPr>
        <w:tc>
          <w:tcPr>
            <w:tcW w:w="5595" w:type="dxa"/>
            <w:tcBorders>
              <w:top w:val="nil"/>
              <w:left w:val="nil"/>
              <w:bottom w:val="nil"/>
              <w:right w:val="nil"/>
            </w:tcBorders>
            <w:shd w:val="clear" w:color="auto" w:fill="auto"/>
            <w:noWrap/>
            <w:vAlign w:val="bottom"/>
            <w:hideMark/>
          </w:tcPr>
          <w:p w14:paraId="67540434" w14:textId="77777777" w:rsidR="00D94493" w:rsidRPr="00D94493" w:rsidRDefault="00D94493" w:rsidP="00D94493">
            <w:pPr>
              <w:spacing w:line="240" w:lineRule="auto"/>
              <w:ind w:firstLineChars="100" w:firstLine="16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Spotrebné dane</w:t>
            </w:r>
          </w:p>
        </w:tc>
        <w:tc>
          <w:tcPr>
            <w:tcW w:w="1157" w:type="dxa"/>
            <w:tcBorders>
              <w:top w:val="nil"/>
              <w:left w:val="nil"/>
              <w:bottom w:val="nil"/>
              <w:right w:val="nil"/>
            </w:tcBorders>
            <w:shd w:val="clear" w:color="auto" w:fill="auto"/>
            <w:noWrap/>
            <w:vAlign w:val="center"/>
            <w:hideMark/>
          </w:tcPr>
          <w:p w14:paraId="1D322638"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26 182</w:t>
            </w:r>
          </w:p>
        </w:tc>
        <w:tc>
          <w:tcPr>
            <w:tcW w:w="1160" w:type="dxa"/>
            <w:tcBorders>
              <w:top w:val="nil"/>
              <w:left w:val="nil"/>
              <w:bottom w:val="nil"/>
              <w:right w:val="nil"/>
            </w:tcBorders>
            <w:shd w:val="clear" w:color="auto" w:fill="auto"/>
            <w:noWrap/>
            <w:vAlign w:val="center"/>
            <w:hideMark/>
          </w:tcPr>
          <w:p w14:paraId="27F0F854"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207 366</w:t>
            </w:r>
          </w:p>
        </w:tc>
        <w:tc>
          <w:tcPr>
            <w:tcW w:w="1160" w:type="dxa"/>
            <w:tcBorders>
              <w:top w:val="nil"/>
              <w:left w:val="nil"/>
              <w:bottom w:val="nil"/>
              <w:right w:val="nil"/>
            </w:tcBorders>
            <w:shd w:val="clear" w:color="auto" w:fill="auto"/>
            <w:noWrap/>
            <w:vAlign w:val="center"/>
            <w:hideMark/>
          </w:tcPr>
          <w:p w14:paraId="62737B04"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255 496</w:t>
            </w:r>
          </w:p>
        </w:tc>
      </w:tr>
      <w:tr w:rsidR="00D94493" w:rsidRPr="00D94493" w14:paraId="2D2FAA13" w14:textId="77777777" w:rsidTr="00D94493">
        <w:trPr>
          <w:trHeight w:val="198"/>
        </w:trPr>
        <w:tc>
          <w:tcPr>
            <w:tcW w:w="5595" w:type="dxa"/>
            <w:tcBorders>
              <w:top w:val="nil"/>
              <w:left w:val="nil"/>
              <w:bottom w:val="nil"/>
              <w:right w:val="nil"/>
            </w:tcBorders>
            <w:shd w:val="clear" w:color="auto" w:fill="auto"/>
            <w:noWrap/>
            <w:vAlign w:val="bottom"/>
            <w:hideMark/>
          </w:tcPr>
          <w:p w14:paraId="44252AC9" w14:textId="77777777" w:rsidR="00D94493" w:rsidRPr="00D94493" w:rsidRDefault="00D94493" w:rsidP="00D94493">
            <w:pPr>
              <w:spacing w:line="240" w:lineRule="auto"/>
              <w:ind w:firstLineChars="100" w:firstLine="16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Dane z medzinárodného obchodu a transakcií</w:t>
            </w:r>
          </w:p>
        </w:tc>
        <w:tc>
          <w:tcPr>
            <w:tcW w:w="1157" w:type="dxa"/>
            <w:tcBorders>
              <w:top w:val="nil"/>
              <w:left w:val="nil"/>
              <w:bottom w:val="nil"/>
              <w:right w:val="nil"/>
            </w:tcBorders>
            <w:shd w:val="clear" w:color="auto" w:fill="auto"/>
            <w:noWrap/>
            <w:vAlign w:val="center"/>
            <w:hideMark/>
          </w:tcPr>
          <w:p w14:paraId="60E73949"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-2 972</w:t>
            </w:r>
          </w:p>
        </w:tc>
        <w:tc>
          <w:tcPr>
            <w:tcW w:w="1160" w:type="dxa"/>
            <w:tcBorders>
              <w:top w:val="nil"/>
              <w:left w:val="nil"/>
              <w:bottom w:val="nil"/>
              <w:right w:val="nil"/>
            </w:tcBorders>
            <w:shd w:val="clear" w:color="auto" w:fill="auto"/>
            <w:noWrap/>
            <w:vAlign w:val="center"/>
            <w:hideMark/>
          </w:tcPr>
          <w:p w14:paraId="218D9551"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-2 717</w:t>
            </w:r>
          </w:p>
        </w:tc>
        <w:tc>
          <w:tcPr>
            <w:tcW w:w="1160" w:type="dxa"/>
            <w:tcBorders>
              <w:top w:val="nil"/>
              <w:left w:val="nil"/>
              <w:bottom w:val="nil"/>
              <w:right w:val="nil"/>
            </w:tcBorders>
            <w:shd w:val="clear" w:color="auto" w:fill="auto"/>
            <w:noWrap/>
            <w:vAlign w:val="center"/>
            <w:hideMark/>
          </w:tcPr>
          <w:p w14:paraId="4FA5F833"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-4 476</w:t>
            </w:r>
          </w:p>
        </w:tc>
      </w:tr>
      <w:tr w:rsidR="00D94493" w:rsidRPr="00D94493" w14:paraId="17C9EE6D" w14:textId="77777777" w:rsidTr="00D94493">
        <w:trPr>
          <w:trHeight w:val="198"/>
        </w:trPr>
        <w:tc>
          <w:tcPr>
            <w:tcW w:w="5595" w:type="dxa"/>
            <w:tcBorders>
              <w:top w:val="nil"/>
              <w:left w:val="nil"/>
              <w:bottom w:val="nil"/>
              <w:right w:val="nil"/>
            </w:tcBorders>
            <w:shd w:val="clear" w:color="auto" w:fill="auto"/>
            <w:noWrap/>
            <w:vAlign w:val="bottom"/>
            <w:hideMark/>
          </w:tcPr>
          <w:p w14:paraId="189C63CF" w14:textId="77777777" w:rsidR="00D94493" w:rsidRPr="00D94493" w:rsidRDefault="00D94493" w:rsidP="00D94493">
            <w:pPr>
              <w:spacing w:line="240" w:lineRule="auto"/>
              <w:ind w:firstLineChars="100" w:firstLine="16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Miestne dane</w:t>
            </w:r>
          </w:p>
        </w:tc>
        <w:tc>
          <w:tcPr>
            <w:tcW w:w="1157" w:type="dxa"/>
            <w:tcBorders>
              <w:top w:val="nil"/>
              <w:left w:val="nil"/>
              <w:bottom w:val="nil"/>
              <w:right w:val="nil"/>
            </w:tcBorders>
            <w:shd w:val="clear" w:color="auto" w:fill="auto"/>
            <w:noWrap/>
            <w:vAlign w:val="center"/>
            <w:hideMark/>
          </w:tcPr>
          <w:p w14:paraId="42ADCBEC"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38 370</w:t>
            </w:r>
          </w:p>
        </w:tc>
        <w:tc>
          <w:tcPr>
            <w:tcW w:w="1160" w:type="dxa"/>
            <w:tcBorders>
              <w:top w:val="nil"/>
              <w:left w:val="nil"/>
              <w:bottom w:val="nil"/>
              <w:right w:val="nil"/>
            </w:tcBorders>
            <w:shd w:val="clear" w:color="auto" w:fill="auto"/>
            <w:noWrap/>
            <w:vAlign w:val="center"/>
            <w:hideMark/>
          </w:tcPr>
          <w:p w14:paraId="207500C4"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48 596</w:t>
            </w:r>
          </w:p>
        </w:tc>
        <w:tc>
          <w:tcPr>
            <w:tcW w:w="1160" w:type="dxa"/>
            <w:tcBorders>
              <w:top w:val="nil"/>
              <w:left w:val="nil"/>
              <w:bottom w:val="nil"/>
              <w:right w:val="nil"/>
            </w:tcBorders>
            <w:shd w:val="clear" w:color="auto" w:fill="auto"/>
            <w:noWrap/>
            <w:vAlign w:val="center"/>
            <w:hideMark/>
          </w:tcPr>
          <w:p w14:paraId="43AB257C"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52 067</w:t>
            </w:r>
          </w:p>
        </w:tc>
      </w:tr>
      <w:tr w:rsidR="00D94493" w:rsidRPr="00D94493" w14:paraId="5073A201" w14:textId="77777777" w:rsidTr="00D94493">
        <w:trPr>
          <w:trHeight w:val="198"/>
        </w:trPr>
        <w:tc>
          <w:tcPr>
            <w:tcW w:w="5595" w:type="dxa"/>
            <w:tcBorders>
              <w:top w:val="nil"/>
              <w:left w:val="nil"/>
              <w:bottom w:val="nil"/>
              <w:right w:val="nil"/>
            </w:tcBorders>
            <w:shd w:val="clear" w:color="auto" w:fill="auto"/>
            <w:noWrap/>
            <w:vAlign w:val="bottom"/>
            <w:hideMark/>
          </w:tcPr>
          <w:p w14:paraId="38CC800C" w14:textId="77777777" w:rsidR="00D94493" w:rsidRPr="00D94493" w:rsidRDefault="00D94493" w:rsidP="00D94493">
            <w:pPr>
              <w:spacing w:line="240" w:lineRule="auto"/>
              <w:ind w:firstLineChars="100" w:firstLine="16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Ostatné dane</w:t>
            </w:r>
          </w:p>
        </w:tc>
        <w:tc>
          <w:tcPr>
            <w:tcW w:w="1157" w:type="dxa"/>
            <w:tcBorders>
              <w:top w:val="nil"/>
              <w:left w:val="nil"/>
              <w:bottom w:val="nil"/>
              <w:right w:val="nil"/>
            </w:tcBorders>
            <w:shd w:val="clear" w:color="auto" w:fill="auto"/>
            <w:noWrap/>
            <w:vAlign w:val="center"/>
            <w:hideMark/>
          </w:tcPr>
          <w:p w14:paraId="18592BE5"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366 428</w:t>
            </w:r>
          </w:p>
        </w:tc>
        <w:tc>
          <w:tcPr>
            <w:tcW w:w="1160" w:type="dxa"/>
            <w:tcBorders>
              <w:top w:val="nil"/>
              <w:left w:val="nil"/>
              <w:bottom w:val="nil"/>
              <w:right w:val="nil"/>
            </w:tcBorders>
            <w:shd w:val="clear" w:color="auto" w:fill="auto"/>
            <w:noWrap/>
            <w:vAlign w:val="center"/>
            <w:hideMark/>
          </w:tcPr>
          <w:p w14:paraId="2FF5BA5F"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591 925</w:t>
            </w:r>
          </w:p>
        </w:tc>
        <w:tc>
          <w:tcPr>
            <w:tcW w:w="1160" w:type="dxa"/>
            <w:tcBorders>
              <w:top w:val="nil"/>
              <w:left w:val="nil"/>
              <w:bottom w:val="nil"/>
              <w:right w:val="nil"/>
            </w:tcBorders>
            <w:shd w:val="clear" w:color="auto" w:fill="auto"/>
            <w:noWrap/>
            <w:vAlign w:val="center"/>
            <w:hideMark/>
          </w:tcPr>
          <w:p w14:paraId="00FBA19D"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283 451</w:t>
            </w:r>
          </w:p>
        </w:tc>
      </w:tr>
      <w:tr w:rsidR="00D94493" w:rsidRPr="00D94493" w14:paraId="0D88640D" w14:textId="77777777" w:rsidTr="00D94493">
        <w:trPr>
          <w:trHeight w:val="198"/>
        </w:trPr>
        <w:tc>
          <w:tcPr>
            <w:tcW w:w="5595" w:type="dxa"/>
            <w:tcBorders>
              <w:top w:val="nil"/>
              <w:left w:val="nil"/>
              <w:right w:val="nil"/>
            </w:tcBorders>
            <w:shd w:val="clear" w:color="auto" w:fill="auto"/>
            <w:noWrap/>
            <w:vAlign w:val="bottom"/>
            <w:hideMark/>
          </w:tcPr>
          <w:p w14:paraId="7F1AF360" w14:textId="77777777" w:rsidR="00D94493" w:rsidRPr="00D94493" w:rsidRDefault="00D94493" w:rsidP="00D94493">
            <w:pPr>
              <w:spacing w:line="240" w:lineRule="auto"/>
              <w:ind w:firstLineChars="100" w:firstLine="16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Sociálna poisťovňa (EAO + dlžné)</w:t>
            </w:r>
          </w:p>
        </w:tc>
        <w:tc>
          <w:tcPr>
            <w:tcW w:w="1157" w:type="dxa"/>
            <w:tcBorders>
              <w:top w:val="nil"/>
              <w:left w:val="nil"/>
              <w:right w:val="nil"/>
            </w:tcBorders>
            <w:shd w:val="clear" w:color="auto" w:fill="auto"/>
            <w:noWrap/>
            <w:vAlign w:val="center"/>
            <w:hideMark/>
          </w:tcPr>
          <w:p w14:paraId="47F7AE93"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-197 892</w:t>
            </w:r>
          </w:p>
        </w:tc>
        <w:tc>
          <w:tcPr>
            <w:tcW w:w="1160" w:type="dxa"/>
            <w:tcBorders>
              <w:top w:val="nil"/>
              <w:left w:val="nil"/>
              <w:right w:val="nil"/>
            </w:tcBorders>
            <w:shd w:val="clear" w:color="auto" w:fill="auto"/>
            <w:noWrap/>
            <w:vAlign w:val="center"/>
            <w:hideMark/>
          </w:tcPr>
          <w:p w14:paraId="03F10B42"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167 046</w:t>
            </w:r>
          </w:p>
        </w:tc>
        <w:tc>
          <w:tcPr>
            <w:tcW w:w="1160" w:type="dxa"/>
            <w:tcBorders>
              <w:top w:val="nil"/>
              <w:left w:val="nil"/>
              <w:right w:val="nil"/>
            </w:tcBorders>
            <w:shd w:val="clear" w:color="auto" w:fill="auto"/>
            <w:noWrap/>
            <w:vAlign w:val="center"/>
            <w:hideMark/>
          </w:tcPr>
          <w:p w14:paraId="51498BE3"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42 306</w:t>
            </w:r>
          </w:p>
        </w:tc>
      </w:tr>
      <w:tr w:rsidR="00D94493" w:rsidRPr="00D94493" w14:paraId="361723CC" w14:textId="77777777" w:rsidTr="00D94493">
        <w:trPr>
          <w:trHeight w:val="198"/>
        </w:trPr>
        <w:tc>
          <w:tcPr>
            <w:tcW w:w="5595" w:type="dxa"/>
            <w:tcBorders>
              <w:top w:val="nil"/>
              <w:left w:val="nil"/>
              <w:bottom w:val="single" w:sz="4" w:space="0" w:color="auto"/>
              <w:right w:val="nil"/>
            </w:tcBorders>
            <w:shd w:val="clear" w:color="auto" w:fill="auto"/>
            <w:noWrap/>
            <w:vAlign w:val="bottom"/>
            <w:hideMark/>
          </w:tcPr>
          <w:p w14:paraId="4472FF5E" w14:textId="77777777" w:rsidR="00D94493" w:rsidRPr="00D94493" w:rsidRDefault="00D94493" w:rsidP="00D94493">
            <w:pPr>
              <w:spacing w:line="240" w:lineRule="auto"/>
              <w:ind w:firstLineChars="100" w:firstLine="16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Zdravotné poisťovne (EAO + dlžné)</w:t>
            </w:r>
          </w:p>
        </w:tc>
        <w:tc>
          <w:tcPr>
            <w:tcW w:w="1157" w:type="dxa"/>
            <w:tcBorders>
              <w:top w:val="nil"/>
              <w:left w:val="nil"/>
              <w:bottom w:val="single" w:sz="4" w:space="0" w:color="auto"/>
              <w:right w:val="nil"/>
            </w:tcBorders>
            <w:shd w:val="clear" w:color="auto" w:fill="auto"/>
            <w:noWrap/>
            <w:vAlign w:val="center"/>
            <w:hideMark/>
          </w:tcPr>
          <w:p w14:paraId="0ABB9F47"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-107 279</w:t>
            </w:r>
          </w:p>
        </w:tc>
        <w:tc>
          <w:tcPr>
            <w:tcW w:w="1160" w:type="dxa"/>
            <w:tcBorders>
              <w:top w:val="nil"/>
              <w:left w:val="nil"/>
              <w:bottom w:val="single" w:sz="4" w:space="0" w:color="auto"/>
              <w:right w:val="nil"/>
            </w:tcBorders>
            <w:shd w:val="clear" w:color="auto" w:fill="auto"/>
            <w:noWrap/>
            <w:vAlign w:val="center"/>
            <w:hideMark/>
          </w:tcPr>
          <w:p w14:paraId="5ADA305F"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258 913</w:t>
            </w:r>
          </w:p>
        </w:tc>
        <w:tc>
          <w:tcPr>
            <w:tcW w:w="1160" w:type="dxa"/>
            <w:tcBorders>
              <w:top w:val="nil"/>
              <w:left w:val="nil"/>
              <w:bottom w:val="single" w:sz="4" w:space="0" w:color="auto"/>
              <w:right w:val="nil"/>
            </w:tcBorders>
            <w:shd w:val="clear" w:color="auto" w:fill="auto"/>
            <w:noWrap/>
            <w:vAlign w:val="center"/>
            <w:hideMark/>
          </w:tcPr>
          <w:p w14:paraId="7F7E9495"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205 576</w:t>
            </w:r>
          </w:p>
        </w:tc>
      </w:tr>
      <w:tr w:rsidR="00D94493" w:rsidRPr="00D94493" w14:paraId="4A7FE462" w14:textId="77777777" w:rsidTr="00D94493">
        <w:trPr>
          <w:trHeight w:val="198"/>
        </w:trPr>
        <w:tc>
          <w:tcPr>
            <w:tcW w:w="5595" w:type="dxa"/>
            <w:tcBorders>
              <w:top w:val="single" w:sz="4" w:space="0" w:color="auto"/>
              <w:left w:val="nil"/>
              <w:bottom w:val="single" w:sz="4" w:space="0" w:color="auto"/>
              <w:right w:val="nil"/>
            </w:tcBorders>
            <w:shd w:val="clear" w:color="auto" w:fill="auto"/>
            <w:noWrap/>
            <w:vAlign w:val="bottom"/>
            <w:hideMark/>
          </w:tcPr>
          <w:p w14:paraId="30C512C4" w14:textId="77777777" w:rsidR="00D94493" w:rsidRPr="00D94493" w:rsidRDefault="00D94493" w:rsidP="00D94493">
            <w:pPr>
              <w:spacing w:line="240" w:lineRule="auto"/>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Daňové príjmy a príjmy FSZP spolu</w:t>
            </w:r>
          </w:p>
        </w:tc>
        <w:tc>
          <w:tcPr>
            <w:tcW w:w="1157" w:type="dxa"/>
            <w:tcBorders>
              <w:top w:val="single" w:sz="4" w:space="0" w:color="auto"/>
              <w:left w:val="nil"/>
              <w:bottom w:val="single" w:sz="4" w:space="0" w:color="auto"/>
              <w:right w:val="nil"/>
            </w:tcBorders>
            <w:shd w:val="clear" w:color="auto" w:fill="auto"/>
            <w:noWrap/>
            <w:vAlign w:val="center"/>
            <w:hideMark/>
          </w:tcPr>
          <w:p w14:paraId="136DB1E3" w14:textId="77777777" w:rsidR="00D94493" w:rsidRPr="00D94493" w:rsidRDefault="00D94493" w:rsidP="00D94493">
            <w:pPr>
              <w:spacing w:after="0" w:line="240" w:lineRule="auto"/>
              <w:jc w:val="right"/>
              <w:rPr>
                <w:rFonts w:ascii="Times New Roman" w:eastAsia="Calibri" w:hAnsi="Times New Roman" w:cs="Times New Roman"/>
                <w:b/>
                <w:bCs/>
                <w:sz w:val="16"/>
                <w:szCs w:val="16"/>
                <w:highlight w:val="yellow"/>
                <w:lang w:eastAsia="sk-SK"/>
              </w:rPr>
            </w:pPr>
            <w:r w:rsidRPr="00D94493">
              <w:rPr>
                <w:rFonts w:ascii="Times New Roman" w:eastAsia="Calibri" w:hAnsi="Times New Roman" w:cs="Times New Roman"/>
                <w:b/>
                <w:bCs/>
                <w:sz w:val="16"/>
                <w:szCs w:val="16"/>
              </w:rPr>
              <w:t>-204 854</w:t>
            </w:r>
          </w:p>
        </w:tc>
        <w:tc>
          <w:tcPr>
            <w:tcW w:w="1160" w:type="dxa"/>
            <w:tcBorders>
              <w:top w:val="single" w:sz="4" w:space="0" w:color="auto"/>
              <w:left w:val="nil"/>
              <w:bottom w:val="single" w:sz="4" w:space="0" w:color="auto"/>
              <w:right w:val="nil"/>
            </w:tcBorders>
            <w:shd w:val="clear" w:color="auto" w:fill="auto"/>
            <w:noWrap/>
            <w:vAlign w:val="center"/>
            <w:hideMark/>
          </w:tcPr>
          <w:p w14:paraId="724E0C48" w14:textId="77777777" w:rsidR="00D94493" w:rsidRPr="00D94493" w:rsidRDefault="00D94493" w:rsidP="00D94493">
            <w:pPr>
              <w:spacing w:after="0" w:line="240" w:lineRule="auto"/>
              <w:jc w:val="right"/>
              <w:rPr>
                <w:rFonts w:ascii="Times New Roman" w:eastAsia="Calibri" w:hAnsi="Times New Roman" w:cs="Times New Roman"/>
                <w:b/>
                <w:bCs/>
                <w:sz w:val="16"/>
                <w:szCs w:val="16"/>
                <w:highlight w:val="yellow"/>
                <w:lang w:eastAsia="sk-SK"/>
              </w:rPr>
            </w:pPr>
            <w:r w:rsidRPr="00D94493">
              <w:rPr>
                <w:rFonts w:ascii="Times New Roman" w:eastAsia="Calibri" w:hAnsi="Times New Roman" w:cs="Times New Roman"/>
                <w:b/>
                <w:bCs/>
                <w:sz w:val="16"/>
                <w:szCs w:val="16"/>
              </w:rPr>
              <w:t>871 183</w:t>
            </w:r>
          </w:p>
        </w:tc>
        <w:tc>
          <w:tcPr>
            <w:tcW w:w="1160" w:type="dxa"/>
            <w:tcBorders>
              <w:top w:val="single" w:sz="4" w:space="0" w:color="auto"/>
              <w:left w:val="nil"/>
              <w:bottom w:val="single" w:sz="4" w:space="0" w:color="auto"/>
              <w:right w:val="nil"/>
            </w:tcBorders>
            <w:shd w:val="clear" w:color="auto" w:fill="auto"/>
            <w:noWrap/>
            <w:vAlign w:val="center"/>
            <w:hideMark/>
          </w:tcPr>
          <w:p w14:paraId="373A168D" w14:textId="77777777" w:rsidR="00D94493" w:rsidRPr="00D94493" w:rsidRDefault="00D94493" w:rsidP="00D94493">
            <w:pPr>
              <w:spacing w:after="0" w:line="240" w:lineRule="auto"/>
              <w:jc w:val="right"/>
              <w:rPr>
                <w:rFonts w:ascii="Times New Roman" w:eastAsia="Calibri" w:hAnsi="Times New Roman" w:cs="Times New Roman"/>
                <w:b/>
                <w:bCs/>
                <w:sz w:val="16"/>
                <w:szCs w:val="16"/>
                <w:highlight w:val="yellow"/>
                <w:lang w:eastAsia="sk-SK"/>
              </w:rPr>
            </w:pPr>
            <w:r w:rsidRPr="00D94493">
              <w:rPr>
                <w:rFonts w:ascii="Times New Roman" w:eastAsia="Calibri" w:hAnsi="Times New Roman" w:cs="Times New Roman"/>
                <w:b/>
                <w:bCs/>
                <w:sz w:val="16"/>
                <w:szCs w:val="16"/>
              </w:rPr>
              <w:t>118 012</w:t>
            </w:r>
          </w:p>
        </w:tc>
      </w:tr>
      <w:tr w:rsidR="00D94493" w:rsidRPr="00D94493" w14:paraId="1B5D26A4" w14:textId="77777777" w:rsidTr="00D94493">
        <w:trPr>
          <w:trHeight w:val="198"/>
        </w:trPr>
        <w:tc>
          <w:tcPr>
            <w:tcW w:w="5595" w:type="dxa"/>
            <w:tcBorders>
              <w:top w:val="single" w:sz="4" w:space="0" w:color="auto"/>
              <w:left w:val="nil"/>
              <w:bottom w:val="single" w:sz="4" w:space="0" w:color="auto"/>
              <w:right w:val="nil"/>
            </w:tcBorders>
            <w:shd w:val="clear" w:color="auto" w:fill="auto"/>
            <w:noWrap/>
            <w:vAlign w:val="bottom"/>
            <w:hideMark/>
          </w:tcPr>
          <w:p w14:paraId="2769502E" w14:textId="77777777" w:rsidR="00D94493" w:rsidRPr="00D94493" w:rsidRDefault="00D94493" w:rsidP="00D94493">
            <w:pPr>
              <w:spacing w:line="240" w:lineRule="auto"/>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Sankcie</w:t>
            </w:r>
          </w:p>
        </w:tc>
        <w:tc>
          <w:tcPr>
            <w:tcW w:w="1157" w:type="dxa"/>
            <w:tcBorders>
              <w:top w:val="single" w:sz="4" w:space="0" w:color="auto"/>
              <w:left w:val="nil"/>
              <w:bottom w:val="single" w:sz="4" w:space="0" w:color="auto"/>
              <w:right w:val="nil"/>
            </w:tcBorders>
            <w:shd w:val="clear" w:color="auto" w:fill="auto"/>
            <w:noWrap/>
            <w:vAlign w:val="center"/>
            <w:hideMark/>
          </w:tcPr>
          <w:p w14:paraId="0E35C09E"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23 041</w:t>
            </w:r>
          </w:p>
        </w:tc>
        <w:tc>
          <w:tcPr>
            <w:tcW w:w="1160" w:type="dxa"/>
            <w:tcBorders>
              <w:top w:val="single" w:sz="4" w:space="0" w:color="auto"/>
              <w:left w:val="nil"/>
              <w:bottom w:val="single" w:sz="4" w:space="0" w:color="auto"/>
              <w:right w:val="nil"/>
            </w:tcBorders>
            <w:shd w:val="clear" w:color="auto" w:fill="auto"/>
            <w:noWrap/>
            <w:vAlign w:val="center"/>
            <w:hideMark/>
          </w:tcPr>
          <w:p w14:paraId="3F2B20F3"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23 210</w:t>
            </w:r>
          </w:p>
        </w:tc>
        <w:tc>
          <w:tcPr>
            <w:tcW w:w="1160" w:type="dxa"/>
            <w:tcBorders>
              <w:top w:val="single" w:sz="4" w:space="0" w:color="auto"/>
              <w:left w:val="nil"/>
              <w:bottom w:val="single" w:sz="4" w:space="0" w:color="auto"/>
              <w:right w:val="nil"/>
            </w:tcBorders>
            <w:shd w:val="clear" w:color="auto" w:fill="auto"/>
            <w:noWrap/>
            <w:vAlign w:val="center"/>
            <w:hideMark/>
          </w:tcPr>
          <w:p w14:paraId="749BE2EA"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23 210</w:t>
            </w:r>
          </w:p>
        </w:tc>
      </w:tr>
      <w:tr w:rsidR="00D94493" w:rsidRPr="00D94493" w14:paraId="7FF05B70" w14:textId="77777777" w:rsidTr="00D94493">
        <w:trPr>
          <w:trHeight w:val="198"/>
        </w:trPr>
        <w:tc>
          <w:tcPr>
            <w:tcW w:w="5595" w:type="dxa"/>
            <w:tcBorders>
              <w:top w:val="single" w:sz="4" w:space="0" w:color="auto"/>
              <w:left w:val="nil"/>
              <w:bottom w:val="single" w:sz="4" w:space="0" w:color="auto"/>
              <w:right w:val="nil"/>
            </w:tcBorders>
            <w:shd w:val="clear" w:color="auto" w:fill="auto"/>
            <w:noWrap/>
            <w:vAlign w:val="bottom"/>
            <w:hideMark/>
          </w:tcPr>
          <w:p w14:paraId="5FA03053" w14:textId="77777777" w:rsidR="00D94493" w:rsidRPr="00D94493" w:rsidRDefault="00D94493" w:rsidP="00D94493">
            <w:pPr>
              <w:spacing w:line="240" w:lineRule="auto"/>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Daňové príjmy a príjmy FSZP vrátane sankcií</w:t>
            </w:r>
          </w:p>
        </w:tc>
        <w:tc>
          <w:tcPr>
            <w:tcW w:w="1157" w:type="dxa"/>
            <w:tcBorders>
              <w:top w:val="single" w:sz="4" w:space="0" w:color="auto"/>
              <w:left w:val="nil"/>
              <w:bottom w:val="single" w:sz="4" w:space="0" w:color="auto"/>
              <w:right w:val="nil"/>
            </w:tcBorders>
            <w:shd w:val="clear" w:color="auto" w:fill="auto"/>
            <w:noWrap/>
            <w:vAlign w:val="center"/>
            <w:hideMark/>
          </w:tcPr>
          <w:p w14:paraId="1F6ADCAF" w14:textId="77777777" w:rsidR="00D94493" w:rsidRPr="00D94493" w:rsidRDefault="00D94493" w:rsidP="00D94493">
            <w:pPr>
              <w:spacing w:after="0" w:line="240" w:lineRule="auto"/>
              <w:jc w:val="right"/>
              <w:rPr>
                <w:rFonts w:ascii="Times New Roman" w:eastAsia="Calibri" w:hAnsi="Times New Roman" w:cs="Times New Roman"/>
                <w:b/>
                <w:bCs/>
                <w:sz w:val="16"/>
                <w:szCs w:val="16"/>
                <w:highlight w:val="yellow"/>
                <w:lang w:eastAsia="sk-SK"/>
              </w:rPr>
            </w:pPr>
            <w:r w:rsidRPr="00D94493">
              <w:rPr>
                <w:rFonts w:ascii="Times New Roman" w:eastAsia="Calibri" w:hAnsi="Times New Roman" w:cs="Times New Roman"/>
                <w:b/>
                <w:bCs/>
                <w:sz w:val="16"/>
                <w:szCs w:val="16"/>
              </w:rPr>
              <w:t>-181 813</w:t>
            </w:r>
          </w:p>
        </w:tc>
        <w:tc>
          <w:tcPr>
            <w:tcW w:w="1160" w:type="dxa"/>
            <w:tcBorders>
              <w:top w:val="single" w:sz="4" w:space="0" w:color="auto"/>
              <w:left w:val="nil"/>
              <w:bottom w:val="single" w:sz="4" w:space="0" w:color="auto"/>
              <w:right w:val="nil"/>
            </w:tcBorders>
            <w:shd w:val="clear" w:color="auto" w:fill="auto"/>
            <w:noWrap/>
            <w:vAlign w:val="center"/>
            <w:hideMark/>
          </w:tcPr>
          <w:p w14:paraId="61A0FB11" w14:textId="77777777" w:rsidR="00D94493" w:rsidRPr="00D94493" w:rsidRDefault="00D94493" w:rsidP="00D94493">
            <w:pPr>
              <w:spacing w:after="0" w:line="240" w:lineRule="auto"/>
              <w:jc w:val="right"/>
              <w:rPr>
                <w:rFonts w:ascii="Times New Roman" w:eastAsia="Calibri" w:hAnsi="Times New Roman" w:cs="Times New Roman"/>
                <w:b/>
                <w:bCs/>
                <w:sz w:val="16"/>
                <w:szCs w:val="16"/>
                <w:highlight w:val="yellow"/>
                <w:lang w:eastAsia="sk-SK"/>
              </w:rPr>
            </w:pPr>
            <w:r w:rsidRPr="00D94493">
              <w:rPr>
                <w:rFonts w:ascii="Times New Roman" w:eastAsia="Calibri" w:hAnsi="Times New Roman" w:cs="Times New Roman"/>
                <w:b/>
                <w:bCs/>
                <w:sz w:val="16"/>
                <w:szCs w:val="16"/>
              </w:rPr>
              <w:t>894 393</w:t>
            </w:r>
          </w:p>
        </w:tc>
        <w:tc>
          <w:tcPr>
            <w:tcW w:w="1160" w:type="dxa"/>
            <w:tcBorders>
              <w:top w:val="single" w:sz="4" w:space="0" w:color="auto"/>
              <w:left w:val="nil"/>
              <w:bottom w:val="single" w:sz="4" w:space="0" w:color="auto"/>
              <w:right w:val="nil"/>
            </w:tcBorders>
            <w:shd w:val="clear" w:color="auto" w:fill="auto"/>
            <w:noWrap/>
            <w:vAlign w:val="center"/>
            <w:hideMark/>
          </w:tcPr>
          <w:p w14:paraId="77CC9EAD" w14:textId="77777777" w:rsidR="00D94493" w:rsidRPr="00D94493" w:rsidRDefault="00D94493" w:rsidP="00D94493">
            <w:pPr>
              <w:spacing w:after="0" w:line="240" w:lineRule="auto"/>
              <w:jc w:val="right"/>
              <w:rPr>
                <w:rFonts w:ascii="Times New Roman" w:eastAsia="Calibri" w:hAnsi="Times New Roman" w:cs="Times New Roman"/>
                <w:b/>
                <w:bCs/>
                <w:sz w:val="16"/>
                <w:szCs w:val="16"/>
                <w:highlight w:val="yellow"/>
                <w:lang w:eastAsia="sk-SK"/>
              </w:rPr>
            </w:pPr>
            <w:r w:rsidRPr="00D94493">
              <w:rPr>
                <w:rFonts w:ascii="Times New Roman" w:eastAsia="Calibri" w:hAnsi="Times New Roman" w:cs="Times New Roman"/>
                <w:b/>
                <w:bCs/>
                <w:sz w:val="16"/>
                <w:szCs w:val="16"/>
              </w:rPr>
              <w:t>141 222</w:t>
            </w:r>
          </w:p>
        </w:tc>
      </w:tr>
      <w:tr w:rsidR="00D94493" w:rsidRPr="00D94493" w14:paraId="4256D122" w14:textId="77777777" w:rsidTr="00D94493">
        <w:trPr>
          <w:trHeight w:val="198"/>
        </w:trPr>
        <w:tc>
          <w:tcPr>
            <w:tcW w:w="5595" w:type="dxa"/>
            <w:tcBorders>
              <w:top w:val="single" w:sz="4" w:space="0" w:color="auto"/>
              <w:left w:val="nil"/>
              <w:bottom w:val="nil"/>
              <w:right w:val="nil"/>
            </w:tcBorders>
            <w:shd w:val="clear" w:color="auto" w:fill="auto"/>
            <w:noWrap/>
            <w:vAlign w:val="bottom"/>
            <w:hideMark/>
          </w:tcPr>
          <w:p w14:paraId="42F0DCFC" w14:textId="77777777" w:rsidR="00D94493" w:rsidRPr="00D94493" w:rsidRDefault="00D94493" w:rsidP="00D94493">
            <w:pPr>
              <w:spacing w:line="240" w:lineRule="auto"/>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Výdavky na VPÚ</w:t>
            </w:r>
          </w:p>
        </w:tc>
        <w:tc>
          <w:tcPr>
            <w:tcW w:w="1157" w:type="dxa"/>
            <w:tcBorders>
              <w:top w:val="single" w:sz="4" w:space="0" w:color="auto"/>
              <w:left w:val="nil"/>
              <w:bottom w:val="nil"/>
              <w:right w:val="nil"/>
            </w:tcBorders>
            <w:shd w:val="clear" w:color="auto" w:fill="auto"/>
            <w:noWrap/>
            <w:vAlign w:val="center"/>
            <w:hideMark/>
          </w:tcPr>
          <w:p w14:paraId="2D5A8EC8" w14:textId="77777777" w:rsidR="00D94493" w:rsidRPr="00D94493" w:rsidRDefault="00D94493" w:rsidP="00D94493">
            <w:pPr>
              <w:spacing w:after="0" w:line="240" w:lineRule="auto"/>
              <w:jc w:val="right"/>
              <w:rPr>
                <w:rFonts w:ascii="Times New Roman" w:eastAsia="Calibri" w:hAnsi="Times New Roman" w:cs="Times New Roman"/>
                <w:b/>
                <w:bCs/>
                <w:sz w:val="16"/>
                <w:szCs w:val="16"/>
                <w:highlight w:val="yellow"/>
                <w:lang w:eastAsia="sk-SK"/>
              </w:rPr>
            </w:pPr>
            <w:r w:rsidRPr="00D94493">
              <w:rPr>
                <w:rFonts w:ascii="Times New Roman" w:eastAsia="Calibri" w:hAnsi="Times New Roman" w:cs="Times New Roman"/>
                <w:b/>
                <w:bCs/>
                <w:sz w:val="16"/>
                <w:szCs w:val="16"/>
              </w:rPr>
              <w:t>4 395</w:t>
            </w:r>
          </w:p>
        </w:tc>
        <w:tc>
          <w:tcPr>
            <w:tcW w:w="1160" w:type="dxa"/>
            <w:tcBorders>
              <w:top w:val="single" w:sz="4" w:space="0" w:color="auto"/>
              <w:left w:val="nil"/>
              <w:bottom w:val="nil"/>
              <w:right w:val="nil"/>
            </w:tcBorders>
            <w:shd w:val="clear" w:color="auto" w:fill="auto"/>
            <w:noWrap/>
            <w:vAlign w:val="center"/>
            <w:hideMark/>
          </w:tcPr>
          <w:p w14:paraId="06246354" w14:textId="77777777" w:rsidR="00D94493" w:rsidRPr="00D94493" w:rsidRDefault="00D94493" w:rsidP="00D94493">
            <w:pPr>
              <w:spacing w:after="0" w:line="240" w:lineRule="auto"/>
              <w:jc w:val="right"/>
              <w:rPr>
                <w:rFonts w:ascii="Times New Roman" w:eastAsia="Calibri" w:hAnsi="Times New Roman" w:cs="Times New Roman"/>
                <w:b/>
                <w:bCs/>
                <w:sz w:val="16"/>
                <w:szCs w:val="16"/>
                <w:highlight w:val="yellow"/>
                <w:lang w:eastAsia="sk-SK"/>
              </w:rPr>
            </w:pPr>
            <w:r w:rsidRPr="00D94493">
              <w:rPr>
                <w:rFonts w:ascii="Times New Roman" w:eastAsia="Calibri" w:hAnsi="Times New Roman" w:cs="Times New Roman"/>
                <w:b/>
                <w:bCs/>
                <w:sz w:val="16"/>
                <w:szCs w:val="16"/>
              </w:rPr>
              <w:t>5 314</w:t>
            </w:r>
          </w:p>
        </w:tc>
        <w:tc>
          <w:tcPr>
            <w:tcW w:w="1160" w:type="dxa"/>
            <w:tcBorders>
              <w:top w:val="single" w:sz="4" w:space="0" w:color="auto"/>
              <w:left w:val="nil"/>
              <w:bottom w:val="nil"/>
              <w:right w:val="nil"/>
            </w:tcBorders>
            <w:shd w:val="clear" w:color="auto" w:fill="auto"/>
            <w:noWrap/>
            <w:vAlign w:val="center"/>
            <w:hideMark/>
          </w:tcPr>
          <w:p w14:paraId="3D034ABC" w14:textId="77777777" w:rsidR="00D94493" w:rsidRPr="00D94493" w:rsidRDefault="00D94493" w:rsidP="00D94493">
            <w:pPr>
              <w:spacing w:after="0" w:line="240" w:lineRule="auto"/>
              <w:jc w:val="right"/>
              <w:rPr>
                <w:rFonts w:ascii="Times New Roman" w:eastAsia="Calibri" w:hAnsi="Times New Roman" w:cs="Times New Roman"/>
                <w:b/>
                <w:bCs/>
                <w:sz w:val="16"/>
                <w:szCs w:val="16"/>
                <w:highlight w:val="yellow"/>
                <w:lang w:eastAsia="sk-SK"/>
              </w:rPr>
            </w:pPr>
            <w:r w:rsidRPr="00D94493">
              <w:rPr>
                <w:rFonts w:ascii="Times New Roman" w:eastAsia="Calibri" w:hAnsi="Times New Roman" w:cs="Times New Roman"/>
                <w:b/>
                <w:bCs/>
                <w:sz w:val="16"/>
                <w:szCs w:val="16"/>
              </w:rPr>
              <w:t>2 062</w:t>
            </w:r>
          </w:p>
        </w:tc>
      </w:tr>
      <w:tr w:rsidR="00D94493" w:rsidRPr="00D94493" w14:paraId="72725520" w14:textId="77777777" w:rsidTr="00D94493">
        <w:trPr>
          <w:trHeight w:val="198"/>
        </w:trPr>
        <w:tc>
          <w:tcPr>
            <w:tcW w:w="5595" w:type="dxa"/>
            <w:tcBorders>
              <w:top w:val="nil"/>
              <w:left w:val="nil"/>
              <w:bottom w:val="nil"/>
              <w:right w:val="nil"/>
            </w:tcBorders>
            <w:shd w:val="clear" w:color="auto" w:fill="auto"/>
            <w:noWrap/>
            <w:vAlign w:val="bottom"/>
            <w:hideMark/>
          </w:tcPr>
          <w:p w14:paraId="17A1E018" w14:textId="77777777" w:rsidR="00D94493" w:rsidRPr="00D94493" w:rsidRDefault="00D94493" w:rsidP="00D94493">
            <w:pPr>
              <w:spacing w:line="240" w:lineRule="auto"/>
              <w:ind w:firstLineChars="100" w:firstLine="16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Daň z príjmov fyzických osôb</w:t>
            </w:r>
          </w:p>
        </w:tc>
        <w:tc>
          <w:tcPr>
            <w:tcW w:w="1157" w:type="dxa"/>
            <w:tcBorders>
              <w:top w:val="nil"/>
              <w:left w:val="nil"/>
              <w:bottom w:val="nil"/>
              <w:right w:val="nil"/>
            </w:tcBorders>
            <w:shd w:val="clear" w:color="auto" w:fill="auto"/>
            <w:noWrap/>
            <w:vAlign w:val="center"/>
            <w:hideMark/>
          </w:tcPr>
          <w:p w14:paraId="381EAAEC"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727</w:t>
            </w:r>
          </w:p>
        </w:tc>
        <w:tc>
          <w:tcPr>
            <w:tcW w:w="1160" w:type="dxa"/>
            <w:tcBorders>
              <w:top w:val="nil"/>
              <w:left w:val="nil"/>
              <w:bottom w:val="nil"/>
              <w:right w:val="nil"/>
            </w:tcBorders>
            <w:shd w:val="clear" w:color="auto" w:fill="auto"/>
            <w:noWrap/>
            <w:vAlign w:val="center"/>
            <w:hideMark/>
          </w:tcPr>
          <w:p w14:paraId="0B8FEE0A"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-1 026</w:t>
            </w:r>
          </w:p>
        </w:tc>
        <w:tc>
          <w:tcPr>
            <w:tcW w:w="1160" w:type="dxa"/>
            <w:tcBorders>
              <w:top w:val="nil"/>
              <w:left w:val="nil"/>
              <w:right w:val="nil"/>
            </w:tcBorders>
            <w:shd w:val="clear" w:color="auto" w:fill="auto"/>
            <w:noWrap/>
            <w:vAlign w:val="center"/>
            <w:hideMark/>
          </w:tcPr>
          <w:p w14:paraId="2BABA1FE"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-4 204</w:t>
            </w:r>
          </w:p>
        </w:tc>
      </w:tr>
      <w:tr w:rsidR="00D94493" w:rsidRPr="00D94493" w14:paraId="6E6E9DB6" w14:textId="77777777" w:rsidTr="00D94493">
        <w:trPr>
          <w:trHeight w:val="198"/>
        </w:trPr>
        <w:tc>
          <w:tcPr>
            <w:tcW w:w="5595" w:type="dxa"/>
            <w:tcBorders>
              <w:top w:val="nil"/>
              <w:left w:val="nil"/>
              <w:bottom w:val="single" w:sz="4" w:space="0" w:color="auto"/>
              <w:right w:val="nil"/>
            </w:tcBorders>
            <w:shd w:val="clear" w:color="auto" w:fill="auto"/>
            <w:noWrap/>
            <w:vAlign w:val="bottom"/>
            <w:hideMark/>
          </w:tcPr>
          <w:p w14:paraId="2738B43F" w14:textId="77777777" w:rsidR="00D94493" w:rsidRPr="00D94493" w:rsidRDefault="00D94493" w:rsidP="00D94493">
            <w:pPr>
              <w:spacing w:line="240" w:lineRule="auto"/>
              <w:ind w:firstLineChars="100" w:firstLine="16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Daň z príjmov právnických osôb</w:t>
            </w:r>
          </w:p>
        </w:tc>
        <w:tc>
          <w:tcPr>
            <w:tcW w:w="1157" w:type="dxa"/>
            <w:tcBorders>
              <w:top w:val="nil"/>
              <w:left w:val="nil"/>
              <w:bottom w:val="single" w:sz="4" w:space="0" w:color="auto"/>
              <w:right w:val="nil"/>
            </w:tcBorders>
            <w:shd w:val="clear" w:color="auto" w:fill="auto"/>
            <w:noWrap/>
            <w:vAlign w:val="center"/>
            <w:hideMark/>
          </w:tcPr>
          <w:p w14:paraId="4567A609"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3 668</w:t>
            </w:r>
          </w:p>
        </w:tc>
        <w:tc>
          <w:tcPr>
            <w:tcW w:w="1160" w:type="dxa"/>
            <w:tcBorders>
              <w:top w:val="nil"/>
              <w:left w:val="nil"/>
              <w:bottom w:val="single" w:sz="4" w:space="0" w:color="auto"/>
              <w:right w:val="nil"/>
            </w:tcBorders>
            <w:shd w:val="clear" w:color="auto" w:fill="auto"/>
            <w:noWrap/>
            <w:vAlign w:val="center"/>
            <w:hideMark/>
          </w:tcPr>
          <w:p w14:paraId="3459763F"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6 340</w:t>
            </w:r>
          </w:p>
        </w:tc>
        <w:tc>
          <w:tcPr>
            <w:tcW w:w="1160" w:type="dxa"/>
            <w:tcBorders>
              <w:top w:val="nil"/>
              <w:left w:val="nil"/>
              <w:bottom w:val="single" w:sz="4" w:space="0" w:color="auto"/>
              <w:right w:val="nil"/>
            </w:tcBorders>
            <w:shd w:val="clear" w:color="auto" w:fill="auto"/>
            <w:noWrap/>
            <w:vAlign w:val="center"/>
            <w:hideMark/>
          </w:tcPr>
          <w:p w14:paraId="671A1398" w14:textId="77777777" w:rsidR="00D94493" w:rsidRPr="00D94493" w:rsidRDefault="00D94493" w:rsidP="00D94493">
            <w:pPr>
              <w:spacing w:after="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sz w:val="16"/>
                <w:szCs w:val="16"/>
              </w:rPr>
              <w:t>6 266</w:t>
            </w:r>
          </w:p>
        </w:tc>
      </w:tr>
      <w:tr w:rsidR="00D94493" w:rsidRPr="00D94493" w14:paraId="70BEFE20" w14:textId="77777777" w:rsidTr="00D94493">
        <w:trPr>
          <w:trHeight w:val="198"/>
        </w:trPr>
        <w:tc>
          <w:tcPr>
            <w:tcW w:w="9072" w:type="dxa"/>
            <w:gridSpan w:val="4"/>
            <w:tcBorders>
              <w:top w:val="nil"/>
              <w:left w:val="nil"/>
              <w:bottom w:val="nil"/>
              <w:right w:val="nil"/>
            </w:tcBorders>
            <w:shd w:val="clear" w:color="auto" w:fill="auto"/>
            <w:noWrap/>
            <w:vAlign w:val="bottom"/>
            <w:hideMark/>
          </w:tcPr>
          <w:p w14:paraId="24A533BF" w14:textId="77777777" w:rsidR="00D94493" w:rsidRPr="00D94493" w:rsidRDefault="00D94493" w:rsidP="00D94493">
            <w:pPr>
              <w:spacing w:line="240" w:lineRule="auto"/>
              <w:rPr>
                <w:rFonts w:ascii="Times New Roman" w:eastAsia="Calibri" w:hAnsi="Times New Roman" w:cs="Times New Roman"/>
                <w:i/>
                <w:iCs/>
                <w:sz w:val="16"/>
                <w:szCs w:val="16"/>
                <w:lang w:eastAsia="sk-SK"/>
              </w:rPr>
            </w:pPr>
            <w:r w:rsidRPr="00D94493">
              <w:rPr>
                <w:rFonts w:ascii="Times New Roman" w:eastAsia="Calibri" w:hAnsi="Times New Roman" w:cs="Times New Roman"/>
                <w:i/>
                <w:iCs/>
                <w:sz w:val="16"/>
                <w:szCs w:val="16"/>
                <w:lang w:eastAsia="sk-SK"/>
              </w:rPr>
              <w:t>* (+) indikuje aktuálny odhad vyšší ako rozpočet, (-) indikuje aktuálny odhad nižší ako rozpočet</w:t>
            </w:r>
          </w:p>
        </w:tc>
      </w:tr>
    </w:tbl>
    <w:p w14:paraId="6A28065C" w14:textId="77777777" w:rsidR="00D94493" w:rsidRPr="00D94493" w:rsidRDefault="00D94493" w:rsidP="00D94493">
      <w:pPr>
        <w:spacing w:after="0"/>
        <w:jc w:val="both"/>
        <w:rPr>
          <w:rFonts w:ascii="Times New Roman" w:hAnsi="Times New Roman" w:cs="Times New Roman"/>
          <w:sz w:val="24"/>
        </w:rPr>
      </w:pPr>
    </w:p>
    <w:p w14:paraId="1C88F7A0" w14:textId="77777777" w:rsidR="00D94493" w:rsidRPr="00D94493" w:rsidRDefault="00D94493" w:rsidP="00D94493">
      <w:pPr>
        <w:spacing w:after="0"/>
        <w:jc w:val="both"/>
        <w:rPr>
          <w:rFonts w:ascii="Times New Roman" w:eastAsia="Calibri" w:hAnsi="Times New Roman" w:cs="Times New Roman"/>
          <w:sz w:val="24"/>
          <w:szCs w:val="24"/>
        </w:rPr>
      </w:pPr>
      <w:r w:rsidRPr="00D94493">
        <w:rPr>
          <w:rFonts w:ascii="Times New Roman" w:eastAsia="Calibri" w:hAnsi="Times New Roman" w:cs="Times New Roman"/>
          <w:sz w:val="24"/>
          <w:szCs w:val="24"/>
        </w:rPr>
        <w:t>Prognóza daňových príjmov verejnej správy je v porovnaní so schváleným rozpočtom na roky 2023 až 2025 v roku 2023 nižšia o </w:t>
      </w:r>
      <w:r w:rsidRPr="00D94493">
        <w:rPr>
          <w:rFonts w:ascii="Times New Roman" w:eastAsia="Calibri" w:hAnsi="Times New Roman" w:cs="Times New Roman"/>
          <w:sz w:val="24"/>
        </w:rPr>
        <w:t>205</w:t>
      </w:r>
      <w:r w:rsidRPr="00D94493">
        <w:rPr>
          <w:rFonts w:ascii="Times New Roman" w:eastAsia="Calibri" w:hAnsi="Times New Roman" w:cs="Times New Roman"/>
          <w:sz w:val="24"/>
          <w:szCs w:val="24"/>
        </w:rPr>
        <w:t xml:space="preserve"> mil. eur, v roku 2024 vyššia o </w:t>
      </w:r>
      <w:r w:rsidRPr="00D94493">
        <w:rPr>
          <w:rFonts w:ascii="Times New Roman" w:eastAsia="Calibri" w:hAnsi="Times New Roman" w:cs="Times New Roman"/>
          <w:sz w:val="24"/>
        </w:rPr>
        <w:t>871</w:t>
      </w:r>
      <w:r w:rsidRPr="00D94493">
        <w:rPr>
          <w:rFonts w:ascii="Times New Roman" w:eastAsia="Calibri" w:hAnsi="Times New Roman" w:cs="Times New Roman"/>
          <w:sz w:val="24"/>
          <w:szCs w:val="24"/>
        </w:rPr>
        <w:t xml:space="preserve"> mil. eur a v roku 2025 </w:t>
      </w:r>
      <w:r w:rsidRPr="00D94493">
        <w:rPr>
          <w:rFonts w:ascii="Times New Roman" w:eastAsia="Calibri" w:hAnsi="Times New Roman" w:cs="Times New Roman"/>
          <w:sz w:val="24"/>
        </w:rPr>
        <w:t>vyššia</w:t>
      </w:r>
      <w:r w:rsidRPr="00D94493">
        <w:rPr>
          <w:rFonts w:ascii="Times New Roman" w:eastAsia="Calibri" w:hAnsi="Times New Roman" w:cs="Times New Roman"/>
          <w:sz w:val="24"/>
          <w:szCs w:val="24"/>
        </w:rPr>
        <w:t xml:space="preserve"> o </w:t>
      </w:r>
      <w:r w:rsidRPr="00D94493">
        <w:rPr>
          <w:rFonts w:ascii="Times New Roman" w:eastAsia="Calibri" w:hAnsi="Times New Roman" w:cs="Times New Roman"/>
          <w:sz w:val="24"/>
        </w:rPr>
        <w:t>118</w:t>
      </w:r>
      <w:r w:rsidRPr="00D94493">
        <w:rPr>
          <w:rFonts w:ascii="Times New Roman" w:eastAsia="Calibri" w:hAnsi="Times New Roman" w:cs="Times New Roman"/>
          <w:sz w:val="24"/>
          <w:szCs w:val="24"/>
        </w:rPr>
        <w:t xml:space="preserve"> mil. eur. Nižšie príjmy sú najmä pri dani z pridanej hodnoty a dani z príjmov fyzických osôb. Naopak, vyššie príjmy sa očakávajú pri dani z príjmov právnických osôb a ostatných daniach. </w:t>
      </w:r>
    </w:p>
    <w:p w14:paraId="4D9086CC" w14:textId="77777777" w:rsidR="00D94493" w:rsidRPr="00D94493" w:rsidRDefault="00D94493" w:rsidP="00D94493">
      <w:pPr>
        <w:spacing w:after="0"/>
        <w:jc w:val="both"/>
        <w:rPr>
          <w:rFonts w:ascii="Times New Roman" w:eastAsia="Calibri" w:hAnsi="Times New Roman" w:cs="Times New Roman"/>
          <w:b/>
          <w:sz w:val="24"/>
        </w:rPr>
      </w:pPr>
    </w:p>
    <w:p w14:paraId="3C901980" w14:textId="77777777" w:rsidR="00D94493" w:rsidRPr="00D94493" w:rsidRDefault="00D94493" w:rsidP="00D94493">
      <w:pPr>
        <w:spacing w:after="0"/>
        <w:jc w:val="both"/>
        <w:rPr>
          <w:rFonts w:ascii="Times New Roman" w:eastAsia="Calibri" w:hAnsi="Times New Roman" w:cs="Times New Roman"/>
          <w:sz w:val="24"/>
          <w:szCs w:val="24"/>
        </w:rPr>
      </w:pPr>
      <w:r w:rsidRPr="00D94493">
        <w:rPr>
          <w:rFonts w:ascii="Times New Roman" w:eastAsia="Calibri" w:hAnsi="Times New Roman" w:cs="Times New Roman"/>
          <w:b/>
          <w:bCs/>
          <w:sz w:val="24"/>
          <w:szCs w:val="24"/>
        </w:rPr>
        <w:t xml:space="preserve">Výnos daní a odvodov z práce bude na horizonte rozpočtu ovplyvnený zhoršením makroekonomického prostredia a legislatívnymi zmenami. </w:t>
      </w:r>
      <w:r w:rsidRPr="00D94493">
        <w:rPr>
          <w:rFonts w:ascii="Times New Roman" w:eastAsia="Calibri" w:hAnsi="Times New Roman" w:cs="Times New Roman"/>
          <w:sz w:val="24"/>
          <w:szCs w:val="24"/>
        </w:rPr>
        <w:t xml:space="preserve">Najvýznamnejšie zmeny na rok 2024 sa týkajú zvýšenia zdravotných odvodov zamestnávateľa o 1 p. b. a zníženia príspevku na dôchodkové sporenie na 4 % s vplyvom na rozpočet verejnej správy vo výške 763 mil. eur. </w:t>
      </w:r>
      <w:r w:rsidRPr="00D94493">
        <w:rPr>
          <w:rFonts w:ascii="Times New Roman" w:eastAsia="Calibri" w:hAnsi="Times New Roman" w:cs="Times New Roman"/>
          <w:b/>
          <w:bCs/>
          <w:sz w:val="24"/>
          <w:szCs w:val="24"/>
        </w:rPr>
        <w:t xml:space="preserve"> </w:t>
      </w:r>
      <w:r w:rsidRPr="00D94493">
        <w:rPr>
          <w:rFonts w:ascii="Times New Roman" w:eastAsia="Calibri" w:hAnsi="Times New Roman" w:cs="Times New Roman"/>
          <w:sz w:val="24"/>
          <w:szCs w:val="24"/>
        </w:rPr>
        <w:t xml:space="preserve">Pozitívne vplyvy legislatívnych zmien na budúci rok tak kompenzujú horšie makroekonomické predpoklady v porovnaní s minuloročným rozpočtom. Pri výnos dani z príjmu fyzických osôb bude okrem efektu nižších medziročných rastov miezd negatívne vplývať na výnos aj efekt tichého zdanenia, ktorý v dôsledku zmien v inflačných očakávaniach roku 2023 zhorší výnos na horizonte 2024 až 2026. </w:t>
      </w:r>
    </w:p>
    <w:p w14:paraId="7F2F11B9" w14:textId="77777777" w:rsidR="00D94493" w:rsidRPr="00D94493" w:rsidRDefault="00D94493" w:rsidP="00D94493">
      <w:pPr>
        <w:spacing w:after="0"/>
        <w:jc w:val="both"/>
        <w:rPr>
          <w:rFonts w:ascii="Times New Roman" w:eastAsia="Calibri" w:hAnsi="Times New Roman" w:cs="Times New Roman"/>
          <w:sz w:val="24"/>
          <w:szCs w:val="24"/>
          <w:highlight w:val="yellow"/>
        </w:rPr>
      </w:pPr>
    </w:p>
    <w:p w14:paraId="4BC7D853" w14:textId="77777777" w:rsidR="00D94493" w:rsidRPr="00D94493" w:rsidRDefault="00D94493" w:rsidP="00D94493">
      <w:pPr>
        <w:spacing w:after="0"/>
        <w:jc w:val="both"/>
        <w:rPr>
          <w:rFonts w:ascii="Times New Roman" w:eastAsia="Calibri" w:hAnsi="Times New Roman" w:cs="Times New Roman"/>
          <w:sz w:val="24"/>
          <w:szCs w:val="24"/>
        </w:rPr>
      </w:pPr>
      <w:r w:rsidRPr="00D94493">
        <w:rPr>
          <w:rFonts w:ascii="Times New Roman" w:eastAsia="Calibri" w:hAnsi="Times New Roman" w:cs="Times New Roman"/>
          <w:b/>
          <w:bCs/>
          <w:sz w:val="24"/>
          <w:szCs w:val="24"/>
        </w:rPr>
        <w:t>Daň z príjmov právnických osô</w:t>
      </w:r>
      <w:r w:rsidRPr="00D94493">
        <w:rPr>
          <w:rFonts w:ascii="Times New Roman" w:eastAsia="Calibri" w:hAnsi="Times New Roman" w:cs="Times New Roman"/>
          <w:sz w:val="24"/>
          <w:szCs w:val="24"/>
        </w:rPr>
        <w:t xml:space="preserve">b pokračovala v roku 2022 v raste z roku 2021 (+30 %) a medziročne narástla o 12 %. DPPO pomohli hlavne sektory s veľkým podielom na celkovom výnose, ako je priemysel, maloobchod a financie, ale aj iné sektory. Štruktúra ekonomiky </w:t>
      </w:r>
      <w:r w:rsidRPr="00D94493">
        <w:rPr>
          <w:rFonts w:ascii="Times New Roman" w:eastAsia="Calibri" w:hAnsi="Times New Roman" w:cs="Times New Roman"/>
          <w:sz w:val="24"/>
          <w:szCs w:val="24"/>
        </w:rPr>
        <w:lastRenderedPageBreak/>
        <w:t xml:space="preserve">naznačuje pokračovanie v nastavenej dynamike rastu dane aj v roku 2023 a výnos je  porovnaní s minulým rozpočtom vyšší o 355 mil. eur. V nasledujúcich rokoch výnos dane ovplyvní viacero legislatívnych zmien. Zatiaľ čo znovuzavedenie minimálnej dane zvyšuje výnos, zvýšenie hranice pre </w:t>
      </w:r>
      <w:proofErr w:type="spellStart"/>
      <w:r w:rsidRPr="00D94493">
        <w:rPr>
          <w:rFonts w:ascii="Times New Roman" w:eastAsia="Calibri" w:hAnsi="Times New Roman" w:cs="Times New Roman"/>
          <w:sz w:val="24"/>
          <w:szCs w:val="24"/>
        </w:rPr>
        <w:t>mikrodaňovníka</w:t>
      </w:r>
      <w:proofErr w:type="spellEnd"/>
      <w:r w:rsidRPr="00D94493">
        <w:rPr>
          <w:rFonts w:ascii="Times New Roman" w:eastAsia="Calibri" w:hAnsi="Times New Roman" w:cs="Times New Roman"/>
          <w:sz w:val="24"/>
          <w:szCs w:val="24"/>
        </w:rPr>
        <w:t xml:space="preserve"> vedie k miernemu poklesu. Negatívne firemnú daň nepriamo ovplyvňujú aj ďalšie opatrenia. Zvýšenie zdravotných odvodov na strane zamestnávateľa zvyšuje náklady firiem, čo ma negatívny vplyv na základ dane DPPO , ako aj na samotnú daň. Podobne negatívny vplyv má aj predĺženie solidárneho príspevku v odvetviach ropy, zemného plynu, uhlia a rafinérií.  </w:t>
      </w:r>
    </w:p>
    <w:p w14:paraId="4CC2B434" w14:textId="77777777" w:rsidR="00D94493" w:rsidRPr="00D94493" w:rsidRDefault="00D94493" w:rsidP="00D94493">
      <w:pPr>
        <w:spacing w:after="0"/>
        <w:jc w:val="both"/>
        <w:rPr>
          <w:rFonts w:ascii="Times New Roman" w:eastAsia="Calibri" w:hAnsi="Times New Roman" w:cs="Times New Roman"/>
          <w:sz w:val="24"/>
        </w:rPr>
      </w:pPr>
    </w:p>
    <w:p w14:paraId="648816BD" w14:textId="77777777" w:rsidR="00D94493" w:rsidRPr="00D94493" w:rsidRDefault="00D94493" w:rsidP="00D94493">
      <w:pPr>
        <w:spacing w:after="0"/>
        <w:jc w:val="both"/>
        <w:rPr>
          <w:rFonts w:ascii="Times New Roman" w:eastAsia="Calibri" w:hAnsi="Times New Roman" w:cs="Times New Roman"/>
          <w:sz w:val="24"/>
        </w:rPr>
      </w:pPr>
      <w:r w:rsidRPr="00D94493">
        <w:rPr>
          <w:rFonts w:ascii="Times New Roman" w:eastAsia="Calibri" w:hAnsi="Times New Roman" w:cs="Times New Roman"/>
          <w:sz w:val="24"/>
        </w:rPr>
        <w:t xml:space="preserve">Odhad výnosu </w:t>
      </w:r>
      <w:r w:rsidRPr="00D94493">
        <w:rPr>
          <w:rFonts w:ascii="Times New Roman" w:eastAsia="Calibri" w:hAnsi="Times New Roman" w:cs="Times New Roman"/>
          <w:b/>
          <w:sz w:val="24"/>
        </w:rPr>
        <w:t>dane vyberanej zrážkou</w:t>
      </w:r>
      <w:r w:rsidRPr="00D94493">
        <w:rPr>
          <w:rFonts w:ascii="Times New Roman" w:eastAsia="Calibri" w:hAnsi="Times New Roman" w:cs="Times New Roman"/>
          <w:sz w:val="24"/>
        </w:rPr>
        <w:t xml:space="preserve"> sa v porovnaní s minuloročným rozpočtom zvyšuje v roku 2024 o 21 mil. eur a v roku 2025 o 10 mil. eur. Na základe vývoja v roku 2023 a zmeny makroekonomických ukazovateľov sa očakávajú vyššie príjmy zo zdanenia úrokov z vkladov aj vyššie príjmy z licenčných poplatkov. Zvýšenie sadzby dane z dividend taktiež zvýši výnos dane.</w:t>
      </w:r>
    </w:p>
    <w:p w14:paraId="53DD476C" w14:textId="77777777" w:rsidR="00D94493" w:rsidRPr="00D94493" w:rsidRDefault="00D94493" w:rsidP="00D94493">
      <w:pPr>
        <w:spacing w:after="0"/>
        <w:jc w:val="both"/>
        <w:rPr>
          <w:rFonts w:ascii="Times New Roman" w:eastAsia="Calibri" w:hAnsi="Times New Roman" w:cs="Times New Roman"/>
          <w:sz w:val="24"/>
          <w:highlight w:val="yellow"/>
        </w:rPr>
      </w:pPr>
    </w:p>
    <w:p w14:paraId="6B09D040" w14:textId="77777777" w:rsidR="00D94493" w:rsidRPr="00D94493" w:rsidRDefault="00D94493" w:rsidP="00D94493">
      <w:pPr>
        <w:spacing w:after="0"/>
        <w:jc w:val="both"/>
        <w:rPr>
          <w:rFonts w:ascii="Times New Roman" w:eastAsia="Calibri" w:hAnsi="Times New Roman" w:cs="Times New Roman"/>
          <w:sz w:val="24"/>
          <w:szCs w:val="24"/>
        </w:rPr>
      </w:pPr>
      <w:r w:rsidRPr="00D94493">
        <w:rPr>
          <w:rFonts w:ascii="Times New Roman" w:eastAsia="Calibri" w:hAnsi="Times New Roman" w:cs="Times New Roman"/>
          <w:sz w:val="24"/>
          <w:szCs w:val="24"/>
        </w:rPr>
        <w:t>Výnos</w:t>
      </w:r>
      <w:r w:rsidRPr="00D94493">
        <w:rPr>
          <w:rFonts w:ascii="Times New Roman" w:eastAsia="Calibri" w:hAnsi="Times New Roman" w:cs="Times New Roman"/>
          <w:b/>
          <w:sz w:val="24"/>
          <w:szCs w:val="24"/>
        </w:rPr>
        <w:t xml:space="preserve"> DPH</w:t>
      </w:r>
      <w:r w:rsidRPr="00D94493">
        <w:rPr>
          <w:rFonts w:ascii="Times New Roman" w:eastAsia="Calibri" w:hAnsi="Times New Roman" w:cs="Times New Roman"/>
          <w:sz w:val="24"/>
          <w:szCs w:val="24"/>
        </w:rPr>
        <w:t xml:space="preserve"> bude v porovnaní s predošlým rozpočtom nižší o 382 mil. eur v roku 2024, resp. 641 mil. eur v roku 2025. Výhľad je ovplyvňovaný poskytovanou </w:t>
      </w:r>
      <w:proofErr w:type="spellStart"/>
      <w:r w:rsidRPr="00D94493">
        <w:rPr>
          <w:rFonts w:ascii="Times New Roman" w:eastAsia="Calibri" w:hAnsi="Times New Roman" w:cs="Times New Roman"/>
          <w:sz w:val="24"/>
          <w:szCs w:val="24"/>
        </w:rPr>
        <w:t>energopomocou</w:t>
      </w:r>
      <w:proofErr w:type="spellEnd"/>
      <w:r w:rsidRPr="00D94493">
        <w:rPr>
          <w:rFonts w:ascii="Times New Roman" w:eastAsia="Calibri" w:hAnsi="Times New Roman" w:cs="Times New Roman"/>
          <w:sz w:val="24"/>
          <w:szCs w:val="24"/>
        </w:rPr>
        <w:t xml:space="preserve"> domácnostiam pokračujúcou aj v roku 2024, prijatou legislatívou, presúvanie čerpaných prostriedkov medzi rokmi v rámci Plánu obnovy a odolnosti do neskorších rokov, či zhoršením makroekonomických parametrov. Negatívne pôsobí zavedenie zníženej sadzby 10 % na </w:t>
      </w:r>
      <w:proofErr w:type="spellStart"/>
      <w:r w:rsidRPr="00D94493">
        <w:rPr>
          <w:rFonts w:ascii="Times New Roman" w:eastAsia="Calibri" w:hAnsi="Times New Roman" w:cs="Times New Roman"/>
          <w:sz w:val="24"/>
          <w:szCs w:val="24"/>
        </w:rPr>
        <w:t>gastro</w:t>
      </w:r>
      <w:proofErr w:type="spellEnd"/>
      <w:r w:rsidRPr="00D94493">
        <w:rPr>
          <w:rFonts w:ascii="Times New Roman" w:eastAsia="Calibri" w:hAnsi="Times New Roman" w:cs="Times New Roman"/>
          <w:sz w:val="24"/>
          <w:szCs w:val="24"/>
        </w:rPr>
        <w:t xml:space="preserve">, športoviská, </w:t>
      </w:r>
      <w:proofErr w:type="spellStart"/>
      <w:r w:rsidRPr="00D94493">
        <w:rPr>
          <w:rFonts w:ascii="Times New Roman" w:eastAsia="Calibri" w:hAnsi="Times New Roman" w:cs="Times New Roman"/>
          <w:sz w:val="24"/>
          <w:szCs w:val="24"/>
        </w:rPr>
        <w:t>akvaparky</w:t>
      </w:r>
      <w:proofErr w:type="spellEnd"/>
      <w:r w:rsidRPr="00D94493">
        <w:rPr>
          <w:rFonts w:ascii="Times New Roman" w:eastAsia="Calibri" w:hAnsi="Times New Roman" w:cs="Times New Roman"/>
          <w:sz w:val="24"/>
          <w:szCs w:val="24"/>
        </w:rPr>
        <w:t xml:space="preserve"> a vleky od 1. januára 2023 a zavedenie sadzby 5 % v oblasti štátom podporovaného nájomného bývania od 1. januára 2023. Záporné efekty legislatívy sú korigované pozitívnym vplyvom plynúcim zo zrušenia zníženej sadzby v sektore </w:t>
      </w:r>
      <w:proofErr w:type="spellStart"/>
      <w:r w:rsidRPr="00D94493">
        <w:rPr>
          <w:rFonts w:ascii="Times New Roman" w:eastAsia="Calibri" w:hAnsi="Times New Roman" w:cs="Times New Roman"/>
          <w:sz w:val="24"/>
          <w:szCs w:val="24"/>
        </w:rPr>
        <w:t>gastro</w:t>
      </w:r>
      <w:proofErr w:type="spellEnd"/>
      <w:r w:rsidRPr="00D94493">
        <w:rPr>
          <w:rFonts w:ascii="Times New Roman" w:eastAsia="Calibri" w:hAnsi="Times New Roman" w:cs="Times New Roman"/>
          <w:sz w:val="24"/>
          <w:szCs w:val="24"/>
        </w:rPr>
        <w:t xml:space="preserve"> o alkohol od 1. januára 2024 a nepriamo zavedenými zvýšenými sadzbami vybraných spotrebných daní z tabaku od 1. januára 2024 a liehu od 1. februára 2024 a tiež výnosom plynúcim zo zvýšenia poplatku za udržiavanie núdzových zásob ropy. Kumulatívne legislatíva spôsobí oproti RVS na roky 2023 až 2025 zníženie výnosu o 172 mil. eur v roku 2024 a 175 mil. eur v roku 2025. Vývoj makroekonomických základní i efektívna daňová sadzba, ktorá sa prinavrátila na mierne nižšie úrovne, zodpovedajú za zníženie odhadu výnosu oproti rozpočtu verejnej správy na celom rozpočtovom horizonte.</w:t>
      </w:r>
    </w:p>
    <w:p w14:paraId="7287152B" w14:textId="77777777" w:rsidR="00D94493" w:rsidRPr="00D94493" w:rsidRDefault="00D94493" w:rsidP="00D94493">
      <w:pPr>
        <w:spacing w:after="0"/>
        <w:jc w:val="both"/>
        <w:rPr>
          <w:rFonts w:ascii="Times New Roman" w:eastAsia="Calibri" w:hAnsi="Times New Roman" w:cs="Times New Roman"/>
          <w:sz w:val="24"/>
          <w:szCs w:val="24"/>
        </w:rPr>
      </w:pPr>
      <w:r w:rsidRPr="00D94493">
        <w:rPr>
          <w:rFonts w:ascii="Times New Roman" w:eastAsia="Calibri" w:hAnsi="Times New Roman" w:cs="Times New Roman"/>
          <w:sz w:val="24"/>
          <w:szCs w:val="24"/>
        </w:rPr>
        <w:t xml:space="preserve"> </w:t>
      </w:r>
    </w:p>
    <w:p w14:paraId="4343FE71" w14:textId="77777777" w:rsidR="00D94493" w:rsidRPr="00D94493" w:rsidRDefault="00D94493" w:rsidP="00D94493">
      <w:pPr>
        <w:spacing w:after="0"/>
        <w:jc w:val="both"/>
        <w:rPr>
          <w:rFonts w:ascii="Times New Roman" w:eastAsia="Calibri" w:hAnsi="Times New Roman" w:cs="Times New Roman"/>
          <w:sz w:val="24"/>
          <w:szCs w:val="24"/>
        </w:rPr>
      </w:pPr>
      <w:r w:rsidRPr="00D94493">
        <w:rPr>
          <w:rFonts w:ascii="Times New Roman" w:eastAsia="Calibri" w:hAnsi="Times New Roman" w:cs="Times New Roman"/>
          <w:sz w:val="24"/>
          <w:szCs w:val="24"/>
        </w:rPr>
        <w:t xml:space="preserve">Celkový výnos </w:t>
      </w:r>
      <w:r w:rsidRPr="00D94493">
        <w:rPr>
          <w:rFonts w:ascii="Times New Roman" w:eastAsia="Calibri" w:hAnsi="Times New Roman" w:cs="Times New Roman"/>
          <w:b/>
          <w:bCs/>
          <w:sz w:val="24"/>
          <w:szCs w:val="24"/>
        </w:rPr>
        <w:t>spotrebných daní</w:t>
      </w:r>
      <w:r w:rsidRPr="00D94493">
        <w:rPr>
          <w:rFonts w:ascii="Times New Roman" w:eastAsia="Calibri" w:hAnsi="Times New Roman" w:cs="Times New Roman"/>
          <w:sz w:val="24"/>
          <w:szCs w:val="24"/>
        </w:rPr>
        <w:t xml:space="preserve"> v rokoch 2024 a 2025 bude v porovnaní s Rozpočtom verejnej správy na roky 2023 až 2025 vyšší o 207, resp. 255 mil. eur. Negatívny vývoj sa očakáva pri spotrebných daniach z piva, zo zemného plynu a z uhlia. Ostatné spotrebné dane dosiahnu vyšší výnos. Výnos spotrebnej dane z liehu je významne pozitívne ovplyvnený zvýšením sadzby o 30 %, ktoré nadobudlo účinnosť k 1.4.2023. Od začiatku roka 2024 sadzba spotrebnej dane z liehu vzrastie o ďalších približne 6 %. Výnos spotrebnej dane z minerálneho oleja je približne rovnako pozitívne ovplyvnený aktualizáciou reálneho rastu ekonomiky ako aj vyššou úspešnosťou výberu v roku 2023, ktorá sa prenáša do ďalších rokov. Predpokladaný vyšší výnos spotrebnej dane z tabakových výrobkov v rokoch 2024 až 2026 je spôsobený najmä novou legislatívnou úpravou, ktorá zvyšuje sadzby dane pre jednotlivé tabakové výrobky s účinnosťou od 1.2.2024 a od 1.2.2026. Vyšší odhad spotreby domácností pomáha prognóze. Naopak, úspešnosť výberu dane výnos spotrebnej dane z tabakových výrobkov mierne znižuje.</w:t>
      </w:r>
    </w:p>
    <w:p w14:paraId="22851D94" w14:textId="77777777" w:rsidR="00D94493" w:rsidRPr="00D94493" w:rsidRDefault="00D94493" w:rsidP="00D94493">
      <w:pPr>
        <w:spacing w:after="0"/>
        <w:jc w:val="both"/>
        <w:rPr>
          <w:rFonts w:ascii="Times New Roman" w:eastAsia="Calibri" w:hAnsi="Times New Roman" w:cs="Times New Roman"/>
          <w:color w:val="FF0000"/>
          <w:sz w:val="24"/>
        </w:rPr>
      </w:pPr>
    </w:p>
    <w:p w14:paraId="67CC7926" w14:textId="77777777" w:rsidR="00D94493" w:rsidRPr="00D94493" w:rsidRDefault="00D94493" w:rsidP="00D94493">
      <w:pPr>
        <w:spacing w:after="0"/>
        <w:jc w:val="both"/>
        <w:rPr>
          <w:rFonts w:ascii="Times New Roman" w:eastAsia="Calibri" w:hAnsi="Times New Roman" w:cs="Times New Roman"/>
          <w:color w:val="FF0000"/>
          <w:sz w:val="24"/>
        </w:rPr>
      </w:pPr>
    </w:p>
    <w:p w14:paraId="2A50A476" w14:textId="77777777" w:rsidR="00D94493" w:rsidRPr="00D94493" w:rsidRDefault="00D94493" w:rsidP="00D94493">
      <w:pPr>
        <w:spacing w:after="0"/>
        <w:jc w:val="both"/>
        <w:rPr>
          <w:rFonts w:ascii="Times New Roman" w:eastAsia="Calibri" w:hAnsi="Times New Roman" w:cs="Times New Roman"/>
          <w:color w:val="FF0000"/>
          <w:sz w:val="24"/>
        </w:rPr>
      </w:pPr>
    </w:p>
    <w:p w14:paraId="72C20DCB" w14:textId="77777777" w:rsidR="00D94493" w:rsidRPr="00D94493" w:rsidRDefault="00D94493" w:rsidP="00D94493">
      <w:pPr>
        <w:spacing w:after="0"/>
        <w:jc w:val="both"/>
        <w:rPr>
          <w:rFonts w:ascii="Times New Roman" w:eastAsia="Calibri" w:hAnsi="Times New Roman" w:cs="Times New Roman"/>
          <w:b/>
          <w:color w:val="5B9BD5"/>
          <w:sz w:val="24"/>
        </w:rPr>
      </w:pPr>
      <w:r w:rsidRPr="00D94493">
        <w:rPr>
          <w:rFonts w:ascii="Times New Roman" w:eastAsia="Calibri" w:hAnsi="Times New Roman" w:cs="Times New Roman"/>
          <w:b/>
          <w:color w:val="5B9BD5"/>
          <w:sz w:val="24"/>
        </w:rPr>
        <w:lastRenderedPageBreak/>
        <w:t>Prehľad legislatívnych zmien</w:t>
      </w:r>
    </w:p>
    <w:p w14:paraId="1998172A" w14:textId="77777777" w:rsidR="00D94493" w:rsidRPr="00D94493" w:rsidRDefault="00D94493" w:rsidP="00D94493">
      <w:pPr>
        <w:spacing w:after="0" w:line="240" w:lineRule="auto"/>
        <w:jc w:val="both"/>
        <w:rPr>
          <w:rFonts w:ascii="Times New Roman" w:eastAsia="Calibri" w:hAnsi="Times New Roman" w:cs="Times New Roman"/>
          <w:color w:val="FF0000"/>
          <w:sz w:val="24"/>
        </w:rPr>
      </w:pPr>
    </w:p>
    <w:p w14:paraId="7ABD67D1" w14:textId="77777777" w:rsidR="00D94493" w:rsidRPr="00D94493" w:rsidRDefault="00D94493" w:rsidP="00D94493">
      <w:pPr>
        <w:spacing w:after="0" w:line="240" w:lineRule="auto"/>
        <w:jc w:val="both"/>
        <w:rPr>
          <w:rFonts w:ascii="Times New Roman" w:eastAsia="Calibri" w:hAnsi="Times New Roman" w:cs="Times New Roman"/>
          <w:sz w:val="24"/>
        </w:rPr>
      </w:pPr>
      <w:r w:rsidRPr="00D94493">
        <w:rPr>
          <w:rFonts w:ascii="Times New Roman" w:eastAsia="Calibri" w:hAnsi="Times New Roman" w:cs="Times New Roman"/>
          <w:sz w:val="24"/>
        </w:rPr>
        <w:t xml:space="preserve">Rozpočet na roky 2023 až 2025 bol postavený na legislatívnych predpokladoch zo septembra 2022. Avšak koncom roka sa v parlamente prijalo niekoľko legislatívnych zmien, ktoré ovplyvňujú už výnosy daní v roku 2023, avšak nie sú premietnuté v minuloročnom rozpočte. </w:t>
      </w:r>
    </w:p>
    <w:p w14:paraId="4F44BAA8" w14:textId="77777777" w:rsidR="00D94493" w:rsidRPr="00D94493" w:rsidRDefault="00D94493" w:rsidP="00D94493">
      <w:pPr>
        <w:spacing w:after="0"/>
        <w:jc w:val="both"/>
        <w:rPr>
          <w:rFonts w:ascii="Times New Roman" w:hAnsi="Times New Roman" w:cs="Times New Roman"/>
          <w:sz w:val="24"/>
        </w:rPr>
      </w:pPr>
    </w:p>
    <w:p w14:paraId="1AB99115" w14:textId="251FA552" w:rsidR="00D94493" w:rsidRPr="00D94493" w:rsidRDefault="00D94493" w:rsidP="00D94493">
      <w:pPr>
        <w:spacing w:after="0"/>
        <w:jc w:val="both"/>
        <w:rPr>
          <w:rFonts w:ascii="Times New Roman" w:hAnsi="Times New Roman" w:cs="Times New Roman"/>
          <w:sz w:val="24"/>
        </w:rPr>
      </w:pPr>
      <w:bookmarkStart w:id="87" w:name="_Toc153013018"/>
      <w:r w:rsidRPr="00D94493">
        <w:rPr>
          <w:rFonts w:ascii="Times New Roman" w:hAnsi="Times New Roman" w:cs="Times New Roman"/>
          <w:b/>
          <w:color w:val="5B9BD5" w:themeColor="accent1"/>
          <w:sz w:val="20"/>
        </w:rPr>
        <w:t xml:space="preserve">Tabuľka </w:t>
      </w:r>
      <w:r w:rsidRPr="00D94493">
        <w:rPr>
          <w:rFonts w:ascii="Times New Roman" w:eastAsia="Calibri" w:hAnsi="Times New Roman" w:cs="Times New Roman"/>
          <w:b/>
          <w:iCs/>
          <w:color w:val="5B9BD5"/>
          <w:sz w:val="20"/>
          <w:szCs w:val="18"/>
        </w:rPr>
        <w:fldChar w:fldCharType="begin"/>
      </w:r>
      <w:r w:rsidRPr="00D94493">
        <w:rPr>
          <w:rFonts w:ascii="Times New Roman" w:eastAsia="Calibri" w:hAnsi="Times New Roman" w:cs="Times New Roman"/>
          <w:b/>
          <w:iCs/>
          <w:color w:val="5B9BD5"/>
          <w:sz w:val="20"/>
          <w:szCs w:val="18"/>
        </w:rPr>
        <w:instrText xml:space="preserve"> SEQ Tabuľka \* ARABIC </w:instrText>
      </w:r>
      <w:r w:rsidRPr="00D94493">
        <w:rPr>
          <w:rFonts w:ascii="Times New Roman" w:eastAsia="Calibri" w:hAnsi="Times New Roman" w:cs="Times New Roman"/>
          <w:b/>
          <w:iCs/>
          <w:color w:val="5B9BD5"/>
          <w:sz w:val="20"/>
          <w:szCs w:val="18"/>
        </w:rPr>
        <w:fldChar w:fldCharType="separate"/>
      </w:r>
      <w:r w:rsidR="003D5A3A">
        <w:rPr>
          <w:rFonts w:ascii="Times New Roman" w:eastAsia="Calibri" w:hAnsi="Times New Roman" w:cs="Times New Roman"/>
          <w:b/>
          <w:iCs/>
          <w:noProof/>
          <w:color w:val="5B9BD5"/>
          <w:sz w:val="20"/>
          <w:szCs w:val="18"/>
        </w:rPr>
        <w:t>20</w:t>
      </w:r>
      <w:r w:rsidRPr="00D94493">
        <w:rPr>
          <w:rFonts w:ascii="Times New Roman" w:eastAsia="Calibri" w:hAnsi="Times New Roman" w:cs="Times New Roman"/>
          <w:b/>
          <w:iCs/>
          <w:color w:val="5B9BD5"/>
          <w:sz w:val="20"/>
          <w:szCs w:val="18"/>
        </w:rPr>
        <w:fldChar w:fldCharType="end"/>
      </w:r>
      <w:r w:rsidRPr="00D94493">
        <w:rPr>
          <w:rFonts w:ascii="Times New Roman" w:hAnsi="Times New Roman" w:cs="Times New Roman"/>
          <w:b/>
          <w:color w:val="5B9BD5" w:themeColor="accent1"/>
          <w:sz w:val="20"/>
        </w:rPr>
        <w:t xml:space="preserve"> - Legislatívne opatrenia prijaté v roku 2022 (nezahrnuté v daňovej prognóze do RVS na roky 2023-2025) (ESA</w:t>
      </w:r>
      <w:r w:rsidR="00BA7275">
        <w:rPr>
          <w:rFonts w:ascii="Times New Roman" w:hAnsi="Times New Roman" w:cs="Times New Roman"/>
          <w:b/>
          <w:color w:val="5B9BD5" w:themeColor="accent1"/>
          <w:sz w:val="20"/>
        </w:rPr>
        <w:t xml:space="preserve"> </w:t>
      </w:r>
      <w:r w:rsidRPr="00D94493">
        <w:rPr>
          <w:rFonts w:ascii="Times New Roman" w:hAnsi="Times New Roman" w:cs="Times New Roman"/>
          <w:b/>
          <w:color w:val="5B9BD5" w:themeColor="accent1"/>
          <w:sz w:val="20"/>
        </w:rPr>
        <w:t>2010, v tis. eur)</w:t>
      </w:r>
      <w:bookmarkEnd w:id="87"/>
    </w:p>
    <w:tbl>
      <w:tblPr>
        <w:tblW w:w="5000" w:type="pct"/>
        <w:tblCellMar>
          <w:left w:w="70" w:type="dxa"/>
          <w:right w:w="70" w:type="dxa"/>
        </w:tblCellMar>
        <w:tblLook w:val="04A0" w:firstRow="1" w:lastRow="0" w:firstColumn="1" w:lastColumn="0" w:noHBand="0" w:noVBand="1"/>
      </w:tblPr>
      <w:tblGrid>
        <w:gridCol w:w="4939"/>
        <w:gridCol w:w="1031"/>
        <w:gridCol w:w="1034"/>
        <w:gridCol w:w="1034"/>
        <w:gridCol w:w="1034"/>
      </w:tblGrid>
      <w:tr w:rsidR="00D94493" w:rsidRPr="00D94493" w14:paraId="3397F5D5" w14:textId="77777777" w:rsidTr="00D94493">
        <w:trPr>
          <w:trHeight w:val="264"/>
        </w:trPr>
        <w:tc>
          <w:tcPr>
            <w:tcW w:w="4939" w:type="dxa"/>
            <w:tcBorders>
              <w:top w:val="single" w:sz="4" w:space="0" w:color="auto"/>
              <w:left w:val="nil"/>
              <w:bottom w:val="single" w:sz="4" w:space="0" w:color="auto"/>
              <w:right w:val="nil"/>
            </w:tcBorders>
            <w:shd w:val="clear" w:color="auto" w:fill="auto"/>
            <w:noWrap/>
            <w:vAlign w:val="bottom"/>
            <w:hideMark/>
          </w:tcPr>
          <w:p w14:paraId="5BFF8222" w14:textId="77777777" w:rsidR="00D94493" w:rsidRPr="00D94493" w:rsidRDefault="00D94493" w:rsidP="00D94493">
            <w:pPr>
              <w:spacing w:line="240" w:lineRule="auto"/>
              <w:jc w:val="right"/>
              <w:rPr>
                <w:rFonts w:ascii="Times New Roman" w:hAnsi="Times New Roman" w:cs="Times New Roman"/>
                <w:b/>
                <w:bCs/>
                <w:sz w:val="16"/>
                <w:szCs w:val="16"/>
                <w:lang w:eastAsia="sk-SK"/>
              </w:rPr>
            </w:pPr>
            <w:r w:rsidRPr="00D94493">
              <w:rPr>
                <w:rFonts w:ascii="Times New Roman" w:hAnsi="Times New Roman" w:cs="Times New Roman"/>
                <w:b/>
                <w:bCs/>
                <w:sz w:val="16"/>
                <w:szCs w:val="16"/>
                <w:lang w:eastAsia="sk-SK"/>
              </w:rPr>
              <w:t> </w:t>
            </w:r>
          </w:p>
        </w:tc>
        <w:tc>
          <w:tcPr>
            <w:tcW w:w="1031" w:type="dxa"/>
            <w:tcBorders>
              <w:top w:val="single" w:sz="4" w:space="0" w:color="auto"/>
              <w:left w:val="nil"/>
              <w:bottom w:val="single" w:sz="4" w:space="0" w:color="auto"/>
              <w:right w:val="nil"/>
            </w:tcBorders>
            <w:shd w:val="clear" w:color="auto" w:fill="auto"/>
            <w:noWrap/>
            <w:vAlign w:val="bottom"/>
            <w:hideMark/>
          </w:tcPr>
          <w:p w14:paraId="74303255" w14:textId="77777777" w:rsidR="00D94493" w:rsidRPr="00D94493" w:rsidRDefault="00D94493" w:rsidP="00D94493">
            <w:pPr>
              <w:spacing w:line="240" w:lineRule="auto"/>
              <w:jc w:val="right"/>
              <w:rPr>
                <w:rFonts w:ascii="Times New Roman" w:hAnsi="Times New Roman" w:cs="Times New Roman"/>
                <w:b/>
                <w:bCs/>
                <w:sz w:val="16"/>
                <w:szCs w:val="16"/>
                <w:lang w:eastAsia="sk-SK"/>
              </w:rPr>
            </w:pPr>
            <w:r w:rsidRPr="00D94493">
              <w:rPr>
                <w:rFonts w:ascii="Times New Roman" w:hAnsi="Times New Roman" w:cs="Times New Roman"/>
                <w:b/>
                <w:bCs/>
                <w:sz w:val="16"/>
                <w:szCs w:val="16"/>
                <w:lang w:eastAsia="sk-SK"/>
              </w:rPr>
              <w:t>2023</w:t>
            </w:r>
          </w:p>
        </w:tc>
        <w:tc>
          <w:tcPr>
            <w:tcW w:w="1034" w:type="dxa"/>
            <w:tcBorders>
              <w:top w:val="single" w:sz="4" w:space="0" w:color="auto"/>
              <w:left w:val="nil"/>
              <w:bottom w:val="single" w:sz="4" w:space="0" w:color="auto"/>
              <w:right w:val="nil"/>
            </w:tcBorders>
          </w:tcPr>
          <w:p w14:paraId="7807DADD" w14:textId="77777777" w:rsidR="00D94493" w:rsidRPr="00D94493" w:rsidRDefault="00D94493" w:rsidP="00D94493">
            <w:pPr>
              <w:spacing w:line="240" w:lineRule="auto"/>
              <w:jc w:val="right"/>
              <w:rPr>
                <w:rFonts w:ascii="Times New Roman" w:hAnsi="Times New Roman" w:cs="Times New Roman"/>
                <w:b/>
                <w:bCs/>
                <w:sz w:val="16"/>
                <w:szCs w:val="16"/>
                <w:lang w:eastAsia="sk-SK"/>
              </w:rPr>
            </w:pPr>
            <w:r w:rsidRPr="00D94493">
              <w:rPr>
                <w:rFonts w:ascii="Times New Roman" w:hAnsi="Times New Roman" w:cs="Times New Roman"/>
                <w:b/>
                <w:bCs/>
                <w:sz w:val="16"/>
                <w:szCs w:val="16"/>
                <w:lang w:eastAsia="sk-SK"/>
              </w:rPr>
              <w:t>2024</w:t>
            </w:r>
          </w:p>
        </w:tc>
        <w:tc>
          <w:tcPr>
            <w:tcW w:w="1034" w:type="dxa"/>
            <w:tcBorders>
              <w:top w:val="single" w:sz="4" w:space="0" w:color="auto"/>
              <w:left w:val="nil"/>
              <w:bottom w:val="single" w:sz="4" w:space="0" w:color="auto"/>
              <w:right w:val="nil"/>
            </w:tcBorders>
            <w:shd w:val="clear" w:color="auto" w:fill="auto"/>
            <w:noWrap/>
            <w:vAlign w:val="bottom"/>
            <w:hideMark/>
          </w:tcPr>
          <w:p w14:paraId="60645761" w14:textId="77777777" w:rsidR="00D94493" w:rsidRPr="00D94493" w:rsidRDefault="00D94493" w:rsidP="00D94493">
            <w:pPr>
              <w:spacing w:line="240" w:lineRule="auto"/>
              <w:jc w:val="right"/>
              <w:rPr>
                <w:rFonts w:ascii="Times New Roman" w:hAnsi="Times New Roman" w:cs="Times New Roman"/>
                <w:b/>
                <w:bCs/>
                <w:sz w:val="16"/>
                <w:szCs w:val="16"/>
                <w:lang w:eastAsia="sk-SK"/>
              </w:rPr>
            </w:pPr>
            <w:r w:rsidRPr="00D94493">
              <w:rPr>
                <w:rFonts w:ascii="Times New Roman" w:hAnsi="Times New Roman" w:cs="Times New Roman"/>
                <w:b/>
                <w:bCs/>
                <w:sz w:val="16"/>
                <w:szCs w:val="16"/>
                <w:lang w:eastAsia="sk-SK"/>
              </w:rPr>
              <w:t>2025</w:t>
            </w:r>
          </w:p>
        </w:tc>
        <w:tc>
          <w:tcPr>
            <w:tcW w:w="1034" w:type="dxa"/>
            <w:tcBorders>
              <w:top w:val="single" w:sz="4" w:space="0" w:color="auto"/>
              <w:left w:val="nil"/>
              <w:bottom w:val="single" w:sz="4" w:space="0" w:color="auto"/>
              <w:right w:val="nil"/>
            </w:tcBorders>
            <w:shd w:val="clear" w:color="auto" w:fill="auto"/>
            <w:noWrap/>
            <w:vAlign w:val="bottom"/>
            <w:hideMark/>
          </w:tcPr>
          <w:p w14:paraId="04791143" w14:textId="77777777" w:rsidR="00D94493" w:rsidRPr="00D94493" w:rsidRDefault="00D94493" w:rsidP="00D94493">
            <w:pPr>
              <w:spacing w:line="240" w:lineRule="auto"/>
              <w:jc w:val="right"/>
              <w:rPr>
                <w:rFonts w:ascii="Times New Roman" w:hAnsi="Times New Roman" w:cs="Times New Roman"/>
                <w:b/>
                <w:bCs/>
                <w:sz w:val="16"/>
                <w:szCs w:val="16"/>
                <w:lang w:eastAsia="sk-SK"/>
              </w:rPr>
            </w:pPr>
            <w:r w:rsidRPr="00D94493">
              <w:rPr>
                <w:rFonts w:ascii="Times New Roman" w:hAnsi="Times New Roman" w:cs="Times New Roman"/>
                <w:b/>
                <w:bCs/>
                <w:sz w:val="16"/>
                <w:szCs w:val="16"/>
                <w:lang w:eastAsia="sk-SK"/>
              </w:rPr>
              <w:t>2026</w:t>
            </w:r>
          </w:p>
        </w:tc>
      </w:tr>
      <w:tr w:rsidR="00D94493" w:rsidRPr="00D94493" w14:paraId="5BF21D5C" w14:textId="77777777" w:rsidTr="00D94493">
        <w:trPr>
          <w:trHeight w:val="198"/>
        </w:trPr>
        <w:tc>
          <w:tcPr>
            <w:tcW w:w="4939" w:type="dxa"/>
            <w:tcBorders>
              <w:top w:val="single" w:sz="4" w:space="0" w:color="auto"/>
              <w:left w:val="nil"/>
              <w:right w:val="nil"/>
            </w:tcBorders>
            <w:shd w:val="clear" w:color="auto" w:fill="auto"/>
            <w:noWrap/>
            <w:vAlign w:val="bottom"/>
            <w:hideMark/>
          </w:tcPr>
          <w:p w14:paraId="67BEB296" w14:textId="77777777" w:rsidR="00D94493" w:rsidRPr="00D94493" w:rsidRDefault="00D94493" w:rsidP="00D94493">
            <w:pPr>
              <w:spacing w:line="240" w:lineRule="auto"/>
              <w:rPr>
                <w:rFonts w:ascii="Times New Roman" w:hAnsi="Times New Roman" w:cs="Times New Roman"/>
                <w:b/>
                <w:bCs/>
                <w:sz w:val="16"/>
                <w:szCs w:val="16"/>
                <w:lang w:eastAsia="sk-SK"/>
              </w:rPr>
            </w:pPr>
            <w:r w:rsidRPr="00D94493">
              <w:rPr>
                <w:rFonts w:ascii="Times New Roman" w:hAnsi="Times New Roman" w:cs="Times New Roman"/>
                <w:b/>
                <w:bCs/>
                <w:sz w:val="16"/>
                <w:szCs w:val="16"/>
                <w:lang w:eastAsia="sk-SK"/>
              </w:rPr>
              <w:t>Opatrenia prijaté v októbri 2022</w:t>
            </w:r>
          </w:p>
        </w:tc>
        <w:tc>
          <w:tcPr>
            <w:tcW w:w="1031" w:type="dxa"/>
            <w:tcBorders>
              <w:top w:val="nil"/>
              <w:left w:val="nil"/>
              <w:bottom w:val="nil"/>
              <w:right w:val="nil"/>
            </w:tcBorders>
            <w:shd w:val="clear" w:color="auto" w:fill="auto"/>
            <w:noWrap/>
            <w:vAlign w:val="center"/>
          </w:tcPr>
          <w:p w14:paraId="19D605E7" w14:textId="77777777" w:rsidR="00D94493" w:rsidRPr="00D94493" w:rsidRDefault="00D94493" w:rsidP="00D94493">
            <w:pPr>
              <w:spacing w:after="0" w:line="240" w:lineRule="auto"/>
              <w:jc w:val="right"/>
              <w:rPr>
                <w:rFonts w:ascii="Times New Roman" w:hAnsi="Times New Roman" w:cs="Times New Roman"/>
                <w:b/>
                <w:bCs/>
                <w:sz w:val="16"/>
                <w:szCs w:val="16"/>
                <w:highlight w:val="yellow"/>
                <w:lang w:eastAsia="sk-SK"/>
              </w:rPr>
            </w:pPr>
          </w:p>
        </w:tc>
        <w:tc>
          <w:tcPr>
            <w:tcW w:w="1034" w:type="dxa"/>
            <w:tcBorders>
              <w:top w:val="nil"/>
              <w:left w:val="nil"/>
              <w:bottom w:val="nil"/>
              <w:right w:val="nil"/>
            </w:tcBorders>
          </w:tcPr>
          <w:p w14:paraId="42AD277D" w14:textId="77777777" w:rsidR="00D94493" w:rsidRPr="00D94493" w:rsidRDefault="00D94493" w:rsidP="00D94493">
            <w:pPr>
              <w:spacing w:after="0" w:line="240" w:lineRule="auto"/>
              <w:jc w:val="right"/>
              <w:rPr>
                <w:rFonts w:ascii="Times New Roman" w:hAnsi="Times New Roman" w:cs="Times New Roman"/>
                <w:b/>
                <w:bCs/>
                <w:sz w:val="16"/>
                <w:szCs w:val="16"/>
              </w:rPr>
            </w:pPr>
          </w:p>
        </w:tc>
        <w:tc>
          <w:tcPr>
            <w:tcW w:w="1034" w:type="dxa"/>
            <w:tcBorders>
              <w:top w:val="nil"/>
              <w:left w:val="nil"/>
              <w:bottom w:val="nil"/>
              <w:right w:val="nil"/>
            </w:tcBorders>
            <w:shd w:val="clear" w:color="auto" w:fill="auto"/>
            <w:noWrap/>
            <w:vAlign w:val="center"/>
          </w:tcPr>
          <w:p w14:paraId="07D0C593" w14:textId="77777777" w:rsidR="00D94493" w:rsidRPr="00D94493" w:rsidRDefault="00D94493" w:rsidP="00D94493">
            <w:pPr>
              <w:spacing w:after="0" w:line="240" w:lineRule="auto"/>
              <w:jc w:val="right"/>
              <w:rPr>
                <w:rFonts w:ascii="Times New Roman" w:hAnsi="Times New Roman" w:cs="Times New Roman"/>
                <w:b/>
                <w:bCs/>
                <w:sz w:val="16"/>
                <w:szCs w:val="16"/>
                <w:highlight w:val="yellow"/>
                <w:lang w:eastAsia="sk-SK"/>
              </w:rPr>
            </w:pPr>
          </w:p>
        </w:tc>
        <w:tc>
          <w:tcPr>
            <w:tcW w:w="1034" w:type="dxa"/>
            <w:tcBorders>
              <w:top w:val="nil"/>
              <w:left w:val="nil"/>
              <w:bottom w:val="nil"/>
              <w:right w:val="nil"/>
            </w:tcBorders>
            <w:shd w:val="clear" w:color="auto" w:fill="auto"/>
            <w:noWrap/>
            <w:vAlign w:val="center"/>
          </w:tcPr>
          <w:p w14:paraId="6F383FBD" w14:textId="77777777" w:rsidR="00D94493" w:rsidRPr="00D94493" w:rsidRDefault="00D94493" w:rsidP="00D94493">
            <w:pPr>
              <w:spacing w:after="0" w:line="240" w:lineRule="auto"/>
              <w:jc w:val="right"/>
              <w:rPr>
                <w:rFonts w:ascii="Times New Roman" w:hAnsi="Times New Roman" w:cs="Times New Roman"/>
                <w:b/>
                <w:bCs/>
                <w:sz w:val="16"/>
                <w:szCs w:val="16"/>
                <w:highlight w:val="yellow"/>
                <w:lang w:eastAsia="sk-SK"/>
              </w:rPr>
            </w:pPr>
          </w:p>
        </w:tc>
      </w:tr>
      <w:tr w:rsidR="00D94493" w:rsidRPr="00D94493" w14:paraId="476C729E" w14:textId="77777777" w:rsidTr="00D94493">
        <w:trPr>
          <w:trHeight w:val="198"/>
        </w:trPr>
        <w:tc>
          <w:tcPr>
            <w:tcW w:w="4939" w:type="dxa"/>
            <w:tcBorders>
              <w:left w:val="nil"/>
              <w:bottom w:val="nil"/>
              <w:right w:val="nil"/>
            </w:tcBorders>
            <w:shd w:val="clear" w:color="auto" w:fill="auto"/>
            <w:noWrap/>
            <w:vAlign w:val="center"/>
            <w:hideMark/>
          </w:tcPr>
          <w:p w14:paraId="725D3B3E" w14:textId="77777777" w:rsidR="00D94493" w:rsidRPr="00D94493" w:rsidRDefault="00D94493" w:rsidP="00D94493">
            <w:pPr>
              <w:spacing w:after="120" w:line="240" w:lineRule="auto"/>
              <w:ind w:firstLineChars="100" w:firstLine="160"/>
              <w:rPr>
                <w:rFonts w:ascii="Times New Roman" w:hAnsi="Times New Roman" w:cs="Times New Roman"/>
                <w:sz w:val="16"/>
                <w:szCs w:val="16"/>
                <w:lang w:eastAsia="sk-SK"/>
              </w:rPr>
            </w:pPr>
            <w:r w:rsidRPr="00D94493">
              <w:rPr>
                <w:rFonts w:ascii="Times New Roman" w:hAnsi="Times New Roman" w:cs="Times New Roman"/>
                <w:color w:val="000000"/>
                <w:sz w:val="16"/>
                <w:szCs w:val="16"/>
              </w:rPr>
              <w:t>Zmrazenie odvodov do II. piliera na 2 roky</w:t>
            </w:r>
          </w:p>
        </w:tc>
        <w:tc>
          <w:tcPr>
            <w:tcW w:w="1031" w:type="dxa"/>
            <w:tcBorders>
              <w:top w:val="nil"/>
              <w:left w:val="nil"/>
              <w:bottom w:val="nil"/>
              <w:right w:val="nil"/>
            </w:tcBorders>
            <w:shd w:val="clear" w:color="auto" w:fill="auto"/>
            <w:noWrap/>
            <w:vAlign w:val="bottom"/>
            <w:hideMark/>
          </w:tcPr>
          <w:p w14:paraId="7DB6BE25" w14:textId="77777777" w:rsidR="00D94493" w:rsidRPr="00D94493" w:rsidRDefault="00D94493" w:rsidP="00D94493">
            <w:pPr>
              <w:spacing w:after="120" w:line="240" w:lineRule="auto"/>
              <w:jc w:val="right"/>
              <w:rPr>
                <w:rFonts w:ascii="Times New Roman" w:hAnsi="Times New Roman" w:cs="Times New Roman"/>
                <w:sz w:val="16"/>
                <w:szCs w:val="16"/>
                <w:highlight w:val="yellow"/>
                <w:lang w:eastAsia="sk-SK"/>
              </w:rPr>
            </w:pPr>
            <w:r w:rsidRPr="00D94493">
              <w:rPr>
                <w:rFonts w:ascii="Times New Roman" w:hAnsi="Times New Roman" w:cs="Times New Roman"/>
                <w:sz w:val="16"/>
                <w:szCs w:val="16"/>
              </w:rPr>
              <w:t>49 884</w:t>
            </w:r>
          </w:p>
        </w:tc>
        <w:tc>
          <w:tcPr>
            <w:tcW w:w="1034" w:type="dxa"/>
            <w:tcBorders>
              <w:top w:val="nil"/>
              <w:left w:val="nil"/>
              <w:bottom w:val="nil"/>
              <w:right w:val="nil"/>
            </w:tcBorders>
            <w:vAlign w:val="bottom"/>
          </w:tcPr>
          <w:p w14:paraId="66A97EC2" w14:textId="77777777" w:rsidR="00D94493" w:rsidRPr="00D94493" w:rsidRDefault="00D94493" w:rsidP="00D94493">
            <w:pPr>
              <w:spacing w:after="120" w:line="240" w:lineRule="auto"/>
              <w:jc w:val="right"/>
              <w:rPr>
                <w:rFonts w:ascii="Times New Roman" w:hAnsi="Times New Roman" w:cs="Times New Roman"/>
                <w:sz w:val="16"/>
                <w:szCs w:val="16"/>
                <w:highlight w:val="yellow"/>
              </w:rPr>
            </w:pPr>
            <w:r w:rsidRPr="00D94493">
              <w:rPr>
                <w:rFonts w:ascii="Times New Roman" w:hAnsi="Times New Roman" w:cs="Times New Roman"/>
                <w:sz w:val="16"/>
                <w:szCs w:val="16"/>
              </w:rPr>
              <w:t>103 474</w:t>
            </w:r>
          </w:p>
        </w:tc>
        <w:tc>
          <w:tcPr>
            <w:tcW w:w="1034" w:type="dxa"/>
            <w:tcBorders>
              <w:top w:val="nil"/>
              <w:left w:val="nil"/>
              <w:bottom w:val="nil"/>
              <w:right w:val="nil"/>
            </w:tcBorders>
            <w:shd w:val="clear" w:color="auto" w:fill="auto"/>
            <w:noWrap/>
            <w:vAlign w:val="bottom"/>
            <w:hideMark/>
          </w:tcPr>
          <w:p w14:paraId="0F70D948" w14:textId="77777777" w:rsidR="00D94493" w:rsidRPr="00D94493" w:rsidRDefault="00D94493" w:rsidP="00D94493">
            <w:pPr>
              <w:spacing w:after="120" w:line="240" w:lineRule="auto"/>
              <w:jc w:val="right"/>
              <w:rPr>
                <w:rFonts w:ascii="Times New Roman" w:hAnsi="Times New Roman" w:cs="Times New Roman"/>
                <w:sz w:val="16"/>
                <w:szCs w:val="16"/>
                <w:highlight w:val="yellow"/>
                <w:lang w:eastAsia="sk-SK"/>
              </w:rPr>
            </w:pPr>
            <w:r w:rsidRPr="00D94493">
              <w:rPr>
                <w:rFonts w:ascii="Times New Roman" w:hAnsi="Times New Roman" w:cs="Times New Roman"/>
                <w:sz w:val="16"/>
                <w:szCs w:val="16"/>
              </w:rPr>
              <w:t>53 547</w:t>
            </w:r>
          </w:p>
        </w:tc>
        <w:tc>
          <w:tcPr>
            <w:tcW w:w="1034" w:type="dxa"/>
            <w:tcBorders>
              <w:top w:val="nil"/>
              <w:left w:val="nil"/>
              <w:bottom w:val="nil"/>
              <w:right w:val="nil"/>
            </w:tcBorders>
            <w:shd w:val="clear" w:color="auto" w:fill="auto"/>
            <w:noWrap/>
            <w:vAlign w:val="bottom"/>
            <w:hideMark/>
          </w:tcPr>
          <w:p w14:paraId="774C5BD8" w14:textId="77777777" w:rsidR="00D94493" w:rsidRPr="00D94493" w:rsidRDefault="00D94493" w:rsidP="00D94493">
            <w:pPr>
              <w:spacing w:after="120" w:line="240" w:lineRule="auto"/>
              <w:jc w:val="right"/>
              <w:rPr>
                <w:rFonts w:ascii="Times New Roman" w:hAnsi="Times New Roman" w:cs="Times New Roman"/>
                <w:sz w:val="16"/>
                <w:szCs w:val="16"/>
                <w:highlight w:val="yellow"/>
                <w:lang w:eastAsia="sk-SK"/>
              </w:rPr>
            </w:pPr>
            <w:r w:rsidRPr="00D94493">
              <w:rPr>
                <w:rFonts w:ascii="Times New Roman" w:hAnsi="Times New Roman" w:cs="Times New Roman"/>
                <w:sz w:val="16"/>
                <w:szCs w:val="16"/>
              </w:rPr>
              <w:t>59 025</w:t>
            </w:r>
          </w:p>
        </w:tc>
      </w:tr>
      <w:tr w:rsidR="00D94493" w:rsidRPr="00D94493" w14:paraId="4CA14B38" w14:textId="77777777" w:rsidTr="00D94493">
        <w:trPr>
          <w:trHeight w:val="198"/>
        </w:trPr>
        <w:tc>
          <w:tcPr>
            <w:tcW w:w="4939" w:type="dxa"/>
            <w:tcBorders>
              <w:top w:val="nil"/>
              <w:left w:val="nil"/>
              <w:bottom w:val="nil"/>
              <w:right w:val="nil"/>
            </w:tcBorders>
            <w:shd w:val="clear" w:color="auto" w:fill="auto"/>
            <w:noWrap/>
            <w:vAlign w:val="center"/>
            <w:hideMark/>
          </w:tcPr>
          <w:p w14:paraId="2675E8B3" w14:textId="77777777" w:rsidR="00D94493" w:rsidRPr="00D94493" w:rsidRDefault="00D94493" w:rsidP="00D94493">
            <w:pPr>
              <w:spacing w:after="120" w:line="240" w:lineRule="auto"/>
              <w:rPr>
                <w:rFonts w:ascii="Times New Roman" w:hAnsi="Times New Roman" w:cs="Times New Roman"/>
                <w:sz w:val="16"/>
                <w:szCs w:val="16"/>
                <w:lang w:eastAsia="sk-SK"/>
              </w:rPr>
            </w:pPr>
            <w:r w:rsidRPr="00D94493">
              <w:rPr>
                <w:rFonts w:ascii="Times New Roman" w:hAnsi="Times New Roman" w:cs="Times New Roman"/>
                <w:color w:val="000000"/>
                <w:sz w:val="16"/>
                <w:szCs w:val="16"/>
              </w:rPr>
              <w:t xml:space="preserve">    Reforma II. piliera 2022 (sporenie na 2. pilier aj na dôchodku)</w:t>
            </w:r>
          </w:p>
        </w:tc>
        <w:tc>
          <w:tcPr>
            <w:tcW w:w="1031" w:type="dxa"/>
            <w:tcBorders>
              <w:top w:val="nil"/>
              <w:left w:val="nil"/>
              <w:bottom w:val="nil"/>
              <w:right w:val="nil"/>
            </w:tcBorders>
            <w:shd w:val="clear" w:color="auto" w:fill="auto"/>
            <w:noWrap/>
            <w:vAlign w:val="bottom"/>
            <w:hideMark/>
          </w:tcPr>
          <w:p w14:paraId="146CD194" w14:textId="77777777" w:rsidR="00D94493" w:rsidRPr="00D94493" w:rsidRDefault="00D94493" w:rsidP="00D94493">
            <w:pPr>
              <w:spacing w:after="120" w:line="240" w:lineRule="auto"/>
              <w:jc w:val="right"/>
              <w:rPr>
                <w:rFonts w:ascii="Times New Roman" w:hAnsi="Times New Roman" w:cs="Times New Roman"/>
                <w:sz w:val="16"/>
                <w:szCs w:val="16"/>
                <w:highlight w:val="yellow"/>
                <w:lang w:eastAsia="sk-SK"/>
              </w:rPr>
            </w:pPr>
            <w:r w:rsidRPr="00D94493">
              <w:rPr>
                <w:rFonts w:ascii="Times New Roman" w:hAnsi="Times New Roman" w:cs="Times New Roman"/>
                <w:sz w:val="16"/>
                <w:szCs w:val="16"/>
              </w:rPr>
              <w:t>0</w:t>
            </w:r>
          </w:p>
        </w:tc>
        <w:tc>
          <w:tcPr>
            <w:tcW w:w="1034" w:type="dxa"/>
            <w:tcBorders>
              <w:top w:val="nil"/>
              <w:left w:val="nil"/>
              <w:bottom w:val="nil"/>
              <w:right w:val="nil"/>
            </w:tcBorders>
            <w:vAlign w:val="bottom"/>
          </w:tcPr>
          <w:p w14:paraId="2DB0D73C" w14:textId="77777777" w:rsidR="00D94493" w:rsidRPr="00D94493" w:rsidRDefault="00D94493" w:rsidP="00D94493">
            <w:pPr>
              <w:spacing w:after="120" w:line="240" w:lineRule="auto"/>
              <w:jc w:val="right"/>
              <w:rPr>
                <w:rFonts w:ascii="Times New Roman" w:hAnsi="Times New Roman" w:cs="Times New Roman"/>
                <w:sz w:val="16"/>
                <w:szCs w:val="16"/>
                <w:highlight w:val="yellow"/>
              </w:rPr>
            </w:pPr>
            <w:r w:rsidRPr="00D94493">
              <w:rPr>
                <w:rFonts w:ascii="Times New Roman" w:hAnsi="Times New Roman" w:cs="Times New Roman"/>
                <w:sz w:val="16"/>
                <w:szCs w:val="16"/>
              </w:rPr>
              <w:t>-1 713</w:t>
            </w:r>
          </w:p>
        </w:tc>
        <w:tc>
          <w:tcPr>
            <w:tcW w:w="1034" w:type="dxa"/>
            <w:tcBorders>
              <w:top w:val="nil"/>
              <w:left w:val="nil"/>
              <w:bottom w:val="nil"/>
              <w:right w:val="nil"/>
            </w:tcBorders>
            <w:shd w:val="clear" w:color="auto" w:fill="auto"/>
            <w:noWrap/>
            <w:vAlign w:val="bottom"/>
            <w:hideMark/>
          </w:tcPr>
          <w:p w14:paraId="743DE2AC" w14:textId="77777777" w:rsidR="00D94493" w:rsidRPr="00D94493" w:rsidRDefault="00D94493" w:rsidP="00D94493">
            <w:pPr>
              <w:spacing w:after="120" w:line="240" w:lineRule="auto"/>
              <w:jc w:val="right"/>
              <w:rPr>
                <w:rFonts w:ascii="Times New Roman" w:hAnsi="Times New Roman" w:cs="Times New Roman"/>
                <w:sz w:val="16"/>
                <w:szCs w:val="16"/>
                <w:highlight w:val="yellow"/>
                <w:lang w:eastAsia="sk-SK"/>
              </w:rPr>
            </w:pPr>
            <w:r w:rsidRPr="00D94493">
              <w:rPr>
                <w:rFonts w:ascii="Times New Roman" w:hAnsi="Times New Roman" w:cs="Times New Roman"/>
                <w:sz w:val="16"/>
                <w:szCs w:val="16"/>
              </w:rPr>
              <w:t>-5 751</w:t>
            </w:r>
          </w:p>
        </w:tc>
        <w:tc>
          <w:tcPr>
            <w:tcW w:w="1034" w:type="dxa"/>
            <w:tcBorders>
              <w:top w:val="nil"/>
              <w:left w:val="nil"/>
              <w:bottom w:val="nil"/>
              <w:right w:val="nil"/>
            </w:tcBorders>
            <w:shd w:val="clear" w:color="auto" w:fill="auto"/>
            <w:noWrap/>
            <w:vAlign w:val="bottom"/>
            <w:hideMark/>
          </w:tcPr>
          <w:p w14:paraId="052DE470" w14:textId="77777777" w:rsidR="00D94493" w:rsidRPr="00D94493" w:rsidRDefault="00D94493" w:rsidP="00D94493">
            <w:pPr>
              <w:spacing w:after="120" w:line="240" w:lineRule="auto"/>
              <w:jc w:val="right"/>
              <w:rPr>
                <w:rFonts w:ascii="Times New Roman" w:hAnsi="Times New Roman" w:cs="Times New Roman"/>
                <w:sz w:val="16"/>
                <w:szCs w:val="16"/>
                <w:highlight w:val="yellow"/>
                <w:lang w:eastAsia="sk-SK"/>
              </w:rPr>
            </w:pPr>
            <w:r w:rsidRPr="00D94493">
              <w:rPr>
                <w:rFonts w:ascii="Times New Roman" w:hAnsi="Times New Roman" w:cs="Times New Roman"/>
                <w:sz w:val="16"/>
                <w:szCs w:val="16"/>
              </w:rPr>
              <w:t>-10 703</w:t>
            </w:r>
          </w:p>
        </w:tc>
      </w:tr>
      <w:tr w:rsidR="00D94493" w:rsidRPr="00D94493" w14:paraId="1B2E7228" w14:textId="77777777" w:rsidTr="00D94493">
        <w:trPr>
          <w:trHeight w:val="198"/>
        </w:trPr>
        <w:tc>
          <w:tcPr>
            <w:tcW w:w="4939" w:type="dxa"/>
            <w:tcBorders>
              <w:top w:val="nil"/>
              <w:left w:val="nil"/>
              <w:bottom w:val="nil"/>
              <w:right w:val="nil"/>
            </w:tcBorders>
            <w:shd w:val="clear" w:color="auto" w:fill="auto"/>
            <w:noWrap/>
            <w:vAlign w:val="center"/>
          </w:tcPr>
          <w:p w14:paraId="62CF7577" w14:textId="77777777" w:rsidR="00D94493" w:rsidRPr="00D94493" w:rsidRDefault="00D94493" w:rsidP="00D94493">
            <w:pPr>
              <w:spacing w:after="120" w:line="240" w:lineRule="auto"/>
              <w:rPr>
                <w:rFonts w:ascii="Times New Roman" w:hAnsi="Times New Roman" w:cs="Times New Roman"/>
                <w:sz w:val="16"/>
                <w:szCs w:val="16"/>
                <w:lang w:eastAsia="sk-SK"/>
              </w:rPr>
            </w:pPr>
            <w:r w:rsidRPr="00D94493">
              <w:rPr>
                <w:rFonts w:ascii="Times New Roman" w:hAnsi="Times New Roman" w:cs="Times New Roman"/>
                <w:color w:val="000000"/>
                <w:sz w:val="16"/>
                <w:szCs w:val="16"/>
              </w:rPr>
              <w:t xml:space="preserve">    Reforma II. piliera 2022 (automatický vstup)</w:t>
            </w:r>
          </w:p>
        </w:tc>
        <w:tc>
          <w:tcPr>
            <w:tcW w:w="1031" w:type="dxa"/>
            <w:tcBorders>
              <w:top w:val="nil"/>
              <w:left w:val="nil"/>
              <w:bottom w:val="nil"/>
              <w:right w:val="nil"/>
            </w:tcBorders>
            <w:shd w:val="clear" w:color="auto" w:fill="auto"/>
            <w:noWrap/>
            <w:vAlign w:val="bottom"/>
          </w:tcPr>
          <w:p w14:paraId="4BDA3311" w14:textId="77777777" w:rsidR="00D94493" w:rsidRPr="00D94493" w:rsidRDefault="00D94493" w:rsidP="00D94493">
            <w:pPr>
              <w:spacing w:after="120" w:line="240" w:lineRule="auto"/>
              <w:jc w:val="right"/>
              <w:rPr>
                <w:rFonts w:ascii="Times New Roman" w:hAnsi="Times New Roman" w:cs="Times New Roman"/>
                <w:sz w:val="16"/>
                <w:szCs w:val="16"/>
                <w:highlight w:val="yellow"/>
              </w:rPr>
            </w:pPr>
            <w:r w:rsidRPr="00D94493">
              <w:rPr>
                <w:rFonts w:ascii="Times New Roman" w:hAnsi="Times New Roman" w:cs="Times New Roman"/>
                <w:sz w:val="16"/>
                <w:szCs w:val="16"/>
              </w:rPr>
              <w:t>-9 698</w:t>
            </w:r>
          </w:p>
        </w:tc>
        <w:tc>
          <w:tcPr>
            <w:tcW w:w="1034" w:type="dxa"/>
            <w:tcBorders>
              <w:top w:val="nil"/>
              <w:left w:val="nil"/>
              <w:bottom w:val="nil"/>
              <w:right w:val="nil"/>
            </w:tcBorders>
            <w:vAlign w:val="bottom"/>
          </w:tcPr>
          <w:p w14:paraId="0CE5EF0B" w14:textId="77777777" w:rsidR="00D94493" w:rsidRPr="00D94493" w:rsidRDefault="00D94493" w:rsidP="00D94493">
            <w:pPr>
              <w:spacing w:after="120" w:line="240" w:lineRule="auto"/>
              <w:jc w:val="right"/>
              <w:rPr>
                <w:rFonts w:ascii="Times New Roman" w:hAnsi="Times New Roman" w:cs="Times New Roman"/>
                <w:sz w:val="16"/>
                <w:szCs w:val="16"/>
                <w:highlight w:val="yellow"/>
              </w:rPr>
            </w:pPr>
            <w:r w:rsidRPr="00D94493">
              <w:rPr>
                <w:rFonts w:ascii="Times New Roman" w:hAnsi="Times New Roman" w:cs="Times New Roman"/>
                <w:sz w:val="16"/>
                <w:szCs w:val="16"/>
              </w:rPr>
              <w:t>-33 342</w:t>
            </w:r>
          </w:p>
        </w:tc>
        <w:tc>
          <w:tcPr>
            <w:tcW w:w="1034" w:type="dxa"/>
            <w:tcBorders>
              <w:top w:val="nil"/>
              <w:left w:val="nil"/>
              <w:bottom w:val="nil"/>
              <w:right w:val="nil"/>
            </w:tcBorders>
            <w:shd w:val="clear" w:color="auto" w:fill="auto"/>
            <w:noWrap/>
            <w:vAlign w:val="bottom"/>
          </w:tcPr>
          <w:p w14:paraId="6C1020A1" w14:textId="77777777" w:rsidR="00D94493" w:rsidRPr="00D94493" w:rsidRDefault="00D94493" w:rsidP="00D94493">
            <w:pPr>
              <w:spacing w:after="120" w:line="240" w:lineRule="auto"/>
              <w:jc w:val="right"/>
              <w:rPr>
                <w:rFonts w:ascii="Times New Roman" w:hAnsi="Times New Roman" w:cs="Times New Roman"/>
                <w:sz w:val="16"/>
                <w:szCs w:val="16"/>
                <w:highlight w:val="yellow"/>
              </w:rPr>
            </w:pPr>
            <w:r w:rsidRPr="00D94493">
              <w:rPr>
                <w:rFonts w:ascii="Times New Roman" w:hAnsi="Times New Roman" w:cs="Times New Roman"/>
                <w:sz w:val="16"/>
                <w:szCs w:val="16"/>
              </w:rPr>
              <w:t>-56 921</w:t>
            </w:r>
          </w:p>
        </w:tc>
        <w:tc>
          <w:tcPr>
            <w:tcW w:w="1034" w:type="dxa"/>
            <w:tcBorders>
              <w:top w:val="nil"/>
              <w:left w:val="nil"/>
              <w:bottom w:val="nil"/>
              <w:right w:val="nil"/>
            </w:tcBorders>
            <w:shd w:val="clear" w:color="auto" w:fill="auto"/>
            <w:noWrap/>
            <w:vAlign w:val="bottom"/>
          </w:tcPr>
          <w:p w14:paraId="41C0C410" w14:textId="77777777" w:rsidR="00D94493" w:rsidRPr="00D94493" w:rsidRDefault="00D94493" w:rsidP="00D94493">
            <w:pPr>
              <w:spacing w:after="120" w:line="240" w:lineRule="auto"/>
              <w:jc w:val="right"/>
              <w:rPr>
                <w:rFonts w:ascii="Times New Roman" w:hAnsi="Times New Roman" w:cs="Times New Roman"/>
                <w:sz w:val="16"/>
                <w:szCs w:val="16"/>
                <w:highlight w:val="yellow"/>
              </w:rPr>
            </w:pPr>
            <w:r w:rsidRPr="00D94493">
              <w:rPr>
                <w:rFonts w:ascii="Times New Roman" w:hAnsi="Times New Roman" w:cs="Times New Roman"/>
                <w:sz w:val="16"/>
                <w:szCs w:val="16"/>
              </w:rPr>
              <w:t>-82 496</w:t>
            </w:r>
          </w:p>
        </w:tc>
      </w:tr>
      <w:tr w:rsidR="00D94493" w:rsidRPr="00D94493" w14:paraId="1D78009E" w14:textId="77777777" w:rsidTr="00D94493">
        <w:trPr>
          <w:trHeight w:val="198"/>
        </w:trPr>
        <w:tc>
          <w:tcPr>
            <w:tcW w:w="4939" w:type="dxa"/>
            <w:tcBorders>
              <w:top w:val="nil"/>
              <w:left w:val="nil"/>
              <w:bottom w:val="nil"/>
              <w:right w:val="nil"/>
            </w:tcBorders>
            <w:shd w:val="clear" w:color="auto" w:fill="auto"/>
            <w:noWrap/>
            <w:vAlign w:val="center"/>
          </w:tcPr>
          <w:p w14:paraId="5FDE21ED" w14:textId="77777777" w:rsidR="00D94493" w:rsidRPr="00D94493" w:rsidRDefault="00D94493" w:rsidP="00D94493">
            <w:pPr>
              <w:spacing w:after="120" w:line="240" w:lineRule="auto"/>
              <w:rPr>
                <w:rFonts w:ascii="Times New Roman" w:hAnsi="Times New Roman" w:cs="Times New Roman"/>
                <w:sz w:val="16"/>
                <w:szCs w:val="16"/>
                <w:lang w:eastAsia="sk-SK"/>
              </w:rPr>
            </w:pPr>
            <w:r w:rsidRPr="00D94493">
              <w:rPr>
                <w:rFonts w:ascii="Times New Roman" w:hAnsi="Times New Roman" w:cs="Times New Roman"/>
                <w:color w:val="000000"/>
                <w:sz w:val="16"/>
                <w:szCs w:val="16"/>
              </w:rPr>
              <w:t xml:space="preserve">    Reforma II. piliera 2022 (zníženie poplatkov)</w:t>
            </w:r>
          </w:p>
        </w:tc>
        <w:tc>
          <w:tcPr>
            <w:tcW w:w="1031" w:type="dxa"/>
            <w:tcBorders>
              <w:top w:val="nil"/>
              <w:left w:val="nil"/>
              <w:bottom w:val="nil"/>
              <w:right w:val="nil"/>
            </w:tcBorders>
            <w:shd w:val="clear" w:color="auto" w:fill="auto"/>
            <w:noWrap/>
            <w:vAlign w:val="bottom"/>
          </w:tcPr>
          <w:p w14:paraId="67C8602E" w14:textId="77777777" w:rsidR="00D94493" w:rsidRPr="00D94493" w:rsidRDefault="00D94493" w:rsidP="00D94493">
            <w:pPr>
              <w:spacing w:after="120" w:line="240" w:lineRule="auto"/>
              <w:jc w:val="right"/>
              <w:rPr>
                <w:rFonts w:ascii="Times New Roman" w:hAnsi="Times New Roman" w:cs="Times New Roman"/>
                <w:sz w:val="16"/>
                <w:szCs w:val="16"/>
                <w:highlight w:val="yellow"/>
              </w:rPr>
            </w:pPr>
            <w:r w:rsidRPr="00D94493">
              <w:rPr>
                <w:rFonts w:ascii="Times New Roman" w:hAnsi="Times New Roman" w:cs="Times New Roman"/>
                <w:sz w:val="16"/>
                <w:szCs w:val="16"/>
              </w:rPr>
              <w:t>-1 227</w:t>
            </w:r>
          </w:p>
        </w:tc>
        <w:tc>
          <w:tcPr>
            <w:tcW w:w="1034" w:type="dxa"/>
            <w:tcBorders>
              <w:top w:val="nil"/>
              <w:left w:val="nil"/>
              <w:bottom w:val="nil"/>
              <w:right w:val="nil"/>
            </w:tcBorders>
            <w:vAlign w:val="bottom"/>
          </w:tcPr>
          <w:p w14:paraId="0D1EB1CF" w14:textId="77777777" w:rsidR="00D94493" w:rsidRPr="00D94493" w:rsidRDefault="00D94493" w:rsidP="00D94493">
            <w:pPr>
              <w:spacing w:after="120" w:line="240" w:lineRule="auto"/>
              <w:jc w:val="right"/>
              <w:rPr>
                <w:rFonts w:ascii="Times New Roman" w:hAnsi="Times New Roman" w:cs="Times New Roman"/>
                <w:sz w:val="16"/>
                <w:szCs w:val="16"/>
                <w:highlight w:val="yellow"/>
              </w:rPr>
            </w:pPr>
            <w:r w:rsidRPr="00D94493">
              <w:rPr>
                <w:rFonts w:ascii="Times New Roman" w:hAnsi="Times New Roman" w:cs="Times New Roman"/>
                <w:sz w:val="16"/>
                <w:szCs w:val="16"/>
              </w:rPr>
              <w:t>-6 867</w:t>
            </w:r>
          </w:p>
        </w:tc>
        <w:tc>
          <w:tcPr>
            <w:tcW w:w="1034" w:type="dxa"/>
            <w:tcBorders>
              <w:top w:val="nil"/>
              <w:left w:val="nil"/>
              <w:bottom w:val="nil"/>
              <w:right w:val="nil"/>
            </w:tcBorders>
            <w:shd w:val="clear" w:color="auto" w:fill="auto"/>
            <w:noWrap/>
            <w:vAlign w:val="bottom"/>
          </w:tcPr>
          <w:p w14:paraId="6D9817A8" w14:textId="77777777" w:rsidR="00D94493" w:rsidRPr="00D94493" w:rsidRDefault="00D94493" w:rsidP="00D94493">
            <w:pPr>
              <w:spacing w:after="120" w:line="240" w:lineRule="auto"/>
              <w:jc w:val="right"/>
              <w:rPr>
                <w:rFonts w:ascii="Times New Roman" w:hAnsi="Times New Roman" w:cs="Times New Roman"/>
                <w:sz w:val="16"/>
                <w:szCs w:val="16"/>
                <w:highlight w:val="yellow"/>
              </w:rPr>
            </w:pPr>
            <w:r w:rsidRPr="00D94493">
              <w:rPr>
                <w:rFonts w:ascii="Times New Roman" w:hAnsi="Times New Roman" w:cs="Times New Roman"/>
                <w:sz w:val="16"/>
                <w:szCs w:val="16"/>
              </w:rPr>
              <w:t>-8 420</w:t>
            </w:r>
          </w:p>
        </w:tc>
        <w:tc>
          <w:tcPr>
            <w:tcW w:w="1034" w:type="dxa"/>
            <w:tcBorders>
              <w:top w:val="nil"/>
              <w:left w:val="nil"/>
              <w:bottom w:val="nil"/>
              <w:right w:val="nil"/>
            </w:tcBorders>
            <w:shd w:val="clear" w:color="auto" w:fill="auto"/>
            <w:noWrap/>
            <w:vAlign w:val="bottom"/>
          </w:tcPr>
          <w:p w14:paraId="7ED0707A" w14:textId="77777777" w:rsidR="00D94493" w:rsidRPr="00D94493" w:rsidRDefault="00D94493" w:rsidP="00D94493">
            <w:pPr>
              <w:spacing w:after="120" w:line="240" w:lineRule="auto"/>
              <w:jc w:val="right"/>
              <w:rPr>
                <w:rFonts w:ascii="Times New Roman" w:hAnsi="Times New Roman" w:cs="Times New Roman"/>
                <w:sz w:val="16"/>
                <w:szCs w:val="16"/>
                <w:highlight w:val="yellow"/>
              </w:rPr>
            </w:pPr>
            <w:r w:rsidRPr="00D94493">
              <w:rPr>
                <w:rFonts w:ascii="Times New Roman" w:hAnsi="Times New Roman" w:cs="Times New Roman"/>
                <w:sz w:val="16"/>
                <w:szCs w:val="16"/>
              </w:rPr>
              <w:t>-9 249</w:t>
            </w:r>
          </w:p>
        </w:tc>
      </w:tr>
      <w:tr w:rsidR="00D94493" w:rsidRPr="00D94493" w14:paraId="213C80EC" w14:textId="77777777" w:rsidTr="00D94493">
        <w:trPr>
          <w:trHeight w:val="198"/>
        </w:trPr>
        <w:tc>
          <w:tcPr>
            <w:tcW w:w="4939" w:type="dxa"/>
            <w:tcBorders>
              <w:top w:val="nil"/>
              <w:left w:val="nil"/>
              <w:bottom w:val="nil"/>
              <w:right w:val="nil"/>
            </w:tcBorders>
            <w:shd w:val="clear" w:color="auto" w:fill="auto"/>
            <w:noWrap/>
            <w:vAlign w:val="center"/>
          </w:tcPr>
          <w:p w14:paraId="1FBC7076" w14:textId="77777777" w:rsidR="00D94493" w:rsidRPr="00D94493" w:rsidRDefault="00D94493" w:rsidP="00D94493">
            <w:pPr>
              <w:rPr>
                <w:rFonts w:ascii="Times New Roman" w:hAnsi="Times New Roman" w:cs="Times New Roman"/>
                <w:b/>
                <w:bCs/>
                <w:color w:val="000000"/>
                <w:sz w:val="16"/>
                <w:szCs w:val="16"/>
              </w:rPr>
            </w:pPr>
            <w:r w:rsidRPr="00D94493">
              <w:rPr>
                <w:rFonts w:ascii="Times New Roman" w:hAnsi="Times New Roman" w:cs="Times New Roman"/>
                <w:b/>
                <w:bCs/>
                <w:color w:val="000000"/>
                <w:sz w:val="16"/>
                <w:szCs w:val="16"/>
              </w:rPr>
              <w:t>Legislatívne opatrenia prijaté v decembri 2022 - nezahrnuté v prognóze zo septembra 2022</w:t>
            </w:r>
          </w:p>
        </w:tc>
        <w:tc>
          <w:tcPr>
            <w:tcW w:w="1031" w:type="dxa"/>
            <w:tcBorders>
              <w:top w:val="nil"/>
              <w:left w:val="nil"/>
              <w:bottom w:val="nil"/>
              <w:right w:val="nil"/>
            </w:tcBorders>
            <w:shd w:val="clear" w:color="auto" w:fill="auto"/>
            <w:noWrap/>
            <w:vAlign w:val="center"/>
          </w:tcPr>
          <w:p w14:paraId="1B332826" w14:textId="77777777" w:rsidR="00D94493" w:rsidRPr="00D94493" w:rsidRDefault="00D94493" w:rsidP="00D94493">
            <w:pPr>
              <w:spacing w:after="120" w:line="240" w:lineRule="auto"/>
              <w:jc w:val="right"/>
              <w:rPr>
                <w:rFonts w:ascii="Times New Roman" w:hAnsi="Times New Roman" w:cs="Times New Roman"/>
                <w:color w:val="000000"/>
                <w:sz w:val="16"/>
                <w:szCs w:val="16"/>
                <w:highlight w:val="yellow"/>
              </w:rPr>
            </w:pPr>
          </w:p>
        </w:tc>
        <w:tc>
          <w:tcPr>
            <w:tcW w:w="1034" w:type="dxa"/>
            <w:tcBorders>
              <w:top w:val="nil"/>
              <w:left w:val="nil"/>
              <w:bottom w:val="nil"/>
              <w:right w:val="nil"/>
            </w:tcBorders>
            <w:vAlign w:val="center"/>
          </w:tcPr>
          <w:p w14:paraId="14980602" w14:textId="77777777" w:rsidR="00D94493" w:rsidRPr="00D94493" w:rsidRDefault="00D94493" w:rsidP="00D94493">
            <w:pPr>
              <w:spacing w:after="120" w:line="240" w:lineRule="auto"/>
              <w:jc w:val="right"/>
              <w:rPr>
                <w:rFonts w:ascii="Times New Roman" w:hAnsi="Times New Roman" w:cs="Times New Roman"/>
                <w:color w:val="000000"/>
                <w:sz w:val="16"/>
                <w:szCs w:val="16"/>
                <w:highlight w:val="yellow"/>
              </w:rPr>
            </w:pPr>
          </w:p>
        </w:tc>
        <w:tc>
          <w:tcPr>
            <w:tcW w:w="1034" w:type="dxa"/>
            <w:tcBorders>
              <w:top w:val="nil"/>
              <w:left w:val="nil"/>
              <w:bottom w:val="nil"/>
              <w:right w:val="nil"/>
            </w:tcBorders>
            <w:shd w:val="clear" w:color="auto" w:fill="auto"/>
            <w:noWrap/>
            <w:vAlign w:val="center"/>
          </w:tcPr>
          <w:p w14:paraId="272B4A27" w14:textId="77777777" w:rsidR="00D94493" w:rsidRPr="00D94493" w:rsidRDefault="00D94493" w:rsidP="00D94493">
            <w:pPr>
              <w:spacing w:after="120" w:line="240" w:lineRule="auto"/>
              <w:jc w:val="right"/>
              <w:rPr>
                <w:rFonts w:ascii="Times New Roman" w:hAnsi="Times New Roman" w:cs="Times New Roman"/>
                <w:color w:val="000000"/>
                <w:sz w:val="16"/>
                <w:szCs w:val="16"/>
                <w:highlight w:val="yellow"/>
              </w:rPr>
            </w:pPr>
          </w:p>
        </w:tc>
        <w:tc>
          <w:tcPr>
            <w:tcW w:w="1034" w:type="dxa"/>
            <w:tcBorders>
              <w:top w:val="nil"/>
              <w:left w:val="nil"/>
              <w:bottom w:val="nil"/>
              <w:right w:val="nil"/>
            </w:tcBorders>
            <w:shd w:val="clear" w:color="auto" w:fill="auto"/>
            <w:noWrap/>
            <w:vAlign w:val="center"/>
          </w:tcPr>
          <w:p w14:paraId="42C88253" w14:textId="77777777" w:rsidR="00D94493" w:rsidRPr="00D94493" w:rsidRDefault="00D94493" w:rsidP="00D94493">
            <w:pPr>
              <w:spacing w:after="120" w:line="240" w:lineRule="auto"/>
              <w:jc w:val="right"/>
              <w:rPr>
                <w:rFonts w:ascii="Times New Roman" w:hAnsi="Times New Roman" w:cs="Times New Roman"/>
                <w:color w:val="000000"/>
                <w:sz w:val="16"/>
                <w:szCs w:val="16"/>
                <w:highlight w:val="yellow"/>
              </w:rPr>
            </w:pPr>
          </w:p>
        </w:tc>
      </w:tr>
      <w:tr w:rsidR="00D94493" w:rsidRPr="00D94493" w14:paraId="5AA34575" w14:textId="77777777" w:rsidTr="00D94493">
        <w:trPr>
          <w:trHeight w:val="198"/>
        </w:trPr>
        <w:tc>
          <w:tcPr>
            <w:tcW w:w="4939" w:type="dxa"/>
            <w:tcBorders>
              <w:top w:val="nil"/>
              <w:left w:val="nil"/>
              <w:bottom w:val="nil"/>
              <w:right w:val="nil"/>
            </w:tcBorders>
            <w:shd w:val="clear" w:color="auto" w:fill="auto"/>
            <w:noWrap/>
            <w:vAlign w:val="center"/>
          </w:tcPr>
          <w:p w14:paraId="292A9E40" w14:textId="77777777" w:rsidR="00D94493" w:rsidRPr="00D94493" w:rsidRDefault="00D94493" w:rsidP="00D94493">
            <w:pPr>
              <w:spacing w:after="120" w:line="240" w:lineRule="auto"/>
              <w:rPr>
                <w:rFonts w:ascii="Times New Roman" w:hAnsi="Times New Roman" w:cs="Times New Roman"/>
                <w:color w:val="000000"/>
                <w:sz w:val="16"/>
                <w:szCs w:val="16"/>
              </w:rPr>
            </w:pPr>
            <w:r w:rsidRPr="00D94493">
              <w:rPr>
                <w:rFonts w:ascii="Times New Roman" w:hAnsi="Times New Roman" w:cs="Times New Roman"/>
                <w:color w:val="000000"/>
                <w:sz w:val="16"/>
                <w:szCs w:val="16"/>
              </w:rPr>
              <w:t xml:space="preserve">    Zvýšenie sadzby SD z liehu o 30 %</w:t>
            </w:r>
          </w:p>
        </w:tc>
        <w:tc>
          <w:tcPr>
            <w:tcW w:w="1031" w:type="dxa"/>
            <w:tcBorders>
              <w:top w:val="nil"/>
              <w:left w:val="nil"/>
              <w:bottom w:val="nil"/>
              <w:right w:val="nil"/>
            </w:tcBorders>
            <w:shd w:val="clear" w:color="auto" w:fill="auto"/>
            <w:noWrap/>
            <w:vAlign w:val="bottom"/>
          </w:tcPr>
          <w:p w14:paraId="6305BFC9"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sz w:val="16"/>
                <w:szCs w:val="16"/>
              </w:rPr>
              <w:t>33 630</w:t>
            </w:r>
          </w:p>
        </w:tc>
        <w:tc>
          <w:tcPr>
            <w:tcW w:w="1034" w:type="dxa"/>
            <w:tcBorders>
              <w:top w:val="nil"/>
              <w:left w:val="nil"/>
              <w:bottom w:val="nil"/>
              <w:right w:val="nil"/>
            </w:tcBorders>
            <w:vAlign w:val="bottom"/>
          </w:tcPr>
          <w:p w14:paraId="6E9B673F"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sz w:val="16"/>
                <w:szCs w:val="16"/>
              </w:rPr>
              <w:t>79 858</w:t>
            </w:r>
          </w:p>
        </w:tc>
        <w:tc>
          <w:tcPr>
            <w:tcW w:w="1034" w:type="dxa"/>
            <w:tcBorders>
              <w:top w:val="nil"/>
              <w:left w:val="nil"/>
              <w:bottom w:val="nil"/>
              <w:right w:val="nil"/>
            </w:tcBorders>
            <w:shd w:val="clear" w:color="auto" w:fill="auto"/>
            <w:noWrap/>
            <w:vAlign w:val="bottom"/>
          </w:tcPr>
          <w:p w14:paraId="5AD4C4EF"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sz w:val="16"/>
                <w:szCs w:val="16"/>
              </w:rPr>
              <w:t>80 125</w:t>
            </w:r>
          </w:p>
        </w:tc>
        <w:tc>
          <w:tcPr>
            <w:tcW w:w="1034" w:type="dxa"/>
            <w:tcBorders>
              <w:top w:val="nil"/>
              <w:left w:val="nil"/>
              <w:bottom w:val="nil"/>
              <w:right w:val="nil"/>
            </w:tcBorders>
            <w:shd w:val="clear" w:color="auto" w:fill="auto"/>
            <w:noWrap/>
            <w:vAlign w:val="bottom"/>
          </w:tcPr>
          <w:p w14:paraId="2F93F824"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sz w:val="16"/>
                <w:szCs w:val="16"/>
              </w:rPr>
              <w:t>80 323</w:t>
            </w:r>
          </w:p>
        </w:tc>
      </w:tr>
      <w:tr w:rsidR="00D94493" w:rsidRPr="00D94493" w14:paraId="22999135" w14:textId="77777777" w:rsidTr="00D94493">
        <w:trPr>
          <w:trHeight w:val="198"/>
        </w:trPr>
        <w:tc>
          <w:tcPr>
            <w:tcW w:w="4939" w:type="dxa"/>
            <w:tcBorders>
              <w:top w:val="nil"/>
              <w:left w:val="nil"/>
              <w:bottom w:val="nil"/>
              <w:right w:val="nil"/>
            </w:tcBorders>
            <w:shd w:val="clear" w:color="auto" w:fill="auto"/>
            <w:noWrap/>
            <w:vAlign w:val="center"/>
          </w:tcPr>
          <w:p w14:paraId="44AC852D" w14:textId="77777777" w:rsidR="00D94493" w:rsidRPr="00D94493" w:rsidRDefault="00D94493" w:rsidP="00D94493">
            <w:pPr>
              <w:spacing w:after="120" w:line="240" w:lineRule="auto"/>
              <w:rPr>
                <w:rFonts w:ascii="Times New Roman" w:hAnsi="Times New Roman" w:cs="Times New Roman"/>
                <w:color w:val="000000"/>
                <w:sz w:val="16"/>
                <w:szCs w:val="16"/>
              </w:rPr>
            </w:pPr>
            <w:r w:rsidRPr="00D94493">
              <w:rPr>
                <w:rFonts w:ascii="Times New Roman" w:hAnsi="Times New Roman" w:cs="Times New Roman"/>
                <w:color w:val="000000"/>
                <w:sz w:val="16"/>
                <w:szCs w:val="16"/>
              </w:rPr>
              <w:t xml:space="preserve">    Odvody z hazardných hier (vplyv na DPPO)</w:t>
            </w:r>
          </w:p>
        </w:tc>
        <w:tc>
          <w:tcPr>
            <w:tcW w:w="1031" w:type="dxa"/>
            <w:tcBorders>
              <w:top w:val="nil"/>
              <w:left w:val="nil"/>
              <w:bottom w:val="nil"/>
              <w:right w:val="nil"/>
            </w:tcBorders>
            <w:shd w:val="clear" w:color="auto" w:fill="auto"/>
            <w:noWrap/>
            <w:vAlign w:val="bottom"/>
          </w:tcPr>
          <w:p w14:paraId="297DE9DD"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sz w:val="16"/>
                <w:szCs w:val="16"/>
              </w:rPr>
              <w:t>-4 980</w:t>
            </w:r>
          </w:p>
        </w:tc>
        <w:tc>
          <w:tcPr>
            <w:tcW w:w="1034" w:type="dxa"/>
            <w:tcBorders>
              <w:top w:val="nil"/>
              <w:left w:val="nil"/>
              <w:bottom w:val="nil"/>
              <w:right w:val="nil"/>
            </w:tcBorders>
            <w:vAlign w:val="bottom"/>
          </w:tcPr>
          <w:p w14:paraId="5E8186F2"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sz w:val="16"/>
                <w:szCs w:val="16"/>
              </w:rPr>
              <w:t>-5 397</w:t>
            </w:r>
          </w:p>
        </w:tc>
        <w:tc>
          <w:tcPr>
            <w:tcW w:w="1034" w:type="dxa"/>
            <w:tcBorders>
              <w:top w:val="nil"/>
              <w:left w:val="nil"/>
              <w:bottom w:val="nil"/>
              <w:right w:val="nil"/>
            </w:tcBorders>
            <w:shd w:val="clear" w:color="auto" w:fill="auto"/>
            <w:noWrap/>
            <w:vAlign w:val="bottom"/>
          </w:tcPr>
          <w:p w14:paraId="2A22CC94"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sz w:val="16"/>
                <w:szCs w:val="16"/>
              </w:rPr>
              <w:t>-6 234</w:t>
            </w:r>
          </w:p>
        </w:tc>
        <w:tc>
          <w:tcPr>
            <w:tcW w:w="1034" w:type="dxa"/>
            <w:tcBorders>
              <w:top w:val="nil"/>
              <w:left w:val="nil"/>
              <w:bottom w:val="nil"/>
              <w:right w:val="nil"/>
            </w:tcBorders>
            <w:shd w:val="clear" w:color="auto" w:fill="auto"/>
            <w:noWrap/>
            <w:vAlign w:val="bottom"/>
          </w:tcPr>
          <w:p w14:paraId="140F1B5E"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sz w:val="16"/>
                <w:szCs w:val="16"/>
              </w:rPr>
              <w:t>-7 116</w:t>
            </w:r>
          </w:p>
        </w:tc>
      </w:tr>
      <w:tr w:rsidR="00D94493" w:rsidRPr="00D94493" w14:paraId="11874110" w14:textId="77777777" w:rsidTr="00D94493">
        <w:trPr>
          <w:trHeight w:val="198"/>
        </w:trPr>
        <w:tc>
          <w:tcPr>
            <w:tcW w:w="4939" w:type="dxa"/>
            <w:tcBorders>
              <w:top w:val="nil"/>
              <w:left w:val="nil"/>
              <w:bottom w:val="nil"/>
              <w:right w:val="nil"/>
            </w:tcBorders>
            <w:shd w:val="clear" w:color="auto" w:fill="auto"/>
            <w:noWrap/>
            <w:vAlign w:val="center"/>
          </w:tcPr>
          <w:p w14:paraId="78647099" w14:textId="77777777" w:rsidR="00D94493" w:rsidRPr="00D94493" w:rsidRDefault="00D94493" w:rsidP="00D94493">
            <w:pPr>
              <w:spacing w:after="120" w:line="240" w:lineRule="auto"/>
              <w:rPr>
                <w:rFonts w:ascii="Times New Roman" w:hAnsi="Times New Roman" w:cs="Times New Roman"/>
                <w:color w:val="000000"/>
                <w:sz w:val="16"/>
                <w:szCs w:val="16"/>
              </w:rPr>
            </w:pPr>
            <w:r w:rsidRPr="00D94493">
              <w:rPr>
                <w:rFonts w:ascii="Times New Roman" w:hAnsi="Times New Roman" w:cs="Times New Roman"/>
                <w:color w:val="000000"/>
                <w:sz w:val="16"/>
                <w:szCs w:val="16"/>
              </w:rPr>
              <w:t xml:space="preserve">    Oslobodenia cestovných nákladov lekárov na kongresy</w:t>
            </w:r>
          </w:p>
        </w:tc>
        <w:tc>
          <w:tcPr>
            <w:tcW w:w="1031" w:type="dxa"/>
            <w:tcBorders>
              <w:top w:val="nil"/>
              <w:left w:val="nil"/>
              <w:bottom w:val="nil"/>
              <w:right w:val="nil"/>
            </w:tcBorders>
            <w:shd w:val="clear" w:color="auto" w:fill="auto"/>
            <w:noWrap/>
            <w:vAlign w:val="bottom"/>
          </w:tcPr>
          <w:p w14:paraId="40408F53"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color w:val="000000"/>
                <w:sz w:val="16"/>
                <w:szCs w:val="16"/>
              </w:rPr>
              <w:t>-1 000</w:t>
            </w:r>
          </w:p>
        </w:tc>
        <w:tc>
          <w:tcPr>
            <w:tcW w:w="1034" w:type="dxa"/>
            <w:tcBorders>
              <w:top w:val="nil"/>
              <w:left w:val="nil"/>
              <w:bottom w:val="nil"/>
              <w:right w:val="nil"/>
            </w:tcBorders>
            <w:vAlign w:val="bottom"/>
          </w:tcPr>
          <w:p w14:paraId="07C732CE"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color w:val="000000"/>
                <w:sz w:val="16"/>
                <w:szCs w:val="16"/>
              </w:rPr>
              <w:t>-1 050</w:t>
            </w:r>
          </w:p>
        </w:tc>
        <w:tc>
          <w:tcPr>
            <w:tcW w:w="1034" w:type="dxa"/>
            <w:tcBorders>
              <w:top w:val="nil"/>
              <w:left w:val="nil"/>
              <w:bottom w:val="nil"/>
              <w:right w:val="nil"/>
            </w:tcBorders>
            <w:shd w:val="clear" w:color="auto" w:fill="auto"/>
            <w:noWrap/>
            <w:vAlign w:val="bottom"/>
          </w:tcPr>
          <w:p w14:paraId="7FF4BF88"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color w:val="000000"/>
                <w:sz w:val="16"/>
                <w:szCs w:val="16"/>
              </w:rPr>
              <w:t>-1 103</w:t>
            </w:r>
          </w:p>
        </w:tc>
        <w:tc>
          <w:tcPr>
            <w:tcW w:w="1034" w:type="dxa"/>
            <w:tcBorders>
              <w:top w:val="nil"/>
              <w:left w:val="nil"/>
              <w:bottom w:val="nil"/>
              <w:right w:val="nil"/>
            </w:tcBorders>
            <w:shd w:val="clear" w:color="auto" w:fill="auto"/>
            <w:noWrap/>
            <w:vAlign w:val="bottom"/>
          </w:tcPr>
          <w:p w14:paraId="6B64B52C"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color w:val="000000"/>
                <w:sz w:val="16"/>
                <w:szCs w:val="16"/>
              </w:rPr>
              <w:t>-1 158</w:t>
            </w:r>
          </w:p>
        </w:tc>
      </w:tr>
      <w:tr w:rsidR="00D94493" w:rsidRPr="00D94493" w14:paraId="68C40ED8" w14:textId="77777777" w:rsidTr="00D94493">
        <w:trPr>
          <w:trHeight w:val="198"/>
        </w:trPr>
        <w:tc>
          <w:tcPr>
            <w:tcW w:w="4939" w:type="dxa"/>
            <w:tcBorders>
              <w:top w:val="nil"/>
              <w:left w:val="nil"/>
              <w:bottom w:val="nil"/>
              <w:right w:val="nil"/>
            </w:tcBorders>
            <w:shd w:val="clear" w:color="auto" w:fill="auto"/>
            <w:noWrap/>
            <w:vAlign w:val="center"/>
          </w:tcPr>
          <w:p w14:paraId="0CD7C1D5" w14:textId="77777777" w:rsidR="00D94493" w:rsidRPr="00D94493" w:rsidRDefault="00D94493" w:rsidP="00D94493">
            <w:pPr>
              <w:spacing w:after="120" w:line="240" w:lineRule="auto"/>
              <w:rPr>
                <w:rFonts w:ascii="Times New Roman" w:hAnsi="Times New Roman" w:cs="Times New Roman"/>
                <w:color w:val="000000"/>
                <w:sz w:val="16"/>
                <w:szCs w:val="16"/>
              </w:rPr>
            </w:pPr>
            <w:r w:rsidRPr="00D94493">
              <w:rPr>
                <w:rFonts w:ascii="Times New Roman" w:hAnsi="Times New Roman" w:cs="Times New Roman"/>
                <w:color w:val="000000"/>
                <w:sz w:val="16"/>
                <w:szCs w:val="16"/>
              </w:rPr>
              <w:t xml:space="preserve">    Minimálne poistné zo zdravotných odvodov</w:t>
            </w:r>
          </w:p>
        </w:tc>
        <w:tc>
          <w:tcPr>
            <w:tcW w:w="1031" w:type="dxa"/>
            <w:tcBorders>
              <w:top w:val="nil"/>
              <w:left w:val="nil"/>
              <w:bottom w:val="nil"/>
              <w:right w:val="nil"/>
            </w:tcBorders>
            <w:shd w:val="clear" w:color="auto" w:fill="auto"/>
            <w:noWrap/>
            <w:vAlign w:val="bottom"/>
          </w:tcPr>
          <w:p w14:paraId="4C33B2A3"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color w:val="000000"/>
                <w:sz w:val="16"/>
                <w:szCs w:val="16"/>
              </w:rPr>
              <w:t>20 192</w:t>
            </w:r>
          </w:p>
        </w:tc>
        <w:tc>
          <w:tcPr>
            <w:tcW w:w="1034" w:type="dxa"/>
            <w:tcBorders>
              <w:top w:val="nil"/>
              <w:left w:val="nil"/>
              <w:bottom w:val="nil"/>
              <w:right w:val="nil"/>
            </w:tcBorders>
            <w:vAlign w:val="bottom"/>
          </w:tcPr>
          <w:p w14:paraId="76590222"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color w:val="000000"/>
                <w:sz w:val="16"/>
                <w:szCs w:val="16"/>
              </w:rPr>
              <w:t>14 261</w:t>
            </w:r>
          </w:p>
        </w:tc>
        <w:tc>
          <w:tcPr>
            <w:tcW w:w="1034" w:type="dxa"/>
            <w:tcBorders>
              <w:top w:val="nil"/>
              <w:left w:val="nil"/>
              <w:bottom w:val="nil"/>
              <w:right w:val="nil"/>
            </w:tcBorders>
            <w:shd w:val="clear" w:color="auto" w:fill="auto"/>
            <w:noWrap/>
            <w:vAlign w:val="bottom"/>
          </w:tcPr>
          <w:p w14:paraId="4FB3DA45"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color w:val="000000"/>
                <w:sz w:val="16"/>
                <w:szCs w:val="16"/>
              </w:rPr>
              <w:t>14 989</w:t>
            </w:r>
          </w:p>
        </w:tc>
        <w:tc>
          <w:tcPr>
            <w:tcW w:w="1034" w:type="dxa"/>
            <w:tcBorders>
              <w:top w:val="nil"/>
              <w:left w:val="nil"/>
              <w:bottom w:val="nil"/>
              <w:right w:val="nil"/>
            </w:tcBorders>
            <w:shd w:val="clear" w:color="auto" w:fill="auto"/>
            <w:noWrap/>
            <w:vAlign w:val="bottom"/>
          </w:tcPr>
          <w:p w14:paraId="41C97616"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color w:val="000000"/>
                <w:sz w:val="16"/>
                <w:szCs w:val="16"/>
              </w:rPr>
              <w:t>14 263</w:t>
            </w:r>
          </w:p>
        </w:tc>
      </w:tr>
      <w:tr w:rsidR="00D94493" w:rsidRPr="00D94493" w14:paraId="10A7CEC1" w14:textId="77777777" w:rsidTr="00D94493">
        <w:trPr>
          <w:trHeight w:val="198"/>
        </w:trPr>
        <w:tc>
          <w:tcPr>
            <w:tcW w:w="4939" w:type="dxa"/>
            <w:tcBorders>
              <w:top w:val="nil"/>
              <w:left w:val="nil"/>
              <w:bottom w:val="nil"/>
              <w:right w:val="nil"/>
            </w:tcBorders>
            <w:shd w:val="clear" w:color="auto" w:fill="auto"/>
            <w:noWrap/>
            <w:vAlign w:val="center"/>
          </w:tcPr>
          <w:p w14:paraId="447A610A" w14:textId="77777777" w:rsidR="00D94493" w:rsidRPr="00D94493" w:rsidRDefault="00D94493" w:rsidP="00D94493">
            <w:pPr>
              <w:spacing w:after="120" w:line="240" w:lineRule="auto"/>
              <w:rPr>
                <w:rFonts w:ascii="Times New Roman" w:hAnsi="Times New Roman" w:cs="Times New Roman"/>
                <w:color w:val="000000"/>
                <w:sz w:val="16"/>
                <w:szCs w:val="16"/>
              </w:rPr>
            </w:pPr>
            <w:r w:rsidRPr="00D94493">
              <w:rPr>
                <w:rFonts w:ascii="Times New Roman" w:hAnsi="Times New Roman" w:cs="Times New Roman"/>
                <w:color w:val="000000"/>
                <w:sz w:val="16"/>
                <w:szCs w:val="16"/>
              </w:rPr>
              <w:t xml:space="preserve">    Zrušenie koncesionárskych poplatkov</w:t>
            </w:r>
          </w:p>
        </w:tc>
        <w:tc>
          <w:tcPr>
            <w:tcW w:w="1031" w:type="dxa"/>
            <w:tcBorders>
              <w:top w:val="nil"/>
              <w:left w:val="nil"/>
              <w:bottom w:val="nil"/>
              <w:right w:val="nil"/>
            </w:tcBorders>
            <w:shd w:val="clear" w:color="auto" w:fill="auto"/>
            <w:noWrap/>
            <w:vAlign w:val="bottom"/>
          </w:tcPr>
          <w:p w14:paraId="25E99E0B"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color w:val="000000"/>
                <w:sz w:val="16"/>
                <w:szCs w:val="16"/>
              </w:rPr>
              <w:t>-34 836</w:t>
            </w:r>
          </w:p>
        </w:tc>
        <w:tc>
          <w:tcPr>
            <w:tcW w:w="1034" w:type="dxa"/>
            <w:tcBorders>
              <w:top w:val="nil"/>
              <w:left w:val="nil"/>
              <w:bottom w:val="nil"/>
              <w:right w:val="nil"/>
            </w:tcBorders>
            <w:vAlign w:val="bottom"/>
          </w:tcPr>
          <w:p w14:paraId="0E60C492"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color w:val="000000"/>
                <w:sz w:val="16"/>
                <w:szCs w:val="16"/>
              </w:rPr>
              <w:t>-76 146</w:t>
            </w:r>
          </w:p>
        </w:tc>
        <w:tc>
          <w:tcPr>
            <w:tcW w:w="1034" w:type="dxa"/>
            <w:tcBorders>
              <w:top w:val="nil"/>
              <w:left w:val="nil"/>
              <w:bottom w:val="nil"/>
              <w:right w:val="nil"/>
            </w:tcBorders>
            <w:shd w:val="clear" w:color="auto" w:fill="auto"/>
            <w:noWrap/>
            <w:vAlign w:val="bottom"/>
          </w:tcPr>
          <w:p w14:paraId="3161CDD6"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color w:val="000000"/>
                <w:sz w:val="16"/>
                <w:szCs w:val="16"/>
              </w:rPr>
              <w:t>-77 061</w:t>
            </w:r>
          </w:p>
        </w:tc>
        <w:tc>
          <w:tcPr>
            <w:tcW w:w="1034" w:type="dxa"/>
            <w:tcBorders>
              <w:top w:val="nil"/>
              <w:left w:val="nil"/>
              <w:bottom w:val="nil"/>
              <w:right w:val="nil"/>
            </w:tcBorders>
            <w:shd w:val="clear" w:color="auto" w:fill="auto"/>
            <w:noWrap/>
            <w:vAlign w:val="bottom"/>
          </w:tcPr>
          <w:p w14:paraId="10225872"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color w:val="000000"/>
                <w:sz w:val="16"/>
                <w:szCs w:val="16"/>
              </w:rPr>
              <w:t>-77 990</w:t>
            </w:r>
          </w:p>
        </w:tc>
      </w:tr>
      <w:tr w:rsidR="00D94493" w:rsidRPr="00D94493" w14:paraId="7160FB28" w14:textId="77777777" w:rsidTr="00D94493">
        <w:trPr>
          <w:trHeight w:val="198"/>
        </w:trPr>
        <w:tc>
          <w:tcPr>
            <w:tcW w:w="4939" w:type="dxa"/>
            <w:tcBorders>
              <w:top w:val="nil"/>
              <w:left w:val="nil"/>
              <w:bottom w:val="nil"/>
              <w:right w:val="nil"/>
            </w:tcBorders>
            <w:shd w:val="clear" w:color="auto" w:fill="auto"/>
            <w:noWrap/>
            <w:vAlign w:val="center"/>
          </w:tcPr>
          <w:p w14:paraId="10B38494" w14:textId="77777777" w:rsidR="00D94493" w:rsidRPr="00D94493" w:rsidRDefault="00D94493" w:rsidP="00D94493">
            <w:pPr>
              <w:spacing w:after="120" w:line="240" w:lineRule="auto"/>
              <w:rPr>
                <w:rFonts w:ascii="Times New Roman" w:hAnsi="Times New Roman" w:cs="Times New Roman"/>
                <w:color w:val="000000"/>
                <w:sz w:val="16"/>
                <w:szCs w:val="16"/>
              </w:rPr>
            </w:pPr>
            <w:r w:rsidRPr="00D94493">
              <w:rPr>
                <w:rFonts w:ascii="Times New Roman" w:hAnsi="Times New Roman" w:cs="Times New Roman"/>
                <w:color w:val="000000"/>
                <w:sz w:val="16"/>
                <w:szCs w:val="16"/>
              </w:rPr>
              <w:t xml:space="preserve">    Zdanenie dlhopisov emitovaných domácimi emitentmi na zahraničných trhoch</w:t>
            </w:r>
          </w:p>
        </w:tc>
        <w:tc>
          <w:tcPr>
            <w:tcW w:w="1031" w:type="dxa"/>
            <w:tcBorders>
              <w:top w:val="nil"/>
              <w:left w:val="nil"/>
              <w:bottom w:val="nil"/>
              <w:right w:val="nil"/>
            </w:tcBorders>
            <w:shd w:val="clear" w:color="auto" w:fill="auto"/>
            <w:noWrap/>
            <w:vAlign w:val="center"/>
          </w:tcPr>
          <w:p w14:paraId="51F1D9A9"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color w:val="000000"/>
                <w:sz w:val="16"/>
                <w:szCs w:val="16"/>
              </w:rPr>
              <w:t>3 711</w:t>
            </w:r>
          </w:p>
        </w:tc>
        <w:tc>
          <w:tcPr>
            <w:tcW w:w="1034" w:type="dxa"/>
            <w:tcBorders>
              <w:top w:val="nil"/>
              <w:left w:val="nil"/>
              <w:bottom w:val="nil"/>
              <w:right w:val="nil"/>
            </w:tcBorders>
            <w:vAlign w:val="center"/>
          </w:tcPr>
          <w:p w14:paraId="46381591"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color w:val="000000"/>
                <w:sz w:val="16"/>
                <w:szCs w:val="16"/>
              </w:rPr>
              <w:t>0</w:t>
            </w:r>
          </w:p>
        </w:tc>
        <w:tc>
          <w:tcPr>
            <w:tcW w:w="1034" w:type="dxa"/>
            <w:tcBorders>
              <w:top w:val="nil"/>
              <w:left w:val="nil"/>
              <w:bottom w:val="nil"/>
              <w:right w:val="nil"/>
            </w:tcBorders>
            <w:shd w:val="clear" w:color="auto" w:fill="auto"/>
            <w:noWrap/>
            <w:vAlign w:val="center"/>
          </w:tcPr>
          <w:p w14:paraId="70A0281A"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color w:val="000000"/>
                <w:sz w:val="16"/>
                <w:szCs w:val="16"/>
              </w:rPr>
              <w:t>0</w:t>
            </w:r>
          </w:p>
        </w:tc>
        <w:tc>
          <w:tcPr>
            <w:tcW w:w="1034" w:type="dxa"/>
            <w:tcBorders>
              <w:top w:val="nil"/>
              <w:left w:val="nil"/>
              <w:bottom w:val="nil"/>
              <w:right w:val="nil"/>
            </w:tcBorders>
            <w:shd w:val="clear" w:color="auto" w:fill="auto"/>
            <w:noWrap/>
            <w:vAlign w:val="center"/>
          </w:tcPr>
          <w:p w14:paraId="4B2F51C6"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color w:val="000000"/>
                <w:sz w:val="16"/>
                <w:szCs w:val="16"/>
              </w:rPr>
              <w:t>0</w:t>
            </w:r>
          </w:p>
        </w:tc>
      </w:tr>
      <w:tr w:rsidR="00D94493" w:rsidRPr="00D94493" w14:paraId="06398D86" w14:textId="77777777" w:rsidTr="00D94493">
        <w:trPr>
          <w:trHeight w:val="198"/>
        </w:trPr>
        <w:tc>
          <w:tcPr>
            <w:tcW w:w="4939" w:type="dxa"/>
            <w:tcBorders>
              <w:top w:val="nil"/>
              <w:left w:val="nil"/>
              <w:right w:val="nil"/>
            </w:tcBorders>
            <w:shd w:val="clear" w:color="auto" w:fill="auto"/>
            <w:noWrap/>
            <w:vAlign w:val="center"/>
          </w:tcPr>
          <w:p w14:paraId="309032C1" w14:textId="77777777" w:rsidR="00D94493" w:rsidRPr="00D94493" w:rsidRDefault="00D94493" w:rsidP="00D94493">
            <w:pPr>
              <w:spacing w:after="120" w:line="240" w:lineRule="auto"/>
              <w:rPr>
                <w:rFonts w:ascii="Times New Roman" w:hAnsi="Times New Roman" w:cs="Times New Roman"/>
                <w:color w:val="000000"/>
                <w:sz w:val="16"/>
                <w:szCs w:val="16"/>
              </w:rPr>
            </w:pPr>
            <w:r w:rsidRPr="00D94493">
              <w:rPr>
                <w:rFonts w:ascii="Times New Roman" w:hAnsi="Times New Roman" w:cs="Times New Roman"/>
                <w:color w:val="000000"/>
                <w:sz w:val="16"/>
                <w:szCs w:val="16"/>
              </w:rPr>
              <w:t xml:space="preserve">    Trvalé zníženie sadzby DPH na 10% na </w:t>
            </w:r>
            <w:proofErr w:type="spellStart"/>
            <w:r w:rsidRPr="00D94493">
              <w:rPr>
                <w:rFonts w:ascii="Times New Roman" w:hAnsi="Times New Roman" w:cs="Times New Roman"/>
                <w:color w:val="000000"/>
                <w:sz w:val="16"/>
                <w:szCs w:val="16"/>
              </w:rPr>
              <w:t>gastro</w:t>
            </w:r>
            <w:proofErr w:type="spellEnd"/>
            <w:r w:rsidRPr="00D94493">
              <w:rPr>
                <w:rFonts w:ascii="Times New Roman" w:hAnsi="Times New Roman" w:cs="Times New Roman"/>
                <w:color w:val="000000"/>
                <w:sz w:val="16"/>
                <w:szCs w:val="16"/>
              </w:rPr>
              <w:t xml:space="preserve">, vleky, </w:t>
            </w:r>
            <w:proofErr w:type="spellStart"/>
            <w:r w:rsidRPr="00D94493">
              <w:rPr>
                <w:rFonts w:ascii="Times New Roman" w:hAnsi="Times New Roman" w:cs="Times New Roman"/>
                <w:color w:val="000000"/>
                <w:sz w:val="16"/>
                <w:szCs w:val="16"/>
              </w:rPr>
              <w:t>akvaparky</w:t>
            </w:r>
            <w:proofErr w:type="spellEnd"/>
            <w:r w:rsidRPr="00D94493">
              <w:rPr>
                <w:rFonts w:ascii="Times New Roman" w:hAnsi="Times New Roman" w:cs="Times New Roman"/>
                <w:color w:val="000000"/>
                <w:sz w:val="16"/>
                <w:szCs w:val="16"/>
              </w:rPr>
              <w:t xml:space="preserve"> a športoviská</w:t>
            </w:r>
          </w:p>
        </w:tc>
        <w:tc>
          <w:tcPr>
            <w:tcW w:w="1031" w:type="dxa"/>
            <w:tcBorders>
              <w:top w:val="nil"/>
              <w:left w:val="nil"/>
              <w:right w:val="nil"/>
            </w:tcBorders>
            <w:shd w:val="clear" w:color="auto" w:fill="auto"/>
            <w:noWrap/>
            <w:vAlign w:val="bottom"/>
          </w:tcPr>
          <w:p w14:paraId="26F7EE75"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color w:val="000000"/>
                <w:sz w:val="16"/>
                <w:szCs w:val="16"/>
              </w:rPr>
              <w:t>-204 940</w:t>
            </w:r>
          </w:p>
        </w:tc>
        <w:tc>
          <w:tcPr>
            <w:tcW w:w="1034" w:type="dxa"/>
            <w:tcBorders>
              <w:top w:val="nil"/>
              <w:left w:val="nil"/>
              <w:right w:val="nil"/>
            </w:tcBorders>
            <w:vAlign w:val="bottom"/>
          </w:tcPr>
          <w:p w14:paraId="1083B7E7"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color w:val="000000"/>
                <w:sz w:val="16"/>
                <w:szCs w:val="16"/>
              </w:rPr>
              <w:t>-215 448</w:t>
            </w:r>
          </w:p>
        </w:tc>
        <w:tc>
          <w:tcPr>
            <w:tcW w:w="1034" w:type="dxa"/>
            <w:tcBorders>
              <w:top w:val="nil"/>
              <w:left w:val="nil"/>
              <w:right w:val="nil"/>
            </w:tcBorders>
            <w:shd w:val="clear" w:color="auto" w:fill="auto"/>
            <w:noWrap/>
            <w:vAlign w:val="bottom"/>
          </w:tcPr>
          <w:p w14:paraId="2832D1A4"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color w:val="000000"/>
                <w:sz w:val="16"/>
                <w:szCs w:val="16"/>
              </w:rPr>
              <w:t>-225 750</w:t>
            </w:r>
          </w:p>
        </w:tc>
        <w:tc>
          <w:tcPr>
            <w:tcW w:w="1034" w:type="dxa"/>
            <w:tcBorders>
              <w:top w:val="nil"/>
              <w:left w:val="nil"/>
              <w:right w:val="nil"/>
            </w:tcBorders>
            <w:shd w:val="clear" w:color="auto" w:fill="auto"/>
            <w:noWrap/>
            <w:vAlign w:val="bottom"/>
          </w:tcPr>
          <w:p w14:paraId="40A14750" w14:textId="77777777" w:rsidR="00D94493" w:rsidRPr="00D94493" w:rsidRDefault="00D94493" w:rsidP="00D94493">
            <w:pPr>
              <w:spacing w:after="120" w:line="240" w:lineRule="auto"/>
              <w:jc w:val="right"/>
              <w:rPr>
                <w:rFonts w:ascii="Times New Roman" w:hAnsi="Times New Roman" w:cs="Times New Roman"/>
                <w:color w:val="000000"/>
                <w:sz w:val="16"/>
                <w:szCs w:val="16"/>
              </w:rPr>
            </w:pPr>
            <w:r w:rsidRPr="00D94493">
              <w:rPr>
                <w:rFonts w:ascii="Times New Roman" w:hAnsi="Times New Roman" w:cs="Times New Roman"/>
                <w:color w:val="000000"/>
                <w:sz w:val="16"/>
                <w:szCs w:val="16"/>
              </w:rPr>
              <w:t>-235 377</w:t>
            </w:r>
          </w:p>
        </w:tc>
      </w:tr>
      <w:tr w:rsidR="00D94493" w:rsidRPr="00D94493" w14:paraId="05F65DCC" w14:textId="77777777" w:rsidTr="00D94493">
        <w:trPr>
          <w:trHeight w:val="198"/>
        </w:trPr>
        <w:tc>
          <w:tcPr>
            <w:tcW w:w="4939" w:type="dxa"/>
            <w:tcBorders>
              <w:top w:val="single" w:sz="4" w:space="0" w:color="auto"/>
              <w:left w:val="nil"/>
              <w:bottom w:val="nil"/>
              <w:right w:val="nil"/>
            </w:tcBorders>
            <w:shd w:val="clear" w:color="auto" w:fill="auto"/>
            <w:noWrap/>
            <w:vAlign w:val="bottom"/>
          </w:tcPr>
          <w:p w14:paraId="68F70FC4" w14:textId="77777777" w:rsidR="00D94493" w:rsidRPr="00D94493" w:rsidRDefault="00D94493" w:rsidP="00D94493">
            <w:pPr>
              <w:spacing w:line="240" w:lineRule="auto"/>
              <w:ind w:firstLineChars="200" w:firstLine="320"/>
              <w:rPr>
                <w:rFonts w:ascii="Times New Roman" w:hAnsi="Times New Roman" w:cs="Times New Roman"/>
                <w:sz w:val="16"/>
                <w:szCs w:val="16"/>
                <w:lang w:eastAsia="sk-SK"/>
              </w:rPr>
            </w:pPr>
          </w:p>
        </w:tc>
        <w:tc>
          <w:tcPr>
            <w:tcW w:w="1031" w:type="dxa"/>
            <w:tcBorders>
              <w:top w:val="single" w:sz="4" w:space="0" w:color="auto"/>
              <w:left w:val="nil"/>
              <w:bottom w:val="nil"/>
              <w:right w:val="nil"/>
            </w:tcBorders>
            <w:shd w:val="clear" w:color="auto" w:fill="auto"/>
            <w:noWrap/>
            <w:vAlign w:val="center"/>
          </w:tcPr>
          <w:p w14:paraId="6924B3FB" w14:textId="77777777" w:rsidR="00D94493" w:rsidRPr="00D94493" w:rsidRDefault="00D94493" w:rsidP="00D94493">
            <w:pPr>
              <w:spacing w:after="0" w:line="240" w:lineRule="auto"/>
              <w:jc w:val="right"/>
              <w:rPr>
                <w:rFonts w:ascii="Times New Roman" w:hAnsi="Times New Roman" w:cs="Times New Roman"/>
                <w:sz w:val="16"/>
                <w:szCs w:val="16"/>
              </w:rPr>
            </w:pPr>
          </w:p>
        </w:tc>
        <w:tc>
          <w:tcPr>
            <w:tcW w:w="1034" w:type="dxa"/>
            <w:tcBorders>
              <w:top w:val="single" w:sz="4" w:space="0" w:color="auto"/>
              <w:left w:val="nil"/>
              <w:bottom w:val="nil"/>
              <w:right w:val="nil"/>
            </w:tcBorders>
          </w:tcPr>
          <w:p w14:paraId="4019A5F6" w14:textId="77777777" w:rsidR="00D94493" w:rsidRPr="00D94493" w:rsidRDefault="00D94493" w:rsidP="00D94493">
            <w:pPr>
              <w:spacing w:after="0" w:line="240" w:lineRule="auto"/>
              <w:jc w:val="right"/>
              <w:rPr>
                <w:rFonts w:ascii="Times New Roman" w:hAnsi="Times New Roman" w:cs="Times New Roman"/>
                <w:sz w:val="16"/>
                <w:szCs w:val="16"/>
              </w:rPr>
            </w:pPr>
          </w:p>
        </w:tc>
        <w:tc>
          <w:tcPr>
            <w:tcW w:w="1034" w:type="dxa"/>
            <w:tcBorders>
              <w:top w:val="single" w:sz="4" w:space="0" w:color="auto"/>
              <w:left w:val="nil"/>
              <w:bottom w:val="nil"/>
              <w:right w:val="nil"/>
            </w:tcBorders>
            <w:shd w:val="clear" w:color="auto" w:fill="auto"/>
            <w:noWrap/>
            <w:vAlign w:val="center"/>
          </w:tcPr>
          <w:p w14:paraId="330098EC" w14:textId="77777777" w:rsidR="00D94493" w:rsidRPr="00D94493" w:rsidRDefault="00D94493" w:rsidP="00D94493">
            <w:pPr>
              <w:spacing w:after="0" w:line="240" w:lineRule="auto"/>
              <w:jc w:val="right"/>
              <w:rPr>
                <w:rFonts w:ascii="Times New Roman" w:hAnsi="Times New Roman" w:cs="Times New Roman"/>
                <w:sz w:val="16"/>
                <w:szCs w:val="16"/>
              </w:rPr>
            </w:pPr>
          </w:p>
        </w:tc>
        <w:tc>
          <w:tcPr>
            <w:tcW w:w="1034" w:type="dxa"/>
            <w:tcBorders>
              <w:top w:val="single" w:sz="4" w:space="0" w:color="auto"/>
              <w:left w:val="nil"/>
              <w:bottom w:val="nil"/>
              <w:right w:val="nil"/>
            </w:tcBorders>
            <w:shd w:val="clear" w:color="auto" w:fill="auto"/>
            <w:noWrap/>
            <w:vAlign w:val="center"/>
          </w:tcPr>
          <w:p w14:paraId="38F7654F" w14:textId="77777777" w:rsidR="00D94493" w:rsidRPr="00D94493" w:rsidRDefault="00D94493" w:rsidP="00D94493">
            <w:pPr>
              <w:spacing w:after="0" w:line="240" w:lineRule="auto"/>
              <w:jc w:val="right"/>
              <w:rPr>
                <w:rFonts w:ascii="Times New Roman" w:hAnsi="Times New Roman" w:cs="Times New Roman"/>
                <w:sz w:val="16"/>
                <w:szCs w:val="16"/>
              </w:rPr>
            </w:pPr>
          </w:p>
        </w:tc>
      </w:tr>
    </w:tbl>
    <w:p w14:paraId="57790345" w14:textId="77777777" w:rsidR="00D94493" w:rsidRPr="00D94493" w:rsidRDefault="00D94493" w:rsidP="00D94493">
      <w:pPr>
        <w:spacing w:after="0"/>
        <w:jc w:val="both"/>
        <w:rPr>
          <w:rFonts w:ascii="Times New Roman" w:hAnsi="Times New Roman" w:cs="Times New Roman"/>
          <w:sz w:val="24"/>
        </w:rPr>
      </w:pPr>
    </w:p>
    <w:p w14:paraId="587F55B1" w14:textId="77777777" w:rsidR="00D94493" w:rsidRPr="00D94493" w:rsidRDefault="00D94493" w:rsidP="00D94493">
      <w:pPr>
        <w:spacing w:after="0" w:line="240" w:lineRule="auto"/>
        <w:jc w:val="both"/>
        <w:rPr>
          <w:rFonts w:ascii="Times New Roman" w:eastAsia="Calibri" w:hAnsi="Times New Roman" w:cs="Times New Roman"/>
          <w:sz w:val="24"/>
        </w:rPr>
      </w:pPr>
      <w:r w:rsidRPr="00D94493">
        <w:rPr>
          <w:rFonts w:ascii="Times New Roman" w:eastAsia="Calibri" w:hAnsi="Times New Roman" w:cs="Times New Roman"/>
          <w:sz w:val="24"/>
        </w:rPr>
        <w:t>Uvedené opatrenia</w:t>
      </w:r>
      <w:r w:rsidRPr="00D94493">
        <w:rPr>
          <w:rFonts w:ascii="Times New Roman" w:eastAsia="Calibri" w:hAnsi="Times New Roman" w:cs="Times New Roman"/>
          <w:sz w:val="24"/>
          <w:vertAlign w:val="superscript"/>
        </w:rPr>
        <w:footnoteReference w:id="20"/>
      </w:r>
      <w:r w:rsidRPr="00D94493">
        <w:rPr>
          <w:rFonts w:ascii="Times New Roman" w:eastAsia="Calibri" w:hAnsi="Times New Roman" w:cs="Times New Roman"/>
          <w:sz w:val="24"/>
        </w:rPr>
        <w:t xml:space="preserve"> boli spomenuté aj v hlavnej knihe rozpočtu verejnej správy na roky 2023 až 2025</w:t>
      </w:r>
      <w:r w:rsidRPr="00D94493">
        <w:rPr>
          <w:rFonts w:ascii="Times New Roman" w:eastAsia="Calibri" w:hAnsi="Times New Roman" w:cs="Times New Roman"/>
          <w:sz w:val="24"/>
          <w:vertAlign w:val="superscript"/>
        </w:rPr>
        <w:footnoteReference w:id="21"/>
      </w:r>
      <w:r w:rsidRPr="00D94493">
        <w:rPr>
          <w:rFonts w:ascii="Times New Roman" w:eastAsia="Calibri" w:hAnsi="Times New Roman" w:cs="Times New Roman"/>
          <w:sz w:val="24"/>
        </w:rPr>
        <w:t>.</w:t>
      </w:r>
    </w:p>
    <w:p w14:paraId="28074929" w14:textId="77777777" w:rsidR="00D94493" w:rsidRPr="00D94493" w:rsidRDefault="00D94493" w:rsidP="00D94493">
      <w:pPr>
        <w:spacing w:after="0" w:line="240" w:lineRule="auto"/>
        <w:jc w:val="both"/>
        <w:rPr>
          <w:rFonts w:ascii="Times New Roman" w:eastAsia="Calibri" w:hAnsi="Times New Roman" w:cs="Times New Roman"/>
          <w:sz w:val="24"/>
        </w:rPr>
      </w:pPr>
    </w:p>
    <w:p w14:paraId="3A8E65EA" w14:textId="77777777" w:rsidR="00D94493" w:rsidRPr="00D94493" w:rsidRDefault="00D94493" w:rsidP="00D94493">
      <w:pPr>
        <w:spacing w:after="0" w:line="240" w:lineRule="auto"/>
        <w:jc w:val="both"/>
        <w:rPr>
          <w:rFonts w:ascii="Times New Roman" w:eastAsia="Calibri" w:hAnsi="Times New Roman" w:cs="Times New Roman"/>
          <w:sz w:val="24"/>
        </w:rPr>
      </w:pPr>
      <w:r w:rsidRPr="00D94493">
        <w:rPr>
          <w:rFonts w:ascii="Times New Roman" w:eastAsia="Calibri" w:hAnsi="Times New Roman" w:cs="Times New Roman"/>
          <w:sz w:val="24"/>
        </w:rPr>
        <w:t>V priebehu prvého polroka 2023 boli schválené ďalšie legislatívne zmeny, ktoré ovplyvňujú príjmy verejnej správy v nasledujúcich rokoch. V nasledujúcej tabuľke je súhrnný prehľad všetkých opatrení.</w:t>
      </w:r>
    </w:p>
    <w:p w14:paraId="03E88872" w14:textId="77777777" w:rsidR="00D94493" w:rsidRPr="00D94493" w:rsidRDefault="00D94493" w:rsidP="00D94493">
      <w:pPr>
        <w:spacing w:after="0" w:line="240" w:lineRule="auto"/>
        <w:jc w:val="both"/>
        <w:rPr>
          <w:rFonts w:ascii="Times New Roman" w:eastAsia="Calibri" w:hAnsi="Times New Roman" w:cs="Times New Roman"/>
          <w:sz w:val="24"/>
        </w:rPr>
      </w:pPr>
    </w:p>
    <w:p w14:paraId="0AC72701" w14:textId="77777777" w:rsidR="00D94493" w:rsidRPr="00D94493" w:rsidRDefault="00D94493" w:rsidP="00D94493">
      <w:pPr>
        <w:spacing w:after="0" w:line="240" w:lineRule="auto"/>
        <w:jc w:val="both"/>
        <w:rPr>
          <w:rFonts w:ascii="Times New Roman" w:eastAsia="Calibri" w:hAnsi="Times New Roman" w:cs="Times New Roman"/>
          <w:sz w:val="24"/>
        </w:rPr>
      </w:pPr>
    </w:p>
    <w:p w14:paraId="152FFD93" w14:textId="77777777" w:rsidR="00D94493" w:rsidRPr="00D94493" w:rsidRDefault="00D94493" w:rsidP="00D94493">
      <w:pPr>
        <w:spacing w:after="0" w:line="240" w:lineRule="auto"/>
        <w:jc w:val="both"/>
        <w:rPr>
          <w:rFonts w:ascii="Times New Roman" w:eastAsia="Calibri" w:hAnsi="Times New Roman" w:cs="Times New Roman"/>
          <w:sz w:val="24"/>
        </w:rPr>
      </w:pPr>
    </w:p>
    <w:p w14:paraId="6D1FAA52" w14:textId="77777777" w:rsidR="00D94493" w:rsidRPr="00D94493" w:rsidRDefault="00D94493" w:rsidP="00D94493">
      <w:pPr>
        <w:spacing w:after="0" w:line="240" w:lineRule="auto"/>
        <w:jc w:val="both"/>
        <w:rPr>
          <w:rFonts w:ascii="Times New Roman" w:eastAsia="Calibri" w:hAnsi="Times New Roman" w:cs="Times New Roman"/>
          <w:sz w:val="24"/>
        </w:rPr>
      </w:pPr>
    </w:p>
    <w:p w14:paraId="72D5F549" w14:textId="77777777" w:rsidR="00D94493" w:rsidRPr="00D94493" w:rsidRDefault="00D94493" w:rsidP="00D94493">
      <w:pPr>
        <w:spacing w:after="0" w:line="240" w:lineRule="auto"/>
        <w:jc w:val="both"/>
        <w:rPr>
          <w:rFonts w:ascii="Times New Roman" w:eastAsia="Calibri" w:hAnsi="Times New Roman" w:cs="Times New Roman"/>
          <w:sz w:val="24"/>
        </w:rPr>
      </w:pPr>
    </w:p>
    <w:p w14:paraId="152FE822" w14:textId="77777777" w:rsidR="00D94493" w:rsidRPr="00D94493" w:rsidRDefault="00D94493" w:rsidP="00D94493">
      <w:pPr>
        <w:spacing w:after="0" w:line="240" w:lineRule="auto"/>
        <w:jc w:val="both"/>
        <w:rPr>
          <w:rFonts w:ascii="Times New Roman" w:eastAsia="Calibri" w:hAnsi="Times New Roman" w:cs="Times New Roman"/>
          <w:sz w:val="24"/>
        </w:rPr>
      </w:pPr>
    </w:p>
    <w:p w14:paraId="69E92881" w14:textId="77777777" w:rsidR="00D94493" w:rsidRPr="00D94493" w:rsidRDefault="00D94493" w:rsidP="00D94493">
      <w:pPr>
        <w:spacing w:after="0" w:line="240" w:lineRule="auto"/>
        <w:jc w:val="both"/>
        <w:rPr>
          <w:rFonts w:ascii="Times New Roman" w:eastAsia="Calibri" w:hAnsi="Times New Roman" w:cs="Times New Roman"/>
          <w:sz w:val="24"/>
        </w:rPr>
      </w:pPr>
    </w:p>
    <w:p w14:paraId="30C3D9FF" w14:textId="77777777" w:rsidR="00D94493" w:rsidRPr="00D94493" w:rsidRDefault="00D94493" w:rsidP="00D94493">
      <w:pPr>
        <w:spacing w:after="0" w:line="240" w:lineRule="auto"/>
        <w:jc w:val="both"/>
        <w:rPr>
          <w:rFonts w:ascii="Times New Roman" w:eastAsia="Calibri" w:hAnsi="Times New Roman" w:cs="Times New Roman"/>
          <w:sz w:val="24"/>
        </w:rPr>
      </w:pPr>
    </w:p>
    <w:p w14:paraId="648ECC26" w14:textId="77777777" w:rsidR="00D94493" w:rsidRPr="00D94493" w:rsidRDefault="00D94493" w:rsidP="00D94493">
      <w:pPr>
        <w:spacing w:after="0" w:line="240" w:lineRule="auto"/>
        <w:jc w:val="both"/>
        <w:rPr>
          <w:rFonts w:ascii="Times New Roman" w:eastAsia="Calibri" w:hAnsi="Times New Roman" w:cs="Times New Roman"/>
          <w:sz w:val="24"/>
        </w:rPr>
      </w:pPr>
    </w:p>
    <w:p w14:paraId="553AB6B4" w14:textId="77777777" w:rsidR="00D94493" w:rsidRPr="00D94493" w:rsidRDefault="00D94493" w:rsidP="00D94493">
      <w:pPr>
        <w:spacing w:after="0" w:line="240" w:lineRule="auto"/>
        <w:jc w:val="both"/>
        <w:rPr>
          <w:rFonts w:ascii="Times New Roman" w:eastAsia="Calibri" w:hAnsi="Times New Roman" w:cs="Times New Roman"/>
          <w:sz w:val="24"/>
        </w:rPr>
      </w:pPr>
    </w:p>
    <w:p w14:paraId="487FFC9E" w14:textId="77777777" w:rsidR="00D94493" w:rsidRPr="00D94493" w:rsidRDefault="00D94493" w:rsidP="00D94493">
      <w:pPr>
        <w:spacing w:after="0" w:line="240" w:lineRule="auto"/>
        <w:jc w:val="both"/>
        <w:rPr>
          <w:rFonts w:ascii="Times New Roman" w:eastAsia="Calibri" w:hAnsi="Times New Roman" w:cs="Times New Roman"/>
          <w:sz w:val="24"/>
        </w:rPr>
      </w:pPr>
    </w:p>
    <w:p w14:paraId="710B2272" w14:textId="77777777" w:rsidR="00D94493" w:rsidRPr="00D94493" w:rsidRDefault="00D94493" w:rsidP="00D94493">
      <w:pPr>
        <w:spacing w:after="0" w:line="240" w:lineRule="auto"/>
        <w:jc w:val="both"/>
        <w:rPr>
          <w:rFonts w:ascii="Times New Roman" w:eastAsia="Calibri" w:hAnsi="Times New Roman" w:cs="Times New Roman"/>
          <w:sz w:val="24"/>
        </w:rPr>
      </w:pPr>
    </w:p>
    <w:p w14:paraId="53356294" w14:textId="26333067" w:rsidR="00D94493" w:rsidRPr="00D94493" w:rsidRDefault="00D94493" w:rsidP="00D94493">
      <w:pPr>
        <w:keepNext/>
        <w:spacing w:after="0" w:line="240" w:lineRule="auto"/>
        <w:jc w:val="both"/>
        <w:rPr>
          <w:rFonts w:ascii="Times New Roman" w:eastAsia="Calibri" w:hAnsi="Times New Roman" w:cs="Times New Roman"/>
          <w:b/>
          <w:iCs/>
          <w:color w:val="5B9BD5"/>
          <w:sz w:val="20"/>
          <w:szCs w:val="18"/>
        </w:rPr>
      </w:pPr>
      <w:bookmarkStart w:id="88" w:name="_Toc53086350"/>
      <w:bookmarkStart w:id="89" w:name="_Toc153013019"/>
      <w:r w:rsidRPr="00D94493">
        <w:rPr>
          <w:rFonts w:ascii="Times New Roman" w:eastAsia="Calibri" w:hAnsi="Times New Roman" w:cs="Times New Roman"/>
          <w:b/>
          <w:iCs/>
          <w:color w:val="5B9BD5"/>
          <w:sz w:val="20"/>
          <w:szCs w:val="18"/>
        </w:rPr>
        <w:lastRenderedPageBreak/>
        <w:t xml:space="preserve">Tabuľka </w:t>
      </w:r>
      <w:r w:rsidRPr="00D94493">
        <w:rPr>
          <w:rFonts w:ascii="Times New Roman" w:eastAsia="Calibri" w:hAnsi="Times New Roman" w:cs="Times New Roman"/>
          <w:b/>
          <w:iCs/>
          <w:color w:val="5B9BD5"/>
          <w:sz w:val="20"/>
          <w:szCs w:val="18"/>
        </w:rPr>
        <w:fldChar w:fldCharType="begin"/>
      </w:r>
      <w:r w:rsidRPr="00D94493">
        <w:rPr>
          <w:rFonts w:ascii="Times New Roman" w:eastAsia="Calibri" w:hAnsi="Times New Roman" w:cs="Times New Roman"/>
          <w:b/>
          <w:iCs/>
          <w:color w:val="5B9BD5"/>
          <w:sz w:val="20"/>
          <w:szCs w:val="18"/>
        </w:rPr>
        <w:instrText xml:space="preserve"> SEQ Tabuľka \* ARABIC </w:instrText>
      </w:r>
      <w:r w:rsidRPr="00D94493">
        <w:rPr>
          <w:rFonts w:ascii="Times New Roman" w:eastAsia="Calibri" w:hAnsi="Times New Roman" w:cs="Times New Roman"/>
          <w:b/>
          <w:iCs/>
          <w:color w:val="5B9BD5"/>
          <w:sz w:val="20"/>
          <w:szCs w:val="18"/>
        </w:rPr>
        <w:fldChar w:fldCharType="separate"/>
      </w:r>
      <w:r w:rsidR="003D5A3A">
        <w:rPr>
          <w:rFonts w:ascii="Times New Roman" w:eastAsia="Calibri" w:hAnsi="Times New Roman" w:cs="Times New Roman"/>
          <w:b/>
          <w:iCs/>
          <w:noProof/>
          <w:color w:val="5B9BD5"/>
          <w:sz w:val="20"/>
          <w:szCs w:val="18"/>
        </w:rPr>
        <w:t>21</w:t>
      </w:r>
      <w:r w:rsidRPr="00D94493">
        <w:rPr>
          <w:rFonts w:ascii="Times New Roman" w:eastAsia="Calibri" w:hAnsi="Times New Roman" w:cs="Times New Roman"/>
          <w:b/>
          <w:iCs/>
          <w:color w:val="5B9BD5"/>
          <w:sz w:val="20"/>
          <w:szCs w:val="18"/>
        </w:rPr>
        <w:fldChar w:fldCharType="end"/>
      </w:r>
      <w:r w:rsidRPr="00D94493">
        <w:rPr>
          <w:rFonts w:ascii="Times New Roman" w:eastAsia="Calibri" w:hAnsi="Times New Roman" w:cs="Times New Roman"/>
          <w:b/>
          <w:iCs/>
          <w:color w:val="5B9BD5"/>
          <w:sz w:val="20"/>
          <w:szCs w:val="18"/>
        </w:rPr>
        <w:t xml:space="preserve"> - Vplyv l</w:t>
      </w:r>
      <w:r w:rsidR="00AF6113">
        <w:rPr>
          <w:rFonts w:ascii="Times New Roman" w:eastAsia="Calibri" w:hAnsi="Times New Roman" w:cs="Times New Roman"/>
          <w:b/>
          <w:iCs/>
          <w:color w:val="5B9BD5"/>
          <w:sz w:val="20"/>
          <w:szCs w:val="18"/>
        </w:rPr>
        <w:t>egislatívnych opatrení prijatých v prvom polroku 2023</w:t>
      </w:r>
      <w:r w:rsidRPr="00D94493">
        <w:rPr>
          <w:rFonts w:ascii="Times New Roman" w:eastAsia="Calibri" w:hAnsi="Times New Roman" w:cs="Times New Roman"/>
          <w:b/>
          <w:iCs/>
          <w:color w:val="5B9BD5"/>
          <w:sz w:val="20"/>
          <w:szCs w:val="18"/>
        </w:rPr>
        <w:t xml:space="preserve"> </w:t>
      </w:r>
      <w:r w:rsidR="00FC016A" w:rsidRPr="00FC016A">
        <w:rPr>
          <w:rFonts w:ascii="Times New Roman" w:eastAsia="Calibri" w:hAnsi="Times New Roman" w:cs="Times New Roman"/>
          <w:b/>
          <w:iCs/>
          <w:color w:val="5B9BD5"/>
          <w:sz w:val="20"/>
          <w:szCs w:val="18"/>
        </w:rPr>
        <w:t xml:space="preserve">zahrnutých </w:t>
      </w:r>
      <w:r w:rsidRPr="00FC016A">
        <w:rPr>
          <w:rFonts w:ascii="Times New Roman" w:eastAsia="Calibri" w:hAnsi="Times New Roman" w:cs="Times New Roman"/>
          <w:b/>
          <w:iCs/>
          <w:color w:val="5B9BD5"/>
          <w:sz w:val="20"/>
          <w:szCs w:val="18"/>
        </w:rPr>
        <w:t>v prognóze daňových a odvodových príjmov verejnej správy na roky 2024 až 2026 (v tis.</w:t>
      </w:r>
      <w:r w:rsidRPr="00FC016A">
        <w:rPr>
          <w:rFonts w:ascii="Times New Roman" w:eastAsia="Calibri" w:hAnsi="Times New Roman" w:cs="Times New Roman"/>
          <w:b/>
          <w:iCs/>
          <w:color w:val="FF0000"/>
          <w:sz w:val="20"/>
          <w:szCs w:val="18"/>
        </w:rPr>
        <w:t xml:space="preserve"> </w:t>
      </w:r>
      <w:r w:rsidRPr="00FC016A">
        <w:rPr>
          <w:rFonts w:ascii="Times New Roman" w:eastAsia="Calibri" w:hAnsi="Times New Roman" w:cs="Times New Roman"/>
          <w:b/>
          <w:iCs/>
          <w:color w:val="5B9BD5"/>
          <w:sz w:val="20"/>
          <w:szCs w:val="18"/>
        </w:rPr>
        <w:t>eur, ESA 2010)</w:t>
      </w:r>
      <w:bookmarkEnd w:id="88"/>
      <w:bookmarkEnd w:id="89"/>
    </w:p>
    <w:tbl>
      <w:tblPr>
        <w:tblW w:w="5000" w:type="pct"/>
        <w:tblLayout w:type="fixed"/>
        <w:tblCellMar>
          <w:left w:w="70" w:type="dxa"/>
          <w:right w:w="70" w:type="dxa"/>
        </w:tblCellMar>
        <w:tblLook w:val="04A0" w:firstRow="1" w:lastRow="0" w:firstColumn="1" w:lastColumn="0" w:noHBand="0" w:noVBand="1"/>
      </w:tblPr>
      <w:tblGrid>
        <w:gridCol w:w="5591"/>
        <w:gridCol w:w="870"/>
        <w:gridCol w:w="870"/>
        <w:gridCol w:w="870"/>
        <w:gridCol w:w="871"/>
      </w:tblGrid>
      <w:tr w:rsidR="00D94493" w:rsidRPr="00D94493" w14:paraId="3C1CF6B5" w14:textId="77777777" w:rsidTr="00D94493">
        <w:trPr>
          <w:trHeight w:val="198"/>
        </w:trPr>
        <w:tc>
          <w:tcPr>
            <w:tcW w:w="5591" w:type="dxa"/>
            <w:tcBorders>
              <w:top w:val="single" w:sz="4" w:space="0" w:color="auto"/>
              <w:left w:val="nil"/>
              <w:bottom w:val="single" w:sz="4" w:space="0" w:color="auto"/>
              <w:right w:val="nil"/>
            </w:tcBorders>
            <w:shd w:val="clear" w:color="auto" w:fill="auto"/>
            <w:noWrap/>
            <w:vAlign w:val="center"/>
            <w:hideMark/>
          </w:tcPr>
          <w:p w14:paraId="4213A8A6" w14:textId="77777777" w:rsidR="00D94493" w:rsidRPr="00D94493" w:rsidRDefault="00D94493" w:rsidP="00D94493">
            <w:pPr>
              <w:spacing w:line="240" w:lineRule="auto"/>
              <w:rPr>
                <w:rFonts w:ascii="Times New Roman" w:eastAsia="Calibri" w:hAnsi="Times New Roman" w:cs="Times New Roman"/>
                <w:b/>
                <w:bCs/>
                <w:color w:val="FF0000"/>
                <w:sz w:val="16"/>
                <w:szCs w:val="16"/>
                <w:lang w:eastAsia="sk-SK"/>
              </w:rPr>
            </w:pPr>
            <w:r w:rsidRPr="00D94493">
              <w:rPr>
                <w:rFonts w:ascii="Times New Roman" w:eastAsia="Calibri" w:hAnsi="Times New Roman" w:cs="Times New Roman"/>
                <w:b/>
                <w:bCs/>
                <w:color w:val="FF0000"/>
                <w:sz w:val="16"/>
                <w:szCs w:val="16"/>
                <w:lang w:eastAsia="sk-SK"/>
              </w:rPr>
              <w:t> </w:t>
            </w:r>
          </w:p>
        </w:tc>
        <w:tc>
          <w:tcPr>
            <w:tcW w:w="870" w:type="dxa"/>
            <w:tcBorders>
              <w:top w:val="single" w:sz="4" w:space="0" w:color="auto"/>
              <w:left w:val="nil"/>
              <w:bottom w:val="single" w:sz="4" w:space="0" w:color="auto"/>
              <w:right w:val="nil"/>
            </w:tcBorders>
            <w:shd w:val="clear" w:color="auto" w:fill="auto"/>
            <w:noWrap/>
            <w:vAlign w:val="center"/>
            <w:hideMark/>
          </w:tcPr>
          <w:p w14:paraId="0739BCD4" w14:textId="77777777" w:rsidR="00D94493" w:rsidRPr="00D94493" w:rsidRDefault="00D94493" w:rsidP="00D94493">
            <w:pPr>
              <w:spacing w:line="240" w:lineRule="auto"/>
              <w:jc w:val="right"/>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2023</w:t>
            </w:r>
          </w:p>
        </w:tc>
        <w:tc>
          <w:tcPr>
            <w:tcW w:w="870" w:type="dxa"/>
            <w:tcBorders>
              <w:top w:val="single" w:sz="4" w:space="0" w:color="auto"/>
              <w:left w:val="nil"/>
              <w:bottom w:val="single" w:sz="4" w:space="0" w:color="auto"/>
              <w:right w:val="nil"/>
            </w:tcBorders>
            <w:shd w:val="clear" w:color="auto" w:fill="auto"/>
            <w:noWrap/>
            <w:vAlign w:val="center"/>
            <w:hideMark/>
          </w:tcPr>
          <w:p w14:paraId="4D0DC04B" w14:textId="77777777" w:rsidR="00D94493" w:rsidRPr="00D94493" w:rsidRDefault="00D94493" w:rsidP="00D94493">
            <w:pPr>
              <w:spacing w:line="240" w:lineRule="auto"/>
              <w:jc w:val="right"/>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2024</w:t>
            </w:r>
          </w:p>
        </w:tc>
        <w:tc>
          <w:tcPr>
            <w:tcW w:w="870" w:type="dxa"/>
            <w:tcBorders>
              <w:top w:val="single" w:sz="4" w:space="0" w:color="auto"/>
              <w:left w:val="nil"/>
              <w:bottom w:val="single" w:sz="4" w:space="0" w:color="auto"/>
              <w:right w:val="nil"/>
            </w:tcBorders>
            <w:shd w:val="clear" w:color="auto" w:fill="auto"/>
            <w:noWrap/>
            <w:vAlign w:val="center"/>
            <w:hideMark/>
          </w:tcPr>
          <w:p w14:paraId="2396EEB1" w14:textId="77777777" w:rsidR="00D94493" w:rsidRPr="00D94493" w:rsidRDefault="00D94493" w:rsidP="00D94493">
            <w:pPr>
              <w:spacing w:line="240" w:lineRule="auto"/>
              <w:jc w:val="right"/>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2025</w:t>
            </w:r>
          </w:p>
        </w:tc>
        <w:tc>
          <w:tcPr>
            <w:tcW w:w="871" w:type="dxa"/>
            <w:tcBorders>
              <w:top w:val="single" w:sz="4" w:space="0" w:color="auto"/>
              <w:left w:val="nil"/>
              <w:bottom w:val="single" w:sz="4" w:space="0" w:color="auto"/>
              <w:right w:val="nil"/>
            </w:tcBorders>
            <w:shd w:val="clear" w:color="auto" w:fill="auto"/>
            <w:noWrap/>
            <w:vAlign w:val="center"/>
            <w:hideMark/>
          </w:tcPr>
          <w:p w14:paraId="704FAFEC" w14:textId="77777777" w:rsidR="00D94493" w:rsidRPr="00D94493" w:rsidRDefault="00D94493" w:rsidP="00D94493">
            <w:pPr>
              <w:spacing w:line="240" w:lineRule="auto"/>
              <w:jc w:val="right"/>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2026</w:t>
            </w:r>
          </w:p>
        </w:tc>
      </w:tr>
      <w:tr w:rsidR="00D94493" w:rsidRPr="00D94493" w14:paraId="00575BA8" w14:textId="77777777" w:rsidTr="00D94493">
        <w:trPr>
          <w:trHeight w:val="198"/>
        </w:trPr>
        <w:tc>
          <w:tcPr>
            <w:tcW w:w="5591" w:type="dxa"/>
            <w:tcBorders>
              <w:top w:val="nil"/>
              <w:left w:val="nil"/>
              <w:bottom w:val="nil"/>
              <w:right w:val="nil"/>
            </w:tcBorders>
            <w:shd w:val="clear" w:color="auto" w:fill="auto"/>
            <w:vAlign w:val="bottom"/>
          </w:tcPr>
          <w:p w14:paraId="3E314EE7" w14:textId="77777777" w:rsidR="00D94493" w:rsidRPr="00D94493" w:rsidRDefault="00D94493" w:rsidP="00D94493">
            <w:pPr>
              <w:spacing w:after="120" w:line="240" w:lineRule="auto"/>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Príjem z odvodu z nadmerných príjmov elektrární</w:t>
            </w:r>
          </w:p>
        </w:tc>
        <w:tc>
          <w:tcPr>
            <w:tcW w:w="870" w:type="dxa"/>
            <w:tcBorders>
              <w:top w:val="nil"/>
              <w:left w:val="nil"/>
              <w:bottom w:val="nil"/>
              <w:right w:val="nil"/>
            </w:tcBorders>
            <w:shd w:val="clear" w:color="auto" w:fill="auto"/>
            <w:noWrap/>
            <w:vAlign w:val="bottom"/>
          </w:tcPr>
          <w:p w14:paraId="04ACC2E5"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28 943</w:t>
            </w:r>
          </w:p>
        </w:tc>
        <w:tc>
          <w:tcPr>
            <w:tcW w:w="870" w:type="dxa"/>
            <w:tcBorders>
              <w:top w:val="nil"/>
              <w:left w:val="nil"/>
              <w:bottom w:val="nil"/>
              <w:right w:val="nil"/>
            </w:tcBorders>
            <w:shd w:val="clear" w:color="auto" w:fill="auto"/>
            <w:noWrap/>
            <w:vAlign w:val="bottom"/>
          </w:tcPr>
          <w:p w14:paraId="72BD8FE6"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1 545</w:t>
            </w:r>
          </w:p>
        </w:tc>
        <w:tc>
          <w:tcPr>
            <w:tcW w:w="870" w:type="dxa"/>
            <w:tcBorders>
              <w:top w:val="nil"/>
              <w:left w:val="nil"/>
              <w:bottom w:val="nil"/>
              <w:right w:val="nil"/>
            </w:tcBorders>
            <w:shd w:val="clear" w:color="auto" w:fill="auto"/>
            <w:noWrap/>
            <w:vAlign w:val="bottom"/>
          </w:tcPr>
          <w:p w14:paraId="6D465A0C"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0</w:t>
            </w:r>
          </w:p>
        </w:tc>
        <w:tc>
          <w:tcPr>
            <w:tcW w:w="871" w:type="dxa"/>
            <w:tcBorders>
              <w:top w:val="nil"/>
              <w:left w:val="nil"/>
              <w:bottom w:val="nil"/>
              <w:right w:val="nil"/>
            </w:tcBorders>
            <w:shd w:val="clear" w:color="auto" w:fill="auto"/>
            <w:noWrap/>
            <w:vAlign w:val="bottom"/>
          </w:tcPr>
          <w:p w14:paraId="3EF962FD"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0</w:t>
            </w:r>
          </w:p>
        </w:tc>
      </w:tr>
      <w:tr w:rsidR="00D94493" w:rsidRPr="00D94493" w14:paraId="683E69AD" w14:textId="77777777" w:rsidTr="00D94493">
        <w:trPr>
          <w:trHeight w:val="198"/>
        </w:trPr>
        <w:tc>
          <w:tcPr>
            <w:tcW w:w="5591" w:type="dxa"/>
            <w:tcBorders>
              <w:top w:val="nil"/>
              <w:left w:val="nil"/>
              <w:bottom w:val="nil"/>
              <w:right w:val="nil"/>
            </w:tcBorders>
            <w:shd w:val="clear" w:color="auto" w:fill="auto"/>
            <w:noWrap/>
            <w:vAlign w:val="bottom"/>
          </w:tcPr>
          <w:p w14:paraId="3263E40B" w14:textId="77777777" w:rsidR="00D94493" w:rsidRPr="00D94493" w:rsidRDefault="00D94493" w:rsidP="00D94493">
            <w:pPr>
              <w:spacing w:after="120" w:line="240" w:lineRule="auto"/>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Zmena sadzieb daní z nehnuteľností podľa VZN od 2023</w:t>
            </w:r>
          </w:p>
        </w:tc>
        <w:tc>
          <w:tcPr>
            <w:tcW w:w="870" w:type="dxa"/>
            <w:tcBorders>
              <w:top w:val="nil"/>
              <w:left w:val="nil"/>
              <w:bottom w:val="nil"/>
              <w:right w:val="nil"/>
            </w:tcBorders>
            <w:shd w:val="clear" w:color="auto" w:fill="auto"/>
            <w:noWrap/>
            <w:vAlign w:val="bottom"/>
          </w:tcPr>
          <w:p w14:paraId="3D3053B0" w14:textId="77777777" w:rsidR="00D94493" w:rsidRPr="00D94493" w:rsidRDefault="00D94493" w:rsidP="00D94493">
            <w:pPr>
              <w:spacing w:after="120" w:line="240" w:lineRule="auto"/>
              <w:jc w:val="right"/>
              <w:rPr>
                <w:rFonts w:ascii="Times New Roman" w:eastAsia="Calibri" w:hAnsi="Times New Roman" w:cs="Times New Roman"/>
                <w:color w:val="000000"/>
                <w:sz w:val="16"/>
                <w:szCs w:val="16"/>
              </w:rPr>
            </w:pPr>
            <w:r w:rsidRPr="00D94493">
              <w:rPr>
                <w:rFonts w:ascii="Times New Roman" w:eastAsia="Calibri" w:hAnsi="Times New Roman" w:cs="Times New Roman"/>
                <w:sz w:val="16"/>
                <w:szCs w:val="16"/>
              </w:rPr>
              <w:t>34 250</w:t>
            </w:r>
          </w:p>
        </w:tc>
        <w:tc>
          <w:tcPr>
            <w:tcW w:w="870" w:type="dxa"/>
            <w:tcBorders>
              <w:top w:val="nil"/>
              <w:left w:val="nil"/>
              <w:bottom w:val="nil"/>
              <w:right w:val="nil"/>
            </w:tcBorders>
            <w:shd w:val="clear" w:color="auto" w:fill="auto"/>
            <w:noWrap/>
            <w:vAlign w:val="bottom"/>
          </w:tcPr>
          <w:p w14:paraId="02075910" w14:textId="77777777" w:rsidR="00D94493" w:rsidRPr="00D94493" w:rsidRDefault="00D94493" w:rsidP="00D94493">
            <w:pPr>
              <w:spacing w:after="120" w:line="240" w:lineRule="auto"/>
              <w:jc w:val="right"/>
              <w:rPr>
                <w:rFonts w:ascii="Times New Roman" w:eastAsia="Calibri" w:hAnsi="Times New Roman" w:cs="Times New Roman"/>
                <w:color w:val="000000"/>
                <w:sz w:val="16"/>
                <w:szCs w:val="16"/>
              </w:rPr>
            </w:pPr>
            <w:r w:rsidRPr="00D94493">
              <w:rPr>
                <w:rFonts w:ascii="Times New Roman" w:eastAsia="Calibri" w:hAnsi="Times New Roman" w:cs="Times New Roman"/>
                <w:sz w:val="16"/>
                <w:szCs w:val="16"/>
              </w:rPr>
              <w:t>34 250</w:t>
            </w:r>
          </w:p>
        </w:tc>
        <w:tc>
          <w:tcPr>
            <w:tcW w:w="870" w:type="dxa"/>
            <w:tcBorders>
              <w:top w:val="nil"/>
              <w:left w:val="nil"/>
              <w:bottom w:val="nil"/>
              <w:right w:val="nil"/>
            </w:tcBorders>
            <w:shd w:val="clear" w:color="auto" w:fill="auto"/>
            <w:noWrap/>
            <w:vAlign w:val="bottom"/>
          </w:tcPr>
          <w:p w14:paraId="6EF07148" w14:textId="77777777" w:rsidR="00D94493" w:rsidRPr="00D94493" w:rsidRDefault="00D94493" w:rsidP="00D94493">
            <w:pPr>
              <w:spacing w:after="120" w:line="240" w:lineRule="auto"/>
              <w:jc w:val="right"/>
              <w:rPr>
                <w:rFonts w:ascii="Times New Roman" w:eastAsia="Calibri" w:hAnsi="Times New Roman" w:cs="Times New Roman"/>
                <w:color w:val="000000"/>
                <w:sz w:val="16"/>
                <w:szCs w:val="16"/>
              </w:rPr>
            </w:pPr>
            <w:r w:rsidRPr="00D94493">
              <w:rPr>
                <w:rFonts w:ascii="Times New Roman" w:eastAsia="Calibri" w:hAnsi="Times New Roman" w:cs="Times New Roman"/>
                <w:sz w:val="16"/>
                <w:szCs w:val="16"/>
              </w:rPr>
              <w:t>34 250</w:t>
            </w:r>
          </w:p>
        </w:tc>
        <w:tc>
          <w:tcPr>
            <w:tcW w:w="871" w:type="dxa"/>
            <w:tcBorders>
              <w:top w:val="nil"/>
              <w:left w:val="nil"/>
              <w:bottom w:val="nil"/>
              <w:right w:val="nil"/>
            </w:tcBorders>
            <w:shd w:val="clear" w:color="auto" w:fill="auto"/>
            <w:noWrap/>
            <w:vAlign w:val="bottom"/>
          </w:tcPr>
          <w:p w14:paraId="1936D963" w14:textId="77777777" w:rsidR="00D94493" w:rsidRPr="00D94493" w:rsidRDefault="00D94493" w:rsidP="00D94493">
            <w:pPr>
              <w:spacing w:after="120" w:line="240" w:lineRule="auto"/>
              <w:jc w:val="right"/>
              <w:rPr>
                <w:rFonts w:ascii="Times New Roman" w:eastAsia="Calibri" w:hAnsi="Times New Roman" w:cs="Times New Roman"/>
                <w:color w:val="000000"/>
                <w:sz w:val="16"/>
                <w:szCs w:val="16"/>
              </w:rPr>
            </w:pPr>
            <w:r w:rsidRPr="00D94493">
              <w:rPr>
                <w:rFonts w:ascii="Times New Roman" w:eastAsia="Calibri" w:hAnsi="Times New Roman" w:cs="Times New Roman"/>
                <w:sz w:val="16"/>
                <w:szCs w:val="16"/>
              </w:rPr>
              <w:t>34 250</w:t>
            </w:r>
          </w:p>
        </w:tc>
      </w:tr>
      <w:tr w:rsidR="00D94493" w:rsidRPr="00D94493" w14:paraId="44F620BF" w14:textId="77777777" w:rsidTr="00D94493">
        <w:trPr>
          <w:trHeight w:val="198"/>
        </w:trPr>
        <w:tc>
          <w:tcPr>
            <w:tcW w:w="5591" w:type="dxa"/>
            <w:tcBorders>
              <w:top w:val="nil"/>
              <w:left w:val="nil"/>
              <w:bottom w:val="nil"/>
              <w:right w:val="nil"/>
            </w:tcBorders>
            <w:shd w:val="clear" w:color="auto" w:fill="auto"/>
            <w:noWrap/>
            <w:vAlign w:val="bottom"/>
            <w:hideMark/>
          </w:tcPr>
          <w:p w14:paraId="3D691353" w14:textId="1EB43B93" w:rsidR="00D94493" w:rsidRPr="00D94493" w:rsidRDefault="00D94493" w:rsidP="00D94493">
            <w:pPr>
              <w:spacing w:after="120" w:line="240" w:lineRule="auto"/>
              <w:rPr>
                <w:rFonts w:ascii="Times New Roman" w:eastAsia="Calibri" w:hAnsi="Times New Roman" w:cs="Times New Roman"/>
                <w:bCs/>
                <w:color w:val="FF0000"/>
                <w:sz w:val="16"/>
                <w:szCs w:val="16"/>
                <w:highlight w:val="yellow"/>
                <w:lang w:eastAsia="sk-SK"/>
              </w:rPr>
            </w:pPr>
            <w:r w:rsidRPr="00D94493">
              <w:rPr>
                <w:rFonts w:ascii="Times New Roman" w:eastAsia="Calibri" w:hAnsi="Times New Roman" w:cs="Times New Roman"/>
                <w:color w:val="000000"/>
                <w:sz w:val="16"/>
                <w:szCs w:val="16"/>
              </w:rPr>
              <w:t>Poplatky za odpad - zákaz sklá</w:t>
            </w:r>
            <w:r w:rsidR="000F21CE">
              <w:rPr>
                <w:rFonts w:ascii="Times New Roman" w:eastAsia="Calibri" w:hAnsi="Times New Roman" w:cs="Times New Roman"/>
                <w:color w:val="000000"/>
                <w:sz w:val="16"/>
                <w:szCs w:val="16"/>
              </w:rPr>
              <w:t xml:space="preserve">dkovania KO bez </w:t>
            </w:r>
            <w:proofErr w:type="spellStart"/>
            <w:r w:rsidR="000F21CE">
              <w:rPr>
                <w:rFonts w:ascii="Times New Roman" w:eastAsia="Calibri" w:hAnsi="Times New Roman" w:cs="Times New Roman"/>
                <w:color w:val="000000"/>
                <w:sz w:val="16"/>
                <w:szCs w:val="16"/>
              </w:rPr>
              <w:t>predúpravy</w:t>
            </w:r>
            <w:proofErr w:type="spellEnd"/>
            <w:r w:rsidR="000F21CE">
              <w:rPr>
                <w:rFonts w:ascii="Times New Roman" w:eastAsia="Calibri" w:hAnsi="Times New Roman" w:cs="Times New Roman"/>
                <w:color w:val="000000"/>
                <w:sz w:val="16"/>
                <w:szCs w:val="16"/>
              </w:rPr>
              <w:t xml:space="preserve"> od roku</w:t>
            </w:r>
            <w:r w:rsidRPr="00D94493">
              <w:rPr>
                <w:rFonts w:ascii="Times New Roman" w:eastAsia="Calibri" w:hAnsi="Times New Roman" w:cs="Times New Roman"/>
                <w:color w:val="000000"/>
                <w:sz w:val="16"/>
                <w:szCs w:val="16"/>
              </w:rPr>
              <w:t xml:space="preserve"> 2024</w:t>
            </w:r>
          </w:p>
        </w:tc>
        <w:tc>
          <w:tcPr>
            <w:tcW w:w="870" w:type="dxa"/>
            <w:tcBorders>
              <w:top w:val="nil"/>
              <w:left w:val="nil"/>
              <w:bottom w:val="nil"/>
              <w:right w:val="nil"/>
            </w:tcBorders>
            <w:shd w:val="clear" w:color="auto" w:fill="auto"/>
            <w:noWrap/>
            <w:vAlign w:val="bottom"/>
            <w:hideMark/>
          </w:tcPr>
          <w:p w14:paraId="03172C33" w14:textId="77777777" w:rsidR="00D94493" w:rsidRPr="00D94493" w:rsidRDefault="00D94493" w:rsidP="00D94493">
            <w:pPr>
              <w:spacing w:after="120" w:line="240" w:lineRule="auto"/>
              <w:jc w:val="right"/>
              <w:rPr>
                <w:rFonts w:ascii="Times New Roman" w:eastAsia="Calibri" w:hAnsi="Times New Roman" w:cs="Times New Roman"/>
                <w:bCs/>
                <w:color w:val="FF0000"/>
                <w:sz w:val="16"/>
                <w:szCs w:val="16"/>
                <w:lang w:eastAsia="sk-SK"/>
              </w:rPr>
            </w:pPr>
            <w:r w:rsidRPr="00D94493">
              <w:rPr>
                <w:rFonts w:ascii="Times New Roman" w:eastAsia="Calibri" w:hAnsi="Times New Roman" w:cs="Times New Roman"/>
                <w:sz w:val="16"/>
                <w:szCs w:val="16"/>
              </w:rPr>
              <w:t>0</w:t>
            </w:r>
          </w:p>
        </w:tc>
        <w:tc>
          <w:tcPr>
            <w:tcW w:w="870" w:type="dxa"/>
            <w:tcBorders>
              <w:top w:val="nil"/>
              <w:left w:val="nil"/>
              <w:bottom w:val="nil"/>
              <w:right w:val="nil"/>
            </w:tcBorders>
            <w:shd w:val="clear" w:color="auto" w:fill="auto"/>
            <w:noWrap/>
            <w:vAlign w:val="bottom"/>
            <w:hideMark/>
          </w:tcPr>
          <w:p w14:paraId="2B075A39" w14:textId="77777777" w:rsidR="00D94493" w:rsidRPr="00D94493" w:rsidRDefault="00D94493" w:rsidP="00D94493">
            <w:pPr>
              <w:spacing w:after="120" w:line="240" w:lineRule="auto"/>
              <w:jc w:val="right"/>
              <w:rPr>
                <w:rFonts w:ascii="Times New Roman" w:eastAsia="Calibri" w:hAnsi="Times New Roman" w:cs="Times New Roman"/>
                <w:bCs/>
                <w:color w:val="FF0000"/>
                <w:sz w:val="16"/>
                <w:szCs w:val="16"/>
                <w:lang w:eastAsia="sk-SK"/>
              </w:rPr>
            </w:pPr>
            <w:r w:rsidRPr="00D94493">
              <w:rPr>
                <w:rFonts w:ascii="Times New Roman" w:eastAsia="Calibri" w:hAnsi="Times New Roman" w:cs="Times New Roman"/>
                <w:sz w:val="16"/>
                <w:szCs w:val="16"/>
              </w:rPr>
              <w:t>-15 082</w:t>
            </w:r>
          </w:p>
        </w:tc>
        <w:tc>
          <w:tcPr>
            <w:tcW w:w="870" w:type="dxa"/>
            <w:tcBorders>
              <w:top w:val="nil"/>
              <w:left w:val="nil"/>
              <w:bottom w:val="nil"/>
              <w:right w:val="nil"/>
            </w:tcBorders>
            <w:shd w:val="clear" w:color="auto" w:fill="auto"/>
            <w:noWrap/>
            <w:vAlign w:val="bottom"/>
            <w:hideMark/>
          </w:tcPr>
          <w:p w14:paraId="541D114D" w14:textId="77777777" w:rsidR="00D94493" w:rsidRPr="00D94493" w:rsidRDefault="00D94493" w:rsidP="00D94493">
            <w:pPr>
              <w:spacing w:after="120" w:line="240" w:lineRule="auto"/>
              <w:jc w:val="right"/>
              <w:rPr>
                <w:rFonts w:ascii="Times New Roman" w:eastAsia="Calibri" w:hAnsi="Times New Roman" w:cs="Times New Roman"/>
                <w:bCs/>
                <w:color w:val="FF0000"/>
                <w:sz w:val="16"/>
                <w:szCs w:val="16"/>
                <w:lang w:eastAsia="sk-SK"/>
              </w:rPr>
            </w:pPr>
            <w:r w:rsidRPr="00D94493">
              <w:rPr>
                <w:rFonts w:ascii="Times New Roman" w:eastAsia="Calibri" w:hAnsi="Times New Roman" w:cs="Times New Roman"/>
                <w:sz w:val="16"/>
                <w:szCs w:val="16"/>
              </w:rPr>
              <w:t>-14 967</w:t>
            </w:r>
          </w:p>
        </w:tc>
        <w:tc>
          <w:tcPr>
            <w:tcW w:w="871" w:type="dxa"/>
            <w:tcBorders>
              <w:top w:val="nil"/>
              <w:left w:val="nil"/>
              <w:bottom w:val="nil"/>
              <w:right w:val="nil"/>
            </w:tcBorders>
            <w:shd w:val="clear" w:color="auto" w:fill="auto"/>
            <w:noWrap/>
            <w:vAlign w:val="bottom"/>
            <w:hideMark/>
          </w:tcPr>
          <w:p w14:paraId="7A2DAA95" w14:textId="77777777" w:rsidR="00D94493" w:rsidRPr="00D94493" w:rsidRDefault="00D94493" w:rsidP="00D94493">
            <w:pPr>
              <w:spacing w:after="120" w:line="240" w:lineRule="auto"/>
              <w:jc w:val="right"/>
              <w:rPr>
                <w:rFonts w:ascii="Times New Roman" w:eastAsia="Calibri" w:hAnsi="Times New Roman" w:cs="Times New Roman"/>
                <w:bCs/>
                <w:color w:val="FF0000"/>
                <w:sz w:val="16"/>
                <w:szCs w:val="16"/>
                <w:lang w:eastAsia="sk-SK"/>
              </w:rPr>
            </w:pPr>
            <w:r w:rsidRPr="00D94493">
              <w:rPr>
                <w:rFonts w:ascii="Times New Roman" w:eastAsia="Calibri" w:hAnsi="Times New Roman" w:cs="Times New Roman"/>
                <w:sz w:val="16"/>
                <w:szCs w:val="16"/>
              </w:rPr>
              <w:t>-15 076</w:t>
            </w:r>
          </w:p>
        </w:tc>
      </w:tr>
      <w:tr w:rsidR="00D94493" w:rsidRPr="00D94493" w14:paraId="153A21E8" w14:textId="77777777" w:rsidTr="00D94493">
        <w:trPr>
          <w:trHeight w:val="198"/>
        </w:trPr>
        <w:tc>
          <w:tcPr>
            <w:tcW w:w="5591" w:type="dxa"/>
            <w:tcBorders>
              <w:top w:val="nil"/>
              <w:left w:val="nil"/>
              <w:bottom w:val="nil"/>
              <w:right w:val="nil"/>
            </w:tcBorders>
            <w:shd w:val="clear" w:color="auto" w:fill="auto"/>
            <w:vAlign w:val="bottom"/>
            <w:hideMark/>
          </w:tcPr>
          <w:p w14:paraId="31531ABA" w14:textId="77777777" w:rsidR="00D94493" w:rsidRPr="00D94493" w:rsidRDefault="00D94493" w:rsidP="00D94493">
            <w:pPr>
              <w:spacing w:after="120" w:line="240" w:lineRule="auto"/>
              <w:rPr>
                <w:rFonts w:ascii="Times New Roman" w:eastAsia="Calibri" w:hAnsi="Times New Roman" w:cs="Times New Roman"/>
                <w:color w:val="FF0000"/>
                <w:sz w:val="16"/>
                <w:szCs w:val="16"/>
                <w:lang w:eastAsia="sk-SK"/>
              </w:rPr>
            </w:pPr>
            <w:r w:rsidRPr="00D94493">
              <w:rPr>
                <w:rFonts w:ascii="Times New Roman" w:eastAsia="Calibri" w:hAnsi="Times New Roman" w:cs="Times New Roman"/>
                <w:color w:val="000000"/>
                <w:sz w:val="16"/>
                <w:szCs w:val="16"/>
              </w:rPr>
              <w:t>Poplatok za komunálny odpad (</w:t>
            </w:r>
            <w:proofErr w:type="spellStart"/>
            <w:r w:rsidRPr="00D94493">
              <w:rPr>
                <w:rFonts w:ascii="Times New Roman" w:eastAsia="Calibri" w:hAnsi="Times New Roman" w:cs="Times New Roman"/>
                <w:color w:val="000000"/>
                <w:sz w:val="16"/>
                <w:szCs w:val="16"/>
              </w:rPr>
              <w:t>šp</w:t>
            </w:r>
            <w:proofErr w:type="spellEnd"/>
            <w:r w:rsidRPr="00D94493">
              <w:rPr>
                <w:rFonts w:ascii="Times New Roman" w:eastAsia="Calibri" w:hAnsi="Times New Roman" w:cs="Times New Roman"/>
                <w:color w:val="000000"/>
                <w:sz w:val="16"/>
                <w:szCs w:val="16"/>
              </w:rPr>
              <w:t>. dane) - zvýšenie sadzieb od 1.1.2023 podľa VZN</w:t>
            </w:r>
          </w:p>
        </w:tc>
        <w:tc>
          <w:tcPr>
            <w:tcW w:w="870" w:type="dxa"/>
            <w:tcBorders>
              <w:top w:val="nil"/>
              <w:left w:val="nil"/>
              <w:bottom w:val="nil"/>
              <w:right w:val="nil"/>
            </w:tcBorders>
            <w:shd w:val="clear" w:color="auto" w:fill="auto"/>
            <w:noWrap/>
            <w:vAlign w:val="bottom"/>
            <w:hideMark/>
          </w:tcPr>
          <w:p w14:paraId="5C351527" w14:textId="77777777" w:rsidR="00D94493" w:rsidRPr="00D94493" w:rsidRDefault="00D94493" w:rsidP="00D94493">
            <w:pPr>
              <w:spacing w:after="120" w:line="240" w:lineRule="auto"/>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36 463</w:t>
            </w:r>
          </w:p>
        </w:tc>
        <w:tc>
          <w:tcPr>
            <w:tcW w:w="870" w:type="dxa"/>
            <w:tcBorders>
              <w:top w:val="nil"/>
              <w:left w:val="nil"/>
              <w:bottom w:val="nil"/>
              <w:right w:val="nil"/>
            </w:tcBorders>
            <w:shd w:val="clear" w:color="auto" w:fill="auto"/>
            <w:noWrap/>
            <w:vAlign w:val="bottom"/>
            <w:hideMark/>
          </w:tcPr>
          <w:p w14:paraId="7B797339" w14:textId="77777777" w:rsidR="00D94493" w:rsidRPr="00D94493" w:rsidRDefault="00D94493" w:rsidP="00D94493">
            <w:pPr>
              <w:spacing w:after="120" w:line="240" w:lineRule="auto"/>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37 259</w:t>
            </w:r>
          </w:p>
        </w:tc>
        <w:tc>
          <w:tcPr>
            <w:tcW w:w="870" w:type="dxa"/>
            <w:tcBorders>
              <w:top w:val="nil"/>
              <w:left w:val="nil"/>
              <w:bottom w:val="nil"/>
              <w:right w:val="nil"/>
            </w:tcBorders>
            <w:shd w:val="clear" w:color="auto" w:fill="auto"/>
            <w:noWrap/>
            <w:vAlign w:val="bottom"/>
            <w:hideMark/>
          </w:tcPr>
          <w:p w14:paraId="7D464DC9" w14:textId="77777777" w:rsidR="00D94493" w:rsidRPr="00D94493" w:rsidRDefault="00D94493" w:rsidP="00D94493">
            <w:pPr>
              <w:spacing w:after="120" w:line="240" w:lineRule="auto"/>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38 299</w:t>
            </w:r>
          </w:p>
        </w:tc>
        <w:tc>
          <w:tcPr>
            <w:tcW w:w="871" w:type="dxa"/>
            <w:tcBorders>
              <w:top w:val="nil"/>
              <w:left w:val="nil"/>
              <w:bottom w:val="nil"/>
              <w:right w:val="nil"/>
            </w:tcBorders>
            <w:shd w:val="clear" w:color="auto" w:fill="auto"/>
            <w:noWrap/>
            <w:vAlign w:val="bottom"/>
            <w:hideMark/>
          </w:tcPr>
          <w:p w14:paraId="0D23106F" w14:textId="77777777" w:rsidR="00D94493" w:rsidRPr="00D94493" w:rsidRDefault="00D94493" w:rsidP="00D94493">
            <w:pPr>
              <w:spacing w:after="120" w:line="240" w:lineRule="auto"/>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38 981</w:t>
            </w:r>
          </w:p>
        </w:tc>
      </w:tr>
      <w:tr w:rsidR="00D94493" w:rsidRPr="00D94493" w14:paraId="7FCD916F" w14:textId="77777777" w:rsidTr="00D94493">
        <w:trPr>
          <w:trHeight w:val="198"/>
        </w:trPr>
        <w:tc>
          <w:tcPr>
            <w:tcW w:w="5591" w:type="dxa"/>
            <w:tcBorders>
              <w:top w:val="nil"/>
              <w:left w:val="nil"/>
              <w:bottom w:val="nil"/>
              <w:right w:val="nil"/>
            </w:tcBorders>
            <w:shd w:val="clear" w:color="auto" w:fill="auto"/>
            <w:vAlign w:val="bottom"/>
          </w:tcPr>
          <w:p w14:paraId="723381DE" w14:textId="77777777" w:rsidR="00D94493" w:rsidRPr="00D94493" w:rsidRDefault="00D94493" w:rsidP="00D94493">
            <w:pPr>
              <w:spacing w:after="120" w:line="240" w:lineRule="auto"/>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Daň z ubytovania (</w:t>
            </w:r>
            <w:proofErr w:type="spellStart"/>
            <w:r w:rsidRPr="00D94493">
              <w:rPr>
                <w:rFonts w:ascii="Times New Roman" w:eastAsia="Calibri" w:hAnsi="Times New Roman" w:cs="Times New Roman"/>
                <w:color w:val="000000"/>
                <w:sz w:val="16"/>
                <w:szCs w:val="16"/>
              </w:rPr>
              <w:t>šp</w:t>
            </w:r>
            <w:proofErr w:type="spellEnd"/>
            <w:r w:rsidRPr="00D94493">
              <w:rPr>
                <w:rFonts w:ascii="Times New Roman" w:eastAsia="Calibri" w:hAnsi="Times New Roman" w:cs="Times New Roman"/>
                <w:color w:val="000000"/>
                <w:sz w:val="16"/>
                <w:szCs w:val="16"/>
              </w:rPr>
              <w:t>. dane) - zvýšenie sadzieb od 1.1.2023 podľa VZN</w:t>
            </w:r>
          </w:p>
        </w:tc>
        <w:tc>
          <w:tcPr>
            <w:tcW w:w="870" w:type="dxa"/>
            <w:tcBorders>
              <w:top w:val="nil"/>
              <w:left w:val="nil"/>
              <w:bottom w:val="nil"/>
              <w:right w:val="nil"/>
            </w:tcBorders>
            <w:shd w:val="clear" w:color="auto" w:fill="auto"/>
            <w:noWrap/>
            <w:vAlign w:val="bottom"/>
          </w:tcPr>
          <w:p w14:paraId="3D0A1184"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3 262</w:t>
            </w:r>
          </w:p>
        </w:tc>
        <w:tc>
          <w:tcPr>
            <w:tcW w:w="870" w:type="dxa"/>
            <w:tcBorders>
              <w:top w:val="nil"/>
              <w:left w:val="nil"/>
              <w:bottom w:val="nil"/>
              <w:right w:val="nil"/>
            </w:tcBorders>
            <w:shd w:val="clear" w:color="auto" w:fill="auto"/>
            <w:noWrap/>
            <w:vAlign w:val="bottom"/>
          </w:tcPr>
          <w:p w14:paraId="464ED623"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3 514</w:t>
            </w:r>
          </w:p>
        </w:tc>
        <w:tc>
          <w:tcPr>
            <w:tcW w:w="870" w:type="dxa"/>
            <w:tcBorders>
              <w:top w:val="nil"/>
              <w:left w:val="nil"/>
              <w:bottom w:val="nil"/>
              <w:right w:val="nil"/>
            </w:tcBorders>
            <w:shd w:val="clear" w:color="auto" w:fill="auto"/>
            <w:noWrap/>
            <w:vAlign w:val="bottom"/>
          </w:tcPr>
          <w:p w14:paraId="5979C6BE"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3 809</w:t>
            </w:r>
          </w:p>
        </w:tc>
        <w:tc>
          <w:tcPr>
            <w:tcW w:w="871" w:type="dxa"/>
            <w:tcBorders>
              <w:top w:val="nil"/>
              <w:left w:val="nil"/>
              <w:bottom w:val="nil"/>
              <w:right w:val="nil"/>
            </w:tcBorders>
            <w:shd w:val="clear" w:color="auto" w:fill="auto"/>
            <w:noWrap/>
            <w:vAlign w:val="bottom"/>
          </w:tcPr>
          <w:p w14:paraId="2FCA528C"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4 087</w:t>
            </w:r>
          </w:p>
        </w:tc>
      </w:tr>
      <w:tr w:rsidR="00D94493" w:rsidRPr="00D94493" w14:paraId="3C1FF3C2" w14:textId="77777777" w:rsidTr="00D94493">
        <w:trPr>
          <w:trHeight w:val="198"/>
        </w:trPr>
        <w:tc>
          <w:tcPr>
            <w:tcW w:w="5591" w:type="dxa"/>
            <w:tcBorders>
              <w:top w:val="nil"/>
              <w:left w:val="nil"/>
              <w:bottom w:val="nil"/>
              <w:right w:val="nil"/>
            </w:tcBorders>
            <w:shd w:val="clear" w:color="auto" w:fill="auto"/>
            <w:vAlign w:val="bottom"/>
          </w:tcPr>
          <w:p w14:paraId="0C514198" w14:textId="77777777" w:rsidR="00D94493" w:rsidRPr="00D94493" w:rsidRDefault="00D94493" w:rsidP="00D94493">
            <w:pPr>
              <w:spacing w:after="120" w:line="240" w:lineRule="auto"/>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Nájomné bývanie - DPH 5%</w:t>
            </w:r>
          </w:p>
        </w:tc>
        <w:tc>
          <w:tcPr>
            <w:tcW w:w="870" w:type="dxa"/>
            <w:tcBorders>
              <w:top w:val="nil"/>
              <w:left w:val="nil"/>
              <w:bottom w:val="nil"/>
              <w:right w:val="nil"/>
            </w:tcBorders>
            <w:shd w:val="clear" w:color="auto" w:fill="auto"/>
            <w:noWrap/>
            <w:vAlign w:val="bottom"/>
          </w:tcPr>
          <w:p w14:paraId="244E17D9"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-9 187</w:t>
            </w:r>
          </w:p>
        </w:tc>
        <w:tc>
          <w:tcPr>
            <w:tcW w:w="870" w:type="dxa"/>
            <w:tcBorders>
              <w:top w:val="nil"/>
              <w:left w:val="nil"/>
              <w:bottom w:val="nil"/>
              <w:right w:val="nil"/>
            </w:tcBorders>
            <w:shd w:val="clear" w:color="auto" w:fill="auto"/>
            <w:noWrap/>
            <w:vAlign w:val="bottom"/>
          </w:tcPr>
          <w:p w14:paraId="62F59913"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-15 930</w:t>
            </w:r>
          </w:p>
        </w:tc>
        <w:tc>
          <w:tcPr>
            <w:tcW w:w="870" w:type="dxa"/>
            <w:tcBorders>
              <w:top w:val="nil"/>
              <w:left w:val="nil"/>
              <w:bottom w:val="nil"/>
              <w:right w:val="nil"/>
            </w:tcBorders>
            <w:shd w:val="clear" w:color="auto" w:fill="auto"/>
            <w:noWrap/>
            <w:vAlign w:val="bottom"/>
          </w:tcPr>
          <w:p w14:paraId="02FE656B"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-18 153</w:t>
            </w:r>
          </w:p>
        </w:tc>
        <w:tc>
          <w:tcPr>
            <w:tcW w:w="871" w:type="dxa"/>
            <w:tcBorders>
              <w:top w:val="nil"/>
              <w:left w:val="nil"/>
              <w:bottom w:val="nil"/>
              <w:right w:val="nil"/>
            </w:tcBorders>
            <w:shd w:val="clear" w:color="auto" w:fill="auto"/>
            <w:noWrap/>
            <w:vAlign w:val="bottom"/>
          </w:tcPr>
          <w:p w14:paraId="7485627B"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-18 814</w:t>
            </w:r>
          </w:p>
        </w:tc>
      </w:tr>
      <w:tr w:rsidR="00D94493" w:rsidRPr="00D94493" w14:paraId="51E1E722" w14:textId="77777777" w:rsidTr="00D94493">
        <w:trPr>
          <w:trHeight w:val="198"/>
        </w:trPr>
        <w:tc>
          <w:tcPr>
            <w:tcW w:w="5591" w:type="dxa"/>
            <w:tcBorders>
              <w:top w:val="nil"/>
              <w:left w:val="nil"/>
              <w:bottom w:val="nil"/>
              <w:right w:val="nil"/>
            </w:tcBorders>
            <w:shd w:val="clear" w:color="auto" w:fill="auto"/>
            <w:vAlign w:val="bottom"/>
          </w:tcPr>
          <w:p w14:paraId="30D7399C" w14:textId="315A4612" w:rsidR="00D94493" w:rsidRPr="00D94493" w:rsidRDefault="00D94493" w:rsidP="00D94493">
            <w:pPr>
              <w:spacing w:after="120" w:line="240" w:lineRule="auto"/>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Solidárny príspevok z činností v odvetviach ropy, zemného plynu, uhlia a rafinérií (70</w:t>
            </w:r>
            <w:r w:rsidR="000F21CE">
              <w:rPr>
                <w:rFonts w:ascii="Times New Roman" w:eastAsia="Calibri" w:hAnsi="Times New Roman" w:cs="Times New Roman"/>
                <w:color w:val="000000"/>
                <w:sz w:val="16"/>
                <w:szCs w:val="16"/>
              </w:rPr>
              <w:t xml:space="preserve"> </w:t>
            </w:r>
            <w:r w:rsidRPr="00D94493">
              <w:rPr>
                <w:rFonts w:ascii="Times New Roman" w:eastAsia="Calibri" w:hAnsi="Times New Roman" w:cs="Times New Roman"/>
                <w:color w:val="000000"/>
                <w:sz w:val="16"/>
                <w:szCs w:val="16"/>
              </w:rPr>
              <w:t>% na rok 2023)</w:t>
            </w:r>
          </w:p>
        </w:tc>
        <w:tc>
          <w:tcPr>
            <w:tcW w:w="870" w:type="dxa"/>
            <w:tcBorders>
              <w:top w:val="nil"/>
              <w:left w:val="nil"/>
              <w:bottom w:val="nil"/>
              <w:right w:val="nil"/>
            </w:tcBorders>
            <w:shd w:val="clear" w:color="auto" w:fill="auto"/>
            <w:noWrap/>
            <w:vAlign w:val="bottom"/>
          </w:tcPr>
          <w:p w14:paraId="4BC9F13C"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283 290</w:t>
            </w:r>
          </w:p>
        </w:tc>
        <w:tc>
          <w:tcPr>
            <w:tcW w:w="870" w:type="dxa"/>
            <w:tcBorders>
              <w:top w:val="nil"/>
              <w:left w:val="nil"/>
              <w:bottom w:val="nil"/>
              <w:right w:val="nil"/>
            </w:tcBorders>
            <w:shd w:val="clear" w:color="auto" w:fill="auto"/>
            <w:noWrap/>
            <w:vAlign w:val="bottom"/>
          </w:tcPr>
          <w:p w14:paraId="1D38634A"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0</w:t>
            </w:r>
          </w:p>
        </w:tc>
        <w:tc>
          <w:tcPr>
            <w:tcW w:w="870" w:type="dxa"/>
            <w:tcBorders>
              <w:top w:val="nil"/>
              <w:left w:val="nil"/>
              <w:bottom w:val="nil"/>
              <w:right w:val="nil"/>
            </w:tcBorders>
            <w:shd w:val="clear" w:color="auto" w:fill="auto"/>
            <w:noWrap/>
            <w:vAlign w:val="bottom"/>
          </w:tcPr>
          <w:p w14:paraId="1745D538"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0</w:t>
            </w:r>
          </w:p>
        </w:tc>
        <w:tc>
          <w:tcPr>
            <w:tcW w:w="871" w:type="dxa"/>
            <w:tcBorders>
              <w:top w:val="nil"/>
              <w:left w:val="nil"/>
              <w:bottom w:val="nil"/>
              <w:right w:val="nil"/>
            </w:tcBorders>
            <w:shd w:val="clear" w:color="auto" w:fill="auto"/>
            <w:noWrap/>
            <w:vAlign w:val="bottom"/>
          </w:tcPr>
          <w:p w14:paraId="6D1175D2"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0</w:t>
            </w:r>
          </w:p>
        </w:tc>
      </w:tr>
      <w:tr w:rsidR="00D94493" w:rsidRPr="00D94493" w14:paraId="12016586" w14:textId="77777777" w:rsidTr="00D94493">
        <w:trPr>
          <w:trHeight w:val="198"/>
        </w:trPr>
        <w:tc>
          <w:tcPr>
            <w:tcW w:w="5591" w:type="dxa"/>
            <w:tcBorders>
              <w:top w:val="nil"/>
              <w:left w:val="nil"/>
              <w:bottom w:val="nil"/>
              <w:right w:val="nil"/>
            </w:tcBorders>
            <w:shd w:val="clear" w:color="auto" w:fill="auto"/>
            <w:vAlign w:val="bottom"/>
          </w:tcPr>
          <w:p w14:paraId="626CE847" w14:textId="77777777" w:rsidR="00D94493" w:rsidRPr="00D94493" w:rsidRDefault="00D94493" w:rsidP="00D94493">
            <w:pPr>
              <w:spacing w:after="120" w:line="240" w:lineRule="auto"/>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Odpustenie sociálnych odvodov zamestnávateľa za zamestnancov v potravinárskom priemysle</w:t>
            </w:r>
          </w:p>
        </w:tc>
        <w:tc>
          <w:tcPr>
            <w:tcW w:w="870" w:type="dxa"/>
            <w:tcBorders>
              <w:top w:val="nil"/>
              <w:left w:val="nil"/>
              <w:bottom w:val="nil"/>
              <w:right w:val="nil"/>
            </w:tcBorders>
            <w:shd w:val="clear" w:color="auto" w:fill="auto"/>
            <w:noWrap/>
            <w:vAlign w:val="bottom"/>
          </w:tcPr>
          <w:p w14:paraId="0717DF56"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-24 478</w:t>
            </w:r>
          </w:p>
        </w:tc>
        <w:tc>
          <w:tcPr>
            <w:tcW w:w="870" w:type="dxa"/>
            <w:tcBorders>
              <w:top w:val="nil"/>
              <w:left w:val="nil"/>
              <w:bottom w:val="nil"/>
              <w:right w:val="nil"/>
            </w:tcBorders>
            <w:shd w:val="clear" w:color="auto" w:fill="auto"/>
            <w:noWrap/>
            <w:vAlign w:val="bottom"/>
          </w:tcPr>
          <w:p w14:paraId="39DF9D2A"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0</w:t>
            </w:r>
          </w:p>
        </w:tc>
        <w:tc>
          <w:tcPr>
            <w:tcW w:w="870" w:type="dxa"/>
            <w:tcBorders>
              <w:top w:val="nil"/>
              <w:left w:val="nil"/>
              <w:bottom w:val="nil"/>
              <w:right w:val="nil"/>
            </w:tcBorders>
            <w:shd w:val="clear" w:color="auto" w:fill="auto"/>
            <w:noWrap/>
            <w:vAlign w:val="bottom"/>
          </w:tcPr>
          <w:p w14:paraId="529D3391"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0</w:t>
            </w:r>
          </w:p>
        </w:tc>
        <w:tc>
          <w:tcPr>
            <w:tcW w:w="871" w:type="dxa"/>
            <w:tcBorders>
              <w:top w:val="nil"/>
              <w:left w:val="nil"/>
              <w:bottom w:val="nil"/>
              <w:right w:val="nil"/>
            </w:tcBorders>
            <w:shd w:val="clear" w:color="auto" w:fill="auto"/>
            <w:noWrap/>
            <w:vAlign w:val="bottom"/>
          </w:tcPr>
          <w:p w14:paraId="73D01D4F"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0</w:t>
            </w:r>
          </w:p>
        </w:tc>
      </w:tr>
      <w:tr w:rsidR="00D94493" w:rsidRPr="00D94493" w14:paraId="12C4E748" w14:textId="77777777" w:rsidTr="00D94493">
        <w:trPr>
          <w:trHeight w:val="198"/>
        </w:trPr>
        <w:tc>
          <w:tcPr>
            <w:tcW w:w="5591" w:type="dxa"/>
            <w:tcBorders>
              <w:top w:val="nil"/>
              <w:left w:val="nil"/>
              <w:bottom w:val="nil"/>
              <w:right w:val="nil"/>
            </w:tcBorders>
            <w:shd w:val="clear" w:color="auto" w:fill="auto"/>
            <w:vAlign w:val="bottom"/>
          </w:tcPr>
          <w:p w14:paraId="5AA0890A" w14:textId="77777777" w:rsidR="00D94493" w:rsidRPr="00D94493" w:rsidRDefault="00D94493" w:rsidP="00D94493">
            <w:pPr>
              <w:spacing w:after="120" w:line="240" w:lineRule="auto"/>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Zníženie daňovo-odvodovej záťaže v súvislosti s predajom virtuálnych mien, cenných papierov a podielových listov</w:t>
            </w:r>
          </w:p>
        </w:tc>
        <w:tc>
          <w:tcPr>
            <w:tcW w:w="870" w:type="dxa"/>
            <w:tcBorders>
              <w:top w:val="nil"/>
              <w:left w:val="nil"/>
              <w:bottom w:val="nil"/>
              <w:right w:val="nil"/>
            </w:tcBorders>
            <w:shd w:val="clear" w:color="auto" w:fill="auto"/>
            <w:noWrap/>
            <w:vAlign w:val="bottom"/>
          </w:tcPr>
          <w:p w14:paraId="5BB629C9"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0</w:t>
            </w:r>
          </w:p>
        </w:tc>
        <w:tc>
          <w:tcPr>
            <w:tcW w:w="870" w:type="dxa"/>
            <w:tcBorders>
              <w:top w:val="nil"/>
              <w:left w:val="nil"/>
              <w:bottom w:val="nil"/>
              <w:right w:val="nil"/>
            </w:tcBorders>
            <w:shd w:val="clear" w:color="auto" w:fill="auto"/>
            <w:noWrap/>
            <w:vAlign w:val="bottom"/>
          </w:tcPr>
          <w:p w14:paraId="766DE619"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-24 713</w:t>
            </w:r>
          </w:p>
        </w:tc>
        <w:tc>
          <w:tcPr>
            <w:tcW w:w="870" w:type="dxa"/>
            <w:tcBorders>
              <w:top w:val="nil"/>
              <w:left w:val="nil"/>
              <w:bottom w:val="nil"/>
              <w:right w:val="nil"/>
            </w:tcBorders>
            <w:shd w:val="clear" w:color="auto" w:fill="auto"/>
            <w:noWrap/>
            <w:vAlign w:val="bottom"/>
          </w:tcPr>
          <w:p w14:paraId="7121445D"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-30 874</w:t>
            </w:r>
          </w:p>
        </w:tc>
        <w:tc>
          <w:tcPr>
            <w:tcW w:w="871" w:type="dxa"/>
            <w:tcBorders>
              <w:top w:val="nil"/>
              <w:left w:val="nil"/>
              <w:bottom w:val="nil"/>
              <w:right w:val="nil"/>
            </w:tcBorders>
            <w:shd w:val="clear" w:color="auto" w:fill="auto"/>
            <w:noWrap/>
            <w:vAlign w:val="bottom"/>
          </w:tcPr>
          <w:p w14:paraId="2448AA95"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sz w:val="16"/>
                <w:szCs w:val="16"/>
              </w:rPr>
              <w:t>-31 688</w:t>
            </w:r>
          </w:p>
        </w:tc>
      </w:tr>
      <w:tr w:rsidR="00D94493" w:rsidRPr="00D94493" w14:paraId="0A7BC56C" w14:textId="77777777" w:rsidTr="00D94493">
        <w:trPr>
          <w:trHeight w:val="198"/>
        </w:trPr>
        <w:tc>
          <w:tcPr>
            <w:tcW w:w="5591" w:type="dxa"/>
            <w:tcBorders>
              <w:top w:val="single" w:sz="4" w:space="0" w:color="auto"/>
              <w:left w:val="nil"/>
              <w:bottom w:val="single" w:sz="4" w:space="0" w:color="auto"/>
              <w:right w:val="nil"/>
            </w:tcBorders>
            <w:shd w:val="clear" w:color="auto" w:fill="auto"/>
            <w:vAlign w:val="center"/>
            <w:hideMark/>
          </w:tcPr>
          <w:p w14:paraId="26E95DC5" w14:textId="77777777" w:rsidR="00D94493" w:rsidRPr="00D94493" w:rsidRDefault="00D94493" w:rsidP="00D94493">
            <w:pPr>
              <w:spacing w:after="100" w:afterAutospacing="1" w:line="240" w:lineRule="auto"/>
              <w:ind w:hanging="69"/>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lang w:eastAsia="sk-SK"/>
              </w:rPr>
              <w:t xml:space="preserve">Celkový vplyv legislatívnych zmien </w:t>
            </w:r>
          </w:p>
        </w:tc>
        <w:tc>
          <w:tcPr>
            <w:tcW w:w="870" w:type="dxa"/>
            <w:tcBorders>
              <w:top w:val="single" w:sz="4" w:space="0" w:color="auto"/>
              <w:left w:val="nil"/>
              <w:bottom w:val="single" w:sz="4" w:space="0" w:color="auto"/>
              <w:right w:val="nil"/>
            </w:tcBorders>
            <w:shd w:val="clear" w:color="auto" w:fill="auto"/>
            <w:noWrap/>
            <w:vAlign w:val="bottom"/>
            <w:hideMark/>
          </w:tcPr>
          <w:p w14:paraId="61BF1346" w14:textId="77777777" w:rsidR="00D94493" w:rsidRPr="00D94493" w:rsidRDefault="00D94493" w:rsidP="00D94493">
            <w:pPr>
              <w:spacing w:after="100" w:afterAutospacing="1" w:line="240" w:lineRule="auto"/>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color w:val="000000"/>
                <w:sz w:val="16"/>
                <w:szCs w:val="16"/>
              </w:rPr>
              <w:t>347 059</w:t>
            </w:r>
          </w:p>
        </w:tc>
        <w:tc>
          <w:tcPr>
            <w:tcW w:w="870" w:type="dxa"/>
            <w:tcBorders>
              <w:top w:val="single" w:sz="4" w:space="0" w:color="auto"/>
              <w:left w:val="nil"/>
              <w:bottom w:val="single" w:sz="4" w:space="0" w:color="auto"/>
              <w:right w:val="nil"/>
            </w:tcBorders>
            <w:shd w:val="clear" w:color="auto" w:fill="auto"/>
            <w:noWrap/>
            <w:vAlign w:val="bottom"/>
            <w:hideMark/>
          </w:tcPr>
          <w:p w14:paraId="7A5353EB" w14:textId="77777777" w:rsidR="00D94493" w:rsidRPr="00D94493" w:rsidRDefault="00D94493" w:rsidP="00D94493">
            <w:pPr>
              <w:spacing w:after="100" w:afterAutospacing="1" w:line="240" w:lineRule="auto"/>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color w:val="000000"/>
                <w:sz w:val="16"/>
                <w:szCs w:val="16"/>
              </w:rPr>
              <w:t>26 865</w:t>
            </w:r>
          </w:p>
        </w:tc>
        <w:tc>
          <w:tcPr>
            <w:tcW w:w="870" w:type="dxa"/>
            <w:tcBorders>
              <w:top w:val="single" w:sz="4" w:space="0" w:color="auto"/>
              <w:left w:val="nil"/>
              <w:bottom w:val="single" w:sz="4" w:space="0" w:color="auto"/>
              <w:right w:val="nil"/>
            </w:tcBorders>
            <w:shd w:val="clear" w:color="auto" w:fill="auto"/>
            <w:noWrap/>
            <w:vAlign w:val="bottom"/>
            <w:hideMark/>
          </w:tcPr>
          <w:p w14:paraId="69C7695C" w14:textId="77777777" w:rsidR="00D94493" w:rsidRPr="00D94493" w:rsidRDefault="00D94493" w:rsidP="00D94493">
            <w:pPr>
              <w:spacing w:after="100" w:afterAutospacing="1" w:line="240" w:lineRule="auto"/>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color w:val="000000"/>
                <w:sz w:val="16"/>
                <w:szCs w:val="16"/>
              </w:rPr>
              <w:t>21 615</w:t>
            </w:r>
          </w:p>
        </w:tc>
        <w:tc>
          <w:tcPr>
            <w:tcW w:w="871" w:type="dxa"/>
            <w:tcBorders>
              <w:top w:val="single" w:sz="4" w:space="0" w:color="auto"/>
              <w:left w:val="nil"/>
              <w:bottom w:val="single" w:sz="4" w:space="0" w:color="auto"/>
              <w:right w:val="nil"/>
            </w:tcBorders>
            <w:shd w:val="clear" w:color="auto" w:fill="auto"/>
            <w:noWrap/>
            <w:vAlign w:val="bottom"/>
            <w:hideMark/>
          </w:tcPr>
          <w:p w14:paraId="2221EC87" w14:textId="77777777" w:rsidR="00D94493" w:rsidRPr="00D94493" w:rsidRDefault="00D94493" w:rsidP="00D94493">
            <w:pPr>
              <w:spacing w:after="100" w:afterAutospacing="1" w:line="240" w:lineRule="auto"/>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color w:val="000000"/>
                <w:sz w:val="16"/>
                <w:szCs w:val="16"/>
              </w:rPr>
              <w:t>21 953</w:t>
            </w:r>
          </w:p>
        </w:tc>
      </w:tr>
    </w:tbl>
    <w:p w14:paraId="4951738F" w14:textId="77777777" w:rsidR="00D94493" w:rsidRPr="00D94493" w:rsidRDefault="00D94493" w:rsidP="00D94493">
      <w:pPr>
        <w:spacing w:after="0" w:line="240" w:lineRule="auto"/>
        <w:jc w:val="both"/>
        <w:rPr>
          <w:rFonts w:ascii="Times New Roman" w:eastAsia="Calibri" w:hAnsi="Times New Roman" w:cs="Times New Roman"/>
          <w:i/>
          <w:sz w:val="16"/>
          <w:szCs w:val="24"/>
        </w:rPr>
      </w:pPr>
      <w:r w:rsidRPr="00D94493">
        <w:rPr>
          <w:rFonts w:ascii="Times New Roman" w:eastAsia="Calibri" w:hAnsi="Times New Roman" w:cs="Times New Roman"/>
          <w:sz w:val="24"/>
          <w:szCs w:val="24"/>
        </w:rPr>
        <w:tab/>
      </w:r>
      <w:r w:rsidRPr="00D94493">
        <w:rPr>
          <w:rFonts w:ascii="Times New Roman" w:eastAsia="Calibri" w:hAnsi="Times New Roman" w:cs="Times New Roman"/>
          <w:sz w:val="24"/>
          <w:szCs w:val="24"/>
        </w:rPr>
        <w:tab/>
      </w:r>
      <w:r w:rsidRPr="00D94493">
        <w:rPr>
          <w:rFonts w:ascii="Times New Roman" w:eastAsia="Calibri" w:hAnsi="Times New Roman" w:cs="Times New Roman"/>
          <w:sz w:val="24"/>
          <w:szCs w:val="24"/>
        </w:rPr>
        <w:tab/>
      </w:r>
      <w:r w:rsidRPr="00D94493">
        <w:rPr>
          <w:rFonts w:ascii="Times New Roman" w:eastAsia="Calibri" w:hAnsi="Times New Roman" w:cs="Times New Roman"/>
          <w:sz w:val="24"/>
          <w:szCs w:val="24"/>
        </w:rPr>
        <w:tab/>
      </w:r>
      <w:r w:rsidRPr="00D94493">
        <w:rPr>
          <w:rFonts w:ascii="Times New Roman" w:eastAsia="Calibri" w:hAnsi="Times New Roman" w:cs="Times New Roman"/>
          <w:sz w:val="24"/>
          <w:szCs w:val="24"/>
        </w:rPr>
        <w:tab/>
      </w:r>
      <w:r w:rsidRPr="00D94493">
        <w:rPr>
          <w:rFonts w:ascii="Times New Roman" w:eastAsia="Calibri" w:hAnsi="Times New Roman" w:cs="Times New Roman"/>
          <w:sz w:val="24"/>
          <w:szCs w:val="24"/>
        </w:rPr>
        <w:tab/>
      </w:r>
      <w:r w:rsidRPr="00D94493">
        <w:rPr>
          <w:rFonts w:ascii="Times New Roman" w:eastAsia="Calibri" w:hAnsi="Times New Roman" w:cs="Times New Roman"/>
          <w:sz w:val="24"/>
          <w:szCs w:val="24"/>
        </w:rPr>
        <w:tab/>
      </w:r>
      <w:r w:rsidRPr="00D94493">
        <w:rPr>
          <w:rFonts w:ascii="Times New Roman" w:eastAsia="Calibri" w:hAnsi="Times New Roman" w:cs="Times New Roman"/>
          <w:sz w:val="24"/>
          <w:szCs w:val="24"/>
        </w:rPr>
        <w:tab/>
      </w:r>
      <w:r w:rsidRPr="00D94493">
        <w:rPr>
          <w:rFonts w:ascii="Times New Roman" w:eastAsia="Calibri" w:hAnsi="Times New Roman" w:cs="Times New Roman"/>
          <w:sz w:val="24"/>
          <w:szCs w:val="24"/>
        </w:rPr>
        <w:tab/>
      </w:r>
      <w:r w:rsidRPr="00D94493">
        <w:rPr>
          <w:rFonts w:ascii="Times New Roman" w:eastAsia="Calibri" w:hAnsi="Times New Roman" w:cs="Times New Roman"/>
          <w:sz w:val="24"/>
          <w:szCs w:val="24"/>
        </w:rPr>
        <w:tab/>
      </w:r>
      <w:r w:rsidRPr="00D94493">
        <w:rPr>
          <w:rFonts w:ascii="Times New Roman" w:eastAsia="Calibri" w:hAnsi="Times New Roman" w:cs="Times New Roman"/>
          <w:sz w:val="24"/>
          <w:szCs w:val="24"/>
        </w:rPr>
        <w:tab/>
        <w:t xml:space="preserve">      </w:t>
      </w:r>
      <w:r w:rsidRPr="00D94493">
        <w:rPr>
          <w:rFonts w:ascii="Times New Roman" w:eastAsia="Calibri" w:hAnsi="Times New Roman" w:cs="Times New Roman"/>
          <w:i/>
          <w:sz w:val="16"/>
          <w:szCs w:val="24"/>
        </w:rPr>
        <w:t>Zdroj: MF SR</w:t>
      </w:r>
    </w:p>
    <w:p w14:paraId="54CB1F0C" w14:textId="77777777" w:rsidR="00D94493" w:rsidRPr="00D94493" w:rsidRDefault="00D94493" w:rsidP="00D94493">
      <w:pPr>
        <w:spacing w:after="0" w:line="240" w:lineRule="auto"/>
        <w:jc w:val="both"/>
        <w:rPr>
          <w:rFonts w:ascii="Times New Roman" w:eastAsia="Calibri" w:hAnsi="Times New Roman" w:cs="Times New Roman"/>
          <w:b/>
          <w:i/>
          <w:sz w:val="24"/>
          <w:szCs w:val="24"/>
        </w:rPr>
      </w:pPr>
    </w:p>
    <w:p w14:paraId="0F72F0FF" w14:textId="77777777" w:rsidR="00D94493" w:rsidRPr="00D94493" w:rsidRDefault="00D94493" w:rsidP="00D94493">
      <w:pPr>
        <w:spacing w:after="0" w:line="240" w:lineRule="auto"/>
        <w:jc w:val="both"/>
        <w:rPr>
          <w:rFonts w:ascii="Times New Roman" w:eastAsia="Calibri" w:hAnsi="Times New Roman" w:cs="Times New Roman"/>
          <w:sz w:val="24"/>
          <w:szCs w:val="24"/>
        </w:rPr>
      </w:pPr>
      <w:r w:rsidRPr="00D94493">
        <w:rPr>
          <w:rFonts w:ascii="Times New Roman" w:eastAsia="Calibri" w:hAnsi="Times New Roman" w:cs="Times New Roman"/>
          <w:sz w:val="24"/>
          <w:szCs w:val="24"/>
        </w:rPr>
        <w:t>Koncom roka 2023 nová vláda schválila ďalšie legislatívne zmeny. Detailný prehľad je v nasledujúcej tabuľke.</w:t>
      </w:r>
    </w:p>
    <w:p w14:paraId="47940DC0" w14:textId="77777777" w:rsidR="00D94493" w:rsidRPr="00D94493" w:rsidRDefault="00D94493" w:rsidP="00D94493">
      <w:pPr>
        <w:spacing w:after="0"/>
        <w:jc w:val="both"/>
        <w:rPr>
          <w:rFonts w:ascii="Times New Roman" w:hAnsi="Times New Roman" w:cs="Times New Roman"/>
          <w:sz w:val="24"/>
        </w:rPr>
      </w:pPr>
    </w:p>
    <w:p w14:paraId="15E0518C" w14:textId="0031B3A4" w:rsidR="00D94493" w:rsidRPr="00D94493" w:rsidRDefault="00D94493" w:rsidP="00D94493">
      <w:pPr>
        <w:spacing w:after="0"/>
        <w:jc w:val="both"/>
        <w:rPr>
          <w:rFonts w:ascii="Times New Roman" w:hAnsi="Times New Roman" w:cs="Times New Roman"/>
          <w:sz w:val="24"/>
        </w:rPr>
      </w:pPr>
      <w:bookmarkStart w:id="90" w:name="_Toc153013020"/>
      <w:r w:rsidRPr="00D94493">
        <w:rPr>
          <w:rFonts w:ascii="Times New Roman" w:eastAsia="Calibri" w:hAnsi="Times New Roman" w:cs="Times New Roman"/>
          <w:b/>
          <w:iCs/>
          <w:color w:val="5B9BD5"/>
          <w:sz w:val="20"/>
          <w:szCs w:val="18"/>
        </w:rPr>
        <w:t xml:space="preserve">Tabuľka </w:t>
      </w:r>
      <w:r w:rsidRPr="00D94493">
        <w:rPr>
          <w:rFonts w:ascii="Times New Roman" w:eastAsia="Calibri" w:hAnsi="Times New Roman" w:cs="Times New Roman"/>
          <w:b/>
          <w:iCs/>
          <w:color w:val="5B9BD5"/>
          <w:sz w:val="20"/>
          <w:szCs w:val="18"/>
        </w:rPr>
        <w:fldChar w:fldCharType="begin"/>
      </w:r>
      <w:r w:rsidRPr="00D94493">
        <w:rPr>
          <w:rFonts w:ascii="Times New Roman" w:eastAsia="Calibri" w:hAnsi="Times New Roman" w:cs="Times New Roman"/>
          <w:b/>
          <w:iCs/>
          <w:color w:val="5B9BD5"/>
          <w:sz w:val="20"/>
          <w:szCs w:val="18"/>
        </w:rPr>
        <w:instrText xml:space="preserve"> SEQ Tabuľka \* ARABIC </w:instrText>
      </w:r>
      <w:r w:rsidRPr="00D94493">
        <w:rPr>
          <w:rFonts w:ascii="Times New Roman" w:eastAsia="Calibri" w:hAnsi="Times New Roman" w:cs="Times New Roman"/>
          <w:b/>
          <w:iCs/>
          <w:color w:val="5B9BD5"/>
          <w:sz w:val="20"/>
          <w:szCs w:val="18"/>
        </w:rPr>
        <w:fldChar w:fldCharType="separate"/>
      </w:r>
      <w:r w:rsidR="003D5A3A">
        <w:rPr>
          <w:rFonts w:ascii="Times New Roman" w:eastAsia="Calibri" w:hAnsi="Times New Roman" w:cs="Times New Roman"/>
          <w:b/>
          <w:iCs/>
          <w:noProof/>
          <w:color w:val="5B9BD5"/>
          <w:sz w:val="20"/>
          <w:szCs w:val="18"/>
        </w:rPr>
        <w:t>22</w:t>
      </w:r>
      <w:r w:rsidRPr="00D94493">
        <w:rPr>
          <w:rFonts w:ascii="Times New Roman" w:eastAsia="Calibri" w:hAnsi="Times New Roman" w:cs="Times New Roman"/>
          <w:b/>
          <w:iCs/>
          <w:color w:val="5B9BD5"/>
          <w:sz w:val="20"/>
          <w:szCs w:val="18"/>
        </w:rPr>
        <w:fldChar w:fldCharType="end"/>
      </w:r>
      <w:r w:rsidRPr="00D94493">
        <w:rPr>
          <w:rFonts w:ascii="Times New Roman" w:eastAsia="Calibri" w:hAnsi="Times New Roman" w:cs="Times New Roman"/>
          <w:b/>
          <w:iCs/>
          <w:color w:val="5B9BD5"/>
          <w:sz w:val="20"/>
          <w:szCs w:val="18"/>
        </w:rPr>
        <w:t xml:space="preserve"> - Vplyv legisl</w:t>
      </w:r>
      <w:r w:rsidR="00FC016A">
        <w:rPr>
          <w:rFonts w:ascii="Times New Roman" w:eastAsia="Calibri" w:hAnsi="Times New Roman" w:cs="Times New Roman"/>
          <w:b/>
          <w:iCs/>
          <w:color w:val="5B9BD5"/>
          <w:sz w:val="20"/>
          <w:szCs w:val="18"/>
        </w:rPr>
        <w:t>atívnych opatrení prijatých</w:t>
      </w:r>
      <w:r w:rsidR="00C87C53">
        <w:rPr>
          <w:rFonts w:ascii="Times New Roman" w:eastAsia="Calibri" w:hAnsi="Times New Roman" w:cs="Times New Roman"/>
          <w:b/>
          <w:iCs/>
          <w:color w:val="5B9BD5"/>
          <w:sz w:val="20"/>
          <w:szCs w:val="18"/>
        </w:rPr>
        <w:t xml:space="preserve"> koncom roka 2023 na príjmy verejnej správy v súvislosti so zlepšením stavu verejných financií</w:t>
      </w:r>
      <w:r w:rsidRPr="00D94493">
        <w:rPr>
          <w:rFonts w:ascii="Times New Roman" w:eastAsia="Calibri" w:hAnsi="Times New Roman" w:cs="Times New Roman"/>
          <w:b/>
          <w:iCs/>
          <w:color w:val="5B9BD5"/>
          <w:sz w:val="20"/>
          <w:szCs w:val="18"/>
        </w:rPr>
        <w:t xml:space="preserve">  (ESA</w:t>
      </w:r>
      <w:r w:rsidR="00C87C53">
        <w:rPr>
          <w:rFonts w:ascii="Times New Roman" w:eastAsia="Calibri" w:hAnsi="Times New Roman" w:cs="Times New Roman"/>
          <w:b/>
          <w:iCs/>
          <w:color w:val="5B9BD5"/>
          <w:sz w:val="20"/>
          <w:szCs w:val="18"/>
        </w:rPr>
        <w:t xml:space="preserve"> </w:t>
      </w:r>
      <w:r w:rsidRPr="00D94493">
        <w:rPr>
          <w:rFonts w:ascii="Times New Roman" w:eastAsia="Calibri" w:hAnsi="Times New Roman" w:cs="Times New Roman"/>
          <w:b/>
          <w:iCs/>
          <w:color w:val="5B9BD5"/>
          <w:sz w:val="20"/>
          <w:szCs w:val="18"/>
        </w:rPr>
        <w:t>2010, v tis. eur)</w:t>
      </w:r>
      <w:bookmarkEnd w:id="90"/>
    </w:p>
    <w:tbl>
      <w:tblPr>
        <w:tblW w:w="5000" w:type="pct"/>
        <w:tblCellMar>
          <w:left w:w="70" w:type="dxa"/>
          <w:right w:w="70" w:type="dxa"/>
        </w:tblCellMar>
        <w:tblLook w:val="04A0" w:firstRow="1" w:lastRow="0" w:firstColumn="1" w:lastColumn="0" w:noHBand="0" w:noVBand="1"/>
      </w:tblPr>
      <w:tblGrid>
        <w:gridCol w:w="4939"/>
        <w:gridCol w:w="1031"/>
        <w:gridCol w:w="1034"/>
        <w:gridCol w:w="1034"/>
        <w:gridCol w:w="1034"/>
      </w:tblGrid>
      <w:tr w:rsidR="00D94493" w:rsidRPr="00D94493" w14:paraId="3F8DB058" w14:textId="77777777" w:rsidTr="00D94493">
        <w:trPr>
          <w:trHeight w:val="264"/>
        </w:trPr>
        <w:tc>
          <w:tcPr>
            <w:tcW w:w="4939" w:type="dxa"/>
            <w:tcBorders>
              <w:top w:val="single" w:sz="4" w:space="0" w:color="auto"/>
              <w:left w:val="nil"/>
              <w:bottom w:val="single" w:sz="4" w:space="0" w:color="auto"/>
              <w:right w:val="nil"/>
            </w:tcBorders>
            <w:shd w:val="clear" w:color="auto" w:fill="auto"/>
            <w:noWrap/>
            <w:vAlign w:val="bottom"/>
            <w:hideMark/>
          </w:tcPr>
          <w:p w14:paraId="59A536AF" w14:textId="77777777" w:rsidR="00D94493" w:rsidRPr="00D94493" w:rsidRDefault="00D94493" w:rsidP="00D94493">
            <w:pPr>
              <w:spacing w:line="240" w:lineRule="auto"/>
              <w:jc w:val="right"/>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 </w:t>
            </w:r>
          </w:p>
        </w:tc>
        <w:tc>
          <w:tcPr>
            <w:tcW w:w="1031" w:type="dxa"/>
            <w:tcBorders>
              <w:top w:val="single" w:sz="4" w:space="0" w:color="auto"/>
              <w:left w:val="nil"/>
              <w:bottom w:val="single" w:sz="4" w:space="0" w:color="auto"/>
              <w:right w:val="nil"/>
            </w:tcBorders>
            <w:shd w:val="clear" w:color="auto" w:fill="auto"/>
            <w:noWrap/>
            <w:vAlign w:val="bottom"/>
            <w:hideMark/>
          </w:tcPr>
          <w:p w14:paraId="322FB4B6" w14:textId="77777777" w:rsidR="00D94493" w:rsidRPr="00D94493" w:rsidRDefault="00D94493" w:rsidP="00D94493">
            <w:pPr>
              <w:spacing w:line="240" w:lineRule="auto"/>
              <w:jc w:val="right"/>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2023</w:t>
            </w:r>
          </w:p>
        </w:tc>
        <w:tc>
          <w:tcPr>
            <w:tcW w:w="1034" w:type="dxa"/>
            <w:tcBorders>
              <w:top w:val="single" w:sz="4" w:space="0" w:color="auto"/>
              <w:left w:val="nil"/>
              <w:bottom w:val="single" w:sz="4" w:space="0" w:color="auto"/>
              <w:right w:val="nil"/>
            </w:tcBorders>
          </w:tcPr>
          <w:p w14:paraId="6B347B7D" w14:textId="77777777" w:rsidR="00D94493" w:rsidRPr="00D94493" w:rsidRDefault="00D94493" w:rsidP="00D94493">
            <w:pPr>
              <w:spacing w:line="240" w:lineRule="auto"/>
              <w:jc w:val="right"/>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2024</w:t>
            </w:r>
          </w:p>
        </w:tc>
        <w:tc>
          <w:tcPr>
            <w:tcW w:w="1034" w:type="dxa"/>
            <w:tcBorders>
              <w:top w:val="single" w:sz="4" w:space="0" w:color="auto"/>
              <w:left w:val="nil"/>
              <w:bottom w:val="single" w:sz="4" w:space="0" w:color="auto"/>
              <w:right w:val="nil"/>
            </w:tcBorders>
            <w:shd w:val="clear" w:color="auto" w:fill="auto"/>
            <w:noWrap/>
            <w:vAlign w:val="bottom"/>
            <w:hideMark/>
          </w:tcPr>
          <w:p w14:paraId="57724E4A" w14:textId="77777777" w:rsidR="00D94493" w:rsidRPr="00D94493" w:rsidRDefault="00D94493" w:rsidP="00D94493">
            <w:pPr>
              <w:spacing w:line="240" w:lineRule="auto"/>
              <w:jc w:val="right"/>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2025</w:t>
            </w:r>
          </w:p>
        </w:tc>
        <w:tc>
          <w:tcPr>
            <w:tcW w:w="1034" w:type="dxa"/>
            <w:tcBorders>
              <w:top w:val="single" w:sz="4" w:space="0" w:color="auto"/>
              <w:left w:val="nil"/>
              <w:bottom w:val="single" w:sz="4" w:space="0" w:color="auto"/>
              <w:right w:val="nil"/>
            </w:tcBorders>
            <w:shd w:val="clear" w:color="auto" w:fill="auto"/>
            <w:noWrap/>
            <w:vAlign w:val="bottom"/>
            <w:hideMark/>
          </w:tcPr>
          <w:p w14:paraId="57324BAA" w14:textId="77777777" w:rsidR="00D94493" w:rsidRPr="00D94493" w:rsidRDefault="00D94493" w:rsidP="00D94493">
            <w:pPr>
              <w:spacing w:line="240" w:lineRule="auto"/>
              <w:jc w:val="right"/>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2026</w:t>
            </w:r>
          </w:p>
        </w:tc>
      </w:tr>
      <w:tr w:rsidR="00D94493" w:rsidRPr="00D94493" w14:paraId="5C6DA681" w14:textId="77777777" w:rsidTr="00D94493">
        <w:trPr>
          <w:trHeight w:val="198"/>
        </w:trPr>
        <w:tc>
          <w:tcPr>
            <w:tcW w:w="4939" w:type="dxa"/>
            <w:tcBorders>
              <w:left w:val="nil"/>
              <w:bottom w:val="nil"/>
              <w:right w:val="nil"/>
            </w:tcBorders>
            <w:shd w:val="clear" w:color="auto" w:fill="auto"/>
            <w:noWrap/>
            <w:vAlign w:val="bottom"/>
          </w:tcPr>
          <w:p w14:paraId="39B2F5EA" w14:textId="77777777" w:rsidR="00D94493" w:rsidRPr="00D94493" w:rsidRDefault="00D94493" w:rsidP="00D94493">
            <w:pPr>
              <w:spacing w:after="120" w:line="240" w:lineRule="auto"/>
              <w:rPr>
                <w:rFonts w:ascii="Times New Roman" w:eastAsia="Calibri" w:hAnsi="Times New Roman" w:cs="Times New Roman"/>
                <w:sz w:val="16"/>
                <w:szCs w:val="16"/>
                <w:lang w:eastAsia="sk-SK"/>
              </w:rPr>
            </w:pPr>
            <w:r w:rsidRPr="00D94493">
              <w:rPr>
                <w:rFonts w:ascii="Times New Roman" w:eastAsia="Calibri" w:hAnsi="Times New Roman" w:cs="Times New Roman"/>
                <w:color w:val="000000"/>
                <w:sz w:val="16"/>
                <w:szCs w:val="16"/>
              </w:rPr>
              <w:t xml:space="preserve">Poplatky za odpad - zákaz skládkovania KO bez </w:t>
            </w:r>
            <w:proofErr w:type="spellStart"/>
            <w:r w:rsidRPr="00D94493">
              <w:rPr>
                <w:rFonts w:ascii="Times New Roman" w:eastAsia="Calibri" w:hAnsi="Times New Roman" w:cs="Times New Roman"/>
                <w:color w:val="000000"/>
                <w:sz w:val="16"/>
                <w:szCs w:val="16"/>
              </w:rPr>
              <w:t>predúpravy</w:t>
            </w:r>
            <w:proofErr w:type="spellEnd"/>
            <w:r w:rsidRPr="00D94493">
              <w:rPr>
                <w:rFonts w:ascii="Times New Roman" w:eastAsia="Calibri" w:hAnsi="Times New Roman" w:cs="Times New Roman"/>
                <w:color w:val="000000"/>
                <w:sz w:val="16"/>
                <w:szCs w:val="16"/>
              </w:rPr>
              <w:t xml:space="preserve"> od r. 2025</w:t>
            </w:r>
          </w:p>
        </w:tc>
        <w:tc>
          <w:tcPr>
            <w:tcW w:w="1031" w:type="dxa"/>
            <w:tcBorders>
              <w:top w:val="nil"/>
              <w:left w:val="nil"/>
              <w:bottom w:val="nil"/>
              <w:right w:val="nil"/>
            </w:tcBorders>
            <w:shd w:val="clear" w:color="auto" w:fill="auto"/>
            <w:noWrap/>
            <w:vAlign w:val="bottom"/>
          </w:tcPr>
          <w:p w14:paraId="2190D299"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0</w:t>
            </w:r>
          </w:p>
        </w:tc>
        <w:tc>
          <w:tcPr>
            <w:tcW w:w="1034" w:type="dxa"/>
            <w:tcBorders>
              <w:top w:val="nil"/>
              <w:left w:val="nil"/>
              <w:bottom w:val="nil"/>
              <w:right w:val="nil"/>
            </w:tcBorders>
            <w:vAlign w:val="bottom"/>
          </w:tcPr>
          <w:p w14:paraId="4BEC0116" w14:textId="77777777" w:rsidR="00D94493" w:rsidRPr="00D94493" w:rsidRDefault="00D94493" w:rsidP="00D94493">
            <w:pPr>
              <w:spacing w:after="120" w:line="240" w:lineRule="auto"/>
              <w:jc w:val="right"/>
              <w:rPr>
                <w:rFonts w:ascii="Times New Roman" w:eastAsia="Calibri" w:hAnsi="Times New Roman" w:cs="Times New Roman"/>
                <w:sz w:val="16"/>
                <w:szCs w:val="16"/>
              </w:rPr>
            </w:pPr>
            <w:r w:rsidRPr="00D94493">
              <w:rPr>
                <w:rFonts w:ascii="Times New Roman" w:eastAsia="Calibri" w:hAnsi="Times New Roman" w:cs="Times New Roman"/>
                <w:color w:val="000000"/>
                <w:sz w:val="16"/>
                <w:szCs w:val="16"/>
              </w:rPr>
              <w:t>15 082</w:t>
            </w:r>
          </w:p>
        </w:tc>
        <w:tc>
          <w:tcPr>
            <w:tcW w:w="1034" w:type="dxa"/>
            <w:tcBorders>
              <w:top w:val="nil"/>
              <w:left w:val="nil"/>
              <w:bottom w:val="nil"/>
              <w:right w:val="nil"/>
            </w:tcBorders>
            <w:shd w:val="clear" w:color="auto" w:fill="auto"/>
            <w:noWrap/>
            <w:vAlign w:val="bottom"/>
          </w:tcPr>
          <w:p w14:paraId="37F28A1A" w14:textId="77777777" w:rsidR="00D94493" w:rsidRPr="00D94493" w:rsidRDefault="00D94493" w:rsidP="00D94493">
            <w:pPr>
              <w:spacing w:after="120" w:line="240" w:lineRule="auto"/>
              <w:jc w:val="right"/>
              <w:rPr>
                <w:rFonts w:ascii="Times New Roman" w:eastAsia="Calibri" w:hAnsi="Times New Roman" w:cs="Times New Roman"/>
                <w:sz w:val="16"/>
                <w:szCs w:val="16"/>
                <w:lang w:eastAsia="sk-SK"/>
              </w:rPr>
            </w:pPr>
            <w:r w:rsidRPr="00D94493">
              <w:rPr>
                <w:rFonts w:ascii="Times New Roman" w:eastAsia="Calibri" w:hAnsi="Times New Roman" w:cs="Times New Roman"/>
                <w:color w:val="000000"/>
                <w:sz w:val="16"/>
                <w:szCs w:val="16"/>
              </w:rPr>
              <w:t>0</w:t>
            </w:r>
          </w:p>
        </w:tc>
        <w:tc>
          <w:tcPr>
            <w:tcW w:w="1034" w:type="dxa"/>
            <w:tcBorders>
              <w:top w:val="nil"/>
              <w:left w:val="nil"/>
              <w:bottom w:val="nil"/>
              <w:right w:val="nil"/>
            </w:tcBorders>
            <w:shd w:val="clear" w:color="auto" w:fill="auto"/>
            <w:noWrap/>
            <w:vAlign w:val="bottom"/>
          </w:tcPr>
          <w:p w14:paraId="6EA8CA81" w14:textId="77777777" w:rsidR="00D94493" w:rsidRPr="00D94493" w:rsidRDefault="00D94493" w:rsidP="00D94493">
            <w:pPr>
              <w:spacing w:after="120" w:line="240" w:lineRule="auto"/>
              <w:jc w:val="right"/>
              <w:rPr>
                <w:rFonts w:ascii="Times New Roman" w:eastAsia="Calibri" w:hAnsi="Times New Roman" w:cs="Times New Roman"/>
                <w:sz w:val="16"/>
                <w:szCs w:val="16"/>
                <w:lang w:eastAsia="sk-SK"/>
              </w:rPr>
            </w:pPr>
            <w:r w:rsidRPr="00D94493">
              <w:rPr>
                <w:rFonts w:ascii="Times New Roman" w:eastAsia="Calibri" w:hAnsi="Times New Roman" w:cs="Times New Roman"/>
                <w:color w:val="000000"/>
                <w:sz w:val="16"/>
                <w:szCs w:val="16"/>
              </w:rPr>
              <w:t>0</w:t>
            </w:r>
          </w:p>
        </w:tc>
      </w:tr>
      <w:tr w:rsidR="00D94493" w:rsidRPr="00D94493" w14:paraId="5597FCFD" w14:textId="77777777" w:rsidTr="00D94493">
        <w:trPr>
          <w:trHeight w:val="198"/>
        </w:trPr>
        <w:tc>
          <w:tcPr>
            <w:tcW w:w="4939" w:type="dxa"/>
            <w:tcBorders>
              <w:top w:val="nil"/>
              <w:left w:val="nil"/>
              <w:bottom w:val="nil"/>
              <w:right w:val="nil"/>
            </w:tcBorders>
            <w:shd w:val="clear" w:color="auto" w:fill="auto"/>
            <w:noWrap/>
            <w:vAlign w:val="bottom"/>
          </w:tcPr>
          <w:p w14:paraId="75999593" w14:textId="77777777" w:rsidR="00D94493" w:rsidRPr="00D94493" w:rsidRDefault="00D94493" w:rsidP="00D94493">
            <w:pPr>
              <w:spacing w:after="120" w:line="240" w:lineRule="auto"/>
              <w:rPr>
                <w:rFonts w:ascii="Times New Roman" w:eastAsia="Calibri" w:hAnsi="Times New Roman" w:cs="Times New Roman"/>
                <w:sz w:val="16"/>
                <w:szCs w:val="16"/>
                <w:lang w:eastAsia="sk-SK"/>
              </w:rPr>
            </w:pPr>
            <w:r w:rsidRPr="00D94493">
              <w:rPr>
                <w:rFonts w:ascii="Times New Roman" w:eastAsia="Calibri" w:hAnsi="Times New Roman" w:cs="Times New Roman"/>
                <w:color w:val="000000"/>
                <w:sz w:val="16"/>
                <w:szCs w:val="16"/>
              </w:rPr>
              <w:t>Rozšírenie osobitného odvodu z podnikania v regulovaných odvetviach (banková daň)</w:t>
            </w:r>
          </w:p>
        </w:tc>
        <w:tc>
          <w:tcPr>
            <w:tcW w:w="1031" w:type="dxa"/>
            <w:tcBorders>
              <w:top w:val="nil"/>
              <w:left w:val="nil"/>
              <w:bottom w:val="nil"/>
              <w:right w:val="nil"/>
            </w:tcBorders>
            <w:shd w:val="clear" w:color="auto" w:fill="auto"/>
            <w:noWrap/>
            <w:vAlign w:val="bottom"/>
          </w:tcPr>
          <w:p w14:paraId="200C2C21"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0</w:t>
            </w:r>
          </w:p>
        </w:tc>
        <w:tc>
          <w:tcPr>
            <w:tcW w:w="1034" w:type="dxa"/>
            <w:tcBorders>
              <w:top w:val="nil"/>
              <w:left w:val="nil"/>
              <w:bottom w:val="nil"/>
              <w:right w:val="nil"/>
            </w:tcBorders>
            <w:vAlign w:val="bottom"/>
          </w:tcPr>
          <w:p w14:paraId="0E05AE0E"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335 829</w:t>
            </w:r>
          </w:p>
        </w:tc>
        <w:tc>
          <w:tcPr>
            <w:tcW w:w="1034" w:type="dxa"/>
            <w:tcBorders>
              <w:top w:val="nil"/>
              <w:left w:val="nil"/>
              <w:bottom w:val="nil"/>
              <w:right w:val="nil"/>
            </w:tcBorders>
            <w:shd w:val="clear" w:color="auto" w:fill="auto"/>
            <w:noWrap/>
            <w:vAlign w:val="bottom"/>
          </w:tcPr>
          <w:p w14:paraId="0AF30E2E"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281 872</w:t>
            </w:r>
          </w:p>
        </w:tc>
        <w:tc>
          <w:tcPr>
            <w:tcW w:w="1034" w:type="dxa"/>
            <w:tcBorders>
              <w:top w:val="nil"/>
              <w:left w:val="nil"/>
              <w:bottom w:val="nil"/>
              <w:right w:val="nil"/>
            </w:tcBorders>
            <w:shd w:val="clear" w:color="auto" w:fill="auto"/>
            <w:noWrap/>
            <w:vAlign w:val="bottom"/>
          </w:tcPr>
          <w:p w14:paraId="2973ABF1"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238 738</w:t>
            </w:r>
          </w:p>
        </w:tc>
      </w:tr>
      <w:tr w:rsidR="00D94493" w:rsidRPr="00D94493" w14:paraId="5D9E6D8A" w14:textId="77777777" w:rsidTr="00D94493">
        <w:trPr>
          <w:trHeight w:val="198"/>
        </w:trPr>
        <w:tc>
          <w:tcPr>
            <w:tcW w:w="4939" w:type="dxa"/>
            <w:tcBorders>
              <w:top w:val="nil"/>
              <w:left w:val="nil"/>
              <w:bottom w:val="nil"/>
              <w:right w:val="nil"/>
            </w:tcBorders>
            <w:shd w:val="clear" w:color="auto" w:fill="auto"/>
            <w:noWrap/>
            <w:vAlign w:val="bottom"/>
          </w:tcPr>
          <w:p w14:paraId="42D157D7" w14:textId="77777777" w:rsidR="00D94493" w:rsidRPr="00D94493" w:rsidRDefault="00D94493" w:rsidP="00D94493">
            <w:pPr>
              <w:spacing w:after="120" w:line="240" w:lineRule="auto"/>
              <w:rPr>
                <w:rFonts w:ascii="Times New Roman" w:eastAsia="Calibri" w:hAnsi="Times New Roman" w:cs="Times New Roman"/>
                <w:sz w:val="16"/>
                <w:szCs w:val="16"/>
                <w:lang w:eastAsia="sk-SK"/>
              </w:rPr>
            </w:pPr>
            <w:r w:rsidRPr="00D94493">
              <w:rPr>
                <w:rFonts w:ascii="Times New Roman" w:eastAsia="Calibri" w:hAnsi="Times New Roman" w:cs="Times New Roman"/>
                <w:color w:val="000000"/>
                <w:sz w:val="16"/>
                <w:szCs w:val="16"/>
              </w:rPr>
              <w:t xml:space="preserve">Úprava zdanenia kapitálových príjmov fyzických osôb </w:t>
            </w:r>
          </w:p>
        </w:tc>
        <w:tc>
          <w:tcPr>
            <w:tcW w:w="1031" w:type="dxa"/>
            <w:tcBorders>
              <w:top w:val="nil"/>
              <w:left w:val="nil"/>
              <w:bottom w:val="nil"/>
              <w:right w:val="nil"/>
            </w:tcBorders>
            <w:shd w:val="clear" w:color="auto" w:fill="auto"/>
            <w:noWrap/>
            <w:vAlign w:val="bottom"/>
          </w:tcPr>
          <w:p w14:paraId="7423BC74"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0</w:t>
            </w:r>
          </w:p>
        </w:tc>
        <w:tc>
          <w:tcPr>
            <w:tcW w:w="1034" w:type="dxa"/>
            <w:tcBorders>
              <w:top w:val="nil"/>
              <w:left w:val="nil"/>
              <w:bottom w:val="nil"/>
              <w:right w:val="nil"/>
            </w:tcBorders>
            <w:vAlign w:val="bottom"/>
          </w:tcPr>
          <w:p w14:paraId="1A0196D1"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24 713</w:t>
            </w:r>
          </w:p>
        </w:tc>
        <w:tc>
          <w:tcPr>
            <w:tcW w:w="1034" w:type="dxa"/>
            <w:tcBorders>
              <w:top w:val="nil"/>
              <w:left w:val="nil"/>
              <w:bottom w:val="nil"/>
              <w:right w:val="nil"/>
            </w:tcBorders>
            <w:shd w:val="clear" w:color="auto" w:fill="auto"/>
            <w:noWrap/>
            <w:vAlign w:val="bottom"/>
          </w:tcPr>
          <w:p w14:paraId="4A03A053"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30 874</w:t>
            </w:r>
          </w:p>
        </w:tc>
        <w:tc>
          <w:tcPr>
            <w:tcW w:w="1034" w:type="dxa"/>
            <w:tcBorders>
              <w:top w:val="nil"/>
              <w:left w:val="nil"/>
              <w:bottom w:val="nil"/>
              <w:right w:val="nil"/>
            </w:tcBorders>
            <w:shd w:val="clear" w:color="auto" w:fill="auto"/>
            <w:noWrap/>
            <w:vAlign w:val="bottom"/>
          </w:tcPr>
          <w:p w14:paraId="082A662C"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31 688</w:t>
            </w:r>
          </w:p>
        </w:tc>
      </w:tr>
      <w:tr w:rsidR="00D94493" w:rsidRPr="00D94493" w14:paraId="5500CE2A" w14:textId="77777777" w:rsidTr="00D94493">
        <w:trPr>
          <w:trHeight w:val="198"/>
        </w:trPr>
        <w:tc>
          <w:tcPr>
            <w:tcW w:w="4939" w:type="dxa"/>
            <w:tcBorders>
              <w:top w:val="nil"/>
              <w:left w:val="nil"/>
              <w:bottom w:val="nil"/>
              <w:right w:val="nil"/>
            </w:tcBorders>
            <w:shd w:val="clear" w:color="auto" w:fill="auto"/>
            <w:noWrap/>
            <w:vAlign w:val="bottom"/>
          </w:tcPr>
          <w:p w14:paraId="21DD32E2" w14:textId="77777777" w:rsidR="00D94493" w:rsidRPr="00D94493" w:rsidRDefault="00D94493" w:rsidP="00D94493">
            <w:pPr>
              <w:spacing w:after="120" w:line="240" w:lineRule="auto"/>
              <w:rPr>
                <w:rFonts w:ascii="Times New Roman" w:eastAsia="Calibri" w:hAnsi="Times New Roman" w:cs="Times New Roman"/>
                <w:sz w:val="16"/>
                <w:szCs w:val="16"/>
                <w:lang w:eastAsia="sk-SK"/>
              </w:rPr>
            </w:pPr>
            <w:r w:rsidRPr="00D94493">
              <w:rPr>
                <w:rFonts w:ascii="Times New Roman" w:eastAsia="Calibri" w:hAnsi="Times New Roman" w:cs="Times New Roman"/>
                <w:color w:val="000000"/>
                <w:sz w:val="16"/>
                <w:szCs w:val="16"/>
              </w:rPr>
              <w:t>Zúženie rozsahu zníženej sadzby DPH na alkohol v stravovacích a reštauračných službách</w:t>
            </w:r>
          </w:p>
        </w:tc>
        <w:tc>
          <w:tcPr>
            <w:tcW w:w="1031" w:type="dxa"/>
            <w:tcBorders>
              <w:top w:val="nil"/>
              <w:left w:val="nil"/>
              <w:bottom w:val="nil"/>
              <w:right w:val="nil"/>
            </w:tcBorders>
            <w:shd w:val="clear" w:color="auto" w:fill="auto"/>
            <w:noWrap/>
            <w:vAlign w:val="bottom"/>
          </w:tcPr>
          <w:p w14:paraId="3DF5C338"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0</w:t>
            </w:r>
          </w:p>
        </w:tc>
        <w:tc>
          <w:tcPr>
            <w:tcW w:w="1034" w:type="dxa"/>
            <w:tcBorders>
              <w:top w:val="nil"/>
              <w:left w:val="nil"/>
              <w:bottom w:val="nil"/>
              <w:right w:val="nil"/>
            </w:tcBorders>
            <w:vAlign w:val="bottom"/>
          </w:tcPr>
          <w:p w14:paraId="184F2140"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27 380</w:t>
            </w:r>
          </w:p>
        </w:tc>
        <w:tc>
          <w:tcPr>
            <w:tcW w:w="1034" w:type="dxa"/>
            <w:tcBorders>
              <w:top w:val="nil"/>
              <w:left w:val="nil"/>
              <w:bottom w:val="nil"/>
              <w:right w:val="nil"/>
            </w:tcBorders>
            <w:shd w:val="clear" w:color="auto" w:fill="auto"/>
            <w:noWrap/>
            <w:vAlign w:val="bottom"/>
          </w:tcPr>
          <w:p w14:paraId="2EBB48ED"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28 806</w:t>
            </w:r>
          </w:p>
        </w:tc>
        <w:tc>
          <w:tcPr>
            <w:tcW w:w="1034" w:type="dxa"/>
            <w:tcBorders>
              <w:top w:val="nil"/>
              <w:left w:val="nil"/>
              <w:bottom w:val="nil"/>
              <w:right w:val="nil"/>
            </w:tcBorders>
            <w:shd w:val="clear" w:color="auto" w:fill="auto"/>
            <w:noWrap/>
            <w:vAlign w:val="bottom"/>
          </w:tcPr>
          <w:p w14:paraId="61E97A2C"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30 123</w:t>
            </w:r>
          </w:p>
        </w:tc>
      </w:tr>
      <w:tr w:rsidR="00D94493" w:rsidRPr="00D94493" w14:paraId="51D02D2A" w14:textId="77777777" w:rsidTr="00D94493">
        <w:trPr>
          <w:trHeight w:val="198"/>
        </w:trPr>
        <w:tc>
          <w:tcPr>
            <w:tcW w:w="4939" w:type="dxa"/>
            <w:tcBorders>
              <w:top w:val="nil"/>
              <w:left w:val="nil"/>
              <w:bottom w:val="nil"/>
              <w:right w:val="nil"/>
            </w:tcBorders>
            <w:shd w:val="clear" w:color="auto" w:fill="auto"/>
            <w:noWrap/>
            <w:vAlign w:val="bottom"/>
          </w:tcPr>
          <w:p w14:paraId="1AF1F57B" w14:textId="77777777" w:rsidR="00D94493" w:rsidRPr="00D94493" w:rsidRDefault="00D94493" w:rsidP="00D94493">
            <w:pPr>
              <w:spacing w:after="120" w:line="240" w:lineRule="auto"/>
              <w:rPr>
                <w:rFonts w:ascii="Times New Roman" w:eastAsia="Calibri" w:hAnsi="Times New Roman" w:cs="Times New Roman"/>
                <w:sz w:val="16"/>
                <w:szCs w:val="16"/>
                <w:lang w:eastAsia="sk-SK"/>
              </w:rPr>
            </w:pPr>
            <w:r w:rsidRPr="00D94493">
              <w:rPr>
                <w:rFonts w:ascii="Times New Roman" w:eastAsia="Calibri" w:hAnsi="Times New Roman" w:cs="Times New Roman"/>
                <w:color w:val="000000"/>
                <w:sz w:val="16"/>
                <w:szCs w:val="16"/>
              </w:rPr>
              <w:t>Zvýšenie sadzby zrážkovej dane z dividend na 10 %</w:t>
            </w:r>
          </w:p>
        </w:tc>
        <w:tc>
          <w:tcPr>
            <w:tcW w:w="1031" w:type="dxa"/>
            <w:tcBorders>
              <w:top w:val="nil"/>
              <w:left w:val="nil"/>
              <w:bottom w:val="nil"/>
              <w:right w:val="nil"/>
            </w:tcBorders>
            <w:shd w:val="clear" w:color="auto" w:fill="auto"/>
            <w:noWrap/>
            <w:vAlign w:val="bottom"/>
          </w:tcPr>
          <w:p w14:paraId="4F632974"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0</w:t>
            </w:r>
          </w:p>
        </w:tc>
        <w:tc>
          <w:tcPr>
            <w:tcW w:w="1034" w:type="dxa"/>
            <w:tcBorders>
              <w:top w:val="nil"/>
              <w:left w:val="nil"/>
              <w:bottom w:val="nil"/>
              <w:right w:val="nil"/>
            </w:tcBorders>
            <w:vAlign w:val="bottom"/>
          </w:tcPr>
          <w:p w14:paraId="2A3A22B4"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5 363</w:t>
            </w:r>
          </w:p>
        </w:tc>
        <w:tc>
          <w:tcPr>
            <w:tcW w:w="1034" w:type="dxa"/>
            <w:tcBorders>
              <w:top w:val="nil"/>
              <w:left w:val="nil"/>
              <w:bottom w:val="nil"/>
              <w:right w:val="nil"/>
            </w:tcBorders>
            <w:shd w:val="clear" w:color="auto" w:fill="auto"/>
            <w:noWrap/>
            <w:vAlign w:val="bottom"/>
          </w:tcPr>
          <w:p w14:paraId="13522BE2"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9 900</w:t>
            </w:r>
          </w:p>
        </w:tc>
        <w:tc>
          <w:tcPr>
            <w:tcW w:w="1034" w:type="dxa"/>
            <w:tcBorders>
              <w:top w:val="nil"/>
              <w:left w:val="nil"/>
              <w:bottom w:val="nil"/>
              <w:right w:val="nil"/>
            </w:tcBorders>
            <w:shd w:val="clear" w:color="auto" w:fill="auto"/>
            <w:noWrap/>
            <w:vAlign w:val="bottom"/>
          </w:tcPr>
          <w:p w14:paraId="526A446F"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15 263</w:t>
            </w:r>
          </w:p>
        </w:tc>
      </w:tr>
      <w:tr w:rsidR="00D94493" w:rsidRPr="00D94493" w14:paraId="12DDD62C" w14:textId="77777777" w:rsidTr="00D94493">
        <w:trPr>
          <w:trHeight w:val="198"/>
        </w:trPr>
        <w:tc>
          <w:tcPr>
            <w:tcW w:w="4939" w:type="dxa"/>
            <w:tcBorders>
              <w:top w:val="nil"/>
              <w:left w:val="nil"/>
              <w:bottom w:val="nil"/>
              <w:right w:val="nil"/>
            </w:tcBorders>
            <w:shd w:val="clear" w:color="auto" w:fill="auto"/>
            <w:noWrap/>
            <w:vAlign w:val="bottom"/>
          </w:tcPr>
          <w:p w14:paraId="3A61921A" w14:textId="77777777" w:rsidR="00D94493" w:rsidRPr="00D94493" w:rsidRDefault="00D94493" w:rsidP="00D94493">
            <w:pPr>
              <w:spacing w:after="120" w:line="240" w:lineRule="auto"/>
              <w:rPr>
                <w:rFonts w:ascii="Times New Roman" w:eastAsia="Calibri" w:hAnsi="Times New Roman" w:cs="Times New Roman"/>
                <w:sz w:val="16"/>
                <w:szCs w:val="16"/>
                <w:lang w:eastAsia="sk-SK"/>
              </w:rPr>
            </w:pPr>
            <w:proofErr w:type="spellStart"/>
            <w:r w:rsidRPr="00D94493">
              <w:rPr>
                <w:rFonts w:ascii="Times New Roman" w:eastAsia="Calibri" w:hAnsi="Times New Roman" w:cs="Times New Roman"/>
                <w:color w:val="000000"/>
                <w:sz w:val="16"/>
                <w:szCs w:val="16"/>
              </w:rPr>
              <w:t>Refix</w:t>
            </w:r>
            <w:proofErr w:type="spellEnd"/>
            <w:r w:rsidRPr="00D94493">
              <w:rPr>
                <w:rFonts w:ascii="Times New Roman" w:eastAsia="Calibri" w:hAnsi="Times New Roman" w:cs="Times New Roman"/>
                <w:color w:val="000000"/>
                <w:sz w:val="16"/>
                <w:szCs w:val="16"/>
              </w:rPr>
              <w:t xml:space="preserve"> hypoték a úprava daňového bonusu na hypotéky (vplyv na výdavky)</w:t>
            </w:r>
          </w:p>
        </w:tc>
        <w:tc>
          <w:tcPr>
            <w:tcW w:w="1031" w:type="dxa"/>
            <w:tcBorders>
              <w:top w:val="nil"/>
              <w:left w:val="nil"/>
              <w:bottom w:val="nil"/>
              <w:right w:val="nil"/>
            </w:tcBorders>
            <w:shd w:val="clear" w:color="auto" w:fill="auto"/>
            <w:noWrap/>
            <w:vAlign w:val="bottom"/>
          </w:tcPr>
          <w:p w14:paraId="4C2ED439"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0</w:t>
            </w:r>
          </w:p>
        </w:tc>
        <w:tc>
          <w:tcPr>
            <w:tcW w:w="1034" w:type="dxa"/>
            <w:tcBorders>
              <w:top w:val="nil"/>
              <w:left w:val="nil"/>
              <w:bottom w:val="nil"/>
              <w:right w:val="nil"/>
            </w:tcBorders>
            <w:vAlign w:val="bottom"/>
          </w:tcPr>
          <w:p w14:paraId="3B90744F"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0</w:t>
            </w:r>
          </w:p>
        </w:tc>
        <w:tc>
          <w:tcPr>
            <w:tcW w:w="1034" w:type="dxa"/>
            <w:tcBorders>
              <w:top w:val="nil"/>
              <w:left w:val="nil"/>
              <w:bottom w:val="nil"/>
              <w:right w:val="nil"/>
            </w:tcBorders>
            <w:shd w:val="clear" w:color="auto" w:fill="auto"/>
            <w:noWrap/>
            <w:vAlign w:val="bottom"/>
          </w:tcPr>
          <w:p w14:paraId="2FCAE03A"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0</w:t>
            </w:r>
          </w:p>
        </w:tc>
        <w:tc>
          <w:tcPr>
            <w:tcW w:w="1034" w:type="dxa"/>
            <w:tcBorders>
              <w:top w:val="nil"/>
              <w:left w:val="nil"/>
              <w:bottom w:val="nil"/>
              <w:right w:val="nil"/>
            </w:tcBorders>
            <w:shd w:val="clear" w:color="auto" w:fill="auto"/>
            <w:noWrap/>
            <w:vAlign w:val="bottom"/>
          </w:tcPr>
          <w:p w14:paraId="1508EFA2"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0</w:t>
            </w:r>
          </w:p>
        </w:tc>
      </w:tr>
      <w:tr w:rsidR="00D94493" w:rsidRPr="00D94493" w14:paraId="1284E7AD" w14:textId="77777777" w:rsidTr="00D94493">
        <w:trPr>
          <w:trHeight w:val="198"/>
        </w:trPr>
        <w:tc>
          <w:tcPr>
            <w:tcW w:w="4939" w:type="dxa"/>
            <w:tcBorders>
              <w:top w:val="nil"/>
              <w:left w:val="nil"/>
              <w:bottom w:val="nil"/>
              <w:right w:val="nil"/>
            </w:tcBorders>
            <w:shd w:val="clear" w:color="auto" w:fill="auto"/>
            <w:noWrap/>
            <w:vAlign w:val="bottom"/>
          </w:tcPr>
          <w:p w14:paraId="636E11ED" w14:textId="77777777" w:rsidR="00D94493" w:rsidRPr="00D94493" w:rsidRDefault="00D94493" w:rsidP="00D94493">
            <w:pPr>
              <w:spacing w:after="120" w:line="240" w:lineRule="auto"/>
              <w:rPr>
                <w:rFonts w:ascii="Times New Roman" w:eastAsia="Calibri" w:hAnsi="Times New Roman" w:cs="Times New Roman"/>
                <w:sz w:val="16"/>
                <w:szCs w:val="16"/>
                <w:lang w:eastAsia="sk-SK"/>
              </w:rPr>
            </w:pPr>
            <w:r w:rsidRPr="00D94493">
              <w:rPr>
                <w:rFonts w:ascii="Times New Roman" w:eastAsia="Calibri" w:hAnsi="Times New Roman" w:cs="Times New Roman"/>
                <w:color w:val="000000"/>
                <w:sz w:val="16"/>
                <w:szCs w:val="16"/>
              </w:rPr>
              <w:t>Zavedenie minimálnej dane z príjmov právnických osôb</w:t>
            </w:r>
          </w:p>
        </w:tc>
        <w:tc>
          <w:tcPr>
            <w:tcW w:w="1031" w:type="dxa"/>
            <w:tcBorders>
              <w:top w:val="nil"/>
              <w:left w:val="nil"/>
              <w:bottom w:val="nil"/>
              <w:right w:val="nil"/>
            </w:tcBorders>
            <w:shd w:val="clear" w:color="auto" w:fill="auto"/>
            <w:noWrap/>
            <w:vAlign w:val="bottom"/>
          </w:tcPr>
          <w:p w14:paraId="10B296EE"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0</w:t>
            </w:r>
          </w:p>
        </w:tc>
        <w:tc>
          <w:tcPr>
            <w:tcW w:w="1034" w:type="dxa"/>
            <w:tcBorders>
              <w:top w:val="nil"/>
              <w:left w:val="nil"/>
              <w:bottom w:val="nil"/>
              <w:right w:val="nil"/>
            </w:tcBorders>
            <w:vAlign w:val="bottom"/>
          </w:tcPr>
          <w:p w14:paraId="2E54D62B"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123 000</w:t>
            </w:r>
          </w:p>
        </w:tc>
        <w:tc>
          <w:tcPr>
            <w:tcW w:w="1034" w:type="dxa"/>
            <w:tcBorders>
              <w:top w:val="nil"/>
              <w:left w:val="nil"/>
              <w:bottom w:val="nil"/>
              <w:right w:val="nil"/>
            </w:tcBorders>
            <w:shd w:val="clear" w:color="auto" w:fill="auto"/>
            <w:noWrap/>
            <w:vAlign w:val="bottom"/>
          </w:tcPr>
          <w:p w14:paraId="07A901D2"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107 000</w:t>
            </w:r>
          </w:p>
        </w:tc>
        <w:tc>
          <w:tcPr>
            <w:tcW w:w="1034" w:type="dxa"/>
            <w:tcBorders>
              <w:top w:val="nil"/>
              <w:left w:val="nil"/>
              <w:bottom w:val="nil"/>
              <w:right w:val="nil"/>
            </w:tcBorders>
            <w:shd w:val="clear" w:color="auto" w:fill="auto"/>
            <w:noWrap/>
            <w:vAlign w:val="bottom"/>
          </w:tcPr>
          <w:p w14:paraId="79B792BA"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107 000</w:t>
            </w:r>
          </w:p>
        </w:tc>
      </w:tr>
      <w:tr w:rsidR="00D94493" w:rsidRPr="00D94493" w14:paraId="06BDFB2B" w14:textId="77777777" w:rsidTr="00D94493">
        <w:trPr>
          <w:trHeight w:val="198"/>
        </w:trPr>
        <w:tc>
          <w:tcPr>
            <w:tcW w:w="4939" w:type="dxa"/>
            <w:tcBorders>
              <w:top w:val="nil"/>
              <w:left w:val="nil"/>
              <w:bottom w:val="nil"/>
              <w:right w:val="nil"/>
            </w:tcBorders>
            <w:shd w:val="clear" w:color="auto" w:fill="auto"/>
            <w:noWrap/>
            <w:vAlign w:val="bottom"/>
          </w:tcPr>
          <w:p w14:paraId="0FB8A64D" w14:textId="77777777" w:rsidR="00D94493" w:rsidRPr="00D94493" w:rsidRDefault="00D94493" w:rsidP="00D94493">
            <w:pPr>
              <w:spacing w:after="120" w:line="240" w:lineRule="auto"/>
              <w:rPr>
                <w:rFonts w:ascii="Times New Roman" w:eastAsia="Calibri" w:hAnsi="Times New Roman" w:cs="Times New Roman"/>
                <w:sz w:val="16"/>
                <w:szCs w:val="16"/>
                <w:lang w:eastAsia="sk-SK"/>
              </w:rPr>
            </w:pPr>
            <w:r w:rsidRPr="00D94493">
              <w:rPr>
                <w:rFonts w:ascii="Times New Roman" w:eastAsia="Calibri" w:hAnsi="Times New Roman" w:cs="Times New Roman"/>
                <w:color w:val="000000"/>
                <w:sz w:val="16"/>
                <w:szCs w:val="16"/>
              </w:rPr>
              <w:t xml:space="preserve">Zmena hranice príjmu </w:t>
            </w:r>
            <w:proofErr w:type="spellStart"/>
            <w:r w:rsidRPr="00D94493">
              <w:rPr>
                <w:rFonts w:ascii="Times New Roman" w:eastAsia="Calibri" w:hAnsi="Times New Roman" w:cs="Times New Roman"/>
                <w:color w:val="000000"/>
                <w:sz w:val="16"/>
                <w:szCs w:val="16"/>
              </w:rPr>
              <w:t>mikrodaňovníkov</w:t>
            </w:r>
            <w:proofErr w:type="spellEnd"/>
            <w:r w:rsidRPr="00D94493">
              <w:rPr>
                <w:rFonts w:ascii="Times New Roman" w:eastAsia="Calibri" w:hAnsi="Times New Roman" w:cs="Times New Roman"/>
                <w:color w:val="000000"/>
                <w:sz w:val="16"/>
                <w:szCs w:val="16"/>
              </w:rPr>
              <w:t xml:space="preserve"> na 60 tis.</w:t>
            </w:r>
          </w:p>
        </w:tc>
        <w:tc>
          <w:tcPr>
            <w:tcW w:w="1031" w:type="dxa"/>
            <w:tcBorders>
              <w:top w:val="nil"/>
              <w:left w:val="nil"/>
              <w:bottom w:val="nil"/>
              <w:right w:val="nil"/>
            </w:tcBorders>
            <w:shd w:val="clear" w:color="auto" w:fill="auto"/>
            <w:noWrap/>
            <w:vAlign w:val="bottom"/>
          </w:tcPr>
          <w:p w14:paraId="39D09244"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0</w:t>
            </w:r>
          </w:p>
        </w:tc>
        <w:tc>
          <w:tcPr>
            <w:tcW w:w="1034" w:type="dxa"/>
            <w:tcBorders>
              <w:top w:val="nil"/>
              <w:left w:val="nil"/>
              <w:bottom w:val="nil"/>
              <w:right w:val="nil"/>
            </w:tcBorders>
            <w:vAlign w:val="bottom"/>
          </w:tcPr>
          <w:p w14:paraId="118820AF"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-5 092</w:t>
            </w:r>
          </w:p>
        </w:tc>
        <w:tc>
          <w:tcPr>
            <w:tcW w:w="1034" w:type="dxa"/>
            <w:tcBorders>
              <w:top w:val="nil"/>
              <w:left w:val="nil"/>
              <w:bottom w:val="nil"/>
              <w:right w:val="nil"/>
            </w:tcBorders>
            <w:shd w:val="clear" w:color="auto" w:fill="auto"/>
            <w:noWrap/>
            <w:vAlign w:val="bottom"/>
          </w:tcPr>
          <w:p w14:paraId="2E5A9538"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-5 332</w:t>
            </w:r>
          </w:p>
        </w:tc>
        <w:tc>
          <w:tcPr>
            <w:tcW w:w="1034" w:type="dxa"/>
            <w:tcBorders>
              <w:top w:val="nil"/>
              <w:left w:val="nil"/>
              <w:bottom w:val="nil"/>
              <w:right w:val="nil"/>
            </w:tcBorders>
            <w:shd w:val="clear" w:color="auto" w:fill="auto"/>
            <w:noWrap/>
            <w:vAlign w:val="bottom"/>
          </w:tcPr>
          <w:p w14:paraId="641B4F4C"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-5 575</w:t>
            </w:r>
          </w:p>
        </w:tc>
      </w:tr>
      <w:tr w:rsidR="00D94493" w:rsidRPr="00D94493" w14:paraId="7813498F" w14:textId="77777777" w:rsidTr="00D94493">
        <w:trPr>
          <w:trHeight w:val="198"/>
        </w:trPr>
        <w:tc>
          <w:tcPr>
            <w:tcW w:w="4939" w:type="dxa"/>
            <w:tcBorders>
              <w:top w:val="nil"/>
              <w:left w:val="nil"/>
              <w:bottom w:val="nil"/>
              <w:right w:val="nil"/>
            </w:tcBorders>
            <w:shd w:val="clear" w:color="auto" w:fill="auto"/>
            <w:noWrap/>
            <w:vAlign w:val="bottom"/>
          </w:tcPr>
          <w:p w14:paraId="41594AF5" w14:textId="77777777" w:rsidR="00D94493" w:rsidRPr="00D94493" w:rsidRDefault="00D94493" w:rsidP="00D94493">
            <w:pPr>
              <w:spacing w:after="120" w:line="240" w:lineRule="auto"/>
              <w:rPr>
                <w:rFonts w:ascii="Times New Roman" w:eastAsia="Calibri" w:hAnsi="Times New Roman" w:cs="Times New Roman"/>
                <w:sz w:val="16"/>
                <w:szCs w:val="16"/>
                <w:lang w:eastAsia="sk-SK"/>
              </w:rPr>
            </w:pPr>
            <w:r w:rsidRPr="00D94493">
              <w:rPr>
                <w:rFonts w:ascii="Times New Roman" w:eastAsia="Calibri" w:hAnsi="Times New Roman" w:cs="Times New Roman"/>
                <w:color w:val="000000"/>
                <w:sz w:val="16"/>
                <w:szCs w:val="16"/>
              </w:rPr>
              <w:t>Zvýšenie sadzieb spotrebnej dane z tabakových výrobkov - od 1.2.2024</w:t>
            </w:r>
          </w:p>
        </w:tc>
        <w:tc>
          <w:tcPr>
            <w:tcW w:w="1031" w:type="dxa"/>
            <w:tcBorders>
              <w:top w:val="nil"/>
              <w:left w:val="nil"/>
              <w:bottom w:val="nil"/>
              <w:right w:val="nil"/>
            </w:tcBorders>
            <w:shd w:val="clear" w:color="auto" w:fill="auto"/>
            <w:noWrap/>
            <w:vAlign w:val="bottom"/>
          </w:tcPr>
          <w:p w14:paraId="199D6489"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0</w:t>
            </w:r>
          </w:p>
        </w:tc>
        <w:tc>
          <w:tcPr>
            <w:tcW w:w="1034" w:type="dxa"/>
            <w:tcBorders>
              <w:top w:val="nil"/>
              <w:left w:val="nil"/>
              <w:bottom w:val="nil"/>
              <w:right w:val="nil"/>
            </w:tcBorders>
            <w:vAlign w:val="bottom"/>
          </w:tcPr>
          <w:p w14:paraId="462692D7"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107 495</w:t>
            </w:r>
          </w:p>
        </w:tc>
        <w:tc>
          <w:tcPr>
            <w:tcW w:w="1034" w:type="dxa"/>
            <w:tcBorders>
              <w:top w:val="nil"/>
              <w:left w:val="nil"/>
              <w:bottom w:val="nil"/>
              <w:right w:val="nil"/>
            </w:tcBorders>
            <w:shd w:val="clear" w:color="auto" w:fill="auto"/>
            <w:noWrap/>
            <w:vAlign w:val="bottom"/>
          </w:tcPr>
          <w:p w14:paraId="50DC2F5A"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152 966</w:t>
            </w:r>
          </w:p>
        </w:tc>
        <w:tc>
          <w:tcPr>
            <w:tcW w:w="1034" w:type="dxa"/>
            <w:tcBorders>
              <w:top w:val="nil"/>
              <w:left w:val="nil"/>
              <w:bottom w:val="nil"/>
              <w:right w:val="nil"/>
            </w:tcBorders>
            <w:shd w:val="clear" w:color="auto" w:fill="auto"/>
            <w:noWrap/>
            <w:vAlign w:val="bottom"/>
          </w:tcPr>
          <w:p w14:paraId="2A116318"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262 993</w:t>
            </w:r>
          </w:p>
        </w:tc>
      </w:tr>
      <w:tr w:rsidR="00D94493" w:rsidRPr="00D94493" w14:paraId="31CBDCA1" w14:textId="77777777" w:rsidTr="00D94493">
        <w:trPr>
          <w:trHeight w:val="198"/>
        </w:trPr>
        <w:tc>
          <w:tcPr>
            <w:tcW w:w="4939" w:type="dxa"/>
            <w:tcBorders>
              <w:top w:val="nil"/>
              <w:left w:val="nil"/>
              <w:bottom w:val="nil"/>
              <w:right w:val="nil"/>
            </w:tcBorders>
            <w:shd w:val="clear" w:color="auto" w:fill="auto"/>
            <w:noWrap/>
            <w:vAlign w:val="bottom"/>
          </w:tcPr>
          <w:p w14:paraId="16F9FBD9" w14:textId="77777777" w:rsidR="00D94493" w:rsidRPr="00D94493" w:rsidRDefault="00D94493" w:rsidP="00D94493">
            <w:pPr>
              <w:spacing w:after="120" w:line="240" w:lineRule="auto"/>
              <w:rPr>
                <w:rFonts w:ascii="Times New Roman" w:eastAsia="Calibri" w:hAnsi="Times New Roman" w:cs="Times New Roman"/>
                <w:sz w:val="16"/>
                <w:szCs w:val="16"/>
                <w:lang w:eastAsia="sk-SK"/>
              </w:rPr>
            </w:pPr>
            <w:r w:rsidRPr="00D94493">
              <w:rPr>
                <w:rFonts w:ascii="Times New Roman" w:eastAsia="Calibri" w:hAnsi="Times New Roman" w:cs="Times New Roman"/>
                <w:color w:val="000000"/>
                <w:sz w:val="16"/>
                <w:szCs w:val="16"/>
              </w:rPr>
              <w:t xml:space="preserve">Predĺženie solidárneho príspevku z činností v </w:t>
            </w:r>
            <w:r w:rsidR="00C87C53">
              <w:rPr>
                <w:rFonts w:ascii="Times New Roman" w:eastAsia="Calibri" w:hAnsi="Times New Roman" w:cs="Times New Roman"/>
                <w:color w:val="000000"/>
                <w:sz w:val="16"/>
                <w:szCs w:val="16"/>
              </w:rPr>
              <w:t xml:space="preserve">odvetviach ropy na rok 2024 </w:t>
            </w:r>
          </w:p>
        </w:tc>
        <w:tc>
          <w:tcPr>
            <w:tcW w:w="1031" w:type="dxa"/>
            <w:tcBorders>
              <w:top w:val="nil"/>
              <w:left w:val="nil"/>
              <w:bottom w:val="nil"/>
              <w:right w:val="nil"/>
            </w:tcBorders>
            <w:shd w:val="clear" w:color="auto" w:fill="auto"/>
            <w:noWrap/>
            <w:vAlign w:val="bottom"/>
          </w:tcPr>
          <w:p w14:paraId="0F3F61EB"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0</w:t>
            </w:r>
          </w:p>
        </w:tc>
        <w:tc>
          <w:tcPr>
            <w:tcW w:w="1034" w:type="dxa"/>
            <w:tcBorders>
              <w:top w:val="nil"/>
              <w:left w:val="nil"/>
              <w:bottom w:val="nil"/>
              <w:right w:val="nil"/>
            </w:tcBorders>
            <w:vAlign w:val="bottom"/>
          </w:tcPr>
          <w:p w14:paraId="0D9C1CB0"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179 800</w:t>
            </w:r>
          </w:p>
        </w:tc>
        <w:tc>
          <w:tcPr>
            <w:tcW w:w="1034" w:type="dxa"/>
            <w:tcBorders>
              <w:top w:val="nil"/>
              <w:left w:val="nil"/>
              <w:bottom w:val="nil"/>
              <w:right w:val="nil"/>
            </w:tcBorders>
            <w:shd w:val="clear" w:color="auto" w:fill="auto"/>
            <w:noWrap/>
            <w:vAlign w:val="bottom"/>
          </w:tcPr>
          <w:p w14:paraId="390534C6"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0</w:t>
            </w:r>
          </w:p>
        </w:tc>
        <w:tc>
          <w:tcPr>
            <w:tcW w:w="1034" w:type="dxa"/>
            <w:tcBorders>
              <w:top w:val="nil"/>
              <w:left w:val="nil"/>
              <w:bottom w:val="nil"/>
              <w:right w:val="nil"/>
            </w:tcBorders>
            <w:shd w:val="clear" w:color="auto" w:fill="auto"/>
            <w:noWrap/>
            <w:vAlign w:val="bottom"/>
          </w:tcPr>
          <w:p w14:paraId="17C6698C"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0</w:t>
            </w:r>
          </w:p>
        </w:tc>
      </w:tr>
      <w:tr w:rsidR="00D94493" w:rsidRPr="00D94493" w14:paraId="1977EF01" w14:textId="77777777" w:rsidTr="00D94493">
        <w:trPr>
          <w:trHeight w:val="198"/>
        </w:trPr>
        <w:tc>
          <w:tcPr>
            <w:tcW w:w="4939" w:type="dxa"/>
            <w:tcBorders>
              <w:top w:val="nil"/>
              <w:left w:val="nil"/>
              <w:bottom w:val="nil"/>
              <w:right w:val="nil"/>
            </w:tcBorders>
            <w:shd w:val="clear" w:color="auto" w:fill="auto"/>
            <w:noWrap/>
            <w:vAlign w:val="bottom"/>
          </w:tcPr>
          <w:p w14:paraId="74DBCBE0" w14:textId="77777777" w:rsidR="00D94493" w:rsidRPr="00D94493" w:rsidRDefault="00D94493" w:rsidP="00D94493">
            <w:pPr>
              <w:spacing w:after="120" w:line="240" w:lineRule="auto"/>
              <w:rPr>
                <w:rFonts w:ascii="Times New Roman" w:eastAsia="Calibri" w:hAnsi="Times New Roman" w:cs="Times New Roman"/>
                <w:sz w:val="16"/>
                <w:szCs w:val="16"/>
                <w:lang w:eastAsia="sk-SK"/>
              </w:rPr>
            </w:pPr>
            <w:r w:rsidRPr="00D94493">
              <w:rPr>
                <w:rFonts w:ascii="Times New Roman" w:eastAsia="Calibri" w:hAnsi="Times New Roman" w:cs="Times New Roman"/>
                <w:color w:val="000000"/>
                <w:sz w:val="16"/>
                <w:szCs w:val="16"/>
              </w:rPr>
              <w:t xml:space="preserve">Zákon o </w:t>
            </w:r>
            <w:proofErr w:type="spellStart"/>
            <w:r w:rsidRPr="00D94493">
              <w:rPr>
                <w:rFonts w:ascii="Times New Roman" w:eastAsia="Calibri" w:hAnsi="Times New Roman" w:cs="Times New Roman"/>
                <w:color w:val="000000"/>
                <w:sz w:val="16"/>
                <w:szCs w:val="16"/>
              </w:rPr>
              <w:t>dorovnávacej</w:t>
            </w:r>
            <w:proofErr w:type="spellEnd"/>
            <w:r w:rsidRPr="00D94493">
              <w:rPr>
                <w:rFonts w:ascii="Times New Roman" w:eastAsia="Calibri" w:hAnsi="Times New Roman" w:cs="Times New Roman"/>
                <w:color w:val="000000"/>
                <w:sz w:val="16"/>
                <w:szCs w:val="16"/>
              </w:rPr>
              <w:t xml:space="preserve"> dani </w:t>
            </w:r>
          </w:p>
        </w:tc>
        <w:tc>
          <w:tcPr>
            <w:tcW w:w="1031" w:type="dxa"/>
            <w:tcBorders>
              <w:top w:val="nil"/>
              <w:left w:val="nil"/>
              <w:bottom w:val="nil"/>
              <w:right w:val="nil"/>
            </w:tcBorders>
            <w:shd w:val="clear" w:color="auto" w:fill="auto"/>
            <w:noWrap/>
            <w:vAlign w:val="bottom"/>
          </w:tcPr>
          <w:p w14:paraId="2F2943D7"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0</w:t>
            </w:r>
          </w:p>
        </w:tc>
        <w:tc>
          <w:tcPr>
            <w:tcW w:w="1034" w:type="dxa"/>
            <w:tcBorders>
              <w:top w:val="nil"/>
              <w:left w:val="nil"/>
              <w:bottom w:val="nil"/>
              <w:right w:val="nil"/>
            </w:tcBorders>
            <w:vAlign w:val="bottom"/>
          </w:tcPr>
          <w:p w14:paraId="5D1C657F"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48 500</w:t>
            </w:r>
          </w:p>
        </w:tc>
        <w:tc>
          <w:tcPr>
            <w:tcW w:w="1034" w:type="dxa"/>
            <w:tcBorders>
              <w:top w:val="nil"/>
              <w:left w:val="nil"/>
              <w:bottom w:val="nil"/>
              <w:right w:val="nil"/>
            </w:tcBorders>
            <w:shd w:val="clear" w:color="auto" w:fill="auto"/>
            <w:noWrap/>
            <w:vAlign w:val="bottom"/>
          </w:tcPr>
          <w:p w14:paraId="256EA389"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48 500</w:t>
            </w:r>
          </w:p>
        </w:tc>
        <w:tc>
          <w:tcPr>
            <w:tcW w:w="1034" w:type="dxa"/>
            <w:tcBorders>
              <w:top w:val="nil"/>
              <w:left w:val="nil"/>
              <w:bottom w:val="nil"/>
              <w:right w:val="nil"/>
            </w:tcBorders>
            <w:shd w:val="clear" w:color="auto" w:fill="auto"/>
            <w:noWrap/>
            <w:vAlign w:val="bottom"/>
          </w:tcPr>
          <w:p w14:paraId="208495EA"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48 500</w:t>
            </w:r>
          </w:p>
        </w:tc>
      </w:tr>
      <w:tr w:rsidR="00D94493" w:rsidRPr="00D94493" w14:paraId="2BB4850C" w14:textId="77777777" w:rsidTr="00D94493">
        <w:trPr>
          <w:trHeight w:val="198"/>
        </w:trPr>
        <w:tc>
          <w:tcPr>
            <w:tcW w:w="4939" w:type="dxa"/>
            <w:tcBorders>
              <w:top w:val="nil"/>
              <w:left w:val="nil"/>
              <w:bottom w:val="nil"/>
              <w:right w:val="nil"/>
            </w:tcBorders>
            <w:shd w:val="clear" w:color="auto" w:fill="auto"/>
            <w:noWrap/>
            <w:vAlign w:val="bottom"/>
          </w:tcPr>
          <w:p w14:paraId="2918A74C" w14:textId="77777777" w:rsidR="00D94493" w:rsidRPr="00D94493" w:rsidRDefault="00D94493" w:rsidP="00D94493">
            <w:pPr>
              <w:spacing w:after="120" w:line="240" w:lineRule="auto"/>
              <w:rPr>
                <w:rFonts w:ascii="Times New Roman" w:eastAsia="Calibri" w:hAnsi="Times New Roman" w:cs="Times New Roman"/>
                <w:sz w:val="16"/>
                <w:szCs w:val="16"/>
                <w:lang w:eastAsia="sk-SK"/>
              </w:rPr>
            </w:pPr>
            <w:r w:rsidRPr="00D94493">
              <w:rPr>
                <w:rFonts w:ascii="Times New Roman" w:eastAsia="Calibri" w:hAnsi="Times New Roman" w:cs="Times New Roman"/>
                <w:color w:val="000000"/>
                <w:sz w:val="16"/>
                <w:szCs w:val="16"/>
              </w:rPr>
              <w:t>Zvýšenie sadzby spotrebnej dane z liehu od 1.1.2024</w:t>
            </w:r>
          </w:p>
        </w:tc>
        <w:tc>
          <w:tcPr>
            <w:tcW w:w="1031" w:type="dxa"/>
            <w:tcBorders>
              <w:top w:val="nil"/>
              <w:left w:val="nil"/>
              <w:bottom w:val="nil"/>
              <w:right w:val="nil"/>
            </w:tcBorders>
            <w:shd w:val="clear" w:color="auto" w:fill="auto"/>
            <w:noWrap/>
            <w:vAlign w:val="bottom"/>
          </w:tcPr>
          <w:p w14:paraId="31D6CF59"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0</w:t>
            </w:r>
          </w:p>
        </w:tc>
        <w:tc>
          <w:tcPr>
            <w:tcW w:w="1034" w:type="dxa"/>
            <w:tcBorders>
              <w:top w:val="nil"/>
              <w:left w:val="nil"/>
              <w:bottom w:val="nil"/>
              <w:right w:val="nil"/>
            </w:tcBorders>
            <w:vAlign w:val="bottom"/>
          </w:tcPr>
          <w:p w14:paraId="18DD60C7"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18 232</w:t>
            </w:r>
          </w:p>
        </w:tc>
        <w:tc>
          <w:tcPr>
            <w:tcW w:w="1034" w:type="dxa"/>
            <w:tcBorders>
              <w:top w:val="nil"/>
              <w:left w:val="nil"/>
              <w:bottom w:val="nil"/>
              <w:right w:val="nil"/>
            </w:tcBorders>
            <w:shd w:val="clear" w:color="auto" w:fill="auto"/>
            <w:noWrap/>
            <w:vAlign w:val="bottom"/>
          </w:tcPr>
          <w:p w14:paraId="7FD664CB"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21 221</w:t>
            </w:r>
          </w:p>
        </w:tc>
        <w:tc>
          <w:tcPr>
            <w:tcW w:w="1034" w:type="dxa"/>
            <w:tcBorders>
              <w:top w:val="nil"/>
              <w:left w:val="nil"/>
              <w:bottom w:val="nil"/>
              <w:right w:val="nil"/>
            </w:tcBorders>
            <w:shd w:val="clear" w:color="auto" w:fill="auto"/>
            <w:noWrap/>
            <w:vAlign w:val="bottom"/>
          </w:tcPr>
          <w:p w14:paraId="5EE5A9EB"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lang w:eastAsia="sk-SK"/>
              </w:rPr>
            </w:pPr>
            <w:r w:rsidRPr="00D94493">
              <w:rPr>
                <w:rFonts w:ascii="Times New Roman" w:eastAsia="Calibri" w:hAnsi="Times New Roman" w:cs="Times New Roman"/>
                <w:color w:val="000000"/>
                <w:sz w:val="16"/>
                <w:szCs w:val="16"/>
              </w:rPr>
              <w:t>21 128</w:t>
            </w:r>
          </w:p>
        </w:tc>
      </w:tr>
      <w:tr w:rsidR="00D94493" w:rsidRPr="00D94493" w14:paraId="1125E609" w14:textId="77777777" w:rsidTr="00D94493">
        <w:trPr>
          <w:trHeight w:val="198"/>
        </w:trPr>
        <w:tc>
          <w:tcPr>
            <w:tcW w:w="4939" w:type="dxa"/>
            <w:tcBorders>
              <w:top w:val="nil"/>
              <w:left w:val="nil"/>
              <w:bottom w:val="nil"/>
              <w:right w:val="nil"/>
            </w:tcBorders>
            <w:shd w:val="clear" w:color="auto" w:fill="auto"/>
            <w:noWrap/>
            <w:vAlign w:val="bottom"/>
          </w:tcPr>
          <w:p w14:paraId="4760EDAF" w14:textId="77777777" w:rsidR="00D94493" w:rsidRPr="00D94493" w:rsidRDefault="00D94493" w:rsidP="00D94493">
            <w:pPr>
              <w:spacing w:after="120" w:line="240" w:lineRule="auto"/>
              <w:rPr>
                <w:rFonts w:ascii="Times New Roman" w:eastAsia="Calibri" w:hAnsi="Times New Roman" w:cs="Times New Roman"/>
                <w:sz w:val="16"/>
                <w:szCs w:val="16"/>
                <w:lang w:eastAsia="sk-SK"/>
              </w:rPr>
            </w:pPr>
            <w:r w:rsidRPr="00D94493">
              <w:rPr>
                <w:rFonts w:ascii="Times New Roman" w:eastAsia="Calibri" w:hAnsi="Times New Roman" w:cs="Times New Roman"/>
                <w:color w:val="000000"/>
                <w:sz w:val="16"/>
                <w:szCs w:val="16"/>
              </w:rPr>
              <w:t>Zmena sadzby odvodu do II. pilier z 5,5% resp. 5,75 na 4% (od 01.2024)</w:t>
            </w:r>
          </w:p>
        </w:tc>
        <w:tc>
          <w:tcPr>
            <w:tcW w:w="1031" w:type="dxa"/>
            <w:tcBorders>
              <w:top w:val="nil"/>
              <w:left w:val="nil"/>
              <w:bottom w:val="nil"/>
              <w:right w:val="nil"/>
            </w:tcBorders>
            <w:shd w:val="clear" w:color="auto" w:fill="auto"/>
            <w:noWrap/>
            <w:vAlign w:val="bottom"/>
          </w:tcPr>
          <w:p w14:paraId="6C8B219F"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0</w:t>
            </w:r>
          </w:p>
        </w:tc>
        <w:tc>
          <w:tcPr>
            <w:tcW w:w="1034" w:type="dxa"/>
            <w:tcBorders>
              <w:top w:val="nil"/>
              <w:left w:val="nil"/>
              <w:bottom w:val="nil"/>
              <w:right w:val="nil"/>
            </w:tcBorders>
            <w:vAlign w:val="bottom"/>
          </w:tcPr>
          <w:p w14:paraId="3095C2CE"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363 123</w:t>
            </w:r>
          </w:p>
        </w:tc>
        <w:tc>
          <w:tcPr>
            <w:tcW w:w="1034" w:type="dxa"/>
            <w:tcBorders>
              <w:top w:val="nil"/>
              <w:left w:val="nil"/>
              <w:bottom w:val="nil"/>
              <w:right w:val="nil"/>
            </w:tcBorders>
            <w:shd w:val="clear" w:color="auto" w:fill="auto"/>
            <w:noWrap/>
            <w:vAlign w:val="bottom"/>
          </w:tcPr>
          <w:p w14:paraId="7C5F1DFE"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460 247</w:t>
            </w:r>
          </w:p>
        </w:tc>
        <w:tc>
          <w:tcPr>
            <w:tcW w:w="1034" w:type="dxa"/>
            <w:tcBorders>
              <w:top w:val="nil"/>
              <w:left w:val="nil"/>
              <w:bottom w:val="nil"/>
              <w:right w:val="nil"/>
            </w:tcBorders>
            <w:shd w:val="clear" w:color="auto" w:fill="auto"/>
            <w:noWrap/>
            <w:vAlign w:val="bottom"/>
          </w:tcPr>
          <w:p w14:paraId="680E8C36"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495 276</w:t>
            </w:r>
          </w:p>
        </w:tc>
      </w:tr>
      <w:tr w:rsidR="00D94493" w:rsidRPr="00D94493" w14:paraId="3F1EAB89" w14:textId="77777777" w:rsidTr="00D94493">
        <w:trPr>
          <w:trHeight w:val="198"/>
        </w:trPr>
        <w:tc>
          <w:tcPr>
            <w:tcW w:w="4939" w:type="dxa"/>
            <w:tcBorders>
              <w:top w:val="nil"/>
              <w:left w:val="nil"/>
              <w:bottom w:val="nil"/>
              <w:right w:val="nil"/>
            </w:tcBorders>
            <w:shd w:val="clear" w:color="auto" w:fill="auto"/>
            <w:noWrap/>
            <w:vAlign w:val="bottom"/>
          </w:tcPr>
          <w:p w14:paraId="75F6A8C1" w14:textId="77777777" w:rsidR="00D94493" w:rsidRPr="00D94493" w:rsidRDefault="00D94493" w:rsidP="00D94493">
            <w:pPr>
              <w:spacing w:after="120" w:line="240" w:lineRule="auto"/>
              <w:rPr>
                <w:rFonts w:ascii="Times New Roman" w:eastAsia="Calibri" w:hAnsi="Times New Roman" w:cs="Times New Roman"/>
                <w:sz w:val="16"/>
                <w:szCs w:val="16"/>
                <w:lang w:eastAsia="sk-SK"/>
              </w:rPr>
            </w:pPr>
            <w:r w:rsidRPr="00D94493">
              <w:rPr>
                <w:rFonts w:ascii="Times New Roman" w:eastAsia="Calibri" w:hAnsi="Times New Roman" w:cs="Times New Roman"/>
                <w:color w:val="000000"/>
                <w:sz w:val="16"/>
                <w:szCs w:val="16"/>
              </w:rPr>
              <w:t>Zvýšenie sadzby zdravotného poistného zamestnávateľa o 1 p. b.</w:t>
            </w:r>
            <w:r w:rsidRPr="00D94493">
              <w:rPr>
                <w:rFonts w:ascii="Times New Roman" w:eastAsia="Calibri" w:hAnsi="Times New Roman" w:cs="Times New Roman"/>
                <w:color w:val="000000"/>
                <w:sz w:val="16"/>
                <w:szCs w:val="16"/>
              </w:rPr>
              <w:br/>
              <w:t>z 10 % na 11 %</w:t>
            </w:r>
          </w:p>
        </w:tc>
        <w:tc>
          <w:tcPr>
            <w:tcW w:w="1031" w:type="dxa"/>
            <w:tcBorders>
              <w:top w:val="nil"/>
              <w:left w:val="nil"/>
              <w:bottom w:val="nil"/>
              <w:right w:val="nil"/>
            </w:tcBorders>
            <w:shd w:val="clear" w:color="auto" w:fill="auto"/>
            <w:noWrap/>
            <w:vAlign w:val="bottom"/>
          </w:tcPr>
          <w:p w14:paraId="12B4EAE1"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0</w:t>
            </w:r>
          </w:p>
        </w:tc>
        <w:tc>
          <w:tcPr>
            <w:tcW w:w="1034" w:type="dxa"/>
            <w:tcBorders>
              <w:top w:val="nil"/>
              <w:left w:val="nil"/>
              <w:bottom w:val="nil"/>
              <w:right w:val="nil"/>
            </w:tcBorders>
            <w:vAlign w:val="bottom"/>
          </w:tcPr>
          <w:p w14:paraId="41A36978"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357 491</w:t>
            </w:r>
          </w:p>
        </w:tc>
        <w:tc>
          <w:tcPr>
            <w:tcW w:w="1034" w:type="dxa"/>
            <w:tcBorders>
              <w:top w:val="nil"/>
              <w:left w:val="nil"/>
              <w:bottom w:val="nil"/>
              <w:right w:val="nil"/>
            </w:tcBorders>
            <w:shd w:val="clear" w:color="auto" w:fill="auto"/>
            <w:noWrap/>
            <w:vAlign w:val="bottom"/>
          </w:tcPr>
          <w:p w14:paraId="3511EF1F"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377 820</w:t>
            </w:r>
          </w:p>
        </w:tc>
        <w:tc>
          <w:tcPr>
            <w:tcW w:w="1034" w:type="dxa"/>
            <w:tcBorders>
              <w:top w:val="nil"/>
              <w:left w:val="nil"/>
              <w:bottom w:val="nil"/>
              <w:right w:val="nil"/>
            </w:tcBorders>
            <w:shd w:val="clear" w:color="auto" w:fill="auto"/>
            <w:noWrap/>
            <w:vAlign w:val="bottom"/>
          </w:tcPr>
          <w:p w14:paraId="0C0F3987" w14:textId="77777777" w:rsidR="00D94493" w:rsidRPr="00D94493" w:rsidRDefault="00D94493" w:rsidP="00D94493">
            <w:pPr>
              <w:spacing w:after="120" w:line="240" w:lineRule="auto"/>
              <w:jc w:val="right"/>
              <w:rPr>
                <w:rFonts w:ascii="Times New Roman" w:eastAsia="Calibri" w:hAnsi="Times New Roman" w:cs="Times New Roman"/>
                <w:sz w:val="16"/>
                <w:szCs w:val="16"/>
                <w:highlight w:val="yellow"/>
              </w:rPr>
            </w:pPr>
            <w:r w:rsidRPr="00D94493">
              <w:rPr>
                <w:rFonts w:ascii="Times New Roman" w:eastAsia="Calibri" w:hAnsi="Times New Roman" w:cs="Times New Roman"/>
                <w:color w:val="000000"/>
                <w:sz w:val="16"/>
                <w:szCs w:val="16"/>
              </w:rPr>
              <w:t>394 920</w:t>
            </w:r>
          </w:p>
        </w:tc>
      </w:tr>
      <w:tr w:rsidR="00D94493" w:rsidRPr="00D94493" w14:paraId="1C7260D7" w14:textId="77777777" w:rsidTr="00D94493">
        <w:trPr>
          <w:trHeight w:val="198"/>
        </w:trPr>
        <w:tc>
          <w:tcPr>
            <w:tcW w:w="4939" w:type="dxa"/>
            <w:tcBorders>
              <w:top w:val="single" w:sz="4" w:space="0" w:color="auto"/>
              <w:left w:val="nil"/>
              <w:bottom w:val="nil"/>
              <w:right w:val="nil"/>
            </w:tcBorders>
            <w:shd w:val="clear" w:color="auto" w:fill="auto"/>
            <w:noWrap/>
            <w:vAlign w:val="bottom"/>
          </w:tcPr>
          <w:p w14:paraId="16A78927" w14:textId="77777777" w:rsidR="00D94493" w:rsidRPr="00D94493" w:rsidRDefault="00D94493" w:rsidP="00D94493">
            <w:pPr>
              <w:spacing w:line="240" w:lineRule="auto"/>
              <w:ind w:firstLineChars="200" w:firstLine="320"/>
              <w:rPr>
                <w:rFonts w:ascii="Times New Roman" w:eastAsia="Calibri" w:hAnsi="Times New Roman" w:cs="Times New Roman"/>
                <w:sz w:val="16"/>
                <w:szCs w:val="16"/>
                <w:lang w:eastAsia="sk-SK"/>
              </w:rPr>
            </w:pPr>
          </w:p>
        </w:tc>
        <w:tc>
          <w:tcPr>
            <w:tcW w:w="1031" w:type="dxa"/>
            <w:tcBorders>
              <w:top w:val="single" w:sz="4" w:space="0" w:color="auto"/>
              <w:left w:val="nil"/>
              <w:bottom w:val="nil"/>
              <w:right w:val="nil"/>
            </w:tcBorders>
            <w:shd w:val="clear" w:color="auto" w:fill="auto"/>
            <w:noWrap/>
            <w:vAlign w:val="center"/>
          </w:tcPr>
          <w:p w14:paraId="3445639A" w14:textId="77777777" w:rsidR="00D94493" w:rsidRPr="00D94493" w:rsidRDefault="00D94493" w:rsidP="00D94493">
            <w:pPr>
              <w:spacing w:after="0" w:line="240" w:lineRule="auto"/>
              <w:jc w:val="right"/>
              <w:rPr>
                <w:rFonts w:ascii="Times New Roman" w:eastAsia="Calibri" w:hAnsi="Times New Roman" w:cs="Times New Roman"/>
                <w:sz w:val="16"/>
                <w:szCs w:val="16"/>
              </w:rPr>
            </w:pPr>
          </w:p>
        </w:tc>
        <w:tc>
          <w:tcPr>
            <w:tcW w:w="1034" w:type="dxa"/>
            <w:tcBorders>
              <w:top w:val="single" w:sz="4" w:space="0" w:color="auto"/>
              <w:left w:val="nil"/>
              <w:bottom w:val="nil"/>
              <w:right w:val="nil"/>
            </w:tcBorders>
          </w:tcPr>
          <w:p w14:paraId="650ADAE4" w14:textId="77777777" w:rsidR="00D94493" w:rsidRPr="00D94493" w:rsidRDefault="00D94493" w:rsidP="00D94493">
            <w:pPr>
              <w:spacing w:after="0" w:line="240" w:lineRule="auto"/>
              <w:jc w:val="right"/>
              <w:rPr>
                <w:rFonts w:ascii="Times New Roman" w:eastAsia="Calibri" w:hAnsi="Times New Roman" w:cs="Times New Roman"/>
                <w:sz w:val="16"/>
                <w:szCs w:val="16"/>
              </w:rPr>
            </w:pPr>
          </w:p>
        </w:tc>
        <w:tc>
          <w:tcPr>
            <w:tcW w:w="1034" w:type="dxa"/>
            <w:tcBorders>
              <w:top w:val="single" w:sz="4" w:space="0" w:color="auto"/>
              <w:left w:val="nil"/>
              <w:bottom w:val="nil"/>
              <w:right w:val="nil"/>
            </w:tcBorders>
            <w:shd w:val="clear" w:color="auto" w:fill="auto"/>
            <w:noWrap/>
            <w:vAlign w:val="center"/>
          </w:tcPr>
          <w:p w14:paraId="6C7C55C3" w14:textId="77777777" w:rsidR="00D94493" w:rsidRPr="00D94493" w:rsidRDefault="00D94493" w:rsidP="00D94493">
            <w:pPr>
              <w:spacing w:after="0" w:line="240" w:lineRule="auto"/>
              <w:jc w:val="right"/>
              <w:rPr>
                <w:rFonts w:ascii="Times New Roman" w:eastAsia="Calibri" w:hAnsi="Times New Roman" w:cs="Times New Roman"/>
                <w:sz w:val="16"/>
                <w:szCs w:val="16"/>
              </w:rPr>
            </w:pPr>
          </w:p>
        </w:tc>
        <w:tc>
          <w:tcPr>
            <w:tcW w:w="1034" w:type="dxa"/>
            <w:tcBorders>
              <w:top w:val="single" w:sz="4" w:space="0" w:color="auto"/>
              <w:left w:val="nil"/>
              <w:bottom w:val="nil"/>
              <w:right w:val="nil"/>
            </w:tcBorders>
            <w:shd w:val="clear" w:color="auto" w:fill="auto"/>
            <w:noWrap/>
            <w:vAlign w:val="center"/>
          </w:tcPr>
          <w:p w14:paraId="78F2FA1F" w14:textId="77777777" w:rsidR="00D94493" w:rsidRPr="00D94493" w:rsidRDefault="00D94493" w:rsidP="00D94493">
            <w:pPr>
              <w:spacing w:after="0" w:line="240" w:lineRule="auto"/>
              <w:jc w:val="right"/>
              <w:rPr>
                <w:rFonts w:ascii="Times New Roman" w:eastAsia="Calibri" w:hAnsi="Times New Roman" w:cs="Times New Roman"/>
                <w:sz w:val="16"/>
                <w:szCs w:val="16"/>
              </w:rPr>
            </w:pPr>
          </w:p>
        </w:tc>
      </w:tr>
    </w:tbl>
    <w:p w14:paraId="6AF9C908" w14:textId="77777777" w:rsidR="00D94493" w:rsidRPr="00D94493" w:rsidRDefault="00D94493" w:rsidP="00D94493">
      <w:pPr>
        <w:spacing w:after="0" w:line="240" w:lineRule="auto"/>
        <w:jc w:val="both"/>
        <w:rPr>
          <w:rFonts w:ascii="Times New Roman" w:eastAsia="Calibri" w:hAnsi="Times New Roman" w:cs="Times New Roman"/>
          <w:b/>
          <w:i/>
          <w:sz w:val="24"/>
          <w:szCs w:val="24"/>
        </w:rPr>
      </w:pPr>
      <w:r w:rsidRPr="00D94493">
        <w:rPr>
          <w:rFonts w:ascii="Times New Roman" w:eastAsia="Calibri" w:hAnsi="Times New Roman" w:cs="Times New Roman"/>
          <w:b/>
          <w:i/>
          <w:sz w:val="24"/>
          <w:szCs w:val="24"/>
        </w:rPr>
        <w:t>Dočasné zmrazenie odvodov do II. dôchodkového piliera</w:t>
      </w:r>
    </w:p>
    <w:p w14:paraId="0BA22934" w14:textId="77777777" w:rsidR="00D94493" w:rsidRPr="00D94493" w:rsidRDefault="00D94493" w:rsidP="00D94493">
      <w:pPr>
        <w:spacing w:after="0" w:line="240" w:lineRule="auto"/>
        <w:jc w:val="both"/>
        <w:rPr>
          <w:rFonts w:ascii="Times New Roman" w:eastAsia="Calibri" w:hAnsi="Times New Roman" w:cs="Times New Roman"/>
          <w:sz w:val="24"/>
        </w:rPr>
      </w:pPr>
      <w:r w:rsidRPr="00D94493">
        <w:rPr>
          <w:rFonts w:ascii="Times New Roman" w:eastAsia="Calibri" w:hAnsi="Times New Roman" w:cs="Times New Roman"/>
          <w:sz w:val="24"/>
        </w:rPr>
        <w:t>NR SR schválila dňa 5. októbra 2022 zmeny v dôchodkovom systéme</w:t>
      </w:r>
      <w:r w:rsidRPr="00D94493">
        <w:rPr>
          <w:rFonts w:ascii="Times New Roman" w:eastAsia="Calibri" w:hAnsi="Times New Roman" w:cs="Times New Roman"/>
          <w:sz w:val="24"/>
          <w:vertAlign w:val="superscript"/>
        </w:rPr>
        <w:footnoteReference w:id="22"/>
      </w:r>
      <w:r w:rsidRPr="00D94493">
        <w:rPr>
          <w:rFonts w:ascii="Times New Roman" w:eastAsia="Calibri" w:hAnsi="Times New Roman" w:cs="Times New Roman"/>
          <w:sz w:val="24"/>
        </w:rPr>
        <w:t>, ktorých súčasťou bola aj zmena v postupnom navyšovaní sadzby poistného do II. dôchodkového piliera.</w:t>
      </w:r>
      <w:r w:rsidRPr="00D94493">
        <w:rPr>
          <w:rFonts w:ascii="Calibri" w:eastAsia="Calibri" w:hAnsi="Calibri" w:cs="Times New Roman"/>
        </w:rPr>
        <w:t xml:space="preserve"> </w:t>
      </w:r>
      <w:r w:rsidRPr="00D94493">
        <w:rPr>
          <w:rFonts w:ascii="Times New Roman" w:eastAsia="Calibri" w:hAnsi="Times New Roman" w:cs="Times New Roman"/>
          <w:sz w:val="24"/>
        </w:rPr>
        <w:t xml:space="preserve">Príspevky do druhého piliera zostanú v rokoch 2023 a 2024 v aktuálnej výške 5,5 %, pričom v roku 2023 mali stúpnuť na 5,75 % a v roku 2024 na 6 %. Na základe novej legislatívy výšku 6 % dosiahnu </w:t>
      </w:r>
      <w:r w:rsidRPr="00D94493">
        <w:rPr>
          <w:rFonts w:ascii="Times New Roman" w:eastAsia="Calibri" w:hAnsi="Times New Roman" w:cs="Times New Roman"/>
          <w:sz w:val="24"/>
        </w:rPr>
        <w:lastRenderedPageBreak/>
        <w:t xml:space="preserve">až v roku 2027. </w:t>
      </w:r>
      <w:r w:rsidRPr="00D94493">
        <w:rPr>
          <w:rFonts w:ascii="Times New Roman" w:eastAsia="Calibri" w:hAnsi="Times New Roman" w:cs="Times New Roman"/>
          <w:b/>
          <w:i/>
          <w:sz w:val="24"/>
        </w:rPr>
        <w:t>Opatrenie sa od roku 2024 nahrádza trvalým znížením sadzby odvodu na dôchodkové sporenie na 4 %.</w:t>
      </w:r>
    </w:p>
    <w:p w14:paraId="67135594" w14:textId="77777777" w:rsidR="00D94493" w:rsidRPr="00D94493" w:rsidRDefault="00D94493" w:rsidP="00D94493">
      <w:pPr>
        <w:spacing w:after="0" w:line="240" w:lineRule="auto"/>
        <w:jc w:val="both"/>
        <w:rPr>
          <w:rFonts w:ascii="Times New Roman" w:eastAsia="Calibri" w:hAnsi="Times New Roman" w:cs="Times New Roman"/>
          <w:b/>
          <w:i/>
          <w:sz w:val="28"/>
          <w:szCs w:val="24"/>
          <w:highlight w:val="yellow"/>
        </w:rPr>
      </w:pPr>
    </w:p>
    <w:p w14:paraId="6BC6F69D" w14:textId="77777777" w:rsidR="00D94493" w:rsidRPr="00D94493" w:rsidRDefault="00D94493" w:rsidP="00D94493">
      <w:pPr>
        <w:spacing w:after="0" w:line="240" w:lineRule="auto"/>
        <w:jc w:val="both"/>
        <w:rPr>
          <w:rFonts w:ascii="Times New Roman" w:eastAsia="Calibri" w:hAnsi="Times New Roman" w:cs="Times New Roman"/>
          <w:b/>
          <w:i/>
          <w:sz w:val="24"/>
          <w:szCs w:val="24"/>
        </w:rPr>
      </w:pPr>
      <w:r w:rsidRPr="00D94493">
        <w:rPr>
          <w:rFonts w:ascii="Times New Roman" w:eastAsia="Calibri" w:hAnsi="Times New Roman" w:cs="Times New Roman"/>
          <w:b/>
          <w:i/>
          <w:sz w:val="24"/>
          <w:szCs w:val="24"/>
        </w:rPr>
        <w:t xml:space="preserve">Zmeny v II. dôchodkom pilieri </w:t>
      </w:r>
    </w:p>
    <w:p w14:paraId="4AEFDBCC" w14:textId="77777777" w:rsidR="00D94493" w:rsidRPr="00D94493" w:rsidRDefault="00D94493" w:rsidP="00D94493">
      <w:pPr>
        <w:spacing w:after="0" w:line="240" w:lineRule="auto"/>
        <w:jc w:val="both"/>
        <w:rPr>
          <w:rFonts w:ascii="Times New Roman" w:eastAsia="Calibri" w:hAnsi="Times New Roman" w:cs="Times New Roman"/>
          <w:sz w:val="24"/>
          <w:szCs w:val="24"/>
        </w:rPr>
      </w:pPr>
      <w:r w:rsidRPr="00D94493">
        <w:rPr>
          <w:rFonts w:ascii="Times New Roman" w:eastAsia="Calibri" w:hAnsi="Times New Roman" w:cs="Times New Roman"/>
          <w:sz w:val="24"/>
          <w:szCs w:val="24"/>
        </w:rPr>
        <w:t>Schválená reforma II. piliera zlepšuje efektívnosť dôchodkového sporenia, čím zvyšuje adekvátnosť priznávaných dôchodkov v budúcnosti. V rámci reformy II. piliera sa zaviedla právna úprava predĺženia účasti na starobnom dôchodkovom sporení a to až do času poberania doživotného starobného dôchodku, t. j. počas poberania programového výberu.</w:t>
      </w:r>
      <w:r w:rsidRPr="00D94493">
        <w:rPr>
          <w:rFonts w:ascii="Times New Roman" w:eastAsia="Calibri" w:hAnsi="Times New Roman" w:cs="Times New Roman"/>
          <w:sz w:val="20"/>
          <w:szCs w:val="20"/>
          <w:vertAlign w:val="superscript"/>
        </w:rPr>
        <w:footnoteReference w:id="23"/>
      </w:r>
      <w:r w:rsidRPr="00D94493">
        <w:rPr>
          <w:rFonts w:ascii="Times New Roman" w:eastAsia="Calibri" w:hAnsi="Times New Roman" w:cs="Times New Roman"/>
          <w:sz w:val="24"/>
          <w:szCs w:val="24"/>
        </w:rPr>
        <w:t xml:space="preserve"> Obnovila sa aj automatická účasť na dôchodkovom sporení pre ľudí vstupujúcich na trh práce do 40 rokov veku, s možnosťou vystúpenia. </w:t>
      </w:r>
    </w:p>
    <w:p w14:paraId="6ECFF733" w14:textId="77777777" w:rsidR="00D94493" w:rsidRPr="00D94493" w:rsidRDefault="00D94493" w:rsidP="00D94493">
      <w:pPr>
        <w:spacing w:after="0" w:line="240" w:lineRule="auto"/>
        <w:jc w:val="both"/>
        <w:rPr>
          <w:rFonts w:ascii="Times New Roman" w:eastAsia="Calibri" w:hAnsi="Times New Roman" w:cs="Times New Roman"/>
          <w:b/>
          <w:i/>
          <w:sz w:val="28"/>
          <w:szCs w:val="24"/>
        </w:rPr>
      </w:pPr>
    </w:p>
    <w:p w14:paraId="3B4B546B" w14:textId="77777777" w:rsidR="00D94493" w:rsidRPr="00D94493" w:rsidRDefault="00D94493" w:rsidP="00D94493">
      <w:pPr>
        <w:spacing w:after="0" w:line="240" w:lineRule="auto"/>
        <w:jc w:val="both"/>
        <w:rPr>
          <w:rFonts w:ascii="Times New Roman" w:eastAsia="Calibri" w:hAnsi="Times New Roman" w:cs="Times New Roman"/>
          <w:b/>
          <w:i/>
          <w:sz w:val="24"/>
          <w:szCs w:val="24"/>
        </w:rPr>
      </w:pPr>
      <w:r w:rsidRPr="00D94493">
        <w:rPr>
          <w:rFonts w:ascii="Times New Roman" w:eastAsia="Calibri" w:hAnsi="Times New Roman" w:cs="Times New Roman"/>
          <w:b/>
          <w:i/>
          <w:sz w:val="24"/>
          <w:szCs w:val="24"/>
        </w:rPr>
        <w:t>Úprava poplatkov v dôchodkových správcovských spoločnostiach</w:t>
      </w:r>
    </w:p>
    <w:p w14:paraId="53F24E22" w14:textId="77777777" w:rsidR="00D94493" w:rsidRPr="00D94493" w:rsidRDefault="00D94493" w:rsidP="00D94493">
      <w:pPr>
        <w:spacing w:after="0" w:line="240" w:lineRule="auto"/>
        <w:jc w:val="both"/>
        <w:rPr>
          <w:rFonts w:ascii="Times New Roman" w:eastAsia="Calibri" w:hAnsi="Times New Roman" w:cs="Times New Roman"/>
          <w:sz w:val="24"/>
        </w:rPr>
      </w:pPr>
      <w:r w:rsidRPr="00D94493">
        <w:rPr>
          <w:rFonts w:ascii="Times New Roman" w:eastAsia="Calibri" w:hAnsi="Times New Roman" w:cs="Times New Roman"/>
          <w:sz w:val="24"/>
        </w:rPr>
        <w:t>S účinnosťou od 1.1.2023 sa upravuje aj poplatková politika</w:t>
      </w:r>
      <w:r w:rsidRPr="00D94493">
        <w:rPr>
          <w:rFonts w:ascii="Times New Roman" w:eastAsia="Calibri" w:hAnsi="Times New Roman" w:cs="Times New Roman"/>
          <w:sz w:val="24"/>
          <w:vertAlign w:val="superscript"/>
        </w:rPr>
        <w:footnoteReference w:id="24"/>
      </w:r>
      <w:r w:rsidRPr="00D94493">
        <w:rPr>
          <w:rFonts w:ascii="Calibri" w:eastAsia="Calibri" w:hAnsi="Calibri" w:cs="Times New Roman"/>
        </w:rPr>
        <w:t xml:space="preserve"> </w:t>
      </w:r>
      <w:r w:rsidRPr="00D94493">
        <w:rPr>
          <w:rFonts w:ascii="Times New Roman" w:eastAsia="Calibri" w:hAnsi="Times New Roman" w:cs="Times New Roman"/>
          <w:sz w:val="24"/>
        </w:rPr>
        <w:t xml:space="preserve">dôchodkových správcovských spoločností (DSS) a zavádza sa povinnosť DSS vytvoriť a spravovať indexové fondy s kvalitatívnymi podmienkami na ich zloženie. Opatrenie zníži príjmy správcovských spoločností, čo sa prejaví na nižšom výnose dane z príjmov právnických osôb na úrovni 7 až 9 mil. eur. </w:t>
      </w:r>
    </w:p>
    <w:p w14:paraId="11AC5036" w14:textId="77777777" w:rsidR="00D94493" w:rsidRPr="00D94493" w:rsidRDefault="00D94493" w:rsidP="00D94493">
      <w:pPr>
        <w:spacing w:after="0" w:line="240" w:lineRule="auto"/>
        <w:jc w:val="both"/>
        <w:rPr>
          <w:rFonts w:ascii="Times New Roman" w:eastAsia="Calibri" w:hAnsi="Times New Roman" w:cs="Times New Roman"/>
          <w:sz w:val="24"/>
          <w:highlight w:val="yellow"/>
        </w:rPr>
      </w:pPr>
    </w:p>
    <w:p w14:paraId="1A8DE3A3" w14:textId="77777777" w:rsidR="00D94493" w:rsidRPr="00D94493" w:rsidRDefault="00D94493" w:rsidP="00D94493">
      <w:pPr>
        <w:spacing w:after="0" w:line="240" w:lineRule="auto"/>
        <w:jc w:val="both"/>
        <w:rPr>
          <w:rFonts w:ascii="Times New Roman" w:eastAsia="Calibri" w:hAnsi="Times New Roman" w:cs="Times New Roman"/>
          <w:b/>
          <w:i/>
          <w:sz w:val="24"/>
          <w:szCs w:val="24"/>
        </w:rPr>
      </w:pPr>
      <w:r w:rsidRPr="00D94493">
        <w:rPr>
          <w:rFonts w:ascii="Times New Roman" w:eastAsia="Calibri" w:hAnsi="Times New Roman" w:cs="Times New Roman"/>
          <w:b/>
          <w:i/>
          <w:sz w:val="24"/>
          <w:szCs w:val="24"/>
        </w:rPr>
        <w:t>Zvýšenie sadzby spotrebnej dane z liehu od 1.4.2023</w:t>
      </w:r>
    </w:p>
    <w:p w14:paraId="5062AAA6" w14:textId="77777777" w:rsidR="00D94493" w:rsidRPr="00D94493" w:rsidRDefault="00D94493" w:rsidP="00D94493">
      <w:pPr>
        <w:spacing w:after="0" w:line="240" w:lineRule="auto"/>
        <w:jc w:val="both"/>
        <w:rPr>
          <w:rFonts w:ascii="Times New Roman" w:eastAsia="Calibri" w:hAnsi="Times New Roman" w:cs="Times New Roman"/>
          <w:sz w:val="24"/>
          <w:szCs w:val="24"/>
        </w:rPr>
      </w:pPr>
      <w:r w:rsidRPr="00D94493">
        <w:rPr>
          <w:rFonts w:ascii="Times New Roman" w:eastAsia="Calibri" w:hAnsi="Times New Roman" w:cs="Times New Roman"/>
          <w:sz w:val="24"/>
          <w:szCs w:val="24"/>
        </w:rPr>
        <w:t>S účinnosťou od 1.4.2023 sa zvyšuje sadzba spotrebnej dane z liehu o 30 % na 1 404 eur/hl a. a sadzba spotrebnej dane z liehu vyrobeného v liehovare na pestovateľské pálenie ovocia na 702 eur/hl a. Z dôvodu vysokého predzásobenia obchodníkov sa zvýšenie sadzby v roku 2023 neprejaví na výnose dane v plnej miere. Od roku 2024 sa očakáva každoročný vplyv tejto legislatívnej zmeny na úrovni približne 80 mil. eur (vrátane DPH).</w:t>
      </w:r>
    </w:p>
    <w:p w14:paraId="74397240" w14:textId="77777777" w:rsidR="00D94493" w:rsidRPr="00D94493" w:rsidRDefault="00D94493" w:rsidP="00D94493">
      <w:pPr>
        <w:spacing w:after="0" w:line="240" w:lineRule="auto"/>
        <w:jc w:val="both"/>
        <w:rPr>
          <w:rFonts w:ascii="Times New Roman" w:eastAsia="Calibri" w:hAnsi="Times New Roman" w:cs="Times New Roman"/>
          <w:b/>
          <w:i/>
          <w:sz w:val="24"/>
          <w:szCs w:val="24"/>
          <w:highlight w:val="yellow"/>
        </w:rPr>
      </w:pPr>
    </w:p>
    <w:p w14:paraId="5AE0FA2F" w14:textId="77777777" w:rsidR="00D94493" w:rsidRPr="00D94493" w:rsidRDefault="00D94493" w:rsidP="00D94493">
      <w:pPr>
        <w:spacing w:after="0" w:line="240" w:lineRule="auto"/>
        <w:jc w:val="both"/>
        <w:rPr>
          <w:rFonts w:ascii="Times New Roman" w:eastAsia="Calibri" w:hAnsi="Times New Roman" w:cs="Times New Roman"/>
          <w:b/>
          <w:i/>
          <w:sz w:val="24"/>
          <w:szCs w:val="24"/>
        </w:rPr>
      </w:pPr>
      <w:r w:rsidRPr="00D94493">
        <w:rPr>
          <w:rFonts w:ascii="Times New Roman" w:eastAsia="Calibri" w:hAnsi="Times New Roman" w:cs="Times New Roman"/>
          <w:b/>
          <w:i/>
          <w:sz w:val="24"/>
          <w:szCs w:val="24"/>
        </w:rPr>
        <w:t>Odvod z hazardných hier</w:t>
      </w:r>
    </w:p>
    <w:p w14:paraId="03EABD83" w14:textId="77777777" w:rsidR="00D94493" w:rsidRPr="00D94493" w:rsidRDefault="00D94493" w:rsidP="00D94493">
      <w:pPr>
        <w:spacing w:after="0" w:line="240" w:lineRule="auto"/>
        <w:jc w:val="both"/>
        <w:rPr>
          <w:rFonts w:ascii="Times New Roman" w:eastAsia="Calibri" w:hAnsi="Times New Roman" w:cs="Times New Roman"/>
          <w:sz w:val="24"/>
        </w:rPr>
      </w:pPr>
      <w:r w:rsidRPr="00D94493">
        <w:rPr>
          <w:rFonts w:ascii="Times New Roman" w:eastAsia="Calibri" w:hAnsi="Times New Roman" w:cs="Times New Roman"/>
          <w:sz w:val="24"/>
        </w:rPr>
        <w:t>Od 1. februára 2023 sa zvyšuje sadzba odvodu z výťažku z hazardných hier v internetovom kasíne a kurzových stávkach z 22 % na 27 %. Zvýšenie sadzby však predstavuje dodatočné náklady pre prevádzkovateľov v sektore hazardných hier, ktoré sa premietne do nižších príjmov z firemnej dane o 5 až 7 mil. eur ročne.</w:t>
      </w:r>
    </w:p>
    <w:p w14:paraId="5F74F54C" w14:textId="77777777" w:rsidR="00D94493" w:rsidRPr="00D94493" w:rsidRDefault="00D94493" w:rsidP="00D94493">
      <w:pPr>
        <w:spacing w:after="0" w:line="240" w:lineRule="auto"/>
        <w:jc w:val="both"/>
        <w:rPr>
          <w:rFonts w:ascii="Times New Roman" w:eastAsia="Calibri" w:hAnsi="Times New Roman" w:cs="Times New Roman"/>
          <w:sz w:val="24"/>
          <w:szCs w:val="24"/>
          <w:highlight w:val="yellow"/>
        </w:rPr>
      </w:pPr>
    </w:p>
    <w:p w14:paraId="24F352FB" w14:textId="77777777" w:rsidR="00D94493" w:rsidRPr="00D94493" w:rsidRDefault="00D94493" w:rsidP="00D94493">
      <w:pPr>
        <w:spacing w:after="0"/>
        <w:jc w:val="both"/>
        <w:rPr>
          <w:rFonts w:ascii="Calibri" w:eastAsia="Calibri" w:hAnsi="Calibri" w:cs="Times New Roman"/>
        </w:rPr>
      </w:pPr>
      <w:r w:rsidRPr="00D94493">
        <w:rPr>
          <w:rFonts w:ascii="Times New Roman" w:eastAsia="Times New Roman" w:hAnsi="Times New Roman" w:cs="Times New Roman"/>
          <w:b/>
          <w:bCs/>
          <w:i/>
          <w:iCs/>
          <w:sz w:val="24"/>
          <w:szCs w:val="24"/>
        </w:rPr>
        <w:t>Minimálne poistné zo zdravotných odvodov</w:t>
      </w:r>
    </w:p>
    <w:p w14:paraId="25C33004" w14:textId="77777777" w:rsidR="00D94493" w:rsidRPr="00D94493" w:rsidRDefault="00D94493" w:rsidP="00D94493">
      <w:pPr>
        <w:spacing w:after="0" w:line="240" w:lineRule="auto"/>
        <w:jc w:val="both"/>
        <w:rPr>
          <w:rFonts w:ascii="Times New Roman" w:eastAsia="Calibri" w:hAnsi="Times New Roman" w:cs="Times New Roman"/>
          <w:sz w:val="24"/>
          <w:szCs w:val="24"/>
        </w:rPr>
      </w:pPr>
      <w:r w:rsidRPr="00D94493">
        <w:rPr>
          <w:rFonts w:ascii="Times New Roman" w:eastAsia="Times New Roman" w:hAnsi="Times New Roman" w:cs="Times New Roman"/>
          <w:sz w:val="24"/>
          <w:szCs w:val="24"/>
        </w:rPr>
        <w:t>S účinnosťou od 1. januára 2023 sa zaviedol minimálny vymeriavací základ zamestnanca na zdravotných odvodoch (neplatí pre poistencov štátu a ŤZP) vo výške platného životného minima. Z minimálneho vymeriavacieho základu sa odvedú zdravotné odvody tak, že preplatky resp. nedoplatky sa budú vyúčtovávať v ročnom zúčtovaní. Rozdiel medzi zaplatenými odvodmi a minimálnym poistným sa dorovnáva z odvodov zamestnanca; odvody zamestnávateľa sa touto legislatívou nemenia. Opatrenie je zamerané na boj s osobami, ktoré sa vyhýbajú plateniu zdravotných odvodov cez čiastočné úväzky. Jeho vplyv na výber zdravotných odvodov sa predpokladá vo výške okolo 20 mil. eur.</w:t>
      </w:r>
    </w:p>
    <w:p w14:paraId="4C15D235" w14:textId="77777777" w:rsidR="00D94493" w:rsidRPr="00D94493" w:rsidRDefault="00D94493" w:rsidP="00D94493">
      <w:pPr>
        <w:spacing w:after="0" w:line="240" w:lineRule="auto"/>
        <w:jc w:val="both"/>
        <w:rPr>
          <w:rFonts w:ascii="Times New Roman" w:eastAsia="Calibri" w:hAnsi="Times New Roman" w:cs="Times New Roman"/>
          <w:sz w:val="24"/>
          <w:szCs w:val="24"/>
          <w:highlight w:val="yellow"/>
        </w:rPr>
      </w:pPr>
    </w:p>
    <w:p w14:paraId="7C2E2367" w14:textId="77777777" w:rsidR="00D94493" w:rsidRPr="00D94493" w:rsidRDefault="00D94493" w:rsidP="00D94493">
      <w:pPr>
        <w:spacing w:after="0" w:line="240" w:lineRule="auto"/>
        <w:jc w:val="both"/>
        <w:rPr>
          <w:rFonts w:ascii="Times New Roman" w:eastAsia="Calibri" w:hAnsi="Times New Roman" w:cs="Times New Roman"/>
          <w:b/>
          <w:bCs/>
          <w:i/>
          <w:iCs/>
          <w:sz w:val="24"/>
          <w:szCs w:val="24"/>
        </w:rPr>
      </w:pPr>
      <w:r w:rsidRPr="00D94493">
        <w:rPr>
          <w:rFonts w:ascii="Times New Roman" w:eastAsia="Calibri" w:hAnsi="Times New Roman" w:cs="Times New Roman"/>
          <w:b/>
          <w:bCs/>
          <w:i/>
          <w:iCs/>
          <w:sz w:val="24"/>
          <w:szCs w:val="24"/>
        </w:rPr>
        <w:t>Zvýšenie sadzby poistného zdravotných odvodov o 1 %</w:t>
      </w:r>
    </w:p>
    <w:p w14:paraId="111112B1" w14:textId="77777777" w:rsidR="00D94493" w:rsidRPr="00D94493" w:rsidRDefault="00D94493" w:rsidP="00D94493">
      <w:pPr>
        <w:spacing w:after="0" w:line="240" w:lineRule="auto"/>
        <w:jc w:val="both"/>
        <w:rPr>
          <w:rFonts w:ascii="Times New Roman" w:eastAsia="Calibri" w:hAnsi="Times New Roman" w:cs="Times New Roman"/>
          <w:sz w:val="24"/>
          <w:szCs w:val="24"/>
        </w:rPr>
      </w:pPr>
      <w:r w:rsidRPr="00D94493">
        <w:rPr>
          <w:rFonts w:ascii="Times New Roman" w:eastAsia="Calibri" w:hAnsi="Times New Roman" w:cs="Times New Roman"/>
          <w:sz w:val="24"/>
          <w:szCs w:val="24"/>
        </w:rPr>
        <w:t xml:space="preserve">S účinnosťou od 1.1.2024 sa zvyšuje sadzba poistného zdravotných odvodov o 1 %. Táto zmena sa bude týkať časti odvodov platených zamestnávateľov, ktorých sadzba sa zvýši z 10 % na </w:t>
      </w:r>
      <w:r w:rsidRPr="00D94493">
        <w:rPr>
          <w:rFonts w:ascii="Times New Roman" w:eastAsia="Calibri" w:hAnsi="Times New Roman" w:cs="Times New Roman"/>
          <w:sz w:val="24"/>
          <w:szCs w:val="24"/>
        </w:rPr>
        <w:br/>
        <w:t xml:space="preserve">11 %. Časť odvodov platená zamestnancom zostane bez zmeny na 4 %. Osoby platiace celý balík odvodov (napr. SZČO a samoplatcovia) budú namiesto 14 % platiť od 1.1.2024 sadzbu </w:t>
      </w:r>
      <w:r w:rsidRPr="00D94493">
        <w:rPr>
          <w:rFonts w:ascii="Times New Roman" w:eastAsia="Calibri" w:hAnsi="Times New Roman" w:cs="Times New Roman"/>
          <w:sz w:val="24"/>
          <w:szCs w:val="24"/>
        </w:rPr>
        <w:lastRenderedPageBreak/>
        <w:t>15 %. Osobám ZŤP, na ktoré sa vzťahuje polovičná výška sadzby, sa sadzba zvýši proporčne o 0,5 %.</w:t>
      </w:r>
    </w:p>
    <w:p w14:paraId="5706D5E8" w14:textId="77777777" w:rsidR="00D94493" w:rsidRPr="00D94493" w:rsidRDefault="00D94493" w:rsidP="00D94493">
      <w:pPr>
        <w:spacing w:after="0" w:line="240" w:lineRule="auto"/>
        <w:jc w:val="both"/>
        <w:rPr>
          <w:rFonts w:ascii="Times New Roman" w:eastAsia="Calibri" w:hAnsi="Times New Roman" w:cs="Times New Roman"/>
          <w:sz w:val="24"/>
          <w:szCs w:val="24"/>
        </w:rPr>
      </w:pPr>
    </w:p>
    <w:p w14:paraId="3C491BAB" w14:textId="77777777" w:rsidR="00D94493" w:rsidRPr="00D94493" w:rsidRDefault="00D94493" w:rsidP="00D94493">
      <w:pPr>
        <w:spacing w:after="0" w:line="240" w:lineRule="auto"/>
        <w:jc w:val="both"/>
        <w:rPr>
          <w:rFonts w:ascii="Times New Roman" w:eastAsia="Calibri" w:hAnsi="Times New Roman" w:cs="Times New Roman"/>
          <w:b/>
          <w:i/>
          <w:sz w:val="24"/>
          <w:szCs w:val="24"/>
        </w:rPr>
      </w:pPr>
      <w:r w:rsidRPr="00D94493">
        <w:rPr>
          <w:rFonts w:ascii="Times New Roman" w:eastAsia="Calibri" w:hAnsi="Times New Roman" w:cs="Times New Roman"/>
          <w:b/>
          <w:i/>
          <w:sz w:val="24"/>
          <w:szCs w:val="24"/>
        </w:rPr>
        <w:t>Zrušenie koncesionárskych poplatkov</w:t>
      </w:r>
    </w:p>
    <w:p w14:paraId="5BB748A9" w14:textId="054C414F" w:rsidR="00D94493" w:rsidRPr="00D94493" w:rsidRDefault="00D94493" w:rsidP="00D94493">
      <w:pPr>
        <w:spacing w:after="0" w:line="240" w:lineRule="auto"/>
        <w:jc w:val="both"/>
        <w:rPr>
          <w:rFonts w:ascii="Times New Roman" w:eastAsia="Calibri" w:hAnsi="Times New Roman" w:cs="Times New Roman"/>
          <w:sz w:val="24"/>
          <w:szCs w:val="24"/>
        </w:rPr>
      </w:pPr>
      <w:r w:rsidRPr="00D94493">
        <w:rPr>
          <w:rFonts w:ascii="Times New Roman" w:eastAsia="Calibri" w:hAnsi="Times New Roman" w:cs="Times New Roman"/>
          <w:sz w:val="24"/>
          <w:szCs w:val="24"/>
        </w:rPr>
        <w:t>Od 1. júla 2023 sa zru</w:t>
      </w:r>
      <w:r w:rsidR="0031635B">
        <w:rPr>
          <w:rFonts w:ascii="Times New Roman" w:eastAsia="Calibri" w:hAnsi="Times New Roman" w:cs="Times New Roman"/>
          <w:sz w:val="24"/>
          <w:szCs w:val="24"/>
        </w:rPr>
        <w:t>šili</w:t>
      </w:r>
      <w:r w:rsidRPr="00D94493">
        <w:rPr>
          <w:rFonts w:ascii="Times New Roman" w:eastAsia="Calibri" w:hAnsi="Times New Roman" w:cs="Times New Roman"/>
          <w:sz w:val="24"/>
          <w:szCs w:val="24"/>
        </w:rPr>
        <w:t xml:space="preserve"> poplatky za služby verejnosti poskytované RTVS (tzv. koncesionárske poplatky) pre domácnosti aj firmy. Ako náhra</w:t>
      </w:r>
      <w:r w:rsidR="0031635B">
        <w:rPr>
          <w:rFonts w:ascii="Times New Roman" w:eastAsia="Calibri" w:hAnsi="Times New Roman" w:cs="Times New Roman"/>
          <w:sz w:val="24"/>
          <w:szCs w:val="24"/>
        </w:rPr>
        <w:t>da za výpadok príjmov sa zaviedol</w:t>
      </w:r>
      <w:r w:rsidRPr="00D94493">
        <w:rPr>
          <w:rFonts w:ascii="Times New Roman" w:eastAsia="Calibri" w:hAnsi="Times New Roman" w:cs="Times New Roman"/>
          <w:sz w:val="24"/>
          <w:szCs w:val="24"/>
        </w:rPr>
        <w:t xml:space="preserve"> </w:t>
      </w:r>
      <w:proofErr w:type="spellStart"/>
      <w:r w:rsidRPr="00D94493">
        <w:rPr>
          <w:rFonts w:ascii="Times New Roman" w:eastAsia="Calibri" w:hAnsi="Times New Roman" w:cs="Times New Roman"/>
          <w:sz w:val="24"/>
          <w:szCs w:val="24"/>
        </w:rPr>
        <w:t>nárokovateľný</w:t>
      </w:r>
      <w:proofErr w:type="spellEnd"/>
      <w:r w:rsidRPr="00D94493">
        <w:rPr>
          <w:rFonts w:ascii="Times New Roman" w:eastAsia="Calibri" w:hAnsi="Times New Roman" w:cs="Times New Roman"/>
          <w:sz w:val="24"/>
          <w:szCs w:val="24"/>
        </w:rPr>
        <w:t xml:space="preserve"> príspevok zo štátneho rozpočtu. Príspevok sa bude vyplácať vždy do konca januára v danom roku. </w:t>
      </w:r>
    </w:p>
    <w:p w14:paraId="216B578F" w14:textId="77777777" w:rsidR="00D94493" w:rsidRPr="00D94493" w:rsidRDefault="00D94493" w:rsidP="00D94493">
      <w:pPr>
        <w:spacing w:after="0" w:line="240" w:lineRule="auto"/>
        <w:jc w:val="both"/>
        <w:rPr>
          <w:rFonts w:ascii="Times New Roman" w:eastAsia="Calibri" w:hAnsi="Times New Roman" w:cs="Times New Roman"/>
          <w:b/>
          <w:i/>
          <w:sz w:val="24"/>
          <w:szCs w:val="24"/>
          <w:highlight w:val="yellow"/>
        </w:rPr>
      </w:pPr>
    </w:p>
    <w:p w14:paraId="2E0ACC76" w14:textId="77777777" w:rsidR="00D94493" w:rsidRPr="00D94493" w:rsidRDefault="00D94493" w:rsidP="00D94493">
      <w:pPr>
        <w:spacing w:after="0" w:line="240" w:lineRule="auto"/>
        <w:jc w:val="both"/>
        <w:rPr>
          <w:rFonts w:ascii="Times New Roman" w:eastAsia="Calibri" w:hAnsi="Times New Roman" w:cs="Times New Roman"/>
          <w:b/>
          <w:i/>
          <w:sz w:val="24"/>
          <w:szCs w:val="24"/>
        </w:rPr>
      </w:pPr>
      <w:r w:rsidRPr="00D94493">
        <w:rPr>
          <w:rFonts w:ascii="Times New Roman" w:eastAsia="Calibri" w:hAnsi="Times New Roman" w:cs="Times New Roman"/>
          <w:b/>
          <w:i/>
          <w:sz w:val="24"/>
          <w:szCs w:val="24"/>
        </w:rPr>
        <w:t xml:space="preserve">Trvalé zníženie DPH na 10 % pre </w:t>
      </w:r>
      <w:proofErr w:type="spellStart"/>
      <w:r w:rsidRPr="00D94493">
        <w:rPr>
          <w:rFonts w:ascii="Times New Roman" w:eastAsia="Calibri" w:hAnsi="Times New Roman" w:cs="Times New Roman"/>
          <w:b/>
          <w:i/>
          <w:sz w:val="24"/>
          <w:szCs w:val="24"/>
        </w:rPr>
        <w:t>gastro</w:t>
      </w:r>
      <w:proofErr w:type="spellEnd"/>
      <w:r w:rsidRPr="00D94493">
        <w:rPr>
          <w:rFonts w:ascii="Times New Roman" w:eastAsia="Calibri" w:hAnsi="Times New Roman" w:cs="Times New Roman"/>
          <w:b/>
          <w:i/>
          <w:sz w:val="24"/>
          <w:szCs w:val="24"/>
        </w:rPr>
        <w:t xml:space="preserve">, vleky, </w:t>
      </w:r>
      <w:proofErr w:type="spellStart"/>
      <w:r w:rsidRPr="00D94493">
        <w:rPr>
          <w:rFonts w:ascii="Times New Roman" w:eastAsia="Calibri" w:hAnsi="Times New Roman" w:cs="Times New Roman"/>
          <w:b/>
          <w:i/>
          <w:sz w:val="24"/>
          <w:szCs w:val="24"/>
        </w:rPr>
        <w:t>akvaparky</w:t>
      </w:r>
      <w:proofErr w:type="spellEnd"/>
      <w:r w:rsidRPr="00D94493">
        <w:rPr>
          <w:rFonts w:ascii="Times New Roman" w:eastAsia="Calibri" w:hAnsi="Times New Roman" w:cs="Times New Roman"/>
          <w:b/>
          <w:i/>
          <w:sz w:val="24"/>
          <w:szCs w:val="24"/>
        </w:rPr>
        <w:t xml:space="preserve"> a športoviská od 1.1.2023</w:t>
      </w:r>
    </w:p>
    <w:p w14:paraId="6F529797" w14:textId="77777777" w:rsidR="00D94493" w:rsidRPr="00D94493" w:rsidRDefault="00D94493" w:rsidP="00D94493">
      <w:pPr>
        <w:spacing w:after="0" w:line="240" w:lineRule="auto"/>
        <w:jc w:val="both"/>
        <w:rPr>
          <w:rFonts w:ascii="Times New Roman" w:eastAsia="Calibri" w:hAnsi="Times New Roman" w:cs="Times New Roman"/>
          <w:sz w:val="24"/>
          <w:szCs w:val="24"/>
        </w:rPr>
      </w:pPr>
      <w:r w:rsidRPr="00D94493">
        <w:rPr>
          <w:rFonts w:ascii="Times New Roman" w:eastAsia="Calibri" w:hAnsi="Times New Roman" w:cs="Times New Roman"/>
          <w:sz w:val="24"/>
          <w:szCs w:val="24"/>
        </w:rPr>
        <w:t xml:space="preserve">S účinnosťou od 1.1.2023 sa v zákone o DPH do zoznamu tovarov a služieb, na ktoré je uplatňovaná znížená sadzba DPH 10 % pridávajú aj služby spojené s podávaním jedál a nápojov – len reštauračné a stravovacie služby, prevádzka športových zariadení – len sprístupnenie krytých a nekrytých športových zariadení, ako napríklad štadiónov, arén, klzísk, plavární, športových ihrísk, golfových ihrísk, kolkární, tenisových kurtov a jazdiarní, na účely vykonávania športu, služby fitnescentier – len vstupné do fitnescentier, služby súvisiace s prevádzkou rekreačných parkov a pláží – len vstupné do umelých kúpalísk a preprava osôb visutými a pozemnými lanovkami, lyžiarskymi vlekmi. </w:t>
      </w:r>
    </w:p>
    <w:p w14:paraId="4E8E7C0F" w14:textId="77777777" w:rsidR="00D94493" w:rsidRPr="00D94493" w:rsidRDefault="00D94493" w:rsidP="00D94493">
      <w:pPr>
        <w:spacing w:after="0" w:line="240" w:lineRule="auto"/>
        <w:jc w:val="both"/>
        <w:rPr>
          <w:rFonts w:ascii="Times New Roman" w:eastAsia="Calibri" w:hAnsi="Times New Roman" w:cs="Times New Roman"/>
          <w:sz w:val="24"/>
          <w:szCs w:val="24"/>
        </w:rPr>
      </w:pPr>
    </w:p>
    <w:p w14:paraId="4B3A1D32" w14:textId="77777777" w:rsidR="00D94493" w:rsidRPr="00D94493" w:rsidRDefault="00D94493" w:rsidP="00D94493">
      <w:pPr>
        <w:spacing w:after="0" w:line="240" w:lineRule="auto"/>
        <w:jc w:val="both"/>
        <w:rPr>
          <w:rFonts w:ascii="Times New Roman" w:eastAsia="Calibri" w:hAnsi="Times New Roman" w:cs="Times New Roman"/>
          <w:b/>
          <w:i/>
          <w:sz w:val="24"/>
          <w:szCs w:val="24"/>
        </w:rPr>
      </w:pPr>
      <w:r w:rsidRPr="00D94493">
        <w:rPr>
          <w:rFonts w:ascii="Times New Roman" w:eastAsia="Calibri" w:hAnsi="Times New Roman" w:cs="Times New Roman"/>
          <w:b/>
          <w:i/>
          <w:sz w:val="24"/>
          <w:szCs w:val="24"/>
        </w:rPr>
        <w:t>Trvalé zvýšenie DPH na 20 % na alkohol v reštauračných a stravovacích zariadeniach od 1.1.2024</w:t>
      </w:r>
    </w:p>
    <w:p w14:paraId="0F7EE786" w14:textId="77777777" w:rsidR="00D94493" w:rsidRPr="00D94493" w:rsidRDefault="00D94493" w:rsidP="00D94493">
      <w:pPr>
        <w:spacing w:after="0" w:line="240" w:lineRule="auto"/>
        <w:jc w:val="both"/>
        <w:rPr>
          <w:rFonts w:ascii="Times New Roman" w:eastAsia="Times New Roman" w:hAnsi="Times New Roman" w:cs="Times New Roman"/>
          <w:sz w:val="24"/>
          <w:szCs w:val="24"/>
          <w:lang w:eastAsia="sk-SK"/>
        </w:rPr>
      </w:pPr>
      <w:r w:rsidRPr="00D94493">
        <w:rPr>
          <w:rFonts w:ascii="Times New Roman" w:eastAsia="Times New Roman" w:hAnsi="Times New Roman" w:cs="Times New Roman"/>
          <w:sz w:val="24"/>
          <w:szCs w:val="24"/>
          <w:lang w:eastAsia="sk-SK"/>
        </w:rPr>
        <w:t xml:space="preserve">S účinnosťou od 1.1.2024 sa zvyšuje sadzba DPH v sektore </w:t>
      </w:r>
      <w:proofErr w:type="spellStart"/>
      <w:r w:rsidRPr="00D94493">
        <w:rPr>
          <w:rFonts w:ascii="Times New Roman" w:eastAsia="Times New Roman" w:hAnsi="Times New Roman" w:cs="Times New Roman"/>
          <w:sz w:val="24"/>
          <w:szCs w:val="24"/>
          <w:lang w:eastAsia="sk-SK"/>
        </w:rPr>
        <w:t>gastro</w:t>
      </w:r>
      <w:proofErr w:type="spellEnd"/>
      <w:r w:rsidRPr="00D94493">
        <w:rPr>
          <w:rFonts w:ascii="Times New Roman" w:eastAsia="Times New Roman" w:hAnsi="Times New Roman" w:cs="Times New Roman"/>
          <w:sz w:val="24"/>
          <w:szCs w:val="24"/>
          <w:lang w:eastAsia="sk-SK"/>
        </w:rPr>
        <w:t xml:space="preserve"> na alkoholické nápoje z 10 % na 20 % . Dochádza k zúženiu rozsahu zníženej sadzby DPH pre stravovacie a reštauračné služby o alkoholické nápoje.</w:t>
      </w:r>
    </w:p>
    <w:p w14:paraId="1284C9C9" w14:textId="77777777" w:rsidR="00D94493" w:rsidRPr="00D94493" w:rsidRDefault="00D94493" w:rsidP="00D94493">
      <w:pPr>
        <w:spacing w:after="0" w:line="240" w:lineRule="auto"/>
        <w:jc w:val="both"/>
        <w:rPr>
          <w:rFonts w:ascii="Times New Roman" w:eastAsia="Calibri" w:hAnsi="Times New Roman" w:cs="Times New Roman"/>
          <w:b/>
          <w:i/>
          <w:sz w:val="24"/>
          <w:szCs w:val="24"/>
          <w:highlight w:val="yellow"/>
        </w:rPr>
      </w:pPr>
    </w:p>
    <w:p w14:paraId="0B3DF026" w14:textId="77777777" w:rsidR="00D94493" w:rsidRPr="00D94493" w:rsidRDefault="00D94493" w:rsidP="00D94493">
      <w:pPr>
        <w:spacing w:after="0" w:line="240" w:lineRule="auto"/>
        <w:jc w:val="both"/>
        <w:rPr>
          <w:rFonts w:ascii="Times New Roman" w:eastAsia="Calibri" w:hAnsi="Times New Roman" w:cs="Times New Roman"/>
          <w:b/>
          <w:bCs/>
          <w:i/>
          <w:iCs/>
          <w:sz w:val="24"/>
          <w:szCs w:val="24"/>
        </w:rPr>
      </w:pPr>
      <w:r w:rsidRPr="00D94493">
        <w:rPr>
          <w:rFonts w:ascii="Times New Roman" w:eastAsia="Calibri" w:hAnsi="Times New Roman" w:cs="Times New Roman"/>
          <w:b/>
          <w:bCs/>
          <w:i/>
          <w:iCs/>
          <w:sz w:val="24"/>
          <w:szCs w:val="24"/>
        </w:rPr>
        <w:t>Solidárny príspevok z činností v odvetviach ropy, zemného plynu, uhlia a rafinérií (55 % na rok 2022)</w:t>
      </w:r>
    </w:p>
    <w:p w14:paraId="6232AA42" w14:textId="77777777" w:rsidR="00D94493" w:rsidRPr="00D94493" w:rsidRDefault="00D94493" w:rsidP="00D94493">
      <w:pPr>
        <w:spacing w:after="0" w:line="240" w:lineRule="auto"/>
        <w:jc w:val="both"/>
        <w:rPr>
          <w:rFonts w:ascii="Times New Roman" w:eastAsia="Calibri" w:hAnsi="Times New Roman" w:cs="Times New Roman"/>
          <w:sz w:val="24"/>
          <w:szCs w:val="24"/>
        </w:rPr>
      </w:pPr>
      <w:r w:rsidRPr="00D94493">
        <w:rPr>
          <w:rFonts w:ascii="Times New Roman" w:eastAsia="Calibri" w:hAnsi="Times New Roman" w:cs="Times New Roman"/>
          <w:sz w:val="24"/>
          <w:szCs w:val="24"/>
        </w:rPr>
        <w:t xml:space="preserve">S účinnosťou od 1. januára 2023 sa zavádza solidárny príspevok ako implementácia Nariadenia EÚ, ktorá umožňuje získať dodatočné zdroje na riešenie energetickej krízy od firiem, ktoré dosahujú nadmerné zisky plynúce z energetickej krízy. V zmysle uvedeného tak solidárny príspevok predstavuje zdroje, ktoré možno použiť na finančné podporné opatrenia pre koncových odberateľov energie, a najmä pre zraniteľné domácnosti, na cielené zmiernenie účinkov vysokých cien energie. Pod solidárny príspevok spadajú 3 stredne veľké subjekty a približne 10 malých subjektov. Kvantifikácia zohľadňuje len významný subjekt v rafinérskom priemysle kvôli </w:t>
      </w:r>
      <w:proofErr w:type="spellStart"/>
      <w:r w:rsidRPr="00D94493">
        <w:rPr>
          <w:rFonts w:ascii="Times New Roman" w:eastAsia="Calibri" w:hAnsi="Times New Roman" w:cs="Times New Roman"/>
          <w:sz w:val="24"/>
          <w:szCs w:val="24"/>
        </w:rPr>
        <w:t>nadziskom</w:t>
      </w:r>
      <w:proofErr w:type="spellEnd"/>
      <w:r w:rsidRPr="00D94493">
        <w:rPr>
          <w:rFonts w:ascii="Times New Roman" w:eastAsia="Calibri" w:hAnsi="Times New Roman" w:cs="Times New Roman"/>
          <w:sz w:val="24"/>
          <w:szCs w:val="24"/>
        </w:rPr>
        <w:t xml:space="preserve">. Základňou pre solidárny príspevok je zdaniteľný príjem 20 % nad priemerom za roky 2018 až 2021. Sadzba je stanovená na 55 %. Účinnosť je od 2023, ale ekonomicky sa týka roku 2022, preto je v akruálnom svete vplyv v roku 2022. </w:t>
      </w:r>
      <w:proofErr w:type="spellStart"/>
      <w:r w:rsidRPr="00D94493">
        <w:rPr>
          <w:rFonts w:ascii="Times New Roman" w:eastAsia="Calibri" w:hAnsi="Times New Roman" w:cs="Times New Roman"/>
          <w:sz w:val="24"/>
          <w:szCs w:val="24"/>
        </w:rPr>
        <w:t>Nadzisk</w:t>
      </w:r>
      <w:proofErr w:type="spellEnd"/>
      <w:r w:rsidRPr="00D94493">
        <w:rPr>
          <w:rFonts w:ascii="Times New Roman" w:eastAsia="Calibri" w:hAnsi="Times New Roman" w:cs="Times New Roman"/>
          <w:sz w:val="24"/>
          <w:szCs w:val="24"/>
        </w:rPr>
        <w:t xml:space="preserve"> plynie zo </w:t>
      </w:r>
      <w:proofErr w:type="spellStart"/>
      <w:r w:rsidRPr="00D94493">
        <w:rPr>
          <w:rFonts w:ascii="Times New Roman" w:eastAsia="Calibri" w:hAnsi="Times New Roman" w:cs="Times New Roman"/>
          <w:sz w:val="24"/>
          <w:szCs w:val="24"/>
        </w:rPr>
        <w:t>spreadu</w:t>
      </w:r>
      <w:proofErr w:type="spellEnd"/>
      <w:r w:rsidRPr="00D94493">
        <w:rPr>
          <w:rFonts w:ascii="Times New Roman" w:eastAsia="Calibri" w:hAnsi="Times New Roman" w:cs="Times New Roman"/>
          <w:sz w:val="24"/>
          <w:szCs w:val="24"/>
        </w:rPr>
        <w:t xml:space="preserve"> medzi ropou </w:t>
      </w:r>
      <w:proofErr w:type="spellStart"/>
      <w:r w:rsidRPr="00D94493">
        <w:rPr>
          <w:rFonts w:ascii="Times New Roman" w:eastAsia="Calibri" w:hAnsi="Times New Roman" w:cs="Times New Roman"/>
          <w:sz w:val="24"/>
          <w:szCs w:val="24"/>
        </w:rPr>
        <w:t>Urals</w:t>
      </w:r>
      <w:proofErr w:type="spellEnd"/>
      <w:r w:rsidRPr="00D94493">
        <w:rPr>
          <w:rFonts w:ascii="Times New Roman" w:eastAsia="Calibri" w:hAnsi="Times New Roman" w:cs="Times New Roman"/>
          <w:sz w:val="24"/>
          <w:szCs w:val="24"/>
        </w:rPr>
        <w:t xml:space="preserve"> (nákupné ceny) a </w:t>
      </w:r>
      <w:proofErr w:type="spellStart"/>
      <w:r w:rsidRPr="00D94493">
        <w:rPr>
          <w:rFonts w:ascii="Times New Roman" w:eastAsia="Calibri" w:hAnsi="Times New Roman" w:cs="Times New Roman"/>
          <w:sz w:val="24"/>
          <w:szCs w:val="24"/>
        </w:rPr>
        <w:t>Brent</w:t>
      </w:r>
      <w:proofErr w:type="spellEnd"/>
      <w:r w:rsidRPr="00D94493">
        <w:rPr>
          <w:rFonts w:ascii="Times New Roman" w:eastAsia="Calibri" w:hAnsi="Times New Roman" w:cs="Times New Roman"/>
          <w:sz w:val="24"/>
          <w:szCs w:val="24"/>
        </w:rPr>
        <w:t xml:space="preserve"> (predajné ceny), ktorý sa v roku 2022 pohyboval maximálne na úrovni 30 USD na barel. Na základe odhadu spracovanej ropy na úrovni minulých rokov a odhade ostatných nákladových položiek očakávame zisk na úrovni nad 1 mld. eur  Fiškálny vplyv je ponížený o ušlý výnos z </w:t>
      </w:r>
      <w:proofErr w:type="spellStart"/>
      <w:r w:rsidRPr="00D94493">
        <w:rPr>
          <w:rFonts w:ascii="Times New Roman" w:eastAsia="Calibri" w:hAnsi="Times New Roman" w:cs="Times New Roman"/>
          <w:sz w:val="24"/>
          <w:szCs w:val="24"/>
        </w:rPr>
        <w:t>korporátnej</w:t>
      </w:r>
      <w:proofErr w:type="spellEnd"/>
      <w:r w:rsidRPr="00D94493">
        <w:rPr>
          <w:rFonts w:ascii="Times New Roman" w:eastAsia="Calibri" w:hAnsi="Times New Roman" w:cs="Times New Roman"/>
          <w:sz w:val="24"/>
          <w:szCs w:val="24"/>
        </w:rPr>
        <w:t xml:space="preserve"> dane za predpokladu, že subjektu sa navýšia daňovo uznateľné výdavky.  </w:t>
      </w:r>
    </w:p>
    <w:p w14:paraId="4CBA989E" w14:textId="77777777" w:rsidR="00D94493" w:rsidRPr="00D94493" w:rsidRDefault="00D94493" w:rsidP="00D94493">
      <w:pPr>
        <w:spacing w:after="0" w:line="240" w:lineRule="auto"/>
        <w:jc w:val="both"/>
        <w:rPr>
          <w:rFonts w:ascii="Times New Roman" w:eastAsia="Calibri" w:hAnsi="Times New Roman" w:cs="Times New Roman"/>
          <w:sz w:val="24"/>
          <w:szCs w:val="24"/>
        </w:rPr>
      </w:pPr>
    </w:p>
    <w:p w14:paraId="2D7DBBCB" w14:textId="77777777" w:rsidR="00D94493" w:rsidRPr="00D94493" w:rsidRDefault="00D94493" w:rsidP="00D94493">
      <w:pPr>
        <w:spacing w:after="0" w:line="240" w:lineRule="auto"/>
        <w:jc w:val="both"/>
        <w:rPr>
          <w:rFonts w:ascii="Times New Roman" w:eastAsia="Calibri" w:hAnsi="Times New Roman" w:cs="Times New Roman"/>
          <w:sz w:val="24"/>
          <w:szCs w:val="24"/>
        </w:rPr>
      </w:pPr>
      <w:r w:rsidRPr="00D94493">
        <w:rPr>
          <w:rFonts w:ascii="Times New Roman" w:eastAsia="Calibri" w:hAnsi="Times New Roman" w:cs="Times New Roman"/>
          <w:sz w:val="24"/>
          <w:szCs w:val="24"/>
        </w:rPr>
        <w:t>S účinnosťou od 1. mája 2023 sa schválilo prechodné ustanovenie k zákonu o solidárnom príspevku z činností v odvetviach ropy, zemného plynu, uhlia a rafinérií. Ustanovenie navyšuje základnú sadzbu príspevku z 55 % na 70 % na príjmy z roka 2023.</w:t>
      </w:r>
    </w:p>
    <w:p w14:paraId="4B9A1EC8" w14:textId="77777777" w:rsidR="00D94493" w:rsidRPr="00D94493" w:rsidRDefault="00D94493" w:rsidP="00D94493">
      <w:pPr>
        <w:spacing w:after="0" w:line="240" w:lineRule="auto"/>
        <w:jc w:val="both"/>
        <w:rPr>
          <w:rFonts w:ascii="Times New Roman" w:eastAsia="Calibri" w:hAnsi="Times New Roman" w:cs="Times New Roman"/>
          <w:sz w:val="24"/>
          <w:szCs w:val="24"/>
        </w:rPr>
      </w:pPr>
    </w:p>
    <w:p w14:paraId="729BB5CC" w14:textId="77777777" w:rsidR="00D94493" w:rsidRPr="00D94493" w:rsidRDefault="00D94493" w:rsidP="00D94493">
      <w:pPr>
        <w:spacing w:after="0" w:line="240" w:lineRule="auto"/>
        <w:jc w:val="both"/>
        <w:rPr>
          <w:rFonts w:ascii="Times New Roman" w:eastAsia="Calibri" w:hAnsi="Times New Roman" w:cs="Times New Roman"/>
          <w:sz w:val="24"/>
          <w:szCs w:val="24"/>
        </w:rPr>
      </w:pPr>
      <w:r w:rsidRPr="00D94493">
        <w:rPr>
          <w:rFonts w:ascii="Times New Roman" w:eastAsia="Calibri" w:hAnsi="Times New Roman" w:cs="Times New Roman"/>
          <w:sz w:val="24"/>
          <w:szCs w:val="24"/>
        </w:rPr>
        <w:t xml:space="preserve">Opatrenie ostáva v platnosti v rovnakom znení aj pre rok 2024. </w:t>
      </w:r>
    </w:p>
    <w:p w14:paraId="5A9A3677" w14:textId="77777777" w:rsidR="00D94493" w:rsidRPr="00D94493" w:rsidRDefault="00D94493" w:rsidP="00D94493">
      <w:pPr>
        <w:spacing w:after="0" w:line="240" w:lineRule="auto"/>
        <w:jc w:val="both"/>
        <w:rPr>
          <w:rFonts w:ascii="Times New Roman" w:eastAsia="Calibri" w:hAnsi="Times New Roman" w:cs="Times New Roman"/>
          <w:b/>
          <w:i/>
          <w:sz w:val="24"/>
          <w:szCs w:val="24"/>
          <w:highlight w:val="yellow"/>
        </w:rPr>
      </w:pPr>
    </w:p>
    <w:p w14:paraId="692847AC" w14:textId="77777777" w:rsidR="00D94493" w:rsidRPr="00D94493" w:rsidRDefault="00D94493" w:rsidP="00D94493">
      <w:pPr>
        <w:spacing w:after="0" w:line="240" w:lineRule="auto"/>
        <w:jc w:val="both"/>
        <w:rPr>
          <w:rFonts w:ascii="Times New Roman" w:eastAsia="Calibri" w:hAnsi="Times New Roman" w:cs="Times New Roman"/>
          <w:b/>
          <w:bCs/>
          <w:i/>
          <w:iCs/>
          <w:sz w:val="24"/>
          <w:szCs w:val="24"/>
        </w:rPr>
      </w:pPr>
    </w:p>
    <w:p w14:paraId="49528686" w14:textId="77777777" w:rsidR="00D94493" w:rsidRPr="00D94493" w:rsidRDefault="00D94493" w:rsidP="00D94493">
      <w:pPr>
        <w:spacing w:after="0" w:line="240" w:lineRule="auto"/>
        <w:jc w:val="both"/>
        <w:rPr>
          <w:rFonts w:ascii="Times New Roman" w:eastAsia="Calibri" w:hAnsi="Times New Roman" w:cs="Times New Roman"/>
          <w:b/>
          <w:bCs/>
          <w:i/>
          <w:iCs/>
          <w:sz w:val="24"/>
          <w:szCs w:val="24"/>
        </w:rPr>
      </w:pPr>
      <w:r w:rsidRPr="00D94493">
        <w:rPr>
          <w:rFonts w:ascii="Times New Roman" w:eastAsia="Calibri" w:hAnsi="Times New Roman" w:cs="Times New Roman"/>
          <w:b/>
          <w:bCs/>
          <w:i/>
          <w:iCs/>
          <w:sz w:val="24"/>
          <w:szCs w:val="24"/>
        </w:rPr>
        <w:lastRenderedPageBreak/>
        <w:t>Príjem z odvodu z nadmerných príjmov elektrární v rokoch 2023 a 2024</w:t>
      </w:r>
    </w:p>
    <w:p w14:paraId="7DFF91E0" w14:textId="77777777" w:rsidR="00D94493" w:rsidRPr="00D94493" w:rsidRDefault="00D94493" w:rsidP="00D94493">
      <w:pPr>
        <w:spacing w:after="0" w:line="240" w:lineRule="auto"/>
        <w:jc w:val="both"/>
        <w:rPr>
          <w:rFonts w:ascii="Times New Roman" w:eastAsia="Calibri" w:hAnsi="Times New Roman" w:cs="Times New Roman"/>
          <w:sz w:val="24"/>
          <w:szCs w:val="24"/>
        </w:rPr>
      </w:pPr>
      <w:r w:rsidRPr="00D94493">
        <w:rPr>
          <w:rFonts w:ascii="Times New Roman" w:eastAsia="Calibri" w:hAnsi="Times New Roman" w:cs="Times New Roman"/>
          <w:sz w:val="24"/>
          <w:szCs w:val="24"/>
        </w:rPr>
        <w:t xml:space="preserve">Zákonom o energetike sa s účinnosťou od 8. decembra 2022 zaviedol dočasný odvod z nadmerných príjmov výrobcov elektriny z </w:t>
      </w:r>
      <w:proofErr w:type="spellStart"/>
      <w:r w:rsidRPr="00D94493">
        <w:rPr>
          <w:rFonts w:ascii="Times New Roman" w:eastAsia="Calibri" w:hAnsi="Times New Roman" w:cs="Times New Roman"/>
          <w:sz w:val="24"/>
          <w:szCs w:val="24"/>
        </w:rPr>
        <w:t>inframarginálnych</w:t>
      </w:r>
      <w:proofErr w:type="spellEnd"/>
      <w:r w:rsidRPr="00D94493">
        <w:rPr>
          <w:rFonts w:ascii="Times New Roman" w:eastAsia="Calibri" w:hAnsi="Times New Roman" w:cs="Times New Roman"/>
          <w:sz w:val="24"/>
          <w:szCs w:val="24"/>
        </w:rPr>
        <w:t xml:space="preserve"> zdrojov. Následne vláda SR uznesením z 31. januára 2023 ustanovila detaily vrátane stanovenie strop. Nadmerným príjmom sa rozumie rozdiel medzi výnosmi z trhového príjmu a stropom trhového príjmu, pričom sadzba odvodu je 90 % z tejto hodnoty. Odvod sa nevzťahuje na zariadeniami pod 0,9 MW inštalovaného výkonu a výrobcov elektrickej energie z obnoviteľných zdrojov. </w:t>
      </w:r>
    </w:p>
    <w:p w14:paraId="508C3E5A" w14:textId="77777777" w:rsidR="00D94493" w:rsidRPr="00D94493" w:rsidRDefault="00D94493" w:rsidP="00D94493">
      <w:pPr>
        <w:spacing w:after="0" w:line="240" w:lineRule="auto"/>
        <w:jc w:val="both"/>
        <w:rPr>
          <w:rFonts w:ascii="Times New Roman" w:eastAsia="Calibri" w:hAnsi="Times New Roman" w:cs="Times New Roman"/>
          <w:b/>
          <w:i/>
          <w:sz w:val="24"/>
          <w:szCs w:val="24"/>
        </w:rPr>
      </w:pPr>
    </w:p>
    <w:p w14:paraId="2F40E5D4" w14:textId="77777777" w:rsidR="00D94493" w:rsidRPr="00D94493" w:rsidRDefault="00D94493" w:rsidP="00D94493">
      <w:pPr>
        <w:spacing w:after="0" w:line="240" w:lineRule="auto"/>
        <w:jc w:val="both"/>
        <w:rPr>
          <w:rFonts w:ascii="Times New Roman" w:eastAsia="Calibri" w:hAnsi="Times New Roman" w:cs="Times New Roman"/>
          <w:b/>
          <w:i/>
          <w:sz w:val="24"/>
          <w:szCs w:val="24"/>
        </w:rPr>
      </w:pPr>
      <w:r w:rsidRPr="00D94493">
        <w:rPr>
          <w:rFonts w:ascii="Times New Roman" w:eastAsia="Calibri" w:hAnsi="Times New Roman" w:cs="Times New Roman"/>
          <w:b/>
          <w:i/>
          <w:sz w:val="24"/>
          <w:szCs w:val="24"/>
        </w:rPr>
        <w:t>Zvýšenie sadzieb daní z nehnuteľností od roku 2023 v niektorých obciach (zmeny vo VZN)</w:t>
      </w:r>
    </w:p>
    <w:p w14:paraId="67BDB567" w14:textId="77777777" w:rsidR="00D94493" w:rsidRPr="00D94493" w:rsidRDefault="00D94493" w:rsidP="00D94493">
      <w:pPr>
        <w:spacing w:after="0" w:line="240" w:lineRule="auto"/>
        <w:rPr>
          <w:rFonts w:ascii="Times New Roman" w:eastAsia="Calibri" w:hAnsi="Times New Roman" w:cs="Times New Roman"/>
          <w:sz w:val="24"/>
          <w:szCs w:val="24"/>
        </w:rPr>
      </w:pPr>
      <w:r w:rsidRPr="00D94493">
        <w:rPr>
          <w:rFonts w:ascii="Times New Roman" w:eastAsia="Calibri" w:hAnsi="Times New Roman" w:cs="Times New Roman"/>
          <w:sz w:val="24"/>
          <w:szCs w:val="24"/>
        </w:rPr>
        <w:t>Koncom roka 2022 niektoré mestá a obce upravili sadzby dane z nehnuteľností s účinnosťou od roka 2023. Celkový vplyv tejto zmeny odhadujeme vo výške 34 mil. eur.</w:t>
      </w:r>
    </w:p>
    <w:p w14:paraId="73E523E1" w14:textId="77777777" w:rsidR="00D94493" w:rsidRPr="00D94493" w:rsidRDefault="00D94493" w:rsidP="00D94493">
      <w:pPr>
        <w:spacing w:after="0" w:line="240" w:lineRule="auto"/>
        <w:jc w:val="both"/>
        <w:rPr>
          <w:rFonts w:ascii="Times New Roman" w:eastAsia="Calibri" w:hAnsi="Times New Roman" w:cs="Times New Roman"/>
          <w:b/>
          <w:i/>
          <w:sz w:val="24"/>
          <w:szCs w:val="24"/>
          <w:highlight w:val="yellow"/>
        </w:rPr>
      </w:pPr>
    </w:p>
    <w:p w14:paraId="389E6B6B" w14:textId="77777777" w:rsidR="00D94493" w:rsidRPr="00D94493" w:rsidRDefault="00D94493" w:rsidP="00D94493">
      <w:pPr>
        <w:spacing w:after="0" w:line="240" w:lineRule="auto"/>
        <w:jc w:val="both"/>
        <w:rPr>
          <w:rFonts w:ascii="Times New Roman" w:eastAsia="Calibri" w:hAnsi="Times New Roman" w:cs="Times New Roman"/>
          <w:b/>
          <w:i/>
          <w:sz w:val="24"/>
          <w:szCs w:val="24"/>
        </w:rPr>
      </w:pPr>
      <w:r w:rsidRPr="00D94493">
        <w:rPr>
          <w:rFonts w:ascii="Times New Roman" w:eastAsia="Calibri" w:hAnsi="Times New Roman" w:cs="Times New Roman"/>
          <w:b/>
          <w:i/>
          <w:sz w:val="24"/>
          <w:szCs w:val="24"/>
        </w:rPr>
        <w:t xml:space="preserve">Poplatky za odpad - zákaz skládkovania komunálneho odpadu bez </w:t>
      </w:r>
      <w:proofErr w:type="spellStart"/>
      <w:r w:rsidRPr="00D94493">
        <w:rPr>
          <w:rFonts w:ascii="Times New Roman" w:eastAsia="Calibri" w:hAnsi="Times New Roman" w:cs="Times New Roman"/>
          <w:b/>
          <w:i/>
          <w:sz w:val="24"/>
          <w:szCs w:val="24"/>
        </w:rPr>
        <w:t>predúpravy</w:t>
      </w:r>
      <w:proofErr w:type="spellEnd"/>
    </w:p>
    <w:p w14:paraId="308BCB4D" w14:textId="77777777" w:rsidR="00D94493" w:rsidRPr="00D94493" w:rsidRDefault="00D94493" w:rsidP="00D94493">
      <w:pPr>
        <w:spacing w:after="0" w:line="240" w:lineRule="auto"/>
        <w:jc w:val="both"/>
        <w:rPr>
          <w:rFonts w:ascii="Times New Roman" w:eastAsia="Calibri" w:hAnsi="Times New Roman" w:cs="Times New Roman"/>
          <w:sz w:val="24"/>
          <w:szCs w:val="24"/>
        </w:rPr>
      </w:pPr>
      <w:r w:rsidRPr="00D94493">
        <w:rPr>
          <w:rFonts w:ascii="Times New Roman" w:eastAsia="Calibri" w:hAnsi="Times New Roman" w:cs="Times New Roman"/>
          <w:sz w:val="24"/>
          <w:szCs w:val="24"/>
        </w:rPr>
        <w:t xml:space="preserve">Od roku 2024 mal vstúpiť do platnosti zákaz skládkovania komunálneho odpadu na skládkach bez </w:t>
      </w:r>
      <w:proofErr w:type="spellStart"/>
      <w:r w:rsidRPr="00D94493">
        <w:rPr>
          <w:rFonts w:ascii="Times New Roman" w:eastAsia="Calibri" w:hAnsi="Times New Roman" w:cs="Times New Roman"/>
          <w:sz w:val="24"/>
          <w:szCs w:val="24"/>
        </w:rPr>
        <w:t>predúpravy</w:t>
      </w:r>
      <w:proofErr w:type="spellEnd"/>
      <w:r w:rsidRPr="00D94493">
        <w:rPr>
          <w:rFonts w:ascii="Times New Roman" w:eastAsia="Calibri" w:hAnsi="Times New Roman" w:cs="Times New Roman"/>
          <w:sz w:val="24"/>
          <w:szCs w:val="24"/>
        </w:rPr>
        <w:t xml:space="preserve">. Odpad, ktorý prejde </w:t>
      </w:r>
      <w:proofErr w:type="spellStart"/>
      <w:r w:rsidRPr="00D94493">
        <w:rPr>
          <w:rFonts w:ascii="Times New Roman" w:eastAsia="Calibri" w:hAnsi="Times New Roman" w:cs="Times New Roman"/>
          <w:sz w:val="24"/>
          <w:szCs w:val="24"/>
        </w:rPr>
        <w:t>predúpravou</w:t>
      </w:r>
      <w:proofErr w:type="spellEnd"/>
      <w:r w:rsidRPr="00D94493">
        <w:rPr>
          <w:rFonts w:ascii="Times New Roman" w:eastAsia="Calibri" w:hAnsi="Times New Roman" w:cs="Times New Roman"/>
          <w:sz w:val="24"/>
          <w:szCs w:val="24"/>
        </w:rPr>
        <w:t xml:space="preserve">, bude mať nižšiu sadzbu za skládkovanie, ostatný odpad nebude možné na skládke uložiť. </w:t>
      </w:r>
    </w:p>
    <w:p w14:paraId="7E03243B" w14:textId="77777777" w:rsidR="00D94493" w:rsidRPr="00D94493" w:rsidRDefault="00D94493" w:rsidP="00D94493">
      <w:pPr>
        <w:spacing w:after="0" w:line="240" w:lineRule="auto"/>
        <w:jc w:val="both"/>
        <w:rPr>
          <w:rFonts w:ascii="Times New Roman" w:eastAsia="Calibri" w:hAnsi="Times New Roman" w:cs="Times New Roman"/>
          <w:sz w:val="24"/>
          <w:szCs w:val="24"/>
        </w:rPr>
      </w:pPr>
      <w:r w:rsidRPr="00D94493">
        <w:rPr>
          <w:rFonts w:ascii="Times New Roman" w:eastAsia="Calibri" w:hAnsi="Times New Roman" w:cs="Times New Roman"/>
          <w:sz w:val="24"/>
          <w:szCs w:val="24"/>
        </w:rPr>
        <w:t>Avšak z dôvodu nedostatočných kapacít zariadení na úpravu odpadov a prísne ustanovených parametrov biologickej stability, na ktorých základe musí prejsť odpad mechanicko-biologickou úpravou, sa odložila účinnosť zákona až od roku 2025.</w:t>
      </w:r>
    </w:p>
    <w:p w14:paraId="5991F4C7" w14:textId="77777777" w:rsidR="00D94493" w:rsidRPr="00D94493" w:rsidRDefault="00D94493" w:rsidP="00D94493">
      <w:pPr>
        <w:spacing w:after="0" w:line="240" w:lineRule="auto"/>
        <w:jc w:val="both"/>
        <w:rPr>
          <w:rFonts w:ascii="Times New Roman" w:eastAsia="Calibri" w:hAnsi="Times New Roman" w:cs="Times New Roman"/>
          <w:sz w:val="24"/>
          <w:szCs w:val="24"/>
        </w:rPr>
      </w:pPr>
      <w:r w:rsidRPr="00D94493">
        <w:rPr>
          <w:rFonts w:ascii="Times New Roman" w:eastAsia="Calibri" w:hAnsi="Times New Roman" w:cs="Times New Roman"/>
          <w:sz w:val="24"/>
          <w:szCs w:val="24"/>
        </w:rPr>
        <w:t>Z toho titulu vzniká výrazný výpadok na strane príjmov Environmentálneho fondu.</w:t>
      </w:r>
    </w:p>
    <w:p w14:paraId="4F684E2F" w14:textId="77777777" w:rsidR="00D94493" w:rsidRPr="00D94493" w:rsidRDefault="00D94493" w:rsidP="00D94493">
      <w:pPr>
        <w:spacing w:after="0" w:line="240" w:lineRule="auto"/>
        <w:jc w:val="both"/>
        <w:rPr>
          <w:rFonts w:ascii="Times New Roman" w:eastAsia="Calibri" w:hAnsi="Times New Roman" w:cs="Times New Roman"/>
          <w:sz w:val="24"/>
          <w:szCs w:val="24"/>
          <w:highlight w:val="yellow"/>
        </w:rPr>
      </w:pPr>
    </w:p>
    <w:p w14:paraId="6F8C3D62" w14:textId="77777777" w:rsidR="00D94493" w:rsidRPr="00D94493" w:rsidRDefault="00D94493" w:rsidP="00D94493">
      <w:pPr>
        <w:spacing w:after="0" w:line="240" w:lineRule="auto"/>
        <w:jc w:val="both"/>
        <w:rPr>
          <w:rFonts w:ascii="Times New Roman" w:eastAsia="Calibri" w:hAnsi="Times New Roman" w:cs="Times New Roman"/>
          <w:b/>
          <w:i/>
          <w:sz w:val="24"/>
          <w:szCs w:val="24"/>
        </w:rPr>
      </w:pPr>
      <w:r w:rsidRPr="00D94493">
        <w:rPr>
          <w:rFonts w:ascii="Times New Roman" w:eastAsia="Calibri" w:hAnsi="Times New Roman" w:cs="Times New Roman"/>
          <w:b/>
          <w:i/>
          <w:sz w:val="24"/>
          <w:szCs w:val="24"/>
        </w:rPr>
        <w:t>Zvýšenie sadzieb daní niektorých špecifických daní od roku 2023 – hlavne komunálny odpad a daň z ubytovania (zmeny vo VZN)</w:t>
      </w:r>
    </w:p>
    <w:p w14:paraId="721BD069" w14:textId="77777777" w:rsidR="00D94493" w:rsidRPr="00D94493" w:rsidRDefault="00D94493" w:rsidP="00D94493">
      <w:pPr>
        <w:spacing w:after="0" w:line="240" w:lineRule="auto"/>
        <w:jc w:val="both"/>
        <w:rPr>
          <w:rFonts w:ascii="Calibri" w:eastAsia="Calibri" w:hAnsi="Calibri" w:cs="Times New Roman"/>
        </w:rPr>
      </w:pPr>
      <w:r w:rsidRPr="00D94493">
        <w:rPr>
          <w:rFonts w:ascii="Times New Roman" w:eastAsia="Calibri" w:hAnsi="Times New Roman" w:cs="Times New Roman"/>
          <w:sz w:val="24"/>
          <w:szCs w:val="24"/>
        </w:rPr>
        <w:t>Koncom roka 2022 niektoré mestá a obce upravili sadzby niektorých špecifických daní s účinnosťou od roka 2023. Z tohto titulu vzrastie v roku 2024 výnos poplatku za zber, prepravu a zneškodňovanie komunálnych odpadov o 37 mil. eur a daň za ubytovanie o 4 mil. eur.</w:t>
      </w:r>
    </w:p>
    <w:p w14:paraId="30173712" w14:textId="77777777" w:rsidR="00D94493" w:rsidRPr="00D94493" w:rsidRDefault="00D94493" w:rsidP="00D94493">
      <w:pPr>
        <w:spacing w:after="0" w:line="240" w:lineRule="auto"/>
        <w:jc w:val="both"/>
        <w:rPr>
          <w:rFonts w:ascii="Times New Roman" w:eastAsia="Calibri" w:hAnsi="Times New Roman" w:cs="Times New Roman"/>
          <w:b/>
          <w:i/>
          <w:sz w:val="24"/>
          <w:szCs w:val="24"/>
          <w:highlight w:val="yellow"/>
        </w:rPr>
      </w:pPr>
    </w:p>
    <w:p w14:paraId="05A868D0" w14:textId="77777777" w:rsidR="00D94493" w:rsidRPr="00D94493" w:rsidRDefault="00D94493" w:rsidP="00D94493">
      <w:pPr>
        <w:spacing w:after="0" w:line="240" w:lineRule="auto"/>
        <w:jc w:val="both"/>
        <w:rPr>
          <w:rFonts w:ascii="Times New Roman" w:eastAsia="Calibri" w:hAnsi="Times New Roman" w:cs="Times New Roman"/>
          <w:b/>
          <w:i/>
          <w:sz w:val="24"/>
          <w:szCs w:val="24"/>
        </w:rPr>
      </w:pPr>
      <w:r w:rsidRPr="00D94493">
        <w:rPr>
          <w:rFonts w:ascii="Times New Roman" w:eastAsia="Calibri" w:hAnsi="Times New Roman" w:cs="Times New Roman"/>
          <w:b/>
          <w:i/>
          <w:sz w:val="24"/>
          <w:szCs w:val="24"/>
        </w:rPr>
        <w:t>Zníženie DPH na 5 % pre oblasť poskytovania štátom podporovaného nájomného bývania od 1.1.2023</w:t>
      </w:r>
    </w:p>
    <w:p w14:paraId="28C99AAD" w14:textId="77777777" w:rsidR="00D94493" w:rsidRPr="00D94493" w:rsidRDefault="00D94493" w:rsidP="00D94493">
      <w:pPr>
        <w:spacing w:after="0" w:line="240" w:lineRule="auto"/>
        <w:jc w:val="both"/>
        <w:rPr>
          <w:rFonts w:ascii="Times New Roman" w:eastAsia="Calibri" w:hAnsi="Times New Roman" w:cs="Times New Roman"/>
          <w:sz w:val="24"/>
          <w:szCs w:val="24"/>
        </w:rPr>
      </w:pPr>
      <w:r w:rsidRPr="00D94493">
        <w:rPr>
          <w:rFonts w:ascii="Times New Roman" w:eastAsia="Calibri" w:hAnsi="Times New Roman" w:cs="Times New Roman"/>
          <w:sz w:val="24"/>
          <w:szCs w:val="24"/>
        </w:rPr>
        <w:t>S účinnosťou od 1.1.2023 sa v zákone o DPH pridáva druhá znížená sadzba 5 %, ktorá je uplatňovaná na dodanie stavby alebo časti stavby vrátane stavebného pozemku, na ktorom stavba alebo časť stavby stojí, ktorá spĺňa podmienky stavby štátom podporovaného nájomného bývania v rámci sociálnej politiky štátu, taktiež sa sadzba uplatňuje na obnovu a prestavbu stavby alebo časti stavby vrátane stavebných a montážnych prác na takýchto stavbách. Uvedené sa týka výlučne iba bytových priestorov.</w:t>
      </w:r>
    </w:p>
    <w:p w14:paraId="593FB1A4" w14:textId="77777777" w:rsidR="00D94493" w:rsidRPr="00D94493" w:rsidRDefault="00D94493" w:rsidP="00D94493">
      <w:pPr>
        <w:spacing w:after="0" w:line="240" w:lineRule="auto"/>
        <w:jc w:val="both"/>
        <w:rPr>
          <w:rFonts w:ascii="Times New Roman" w:eastAsia="Calibri" w:hAnsi="Times New Roman" w:cs="Times New Roman"/>
          <w:b/>
          <w:i/>
          <w:sz w:val="24"/>
          <w:szCs w:val="24"/>
          <w:highlight w:val="yellow"/>
        </w:rPr>
      </w:pPr>
    </w:p>
    <w:p w14:paraId="7B8ED5C3" w14:textId="77777777" w:rsidR="00D94493" w:rsidRPr="00D94493" w:rsidRDefault="00D94493" w:rsidP="00D94493">
      <w:pPr>
        <w:spacing w:after="0" w:line="240" w:lineRule="auto"/>
        <w:jc w:val="both"/>
        <w:rPr>
          <w:rFonts w:ascii="Times New Roman" w:eastAsia="Calibri" w:hAnsi="Times New Roman" w:cs="Times New Roman"/>
          <w:b/>
          <w:i/>
          <w:sz w:val="24"/>
          <w:szCs w:val="24"/>
        </w:rPr>
      </w:pPr>
      <w:r w:rsidRPr="00D94493">
        <w:rPr>
          <w:rFonts w:ascii="Times New Roman" w:eastAsia="Calibri" w:hAnsi="Times New Roman" w:cs="Times New Roman"/>
          <w:b/>
          <w:i/>
          <w:sz w:val="24"/>
          <w:szCs w:val="24"/>
        </w:rPr>
        <w:t>Odpustenie sociálnych odvodov zamestnávateľa za zamestnancov v potravinárskom priemysle</w:t>
      </w:r>
    </w:p>
    <w:p w14:paraId="31AB9D57" w14:textId="77777777" w:rsidR="00D94493" w:rsidRPr="00D94493" w:rsidRDefault="00D94493" w:rsidP="00D94493">
      <w:pPr>
        <w:spacing w:after="0" w:line="240" w:lineRule="auto"/>
        <w:jc w:val="both"/>
        <w:rPr>
          <w:rFonts w:ascii="Times New Roman" w:eastAsia="Calibri" w:hAnsi="Times New Roman" w:cs="Times New Roman"/>
          <w:sz w:val="24"/>
        </w:rPr>
      </w:pPr>
      <w:r w:rsidRPr="00D94493">
        <w:rPr>
          <w:rFonts w:ascii="Times New Roman" w:eastAsia="Calibri" w:hAnsi="Times New Roman" w:cs="Times New Roman"/>
          <w:sz w:val="24"/>
        </w:rPr>
        <w:t>S účinnosťou od 1.7.2023 sa dočasne znížili sociálne odvody zamestnávateľa za zamestnanca vo vybraných sektoroch potravinárskej výroby. Opatrenie je platné do konca roka 2023 a znižuje príjmy Sociálnej poisťovne o 24 mil. eur.</w:t>
      </w:r>
    </w:p>
    <w:p w14:paraId="1FBFE40E" w14:textId="77777777" w:rsidR="00D94493" w:rsidRPr="00D94493" w:rsidRDefault="00D94493" w:rsidP="00D94493">
      <w:pPr>
        <w:spacing w:after="0" w:line="240" w:lineRule="auto"/>
        <w:jc w:val="both"/>
        <w:rPr>
          <w:rFonts w:ascii="Times New Roman" w:eastAsia="Calibri" w:hAnsi="Times New Roman" w:cs="Times New Roman"/>
          <w:sz w:val="24"/>
          <w:highlight w:val="yellow"/>
        </w:rPr>
      </w:pPr>
    </w:p>
    <w:p w14:paraId="1F9CB193" w14:textId="77777777" w:rsidR="00D94493" w:rsidRPr="00D94493" w:rsidRDefault="00D94493" w:rsidP="00D94493">
      <w:pPr>
        <w:spacing w:after="0" w:line="240" w:lineRule="auto"/>
        <w:jc w:val="both"/>
        <w:rPr>
          <w:rFonts w:ascii="Times New Roman" w:eastAsia="Calibri" w:hAnsi="Times New Roman" w:cs="Times New Roman"/>
          <w:b/>
          <w:bCs/>
          <w:i/>
          <w:iCs/>
          <w:sz w:val="24"/>
          <w:szCs w:val="24"/>
        </w:rPr>
      </w:pPr>
      <w:r w:rsidRPr="00D94493">
        <w:rPr>
          <w:rFonts w:ascii="Times New Roman" w:eastAsia="Calibri" w:hAnsi="Times New Roman" w:cs="Times New Roman"/>
          <w:b/>
          <w:bCs/>
          <w:i/>
          <w:iCs/>
          <w:sz w:val="24"/>
          <w:szCs w:val="24"/>
        </w:rPr>
        <w:t>Úprava daňovo-odvodovej záťaže v súvislosti s predajom virtuálnych mien, cenných papierov a podielových listov</w:t>
      </w:r>
    </w:p>
    <w:p w14:paraId="595508A0" w14:textId="77777777" w:rsidR="00D94493" w:rsidRPr="00D94493" w:rsidRDefault="00D94493" w:rsidP="00D94493">
      <w:pPr>
        <w:spacing w:after="0" w:line="240" w:lineRule="auto"/>
        <w:jc w:val="both"/>
        <w:rPr>
          <w:rFonts w:ascii="Times New Roman" w:eastAsia="Calibri" w:hAnsi="Times New Roman" w:cs="Times New Roman"/>
          <w:b/>
          <w:i/>
          <w:sz w:val="24"/>
          <w:szCs w:val="24"/>
        </w:rPr>
      </w:pPr>
      <w:r w:rsidRPr="00D94493">
        <w:rPr>
          <w:rFonts w:ascii="Times New Roman" w:eastAsia="Calibri" w:hAnsi="Times New Roman" w:cs="Times New Roman"/>
          <w:sz w:val="24"/>
          <w:szCs w:val="24"/>
        </w:rPr>
        <w:t>Opatrenie s účinnosťou od 1. januára 2024 znižovalo daňovo-odvodové zaťaženie na obchodovanie s </w:t>
      </w:r>
      <w:proofErr w:type="spellStart"/>
      <w:r w:rsidRPr="00D94493">
        <w:rPr>
          <w:rFonts w:ascii="Times New Roman" w:eastAsia="Calibri" w:hAnsi="Times New Roman" w:cs="Times New Roman"/>
          <w:sz w:val="24"/>
          <w:szCs w:val="24"/>
        </w:rPr>
        <w:t>kryptomenami</w:t>
      </w:r>
      <w:proofErr w:type="spellEnd"/>
      <w:r w:rsidRPr="00D94493">
        <w:rPr>
          <w:rFonts w:ascii="Times New Roman" w:eastAsia="Calibri" w:hAnsi="Times New Roman" w:cs="Times New Roman"/>
          <w:sz w:val="24"/>
          <w:szCs w:val="24"/>
        </w:rPr>
        <w:t xml:space="preserve"> a cielilo na podporu investovania a dobrovoľného sporenia. Novela priniesla časový test na obchodovanie s </w:t>
      </w:r>
      <w:proofErr w:type="spellStart"/>
      <w:r w:rsidRPr="00D94493">
        <w:rPr>
          <w:rFonts w:ascii="Times New Roman" w:eastAsia="Calibri" w:hAnsi="Times New Roman" w:cs="Times New Roman"/>
          <w:sz w:val="24"/>
          <w:szCs w:val="24"/>
        </w:rPr>
        <w:t>kryptomenami</w:t>
      </w:r>
      <w:proofErr w:type="spellEnd"/>
      <w:r w:rsidRPr="00D94493">
        <w:rPr>
          <w:rFonts w:ascii="Times New Roman" w:eastAsia="Calibri" w:hAnsi="Times New Roman" w:cs="Times New Roman"/>
          <w:sz w:val="24"/>
          <w:szCs w:val="24"/>
        </w:rPr>
        <w:t xml:space="preserve">, kedy jej predaj po jednom roku od nadobudnutia mal byť zdaňovaný sadzbou 7 %. Rovnako vyňala výmenu </w:t>
      </w:r>
      <w:proofErr w:type="spellStart"/>
      <w:r w:rsidRPr="00D94493">
        <w:rPr>
          <w:rFonts w:ascii="Times New Roman" w:eastAsia="Calibri" w:hAnsi="Times New Roman" w:cs="Times New Roman"/>
          <w:sz w:val="24"/>
          <w:szCs w:val="24"/>
        </w:rPr>
        <w:t>kryptomeny</w:t>
      </w:r>
      <w:proofErr w:type="spellEnd"/>
      <w:r w:rsidRPr="00D94493">
        <w:rPr>
          <w:rFonts w:ascii="Times New Roman" w:eastAsia="Calibri" w:hAnsi="Times New Roman" w:cs="Times New Roman"/>
          <w:sz w:val="24"/>
          <w:szCs w:val="24"/>
        </w:rPr>
        <w:t xml:space="preserve"> za inú </w:t>
      </w:r>
      <w:proofErr w:type="spellStart"/>
      <w:r w:rsidRPr="00D94493">
        <w:rPr>
          <w:rFonts w:ascii="Times New Roman" w:eastAsia="Calibri" w:hAnsi="Times New Roman" w:cs="Times New Roman"/>
          <w:sz w:val="24"/>
          <w:szCs w:val="24"/>
        </w:rPr>
        <w:t>kryptomenu</w:t>
      </w:r>
      <w:proofErr w:type="spellEnd"/>
      <w:r w:rsidRPr="00D94493">
        <w:rPr>
          <w:rFonts w:ascii="Times New Roman" w:eastAsia="Calibri" w:hAnsi="Times New Roman" w:cs="Times New Roman"/>
          <w:sz w:val="24"/>
          <w:szCs w:val="24"/>
        </w:rPr>
        <w:t xml:space="preserve"> z príjmu. Opatrenie oslobodzovalo takéto príjmy aj z platenia zdravotných </w:t>
      </w:r>
      <w:r w:rsidRPr="00D94493">
        <w:rPr>
          <w:rFonts w:ascii="Times New Roman" w:eastAsia="Calibri" w:hAnsi="Times New Roman" w:cs="Times New Roman"/>
          <w:sz w:val="24"/>
          <w:szCs w:val="24"/>
        </w:rPr>
        <w:lastRenderedPageBreak/>
        <w:t xml:space="preserve">odvodov. Zároveň sa od dane oslobodili aj príjmy z predaja podielových fondov. </w:t>
      </w:r>
      <w:r w:rsidRPr="00D94493">
        <w:rPr>
          <w:rFonts w:ascii="Times New Roman" w:eastAsia="Calibri" w:hAnsi="Times New Roman" w:cs="Times New Roman"/>
          <w:b/>
          <w:i/>
          <w:sz w:val="24"/>
          <w:szCs w:val="24"/>
        </w:rPr>
        <w:t>S účinnosťou od 1.1.2024 sa toto opatrenie vládou v decembri 2023 zrušilo.</w:t>
      </w:r>
    </w:p>
    <w:p w14:paraId="2E38D31E" w14:textId="77777777" w:rsidR="00D94493" w:rsidRPr="00D94493" w:rsidRDefault="00D94493" w:rsidP="00D94493">
      <w:pPr>
        <w:spacing w:after="0" w:line="240" w:lineRule="auto"/>
        <w:jc w:val="both"/>
        <w:rPr>
          <w:rFonts w:ascii="Times New Roman" w:eastAsia="Calibri" w:hAnsi="Times New Roman" w:cs="Times New Roman"/>
          <w:sz w:val="24"/>
        </w:rPr>
      </w:pPr>
    </w:p>
    <w:p w14:paraId="5507FC71" w14:textId="77777777" w:rsidR="00D94493" w:rsidRPr="00D94493" w:rsidRDefault="00D94493" w:rsidP="00D94493">
      <w:pPr>
        <w:spacing w:after="0" w:line="240" w:lineRule="auto"/>
        <w:jc w:val="both"/>
        <w:rPr>
          <w:rFonts w:ascii="Times New Roman" w:eastAsia="Calibri" w:hAnsi="Times New Roman" w:cs="Times New Roman"/>
          <w:b/>
          <w:i/>
          <w:sz w:val="24"/>
          <w:szCs w:val="24"/>
        </w:rPr>
      </w:pPr>
      <w:r w:rsidRPr="00D94493">
        <w:rPr>
          <w:rFonts w:ascii="Times New Roman" w:eastAsia="Calibri" w:hAnsi="Times New Roman" w:cs="Times New Roman"/>
          <w:b/>
          <w:i/>
          <w:sz w:val="24"/>
          <w:szCs w:val="24"/>
        </w:rPr>
        <w:t>Zmena daňového bonusu od 1. januára 2023</w:t>
      </w:r>
    </w:p>
    <w:p w14:paraId="2E6C4D06" w14:textId="77777777" w:rsidR="00D94493" w:rsidRPr="00D94493" w:rsidRDefault="00D94493" w:rsidP="00D94493">
      <w:pPr>
        <w:spacing w:after="0" w:line="240" w:lineRule="auto"/>
        <w:jc w:val="both"/>
        <w:rPr>
          <w:rFonts w:ascii="Times New Roman" w:eastAsia="Calibri" w:hAnsi="Times New Roman" w:cs="Times New Roman"/>
          <w:sz w:val="24"/>
          <w:szCs w:val="24"/>
        </w:rPr>
      </w:pPr>
      <w:r w:rsidRPr="00D94493">
        <w:rPr>
          <w:rFonts w:ascii="Times New Roman" w:eastAsia="Calibri" w:hAnsi="Times New Roman" w:cs="Times New Roman"/>
          <w:sz w:val="24"/>
          <w:szCs w:val="24"/>
        </w:rPr>
        <w:t>Sumy daňového bonusu sa dočasne zvýšili od 1. januára 2023 na mesačné hodnoty 140 eur na dieťa do 18 rokov a 50 eur na staršie dieťa. Po 31. decembri 2024 sa bonus zníži na mesačnú hodnotu 100 eur na dieťa do 15 rokov a 50 eur na staršie dieťa. Zároveň sa upravili podmienky pre jeho získanie. Po novom vzniká nárok na daňový bonus od prvého zarobeného eura, avšak jeho celková výška je obmedzená najviac do určitého percenta čiastkového základu dane, ktoré závisí od počtu detí. Zmeny v daňovom bonuse sa neprejavia na akruálnych príjmov, ale majú vplyv na akruálne výdavky a hotovostné príjmy.</w:t>
      </w:r>
    </w:p>
    <w:p w14:paraId="0BD3AE15" w14:textId="77777777" w:rsidR="00D94493" w:rsidRPr="00D94493" w:rsidRDefault="00D94493" w:rsidP="00D94493">
      <w:pPr>
        <w:spacing w:after="0" w:line="240" w:lineRule="auto"/>
        <w:jc w:val="both"/>
        <w:rPr>
          <w:rFonts w:ascii="Times New Roman" w:eastAsia="Calibri" w:hAnsi="Times New Roman" w:cs="Times New Roman"/>
          <w:sz w:val="24"/>
          <w:szCs w:val="24"/>
        </w:rPr>
      </w:pPr>
    </w:p>
    <w:p w14:paraId="52CA195E" w14:textId="77777777" w:rsidR="00D94493" w:rsidRPr="00D94493" w:rsidRDefault="00D94493" w:rsidP="00D94493">
      <w:pPr>
        <w:spacing w:after="0" w:line="240" w:lineRule="auto"/>
        <w:jc w:val="both"/>
        <w:rPr>
          <w:rFonts w:ascii="Times New Roman" w:eastAsia="Calibri" w:hAnsi="Times New Roman" w:cs="Times New Roman"/>
          <w:b/>
          <w:i/>
          <w:sz w:val="24"/>
          <w:szCs w:val="24"/>
        </w:rPr>
      </w:pPr>
      <w:r w:rsidRPr="00D94493">
        <w:rPr>
          <w:rFonts w:ascii="Times New Roman" w:eastAsia="Calibri" w:hAnsi="Times New Roman" w:cs="Times New Roman"/>
          <w:b/>
          <w:i/>
          <w:sz w:val="24"/>
          <w:szCs w:val="24"/>
        </w:rPr>
        <w:t>Zníženie sadzby odvodu do 2. dôchodkového piliera</w:t>
      </w:r>
    </w:p>
    <w:p w14:paraId="2E3C1EC4" w14:textId="77777777" w:rsidR="00D94493" w:rsidRPr="00D94493" w:rsidRDefault="00D94493" w:rsidP="00D94493">
      <w:pPr>
        <w:spacing w:after="0" w:line="240" w:lineRule="auto"/>
        <w:jc w:val="both"/>
        <w:rPr>
          <w:rFonts w:ascii="Times New Roman" w:eastAsia="Calibri" w:hAnsi="Times New Roman" w:cs="Times New Roman"/>
          <w:sz w:val="24"/>
          <w:szCs w:val="24"/>
        </w:rPr>
      </w:pPr>
      <w:r w:rsidRPr="00D94493">
        <w:rPr>
          <w:rFonts w:ascii="Times New Roman" w:eastAsia="Calibri" w:hAnsi="Times New Roman" w:cs="Times New Roman"/>
          <w:sz w:val="24"/>
          <w:szCs w:val="24"/>
        </w:rPr>
        <w:t xml:space="preserve">S účinnosťou od 1.1.2024 dochádza k trvalému zníženiu príspevkov na dôchodkové sporenie (2. pilier) z 5,5 % na 4 % vymeriavacieho základu. Odhadovaný vplyv na príjmy Sociálnej poisťovne predstavuje 363 až 495 mil. eur v rokoch 2024 až 2026.  </w:t>
      </w:r>
    </w:p>
    <w:p w14:paraId="53750318" w14:textId="77777777" w:rsidR="00D94493" w:rsidRPr="00D94493" w:rsidRDefault="00D94493" w:rsidP="00D94493">
      <w:pPr>
        <w:spacing w:after="0" w:line="240" w:lineRule="auto"/>
        <w:jc w:val="both"/>
        <w:rPr>
          <w:rFonts w:ascii="Times New Roman" w:eastAsia="Calibri" w:hAnsi="Times New Roman" w:cs="Times New Roman"/>
          <w:b/>
          <w:i/>
          <w:sz w:val="24"/>
          <w:szCs w:val="24"/>
          <w:highlight w:val="yellow"/>
        </w:rPr>
      </w:pPr>
    </w:p>
    <w:p w14:paraId="4B048AE8" w14:textId="77777777" w:rsidR="00D94493" w:rsidRPr="00D94493" w:rsidRDefault="00D94493" w:rsidP="00D94493">
      <w:pPr>
        <w:spacing w:after="0" w:line="240" w:lineRule="auto"/>
        <w:jc w:val="both"/>
        <w:rPr>
          <w:rFonts w:ascii="Times New Roman" w:eastAsia="Calibri" w:hAnsi="Times New Roman" w:cs="Times New Roman"/>
          <w:b/>
          <w:bCs/>
          <w:i/>
          <w:iCs/>
          <w:sz w:val="24"/>
          <w:szCs w:val="24"/>
        </w:rPr>
      </w:pPr>
      <w:r w:rsidRPr="00D94493">
        <w:rPr>
          <w:rFonts w:ascii="Times New Roman" w:eastAsia="Calibri" w:hAnsi="Times New Roman" w:cs="Times New Roman"/>
          <w:b/>
          <w:bCs/>
          <w:i/>
          <w:iCs/>
          <w:sz w:val="24"/>
          <w:szCs w:val="24"/>
        </w:rPr>
        <w:t>Zvýšenie sadzby spotrebnej dane z liehu od 1.1.2024</w:t>
      </w:r>
    </w:p>
    <w:p w14:paraId="0851C24C" w14:textId="77777777" w:rsidR="00D94493" w:rsidRPr="00D94493" w:rsidRDefault="00D94493" w:rsidP="00D94493">
      <w:pPr>
        <w:spacing w:after="0" w:line="240" w:lineRule="auto"/>
        <w:jc w:val="both"/>
        <w:rPr>
          <w:rFonts w:ascii="Times New Roman" w:eastAsia="Calibri" w:hAnsi="Times New Roman" w:cs="Times New Roman"/>
          <w:sz w:val="24"/>
          <w:szCs w:val="24"/>
        </w:rPr>
      </w:pPr>
      <w:r w:rsidRPr="00D94493">
        <w:rPr>
          <w:rFonts w:ascii="Times New Roman" w:eastAsia="Calibri" w:hAnsi="Times New Roman" w:cs="Times New Roman"/>
          <w:sz w:val="24"/>
          <w:szCs w:val="24"/>
        </w:rPr>
        <w:t>S účinnosťou od 1.1.2024 sa zvyšuje sadzba spotrebnej dane z liehu o približne 6 % na 1 490,40 eur/hl a. a sadzba spotrebnej dane z liehu vyrobeného v liehovare na pestovateľské pálenie ovocia na 745,20 eur/hl a.. V roku 2024 sa zvýšenie sadzby neprejaví na výnose dane v plnej miere, pretože sa predpokladá predzásobenie obchodníkov na úrovni dvojmesačného výnosu dane. Od roku 2025 sa očakáva každoročný vplyv tejto legislatívnej zmeny na úrovni približne 21 mil. eur (vrátane dodatočnej DPH).</w:t>
      </w:r>
    </w:p>
    <w:p w14:paraId="4397932F" w14:textId="77777777" w:rsidR="00D94493" w:rsidRPr="00D94493" w:rsidRDefault="00D94493" w:rsidP="00D94493">
      <w:pPr>
        <w:spacing w:after="0" w:line="240" w:lineRule="auto"/>
        <w:jc w:val="both"/>
        <w:rPr>
          <w:rFonts w:ascii="Times New Roman" w:eastAsia="Calibri" w:hAnsi="Times New Roman" w:cs="Times New Roman"/>
          <w:sz w:val="24"/>
          <w:szCs w:val="24"/>
        </w:rPr>
      </w:pPr>
    </w:p>
    <w:p w14:paraId="28F6470B" w14:textId="77777777" w:rsidR="00D94493" w:rsidRPr="00D94493" w:rsidRDefault="00D94493" w:rsidP="00D94493">
      <w:pPr>
        <w:spacing w:after="0" w:line="240" w:lineRule="auto"/>
        <w:jc w:val="both"/>
        <w:rPr>
          <w:rFonts w:ascii="Times New Roman" w:eastAsia="Calibri" w:hAnsi="Times New Roman" w:cs="Times New Roman"/>
          <w:b/>
          <w:bCs/>
          <w:i/>
          <w:iCs/>
          <w:sz w:val="24"/>
          <w:szCs w:val="24"/>
        </w:rPr>
      </w:pPr>
      <w:r w:rsidRPr="00D94493">
        <w:rPr>
          <w:rFonts w:ascii="Times New Roman" w:eastAsia="Calibri" w:hAnsi="Times New Roman" w:cs="Times New Roman"/>
          <w:b/>
          <w:bCs/>
          <w:i/>
          <w:iCs/>
          <w:sz w:val="24"/>
          <w:szCs w:val="24"/>
        </w:rPr>
        <w:t>Zvýšenie sadzieb spotrebnej dane z tabakových výrobkov od 1.2.2024</w:t>
      </w:r>
    </w:p>
    <w:p w14:paraId="0B104A17" w14:textId="77777777" w:rsidR="00D94493" w:rsidRPr="00D94493" w:rsidRDefault="00D94493" w:rsidP="00D94493">
      <w:pPr>
        <w:spacing w:after="0" w:line="240" w:lineRule="auto"/>
        <w:jc w:val="both"/>
        <w:rPr>
          <w:rFonts w:ascii="Times New Roman" w:eastAsia="Calibri" w:hAnsi="Times New Roman" w:cs="Times New Roman"/>
          <w:sz w:val="24"/>
          <w:szCs w:val="24"/>
          <w:highlight w:val="yellow"/>
        </w:rPr>
      </w:pPr>
      <w:r w:rsidRPr="00D94493">
        <w:rPr>
          <w:rFonts w:ascii="Times New Roman" w:eastAsia="Calibri" w:hAnsi="Times New Roman" w:cs="Times New Roman"/>
          <w:sz w:val="24"/>
          <w:szCs w:val="24"/>
        </w:rPr>
        <w:t xml:space="preserve">S účinnosťou od 1.2.2024 a od 1.2.2026 sa zvyšujú sadzby spotrebnej dane z jednotlivých tabakových výrobkov. Sadzby na cigarety sú nastavené tak, aby spotrebiteľská cena krabičky vzrástla o 40 centov v obidvoch krokoch zvyšovania. Sadzba na tabak sa zvyšuje výraznejšie, aby sa zmenšil rozdiel medzi zdaňovaním tabaku a cigariet. Sadzba na bezdymové tabakové výrobky sa zvyšuje v súlade s dobiehaním efektívneho zdanenia cigariet. Sadzba spotrebnej dane na cigary a </w:t>
      </w:r>
      <w:proofErr w:type="spellStart"/>
      <w:r w:rsidRPr="00D94493">
        <w:rPr>
          <w:rFonts w:ascii="Times New Roman" w:eastAsia="Calibri" w:hAnsi="Times New Roman" w:cs="Times New Roman"/>
          <w:sz w:val="24"/>
          <w:szCs w:val="24"/>
        </w:rPr>
        <w:t>cigarky</w:t>
      </w:r>
      <w:proofErr w:type="spellEnd"/>
      <w:r w:rsidRPr="00D94493">
        <w:rPr>
          <w:rFonts w:ascii="Times New Roman" w:eastAsia="Calibri" w:hAnsi="Times New Roman" w:cs="Times New Roman"/>
          <w:sz w:val="24"/>
          <w:szCs w:val="24"/>
        </w:rPr>
        <w:t xml:space="preserve"> vzrastie až v druhom kroku, od 1.2.2026. Vplyv zvýšenia sadzieb na daňové príjmy verejnej správy sa očakáva vo výške 107 mil. eur v roku 2024 až 263 mil. eur v roku 2026 (vrátane dodatočnej DPH).</w:t>
      </w:r>
    </w:p>
    <w:p w14:paraId="0AF706B6" w14:textId="77777777" w:rsidR="00D94493" w:rsidRPr="00D94493" w:rsidRDefault="00D94493" w:rsidP="00D94493">
      <w:pPr>
        <w:spacing w:after="0" w:line="240" w:lineRule="auto"/>
        <w:jc w:val="both"/>
        <w:rPr>
          <w:rFonts w:ascii="Times New Roman" w:eastAsia="Calibri" w:hAnsi="Times New Roman" w:cs="Times New Roman"/>
          <w:sz w:val="24"/>
          <w:szCs w:val="24"/>
        </w:rPr>
      </w:pPr>
    </w:p>
    <w:p w14:paraId="41C929FE" w14:textId="77777777" w:rsidR="00D94493" w:rsidRPr="00D94493" w:rsidRDefault="00D94493" w:rsidP="00D94493">
      <w:pPr>
        <w:spacing w:after="0" w:line="240" w:lineRule="auto"/>
        <w:jc w:val="both"/>
        <w:rPr>
          <w:rFonts w:ascii="Times New Roman" w:eastAsia="Calibri" w:hAnsi="Times New Roman" w:cs="Times New Roman"/>
          <w:b/>
          <w:i/>
          <w:sz w:val="24"/>
          <w:szCs w:val="24"/>
        </w:rPr>
      </w:pPr>
      <w:r w:rsidRPr="00D94493">
        <w:rPr>
          <w:rFonts w:ascii="Times New Roman" w:eastAsia="Calibri" w:hAnsi="Times New Roman" w:cs="Times New Roman"/>
          <w:b/>
          <w:bCs/>
          <w:i/>
          <w:iCs/>
          <w:sz w:val="24"/>
          <w:szCs w:val="24"/>
        </w:rPr>
        <w:t>Zvýšenie sadzby dane z dividend od 1.1.2024</w:t>
      </w:r>
    </w:p>
    <w:p w14:paraId="5D5CBFC0" w14:textId="77777777" w:rsidR="00D94493" w:rsidRPr="00D94493" w:rsidRDefault="00D94493" w:rsidP="00D94493">
      <w:pPr>
        <w:spacing w:after="0" w:line="240" w:lineRule="auto"/>
        <w:jc w:val="both"/>
        <w:rPr>
          <w:rFonts w:ascii="Times New Roman" w:eastAsia="Calibri" w:hAnsi="Times New Roman" w:cs="Times New Roman"/>
          <w:color w:val="000000"/>
          <w:sz w:val="24"/>
          <w:szCs w:val="24"/>
        </w:rPr>
      </w:pPr>
      <w:r w:rsidRPr="00D94493">
        <w:rPr>
          <w:rFonts w:ascii="Times New Roman" w:eastAsia="Calibri" w:hAnsi="Times New Roman" w:cs="Times New Roman"/>
          <w:color w:val="000000"/>
          <w:sz w:val="24"/>
          <w:szCs w:val="24"/>
        </w:rPr>
        <w:t>S účinnosťou od 1.1.2024 sa zvyšuje sadzba dane z dividend zo 7 % na 10 %. Zvýšená sadzba dane sa týka len dividend vyplatených zo ziskov za roky 2023 a neskôr. Dividendy vyplatené zo ziskov spred roka 2023 budú zdaňované naďalej 7 %-</w:t>
      </w:r>
      <w:proofErr w:type="spellStart"/>
      <w:r w:rsidRPr="00D94493">
        <w:rPr>
          <w:rFonts w:ascii="Times New Roman" w:eastAsia="Calibri" w:hAnsi="Times New Roman" w:cs="Times New Roman"/>
          <w:color w:val="000000"/>
          <w:sz w:val="24"/>
          <w:szCs w:val="24"/>
        </w:rPr>
        <w:t>nou</w:t>
      </w:r>
      <w:proofErr w:type="spellEnd"/>
      <w:r w:rsidRPr="00D94493">
        <w:rPr>
          <w:rFonts w:ascii="Times New Roman" w:eastAsia="Calibri" w:hAnsi="Times New Roman" w:cs="Times New Roman"/>
          <w:color w:val="000000"/>
          <w:sz w:val="24"/>
          <w:szCs w:val="24"/>
        </w:rPr>
        <w:t xml:space="preserve"> sadzbou dane.</w:t>
      </w:r>
    </w:p>
    <w:p w14:paraId="4A3517B8" w14:textId="77777777" w:rsidR="00D94493" w:rsidRPr="00D94493" w:rsidRDefault="00D94493" w:rsidP="00D94493">
      <w:pPr>
        <w:spacing w:after="0" w:line="240" w:lineRule="auto"/>
        <w:jc w:val="both"/>
        <w:rPr>
          <w:rFonts w:ascii="Times New Roman" w:eastAsia="Calibri" w:hAnsi="Times New Roman" w:cs="Times New Roman"/>
          <w:color w:val="000000"/>
          <w:sz w:val="24"/>
          <w:szCs w:val="24"/>
        </w:rPr>
      </w:pPr>
    </w:p>
    <w:p w14:paraId="71DBC80E" w14:textId="77777777" w:rsidR="00D94493" w:rsidRPr="00D94493" w:rsidRDefault="00D94493" w:rsidP="00D94493">
      <w:pPr>
        <w:spacing w:after="0" w:line="240" w:lineRule="auto"/>
        <w:jc w:val="both"/>
        <w:rPr>
          <w:rFonts w:ascii="Times New Roman" w:eastAsia="Calibri" w:hAnsi="Times New Roman" w:cs="Times New Roman"/>
          <w:b/>
          <w:bCs/>
          <w:i/>
          <w:iCs/>
          <w:sz w:val="24"/>
          <w:szCs w:val="24"/>
        </w:rPr>
      </w:pPr>
      <w:r w:rsidRPr="00D94493">
        <w:rPr>
          <w:rFonts w:ascii="Times New Roman" w:eastAsia="Calibri" w:hAnsi="Times New Roman" w:cs="Times New Roman"/>
          <w:b/>
          <w:bCs/>
          <w:i/>
          <w:iCs/>
          <w:sz w:val="24"/>
          <w:szCs w:val="24"/>
        </w:rPr>
        <w:t xml:space="preserve">Zvýšenie hranice zdaniteľných príjmov pre klasifikáciu </w:t>
      </w:r>
      <w:proofErr w:type="spellStart"/>
      <w:r w:rsidRPr="00D94493">
        <w:rPr>
          <w:rFonts w:ascii="Times New Roman" w:eastAsia="Calibri" w:hAnsi="Times New Roman" w:cs="Times New Roman"/>
          <w:b/>
          <w:bCs/>
          <w:i/>
          <w:iCs/>
          <w:sz w:val="24"/>
          <w:szCs w:val="24"/>
        </w:rPr>
        <w:t>mikrodaňovníkov</w:t>
      </w:r>
      <w:proofErr w:type="spellEnd"/>
      <w:r w:rsidRPr="00D94493">
        <w:rPr>
          <w:rFonts w:ascii="Times New Roman" w:eastAsia="Calibri" w:hAnsi="Times New Roman" w:cs="Times New Roman"/>
          <w:b/>
          <w:bCs/>
          <w:i/>
          <w:iCs/>
          <w:sz w:val="24"/>
          <w:szCs w:val="24"/>
        </w:rPr>
        <w:t xml:space="preserve"> z 49,7 na 60 tis. eur.</w:t>
      </w:r>
    </w:p>
    <w:p w14:paraId="1796B59A" w14:textId="77777777" w:rsidR="00D94493" w:rsidRPr="00D94493" w:rsidRDefault="00D94493" w:rsidP="00D94493">
      <w:pPr>
        <w:spacing w:after="0" w:line="240" w:lineRule="auto"/>
        <w:jc w:val="both"/>
        <w:rPr>
          <w:rFonts w:ascii="Times New Roman" w:eastAsia="Times New Roman" w:hAnsi="Times New Roman" w:cs="Times New Roman"/>
          <w:color w:val="000000"/>
          <w:sz w:val="24"/>
          <w:szCs w:val="24"/>
        </w:rPr>
      </w:pPr>
      <w:r w:rsidRPr="00D94493">
        <w:rPr>
          <w:rFonts w:ascii="Times New Roman" w:eastAsia="Times New Roman" w:hAnsi="Times New Roman" w:cs="Times New Roman"/>
          <w:color w:val="000000"/>
          <w:sz w:val="24"/>
          <w:szCs w:val="24"/>
        </w:rPr>
        <w:t xml:space="preserve">Súčasne platná legislatíva klasifikuje </w:t>
      </w:r>
      <w:proofErr w:type="spellStart"/>
      <w:r w:rsidRPr="00D94493">
        <w:rPr>
          <w:rFonts w:ascii="Times New Roman" w:eastAsia="Times New Roman" w:hAnsi="Times New Roman" w:cs="Times New Roman"/>
          <w:color w:val="000000"/>
          <w:sz w:val="24"/>
          <w:szCs w:val="24"/>
        </w:rPr>
        <w:t>mikrodaňovníkov</w:t>
      </w:r>
      <w:proofErr w:type="spellEnd"/>
      <w:r w:rsidRPr="00D94493">
        <w:rPr>
          <w:rFonts w:ascii="Times New Roman" w:eastAsia="Times New Roman" w:hAnsi="Times New Roman" w:cs="Times New Roman"/>
          <w:color w:val="000000"/>
          <w:sz w:val="24"/>
          <w:szCs w:val="24"/>
        </w:rPr>
        <w:t xml:space="preserve">, ktorých daňová sadzba je znížená na 15 %, ako fyzické, alebo právnické osoby, ktorých zdaniteľný príjem nepresiahol hodnotu </w:t>
      </w:r>
      <w:r w:rsidRPr="00D94493">
        <w:rPr>
          <w:rFonts w:ascii="Times New Roman" w:eastAsia="Times New Roman" w:hAnsi="Times New Roman" w:cs="Times New Roman"/>
          <w:color w:val="000000"/>
          <w:sz w:val="24"/>
          <w:szCs w:val="24"/>
        </w:rPr>
        <w:br/>
        <w:t>49,7 tis. eur. S účinnosťou od 1.1.2024 bude táto hranica navýšená na 60 tis. eur. Opatrenie zasiahne približne 7 tis. živnostníkov a 8 tis. firiem. Náklady spojené s opatrením sa predpokladajú vo výške 4,6 mil. eur. v roku 2024.</w:t>
      </w:r>
    </w:p>
    <w:p w14:paraId="0BC199CF" w14:textId="77777777" w:rsidR="00D94493" w:rsidRPr="00D94493" w:rsidRDefault="00D94493" w:rsidP="00D94493">
      <w:pPr>
        <w:spacing w:after="0" w:line="240" w:lineRule="auto"/>
        <w:jc w:val="both"/>
        <w:rPr>
          <w:rFonts w:ascii="Times New Roman" w:eastAsia="Times New Roman" w:hAnsi="Times New Roman" w:cs="Times New Roman"/>
          <w:b/>
          <w:bCs/>
          <w:color w:val="000000"/>
          <w:sz w:val="24"/>
          <w:szCs w:val="24"/>
        </w:rPr>
      </w:pPr>
    </w:p>
    <w:p w14:paraId="1D364AE8" w14:textId="77777777" w:rsidR="00D94493" w:rsidRPr="00D94493" w:rsidRDefault="00D94493" w:rsidP="00D94493">
      <w:pPr>
        <w:spacing w:after="0" w:line="240" w:lineRule="auto"/>
        <w:jc w:val="both"/>
        <w:rPr>
          <w:rFonts w:ascii="Times New Roman" w:eastAsia="Times New Roman" w:hAnsi="Times New Roman" w:cs="Times New Roman"/>
          <w:b/>
          <w:bCs/>
          <w:color w:val="000000"/>
          <w:sz w:val="24"/>
          <w:szCs w:val="24"/>
        </w:rPr>
      </w:pPr>
    </w:p>
    <w:p w14:paraId="46E45C4E" w14:textId="77777777" w:rsidR="00D94493" w:rsidRPr="00D94493" w:rsidRDefault="00D94493" w:rsidP="00D94493">
      <w:pPr>
        <w:spacing w:after="0" w:line="240" w:lineRule="auto"/>
        <w:jc w:val="both"/>
        <w:rPr>
          <w:rFonts w:ascii="Times New Roman" w:eastAsia="Times New Roman" w:hAnsi="Times New Roman" w:cs="Times New Roman"/>
          <w:b/>
          <w:bCs/>
          <w:color w:val="000000"/>
          <w:sz w:val="24"/>
          <w:szCs w:val="24"/>
        </w:rPr>
      </w:pPr>
    </w:p>
    <w:p w14:paraId="41B5F4C0" w14:textId="77777777" w:rsidR="00D94493" w:rsidRPr="00D94493" w:rsidRDefault="00D94493" w:rsidP="00D94493">
      <w:pPr>
        <w:spacing w:after="0" w:line="240" w:lineRule="auto"/>
        <w:jc w:val="both"/>
        <w:rPr>
          <w:rFonts w:ascii="Times New Roman" w:eastAsia="Times New Roman" w:hAnsi="Times New Roman" w:cs="Times New Roman"/>
          <w:i/>
          <w:iCs/>
          <w:color w:val="000000"/>
          <w:sz w:val="24"/>
          <w:szCs w:val="24"/>
        </w:rPr>
      </w:pPr>
      <w:r w:rsidRPr="00D94493">
        <w:rPr>
          <w:rFonts w:ascii="Times New Roman" w:eastAsia="Times New Roman" w:hAnsi="Times New Roman" w:cs="Times New Roman"/>
          <w:b/>
          <w:bCs/>
          <w:i/>
          <w:iCs/>
          <w:color w:val="000000"/>
          <w:sz w:val="24"/>
          <w:szCs w:val="24"/>
        </w:rPr>
        <w:lastRenderedPageBreak/>
        <w:t>Zavedenie minimálnej dane z príjmov právnických osôb</w:t>
      </w:r>
    </w:p>
    <w:p w14:paraId="7C7B5079" w14:textId="77777777" w:rsidR="00D94493" w:rsidRPr="00D94493" w:rsidRDefault="00D94493" w:rsidP="00D94493">
      <w:pPr>
        <w:spacing w:after="0" w:line="276" w:lineRule="auto"/>
        <w:jc w:val="both"/>
        <w:rPr>
          <w:rFonts w:ascii="Times New Roman" w:eastAsia="Times New Roman" w:hAnsi="Times New Roman" w:cs="Times New Roman"/>
          <w:color w:val="000000"/>
          <w:sz w:val="24"/>
          <w:szCs w:val="24"/>
        </w:rPr>
      </w:pPr>
      <w:r w:rsidRPr="00D94493">
        <w:rPr>
          <w:rFonts w:ascii="Times New Roman" w:eastAsia="Times New Roman" w:hAnsi="Times New Roman" w:cs="Times New Roman"/>
          <w:color w:val="000000"/>
          <w:sz w:val="24"/>
          <w:szCs w:val="24"/>
        </w:rPr>
        <w:t>S účinnosťou od 1.1.2024 sa zavádza minimálna výška dane z príjmov právnických osôb, ktorú musí daňovník odviesť bez ohľadu na výšku daňového základu resp. straty. Výška minimálnej dane je v závislosti od zdaniteľných príjmov určená podľa tabuľky.</w:t>
      </w:r>
    </w:p>
    <w:p w14:paraId="21CB3349" w14:textId="77777777" w:rsidR="00D94493" w:rsidRPr="00D94493" w:rsidRDefault="00D94493" w:rsidP="00D94493">
      <w:pPr>
        <w:spacing w:after="0" w:line="276" w:lineRule="auto"/>
        <w:jc w:val="both"/>
        <w:rPr>
          <w:rFonts w:ascii="Times New Roman" w:eastAsia="Times New Roman" w:hAnsi="Times New Roman" w:cs="Times New Roman"/>
          <w:color w:val="000000"/>
          <w:sz w:val="24"/>
          <w:szCs w:val="24"/>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7"/>
        <w:gridCol w:w="2551"/>
      </w:tblGrid>
      <w:tr w:rsidR="00D94493" w:rsidRPr="00D94493" w14:paraId="1224282B" w14:textId="77777777" w:rsidTr="00D94493">
        <w:trPr>
          <w:jc w:val="center"/>
        </w:trPr>
        <w:tc>
          <w:tcPr>
            <w:tcW w:w="9068" w:type="dxa"/>
            <w:gridSpan w:val="2"/>
            <w:tcBorders>
              <w:bottom w:val="single" w:sz="4" w:space="0" w:color="auto"/>
            </w:tcBorders>
          </w:tcPr>
          <w:p w14:paraId="0B7B3EC8" w14:textId="2214A3A4" w:rsidR="00D94493" w:rsidRPr="00D94493" w:rsidRDefault="00D94493" w:rsidP="00D94493">
            <w:pPr>
              <w:rPr>
                <w:rFonts w:ascii="Times New Roman" w:eastAsia="Arial Narrow" w:hAnsi="Times New Roman"/>
                <w:color w:val="5B9BD5" w:themeColor="accent1"/>
                <w:sz w:val="20"/>
                <w:szCs w:val="20"/>
              </w:rPr>
            </w:pPr>
            <w:bookmarkStart w:id="91" w:name="_Toc153013021"/>
            <w:r w:rsidRPr="00D94493">
              <w:rPr>
                <w:rFonts w:ascii="Times New Roman" w:eastAsia="Arial Narrow" w:hAnsi="Times New Roman"/>
                <w:b/>
                <w:bCs/>
                <w:color w:val="5B9BD5" w:themeColor="accent1"/>
                <w:sz w:val="20"/>
                <w:szCs w:val="20"/>
              </w:rPr>
              <w:t xml:space="preserve">Tabuľka </w:t>
            </w:r>
            <w:r w:rsidRPr="00D94493">
              <w:rPr>
                <w:rFonts w:ascii="Times New Roman" w:eastAsia="Calibri" w:hAnsi="Times New Roman"/>
                <w:b/>
                <w:iCs/>
                <w:color w:val="5B9BD5"/>
                <w:sz w:val="20"/>
                <w:szCs w:val="18"/>
              </w:rPr>
              <w:fldChar w:fldCharType="begin"/>
            </w:r>
            <w:r w:rsidRPr="00D94493">
              <w:rPr>
                <w:rFonts w:ascii="Times New Roman" w:eastAsia="Calibri" w:hAnsi="Times New Roman"/>
                <w:b/>
                <w:iCs/>
                <w:color w:val="5B9BD5"/>
                <w:sz w:val="20"/>
                <w:szCs w:val="18"/>
              </w:rPr>
              <w:instrText xml:space="preserve"> SEQ Tabuľka \* ARABIC </w:instrText>
            </w:r>
            <w:r w:rsidRPr="00D94493">
              <w:rPr>
                <w:rFonts w:ascii="Times New Roman" w:eastAsia="Calibri" w:hAnsi="Times New Roman"/>
                <w:b/>
                <w:iCs/>
                <w:color w:val="5B9BD5"/>
                <w:sz w:val="20"/>
                <w:szCs w:val="18"/>
              </w:rPr>
              <w:fldChar w:fldCharType="separate"/>
            </w:r>
            <w:r w:rsidR="003D5A3A">
              <w:rPr>
                <w:rFonts w:ascii="Times New Roman" w:eastAsia="Calibri" w:hAnsi="Times New Roman"/>
                <w:b/>
                <w:iCs/>
                <w:noProof/>
                <w:color w:val="5B9BD5"/>
                <w:sz w:val="20"/>
                <w:szCs w:val="18"/>
              </w:rPr>
              <w:t>23</w:t>
            </w:r>
            <w:r w:rsidRPr="00D94493">
              <w:rPr>
                <w:rFonts w:ascii="Times New Roman" w:eastAsia="Calibri" w:hAnsi="Times New Roman"/>
                <w:b/>
                <w:iCs/>
                <w:color w:val="5B9BD5"/>
                <w:sz w:val="20"/>
                <w:szCs w:val="18"/>
              </w:rPr>
              <w:fldChar w:fldCharType="end"/>
            </w:r>
            <w:r w:rsidRPr="00D94493">
              <w:rPr>
                <w:rFonts w:ascii="Times New Roman" w:eastAsia="Calibri" w:hAnsi="Times New Roman"/>
                <w:b/>
                <w:iCs/>
                <w:color w:val="5B9BD5"/>
                <w:sz w:val="20"/>
                <w:szCs w:val="18"/>
              </w:rPr>
              <w:t xml:space="preserve"> -</w:t>
            </w:r>
            <w:r w:rsidRPr="00D94493">
              <w:rPr>
                <w:rFonts w:ascii="Times New Roman" w:eastAsia="Arial Narrow" w:hAnsi="Times New Roman"/>
                <w:b/>
                <w:bCs/>
                <w:color w:val="5B9BD5" w:themeColor="accent1"/>
                <w:sz w:val="20"/>
                <w:szCs w:val="20"/>
              </w:rPr>
              <w:t xml:space="preserve"> Minimálna daň firmy v závislosti od jej zdaniteľných príjmov</w:t>
            </w:r>
            <w:bookmarkEnd w:id="91"/>
          </w:p>
        </w:tc>
      </w:tr>
      <w:tr w:rsidR="00D94493" w:rsidRPr="00D94493" w14:paraId="2B6D1B4C" w14:textId="77777777" w:rsidTr="00D94493">
        <w:trPr>
          <w:jc w:val="center"/>
        </w:trPr>
        <w:tc>
          <w:tcPr>
            <w:tcW w:w="6517" w:type="dxa"/>
            <w:tcBorders>
              <w:top w:val="single" w:sz="4" w:space="0" w:color="auto"/>
              <w:bottom w:val="single" w:sz="4" w:space="0" w:color="auto"/>
            </w:tcBorders>
          </w:tcPr>
          <w:p w14:paraId="1025C53A" w14:textId="77777777" w:rsidR="00D94493" w:rsidRPr="00296CA4" w:rsidRDefault="00D94493" w:rsidP="00D94493">
            <w:pPr>
              <w:jc w:val="both"/>
              <w:rPr>
                <w:rFonts w:ascii="Times New Roman" w:hAnsi="Times New Roman"/>
                <w:b/>
                <w:bCs/>
                <w:color w:val="000000" w:themeColor="text1"/>
                <w:sz w:val="16"/>
                <w:szCs w:val="16"/>
              </w:rPr>
            </w:pPr>
            <w:r w:rsidRPr="00296CA4">
              <w:rPr>
                <w:rFonts w:ascii="Times New Roman" w:hAnsi="Times New Roman"/>
                <w:b/>
                <w:bCs/>
                <w:color w:val="000000" w:themeColor="text1"/>
                <w:sz w:val="16"/>
                <w:szCs w:val="16"/>
              </w:rPr>
              <w:t>Výška zdaniteľných príjmov</w:t>
            </w:r>
          </w:p>
        </w:tc>
        <w:tc>
          <w:tcPr>
            <w:tcW w:w="2551" w:type="dxa"/>
            <w:tcBorders>
              <w:top w:val="single" w:sz="4" w:space="0" w:color="auto"/>
              <w:bottom w:val="single" w:sz="4" w:space="0" w:color="auto"/>
            </w:tcBorders>
          </w:tcPr>
          <w:p w14:paraId="140C001D" w14:textId="77777777" w:rsidR="00D94493" w:rsidRPr="00296CA4" w:rsidRDefault="00D94493" w:rsidP="00D94493">
            <w:pPr>
              <w:jc w:val="both"/>
              <w:rPr>
                <w:rFonts w:ascii="Times New Roman" w:hAnsi="Times New Roman"/>
                <w:b/>
                <w:color w:val="000000" w:themeColor="text1"/>
                <w:sz w:val="16"/>
                <w:szCs w:val="16"/>
              </w:rPr>
            </w:pPr>
            <w:r w:rsidRPr="00296CA4">
              <w:rPr>
                <w:rFonts w:ascii="Times New Roman" w:hAnsi="Times New Roman"/>
                <w:b/>
                <w:color w:val="000000" w:themeColor="text1"/>
                <w:sz w:val="16"/>
                <w:szCs w:val="16"/>
              </w:rPr>
              <w:t>Minimálna daň (v eurách)</w:t>
            </w:r>
          </w:p>
        </w:tc>
      </w:tr>
      <w:tr w:rsidR="00D94493" w:rsidRPr="00D94493" w14:paraId="0BF9B907" w14:textId="77777777" w:rsidTr="00D94493">
        <w:trPr>
          <w:jc w:val="center"/>
        </w:trPr>
        <w:tc>
          <w:tcPr>
            <w:tcW w:w="6517" w:type="dxa"/>
            <w:tcBorders>
              <w:top w:val="single" w:sz="4" w:space="0" w:color="auto"/>
            </w:tcBorders>
            <w:vAlign w:val="center"/>
          </w:tcPr>
          <w:p w14:paraId="13BD0662" w14:textId="77777777" w:rsidR="00D94493" w:rsidRPr="00296CA4" w:rsidRDefault="00D94493" w:rsidP="00D94493">
            <w:pPr>
              <w:jc w:val="both"/>
              <w:rPr>
                <w:rFonts w:ascii="Times New Roman" w:hAnsi="Times New Roman"/>
                <w:color w:val="000000" w:themeColor="text1"/>
                <w:sz w:val="16"/>
                <w:szCs w:val="16"/>
              </w:rPr>
            </w:pPr>
            <w:r w:rsidRPr="00296CA4">
              <w:rPr>
                <w:rFonts w:ascii="Times New Roman" w:eastAsia="Arial Narrow" w:hAnsi="Times New Roman"/>
                <w:sz w:val="16"/>
                <w:szCs w:val="16"/>
              </w:rPr>
              <w:t>Do 50 000 eur</w:t>
            </w:r>
          </w:p>
        </w:tc>
        <w:tc>
          <w:tcPr>
            <w:tcW w:w="2551" w:type="dxa"/>
            <w:tcBorders>
              <w:top w:val="single" w:sz="4" w:space="0" w:color="auto"/>
            </w:tcBorders>
            <w:vAlign w:val="center"/>
          </w:tcPr>
          <w:p w14:paraId="55AA93EC" w14:textId="77777777" w:rsidR="00D94493" w:rsidRPr="00296CA4" w:rsidRDefault="00D94493" w:rsidP="00D94493">
            <w:pPr>
              <w:jc w:val="center"/>
              <w:rPr>
                <w:rFonts w:ascii="Times New Roman" w:hAnsi="Times New Roman"/>
                <w:color w:val="000000" w:themeColor="text1"/>
                <w:sz w:val="16"/>
                <w:szCs w:val="16"/>
              </w:rPr>
            </w:pPr>
            <w:r w:rsidRPr="00296CA4">
              <w:rPr>
                <w:rFonts w:ascii="Times New Roman" w:eastAsia="Arial Narrow" w:hAnsi="Times New Roman"/>
                <w:sz w:val="16"/>
                <w:szCs w:val="16"/>
              </w:rPr>
              <w:t>340</w:t>
            </w:r>
          </w:p>
        </w:tc>
      </w:tr>
      <w:tr w:rsidR="00D94493" w:rsidRPr="00D94493" w14:paraId="3953C40C" w14:textId="77777777" w:rsidTr="00D94493">
        <w:trPr>
          <w:jc w:val="center"/>
        </w:trPr>
        <w:tc>
          <w:tcPr>
            <w:tcW w:w="6517" w:type="dxa"/>
            <w:vAlign w:val="center"/>
          </w:tcPr>
          <w:p w14:paraId="063BF16D" w14:textId="77777777" w:rsidR="00D94493" w:rsidRPr="00296CA4" w:rsidRDefault="00D94493" w:rsidP="00D94493">
            <w:pPr>
              <w:jc w:val="both"/>
              <w:rPr>
                <w:rFonts w:ascii="Times New Roman" w:hAnsi="Times New Roman"/>
                <w:color w:val="000000" w:themeColor="text1"/>
                <w:sz w:val="16"/>
                <w:szCs w:val="16"/>
              </w:rPr>
            </w:pPr>
            <w:r w:rsidRPr="00296CA4">
              <w:rPr>
                <w:rFonts w:ascii="Times New Roman" w:eastAsia="Arial Narrow" w:hAnsi="Times New Roman"/>
                <w:sz w:val="16"/>
                <w:szCs w:val="16"/>
              </w:rPr>
              <w:t xml:space="preserve">50 000 – 250 000 eur </w:t>
            </w:r>
          </w:p>
        </w:tc>
        <w:tc>
          <w:tcPr>
            <w:tcW w:w="2551" w:type="dxa"/>
            <w:vAlign w:val="center"/>
          </w:tcPr>
          <w:p w14:paraId="44A998B2" w14:textId="77777777" w:rsidR="00D94493" w:rsidRPr="00296CA4" w:rsidRDefault="00D94493" w:rsidP="00D94493">
            <w:pPr>
              <w:jc w:val="center"/>
              <w:rPr>
                <w:rFonts w:ascii="Times New Roman" w:hAnsi="Times New Roman"/>
                <w:color w:val="000000" w:themeColor="text1"/>
                <w:sz w:val="16"/>
                <w:szCs w:val="16"/>
              </w:rPr>
            </w:pPr>
            <w:r w:rsidRPr="00296CA4">
              <w:rPr>
                <w:rFonts w:ascii="Times New Roman" w:eastAsia="Arial Narrow" w:hAnsi="Times New Roman"/>
                <w:sz w:val="16"/>
                <w:szCs w:val="16"/>
              </w:rPr>
              <w:t>960</w:t>
            </w:r>
          </w:p>
        </w:tc>
      </w:tr>
      <w:tr w:rsidR="00D94493" w:rsidRPr="00D94493" w14:paraId="6606EB1F" w14:textId="77777777" w:rsidTr="00D94493">
        <w:trPr>
          <w:jc w:val="center"/>
        </w:trPr>
        <w:tc>
          <w:tcPr>
            <w:tcW w:w="6517" w:type="dxa"/>
            <w:vAlign w:val="center"/>
          </w:tcPr>
          <w:p w14:paraId="5D94E2F7" w14:textId="77777777" w:rsidR="00D94493" w:rsidRPr="00296CA4" w:rsidRDefault="00D94493" w:rsidP="00D94493">
            <w:pPr>
              <w:jc w:val="both"/>
              <w:rPr>
                <w:rFonts w:ascii="Times New Roman" w:hAnsi="Times New Roman"/>
                <w:color w:val="000000" w:themeColor="text1"/>
                <w:sz w:val="16"/>
                <w:szCs w:val="16"/>
              </w:rPr>
            </w:pPr>
            <w:r w:rsidRPr="00296CA4">
              <w:rPr>
                <w:rFonts w:ascii="Times New Roman" w:eastAsia="Arial Narrow" w:hAnsi="Times New Roman"/>
                <w:sz w:val="16"/>
                <w:szCs w:val="16"/>
              </w:rPr>
              <w:t>250 000 – 500 000 eur</w:t>
            </w:r>
          </w:p>
        </w:tc>
        <w:tc>
          <w:tcPr>
            <w:tcW w:w="2551" w:type="dxa"/>
            <w:vAlign w:val="center"/>
          </w:tcPr>
          <w:p w14:paraId="33D3F912" w14:textId="77777777" w:rsidR="00D94493" w:rsidRPr="00296CA4" w:rsidRDefault="00D94493" w:rsidP="00D94493">
            <w:pPr>
              <w:jc w:val="center"/>
              <w:rPr>
                <w:rFonts w:ascii="Times New Roman" w:hAnsi="Times New Roman"/>
                <w:color w:val="000000" w:themeColor="text1"/>
                <w:sz w:val="16"/>
                <w:szCs w:val="16"/>
              </w:rPr>
            </w:pPr>
            <w:r w:rsidRPr="00296CA4">
              <w:rPr>
                <w:rFonts w:ascii="Times New Roman" w:eastAsia="Arial Narrow" w:hAnsi="Times New Roman"/>
                <w:sz w:val="16"/>
                <w:szCs w:val="16"/>
              </w:rPr>
              <w:t>1 920</w:t>
            </w:r>
          </w:p>
        </w:tc>
      </w:tr>
      <w:tr w:rsidR="00D94493" w:rsidRPr="00D94493" w14:paraId="28CDFE46" w14:textId="77777777" w:rsidTr="00D94493">
        <w:trPr>
          <w:jc w:val="center"/>
        </w:trPr>
        <w:tc>
          <w:tcPr>
            <w:tcW w:w="6517" w:type="dxa"/>
            <w:tcBorders>
              <w:bottom w:val="single" w:sz="4" w:space="0" w:color="auto"/>
            </w:tcBorders>
            <w:vAlign w:val="center"/>
          </w:tcPr>
          <w:p w14:paraId="3276FE52" w14:textId="77777777" w:rsidR="00D94493" w:rsidRPr="00296CA4" w:rsidRDefault="00D94493" w:rsidP="00D94493">
            <w:pPr>
              <w:jc w:val="both"/>
              <w:rPr>
                <w:rFonts w:ascii="Times New Roman" w:hAnsi="Times New Roman"/>
                <w:color w:val="000000" w:themeColor="text1"/>
                <w:sz w:val="16"/>
                <w:szCs w:val="16"/>
              </w:rPr>
            </w:pPr>
            <w:r w:rsidRPr="00296CA4">
              <w:rPr>
                <w:rFonts w:ascii="Times New Roman" w:eastAsia="Arial Narrow" w:hAnsi="Times New Roman"/>
                <w:sz w:val="16"/>
                <w:szCs w:val="16"/>
              </w:rPr>
              <w:t>Nad 500 000 eur</w:t>
            </w:r>
          </w:p>
        </w:tc>
        <w:tc>
          <w:tcPr>
            <w:tcW w:w="2551" w:type="dxa"/>
            <w:tcBorders>
              <w:bottom w:val="single" w:sz="4" w:space="0" w:color="auto"/>
            </w:tcBorders>
            <w:vAlign w:val="center"/>
          </w:tcPr>
          <w:p w14:paraId="1A076582" w14:textId="77777777" w:rsidR="00D94493" w:rsidRPr="00296CA4" w:rsidRDefault="00D94493" w:rsidP="00D94493">
            <w:pPr>
              <w:jc w:val="center"/>
              <w:rPr>
                <w:rFonts w:ascii="Times New Roman" w:hAnsi="Times New Roman"/>
                <w:color w:val="000000" w:themeColor="text1"/>
                <w:sz w:val="16"/>
                <w:szCs w:val="16"/>
              </w:rPr>
            </w:pPr>
            <w:r w:rsidRPr="00296CA4">
              <w:rPr>
                <w:rFonts w:ascii="Times New Roman" w:eastAsia="Arial Narrow" w:hAnsi="Times New Roman"/>
                <w:sz w:val="16"/>
                <w:szCs w:val="16"/>
              </w:rPr>
              <w:t>3 840</w:t>
            </w:r>
          </w:p>
        </w:tc>
      </w:tr>
    </w:tbl>
    <w:p w14:paraId="01A0994D" w14:textId="77777777" w:rsidR="00D94493" w:rsidRPr="00D94493" w:rsidRDefault="00D94493" w:rsidP="00D94493">
      <w:pPr>
        <w:spacing w:after="0" w:line="276" w:lineRule="auto"/>
        <w:jc w:val="both"/>
        <w:rPr>
          <w:rFonts w:ascii="Times New Roman" w:eastAsia="Times New Roman" w:hAnsi="Times New Roman" w:cs="Times New Roman"/>
          <w:color w:val="000000"/>
          <w:sz w:val="24"/>
          <w:szCs w:val="24"/>
        </w:rPr>
      </w:pPr>
    </w:p>
    <w:p w14:paraId="0925D899" w14:textId="77777777" w:rsidR="00D94493" w:rsidRPr="00D94493" w:rsidRDefault="00D94493" w:rsidP="00D94493">
      <w:pPr>
        <w:spacing w:after="0" w:line="276" w:lineRule="auto"/>
        <w:jc w:val="both"/>
        <w:rPr>
          <w:rFonts w:ascii="Times New Roman" w:eastAsia="Times New Roman" w:hAnsi="Times New Roman" w:cs="Times New Roman"/>
          <w:b/>
          <w:color w:val="5B9BD5" w:themeColor="accent1"/>
          <w:sz w:val="24"/>
          <w:szCs w:val="24"/>
        </w:rPr>
      </w:pPr>
      <w:r w:rsidRPr="00D94493">
        <w:rPr>
          <w:rFonts w:ascii="Times New Roman" w:eastAsia="Times New Roman" w:hAnsi="Times New Roman" w:cs="Times New Roman"/>
          <w:b/>
          <w:color w:val="5B9BD5" w:themeColor="accent1"/>
          <w:sz w:val="24"/>
          <w:szCs w:val="24"/>
        </w:rPr>
        <w:t>Opatrenia nezahrnuté v návrhu rozpočtu verejnej správy na roky 2024 až 2026</w:t>
      </w:r>
    </w:p>
    <w:p w14:paraId="0BF30CD9" w14:textId="77777777" w:rsidR="00D94493" w:rsidRPr="00D94493" w:rsidRDefault="00D94493" w:rsidP="00D94493">
      <w:pPr>
        <w:spacing w:after="0" w:line="276" w:lineRule="auto"/>
        <w:jc w:val="both"/>
        <w:rPr>
          <w:rFonts w:ascii="Times New Roman" w:eastAsia="Times New Roman" w:hAnsi="Times New Roman" w:cs="Times New Roman"/>
          <w:color w:val="000000"/>
          <w:sz w:val="24"/>
          <w:szCs w:val="24"/>
        </w:rPr>
      </w:pPr>
    </w:p>
    <w:p w14:paraId="0640A6B5" w14:textId="77777777" w:rsidR="00D94493" w:rsidRPr="000F21CE" w:rsidRDefault="00D94493" w:rsidP="00D94493">
      <w:pPr>
        <w:spacing w:after="0" w:line="276" w:lineRule="auto"/>
        <w:jc w:val="both"/>
        <w:rPr>
          <w:rFonts w:ascii="Times New Roman" w:eastAsia="Times New Roman" w:hAnsi="Times New Roman" w:cs="Times New Roman"/>
          <w:color w:val="000000"/>
          <w:sz w:val="24"/>
          <w:szCs w:val="24"/>
        </w:rPr>
      </w:pPr>
      <w:r w:rsidRPr="00D94493">
        <w:rPr>
          <w:rFonts w:ascii="Times New Roman" w:eastAsia="Times New Roman" w:hAnsi="Times New Roman" w:cs="Times New Roman"/>
          <w:color w:val="000000"/>
          <w:sz w:val="24"/>
          <w:szCs w:val="24"/>
        </w:rPr>
        <w:t xml:space="preserve">Vláda uvažuje nad zavedením ďalších sadzieb pri dani z fyzických osôb s cieľom zvýšiť progresivitu zdanenia. Od roku 2025  sa zvažuje  zavedenie   ďalších nových sadzieb dane z príjmu fyzických osôb, čo by malo zvýšiť verejné príjmy o viac ako 78 mil. eur. Toto opatrenie </w:t>
      </w:r>
      <w:r w:rsidRPr="000F21CE">
        <w:rPr>
          <w:rFonts w:ascii="Times New Roman" w:eastAsia="Times New Roman" w:hAnsi="Times New Roman" w:cs="Times New Roman"/>
          <w:color w:val="000000"/>
          <w:sz w:val="24"/>
          <w:szCs w:val="24"/>
        </w:rPr>
        <w:t xml:space="preserve">by sa mohlo  dotknúť približne 10 tisíc najlepšie zarábajúcich. </w:t>
      </w:r>
    </w:p>
    <w:p w14:paraId="79481C9E" w14:textId="77777777" w:rsidR="00D94493" w:rsidRPr="000F21CE" w:rsidRDefault="00D94493" w:rsidP="00D94493">
      <w:pPr>
        <w:spacing w:after="0" w:line="276" w:lineRule="auto"/>
        <w:jc w:val="both"/>
        <w:rPr>
          <w:rFonts w:ascii="Times New Roman" w:eastAsia="Times New Roman" w:hAnsi="Times New Roman" w:cs="Times New Roman"/>
          <w:color w:val="000000"/>
          <w:sz w:val="24"/>
          <w:szCs w:val="24"/>
        </w:rPr>
      </w:pPr>
    </w:p>
    <w:p w14:paraId="5E7EDE0F" w14:textId="37A6C990" w:rsidR="00D94493" w:rsidRPr="000F21CE" w:rsidRDefault="00D94493" w:rsidP="00D94493">
      <w:pPr>
        <w:spacing w:after="0" w:line="276" w:lineRule="auto"/>
        <w:jc w:val="both"/>
        <w:rPr>
          <w:rFonts w:ascii="Times New Roman" w:eastAsia="Times New Roman" w:hAnsi="Times New Roman" w:cs="Times New Roman"/>
          <w:color w:val="000000"/>
          <w:sz w:val="24"/>
          <w:szCs w:val="24"/>
        </w:rPr>
      </w:pPr>
      <w:r w:rsidRPr="000F21CE">
        <w:rPr>
          <w:rFonts w:ascii="Times New Roman" w:eastAsia="Times New Roman" w:hAnsi="Times New Roman" w:cs="Times New Roman"/>
          <w:color w:val="000000"/>
          <w:sz w:val="24"/>
          <w:szCs w:val="24"/>
        </w:rPr>
        <w:t xml:space="preserve">Vláda zvažuje koncom budúceho roka zaviesť aj daň zo sladených nápojov. Zavedenie spotrebnej dane zo sladených nápojov, teda nealkoholických nápojov s obsahom cukru a umelých sladidiel sa očakáva v poslednom kvartáli roku 2024. Po vzore OECD a EK sa má zdaňovať úroveň gramov cukrov na 100 ml. nápoja.  Pri projekciách možného nastavenia sadzieb je možné očakávať  celoročný výnos z dane v roku 2025 takmer 100 mil. eur. Zdanenie sladených nápojov je nástroj využívaný v mnohých krajinách s cieľom znižovať výskyt obezity či ďalších neprenosných chorôb súvisiacich so stravou. </w:t>
      </w:r>
      <w:r w:rsidR="000F21CE" w:rsidRPr="000F21CE">
        <w:rPr>
          <w:rFonts w:ascii="Times New Roman" w:eastAsia="Times New Roman" w:hAnsi="Times New Roman" w:cs="Times New Roman"/>
          <w:color w:val="000000"/>
          <w:sz w:val="24"/>
          <w:szCs w:val="24"/>
        </w:rPr>
        <w:t xml:space="preserve">Slovensko je v </w:t>
      </w:r>
      <w:proofErr w:type="spellStart"/>
      <w:r w:rsidR="000F21CE" w:rsidRPr="000F21CE">
        <w:rPr>
          <w:rFonts w:ascii="Times New Roman" w:eastAsia="Times New Roman" w:hAnsi="Times New Roman" w:cs="Times New Roman"/>
          <w:color w:val="000000"/>
          <w:sz w:val="24"/>
          <w:szCs w:val="24"/>
        </w:rPr>
        <w:t>prevalencii</w:t>
      </w:r>
      <w:proofErr w:type="spellEnd"/>
      <w:r w:rsidR="000F21CE" w:rsidRPr="000F21CE">
        <w:rPr>
          <w:rFonts w:ascii="Times New Roman" w:eastAsia="Times New Roman" w:hAnsi="Times New Roman" w:cs="Times New Roman"/>
          <w:color w:val="000000"/>
          <w:sz w:val="24"/>
          <w:szCs w:val="24"/>
        </w:rPr>
        <w:t xml:space="preserve"> nadváhy, obezity i cu</w:t>
      </w:r>
      <w:r w:rsidR="007937E4">
        <w:rPr>
          <w:rFonts w:ascii="Times New Roman" w:eastAsia="Times New Roman" w:hAnsi="Times New Roman" w:cs="Times New Roman"/>
          <w:color w:val="000000"/>
          <w:sz w:val="24"/>
          <w:szCs w:val="24"/>
        </w:rPr>
        <w:t xml:space="preserve">krovky nad priemerom krajín EÚ a </w:t>
      </w:r>
      <w:r w:rsidRPr="000F21CE">
        <w:rPr>
          <w:rFonts w:ascii="Times New Roman" w:eastAsia="Times New Roman" w:hAnsi="Times New Roman" w:cs="Times New Roman"/>
          <w:color w:val="000000"/>
          <w:sz w:val="24"/>
          <w:szCs w:val="24"/>
        </w:rPr>
        <w:t>má šiesty najvyšší podiel dospelých ľudí s nadváhou (58,7 % v roku 2019) z krajín EÚ (priemer EÚ je 52,7 %).</w:t>
      </w:r>
    </w:p>
    <w:p w14:paraId="4419C309" w14:textId="77777777" w:rsidR="00D94493" w:rsidRPr="000F21CE" w:rsidRDefault="00D94493" w:rsidP="00D94493">
      <w:pPr>
        <w:spacing w:after="0" w:line="276" w:lineRule="auto"/>
        <w:jc w:val="both"/>
        <w:rPr>
          <w:rFonts w:ascii="Times New Roman" w:eastAsia="Times New Roman" w:hAnsi="Times New Roman" w:cs="Times New Roman"/>
          <w:color w:val="000000"/>
          <w:sz w:val="24"/>
          <w:szCs w:val="24"/>
        </w:rPr>
      </w:pPr>
    </w:p>
    <w:p w14:paraId="2B5C0517" w14:textId="77777777" w:rsidR="00D94493" w:rsidRPr="000F21CE" w:rsidRDefault="00D94493" w:rsidP="00D94493">
      <w:pPr>
        <w:spacing w:after="0" w:line="276" w:lineRule="auto"/>
        <w:jc w:val="both"/>
        <w:rPr>
          <w:rFonts w:ascii="Times New Roman" w:eastAsia="Times New Roman" w:hAnsi="Times New Roman" w:cs="Times New Roman"/>
          <w:color w:val="000000"/>
          <w:sz w:val="24"/>
          <w:szCs w:val="24"/>
        </w:rPr>
      </w:pPr>
      <w:r w:rsidRPr="000F21CE">
        <w:rPr>
          <w:rFonts w:ascii="Times New Roman" w:eastAsia="Times New Roman" w:hAnsi="Times New Roman" w:cs="Times New Roman"/>
          <w:color w:val="000000"/>
          <w:sz w:val="24"/>
          <w:szCs w:val="24"/>
        </w:rPr>
        <w:t>Vláda tiež plánuje zaviesť ročné zúčtovanie sociálnych odvodov s platnosťou od roku 2026. Opatrením sa má zmeniť uplatňovanie maximálneho vymeriavacieho základu z mesačnej na ročnú bázu a má sa zaviesť ročné zúčtovanie. Zamestnanci po novom by mali  platiť v rámci roka odvody do bodu, kým nedosiahnu maximálny ročný vymeriavací základ, ktorý má nahradiť súčasný maximálny odvod stanovený na mesiac. Následne, po ukončení roka, by malo prebehnúť ročné zúčtovanie sociálnych odvodov po vzore zdravotných odvodov. Očakávaný výnos zo zmeny je vo výške viac ako 100 mil. eur. Opatrenie sa plánuje  zaviesť s cieľom zamedziť daňovej optimalizácie prostredníctvom kumulácie a vyplácania vysokých odmien v jednom mesiaci.</w:t>
      </w:r>
    </w:p>
    <w:p w14:paraId="043C0E83" w14:textId="77777777" w:rsidR="00D94493" w:rsidRPr="00D94493" w:rsidRDefault="00D94493" w:rsidP="00D94493">
      <w:pPr>
        <w:spacing w:after="0"/>
        <w:jc w:val="both"/>
        <w:rPr>
          <w:rFonts w:ascii="Times New Roman" w:hAnsi="Times New Roman" w:cs="Times New Roman"/>
          <w:sz w:val="24"/>
        </w:rPr>
      </w:pPr>
    </w:p>
    <w:p w14:paraId="0F057230" w14:textId="77777777" w:rsidR="00D94493" w:rsidRPr="00D94493" w:rsidRDefault="00D94493" w:rsidP="00D94493">
      <w:pPr>
        <w:spacing w:after="0" w:line="240" w:lineRule="auto"/>
        <w:jc w:val="both"/>
        <w:rPr>
          <w:rFonts w:ascii="Times New Roman" w:eastAsia="Calibri" w:hAnsi="Times New Roman" w:cs="Times New Roman"/>
          <w:b/>
          <w:color w:val="5B9BD5"/>
          <w:sz w:val="24"/>
          <w:szCs w:val="24"/>
        </w:rPr>
      </w:pPr>
      <w:r w:rsidRPr="00D94493">
        <w:rPr>
          <w:rFonts w:ascii="Times New Roman" w:eastAsia="Calibri" w:hAnsi="Times New Roman" w:cs="Times New Roman"/>
          <w:b/>
          <w:color w:val="5B9BD5"/>
          <w:sz w:val="24"/>
          <w:szCs w:val="24"/>
        </w:rPr>
        <w:t>Prognóza daňových a odvodových príjmov</w:t>
      </w:r>
    </w:p>
    <w:p w14:paraId="5EFA508F" w14:textId="77777777" w:rsidR="00D94493" w:rsidRPr="00D94493" w:rsidRDefault="00D94493" w:rsidP="00D94493">
      <w:pPr>
        <w:spacing w:after="0" w:line="240" w:lineRule="auto"/>
        <w:jc w:val="both"/>
        <w:rPr>
          <w:rFonts w:ascii="Times New Roman" w:eastAsia="Calibri" w:hAnsi="Times New Roman" w:cs="Times New Roman"/>
          <w:b/>
          <w:bCs/>
          <w:sz w:val="24"/>
          <w:szCs w:val="24"/>
        </w:rPr>
      </w:pPr>
    </w:p>
    <w:p w14:paraId="43F175D6" w14:textId="77777777" w:rsidR="00D94493" w:rsidRPr="00D94493" w:rsidRDefault="00D94493" w:rsidP="00D94493">
      <w:pPr>
        <w:spacing w:after="0" w:line="240" w:lineRule="auto"/>
        <w:jc w:val="both"/>
        <w:rPr>
          <w:rFonts w:ascii="Times New Roman" w:eastAsia="Calibri" w:hAnsi="Times New Roman" w:cs="Times New Roman"/>
          <w:sz w:val="24"/>
          <w:szCs w:val="24"/>
          <w:highlight w:val="yellow"/>
        </w:rPr>
      </w:pPr>
      <w:r w:rsidRPr="00D94493">
        <w:rPr>
          <w:rFonts w:ascii="Times New Roman" w:eastAsia="Calibri" w:hAnsi="Times New Roman" w:cs="Times New Roman"/>
          <w:b/>
          <w:bCs/>
          <w:sz w:val="24"/>
          <w:szCs w:val="24"/>
        </w:rPr>
        <w:t xml:space="preserve">Akruálne daňové príjmy </w:t>
      </w:r>
      <w:r w:rsidRPr="00D94493">
        <w:rPr>
          <w:rFonts w:ascii="Times New Roman" w:eastAsia="Calibri" w:hAnsi="Times New Roman" w:cs="Times New Roman"/>
          <w:sz w:val="24"/>
          <w:szCs w:val="24"/>
        </w:rPr>
        <w:t xml:space="preserve">sú podľa jednotlivých položiek uvedené v nasledovnej tabuľke. Detailný vývoj daní a odvodov, vrátane analytických faktorov, publikuje Inštitút finančnej politiky v rámci MF SR na nasledovnej </w:t>
      </w:r>
      <w:r w:rsidRPr="00D94493">
        <w:rPr>
          <w:rFonts w:ascii="Times New Roman" w:eastAsia="Calibri" w:hAnsi="Times New Roman" w:cs="Times New Roman"/>
          <w:color w:val="0563C1"/>
          <w:sz w:val="24"/>
          <w:szCs w:val="24"/>
          <w:u w:val="single"/>
        </w:rPr>
        <w:t>webstránke</w:t>
      </w:r>
      <w:r w:rsidRPr="00D94493">
        <w:rPr>
          <w:rFonts w:ascii="Times New Roman" w:eastAsia="Calibri" w:hAnsi="Times New Roman" w:cs="Times New Roman"/>
          <w:sz w:val="24"/>
          <w:szCs w:val="24"/>
          <w:vertAlign w:val="superscript"/>
        </w:rPr>
        <w:footnoteReference w:id="25"/>
      </w:r>
      <w:r w:rsidRPr="00D94493">
        <w:rPr>
          <w:rFonts w:ascii="Times New Roman" w:eastAsia="Calibri" w:hAnsi="Times New Roman" w:cs="Times New Roman"/>
          <w:sz w:val="24"/>
          <w:szCs w:val="24"/>
        </w:rPr>
        <w:t>.</w:t>
      </w:r>
    </w:p>
    <w:p w14:paraId="21425E32" w14:textId="77777777" w:rsidR="00D94493" w:rsidRPr="00D94493" w:rsidRDefault="00D94493" w:rsidP="00D94493">
      <w:pPr>
        <w:spacing w:after="0" w:line="240" w:lineRule="auto"/>
        <w:jc w:val="both"/>
        <w:rPr>
          <w:rFonts w:ascii="Times New Roman" w:eastAsia="Calibri" w:hAnsi="Times New Roman" w:cs="Times New Roman"/>
          <w:sz w:val="24"/>
          <w:szCs w:val="24"/>
          <w:highlight w:val="yellow"/>
        </w:rPr>
      </w:pPr>
    </w:p>
    <w:p w14:paraId="0A247AA3" w14:textId="0ACC249B" w:rsidR="00D94493" w:rsidRPr="00D94493" w:rsidRDefault="00D94493" w:rsidP="00D94493">
      <w:pPr>
        <w:keepNext/>
        <w:spacing w:after="0" w:line="240" w:lineRule="auto"/>
        <w:rPr>
          <w:rFonts w:ascii="Times New Roman" w:eastAsia="Calibri" w:hAnsi="Times New Roman" w:cs="Times New Roman"/>
          <w:b/>
          <w:iCs/>
          <w:color w:val="5B9BD5"/>
          <w:sz w:val="20"/>
          <w:szCs w:val="18"/>
        </w:rPr>
      </w:pPr>
      <w:bookmarkStart w:id="92" w:name="_Toc53086351"/>
      <w:bookmarkStart w:id="93" w:name="_Toc153013022"/>
      <w:r w:rsidRPr="00D94493">
        <w:rPr>
          <w:rFonts w:ascii="Times New Roman" w:eastAsia="Calibri" w:hAnsi="Times New Roman" w:cs="Times New Roman"/>
          <w:b/>
          <w:iCs/>
          <w:color w:val="5B9BD5"/>
          <w:sz w:val="20"/>
          <w:szCs w:val="18"/>
        </w:rPr>
        <w:lastRenderedPageBreak/>
        <w:t xml:space="preserve">Tabuľka </w:t>
      </w:r>
      <w:r w:rsidRPr="00D94493">
        <w:rPr>
          <w:rFonts w:ascii="Times New Roman" w:eastAsia="Calibri" w:hAnsi="Times New Roman" w:cs="Times New Roman"/>
          <w:b/>
          <w:iCs/>
          <w:color w:val="5B9BD5"/>
          <w:sz w:val="20"/>
          <w:szCs w:val="18"/>
        </w:rPr>
        <w:fldChar w:fldCharType="begin"/>
      </w:r>
      <w:r w:rsidRPr="00D94493">
        <w:rPr>
          <w:rFonts w:ascii="Times New Roman" w:eastAsia="Calibri" w:hAnsi="Times New Roman" w:cs="Times New Roman"/>
          <w:b/>
          <w:iCs/>
          <w:color w:val="5B9BD5"/>
          <w:sz w:val="20"/>
          <w:szCs w:val="18"/>
        </w:rPr>
        <w:instrText xml:space="preserve"> SEQ Tabuľka \* ARABIC </w:instrText>
      </w:r>
      <w:r w:rsidRPr="00D94493">
        <w:rPr>
          <w:rFonts w:ascii="Times New Roman" w:eastAsia="Calibri" w:hAnsi="Times New Roman" w:cs="Times New Roman"/>
          <w:b/>
          <w:iCs/>
          <w:color w:val="5B9BD5"/>
          <w:sz w:val="20"/>
          <w:szCs w:val="18"/>
        </w:rPr>
        <w:fldChar w:fldCharType="separate"/>
      </w:r>
      <w:r w:rsidR="003D5A3A">
        <w:rPr>
          <w:rFonts w:ascii="Times New Roman" w:eastAsia="Calibri" w:hAnsi="Times New Roman" w:cs="Times New Roman"/>
          <w:b/>
          <w:iCs/>
          <w:noProof/>
          <w:color w:val="5B9BD5"/>
          <w:sz w:val="20"/>
          <w:szCs w:val="18"/>
        </w:rPr>
        <w:t>24</w:t>
      </w:r>
      <w:r w:rsidRPr="00D94493">
        <w:rPr>
          <w:rFonts w:ascii="Times New Roman" w:eastAsia="Calibri" w:hAnsi="Times New Roman" w:cs="Times New Roman"/>
          <w:b/>
          <w:iCs/>
          <w:color w:val="5B9BD5"/>
          <w:sz w:val="20"/>
          <w:szCs w:val="18"/>
        </w:rPr>
        <w:fldChar w:fldCharType="end"/>
      </w:r>
      <w:r w:rsidRPr="00D94493">
        <w:rPr>
          <w:rFonts w:ascii="Times New Roman" w:eastAsia="Calibri" w:hAnsi="Times New Roman" w:cs="Times New Roman"/>
          <w:b/>
          <w:iCs/>
          <w:color w:val="5B9BD5"/>
          <w:sz w:val="20"/>
          <w:szCs w:val="18"/>
        </w:rPr>
        <w:t xml:space="preserve"> - Daňové a odvodové príjmy (ESA 2010, v tis. eur)</w:t>
      </w:r>
      <w:bookmarkEnd w:id="92"/>
      <w:bookmarkEnd w:id="93"/>
    </w:p>
    <w:tbl>
      <w:tblPr>
        <w:tblW w:w="5155" w:type="pct"/>
        <w:tblLayout w:type="fixed"/>
        <w:tblCellMar>
          <w:left w:w="70" w:type="dxa"/>
          <w:right w:w="70" w:type="dxa"/>
        </w:tblCellMar>
        <w:tblLook w:val="04A0" w:firstRow="1" w:lastRow="0" w:firstColumn="1" w:lastColumn="0" w:noHBand="0" w:noVBand="1"/>
      </w:tblPr>
      <w:tblGrid>
        <w:gridCol w:w="3551"/>
        <w:gridCol w:w="992"/>
        <w:gridCol w:w="991"/>
        <w:gridCol w:w="883"/>
        <w:gridCol w:w="991"/>
        <w:gridCol w:w="961"/>
        <w:gridCol w:w="984"/>
      </w:tblGrid>
      <w:tr w:rsidR="00D94493" w:rsidRPr="00D94493" w14:paraId="3E53763A" w14:textId="77777777" w:rsidTr="00D94493">
        <w:trPr>
          <w:trHeight w:val="170"/>
        </w:trPr>
        <w:tc>
          <w:tcPr>
            <w:tcW w:w="1898" w:type="pct"/>
            <w:tcBorders>
              <w:top w:val="single" w:sz="4" w:space="0" w:color="auto"/>
              <w:left w:val="nil"/>
              <w:bottom w:val="single" w:sz="4" w:space="0" w:color="auto"/>
              <w:right w:val="nil"/>
            </w:tcBorders>
            <w:shd w:val="clear" w:color="auto" w:fill="auto"/>
            <w:noWrap/>
            <w:vAlign w:val="bottom"/>
            <w:hideMark/>
          </w:tcPr>
          <w:p w14:paraId="348163DB" w14:textId="77777777" w:rsidR="00D94493" w:rsidRPr="00D94493" w:rsidRDefault="00D94493" w:rsidP="00D94493">
            <w:pPr>
              <w:spacing w:after="0" w:line="240" w:lineRule="auto"/>
              <w:rPr>
                <w:rFonts w:ascii="Times New Roman" w:eastAsia="Calibri" w:hAnsi="Times New Roman" w:cs="Times New Roman"/>
                <w:b/>
                <w:bCs/>
                <w:color w:val="FF0000"/>
                <w:sz w:val="14"/>
                <w:szCs w:val="14"/>
                <w:lang w:eastAsia="sk-SK"/>
              </w:rPr>
            </w:pPr>
            <w:r w:rsidRPr="00D94493">
              <w:rPr>
                <w:rFonts w:ascii="Times New Roman" w:eastAsia="Calibri" w:hAnsi="Times New Roman" w:cs="Times New Roman"/>
                <w:b/>
                <w:bCs/>
                <w:color w:val="FF0000"/>
                <w:sz w:val="14"/>
                <w:szCs w:val="14"/>
                <w:lang w:eastAsia="sk-SK"/>
              </w:rPr>
              <w:t> </w:t>
            </w:r>
          </w:p>
        </w:tc>
        <w:tc>
          <w:tcPr>
            <w:tcW w:w="530" w:type="pct"/>
            <w:tcBorders>
              <w:top w:val="single" w:sz="4" w:space="0" w:color="auto"/>
              <w:left w:val="nil"/>
              <w:bottom w:val="single" w:sz="4" w:space="0" w:color="auto"/>
              <w:right w:val="nil"/>
            </w:tcBorders>
            <w:shd w:val="clear" w:color="auto" w:fill="auto"/>
            <w:noWrap/>
            <w:vAlign w:val="center"/>
            <w:hideMark/>
          </w:tcPr>
          <w:p w14:paraId="62E09B94"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lang w:eastAsia="sk-SK"/>
              </w:rPr>
            </w:pPr>
            <w:r w:rsidRPr="00D94493">
              <w:rPr>
                <w:rFonts w:ascii="Times New Roman" w:eastAsia="Calibri" w:hAnsi="Times New Roman" w:cs="Times New Roman"/>
                <w:b/>
                <w:bCs/>
                <w:sz w:val="14"/>
                <w:szCs w:val="14"/>
              </w:rPr>
              <w:t>2021S</w:t>
            </w:r>
          </w:p>
        </w:tc>
        <w:tc>
          <w:tcPr>
            <w:tcW w:w="530" w:type="pct"/>
            <w:tcBorders>
              <w:top w:val="single" w:sz="4" w:space="0" w:color="auto"/>
              <w:left w:val="nil"/>
              <w:bottom w:val="single" w:sz="4" w:space="0" w:color="auto"/>
              <w:right w:val="nil"/>
            </w:tcBorders>
            <w:shd w:val="clear" w:color="auto" w:fill="auto"/>
            <w:noWrap/>
            <w:vAlign w:val="center"/>
            <w:hideMark/>
          </w:tcPr>
          <w:p w14:paraId="5DBD607E"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lang w:eastAsia="sk-SK"/>
              </w:rPr>
            </w:pPr>
            <w:r w:rsidRPr="00D94493">
              <w:rPr>
                <w:rFonts w:ascii="Times New Roman" w:eastAsia="Calibri" w:hAnsi="Times New Roman" w:cs="Times New Roman"/>
                <w:b/>
                <w:bCs/>
                <w:sz w:val="14"/>
                <w:szCs w:val="14"/>
              </w:rPr>
              <w:t>2022OS</w:t>
            </w:r>
          </w:p>
        </w:tc>
        <w:tc>
          <w:tcPr>
            <w:tcW w:w="472" w:type="pct"/>
            <w:tcBorders>
              <w:top w:val="single" w:sz="4" w:space="0" w:color="auto"/>
              <w:left w:val="nil"/>
              <w:bottom w:val="single" w:sz="4" w:space="0" w:color="auto"/>
              <w:right w:val="nil"/>
            </w:tcBorders>
            <w:shd w:val="clear" w:color="auto" w:fill="auto"/>
            <w:noWrap/>
            <w:vAlign w:val="center"/>
            <w:hideMark/>
          </w:tcPr>
          <w:p w14:paraId="452BB8E9"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lang w:eastAsia="sk-SK"/>
              </w:rPr>
            </w:pPr>
            <w:r w:rsidRPr="00D94493">
              <w:rPr>
                <w:rFonts w:ascii="Times New Roman" w:eastAsia="Calibri" w:hAnsi="Times New Roman" w:cs="Times New Roman"/>
                <w:b/>
                <w:bCs/>
                <w:sz w:val="14"/>
                <w:szCs w:val="14"/>
              </w:rPr>
              <w:t>2023OS</w:t>
            </w:r>
          </w:p>
        </w:tc>
        <w:tc>
          <w:tcPr>
            <w:tcW w:w="530" w:type="pct"/>
            <w:tcBorders>
              <w:top w:val="single" w:sz="4" w:space="0" w:color="auto"/>
              <w:left w:val="nil"/>
              <w:bottom w:val="single" w:sz="4" w:space="0" w:color="auto"/>
              <w:right w:val="nil"/>
            </w:tcBorders>
            <w:shd w:val="clear" w:color="auto" w:fill="auto"/>
            <w:noWrap/>
            <w:vAlign w:val="center"/>
            <w:hideMark/>
          </w:tcPr>
          <w:p w14:paraId="39619524"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lang w:eastAsia="sk-SK"/>
              </w:rPr>
            </w:pPr>
            <w:r w:rsidRPr="00D94493">
              <w:rPr>
                <w:rFonts w:ascii="Times New Roman" w:eastAsia="Calibri" w:hAnsi="Times New Roman" w:cs="Times New Roman"/>
                <w:b/>
                <w:bCs/>
                <w:sz w:val="14"/>
                <w:szCs w:val="14"/>
              </w:rPr>
              <w:t>2024N</w:t>
            </w:r>
          </w:p>
        </w:tc>
        <w:tc>
          <w:tcPr>
            <w:tcW w:w="514" w:type="pct"/>
            <w:tcBorders>
              <w:top w:val="single" w:sz="4" w:space="0" w:color="auto"/>
              <w:left w:val="nil"/>
              <w:bottom w:val="single" w:sz="4" w:space="0" w:color="auto"/>
              <w:right w:val="nil"/>
            </w:tcBorders>
            <w:shd w:val="clear" w:color="auto" w:fill="auto"/>
            <w:noWrap/>
            <w:vAlign w:val="center"/>
            <w:hideMark/>
          </w:tcPr>
          <w:p w14:paraId="6FA35F64"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lang w:eastAsia="sk-SK"/>
              </w:rPr>
            </w:pPr>
            <w:r w:rsidRPr="00D94493">
              <w:rPr>
                <w:rFonts w:ascii="Times New Roman" w:eastAsia="Calibri" w:hAnsi="Times New Roman" w:cs="Times New Roman"/>
                <w:b/>
                <w:bCs/>
                <w:sz w:val="14"/>
                <w:szCs w:val="14"/>
              </w:rPr>
              <w:t>2025N</w:t>
            </w:r>
          </w:p>
        </w:tc>
        <w:tc>
          <w:tcPr>
            <w:tcW w:w="526" w:type="pct"/>
            <w:tcBorders>
              <w:top w:val="single" w:sz="4" w:space="0" w:color="auto"/>
              <w:left w:val="nil"/>
              <w:bottom w:val="single" w:sz="4" w:space="0" w:color="auto"/>
              <w:right w:val="nil"/>
            </w:tcBorders>
            <w:shd w:val="clear" w:color="auto" w:fill="auto"/>
            <w:noWrap/>
            <w:vAlign w:val="center"/>
            <w:hideMark/>
          </w:tcPr>
          <w:p w14:paraId="698F6CF2"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lang w:eastAsia="sk-SK"/>
              </w:rPr>
            </w:pPr>
            <w:r w:rsidRPr="00D94493">
              <w:rPr>
                <w:rFonts w:ascii="Times New Roman" w:eastAsia="Calibri" w:hAnsi="Times New Roman" w:cs="Times New Roman"/>
                <w:b/>
                <w:bCs/>
                <w:sz w:val="14"/>
                <w:szCs w:val="14"/>
              </w:rPr>
              <w:t>2026N</w:t>
            </w:r>
          </w:p>
        </w:tc>
      </w:tr>
      <w:tr w:rsidR="00D94493" w:rsidRPr="00D94493" w14:paraId="312F29FB" w14:textId="77777777" w:rsidTr="00D94493">
        <w:trPr>
          <w:trHeight w:val="170"/>
        </w:trPr>
        <w:tc>
          <w:tcPr>
            <w:tcW w:w="1898" w:type="pct"/>
            <w:tcBorders>
              <w:top w:val="nil"/>
              <w:left w:val="nil"/>
              <w:bottom w:val="nil"/>
              <w:right w:val="nil"/>
            </w:tcBorders>
            <w:shd w:val="clear" w:color="auto" w:fill="auto"/>
            <w:noWrap/>
            <w:vAlign w:val="bottom"/>
            <w:hideMark/>
          </w:tcPr>
          <w:p w14:paraId="22EB61A5" w14:textId="77777777" w:rsidR="00D94493" w:rsidRPr="00D94493" w:rsidRDefault="00D94493" w:rsidP="00D94493">
            <w:pPr>
              <w:spacing w:after="0" w:line="240" w:lineRule="auto"/>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Dane z príjmov, ziskov a kapitálového majetku</w:t>
            </w:r>
          </w:p>
        </w:tc>
        <w:tc>
          <w:tcPr>
            <w:tcW w:w="530" w:type="pct"/>
            <w:tcBorders>
              <w:top w:val="nil"/>
              <w:left w:val="nil"/>
              <w:bottom w:val="nil"/>
              <w:right w:val="nil"/>
            </w:tcBorders>
            <w:shd w:val="clear" w:color="auto" w:fill="auto"/>
            <w:noWrap/>
            <w:vAlign w:val="center"/>
            <w:hideMark/>
          </w:tcPr>
          <w:p w14:paraId="3B0DB0DD"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7 580 229</w:t>
            </w:r>
          </w:p>
        </w:tc>
        <w:tc>
          <w:tcPr>
            <w:tcW w:w="530" w:type="pct"/>
            <w:tcBorders>
              <w:top w:val="nil"/>
              <w:left w:val="nil"/>
              <w:bottom w:val="nil"/>
              <w:right w:val="nil"/>
            </w:tcBorders>
            <w:shd w:val="clear" w:color="auto" w:fill="auto"/>
            <w:noWrap/>
            <w:vAlign w:val="center"/>
            <w:hideMark/>
          </w:tcPr>
          <w:p w14:paraId="1746D16C"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8 390 406</w:t>
            </w:r>
          </w:p>
        </w:tc>
        <w:tc>
          <w:tcPr>
            <w:tcW w:w="472" w:type="pct"/>
            <w:tcBorders>
              <w:top w:val="nil"/>
              <w:left w:val="nil"/>
              <w:bottom w:val="nil"/>
              <w:right w:val="nil"/>
            </w:tcBorders>
            <w:shd w:val="clear" w:color="auto" w:fill="auto"/>
            <w:noWrap/>
            <w:vAlign w:val="center"/>
            <w:hideMark/>
          </w:tcPr>
          <w:p w14:paraId="12DCEC7C"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9 308 854</w:t>
            </w:r>
          </w:p>
        </w:tc>
        <w:tc>
          <w:tcPr>
            <w:tcW w:w="530" w:type="pct"/>
            <w:tcBorders>
              <w:top w:val="nil"/>
              <w:left w:val="nil"/>
              <w:bottom w:val="nil"/>
              <w:right w:val="nil"/>
            </w:tcBorders>
            <w:shd w:val="clear" w:color="auto" w:fill="auto"/>
            <w:noWrap/>
            <w:vAlign w:val="center"/>
            <w:hideMark/>
          </w:tcPr>
          <w:p w14:paraId="40691921"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9 735 271</w:t>
            </w:r>
          </w:p>
        </w:tc>
        <w:tc>
          <w:tcPr>
            <w:tcW w:w="514" w:type="pct"/>
            <w:tcBorders>
              <w:top w:val="nil"/>
              <w:left w:val="nil"/>
              <w:bottom w:val="nil"/>
              <w:right w:val="nil"/>
            </w:tcBorders>
            <w:shd w:val="clear" w:color="auto" w:fill="auto"/>
            <w:noWrap/>
            <w:vAlign w:val="center"/>
            <w:hideMark/>
          </w:tcPr>
          <w:p w14:paraId="1AF5D6CA"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10 275 792</w:t>
            </w:r>
          </w:p>
        </w:tc>
        <w:tc>
          <w:tcPr>
            <w:tcW w:w="526" w:type="pct"/>
            <w:tcBorders>
              <w:top w:val="nil"/>
              <w:left w:val="nil"/>
              <w:bottom w:val="nil"/>
              <w:right w:val="nil"/>
            </w:tcBorders>
            <w:shd w:val="clear" w:color="auto" w:fill="auto"/>
            <w:noWrap/>
            <w:vAlign w:val="center"/>
            <w:hideMark/>
          </w:tcPr>
          <w:p w14:paraId="643DC804"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10 794 319</w:t>
            </w:r>
          </w:p>
        </w:tc>
      </w:tr>
      <w:tr w:rsidR="00D94493" w:rsidRPr="00D94493" w14:paraId="23EF211D" w14:textId="77777777" w:rsidTr="00D94493">
        <w:trPr>
          <w:trHeight w:val="170"/>
        </w:trPr>
        <w:tc>
          <w:tcPr>
            <w:tcW w:w="1898" w:type="pct"/>
            <w:tcBorders>
              <w:top w:val="nil"/>
              <w:left w:val="nil"/>
              <w:bottom w:val="nil"/>
              <w:right w:val="nil"/>
            </w:tcBorders>
            <w:shd w:val="clear" w:color="auto" w:fill="auto"/>
            <w:noWrap/>
            <w:vAlign w:val="bottom"/>
            <w:hideMark/>
          </w:tcPr>
          <w:p w14:paraId="796A4491"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 z príjmov fyzických osôb</w:t>
            </w:r>
          </w:p>
        </w:tc>
        <w:tc>
          <w:tcPr>
            <w:tcW w:w="530" w:type="pct"/>
            <w:tcBorders>
              <w:top w:val="nil"/>
              <w:left w:val="nil"/>
              <w:bottom w:val="nil"/>
              <w:right w:val="nil"/>
            </w:tcBorders>
            <w:shd w:val="clear" w:color="auto" w:fill="auto"/>
            <w:noWrap/>
            <w:vAlign w:val="center"/>
            <w:hideMark/>
          </w:tcPr>
          <w:p w14:paraId="7CD56C5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3 759 520</w:t>
            </w:r>
          </w:p>
        </w:tc>
        <w:tc>
          <w:tcPr>
            <w:tcW w:w="530" w:type="pct"/>
            <w:tcBorders>
              <w:top w:val="nil"/>
              <w:left w:val="nil"/>
              <w:bottom w:val="nil"/>
              <w:right w:val="nil"/>
            </w:tcBorders>
            <w:shd w:val="clear" w:color="auto" w:fill="auto"/>
            <w:noWrap/>
            <w:vAlign w:val="center"/>
            <w:hideMark/>
          </w:tcPr>
          <w:p w14:paraId="22A9C3E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4 128 397</w:t>
            </w:r>
          </w:p>
        </w:tc>
        <w:tc>
          <w:tcPr>
            <w:tcW w:w="472" w:type="pct"/>
            <w:tcBorders>
              <w:top w:val="nil"/>
              <w:left w:val="nil"/>
              <w:bottom w:val="nil"/>
              <w:right w:val="nil"/>
            </w:tcBorders>
            <w:shd w:val="clear" w:color="auto" w:fill="auto"/>
            <w:noWrap/>
            <w:vAlign w:val="center"/>
            <w:hideMark/>
          </w:tcPr>
          <w:p w14:paraId="65CC883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4 618 197</w:t>
            </w:r>
          </w:p>
        </w:tc>
        <w:tc>
          <w:tcPr>
            <w:tcW w:w="530" w:type="pct"/>
            <w:tcBorders>
              <w:top w:val="nil"/>
              <w:left w:val="nil"/>
              <w:bottom w:val="nil"/>
              <w:right w:val="nil"/>
            </w:tcBorders>
            <w:shd w:val="clear" w:color="auto" w:fill="auto"/>
            <w:noWrap/>
            <w:vAlign w:val="center"/>
            <w:hideMark/>
          </w:tcPr>
          <w:p w14:paraId="7291D0D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4 802 550</w:t>
            </w:r>
          </w:p>
        </w:tc>
        <w:tc>
          <w:tcPr>
            <w:tcW w:w="514" w:type="pct"/>
            <w:tcBorders>
              <w:top w:val="nil"/>
              <w:left w:val="nil"/>
              <w:bottom w:val="nil"/>
              <w:right w:val="nil"/>
            </w:tcBorders>
            <w:shd w:val="clear" w:color="auto" w:fill="auto"/>
            <w:noWrap/>
            <w:vAlign w:val="center"/>
            <w:hideMark/>
          </w:tcPr>
          <w:p w14:paraId="5F067AE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5 144 394</w:t>
            </w:r>
          </w:p>
        </w:tc>
        <w:tc>
          <w:tcPr>
            <w:tcW w:w="526" w:type="pct"/>
            <w:tcBorders>
              <w:top w:val="nil"/>
              <w:left w:val="nil"/>
              <w:bottom w:val="nil"/>
              <w:right w:val="nil"/>
            </w:tcBorders>
            <w:shd w:val="clear" w:color="auto" w:fill="auto"/>
            <w:noWrap/>
            <w:vAlign w:val="center"/>
            <w:hideMark/>
          </w:tcPr>
          <w:p w14:paraId="16A71C2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5 404 510</w:t>
            </w:r>
          </w:p>
        </w:tc>
      </w:tr>
      <w:tr w:rsidR="00D94493" w:rsidRPr="00D94493" w14:paraId="6D161B6E" w14:textId="77777777" w:rsidTr="00D94493">
        <w:trPr>
          <w:trHeight w:val="170"/>
        </w:trPr>
        <w:tc>
          <w:tcPr>
            <w:tcW w:w="1898" w:type="pct"/>
            <w:tcBorders>
              <w:top w:val="nil"/>
              <w:left w:val="nil"/>
              <w:bottom w:val="nil"/>
              <w:right w:val="nil"/>
            </w:tcBorders>
            <w:shd w:val="clear" w:color="auto" w:fill="auto"/>
            <w:noWrap/>
            <w:vAlign w:val="bottom"/>
            <w:hideMark/>
          </w:tcPr>
          <w:p w14:paraId="27D62A6E"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DPFO zo závislej činnosti</w:t>
            </w:r>
          </w:p>
        </w:tc>
        <w:tc>
          <w:tcPr>
            <w:tcW w:w="530" w:type="pct"/>
            <w:tcBorders>
              <w:top w:val="nil"/>
              <w:left w:val="nil"/>
              <w:bottom w:val="nil"/>
              <w:right w:val="nil"/>
            </w:tcBorders>
            <w:shd w:val="clear" w:color="auto" w:fill="auto"/>
            <w:noWrap/>
            <w:vAlign w:val="center"/>
            <w:hideMark/>
          </w:tcPr>
          <w:p w14:paraId="5E26901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3 630 161</w:t>
            </w:r>
          </w:p>
        </w:tc>
        <w:tc>
          <w:tcPr>
            <w:tcW w:w="530" w:type="pct"/>
            <w:tcBorders>
              <w:top w:val="nil"/>
              <w:left w:val="nil"/>
              <w:bottom w:val="nil"/>
              <w:right w:val="nil"/>
            </w:tcBorders>
            <w:shd w:val="clear" w:color="auto" w:fill="auto"/>
            <w:noWrap/>
            <w:vAlign w:val="center"/>
            <w:hideMark/>
          </w:tcPr>
          <w:p w14:paraId="0872527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3 967 509</w:t>
            </w:r>
          </w:p>
        </w:tc>
        <w:tc>
          <w:tcPr>
            <w:tcW w:w="472" w:type="pct"/>
            <w:tcBorders>
              <w:top w:val="nil"/>
              <w:left w:val="nil"/>
              <w:bottom w:val="nil"/>
              <w:right w:val="nil"/>
            </w:tcBorders>
            <w:shd w:val="clear" w:color="auto" w:fill="auto"/>
            <w:noWrap/>
            <w:vAlign w:val="center"/>
            <w:hideMark/>
          </w:tcPr>
          <w:p w14:paraId="24D27B1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4 433 291</w:t>
            </w:r>
          </w:p>
        </w:tc>
        <w:tc>
          <w:tcPr>
            <w:tcW w:w="530" w:type="pct"/>
            <w:tcBorders>
              <w:top w:val="nil"/>
              <w:left w:val="nil"/>
              <w:bottom w:val="nil"/>
              <w:right w:val="nil"/>
            </w:tcBorders>
            <w:shd w:val="clear" w:color="auto" w:fill="auto"/>
            <w:noWrap/>
            <w:vAlign w:val="center"/>
            <w:hideMark/>
          </w:tcPr>
          <w:p w14:paraId="39C915B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4 604 598</w:t>
            </w:r>
          </w:p>
        </w:tc>
        <w:tc>
          <w:tcPr>
            <w:tcW w:w="514" w:type="pct"/>
            <w:tcBorders>
              <w:top w:val="nil"/>
              <w:left w:val="nil"/>
              <w:bottom w:val="nil"/>
              <w:right w:val="nil"/>
            </w:tcBorders>
            <w:shd w:val="clear" w:color="auto" w:fill="auto"/>
            <w:noWrap/>
            <w:vAlign w:val="center"/>
            <w:hideMark/>
          </w:tcPr>
          <w:p w14:paraId="7253110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4 936 104</w:t>
            </w:r>
          </w:p>
        </w:tc>
        <w:tc>
          <w:tcPr>
            <w:tcW w:w="526" w:type="pct"/>
            <w:tcBorders>
              <w:top w:val="nil"/>
              <w:left w:val="nil"/>
              <w:bottom w:val="nil"/>
              <w:right w:val="nil"/>
            </w:tcBorders>
            <w:shd w:val="clear" w:color="auto" w:fill="auto"/>
            <w:noWrap/>
            <w:vAlign w:val="center"/>
            <w:hideMark/>
          </w:tcPr>
          <w:p w14:paraId="77C21E6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5 183 935</w:t>
            </w:r>
          </w:p>
        </w:tc>
      </w:tr>
      <w:tr w:rsidR="00D94493" w:rsidRPr="00D94493" w14:paraId="7BEF7F48" w14:textId="77777777" w:rsidTr="00D94493">
        <w:trPr>
          <w:trHeight w:val="170"/>
        </w:trPr>
        <w:tc>
          <w:tcPr>
            <w:tcW w:w="1898" w:type="pct"/>
            <w:tcBorders>
              <w:top w:val="nil"/>
              <w:left w:val="nil"/>
              <w:bottom w:val="nil"/>
              <w:right w:val="nil"/>
            </w:tcBorders>
            <w:shd w:val="clear" w:color="auto" w:fill="auto"/>
            <w:noWrap/>
            <w:vAlign w:val="bottom"/>
            <w:hideMark/>
          </w:tcPr>
          <w:p w14:paraId="04273118"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DPFO z podnikania</w:t>
            </w:r>
          </w:p>
        </w:tc>
        <w:tc>
          <w:tcPr>
            <w:tcW w:w="530" w:type="pct"/>
            <w:tcBorders>
              <w:top w:val="nil"/>
              <w:left w:val="nil"/>
              <w:bottom w:val="nil"/>
              <w:right w:val="nil"/>
            </w:tcBorders>
            <w:shd w:val="clear" w:color="auto" w:fill="auto"/>
            <w:noWrap/>
            <w:vAlign w:val="center"/>
            <w:hideMark/>
          </w:tcPr>
          <w:p w14:paraId="6E93090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129 359</w:t>
            </w:r>
          </w:p>
        </w:tc>
        <w:tc>
          <w:tcPr>
            <w:tcW w:w="530" w:type="pct"/>
            <w:tcBorders>
              <w:top w:val="nil"/>
              <w:left w:val="nil"/>
              <w:bottom w:val="nil"/>
              <w:right w:val="nil"/>
            </w:tcBorders>
            <w:shd w:val="clear" w:color="auto" w:fill="auto"/>
            <w:noWrap/>
            <w:vAlign w:val="center"/>
            <w:hideMark/>
          </w:tcPr>
          <w:p w14:paraId="19CD80C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160 888</w:t>
            </w:r>
          </w:p>
        </w:tc>
        <w:tc>
          <w:tcPr>
            <w:tcW w:w="472" w:type="pct"/>
            <w:tcBorders>
              <w:top w:val="nil"/>
              <w:left w:val="nil"/>
              <w:bottom w:val="nil"/>
              <w:right w:val="nil"/>
            </w:tcBorders>
            <w:shd w:val="clear" w:color="auto" w:fill="auto"/>
            <w:noWrap/>
            <w:vAlign w:val="center"/>
            <w:hideMark/>
          </w:tcPr>
          <w:p w14:paraId="7BD1E6E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184 906</w:t>
            </w:r>
          </w:p>
        </w:tc>
        <w:tc>
          <w:tcPr>
            <w:tcW w:w="530" w:type="pct"/>
            <w:tcBorders>
              <w:top w:val="nil"/>
              <w:left w:val="nil"/>
              <w:bottom w:val="nil"/>
              <w:right w:val="nil"/>
            </w:tcBorders>
            <w:shd w:val="clear" w:color="auto" w:fill="auto"/>
            <w:noWrap/>
            <w:vAlign w:val="center"/>
            <w:hideMark/>
          </w:tcPr>
          <w:p w14:paraId="3E93DD8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197 952</w:t>
            </w:r>
          </w:p>
        </w:tc>
        <w:tc>
          <w:tcPr>
            <w:tcW w:w="514" w:type="pct"/>
            <w:tcBorders>
              <w:top w:val="nil"/>
              <w:left w:val="nil"/>
              <w:bottom w:val="nil"/>
              <w:right w:val="nil"/>
            </w:tcBorders>
            <w:shd w:val="clear" w:color="auto" w:fill="auto"/>
            <w:noWrap/>
            <w:vAlign w:val="center"/>
            <w:hideMark/>
          </w:tcPr>
          <w:p w14:paraId="49A61AB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208 290</w:t>
            </w:r>
          </w:p>
        </w:tc>
        <w:tc>
          <w:tcPr>
            <w:tcW w:w="526" w:type="pct"/>
            <w:tcBorders>
              <w:top w:val="nil"/>
              <w:left w:val="nil"/>
              <w:bottom w:val="nil"/>
              <w:right w:val="nil"/>
            </w:tcBorders>
            <w:shd w:val="clear" w:color="auto" w:fill="auto"/>
            <w:noWrap/>
            <w:vAlign w:val="center"/>
            <w:hideMark/>
          </w:tcPr>
          <w:p w14:paraId="045CECA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220 575</w:t>
            </w:r>
          </w:p>
        </w:tc>
      </w:tr>
      <w:tr w:rsidR="00D94493" w:rsidRPr="00D94493" w14:paraId="1575CD08" w14:textId="77777777" w:rsidTr="00D94493">
        <w:trPr>
          <w:trHeight w:val="170"/>
        </w:trPr>
        <w:tc>
          <w:tcPr>
            <w:tcW w:w="1898" w:type="pct"/>
            <w:tcBorders>
              <w:top w:val="nil"/>
              <w:left w:val="nil"/>
              <w:bottom w:val="nil"/>
              <w:right w:val="nil"/>
            </w:tcBorders>
            <w:shd w:val="clear" w:color="auto" w:fill="auto"/>
            <w:noWrap/>
            <w:vAlign w:val="bottom"/>
            <w:hideMark/>
          </w:tcPr>
          <w:p w14:paraId="2DF2EB56" w14:textId="77777777" w:rsidR="00D94493" w:rsidRPr="00D94493" w:rsidRDefault="00D94493" w:rsidP="00D94493">
            <w:pPr>
              <w:spacing w:after="0" w:line="240" w:lineRule="auto"/>
              <w:ind w:firstLineChars="600" w:firstLine="84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do štátneho rozpočtu </w:t>
            </w:r>
          </w:p>
        </w:tc>
        <w:tc>
          <w:tcPr>
            <w:tcW w:w="530" w:type="pct"/>
            <w:tcBorders>
              <w:top w:val="nil"/>
              <w:left w:val="nil"/>
              <w:bottom w:val="nil"/>
              <w:right w:val="nil"/>
            </w:tcBorders>
            <w:shd w:val="clear" w:color="auto" w:fill="auto"/>
            <w:noWrap/>
            <w:vAlign w:val="center"/>
            <w:hideMark/>
          </w:tcPr>
          <w:p w14:paraId="5B3B179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484 543</w:t>
            </w:r>
          </w:p>
        </w:tc>
        <w:tc>
          <w:tcPr>
            <w:tcW w:w="530" w:type="pct"/>
            <w:tcBorders>
              <w:top w:val="nil"/>
              <w:left w:val="nil"/>
              <w:bottom w:val="nil"/>
              <w:right w:val="nil"/>
            </w:tcBorders>
            <w:shd w:val="clear" w:color="auto" w:fill="auto"/>
            <w:noWrap/>
            <w:vAlign w:val="center"/>
            <w:hideMark/>
          </w:tcPr>
          <w:p w14:paraId="0504AB1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527 629</w:t>
            </w:r>
          </w:p>
        </w:tc>
        <w:tc>
          <w:tcPr>
            <w:tcW w:w="472" w:type="pct"/>
            <w:tcBorders>
              <w:top w:val="nil"/>
              <w:left w:val="nil"/>
              <w:bottom w:val="nil"/>
              <w:right w:val="nil"/>
            </w:tcBorders>
            <w:shd w:val="clear" w:color="auto" w:fill="auto"/>
            <w:noWrap/>
            <w:vAlign w:val="center"/>
            <w:hideMark/>
          </w:tcPr>
          <w:p w14:paraId="1F2348E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1 093 570</w:t>
            </w:r>
          </w:p>
        </w:tc>
        <w:tc>
          <w:tcPr>
            <w:tcW w:w="530" w:type="pct"/>
            <w:tcBorders>
              <w:top w:val="nil"/>
              <w:left w:val="nil"/>
              <w:bottom w:val="nil"/>
              <w:right w:val="nil"/>
            </w:tcBorders>
            <w:shd w:val="clear" w:color="auto" w:fill="auto"/>
            <w:noWrap/>
            <w:vAlign w:val="center"/>
            <w:hideMark/>
          </w:tcPr>
          <w:p w14:paraId="27B163D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1 250 547</w:t>
            </w:r>
          </w:p>
        </w:tc>
        <w:tc>
          <w:tcPr>
            <w:tcW w:w="514" w:type="pct"/>
            <w:tcBorders>
              <w:top w:val="nil"/>
              <w:left w:val="nil"/>
              <w:bottom w:val="nil"/>
              <w:right w:val="nil"/>
            </w:tcBorders>
            <w:shd w:val="clear" w:color="auto" w:fill="auto"/>
            <w:noWrap/>
            <w:vAlign w:val="center"/>
            <w:hideMark/>
          </w:tcPr>
          <w:p w14:paraId="5B5034B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1 102 961</w:t>
            </w:r>
          </w:p>
        </w:tc>
        <w:tc>
          <w:tcPr>
            <w:tcW w:w="526" w:type="pct"/>
            <w:tcBorders>
              <w:top w:val="nil"/>
              <w:left w:val="nil"/>
              <w:bottom w:val="nil"/>
              <w:right w:val="nil"/>
            </w:tcBorders>
            <w:shd w:val="clear" w:color="auto" w:fill="auto"/>
            <w:noWrap/>
            <w:vAlign w:val="center"/>
            <w:hideMark/>
          </w:tcPr>
          <w:p w14:paraId="2F02B21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937 628</w:t>
            </w:r>
          </w:p>
        </w:tc>
      </w:tr>
      <w:tr w:rsidR="00D94493" w:rsidRPr="00D94493" w14:paraId="03C7C326" w14:textId="77777777" w:rsidTr="00D94493">
        <w:trPr>
          <w:trHeight w:val="170"/>
        </w:trPr>
        <w:tc>
          <w:tcPr>
            <w:tcW w:w="1898" w:type="pct"/>
            <w:tcBorders>
              <w:top w:val="nil"/>
              <w:left w:val="nil"/>
              <w:bottom w:val="nil"/>
              <w:right w:val="nil"/>
            </w:tcBorders>
            <w:shd w:val="clear" w:color="auto" w:fill="auto"/>
            <w:noWrap/>
            <w:vAlign w:val="bottom"/>
            <w:hideMark/>
          </w:tcPr>
          <w:p w14:paraId="63476EBE" w14:textId="77777777" w:rsidR="00D94493" w:rsidRPr="00D94493" w:rsidRDefault="00D94493" w:rsidP="00D94493">
            <w:pPr>
              <w:spacing w:after="0" w:line="240" w:lineRule="auto"/>
              <w:ind w:firstLineChars="600" w:firstLine="84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do obcí </w:t>
            </w:r>
          </w:p>
        </w:tc>
        <w:tc>
          <w:tcPr>
            <w:tcW w:w="530" w:type="pct"/>
            <w:tcBorders>
              <w:top w:val="nil"/>
              <w:left w:val="nil"/>
              <w:bottom w:val="nil"/>
              <w:right w:val="nil"/>
            </w:tcBorders>
            <w:shd w:val="clear" w:color="auto" w:fill="auto"/>
            <w:noWrap/>
            <w:vAlign w:val="center"/>
            <w:hideMark/>
          </w:tcPr>
          <w:p w14:paraId="467049C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2 292 484</w:t>
            </w:r>
          </w:p>
        </w:tc>
        <w:tc>
          <w:tcPr>
            <w:tcW w:w="530" w:type="pct"/>
            <w:tcBorders>
              <w:top w:val="nil"/>
              <w:left w:val="nil"/>
              <w:bottom w:val="nil"/>
              <w:right w:val="nil"/>
            </w:tcBorders>
            <w:shd w:val="clear" w:color="auto" w:fill="auto"/>
            <w:noWrap/>
            <w:vAlign w:val="center"/>
            <w:hideMark/>
          </w:tcPr>
          <w:p w14:paraId="5CCA966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2 520 538</w:t>
            </w:r>
          </w:p>
        </w:tc>
        <w:tc>
          <w:tcPr>
            <w:tcW w:w="472" w:type="pct"/>
            <w:tcBorders>
              <w:top w:val="nil"/>
              <w:left w:val="nil"/>
              <w:bottom w:val="nil"/>
              <w:right w:val="nil"/>
            </w:tcBorders>
            <w:shd w:val="clear" w:color="auto" w:fill="auto"/>
            <w:noWrap/>
            <w:vAlign w:val="center"/>
            <w:hideMark/>
          </w:tcPr>
          <w:p w14:paraId="62F8E21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2 467 239</w:t>
            </w:r>
          </w:p>
        </w:tc>
        <w:tc>
          <w:tcPr>
            <w:tcW w:w="530" w:type="pct"/>
            <w:tcBorders>
              <w:top w:val="nil"/>
              <w:left w:val="nil"/>
              <w:bottom w:val="nil"/>
              <w:right w:val="nil"/>
            </w:tcBorders>
            <w:shd w:val="clear" w:color="auto" w:fill="auto"/>
            <w:noWrap/>
            <w:vAlign w:val="center"/>
            <w:hideMark/>
          </w:tcPr>
          <w:p w14:paraId="0106125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2 486 402</w:t>
            </w:r>
          </w:p>
        </w:tc>
        <w:tc>
          <w:tcPr>
            <w:tcW w:w="514" w:type="pct"/>
            <w:tcBorders>
              <w:top w:val="nil"/>
              <w:left w:val="nil"/>
              <w:bottom w:val="nil"/>
              <w:right w:val="nil"/>
            </w:tcBorders>
            <w:shd w:val="clear" w:color="auto" w:fill="auto"/>
            <w:noWrap/>
            <w:vAlign w:val="center"/>
            <w:hideMark/>
          </w:tcPr>
          <w:p w14:paraId="60FACE8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2 829 003</w:t>
            </w:r>
          </w:p>
        </w:tc>
        <w:tc>
          <w:tcPr>
            <w:tcW w:w="526" w:type="pct"/>
            <w:tcBorders>
              <w:top w:val="nil"/>
              <w:left w:val="nil"/>
              <w:bottom w:val="nil"/>
              <w:right w:val="nil"/>
            </w:tcBorders>
            <w:shd w:val="clear" w:color="auto" w:fill="auto"/>
            <w:noWrap/>
            <w:vAlign w:val="center"/>
            <w:hideMark/>
          </w:tcPr>
          <w:p w14:paraId="10D2D87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3 126 818</w:t>
            </w:r>
          </w:p>
        </w:tc>
      </w:tr>
      <w:tr w:rsidR="00D94493" w:rsidRPr="00D94493" w14:paraId="566553B2" w14:textId="77777777" w:rsidTr="00D94493">
        <w:trPr>
          <w:trHeight w:val="170"/>
        </w:trPr>
        <w:tc>
          <w:tcPr>
            <w:tcW w:w="1898" w:type="pct"/>
            <w:tcBorders>
              <w:top w:val="nil"/>
              <w:left w:val="nil"/>
              <w:bottom w:val="nil"/>
              <w:right w:val="nil"/>
            </w:tcBorders>
            <w:shd w:val="clear" w:color="auto" w:fill="auto"/>
            <w:noWrap/>
            <w:vAlign w:val="bottom"/>
            <w:hideMark/>
          </w:tcPr>
          <w:p w14:paraId="219641D4" w14:textId="77777777" w:rsidR="00D94493" w:rsidRPr="00D94493" w:rsidRDefault="00D94493" w:rsidP="00D94493">
            <w:pPr>
              <w:spacing w:after="0" w:line="240" w:lineRule="auto"/>
              <w:ind w:firstLineChars="600" w:firstLine="84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do VÚC </w:t>
            </w:r>
          </w:p>
        </w:tc>
        <w:tc>
          <w:tcPr>
            <w:tcW w:w="530" w:type="pct"/>
            <w:tcBorders>
              <w:top w:val="nil"/>
              <w:left w:val="nil"/>
              <w:bottom w:val="nil"/>
              <w:right w:val="nil"/>
            </w:tcBorders>
            <w:shd w:val="clear" w:color="auto" w:fill="auto"/>
            <w:noWrap/>
            <w:vAlign w:val="center"/>
            <w:hideMark/>
          </w:tcPr>
          <w:p w14:paraId="1C681E4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982 493</w:t>
            </w:r>
          </w:p>
        </w:tc>
        <w:tc>
          <w:tcPr>
            <w:tcW w:w="530" w:type="pct"/>
            <w:tcBorders>
              <w:top w:val="nil"/>
              <w:left w:val="nil"/>
              <w:bottom w:val="nil"/>
              <w:right w:val="nil"/>
            </w:tcBorders>
            <w:shd w:val="clear" w:color="auto" w:fill="auto"/>
            <w:noWrap/>
            <w:vAlign w:val="center"/>
            <w:hideMark/>
          </w:tcPr>
          <w:p w14:paraId="615DA55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1 080 231</w:t>
            </w:r>
          </w:p>
        </w:tc>
        <w:tc>
          <w:tcPr>
            <w:tcW w:w="472" w:type="pct"/>
            <w:tcBorders>
              <w:top w:val="nil"/>
              <w:left w:val="nil"/>
              <w:bottom w:val="nil"/>
              <w:right w:val="nil"/>
            </w:tcBorders>
            <w:shd w:val="clear" w:color="auto" w:fill="auto"/>
            <w:noWrap/>
            <w:vAlign w:val="center"/>
            <w:hideMark/>
          </w:tcPr>
          <w:p w14:paraId="609BD80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1 057 388</w:t>
            </w:r>
          </w:p>
        </w:tc>
        <w:tc>
          <w:tcPr>
            <w:tcW w:w="530" w:type="pct"/>
            <w:tcBorders>
              <w:top w:val="nil"/>
              <w:left w:val="nil"/>
              <w:bottom w:val="nil"/>
              <w:right w:val="nil"/>
            </w:tcBorders>
            <w:shd w:val="clear" w:color="auto" w:fill="auto"/>
            <w:noWrap/>
            <w:vAlign w:val="center"/>
            <w:hideMark/>
          </w:tcPr>
          <w:p w14:paraId="55BABEC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1 065 601</w:t>
            </w:r>
          </w:p>
        </w:tc>
        <w:tc>
          <w:tcPr>
            <w:tcW w:w="514" w:type="pct"/>
            <w:tcBorders>
              <w:top w:val="nil"/>
              <w:left w:val="nil"/>
              <w:bottom w:val="nil"/>
              <w:right w:val="nil"/>
            </w:tcBorders>
            <w:shd w:val="clear" w:color="auto" w:fill="auto"/>
            <w:noWrap/>
            <w:vAlign w:val="center"/>
            <w:hideMark/>
          </w:tcPr>
          <w:p w14:paraId="7835FAB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1 212 430</w:t>
            </w:r>
          </w:p>
        </w:tc>
        <w:tc>
          <w:tcPr>
            <w:tcW w:w="526" w:type="pct"/>
            <w:tcBorders>
              <w:top w:val="nil"/>
              <w:left w:val="nil"/>
              <w:bottom w:val="nil"/>
              <w:right w:val="nil"/>
            </w:tcBorders>
            <w:shd w:val="clear" w:color="auto" w:fill="auto"/>
            <w:noWrap/>
            <w:vAlign w:val="center"/>
            <w:hideMark/>
          </w:tcPr>
          <w:p w14:paraId="49E0F6B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1 340 064</w:t>
            </w:r>
          </w:p>
        </w:tc>
      </w:tr>
      <w:tr w:rsidR="00D94493" w:rsidRPr="00D94493" w14:paraId="2EA86D88" w14:textId="77777777" w:rsidTr="00D94493">
        <w:trPr>
          <w:trHeight w:val="170"/>
        </w:trPr>
        <w:tc>
          <w:tcPr>
            <w:tcW w:w="1898" w:type="pct"/>
            <w:tcBorders>
              <w:top w:val="nil"/>
              <w:left w:val="nil"/>
              <w:bottom w:val="nil"/>
              <w:right w:val="nil"/>
            </w:tcBorders>
            <w:shd w:val="clear" w:color="auto" w:fill="auto"/>
            <w:noWrap/>
            <w:vAlign w:val="bottom"/>
            <w:hideMark/>
          </w:tcPr>
          <w:p w14:paraId="0848BA9F"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 z príjmov právnických osôb</w:t>
            </w:r>
          </w:p>
        </w:tc>
        <w:tc>
          <w:tcPr>
            <w:tcW w:w="530" w:type="pct"/>
            <w:tcBorders>
              <w:top w:val="nil"/>
              <w:left w:val="nil"/>
              <w:bottom w:val="nil"/>
              <w:right w:val="nil"/>
            </w:tcBorders>
            <w:shd w:val="clear" w:color="auto" w:fill="auto"/>
            <w:noWrap/>
            <w:vAlign w:val="center"/>
            <w:hideMark/>
          </w:tcPr>
          <w:p w14:paraId="692C08E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3 530 954</w:t>
            </w:r>
          </w:p>
        </w:tc>
        <w:tc>
          <w:tcPr>
            <w:tcW w:w="530" w:type="pct"/>
            <w:tcBorders>
              <w:top w:val="nil"/>
              <w:left w:val="nil"/>
              <w:bottom w:val="nil"/>
              <w:right w:val="nil"/>
            </w:tcBorders>
            <w:shd w:val="clear" w:color="auto" w:fill="auto"/>
            <w:noWrap/>
            <w:vAlign w:val="center"/>
            <w:hideMark/>
          </w:tcPr>
          <w:p w14:paraId="595E670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3 947 245</w:t>
            </w:r>
          </w:p>
        </w:tc>
        <w:tc>
          <w:tcPr>
            <w:tcW w:w="472" w:type="pct"/>
            <w:tcBorders>
              <w:top w:val="nil"/>
              <w:left w:val="nil"/>
              <w:bottom w:val="nil"/>
              <w:right w:val="nil"/>
            </w:tcBorders>
            <w:shd w:val="clear" w:color="auto" w:fill="auto"/>
            <w:noWrap/>
            <w:vAlign w:val="center"/>
            <w:hideMark/>
          </w:tcPr>
          <w:p w14:paraId="15A33A9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4 274 903</w:t>
            </w:r>
          </w:p>
        </w:tc>
        <w:tc>
          <w:tcPr>
            <w:tcW w:w="530" w:type="pct"/>
            <w:tcBorders>
              <w:top w:val="nil"/>
              <w:left w:val="nil"/>
              <w:bottom w:val="nil"/>
              <w:right w:val="nil"/>
            </w:tcBorders>
            <w:shd w:val="clear" w:color="auto" w:fill="auto"/>
            <w:noWrap/>
            <w:vAlign w:val="center"/>
            <w:hideMark/>
          </w:tcPr>
          <w:p w14:paraId="320C159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4 517 651</w:t>
            </w:r>
          </w:p>
        </w:tc>
        <w:tc>
          <w:tcPr>
            <w:tcW w:w="514" w:type="pct"/>
            <w:tcBorders>
              <w:top w:val="nil"/>
              <w:left w:val="nil"/>
              <w:bottom w:val="nil"/>
              <w:right w:val="nil"/>
            </w:tcBorders>
            <w:shd w:val="clear" w:color="auto" w:fill="auto"/>
            <w:noWrap/>
            <w:vAlign w:val="center"/>
            <w:hideMark/>
          </w:tcPr>
          <w:p w14:paraId="14A50E0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4 713 950</w:t>
            </w:r>
          </w:p>
        </w:tc>
        <w:tc>
          <w:tcPr>
            <w:tcW w:w="526" w:type="pct"/>
            <w:tcBorders>
              <w:top w:val="nil"/>
              <w:left w:val="nil"/>
              <w:bottom w:val="nil"/>
              <w:right w:val="nil"/>
            </w:tcBorders>
            <w:shd w:val="clear" w:color="auto" w:fill="auto"/>
            <w:noWrap/>
            <w:vAlign w:val="center"/>
            <w:hideMark/>
          </w:tcPr>
          <w:p w14:paraId="1B1924E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4 969 969</w:t>
            </w:r>
          </w:p>
        </w:tc>
      </w:tr>
      <w:tr w:rsidR="00D94493" w:rsidRPr="00D94493" w14:paraId="5ED73598" w14:textId="77777777" w:rsidTr="00D94493">
        <w:trPr>
          <w:trHeight w:val="170"/>
        </w:trPr>
        <w:tc>
          <w:tcPr>
            <w:tcW w:w="1898" w:type="pct"/>
            <w:tcBorders>
              <w:top w:val="nil"/>
              <w:left w:val="nil"/>
              <w:bottom w:val="nil"/>
              <w:right w:val="nil"/>
            </w:tcBorders>
            <w:shd w:val="clear" w:color="auto" w:fill="auto"/>
            <w:noWrap/>
            <w:vAlign w:val="bottom"/>
          </w:tcPr>
          <w:p w14:paraId="0E7ED12D"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               do štátneho rozpočtu </w:t>
            </w:r>
          </w:p>
        </w:tc>
        <w:tc>
          <w:tcPr>
            <w:tcW w:w="530" w:type="pct"/>
            <w:tcBorders>
              <w:top w:val="nil"/>
              <w:left w:val="nil"/>
              <w:bottom w:val="nil"/>
              <w:right w:val="nil"/>
            </w:tcBorders>
            <w:shd w:val="clear" w:color="auto" w:fill="auto"/>
            <w:noWrap/>
            <w:vAlign w:val="center"/>
          </w:tcPr>
          <w:p w14:paraId="322B6BDD"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3 530 954</w:t>
            </w:r>
          </w:p>
        </w:tc>
        <w:tc>
          <w:tcPr>
            <w:tcW w:w="530" w:type="pct"/>
            <w:tcBorders>
              <w:top w:val="nil"/>
              <w:left w:val="nil"/>
              <w:bottom w:val="nil"/>
              <w:right w:val="nil"/>
            </w:tcBorders>
            <w:shd w:val="clear" w:color="auto" w:fill="auto"/>
            <w:noWrap/>
            <w:vAlign w:val="center"/>
          </w:tcPr>
          <w:p w14:paraId="46D5BFD2"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3 947 245</w:t>
            </w:r>
          </w:p>
        </w:tc>
        <w:tc>
          <w:tcPr>
            <w:tcW w:w="472" w:type="pct"/>
            <w:tcBorders>
              <w:top w:val="nil"/>
              <w:left w:val="nil"/>
              <w:bottom w:val="nil"/>
              <w:right w:val="nil"/>
            </w:tcBorders>
            <w:shd w:val="clear" w:color="auto" w:fill="auto"/>
            <w:noWrap/>
            <w:vAlign w:val="center"/>
          </w:tcPr>
          <w:p w14:paraId="112CC085"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3 949 105</w:t>
            </w:r>
          </w:p>
        </w:tc>
        <w:tc>
          <w:tcPr>
            <w:tcW w:w="530" w:type="pct"/>
            <w:tcBorders>
              <w:top w:val="nil"/>
              <w:left w:val="nil"/>
              <w:bottom w:val="nil"/>
              <w:right w:val="nil"/>
            </w:tcBorders>
            <w:shd w:val="clear" w:color="auto" w:fill="auto"/>
            <w:noWrap/>
            <w:vAlign w:val="center"/>
          </w:tcPr>
          <w:p w14:paraId="7CE27100"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4 179 728</w:t>
            </w:r>
          </w:p>
        </w:tc>
        <w:tc>
          <w:tcPr>
            <w:tcW w:w="514" w:type="pct"/>
            <w:tcBorders>
              <w:top w:val="nil"/>
              <w:left w:val="nil"/>
              <w:bottom w:val="nil"/>
              <w:right w:val="nil"/>
            </w:tcBorders>
            <w:shd w:val="clear" w:color="auto" w:fill="auto"/>
            <w:noWrap/>
            <w:vAlign w:val="center"/>
          </w:tcPr>
          <w:p w14:paraId="1616002B"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4 713 950</w:t>
            </w:r>
          </w:p>
        </w:tc>
        <w:tc>
          <w:tcPr>
            <w:tcW w:w="526" w:type="pct"/>
            <w:tcBorders>
              <w:top w:val="nil"/>
              <w:left w:val="nil"/>
              <w:bottom w:val="nil"/>
              <w:right w:val="nil"/>
            </w:tcBorders>
            <w:shd w:val="clear" w:color="auto" w:fill="auto"/>
            <w:noWrap/>
            <w:vAlign w:val="center"/>
          </w:tcPr>
          <w:p w14:paraId="65112C23"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4 969 969</w:t>
            </w:r>
          </w:p>
        </w:tc>
      </w:tr>
      <w:tr w:rsidR="00D94493" w:rsidRPr="00D94493" w14:paraId="1723A9D1" w14:textId="77777777" w:rsidTr="00D94493">
        <w:trPr>
          <w:trHeight w:val="170"/>
        </w:trPr>
        <w:tc>
          <w:tcPr>
            <w:tcW w:w="1898" w:type="pct"/>
            <w:tcBorders>
              <w:top w:val="nil"/>
              <w:left w:val="nil"/>
              <w:bottom w:val="nil"/>
              <w:right w:val="nil"/>
            </w:tcBorders>
            <w:shd w:val="clear" w:color="auto" w:fill="auto"/>
            <w:noWrap/>
            <w:vAlign w:val="bottom"/>
          </w:tcPr>
          <w:p w14:paraId="0130043B"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               do obcí </w:t>
            </w:r>
          </w:p>
        </w:tc>
        <w:tc>
          <w:tcPr>
            <w:tcW w:w="530" w:type="pct"/>
            <w:tcBorders>
              <w:top w:val="nil"/>
              <w:left w:val="nil"/>
              <w:bottom w:val="nil"/>
              <w:right w:val="nil"/>
            </w:tcBorders>
            <w:shd w:val="clear" w:color="auto" w:fill="auto"/>
            <w:noWrap/>
            <w:vAlign w:val="center"/>
          </w:tcPr>
          <w:p w14:paraId="2A1EF026"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c>
          <w:tcPr>
            <w:tcW w:w="530" w:type="pct"/>
            <w:tcBorders>
              <w:top w:val="nil"/>
              <w:left w:val="nil"/>
              <w:bottom w:val="nil"/>
              <w:right w:val="nil"/>
            </w:tcBorders>
            <w:shd w:val="clear" w:color="auto" w:fill="auto"/>
            <w:noWrap/>
            <w:vAlign w:val="center"/>
          </w:tcPr>
          <w:p w14:paraId="7FEFBBCB"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c>
          <w:tcPr>
            <w:tcW w:w="472" w:type="pct"/>
            <w:tcBorders>
              <w:top w:val="nil"/>
              <w:left w:val="nil"/>
              <w:bottom w:val="nil"/>
              <w:right w:val="nil"/>
            </w:tcBorders>
            <w:shd w:val="clear" w:color="auto" w:fill="auto"/>
            <w:noWrap/>
            <w:vAlign w:val="center"/>
          </w:tcPr>
          <w:p w14:paraId="2B0445DC"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228 059</w:t>
            </w:r>
          </w:p>
        </w:tc>
        <w:tc>
          <w:tcPr>
            <w:tcW w:w="530" w:type="pct"/>
            <w:tcBorders>
              <w:top w:val="nil"/>
              <w:left w:val="nil"/>
              <w:bottom w:val="nil"/>
              <w:right w:val="nil"/>
            </w:tcBorders>
            <w:shd w:val="clear" w:color="auto" w:fill="auto"/>
            <w:noWrap/>
            <w:vAlign w:val="center"/>
          </w:tcPr>
          <w:p w14:paraId="5DF8C264"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236 546</w:t>
            </w:r>
          </w:p>
        </w:tc>
        <w:tc>
          <w:tcPr>
            <w:tcW w:w="514" w:type="pct"/>
            <w:tcBorders>
              <w:top w:val="nil"/>
              <w:left w:val="nil"/>
              <w:bottom w:val="nil"/>
              <w:right w:val="nil"/>
            </w:tcBorders>
            <w:shd w:val="clear" w:color="auto" w:fill="auto"/>
            <w:noWrap/>
            <w:vAlign w:val="center"/>
          </w:tcPr>
          <w:p w14:paraId="2B465C62"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c>
          <w:tcPr>
            <w:tcW w:w="526" w:type="pct"/>
            <w:tcBorders>
              <w:top w:val="nil"/>
              <w:left w:val="nil"/>
              <w:bottom w:val="nil"/>
              <w:right w:val="nil"/>
            </w:tcBorders>
            <w:shd w:val="clear" w:color="auto" w:fill="auto"/>
            <w:noWrap/>
            <w:vAlign w:val="center"/>
          </w:tcPr>
          <w:p w14:paraId="4552DE36"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r>
      <w:tr w:rsidR="00D94493" w:rsidRPr="00D94493" w14:paraId="26CCA97A" w14:textId="77777777" w:rsidTr="00D94493">
        <w:trPr>
          <w:trHeight w:val="170"/>
        </w:trPr>
        <w:tc>
          <w:tcPr>
            <w:tcW w:w="1898" w:type="pct"/>
            <w:tcBorders>
              <w:top w:val="nil"/>
              <w:left w:val="nil"/>
              <w:bottom w:val="nil"/>
              <w:right w:val="nil"/>
            </w:tcBorders>
            <w:shd w:val="clear" w:color="auto" w:fill="auto"/>
            <w:noWrap/>
            <w:vAlign w:val="bottom"/>
          </w:tcPr>
          <w:p w14:paraId="4E36757E"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               do VÚC </w:t>
            </w:r>
          </w:p>
        </w:tc>
        <w:tc>
          <w:tcPr>
            <w:tcW w:w="530" w:type="pct"/>
            <w:tcBorders>
              <w:top w:val="nil"/>
              <w:left w:val="nil"/>
              <w:bottom w:val="nil"/>
              <w:right w:val="nil"/>
            </w:tcBorders>
            <w:shd w:val="clear" w:color="auto" w:fill="auto"/>
            <w:noWrap/>
            <w:vAlign w:val="center"/>
          </w:tcPr>
          <w:p w14:paraId="1A462FF4"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c>
          <w:tcPr>
            <w:tcW w:w="530" w:type="pct"/>
            <w:tcBorders>
              <w:top w:val="nil"/>
              <w:left w:val="nil"/>
              <w:bottom w:val="nil"/>
              <w:right w:val="nil"/>
            </w:tcBorders>
            <w:shd w:val="clear" w:color="auto" w:fill="auto"/>
            <w:noWrap/>
            <w:vAlign w:val="center"/>
          </w:tcPr>
          <w:p w14:paraId="11AA5A91"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c>
          <w:tcPr>
            <w:tcW w:w="472" w:type="pct"/>
            <w:tcBorders>
              <w:top w:val="nil"/>
              <w:left w:val="nil"/>
              <w:bottom w:val="nil"/>
              <w:right w:val="nil"/>
            </w:tcBorders>
            <w:shd w:val="clear" w:color="auto" w:fill="auto"/>
            <w:noWrap/>
            <w:vAlign w:val="center"/>
          </w:tcPr>
          <w:p w14:paraId="4F61259F"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97 739</w:t>
            </w:r>
          </w:p>
        </w:tc>
        <w:tc>
          <w:tcPr>
            <w:tcW w:w="530" w:type="pct"/>
            <w:tcBorders>
              <w:top w:val="nil"/>
              <w:left w:val="nil"/>
              <w:bottom w:val="nil"/>
              <w:right w:val="nil"/>
            </w:tcBorders>
            <w:shd w:val="clear" w:color="auto" w:fill="auto"/>
            <w:noWrap/>
            <w:vAlign w:val="center"/>
          </w:tcPr>
          <w:p w14:paraId="5CED2066"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101 377</w:t>
            </w:r>
          </w:p>
        </w:tc>
        <w:tc>
          <w:tcPr>
            <w:tcW w:w="514" w:type="pct"/>
            <w:tcBorders>
              <w:top w:val="nil"/>
              <w:left w:val="nil"/>
              <w:bottom w:val="nil"/>
              <w:right w:val="nil"/>
            </w:tcBorders>
            <w:shd w:val="clear" w:color="auto" w:fill="auto"/>
            <w:noWrap/>
            <w:vAlign w:val="center"/>
          </w:tcPr>
          <w:p w14:paraId="1000C884"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c>
          <w:tcPr>
            <w:tcW w:w="526" w:type="pct"/>
            <w:tcBorders>
              <w:top w:val="nil"/>
              <w:left w:val="nil"/>
              <w:bottom w:val="nil"/>
              <w:right w:val="nil"/>
            </w:tcBorders>
            <w:shd w:val="clear" w:color="auto" w:fill="auto"/>
            <w:noWrap/>
            <w:vAlign w:val="center"/>
          </w:tcPr>
          <w:p w14:paraId="0919332B"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r>
      <w:tr w:rsidR="00D94493" w:rsidRPr="00D94493" w14:paraId="0CF5C43B" w14:textId="77777777" w:rsidTr="00D94493">
        <w:trPr>
          <w:trHeight w:val="170"/>
        </w:trPr>
        <w:tc>
          <w:tcPr>
            <w:tcW w:w="1898" w:type="pct"/>
            <w:tcBorders>
              <w:top w:val="nil"/>
              <w:left w:val="nil"/>
              <w:bottom w:val="nil"/>
              <w:right w:val="nil"/>
            </w:tcBorders>
            <w:shd w:val="clear" w:color="auto" w:fill="auto"/>
            <w:noWrap/>
            <w:vAlign w:val="bottom"/>
            <w:hideMark/>
          </w:tcPr>
          <w:p w14:paraId="148E7149"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 z príjmov vyberaná zrážkou</w:t>
            </w:r>
          </w:p>
        </w:tc>
        <w:tc>
          <w:tcPr>
            <w:tcW w:w="530" w:type="pct"/>
            <w:tcBorders>
              <w:top w:val="nil"/>
              <w:left w:val="nil"/>
              <w:bottom w:val="nil"/>
              <w:right w:val="nil"/>
            </w:tcBorders>
            <w:shd w:val="clear" w:color="auto" w:fill="auto"/>
            <w:noWrap/>
            <w:vAlign w:val="center"/>
            <w:hideMark/>
          </w:tcPr>
          <w:p w14:paraId="379CA75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289 754</w:t>
            </w:r>
          </w:p>
        </w:tc>
        <w:tc>
          <w:tcPr>
            <w:tcW w:w="530" w:type="pct"/>
            <w:tcBorders>
              <w:top w:val="nil"/>
              <w:left w:val="nil"/>
              <w:bottom w:val="nil"/>
              <w:right w:val="nil"/>
            </w:tcBorders>
            <w:shd w:val="clear" w:color="auto" w:fill="auto"/>
            <w:noWrap/>
            <w:vAlign w:val="center"/>
            <w:hideMark/>
          </w:tcPr>
          <w:p w14:paraId="0FCC28F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314 764</w:t>
            </w:r>
          </w:p>
        </w:tc>
        <w:tc>
          <w:tcPr>
            <w:tcW w:w="472" w:type="pct"/>
            <w:tcBorders>
              <w:top w:val="nil"/>
              <w:left w:val="nil"/>
              <w:bottom w:val="nil"/>
              <w:right w:val="nil"/>
            </w:tcBorders>
            <w:shd w:val="clear" w:color="auto" w:fill="auto"/>
            <w:noWrap/>
            <w:vAlign w:val="center"/>
            <w:hideMark/>
          </w:tcPr>
          <w:p w14:paraId="264D6C3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415 754</w:t>
            </w:r>
          </w:p>
        </w:tc>
        <w:tc>
          <w:tcPr>
            <w:tcW w:w="530" w:type="pct"/>
            <w:tcBorders>
              <w:top w:val="nil"/>
              <w:left w:val="nil"/>
              <w:bottom w:val="nil"/>
              <w:right w:val="nil"/>
            </w:tcBorders>
            <w:shd w:val="clear" w:color="auto" w:fill="auto"/>
            <w:noWrap/>
            <w:vAlign w:val="center"/>
            <w:hideMark/>
          </w:tcPr>
          <w:p w14:paraId="033C7E6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415 070</w:t>
            </w:r>
          </w:p>
        </w:tc>
        <w:tc>
          <w:tcPr>
            <w:tcW w:w="514" w:type="pct"/>
            <w:tcBorders>
              <w:top w:val="nil"/>
              <w:left w:val="nil"/>
              <w:bottom w:val="nil"/>
              <w:right w:val="nil"/>
            </w:tcBorders>
            <w:shd w:val="clear" w:color="auto" w:fill="auto"/>
            <w:noWrap/>
            <w:vAlign w:val="center"/>
            <w:hideMark/>
          </w:tcPr>
          <w:p w14:paraId="42CAE14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417 448</w:t>
            </w:r>
          </w:p>
        </w:tc>
        <w:tc>
          <w:tcPr>
            <w:tcW w:w="526" w:type="pct"/>
            <w:tcBorders>
              <w:top w:val="nil"/>
              <w:left w:val="nil"/>
              <w:bottom w:val="nil"/>
              <w:right w:val="nil"/>
            </w:tcBorders>
            <w:shd w:val="clear" w:color="auto" w:fill="auto"/>
            <w:noWrap/>
            <w:vAlign w:val="center"/>
            <w:hideMark/>
          </w:tcPr>
          <w:p w14:paraId="7C315E2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419 840</w:t>
            </w:r>
          </w:p>
        </w:tc>
      </w:tr>
      <w:tr w:rsidR="00D94493" w:rsidRPr="00D94493" w14:paraId="0B7ED75A" w14:textId="77777777" w:rsidTr="00D94493">
        <w:trPr>
          <w:trHeight w:val="170"/>
        </w:trPr>
        <w:tc>
          <w:tcPr>
            <w:tcW w:w="1898" w:type="pct"/>
            <w:tcBorders>
              <w:top w:val="nil"/>
              <w:left w:val="nil"/>
              <w:bottom w:val="nil"/>
              <w:right w:val="nil"/>
            </w:tcBorders>
            <w:shd w:val="clear" w:color="auto" w:fill="auto"/>
            <w:noWrap/>
            <w:vAlign w:val="bottom"/>
            <w:hideMark/>
          </w:tcPr>
          <w:p w14:paraId="4B75B89D" w14:textId="77777777" w:rsidR="00D94493" w:rsidRPr="00D94493" w:rsidRDefault="00D94493" w:rsidP="00D94493">
            <w:pPr>
              <w:spacing w:after="0" w:line="240" w:lineRule="auto"/>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Dane na tovary a služby</w:t>
            </w:r>
          </w:p>
        </w:tc>
        <w:tc>
          <w:tcPr>
            <w:tcW w:w="530" w:type="pct"/>
            <w:tcBorders>
              <w:top w:val="nil"/>
              <w:left w:val="nil"/>
              <w:bottom w:val="nil"/>
              <w:right w:val="nil"/>
            </w:tcBorders>
            <w:shd w:val="clear" w:color="auto" w:fill="auto"/>
            <w:noWrap/>
            <w:vAlign w:val="center"/>
            <w:hideMark/>
          </w:tcPr>
          <w:p w14:paraId="7E384D2D"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9 893 258</w:t>
            </w:r>
          </w:p>
        </w:tc>
        <w:tc>
          <w:tcPr>
            <w:tcW w:w="530" w:type="pct"/>
            <w:tcBorders>
              <w:top w:val="nil"/>
              <w:left w:val="nil"/>
              <w:bottom w:val="nil"/>
              <w:right w:val="nil"/>
            </w:tcBorders>
            <w:shd w:val="clear" w:color="auto" w:fill="auto"/>
            <w:noWrap/>
            <w:vAlign w:val="center"/>
            <w:hideMark/>
          </w:tcPr>
          <w:p w14:paraId="50F5B800"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10 971 857</w:t>
            </w:r>
          </w:p>
        </w:tc>
        <w:tc>
          <w:tcPr>
            <w:tcW w:w="472" w:type="pct"/>
            <w:tcBorders>
              <w:top w:val="nil"/>
              <w:left w:val="nil"/>
              <w:bottom w:val="nil"/>
              <w:right w:val="nil"/>
            </w:tcBorders>
            <w:shd w:val="clear" w:color="auto" w:fill="auto"/>
            <w:noWrap/>
            <w:vAlign w:val="center"/>
            <w:hideMark/>
          </w:tcPr>
          <w:p w14:paraId="7DA0AD31"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11 947 629</w:t>
            </w:r>
          </w:p>
        </w:tc>
        <w:tc>
          <w:tcPr>
            <w:tcW w:w="530" w:type="pct"/>
            <w:tcBorders>
              <w:top w:val="nil"/>
              <w:left w:val="nil"/>
              <w:bottom w:val="nil"/>
              <w:right w:val="nil"/>
            </w:tcBorders>
            <w:shd w:val="clear" w:color="auto" w:fill="auto"/>
            <w:noWrap/>
            <w:vAlign w:val="center"/>
            <w:hideMark/>
          </w:tcPr>
          <w:p w14:paraId="18211ECC"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12 877 019</w:t>
            </w:r>
          </w:p>
        </w:tc>
        <w:tc>
          <w:tcPr>
            <w:tcW w:w="514" w:type="pct"/>
            <w:tcBorders>
              <w:top w:val="nil"/>
              <w:left w:val="nil"/>
              <w:bottom w:val="nil"/>
              <w:right w:val="nil"/>
            </w:tcBorders>
            <w:shd w:val="clear" w:color="auto" w:fill="auto"/>
            <w:noWrap/>
            <w:vAlign w:val="center"/>
            <w:hideMark/>
          </w:tcPr>
          <w:p w14:paraId="49A74476"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13 215 518</w:t>
            </w:r>
          </w:p>
        </w:tc>
        <w:tc>
          <w:tcPr>
            <w:tcW w:w="526" w:type="pct"/>
            <w:tcBorders>
              <w:top w:val="nil"/>
              <w:left w:val="nil"/>
              <w:bottom w:val="nil"/>
              <w:right w:val="nil"/>
            </w:tcBorders>
            <w:shd w:val="clear" w:color="auto" w:fill="auto"/>
            <w:noWrap/>
            <w:vAlign w:val="center"/>
            <w:hideMark/>
          </w:tcPr>
          <w:p w14:paraId="30FA403B"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13 606 011</w:t>
            </w:r>
          </w:p>
        </w:tc>
      </w:tr>
      <w:tr w:rsidR="00D94493" w:rsidRPr="00D94493" w14:paraId="23CDB57F" w14:textId="77777777" w:rsidTr="00D94493">
        <w:trPr>
          <w:trHeight w:val="170"/>
        </w:trPr>
        <w:tc>
          <w:tcPr>
            <w:tcW w:w="1898" w:type="pct"/>
            <w:tcBorders>
              <w:top w:val="nil"/>
              <w:left w:val="nil"/>
              <w:bottom w:val="nil"/>
              <w:right w:val="nil"/>
            </w:tcBorders>
            <w:shd w:val="clear" w:color="auto" w:fill="auto"/>
            <w:noWrap/>
            <w:vAlign w:val="bottom"/>
            <w:hideMark/>
          </w:tcPr>
          <w:p w14:paraId="1C1848DA"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 z pridanej hodnoty</w:t>
            </w:r>
          </w:p>
        </w:tc>
        <w:tc>
          <w:tcPr>
            <w:tcW w:w="530" w:type="pct"/>
            <w:tcBorders>
              <w:top w:val="nil"/>
              <w:left w:val="nil"/>
              <w:bottom w:val="nil"/>
              <w:right w:val="nil"/>
            </w:tcBorders>
            <w:shd w:val="clear" w:color="auto" w:fill="auto"/>
            <w:noWrap/>
            <w:vAlign w:val="center"/>
            <w:hideMark/>
          </w:tcPr>
          <w:p w14:paraId="6AAF8CA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7 494 068</w:t>
            </w:r>
          </w:p>
        </w:tc>
        <w:tc>
          <w:tcPr>
            <w:tcW w:w="530" w:type="pct"/>
            <w:tcBorders>
              <w:top w:val="nil"/>
              <w:left w:val="nil"/>
              <w:bottom w:val="nil"/>
              <w:right w:val="nil"/>
            </w:tcBorders>
            <w:shd w:val="clear" w:color="auto" w:fill="auto"/>
            <w:noWrap/>
            <w:vAlign w:val="center"/>
            <w:hideMark/>
          </w:tcPr>
          <w:p w14:paraId="6BB43BC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8 440 843</w:t>
            </w:r>
          </w:p>
        </w:tc>
        <w:tc>
          <w:tcPr>
            <w:tcW w:w="472" w:type="pct"/>
            <w:tcBorders>
              <w:top w:val="nil"/>
              <w:left w:val="nil"/>
              <w:bottom w:val="nil"/>
              <w:right w:val="nil"/>
            </w:tcBorders>
            <w:shd w:val="clear" w:color="auto" w:fill="auto"/>
            <w:noWrap/>
            <w:vAlign w:val="center"/>
            <w:hideMark/>
          </w:tcPr>
          <w:p w14:paraId="7C675D2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9 373 397</w:t>
            </w:r>
          </w:p>
        </w:tc>
        <w:tc>
          <w:tcPr>
            <w:tcW w:w="530" w:type="pct"/>
            <w:tcBorders>
              <w:top w:val="nil"/>
              <w:left w:val="nil"/>
              <w:bottom w:val="nil"/>
              <w:right w:val="nil"/>
            </w:tcBorders>
            <w:shd w:val="clear" w:color="auto" w:fill="auto"/>
            <w:noWrap/>
            <w:vAlign w:val="center"/>
            <w:hideMark/>
          </w:tcPr>
          <w:p w14:paraId="246E4D4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10 081 564</w:t>
            </w:r>
          </w:p>
        </w:tc>
        <w:tc>
          <w:tcPr>
            <w:tcW w:w="514" w:type="pct"/>
            <w:tcBorders>
              <w:top w:val="nil"/>
              <w:left w:val="nil"/>
              <w:bottom w:val="nil"/>
              <w:right w:val="nil"/>
            </w:tcBorders>
            <w:shd w:val="clear" w:color="auto" w:fill="auto"/>
            <w:noWrap/>
            <w:vAlign w:val="center"/>
            <w:hideMark/>
          </w:tcPr>
          <w:p w14:paraId="3696A29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10 344 006</w:t>
            </w:r>
          </w:p>
        </w:tc>
        <w:tc>
          <w:tcPr>
            <w:tcW w:w="526" w:type="pct"/>
            <w:tcBorders>
              <w:top w:val="nil"/>
              <w:left w:val="nil"/>
              <w:bottom w:val="nil"/>
              <w:right w:val="nil"/>
            </w:tcBorders>
            <w:shd w:val="clear" w:color="auto" w:fill="auto"/>
            <w:noWrap/>
            <w:vAlign w:val="center"/>
            <w:hideMark/>
          </w:tcPr>
          <w:p w14:paraId="4BE8248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10 622 044</w:t>
            </w:r>
          </w:p>
        </w:tc>
      </w:tr>
      <w:tr w:rsidR="00D94493" w:rsidRPr="00D94493" w14:paraId="6AECC9E6" w14:textId="77777777" w:rsidTr="00D94493">
        <w:trPr>
          <w:trHeight w:val="170"/>
        </w:trPr>
        <w:tc>
          <w:tcPr>
            <w:tcW w:w="1898" w:type="pct"/>
            <w:tcBorders>
              <w:top w:val="nil"/>
              <w:left w:val="nil"/>
              <w:bottom w:val="nil"/>
              <w:right w:val="nil"/>
            </w:tcBorders>
            <w:shd w:val="clear" w:color="auto" w:fill="auto"/>
            <w:noWrap/>
            <w:vAlign w:val="bottom"/>
            <w:hideMark/>
          </w:tcPr>
          <w:p w14:paraId="25B87EF0"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Spotrebné dane</w:t>
            </w:r>
          </w:p>
        </w:tc>
        <w:tc>
          <w:tcPr>
            <w:tcW w:w="530" w:type="pct"/>
            <w:tcBorders>
              <w:top w:val="nil"/>
              <w:left w:val="nil"/>
              <w:bottom w:val="nil"/>
              <w:right w:val="nil"/>
            </w:tcBorders>
            <w:shd w:val="clear" w:color="auto" w:fill="auto"/>
            <w:noWrap/>
            <w:vAlign w:val="center"/>
            <w:hideMark/>
          </w:tcPr>
          <w:p w14:paraId="31EA80B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2 399 191</w:t>
            </w:r>
          </w:p>
        </w:tc>
        <w:tc>
          <w:tcPr>
            <w:tcW w:w="530" w:type="pct"/>
            <w:tcBorders>
              <w:top w:val="nil"/>
              <w:left w:val="nil"/>
              <w:bottom w:val="nil"/>
              <w:right w:val="nil"/>
            </w:tcBorders>
            <w:shd w:val="clear" w:color="auto" w:fill="auto"/>
            <w:noWrap/>
            <w:vAlign w:val="center"/>
            <w:hideMark/>
          </w:tcPr>
          <w:p w14:paraId="0C581FC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2 531 014</w:t>
            </w:r>
          </w:p>
        </w:tc>
        <w:tc>
          <w:tcPr>
            <w:tcW w:w="472" w:type="pct"/>
            <w:tcBorders>
              <w:top w:val="nil"/>
              <w:left w:val="nil"/>
              <w:bottom w:val="nil"/>
              <w:right w:val="nil"/>
            </w:tcBorders>
            <w:shd w:val="clear" w:color="auto" w:fill="auto"/>
            <w:noWrap/>
            <w:vAlign w:val="center"/>
            <w:hideMark/>
          </w:tcPr>
          <w:p w14:paraId="2BC708F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2 574 232</w:t>
            </w:r>
          </w:p>
        </w:tc>
        <w:tc>
          <w:tcPr>
            <w:tcW w:w="530" w:type="pct"/>
            <w:tcBorders>
              <w:top w:val="nil"/>
              <w:left w:val="nil"/>
              <w:bottom w:val="nil"/>
              <w:right w:val="nil"/>
            </w:tcBorders>
            <w:shd w:val="clear" w:color="auto" w:fill="auto"/>
            <w:noWrap/>
            <w:vAlign w:val="center"/>
            <w:hideMark/>
          </w:tcPr>
          <w:p w14:paraId="0DAF4A5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2 795 455</w:t>
            </w:r>
          </w:p>
        </w:tc>
        <w:tc>
          <w:tcPr>
            <w:tcW w:w="514" w:type="pct"/>
            <w:tcBorders>
              <w:top w:val="nil"/>
              <w:left w:val="nil"/>
              <w:bottom w:val="nil"/>
              <w:right w:val="nil"/>
            </w:tcBorders>
            <w:shd w:val="clear" w:color="auto" w:fill="auto"/>
            <w:noWrap/>
            <w:vAlign w:val="center"/>
            <w:hideMark/>
          </w:tcPr>
          <w:p w14:paraId="18C2B87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2 871 512</w:t>
            </w:r>
          </w:p>
        </w:tc>
        <w:tc>
          <w:tcPr>
            <w:tcW w:w="526" w:type="pct"/>
            <w:tcBorders>
              <w:top w:val="nil"/>
              <w:left w:val="nil"/>
              <w:bottom w:val="nil"/>
              <w:right w:val="nil"/>
            </w:tcBorders>
            <w:shd w:val="clear" w:color="auto" w:fill="auto"/>
            <w:noWrap/>
            <w:vAlign w:val="center"/>
            <w:hideMark/>
          </w:tcPr>
          <w:p w14:paraId="012B085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2 983 967</w:t>
            </w:r>
          </w:p>
        </w:tc>
      </w:tr>
      <w:tr w:rsidR="00D94493" w:rsidRPr="00D94493" w14:paraId="66C0389C" w14:textId="77777777" w:rsidTr="00D94493">
        <w:trPr>
          <w:trHeight w:val="170"/>
        </w:trPr>
        <w:tc>
          <w:tcPr>
            <w:tcW w:w="1898" w:type="pct"/>
            <w:tcBorders>
              <w:top w:val="nil"/>
              <w:left w:val="nil"/>
              <w:bottom w:val="nil"/>
              <w:right w:val="nil"/>
            </w:tcBorders>
            <w:shd w:val="clear" w:color="auto" w:fill="auto"/>
            <w:noWrap/>
            <w:vAlign w:val="bottom"/>
            <w:hideMark/>
          </w:tcPr>
          <w:p w14:paraId="190A6EE6"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Z minerálnych olejov</w:t>
            </w:r>
          </w:p>
        </w:tc>
        <w:tc>
          <w:tcPr>
            <w:tcW w:w="530" w:type="pct"/>
            <w:tcBorders>
              <w:top w:val="nil"/>
              <w:left w:val="nil"/>
              <w:bottom w:val="nil"/>
              <w:right w:val="nil"/>
            </w:tcBorders>
            <w:shd w:val="clear" w:color="auto" w:fill="auto"/>
            <w:noWrap/>
            <w:vAlign w:val="center"/>
            <w:hideMark/>
          </w:tcPr>
          <w:p w14:paraId="404D339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1 237 044</w:t>
            </w:r>
          </w:p>
        </w:tc>
        <w:tc>
          <w:tcPr>
            <w:tcW w:w="530" w:type="pct"/>
            <w:tcBorders>
              <w:top w:val="nil"/>
              <w:left w:val="nil"/>
              <w:bottom w:val="nil"/>
              <w:right w:val="nil"/>
            </w:tcBorders>
            <w:shd w:val="clear" w:color="auto" w:fill="auto"/>
            <w:noWrap/>
            <w:vAlign w:val="center"/>
            <w:hideMark/>
          </w:tcPr>
          <w:p w14:paraId="6CC1E18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1 294 143</w:t>
            </w:r>
          </w:p>
        </w:tc>
        <w:tc>
          <w:tcPr>
            <w:tcW w:w="472" w:type="pct"/>
            <w:tcBorders>
              <w:top w:val="nil"/>
              <w:left w:val="nil"/>
              <w:bottom w:val="nil"/>
              <w:right w:val="nil"/>
            </w:tcBorders>
            <w:shd w:val="clear" w:color="auto" w:fill="auto"/>
            <w:noWrap/>
            <w:vAlign w:val="center"/>
            <w:hideMark/>
          </w:tcPr>
          <w:p w14:paraId="64F4F90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1 314 876</w:t>
            </w:r>
          </w:p>
        </w:tc>
        <w:tc>
          <w:tcPr>
            <w:tcW w:w="530" w:type="pct"/>
            <w:tcBorders>
              <w:top w:val="nil"/>
              <w:left w:val="nil"/>
              <w:bottom w:val="nil"/>
              <w:right w:val="nil"/>
            </w:tcBorders>
            <w:shd w:val="clear" w:color="auto" w:fill="auto"/>
            <w:noWrap/>
            <w:vAlign w:val="center"/>
            <w:hideMark/>
          </w:tcPr>
          <w:p w14:paraId="2502D31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1 347 653</w:t>
            </w:r>
          </w:p>
        </w:tc>
        <w:tc>
          <w:tcPr>
            <w:tcW w:w="514" w:type="pct"/>
            <w:tcBorders>
              <w:top w:val="nil"/>
              <w:left w:val="nil"/>
              <w:bottom w:val="nil"/>
              <w:right w:val="nil"/>
            </w:tcBorders>
            <w:shd w:val="clear" w:color="auto" w:fill="auto"/>
            <w:noWrap/>
            <w:vAlign w:val="center"/>
            <w:hideMark/>
          </w:tcPr>
          <w:p w14:paraId="786A019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1 382 432</w:t>
            </w:r>
          </w:p>
        </w:tc>
        <w:tc>
          <w:tcPr>
            <w:tcW w:w="526" w:type="pct"/>
            <w:tcBorders>
              <w:top w:val="nil"/>
              <w:left w:val="nil"/>
              <w:bottom w:val="nil"/>
              <w:right w:val="nil"/>
            </w:tcBorders>
            <w:shd w:val="clear" w:color="auto" w:fill="auto"/>
            <w:noWrap/>
            <w:vAlign w:val="center"/>
            <w:hideMark/>
          </w:tcPr>
          <w:p w14:paraId="15CCA41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1 409 216</w:t>
            </w:r>
          </w:p>
        </w:tc>
      </w:tr>
      <w:tr w:rsidR="00D94493" w:rsidRPr="00D94493" w14:paraId="05DC7038" w14:textId="77777777" w:rsidTr="00D94493">
        <w:trPr>
          <w:trHeight w:val="170"/>
        </w:trPr>
        <w:tc>
          <w:tcPr>
            <w:tcW w:w="1898" w:type="pct"/>
            <w:tcBorders>
              <w:top w:val="nil"/>
              <w:left w:val="nil"/>
              <w:bottom w:val="nil"/>
              <w:right w:val="nil"/>
            </w:tcBorders>
            <w:shd w:val="clear" w:color="auto" w:fill="auto"/>
            <w:noWrap/>
            <w:vAlign w:val="bottom"/>
            <w:hideMark/>
          </w:tcPr>
          <w:p w14:paraId="7748973A"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Z liehu</w:t>
            </w:r>
          </w:p>
        </w:tc>
        <w:tc>
          <w:tcPr>
            <w:tcW w:w="530" w:type="pct"/>
            <w:tcBorders>
              <w:top w:val="nil"/>
              <w:left w:val="nil"/>
              <w:bottom w:val="nil"/>
              <w:right w:val="nil"/>
            </w:tcBorders>
            <w:shd w:val="clear" w:color="auto" w:fill="auto"/>
            <w:noWrap/>
            <w:vAlign w:val="center"/>
            <w:hideMark/>
          </w:tcPr>
          <w:p w14:paraId="36DE951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215 507</w:t>
            </w:r>
          </w:p>
        </w:tc>
        <w:tc>
          <w:tcPr>
            <w:tcW w:w="530" w:type="pct"/>
            <w:tcBorders>
              <w:top w:val="nil"/>
              <w:left w:val="nil"/>
              <w:bottom w:val="nil"/>
              <w:right w:val="nil"/>
            </w:tcBorders>
            <w:shd w:val="clear" w:color="auto" w:fill="auto"/>
            <w:noWrap/>
            <w:vAlign w:val="center"/>
            <w:hideMark/>
          </w:tcPr>
          <w:p w14:paraId="140B5BE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237 907</w:t>
            </w:r>
          </w:p>
        </w:tc>
        <w:tc>
          <w:tcPr>
            <w:tcW w:w="472" w:type="pct"/>
            <w:tcBorders>
              <w:top w:val="nil"/>
              <w:left w:val="nil"/>
              <w:bottom w:val="nil"/>
              <w:right w:val="nil"/>
            </w:tcBorders>
            <w:shd w:val="clear" w:color="auto" w:fill="auto"/>
            <w:noWrap/>
            <w:vAlign w:val="center"/>
            <w:hideMark/>
          </w:tcPr>
          <w:p w14:paraId="12D20CC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234 820</w:t>
            </w:r>
          </w:p>
        </w:tc>
        <w:tc>
          <w:tcPr>
            <w:tcW w:w="530" w:type="pct"/>
            <w:tcBorders>
              <w:top w:val="nil"/>
              <w:left w:val="nil"/>
              <w:bottom w:val="nil"/>
              <w:right w:val="nil"/>
            </w:tcBorders>
            <w:shd w:val="clear" w:color="auto" w:fill="auto"/>
            <w:noWrap/>
            <w:vAlign w:val="center"/>
            <w:hideMark/>
          </w:tcPr>
          <w:p w14:paraId="1F420AC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309 602</w:t>
            </w:r>
          </w:p>
        </w:tc>
        <w:tc>
          <w:tcPr>
            <w:tcW w:w="514" w:type="pct"/>
            <w:tcBorders>
              <w:top w:val="nil"/>
              <w:left w:val="nil"/>
              <w:bottom w:val="nil"/>
              <w:right w:val="nil"/>
            </w:tcBorders>
            <w:shd w:val="clear" w:color="auto" w:fill="auto"/>
            <w:noWrap/>
            <w:vAlign w:val="center"/>
            <w:hideMark/>
          </w:tcPr>
          <w:p w14:paraId="43A4939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312 622</w:t>
            </w:r>
          </w:p>
        </w:tc>
        <w:tc>
          <w:tcPr>
            <w:tcW w:w="526" w:type="pct"/>
            <w:tcBorders>
              <w:top w:val="nil"/>
              <w:left w:val="nil"/>
              <w:bottom w:val="nil"/>
              <w:right w:val="nil"/>
            </w:tcBorders>
            <w:shd w:val="clear" w:color="auto" w:fill="auto"/>
            <w:noWrap/>
            <w:vAlign w:val="center"/>
            <w:hideMark/>
          </w:tcPr>
          <w:p w14:paraId="1BBEE82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311 604</w:t>
            </w:r>
          </w:p>
        </w:tc>
      </w:tr>
      <w:tr w:rsidR="00D94493" w:rsidRPr="00D94493" w14:paraId="4DBE46A8" w14:textId="77777777" w:rsidTr="00D94493">
        <w:trPr>
          <w:trHeight w:val="170"/>
        </w:trPr>
        <w:tc>
          <w:tcPr>
            <w:tcW w:w="1898" w:type="pct"/>
            <w:tcBorders>
              <w:top w:val="nil"/>
              <w:left w:val="nil"/>
              <w:bottom w:val="nil"/>
              <w:right w:val="nil"/>
            </w:tcBorders>
            <w:shd w:val="clear" w:color="auto" w:fill="auto"/>
            <w:noWrap/>
            <w:vAlign w:val="bottom"/>
            <w:hideMark/>
          </w:tcPr>
          <w:p w14:paraId="74C9BE3A"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Z piva</w:t>
            </w:r>
          </w:p>
        </w:tc>
        <w:tc>
          <w:tcPr>
            <w:tcW w:w="530" w:type="pct"/>
            <w:tcBorders>
              <w:top w:val="nil"/>
              <w:left w:val="nil"/>
              <w:bottom w:val="nil"/>
              <w:right w:val="nil"/>
            </w:tcBorders>
            <w:shd w:val="clear" w:color="auto" w:fill="auto"/>
            <w:noWrap/>
            <w:vAlign w:val="center"/>
            <w:hideMark/>
          </w:tcPr>
          <w:p w14:paraId="7A93A58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55 003</w:t>
            </w:r>
          </w:p>
        </w:tc>
        <w:tc>
          <w:tcPr>
            <w:tcW w:w="530" w:type="pct"/>
            <w:tcBorders>
              <w:top w:val="nil"/>
              <w:left w:val="nil"/>
              <w:bottom w:val="nil"/>
              <w:right w:val="nil"/>
            </w:tcBorders>
            <w:shd w:val="clear" w:color="auto" w:fill="auto"/>
            <w:noWrap/>
            <w:vAlign w:val="center"/>
            <w:hideMark/>
          </w:tcPr>
          <w:p w14:paraId="0D4188E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56 344</w:t>
            </w:r>
          </w:p>
        </w:tc>
        <w:tc>
          <w:tcPr>
            <w:tcW w:w="472" w:type="pct"/>
            <w:tcBorders>
              <w:top w:val="nil"/>
              <w:left w:val="nil"/>
              <w:bottom w:val="nil"/>
              <w:right w:val="nil"/>
            </w:tcBorders>
            <w:shd w:val="clear" w:color="auto" w:fill="auto"/>
            <w:noWrap/>
            <w:vAlign w:val="center"/>
            <w:hideMark/>
          </w:tcPr>
          <w:p w14:paraId="262DD89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52 924</w:t>
            </w:r>
          </w:p>
        </w:tc>
        <w:tc>
          <w:tcPr>
            <w:tcW w:w="530" w:type="pct"/>
            <w:tcBorders>
              <w:top w:val="nil"/>
              <w:left w:val="nil"/>
              <w:bottom w:val="nil"/>
              <w:right w:val="nil"/>
            </w:tcBorders>
            <w:shd w:val="clear" w:color="auto" w:fill="auto"/>
            <w:noWrap/>
            <w:vAlign w:val="center"/>
            <w:hideMark/>
          </w:tcPr>
          <w:p w14:paraId="47D9F39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54 510</w:t>
            </w:r>
          </w:p>
        </w:tc>
        <w:tc>
          <w:tcPr>
            <w:tcW w:w="514" w:type="pct"/>
            <w:tcBorders>
              <w:top w:val="nil"/>
              <w:left w:val="nil"/>
              <w:bottom w:val="nil"/>
              <w:right w:val="nil"/>
            </w:tcBorders>
            <w:shd w:val="clear" w:color="auto" w:fill="auto"/>
            <w:noWrap/>
            <w:vAlign w:val="center"/>
            <w:hideMark/>
          </w:tcPr>
          <w:p w14:paraId="0F61C0B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54 523</w:t>
            </w:r>
          </w:p>
        </w:tc>
        <w:tc>
          <w:tcPr>
            <w:tcW w:w="526" w:type="pct"/>
            <w:tcBorders>
              <w:top w:val="nil"/>
              <w:left w:val="nil"/>
              <w:bottom w:val="nil"/>
              <w:right w:val="nil"/>
            </w:tcBorders>
            <w:shd w:val="clear" w:color="auto" w:fill="auto"/>
            <w:noWrap/>
            <w:vAlign w:val="center"/>
            <w:hideMark/>
          </w:tcPr>
          <w:p w14:paraId="342A16E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54 198</w:t>
            </w:r>
          </w:p>
        </w:tc>
      </w:tr>
      <w:tr w:rsidR="00D94493" w:rsidRPr="00D94493" w14:paraId="730277FA" w14:textId="77777777" w:rsidTr="00D94493">
        <w:trPr>
          <w:trHeight w:val="170"/>
        </w:trPr>
        <w:tc>
          <w:tcPr>
            <w:tcW w:w="1898" w:type="pct"/>
            <w:tcBorders>
              <w:top w:val="nil"/>
              <w:left w:val="nil"/>
              <w:bottom w:val="nil"/>
              <w:right w:val="nil"/>
            </w:tcBorders>
            <w:shd w:val="clear" w:color="auto" w:fill="auto"/>
            <w:noWrap/>
            <w:vAlign w:val="bottom"/>
            <w:hideMark/>
          </w:tcPr>
          <w:p w14:paraId="17A97C97"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Z vína</w:t>
            </w:r>
          </w:p>
        </w:tc>
        <w:tc>
          <w:tcPr>
            <w:tcW w:w="530" w:type="pct"/>
            <w:tcBorders>
              <w:top w:val="nil"/>
              <w:left w:val="nil"/>
              <w:bottom w:val="nil"/>
              <w:right w:val="nil"/>
            </w:tcBorders>
            <w:shd w:val="clear" w:color="auto" w:fill="auto"/>
            <w:noWrap/>
            <w:vAlign w:val="center"/>
            <w:hideMark/>
          </w:tcPr>
          <w:p w14:paraId="5C1D735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5 107</w:t>
            </w:r>
          </w:p>
        </w:tc>
        <w:tc>
          <w:tcPr>
            <w:tcW w:w="530" w:type="pct"/>
            <w:tcBorders>
              <w:top w:val="nil"/>
              <w:left w:val="nil"/>
              <w:bottom w:val="nil"/>
              <w:right w:val="nil"/>
            </w:tcBorders>
            <w:shd w:val="clear" w:color="auto" w:fill="auto"/>
            <w:noWrap/>
            <w:vAlign w:val="center"/>
            <w:hideMark/>
          </w:tcPr>
          <w:p w14:paraId="70DF8DB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5 220</w:t>
            </w:r>
          </w:p>
        </w:tc>
        <w:tc>
          <w:tcPr>
            <w:tcW w:w="472" w:type="pct"/>
            <w:tcBorders>
              <w:top w:val="nil"/>
              <w:left w:val="nil"/>
              <w:bottom w:val="nil"/>
              <w:right w:val="nil"/>
            </w:tcBorders>
            <w:shd w:val="clear" w:color="auto" w:fill="auto"/>
            <w:noWrap/>
            <w:vAlign w:val="center"/>
            <w:hideMark/>
          </w:tcPr>
          <w:p w14:paraId="4B4C00D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5 198</w:t>
            </w:r>
          </w:p>
        </w:tc>
        <w:tc>
          <w:tcPr>
            <w:tcW w:w="530" w:type="pct"/>
            <w:tcBorders>
              <w:top w:val="nil"/>
              <w:left w:val="nil"/>
              <w:bottom w:val="nil"/>
              <w:right w:val="nil"/>
            </w:tcBorders>
            <w:shd w:val="clear" w:color="auto" w:fill="auto"/>
            <w:noWrap/>
            <w:vAlign w:val="center"/>
            <w:hideMark/>
          </w:tcPr>
          <w:p w14:paraId="3DC918D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5 340</w:t>
            </w:r>
          </w:p>
        </w:tc>
        <w:tc>
          <w:tcPr>
            <w:tcW w:w="514" w:type="pct"/>
            <w:tcBorders>
              <w:top w:val="nil"/>
              <w:left w:val="nil"/>
              <w:bottom w:val="nil"/>
              <w:right w:val="nil"/>
            </w:tcBorders>
            <w:shd w:val="clear" w:color="auto" w:fill="auto"/>
            <w:noWrap/>
            <w:vAlign w:val="center"/>
            <w:hideMark/>
          </w:tcPr>
          <w:p w14:paraId="66CAB6B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5 327</w:t>
            </w:r>
          </w:p>
        </w:tc>
        <w:tc>
          <w:tcPr>
            <w:tcW w:w="526" w:type="pct"/>
            <w:tcBorders>
              <w:top w:val="nil"/>
              <w:left w:val="nil"/>
              <w:bottom w:val="nil"/>
              <w:right w:val="nil"/>
            </w:tcBorders>
            <w:shd w:val="clear" w:color="auto" w:fill="auto"/>
            <w:noWrap/>
            <w:vAlign w:val="center"/>
            <w:hideMark/>
          </w:tcPr>
          <w:p w14:paraId="09CF5BD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5 281</w:t>
            </w:r>
          </w:p>
        </w:tc>
      </w:tr>
      <w:tr w:rsidR="00D94493" w:rsidRPr="00D94493" w14:paraId="0D058AE0" w14:textId="77777777" w:rsidTr="00D94493">
        <w:trPr>
          <w:trHeight w:val="170"/>
        </w:trPr>
        <w:tc>
          <w:tcPr>
            <w:tcW w:w="1898" w:type="pct"/>
            <w:tcBorders>
              <w:top w:val="nil"/>
              <w:left w:val="nil"/>
              <w:bottom w:val="nil"/>
              <w:right w:val="nil"/>
            </w:tcBorders>
            <w:shd w:val="clear" w:color="auto" w:fill="auto"/>
            <w:noWrap/>
            <w:vAlign w:val="bottom"/>
            <w:hideMark/>
          </w:tcPr>
          <w:p w14:paraId="40C1B937"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Z tabaku a tabakových výrobkov</w:t>
            </w:r>
          </w:p>
        </w:tc>
        <w:tc>
          <w:tcPr>
            <w:tcW w:w="530" w:type="pct"/>
            <w:tcBorders>
              <w:top w:val="nil"/>
              <w:left w:val="nil"/>
              <w:bottom w:val="nil"/>
              <w:right w:val="nil"/>
            </w:tcBorders>
            <w:shd w:val="clear" w:color="auto" w:fill="auto"/>
            <w:noWrap/>
            <w:vAlign w:val="center"/>
            <w:hideMark/>
          </w:tcPr>
          <w:p w14:paraId="62EB558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851 554</w:t>
            </w:r>
          </w:p>
        </w:tc>
        <w:tc>
          <w:tcPr>
            <w:tcW w:w="530" w:type="pct"/>
            <w:tcBorders>
              <w:top w:val="nil"/>
              <w:left w:val="nil"/>
              <w:bottom w:val="nil"/>
              <w:right w:val="nil"/>
            </w:tcBorders>
            <w:shd w:val="clear" w:color="auto" w:fill="auto"/>
            <w:noWrap/>
            <w:vAlign w:val="center"/>
            <w:hideMark/>
          </w:tcPr>
          <w:p w14:paraId="793C56F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901 198</w:t>
            </w:r>
          </w:p>
        </w:tc>
        <w:tc>
          <w:tcPr>
            <w:tcW w:w="472" w:type="pct"/>
            <w:tcBorders>
              <w:top w:val="nil"/>
              <w:left w:val="nil"/>
              <w:bottom w:val="nil"/>
              <w:right w:val="nil"/>
            </w:tcBorders>
            <w:shd w:val="clear" w:color="auto" w:fill="auto"/>
            <w:noWrap/>
            <w:vAlign w:val="center"/>
            <w:hideMark/>
          </w:tcPr>
          <w:p w14:paraId="1AE0E31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932 358</w:t>
            </w:r>
          </w:p>
        </w:tc>
        <w:tc>
          <w:tcPr>
            <w:tcW w:w="530" w:type="pct"/>
            <w:tcBorders>
              <w:top w:val="nil"/>
              <w:left w:val="nil"/>
              <w:bottom w:val="nil"/>
              <w:right w:val="nil"/>
            </w:tcBorders>
            <w:shd w:val="clear" w:color="auto" w:fill="auto"/>
            <w:noWrap/>
            <w:vAlign w:val="center"/>
            <w:hideMark/>
          </w:tcPr>
          <w:p w14:paraId="4074234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1 043 240</w:t>
            </w:r>
          </w:p>
        </w:tc>
        <w:tc>
          <w:tcPr>
            <w:tcW w:w="514" w:type="pct"/>
            <w:tcBorders>
              <w:top w:val="nil"/>
              <w:left w:val="nil"/>
              <w:bottom w:val="nil"/>
              <w:right w:val="nil"/>
            </w:tcBorders>
            <w:shd w:val="clear" w:color="auto" w:fill="auto"/>
            <w:noWrap/>
            <w:vAlign w:val="center"/>
            <w:hideMark/>
          </w:tcPr>
          <w:p w14:paraId="427AFAD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1 080 989</w:t>
            </w:r>
          </w:p>
        </w:tc>
        <w:tc>
          <w:tcPr>
            <w:tcW w:w="526" w:type="pct"/>
            <w:tcBorders>
              <w:top w:val="nil"/>
              <w:left w:val="nil"/>
              <w:bottom w:val="nil"/>
              <w:right w:val="nil"/>
            </w:tcBorders>
            <w:shd w:val="clear" w:color="auto" w:fill="auto"/>
            <w:noWrap/>
            <w:vAlign w:val="center"/>
            <w:hideMark/>
          </w:tcPr>
          <w:p w14:paraId="02F5067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1 167 752</w:t>
            </w:r>
          </w:p>
        </w:tc>
      </w:tr>
      <w:tr w:rsidR="00D94493" w:rsidRPr="00D94493" w14:paraId="5F1F303C" w14:textId="77777777" w:rsidTr="00D94493">
        <w:trPr>
          <w:trHeight w:val="170"/>
        </w:trPr>
        <w:tc>
          <w:tcPr>
            <w:tcW w:w="1898" w:type="pct"/>
            <w:tcBorders>
              <w:top w:val="nil"/>
              <w:left w:val="nil"/>
              <w:bottom w:val="nil"/>
              <w:right w:val="nil"/>
            </w:tcBorders>
            <w:shd w:val="clear" w:color="auto" w:fill="auto"/>
            <w:noWrap/>
            <w:vAlign w:val="bottom"/>
            <w:hideMark/>
          </w:tcPr>
          <w:p w14:paraId="28AD7B16"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Z elektrickej energie</w:t>
            </w:r>
          </w:p>
        </w:tc>
        <w:tc>
          <w:tcPr>
            <w:tcW w:w="530" w:type="pct"/>
            <w:tcBorders>
              <w:top w:val="nil"/>
              <w:left w:val="nil"/>
              <w:bottom w:val="nil"/>
              <w:right w:val="nil"/>
            </w:tcBorders>
            <w:shd w:val="clear" w:color="auto" w:fill="auto"/>
            <w:noWrap/>
            <w:vAlign w:val="center"/>
            <w:hideMark/>
          </w:tcPr>
          <w:p w14:paraId="2257BEF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10 015</w:t>
            </w:r>
          </w:p>
        </w:tc>
        <w:tc>
          <w:tcPr>
            <w:tcW w:w="530" w:type="pct"/>
            <w:tcBorders>
              <w:top w:val="nil"/>
              <w:left w:val="nil"/>
              <w:bottom w:val="nil"/>
              <w:right w:val="nil"/>
            </w:tcBorders>
            <w:shd w:val="clear" w:color="auto" w:fill="auto"/>
            <w:noWrap/>
            <w:vAlign w:val="center"/>
            <w:hideMark/>
          </w:tcPr>
          <w:p w14:paraId="1B450AD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11 597</w:t>
            </w:r>
          </w:p>
        </w:tc>
        <w:tc>
          <w:tcPr>
            <w:tcW w:w="472" w:type="pct"/>
            <w:tcBorders>
              <w:top w:val="nil"/>
              <w:left w:val="nil"/>
              <w:bottom w:val="nil"/>
              <w:right w:val="nil"/>
            </w:tcBorders>
            <w:shd w:val="clear" w:color="auto" w:fill="auto"/>
            <w:noWrap/>
            <w:vAlign w:val="center"/>
            <w:hideMark/>
          </w:tcPr>
          <w:p w14:paraId="42BDAFC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12 479</w:t>
            </w:r>
          </w:p>
        </w:tc>
        <w:tc>
          <w:tcPr>
            <w:tcW w:w="530" w:type="pct"/>
            <w:tcBorders>
              <w:top w:val="nil"/>
              <w:left w:val="nil"/>
              <w:bottom w:val="nil"/>
              <w:right w:val="nil"/>
            </w:tcBorders>
            <w:shd w:val="clear" w:color="auto" w:fill="auto"/>
            <w:noWrap/>
            <w:vAlign w:val="center"/>
            <w:hideMark/>
          </w:tcPr>
          <w:p w14:paraId="020D93C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12 853</w:t>
            </w:r>
          </w:p>
        </w:tc>
        <w:tc>
          <w:tcPr>
            <w:tcW w:w="514" w:type="pct"/>
            <w:tcBorders>
              <w:top w:val="nil"/>
              <w:left w:val="nil"/>
              <w:bottom w:val="nil"/>
              <w:right w:val="nil"/>
            </w:tcBorders>
            <w:shd w:val="clear" w:color="auto" w:fill="auto"/>
            <w:noWrap/>
            <w:vAlign w:val="center"/>
            <w:hideMark/>
          </w:tcPr>
          <w:p w14:paraId="5DEA8AF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13 026</w:t>
            </w:r>
          </w:p>
        </w:tc>
        <w:tc>
          <w:tcPr>
            <w:tcW w:w="526" w:type="pct"/>
            <w:tcBorders>
              <w:top w:val="nil"/>
              <w:left w:val="nil"/>
              <w:bottom w:val="nil"/>
              <w:right w:val="nil"/>
            </w:tcBorders>
            <w:shd w:val="clear" w:color="auto" w:fill="auto"/>
            <w:noWrap/>
            <w:vAlign w:val="center"/>
            <w:hideMark/>
          </w:tcPr>
          <w:p w14:paraId="09E2DC0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13 119</w:t>
            </w:r>
          </w:p>
        </w:tc>
      </w:tr>
      <w:tr w:rsidR="00D94493" w:rsidRPr="00D94493" w14:paraId="2B5C418F" w14:textId="77777777" w:rsidTr="00D94493">
        <w:trPr>
          <w:trHeight w:val="170"/>
        </w:trPr>
        <w:tc>
          <w:tcPr>
            <w:tcW w:w="1898" w:type="pct"/>
            <w:tcBorders>
              <w:top w:val="nil"/>
              <w:left w:val="nil"/>
              <w:bottom w:val="nil"/>
              <w:right w:val="nil"/>
            </w:tcBorders>
            <w:shd w:val="clear" w:color="auto" w:fill="auto"/>
            <w:noWrap/>
            <w:vAlign w:val="bottom"/>
            <w:hideMark/>
          </w:tcPr>
          <w:p w14:paraId="4A8A6322"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Zo zemného plynu</w:t>
            </w:r>
          </w:p>
        </w:tc>
        <w:tc>
          <w:tcPr>
            <w:tcW w:w="530" w:type="pct"/>
            <w:tcBorders>
              <w:top w:val="nil"/>
              <w:left w:val="nil"/>
              <w:bottom w:val="nil"/>
              <w:right w:val="nil"/>
            </w:tcBorders>
            <w:shd w:val="clear" w:color="auto" w:fill="auto"/>
            <w:noWrap/>
            <w:vAlign w:val="center"/>
            <w:hideMark/>
          </w:tcPr>
          <w:p w14:paraId="3A09FA6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24 702</w:t>
            </w:r>
          </w:p>
        </w:tc>
        <w:tc>
          <w:tcPr>
            <w:tcW w:w="530" w:type="pct"/>
            <w:tcBorders>
              <w:top w:val="nil"/>
              <w:left w:val="nil"/>
              <w:bottom w:val="nil"/>
              <w:right w:val="nil"/>
            </w:tcBorders>
            <w:shd w:val="clear" w:color="auto" w:fill="auto"/>
            <w:noWrap/>
            <w:vAlign w:val="center"/>
            <w:hideMark/>
          </w:tcPr>
          <w:p w14:paraId="2BD8F0B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24 343</w:t>
            </w:r>
          </w:p>
        </w:tc>
        <w:tc>
          <w:tcPr>
            <w:tcW w:w="472" w:type="pct"/>
            <w:tcBorders>
              <w:top w:val="nil"/>
              <w:left w:val="nil"/>
              <w:bottom w:val="nil"/>
              <w:right w:val="nil"/>
            </w:tcBorders>
            <w:shd w:val="clear" w:color="auto" w:fill="auto"/>
            <w:noWrap/>
            <w:vAlign w:val="center"/>
            <w:hideMark/>
          </w:tcPr>
          <w:p w14:paraId="3C97F43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21 400</w:t>
            </w:r>
          </w:p>
        </w:tc>
        <w:tc>
          <w:tcPr>
            <w:tcW w:w="530" w:type="pct"/>
            <w:tcBorders>
              <w:top w:val="nil"/>
              <w:left w:val="nil"/>
              <w:bottom w:val="nil"/>
              <w:right w:val="nil"/>
            </w:tcBorders>
            <w:shd w:val="clear" w:color="auto" w:fill="auto"/>
            <w:noWrap/>
            <w:vAlign w:val="center"/>
            <w:hideMark/>
          </w:tcPr>
          <w:p w14:paraId="2C80203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22 101</w:t>
            </w:r>
          </w:p>
        </w:tc>
        <w:tc>
          <w:tcPr>
            <w:tcW w:w="514" w:type="pct"/>
            <w:tcBorders>
              <w:top w:val="nil"/>
              <w:left w:val="nil"/>
              <w:bottom w:val="nil"/>
              <w:right w:val="nil"/>
            </w:tcBorders>
            <w:shd w:val="clear" w:color="auto" w:fill="auto"/>
            <w:noWrap/>
            <w:vAlign w:val="center"/>
            <w:hideMark/>
          </w:tcPr>
          <w:p w14:paraId="4A5FE59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22 458</w:t>
            </w:r>
          </w:p>
        </w:tc>
        <w:tc>
          <w:tcPr>
            <w:tcW w:w="526" w:type="pct"/>
            <w:tcBorders>
              <w:top w:val="nil"/>
              <w:left w:val="nil"/>
              <w:bottom w:val="nil"/>
              <w:right w:val="nil"/>
            </w:tcBorders>
            <w:shd w:val="clear" w:color="auto" w:fill="auto"/>
            <w:noWrap/>
            <w:vAlign w:val="center"/>
            <w:hideMark/>
          </w:tcPr>
          <w:p w14:paraId="5BF6EFD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22 680</w:t>
            </w:r>
          </w:p>
        </w:tc>
      </w:tr>
      <w:tr w:rsidR="00D94493" w:rsidRPr="00D94493" w14:paraId="45F5BEF0" w14:textId="77777777" w:rsidTr="00D94493">
        <w:trPr>
          <w:trHeight w:val="170"/>
        </w:trPr>
        <w:tc>
          <w:tcPr>
            <w:tcW w:w="1898" w:type="pct"/>
            <w:tcBorders>
              <w:top w:val="nil"/>
              <w:left w:val="nil"/>
              <w:bottom w:val="nil"/>
              <w:right w:val="nil"/>
            </w:tcBorders>
            <w:shd w:val="clear" w:color="auto" w:fill="auto"/>
            <w:noWrap/>
            <w:vAlign w:val="bottom"/>
            <w:hideMark/>
          </w:tcPr>
          <w:p w14:paraId="0D4BC9BE"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Z uhlia</w:t>
            </w:r>
          </w:p>
        </w:tc>
        <w:tc>
          <w:tcPr>
            <w:tcW w:w="530" w:type="pct"/>
            <w:tcBorders>
              <w:top w:val="nil"/>
              <w:left w:val="nil"/>
              <w:bottom w:val="nil"/>
              <w:right w:val="nil"/>
            </w:tcBorders>
            <w:shd w:val="clear" w:color="auto" w:fill="auto"/>
            <w:noWrap/>
            <w:vAlign w:val="center"/>
            <w:hideMark/>
          </w:tcPr>
          <w:p w14:paraId="2F8739B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258</w:t>
            </w:r>
          </w:p>
        </w:tc>
        <w:tc>
          <w:tcPr>
            <w:tcW w:w="530" w:type="pct"/>
            <w:tcBorders>
              <w:top w:val="nil"/>
              <w:left w:val="nil"/>
              <w:bottom w:val="nil"/>
              <w:right w:val="nil"/>
            </w:tcBorders>
            <w:shd w:val="clear" w:color="auto" w:fill="auto"/>
            <w:noWrap/>
            <w:vAlign w:val="center"/>
            <w:hideMark/>
          </w:tcPr>
          <w:p w14:paraId="71BEFEF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262</w:t>
            </w:r>
          </w:p>
        </w:tc>
        <w:tc>
          <w:tcPr>
            <w:tcW w:w="472" w:type="pct"/>
            <w:tcBorders>
              <w:top w:val="nil"/>
              <w:left w:val="nil"/>
              <w:bottom w:val="nil"/>
              <w:right w:val="nil"/>
            </w:tcBorders>
            <w:shd w:val="clear" w:color="auto" w:fill="auto"/>
            <w:noWrap/>
            <w:vAlign w:val="center"/>
            <w:hideMark/>
          </w:tcPr>
          <w:p w14:paraId="47476A5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177</w:t>
            </w:r>
          </w:p>
        </w:tc>
        <w:tc>
          <w:tcPr>
            <w:tcW w:w="530" w:type="pct"/>
            <w:tcBorders>
              <w:top w:val="nil"/>
              <w:left w:val="nil"/>
              <w:bottom w:val="nil"/>
              <w:right w:val="nil"/>
            </w:tcBorders>
            <w:shd w:val="clear" w:color="auto" w:fill="auto"/>
            <w:noWrap/>
            <w:vAlign w:val="center"/>
            <w:hideMark/>
          </w:tcPr>
          <w:p w14:paraId="19C7A97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156</w:t>
            </w:r>
          </w:p>
        </w:tc>
        <w:tc>
          <w:tcPr>
            <w:tcW w:w="514" w:type="pct"/>
            <w:tcBorders>
              <w:top w:val="nil"/>
              <w:left w:val="nil"/>
              <w:bottom w:val="nil"/>
              <w:right w:val="nil"/>
            </w:tcBorders>
            <w:shd w:val="clear" w:color="auto" w:fill="auto"/>
            <w:noWrap/>
            <w:vAlign w:val="center"/>
            <w:hideMark/>
          </w:tcPr>
          <w:p w14:paraId="1BBDA2A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135</w:t>
            </w:r>
          </w:p>
        </w:tc>
        <w:tc>
          <w:tcPr>
            <w:tcW w:w="526" w:type="pct"/>
            <w:tcBorders>
              <w:top w:val="nil"/>
              <w:left w:val="nil"/>
              <w:bottom w:val="nil"/>
              <w:right w:val="nil"/>
            </w:tcBorders>
            <w:shd w:val="clear" w:color="auto" w:fill="auto"/>
            <w:noWrap/>
            <w:vAlign w:val="center"/>
            <w:hideMark/>
          </w:tcPr>
          <w:p w14:paraId="5515F21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117</w:t>
            </w:r>
          </w:p>
        </w:tc>
      </w:tr>
      <w:tr w:rsidR="00D94493" w:rsidRPr="00D94493" w14:paraId="776CC4B7" w14:textId="77777777" w:rsidTr="00D94493">
        <w:trPr>
          <w:trHeight w:val="170"/>
        </w:trPr>
        <w:tc>
          <w:tcPr>
            <w:tcW w:w="1898" w:type="pct"/>
            <w:tcBorders>
              <w:top w:val="nil"/>
              <w:left w:val="nil"/>
              <w:bottom w:val="nil"/>
              <w:right w:val="nil"/>
            </w:tcBorders>
            <w:shd w:val="clear" w:color="auto" w:fill="auto"/>
            <w:noWrap/>
            <w:vAlign w:val="bottom"/>
            <w:hideMark/>
          </w:tcPr>
          <w:p w14:paraId="7FAAE1D0" w14:textId="77777777" w:rsidR="00D94493" w:rsidRPr="00D94493" w:rsidRDefault="00D94493" w:rsidP="00D94493">
            <w:pPr>
              <w:spacing w:after="0" w:line="240" w:lineRule="auto"/>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Dane z medzinárodného obchodu a transakcií</w:t>
            </w:r>
          </w:p>
        </w:tc>
        <w:tc>
          <w:tcPr>
            <w:tcW w:w="530" w:type="pct"/>
            <w:tcBorders>
              <w:top w:val="nil"/>
              <w:left w:val="nil"/>
              <w:bottom w:val="nil"/>
              <w:right w:val="nil"/>
            </w:tcBorders>
            <w:shd w:val="clear" w:color="auto" w:fill="auto"/>
            <w:noWrap/>
            <w:vAlign w:val="center"/>
            <w:hideMark/>
          </w:tcPr>
          <w:p w14:paraId="59A5E697"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28 735</w:t>
            </w:r>
          </w:p>
        </w:tc>
        <w:tc>
          <w:tcPr>
            <w:tcW w:w="530" w:type="pct"/>
            <w:tcBorders>
              <w:top w:val="nil"/>
              <w:left w:val="nil"/>
              <w:bottom w:val="nil"/>
              <w:right w:val="nil"/>
            </w:tcBorders>
            <w:shd w:val="clear" w:color="auto" w:fill="auto"/>
            <w:noWrap/>
            <w:vAlign w:val="center"/>
            <w:hideMark/>
          </w:tcPr>
          <w:p w14:paraId="4C8C1CC6"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39 848</w:t>
            </w:r>
          </w:p>
        </w:tc>
        <w:tc>
          <w:tcPr>
            <w:tcW w:w="472" w:type="pct"/>
            <w:tcBorders>
              <w:top w:val="nil"/>
              <w:left w:val="nil"/>
              <w:bottom w:val="nil"/>
              <w:right w:val="nil"/>
            </w:tcBorders>
            <w:shd w:val="clear" w:color="auto" w:fill="auto"/>
            <w:noWrap/>
            <w:vAlign w:val="center"/>
            <w:hideMark/>
          </w:tcPr>
          <w:p w14:paraId="3638C3AD"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38 260</w:t>
            </w:r>
          </w:p>
        </w:tc>
        <w:tc>
          <w:tcPr>
            <w:tcW w:w="530" w:type="pct"/>
            <w:tcBorders>
              <w:top w:val="nil"/>
              <w:left w:val="nil"/>
              <w:bottom w:val="nil"/>
              <w:right w:val="nil"/>
            </w:tcBorders>
            <w:shd w:val="clear" w:color="auto" w:fill="auto"/>
            <w:noWrap/>
            <w:vAlign w:val="center"/>
            <w:hideMark/>
          </w:tcPr>
          <w:p w14:paraId="3AB7A554"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41 724</w:t>
            </w:r>
          </w:p>
        </w:tc>
        <w:tc>
          <w:tcPr>
            <w:tcW w:w="514" w:type="pct"/>
            <w:tcBorders>
              <w:top w:val="nil"/>
              <w:left w:val="nil"/>
              <w:bottom w:val="nil"/>
              <w:right w:val="nil"/>
            </w:tcBorders>
            <w:shd w:val="clear" w:color="auto" w:fill="auto"/>
            <w:noWrap/>
            <w:vAlign w:val="center"/>
            <w:hideMark/>
          </w:tcPr>
          <w:p w14:paraId="324E6D6B"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43 970</w:t>
            </w:r>
          </w:p>
        </w:tc>
        <w:tc>
          <w:tcPr>
            <w:tcW w:w="526" w:type="pct"/>
            <w:tcBorders>
              <w:top w:val="nil"/>
              <w:left w:val="nil"/>
              <w:bottom w:val="nil"/>
              <w:right w:val="nil"/>
            </w:tcBorders>
            <w:shd w:val="clear" w:color="auto" w:fill="auto"/>
            <w:noWrap/>
            <w:vAlign w:val="center"/>
            <w:hideMark/>
          </w:tcPr>
          <w:p w14:paraId="05C87CEA"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46 930</w:t>
            </w:r>
          </w:p>
        </w:tc>
      </w:tr>
      <w:tr w:rsidR="00D94493" w:rsidRPr="00D94493" w14:paraId="629A544D" w14:textId="77777777" w:rsidTr="00D94493">
        <w:trPr>
          <w:trHeight w:val="170"/>
        </w:trPr>
        <w:tc>
          <w:tcPr>
            <w:tcW w:w="1898" w:type="pct"/>
            <w:tcBorders>
              <w:top w:val="nil"/>
              <w:left w:val="nil"/>
              <w:bottom w:val="nil"/>
              <w:right w:val="nil"/>
            </w:tcBorders>
            <w:shd w:val="clear" w:color="auto" w:fill="auto"/>
            <w:noWrap/>
            <w:vAlign w:val="bottom"/>
            <w:hideMark/>
          </w:tcPr>
          <w:p w14:paraId="22C3AB06"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Dovozné clo</w:t>
            </w:r>
          </w:p>
        </w:tc>
        <w:tc>
          <w:tcPr>
            <w:tcW w:w="530" w:type="pct"/>
            <w:tcBorders>
              <w:top w:val="nil"/>
              <w:left w:val="nil"/>
              <w:bottom w:val="nil"/>
              <w:right w:val="nil"/>
            </w:tcBorders>
            <w:shd w:val="clear" w:color="auto" w:fill="auto"/>
            <w:noWrap/>
            <w:vAlign w:val="center"/>
            <w:hideMark/>
          </w:tcPr>
          <w:p w14:paraId="4784D97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10</w:t>
            </w:r>
          </w:p>
        </w:tc>
        <w:tc>
          <w:tcPr>
            <w:tcW w:w="530" w:type="pct"/>
            <w:tcBorders>
              <w:top w:val="nil"/>
              <w:left w:val="nil"/>
              <w:bottom w:val="nil"/>
              <w:right w:val="nil"/>
            </w:tcBorders>
            <w:shd w:val="clear" w:color="auto" w:fill="auto"/>
            <w:noWrap/>
            <w:vAlign w:val="center"/>
            <w:hideMark/>
          </w:tcPr>
          <w:p w14:paraId="4E97DE0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22</w:t>
            </w:r>
          </w:p>
        </w:tc>
        <w:tc>
          <w:tcPr>
            <w:tcW w:w="472" w:type="pct"/>
            <w:tcBorders>
              <w:top w:val="nil"/>
              <w:left w:val="nil"/>
              <w:bottom w:val="nil"/>
              <w:right w:val="nil"/>
            </w:tcBorders>
            <w:shd w:val="clear" w:color="auto" w:fill="auto"/>
            <w:noWrap/>
            <w:vAlign w:val="center"/>
            <w:hideMark/>
          </w:tcPr>
          <w:p w14:paraId="332EBCE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12</w:t>
            </w:r>
          </w:p>
        </w:tc>
        <w:tc>
          <w:tcPr>
            <w:tcW w:w="530" w:type="pct"/>
            <w:tcBorders>
              <w:top w:val="nil"/>
              <w:left w:val="nil"/>
              <w:bottom w:val="nil"/>
              <w:right w:val="nil"/>
            </w:tcBorders>
            <w:shd w:val="clear" w:color="auto" w:fill="auto"/>
            <w:noWrap/>
            <w:vAlign w:val="center"/>
            <w:hideMark/>
          </w:tcPr>
          <w:p w14:paraId="23114FB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14" w:type="pct"/>
            <w:tcBorders>
              <w:top w:val="nil"/>
              <w:left w:val="nil"/>
              <w:bottom w:val="nil"/>
              <w:right w:val="nil"/>
            </w:tcBorders>
            <w:shd w:val="clear" w:color="auto" w:fill="auto"/>
            <w:noWrap/>
            <w:vAlign w:val="center"/>
            <w:hideMark/>
          </w:tcPr>
          <w:p w14:paraId="6A2B237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26" w:type="pct"/>
            <w:tcBorders>
              <w:top w:val="nil"/>
              <w:left w:val="nil"/>
              <w:bottom w:val="nil"/>
              <w:right w:val="nil"/>
            </w:tcBorders>
            <w:shd w:val="clear" w:color="auto" w:fill="auto"/>
            <w:noWrap/>
            <w:vAlign w:val="center"/>
            <w:hideMark/>
          </w:tcPr>
          <w:p w14:paraId="13FCC18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231FEFB9" w14:textId="77777777" w:rsidTr="00D94493">
        <w:trPr>
          <w:trHeight w:val="170"/>
        </w:trPr>
        <w:tc>
          <w:tcPr>
            <w:tcW w:w="1898" w:type="pct"/>
            <w:tcBorders>
              <w:top w:val="nil"/>
              <w:left w:val="nil"/>
              <w:bottom w:val="nil"/>
              <w:right w:val="nil"/>
            </w:tcBorders>
            <w:shd w:val="clear" w:color="auto" w:fill="auto"/>
            <w:noWrap/>
            <w:vAlign w:val="bottom"/>
            <w:hideMark/>
          </w:tcPr>
          <w:p w14:paraId="55A10781"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Dovozná prirážka</w:t>
            </w:r>
          </w:p>
        </w:tc>
        <w:tc>
          <w:tcPr>
            <w:tcW w:w="530" w:type="pct"/>
            <w:tcBorders>
              <w:top w:val="nil"/>
              <w:left w:val="nil"/>
              <w:bottom w:val="nil"/>
              <w:right w:val="nil"/>
            </w:tcBorders>
            <w:shd w:val="clear" w:color="auto" w:fill="auto"/>
            <w:noWrap/>
            <w:vAlign w:val="center"/>
            <w:hideMark/>
          </w:tcPr>
          <w:p w14:paraId="1DA9D18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w:t>
            </w:r>
          </w:p>
        </w:tc>
        <w:tc>
          <w:tcPr>
            <w:tcW w:w="530" w:type="pct"/>
            <w:tcBorders>
              <w:top w:val="nil"/>
              <w:left w:val="nil"/>
              <w:bottom w:val="nil"/>
              <w:right w:val="nil"/>
            </w:tcBorders>
            <w:shd w:val="clear" w:color="auto" w:fill="auto"/>
            <w:noWrap/>
            <w:vAlign w:val="center"/>
            <w:hideMark/>
          </w:tcPr>
          <w:p w14:paraId="16D816F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7</w:t>
            </w:r>
          </w:p>
        </w:tc>
        <w:tc>
          <w:tcPr>
            <w:tcW w:w="472" w:type="pct"/>
            <w:tcBorders>
              <w:top w:val="nil"/>
              <w:left w:val="nil"/>
              <w:bottom w:val="nil"/>
              <w:right w:val="nil"/>
            </w:tcBorders>
            <w:shd w:val="clear" w:color="auto" w:fill="auto"/>
            <w:noWrap/>
            <w:vAlign w:val="center"/>
            <w:hideMark/>
          </w:tcPr>
          <w:p w14:paraId="7AF4C86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30" w:type="pct"/>
            <w:tcBorders>
              <w:top w:val="nil"/>
              <w:left w:val="nil"/>
              <w:bottom w:val="nil"/>
              <w:right w:val="nil"/>
            </w:tcBorders>
            <w:shd w:val="clear" w:color="auto" w:fill="auto"/>
            <w:noWrap/>
            <w:vAlign w:val="center"/>
            <w:hideMark/>
          </w:tcPr>
          <w:p w14:paraId="1BBA1C9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14" w:type="pct"/>
            <w:tcBorders>
              <w:top w:val="nil"/>
              <w:left w:val="nil"/>
              <w:bottom w:val="nil"/>
              <w:right w:val="nil"/>
            </w:tcBorders>
            <w:shd w:val="clear" w:color="auto" w:fill="auto"/>
            <w:noWrap/>
            <w:vAlign w:val="center"/>
            <w:hideMark/>
          </w:tcPr>
          <w:p w14:paraId="4DE7DE2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26" w:type="pct"/>
            <w:tcBorders>
              <w:top w:val="nil"/>
              <w:left w:val="nil"/>
              <w:bottom w:val="nil"/>
              <w:right w:val="nil"/>
            </w:tcBorders>
            <w:shd w:val="clear" w:color="auto" w:fill="auto"/>
            <w:noWrap/>
            <w:vAlign w:val="center"/>
            <w:hideMark/>
          </w:tcPr>
          <w:p w14:paraId="5341ECA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49409720" w14:textId="77777777" w:rsidTr="00D94493">
        <w:trPr>
          <w:trHeight w:val="170"/>
        </w:trPr>
        <w:tc>
          <w:tcPr>
            <w:tcW w:w="1898" w:type="pct"/>
            <w:tcBorders>
              <w:top w:val="nil"/>
              <w:left w:val="nil"/>
              <w:bottom w:val="nil"/>
              <w:right w:val="nil"/>
            </w:tcBorders>
            <w:shd w:val="clear" w:color="auto" w:fill="auto"/>
            <w:noWrap/>
            <w:vAlign w:val="bottom"/>
            <w:hideMark/>
          </w:tcPr>
          <w:p w14:paraId="1B3C6320"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Podiel na vybratých finančných prostriedkoch</w:t>
            </w:r>
          </w:p>
        </w:tc>
        <w:tc>
          <w:tcPr>
            <w:tcW w:w="530" w:type="pct"/>
            <w:tcBorders>
              <w:top w:val="nil"/>
              <w:left w:val="nil"/>
              <w:bottom w:val="nil"/>
              <w:right w:val="nil"/>
            </w:tcBorders>
            <w:shd w:val="clear" w:color="auto" w:fill="auto"/>
            <w:noWrap/>
            <w:vAlign w:val="center"/>
            <w:hideMark/>
          </w:tcPr>
          <w:p w14:paraId="76B3911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28 724</w:t>
            </w:r>
          </w:p>
        </w:tc>
        <w:tc>
          <w:tcPr>
            <w:tcW w:w="530" w:type="pct"/>
            <w:tcBorders>
              <w:top w:val="nil"/>
              <w:left w:val="nil"/>
              <w:bottom w:val="nil"/>
              <w:right w:val="nil"/>
            </w:tcBorders>
            <w:shd w:val="clear" w:color="auto" w:fill="auto"/>
            <w:noWrap/>
            <w:vAlign w:val="center"/>
            <w:hideMark/>
          </w:tcPr>
          <w:p w14:paraId="61D1668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39 819</w:t>
            </w:r>
          </w:p>
        </w:tc>
        <w:tc>
          <w:tcPr>
            <w:tcW w:w="472" w:type="pct"/>
            <w:tcBorders>
              <w:top w:val="nil"/>
              <w:left w:val="nil"/>
              <w:bottom w:val="nil"/>
              <w:right w:val="nil"/>
            </w:tcBorders>
            <w:shd w:val="clear" w:color="auto" w:fill="auto"/>
            <w:noWrap/>
            <w:vAlign w:val="center"/>
            <w:hideMark/>
          </w:tcPr>
          <w:p w14:paraId="3958621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38 248</w:t>
            </w:r>
          </w:p>
        </w:tc>
        <w:tc>
          <w:tcPr>
            <w:tcW w:w="530" w:type="pct"/>
            <w:tcBorders>
              <w:top w:val="nil"/>
              <w:left w:val="nil"/>
              <w:bottom w:val="nil"/>
              <w:right w:val="nil"/>
            </w:tcBorders>
            <w:shd w:val="clear" w:color="auto" w:fill="auto"/>
            <w:noWrap/>
            <w:vAlign w:val="center"/>
            <w:hideMark/>
          </w:tcPr>
          <w:p w14:paraId="0EB762D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41 724</w:t>
            </w:r>
          </w:p>
        </w:tc>
        <w:tc>
          <w:tcPr>
            <w:tcW w:w="514" w:type="pct"/>
            <w:tcBorders>
              <w:top w:val="nil"/>
              <w:left w:val="nil"/>
              <w:bottom w:val="nil"/>
              <w:right w:val="nil"/>
            </w:tcBorders>
            <w:shd w:val="clear" w:color="auto" w:fill="auto"/>
            <w:noWrap/>
            <w:vAlign w:val="center"/>
            <w:hideMark/>
          </w:tcPr>
          <w:p w14:paraId="2C57E08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43 970</w:t>
            </w:r>
          </w:p>
        </w:tc>
        <w:tc>
          <w:tcPr>
            <w:tcW w:w="526" w:type="pct"/>
            <w:tcBorders>
              <w:top w:val="nil"/>
              <w:left w:val="nil"/>
              <w:bottom w:val="nil"/>
              <w:right w:val="nil"/>
            </w:tcBorders>
            <w:shd w:val="clear" w:color="auto" w:fill="auto"/>
            <w:noWrap/>
            <w:vAlign w:val="center"/>
            <w:hideMark/>
          </w:tcPr>
          <w:p w14:paraId="424E19C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46 930</w:t>
            </w:r>
          </w:p>
        </w:tc>
      </w:tr>
      <w:tr w:rsidR="00D94493" w:rsidRPr="00D94493" w14:paraId="35DA6D30" w14:textId="77777777" w:rsidTr="00D94493">
        <w:trPr>
          <w:trHeight w:val="170"/>
        </w:trPr>
        <w:tc>
          <w:tcPr>
            <w:tcW w:w="1898" w:type="pct"/>
            <w:tcBorders>
              <w:top w:val="nil"/>
              <w:left w:val="nil"/>
              <w:bottom w:val="nil"/>
              <w:right w:val="nil"/>
            </w:tcBorders>
            <w:shd w:val="clear" w:color="auto" w:fill="auto"/>
            <w:noWrap/>
            <w:vAlign w:val="bottom"/>
            <w:hideMark/>
          </w:tcPr>
          <w:p w14:paraId="4DF295AB"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Ostatné colné príjmy</w:t>
            </w:r>
          </w:p>
        </w:tc>
        <w:tc>
          <w:tcPr>
            <w:tcW w:w="530" w:type="pct"/>
            <w:tcBorders>
              <w:top w:val="nil"/>
              <w:left w:val="nil"/>
              <w:bottom w:val="nil"/>
              <w:right w:val="nil"/>
            </w:tcBorders>
            <w:shd w:val="clear" w:color="auto" w:fill="auto"/>
            <w:noWrap/>
            <w:vAlign w:val="center"/>
            <w:hideMark/>
          </w:tcPr>
          <w:p w14:paraId="6E64A24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30" w:type="pct"/>
            <w:tcBorders>
              <w:top w:val="nil"/>
              <w:left w:val="nil"/>
              <w:bottom w:val="nil"/>
              <w:right w:val="nil"/>
            </w:tcBorders>
            <w:shd w:val="clear" w:color="auto" w:fill="auto"/>
            <w:noWrap/>
            <w:vAlign w:val="center"/>
            <w:hideMark/>
          </w:tcPr>
          <w:p w14:paraId="25B3545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472" w:type="pct"/>
            <w:tcBorders>
              <w:top w:val="nil"/>
              <w:left w:val="nil"/>
              <w:bottom w:val="nil"/>
              <w:right w:val="nil"/>
            </w:tcBorders>
            <w:shd w:val="clear" w:color="auto" w:fill="auto"/>
            <w:noWrap/>
            <w:vAlign w:val="center"/>
            <w:hideMark/>
          </w:tcPr>
          <w:p w14:paraId="6BB85F4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30" w:type="pct"/>
            <w:tcBorders>
              <w:top w:val="nil"/>
              <w:left w:val="nil"/>
              <w:bottom w:val="nil"/>
              <w:right w:val="nil"/>
            </w:tcBorders>
            <w:shd w:val="clear" w:color="auto" w:fill="auto"/>
            <w:noWrap/>
            <w:vAlign w:val="center"/>
            <w:hideMark/>
          </w:tcPr>
          <w:p w14:paraId="1B2D264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14" w:type="pct"/>
            <w:tcBorders>
              <w:top w:val="nil"/>
              <w:left w:val="nil"/>
              <w:bottom w:val="nil"/>
              <w:right w:val="nil"/>
            </w:tcBorders>
            <w:shd w:val="clear" w:color="auto" w:fill="auto"/>
            <w:noWrap/>
            <w:vAlign w:val="center"/>
            <w:hideMark/>
          </w:tcPr>
          <w:p w14:paraId="2E223DD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26" w:type="pct"/>
            <w:tcBorders>
              <w:top w:val="nil"/>
              <w:left w:val="nil"/>
              <w:bottom w:val="nil"/>
              <w:right w:val="nil"/>
            </w:tcBorders>
            <w:shd w:val="clear" w:color="auto" w:fill="auto"/>
            <w:noWrap/>
            <w:vAlign w:val="center"/>
            <w:hideMark/>
          </w:tcPr>
          <w:p w14:paraId="72AB6F5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191D33F8" w14:textId="77777777" w:rsidTr="00D94493">
        <w:trPr>
          <w:trHeight w:val="170"/>
        </w:trPr>
        <w:tc>
          <w:tcPr>
            <w:tcW w:w="1898" w:type="pct"/>
            <w:tcBorders>
              <w:top w:val="nil"/>
              <w:left w:val="nil"/>
              <w:bottom w:val="nil"/>
              <w:right w:val="nil"/>
            </w:tcBorders>
            <w:shd w:val="clear" w:color="auto" w:fill="auto"/>
            <w:noWrap/>
            <w:vAlign w:val="bottom"/>
            <w:hideMark/>
          </w:tcPr>
          <w:p w14:paraId="179BA088" w14:textId="77777777" w:rsidR="00D94493" w:rsidRPr="00D94493" w:rsidRDefault="00D94493" w:rsidP="00D94493">
            <w:pPr>
              <w:spacing w:after="0" w:line="240" w:lineRule="auto"/>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Miestne dane</w:t>
            </w:r>
          </w:p>
        </w:tc>
        <w:tc>
          <w:tcPr>
            <w:tcW w:w="530" w:type="pct"/>
            <w:tcBorders>
              <w:top w:val="nil"/>
              <w:left w:val="nil"/>
              <w:bottom w:val="nil"/>
              <w:right w:val="nil"/>
            </w:tcBorders>
            <w:shd w:val="clear" w:color="auto" w:fill="auto"/>
            <w:noWrap/>
            <w:vAlign w:val="center"/>
            <w:hideMark/>
          </w:tcPr>
          <w:p w14:paraId="486A4FEE"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701 418</w:t>
            </w:r>
          </w:p>
        </w:tc>
        <w:tc>
          <w:tcPr>
            <w:tcW w:w="530" w:type="pct"/>
            <w:tcBorders>
              <w:top w:val="nil"/>
              <w:left w:val="nil"/>
              <w:bottom w:val="nil"/>
              <w:right w:val="nil"/>
            </w:tcBorders>
            <w:shd w:val="clear" w:color="auto" w:fill="auto"/>
            <w:noWrap/>
            <w:vAlign w:val="center"/>
            <w:hideMark/>
          </w:tcPr>
          <w:p w14:paraId="31894517"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714 846</w:t>
            </w:r>
          </w:p>
        </w:tc>
        <w:tc>
          <w:tcPr>
            <w:tcW w:w="472" w:type="pct"/>
            <w:tcBorders>
              <w:top w:val="nil"/>
              <w:left w:val="nil"/>
              <w:bottom w:val="nil"/>
              <w:right w:val="nil"/>
            </w:tcBorders>
            <w:shd w:val="clear" w:color="auto" w:fill="auto"/>
            <w:noWrap/>
            <w:vAlign w:val="center"/>
            <w:hideMark/>
          </w:tcPr>
          <w:p w14:paraId="7A2C3ED8"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790 498</w:t>
            </w:r>
          </w:p>
        </w:tc>
        <w:tc>
          <w:tcPr>
            <w:tcW w:w="530" w:type="pct"/>
            <w:tcBorders>
              <w:top w:val="nil"/>
              <w:left w:val="nil"/>
              <w:bottom w:val="nil"/>
              <w:right w:val="nil"/>
            </w:tcBorders>
            <w:shd w:val="clear" w:color="auto" w:fill="auto"/>
            <w:noWrap/>
            <w:vAlign w:val="center"/>
            <w:hideMark/>
          </w:tcPr>
          <w:p w14:paraId="0E73ED37"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818 002</w:t>
            </w:r>
          </w:p>
        </w:tc>
        <w:tc>
          <w:tcPr>
            <w:tcW w:w="514" w:type="pct"/>
            <w:tcBorders>
              <w:top w:val="nil"/>
              <w:left w:val="nil"/>
              <w:bottom w:val="nil"/>
              <w:right w:val="nil"/>
            </w:tcBorders>
            <w:shd w:val="clear" w:color="auto" w:fill="auto"/>
            <w:noWrap/>
            <w:vAlign w:val="center"/>
            <w:hideMark/>
          </w:tcPr>
          <w:p w14:paraId="10601D7E"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839 071</w:t>
            </w:r>
          </w:p>
        </w:tc>
        <w:tc>
          <w:tcPr>
            <w:tcW w:w="526" w:type="pct"/>
            <w:tcBorders>
              <w:top w:val="nil"/>
              <w:left w:val="nil"/>
              <w:bottom w:val="nil"/>
              <w:right w:val="nil"/>
            </w:tcBorders>
            <w:shd w:val="clear" w:color="auto" w:fill="auto"/>
            <w:noWrap/>
            <w:vAlign w:val="center"/>
            <w:hideMark/>
          </w:tcPr>
          <w:p w14:paraId="52581B54"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866 721</w:t>
            </w:r>
          </w:p>
        </w:tc>
      </w:tr>
      <w:tr w:rsidR="00D94493" w:rsidRPr="00D94493" w14:paraId="7B5EF362" w14:textId="77777777" w:rsidTr="00D94493">
        <w:trPr>
          <w:trHeight w:val="170"/>
        </w:trPr>
        <w:tc>
          <w:tcPr>
            <w:tcW w:w="1898" w:type="pct"/>
            <w:tcBorders>
              <w:top w:val="nil"/>
              <w:left w:val="nil"/>
              <w:bottom w:val="nil"/>
              <w:right w:val="nil"/>
            </w:tcBorders>
            <w:shd w:val="clear" w:color="auto" w:fill="auto"/>
            <w:noWrap/>
            <w:vAlign w:val="bottom"/>
            <w:hideMark/>
          </w:tcPr>
          <w:p w14:paraId="105F6B64"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 z nehnuteľností</w:t>
            </w:r>
          </w:p>
        </w:tc>
        <w:tc>
          <w:tcPr>
            <w:tcW w:w="530" w:type="pct"/>
            <w:tcBorders>
              <w:top w:val="nil"/>
              <w:left w:val="nil"/>
              <w:bottom w:val="nil"/>
              <w:right w:val="nil"/>
            </w:tcBorders>
            <w:shd w:val="clear" w:color="auto" w:fill="auto"/>
            <w:noWrap/>
            <w:vAlign w:val="center"/>
            <w:hideMark/>
          </w:tcPr>
          <w:p w14:paraId="37A79AF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455 911</w:t>
            </w:r>
          </w:p>
        </w:tc>
        <w:tc>
          <w:tcPr>
            <w:tcW w:w="530" w:type="pct"/>
            <w:tcBorders>
              <w:top w:val="nil"/>
              <w:left w:val="nil"/>
              <w:bottom w:val="nil"/>
              <w:right w:val="nil"/>
            </w:tcBorders>
            <w:shd w:val="clear" w:color="auto" w:fill="auto"/>
            <w:noWrap/>
            <w:vAlign w:val="center"/>
            <w:hideMark/>
          </w:tcPr>
          <w:p w14:paraId="33EFF18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456 736</w:t>
            </w:r>
          </w:p>
        </w:tc>
        <w:tc>
          <w:tcPr>
            <w:tcW w:w="472" w:type="pct"/>
            <w:tcBorders>
              <w:top w:val="nil"/>
              <w:left w:val="nil"/>
              <w:bottom w:val="nil"/>
              <w:right w:val="nil"/>
            </w:tcBorders>
            <w:shd w:val="clear" w:color="auto" w:fill="auto"/>
            <w:noWrap/>
            <w:vAlign w:val="center"/>
            <w:hideMark/>
          </w:tcPr>
          <w:p w14:paraId="1712C4E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495 461</w:t>
            </w:r>
          </w:p>
        </w:tc>
        <w:tc>
          <w:tcPr>
            <w:tcW w:w="530" w:type="pct"/>
            <w:tcBorders>
              <w:top w:val="nil"/>
              <w:left w:val="nil"/>
              <w:bottom w:val="nil"/>
              <w:right w:val="nil"/>
            </w:tcBorders>
            <w:shd w:val="clear" w:color="auto" w:fill="auto"/>
            <w:noWrap/>
            <w:vAlign w:val="center"/>
            <w:hideMark/>
          </w:tcPr>
          <w:p w14:paraId="4618B67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512 041</w:t>
            </w:r>
          </w:p>
        </w:tc>
        <w:tc>
          <w:tcPr>
            <w:tcW w:w="514" w:type="pct"/>
            <w:tcBorders>
              <w:top w:val="nil"/>
              <w:left w:val="nil"/>
              <w:bottom w:val="nil"/>
              <w:right w:val="nil"/>
            </w:tcBorders>
            <w:shd w:val="clear" w:color="auto" w:fill="auto"/>
            <w:noWrap/>
            <w:vAlign w:val="center"/>
            <w:hideMark/>
          </w:tcPr>
          <w:p w14:paraId="3D1D10A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521 320</w:t>
            </w:r>
          </w:p>
        </w:tc>
        <w:tc>
          <w:tcPr>
            <w:tcW w:w="526" w:type="pct"/>
            <w:tcBorders>
              <w:top w:val="nil"/>
              <w:left w:val="nil"/>
              <w:bottom w:val="nil"/>
              <w:right w:val="nil"/>
            </w:tcBorders>
            <w:shd w:val="clear" w:color="auto" w:fill="auto"/>
            <w:noWrap/>
            <w:vAlign w:val="center"/>
            <w:hideMark/>
          </w:tcPr>
          <w:p w14:paraId="1F14C89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538 538</w:t>
            </w:r>
          </w:p>
        </w:tc>
      </w:tr>
      <w:tr w:rsidR="00D94493" w:rsidRPr="00D94493" w14:paraId="79E09911" w14:textId="77777777" w:rsidTr="00D94493">
        <w:trPr>
          <w:trHeight w:val="170"/>
        </w:trPr>
        <w:tc>
          <w:tcPr>
            <w:tcW w:w="1898" w:type="pct"/>
            <w:tcBorders>
              <w:top w:val="nil"/>
              <w:left w:val="nil"/>
              <w:bottom w:val="nil"/>
              <w:right w:val="nil"/>
            </w:tcBorders>
            <w:shd w:val="clear" w:color="auto" w:fill="auto"/>
            <w:noWrap/>
            <w:vAlign w:val="bottom"/>
            <w:hideMark/>
          </w:tcPr>
          <w:p w14:paraId="04ABE3DA"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Dane za špecifické služby</w:t>
            </w:r>
          </w:p>
        </w:tc>
        <w:tc>
          <w:tcPr>
            <w:tcW w:w="530" w:type="pct"/>
            <w:tcBorders>
              <w:top w:val="nil"/>
              <w:left w:val="nil"/>
              <w:bottom w:val="nil"/>
              <w:right w:val="nil"/>
            </w:tcBorders>
            <w:shd w:val="clear" w:color="auto" w:fill="auto"/>
            <w:noWrap/>
            <w:vAlign w:val="center"/>
            <w:hideMark/>
          </w:tcPr>
          <w:p w14:paraId="5150CF6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245 507</w:t>
            </w:r>
          </w:p>
        </w:tc>
        <w:tc>
          <w:tcPr>
            <w:tcW w:w="530" w:type="pct"/>
            <w:tcBorders>
              <w:top w:val="nil"/>
              <w:left w:val="nil"/>
              <w:bottom w:val="nil"/>
              <w:right w:val="nil"/>
            </w:tcBorders>
            <w:shd w:val="clear" w:color="auto" w:fill="auto"/>
            <w:noWrap/>
            <w:vAlign w:val="center"/>
            <w:hideMark/>
          </w:tcPr>
          <w:p w14:paraId="2430840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258 110</w:t>
            </w:r>
          </w:p>
        </w:tc>
        <w:tc>
          <w:tcPr>
            <w:tcW w:w="472" w:type="pct"/>
            <w:tcBorders>
              <w:top w:val="nil"/>
              <w:left w:val="nil"/>
              <w:bottom w:val="nil"/>
              <w:right w:val="nil"/>
            </w:tcBorders>
            <w:shd w:val="clear" w:color="auto" w:fill="auto"/>
            <w:noWrap/>
            <w:vAlign w:val="center"/>
            <w:hideMark/>
          </w:tcPr>
          <w:p w14:paraId="74458E1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295 037</w:t>
            </w:r>
          </w:p>
        </w:tc>
        <w:tc>
          <w:tcPr>
            <w:tcW w:w="530" w:type="pct"/>
            <w:tcBorders>
              <w:top w:val="nil"/>
              <w:left w:val="nil"/>
              <w:bottom w:val="nil"/>
              <w:right w:val="nil"/>
            </w:tcBorders>
            <w:shd w:val="clear" w:color="auto" w:fill="auto"/>
            <w:noWrap/>
            <w:vAlign w:val="center"/>
            <w:hideMark/>
          </w:tcPr>
          <w:p w14:paraId="2B6976E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305 961</w:t>
            </w:r>
          </w:p>
        </w:tc>
        <w:tc>
          <w:tcPr>
            <w:tcW w:w="514" w:type="pct"/>
            <w:tcBorders>
              <w:top w:val="nil"/>
              <w:left w:val="nil"/>
              <w:bottom w:val="nil"/>
              <w:right w:val="nil"/>
            </w:tcBorders>
            <w:shd w:val="clear" w:color="auto" w:fill="auto"/>
            <w:noWrap/>
            <w:vAlign w:val="center"/>
            <w:hideMark/>
          </w:tcPr>
          <w:p w14:paraId="0804492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317 751</w:t>
            </w:r>
          </w:p>
        </w:tc>
        <w:tc>
          <w:tcPr>
            <w:tcW w:w="526" w:type="pct"/>
            <w:tcBorders>
              <w:top w:val="nil"/>
              <w:left w:val="nil"/>
              <w:bottom w:val="nil"/>
              <w:right w:val="nil"/>
            </w:tcBorders>
            <w:shd w:val="clear" w:color="auto" w:fill="auto"/>
            <w:noWrap/>
            <w:vAlign w:val="center"/>
            <w:hideMark/>
          </w:tcPr>
          <w:p w14:paraId="2776211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328 183</w:t>
            </w:r>
          </w:p>
        </w:tc>
      </w:tr>
      <w:tr w:rsidR="00D94493" w:rsidRPr="00D94493" w14:paraId="4511E15B" w14:textId="77777777" w:rsidTr="00D94493">
        <w:trPr>
          <w:trHeight w:val="170"/>
        </w:trPr>
        <w:tc>
          <w:tcPr>
            <w:tcW w:w="1898" w:type="pct"/>
            <w:tcBorders>
              <w:top w:val="nil"/>
              <w:left w:val="nil"/>
              <w:bottom w:val="nil"/>
              <w:right w:val="nil"/>
            </w:tcBorders>
            <w:shd w:val="clear" w:color="auto" w:fill="auto"/>
            <w:noWrap/>
            <w:vAlign w:val="bottom"/>
            <w:hideMark/>
          </w:tcPr>
          <w:p w14:paraId="385D0AFA" w14:textId="77777777" w:rsidR="00D94493" w:rsidRPr="00D94493" w:rsidRDefault="00D94493" w:rsidP="00D94493">
            <w:pPr>
              <w:spacing w:after="0" w:line="240" w:lineRule="auto"/>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Ostatné dane</w:t>
            </w:r>
          </w:p>
        </w:tc>
        <w:tc>
          <w:tcPr>
            <w:tcW w:w="530" w:type="pct"/>
            <w:tcBorders>
              <w:top w:val="nil"/>
              <w:left w:val="nil"/>
              <w:bottom w:val="nil"/>
              <w:right w:val="nil"/>
            </w:tcBorders>
            <w:shd w:val="clear" w:color="auto" w:fill="auto"/>
            <w:noWrap/>
            <w:vAlign w:val="center"/>
          </w:tcPr>
          <w:p w14:paraId="647ADE94"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453 223</w:t>
            </w:r>
          </w:p>
        </w:tc>
        <w:tc>
          <w:tcPr>
            <w:tcW w:w="530" w:type="pct"/>
            <w:tcBorders>
              <w:top w:val="nil"/>
              <w:left w:val="nil"/>
              <w:bottom w:val="nil"/>
              <w:right w:val="nil"/>
            </w:tcBorders>
            <w:shd w:val="clear" w:color="auto" w:fill="auto"/>
            <w:noWrap/>
            <w:vAlign w:val="center"/>
          </w:tcPr>
          <w:p w14:paraId="58B9B1B9"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979 155</w:t>
            </w:r>
          </w:p>
        </w:tc>
        <w:tc>
          <w:tcPr>
            <w:tcW w:w="472" w:type="pct"/>
            <w:tcBorders>
              <w:top w:val="nil"/>
              <w:left w:val="nil"/>
              <w:bottom w:val="nil"/>
              <w:right w:val="nil"/>
            </w:tcBorders>
            <w:shd w:val="clear" w:color="auto" w:fill="auto"/>
            <w:noWrap/>
            <w:vAlign w:val="center"/>
          </w:tcPr>
          <w:p w14:paraId="66E3FDDE" w14:textId="77777777" w:rsidR="00D94493" w:rsidRPr="00D94493" w:rsidRDefault="00D94493" w:rsidP="00D94493">
            <w:pPr>
              <w:spacing w:after="0" w:line="240" w:lineRule="auto"/>
              <w:jc w:val="right"/>
              <w:rPr>
                <w:rFonts w:ascii="Times New Roman" w:eastAsia="Calibri" w:hAnsi="Times New Roman" w:cs="Times New Roman"/>
                <w:b/>
                <w:bCs/>
                <w:sz w:val="14"/>
                <w:szCs w:val="14"/>
              </w:rPr>
            </w:pPr>
            <w:r w:rsidRPr="00D94493">
              <w:rPr>
                <w:rFonts w:ascii="Times New Roman" w:eastAsia="Calibri" w:hAnsi="Times New Roman" w:cs="Times New Roman"/>
                <w:b/>
                <w:bCs/>
                <w:sz w:val="14"/>
                <w:szCs w:val="14"/>
              </w:rPr>
              <w:t>823 433</w:t>
            </w:r>
          </w:p>
        </w:tc>
        <w:tc>
          <w:tcPr>
            <w:tcW w:w="530" w:type="pct"/>
            <w:tcBorders>
              <w:top w:val="nil"/>
              <w:left w:val="nil"/>
              <w:bottom w:val="nil"/>
              <w:right w:val="nil"/>
            </w:tcBorders>
            <w:shd w:val="clear" w:color="auto" w:fill="auto"/>
            <w:noWrap/>
            <w:vAlign w:val="center"/>
          </w:tcPr>
          <w:p w14:paraId="538F0A8F"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1 059 453</w:t>
            </w:r>
          </w:p>
        </w:tc>
        <w:tc>
          <w:tcPr>
            <w:tcW w:w="514" w:type="pct"/>
            <w:tcBorders>
              <w:top w:val="nil"/>
              <w:left w:val="nil"/>
              <w:bottom w:val="nil"/>
              <w:right w:val="nil"/>
            </w:tcBorders>
            <w:shd w:val="clear" w:color="auto" w:fill="auto"/>
            <w:noWrap/>
            <w:vAlign w:val="center"/>
          </w:tcPr>
          <w:p w14:paraId="3194F2C8"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762 931</w:t>
            </w:r>
          </w:p>
        </w:tc>
        <w:tc>
          <w:tcPr>
            <w:tcW w:w="526" w:type="pct"/>
            <w:tcBorders>
              <w:top w:val="nil"/>
              <w:left w:val="nil"/>
              <w:bottom w:val="nil"/>
              <w:right w:val="nil"/>
            </w:tcBorders>
            <w:shd w:val="clear" w:color="auto" w:fill="auto"/>
            <w:noWrap/>
            <w:vAlign w:val="center"/>
          </w:tcPr>
          <w:p w14:paraId="3A32AC89"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722 536</w:t>
            </w:r>
          </w:p>
        </w:tc>
      </w:tr>
      <w:tr w:rsidR="00D94493" w:rsidRPr="00D94493" w14:paraId="22A3A56D" w14:textId="77777777" w:rsidTr="00D94493">
        <w:trPr>
          <w:trHeight w:val="170"/>
        </w:trPr>
        <w:tc>
          <w:tcPr>
            <w:tcW w:w="1898" w:type="pct"/>
            <w:tcBorders>
              <w:top w:val="nil"/>
              <w:left w:val="nil"/>
              <w:bottom w:val="nil"/>
              <w:right w:val="nil"/>
            </w:tcBorders>
            <w:shd w:val="clear" w:color="auto" w:fill="auto"/>
            <w:noWrap/>
            <w:vAlign w:val="bottom"/>
            <w:hideMark/>
          </w:tcPr>
          <w:p w14:paraId="59FF34E0"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 z emisných kvót</w:t>
            </w:r>
          </w:p>
        </w:tc>
        <w:tc>
          <w:tcPr>
            <w:tcW w:w="530" w:type="pct"/>
            <w:tcBorders>
              <w:top w:val="nil"/>
              <w:left w:val="nil"/>
              <w:bottom w:val="nil"/>
              <w:right w:val="nil"/>
            </w:tcBorders>
            <w:shd w:val="clear" w:color="auto" w:fill="auto"/>
            <w:noWrap/>
            <w:vAlign w:val="center"/>
            <w:hideMark/>
          </w:tcPr>
          <w:p w14:paraId="2E9C66E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30" w:type="pct"/>
            <w:tcBorders>
              <w:top w:val="nil"/>
              <w:left w:val="nil"/>
              <w:bottom w:val="nil"/>
              <w:right w:val="nil"/>
            </w:tcBorders>
            <w:shd w:val="clear" w:color="auto" w:fill="auto"/>
            <w:noWrap/>
            <w:vAlign w:val="center"/>
            <w:hideMark/>
          </w:tcPr>
          <w:p w14:paraId="412419C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472" w:type="pct"/>
            <w:tcBorders>
              <w:top w:val="nil"/>
              <w:left w:val="nil"/>
              <w:bottom w:val="nil"/>
              <w:right w:val="nil"/>
            </w:tcBorders>
            <w:shd w:val="clear" w:color="auto" w:fill="auto"/>
            <w:noWrap/>
            <w:vAlign w:val="center"/>
            <w:hideMark/>
          </w:tcPr>
          <w:p w14:paraId="20FE0F8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30" w:type="pct"/>
            <w:tcBorders>
              <w:top w:val="nil"/>
              <w:left w:val="nil"/>
              <w:bottom w:val="nil"/>
              <w:right w:val="nil"/>
            </w:tcBorders>
            <w:shd w:val="clear" w:color="auto" w:fill="auto"/>
            <w:noWrap/>
            <w:vAlign w:val="center"/>
            <w:hideMark/>
          </w:tcPr>
          <w:p w14:paraId="4DA5BFB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14" w:type="pct"/>
            <w:tcBorders>
              <w:top w:val="nil"/>
              <w:left w:val="nil"/>
              <w:bottom w:val="nil"/>
              <w:right w:val="nil"/>
            </w:tcBorders>
            <w:shd w:val="clear" w:color="auto" w:fill="auto"/>
            <w:noWrap/>
            <w:vAlign w:val="center"/>
            <w:hideMark/>
          </w:tcPr>
          <w:p w14:paraId="6AB9F43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26" w:type="pct"/>
            <w:tcBorders>
              <w:top w:val="nil"/>
              <w:left w:val="nil"/>
              <w:bottom w:val="nil"/>
              <w:right w:val="nil"/>
            </w:tcBorders>
            <w:shd w:val="clear" w:color="auto" w:fill="auto"/>
            <w:noWrap/>
            <w:vAlign w:val="center"/>
            <w:hideMark/>
          </w:tcPr>
          <w:p w14:paraId="7ADA455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31CFA9CC" w14:textId="77777777" w:rsidTr="00D94493">
        <w:trPr>
          <w:trHeight w:val="170"/>
        </w:trPr>
        <w:tc>
          <w:tcPr>
            <w:tcW w:w="1898" w:type="pct"/>
            <w:tcBorders>
              <w:top w:val="nil"/>
              <w:left w:val="nil"/>
              <w:bottom w:val="nil"/>
              <w:right w:val="nil"/>
            </w:tcBorders>
            <w:shd w:val="clear" w:color="auto" w:fill="auto"/>
            <w:noWrap/>
            <w:vAlign w:val="bottom"/>
            <w:hideMark/>
          </w:tcPr>
          <w:p w14:paraId="7B0E19B1"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 z motorových vozidiel</w:t>
            </w:r>
          </w:p>
        </w:tc>
        <w:tc>
          <w:tcPr>
            <w:tcW w:w="530" w:type="pct"/>
            <w:tcBorders>
              <w:top w:val="nil"/>
              <w:left w:val="nil"/>
              <w:bottom w:val="nil"/>
              <w:right w:val="nil"/>
            </w:tcBorders>
            <w:shd w:val="clear" w:color="auto" w:fill="auto"/>
            <w:noWrap/>
            <w:vAlign w:val="center"/>
            <w:hideMark/>
          </w:tcPr>
          <w:p w14:paraId="66FC85F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129 528</w:t>
            </w:r>
          </w:p>
        </w:tc>
        <w:tc>
          <w:tcPr>
            <w:tcW w:w="530" w:type="pct"/>
            <w:tcBorders>
              <w:top w:val="nil"/>
              <w:left w:val="nil"/>
              <w:bottom w:val="nil"/>
              <w:right w:val="nil"/>
            </w:tcBorders>
            <w:shd w:val="clear" w:color="auto" w:fill="auto"/>
            <w:noWrap/>
            <w:vAlign w:val="center"/>
            <w:hideMark/>
          </w:tcPr>
          <w:p w14:paraId="00AD7AA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133 683</w:t>
            </w:r>
          </w:p>
        </w:tc>
        <w:tc>
          <w:tcPr>
            <w:tcW w:w="472" w:type="pct"/>
            <w:tcBorders>
              <w:top w:val="nil"/>
              <w:left w:val="nil"/>
              <w:bottom w:val="nil"/>
              <w:right w:val="nil"/>
            </w:tcBorders>
            <w:shd w:val="clear" w:color="auto" w:fill="auto"/>
            <w:noWrap/>
            <w:vAlign w:val="center"/>
            <w:hideMark/>
          </w:tcPr>
          <w:p w14:paraId="1A472B8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136 853</w:t>
            </w:r>
          </w:p>
        </w:tc>
        <w:tc>
          <w:tcPr>
            <w:tcW w:w="530" w:type="pct"/>
            <w:tcBorders>
              <w:top w:val="nil"/>
              <w:left w:val="nil"/>
              <w:bottom w:val="nil"/>
              <w:right w:val="nil"/>
            </w:tcBorders>
            <w:shd w:val="clear" w:color="auto" w:fill="auto"/>
            <w:noWrap/>
            <w:vAlign w:val="center"/>
            <w:hideMark/>
          </w:tcPr>
          <w:p w14:paraId="375E22E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139 916</w:t>
            </w:r>
          </w:p>
        </w:tc>
        <w:tc>
          <w:tcPr>
            <w:tcW w:w="514" w:type="pct"/>
            <w:tcBorders>
              <w:top w:val="nil"/>
              <w:left w:val="nil"/>
              <w:bottom w:val="nil"/>
              <w:right w:val="nil"/>
            </w:tcBorders>
            <w:shd w:val="clear" w:color="auto" w:fill="auto"/>
            <w:noWrap/>
            <w:vAlign w:val="center"/>
            <w:hideMark/>
          </w:tcPr>
          <w:p w14:paraId="316EC29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144 014</w:t>
            </w:r>
          </w:p>
        </w:tc>
        <w:tc>
          <w:tcPr>
            <w:tcW w:w="526" w:type="pct"/>
            <w:tcBorders>
              <w:top w:val="nil"/>
              <w:left w:val="nil"/>
              <w:bottom w:val="nil"/>
              <w:right w:val="nil"/>
            </w:tcBorders>
            <w:shd w:val="clear" w:color="auto" w:fill="auto"/>
            <w:noWrap/>
            <w:vAlign w:val="center"/>
            <w:hideMark/>
          </w:tcPr>
          <w:p w14:paraId="012CE16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147 101</w:t>
            </w:r>
          </w:p>
        </w:tc>
      </w:tr>
      <w:tr w:rsidR="00D94493" w:rsidRPr="00D94493" w14:paraId="529134AD" w14:textId="77777777" w:rsidTr="00D94493">
        <w:trPr>
          <w:trHeight w:val="170"/>
        </w:trPr>
        <w:tc>
          <w:tcPr>
            <w:tcW w:w="1898" w:type="pct"/>
            <w:tcBorders>
              <w:top w:val="nil"/>
              <w:left w:val="nil"/>
              <w:bottom w:val="nil"/>
              <w:right w:val="nil"/>
            </w:tcBorders>
            <w:shd w:val="clear" w:color="auto" w:fill="auto"/>
            <w:noWrap/>
            <w:vAlign w:val="bottom"/>
            <w:hideMark/>
          </w:tcPr>
          <w:p w14:paraId="06B1C33E"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Osobitný odvod vybraných finančných inštitúcií</w:t>
            </w:r>
          </w:p>
        </w:tc>
        <w:tc>
          <w:tcPr>
            <w:tcW w:w="530" w:type="pct"/>
            <w:tcBorders>
              <w:top w:val="nil"/>
              <w:left w:val="nil"/>
              <w:bottom w:val="nil"/>
              <w:right w:val="nil"/>
            </w:tcBorders>
            <w:shd w:val="clear" w:color="auto" w:fill="auto"/>
            <w:noWrap/>
            <w:vAlign w:val="center"/>
            <w:hideMark/>
          </w:tcPr>
          <w:p w14:paraId="6C9BCF1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30" w:type="pct"/>
            <w:tcBorders>
              <w:top w:val="nil"/>
              <w:left w:val="nil"/>
              <w:bottom w:val="nil"/>
              <w:right w:val="nil"/>
            </w:tcBorders>
            <w:shd w:val="clear" w:color="auto" w:fill="auto"/>
            <w:noWrap/>
            <w:vAlign w:val="center"/>
            <w:hideMark/>
          </w:tcPr>
          <w:p w14:paraId="30658CD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472" w:type="pct"/>
            <w:tcBorders>
              <w:top w:val="nil"/>
              <w:left w:val="nil"/>
              <w:bottom w:val="nil"/>
              <w:right w:val="nil"/>
            </w:tcBorders>
            <w:shd w:val="clear" w:color="auto" w:fill="auto"/>
            <w:noWrap/>
            <w:vAlign w:val="center"/>
            <w:hideMark/>
          </w:tcPr>
          <w:p w14:paraId="42D8517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30" w:type="pct"/>
            <w:tcBorders>
              <w:top w:val="nil"/>
              <w:left w:val="nil"/>
              <w:bottom w:val="nil"/>
              <w:right w:val="nil"/>
            </w:tcBorders>
            <w:shd w:val="clear" w:color="auto" w:fill="auto"/>
            <w:noWrap/>
            <w:vAlign w:val="center"/>
            <w:hideMark/>
          </w:tcPr>
          <w:p w14:paraId="7FBB3C9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14" w:type="pct"/>
            <w:tcBorders>
              <w:top w:val="nil"/>
              <w:left w:val="nil"/>
              <w:bottom w:val="nil"/>
              <w:right w:val="nil"/>
            </w:tcBorders>
            <w:shd w:val="clear" w:color="auto" w:fill="auto"/>
            <w:noWrap/>
            <w:vAlign w:val="center"/>
            <w:hideMark/>
          </w:tcPr>
          <w:p w14:paraId="4D115E2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26" w:type="pct"/>
            <w:tcBorders>
              <w:top w:val="nil"/>
              <w:left w:val="nil"/>
              <w:bottom w:val="nil"/>
              <w:right w:val="nil"/>
            </w:tcBorders>
            <w:shd w:val="clear" w:color="auto" w:fill="auto"/>
            <w:noWrap/>
            <w:vAlign w:val="center"/>
            <w:hideMark/>
          </w:tcPr>
          <w:p w14:paraId="2E56CA0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711DE53A" w14:textId="77777777" w:rsidTr="00D94493">
        <w:trPr>
          <w:trHeight w:val="170"/>
        </w:trPr>
        <w:tc>
          <w:tcPr>
            <w:tcW w:w="1898" w:type="pct"/>
            <w:tcBorders>
              <w:top w:val="nil"/>
              <w:left w:val="nil"/>
              <w:bottom w:val="nil"/>
              <w:right w:val="nil"/>
            </w:tcBorders>
            <w:shd w:val="clear" w:color="auto" w:fill="auto"/>
            <w:noWrap/>
            <w:vAlign w:val="bottom"/>
            <w:hideMark/>
          </w:tcPr>
          <w:p w14:paraId="279EAB4A"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Osobitný odvod z podnikania v </w:t>
            </w:r>
            <w:proofErr w:type="spellStart"/>
            <w:r w:rsidRPr="00D94493">
              <w:rPr>
                <w:rFonts w:ascii="Times New Roman" w:eastAsia="Calibri" w:hAnsi="Times New Roman" w:cs="Times New Roman"/>
                <w:sz w:val="14"/>
                <w:szCs w:val="14"/>
                <w:lang w:eastAsia="sk-SK"/>
              </w:rPr>
              <w:t>regul</w:t>
            </w:r>
            <w:proofErr w:type="spellEnd"/>
            <w:r w:rsidRPr="00D94493">
              <w:rPr>
                <w:rFonts w:ascii="Times New Roman" w:eastAsia="Calibri" w:hAnsi="Times New Roman" w:cs="Times New Roman"/>
                <w:sz w:val="14"/>
                <w:szCs w:val="14"/>
                <w:lang w:eastAsia="sk-SK"/>
              </w:rPr>
              <w:t>. odvetviach</w:t>
            </w:r>
          </w:p>
        </w:tc>
        <w:tc>
          <w:tcPr>
            <w:tcW w:w="530" w:type="pct"/>
            <w:tcBorders>
              <w:top w:val="nil"/>
              <w:left w:val="nil"/>
              <w:bottom w:val="nil"/>
              <w:right w:val="nil"/>
            </w:tcBorders>
            <w:shd w:val="clear" w:color="auto" w:fill="auto"/>
            <w:noWrap/>
            <w:vAlign w:val="center"/>
            <w:hideMark/>
          </w:tcPr>
          <w:p w14:paraId="0D1DF29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101 683</w:t>
            </w:r>
          </w:p>
        </w:tc>
        <w:tc>
          <w:tcPr>
            <w:tcW w:w="530" w:type="pct"/>
            <w:tcBorders>
              <w:top w:val="nil"/>
              <w:left w:val="nil"/>
              <w:bottom w:val="nil"/>
              <w:right w:val="nil"/>
            </w:tcBorders>
            <w:shd w:val="clear" w:color="auto" w:fill="auto"/>
            <w:noWrap/>
            <w:vAlign w:val="center"/>
            <w:hideMark/>
          </w:tcPr>
          <w:p w14:paraId="50EFD03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93 373</w:t>
            </w:r>
          </w:p>
        </w:tc>
        <w:tc>
          <w:tcPr>
            <w:tcW w:w="472" w:type="pct"/>
            <w:tcBorders>
              <w:top w:val="nil"/>
              <w:left w:val="nil"/>
              <w:bottom w:val="nil"/>
              <w:right w:val="nil"/>
            </w:tcBorders>
            <w:shd w:val="clear" w:color="auto" w:fill="auto"/>
            <w:noWrap/>
            <w:vAlign w:val="center"/>
            <w:hideMark/>
          </w:tcPr>
          <w:p w14:paraId="1B1292A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83 293</w:t>
            </w:r>
          </w:p>
        </w:tc>
        <w:tc>
          <w:tcPr>
            <w:tcW w:w="530" w:type="pct"/>
            <w:tcBorders>
              <w:top w:val="nil"/>
              <w:left w:val="nil"/>
              <w:bottom w:val="nil"/>
              <w:right w:val="nil"/>
            </w:tcBorders>
            <w:shd w:val="clear" w:color="auto" w:fill="auto"/>
            <w:noWrap/>
            <w:vAlign w:val="center"/>
            <w:hideMark/>
          </w:tcPr>
          <w:p w14:paraId="3291335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511 553</w:t>
            </w:r>
          </w:p>
        </w:tc>
        <w:tc>
          <w:tcPr>
            <w:tcW w:w="514" w:type="pct"/>
            <w:tcBorders>
              <w:top w:val="nil"/>
              <w:left w:val="nil"/>
              <w:bottom w:val="nil"/>
              <w:right w:val="nil"/>
            </w:tcBorders>
            <w:shd w:val="clear" w:color="auto" w:fill="auto"/>
            <w:noWrap/>
            <w:vAlign w:val="center"/>
            <w:hideMark/>
          </w:tcPr>
          <w:p w14:paraId="076B513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445 963</w:t>
            </w:r>
          </w:p>
        </w:tc>
        <w:tc>
          <w:tcPr>
            <w:tcW w:w="526" w:type="pct"/>
            <w:tcBorders>
              <w:top w:val="nil"/>
              <w:left w:val="nil"/>
              <w:bottom w:val="nil"/>
              <w:right w:val="nil"/>
            </w:tcBorders>
            <w:shd w:val="clear" w:color="auto" w:fill="auto"/>
            <w:noWrap/>
            <w:vAlign w:val="center"/>
            <w:hideMark/>
          </w:tcPr>
          <w:p w14:paraId="3B16B4A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393 816</w:t>
            </w:r>
          </w:p>
        </w:tc>
      </w:tr>
      <w:tr w:rsidR="00D94493" w:rsidRPr="00D94493" w14:paraId="6FE8BED4" w14:textId="77777777" w:rsidTr="00D94493">
        <w:trPr>
          <w:trHeight w:val="170"/>
        </w:trPr>
        <w:tc>
          <w:tcPr>
            <w:tcW w:w="1898" w:type="pct"/>
            <w:tcBorders>
              <w:top w:val="nil"/>
              <w:left w:val="nil"/>
              <w:bottom w:val="nil"/>
              <w:right w:val="nil"/>
            </w:tcBorders>
            <w:shd w:val="clear" w:color="auto" w:fill="auto"/>
            <w:noWrap/>
            <w:vAlign w:val="bottom"/>
          </w:tcPr>
          <w:p w14:paraId="22EFCB7F"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Solidárny príspevok z činností v odvetviach ropy, zemného  plynu, uhli a rafinérií</w:t>
            </w:r>
          </w:p>
        </w:tc>
        <w:tc>
          <w:tcPr>
            <w:tcW w:w="530" w:type="pct"/>
            <w:tcBorders>
              <w:top w:val="nil"/>
              <w:left w:val="nil"/>
              <w:bottom w:val="nil"/>
              <w:right w:val="nil"/>
            </w:tcBorders>
            <w:shd w:val="clear" w:color="auto" w:fill="auto"/>
            <w:noWrap/>
            <w:vAlign w:val="center"/>
          </w:tcPr>
          <w:p w14:paraId="645E907D"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c>
          <w:tcPr>
            <w:tcW w:w="530" w:type="pct"/>
            <w:tcBorders>
              <w:top w:val="nil"/>
              <w:left w:val="nil"/>
              <w:bottom w:val="nil"/>
              <w:right w:val="nil"/>
            </w:tcBorders>
            <w:shd w:val="clear" w:color="auto" w:fill="auto"/>
            <w:noWrap/>
            <w:vAlign w:val="center"/>
          </w:tcPr>
          <w:p w14:paraId="1ADA04F2"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521 165</w:t>
            </w:r>
          </w:p>
        </w:tc>
        <w:tc>
          <w:tcPr>
            <w:tcW w:w="472" w:type="pct"/>
            <w:tcBorders>
              <w:top w:val="nil"/>
              <w:left w:val="nil"/>
              <w:bottom w:val="nil"/>
              <w:right w:val="nil"/>
            </w:tcBorders>
            <w:shd w:val="clear" w:color="auto" w:fill="auto"/>
            <w:noWrap/>
            <w:vAlign w:val="center"/>
          </w:tcPr>
          <w:p w14:paraId="38FC8338"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354 113</w:t>
            </w:r>
          </w:p>
        </w:tc>
        <w:tc>
          <w:tcPr>
            <w:tcW w:w="530" w:type="pct"/>
            <w:tcBorders>
              <w:top w:val="nil"/>
              <w:left w:val="nil"/>
              <w:bottom w:val="nil"/>
              <w:right w:val="nil"/>
            </w:tcBorders>
            <w:shd w:val="clear" w:color="auto" w:fill="auto"/>
            <w:noWrap/>
            <w:vAlign w:val="center"/>
          </w:tcPr>
          <w:p w14:paraId="4A42C3E0"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227 600</w:t>
            </w:r>
          </w:p>
        </w:tc>
        <w:tc>
          <w:tcPr>
            <w:tcW w:w="514" w:type="pct"/>
            <w:tcBorders>
              <w:top w:val="nil"/>
              <w:left w:val="nil"/>
              <w:bottom w:val="nil"/>
              <w:right w:val="nil"/>
            </w:tcBorders>
            <w:shd w:val="clear" w:color="auto" w:fill="auto"/>
            <w:noWrap/>
            <w:vAlign w:val="center"/>
          </w:tcPr>
          <w:p w14:paraId="7E613B9E"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c>
          <w:tcPr>
            <w:tcW w:w="526" w:type="pct"/>
            <w:tcBorders>
              <w:top w:val="nil"/>
              <w:left w:val="nil"/>
              <w:bottom w:val="nil"/>
              <w:right w:val="nil"/>
            </w:tcBorders>
            <w:shd w:val="clear" w:color="auto" w:fill="auto"/>
            <w:noWrap/>
            <w:vAlign w:val="center"/>
          </w:tcPr>
          <w:p w14:paraId="73391508"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r>
      <w:tr w:rsidR="00D94493" w:rsidRPr="00D94493" w14:paraId="23442867" w14:textId="77777777" w:rsidTr="00D94493">
        <w:trPr>
          <w:trHeight w:val="170"/>
        </w:trPr>
        <w:tc>
          <w:tcPr>
            <w:tcW w:w="1898" w:type="pct"/>
            <w:tcBorders>
              <w:top w:val="nil"/>
              <w:left w:val="nil"/>
              <w:bottom w:val="nil"/>
              <w:right w:val="nil"/>
            </w:tcBorders>
            <w:shd w:val="clear" w:color="auto" w:fill="auto"/>
            <w:noWrap/>
            <w:vAlign w:val="bottom"/>
          </w:tcPr>
          <w:p w14:paraId="4EEDACA6"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Príjem z odvodu z nadmerných príjmov elektrární</w:t>
            </w:r>
          </w:p>
        </w:tc>
        <w:tc>
          <w:tcPr>
            <w:tcW w:w="530" w:type="pct"/>
            <w:tcBorders>
              <w:top w:val="nil"/>
              <w:left w:val="nil"/>
              <w:bottom w:val="nil"/>
              <w:right w:val="nil"/>
            </w:tcBorders>
            <w:shd w:val="clear" w:color="auto" w:fill="auto"/>
            <w:noWrap/>
            <w:vAlign w:val="center"/>
          </w:tcPr>
          <w:p w14:paraId="0F0529DC"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c>
          <w:tcPr>
            <w:tcW w:w="530" w:type="pct"/>
            <w:tcBorders>
              <w:top w:val="nil"/>
              <w:left w:val="nil"/>
              <w:bottom w:val="nil"/>
              <w:right w:val="nil"/>
            </w:tcBorders>
            <w:shd w:val="clear" w:color="auto" w:fill="auto"/>
            <w:noWrap/>
            <w:vAlign w:val="center"/>
          </w:tcPr>
          <w:p w14:paraId="54239052"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c>
          <w:tcPr>
            <w:tcW w:w="472" w:type="pct"/>
            <w:tcBorders>
              <w:top w:val="nil"/>
              <w:left w:val="nil"/>
              <w:bottom w:val="nil"/>
              <w:right w:val="nil"/>
            </w:tcBorders>
            <w:shd w:val="clear" w:color="auto" w:fill="auto"/>
            <w:noWrap/>
            <w:vAlign w:val="center"/>
          </w:tcPr>
          <w:p w14:paraId="73648ADA"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36 731</w:t>
            </w:r>
          </w:p>
        </w:tc>
        <w:tc>
          <w:tcPr>
            <w:tcW w:w="530" w:type="pct"/>
            <w:tcBorders>
              <w:top w:val="nil"/>
              <w:left w:val="nil"/>
              <w:bottom w:val="nil"/>
              <w:right w:val="nil"/>
            </w:tcBorders>
            <w:shd w:val="clear" w:color="auto" w:fill="auto"/>
            <w:noWrap/>
            <w:vAlign w:val="center"/>
          </w:tcPr>
          <w:p w14:paraId="732FD111"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1 956</w:t>
            </w:r>
          </w:p>
        </w:tc>
        <w:tc>
          <w:tcPr>
            <w:tcW w:w="514" w:type="pct"/>
            <w:tcBorders>
              <w:top w:val="nil"/>
              <w:left w:val="nil"/>
              <w:bottom w:val="nil"/>
              <w:right w:val="nil"/>
            </w:tcBorders>
            <w:shd w:val="clear" w:color="auto" w:fill="auto"/>
            <w:noWrap/>
            <w:vAlign w:val="center"/>
          </w:tcPr>
          <w:p w14:paraId="0C746D65"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c>
          <w:tcPr>
            <w:tcW w:w="526" w:type="pct"/>
            <w:tcBorders>
              <w:top w:val="nil"/>
              <w:left w:val="nil"/>
              <w:bottom w:val="nil"/>
              <w:right w:val="nil"/>
            </w:tcBorders>
            <w:shd w:val="clear" w:color="auto" w:fill="auto"/>
            <w:noWrap/>
            <w:vAlign w:val="center"/>
          </w:tcPr>
          <w:p w14:paraId="699564AD"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r>
      <w:tr w:rsidR="00D94493" w:rsidRPr="00D94493" w14:paraId="1A9D297C" w14:textId="77777777" w:rsidTr="00D94493">
        <w:trPr>
          <w:trHeight w:val="170"/>
        </w:trPr>
        <w:tc>
          <w:tcPr>
            <w:tcW w:w="1898" w:type="pct"/>
            <w:tcBorders>
              <w:top w:val="nil"/>
              <w:left w:val="nil"/>
              <w:bottom w:val="nil"/>
              <w:right w:val="nil"/>
            </w:tcBorders>
            <w:shd w:val="clear" w:color="auto" w:fill="auto"/>
            <w:noWrap/>
            <w:vAlign w:val="bottom"/>
            <w:hideMark/>
          </w:tcPr>
          <w:p w14:paraId="08CEABF2"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Úhrada za služby verejnosti poskytované RTVS</w:t>
            </w:r>
          </w:p>
        </w:tc>
        <w:tc>
          <w:tcPr>
            <w:tcW w:w="530" w:type="pct"/>
            <w:tcBorders>
              <w:top w:val="nil"/>
              <w:left w:val="nil"/>
              <w:bottom w:val="nil"/>
              <w:right w:val="nil"/>
            </w:tcBorders>
            <w:shd w:val="clear" w:color="auto" w:fill="auto"/>
            <w:noWrap/>
            <w:vAlign w:val="center"/>
            <w:hideMark/>
          </w:tcPr>
          <w:p w14:paraId="7BA7230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76 294</w:t>
            </w:r>
          </w:p>
        </w:tc>
        <w:tc>
          <w:tcPr>
            <w:tcW w:w="530" w:type="pct"/>
            <w:tcBorders>
              <w:top w:val="nil"/>
              <w:left w:val="nil"/>
              <w:bottom w:val="nil"/>
              <w:right w:val="nil"/>
            </w:tcBorders>
            <w:shd w:val="clear" w:color="auto" w:fill="auto"/>
            <w:noWrap/>
            <w:vAlign w:val="center"/>
            <w:hideMark/>
          </w:tcPr>
          <w:p w14:paraId="55F8962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74 305</w:t>
            </w:r>
          </w:p>
        </w:tc>
        <w:tc>
          <w:tcPr>
            <w:tcW w:w="472" w:type="pct"/>
            <w:tcBorders>
              <w:top w:val="nil"/>
              <w:left w:val="nil"/>
              <w:bottom w:val="nil"/>
              <w:right w:val="nil"/>
            </w:tcBorders>
            <w:shd w:val="clear" w:color="auto" w:fill="auto"/>
            <w:noWrap/>
            <w:vAlign w:val="center"/>
            <w:hideMark/>
          </w:tcPr>
          <w:p w14:paraId="3CA4DCF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43 596</w:t>
            </w:r>
          </w:p>
        </w:tc>
        <w:tc>
          <w:tcPr>
            <w:tcW w:w="530" w:type="pct"/>
            <w:tcBorders>
              <w:top w:val="nil"/>
              <w:left w:val="nil"/>
              <w:bottom w:val="nil"/>
              <w:right w:val="nil"/>
            </w:tcBorders>
            <w:shd w:val="clear" w:color="auto" w:fill="auto"/>
            <w:noWrap/>
            <w:vAlign w:val="center"/>
            <w:hideMark/>
          </w:tcPr>
          <w:p w14:paraId="1BBE9DB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14" w:type="pct"/>
            <w:tcBorders>
              <w:top w:val="nil"/>
              <w:left w:val="nil"/>
              <w:bottom w:val="nil"/>
              <w:right w:val="nil"/>
            </w:tcBorders>
            <w:shd w:val="clear" w:color="auto" w:fill="auto"/>
            <w:noWrap/>
            <w:vAlign w:val="center"/>
            <w:hideMark/>
          </w:tcPr>
          <w:p w14:paraId="7AB4699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26" w:type="pct"/>
            <w:tcBorders>
              <w:top w:val="nil"/>
              <w:left w:val="nil"/>
              <w:bottom w:val="nil"/>
              <w:right w:val="nil"/>
            </w:tcBorders>
            <w:shd w:val="clear" w:color="auto" w:fill="auto"/>
            <w:noWrap/>
            <w:vAlign w:val="center"/>
            <w:hideMark/>
          </w:tcPr>
          <w:p w14:paraId="76439AF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3E59C374" w14:textId="77777777" w:rsidTr="00D94493">
        <w:trPr>
          <w:trHeight w:val="170"/>
        </w:trPr>
        <w:tc>
          <w:tcPr>
            <w:tcW w:w="1898" w:type="pct"/>
            <w:tcBorders>
              <w:top w:val="nil"/>
              <w:left w:val="nil"/>
              <w:bottom w:val="nil"/>
              <w:right w:val="nil"/>
            </w:tcBorders>
            <w:shd w:val="clear" w:color="auto" w:fill="auto"/>
            <w:noWrap/>
            <w:vAlign w:val="bottom"/>
            <w:hideMark/>
          </w:tcPr>
          <w:p w14:paraId="1A4D4A99"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 z úhrad za dobývací priestor</w:t>
            </w:r>
          </w:p>
        </w:tc>
        <w:tc>
          <w:tcPr>
            <w:tcW w:w="530" w:type="pct"/>
            <w:tcBorders>
              <w:top w:val="nil"/>
              <w:left w:val="nil"/>
              <w:bottom w:val="nil"/>
              <w:right w:val="nil"/>
            </w:tcBorders>
            <w:shd w:val="clear" w:color="auto" w:fill="auto"/>
            <w:noWrap/>
            <w:vAlign w:val="center"/>
            <w:hideMark/>
          </w:tcPr>
          <w:p w14:paraId="22338D2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278</w:t>
            </w:r>
          </w:p>
        </w:tc>
        <w:tc>
          <w:tcPr>
            <w:tcW w:w="530" w:type="pct"/>
            <w:tcBorders>
              <w:top w:val="nil"/>
              <w:left w:val="nil"/>
              <w:bottom w:val="nil"/>
              <w:right w:val="nil"/>
            </w:tcBorders>
            <w:shd w:val="clear" w:color="auto" w:fill="auto"/>
            <w:noWrap/>
            <w:vAlign w:val="center"/>
            <w:hideMark/>
          </w:tcPr>
          <w:p w14:paraId="2EBBB6A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303</w:t>
            </w:r>
          </w:p>
        </w:tc>
        <w:tc>
          <w:tcPr>
            <w:tcW w:w="472" w:type="pct"/>
            <w:tcBorders>
              <w:top w:val="nil"/>
              <w:left w:val="nil"/>
              <w:bottom w:val="nil"/>
              <w:right w:val="nil"/>
            </w:tcBorders>
            <w:shd w:val="clear" w:color="auto" w:fill="auto"/>
            <w:noWrap/>
            <w:vAlign w:val="center"/>
            <w:hideMark/>
          </w:tcPr>
          <w:p w14:paraId="725B5DE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328</w:t>
            </w:r>
          </w:p>
        </w:tc>
        <w:tc>
          <w:tcPr>
            <w:tcW w:w="530" w:type="pct"/>
            <w:tcBorders>
              <w:top w:val="nil"/>
              <w:left w:val="nil"/>
              <w:bottom w:val="nil"/>
              <w:right w:val="nil"/>
            </w:tcBorders>
            <w:shd w:val="clear" w:color="auto" w:fill="auto"/>
            <w:noWrap/>
            <w:vAlign w:val="center"/>
            <w:hideMark/>
          </w:tcPr>
          <w:p w14:paraId="362DCE4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328</w:t>
            </w:r>
          </w:p>
        </w:tc>
        <w:tc>
          <w:tcPr>
            <w:tcW w:w="514" w:type="pct"/>
            <w:tcBorders>
              <w:top w:val="nil"/>
              <w:left w:val="nil"/>
              <w:bottom w:val="nil"/>
              <w:right w:val="nil"/>
            </w:tcBorders>
            <w:shd w:val="clear" w:color="auto" w:fill="auto"/>
            <w:noWrap/>
            <w:vAlign w:val="center"/>
            <w:hideMark/>
          </w:tcPr>
          <w:p w14:paraId="164EE9D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328</w:t>
            </w:r>
          </w:p>
        </w:tc>
        <w:tc>
          <w:tcPr>
            <w:tcW w:w="526" w:type="pct"/>
            <w:tcBorders>
              <w:top w:val="nil"/>
              <w:left w:val="nil"/>
              <w:bottom w:val="nil"/>
              <w:right w:val="nil"/>
            </w:tcBorders>
            <w:shd w:val="clear" w:color="auto" w:fill="auto"/>
            <w:noWrap/>
            <w:vAlign w:val="center"/>
            <w:hideMark/>
          </w:tcPr>
          <w:p w14:paraId="6C6D762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328</w:t>
            </w:r>
          </w:p>
        </w:tc>
      </w:tr>
      <w:tr w:rsidR="00D94493" w:rsidRPr="00D94493" w14:paraId="47E1685E" w14:textId="77777777" w:rsidTr="00D94493">
        <w:trPr>
          <w:trHeight w:val="170"/>
        </w:trPr>
        <w:tc>
          <w:tcPr>
            <w:tcW w:w="1898" w:type="pct"/>
            <w:tcBorders>
              <w:top w:val="nil"/>
              <w:left w:val="nil"/>
              <w:bottom w:val="nil"/>
              <w:right w:val="nil"/>
            </w:tcBorders>
            <w:shd w:val="clear" w:color="auto" w:fill="auto"/>
            <w:noWrap/>
            <w:vAlign w:val="bottom"/>
            <w:hideMark/>
          </w:tcPr>
          <w:p w14:paraId="14AC0F89" w14:textId="77777777" w:rsidR="00D94493" w:rsidRPr="00D94493" w:rsidRDefault="00D94493" w:rsidP="00D94493">
            <w:pPr>
              <w:spacing w:after="0" w:line="240" w:lineRule="auto"/>
              <w:ind w:firstLineChars="600" w:firstLine="84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do štátneho rozpočtu </w:t>
            </w:r>
          </w:p>
        </w:tc>
        <w:tc>
          <w:tcPr>
            <w:tcW w:w="530" w:type="pct"/>
            <w:tcBorders>
              <w:top w:val="nil"/>
              <w:left w:val="nil"/>
              <w:bottom w:val="nil"/>
              <w:right w:val="nil"/>
            </w:tcBorders>
            <w:shd w:val="clear" w:color="auto" w:fill="auto"/>
            <w:noWrap/>
            <w:vAlign w:val="center"/>
            <w:hideMark/>
          </w:tcPr>
          <w:p w14:paraId="27DCBEC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82</w:t>
            </w:r>
          </w:p>
        </w:tc>
        <w:tc>
          <w:tcPr>
            <w:tcW w:w="530" w:type="pct"/>
            <w:tcBorders>
              <w:top w:val="nil"/>
              <w:left w:val="nil"/>
              <w:bottom w:val="nil"/>
              <w:right w:val="nil"/>
            </w:tcBorders>
            <w:shd w:val="clear" w:color="auto" w:fill="auto"/>
            <w:noWrap/>
            <w:vAlign w:val="center"/>
            <w:hideMark/>
          </w:tcPr>
          <w:p w14:paraId="5A90BBF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82</w:t>
            </w:r>
          </w:p>
        </w:tc>
        <w:tc>
          <w:tcPr>
            <w:tcW w:w="472" w:type="pct"/>
            <w:tcBorders>
              <w:top w:val="nil"/>
              <w:left w:val="nil"/>
              <w:bottom w:val="nil"/>
              <w:right w:val="nil"/>
            </w:tcBorders>
            <w:shd w:val="clear" w:color="auto" w:fill="auto"/>
            <w:noWrap/>
            <w:vAlign w:val="center"/>
            <w:hideMark/>
          </w:tcPr>
          <w:p w14:paraId="7D88492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82</w:t>
            </w:r>
          </w:p>
        </w:tc>
        <w:tc>
          <w:tcPr>
            <w:tcW w:w="530" w:type="pct"/>
            <w:tcBorders>
              <w:top w:val="nil"/>
              <w:left w:val="nil"/>
              <w:bottom w:val="nil"/>
              <w:right w:val="nil"/>
            </w:tcBorders>
            <w:shd w:val="clear" w:color="auto" w:fill="auto"/>
            <w:noWrap/>
            <w:vAlign w:val="center"/>
            <w:hideMark/>
          </w:tcPr>
          <w:p w14:paraId="706C17A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82</w:t>
            </w:r>
          </w:p>
        </w:tc>
        <w:tc>
          <w:tcPr>
            <w:tcW w:w="514" w:type="pct"/>
            <w:tcBorders>
              <w:top w:val="nil"/>
              <w:left w:val="nil"/>
              <w:bottom w:val="nil"/>
              <w:right w:val="nil"/>
            </w:tcBorders>
            <w:shd w:val="clear" w:color="auto" w:fill="auto"/>
            <w:noWrap/>
            <w:vAlign w:val="center"/>
            <w:hideMark/>
          </w:tcPr>
          <w:p w14:paraId="7DD3D5C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82</w:t>
            </w:r>
          </w:p>
        </w:tc>
        <w:tc>
          <w:tcPr>
            <w:tcW w:w="526" w:type="pct"/>
            <w:tcBorders>
              <w:top w:val="nil"/>
              <w:left w:val="nil"/>
              <w:bottom w:val="nil"/>
              <w:right w:val="nil"/>
            </w:tcBorders>
            <w:shd w:val="clear" w:color="auto" w:fill="auto"/>
            <w:noWrap/>
            <w:vAlign w:val="center"/>
            <w:hideMark/>
          </w:tcPr>
          <w:p w14:paraId="42BC2B9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82</w:t>
            </w:r>
          </w:p>
        </w:tc>
      </w:tr>
      <w:tr w:rsidR="00D94493" w:rsidRPr="00D94493" w14:paraId="7A32A516" w14:textId="77777777" w:rsidTr="00D94493">
        <w:trPr>
          <w:trHeight w:val="170"/>
        </w:trPr>
        <w:tc>
          <w:tcPr>
            <w:tcW w:w="1898" w:type="pct"/>
            <w:tcBorders>
              <w:top w:val="nil"/>
              <w:left w:val="nil"/>
              <w:bottom w:val="nil"/>
              <w:right w:val="nil"/>
            </w:tcBorders>
            <w:shd w:val="clear" w:color="auto" w:fill="auto"/>
            <w:noWrap/>
            <w:vAlign w:val="bottom"/>
            <w:hideMark/>
          </w:tcPr>
          <w:p w14:paraId="2D6DCB8C" w14:textId="77777777" w:rsidR="00D94493" w:rsidRPr="00D94493" w:rsidRDefault="00D94493" w:rsidP="00D94493">
            <w:pPr>
              <w:spacing w:after="0" w:line="240" w:lineRule="auto"/>
              <w:ind w:firstLineChars="600" w:firstLine="84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do obcí </w:t>
            </w:r>
          </w:p>
        </w:tc>
        <w:tc>
          <w:tcPr>
            <w:tcW w:w="530" w:type="pct"/>
            <w:tcBorders>
              <w:top w:val="nil"/>
              <w:left w:val="nil"/>
              <w:bottom w:val="nil"/>
              <w:right w:val="nil"/>
            </w:tcBorders>
            <w:shd w:val="clear" w:color="auto" w:fill="auto"/>
            <w:noWrap/>
            <w:vAlign w:val="center"/>
            <w:hideMark/>
          </w:tcPr>
          <w:p w14:paraId="682674D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197</w:t>
            </w:r>
          </w:p>
        </w:tc>
        <w:tc>
          <w:tcPr>
            <w:tcW w:w="530" w:type="pct"/>
            <w:tcBorders>
              <w:top w:val="nil"/>
              <w:left w:val="nil"/>
              <w:bottom w:val="nil"/>
              <w:right w:val="nil"/>
            </w:tcBorders>
            <w:shd w:val="clear" w:color="auto" w:fill="auto"/>
            <w:noWrap/>
            <w:vAlign w:val="center"/>
            <w:hideMark/>
          </w:tcPr>
          <w:p w14:paraId="265CC0F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221</w:t>
            </w:r>
          </w:p>
        </w:tc>
        <w:tc>
          <w:tcPr>
            <w:tcW w:w="472" w:type="pct"/>
            <w:tcBorders>
              <w:top w:val="nil"/>
              <w:left w:val="nil"/>
              <w:bottom w:val="nil"/>
              <w:right w:val="nil"/>
            </w:tcBorders>
            <w:shd w:val="clear" w:color="auto" w:fill="auto"/>
            <w:noWrap/>
            <w:vAlign w:val="center"/>
            <w:hideMark/>
          </w:tcPr>
          <w:p w14:paraId="4F64407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246</w:t>
            </w:r>
          </w:p>
        </w:tc>
        <w:tc>
          <w:tcPr>
            <w:tcW w:w="530" w:type="pct"/>
            <w:tcBorders>
              <w:top w:val="nil"/>
              <w:left w:val="nil"/>
              <w:bottom w:val="nil"/>
              <w:right w:val="nil"/>
            </w:tcBorders>
            <w:shd w:val="clear" w:color="auto" w:fill="auto"/>
            <w:noWrap/>
            <w:vAlign w:val="center"/>
            <w:hideMark/>
          </w:tcPr>
          <w:p w14:paraId="5409E28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246</w:t>
            </w:r>
          </w:p>
        </w:tc>
        <w:tc>
          <w:tcPr>
            <w:tcW w:w="514" w:type="pct"/>
            <w:tcBorders>
              <w:top w:val="nil"/>
              <w:left w:val="nil"/>
              <w:bottom w:val="nil"/>
              <w:right w:val="nil"/>
            </w:tcBorders>
            <w:shd w:val="clear" w:color="auto" w:fill="auto"/>
            <w:noWrap/>
            <w:vAlign w:val="center"/>
            <w:hideMark/>
          </w:tcPr>
          <w:p w14:paraId="1A454CD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246</w:t>
            </w:r>
          </w:p>
        </w:tc>
        <w:tc>
          <w:tcPr>
            <w:tcW w:w="526" w:type="pct"/>
            <w:tcBorders>
              <w:top w:val="nil"/>
              <w:left w:val="nil"/>
              <w:bottom w:val="nil"/>
              <w:right w:val="nil"/>
            </w:tcBorders>
            <w:shd w:val="clear" w:color="auto" w:fill="auto"/>
            <w:noWrap/>
            <w:vAlign w:val="center"/>
            <w:hideMark/>
          </w:tcPr>
          <w:p w14:paraId="6FA0784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246</w:t>
            </w:r>
          </w:p>
        </w:tc>
      </w:tr>
      <w:tr w:rsidR="00D94493" w:rsidRPr="00D94493" w14:paraId="5AD6380B" w14:textId="77777777" w:rsidTr="00D94493">
        <w:trPr>
          <w:trHeight w:val="170"/>
        </w:trPr>
        <w:tc>
          <w:tcPr>
            <w:tcW w:w="1898" w:type="pct"/>
            <w:tcBorders>
              <w:top w:val="nil"/>
              <w:left w:val="nil"/>
              <w:bottom w:val="nil"/>
              <w:right w:val="nil"/>
            </w:tcBorders>
            <w:shd w:val="clear" w:color="auto" w:fill="auto"/>
            <w:noWrap/>
            <w:vAlign w:val="bottom"/>
            <w:hideMark/>
          </w:tcPr>
          <w:p w14:paraId="03F43BDA"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 z úhrad za uskladňovanie plynov al. kvapalín</w:t>
            </w:r>
          </w:p>
        </w:tc>
        <w:tc>
          <w:tcPr>
            <w:tcW w:w="530" w:type="pct"/>
            <w:tcBorders>
              <w:top w:val="nil"/>
              <w:left w:val="nil"/>
              <w:bottom w:val="nil"/>
              <w:right w:val="nil"/>
            </w:tcBorders>
            <w:shd w:val="clear" w:color="auto" w:fill="auto"/>
            <w:noWrap/>
            <w:vAlign w:val="center"/>
            <w:hideMark/>
          </w:tcPr>
          <w:p w14:paraId="4BA8BB3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324</w:t>
            </w:r>
          </w:p>
        </w:tc>
        <w:tc>
          <w:tcPr>
            <w:tcW w:w="530" w:type="pct"/>
            <w:tcBorders>
              <w:top w:val="nil"/>
              <w:left w:val="nil"/>
              <w:bottom w:val="nil"/>
              <w:right w:val="nil"/>
            </w:tcBorders>
            <w:shd w:val="clear" w:color="auto" w:fill="auto"/>
            <w:noWrap/>
            <w:vAlign w:val="center"/>
            <w:hideMark/>
          </w:tcPr>
          <w:p w14:paraId="2323F0F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1 619</w:t>
            </w:r>
          </w:p>
        </w:tc>
        <w:tc>
          <w:tcPr>
            <w:tcW w:w="472" w:type="pct"/>
            <w:tcBorders>
              <w:top w:val="nil"/>
              <w:left w:val="nil"/>
              <w:bottom w:val="nil"/>
              <w:right w:val="nil"/>
            </w:tcBorders>
            <w:shd w:val="clear" w:color="auto" w:fill="auto"/>
            <w:noWrap/>
            <w:vAlign w:val="center"/>
            <w:hideMark/>
          </w:tcPr>
          <w:p w14:paraId="34E043D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1 638</w:t>
            </w:r>
          </w:p>
        </w:tc>
        <w:tc>
          <w:tcPr>
            <w:tcW w:w="530" w:type="pct"/>
            <w:tcBorders>
              <w:top w:val="nil"/>
              <w:left w:val="nil"/>
              <w:bottom w:val="nil"/>
              <w:right w:val="nil"/>
            </w:tcBorders>
            <w:shd w:val="clear" w:color="auto" w:fill="auto"/>
            <w:noWrap/>
            <w:vAlign w:val="center"/>
            <w:hideMark/>
          </w:tcPr>
          <w:p w14:paraId="1A968E1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1 000</w:t>
            </w:r>
          </w:p>
        </w:tc>
        <w:tc>
          <w:tcPr>
            <w:tcW w:w="514" w:type="pct"/>
            <w:tcBorders>
              <w:top w:val="nil"/>
              <w:left w:val="nil"/>
              <w:bottom w:val="nil"/>
              <w:right w:val="nil"/>
            </w:tcBorders>
            <w:shd w:val="clear" w:color="auto" w:fill="auto"/>
            <w:noWrap/>
            <w:vAlign w:val="center"/>
            <w:hideMark/>
          </w:tcPr>
          <w:p w14:paraId="1CD5775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1 000</w:t>
            </w:r>
          </w:p>
        </w:tc>
        <w:tc>
          <w:tcPr>
            <w:tcW w:w="526" w:type="pct"/>
            <w:tcBorders>
              <w:top w:val="nil"/>
              <w:left w:val="nil"/>
              <w:bottom w:val="nil"/>
              <w:right w:val="nil"/>
            </w:tcBorders>
            <w:shd w:val="clear" w:color="auto" w:fill="auto"/>
            <w:noWrap/>
            <w:vAlign w:val="center"/>
            <w:hideMark/>
          </w:tcPr>
          <w:p w14:paraId="4450624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1 000</w:t>
            </w:r>
          </w:p>
        </w:tc>
      </w:tr>
      <w:tr w:rsidR="00D94493" w:rsidRPr="00D94493" w14:paraId="65BCBC96" w14:textId="77777777" w:rsidTr="00D94493">
        <w:trPr>
          <w:trHeight w:val="170"/>
        </w:trPr>
        <w:tc>
          <w:tcPr>
            <w:tcW w:w="1898" w:type="pct"/>
            <w:tcBorders>
              <w:top w:val="nil"/>
              <w:left w:val="nil"/>
              <w:bottom w:val="nil"/>
              <w:right w:val="nil"/>
            </w:tcBorders>
            <w:shd w:val="clear" w:color="auto" w:fill="auto"/>
            <w:noWrap/>
            <w:vAlign w:val="bottom"/>
            <w:hideMark/>
          </w:tcPr>
          <w:p w14:paraId="6730F56E"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Poplatok za uloženie odpadov (príjem EF)</w:t>
            </w:r>
          </w:p>
        </w:tc>
        <w:tc>
          <w:tcPr>
            <w:tcW w:w="530" w:type="pct"/>
            <w:tcBorders>
              <w:top w:val="nil"/>
              <w:left w:val="nil"/>
              <w:bottom w:val="nil"/>
              <w:right w:val="nil"/>
            </w:tcBorders>
            <w:shd w:val="clear" w:color="auto" w:fill="auto"/>
            <w:noWrap/>
            <w:vAlign w:val="center"/>
            <w:hideMark/>
          </w:tcPr>
          <w:p w14:paraId="5C446B5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31 625</w:t>
            </w:r>
          </w:p>
        </w:tc>
        <w:tc>
          <w:tcPr>
            <w:tcW w:w="530" w:type="pct"/>
            <w:tcBorders>
              <w:top w:val="nil"/>
              <w:left w:val="nil"/>
              <w:bottom w:val="nil"/>
              <w:right w:val="nil"/>
            </w:tcBorders>
            <w:shd w:val="clear" w:color="auto" w:fill="auto"/>
            <w:noWrap/>
            <w:vAlign w:val="center"/>
            <w:hideMark/>
          </w:tcPr>
          <w:p w14:paraId="47D664B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30 419</w:t>
            </w:r>
          </w:p>
        </w:tc>
        <w:tc>
          <w:tcPr>
            <w:tcW w:w="472" w:type="pct"/>
            <w:tcBorders>
              <w:top w:val="nil"/>
              <w:left w:val="nil"/>
              <w:bottom w:val="nil"/>
              <w:right w:val="nil"/>
            </w:tcBorders>
            <w:shd w:val="clear" w:color="auto" w:fill="auto"/>
            <w:noWrap/>
            <w:vAlign w:val="center"/>
            <w:hideMark/>
          </w:tcPr>
          <w:p w14:paraId="06E262E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30 007</w:t>
            </w:r>
          </w:p>
        </w:tc>
        <w:tc>
          <w:tcPr>
            <w:tcW w:w="530" w:type="pct"/>
            <w:tcBorders>
              <w:top w:val="nil"/>
              <w:left w:val="nil"/>
              <w:bottom w:val="nil"/>
              <w:right w:val="nil"/>
            </w:tcBorders>
            <w:shd w:val="clear" w:color="auto" w:fill="auto"/>
            <w:noWrap/>
            <w:vAlign w:val="center"/>
            <w:hideMark/>
          </w:tcPr>
          <w:p w14:paraId="35F7ED2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30 870</w:t>
            </w:r>
          </w:p>
        </w:tc>
        <w:tc>
          <w:tcPr>
            <w:tcW w:w="514" w:type="pct"/>
            <w:tcBorders>
              <w:top w:val="nil"/>
              <w:left w:val="nil"/>
              <w:bottom w:val="nil"/>
              <w:right w:val="nil"/>
            </w:tcBorders>
            <w:shd w:val="clear" w:color="auto" w:fill="auto"/>
            <w:noWrap/>
            <w:vAlign w:val="center"/>
            <w:hideMark/>
          </w:tcPr>
          <w:p w14:paraId="03522A2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16 716</w:t>
            </w:r>
          </w:p>
        </w:tc>
        <w:tc>
          <w:tcPr>
            <w:tcW w:w="526" w:type="pct"/>
            <w:tcBorders>
              <w:top w:val="nil"/>
              <w:left w:val="nil"/>
              <w:bottom w:val="nil"/>
              <w:right w:val="nil"/>
            </w:tcBorders>
            <w:shd w:val="clear" w:color="auto" w:fill="auto"/>
            <w:noWrap/>
            <w:vAlign w:val="center"/>
            <w:hideMark/>
          </w:tcPr>
          <w:p w14:paraId="0228792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17 250</w:t>
            </w:r>
          </w:p>
        </w:tc>
      </w:tr>
      <w:tr w:rsidR="00D94493" w:rsidRPr="00D94493" w14:paraId="1CD58304" w14:textId="77777777" w:rsidTr="00D94493">
        <w:trPr>
          <w:trHeight w:val="170"/>
        </w:trPr>
        <w:tc>
          <w:tcPr>
            <w:tcW w:w="1898" w:type="pct"/>
            <w:tcBorders>
              <w:top w:val="nil"/>
              <w:left w:val="nil"/>
              <w:bottom w:val="nil"/>
              <w:right w:val="nil"/>
            </w:tcBorders>
            <w:shd w:val="clear" w:color="auto" w:fill="auto"/>
            <w:noWrap/>
            <w:vAlign w:val="bottom"/>
            <w:hideMark/>
          </w:tcPr>
          <w:p w14:paraId="149BBB27"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Majetkové dane (do ŠR)</w:t>
            </w:r>
          </w:p>
        </w:tc>
        <w:tc>
          <w:tcPr>
            <w:tcW w:w="530" w:type="pct"/>
            <w:tcBorders>
              <w:top w:val="nil"/>
              <w:left w:val="nil"/>
              <w:bottom w:val="nil"/>
              <w:right w:val="nil"/>
            </w:tcBorders>
            <w:shd w:val="clear" w:color="auto" w:fill="auto"/>
            <w:noWrap/>
            <w:vAlign w:val="center"/>
            <w:hideMark/>
          </w:tcPr>
          <w:p w14:paraId="3567923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w:t>
            </w:r>
          </w:p>
        </w:tc>
        <w:tc>
          <w:tcPr>
            <w:tcW w:w="530" w:type="pct"/>
            <w:tcBorders>
              <w:top w:val="nil"/>
              <w:left w:val="nil"/>
              <w:bottom w:val="nil"/>
              <w:right w:val="nil"/>
            </w:tcBorders>
            <w:shd w:val="clear" w:color="auto" w:fill="auto"/>
            <w:noWrap/>
            <w:vAlign w:val="center"/>
            <w:hideMark/>
          </w:tcPr>
          <w:p w14:paraId="616254E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w:t>
            </w:r>
          </w:p>
        </w:tc>
        <w:tc>
          <w:tcPr>
            <w:tcW w:w="472" w:type="pct"/>
            <w:tcBorders>
              <w:top w:val="nil"/>
              <w:left w:val="nil"/>
              <w:bottom w:val="nil"/>
              <w:right w:val="nil"/>
            </w:tcBorders>
            <w:shd w:val="clear" w:color="auto" w:fill="auto"/>
            <w:noWrap/>
            <w:vAlign w:val="center"/>
            <w:hideMark/>
          </w:tcPr>
          <w:p w14:paraId="145EF4F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7</w:t>
            </w:r>
          </w:p>
        </w:tc>
        <w:tc>
          <w:tcPr>
            <w:tcW w:w="530" w:type="pct"/>
            <w:tcBorders>
              <w:top w:val="nil"/>
              <w:left w:val="nil"/>
              <w:bottom w:val="nil"/>
              <w:right w:val="nil"/>
            </w:tcBorders>
            <w:shd w:val="clear" w:color="auto" w:fill="auto"/>
            <w:noWrap/>
            <w:vAlign w:val="center"/>
            <w:hideMark/>
          </w:tcPr>
          <w:p w14:paraId="19E938B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14" w:type="pct"/>
            <w:tcBorders>
              <w:top w:val="nil"/>
              <w:left w:val="nil"/>
              <w:bottom w:val="nil"/>
              <w:right w:val="nil"/>
            </w:tcBorders>
            <w:shd w:val="clear" w:color="auto" w:fill="auto"/>
            <w:noWrap/>
            <w:vAlign w:val="center"/>
            <w:hideMark/>
          </w:tcPr>
          <w:p w14:paraId="2330D3A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26" w:type="pct"/>
            <w:tcBorders>
              <w:top w:val="nil"/>
              <w:left w:val="nil"/>
              <w:bottom w:val="nil"/>
              <w:right w:val="nil"/>
            </w:tcBorders>
            <w:shd w:val="clear" w:color="auto" w:fill="auto"/>
            <w:noWrap/>
            <w:vAlign w:val="center"/>
            <w:hideMark/>
          </w:tcPr>
          <w:p w14:paraId="2333FF4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55066E39" w14:textId="77777777" w:rsidTr="00D94493">
        <w:trPr>
          <w:trHeight w:val="170"/>
        </w:trPr>
        <w:tc>
          <w:tcPr>
            <w:tcW w:w="1898" w:type="pct"/>
            <w:tcBorders>
              <w:top w:val="nil"/>
              <w:left w:val="nil"/>
              <w:bottom w:val="nil"/>
              <w:right w:val="nil"/>
            </w:tcBorders>
            <w:shd w:val="clear" w:color="auto" w:fill="auto"/>
            <w:noWrap/>
            <w:vAlign w:val="bottom"/>
            <w:hideMark/>
          </w:tcPr>
          <w:p w14:paraId="460FEEB8"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Iné dane</w:t>
            </w:r>
          </w:p>
        </w:tc>
        <w:tc>
          <w:tcPr>
            <w:tcW w:w="530" w:type="pct"/>
            <w:tcBorders>
              <w:top w:val="nil"/>
              <w:left w:val="nil"/>
              <w:bottom w:val="nil"/>
              <w:right w:val="nil"/>
            </w:tcBorders>
            <w:shd w:val="clear" w:color="auto" w:fill="auto"/>
            <w:noWrap/>
            <w:vAlign w:val="center"/>
            <w:hideMark/>
          </w:tcPr>
          <w:p w14:paraId="6C45E08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113 480</w:t>
            </w:r>
          </w:p>
        </w:tc>
        <w:tc>
          <w:tcPr>
            <w:tcW w:w="530" w:type="pct"/>
            <w:tcBorders>
              <w:top w:val="nil"/>
              <w:left w:val="nil"/>
              <w:bottom w:val="nil"/>
              <w:right w:val="nil"/>
            </w:tcBorders>
            <w:shd w:val="clear" w:color="auto" w:fill="auto"/>
            <w:noWrap/>
            <w:vAlign w:val="center"/>
            <w:hideMark/>
          </w:tcPr>
          <w:p w14:paraId="4FC2C8F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124 278</w:t>
            </w:r>
          </w:p>
        </w:tc>
        <w:tc>
          <w:tcPr>
            <w:tcW w:w="472" w:type="pct"/>
            <w:tcBorders>
              <w:top w:val="nil"/>
              <w:left w:val="nil"/>
              <w:bottom w:val="nil"/>
              <w:right w:val="nil"/>
            </w:tcBorders>
            <w:shd w:val="clear" w:color="auto" w:fill="auto"/>
            <w:noWrap/>
            <w:vAlign w:val="center"/>
            <w:hideMark/>
          </w:tcPr>
          <w:p w14:paraId="7EA5BC8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136 867</w:t>
            </w:r>
          </w:p>
        </w:tc>
        <w:tc>
          <w:tcPr>
            <w:tcW w:w="530" w:type="pct"/>
            <w:tcBorders>
              <w:top w:val="nil"/>
              <w:left w:val="nil"/>
              <w:bottom w:val="nil"/>
              <w:right w:val="nil"/>
            </w:tcBorders>
            <w:shd w:val="clear" w:color="auto" w:fill="auto"/>
            <w:noWrap/>
            <w:vAlign w:val="center"/>
            <w:hideMark/>
          </w:tcPr>
          <w:p w14:paraId="373E2B0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146 230</w:t>
            </w:r>
          </w:p>
        </w:tc>
        <w:tc>
          <w:tcPr>
            <w:tcW w:w="514" w:type="pct"/>
            <w:tcBorders>
              <w:top w:val="nil"/>
              <w:left w:val="nil"/>
              <w:bottom w:val="nil"/>
              <w:right w:val="nil"/>
            </w:tcBorders>
            <w:shd w:val="clear" w:color="auto" w:fill="auto"/>
            <w:noWrap/>
            <w:vAlign w:val="center"/>
            <w:hideMark/>
          </w:tcPr>
          <w:p w14:paraId="6704CCC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154 910</w:t>
            </w:r>
          </w:p>
        </w:tc>
        <w:tc>
          <w:tcPr>
            <w:tcW w:w="526" w:type="pct"/>
            <w:tcBorders>
              <w:top w:val="nil"/>
              <w:left w:val="nil"/>
              <w:bottom w:val="nil"/>
              <w:right w:val="nil"/>
            </w:tcBorders>
            <w:shd w:val="clear" w:color="auto" w:fill="auto"/>
            <w:noWrap/>
            <w:vAlign w:val="center"/>
            <w:hideMark/>
          </w:tcPr>
          <w:p w14:paraId="3E3010E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163 041</w:t>
            </w:r>
          </w:p>
        </w:tc>
      </w:tr>
      <w:tr w:rsidR="00D94493" w:rsidRPr="00D94493" w14:paraId="0ABFA41B" w14:textId="77777777" w:rsidTr="00D94493">
        <w:trPr>
          <w:trHeight w:val="170"/>
        </w:trPr>
        <w:tc>
          <w:tcPr>
            <w:tcW w:w="1898" w:type="pct"/>
            <w:tcBorders>
              <w:top w:val="nil"/>
              <w:left w:val="nil"/>
              <w:bottom w:val="nil"/>
              <w:right w:val="nil"/>
            </w:tcBorders>
            <w:shd w:val="clear" w:color="auto" w:fill="auto"/>
            <w:noWrap/>
            <w:vAlign w:val="bottom"/>
            <w:hideMark/>
          </w:tcPr>
          <w:p w14:paraId="72BF72E5" w14:textId="77777777" w:rsidR="00D94493" w:rsidRPr="00D94493" w:rsidRDefault="00D94493" w:rsidP="00D94493">
            <w:pPr>
              <w:spacing w:after="0" w:line="240" w:lineRule="auto"/>
              <w:ind w:firstLineChars="600" w:firstLine="84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do štátneho rozpočtu </w:t>
            </w:r>
          </w:p>
        </w:tc>
        <w:tc>
          <w:tcPr>
            <w:tcW w:w="530" w:type="pct"/>
            <w:tcBorders>
              <w:top w:val="nil"/>
              <w:left w:val="nil"/>
              <w:bottom w:val="nil"/>
              <w:right w:val="nil"/>
            </w:tcBorders>
            <w:shd w:val="clear" w:color="auto" w:fill="auto"/>
            <w:noWrap/>
            <w:vAlign w:val="center"/>
            <w:hideMark/>
          </w:tcPr>
          <w:p w14:paraId="35A7B48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80 877</w:t>
            </w:r>
          </w:p>
        </w:tc>
        <w:tc>
          <w:tcPr>
            <w:tcW w:w="530" w:type="pct"/>
            <w:tcBorders>
              <w:top w:val="nil"/>
              <w:left w:val="nil"/>
              <w:bottom w:val="nil"/>
              <w:right w:val="nil"/>
            </w:tcBorders>
            <w:shd w:val="clear" w:color="auto" w:fill="auto"/>
            <w:noWrap/>
            <w:vAlign w:val="center"/>
            <w:hideMark/>
          </w:tcPr>
          <w:p w14:paraId="7DC46F5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90 535</w:t>
            </w:r>
          </w:p>
        </w:tc>
        <w:tc>
          <w:tcPr>
            <w:tcW w:w="472" w:type="pct"/>
            <w:tcBorders>
              <w:top w:val="nil"/>
              <w:left w:val="nil"/>
              <w:bottom w:val="nil"/>
              <w:right w:val="nil"/>
            </w:tcBorders>
            <w:shd w:val="clear" w:color="auto" w:fill="auto"/>
            <w:noWrap/>
            <w:vAlign w:val="center"/>
            <w:hideMark/>
          </w:tcPr>
          <w:p w14:paraId="73F0121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102 276</w:t>
            </w:r>
          </w:p>
        </w:tc>
        <w:tc>
          <w:tcPr>
            <w:tcW w:w="530" w:type="pct"/>
            <w:tcBorders>
              <w:top w:val="nil"/>
              <w:left w:val="nil"/>
              <w:bottom w:val="nil"/>
              <w:right w:val="nil"/>
            </w:tcBorders>
            <w:shd w:val="clear" w:color="auto" w:fill="auto"/>
            <w:noWrap/>
            <w:vAlign w:val="center"/>
            <w:hideMark/>
          </w:tcPr>
          <w:p w14:paraId="5BF363F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109 683</w:t>
            </w:r>
          </w:p>
        </w:tc>
        <w:tc>
          <w:tcPr>
            <w:tcW w:w="514" w:type="pct"/>
            <w:tcBorders>
              <w:top w:val="nil"/>
              <w:left w:val="nil"/>
              <w:bottom w:val="nil"/>
              <w:right w:val="nil"/>
            </w:tcBorders>
            <w:shd w:val="clear" w:color="auto" w:fill="auto"/>
            <w:noWrap/>
            <w:vAlign w:val="center"/>
            <w:hideMark/>
          </w:tcPr>
          <w:p w14:paraId="234E993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116 264</w:t>
            </w:r>
          </w:p>
        </w:tc>
        <w:tc>
          <w:tcPr>
            <w:tcW w:w="526" w:type="pct"/>
            <w:tcBorders>
              <w:top w:val="nil"/>
              <w:left w:val="nil"/>
              <w:bottom w:val="nil"/>
              <w:right w:val="nil"/>
            </w:tcBorders>
            <w:shd w:val="clear" w:color="auto" w:fill="auto"/>
            <w:noWrap/>
            <w:vAlign w:val="center"/>
            <w:hideMark/>
          </w:tcPr>
          <w:p w14:paraId="19591D2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122 432</w:t>
            </w:r>
          </w:p>
        </w:tc>
      </w:tr>
      <w:tr w:rsidR="00D94493" w:rsidRPr="00D94493" w14:paraId="006DD312" w14:textId="77777777" w:rsidTr="00D94493">
        <w:trPr>
          <w:trHeight w:val="170"/>
        </w:trPr>
        <w:tc>
          <w:tcPr>
            <w:tcW w:w="1898" w:type="pct"/>
            <w:tcBorders>
              <w:top w:val="nil"/>
              <w:left w:val="nil"/>
              <w:bottom w:val="nil"/>
              <w:right w:val="nil"/>
            </w:tcBorders>
            <w:shd w:val="clear" w:color="auto" w:fill="auto"/>
            <w:noWrap/>
            <w:vAlign w:val="bottom"/>
            <w:hideMark/>
          </w:tcPr>
          <w:p w14:paraId="750751DC" w14:textId="77777777" w:rsidR="00D94493" w:rsidRPr="00D94493" w:rsidRDefault="00D94493" w:rsidP="00D94493">
            <w:pPr>
              <w:spacing w:after="0" w:line="240" w:lineRule="auto"/>
              <w:ind w:firstLineChars="600" w:firstLine="84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do obcí </w:t>
            </w:r>
          </w:p>
        </w:tc>
        <w:tc>
          <w:tcPr>
            <w:tcW w:w="530" w:type="pct"/>
            <w:tcBorders>
              <w:top w:val="nil"/>
              <w:left w:val="nil"/>
              <w:bottom w:val="nil"/>
              <w:right w:val="nil"/>
            </w:tcBorders>
            <w:shd w:val="clear" w:color="auto" w:fill="auto"/>
            <w:noWrap/>
            <w:vAlign w:val="center"/>
            <w:hideMark/>
          </w:tcPr>
          <w:p w14:paraId="34DC4BA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423</w:t>
            </w:r>
          </w:p>
        </w:tc>
        <w:tc>
          <w:tcPr>
            <w:tcW w:w="530" w:type="pct"/>
            <w:tcBorders>
              <w:top w:val="nil"/>
              <w:left w:val="nil"/>
              <w:bottom w:val="nil"/>
              <w:right w:val="nil"/>
            </w:tcBorders>
            <w:shd w:val="clear" w:color="auto" w:fill="auto"/>
            <w:noWrap/>
            <w:vAlign w:val="center"/>
            <w:hideMark/>
          </w:tcPr>
          <w:p w14:paraId="024EFA5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526</w:t>
            </w:r>
          </w:p>
        </w:tc>
        <w:tc>
          <w:tcPr>
            <w:tcW w:w="472" w:type="pct"/>
            <w:tcBorders>
              <w:top w:val="nil"/>
              <w:left w:val="nil"/>
              <w:bottom w:val="nil"/>
              <w:right w:val="nil"/>
            </w:tcBorders>
            <w:shd w:val="clear" w:color="auto" w:fill="auto"/>
            <w:noWrap/>
            <w:vAlign w:val="center"/>
            <w:hideMark/>
          </w:tcPr>
          <w:p w14:paraId="2AE6D00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30" w:type="pct"/>
            <w:tcBorders>
              <w:top w:val="nil"/>
              <w:left w:val="nil"/>
              <w:bottom w:val="nil"/>
              <w:right w:val="nil"/>
            </w:tcBorders>
            <w:shd w:val="clear" w:color="auto" w:fill="auto"/>
            <w:noWrap/>
            <w:vAlign w:val="center"/>
            <w:hideMark/>
          </w:tcPr>
          <w:p w14:paraId="73C81A2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14" w:type="pct"/>
            <w:tcBorders>
              <w:top w:val="nil"/>
              <w:left w:val="nil"/>
              <w:bottom w:val="nil"/>
              <w:right w:val="nil"/>
            </w:tcBorders>
            <w:shd w:val="clear" w:color="auto" w:fill="auto"/>
            <w:noWrap/>
            <w:vAlign w:val="center"/>
            <w:hideMark/>
          </w:tcPr>
          <w:p w14:paraId="5EA11B9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26" w:type="pct"/>
            <w:tcBorders>
              <w:top w:val="nil"/>
              <w:left w:val="nil"/>
              <w:bottom w:val="nil"/>
              <w:right w:val="nil"/>
            </w:tcBorders>
            <w:shd w:val="clear" w:color="auto" w:fill="auto"/>
            <w:noWrap/>
            <w:vAlign w:val="center"/>
            <w:hideMark/>
          </w:tcPr>
          <w:p w14:paraId="65AB872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3B37C4AA" w14:textId="77777777" w:rsidTr="00D94493">
        <w:trPr>
          <w:trHeight w:val="170"/>
        </w:trPr>
        <w:tc>
          <w:tcPr>
            <w:tcW w:w="1898" w:type="pct"/>
            <w:tcBorders>
              <w:top w:val="nil"/>
              <w:left w:val="nil"/>
              <w:bottom w:val="nil"/>
              <w:right w:val="nil"/>
            </w:tcBorders>
            <w:shd w:val="clear" w:color="auto" w:fill="auto"/>
            <w:noWrap/>
            <w:vAlign w:val="bottom"/>
            <w:hideMark/>
          </w:tcPr>
          <w:p w14:paraId="10470779" w14:textId="77777777" w:rsidR="00D94493" w:rsidRPr="00D94493" w:rsidRDefault="00D94493" w:rsidP="00D94493">
            <w:pPr>
              <w:spacing w:after="0" w:line="240" w:lineRule="auto"/>
              <w:ind w:firstLineChars="600" w:firstLine="84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do VÚC </w:t>
            </w:r>
          </w:p>
        </w:tc>
        <w:tc>
          <w:tcPr>
            <w:tcW w:w="530" w:type="pct"/>
            <w:tcBorders>
              <w:top w:val="nil"/>
              <w:left w:val="nil"/>
              <w:bottom w:val="nil"/>
              <w:right w:val="nil"/>
            </w:tcBorders>
            <w:shd w:val="clear" w:color="auto" w:fill="auto"/>
            <w:noWrap/>
            <w:vAlign w:val="center"/>
            <w:hideMark/>
          </w:tcPr>
          <w:p w14:paraId="0FF66DB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30" w:type="pct"/>
            <w:tcBorders>
              <w:top w:val="nil"/>
              <w:left w:val="nil"/>
              <w:bottom w:val="nil"/>
              <w:right w:val="nil"/>
            </w:tcBorders>
            <w:shd w:val="clear" w:color="auto" w:fill="auto"/>
            <w:noWrap/>
            <w:vAlign w:val="center"/>
            <w:hideMark/>
          </w:tcPr>
          <w:p w14:paraId="7BDB289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472" w:type="pct"/>
            <w:tcBorders>
              <w:top w:val="nil"/>
              <w:left w:val="nil"/>
              <w:bottom w:val="nil"/>
              <w:right w:val="nil"/>
            </w:tcBorders>
            <w:shd w:val="clear" w:color="auto" w:fill="auto"/>
            <w:noWrap/>
            <w:vAlign w:val="center"/>
            <w:hideMark/>
          </w:tcPr>
          <w:p w14:paraId="21B1A9D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30" w:type="pct"/>
            <w:tcBorders>
              <w:top w:val="nil"/>
              <w:left w:val="nil"/>
              <w:bottom w:val="nil"/>
              <w:right w:val="nil"/>
            </w:tcBorders>
            <w:shd w:val="clear" w:color="auto" w:fill="auto"/>
            <w:noWrap/>
            <w:vAlign w:val="center"/>
            <w:hideMark/>
          </w:tcPr>
          <w:p w14:paraId="37CCC7E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14" w:type="pct"/>
            <w:tcBorders>
              <w:top w:val="nil"/>
              <w:left w:val="nil"/>
              <w:bottom w:val="nil"/>
              <w:right w:val="nil"/>
            </w:tcBorders>
            <w:shd w:val="clear" w:color="auto" w:fill="auto"/>
            <w:noWrap/>
            <w:vAlign w:val="center"/>
            <w:hideMark/>
          </w:tcPr>
          <w:p w14:paraId="461E21B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26" w:type="pct"/>
            <w:tcBorders>
              <w:top w:val="nil"/>
              <w:left w:val="nil"/>
              <w:bottom w:val="nil"/>
              <w:right w:val="nil"/>
            </w:tcBorders>
            <w:shd w:val="clear" w:color="auto" w:fill="auto"/>
            <w:noWrap/>
            <w:vAlign w:val="center"/>
            <w:hideMark/>
          </w:tcPr>
          <w:p w14:paraId="0CFF5A4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3307D530" w14:textId="77777777" w:rsidTr="00D94493">
        <w:trPr>
          <w:trHeight w:val="170"/>
        </w:trPr>
        <w:tc>
          <w:tcPr>
            <w:tcW w:w="1898" w:type="pct"/>
            <w:tcBorders>
              <w:top w:val="nil"/>
              <w:left w:val="nil"/>
              <w:bottom w:val="nil"/>
              <w:right w:val="nil"/>
            </w:tcBorders>
            <w:shd w:val="clear" w:color="auto" w:fill="auto"/>
            <w:noWrap/>
            <w:vAlign w:val="bottom"/>
            <w:hideMark/>
          </w:tcPr>
          <w:p w14:paraId="65808A4B" w14:textId="77777777" w:rsidR="00D94493" w:rsidRPr="00D94493" w:rsidRDefault="00D94493" w:rsidP="00D94493">
            <w:pPr>
              <w:spacing w:after="0" w:line="240" w:lineRule="auto"/>
              <w:ind w:firstLineChars="600" w:firstLine="84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na samostatný účet</w:t>
            </w:r>
          </w:p>
        </w:tc>
        <w:tc>
          <w:tcPr>
            <w:tcW w:w="530" w:type="pct"/>
            <w:tcBorders>
              <w:top w:val="nil"/>
              <w:left w:val="nil"/>
              <w:bottom w:val="nil"/>
              <w:right w:val="nil"/>
            </w:tcBorders>
            <w:shd w:val="clear" w:color="auto" w:fill="auto"/>
            <w:noWrap/>
            <w:vAlign w:val="center"/>
            <w:hideMark/>
          </w:tcPr>
          <w:p w14:paraId="0F46459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32 180</w:t>
            </w:r>
          </w:p>
        </w:tc>
        <w:tc>
          <w:tcPr>
            <w:tcW w:w="530" w:type="pct"/>
            <w:tcBorders>
              <w:top w:val="nil"/>
              <w:left w:val="nil"/>
              <w:bottom w:val="nil"/>
              <w:right w:val="nil"/>
            </w:tcBorders>
            <w:shd w:val="clear" w:color="auto" w:fill="auto"/>
            <w:noWrap/>
            <w:vAlign w:val="center"/>
            <w:hideMark/>
          </w:tcPr>
          <w:p w14:paraId="15E8DD1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33 217</w:t>
            </w:r>
          </w:p>
        </w:tc>
        <w:tc>
          <w:tcPr>
            <w:tcW w:w="472" w:type="pct"/>
            <w:tcBorders>
              <w:top w:val="nil"/>
              <w:left w:val="nil"/>
              <w:bottom w:val="nil"/>
              <w:right w:val="nil"/>
            </w:tcBorders>
            <w:shd w:val="clear" w:color="auto" w:fill="auto"/>
            <w:noWrap/>
            <w:vAlign w:val="center"/>
            <w:hideMark/>
          </w:tcPr>
          <w:p w14:paraId="2175B0E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34 591</w:t>
            </w:r>
          </w:p>
        </w:tc>
        <w:tc>
          <w:tcPr>
            <w:tcW w:w="530" w:type="pct"/>
            <w:tcBorders>
              <w:top w:val="nil"/>
              <w:left w:val="nil"/>
              <w:bottom w:val="nil"/>
              <w:right w:val="nil"/>
            </w:tcBorders>
            <w:shd w:val="clear" w:color="auto" w:fill="auto"/>
            <w:noWrap/>
            <w:vAlign w:val="center"/>
            <w:hideMark/>
          </w:tcPr>
          <w:p w14:paraId="3B0FDAE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36 547</w:t>
            </w:r>
          </w:p>
        </w:tc>
        <w:tc>
          <w:tcPr>
            <w:tcW w:w="514" w:type="pct"/>
            <w:tcBorders>
              <w:top w:val="nil"/>
              <w:left w:val="nil"/>
              <w:bottom w:val="nil"/>
              <w:right w:val="nil"/>
            </w:tcBorders>
            <w:shd w:val="clear" w:color="auto" w:fill="auto"/>
            <w:noWrap/>
            <w:vAlign w:val="center"/>
            <w:hideMark/>
          </w:tcPr>
          <w:p w14:paraId="6A4D424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38 646</w:t>
            </w:r>
          </w:p>
        </w:tc>
        <w:tc>
          <w:tcPr>
            <w:tcW w:w="526" w:type="pct"/>
            <w:tcBorders>
              <w:top w:val="nil"/>
              <w:left w:val="nil"/>
              <w:bottom w:val="nil"/>
              <w:right w:val="nil"/>
            </w:tcBorders>
            <w:shd w:val="clear" w:color="auto" w:fill="auto"/>
            <w:noWrap/>
            <w:vAlign w:val="center"/>
            <w:hideMark/>
          </w:tcPr>
          <w:p w14:paraId="30F49BC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40 609</w:t>
            </w:r>
          </w:p>
        </w:tc>
      </w:tr>
      <w:tr w:rsidR="00D94493" w:rsidRPr="00D94493" w14:paraId="1E1855D1" w14:textId="77777777" w:rsidTr="00D94493">
        <w:trPr>
          <w:trHeight w:val="170"/>
        </w:trPr>
        <w:tc>
          <w:tcPr>
            <w:tcW w:w="1898" w:type="pct"/>
            <w:tcBorders>
              <w:top w:val="nil"/>
              <w:left w:val="nil"/>
              <w:bottom w:val="nil"/>
              <w:right w:val="nil"/>
            </w:tcBorders>
            <w:shd w:val="clear" w:color="auto" w:fill="auto"/>
            <w:noWrap/>
            <w:vAlign w:val="bottom"/>
            <w:hideMark/>
          </w:tcPr>
          <w:p w14:paraId="4E8A745E"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cestná daň - dobeh</w:t>
            </w:r>
          </w:p>
        </w:tc>
        <w:tc>
          <w:tcPr>
            <w:tcW w:w="530" w:type="pct"/>
            <w:tcBorders>
              <w:top w:val="nil"/>
              <w:left w:val="nil"/>
              <w:bottom w:val="nil"/>
              <w:right w:val="nil"/>
            </w:tcBorders>
            <w:shd w:val="clear" w:color="auto" w:fill="auto"/>
            <w:noWrap/>
            <w:vAlign w:val="center"/>
            <w:hideMark/>
          </w:tcPr>
          <w:p w14:paraId="309F238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w:t>
            </w:r>
          </w:p>
        </w:tc>
        <w:tc>
          <w:tcPr>
            <w:tcW w:w="530" w:type="pct"/>
            <w:tcBorders>
              <w:top w:val="nil"/>
              <w:left w:val="nil"/>
              <w:bottom w:val="nil"/>
              <w:right w:val="nil"/>
            </w:tcBorders>
            <w:shd w:val="clear" w:color="auto" w:fill="auto"/>
            <w:noWrap/>
            <w:vAlign w:val="center"/>
            <w:hideMark/>
          </w:tcPr>
          <w:p w14:paraId="6421A7C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472" w:type="pct"/>
            <w:tcBorders>
              <w:top w:val="nil"/>
              <w:left w:val="nil"/>
              <w:bottom w:val="nil"/>
              <w:right w:val="nil"/>
            </w:tcBorders>
            <w:shd w:val="clear" w:color="auto" w:fill="auto"/>
            <w:noWrap/>
            <w:vAlign w:val="center"/>
            <w:hideMark/>
          </w:tcPr>
          <w:p w14:paraId="7A2FA6E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30" w:type="pct"/>
            <w:tcBorders>
              <w:top w:val="nil"/>
              <w:left w:val="nil"/>
              <w:bottom w:val="nil"/>
              <w:right w:val="nil"/>
            </w:tcBorders>
            <w:shd w:val="clear" w:color="auto" w:fill="auto"/>
            <w:noWrap/>
            <w:vAlign w:val="center"/>
            <w:hideMark/>
          </w:tcPr>
          <w:p w14:paraId="1122218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14" w:type="pct"/>
            <w:tcBorders>
              <w:top w:val="nil"/>
              <w:left w:val="nil"/>
              <w:bottom w:val="nil"/>
              <w:right w:val="nil"/>
            </w:tcBorders>
            <w:shd w:val="clear" w:color="auto" w:fill="auto"/>
            <w:noWrap/>
            <w:vAlign w:val="center"/>
            <w:hideMark/>
          </w:tcPr>
          <w:p w14:paraId="656C90B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26" w:type="pct"/>
            <w:tcBorders>
              <w:top w:val="nil"/>
              <w:left w:val="nil"/>
              <w:bottom w:val="nil"/>
              <w:right w:val="nil"/>
            </w:tcBorders>
            <w:shd w:val="clear" w:color="auto" w:fill="auto"/>
            <w:noWrap/>
            <w:vAlign w:val="center"/>
            <w:hideMark/>
          </w:tcPr>
          <w:p w14:paraId="10F83BB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2CC09FD1" w14:textId="77777777" w:rsidTr="00D94493">
        <w:trPr>
          <w:trHeight w:val="170"/>
        </w:trPr>
        <w:tc>
          <w:tcPr>
            <w:tcW w:w="1898" w:type="pct"/>
            <w:tcBorders>
              <w:top w:val="nil"/>
              <w:left w:val="nil"/>
              <w:bottom w:val="nil"/>
              <w:right w:val="nil"/>
            </w:tcBorders>
            <w:shd w:val="clear" w:color="auto" w:fill="auto"/>
            <w:noWrap/>
            <w:vAlign w:val="bottom"/>
            <w:hideMark/>
          </w:tcPr>
          <w:p w14:paraId="26A10772"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odvod z poistenia</w:t>
            </w:r>
          </w:p>
        </w:tc>
        <w:tc>
          <w:tcPr>
            <w:tcW w:w="530" w:type="pct"/>
            <w:tcBorders>
              <w:top w:val="nil"/>
              <w:left w:val="nil"/>
              <w:bottom w:val="nil"/>
              <w:right w:val="nil"/>
            </w:tcBorders>
            <w:shd w:val="clear" w:color="auto" w:fill="auto"/>
            <w:noWrap/>
            <w:vAlign w:val="center"/>
            <w:hideMark/>
          </w:tcPr>
          <w:p w14:paraId="0AA7761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507</w:t>
            </w:r>
          </w:p>
        </w:tc>
        <w:tc>
          <w:tcPr>
            <w:tcW w:w="530" w:type="pct"/>
            <w:tcBorders>
              <w:top w:val="nil"/>
              <w:left w:val="nil"/>
              <w:bottom w:val="nil"/>
              <w:right w:val="nil"/>
            </w:tcBorders>
            <w:shd w:val="clear" w:color="auto" w:fill="auto"/>
            <w:noWrap/>
            <w:vAlign w:val="center"/>
            <w:hideMark/>
          </w:tcPr>
          <w:p w14:paraId="5568E88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215</w:t>
            </w:r>
          </w:p>
        </w:tc>
        <w:tc>
          <w:tcPr>
            <w:tcW w:w="472" w:type="pct"/>
            <w:tcBorders>
              <w:top w:val="nil"/>
              <w:left w:val="nil"/>
              <w:bottom w:val="nil"/>
              <w:right w:val="nil"/>
            </w:tcBorders>
            <w:shd w:val="clear" w:color="auto" w:fill="auto"/>
            <w:noWrap/>
            <w:vAlign w:val="center"/>
            <w:hideMark/>
          </w:tcPr>
          <w:p w14:paraId="34AD5D0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471</w:t>
            </w:r>
          </w:p>
        </w:tc>
        <w:tc>
          <w:tcPr>
            <w:tcW w:w="530" w:type="pct"/>
            <w:tcBorders>
              <w:top w:val="nil"/>
              <w:left w:val="nil"/>
              <w:bottom w:val="nil"/>
              <w:right w:val="nil"/>
            </w:tcBorders>
            <w:shd w:val="clear" w:color="auto" w:fill="auto"/>
            <w:noWrap/>
            <w:vAlign w:val="center"/>
            <w:hideMark/>
          </w:tcPr>
          <w:p w14:paraId="79D6DB8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14" w:type="pct"/>
            <w:tcBorders>
              <w:top w:val="nil"/>
              <w:left w:val="nil"/>
              <w:bottom w:val="nil"/>
              <w:right w:val="nil"/>
            </w:tcBorders>
            <w:shd w:val="clear" w:color="auto" w:fill="auto"/>
            <w:noWrap/>
            <w:vAlign w:val="center"/>
            <w:hideMark/>
          </w:tcPr>
          <w:p w14:paraId="42B0281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26" w:type="pct"/>
            <w:tcBorders>
              <w:top w:val="nil"/>
              <w:left w:val="nil"/>
              <w:bottom w:val="nil"/>
              <w:right w:val="nil"/>
            </w:tcBorders>
            <w:shd w:val="clear" w:color="auto" w:fill="auto"/>
            <w:noWrap/>
            <w:vAlign w:val="center"/>
            <w:hideMark/>
          </w:tcPr>
          <w:p w14:paraId="7AFF3C7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7573E18A" w14:textId="77777777" w:rsidTr="00D94493">
        <w:trPr>
          <w:trHeight w:val="170"/>
        </w:trPr>
        <w:tc>
          <w:tcPr>
            <w:tcW w:w="1898" w:type="pct"/>
            <w:tcBorders>
              <w:top w:val="nil"/>
              <w:left w:val="nil"/>
              <w:bottom w:val="nil"/>
              <w:right w:val="nil"/>
            </w:tcBorders>
            <w:shd w:val="clear" w:color="auto" w:fill="auto"/>
            <w:noWrap/>
            <w:vAlign w:val="bottom"/>
            <w:hideMark/>
          </w:tcPr>
          <w:p w14:paraId="74BFDA15"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 z poistenia</w:t>
            </w:r>
          </w:p>
        </w:tc>
        <w:tc>
          <w:tcPr>
            <w:tcW w:w="530" w:type="pct"/>
            <w:tcBorders>
              <w:top w:val="nil"/>
              <w:left w:val="nil"/>
              <w:bottom w:val="nil"/>
              <w:right w:val="nil"/>
            </w:tcBorders>
            <w:shd w:val="clear" w:color="auto" w:fill="auto"/>
            <w:noWrap/>
            <w:vAlign w:val="center"/>
            <w:hideMark/>
          </w:tcPr>
          <w:p w14:paraId="7F1E4A9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80 369</w:t>
            </w:r>
          </w:p>
        </w:tc>
        <w:tc>
          <w:tcPr>
            <w:tcW w:w="530" w:type="pct"/>
            <w:tcBorders>
              <w:top w:val="nil"/>
              <w:left w:val="nil"/>
              <w:bottom w:val="nil"/>
              <w:right w:val="nil"/>
            </w:tcBorders>
            <w:shd w:val="clear" w:color="auto" w:fill="auto"/>
            <w:noWrap/>
            <w:vAlign w:val="center"/>
            <w:hideMark/>
          </w:tcPr>
          <w:p w14:paraId="481F8F1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90 320</w:t>
            </w:r>
          </w:p>
        </w:tc>
        <w:tc>
          <w:tcPr>
            <w:tcW w:w="472" w:type="pct"/>
            <w:tcBorders>
              <w:top w:val="nil"/>
              <w:left w:val="nil"/>
              <w:bottom w:val="nil"/>
              <w:right w:val="nil"/>
            </w:tcBorders>
            <w:shd w:val="clear" w:color="auto" w:fill="auto"/>
            <w:noWrap/>
            <w:vAlign w:val="center"/>
            <w:hideMark/>
          </w:tcPr>
          <w:p w14:paraId="7DC14D4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101 805</w:t>
            </w:r>
          </w:p>
        </w:tc>
        <w:tc>
          <w:tcPr>
            <w:tcW w:w="530" w:type="pct"/>
            <w:tcBorders>
              <w:top w:val="nil"/>
              <w:left w:val="nil"/>
              <w:bottom w:val="nil"/>
              <w:right w:val="nil"/>
            </w:tcBorders>
            <w:shd w:val="clear" w:color="auto" w:fill="auto"/>
            <w:noWrap/>
            <w:vAlign w:val="center"/>
            <w:hideMark/>
          </w:tcPr>
          <w:p w14:paraId="7BBE9A8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109 683</w:t>
            </w:r>
          </w:p>
        </w:tc>
        <w:tc>
          <w:tcPr>
            <w:tcW w:w="514" w:type="pct"/>
            <w:tcBorders>
              <w:top w:val="nil"/>
              <w:left w:val="nil"/>
              <w:bottom w:val="nil"/>
              <w:right w:val="nil"/>
            </w:tcBorders>
            <w:shd w:val="clear" w:color="auto" w:fill="auto"/>
            <w:noWrap/>
            <w:vAlign w:val="center"/>
            <w:hideMark/>
          </w:tcPr>
          <w:p w14:paraId="5A3AD8B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116 264</w:t>
            </w:r>
          </w:p>
        </w:tc>
        <w:tc>
          <w:tcPr>
            <w:tcW w:w="526" w:type="pct"/>
            <w:tcBorders>
              <w:top w:val="nil"/>
              <w:left w:val="nil"/>
              <w:bottom w:val="nil"/>
              <w:right w:val="nil"/>
            </w:tcBorders>
            <w:shd w:val="clear" w:color="auto" w:fill="auto"/>
            <w:noWrap/>
            <w:vAlign w:val="center"/>
            <w:hideMark/>
          </w:tcPr>
          <w:p w14:paraId="1E992D8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122 432</w:t>
            </w:r>
          </w:p>
        </w:tc>
      </w:tr>
      <w:tr w:rsidR="00D94493" w:rsidRPr="00D94493" w14:paraId="1E5A475D" w14:textId="77777777" w:rsidTr="00D94493">
        <w:trPr>
          <w:trHeight w:val="170"/>
        </w:trPr>
        <w:tc>
          <w:tcPr>
            <w:tcW w:w="1898" w:type="pct"/>
            <w:tcBorders>
              <w:top w:val="nil"/>
              <w:left w:val="nil"/>
              <w:bottom w:val="nil"/>
              <w:right w:val="nil"/>
            </w:tcBorders>
            <w:shd w:val="clear" w:color="auto" w:fill="auto"/>
            <w:noWrap/>
            <w:vAlign w:val="bottom"/>
            <w:hideMark/>
          </w:tcPr>
          <w:p w14:paraId="79A05AFF"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odvod z PZP</w:t>
            </w:r>
          </w:p>
        </w:tc>
        <w:tc>
          <w:tcPr>
            <w:tcW w:w="530" w:type="pct"/>
            <w:tcBorders>
              <w:top w:val="nil"/>
              <w:left w:val="nil"/>
              <w:bottom w:val="nil"/>
              <w:right w:val="nil"/>
            </w:tcBorders>
            <w:shd w:val="clear" w:color="auto" w:fill="auto"/>
            <w:noWrap/>
            <w:vAlign w:val="center"/>
            <w:hideMark/>
          </w:tcPr>
          <w:p w14:paraId="17CFF02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32 180</w:t>
            </w:r>
          </w:p>
        </w:tc>
        <w:tc>
          <w:tcPr>
            <w:tcW w:w="530" w:type="pct"/>
            <w:tcBorders>
              <w:top w:val="nil"/>
              <w:left w:val="nil"/>
              <w:bottom w:val="nil"/>
              <w:right w:val="nil"/>
            </w:tcBorders>
            <w:shd w:val="clear" w:color="auto" w:fill="auto"/>
            <w:noWrap/>
            <w:vAlign w:val="center"/>
            <w:hideMark/>
          </w:tcPr>
          <w:p w14:paraId="1F3E052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33 217</w:t>
            </w:r>
          </w:p>
        </w:tc>
        <w:tc>
          <w:tcPr>
            <w:tcW w:w="472" w:type="pct"/>
            <w:tcBorders>
              <w:top w:val="nil"/>
              <w:left w:val="nil"/>
              <w:bottom w:val="nil"/>
              <w:right w:val="nil"/>
            </w:tcBorders>
            <w:shd w:val="clear" w:color="auto" w:fill="auto"/>
            <w:noWrap/>
            <w:vAlign w:val="center"/>
            <w:hideMark/>
          </w:tcPr>
          <w:p w14:paraId="295981D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34 591</w:t>
            </w:r>
          </w:p>
        </w:tc>
        <w:tc>
          <w:tcPr>
            <w:tcW w:w="530" w:type="pct"/>
            <w:tcBorders>
              <w:top w:val="nil"/>
              <w:left w:val="nil"/>
              <w:bottom w:val="nil"/>
              <w:right w:val="nil"/>
            </w:tcBorders>
            <w:shd w:val="clear" w:color="auto" w:fill="auto"/>
            <w:noWrap/>
            <w:vAlign w:val="center"/>
            <w:hideMark/>
          </w:tcPr>
          <w:p w14:paraId="69D6DD8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36 547</w:t>
            </w:r>
          </w:p>
        </w:tc>
        <w:tc>
          <w:tcPr>
            <w:tcW w:w="514" w:type="pct"/>
            <w:tcBorders>
              <w:top w:val="nil"/>
              <w:left w:val="nil"/>
              <w:bottom w:val="nil"/>
              <w:right w:val="nil"/>
            </w:tcBorders>
            <w:shd w:val="clear" w:color="auto" w:fill="auto"/>
            <w:noWrap/>
            <w:vAlign w:val="center"/>
            <w:hideMark/>
          </w:tcPr>
          <w:p w14:paraId="72FEA99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38 646</w:t>
            </w:r>
          </w:p>
        </w:tc>
        <w:tc>
          <w:tcPr>
            <w:tcW w:w="526" w:type="pct"/>
            <w:tcBorders>
              <w:top w:val="nil"/>
              <w:left w:val="nil"/>
              <w:bottom w:val="nil"/>
              <w:right w:val="nil"/>
            </w:tcBorders>
            <w:shd w:val="clear" w:color="auto" w:fill="auto"/>
            <w:noWrap/>
            <w:vAlign w:val="center"/>
            <w:hideMark/>
          </w:tcPr>
          <w:p w14:paraId="2EBCDC4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40 609</w:t>
            </w:r>
          </w:p>
        </w:tc>
      </w:tr>
      <w:tr w:rsidR="00D94493" w:rsidRPr="00D94493" w14:paraId="50304664" w14:textId="77777777" w:rsidTr="00D94493">
        <w:trPr>
          <w:trHeight w:val="170"/>
        </w:trPr>
        <w:tc>
          <w:tcPr>
            <w:tcW w:w="1898" w:type="pct"/>
            <w:tcBorders>
              <w:top w:val="nil"/>
              <w:left w:val="nil"/>
              <w:bottom w:val="nil"/>
              <w:right w:val="nil"/>
            </w:tcBorders>
            <w:shd w:val="clear" w:color="auto" w:fill="auto"/>
            <w:noWrap/>
            <w:vAlign w:val="bottom"/>
            <w:hideMark/>
          </w:tcPr>
          <w:p w14:paraId="08707289" w14:textId="77777777" w:rsidR="00D94493" w:rsidRPr="00D94493" w:rsidRDefault="00D94493" w:rsidP="00D94493">
            <w:pPr>
              <w:spacing w:after="0" w:line="240" w:lineRule="auto"/>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Fondy sociálneho a zdravotného poistenia (FSZP)</w:t>
            </w:r>
          </w:p>
        </w:tc>
        <w:tc>
          <w:tcPr>
            <w:tcW w:w="530" w:type="pct"/>
            <w:tcBorders>
              <w:top w:val="nil"/>
              <w:left w:val="nil"/>
              <w:bottom w:val="nil"/>
              <w:right w:val="nil"/>
            </w:tcBorders>
            <w:shd w:val="clear" w:color="auto" w:fill="auto"/>
            <w:noWrap/>
            <w:vAlign w:val="center"/>
            <w:hideMark/>
          </w:tcPr>
          <w:p w14:paraId="5CE6AAA3"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13 079 645</w:t>
            </w:r>
          </w:p>
        </w:tc>
        <w:tc>
          <w:tcPr>
            <w:tcW w:w="530" w:type="pct"/>
            <w:tcBorders>
              <w:top w:val="nil"/>
              <w:left w:val="nil"/>
              <w:bottom w:val="nil"/>
              <w:right w:val="nil"/>
            </w:tcBorders>
            <w:shd w:val="clear" w:color="auto" w:fill="auto"/>
            <w:noWrap/>
            <w:vAlign w:val="center"/>
            <w:hideMark/>
          </w:tcPr>
          <w:p w14:paraId="182D2A40"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14 174 040</w:t>
            </w:r>
          </w:p>
        </w:tc>
        <w:tc>
          <w:tcPr>
            <w:tcW w:w="472" w:type="pct"/>
            <w:tcBorders>
              <w:top w:val="nil"/>
              <w:left w:val="nil"/>
              <w:bottom w:val="nil"/>
              <w:right w:val="nil"/>
            </w:tcBorders>
            <w:shd w:val="clear" w:color="auto" w:fill="auto"/>
            <w:noWrap/>
            <w:vAlign w:val="center"/>
            <w:hideMark/>
          </w:tcPr>
          <w:p w14:paraId="17BA9678"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15 346 647</w:t>
            </w:r>
          </w:p>
        </w:tc>
        <w:tc>
          <w:tcPr>
            <w:tcW w:w="530" w:type="pct"/>
            <w:tcBorders>
              <w:top w:val="nil"/>
              <w:left w:val="nil"/>
              <w:bottom w:val="nil"/>
              <w:right w:val="nil"/>
            </w:tcBorders>
            <w:shd w:val="clear" w:color="auto" w:fill="auto"/>
            <w:noWrap/>
            <w:vAlign w:val="center"/>
            <w:hideMark/>
          </w:tcPr>
          <w:p w14:paraId="6C2B3C6D"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17 279 116</w:t>
            </w:r>
          </w:p>
        </w:tc>
        <w:tc>
          <w:tcPr>
            <w:tcW w:w="514" w:type="pct"/>
            <w:tcBorders>
              <w:top w:val="nil"/>
              <w:left w:val="nil"/>
              <w:bottom w:val="nil"/>
              <w:right w:val="nil"/>
            </w:tcBorders>
            <w:shd w:val="clear" w:color="auto" w:fill="auto"/>
            <w:noWrap/>
            <w:vAlign w:val="center"/>
            <w:hideMark/>
          </w:tcPr>
          <w:p w14:paraId="51BA22B3"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18 229 884</w:t>
            </w:r>
          </w:p>
        </w:tc>
        <w:tc>
          <w:tcPr>
            <w:tcW w:w="526" w:type="pct"/>
            <w:tcBorders>
              <w:top w:val="nil"/>
              <w:left w:val="nil"/>
              <w:bottom w:val="nil"/>
              <w:right w:val="nil"/>
            </w:tcBorders>
            <w:shd w:val="clear" w:color="auto" w:fill="auto"/>
            <w:noWrap/>
            <w:vAlign w:val="center"/>
            <w:hideMark/>
          </w:tcPr>
          <w:p w14:paraId="6CD205AA"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19 010 986</w:t>
            </w:r>
          </w:p>
        </w:tc>
      </w:tr>
      <w:tr w:rsidR="00D94493" w:rsidRPr="00D94493" w14:paraId="3D2C1164" w14:textId="77777777" w:rsidTr="00D94493">
        <w:trPr>
          <w:trHeight w:val="170"/>
        </w:trPr>
        <w:tc>
          <w:tcPr>
            <w:tcW w:w="1898" w:type="pct"/>
            <w:tcBorders>
              <w:top w:val="nil"/>
              <w:left w:val="nil"/>
              <w:bottom w:val="nil"/>
              <w:right w:val="nil"/>
            </w:tcBorders>
            <w:shd w:val="clear" w:color="auto" w:fill="auto"/>
            <w:noWrap/>
            <w:vAlign w:val="bottom"/>
            <w:hideMark/>
          </w:tcPr>
          <w:p w14:paraId="67093913" w14:textId="77777777" w:rsidR="00D94493" w:rsidRPr="00D94493" w:rsidRDefault="00D94493" w:rsidP="00D94493">
            <w:pPr>
              <w:spacing w:after="0" w:line="240" w:lineRule="auto"/>
              <w:ind w:firstLineChars="200" w:firstLine="280"/>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Sociálna poisťovňa</w:t>
            </w:r>
          </w:p>
        </w:tc>
        <w:tc>
          <w:tcPr>
            <w:tcW w:w="530" w:type="pct"/>
            <w:tcBorders>
              <w:top w:val="nil"/>
              <w:left w:val="nil"/>
              <w:bottom w:val="nil"/>
              <w:right w:val="nil"/>
            </w:tcBorders>
            <w:shd w:val="clear" w:color="auto" w:fill="auto"/>
            <w:noWrap/>
            <w:vAlign w:val="center"/>
            <w:hideMark/>
          </w:tcPr>
          <w:p w14:paraId="67DF8A6E" w14:textId="77777777" w:rsidR="00D94493" w:rsidRPr="00D94493" w:rsidRDefault="00D94493" w:rsidP="00D94493">
            <w:pPr>
              <w:spacing w:after="0" w:line="240" w:lineRule="auto"/>
              <w:ind w:left="-353" w:firstLine="353"/>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8 699 966</w:t>
            </w:r>
          </w:p>
        </w:tc>
        <w:tc>
          <w:tcPr>
            <w:tcW w:w="530" w:type="pct"/>
            <w:tcBorders>
              <w:top w:val="nil"/>
              <w:left w:val="nil"/>
              <w:bottom w:val="nil"/>
              <w:right w:val="nil"/>
            </w:tcBorders>
            <w:shd w:val="clear" w:color="auto" w:fill="auto"/>
            <w:noWrap/>
            <w:vAlign w:val="center"/>
            <w:hideMark/>
          </w:tcPr>
          <w:p w14:paraId="05CE99D2"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9 466 717</w:t>
            </w:r>
          </w:p>
        </w:tc>
        <w:tc>
          <w:tcPr>
            <w:tcW w:w="472" w:type="pct"/>
            <w:tcBorders>
              <w:top w:val="nil"/>
              <w:left w:val="nil"/>
              <w:bottom w:val="nil"/>
              <w:right w:val="nil"/>
            </w:tcBorders>
            <w:shd w:val="clear" w:color="auto" w:fill="auto"/>
            <w:noWrap/>
            <w:vAlign w:val="center"/>
            <w:hideMark/>
          </w:tcPr>
          <w:p w14:paraId="61EFCA6E"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10 168 749</w:t>
            </w:r>
          </w:p>
        </w:tc>
        <w:tc>
          <w:tcPr>
            <w:tcW w:w="530" w:type="pct"/>
            <w:tcBorders>
              <w:top w:val="nil"/>
              <w:left w:val="nil"/>
              <w:bottom w:val="nil"/>
              <w:right w:val="nil"/>
            </w:tcBorders>
            <w:shd w:val="clear" w:color="auto" w:fill="auto"/>
            <w:noWrap/>
            <w:vAlign w:val="center"/>
            <w:hideMark/>
          </w:tcPr>
          <w:p w14:paraId="4735C031"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11 300 511</w:t>
            </w:r>
          </w:p>
        </w:tc>
        <w:tc>
          <w:tcPr>
            <w:tcW w:w="514" w:type="pct"/>
            <w:tcBorders>
              <w:top w:val="nil"/>
              <w:left w:val="nil"/>
              <w:bottom w:val="nil"/>
              <w:right w:val="nil"/>
            </w:tcBorders>
            <w:shd w:val="clear" w:color="auto" w:fill="auto"/>
            <w:noWrap/>
            <w:vAlign w:val="center"/>
            <w:hideMark/>
          </w:tcPr>
          <w:p w14:paraId="741AF6A8"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11 911 312</w:t>
            </w:r>
          </w:p>
        </w:tc>
        <w:tc>
          <w:tcPr>
            <w:tcW w:w="526" w:type="pct"/>
            <w:tcBorders>
              <w:top w:val="nil"/>
              <w:left w:val="nil"/>
              <w:bottom w:val="nil"/>
              <w:right w:val="nil"/>
            </w:tcBorders>
            <w:shd w:val="clear" w:color="auto" w:fill="auto"/>
            <w:noWrap/>
            <w:vAlign w:val="center"/>
            <w:hideMark/>
          </w:tcPr>
          <w:p w14:paraId="49758996"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12 406 438</w:t>
            </w:r>
          </w:p>
        </w:tc>
      </w:tr>
      <w:tr w:rsidR="00D94493" w:rsidRPr="00D94493" w14:paraId="22889484" w14:textId="77777777" w:rsidTr="00D94493">
        <w:trPr>
          <w:trHeight w:val="170"/>
        </w:trPr>
        <w:tc>
          <w:tcPr>
            <w:tcW w:w="1898" w:type="pct"/>
            <w:tcBorders>
              <w:top w:val="nil"/>
              <w:left w:val="nil"/>
              <w:bottom w:val="nil"/>
              <w:right w:val="nil"/>
            </w:tcBorders>
            <w:shd w:val="clear" w:color="auto" w:fill="auto"/>
            <w:noWrap/>
            <w:vAlign w:val="bottom"/>
            <w:hideMark/>
          </w:tcPr>
          <w:p w14:paraId="5EA3F142"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Ekonomicky aktívne obyvateľstvo + dlžné</w:t>
            </w:r>
          </w:p>
        </w:tc>
        <w:tc>
          <w:tcPr>
            <w:tcW w:w="530" w:type="pct"/>
            <w:tcBorders>
              <w:top w:val="nil"/>
              <w:left w:val="nil"/>
              <w:bottom w:val="nil"/>
              <w:right w:val="nil"/>
            </w:tcBorders>
            <w:shd w:val="clear" w:color="auto" w:fill="auto"/>
            <w:noWrap/>
            <w:vAlign w:val="center"/>
            <w:hideMark/>
          </w:tcPr>
          <w:p w14:paraId="526B593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8 699 966</w:t>
            </w:r>
          </w:p>
        </w:tc>
        <w:tc>
          <w:tcPr>
            <w:tcW w:w="530" w:type="pct"/>
            <w:tcBorders>
              <w:top w:val="nil"/>
              <w:left w:val="nil"/>
              <w:bottom w:val="nil"/>
              <w:right w:val="nil"/>
            </w:tcBorders>
            <w:shd w:val="clear" w:color="auto" w:fill="auto"/>
            <w:noWrap/>
            <w:vAlign w:val="center"/>
            <w:hideMark/>
          </w:tcPr>
          <w:p w14:paraId="7B49ECC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9 466 717</w:t>
            </w:r>
          </w:p>
        </w:tc>
        <w:tc>
          <w:tcPr>
            <w:tcW w:w="472" w:type="pct"/>
            <w:tcBorders>
              <w:top w:val="nil"/>
              <w:left w:val="nil"/>
              <w:bottom w:val="nil"/>
              <w:right w:val="nil"/>
            </w:tcBorders>
            <w:shd w:val="clear" w:color="auto" w:fill="auto"/>
            <w:noWrap/>
            <w:vAlign w:val="center"/>
            <w:hideMark/>
          </w:tcPr>
          <w:p w14:paraId="5E0D02F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10 168 749</w:t>
            </w:r>
          </w:p>
        </w:tc>
        <w:tc>
          <w:tcPr>
            <w:tcW w:w="530" w:type="pct"/>
            <w:tcBorders>
              <w:top w:val="nil"/>
              <w:left w:val="nil"/>
              <w:bottom w:val="nil"/>
              <w:right w:val="nil"/>
            </w:tcBorders>
            <w:shd w:val="clear" w:color="auto" w:fill="auto"/>
            <w:noWrap/>
            <w:vAlign w:val="center"/>
            <w:hideMark/>
          </w:tcPr>
          <w:p w14:paraId="343820B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11 300 511</w:t>
            </w:r>
          </w:p>
        </w:tc>
        <w:tc>
          <w:tcPr>
            <w:tcW w:w="514" w:type="pct"/>
            <w:tcBorders>
              <w:top w:val="nil"/>
              <w:left w:val="nil"/>
              <w:bottom w:val="nil"/>
              <w:right w:val="nil"/>
            </w:tcBorders>
            <w:shd w:val="clear" w:color="auto" w:fill="auto"/>
            <w:noWrap/>
            <w:vAlign w:val="center"/>
            <w:hideMark/>
          </w:tcPr>
          <w:p w14:paraId="684AE10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11 911 312</w:t>
            </w:r>
          </w:p>
        </w:tc>
        <w:tc>
          <w:tcPr>
            <w:tcW w:w="526" w:type="pct"/>
            <w:tcBorders>
              <w:top w:val="nil"/>
              <w:left w:val="nil"/>
              <w:bottom w:val="nil"/>
              <w:right w:val="nil"/>
            </w:tcBorders>
            <w:shd w:val="clear" w:color="auto" w:fill="auto"/>
            <w:noWrap/>
            <w:vAlign w:val="center"/>
            <w:hideMark/>
          </w:tcPr>
          <w:p w14:paraId="1BA84C6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12 406 438</w:t>
            </w:r>
          </w:p>
        </w:tc>
      </w:tr>
      <w:tr w:rsidR="00D94493" w:rsidRPr="00D94493" w14:paraId="19AB3C0E" w14:textId="77777777" w:rsidTr="00D94493">
        <w:trPr>
          <w:trHeight w:val="170"/>
        </w:trPr>
        <w:tc>
          <w:tcPr>
            <w:tcW w:w="1898" w:type="pct"/>
            <w:tcBorders>
              <w:top w:val="nil"/>
              <w:left w:val="nil"/>
              <w:bottom w:val="nil"/>
              <w:right w:val="nil"/>
            </w:tcBorders>
            <w:shd w:val="clear" w:color="auto" w:fill="auto"/>
            <w:noWrap/>
            <w:vAlign w:val="bottom"/>
            <w:hideMark/>
          </w:tcPr>
          <w:p w14:paraId="6CB65827"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 - EAO</w:t>
            </w:r>
          </w:p>
        </w:tc>
        <w:tc>
          <w:tcPr>
            <w:tcW w:w="530" w:type="pct"/>
            <w:tcBorders>
              <w:top w:val="nil"/>
              <w:left w:val="nil"/>
              <w:bottom w:val="nil"/>
              <w:right w:val="nil"/>
            </w:tcBorders>
            <w:shd w:val="clear" w:color="auto" w:fill="auto"/>
            <w:noWrap/>
            <w:vAlign w:val="center"/>
            <w:hideMark/>
          </w:tcPr>
          <w:p w14:paraId="2A60C5F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8 510 358</w:t>
            </w:r>
          </w:p>
        </w:tc>
        <w:tc>
          <w:tcPr>
            <w:tcW w:w="530" w:type="pct"/>
            <w:tcBorders>
              <w:top w:val="nil"/>
              <w:left w:val="nil"/>
              <w:bottom w:val="nil"/>
              <w:right w:val="nil"/>
            </w:tcBorders>
            <w:shd w:val="clear" w:color="auto" w:fill="auto"/>
            <w:noWrap/>
            <w:vAlign w:val="center"/>
            <w:hideMark/>
          </w:tcPr>
          <w:p w14:paraId="5D97102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9 063 830</w:t>
            </w:r>
          </w:p>
        </w:tc>
        <w:tc>
          <w:tcPr>
            <w:tcW w:w="472" w:type="pct"/>
            <w:tcBorders>
              <w:top w:val="nil"/>
              <w:left w:val="nil"/>
              <w:bottom w:val="nil"/>
              <w:right w:val="nil"/>
            </w:tcBorders>
            <w:shd w:val="clear" w:color="auto" w:fill="auto"/>
            <w:noWrap/>
            <w:vAlign w:val="center"/>
            <w:hideMark/>
          </w:tcPr>
          <w:p w14:paraId="0753CBA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9 921 390</w:t>
            </w:r>
          </w:p>
        </w:tc>
        <w:tc>
          <w:tcPr>
            <w:tcW w:w="530" w:type="pct"/>
            <w:tcBorders>
              <w:top w:val="nil"/>
              <w:left w:val="nil"/>
              <w:bottom w:val="nil"/>
              <w:right w:val="nil"/>
            </w:tcBorders>
            <w:shd w:val="clear" w:color="auto" w:fill="auto"/>
            <w:noWrap/>
            <w:vAlign w:val="center"/>
            <w:hideMark/>
          </w:tcPr>
          <w:p w14:paraId="34B8F94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11 081 509</w:t>
            </w:r>
          </w:p>
        </w:tc>
        <w:tc>
          <w:tcPr>
            <w:tcW w:w="514" w:type="pct"/>
            <w:tcBorders>
              <w:top w:val="nil"/>
              <w:left w:val="nil"/>
              <w:bottom w:val="nil"/>
              <w:right w:val="nil"/>
            </w:tcBorders>
            <w:shd w:val="clear" w:color="auto" w:fill="auto"/>
            <w:noWrap/>
            <w:vAlign w:val="center"/>
            <w:hideMark/>
          </w:tcPr>
          <w:p w14:paraId="373FB4F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11 691 806</w:t>
            </w:r>
          </w:p>
        </w:tc>
        <w:tc>
          <w:tcPr>
            <w:tcW w:w="526" w:type="pct"/>
            <w:tcBorders>
              <w:top w:val="nil"/>
              <w:left w:val="nil"/>
              <w:bottom w:val="nil"/>
              <w:right w:val="nil"/>
            </w:tcBorders>
            <w:shd w:val="clear" w:color="auto" w:fill="auto"/>
            <w:noWrap/>
            <w:vAlign w:val="center"/>
            <w:hideMark/>
          </w:tcPr>
          <w:p w14:paraId="220E4CF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12 187 893</w:t>
            </w:r>
          </w:p>
        </w:tc>
      </w:tr>
      <w:tr w:rsidR="00D94493" w:rsidRPr="00D94493" w14:paraId="74781C60" w14:textId="77777777" w:rsidTr="00D94493">
        <w:trPr>
          <w:trHeight w:val="170"/>
        </w:trPr>
        <w:tc>
          <w:tcPr>
            <w:tcW w:w="1898" w:type="pct"/>
            <w:tcBorders>
              <w:top w:val="nil"/>
              <w:left w:val="nil"/>
              <w:bottom w:val="nil"/>
              <w:right w:val="nil"/>
            </w:tcBorders>
            <w:shd w:val="clear" w:color="auto" w:fill="auto"/>
            <w:noWrap/>
            <w:vAlign w:val="bottom"/>
            <w:hideMark/>
          </w:tcPr>
          <w:p w14:paraId="592BB1E3"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 - dlžné</w:t>
            </w:r>
          </w:p>
        </w:tc>
        <w:tc>
          <w:tcPr>
            <w:tcW w:w="530" w:type="pct"/>
            <w:tcBorders>
              <w:top w:val="nil"/>
              <w:left w:val="nil"/>
              <w:bottom w:val="nil"/>
              <w:right w:val="nil"/>
            </w:tcBorders>
            <w:shd w:val="clear" w:color="auto" w:fill="auto"/>
            <w:noWrap/>
            <w:vAlign w:val="center"/>
            <w:hideMark/>
          </w:tcPr>
          <w:p w14:paraId="7C54324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189 608</w:t>
            </w:r>
          </w:p>
        </w:tc>
        <w:tc>
          <w:tcPr>
            <w:tcW w:w="530" w:type="pct"/>
            <w:tcBorders>
              <w:top w:val="nil"/>
              <w:left w:val="nil"/>
              <w:bottom w:val="nil"/>
              <w:right w:val="nil"/>
            </w:tcBorders>
            <w:shd w:val="clear" w:color="auto" w:fill="auto"/>
            <w:noWrap/>
            <w:vAlign w:val="center"/>
            <w:hideMark/>
          </w:tcPr>
          <w:p w14:paraId="451974F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402 887</w:t>
            </w:r>
          </w:p>
        </w:tc>
        <w:tc>
          <w:tcPr>
            <w:tcW w:w="472" w:type="pct"/>
            <w:tcBorders>
              <w:top w:val="nil"/>
              <w:left w:val="nil"/>
              <w:bottom w:val="nil"/>
              <w:right w:val="nil"/>
            </w:tcBorders>
            <w:shd w:val="clear" w:color="auto" w:fill="auto"/>
            <w:noWrap/>
            <w:vAlign w:val="center"/>
            <w:hideMark/>
          </w:tcPr>
          <w:p w14:paraId="7CA99B0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247 359</w:t>
            </w:r>
          </w:p>
        </w:tc>
        <w:tc>
          <w:tcPr>
            <w:tcW w:w="530" w:type="pct"/>
            <w:tcBorders>
              <w:top w:val="nil"/>
              <w:left w:val="nil"/>
              <w:bottom w:val="nil"/>
              <w:right w:val="nil"/>
            </w:tcBorders>
            <w:shd w:val="clear" w:color="auto" w:fill="auto"/>
            <w:noWrap/>
            <w:vAlign w:val="center"/>
            <w:hideMark/>
          </w:tcPr>
          <w:p w14:paraId="11AD06D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219 002</w:t>
            </w:r>
          </w:p>
        </w:tc>
        <w:tc>
          <w:tcPr>
            <w:tcW w:w="514" w:type="pct"/>
            <w:tcBorders>
              <w:top w:val="nil"/>
              <w:left w:val="nil"/>
              <w:bottom w:val="nil"/>
              <w:right w:val="nil"/>
            </w:tcBorders>
            <w:shd w:val="clear" w:color="auto" w:fill="auto"/>
            <w:noWrap/>
            <w:vAlign w:val="center"/>
            <w:hideMark/>
          </w:tcPr>
          <w:p w14:paraId="35ECB2B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219 506</w:t>
            </w:r>
          </w:p>
        </w:tc>
        <w:tc>
          <w:tcPr>
            <w:tcW w:w="526" w:type="pct"/>
            <w:tcBorders>
              <w:top w:val="nil"/>
              <w:left w:val="nil"/>
              <w:bottom w:val="nil"/>
              <w:right w:val="nil"/>
            </w:tcBorders>
            <w:shd w:val="clear" w:color="auto" w:fill="auto"/>
            <w:noWrap/>
            <w:vAlign w:val="center"/>
            <w:hideMark/>
          </w:tcPr>
          <w:p w14:paraId="5491B27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218 545</w:t>
            </w:r>
          </w:p>
        </w:tc>
      </w:tr>
      <w:tr w:rsidR="00D94493" w:rsidRPr="00D94493" w14:paraId="4B8130B5" w14:textId="77777777" w:rsidTr="00D94493">
        <w:trPr>
          <w:trHeight w:val="170"/>
        </w:trPr>
        <w:tc>
          <w:tcPr>
            <w:tcW w:w="1898" w:type="pct"/>
            <w:tcBorders>
              <w:top w:val="nil"/>
              <w:left w:val="nil"/>
              <w:bottom w:val="nil"/>
              <w:right w:val="nil"/>
            </w:tcBorders>
            <w:shd w:val="clear" w:color="auto" w:fill="auto"/>
            <w:noWrap/>
            <w:vAlign w:val="bottom"/>
            <w:hideMark/>
          </w:tcPr>
          <w:p w14:paraId="3EE581F7" w14:textId="77777777" w:rsidR="00D94493" w:rsidRPr="00D94493" w:rsidRDefault="00D94493" w:rsidP="00D94493">
            <w:pPr>
              <w:spacing w:after="0" w:line="240" w:lineRule="auto"/>
              <w:ind w:firstLineChars="200" w:firstLine="280"/>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Zdravotné poisťovne</w:t>
            </w:r>
          </w:p>
        </w:tc>
        <w:tc>
          <w:tcPr>
            <w:tcW w:w="530" w:type="pct"/>
            <w:tcBorders>
              <w:top w:val="nil"/>
              <w:left w:val="nil"/>
              <w:bottom w:val="nil"/>
              <w:right w:val="nil"/>
            </w:tcBorders>
            <w:shd w:val="clear" w:color="auto" w:fill="auto"/>
            <w:noWrap/>
            <w:vAlign w:val="center"/>
            <w:hideMark/>
          </w:tcPr>
          <w:p w14:paraId="05B7BA93"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4 379 678</w:t>
            </w:r>
          </w:p>
        </w:tc>
        <w:tc>
          <w:tcPr>
            <w:tcW w:w="530" w:type="pct"/>
            <w:tcBorders>
              <w:top w:val="nil"/>
              <w:left w:val="nil"/>
              <w:bottom w:val="nil"/>
              <w:right w:val="nil"/>
            </w:tcBorders>
            <w:shd w:val="clear" w:color="auto" w:fill="auto"/>
            <w:noWrap/>
            <w:vAlign w:val="center"/>
            <w:hideMark/>
          </w:tcPr>
          <w:p w14:paraId="747D44B5"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4 707 323</w:t>
            </w:r>
          </w:p>
        </w:tc>
        <w:tc>
          <w:tcPr>
            <w:tcW w:w="472" w:type="pct"/>
            <w:tcBorders>
              <w:top w:val="nil"/>
              <w:left w:val="nil"/>
              <w:bottom w:val="nil"/>
              <w:right w:val="nil"/>
            </w:tcBorders>
            <w:shd w:val="clear" w:color="auto" w:fill="auto"/>
            <w:noWrap/>
            <w:vAlign w:val="center"/>
            <w:hideMark/>
          </w:tcPr>
          <w:p w14:paraId="04C1D383"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5 177 898</w:t>
            </w:r>
          </w:p>
        </w:tc>
        <w:tc>
          <w:tcPr>
            <w:tcW w:w="530" w:type="pct"/>
            <w:tcBorders>
              <w:top w:val="nil"/>
              <w:left w:val="nil"/>
              <w:bottom w:val="nil"/>
              <w:right w:val="nil"/>
            </w:tcBorders>
            <w:shd w:val="clear" w:color="auto" w:fill="auto"/>
            <w:noWrap/>
            <w:vAlign w:val="center"/>
            <w:hideMark/>
          </w:tcPr>
          <w:p w14:paraId="1ADBF087"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5 978 605</w:t>
            </w:r>
          </w:p>
        </w:tc>
        <w:tc>
          <w:tcPr>
            <w:tcW w:w="514" w:type="pct"/>
            <w:tcBorders>
              <w:top w:val="nil"/>
              <w:left w:val="nil"/>
              <w:bottom w:val="nil"/>
              <w:right w:val="nil"/>
            </w:tcBorders>
            <w:shd w:val="clear" w:color="auto" w:fill="auto"/>
            <w:noWrap/>
            <w:vAlign w:val="center"/>
            <w:hideMark/>
          </w:tcPr>
          <w:p w14:paraId="02A73DC5"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6 318 572</w:t>
            </w:r>
          </w:p>
        </w:tc>
        <w:tc>
          <w:tcPr>
            <w:tcW w:w="526" w:type="pct"/>
            <w:tcBorders>
              <w:top w:val="nil"/>
              <w:left w:val="nil"/>
              <w:bottom w:val="nil"/>
              <w:right w:val="nil"/>
            </w:tcBorders>
            <w:shd w:val="clear" w:color="auto" w:fill="auto"/>
            <w:noWrap/>
            <w:vAlign w:val="center"/>
            <w:hideMark/>
          </w:tcPr>
          <w:p w14:paraId="64F9500F"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6 604 548</w:t>
            </w:r>
          </w:p>
        </w:tc>
      </w:tr>
      <w:tr w:rsidR="00D94493" w:rsidRPr="00D94493" w14:paraId="25924937" w14:textId="77777777" w:rsidTr="00D94493">
        <w:trPr>
          <w:trHeight w:val="170"/>
        </w:trPr>
        <w:tc>
          <w:tcPr>
            <w:tcW w:w="1898" w:type="pct"/>
            <w:tcBorders>
              <w:top w:val="nil"/>
              <w:left w:val="nil"/>
              <w:bottom w:val="nil"/>
              <w:right w:val="nil"/>
            </w:tcBorders>
            <w:shd w:val="clear" w:color="auto" w:fill="auto"/>
            <w:noWrap/>
            <w:vAlign w:val="bottom"/>
            <w:hideMark/>
          </w:tcPr>
          <w:p w14:paraId="363677C1"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Ekonomicky aktívne obyvateľstvo + dlžné</w:t>
            </w:r>
          </w:p>
        </w:tc>
        <w:tc>
          <w:tcPr>
            <w:tcW w:w="530" w:type="pct"/>
            <w:tcBorders>
              <w:top w:val="nil"/>
              <w:left w:val="nil"/>
              <w:bottom w:val="nil"/>
              <w:right w:val="nil"/>
            </w:tcBorders>
            <w:shd w:val="clear" w:color="auto" w:fill="auto"/>
            <w:noWrap/>
            <w:vAlign w:val="center"/>
            <w:hideMark/>
          </w:tcPr>
          <w:p w14:paraId="629D057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4 379 678</w:t>
            </w:r>
          </w:p>
        </w:tc>
        <w:tc>
          <w:tcPr>
            <w:tcW w:w="530" w:type="pct"/>
            <w:tcBorders>
              <w:top w:val="nil"/>
              <w:left w:val="nil"/>
              <w:bottom w:val="nil"/>
              <w:right w:val="nil"/>
            </w:tcBorders>
            <w:shd w:val="clear" w:color="auto" w:fill="auto"/>
            <w:noWrap/>
            <w:vAlign w:val="center"/>
            <w:hideMark/>
          </w:tcPr>
          <w:p w14:paraId="3CE6DA8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4 707 323</w:t>
            </w:r>
          </w:p>
        </w:tc>
        <w:tc>
          <w:tcPr>
            <w:tcW w:w="472" w:type="pct"/>
            <w:tcBorders>
              <w:top w:val="nil"/>
              <w:left w:val="nil"/>
              <w:bottom w:val="nil"/>
              <w:right w:val="nil"/>
            </w:tcBorders>
            <w:shd w:val="clear" w:color="auto" w:fill="auto"/>
            <w:noWrap/>
            <w:vAlign w:val="center"/>
            <w:hideMark/>
          </w:tcPr>
          <w:p w14:paraId="7F5B41E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5 177 898</w:t>
            </w:r>
          </w:p>
        </w:tc>
        <w:tc>
          <w:tcPr>
            <w:tcW w:w="530" w:type="pct"/>
            <w:tcBorders>
              <w:top w:val="nil"/>
              <w:left w:val="nil"/>
              <w:bottom w:val="nil"/>
              <w:right w:val="nil"/>
            </w:tcBorders>
            <w:shd w:val="clear" w:color="auto" w:fill="auto"/>
            <w:noWrap/>
            <w:vAlign w:val="center"/>
            <w:hideMark/>
          </w:tcPr>
          <w:p w14:paraId="6AFBAC8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5 978 605</w:t>
            </w:r>
          </w:p>
        </w:tc>
        <w:tc>
          <w:tcPr>
            <w:tcW w:w="514" w:type="pct"/>
            <w:tcBorders>
              <w:top w:val="nil"/>
              <w:left w:val="nil"/>
              <w:bottom w:val="nil"/>
              <w:right w:val="nil"/>
            </w:tcBorders>
            <w:shd w:val="clear" w:color="auto" w:fill="auto"/>
            <w:noWrap/>
            <w:vAlign w:val="center"/>
            <w:hideMark/>
          </w:tcPr>
          <w:p w14:paraId="5416BC0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6 318 572</w:t>
            </w:r>
          </w:p>
        </w:tc>
        <w:tc>
          <w:tcPr>
            <w:tcW w:w="526" w:type="pct"/>
            <w:tcBorders>
              <w:top w:val="nil"/>
              <w:left w:val="nil"/>
              <w:bottom w:val="nil"/>
              <w:right w:val="nil"/>
            </w:tcBorders>
            <w:shd w:val="clear" w:color="auto" w:fill="auto"/>
            <w:noWrap/>
            <w:vAlign w:val="center"/>
            <w:hideMark/>
          </w:tcPr>
          <w:p w14:paraId="0738B55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6 604 548</w:t>
            </w:r>
          </w:p>
        </w:tc>
      </w:tr>
      <w:tr w:rsidR="00D94493" w:rsidRPr="00D94493" w14:paraId="30FF4D8C" w14:textId="77777777" w:rsidTr="00D94493">
        <w:trPr>
          <w:trHeight w:val="170"/>
        </w:trPr>
        <w:tc>
          <w:tcPr>
            <w:tcW w:w="1898" w:type="pct"/>
            <w:tcBorders>
              <w:top w:val="nil"/>
              <w:left w:val="nil"/>
              <w:bottom w:val="nil"/>
              <w:right w:val="nil"/>
            </w:tcBorders>
            <w:shd w:val="clear" w:color="auto" w:fill="auto"/>
            <w:noWrap/>
            <w:vAlign w:val="bottom"/>
            <w:hideMark/>
          </w:tcPr>
          <w:p w14:paraId="780F7EB2" w14:textId="77777777" w:rsidR="00D94493" w:rsidRPr="00D94493" w:rsidRDefault="00D94493" w:rsidP="00D94493">
            <w:pPr>
              <w:spacing w:after="0" w:line="240" w:lineRule="auto"/>
              <w:ind w:firstLineChars="600" w:firstLine="84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z toho: ročné zúčtovanie</w:t>
            </w:r>
          </w:p>
        </w:tc>
        <w:tc>
          <w:tcPr>
            <w:tcW w:w="530" w:type="pct"/>
            <w:tcBorders>
              <w:top w:val="nil"/>
              <w:left w:val="nil"/>
              <w:bottom w:val="nil"/>
              <w:right w:val="nil"/>
            </w:tcBorders>
            <w:shd w:val="clear" w:color="auto" w:fill="auto"/>
            <w:noWrap/>
            <w:vAlign w:val="center"/>
            <w:hideMark/>
          </w:tcPr>
          <w:p w14:paraId="057C69F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30 463</w:t>
            </w:r>
          </w:p>
        </w:tc>
        <w:tc>
          <w:tcPr>
            <w:tcW w:w="530" w:type="pct"/>
            <w:tcBorders>
              <w:top w:val="nil"/>
              <w:left w:val="nil"/>
              <w:bottom w:val="nil"/>
              <w:right w:val="nil"/>
            </w:tcBorders>
            <w:shd w:val="clear" w:color="auto" w:fill="auto"/>
            <w:noWrap/>
            <w:vAlign w:val="center"/>
            <w:hideMark/>
          </w:tcPr>
          <w:p w14:paraId="10F96FB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37 172</w:t>
            </w:r>
          </w:p>
        </w:tc>
        <w:tc>
          <w:tcPr>
            <w:tcW w:w="472" w:type="pct"/>
            <w:tcBorders>
              <w:top w:val="nil"/>
              <w:left w:val="nil"/>
              <w:bottom w:val="nil"/>
              <w:right w:val="nil"/>
            </w:tcBorders>
            <w:shd w:val="clear" w:color="auto" w:fill="auto"/>
            <w:noWrap/>
            <w:vAlign w:val="center"/>
            <w:hideMark/>
          </w:tcPr>
          <w:p w14:paraId="4C3F6A3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36 470</w:t>
            </w:r>
          </w:p>
        </w:tc>
        <w:tc>
          <w:tcPr>
            <w:tcW w:w="530" w:type="pct"/>
            <w:tcBorders>
              <w:top w:val="nil"/>
              <w:left w:val="nil"/>
              <w:bottom w:val="nil"/>
              <w:right w:val="nil"/>
            </w:tcBorders>
            <w:shd w:val="clear" w:color="auto" w:fill="auto"/>
            <w:noWrap/>
            <w:vAlign w:val="center"/>
            <w:hideMark/>
          </w:tcPr>
          <w:p w14:paraId="37D9A1C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35 329</w:t>
            </w:r>
          </w:p>
        </w:tc>
        <w:tc>
          <w:tcPr>
            <w:tcW w:w="514" w:type="pct"/>
            <w:tcBorders>
              <w:top w:val="nil"/>
              <w:left w:val="nil"/>
              <w:bottom w:val="nil"/>
              <w:right w:val="nil"/>
            </w:tcBorders>
            <w:shd w:val="clear" w:color="auto" w:fill="auto"/>
            <w:noWrap/>
            <w:vAlign w:val="center"/>
            <w:hideMark/>
          </w:tcPr>
          <w:p w14:paraId="33214B0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32 796</w:t>
            </w:r>
          </w:p>
        </w:tc>
        <w:tc>
          <w:tcPr>
            <w:tcW w:w="526" w:type="pct"/>
            <w:tcBorders>
              <w:top w:val="nil"/>
              <w:left w:val="nil"/>
              <w:bottom w:val="nil"/>
              <w:right w:val="nil"/>
            </w:tcBorders>
            <w:shd w:val="clear" w:color="auto" w:fill="auto"/>
            <w:noWrap/>
            <w:vAlign w:val="center"/>
            <w:hideMark/>
          </w:tcPr>
          <w:p w14:paraId="1F483AA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32 579</w:t>
            </w:r>
          </w:p>
        </w:tc>
      </w:tr>
      <w:tr w:rsidR="00D94493" w:rsidRPr="00D94493" w14:paraId="09179C8C" w14:textId="77777777" w:rsidTr="00D94493">
        <w:trPr>
          <w:trHeight w:val="170"/>
        </w:trPr>
        <w:tc>
          <w:tcPr>
            <w:tcW w:w="1898" w:type="pct"/>
            <w:tcBorders>
              <w:top w:val="single" w:sz="4" w:space="0" w:color="auto"/>
              <w:left w:val="nil"/>
              <w:bottom w:val="single" w:sz="4" w:space="0" w:color="auto"/>
              <w:right w:val="nil"/>
            </w:tcBorders>
            <w:shd w:val="clear" w:color="auto" w:fill="auto"/>
            <w:noWrap/>
            <w:vAlign w:val="bottom"/>
            <w:hideMark/>
          </w:tcPr>
          <w:p w14:paraId="4D4EB9C4" w14:textId="77777777" w:rsidR="00D94493" w:rsidRPr="00D94493" w:rsidRDefault="00D94493" w:rsidP="00D94493">
            <w:pPr>
              <w:spacing w:after="0" w:line="240" w:lineRule="auto"/>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Daňové príjmy VS spolu</w:t>
            </w:r>
          </w:p>
        </w:tc>
        <w:tc>
          <w:tcPr>
            <w:tcW w:w="530" w:type="pct"/>
            <w:tcBorders>
              <w:top w:val="single" w:sz="4" w:space="0" w:color="auto"/>
              <w:left w:val="nil"/>
              <w:bottom w:val="single" w:sz="4" w:space="0" w:color="auto"/>
              <w:right w:val="nil"/>
            </w:tcBorders>
            <w:shd w:val="clear" w:color="auto" w:fill="auto"/>
            <w:noWrap/>
            <w:vAlign w:val="center"/>
            <w:hideMark/>
          </w:tcPr>
          <w:p w14:paraId="60398019"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18 656 864</w:t>
            </w:r>
          </w:p>
        </w:tc>
        <w:tc>
          <w:tcPr>
            <w:tcW w:w="530" w:type="pct"/>
            <w:tcBorders>
              <w:top w:val="single" w:sz="4" w:space="0" w:color="auto"/>
              <w:left w:val="nil"/>
              <w:bottom w:val="single" w:sz="4" w:space="0" w:color="auto"/>
              <w:right w:val="nil"/>
            </w:tcBorders>
            <w:shd w:val="clear" w:color="auto" w:fill="auto"/>
            <w:noWrap/>
            <w:vAlign w:val="center"/>
            <w:hideMark/>
          </w:tcPr>
          <w:p w14:paraId="18F42E81"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21 096 112</w:t>
            </w:r>
          </w:p>
        </w:tc>
        <w:tc>
          <w:tcPr>
            <w:tcW w:w="472" w:type="pct"/>
            <w:tcBorders>
              <w:top w:val="single" w:sz="4" w:space="0" w:color="auto"/>
              <w:left w:val="nil"/>
              <w:bottom w:val="single" w:sz="4" w:space="0" w:color="auto"/>
              <w:right w:val="nil"/>
            </w:tcBorders>
            <w:shd w:val="clear" w:color="auto" w:fill="auto"/>
            <w:noWrap/>
            <w:vAlign w:val="center"/>
            <w:hideMark/>
          </w:tcPr>
          <w:p w14:paraId="6AA8C228"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22 908 674</w:t>
            </w:r>
          </w:p>
        </w:tc>
        <w:tc>
          <w:tcPr>
            <w:tcW w:w="530" w:type="pct"/>
            <w:tcBorders>
              <w:top w:val="single" w:sz="4" w:space="0" w:color="auto"/>
              <w:left w:val="nil"/>
              <w:bottom w:val="single" w:sz="4" w:space="0" w:color="auto"/>
              <w:right w:val="nil"/>
            </w:tcBorders>
            <w:shd w:val="clear" w:color="auto" w:fill="auto"/>
            <w:noWrap/>
            <w:vAlign w:val="center"/>
            <w:hideMark/>
          </w:tcPr>
          <w:p w14:paraId="672D7AAE"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24 531 469</w:t>
            </w:r>
          </w:p>
        </w:tc>
        <w:tc>
          <w:tcPr>
            <w:tcW w:w="514" w:type="pct"/>
            <w:tcBorders>
              <w:top w:val="single" w:sz="4" w:space="0" w:color="auto"/>
              <w:left w:val="nil"/>
              <w:bottom w:val="single" w:sz="4" w:space="0" w:color="auto"/>
              <w:right w:val="nil"/>
            </w:tcBorders>
            <w:shd w:val="clear" w:color="auto" w:fill="auto"/>
            <w:noWrap/>
            <w:vAlign w:val="center"/>
            <w:hideMark/>
          </w:tcPr>
          <w:p w14:paraId="56C8529B"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25 137 282</w:t>
            </w:r>
          </w:p>
        </w:tc>
        <w:tc>
          <w:tcPr>
            <w:tcW w:w="526" w:type="pct"/>
            <w:tcBorders>
              <w:top w:val="single" w:sz="4" w:space="0" w:color="auto"/>
              <w:left w:val="nil"/>
              <w:bottom w:val="single" w:sz="4" w:space="0" w:color="auto"/>
              <w:right w:val="nil"/>
            </w:tcBorders>
            <w:shd w:val="clear" w:color="auto" w:fill="auto"/>
            <w:noWrap/>
            <w:vAlign w:val="center"/>
            <w:hideMark/>
          </w:tcPr>
          <w:p w14:paraId="5E15E5A4"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26 036 517</w:t>
            </w:r>
          </w:p>
        </w:tc>
      </w:tr>
      <w:tr w:rsidR="00D94493" w:rsidRPr="00D94493" w14:paraId="1DDDE7ED" w14:textId="77777777" w:rsidTr="00D94493">
        <w:trPr>
          <w:trHeight w:val="170"/>
        </w:trPr>
        <w:tc>
          <w:tcPr>
            <w:tcW w:w="1898" w:type="pct"/>
            <w:tcBorders>
              <w:top w:val="nil"/>
              <w:left w:val="nil"/>
              <w:bottom w:val="nil"/>
              <w:right w:val="nil"/>
            </w:tcBorders>
            <w:shd w:val="clear" w:color="auto" w:fill="auto"/>
            <w:noWrap/>
            <w:vAlign w:val="bottom"/>
            <w:hideMark/>
          </w:tcPr>
          <w:p w14:paraId="69DD63C6"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Daňové príjmy ŠR</w:t>
            </w:r>
          </w:p>
        </w:tc>
        <w:tc>
          <w:tcPr>
            <w:tcW w:w="530" w:type="pct"/>
            <w:tcBorders>
              <w:top w:val="nil"/>
              <w:left w:val="nil"/>
              <w:bottom w:val="nil"/>
              <w:right w:val="nil"/>
            </w:tcBorders>
            <w:shd w:val="clear" w:color="auto" w:fill="auto"/>
            <w:noWrap/>
            <w:vAlign w:val="center"/>
            <w:hideMark/>
          </w:tcPr>
          <w:p w14:paraId="6D49969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14 437 744</w:t>
            </w:r>
          </w:p>
        </w:tc>
        <w:tc>
          <w:tcPr>
            <w:tcW w:w="530" w:type="pct"/>
            <w:tcBorders>
              <w:top w:val="nil"/>
              <w:left w:val="nil"/>
              <w:bottom w:val="nil"/>
              <w:right w:val="nil"/>
            </w:tcBorders>
            <w:shd w:val="clear" w:color="auto" w:fill="auto"/>
            <w:noWrap/>
            <w:vAlign w:val="center"/>
            <w:hideMark/>
          </w:tcPr>
          <w:p w14:paraId="3B24169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16 546 816</w:t>
            </w:r>
          </w:p>
        </w:tc>
        <w:tc>
          <w:tcPr>
            <w:tcW w:w="472" w:type="pct"/>
            <w:tcBorders>
              <w:top w:val="nil"/>
              <w:left w:val="nil"/>
              <w:bottom w:val="nil"/>
              <w:right w:val="nil"/>
            </w:tcBorders>
            <w:shd w:val="clear" w:color="auto" w:fill="auto"/>
            <w:noWrap/>
            <w:vAlign w:val="center"/>
            <w:hideMark/>
          </w:tcPr>
          <w:p w14:paraId="7284A8E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18 074 380</w:t>
            </w:r>
          </w:p>
        </w:tc>
        <w:tc>
          <w:tcPr>
            <w:tcW w:w="530" w:type="pct"/>
            <w:tcBorders>
              <w:top w:val="nil"/>
              <w:left w:val="nil"/>
              <w:bottom w:val="nil"/>
              <w:right w:val="nil"/>
            </w:tcBorders>
            <w:shd w:val="clear" w:color="auto" w:fill="auto"/>
            <w:noWrap/>
            <w:vAlign w:val="center"/>
            <w:hideMark/>
          </w:tcPr>
          <w:p w14:paraId="6650894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19 754 878</w:t>
            </w:r>
          </w:p>
        </w:tc>
        <w:tc>
          <w:tcPr>
            <w:tcW w:w="514" w:type="pct"/>
            <w:tcBorders>
              <w:top w:val="nil"/>
              <w:left w:val="nil"/>
              <w:bottom w:val="nil"/>
              <w:right w:val="nil"/>
            </w:tcBorders>
            <w:shd w:val="clear" w:color="auto" w:fill="auto"/>
            <w:noWrap/>
            <w:vAlign w:val="center"/>
            <w:hideMark/>
          </w:tcPr>
          <w:p w14:paraId="3AAF16E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20 200 170</w:t>
            </w:r>
          </w:p>
        </w:tc>
        <w:tc>
          <w:tcPr>
            <w:tcW w:w="526" w:type="pct"/>
            <w:tcBorders>
              <w:top w:val="nil"/>
              <w:left w:val="nil"/>
              <w:bottom w:val="nil"/>
              <w:right w:val="nil"/>
            </w:tcBorders>
            <w:shd w:val="clear" w:color="auto" w:fill="auto"/>
            <w:noWrap/>
            <w:vAlign w:val="center"/>
            <w:hideMark/>
          </w:tcPr>
          <w:p w14:paraId="6A0D5E0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20 643 809</w:t>
            </w:r>
          </w:p>
        </w:tc>
      </w:tr>
      <w:tr w:rsidR="00D94493" w:rsidRPr="00D94493" w14:paraId="3BD259D8" w14:textId="77777777" w:rsidTr="00D94493">
        <w:trPr>
          <w:trHeight w:val="170"/>
        </w:trPr>
        <w:tc>
          <w:tcPr>
            <w:tcW w:w="1898" w:type="pct"/>
            <w:tcBorders>
              <w:top w:val="nil"/>
              <w:left w:val="nil"/>
              <w:bottom w:val="nil"/>
              <w:right w:val="nil"/>
            </w:tcBorders>
            <w:shd w:val="clear" w:color="auto" w:fill="auto"/>
            <w:noWrap/>
            <w:vAlign w:val="bottom"/>
            <w:hideMark/>
          </w:tcPr>
          <w:p w14:paraId="65172259"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Samostatné účty</w:t>
            </w:r>
          </w:p>
        </w:tc>
        <w:tc>
          <w:tcPr>
            <w:tcW w:w="530" w:type="pct"/>
            <w:tcBorders>
              <w:top w:val="nil"/>
              <w:left w:val="nil"/>
              <w:bottom w:val="nil"/>
              <w:right w:val="nil"/>
            </w:tcBorders>
            <w:shd w:val="clear" w:color="auto" w:fill="auto"/>
            <w:noWrap/>
            <w:vAlign w:val="center"/>
            <w:hideMark/>
          </w:tcPr>
          <w:p w14:paraId="438D937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32 180</w:t>
            </w:r>
          </w:p>
        </w:tc>
        <w:tc>
          <w:tcPr>
            <w:tcW w:w="530" w:type="pct"/>
            <w:tcBorders>
              <w:top w:val="nil"/>
              <w:left w:val="nil"/>
              <w:bottom w:val="nil"/>
              <w:right w:val="nil"/>
            </w:tcBorders>
            <w:shd w:val="clear" w:color="auto" w:fill="auto"/>
            <w:noWrap/>
            <w:vAlign w:val="center"/>
            <w:hideMark/>
          </w:tcPr>
          <w:p w14:paraId="295EFB9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33 217</w:t>
            </w:r>
          </w:p>
        </w:tc>
        <w:tc>
          <w:tcPr>
            <w:tcW w:w="472" w:type="pct"/>
            <w:tcBorders>
              <w:top w:val="nil"/>
              <w:left w:val="nil"/>
              <w:bottom w:val="nil"/>
              <w:right w:val="nil"/>
            </w:tcBorders>
            <w:shd w:val="clear" w:color="auto" w:fill="auto"/>
            <w:noWrap/>
            <w:vAlign w:val="center"/>
            <w:hideMark/>
          </w:tcPr>
          <w:p w14:paraId="3BE7CFD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34 591</w:t>
            </w:r>
          </w:p>
        </w:tc>
        <w:tc>
          <w:tcPr>
            <w:tcW w:w="530" w:type="pct"/>
            <w:tcBorders>
              <w:top w:val="nil"/>
              <w:left w:val="nil"/>
              <w:bottom w:val="nil"/>
              <w:right w:val="nil"/>
            </w:tcBorders>
            <w:shd w:val="clear" w:color="auto" w:fill="auto"/>
            <w:noWrap/>
            <w:vAlign w:val="center"/>
            <w:hideMark/>
          </w:tcPr>
          <w:p w14:paraId="471E279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36 547</w:t>
            </w:r>
          </w:p>
        </w:tc>
        <w:tc>
          <w:tcPr>
            <w:tcW w:w="514" w:type="pct"/>
            <w:tcBorders>
              <w:top w:val="nil"/>
              <w:left w:val="nil"/>
              <w:bottom w:val="nil"/>
              <w:right w:val="nil"/>
            </w:tcBorders>
            <w:shd w:val="clear" w:color="auto" w:fill="auto"/>
            <w:noWrap/>
            <w:vAlign w:val="center"/>
            <w:hideMark/>
          </w:tcPr>
          <w:p w14:paraId="6AE2225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38 646</w:t>
            </w:r>
          </w:p>
        </w:tc>
        <w:tc>
          <w:tcPr>
            <w:tcW w:w="526" w:type="pct"/>
            <w:tcBorders>
              <w:top w:val="nil"/>
              <w:left w:val="nil"/>
              <w:bottom w:val="nil"/>
              <w:right w:val="nil"/>
            </w:tcBorders>
            <w:shd w:val="clear" w:color="auto" w:fill="auto"/>
            <w:noWrap/>
            <w:vAlign w:val="center"/>
            <w:hideMark/>
          </w:tcPr>
          <w:p w14:paraId="004D982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40 609</w:t>
            </w:r>
          </w:p>
        </w:tc>
      </w:tr>
      <w:tr w:rsidR="00D94493" w:rsidRPr="00D94493" w14:paraId="5480FA98" w14:textId="77777777" w:rsidTr="00D94493">
        <w:trPr>
          <w:trHeight w:val="170"/>
        </w:trPr>
        <w:tc>
          <w:tcPr>
            <w:tcW w:w="1898" w:type="pct"/>
            <w:tcBorders>
              <w:top w:val="nil"/>
              <w:left w:val="nil"/>
              <w:bottom w:val="nil"/>
              <w:right w:val="nil"/>
            </w:tcBorders>
            <w:shd w:val="clear" w:color="auto" w:fill="auto"/>
            <w:noWrap/>
            <w:vAlign w:val="bottom"/>
            <w:hideMark/>
          </w:tcPr>
          <w:p w14:paraId="0FCD993A"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Štátne finančné aktíva</w:t>
            </w:r>
          </w:p>
        </w:tc>
        <w:tc>
          <w:tcPr>
            <w:tcW w:w="530" w:type="pct"/>
            <w:tcBorders>
              <w:top w:val="nil"/>
              <w:left w:val="nil"/>
              <w:bottom w:val="nil"/>
              <w:right w:val="nil"/>
            </w:tcBorders>
            <w:shd w:val="clear" w:color="auto" w:fill="auto"/>
            <w:noWrap/>
            <w:vAlign w:val="center"/>
            <w:hideMark/>
          </w:tcPr>
          <w:p w14:paraId="5D7BFB3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101 683</w:t>
            </w:r>
          </w:p>
        </w:tc>
        <w:tc>
          <w:tcPr>
            <w:tcW w:w="530" w:type="pct"/>
            <w:tcBorders>
              <w:top w:val="nil"/>
              <w:left w:val="nil"/>
              <w:bottom w:val="nil"/>
              <w:right w:val="nil"/>
            </w:tcBorders>
            <w:shd w:val="clear" w:color="auto" w:fill="auto"/>
            <w:noWrap/>
            <w:vAlign w:val="center"/>
            <w:hideMark/>
          </w:tcPr>
          <w:p w14:paraId="78607EA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93 373</w:t>
            </w:r>
          </w:p>
        </w:tc>
        <w:tc>
          <w:tcPr>
            <w:tcW w:w="472" w:type="pct"/>
            <w:tcBorders>
              <w:top w:val="nil"/>
              <w:left w:val="nil"/>
              <w:bottom w:val="nil"/>
              <w:right w:val="nil"/>
            </w:tcBorders>
            <w:shd w:val="clear" w:color="auto" w:fill="auto"/>
            <w:noWrap/>
            <w:vAlign w:val="center"/>
            <w:hideMark/>
          </w:tcPr>
          <w:p w14:paraId="28E8F16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83 293</w:t>
            </w:r>
          </w:p>
        </w:tc>
        <w:tc>
          <w:tcPr>
            <w:tcW w:w="530" w:type="pct"/>
            <w:tcBorders>
              <w:top w:val="nil"/>
              <w:left w:val="nil"/>
              <w:bottom w:val="nil"/>
              <w:right w:val="nil"/>
            </w:tcBorders>
            <w:shd w:val="clear" w:color="auto" w:fill="auto"/>
            <w:noWrap/>
            <w:vAlign w:val="center"/>
            <w:hideMark/>
          </w:tcPr>
          <w:p w14:paraId="0B815FE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14" w:type="pct"/>
            <w:tcBorders>
              <w:top w:val="nil"/>
              <w:left w:val="nil"/>
              <w:bottom w:val="nil"/>
              <w:right w:val="nil"/>
            </w:tcBorders>
            <w:shd w:val="clear" w:color="auto" w:fill="auto"/>
            <w:noWrap/>
            <w:vAlign w:val="center"/>
            <w:hideMark/>
          </w:tcPr>
          <w:p w14:paraId="7D47BFF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26" w:type="pct"/>
            <w:tcBorders>
              <w:top w:val="nil"/>
              <w:left w:val="nil"/>
              <w:bottom w:val="nil"/>
              <w:right w:val="nil"/>
            </w:tcBorders>
            <w:shd w:val="clear" w:color="auto" w:fill="auto"/>
            <w:noWrap/>
            <w:vAlign w:val="center"/>
            <w:hideMark/>
          </w:tcPr>
          <w:p w14:paraId="449CF57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2DEBD850" w14:textId="77777777" w:rsidTr="00D94493">
        <w:trPr>
          <w:trHeight w:val="170"/>
        </w:trPr>
        <w:tc>
          <w:tcPr>
            <w:tcW w:w="1898" w:type="pct"/>
            <w:tcBorders>
              <w:top w:val="nil"/>
              <w:left w:val="nil"/>
              <w:bottom w:val="nil"/>
              <w:right w:val="nil"/>
            </w:tcBorders>
            <w:shd w:val="clear" w:color="auto" w:fill="auto"/>
            <w:noWrap/>
            <w:vAlign w:val="bottom"/>
            <w:hideMark/>
          </w:tcPr>
          <w:p w14:paraId="731A6D6F"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Daňové príjmy obcí </w:t>
            </w:r>
          </w:p>
        </w:tc>
        <w:tc>
          <w:tcPr>
            <w:tcW w:w="530" w:type="pct"/>
            <w:tcBorders>
              <w:top w:val="nil"/>
              <w:left w:val="nil"/>
              <w:bottom w:val="nil"/>
              <w:right w:val="nil"/>
            </w:tcBorders>
            <w:shd w:val="clear" w:color="auto" w:fill="auto"/>
            <w:noWrap/>
            <w:vAlign w:val="center"/>
            <w:hideMark/>
          </w:tcPr>
          <w:p w14:paraId="57E541D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2 994 521</w:t>
            </w:r>
          </w:p>
        </w:tc>
        <w:tc>
          <w:tcPr>
            <w:tcW w:w="530" w:type="pct"/>
            <w:tcBorders>
              <w:top w:val="nil"/>
              <w:left w:val="nil"/>
              <w:bottom w:val="nil"/>
              <w:right w:val="nil"/>
            </w:tcBorders>
            <w:shd w:val="clear" w:color="auto" w:fill="auto"/>
            <w:noWrap/>
            <w:vAlign w:val="center"/>
            <w:hideMark/>
          </w:tcPr>
          <w:p w14:paraId="111AF0E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3 236 131</w:t>
            </w:r>
          </w:p>
        </w:tc>
        <w:tc>
          <w:tcPr>
            <w:tcW w:w="472" w:type="pct"/>
            <w:tcBorders>
              <w:top w:val="nil"/>
              <w:left w:val="nil"/>
              <w:bottom w:val="nil"/>
              <w:right w:val="nil"/>
            </w:tcBorders>
            <w:shd w:val="clear" w:color="auto" w:fill="auto"/>
            <w:noWrap/>
            <w:vAlign w:val="center"/>
            <w:hideMark/>
          </w:tcPr>
          <w:p w14:paraId="5199938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3 486 042</w:t>
            </w:r>
          </w:p>
        </w:tc>
        <w:tc>
          <w:tcPr>
            <w:tcW w:w="530" w:type="pct"/>
            <w:tcBorders>
              <w:top w:val="nil"/>
              <w:left w:val="nil"/>
              <w:bottom w:val="nil"/>
              <w:right w:val="nil"/>
            </w:tcBorders>
            <w:shd w:val="clear" w:color="auto" w:fill="auto"/>
            <w:noWrap/>
            <w:vAlign w:val="center"/>
            <w:hideMark/>
          </w:tcPr>
          <w:p w14:paraId="0BBE982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3 541 196</w:t>
            </w:r>
          </w:p>
        </w:tc>
        <w:tc>
          <w:tcPr>
            <w:tcW w:w="514" w:type="pct"/>
            <w:tcBorders>
              <w:top w:val="nil"/>
              <w:left w:val="nil"/>
              <w:bottom w:val="nil"/>
              <w:right w:val="nil"/>
            </w:tcBorders>
            <w:shd w:val="clear" w:color="auto" w:fill="auto"/>
            <w:noWrap/>
            <w:vAlign w:val="center"/>
            <w:hideMark/>
          </w:tcPr>
          <w:p w14:paraId="29E0341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3 668 320</w:t>
            </w:r>
          </w:p>
        </w:tc>
        <w:tc>
          <w:tcPr>
            <w:tcW w:w="526" w:type="pct"/>
            <w:tcBorders>
              <w:top w:val="nil"/>
              <w:left w:val="nil"/>
              <w:bottom w:val="nil"/>
              <w:right w:val="nil"/>
            </w:tcBorders>
            <w:shd w:val="clear" w:color="auto" w:fill="auto"/>
            <w:noWrap/>
            <w:vAlign w:val="center"/>
            <w:hideMark/>
          </w:tcPr>
          <w:p w14:paraId="193C007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3 993 785</w:t>
            </w:r>
          </w:p>
        </w:tc>
      </w:tr>
      <w:tr w:rsidR="00D94493" w:rsidRPr="00D94493" w14:paraId="6BC9DE19" w14:textId="77777777" w:rsidTr="00D94493">
        <w:trPr>
          <w:trHeight w:val="170"/>
        </w:trPr>
        <w:tc>
          <w:tcPr>
            <w:tcW w:w="1898" w:type="pct"/>
            <w:tcBorders>
              <w:top w:val="nil"/>
              <w:left w:val="nil"/>
              <w:bottom w:val="nil"/>
              <w:right w:val="nil"/>
            </w:tcBorders>
            <w:shd w:val="clear" w:color="auto" w:fill="auto"/>
            <w:noWrap/>
            <w:vAlign w:val="bottom"/>
            <w:hideMark/>
          </w:tcPr>
          <w:p w14:paraId="4BD6362D"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Daňové príjmy VÚC</w:t>
            </w:r>
          </w:p>
        </w:tc>
        <w:tc>
          <w:tcPr>
            <w:tcW w:w="530" w:type="pct"/>
            <w:tcBorders>
              <w:top w:val="nil"/>
              <w:left w:val="nil"/>
              <w:bottom w:val="nil"/>
              <w:right w:val="nil"/>
            </w:tcBorders>
            <w:shd w:val="clear" w:color="auto" w:fill="auto"/>
            <w:noWrap/>
            <w:vAlign w:val="center"/>
            <w:hideMark/>
          </w:tcPr>
          <w:p w14:paraId="73E9304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982 493</w:t>
            </w:r>
          </w:p>
        </w:tc>
        <w:tc>
          <w:tcPr>
            <w:tcW w:w="530" w:type="pct"/>
            <w:tcBorders>
              <w:top w:val="nil"/>
              <w:left w:val="nil"/>
              <w:bottom w:val="nil"/>
              <w:right w:val="nil"/>
            </w:tcBorders>
            <w:shd w:val="clear" w:color="auto" w:fill="auto"/>
            <w:noWrap/>
            <w:vAlign w:val="center"/>
            <w:hideMark/>
          </w:tcPr>
          <w:p w14:paraId="53ED8B5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1 080 231</w:t>
            </w:r>
          </w:p>
        </w:tc>
        <w:tc>
          <w:tcPr>
            <w:tcW w:w="472" w:type="pct"/>
            <w:tcBorders>
              <w:top w:val="nil"/>
              <w:left w:val="nil"/>
              <w:bottom w:val="nil"/>
              <w:right w:val="nil"/>
            </w:tcBorders>
            <w:shd w:val="clear" w:color="auto" w:fill="auto"/>
            <w:noWrap/>
            <w:vAlign w:val="center"/>
            <w:hideMark/>
          </w:tcPr>
          <w:p w14:paraId="5B06DB4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1 155 127</w:t>
            </w:r>
          </w:p>
        </w:tc>
        <w:tc>
          <w:tcPr>
            <w:tcW w:w="530" w:type="pct"/>
            <w:tcBorders>
              <w:top w:val="nil"/>
              <w:left w:val="nil"/>
              <w:bottom w:val="nil"/>
              <w:right w:val="nil"/>
            </w:tcBorders>
            <w:shd w:val="clear" w:color="auto" w:fill="auto"/>
            <w:noWrap/>
            <w:vAlign w:val="center"/>
            <w:hideMark/>
          </w:tcPr>
          <w:p w14:paraId="3116EA6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1 166 978</w:t>
            </w:r>
          </w:p>
        </w:tc>
        <w:tc>
          <w:tcPr>
            <w:tcW w:w="514" w:type="pct"/>
            <w:tcBorders>
              <w:top w:val="nil"/>
              <w:left w:val="nil"/>
              <w:bottom w:val="nil"/>
              <w:right w:val="nil"/>
            </w:tcBorders>
            <w:shd w:val="clear" w:color="auto" w:fill="auto"/>
            <w:noWrap/>
            <w:vAlign w:val="center"/>
            <w:hideMark/>
          </w:tcPr>
          <w:p w14:paraId="572ACFA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1 212 430</w:t>
            </w:r>
          </w:p>
        </w:tc>
        <w:tc>
          <w:tcPr>
            <w:tcW w:w="526" w:type="pct"/>
            <w:tcBorders>
              <w:top w:val="nil"/>
              <w:left w:val="nil"/>
              <w:bottom w:val="nil"/>
              <w:right w:val="nil"/>
            </w:tcBorders>
            <w:shd w:val="clear" w:color="auto" w:fill="auto"/>
            <w:noWrap/>
            <w:vAlign w:val="center"/>
            <w:hideMark/>
          </w:tcPr>
          <w:p w14:paraId="206C0A0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1 340 064</w:t>
            </w:r>
          </w:p>
        </w:tc>
      </w:tr>
      <w:tr w:rsidR="00D94493" w:rsidRPr="00D94493" w14:paraId="603AA33B" w14:textId="77777777" w:rsidTr="00D94493">
        <w:trPr>
          <w:trHeight w:val="170"/>
        </w:trPr>
        <w:tc>
          <w:tcPr>
            <w:tcW w:w="1898" w:type="pct"/>
            <w:tcBorders>
              <w:top w:val="nil"/>
              <w:left w:val="nil"/>
              <w:bottom w:val="nil"/>
              <w:right w:val="nil"/>
            </w:tcBorders>
            <w:shd w:val="clear" w:color="auto" w:fill="auto"/>
            <w:noWrap/>
            <w:vAlign w:val="bottom"/>
            <w:hideMark/>
          </w:tcPr>
          <w:p w14:paraId="3A5A5553"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Daňové príjmy Rozhlasu a televízie Slovenska </w:t>
            </w:r>
          </w:p>
        </w:tc>
        <w:tc>
          <w:tcPr>
            <w:tcW w:w="530" w:type="pct"/>
            <w:tcBorders>
              <w:top w:val="nil"/>
              <w:left w:val="nil"/>
              <w:bottom w:val="nil"/>
              <w:right w:val="nil"/>
            </w:tcBorders>
            <w:shd w:val="clear" w:color="auto" w:fill="auto"/>
            <w:noWrap/>
            <w:vAlign w:val="center"/>
            <w:hideMark/>
          </w:tcPr>
          <w:p w14:paraId="36882EE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76 294</w:t>
            </w:r>
          </w:p>
        </w:tc>
        <w:tc>
          <w:tcPr>
            <w:tcW w:w="530" w:type="pct"/>
            <w:tcBorders>
              <w:top w:val="nil"/>
              <w:left w:val="nil"/>
              <w:bottom w:val="nil"/>
              <w:right w:val="nil"/>
            </w:tcBorders>
            <w:shd w:val="clear" w:color="auto" w:fill="auto"/>
            <w:noWrap/>
            <w:vAlign w:val="center"/>
            <w:hideMark/>
          </w:tcPr>
          <w:p w14:paraId="217B9D3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74 305</w:t>
            </w:r>
          </w:p>
        </w:tc>
        <w:tc>
          <w:tcPr>
            <w:tcW w:w="472" w:type="pct"/>
            <w:tcBorders>
              <w:top w:val="nil"/>
              <w:left w:val="nil"/>
              <w:bottom w:val="nil"/>
              <w:right w:val="nil"/>
            </w:tcBorders>
            <w:shd w:val="clear" w:color="auto" w:fill="auto"/>
            <w:noWrap/>
            <w:vAlign w:val="center"/>
            <w:hideMark/>
          </w:tcPr>
          <w:p w14:paraId="1E4B569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43 596</w:t>
            </w:r>
          </w:p>
        </w:tc>
        <w:tc>
          <w:tcPr>
            <w:tcW w:w="530" w:type="pct"/>
            <w:tcBorders>
              <w:top w:val="nil"/>
              <w:left w:val="nil"/>
              <w:bottom w:val="nil"/>
              <w:right w:val="nil"/>
            </w:tcBorders>
            <w:shd w:val="clear" w:color="auto" w:fill="auto"/>
            <w:noWrap/>
            <w:vAlign w:val="center"/>
            <w:hideMark/>
          </w:tcPr>
          <w:p w14:paraId="4B46CD1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14" w:type="pct"/>
            <w:tcBorders>
              <w:top w:val="nil"/>
              <w:left w:val="nil"/>
              <w:bottom w:val="nil"/>
              <w:right w:val="nil"/>
            </w:tcBorders>
            <w:shd w:val="clear" w:color="auto" w:fill="auto"/>
            <w:noWrap/>
            <w:vAlign w:val="center"/>
            <w:hideMark/>
          </w:tcPr>
          <w:p w14:paraId="7637594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526" w:type="pct"/>
            <w:tcBorders>
              <w:top w:val="nil"/>
              <w:left w:val="nil"/>
              <w:bottom w:val="nil"/>
              <w:right w:val="nil"/>
            </w:tcBorders>
            <w:shd w:val="clear" w:color="auto" w:fill="auto"/>
            <w:noWrap/>
            <w:vAlign w:val="center"/>
            <w:hideMark/>
          </w:tcPr>
          <w:p w14:paraId="4467E14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6F097FB6" w14:textId="77777777" w:rsidTr="00D94493">
        <w:trPr>
          <w:trHeight w:val="170"/>
        </w:trPr>
        <w:tc>
          <w:tcPr>
            <w:tcW w:w="1898" w:type="pct"/>
            <w:tcBorders>
              <w:top w:val="nil"/>
              <w:left w:val="nil"/>
              <w:bottom w:val="nil"/>
              <w:right w:val="nil"/>
            </w:tcBorders>
            <w:shd w:val="clear" w:color="auto" w:fill="auto"/>
            <w:noWrap/>
            <w:vAlign w:val="bottom"/>
            <w:hideMark/>
          </w:tcPr>
          <w:p w14:paraId="4494F5FC"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Environmentálny fond</w:t>
            </w:r>
          </w:p>
        </w:tc>
        <w:tc>
          <w:tcPr>
            <w:tcW w:w="530" w:type="pct"/>
            <w:tcBorders>
              <w:top w:val="nil"/>
              <w:left w:val="nil"/>
              <w:bottom w:val="nil"/>
              <w:right w:val="nil"/>
            </w:tcBorders>
            <w:shd w:val="clear" w:color="auto" w:fill="auto"/>
            <w:noWrap/>
            <w:vAlign w:val="center"/>
            <w:hideMark/>
          </w:tcPr>
          <w:p w14:paraId="21AD9F7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31 949</w:t>
            </w:r>
          </w:p>
        </w:tc>
        <w:tc>
          <w:tcPr>
            <w:tcW w:w="530" w:type="pct"/>
            <w:tcBorders>
              <w:top w:val="nil"/>
              <w:left w:val="nil"/>
              <w:bottom w:val="nil"/>
              <w:right w:val="nil"/>
            </w:tcBorders>
            <w:shd w:val="clear" w:color="auto" w:fill="auto"/>
            <w:noWrap/>
            <w:vAlign w:val="center"/>
            <w:hideMark/>
          </w:tcPr>
          <w:p w14:paraId="1CCA4BD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32 038</w:t>
            </w:r>
          </w:p>
        </w:tc>
        <w:tc>
          <w:tcPr>
            <w:tcW w:w="472" w:type="pct"/>
            <w:tcBorders>
              <w:top w:val="nil"/>
              <w:left w:val="nil"/>
              <w:bottom w:val="nil"/>
              <w:right w:val="nil"/>
            </w:tcBorders>
            <w:shd w:val="clear" w:color="auto" w:fill="auto"/>
            <w:noWrap/>
            <w:vAlign w:val="center"/>
            <w:hideMark/>
          </w:tcPr>
          <w:p w14:paraId="17CBCA1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31 645</w:t>
            </w:r>
          </w:p>
        </w:tc>
        <w:tc>
          <w:tcPr>
            <w:tcW w:w="530" w:type="pct"/>
            <w:tcBorders>
              <w:top w:val="nil"/>
              <w:left w:val="nil"/>
              <w:bottom w:val="nil"/>
              <w:right w:val="nil"/>
            </w:tcBorders>
            <w:shd w:val="clear" w:color="auto" w:fill="auto"/>
            <w:noWrap/>
            <w:vAlign w:val="center"/>
            <w:hideMark/>
          </w:tcPr>
          <w:p w14:paraId="00140E6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31 870</w:t>
            </w:r>
          </w:p>
        </w:tc>
        <w:tc>
          <w:tcPr>
            <w:tcW w:w="514" w:type="pct"/>
            <w:tcBorders>
              <w:top w:val="nil"/>
              <w:left w:val="nil"/>
              <w:bottom w:val="nil"/>
              <w:right w:val="nil"/>
            </w:tcBorders>
            <w:shd w:val="clear" w:color="auto" w:fill="auto"/>
            <w:noWrap/>
            <w:vAlign w:val="center"/>
            <w:hideMark/>
          </w:tcPr>
          <w:p w14:paraId="1C7839B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17 716</w:t>
            </w:r>
          </w:p>
        </w:tc>
        <w:tc>
          <w:tcPr>
            <w:tcW w:w="526" w:type="pct"/>
            <w:tcBorders>
              <w:top w:val="nil"/>
              <w:left w:val="nil"/>
              <w:bottom w:val="nil"/>
              <w:right w:val="nil"/>
            </w:tcBorders>
            <w:shd w:val="clear" w:color="auto" w:fill="auto"/>
            <w:noWrap/>
            <w:vAlign w:val="center"/>
            <w:hideMark/>
          </w:tcPr>
          <w:p w14:paraId="4B49F35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18 250</w:t>
            </w:r>
          </w:p>
        </w:tc>
      </w:tr>
      <w:tr w:rsidR="00D94493" w:rsidRPr="00D94493" w14:paraId="5B362C32" w14:textId="77777777" w:rsidTr="00D94493">
        <w:trPr>
          <w:trHeight w:val="170"/>
        </w:trPr>
        <w:tc>
          <w:tcPr>
            <w:tcW w:w="1898" w:type="pct"/>
            <w:tcBorders>
              <w:top w:val="single" w:sz="4" w:space="0" w:color="auto"/>
              <w:left w:val="nil"/>
              <w:bottom w:val="single" w:sz="4" w:space="0" w:color="auto"/>
              <w:right w:val="nil"/>
            </w:tcBorders>
            <w:shd w:val="clear" w:color="auto" w:fill="auto"/>
            <w:vAlign w:val="bottom"/>
            <w:hideMark/>
          </w:tcPr>
          <w:p w14:paraId="5A7555E9" w14:textId="77777777" w:rsidR="00D94493" w:rsidRPr="00D94493" w:rsidRDefault="00D94493" w:rsidP="00D94493">
            <w:pPr>
              <w:spacing w:after="0" w:line="240" w:lineRule="auto"/>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FSZP spolu</w:t>
            </w:r>
          </w:p>
        </w:tc>
        <w:tc>
          <w:tcPr>
            <w:tcW w:w="530" w:type="pct"/>
            <w:tcBorders>
              <w:top w:val="single" w:sz="4" w:space="0" w:color="auto"/>
              <w:left w:val="nil"/>
              <w:bottom w:val="single" w:sz="4" w:space="0" w:color="auto"/>
              <w:right w:val="nil"/>
            </w:tcBorders>
            <w:shd w:val="clear" w:color="auto" w:fill="auto"/>
            <w:noWrap/>
            <w:vAlign w:val="center"/>
            <w:hideMark/>
          </w:tcPr>
          <w:p w14:paraId="626DC1F4"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13 079 645</w:t>
            </w:r>
          </w:p>
        </w:tc>
        <w:tc>
          <w:tcPr>
            <w:tcW w:w="530" w:type="pct"/>
            <w:tcBorders>
              <w:top w:val="single" w:sz="4" w:space="0" w:color="auto"/>
              <w:left w:val="nil"/>
              <w:bottom w:val="single" w:sz="4" w:space="0" w:color="auto"/>
              <w:right w:val="nil"/>
            </w:tcBorders>
            <w:shd w:val="clear" w:color="auto" w:fill="auto"/>
            <w:noWrap/>
            <w:vAlign w:val="center"/>
            <w:hideMark/>
          </w:tcPr>
          <w:p w14:paraId="27B6A694"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14 174 040</w:t>
            </w:r>
          </w:p>
        </w:tc>
        <w:tc>
          <w:tcPr>
            <w:tcW w:w="472" w:type="pct"/>
            <w:tcBorders>
              <w:top w:val="single" w:sz="4" w:space="0" w:color="auto"/>
              <w:left w:val="nil"/>
              <w:bottom w:val="single" w:sz="4" w:space="0" w:color="auto"/>
              <w:right w:val="nil"/>
            </w:tcBorders>
            <w:shd w:val="clear" w:color="auto" w:fill="auto"/>
            <w:noWrap/>
            <w:vAlign w:val="center"/>
            <w:hideMark/>
          </w:tcPr>
          <w:p w14:paraId="252135B0"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15 346 647</w:t>
            </w:r>
          </w:p>
        </w:tc>
        <w:tc>
          <w:tcPr>
            <w:tcW w:w="530" w:type="pct"/>
            <w:tcBorders>
              <w:top w:val="single" w:sz="4" w:space="0" w:color="auto"/>
              <w:left w:val="nil"/>
              <w:bottom w:val="single" w:sz="4" w:space="0" w:color="auto"/>
              <w:right w:val="nil"/>
            </w:tcBorders>
            <w:shd w:val="clear" w:color="auto" w:fill="auto"/>
            <w:noWrap/>
            <w:vAlign w:val="center"/>
            <w:hideMark/>
          </w:tcPr>
          <w:p w14:paraId="06156414"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17 279 116</w:t>
            </w:r>
          </w:p>
        </w:tc>
        <w:tc>
          <w:tcPr>
            <w:tcW w:w="514" w:type="pct"/>
            <w:tcBorders>
              <w:top w:val="single" w:sz="4" w:space="0" w:color="auto"/>
              <w:left w:val="nil"/>
              <w:bottom w:val="single" w:sz="4" w:space="0" w:color="auto"/>
              <w:right w:val="nil"/>
            </w:tcBorders>
            <w:shd w:val="clear" w:color="auto" w:fill="auto"/>
            <w:noWrap/>
            <w:vAlign w:val="center"/>
            <w:hideMark/>
          </w:tcPr>
          <w:p w14:paraId="7DACFD26"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18 229 884</w:t>
            </w:r>
          </w:p>
        </w:tc>
        <w:tc>
          <w:tcPr>
            <w:tcW w:w="526" w:type="pct"/>
            <w:tcBorders>
              <w:top w:val="single" w:sz="4" w:space="0" w:color="auto"/>
              <w:left w:val="nil"/>
              <w:bottom w:val="single" w:sz="4" w:space="0" w:color="auto"/>
              <w:right w:val="nil"/>
            </w:tcBorders>
            <w:shd w:val="clear" w:color="auto" w:fill="auto"/>
            <w:noWrap/>
            <w:vAlign w:val="center"/>
            <w:hideMark/>
          </w:tcPr>
          <w:p w14:paraId="7078893F"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19 010 986</w:t>
            </w:r>
          </w:p>
        </w:tc>
      </w:tr>
      <w:tr w:rsidR="00D94493" w:rsidRPr="00D94493" w14:paraId="619217BD" w14:textId="77777777" w:rsidTr="00D94493">
        <w:trPr>
          <w:trHeight w:val="170"/>
        </w:trPr>
        <w:tc>
          <w:tcPr>
            <w:tcW w:w="1898" w:type="pct"/>
            <w:tcBorders>
              <w:top w:val="nil"/>
              <w:left w:val="nil"/>
              <w:bottom w:val="single" w:sz="4" w:space="0" w:color="auto"/>
              <w:right w:val="nil"/>
            </w:tcBorders>
            <w:shd w:val="clear" w:color="auto" w:fill="auto"/>
            <w:vAlign w:val="bottom"/>
            <w:hideMark/>
          </w:tcPr>
          <w:p w14:paraId="484A732C" w14:textId="77777777" w:rsidR="00D94493" w:rsidRPr="00D94493" w:rsidRDefault="00D94493" w:rsidP="00D94493">
            <w:pPr>
              <w:spacing w:after="0" w:line="240" w:lineRule="auto"/>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Daňové príjmy a príjmy FSZP spolu</w:t>
            </w:r>
          </w:p>
        </w:tc>
        <w:tc>
          <w:tcPr>
            <w:tcW w:w="530" w:type="pct"/>
            <w:tcBorders>
              <w:top w:val="nil"/>
              <w:left w:val="nil"/>
              <w:bottom w:val="single" w:sz="4" w:space="0" w:color="auto"/>
              <w:right w:val="nil"/>
            </w:tcBorders>
            <w:shd w:val="clear" w:color="auto" w:fill="auto"/>
            <w:noWrap/>
            <w:vAlign w:val="center"/>
            <w:hideMark/>
          </w:tcPr>
          <w:p w14:paraId="6B31463C"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31 736 509</w:t>
            </w:r>
          </w:p>
        </w:tc>
        <w:tc>
          <w:tcPr>
            <w:tcW w:w="530" w:type="pct"/>
            <w:tcBorders>
              <w:top w:val="nil"/>
              <w:left w:val="nil"/>
              <w:bottom w:val="single" w:sz="4" w:space="0" w:color="auto"/>
              <w:right w:val="nil"/>
            </w:tcBorders>
            <w:shd w:val="clear" w:color="auto" w:fill="auto"/>
            <w:noWrap/>
            <w:vAlign w:val="center"/>
            <w:hideMark/>
          </w:tcPr>
          <w:p w14:paraId="5C60512C"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35 270 151</w:t>
            </w:r>
          </w:p>
        </w:tc>
        <w:tc>
          <w:tcPr>
            <w:tcW w:w="472" w:type="pct"/>
            <w:tcBorders>
              <w:top w:val="nil"/>
              <w:left w:val="nil"/>
              <w:bottom w:val="single" w:sz="4" w:space="0" w:color="auto"/>
              <w:right w:val="nil"/>
            </w:tcBorders>
            <w:shd w:val="clear" w:color="auto" w:fill="auto"/>
            <w:noWrap/>
            <w:vAlign w:val="center"/>
            <w:hideMark/>
          </w:tcPr>
          <w:p w14:paraId="7616FC0B"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38 255 321</w:t>
            </w:r>
          </w:p>
        </w:tc>
        <w:tc>
          <w:tcPr>
            <w:tcW w:w="530" w:type="pct"/>
            <w:tcBorders>
              <w:top w:val="nil"/>
              <w:left w:val="nil"/>
              <w:bottom w:val="single" w:sz="4" w:space="0" w:color="auto"/>
              <w:right w:val="nil"/>
            </w:tcBorders>
            <w:shd w:val="clear" w:color="auto" w:fill="auto"/>
            <w:noWrap/>
            <w:vAlign w:val="center"/>
            <w:hideMark/>
          </w:tcPr>
          <w:p w14:paraId="6AD023E3"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41 810 585</w:t>
            </w:r>
          </w:p>
        </w:tc>
        <w:tc>
          <w:tcPr>
            <w:tcW w:w="514" w:type="pct"/>
            <w:tcBorders>
              <w:top w:val="nil"/>
              <w:left w:val="nil"/>
              <w:bottom w:val="single" w:sz="4" w:space="0" w:color="auto"/>
              <w:right w:val="nil"/>
            </w:tcBorders>
            <w:shd w:val="clear" w:color="auto" w:fill="auto"/>
            <w:noWrap/>
            <w:vAlign w:val="center"/>
            <w:hideMark/>
          </w:tcPr>
          <w:p w14:paraId="4DFD98E6"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43 367 166</w:t>
            </w:r>
          </w:p>
        </w:tc>
        <w:tc>
          <w:tcPr>
            <w:tcW w:w="526" w:type="pct"/>
            <w:tcBorders>
              <w:top w:val="nil"/>
              <w:left w:val="nil"/>
              <w:bottom w:val="single" w:sz="4" w:space="0" w:color="auto"/>
              <w:right w:val="nil"/>
            </w:tcBorders>
            <w:shd w:val="clear" w:color="auto" w:fill="auto"/>
            <w:noWrap/>
            <w:vAlign w:val="center"/>
            <w:hideMark/>
          </w:tcPr>
          <w:p w14:paraId="14DF9CE1"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45 047 503</w:t>
            </w:r>
          </w:p>
        </w:tc>
      </w:tr>
    </w:tbl>
    <w:p w14:paraId="3CA589BF" w14:textId="77777777" w:rsidR="00D94493" w:rsidRPr="00D94493" w:rsidRDefault="00D94493" w:rsidP="00D94493">
      <w:pPr>
        <w:rPr>
          <w:rFonts w:ascii="Times New Roman" w:eastAsia="Calibri" w:hAnsi="Times New Roman" w:cs="Times New Roman"/>
          <w:bCs/>
          <w:i/>
        </w:rPr>
      </w:pPr>
      <w:r w:rsidRPr="00D94493">
        <w:rPr>
          <w:rFonts w:ascii="Times New Roman" w:eastAsia="Calibri" w:hAnsi="Times New Roman" w:cs="Times New Roman"/>
          <w:bCs/>
        </w:rPr>
        <w:tab/>
      </w:r>
      <w:r w:rsidRPr="00D94493">
        <w:rPr>
          <w:rFonts w:ascii="Times New Roman" w:eastAsia="Calibri" w:hAnsi="Times New Roman" w:cs="Times New Roman"/>
          <w:bCs/>
        </w:rPr>
        <w:tab/>
      </w:r>
      <w:r w:rsidRPr="00D94493">
        <w:rPr>
          <w:rFonts w:ascii="Times New Roman" w:eastAsia="Calibri" w:hAnsi="Times New Roman" w:cs="Times New Roman"/>
          <w:bCs/>
        </w:rPr>
        <w:tab/>
      </w:r>
      <w:r w:rsidRPr="00D94493">
        <w:rPr>
          <w:rFonts w:ascii="Times New Roman" w:eastAsia="Calibri" w:hAnsi="Times New Roman" w:cs="Times New Roman"/>
          <w:bCs/>
        </w:rPr>
        <w:tab/>
      </w:r>
      <w:r w:rsidRPr="00D94493">
        <w:rPr>
          <w:rFonts w:ascii="Times New Roman" w:eastAsia="Calibri" w:hAnsi="Times New Roman" w:cs="Times New Roman"/>
          <w:bCs/>
        </w:rPr>
        <w:tab/>
      </w:r>
      <w:r w:rsidRPr="00D94493">
        <w:rPr>
          <w:rFonts w:ascii="Times New Roman" w:eastAsia="Calibri" w:hAnsi="Times New Roman" w:cs="Times New Roman"/>
          <w:bCs/>
        </w:rPr>
        <w:tab/>
      </w:r>
      <w:r w:rsidRPr="00D94493">
        <w:rPr>
          <w:rFonts w:ascii="Times New Roman" w:eastAsia="Calibri" w:hAnsi="Times New Roman" w:cs="Times New Roman"/>
          <w:bCs/>
        </w:rPr>
        <w:tab/>
      </w:r>
      <w:r w:rsidRPr="00D94493">
        <w:rPr>
          <w:rFonts w:ascii="Times New Roman" w:eastAsia="Calibri" w:hAnsi="Times New Roman" w:cs="Times New Roman"/>
          <w:bCs/>
        </w:rPr>
        <w:tab/>
      </w:r>
      <w:r w:rsidRPr="00D94493">
        <w:rPr>
          <w:rFonts w:ascii="Times New Roman" w:eastAsia="Calibri" w:hAnsi="Times New Roman" w:cs="Times New Roman"/>
          <w:bCs/>
        </w:rPr>
        <w:tab/>
      </w:r>
      <w:r w:rsidRPr="00D94493">
        <w:rPr>
          <w:rFonts w:ascii="Times New Roman" w:eastAsia="Calibri" w:hAnsi="Times New Roman" w:cs="Times New Roman"/>
          <w:bCs/>
        </w:rPr>
        <w:tab/>
      </w:r>
      <w:r w:rsidRPr="00D94493">
        <w:rPr>
          <w:rFonts w:ascii="Times New Roman" w:eastAsia="Calibri" w:hAnsi="Times New Roman" w:cs="Times New Roman"/>
          <w:bCs/>
        </w:rPr>
        <w:tab/>
        <w:t xml:space="preserve">      </w:t>
      </w:r>
      <w:r w:rsidRPr="00D94493">
        <w:rPr>
          <w:rFonts w:ascii="Times New Roman" w:eastAsia="Calibri" w:hAnsi="Times New Roman" w:cs="Times New Roman"/>
          <w:bCs/>
          <w:i/>
          <w:sz w:val="16"/>
        </w:rPr>
        <w:t>Zdroj: MF SR</w:t>
      </w:r>
    </w:p>
    <w:p w14:paraId="35A2474B" w14:textId="77777777" w:rsidR="00D94493" w:rsidRPr="00D94493" w:rsidRDefault="00D94493" w:rsidP="00D94493">
      <w:pPr>
        <w:spacing w:after="0"/>
        <w:jc w:val="both"/>
        <w:rPr>
          <w:rFonts w:ascii="Times New Roman" w:hAnsi="Times New Roman" w:cs="Times New Roman"/>
          <w:sz w:val="24"/>
        </w:rPr>
      </w:pPr>
    </w:p>
    <w:p w14:paraId="2D95D918" w14:textId="77777777" w:rsidR="00D94493" w:rsidRPr="00D94493" w:rsidRDefault="00D94493" w:rsidP="00D94493">
      <w:pPr>
        <w:spacing w:after="0"/>
        <w:jc w:val="both"/>
        <w:rPr>
          <w:rFonts w:ascii="Times New Roman" w:hAnsi="Times New Roman" w:cs="Times New Roman"/>
          <w:sz w:val="24"/>
        </w:rPr>
      </w:pPr>
    </w:p>
    <w:p w14:paraId="68B6472E" w14:textId="77777777" w:rsidR="00D94493" w:rsidRPr="00D94493" w:rsidRDefault="00D94493" w:rsidP="00D94493">
      <w:pPr>
        <w:spacing w:after="0"/>
        <w:jc w:val="both"/>
        <w:rPr>
          <w:rFonts w:ascii="Times New Roman" w:eastAsia="Calibri" w:hAnsi="Times New Roman" w:cs="Times New Roman"/>
          <w:sz w:val="24"/>
        </w:rPr>
      </w:pPr>
      <w:r w:rsidRPr="00D94493">
        <w:rPr>
          <w:rFonts w:ascii="Times New Roman" w:eastAsia="Calibri" w:hAnsi="Times New Roman" w:cs="Times New Roman"/>
          <w:b/>
          <w:bCs/>
          <w:sz w:val="24"/>
        </w:rPr>
        <w:lastRenderedPageBreak/>
        <w:t>Daňové príjmy na hotovostnej báze</w:t>
      </w:r>
      <w:r w:rsidRPr="00D94493">
        <w:rPr>
          <w:rFonts w:ascii="Times New Roman" w:eastAsia="Calibri" w:hAnsi="Times New Roman" w:cs="Times New Roman"/>
          <w:sz w:val="24"/>
        </w:rPr>
        <w:t xml:space="preserve"> sú prezentované v nasledovnej tabuľke. Podľa rozpočtovej klasifikácie sa sankčné úroky (ďalej len „sankcie“) uložené v daňovom konaní k jednotlivým daniam rozpočtujú v rámci samostatnej kategórie. </w:t>
      </w:r>
    </w:p>
    <w:p w14:paraId="33D5AB45" w14:textId="77777777" w:rsidR="00D94493" w:rsidRPr="00D94493" w:rsidRDefault="00D94493" w:rsidP="00D94493">
      <w:pPr>
        <w:spacing w:after="0"/>
        <w:jc w:val="both"/>
        <w:rPr>
          <w:rFonts w:ascii="Times New Roman" w:eastAsia="Calibri" w:hAnsi="Times New Roman" w:cs="Times New Roman"/>
          <w:sz w:val="24"/>
        </w:rPr>
      </w:pPr>
    </w:p>
    <w:p w14:paraId="27183DB3" w14:textId="0B930D9F" w:rsidR="00D94493" w:rsidRPr="00D94493" w:rsidRDefault="00D94493" w:rsidP="00D94493">
      <w:pPr>
        <w:keepNext/>
        <w:spacing w:after="0" w:line="240" w:lineRule="auto"/>
        <w:rPr>
          <w:rFonts w:ascii="Times New Roman" w:eastAsia="Calibri" w:hAnsi="Times New Roman" w:cs="Times New Roman"/>
          <w:b/>
          <w:iCs/>
          <w:color w:val="5B9BD5"/>
          <w:sz w:val="20"/>
          <w:szCs w:val="18"/>
        </w:rPr>
      </w:pPr>
      <w:bookmarkStart w:id="94" w:name="_Toc53086352"/>
      <w:bookmarkStart w:id="95" w:name="_Toc153013023"/>
      <w:r w:rsidRPr="00D94493">
        <w:rPr>
          <w:rFonts w:ascii="Times New Roman" w:eastAsia="Calibri" w:hAnsi="Times New Roman" w:cs="Times New Roman"/>
          <w:b/>
          <w:iCs/>
          <w:color w:val="5B9BD5"/>
          <w:sz w:val="20"/>
          <w:szCs w:val="18"/>
        </w:rPr>
        <w:t xml:space="preserve">Tabuľka </w:t>
      </w:r>
      <w:r w:rsidRPr="00D94493">
        <w:rPr>
          <w:rFonts w:ascii="Times New Roman" w:eastAsia="Calibri" w:hAnsi="Times New Roman" w:cs="Times New Roman"/>
          <w:b/>
          <w:iCs/>
          <w:color w:val="5B9BD5"/>
          <w:sz w:val="20"/>
          <w:szCs w:val="18"/>
        </w:rPr>
        <w:fldChar w:fldCharType="begin"/>
      </w:r>
      <w:r w:rsidRPr="00D94493">
        <w:rPr>
          <w:rFonts w:ascii="Times New Roman" w:eastAsia="Calibri" w:hAnsi="Times New Roman" w:cs="Times New Roman"/>
          <w:b/>
          <w:iCs/>
          <w:color w:val="5B9BD5"/>
          <w:sz w:val="20"/>
          <w:szCs w:val="18"/>
        </w:rPr>
        <w:instrText xml:space="preserve"> SEQ Tabuľka \* ARABIC </w:instrText>
      </w:r>
      <w:r w:rsidRPr="00D94493">
        <w:rPr>
          <w:rFonts w:ascii="Times New Roman" w:eastAsia="Calibri" w:hAnsi="Times New Roman" w:cs="Times New Roman"/>
          <w:b/>
          <w:iCs/>
          <w:color w:val="5B9BD5"/>
          <w:sz w:val="20"/>
          <w:szCs w:val="18"/>
        </w:rPr>
        <w:fldChar w:fldCharType="separate"/>
      </w:r>
      <w:r w:rsidR="003D5A3A">
        <w:rPr>
          <w:rFonts w:ascii="Times New Roman" w:eastAsia="Calibri" w:hAnsi="Times New Roman" w:cs="Times New Roman"/>
          <w:b/>
          <w:iCs/>
          <w:noProof/>
          <w:color w:val="5B9BD5"/>
          <w:sz w:val="20"/>
          <w:szCs w:val="18"/>
        </w:rPr>
        <w:t>25</w:t>
      </w:r>
      <w:r w:rsidRPr="00D94493">
        <w:rPr>
          <w:rFonts w:ascii="Times New Roman" w:eastAsia="Calibri" w:hAnsi="Times New Roman" w:cs="Times New Roman"/>
          <w:b/>
          <w:iCs/>
          <w:color w:val="5B9BD5"/>
          <w:sz w:val="20"/>
          <w:szCs w:val="18"/>
        </w:rPr>
        <w:fldChar w:fldCharType="end"/>
      </w:r>
      <w:r w:rsidRPr="00D94493">
        <w:rPr>
          <w:rFonts w:ascii="Times New Roman" w:eastAsia="Calibri" w:hAnsi="Times New Roman" w:cs="Times New Roman"/>
          <w:b/>
          <w:iCs/>
          <w:color w:val="5B9BD5"/>
          <w:sz w:val="20"/>
          <w:szCs w:val="18"/>
        </w:rPr>
        <w:t xml:space="preserve"> - Daňové a odvodové príjmy (hotovostný princíp, v tis. eur)</w:t>
      </w:r>
      <w:bookmarkEnd w:id="94"/>
      <w:bookmarkEnd w:id="95"/>
    </w:p>
    <w:tbl>
      <w:tblPr>
        <w:tblW w:w="5000" w:type="pct"/>
        <w:tblLayout w:type="fixed"/>
        <w:tblCellMar>
          <w:left w:w="70" w:type="dxa"/>
          <w:right w:w="70" w:type="dxa"/>
        </w:tblCellMar>
        <w:tblLook w:val="04A0" w:firstRow="1" w:lastRow="0" w:firstColumn="1" w:lastColumn="0" w:noHBand="0" w:noVBand="1"/>
      </w:tblPr>
      <w:tblGrid>
        <w:gridCol w:w="3828"/>
        <w:gridCol w:w="874"/>
        <w:gridCol w:w="874"/>
        <w:gridCol w:w="874"/>
        <w:gridCol w:w="874"/>
        <w:gridCol w:w="874"/>
        <w:gridCol w:w="874"/>
      </w:tblGrid>
      <w:tr w:rsidR="00D94493" w:rsidRPr="00D94493" w14:paraId="4DDB7BD4" w14:textId="77777777" w:rsidTr="00D94493">
        <w:trPr>
          <w:trHeight w:val="113"/>
        </w:trPr>
        <w:tc>
          <w:tcPr>
            <w:tcW w:w="3828" w:type="dxa"/>
            <w:tcBorders>
              <w:top w:val="single" w:sz="4" w:space="0" w:color="auto"/>
              <w:left w:val="nil"/>
              <w:bottom w:val="single" w:sz="4" w:space="0" w:color="auto"/>
              <w:right w:val="nil"/>
            </w:tcBorders>
            <w:shd w:val="clear" w:color="auto" w:fill="auto"/>
            <w:noWrap/>
            <w:vAlign w:val="bottom"/>
            <w:hideMark/>
          </w:tcPr>
          <w:p w14:paraId="6803C861" w14:textId="77777777" w:rsidR="00D94493" w:rsidRPr="00D94493" w:rsidRDefault="00D94493" w:rsidP="00D94493">
            <w:pPr>
              <w:spacing w:after="0" w:line="240" w:lineRule="auto"/>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 </w:t>
            </w:r>
          </w:p>
        </w:tc>
        <w:tc>
          <w:tcPr>
            <w:tcW w:w="874" w:type="dxa"/>
            <w:tcBorders>
              <w:top w:val="single" w:sz="4" w:space="0" w:color="auto"/>
              <w:left w:val="nil"/>
              <w:bottom w:val="single" w:sz="4" w:space="0" w:color="auto"/>
              <w:right w:val="nil"/>
            </w:tcBorders>
            <w:shd w:val="clear" w:color="auto" w:fill="auto"/>
            <w:noWrap/>
            <w:vAlign w:val="center"/>
            <w:hideMark/>
          </w:tcPr>
          <w:p w14:paraId="742B0E99"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2021S</w:t>
            </w:r>
          </w:p>
        </w:tc>
        <w:tc>
          <w:tcPr>
            <w:tcW w:w="874" w:type="dxa"/>
            <w:tcBorders>
              <w:top w:val="single" w:sz="4" w:space="0" w:color="auto"/>
              <w:left w:val="nil"/>
              <w:bottom w:val="single" w:sz="4" w:space="0" w:color="auto"/>
              <w:right w:val="nil"/>
            </w:tcBorders>
            <w:shd w:val="clear" w:color="auto" w:fill="auto"/>
            <w:noWrap/>
            <w:vAlign w:val="center"/>
            <w:hideMark/>
          </w:tcPr>
          <w:p w14:paraId="32DBE9DC"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2022S</w:t>
            </w:r>
          </w:p>
        </w:tc>
        <w:tc>
          <w:tcPr>
            <w:tcW w:w="874" w:type="dxa"/>
            <w:tcBorders>
              <w:top w:val="single" w:sz="4" w:space="0" w:color="auto"/>
              <w:left w:val="nil"/>
              <w:bottom w:val="single" w:sz="4" w:space="0" w:color="auto"/>
              <w:right w:val="nil"/>
            </w:tcBorders>
            <w:shd w:val="clear" w:color="auto" w:fill="auto"/>
            <w:noWrap/>
            <w:vAlign w:val="center"/>
            <w:hideMark/>
          </w:tcPr>
          <w:p w14:paraId="39A77484"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lang w:eastAsia="sk-SK"/>
              </w:rPr>
            </w:pPr>
            <w:r w:rsidRPr="00D94493">
              <w:rPr>
                <w:rFonts w:ascii="Times New Roman" w:eastAsia="Calibri" w:hAnsi="Times New Roman" w:cs="Times New Roman"/>
                <w:b/>
                <w:bCs/>
                <w:sz w:val="14"/>
                <w:szCs w:val="14"/>
              </w:rPr>
              <w:t>2023OS</w:t>
            </w:r>
          </w:p>
        </w:tc>
        <w:tc>
          <w:tcPr>
            <w:tcW w:w="874" w:type="dxa"/>
            <w:tcBorders>
              <w:top w:val="single" w:sz="4" w:space="0" w:color="auto"/>
              <w:left w:val="nil"/>
              <w:bottom w:val="single" w:sz="4" w:space="0" w:color="auto"/>
              <w:right w:val="nil"/>
            </w:tcBorders>
            <w:shd w:val="clear" w:color="auto" w:fill="auto"/>
            <w:noWrap/>
            <w:vAlign w:val="center"/>
            <w:hideMark/>
          </w:tcPr>
          <w:p w14:paraId="682DAC64"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lang w:eastAsia="sk-SK"/>
              </w:rPr>
            </w:pPr>
            <w:r w:rsidRPr="00D94493">
              <w:rPr>
                <w:rFonts w:ascii="Times New Roman" w:eastAsia="Calibri" w:hAnsi="Times New Roman" w:cs="Times New Roman"/>
                <w:b/>
                <w:bCs/>
                <w:sz w:val="14"/>
                <w:szCs w:val="14"/>
              </w:rPr>
              <w:t>2024N</w:t>
            </w:r>
          </w:p>
        </w:tc>
        <w:tc>
          <w:tcPr>
            <w:tcW w:w="874" w:type="dxa"/>
            <w:tcBorders>
              <w:top w:val="single" w:sz="4" w:space="0" w:color="auto"/>
              <w:left w:val="nil"/>
              <w:bottom w:val="single" w:sz="4" w:space="0" w:color="auto"/>
              <w:right w:val="nil"/>
            </w:tcBorders>
            <w:shd w:val="clear" w:color="auto" w:fill="auto"/>
            <w:noWrap/>
            <w:vAlign w:val="center"/>
            <w:hideMark/>
          </w:tcPr>
          <w:p w14:paraId="3B3B5A43"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lang w:eastAsia="sk-SK"/>
              </w:rPr>
            </w:pPr>
            <w:r w:rsidRPr="00D94493">
              <w:rPr>
                <w:rFonts w:ascii="Times New Roman" w:eastAsia="Calibri" w:hAnsi="Times New Roman" w:cs="Times New Roman"/>
                <w:b/>
                <w:bCs/>
                <w:sz w:val="14"/>
                <w:szCs w:val="14"/>
              </w:rPr>
              <w:t>2025N</w:t>
            </w:r>
          </w:p>
        </w:tc>
        <w:tc>
          <w:tcPr>
            <w:tcW w:w="874" w:type="dxa"/>
            <w:tcBorders>
              <w:top w:val="single" w:sz="4" w:space="0" w:color="auto"/>
              <w:left w:val="nil"/>
              <w:bottom w:val="single" w:sz="4" w:space="0" w:color="auto"/>
              <w:right w:val="nil"/>
            </w:tcBorders>
            <w:shd w:val="clear" w:color="auto" w:fill="auto"/>
            <w:noWrap/>
            <w:vAlign w:val="center"/>
            <w:hideMark/>
          </w:tcPr>
          <w:p w14:paraId="6F027F53"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lang w:eastAsia="sk-SK"/>
              </w:rPr>
            </w:pPr>
            <w:r w:rsidRPr="00D94493">
              <w:rPr>
                <w:rFonts w:ascii="Times New Roman" w:eastAsia="Calibri" w:hAnsi="Times New Roman" w:cs="Times New Roman"/>
                <w:b/>
                <w:bCs/>
                <w:sz w:val="14"/>
                <w:szCs w:val="14"/>
              </w:rPr>
              <w:t>2026N</w:t>
            </w:r>
          </w:p>
        </w:tc>
      </w:tr>
      <w:tr w:rsidR="00D94493" w:rsidRPr="00D94493" w14:paraId="71708746" w14:textId="77777777" w:rsidTr="00D94493">
        <w:trPr>
          <w:trHeight w:val="113"/>
        </w:trPr>
        <w:tc>
          <w:tcPr>
            <w:tcW w:w="3828" w:type="dxa"/>
            <w:tcBorders>
              <w:top w:val="nil"/>
              <w:left w:val="nil"/>
              <w:bottom w:val="nil"/>
              <w:right w:val="nil"/>
            </w:tcBorders>
            <w:shd w:val="clear" w:color="auto" w:fill="auto"/>
            <w:noWrap/>
            <w:vAlign w:val="bottom"/>
            <w:hideMark/>
          </w:tcPr>
          <w:p w14:paraId="782A4469" w14:textId="77777777" w:rsidR="00D94493" w:rsidRPr="00D94493" w:rsidRDefault="00D94493" w:rsidP="00D94493">
            <w:pPr>
              <w:spacing w:after="0" w:line="240" w:lineRule="auto"/>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Dane z príjmov, ziskov a kapitálového majetku</w:t>
            </w:r>
          </w:p>
        </w:tc>
        <w:tc>
          <w:tcPr>
            <w:tcW w:w="874" w:type="dxa"/>
            <w:tcBorders>
              <w:top w:val="nil"/>
              <w:left w:val="nil"/>
              <w:bottom w:val="nil"/>
              <w:right w:val="nil"/>
            </w:tcBorders>
            <w:shd w:val="clear" w:color="auto" w:fill="auto"/>
            <w:noWrap/>
            <w:vAlign w:val="center"/>
            <w:hideMark/>
          </w:tcPr>
          <w:p w14:paraId="088F6C87"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6 444 967</w:t>
            </w:r>
          </w:p>
        </w:tc>
        <w:tc>
          <w:tcPr>
            <w:tcW w:w="874" w:type="dxa"/>
            <w:tcBorders>
              <w:top w:val="nil"/>
              <w:left w:val="nil"/>
              <w:bottom w:val="nil"/>
              <w:right w:val="nil"/>
            </w:tcBorders>
            <w:shd w:val="clear" w:color="auto" w:fill="auto"/>
            <w:noWrap/>
            <w:vAlign w:val="center"/>
            <w:hideMark/>
          </w:tcPr>
          <w:p w14:paraId="01433E9B"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7 714 948</w:t>
            </w:r>
          </w:p>
        </w:tc>
        <w:tc>
          <w:tcPr>
            <w:tcW w:w="874" w:type="dxa"/>
            <w:tcBorders>
              <w:top w:val="nil"/>
              <w:left w:val="nil"/>
              <w:bottom w:val="nil"/>
              <w:right w:val="nil"/>
            </w:tcBorders>
            <w:shd w:val="clear" w:color="auto" w:fill="auto"/>
            <w:noWrap/>
            <w:vAlign w:val="center"/>
            <w:hideMark/>
          </w:tcPr>
          <w:p w14:paraId="0BC55F55"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8 216 174</w:t>
            </w:r>
          </w:p>
        </w:tc>
        <w:tc>
          <w:tcPr>
            <w:tcW w:w="874" w:type="dxa"/>
            <w:tcBorders>
              <w:top w:val="nil"/>
              <w:left w:val="nil"/>
              <w:bottom w:val="nil"/>
              <w:right w:val="nil"/>
            </w:tcBorders>
            <w:shd w:val="clear" w:color="auto" w:fill="auto"/>
            <w:noWrap/>
            <w:vAlign w:val="center"/>
            <w:hideMark/>
          </w:tcPr>
          <w:p w14:paraId="2DE6FB00"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8 757 683</w:t>
            </w:r>
          </w:p>
        </w:tc>
        <w:tc>
          <w:tcPr>
            <w:tcW w:w="874" w:type="dxa"/>
            <w:tcBorders>
              <w:top w:val="nil"/>
              <w:left w:val="nil"/>
              <w:bottom w:val="nil"/>
              <w:right w:val="nil"/>
            </w:tcBorders>
            <w:shd w:val="clear" w:color="auto" w:fill="auto"/>
            <w:noWrap/>
            <w:vAlign w:val="center"/>
            <w:hideMark/>
          </w:tcPr>
          <w:p w14:paraId="1137FA0B"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9 201 885</w:t>
            </w:r>
          </w:p>
        </w:tc>
        <w:tc>
          <w:tcPr>
            <w:tcW w:w="874" w:type="dxa"/>
            <w:tcBorders>
              <w:top w:val="nil"/>
              <w:left w:val="nil"/>
              <w:bottom w:val="nil"/>
              <w:right w:val="nil"/>
            </w:tcBorders>
            <w:shd w:val="clear" w:color="auto" w:fill="auto"/>
            <w:noWrap/>
            <w:vAlign w:val="center"/>
            <w:hideMark/>
          </w:tcPr>
          <w:p w14:paraId="2B803B52"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9 667 803</w:t>
            </w:r>
          </w:p>
        </w:tc>
      </w:tr>
      <w:tr w:rsidR="00D94493" w:rsidRPr="00D94493" w14:paraId="082CF58B" w14:textId="77777777" w:rsidTr="00D94493">
        <w:trPr>
          <w:trHeight w:val="113"/>
        </w:trPr>
        <w:tc>
          <w:tcPr>
            <w:tcW w:w="3828" w:type="dxa"/>
            <w:tcBorders>
              <w:top w:val="nil"/>
              <w:left w:val="nil"/>
              <w:bottom w:val="nil"/>
              <w:right w:val="nil"/>
            </w:tcBorders>
            <w:shd w:val="clear" w:color="auto" w:fill="auto"/>
            <w:noWrap/>
            <w:vAlign w:val="bottom"/>
            <w:hideMark/>
          </w:tcPr>
          <w:p w14:paraId="05027FC2"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 z príjmov fyzických osôb</w:t>
            </w:r>
          </w:p>
        </w:tc>
        <w:tc>
          <w:tcPr>
            <w:tcW w:w="874" w:type="dxa"/>
            <w:tcBorders>
              <w:top w:val="nil"/>
              <w:left w:val="nil"/>
              <w:bottom w:val="nil"/>
              <w:right w:val="nil"/>
            </w:tcBorders>
            <w:shd w:val="clear" w:color="auto" w:fill="auto"/>
            <w:noWrap/>
            <w:vAlign w:val="center"/>
            <w:hideMark/>
          </w:tcPr>
          <w:p w14:paraId="4BEBDFF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3 295 841</w:t>
            </w:r>
          </w:p>
        </w:tc>
        <w:tc>
          <w:tcPr>
            <w:tcW w:w="874" w:type="dxa"/>
            <w:tcBorders>
              <w:top w:val="nil"/>
              <w:left w:val="nil"/>
              <w:bottom w:val="nil"/>
              <w:right w:val="nil"/>
            </w:tcBorders>
            <w:shd w:val="clear" w:color="auto" w:fill="auto"/>
            <w:noWrap/>
            <w:vAlign w:val="center"/>
            <w:hideMark/>
          </w:tcPr>
          <w:p w14:paraId="32FBB9D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3 595 839</w:t>
            </w:r>
          </w:p>
        </w:tc>
        <w:tc>
          <w:tcPr>
            <w:tcW w:w="874" w:type="dxa"/>
            <w:tcBorders>
              <w:top w:val="nil"/>
              <w:left w:val="nil"/>
              <w:bottom w:val="nil"/>
              <w:right w:val="nil"/>
            </w:tcBorders>
            <w:shd w:val="clear" w:color="auto" w:fill="auto"/>
            <w:noWrap/>
            <w:vAlign w:val="center"/>
            <w:hideMark/>
          </w:tcPr>
          <w:p w14:paraId="7E14F59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3 516 515</w:t>
            </w:r>
          </w:p>
        </w:tc>
        <w:tc>
          <w:tcPr>
            <w:tcW w:w="874" w:type="dxa"/>
            <w:tcBorders>
              <w:top w:val="nil"/>
              <w:left w:val="nil"/>
              <w:bottom w:val="nil"/>
              <w:right w:val="nil"/>
            </w:tcBorders>
            <w:shd w:val="clear" w:color="auto" w:fill="auto"/>
            <w:noWrap/>
            <w:vAlign w:val="center"/>
            <w:hideMark/>
          </w:tcPr>
          <w:p w14:paraId="051DD00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3 529 080</w:t>
            </w:r>
          </w:p>
        </w:tc>
        <w:tc>
          <w:tcPr>
            <w:tcW w:w="874" w:type="dxa"/>
            <w:tcBorders>
              <w:top w:val="nil"/>
              <w:left w:val="nil"/>
              <w:bottom w:val="nil"/>
              <w:right w:val="nil"/>
            </w:tcBorders>
            <w:shd w:val="clear" w:color="auto" w:fill="auto"/>
            <w:noWrap/>
            <w:vAlign w:val="center"/>
            <w:hideMark/>
          </w:tcPr>
          <w:p w14:paraId="63C2B59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4 118 234</w:t>
            </w:r>
          </w:p>
        </w:tc>
        <w:tc>
          <w:tcPr>
            <w:tcW w:w="874" w:type="dxa"/>
            <w:tcBorders>
              <w:top w:val="nil"/>
              <w:left w:val="nil"/>
              <w:bottom w:val="nil"/>
              <w:right w:val="nil"/>
            </w:tcBorders>
            <w:shd w:val="clear" w:color="auto" w:fill="auto"/>
            <w:noWrap/>
            <w:vAlign w:val="center"/>
            <w:hideMark/>
          </w:tcPr>
          <w:p w14:paraId="3FBE721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4 427 453</w:t>
            </w:r>
          </w:p>
        </w:tc>
      </w:tr>
      <w:tr w:rsidR="00D94493" w:rsidRPr="00D94493" w14:paraId="733E5036" w14:textId="77777777" w:rsidTr="00D94493">
        <w:trPr>
          <w:trHeight w:val="113"/>
        </w:trPr>
        <w:tc>
          <w:tcPr>
            <w:tcW w:w="3828" w:type="dxa"/>
            <w:tcBorders>
              <w:top w:val="nil"/>
              <w:left w:val="nil"/>
              <w:bottom w:val="nil"/>
              <w:right w:val="nil"/>
            </w:tcBorders>
            <w:shd w:val="clear" w:color="auto" w:fill="auto"/>
            <w:noWrap/>
            <w:vAlign w:val="bottom"/>
            <w:hideMark/>
          </w:tcPr>
          <w:p w14:paraId="3FD486A6"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DPFO zo závislej činnosti</w:t>
            </w:r>
          </w:p>
        </w:tc>
        <w:tc>
          <w:tcPr>
            <w:tcW w:w="874" w:type="dxa"/>
            <w:tcBorders>
              <w:top w:val="nil"/>
              <w:left w:val="nil"/>
              <w:bottom w:val="nil"/>
              <w:right w:val="nil"/>
            </w:tcBorders>
            <w:shd w:val="clear" w:color="auto" w:fill="auto"/>
            <w:noWrap/>
            <w:vAlign w:val="center"/>
            <w:hideMark/>
          </w:tcPr>
          <w:p w14:paraId="573E6E2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3 254 431</w:t>
            </w:r>
          </w:p>
        </w:tc>
        <w:tc>
          <w:tcPr>
            <w:tcW w:w="874" w:type="dxa"/>
            <w:tcBorders>
              <w:top w:val="nil"/>
              <w:left w:val="nil"/>
              <w:bottom w:val="nil"/>
              <w:right w:val="nil"/>
            </w:tcBorders>
            <w:shd w:val="clear" w:color="auto" w:fill="auto"/>
            <w:noWrap/>
            <w:vAlign w:val="center"/>
            <w:hideMark/>
          </w:tcPr>
          <w:p w14:paraId="11141AC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3 535 911</w:t>
            </w:r>
          </w:p>
        </w:tc>
        <w:tc>
          <w:tcPr>
            <w:tcW w:w="874" w:type="dxa"/>
            <w:tcBorders>
              <w:top w:val="nil"/>
              <w:left w:val="nil"/>
              <w:bottom w:val="nil"/>
              <w:right w:val="nil"/>
            </w:tcBorders>
            <w:shd w:val="clear" w:color="auto" w:fill="auto"/>
            <w:noWrap/>
            <w:vAlign w:val="center"/>
            <w:hideMark/>
          </w:tcPr>
          <w:p w14:paraId="4B53BA2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3 481 243</w:t>
            </w:r>
          </w:p>
        </w:tc>
        <w:tc>
          <w:tcPr>
            <w:tcW w:w="874" w:type="dxa"/>
            <w:tcBorders>
              <w:top w:val="nil"/>
              <w:left w:val="nil"/>
              <w:bottom w:val="nil"/>
              <w:right w:val="nil"/>
            </w:tcBorders>
            <w:shd w:val="clear" w:color="auto" w:fill="auto"/>
            <w:noWrap/>
            <w:vAlign w:val="center"/>
            <w:hideMark/>
          </w:tcPr>
          <w:p w14:paraId="661A3C8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3 579 901</w:t>
            </w:r>
          </w:p>
        </w:tc>
        <w:tc>
          <w:tcPr>
            <w:tcW w:w="874" w:type="dxa"/>
            <w:tcBorders>
              <w:top w:val="nil"/>
              <w:left w:val="nil"/>
              <w:bottom w:val="nil"/>
              <w:right w:val="nil"/>
            </w:tcBorders>
            <w:shd w:val="clear" w:color="auto" w:fill="auto"/>
            <w:noWrap/>
            <w:vAlign w:val="center"/>
            <w:hideMark/>
          </w:tcPr>
          <w:p w14:paraId="1791856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4 159 559</w:t>
            </w:r>
          </w:p>
        </w:tc>
        <w:tc>
          <w:tcPr>
            <w:tcW w:w="874" w:type="dxa"/>
            <w:tcBorders>
              <w:top w:val="nil"/>
              <w:left w:val="nil"/>
              <w:bottom w:val="nil"/>
              <w:right w:val="nil"/>
            </w:tcBorders>
            <w:shd w:val="clear" w:color="auto" w:fill="auto"/>
            <w:noWrap/>
            <w:vAlign w:val="center"/>
            <w:hideMark/>
          </w:tcPr>
          <w:p w14:paraId="44B873C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4 398 706</w:t>
            </w:r>
          </w:p>
        </w:tc>
      </w:tr>
      <w:tr w:rsidR="00D94493" w:rsidRPr="00D94493" w14:paraId="652D8F04" w14:textId="77777777" w:rsidTr="00D94493">
        <w:trPr>
          <w:trHeight w:val="113"/>
        </w:trPr>
        <w:tc>
          <w:tcPr>
            <w:tcW w:w="3828" w:type="dxa"/>
            <w:tcBorders>
              <w:top w:val="nil"/>
              <w:left w:val="nil"/>
              <w:bottom w:val="nil"/>
              <w:right w:val="nil"/>
            </w:tcBorders>
            <w:shd w:val="clear" w:color="auto" w:fill="auto"/>
            <w:noWrap/>
            <w:vAlign w:val="bottom"/>
            <w:hideMark/>
          </w:tcPr>
          <w:p w14:paraId="38982D4A"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DPFO z podnikania</w:t>
            </w:r>
          </w:p>
        </w:tc>
        <w:tc>
          <w:tcPr>
            <w:tcW w:w="874" w:type="dxa"/>
            <w:tcBorders>
              <w:top w:val="nil"/>
              <w:left w:val="nil"/>
              <w:bottom w:val="nil"/>
              <w:right w:val="nil"/>
            </w:tcBorders>
            <w:shd w:val="clear" w:color="auto" w:fill="auto"/>
            <w:noWrap/>
            <w:vAlign w:val="center"/>
            <w:hideMark/>
          </w:tcPr>
          <w:p w14:paraId="410E4B8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41 410</w:t>
            </w:r>
          </w:p>
        </w:tc>
        <w:tc>
          <w:tcPr>
            <w:tcW w:w="874" w:type="dxa"/>
            <w:tcBorders>
              <w:top w:val="nil"/>
              <w:left w:val="nil"/>
              <w:bottom w:val="nil"/>
              <w:right w:val="nil"/>
            </w:tcBorders>
            <w:shd w:val="clear" w:color="auto" w:fill="auto"/>
            <w:noWrap/>
            <w:vAlign w:val="center"/>
            <w:hideMark/>
          </w:tcPr>
          <w:p w14:paraId="5C740CC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59 928</w:t>
            </w:r>
          </w:p>
        </w:tc>
        <w:tc>
          <w:tcPr>
            <w:tcW w:w="874" w:type="dxa"/>
            <w:tcBorders>
              <w:top w:val="nil"/>
              <w:left w:val="nil"/>
              <w:bottom w:val="nil"/>
              <w:right w:val="nil"/>
            </w:tcBorders>
            <w:shd w:val="clear" w:color="auto" w:fill="auto"/>
            <w:noWrap/>
            <w:vAlign w:val="center"/>
            <w:hideMark/>
          </w:tcPr>
          <w:p w14:paraId="6B1AF18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35 272</w:t>
            </w:r>
          </w:p>
        </w:tc>
        <w:tc>
          <w:tcPr>
            <w:tcW w:w="874" w:type="dxa"/>
            <w:tcBorders>
              <w:top w:val="nil"/>
              <w:left w:val="nil"/>
              <w:bottom w:val="nil"/>
              <w:right w:val="nil"/>
            </w:tcBorders>
            <w:shd w:val="clear" w:color="auto" w:fill="auto"/>
            <w:noWrap/>
            <w:vAlign w:val="center"/>
            <w:hideMark/>
          </w:tcPr>
          <w:p w14:paraId="03AFB91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-50 821</w:t>
            </w:r>
          </w:p>
        </w:tc>
        <w:tc>
          <w:tcPr>
            <w:tcW w:w="874" w:type="dxa"/>
            <w:tcBorders>
              <w:top w:val="nil"/>
              <w:left w:val="nil"/>
              <w:bottom w:val="nil"/>
              <w:right w:val="nil"/>
            </w:tcBorders>
            <w:shd w:val="clear" w:color="auto" w:fill="auto"/>
            <w:noWrap/>
            <w:vAlign w:val="center"/>
            <w:hideMark/>
          </w:tcPr>
          <w:p w14:paraId="075C1E9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-41 325</w:t>
            </w:r>
          </w:p>
        </w:tc>
        <w:tc>
          <w:tcPr>
            <w:tcW w:w="874" w:type="dxa"/>
            <w:tcBorders>
              <w:top w:val="nil"/>
              <w:left w:val="nil"/>
              <w:bottom w:val="nil"/>
              <w:right w:val="nil"/>
            </w:tcBorders>
            <w:shd w:val="clear" w:color="auto" w:fill="auto"/>
            <w:noWrap/>
            <w:vAlign w:val="center"/>
            <w:hideMark/>
          </w:tcPr>
          <w:p w14:paraId="740E570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28 747</w:t>
            </w:r>
          </w:p>
        </w:tc>
      </w:tr>
      <w:tr w:rsidR="00D94493" w:rsidRPr="00D94493" w14:paraId="6B00DF2F" w14:textId="77777777" w:rsidTr="00D94493">
        <w:trPr>
          <w:trHeight w:val="113"/>
        </w:trPr>
        <w:tc>
          <w:tcPr>
            <w:tcW w:w="3828" w:type="dxa"/>
            <w:tcBorders>
              <w:top w:val="nil"/>
              <w:left w:val="nil"/>
              <w:bottom w:val="nil"/>
              <w:right w:val="nil"/>
            </w:tcBorders>
            <w:shd w:val="clear" w:color="auto" w:fill="auto"/>
            <w:noWrap/>
            <w:vAlign w:val="bottom"/>
            <w:hideMark/>
          </w:tcPr>
          <w:p w14:paraId="1FD486D0" w14:textId="77777777" w:rsidR="00D94493" w:rsidRPr="00D94493" w:rsidRDefault="00D94493" w:rsidP="00D94493">
            <w:pPr>
              <w:spacing w:after="0" w:line="240" w:lineRule="auto"/>
              <w:ind w:firstLineChars="600" w:firstLine="84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do štátneho rozpočtu </w:t>
            </w:r>
          </w:p>
        </w:tc>
        <w:tc>
          <w:tcPr>
            <w:tcW w:w="874" w:type="dxa"/>
            <w:tcBorders>
              <w:top w:val="nil"/>
              <w:left w:val="nil"/>
              <w:bottom w:val="nil"/>
              <w:right w:val="nil"/>
            </w:tcBorders>
            <w:shd w:val="clear" w:color="auto" w:fill="auto"/>
            <w:noWrap/>
            <w:vAlign w:val="center"/>
            <w:hideMark/>
          </w:tcPr>
          <w:p w14:paraId="3744A4C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20 864</w:t>
            </w:r>
          </w:p>
        </w:tc>
        <w:tc>
          <w:tcPr>
            <w:tcW w:w="874" w:type="dxa"/>
            <w:tcBorders>
              <w:top w:val="nil"/>
              <w:left w:val="nil"/>
              <w:bottom w:val="nil"/>
              <w:right w:val="nil"/>
            </w:tcBorders>
            <w:shd w:val="clear" w:color="auto" w:fill="auto"/>
            <w:noWrap/>
            <w:vAlign w:val="center"/>
            <w:hideMark/>
          </w:tcPr>
          <w:p w14:paraId="5F72C14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-4 929</w:t>
            </w:r>
          </w:p>
        </w:tc>
        <w:tc>
          <w:tcPr>
            <w:tcW w:w="874" w:type="dxa"/>
            <w:tcBorders>
              <w:top w:val="nil"/>
              <w:left w:val="nil"/>
              <w:bottom w:val="nil"/>
              <w:right w:val="nil"/>
            </w:tcBorders>
            <w:shd w:val="clear" w:color="auto" w:fill="auto"/>
            <w:noWrap/>
            <w:vAlign w:val="center"/>
            <w:hideMark/>
          </w:tcPr>
          <w:p w14:paraId="506ECB1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-8 112</w:t>
            </w:r>
          </w:p>
        </w:tc>
        <w:tc>
          <w:tcPr>
            <w:tcW w:w="874" w:type="dxa"/>
            <w:tcBorders>
              <w:top w:val="nil"/>
              <w:left w:val="nil"/>
              <w:bottom w:val="nil"/>
              <w:right w:val="nil"/>
            </w:tcBorders>
            <w:shd w:val="clear" w:color="auto" w:fill="auto"/>
            <w:noWrap/>
            <w:vAlign w:val="center"/>
            <w:hideMark/>
          </w:tcPr>
          <w:p w14:paraId="45711D1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-22 923</w:t>
            </w:r>
          </w:p>
        </w:tc>
        <w:tc>
          <w:tcPr>
            <w:tcW w:w="874" w:type="dxa"/>
            <w:tcBorders>
              <w:top w:val="nil"/>
              <w:left w:val="nil"/>
              <w:bottom w:val="nil"/>
              <w:right w:val="nil"/>
            </w:tcBorders>
            <w:shd w:val="clear" w:color="auto" w:fill="auto"/>
            <w:noWrap/>
            <w:vAlign w:val="center"/>
            <w:hideMark/>
          </w:tcPr>
          <w:p w14:paraId="1F7529D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76 801</w:t>
            </w:r>
          </w:p>
        </w:tc>
        <w:tc>
          <w:tcPr>
            <w:tcW w:w="874" w:type="dxa"/>
            <w:tcBorders>
              <w:top w:val="nil"/>
              <w:left w:val="nil"/>
              <w:bottom w:val="nil"/>
              <w:right w:val="nil"/>
            </w:tcBorders>
            <w:shd w:val="clear" w:color="auto" w:fill="auto"/>
            <w:noWrap/>
            <w:vAlign w:val="center"/>
            <w:hideMark/>
          </w:tcPr>
          <w:p w14:paraId="6CD2B89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-39 429</w:t>
            </w:r>
          </w:p>
        </w:tc>
      </w:tr>
      <w:tr w:rsidR="00D94493" w:rsidRPr="00D94493" w14:paraId="3850A9D2" w14:textId="77777777" w:rsidTr="00D94493">
        <w:trPr>
          <w:trHeight w:val="113"/>
        </w:trPr>
        <w:tc>
          <w:tcPr>
            <w:tcW w:w="3828" w:type="dxa"/>
            <w:tcBorders>
              <w:top w:val="nil"/>
              <w:left w:val="nil"/>
              <w:bottom w:val="nil"/>
              <w:right w:val="nil"/>
            </w:tcBorders>
            <w:shd w:val="clear" w:color="auto" w:fill="auto"/>
            <w:noWrap/>
            <w:vAlign w:val="bottom"/>
            <w:hideMark/>
          </w:tcPr>
          <w:p w14:paraId="1B7EF601" w14:textId="77777777" w:rsidR="00D94493" w:rsidRPr="00D94493" w:rsidRDefault="00D94493" w:rsidP="00D94493">
            <w:pPr>
              <w:spacing w:after="0" w:line="240" w:lineRule="auto"/>
              <w:ind w:firstLineChars="600" w:firstLine="84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do obcí </w:t>
            </w:r>
          </w:p>
        </w:tc>
        <w:tc>
          <w:tcPr>
            <w:tcW w:w="874" w:type="dxa"/>
            <w:tcBorders>
              <w:top w:val="nil"/>
              <w:left w:val="nil"/>
              <w:bottom w:val="nil"/>
              <w:right w:val="nil"/>
            </w:tcBorders>
            <w:shd w:val="clear" w:color="auto" w:fill="auto"/>
            <w:noWrap/>
            <w:vAlign w:val="center"/>
            <w:hideMark/>
          </w:tcPr>
          <w:p w14:paraId="70B0357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2 292 484</w:t>
            </w:r>
          </w:p>
        </w:tc>
        <w:tc>
          <w:tcPr>
            <w:tcW w:w="874" w:type="dxa"/>
            <w:tcBorders>
              <w:top w:val="nil"/>
              <w:left w:val="nil"/>
              <w:bottom w:val="nil"/>
              <w:right w:val="nil"/>
            </w:tcBorders>
            <w:shd w:val="clear" w:color="auto" w:fill="auto"/>
            <w:noWrap/>
            <w:vAlign w:val="center"/>
            <w:hideMark/>
          </w:tcPr>
          <w:p w14:paraId="32FF08E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2 520 538</w:t>
            </w:r>
          </w:p>
        </w:tc>
        <w:tc>
          <w:tcPr>
            <w:tcW w:w="874" w:type="dxa"/>
            <w:tcBorders>
              <w:top w:val="nil"/>
              <w:left w:val="nil"/>
              <w:bottom w:val="nil"/>
              <w:right w:val="nil"/>
            </w:tcBorders>
            <w:shd w:val="clear" w:color="auto" w:fill="auto"/>
            <w:noWrap/>
            <w:vAlign w:val="center"/>
            <w:hideMark/>
          </w:tcPr>
          <w:p w14:paraId="7D05E35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2 467 239</w:t>
            </w:r>
          </w:p>
        </w:tc>
        <w:tc>
          <w:tcPr>
            <w:tcW w:w="874" w:type="dxa"/>
            <w:tcBorders>
              <w:top w:val="nil"/>
              <w:left w:val="nil"/>
              <w:bottom w:val="nil"/>
              <w:right w:val="nil"/>
            </w:tcBorders>
            <w:shd w:val="clear" w:color="auto" w:fill="auto"/>
            <w:noWrap/>
            <w:vAlign w:val="center"/>
            <w:hideMark/>
          </w:tcPr>
          <w:p w14:paraId="65EF040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2 486 402</w:t>
            </w:r>
          </w:p>
        </w:tc>
        <w:tc>
          <w:tcPr>
            <w:tcW w:w="874" w:type="dxa"/>
            <w:tcBorders>
              <w:top w:val="nil"/>
              <w:left w:val="nil"/>
              <w:bottom w:val="nil"/>
              <w:right w:val="nil"/>
            </w:tcBorders>
            <w:shd w:val="clear" w:color="auto" w:fill="auto"/>
            <w:noWrap/>
            <w:vAlign w:val="center"/>
            <w:hideMark/>
          </w:tcPr>
          <w:p w14:paraId="1D7B4E5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2 829 003</w:t>
            </w:r>
          </w:p>
        </w:tc>
        <w:tc>
          <w:tcPr>
            <w:tcW w:w="874" w:type="dxa"/>
            <w:tcBorders>
              <w:top w:val="nil"/>
              <w:left w:val="nil"/>
              <w:bottom w:val="nil"/>
              <w:right w:val="nil"/>
            </w:tcBorders>
            <w:shd w:val="clear" w:color="auto" w:fill="auto"/>
            <w:noWrap/>
            <w:vAlign w:val="center"/>
            <w:hideMark/>
          </w:tcPr>
          <w:p w14:paraId="1E798E3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3 126 818</w:t>
            </w:r>
          </w:p>
        </w:tc>
      </w:tr>
      <w:tr w:rsidR="00D94493" w:rsidRPr="00D94493" w14:paraId="64E16F07" w14:textId="77777777" w:rsidTr="00D94493">
        <w:trPr>
          <w:trHeight w:val="113"/>
        </w:trPr>
        <w:tc>
          <w:tcPr>
            <w:tcW w:w="3828" w:type="dxa"/>
            <w:tcBorders>
              <w:top w:val="nil"/>
              <w:left w:val="nil"/>
              <w:bottom w:val="nil"/>
              <w:right w:val="nil"/>
            </w:tcBorders>
            <w:shd w:val="clear" w:color="auto" w:fill="auto"/>
            <w:noWrap/>
            <w:vAlign w:val="bottom"/>
            <w:hideMark/>
          </w:tcPr>
          <w:p w14:paraId="098FA3BA" w14:textId="77777777" w:rsidR="00D94493" w:rsidRPr="00D94493" w:rsidRDefault="00D94493" w:rsidP="00D94493">
            <w:pPr>
              <w:spacing w:after="0" w:line="240" w:lineRule="auto"/>
              <w:ind w:firstLineChars="600" w:firstLine="84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do VÚC </w:t>
            </w:r>
          </w:p>
        </w:tc>
        <w:tc>
          <w:tcPr>
            <w:tcW w:w="874" w:type="dxa"/>
            <w:tcBorders>
              <w:top w:val="nil"/>
              <w:left w:val="nil"/>
              <w:bottom w:val="nil"/>
              <w:right w:val="nil"/>
            </w:tcBorders>
            <w:shd w:val="clear" w:color="auto" w:fill="auto"/>
            <w:noWrap/>
            <w:vAlign w:val="center"/>
            <w:hideMark/>
          </w:tcPr>
          <w:p w14:paraId="6688C02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982 493</w:t>
            </w:r>
          </w:p>
        </w:tc>
        <w:tc>
          <w:tcPr>
            <w:tcW w:w="874" w:type="dxa"/>
            <w:tcBorders>
              <w:top w:val="nil"/>
              <w:left w:val="nil"/>
              <w:bottom w:val="nil"/>
              <w:right w:val="nil"/>
            </w:tcBorders>
            <w:shd w:val="clear" w:color="auto" w:fill="auto"/>
            <w:noWrap/>
            <w:vAlign w:val="center"/>
            <w:hideMark/>
          </w:tcPr>
          <w:p w14:paraId="2740911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1 080 231</w:t>
            </w:r>
          </w:p>
        </w:tc>
        <w:tc>
          <w:tcPr>
            <w:tcW w:w="874" w:type="dxa"/>
            <w:tcBorders>
              <w:top w:val="nil"/>
              <w:left w:val="nil"/>
              <w:bottom w:val="nil"/>
              <w:right w:val="nil"/>
            </w:tcBorders>
            <w:shd w:val="clear" w:color="auto" w:fill="auto"/>
            <w:noWrap/>
            <w:vAlign w:val="center"/>
            <w:hideMark/>
          </w:tcPr>
          <w:p w14:paraId="730B72B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1 057 388</w:t>
            </w:r>
          </w:p>
        </w:tc>
        <w:tc>
          <w:tcPr>
            <w:tcW w:w="874" w:type="dxa"/>
            <w:tcBorders>
              <w:top w:val="nil"/>
              <w:left w:val="nil"/>
              <w:bottom w:val="nil"/>
              <w:right w:val="nil"/>
            </w:tcBorders>
            <w:shd w:val="clear" w:color="auto" w:fill="auto"/>
            <w:noWrap/>
            <w:vAlign w:val="center"/>
            <w:hideMark/>
          </w:tcPr>
          <w:p w14:paraId="193D331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1 065 601</w:t>
            </w:r>
          </w:p>
        </w:tc>
        <w:tc>
          <w:tcPr>
            <w:tcW w:w="874" w:type="dxa"/>
            <w:tcBorders>
              <w:top w:val="nil"/>
              <w:left w:val="nil"/>
              <w:bottom w:val="nil"/>
              <w:right w:val="nil"/>
            </w:tcBorders>
            <w:shd w:val="clear" w:color="auto" w:fill="auto"/>
            <w:noWrap/>
            <w:vAlign w:val="center"/>
            <w:hideMark/>
          </w:tcPr>
          <w:p w14:paraId="5BDD09C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1 212 430</w:t>
            </w:r>
          </w:p>
        </w:tc>
        <w:tc>
          <w:tcPr>
            <w:tcW w:w="874" w:type="dxa"/>
            <w:tcBorders>
              <w:top w:val="nil"/>
              <w:left w:val="nil"/>
              <w:bottom w:val="nil"/>
              <w:right w:val="nil"/>
            </w:tcBorders>
            <w:shd w:val="clear" w:color="auto" w:fill="auto"/>
            <w:noWrap/>
            <w:vAlign w:val="center"/>
            <w:hideMark/>
          </w:tcPr>
          <w:p w14:paraId="49CD527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1 340 064</w:t>
            </w:r>
          </w:p>
        </w:tc>
      </w:tr>
      <w:tr w:rsidR="00D94493" w:rsidRPr="00D94493" w14:paraId="2FE27E93" w14:textId="77777777" w:rsidTr="00D94493">
        <w:trPr>
          <w:trHeight w:val="113"/>
        </w:trPr>
        <w:tc>
          <w:tcPr>
            <w:tcW w:w="3828" w:type="dxa"/>
            <w:tcBorders>
              <w:top w:val="nil"/>
              <w:left w:val="nil"/>
              <w:bottom w:val="nil"/>
              <w:right w:val="nil"/>
            </w:tcBorders>
            <w:shd w:val="clear" w:color="auto" w:fill="auto"/>
            <w:noWrap/>
            <w:vAlign w:val="bottom"/>
            <w:hideMark/>
          </w:tcPr>
          <w:p w14:paraId="376D4A8B"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 z príjmov právnických osôb</w:t>
            </w:r>
          </w:p>
        </w:tc>
        <w:tc>
          <w:tcPr>
            <w:tcW w:w="874" w:type="dxa"/>
            <w:tcBorders>
              <w:top w:val="nil"/>
              <w:left w:val="nil"/>
              <w:bottom w:val="nil"/>
              <w:right w:val="nil"/>
            </w:tcBorders>
            <w:shd w:val="clear" w:color="auto" w:fill="auto"/>
            <w:noWrap/>
            <w:vAlign w:val="center"/>
            <w:hideMark/>
          </w:tcPr>
          <w:p w14:paraId="76D178A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2 859 372</w:t>
            </w:r>
          </w:p>
        </w:tc>
        <w:tc>
          <w:tcPr>
            <w:tcW w:w="874" w:type="dxa"/>
            <w:tcBorders>
              <w:top w:val="nil"/>
              <w:left w:val="nil"/>
              <w:bottom w:val="nil"/>
              <w:right w:val="nil"/>
            </w:tcBorders>
            <w:shd w:val="clear" w:color="auto" w:fill="auto"/>
            <w:noWrap/>
            <w:vAlign w:val="center"/>
            <w:hideMark/>
          </w:tcPr>
          <w:p w14:paraId="5D0EADC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3 804 345</w:t>
            </w:r>
          </w:p>
        </w:tc>
        <w:tc>
          <w:tcPr>
            <w:tcW w:w="874" w:type="dxa"/>
            <w:tcBorders>
              <w:top w:val="nil"/>
              <w:left w:val="nil"/>
              <w:bottom w:val="nil"/>
              <w:right w:val="nil"/>
            </w:tcBorders>
            <w:shd w:val="clear" w:color="auto" w:fill="auto"/>
            <w:noWrap/>
            <w:vAlign w:val="center"/>
            <w:hideMark/>
          </w:tcPr>
          <w:p w14:paraId="172DA91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4 283 905</w:t>
            </w:r>
          </w:p>
        </w:tc>
        <w:tc>
          <w:tcPr>
            <w:tcW w:w="874" w:type="dxa"/>
            <w:tcBorders>
              <w:top w:val="nil"/>
              <w:left w:val="nil"/>
              <w:bottom w:val="nil"/>
              <w:right w:val="nil"/>
            </w:tcBorders>
            <w:shd w:val="clear" w:color="auto" w:fill="auto"/>
            <w:noWrap/>
            <w:vAlign w:val="center"/>
            <w:hideMark/>
          </w:tcPr>
          <w:p w14:paraId="4DBCFCF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4 813 533</w:t>
            </w:r>
          </w:p>
        </w:tc>
        <w:tc>
          <w:tcPr>
            <w:tcW w:w="874" w:type="dxa"/>
            <w:tcBorders>
              <w:top w:val="nil"/>
              <w:left w:val="nil"/>
              <w:bottom w:val="nil"/>
              <w:right w:val="nil"/>
            </w:tcBorders>
            <w:shd w:val="clear" w:color="auto" w:fill="auto"/>
            <w:noWrap/>
            <w:vAlign w:val="center"/>
            <w:hideMark/>
          </w:tcPr>
          <w:p w14:paraId="6640BA1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4 666 203</w:t>
            </w:r>
          </w:p>
        </w:tc>
        <w:tc>
          <w:tcPr>
            <w:tcW w:w="874" w:type="dxa"/>
            <w:tcBorders>
              <w:top w:val="nil"/>
              <w:left w:val="nil"/>
              <w:bottom w:val="nil"/>
              <w:right w:val="nil"/>
            </w:tcBorders>
            <w:shd w:val="clear" w:color="auto" w:fill="auto"/>
            <w:noWrap/>
            <w:vAlign w:val="center"/>
            <w:hideMark/>
          </w:tcPr>
          <w:p w14:paraId="5C2FC69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4 820 510</w:t>
            </w:r>
          </w:p>
        </w:tc>
      </w:tr>
      <w:tr w:rsidR="00D94493" w:rsidRPr="00D94493" w14:paraId="2E29BD45" w14:textId="77777777" w:rsidTr="00D94493">
        <w:trPr>
          <w:trHeight w:val="113"/>
        </w:trPr>
        <w:tc>
          <w:tcPr>
            <w:tcW w:w="3828" w:type="dxa"/>
            <w:tcBorders>
              <w:top w:val="nil"/>
              <w:left w:val="nil"/>
              <w:bottom w:val="nil"/>
              <w:right w:val="nil"/>
            </w:tcBorders>
            <w:shd w:val="clear" w:color="auto" w:fill="auto"/>
            <w:noWrap/>
            <w:vAlign w:val="bottom"/>
          </w:tcPr>
          <w:p w14:paraId="1F1EA093"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               do štátneho rozpočtu </w:t>
            </w:r>
          </w:p>
        </w:tc>
        <w:tc>
          <w:tcPr>
            <w:tcW w:w="874" w:type="dxa"/>
            <w:tcBorders>
              <w:top w:val="nil"/>
              <w:left w:val="nil"/>
              <w:bottom w:val="nil"/>
              <w:right w:val="nil"/>
            </w:tcBorders>
            <w:shd w:val="clear" w:color="auto" w:fill="auto"/>
            <w:noWrap/>
            <w:vAlign w:val="center"/>
          </w:tcPr>
          <w:p w14:paraId="7502F2B4"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2 859 372</w:t>
            </w:r>
          </w:p>
        </w:tc>
        <w:tc>
          <w:tcPr>
            <w:tcW w:w="874" w:type="dxa"/>
            <w:tcBorders>
              <w:top w:val="nil"/>
              <w:left w:val="nil"/>
              <w:bottom w:val="nil"/>
              <w:right w:val="nil"/>
            </w:tcBorders>
            <w:shd w:val="clear" w:color="auto" w:fill="auto"/>
            <w:noWrap/>
            <w:vAlign w:val="center"/>
          </w:tcPr>
          <w:p w14:paraId="0D25D24A"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3 804 345</w:t>
            </w:r>
          </w:p>
        </w:tc>
        <w:tc>
          <w:tcPr>
            <w:tcW w:w="874" w:type="dxa"/>
            <w:tcBorders>
              <w:top w:val="nil"/>
              <w:left w:val="nil"/>
              <w:bottom w:val="nil"/>
              <w:right w:val="nil"/>
            </w:tcBorders>
            <w:shd w:val="clear" w:color="auto" w:fill="auto"/>
            <w:noWrap/>
            <w:vAlign w:val="center"/>
          </w:tcPr>
          <w:p w14:paraId="7F010DC3"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3 958 107</w:t>
            </w:r>
          </w:p>
        </w:tc>
        <w:tc>
          <w:tcPr>
            <w:tcW w:w="874" w:type="dxa"/>
            <w:tcBorders>
              <w:top w:val="nil"/>
              <w:left w:val="nil"/>
              <w:bottom w:val="nil"/>
              <w:right w:val="nil"/>
            </w:tcBorders>
            <w:shd w:val="clear" w:color="auto" w:fill="auto"/>
            <w:noWrap/>
            <w:vAlign w:val="center"/>
          </w:tcPr>
          <w:p w14:paraId="6679EA79"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4 475 610</w:t>
            </w:r>
          </w:p>
        </w:tc>
        <w:tc>
          <w:tcPr>
            <w:tcW w:w="874" w:type="dxa"/>
            <w:tcBorders>
              <w:top w:val="nil"/>
              <w:left w:val="nil"/>
              <w:bottom w:val="nil"/>
              <w:right w:val="nil"/>
            </w:tcBorders>
            <w:shd w:val="clear" w:color="auto" w:fill="auto"/>
            <w:noWrap/>
            <w:vAlign w:val="center"/>
          </w:tcPr>
          <w:p w14:paraId="6E250EE1"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4 666 203</w:t>
            </w:r>
          </w:p>
        </w:tc>
        <w:tc>
          <w:tcPr>
            <w:tcW w:w="874" w:type="dxa"/>
            <w:tcBorders>
              <w:top w:val="nil"/>
              <w:left w:val="nil"/>
              <w:bottom w:val="nil"/>
              <w:right w:val="nil"/>
            </w:tcBorders>
            <w:shd w:val="clear" w:color="auto" w:fill="auto"/>
            <w:noWrap/>
            <w:vAlign w:val="center"/>
          </w:tcPr>
          <w:p w14:paraId="1EB8AF4C"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4 820 510</w:t>
            </w:r>
          </w:p>
        </w:tc>
      </w:tr>
      <w:tr w:rsidR="00D94493" w:rsidRPr="00D94493" w14:paraId="464D1882" w14:textId="77777777" w:rsidTr="00D94493">
        <w:trPr>
          <w:trHeight w:val="113"/>
        </w:trPr>
        <w:tc>
          <w:tcPr>
            <w:tcW w:w="3828" w:type="dxa"/>
            <w:tcBorders>
              <w:top w:val="nil"/>
              <w:left w:val="nil"/>
              <w:bottom w:val="nil"/>
              <w:right w:val="nil"/>
            </w:tcBorders>
            <w:shd w:val="clear" w:color="auto" w:fill="auto"/>
            <w:noWrap/>
            <w:vAlign w:val="bottom"/>
          </w:tcPr>
          <w:p w14:paraId="124EBE8F"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               do obcí </w:t>
            </w:r>
          </w:p>
        </w:tc>
        <w:tc>
          <w:tcPr>
            <w:tcW w:w="874" w:type="dxa"/>
            <w:tcBorders>
              <w:top w:val="nil"/>
              <w:left w:val="nil"/>
              <w:bottom w:val="nil"/>
              <w:right w:val="nil"/>
            </w:tcBorders>
            <w:shd w:val="clear" w:color="auto" w:fill="auto"/>
            <w:noWrap/>
            <w:vAlign w:val="center"/>
          </w:tcPr>
          <w:p w14:paraId="71F13A28"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tcPr>
          <w:p w14:paraId="4E50F1F0"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tcPr>
          <w:p w14:paraId="125E6320"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228 059</w:t>
            </w:r>
          </w:p>
        </w:tc>
        <w:tc>
          <w:tcPr>
            <w:tcW w:w="874" w:type="dxa"/>
            <w:tcBorders>
              <w:top w:val="nil"/>
              <w:left w:val="nil"/>
              <w:bottom w:val="nil"/>
              <w:right w:val="nil"/>
            </w:tcBorders>
            <w:shd w:val="clear" w:color="auto" w:fill="auto"/>
            <w:noWrap/>
            <w:vAlign w:val="center"/>
          </w:tcPr>
          <w:p w14:paraId="4A0D7B6C"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236 546</w:t>
            </w:r>
          </w:p>
        </w:tc>
        <w:tc>
          <w:tcPr>
            <w:tcW w:w="874" w:type="dxa"/>
            <w:tcBorders>
              <w:top w:val="nil"/>
              <w:left w:val="nil"/>
              <w:bottom w:val="nil"/>
              <w:right w:val="nil"/>
            </w:tcBorders>
            <w:shd w:val="clear" w:color="auto" w:fill="auto"/>
            <w:noWrap/>
            <w:vAlign w:val="center"/>
          </w:tcPr>
          <w:p w14:paraId="0244ABF0"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tcPr>
          <w:p w14:paraId="1F84D787"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r>
      <w:tr w:rsidR="00D94493" w:rsidRPr="00D94493" w14:paraId="1B22E008" w14:textId="77777777" w:rsidTr="00D94493">
        <w:trPr>
          <w:trHeight w:val="113"/>
        </w:trPr>
        <w:tc>
          <w:tcPr>
            <w:tcW w:w="3828" w:type="dxa"/>
            <w:tcBorders>
              <w:top w:val="nil"/>
              <w:left w:val="nil"/>
              <w:bottom w:val="nil"/>
              <w:right w:val="nil"/>
            </w:tcBorders>
            <w:shd w:val="clear" w:color="auto" w:fill="auto"/>
            <w:noWrap/>
            <w:vAlign w:val="bottom"/>
          </w:tcPr>
          <w:p w14:paraId="16B20221"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               do VÚC </w:t>
            </w:r>
          </w:p>
        </w:tc>
        <w:tc>
          <w:tcPr>
            <w:tcW w:w="874" w:type="dxa"/>
            <w:tcBorders>
              <w:top w:val="nil"/>
              <w:left w:val="nil"/>
              <w:bottom w:val="nil"/>
              <w:right w:val="nil"/>
            </w:tcBorders>
            <w:shd w:val="clear" w:color="auto" w:fill="auto"/>
            <w:noWrap/>
            <w:vAlign w:val="center"/>
          </w:tcPr>
          <w:p w14:paraId="460869BB"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tcPr>
          <w:p w14:paraId="4BCCF82F"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tcPr>
          <w:p w14:paraId="115A0755"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97 739</w:t>
            </w:r>
          </w:p>
        </w:tc>
        <w:tc>
          <w:tcPr>
            <w:tcW w:w="874" w:type="dxa"/>
            <w:tcBorders>
              <w:top w:val="nil"/>
              <w:left w:val="nil"/>
              <w:bottom w:val="nil"/>
              <w:right w:val="nil"/>
            </w:tcBorders>
            <w:shd w:val="clear" w:color="auto" w:fill="auto"/>
            <w:noWrap/>
            <w:vAlign w:val="center"/>
          </w:tcPr>
          <w:p w14:paraId="45D7FCB4"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101 377</w:t>
            </w:r>
          </w:p>
        </w:tc>
        <w:tc>
          <w:tcPr>
            <w:tcW w:w="874" w:type="dxa"/>
            <w:tcBorders>
              <w:top w:val="nil"/>
              <w:left w:val="nil"/>
              <w:bottom w:val="nil"/>
              <w:right w:val="nil"/>
            </w:tcBorders>
            <w:shd w:val="clear" w:color="auto" w:fill="auto"/>
            <w:noWrap/>
            <w:vAlign w:val="center"/>
          </w:tcPr>
          <w:p w14:paraId="0A066168"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tcPr>
          <w:p w14:paraId="31D3885B"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r>
      <w:tr w:rsidR="00D94493" w:rsidRPr="00D94493" w14:paraId="2E7E7037" w14:textId="77777777" w:rsidTr="00D94493">
        <w:trPr>
          <w:trHeight w:val="113"/>
        </w:trPr>
        <w:tc>
          <w:tcPr>
            <w:tcW w:w="3828" w:type="dxa"/>
            <w:tcBorders>
              <w:top w:val="nil"/>
              <w:left w:val="nil"/>
              <w:bottom w:val="nil"/>
              <w:right w:val="nil"/>
            </w:tcBorders>
            <w:shd w:val="clear" w:color="auto" w:fill="auto"/>
            <w:noWrap/>
            <w:vAlign w:val="bottom"/>
            <w:hideMark/>
          </w:tcPr>
          <w:p w14:paraId="23F945A2"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 z príjmov vyberaná zrážkou</w:t>
            </w:r>
          </w:p>
        </w:tc>
        <w:tc>
          <w:tcPr>
            <w:tcW w:w="874" w:type="dxa"/>
            <w:tcBorders>
              <w:top w:val="nil"/>
              <w:left w:val="nil"/>
              <w:bottom w:val="nil"/>
              <w:right w:val="nil"/>
            </w:tcBorders>
            <w:shd w:val="clear" w:color="auto" w:fill="auto"/>
            <w:noWrap/>
            <w:vAlign w:val="center"/>
            <w:hideMark/>
          </w:tcPr>
          <w:p w14:paraId="2CF1309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289 754</w:t>
            </w:r>
          </w:p>
        </w:tc>
        <w:tc>
          <w:tcPr>
            <w:tcW w:w="874" w:type="dxa"/>
            <w:tcBorders>
              <w:top w:val="nil"/>
              <w:left w:val="nil"/>
              <w:bottom w:val="nil"/>
              <w:right w:val="nil"/>
            </w:tcBorders>
            <w:shd w:val="clear" w:color="auto" w:fill="auto"/>
            <w:noWrap/>
            <w:vAlign w:val="center"/>
            <w:hideMark/>
          </w:tcPr>
          <w:p w14:paraId="3BE106E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314 764</w:t>
            </w:r>
          </w:p>
        </w:tc>
        <w:tc>
          <w:tcPr>
            <w:tcW w:w="874" w:type="dxa"/>
            <w:tcBorders>
              <w:top w:val="nil"/>
              <w:left w:val="nil"/>
              <w:bottom w:val="nil"/>
              <w:right w:val="nil"/>
            </w:tcBorders>
            <w:shd w:val="clear" w:color="auto" w:fill="auto"/>
            <w:noWrap/>
            <w:vAlign w:val="center"/>
            <w:hideMark/>
          </w:tcPr>
          <w:p w14:paraId="42D3097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415 754</w:t>
            </w:r>
          </w:p>
        </w:tc>
        <w:tc>
          <w:tcPr>
            <w:tcW w:w="874" w:type="dxa"/>
            <w:tcBorders>
              <w:top w:val="nil"/>
              <w:left w:val="nil"/>
              <w:bottom w:val="nil"/>
              <w:right w:val="nil"/>
            </w:tcBorders>
            <w:shd w:val="clear" w:color="auto" w:fill="auto"/>
            <w:noWrap/>
            <w:vAlign w:val="center"/>
            <w:hideMark/>
          </w:tcPr>
          <w:p w14:paraId="351FC90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415 070</w:t>
            </w:r>
          </w:p>
        </w:tc>
        <w:tc>
          <w:tcPr>
            <w:tcW w:w="874" w:type="dxa"/>
            <w:tcBorders>
              <w:top w:val="nil"/>
              <w:left w:val="nil"/>
              <w:bottom w:val="nil"/>
              <w:right w:val="nil"/>
            </w:tcBorders>
            <w:shd w:val="clear" w:color="auto" w:fill="auto"/>
            <w:noWrap/>
            <w:vAlign w:val="center"/>
            <w:hideMark/>
          </w:tcPr>
          <w:p w14:paraId="1F6F78A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417 448</w:t>
            </w:r>
          </w:p>
        </w:tc>
        <w:tc>
          <w:tcPr>
            <w:tcW w:w="874" w:type="dxa"/>
            <w:tcBorders>
              <w:top w:val="nil"/>
              <w:left w:val="nil"/>
              <w:bottom w:val="nil"/>
              <w:right w:val="nil"/>
            </w:tcBorders>
            <w:shd w:val="clear" w:color="auto" w:fill="auto"/>
            <w:noWrap/>
            <w:vAlign w:val="center"/>
            <w:hideMark/>
          </w:tcPr>
          <w:p w14:paraId="1275064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419 840</w:t>
            </w:r>
          </w:p>
        </w:tc>
      </w:tr>
      <w:tr w:rsidR="00D94493" w:rsidRPr="00D94493" w14:paraId="41441AA6" w14:textId="77777777" w:rsidTr="00D94493">
        <w:trPr>
          <w:trHeight w:val="113"/>
        </w:trPr>
        <w:tc>
          <w:tcPr>
            <w:tcW w:w="3828" w:type="dxa"/>
            <w:tcBorders>
              <w:top w:val="nil"/>
              <w:left w:val="nil"/>
              <w:bottom w:val="nil"/>
              <w:right w:val="nil"/>
            </w:tcBorders>
            <w:shd w:val="clear" w:color="auto" w:fill="auto"/>
            <w:noWrap/>
            <w:vAlign w:val="bottom"/>
            <w:hideMark/>
          </w:tcPr>
          <w:p w14:paraId="43A3BE14" w14:textId="77777777" w:rsidR="00D94493" w:rsidRPr="00D94493" w:rsidRDefault="00D94493" w:rsidP="00D94493">
            <w:pPr>
              <w:spacing w:after="0" w:line="240" w:lineRule="auto"/>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Dane na tovary a služby</w:t>
            </w:r>
          </w:p>
        </w:tc>
        <w:tc>
          <w:tcPr>
            <w:tcW w:w="874" w:type="dxa"/>
            <w:tcBorders>
              <w:top w:val="nil"/>
              <w:left w:val="nil"/>
              <w:bottom w:val="nil"/>
              <w:right w:val="nil"/>
            </w:tcBorders>
            <w:shd w:val="clear" w:color="auto" w:fill="auto"/>
            <w:noWrap/>
            <w:vAlign w:val="center"/>
            <w:hideMark/>
          </w:tcPr>
          <w:p w14:paraId="7BBFE5C5"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10 130 515</w:t>
            </w:r>
          </w:p>
        </w:tc>
        <w:tc>
          <w:tcPr>
            <w:tcW w:w="874" w:type="dxa"/>
            <w:tcBorders>
              <w:top w:val="nil"/>
              <w:left w:val="nil"/>
              <w:bottom w:val="nil"/>
              <w:right w:val="nil"/>
            </w:tcBorders>
            <w:shd w:val="clear" w:color="auto" w:fill="auto"/>
            <w:noWrap/>
            <w:vAlign w:val="center"/>
            <w:hideMark/>
          </w:tcPr>
          <w:p w14:paraId="0BDEB4F9"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11 109 457</w:t>
            </w:r>
          </w:p>
        </w:tc>
        <w:tc>
          <w:tcPr>
            <w:tcW w:w="874" w:type="dxa"/>
            <w:tcBorders>
              <w:top w:val="nil"/>
              <w:left w:val="nil"/>
              <w:bottom w:val="nil"/>
              <w:right w:val="nil"/>
            </w:tcBorders>
            <w:shd w:val="clear" w:color="auto" w:fill="auto"/>
            <w:noWrap/>
            <w:vAlign w:val="center"/>
            <w:hideMark/>
          </w:tcPr>
          <w:p w14:paraId="79D1786A"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12 189 096</w:t>
            </w:r>
          </w:p>
        </w:tc>
        <w:tc>
          <w:tcPr>
            <w:tcW w:w="874" w:type="dxa"/>
            <w:tcBorders>
              <w:top w:val="nil"/>
              <w:left w:val="nil"/>
              <w:bottom w:val="nil"/>
              <w:right w:val="nil"/>
            </w:tcBorders>
            <w:shd w:val="clear" w:color="auto" w:fill="auto"/>
            <w:noWrap/>
            <w:vAlign w:val="center"/>
            <w:hideMark/>
          </w:tcPr>
          <w:p w14:paraId="7405710B"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12 605 568</w:t>
            </w:r>
          </w:p>
        </w:tc>
        <w:tc>
          <w:tcPr>
            <w:tcW w:w="874" w:type="dxa"/>
            <w:tcBorders>
              <w:top w:val="nil"/>
              <w:left w:val="nil"/>
              <w:bottom w:val="nil"/>
              <w:right w:val="nil"/>
            </w:tcBorders>
            <w:shd w:val="clear" w:color="auto" w:fill="auto"/>
            <w:noWrap/>
            <w:vAlign w:val="center"/>
            <w:hideMark/>
          </w:tcPr>
          <w:p w14:paraId="0FCE9AA0"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13 256 691</w:t>
            </w:r>
          </w:p>
        </w:tc>
        <w:tc>
          <w:tcPr>
            <w:tcW w:w="874" w:type="dxa"/>
            <w:tcBorders>
              <w:top w:val="nil"/>
              <w:left w:val="nil"/>
              <w:bottom w:val="nil"/>
              <w:right w:val="nil"/>
            </w:tcBorders>
            <w:shd w:val="clear" w:color="auto" w:fill="auto"/>
            <w:noWrap/>
            <w:vAlign w:val="center"/>
            <w:hideMark/>
          </w:tcPr>
          <w:p w14:paraId="040EA7B2"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13 639 343</w:t>
            </w:r>
          </w:p>
        </w:tc>
      </w:tr>
      <w:tr w:rsidR="00D94493" w:rsidRPr="00D94493" w14:paraId="350BB85F" w14:textId="77777777" w:rsidTr="00D94493">
        <w:trPr>
          <w:trHeight w:val="113"/>
        </w:trPr>
        <w:tc>
          <w:tcPr>
            <w:tcW w:w="3828" w:type="dxa"/>
            <w:tcBorders>
              <w:top w:val="nil"/>
              <w:left w:val="nil"/>
              <w:bottom w:val="nil"/>
              <w:right w:val="nil"/>
            </w:tcBorders>
            <w:shd w:val="clear" w:color="auto" w:fill="auto"/>
            <w:noWrap/>
            <w:vAlign w:val="bottom"/>
            <w:hideMark/>
          </w:tcPr>
          <w:p w14:paraId="6CBF3AFA"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 z pridanej hodnoty</w:t>
            </w:r>
          </w:p>
        </w:tc>
        <w:tc>
          <w:tcPr>
            <w:tcW w:w="874" w:type="dxa"/>
            <w:tcBorders>
              <w:top w:val="nil"/>
              <w:left w:val="nil"/>
              <w:bottom w:val="nil"/>
              <w:right w:val="nil"/>
            </w:tcBorders>
            <w:shd w:val="clear" w:color="auto" w:fill="auto"/>
            <w:noWrap/>
            <w:vAlign w:val="center"/>
            <w:hideMark/>
          </w:tcPr>
          <w:p w14:paraId="7F467F8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7 760 691</w:t>
            </w:r>
          </w:p>
        </w:tc>
        <w:tc>
          <w:tcPr>
            <w:tcW w:w="874" w:type="dxa"/>
            <w:tcBorders>
              <w:top w:val="nil"/>
              <w:left w:val="nil"/>
              <w:bottom w:val="nil"/>
              <w:right w:val="nil"/>
            </w:tcBorders>
            <w:shd w:val="clear" w:color="auto" w:fill="auto"/>
            <w:noWrap/>
            <w:vAlign w:val="center"/>
            <w:hideMark/>
          </w:tcPr>
          <w:p w14:paraId="4E966D4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8 584 936</w:t>
            </w:r>
          </w:p>
        </w:tc>
        <w:tc>
          <w:tcPr>
            <w:tcW w:w="874" w:type="dxa"/>
            <w:tcBorders>
              <w:top w:val="nil"/>
              <w:left w:val="nil"/>
              <w:bottom w:val="nil"/>
              <w:right w:val="nil"/>
            </w:tcBorders>
            <w:shd w:val="clear" w:color="auto" w:fill="auto"/>
            <w:noWrap/>
            <w:vAlign w:val="center"/>
            <w:hideMark/>
          </w:tcPr>
          <w:p w14:paraId="7BEB088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9 624 303</w:t>
            </w:r>
          </w:p>
        </w:tc>
        <w:tc>
          <w:tcPr>
            <w:tcW w:w="874" w:type="dxa"/>
            <w:tcBorders>
              <w:top w:val="nil"/>
              <w:left w:val="nil"/>
              <w:bottom w:val="nil"/>
              <w:right w:val="nil"/>
            </w:tcBorders>
            <w:shd w:val="clear" w:color="auto" w:fill="auto"/>
            <w:noWrap/>
            <w:vAlign w:val="center"/>
            <w:hideMark/>
          </w:tcPr>
          <w:p w14:paraId="02B3AED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9 827 000</w:t>
            </w:r>
          </w:p>
        </w:tc>
        <w:tc>
          <w:tcPr>
            <w:tcW w:w="874" w:type="dxa"/>
            <w:tcBorders>
              <w:top w:val="nil"/>
              <w:left w:val="nil"/>
              <w:bottom w:val="nil"/>
              <w:right w:val="nil"/>
            </w:tcBorders>
            <w:shd w:val="clear" w:color="auto" w:fill="auto"/>
            <w:noWrap/>
            <w:vAlign w:val="center"/>
            <w:hideMark/>
          </w:tcPr>
          <w:p w14:paraId="424728C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10 390 571</w:t>
            </w:r>
          </w:p>
        </w:tc>
        <w:tc>
          <w:tcPr>
            <w:tcW w:w="874" w:type="dxa"/>
            <w:tcBorders>
              <w:top w:val="nil"/>
              <w:left w:val="nil"/>
              <w:bottom w:val="nil"/>
              <w:right w:val="nil"/>
            </w:tcBorders>
            <w:shd w:val="clear" w:color="auto" w:fill="auto"/>
            <w:noWrap/>
            <w:vAlign w:val="center"/>
            <w:hideMark/>
          </w:tcPr>
          <w:p w14:paraId="3EF4166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10 664 390</w:t>
            </w:r>
          </w:p>
        </w:tc>
      </w:tr>
      <w:tr w:rsidR="00D94493" w:rsidRPr="00D94493" w14:paraId="6ED17478" w14:textId="77777777" w:rsidTr="00D94493">
        <w:trPr>
          <w:trHeight w:val="113"/>
        </w:trPr>
        <w:tc>
          <w:tcPr>
            <w:tcW w:w="3828" w:type="dxa"/>
            <w:tcBorders>
              <w:top w:val="nil"/>
              <w:left w:val="nil"/>
              <w:bottom w:val="nil"/>
              <w:right w:val="nil"/>
            </w:tcBorders>
            <w:shd w:val="clear" w:color="auto" w:fill="auto"/>
            <w:noWrap/>
            <w:vAlign w:val="bottom"/>
            <w:hideMark/>
          </w:tcPr>
          <w:p w14:paraId="1DACD746"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Spotrebné dane</w:t>
            </w:r>
          </w:p>
        </w:tc>
        <w:tc>
          <w:tcPr>
            <w:tcW w:w="874" w:type="dxa"/>
            <w:tcBorders>
              <w:top w:val="nil"/>
              <w:left w:val="nil"/>
              <w:bottom w:val="nil"/>
              <w:right w:val="nil"/>
            </w:tcBorders>
            <w:shd w:val="clear" w:color="auto" w:fill="auto"/>
            <w:noWrap/>
            <w:vAlign w:val="center"/>
            <w:hideMark/>
          </w:tcPr>
          <w:p w14:paraId="0ACB6C3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2 369 824</w:t>
            </w:r>
          </w:p>
        </w:tc>
        <w:tc>
          <w:tcPr>
            <w:tcW w:w="874" w:type="dxa"/>
            <w:tcBorders>
              <w:top w:val="nil"/>
              <w:left w:val="nil"/>
              <w:bottom w:val="nil"/>
              <w:right w:val="nil"/>
            </w:tcBorders>
            <w:shd w:val="clear" w:color="auto" w:fill="auto"/>
            <w:noWrap/>
            <w:vAlign w:val="center"/>
            <w:hideMark/>
          </w:tcPr>
          <w:p w14:paraId="3902BD3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2 524 521</w:t>
            </w:r>
          </w:p>
        </w:tc>
        <w:tc>
          <w:tcPr>
            <w:tcW w:w="874" w:type="dxa"/>
            <w:tcBorders>
              <w:top w:val="nil"/>
              <w:left w:val="nil"/>
              <w:bottom w:val="nil"/>
              <w:right w:val="nil"/>
            </w:tcBorders>
            <w:shd w:val="clear" w:color="auto" w:fill="auto"/>
            <w:noWrap/>
            <w:vAlign w:val="center"/>
            <w:hideMark/>
          </w:tcPr>
          <w:p w14:paraId="3921B4E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2 564 793</w:t>
            </w:r>
          </w:p>
        </w:tc>
        <w:tc>
          <w:tcPr>
            <w:tcW w:w="874" w:type="dxa"/>
            <w:tcBorders>
              <w:top w:val="nil"/>
              <w:left w:val="nil"/>
              <w:bottom w:val="nil"/>
              <w:right w:val="nil"/>
            </w:tcBorders>
            <w:shd w:val="clear" w:color="auto" w:fill="auto"/>
            <w:noWrap/>
            <w:vAlign w:val="center"/>
            <w:hideMark/>
          </w:tcPr>
          <w:p w14:paraId="5D25FE8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2 778 568</w:t>
            </w:r>
          </w:p>
        </w:tc>
        <w:tc>
          <w:tcPr>
            <w:tcW w:w="874" w:type="dxa"/>
            <w:tcBorders>
              <w:top w:val="nil"/>
              <w:left w:val="nil"/>
              <w:bottom w:val="nil"/>
              <w:right w:val="nil"/>
            </w:tcBorders>
            <w:shd w:val="clear" w:color="auto" w:fill="auto"/>
            <w:noWrap/>
            <w:vAlign w:val="center"/>
            <w:hideMark/>
          </w:tcPr>
          <w:p w14:paraId="15A2372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2 866 120</w:t>
            </w:r>
          </w:p>
        </w:tc>
        <w:tc>
          <w:tcPr>
            <w:tcW w:w="874" w:type="dxa"/>
            <w:tcBorders>
              <w:top w:val="nil"/>
              <w:left w:val="nil"/>
              <w:bottom w:val="nil"/>
              <w:right w:val="nil"/>
            </w:tcBorders>
            <w:shd w:val="clear" w:color="auto" w:fill="auto"/>
            <w:noWrap/>
            <w:vAlign w:val="center"/>
            <w:hideMark/>
          </w:tcPr>
          <w:p w14:paraId="0B2A3F7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2 974 953</w:t>
            </w:r>
          </w:p>
        </w:tc>
      </w:tr>
      <w:tr w:rsidR="00D94493" w:rsidRPr="00D94493" w14:paraId="157D42AB" w14:textId="77777777" w:rsidTr="00D94493">
        <w:trPr>
          <w:trHeight w:val="113"/>
        </w:trPr>
        <w:tc>
          <w:tcPr>
            <w:tcW w:w="3828" w:type="dxa"/>
            <w:tcBorders>
              <w:top w:val="nil"/>
              <w:left w:val="nil"/>
              <w:bottom w:val="nil"/>
              <w:right w:val="nil"/>
            </w:tcBorders>
            <w:shd w:val="clear" w:color="auto" w:fill="auto"/>
            <w:noWrap/>
            <w:vAlign w:val="bottom"/>
            <w:hideMark/>
          </w:tcPr>
          <w:p w14:paraId="746E214B"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Z minerálnych olejov</w:t>
            </w:r>
          </w:p>
        </w:tc>
        <w:tc>
          <w:tcPr>
            <w:tcW w:w="874" w:type="dxa"/>
            <w:tcBorders>
              <w:top w:val="nil"/>
              <w:left w:val="nil"/>
              <w:bottom w:val="nil"/>
              <w:right w:val="nil"/>
            </w:tcBorders>
            <w:shd w:val="clear" w:color="auto" w:fill="auto"/>
            <w:noWrap/>
            <w:vAlign w:val="center"/>
            <w:hideMark/>
          </w:tcPr>
          <w:p w14:paraId="4000244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1 236 780</w:t>
            </w:r>
          </w:p>
        </w:tc>
        <w:tc>
          <w:tcPr>
            <w:tcW w:w="874" w:type="dxa"/>
            <w:tcBorders>
              <w:top w:val="nil"/>
              <w:left w:val="nil"/>
              <w:bottom w:val="nil"/>
              <w:right w:val="nil"/>
            </w:tcBorders>
            <w:shd w:val="clear" w:color="auto" w:fill="auto"/>
            <w:noWrap/>
            <w:vAlign w:val="center"/>
            <w:hideMark/>
          </w:tcPr>
          <w:p w14:paraId="607C45C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1 285 538</w:t>
            </w:r>
          </w:p>
        </w:tc>
        <w:tc>
          <w:tcPr>
            <w:tcW w:w="874" w:type="dxa"/>
            <w:tcBorders>
              <w:top w:val="nil"/>
              <w:left w:val="nil"/>
              <w:bottom w:val="nil"/>
              <w:right w:val="nil"/>
            </w:tcBorders>
            <w:shd w:val="clear" w:color="auto" w:fill="auto"/>
            <w:noWrap/>
            <w:vAlign w:val="center"/>
            <w:hideMark/>
          </w:tcPr>
          <w:p w14:paraId="1A8EC86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1 316 841</w:t>
            </w:r>
          </w:p>
        </w:tc>
        <w:tc>
          <w:tcPr>
            <w:tcW w:w="874" w:type="dxa"/>
            <w:tcBorders>
              <w:top w:val="nil"/>
              <w:left w:val="nil"/>
              <w:bottom w:val="nil"/>
              <w:right w:val="nil"/>
            </w:tcBorders>
            <w:shd w:val="clear" w:color="auto" w:fill="auto"/>
            <w:noWrap/>
            <w:vAlign w:val="center"/>
            <w:hideMark/>
          </w:tcPr>
          <w:p w14:paraId="72AAE5B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1 344 117</w:t>
            </w:r>
          </w:p>
        </w:tc>
        <w:tc>
          <w:tcPr>
            <w:tcW w:w="874" w:type="dxa"/>
            <w:tcBorders>
              <w:top w:val="nil"/>
              <w:left w:val="nil"/>
              <w:bottom w:val="nil"/>
              <w:right w:val="nil"/>
            </w:tcBorders>
            <w:shd w:val="clear" w:color="auto" w:fill="auto"/>
            <w:noWrap/>
            <w:vAlign w:val="center"/>
            <w:hideMark/>
          </w:tcPr>
          <w:p w14:paraId="213B969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1 379 672</w:t>
            </w:r>
          </w:p>
        </w:tc>
        <w:tc>
          <w:tcPr>
            <w:tcW w:w="874" w:type="dxa"/>
            <w:tcBorders>
              <w:top w:val="nil"/>
              <w:left w:val="nil"/>
              <w:bottom w:val="nil"/>
              <w:right w:val="nil"/>
            </w:tcBorders>
            <w:shd w:val="clear" w:color="auto" w:fill="auto"/>
            <w:noWrap/>
            <w:vAlign w:val="center"/>
            <w:hideMark/>
          </w:tcPr>
          <w:p w14:paraId="060C008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1 407 090</w:t>
            </w:r>
          </w:p>
        </w:tc>
      </w:tr>
      <w:tr w:rsidR="00D94493" w:rsidRPr="00D94493" w14:paraId="37C1A45C" w14:textId="77777777" w:rsidTr="00D94493">
        <w:trPr>
          <w:trHeight w:val="113"/>
        </w:trPr>
        <w:tc>
          <w:tcPr>
            <w:tcW w:w="3828" w:type="dxa"/>
            <w:tcBorders>
              <w:top w:val="nil"/>
              <w:left w:val="nil"/>
              <w:bottom w:val="nil"/>
              <w:right w:val="nil"/>
            </w:tcBorders>
            <w:shd w:val="clear" w:color="auto" w:fill="auto"/>
            <w:noWrap/>
            <w:vAlign w:val="bottom"/>
            <w:hideMark/>
          </w:tcPr>
          <w:p w14:paraId="017344C2"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Z liehu</w:t>
            </w:r>
          </w:p>
        </w:tc>
        <w:tc>
          <w:tcPr>
            <w:tcW w:w="874" w:type="dxa"/>
            <w:tcBorders>
              <w:top w:val="nil"/>
              <w:left w:val="nil"/>
              <w:bottom w:val="nil"/>
              <w:right w:val="nil"/>
            </w:tcBorders>
            <w:shd w:val="clear" w:color="auto" w:fill="auto"/>
            <w:noWrap/>
            <w:vAlign w:val="center"/>
            <w:hideMark/>
          </w:tcPr>
          <w:p w14:paraId="3E21878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214 776</w:t>
            </w:r>
          </w:p>
        </w:tc>
        <w:tc>
          <w:tcPr>
            <w:tcW w:w="874" w:type="dxa"/>
            <w:tcBorders>
              <w:top w:val="nil"/>
              <w:left w:val="nil"/>
              <w:bottom w:val="nil"/>
              <w:right w:val="nil"/>
            </w:tcBorders>
            <w:shd w:val="clear" w:color="auto" w:fill="auto"/>
            <w:noWrap/>
            <w:vAlign w:val="center"/>
            <w:hideMark/>
          </w:tcPr>
          <w:p w14:paraId="27589FE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232 466</w:t>
            </w:r>
          </w:p>
        </w:tc>
        <w:tc>
          <w:tcPr>
            <w:tcW w:w="874" w:type="dxa"/>
            <w:tcBorders>
              <w:top w:val="nil"/>
              <w:left w:val="nil"/>
              <w:bottom w:val="nil"/>
              <w:right w:val="nil"/>
            </w:tcBorders>
            <w:shd w:val="clear" w:color="auto" w:fill="auto"/>
            <w:noWrap/>
            <w:vAlign w:val="center"/>
            <w:hideMark/>
          </w:tcPr>
          <w:p w14:paraId="0DFB5B2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232 321</w:t>
            </w:r>
          </w:p>
        </w:tc>
        <w:tc>
          <w:tcPr>
            <w:tcW w:w="874" w:type="dxa"/>
            <w:tcBorders>
              <w:top w:val="nil"/>
              <w:left w:val="nil"/>
              <w:bottom w:val="nil"/>
              <w:right w:val="nil"/>
            </w:tcBorders>
            <w:shd w:val="clear" w:color="auto" w:fill="auto"/>
            <w:noWrap/>
            <w:vAlign w:val="center"/>
            <w:hideMark/>
          </w:tcPr>
          <w:p w14:paraId="7EE3BE4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307 037</w:t>
            </w:r>
          </w:p>
        </w:tc>
        <w:tc>
          <w:tcPr>
            <w:tcW w:w="874" w:type="dxa"/>
            <w:tcBorders>
              <w:top w:val="nil"/>
              <w:left w:val="nil"/>
              <w:bottom w:val="nil"/>
              <w:right w:val="nil"/>
            </w:tcBorders>
            <w:shd w:val="clear" w:color="auto" w:fill="auto"/>
            <w:noWrap/>
            <w:vAlign w:val="center"/>
            <w:hideMark/>
          </w:tcPr>
          <w:p w14:paraId="020799F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312 558</w:t>
            </w:r>
          </w:p>
        </w:tc>
        <w:tc>
          <w:tcPr>
            <w:tcW w:w="874" w:type="dxa"/>
            <w:tcBorders>
              <w:top w:val="nil"/>
              <w:left w:val="nil"/>
              <w:bottom w:val="nil"/>
              <w:right w:val="nil"/>
            </w:tcBorders>
            <w:shd w:val="clear" w:color="auto" w:fill="auto"/>
            <w:noWrap/>
            <w:vAlign w:val="center"/>
            <w:hideMark/>
          </w:tcPr>
          <w:p w14:paraId="78AA490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311 716</w:t>
            </w:r>
          </w:p>
        </w:tc>
      </w:tr>
      <w:tr w:rsidR="00D94493" w:rsidRPr="00D94493" w14:paraId="56F751CC" w14:textId="77777777" w:rsidTr="00D94493">
        <w:trPr>
          <w:trHeight w:val="113"/>
        </w:trPr>
        <w:tc>
          <w:tcPr>
            <w:tcW w:w="3828" w:type="dxa"/>
            <w:tcBorders>
              <w:top w:val="nil"/>
              <w:left w:val="nil"/>
              <w:bottom w:val="nil"/>
              <w:right w:val="nil"/>
            </w:tcBorders>
            <w:shd w:val="clear" w:color="auto" w:fill="auto"/>
            <w:noWrap/>
            <w:vAlign w:val="bottom"/>
            <w:hideMark/>
          </w:tcPr>
          <w:p w14:paraId="1ACB3B29"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Z piva</w:t>
            </w:r>
          </w:p>
        </w:tc>
        <w:tc>
          <w:tcPr>
            <w:tcW w:w="874" w:type="dxa"/>
            <w:tcBorders>
              <w:top w:val="nil"/>
              <w:left w:val="nil"/>
              <w:bottom w:val="nil"/>
              <w:right w:val="nil"/>
            </w:tcBorders>
            <w:shd w:val="clear" w:color="auto" w:fill="auto"/>
            <w:noWrap/>
            <w:vAlign w:val="center"/>
            <w:hideMark/>
          </w:tcPr>
          <w:p w14:paraId="01A9504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55 317</w:t>
            </w:r>
          </w:p>
        </w:tc>
        <w:tc>
          <w:tcPr>
            <w:tcW w:w="874" w:type="dxa"/>
            <w:tcBorders>
              <w:top w:val="nil"/>
              <w:left w:val="nil"/>
              <w:bottom w:val="nil"/>
              <w:right w:val="nil"/>
            </w:tcBorders>
            <w:shd w:val="clear" w:color="auto" w:fill="auto"/>
            <w:noWrap/>
            <w:vAlign w:val="center"/>
            <w:hideMark/>
          </w:tcPr>
          <w:p w14:paraId="5779E9C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55 873</w:t>
            </w:r>
          </w:p>
        </w:tc>
        <w:tc>
          <w:tcPr>
            <w:tcW w:w="874" w:type="dxa"/>
            <w:tcBorders>
              <w:top w:val="nil"/>
              <w:left w:val="nil"/>
              <w:bottom w:val="nil"/>
              <w:right w:val="nil"/>
            </w:tcBorders>
            <w:shd w:val="clear" w:color="auto" w:fill="auto"/>
            <w:noWrap/>
            <w:vAlign w:val="center"/>
            <w:hideMark/>
          </w:tcPr>
          <w:p w14:paraId="7B0AF27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53 211</w:t>
            </w:r>
          </w:p>
        </w:tc>
        <w:tc>
          <w:tcPr>
            <w:tcW w:w="874" w:type="dxa"/>
            <w:tcBorders>
              <w:top w:val="nil"/>
              <w:left w:val="nil"/>
              <w:bottom w:val="nil"/>
              <w:right w:val="nil"/>
            </w:tcBorders>
            <w:shd w:val="clear" w:color="auto" w:fill="auto"/>
            <w:noWrap/>
            <w:vAlign w:val="center"/>
            <w:hideMark/>
          </w:tcPr>
          <w:p w14:paraId="6E042C0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54 653</w:t>
            </w:r>
          </w:p>
        </w:tc>
        <w:tc>
          <w:tcPr>
            <w:tcW w:w="874" w:type="dxa"/>
            <w:tcBorders>
              <w:top w:val="nil"/>
              <w:left w:val="nil"/>
              <w:bottom w:val="nil"/>
              <w:right w:val="nil"/>
            </w:tcBorders>
            <w:shd w:val="clear" w:color="auto" w:fill="auto"/>
            <w:noWrap/>
            <w:vAlign w:val="center"/>
            <w:hideMark/>
          </w:tcPr>
          <w:p w14:paraId="311AB56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54 522</w:t>
            </w:r>
          </w:p>
        </w:tc>
        <w:tc>
          <w:tcPr>
            <w:tcW w:w="874" w:type="dxa"/>
            <w:tcBorders>
              <w:top w:val="nil"/>
              <w:left w:val="nil"/>
              <w:bottom w:val="nil"/>
              <w:right w:val="nil"/>
            </w:tcBorders>
            <w:shd w:val="clear" w:color="auto" w:fill="auto"/>
            <w:noWrap/>
            <w:vAlign w:val="center"/>
            <w:hideMark/>
          </w:tcPr>
          <w:p w14:paraId="68AD2F2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54 220</w:t>
            </w:r>
          </w:p>
        </w:tc>
      </w:tr>
      <w:tr w:rsidR="00D94493" w:rsidRPr="00D94493" w14:paraId="4B185213" w14:textId="77777777" w:rsidTr="00D94493">
        <w:trPr>
          <w:trHeight w:val="113"/>
        </w:trPr>
        <w:tc>
          <w:tcPr>
            <w:tcW w:w="3828" w:type="dxa"/>
            <w:tcBorders>
              <w:top w:val="nil"/>
              <w:left w:val="nil"/>
              <w:bottom w:val="nil"/>
              <w:right w:val="nil"/>
            </w:tcBorders>
            <w:shd w:val="clear" w:color="auto" w:fill="auto"/>
            <w:noWrap/>
            <w:vAlign w:val="bottom"/>
            <w:hideMark/>
          </w:tcPr>
          <w:p w14:paraId="6909DC65"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Z vína</w:t>
            </w:r>
          </w:p>
        </w:tc>
        <w:tc>
          <w:tcPr>
            <w:tcW w:w="874" w:type="dxa"/>
            <w:tcBorders>
              <w:top w:val="nil"/>
              <w:left w:val="nil"/>
              <w:bottom w:val="nil"/>
              <w:right w:val="nil"/>
            </w:tcBorders>
            <w:shd w:val="clear" w:color="auto" w:fill="auto"/>
            <w:noWrap/>
            <w:vAlign w:val="center"/>
            <w:hideMark/>
          </w:tcPr>
          <w:p w14:paraId="3A58EE0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5 146</w:t>
            </w:r>
          </w:p>
        </w:tc>
        <w:tc>
          <w:tcPr>
            <w:tcW w:w="874" w:type="dxa"/>
            <w:tcBorders>
              <w:top w:val="nil"/>
              <w:left w:val="nil"/>
              <w:bottom w:val="nil"/>
              <w:right w:val="nil"/>
            </w:tcBorders>
            <w:shd w:val="clear" w:color="auto" w:fill="auto"/>
            <w:noWrap/>
            <w:vAlign w:val="center"/>
            <w:hideMark/>
          </w:tcPr>
          <w:p w14:paraId="00AF51A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5 013</w:t>
            </w:r>
          </w:p>
        </w:tc>
        <w:tc>
          <w:tcPr>
            <w:tcW w:w="874" w:type="dxa"/>
            <w:tcBorders>
              <w:top w:val="nil"/>
              <w:left w:val="nil"/>
              <w:bottom w:val="nil"/>
              <w:right w:val="nil"/>
            </w:tcBorders>
            <w:shd w:val="clear" w:color="auto" w:fill="auto"/>
            <w:noWrap/>
            <w:vAlign w:val="center"/>
            <w:hideMark/>
          </w:tcPr>
          <w:p w14:paraId="60DBB9A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5 314</w:t>
            </w:r>
          </w:p>
        </w:tc>
        <w:tc>
          <w:tcPr>
            <w:tcW w:w="874" w:type="dxa"/>
            <w:tcBorders>
              <w:top w:val="nil"/>
              <w:left w:val="nil"/>
              <w:bottom w:val="nil"/>
              <w:right w:val="nil"/>
            </w:tcBorders>
            <w:shd w:val="clear" w:color="auto" w:fill="auto"/>
            <w:noWrap/>
            <w:vAlign w:val="center"/>
            <w:hideMark/>
          </w:tcPr>
          <w:p w14:paraId="686EE50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5 273</w:t>
            </w:r>
          </w:p>
        </w:tc>
        <w:tc>
          <w:tcPr>
            <w:tcW w:w="874" w:type="dxa"/>
            <w:tcBorders>
              <w:top w:val="nil"/>
              <w:left w:val="nil"/>
              <w:bottom w:val="nil"/>
              <w:right w:val="nil"/>
            </w:tcBorders>
            <w:shd w:val="clear" w:color="auto" w:fill="auto"/>
            <w:noWrap/>
            <w:vAlign w:val="center"/>
            <w:hideMark/>
          </w:tcPr>
          <w:p w14:paraId="0156532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5 329</w:t>
            </w:r>
          </w:p>
        </w:tc>
        <w:tc>
          <w:tcPr>
            <w:tcW w:w="874" w:type="dxa"/>
            <w:tcBorders>
              <w:top w:val="nil"/>
              <w:left w:val="nil"/>
              <w:bottom w:val="nil"/>
              <w:right w:val="nil"/>
            </w:tcBorders>
            <w:shd w:val="clear" w:color="auto" w:fill="auto"/>
            <w:noWrap/>
            <w:vAlign w:val="center"/>
            <w:hideMark/>
          </w:tcPr>
          <w:p w14:paraId="67BFFB4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5 290</w:t>
            </w:r>
          </w:p>
        </w:tc>
      </w:tr>
      <w:tr w:rsidR="00D94493" w:rsidRPr="00D94493" w14:paraId="5251FDF6" w14:textId="77777777" w:rsidTr="00D94493">
        <w:trPr>
          <w:trHeight w:val="113"/>
        </w:trPr>
        <w:tc>
          <w:tcPr>
            <w:tcW w:w="3828" w:type="dxa"/>
            <w:tcBorders>
              <w:top w:val="nil"/>
              <w:left w:val="nil"/>
              <w:bottom w:val="nil"/>
              <w:right w:val="nil"/>
            </w:tcBorders>
            <w:shd w:val="clear" w:color="auto" w:fill="auto"/>
            <w:noWrap/>
            <w:vAlign w:val="bottom"/>
            <w:hideMark/>
          </w:tcPr>
          <w:p w14:paraId="7F11826F"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Z tabaku a tabakových výrobkov</w:t>
            </w:r>
          </w:p>
        </w:tc>
        <w:tc>
          <w:tcPr>
            <w:tcW w:w="874" w:type="dxa"/>
            <w:tcBorders>
              <w:top w:val="nil"/>
              <w:left w:val="nil"/>
              <w:bottom w:val="nil"/>
              <w:right w:val="nil"/>
            </w:tcBorders>
            <w:shd w:val="clear" w:color="auto" w:fill="auto"/>
            <w:noWrap/>
            <w:vAlign w:val="center"/>
            <w:hideMark/>
          </w:tcPr>
          <w:p w14:paraId="5DC5CCD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823 107</w:t>
            </w:r>
          </w:p>
        </w:tc>
        <w:tc>
          <w:tcPr>
            <w:tcW w:w="874" w:type="dxa"/>
            <w:tcBorders>
              <w:top w:val="nil"/>
              <w:left w:val="nil"/>
              <w:bottom w:val="nil"/>
              <w:right w:val="nil"/>
            </w:tcBorders>
            <w:shd w:val="clear" w:color="auto" w:fill="auto"/>
            <w:noWrap/>
            <w:vAlign w:val="center"/>
            <w:hideMark/>
          </w:tcPr>
          <w:p w14:paraId="085133E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909 088</w:t>
            </w:r>
          </w:p>
        </w:tc>
        <w:tc>
          <w:tcPr>
            <w:tcW w:w="874" w:type="dxa"/>
            <w:tcBorders>
              <w:top w:val="nil"/>
              <w:left w:val="nil"/>
              <w:bottom w:val="nil"/>
              <w:right w:val="nil"/>
            </w:tcBorders>
            <w:shd w:val="clear" w:color="auto" w:fill="auto"/>
            <w:noWrap/>
            <w:vAlign w:val="center"/>
            <w:hideMark/>
          </w:tcPr>
          <w:p w14:paraId="2E40AA7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923 169</w:t>
            </w:r>
          </w:p>
        </w:tc>
        <w:tc>
          <w:tcPr>
            <w:tcW w:w="874" w:type="dxa"/>
            <w:tcBorders>
              <w:top w:val="nil"/>
              <w:left w:val="nil"/>
              <w:bottom w:val="nil"/>
              <w:right w:val="nil"/>
            </w:tcBorders>
            <w:shd w:val="clear" w:color="auto" w:fill="auto"/>
            <w:noWrap/>
            <w:vAlign w:val="center"/>
            <w:hideMark/>
          </w:tcPr>
          <w:p w14:paraId="01D85BA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1 032 396</w:t>
            </w:r>
          </w:p>
        </w:tc>
        <w:tc>
          <w:tcPr>
            <w:tcW w:w="874" w:type="dxa"/>
            <w:tcBorders>
              <w:top w:val="nil"/>
              <w:left w:val="nil"/>
              <w:bottom w:val="nil"/>
              <w:right w:val="nil"/>
            </w:tcBorders>
            <w:shd w:val="clear" w:color="auto" w:fill="auto"/>
            <w:noWrap/>
            <w:vAlign w:val="center"/>
            <w:hideMark/>
          </w:tcPr>
          <w:p w14:paraId="6440763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1 078 474</w:t>
            </w:r>
          </w:p>
        </w:tc>
        <w:tc>
          <w:tcPr>
            <w:tcW w:w="874" w:type="dxa"/>
            <w:tcBorders>
              <w:top w:val="nil"/>
              <w:left w:val="nil"/>
              <w:bottom w:val="nil"/>
              <w:right w:val="nil"/>
            </w:tcBorders>
            <w:shd w:val="clear" w:color="auto" w:fill="auto"/>
            <w:noWrap/>
            <w:vAlign w:val="center"/>
            <w:hideMark/>
          </w:tcPr>
          <w:p w14:paraId="1803514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1 160 753</w:t>
            </w:r>
          </w:p>
        </w:tc>
      </w:tr>
      <w:tr w:rsidR="00D94493" w:rsidRPr="00D94493" w14:paraId="0F799C26" w14:textId="77777777" w:rsidTr="00D94493">
        <w:trPr>
          <w:trHeight w:val="113"/>
        </w:trPr>
        <w:tc>
          <w:tcPr>
            <w:tcW w:w="3828" w:type="dxa"/>
            <w:tcBorders>
              <w:top w:val="nil"/>
              <w:left w:val="nil"/>
              <w:bottom w:val="nil"/>
              <w:right w:val="nil"/>
            </w:tcBorders>
            <w:shd w:val="clear" w:color="auto" w:fill="auto"/>
            <w:noWrap/>
            <w:vAlign w:val="bottom"/>
            <w:hideMark/>
          </w:tcPr>
          <w:p w14:paraId="2E88B929"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Z elektrickej energie</w:t>
            </w:r>
          </w:p>
        </w:tc>
        <w:tc>
          <w:tcPr>
            <w:tcW w:w="874" w:type="dxa"/>
            <w:tcBorders>
              <w:top w:val="nil"/>
              <w:left w:val="nil"/>
              <w:bottom w:val="nil"/>
              <w:right w:val="nil"/>
            </w:tcBorders>
            <w:shd w:val="clear" w:color="auto" w:fill="auto"/>
            <w:noWrap/>
            <w:vAlign w:val="center"/>
            <w:hideMark/>
          </w:tcPr>
          <w:p w14:paraId="4E3417D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10 058</w:t>
            </w:r>
          </w:p>
        </w:tc>
        <w:tc>
          <w:tcPr>
            <w:tcW w:w="874" w:type="dxa"/>
            <w:tcBorders>
              <w:top w:val="nil"/>
              <w:left w:val="nil"/>
              <w:bottom w:val="nil"/>
              <w:right w:val="nil"/>
            </w:tcBorders>
            <w:shd w:val="clear" w:color="auto" w:fill="auto"/>
            <w:noWrap/>
            <w:vAlign w:val="center"/>
            <w:hideMark/>
          </w:tcPr>
          <w:p w14:paraId="3F84351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11 541</w:t>
            </w:r>
          </w:p>
        </w:tc>
        <w:tc>
          <w:tcPr>
            <w:tcW w:w="874" w:type="dxa"/>
            <w:tcBorders>
              <w:top w:val="nil"/>
              <w:left w:val="nil"/>
              <w:bottom w:val="nil"/>
              <w:right w:val="nil"/>
            </w:tcBorders>
            <w:shd w:val="clear" w:color="auto" w:fill="auto"/>
            <w:noWrap/>
            <w:vAlign w:val="center"/>
            <w:hideMark/>
          </w:tcPr>
          <w:p w14:paraId="4DF5182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12 698</w:t>
            </w:r>
          </w:p>
        </w:tc>
        <w:tc>
          <w:tcPr>
            <w:tcW w:w="874" w:type="dxa"/>
            <w:tcBorders>
              <w:top w:val="nil"/>
              <w:left w:val="nil"/>
              <w:bottom w:val="nil"/>
              <w:right w:val="nil"/>
            </w:tcBorders>
            <w:shd w:val="clear" w:color="auto" w:fill="auto"/>
            <w:noWrap/>
            <w:vAlign w:val="center"/>
            <w:hideMark/>
          </w:tcPr>
          <w:p w14:paraId="4EAC92D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12 532</w:t>
            </w:r>
          </w:p>
        </w:tc>
        <w:tc>
          <w:tcPr>
            <w:tcW w:w="874" w:type="dxa"/>
            <w:tcBorders>
              <w:top w:val="nil"/>
              <w:left w:val="nil"/>
              <w:bottom w:val="nil"/>
              <w:right w:val="nil"/>
            </w:tcBorders>
            <w:shd w:val="clear" w:color="auto" w:fill="auto"/>
            <w:noWrap/>
            <w:vAlign w:val="center"/>
            <w:hideMark/>
          </w:tcPr>
          <w:p w14:paraId="4D8A39E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13 011</w:t>
            </w:r>
          </w:p>
        </w:tc>
        <w:tc>
          <w:tcPr>
            <w:tcW w:w="874" w:type="dxa"/>
            <w:tcBorders>
              <w:top w:val="nil"/>
              <w:left w:val="nil"/>
              <w:bottom w:val="nil"/>
              <w:right w:val="nil"/>
            </w:tcBorders>
            <w:shd w:val="clear" w:color="auto" w:fill="auto"/>
            <w:noWrap/>
            <w:vAlign w:val="center"/>
            <w:hideMark/>
          </w:tcPr>
          <w:p w14:paraId="4ADCB0D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13 111</w:t>
            </w:r>
          </w:p>
        </w:tc>
      </w:tr>
      <w:tr w:rsidR="00D94493" w:rsidRPr="00D94493" w14:paraId="0D3EB7CE" w14:textId="77777777" w:rsidTr="00D94493">
        <w:trPr>
          <w:trHeight w:val="113"/>
        </w:trPr>
        <w:tc>
          <w:tcPr>
            <w:tcW w:w="3828" w:type="dxa"/>
            <w:tcBorders>
              <w:top w:val="nil"/>
              <w:left w:val="nil"/>
              <w:bottom w:val="nil"/>
              <w:right w:val="nil"/>
            </w:tcBorders>
            <w:shd w:val="clear" w:color="auto" w:fill="auto"/>
            <w:noWrap/>
            <w:vAlign w:val="bottom"/>
            <w:hideMark/>
          </w:tcPr>
          <w:p w14:paraId="4768286F"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Zo zemného plynu</w:t>
            </w:r>
          </w:p>
        </w:tc>
        <w:tc>
          <w:tcPr>
            <w:tcW w:w="874" w:type="dxa"/>
            <w:tcBorders>
              <w:top w:val="nil"/>
              <w:left w:val="nil"/>
              <w:bottom w:val="nil"/>
              <w:right w:val="nil"/>
            </w:tcBorders>
            <w:shd w:val="clear" w:color="auto" w:fill="auto"/>
            <w:noWrap/>
            <w:vAlign w:val="center"/>
            <w:hideMark/>
          </w:tcPr>
          <w:p w14:paraId="01E400D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24 369</w:t>
            </w:r>
          </w:p>
        </w:tc>
        <w:tc>
          <w:tcPr>
            <w:tcW w:w="874" w:type="dxa"/>
            <w:tcBorders>
              <w:top w:val="nil"/>
              <w:left w:val="nil"/>
              <w:bottom w:val="nil"/>
              <w:right w:val="nil"/>
            </w:tcBorders>
            <w:shd w:val="clear" w:color="auto" w:fill="auto"/>
            <w:noWrap/>
            <w:vAlign w:val="center"/>
            <w:hideMark/>
          </w:tcPr>
          <w:p w14:paraId="2302169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24 739</w:t>
            </w:r>
          </w:p>
        </w:tc>
        <w:tc>
          <w:tcPr>
            <w:tcW w:w="874" w:type="dxa"/>
            <w:tcBorders>
              <w:top w:val="nil"/>
              <w:left w:val="nil"/>
              <w:bottom w:val="nil"/>
              <w:right w:val="nil"/>
            </w:tcBorders>
            <w:shd w:val="clear" w:color="auto" w:fill="auto"/>
            <w:noWrap/>
            <w:vAlign w:val="center"/>
            <w:hideMark/>
          </w:tcPr>
          <w:p w14:paraId="222AA0A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21 051</w:t>
            </w:r>
          </w:p>
        </w:tc>
        <w:tc>
          <w:tcPr>
            <w:tcW w:w="874" w:type="dxa"/>
            <w:tcBorders>
              <w:top w:val="nil"/>
              <w:left w:val="nil"/>
              <w:bottom w:val="nil"/>
              <w:right w:val="nil"/>
            </w:tcBorders>
            <w:shd w:val="clear" w:color="auto" w:fill="auto"/>
            <w:noWrap/>
            <w:vAlign w:val="center"/>
            <w:hideMark/>
          </w:tcPr>
          <w:p w14:paraId="58626E8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22 407</w:t>
            </w:r>
          </w:p>
        </w:tc>
        <w:tc>
          <w:tcPr>
            <w:tcW w:w="874" w:type="dxa"/>
            <w:tcBorders>
              <w:top w:val="nil"/>
              <w:left w:val="nil"/>
              <w:bottom w:val="nil"/>
              <w:right w:val="nil"/>
            </w:tcBorders>
            <w:shd w:val="clear" w:color="auto" w:fill="auto"/>
            <w:noWrap/>
            <w:vAlign w:val="center"/>
            <w:hideMark/>
          </w:tcPr>
          <w:p w14:paraId="53360F0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22 417</w:t>
            </w:r>
          </w:p>
        </w:tc>
        <w:tc>
          <w:tcPr>
            <w:tcW w:w="874" w:type="dxa"/>
            <w:tcBorders>
              <w:top w:val="nil"/>
              <w:left w:val="nil"/>
              <w:bottom w:val="nil"/>
              <w:right w:val="nil"/>
            </w:tcBorders>
            <w:shd w:val="clear" w:color="auto" w:fill="auto"/>
            <w:noWrap/>
            <w:vAlign w:val="center"/>
            <w:hideMark/>
          </w:tcPr>
          <w:p w14:paraId="5BEC247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22 654</w:t>
            </w:r>
          </w:p>
        </w:tc>
      </w:tr>
      <w:tr w:rsidR="00D94493" w:rsidRPr="00D94493" w14:paraId="1897B9F8" w14:textId="77777777" w:rsidTr="00D94493">
        <w:trPr>
          <w:trHeight w:val="113"/>
        </w:trPr>
        <w:tc>
          <w:tcPr>
            <w:tcW w:w="3828" w:type="dxa"/>
            <w:tcBorders>
              <w:top w:val="nil"/>
              <w:left w:val="nil"/>
              <w:bottom w:val="nil"/>
              <w:right w:val="nil"/>
            </w:tcBorders>
            <w:shd w:val="clear" w:color="auto" w:fill="auto"/>
            <w:noWrap/>
            <w:vAlign w:val="bottom"/>
            <w:hideMark/>
          </w:tcPr>
          <w:p w14:paraId="3A1E0884"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Z uhlia</w:t>
            </w:r>
          </w:p>
        </w:tc>
        <w:tc>
          <w:tcPr>
            <w:tcW w:w="874" w:type="dxa"/>
            <w:tcBorders>
              <w:top w:val="nil"/>
              <w:left w:val="nil"/>
              <w:bottom w:val="nil"/>
              <w:right w:val="nil"/>
            </w:tcBorders>
            <w:shd w:val="clear" w:color="auto" w:fill="auto"/>
            <w:noWrap/>
            <w:vAlign w:val="center"/>
            <w:hideMark/>
          </w:tcPr>
          <w:p w14:paraId="2D39900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271</w:t>
            </w:r>
          </w:p>
        </w:tc>
        <w:tc>
          <w:tcPr>
            <w:tcW w:w="874" w:type="dxa"/>
            <w:tcBorders>
              <w:top w:val="nil"/>
              <w:left w:val="nil"/>
              <w:bottom w:val="nil"/>
              <w:right w:val="nil"/>
            </w:tcBorders>
            <w:shd w:val="clear" w:color="auto" w:fill="auto"/>
            <w:noWrap/>
            <w:vAlign w:val="center"/>
            <w:hideMark/>
          </w:tcPr>
          <w:p w14:paraId="145697B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264</w:t>
            </w:r>
          </w:p>
        </w:tc>
        <w:tc>
          <w:tcPr>
            <w:tcW w:w="874" w:type="dxa"/>
            <w:tcBorders>
              <w:top w:val="nil"/>
              <w:left w:val="nil"/>
              <w:bottom w:val="nil"/>
              <w:right w:val="nil"/>
            </w:tcBorders>
            <w:shd w:val="clear" w:color="auto" w:fill="auto"/>
            <w:noWrap/>
            <w:vAlign w:val="center"/>
            <w:hideMark/>
          </w:tcPr>
          <w:p w14:paraId="5905F12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188</w:t>
            </w:r>
          </w:p>
        </w:tc>
        <w:tc>
          <w:tcPr>
            <w:tcW w:w="874" w:type="dxa"/>
            <w:tcBorders>
              <w:top w:val="nil"/>
              <w:left w:val="nil"/>
              <w:bottom w:val="nil"/>
              <w:right w:val="nil"/>
            </w:tcBorders>
            <w:shd w:val="clear" w:color="auto" w:fill="auto"/>
            <w:noWrap/>
            <w:vAlign w:val="center"/>
            <w:hideMark/>
          </w:tcPr>
          <w:p w14:paraId="5402856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153</w:t>
            </w:r>
          </w:p>
        </w:tc>
        <w:tc>
          <w:tcPr>
            <w:tcW w:w="874" w:type="dxa"/>
            <w:tcBorders>
              <w:top w:val="nil"/>
              <w:left w:val="nil"/>
              <w:bottom w:val="nil"/>
              <w:right w:val="nil"/>
            </w:tcBorders>
            <w:shd w:val="clear" w:color="auto" w:fill="auto"/>
            <w:noWrap/>
            <w:vAlign w:val="center"/>
            <w:hideMark/>
          </w:tcPr>
          <w:p w14:paraId="7FC44E0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137</w:t>
            </w:r>
          </w:p>
        </w:tc>
        <w:tc>
          <w:tcPr>
            <w:tcW w:w="874" w:type="dxa"/>
            <w:tcBorders>
              <w:top w:val="nil"/>
              <w:left w:val="nil"/>
              <w:bottom w:val="nil"/>
              <w:right w:val="nil"/>
            </w:tcBorders>
            <w:shd w:val="clear" w:color="auto" w:fill="auto"/>
            <w:noWrap/>
            <w:vAlign w:val="center"/>
            <w:hideMark/>
          </w:tcPr>
          <w:p w14:paraId="28F34B2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119</w:t>
            </w:r>
          </w:p>
        </w:tc>
      </w:tr>
      <w:tr w:rsidR="00D94493" w:rsidRPr="00D94493" w14:paraId="0543849D" w14:textId="77777777" w:rsidTr="00D94493">
        <w:trPr>
          <w:trHeight w:val="113"/>
        </w:trPr>
        <w:tc>
          <w:tcPr>
            <w:tcW w:w="3828" w:type="dxa"/>
            <w:tcBorders>
              <w:top w:val="nil"/>
              <w:left w:val="nil"/>
              <w:bottom w:val="nil"/>
              <w:right w:val="nil"/>
            </w:tcBorders>
            <w:shd w:val="clear" w:color="auto" w:fill="auto"/>
            <w:noWrap/>
            <w:vAlign w:val="bottom"/>
            <w:hideMark/>
          </w:tcPr>
          <w:p w14:paraId="0FC6108D" w14:textId="77777777" w:rsidR="00D94493" w:rsidRPr="00D94493" w:rsidRDefault="00D94493" w:rsidP="00D94493">
            <w:pPr>
              <w:spacing w:after="0" w:line="240" w:lineRule="auto"/>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Dane z medzinárodného obchodu a transakcií</w:t>
            </w:r>
          </w:p>
        </w:tc>
        <w:tc>
          <w:tcPr>
            <w:tcW w:w="874" w:type="dxa"/>
            <w:tcBorders>
              <w:top w:val="nil"/>
              <w:left w:val="nil"/>
              <w:bottom w:val="nil"/>
              <w:right w:val="nil"/>
            </w:tcBorders>
            <w:shd w:val="clear" w:color="auto" w:fill="auto"/>
            <w:noWrap/>
            <w:vAlign w:val="center"/>
            <w:hideMark/>
          </w:tcPr>
          <w:p w14:paraId="3C75A034"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28 735</w:t>
            </w:r>
          </w:p>
        </w:tc>
        <w:tc>
          <w:tcPr>
            <w:tcW w:w="874" w:type="dxa"/>
            <w:tcBorders>
              <w:top w:val="nil"/>
              <w:left w:val="nil"/>
              <w:bottom w:val="nil"/>
              <w:right w:val="nil"/>
            </w:tcBorders>
            <w:shd w:val="clear" w:color="auto" w:fill="auto"/>
            <w:noWrap/>
            <w:vAlign w:val="center"/>
            <w:hideMark/>
          </w:tcPr>
          <w:p w14:paraId="078FC076"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39 848</w:t>
            </w:r>
          </w:p>
        </w:tc>
        <w:tc>
          <w:tcPr>
            <w:tcW w:w="874" w:type="dxa"/>
            <w:tcBorders>
              <w:top w:val="nil"/>
              <w:left w:val="nil"/>
              <w:bottom w:val="nil"/>
              <w:right w:val="nil"/>
            </w:tcBorders>
            <w:shd w:val="clear" w:color="auto" w:fill="auto"/>
            <w:noWrap/>
            <w:vAlign w:val="center"/>
            <w:hideMark/>
          </w:tcPr>
          <w:p w14:paraId="30D732FA"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38 260</w:t>
            </w:r>
          </w:p>
        </w:tc>
        <w:tc>
          <w:tcPr>
            <w:tcW w:w="874" w:type="dxa"/>
            <w:tcBorders>
              <w:top w:val="nil"/>
              <w:left w:val="nil"/>
              <w:bottom w:val="nil"/>
              <w:right w:val="nil"/>
            </w:tcBorders>
            <w:shd w:val="clear" w:color="auto" w:fill="auto"/>
            <w:noWrap/>
            <w:vAlign w:val="center"/>
            <w:hideMark/>
          </w:tcPr>
          <w:p w14:paraId="4ACB7EEE"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41 724</w:t>
            </w:r>
          </w:p>
        </w:tc>
        <w:tc>
          <w:tcPr>
            <w:tcW w:w="874" w:type="dxa"/>
            <w:tcBorders>
              <w:top w:val="nil"/>
              <w:left w:val="nil"/>
              <w:bottom w:val="nil"/>
              <w:right w:val="nil"/>
            </w:tcBorders>
            <w:shd w:val="clear" w:color="auto" w:fill="auto"/>
            <w:noWrap/>
            <w:vAlign w:val="center"/>
            <w:hideMark/>
          </w:tcPr>
          <w:p w14:paraId="7BD14FB1"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43 970</w:t>
            </w:r>
          </w:p>
        </w:tc>
        <w:tc>
          <w:tcPr>
            <w:tcW w:w="874" w:type="dxa"/>
            <w:tcBorders>
              <w:top w:val="nil"/>
              <w:left w:val="nil"/>
              <w:bottom w:val="nil"/>
              <w:right w:val="nil"/>
            </w:tcBorders>
            <w:shd w:val="clear" w:color="auto" w:fill="auto"/>
            <w:noWrap/>
            <w:vAlign w:val="center"/>
            <w:hideMark/>
          </w:tcPr>
          <w:p w14:paraId="27EB3456"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46 930</w:t>
            </w:r>
          </w:p>
        </w:tc>
      </w:tr>
      <w:tr w:rsidR="00D94493" w:rsidRPr="00D94493" w14:paraId="0B71833E" w14:textId="77777777" w:rsidTr="00D94493">
        <w:trPr>
          <w:trHeight w:val="113"/>
        </w:trPr>
        <w:tc>
          <w:tcPr>
            <w:tcW w:w="3828" w:type="dxa"/>
            <w:tcBorders>
              <w:top w:val="nil"/>
              <w:left w:val="nil"/>
              <w:bottom w:val="nil"/>
              <w:right w:val="nil"/>
            </w:tcBorders>
            <w:shd w:val="clear" w:color="auto" w:fill="auto"/>
            <w:noWrap/>
            <w:vAlign w:val="bottom"/>
            <w:hideMark/>
          </w:tcPr>
          <w:p w14:paraId="0A432573"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Dovozné clo</w:t>
            </w:r>
          </w:p>
        </w:tc>
        <w:tc>
          <w:tcPr>
            <w:tcW w:w="874" w:type="dxa"/>
            <w:tcBorders>
              <w:top w:val="nil"/>
              <w:left w:val="nil"/>
              <w:bottom w:val="nil"/>
              <w:right w:val="nil"/>
            </w:tcBorders>
            <w:shd w:val="clear" w:color="auto" w:fill="auto"/>
            <w:noWrap/>
            <w:vAlign w:val="center"/>
            <w:hideMark/>
          </w:tcPr>
          <w:p w14:paraId="4D0058E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10</w:t>
            </w:r>
          </w:p>
        </w:tc>
        <w:tc>
          <w:tcPr>
            <w:tcW w:w="874" w:type="dxa"/>
            <w:tcBorders>
              <w:top w:val="nil"/>
              <w:left w:val="nil"/>
              <w:bottom w:val="nil"/>
              <w:right w:val="nil"/>
            </w:tcBorders>
            <w:shd w:val="clear" w:color="auto" w:fill="auto"/>
            <w:noWrap/>
            <w:vAlign w:val="center"/>
            <w:hideMark/>
          </w:tcPr>
          <w:p w14:paraId="215FBBF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22</w:t>
            </w:r>
          </w:p>
        </w:tc>
        <w:tc>
          <w:tcPr>
            <w:tcW w:w="874" w:type="dxa"/>
            <w:tcBorders>
              <w:top w:val="nil"/>
              <w:left w:val="nil"/>
              <w:bottom w:val="nil"/>
              <w:right w:val="nil"/>
            </w:tcBorders>
            <w:shd w:val="clear" w:color="auto" w:fill="auto"/>
            <w:noWrap/>
            <w:vAlign w:val="center"/>
            <w:hideMark/>
          </w:tcPr>
          <w:p w14:paraId="70BA939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12</w:t>
            </w:r>
          </w:p>
        </w:tc>
        <w:tc>
          <w:tcPr>
            <w:tcW w:w="874" w:type="dxa"/>
            <w:tcBorders>
              <w:top w:val="nil"/>
              <w:left w:val="nil"/>
              <w:bottom w:val="nil"/>
              <w:right w:val="nil"/>
            </w:tcBorders>
            <w:shd w:val="clear" w:color="auto" w:fill="auto"/>
            <w:noWrap/>
            <w:vAlign w:val="center"/>
            <w:hideMark/>
          </w:tcPr>
          <w:p w14:paraId="40BE310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5B6A98C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2372F01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0EB550BD" w14:textId="77777777" w:rsidTr="00D94493">
        <w:trPr>
          <w:trHeight w:val="113"/>
        </w:trPr>
        <w:tc>
          <w:tcPr>
            <w:tcW w:w="3828" w:type="dxa"/>
            <w:tcBorders>
              <w:top w:val="nil"/>
              <w:left w:val="nil"/>
              <w:bottom w:val="nil"/>
              <w:right w:val="nil"/>
            </w:tcBorders>
            <w:shd w:val="clear" w:color="auto" w:fill="auto"/>
            <w:noWrap/>
            <w:vAlign w:val="bottom"/>
            <w:hideMark/>
          </w:tcPr>
          <w:p w14:paraId="1CC48FAF"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Dovozná prirážka</w:t>
            </w:r>
          </w:p>
        </w:tc>
        <w:tc>
          <w:tcPr>
            <w:tcW w:w="874" w:type="dxa"/>
            <w:tcBorders>
              <w:top w:val="nil"/>
              <w:left w:val="nil"/>
              <w:bottom w:val="nil"/>
              <w:right w:val="nil"/>
            </w:tcBorders>
            <w:shd w:val="clear" w:color="auto" w:fill="auto"/>
            <w:noWrap/>
            <w:vAlign w:val="center"/>
            <w:hideMark/>
          </w:tcPr>
          <w:p w14:paraId="3BC8DBD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w:t>
            </w:r>
          </w:p>
        </w:tc>
        <w:tc>
          <w:tcPr>
            <w:tcW w:w="874" w:type="dxa"/>
            <w:tcBorders>
              <w:top w:val="nil"/>
              <w:left w:val="nil"/>
              <w:bottom w:val="nil"/>
              <w:right w:val="nil"/>
            </w:tcBorders>
            <w:shd w:val="clear" w:color="auto" w:fill="auto"/>
            <w:noWrap/>
            <w:vAlign w:val="center"/>
            <w:hideMark/>
          </w:tcPr>
          <w:p w14:paraId="23A72BA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7</w:t>
            </w:r>
          </w:p>
        </w:tc>
        <w:tc>
          <w:tcPr>
            <w:tcW w:w="874" w:type="dxa"/>
            <w:tcBorders>
              <w:top w:val="nil"/>
              <w:left w:val="nil"/>
              <w:bottom w:val="nil"/>
              <w:right w:val="nil"/>
            </w:tcBorders>
            <w:shd w:val="clear" w:color="auto" w:fill="auto"/>
            <w:noWrap/>
            <w:vAlign w:val="center"/>
            <w:hideMark/>
          </w:tcPr>
          <w:p w14:paraId="5F41E63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7E29387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0E6957A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7A544A5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27AD3522" w14:textId="77777777" w:rsidTr="00D94493">
        <w:trPr>
          <w:trHeight w:val="113"/>
        </w:trPr>
        <w:tc>
          <w:tcPr>
            <w:tcW w:w="3828" w:type="dxa"/>
            <w:tcBorders>
              <w:top w:val="nil"/>
              <w:left w:val="nil"/>
              <w:bottom w:val="nil"/>
              <w:right w:val="nil"/>
            </w:tcBorders>
            <w:shd w:val="clear" w:color="auto" w:fill="auto"/>
            <w:noWrap/>
            <w:vAlign w:val="bottom"/>
            <w:hideMark/>
          </w:tcPr>
          <w:p w14:paraId="5CE727D1"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Podiel na vybratých finančných prostriedkoch</w:t>
            </w:r>
          </w:p>
        </w:tc>
        <w:tc>
          <w:tcPr>
            <w:tcW w:w="874" w:type="dxa"/>
            <w:tcBorders>
              <w:top w:val="nil"/>
              <w:left w:val="nil"/>
              <w:bottom w:val="nil"/>
              <w:right w:val="nil"/>
            </w:tcBorders>
            <w:shd w:val="clear" w:color="auto" w:fill="auto"/>
            <w:noWrap/>
            <w:vAlign w:val="center"/>
            <w:hideMark/>
          </w:tcPr>
          <w:p w14:paraId="2AEF6FD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28 724</w:t>
            </w:r>
          </w:p>
        </w:tc>
        <w:tc>
          <w:tcPr>
            <w:tcW w:w="874" w:type="dxa"/>
            <w:tcBorders>
              <w:top w:val="nil"/>
              <w:left w:val="nil"/>
              <w:bottom w:val="nil"/>
              <w:right w:val="nil"/>
            </w:tcBorders>
            <w:shd w:val="clear" w:color="auto" w:fill="auto"/>
            <w:noWrap/>
            <w:vAlign w:val="center"/>
            <w:hideMark/>
          </w:tcPr>
          <w:p w14:paraId="3EA3638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39 819</w:t>
            </w:r>
          </w:p>
        </w:tc>
        <w:tc>
          <w:tcPr>
            <w:tcW w:w="874" w:type="dxa"/>
            <w:tcBorders>
              <w:top w:val="nil"/>
              <w:left w:val="nil"/>
              <w:bottom w:val="nil"/>
              <w:right w:val="nil"/>
            </w:tcBorders>
            <w:shd w:val="clear" w:color="auto" w:fill="auto"/>
            <w:noWrap/>
            <w:vAlign w:val="center"/>
            <w:hideMark/>
          </w:tcPr>
          <w:p w14:paraId="1D2EF22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38 248</w:t>
            </w:r>
          </w:p>
        </w:tc>
        <w:tc>
          <w:tcPr>
            <w:tcW w:w="874" w:type="dxa"/>
            <w:tcBorders>
              <w:top w:val="nil"/>
              <w:left w:val="nil"/>
              <w:bottom w:val="nil"/>
              <w:right w:val="nil"/>
            </w:tcBorders>
            <w:shd w:val="clear" w:color="auto" w:fill="auto"/>
            <w:noWrap/>
            <w:vAlign w:val="center"/>
            <w:hideMark/>
          </w:tcPr>
          <w:p w14:paraId="2D0C015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41 724</w:t>
            </w:r>
          </w:p>
        </w:tc>
        <w:tc>
          <w:tcPr>
            <w:tcW w:w="874" w:type="dxa"/>
            <w:tcBorders>
              <w:top w:val="nil"/>
              <w:left w:val="nil"/>
              <w:bottom w:val="nil"/>
              <w:right w:val="nil"/>
            </w:tcBorders>
            <w:shd w:val="clear" w:color="auto" w:fill="auto"/>
            <w:noWrap/>
            <w:vAlign w:val="center"/>
            <w:hideMark/>
          </w:tcPr>
          <w:p w14:paraId="409CD55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43 970</w:t>
            </w:r>
          </w:p>
        </w:tc>
        <w:tc>
          <w:tcPr>
            <w:tcW w:w="874" w:type="dxa"/>
            <w:tcBorders>
              <w:top w:val="nil"/>
              <w:left w:val="nil"/>
              <w:bottom w:val="nil"/>
              <w:right w:val="nil"/>
            </w:tcBorders>
            <w:shd w:val="clear" w:color="auto" w:fill="auto"/>
            <w:noWrap/>
            <w:vAlign w:val="center"/>
            <w:hideMark/>
          </w:tcPr>
          <w:p w14:paraId="5BB0C61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46 930</w:t>
            </w:r>
          </w:p>
        </w:tc>
      </w:tr>
      <w:tr w:rsidR="00D94493" w:rsidRPr="00D94493" w14:paraId="3327868A" w14:textId="77777777" w:rsidTr="00D94493">
        <w:trPr>
          <w:trHeight w:val="113"/>
        </w:trPr>
        <w:tc>
          <w:tcPr>
            <w:tcW w:w="3828" w:type="dxa"/>
            <w:tcBorders>
              <w:top w:val="nil"/>
              <w:left w:val="nil"/>
              <w:bottom w:val="nil"/>
              <w:right w:val="nil"/>
            </w:tcBorders>
            <w:shd w:val="clear" w:color="auto" w:fill="auto"/>
            <w:noWrap/>
            <w:vAlign w:val="bottom"/>
            <w:hideMark/>
          </w:tcPr>
          <w:p w14:paraId="3ADC10B9"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Ostatné colné príjmy</w:t>
            </w:r>
          </w:p>
        </w:tc>
        <w:tc>
          <w:tcPr>
            <w:tcW w:w="874" w:type="dxa"/>
            <w:tcBorders>
              <w:top w:val="nil"/>
              <w:left w:val="nil"/>
              <w:bottom w:val="nil"/>
              <w:right w:val="nil"/>
            </w:tcBorders>
            <w:shd w:val="clear" w:color="auto" w:fill="auto"/>
            <w:noWrap/>
            <w:vAlign w:val="center"/>
            <w:hideMark/>
          </w:tcPr>
          <w:p w14:paraId="277A6BF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1E8CA5A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14BB664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744FD2F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355D1C6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5017912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7FECE6D4" w14:textId="77777777" w:rsidTr="00D94493">
        <w:trPr>
          <w:trHeight w:val="113"/>
        </w:trPr>
        <w:tc>
          <w:tcPr>
            <w:tcW w:w="3828" w:type="dxa"/>
            <w:tcBorders>
              <w:top w:val="nil"/>
              <w:left w:val="nil"/>
              <w:bottom w:val="nil"/>
              <w:right w:val="nil"/>
            </w:tcBorders>
            <w:shd w:val="clear" w:color="auto" w:fill="auto"/>
            <w:noWrap/>
            <w:vAlign w:val="bottom"/>
            <w:hideMark/>
          </w:tcPr>
          <w:p w14:paraId="0E613706" w14:textId="77777777" w:rsidR="00D94493" w:rsidRPr="00D94493" w:rsidRDefault="00D94493" w:rsidP="00D94493">
            <w:pPr>
              <w:spacing w:after="0" w:line="240" w:lineRule="auto"/>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Miestne dane</w:t>
            </w:r>
          </w:p>
        </w:tc>
        <w:tc>
          <w:tcPr>
            <w:tcW w:w="874" w:type="dxa"/>
            <w:tcBorders>
              <w:top w:val="nil"/>
              <w:left w:val="nil"/>
              <w:bottom w:val="nil"/>
              <w:right w:val="nil"/>
            </w:tcBorders>
            <w:shd w:val="clear" w:color="auto" w:fill="auto"/>
            <w:noWrap/>
            <w:vAlign w:val="center"/>
            <w:hideMark/>
          </w:tcPr>
          <w:p w14:paraId="4288A152"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701 418</w:t>
            </w:r>
          </w:p>
        </w:tc>
        <w:tc>
          <w:tcPr>
            <w:tcW w:w="874" w:type="dxa"/>
            <w:tcBorders>
              <w:top w:val="nil"/>
              <w:left w:val="nil"/>
              <w:bottom w:val="nil"/>
              <w:right w:val="nil"/>
            </w:tcBorders>
            <w:shd w:val="clear" w:color="auto" w:fill="auto"/>
            <w:noWrap/>
            <w:vAlign w:val="center"/>
            <w:hideMark/>
          </w:tcPr>
          <w:p w14:paraId="0EA18CDA"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714 846</w:t>
            </w:r>
          </w:p>
        </w:tc>
        <w:tc>
          <w:tcPr>
            <w:tcW w:w="874" w:type="dxa"/>
            <w:tcBorders>
              <w:top w:val="nil"/>
              <w:left w:val="nil"/>
              <w:bottom w:val="nil"/>
              <w:right w:val="nil"/>
            </w:tcBorders>
            <w:shd w:val="clear" w:color="auto" w:fill="auto"/>
            <w:noWrap/>
            <w:vAlign w:val="center"/>
            <w:hideMark/>
          </w:tcPr>
          <w:p w14:paraId="66A5344D"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790 498</w:t>
            </w:r>
          </w:p>
        </w:tc>
        <w:tc>
          <w:tcPr>
            <w:tcW w:w="874" w:type="dxa"/>
            <w:tcBorders>
              <w:top w:val="nil"/>
              <w:left w:val="nil"/>
              <w:bottom w:val="nil"/>
              <w:right w:val="nil"/>
            </w:tcBorders>
            <w:shd w:val="clear" w:color="auto" w:fill="auto"/>
            <w:noWrap/>
            <w:vAlign w:val="center"/>
            <w:hideMark/>
          </w:tcPr>
          <w:p w14:paraId="6AD45526"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818 002</w:t>
            </w:r>
          </w:p>
        </w:tc>
        <w:tc>
          <w:tcPr>
            <w:tcW w:w="874" w:type="dxa"/>
            <w:tcBorders>
              <w:top w:val="nil"/>
              <w:left w:val="nil"/>
              <w:bottom w:val="nil"/>
              <w:right w:val="nil"/>
            </w:tcBorders>
            <w:shd w:val="clear" w:color="auto" w:fill="auto"/>
            <w:noWrap/>
            <w:vAlign w:val="center"/>
            <w:hideMark/>
          </w:tcPr>
          <w:p w14:paraId="6ED37136"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839 071</w:t>
            </w:r>
          </w:p>
        </w:tc>
        <w:tc>
          <w:tcPr>
            <w:tcW w:w="874" w:type="dxa"/>
            <w:tcBorders>
              <w:top w:val="nil"/>
              <w:left w:val="nil"/>
              <w:bottom w:val="nil"/>
              <w:right w:val="nil"/>
            </w:tcBorders>
            <w:shd w:val="clear" w:color="auto" w:fill="auto"/>
            <w:noWrap/>
            <w:vAlign w:val="center"/>
            <w:hideMark/>
          </w:tcPr>
          <w:p w14:paraId="40AB1FBA"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866 721</w:t>
            </w:r>
          </w:p>
        </w:tc>
      </w:tr>
      <w:tr w:rsidR="00D94493" w:rsidRPr="00D94493" w14:paraId="5C3614FE" w14:textId="77777777" w:rsidTr="00D94493">
        <w:trPr>
          <w:trHeight w:val="113"/>
        </w:trPr>
        <w:tc>
          <w:tcPr>
            <w:tcW w:w="3828" w:type="dxa"/>
            <w:tcBorders>
              <w:top w:val="nil"/>
              <w:left w:val="nil"/>
              <w:bottom w:val="nil"/>
              <w:right w:val="nil"/>
            </w:tcBorders>
            <w:shd w:val="clear" w:color="auto" w:fill="auto"/>
            <w:noWrap/>
            <w:vAlign w:val="bottom"/>
            <w:hideMark/>
          </w:tcPr>
          <w:p w14:paraId="3E603F10"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 z nehnuteľností</w:t>
            </w:r>
          </w:p>
        </w:tc>
        <w:tc>
          <w:tcPr>
            <w:tcW w:w="874" w:type="dxa"/>
            <w:tcBorders>
              <w:top w:val="nil"/>
              <w:left w:val="nil"/>
              <w:bottom w:val="nil"/>
              <w:right w:val="nil"/>
            </w:tcBorders>
            <w:shd w:val="clear" w:color="auto" w:fill="auto"/>
            <w:noWrap/>
            <w:vAlign w:val="center"/>
            <w:hideMark/>
          </w:tcPr>
          <w:p w14:paraId="0D601FF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455 911</w:t>
            </w:r>
          </w:p>
        </w:tc>
        <w:tc>
          <w:tcPr>
            <w:tcW w:w="874" w:type="dxa"/>
            <w:tcBorders>
              <w:top w:val="nil"/>
              <w:left w:val="nil"/>
              <w:bottom w:val="nil"/>
              <w:right w:val="nil"/>
            </w:tcBorders>
            <w:shd w:val="clear" w:color="auto" w:fill="auto"/>
            <w:noWrap/>
            <w:vAlign w:val="center"/>
            <w:hideMark/>
          </w:tcPr>
          <w:p w14:paraId="3BB6B6F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456 736</w:t>
            </w:r>
          </w:p>
        </w:tc>
        <w:tc>
          <w:tcPr>
            <w:tcW w:w="874" w:type="dxa"/>
            <w:tcBorders>
              <w:top w:val="nil"/>
              <w:left w:val="nil"/>
              <w:bottom w:val="nil"/>
              <w:right w:val="nil"/>
            </w:tcBorders>
            <w:shd w:val="clear" w:color="auto" w:fill="auto"/>
            <w:noWrap/>
            <w:vAlign w:val="center"/>
            <w:hideMark/>
          </w:tcPr>
          <w:p w14:paraId="6B9728E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495 461</w:t>
            </w:r>
          </w:p>
        </w:tc>
        <w:tc>
          <w:tcPr>
            <w:tcW w:w="874" w:type="dxa"/>
            <w:tcBorders>
              <w:top w:val="nil"/>
              <w:left w:val="nil"/>
              <w:bottom w:val="nil"/>
              <w:right w:val="nil"/>
            </w:tcBorders>
            <w:shd w:val="clear" w:color="auto" w:fill="auto"/>
            <w:noWrap/>
            <w:vAlign w:val="center"/>
            <w:hideMark/>
          </w:tcPr>
          <w:p w14:paraId="210A199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512 041</w:t>
            </w:r>
          </w:p>
        </w:tc>
        <w:tc>
          <w:tcPr>
            <w:tcW w:w="874" w:type="dxa"/>
            <w:tcBorders>
              <w:top w:val="nil"/>
              <w:left w:val="nil"/>
              <w:bottom w:val="nil"/>
              <w:right w:val="nil"/>
            </w:tcBorders>
            <w:shd w:val="clear" w:color="auto" w:fill="auto"/>
            <w:noWrap/>
            <w:vAlign w:val="center"/>
            <w:hideMark/>
          </w:tcPr>
          <w:p w14:paraId="1B8380C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521 320</w:t>
            </w:r>
          </w:p>
        </w:tc>
        <w:tc>
          <w:tcPr>
            <w:tcW w:w="874" w:type="dxa"/>
            <w:tcBorders>
              <w:top w:val="nil"/>
              <w:left w:val="nil"/>
              <w:bottom w:val="nil"/>
              <w:right w:val="nil"/>
            </w:tcBorders>
            <w:shd w:val="clear" w:color="auto" w:fill="auto"/>
            <w:noWrap/>
            <w:vAlign w:val="center"/>
            <w:hideMark/>
          </w:tcPr>
          <w:p w14:paraId="1EEF44F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538 538</w:t>
            </w:r>
          </w:p>
        </w:tc>
      </w:tr>
      <w:tr w:rsidR="00D94493" w:rsidRPr="00D94493" w14:paraId="54CEFAC9" w14:textId="77777777" w:rsidTr="00D94493">
        <w:trPr>
          <w:trHeight w:val="113"/>
        </w:trPr>
        <w:tc>
          <w:tcPr>
            <w:tcW w:w="3828" w:type="dxa"/>
            <w:tcBorders>
              <w:top w:val="nil"/>
              <w:left w:val="nil"/>
              <w:bottom w:val="nil"/>
              <w:right w:val="nil"/>
            </w:tcBorders>
            <w:shd w:val="clear" w:color="auto" w:fill="auto"/>
            <w:noWrap/>
            <w:vAlign w:val="bottom"/>
            <w:hideMark/>
          </w:tcPr>
          <w:p w14:paraId="21D03CE0"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Dane za špecifické služby</w:t>
            </w:r>
          </w:p>
        </w:tc>
        <w:tc>
          <w:tcPr>
            <w:tcW w:w="874" w:type="dxa"/>
            <w:tcBorders>
              <w:top w:val="nil"/>
              <w:left w:val="nil"/>
              <w:bottom w:val="nil"/>
              <w:right w:val="nil"/>
            </w:tcBorders>
            <w:shd w:val="clear" w:color="auto" w:fill="auto"/>
            <w:noWrap/>
            <w:vAlign w:val="center"/>
            <w:hideMark/>
          </w:tcPr>
          <w:p w14:paraId="4CBC26B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245 507</w:t>
            </w:r>
          </w:p>
        </w:tc>
        <w:tc>
          <w:tcPr>
            <w:tcW w:w="874" w:type="dxa"/>
            <w:tcBorders>
              <w:top w:val="nil"/>
              <w:left w:val="nil"/>
              <w:bottom w:val="nil"/>
              <w:right w:val="nil"/>
            </w:tcBorders>
            <w:shd w:val="clear" w:color="auto" w:fill="auto"/>
            <w:noWrap/>
            <w:vAlign w:val="center"/>
            <w:hideMark/>
          </w:tcPr>
          <w:p w14:paraId="6926A71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258 110</w:t>
            </w:r>
          </w:p>
        </w:tc>
        <w:tc>
          <w:tcPr>
            <w:tcW w:w="874" w:type="dxa"/>
            <w:tcBorders>
              <w:top w:val="nil"/>
              <w:left w:val="nil"/>
              <w:bottom w:val="nil"/>
              <w:right w:val="nil"/>
            </w:tcBorders>
            <w:shd w:val="clear" w:color="auto" w:fill="auto"/>
            <w:noWrap/>
            <w:vAlign w:val="center"/>
            <w:hideMark/>
          </w:tcPr>
          <w:p w14:paraId="0AE5821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295 037</w:t>
            </w:r>
          </w:p>
        </w:tc>
        <w:tc>
          <w:tcPr>
            <w:tcW w:w="874" w:type="dxa"/>
            <w:tcBorders>
              <w:top w:val="nil"/>
              <w:left w:val="nil"/>
              <w:bottom w:val="nil"/>
              <w:right w:val="nil"/>
            </w:tcBorders>
            <w:shd w:val="clear" w:color="auto" w:fill="auto"/>
            <w:noWrap/>
            <w:vAlign w:val="center"/>
            <w:hideMark/>
          </w:tcPr>
          <w:p w14:paraId="21BD5B1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305 961</w:t>
            </w:r>
          </w:p>
        </w:tc>
        <w:tc>
          <w:tcPr>
            <w:tcW w:w="874" w:type="dxa"/>
            <w:tcBorders>
              <w:top w:val="nil"/>
              <w:left w:val="nil"/>
              <w:bottom w:val="nil"/>
              <w:right w:val="nil"/>
            </w:tcBorders>
            <w:shd w:val="clear" w:color="auto" w:fill="auto"/>
            <w:noWrap/>
            <w:vAlign w:val="center"/>
            <w:hideMark/>
          </w:tcPr>
          <w:p w14:paraId="785B6E6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317 751</w:t>
            </w:r>
          </w:p>
        </w:tc>
        <w:tc>
          <w:tcPr>
            <w:tcW w:w="874" w:type="dxa"/>
            <w:tcBorders>
              <w:top w:val="nil"/>
              <w:left w:val="nil"/>
              <w:bottom w:val="nil"/>
              <w:right w:val="nil"/>
            </w:tcBorders>
            <w:shd w:val="clear" w:color="auto" w:fill="auto"/>
            <w:noWrap/>
            <w:vAlign w:val="center"/>
            <w:hideMark/>
          </w:tcPr>
          <w:p w14:paraId="66A7F78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328 183</w:t>
            </w:r>
          </w:p>
        </w:tc>
      </w:tr>
      <w:tr w:rsidR="00D94493" w:rsidRPr="00D94493" w14:paraId="74391C50" w14:textId="77777777" w:rsidTr="00D94493">
        <w:trPr>
          <w:trHeight w:val="113"/>
        </w:trPr>
        <w:tc>
          <w:tcPr>
            <w:tcW w:w="3828" w:type="dxa"/>
            <w:tcBorders>
              <w:top w:val="nil"/>
              <w:left w:val="nil"/>
              <w:bottom w:val="nil"/>
              <w:right w:val="nil"/>
            </w:tcBorders>
            <w:shd w:val="clear" w:color="auto" w:fill="auto"/>
            <w:noWrap/>
            <w:vAlign w:val="bottom"/>
            <w:hideMark/>
          </w:tcPr>
          <w:p w14:paraId="2377D294" w14:textId="77777777" w:rsidR="00D94493" w:rsidRPr="00D94493" w:rsidRDefault="00D94493" w:rsidP="00D94493">
            <w:pPr>
              <w:spacing w:after="0" w:line="240" w:lineRule="auto"/>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Ostatné dane</w:t>
            </w:r>
          </w:p>
        </w:tc>
        <w:tc>
          <w:tcPr>
            <w:tcW w:w="874" w:type="dxa"/>
            <w:tcBorders>
              <w:top w:val="nil"/>
              <w:left w:val="nil"/>
              <w:bottom w:val="nil"/>
              <w:right w:val="nil"/>
            </w:tcBorders>
            <w:shd w:val="clear" w:color="auto" w:fill="auto"/>
            <w:noWrap/>
            <w:vAlign w:val="center"/>
            <w:hideMark/>
          </w:tcPr>
          <w:p w14:paraId="46D63E46"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448 206</w:t>
            </w:r>
          </w:p>
        </w:tc>
        <w:tc>
          <w:tcPr>
            <w:tcW w:w="874" w:type="dxa"/>
            <w:tcBorders>
              <w:top w:val="nil"/>
              <w:left w:val="nil"/>
              <w:bottom w:val="nil"/>
              <w:right w:val="nil"/>
            </w:tcBorders>
            <w:shd w:val="clear" w:color="auto" w:fill="auto"/>
            <w:noWrap/>
            <w:vAlign w:val="center"/>
            <w:hideMark/>
          </w:tcPr>
          <w:p w14:paraId="241FDA59"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451 516</w:t>
            </w:r>
          </w:p>
        </w:tc>
        <w:tc>
          <w:tcPr>
            <w:tcW w:w="874" w:type="dxa"/>
            <w:tcBorders>
              <w:top w:val="nil"/>
              <w:left w:val="nil"/>
              <w:bottom w:val="nil"/>
              <w:right w:val="nil"/>
            </w:tcBorders>
            <w:shd w:val="clear" w:color="auto" w:fill="auto"/>
            <w:noWrap/>
            <w:vAlign w:val="center"/>
            <w:hideMark/>
          </w:tcPr>
          <w:p w14:paraId="750856C7"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995 038</w:t>
            </w:r>
          </w:p>
        </w:tc>
        <w:tc>
          <w:tcPr>
            <w:tcW w:w="874" w:type="dxa"/>
            <w:tcBorders>
              <w:top w:val="nil"/>
              <w:left w:val="nil"/>
              <w:bottom w:val="nil"/>
              <w:right w:val="nil"/>
            </w:tcBorders>
            <w:shd w:val="clear" w:color="auto" w:fill="auto"/>
            <w:noWrap/>
            <w:vAlign w:val="center"/>
            <w:hideMark/>
          </w:tcPr>
          <w:p w14:paraId="5BF61750"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1 144 538</w:t>
            </w:r>
          </w:p>
        </w:tc>
        <w:tc>
          <w:tcPr>
            <w:tcW w:w="874" w:type="dxa"/>
            <w:tcBorders>
              <w:top w:val="nil"/>
              <w:left w:val="nil"/>
              <w:bottom w:val="nil"/>
              <w:right w:val="nil"/>
            </w:tcBorders>
            <w:shd w:val="clear" w:color="auto" w:fill="auto"/>
            <w:noWrap/>
            <w:vAlign w:val="center"/>
            <w:hideMark/>
          </w:tcPr>
          <w:p w14:paraId="0AE93E31"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990 318</w:t>
            </w:r>
          </w:p>
        </w:tc>
        <w:tc>
          <w:tcPr>
            <w:tcW w:w="874" w:type="dxa"/>
            <w:tcBorders>
              <w:top w:val="nil"/>
              <w:left w:val="nil"/>
              <w:bottom w:val="nil"/>
              <w:right w:val="nil"/>
            </w:tcBorders>
            <w:shd w:val="clear" w:color="auto" w:fill="auto"/>
            <w:noWrap/>
            <w:vAlign w:val="center"/>
            <w:hideMark/>
          </w:tcPr>
          <w:p w14:paraId="3103A762"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722 012</w:t>
            </w:r>
          </w:p>
        </w:tc>
      </w:tr>
      <w:tr w:rsidR="00D94493" w:rsidRPr="00D94493" w14:paraId="1CF5BB55" w14:textId="77777777" w:rsidTr="00D94493">
        <w:trPr>
          <w:trHeight w:val="113"/>
        </w:trPr>
        <w:tc>
          <w:tcPr>
            <w:tcW w:w="3828" w:type="dxa"/>
            <w:tcBorders>
              <w:top w:val="nil"/>
              <w:left w:val="nil"/>
              <w:bottom w:val="nil"/>
              <w:right w:val="nil"/>
            </w:tcBorders>
            <w:shd w:val="clear" w:color="auto" w:fill="auto"/>
            <w:noWrap/>
            <w:vAlign w:val="bottom"/>
            <w:hideMark/>
          </w:tcPr>
          <w:p w14:paraId="4E000E5D"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 z emisných kvót</w:t>
            </w:r>
          </w:p>
        </w:tc>
        <w:tc>
          <w:tcPr>
            <w:tcW w:w="874" w:type="dxa"/>
            <w:tcBorders>
              <w:top w:val="nil"/>
              <w:left w:val="nil"/>
              <w:bottom w:val="nil"/>
              <w:right w:val="nil"/>
            </w:tcBorders>
            <w:shd w:val="clear" w:color="auto" w:fill="auto"/>
            <w:noWrap/>
            <w:vAlign w:val="center"/>
            <w:hideMark/>
          </w:tcPr>
          <w:p w14:paraId="7333F5C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2B69A88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0F72B14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3E08157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572D195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783178D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2E50C3A4" w14:textId="77777777" w:rsidTr="00D94493">
        <w:trPr>
          <w:trHeight w:val="113"/>
        </w:trPr>
        <w:tc>
          <w:tcPr>
            <w:tcW w:w="3828" w:type="dxa"/>
            <w:tcBorders>
              <w:top w:val="nil"/>
              <w:left w:val="nil"/>
              <w:bottom w:val="nil"/>
              <w:right w:val="nil"/>
            </w:tcBorders>
            <w:shd w:val="clear" w:color="auto" w:fill="auto"/>
            <w:noWrap/>
            <w:vAlign w:val="bottom"/>
            <w:hideMark/>
          </w:tcPr>
          <w:p w14:paraId="1A205CA9"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 z motorových vozidiel</w:t>
            </w:r>
          </w:p>
        </w:tc>
        <w:tc>
          <w:tcPr>
            <w:tcW w:w="874" w:type="dxa"/>
            <w:tcBorders>
              <w:top w:val="nil"/>
              <w:left w:val="nil"/>
              <w:bottom w:val="nil"/>
              <w:right w:val="nil"/>
            </w:tcBorders>
            <w:shd w:val="clear" w:color="auto" w:fill="auto"/>
            <w:noWrap/>
            <w:vAlign w:val="center"/>
            <w:hideMark/>
          </w:tcPr>
          <w:p w14:paraId="668F7C6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117 182</w:t>
            </w:r>
          </w:p>
        </w:tc>
        <w:tc>
          <w:tcPr>
            <w:tcW w:w="874" w:type="dxa"/>
            <w:tcBorders>
              <w:top w:val="nil"/>
              <w:left w:val="nil"/>
              <w:bottom w:val="nil"/>
              <w:right w:val="nil"/>
            </w:tcBorders>
            <w:shd w:val="clear" w:color="auto" w:fill="auto"/>
            <w:noWrap/>
            <w:vAlign w:val="center"/>
            <w:hideMark/>
          </w:tcPr>
          <w:p w14:paraId="29A3B64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132 482</w:t>
            </w:r>
          </w:p>
        </w:tc>
        <w:tc>
          <w:tcPr>
            <w:tcW w:w="874" w:type="dxa"/>
            <w:tcBorders>
              <w:top w:val="nil"/>
              <w:left w:val="nil"/>
              <w:bottom w:val="nil"/>
              <w:right w:val="nil"/>
            </w:tcBorders>
            <w:shd w:val="clear" w:color="auto" w:fill="auto"/>
            <w:noWrap/>
            <w:vAlign w:val="center"/>
            <w:hideMark/>
          </w:tcPr>
          <w:p w14:paraId="0893E91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128 961</w:t>
            </w:r>
          </w:p>
        </w:tc>
        <w:tc>
          <w:tcPr>
            <w:tcW w:w="874" w:type="dxa"/>
            <w:tcBorders>
              <w:top w:val="nil"/>
              <w:left w:val="nil"/>
              <w:bottom w:val="nil"/>
              <w:right w:val="nil"/>
            </w:tcBorders>
            <w:shd w:val="clear" w:color="auto" w:fill="auto"/>
            <w:noWrap/>
            <w:vAlign w:val="center"/>
            <w:hideMark/>
          </w:tcPr>
          <w:p w14:paraId="2D617BB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138 853</w:t>
            </w:r>
          </w:p>
        </w:tc>
        <w:tc>
          <w:tcPr>
            <w:tcW w:w="874" w:type="dxa"/>
            <w:tcBorders>
              <w:top w:val="nil"/>
              <w:left w:val="nil"/>
              <w:bottom w:val="nil"/>
              <w:right w:val="nil"/>
            </w:tcBorders>
            <w:shd w:val="clear" w:color="auto" w:fill="auto"/>
            <w:noWrap/>
            <w:vAlign w:val="center"/>
            <w:hideMark/>
          </w:tcPr>
          <w:p w14:paraId="0FD3A79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142 047</w:t>
            </w:r>
          </w:p>
        </w:tc>
        <w:tc>
          <w:tcPr>
            <w:tcW w:w="874" w:type="dxa"/>
            <w:tcBorders>
              <w:top w:val="nil"/>
              <w:left w:val="nil"/>
              <w:bottom w:val="nil"/>
              <w:right w:val="nil"/>
            </w:tcBorders>
            <w:shd w:val="clear" w:color="auto" w:fill="auto"/>
            <w:noWrap/>
            <w:vAlign w:val="center"/>
            <w:hideMark/>
          </w:tcPr>
          <w:p w14:paraId="45D2429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145 705</w:t>
            </w:r>
          </w:p>
        </w:tc>
      </w:tr>
      <w:tr w:rsidR="00D94493" w:rsidRPr="00D94493" w14:paraId="22D9E17D" w14:textId="77777777" w:rsidTr="00D94493">
        <w:trPr>
          <w:trHeight w:val="113"/>
        </w:trPr>
        <w:tc>
          <w:tcPr>
            <w:tcW w:w="3828" w:type="dxa"/>
            <w:tcBorders>
              <w:top w:val="nil"/>
              <w:left w:val="nil"/>
              <w:bottom w:val="nil"/>
              <w:right w:val="nil"/>
            </w:tcBorders>
            <w:shd w:val="clear" w:color="auto" w:fill="auto"/>
            <w:noWrap/>
            <w:vAlign w:val="bottom"/>
            <w:hideMark/>
          </w:tcPr>
          <w:p w14:paraId="6B6E33EE"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Osobitný odvod vybraných finančných inštitúcií</w:t>
            </w:r>
          </w:p>
        </w:tc>
        <w:tc>
          <w:tcPr>
            <w:tcW w:w="874" w:type="dxa"/>
            <w:tcBorders>
              <w:top w:val="nil"/>
              <w:left w:val="nil"/>
              <w:bottom w:val="nil"/>
              <w:right w:val="nil"/>
            </w:tcBorders>
            <w:shd w:val="clear" w:color="auto" w:fill="auto"/>
            <w:noWrap/>
            <w:vAlign w:val="center"/>
            <w:hideMark/>
          </w:tcPr>
          <w:p w14:paraId="7DCB2AF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763D441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2769FCE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2817D59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356A4AD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49C4ED8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06BCF8F5" w14:textId="77777777" w:rsidTr="00D94493">
        <w:trPr>
          <w:trHeight w:val="113"/>
        </w:trPr>
        <w:tc>
          <w:tcPr>
            <w:tcW w:w="3828" w:type="dxa"/>
            <w:tcBorders>
              <w:top w:val="nil"/>
              <w:left w:val="nil"/>
              <w:bottom w:val="nil"/>
              <w:right w:val="nil"/>
            </w:tcBorders>
            <w:shd w:val="clear" w:color="auto" w:fill="auto"/>
            <w:noWrap/>
            <w:vAlign w:val="bottom"/>
            <w:hideMark/>
          </w:tcPr>
          <w:p w14:paraId="1BAC32C8"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Osobitný odvod z podnikania v </w:t>
            </w:r>
            <w:proofErr w:type="spellStart"/>
            <w:r w:rsidRPr="00D94493">
              <w:rPr>
                <w:rFonts w:ascii="Times New Roman" w:eastAsia="Calibri" w:hAnsi="Times New Roman" w:cs="Times New Roman"/>
                <w:sz w:val="14"/>
                <w:szCs w:val="14"/>
                <w:lang w:eastAsia="sk-SK"/>
              </w:rPr>
              <w:t>regul</w:t>
            </w:r>
            <w:proofErr w:type="spellEnd"/>
            <w:r w:rsidRPr="00D94493">
              <w:rPr>
                <w:rFonts w:ascii="Times New Roman" w:eastAsia="Calibri" w:hAnsi="Times New Roman" w:cs="Times New Roman"/>
                <w:sz w:val="14"/>
                <w:szCs w:val="14"/>
                <w:lang w:eastAsia="sk-SK"/>
              </w:rPr>
              <w:t>. odvetviach</w:t>
            </w:r>
          </w:p>
        </w:tc>
        <w:tc>
          <w:tcPr>
            <w:tcW w:w="874" w:type="dxa"/>
            <w:tcBorders>
              <w:top w:val="nil"/>
              <w:left w:val="nil"/>
              <w:bottom w:val="nil"/>
              <w:right w:val="nil"/>
            </w:tcBorders>
            <w:shd w:val="clear" w:color="auto" w:fill="auto"/>
            <w:noWrap/>
            <w:vAlign w:val="center"/>
            <w:hideMark/>
          </w:tcPr>
          <w:p w14:paraId="3824E93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111 384</w:t>
            </w:r>
          </w:p>
        </w:tc>
        <w:tc>
          <w:tcPr>
            <w:tcW w:w="874" w:type="dxa"/>
            <w:tcBorders>
              <w:top w:val="nil"/>
              <w:left w:val="nil"/>
              <w:bottom w:val="nil"/>
              <w:right w:val="nil"/>
            </w:tcBorders>
            <w:shd w:val="clear" w:color="auto" w:fill="auto"/>
            <w:noWrap/>
            <w:vAlign w:val="center"/>
            <w:hideMark/>
          </w:tcPr>
          <w:p w14:paraId="7B14A70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91 465</w:t>
            </w:r>
          </w:p>
        </w:tc>
        <w:tc>
          <w:tcPr>
            <w:tcW w:w="874" w:type="dxa"/>
            <w:tcBorders>
              <w:top w:val="nil"/>
              <w:left w:val="nil"/>
              <w:bottom w:val="nil"/>
              <w:right w:val="nil"/>
            </w:tcBorders>
            <w:shd w:val="clear" w:color="auto" w:fill="auto"/>
            <w:noWrap/>
            <w:vAlign w:val="center"/>
            <w:hideMark/>
          </w:tcPr>
          <w:p w14:paraId="625941B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99 398</w:t>
            </w:r>
          </w:p>
        </w:tc>
        <w:tc>
          <w:tcPr>
            <w:tcW w:w="874" w:type="dxa"/>
            <w:tcBorders>
              <w:top w:val="nil"/>
              <w:left w:val="nil"/>
              <w:bottom w:val="nil"/>
              <w:right w:val="nil"/>
            </w:tcBorders>
            <w:shd w:val="clear" w:color="auto" w:fill="auto"/>
            <w:noWrap/>
            <w:vAlign w:val="center"/>
            <w:hideMark/>
          </w:tcPr>
          <w:p w14:paraId="1539DDF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475 856</w:t>
            </w:r>
          </w:p>
        </w:tc>
        <w:tc>
          <w:tcPr>
            <w:tcW w:w="874" w:type="dxa"/>
            <w:tcBorders>
              <w:top w:val="nil"/>
              <w:left w:val="nil"/>
              <w:bottom w:val="nil"/>
              <w:right w:val="nil"/>
            </w:tcBorders>
            <w:shd w:val="clear" w:color="auto" w:fill="auto"/>
            <w:noWrap/>
            <w:vAlign w:val="center"/>
            <w:hideMark/>
          </w:tcPr>
          <w:p w14:paraId="6805558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451 428</w:t>
            </w:r>
          </w:p>
        </w:tc>
        <w:tc>
          <w:tcPr>
            <w:tcW w:w="874" w:type="dxa"/>
            <w:tcBorders>
              <w:top w:val="nil"/>
              <w:left w:val="nil"/>
              <w:bottom w:val="nil"/>
              <w:right w:val="nil"/>
            </w:tcBorders>
            <w:shd w:val="clear" w:color="auto" w:fill="auto"/>
            <w:noWrap/>
            <w:vAlign w:val="center"/>
            <w:hideMark/>
          </w:tcPr>
          <w:p w14:paraId="2FAFCFA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398 162</w:t>
            </w:r>
          </w:p>
        </w:tc>
      </w:tr>
      <w:tr w:rsidR="00D94493" w:rsidRPr="00D94493" w14:paraId="31D57163" w14:textId="77777777" w:rsidTr="00D94493">
        <w:trPr>
          <w:trHeight w:val="113"/>
        </w:trPr>
        <w:tc>
          <w:tcPr>
            <w:tcW w:w="3828" w:type="dxa"/>
            <w:tcBorders>
              <w:top w:val="nil"/>
              <w:left w:val="nil"/>
              <w:bottom w:val="nil"/>
              <w:right w:val="nil"/>
            </w:tcBorders>
            <w:shd w:val="clear" w:color="auto" w:fill="auto"/>
            <w:noWrap/>
            <w:vAlign w:val="bottom"/>
          </w:tcPr>
          <w:p w14:paraId="1AA77B97"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Solidárny príspevok z činností v odvetviach ropy, zemného  plynu, uhli a rafinérií</w:t>
            </w:r>
          </w:p>
        </w:tc>
        <w:tc>
          <w:tcPr>
            <w:tcW w:w="874" w:type="dxa"/>
            <w:tcBorders>
              <w:top w:val="nil"/>
              <w:left w:val="nil"/>
              <w:bottom w:val="nil"/>
              <w:right w:val="nil"/>
            </w:tcBorders>
            <w:shd w:val="clear" w:color="auto" w:fill="auto"/>
            <w:noWrap/>
            <w:vAlign w:val="center"/>
          </w:tcPr>
          <w:p w14:paraId="263D0641"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tcPr>
          <w:p w14:paraId="0E25C083"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tcPr>
          <w:p w14:paraId="59570D59"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521 165</w:t>
            </w:r>
          </w:p>
        </w:tc>
        <w:tc>
          <w:tcPr>
            <w:tcW w:w="874" w:type="dxa"/>
            <w:tcBorders>
              <w:top w:val="nil"/>
              <w:left w:val="nil"/>
              <w:bottom w:val="nil"/>
              <w:right w:val="nil"/>
            </w:tcBorders>
            <w:shd w:val="clear" w:color="auto" w:fill="auto"/>
            <w:noWrap/>
            <w:vAlign w:val="center"/>
          </w:tcPr>
          <w:p w14:paraId="7BA7EC2A"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354 113</w:t>
            </w:r>
          </w:p>
        </w:tc>
        <w:tc>
          <w:tcPr>
            <w:tcW w:w="874" w:type="dxa"/>
            <w:tcBorders>
              <w:top w:val="nil"/>
              <w:left w:val="nil"/>
              <w:bottom w:val="nil"/>
              <w:right w:val="nil"/>
            </w:tcBorders>
            <w:shd w:val="clear" w:color="auto" w:fill="auto"/>
            <w:noWrap/>
            <w:vAlign w:val="center"/>
          </w:tcPr>
          <w:p w14:paraId="741C097B"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227 600</w:t>
            </w:r>
          </w:p>
        </w:tc>
        <w:tc>
          <w:tcPr>
            <w:tcW w:w="874" w:type="dxa"/>
            <w:tcBorders>
              <w:top w:val="nil"/>
              <w:left w:val="nil"/>
              <w:bottom w:val="nil"/>
              <w:right w:val="nil"/>
            </w:tcBorders>
            <w:shd w:val="clear" w:color="auto" w:fill="auto"/>
            <w:noWrap/>
            <w:vAlign w:val="center"/>
          </w:tcPr>
          <w:p w14:paraId="72A4A832"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r>
      <w:tr w:rsidR="00D94493" w:rsidRPr="00D94493" w14:paraId="2CD5EB13" w14:textId="77777777" w:rsidTr="00D94493">
        <w:trPr>
          <w:trHeight w:val="113"/>
        </w:trPr>
        <w:tc>
          <w:tcPr>
            <w:tcW w:w="3828" w:type="dxa"/>
            <w:tcBorders>
              <w:top w:val="nil"/>
              <w:left w:val="nil"/>
              <w:bottom w:val="nil"/>
              <w:right w:val="nil"/>
            </w:tcBorders>
            <w:shd w:val="clear" w:color="auto" w:fill="auto"/>
            <w:noWrap/>
            <w:vAlign w:val="bottom"/>
          </w:tcPr>
          <w:p w14:paraId="646BBA1B"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Príjem z odvodu z nadmerných príjmov elektrární</w:t>
            </w:r>
          </w:p>
        </w:tc>
        <w:tc>
          <w:tcPr>
            <w:tcW w:w="874" w:type="dxa"/>
            <w:tcBorders>
              <w:top w:val="nil"/>
              <w:left w:val="nil"/>
              <w:bottom w:val="nil"/>
              <w:right w:val="nil"/>
            </w:tcBorders>
            <w:shd w:val="clear" w:color="auto" w:fill="auto"/>
            <w:noWrap/>
            <w:vAlign w:val="center"/>
          </w:tcPr>
          <w:p w14:paraId="13CF812B"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tcPr>
          <w:p w14:paraId="1A9AFC8E"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tcPr>
          <w:p w14:paraId="46D79453"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36 731</w:t>
            </w:r>
          </w:p>
        </w:tc>
        <w:tc>
          <w:tcPr>
            <w:tcW w:w="874" w:type="dxa"/>
            <w:tcBorders>
              <w:top w:val="nil"/>
              <w:left w:val="nil"/>
              <w:bottom w:val="nil"/>
              <w:right w:val="nil"/>
            </w:tcBorders>
            <w:shd w:val="clear" w:color="auto" w:fill="auto"/>
            <w:noWrap/>
            <w:vAlign w:val="center"/>
          </w:tcPr>
          <w:p w14:paraId="57620B98"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1 956</w:t>
            </w:r>
          </w:p>
        </w:tc>
        <w:tc>
          <w:tcPr>
            <w:tcW w:w="874" w:type="dxa"/>
            <w:tcBorders>
              <w:top w:val="nil"/>
              <w:left w:val="nil"/>
              <w:bottom w:val="nil"/>
              <w:right w:val="nil"/>
            </w:tcBorders>
            <w:shd w:val="clear" w:color="auto" w:fill="auto"/>
            <w:noWrap/>
            <w:vAlign w:val="center"/>
          </w:tcPr>
          <w:p w14:paraId="67639F15"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tcPr>
          <w:p w14:paraId="73DAD2CD" w14:textId="77777777" w:rsidR="00D94493" w:rsidRPr="00D94493" w:rsidRDefault="00D94493" w:rsidP="00D94493">
            <w:pPr>
              <w:spacing w:after="0" w:line="240" w:lineRule="auto"/>
              <w:jc w:val="right"/>
              <w:rPr>
                <w:rFonts w:ascii="Times New Roman" w:eastAsia="Calibri" w:hAnsi="Times New Roman" w:cs="Times New Roman"/>
                <w:sz w:val="14"/>
                <w:szCs w:val="14"/>
                <w:highlight w:val="yellow"/>
              </w:rPr>
            </w:pPr>
            <w:r w:rsidRPr="00D94493">
              <w:rPr>
                <w:rFonts w:ascii="Times New Roman" w:eastAsia="Calibri" w:hAnsi="Times New Roman" w:cs="Times New Roman"/>
                <w:sz w:val="14"/>
                <w:szCs w:val="14"/>
              </w:rPr>
              <w:t>0</w:t>
            </w:r>
          </w:p>
        </w:tc>
      </w:tr>
      <w:tr w:rsidR="00D94493" w:rsidRPr="00D94493" w14:paraId="19BAA8E9" w14:textId="77777777" w:rsidTr="00D94493">
        <w:trPr>
          <w:trHeight w:val="113"/>
        </w:trPr>
        <w:tc>
          <w:tcPr>
            <w:tcW w:w="3828" w:type="dxa"/>
            <w:tcBorders>
              <w:top w:val="nil"/>
              <w:left w:val="nil"/>
              <w:bottom w:val="nil"/>
              <w:right w:val="nil"/>
            </w:tcBorders>
            <w:shd w:val="clear" w:color="auto" w:fill="auto"/>
            <w:noWrap/>
            <w:vAlign w:val="bottom"/>
            <w:hideMark/>
          </w:tcPr>
          <w:p w14:paraId="25A80142"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Úhrada za služby verejnosti poskytované RTVS</w:t>
            </w:r>
          </w:p>
        </w:tc>
        <w:tc>
          <w:tcPr>
            <w:tcW w:w="874" w:type="dxa"/>
            <w:tcBorders>
              <w:top w:val="nil"/>
              <w:left w:val="nil"/>
              <w:bottom w:val="nil"/>
              <w:right w:val="nil"/>
            </w:tcBorders>
            <w:shd w:val="clear" w:color="auto" w:fill="auto"/>
            <w:noWrap/>
            <w:vAlign w:val="center"/>
            <w:hideMark/>
          </w:tcPr>
          <w:p w14:paraId="3945142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76 294</w:t>
            </w:r>
          </w:p>
        </w:tc>
        <w:tc>
          <w:tcPr>
            <w:tcW w:w="874" w:type="dxa"/>
            <w:tcBorders>
              <w:top w:val="nil"/>
              <w:left w:val="nil"/>
              <w:bottom w:val="nil"/>
              <w:right w:val="nil"/>
            </w:tcBorders>
            <w:shd w:val="clear" w:color="auto" w:fill="auto"/>
            <w:noWrap/>
            <w:vAlign w:val="center"/>
            <w:hideMark/>
          </w:tcPr>
          <w:p w14:paraId="2A22C11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74 305</w:t>
            </w:r>
          </w:p>
        </w:tc>
        <w:tc>
          <w:tcPr>
            <w:tcW w:w="874" w:type="dxa"/>
            <w:tcBorders>
              <w:top w:val="nil"/>
              <w:left w:val="nil"/>
              <w:bottom w:val="nil"/>
              <w:right w:val="nil"/>
            </w:tcBorders>
            <w:shd w:val="clear" w:color="auto" w:fill="auto"/>
            <w:noWrap/>
            <w:vAlign w:val="center"/>
            <w:hideMark/>
          </w:tcPr>
          <w:p w14:paraId="125717B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43 596</w:t>
            </w:r>
          </w:p>
        </w:tc>
        <w:tc>
          <w:tcPr>
            <w:tcW w:w="874" w:type="dxa"/>
            <w:tcBorders>
              <w:top w:val="nil"/>
              <w:left w:val="nil"/>
              <w:bottom w:val="nil"/>
              <w:right w:val="nil"/>
            </w:tcBorders>
            <w:shd w:val="clear" w:color="auto" w:fill="auto"/>
            <w:noWrap/>
            <w:vAlign w:val="center"/>
            <w:hideMark/>
          </w:tcPr>
          <w:p w14:paraId="323527A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3C3E6A7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418801D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5A023B64" w14:textId="77777777" w:rsidTr="00D94493">
        <w:trPr>
          <w:trHeight w:val="113"/>
        </w:trPr>
        <w:tc>
          <w:tcPr>
            <w:tcW w:w="3828" w:type="dxa"/>
            <w:tcBorders>
              <w:top w:val="nil"/>
              <w:left w:val="nil"/>
              <w:bottom w:val="nil"/>
              <w:right w:val="nil"/>
            </w:tcBorders>
            <w:shd w:val="clear" w:color="auto" w:fill="auto"/>
            <w:noWrap/>
            <w:vAlign w:val="bottom"/>
            <w:hideMark/>
          </w:tcPr>
          <w:p w14:paraId="28EEC165"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 z úhrad za dobývací priestor</w:t>
            </w:r>
          </w:p>
        </w:tc>
        <w:tc>
          <w:tcPr>
            <w:tcW w:w="874" w:type="dxa"/>
            <w:tcBorders>
              <w:top w:val="nil"/>
              <w:left w:val="nil"/>
              <w:bottom w:val="nil"/>
              <w:right w:val="nil"/>
            </w:tcBorders>
            <w:shd w:val="clear" w:color="auto" w:fill="auto"/>
            <w:noWrap/>
            <w:vAlign w:val="center"/>
            <w:hideMark/>
          </w:tcPr>
          <w:p w14:paraId="6A7E15D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278</w:t>
            </w:r>
          </w:p>
        </w:tc>
        <w:tc>
          <w:tcPr>
            <w:tcW w:w="874" w:type="dxa"/>
            <w:tcBorders>
              <w:top w:val="nil"/>
              <w:left w:val="nil"/>
              <w:bottom w:val="nil"/>
              <w:right w:val="nil"/>
            </w:tcBorders>
            <w:shd w:val="clear" w:color="auto" w:fill="auto"/>
            <w:noWrap/>
            <w:vAlign w:val="center"/>
            <w:hideMark/>
          </w:tcPr>
          <w:p w14:paraId="02196E6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303</w:t>
            </w:r>
          </w:p>
        </w:tc>
        <w:tc>
          <w:tcPr>
            <w:tcW w:w="874" w:type="dxa"/>
            <w:tcBorders>
              <w:top w:val="nil"/>
              <w:left w:val="nil"/>
              <w:bottom w:val="nil"/>
              <w:right w:val="nil"/>
            </w:tcBorders>
            <w:shd w:val="clear" w:color="auto" w:fill="auto"/>
            <w:noWrap/>
            <w:vAlign w:val="center"/>
            <w:hideMark/>
          </w:tcPr>
          <w:p w14:paraId="24ADBC0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328</w:t>
            </w:r>
          </w:p>
        </w:tc>
        <w:tc>
          <w:tcPr>
            <w:tcW w:w="874" w:type="dxa"/>
            <w:tcBorders>
              <w:top w:val="nil"/>
              <w:left w:val="nil"/>
              <w:bottom w:val="nil"/>
              <w:right w:val="nil"/>
            </w:tcBorders>
            <w:shd w:val="clear" w:color="auto" w:fill="auto"/>
            <w:noWrap/>
            <w:vAlign w:val="center"/>
            <w:hideMark/>
          </w:tcPr>
          <w:p w14:paraId="3812A15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328</w:t>
            </w:r>
          </w:p>
        </w:tc>
        <w:tc>
          <w:tcPr>
            <w:tcW w:w="874" w:type="dxa"/>
            <w:tcBorders>
              <w:top w:val="nil"/>
              <w:left w:val="nil"/>
              <w:bottom w:val="nil"/>
              <w:right w:val="nil"/>
            </w:tcBorders>
            <w:shd w:val="clear" w:color="auto" w:fill="auto"/>
            <w:noWrap/>
            <w:vAlign w:val="center"/>
            <w:hideMark/>
          </w:tcPr>
          <w:p w14:paraId="3DC3BCA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328</w:t>
            </w:r>
          </w:p>
        </w:tc>
        <w:tc>
          <w:tcPr>
            <w:tcW w:w="874" w:type="dxa"/>
            <w:tcBorders>
              <w:top w:val="nil"/>
              <w:left w:val="nil"/>
              <w:bottom w:val="nil"/>
              <w:right w:val="nil"/>
            </w:tcBorders>
            <w:shd w:val="clear" w:color="auto" w:fill="auto"/>
            <w:noWrap/>
            <w:vAlign w:val="center"/>
            <w:hideMark/>
          </w:tcPr>
          <w:p w14:paraId="192921C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328</w:t>
            </w:r>
          </w:p>
        </w:tc>
      </w:tr>
      <w:tr w:rsidR="00D94493" w:rsidRPr="00D94493" w14:paraId="1EF5082C" w14:textId="77777777" w:rsidTr="00D94493">
        <w:trPr>
          <w:trHeight w:val="113"/>
        </w:trPr>
        <w:tc>
          <w:tcPr>
            <w:tcW w:w="3828" w:type="dxa"/>
            <w:tcBorders>
              <w:top w:val="nil"/>
              <w:left w:val="nil"/>
              <w:bottom w:val="nil"/>
              <w:right w:val="nil"/>
            </w:tcBorders>
            <w:shd w:val="clear" w:color="auto" w:fill="auto"/>
            <w:noWrap/>
            <w:vAlign w:val="bottom"/>
            <w:hideMark/>
          </w:tcPr>
          <w:p w14:paraId="22AD5295" w14:textId="77777777" w:rsidR="00D94493" w:rsidRPr="00D94493" w:rsidRDefault="00D94493" w:rsidP="00D94493">
            <w:pPr>
              <w:spacing w:after="0" w:line="240" w:lineRule="auto"/>
              <w:ind w:firstLineChars="600" w:firstLine="84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do štátneho rozpočtu </w:t>
            </w:r>
          </w:p>
        </w:tc>
        <w:tc>
          <w:tcPr>
            <w:tcW w:w="874" w:type="dxa"/>
            <w:tcBorders>
              <w:top w:val="nil"/>
              <w:left w:val="nil"/>
              <w:bottom w:val="nil"/>
              <w:right w:val="nil"/>
            </w:tcBorders>
            <w:shd w:val="clear" w:color="auto" w:fill="auto"/>
            <w:noWrap/>
            <w:vAlign w:val="center"/>
            <w:hideMark/>
          </w:tcPr>
          <w:p w14:paraId="6E45DD2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82</w:t>
            </w:r>
          </w:p>
        </w:tc>
        <w:tc>
          <w:tcPr>
            <w:tcW w:w="874" w:type="dxa"/>
            <w:tcBorders>
              <w:top w:val="nil"/>
              <w:left w:val="nil"/>
              <w:bottom w:val="nil"/>
              <w:right w:val="nil"/>
            </w:tcBorders>
            <w:shd w:val="clear" w:color="auto" w:fill="auto"/>
            <w:noWrap/>
            <w:vAlign w:val="center"/>
            <w:hideMark/>
          </w:tcPr>
          <w:p w14:paraId="0941A51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82</w:t>
            </w:r>
          </w:p>
        </w:tc>
        <w:tc>
          <w:tcPr>
            <w:tcW w:w="874" w:type="dxa"/>
            <w:tcBorders>
              <w:top w:val="nil"/>
              <w:left w:val="nil"/>
              <w:bottom w:val="nil"/>
              <w:right w:val="nil"/>
            </w:tcBorders>
            <w:shd w:val="clear" w:color="auto" w:fill="auto"/>
            <w:noWrap/>
            <w:vAlign w:val="center"/>
            <w:hideMark/>
          </w:tcPr>
          <w:p w14:paraId="366641B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82</w:t>
            </w:r>
          </w:p>
        </w:tc>
        <w:tc>
          <w:tcPr>
            <w:tcW w:w="874" w:type="dxa"/>
            <w:tcBorders>
              <w:top w:val="nil"/>
              <w:left w:val="nil"/>
              <w:bottom w:val="nil"/>
              <w:right w:val="nil"/>
            </w:tcBorders>
            <w:shd w:val="clear" w:color="auto" w:fill="auto"/>
            <w:noWrap/>
            <w:vAlign w:val="center"/>
            <w:hideMark/>
          </w:tcPr>
          <w:p w14:paraId="0BF4AAD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82</w:t>
            </w:r>
          </w:p>
        </w:tc>
        <w:tc>
          <w:tcPr>
            <w:tcW w:w="874" w:type="dxa"/>
            <w:tcBorders>
              <w:top w:val="nil"/>
              <w:left w:val="nil"/>
              <w:bottom w:val="nil"/>
              <w:right w:val="nil"/>
            </w:tcBorders>
            <w:shd w:val="clear" w:color="auto" w:fill="auto"/>
            <w:noWrap/>
            <w:vAlign w:val="center"/>
            <w:hideMark/>
          </w:tcPr>
          <w:p w14:paraId="444B5A1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82</w:t>
            </w:r>
          </w:p>
        </w:tc>
        <w:tc>
          <w:tcPr>
            <w:tcW w:w="874" w:type="dxa"/>
            <w:tcBorders>
              <w:top w:val="nil"/>
              <w:left w:val="nil"/>
              <w:bottom w:val="nil"/>
              <w:right w:val="nil"/>
            </w:tcBorders>
            <w:shd w:val="clear" w:color="auto" w:fill="auto"/>
            <w:noWrap/>
            <w:vAlign w:val="center"/>
            <w:hideMark/>
          </w:tcPr>
          <w:p w14:paraId="19CB151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82</w:t>
            </w:r>
          </w:p>
        </w:tc>
      </w:tr>
      <w:tr w:rsidR="00D94493" w:rsidRPr="00D94493" w14:paraId="553B4816" w14:textId="77777777" w:rsidTr="00D94493">
        <w:trPr>
          <w:trHeight w:val="113"/>
        </w:trPr>
        <w:tc>
          <w:tcPr>
            <w:tcW w:w="3828" w:type="dxa"/>
            <w:tcBorders>
              <w:top w:val="nil"/>
              <w:left w:val="nil"/>
              <w:bottom w:val="nil"/>
              <w:right w:val="nil"/>
            </w:tcBorders>
            <w:shd w:val="clear" w:color="auto" w:fill="auto"/>
            <w:noWrap/>
            <w:vAlign w:val="bottom"/>
            <w:hideMark/>
          </w:tcPr>
          <w:p w14:paraId="39473A48" w14:textId="77777777" w:rsidR="00D94493" w:rsidRPr="00D94493" w:rsidRDefault="00D94493" w:rsidP="00D94493">
            <w:pPr>
              <w:spacing w:after="0" w:line="240" w:lineRule="auto"/>
              <w:ind w:firstLineChars="600" w:firstLine="84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do obcí </w:t>
            </w:r>
          </w:p>
        </w:tc>
        <w:tc>
          <w:tcPr>
            <w:tcW w:w="874" w:type="dxa"/>
            <w:tcBorders>
              <w:top w:val="nil"/>
              <w:left w:val="nil"/>
              <w:bottom w:val="nil"/>
              <w:right w:val="nil"/>
            </w:tcBorders>
            <w:shd w:val="clear" w:color="auto" w:fill="auto"/>
            <w:noWrap/>
            <w:vAlign w:val="center"/>
            <w:hideMark/>
          </w:tcPr>
          <w:p w14:paraId="7C939BC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197</w:t>
            </w:r>
          </w:p>
        </w:tc>
        <w:tc>
          <w:tcPr>
            <w:tcW w:w="874" w:type="dxa"/>
            <w:tcBorders>
              <w:top w:val="nil"/>
              <w:left w:val="nil"/>
              <w:bottom w:val="nil"/>
              <w:right w:val="nil"/>
            </w:tcBorders>
            <w:shd w:val="clear" w:color="auto" w:fill="auto"/>
            <w:noWrap/>
            <w:vAlign w:val="center"/>
            <w:hideMark/>
          </w:tcPr>
          <w:p w14:paraId="45CBB69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221</w:t>
            </w:r>
          </w:p>
        </w:tc>
        <w:tc>
          <w:tcPr>
            <w:tcW w:w="874" w:type="dxa"/>
            <w:tcBorders>
              <w:top w:val="nil"/>
              <w:left w:val="nil"/>
              <w:bottom w:val="nil"/>
              <w:right w:val="nil"/>
            </w:tcBorders>
            <w:shd w:val="clear" w:color="auto" w:fill="auto"/>
            <w:noWrap/>
            <w:vAlign w:val="center"/>
            <w:hideMark/>
          </w:tcPr>
          <w:p w14:paraId="3327EF5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246</w:t>
            </w:r>
          </w:p>
        </w:tc>
        <w:tc>
          <w:tcPr>
            <w:tcW w:w="874" w:type="dxa"/>
            <w:tcBorders>
              <w:top w:val="nil"/>
              <w:left w:val="nil"/>
              <w:bottom w:val="nil"/>
              <w:right w:val="nil"/>
            </w:tcBorders>
            <w:shd w:val="clear" w:color="auto" w:fill="auto"/>
            <w:noWrap/>
            <w:vAlign w:val="center"/>
            <w:hideMark/>
          </w:tcPr>
          <w:p w14:paraId="1E165A9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246</w:t>
            </w:r>
          </w:p>
        </w:tc>
        <w:tc>
          <w:tcPr>
            <w:tcW w:w="874" w:type="dxa"/>
            <w:tcBorders>
              <w:top w:val="nil"/>
              <w:left w:val="nil"/>
              <w:bottom w:val="nil"/>
              <w:right w:val="nil"/>
            </w:tcBorders>
            <w:shd w:val="clear" w:color="auto" w:fill="auto"/>
            <w:noWrap/>
            <w:vAlign w:val="center"/>
            <w:hideMark/>
          </w:tcPr>
          <w:p w14:paraId="5A9F09B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246</w:t>
            </w:r>
          </w:p>
        </w:tc>
        <w:tc>
          <w:tcPr>
            <w:tcW w:w="874" w:type="dxa"/>
            <w:tcBorders>
              <w:top w:val="nil"/>
              <w:left w:val="nil"/>
              <w:bottom w:val="nil"/>
              <w:right w:val="nil"/>
            </w:tcBorders>
            <w:shd w:val="clear" w:color="auto" w:fill="auto"/>
            <w:noWrap/>
            <w:vAlign w:val="center"/>
            <w:hideMark/>
          </w:tcPr>
          <w:p w14:paraId="22453CD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246</w:t>
            </w:r>
          </w:p>
        </w:tc>
      </w:tr>
      <w:tr w:rsidR="00D94493" w:rsidRPr="00D94493" w14:paraId="09E111BF" w14:textId="77777777" w:rsidTr="00D94493">
        <w:trPr>
          <w:trHeight w:val="113"/>
        </w:trPr>
        <w:tc>
          <w:tcPr>
            <w:tcW w:w="3828" w:type="dxa"/>
            <w:tcBorders>
              <w:top w:val="nil"/>
              <w:left w:val="nil"/>
              <w:bottom w:val="nil"/>
              <w:right w:val="nil"/>
            </w:tcBorders>
            <w:shd w:val="clear" w:color="auto" w:fill="auto"/>
            <w:noWrap/>
            <w:vAlign w:val="bottom"/>
            <w:hideMark/>
          </w:tcPr>
          <w:p w14:paraId="5E49613C"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 z úhrad za uskladňovanie plynov alebo kvapalín</w:t>
            </w:r>
          </w:p>
        </w:tc>
        <w:tc>
          <w:tcPr>
            <w:tcW w:w="874" w:type="dxa"/>
            <w:tcBorders>
              <w:top w:val="nil"/>
              <w:left w:val="nil"/>
              <w:bottom w:val="nil"/>
              <w:right w:val="nil"/>
            </w:tcBorders>
            <w:shd w:val="clear" w:color="auto" w:fill="auto"/>
            <w:noWrap/>
            <w:vAlign w:val="center"/>
            <w:hideMark/>
          </w:tcPr>
          <w:p w14:paraId="4024348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324</w:t>
            </w:r>
          </w:p>
        </w:tc>
        <w:tc>
          <w:tcPr>
            <w:tcW w:w="874" w:type="dxa"/>
            <w:tcBorders>
              <w:top w:val="nil"/>
              <w:left w:val="nil"/>
              <w:bottom w:val="nil"/>
              <w:right w:val="nil"/>
            </w:tcBorders>
            <w:shd w:val="clear" w:color="auto" w:fill="auto"/>
            <w:noWrap/>
            <w:vAlign w:val="center"/>
            <w:hideMark/>
          </w:tcPr>
          <w:p w14:paraId="48010BC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1 619</w:t>
            </w:r>
          </w:p>
        </w:tc>
        <w:tc>
          <w:tcPr>
            <w:tcW w:w="874" w:type="dxa"/>
            <w:tcBorders>
              <w:top w:val="nil"/>
              <w:left w:val="nil"/>
              <w:bottom w:val="nil"/>
              <w:right w:val="nil"/>
            </w:tcBorders>
            <w:shd w:val="clear" w:color="auto" w:fill="auto"/>
            <w:noWrap/>
            <w:vAlign w:val="center"/>
            <w:hideMark/>
          </w:tcPr>
          <w:p w14:paraId="6B2E4D4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1 638</w:t>
            </w:r>
          </w:p>
        </w:tc>
        <w:tc>
          <w:tcPr>
            <w:tcW w:w="874" w:type="dxa"/>
            <w:tcBorders>
              <w:top w:val="nil"/>
              <w:left w:val="nil"/>
              <w:bottom w:val="nil"/>
              <w:right w:val="nil"/>
            </w:tcBorders>
            <w:shd w:val="clear" w:color="auto" w:fill="auto"/>
            <w:noWrap/>
            <w:vAlign w:val="center"/>
            <w:hideMark/>
          </w:tcPr>
          <w:p w14:paraId="6A57712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1 000</w:t>
            </w:r>
          </w:p>
        </w:tc>
        <w:tc>
          <w:tcPr>
            <w:tcW w:w="874" w:type="dxa"/>
            <w:tcBorders>
              <w:top w:val="nil"/>
              <w:left w:val="nil"/>
              <w:bottom w:val="nil"/>
              <w:right w:val="nil"/>
            </w:tcBorders>
            <w:shd w:val="clear" w:color="auto" w:fill="auto"/>
            <w:noWrap/>
            <w:vAlign w:val="center"/>
            <w:hideMark/>
          </w:tcPr>
          <w:p w14:paraId="379D201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1 000</w:t>
            </w:r>
          </w:p>
        </w:tc>
        <w:tc>
          <w:tcPr>
            <w:tcW w:w="874" w:type="dxa"/>
            <w:tcBorders>
              <w:top w:val="nil"/>
              <w:left w:val="nil"/>
              <w:bottom w:val="nil"/>
              <w:right w:val="nil"/>
            </w:tcBorders>
            <w:shd w:val="clear" w:color="auto" w:fill="auto"/>
            <w:noWrap/>
            <w:vAlign w:val="center"/>
            <w:hideMark/>
          </w:tcPr>
          <w:p w14:paraId="21E5D9C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1 000</w:t>
            </w:r>
          </w:p>
        </w:tc>
      </w:tr>
      <w:tr w:rsidR="00D94493" w:rsidRPr="00D94493" w14:paraId="405F209E" w14:textId="77777777" w:rsidTr="00D94493">
        <w:trPr>
          <w:trHeight w:val="113"/>
        </w:trPr>
        <w:tc>
          <w:tcPr>
            <w:tcW w:w="3828" w:type="dxa"/>
            <w:tcBorders>
              <w:top w:val="nil"/>
              <w:left w:val="nil"/>
              <w:bottom w:val="nil"/>
              <w:right w:val="nil"/>
            </w:tcBorders>
            <w:shd w:val="clear" w:color="auto" w:fill="auto"/>
            <w:noWrap/>
            <w:vAlign w:val="bottom"/>
            <w:hideMark/>
          </w:tcPr>
          <w:p w14:paraId="1A728D6D"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Poplatok za uloženie odpadov (príjem EF)</w:t>
            </w:r>
          </w:p>
        </w:tc>
        <w:tc>
          <w:tcPr>
            <w:tcW w:w="874" w:type="dxa"/>
            <w:tcBorders>
              <w:top w:val="nil"/>
              <w:left w:val="nil"/>
              <w:bottom w:val="nil"/>
              <w:right w:val="nil"/>
            </w:tcBorders>
            <w:shd w:val="clear" w:color="auto" w:fill="auto"/>
            <w:noWrap/>
            <w:vAlign w:val="center"/>
            <w:hideMark/>
          </w:tcPr>
          <w:p w14:paraId="37A85B8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31 625</w:t>
            </w:r>
          </w:p>
        </w:tc>
        <w:tc>
          <w:tcPr>
            <w:tcW w:w="874" w:type="dxa"/>
            <w:tcBorders>
              <w:top w:val="nil"/>
              <w:left w:val="nil"/>
              <w:bottom w:val="nil"/>
              <w:right w:val="nil"/>
            </w:tcBorders>
            <w:shd w:val="clear" w:color="auto" w:fill="auto"/>
            <w:noWrap/>
            <w:vAlign w:val="center"/>
            <w:hideMark/>
          </w:tcPr>
          <w:p w14:paraId="50CCF89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30 419</w:t>
            </w:r>
          </w:p>
        </w:tc>
        <w:tc>
          <w:tcPr>
            <w:tcW w:w="874" w:type="dxa"/>
            <w:tcBorders>
              <w:top w:val="nil"/>
              <w:left w:val="nil"/>
              <w:bottom w:val="nil"/>
              <w:right w:val="nil"/>
            </w:tcBorders>
            <w:shd w:val="clear" w:color="auto" w:fill="auto"/>
            <w:noWrap/>
            <w:vAlign w:val="center"/>
            <w:hideMark/>
          </w:tcPr>
          <w:p w14:paraId="626A179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30 007</w:t>
            </w:r>
          </w:p>
        </w:tc>
        <w:tc>
          <w:tcPr>
            <w:tcW w:w="874" w:type="dxa"/>
            <w:tcBorders>
              <w:top w:val="nil"/>
              <w:left w:val="nil"/>
              <w:bottom w:val="nil"/>
              <w:right w:val="nil"/>
            </w:tcBorders>
            <w:shd w:val="clear" w:color="auto" w:fill="auto"/>
            <w:noWrap/>
            <w:vAlign w:val="center"/>
            <w:hideMark/>
          </w:tcPr>
          <w:p w14:paraId="1B18E2E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30 870</w:t>
            </w:r>
          </w:p>
        </w:tc>
        <w:tc>
          <w:tcPr>
            <w:tcW w:w="874" w:type="dxa"/>
            <w:tcBorders>
              <w:top w:val="nil"/>
              <w:left w:val="nil"/>
              <w:bottom w:val="nil"/>
              <w:right w:val="nil"/>
            </w:tcBorders>
            <w:shd w:val="clear" w:color="auto" w:fill="auto"/>
            <w:noWrap/>
            <w:vAlign w:val="center"/>
            <w:hideMark/>
          </w:tcPr>
          <w:p w14:paraId="24C5EEA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16 716</w:t>
            </w:r>
          </w:p>
        </w:tc>
        <w:tc>
          <w:tcPr>
            <w:tcW w:w="874" w:type="dxa"/>
            <w:tcBorders>
              <w:top w:val="nil"/>
              <w:left w:val="nil"/>
              <w:bottom w:val="nil"/>
              <w:right w:val="nil"/>
            </w:tcBorders>
            <w:shd w:val="clear" w:color="auto" w:fill="auto"/>
            <w:noWrap/>
            <w:vAlign w:val="center"/>
            <w:hideMark/>
          </w:tcPr>
          <w:p w14:paraId="5861F0C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17 250</w:t>
            </w:r>
          </w:p>
        </w:tc>
      </w:tr>
      <w:tr w:rsidR="00D94493" w:rsidRPr="00D94493" w14:paraId="535F5588" w14:textId="77777777" w:rsidTr="00D94493">
        <w:trPr>
          <w:trHeight w:val="113"/>
        </w:trPr>
        <w:tc>
          <w:tcPr>
            <w:tcW w:w="3828" w:type="dxa"/>
            <w:tcBorders>
              <w:top w:val="nil"/>
              <w:left w:val="nil"/>
              <w:bottom w:val="nil"/>
              <w:right w:val="nil"/>
            </w:tcBorders>
            <w:shd w:val="clear" w:color="auto" w:fill="auto"/>
            <w:noWrap/>
            <w:vAlign w:val="bottom"/>
            <w:hideMark/>
          </w:tcPr>
          <w:p w14:paraId="1C731FD2"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Majetkové dane (do ŠR)</w:t>
            </w:r>
          </w:p>
        </w:tc>
        <w:tc>
          <w:tcPr>
            <w:tcW w:w="874" w:type="dxa"/>
            <w:tcBorders>
              <w:top w:val="nil"/>
              <w:left w:val="nil"/>
              <w:bottom w:val="nil"/>
              <w:right w:val="nil"/>
            </w:tcBorders>
            <w:shd w:val="clear" w:color="auto" w:fill="auto"/>
            <w:noWrap/>
            <w:vAlign w:val="center"/>
            <w:hideMark/>
          </w:tcPr>
          <w:p w14:paraId="07988DA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w:t>
            </w:r>
          </w:p>
        </w:tc>
        <w:tc>
          <w:tcPr>
            <w:tcW w:w="874" w:type="dxa"/>
            <w:tcBorders>
              <w:top w:val="nil"/>
              <w:left w:val="nil"/>
              <w:bottom w:val="nil"/>
              <w:right w:val="nil"/>
            </w:tcBorders>
            <w:shd w:val="clear" w:color="auto" w:fill="auto"/>
            <w:noWrap/>
            <w:vAlign w:val="center"/>
            <w:hideMark/>
          </w:tcPr>
          <w:p w14:paraId="027E719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w:t>
            </w:r>
          </w:p>
        </w:tc>
        <w:tc>
          <w:tcPr>
            <w:tcW w:w="874" w:type="dxa"/>
            <w:tcBorders>
              <w:top w:val="nil"/>
              <w:left w:val="nil"/>
              <w:bottom w:val="nil"/>
              <w:right w:val="nil"/>
            </w:tcBorders>
            <w:shd w:val="clear" w:color="auto" w:fill="auto"/>
            <w:noWrap/>
            <w:vAlign w:val="center"/>
            <w:hideMark/>
          </w:tcPr>
          <w:p w14:paraId="47D8A3B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7</w:t>
            </w:r>
          </w:p>
        </w:tc>
        <w:tc>
          <w:tcPr>
            <w:tcW w:w="874" w:type="dxa"/>
            <w:tcBorders>
              <w:top w:val="nil"/>
              <w:left w:val="nil"/>
              <w:bottom w:val="nil"/>
              <w:right w:val="nil"/>
            </w:tcBorders>
            <w:shd w:val="clear" w:color="auto" w:fill="auto"/>
            <w:noWrap/>
            <w:vAlign w:val="center"/>
            <w:hideMark/>
          </w:tcPr>
          <w:p w14:paraId="5D0D98F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6DB24BB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6C10963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2B48ABF5" w14:textId="77777777" w:rsidTr="00D94493">
        <w:trPr>
          <w:trHeight w:val="113"/>
        </w:trPr>
        <w:tc>
          <w:tcPr>
            <w:tcW w:w="3828" w:type="dxa"/>
            <w:tcBorders>
              <w:top w:val="nil"/>
              <w:left w:val="nil"/>
              <w:bottom w:val="nil"/>
              <w:right w:val="nil"/>
            </w:tcBorders>
            <w:shd w:val="clear" w:color="auto" w:fill="auto"/>
            <w:noWrap/>
            <w:vAlign w:val="bottom"/>
            <w:hideMark/>
          </w:tcPr>
          <w:p w14:paraId="0B611A00"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Iné dane</w:t>
            </w:r>
          </w:p>
        </w:tc>
        <w:tc>
          <w:tcPr>
            <w:tcW w:w="874" w:type="dxa"/>
            <w:tcBorders>
              <w:top w:val="nil"/>
              <w:left w:val="nil"/>
              <w:bottom w:val="nil"/>
              <w:right w:val="nil"/>
            </w:tcBorders>
            <w:shd w:val="clear" w:color="auto" w:fill="auto"/>
            <w:noWrap/>
            <w:vAlign w:val="center"/>
            <w:hideMark/>
          </w:tcPr>
          <w:p w14:paraId="272F327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111 108</w:t>
            </w:r>
          </w:p>
        </w:tc>
        <w:tc>
          <w:tcPr>
            <w:tcW w:w="874" w:type="dxa"/>
            <w:tcBorders>
              <w:top w:val="nil"/>
              <w:left w:val="nil"/>
              <w:bottom w:val="nil"/>
              <w:right w:val="nil"/>
            </w:tcBorders>
            <w:shd w:val="clear" w:color="auto" w:fill="auto"/>
            <w:noWrap/>
            <w:vAlign w:val="center"/>
            <w:hideMark/>
          </w:tcPr>
          <w:p w14:paraId="58AED49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120 913</w:t>
            </w:r>
          </w:p>
        </w:tc>
        <w:tc>
          <w:tcPr>
            <w:tcW w:w="874" w:type="dxa"/>
            <w:tcBorders>
              <w:top w:val="nil"/>
              <w:left w:val="nil"/>
              <w:bottom w:val="nil"/>
              <w:right w:val="nil"/>
            </w:tcBorders>
            <w:shd w:val="clear" w:color="auto" w:fill="auto"/>
            <w:noWrap/>
            <w:vAlign w:val="center"/>
            <w:hideMark/>
          </w:tcPr>
          <w:p w14:paraId="461F9AB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133 207</w:t>
            </w:r>
          </w:p>
        </w:tc>
        <w:tc>
          <w:tcPr>
            <w:tcW w:w="874" w:type="dxa"/>
            <w:tcBorders>
              <w:top w:val="nil"/>
              <w:left w:val="nil"/>
              <w:bottom w:val="nil"/>
              <w:right w:val="nil"/>
            </w:tcBorders>
            <w:shd w:val="clear" w:color="auto" w:fill="auto"/>
            <w:noWrap/>
            <w:vAlign w:val="center"/>
            <w:hideMark/>
          </w:tcPr>
          <w:p w14:paraId="45807A1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141 562</w:t>
            </w:r>
          </w:p>
        </w:tc>
        <w:tc>
          <w:tcPr>
            <w:tcW w:w="874" w:type="dxa"/>
            <w:tcBorders>
              <w:top w:val="nil"/>
              <w:left w:val="nil"/>
              <w:bottom w:val="nil"/>
              <w:right w:val="nil"/>
            </w:tcBorders>
            <w:shd w:val="clear" w:color="auto" w:fill="auto"/>
            <w:noWrap/>
            <w:vAlign w:val="center"/>
            <w:hideMark/>
          </w:tcPr>
          <w:p w14:paraId="6CD7882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151 199</w:t>
            </w:r>
          </w:p>
        </w:tc>
        <w:tc>
          <w:tcPr>
            <w:tcW w:w="874" w:type="dxa"/>
            <w:tcBorders>
              <w:top w:val="nil"/>
              <w:left w:val="nil"/>
              <w:bottom w:val="nil"/>
              <w:right w:val="nil"/>
            </w:tcBorders>
            <w:shd w:val="clear" w:color="auto" w:fill="auto"/>
            <w:noWrap/>
            <w:vAlign w:val="center"/>
            <w:hideMark/>
          </w:tcPr>
          <w:p w14:paraId="238E75C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159 567</w:t>
            </w:r>
          </w:p>
        </w:tc>
      </w:tr>
      <w:tr w:rsidR="00D94493" w:rsidRPr="00D94493" w14:paraId="25AD5B4C" w14:textId="77777777" w:rsidTr="00D94493">
        <w:trPr>
          <w:trHeight w:val="113"/>
        </w:trPr>
        <w:tc>
          <w:tcPr>
            <w:tcW w:w="3828" w:type="dxa"/>
            <w:tcBorders>
              <w:top w:val="nil"/>
              <w:left w:val="nil"/>
              <w:bottom w:val="nil"/>
              <w:right w:val="nil"/>
            </w:tcBorders>
            <w:shd w:val="clear" w:color="auto" w:fill="auto"/>
            <w:noWrap/>
            <w:vAlign w:val="bottom"/>
            <w:hideMark/>
          </w:tcPr>
          <w:p w14:paraId="1DF9A1FC" w14:textId="77777777" w:rsidR="00D94493" w:rsidRPr="00D94493" w:rsidRDefault="00D94493" w:rsidP="00D94493">
            <w:pPr>
              <w:spacing w:after="0" w:line="240" w:lineRule="auto"/>
              <w:ind w:firstLineChars="600" w:firstLine="84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do štátneho rozpočtu </w:t>
            </w:r>
          </w:p>
        </w:tc>
        <w:tc>
          <w:tcPr>
            <w:tcW w:w="874" w:type="dxa"/>
            <w:tcBorders>
              <w:top w:val="nil"/>
              <w:left w:val="nil"/>
              <w:bottom w:val="nil"/>
              <w:right w:val="nil"/>
            </w:tcBorders>
            <w:shd w:val="clear" w:color="auto" w:fill="auto"/>
            <w:noWrap/>
            <w:vAlign w:val="center"/>
            <w:hideMark/>
          </w:tcPr>
          <w:p w14:paraId="0CC7FB1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79 565</w:t>
            </w:r>
          </w:p>
        </w:tc>
        <w:tc>
          <w:tcPr>
            <w:tcW w:w="874" w:type="dxa"/>
            <w:tcBorders>
              <w:top w:val="nil"/>
              <w:left w:val="nil"/>
              <w:bottom w:val="nil"/>
              <w:right w:val="nil"/>
            </w:tcBorders>
            <w:shd w:val="clear" w:color="auto" w:fill="auto"/>
            <w:noWrap/>
            <w:vAlign w:val="center"/>
            <w:hideMark/>
          </w:tcPr>
          <w:p w14:paraId="6EF78FB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88 206</w:t>
            </w:r>
          </w:p>
        </w:tc>
        <w:tc>
          <w:tcPr>
            <w:tcW w:w="874" w:type="dxa"/>
            <w:tcBorders>
              <w:top w:val="nil"/>
              <w:left w:val="nil"/>
              <w:bottom w:val="nil"/>
              <w:right w:val="nil"/>
            </w:tcBorders>
            <w:shd w:val="clear" w:color="auto" w:fill="auto"/>
            <w:noWrap/>
            <w:vAlign w:val="center"/>
            <w:hideMark/>
          </w:tcPr>
          <w:p w14:paraId="2A50754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99 990</w:t>
            </w:r>
          </w:p>
        </w:tc>
        <w:tc>
          <w:tcPr>
            <w:tcW w:w="874" w:type="dxa"/>
            <w:tcBorders>
              <w:top w:val="nil"/>
              <w:left w:val="nil"/>
              <w:bottom w:val="nil"/>
              <w:right w:val="nil"/>
            </w:tcBorders>
            <w:shd w:val="clear" w:color="auto" w:fill="auto"/>
            <w:noWrap/>
            <w:vAlign w:val="center"/>
            <w:hideMark/>
          </w:tcPr>
          <w:p w14:paraId="6BB122D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106 971</w:t>
            </w:r>
          </w:p>
        </w:tc>
        <w:tc>
          <w:tcPr>
            <w:tcW w:w="874" w:type="dxa"/>
            <w:tcBorders>
              <w:top w:val="nil"/>
              <w:left w:val="nil"/>
              <w:bottom w:val="nil"/>
              <w:right w:val="nil"/>
            </w:tcBorders>
            <w:shd w:val="clear" w:color="auto" w:fill="auto"/>
            <w:noWrap/>
            <w:vAlign w:val="center"/>
            <w:hideMark/>
          </w:tcPr>
          <w:p w14:paraId="0592E62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114 652</w:t>
            </w:r>
          </w:p>
        </w:tc>
        <w:tc>
          <w:tcPr>
            <w:tcW w:w="874" w:type="dxa"/>
            <w:tcBorders>
              <w:top w:val="nil"/>
              <w:left w:val="nil"/>
              <w:bottom w:val="nil"/>
              <w:right w:val="nil"/>
            </w:tcBorders>
            <w:shd w:val="clear" w:color="auto" w:fill="auto"/>
            <w:noWrap/>
            <w:vAlign w:val="center"/>
            <w:hideMark/>
          </w:tcPr>
          <w:p w14:paraId="6F9441C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120 921</w:t>
            </w:r>
          </w:p>
        </w:tc>
      </w:tr>
      <w:tr w:rsidR="00D94493" w:rsidRPr="00D94493" w14:paraId="5C770226" w14:textId="77777777" w:rsidTr="00D94493">
        <w:trPr>
          <w:trHeight w:val="113"/>
        </w:trPr>
        <w:tc>
          <w:tcPr>
            <w:tcW w:w="3828" w:type="dxa"/>
            <w:tcBorders>
              <w:top w:val="nil"/>
              <w:left w:val="nil"/>
              <w:bottom w:val="nil"/>
              <w:right w:val="nil"/>
            </w:tcBorders>
            <w:shd w:val="clear" w:color="auto" w:fill="auto"/>
            <w:noWrap/>
            <w:vAlign w:val="bottom"/>
            <w:hideMark/>
          </w:tcPr>
          <w:p w14:paraId="069435F9" w14:textId="77777777" w:rsidR="00D94493" w:rsidRPr="00D94493" w:rsidRDefault="00D94493" w:rsidP="00D94493">
            <w:pPr>
              <w:spacing w:after="0" w:line="240" w:lineRule="auto"/>
              <w:ind w:firstLineChars="600" w:firstLine="84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do obcí </w:t>
            </w:r>
          </w:p>
        </w:tc>
        <w:tc>
          <w:tcPr>
            <w:tcW w:w="874" w:type="dxa"/>
            <w:tcBorders>
              <w:top w:val="nil"/>
              <w:left w:val="nil"/>
              <w:bottom w:val="nil"/>
              <w:right w:val="nil"/>
            </w:tcBorders>
            <w:shd w:val="clear" w:color="auto" w:fill="auto"/>
            <w:noWrap/>
            <w:vAlign w:val="center"/>
            <w:hideMark/>
          </w:tcPr>
          <w:p w14:paraId="7EE7503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423</w:t>
            </w:r>
          </w:p>
        </w:tc>
        <w:tc>
          <w:tcPr>
            <w:tcW w:w="874" w:type="dxa"/>
            <w:tcBorders>
              <w:top w:val="nil"/>
              <w:left w:val="nil"/>
              <w:bottom w:val="nil"/>
              <w:right w:val="nil"/>
            </w:tcBorders>
            <w:shd w:val="clear" w:color="auto" w:fill="auto"/>
            <w:noWrap/>
            <w:vAlign w:val="center"/>
            <w:hideMark/>
          </w:tcPr>
          <w:p w14:paraId="0AFE62F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526</w:t>
            </w:r>
          </w:p>
        </w:tc>
        <w:tc>
          <w:tcPr>
            <w:tcW w:w="874" w:type="dxa"/>
            <w:tcBorders>
              <w:top w:val="nil"/>
              <w:left w:val="nil"/>
              <w:bottom w:val="nil"/>
              <w:right w:val="nil"/>
            </w:tcBorders>
            <w:shd w:val="clear" w:color="auto" w:fill="auto"/>
            <w:noWrap/>
            <w:vAlign w:val="center"/>
            <w:hideMark/>
          </w:tcPr>
          <w:p w14:paraId="5C27951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758F7AC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1C65316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7126116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66E41653" w14:textId="77777777" w:rsidTr="00D94493">
        <w:trPr>
          <w:trHeight w:val="113"/>
        </w:trPr>
        <w:tc>
          <w:tcPr>
            <w:tcW w:w="3828" w:type="dxa"/>
            <w:tcBorders>
              <w:top w:val="nil"/>
              <w:left w:val="nil"/>
              <w:bottom w:val="nil"/>
              <w:right w:val="nil"/>
            </w:tcBorders>
            <w:shd w:val="clear" w:color="auto" w:fill="auto"/>
            <w:noWrap/>
            <w:vAlign w:val="bottom"/>
            <w:hideMark/>
          </w:tcPr>
          <w:p w14:paraId="5C9A4258" w14:textId="77777777" w:rsidR="00D94493" w:rsidRPr="00D94493" w:rsidRDefault="00D94493" w:rsidP="00D94493">
            <w:pPr>
              <w:spacing w:after="0" w:line="240" w:lineRule="auto"/>
              <w:ind w:firstLineChars="600" w:firstLine="84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do VÚC </w:t>
            </w:r>
          </w:p>
        </w:tc>
        <w:tc>
          <w:tcPr>
            <w:tcW w:w="874" w:type="dxa"/>
            <w:tcBorders>
              <w:top w:val="nil"/>
              <w:left w:val="nil"/>
              <w:bottom w:val="nil"/>
              <w:right w:val="nil"/>
            </w:tcBorders>
            <w:shd w:val="clear" w:color="auto" w:fill="auto"/>
            <w:noWrap/>
            <w:vAlign w:val="center"/>
            <w:hideMark/>
          </w:tcPr>
          <w:p w14:paraId="24F0224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2B60D93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3D7AB6E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27C7892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2CE61AE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12A1DE9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11916118" w14:textId="77777777" w:rsidTr="00D94493">
        <w:trPr>
          <w:trHeight w:val="113"/>
        </w:trPr>
        <w:tc>
          <w:tcPr>
            <w:tcW w:w="3828" w:type="dxa"/>
            <w:tcBorders>
              <w:top w:val="nil"/>
              <w:left w:val="nil"/>
              <w:bottom w:val="nil"/>
              <w:right w:val="nil"/>
            </w:tcBorders>
            <w:shd w:val="clear" w:color="auto" w:fill="auto"/>
            <w:noWrap/>
            <w:vAlign w:val="bottom"/>
            <w:hideMark/>
          </w:tcPr>
          <w:p w14:paraId="57394A17" w14:textId="77777777" w:rsidR="00D94493" w:rsidRPr="00D94493" w:rsidRDefault="00D94493" w:rsidP="00D94493">
            <w:pPr>
              <w:spacing w:after="0" w:line="240" w:lineRule="auto"/>
              <w:ind w:firstLineChars="600" w:firstLine="84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na samostatný účet</w:t>
            </w:r>
          </w:p>
        </w:tc>
        <w:tc>
          <w:tcPr>
            <w:tcW w:w="874" w:type="dxa"/>
            <w:tcBorders>
              <w:top w:val="nil"/>
              <w:left w:val="nil"/>
              <w:bottom w:val="nil"/>
              <w:right w:val="nil"/>
            </w:tcBorders>
            <w:shd w:val="clear" w:color="auto" w:fill="auto"/>
            <w:noWrap/>
            <w:vAlign w:val="center"/>
            <w:hideMark/>
          </w:tcPr>
          <w:p w14:paraId="4BDC295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31 120</w:t>
            </w:r>
          </w:p>
        </w:tc>
        <w:tc>
          <w:tcPr>
            <w:tcW w:w="874" w:type="dxa"/>
            <w:tcBorders>
              <w:top w:val="nil"/>
              <w:left w:val="nil"/>
              <w:bottom w:val="nil"/>
              <w:right w:val="nil"/>
            </w:tcBorders>
            <w:shd w:val="clear" w:color="auto" w:fill="auto"/>
            <w:noWrap/>
            <w:vAlign w:val="center"/>
            <w:hideMark/>
          </w:tcPr>
          <w:p w14:paraId="582A2E3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32 180</w:t>
            </w:r>
          </w:p>
        </w:tc>
        <w:tc>
          <w:tcPr>
            <w:tcW w:w="874" w:type="dxa"/>
            <w:tcBorders>
              <w:top w:val="nil"/>
              <w:left w:val="nil"/>
              <w:bottom w:val="nil"/>
              <w:right w:val="nil"/>
            </w:tcBorders>
            <w:shd w:val="clear" w:color="auto" w:fill="auto"/>
            <w:noWrap/>
            <w:vAlign w:val="center"/>
            <w:hideMark/>
          </w:tcPr>
          <w:p w14:paraId="653CD93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33 217</w:t>
            </w:r>
          </w:p>
        </w:tc>
        <w:tc>
          <w:tcPr>
            <w:tcW w:w="874" w:type="dxa"/>
            <w:tcBorders>
              <w:top w:val="nil"/>
              <w:left w:val="nil"/>
              <w:bottom w:val="nil"/>
              <w:right w:val="nil"/>
            </w:tcBorders>
            <w:shd w:val="clear" w:color="auto" w:fill="auto"/>
            <w:noWrap/>
            <w:vAlign w:val="center"/>
            <w:hideMark/>
          </w:tcPr>
          <w:p w14:paraId="6A66D56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34 591</w:t>
            </w:r>
          </w:p>
        </w:tc>
        <w:tc>
          <w:tcPr>
            <w:tcW w:w="874" w:type="dxa"/>
            <w:tcBorders>
              <w:top w:val="nil"/>
              <w:left w:val="nil"/>
              <w:bottom w:val="nil"/>
              <w:right w:val="nil"/>
            </w:tcBorders>
            <w:shd w:val="clear" w:color="auto" w:fill="auto"/>
            <w:noWrap/>
            <w:vAlign w:val="center"/>
            <w:hideMark/>
          </w:tcPr>
          <w:p w14:paraId="0615748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36 547</w:t>
            </w:r>
          </w:p>
        </w:tc>
        <w:tc>
          <w:tcPr>
            <w:tcW w:w="874" w:type="dxa"/>
            <w:tcBorders>
              <w:top w:val="nil"/>
              <w:left w:val="nil"/>
              <w:bottom w:val="nil"/>
              <w:right w:val="nil"/>
            </w:tcBorders>
            <w:shd w:val="clear" w:color="auto" w:fill="auto"/>
            <w:noWrap/>
            <w:vAlign w:val="center"/>
            <w:hideMark/>
          </w:tcPr>
          <w:p w14:paraId="0024746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38 646</w:t>
            </w:r>
          </w:p>
        </w:tc>
      </w:tr>
      <w:tr w:rsidR="00D94493" w:rsidRPr="00D94493" w14:paraId="58F59FF6" w14:textId="77777777" w:rsidTr="00D94493">
        <w:trPr>
          <w:trHeight w:val="113"/>
        </w:trPr>
        <w:tc>
          <w:tcPr>
            <w:tcW w:w="3828" w:type="dxa"/>
            <w:tcBorders>
              <w:top w:val="nil"/>
              <w:left w:val="nil"/>
              <w:bottom w:val="nil"/>
              <w:right w:val="nil"/>
            </w:tcBorders>
            <w:shd w:val="clear" w:color="auto" w:fill="auto"/>
            <w:noWrap/>
            <w:vAlign w:val="bottom"/>
            <w:hideMark/>
          </w:tcPr>
          <w:p w14:paraId="11467D83"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cestná daň - dobeh</w:t>
            </w:r>
          </w:p>
        </w:tc>
        <w:tc>
          <w:tcPr>
            <w:tcW w:w="874" w:type="dxa"/>
            <w:tcBorders>
              <w:top w:val="nil"/>
              <w:left w:val="nil"/>
              <w:bottom w:val="nil"/>
              <w:right w:val="nil"/>
            </w:tcBorders>
            <w:shd w:val="clear" w:color="auto" w:fill="auto"/>
            <w:noWrap/>
            <w:vAlign w:val="center"/>
            <w:hideMark/>
          </w:tcPr>
          <w:p w14:paraId="5849B76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w:t>
            </w:r>
          </w:p>
        </w:tc>
        <w:tc>
          <w:tcPr>
            <w:tcW w:w="874" w:type="dxa"/>
            <w:tcBorders>
              <w:top w:val="nil"/>
              <w:left w:val="nil"/>
              <w:bottom w:val="nil"/>
              <w:right w:val="nil"/>
            </w:tcBorders>
            <w:shd w:val="clear" w:color="auto" w:fill="auto"/>
            <w:noWrap/>
            <w:vAlign w:val="center"/>
            <w:hideMark/>
          </w:tcPr>
          <w:p w14:paraId="1F0CD76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4AAFEA8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59C3FBC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4E9FD65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64EFA76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2DCE8123" w14:textId="77777777" w:rsidTr="00D94493">
        <w:trPr>
          <w:trHeight w:val="113"/>
        </w:trPr>
        <w:tc>
          <w:tcPr>
            <w:tcW w:w="3828" w:type="dxa"/>
            <w:tcBorders>
              <w:top w:val="nil"/>
              <w:left w:val="nil"/>
              <w:bottom w:val="nil"/>
              <w:right w:val="nil"/>
            </w:tcBorders>
            <w:shd w:val="clear" w:color="auto" w:fill="auto"/>
            <w:noWrap/>
            <w:vAlign w:val="bottom"/>
            <w:hideMark/>
          </w:tcPr>
          <w:p w14:paraId="62068B23"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odvod z poistenia</w:t>
            </w:r>
          </w:p>
        </w:tc>
        <w:tc>
          <w:tcPr>
            <w:tcW w:w="874" w:type="dxa"/>
            <w:tcBorders>
              <w:top w:val="nil"/>
              <w:left w:val="nil"/>
              <w:bottom w:val="nil"/>
              <w:right w:val="nil"/>
            </w:tcBorders>
            <w:shd w:val="clear" w:color="auto" w:fill="auto"/>
            <w:noWrap/>
            <w:vAlign w:val="center"/>
            <w:hideMark/>
          </w:tcPr>
          <w:p w14:paraId="3014B7B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574</w:t>
            </w:r>
          </w:p>
        </w:tc>
        <w:tc>
          <w:tcPr>
            <w:tcW w:w="874" w:type="dxa"/>
            <w:tcBorders>
              <w:top w:val="nil"/>
              <w:left w:val="nil"/>
              <w:bottom w:val="nil"/>
              <w:right w:val="nil"/>
            </w:tcBorders>
            <w:shd w:val="clear" w:color="auto" w:fill="auto"/>
            <w:noWrap/>
            <w:vAlign w:val="center"/>
            <w:hideMark/>
          </w:tcPr>
          <w:p w14:paraId="25D81CC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-25</w:t>
            </w:r>
          </w:p>
        </w:tc>
        <w:tc>
          <w:tcPr>
            <w:tcW w:w="874" w:type="dxa"/>
            <w:tcBorders>
              <w:top w:val="nil"/>
              <w:left w:val="nil"/>
              <w:bottom w:val="nil"/>
              <w:right w:val="nil"/>
            </w:tcBorders>
            <w:shd w:val="clear" w:color="auto" w:fill="auto"/>
            <w:noWrap/>
            <w:vAlign w:val="center"/>
            <w:hideMark/>
          </w:tcPr>
          <w:p w14:paraId="6ED4D47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754</w:t>
            </w:r>
          </w:p>
        </w:tc>
        <w:tc>
          <w:tcPr>
            <w:tcW w:w="874" w:type="dxa"/>
            <w:tcBorders>
              <w:top w:val="nil"/>
              <w:left w:val="nil"/>
              <w:bottom w:val="nil"/>
              <w:right w:val="nil"/>
            </w:tcBorders>
            <w:shd w:val="clear" w:color="auto" w:fill="auto"/>
            <w:noWrap/>
            <w:vAlign w:val="center"/>
            <w:hideMark/>
          </w:tcPr>
          <w:p w14:paraId="75E7885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4E67150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639D8A4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754E8197" w14:textId="77777777" w:rsidTr="00D94493">
        <w:trPr>
          <w:trHeight w:val="113"/>
        </w:trPr>
        <w:tc>
          <w:tcPr>
            <w:tcW w:w="3828" w:type="dxa"/>
            <w:tcBorders>
              <w:top w:val="nil"/>
              <w:left w:val="nil"/>
              <w:bottom w:val="nil"/>
              <w:right w:val="nil"/>
            </w:tcBorders>
            <w:shd w:val="clear" w:color="auto" w:fill="auto"/>
            <w:noWrap/>
            <w:vAlign w:val="bottom"/>
            <w:hideMark/>
          </w:tcPr>
          <w:p w14:paraId="663CF028"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 z poistenia</w:t>
            </w:r>
          </w:p>
        </w:tc>
        <w:tc>
          <w:tcPr>
            <w:tcW w:w="874" w:type="dxa"/>
            <w:tcBorders>
              <w:top w:val="nil"/>
              <w:left w:val="nil"/>
              <w:bottom w:val="nil"/>
              <w:right w:val="nil"/>
            </w:tcBorders>
            <w:shd w:val="clear" w:color="auto" w:fill="auto"/>
            <w:noWrap/>
            <w:vAlign w:val="center"/>
            <w:hideMark/>
          </w:tcPr>
          <w:p w14:paraId="4AD6239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78 991</w:t>
            </w:r>
          </w:p>
        </w:tc>
        <w:tc>
          <w:tcPr>
            <w:tcW w:w="874" w:type="dxa"/>
            <w:tcBorders>
              <w:top w:val="nil"/>
              <w:left w:val="nil"/>
              <w:bottom w:val="nil"/>
              <w:right w:val="nil"/>
            </w:tcBorders>
            <w:shd w:val="clear" w:color="auto" w:fill="auto"/>
            <w:noWrap/>
            <w:vAlign w:val="center"/>
            <w:hideMark/>
          </w:tcPr>
          <w:p w14:paraId="141F673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88 230</w:t>
            </w:r>
          </w:p>
        </w:tc>
        <w:tc>
          <w:tcPr>
            <w:tcW w:w="874" w:type="dxa"/>
            <w:tcBorders>
              <w:top w:val="nil"/>
              <w:left w:val="nil"/>
              <w:bottom w:val="nil"/>
              <w:right w:val="nil"/>
            </w:tcBorders>
            <w:shd w:val="clear" w:color="auto" w:fill="auto"/>
            <w:noWrap/>
            <w:vAlign w:val="center"/>
            <w:hideMark/>
          </w:tcPr>
          <w:p w14:paraId="13C868C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99 236</w:t>
            </w:r>
          </w:p>
        </w:tc>
        <w:tc>
          <w:tcPr>
            <w:tcW w:w="874" w:type="dxa"/>
            <w:tcBorders>
              <w:top w:val="nil"/>
              <w:left w:val="nil"/>
              <w:bottom w:val="nil"/>
              <w:right w:val="nil"/>
            </w:tcBorders>
            <w:shd w:val="clear" w:color="auto" w:fill="auto"/>
            <w:noWrap/>
            <w:vAlign w:val="center"/>
            <w:hideMark/>
          </w:tcPr>
          <w:p w14:paraId="0A68571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106 971</w:t>
            </w:r>
          </w:p>
        </w:tc>
        <w:tc>
          <w:tcPr>
            <w:tcW w:w="874" w:type="dxa"/>
            <w:tcBorders>
              <w:top w:val="nil"/>
              <w:left w:val="nil"/>
              <w:bottom w:val="nil"/>
              <w:right w:val="nil"/>
            </w:tcBorders>
            <w:shd w:val="clear" w:color="auto" w:fill="auto"/>
            <w:noWrap/>
            <w:vAlign w:val="center"/>
            <w:hideMark/>
          </w:tcPr>
          <w:p w14:paraId="5FE0C03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114 652</w:t>
            </w:r>
          </w:p>
        </w:tc>
        <w:tc>
          <w:tcPr>
            <w:tcW w:w="874" w:type="dxa"/>
            <w:tcBorders>
              <w:top w:val="nil"/>
              <w:left w:val="nil"/>
              <w:bottom w:val="nil"/>
              <w:right w:val="nil"/>
            </w:tcBorders>
            <w:shd w:val="clear" w:color="auto" w:fill="auto"/>
            <w:noWrap/>
            <w:vAlign w:val="center"/>
            <w:hideMark/>
          </w:tcPr>
          <w:p w14:paraId="4C3A57F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120 921</w:t>
            </w:r>
          </w:p>
        </w:tc>
      </w:tr>
      <w:tr w:rsidR="00D94493" w:rsidRPr="00D94493" w14:paraId="4424D386" w14:textId="77777777" w:rsidTr="00D94493">
        <w:trPr>
          <w:trHeight w:val="113"/>
        </w:trPr>
        <w:tc>
          <w:tcPr>
            <w:tcW w:w="3828" w:type="dxa"/>
            <w:tcBorders>
              <w:top w:val="nil"/>
              <w:left w:val="nil"/>
              <w:bottom w:val="nil"/>
              <w:right w:val="nil"/>
            </w:tcBorders>
            <w:shd w:val="clear" w:color="auto" w:fill="auto"/>
            <w:noWrap/>
            <w:vAlign w:val="bottom"/>
            <w:hideMark/>
          </w:tcPr>
          <w:p w14:paraId="5FCE6149"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odvod z PZP</w:t>
            </w:r>
          </w:p>
        </w:tc>
        <w:tc>
          <w:tcPr>
            <w:tcW w:w="874" w:type="dxa"/>
            <w:tcBorders>
              <w:top w:val="nil"/>
              <w:left w:val="nil"/>
              <w:bottom w:val="nil"/>
              <w:right w:val="nil"/>
            </w:tcBorders>
            <w:shd w:val="clear" w:color="auto" w:fill="auto"/>
            <w:noWrap/>
            <w:vAlign w:val="center"/>
            <w:hideMark/>
          </w:tcPr>
          <w:p w14:paraId="0B7708D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31 120</w:t>
            </w:r>
          </w:p>
        </w:tc>
        <w:tc>
          <w:tcPr>
            <w:tcW w:w="874" w:type="dxa"/>
            <w:tcBorders>
              <w:top w:val="nil"/>
              <w:left w:val="nil"/>
              <w:bottom w:val="nil"/>
              <w:right w:val="nil"/>
            </w:tcBorders>
            <w:shd w:val="clear" w:color="auto" w:fill="auto"/>
            <w:noWrap/>
            <w:vAlign w:val="center"/>
            <w:hideMark/>
          </w:tcPr>
          <w:p w14:paraId="709BA38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32 180</w:t>
            </w:r>
          </w:p>
        </w:tc>
        <w:tc>
          <w:tcPr>
            <w:tcW w:w="874" w:type="dxa"/>
            <w:tcBorders>
              <w:top w:val="nil"/>
              <w:left w:val="nil"/>
              <w:bottom w:val="nil"/>
              <w:right w:val="nil"/>
            </w:tcBorders>
            <w:shd w:val="clear" w:color="auto" w:fill="auto"/>
            <w:noWrap/>
            <w:vAlign w:val="center"/>
            <w:hideMark/>
          </w:tcPr>
          <w:p w14:paraId="1DDC85E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33 217</w:t>
            </w:r>
          </w:p>
        </w:tc>
        <w:tc>
          <w:tcPr>
            <w:tcW w:w="874" w:type="dxa"/>
            <w:tcBorders>
              <w:top w:val="nil"/>
              <w:left w:val="nil"/>
              <w:bottom w:val="nil"/>
              <w:right w:val="nil"/>
            </w:tcBorders>
            <w:shd w:val="clear" w:color="auto" w:fill="auto"/>
            <w:noWrap/>
            <w:vAlign w:val="center"/>
            <w:hideMark/>
          </w:tcPr>
          <w:p w14:paraId="300A848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34 591</w:t>
            </w:r>
          </w:p>
        </w:tc>
        <w:tc>
          <w:tcPr>
            <w:tcW w:w="874" w:type="dxa"/>
            <w:tcBorders>
              <w:top w:val="nil"/>
              <w:left w:val="nil"/>
              <w:bottom w:val="nil"/>
              <w:right w:val="nil"/>
            </w:tcBorders>
            <w:shd w:val="clear" w:color="auto" w:fill="auto"/>
            <w:noWrap/>
            <w:vAlign w:val="center"/>
            <w:hideMark/>
          </w:tcPr>
          <w:p w14:paraId="1E8B080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36 547</w:t>
            </w:r>
          </w:p>
        </w:tc>
        <w:tc>
          <w:tcPr>
            <w:tcW w:w="874" w:type="dxa"/>
            <w:tcBorders>
              <w:top w:val="nil"/>
              <w:left w:val="nil"/>
              <w:bottom w:val="nil"/>
              <w:right w:val="nil"/>
            </w:tcBorders>
            <w:shd w:val="clear" w:color="auto" w:fill="auto"/>
            <w:noWrap/>
            <w:vAlign w:val="center"/>
            <w:hideMark/>
          </w:tcPr>
          <w:p w14:paraId="56C0F93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38 646</w:t>
            </w:r>
          </w:p>
        </w:tc>
      </w:tr>
      <w:tr w:rsidR="00D94493" w:rsidRPr="00D94493" w14:paraId="08B479D6" w14:textId="77777777" w:rsidTr="00D94493">
        <w:trPr>
          <w:trHeight w:val="113"/>
        </w:trPr>
        <w:tc>
          <w:tcPr>
            <w:tcW w:w="3828" w:type="dxa"/>
            <w:tcBorders>
              <w:top w:val="nil"/>
              <w:left w:val="nil"/>
              <w:bottom w:val="nil"/>
              <w:right w:val="nil"/>
            </w:tcBorders>
            <w:shd w:val="clear" w:color="auto" w:fill="auto"/>
            <w:noWrap/>
            <w:vAlign w:val="bottom"/>
            <w:hideMark/>
          </w:tcPr>
          <w:p w14:paraId="53D385C8" w14:textId="77777777" w:rsidR="00D94493" w:rsidRPr="00D94493" w:rsidRDefault="00D94493" w:rsidP="00D94493">
            <w:pPr>
              <w:spacing w:after="0" w:line="240" w:lineRule="auto"/>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Fondy sociálneho a zdravotného poistenia (FSZP)</w:t>
            </w:r>
          </w:p>
        </w:tc>
        <w:tc>
          <w:tcPr>
            <w:tcW w:w="874" w:type="dxa"/>
            <w:tcBorders>
              <w:top w:val="nil"/>
              <w:left w:val="nil"/>
              <w:bottom w:val="nil"/>
              <w:right w:val="nil"/>
            </w:tcBorders>
            <w:shd w:val="clear" w:color="auto" w:fill="auto"/>
            <w:noWrap/>
            <w:vAlign w:val="center"/>
            <w:hideMark/>
          </w:tcPr>
          <w:p w14:paraId="74C03C25"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12 948 779</w:t>
            </w:r>
          </w:p>
        </w:tc>
        <w:tc>
          <w:tcPr>
            <w:tcW w:w="874" w:type="dxa"/>
            <w:tcBorders>
              <w:top w:val="nil"/>
              <w:left w:val="nil"/>
              <w:bottom w:val="nil"/>
              <w:right w:val="nil"/>
            </w:tcBorders>
            <w:shd w:val="clear" w:color="auto" w:fill="auto"/>
            <w:noWrap/>
            <w:vAlign w:val="center"/>
            <w:hideMark/>
          </w:tcPr>
          <w:p w14:paraId="0DD04644"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14 197 310</w:t>
            </w:r>
          </w:p>
        </w:tc>
        <w:tc>
          <w:tcPr>
            <w:tcW w:w="874" w:type="dxa"/>
            <w:tcBorders>
              <w:top w:val="nil"/>
              <w:left w:val="nil"/>
              <w:bottom w:val="nil"/>
              <w:right w:val="nil"/>
            </w:tcBorders>
            <w:shd w:val="clear" w:color="auto" w:fill="auto"/>
            <w:noWrap/>
            <w:vAlign w:val="center"/>
            <w:hideMark/>
          </w:tcPr>
          <w:p w14:paraId="0A2444B2"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15 253 756</w:t>
            </w:r>
          </w:p>
        </w:tc>
        <w:tc>
          <w:tcPr>
            <w:tcW w:w="874" w:type="dxa"/>
            <w:tcBorders>
              <w:top w:val="nil"/>
              <w:left w:val="nil"/>
              <w:bottom w:val="nil"/>
              <w:right w:val="nil"/>
            </w:tcBorders>
            <w:shd w:val="clear" w:color="auto" w:fill="auto"/>
            <w:noWrap/>
            <w:vAlign w:val="center"/>
            <w:hideMark/>
          </w:tcPr>
          <w:p w14:paraId="2C6C17AA"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17 198 654</w:t>
            </w:r>
          </w:p>
        </w:tc>
        <w:tc>
          <w:tcPr>
            <w:tcW w:w="874" w:type="dxa"/>
            <w:tcBorders>
              <w:top w:val="nil"/>
              <w:left w:val="nil"/>
              <w:bottom w:val="nil"/>
              <w:right w:val="nil"/>
            </w:tcBorders>
            <w:shd w:val="clear" w:color="auto" w:fill="auto"/>
            <w:noWrap/>
            <w:vAlign w:val="center"/>
            <w:hideMark/>
          </w:tcPr>
          <w:p w14:paraId="49D494AC"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18 164 605</w:t>
            </w:r>
          </w:p>
        </w:tc>
        <w:tc>
          <w:tcPr>
            <w:tcW w:w="874" w:type="dxa"/>
            <w:tcBorders>
              <w:top w:val="nil"/>
              <w:left w:val="nil"/>
              <w:bottom w:val="nil"/>
              <w:right w:val="nil"/>
            </w:tcBorders>
            <w:shd w:val="clear" w:color="auto" w:fill="auto"/>
            <w:noWrap/>
            <w:vAlign w:val="center"/>
            <w:hideMark/>
          </w:tcPr>
          <w:p w14:paraId="7B5861FF"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18 951 321</w:t>
            </w:r>
          </w:p>
        </w:tc>
      </w:tr>
      <w:tr w:rsidR="00D94493" w:rsidRPr="00D94493" w14:paraId="3D1AEDCA" w14:textId="77777777" w:rsidTr="00D94493">
        <w:trPr>
          <w:trHeight w:val="113"/>
        </w:trPr>
        <w:tc>
          <w:tcPr>
            <w:tcW w:w="3828" w:type="dxa"/>
            <w:tcBorders>
              <w:top w:val="nil"/>
              <w:left w:val="nil"/>
              <w:bottom w:val="nil"/>
              <w:right w:val="nil"/>
            </w:tcBorders>
            <w:shd w:val="clear" w:color="auto" w:fill="auto"/>
            <w:noWrap/>
            <w:vAlign w:val="bottom"/>
            <w:hideMark/>
          </w:tcPr>
          <w:p w14:paraId="0EB2C682" w14:textId="77777777" w:rsidR="00D94493" w:rsidRPr="00D94493" w:rsidRDefault="00D94493" w:rsidP="00D94493">
            <w:pPr>
              <w:spacing w:after="0" w:line="240" w:lineRule="auto"/>
              <w:ind w:firstLineChars="200" w:firstLine="280"/>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Sociálna poisťovňa</w:t>
            </w:r>
          </w:p>
        </w:tc>
        <w:tc>
          <w:tcPr>
            <w:tcW w:w="874" w:type="dxa"/>
            <w:tcBorders>
              <w:top w:val="nil"/>
              <w:left w:val="nil"/>
              <w:bottom w:val="nil"/>
              <w:right w:val="nil"/>
            </w:tcBorders>
            <w:shd w:val="clear" w:color="auto" w:fill="auto"/>
            <w:noWrap/>
            <w:vAlign w:val="center"/>
            <w:hideMark/>
          </w:tcPr>
          <w:p w14:paraId="7B7632CE"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8 614 843</w:t>
            </w:r>
          </w:p>
        </w:tc>
        <w:tc>
          <w:tcPr>
            <w:tcW w:w="874" w:type="dxa"/>
            <w:tcBorders>
              <w:top w:val="nil"/>
              <w:left w:val="nil"/>
              <w:bottom w:val="nil"/>
              <w:right w:val="nil"/>
            </w:tcBorders>
            <w:shd w:val="clear" w:color="auto" w:fill="auto"/>
            <w:noWrap/>
            <w:vAlign w:val="center"/>
            <w:hideMark/>
          </w:tcPr>
          <w:p w14:paraId="0087F0EA"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9 509 246</w:t>
            </w:r>
          </w:p>
        </w:tc>
        <w:tc>
          <w:tcPr>
            <w:tcW w:w="874" w:type="dxa"/>
            <w:tcBorders>
              <w:top w:val="nil"/>
              <w:left w:val="nil"/>
              <w:bottom w:val="nil"/>
              <w:right w:val="nil"/>
            </w:tcBorders>
            <w:shd w:val="clear" w:color="auto" w:fill="auto"/>
            <w:noWrap/>
            <w:vAlign w:val="center"/>
            <w:hideMark/>
          </w:tcPr>
          <w:p w14:paraId="7A320005"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10 115 786</w:t>
            </w:r>
          </w:p>
        </w:tc>
        <w:tc>
          <w:tcPr>
            <w:tcW w:w="874" w:type="dxa"/>
            <w:tcBorders>
              <w:top w:val="nil"/>
              <w:left w:val="nil"/>
              <w:bottom w:val="nil"/>
              <w:right w:val="nil"/>
            </w:tcBorders>
            <w:shd w:val="clear" w:color="auto" w:fill="auto"/>
            <w:noWrap/>
            <w:vAlign w:val="center"/>
            <w:hideMark/>
          </w:tcPr>
          <w:p w14:paraId="6B37B6CD"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11 255 179</w:t>
            </w:r>
          </w:p>
        </w:tc>
        <w:tc>
          <w:tcPr>
            <w:tcW w:w="874" w:type="dxa"/>
            <w:tcBorders>
              <w:top w:val="nil"/>
              <w:left w:val="nil"/>
              <w:bottom w:val="nil"/>
              <w:right w:val="nil"/>
            </w:tcBorders>
            <w:shd w:val="clear" w:color="auto" w:fill="auto"/>
            <w:noWrap/>
            <w:vAlign w:val="center"/>
            <w:hideMark/>
          </w:tcPr>
          <w:p w14:paraId="536CCCEF"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11 874 017</w:t>
            </w:r>
          </w:p>
        </w:tc>
        <w:tc>
          <w:tcPr>
            <w:tcW w:w="874" w:type="dxa"/>
            <w:tcBorders>
              <w:top w:val="nil"/>
              <w:left w:val="nil"/>
              <w:bottom w:val="nil"/>
              <w:right w:val="nil"/>
            </w:tcBorders>
            <w:shd w:val="clear" w:color="auto" w:fill="auto"/>
            <w:noWrap/>
            <w:vAlign w:val="center"/>
            <w:hideMark/>
          </w:tcPr>
          <w:p w14:paraId="0FFECD69"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12 370 143</w:t>
            </w:r>
          </w:p>
        </w:tc>
      </w:tr>
      <w:tr w:rsidR="00D94493" w:rsidRPr="00D94493" w14:paraId="2FD4925D" w14:textId="77777777" w:rsidTr="00D94493">
        <w:trPr>
          <w:trHeight w:val="113"/>
        </w:trPr>
        <w:tc>
          <w:tcPr>
            <w:tcW w:w="3828" w:type="dxa"/>
            <w:tcBorders>
              <w:top w:val="nil"/>
              <w:left w:val="nil"/>
              <w:bottom w:val="nil"/>
              <w:right w:val="nil"/>
            </w:tcBorders>
            <w:shd w:val="clear" w:color="auto" w:fill="auto"/>
            <w:noWrap/>
            <w:vAlign w:val="bottom"/>
            <w:hideMark/>
          </w:tcPr>
          <w:p w14:paraId="4D214482"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Ekonomicky aktívne obyvateľstvo + dlžné</w:t>
            </w:r>
          </w:p>
        </w:tc>
        <w:tc>
          <w:tcPr>
            <w:tcW w:w="874" w:type="dxa"/>
            <w:tcBorders>
              <w:top w:val="nil"/>
              <w:left w:val="nil"/>
              <w:bottom w:val="nil"/>
              <w:right w:val="nil"/>
            </w:tcBorders>
            <w:shd w:val="clear" w:color="auto" w:fill="auto"/>
            <w:noWrap/>
            <w:vAlign w:val="center"/>
            <w:hideMark/>
          </w:tcPr>
          <w:p w14:paraId="104E1F2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8 614 843</w:t>
            </w:r>
          </w:p>
        </w:tc>
        <w:tc>
          <w:tcPr>
            <w:tcW w:w="874" w:type="dxa"/>
            <w:tcBorders>
              <w:top w:val="nil"/>
              <w:left w:val="nil"/>
              <w:bottom w:val="nil"/>
              <w:right w:val="nil"/>
            </w:tcBorders>
            <w:shd w:val="clear" w:color="auto" w:fill="auto"/>
            <w:noWrap/>
            <w:vAlign w:val="center"/>
            <w:hideMark/>
          </w:tcPr>
          <w:p w14:paraId="200E9CB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9 509 246</w:t>
            </w:r>
          </w:p>
        </w:tc>
        <w:tc>
          <w:tcPr>
            <w:tcW w:w="874" w:type="dxa"/>
            <w:tcBorders>
              <w:top w:val="nil"/>
              <w:left w:val="nil"/>
              <w:bottom w:val="nil"/>
              <w:right w:val="nil"/>
            </w:tcBorders>
            <w:shd w:val="clear" w:color="auto" w:fill="auto"/>
            <w:noWrap/>
            <w:vAlign w:val="center"/>
            <w:hideMark/>
          </w:tcPr>
          <w:p w14:paraId="6B9E3DF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10 115 786</w:t>
            </w:r>
          </w:p>
        </w:tc>
        <w:tc>
          <w:tcPr>
            <w:tcW w:w="874" w:type="dxa"/>
            <w:tcBorders>
              <w:top w:val="nil"/>
              <w:left w:val="nil"/>
              <w:bottom w:val="nil"/>
              <w:right w:val="nil"/>
            </w:tcBorders>
            <w:shd w:val="clear" w:color="auto" w:fill="auto"/>
            <w:noWrap/>
            <w:vAlign w:val="center"/>
            <w:hideMark/>
          </w:tcPr>
          <w:p w14:paraId="30BC1CC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11 255 179</w:t>
            </w:r>
          </w:p>
        </w:tc>
        <w:tc>
          <w:tcPr>
            <w:tcW w:w="874" w:type="dxa"/>
            <w:tcBorders>
              <w:top w:val="nil"/>
              <w:left w:val="nil"/>
              <w:bottom w:val="nil"/>
              <w:right w:val="nil"/>
            </w:tcBorders>
            <w:shd w:val="clear" w:color="auto" w:fill="auto"/>
            <w:noWrap/>
            <w:vAlign w:val="center"/>
            <w:hideMark/>
          </w:tcPr>
          <w:p w14:paraId="3BA7BA8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11 874 017</w:t>
            </w:r>
          </w:p>
        </w:tc>
        <w:tc>
          <w:tcPr>
            <w:tcW w:w="874" w:type="dxa"/>
            <w:tcBorders>
              <w:top w:val="nil"/>
              <w:left w:val="nil"/>
              <w:bottom w:val="nil"/>
              <w:right w:val="nil"/>
            </w:tcBorders>
            <w:shd w:val="clear" w:color="auto" w:fill="auto"/>
            <w:noWrap/>
            <w:vAlign w:val="center"/>
            <w:hideMark/>
          </w:tcPr>
          <w:p w14:paraId="2CAACF0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12 370 143</w:t>
            </w:r>
          </w:p>
        </w:tc>
      </w:tr>
      <w:tr w:rsidR="00D94493" w:rsidRPr="00D94493" w14:paraId="03A2DB60" w14:textId="77777777" w:rsidTr="00D94493">
        <w:trPr>
          <w:trHeight w:val="113"/>
        </w:trPr>
        <w:tc>
          <w:tcPr>
            <w:tcW w:w="3828" w:type="dxa"/>
            <w:tcBorders>
              <w:top w:val="nil"/>
              <w:left w:val="nil"/>
              <w:bottom w:val="nil"/>
              <w:right w:val="nil"/>
            </w:tcBorders>
            <w:shd w:val="clear" w:color="auto" w:fill="auto"/>
            <w:noWrap/>
            <w:vAlign w:val="bottom"/>
            <w:hideMark/>
          </w:tcPr>
          <w:p w14:paraId="08FFBF53"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 - EAO</w:t>
            </w:r>
          </w:p>
        </w:tc>
        <w:tc>
          <w:tcPr>
            <w:tcW w:w="874" w:type="dxa"/>
            <w:tcBorders>
              <w:top w:val="nil"/>
              <w:left w:val="nil"/>
              <w:bottom w:val="nil"/>
              <w:right w:val="nil"/>
            </w:tcBorders>
            <w:shd w:val="clear" w:color="auto" w:fill="auto"/>
            <w:noWrap/>
            <w:vAlign w:val="center"/>
            <w:hideMark/>
          </w:tcPr>
          <w:p w14:paraId="565B75D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8 425 235</w:t>
            </w:r>
          </w:p>
        </w:tc>
        <w:tc>
          <w:tcPr>
            <w:tcW w:w="874" w:type="dxa"/>
            <w:tcBorders>
              <w:top w:val="nil"/>
              <w:left w:val="nil"/>
              <w:bottom w:val="nil"/>
              <w:right w:val="nil"/>
            </w:tcBorders>
            <w:shd w:val="clear" w:color="auto" w:fill="auto"/>
            <w:noWrap/>
            <w:vAlign w:val="center"/>
            <w:hideMark/>
          </w:tcPr>
          <w:p w14:paraId="0DC4BD2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9 106 360</w:t>
            </w:r>
          </w:p>
        </w:tc>
        <w:tc>
          <w:tcPr>
            <w:tcW w:w="874" w:type="dxa"/>
            <w:tcBorders>
              <w:top w:val="nil"/>
              <w:left w:val="nil"/>
              <w:bottom w:val="nil"/>
              <w:right w:val="nil"/>
            </w:tcBorders>
            <w:shd w:val="clear" w:color="auto" w:fill="auto"/>
            <w:noWrap/>
            <w:vAlign w:val="center"/>
            <w:hideMark/>
          </w:tcPr>
          <w:p w14:paraId="4F9876C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9 868 427</w:t>
            </w:r>
          </w:p>
        </w:tc>
        <w:tc>
          <w:tcPr>
            <w:tcW w:w="874" w:type="dxa"/>
            <w:tcBorders>
              <w:top w:val="nil"/>
              <w:left w:val="nil"/>
              <w:bottom w:val="nil"/>
              <w:right w:val="nil"/>
            </w:tcBorders>
            <w:shd w:val="clear" w:color="auto" w:fill="auto"/>
            <w:noWrap/>
            <w:vAlign w:val="center"/>
            <w:hideMark/>
          </w:tcPr>
          <w:p w14:paraId="2711775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11 036 177</w:t>
            </w:r>
          </w:p>
        </w:tc>
        <w:tc>
          <w:tcPr>
            <w:tcW w:w="874" w:type="dxa"/>
            <w:tcBorders>
              <w:top w:val="nil"/>
              <w:left w:val="nil"/>
              <w:bottom w:val="nil"/>
              <w:right w:val="nil"/>
            </w:tcBorders>
            <w:shd w:val="clear" w:color="auto" w:fill="auto"/>
            <w:noWrap/>
            <w:vAlign w:val="center"/>
            <w:hideMark/>
          </w:tcPr>
          <w:p w14:paraId="641B8C7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11 654 511</w:t>
            </w:r>
          </w:p>
        </w:tc>
        <w:tc>
          <w:tcPr>
            <w:tcW w:w="874" w:type="dxa"/>
            <w:tcBorders>
              <w:top w:val="nil"/>
              <w:left w:val="nil"/>
              <w:bottom w:val="nil"/>
              <w:right w:val="nil"/>
            </w:tcBorders>
            <w:shd w:val="clear" w:color="auto" w:fill="auto"/>
            <w:noWrap/>
            <w:vAlign w:val="center"/>
            <w:hideMark/>
          </w:tcPr>
          <w:p w14:paraId="0FE9490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12 151 598</w:t>
            </w:r>
          </w:p>
        </w:tc>
      </w:tr>
      <w:tr w:rsidR="00D94493" w:rsidRPr="00D94493" w14:paraId="7496B4A5" w14:textId="77777777" w:rsidTr="00D94493">
        <w:trPr>
          <w:trHeight w:val="113"/>
        </w:trPr>
        <w:tc>
          <w:tcPr>
            <w:tcW w:w="3828" w:type="dxa"/>
            <w:tcBorders>
              <w:top w:val="nil"/>
              <w:left w:val="nil"/>
              <w:bottom w:val="nil"/>
              <w:right w:val="nil"/>
            </w:tcBorders>
            <w:shd w:val="clear" w:color="auto" w:fill="auto"/>
            <w:noWrap/>
            <w:vAlign w:val="bottom"/>
            <w:hideMark/>
          </w:tcPr>
          <w:p w14:paraId="19C698D7"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 - dlžné</w:t>
            </w:r>
          </w:p>
        </w:tc>
        <w:tc>
          <w:tcPr>
            <w:tcW w:w="874" w:type="dxa"/>
            <w:tcBorders>
              <w:top w:val="nil"/>
              <w:left w:val="nil"/>
              <w:bottom w:val="nil"/>
              <w:right w:val="nil"/>
            </w:tcBorders>
            <w:shd w:val="clear" w:color="auto" w:fill="auto"/>
            <w:noWrap/>
            <w:vAlign w:val="center"/>
            <w:hideMark/>
          </w:tcPr>
          <w:p w14:paraId="72E234F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189 608</w:t>
            </w:r>
          </w:p>
        </w:tc>
        <w:tc>
          <w:tcPr>
            <w:tcW w:w="874" w:type="dxa"/>
            <w:tcBorders>
              <w:top w:val="nil"/>
              <w:left w:val="nil"/>
              <w:bottom w:val="nil"/>
              <w:right w:val="nil"/>
            </w:tcBorders>
            <w:shd w:val="clear" w:color="auto" w:fill="auto"/>
            <w:noWrap/>
            <w:vAlign w:val="center"/>
            <w:hideMark/>
          </w:tcPr>
          <w:p w14:paraId="6B16BEC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402 887</w:t>
            </w:r>
          </w:p>
        </w:tc>
        <w:tc>
          <w:tcPr>
            <w:tcW w:w="874" w:type="dxa"/>
            <w:tcBorders>
              <w:top w:val="nil"/>
              <w:left w:val="nil"/>
              <w:bottom w:val="nil"/>
              <w:right w:val="nil"/>
            </w:tcBorders>
            <w:shd w:val="clear" w:color="auto" w:fill="auto"/>
            <w:noWrap/>
            <w:vAlign w:val="center"/>
            <w:hideMark/>
          </w:tcPr>
          <w:p w14:paraId="62A274A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247 359</w:t>
            </w:r>
          </w:p>
        </w:tc>
        <w:tc>
          <w:tcPr>
            <w:tcW w:w="874" w:type="dxa"/>
            <w:tcBorders>
              <w:top w:val="nil"/>
              <w:left w:val="nil"/>
              <w:bottom w:val="nil"/>
              <w:right w:val="nil"/>
            </w:tcBorders>
            <w:shd w:val="clear" w:color="auto" w:fill="auto"/>
            <w:noWrap/>
            <w:vAlign w:val="center"/>
            <w:hideMark/>
          </w:tcPr>
          <w:p w14:paraId="0D61C45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219 002</w:t>
            </w:r>
          </w:p>
        </w:tc>
        <w:tc>
          <w:tcPr>
            <w:tcW w:w="874" w:type="dxa"/>
            <w:tcBorders>
              <w:top w:val="nil"/>
              <w:left w:val="nil"/>
              <w:bottom w:val="nil"/>
              <w:right w:val="nil"/>
            </w:tcBorders>
            <w:shd w:val="clear" w:color="auto" w:fill="auto"/>
            <w:noWrap/>
            <w:vAlign w:val="center"/>
            <w:hideMark/>
          </w:tcPr>
          <w:p w14:paraId="7AB72F9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219 506</w:t>
            </w:r>
          </w:p>
        </w:tc>
        <w:tc>
          <w:tcPr>
            <w:tcW w:w="874" w:type="dxa"/>
            <w:tcBorders>
              <w:top w:val="nil"/>
              <w:left w:val="nil"/>
              <w:bottom w:val="nil"/>
              <w:right w:val="nil"/>
            </w:tcBorders>
            <w:shd w:val="clear" w:color="auto" w:fill="auto"/>
            <w:noWrap/>
            <w:vAlign w:val="center"/>
            <w:hideMark/>
          </w:tcPr>
          <w:p w14:paraId="60A9FE8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218 545</w:t>
            </w:r>
          </w:p>
        </w:tc>
      </w:tr>
      <w:tr w:rsidR="00D94493" w:rsidRPr="00D94493" w14:paraId="1695FE5C" w14:textId="77777777" w:rsidTr="00D94493">
        <w:trPr>
          <w:trHeight w:val="113"/>
        </w:trPr>
        <w:tc>
          <w:tcPr>
            <w:tcW w:w="3828" w:type="dxa"/>
            <w:tcBorders>
              <w:top w:val="nil"/>
              <w:left w:val="nil"/>
              <w:bottom w:val="nil"/>
              <w:right w:val="nil"/>
            </w:tcBorders>
            <w:shd w:val="clear" w:color="auto" w:fill="auto"/>
            <w:noWrap/>
            <w:vAlign w:val="bottom"/>
            <w:hideMark/>
          </w:tcPr>
          <w:p w14:paraId="549D06D7" w14:textId="77777777" w:rsidR="00D94493" w:rsidRPr="00D94493" w:rsidRDefault="00D94493" w:rsidP="00D94493">
            <w:pPr>
              <w:spacing w:after="0" w:line="240" w:lineRule="auto"/>
              <w:ind w:firstLineChars="200" w:firstLine="280"/>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Zdravotné poisťovne</w:t>
            </w:r>
          </w:p>
        </w:tc>
        <w:tc>
          <w:tcPr>
            <w:tcW w:w="874" w:type="dxa"/>
            <w:tcBorders>
              <w:top w:val="nil"/>
              <w:left w:val="nil"/>
              <w:right w:val="nil"/>
            </w:tcBorders>
            <w:shd w:val="clear" w:color="auto" w:fill="auto"/>
            <w:noWrap/>
            <w:vAlign w:val="center"/>
            <w:hideMark/>
          </w:tcPr>
          <w:p w14:paraId="271C4B56"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4 333 936</w:t>
            </w:r>
          </w:p>
        </w:tc>
        <w:tc>
          <w:tcPr>
            <w:tcW w:w="874" w:type="dxa"/>
            <w:tcBorders>
              <w:top w:val="nil"/>
              <w:left w:val="nil"/>
              <w:right w:val="nil"/>
            </w:tcBorders>
            <w:shd w:val="clear" w:color="auto" w:fill="auto"/>
            <w:noWrap/>
            <w:vAlign w:val="center"/>
            <w:hideMark/>
          </w:tcPr>
          <w:p w14:paraId="0382E4EF"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4 688 063</w:t>
            </w:r>
          </w:p>
        </w:tc>
        <w:tc>
          <w:tcPr>
            <w:tcW w:w="874" w:type="dxa"/>
            <w:tcBorders>
              <w:top w:val="nil"/>
              <w:left w:val="nil"/>
              <w:right w:val="nil"/>
            </w:tcBorders>
            <w:shd w:val="clear" w:color="auto" w:fill="auto"/>
            <w:noWrap/>
            <w:vAlign w:val="center"/>
            <w:hideMark/>
          </w:tcPr>
          <w:p w14:paraId="4F954B43"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5 137 970</w:t>
            </w:r>
          </w:p>
        </w:tc>
        <w:tc>
          <w:tcPr>
            <w:tcW w:w="874" w:type="dxa"/>
            <w:tcBorders>
              <w:top w:val="nil"/>
              <w:left w:val="nil"/>
              <w:right w:val="nil"/>
            </w:tcBorders>
            <w:shd w:val="clear" w:color="auto" w:fill="auto"/>
            <w:noWrap/>
            <w:vAlign w:val="center"/>
            <w:hideMark/>
          </w:tcPr>
          <w:p w14:paraId="2D752A26"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5 943 475</w:t>
            </w:r>
          </w:p>
        </w:tc>
        <w:tc>
          <w:tcPr>
            <w:tcW w:w="874" w:type="dxa"/>
            <w:tcBorders>
              <w:top w:val="nil"/>
              <w:left w:val="nil"/>
              <w:right w:val="nil"/>
            </w:tcBorders>
            <w:shd w:val="clear" w:color="auto" w:fill="auto"/>
            <w:noWrap/>
            <w:vAlign w:val="center"/>
            <w:hideMark/>
          </w:tcPr>
          <w:p w14:paraId="02DEC15C"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6 290 588</w:t>
            </w:r>
          </w:p>
        </w:tc>
        <w:tc>
          <w:tcPr>
            <w:tcW w:w="874" w:type="dxa"/>
            <w:tcBorders>
              <w:top w:val="nil"/>
              <w:left w:val="nil"/>
              <w:right w:val="nil"/>
            </w:tcBorders>
            <w:shd w:val="clear" w:color="auto" w:fill="auto"/>
            <w:noWrap/>
            <w:vAlign w:val="center"/>
            <w:hideMark/>
          </w:tcPr>
          <w:p w14:paraId="36AC99D3"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6 581 178</w:t>
            </w:r>
          </w:p>
        </w:tc>
      </w:tr>
      <w:tr w:rsidR="00D94493" w:rsidRPr="00D94493" w14:paraId="7B1E5CA3" w14:textId="77777777" w:rsidTr="00D94493">
        <w:trPr>
          <w:trHeight w:val="113"/>
        </w:trPr>
        <w:tc>
          <w:tcPr>
            <w:tcW w:w="3828" w:type="dxa"/>
            <w:tcBorders>
              <w:top w:val="nil"/>
              <w:left w:val="nil"/>
              <w:bottom w:val="nil"/>
              <w:right w:val="nil"/>
            </w:tcBorders>
            <w:shd w:val="clear" w:color="auto" w:fill="auto"/>
            <w:noWrap/>
            <w:vAlign w:val="bottom"/>
            <w:hideMark/>
          </w:tcPr>
          <w:p w14:paraId="134BDD93" w14:textId="77777777" w:rsidR="00D94493" w:rsidRPr="00D94493" w:rsidRDefault="00D94493" w:rsidP="00D94493">
            <w:pPr>
              <w:spacing w:after="0" w:line="240" w:lineRule="auto"/>
              <w:ind w:firstLineChars="400" w:firstLine="56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Ekonomicky aktívne obyvateľstvo + dlžné</w:t>
            </w:r>
          </w:p>
        </w:tc>
        <w:tc>
          <w:tcPr>
            <w:tcW w:w="874" w:type="dxa"/>
            <w:tcBorders>
              <w:top w:val="nil"/>
              <w:left w:val="nil"/>
              <w:right w:val="nil"/>
            </w:tcBorders>
            <w:shd w:val="clear" w:color="auto" w:fill="auto"/>
            <w:noWrap/>
            <w:vAlign w:val="center"/>
            <w:hideMark/>
          </w:tcPr>
          <w:p w14:paraId="6080152F"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4 333 936</w:t>
            </w:r>
          </w:p>
        </w:tc>
        <w:tc>
          <w:tcPr>
            <w:tcW w:w="874" w:type="dxa"/>
            <w:tcBorders>
              <w:top w:val="nil"/>
              <w:left w:val="nil"/>
              <w:right w:val="nil"/>
            </w:tcBorders>
            <w:shd w:val="clear" w:color="auto" w:fill="auto"/>
            <w:noWrap/>
            <w:vAlign w:val="center"/>
            <w:hideMark/>
          </w:tcPr>
          <w:p w14:paraId="2CB9A28A"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4 688 063</w:t>
            </w:r>
          </w:p>
        </w:tc>
        <w:tc>
          <w:tcPr>
            <w:tcW w:w="874" w:type="dxa"/>
            <w:tcBorders>
              <w:top w:val="nil"/>
              <w:left w:val="nil"/>
              <w:right w:val="nil"/>
            </w:tcBorders>
            <w:shd w:val="clear" w:color="auto" w:fill="auto"/>
            <w:noWrap/>
            <w:vAlign w:val="center"/>
            <w:hideMark/>
          </w:tcPr>
          <w:p w14:paraId="689D424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5 137 970</w:t>
            </w:r>
          </w:p>
        </w:tc>
        <w:tc>
          <w:tcPr>
            <w:tcW w:w="874" w:type="dxa"/>
            <w:tcBorders>
              <w:top w:val="nil"/>
              <w:left w:val="nil"/>
              <w:right w:val="nil"/>
            </w:tcBorders>
            <w:shd w:val="clear" w:color="auto" w:fill="auto"/>
            <w:noWrap/>
            <w:vAlign w:val="center"/>
            <w:hideMark/>
          </w:tcPr>
          <w:p w14:paraId="740475D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5 943 475</w:t>
            </w:r>
          </w:p>
        </w:tc>
        <w:tc>
          <w:tcPr>
            <w:tcW w:w="874" w:type="dxa"/>
            <w:tcBorders>
              <w:top w:val="nil"/>
              <w:left w:val="nil"/>
              <w:right w:val="nil"/>
            </w:tcBorders>
            <w:shd w:val="clear" w:color="auto" w:fill="auto"/>
            <w:noWrap/>
            <w:vAlign w:val="center"/>
            <w:hideMark/>
          </w:tcPr>
          <w:p w14:paraId="6A2956A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6 290 588</w:t>
            </w:r>
          </w:p>
        </w:tc>
        <w:tc>
          <w:tcPr>
            <w:tcW w:w="874" w:type="dxa"/>
            <w:tcBorders>
              <w:top w:val="nil"/>
              <w:left w:val="nil"/>
              <w:right w:val="nil"/>
            </w:tcBorders>
            <w:shd w:val="clear" w:color="auto" w:fill="auto"/>
            <w:noWrap/>
            <w:vAlign w:val="center"/>
            <w:hideMark/>
          </w:tcPr>
          <w:p w14:paraId="4EED27D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6 581 178</w:t>
            </w:r>
          </w:p>
        </w:tc>
      </w:tr>
      <w:tr w:rsidR="00D94493" w:rsidRPr="00D94493" w14:paraId="76BE9109" w14:textId="77777777" w:rsidTr="00D94493">
        <w:trPr>
          <w:trHeight w:val="113"/>
        </w:trPr>
        <w:tc>
          <w:tcPr>
            <w:tcW w:w="3828" w:type="dxa"/>
            <w:tcBorders>
              <w:top w:val="nil"/>
              <w:left w:val="nil"/>
              <w:bottom w:val="nil"/>
              <w:right w:val="nil"/>
            </w:tcBorders>
            <w:shd w:val="clear" w:color="auto" w:fill="auto"/>
            <w:noWrap/>
            <w:vAlign w:val="bottom"/>
            <w:hideMark/>
          </w:tcPr>
          <w:p w14:paraId="56D4CAE1" w14:textId="77777777" w:rsidR="00D94493" w:rsidRPr="00D94493" w:rsidRDefault="00D94493" w:rsidP="00D94493">
            <w:pPr>
              <w:spacing w:after="0" w:line="240" w:lineRule="auto"/>
              <w:ind w:firstLineChars="600" w:firstLine="84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z toho: ročné zúčtovanie</w:t>
            </w:r>
          </w:p>
        </w:tc>
        <w:tc>
          <w:tcPr>
            <w:tcW w:w="874" w:type="dxa"/>
            <w:tcBorders>
              <w:left w:val="nil"/>
              <w:bottom w:val="single" w:sz="4" w:space="0" w:color="auto"/>
              <w:right w:val="nil"/>
            </w:tcBorders>
            <w:shd w:val="clear" w:color="auto" w:fill="auto"/>
            <w:noWrap/>
            <w:vAlign w:val="center"/>
            <w:hideMark/>
          </w:tcPr>
          <w:p w14:paraId="3C7808B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4 333 936</w:t>
            </w:r>
          </w:p>
        </w:tc>
        <w:tc>
          <w:tcPr>
            <w:tcW w:w="874" w:type="dxa"/>
            <w:tcBorders>
              <w:left w:val="nil"/>
              <w:bottom w:val="single" w:sz="4" w:space="0" w:color="auto"/>
              <w:right w:val="nil"/>
            </w:tcBorders>
            <w:shd w:val="clear" w:color="auto" w:fill="auto"/>
            <w:noWrap/>
            <w:vAlign w:val="center"/>
            <w:hideMark/>
          </w:tcPr>
          <w:p w14:paraId="63F2E1F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4 688 063</w:t>
            </w:r>
          </w:p>
        </w:tc>
        <w:tc>
          <w:tcPr>
            <w:tcW w:w="874" w:type="dxa"/>
            <w:tcBorders>
              <w:left w:val="nil"/>
              <w:bottom w:val="single" w:sz="4" w:space="0" w:color="auto"/>
              <w:right w:val="nil"/>
            </w:tcBorders>
            <w:shd w:val="clear" w:color="auto" w:fill="auto"/>
            <w:noWrap/>
            <w:vAlign w:val="center"/>
            <w:hideMark/>
          </w:tcPr>
          <w:p w14:paraId="77D3B53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5 137 970</w:t>
            </w:r>
          </w:p>
        </w:tc>
        <w:tc>
          <w:tcPr>
            <w:tcW w:w="874" w:type="dxa"/>
            <w:tcBorders>
              <w:left w:val="nil"/>
              <w:bottom w:val="single" w:sz="4" w:space="0" w:color="auto"/>
              <w:right w:val="nil"/>
            </w:tcBorders>
            <w:shd w:val="clear" w:color="auto" w:fill="auto"/>
            <w:noWrap/>
            <w:vAlign w:val="center"/>
            <w:hideMark/>
          </w:tcPr>
          <w:p w14:paraId="0FDCF6A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5 943 475</w:t>
            </w:r>
          </w:p>
        </w:tc>
        <w:tc>
          <w:tcPr>
            <w:tcW w:w="874" w:type="dxa"/>
            <w:tcBorders>
              <w:left w:val="nil"/>
              <w:bottom w:val="single" w:sz="4" w:space="0" w:color="auto"/>
              <w:right w:val="nil"/>
            </w:tcBorders>
            <w:shd w:val="clear" w:color="auto" w:fill="auto"/>
            <w:noWrap/>
            <w:vAlign w:val="center"/>
            <w:hideMark/>
          </w:tcPr>
          <w:p w14:paraId="2AEFF4B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6 290 588</w:t>
            </w:r>
          </w:p>
        </w:tc>
        <w:tc>
          <w:tcPr>
            <w:tcW w:w="874" w:type="dxa"/>
            <w:tcBorders>
              <w:left w:val="nil"/>
              <w:bottom w:val="single" w:sz="4" w:space="0" w:color="auto"/>
              <w:right w:val="nil"/>
            </w:tcBorders>
            <w:shd w:val="clear" w:color="auto" w:fill="auto"/>
            <w:noWrap/>
            <w:vAlign w:val="center"/>
            <w:hideMark/>
          </w:tcPr>
          <w:p w14:paraId="528C986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6 581 178</w:t>
            </w:r>
          </w:p>
        </w:tc>
      </w:tr>
      <w:tr w:rsidR="00D94493" w:rsidRPr="00D94493" w14:paraId="0416E319" w14:textId="77777777" w:rsidTr="00D94493">
        <w:trPr>
          <w:trHeight w:val="113"/>
        </w:trPr>
        <w:tc>
          <w:tcPr>
            <w:tcW w:w="3828" w:type="dxa"/>
            <w:tcBorders>
              <w:top w:val="single" w:sz="4" w:space="0" w:color="auto"/>
              <w:left w:val="nil"/>
              <w:bottom w:val="single" w:sz="4" w:space="0" w:color="auto"/>
              <w:right w:val="nil"/>
            </w:tcBorders>
            <w:shd w:val="clear" w:color="auto" w:fill="auto"/>
            <w:noWrap/>
            <w:vAlign w:val="bottom"/>
            <w:hideMark/>
          </w:tcPr>
          <w:p w14:paraId="07CEF145" w14:textId="77777777" w:rsidR="00D94493" w:rsidRPr="00D94493" w:rsidRDefault="00D94493" w:rsidP="00D94493">
            <w:pPr>
              <w:spacing w:after="0" w:line="240" w:lineRule="auto"/>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Daňové príjmy VS spolu</w:t>
            </w:r>
          </w:p>
        </w:tc>
        <w:tc>
          <w:tcPr>
            <w:tcW w:w="874" w:type="dxa"/>
            <w:tcBorders>
              <w:top w:val="single" w:sz="4" w:space="0" w:color="auto"/>
              <w:left w:val="nil"/>
              <w:bottom w:val="single" w:sz="4" w:space="0" w:color="auto"/>
              <w:right w:val="nil"/>
            </w:tcBorders>
            <w:shd w:val="clear" w:color="auto" w:fill="auto"/>
            <w:noWrap/>
            <w:vAlign w:val="center"/>
            <w:hideMark/>
          </w:tcPr>
          <w:p w14:paraId="290AA63B"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17 753 842</w:t>
            </w:r>
          </w:p>
        </w:tc>
        <w:tc>
          <w:tcPr>
            <w:tcW w:w="874" w:type="dxa"/>
            <w:tcBorders>
              <w:top w:val="single" w:sz="4" w:space="0" w:color="auto"/>
              <w:left w:val="nil"/>
              <w:bottom w:val="single" w:sz="4" w:space="0" w:color="auto"/>
              <w:right w:val="nil"/>
            </w:tcBorders>
            <w:shd w:val="clear" w:color="auto" w:fill="auto"/>
            <w:noWrap/>
            <w:vAlign w:val="center"/>
            <w:hideMark/>
          </w:tcPr>
          <w:p w14:paraId="1897E7D3"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20 030 615</w:t>
            </w:r>
          </w:p>
        </w:tc>
        <w:tc>
          <w:tcPr>
            <w:tcW w:w="874" w:type="dxa"/>
            <w:tcBorders>
              <w:top w:val="single" w:sz="4" w:space="0" w:color="auto"/>
              <w:left w:val="nil"/>
              <w:bottom w:val="single" w:sz="4" w:space="0" w:color="auto"/>
              <w:right w:val="nil"/>
            </w:tcBorders>
            <w:shd w:val="clear" w:color="auto" w:fill="auto"/>
            <w:noWrap/>
            <w:vAlign w:val="center"/>
            <w:hideMark/>
          </w:tcPr>
          <w:p w14:paraId="16A53A95"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22 229 066</w:t>
            </w:r>
          </w:p>
        </w:tc>
        <w:tc>
          <w:tcPr>
            <w:tcW w:w="874" w:type="dxa"/>
            <w:tcBorders>
              <w:top w:val="single" w:sz="4" w:space="0" w:color="auto"/>
              <w:left w:val="nil"/>
              <w:bottom w:val="single" w:sz="4" w:space="0" w:color="auto"/>
              <w:right w:val="nil"/>
            </w:tcBorders>
            <w:shd w:val="clear" w:color="auto" w:fill="auto"/>
            <w:noWrap/>
            <w:vAlign w:val="center"/>
            <w:hideMark/>
          </w:tcPr>
          <w:p w14:paraId="5BC5310E"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23 367 515</w:t>
            </w:r>
          </w:p>
        </w:tc>
        <w:tc>
          <w:tcPr>
            <w:tcW w:w="874" w:type="dxa"/>
            <w:tcBorders>
              <w:top w:val="single" w:sz="4" w:space="0" w:color="auto"/>
              <w:left w:val="nil"/>
              <w:bottom w:val="single" w:sz="4" w:space="0" w:color="auto"/>
              <w:right w:val="nil"/>
            </w:tcBorders>
            <w:shd w:val="clear" w:color="auto" w:fill="auto"/>
            <w:noWrap/>
            <w:vAlign w:val="center"/>
            <w:hideMark/>
          </w:tcPr>
          <w:p w14:paraId="36F7D881"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24 331 935</w:t>
            </w:r>
          </w:p>
        </w:tc>
        <w:tc>
          <w:tcPr>
            <w:tcW w:w="874" w:type="dxa"/>
            <w:tcBorders>
              <w:top w:val="single" w:sz="4" w:space="0" w:color="auto"/>
              <w:left w:val="nil"/>
              <w:bottom w:val="single" w:sz="4" w:space="0" w:color="auto"/>
              <w:right w:val="nil"/>
            </w:tcBorders>
            <w:shd w:val="clear" w:color="auto" w:fill="auto"/>
            <w:noWrap/>
            <w:vAlign w:val="center"/>
            <w:hideMark/>
          </w:tcPr>
          <w:p w14:paraId="5D398E59"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24 942 809</w:t>
            </w:r>
          </w:p>
        </w:tc>
      </w:tr>
      <w:tr w:rsidR="00D94493" w:rsidRPr="00D94493" w14:paraId="755746F6" w14:textId="77777777" w:rsidTr="00D94493">
        <w:trPr>
          <w:trHeight w:val="113"/>
        </w:trPr>
        <w:tc>
          <w:tcPr>
            <w:tcW w:w="3828" w:type="dxa"/>
            <w:tcBorders>
              <w:top w:val="nil"/>
              <w:left w:val="nil"/>
              <w:bottom w:val="nil"/>
              <w:right w:val="nil"/>
            </w:tcBorders>
            <w:shd w:val="clear" w:color="auto" w:fill="auto"/>
            <w:noWrap/>
            <w:vAlign w:val="bottom"/>
            <w:hideMark/>
          </w:tcPr>
          <w:p w14:paraId="7D12E5BC"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Daňové príjmy ŠR</w:t>
            </w:r>
          </w:p>
        </w:tc>
        <w:tc>
          <w:tcPr>
            <w:tcW w:w="874" w:type="dxa"/>
            <w:tcBorders>
              <w:top w:val="single" w:sz="4" w:space="0" w:color="auto"/>
              <w:left w:val="nil"/>
              <w:bottom w:val="nil"/>
              <w:right w:val="nil"/>
            </w:tcBorders>
            <w:shd w:val="clear" w:color="auto" w:fill="auto"/>
            <w:noWrap/>
            <w:vAlign w:val="center"/>
            <w:hideMark/>
          </w:tcPr>
          <w:p w14:paraId="59044B37"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13 526 080</w:t>
            </w:r>
          </w:p>
        </w:tc>
        <w:tc>
          <w:tcPr>
            <w:tcW w:w="874" w:type="dxa"/>
            <w:tcBorders>
              <w:top w:val="single" w:sz="4" w:space="0" w:color="auto"/>
              <w:left w:val="nil"/>
              <w:bottom w:val="nil"/>
              <w:right w:val="nil"/>
            </w:tcBorders>
            <w:shd w:val="clear" w:color="auto" w:fill="auto"/>
            <w:noWrap/>
            <w:vAlign w:val="center"/>
            <w:hideMark/>
          </w:tcPr>
          <w:p w14:paraId="14C668C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15 484 264</w:t>
            </w:r>
          </w:p>
        </w:tc>
        <w:tc>
          <w:tcPr>
            <w:tcW w:w="874" w:type="dxa"/>
            <w:tcBorders>
              <w:top w:val="single" w:sz="4" w:space="0" w:color="auto"/>
              <w:left w:val="nil"/>
              <w:bottom w:val="nil"/>
              <w:right w:val="nil"/>
            </w:tcBorders>
            <w:shd w:val="clear" w:color="auto" w:fill="auto"/>
            <w:noWrap/>
            <w:vAlign w:val="center"/>
            <w:hideMark/>
          </w:tcPr>
          <w:p w14:paraId="1AAF68E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17 380 041</w:t>
            </w:r>
          </w:p>
        </w:tc>
        <w:tc>
          <w:tcPr>
            <w:tcW w:w="874" w:type="dxa"/>
            <w:tcBorders>
              <w:top w:val="single" w:sz="4" w:space="0" w:color="auto"/>
              <w:left w:val="nil"/>
              <w:bottom w:val="nil"/>
              <w:right w:val="nil"/>
            </w:tcBorders>
            <w:shd w:val="clear" w:color="auto" w:fill="auto"/>
            <w:noWrap/>
            <w:vAlign w:val="center"/>
            <w:hideMark/>
          </w:tcPr>
          <w:p w14:paraId="5659078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18 592 880</w:t>
            </w:r>
          </w:p>
        </w:tc>
        <w:tc>
          <w:tcPr>
            <w:tcW w:w="874" w:type="dxa"/>
            <w:tcBorders>
              <w:top w:val="single" w:sz="4" w:space="0" w:color="auto"/>
              <w:left w:val="nil"/>
              <w:bottom w:val="nil"/>
              <w:right w:val="nil"/>
            </w:tcBorders>
            <w:shd w:val="clear" w:color="auto" w:fill="auto"/>
            <w:noWrap/>
            <w:vAlign w:val="center"/>
            <w:hideMark/>
          </w:tcPr>
          <w:p w14:paraId="30822E5E"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19 396 922</w:t>
            </w:r>
          </w:p>
        </w:tc>
        <w:tc>
          <w:tcPr>
            <w:tcW w:w="874" w:type="dxa"/>
            <w:tcBorders>
              <w:top w:val="single" w:sz="4" w:space="0" w:color="auto"/>
              <w:left w:val="nil"/>
              <w:bottom w:val="nil"/>
              <w:right w:val="nil"/>
            </w:tcBorders>
            <w:shd w:val="clear" w:color="auto" w:fill="auto"/>
            <w:noWrap/>
            <w:vAlign w:val="center"/>
            <w:hideMark/>
          </w:tcPr>
          <w:p w14:paraId="0D3996B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19 552 064</w:t>
            </w:r>
          </w:p>
        </w:tc>
      </w:tr>
      <w:tr w:rsidR="00D94493" w:rsidRPr="00D94493" w14:paraId="3A5F6862" w14:textId="77777777" w:rsidTr="00D94493">
        <w:trPr>
          <w:trHeight w:val="113"/>
        </w:trPr>
        <w:tc>
          <w:tcPr>
            <w:tcW w:w="3828" w:type="dxa"/>
            <w:tcBorders>
              <w:top w:val="nil"/>
              <w:left w:val="nil"/>
              <w:bottom w:val="nil"/>
              <w:right w:val="nil"/>
            </w:tcBorders>
            <w:shd w:val="clear" w:color="auto" w:fill="auto"/>
            <w:noWrap/>
            <w:vAlign w:val="bottom"/>
            <w:hideMark/>
          </w:tcPr>
          <w:p w14:paraId="304A47D3"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Samostatné účty</w:t>
            </w:r>
          </w:p>
        </w:tc>
        <w:tc>
          <w:tcPr>
            <w:tcW w:w="874" w:type="dxa"/>
            <w:tcBorders>
              <w:top w:val="nil"/>
              <w:left w:val="nil"/>
              <w:bottom w:val="nil"/>
              <w:right w:val="nil"/>
            </w:tcBorders>
            <w:shd w:val="clear" w:color="auto" w:fill="auto"/>
            <w:noWrap/>
            <w:vAlign w:val="center"/>
            <w:hideMark/>
          </w:tcPr>
          <w:p w14:paraId="2CB2384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31 120</w:t>
            </w:r>
          </w:p>
        </w:tc>
        <w:tc>
          <w:tcPr>
            <w:tcW w:w="874" w:type="dxa"/>
            <w:tcBorders>
              <w:top w:val="nil"/>
              <w:left w:val="nil"/>
              <w:bottom w:val="nil"/>
              <w:right w:val="nil"/>
            </w:tcBorders>
            <w:shd w:val="clear" w:color="auto" w:fill="auto"/>
            <w:noWrap/>
            <w:vAlign w:val="center"/>
            <w:hideMark/>
          </w:tcPr>
          <w:p w14:paraId="4C24DDD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32 180</w:t>
            </w:r>
          </w:p>
        </w:tc>
        <w:tc>
          <w:tcPr>
            <w:tcW w:w="874" w:type="dxa"/>
            <w:tcBorders>
              <w:top w:val="nil"/>
              <w:left w:val="nil"/>
              <w:bottom w:val="nil"/>
              <w:right w:val="nil"/>
            </w:tcBorders>
            <w:shd w:val="clear" w:color="auto" w:fill="auto"/>
            <w:noWrap/>
            <w:vAlign w:val="center"/>
            <w:hideMark/>
          </w:tcPr>
          <w:p w14:paraId="3D5F8534"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33 217</w:t>
            </w:r>
          </w:p>
        </w:tc>
        <w:tc>
          <w:tcPr>
            <w:tcW w:w="874" w:type="dxa"/>
            <w:tcBorders>
              <w:top w:val="nil"/>
              <w:left w:val="nil"/>
              <w:bottom w:val="nil"/>
              <w:right w:val="nil"/>
            </w:tcBorders>
            <w:shd w:val="clear" w:color="auto" w:fill="auto"/>
            <w:noWrap/>
            <w:vAlign w:val="center"/>
            <w:hideMark/>
          </w:tcPr>
          <w:p w14:paraId="1485FEA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34 591</w:t>
            </w:r>
          </w:p>
        </w:tc>
        <w:tc>
          <w:tcPr>
            <w:tcW w:w="874" w:type="dxa"/>
            <w:tcBorders>
              <w:top w:val="nil"/>
              <w:left w:val="nil"/>
              <w:bottom w:val="nil"/>
              <w:right w:val="nil"/>
            </w:tcBorders>
            <w:shd w:val="clear" w:color="auto" w:fill="auto"/>
            <w:noWrap/>
            <w:vAlign w:val="center"/>
            <w:hideMark/>
          </w:tcPr>
          <w:p w14:paraId="7386E93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36 547</w:t>
            </w:r>
          </w:p>
        </w:tc>
        <w:tc>
          <w:tcPr>
            <w:tcW w:w="874" w:type="dxa"/>
            <w:tcBorders>
              <w:top w:val="nil"/>
              <w:left w:val="nil"/>
              <w:bottom w:val="nil"/>
              <w:right w:val="nil"/>
            </w:tcBorders>
            <w:shd w:val="clear" w:color="auto" w:fill="auto"/>
            <w:noWrap/>
            <w:vAlign w:val="center"/>
            <w:hideMark/>
          </w:tcPr>
          <w:p w14:paraId="19ADC4B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38 646</w:t>
            </w:r>
          </w:p>
        </w:tc>
      </w:tr>
      <w:tr w:rsidR="00D94493" w:rsidRPr="00D94493" w14:paraId="5A23580A" w14:textId="77777777" w:rsidTr="00D94493">
        <w:trPr>
          <w:trHeight w:val="113"/>
        </w:trPr>
        <w:tc>
          <w:tcPr>
            <w:tcW w:w="3828" w:type="dxa"/>
            <w:tcBorders>
              <w:top w:val="nil"/>
              <w:left w:val="nil"/>
              <w:bottom w:val="nil"/>
              <w:right w:val="nil"/>
            </w:tcBorders>
            <w:shd w:val="clear" w:color="auto" w:fill="auto"/>
            <w:noWrap/>
            <w:vAlign w:val="bottom"/>
            <w:hideMark/>
          </w:tcPr>
          <w:p w14:paraId="79344646"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Štátne finančné aktíva</w:t>
            </w:r>
          </w:p>
        </w:tc>
        <w:tc>
          <w:tcPr>
            <w:tcW w:w="874" w:type="dxa"/>
            <w:tcBorders>
              <w:top w:val="nil"/>
              <w:left w:val="nil"/>
              <w:bottom w:val="nil"/>
              <w:right w:val="nil"/>
            </w:tcBorders>
            <w:shd w:val="clear" w:color="auto" w:fill="auto"/>
            <w:noWrap/>
            <w:vAlign w:val="center"/>
            <w:hideMark/>
          </w:tcPr>
          <w:p w14:paraId="6578E0F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111 384</w:t>
            </w:r>
          </w:p>
        </w:tc>
        <w:tc>
          <w:tcPr>
            <w:tcW w:w="874" w:type="dxa"/>
            <w:tcBorders>
              <w:top w:val="nil"/>
              <w:left w:val="nil"/>
              <w:bottom w:val="nil"/>
              <w:right w:val="nil"/>
            </w:tcBorders>
            <w:shd w:val="clear" w:color="auto" w:fill="auto"/>
            <w:noWrap/>
            <w:vAlign w:val="center"/>
            <w:hideMark/>
          </w:tcPr>
          <w:p w14:paraId="695C49F6"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91 465</w:t>
            </w:r>
          </w:p>
        </w:tc>
        <w:tc>
          <w:tcPr>
            <w:tcW w:w="874" w:type="dxa"/>
            <w:tcBorders>
              <w:top w:val="nil"/>
              <w:left w:val="nil"/>
              <w:bottom w:val="nil"/>
              <w:right w:val="nil"/>
            </w:tcBorders>
            <w:shd w:val="clear" w:color="auto" w:fill="auto"/>
            <w:noWrap/>
            <w:vAlign w:val="center"/>
            <w:hideMark/>
          </w:tcPr>
          <w:p w14:paraId="148E4C7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99 398</w:t>
            </w:r>
          </w:p>
        </w:tc>
        <w:tc>
          <w:tcPr>
            <w:tcW w:w="874" w:type="dxa"/>
            <w:tcBorders>
              <w:top w:val="nil"/>
              <w:left w:val="nil"/>
              <w:bottom w:val="nil"/>
              <w:right w:val="nil"/>
            </w:tcBorders>
            <w:shd w:val="clear" w:color="auto" w:fill="auto"/>
            <w:noWrap/>
            <w:vAlign w:val="center"/>
            <w:hideMark/>
          </w:tcPr>
          <w:p w14:paraId="321852D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6A2FB5C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435CCCA3"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1E65EBF3" w14:textId="77777777" w:rsidTr="00D94493">
        <w:trPr>
          <w:trHeight w:val="113"/>
        </w:trPr>
        <w:tc>
          <w:tcPr>
            <w:tcW w:w="3828" w:type="dxa"/>
            <w:tcBorders>
              <w:top w:val="nil"/>
              <w:left w:val="nil"/>
              <w:bottom w:val="nil"/>
              <w:right w:val="nil"/>
            </w:tcBorders>
            <w:shd w:val="clear" w:color="auto" w:fill="auto"/>
            <w:noWrap/>
            <w:vAlign w:val="bottom"/>
            <w:hideMark/>
          </w:tcPr>
          <w:p w14:paraId="18F554C5"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Daňové príjmy obcí </w:t>
            </w:r>
          </w:p>
        </w:tc>
        <w:tc>
          <w:tcPr>
            <w:tcW w:w="874" w:type="dxa"/>
            <w:tcBorders>
              <w:top w:val="nil"/>
              <w:left w:val="nil"/>
              <w:bottom w:val="nil"/>
              <w:right w:val="nil"/>
            </w:tcBorders>
            <w:shd w:val="clear" w:color="auto" w:fill="auto"/>
            <w:noWrap/>
            <w:vAlign w:val="center"/>
            <w:hideMark/>
          </w:tcPr>
          <w:p w14:paraId="16C1DAF1"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2 994 521</w:t>
            </w:r>
          </w:p>
        </w:tc>
        <w:tc>
          <w:tcPr>
            <w:tcW w:w="874" w:type="dxa"/>
            <w:tcBorders>
              <w:top w:val="nil"/>
              <w:left w:val="nil"/>
              <w:bottom w:val="nil"/>
              <w:right w:val="nil"/>
            </w:tcBorders>
            <w:shd w:val="clear" w:color="auto" w:fill="auto"/>
            <w:noWrap/>
            <w:vAlign w:val="center"/>
            <w:hideMark/>
          </w:tcPr>
          <w:p w14:paraId="25F90D1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3 236 131</w:t>
            </w:r>
          </w:p>
        </w:tc>
        <w:tc>
          <w:tcPr>
            <w:tcW w:w="874" w:type="dxa"/>
            <w:tcBorders>
              <w:top w:val="nil"/>
              <w:left w:val="nil"/>
              <w:bottom w:val="nil"/>
              <w:right w:val="nil"/>
            </w:tcBorders>
            <w:shd w:val="clear" w:color="auto" w:fill="auto"/>
            <w:noWrap/>
            <w:vAlign w:val="center"/>
            <w:hideMark/>
          </w:tcPr>
          <w:p w14:paraId="5E7723E2"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3 486 042</w:t>
            </w:r>
          </w:p>
        </w:tc>
        <w:tc>
          <w:tcPr>
            <w:tcW w:w="874" w:type="dxa"/>
            <w:tcBorders>
              <w:top w:val="nil"/>
              <w:left w:val="nil"/>
              <w:bottom w:val="nil"/>
              <w:right w:val="nil"/>
            </w:tcBorders>
            <w:shd w:val="clear" w:color="auto" w:fill="auto"/>
            <w:noWrap/>
            <w:vAlign w:val="center"/>
            <w:hideMark/>
          </w:tcPr>
          <w:p w14:paraId="1BA885B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3 541 196</w:t>
            </w:r>
          </w:p>
        </w:tc>
        <w:tc>
          <w:tcPr>
            <w:tcW w:w="874" w:type="dxa"/>
            <w:tcBorders>
              <w:top w:val="nil"/>
              <w:left w:val="nil"/>
              <w:bottom w:val="nil"/>
              <w:right w:val="nil"/>
            </w:tcBorders>
            <w:shd w:val="clear" w:color="auto" w:fill="auto"/>
            <w:noWrap/>
            <w:vAlign w:val="center"/>
            <w:hideMark/>
          </w:tcPr>
          <w:p w14:paraId="2B1EBDE9"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3 668 320</w:t>
            </w:r>
          </w:p>
        </w:tc>
        <w:tc>
          <w:tcPr>
            <w:tcW w:w="874" w:type="dxa"/>
            <w:tcBorders>
              <w:top w:val="nil"/>
              <w:left w:val="nil"/>
              <w:bottom w:val="nil"/>
              <w:right w:val="nil"/>
            </w:tcBorders>
            <w:shd w:val="clear" w:color="auto" w:fill="auto"/>
            <w:noWrap/>
            <w:vAlign w:val="center"/>
            <w:hideMark/>
          </w:tcPr>
          <w:p w14:paraId="556853D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3 993 785</w:t>
            </w:r>
          </w:p>
        </w:tc>
      </w:tr>
      <w:tr w:rsidR="00D94493" w:rsidRPr="00D94493" w14:paraId="68CE3FA1" w14:textId="77777777" w:rsidTr="00D94493">
        <w:trPr>
          <w:trHeight w:val="113"/>
        </w:trPr>
        <w:tc>
          <w:tcPr>
            <w:tcW w:w="3828" w:type="dxa"/>
            <w:tcBorders>
              <w:top w:val="nil"/>
              <w:left w:val="nil"/>
              <w:bottom w:val="nil"/>
              <w:right w:val="nil"/>
            </w:tcBorders>
            <w:shd w:val="clear" w:color="auto" w:fill="auto"/>
            <w:noWrap/>
            <w:vAlign w:val="bottom"/>
            <w:hideMark/>
          </w:tcPr>
          <w:p w14:paraId="471998A0"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Daňové príjmy VÚC</w:t>
            </w:r>
          </w:p>
        </w:tc>
        <w:tc>
          <w:tcPr>
            <w:tcW w:w="874" w:type="dxa"/>
            <w:tcBorders>
              <w:top w:val="nil"/>
              <w:left w:val="nil"/>
              <w:right w:val="nil"/>
            </w:tcBorders>
            <w:shd w:val="clear" w:color="auto" w:fill="auto"/>
            <w:noWrap/>
            <w:vAlign w:val="center"/>
            <w:hideMark/>
          </w:tcPr>
          <w:p w14:paraId="3C0119A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982 493</w:t>
            </w:r>
          </w:p>
        </w:tc>
        <w:tc>
          <w:tcPr>
            <w:tcW w:w="874" w:type="dxa"/>
            <w:tcBorders>
              <w:top w:val="nil"/>
              <w:left w:val="nil"/>
              <w:right w:val="nil"/>
            </w:tcBorders>
            <w:shd w:val="clear" w:color="auto" w:fill="auto"/>
            <w:noWrap/>
            <w:vAlign w:val="center"/>
            <w:hideMark/>
          </w:tcPr>
          <w:p w14:paraId="1142DCB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1 080 231</w:t>
            </w:r>
          </w:p>
        </w:tc>
        <w:tc>
          <w:tcPr>
            <w:tcW w:w="874" w:type="dxa"/>
            <w:tcBorders>
              <w:top w:val="nil"/>
              <w:left w:val="nil"/>
              <w:right w:val="nil"/>
            </w:tcBorders>
            <w:shd w:val="clear" w:color="auto" w:fill="auto"/>
            <w:noWrap/>
            <w:vAlign w:val="center"/>
            <w:hideMark/>
          </w:tcPr>
          <w:p w14:paraId="4D1AFEC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1 155 127</w:t>
            </w:r>
          </w:p>
        </w:tc>
        <w:tc>
          <w:tcPr>
            <w:tcW w:w="874" w:type="dxa"/>
            <w:tcBorders>
              <w:top w:val="nil"/>
              <w:left w:val="nil"/>
              <w:right w:val="nil"/>
            </w:tcBorders>
            <w:shd w:val="clear" w:color="auto" w:fill="auto"/>
            <w:noWrap/>
            <w:vAlign w:val="center"/>
            <w:hideMark/>
          </w:tcPr>
          <w:p w14:paraId="1FADC48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1 166 978</w:t>
            </w:r>
          </w:p>
        </w:tc>
        <w:tc>
          <w:tcPr>
            <w:tcW w:w="874" w:type="dxa"/>
            <w:tcBorders>
              <w:top w:val="nil"/>
              <w:left w:val="nil"/>
              <w:right w:val="nil"/>
            </w:tcBorders>
            <w:shd w:val="clear" w:color="auto" w:fill="auto"/>
            <w:noWrap/>
            <w:vAlign w:val="center"/>
            <w:hideMark/>
          </w:tcPr>
          <w:p w14:paraId="685968E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1 212 430</w:t>
            </w:r>
          </w:p>
        </w:tc>
        <w:tc>
          <w:tcPr>
            <w:tcW w:w="874" w:type="dxa"/>
            <w:tcBorders>
              <w:top w:val="nil"/>
              <w:left w:val="nil"/>
              <w:right w:val="nil"/>
            </w:tcBorders>
            <w:shd w:val="clear" w:color="auto" w:fill="auto"/>
            <w:noWrap/>
            <w:vAlign w:val="center"/>
            <w:hideMark/>
          </w:tcPr>
          <w:p w14:paraId="4919408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1 340 064</w:t>
            </w:r>
          </w:p>
        </w:tc>
      </w:tr>
      <w:tr w:rsidR="00D94493" w:rsidRPr="00D94493" w14:paraId="20462B28" w14:textId="77777777" w:rsidTr="00D94493">
        <w:trPr>
          <w:trHeight w:val="113"/>
        </w:trPr>
        <w:tc>
          <w:tcPr>
            <w:tcW w:w="3828" w:type="dxa"/>
            <w:tcBorders>
              <w:top w:val="nil"/>
              <w:left w:val="nil"/>
              <w:bottom w:val="nil"/>
              <w:right w:val="nil"/>
            </w:tcBorders>
            <w:shd w:val="clear" w:color="auto" w:fill="auto"/>
            <w:noWrap/>
            <w:vAlign w:val="bottom"/>
            <w:hideMark/>
          </w:tcPr>
          <w:p w14:paraId="4B6BFE98"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 xml:space="preserve">Daňové príjmy Rozhlasu a televízie Slovenska </w:t>
            </w:r>
          </w:p>
        </w:tc>
        <w:tc>
          <w:tcPr>
            <w:tcW w:w="874" w:type="dxa"/>
            <w:tcBorders>
              <w:top w:val="nil"/>
              <w:left w:val="nil"/>
              <w:bottom w:val="nil"/>
              <w:right w:val="nil"/>
            </w:tcBorders>
            <w:shd w:val="clear" w:color="auto" w:fill="auto"/>
            <w:noWrap/>
            <w:vAlign w:val="center"/>
            <w:hideMark/>
          </w:tcPr>
          <w:p w14:paraId="0912F7C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76 294</w:t>
            </w:r>
          </w:p>
        </w:tc>
        <w:tc>
          <w:tcPr>
            <w:tcW w:w="874" w:type="dxa"/>
            <w:tcBorders>
              <w:top w:val="nil"/>
              <w:left w:val="nil"/>
              <w:bottom w:val="nil"/>
              <w:right w:val="nil"/>
            </w:tcBorders>
            <w:shd w:val="clear" w:color="auto" w:fill="auto"/>
            <w:noWrap/>
            <w:vAlign w:val="center"/>
            <w:hideMark/>
          </w:tcPr>
          <w:p w14:paraId="37B7FF4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74 305</w:t>
            </w:r>
          </w:p>
        </w:tc>
        <w:tc>
          <w:tcPr>
            <w:tcW w:w="874" w:type="dxa"/>
            <w:tcBorders>
              <w:top w:val="nil"/>
              <w:left w:val="nil"/>
              <w:bottom w:val="nil"/>
              <w:right w:val="nil"/>
            </w:tcBorders>
            <w:shd w:val="clear" w:color="auto" w:fill="auto"/>
            <w:noWrap/>
            <w:vAlign w:val="center"/>
            <w:hideMark/>
          </w:tcPr>
          <w:p w14:paraId="28C9484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43 596</w:t>
            </w:r>
          </w:p>
        </w:tc>
        <w:tc>
          <w:tcPr>
            <w:tcW w:w="874" w:type="dxa"/>
            <w:tcBorders>
              <w:top w:val="nil"/>
              <w:left w:val="nil"/>
              <w:bottom w:val="nil"/>
              <w:right w:val="nil"/>
            </w:tcBorders>
            <w:shd w:val="clear" w:color="auto" w:fill="auto"/>
            <w:noWrap/>
            <w:vAlign w:val="center"/>
            <w:hideMark/>
          </w:tcPr>
          <w:p w14:paraId="4CE6541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3B35963B"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c>
          <w:tcPr>
            <w:tcW w:w="874" w:type="dxa"/>
            <w:tcBorders>
              <w:top w:val="nil"/>
              <w:left w:val="nil"/>
              <w:bottom w:val="nil"/>
              <w:right w:val="nil"/>
            </w:tcBorders>
            <w:shd w:val="clear" w:color="auto" w:fill="auto"/>
            <w:noWrap/>
            <w:vAlign w:val="center"/>
            <w:hideMark/>
          </w:tcPr>
          <w:p w14:paraId="11D12A08"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0</w:t>
            </w:r>
          </w:p>
        </w:tc>
      </w:tr>
      <w:tr w:rsidR="00D94493" w:rsidRPr="00D94493" w14:paraId="605CE7F2" w14:textId="77777777" w:rsidTr="00D94493">
        <w:trPr>
          <w:trHeight w:val="113"/>
        </w:trPr>
        <w:tc>
          <w:tcPr>
            <w:tcW w:w="3828" w:type="dxa"/>
            <w:tcBorders>
              <w:top w:val="nil"/>
              <w:left w:val="nil"/>
              <w:bottom w:val="nil"/>
              <w:right w:val="nil"/>
            </w:tcBorders>
            <w:shd w:val="clear" w:color="auto" w:fill="auto"/>
            <w:noWrap/>
            <w:vAlign w:val="bottom"/>
            <w:hideMark/>
          </w:tcPr>
          <w:p w14:paraId="3EF2647D" w14:textId="77777777" w:rsidR="00D94493" w:rsidRPr="00D94493" w:rsidRDefault="00D94493" w:rsidP="00D94493">
            <w:pPr>
              <w:spacing w:after="0" w:line="240" w:lineRule="auto"/>
              <w:ind w:firstLineChars="200" w:firstLine="280"/>
              <w:rPr>
                <w:rFonts w:ascii="Times New Roman" w:eastAsia="Calibri" w:hAnsi="Times New Roman" w:cs="Times New Roman"/>
                <w:sz w:val="14"/>
                <w:szCs w:val="14"/>
                <w:lang w:eastAsia="sk-SK"/>
              </w:rPr>
            </w:pPr>
            <w:r w:rsidRPr="00D94493">
              <w:rPr>
                <w:rFonts w:ascii="Times New Roman" w:eastAsia="Calibri" w:hAnsi="Times New Roman" w:cs="Times New Roman"/>
                <w:sz w:val="14"/>
                <w:szCs w:val="14"/>
                <w:lang w:eastAsia="sk-SK"/>
              </w:rPr>
              <w:t>Environmentálny fond</w:t>
            </w:r>
          </w:p>
        </w:tc>
        <w:tc>
          <w:tcPr>
            <w:tcW w:w="874" w:type="dxa"/>
            <w:tcBorders>
              <w:left w:val="nil"/>
              <w:bottom w:val="single" w:sz="4" w:space="0" w:color="auto"/>
              <w:right w:val="nil"/>
            </w:tcBorders>
            <w:shd w:val="clear" w:color="auto" w:fill="auto"/>
            <w:noWrap/>
            <w:vAlign w:val="center"/>
            <w:hideMark/>
          </w:tcPr>
          <w:p w14:paraId="7405E9C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31 949</w:t>
            </w:r>
          </w:p>
        </w:tc>
        <w:tc>
          <w:tcPr>
            <w:tcW w:w="874" w:type="dxa"/>
            <w:tcBorders>
              <w:left w:val="nil"/>
              <w:bottom w:val="single" w:sz="4" w:space="0" w:color="auto"/>
              <w:right w:val="nil"/>
            </w:tcBorders>
            <w:shd w:val="clear" w:color="auto" w:fill="auto"/>
            <w:noWrap/>
            <w:vAlign w:val="center"/>
            <w:hideMark/>
          </w:tcPr>
          <w:p w14:paraId="21E62D0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32 038</w:t>
            </w:r>
          </w:p>
        </w:tc>
        <w:tc>
          <w:tcPr>
            <w:tcW w:w="874" w:type="dxa"/>
            <w:tcBorders>
              <w:left w:val="nil"/>
              <w:bottom w:val="single" w:sz="4" w:space="0" w:color="auto"/>
              <w:right w:val="nil"/>
            </w:tcBorders>
            <w:shd w:val="clear" w:color="auto" w:fill="auto"/>
            <w:noWrap/>
            <w:vAlign w:val="center"/>
            <w:hideMark/>
          </w:tcPr>
          <w:p w14:paraId="1659D570"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31 645</w:t>
            </w:r>
          </w:p>
        </w:tc>
        <w:tc>
          <w:tcPr>
            <w:tcW w:w="874" w:type="dxa"/>
            <w:tcBorders>
              <w:left w:val="nil"/>
              <w:bottom w:val="single" w:sz="4" w:space="0" w:color="auto"/>
              <w:right w:val="nil"/>
            </w:tcBorders>
            <w:shd w:val="clear" w:color="auto" w:fill="auto"/>
            <w:noWrap/>
            <w:vAlign w:val="center"/>
            <w:hideMark/>
          </w:tcPr>
          <w:p w14:paraId="0F5DDB25"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31 870</w:t>
            </w:r>
          </w:p>
        </w:tc>
        <w:tc>
          <w:tcPr>
            <w:tcW w:w="874" w:type="dxa"/>
            <w:tcBorders>
              <w:left w:val="nil"/>
              <w:bottom w:val="single" w:sz="4" w:space="0" w:color="auto"/>
              <w:right w:val="nil"/>
            </w:tcBorders>
            <w:shd w:val="clear" w:color="auto" w:fill="auto"/>
            <w:noWrap/>
            <w:vAlign w:val="center"/>
            <w:hideMark/>
          </w:tcPr>
          <w:p w14:paraId="1EACC96C"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17 716</w:t>
            </w:r>
          </w:p>
        </w:tc>
        <w:tc>
          <w:tcPr>
            <w:tcW w:w="874" w:type="dxa"/>
            <w:tcBorders>
              <w:left w:val="nil"/>
              <w:bottom w:val="single" w:sz="4" w:space="0" w:color="auto"/>
              <w:right w:val="nil"/>
            </w:tcBorders>
            <w:shd w:val="clear" w:color="auto" w:fill="auto"/>
            <w:noWrap/>
            <w:vAlign w:val="center"/>
            <w:hideMark/>
          </w:tcPr>
          <w:p w14:paraId="65B809CD" w14:textId="77777777" w:rsidR="00D94493" w:rsidRPr="00D94493" w:rsidRDefault="00D94493" w:rsidP="00D94493">
            <w:pPr>
              <w:spacing w:after="0" w:line="240" w:lineRule="auto"/>
              <w:jc w:val="right"/>
              <w:rPr>
                <w:rFonts w:ascii="Times New Roman" w:eastAsia="Calibri" w:hAnsi="Times New Roman" w:cs="Times New Roman"/>
                <w:color w:val="FF0000"/>
                <w:sz w:val="14"/>
                <w:szCs w:val="14"/>
                <w:highlight w:val="yellow"/>
                <w:lang w:eastAsia="sk-SK"/>
              </w:rPr>
            </w:pPr>
            <w:r w:rsidRPr="00D94493">
              <w:rPr>
                <w:rFonts w:ascii="Times New Roman" w:eastAsia="Calibri" w:hAnsi="Times New Roman" w:cs="Times New Roman"/>
                <w:sz w:val="14"/>
                <w:szCs w:val="14"/>
              </w:rPr>
              <w:t>18 250</w:t>
            </w:r>
          </w:p>
        </w:tc>
      </w:tr>
      <w:tr w:rsidR="00D94493" w:rsidRPr="00D94493" w14:paraId="0978F4DC" w14:textId="77777777" w:rsidTr="00D94493">
        <w:trPr>
          <w:trHeight w:val="113"/>
        </w:trPr>
        <w:tc>
          <w:tcPr>
            <w:tcW w:w="3828" w:type="dxa"/>
            <w:tcBorders>
              <w:top w:val="single" w:sz="4" w:space="0" w:color="auto"/>
              <w:left w:val="nil"/>
              <w:bottom w:val="single" w:sz="4" w:space="0" w:color="auto"/>
              <w:right w:val="nil"/>
            </w:tcBorders>
            <w:shd w:val="clear" w:color="auto" w:fill="auto"/>
            <w:vAlign w:val="bottom"/>
            <w:hideMark/>
          </w:tcPr>
          <w:p w14:paraId="673B0D06" w14:textId="77777777" w:rsidR="00D94493" w:rsidRPr="00D94493" w:rsidRDefault="00D94493" w:rsidP="00D94493">
            <w:pPr>
              <w:spacing w:after="0" w:line="240" w:lineRule="auto"/>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FSZP spolu</w:t>
            </w:r>
          </w:p>
        </w:tc>
        <w:tc>
          <w:tcPr>
            <w:tcW w:w="874" w:type="dxa"/>
            <w:tcBorders>
              <w:top w:val="nil"/>
              <w:left w:val="nil"/>
              <w:bottom w:val="single" w:sz="4" w:space="0" w:color="auto"/>
              <w:right w:val="nil"/>
            </w:tcBorders>
            <w:shd w:val="clear" w:color="auto" w:fill="auto"/>
            <w:noWrap/>
            <w:vAlign w:val="center"/>
            <w:hideMark/>
          </w:tcPr>
          <w:p w14:paraId="5F6F7E69"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12 948 779</w:t>
            </w:r>
          </w:p>
        </w:tc>
        <w:tc>
          <w:tcPr>
            <w:tcW w:w="874" w:type="dxa"/>
            <w:tcBorders>
              <w:top w:val="nil"/>
              <w:left w:val="nil"/>
              <w:bottom w:val="single" w:sz="4" w:space="0" w:color="auto"/>
              <w:right w:val="nil"/>
            </w:tcBorders>
            <w:shd w:val="clear" w:color="auto" w:fill="auto"/>
            <w:noWrap/>
            <w:vAlign w:val="center"/>
            <w:hideMark/>
          </w:tcPr>
          <w:p w14:paraId="53517D2D"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14 197 310</w:t>
            </w:r>
          </w:p>
        </w:tc>
        <w:tc>
          <w:tcPr>
            <w:tcW w:w="874" w:type="dxa"/>
            <w:tcBorders>
              <w:top w:val="nil"/>
              <w:left w:val="nil"/>
              <w:bottom w:val="single" w:sz="4" w:space="0" w:color="auto"/>
              <w:right w:val="nil"/>
            </w:tcBorders>
            <w:shd w:val="clear" w:color="auto" w:fill="auto"/>
            <w:noWrap/>
            <w:vAlign w:val="center"/>
            <w:hideMark/>
          </w:tcPr>
          <w:p w14:paraId="783C0AED"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15 253 756</w:t>
            </w:r>
          </w:p>
        </w:tc>
        <w:tc>
          <w:tcPr>
            <w:tcW w:w="874" w:type="dxa"/>
            <w:tcBorders>
              <w:top w:val="nil"/>
              <w:left w:val="nil"/>
              <w:bottom w:val="single" w:sz="4" w:space="0" w:color="auto"/>
              <w:right w:val="nil"/>
            </w:tcBorders>
            <w:shd w:val="clear" w:color="auto" w:fill="auto"/>
            <w:noWrap/>
            <w:vAlign w:val="center"/>
            <w:hideMark/>
          </w:tcPr>
          <w:p w14:paraId="327C0F4C"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17 198 654</w:t>
            </w:r>
          </w:p>
        </w:tc>
        <w:tc>
          <w:tcPr>
            <w:tcW w:w="874" w:type="dxa"/>
            <w:tcBorders>
              <w:top w:val="nil"/>
              <w:left w:val="nil"/>
              <w:bottom w:val="single" w:sz="4" w:space="0" w:color="auto"/>
              <w:right w:val="nil"/>
            </w:tcBorders>
            <w:shd w:val="clear" w:color="auto" w:fill="auto"/>
            <w:noWrap/>
            <w:vAlign w:val="center"/>
            <w:hideMark/>
          </w:tcPr>
          <w:p w14:paraId="5C63B159"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18 164 605</w:t>
            </w:r>
          </w:p>
        </w:tc>
        <w:tc>
          <w:tcPr>
            <w:tcW w:w="874" w:type="dxa"/>
            <w:tcBorders>
              <w:top w:val="nil"/>
              <w:left w:val="nil"/>
              <w:bottom w:val="single" w:sz="4" w:space="0" w:color="auto"/>
              <w:right w:val="nil"/>
            </w:tcBorders>
            <w:shd w:val="clear" w:color="auto" w:fill="auto"/>
            <w:noWrap/>
            <w:vAlign w:val="center"/>
            <w:hideMark/>
          </w:tcPr>
          <w:p w14:paraId="77977BE5"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18 951 321</w:t>
            </w:r>
          </w:p>
        </w:tc>
      </w:tr>
      <w:tr w:rsidR="00D94493" w:rsidRPr="00D94493" w14:paraId="2DD76D15" w14:textId="77777777" w:rsidTr="00D94493">
        <w:trPr>
          <w:trHeight w:val="113"/>
        </w:trPr>
        <w:tc>
          <w:tcPr>
            <w:tcW w:w="3828" w:type="dxa"/>
            <w:tcBorders>
              <w:top w:val="nil"/>
              <w:left w:val="nil"/>
              <w:bottom w:val="single" w:sz="4" w:space="0" w:color="auto"/>
              <w:right w:val="nil"/>
            </w:tcBorders>
            <w:shd w:val="clear" w:color="auto" w:fill="auto"/>
            <w:vAlign w:val="bottom"/>
            <w:hideMark/>
          </w:tcPr>
          <w:p w14:paraId="0056485C" w14:textId="77777777" w:rsidR="00D94493" w:rsidRPr="00D94493" w:rsidRDefault="00D94493" w:rsidP="00D94493">
            <w:pPr>
              <w:spacing w:after="0" w:line="240" w:lineRule="auto"/>
              <w:rPr>
                <w:rFonts w:ascii="Times New Roman" w:eastAsia="Calibri" w:hAnsi="Times New Roman" w:cs="Times New Roman"/>
                <w:b/>
                <w:bCs/>
                <w:sz w:val="14"/>
                <w:szCs w:val="14"/>
                <w:lang w:eastAsia="sk-SK"/>
              </w:rPr>
            </w:pPr>
            <w:r w:rsidRPr="00D94493">
              <w:rPr>
                <w:rFonts w:ascii="Times New Roman" w:eastAsia="Calibri" w:hAnsi="Times New Roman" w:cs="Times New Roman"/>
                <w:b/>
                <w:bCs/>
                <w:sz w:val="14"/>
                <w:szCs w:val="14"/>
                <w:lang w:eastAsia="sk-SK"/>
              </w:rPr>
              <w:t>Daňové príjmy a príjmy FSZP spolu</w:t>
            </w:r>
          </w:p>
        </w:tc>
        <w:tc>
          <w:tcPr>
            <w:tcW w:w="874" w:type="dxa"/>
            <w:tcBorders>
              <w:top w:val="nil"/>
              <w:left w:val="nil"/>
              <w:bottom w:val="single" w:sz="4" w:space="0" w:color="auto"/>
              <w:right w:val="nil"/>
            </w:tcBorders>
            <w:shd w:val="clear" w:color="auto" w:fill="auto"/>
            <w:noWrap/>
            <w:vAlign w:val="center"/>
          </w:tcPr>
          <w:p w14:paraId="092299E3"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30 702 620</w:t>
            </w:r>
          </w:p>
        </w:tc>
        <w:tc>
          <w:tcPr>
            <w:tcW w:w="874" w:type="dxa"/>
            <w:tcBorders>
              <w:top w:val="nil"/>
              <w:left w:val="nil"/>
              <w:bottom w:val="single" w:sz="4" w:space="0" w:color="auto"/>
              <w:right w:val="nil"/>
            </w:tcBorders>
            <w:shd w:val="clear" w:color="auto" w:fill="auto"/>
            <w:noWrap/>
            <w:vAlign w:val="center"/>
          </w:tcPr>
          <w:p w14:paraId="0F76503E"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34 227 924</w:t>
            </w:r>
          </w:p>
        </w:tc>
        <w:tc>
          <w:tcPr>
            <w:tcW w:w="874" w:type="dxa"/>
            <w:tcBorders>
              <w:top w:val="nil"/>
              <w:left w:val="nil"/>
              <w:bottom w:val="single" w:sz="4" w:space="0" w:color="auto"/>
              <w:right w:val="nil"/>
            </w:tcBorders>
            <w:shd w:val="clear" w:color="auto" w:fill="auto"/>
            <w:noWrap/>
            <w:vAlign w:val="center"/>
          </w:tcPr>
          <w:p w14:paraId="48F113E9"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37 482 822</w:t>
            </w:r>
          </w:p>
        </w:tc>
        <w:tc>
          <w:tcPr>
            <w:tcW w:w="874" w:type="dxa"/>
            <w:tcBorders>
              <w:top w:val="nil"/>
              <w:left w:val="nil"/>
              <w:bottom w:val="single" w:sz="4" w:space="0" w:color="auto"/>
              <w:right w:val="nil"/>
            </w:tcBorders>
            <w:shd w:val="clear" w:color="auto" w:fill="auto"/>
            <w:noWrap/>
            <w:vAlign w:val="center"/>
          </w:tcPr>
          <w:p w14:paraId="6395A17B"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40 566 169</w:t>
            </w:r>
          </w:p>
        </w:tc>
        <w:tc>
          <w:tcPr>
            <w:tcW w:w="874" w:type="dxa"/>
            <w:tcBorders>
              <w:top w:val="nil"/>
              <w:left w:val="nil"/>
              <w:bottom w:val="single" w:sz="4" w:space="0" w:color="auto"/>
              <w:right w:val="nil"/>
            </w:tcBorders>
            <w:shd w:val="clear" w:color="auto" w:fill="auto"/>
            <w:noWrap/>
            <w:vAlign w:val="center"/>
          </w:tcPr>
          <w:p w14:paraId="7E60C6F1"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42 496 540</w:t>
            </w:r>
          </w:p>
        </w:tc>
        <w:tc>
          <w:tcPr>
            <w:tcW w:w="874" w:type="dxa"/>
            <w:tcBorders>
              <w:top w:val="nil"/>
              <w:left w:val="nil"/>
              <w:bottom w:val="single" w:sz="4" w:space="0" w:color="auto"/>
              <w:right w:val="nil"/>
            </w:tcBorders>
            <w:shd w:val="clear" w:color="auto" w:fill="auto"/>
            <w:noWrap/>
            <w:vAlign w:val="center"/>
          </w:tcPr>
          <w:p w14:paraId="61BD14E5" w14:textId="77777777" w:rsidR="00D94493" w:rsidRPr="00D94493" w:rsidRDefault="00D94493" w:rsidP="00D94493">
            <w:pPr>
              <w:spacing w:after="0" w:line="240" w:lineRule="auto"/>
              <w:jc w:val="right"/>
              <w:rPr>
                <w:rFonts w:ascii="Times New Roman" w:eastAsia="Calibri" w:hAnsi="Times New Roman" w:cs="Times New Roman"/>
                <w:b/>
                <w:bCs/>
                <w:color w:val="FF0000"/>
                <w:sz w:val="14"/>
                <w:szCs w:val="14"/>
                <w:highlight w:val="yellow"/>
                <w:lang w:eastAsia="sk-SK"/>
              </w:rPr>
            </w:pPr>
            <w:r w:rsidRPr="00D94493">
              <w:rPr>
                <w:rFonts w:ascii="Times New Roman" w:eastAsia="Calibri" w:hAnsi="Times New Roman" w:cs="Times New Roman"/>
                <w:b/>
                <w:bCs/>
                <w:sz w:val="14"/>
                <w:szCs w:val="14"/>
              </w:rPr>
              <w:t>43 894 130</w:t>
            </w:r>
          </w:p>
        </w:tc>
      </w:tr>
    </w:tbl>
    <w:p w14:paraId="3C809AF1" w14:textId="77777777" w:rsidR="00D94493" w:rsidRPr="00D94493" w:rsidRDefault="00D94493" w:rsidP="00D94493">
      <w:pPr>
        <w:jc w:val="both"/>
        <w:rPr>
          <w:rFonts w:ascii="Times New Roman" w:eastAsia="Calibri" w:hAnsi="Times New Roman" w:cs="Times New Roman"/>
        </w:rPr>
      </w:pPr>
      <w:r w:rsidRPr="00D94493">
        <w:rPr>
          <w:rFonts w:ascii="Times New Roman" w:eastAsia="Calibri" w:hAnsi="Times New Roman" w:cs="Times New Roman"/>
        </w:rPr>
        <w:tab/>
      </w:r>
      <w:r w:rsidRPr="00D94493">
        <w:rPr>
          <w:rFonts w:ascii="Times New Roman" w:eastAsia="Calibri" w:hAnsi="Times New Roman" w:cs="Times New Roman"/>
        </w:rPr>
        <w:tab/>
      </w:r>
      <w:r w:rsidRPr="00D94493">
        <w:rPr>
          <w:rFonts w:ascii="Times New Roman" w:eastAsia="Calibri" w:hAnsi="Times New Roman" w:cs="Times New Roman"/>
        </w:rPr>
        <w:tab/>
      </w:r>
      <w:r w:rsidRPr="00D94493">
        <w:rPr>
          <w:rFonts w:ascii="Times New Roman" w:eastAsia="Calibri" w:hAnsi="Times New Roman" w:cs="Times New Roman"/>
        </w:rPr>
        <w:tab/>
      </w:r>
      <w:r w:rsidRPr="00D94493">
        <w:rPr>
          <w:rFonts w:ascii="Times New Roman" w:eastAsia="Calibri" w:hAnsi="Times New Roman" w:cs="Times New Roman"/>
        </w:rPr>
        <w:tab/>
      </w:r>
      <w:r w:rsidRPr="00D94493">
        <w:rPr>
          <w:rFonts w:ascii="Times New Roman" w:eastAsia="Calibri" w:hAnsi="Times New Roman" w:cs="Times New Roman"/>
        </w:rPr>
        <w:tab/>
      </w:r>
      <w:r w:rsidRPr="00D94493">
        <w:rPr>
          <w:rFonts w:ascii="Times New Roman" w:eastAsia="Calibri" w:hAnsi="Times New Roman" w:cs="Times New Roman"/>
        </w:rPr>
        <w:tab/>
      </w:r>
      <w:r w:rsidRPr="00D94493">
        <w:rPr>
          <w:rFonts w:ascii="Times New Roman" w:eastAsia="Calibri" w:hAnsi="Times New Roman" w:cs="Times New Roman"/>
        </w:rPr>
        <w:tab/>
      </w:r>
      <w:r w:rsidRPr="00D94493">
        <w:rPr>
          <w:rFonts w:ascii="Times New Roman" w:eastAsia="Calibri" w:hAnsi="Times New Roman" w:cs="Times New Roman"/>
        </w:rPr>
        <w:tab/>
      </w:r>
      <w:r w:rsidRPr="00D94493">
        <w:rPr>
          <w:rFonts w:ascii="Times New Roman" w:eastAsia="Calibri" w:hAnsi="Times New Roman" w:cs="Times New Roman"/>
        </w:rPr>
        <w:tab/>
      </w:r>
      <w:r w:rsidRPr="00D94493">
        <w:rPr>
          <w:rFonts w:ascii="Times New Roman" w:eastAsia="Calibri" w:hAnsi="Times New Roman" w:cs="Times New Roman"/>
        </w:rPr>
        <w:tab/>
        <w:t xml:space="preserve">      </w:t>
      </w:r>
      <w:r w:rsidRPr="00D94493">
        <w:rPr>
          <w:rFonts w:ascii="Times New Roman" w:eastAsia="Calibri" w:hAnsi="Times New Roman" w:cs="Times New Roman"/>
          <w:bCs/>
          <w:i/>
          <w:sz w:val="16"/>
        </w:rPr>
        <w:t>Zdroj: MF SR</w:t>
      </w:r>
    </w:p>
    <w:p w14:paraId="2CC4E100" w14:textId="77777777" w:rsidR="00D94493" w:rsidRPr="00D94493" w:rsidRDefault="00D94493" w:rsidP="00D94493">
      <w:pPr>
        <w:spacing w:after="0"/>
        <w:jc w:val="both"/>
        <w:rPr>
          <w:rFonts w:ascii="Times New Roman" w:eastAsia="Calibri" w:hAnsi="Times New Roman" w:cs="Times New Roman"/>
          <w:sz w:val="24"/>
        </w:rPr>
      </w:pPr>
      <w:r w:rsidRPr="00D94493">
        <w:rPr>
          <w:rFonts w:ascii="Times New Roman" w:eastAsia="Calibri" w:hAnsi="Times New Roman" w:cs="Times New Roman"/>
          <w:sz w:val="24"/>
        </w:rPr>
        <w:lastRenderedPageBreak/>
        <w:t>V súlade s klasifikáciou je predpokladaná výška sankcií k jednotlivým daniam uvedená v osobitnej tabuľke.</w:t>
      </w:r>
    </w:p>
    <w:p w14:paraId="17F8817D" w14:textId="77777777" w:rsidR="00D94493" w:rsidRPr="00D94493" w:rsidRDefault="00D94493" w:rsidP="00D94493">
      <w:pPr>
        <w:spacing w:after="0"/>
        <w:jc w:val="both"/>
        <w:rPr>
          <w:rFonts w:ascii="Times New Roman" w:hAnsi="Times New Roman" w:cs="Times New Roman"/>
          <w:sz w:val="24"/>
        </w:rPr>
      </w:pPr>
    </w:p>
    <w:p w14:paraId="338C4CA3" w14:textId="1F01260F" w:rsidR="00D94493" w:rsidRPr="00D94493" w:rsidRDefault="00D94493" w:rsidP="00D94493">
      <w:pPr>
        <w:keepNext/>
        <w:spacing w:after="0" w:line="240" w:lineRule="auto"/>
        <w:rPr>
          <w:rFonts w:ascii="Times New Roman" w:eastAsia="Calibri" w:hAnsi="Times New Roman" w:cs="Times New Roman"/>
          <w:b/>
          <w:iCs/>
          <w:color w:val="5B9BD5"/>
          <w:sz w:val="20"/>
          <w:szCs w:val="18"/>
          <w:vertAlign w:val="superscript"/>
        </w:rPr>
      </w:pPr>
      <w:bookmarkStart w:id="96" w:name="_Toc53086353"/>
      <w:bookmarkStart w:id="97" w:name="_Toc153013024"/>
      <w:r w:rsidRPr="00D94493">
        <w:rPr>
          <w:rFonts w:ascii="Times New Roman" w:eastAsia="Calibri" w:hAnsi="Times New Roman" w:cs="Times New Roman"/>
          <w:b/>
          <w:iCs/>
          <w:color w:val="5B9BD5"/>
          <w:sz w:val="20"/>
          <w:szCs w:val="18"/>
        </w:rPr>
        <w:t xml:space="preserve">Tabuľka </w:t>
      </w:r>
      <w:r w:rsidRPr="00D94493">
        <w:rPr>
          <w:rFonts w:ascii="Times New Roman" w:eastAsia="Calibri" w:hAnsi="Times New Roman" w:cs="Times New Roman"/>
          <w:b/>
          <w:iCs/>
          <w:color w:val="5B9BD5"/>
          <w:sz w:val="20"/>
          <w:szCs w:val="18"/>
        </w:rPr>
        <w:fldChar w:fldCharType="begin"/>
      </w:r>
      <w:r w:rsidRPr="00D94493">
        <w:rPr>
          <w:rFonts w:ascii="Times New Roman" w:eastAsia="Calibri" w:hAnsi="Times New Roman" w:cs="Times New Roman"/>
          <w:b/>
          <w:iCs/>
          <w:color w:val="5B9BD5"/>
          <w:sz w:val="20"/>
          <w:szCs w:val="18"/>
        </w:rPr>
        <w:instrText xml:space="preserve"> SEQ Tabuľka \* ARABIC </w:instrText>
      </w:r>
      <w:r w:rsidRPr="00D94493">
        <w:rPr>
          <w:rFonts w:ascii="Times New Roman" w:eastAsia="Calibri" w:hAnsi="Times New Roman" w:cs="Times New Roman"/>
          <w:b/>
          <w:iCs/>
          <w:color w:val="5B9BD5"/>
          <w:sz w:val="20"/>
          <w:szCs w:val="18"/>
        </w:rPr>
        <w:fldChar w:fldCharType="separate"/>
      </w:r>
      <w:r w:rsidR="003D5A3A">
        <w:rPr>
          <w:rFonts w:ascii="Times New Roman" w:eastAsia="Calibri" w:hAnsi="Times New Roman" w:cs="Times New Roman"/>
          <w:b/>
          <w:iCs/>
          <w:noProof/>
          <w:color w:val="5B9BD5"/>
          <w:sz w:val="20"/>
          <w:szCs w:val="18"/>
        </w:rPr>
        <w:t>26</w:t>
      </w:r>
      <w:r w:rsidRPr="00D94493">
        <w:rPr>
          <w:rFonts w:ascii="Times New Roman" w:eastAsia="Calibri" w:hAnsi="Times New Roman" w:cs="Times New Roman"/>
          <w:b/>
          <w:iCs/>
          <w:color w:val="5B9BD5"/>
          <w:sz w:val="20"/>
          <w:szCs w:val="18"/>
        </w:rPr>
        <w:fldChar w:fldCharType="end"/>
      </w:r>
      <w:r w:rsidRPr="00D94493">
        <w:rPr>
          <w:rFonts w:ascii="Times New Roman" w:eastAsia="Calibri" w:hAnsi="Times New Roman" w:cs="Times New Roman"/>
          <w:b/>
          <w:iCs/>
          <w:color w:val="5B9BD5"/>
          <w:sz w:val="20"/>
          <w:szCs w:val="18"/>
        </w:rPr>
        <w:t xml:space="preserve"> - Predpokladaný vývoj sankcií (v tis. eur)</w:t>
      </w:r>
      <w:r w:rsidRPr="00D94493">
        <w:rPr>
          <w:rFonts w:ascii="Times New Roman" w:eastAsia="Calibri" w:hAnsi="Times New Roman" w:cs="Times New Roman"/>
          <w:b/>
          <w:iCs/>
          <w:color w:val="5B9BD5"/>
          <w:sz w:val="20"/>
          <w:szCs w:val="18"/>
          <w:vertAlign w:val="superscript"/>
        </w:rPr>
        <w:t>*</w:t>
      </w:r>
      <w:bookmarkEnd w:id="96"/>
      <w:bookmarkEnd w:id="97"/>
    </w:p>
    <w:tbl>
      <w:tblPr>
        <w:tblW w:w="5000" w:type="pct"/>
        <w:tblLayout w:type="fixed"/>
        <w:tblCellMar>
          <w:left w:w="70" w:type="dxa"/>
          <w:right w:w="70" w:type="dxa"/>
        </w:tblCellMar>
        <w:tblLook w:val="04A0" w:firstRow="1" w:lastRow="0" w:firstColumn="1" w:lastColumn="0" w:noHBand="0" w:noVBand="1"/>
      </w:tblPr>
      <w:tblGrid>
        <w:gridCol w:w="4329"/>
        <w:gridCol w:w="786"/>
        <w:gridCol w:w="788"/>
        <w:gridCol w:w="51"/>
        <w:gridCol w:w="741"/>
        <w:gridCol w:w="37"/>
        <w:gridCol w:w="585"/>
        <w:gridCol w:w="168"/>
        <w:gridCol w:w="797"/>
        <w:gridCol w:w="790"/>
      </w:tblGrid>
      <w:tr w:rsidR="00D94493" w:rsidRPr="00D94493" w14:paraId="0BDA002B" w14:textId="77777777" w:rsidTr="00D94493">
        <w:trPr>
          <w:trHeight w:val="148"/>
        </w:trPr>
        <w:tc>
          <w:tcPr>
            <w:tcW w:w="4329" w:type="dxa"/>
            <w:tcBorders>
              <w:top w:val="single" w:sz="4" w:space="0" w:color="auto"/>
              <w:left w:val="nil"/>
              <w:bottom w:val="single" w:sz="4" w:space="0" w:color="auto"/>
              <w:right w:val="nil"/>
            </w:tcBorders>
            <w:shd w:val="clear" w:color="auto" w:fill="auto"/>
            <w:noWrap/>
            <w:vAlign w:val="bottom"/>
            <w:hideMark/>
          </w:tcPr>
          <w:p w14:paraId="2864D3D8" w14:textId="77777777" w:rsidR="00D94493" w:rsidRPr="00D94493" w:rsidRDefault="00D94493" w:rsidP="00D94493">
            <w:pPr>
              <w:spacing w:after="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 </w:t>
            </w:r>
          </w:p>
        </w:tc>
        <w:tc>
          <w:tcPr>
            <w:tcW w:w="786" w:type="dxa"/>
            <w:tcBorders>
              <w:top w:val="single" w:sz="4" w:space="0" w:color="auto"/>
              <w:left w:val="nil"/>
              <w:bottom w:val="single" w:sz="4" w:space="0" w:color="auto"/>
              <w:right w:val="nil"/>
            </w:tcBorders>
            <w:shd w:val="clear" w:color="auto" w:fill="auto"/>
            <w:noWrap/>
            <w:vAlign w:val="bottom"/>
            <w:hideMark/>
          </w:tcPr>
          <w:p w14:paraId="3F1FDC03" w14:textId="77777777" w:rsidR="00D94493" w:rsidRPr="00D94493" w:rsidRDefault="00D94493" w:rsidP="00D94493">
            <w:pPr>
              <w:spacing w:after="0"/>
              <w:jc w:val="right"/>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2021 S</w:t>
            </w:r>
          </w:p>
        </w:tc>
        <w:tc>
          <w:tcPr>
            <w:tcW w:w="788" w:type="dxa"/>
            <w:tcBorders>
              <w:top w:val="single" w:sz="4" w:space="0" w:color="auto"/>
              <w:left w:val="nil"/>
              <w:bottom w:val="single" w:sz="4" w:space="0" w:color="auto"/>
              <w:right w:val="nil"/>
            </w:tcBorders>
            <w:shd w:val="clear" w:color="auto" w:fill="auto"/>
            <w:noWrap/>
            <w:vAlign w:val="bottom"/>
            <w:hideMark/>
          </w:tcPr>
          <w:p w14:paraId="44483110" w14:textId="77777777" w:rsidR="00D94493" w:rsidRPr="00D94493" w:rsidRDefault="00D94493" w:rsidP="00D94493">
            <w:pPr>
              <w:spacing w:after="0"/>
              <w:jc w:val="right"/>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2022 S</w:t>
            </w:r>
          </w:p>
        </w:tc>
        <w:tc>
          <w:tcPr>
            <w:tcW w:w="792" w:type="dxa"/>
            <w:gridSpan w:val="2"/>
            <w:tcBorders>
              <w:top w:val="single" w:sz="4" w:space="0" w:color="auto"/>
              <w:left w:val="nil"/>
              <w:bottom w:val="single" w:sz="4" w:space="0" w:color="auto"/>
              <w:right w:val="nil"/>
            </w:tcBorders>
            <w:shd w:val="clear" w:color="auto" w:fill="auto"/>
            <w:noWrap/>
            <w:vAlign w:val="bottom"/>
            <w:hideMark/>
          </w:tcPr>
          <w:p w14:paraId="208F01B7" w14:textId="77777777" w:rsidR="00D94493" w:rsidRPr="00D94493" w:rsidRDefault="00D94493" w:rsidP="00D94493">
            <w:pPr>
              <w:spacing w:after="0"/>
              <w:jc w:val="right"/>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2023 OS</w:t>
            </w:r>
          </w:p>
        </w:tc>
        <w:tc>
          <w:tcPr>
            <w:tcW w:w="790" w:type="dxa"/>
            <w:gridSpan w:val="3"/>
            <w:tcBorders>
              <w:top w:val="single" w:sz="4" w:space="0" w:color="auto"/>
              <w:left w:val="nil"/>
              <w:bottom w:val="single" w:sz="4" w:space="0" w:color="auto"/>
              <w:right w:val="nil"/>
            </w:tcBorders>
            <w:shd w:val="clear" w:color="auto" w:fill="auto"/>
            <w:noWrap/>
            <w:vAlign w:val="bottom"/>
            <w:hideMark/>
          </w:tcPr>
          <w:p w14:paraId="29418739" w14:textId="77777777" w:rsidR="00D94493" w:rsidRPr="00D94493" w:rsidRDefault="00D94493" w:rsidP="00D94493">
            <w:pPr>
              <w:spacing w:after="0"/>
              <w:jc w:val="right"/>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2024 N</w:t>
            </w:r>
          </w:p>
        </w:tc>
        <w:tc>
          <w:tcPr>
            <w:tcW w:w="797" w:type="dxa"/>
            <w:tcBorders>
              <w:top w:val="single" w:sz="4" w:space="0" w:color="auto"/>
              <w:left w:val="nil"/>
              <w:bottom w:val="single" w:sz="4" w:space="0" w:color="auto"/>
              <w:right w:val="nil"/>
            </w:tcBorders>
            <w:shd w:val="clear" w:color="auto" w:fill="auto"/>
            <w:noWrap/>
            <w:vAlign w:val="bottom"/>
            <w:hideMark/>
          </w:tcPr>
          <w:p w14:paraId="51ED62F5" w14:textId="77777777" w:rsidR="00D94493" w:rsidRPr="00D94493" w:rsidRDefault="00D94493" w:rsidP="00D94493">
            <w:pPr>
              <w:spacing w:after="0"/>
              <w:jc w:val="right"/>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2025 N</w:t>
            </w:r>
          </w:p>
        </w:tc>
        <w:tc>
          <w:tcPr>
            <w:tcW w:w="790" w:type="dxa"/>
            <w:tcBorders>
              <w:top w:val="single" w:sz="4" w:space="0" w:color="auto"/>
              <w:left w:val="nil"/>
              <w:bottom w:val="single" w:sz="4" w:space="0" w:color="auto"/>
              <w:right w:val="nil"/>
            </w:tcBorders>
            <w:shd w:val="clear" w:color="auto" w:fill="auto"/>
            <w:noWrap/>
            <w:vAlign w:val="bottom"/>
            <w:hideMark/>
          </w:tcPr>
          <w:p w14:paraId="1AFA3543" w14:textId="77777777" w:rsidR="00D94493" w:rsidRPr="00D94493" w:rsidRDefault="00D94493" w:rsidP="00D94493">
            <w:pPr>
              <w:spacing w:after="0"/>
              <w:jc w:val="right"/>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2026 N</w:t>
            </w:r>
          </w:p>
        </w:tc>
      </w:tr>
      <w:tr w:rsidR="00D94493" w:rsidRPr="00D94493" w14:paraId="70A1D66D" w14:textId="77777777" w:rsidTr="00D94493">
        <w:trPr>
          <w:trHeight w:val="284"/>
        </w:trPr>
        <w:tc>
          <w:tcPr>
            <w:tcW w:w="4329" w:type="dxa"/>
            <w:tcBorders>
              <w:top w:val="nil"/>
              <w:left w:val="nil"/>
              <w:bottom w:val="nil"/>
              <w:right w:val="nil"/>
            </w:tcBorders>
            <w:shd w:val="clear" w:color="auto" w:fill="auto"/>
            <w:noWrap/>
            <w:vAlign w:val="center"/>
            <w:hideMark/>
          </w:tcPr>
          <w:p w14:paraId="45452745" w14:textId="77777777" w:rsidR="00D94493" w:rsidRPr="00D94493" w:rsidRDefault="00D94493" w:rsidP="00D94493">
            <w:pPr>
              <w:spacing w:after="0"/>
              <w:rPr>
                <w:rFonts w:ascii="Times New Roman" w:eastAsia="Calibri" w:hAnsi="Times New Roman" w:cs="Times New Roman"/>
                <w:b/>
                <w:bCs/>
                <w:sz w:val="16"/>
                <w:szCs w:val="16"/>
                <w:vertAlign w:val="superscript"/>
                <w:lang w:eastAsia="sk-SK"/>
              </w:rPr>
            </w:pPr>
            <w:r w:rsidRPr="00D94493">
              <w:rPr>
                <w:rFonts w:ascii="Times New Roman" w:eastAsia="Calibri" w:hAnsi="Times New Roman" w:cs="Times New Roman"/>
                <w:b/>
                <w:bCs/>
                <w:sz w:val="16"/>
                <w:szCs w:val="16"/>
                <w:lang w:eastAsia="sk-SK"/>
              </w:rPr>
              <w:t>SANKCIE spolu</w:t>
            </w:r>
          </w:p>
        </w:tc>
        <w:tc>
          <w:tcPr>
            <w:tcW w:w="786" w:type="dxa"/>
            <w:tcBorders>
              <w:top w:val="nil"/>
              <w:left w:val="nil"/>
              <w:bottom w:val="nil"/>
              <w:right w:val="nil"/>
            </w:tcBorders>
            <w:shd w:val="clear" w:color="auto" w:fill="auto"/>
            <w:noWrap/>
            <w:vAlign w:val="center"/>
            <w:hideMark/>
          </w:tcPr>
          <w:p w14:paraId="09005E02"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rPr>
              <w:t>36 339</w:t>
            </w:r>
          </w:p>
        </w:tc>
        <w:tc>
          <w:tcPr>
            <w:tcW w:w="788" w:type="dxa"/>
            <w:tcBorders>
              <w:top w:val="nil"/>
              <w:left w:val="nil"/>
              <w:bottom w:val="nil"/>
              <w:right w:val="nil"/>
            </w:tcBorders>
            <w:shd w:val="clear" w:color="auto" w:fill="auto"/>
            <w:noWrap/>
            <w:vAlign w:val="center"/>
            <w:hideMark/>
          </w:tcPr>
          <w:p w14:paraId="6E232154"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rPr>
              <w:t>52 585</w:t>
            </w:r>
          </w:p>
        </w:tc>
        <w:tc>
          <w:tcPr>
            <w:tcW w:w="792" w:type="dxa"/>
            <w:gridSpan w:val="2"/>
            <w:tcBorders>
              <w:top w:val="nil"/>
              <w:left w:val="nil"/>
              <w:bottom w:val="nil"/>
              <w:right w:val="nil"/>
            </w:tcBorders>
            <w:shd w:val="clear" w:color="auto" w:fill="auto"/>
            <w:noWrap/>
            <w:vAlign w:val="center"/>
            <w:hideMark/>
          </w:tcPr>
          <w:p w14:paraId="54C292F8" w14:textId="77777777" w:rsidR="00D94493" w:rsidRPr="00D94493" w:rsidRDefault="00D94493" w:rsidP="00D94493">
            <w:pPr>
              <w:spacing w:after="0"/>
              <w:jc w:val="right"/>
              <w:rPr>
                <w:rFonts w:ascii="Times New Roman" w:eastAsia="Calibri" w:hAnsi="Times New Roman" w:cs="Times New Roman"/>
                <w:b/>
                <w:bCs/>
                <w:color w:val="FF0000"/>
                <w:sz w:val="16"/>
                <w:szCs w:val="16"/>
                <w:lang w:eastAsia="sk-SK"/>
              </w:rPr>
            </w:pPr>
            <w:r w:rsidRPr="00D94493">
              <w:rPr>
                <w:rFonts w:ascii="Times New Roman" w:eastAsia="Calibri" w:hAnsi="Times New Roman" w:cs="Times New Roman"/>
                <w:b/>
                <w:bCs/>
                <w:sz w:val="16"/>
                <w:szCs w:val="16"/>
              </w:rPr>
              <w:t>61 692</w:t>
            </w:r>
          </w:p>
        </w:tc>
        <w:tc>
          <w:tcPr>
            <w:tcW w:w="790" w:type="dxa"/>
            <w:gridSpan w:val="3"/>
            <w:tcBorders>
              <w:top w:val="nil"/>
              <w:left w:val="nil"/>
              <w:bottom w:val="nil"/>
              <w:right w:val="nil"/>
            </w:tcBorders>
            <w:shd w:val="clear" w:color="auto" w:fill="auto"/>
            <w:noWrap/>
            <w:vAlign w:val="center"/>
            <w:hideMark/>
          </w:tcPr>
          <w:p w14:paraId="478D0CE2" w14:textId="77777777" w:rsidR="00D94493" w:rsidRPr="00D94493" w:rsidRDefault="00D94493" w:rsidP="00D94493">
            <w:pPr>
              <w:spacing w:after="0"/>
              <w:jc w:val="right"/>
              <w:rPr>
                <w:rFonts w:ascii="Times New Roman" w:eastAsia="Calibri" w:hAnsi="Times New Roman" w:cs="Times New Roman"/>
                <w:b/>
                <w:bCs/>
                <w:color w:val="FF0000"/>
                <w:sz w:val="16"/>
                <w:szCs w:val="16"/>
                <w:lang w:eastAsia="sk-SK"/>
              </w:rPr>
            </w:pPr>
            <w:r w:rsidRPr="00D94493">
              <w:rPr>
                <w:rFonts w:ascii="Times New Roman" w:eastAsia="Calibri" w:hAnsi="Times New Roman" w:cs="Times New Roman"/>
                <w:b/>
                <w:bCs/>
                <w:sz w:val="16"/>
                <w:szCs w:val="16"/>
              </w:rPr>
              <w:t>61 861</w:t>
            </w:r>
          </w:p>
        </w:tc>
        <w:tc>
          <w:tcPr>
            <w:tcW w:w="797" w:type="dxa"/>
            <w:tcBorders>
              <w:top w:val="nil"/>
              <w:left w:val="nil"/>
              <w:bottom w:val="nil"/>
              <w:right w:val="nil"/>
            </w:tcBorders>
            <w:shd w:val="clear" w:color="auto" w:fill="auto"/>
            <w:noWrap/>
            <w:vAlign w:val="center"/>
            <w:hideMark/>
          </w:tcPr>
          <w:p w14:paraId="09341D4F" w14:textId="77777777" w:rsidR="00D94493" w:rsidRPr="00D94493" w:rsidRDefault="00D94493" w:rsidP="00D94493">
            <w:pPr>
              <w:spacing w:after="0"/>
              <w:jc w:val="right"/>
              <w:rPr>
                <w:rFonts w:ascii="Times New Roman" w:eastAsia="Calibri" w:hAnsi="Times New Roman" w:cs="Times New Roman"/>
                <w:b/>
                <w:bCs/>
                <w:color w:val="FF0000"/>
                <w:sz w:val="16"/>
                <w:szCs w:val="16"/>
                <w:lang w:eastAsia="sk-SK"/>
              </w:rPr>
            </w:pPr>
            <w:r w:rsidRPr="00D94493">
              <w:rPr>
                <w:rFonts w:ascii="Times New Roman" w:eastAsia="Calibri" w:hAnsi="Times New Roman" w:cs="Times New Roman"/>
                <w:b/>
                <w:bCs/>
                <w:sz w:val="16"/>
                <w:szCs w:val="16"/>
              </w:rPr>
              <w:t>61 861</w:t>
            </w:r>
          </w:p>
        </w:tc>
        <w:tc>
          <w:tcPr>
            <w:tcW w:w="790" w:type="dxa"/>
            <w:tcBorders>
              <w:top w:val="nil"/>
              <w:left w:val="nil"/>
              <w:bottom w:val="nil"/>
              <w:right w:val="nil"/>
            </w:tcBorders>
            <w:shd w:val="clear" w:color="auto" w:fill="auto"/>
            <w:noWrap/>
            <w:vAlign w:val="center"/>
            <w:hideMark/>
          </w:tcPr>
          <w:p w14:paraId="2F55260F" w14:textId="77777777" w:rsidR="00D94493" w:rsidRPr="00D94493" w:rsidRDefault="00D94493" w:rsidP="00D94493">
            <w:pPr>
              <w:spacing w:after="0"/>
              <w:jc w:val="right"/>
              <w:rPr>
                <w:rFonts w:ascii="Times New Roman" w:eastAsia="Calibri" w:hAnsi="Times New Roman" w:cs="Times New Roman"/>
                <w:b/>
                <w:bCs/>
                <w:color w:val="FF0000"/>
                <w:sz w:val="16"/>
                <w:szCs w:val="16"/>
                <w:lang w:eastAsia="sk-SK"/>
              </w:rPr>
            </w:pPr>
            <w:r w:rsidRPr="00D94493">
              <w:rPr>
                <w:rFonts w:ascii="Times New Roman" w:eastAsia="Calibri" w:hAnsi="Times New Roman" w:cs="Times New Roman"/>
                <w:b/>
                <w:bCs/>
                <w:sz w:val="16"/>
                <w:szCs w:val="16"/>
              </w:rPr>
              <w:t>61 861</w:t>
            </w:r>
          </w:p>
        </w:tc>
      </w:tr>
      <w:tr w:rsidR="00D94493" w:rsidRPr="00D94493" w14:paraId="4F2C719B" w14:textId="77777777" w:rsidTr="00D94493">
        <w:trPr>
          <w:trHeight w:val="284"/>
        </w:trPr>
        <w:tc>
          <w:tcPr>
            <w:tcW w:w="4329" w:type="dxa"/>
            <w:tcBorders>
              <w:top w:val="nil"/>
              <w:left w:val="nil"/>
              <w:bottom w:val="nil"/>
              <w:right w:val="nil"/>
            </w:tcBorders>
            <w:shd w:val="clear" w:color="auto" w:fill="auto"/>
            <w:noWrap/>
            <w:vAlign w:val="center"/>
            <w:hideMark/>
          </w:tcPr>
          <w:p w14:paraId="0BAC10A8" w14:textId="77777777" w:rsidR="00D94493" w:rsidRPr="00D94493" w:rsidRDefault="00D94493" w:rsidP="00D94493">
            <w:pPr>
              <w:spacing w:after="0"/>
              <w:ind w:firstLineChars="100" w:firstLine="16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Daň z príjmov fyzických osôb</w:t>
            </w:r>
          </w:p>
        </w:tc>
        <w:tc>
          <w:tcPr>
            <w:tcW w:w="786" w:type="dxa"/>
            <w:tcBorders>
              <w:top w:val="nil"/>
              <w:left w:val="nil"/>
              <w:bottom w:val="nil"/>
              <w:right w:val="nil"/>
            </w:tcBorders>
            <w:shd w:val="clear" w:color="auto" w:fill="auto"/>
            <w:noWrap/>
            <w:vAlign w:val="center"/>
            <w:hideMark/>
          </w:tcPr>
          <w:p w14:paraId="6307B6A6"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3 008</w:t>
            </w:r>
          </w:p>
        </w:tc>
        <w:tc>
          <w:tcPr>
            <w:tcW w:w="788" w:type="dxa"/>
            <w:tcBorders>
              <w:top w:val="nil"/>
              <w:left w:val="nil"/>
              <w:bottom w:val="nil"/>
              <w:right w:val="nil"/>
            </w:tcBorders>
            <w:shd w:val="clear" w:color="auto" w:fill="auto"/>
            <w:noWrap/>
            <w:vAlign w:val="center"/>
            <w:hideMark/>
          </w:tcPr>
          <w:p w14:paraId="39F6F24B"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7 036</w:t>
            </w:r>
          </w:p>
        </w:tc>
        <w:tc>
          <w:tcPr>
            <w:tcW w:w="792" w:type="dxa"/>
            <w:gridSpan w:val="2"/>
            <w:tcBorders>
              <w:top w:val="nil"/>
              <w:left w:val="nil"/>
              <w:bottom w:val="nil"/>
              <w:right w:val="nil"/>
            </w:tcBorders>
            <w:shd w:val="clear" w:color="auto" w:fill="auto"/>
            <w:noWrap/>
            <w:vAlign w:val="center"/>
            <w:hideMark/>
          </w:tcPr>
          <w:p w14:paraId="51BA07FA"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8 063</w:t>
            </w:r>
          </w:p>
        </w:tc>
        <w:tc>
          <w:tcPr>
            <w:tcW w:w="790" w:type="dxa"/>
            <w:gridSpan w:val="3"/>
            <w:tcBorders>
              <w:top w:val="nil"/>
              <w:left w:val="nil"/>
              <w:bottom w:val="nil"/>
              <w:right w:val="nil"/>
            </w:tcBorders>
            <w:shd w:val="clear" w:color="auto" w:fill="auto"/>
            <w:noWrap/>
            <w:vAlign w:val="center"/>
            <w:hideMark/>
          </w:tcPr>
          <w:p w14:paraId="68D0EEC4"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8 063</w:t>
            </w:r>
          </w:p>
        </w:tc>
        <w:tc>
          <w:tcPr>
            <w:tcW w:w="797" w:type="dxa"/>
            <w:tcBorders>
              <w:top w:val="nil"/>
              <w:left w:val="nil"/>
              <w:bottom w:val="nil"/>
              <w:right w:val="nil"/>
            </w:tcBorders>
            <w:shd w:val="clear" w:color="auto" w:fill="auto"/>
            <w:noWrap/>
            <w:vAlign w:val="center"/>
            <w:hideMark/>
          </w:tcPr>
          <w:p w14:paraId="3264B317"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8 063</w:t>
            </w:r>
          </w:p>
        </w:tc>
        <w:tc>
          <w:tcPr>
            <w:tcW w:w="790" w:type="dxa"/>
            <w:tcBorders>
              <w:top w:val="nil"/>
              <w:left w:val="nil"/>
              <w:bottom w:val="nil"/>
              <w:right w:val="nil"/>
            </w:tcBorders>
            <w:shd w:val="clear" w:color="auto" w:fill="auto"/>
            <w:noWrap/>
            <w:vAlign w:val="center"/>
            <w:hideMark/>
          </w:tcPr>
          <w:p w14:paraId="5C3743AF"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8 063</w:t>
            </w:r>
          </w:p>
        </w:tc>
      </w:tr>
      <w:tr w:rsidR="00D94493" w:rsidRPr="00D94493" w14:paraId="72D99095" w14:textId="77777777" w:rsidTr="00D94493">
        <w:trPr>
          <w:trHeight w:val="284"/>
        </w:trPr>
        <w:tc>
          <w:tcPr>
            <w:tcW w:w="4329" w:type="dxa"/>
            <w:tcBorders>
              <w:top w:val="nil"/>
              <w:left w:val="nil"/>
              <w:bottom w:val="nil"/>
              <w:right w:val="nil"/>
            </w:tcBorders>
            <w:shd w:val="clear" w:color="auto" w:fill="auto"/>
            <w:noWrap/>
            <w:vAlign w:val="center"/>
            <w:hideMark/>
          </w:tcPr>
          <w:p w14:paraId="770F29C3" w14:textId="77777777" w:rsidR="00D94493" w:rsidRPr="00D94493" w:rsidRDefault="00D94493" w:rsidP="00D94493">
            <w:pPr>
              <w:spacing w:after="0"/>
              <w:ind w:firstLineChars="100" w:firstLine="16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Daň z príjmov právnických osôb</w:t>
            </w:r>
          </w:p>
        </w:tc>
        <w:tc>
          <w:tcPr>
            <w:tcW w:w="786" w:type="dxa"/>
            <w:tcBorders>
              <w:top w:val="nil"/>
              <w:left w:val="nil"/>
              <w:bottom w:val="nil"/>
              <w:right w:val="nil"/>
            </w:tcBorders>
            <w:shd w:val="clear" w:color="auto" w:fill="auto"/>
            <w:noWrap/>
            <w:vAlign w:val="center"/>
            <w:hideMark/>
          </w:tcPr>
          <w:p w14:paraId="1BC2119B"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7 876</w:t>
            </w:r>
          </w:p>
        </w:tc>
        <w:tc>
          <w:tcPr>
            <w:tcW w:w="788" w:type="dxa"/>
            <w:tcBorders>
              <w:top w:val="nil"/>
              <w:left w:val="nil"/>
              <w:bottom w:val="nil"/>
              <w:right w:val="nil"/>
            </w:tcBorders>
            <w:shd w:val="clear" w:color="auto" w:fill="auto"/>
            <w:noWrap/>
            <w:vAlign w:val="center"/>
            <w:hideMark/>
          </w:tcPr>
          <w:p w14:paraId="7F2A3335"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13 873</w:t>
            </w:r>
          </w:p>
        </w:tc>
        <w:tc>
          <w:tcPr>
            <w:tcW w:w="792" w:type="dxa"/>
            <w:gridSpan w:val="2"/>
            <w:tcBorders>
              <w:top w:val="nil"/>
              <w:left w:val="nil"/>
              <w:bottom w:val="nil"/>
              <w:right w:val="nil"/>
            </w:tcBorders>
            <w:shd w:val="clear" w:color="auto" w:fill="auto"/>
            <w:noWrap/>
            <w:vAlign w:val="center"/>
            <w:hideMark/>
          </w:tcPr>
          <w:p w14:paraId="10FB7889"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28 556</w:t>
            </w:r>
          </w:p>
        </w:tc>
        <w:tc>
          <w:tcPr>
            <w:tcW w:w="790" w:type="dxa"/>
            <w:gridSpan w:val="3"/>
            <w:tcBorders>
              <w:top w:val="nil"/>
              <w:left w:val="nil"/>
              <w:bottom w:val="nil"/>
              <w:right w:val="nil"/>
            </w:tcBorders>
            <w:shd w:val="clear" w:color="auto" w:fill="auto"/>
            <w:noWrap/>
            <w:vAlign w:val="center"/>
            <w:hideMark/>
          </w:tcPr>
          <w:p w14:paraId="1A4BD20D"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21 356</w:t>
            </w:r>
          </w:p>
        </w:tc>
        <w:tc>
          <w:tcPr>
            <w:tcW w:w="797" w:type="dxa"/>
            <w:tcBorders>
              <w:top w:val="nil"/>
              <w:left w:val="nil"/>
              <w:bottom w:val="nil"/>
              <w:right w:val="nil"/>
            </w:tcBorders>
            <w:shd w:val="clear" w:color="auto" w:fill="auto"/>
            <w:noWrap/>
            <w:vAlign w:val="center"/>
            <w:hideMark/>
          </w:tcPr>
          <w:p w14:paraId="69C5EBA0"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21 356</w:t>
            </w:r>
          </w:p>
        </w:tc>
        <w:tc>
          <w:tcPr>
            <w:tcW w:w="790" w:type="dxa"/>
            <w:tcBorders>
              <w:top w:val="nil"/>
              <w:left w:val="nil"/>
              <w:bottom w:val="nil"/>
              <w:right w:val="nil"/>
            </w:tcBorders>
            <w:shd w:val="clear" w:color="auto" w:fill="auto"/>
            <w:noWrap/>
            <w:vAlign w:val="center"/>
            <w:hideMark/>
          </w:tcPr>
          <w:p w14:paraId="68ED4E16"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21 356</w:t>
            </w:r>
          </w:p>
        </w:tc>
      </w:tr>
      <w:tr w:rsidR="00D94493" w:rsidRPr="00D94493" w14:paraId="66357DBC" w14:textId="77777777" w:rsidTr="00D94493">
        <w:trPr>
          <w:trHeight w:val="284"/>
        </w:trPr>
        <w:tc>
          <w:tcPr>
            <w:tcW w:w="4329" w:type="dxa"/>
            <w:tcBorders>
              <w:top w:val="nil"/>
              <w:left w:val="nil"/>
              <w:bottom w:val="nil"/>
              <w:right w:val="nil"/>
            </w:tcBorders>
            <w:shd w:val="clear" w:color="auto" w:fill="auto"/>
            <w:noWrap/>
            <w:vAlign w:val="center"/>
            <w:hideMark/>
          </w:tcPr>
          <w:p w14:paraId="1F8CA83B" w14:textId="77777777" w:rsidR="00D94493" w:rsidRPr="00D94493" w:rsidRDefault="00D94493" w:rsidP="00D94493">
            <w:pPr>
              <w:spacing w:after="0"/>
              <w:ind w:firstLineChars="100" w:firstLine="16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Daň z príjmov vyberaná zrážkou</w:t>
            </w:r>
          </w:p>
        </w:tc>
        <w:tc>
          <w:tcPr>
            <w:tcW w:w="786" w:type="dxa"/>
            <w:tcBorders>
              <w:top w:val="nil"/>
              <w:left w:val="nil"/>
              <w:bottom w:val="nil"/>
              <w:right w:val="nil"/>
            </w:tcBorders>
            <w:shd w:val="clear" w:color="auto" w:fill="auto"/>
            <w:noWrap/>
            <w:vAlign w:val="center"/>
            <w:hideMark/>
          </w:tcPr>
          <w:p w14:paraId="721E9BE6"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89</w:t>
            </w:r>
          </w:p>
        </w:tc>
        <w:tc>
          <w:tcPr>
            <w:tcW w:w="788" w:type="dxa"/>
            <w:tcBorders>
              <w:top w:val="nil"/>
              <w:left w:val="nil"/>
              <w:bottom w:val="nil"/>
              <w:right w:val="nil"/>
            </w:tcBorders>
            <w:shd w:val="clear" w:color="auto" w:fill="auto"/>
            <w:noWrap/>
            <w:vAlign w:val="center"/>
            <w:hideMark/>
          </w:tcPr>
          <w:p w14:paraId="1B4FB6CD"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347</w:t>
            </w:r>
          </w:p>
        </w:tc>
        <w:tc>
          <w:tcPr>
            <w:tcW w:w="792" w:type="dxa"/>
            <w:gridSpan w:val="2"/>
            <w:tcBorders>
              <w:top w:val="nil"/>
              <w:left w:val="nil"/>
              <w:bottom w:val="nil"/>
              <w:right w:val="nil"/>
            </w:tcBorders>
            <w:shd w:val="clear" w:color="auto" w:fill="auto"/>
            <w:noWrap/>
            <w:vAlign w:val="center"/>
            <w:hideMark/>
          </w:tcPr>
          <w:p w14:paraId="5C248DD8"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347</w:t>
            </w:r>
          </w:p>
        </w:tc>
        <w:tc>
          <w:tcPr>
            <w:tcW w:w="790" w:type="dxa"/>
            <w:gridSpan w:val="3"/>
            <w:tcBorders>
              <w:top w:val="nil"/>
              <w:left w:val="nil"/>
              <w:bottom w:val="nil"/>
              <w:right w:val="nil"/>
            </w:tcBorders>
            <w:shd w:val="clear" w:color="auto" w:fill="auto"/>
            <w:noWrap/>
            <w:vAlign w:val="center"/>
            <w:hideMark/>
          </w:tcPr>
          <w:p w14:paraId="01627A3A"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347</w:t>
            </w:r>
          </w:p>
        </w:tc>
        <w:tc>
          <w:tcPr>
            <w:tcW w:w="797" w:type="dxa"/>
            <w:tcBorders>
              <w:top w:val="nil"/>
              <w:left w:val="nil"/>
              <w:bottom w:val="nil"/>
              <w:right w:val="nil"/>
            </w:tcBorders>
            <w:shd w:val="clear" w:color="auto" w:fill="auto"/>
            <w:noWrap/>
            <w:vAlign w:val="center"/>
            <w:hideMark/>
          </w:tcPr>
          <w:p w14:paraId="39F7C5FB"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347</w:t>
            </w:r>
          </w:p>
        </w:tc>
        <w:tc>
          <w:tcPr>
            <w:tcW w:w="790" w:type="dxa"/>
            <w:tcBorders>
              <w:top w:val="nil"/>
              <w:left w:val="nil"/>
              <w:bottom w:val="nil"/>
              <w:right w:val="nil"/>
            </w:tcBorders>
            <w:shd w:val="clear" w:color="auto" w:fill="auto"/>
            <w:noWrap/>
            <w:vAlign w:val="center"/>
            <w:hideMark/>
          </w:tcPr>
          <w:p w14:paraId="71730FE3"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347</w:t>
            </w:r>
          </w:p>
        </w:tc>
      </w:tr>
      <w:tr w:rsidR="00D94493" w:rsidRPr="00D94493" w14:paraId="5932D0F4" w14:textId="77777777" w:rsidTr="00D94493">
        <w:trPr>
          <w:trHeight w:val="284"/>
        </w:trPr>
        <w:tc>
          <w:tcPr>
            <w:tcW w:w="4329" w:type="dxa"/>
            <w:tcBorders>
              <w:top w:val="nil"/>
              <w:left w:val="nil"/>
              <w:bottom w:val="nil"/>
              <w:right w:val="nil"/>
            </w:tcBorders>
            <w:shd w:val="clear" w:color="auto" w:fill="auto"/>
            <w:noWrap/>
            <w:vAlign w:val="center"/>
            <w:hideMark/>
          </w:tcPr>
          <w:p w14:paraId="2D258252" w14:textId="77777777" w:rsidR="00D94493" w:rsidRPr="00D94493" w:rsidRDefault="00D94493" w:rsidP="00D94493">
            <w:pPr>
              <w:spacing w:after="0"/>
              <w:ind w:firstLineChars="100" w:firstLine="16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Daň z pridanej hodnoty</w:t>
            </w:r>
          </w:p>
        </w:tc>
        <w:tc>
          <w:tcPr>
            <w:tcW w:w="786" w:type="dxa"/>
            <w:tcBorders>
              <w:top w:val="nil"/>
              <w:left w:val="nil"/>
              <w:bottom w:val="nil"/>
              <w:right w:val="nil"/>
            </w:tcBorders>
            <w:shd w:val="clear" w:color="auto" w:fill="auto"/>
            <w:noWrap/>
            <w:vAlign w:val="center"/>
            <w:hideMark/>
          </w:tcPr>
          <w:p w14:paraId="13054248"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9 446</w:t>
            </w:r>
          </w:p>
        </w:tc>
        <w:tc>
          <w:tcPr>
            <w:tcW w:w="788" w:type="dxa"/>
            <w:tcBorders>
              <w:top w:val="nil"/>
              <w:left w:val="nil"/>
              <w:bottom w:val="nil"/>
              <w:right w:val="nil"/>
            </w:tcBorders>
            <w:shd w:val="clear" w:color="auto" w:fill="auto"/>
            <w:noWrap/>
            <w:vAlign w:val="center"/>
            <w:hideMark/>
          </w:tcPr>
          <w:p w14:paraId="4BCC8A5D"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14 603</w:t>
            </w:r>
          </w:p>
        </w:tc>
        <w:tc>
          <w:tcPr>
            <w:tcW w:w="792" w:type="dxa"/>
            <w:gridSpan w:val="2"/>
            <w:tcBorders>
              <w:top w:val="nil"/>
              <w:left w:val="nil"/>
              <w:bottom w:val="nil"/>
              <w:right w:val="nil"/>
            </w:tcBorders>
            <w:shd w:val="clear" w:color="auto" w:fill="auto"/>
            <w:noWrap/>
            <w:vAlign w:val="center"/>
            <w:hideMark/>
          </w:tcPr>
          <w:p w14:paraId="00E4F332"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14 603</w:t>
            </w:r>
          </w:p>
        </w:tc>
        <w:tc>
          <w:tcPr>
            <w:tcW w:w="790" w:type="dxa"/>
            <w:gridSpan w:val="3"/>
            <w:tcBorders>
              <w:top w:val="nil"/>
              <w:left w:val="nil"/>
              <w:bottom w:val="nil"/>
              <w:right w:val="nil"/>
            </w:tcBorders>
            <w:shd w:val="clear" w:color="auto" w:fill="auto"/>
            <w:noWrap/>
            <w:vAlign w:val="center"/>
            <w:hideMark/>
          </w:tcPr>
          <w:p w14:paraId="6A527DBC"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14 603</w:t>
            </w:r>
          </w:p>
        </w:tc>
        <w:tc>
          <w:tcPr>
            <w:tcW w:w="797" w:type="dxa"/>
            <w:tcBorders>
              <w:top w:val="nil"/>
              <w:left w:val="nil"/>
              <w:bottom w:val="nil"/>
              <w:right w:val="nil"/>
            </w:tcBorders>
            <w:shd w:val="clear" w:color="auto" w:fill="auto"/>
            <w:noWrap/>
            <w:vAlign w:val="center"/>
            <w:hideMark/>
          </w:tcPr>
          <w:p w14:paraId="79AE7474"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14 603</w:t>
            </w:r>
          </w:p>
        </w:tc>
        <w:tc>
          <w:tcPr>
            <w:tcW w:w="790" w:type="dxa"/>
            <w:tcBorders>
              <w:top w:val="nil"/>
              <w:left w:val="nil"/>
              <w:bottom w:val="nil"/>
              <w:right w:val="nil"/>
            </w:tcBorders>
            <w:shd w:val="clear" w:color="auto" w:fill="auto"/>
            <w:noWrap/>
            <w:vAlign w:val="center"/>
            <w:hideMark/>
          </w:tcPr>
          <w:p w14:paraId="34B685AB"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14 603</w:t>
            </w:r>
          </w:p>
        </w:tc>
      </w:tr>
      <w:tr w:rsidR="00D94493" w:rsidRPr="00D94493" w14:paraId="58C9C8F6" w14:textId="77777777" w:rsidTr="00D94493">
        <w:trPr>
          <w:trHeight w:val="284"/>
        </w:trPr>
        <w:tc>
          <w:tcPr>
            <w:tcW w:w="4329" w:type="dxa"/>
            <w:tcBorders>
              <w:top w:val="nil"/>
              <w:left w:val="nil"/>
              <w:bottom w:val="nil"/>
              <w:right w:val="nil"/>
            </w:tcBorders>
            <w:shd w:val="clear" w:color="auto" w:fill="auto"/>
            <w:noWrap/>
            <w:vAlign w:val="center"/>
            <w:hideMark/>
          </w:tcPr>
          <w:p w14:paraId="0D8706B2" w14:textId="77777777" w:rsidR="00D94493" w:rsidRPr="00D94493" w:rsidRDefault="00D94493" w:rsidP="00D94493">
            <w:pPr>
              <w:spacing w:after="0"/>
              <w:ind w:firstLineChars="100" w:firstLine="16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Spotrebné dane</w:t>
            </w:r>
          </w:p>
        </w:tc>
        <w:tc>
          <w:tcPr>
            <w:tcW w:w="786" w:type="dxa"/>
            <w:tcBorders>
              <w:top w:val="nil"/>
              <w:left w:val="nil"/>
              <w:bottom w:val="nil"/>
              <w:right w:val="nil"/>
            </w:tcBorders>
            <w:shd w:val="clear" w:color="auto" w:fill="auto"/>
            <w:noWrap/>
            <w:vAlign w:val="center"/>
            <w:hideMark/>
          </w:tcPr>
          <w:p w14:paraId="10189D47"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88" w:type="dxa"/>
            <w:tcBorders>
              <w:top w:val="nil"/>
              <w:left w:val="nil"/>
              <w:bottom w:val="nil"/>
              <w:right w:val="nil"/>
            </w:tcBorders>
            <w:shd w:val="clear" w:color="auto" w:fill="auto"/>
            <w:noWrap/>
            <w:vAlign w:val="center"/>
            <w:hideMark/>
          </w:tcPr>
          <w:p w14:paraId="1B5672A1"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92" w:type="dxa"/>
            <w:gridSpan w:val="2"/>
            <w:tcBorders>
              <w:top w:val="nil"/>
              <w:left w:val="nil"/>
              <w:bottom w:val="nil"/>
              <w:right w:val="nil"/>
            </w:tcBorders>
            <w:shd w:val="clear" w:color="auto" w:fill="auto"/>
            <w:noWrap/>
            <w:vAlign w:val="center"/>
            <w:hideMark/>
          </w:tcPr>
          <w:p w14:paraId="5E78490D"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90" w:type="dxa"/>
            <w:gridSpan w:val="3"/>
            <w:tcBorders>
              <w:top w:val="nil"/>
              <w:left w:val="nil"/>
              <w:bottom w:val="nil"/>
              <w:right w:val="nil"/>
            </w:tcBorders>
            <w:shd w:val="clear" w:color="auto" w:fill="auto"/>
            <w:noWrap/>
            <w:vAlign w:val="center"/>
            <w:hideMark/>
          </w:tcPr>
          <w:p w14:paraId="47976B43"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97" w:type="dxa"/>
            <w:tcBorders>
              <w:top w:val="nil"/>
              <w:left w:val="nil"/>
              <w:bottom w:val="nil"/>
              <w:right w:val="nil"/>
            </w:tcBorders>
            <w:shd w:val="clear" w:color="auto" w:fill="auto"/>
            <w:noWrap/>
            <w:vAlign w:val="center"/>
            <w:hideMark/>
          </w:tcPr>
          <w:p w14:paraId="16FAC6A1"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90" w:type="dxa"/>
            <w:tcBorders>
              <w:top w:val="nil"/>
              <w:left w:val="nil"/>
              <w:bottom w:val="nil"/>
              <w:right w:val="nil"/>
            </w:tcBorders>
            <w:shd w:val="clear" w:color="auto" w:fill="auto"/>
            <w:noWrap/>
            <w:vAlign w:val="center"/>
            <w:hideMark/>
          </w:tcPr>
          <w:p w14:paraId="2DA2C76F"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r>
      <w:tr w:rsidR="00D94493" w:rsidRPr="00D94493" w14:paraId="214C00FD" w14:textId="77777777" w:rsidTr="00D94493">
        <w:trPr>
          <w:trHeight w:val="284"/>
        </w:trPr>
        <w:tc>
          <w:tcPr>
            <w:tcW w:w="4329" w:type="dxa"/>
            <w:tcBorders>
              <w:top w:val="nil"/>
              <w:left w:val="nil"/>
              <w:bottom w:val="nil"/>
              <w:right w:val="nil"/>
            </w:tcBorders>
            <w:shd w:val="clear" w:color="auto" w:fill="auto"/>
            <w:noWrap/>
            <w:vAlign w:val="center"/>
            <w:hideMark/>
          </w:tcPr>
          <w:p w14:paraId="502F64D3" w14:textId="77777777" w:rsidR="00D94493" w:rsidRPr="00D94493" w:rsidRDefault="00D94493" w:rsidP="00D94493">
            <w:pPr>
              <w:spacing w:after="0"/>
              <w:ind w:firstLineChars="100" w:firstLine="16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Miestne dane</w:t>
            </w:r>
          </w:p>
        </w:tc>
        <w:tc>
          <w:tcPr>
            <w:tcW w:w="786" w:type="dxa"/>
            <w:tcBorders>
              <w:top w:val="nil"/>
              <w:left w:val="nil"/>
              <w:bottom w:val="nil"/>
              <w:right w:val="nil"/>
            </w:tcBorders>
            <w:shd w:val="clear" w:color="auto" w:fill="auto"/>
            <w:noWrap/>
            <w:vAlign w:val="center"/>
            <w:hideMark/>
          </w:tcPr>
          <w:p w14:paraId="453BDC3A"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88" w:type="dxa"/>
            <w:tcBorders>
              <w:top w:val="nil"/>
              <w:left w:val="nil"/>
              <w:bottom w:val="nil"/>
              <w:right w:val="nil"/>
            </w:tcBorders>
            <w:shd w:val="clear" w:color="auto" w:fill="auto"/>
            <w:noWrap/>
            <w:vAlign w:val="center"/>
            <w:hideMark/>
          </w:tcPr>
          <w:p w14:paraId="247C744A"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92" w:type="dxa"/>
            <w:gridSpan w:val="2"/>
            <w:tcBorders>
              <w:top w:val="nil"/>
              <w:left w:val="nil"/>
              <w:bottom w:val="nil"/>
              <w:right w:val="nil"/>
            </w:tcBorders>
            <w:shd w:val="clear" w:color="auto" w:fill="auto"/>
            <w:noWrap/>
            <w:vAlign w:val="center"/>
            <w:hideMark/>
          </w:tcPr>
          <w:p w14:paraId="5585FED7"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90" w:type="dxa"/>
            <w:gridSpan w:val="3"/>
            <w:tcBorders>
              <w:top w:val="nil"/>
              <w:left w:val="nil"/>
              <w:bottom w:val="nil"/>
              <w:right w:val="nil"/>
            </w:tcBorders>
            <w:shd w:val="clear" w:color="auto" w:fill="auto"/>
            <w:noWrap/>
            <w:vAlign w:val="center"/>
            <w:hideMark/>
          </w:tcPr>
          <w:p w14:paraId="108E74A5"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97" w:type="dxa"/>
            <w:tcBorders>
              <w:top w:val="nil"/>
              <w:left w:val="nil"/>
              <w:bottom w:val="nil"/>
              <w:right w:val="nil"/>
            </w:tcBorders>
            <w:shd w:val="clear" w:color="auto" w:fill="auto"/>
            <w:noWrap/>
            <w:vAlign w:val="center"/>
            <w:hideMark/>
          </w:tcPr>
          <w:p w14:paraId="441D9F0E"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90" w:type="dxa"/>
            <w:tcBorders>
              <w:top w:val="nil"/>
              <w:left w:val="nil"/>
              <w:bottom w:val="nil"/>
              <w:right w:val="nil"/>
            </w:tcBorders>
            <w:shd w:val="clear" w:color="auto" w:fill="auto"/>
            <w:noWrap/>
            <w:vAlign w:val="center"/>
            <w:hideMark/>
          </w:tcPr>
          <w:p w14:paraId="3F6BB002"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r>
      <w:tr w:rsidR="00D94493" w:rsidRPr="00D94493" w14:paraId="593C0ABF" w14:textId="77777777" w:rsidTr="00D94493">
        <w:trPr>
          <w:trHeight w:val="284"/>
        </w:trPr>
        <w:tc>
          <w:tcPr>
            <w:tcW w:w="4329" w:type="dxa"/>
            <w:tcBorders>
              <w:top w:val="nil"/>
              <w:left w:val="nil"/>
              <w:bottom w:val="nil"/>
              <w:right w:val="nil"/>
            </w:tcBorders>
            <w:shd w:val="clear" w:color="auto" w:fill="auto"/>
            <w:noWrap/>
            <w:vAlign w:val="center"/>
            <w:hideMark/>
          </w:tcPr>
          <w:p w14:paraId="7BCEAF97" w14:textId="77777777" w:rsidR="00D94493" w:rsidRPr="00D94493" w:rsidRDefault="00D94493" w:rsidP="00D94493">
            <w:pPr>
              <w:spacing w:after="0"/>
              <w:ind w:firstLineChars="100" w:firstLine="16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Ostatné dane + dane z medzinárodného obchodu a transakcií</w:t>
            </w:r>
          </w:p>
        </w:tc>
        <w:tc>
          <w:tcPr>
            <w:tcW w:w="786" w:type="dxa"/>
            <w:tcBorders>
              <w:top w:val="nil"/>
              <w:left w:val="nil"/>
              <w:bottom w:val="nil"/>
              <w:right w:val="nil"/>
            </w:tcBorders>
            <w:shd w:val="clear" w:color="auto" w:fill="auto"/>
            <w:noWrap/>
            <w:vAlign w:val="center"/>
            <w:hideMark/>
          </w:tcPr>
          <w:p w14:paraId="43333136"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764</w:t>
            </w:r>
          </w:p>
        </w:tc>
        <w:tc>
          <w:tcPr>
            <w:tcW w:w="788" w:type="dxa"/>
            <w:tcBorders>
              <w:top w:val="nil"/>
              <w:left w:val="nil"/>
              <w:bottom w:val="nil"/>
              <w:right w:val="nil"/>
            </w:tcBorders>
            <w:shd w:val="clear" w:color="auto" w:fill="auto"/>
            <w:noWrap/>
            <w:vAlign w:val="center"/>
            <w:hideMark/>
          </w:tcPr>
          <w:p w14:paraId="1DF3BA1D"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2 013</w:t>
            </w:r>
          </w:p>
        </w:tc>
        <w:tc>
          <w:tcPr>
            <w:tcW w:w="792" w:type="dxa"/>
            <w:gridSpan w:val="2"/>
            <w:tcBorders>
              <w:top w:val="nil"/>
              <w:left w:val="nil"/>
              <w:bottom w:val="nil"/>
              <w:right w:val="nil"/>
            </w:tcBorders>
            <w:shd w:val="clear" w:color="auto" w:fill="auto"/>
            <w:noWrap/>
            <w:vAlign w:val="center"/>
            <w:hideMark/>
          </w:tcPr>
          <w:p w14:paraId="2A37A7AE"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2 808</w:t>
            </w:r>
          </w:p>
        </w:tc>
        <w:tc>
          <w:tcPr>
            <w:tcW w:w="790" w:type="dxa"/>
            <w:gridSpan w:val="3"/>
            <w:tcBorders>
              <w:top w:val="nil"/>
              <w:left w:val="nil"/>
              <w:bottom w:val="nil"/>
              <w:right w:val="nil"/>
            </w:tcBorders>
            <w:shd w:val="clear" w:color="auto" w:fill="auto"/>
            <w:noWrap/>
            <w:vAlign w:val="center"/>
            <w:hideMark/>
          </w:tcPr>
          <w:p w14:paraId="34287A14"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2 778</w:t>
            </w:r>
          </w:p>
        </w:tc>
        <w:tc>
          <w:tcPr>
            <w:tcW w:w="797" w:type="dxa"/>
            <w:tcBorders>
              <w:top w:val="nil"/>
              <w:left w:val="nil"/>
              <w:bottom w:val="nil"/>
              <w:right w:val="nil"/>
            </w:tcBorders>
            <w:shd w:val="clear" w:color="auto" w:fill="auto"/>
            <w:noWrap/>
            <w:vAlign w:val="center"/>
            <w:hideMark/>
          </w:tcPr>
          <w:p w14:paraId="0FE03021"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2 778</w:t>
            </w:r>
          </w:p>
        </w:tc>
        <w:tc>
          <w:tcPr>
            <w:tcW w:w="790" w:type="dxa"/>
            <w:tcBorders>
              <w:top w:val="nil"/>
              <w:left w:val="nil"/>
              <w:bottom w:val="nil"/>
              <w:right w:val="nil"/>
            </w:tcBorders>
            <w:shd w:val="clear" w:color="auto" w:fill="auto"/>
            <w:noWrap/>
            <w:vAlign w:val="center"/>
            <w:hideMark/>
          </w:tcPr>
          <w:p w14:paraId="26A313D1"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2 778</w:t>
            </w:r>
          </w:p>
        </w:tc>
      </w:tr>
      <w:tr w:rsidR="00D94493" w:rsidRPr="00D94493" w14:paraId="43F21649" w14:textId="77777777" w:rsidTr="00D94493">
        <w:trPr>
          <w:trHeight w:val="284"/>
        </w:trPr>
        <w:tc>
          <w:tcPr>
            <w:tcW w:w="4329" w:type="dxa"/>
            <w:tcBorders>
              <w:top w:val="nil"/>
              <w:left w:val="nil"/>
              <w:bottom w:val="nil"/>
              <w:right w:val="nil"/>
            </w:tcBorders>
            <w:shd w:val="clear" w:color="auto" w:fill="auto"/>
            <w:noWrap/>
            <w:vAlign w:val="center"/>
            <w:hideMark/>
          </w:tcPr>
          <w:p w14:paraId="6F7528B6" w14:textId="77777777" w:rsidR="00D94493" w:rsidRPr="00D94493" w:rsidRDefault="00D94493" w:rsidP="00D94493">
            <w:pPr>
              <w:spacing w:after="0"/>
              <w:ind w:firstLineChars="100" w:firstLine="16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Sankcie uložené v daňovom konaní</w:t>
            </w:r>
          </w:p>
        </w:tc>
        <w:tc>
          <w:tcPr>
            <w:tcW w:w="786" w:type="dxa"/>
            <w:tcBorders>
              <w:top w:val="nil"/>
              <w:left w:val="nil"/>
              <w:bottom w:val="nil"/>
              <w:right w:val="nil"/>
            </w:tcBorders>
            <w:shd w:val="clear" w:color="auto" w:fill="auto"/>
            <w:noWrap/>
            <w:vAlign w:val="center"/>
            <w:hideMark/>
          </w:tcPr>
          <w:p w14:paraId="7CA7BA76"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1 939</w:t>
            </w:r>
          </w:p>
        </w:tc>
        <w:tc>
          <w:tcPr>
            <w:tcW w:w="788" w:type="dxa"/>
            <w:tcBorders>
              <w:top w:val="nil"/>
              <w:left w:val="nil"/>
              <w:bottom w:val="nil"/>
              <w:right w:val="nil"/>
            </w:tcBorders>
            <w:shd w:val="clear" w:color="auto" w:fill="auto"/>
            <w:noWrap/>
            <w:vAlign w:val="center"/>
            <w:hideMark/>
          </w:tcPr>
          <w:p w14:paraId="49A933E2"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2 202</w:t>
            </w:r>
          </w:p>
        </w:tc>
        <w:tc>
          <w:tcPr>
            <w:tcW w:w="792" w:type="dxa"/>
            <w:gridSpan w:val="2"/>
            <w:tcBorders>
              <w:top w:val="nil"/>
              <w:left w:val="nil"/>
              <w:bottom w:val="nil"/>
              <w:right w:val="nil"/>
            </w:tcBorders>
            <w:shd w:val="clear" w:color="auto" w:fill="auto"/>
            <w:noWrap/>
            <w:vAlign w:val="center"/>
            <w:hideMark/>
          </w:tcPr>
          <w:p w14:paraId="7B38380B"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2 202</w:t>
            </w:r>
          </w:p>
        </w:tc>
        <w:tc>
          <w:tcPr>
            <w:tcW w:w="790" w:type="dxa"/>
            <w:gridSpan w:val="3"/>
            <w:tcBorders>
              <w:top w:val="nil"/>
              <w:left w:val="nil"/>
              <w:bottom w:val="nil"/>
              <w:right w:val="nil"/>
            </w:tcBorders>
            <w:shd w:val="clear" w:color="auto" w:fill="auto"/>
            <w:noWrap/>
            <w:vAlign w:val="center"/>
            <w:hideMark/>
          </w:tcPr>
          <w:p w14:paraId="36CB011F"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2 202</w:t>
            </w:r>
          </w:p>
        </w:tc>
        <w:tc>
          <w:tcPr>
            <w:tcW w:w="797" w:type="dxa"/>
            <w:tcBorders>
              <w:top w:val="nil"/>
              <w:left w:val="nil"/>
              <w:bottom w:val="nil"/>
              <w:right w:val="nil"/>
            </w:tcBorders>
            <w:shd w:val="clear" w:color="auto" w:fill="auto"/>
            <w:noWrap/>
            <w:vAlign w:val="center"/>
            <w:hideMark/>
          </w:tcPr>
          <w:p w14:paraId="24F6D74F"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2 202</w:t>
            </w:r>
          </w:p>
        </w:tc>
        <w:tc>
          <w:tcPr>
            <w:tcW w:w="790" w:type="dxa"/>
            <w:tcBorders>
              <w:top w:val="nil"/>
              <w:left w:val="nil"/>
              <w:bottom w:val="nil"/>
              <w:right w:val="nil"/>
            </w:tcBorders>
            <w:shd w:val="clear" w:color="auto" w:fill="auto"/>
            <w:noWrap/>
            <w:vAlign w:val="center"/>
            <w:hideMark/>
          </w:tcPr>
          <w:p w14:paraId="2CAEAB65"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2 202</w:t>
            </w:r>
          </w:p>
        </w:tc>
      </w:tr>
      <w:tr w:rsidR="00D94493" w:rsidRPr="00D94493" w14:paraId="61F8150D" w14:textId="77777777" w:rsidTr="00D94493">
        <w:trPr>
          <w:trHeight w:val="284"/>
        </w:trPr>
        <w:tc>
          <w:tcPr>
            <w:tcW w:w="4329" w:type="dxa"/>
            <w:tcBorders>
              <w:top w:val="nil"/>
              <w:left w:val="nil"/>
              <w:bottom w:val="nil"/>
              <w:right w:val="nil"/>
            </w:tcBorders>
            <w:shd w:val="clear" w:color="auto" w:fill="auto"/>
            <w:noWrap/>
            <w:vAlign w:val="center"/>
            <w:hideMark/>
          </w:tcPr>
          <w:p w14:paraId="394DCB22" w14:textId="77777777" w:rsidR="00D94493" w:rsidRPr="00D94493" w:rsidRDefault="00D94493" w:rsidP="00D94493">
            <w:pPr>
              <w:spacing w:after="0"/>
              <w:ind w:firstLineChars="100" w:firstLine="16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Sociálna poisťovňa</w:t>
            </w:r>
          </w:p>
        </w:tc>
        <w:tc>
          <w:tcPr>
            <w:tcW w:w="786" w:type="dxa"/>
            <w:tcBorders>
              <w:top w:val="nil"/>
              <w:left w:val="nil"/>
              <w:bottom w:val="nil"/>
              <w:right w:val="nil"/>
            </w:tcBorders>
            <w:shd w:val="clear" w:color="auto" w:fill="auto"/>
            <w:noWrap/>
            <w:vAlign w:val="center"/>
            <w:hideMark/>
          </w:tcPr>
          <w:p w14:paraId="78769E4E"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12 586</w:t>
            </w:r>
          </w:p>
        </w:tc>
        <w:tc>
          <w:tcPr>
            <w:tcW w:w="788" w:type="dxa"/>
            <w:tcBorders>
              <w:top w:val="nil"/>
              <w:left w:val="nil"/>
              <w:bottom w:val="nil"/>
              <w:right w:val="nil"/>
            </w:tcBorders>
            <w:shd w:val="clear" w:color="auto" w:fill="auto"/>
            <w:noWrap/>
            <w:vAlign w:val="center"/>
            <w:hideMark/>
          </w:tcPr>
          <w:p w14:paraId="79A4170F"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11 803</w:t>
            </w:r>
          </w:p>
        </w:tc>
        <w:tc>
          <w:tcPr>
            <w:tcW w:w="792" w:type="dxa"/>
            <w:gridSpan w:val="2"/>
            <w:tcBorders>
              <w:top w:val="nil"/>
              <w:left w:val="nil"/>
              <w:bottom w:val="nil"/>
              <w:right w:val="nil"/>
            </w:tcBorders>
            <w:shd w:val="clear" w:color="auto" w:fill="auto"/>
            <w:noWrap/>
            <w:vAlign w:val="center"/>
            <w:hideMark/>
          </w:tcPr>
          <w:p w14:paraId="27159D0D"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4 404</w:t>
            </w:r>
          </w:p>
        </w:tc>
        <w:tc>
          <w:tcPr>
            <w:tcW w:w="790" w:type="dxa"/>
            <w:gridSpan w:val="3"/>
            <w:tcBorders>
              <w:top w:val="nil"/>
              <w:left w:val="nil"/>
              <w:bottom w:val="nil"/>
              <w:right w:val="nil"/>
            </w:tcBorders>
            <w:shd w:val="clear" w:color="auto" w:fill="auto"/>
            <w:noWrap/>
            <w:vAlign w:val="center"/>
            <w:hideMark/>
          </w:tcPr>
          <w:p w14:paraId="0336C648"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11 803</w:t>
            </w:r>
          </w:p>
        </w:tc>
        <w:tc>
          <w:tcPr>
            <w:tcW w:w="797" w:type="dxa"/>
            <w:tcBorders>
              <w:top w:val="nil"/>
              <w:left w:val="nil"/>
              <w:bottom w:val="nil"/>
              <w:right w:val="nil"/>
            </w:tcBorders>
            <w:shd w:val="clear" w:color="auto" w:fill="auto"/>
            <w:noWrap/>
            <w:vAlign w:val="center"/>
            <w:hideMark/>
          </w:tcPr>
          <w:p w14:paraId="6761615D"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11 803</w:t>
            </w:r>
          </w:p>
        </w:tc>
        <w:tc>
          <w:tcPr>
            <w:tcW w:w="790" w:type="dxa"/>
            <w:tcBorders>
              <w:top w:val="nil"/>
              <w:left w:val="nil"/>
              <w:bottom w:val="nil"/>
              <w:right w:val="nil"/>
            </w:tcBorders>
            <w:shd w:val="clear" w:color="auto" w:fill="auto"/>
            <w:noWrap/>
            <w:vAlign w:val="center"/>
            <w:hideMark/>
          </w:tcPr>
          <w:p w14:paraId="1DE1293F"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11 803</w:t>
            </w:r>
          </w:p>
        </w:tc>
      </w:tr>
      <w:tr w:rsidR="00D94493" w:rsidRPr="00D94493" w14:paraId="2FE02860" w14:textId="77777777" w:rsidTr="00D94493">
        <w:trPr>
          <w:trHeight w:val="284"/>
        </w:trPr>
        <w:tc>
          <w:tcPr>
            <w:tcW w:w="4329" w:type="dxa"/>
            <w:tcBorders>
              <w:top w:val="nil"/>
              <w:left w:val="nil"/>
              <w:bottom w:val="single" w:sz="4" w:space="0" w:color="auto"/>
              <w:right w:val="nil"/>
            </w:tcBorders>
            <w:shd w:val="clear" w:color="auto" w:fill="auto"/>
            <w:noWrap/>
            <w:vAlign w:val="center"/>
            <w:hideMark/>
          </w:tcPr>
          <w:p w14:paraId="054C7249" w14:textId="77777777" w:rsidR="00D94493" w:rsidRPr="00D94493" w:rsidRDefault="00D94493" w:rsidP="00D94493">
            <w:pPr>
              <w:spacing w:after="0"/>
              <w:ind w:firstLineChars="100" w:firstLine="16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Zdravotné poisťovne</w:t>
            </w:r>
          </w:p>
        </w:tc>
        <w:tc>
          <w:tcPr>
            <w:tcW w:w="786" w:type="dxa"/>
            <w:tcBorders>
              <w:top w:val="nil"/>
              <w:left w:val="nil"/>
              <w:bottom w:val="single" w:sz="4" w:space="0" w:color="auto"/>
              <w:right w:val="nil"/>
            </w:tcBorders>
            <w:shd w:val="clear" w:color="auto" w:fill="auto"/>
            <w:noWrap/>
            <w:vAlign w:val="center"/>
            <w:hideMark/>
          </w:tcPr>
          <w:p w14:paraId="60C916D6"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631</w:t>
            </w:r>
          </w:p>
        </w:tc>
        <w:tc>
          <w:tcPr>
            <w:tcW w:w="788" w:type="dxa"/>
            <w:tcBorders>
              <w:top w:val="nil"/>
              <w:left w:val="nil"/>
              <w:bottom w:val="single" w:sz="4" w:space="0" w:color="auto"/>
              <w:right w:val="nil"/>
            </w:tcBorders>
            <w:shd w:val="clear" w:color="auto" w:fill="auto"/>
            <w:noWrap/>
            <w:vAlign w:val="center"/>
            <w:hideMark/>
          </w:tcPr>
          <w:p w14:paraId="1D7DF20D"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709</w:t>
            </w:r>
          </w:p>
        </w:tc>
        <w:tc>
          <w:tcPr>
            <w:tcW w:w="792" w:type="dxa"/>
            <w:gridSpan w:val="2"/>
            <w:tcBorders>
              <w:top w:val="nil"/>
              <w:left w:val="nil"/>
              <w:bottom w:val="single" w:sz="4" w:space="0" w:color="auto"/>
              <w:right w:val="nil"/>
            </w:tcBorders>
            <w:shd w:val="clear" w:color="auto" w:fill="auto"/>
            <w:noWrap/>
            <w:vAlign w:val="center"/>
            <w:hideMark/>
          </w:tcPr>
          <w:p w14:paraId="03BB9C31"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709</w:t>
            </w:r>
          </w:p>
        </w:tc>
        <w:tc>
          <w:tcPr>
            <w:tcW w:w="790" w:type="dxa"/>
            <w:gridSpan w:val="3"/>
            <w:tcBorders>
              <w:top w:val="nil"/>
              <w:left w:val="nil"/>
              <w:bottom w:val="single" w:sz="4" w:space="0" w:color="auto"/>
              <w:right w:val="nil"/>
            </w:tcBorders>
            <w:shd w:val="clear" w:color="auto" w:fill="auto"/>
            <w:noWrap/>
            <w:vAlign w:val="center"/>
            <w:hideMark/>
          </w:tcPr>
          <w:p w14:paraId="4F63B182"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709</w:t>
            </w:r>
          </w:p>
        </w:tc>
        <w:tc>
          <w:tcPr>
            <w:tcW w:w="797" w:type="dxa"/>
            <w:tcBorders>
              <w:top w:val="nil"/>
              <w:left w:val="nil"/>
              <w:bottom w:val="single" w:sz="4" w:space="0" w:color="auto"/>
              <w:right w:val="nil"/>
            </w:tcBorders>
            <w:shd w:val="clear" w:color="auto" w:fill="auto"/>
            <w:noWrap/>
            <w:vAlign w:val="center"/>
            <w:hideMark/>
          </w:tcPr>
          <w:p w14:paraId="3E9D9A6C"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709</w:t>
            </w:r>
          </w:p>
        </w:tc>
        <w:tc>
          <w:tcPr>
            <w:tcW w:w="790" w:type="dxa"/>
            <w:tcBorders>
              <w:top w:val="nil"/>
              <w:left w:val="nil"/>
              <w:bottom w:val="single" w:sz="4" w:space="0" w:color="auto"/>
              <w:right w:val="nil"/>
            </w:tcBorders>
            <w:shd w:val="clear" w:color="auto" w:fill="auto"/>
            <w:noWrap/>
            <w:vAlign w:val="center"/>
            <w:hideMark/>
          </w:tcPr>
          <w:p w14:paraId="3F3A050A"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709</w:t>
            </w:r>
          </w:p>
        </w:tc>
      </w:tr>
      <w:tr w:rsidR="00D94493" w:rsidRPr="00D94493" w14:paraId="01D179BE" w14:textId="77777777" w:rsidTr="00D94493">
        <w:trPr>
          <w:trHeight w:val="284"/>
        </w:trPr>
        <w:tc>
          <w:tcPr>
            <w:tcW w:w="4329" w:type="dxa"/>
            <w:tcBorders>
              <w:top w:val="nil"/>
              <w:left w:val="nil"/>
              <w:bottom w:val="nil"/>
              <w:right w:val="nil"/>
            </w:tcBorders>
            <w:shd w:val="clear" w:color="auto" w:fill="auto"/>
            <w:noWrap/>
            <w:vAlign w:val="center"/>
            <w:hideMark/>
          </w:tcPr>
          <w:p w14:paraId="4579B940" w14:textId="77777777" w:rsidR="00D94493" w:rsidRPr="00D94493" w:rsidRDefault="00D94493" w:rsidP="00D94493">
            <w:pPr>
              <w:rPr>
                <w:rFonts w:ascii="Times New Roman" w:eastAsia="Calibri" w:hAnsi="Times New Roman" w:cs="Times New Roman"/>
                <w:i/>
                <w:sz w:val="16"/>
                <w:szCs w:val="16"/>
                <w:lang w:eastAsia="sk-SK"/>
              </w:rPr>
            </w:pPr>
            <w:r w:rsidRPr="00D94493">
              <w:rPr>
                <w:rFonts w:ascii="Times New Roman" w:eastAsia="Calibri" w:hAnsi="Times New Roman" w:cs="Times New Roman"/>
                <w:i/>
                <w:sz w:val="16"/>
                <w:szCs w:val="16"/>
                <w:lang w:eastAsia="sk-SK"/>
              </w:rPr>
              <w:t xml:space="preserve">* Sankcie sú identické podľa hotovostnej a akruálnej metodiky. </w:t>
            </w:r>
          </w:p>
        </w:tc>
        <w:tc>
          <w:tcPr>
            <w:tcW w:w="1625" w:type="dxa"/>
            <w:gridSpan w:val="3"/>
            <w:tcBorders>
              <w:top w:val="nil"/>
              <w:left w:val="nil"/>
              <w:bottom w:val="nil"/>
              <w:right w:val="nil"/>
            </w:tcBorders>
            <w:shd w:val="clear" w:color="auto" w:fill="auto"/>
            <w:noWrap/>
            <w:vAlign w:val="center"/>
            <w:hideMark/>
          </w:tcPr>
          <w:p w14:paraId="69C4A5F0" w14:textId="77777777" w:rsidR="00D94493" w:rsidRPr="00D94493" w:rsidRDefault="00D94493" w:rsidP="00D94493">
            <w:pPr>
              <w:rPr>
                <w:rFonts w:ascii="Times New Roman" w:eastAsia="Calibri" w:hAnsi="Times New Roman" w:cs="Times New Roman"/>
                <w:sz w:val="16"/>
                <w:szCs w:val="16"/>
                <w:lang w:eastAsia="sk-SK"/>
              </w:rPr>
            </w:pPr>
          </w:p>
        </w:tc>
        <w:tc>
          <w:tcPr>
            <w:tcW w:w="778" w:type="dxa"/>
            <w:gridSpan w:val="2"/>
            <w:tcBorders>
              <w:top w:val="nil"/>
              <w:left w:val="nil"/>
              <w:bottom w:val="nil"/>
              <w:right w:val="nil"/>
            </w:tcBorders>
            <w:shd w:val="clear" w:color="auto" w:fill="auto"/>
            <w:noWrap/>
            <w:vAlign w:val="center"/>
            <w:hideMark/>
          </w:tcPr>
          <w:p w14:paraId="381ED249" w14:textId="77777777" w:rsidR="00D94493" w:rsidRPr="00D94493" w:rsidRDefault="00D94493" w:rsidP="00D94493">
            <w:pPr>
              <w:rPr>
                <w:rFonts w:ascii="Times New Roman" w:eastAsia="Calibri" w:hAnsi="Times New Roman" w:cs="Times New Roman"/>
                <w:sz w:val="16"/>
                <w:szCs w:val="16"/>
                <w:lang w:eastAsia="sk-SK"/>
              </w:rPr>
            </w:pPr>
          </w:p>
        </w:tc>
        <w:tc>
          <w:tcPr>
            <w:tcW w:w="585" w:type="dxa"/>
            <w:tcBorders>
              <w:top w:val="nil"/>
              <w:left w:val="nil"/>
              <w:bottom w:val="nil"/>
              <w:right w:val="nil"/>
            </w:tcBorders>
            <w:shd w:val="clear" w:color="auto" w:fill="auto"/>
            <w:noWrap/>
            <w:vAlign w:val="center"/>
            <w:hideMark/>
          </w:tcPr>
          <w:p w14:paraId="11761C27" w14:textId="77777777" w:rsidR="00D94493" w:rsidRPr="00D94493" w:rsidRDefault="00D94493" w:rsidP="00D94493">
            <w:pPr>
              <w:rPr>
                <w:rFonts w:ascii="Times New Roman" w:eastAsia="Calibri" w:hAnsi="Times New Roman" w:cs="Times New Roman"/>
                <w:sz w:val="16"/>
                <w:szCs w:val="16"/>
                <w:lang w:eastAsia="sk-SK"/>
              </w:rPr>
            </w:pPr>
          </w:p>
        </w:tc>
        <w:tc>
          <w:tcPr>
            <w:tcW w:w="1755" w:type="dxa"/>
            <w:gridSpan w:val="3"/>
            <w:tcBorders>
              <w:top w:val="nil"/>
              <w:left w:val="nil"/>
              <w:bottom w:val="nil"/>
              <w:right w:val="nil"/>
            </w:tcBorders>
            <w:shd w:val="clear" w:color="auto" w:fill="auto"/>
            <w:noWrap/>
            <w:vAlign w:val="center"/>
            <w:hideMark/>
          </w:tcPr>
          <w:p w14:paraId="7B22D1A4" w14:textId="77777777" w:rsidR="00D94493" w:rsidRPr="00D94493" w:rsidRDefault="00D94493" w:rsidP="00D94493">
            <w:pPr>
              <w:jc w:val="right"/>
              <w:rPr>
                <w:rFonts w:ascii="Times New Roman" w:eastAsia="Calibri" w:hAnsi="Times New Roman" w:cs="Times New Roman"/>
                <w:sz w:val="16"/>
                <w:szCs w:val="16"/>
                <w:lang w:eastAsia="sk-SK"/>
              </w:rPr>
            </w:pPr>
            <w:r w:rsidRPr="00D94493">
              <w:rPr>
                <w:rFonts w:ascii="Times New Roman" w:eastAsia="Calibri" w:hAnsi="Times New Roman" w:cs="Times New Roman"/>
                <w:bCs/>
                <w:i/>
                <w:sz w:val="16"/>
              </w:rPr>
              <w:t>Zdroj: MF SR</w:t>
            </w:r>
          </w:p>
        </w:tc>
      </w:tr>
    </w:tbl>
    <w:p w14:paraId="5C38168F" w14:textId="77777777" w:rsidR="00D94493" w:rsidRPr="00D94493" w:rsidRDefault="00D94493" w:rsidP="00D94493">
      <w:pPr>
        <w:spacing w:after="0"/>
        <w:jc w:val="both"/>
        <w:rPr>
          <w:rFonts w:ascii="Times New Roman" w:eastAsia="Calibri" w:hAnsi="Times New Roman" w:cs="Times New Roman"/>
          <w:color w:val="FF0000"/>
          <w:sz w:val="24"/>
          <w:highlight w:val="yellow"/>
        </w:rPr>
      </w:pPr>
    </w:p>
    <w:p w14:paraId="6EC6500E" w14:textId="77777777" w:rsidR="00D94493" w:rsidRPr="00D94493" w:rsidRDefault="00D94493" w:rsidP="00D94493">
      <w:pPr>
        <w:spacing w:after="0"/>
        <w:jc w:val="both"/>
        <w:rPr>
          <w:rFonts w:ascii="Times New Roman" w:eastAsia="Calibri" w:hAnsi="Times New Roman" w:cs="Times New Roman"/>
          <w:b/>
          <w:color w:val="5B9BD5"/>
          <w:sz w:val="24"/>
        </w:rPr>
      </w:pPr>
      <w:proofErr w:type="spellStart"/>
      <w:r w:rsidRPr="00D94493">
        <w:rPr>
          <w:rFonts w:ascii="Times New Roman" w:eastAsia="Calibri" w:hAnsi="Times New Roman" w:cs="Times New Roman"/>
          <w:b/>
          <w:color w:val="5B9BD5"/>
          <w:sz w:val="24"/>
        </w:rPr>
        <w:t>Akrualizácia</w:t>
      </w:r>
      <w:proofErr w:type="spellEnd"/>
      <w:r w:rsidRPr="00D94493">
        <w:rPr>
          <w:rFonts w:ascii="Times New Roman" w:eastAsia="Calibri" w:hAnsi="Times New Roman" w:cs="Times New Roman"/>
          <w:b/>
          <w:color w:val="5B9BD5"/>
          <w:sz w:val="24"/>
        </w:rPr>
        <w:t xml:space="preserve"> daňových a odvodových príjmov</w:t>
      </w:r>
    </w:p>
    <w:p w14:paraId="48FA0D57" w14:textId="77777777" w:rsidR="00D94493" w:rsidRPr="00D94493" w:rsidRDefault="00D94493" w:rsidP="00D94493">
      <w:pPr>
        <w:spacing w:after="0"/>
        <w:jc w:val="both"/>
        <w:rPr>
          <w:rFonts w:ascii="Times New Roman" w:eastAsia="Calibri" w:hAnsi="Times New Roman" w:cs="Times New Roman"/>
          <w:b/>
          <w:color w:val="2C9ADC"/>
          <w:sz w:val="24"/>
        </w:rPr>
      </w:pPr>
    </w:p>
    <w:p w14:paraId="3BDE9DF2" w14:textId="77777777" w:rsidR="00D94493" w:rsidRPr="00D94493" w:rsidRDefault="00D94493" w:rsidP="00D94493">
      <w:pPr>
        <w:spacing w:after="0"/>
        <w:jc w:val="both"/>
        <w:rPr>
          <w:rFonts w:ascii="Times New Roman" w:eastAsia="Calibri" w:hAnsi="Times New Roman" w:cs="Times New Roman"/>
          <w:sz w:val="24"/>
        </w:rPr>
      </w:pPr>
      <w:r w:rsidRPr="00D94493">
        <w:rPr>
          <w:rFonts w:ascii="Times New Roman" w:eastAsia="Calibri" w:hAnsi="Times New Roman" w:cs="Times New Roman"/>
          <w:sz w:val="24"/>
        </w:rPr>
        <w:t xml:space="preserve">Rozdiel medzi akruálnym a hotovostným výnosom daní je spôsobený viacerými faktormi, medzi tie hlavné patria zaznamenávanie daňových kreditov, poukazovanie 2 % na osobitné účely a samotný spôsob výberu daní. </w:t>
      </w:r>
    </w:p>
    <w:p w14:paraId="665E107F" w14:textId="77777777" w:rsidR="00D94493" w:rsidRPr="00D94493" w:rsidRDefault="00D94493" w:rsidP="00D94493">
      <w:pPr>
        <w:spacing w:after="0"/>
        <w:jc w:val="both"/>
        <w:rPr>
          <w:rFonts w:ascii="Times New Roman" w:eastAsia="Calibri" w:hAnsi="Times New Roman" w:cs="Times New Roman"/>
          <w:b/>
          <w:color w:val="2C9ADC"/>
          <w:sz w:val="24"/>
        </w:rPr>
      </w:pPr>
    </w:p>
    <w:p w14:paraId="41ABD232" w14:textId="77777777" w:rsidR="00D94493" w:rsidRPr="00D94493" w:rsidRDefault="00D94493" w:rsidP="00D94493">
      <w:pPr>
        <w:spacing w:after="0"/>
        <w:jc w:val="both"/>
        <w:rPr>
          <w:rFonts w:ascii="Times New Roman" w:eastAsia="Calibri" w:hAnsi="Times New Roman" w:cs="Times New Roman"/>
          <w:sz w:val="24"/>
        </w:rPr>
      </w:pPr>
      <w:r w:rsidRPr="00D94493">
        <w:rPr>
          <w:rFonts w:ascii="Times New Roman" w:eastAsia="Calibri" w:hAnsi="Times New Roman" w:cs="Times New Roman"/>
          <w:sz w:val="24"/>
        </w:rPr>
        <w:t xml:space="preserve">V nasledujúcej tabuľke sú uvedené rozdiely medzi akruálnymi a hotovostnými odhadmi daní podľa subjektov verejnej správy. </w:t>
      </w:r>
    </w:p>
    <w:p w14:paraId="77AB9DE1" w14:textId="77777777" w:rsidR="00D94493" w:rsidRPr="00D94493" w:rsidRDefault="00D94493" w:rsidP="00D94493">
      <w:pPr>
        <w:spacing w:after="0"/>
        <w:jc w:val="both"/>
        <w:rPr>
          <w:rFonts w:ascii="Times New Roman" w:eastAsia="Calibri" w:hAnsi="Times New Roman" w:cs="Times New Roman"/>
          <w:sz w:val="24"/>
        </w:rPr>
      </w:pPr>
    </w:p>
    <w:p w14:paraId="0DD4B927" w14:textId="0AAE224D" w:rsidR="00D94493" w:rsidRPr="00D94493" w:rsidRDefault="00D94493" w:rsidP="00D94493">
      <w:pPr>
        <w:keepNext/>
        <w:spacing w:after="0" w:line="240" w:lineRule="auto"/>
        <w:rPr>
          <w:rFonts w:ascii="Times New Roman" w:eastAsia="Calibri" w:hAnsi="Times New Roman" w:cs="Times New Roman"/>
          <w:b/>
          <w:iCs/>
          <w:color w:val="5B9BD5"/>
          <w:sz w:val="20"/>
          <w:szCs w:val="18"/>
        </w:rPr>
      </w:pPr>
      <w:bookmarkStart w:id="98" w:name="_Toc53086354"/>
      <w:bookmarkStart w:id="99" w:name="_Toc153013025"/>
      <w:r w:rsidRPr="00D94493">
        <w:rPr>
          <w:rFonts w:ascii="Times New Roman" w:eastAsia="Calibri" w:hAnsi="Times New Roman" w:cs="Times New Roman"/>
          <w:b/>
          <w:iCs/>
          <w:color w:val="5B9BD5"/>
          <w:sz w:val="20"/>
          <w:szCs w:val="18"/>
        </w:rPr>
        <w:t xml:space="preserve">Tabuľka </w:t>
      </w:r>
      <w:r w:rsidRPr="00D94493">
        <w:rPr>
          <w:rFonts w:ascii="Times New Roman" w:eastAsia="Calibri" w:hAnsi="Times New Roman" w:cs="Times New Roman"/>
          <w:b/>
          <w:iCs/>
          <w:color w:val="5B9BD5"/>
          <w:sz w:val="20"/>
          <w:szCs w:val="18"/>
        </w:rPr>
        <w:fldChar w:fldCharType="begin"/>
      </w:r>
      <w:r w:rsidRPr="00D94493">
        <w:rPr>
          <w:rFonts w:ascii="Times New Roman" w:eastAsia="Calibri" w:hAnsi="Times New Roman" w:cs="Times New Roman"/>
          <w:b/>
          <w:iCs/>
          <w:color w:val="5B9BD5"/>
          <w:sz w:val="20"/>
          <w:szCs w:val="18"/>
        </w:rPr>
        <w:instrText xml:space="preserve"> SEQ Tabuľka \* ARABIC </w:instrText>
      </w:r>
      <w:r w:rsidRPr="00D94493">
        <w:rPr>
          <w:rFonts w:ascii="Times New Roman" w:eastAsia="Calibri" w:hAnsi="Times New Roman" w:cs="Times New Roman"/>
          <w:b/>
          <w:iCs/>
          <w:color w:val="5B9BD5"/>
          <w:sz w:val="20"/>
          <w:szCs w:val="18"/>
        </w:rPr>
        <w:fldChar w:fldCharType="separate"/>
      </w:r>
      <w:r w:rsidR="003D5A3A">
        <w:rPr>
          <w:rFonts w:ascii="Times New Roman" w:eastAsia="Calibri" w:hAnsi="Times New Roman" w:cs="Times New Roman"/>
          <w:b/>
          <w:iCs/>
          <w:noProof/>
          <w:color w:val="5B9BD5"/>
          <w:sz w:val="20"/>
          <w:szCs w:val="18"/>
        </w:rPr>
        <w:t>27</w:t>
      </w:r>
      <w:r w:rsidRPr="00D94493">
        <w:rPr>
          <w:rFonts w:ascii="Times New Roman" w:eastAsia="Calibri" w:hAnsi="Times New Roman" w:cs="Times New Roman"/>
          <w:b/>
          <w:iCs/>
          <w:color w:val="5B9BD5"/>
          <w:sz w:val="20"/>
          <w:szCs w:val="18"/>
        </w:rPr>
        <w:fldChar w:fldCharType="end"/>
      </w:r>
      <w:r w:rsidRPr="00D94493">
        <w:rPr>
          <w:rFonts w:ascii="Times New Roman" w:eastAsia="Calibri" w:hAnsi="Times New Roman" w:cs="Times New Roman"/>
          <w:b/>
          <w:iCs/>
          <w:color w:val="5B9BD5"/>
          <w:sz w:val="20"/>
          <w:szCs w:val="18"/>
        </w:rPr>
        <w:t xml:space="preserve"> - Odhad rozdielu medzi akruálnymi a hotovostnými prognózami v rokoch 2021 až 2026</w:t>
      </w:r>
      <w:r w:rsidRPr="00D94493">
        <w:rPr>
          <w:rFonts w:ascii="Times New Roman" w:eastAsia="Calibri" w:hAnsi="Times New Roman" w:cs="Times New Roman"/>
          <w:b/>
          <w:iCs/>
          <w:color w:val="5B9BD5"/>
          <w:sz w:val="20"/>
          <w:szCs w:val="18"/>
        </w:rPr>
        <w:br/>
        <w:t>(v tis. eur)</w:t>
      </w:r>
      <w:bookmarkEnd w:id="98"/>
      <w:bookmarkEnd w:id="99"/>
    </w:p>
    <w:tbl>
      <w:tblPr>
        <w:tblW w:w="5000" w:type="pct"/>
        <w:tblCellMar>
          <w:left w:w="70" w:type="dxa"/>
          <w:right w:w="70" w:type="dxa"/>
        </w:tblCellMar>
        <w:tblLook w:val="04A0" w:firstRow="1" w:lastRow="0" w:firstColumn="1" w:lastColumn="0" w:noHBand="0" w:noVBand="1"/>
      </w:tblPr>
      <w:tblGrid>
        <w:gridCol w:w="4131"/>
        <w:gridCol w:w="889"/>
        <w:gridCol w:w="904"/>
        <w:gridCol w:w="787"/>
        <w:gridCol w:w="787"/>
        <w:gridCol w:w="787"/>
        <w:gridCol w:w="787"/>
      </w:tblGrid>
      <w:tr w:rsidR="00D94493" w:rsidRPr="00D94493" w14:paraId="4BBEC604" w14:textId="77777777" w:rsidTr="00D94493">
        <w:trPr>
          <w:trHeight w:val="255"/>
        </w:trPr>
        <w:tc>
          <w:tcPr>
            <w:tcW w:w="4131" w:type="dxa"/>
            <w:tcBorders>
              <w:top w:val="single" w:sz="4" w:space="0" w:color="auto"/>
              <w:left w:val="nil"/>
              <w:bottom w:val="single" w:sz="4" w:space="0" w:color="auto"/>
              <w:right w:val="nil"/>
            </w:tcBorders>
            <w:shd w:val="clear" w:color="auto" w:fill="auto"/>
            <w:vAlign w:val="bottom"/>
            <w:hideMark/>
          </w:tcPr>
          <w:p w14:paraId="34CFBCC0" w14:textId="77777777" w:rsidR="00D94493" w:rsidRPr="00D94493" w:rsidRDefault="00D94493" w:rsidP="00D94493">
            <w:pPr>
              <w:spacing w:after="0"/>
              <w:jc w:val="right"/>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 </w:t>
            </w:r>
          </w:p>
        </w:tc>
        <w:tc>
          <w:tcPr>
            <w:tcW w:w="889" w:type="dxa"/>
            <w:tcBorders>
              <w:top w:val="single" w:sz="4" w:space="0" w:color="auto"/>
              <w:left w:val="nil"/>
              <w:bottom w:val="single" w:sz="4" w:space="0" w:color="auto"/>
              <w:right w:val="nil"/>
            </w:tcBorders>
            <w:shd w:val="clear" w:color="auto" w:fill="auto"/>
            <w:vAlign w:val="bottom"/>
            <w:hideMark/>
          </w:tcPr>
          <w:p w14:paraId="2088D257"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lang w:eastAsia="sk-SK"/>
              </w:rPr>
              <w:t>2021 S</w:t>
            </w:r>
          </w:p>
        </w:tc>
        <w:tc>
          <w:tcPr>
            <w:tcW w:w="904" w:type="dxa"/>
            <w:tcBorders>
              <w:top w:val="single" w:sz="4" w:space="0" w:color="auto"/>
              <w:left w:val="nil"/>
              <w:bottom w:val="single" w:sz="4" w:space="0" w:color="auto"/>
              <w:right w:val="nil"/>
            </w:tcBorders>
            <w:shd w:val="clear" w:color="auto" w:fill="auto"/>
            <w:vAlign w:val="bottom"/>
            <w:hideMark/>
          </w:tcPr>
          <w:p w14:paraId="3BFA1D1C"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lang w:eastAsia="sk-SK"/>
              </w:rPr>
              <w:t>2022 OS</w:t>
            </w:r>
          </w:p>
        </w:tc>
        <w:tc>
          <w:tcPr>
            <w:tcW w:w="787" w:type="dxa"/>
            <w:tcBorders>
              <w:top w:val="single" w:sz="4" w:space="0" w:color="auto"/>
              <w:left w:val="nil"/>
              <w:bottom w:val="single" w:sz="4" w:space="0" w:color="auto"/>
              <w:right w:val="nil"/>
            </w:tcBorders>
            <w:shd w:val="clear" w:color="auto" w:fill="auto"/>
            <w:vAlign w:val="bottom"/>
            <w:hideMark/>
          </w:tcPr>
          <w:p w14:paraId="053B9C48"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lang w:eastAsia="sk-SK"/>
              </w:rPr>
              <w:t>2023 OS</w:t>
            </w:r>
          </w:p>
        </w:tc>
        <w:tc>
          <w:tcPr>
            <w:tcW w:w="787" w:type="dxa"/>
            <w:tcBorders>
              <w:top w:val="single" w:sz="4" w:space="0" w:color="auto"/>
              <w:left w:val="nil"/>
              <w:bottom w:val="single" w:sz="4" w:space="0" w:color="auto"/>
              <w:right w:val="nil"/>
            </w:tcBorders>
            <w:shd w:val="clear" w:color="auto" w:fill="auto"/>
            <w:vAlign w:val="bottom"/>
            <w:hideMark/>
          </w:tcPr>
          <w:p w14:paraId="5AE73937"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lang w:eastAsia="sk-SK"/>
              </w:rPr>
              <w:t>2024 N</w:t>
            </w:r>
          </w:p>
        </w:tc>
        <w:tc>
          <w:tcPr>
            <w:tcW w:w="787" w:type="dxa"/>
            <w:tcBorders>
              <w:top w:val="single" w:sz="4" w:space="0" w:color="auto"/>
              <w:left w:val="nil"/>
              <w:bottom w:val="single" w:sz="4" w:space="0" w:color="auto"/>
              <w:right w:val="nil"/>
            </w:tcBorders>
            <w:shd w:val="clear" w:color="auto" w:fill="auto"/>
            <w:vAlign w:val="bottom"/>
            <w:hideMark/>
          </w:tcPr>
          <w:p w14:paraId="738AE29F"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lang w:eastAsia="sk-SK"/>
              </w:rPr>
              <w:t>2025 N</w:t>
            </w:r>
          </w:p>
        </w:tc>
        <w:tc>
          <w:tcPr>
            <w:tcW w:w="787" w:type="dxa"/>
            <w:tcBorders>
              <w:top w:val="single" w:sz="4" w:space="0" w:color="auto"/>
              <w:left w:val="nil"/>
              <w:bottom w:val="single" w:sz="4" w:space="0" w:color="auto"/>
              <w:right w:val="nil"/>
            </w:tcBorders>
            <w:shd w:val="clear" w:color="auto" w:fill="auto"/>
            <w:vAlign w:val="bottom"/>
            <w:hideMark/>
          </w:tcPr>
          <w:p w14:paraId="3224E054"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lang w:eastAsia="sk-SK"/>
              </w:rPr>
              <w:t>2026 N</w:t>
            </w:r>
          </w:p>
        </w:tc>
      </w:tr>
      <w:tr w:rsidR="00D94493" w:rsidRPr="00D94493" w14:paraId="0EFBA3C4" w14:textId="77777777" w:rsidTr="00D94493">
        <w:trPr>
          <w:trHeight w:val="255"/>
        </w:trPr>
        <w:tc>
          <w:tcPr>
            <w:tcW w:w="4131" w:type="dxa"/>
            <w:tcBorders>
              <w:top w:val="nil"/>
              <w:left w:val="nil"/>
              <w:bottom w:val="nil"/>
              <w:right w:val="nil"/>
            </w:tcBorders>
            <w:shd w:val="clear" w:color="auto" w:fill="auto"/>
            <w:vAlign w:val="bottom"/>
            <w:hideMark/>
          </w:tcPr>
          <w:p w14:paraId="70BF5693" w14:textId="77777777" w:rsidR="00D94493" w:rsidRPr="00D94493" w:rsidRDefault="00D94493" w:rsidP="00D94493">
            <w:pPr>
              <w:spacing w:after="0"/>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Daňové príjmy VS</w:t>
            </w:r>
          </w:p>
        </w:tc>
        <w:tc>
          <w:tcPr>
            <w:tcW w:w="889" w:type="dxa"/>
            <w:tcBorders>
              <w:top w:val="nil"/>
              <w:left w:val="nil"/>
              <w:bottom w:val="nil"/>
              <w:right w:val="nil"/>
            </w:tcBorders>
            <w:shd w:val="clear" w:color="auto" w:fill="auto"/>
            <w:vAlign w:val="center"/>
            <w:hideMark/>
          </w:tcPr>
          <w:p w14:paraId="77693E69"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rPr>
              <w:t>1 033 889</w:t>
            </w:r>
          </w:p>
        </w:tc>
        <w:tc>
          <w:tcPr>
            <w:tcW w:w="904" w:type="dxa"/>
            <w:tcBorders>
              <w:top w:val="nil"/>
              <w:left w:val="nil"/>
              <w:bottom w:val="nil"/>
              <w:right w:val="nil"/>
            </w:tcBorders>
            <w:shd w:val="clear" w:color="auto" w:fill="auto"/>
            <w:vAlign w:val="center"/>
            <w:hideMark/>
          </w:tcPr>
          <w:p w14:paraId="1B8C2979"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rPr>
              <w:t>1 042 228</w:t>
            </w:r>
          </w:p>
        </w:tc>
        <w:tc>
          <w:tcPr>
            <w:tcW w:w="787" w:type="dxa"/>
            <w:tcBorders>
              <w:top w:val="nil"/>
              <w:left w:val="nil"/>
              <w:bottom w:val="nil"/>
              <w:right w:val="nil"/>
            </w:tcBorders>
            <w:shd w:val="clear" w:color="auto" w:fill="auto"/>
            <w:vAlign w:val="center"/>
            <w:hideMark/>
          </w:tcPr>
          <w:p w14:paraId="6B1FCD03"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rPr>
              <w:t>772 499</w:t>
            </w:r>
          </w:p>
        </w:tc>
        <w:tc>
          <w:tcPr>
            <w:tcW w:w="787" w:type="dxa"/>
            <w:tcBorders>
              <w:top w:val="nil"/>
              <w:left w:val="nil"/>
              <w:bottom w:val="nil"/>
              <w:right w:val="nil"/>
            </w:tcBorders>
            <w:shd w:val="clear" w:color="auto" w:fill="auto"/>
            <w:vAlign w:val="center"/>
            <w:hideMark/>
          </w:tcPr>
          <w:p w14:paraId="3E08E5EC"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rPr>
              <w:t>1 244 416</w:t>
            </w:r>
          </w:p>
        </w:tc>
        <w:tc>
          <w:tcPr>
            <w:tcW w:w="787" w:type="dxa"/>
            <w:tcBorders>
              <w:top w:val="nil"/>
              <w:left w:val="nil"/>
              <w:bottom w:val="nil"/>
              <w:right w:val="nil"/>
            </w:tcBorders>
            <w:shd w:val="clear" w:color="auto" w:fill="auto"/>
            <w:vAlign w:val="center"/>
            <w:hideMark/>
          </w:tcPr>
          <w:p w14:paraId="7669760F"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rPr>
              <w:t>870 626</w:t>
            </w:r>
          </w:p>
        </w:tc>
        <w:tc>
          <w:tcPr>
            <w:tcW w:w="787" w:type="dxa"/>
            <w:tcBorders>
              <w:top w:val="nil"/>
              <w:left w:val="nil"/>
              <w:bottom w:val="nil"/>
              <w:right w:val="nil"/>
            </w:tcBorders>
            <w:shd w:val="clear" w:color="auto" w:fill="auto"/>
            <w:vAlign w:val="center"/>
            <w:hideMark/>
          </w:tcPr>
          <w:p w14:paraId="46E309CC"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rPr>
              <w:t>1 153 373</w:t>
            </w:r>
          </w:p>
        </w:tc>
      </w:tr>
      <w:tr w:rsidR="00D94493" w:rsidRPr="00D94493" w14:paraId="45CBEC9D" w14:textId="77777777" w:rsidTr="00D94493">
        <w:trPr>
          <w:trHeight w:val="255"/>
        </w:trPr>
        <w:tc>
          <w:tcPr>
            <w:tcW w:w="4131" w:type="dxa"/>
            <w:tcBorders>
              <w:top w:val="nil"/>
              <w:left w:val="nil"/>
              <w:bottom w:val="nil"/>
              <w:right w:val="nil"/>
            </w:tcBorders>
            <w:shd w:val="clear" w:color="auto" w:fill="auto"/>
            <w:vAlign w:val="bottom"/>
            <w:hideMark/>
          </w:tcPr>
          <w:p w14:paraId="66C642B5" w14:textId="77777777" w:rsidR="00D94493" w:rsidRPr="00D94493" w:rsidRDefault="00D94493" w:rsidP="00D94493">
            <w:pPr>
              <w:spacing w:after="0"/>
              <w:ind w:firstLineChars="200" w:firstLine="32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Štátny rozpočet</w:t>
            </w:r>
          </w:p>
        </w:tc>
        <w:tc>
          <w:tcPr>
            <w:tcW w:w="889" w:type="dxa"/>
            <w:tcBorders>
              <w:top w:val="nil"/>
              <w:left w:val="nil"/>
              <w:bottom w:val="nil"/>
              <w:right w:val="nil"/>
            </w:tcBorders>
            <w:shd w:val="clear" w:color="auto" w:fill="auto"/>
            <w:vAlign w:val="center"/>
            <w:hideMark/>
          </w:tcPr>
          <w:p w14:paraId="5EFA15E9"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911 664</w:t>
            </w:r>
          </w:p>
        </w:tc>
        <w:tc>
          <w:tcPr>
            <w:tcW w:w="904" w:type="dxa"/>
            <w:tcBorders>
              <w:top w:val="nil"/>
              <w:left w:val="nil"/>
              <w:bottom w:val="nil"/>
              <w:right w:val="nil"/>
            </w:tcBorders>
            <w:shd w:val="clear" w:color="auto" w:fill="auto"/>
            <w:vAlign w:val="center"/>
            <w:hideMark/>
          </w:tcPr>
          <w:p w14:paraId="3B2764A9"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1 062 552</w:t>
            </w:r>
          </w:p>
        </w:tc>
        <w:tc>
          <w:tcPr>
            <w:tcW w:w="787" w:type="dxa"/>
            <w:tcBorders>
              <w:top w:val="nil"/>
              <w:left w:val="nil"/>
              <w:bottom w:val="nil"/>
              <w:right w:val="nil"/>
            </w:tcBorders>
            <w:shd w:val="clear" w:color="auto" w:fill="auto"/>
            <w:vAlign w:val="center"/>
            <w:hideMark/>
          </w:tcPr>
          <w:p w14:paraId="714D7923"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694 339</w:t>
            </w:r>
          </w:p>
        </w:tc>
        <w:tc>
          <w:tcPr>
            <w:tcW w:w="787" w:type="dxa"/>
            <w:tcBorders>
              <w:top w:val="nil"/>
              <w:left w:val="nil"/>
              <w:bottom w:val="nil"/>
              <w:right w:val="nil"/>
            </w:tcBorders>
            <w:shd w:val="clear" w:color="auto" w:fill="auto"/>
            <w:vAlign w:val="center"/>
            <w:hideMark/>
          </w:tcPr>
          <w:p w14:paraId="442D3A70"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1 161 998</w:t>
            </w:r>
          </w:p>
        </w:tc>
        <w:tc>
          <w:tcPr>
            <w:tcW w:w="787" w:type="dxa"/>
            <w:tcBorders>
              <w:top w:val="nil"/>
              <w:left w:val="nil"/>
              <w:bottom w:val="nil"/>
              <w:right w:val="nil"/>
            </w:tcBorders>
            <w:shd w:val="clear" w:color="auto" w:fill="auto"/>
            <w:vAlign w:val="center"/>
            <w:hideMark/>
          </w:tcPr>
          <w:p w14:paraId="1627A4F2"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803 248</w:t>
            </w:r>
          </w:p>
        </w:tc>
        <w:tc>
          <w:tcPr>
            <w:tcW w:w="787" w:type="dxa"/>
            <w:tcBorders>
              <w:top w:val="nil"/>
              <w:left w:val="nil"/>
              <w:bottom w:val="nil"/>
              <w:right w:val="nil"/>
            </w:tcBorders>
            <w:shd w:val="clear" w:color="auto" w:fill="auto"/>
            <w:vAlign w:val="center"/>
            <w:hideMark/>
          </w:tcPr>
          <w:p w14:paraId="09EF8B9E"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1 091 745</w:t>
            </w:r>
          </w:p>
        </w:tc>
      </w:tr>
      <w:tr w:rsidR="00D94493" w:rsidRPr="00D94493" w14:paraId="7AB829ED" w14:textId="77777777" w:rsidTr="00D94493">
        <w:trPr>
          <w:trHeight w:val="255"/>
        </w:trPr>
        <w:tc>
          <w:tcPr>
            <w:tcW w:w="4131" w:type="dxa"/>
            <w:tcBorders>
              <w:top w:val="nil"/>
              <w:left w:val="nil"/>
              <w:bottom w:val="nil"/>
              <w:right w:val="nil"/>
            </w:tcBorders>
            <w:shd w:val="clear" w:color="auto" w:fill="auto"/>
            <w:noWrap/>
            <w:vAlign w:val="bottom"/>
            <w:hideMark/>
          </w:tcPr>
          <w:p w14:paraId="3B411010" w14:textId="77777777" w:rsidR="00D94493" w:rsidRPr="00D94493" w:rsidRDefault="00D94493" w:rsidP="00D94493">
            <w:pPr>
              <w:spacing w:after="0"/>
              <w:ind w:firstLineChars="200" w:firstLine="32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Samostatné účty</w:t>
            </w:r>
          </w:p>
        </w:tc>
        <w:tc>
          <w:tcPr>
            <w:tcW w:w="889" w:type="dxa"/>
            <w:tcBorders>
              <w:top w:val="nil"/>
              <w:left w:val="nil"/>
              <w:bottom w:val="nil"/>
              <w:right w:val="nil"/>
            </w:tcBorders>
            <w:shd w:val="clear" w:color="auto" w:fill="auto"/>
            <w:vAlign w:val="center"/>
            <w:hideMark/>
          </w:tcPr>
          <w:p w14:paraId="4A120529"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1 060</w:t>
            </w:r>
          </w:p>
        </w:tc>
        <w:tc>
          <w:tcPr>
            <w:tcW w:w="904" w:type="dxa"/>
            <w:tcBorders>
              <w:top w:val="nil"/>
              <w:left w:val="nil"/>
              <w:bottom w:val="nil"/>
              <w:right w:val="nil"/>
            </w:tcBorders>
            <w:shd w:val="clear" w:color="auto" w:fill="auto"/>
            <w:vAlign w:val="center"/>
            <w:hideMark/>
          </w:tcPr>
          <w:p w14:paraId="305CDD72"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1 037</w:t>
            </w:r>
          </w:p>
        </w:tc>
        <w:tc>
          <w:tcPr>
            <w:tcW w:w="787" w:type="dxa"/>
            <w:tcBorders>
              <w:top w:val="nil"/>
              <w:left w:val="nil"/>
              <w:bottom w:val="nil"/>
              <w:right w:val="nil"/>
            </w:tcBorders>
            <w:shd w:val="clear" w:color="auto" w:fill="auto"/>
            <w:vAlign w:val="center"/>
            <w:hideMark/>
          </w:tcPr>
          <w:p w14:paraId="75A8394D"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1 374</w:t>
            </w:r>
          </w:p>
        </w:tc>
        <w:tc>
          <w:tcPr>
            <w:tcW w:w="787" w:type="dxa"/>
            <w:tcBorders>
              <w:top w:val="nil"/>
              <w:left w:val="nil"/>
              <w:bottom w:val="nil"/>
              <w:right w:val="nil"/>
            </w:tcBorders>
            <w:shd w:val="clear" w:color="auto" w:fill="auto"/>
            <w:vAlign w:val="center"/>
            <w:hideMark/>
          </w:tcPr>
          <w:p w14:paraId="51AB2579"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1 956</w:t>
            </w:r>
          </w:p>
        </w:tc>
        <w:tc>
          <w:tcPr>
            <w:tcW w:w="787" w:type="dxa"/>
            <w:tcBorders>
              <w:top w:val="nil"/>
              <w:left w:val="nil"/>
              <w:bottom w:val="nil"/>
              <w:right w:val="nil"/>
            </w:tcBorders>
            <w:shd w:val="clear" w:color="auto" w:fill="auto"/>
            <w:vAlign w:val="center"/>
            <w:hideMark/>
          </w:tcPr>
          <w:p w14:paraId="2DC97F61"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2 099</w:t>
            </w:r>
          </w:p>
        </w:tc>
        <w:tc>
          <w:tcPr>
            <w:tcW w:w="787" w:type="dxa"/>
            <w:tcBorders>
              <w:top w:val="nil"/>
              <w:left w:val="nil"/>
              <w:bottom w:val="nil"/>
              <w:right w:val="nil"/>
            </w:tcBorders>
            <w:shd w:val="clear" w:color="auto" w:fill="auto"/>
            <w:vAlign w:val="center"/>
            <w:hideMark/>
          </w:tcPr>
          <w:p w14:paraId="26287FB6"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1 963</w:t>
            </w:r>
          </w:p>
        </w:tc>
      </w:tr>
      <w:tr w:rsidR="00D94493" w:rsidRPr="00D94493" w14:paraId="3D64C808" w14:textId="77777777" w:rsidTr="00D94493">
        <w:trPr>
          <w:trHeight w:val="255"/>
        </w:trPr>
        <w:tc>
          <w:tcPr>
            <w:tcW w:w="4131" w:type="dxa"/>
            <w:tcBorders>
              <w:top w:val="nil"/>
              <w:left w:val="nil"/>
              <w:bottom w:val="nil"/>
              <w:right w:val="nil"/>
            </w:tcBorders>
            <w:shd w:val="clear" w:color="auto" w:fill="auto"/>
            <w:vAlign w:val="bottom"/>
            <w:hideMark/>
          </w:tcPr>
          <w:p w14:paraId="062D6DE0" w14:textId="77777777" w:rsidR="00D94493" w:rsidRPr="00D94493" w:rsidRDefault="00D94493" w:rsidP="00D94493">
            <w:pPr>
              <w:spacing w:after="0"/>
              <w:ind w:firstLineChars="200" w:firstLine="32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Štátne finančné aktíva</w:t>
            </w:r>
          </w:p>
        </w:tc>
        <w:tc>
          <w:tcPr>
            <w:tcW w:w="889" w:type="dxa"/>
            <w:tcBorders>
              <w:top w:val="nil"/>
              <w:left w:val="nil"/>
              <w:bottom w:val="nil"/>
              <w:right w:val="nil"/>
            </w:tcBorders>
            <w:shd w:val="clear" w:color="auto" w:fill="auto"/>
            <w:vAlign w:val="center"/>
            <w:hideMark/>
          </w:tcPr>
          <w:p w14:paraId="17DCD8C2"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-9 701</w:t>
            </w:r>
          </w:p>
        </w:tc>
        <w:tc>
          <w:tcPr>
            <w:tcW w:w="904" w:type="dxa"/>
            <w:tcBorders>
              <w:top w:val="nil"/>
              <w:left w:val="nil"/>
              <w:bottom w:val="nil"/>
              <w:right w:val="nil"/>
            </w:tcBorders>
            <w:shd w:val="clear" w:color="auto" w:fill="auto"/>
            <w:vAlign w:val="center"/>
            <w:hideMark/>
          </w:tcPr>
          <w:p w14:paraId="0E744EAA"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1 908</w:t>
            </w:r>
          </w:p>
        </w:tc>
        <w:tc>
          <w:tcPr>
            <w:tcW w:w="787" w:type="dxa"/>
            <w:tcBorders>
              <w:top w:val="nil"/>
              <w:left w:val="nil"/>
              <w:bottom w:val="nil"/>
              <w:right w:val="nil"/>
            </w:tcBorders>
            <w:shd w:val="clear" w:color="auto" w:fill="auto"/>
            <w:vAlign w:val="center"/>
            <w:hideMark/>
          </w:tcPr>
          <w:p w14:paraId="1EFA8E7A"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-16 105</w:t>
            </w:r>
          </w:p>
        </w:tc>
        <w:tc>
          <w:tcPr>
            <w:tcW w:w="787" w:type="dxa"/>
            <w:tcBorders>
              <w:top w:val="nil"/>
              <w:left w:val="nil"/>
              <w:bottom w:val="nil"/>
              <w:right w:val="nil"/>
            </w:tcBorders>
            <w:shd w:val="clear" w:color="auto" w:fill="auto"/>
            <w:vAlign w:val="center"/>
            <w:hideMark/>
          </w:tcPr>
          <w:p w14:paraId="0D389313"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87" w:type="dxa"/>
            <w:tcBorders>
              <w:top w:val="nil"/>
              <w:left w:val="nil"/>
              <w:bottom w:val="nil"/>
              <w:right w:val="nil"/>
            </w:tcBorders>
            <w:shd w:val="clear" w:color="auto" w:fill="auto"/>
            <w:vAlign w:val="center"/>
            <w:hideMark/>
          </w:tcPr>
          <w:p w14:paraId="4E6EEE95"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87" w:type="dxa"/>
            <w:tcBorders>
              <w:top w:val="nil"/>
              <w:left w:val="nil"/>
              <w:bottom w:val="nil"/>
              <w:right w:val="nil"/>
            </w:tcBorders>
            <w:shd w:val="clear" w:color="auto" w:fill="auto"/>
            <w:vAlign w:val="center"/>
            <w:hideMark/>
          </w:tcPr>
          <w:p w14:paraId="10C3AA31"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r>
      <w:tr w:rsidR="00D94493" w:rsidRPr="00D94493" w14:paraId="64EED019" w14:textId="77777777" w:rsidTr="00D94493">
        <w:trPr>
          <w:trHeight w:val="255"/>
        </w:trPr>
        <w:tc>
          <w:tcPr>
            <w:tcW w:w="4131" w:type="dxa"/>
            <w:tcBorders>
              <w:top w:val="nil"/>
              <w:left w:val="nil"/>
              <w:bottom w:val="nil"/>
              <w:right w:val="nil"/>
            </w:tcBorders>
            <w:shd w:val="clear" w:color="auto" w:fill="auto"/>
            <w:vAlign w:val="bottom"/>
            <w:hideMark/>
          </w:tcPr>
          <w:p w14:paraId="5E5AB784" w14:textId="77777777" w:rsidR="00D94493" w:rsidRPr="00D94493" w:rsidRDefault="00D94493" w:rsidP="00D94493">
            <w:pPr>
              <w:spacing w:after="0"/>
              <w:ind w:firstLineChars="200" w:firstLine="32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Obce</w:t>
            </w:r>
          </w:p>
        </w:tc>
        <w:tc>
          <w:tcPr>
            <w:tcW w:w="889" w:type="dxa"/>
            <w:tcBorders>
              <w:top w:val="nil"/>
              <w:left w:val="nil"/>
              <w:bottom w:val="nil"/>
              <w:right w:val="nil"/>
            </w:tcBorders>
            <w:shd w:val="clear" w:color="auto" w:fill="auto"/>
            <w:vAlign w:val="center"/>
            <w:hideMark/>
          </w:tcPr>
          <w:p w14:paraId="593F3046"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904" w:type="dxa"/>
            <w:tcBorders>
              <w:top w:val="nil"/>
              <w:left w:val="nil"/>
              <w:bottom w:val="nil"/>
              <w:right w:val="nil"/>
            </w:tcBorders>
            <w:shd w:val="clear" w:color="auto" w:fill="auto"/>
            <w:vAlign w:val="center"/>
            <w:hideMark/>
          </w:tcPr>
          <w:p w14:paraId="682BC7CB"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87" w:type="dxa"/>
            <w:tcBorders>
              <w:top w:val="nil"/>
              <w:left w:val="nil"/>
              <w:bottom w:val="nil"/>
              <w:right w:val="nil"/>
            </w:tcBorders>
            <w:shd w:val="clear" w:color="auto" w:fill="auto"/>
            <w:vAlign w:val="center"/>
            <w:hideMark/>
          </w:tcPr>
          <w:p w14:paraId="729C92D5"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87" w:type="dxa"/>
            <w:tcBorders>
              <w:top w:val="nil"/>
              <w:left w:val="nil"/>
              <w:bottom w:val="nil"/>
              <w:right w:val="nil"/>
            </w:tcBorders>
            <w:shd w:val="clear" w:color="auto" w:fill="auto"/>
            <w:vAlign w:val="center"/>
            <w:hideMark/>
          </w:tcPr>
          <w:p w14:paraId="7BB9D848"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87" w:type="dxa"/>
            <w:tcBorders>
              <w:top w:val="nil"/>
              <w:left w:val="nil"/>
              <w:bottom w:val="nil"/>
              <w:right w:val="nil"/>
            </w:tcBorders>
            <w:shd w:val="clear" w:color="auto" w:fill="auto"/>
            <w:vAlign w:val="center"/>
            <w:hideMark/>
          </w:tcPr>
          <w:p w14:paraId="23AB395F"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87" w:type="dxa"/>
            <w:tcBorders>
              <w:top w:val="nil"/>
              <w:left w:val="nil"/>
              <w:bottom w:val="nil"/>
              <w:right w:val="nil"/>
            </w:tcBorders>
            <w:shd w:val="clear" w:color="auto" w:fill="auto"/>
            <w:vAlign w:val="center"/>
            <w:hideMark/>
          </w:tcPr>
          <w:p w14:paraId="7AC4A4AF"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r>
      <w:tr w:rsidR="00D94493" w:rsidRPr="00D94493" w14:paraId="12684429" w14:textId="77777777" w:rsidTr="00D94493">
        <w:trPr>
          <w:trHeight w:val="255"/>
        </w:trPr>
        <w:tc>
          <w:tcPr>
            <w:tcW w:w="4131" w:type="dxa"/>
            <w:tcBorders>
              <w:top w:val="nil"/>
              <w:left w:val="nil"/>
              <w:bottom w:val="nil"/>
              <w:right w:val="nil"/>
            </w:tcBorders>
            <w:shd w:val="clear" w:color="auto" w:fill="auto"/>
            <w:vAlign w:val="bottom"/>
            <w:hideMark/>
          </w:tcPr>
          <w:p w14:paraId="38B2391B" w14:textId="77777777" w:rsidR="00D94493" w:rsidRPr="00D94493" w:rsidRDefault="00D94493" w:rsidP="00D94493">
            <w:pPr>
              <w:spacing w:after="0"/>
              <w:ind w:firstLineChars="200" w:firstLine="32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VÚC</w:t>
            </w:r>
          </w:p>
        </w:tc>
        <w:tc>
          <w:tcPr>
            <w:tcW w:w="889" w:type="dxa"/>
            <w:tcBorders>
              <w:top w:val="nil"/>
              <w:left w:val="nil"/>
              <w:bottom w:val="nil"/>
              <w:right w:val="nil"/>
            </w:tcBorders>
            <w:shd w:val="clear" w:color="auto" w:fill="auto"/>
            <w:vAlign w:val="center"/>
            <w:hideMark/>
          </w:tcPr>
          <w:p w14:paraId="28459B79"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904" w:type="dxa"/>
            <w:tcBorders>
              <w:top w:val="nil"/>
              <w:left w:val="nil"/>
              <w:bottom w:val="nil"/>
              <w:right w:val="nil"/>
            </w:tcBorders>
            <w:shd w:val="clear" w:color="auto" w:fill="auto"/>
            <w:vAlign w:val="center"/>
            <w:hideMark/>
          </w:tcPr>
          <w:p w14:paraId="116A428F"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87" w:type="dxa"/>
            <w:tcBorders>
              <w:top w:val="nil"/>
              <w:left w:val="nil"/>
              <w:bottom w:val="nil"/>
              <w:right w:val="nil"/>
            </w:tcBorders>
            <w:shd w:val="clear" w:color="auto" w:fill="auto"/>
            <w:vAlign w:val="center"/>
            <w:hideMark/>
          </w:tcPr>
          <w:p w14:paraId="34881402"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87" w:type="dxa"/>
            <w:tcBorders>
              <w:top w:val="nil"/>
              <w:left w:val="nil"/>
              <w:bottom w:val="nil"/>
              <w:right w:val="nil"/>
            </w:tcBorders>
            <w:shd w:val="clear" w:color="auto" w:fill="auto"/>
            <w:vAlign w:val="center"/>
            <w:hideMark/>
          </w:tcPr>
          <w:p w14:paraId="63746312"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87" w:type="dxa"/>
            <w:tcBorders>
              <w:top w:val="nil"/>
              <w:left w:val="nil"/>
              <w:bottom w:val="nil"/>
              <w:right w:val="nil"/>
            </w:tcBorders>
            <w:shd w:val="clear" w:color="auto" w:fill="auto"/>
            <w:vAlign w:val="center"/>
            <w:hideMark/>
          </w:tcPr>
          <w:p w14:paraId="03099B49"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87" w:type="dxa"/>
            <w:tcBorders>
              <w:top w:val="nil"/>
              <w:left w:val="nil"/>
              <w:bottom w:val="nil"/>
              <w:right w:val="nil"/>
            </w:tcBorders>
            <w:shd w:val="clear" w:color="auto" w:fill="auto"/>
            <w:vAlign w:val="center"/>
            <w:hideMark/>
          </w:tcPr>
          <w:p w14:paraId="2296E8A8"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r>
      <w:tr w:rsidR="00D94493" w:rsidRPr="00D94493" w14:paraId="589F88F9" w14:textId="77777777" w:rsidTr="00D94493">
        <w:trPr>
          <w:trHeight w:val="255"/>
        </w:trPr>
        <w:tc>
          <w:tcPr>
            <w:tcW w:w="4131" w:type="dxa"/>
            <w:tcBorders>
              <w:top w:val="nil"/>
              <w:left w:val="nil"/>
              <w:bottom w:val="nil"/>
              <w:right w:val="nil"/>
            </w:tcBorders>
            <w:shd w:val="clear" w:color="auto" w:fill="auto"/>
            <w:noWrap/>
            <w:vAlign w:val="bottom"/>
            <w:hideMark/>
          </w:tcPr>
          <w:p w14:paraId="450B9C2E" w14:textId="77777777" w:rsidR="00D94493" w:rsidRPr="00D94493" w:rsidRDefault="00D94493" w:rsidP="00D94493">
            <w:pPr>
              <w:spacing w:after="0"/>
              <w:ind w:firstLineChars="200" w:firstLine="32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Rozhlas a televízia Slovenska (RTVS)</w:t>
            </w:r>
          </w:p>
        </w:tc>
        <w:tc>
          <w:tcPr>
            <w:tcW w:w="889" w:type="dxa"/>
            <w:tcBorders>
              <w:top w:val="nil"/>
              <w:left w:val="nil"/>
              <w:bottom w:val="nil"/>
              <w:right w:val="nil"/>
            </w:tcBorders>
            <w:shd w:val="clear" w:color="auto" w:fill="auto"/>
            <w:vAlign w:val="center"/>
            <w:hideMark/>
          </w:tcPr>
          <w:p w14:paraId="69736EE5"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904" w:type="dxa"/>
            <w:tcBorders>
              <w:top w:val="nil"/>
              <w:left w:val="nil"/>
              <w:bottom w:val="nil"/>
              <w:right w:val="nil"/>
            </w:tcBorders>
            <w:shd w:val="clear" w:color="auto" w:fill="auto"/>
            <w:vAlign w:val="center"/>
            <w:hideMark/>
          </w:tcPr>
          <w:p w14:paraId="0C722D66"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87" w:type="dxa"/>
            <w:tcBorders>
              <w:top w:val="nil"/>
              <w:left w:val="nil"/>
              <w:bottom w:val="nil"/>
              <w:right w:val="nil"/>
            </w:tcBorders>
            <w:shd w:val="clear" w:color="auto" w:fill="auto"/>
            <w:vAlign w:val="center"/>
            <w:hideMark/>
          </w:tcPr>
          <w:p w14:paraId="13444C3E"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87" w:type="dxa"/>
            <w:tcBorders>
              <w:top w:val="nil"/>
              <w:left w:val="nil"/>
              <w:bottom w:val="nil"/>
              <w:right w:val="nil"/>
            </w:tcBorders>
            <w:shd w:val="clear" w:color="auto" w:fill="auto"/>
            <w:vAlign w:val="center"/>
            <w:hideMark/>
          </w:tcPr>
          <w:p w14:paraId="3E2DA41D"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87" w:type="dxa"/>
            <w:tcBorders>
              <w:top w:val="nil"/>
              <w:left w:val="nil"/>
              <w:bottom w:val="nil"/>
              <w:right w:val="nil"/>
            </w:tcBorders>
            <w:shd w:val="clear" w:color="auto" w:fill="auto"/>
            <w:vAlign w:val="center"/>
            <w:hideMark/>
          </w:tcPr>
          <w:p w14:paraId="77FDD236"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87" w:type="dxa"/>
            <w:tcBorders>
              <w:top w:val="nil"/>
              <w:left w:val="nil"/>
              <w:bottom w:val="nil"/>
              <w:right w:val="nil"/>
            </w:tcBorders>
            <w:shd w:val="clear" w:color="auto" w:fill="auto"/>
            <w:vAlign w:val="center"/>
            <w:hideMark/>
          </w:tcPr>
          <w:p w14:paraId="5F764E1D"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r>
      <w:tr w:rsidR="00D94493" w:rsidRPr="00D94493" w14:paraId="5A1DFA16" w14:textId="77777777" w:rsidTr="00D94493">
        <w:trPr>
          <w:trHeight w:val="255"/>
        </w:trPr>
        <w:tc>
          <w:tcPr>
            <w:tcW w:w="4131" w:type="dxa"/>
            <w:tcBorders>
              <w:top w:val="nil"/>
              <w:left w:val="nil"/>
              <w:bottom w:val="nil"/>
              <w:right w:val="nil"/>
            </w:tcBorders>
            <w:shd w:val="clear" w:color="auto" w:fill="auto"/>
            <w:noWrap/>
            <w:vAlign w:val="bottom"/>
            <w:hideMark/>
          </w:tcPr>
          <w:p w14:paraId="7B569B82" w14:textId="77777777" w:rsidR="00D94493" w:rsidRPr="00D94493" w:rsidRDefault="00D94493" w:rsidP="00D94493">
            <w:pPr>
              <w:spacing w:after="0"/>
              <w:ind w:firstLineChars="200" w:firstLine="32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Environmentálny fond</w:t>
            </w:r>
          </w:p>
        </w:tc>
        <w:tc>
          <w:tcPr>
            <w:tcW w:w="889" w:type="dxa"/>
            <w:tcBorders>
              <w:top w:val="nil"/>
              <w:left w:val="nil"/>
              <w:bottom w:val="nil"/>
              <w:right w:val="nil"/>
            </w:tcBorders>
            <w:shd w:val="clear" w:color="auto" w:fill="auto"/>
            <w:vAlign w:val="center"/>
            <w:hideMark/>
          </w:tcPr>
          <w:p w14:paraId="4498CF60"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904" w:type="dxa"/>
            <w:tcBorders>
              <w:top w:val="nil"/>
              <w:left w:val="nil"/>
              <w:bottom w:val="nil"/>
              <w:right w:val="nil"/>
            </w:tcBorders>
            <w:shd w:val="clear" w:color="auto" w:fill="auto"/>
            <w:vAlign w:val="center"/>
            <w:hideMark/>
          </w:tcPr>
          <w:p w14:paraId="3558672C"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87" w:type="dxa"/>
            <w:tcBorders>
              <w:top w:val="nil"/>
              <w:left w:val="nil"/>
              <w:bottom w:val="nil"/>
              <w:right w:val="nil"/>
            </w:tcBorders>
            <w:shd w:val="clear" w:color="auto" w:fill="auto"/>
            <w:vAlign w:val="center"/>
            <w:hideMark/>
          </w:tcPr>
          <w:p w14:paraId="1B7ADFE6"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87" w:type="dxa"/>
            <w:tcBorders>
              <w:top w:val="nil"/>
              <w:left w:val="nil"/>
              <w:bottom w:val="nil"/>
              <w:right w:val="nil"/>
            </w:tcBorders>
            <w:shd w:val="clear" w:color="auto" w:fill="auto"/>
            <w:vAlign w:val="center"/>
            <w:hideMark/>
          </w:tcPr>
          <w:p w14:paraId="53EC3705"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87" w:type="dxa"/>
            <w:tcBorders>
              <w:top w:val="nil"/>
              <w:left w:val="nil"/>
              <w:bottom w:val="nil"/>
              <w:right w:val="nil"/>
            </w:tcBorders>
            <w:shd w:val="clear" w:color="auto" w:fill="auto"/>
            <w:vAlign w:val="center"/>
            <w:hideMark/>
          </w:tcPr>
          <w:p w14:paraId="2807AB10"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787" w:type="dxa"/>
            <w:tcBorders>
              <w:top w:val="nil"/>
              <w:left w:val="nil"/>
              <w:bottom w:val="nil"/>
              <w:right w:val="nil"/>
            </w:tcBorders>
            <w:shd w:val="clear" w:color="auto" w:fill="auto"/>
            <w:vAlign w:val="center"/>
            <w:hideMark/>
          </w:tcPr>
          <w:p w14:paraId="493A3C09"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r>
      <w:tr w:rsidR="00D94493" w:rsidRPr="00D94493" w14:paraId="1E93B0A8" w14:textId="77777777" w:rsidTr="00D94493">
        <w:trPr>
          <w:trHeight w:val="255"/>
        </w:trPr>
        <w:tc>
          <w:tcPr>
            <w:tcW w:w="4131" w:type="dxa"/>
            <w:tcBorders>
              <w:top w:val="nil"/>
              <w:left w:val="nil"/>
              <w:bottom w:val="nil"/>
              <w:right w:val="nil"/>
            </w:tcBorders>
            <w:shd w:val="clear" w:color="auto" w:fill="auto"/>
            <w:vAlign w:val="bottom"/>
            <w:hideMark/>
          </w:tcPr>
          <w:p w14:paraId="4B100F82" w14:textId="77777777" w:rsidR="00D94493" w:rsidRPr="00D94493" w:rsidRDefault="00D94493" w:rsidP="00D94493">
            <w:pPr>
              <w:spacing w:after="0"/>
              <w:ind w:firstLineChars="200" w:firstLine="32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Sociálna poisťovňa</w:t>
            </w:r>
          </w:p>
        </w:tc>
        <w:tc>
          <w:tcPr>
            <w:tcW w:w="889" w:type="dxa"/>
            <w:tcBorders>
              <w:top w:val="nil"/>
              <w:left w:val="nil"/>
              <w:bottom w:val="nil"/>
              <w:right w:val="nil"/>
            </w:tcBorders>
            <w:shd w:val="clear" w:color="auto" w:fill="auto"/>
            <w:vAlign w:val="center"/>
            <w:hideMark/>
          </w:tcPr>
          <w:p w14:paraId="422FCF2F"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85 123</w:t>
            </w:r>
          </w:p>
        </w:tc>
        <w:tc>
          <w:tcPr>
            <w:tcW w:w="904" w:type="dxa"/>
            <w:tcBorders>
              <w:top w:val="nil"/>
              <w:left w:val="nil"/>
              <w:bottom w:val="nil"/>
              <w:right w:val="nil"/>
            </w:tcBorders>
            <w:shd w:val="clear" w:color="auto" w:fill="auto"/>
            <w:vAlign w:val="center"/>
            <w:hideMark/>
          </w:tcPr>
          <w:p w14:paraId="3F2C1990"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-42 530</w:t>
            </w:r>
          </w:p>
        </w:tc>
        <w:tc>
          <w:tcPr>
            <w:tcW w:w="787" w:type="dxa"/>
            <w:tcBorders>
              <w:top w:val="nil"/>
              <w:left w:val="nil"/>
              <w:bottom w:val="nil"/>
              <w:right w:val="nil"/>
            </w:tcBorders>
            <w:shd w:val="clear" w:color="auto" w:fill="auto"/>
            <w:vAlign w:val="center"/>
            <w:hideMark/>
          </w:tcPr>
          <w:p w14:paraId="19DD7AD6"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52 963</w:t>
            </w:r>
          </w:p>
        </w:tc>
        <w:tc>
          <w:tcPr>
            <w:tcW w:w="787" w:type="dxa"/>
            <w:tcBorders>
              <w:top w:val="nil"/>
              <w:left w:val="nil"/>
              <w:bottom w:val="nil"/>
              <w:right w:val="nil"/>
            </w:tcBorders>
            <w:shd w:val="clear" w:color="auto" w:fill="auto"/>
            <w:vAlign w:val="center"/>
            <w:hideMark/>
          </w:tcPr>
          <w:p w14:paraId="60BE2F31"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45 332</w:t>
            </w:r>
          </w:p>
        </w:tc>
        <w:tc>
          <w:tcPr>
            <w:tcW w:w="787" w:type="dxa"/>
            <w:tcBorders>
              <w:top w:val="nil"/>
              <w:left w:val="nil"/>
              <w:bottom w:val="nil"/>
              <w:right w:val="nil"/>
            </w:tcBorders>
            <w:shd w:val="clear" w:color="auto" w:fill="auto"/>
            <w:vAlign w:val="center"/>
            <w:hideMark/>
          </w:tcPr>
          <w:p w14:paraId="7B2567A1"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37 295</w:t>
            </w:r>
          </w:p>
        </w:tc>
        <w:tc>
          <w:tcPr>
            <w:tcW w:w="787" w:type="dxa"/>
            <w:tcBorders>
              <w:top w:val="nil"/>
              <w:left w:val="nil"/>
              <w:bottom w:val="nil"/>
              <w:right w:val="nil"/>
            </w:tcBorders>
            <w:shd w:val="clear" w:color="auto" w:fill="auto"/>
            <w:vAlign w:val="center"/>
            <w:hideMark/>
          </w:tcPr>
          <w:p w14:paraId="65057CDA"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36 295</w:t>
            </w:r>
          </w:p>
        </w:tc>
      </w:tr>
      <w:tr w:rsidR="00D94493" w:rsidRPr="00D94493" w14:paraId="64BE1081" w14:textId="77777777" w:rsidTr="00D94493">
        <w:trPr>
          <w:trHeight w:val="255"/>
        </w:trPr>
        <w:tc>
          <w:tcPr>
            <w:tcW w:w="4131" w:type="dxa"/>
            <w:tcBorders>
              <w:top w:val="nil"/>
              <w:left w:val="nil"/>
              <w:bottom w:val="single" w:sz="4" w:space="0" w:color="auto"/>
              <w:right w:val="nil"/>
            </w:tcBorders>
            <w:shd w:val="clear" w:color="auto" w:fill="auto"/>
            <w:vAlign w:val="bottom"/>
            <w:hideMark/>
          </w:tcPr>
          <w:p w14:paraId="22ECE15E" w14:textId="77777777" w:rsidR="00D94493" w:rsidRPr="00D94493" w:rsidRDefault="00D94493" w:rsidP="00D94493">
            <w:pPr>
              <w:spacing w:after="0"/>
              <w:ind w:firstLineChars="200" w:firstLine="32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Zdravotné poisťovne</w:t>
            </w:r>
          </w:p>
        </w:tc>
        <w:tc>
          <w:tcPr>
            <w:tcW w:w="889" w:type="dxa"/>
            <w:tcBorders>
              <w:top w:val="nil"/>
              <w:left w:val="nil"/>
              <w:bottom w:val="single" w:sz="4" w:space="0" w:color="auto"/>
              <w:right w:val="nil"/>
            </w:tcBorders>
            <w:shd w:val="clear" w:color="auto" w:fill="auto"/>
            <w:vAlign w:val="center"/>
            <w:hideMark/>
          </w:tcPr>
          <w:p w14:paraId="748E9FCC"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45 743</w:t>
            </w:r>
          </w:p>
        </w:tc>
        <w:tc>
          <w:tcPr>
            <w:tcW w:w="904" w:type="dxa"/>
            <w:tcBorders>
              <w:top w:val="nil"/>
              <w:left w:val="nil"/>
              <w:bottom w:val="single" w:sz="4" w:space="0" w:color="auto"/>
              <w:right w:val="nil"/>
            </w:tcBorders>
            <w:shd w:val="clear" w:color="auto" w:fill="auto"/>
            <w:vAlign w:val="center"/>
            <w:hideMark/>
          </w:tcPr>
          <w:p w14:paraId="1E954E59"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19 260</w:t>
            </w:r>
          </w:p>
        </w:tc>
        <w:tc>
          <w:tcPr>
            <w:tcW w:w="787" w:type="dxa"/>
            <w:tcBorders>
              <w:top w:val="nil"/>
              <w:left w:val="nil"/>
              <w:bottom w:val="single" w:sz="4" w:space="0" w:color="auto"/>
              <w:right w:val="nil"/>
            </w:tcBorders>
            <w:shd w:val="clear" w:color="auto" w:fill="auto"/>
            <w:vAlign w:val="center"/>
            <w:hideMark/>
          </w:tcPr>
          <w:p w14:paraId="60EB5BE9"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39 928</w:t>
            </w:r>
          </w:p>
        </w:tc>
        <w:tc>
          <w:tcPr>
            <w:tcW w:w="787" w:type="dxa"/>
            <w:tcBorders>
              <w:top w:val="nil"/>
              <w:left w:val="nil"/>
              <w:bottom w:val="single" w:sz="4" w:space="0" w:color="auto"/>
              <w:right w:val="nil"/>
            </w:tcBorders>
            <w:shd w:val="clear" w:color="auto" w:fill="auto"/>
            <w:vAlign w:val="center"/>
            <w:hideMark/>
          </w:tcPr>
          <w:p w14:paraId="4031E099"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35 130</w:t>
            </w:r>
          </w:p>
        </w:tc>
        <w:tc>
          <w:tcPr>
            <w:tcW w:w="787" w:type="dxa"/>
            <w:tcBorders>
              <w:top w:val="nil"/>
              <w:left w:val="nil"/>
              <w:bottom w:val="single" w:sz="4" w:space="0" w:color="auto"/>
              <w:right w:val="nil"/>
            </w:tcBorders>
            <w:shd w:val="clear" w:color="auto" w:fill="auto"/>
            <w:vAlign w:val="center"/>
            <w:hideMark/>
          </w:tcPr>
          <w:p w14:paraId="54821716"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27 984</w:t>
            </w:r>
          </w:p>
        </w:tc>
        <w:tc>
          <w:tcPr>
            <w:tcW w:w="787" w:type="dxa"/>
            <w:tcBorders>
              <w:top w:val="nil"/>
              <w:left w:val="nil"/>
              <w:bottom w:val="single" w:sz="4" w:space="0" w:color="auto"/>
              <w:right w:val="nil"/>
            </w:tcBorders>
            <w:shd w:val="clear" w:color="auto" w:fill="auto"/>
            <w:vAlign w:val="center"/>
            <w:hideMark/>
          </w:tcPr>
          <w:p w14:paraId="1DBC881A"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23 370</w:t>
            </w:r>
          </w:p>
        </w:tc>
      </w:tr>
      <w:tr w:rsidR="00D94493" w:rsidRPr="00D94493" w14:paraId="1AFB8B6E" w14:textId="77777777" w:rsidTr="00D94493">
        <w:trPr>
          <w:trHeight w:val="255"/>
        </w:trPr>
        <w:tc>
          <w:tcPr>
            <w:tcW w:w="9072" w:type="dxa"/>
            <w:gridSpan w:val="7"/>
            <w:tcBorders>
              <w:top w:val="nil"/>
              <w:left w:val="nil"/>
              <w:bottom w:val="nil"/>
              <w:right w:val="nil"/>
            </w:tcBorders>
            <w:shd w:val="clear" w:color="auto" w:fill="auto"/>
            <w:vAlign w:val="center"/>
            <w:hideMark/>
          </w:tcPr>
          <w:p w14:paraId="6A8C1481" w14:textId="77777777" w:rsidR="00D94493" w:rsidRPr="00D94493" w:rsidRDefault="00D94493" w:rsidP="00296CA4">
            <w:pPr>
              <w:spacing w:after="0"/>
              <w:rPr>
                <w:rFonts w:ascii="Times New Roman" w:eastAsia="Calibri" w:hAnsi="Times New Roman" w:cs="Times New Roman"/>
                <w:i/>
                <w:sz w:val="16"/>
                <w:szCs w:val="16"/>
                <w:lang w:eastAsia="sk-SK"/>
              </w:rPr>
            </w:pPr>
            <w:r w:rsidRPr="00D94493">
              <w:rPr>
                <w:rFonts w:ascii="Times New Roman" w:eastAsia="Calibri" w:hAnsi="Times New Roman" w:cs="Times New Roman"/>
                <w:i/>
                <w:sz w:val="16"/>
                <w:szCs w:val="16"/>
                <w:lang w:eastAsia="sk-SK"/>
              </w:rPr>
              <w:t xml:space="preserve">(+) znamená, že výnos daní v metodike ESA 2010 je vyšší ako na hotovostnej báze; (-) že je nižší ako na hotovostnej báze      </w:t>
            </w:r>
            <w:r w:rsidRPr="00D94493">
              <w:rPr>
                <w:rFonts w:ascii="Times New Roman" w:eastAsia="Calibri" w:hAnsi="Times New Roman" w:cs="Times New Roman"/>
                <w:bCs/>
                <w:i/>
                <w:sz w:val="16"/>
              </w:rPr>
              <w:t>Zdroj: MF SR</w:t>
            </w:r>
          </w:p>
        </w:tc>
      </w:tr>
    </w:tbl>
    <w:p w14:paraId="3673123A" w14:textId="77777777" w:rsidR="00296CA4" w:rsidRDefault="00296CA4" w:rsidP="00296CA4">
      <w:pPr>
        <w:spacing w:after="0"/>
        <w:jc w:val="both"/>
        <w:rPr>
          <w:rFonts w:ascii="Times New Roman" w:eastAsia="Calibri" w:hAnsi="Times New Roman" w:cs="Times New Roman"/>
          <w:bCs/>
          <w:sz w:val="24"/>
        </w:rPr>
      </w:pPr>
    </w:p>
    <w:p w14:paraId="3F20CA63" w14:textId="54F0D6F3" w:rsidR="00D94493" w:rsidRPr="00D94493" w:rsidRDefault="00D94493" w:rsidP="00296CA4">
      <w:pPr>
        <w:spacing w:after="0"/>
        <w:jc w:val="both"/>
        <w:rPr>
          <w:rFonts w:ascii="Times New Roman" w:eastAsia="Calibri" w:hAnsi="Times New Roman" w:cs="Times New Roman"/>
          <w:bCs/>
          <w:sz w:val="24"/>
        </w:rPr>
      </w:pPr>
      <w:r w:rsidRPr="00D94493">
        <w:rPr>
          <w:rFonts w:ascii="Times New Roman" w:eastAsia="Calibri" w:hAnsi="Times New Roman" w:cs="Times New Roman"/>
          <w:bCs/>
          <w:sz w:val="24"/>
        </w:rPr>
        <w:t xml:space="preserve">Najväčší vplyv majú dlhodobo daňové kredity. Zmena ich výšky nemá vplyv na akruálny výnos dane z príjmu fyzických osôb (metodika ESA 2010), avšak hotovostný výnos DPFO je o túto sumu znížený. Celá </w:t>
      </w:r>
      <w:proofErr w:type="spellStart"/>
      <w:r w:rsidRPr="00D94493">
        <w:rPr>
          <w:rFonts w:ascii="Times New Roman" w:eastAsia="Calibri" w:hAnsi="Times New Roman" w:cs="Times New Roman"/>
          <w:bCs/>
          <w:sz w:val="24"/>
        </w:rPr>
        <w:t>akrualizácia</w:t>
      </w:r>
      <w:proofErr w:type="spellEnd"/>
      <w:r w:rsidRPr="00D94493">
        <w:rPr>
          <w:rFonts w:ascii="Times New Roman" w:eastAsia="Calibri" w:hAnsi="Times New Roman" w:cs="Times New Roman"/>
          <w:bCs/>
          <w:sz w:val="24"/>
        </w:rPr>
        <w:t xml:space="preserve"> daňových kreditov sa pripisuje na účet štátneho rozpočtu. </w:t>
      </w:r>
    </w:p>
    <w:p w14:paraId="6801001E" w14:textId="77777777" w:rsidR="00D94493" w:rsidRPr="00D94493" w:rsidRDefault="00D94493" w:rsidP="00D94493">
      <w:pPr>
        <w:spacing w:after="0"/>
        <w:ind w:firstLine="709"/>
        <w:jc w:val="both"/>
        <w:rPr>
          <w:rFonts w:ascii="Times New Roman" w:eastAsia="Calibri" w:hAnsi="Times New Roman" w:cs="Times New Roman"/>
          <w:bCs/>
          <w:sz w:val="24"/>
        </w:rPr>
      </w:pPr>
    </w:p>
    <w:p w14:paraId="096E7C08" w14:textId="77777777" w:rsidR="00D94493" w:rsidRPr="00D94493" w:rsidRDefault="00D94493" w:rsidP="00D94493">
      <w:pPr>
        <w:spacing w:after="0"/>
        <w:jc w:val="both"/>
        <w:rPr>
          <w:rFonts w:ascii="Times New Roman" w:eastAsia="Calibri" w:hAnsi="Times New Roman" w:cs="Times New Roman"/>
          <w:bCs/>
          <w:sz w:val="24"/>
        </w:rPr>
      </w:pPr>
      <w:r w:rsidRPr="00D94493">
        <w:rPr>
          <w:rFonts w:ascii="Times New Roman" w:eastAsia="Calibri" w:hAnsi="Times New Roman" w:cs="Times New Roman"/>
          <w:bCs/>
          <w:sz w:val="24"/>
        </w:rPr>
        <w:t>V porovnaní s rozpočtom verejnej správy na roky 2023 až 2025 prišlo k nárastu daňových kreditov z dôvodu legislatívnych zmien popísaných vyššie.</w:t>
      </w:r>
    </w:p>
    <w:p w14:paraId="7E8B94C4" w14:textId="5D159309" w:rsidR="00D94493" w:rsidRPr="00D94493" w:rsidRDefault="00D94493" w:rsidP="00D94493">
      <w:pPr>
        <w:spacing w:after="0"/>
        <w:jc w:val="both"/>
        <w:rPr>
          <w:rFonts w:ascii="Times New Roman" w:eastAsia="Calibri" w:hAnsi="Times New Roman" w:cs="Times New Roman"/>
          <w:bCs/>
          <w:sz w:val="24"/>
        </w:rPr>
      </w:pPr>
    </w:p>
    <w:p w14:paraId="4BD72ECB" w14:textId="2AF06167" w:rsidR="00D94493" w:rsidRPr="00D94493" w:rsidRDefault="00D94493" w:rsidP="00D94493">
      <w:pPr>
        <w:keepNext/>
        <w:spacing w:after="0" w:line="240" w:lineRule="auto"/>
        <w:rPr>
          <w:rFonts w:ascii="Times New Roman" w:eastAsia="Calibri" w:hAnsi="Times New Roman" w:cs="Times New Roman"/>
          <w:b/>
          <w:iCs/>
          <w:color w:val="5B9BD5"/>
          <w:sz w:val="20"/>
          <w:szCs w:val="18"/>
        </w:rPr>
      </w:pPr>
      <w:bookmarkStart w:id="100" w:name="_Toc53086355"/>
      <w:bookmarkStart w:id="101" w:name="_Toc153013026"/>
      <w:r w:rsidRPr="00D94493">
        <w:rPr>
          <w:rFonts w:ascii="Times New Roman" w:eastAsia="Calibri" w:hAnsi="Times New Roman" w:cs="Times New Roman"/>
          <w:b/>
          <w:iCs/>
          <w:color w:val="5B9BD5"/>
          <w:sz w:val="20"/>
          <w:szCs w:val="18"/>
        </w:rPr>
        <w:lastRenderedPageBreak/>
        <w:t xml:space="preserve">Tabuľka </w:t>
      </w:r>
      <w:r w:rsidRPr="00D94493">
        <w:rPr>
          <w:rFonts w:ascii="Times New Roman" w:eastAsia="Calibri" w:hAnsi="Times New Roman" w:cs="Times New Roman"/>
          <w:b/>
          <w:iCs/>
          <w:color w:val="5B9BD5"/>
          <w:sz w:val="20"/>
          <w:szCs w:val="18"/>
        </w:rPr>
        <w:fldChar w:fldCharType="begin"/>
      </w:r>
      <w:r w:rsidRPr="00D94493">
        <w:rPr>
          <w:rFonts w:ascii="Times New Roman" w:eastAsia="Calibri" w:hAnsi="Times New Roman" w:cs="Times New Roman"/>
          <w:b/>
          <w:iCs/>
          <w:color w:val="5B9BD5"/>
          <w:sz w:val="20"/>
          <w:szCs w:val="18"/>
        </w:rPr>
        <w:instrText xml:space="preserve"> SEQ Tabuľka \* ARABIC </w:instrText>
      </w:r>
      <w:r w:rsidRPr="00D94493">
        <w:rPr>
          <w:rFonts w:ascii="Times New Roman" w:eastAsia="Calibri" w:hAnsi="Times New Roman" w:cs="Times New Roman"/>
          <w:b/>
          <w:iCs/>
          <w:color w:val="5B9BD5"/>
          <w:sz w:val="20"/>
          <w:szCs w:val="18"/>
        </w:rPr>
        <w:fldChar w:fldCharType="separate"/>
      </w:r>
      <w:r w:rsidR="003D5A3A">
        <w:rPr>
          <w:rFonts w:ascii="Times New Roman" w:eastAsia="Calibri" w:hAnsi="Times New Roman" w:cs="Times New Roman"/>
          <w:b/>
          <w:iCs/>
          <w:noProof/>
          <w:color w:val="5B9BD5"/>
          <w:sz w:val="20"/>
          <w:szCs w:val="18"/>
        </w:rPr>
        <w:t>28</w:t>
      </w:r>
      <w:r w:rsidRPr="00D94493">
        <w:rPr>
          <w:rFonts w:ascii="Times New Roman" w:eastAsia="Calibri" w:hAnsi="Times New Roman" w:cs="Times New Roman"/>
          <w:b/>
          <w:iCs/>
          <w:color w:val="5B9BD5"/>
          <w:sz w:val="20"/>
          <w:szCs w:val="18"/>
        </w:rPr>
        <w:fldChar w:fldCharType="end"/>
      </w:r>
      <w:r w:rsidRPr="00D94493">
        <w:rPr>
          <w:rFonts w:ascii="Times New Roman" w:eastAsia="Calibri" w:hAnsi="Times New Roman" w:cs="Times New Roman"/>
          <w:b/>
          <w:iCs/>
          <w:color w:val="5B9BD5"/>
          <w:sz w:val="20"/>
          <w:szCs w:val="18"/>
        </w:rPr>
        <w:t xml:space="preserve"> - Vplyv daňových kreditov na rozpočet (ESA 2010, v tis. eur)</w:t>
      </w:r>
      <w:bookmarkEnd w:id="100"/>
      <w:bookmarkEnd w:id="101"/>
    </w:p>
    <w:tbl>
      <w:tblPr>
        <w:tblW w:w="5000" w:type="pct"/>
        <w:tblLayout w:type="fixed"/>
        <w:tblCellMar>
          <w:left w:w="70" w:type="dxa"/>
          <w:right w:w="70" w:type="dxa"/>
        </w:tblCellMar>
        <w:tblLook w:val="04A0" w:firstRow="1" w:lastRow="0" w:firstColumn="1" w:lastColumn="0" w:noHBand="0" w:noVBand="1"/>
      </w:tblPr>
      <w:tblGrid>
        <w:gridCol w:w="4253"/>
        <w:gridCol w:w="803"/>
        <w:gridCol w:w="803"/>
        <w:gridCol w:w="803"/>
        <w:gridCol w:w="803"/>
        <w:gridCol w:w="803"/>
        <w:gridCol w:w="804"/>
      </w:tblGrid>
      <w:tr w:rsidR="00D94493" w:rsidRPr="00D94493" w14:paraId="3DDE50EB" w14:textId="77777777" w:rsidTr="00D94493">
        <w:trPr>
          <w:trHeight w:val="255"/>
        </w:trPr>
        <w:tc>
          <w:tcPr>
            <w:tcW w:w="4253" w:type="dxa"/>
            <w:tcBorders>
              <w:top w:val="single" w:sz="4" w:space="0" w:color="auto"/>
              <w:left w:val="nil"/>
              <w:bottom w:val="single" w:sz="4" w:space="0" w:color="auto"/>
              <w:right w:val="nil"/>
            </w:tcBorders>
            <w:shd w:val="clear" w:color="auto" w:fill="auto"/>
            <w:noWrap/>
            <w:vAlign w:val="bottom"/>
            <w:hideMark/>
          </w:tcPr>
          <w:p w14:paraId="192B0AE0" w14:textId="77777777" w:rsidR="00D94493" w:rsidRPr="00D94493" w:rsidRDefault="00D94493" w:rsidP="00D94493">
            <w:pPr>
              <w:spacing w:after="0"/>
              <w:ind w:firstLineChars="600" w:firstLine="960"/>
              <w:jc w:val="right"/>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 </w:t>
            </w:r>
          </w:p>
        </w:tc>
        <w:tc>
          <w:tcPr>
            <w:tcW w:w="803" w:type="dxa"/>
            <w:tcBorders>
              <w:top w:val="single" w:sz="4" w:space="0" w:color="auto"/>
              <w:left w:val="nil"/>
              <w:bottom w:val="single" w:sz="4" w:space="0" w:color="auto"/>
              <w:right w:val="nil"/>
            </w:tcBorders>
            <w:shd w:val="clear" w:color="auto" w:fill="auto"/>
            <w:noWrap/>
            <w:vAlign w:val="bottom"/>
            <w:hideMark/>
          </w:tcPr>
          <w:p w14:paraId="234CE0C9"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lang w:eastAsia="sk-SK"/>
              </w:rPr>
              <w:t>2021 S</w:t>
            </w:r>
          </w:p>
        </w:tc>
        <w:tc>
          <w:tcPr>
            <w:tcW w:w="803" w:type="dxa"/>
            <w:tcBorders>
              <w:top w:val="single" w:sz="4" w:space="0" w:color="auto"/>
              <w:left w:val="nil"/>
              <w:bottom w:val="single" w:sz="4" w:space="0" w:color="auto"/>
              <w:right w:val="nil"/>
            </w:tcBorders>
            <w:shd w:val="clear" w:color="auto" w:fill="auto"/>
            <w:noWrap/>
            <w:vAlign w:val="bottom"/>
            <w:hideMark/>
          </w:tcPr>
          <w:p w14:paraId="57583557"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lang w:eastAsia="sk-SK"/>
              </w:rPr>
              <w:t>2022 OS</w:t>
            </w:r>
          </w:p>
        </w:tc>
        <w:tc>
          <w:tcPr>
            <w:tcW w:w="803" w:type="dxa"/>
            <w:tcBorders>
              <w:top w:val="single" w:sz="4" w:space="0" w:color="auto"/>
              <w:left w:val="nil"/>
              <w:bottom w:val="single" w:sz="4" w:space="0" w:color="auto"/>
              <w:right w:val="nil"/>
            </w:tcBorders>
            <w:shd w:val="clear" w:color="auto" w:fill="auto"/>
            <w:noWrap/>
            <w:vAlign w:val="bottom"/>
            <w:hideMark/>
          </w:tcPr>
          <w:p w14:paraId="6E033EE4"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lang w:eastAsia="sk-SK"/>
              </w:rPr>
              <w:t>2023 OS</w:t>
            </w:r>
          </w:p>
        </w:tc>
        <w:tc>
          <w:tcPr>
            <w:tcW w:w="803" w:type="dxa"/>
            <w:tcBorders>
              <w:top w:val="single" w:sz="4" w:space="0" w:color="auto"/>
              <w:left w:val="nil"/>
              <w:bottom w:val="single" w:sz="4" w:space="0" w:color="auto"/>
              <w:right w:val="nil"/>
            </w:tcBorders>
            <w:shd w:val="clear" w:color="auto" w:fill="auto"/>
            <w:noWrap/>
            <w:vAlign w:val="bottom"/>
            <w:hideMark/>
          </w:tcPr>
          <w:p w14:paraId="0D90AD70"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lang w:eastAsia="sk-SK"/>
              </w:rPr>
              <w:t>2024 N</w:t>
            </w:r>
          </w:p>
        </w:tc>
        <w:tc>
          <w:tcPr>
            <w:tcW w:w="803" w:type="dxa"/>
            <w:tcBorders>
              <w:top w:val="single" w:sz="4" w:space="0" w:color="auto"/>
              <w:left w:val="nil"/>
              <w:bottom w:val="single" w:sz="4" w:space="0" w:color="auto"/>
              <w:right w:val="nil"/>
            </w:tcBorders>
            <w:shd w:val="clear" w:color="auto" w:fill="auto"/>
            <w:noWrap/>
            <w:vAlign w:val="bottom"/>
            <w:hideMark/>
          </w:tcPr>
          <w:p w14:paraId="025A57DD"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lang w:eastAsia="sk-SK"/>
              </w:rPr>
              <w:t>2025 N</w:t>
            </w:r>
          </w:p>
        </w:tc>
        <w:tc>
          <w:tcPr>
            <w:tcW w:w="804" w:type="dxa"/>
            <w:tcBorders>
              <w:top w:val="single" w:sz="4" w:space="0" w:color="auto"/>
              <w:left w:val="nil"/>
              <w:bottom w:val="single" w:sz="4" w:space="0" w:color="auto"/>
              <w:right w:val="nil"/>
            </w:tcBorders>
            <w:shd w:val="clear" w:color="auto" w:fill="auto"/>
            <w:noWrap/>
            <w:vAlign w:val="bottom"/>
            <w:hideMark/>
          </w:tcPr>
          <w:p w14:paraId="5EE97946"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lang w:eastAsia="sk-SK"/>
              </w:rPr>
              <w:t>2026 N</w:t>
            </w:r>
          </w:p>
        </w:tc>
      </w:tr>
      <w:tr w:rsidR="00D94493" w:rsidRPr="00D94493" w14:paraId="2917E9B4" w14:textId="77777777" w:rsidTr="00D94493">
        <w:trPr>
          <w:trHeight w:val="255"/>
        </w:trPr>
        <w:tc>
          <w:tcPr>
            <w:tcW w:w="4253" w:type="dxa"/>
            <w:tcBorders>
              <w:top w:val="nil"/>
              <w:left w:val="nil"/>
              <w:bottom w:val="nil"/>
              <w:right w:val="nil"/>
            </w:tcBorders>
            <w:shd w:val="clear" w:color="auto" w:fill="auto"/>
            <w:noWrap/>
            <w:vAlign w:val="bottom"/>
            <w:hideMark/>
          </w:tcPr>
          <w:p w14:paraId="14D313BA" w14:textId="77777777" w:rsidR="00D94493" w:rsidRPr="00D94493" w:rsidRDefault="00D94493" w:rsidP="00D94493">
            <w:pPr>
              <w:spacing w:after="0"/>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Daňové kredity spolu</w:t>
            </w:r>
          </w:p>
        </w:tc>
        <w:tc>
          <w:tcPr>
            <w:tcW w:w="803" w:type="dxa"/>
            <w:tcBorders>
              <w:top w:val="nil"/>
              <w:left w:val="nil"/>
              <w:bottom w:val="nil"/>
              <w:right w:val="nil"/>
            </w:tcBorders>
            <w:shd w:val="clear" w:color="auto" w:fill="auto"/>
            <w:noWrap/>
            <w:vAlign w:val="center"/>
            <w:hideMark/>
          </w:tcPr>
          <w:p w14:paraId="00A87D92"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rPr>
              <w:t>358 598</w:t>
            </w:r>
          </w:p>
        </w:tc>
        <w:tc>
          <w:tcPr>
            <w:tcW w:w="803" w:type="dxa"/>
            <w:tcBorders>
              <w:top w:val="nil"/>
              <w:left w:val="nil"/>
              <w:bottom w:val="nil"/>
              <w:right w:val="nil"/>
            </w:tcBorders>
            <w:shd w:val="clear" w:color="auto" w:fill="auto"/>
            <w:noWrap/>
            <w:vAlign w:val="center"/>
            <w:hideMark/>
          </w:tcPr>
          <w:p w14:paraId="5AE609F4"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rPr>
              <w:t>509 395</w:t>
            </w:r>
          </w:p>
        </w:tc>
        <w:tc>
          <w:tcPr>
            <w:tcW w:w="803" w:type="dxa"/>
            <w:tcBorders>
              <w:top w:val="nil"/>
              <w:left w:val="nil"/>
              <w:bottom w:val="nil"/>
              <w:right w:val="nil"/>
            </w:tcBorders>
            <w:shd w:val="clear" w:color="auto" w:fill="auto"/>
            <w:noWrap/>
            <w:vAlign w:val="center"/>
            <w:hideMark/>
          </w:tcPr>
          <w:p w14:paraId="4618AD28"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rPr>
              <w:t>1 158 052</w:t>
            </w:r>
          </w:p>
        </w:tc>
        <w:tc>
          <w:tcPr>
            <w:tcW w:w="803" w:type="dxa"/>
            <w:tcBorders>
              <w:top w:val="nil"/>
              <w:left w:val="nil"/>
              <w:bottom w:val="nil"/>
              <w:right w:val="nil"/>
            </w:tcBorders>
            <w:shd w:val="clear" w:color="auto" w:fill="auto"/>
            <w:noWrap/>
            <w:vAlign w:val="center"/>
            <w:hideMark/>
          </w:tcPr>
          <w:p w14:paraId="3BB7C2D4"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rPr>
              <w:t>1 193 445</w:t>
            </w:r>
          </w:p>
        </w:tc>
        <w:tc>
          <w:tcPr>
            <w:tcW w:w="803" w:type="dxa"/>
            <w:tcBorders>
              <w:top w:val="nil"/>
              <w:left w:val="nil"/>
              <w:bottom w:val="nil"/>
              <w:right w:val="nil"/>
            </w:tcBorders>
            <w:shd w:val="clear" w:color="auto" w:fill="auto"/>
            <w:noWrap/>
            <w:vAlign w:val="center"/>
            <w:hideMark/>
          </w:tcPr>
          <w:p w14:paraId="13BA1D0E"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rPr>
              <w:t>871 987</w:t>
            </w:r>
          </w:p>
        </w:tc>
        <w:tc>
          <w:tcPr>
            <w:tcW w:w="804" w:type="dxa"/>
            <w:tcBorders>
              <w:top w:val="nil"/>
              <w:left w:val="nil"/>
              <w:bottom w:val="nil"/>
              <w:right w:val="nil"/>
            </w:tcBorders>
            <w:shd w:val="clear" w:color="auto" w:fill="auto"/>
            <w:noWrap/>
            <w:vAlign w:val="center"/>
            <w:hideMark/>
          </w:tcPr>
          <w:p w14:paraId="65F953FC"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rPr>
              <w:t>891 334</w:t>
            </w:r>
          </w:p>
        </w:tc>
      </w:tr>
      <w:tr w:rsidR="00D94493" w:rsidRPr="00D94493" w14:paraId="7BD2D600" w14:textId="77777777" w:rsidTr="00D94493">
        <w:trPr>
          <w:trHeight w:val="255"/>
        </w:trPr>
        <w:tc>
          <w:tcPr>
            <w:tcW w:w="4253" w:type="dxa"/>
            <w:tcBorders>
              <w:top w:val="nil"/>
              <w:left w:val="nil"/>
              <w:bottom w:val="nil"/>
              <w:right w:val="nil"/>
            </w:tcBorders>
            <w:shd w:val="clear" w:color="auto" w:fill="auto"/>
            <w:noWrap/>
            <w:vAlign w:val="bottom"/>
            <w:hideMark/>
          </w:tcPr>
          <w:p w14:paraId="156D5B3C" w14:textId="77777777" w:rsidR="00D94493" w:rsidRPr="00D94493" w:rsidRDefault="00D94493" w:rsidP="00D94493">
            <w:pPr>
              <w:spacing w:after="0"/>
              <w:ind w:firstLineChars="200" w:firstLine="32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Zamestnanecká prémia spolu</w:t>
            </w:r>
          </w:p>
        </w:tc>
        <w:tc>
          <w:tcPr>
            <w:tcW w:w="803" w:type="dxa"/>
            <w:tcBorders>
              <w:top w:val="nil"/>
              <w:left w:val="nil"/>
              <w:bottom w:val="nil"/>
              <w:right w:val="nil"/>
            </w:tcBorders>
            <w:shd w:val="clear" w:color="auto" w:fill="auto"/>
            <w:vAlign w:val="center"/>
            <w:hideMark/>
          </w:tcPr>
          <w:p w14:paraId="1F51D328"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-9</w:t>
            </w:r>
          </w:p>
        </w:tc>
        <w:tc>
          <w:tcPr>
            <w:tcW w:w="803" w:type="dxa"/>
            <w:tcBorders>
              <w:top w:val="nil"/>
              <w:left w:val="nil"/>
              <w:bottom w:val="nil"/>
              <w:right w:val="nil"/>
            </w:tcBorders>
            <w:shd w:val="clear" w:color="auto" w:fill="auto"/>
            <w:vAlign w:val="center"/>
            <w:hideMark/>
          </w:tcPr>
          <w:p w14:paraId="211E6E83"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803" w:type="dxa"/>
            <w:tcBorders>
              <w:top w:val="nil"/>
              <w:left w:val="nil"/>
              <w:bottom w:val="nil"/>
              <w:right w:val="nil"/>
            </w:tcBorders>
            <w:shd w:val="clear" w:color="auto" w:fill="auto"/>
            <w:vAlign w:val="center"/>
            <w:hideMark/>
          </w:tcPr>
          <w:p w14:paraId="27826E49"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803" w:type="dxa"/>
            <w:tcBorders>
              <w:top w:val="nil"/>
              <w:left w:val="nil"/>
              <w:bottom w:val="nil"/>
              <w:right w:val="nil"/>
            </w:tcBorders>
            <w:shd w:val="clear" w:color="auto" w:fill="auto"/>
            <w:vAlign w:val="center"/>
            <w:hideMark/>
          </w:tcPr>
          <w:p w14:paraId="51CDA010"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803" w:type="dxa"/>
            <w:tcBorders>
              <w:top w:val="nil"/>
              <w:left w:val="nil"/>
              <w:bottom w:val="nil"/>
              <w:right w:val="nil"/>
            </w:tcBorders>
            <w:shd w:val="clear" w:color="auto" w:fill="auto"/>
            <w:vAlign w:val="center"/>
            <w:hideMark/>
          </w:tcPr>
          <w:p w14:paraId="588272D5"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804" w:type="dxa"/>
            <w:tcBorders>
              <w:top w:val="nil"/>
              <w:left w:val="nil"/>
              <w:bottom w:val="nil"/>
              <w:right w:val="nil"/>
            </w:tcBorders>
            <w:shd w:val="clear" w:color="auto" w:fill="auto"/>
            <w:vAlign w:val="center"/>
            <w:hideMark/>
          </w:tcPr>
          <w:p w14:paraId="1F7C3A3C"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r>
      <w:tr w:rsidR="00D94493" w:rsidRPr="00D94493" w14:paraId="4A6BECDA" w14:textId="77777777" w:rsidTr="00D94493">
        <w:trPr>
          <w:trHeight w:val="255"/>
        </w:trPr>
        <w:tc>
          <w:tcPr>
            <w:tcW w:w="4253" w:type="dxa"/>
            <w:tcBorders>
              <w:top w:val="nil"/>
              <w:left w:val="nil"/>
              <w:bottom w:val="nil"/>
              <w:right w:val="nil"/>
            </w:tcBorders>
            <w:shd w:val="clear" w:color="auto" w:fill="auto"/>
            <w:noWrap/>
            <w:vAlign w:val="bottom"/>
            <w:hideMark/>
          </w:tcPr>
          <w:p w14:paraId="6268C5C5" w14:textId="77777777" w:rsidR="00D94493" w:rsidRPr="00D94493" w:rsidRDefault="00D94493" w:rsidP="00D94493">
            <w:pPr>
              <w:spacing w:after="0"/>
              <w:ind w:firstLineChars="400" w:firstLine="64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DPFO zo závislej činnosti</w:t>
            </w:r>
          </w:p>
        </w:tc>
        <w:tc>
          <w:tcPr>
            <w:tcW w:w="803" w:type="dxa"/>
            <w:tcBorders>
              <w:top w:val="nil"/>
              <w:left w:val="nil"/>
              <w:bottom w:val="nil"/>
              <w:right w:val="nil"/>
            </w:tcBorders>
            <w:shd w:val="clear" w:color="auto" w:fill="auto"/>
            <w:vAlign w:val="center"/>
            <w:hideMark/>
          </w:tcPr>
          <w:p w14:paraId="6877F580"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803" w:type="dxa"/>
            <w:tcBorders>
              <w:top w:val="nil"/>
              <w:left w:val="nil"/>
              <w:bottom w:val="nil"/>
              <w:right w:val="nil"/>
            </w:tcBorders>
            <w:shd w:val="clear" w:color="auto" w:fill="auto"/>
            <w:vAlign w:val="center"/>
            <w:hideMark/>
          </w:tcPr>
          <w:p w14:paraId="5D120EA8"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803" w:type="dxa"/>
            <w:tcBorders>
              <w:top w:val="nil"/>
              <w:left w:val="nil"/>
              <w:bottom w:val="nil"/>
              <w:right w:val="nil"/>
            </w:tcBorders>
            <w:shd w:val="clear" w:color="auto" w:fill="auto"/>
            <w:vAlign w:val="center"/>
            <w:hideMark/>
          </w:tcPr>
          <w:p w14:paraId="18C93719"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803" w:type="dxa"/>
            <w:tcBorders>
              <w:top w:val="nil"/>
              <w:left w:val="nil"/>
              <w:bottom w:val="nil"/>
              <w:right w:val="nil"/>
            </w:tcBorders>
            <w:shd w:val="clear" w:color="auto" w:fill="auto"/>
            <w:vAlign w:val="center"/>
            <w:hideMark/>
          </w:tcPr>
          <w:p w14:paraId="7A537B6B"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803" w:type="dxa"/>
            <w:tcBorders>
              <w:top w:val="nil"/>
              <w:left w:val="nil"/>
              <w:bottom w:val="nil"/>
              <w:right w:val="nil"/>
            </w:tcBorders>
            <w:shd w:val="clear" w:color="auto" w:fill="auto"/>
            <w:vAlign w:val="center"/>
            <w:hideMark/>
          </w:tcPr>
          <w:p w14:paraId="6FB2A0B1"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804" w:type="dxa"/>
            <w:tcBorders>
              <w:top w:val="nil"/>
              <w:left w:val="nil"/>
              <w:bottom w:val="nil"/>
              <w:right w:val="nil"/>
            </w:tcBorders>
            <w:shd w:val="clear" w:color="auto" w:fill="auto"/>
            <w:vAlign w:val="center"/>
            <w:hideMark/>
          </w:tcPr>
          <w:p w14:paraId="32CBAB00"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r>
      <w:tr w:rsidR="00D94493" w:rsidRPr="00D94493" w14:paraId="27970BFD" w14:textId="77777777" w:rsidTr="00D94493">
        <w:trPr>
          <w:trHeight w:val="255"/>
        </w:trPr>
        <w:tc>
          <w:tcPr>
            <w:tcW w:w="4253" w:type="dxa"/>
            <w:tcBorders>
              <w:top w:val="nil"/>
              <w:left w:val="nil"/>
              <w:bottom w:val="nil"/>
              <w:right w:val="nil"/>
            </w:tcBorders>
            <w:shd w:val="clear" w:color="auto" w:fill="auto"/>
            <w:noWrap/>
            <w:vAlign w:val="bottom"/>
            <w:hideMark/>
          </w:tcPr>
          <w:p w14:paraId="296A3679" w14:textId="77777777" w:rsidR="00D94493" w:rsidRPr="00D94493" w:rsidRDefault="00D94493" w:rsidP="00D94493">
            <w:pPr>
              <w:spacing w:after="0"/>
              <w:ind w:firstLineChars="400" w:firstLine="64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DPFO z podnikania</w:t>
            </w:r>
          </w:p>
        </w:tc>
        <w:tc>
          <w:tcPr>
            <w:tcW w:w="803" w:type="dxa"/>
            <w:tcBorders>
              <w:top w:val="nil"/>
              <w:left w:val="nil"/>
              <w:bottom w:val="nil"/>
              <w:right w:val="nil"/>
            </w:tcBorders>
            <w:shd w:val="clear" w:color="auto" w:fill="auto"/>
            <w:vAlign w:val="center"/>
            <w:hideMark/>
          </w:tcPr>
          <w:p w14:paraId="6AB87A2D"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-9</w:t>
            </w:r>
          </w:p>
        </w:tc>
        <w:tc>
          <w:tcPr>
            <w:tcW w:w="803" w:type="dxa"/>
            <w:tcBorders>
              <w:top w:val="nil"/>
              <w:left w:val="nil"/>
              <w:bottom w:val="nil"/>
              <w:right w:val="nil"/>
            </w:tcBorders>
            <w:shd w:val="clear" w:color="auto" w:fill="auto"/>
            <w:vAlign w:val="center"/>
            <w:hideMark/>
          </w:tcPr>
          <w:p w14:paraId="4233EF5B"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803" w:type="dxa"/>
            <w:tcBorders>
              <w:top w:val="nil"/>
              <w:left w:val="nil"/>
              <w:bottom w:val="nil"/>
              <w:right w:val="nil"/>
            </w:tcBorders>
            <w:shd w:val="clear" w:color="auto" w:fill="auto"/>
            <w:vAlign w:val="center"/>
            <w:hideMark/>
          </w:tcPr>
          <w:p w14:paraId="5D725C2F"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803" w:type="dxa"/>
            <w:tcBorders>
              <w:top w:val="nil"/>
              <w:left w:val="nil"/>
              <w:bottom w:val="nil"/>
              <w:right w:val="nil"/>
            </w:tcBorders>
            <w:shd w:val="clear" w:color="auto" w:fill="auto"/>
            <w:vAlign w:val="center"/>
            <w:hideMark/>
          </w:tcPr>
          <w:p w14:paraId="07476705"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803" w:type="dxa"/>
            <w:tcBorders>
              <w:top w:val="nil"/>
              <w:left w:val="nil"/>
              <w:bottom w:val="nil"/>
              <w:right w:val="nil"/>
            </w:tcBorders>
            <w:shd w:val="clear" w:color="auto" w:fill="auto"/>
            <w:vAlign w:val="center"/>
            <w:hideMark/>
          </w:tcPr>
          <w:p w14:paraId="5947EC87"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c>
          <w:tcPr>
            <w:tcW w:w="804" w:type="dxa"/>
            <w:tcBorders>
              <w:top w:val="nil"/>
              <w:left w:val="nil"/>
              <w:bottom w:val="nil"/>
              <w:right w:val="nil"/>
            </w:tcBorders>
            <w:shd w:val="clear" w:color="auto" w:fill="auto"/>
            <w:vAlign w:val="center"/>
            <w:hideMark/>
          </w:tcPr>
          <w:p w14:paraId="3749DC59"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0</w:t>
            </w:r>
          </w:p>
        </w:tc>
      </w:tr>
      <w:tr w:rsidR="00D94493" w:rsidRPr="00D94493" w14:paraId="64C2B7C3" w14:textId="77777777" w:rsidTr="00D94493">
        <w:trPr>
          <w:trHeight w:val="255"/>
        </w:trPr>
        <w:tc>
          <w:tcPr>
            <w:tcW w:w="4253" w:type="dxa"/>
            <w:tcBorders>
              <w:top w:val="nil"/>
              <w:left w:val="nil"/>
              <w:bottom w:val="nil"/>
              <w:right w:val="nil"/>
            </w:tcBorders>
            <w:shd w:val="clear" w:color="auto" w:fill="auto"/>
            <w:noWrap/>
            <w:vAlign w:val="bottom"/>
            <w:hideMark/>
          </w:tcPr>
          <w:p w14:paraId="68B3B197" w14:textId="77777777" w:rsidR="00D94493" w:rsidRPr="00D94493" w:rsidRDefault="00D94493" w:rsidP="00D94493">
            <w:pPr>
              <w:spacing w:after="0"/>
              <w:ind w:firstLineChars="200" w:firstLine="32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Daňový bonus spolu</w:t>
            </w:r>
          </w:p>
        </w:tc>
        <w:tc>
          <w:tcPr>
            <w:tcW w:w="803" w:type="dxa"/>
            <w:tcBorders>
              <w:top w:val="nil"/>
              <w:left w:val="nil"/>
              <w:bottom w:val="nil"/>
              <w:right w:val="nil"/>
            </w:tcBorders>
            <w:shd w:val="clear" w:color="auto" w:fill="auto"/>
            <w:vAlign w:val="center"/>
            <w:hideMark/>
          </w:tcPr>
          <w:p w14:paraId="50B0CF09"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352 633</w:t>
            </w:r>
          </w:p>
        </w:tc>
        <w:tc>
          <w:tcPr>
            <w:tcW w:w="803" w:type="dxa"/>
            <w:tcBorders>
              <w:top w:val="nil"/>
              <w:left w:val="nil"/>
              <w:bottom w:val="nil"/>
              <w:right w:val="nil"/>
            </w:tcBorders>
            <w:shd w:val="clear" w:color="auto" w:fill="auto"/>
            <w:vAlign w:val="center"/>
            <w:hideMark/>
          </w:tcPr>
          <w:p w14:paraId="2A037CAA"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502 961</w:t>
            </w:r>
          </w:p>
        </w:tc>
        <w:tc>
          <w:tcPr>
            <w:tcW w:w="803" w:type="dxa"/>
            <w:tcBorders>
              <w:top w:val="nil"/>
              <w:left w:val="nil"/>
              <w:bottom w:val="nil"/>
              <w:right w:val="nil"/>
            </w:tcBorders>
            <w:shd w:val="clear" w:color="auto" w:fill="auto"/>
            <w:vAlign w:val="center"/>
            <w:hideMark/>
          </w:tcPr>
          <w:p w14:paraId="62D24AEA"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1 149 181</w:t>
            </w:r>
          </w:p>
        </w:tc>
        <w:tc>
          <w:tcPr>
            <w:tcW w:w="803" w:type="dxa"/>
            <w:tcBorders>
              <w:top w:val="nil"/>
              <w:left w:val="nil"/>
              <w:bottom w:val="nil"/>
              <w:right w:val="nil"/>
            </w:tcBorders>
            <w:shd w:val="clear" w:color="auto" w:fill="auto"/>
            <w:vAlign w:val="center"/>
            <w:hideMark/>
          </w:tcPr>
          <w:p w14:paraId="3890E5F3"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1 165 256</w:t>
            </w:r>
          </w:p>
        </w:tc>
        <w:tc>
          <w:tcPr>
            <w:tcW w:w="803" w:type="dxa"/>
            <w:tcBorders>
              <w:top w:val="nil"/>
              <w:left w:val="nil"/>
              <w:bottom w:val="nil"/>
              <w:right w:val="nil"/>
            </w:tcBorders>
            <w:shd w:val="clear" w:color="auto" w:fill="auto"/>
            <w:vAlign w:val="center"/>
            <w:hideMark/>
          </w:tcPr>
          <w:p w14:paraId="29D2672E"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850 244</w:t>
            </w:r>
          </w:p>
        </w:tc>
        <w:tc>
          <w:tcPr>
            <w:tcW w:w="804" w:type="dxa"/>
            <w:tcBorders>
              <w:top w:val="nil"/>
              <w:left w:val="nil"/>
              <w:bottom w:val="nil"/>
              <w:right w:val="nil"/>
            </w:tcBorders>
            <w:shd w:val="clear" w:color="auto" w:fill="auto"/>
            <w:vAlign w:val="center"/>
            <w:hideMark/>
          </w:tcPr>
          <w:p w14:paraId="07CD29A1"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854 287</w:t>
            </w:r>
          </w:p>
        </w:tc>
      </w:tr>
      <w:tr w:rsidR="00D94493" w:rsidRPr="00D94493" w14:paraId="49A22300" w14:textId="77777777" w:rsidTr="00D94493">
        <w:trPr>
          <w:trHeight w:val="255"/>
        </w:trPr>
        <w:tc>
          <w:tcPr>
            <w:tcW w:w="4253" w:type="dxa"/>
            <w:tcBorders>
              <w:top w:val="nil"/>
              <w:left w:val="nil"/>
              <w:bottom w:val="nil"/>
              <w:right w:val="nil"/>
            </w:tcBorders>
            <w:shd w:val="clear" w:color="auto" w:fill="auto"/>
            <w:noWrap/>
            <w:vAlign w:val="bottom"/>
            <w:hideMark/>
          </w:tcPr>
          <w:p w14:paraId="1D10AF79" w14:textId="77777777" w:rsidR="00D94493" w:rsidRPr="00D94493" w:rsidRDefault="00D94493" w:rsidP="00D94493">
            <w:pPr>
              <w:spacing w:after="0"/>
              <w:ind w:firstLineChars="400" w:firstLine="64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DPFO zo závislej činnosti</w:t>
            </w:r>
          </w:p>
        </w:tc>
        <w:tc>
          <w:tcPr>
            <w:tcW w:w="803" w:type="dxa"/>
            <w:tcBorders>
              <w:top w:val="nil"/>
              <w:left w:val="nil"/>
              <w:bottom w:val="nil"/>
              <w:right w:val="nil"/>
            </w:tcBorders>
            <w:shd w:val="clear" w:color="auto" w:fill="auto"/>
            <w:vAlign w:val="center"/>
            <w:hideMark/>
          </w:tcPr>
          <w:p w14:paraId="2428838F"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283 237</w:t>
            </w:r>
          </w:p>
        </w:tc>
        <w:tc>
          <w:tcPr>
            <w:tcW w:w="803" w:type="dxa"/>
            <w:tcBorders>
              <w:top w:val="nil"/>
              <w:left w:val="nil"/>
              <w:bottom w:val="nil"/>
              <w:right w:val="nil"/>
            </w:tcBorders>
            <w:shd w:val="clear" w:color="auto" w:fill="auto"/>
            <w:vAlign w:val="center"/>
            <w:hideMark/>
          </w:tcPr>
          <w:p w14:paraId="414BCD2E"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378 133</w:t>
            </w:r>
          </w:p>
        </w:tc>
        <w:tc>
          <w:tcPr>
            <w:tcW w:w="803" w:type="dxa"/>
            <w:tcBorders>
              <w:top w:val="nil"/>
              <w:left w:val="nil"/>
              <w:bottom w:val="nil"/>
              <w:right w:val="nil"/>
            </w:tcBorders>
            <w:shd w:val="clear" w:color="auto" w:fill="auto"/>
            <w:vAlign w:val="center"/>
            <w:hideMark/>
          </w:tcPr>
          <w:p w14:paraId="140B3B73"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915 637</w:t>
            </w:r>
          </w:p>
        </w:tc>
        <w:tc>
          <w:tcPr>
            <w:tcW w:w="803" w:type="dxa"/>
            <w:tcBorders>
              <w:top w:val="nil"/>
              <w:left w:val="nil"/>
              <w:bottom w:val="nil"/>
              <w:right w:val="nil"/>
            </w:tcBorders>
            <w:shd w:val="clear" w:color="auto" w:fill="auto"/>
            <w:vAlign w:val="center"/>
            <w:hideMark/>
          </w:tcPr>
          <w:p w14:paraId="0DF4672C"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929 045</w:t>
            </w:r>
          </w:p>
        </w:tc>
        <w:tc>
          <w:tcPr>
            <w:tcW w:w="803" w:type="dxa"/>
            <w:tcBorders>
              <w:top w:val="nil"/>
              <w:left w:val="nil"/>
              <w:bottom w:val="nil"/>
              <w:right w:val="nil"/>
            </w:tcBorders>
            <w:shd w:val="clear" w:color="auto" w:fill="auto"/>
            <w:vAlign w:val="center"/>
            <w:hideMark/>
          </w:tcPr>
          <w:p w14:paraId="7426C5E4"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674 306</w:t>
            </w:r>
          </w:p>
        </w:tc>
        <w:tc>
          <w:tcPr>
            <w:tcW w:w="804" w:type="dxa"/>
            <w:tcBorders>
              <w:top w:val="nil"/>
              <w:left w:val="nil"/>
              <w:bottom w:val="nil"/>
              <w:right w:val="nil"/>
            </w:tcBorders>
            <w:shd w:val="clear" w:color="auto" w:fill="auto"/>
            <w:vAlign w:val="center"/>
            <w:hideMark/>
          </w:tcPr>
          <w:p w14:paraId="0E82C3E7"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676 923</w:t>
            </w:r>
          </w:p>
        </w:tc>
      </w:tr>
      <w:tr w:rsidR="00D94493" w:rsidRPr="00D94493" w14:paraId="4A1EDCC6" w14:textId="77777777" w:rsidTr="00D94493">
        <w:trPr>
          <w:trHeight w:val="255"/>
        </w:trPr>
        <w:tc>
          <w:tcPr>
            <w:tcW w:w="4253" w:type="dxa"/>
            <w:tcBorders>
              <w:top w:val="nil"/>
              <w:left w:val="nil"/>
              <w:bottom w:val="nil"/>
              <w:right w:val="nil"/>
            </w:tcBorders>
            <w:shd w:val="clear" w:color="auto" w:fill="auto"/>
            <w:noWrap/>
            <w:vAlign w:val="bottom"/>
            <w:hideMark/>
          </w:tcPr>
          <w:p w14:paraId="6C2585AC" w14:textId="77777777" w:rsidR="00D94493" w:rsidRPr="00D94493" w:rsidRDefault="00D94493" w:rsidP="00D94493">
            <w:pPr>
              <w:spacing w:after="0"/>
              <w:ind w:firstLineChars="400" w:firstLine="64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DPFO z podnikania</w:t>
            </w:r>
          </w:p>
        </w:tc>
        <w:tc>
          <w:tcPr>
            <w:tcW w:w="803" w:type="dxa"/>
            <w:tcBorders>
              <w:top w:val="nil"/>
              <w:left w:val="nil"/>
              <w:bottom w:val="nil"/>
              <w:right w:val="nil"/>
            </w:tcBorders>
            <w:shd w:val="clear" w:color="auto" w:fill="auto"/>
            <w:vAlign w:val="center"/>
            <w:hideMark/>
          </w:tcPr>
          <w:p w14:paraId="76860D0B"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69 397</w:t>
            </w:r>
          </w:p>
        </w:tc>
        <w:tc>
          <w:tcPr>
            <w:tcW w:w="803" w:type="dxa"/>
            <w:tcBorders>
              <w:top w:val="nil"/>
              <w:left w:val="nil"/>
              <w:bottom w:val="nil"/>
              <w:right w:val="nil"/>
            </w:tcBorders>
            <w:shd w:val="clear" w:color="auto" w:fill="auto"/>
            <w:vAlign w:val="center"/>
            <w:hideMark/>
          </w:tcPr>
          <w:p w14:paraId="0FAF5F0D"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124 828</w:t>
            </w:r>
          </w:p>
        </w:tc>
        <w:tc>
          <w:tcPr>
            <w:tcW w:w="803" w:type="dxa"/>
            <w:tcBorders>
              <w:top w:val="nil"/>
              <w:left w:val="nil"/>
              <w:bottom w:val="nil"/>
              <w:right w:val="nil"/>
            </w:tcBorders>
            <w:shd w:val="clear" w:color="auto" w:fill="auto"/>
            <w:vAlign w:val="center"/>
            <w:hideMark/>
          </w:tcPr>
          <w:p w14:paraId="55DE3988"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233 544</w:t>
            </w:r>
          </w:p>
        </w:tc>
        <w:tc>
          <w:tcPr>
            <w:tcW w:w="803" w:type="dxa"/>
            <w:tcBorders>
              <w:top w:val="nil"/>
              <w:left w:val="nil"/>
              <w:bottom w:val="nil"/>
              <w:right w:val="nil"/>
            </w:tcBorders>
            <w:shd w:val="clear" w:color="auto" w:fill="auto"/>
            <w:vAlign w:val="center"/>
            <w:hideMark/>
          </w:tcPr>
          <w:p w14:paraId="4951FF02"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236 211</w:t>
            </w:r>
          </w:p>
        </w:tc>
        <w:tc>
          <w:tcPr>
            <w:tcW w:w="803" w:type="dxa"/>
            <w:tcBorders>
              <w:top w:val="nil"/>
              <w:left w:val="nil"/>
              <w:bottom w:val="nil"/>
              <w:right w:val="nil"/>
            </w:tcBorders>
            <w:shd w:val="clear" w:color="auto" w:fill="auto"/>
            <w:vAlign w:val="center"/>
            <w:hideMark/>
          </w:tcPr>
          <w:p w14:paraId="69B0B914"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175 938</w:t>
            </w:r>
          </w:p>
        </w:tc>
        <w:tc>
          <w:tcPr>
            <w:tcW w:w="804" w:type="dxa"/>
            <w:tcBorders>
              <w:top w:val="nil"/>
              <w:left w:val="nil"/>
              <w:bottom w:val="nil"/>
              <w:right w:val="nil"/>
            </w:tcBorders>
            <w:shd w:val="clear" w:color="auto" w:fill="auto"/>
            <w:vAlign w:val="center"/>
            <w:hideMark/>
          </w:tcPr>
          <w:p w14:paraId="3BB92DCD"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177 364</w:t>
            </w:r>
          </w:p>
        </w:tc>
      </w:tr>
      <w:tr w:rsidR="00D94493" w:rsidRPr="00D94493" w14:paraId="37B3CBB2" w14:textId="77777777" w:rsidTr="00D94493">
        <w:trPr>
          <w:trHeight w:val="255"/>
        </w:trPr>
        <w:tc>
          <w:tcPr>
            <w:tcW w:w="4253" w:type="dxa"/>
            <w:tcBorders>
              <w:top w:val="nil"/>
              <w:left w:val="nil"/>
              <w:bottom w:val="nil"/>
              <w:right w:val="nil"/>
            </w:tcBorders>
            <w:shd w:val="clear" w:color="auto" w:fill="auto"/>
            <w:noWrap/>
            <w:vAlign w:val="bottom"/>
            <w:hideMark/>
          </w:tcPr>
          <w:p w14:paraId="1D0886D3" w14:textId="77777777" w:rsidR="00D94493" w:rsidRPr="00D94493" w:rsidRDefault="00D94493" w:rsidP="00D94493">
            <w:pPr>
              <w:spacing w:after="0"/>
              <w:ind w:firstLineChars="200" w:firstLine="32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Daňový bonus na hypotéky</w:t>
            </w:r>
          </w:p>
        </w:tc>
        <w:tc>
          <w:tcPr>
            <w:tcW w:w="803" w:type="dxa"/>
            <w:tcBorders>
              <w:top w:val="nil"/>
              <w:left w:val="nil"/>
              <w:bottom w:val="nil"/>
              <w:right w:val="nil"/>
            </w:tcBorders>
            <w:shd w:val="clear" w:color="auto" w:fill="auto"/>
            <w:vAlign w:val="center"/>
            <w:hideMark/>
          </w:tcPr>
          <w:p w14:paraId="6B291FE5"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5 973</w:t>
            </w:r>
          </w:p>
        </w:tc>
        <w:tc>
          <w:tcPr>
            <w:tcW w:w="803" w:type="dxa"/>
            <w:tcBorders>
              <w:top w:val="nil"/>
              <w:left w:val="nil"/>
              <w:bottom w:val="nil"/>
              <w:right w:val="nil"/>
            </w:tcBorders>
            <w:shd w:val="clear" w:color="auto" w:fill="auto"/>
            <w:vAlign w:val="center"/>
            <w:hideMark/>
          </w:tcPr>
          <w:p w14:paraId="23B98CD4"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6 434</w:t>
            </w:r>
          </w:p>
        </w:tc>
        <w:tc>
          <w:tcPr>
            <w:tcW w:w="803" w:type="dxa"/>
            <w:tcBorders>
              <w:top w:val="nil"/>
              <w:left w:val="nil"/>
              <w:bottom w:val="nil"/>
              <w:right w:val="nil"/>
            </w:tcBorders>
            <w:shd w:val="clear" w:color="auto" w:fill="auto"/>
            <w:vAlign w:val="center"/>
            <w:hideMark/>
          </w:tcPr>
          <w:p w14:paraId="205C6594"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8 871</w:t>
            </w:r>
          </w:p>
        </w:tc>
        <w:tc>
          <w:tcPr>
            <w:tcW w:w="803" w:type="dxa"/>
            <w:tcBorders>
              <w:top w:val="nil"/>
              <w:left w:val="nil"/>
              <w:bottom w:val="nil"/>
              <w:right w:val="nil"/>
            </w:tcBorders>
            <w:shd w:val="clear" w:color="auto" w:fill="auto"/>
            <w:vAlign w:val="center"/>
            <w:hideMark/>
          </w:tcPr>
          <w:p w14:paraId="13B199F6"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28 189</w:t>
            </w:r>
          </w:p>
        </w:tc>
        <w:tc>
          <w:tcPr>
            <w:tcW w:w="803" w:type="dxa"/>
            <w:tcBorders>
              <w:top w:val="nil"/>
              <w:left w:val="nil"/>
              <w:bottom w:val="nil"/>
              <w:right w:val="nil"/>
            </w:tcBorders>
            <w:shd w:val="clear" w:color="auto" w:fill="auto"/>
            <w:vAlign w:val="center"/>
            <w:hideMark/>
          </w:tcPr>
          <w:p w14:paraId="1F6C38E1"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21 743</w:t>
            </w:r>
          </w:p>
        </w:tc>
        <w:tc>
          <w:tcPr>
            <w:tcW w:w="804" w:type="dxa"/>
            <w:tcBorders>
              <w:top w:val="nil"/>
              <w:left w:val="nil"/>
              <w:bottom w:val="nil"/>
              <w:right w:val="nil"/>
            </w:tcBorders>
            <w:shd w:val="clear" w:color="auto" w:fill="auto"/>
            <w:vAlign w:val="center"/>
            <w:hideMark/>
          </w:tcPr>
          <w:p w14:paraId="15CEC04B"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37 047</w:t>
            </w:r>
          </w:p>
        </w:tc>
      </w:tr>
      <w:tr w:rsidR="00D94493" w:rsidRPr="00D94493" w14:paraId="2D1D27FE" w14:textId="77777777" w:rsidTr="00D94493">
        <w:trPr>
          <w:trHeight w:val="255"/>
        </w:trPr>
        <w:tc>
          <w:tcPr>
            <w:tcW w:w="4253" w:type="dxa"/>
            <w:tcBorders>
              <w:top w:val="nil"/>
              <w:left w:val="nil"/>
              <w:bottom w:val="nil"/>
              <w:right w:val="nil"/>
            </w:tcBorders>
            <w:shd w:val="clear" w:color="auto" w:fill="auto"/>
            <w:noWrap/>
            <w:vAlign w:val="bottom"/>
            <w:hideMark/>
          </w:tcPr>
          <w:p w14:paraId="079A4C53" w14:textId="77777777" w:rsidR="00D94493" w:rsidRPr="00D94493" w:rsidRDefault="00D94493" w:rsidP="00D94493">
            <w:pPr>
              <w:spacing w:after="0"/>
              <w:ind w:firstLineChars="200" w:firstLine="32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 xml:space="preserve">      DPFO zo závislej činnosti</w:t>
            </w:r>
          </w:p>
        </w:tc>
        <w:tc>
          <w:tcPr>
            <w:tcW w:w="803" w:type="dxa"/>
            <w:tcBorders>
              <w:top w:val="nil"/>
              <w:left w:val="nil"/>
              <w:bottom w:val="nil"/>
              <w:right w:val="nil"/>
            </w:tcBorders>
            <w:shd w:val="clear" w:color="auto" w:fill="auto"/>
            <w:vAlign w:val="center"/>
            <w:hideMark/>
          </w:tcPr>
          <w:p w14:paraId="456ECBC4"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3 731</w:t>
            </w:r>
          </w:p>
        </w:tc>
        <w:tc>
          <w:tcPr>
            <w:tcW w:w="803" w:type="dxa"/>
            <w:tcBorders>
              <w:top w:val="nil"/>
              <w:left w:val="nil"/>
              <w:bottom w:val="nil"/>
              <w:right w:val="nil"/>
            </w:tcBorders>
            <w:shd w:val="clear" w:color="auto" w:fill="auto"/>
            <w:vAlign w:val="center"/>
            <w:hideMark/>
          </w:tcPr>
          <w:p w14:paraId="468C0036"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4 189</w:t>
            </w:r>
          </w:p>
        </w:tc>
        <w:tc>
          <w:tcPr>
            <w:tcW w:w="803" w:type="dxa"/>
            <w:tcBorders>
              <w:top w:val="nil"/>
              <w:left w:val="nil"/>
              <w:bottom w:val="nil"/>
              <w:right w:val="nil"/>
            </w:tcBorders>
            <w:shd w:val="clear" w:color="auto" w:fill="auto"/>
            <w:vAlign w:val="center"/>
            <w:hideMark/>
          </w:tcPr>
          <w:p w14:paraId="03F0E193"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4 875</w:t>
            </w:r>
          </w:p>
        </w:tc>
        <w:tc>
          <w:tcPr>
            <w:tcW w:w="803" w:type="dxa"/>
            <w:tcBorders>
              <w:top w:val="nil"/>
              <w:left w:val="nil"/>
              <w:bottom w:val="nil"/>
              <w:right w:val="nil"/>
            </w:tcBorders>
            <w:shd w:val="clear" w:color="auto" w:fill="auto"/>
            <w:vAlign w:val="center"/>
            <w:hideMark/>
          </w:tcPr>
          <w:p w14:paraId="4B0A8298"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23 676</w:t>
            </w:r>
          </w:p>
        </w:tc>
        <w:tc>
          <w:tcPr>
            <w:tcW w:w="803" w:type="dxa"/>
            <w:tcBorders>
              <w:top w:val="nil"/>
              <w:left w:val="nil"/>
              <w:bottom w:val="nil"/>
              <w:right w:val="nil"/>
            </w:tcBorders>
            <w:shd w:val="clear" w:color="auto" w:fill="auto"/>
            <w:vAlign w:val="center"/>
            <w:hideMark/>
          </w:tcPr>
          <w:p w14:paraId="6D40D1EA"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16 800</w:t>
            </w:r>
          </w:p>
        </w:tc>
        <w:tc>
          <w:tcPr>
            <w:tcW w:w="804" w:type="dxa"/>
            <w:tcBorders>
              <w:top w:val="nil"/>
              <w:left w:val="nil"/>
              <w:bottom w:val="nil"/>
              <w:right w:val="nil"/>
            </w:tcBorders>
            <w:shd w:val="clear" w:color="auto" w:fill="auto"/>
            <w:vAlign w:val="center"/>
            <w:hideMark/>
          </w:tcPr>
          <w:p w14:paraId="6AC1EFE6"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31 733</w:t>
            </w:r>
          </w:p>
        </w:tc>
      </w:tr>
      <w:tr w:rsidR="00D94493" w:rsidRPr="00D94493" w14:paraId="579ED61C" w14:textId="77777777" w:rsidTr="00D94493">
        <w:trPr>
          <w:trHeight w:val="255"/>
        </w:trPr>
        <w:tc>
          <w:tcPr>
            <w:tcW w:w="4253" w:type="dxa"/>
            <w:tcBorders>
              <w:top w:val="nil"/>
              <w:left w:val="nil"/>
              <w:bottom w:val="single" w:sz="4" w:space="0" w:color="auto"/>
              <w:right w:val="nil"/>
            </w:tcBorders>
            <w:shd w:val="clear" w:color="auto" w:fill="auto"/>
            <w:noWrap/>
            <w:vAlign w:val="bottom"/>
            <w:hideMark/>
          </w:tcPr>
          <w:p w14:paraId="52940228" w14:textId="77777777" w:rsidR="00D94493" w:rsidRPr="00D94493" w:rsidRDefault="00D94493" w:rsidP="00D94493">
            <w:pPr>
              <w:spacing w:after="0"/>
              <w:ind w:firstLineChars="200" w:firstLine="32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 xml:space="preserve">     DPFO z podnikania</w:t>
            </w:r>
          </w:p>
        </w:tc>
        <w:tc>
          <w:tcPr>
            <w:tcW w:w="803" w:type="dxa"/>
            <w:tcBorders>
              <w:top w:val="nil"/>
              <w:left w:val="nil"/>
              <w:bottom w:val="single" w:sz="4" w:space="0" w:color="auto"/>
              <w:right w:val="nil"/>
            </w:tcBorders>
            <w:shd w:val="clear" w:color="auto" w:fill="auto"/>
            <w:vAlign w:val="center"/>
            <w:hideMark/>
          </w:tcPr>
          <w:p w14:paraId="13238BEE"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2 243</w:t>
            </w:r>
          </w:p>
        </w:tc>
        <w:tc>
          <w:tcPr>
            <w:tcW w:w="803" w:type="dxa"/>
            <w:tcBorders>
              <w:top w:val="nil"/>
              <w:left w:val="nil"/>
              <w:bottom w:val="single" w:sz="4" w:space="0" w:color="auto"/>
              <w:right w:val="nil"/>
            </w:tcBorders>
            <w:shd w:val="clear" w:color="auto" w:fill="auto"/>
            <w:vAlign w:val="center"/>
            <w:hideMark/>
          </w:tcPr>
          <w:p w14:paraId="55BBE34E"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2 245</w:t>
            </w:r>
          </w:p>
        </w:tc>
        <w:tc>
          <w:tcPr>
            <w:tcW w:w="803" w:type="dxa"/>
            <w:tcBorders>
              <w:top w:val="nil"/>
              <w:left w:val="nil"/>
              <w:bottom w:val="single" w:sz="4" w:space="0" w:color="auto"/>
              <w:right w:val="nil"/>
            </w:tcBorders>
            <w:shd w:val="clear" w:color="auto" w:fill="auto"/>
            <w:vAlign w:val="center"/>
            <w:hideMark/>
          </w:tcPr>
          <w:p w14:paraId="240C09DE"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3 996</w:t>
            </w:r>
          </w:p>
        </w:tc>
        <w:tc>
          <w:tcPr>
            <w:tcW w:w="803" w:type="dxa"/>
            <w:tcBorders>
              <w:top w:val="nil"/>
              <w:left w:val="nil"/>
              <w:bottom w:val="single" w:sz="4" w:space="0" w:color="auto"/>
              <w:right w:val="nil"/>
            </w:tcBorders>
            <w:shd w:val="clear" w:color="auto" w:fill="auto"/>
            <w:vAlign w:val="center"/>
            <w:hideMark/>
          </w:tcPr>
          <w:p w14:paraId="7CE35E04"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4 513</w:t>
            </w:r>
          </w:p>
        </w:tc>
        <w:tc>
          <w:tcPr>
            <w:tcW w:w="803" w:type="dxa"/>
            <w:tcBorders>
              <w:top w:val="nil"/>
              <w:left w:val="nil"/>
              <w:bottom w:val="single" w:sz="4" w:space="0" w:color="auto"/>
              <w:right w:val="nil"/>
            </w:tcBorders>
            <w:shd w:val="clear" w:color="auto" w:fill="auto"/>
            <w:vAlign w:val="center"/>
            <w:hideMark/>
          </w:tcPr>
          <w:p w14:paraId="399AAD86"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4 943</w:t>
            </w:r>
          </w:p>
        </w:tc>
        <w:tc>
          <w:tcPr>
            <w:tcW w:w="804" w:type="dxa"/>
            <w:tcBorders>
              <w:top w:val="nil"/>
              <w:left w:val="nil"/>
              <w:bottom w:val="single" w:sz="4" w:space="0" w:color="auto"/>
              <w:right w:val="nil"/>
            </w:tcBorders>
            <w:shd w:val="clear" w:color="auto" w:fill="auto"/>
            <w:vAlign w:val="center"/>
            <w:hideMark/>
          </w:tcPr>
          <w:p w14:paraId="7DFFC112"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5 314</w:t>
            </w:r>
          </w:p>
        </w:tc>
      </w:tr>
    </w:tbl>
    <w:p w14:paraId="0388D2B5" w14:textId="77777777" w:rsidR="00D94493" w:rsidRPr="00D94493" w:rsidRDefault="00D94493" w:rsidP="00D94493">
      <w:pPr>
        <w:spacing w:after="0"/>
        <w:ind w:left="7788"/>
        <w:jc w:val="both"/>
        <w:rPr>
          <w:rFonts w:ascii="Times New Roman" w:eastAsia="Calibri" w:hAnsi="Times New Roman" w:cs="Times New Roman"/>
          <w:bCs/>
          <w:sz w:val="24"/>
        </w:rPr>
      </w:pPr>
      <w:r w:rsidRPr="00D94493">
        <w:rPr>
          <w:rFonts w:ascii="Times New Roman" w:eastAsia="Calibri" w:hAnsi="Times New Roman" w:cs="Times New Roman"/>
          <w:bCs/>
          <w:i/>
          <w:sz w:val="16"/>
        </w:rPr>
        <w:t xml:space="preserve">        Zdroj: MF SR</w:t>
      </w:r>
    </w:p>
    <w:p w14:paraId="330817C3" w14:textId="77777777" w:rsidR="00D94493" w:rsidRPr="00D94493" w:rsidRDefault="00D94493" w:rsidP="00D94493">
      <w:pPr>
        <w:spacing w:after="0"/>
        <w:jc w:val="both"/>
        <w:rPr>
          <w:rFonts w:ascii="Times New Roman" w:eastAsia="Calibri" w:hAnsi="Times New Roman" w:cs="Times New Roman"/>
          <w:sz w:val="24"/>
        </w:rPr>
      </w:pPr>
    </w:p>
    <w:p w14:paraId="58845B8C" w14:textId="77777777" w:rsidR="00D94493" w:rsidRPr="00D94493" w:rsidRDefault="00D94493" w:rsidP="00D94493">
      <w:pPr>
        <w:spacing w:after="0"/>
        <w:jc w:val="both"/>
        <w:rPr>
          <w:rFonts w:ascii="Times New Roman" w:eastAsia="Calibri" w:hAnsi="Times New Roman" w:cs="Times New Roman"/>
          <w:sz w:val="24"/>
        </w:rPr>
      </w:pPr>
      <w:r w:rsidRPr="00D94493">
        <w:rPr>
          <w:rFonts w:ascii="Times New Roman" w:eastAsia="Calibri" w:hAnsi="Times New Roman" w:cs="Times New Roman"/>
          <w:sz w:val="24"/>
        </w:rPr>
        <w:t>Zároveň na rozdiel medzi akruálnym a hotovostným výnosom pozitívne vplýva odlišné zaznamenávanie sumy 2 % poukazovaných na osobitný účel z daní z príjmov fyzických a právnických osôb. Kým pri hotovostnom princípe suma poukázaná na osobitný účel znižuje výšku výnosu dane, a tým znižuje príjmy verejnej správy, akruálne dane nie sú týmto prevodom ovplyvnené. Vyplýva to z ekonomickej podstaty transakcie, ktorá neznižuje výšku daňovej povinnosti voči verejným financiám (akruálnu daň), ale na základe zákona schváleného NR SR sa časť peňazí použije na financovanie tretieho sektora. Uvedená suma teda neznižuje príjmy, ale zvyšuje verejné výdavky a týmto spôsobom negatívne ovplyvňuje hospodárenie v metodike ESA 2010.</w:t>
      </w:r>
    </w:p>
    <w:p w14:paraId="68B8DD2D" w14:textId="77777777" w:rsidR="00D94493" w:rsidRPr="00D94493" w:rsidRDefault="00D94493" w:rsidP="00D94493">
      <w:pPr>
        <w:spacing w:after="0"/>
        <w:jc w:val="both"/>
        <w:rPr>
          <w:rFonts w:ascii="Times New Roman" w:eastAsia="Calibri" w:hAnsi="Times New Roman" w:cs="Times New Roman"/>
          <w:sz w:val="24"/>
        </w:rPr>
      </w:pPr>
    </w:p>
    <w:p w14:paraId="170A06F4" w14:textId="77777777" w:rsidR="00D94493" w:rsidRPr="00D94493" w:rsidRDefault="00D94493" w:rsidP="00D94493">
      <w:pPr>
        <w:spacing w:after="0"/>
        <w:jc w:val="both"/>
        <w:rPr>
          <w:rFonts w:ascii="Times New Roman" w:eastAsia="Calibri" w:hAnsi="Times New Roman" w:cs="Times New Roman"/>
          <w:sz w:val="24"/>
        </w:rPr>
      </w:pPr>
      <w:r w:rsidRPr="00D94493">
        <w:rPr>
          <w:rFonts w:ascii="Times New Roman" w:eastAsia="Calibri" w:hAnsi="Times New Roman" w:cs="Times New Roman"/>
          <w:sz w:val="24"/>
        </w:rPr>
        <w:t>Aktuálne očakávania ohľadom výšky prevodu prostriedkov na osobitný účel sú v nasledujúcej tabuľke. Očakávania pri prevode z DPPO sú oproti rozpočtu mierne vyššie, na základe vyššieho očakávaného výnosu dane. Pri prevode 2 % z príjmov fyzických osôb sa očakáva pokles v súlade s poklesom prognózy na horizonte rozpočtu.</w:t>
      </w:r>
    </w:p>
    <w:p w14:paraId="76B97EED" w14:textId="77777777" w:rsidR="00D94493" w:rsidRPr="00D94493" w:rsidRDefault="00D94493" w:rsidP="00D94493">
      <w:pPr>
        <w:spacing w:after="0"/>
        <w:jc w:val="both"/>
        <w:rPr>
          <w:rFonts w:ascii="Times New Roman" w:eastAsia="Calibri" w:hAnsi="Times New Roman" w:cs="Times New Roman"/>
          <w:sz w:val="24"/>
        </w:rPr>
      </w:pPr>
    </w:p>
    <w:p w14:paraId="45474475" w14:textId="213134C4" w:rsidR="00D94493" w:rsidRPr="00D94493" w:rsidRDefault="00D94493" w:rsidP="00D94493">
      <w:pPr>
        <w:keepNext/>
        <w:spacing w:after="0" w:line="240" w:lineRule="auto"/>
        <w:rPr>
          <w:rFonts w:ascii="Times New Roman" w:eastAsia="Calibri" w:hAnsi="Times New Roman" w:cs="Times New Roman"/>
          <w:b/>
          <w:iCs/>
          <w:color w:val="5B9BD5"/>
          <w:sz w:val="20"/>
          <w:szCs w:val="18"/>
        </w:rPr>
      </w:pPr>
      <w:bookmarkStart w:id="102" w:name="_Toc53086356"/>
      <w:bookmarkStart w:id="103" w:name="_Toc153013027"/>
      <w:r w:rsidRPr="00D94493">
        <w:rPr>
          <w:rFonts w:ascii="Times New Roman" w:eastAsia="Calibri" w:hAnsi="Times New Roman" w:cs="Times New Roman"/>
          <w:b/>
          <w:iCs/>
          <w:color w:val="5B9BD5"/>
          <w:sz w:val="20"/>
          <w:szCs w:val="18"/>
        </w:rPr>
        <w:t xml:space="preserve">Tabuľka </w:t>
      </w:r>
      <w:r w:rsidRPr="00D94493">
        <w:rPr>
          <w:rFonts w:ascii="Times New Roman" w:eastAsia="Calibri" w:hAnsi="Times New Roman" w:cs="Times New Roman"/>
          <w:b/>
          <w:iCs/>
          <w:color w:val="5B9BD5"/>
          <w:sz w:val="20"/>
          <w:szCs w:val="18"/>
        </w:rPr>
        <w:fldChar w:fldCharType="begin"/>
      </w:r>
      <w:r w:rsidRPr="00D94493">
        <w:rPr>
          <w:rFonts w:ascii="Times New Roman" w:eastAsia="Calibri" w:hAnsi="Times New Roman" w:cs="Times New Roman"/>
          <w:b/>
          <w:iCs/>
          <w:color w:val="5B9BD5"/>
          <w:sz w:val="20"/>
          <w:szCs w:val="18"/>
        </w:rPr>
        <w:instrText xml:space="preserve"> SEQ Tabuľka \* ARABIC </w:instrText>
      </w:r>
      <w:r w:rsidRPr="00D94493">
        <w:rPr>
          <w:rFonts w:ascii="Times New Roman" w:eastAsia="Calibri" w:hAnsi="Times New Roman" w:cs="Times New Roman"/>
          <w:b/>
          <w:iCs/>
          <w:color w:val="5B9BD5"/>
          <w:sz w:val="20"/>
          <w:szCs w:val="18"/>
        </w:rPr>
        <w:fldChar w:fldCharType="separate"/>
      </w:r>
      <w:r w:rsidR="003D5A3A">
        <w:rPr>
          <w:rFonts w:ascii="Times New Roman" w:eastAsia="Calibri" w:hAnsi="Times New Roman" w:cs="Times New Roman"/>
          <w:b/>
          <w:iCs/>
          <w:noProof/>
          <w:color w:val="5B9BD5"/>
          <w:sz w:val="20"/>
          <w:szCs w:val="18"/>
        </w:rPr>
        <w:t>29</w:t>
      </w:r>
      <w:r w:rsidRPr="00D94493">
        <w:rPr>
          <w:rFonts w:ascii="Times New Roman" w:eastAsia="Calibri" w:hAnsi="Times New Roman" w:cs="Times New Roman"/>
          <w:b/>
          <w:iCs/>
          <w:color w:val="5B9BD5"/>
          <w:sz w:val="20"/>
          <w:szCs w:val="18"/>
        </w:rPr>
        <w:fldChar w:fldCharType="end"/>
      </w:r>
      <w:r w:rsidRPr="00D94493">
        <w:rPr>
          <w:rFonts w:ascii="Times New Roman" w:eastAsia="Calibri" w:hAnsi="Times New Roman" w:cs="Times New Roman"/>
          <w:b/>
          <w:iCs/>
          <w:color w:val="5B9BD5"/>
          <w:sz w:val="20"/>
          <w:szCs w:val="18"/>
        </w:rPr>
        <w:t xml:space="preserve"> - Vplyv prevodu prostriedkov na verejnoprospešný účel (VPÚ) na rozpočet (ESA 2010, v tis. eur)</w:t>
      </w:r>
      <w:bookmarkEnd w:id="102"/>
      <w:bookmarkEnd w:id="103"/>
    </w:p>
    <w:tbl>
      <w:tblPr>
        <w:tblW w:w="5000" w:type="pct"/>
        <w:tblCellMar>
          <w:left w:w="70" w:type="dxa"/>
          <w:right w:w="70" w:type="dxa"/>
        </w:tblCellMar>
        <w:tblLook w:val="04A0" w:firstRow="1" w:lastRow="0" w:firstColumn="1" w:lastColumn="0" w:noHBand="0" w:noVBand="1"/>
      </w:tblPr>
      <w:tblGrid>
        <w:gridCol w:w="3475"/>
        <w:gridCol w:w="1052"/>
        <w:gridCol w:w="909"/>
        <w:gridCol w:w="909"/>
        <w:gridCol w:w="909"/>
        <w:gridCol w:w="909"/>
        <w:gridCol w:w="909"/>
      </w:tblGrid>
      <w:tr w:rsidR="00D94493" w:rsidRPr="00D94493" w14:paraId="2D181F8B" w14:textId="77777777" w:rsidTr="00D94493">
        <w:trPr>
          <w:trHeight w:val="255"/>
        </w:trPr>
        <w:tc>
          <w:tcPr>
            <w:tcW w:w="3475" w:type="dxa"/>
            <w:tcBorders>
              <w:top w:val="single" w:sz="4" w:space="0" w:color="auto"/>
              <w:left w:val="nil"/>
              <w:bottom w:val="single" w:sz="4" w:space="0" w:color="auto"/>
              <w:right w:val="nil"/>
            </w:tcBorders>
            <w:shd w:val="clear" w:color="auto" w:fill="auto"/>
            <w:vAlign w:val="bottom"/>
            <w:hideMark/>
          </w:tcPr>
          <w:p w14:paraId="5A1A07CE" w14:textId="77777777" w:rsidR="00D94493" w:rsidRPr="00D94493" w:rsidRDefault="00D94493" w:rsidP="00D94493">
            <w:pPr>
              <w:spacing w:after="0"/>
              <w:jc w:val="right"/>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 </w:t>
            </w:r>
          </w:p>
        </w:tc>
        <w:tc>
          <w:tcPr>
            <w:tcW w:w="1052" w:type="dxa"/>
            <w:tcBorders>
              <w:top w:val="single" w:sz="4" w:space="0" w:color="auto"/>
              <w:left w:val="nil"/>
              <w:bottom w:val="single" w:sz="4" w:space="0" w:color="auto"/>
              <w:right w:val="nil"/>
            </w:tcBorders>
            <w:shd w:val="clear" w:color="auto" w:fill="auto"/>
            <w:vAlign w:val="bottom"/>
            <w:hideMark/>
          </w:tcPr>
          <w:p w14:paraId="33AA58BB"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lang w:eastAsia="sk-SK"/>
              </w:rPr>
              <w:t>2021 S</w:t>
            </w:r>
          </w:p>
        </w:tc>
        <w:tc>
          <w:tcPr>
            <w:tcW w:w="909" w:type="dxa"/>
            <w:tcBorders>
              <w:top w:val="single" w:sz="4" w:space="0" w:color="auto"/>
              <w:left w:val="nil"/>
              <w:bottom w:val="single" w:sz="4" w:space="0" w:color="auto"/>
              <w:right w:val="nil"/>
            </w:tcBorders>
            <w:shd w:val="clear" w:color="auto" w:fill="auto"/>
            <w:vAlign w:val="bottom"/>
            <w:hideMark/>
          </w:tcPr>
          <w:p w14:paraId="291AD12E"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lang w:eastAsia="sk-SK"/>
              </w:rPr>
              <w:t>2022 OS</w:t>
            </w:r>
          </w:p>
        </w:tc>
        <w:tc>
          <w:tcPr>
            <w:tcW w:w="909" w:type="dxa"/>
            <w:tcBorders>
              <w:top w:val="single" w:sz="4" w:space="0" w:color="auto"/>
              <w:left w:val="nil"/>
              <w:bottom w:val="single" w:sz="4" w:space="0" w:color="auto"/>
              <w:right w:val="nil"/>
            </w:tcBorders>
            <w:shd w:val="clear" w:color="auto" w:fill="auto"/>
            <w:vAlign w:val="bottom"/>
            <w:hideMark/>
          </w:tcPr>
          <w:p w14:paraId="04D7A3FC"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lang w:eastAsia="sk-SK"/>
              </w:rPr>
              <w:t>2023 OS</w:t>
            </w:r>
          </w:p>
        </w:tc>
        <w:tc>
          <w:tcPr>
            <w:tcW w:w="909" w:type="dxa"/>
            <w:tcBorders>
              <w:top w:val="single" w:sz="4" w:space="0" w:color="auto"/>
              <w:left w:val="nil"/>
              <w:bottom w:val="single" w:sz="4" w:space="0" w:color="auto"/>
              <w:right w:val="nil"/>
            </w:tcBorders>
            <w:shd w:val="clear" w:color="auto" w:fill="auto"/>
            <w:vAlign w:val="bottom"/>
            <w:hideMark/>
          </w:tcPr>
          <w:p w14:paraId="5FBABEF4"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lang w:eastAsia="sk-SK"/>
              </w:rPr>
              <w:t>2024 N</w:t>
            </w:r>
          </w:p>
        </w:tc>
        <w:tc>
          <w:tcPr>
            <w:tcW w:w="909" w:type="dxa"/>
            <w:tcBorders>
              <w:top w:val="single" w:sz="4" w:space="0" w:color="auto"/>
              <w:left w:val="nil"/>
              <w:bottom w:val="single" w:sz="4" w:space="0" w:color="auto"/>
              <w:right w:val="nil"/>
            </w:tcBorders>
            <w:shd w:val="clear" w:color="auto" w:fill="auto"/>
            <w:vAlign w:val="bottom"/>
            <w:hideMark/>
          </w:tcPr>
          <w:p w14:paraId="1A3C90A0"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lang w:eastAsia="sk-SK"/>
              </w:rPr>
              <w:t>2025 N</w:t>
            </w:r>
          </w:p>
        </w:tc>
        <w:tc>
          <w:tcPr>
            <w:tcW w:w="909" w:type="dxa"/>
            <w:tcBorders>
              <w:top w:val="single" w:sz="4" w:space="0" w:color="auto"/>
              <w:left w:val="nil"/>
              <w:bottom w:val="single" w:sz="4" w:space="0" w:color="auto"/>
              <w:right w:val="nil"/>
            </w:tcBorders>
            <w:shd w:val="clear" w:color="auto" w:fill="auto"/>
            <w:vAlign w:val="bottom"/>
            <w:hideMark/>
          </w:tcPr>
          <w:p w14:paraId="208518E0"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lang w:eastAsia="sk-SK"/>
              </w:rPr>
              <w:t>2026 N</w:t>
            </w:r>
          </w:p>
        </w:tc>
      </w:tr>
      <w:tr w:rsidR="00D94493" w:rsidRPr="00D94493" w14:paraId="654655EB" w14:textId="77777777" w:rsidTr="00D94493">
        <w:trPr>
          <w:trHeight w:val="255"/>
        </w:trPr>
        <w:tc>
          <w:tcPr>
            <w:tcW w:w="3475" w:type="dxa"/>
            <w:tcBorders>
              <w:top w:val="nil"/>
              <w:left w:val="nil"/>
              <w:bottom w:val="nil"/>
              <w:right w:val="nil"/>
            </w:tcBorders>
            <w:shd w:val="clear" w:color="auto" w:fill="auto"/>
            <w:vAlign w:val="center"/>
            <w:hideMark/>
          </w:tcPr>
          <w:p w14:paraId="117EECFE" w14:textId="77777777" w:rsidR="00D94493" w:rsidRPr="00D94493" w:rsidRDefault="00D94493" w:rsidP="00D94493">
            <w:pPr>
              <w:spacing w:after="0"/>
              <w:rPr>
                <w:rFonts w:ascii="Times New Roman" w:eastAsia="Calibri" w:hAnsi="Times New Roman" w:cs="Times New Roman"/>
                <w:b/>
                <w:bCs/>
                <w:sz w:val="16"/>
                <w:szCs w:val="16"/>
                <w:lang w:eastAsia="sk-SK"/>
              </w:rPr>
            </w:pPr>
            <w:r w:rsidRPr="00D94493">
              <w:rPr>
                <w:rFonts w:ascii="Times New Roman" w:eastAsia="Calibri" w:hAnsi="Times New Roman" w:cs="Times New Roman"/>
                <w:b/>
                <w:bCs/>
                <w:sz w:val="16"/>
                <w:szCs w:val="16"/>
                <w:lang w:eastAsia="sk-SK"/>
              </w:rPr>
              <w:t xml:space="preserve">PREVOD NA VPÚ spolu </w:t>
            </w:r>
          </w:p>
        </w:tc>
        <w:tc>
          <w:tcPr>
            <w:tcW w:w="1052" w:type="dxa"/>
            <w:tcBorders>
              <w:top w:val="nil"/>
              <w:left w:val="nil"/>
              <w:bottom w:val="nil"/>
              <w:right w:val="nil"/>
            </w:tcBorders>
            <w:shd w:val="clear" w:color="auto" w:fill="auto"/>
            <w:vAlign w:val="center"/>
            <w:hideMark/>
          </w:tcPr>
          <w:p w14:paraId="4D56896A"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rPr>
              <w:t>87 190</w:t>
            </w:r>
          </w:p>
        </w:tc>
        <w:tc>
          <w:tcPr>
            <w:tcW w:w="909" w:type="dxa"/>
            <w:tcBorders>
              <w:top w:val="nil"/>
              <w:left w:val="nil"/>
              <w:bottom w:val="nil"/>
              <w:right w:val="nil"/>
            </w:tcBorders>
            <w:shd w:val="clear" w:color="auto" w:fill="auto"/>
            <w:vAlign w:val="center"/>
            <w:hideMark/>
          </w:tcPr>
          <w:p w14:paraId="0BE289BE"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rPr>
              <w:t>87 993</w:t>
            </w:r>
          </w:p>
        </w:tc>
        <w:tc>
          <w:tcPr>
            <w:tcW w:w="909" w:type="dxa"/>
            <w:tcBorders>
              <w:top w:val="nil"/>
              <w:left w:val="nil"/>
              <w:bottom w:val="nil"/>
              <w:right w:val="nil"/>
            </w:tcBorders>
            <w:shd w:val="clear" w:color="auto" w:fill="auto"/>
            <w:vAlign w:val="center"/>
            <w:hideMark/>
          </w:tcPr>
          <w:p w14:paraId="0CCAF686"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rPr>
              <w:t>93 681</w:t>
            </w:r>
          </w:p>
        </w:tc>
        <w:tc>
          <w:tcPr>
            <w:tcW w:w="909" w:type="dxa"/>
            <w:tcBorders>
              <w:top w:val="nil"/>
              <w:left w:val="nil"/>
              <w:bottom w:val="nil"/>
              <w:right w:val="nil"/>
            </w:tcBorders>
            <w:shd w:val="clear" w:color="auto" w:fill="auto"/>
            <w:vAlign w:val="center"/>
            <w:hideMark/>
          </w:tcPr>
          <w:p w14:paraId="61602481"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rPr>
              <w:t>101 816</w:t>
            </w:r>
          </w:p>
        </w:tc>
        <w:tc>
          <w:tcPr>
            <w:tcW w:w="909" w:type="dxa"/>
            <w:tcBorders>
              <w:top w:val="nil"/>
              <w:left w:val="nil"/>
              <w:bottom w:val="nil"/>
              <w:right w:val="nil"/>
            </w:tcBorders>
            <w:shd w:val="clear" w:color="auto" w:fill="auto"/>
            <w:vAlign w:val="center"/>
            <w:hideMark/>
          </w:tcPr>
          <w:p w14:paraId="4065610C"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rPr>
              <w:t>106 230</w:t>
            </w:r>
          </w:p>
        </w:tc>
        <w:tc>
          <w:tcPr>
            <w:tcW w:w="909" w:type="dxa"/>
            <w:tcBorders>
              <w:top w:val="nil"/>
              <w:left w:val="nil"/>
              <w:bottom w:val="nil"/>
              <w:right w:val="nil"/>
            </w:tcBorders>
            <w:shd w:val="clear" w:color="auto" w:fill="auto"/>
            <w:vAlign w:val="center"/>
            <w:hideMark/>
          </w:tcPr>
          <w:p w14:paraId="0C48F0B0" w14:textId="77777777" w:rsidR="00D94493" w:rsidRPr="00D94493" w:rsidRDefault="00D94493" w:rsidP="00D94493">
            <w:pPr>
              <w:spacing w:after="0"/>
              <w:jc w:val="right"/>
              <w:rPr>
                <w:rFonts w:ascii="Times New Roman" w:eastAsia="Calibri" w:hAnsi="Times New Roman" w:cs="Times New Roman"/>
                <w:b/>
                <w:bCs/>
                <w:color w:val="FF0000"/>
                <w:sz w:val="16"/>
                <w:szCs w:val="16"/>
                <w:highlight w:val="yellow"/>
                <w:lang w:eastAsia="sk-SK"/>
              </w:rPr>
            </w:pPr>
            <w:r w:rsidRPr="00D94493">
              <w:rPr>
                <w:rFonts w:ascii="Times New Roman" w:eastAsia="Calibri" w:hAnsi="Times New Roman" w:cs="Times New Roman"/>
                <w:b/>
                <w:bCs/>
                <w:sz w:val="16"/>
                <w:szCs w:val="16"/>
              </w:rPr>
              <w:t>116 500</w:t>
            </w:r>
          </w:p>
        </w:tc>
      </w:tr>
      <w:tr w:rsidR="00D94493" w:rsidRPr="00D94493" w14:paraId="398579B9" w14:textId="77777777" w:rsidTr="00D94493">
        <w:trPr>
          <w:trHeight w:val="255"/>
        </w:trPr>
        <w:tc>
          <w:tcPr>
            <w:tcW w:w="3475" w:type="dxa"/>
            <w:tcBorders>
              <w:top w:val="nil"/>
              <w:left w:val="nil"/>
              <w:bottom w:val="nil"/>
              <w:right w:val="nil"/>
            </w:tcBorders>
            <w:shd w:val="clear" w:color="auto" w:fill="auto"/>
            <w:vAlign w:val="center"/>
            <w:hideMark/>
          </w:tcPr>
          <w:p w14:paraId="565B0B3C" w14:textId="77777777" w:rsidR="00D94493" w:rsidRPr="00D94493" w:rsidRDefault="00D94493" w:rsidP="00D94493">
            <w:pPr>
              <w:spacing w:after="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 xml:space="preserve">     Prevod na VPÚ z DPFO</w:t>
            </w:r>
          </w:p>
        </w:tc>
        <w:tc>
          <w:tcPr>
            <w:tcW w:w="1052" w:type="dxa"/>
            <w:tcBorders>
              <w:top w:val="nil"/>
              <w:left w:val="nil"/>
              <w:bottom w:val="nil"/>
              <w:right w:val="nil"/>
            </w:tcBorders>
            <w:shd w:val="clear" w:color="auto" w:fill="auto"/>
            <w:vAlign w:val="center"/>
            <w:hideMark/>
          </w:tcPr>
          <w:p w14:paraId="7DCAE817"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49 850</w:t>
            </w:r>
          </w:p>
        </w:tc>
        <w:tc>
          <w:tcPr>
            <w:tcW w:w="909" w:type="dxa"/>
            <w:tcBorders>
              <w:top w:val="nil"/>
              <w:left w:val="nil"/>
              <w:bottom w:val="nil"/>
              <w:right w:val="nil"/>
            </w:tcBorders>
            <w:shd w:val="clear" w:color="auto" w:fill="auto"/>
            <w:vAlign w:val="center"/>
            <w:hideMark/>
          </w:tcPr>
          <w:p w14:paraId="6C36BEC0"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42 860</w:t>
            </w:r>
          </w:p>
        </w:tc>
        <w:tc>
          <w:tcPr>
            <w:tcW w:w="909" w:type="dxa"/>
            <w:tcBorders>
              <w:top w:val="nil"/>
              <w:left w:val="nil"/>
              <w:bottom w:val="nil"/>
              <w:right w:val="nil"/>
            </w:tcBorders>
            <w:shd w:val="clear" w:color="auto" w:fill="auto"/>
            <w:vAlign w:val="center"/>
            <w:hideMark/>
          </w:tcPr>
          <w:p w14:paraId="0B40CA75"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47 801</w:t>
            </w:r>
          </w:p>
        </w:tc>
        <w:tc>
          <w:tcPr>
            <w:tcW w:w="909" w:type="dxa"/>
            <w:tcBorders>
              <w:top w:val="nil"/>
              <w:left w:val="nil"/>
              <w:bottom w:val="nil"/>
              <w:right w:val="nil"/>
            </w:tcBorders>
            <w:shd w:val="clear" w:color="auto" w:fill="auto"/>
            <w:vAlign w:val="center"/>
            <w:hideMark/>
          </w:tcPr>
          <w:p w14:paraId="4FA3A3F9"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47 137</w:t>
            </w:r>
          </w:p>
        </w:tc>
        <w:tc>
          <w:tcPr>
            <w:tcW w:w="909" w:type="dxa"/>
            <w:tcBorders>
              <w:top w:val="nil"/>
              <w:left w:val="nil"/>
              <w:bottom w:val="nil"/>
              <w:right w:val="nil"/>
            </w:tcBorders>
            <w:shd w:val="clear" w:color="auto" w:fill="auto"/>
            <w:vAlign w:val="center"/>
            <w:hideMark/>
          </w:tcPr>
          <w:p w14:paraId="53D66D82"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48 446</w:t>
            </w:r>
          </w:p>
        </w:tc>
        <w:tc>
          <w:tcPr>
            <w:tcW w:w="909" w:type="dxa"/>
            <w:tcBorders>
              <w:top w:val="nil"/>
              <w:left w:val="nil"/>
              <w:bottom w:val="nil"/>
              <w:right w:val="nil"/>
            </w:tcBorders>
            <w:shd w:val="clear" w:color="auto" w:fill="auto"/>
            <w:vAlign w:val="center"/>
            <w:hideMark/>
          </w:tcPr>
          <w:p w14:paraId="6433FD33"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56 206</w:t>
            </w:r>
          </w:p>
        </w:tc>
      </w:tr>
      <w:tr w:rsidR="00D94493" w:rsidRPr="00D94493" w14:paraId="56AB2A95" w14:textId="77777777" w:rsidTr="00D94493">
        <w:trPr>
          <w:trHeight w:val="255"/>
        </w:trPr>
        <w:tc>
          <w:tcPr>
            <w:tcW w:w="3475" w:type="dxa"/>
            <w:tcBorders>
              <w:top w:val="nil"/>
              <w:left w:val="nil"/>
              <w:bottom w:val="single" w:sz="4" w:space="0" w:color="auto"/>
              <w:right w:val="nil"/>
            </w:tcBorders>
            <w:shd w:val="clear" w:color="auto" w:fill="auto"/>
            <w:vAlign w:val="center"/>
            <w:hideMark/>
          </w:tcPr>
          <w:p w14:paraId="509B9322" w14:textId="77777777" w:rsidR="00D94493" w:rsidRPr="00D94493" w:rsidRDefault="00D94493" w:rsidP="00D94493">
            <w:pPr>
              <w:spacing w:after="0"/>
              <w:rPr>
                <w:rFonts w:ascii="Times New Roman" w:eastAsia="Calibri" w:hAnsi="Times New Roman" w:cs="Times New Roman"/>
                <w:sz w:val="16"/>
                <w:szCs w:val="16"/>
                <w:lang w:eastAsia="sk-SK"/>
              </w:rPr>
            </w:pPr>
            <w:r w:rsidRPr="00D94493">
              <w:rPr>
                <w:rFonts w:ascii="Times New Roman" w:eastAsia="Calibri" w:hAnsi="Times New Roman" w:cs="Times New Roman"/>
                <w:sz w:val="16"/>
                <w:szCs w:val="16"/>
                <w:lang w:eastAsia="sk-SK"/>
              </w:rPr>
              <w:t xml:space="preserve">     Prevod na VPÚ z DPPO</w:t>
            </w:r>
          </w:p>
        </w:tc>
        <w:tc>
          <w:tcPr>
            <w:tcW w:w="1052" w:type="dxa"/>
            <w:tcBorders>
              <w:top w:val="nil"/>
              <w:left w:val="nil"/>
              <w:bottom w:val="single" w:sz="4" w:space="0" w:color="auto"/>
              <w:right w:val="nil"/>
            </w:tcBorders>
            <w:shd w:val="clear" w:color="auto" w:fill="auto"/>
            <w:vAlign w:val="center"/>
            <w:hideMark/>
          </w:tcPr>
          <w:p w14:paraId="7B6872E3"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37 341</w:t>
            </w:r>
          </w:p>
        </w:tc>
        <w:tc>
          <w:tcPr>
            <w:tcW w:w="909" w:type="dxa"/>
            <w:tcBorders>
              <w:top w:val="nil"/>
              <w:left w:val="nil"/>
              <w:bottom w:val="single" w:sz="4" w:space="0" w:color="auto"/>
              <w:right w:val="nil"/>
            </w:tcBorders>
            <w:shd w:val="clear" w:color="auto" w:fill="auto"/>
            <w:vAlign w:val="center"/>
            <w:hideMark/>
          </w:tcPr>
          <w:p w14:paraId="710C721C"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45 133</w:t>
            </w:r>
          </w:p>
        </w:tc>
        <w:tc>
          <w:tcPr>
            <w:tcW w:w="909" w:type="dxa"/>
            <w:tcBorders>
              <w:top w:val="nil"/>
              <w:left w:val="nil"/>
              <w:bottom w:val="single" w:sz="4" w:space="0" w:color="auto"/>
              <w:right w:val="nil"/>
            </w:tcBorders>
            <w:shd w:val="clear" w:color="auto" w:fill="auto"/>
            <w:vAlign w:val="center"/>
            <w:hideMark/>
          </w:tcPr>
          <w:p w14:paraId="0582A1EC"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45 880</w:t>
            </w:r>
          </w:p>
        </w:tc>
        <w:tc>
          <w:tcPr>
            <w:tcW w:w="909" w:type="dxa"/>
            <w:tcBorders>
              <w:top w:val="nil"/>
              <w:left w:val="nil"/>
              <w:bottom w:val="single" w:sz="4" w:space="0" w:color="auto"/>
              <w:right w:val="nil"/>
            </w:tcBorders>
            <w:shd w:val="clear" w:color="auto" w:fill="auto"/>
            <w:vAlign w:val="center"/>
            <w:hideMark/>
          </w:tcPr>
          <w:p w14:paraId="7F8A970C"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54 679</w:t>
            </w:r>
          </w:p>
        </w:tc>
        <w:tc>
          <w:tcPr>
            <w:tcW w:w="909" w:type="dxa"/>
            <w:tcBorders>
              <w:top w:val="nil"/>
              <w:left w:val="nil"/>
              <w:bottom w:val="single" w:sz="4" w:space="0" w:color="auto"/>
              <w:right w:val="nil"/>
            </w:tcBorders>
            <w:shd w:val="clear" w:color="auto" w:fill="auto"/>
            <w:vAlign w:val="center"/>
            <w:hideMark/>
          </w:tcPr>
          <w:p w14:paraId="02D1B008"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57 784</w:t>
            </w:r>
          </w:p>
        </w:tc>
        <w:tc>
          <w:tcPr>
            <w:tcW w:w="909" w:type="dxa"/>
            <w:tcBorders>
              <w:top w:val="nil"/>
              <w:left w:val="nil"/>
              <w:bottom w:val="single" w:sz="4" w:space="0" w:color="auto"/>
              <w:right w:val="nil"/>
            </w:tcBorders>
            <w:shd w:val="clear" w:color="auto" w:fill="auto"/>
            <w:vAlign w:val="center"/>
            <w:hideMark/>
          </w:tcPr>
          <w:p w14:paraId="415AE25F" w14:textId="77777777" w:rsidR="00D94493" w:rsidRPr="00D94493" w:rsidRDefault="00D94493" w:rsidP="00D94493">
            <w:pPr>
              <w:spacing w:after="0"/>
              <w:jc w:val="right"/>
              <w:rPr>
                <w:rFonts w:ascii="Times New Roman" w:eastAsia="Calibri" w:hAnsi="Times New Roman" w:cs="Times New Roman"/>
                <w:color w:val="FF0000"/>
                <w:sz w:val="16"/>
                <w:szCs w:val="16"/>
                <w:highlight w:val="yellow"/>
                <w:lang w:eastAsia="sk-SK"/>
              </w:rPr>
            </w:pPr>
            <w:r w:rsidRPr="00D94493">
              <w:rPr>
                <w:rFonts w:ascii="Times New Roman" w:eastAsia="Calibri" w:hAnsi="Times New Roman" w:cs="Times New Roman"/>
                <w:sz w:val="16"/>
                <w:szCs w:val="16"/>
              </w:rPr>
              <w:t>60 294</w:t>
            </w:r>
          </w:p>
        </w:tc>
      </w:tr>
    </w:tbl>
    <w:p w14:paraId="7F8D7F53" w14:textId="77777777" w:rsidR="00D94493" w:rsidRPr="00D94493" w:rsidRDefault="00D94493" w:rsidP="00D94493">
      <w:pPr>
        <w:spacing w:after="0"/>
        <w:ind w:left="7787" w:firstLine="1"/>
        <w:jc w:val="both"/>
        <w:rPr>
          <w:rFonts w:ascii="Times New Roman" w:eastAsia="Calibri" w:hAnsi="Times New Roman" w:cs="Times New Roman"/>
          <w:sz w:val="24"/>
        </w:rPr>
      </w:pPr>
      <w:r w:rsidRPr="00D94493">
        <w:rPr>
          <w:rFonts w:ascii="Times New Roman" w:eastAsia="Calibri" w:hAnsi="Times New Roman" w:cs="Times New Roman"/>
          <w:bCs/>
          <w:i/>
          <w:sz w:val="16"/>
        </w:rPr>
        <w:t xml:space="preserve">        Zdroj: MF SR</w:t>
      </w:r>
    </w:p>
    <w:p w14:paraId="725A9440" w14:textId="77777777" w:rsidR="00D94493" w:rsidRPr="00D94493" w:rsidRDefault="00D94493" w:rsidP="00D94493">
      <w:pPr>
        <w:spacing w:after="0"/>
        <w:jc w:val="both"/>
        <w:rPr>
          <w:rFonts w:ascii="Times New Roman" w:eastAsia="Calibri" w:hAnsi="Times New Roman" w:cs="Times New Roman"/>
          <w:sz w:val="24"/>
        </w:rPr>
      </w:pPr>
    </w:p>
    <w:p w14:paraId="17F65A42" w14:textId="77777777" w:rsidR="00D94493" w:rsidRPr="00D94493" w:rsidRDefault="00D94493" w:rsidP="00D94493">
      <w:pPr>
        <w:spacing w:after="0"/>
        <w:jc w:val="both"/>
        <w:rPr>
          <w:rFonts w:ascii="Times New Roman" w:eastAsia="Calibri" w:hAnsi="Times New Roman" w:cs="Times New Roman"/>
          <w:sz w:val="24"/>
        </w:rPr>
      </w:pPr>
      <w:r w:rsidRPr="00D94493">
        <w:rPr>
          <w:rFonts w:ascii="Times New Roman" w:eastAsia="Calibri" w:hAnsi="Times New Roman" w:cs="Times New Roman"/>
          <w:sz w:val="24"/>
        </w:rPr>
        <w:t xml:space="preserve">Nezanedbateľným faktorom vplývajúcim na </w:t>
      </w:r>
      <w:proofErr w:type="spellStart"/>
      <w:r w:rsidRPr="00D94493">
        <w:rPr>
          <w:rFonts w:ascii="Times New Roman" w:eastAsia="Calibri" w:hAnsi="Times New Roman" w:cs="Times New Roman"/>
          <w:sz w:val="24"/>
        </w:rPr>
        <w:t>akrualizáciu</w:t>
      </w:r>
      <w:proofErr w:type="spellEnd"/>
      <w:r w:rsidRPr="00D94493">
        <w:rPr>
          <w:rFonts w:ascii="Times New Roman" w:eastAsia="Calibri" w:hAnsi="Times New Roman" w:cs="Times New Roman"/>
          <w:sz w:val="24"/>
        </w:rPr>
        <w:t xml:space="preserve"> je aj samotný spôsob výberu daní. Väčšina daňových príjmov sa platí až po ukončení obdobia, napr. daň z príjmov fyzických osôb a odvody sa platia až v nasledujúcom mesiaci. Daňové priznanie pri DPH a spotrebných daniach sa podáva a daň platí až v nasledujúcom mesiaci alebo kvartáli. V prípade DPPO a DPFO z podnikania je rozdiel medzi akruálnym a hotovostným plnením ešte výraznejší. Daňové priznania sa podávajú až po skončení hospodárskeho roku, čiže dochádza až k ročnému posunu medzi hotovostným a akruálnym výnosom. </w:t>
      </w:r>
    </w:p>
    <w:p w14:paraId="60F144F4" w14:textId="77777777" w:rsidR="00B057D9" w:rsidRPr="00B057D9" w:rsidRDefault="00B057D9" w:rsidP="00B057D9">
      <w:pPr>
        <w:spacing w:after="0"/>
        <w:jc w:val="both"/>
        <w:rPr>
          <w:rFonts w:ascii="Times New Roman" w:eastAsia="Calibri" w:hAnsi="Times New Roman" w:cs="Times New Roman"/>
          <w:sz w:val="24"/>
        </w:rPr>
      </w:pPr>
    </w:p>
    <w:p w14:paraId="22EF4093" w14:textId="77777777" w:rsidR="00B057D9" w:rsidRPr="00B057D9" w:rsidRDefault="00B057D9" w:rsidP="00B057D9">
      <w:pPr>
        <w:rPr>
          <w:rFonts w:ascii="Calibri" w:eastAsia="Calibri" w:hAnsi="Calibri" w:cs="Times New Roman"/>
        </w:rPr>
      </w:pPr>
    </w:p>
    <w:p w14:paraId="4F8D0B83" w14:textId="77777777" w:rsidR="00B057D9" w:rsidRDefault="00B057D9" w:rsidP="001076A7">
      <w:pPr>
        <w:spacing w:after="0"/>
        <w:jc w:val="both"/>
        <w:rPr>
          <w:rFonts w:ascii="Times New Roman" w:hAnsi="Times New Roman" w:cs="Times New Roman"/>
          <w:sz w:val="24"/>
        </w:rPr>
      </w:pPr>
    </w:p>
    <w:p w14:paraId="70FF7EB2" w14:textId="77777777" w:rsidR="00A92ED9" w:rsidRDefault="00A92ED9" w:rsidP="001076A7">
      <w:pPr>
        <w:spacing w:after="0"/>
        <w:jc w:val="both"/>
        <w:rPr>
          <w:rFonts w:ascii="Times New Roman" w:hAnsi="Times New Roman" w:cs="Times New Roman"/>
          <w:sz w:val="24"/>
        </w:rPr>
      </w:pPr>
    </w:p>
    <w:p w14:paraId="14AC7844" w14:textId="77777777" w:rsidR="00E17FA8" w:rsidRDefault="00E17FA8" w:rsidP="001076A7">
      <w:pPr>
        <w:spacing w:after="0"/>
        <w:jc w:val="both"/>
        <w:rPr>
          <w:rFonts w:ascii="Times New Roman" w:hAnsi="Times New Roman" w:cs="Times New Roman"/>
          <w:sz w:val="24"/>
        </w:rPr>
      </w:pPr>
    </w:p>
    <w:p w14:paraId="378E7716" w14:textId="77777777" w:rsidR="007020FE" w:rsidRPr="00BE7609" w:rsidRDefault="00084ECE" w:rsidP="00577D3F">
      <w:pPr>
        <w:pStyle w:val="Nadpis2"/>
        <w:spacing w:before="0" w:after="0"/>
        <w:rPr>
          <w:rFonts w:ascii="Times New Roman" w:hAnsi="Times New Roman"/>
          <w:i w:val="0"/>
          <w:color w:val="5B9BD5" w:themeColor="accent1"/>
          <w:sz w:val="24"/>
          <w:szCs w:val="24"/>
          <w:lang w:eastAsia="sk-SK"/>
        </w:rPr>
      </w:pPr>
      <w:bookmarkStart w:id="104" w:name="_Toc52972871"/>
      <w:bookmarkStart w:id="105" w:name="_Toc463861241"/>
      <w:bookmarkStart w:id="106" w:name="_Toc463861697"/>
      <w:bookmarkStart w:id="107" w:name="_Toc495423356"/>
      <w:bookmarkStart w:id="108" w:name="_Toc152946769"/>
      <w:r w:rsidRPr="00EE27CE">
        <w:rPr>
          <w:rFonts w:ascii="Times New Roman" w:hAnsi="Times New Roman"/>
          <w:i w:val="0"/>
          <w:color w:val="5B9BD5" w:themeColor="accent1"/>
          <w:sz w:val="24"/>
          <w:szCs w:val="24"/>
          <w:lang w:eastAsia="sk-SK"/>
        </w:rPr>
        <w:lastRenderedPageBreak/>
        <w:t>3.</w:t>
      </w:r>
      <w:r>
        <w:rPr>
          <w:rFonts w:ascii="Times New Roman" w:hAnsi="Times New Roman"/>
          <w:i w:val="0"/>
          <w:color w:val="5B9BD5" w:themeColor="accent1"/>
          <w:sz w:val="24"/>
          <w:szCs w:val="24"/>
          <w:lang w:eastAsia="sk-SK"/>
        </w:rPr>
        <w:t>2</w:t>
      </w:r>
      <w:r w:rsidRPr="00EE27CE">
        <w:rPr>
          <w:rFonts w:ascii="Times New Roman" w:hAnsi="Times New Roman"/>
          <w:i w:val="0"/>
          <w:color w:val="5B9BD5" w:themeColor="accent1"/>
          <w:sz w:val="24"/>
          <w:szCs w:val="24"/>
          <w:lang w:eastAsia="sk-SK"/>
        </w:rPr>
        <w:t>. Iné ako daňové príjmy</w:t>
      </w:r>
      <w:bookmarkEnd w:id="104"/>
      <w:r w:rsidRPr="00EE27CE">
        <w:rPr>
          <w:rFonts w:ascii="Times New Roman" w:hAnsi="Times New Roman"/>
          <w:i w:val="0"/>
          <w:color w:val="5B9BD5" w:themeColor="accent1"/>
          <w:sz w:val="24"/>
          <w:szCs w:val="24"/>
          <w:lang w:eastAsia="sk-SK"/>
        </w:rPr>
        <w:t xml:space="preserve"> </w:t>
      </w:r>
      <w:r w:rsidR="007C2BDC">
        <w:rPr>
          <w:rFonts w:ascii="Times New Roman" w:hAnsi="Times New Roman"/>
          <w:i w:val="0"/>
          <w:color w:val="5B9BD5" w:themeColor="accent1"/>
          <w:sz w:val="24"/>
          <w:szCs w:val="24"/>
          <w:lang w:eastAsia="sk-SK"/>
        </w:rPr>
        <w:t>verejnej správy</w:t>
      </w:r>
      <w:bookmarkStart w:id="109" w:name="_Toc52972873"/>
      <w:bookmarkEnd w:id="105"/>
      <w:bookmarkEnd w:id="106"/>
      <w:bookmarkEnd w:id="107"/>
      <w:bookmarkEnd w:id="108"/>
      <w:r w:rsidR="007771EE" w:rsidRPr="00446DDA">
        <w:rPr>
          <w:rFonts w:ascii="Times New Roman" w:eastAsia="Calibri" w:hAnsi="Times New Roman"/>
          <w:sz w:val="16"/>
          <w:szCs w:val="16"/>
        </w:rPr>
        <w:tab/>
      </w:r>
      <w:r w:rsidR="007771EE" w:rsidRPr="00446DDA">
        <w:rPr>
          <w:rFonts w:ascii="Times New Roman" w:eastAsia="Calibri" w:hAnsi="Times New Roman"/>
          <w:sz w:val="16"/>
          <w:szCs w:val="16"/>
        </w:rPr>
        <w:tab/>
      </w:r>
      <w:r w:rsidR="007771EE" w:rsidRPr="00446DDA">
        <w:rPr>
          <w:rFonts w:ascii="Times New Roman" w:eastAsia="Calibri" w:hAnsi="Times New Roman"/>
          <w:sz w:val="16"/>
          <w:szCs w:val="16"/>
        </w:rPr>
        <w:tab/>
        <w:t xml:space="preserve">     </w:t>
      </w:r>
    </w:p>
    <w:p w14:paraId="6F7B4B2D" w14:textId="77777777" w:rsidR="00BE7609" w:rsidRDefault="00BE7609" w:rsidP="00AC031F">
      <w:pPr>
        <w:spacing w:after="0"/>
        <w:rPr>
          <w:rFonts w:ascii="Times New Roman" w:eastAsia="Times New Roman" w:hAnsi="Times New Roman" w:cs="Times New Roman"/>
          <w:b/>
          <w:bCs/>
          <w:color w:val="5B9BD5" w:themeColor="accent1"/>
          <w:sz w:val="24"/>
          <w:szCs w:val="24"/>
        </w:rPr>
      </w:pPr>
    </w:p>
    <w:p w14:paraId="67FFE26C" w14:textId="77777777" w:rsidR="00AC031F" w:rsidRDefault="00AC031F" w:rsidP="00AC031F">
      <w:pPr>
        <w:spacing w:after="0"/>
        <w:rPr>
          <w:rFonts w:ascii="Times New Roman" w:hAnsi="Times New Roman"/>
          <w:b/>
          <w:color w:val="5B9BD5" w:themeColor="accent1"/>
          <w:sz w:val="24"/>
          <w:szCs w:val="24"/>
          <w:lang w:eastAsia="sk-SK"/>
        </w:rPr>
      </w:pPr>
      <w:r w:rsidRPr="00084ECE">
        <w:rPr>
          <w:rFonts w:ascii="Times New Roman" w:eastAsia="Times New Roman" w:hAnsi="Times New Roman" w:cs="Times New Roman"/>
          <w:b/>
          <w:bCs/>
          <w:color w:val="5B9BD5" w:themeColor="accent1"/>
          <w:sz w:val="24"/>
          <w:szCs w:val="24"/>
        </w:rPr>
        <w:t>3.</w:t>
      </w:r>
      <w:r>
        <w:rPr>
          <w:rFonts w:ascii="Times New Roman" w:eastAsia="Times New Roman" w:hAnsi="Times New Roman" w:cs="Times New Roman"/>
          <w:b/>
          <w:bCs/>
          <w:color w:val="5B9BD5" w:themeColor="accent1"/>
          <w:sz w:val="24"/>
          <w:szCs w:val="24"/>
        </w:rPr>
        <w:t>2</w:t>
      </w:r>
      <w:r w:rsidRPr="00084ECE">
        <w:rPr>
          <w:rFonts w:ascii="Times New Roman" w:eastAsia="Times New Roman" w:hAnsi="Times New Roman" w:cs="Times New Roman"/>
          <w:b/>
          <w:bCs/>
          <w:color w:val="5B9BD5" w:themeColor="accent1"/>
          <w:sz w:val="24"/>
          <w:szCs w:val="24"/>
        </w:rPr>
        <w:t xml:space="preserve">.1. </w:t>
      </w:r>
      <w:bookmarkEnd w:id="109"/>
      <w:r w:rsidR="007C2BDC" w:rsidRPr="007C2BDC">
        <w:rPr>
          <w:rFonts w:ascii="Times New Roman" w:hAnsi="Times New Roman"/>
          <w:b/>
          <w:color w:val="5B9BD5" w:themeColor="accent1"/>
          <w:sz w:val="24"/>
          <w:szCs w:val="24"/>
          <w:lang w:eastAsia="sk-SK"/>
        </w:rPr>
        <w:t>Prognózovanie vybraných nedaňových príjmov verejnej správy</w:t>
      </w:r>
    </w:p>
    <w:p w14:paraId="5E9E4AC9" w14:textId="77777777" w:rsidR="00166B4C" w:rsidRDefault="00166B4C" w:rsidP="00AC031F">
      <w:pPr>
        <w:spacing w:after="0"/>
        <w:rPr>
          <w:rFonts w:ascii="Times New Roman" w:eastAsia="Times New Roman" w:hAnsi="Times New Roman" w:cs="Times New Roman"/>
          <w:b/>
          <w:bCs/>
          <w:color w:val="5B9BD5" w:themeColor="accent1"/>
          <w:sz w:val="24"/>
          <w:szCs w:val="24"/>
        </w:rPr>
      </w:pPr>
    </w:p>
    <w:p w14:paraId="563FBEB7" w14:textId="77777777" w:rsidR="00BD3539" w:rsidRPr="009869D3" w:rsidRDefault="00BD3539" w:rsidP="00BD3539">
      <w:pPr>
        <w:spacing w:after="0"/>
        <w:jc w:val="both"/>
        <w:rPr>
          <w:rFonts w:ascii="Times New Roman" w:eastAsia="Calibri" w:hAnsi="Times New Roman" w:cs="Times New Roman"/>
          <w:sz w:val="24"/>
          <w:szCs w:val="24"/>
        </w:rPr>
      </w:pPr>
      <w:r w:rsidRPr="00B546DA">
        <w:rPr>
          <w:rFonts w:ascii="Times New Roman" w:eastAsia="Calibri" w:hAnsi="Times New Roman" w:cs="Times New Roman"/>
          <w:sz w:val="24"/>
          <w:szCs w:val="24"/>
        </w:rPr>
        <w:t>Podobne ako príjmy z daní a odvodov, aj vybrané nedaňové príjmy sú transparentne konzultované a schvaľované Výborom pre daňové prognózy (viď. kapitola 3.1. Rozpočtovanie daňových a odvodových príjmov verejnej správy). Pre návrh rozpočtu verejnej správy na roky 202</w:t>
      </w:r>
      <w:r>
        <w:rPr>
          <w:rFonts w:ascii="Times New Roman" w:eastAsia="Calibri" w:hAnsi="Times New Roman" w:cs="Times New Roman"/>
          <w:sz w:val="24"/>
          <w:szCs w:val="24"/>
        </w:rPr>
        <w:t>4 až 2026</w:t>
      </w:r>
      <w:r w:rsidRPr="00B546DA">
        <w:rPr>
          <w:rFonts w:ascii="Times New Roman" w:eastAsia="Calibri" w:hAnsi="Times New Roman" w:cs="Times New Roman"/>
          <w:sz w:val="24"/>
          <w:szCs w:val="24"/>
        </w:rPr>
        <w:t xml:space="preserve"> boli Výborom pre daňové prognózy schválené príjmy z dividend, príjmy z odvodu z hazardných hier, príjmy z emisných kvót a administratívne poplatky Národnej diaľničnej spoločnosti (NDS). Prognózované vybrané nedaňové príjmy na akruálnej báze v metodike ESA 2010 prezentuje nasledujúca tabuľka.</w:t>
      </w:r>
      <w:r>
        <w:rPr>
          <w:rFonts w:ascii="Times New Roman" w:eastAsia="Calibri" w:hAnsi="Times New Roman" w:cs="Times New Roman"/>
          <w:sz w:val="24"/>
          <w:szCs w:val="24"/>
        </w:rPr>
        <w:t xml:space="preserve"> </w:t>
      </w:r>
    </w:p>
    <w:p w14:paraId="668449B2" w14:textId="77777777" w:rsidR="00BD3539" w:rsidRDefault="00BD3539" w:rsidP="00BD3539">
      <w:pPr>
        <w:pBdr>
          <w:top w:val="nil"/>
          <w:left w:val="nil"/>
          <w:bottom w:val="nil"/>
          <w:right w:val="nil"/>
          <w:between w:val="nil"/>
          <w:bar w:val="nil"/>
        </w:pBdr>
        <w:spacing w:after="0" w:line="240" w:lineRule="auto"/>
        <w:jc w:val="both"/>
        <w:rPr>
          <w:rFonts w:ascii="Times New Roman" w:eastAsia="Arial Narrow" w:hAnsi="Times New Roman" w:cs="Times New Roman"/>
          <w:b/>
          <w:bCs/>
          <w:noProof/>
          <w:color w:val="5B9BD5" w:themeColor="accent1"/>
          <w:sz w:val="20"/>
          <w:szCs w:val="24"/>
          <w:bdr w:val="nil"/>
          <w:lang w:eastAsia="sk-SK"/>
        </w:rPr>
      </w:pPr>
    </w:p>
    <w:p w14:paraId="7C0C1BFC" w14:textId="58EB1D29" w:rsidR="00BD3539" w:rsidRPr="00084ECE" w:rsidRDefault="00BD3539" w:rsidP="00BD3539">
      <w:pPr>
        <w:pBdr>
          <w:top w:val="nil"/>
          <w:left w:val="nil"/>
          <w:bottom w:val="nil"/>
          <w:right w:val="nil"/>
          <w:between w:val="nil"/>
          <w:bar w:val="nil"/>
        </w:pBdr>
        <w:spacing w:after="0" w:line="240" w:lineRule="auto"/>
        <w:jc w:val="both"/>
        <w:rPr>
          <w:rFonts w:ascii="Times New Roman" w:eastAsia="Arial Narrow" w:hAnsi="Times New Roman" w:cs="Times New Roman"/>
          <w:b/>
          <w:bCs/>
          <w:noProof/>
          <w:color w:val="5B9BD5" w:themeColor="accent1"/>
          <w:sz w:val="20"/>
          <w:szCs w:val="24"/>
          <w:bdr w:val="nil"/>
          <w:lang w:eastAsia="sk-SK"/>
        </w:rPr>
      </w:pPr>
      <w:bookmarkStart w:id="110" w:name="_Toc153013028"/>
      <w:r w:rsidRPr="00084ECE">
        <w:rPr>
          <w:rFonts w:ascii="Times New Roman" w:eastAsia="Arial Narrow" w:hAnsi="Times New Roman" w:cs="Times New Roman"/>
          <w:b/>
          <w:bCs/>
          <w:noProof/>
          <w:color w:val="5B9BD5" w:themeColor="accent1"/>
          <w:sz w:val="20"/>
          <w:szCs w:val="24"/>
          <w:bdr w:val="nil"/>
          <w:lang w:eastAsia="sk-SK"/>
        </w:rPr>
        <w:t xml:space="preserve">Tabuľka </w:t>
      </w:r>
      <w:r>
        <w:rPr>
          <w:rFonts w:ascii="Times New Roman" w:eastAsia="Arial Narrow" w:hAnsi="Times New Roman" w:cs="Times New Roman"/>
          <w:b/>
          <w:bCs/>
          <w:noProof/>
          <w:color w:val="5B9BD5" w:themeColor="accent1"/>
          <w:sz w:val="20"/>
          <w:szCs w:val="24"/>
          <w:bdr w:val="nil"/>
          <w:lang w:eastAsia="sk-SK"/>
        </w:rPr>
        <w:fldChar w:fldCharType="begin"/>
      </w:r>
      <w:r>
        <w:rPr>
          <w:rFonts w:ascii="Times New Roman" w:eastAsia="Arial Narrow" w:hAnsi="Times New Roman" w:cs="Times New Roman"/>
          <w:b/>
          <w:bCs/>
          <w:noProof/>
          <w:color w:val="5B9BD5" w:themeColor="accent1"/>
          <w:sz w:val="20"/>
          <w:szCs w:val="24"/>
          <w:bdr w:val="nil"/>
          <w:lang w:eastAsia="sk-SK"/>
        </w:rPr>
        <w:instrText xml:space="preserve"> SEQ Tabuľka \* ARABIC </w:instrText>
      </w:r>
      <w:r>
        <w:rPr>
          <w:rFonts w:ascii="Times New Roman" w:eastAsia="Arial Narrow" w:hAnsi="Times New Roman" w:cs="Times New Roman"/>
          <w:b/>
          <w:bCs/>
          <w:noProof/>
          <w:color w:val="5B9BD5" w:themeColor="accent1"/>
          <w:sz w:val="20"/>
          <w:szCs w:val="24"/>
          <w:bdr w:val="nil"/>
          <w:lang w:eastAsia="sk-SK"/>
        </w:rPr>
        <w:fldChar w:fldCharType="separate"/>
      </w:r>
      <w:r w:rsidR="003D5A3A">
        <w:rPr>
          <w:rFonts w:ascii="Times New Roman" w:eastAsia="Arial Narrow" w:hAnsi="Times New Roman" w:cs="Times New Roman"/>
          <w:b/>
          <w:bCs/>
          <w:noProof/>
          <w:color w:val="5B9BD5" w:themeColor="accent1"/>
          <w:sz w:val="20"/>
          <w:szCs w:val="24"/>
          <w:bdr w:val="nil"/>
          <w:lang w:eastAsia="sk-SK"/>
        </w:rPr>
        <w:t>30</w:t>
      </w:r>
      <w:r>
        <w:rPr>
          <w:rFonts w:ascii="Times New Roman" w:eastAsia="Arial Narrow" w:hAnsi="Times New Roman" w:cs="Times New Roman"/>
          <w:b/>
          <w:bCs/>
          <w:noProof/>
          <w:color w:val="5B9BD5" w:themeColor="accent1"/>
          <w:sz w:val="20"/>
          <w:szCs w:val="24"/>
          <w:bdr w:val="nil"/>
          <w:lang w:eastAsia="sk-SK"/>
        </w:rPr>
        <w:fldChar w:fldCharType="end"/>
      </w:r>
      <w:r w:rsidRPr="00084ECE">
        <w:rPr>
          <w:rFonts w:ascii="Times New Roman" w:eastAsia="Arial Narrow" w:hAnsi="Times New Roman" w:cs="Times New Roman"/>
          <w:b/>
          <w:bCs/>
          <w:noProof/>
          <w:color w:val="5B9BD5" w:themeColor="accent1"/>
          <w:sz w:val="20"/>
          <w:szCs w:val="24"/>
          <w:bdr w:val="nil"/>
          <w:lang w:eastAsia="sk-SK"/>
        </w:rPr>
        <w:t xml:space="preserve"> </w:t>
      </w:r>
      <w:r>
        <w:rPr>
          <w:rFonts w:ascii="Times New Roman" w:eastAsia="Arial Narrow" w:hAnsi="Times New Roman" w:cs="Times New Roman"/>
          <w:b/>
          <w:bCs/>
          <w:noProof/>
          <w:color w:val="5B9BD5" w:themeColor="accent1"/>
          <w:sz w:val="20"/>
          <w:szCs w:val="24"/>
          <w:bdr w:val="nil"/>
          <w:lang w:eastAsia="sk-SK"/>
        </w:rPr>
        <w:t>–</w:t>
      </w:r>
      <w:r w:rsidRPr="00084ECE">
        <w:rPr>
          <w:rFonts w:ascii="Times New Roman" w:eastAsia="Arial Narrow" w:hAnsi="Times New Roman" w:cs="Times New Roman"/>
          <w:b/>
          <w:bCs/>
          <w:noProof/>
          <w:color w:val="5B9BD5" w:themeColor="accent1"/>
          <w:sz w:val="20"/>
          <w:szCs w:val="24"/>
          <w:bdr w:val="nil"/>
          <w:lang w:eastAsia="sk-SK"/>
        </w:rPr>
        <w:t xml:space="preserve"> </w:t>
      </w:r>
      <w:r>
        <w:rPr>
          <w:rFonts w:ascii="Times New Roman" w:eastAsia="Arial Narrow" w:hAnsi="Times New Roman" w:cs="Times New Roman"/>
          <w:b/>
          <w:bCs/>
          <w:noProof/>
          <w:color w:val="5B9BD5" w:themeColor="accent1"/>
          <w:sz w:val="20"/>
          <w:szCs w:val="24"/>
          <w:bdr w:val="nil"/>
          <w:lang w:eastAsia="sk-SK"/>
        </w:rPr>
        <w:t xml:space="preserve">Prognóza vybraných nedaňových </w:t>
      </w:r>
      <w:r w:rsidRPr="00084ECE">
        <w:rPr>
          <w:rFonts w:ascii="Times New Roman" w:eastAsia="Arial Narrow" w:hAnsi="Times New Roman" w:cs="Times New Roman"/>
          <w:b/>
          <w:bCs/>
          <w:noProof/>
          <w:color w:val="5B9BD5" w:themeColor="accent1"/>
          <w:sz w:val="20"/>
          <w:szCs w:val="24"/>
          <w:bdr w:val="nil"/>
          <w:lang w:eastAsia="sk-SK"/>
        </w:rPr>
        <w:t>príjm</w:t>
      </w:r>
      <w:r>
        <w:rPr>
          <w:rFonts w:ascii="Times New Roman" w:eastAsia="Arial Narrow" w:hAnsi="Times New Roman" w:cs="Times New Roman"/>
          <w:b/>
          <w:bCs/>
          <w:noProof/>
          <w:color w:val="5B9BD5" w:themeColor="accent1"/>
          <w:sz w:val="20"/>
          <w:szCs w:val="24"/>
          <w:bdr w:val="nil"/>
          <w:lang w:eastAsia="sk-SK"/>
        </w:rPr>
        <w:t xml:space="preserve">ov </w:t>
      </w:r>
      <w:r w:rsidRPr="00084ECE">
        <w:rPr>
          <w:rFonts w:ascii="Times New Roman" w:eastAsia="Arial Narrow" w:hAnsi="Times New Roman" w:cs="Times New Roman"/>
          <w:b/>
          <w:bCs/>
          <w:noProof/>
          <w:color w:val="5B9BD5" w:themeColor="accent1"/>
          <w:sz w:val="20"/>
          <w:szCs w:val="24"/>
          <w:bdr w:val="nil"/>
          <w:lang w:eastAsia="sk-SK"/>
        </w:rPr>
        <w:t>verejnej správy</w:t>
      </w:r>
      <w:bookmarkEnd w:id="110"/>
    </w:p>
    <w:tbl>
      <w:tblPr>
        <w:tblW w:w="5000" w:type="pct"/>
        <w:tblInd w:w="-5" w:type="dxa"/>
        <w:tblLayout w:type="fixed"/>
        <w:tblCellMar>
          <w:left w:w="70" w:type="dxa"/>
          <w:right w:w="70" w:type="dxa"/>
        </w:tblCellMar>
        <w:tblLook w:val="04A0" w:firstRow="1" w:lastRow="0" w:firstColumn="1" w:lastColumn="0" w:noHBand="0" w:noVBand="1"/>
      </w:tblPr>
      <w:tblGrid>
        <w:gridCol w:w="3383"/>
        <w:gridCol w:w="776"/>
        <w:gridCol w:w="775"/>
        <w:gridCol w:w="827"/>
        <w:gridCol w:w="827"/>
        <w:gridCol w:w="828"/>
        <w:gridCol w:w="828"/>
        <w:gridCol w:w="828"/>
      </w:tblGrid>
      <w:tr w:rsidR="00BD3539" w:rsidRPr="009869D3" w14:paraId="699DA029" w14:textId="77777777" w:rsidTr="006E5A9E">
        <w:trPr>
          <w:trHeight w:val="289"/>
        </w:trPr>
        <w:tc>
          <w:tcPr>
            <w:tcW w:w="3383" w:type="dxa"/>
            <w:tcBorders>
              <w:top w:val="single" w:sz="4" w:space="0" w:color="auto"/>
              <w:bottom w:val="single" w:sz="4" w:space="0" w:color="auto"/>
            </w:tcBorders>
            <w:shd w:val="clear" w:color="auto" w:fill="auto"/>
            <w:vAlign w:val="center"/>
            <w:hideMark/>
          </w:tcPr>
          <w:p w14:paraId="779A8915" w14:textId="77777777" w:rsidR="00BD3539" w:rsidRPr="00710130" w:rsidRDefault="00BD3539" w:rsidP="006E5A9E">
            <w:pPr>
              <w:spacing w:after="0" w:line="240" w:lineRule="auto"/>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 xml:space="preserve"> </w:t>
            </w:r>
            <w:r w:rsidRPr="00710130">
              <w:rPr>
                <w:rFonts w:ascii="Times New Roman" w:eastAsia="Times New Roman" w:hAnsi="Times New Roman" w:cs="Times New Roman"/>
                <w:b/>
                <w:bCs/>
                <w:color w:val="000000"/>
                <w:sz w:val="16"/>
                <w:szCs w:val="16"/>
                <w:lang w:eastAsia="sk-SK"/>
              </w:rPr>
              <w:t>v metodike ESA</w:t>
            </w:r>
            <w:r>
              <w:rPr>
                <w:rFonts w:ascii="Times New Roman" w:eastAsia="Times New Roman" w:hAnsi="Times New Roman" w:cs="Times New Roman"/>
                <w:b/>
                <w:bCs/>
                <w:color w:val="000000"/>
                <w:sz w:val="16"/>
                <w:szCs w:val="16"/>
                <w:lang w:eastAsia="sk-SK"/>
              </w:rPr>
              <w:t xml:space="preserve"> 2010, v tis. eur</w:t>
            </w:r>
          </w:p>
        </w:tc>
        <w:tc>
          <w:tcPr>
            <w:tcW w:w="776" w:type="dxa"/>
            <w:tcBorders>
              <w:top w:val="single" w:sz="4" w:space="0" w:color="auto"/>
              <w:bottom w:val="single" w:sz="4" w:space="0" w:color="auto"/>
            </w:tcBorders>
            <w:shd w:val="clear" w:color="auto" w:fill="auto"/>
            <w:noWrap/>
            <w:vAlign w:val="center"/>
            <w:hideMark/>
          </w:tcPr>
          <w:p w14:paraId="7E89D240" w14:textId="77777777" w:rsidR="00BD3539" w:rsidRPr="00AD5490" w:rsidRDefault="00BD3539" w:rsidP="006E5A9E">
            <w:pPr>
              <w:spacing w:after="0" w:line="240" w:lineRule="auto"/>
              <w:jc w:val="right"/>
              <w:rPr>
                <w:rFonts w:ascii="Times New Roman" w:eastAsia="Times New Roman" w:hAnsi="Times New Roman" w:cs="Times New Roman"/>
                <w:b/>
                <w:bCs/>
                <w:color w:val="000000"/>
                <w:sz w:val="16"/>
                <w:szCs w:val="16"/>
                <w:lang w:eastAsia="sk-SK"/>
              </w:rPr>
            </w:pPr>
            <w:r w:rsidRPr="00AD5490">
              <w:rPr>
                <w:rFonts w:ascii="Times New Roman" w:eastAsia="Times New Roman" w:hAnsi="Times New Roman" w:cs="Times New Roman"/>
                <w:b/>
                <w:bCs/>
                <w:color w:val="000000"/>
                <w:sz w:val="16"/>
                <w:szCs w:val="16"/>
                <w:lang w:eastAsia="sk-SK"/>
              </w:rPr>
              <w:t>2021 S</w:t>
            </w:r>
          </w:p>
        </w:tc>
        <w:tc>
          <w:tcPr>
            <w:tcW w:w="775" w:type="dxa"/>
            <w:tcBorders>
              <w:top w:val="single" w:sz="4" w:space="0" w:color="auto"/>
              <w:bottom w:val="single" w:sz="4" w:space="0" w:color="auto"/>
            </w:tcBorders>
            <w:shd w:val="clear" w:color="auto" w:fill="auto"/>
            <w:noWrap/>
            <w:vAlign w:val="center"/>
            <w:hideMark/>
          </w:tcPr>
          <w:p w14:paraId="0853E98C" w14:textId="77777777" w:rsidR="00BD3539" w:rsidRPr="00AD5490" w:rsidRDefault="00BD3539" w:rsidP="006E5A9E">
            <w:pPr>
              <w:spacing w:after="0" w:line="240" w:lineRule="auto"/>
              <w:jc w:val="right"/>
              <w:rPr>
                <w:rFonts w:ascii="Times New Roman" w:eastAsia="Times New Roman" w:hAnsi="Times New Roman" w:cs="Times New Roman"/>
                <w:b/>
                <w:bCs/>
                <w:color w:val="000000"/>
                <w:sz w:val="16"/>
                <w:szCs w:val="16"/>
                <w:lang w:eastAsia="sk-SK"/>
              </w:rPr>
            </w:pPr>
            <w:r w:rsidRPr="00AD5490">
              <w:rPr>
                <w:rFonts w:ascii="Times New Roman" w:eastAsia="Times New Roman" w:hAnsi="Times New Roman" w:cs="Times New Roman"/>
                <w:b/>
                <w:bCs/>
                <w:color w:val="000000"/>
                <w:sz w:val="16"/>
                <w:szCs w:val="16"/>
                <w:lang w:eastAsia="sk-SK"/>
              </w:rPr>
              <w:t>2022 S</w:t>
            </w:r>
          </w:p>
        </w:tc>
        <w:tc>
          <w:tcPr>
            <w:tcW w:w="827" w:type="dxa"/>
            <w:tcBorders>
              <w:top w:val="single" w:sz="4" w:space="0" w:color="auto"/>
              <w:bottom w:val="single" w:sz="4" w:space="0" w:color="auto"/>
            </w:tcBorders>
            <w:vAlign w:val="center"/>
          </w:tcPr>
          <w:p w14:paraId="163362EC" w14:textId="77777777" w:rsidR="00BD3539" w:rsidRPr="00AD5490" w:rsidRDefault="00BD3539" w:rsidP="006E5A9E">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2023 R</w:t>
            </w:r>
          </w:p>
        </w:tc>
        <w:tc>
          <w:tcPr>
            <w:tcW w:w="827" w:type="dxa"/>
            <w:tcBorders>
              <w:top w:val="single" w:sz="4" w:space="0" w:color="auto"/>
              <w:bottom w:val="single" w:sz="4" w:space="0" w:color="auto"/>
            </w:tcBorders>
            <w:vAlign w:val="center"/>
          </w:tcPr>
          <w:p w14:paraId="4C66C104" w14:textId="77777777" w:rsidR="00BD3539" w:rsidRPr="00AD5490" w:rsidRDefault="00BD3539" w:rsidP="006E5A9E">
            <w:pPr>
              <w:spacing w:after="0" w:line="240" w:lineRule="auto"/>
              <w:jc w:val="right"/>
              <w:rPr>
                <w:rFonts w:ascii="Times New Roman" w:eastAsia="Times New Roman" w:hAnsi="Times New Roman" w:cs="Times New Roman"/>
                <w:b/>
                <w:bCs/>
                <w:color w:val="000000"/>
                <w:sz w:val="16"/>
                <w:szCs w:val="16"/>
                <w:lang w:eastAsia="sk-SK"/>
              </w:rPr>
            </w:pPr>
            <w:r w:rsidRPr="00AD5490">
              <w:rPr>
                <w:rFonts w:ascii="Times New Roman" w:eastAsia="Times New Roman" w:hAnsi="Times New Roman" w:cs="Times New Roman"/>
                <w:b/>
                <w:bCs/>
                <w:color w:val="000000"/>
                <w:sz w:val="16"/>
                <w:szCs w:val="16"/>
                <w:lang w:eastAsia="sk-SK"/>
              </w:rPr>
              <w:t>2023</w:t>
            </w:r>
            <w:r>
              <w:rPr>
                <w:rFonts w:ascii="Times New Roman" w:eastAsia="Times New Roman" w:hAnsi="Times New Roman" w:cs="Times New Roman"/>
                <w:b/>
                <w:bCs/>
                <w:color w:val="000000"/>
                <w:sz w:val="16"/>
                <w:szCs w:val="16"/>
                <w:lang w:eastAsia="sk-SK"/>
              </w:rPr>
              <w:t xml:space="preserve"> OS</w:t>
            </w:r>
          </w:p>
        </w:tc>
        <w:tc>
          <w:tcPr>
            <w:tcW w:w="828" w:type="dxa"/>
            <w:tcBorders>
              <w:top w:val="single" w:sz="4" w:space="0" w:color="auto"/>
              <w:bottom w:val="single" w:sz="4" w:space="0" w:color="auto"/>
            </w:tcBorders>
            <w:shd w:val="clear" w:color="auto" w:fill="auto"/>
            <w:noWrap/>
            <w:vAlign w:val="center"/>
            <w:hideMark/>
          </w:tcPr>
          <w:p w14:paraId="1D0782A8" w14:textId="77777777" w:rsidR="00BD3539" w:rsidRPr="00AD5490" w:rsidRDefault="00BD3539" w:rsidP="006E5A9E">
            <w:pPr>
              <w:spacing w:after="0" w:line="240" w:lineRule="auto"/>
              <w:jc w:val="right"/>
              <w:rPr>
                <w:rFonts w:ascii="Times New Roman" w:eastAsia="Times New Roman" w:hAnsi="Times New Roman" w:cs="Times New Roman"/>
                <w:b/>
                <w:bCs/>
                <w:color w:val="000000"/>
                <w:sz w:val="16"/>
                <w:szCs w:val="16"/>
                <w:lang w:eastAsia="sk-SK"/>
              </w:rPr>
            </w:pPr>
            <w:r w:rsidRPr="00AD5490">
              <w:rPr>
                <w:rFonts w:ascii="Times New Roman" w:eastAsia="Times New Roman" w:hAnsi="Times New Roman" w:cs="Times New Roman"/>
                <w:b/>
                <w:bCs/>
                <w:color w:val="000000"/>
                <w:sz w:val="16"/>
                <w:szCs w:val="16"/>
                <w:lang w:eastAsia="sk-SK"/>
              </w:rPr>
              <w:t>2024 N</w:t>
            </w:r>
          </w:p>
        </w:tc>
        <w:tc>
          <w:tcPr>
            <w:tcW w:w="828" w:type="dxa"/>
            <w:tcBorders>
              <w:top w:val="single" w:sz="4" w:space="0" w:color="auto"/>
              <w:bottom w:val="single" w:sz="4" w:space="0" w:color="auto"/>
            </w:tcBorders>
            <w:shd w:val="clear" w:color="auto" w:fill="auto"/>
            <w:noWrap/>
            <w:vAlign w:val="center"/>
            <w:hideMark/>
          </w:tcPr>
          <w:p w14:paraId="442C3675" w14:textId="77777777" w:rsidR="00BD3539" w:rsidRPr="00AD5490" w:rsidRDefault="00BD3539" w:rsidP="006E5A9E">
            <w:pPr>
              <w:spacing w:after="0" w:line="240" w:lineRule="auto"/>
              <w:jc w:val="right"/>
              <w:rPr>
                <w:rFonts w:ascii="Times New Roman" w:eastAsia="Times New Roman" w:hAnsi="Times New Roman" w:cs="Times New Roman"/>
                <w:b/>
                <w:bCs/>
                <w:color w:val="000000"/>
                <w:sz w:val="16"/>
                <w:szCs w:val="16"/>
                <w:lang w:eastAsia="sk-SK"/>
              </w:rPr>
            </w:pPr>
            <w:r w:rsidRPr="00AD5490">
              <w:rPr>
                <w:rFonts w:ascii="Times New Roman" w:eastAsia="Times New Roman" w:hAnsi="Times New Roman" w:cs="Times New Roman"/>
                <w:b/>
                <w:bCs/>
                <w:color w:val="000000"/>
                <w:sz w:val="16"/>
                <w:szCs w:val="16"/>
                <w:lang w:eastAsia="sk-SK"/>
              </w:rPr>
              <w:t>2025 N</w:t>
            </w:r>
          </w:p>
        </w:tc>
        <w:tc>
          <w:tcPr>
            <w:tcW w:w="828" w:type="dxa"/>
            <w:tcBorders>
              <w:top w:val="single" w:sz="4" w:space="0" w:color="auto"/>
              <w:bottom w:val="single" w:sz="4" w:space="0" w:color="auto"/>
            </w:tcBorders>
            <w:shd w:val="clear" w:color="auto" w:fill="auto"/>
            <w:noWrap/>
            <w:vAlign w:val="center"/>
            <w:hideMark/>
          </w:tcPr>
          <w:p w14:paraId="6F31EEA8" w14:textId="77777777" w:rsidR="00BD3539" w:rsidRPr="00AD5490" w:rsidRDefault="00BD3539" w:rsidP="006E5A9E">
            <w:pPr>
              <w:spacing w:after="0" w:line="240" w:lineRule="auto"/>
              <w:jc w:val="right"/>
              <w:rPr>
                <w:rFonts w:ascii="Times New Roman" w:eastAsia="Times New Roman" w:hAnsi="Times New Roman" w:cs="Times New Roman"/>
                <w:b/>
                <w:bCs/>
                <w:color w:val="000000"/>
                <w:sz w:val="16"/>
                <w:szCs w:val="16"/>
                <w:lang w:eastAsia="sk-SK"/>
              </w:rPr>
            </w:pPr>
            <w:r w:rsidRPr="00AD5490">
              <w:rPr>
                <w:rFonts w:ascii="Times New Roman" w:eastAsia="Times New Roman" w:hAnsi="Times New Roman" w:cs="Times New Roman"/>
                <w:b/>
                <w:bCs/>
                <w:color w:val="000000"/>
                <w:sz w:val="16"/>
                <w:szCs w:val="16"/>
                <w:lang w:eastAsia="sk-SK"/>
              </w:rPr>
              <w:t>2026 N</w:t>
            </w:r>
          </w:p>
        </w:tc>
      </w:tr>
      <w:tr w:rsidR="00BD3539" w:rsidRPr="009869D3" w14:paraId="6088B7B9" w14:textId="77777777" w:rsidTr="006E5A9E">
        <w:trPr>
          <w:trHeight w:val="289"/>
        </w:trPr>
        <w:tc>
          <w:tcPr>
            <w:tcW w:w="3383" w:type="dxa"/>
            <w:shd w:val="clear" w:color="auto" w:fill="auto"/>
            <w:noWrap/>
            <w:vAlign w:val="center"/>
            <w:hideMark/>
          </w:tcPr>
          <w:p w14:paraId="5F162BEB" w14:textId="77777777" w:rsidR="00BD3539" w:rsidRPr="009869D3" w:rsidRDefault="00BD3539" w:rsidP="006E5A9E">
            <w:pPr>
              <w:spacing w:after="0" w:line="240" w:lineRule="auto"/>
              <w:rPr>
                <w:rFonts w:ascii="Times New Roman" w:eastAsia="Times New Roman" w:hAnsi="Times New Roman" w:cs="Times New Roman"/>
                <w:bCs/>
                <w:color w:val="000000"/>
                <w:sz w:val="16"/>
                <w:szCs w:val="16"/>
                <w:lang w:eastAsia="sk-SK"/>
              </w:rPr>
            </w:pPr>
            <w:r w:rsidRPr="009869D3">
              <w:rPr>
                <w:rFonts w:ascii="Times New Roman" w:eastAsia="Times New Roman" w:hAnsi="Times New Roman" w:cs="Times New Roman"/>
                <w:bCs/>
                <w:color w:val="000000"/>
                <w:sz w:val="16"/>
                <w:szCs w:val="16"/>
                <w:lang w:eastAsia="sk-SK"/>
              </w:rPr>
              <w:t>Dividendy*</w:t>
            </w:r>
          </w:p>
        </w:tc>
        <w:tc>
          <w:tcPr>
            <w:tcW w:w="776" w:type="dxa"/>
            <w:shd w:val="clear" w:color="auto" w:fill="auto"/>
            <w:noWrap/>
            <w:vAlign w:val="center"/>
          </w:tcPr>
          <w:p w14:paraId="709FCD34" w14:textId="77777777" w:rsidR="00BD3539" w:rsidRPr="00034FEB" w:rsidRDefault="00BD3539" w:rsidP="006E5A9E">
            <w:pPr>
              <w:spacing w:after="120"/>
              <w:jc w:val="right"/>
              <w:rPr>
                <w:rFonts w:ascii="Times New Roman" w:hAnsi="Times New Roman" w:cs="Times New Roman"/>
                <w:sz w:val="16"/>
                <w:szCs w:val="16"/>
              </w:rPr>
            </w:pPr>
            <w:r w:rsidRPr="00034FEB">
              <w:rPr>
                <w:rFonts w:ascii="Times New Roman" w:hAnsi="Times New Roman" w:cs="Times New Roman"/>
                <w:sz w:val="16"/>
                <w:szCs w:val="16"/>
              </w:rPr>
              <w:t>422 215</w:t>
            </w:r>
          </w:p>
        </w:tc>
        <w:tc>
          <w:tcPr>
            <w:tcW w:w="775" w:type="dxa"/>
            <w:shd w:val="clear" w:color="auto" w:fill="auto"/>
            <w:noWrap/>
            <w:vAlign w:val="center"/>
          </w:tcPr>
          <w:p w14:paraId="3D90473E" w14:textId="77777777" w:rsidR="00BD3539" w:rsidRPr="00034FEB" w:rsidRDefault="00BD3539" w:rsidP="006E5A9E">
            <w:pPr>
              <w:spacing w:after="120"/>
              <w:jc w:val="right"/>
              <w:rPr>
                <w:rFonts w:ascii="Times New Roman" w:hAnsi="Times New Roman" w:cs="Times New Roman"/>
                <w:sz w:val="16"/>
                <w:szCs w:val="16"/>
              </w:rPr>
            </w:pPr>
            <w:r w:rsidRPr="00034FEB">
              <w:rPr>
                <w:rFonts w:ascii="Times New Roman" w:hAnsi="Times New Roman" w:cs="Times New Roman"/>
                <w:sz w:val="16"/>
                <w:szCs w:val="16"/>
              </w:rPr>
              <w:t>325 668</w:t>
            </w:r>
          </w:p>
        </w:tc>
        <w:tc>
          <w:tcPr>
            <w:tcW w:w="827" w:type="dxa"/>
            <w:vAlign w:val="center"/>
          </w:tcPr>
          <w:p w14:paraId="6309D908" w14:textId="77777777" w:rsidR="00BD3539" w:rsidRPr="00316070" w:rsidRDefault="00BD3539" w:rsidP="006E5A9E">
            <w:pPr>
              <w:spacing w:after="120"/>
              <w:jc w:val="right"/>
              <w:rPr>
                <w:rFonts w:ascii="Times New Roman" w:hAnsi="Times New Roman" w:cs="Times New Roman"/>
                <w:sz w:val="16"/>
                <w:szCs w:val="16"/>
              </w:rPr>
            </w:pPr>
            <w:r w:rsidRPr="00316070">
              <w:rPr>
                <w:rFonts w:ascii="Times New Roman" w:hAnsi="Times New Roman" w:cs="Times New Roman"/>
                <w:sz w:val="16"/>
                <w:szCs w:val="16"/>
              </w:rPr>
              <w:t>314 926</w:t>
            </w:r>
          </w:p>
        </w:tc>
        <w:tc>
          <w:tcPr>
            <w:tcW w:w="827" w:type="dxa"/>
            <w:vAlign w:val="center"/>
          </w:tcPr>
          <w:p w14:paraId="0BD7FB00"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203 818</w:t>
            </w:r>
          </w:p>
        </w:tc>
        <w:tc>
          <w:tcPr>
            <w:tcW w:w="828" w:type="dxa"/>
            <w:shd w:val="clear" w:color="auto" w:fill="auto"/>
            <w:noWrap/>
            <w:vAlign w:val="center"/>
          </w:tcPr>
          <w:p w14:paraId="77C4E279"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280 765</w:t>
            </w:r>
          </w:p>
        </w:tc>
        <w:tc>
          <w:tcPr>
            <w:tcW w:w="828" w:type="dxa"/>
            <w:shd w:val="clear" w:color="auto" w:fill="auto"/>
            <w:noWrap/>
            <w:vAlign w:val="center"/>
          </w:tcPr>
          <w:p w14:paraId="573133FE"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296 259</w:t>
            </w:r>
          </w:p>
        </w:tc>
        <w:tc>
          <w:tcPr>
            <w:tcW w:w="828" w:type="dxa"/>
            <w:shd w:val="clear" w:color="auto" w:fill="auto"/>
            <w:noWrap/>
            <w:vAlign w:val="center"/>
          </w:tcPr>
          <w:p w14:paraId="15A470D1"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250 776</w:t>
            </w:r>
          </w:p>
        </w:tc>
      </w:tr>
      <w:tr w:rsidR="00BD3539" w:rsidRPr="009869D3" w14:paraId="1BDED2B6" w14:textId="77777777" w:rsidTr="006E5A9E">
        <w:trPr>
          <w:trHeight w:val="289"/>
        </w:trPr>
        <w:tc>
          <w:tcPr>
            <w:tcW w:w="3383" w:type="dxa"/>
            <w:shd w:val="clear" w:color="auto" w:fill="auto"/>
            <w:noWrap/>
            <w:vAlign w:val="center"/>
          </w:tcPr>
          <w:p w14:paraId="77FD1E14" w14:textId="77777777" w:rsidR="00BD3539" w:rsidRPr="009869D3" w:rsidRDefault="00BD3539" w:rsidP="006E5A9E">
            <w:pPr>
              <w:spacing w:after="0" w:line="240" w:lineRule="auto"/>
              <w:rPr>
                <w:rFonts w:ascii="Times New Roman" w:eastAsia="Times New Roman" w:hAnsi="Times New Roman" w:cs="Times New Roman"/>
                <w:bCs/>
                <w:color w:val="000000"/>
                <w:sz w:val="16"/>
                <w:szCs w:val="16"/>
                <w:lang w:eastAsia="sk-SK"/>
              </w:rPr>
            </w:pPr>
            <w:r>
              <w:rPr>
                <w:rFonts w:ascii="Times New Roman" w:eastAsia="Times New Roman" w:hAnsi="Times New Roman" w:cs="Times New Roman"/>
                <w:bCs/>
                <w:color w:val="000000"/>
                <w:sz w:val="16"/>
                <w:szCs w:val="16"/>
                <w:lang w:eastAsia="sk-SK"/>
              </w:rPr>
              <w:t xml:space="preserve">      </w:t>
            </w:r>
            <w:r w:rsidRPr="009869D3">
              <w:rPr>
                <w:rFonts w:ascii="Times New Roman" w:eastAsia="Times New Roman" w:hAnsi="Times New Roman" w:cs="Times New Roman"/>
                <w:bCs/>
                <w:color w:val="000000"/>
                <w:sz w:val="16"/>
                <w:szCs w:val="16"/>
                <w:lang w:eastAsia="sk-SK"/>
              </w:rPr>
              <w:t>príjem štátneho rozpočtu</w:t>
            </w:r>
          </w:p>
        </w:tc>
        <w:tc>
          <w:tcPr>
            <w:tcW w:w="776" w:type="dxa"/>
            <w:shd w:val="clear" w:color="auto" w:fill="auto"/>
            <w:noWrap/>
            <w:vAlign w:val="center"/>
          </w:tcPr>
          <w:p w14:paraId="4477D85B" w14:textId="77777777" w:rsidR="00BD3539" w:rsidRPr="00034FEB" w:rsidRDefault="00BD3539" w:rsidP="006E5A9E">
            <w:pPr>
              <w:spacing w:after="120"/>
              <w:jc w:val="right"/>
              <w:rPr>
                <w:rFonts w:ascii="Times New Roman" w:hAnsi="Times New Roman" w:cs="Times New Roman"/>
                <w:sz w:val="16"/>
                <w:szCs w:val="16"/>
              </w:rPr>
            </w:pPr>
            <w:r w:rsidRPr="00034FEB">
              <w:rPr>
                <w:rFonts w:ascii="Times New Roman" w:hAnsi="Times New Roman" w:cs="Times New Roman"/>
                <w:sz w:val="16"/>
                <w:szCs w:val="16"/>
              </w:rPr>
              <w:t>415 589</w:t>
            </w:r>
          </w:p>
        </w:tc>
        <w:tc>
          <w:tcPr>
            <w:tcW w:w="775" w:type="dxa"/>
            <w:shd w:val="clear" w:color="auto" w:fill="auto"/>
            <w:noWrap/>
            <w:vAlign w:val="center"/>
          </w:tcPr>
          <w:p w14:paraId="44B3F4E6" w14:textId="77777777" w:rsidR="00BD3539" w:rsidRPr="00034FEB" w:rsidRDefault="00BD3539" w:rsidP="006E5A9E">
            <w:pPr>
              <w:spacing w:after="120"/>
              <w:jc w:val="right"/>
              <w:rPr>
                <w:rFonts w:ascii="Times New Roman" w:hAnsi="Times New Roman" w:cs="Times New Roman"/>
                <w:sz w:val="16"/>
                <w:szCs w:val="16"/>
              </w:rPr>
            </w:pPr>
            <w:r w:rsidRPr="00034FEB">
              <w:rPr>
                <w:rFonts w:ascii="Times New Roman" w:hAnsi="Times New Roman" w:cs="Times New Roman"/>
                <w:sz w:val="16"/>
                <w:szCs w:val="16"/>
              </w:rPr>
              <w:t>315 564</w:t>
            </w:r>
          </w:p>
        </w:tc>
        <w:tc>
          <w:tcPr>
            <w:tcW w:w="827" w:type="dxa"/>
            <w:vAlign w:val="center"/>
          </w:tcPr>
          <w:p w14:paraId="46C6ED3A" w14:textId="77777777" w:rsidR="00BD3539" w:rsidRPr="00316070" w:rsidRDefault="00BD3539" w:rsidP="006E5A9E">
            <w:pPr>
              <w:spacing w:after="120"/>
              <w:jc w:val="right"/>
              <w:rPr>
                <w:rFonts w:ascii="Times New Roman" w:hAnsi="Times New Roman" w:cs="Times New Roman"/>
                <w:sz w:val="16"/>
                <w:szCs w:val="16"/>
              </w:rPr>
            </w:pPr>
            <w:r w:rsidRPr="00316070">
              <w:rPr>
                <w:rFonts w:ascii="Times New Roman" w:hAnsi="Times New Roman" w:cs="Times New Roman"/>
                <w:sz w:val="16"/>
                <w:szCs w:val="16"/>
              </w:rPr>
              <w:t>306 868</w:t>
            </w:r>
          </w:p>
        </w:tc>
        <w:tc>
          <w:tcPr>
            <w:tcW w:w="827" w:type="dxa"/>
            <w:vAlign w:val="center"/>
          </w:tcPr>
          <w:p w14:paraId="5887A375"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195 453</w:t>
            </w:r>
          </w:p>
        </w:tc>
        <w:tc>
          <w:tcPr>
            <w:tcW w:w="828" w:type="dxa"/>
            <w:shd w:val="clear" w:color="auto" w:fill="auto"/>
            <w:noWrap/>
            <w:vAlign w:val="center"/>
          </w:tcPr>
          <w:p w14:paraId="6696B417"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272 400</w:t>
            </w:r>
          </w:p>
        </w:tc>
        <w:tc>
          <w:tcPr>
            <w:tcW w:w="828" w:type="dxa"/>
            <w:shd w:val="clear" w:color="auto" w:fill="auto"/>
            <w:noWrap/>
            <w:vAlign w:val="center"/>
          </w:tcPr>
          <w:p w14:paraId="3E87C879"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287 894</w:t>
            </w:r>
          </w:p>
        </w:tc>
        <w:tc>
          <w:tcPr>
            <w:tcW w:w="828" w:type="dxa"/>
            <w:shd w:val="clear" w:color="auto" w:fill="auto"/>
            <w:noWrap/>
            <w:vAlign w:val="center"/>
          </w:tcPr>
          <w:p w14:paraId="7A2295EE"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242 411</w:t>
            </w:r>
          </w:p>
        </w:tc>
      </w:tr>
      <w:tr w:rsidR="00BD3539" w:rsidRPr="009869D3" w14:paraId="66615DF7" w14:textId="77777777" w:rsidTr="006E5A9E">
        <w:trPr>
          <w:trHeight w:val="289"/>
        </w:trPr>
        <w:tc>
          <w:tcPr>
            <w:tcW w:w="3383" w:type="dxa"/>
            <w:shd w:val="clear" w:color="auto" w:fill="auto"/>
            <w:noWrap/>
            <w:vAlign w:val="center"/>
          </w:tcPr>
          <w:p w14:paraId="4E463E59" w14:textId="77777777" w:rsidR="00BD3539" w:rsidRPr="009869D3" w:rsidRDefault="00BD3539" w:rsidP="006E5A9E">
            <w:pPr>
              <w:spacing w:after="0" w:line="240" w:lineRule="auto"/>
              <w:rPr>
                <w:rFonts w:ascii="Times New Roman" w:eastAsia="Times New Roman" w:hAnsi="Times New Roman" w:cs="Times New Roman"/>
                <w:bCs/>
                <w:color w:val="000000"/>
                <w:sz w:val="16"/>
                <w:szCs w:val="16"/>
                <w:lang w:eastAsia="sk-SK"/>
              </w:rPr>
            </w:pPr>
            <w:r w:rsidRPr="009869D3">
              <w:rPr>
                <w:rFonts w:ascii="Times New Roman" w:eastAsia="Times New Roman" w:hAnsi="Times New Roman" w:cs="Times New Roman"/>
                <w:bCs/>
                <w:color w:val="000000"/>
                <w:sz w:val="16"/>
                <w:szCs w:val="16"/>
                <w:lang w:eastAsia="sk-SK"/>
              </w:rPr>
              <w:t xml:space="preserve">     </w:t>
            </w:r>
            <w:r>
              <w:rPr>
                <w:rFonts w:ascii="Times New Roman" w:eastAsia="Times New Roman" w:hAnsi="Times New Roman" w:cs="Times New Roman"/>
                <w:bCs/>
                <w:color w:val="000000"/>
                <w:sz w:val="16"/>
                <w:szCs w:val="16"/>
                <w:lang w:eastAsia="sk-SK"/>
              </w:rPr>
              <w:t xml:space="preserve"> </w:t>
            </w:r>
            <w:r w:rsidRPr="009869D3">
              <w:rPr>
                <w:rFonts w:ascii="Times New Roman" w:eastAsia="Times New Roman" w:hAnsi="Times New Roman" w:cs="Times New Roman"/>
                <w:bCs/>
                <w:color w:val="000000"/>
                <w:sz w:val="16"/>
                <w:szCs w:val="16"/>
                <w:lang w:eastAsia="sk-SK"/>
              </w:rPr>
              <w:t>príjem obcí</w:t>
            </w:r>
          </w:p>
        </w:tc>
        <w:tc>
          <w:tcPr>
            <w:tcW w:w="776" w:type="dxa"/>
            <w:shd w:val="clear" w:color="auto" w:fill="auto"/>
            <w:noWrap/>
            <w:vAlign w:val="center"/>
          </w:tcPr>
          <w:p w14:paraId="77D2B8F1" w14:textId="77777777" w:rsidR="00BD3539" w:rsidRPr="00034FEB" w:rsidRDefault="00BD3539" w:rsidP="006E5A9E">
            <w:pPr>
              <w:spacing w:after="120"/>
              <w:jc w:val="right"/>
              <w:rPr>
                <w:rFonts w:ascii="Times New Roman" w:hAnsi="Times New Roman" w:cs="Times New Roman"/>
                <w:sz w:val="16"/>
                <w:szCs w:val="16"/>
              </w:rPr>
            </w:pPr>
            <w:r w:rsidRPr="00034FEB">
              <w:rPr>
                <w:rFonts w:ascii="Times New Roman" w:hAnsi="Times New Roman" w:cs="Times New Roman"/>
                <w:sz w:val="16"/>
                <w:szCs w:val="16"/>
              </w:rPr>
              <w:t>6 626</w:t>
            </w:r>
          </w:p>
        </w:tc>
        <w:tc>
          <w:tcPr>
            <w:tcW w:w="775" w:type="dxa"/>
            <w:shd w:val="clear" w:color="auto" w:fill="auto"/>
            <w:noWrap/>
            <w:vAlign w:val="center"/>
          </w:tcPr>
          <w:p w14:paraId="6A0DE2DE" w14:textId="77777777" w:rsidR="00BD3539" w:rsidRPr="00034FEB" w:rsidRDefault="00BD3539" w:rsidP="006E5A9E">
            <w:pPr>
              <w:spacing w:after="120"/>
              <w:jc w:val="right"/>
              <w:rPr>
                <w:rFonts w:ascii="Times New Roman" w:hAnsi="Times New Roman" w:cs="Times New Roman"/>
                <w:sz w:val="16"/>
                <w:szCs w:val="16"/>
              </w:rPr>
            </w:pPr>
            <w:r w:rsidRPr="00034FEB">
              <w:rPr>
                <w:rFonts w:ascii="Times New Roman" w:hAnsi="Times New Roman" w:cs="Times New Roman"/>
                <w:sz w:val="16"/>
                <w:szCs w:val="16"/>
              </w:rPr>
              <w:t>10 104</w:t>
            </w:r>
          </w:p>
        </w:tc>
        <w:tc>
          <w:tcPr>
            <w:tcW w:w="827" w:type="dxa"/>
            <w:vAlign w:val="center"/>
          </w:tcPr>
          <w:p w14:paraId="31C55F74" w14:textId="77777777" w:rsidR="00BD3539" w:rsidRPr="00316070" w:rsidRDefault="00BD3539" w:rsidP="006E5A9E">
            <w:pPr>
              <w:spacing w:after="120"/>
              <w:jc w:val="right"/>
              <w:rPr>
                <w:rFonts w:ascii="Times New Roman" w:hAnsi="Times New Roman" w:cs="Times New Roman"/>
                <w:sz w:val="16"/>
                <w:szCs w:val="16"/>
              </w:rPr>
            </w:pPr>
            <w:r w:rsidRPr="00316070">
              <w:rPr>
                <w:rFonts w:ascii="Times New Roman" w:hAnsi="Times New Roman" w:cs="Times New Roman"/>
                <w:sz w:val="16"/>
                <w:szCs w:val="16"/>
              </w:rPr>
              <w:t>8 058</w:t>
            </w:r>
          </w:p>
        </w:tc>
        <w:tc>
          <w:tcPr>
            <w:tcW w:w="827" w:type="dxa"/>
            <w:vAlign w:val="center"/>
          </w:tcPr>
          <w:p w14:paraId="7BEBA1D4"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8 365</w:t>
            </w:r>
          </w:p>
        </w:tc>
        <w:tc>
          <w:tcPr>
            <w:tcW w:w="828" w:type="dxa"/>
            <w:shd w:val="clear" w:color="auto" w:fill="auto"/>
            <w:noWrap/>
            <w:vAlign w:val="center"/>
          </w:tcPr>
          <w:p w14:paraId="19AC472A"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8 365</w:t>
            </w:r>
          </w:p>
        </w:tc>
        <w:tc>
          <w:tcPr>
            <w:tcW w:w="828" w:type="dxa"/>
            <w:shd w:val="clear" w:color="auto" w:fill="auto"/>
            <w:noWrap/>
            <w:vAlign w:val="center"/>
          </w:tcPr>
          <w:p w14:paraId="0132E78F"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8 365</w:t>
            </w:r>
          </w:p>
        </w:tc>
        <w:tc>
          <w:tcPr>
            <w:tcW w:w="828" w:type="dxa"/>
            <w:shd w:val="clear" w:color="auto" w:fill="auto"/>
            <w:noWrap/>
            <w:vAlign w:val="center"/>
          </w:tcPr>
          <w:p w14:paraId="18EA0F80"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8 365</w:t>
            </w:r>
          </w:p>
        </w:tc>
      </w:tr>
      <w:tr w:rsidR="00BD3539" w:rsidRPr="009869D3" w14:paraId="078B0F4E" w14:textId="77777777" w:rsidTr="006E5A9E">
        <w:trPr>
          <w:trHeight w:val="289"/>
        </w:trPr>
        <w:tc>
          <w:tcPr>
            <w:tcW w:w="3383" w:type="dxa"/>
            <w:shd w:val="clear" w:color="auto" w:fill="auto"/>
            <w:noWrap/>
            <w:vAlign w:val="center"/>
          </w:tcPr>
          <w:p w14:paraId="405EC87A" w14:textId="77777777" w:rsidR="00BD3539" w:rsidRPr="009869D3" w:rsidRDefault="00BD3539" w:rsidP="006E5A9E">
            <w:pPr>
              <w:spacing w:after="0" w:line="240" w:lineRule="auto"/>
              <w:rPr>
                <w:rFonts w:ascii="Times New Roman" w:eastAsia="Times New Roman" w:hAnsi="Times New Roman" w:cs="Times New Roman"/>
                <w:bCs/>
                <w:color w:val="000000"/>
                <w:sz w:val="16"/>
                <w:szCs w:val="16"/>
                <w:lang w:eastAsia="sk-SK"/>
              </w:rPr>
            </w:pPr>
            <w:r w:rsidRPr="009869D3">
              <w:rPr>
                <w:rFonts w:ascii="Times New Roman" w:eastAsia="Times New Roman" w:hAnsi="Times New Roman" w:cs="Times New Roman"/>
                <w:bCs/>
                <w:color w:val="000000"/>
                <w:sz w:val="16"/>
                <w:szCs w:val="16"/>
                <w:lang w:eastAsia="sk-SK"/>
              </w:rPr>
              <w:t>Administratívne poplatky a iné poplatky NDS**</w:t>
            </w:r>
          </w:p>
        </w:tc>
        <w:tc>
          <w:tcPr>
            <w:tcW w:w="776" w:type="dxa"/>
            <w:shd w:val="clear" w:color="auto" w:fill="auto"/>
            <w:noWrap/>
            <w:vAlign w:val="center"/>
          </w:tcPr>
          <w:p w14:paraId="0F3DB628" w14:textId="77777777" w:rsidR="00BD3539" w:rsidRPr="00034FEB" w:rsidRDefault="00BD3539" w:rsidP="006E5A9E">
            <w:pPr>
              <w:spacing w:after="120"/>
              <w:jc w:val="right"/>
              <w:rPr>
                <w:rFonts w:ascii="Times New Roman" w:hAnsi="Times New Roman" w:cs="Times New Roman"/>
                <w:sz w:val="16"/>
                <w:szCs w:val="16"/>
              </w:rPr>
            </w:pPr>
            <w:r w:rsidRPr="00034FEB">
              <w:rPr>
                <w:rFonts w:ascii="Times New Roman" w:hAnsi="Times New Roman" w:cs="Times New Roman"/>
                <w:sz w:val="16"/>
                <w:szCs w:val="16"/>
              </w:rPr>
              <w:t>305 475</w:t>
            </w:r>
          </w:p>
        </w:tc>
        <w:tc>
          <w:tcPr>
            <w:tcW w:w="775" w:type="dxa"/>
            <w:shd w:val="clear" w:color="auto" w:fill="auto"/>
            <w:noWrap/>
            <w:vAlign w:val="center"/>
          </w:tcPr>
          <w:p w14:paraId="4D81DB19" w14:textId="77777777" w:rsidR="00BD3539" w:rsidRPr="00034FEB" w:rsidRDefault="00BD3539" w:rsidP="006E5A9E">
            <w:pPr>
              <w:spacing w:after="120"/>
              <w:jc w:val="right"/>
              <w:rPr>
                <w:rFonts w:ascii="Times New Roman" w:hAnsi="Times New Roman" w:cs="Times New Roman"/>
                <w:sz w:val="16"/>
                <w:szCs w:val="16"/>
              </w:rPr>
            </w:pPr>
            <w:r w:rsidRPr="00034FEB">
              <w:rPr>
                <w:rFonts w:ascii="Times New Roman" w:hAnsi="Times New Roman" w:cs="Times New Roman"/>
                <w:sz w:val="16"/>
                <w:szCs w:val="16"/>
              </w:rPr>
              <w:t>318 194</w:t>
            </w:r>
          </w:p>
        </w:tc>
        <w:tc>
          <w:tcPr>
            <w:tcW w:w="827" w:type="dxa"/>
            <w:vAlign w:val="center"/>
          </w:tcPr>
          <w:p w14:paraId="09BF1B43" w14:textId="77777777" w:rsidR="00BD3539" w:rsidRPr="00316070" w:rsidRDefault="00BD3539" w:rsidP="006E5A9E">
            <w:pPr>
              <w:spacing w:after="120"/>
              <w:jc w:val="right"/>
              <w:rPr>
                <w:rFonts w:ascii="Times New Roman" w:hAnsi="Times New Roman" w:cs="Times New Roman"/>
                <w:sz w:val="16"/>
                <w:szCs w:val="16"/>
              </w:rPr>
            </w:pPr>
            <w:r w:rsidRPr="00316070">
              <w:rPr>
                <w:rFonts w:ascii="Times New Roman" w:hAnsi="Times New Roman" w:cs="Times New Roman"/>
                <w:sz w:val="16"/>
                <w:szCs w:val="16"/>
              </w:rPr>
              <w:t>330 875</w:t>
            </w:r>
          </w:p>
        </w:tc>
        <w:tc>
          <w:tcPr>
            <w:tcW w:w="827" w:type="dxa"/>
            <w:vAlign w:val="center"/>
          </w:tcPr>
          <w:p w14:paraId="03859044"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color w:val="333333"/>
                <w:sz w:val="16"/>
                <w:szCs w:val="16"/>
              </w:rPr>
              <w:t>347 520</w:t>
            </w:r>
          </w:p>
        </w:tc>
        <w:tc>
          <w:tcPr>
            <w:tcW w:w="828" w:type="dxa"/>
            <w:shd w:val="clear" w:color="auto" w:fill="auto"/>
            <w:noWrap/>
            <w:vAlign w:val="center"/>
          </w:tcPr>
          <w:p w14:paraId="35FC39A6"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color w:val="333333"/>
                <w:sz w:val="16"/>
                <w:szCs w:val="16"/>
              </w:rPr>
              <w:t>352 724</w:t>
            </w:r>
          </w:p>
        </w:tc>
        <w:tc>
          <w:tcPr>
            <w:tcW w:w="828" w:type="dxa"/>
            <w:shd w:val="clear" w:color="auto" w:fill="auto"/>
            <w:noWrap/>
            <w:vAlign w:val="center"/>
          </w:tcPr>
          <w:p w14:paraId="283C70F2"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color w:val="333333"/>
                <w:sz w:val="16"/>
                <w:szCs w:val="16"/>
              </w:rPr>
              <w:t>356 323</w:t>
            </w:r>
          </w:p>
        </w:tc>
        <w:tc>
          <w:tcPr>
            <w:tcW w:w="828" w:type="dxa"/>
            <w:shd w:val="clear" w:color="auto" w:fill="auto"/>
            <w:noWrap/>
            <w:vAlign w:val="center"/>
          </w:tcPr>
          <w:p w14:paraId="31C5AD03"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color w:val="333333"/>
                <w:sz w:val="16"/>
                <w:szCs w:val="16"/>
              </w:rPr>
              <w:t>357 630</w:t>
            </w:r>
          </w:p>
        </w:tc>
      </w:tr>
      <w:tr w:rsidR="00BD3539" w:rsidRPr="009869D3" w14:paraId="3E6502BF" w14:textId="77777777" w:rsidTr="006E5A9E">
        <w:trPr>
          <w:trHeight w:val="289"/>
        </w:trPr>
        <w:tc>
          <w:tcPr>
            <w:tcW w:w="3383" w:type="dxa"/>
            <w:shd w:val="clear" w:color="auto" w:fill="auto"/>
            <w:noWrap/>
            <w:vAlign w:val="center"/>
          </w:tcPr>
          <w:p w14:paraId="7CD6D430" w14:textId="77777777" w:rsidR="00BD3539" w:rsidRPr="009869D3" w:rsidRDefault="00BD3539" w:rsidP="006E5A9E">
            <w:pPr>
              <w:spacing w:after="0" w:line="240" w:lineRule="auto"/>
              <w:rPr>
                <w:rFonts w:ascii="Times New Roman" w:eastAsia="Times New Roman" w:hAnsi="Times New Roman" w:cs="Times New Roman"/>
                <w:bCs/>
                <w:color w:val="000000"/>
                <w:sz w:val="16"/>
                <w:szCs w:val="16"/>
                <w:lang w:eastAsia="sk-SK"/>
              </w:rPr>
            </w:pPr>
            <w:r w:rsidRPr="009869D3">
              <w:rPr>
                <w:rFonts w:ascii="Times New Roman" w:eastAsia="Times New Roman" w:hAnsi="Times New Roman" w:cs="Times New Roman"/>
                <w:bCs/>
                <w:color w:val="000000"/>
                <w:sz w:val="16"/>
                <w:szCs w:val="16"/>
                <w:lang w:eastAsia="sk-SK"/>
              </w:rPr>
              <w:t>Emisné kvóty</w:t>
            </w:r>
          </w:p>
        </w:tc>
        <w:tc>
          <w:tcPr>
            <w:tcW w:w="776" w:type="dxa"/>
            <w:shd w:val="clear" w:color="auto" w:fill="auto"/>
            <w:noWrap/>
            <w:vAlign w:val="center"/>
          </w:tcPr>
          <w:p w14:paraId="58971FC2" w14:textId="77777777" w:rsidR="00BD3539" w:rsidRPr="00034FEB" w:rsidRDefault="00BD3539" w:rsidP="006E5A9E">
            <w:pPr>
              <w:spacing w:after="120"/>
              <w:jc w:val="right"/>
              <w:rPr>
                <w:rFonts w:ascii="Times New Roman" w:hAnsi="Times New Roman" w:cs="Times New Roman"/>
                <w:sz w:val="16"/>
                <w:szCs w:val="16"/>
              </w:rPr>
            </w:pPr>
            <w:r w:rsidRPr="00034FEB">
              <w:rPr>
                <w:rFonts w:ascii="Times New Roman" w:hAnsi="Times New Roman" w:cs="Times New Roman"/>
                <w:sz w:val="16"/>
                <w:szCs w:val="16"/>
              </w:rPr>
              <w:t>242 825</w:t>
            </w:r>
          </w:p>
        </w:tc>
        <w:tc>
          <w:tcPr>
            <w:tcW w:w="775" w:type="dxa"/>
            <w:shd w:val="clear" w:color="auto" w:fill="auto"/>
            <w:noWrap/>
            <w:vAlign w:val="center"/>
          </w:tcPr>
          <w:p w14:paraId="38AA4C17" w14:textId="77777777" w:rsidR="00BD3539" w:rsidRPr="00034FEB" w:rsidRDefault="00BD3539" w:rsidP="006E5A9E">
            <w:pPr>
              <w:spacing w:after="120"/>
              <w:jc w:val="right"/>
              <w:rPr>
                <w:rFonts w:ascii="Times New Roman" w:hAnsi="Times New Roman" w:cs="Times New Roman"/>
                <w:sz w:val="16"/>
                <w:szCs w:val="16"/>
              </w:rPr>
            </w:pPr>
            <w:r w:rsidRPr="00034FEB">
              <w:rPr>
                <w:rFonts w:ascii="Times New Roman" w:hAnsi="Times New Roman" w:cs="Times New Roman"/>
                <w:sz w:val="16"/>
                <w:szCs w:val="16"/>
              </w:rPr>
              <w:t>275 889</w:t>
            </w:r>
          </w:p>
        </w:tc>
        <w:tc>
          <w:tcPr>
            <w:tcW w:w="827" w:type="dxa"/>
            <w:vAlign w:val="center"/>
          </w:tcPr>
          <w:p w14:paraId="7835D66F" w14:textId="77777777" w:rsidR="00BD3539" w:rsidRPr="00316070" w:rsidRDefault="00BD3539" w:rsidP="006E5A9E">
            <w:pPr>
              <w:spacing w:after="120"/>
              <w:jc w:val="right"/>
              <w:rPr>
                <w:rFonts w:ascii="Times New Roman" w:hAnsi="Times New Roman" w:cs="Times New Roman"/>
                <w:sz w:val="16"/>
                <w:szCs w:val="16"/>
              </w:rPr>
            </w:pPr>
            <w:r w:rsidRPr="00316070">
              <w:rPr>
                <w:rFonts w:ascii="Times New Roman" w:hAnsi="Times New Roman" w:cs="Times New Roman"/>
                <w:sz w:val="16"/>
                <w:szCs w:val="16"/>
              </w:rPr>
              <w:t>329 953</w:t>
            </w:r>
          </w:p>
        </w:tc>
        <w:tc>
          <w:tcPr>
            <w:tcW w:w="827" w:type="dxa"/>
            <w:vAlign w:val="center"/>
          </w:tcPr>
          <w:p w14:paraId="4470567C"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color w:val="333333"/>
                <w:sz w:val="16"/>
                <w:szCs w:val="16"/>
              </w:rPr>
              <w:t>342 521</w:t>
            </w:r>
          </w:p>
        </w:tc>
        <w:tc>
          <w:tcPr>
            <w:tcW w:w="828" w:type="dxa"/>
            <w:shd w:val="clear" w:color="auto" w:fill="auto"/>
            <w:noWrap/>
            <w:vAlign w:val="center"/>
          </w:tcPr>
          <w:p w14:paraId="24B2BE1F"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color w:val="333333"/>
                <w:sz w:val="16"/>
                <w:szCs w:val="16"/>
              </w:rPr>
              <w:t>383 931</w:t>
            </w:r>
          </w:p>
        </w:tc>
        <w:tc>
          <w:tcPr>
            <w:tcW w:w="828" w:type="dxa"/>
            <w:shd w:val="clear" w:color="auto" w:fill="auto"/>
            <w:noWrap/>
            <w:vAlign w:val="center"/>
          </w:tcPr>
          <w:p w14:paraId="78347463"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color w:val="333333"/>
                <w:sz w:val="16"/>
                <w:szCs w:val="16"/>
              </w:rPr>
              <w:t>451 304</w:t>
            </w:r>
          </w:p>
        </w:tc>
        <w:tc>
          <w:tcPr>
            <w:tcW w:w="828" w:type="dxa"/>
            <w:shd w:val="clear" w:color="auto" w:fill="auto"/>
            <w:noWrap/>
            <w:vAlign w:val="center"/>
          </w:tcPr>
          <w:p w14:paraId="0F6204F6"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color w:val="333333"/>
                <w:sz w:val="16"/>
                <w:szCs w:val="16"/>
              </w:rPr>
              <w:t>390 304</w:t>
            </w:r>
          </w:p>
        </w:tc>
      </w:tr>
      <w:tr w:rsidR="00BD3539" w:rsidRPr="009869D3" w14:paraId="238F94E9" w14:textId="77777777" w:rsidTr="006E5A9E">
        <w:trPr>
          <w:trHeight w:val="289"/>
        </w:trPr>
        <w:tc>
          <w:tcPr>
            <w:tcW w:w="3383" w:type="dxa"/>
            <w:shd w:val="clear" w:color="auto" w:fill="auto"/>
            <w:noWrap/>
            <w:vAlign w:val="center"/>
          </w:tcPr>
          <w:p w14:paraId="442727C3" w14:textId="77777777" w:rsidR="00BD3539" w:rsidRPr="009869D3" w:rsidRDefault="00BD3539" w:rsidP="006E5A9E">
            <w:pPr>
              <w:spacing w:after="0" w:line="240" w:lineRule="auto"/>
              <w:rPr>
                <w:rFonts w:ascii="Times New Roman" w:eastAsia="Times New Roman" w:hAnsi="Times New Roman" w:cs="Times New Roman"/>
                <w:bCs/>
                <w:color w:val="000000"/>
                <w:sz w:val="16"/>
                <w:szCs w:val="16"/>
                <w:lang w:eastAsia="sk-SK"/>
              </w:rPr>
            </w:pPr>
            <w:r w:rsidRPr="009869D3">
              <w:rPr>
                <w:rFonts w:ascii="Times New Roman" w:eastAsia="Times New Roman" w:hAnsi="Times New Roman" w:cs="Times New Roman"/>
                <w:bCs/>
                <w:color w:val="000000"/>
                <w:sz w:val="16"/>
                <w:szCs w:val="16"/>
                <w:lang w:eastAsia="sk-SK"/>
              </w:rPr>
              <w:t>Odvod z hazardných hier</w:t>
            </w:r>
          </w:p>
        </w:tc>
        <w:tc>
          <w:tcPr>
            <w:tcW w:w="776" w:type="dxa"/>
            <w:shd w:val="clear" w:color="auto" w:fill="auto"/>
            <w:noWrap/>
            <w:vAlign w:val="center"/>
          </w:tcPr>
          <w:p w14:paraId="2D2D3D88" w14:textId="77777777" w:rsidR="00BD3539" w:rsidRPr="00034FEB" w:rsidRDefault="00BD3539" w:rsidP="006E5A9E">
            <w:pPr>
              <w:spacing w:after="120"/>
              <w:jc w:val="right"/>
              <w:rPr>
                <w:rFonts w:ascii="Times New Roman" w:hAnsi="Times New Roman" w:cs="Times New Roman"/>
                <w:sz w:val="16"/>
                <w:szCs w:val="16"/>
              </w:rPr>
            </w:pPr>
            <w:r w:rsidRPr="00034FEB">
              <w:rPr>
                <w:rFonts w:ascii="Times New Roman" w:hAnsi="Times New Roman" w:cs="Times New Roman"/>
                <w:sz w:val="16"/>
                <w:szCs w:val="16"/>
              </w:rPr>
              <w:t>233 005</w:t>
            </w:r>
          </w:p>
        </w:tc>
        <w:tc>
          <w:tcPr>
            <w:tcW w:w="775" w:type="dxa"/>
            <w:shd w:val="clear" w:color="auto" w:fill="auto"/>
            <w:noWrap/>
            <w:vAlign w:val="center"/>
          </w:tcPr>
          <w:p w14:paraId="3B9E4E24" w14:textId="77777777" w:rsidR="00BD3539" w:rsidRPr="00034FEB" w:rsidRDefault="00BD3539" w:rsidP="006E5A9E">
            <w:pPr>
              <w:spacing w:after="120"/>
              <w:jc w:val="right"/>
              <w:rPr>
                <w:rFonts w:ascii="Times New Roman" w:hAnsi="Times New Roman" w:cs="Times New Roman"/>
                <w:sz w:val="16"/>
                <w:szCs w:val="16"/>
              </w:rPr>
            </w:pPr>
            <w:r w:rsidRPr="00034FEB">
              <w:rPr>
                <w:rFonts w:ascii="Times New Roman" w:hAnsi="Times New Roman" w:cs="Times New Roman"/>
                <w:sz w:val="16"/>
                <w:szCs w:val="16"/>
              </w:rPr>
              <w:t>263 938</w:t>
            </w:r>
          </w:p>
        </w:tc>
        <w:tc>
          <w:tcPr>
            <w:tcW w:w="827" w:type="dxa"/>
            <w:vAlign w:val="center"/>
          </w:tcPr>
          <w:p w14:paraId="43289CB6" w14:textId="77777777" w:rsidR="00BD3539" w:rsidRPr="00316070" w:rsidRDefault="00BD3539" w:rsidP="006E5A9E">
            <w:pPr>
              <w:spacing w:after="120"/>
              <w:jc w:val="right"/>
              <w:rPr>
                <w:rFonts w:ascii="Times New Roman" w:hAnsi="Times New Roman" w:cs="Times New Roman"/>
                <w:sz w:val="16"/>
                <w:szCs w:val="16"/>
              </w:rPr>
            </w:pPr>
            <w:r w:rsidRPr="00316070">
              <w:rPr>
                <w:rFonts w:ascii="Times New Roman" w:hAnsi="Times New Roman" w:cs="Times New Roman"/>
                <w:sz w:val="16"/>
                <w:szCs w:val="16"/>
              </w:rPr>
              <w:t>265 445</w:t>
            </w:r>
          </w:p>
        </w:tc>
        <w:tc>
          <w:tcPr>
            <w:tcW w:w="827" w:type="dxa"/>
            <w:vAlign w:val="center"/>
          </w:tcPr>
          <w:p w14:paraId="0810BF99"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309 724</w:t>
            </w:r>
          </w:p>
        </w:tc>
        <w:tc>
          <w:tcPr>
            <w:tcW w:w="828" w:type="dxa"/>
            <w:shd w:val="clear" w:color="auto" w:fill="auto"/>
            <w:noWrap/>
            <w:vAlign w:val="center"/>
          </w:tcPr>
          <w:p w14:paraId="0592FD05"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333 216</w:t>
            </w:r>
          </w:p>
        </w:tc>
        <w:tc>
          <w:tcPr>
            <w:tcW w:w="828" w:type="dxa"/>
            <w:shd w:val="clear" w:color="auto" w:fill="auto"/>
            <w:noWrap/>
            <w:vAlign w:val="center"/>
          </w:tcPr>
          <w:p w14:paraId="73015146"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366 566</w:t>
            </w:r>
          </w:p>
        </w:tc>
        <w:tc>
          <w:tcPr>
            <w:tcW w:w="828" w:type="dxa"/>
            <w:shd w:val="clear" w:color="auto" w:fill="auto"/>
            <w:noWrap/>
            <w:vAlign w:val="center"/>
          </w:tcPr>
          <w:p w14:paraId="1497EDEF"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400 953</w:t>
            </w:r>
          </w:p>
        </w:tc>
      </w:tr>
      <w:tr w:rsidR="00BD3539" w:rsidRPr="009869D3" w14:paraId="01896608" w14:textId="77777777" w:rsidTr="006E5A9E">
        <w:trPr>
          <w:trHeight w:val="289"/>
        </w:trPr>
        <w:tc>
          <w:tcPr>
            <w:tcW w:w="3383" w:type="dxa"/>
            <w:shd w:val="clear" w:color="auto" w:fill="auto"/>
            <w:noWrap/>
            <w:vAlign w:val="center"/>
          </w:tcPr>
          <w:p w14:paraId="56507321" w14:textId="77777777" w:rsidR="00BD3539" w:rsidRPr="009869D3" w:rsidRDefault="00BD3539" w:rsidP="006E5A9E">
            <w:pPr>
              <w:spacing w:after="0" w:line="240" w:lineRule="auto"/>
              <w:rPr>
                <w:rFonts w:ascii="Times New Roman" w:eastAsia="Times New Roman" w:hAnsi="Times New Roman" w:cs="Times New Roman"/>
                <w:bCs/>
                <w:color w:val="000000"/>
                <w:sz w:val="16"/>
                <w:szCs w:val="16"/>
                <w:lang w:eastAsia="sk-SK"/>
              </w:rPr>
            </w:pPr>
            <w:r>
              <w:rPr>
                <w:rFonts w:ascii="Times New Roman" w:eastAsia="Times New Roman" w:hAnsi="Times New Roman" w:cs="Times New Roman"/>
                <w:bCs/>
                <w:color w:val="000000"/>
                <w:sz w:val="16"/>
                <w:szCs w:val="16"/>
                <w:lang w:eastAsia="sk-SK"/>
              </w:rPr>
              <w:t xml:space="preserve">      </w:t>
            </w:r>
            <w:r w:rsidRPr="009869D3">
              <w:rPr>
                <w:rFonts w:ascii="Times New Roman" w:eastAsia="Times New Roman" w:hAnsi="Times New Roman" w:cs="Times New Roman"/>
                <w:bCs/>
                <w:color w:val="000000"/>
                <w:sz w:val="16"/>
                <w:szCs w:val="16"/>
                <w:lang w:eastAsia="sk-SK"/>
              </w:rPr>
              <w:t>príjem štátneho rozpočtu</w:t>
            </w:r>
          </w:p>
        </w:tc>
        <w:tc>
          <w:tcPr>
            <w:tcW w:w="776" w:type="dxa"/>
            <w:shd w:val="clear" w:color="auto" w:fill="auto"/>
            <w:noWrap/>
            <w:vAlign w:val="center"/>
          </w:tcPr>
          <w:p w14:paraId="675D9393" w14:textId="77777777" w:rsidR="00BD3539" w:rsidRPr="00034FEB" w:rsidRDefault="00BD3539" w:rsidP="006E5A9E">
            <w:pPr>
              <w:spacing w:after="120"/>
              <w:jc w:val="right"/>
              <w:rPr>
                <w:rFonts w:ascii="Times New Roman" w:hAnsi="Times New Roman" w:cs="Times New Roman"/>
                <w:sz w:val="16"/>
                <w:szCs w:val="16"/>
              </w:rPr>
            </w:pPr>
            <w:r w:rsidRPr="00034FEB">
              <w:rPr>
                <w:rFonts w:ascii="Times New Roman" w:hAnsi="Times New Roman" w:cs="Times New Roman"/>
                <w:sz w:val="16"/>
                <w:szCs w:val="16"/>
              </w:rPr>
              <w:t>220 131</w:t>
            </w:r>
          </w:p>
        </w:tc>
        <w:tc>
          <w:tcPr>
            <w:tcW w:w="775" w:type="dxa"/>
            <w:shd w:val="clear" w:color="auto" w:fill="auto"/>
            <w:noWrap/>
            <w:vAlign w:val="center"/>
          </w:tcPr>
          <w:p w14:paraId="0BF35F66" w14:textId="77777777" w:rsidR="00BD3539" w:rsidRPr="00034FEB" w:rsidRDefault="00BD3539" w:rsidP="006E5A9E">
            <w:pPr>
              <w:spacing w:after="120"/>
              <w:jc w:val="right"/>
              <w:rPr>
                <w:rFonts w:ascii="Times New Roman" w:hAnsi="Times New Roman" w:cs="Times New Roman"/>
                <w:sz w:val="16"/>
                <w:szCs w:val="16"/>
              </w:rPr>
            </w:pPr>
            <w:r w:rsidRPr="00034FEB">
              <w:rPr>
                <w:rFonts w:ascii="Times New Roman" w:hAnsi="Times New Roman" w:cs="Times New Roman"/>
                <w:sz w:val="16"/>
                <w:szCs w:val="16"/>
              </w:rPr>
              <w:t>251 889</w:t>
            </w:r>
          </w:p>
        </w:tc>
        <w:tc>
          <w:tcPr>
            <w:tcW w:w="827" w:type="dxa"/>
            <w:vAlign w:val="center"/>
          </w:tcPr>
          <w:p w14:paraId="129F7C3D" w14:textId="77777777" w:rsidR="00BD3539" w:rsidRPr="00316070" w:rsidRDefault="00BD3539" w:rsidP="006E5A9E">
            <w:pPr>
              <w:spacing w:after="120"/>
              <w:jc w:val="right"/>
              <w:rPr>
                <w:rFonts w:ascii="Times New Roman" w:hAnsi="Times New Roman" w:cs="Times New Roman"/>
                <w:sz w:val="16"/>
                <w:szCs w:val="16"/>
              </w:rPr>
            </w:pPr>
            <w:r w:rsidRPr="00316070">
              <w:rPr>
                <w:rFonts w:ascii="Times New Roman" w:hAnsi="Times New Roman" w:cs="Times New Roman"/>
                <w:sz w:val="16"/>
                <w:szCs w:val="16"/>
              </w:rPr>
              <w:t>253 478</w:t>
            </w:r>
          </w:p>
        </w:tc>
        <w:tc>
          <w:tcPr>
            <w:tcW w:w="827" w:type="dxa"/>
            <w:vAlign w:val="center"/>
          </w:tcPr>
          <w:p w14:paraId="0B6DDBC6"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297 975</w:t>
            </w:r>
          </w:p>
        </w:tc>
        <w:tc>
          <w:tcPr>
            <w:tcW w:w="828" w:type="dxa"/>
            <w:shd w:val="clear" w:color="auto" w:fill="auto"/>
            <w:noWrap/>
            <w:vAlign w:val="center"/>
          </w:tcPr>
          <w:p w14:paraId="1094E378"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321 467</w:t>
            </w:r>
          </w:p>
        </w:tc>
        <w:tc>
          <w:tcPr>
            <w:tcW w:w="828" w:type="dxa"/>
            <w:shd w:val="clear" w:color="auto" w:fill="auto"/>
            <w:noWrap/>
            <w:vAlign w:val="center"/>
          </w:tcPr>
          <w:p w14:paraId="3AE73056"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354 817</w:t>
            </w:r>
          </w:p>
        </w:tc>
        <w:tc>
          <w:tcPr>
            <w:tcW w:w="828" w:type="dxa"/>
            <w:shd w:val="clear" w:color="auto" w:fill="auto"/>
            <w:noWrap/>
            <w:vAlign w:val="center"/>
          </w:tcPr>
          <w:p w14:paraId="5236207E"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389 204</w:t>
            </w:r>
          </w:p>
        </w:tc>
      </w:tr>
      <w:tr w:rsidR="00BD3539" w:rsidRPr="009869D3" w14:paraId="0090A796" w14:textId="77777777" w:rsidTr="006E5A9E">
        <w:trPr>
          <w:trHeight w:val="289"/>
        </w:trPr>
        <w:tc>
          <w:tcPr>
            <w:tcW w:w="3383" w:type="dxa"/>
            <w:tcBorders>
              <w:bottom w:val="single" w:sz="4" w:space="0" w:color="auto"/>
            </w:tcBorders>
            <w:shd w:val="clear" w:color="auto" w:fill="auto"/>
            <w:noWrap/>
            <w:vAlign w:val="center"/>
          </w:tcPr>
          <w:p w14:paraId="0F1BF5BC" w14:textId="77777777" w:rsidR="00BD3539" w:rsidRPr="009869D3" w:rsidRDefault="00BD3539" w:rsidP="006E5A9E">
            <w:pPr>
              <w:spacing w:after="0" w:line="240" w:lineRule="auto"/>
              <w:rPr>
                <w:rFonts w:ascii="Times New Roman" w:eastAsia="Times New Roman" w:hAnsi="Times New Roman" w:cs="Times New Roman"/>
                <w:bCs/>
                <w:color w:val="000000"/>
                <w:sz w:val="16"/>
                <w:szCs w:val="16"/>
                <w:lang w:eastAsia="sk-SK"/>
              </w:rPr>
            </w:pPr>
            <w:r>
              <w:rPr>
                <w:rFonts w:ascii="Times New Roman" w:eastAsia="Times New Roman" w:hAnsi="Times New Roman" w:cs="Times New Roman"/>
                <w:bCs/>
                <w:color w:val="000000"/>
                <w:sz w:val="16"/>
                <w:szCs w:val="16"/>
                <w:lang w:eastAsia="sk-SK"/>
              </w:rPr>
              <w:t xml:space="preserve">     </w:t>
            </w:r>
            <w:r w:rsidRPr="009869D3">
              <w:rPr>
                <w:rFonts w:ascii="Times New Roman" w:eastAsia="Times New Roman" w:hAnsi="Times New Roman" w:cs="Times New Roman"/>
                <w:bCs/>
                <w:color w:val="000000"/>
                <w:sz w:val="16"/>
                <w:szCs w:val="16"/>
                <w:lang w:eastAsia="sk-SK"/>
              </w:rPr>
              <w:t xml:space="preserve"> príjem obcí</w:t>
            </w:r>
          </w:p>
        </w:tc>
        <w:tc>
          <w:tcPr>
            <w:tcW w:w="776" w:type="dxa"/>
            <w:tcBorders>
              <w:bottom w:val="single" w:sz="4" w:space="0" w:color="auto"/>
            </w:tcBorders>
            <w:shd w:val="clear" w:color="auto" w:fill="auto"/>
            <w:noWrap/>
            <w:vAlign w:val="center"/>
          </w:tcPr>
          <w:p w14:paraId="3EAEE2F2" w14:textId="77777777" w:rsidR="00BD3539" w:rsidRPr="00034FEB" w:rsidRDefault="00BD3539" w:rsidP="006E5A9E">
            <w:pPr>
              <w:spacing w:after="120"/>
              <w:jc w:val="right"/>
              <w:rPr>
                <w:rFonts w:ascii="Times New Roman" w:hAnsi="Times New Roman" w:cs="Times New Roman"/>
                <w:sz w:val="16"/>
                <w:szCs w:val="16"/>
              </w:rPr>
            </w:pPr>
            <w:r w:rsidRPr="00034FEB">
              <w:rPr>
                <w:rFonts w:ascii="Times New Roman" w:hAnsi="Times New Roman" w:cs="Times New Roman"/>
                <w:sz w:val="16"/>
                <w:szCs w:val="16"/>
              </w:rPr>
              <w:t>12 874</w:t>
            </w:r>
          </w:p>
        </w:tc>
        <w:tc>
          <w:tcPr>
            <w:tcW w:w="775" w:type="dxa"/>
            <w:tcBorders>
              <w:bottom w:val="single" w:sz="4" w:space="0" w:color="auto"/>
            </w:tcBorders>
            <w:shd w:val="clear" w:color="auto" w:fill="auto"/>
            <w:noWrap/>
            <w:vAlign w:val="center"/>
          </w:tcPr>
          <w:p w14:paraId="5645455A" w14:textId="77777777" w:rsidR="00BD3539" w:rsidRPr="00034FEB" w:rsidRDefault="00BD3539" w:rsidP="006E5A9E">
            <w:pPr>
              <w:spacing w:after="120"/>
              <w:jc w:val="right"/>
              <w:rPr>
                <w:rFonts w:ascii="Times New Roman" w:hAnsi="Times New Roman" w:cs="Times New Roman"/>
                <w:sz w:val="16"/>
                <w:szCs w:val="16"/>
              </w:rPr>
            </w:pPr>
            <w:r w:rsidRPr="00034FEB">
              <w:rPr>
                <w:rFonts w:ascii="Times New Roman" w:hAnsi="Times New Roman" w:cs="Times New Roman"/>
                <w:sz w:val="16"/>
                <w:szCs w:val="16"/>
              </w:rPr>
              <w:t>12 049</w:t>
            </w:r>
          </w:p>
        </w:tc>
        <w:tc>
          <w:tcPr>
            <w:tcW w:w="827" w:type="dxa"/>
            <w:tcBorders>
              <w:bottom w:val="single" w:sz="4" w:space="0" w:color="auto"/>
            </w:tcBorders>
            <w:vAlign w:val="center"/>
          </w:tcPr>
          <w:p w14:paraId="3A82715A" w14:textId="77777777" w:rsidR="00BD3539" w:rsidRPr="00316070" w:rsidRDefault="00BD3539" w:rsidP="006E5A9E">
            <w:pPr>
              <w:spacing w:after="120"/>
              <w:jc w:val="right"/>
              <w:rPr>
                <w:rFonts w:ascii="Times New Roman" w:hAnsi="Times New Roman" w:cs="Times New Roman"/>
                <w:sz w:val="16"/>
                <w:szCs w:val="16"/>
              </w:rPr>
            </w:pPr>
            <w:r w:rsidRPr="00316070">
              <w:rPr>
                <w:rFonts w:ascii="Times New Roman" w:hAnsi="Times New Roman" w:cs="Times New Roman"/>
                <w:sz w:val="16"/>
                <w:szCs w:val="16"/>
              </w:rPr>
              <w:t>11 967</w:t>
            </w:r>
          </w:p>
        </w:tc>
        <w:tc>
          <w:tcPr>
            <w:tcW w:w="827" w:type="dxa"/>
            <w:tcBorders>
              <w:bottom w:val="single" w:sz="4" w:space="0" w:color="auto"/>
            </w:tcBorders>
            <w:vAlign w:val="center"/>
          </w:tcPr>
          <w:p w14:paraId="39435380"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11 749</w:t>
            </w:r>
          </w:p>
        </w:tc>
        <w:tc>
          <w:tcPr>
            <w:tcW w:w="828" w:type="dxa"/>
            <w:tcBorders>
              <w:bottom w:val="single" w:sz="4" w:space="0" w:color="auto"/>
            </w:tcBorders>
            <w:shd w:val="clear" w:color="auto" w:fill="auto"/>
            <w:noWrap/>
            <w:vAlign w:val="center"/>
          </w:tcPr>
          <w:p w14:paraId="66E72C1D"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11 749</w:t>
            </w:r>
          </w:p>
        </w:tc>
        <w:tc>
          <w:tcPr>
            <w:tcW w:w="828" w:type="dxa"/>
            <w:tcBorders>
              <w:bottom w:val="single" w:sz="4" w:space="0" w:color="auto"/>
            </w:tcBorders>
            <w:shd w:val="clear" w:color="auto" w:fill="auto"/>
            <w:noWrap/>
            <w:vAlign w:val="center"/>
          </w:tcPr>
          <w:p w14:paraId="4D9453D6"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11 749</w:t>
            </w:r>
          </w:p>
        </w:tc>
        <w:tc>
          <w:tcPr>
            <w:tcW w:w="828" w:type="dxa"/>
            <w:tcBorders>
              <w:bottom w:val="single" w:sz="4" w:space="0" w:color="auto"/>
            </w:tcBorders>
            <w:shd w:val="clear" w:color="auto" w:fill="auto"/>
            <w:noWrap/>
            <w:vAlign w:val="center"/>
          </w:tcPr>
          <w:p w14:paraId="4E6129E2" w14:textId="77777777" w:rsidR="00BD3539" w:rsidRPr="00E77472" w:rsidRDefault="00BD3539" w:rsidP="006E5A9E">
            <w:pPr>
              <w:spacing w:after="120"/>
              <w:jc w:val="right"/>
              <w:rPr>
                <w:rFonts w:ascii="Times New Roman" w:hAnsi="Times New Roman" w:cs="Times New Roman"/>
                <w:sz w:val="16"/>
                <w:szCs w:val="16"/>
                <w:highlight w:val="yellow"/>
              </w:rPr>
            </w:pPr>
            <w:r w:rsidRPr="00E77472">
              <w:rPr>
                <w:rFonts w:ascii="Times New Roman" w:hAnsi="Times New Roman" w:cs="Times New Roman"/>
                <w:sz w:val="16"/>
                <w:szCs w:val="16"/>
              </w:rPr>
              <w:t>11 749</w:t>
            </w:r>
          </w:p>
        </w:tc>
      </w:tr>
    </w:tbl>
    <w:p w14:paraId="4879C8DC" w14:textId="256CED72" w:rsidR="00BD3539" w:rsidRPr="009869D3" w:rsidRDefault="00BD3539" w:rsidP="00BD3539">
      <w:pPr>
        <w:spacing w:after="0" w:line="240" w:lineRule="auto"/>
        <w:rPr>
          <w:rFonts w:ascii="Times New Roman" w:eastAsia="Times New Roman" w:hAnsi="Times New Roman" w:cs="Times New Roman"/>
          <w:bCs/>
          <w:i/>
          <w:sz w:val="16"/>
          <w:szCs w:val="16"/>
        </w:rPr>
      </w:pPr>
      <w:r w:rsidRPr="009869D3">
        <w:rPr>
          <w:rFonts w:ascii="Times New Roman" w:eastAsia="Times New Roman" w:hAnsi="Times New Roman" w:cs="Times New Roman"/>
          <w:bCs/>
          <w:color w:val="000000"/>
          <w:sz w:val="16"/>
          <w:szCs w:val="16"/>
          <w:lang w:eastAsia="sk-SK"/>
        </w:rPr>
        <w:t>*</w:t>
      </w:r>
      <w:r w:rsidRPr="009869D3">
        <w:rPr>
          <w:rFonts w:ascii="Times New Roman" w:eastAsia="Times New Roman" w:hAnsi="Times New Roman" w:cs="Times New Roman"/>
          <w:bCs/>
          <w:i/>
          <w:sz w:val="16"/>
          <w:szCs w:val="16"/>
        </w:rPr>
        <w:t xml:space="preserve">Dividendy len </w:t>
      </w:r>
      <w:r w:rsidR="00037FE6">
        <w:rPr>
          <w:rFonts w:ascii="Times New Roman" w:eastAsia="Times New Roman" w:hAnsi="Times New Roman" w:cs="Times New Roman"/>
          <w:bCs/>
          <w:i/>
          <w:sz w:val="16"/>
          <w:szCs w:val="16"/>
        </w:rPr>
        <w:t>pod</w:t>
      </w:r>
      <w:r>
        <w:rPr>
          <w:rFonts w:ascii="Times New Roman" w:eastAsia="Times New Roman" w:hAnsi="Times New Roman" w:cs="Times New Roman"/>
          <w:bCs/>
          <w:i/>
          <w:sz w:val="16"/>
          <w:szCs w:val="16"/>
        </w:rPr>
        <w:t xml:space="preserve">položka ekonomickej klasifikácie </w:t>
      </w:r>
      <w:r w:rsidRPr="009869D3">
        <w:rPr>
          <w:rFonts w:ascii="Times New Roman" w:eastAsia="Times New Roman" w:hAnsi="Times New Roman" w:cs="Times New Roman"/>
          <w:bCs/>
          <w:i/>
          <w:sz w:val="16"/>
          <w:szCs w:val="16"/>
        </w:rPr>
        <w:t>211003</w:t>
      </w:r>
    </w:p>
    <w:p w14:paraId="031B6F93" w14:textId="77777777" w:rsidR="00BD3539" w:rsidRDefault="00BD3539" w:rsidP="00BD3539">
      <w:pPr>
        <w:spacing w:after="0" w:line="240" w:lineRule="auto"/>
        <w:rPr>
          <w:rFonts w:ascii="Times New Roman" w:eastAsia="Times New Roman" w:hAnsi="Times New Roman" w:cs="Times New Roman"/>
          <w:bCs/>
          <w:i/>
          <w:sz w:val="16"/>
          <w:szCs w:val="16"/>
        </w:rPr>
      </w:pPr>
      <w:r w:rsidRPr="009869D3">
        <w:rPr>
          <w:rFonts w:ascii="Times New Roman" w:eastAsia="Times New Roman" w:hAnsi="Times New Roman" w:cs="Times New Roman"/>
          <w:bCs/>
          <w:i/>
          <w:sz w:val="16"/>
          <w:szCs w:val="16"/>
        </w:rPr>
        <w:t xml:space="preserve">** Príjmy </w:t>
      </w:r>
      <w:r>
        <w:rPr>
          <w:rFonts w:ascii="Times New Roman" w:eastAsia="Times New Roman" w:hAnsi="Times New Roman" w:cs="Times New Roman"/>
          <w:bCs/>
          <w:i/>
          <w:sz w:val="16"/>
          <w:szCs w:val="16"/>
        </w:rPr>
        <w:t>na kategórii 220 ekonomickej klasifikácie</w:t>
      </w:r>
    </w:p>
    <w:p w14:paraId="4E941C90" w14:textId="77777777" w:rsidR="00BD3539" w:rsidRDefault="00BD3539" w:rsidP="00BD3539">
      <w:pPr>
        <w:spacing w:after="0"/>
        <w:jc w:val="both"/>
        <w:rPr>
          <w:rFonts w:ascii="Times New Roman" w:eastAsia="Calibri" w:hAnsi="Times New Roman" w:cs="Times New Roman"/>
          <w:b/>
          <w:sz w:val="24"/>
          <w:szCs w:val="24"/>
          <w:highlight w:val="yellow"/>
        </w:rPr>
      </w:pPr>
    </w:p>
    <w:p w14:paraId="2318A911" w14:textId="77777777" w:rsidR="00BD3539" w:rsidRPr="00034FEB" w:rsidRDefault="00BD3539" w:rsidP="00BD3539">
      <w:pPr>
        <w:spacing w:after="0"/>
        <w:jc w:val="both"/>
        <w:rPr>
          <w:rFonts w:ascii="Times New Roman" w:eastAsia="Calibri" w:hAnsi="Times New Roman" w:cs="Times New Roman"/>
          <w:sz w:val="24"/>
          <w:szCs w:val="24"/>
        </w:rPr>
      </w:pPr>
      <w:r w:rsidRPr="00034FEB">
        <w:rPr>
          <w:rFonts w:ascii="Times New Roman" w:eastAsia="Calibri" w:hAnsi="Times New Roman" w:cs="Times New Roman"/>
          <w:sz w:val="24"/>
          <w:szCs w:val="24"/>
        </w:rPr>
        <w:t>V prognóze je zahrnutá aj nová legislatíva, ktorá bola schválená ešte v decembri 2022, ale nebola zapracovaná do rozpočtu na roky 2023 až 2025.</w:t>
      </w:r>
    </w:p>
    <w:p w14:paraId="041AB91C" w14:textId="77777777" w:rsidR="00BD3539" w:rsidRDefault="00BD3539" w:rsidP="00BD3539">
      <w:pPr>
        <w:spacing w:after="0"/>
        <w:jc w:val="both"/>
        <w:rPr>
          <w:rFonts w:ascii="Times New Roman" w:eastAsia="Calibri" w:hAnsi="Times New Roman" w:cs="Times New Roman"/>
          <w:b/>
          <w:sz w:val="24"/>
          <w:szCs w:val="24"/>
          <w:highlight w:val="yellow"/>
        </w:rPr>
      </w:pPr>
    </w:p>
    <w:p w14:paraId="103C2909" w14:textId="28B7E923" w:rsidR="00BD3539" w:rsidRPr="00084ECE" w:rsidRDefault="00BD3539" w:rsidP="00BD3539">
      <w:pPr>
        <w:pBdr>
          <w:top w:val="nil"/>
          <w:left w:val="nil"/>
          <w:bottom w:val="nil"/>
          <w:right w:val="nil"/>
          <w:between w:val="nil"/>
          <w:bar w:val="nil"/>
        </w:pBdr>
        <w:spacing w:after="0" w:line="240" w:lineRule="auto"/>
        <w:jc w:val="both"/>
        <w:rPr>
          <w:rFonts w:ascii="Times New Roman" w:eastAsia="Arial Narrow" w:hAnsi="Times New Roman" w:cs="Times New Roman"/>
          <w:b/>
          <w:bCs/>
          <w:noProof/>
          <w:color w:val="5B9BD5" w:themeColor="accent1"/>
          <w:sz w:val="20"/>
          <w:szCs w:val="24"/>
          <w:bdr w:val="nil"/>
          <w:lang w:eastAsia="sk-SK"/>
        </w:rPr>
      </w:pPr>
      <w:bookmarkStart w:id="111" w:name="_Toc153013029"/>
      <w:r w:rsidRPr="00084ECE">
        <w:rPr>
          <w:rFonts w:ascii="Times New Roman" w:eastAsia="Arial Narrow" w:hAnsi="Times New Roman" w:cs="Times New Roman"/>
          <w:b/>
          <w:bCs/>
          <w:noProof/>
          <w:color w:val="5B9BD5" w:themeColor="accent1"/>
          <w:sz w:val="20"/>
          <w:szCs w:val="24"/>
          <w:bdr w:val="nil"/>
          <w:lang w:eastAsia="sk-SK"/>
        </w:rPr>
        <w:t xml:space="preserve">Tabuľka </w:t>
      </w:r>
      <w:r>
        <w:rPr>
          <w:rFonts w:ascii="Times New Roman" w:eastAsia="Arial Narrow" w:hAnsi="Times New Roman" w:cs="Times New Roman"/>
          <w:b/>
          <w:bCs/>
          <w:noProof/>
          <w:color w:val="5B9BD5" w:themeColor="accent1"/>
          <w:sz w:val="20"/>
          <w:szCs w:val="24"/>
          <w:bdr w:val="nil"/>
          <w:lang w:eastAsia="sk-SK"/>
        </w:rPr>
        <w:fldChar w:fldCharType="begin"/>
      </w:r>
      <w:r>
        <w:rPr>
          <w:rFonts w:ascii="Times New Roman" w:eastAsia="Arial Narrow" w:hAnsi="Times New Roman" w:cs="Times New Roman"/>
          <w:b/>
          <w:bCs/>
          <w:noProof/>
          <w:color w:val="5B9BD5" w:themeColor="accent1"/>
          <w:sz w:val="20"/>
          <w:szCs w:val="24"/>
          <w:bdr w:val="nil"/>
          <w:lang w:eastAsia="sk-SK"/>
        </w:rPr>
        <w:instrText xml:space="preserve"> SEQ Tabuľka \* ARABIC </w:instrText>
      </w:r>
      <w:r>
        <w:rPr>
          <w:rFonts w:ascii="Times New Roman" w:eastAsia="Arial Narrow" w:hAnsi="Times New Roman" w:cs="Times New Roman"/>
          <w:b/>
          <w:bCs/>
          <w:noProof/>
          <w:color w:val="5B9BD5" w:themeColor="accent1"/>
          <w:sz w:val="20"/>
          <w:szCs w:val="24"/>
          <w:bdr w:val="nil"/>
          <w:lang w:eastAsia="sk-SK"/>
        </w:rPr>
        <w:fldChar w:fldCharType="separate"/>
      </w:r>
      <w:r w:rsidR="003D5A3A">
        <w:rPr>
          <w:rFonts w:ascii="Times New Roman" w:eastAsia="Arial Narrow" w:hAnsi="Times New Roman" w:cs="Times New Roman"/>
          <w:b/>
          <w:bCs/>
          <w:noProof/>
          <w:color w:val="5B9BD5" w:themeColor="accent1"/>
          <w:sz w:val="20"/>
          <w:szCs w:val="24"/>
          <w:bdr w:val="nil"/>
          <w:lang w:eastAsia="sk-SK"/>
        </w:rPr>
        <w:t>31</w:t>
      </w:r>
      <w:r>
        <w:rPr>
          <w:rFonts w:ascii="Times New Roman" w:eastAsia="Arial Narrow" w:hAnsi="Times New Roman" w:cs="Times New Roman"/>
          <w:b/>
          <w:bCs/>
          <w:noProof/>
          <w:color w:val="5B9BD5" w:themeColor="accent1"/>
          <w:sz w:val="20"/>
          <w:szCs w:val="24"/>
          <w:bdr w:val="nil"/>
          <w:lang w:eastAsia="sk-SK"/>
        </w:rPr>
        <w:fldChar w:fldCharType="end"/>
      </w:r>
      <w:r w:rsidRPr="00084ECE">
        <w:rPr>
          <w:rFonts w:ascii="Times New Roman" w:eastAsia="Arial Narrow" w:hAnsi="Times New Roman" w:cs="Times New Roman"/>
          <w:b/>
          <w:bCs/>
          <w:noProof/>
          <w:color w:val="5B9BD5" w:themeColor="accent1"/>
          <w:sz w:val="20"/>
          <w:szCs w:val="24"/>
          <w:bdr w:val="nil"/>
          <w:lang w:eastAsia="sk-SK"/>
        </w:rPr>
        <w:t xml:space="preserve"> </w:t>
      </w:r>
      <w:r>
        <w:rPr>
          <w:rFonts w:ascii="Times New Roman" w:eastAsia="Arial Narrow" w:hAnsi="Times New Roman" w:cs="Times New Roman"/>
          <w:b/>
          <w:bCs/>
          <w:noProof/>
          <w:color w:val="5B9BD5" w:themeColor="accent1"/>
          <w:sz w:val="20"/>
          <w:szCs w:val="24"/>
          <w:bdr w:val="nil"/>
          <w:lang w:eastAsia="sk-SK"/>
        </w:rPr>
        <w:t>–</w:t>
      </w:r>
      <w:r w:rsidRPr="00084ECE">
        <w:rPr>
          <w:rFonts w:ascii="Times New Roman" w:eastAsia="Arial Narrow" w:hAnsi="Times New Roman" w:cs="Times New Roman"/>
          <w:b/>
          <w:bCs/>
          <w:noProof/>
          <w:color w:val="5B9BD5" w:themeColor="accent1"/>
          <w:sz w:val="20"/>
          <w:szCs w:val="24"/>
          <w:bdr w:val="nil"/>
          <w:lang w:eastAsia="sk-SK"/>
        </w:rPr>
        <w:t xml:space="preserve"> </w:t>
      </w:r>
      <w:r>
        <w:rPr>
          <w:rFonts w:ascii="Times New Roman" w:eastAsia="Arial Narrow" w:hAnsi="Times New Roman" w:cs="Times New Roman"/>
          <w:b/>
          <w:bCs/>
          <w:noProof/>
          <w:color w:val="5B9BD5" w:themeColor="accent1"/>
          <w:sz w:val="20"/>
          <w:szCs w:val="24"/>
          <w:bdr w:val="nil"/>
          <w:lang w:eastAsia="sk-SK"/>
        </w:rPr>
        <w:t>Legislatívne opatrenia zapracované v aktuálnej prognóze (ESA 2010, v tis. eur)</w:t>
      </w:r>
      <w:bookmarkEnd w:id="111"/>
    </w:p>
    <w:tbl>
      <w:tblPr>
        <w:tblW w:w="5000" w:type="pct"/>
        <w:tblInd w:w="-5" w:type="dxa"/>
        <w:tblLayout w:type="fixed"/>
        <w:tblCellMar>
          <w:left w:w="70" w:type="dxa"/>
          <w:right w:w="70" w:type="dxa"/>
        </w:tblCellMar>
        <w:tblLook w:val="04A0" w:firstRow="1" w:lastRow="0" w:firstColumn="1" w:lastColumn="0" w:noHBand="0" w:noVBand="1"/>
      </w:tblPr>
      <w:tblGrid>
        <w:gridCol w:w="4125"/>
        <w:gridCol w:w="1125"/>
        <w:gridCol w:w="1276"/>
        <w:gridCol w:w="1276"/>
        <w:gridCol w:w="1270"/>
      </w:tblGrid>
      <w:tr w:rsidR="00BD3539" w:rsidRPr="009869D3" w14:paraId="0A72F052" w14:textId="77777777" w:rsidTr="006E5A9E">
        <w:trPr>
          <w:trHeight w:val="289"/>
        </w:trPr>
        <w:tc>
          <w:tcPr>
            <w:tcW w:w="4125" w:type="dxa"/>
            <w:tcBorders>
              <w:top w:val="single" w:sz="4" w:space="0" w:color="auto"/>
              <w:bottom w:val="single" w:sz="4" w:space="0" w:color="auto"/>
            </w:tcBorders>
            <w:shd w:val="clear" w:color="auto" w:fill="auto"/>
            <w:vAlign w:val="center"/>
            <w:hideMark/>
          </w:tcPr>
          <w:p w14:paraId="6EFF0B25" w14:textId="77777777" w:rsidR="00BD3539" w:rsidRPr="00710130" w:rsidRDefault="00BD3539" w:rsidP="006E5A9E">
            <w:pPr>
              <w:spacing w:after="0" w:line="240" w:lineRule="auto"/>
              <w:rPr>
                <w:rFonts w:ascii="Times New Roman" w:eastAsia="Times New Roman" w:hAnsi="Times New Roman" w:cs="Times New Roman"/>
                <w:b/>
                <w:bCs/>
                <w:color w:val="000000"/>
                <w:sz w:val="16"/>
                <w:szCs w:val="16"/>
                <w:lang w:eastAsia="sk-SK"/>
              </w:rPr>
            </w:pPr>
          </w:p>
        </w:tc>
        <w:tc>
          <w:tcPr>
            <w:tcW w:w="1125" w:type="dxa"/>
            <w:tcBorders>
              <w:top w:val="single" w:sz="4" w:space="0" w:color="auto"/>
              <w:bottom w:val="single" w:sz="4" w:space="0" w:color="auto"/>
            </w:tcBorders>
            <w:vAlign w:val="center"/>
          </w:tcPr>
          <w:p w14:paraId="495B7238" w14:textId="77777777" w:rsidR="00BD3539" w:rsidRPr="00AD5490" w:rsidRDefault="00BD3539" w:rsidP="006E5A9E">
            <w:pPr>
              <w:spacing w:after="0" w:line="240" w:lineRule="auto"/>
              <w:jc w:val="right"/>
              <w:rPr>
                <w:rFonts w:ascii="Times New Roman" w:eastAsia="Times New Roman" w:hAnsi="Times New Roman" w:cs="Times New Roman"/>
                <w:b/>
                <w:bCs/>
                <w:color w:val="000000"/>
                <w:sz w:val="16"/>
                <w:szCs w:val="16"/>
                <w:lang w:eastAsia="sk-SK"/>
              </w:rPr>
            </w:pPr>
            <w:r w:rsidRPr="00AD5490">
              <w:rPr>
                <w:rFonts w:ascii="Times New Roman" w:eastAsia="Times New Roman" w:hAnsi="Times New Roman" w:cs="Times New Roman"/>
                <w:b/>
                <w:bCs/>
                <w:color w:val="000000"/>
                <w:sz w:val="16"/>
                <w:szCs w:val="16"/>
                <w:lang w:eastAsia="sk-SK"/>
              </w:rPr>
              <w:t>2023</w:t>
            </w:r>
            <w:r>
              <w:rPr>
                <w:rFonts w:ascii="Times New Roman" w:eastAsia="Times New Roman" w:hAnsi="Times New Roman" w:cs="Times New Roman"/>
                <w:b/>
                <w:bCs/>
                <w:color w:val="000000"/>
                <w:sz w:val="16"/>
                <w:szCs w:val="16"/>
                <w:lang w:eastAsia="sk-SK"/>
              </w:rPr>
              <w:t xml:space="preserve"> OS</w:t>
            </w:r>
          </w:p>
        </w:tc>
        <w:tc>
          <w:tcPr>
            <w:tcW w:w="1276" w:type="dxa"/>
            <w:tcBorders>
              <w:top w:val="single" w:sz="4" w:space="0" w:color="auto"/>
              <w:bottom w:val="single" w:sz="4" w:space="0" w:color="auto"/>
            </w:tcBorders>
            <w:shd w:val="clear" w:color="auto" w:fill="auto"/>
            <w:noWrap/>
            <w:vAlign w:val="center"/>
            <w:hideMark/>
          </w:tcPr>
          <w:p w14:paraId="543997D9" w14:textId="77777777" w:rsidR="00BD3539" w:rsidRPr="00AD5490" w:rsidRDefault="00BD3539" w:rsidP="006E5A9E">
            <w:pPr>
              <w:spacing w:after="0" w:line="240" w:lineRule="auto"/>
              <w:jc w:val="right"/>
              <w:rPr>
                <w:rFonts w:ascii="Times New Roman" w:eastAsia="Times New Roman" w:hAnsi="Times New Roman" w:cs="Times New Roman"/>
                <w:b/>
                <w:bCs/>
                <w:color w:val="000000"/>
                <w:sz w:val="16"/>
                <w:szCs w:val="16"/>
                <w:lang w:eastAsia="sk-SK"/>
              </w:rPr>
            </w:pPr>
            <w:r w:rsidRPr="00AD5490">
              <w:rPr>
                <w:rFonts w:ascii="Times New Roman" w:eastAsia="Times New Roman" w:hAnsi="Times New Roman" w:cs="Times New Roman"/>
                <w:b/>
                <w:bCs/>
                <w:color w:val="000000"/>
                <w:sz w:val="16"/>
                <w:szCs w:val="16"/>
                <w:lang w:eastAsia="sk-SK"/>
              </w:rPr>
              <w:t>2024</w:t>
            </w:r>
            <w:r>
              <w:rPr>
                <w:rFonts w:ascii="Times New Roman" w:eastAsia="Times New Roman" w:hAnsi="Times New Roman" w:cs="Times New Roman"/>
                <w:b/>
                <w:bCs/>
                <w:color w:val="000000"/>
                <w:sz w:val="16"/>
                <w:szCs w:val="16"/>
                <w:lang w:eastAsia="sk-SK"/>
              </w:rPr>
              <w:t xml:space="preserve"> N</w:t>
            </w:r>
          </w:p>
        </w:tc>
        <w:tc>
          <w:tcPr>
            <w:tcW w:w="1276" w:type="dxa"/>
            <w:tcBorders>
              <w:top w:val="single" w:sz="4" w:space="0" w:color="auto"/>
              <w:bottom w:val="single" w:sz="4" w:space="0" w:color="auto"/>
            </w:tcBorders>
            <w:shd w:val="clear" w:color="auto" w:fill="auto"/>
            <w:noWrap/>
            <w:vAlign w:val="center"/>
            <w:hideMark/>
          </w:tcPr>
          <w:p w14:paraId="408340F0" w14:textId="77777777" w:rsidR="00BD3539" w:rsidRPr="00AD5490" w:rsidRDefault="00BD3539" w:rsidP="006E5A9E">
            <w:pPr>
              <w:spacing w:after="0" w:line="240" w:lineRule="auto"/>
              <w:jc w:val="right"/>
              <w:rPr>
                <w:rFonts w:ascii="Times New Roman" w:eastAsia="Times New Roman" w:hAnsi="Times New Roman" w:cs="Times New Roman"/>
                <w:b/>
                <w:bCs/>
                <w:color w:val="000000"/>
                <w:sz w:val="16"/>
                <w:szCs w:val="16"/>
                <w:lang w:eastAsia="sk-SK"/>
              </w:rPr>
            </w:pPr>
            <w:r w:rsidRPr="00AD5490">
              <w:rPr>
                <w:rFonts w:ascii="Times New Roman" w:eastAsia="Times New Roman" w:hAnsi="Times New Roman" w:cs="Times New Roman"/>
                <w:b/>
                <w:bCs/>
                <w:color w:val="000000"/>
                <w:sz w:val="16"/>
                <w:szCs w:val="16"/>
                <w:lang w:eastAsia="sk-SK"/>
              </w:rPr>
              <w:t>2025</w:t>
            </w:r>
            <w:r>
              <w:rPr>
                <w:rFonts w:ascii="Times New Roman" w:eastAsia="Times New Roman" w:hAnsi="Times New Roman" w:cs="Times New Roman"/>
                <w:b/>
                <w:bCs/>
                <w:color w:val="000000"/>
                <w:sz w:val="16"/>
                <w:szCs w:val="16"/>
                <w:lang w:eastAsia="sk-SK"/>
              </w:rPr>
              <w:t xml:space="preserve"> N</w:t>
            </w:r>
          </w:p>
        </w:tc>
        <w:tc>
          <w:tcPr>
            <w:tcW w:w="1270" w:type="dxa"/>
            <w:tcBorders>
              <w:top w:val="single" w:sz="4" w:space="0" w:color="auto"/>
              <w:bottom w:val="single" w:sz="4" w:space="0" w:color="auto"/>
            </w:tcBorders>
            <w:shd w:val="clear" w:color="auto" w:fill="auto"/>
            <w:noWrap/>
            <w:vAlign w:val="center"/>
            <w:hideMark/>
          </w:tcPr>
          <w:p w14:paraId="065F209E" w14:textId="77777777" w:rsidR="00BD3539" w:rsidRPr="00AD5490" w:rsidRDefault="00BD3539" w:rsidP="006E5A9E">
            <w:pPr>
              <w:spacing w:after="0" w:line="240" w:lineRule="auto"/>
              <w:jc w:val="right"/>
              <w:rPr>
                <w:rFonts w:ascii="Times New Roman" w:eastAsia="Times New Roman" w:hAnsi="Times New Roman" w:cs="Times New Roman"/>
                <w:b/>
                <w:bCs/>
                <w:color w:val="000000"/>
                <w:sz w:val="16"/>
                <w:szCs w:val="16"/>
                <w:lang w:eastAsia="sk-SK"/>
              </w:rPr>
            </w:pPr>
            <w:r w:rsidRPr="00AD5490">
              <w:rPr>
                <w:rFonts w:ascii="Times New Roman" w:eastAsia="Times New Roman" w:hAnsi="Times New Roman" w:cs="Times New Roman"/>
                <w:b/>
                <w:bCs/>
                <w:color w:val="000000"/>
                <w:sz w:val="16"/>
                <w:szCs w:val="16"/>
                <w:lang w:eastAsia="sk-SK"/>
              </w:rPr>
              <w:t>2026</w:t>
            </w:r>
            <w:r>
              <w:rPr>
                <w:rFonts w:ascii="Times New Roman" w:eastAsia="Times New Roman" w:hAnsi="Times New Roman" w:cs="Times New Roman"/>
                <w:b/>
                <w:bCs/>
                <w:color w:val="000000"/>
                <w:sz w:val="16"/>
                <w:szCs w:val="16"/>
                <w:lang w:eastAsia="sk-SK"/>
              </w:rPr>
              <w:t xml:space="preserve"> N</w:t>
            </w:r>
          </w:p>
        </w:tc>
      </w:tr>
      <w:tr w:rsidR="00BD3539" w:rsidRPr="009869D3" w14:paraId="553A3BFC" w14:textId="77777777" w:rsidTr="006E5A9E">
        <w:trPr>
          <w:trHeight w:val="289"/>
        </w:trPr>
        <w:tc>
          <w:tcPr>
            <w:tcW w:w="4125" w:type="dxa"/>
            <w:shd w:val="clear" w:color="auto" w:fill="auto"/>
            <w:noWrap/>
            <w:vAlign w:val="bottom"/>
          </w:tcPr>
          <w:p w14:paraId="767A1FA0" w14:textId="77777777" w:rsidR="00BD3539" w:rsidRPr="00034FEB" w:rsidRDefault="00BD3539" w:rsidP="006E5A9E">
            <w:pPr>
              <w:spacing w:after="120"/>
              <w:rPr>
                <w:rFonts w:ascii="Times New Roman" w:hAnsi="Times New Roman" w:cs="Times New Roman"/>
                <w:color w:val="000000"/>
                <w:sz w:val="16"/>
                <w:szCs w:val="16"/>
              </w:rPr>
            </w:pPr>
            <w:r w:rsidRPr="00034FEB">
              <w:rPr>
                <w:rFonts w:ascii="Times New Roman" w:hAnsi="Times New Roman" w:cs="Times New Roman"/>
                <w:color w:val="000000"/>
                <w:sz w:val="16"/>
                <w:szCs w:val="16"/>
              </w:rPr>
              <w:t xml:space="preserve">Odvody z hazardných hier </w:t>
            </w:r>
          </w:p>
        </w:tc>
        <w:tc>
          <w:tcPr>
            <w:tcW w:w="1125" w:type="dxa"/>
            <w:vAlign w:val="bottom"/>
          </w:tcPr>
          <w:p w14:paraId="461C32EA" w14:textId="77777777" w:rsidR="00BD3539" w:rsidRPr="006544D7" w:rsidRDefault="00BD3539" w:rsidP="006E5A9E">
            <w:pPr>
              <w:spacing w:after="120"/>
              <w:jc w:val="right"/>
              <w:rPr>
                <w:rFonts w:ascii="Times New Roman" w:hAnsi="Times New Roman" w:cs="Times New Roman"/>
                <w:color w:val="000000"/>
                <w:sz w:val="16"/>
                <w:szCs w:val="16"/>
              </w:rPr>
            </w:pPr>
            <w:r w:rsidRPr="006544D7">
              <w:rPr>
                <w:rFonts w:ascii="Times New Roman" w:hAnsi="Times New Roman" w:cs="Times New Roman"/>
                <w:color w:val="000000"/>
                <w:sz w:val="16"/>
                <w:szCs w:val="16"/>
              </w:rPr>
              <w:t>24 902</w:t>
            </w:r>
          </w:p>
        </w:tc>
        <w:tc>
          <w:tcPr>
            <w:tcW w:w="1276" w:type="dxa"/>
            <w:shd w:val="clear" w:color="auto" w:fill="auto"/>
            <w:noWrap/>
            <w:vAlign w:val="bottom"/>
          </w:tcPr>
          <w:p w14:paraId="42DA032A" w14:textId="77777777" w:rsidR="00BD3539" w:rsidRPr="00E77472" w:rsidRDefault="00BD3539" w:rsidP="006E5A9E">
            <w:pPr>
              <w:spacing w:after="120"/>
              <w:jc w:val="right"/>
              <w:rPr>
                <w:rFonts w:ascii="Times New Roman" w:hAnsi="Times New Roman" w:cs="Times New Roman"/>
                <w:color w:val="000000"/>
                <w:sz w:val="16"/>
                <w:szCs w:val="16"/>
              </w:rPr>
            </w:pPr>
            <w:r w:rsidRPr="00E77472">
              <w:rPr>
                <w:rFonts w:ascii="Times New Roman" w:hAnsi="Times New Roman" w:cs="Times New Roman"/>
                <w:color w:val="000000"/>
                <w:sz w:val="16"/>
                <w:szCs w:val="16"/>
              </w:rPr>
              <w:t>26 984</w:t>
            </w:r>
          </w:p>
        </w:tc>
        <w:tc>
          <w:tcPr>
            <w:tcW w:w="1276" w:type="dxa"/>
            <w:shd w:val="clear" w:color="auto" w:fill="auto"/>
            <w:noWrap/>
            <w:vAlign w:val="bottom"/>
          </w:tcPr>
          <w:p w14:paraId="40B83906" w14:textId="77777777" w:rsidR="00BD3539" w:rsidRPr="00E77472" w:rsidRDefault="00BD3539" w:rsidP="006E5A9E">
            <w:pPr>
              <w:spacing w:after="120"/>
              <w:jc w:val="right"/>
              <w:rPr>
                <w:rFonts w:ascii="Times New Roman" w:hAnsi="Times New Roman" w:cs="Times New Roman"/>
                <w:color w:val="000000"/>
                <w:sz w:val="16"/>
                <w:szCs w:val="16"/>
              </w:rPr>
            </w:pPr>
            <w:r w:rsidRPr="00E77472">
              <w:rPr>
                <w:rFonts w:ascii="Times New Roman" w:hAnsi="Times New Roman" w:cs="Times New Roman"/>
                <w:color w:val="000000"/>
                <w:sz w:val="16"/>
                <w:szCs w:val="16"/>
              </w:rPr>
              <w:t>31 170</w:t>
            </w:r>
          </w:p>
        </w:tc>
        <w:tc>
          <w:tcPr>
            <w:tcW w:w="1270" w:type="dxa"/>
            <w:shd w:val="clear" w:color="auto" w:fill="auto"/>
            <w:noWrap/>
            <w:vAlign w:val="bottom"/>
          </w:tcPr>
          <w:p w14:paraId="7670820E" w14:textId="77777777" w:rsidR="00BD3539" w:rsidRPr="00E77472" w:rsidRDefault="00BD3539" w:rsidP="006E5A9E">
            <w:pPr>
              <w:spacing w:after="120"/>
              <w:jc w:val="right"/>
              <w:rPr>
                <w:rFonts w:ascii="Times New Roman" w:hAnsi="Times New Roman" w:cs="Times New Roman"/>
                <w:color w:val="000000"/>
                <w:sz w:val="16"/>
                <w:szCs w:val="16"/>
              </w:rPr>
            </w:pPr>
            <w:r w:rsidRPr="00E77472">
              <w:rPr>
                <w:rFonts w:ascii="Times New Roman" w:hAnsi="Times New Roman" w:cs="Times New Roman"/>
                <w:color w:val="000000"/>
                <w:sz w:val="16"/>
                <w:szCs w:val="16"/>
              </w:rPr>
              <w:t>35 580</w:t>
            </w:r>
          </w:p>
        </w:tc>
      </w:tr>
      <w:tr w:rsidR="00BD3539" w:rsidRPr="009869D3" w14:paraId="07B44455" w14:textId="77777777" w:rsidTr="006E5A9E">
        <w:trPr>
          <w:trHeight w:val="289"/>
        </w:trPr>
        <w:tc>
          <w:tcPr>
            <w:tcW w:w="4125" w:type="dxa"/>
            <w:tcBorders>
              <w:bottom w:val="single" w:sz="4" w:space="0" w:color="auto"/>
            </w:tcBorders>
            <w:shd w:val="clear" w:color="auto" w:fill="auto"/>
            <w:noWrap/>
            <w:vAlign w:val="bottom"/>
          </w:tcPr>
          <w:p w14:paraId="361C17C7" w14:textId="77777777" w:rsidR="00BD3539" w:rsidRPr="00034FEB" w:rsidRDefault="00BD3539" w:rsidP="006E5A9E">
            <w:pPr>
              <w:spacing w:after="120"/>
              <w:rPr>
                <w:rFonts w:ascii="Times New Roman" w:hAnsi="Times New Roman" w:cs="Times New Roman"/>
                <w:color w:val="000000"/>
                <w:sz w:val="16"/>
                <w:szCs w:val="16"/>
              </w:rPr>
            </w:pPr>
            <w:r w:rsidRPr="00034FEB">
              <w:rPr>
                <w:rFonts w:ascii="Times New Roman" w:hAnsi="Times New Roman" w:cs="Times New Roman"/>
                <w:color w:val="000000"/>
                <w:sz w:val="16"/>
                <w:szCs w:val="16"/>
              </w:rPr>
              <w:t>Zvýšenie cien diaľničných známok</w:t>
            </w:r>
            <w:r>
              <w:rPr>
                <w:rFonts w:ascii="Times New Roman" w:hAnsi="Times New Roman" w:cs="Times New Roman"/>
                <w:color w:val="000000"/>
                <w:sz w:val="16"/>
                <w:szCs w:val="16"/>
              </w:rPr>
              <w:t xml:space="preserve"> od 1.1.2023</w:t>
            </w:r>
          </w:p>
        </w:tc>
        <w:tc>
          <w:tcPr>
            <w:tcW w:w="1125" w:type="dxa"/>
            <w:tcBorders>
              <w:bottom w:val="single" w:sz="4" w:space="0" w:color="auto"/>
            </w:tcBorders>
            <w:vAlign w:val="bottom"/>
          </w:tcPr>
          <w:p w14:paraId="6EC8EFFA" w14:textId="77777777" w:rsidR="00BD3539" w:rsidRPr="006544D7" w:rsidRDefault="00BD3539" w:rsidP="006E5A9E">
            <w:pPr>
              <w:spacing w:after="120"/>
              <w:jc w:val="right"/>
              <w:rPr>
                <w:rFonts w:ascii="Times New Roman" w:hAnsi="Times New Roman" w:cs="Times New Roman"/>
                <w:color w:val="000000"/>
                <w:sz w:val="16"/>
                <w:szCs w:val="16"/>
              </w:rPr>
            </w:pPr>
            <w:r w:rsidRPr="006544D7">
              <w:rPr>
                <w:rFonts w:ascii="Times New Roman" w:hAnsi="Times New Roman" w:cs="Times New Roman"/>
                <w:color w:val="000000"/>
                <w:sz w:val="16"/>
                <w:szCs w:val="16"/>
              </w:rPr>
              <w:t>20 651</w:t>
            </w:r>
          </w:p>
        </w:tc>
        <w:tc>
          <w:tcPr>
            <w:tcW w:w="1276" w:type="dxa"/>
            <w:tcBorders>
              <w:bottom w:val="single" w:sz="4" w:space="0" w:color="auto"/>
            </w:tcBorders>
            <w:shd w:val="clear" w:color="auto" w:fill="auto"/>
            <w:noWrap/>
            <w:vAlign w:val="bottom"/>
          </w:tcPr>
          <w:p w14:paraId="2DAB3CFD" w14:textId="77777777" w:rsidR="00BD3539" w:rsidRPr="00E77472" w:rsidRDefault="00BD3539" w:rsidP="006E5A9E">
            <w:pPr>
              <w:spacing w:after="120"/>
              <w:jc w:val="right"/>
              <w:rPr>
                <w:rFonts w:ascii="Times New Roman" w:hAnsi="Times New Roman" w:cs="Times New Roman"/>
                <w:color w:val="000000"/>
                <w:sz w:val="16"/>
                <w:szCs w:val="16"/>
              </w:rPr>
            </w:pPr>
            <w:r w:rsidRPr="00E77472">
              <w:rPr>
                <w:rFonts w:ascii="Times New Roman" w:hAnsi="Times New Roman" w:cs="Times New Roman"/>
                <w:color w:val="000000"/>
                <w:sz w:val="16"/>
                <w:szCs w:val="16"/>
              </w:rPr>
              <w:t>20 868</w:t>
            </w:r>
          </w:p>
        </w:tc>
        <w:tc>
          <w:tcPr>
            <w:tcW w:w="1276" w:type="dxa"/>
            <w:tcBorders>
              <w:bottom w:val="single" w:sz="4" w:space="0" w:color="auto"/>
            </w:tcBorders>
            <w:shd w:val="clear" w:color="auto" w:fill="auto"/>
            <w:noWrap/>
            <w:vAlign w:val="bottom"/>
          </w:tcPr>
          <w:p w14:paraId="1D4F706E" w14:textId="77777777" w:rsidR="00BD3539" w:rsidRPr="00E77472" w:rsidRDefault="00BD3539" w:rsidP="006E5A9E">
            <w:pPr>
              <w:spacing w:after="120"/>
              <w:jc w:val="right"/>
              <w:rPr>
                <w:rFonts w:ascii="Times New Roman" w:hAnsi="Times New Roman" w:cs="Times New Roman"/>
                <w:color w:val="000000"/>
                <w:sz w:val="16"/>
                <w:szCs w:val="16"/>
              </w:rPr>
            </w:pPr>
            <w:r w:rsidRPr="00E77472">
              <w:rPr>
                <w:rFonts w:ascii="Times New Roman" w:hAnsi="Times New Roman" w:cs="Times New Roman"/>
                <w:color w:val="000000"/>
                <w:sz w:val="16"/>
                <w:szCs w:val="16"/>
              </w:rPr>
              <w:t>21 179</w:t>
            </w:r>
          </w:p>
        </w:tc>
        <w:tc>
          <w:tcPr>
            <w:tcW w:w="1270" w:type="dxa"/>
            <w:tcBorders>
              <w:bottom w:val="single" w:sz="4" w:space="0" w:color="auto"/>
            </w:tcBorders>
            <w:shd w:val="clear" w:color="auto" w:fill="auto"/>
            <w:noWrap/>
            <w:vAlign w:val="bottom"/>
          </w:tcPr>
          <w:p w14:paraId="0B99007C" w14:textId="77777777" w:rsidR="00BD3539" w:rsidRPr="00E77472" w:rsidRDefault="00BD3539" w:rsidP="006E5A9E">
            <w:pPr>
              <w:spacing w:after="120"/>
              <w:jc w:val="right"/>
              <w:rPr>
                <w:rFonts w:ascii="Times New Roman" w:hAnsi="Times New Roman" w:cs="Times New Roman"/>
                <w:color w:val="000000"/>
                <w:sz w:val="16"/>
                <w:szCs w:val="16"/>
              </w:rPr>
            </w:pPr>
            <w:r w:rsidRPr="00E77472">
              <w:rPr>
                <w:rFonts w:ascii="Times New Roman" w:hAnsi="Times New Roman" w:cs="Times New Roman"/>
                <w:color w:val="000000"/>
                <w:sz w:val="16"/>
                <w:szCs w:val="16"/>
              </w:rPr>
              <w:t>21 457</w:t>
            </w:r>
          </w:p>
        </w:tc>
      </w:tr>
    </w:tbl>
    <w:p w14:paraId="29AE1598" w14:textId="77777777" w:rsidR="00BD3539" w:rsidRDefault="00BD3539" w:rsidP="00BD3539">
      <w:pPr>
        <w:spacing w:after="0"/>
        <w:jc w:val="both"/>
        <w:rPr>
          <w:rFonts w:ascii="Times New Roman" w:eastAsia="Calibri" w:hAnsi="Times New Roman" w:cs="Times New Roman"/>
          <w:b/>
          <w:sz w:val="24"/>
          <w:szCs w:val="24"/>
          <w:highlight w:val="yellow"/>
        </w:rPr>
      </w:pPr>
    </w:p>
    <w:p w14:paraId="167F4236" w14:textId="77777777" w:rsidR="00BD3539" w:rsidRPr="00E77472" w:rsidRDefault="00BD3539" w:rsidP="00BD3539">
      <w:pPr>
        <w:spacing w:after="0"/>
        <w:jc w:val="both"/>
        <w:rPr>
          <w:rFonts w:ascii="Times New Roman" w:eastAsia="Calibri" w:hAnsi="Times New Roman" w:cs="Times New Roman"/>
          <w:sz w:val="24"/>
          <w:szCs w:val="24"/>
        </w:rPr>
      </w:pPr>
      <w:r w:rsidRPr="77225142">
        <w:rPr>
          <w:rFonts w:ascii="Times New Roman" w:eastAsia="Calibri" w:hAnsi="Times New Roman" w:cs="Times New Roman"/>
          <w:b/>
          <w:sz w:val="24"/>
          <w:szCs w:val="24"/>
        </w:rPr>
        <w:t>Príjmy z dividend</w:t>
      </w:r>
      <w:r w:rsidRPr="77225142">
        <w:rPr>
          <w:rFonts w:ascii="Times New Roman" w:eastAsia="Calibri" w:hAnsi="Times New Roman" w:cs="Times New Roman"/>
          <w:sz w:val="24"/>
          <w:szCs w:val="24"/>
        </w:rPr>
        <w:t xml:space="preserve"> z podnikov </w:t>
      </w:r>
      <w:proofErr w:type="spellStart"/>
      <w:r w:rsidRPr="77225142">
        <w:rPr>
          <w:rFonts w:ascii="Times New Roman" w:eastAsia="Calibri" w:hAnsi="Times New Roman" w:cs="Times New Roman"/>
          <w:sz w:val="24"/>
          <w:szCs w:val="24"/>
        </w:rPr>
        <w:t>spoluvlastnených</w:t>
      </w:r>
      <w:proofErr w:type="spellEnd"/>
      <w:r w:rsidRPr="77225142">
        <w:rPr>
          <w:rFonts w:ascii="Times New Roman" w:eastAsia="Calibri" w:hAnsi="Times New Roman" w:cs="Times New Roman"/>
          <w:sz w:val="24"/>
          <w:szCs w:val="24"/>
        </w:rPr>
        <w:t xml:space="preserve"> štátom za rok 2023 dosiahnu podľa očakávanej skutočnosti približne 195 453 tis. eur. Najväčšia zmena bola zaznamenaná pri skupine SPP, ktorá oneskorene vyplatila dividendu akruálne náležiacu do roku 2022 až v marci 2023. Dividendu náležiacu do roku 2023 skupina nevyplatí. Prognóza na strednodobom horizonte zohľadňuje poskytnuté finančné plány podnikov, no riziká na trhu s energiami </w:t>
      </w:r>
      <w:r w:rsidRPr="00E77472">
        <w:rPr>
          <w:rFonts w:ascii="Times New Roman" w:eastAsia="Calibri" w:hAnsi="Times New Roman" w:cs="Times New Roman"/>
          <w:sz w:val="24"/>
          <w:szCs w:val="24"/>
        </w:rPr>
        <w:t xml:space="preserve">naďalej pretrvávajú. </w:t>
      </w:r>
    </w:p>
    <w:p w14:paraId="2B1BCADD" w14:textId="77777777" w:rsidR="00BD3539" w:rsidRPr="00E77472" w:rsidRDefault="00BD3539" w:rsidP="00BD3539">
      <w:pPr>
        <w:spacing w:after="0"/>
        <w:jc w:val="both"/>
        <w:rPr>
          <w:rFonts w:ascii="Times New Roman" w:eastAsia="Calibri" w:hAnsi="Times New Roman" w:cs="Times New Roman"/>
          <w:sz w:val="24"/>
          <w:szCs w:val="24"/>
        </w:rPr>
      </w:pPr>
    </w:p>
    <w:p w14:paraId="6442516E" w14:textId="77777777" w:rsidR="00BD3539" w:rsidRPr="00870890" w:rsidRDefault="00BD3539" w:rsidP="00BD3539">
      <w:pPr>
        <w:spacing w:after="0"/>
        <w:jc w:val="both"/>
        <w:rPr>
          <w:rFonts w:ascii="Times New Roman" w:eastAsia="Calibri" w:hAnsi="Times New Roman" w:cs="Times New Roman"/>
          <w:sz w:val="24"/>
          <w:szCs w:val="24"/>
        </w:rPr>
      </w:pPr>
      <w:r w:rsidRPr="7DC9F4FB">
        <w:rPr>
          <w:rFonts w:ascii="Times New Roman" w:eastAsia="Calibri" w:hAnsi="Times New Roman" w:cs="Times New Roman"/>
          <w:b/>
          <w:bCs/>
          <w:sz w:val="24"/>
          <w:szCs w:val="24"/>
        </w:rPr>
        <w:t>Administratívne poplatky Národnej diaľničnej spoločnosti (NDS)</w:t>
      </w:r>
      <w:r w:rsidRPr="7DC9F4FB">
        <w:rPr>
          <w:rFonts w:ascii="Times New Roman" w:eastAsia="Calibri" w:hAnsi="Times New Roman" w:cs="Times New Roman"/>
          <w:sz w:val="24"/>
          <w:szCs w:val="24"/>
        </w:rPr>
        <w:t xml:space="preserve"> sú prevažne tvorené výnosmi z elektronického mýta a z predaja diaľničných známok. Výnos v roku 2023 pokračoval v raste. Objem predaných známok sa vyrovnávaná s úrovňou pre rokom 2020. Podobne aj výnos z mýta presiahol svoje pred </w:t>
      </w:r>
      <w:proofErr w:type="spellStart"/>
      <w:r w:rsidRPr="7DC9F4FB">
        <w:rPr>
          <w:rFonts w:ascii="Times New Roman" w:eastAsia="Calibri" w:hAnsi="Times New Roman" w:cs="Times New Roman"/>
          <w:sz w:val="24"/>
          <w:szCs w:val="24"/>
        </w:rPr>
        <w:t>pandemické</w:t>
      </w:r>
      <w:proofErr w:type="spellEnd"/>
      <w:r w:rsidRPr="7DC9F4FB">
        <w:rPr>
          <w:rFonts w:ascii="Times New Roman" w:eastAsia="Calibri" w:hAnsi="Times New Roman" w:cs="Times New Roman"/>
          <w:sz w:val="24"/>
          <w:szCs w:val="24"/>
        </w:rPr>
        <w:t xml:space="preserve"> úrovne. Príjmom NDS z administratívnych poplatkov výrazne pomohla aj zmena legislatívy diaľničných známok, ktorá zvýšila ich cenu o približne 12 % v roku 2023. Vývoj reálnej ekonomiky v rokoch 2024 a 2026 sa prejaví na vývoji oboch zložiek výnosu NDS, ktorých výnos bude pomaly rásť. </w:t>
      </w:r>
      <w:r w:rsidRPr="7DC9F4FB">
        <w:rPr>
          <w:rFonts w:ascii="Times New Roman" w:eastAsia="Calibri" w:hAnsi="Times New Roman" w:cs="Times New Roman"/>
          <w:sz w:val="24"/>
          <w:szCs w:val="24"/>
        </w:rPr>
        <w:lastRenderedPageBreak/>
        <w:t xml:space="preserve">Negatívnym rizikom je prijatie </w:t>
      </w:r>
      <w:proofErr w:type="spellStart"/>
      <w:r w:rsidRPr="7DC9F4FB">
        <w:rPr>
          <w:rFonts w:ascii="Times New Roman" w:eastAsia="Calibri" w:hAnsi="Times New Roman" w:cs="Times New Roman"/>
          <w:sz w:val="24"/>
          <w:szCs w:val="24"/>
        </w:rPr>
        <w:t>Eurovignette</w:t>
      </w:r>
      <w:proofErr w:type="spellEnd"/>
      <w:r w:rsidRPr="7DC9F4FB">
        <w:rPr>
          <w:rFonts w:ascii="Times New Roman" w:eastAsia="Calibri" w:hAnsi="Times New Roman" w:cs="Times New Roman"/>
          <w:sz w:val="24"/>
          <w:szCs w:val="24"/>
        </w:rPr>
        <w:t xml:space="preserve"> smernice, ktorá ustanovuje členským štátom potrebu zaviesť jednodňovú diaľničnú známku a zároveň upravuje systém nastavenia cien jednotlivých diaľničných známok.</w:t>
      </w:r>
    </w:p>
    <w:p w14:paraId="5F3ADE4C" w14:textId="77777777" w:rsidR="00BD3539" w:rsidRPr="00870890" w:rsidRDefault="00BD3539" w:rsidP="00BD3539">
      <w:pPr>
        <w:spacing w:after="0"/>
        <w:jc w:val="both"/>
        <w:rPr>
          <w:rFonts w:ascii="Times New Roman" w:eastAsia="Calibri" w:hAnsi="Times New Roman" w:cs="Times New Roman"/>
          <w:sz w:val="24"/>
          <w:szCs w:val="24"/>
          <w:highlight w:val="yellow"/>
        </w:rPr>
      </w:pPr>
    </w:p>
    <w:p w14:paraId="706EF4AE" w14:textId="77777777" w:rsidR="00BD3539" w:rsidRPr="004E3362" w:rsidRDefault="00BD3539" w:rsidP="00BD3539">
      <w:pPr>
        <w:spacing w:after="0"/>
        <w:jc w:val="both"/>
        <w:rPr>
          <w:rFonts w:ascii="Times New Roman" w:eastAsia="Times New Roman" w:hAnsi="Times New Roman" w:cs="Times New Roman"/>
          <w:sz w:val="24"/>
          <w:szCs w:val="24"/>
          <w:lang w:eastAsia="sk-SK"/>
        </w:rPr>
      </w:pPr>
      <w:r w:rsidRPr="004E3362">
        <w:rPr>
          <w:rFonts w:ascii="Times New Roman" w:eastAsia="Times New Roman" w:hAnsi="Times New Roman" w:cs="Times New Roman"/>
          <w:b/>
          <w:bCs/>
          <w:sz w:val="24"/>
          <w:szCs w:val="24"/>
          <w:lang w:eastAsia="sk-SK"/>
        </w:rPr>
        <w:t>Príjmy z predaja emisných kvót</w:t>
      </w:r>
      <w:r>
        <w:rPr>
          <w:rFonts w:ascii="Times New Roman" w:eastAsia="Times New Roman" w:hAnsi="Times New Roman" w:cs="Times New Roman"/>
          <w:sz w:val="24"/>
          <w:szCs w:val="24"/>
          <w:lang w:eastAsia="sk-SK"/>
        </w:rPr>
        <w:t xml:space="preserve"> rastú </w:t>
      </w:r>
      <w:r w:rsidRPr="004E3362">
        <w:rPr>
          <w:rFonts w:ascii="Times New Roman" w:eastAsia="Times New Roman" w:hAnsi="Times New Roman" w:cs="Times New Roman"/>
          <w:sz w:val="24"/>
          <w:szCs w:val="24"/>
          <w:lang w:eastAsia="sk-SK"/>
        </w:rPr>
        <w:t>z dôvodu navyšujúcich sa cien emisných povoleniek na burze, ktoré vykompenzovali relatívne nižšiu ponuku emisných povoleniek</w:t>
      </w:r>
      <w:r w:rsidRPr="004E3362">
        <w:rPr>
          <w:rStyle w:val="Odkaznapoznmkupodiarou"/>
          <w:rFonts w:ascii="Times New Roman" w:eastAsia="Times New Roman" w:hAnsi="Times New Roman"/>
          <w:sz w:val="24"/>
          <w:szCs w:val="24"/>
          <w:lang w:eastAsia="sk-SK"/>
        </w:rPr>
        <w:footnoteReference w:id="26"/>
      </w:r>
      <w:r>
        <w:rPr>
          <w:rFonts w:ascii="Times New Roman" w:eastAsia="Times New Roman" w:hAnsi="Times New Roman" w:cs="Times New Roman"/>
          <w:sz w:val="24"/>
          <w:szCs w:val="24"/>
          <w:lang w:eastAsia="sk-SK"/>
        </w:rPr>
        <w:t xml:space="preserve">. </w:t>
      </w:r>
      <w:r w:rsidRPr="004E3362">
        <w:rPr>
          <w:rFonts w:ascii="Times New Roman" w:eastAsia="Times New Roman" w:hAnsi="Times New Roman" w:cs="Times New Roman"/>
          <w:sz w:val="24"/>
          <w:szCs w:val="24"/>
          <w:lang w:eastAsia="sk-SK"/>
        </w:rPr>
        <w:t xml:space="preserve">Pri súčasnom vývoji cien predpokladané medziročné nárasty výnosu plynúce zo zmien v plánovanom objeme obchodovaných kvót </w:t>
      </w:r>
      <w:r>
        <w:rPr>
          <w:rFonts w:ascii="Times New Roman" w:eastAsia="Times New Roman" w:hAnsi="Times New Roman" w:cs="Times New Roman"/>
          <w:sz w:val="24"/>
          <w:szCs w:val="24"/>
          <w:lang w:eastAsia="sk-SK"/>
        </w:rPr>
        <w:t>a </w:t>
      </w:r>
      <w:proofErr w:type="spellStart"/>
      <w:r>
        <w:rPr>
          <w:rFonts w:ascii="Times New Roman" w:eastAsia="Times New Roman" w:hAnsi="Times New Roman" w:cs="Times New Roman"/>
          <w:sz w:val="24"/>
          <w:szCs w:val="24"/>
          <w:lang w:eastAsia="sk-SK"/>
        </w:rPr>
        <w:t>volatilite</w:t>
      </w:r>
      <w:proofErr w:type="spellEnd"/>
      <w:r>
        <w:rPr>
          <w:rFonts w:ascii="Times New Roman" w:eastAsia="Times New Roman" w:hAnsi="Times New Roman" w:cs="Times New Roman"/>
          <w:sz w:val="24"/>
          <w:szCs w:val="24"/>
          <w:lang w:eastAsia="sk-SK"/>
        </w:rPr>
        <w:t xml:space="preserve"> cien oproti rozpočtu verejnej správy </w:t>
      </w:r>
      <w:r w:rsidRPr="004E3362">
        <w:rPr>
          <w:rFonts w:ascii="Times New Roman" w:eastAsia="Times New Roman" w:hAnsi="Times New Roman" w:cs="Times New Roman"/>
          <w:sz w:val="24"/>
          <w:szCs w:val="24"/>
          <w:lang w:eastAsia="sk-SK"/>
        </w:rPr>
        <w:t xml:space="preserve">sú v rokoch 2024 a 2025 na úrovni 91, resp. 164 mil. eur. V roku 2024 predpokladáme medziročné navýšenie akruálneho </w:t>
      </w:r>
      <w:r>
        <w:rPr>
          <w:rFonts w:ascii="Times New Roman" w:eastAsia="Times New Roman" w:hAnsi="Times New Roman" w:cs="Times New Roman"/>
          <w:sz w:val="24"/>
          <w:szCs w:val="24"/>
          <w:lang w:eastAsia="sk-SK"/>
        </w:rPr>
        <w:t>výnosu až o 57</w:t>
      </w:r>
      <w:r w:rsidRPr="004E3362">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z dôvodu zníženého objemu kvót stiahnutého v rámci mechanizmu MSR, tzv. tržnej rezervy</w:t>
      </w:r>
      <w:r w:rsidRPr="004E3362">
        <w:rPr>
          <w:rFonts w:ascii="Times New Roman" w:eastAsia="Times New Roman" w:hAnsi="Times New Roman" w:cs="Times New Roman"/>
          <w:sz w:val="24"/>
          <w:szCs w:val="24"/>
          <w:lang w:eastAsia="sk-SK"/>
        </w:rPr>
        <w:t>. Výnos však na dlhšom horizonte môže byť ovplyvnený zmenami vyplývajúcimi z revízie smernice</w:t>
      </w:r>
      <w:r w:rsidRPr="004E3362">
        <w:rPr>
          <w:rStyle w:val="Odkaznapoznmkupodiarou"/>
          <w:rFonts w:ascii="Times New Roman" w:eastAsia="Times New Roman" w:hAnsi="Times New Roman"/>
          <w:sz w:val="24"/>
          <w:szCs w:val="24"/>
          <w:lang w:eastAsia="sk-SK"/>
        </w:rPr>
        <w:footnoteReference w:id="27"/>
      </w:r>
      <w:r w:rsidRPr="004E3362">
        <w:rPr>
          <w:rFonts w:ascii="Times New Roman" w:eastAsia="Times New Roman" w:hAnsi="Times New Roman" w:cs="Times New Roman"/>
          <w:sz w:val="24"/>
          <w:szCs w:val="24"/>
          <w:lang w:eastAsia="sk-SK"/>
        </w:rPr>
        <w:t xml:space="preserve">. Avizované je výraznejšie znižovanie tzv. lineárneho redukčného koeficientu zo súčasných 2,2 % na 4,3 % v rokoch 2024 až 2027 a 4,4 % po roku 2027, </w:t>
      </w:r>
      <w:r>
        <w:rPr>
          <w:rFonts w:ascii="Times New Roman" w:eastAsia="Times New Roman" w:hAnsi="Times New Roman" w:cs="Times New Roman"/>
          <w:sz w:val="24"/>
          <w:szCs w:val="24"/>
          <w:lang w:eastAsia="sk-SK"/>
        </w:rPr>
        <w:t xml:space="preserve">zavedenie systému ETS2, </w:t>
      </w:r>
      <w:r w:rsidRPr="004E3362">
        <w:rPr>
          <w:rFonts w:ascii="Times New Roman" w:eastAsia="Times New Roman" w:hAnsi="Times New Roman" w:cs="Times New Roman"/>
          <w:sz w:val="24"/>
          <w:szCs w:val="24"/>
          <w:lang w:eastAsia="sk-SK"/>
        </w:rPr>
        <w:t>ale aj výraznejšie up</w:t>
      </w:r>
      <w:r>
        <w:rPr>
          <w:rFonts w:ascii="Times New Roman" w:eastAsia="Times New Roman" w:hAnsi="Times New Roman" w:cs="Times New Roman"/>
          <w:sz w:val="24"/>
          <w:szCs w:val="24"/>
          <w:lang w:eastAsia="sk-SK"/>
        </w:rPr>
        <w:t>latňovanie mechanizmu MSR. K</w:t>
      </w:r>
      <w:r w:rsidRPr="004E3362">
        <w:rPr>
          <w:rFonts w:ascii="Times New Roman" w:eastAsia="Times New Roman" w:hAnsi="Times New Roman" w:cs="Times New Roman"/>
          <w:sz w:val="24"/>
          <w:szCs w:val="24"/>
          <w:lang w:eastAsia="sk-SK"/>
        </w:rPr>
        <w:t xml:space="preserve">onečný vývoj výnosu z obchodovania s emisnými kvótami preto na rozpočtovom horizonte podlieha vysokej miere </w:t>
      </w:r>
      <w:proofErr w:type="spellStart"/>
      <w:r w:rsidRPr="004E3362">
        <w:rPr>
          <w:rFonts w:ascii="Times New Roman" w:eastAsia="Times New Roman" w:hAnsi="Times New Roman" w:cs="Times New Roman"/>
          <w:sz w:val="24"/>
          <w:szCs w:val="24"/>
          <w:lang w:eastAsia="sk-SK"/>
        </w:rPr>
        <w:t>volatility</w:t>
      </w:r>
      <w:proofErr w:type="spellEnd"/>
      <w:r w:rsidRPr="004E3362">
        <w:rPr>
          <w:rFonts w:ascii="Times New Roman" w:eastAsia="Times New Roman" w:hAnsi="Times New Roman" w:cs="Times New Roman"/>
          <w:sz w:val="24"/>
          <w:szCs w:val="24"/>
          <w:lang w:eastAsia="sk-SK"/>
        </w:rPr>
        <w:t xml:space="preserve">. </w:t>
      </w:r>
    </w:p>
    <w:p w14:paraId="6BADA6B4" w14:textId="77777777" w:rsidR="00BD3539" w:rsidRPr="009453F8" w:rsidRDefault="00BD3539" w:rsidP="00BD3539">
      <w:pPr>
        <w:spacing w:after="0" w:line="240" w:lineRule="auto"/>
        <w:rPr>
          <w:rFonts w:ascii="Calibri" w:eastAsia="Times New Roman" w:hAnsi="Calibri" w:cs="Calibri"/>
          <w:lang w:eastAsia="sk-SK"/>
        </w:rPr>
      </w:pPr>
      <w:r w:rsidRPr="009453F8">
        <w:rPr>
          <w:rFonts w:ascii="Calibri" w:eastAsia="Times New Roman" w:hAnsi="Calibri" w:cs="Calibri"/>
          <w:lang w:eastAsia="sk-SK"/>
        </w:rPr>
        <w:t> </w:t>
      </w:r>
    </w:p>
    <w:p w14:paraId="7FE12C04" w14:textId="77777777" w:rsidR="00BD3539" w:rsidRPr="006544D7" w:rsidRDefault="00BD3539" w:rsidP="00BD3539">
      <w:pPr>
        <w:spacing w:after="0"/>
        <w:jc w:val="both"/>
        <w:rPr>
          <w:rFonts w:ascii="Times New Roman" w:eastAsia="Calibri" w:hAnsi="Times New Roman" w:cs="Times New Roman"/>
          <w:sz w:val="24"/>
          <w:szCs w:val="24"/>
        </w:rPr>
      </w:pPr>
      <w:r w:rsidRPr="009453F8">
        <w:rPr>
          <w:rFonts w:ascii="Times New Roman" w:eastAsia="Calibri" w:hAnsi="Times New Roman" w:cs="Times New Roman"/>
          <w:b/>
          <w:sz w:val="24"/>
          <w:szCs w:val="24"/>
        </w:rPr>
        <w:t>Príjmy z odvodu z hazardných hier</w:t>
      </w:r>
      <w:r w:rsidRPr="009453F8">
        <w:rPr>
          <w:rFonts w:ascii="Times New Roman" w:eastAsia="Calibri" w:hAnsi="Times New Roman" w:cs="Times New Roman"/>
          <w:sz w:val="24"/>
          <w:szCs w:val="24"/>
        </w:rPr>
        <w:t xml:space="preserve"> pokračujú v stabilnom vývoji a</w:t>
      </w:r>
      <w:r>
        <w:rPr>
          <w:rFonts w:ascii="Times New Roman" w:eastAsia="Calibri" w:hAnsi="Times New Roman" w:cs="Times New Roman"/>
          <w:sz w:val="24"/>
          <w:szCs w:val="24"/>
        </w:rPr>
        <w:t>j</w:t>
      </w:r>
      <w:r w:rsidRPr="009453F8">
        <w:rPr>
          <w:rFonts w:ascii="Times New Roman" w:eastAsia="Calibri" w:hAnsi="Times New Roman" w:cs="Times New Roman"/>
          <w:sz w:val="24"/>
          <w:szCs w:val="24"/>
        </w:rPr>
        <w:t xml:space="preserve"> v roku 2024</w:t>
      </w:r>
      <w:r>
        <w:rPr>
          <w:rFonts w:ascii="Times New Roman" w:eastAsia="Calibri" w:hAnsi="Times New Roman" w:cs="Times New Roman"/>
          <w:sz w:val="24"/>
          <w:szCs w:val="24"/>
        </w:rPr>
        <w:t>, kde</w:t>
      </w:r>
      <w:r w:rsidRPr="009453F8">
        <w:rPr>
          <w:rFonts w:ascii="Times New Roman" w:eastAsia="Calibri" w:hAnsi="Times New Roman" w:cs="Times New Roman"/>
          <w:sz w:val="24"/>
          <w:szCs w:val="24"/>
        </w:rPr>
        <w:t xml:space="preserve"> očakávame medziročný rast na úrovni 8 %.</w:t>
      </w:r>
      <w:r>
        <w:rPr>
          <w:rFonts w:ascii="Times New Roman" w:eastAsia="Calibri" w:hAnsi="Times New Roman" w:cs="Times New Roman"/>
          <w:sz w:val="24"/>
          <w:szCs w:val="24"/>
        </w:rPr>
        <w:t xml:space="preserve"> </w:t>
      </w:r>
      <w:r w:rsidRPr="009453F8">
        <w:rPr>
          <w:rFonts w:ascii="Times New Roman" w:eastAsia="Calibri" w:hAnsi="Times New Roman" w:cs="Times New Roman"/>
          <w:sz w:val="24"/>
          <w:szCs w:val="24"/>
        </w:rPr>
        <w:t>P</w:t>
      </w:r>
      <w:r>
        <w:rPr>
          <w:rFonts w:ascii="Times New Roman" w:eastAsia="Calibri" w:hAnsi="Times New Roman" w:cs="Times New Roman"/>
          <w:sz w:val="24"/>
          <w:szCs w:val="24"/>
        </w:rPr>
        <w:t>ríjmy z odvodu tak presiahnu 333</w:t>
      </w:r>
      <w:r w:rsidRPr="009453F8">
        <w:rPr>
          <w:rFonts w:ascii="Times New Roman" w:eastAsia="Calibri" w:hAnsi="Times New Roman" w:cs="Times New Roman"/>
          <w:sz w:val="24"/>
          <w:szCs w:val="24"/>
        </w:rPr>
        <w:t xml:space="preserve"> 000 tis. eur. Príjmy z online kasín a kurzových stávok sú</w:t>
      </w:r>
      <w:r>
        <w:rPr>
          <w:rFonts w:ascii="Times New Roman" w:eastAsia="Calibri" w:hAnsi="Times New Roman" w:cs="Times New Roman"/>
          <w:sz w:val="24"/>
          <w:szCs w:val="24"/>
        </w:rPr>
        <w:t xml:space="preserve"> opäť</w:t>
      </w:r>
      <w:r w:rsidRPr="009453F8">
        <w:rPr>
          <w:rFonts w:ascii="Times New Roman" w:eastAsia="Calibri" w:hAnsi="Times New Roman" w:cs="Times New Roman"/>
          <w:sz w:val="24"/>
          <w:szCs w:val="24"/>
        </w:rPr>
        <w:t xml:space="preserve"> hlavným faktorom vyššieho výberu. </w:t>
      </w:r>
      <w:r>
        <w:rPr>
          <w:rFonts w:ascii="Times New Roman" w:eastAsia="Calibri" w:hAnsi="Times New Roman" w:cs="Times New Roman"/>
          <w:sz w:val="24"/>
          <w:szCs w:val="24"/>
        </w:rPr>
        <w:t>Zvýšenie sadzby odvodu pre internetové kasína a kurzové stávky v roku 2023 z 22 % na 27 % sa nepremietlo do nižšej miery hrania</w:t>
      </w:r>
      <w:r w:rsidRPr="009453F8">
        <w:rPr>
          <w:rFonts w:ascii="Times New Roman" w:eastAsia="Calibri" w:hAnsi="Times New Roman" w:cs="Times New Roman"/>
          <w:sz w:val="24"/>
          <w:szCs w:val="24"/>
        </w:rPr>
        <w:t xml:space="preserve"> </w:t>
      </w:r>
      <w:r>
        <w:rPr>
          <w:rFonts w:ascii="Times New Roman" w:eastAsia="Calibri" w:hAnsi="Times New Roman" w:cs="Times New Roman"/>
          <w:sz w:val="24"/>
          <w:szCs w:val="24"/>
        </w:rPr>
        <w:t>a</w:t>
      </w:r>
      <w:r w:rsidRPr="009453F8">
        <w:rPr>
          <w:rFonts w:ascii="Times New Roman" w:eastAsia="Calibri" w:hAnsi="Times New Roman" w:cs="Times New Roman"/>
          <w:sz w:val="24"/>
          <w:szCs w:val="24"/>
        </w:rPr>
        <w:t xml:space="preserve"> vďaka stabilnému vývoju makroekonomického prostredia</w:t>
      </w:r>
      <w:r>
        <w:rPr>
          <w:rFonts w:ascii="Times New Roman" w:eastAsia="Calibri" w:hAnsi="Times New Roman" w:cs="Times New Roman"/>
          <w:sz w:val="24"/>
          <w:szCs w:val="24"/>
        </w:rPr>
        <w:t xml:space="preserve"> sa</w:t>
      </w:r>
      <w:r w:rsidRPr="009453F8">
        <w:rPr>
          <w:rFonts w:ascii="Times New Roman" w:eastAsia="Calibri" w:hAnsi="Times New Roman" w:cs="Times New Roman"/>
          <w:sz w:val="24"/>
          <w:szCs w:val="24"/>
        </w:rPr>
        <w:t xml:space="preserve"> očakáva pokračujúci rast príjmov z</w:t>
      </w:r>
      <w:r>
        <w:rPr>
          <w:rFonts w:ascii="Times New Roman" w:eastAsia="Calibri" w:hAnsi="Times New Roman" w:cs="Times New Roman"/>
          <w:sz w:val="24"/>
          <w:szCs w:val="24"/>
        </w:rPr>
        <w:t> </w:t>
      </w:r>
      <w:r w:rsidRPr="009453F8">
        <w:rPr>
          <w:rFonts w:ascii="Times New Roman" w:eastAsia="Calibri" w:hAnsi="Times New Roman" w:cs="Times New Roman"/>
          <w:sz w:val="24"/>
          <w:szCs w:val="24"/>
        </w:rPr>
        <w:t>odvodu</w:t>
      </w:r>
      <w:r>
        <w:rPr>
          <w:rFonts w:ascii="Times New Roman" w:eastAsia="Calibri" w:hAnsi="Times New Roman" w:cs="Times New Roman"/>
          <w:sz w:val="24"/>
          <w:szCs w:val="24"/>
        </w:rPr>
        <w:t xml:space="preserve"> na horizonte rozpočtu</w:t>
      </w:r>
      <w:r w:rsidRPr="009453F8">
        <w:rPr>
          <w:rFonts w:ascii="Times New Roman" w:eastAsia="Calibri" w:hAnsi="Times New Roman" w:cs="Times New Roman"/>
          <w:sz w:val="24"/>
          <w:szCs w:val="24"/>
        </w:rPr>
        <w:t xml:space="preserve">. </w:t>
      </w:r>
    </w:p>
    <w:p w14:paraId="1DA1314D" w14:textId="0166DA80" w:rsidR="00D15D4F" w:rsidRDefault="00D15D4F" w:rsidP="00AC031F">
      <w:pPr>
        <w:spacing w:after="0"/>
        <w:rPr>
          <w:rFonts w:ascii="Times New Roman" w:eastAsia="Times New Roman" w:hAnsi="Times New Roman" w:cs="Times New Roman"/>
          <w:b/>
          <w:bCs/>
          <w:color w:val="5B9BD5" w:themeColor="accent1"/>
          <w:sz w:val="24"/>
          <w:szCs w:val="24"/>
        </w:rPr>
      </w:pPr>
    </w:p>
    <w:p w14:paraId="4BED25B9" w14:textId="77777777" w:rsidR="00AC031F" w:rsidRDefault="00AC031F" w:rsidP="00AC031F">
      <w:pPr>
        <w:spacing w:after="0"/>
        <w:rPr>
          <w:rFonts w:ascii="Times New Roman" w:hAnsi="Times New Roman"/>
          <w:b/>
          <w:color w:val="5B9BD5" w:themeColor="accent1"/>
          <w:sz w:val="24"/>
          <w:szCs w:val="24"/>
          <w:lang w:eastAsia="sk-SK"/>
        </w:rPr>
      </w:pPr>
      <w:bookmarkStart w:id="112" w:name="_Toc52972874"/>
      <w:r w:rsidRPr="00FC43DD">
        <w:rPr>
          <w:rFonts w:ascii="Times New Roman" w:eastAsia="Times New Roman" w:hAnsi="Times New Roman" w:cs="Times New Roman"/>
          <w:b/>
          <w:bCs/>
          <w:color w:val="5B9BD5" w:themeColor="accent1"/>
          <w:sz w:val="24"/>
          <w:szCs w:val="24"/>
        </w:rPr>
        <w:t>3.</w:t>
      </w:r>
      <w:r>
        <w:rPr>
          <w:rFonts w:ascii="Times New Roman" w:eastAsia="Times New Roman" w:hAnsi="Times New Roman" w:cs="Times New Roman"/>
          <w:b/>
          <w:bCs/>
          <w:color w:val="5B9BD5" w:themeColor="accent1"/>
          <w:sz w:val="24"/>
          <w:szCs w:val="24"/>
        </w:rPr>
        <w:t>2</w:t>
      </w:r>
      <w:r w:rsidRPr="00FC43DD">
        <w:rPr>
          <w:rFonts w:ascii="Times New Roman" w:eastAsia="Times New Roman" w:hAnsi="Times New Roman" w:cs="Times New Roman"/>
          <w:b/>
          <w:bCs/>
          <w:color w:val="5B9BD5" w:themeColor="accent1"/>
          <w:sz w:val="24"/>
          <w:szCs w:val="24"/>
        </w:rPr>
        <w:t xml:space="preserve">.2. </w:t>
      </w:r>
      <w:bookmarkEnd w:id="112"/>
      <w:r w:rsidR="007C2BDC" w:rsidRPr="007C2BDC">
        <w:rPr>
          <w:rFonts w:ascii="Times New Roman" w:hAnsi="Times New Roman"/>
          <w:b/>
          <w:color w:val="5B9BD5" w:themeColor="accent1"/>
          <w:sz w:val="24"/>
          <w:szCs w:val="24"/>
          <w:lang w:eastAsia="sk-SK"/>
        </w:rPr>
        <w:t>Rozpočtovanie iných ako daňových príjmov verejnej správy</w:t>
      </w:r>
    </w:p>
    <w:p w14:paraId="63CD005F" w14:textId="77777777" w:rsidR="006A78DE" w:rsidRDefault="006A78DE" w:rsidP="006A78DE">
      <w:pPr>
        <w:spacing w:after="0"/>
        <w:jc w:val="both"/>
        <w:rPr>
          <w:rFonts w:ascii="Times New Roman" w:hAnsi="Times New Roman"/>
          <w:b/>
          <w:color w:val="5B9BD5" w:themeColor="accent1"/>
          <w:sz w:val="24"/>
          <w:szCs w:val="24"/>
          <w:lang w:eastAsia="sk-SK"/>
        </w:rPr>
      </w:pPr>
    </w:p>
    <w:p w14:paraId="4A94385E" w14:textId="77777777" w:rsidR="00E64517" w:rsidRPr="0073210B" w:rsidRDefault="00E64517" w:rsidP="00E64517">
      <w:pPr>
        <w:spacing w:after="0"/>
        <w:jc w:val="both"/>
        <w:rPr>
          <w:rFonts w:ascii="Times New Roman" w:eastAsia="Calibri" w:hAnsi="Times New Roman" w:cs="Times New Roman"/>
          <w:sz w:val="24"/>
          <w:szCs w:val="24"/>
        </w:rPr>
      </w:pPr>
      <w:r w:rsidRPr="0073210B">
        <w:rPr>
          <w:rFonts w:ascii="Times New Roman" w:eastAsia="Calibri" w:hAnsi="Times New Roman" w:cs="Times New Roman"/>
          <w:sz w:val="24"/>
          <w:szCs w:val="24"/>
        </w:rPr>
        <w:t>Iné ako nedaňové príjmy verejnej správy obsahujú vybrané nedaňové príjmy, ktoré  prognózuje Výbor pre daňové prognózy a ostatné nedaňové príjmy a granty a transfery štátneho rozpočtu a ďalších subjektov verejnej správy. Objemovo</w:t>
      </w:r>
      <w:r>
        <w:rPr>
          <w:rFonts w:ascii="Times New Roman" w:eastAsia="Calibri" w:hAnsi="Times New Roman" w:cs="Times New Roman"/>
          <w:sz w:val="24"/>
          <w:szCs w:val="24"/>
        </w:rPr>
        <w:t xml:space="preserve"> najvýznamnejšou položkou sú</w:t>
      </w:r>
      <w:r w:rsidRPr="0073210B">
        <w:rPr>
          <w:rFonts w:ascii="Times New Roman" w:eastAsia="Calibri" w:hAnsi="Times New Roman" w:cs="Times New Roman"/>
          <w:sz w:val="24"/>
          <w:szCs w:val="24"/>
        </w:rPr>
        <w:t xml:space="preserve"> príjmy zo zahraničných a tuzemských transferov, v rámci ktorých sú zaznamenávané najmä prostriedky z rozpočtu EÚ a prostriedky Plánu obnovy a odolnosti. Ďalej sem patria príjmy pochádzajúce z vlastníctva majetku, t. j. dividendy, resp. príjmy z prenájmov, ako aj z predaja majetku. Do kategórie iných ako daňových príjmov rovnako patria poplatky vyberané subjektmi verejnej správy</w:t>
      </w:r>
      <w:r>
        <w:rPr>
          <w:rFonts w:ascii="Times New Roman" w:eastAsia="Calibri" w:hAnsi="Times New Roman" w:cs="Times New Roman"/>
          <w:sz w:val="24"/>
          <w:szCs w:val="24"/>
        </w:rPr>
        <w:t>,</w:t>
      </w:r>
      <w:r w:rsidRPr="0073210B">
        <w:rPr>
          <w:rFonts w:ascii="Times New Roman" w:eastAsia="Calibri" w:hAnsi="Times New Roman" w:cs="Times New Roman"/>
          <w:sz w:val="24"/>
          <w:szCs w:val="24"/>
        </w:rPr>
        <w:t xml:space="preserve"> ako </w:t>
      </w:r>
      <w:r>
        <w:rPr>
          <w:rFonts w:ascii="Times New Roman" w:eastAsia="Calibri" w:hAnsi="Times New Roman" w:cs="Times New Roman"/>
          <w:sz w:val="24"/>
          <w:szCs w:val="24"/>
        </w:rPr>
        <w:t>aj ich tržby.</w:t>
      </w:r>
    </w:p>
    <w:p w14:paraId="334351A8" w14:textId="77777777" w:rsidR="00E64517" w:rsidRPr="00A40286" w:rsidRDefault="00E64517" w:rsidP="00E64517">
      <w:pPr>
        <w:spacing w:after="0"/>
        <w:jc w:val="both"/>
        <w:rPr>
          <w:rFonts w:ascii="Times New Roman" w:eastAsia="Calibri" w:hAnsi="Times New Roman" w:cs="Times New Roman"/>
          <w:sz w:val="24"/>
          <w:szCs w:val="24"/>
          <w:highlight w:val="yellow"/>
        </w:rPr>
      </w:pPr>
    </w:p>
    <w:p w14:paraId="38A055E6" w14:textId="0CC2BAAC" w:rsidR="00E64517" w:rsidRPr="0073210B" w:rsidRDefault="00E64517" w:rsidP="00E64517">
      <w:pPr>
        <w:pStyle w:val="Popis"/>
        <w:keepNext/>
        <w:spacing w:after="0"/>
        <w:rPr>
          <w:rFonts w:ascii="Times New Roman" w:hAnsi="Times New Roman" w:cs="Times New Roman"/>
          <w:b/>
          <w:i w:val="0"/>
          <w:color w:val="5B9BD5" w:themeColor="accent1"/>
          <w:sz w:val="20"/>
          <w:szCs w:val="20"/>
        </w:rPr>
      </w:pPr>
      <w:bookmarkStart w:id="113" w:name="_Toc84845254"/>
      <w:bookmarkStart w:id="114" w:name="_Toc123813899"/>
      <w:bookmarkStart w:id="115" w:name="_Toc153013030"/>
      <w:r w:rsidRPr="0073210B">
        <w:rPr>
          <w:rFonts w:ascii="Times New Roman" w:hAnsi="Times New Roman" w:cs="Times New Roman"/>
          <w:b/>
          <w:i w:val="0"/>
          <w:color w:val="5B9BD5" w:themeColor="accent1"/>
          <w:sz w:val="20"/>
          <w:szCs w:val="20"/>
        </w:rPr>
        <w:t xml:space="preserve">Tabuľka </w:t>
      </w:r>
      <w:r w:rsidRPr="0073210B">
        <w:rPr>
          <w:rFonts w:ascii="Times New Roman" w:hAnsi="Times New Roman" w:cs="Times New Roman"/>
          <w:b/>
          <w:i w:val="0"/>
          <w:color w:val="5B9BD5" w:themeColor="accent1"/>
          <w:sz w:val="20"/>
          <w:szCs w:val="20"/>
        </w:rPr>
        <w:fldChar w:fldCharType="begin"/>
      </w:r>
      <w:r w:rsidRPr="0073210B">
        <w:rPr>
          <w:rFonts w:ascii="Times New Roman" w:hAnsi="Times New Roman" w:cs="Times New Roman"/>
          <w:b/>
          <w:i w:val="0"/>
          <w:color w:val="5B9BD5" w:themeColor="accent1"/>
          <w:sz w:val="20"/>
          <w:szCs w:val="20"/>
        </w:rPr>
        <w:instrText xml:space="preserve"> SEQ Tabuľka \* ARABIC </w:instrText>
      </w:r>
      <w:r w:rsidRPr="0073210B">
        <w:rPr>
          <w:rFonts w:ascii="Times New Roman" w:hAnsi="Times New Roman" w:cs="Times New Roman"/>
          <w:b/>
          <w:i w:val="0"/>
          <w:color w:val="5B9BD5" w:themeColor="accent1"/>
          <w:sz w:val="20"/>
          <w:szCs w:val="20"/>
        </w:rPr>
        <w:fldChar w:fldCharType="separate"/>
      </w:r>
      <w:r w:rsidR="003D5A3A">
        <w:rPr>
          <w:rFonts w:ascii="Times New Roman" w:hAnsi="Times New Roman" w:cs="Times New Roman"/>
          <w:b/>
          <w:i w:val="0"/>
          <w:noProof/>
          <w:color w:val="5B9BD5" w:themeColor="accent1"/>
          <w:sz w:val="20"/>
          <w:szCs w:val="20"/>
        </w:rPr>
        <w:t>32</w:t>
      </w:r>
      <w:r w:rsidRPr="0073210B">
        <w:rPr>
          <w:rFonts w:ascii="Times New Roman" w:hAnsi="Times New Roman" w:cs="Times New Roman"/>
          <w:b/>
          <w:i w:val="0"/>
          <w:color w:val="5B9BD5" w:themeColor="accent1"/>
          <w:sz w:val="20"/>
          <w:szCs w:val="20"/>
        </w:rPr>
        <w:fldChar w:fldCharType="end"/>
      </w:r>
      <w:r w:rsidRPr="0073210B">
        <w:rPr>
          <w:rFonts w:ascii="Times New Roman" w:hAnsi="Times New Roman" w:cs="Times New Roman"/>
          <w:b/>
          <w:i w:val="0"/>
          <w:color w:val="5B9BD5" w:themeColor="accent1"/>
          <w:sz w:val="20"/>
          <w:szCs w:val="20"/>
        </w:rPr>
        <w:t xml:space="preserve"> - Iné ako daňové príjmy rozpočtu verejnej správy*</w:t>
      </w:r>
      <w:bookmarkEnd w:id="113"/>
      <w:bookmarkEnd w:id="114"/>
      <w:bookmarkEnd w:id="115"/>
    </w:p>
    <w:tbl>
      <w:tblPr>
        <w:tblW w:w="5000" w:type="pct"/>
        <w:tblCellMar>
          <w:left w:w="70" w:type="dxa"/>
          <w:right w:w="70" w:type="dxa"/>
        </w:tblCellMar>
        <w:tblLook w:val="04A0" w:firstRow="1" w:lastRow="0" w:firstColumn="1" w:lastColumn="0" w:noHBand="0" w:noVBand="1"/>
      </w:tblPr>
      <w:tblGrid>
        <w:gridCol w:w="2254"/>
        <w:gridCol w:w="975"/>
        <w:gridCol w:w="974"/>
        <w:gridCol w:w="974"/>
        <w:gridCol w:w="974"/>
        <w:gridCol w:w="974"/>
        <w:gridCol w:w="974"/>
        <w:gridCol w:w="973"/>
      </w:tblGrid>
      <w:tr w:rsidR="00E64517" w:rsidRPr="00EF0FC0" w14:paraId="15BD928E" w14:textId="77777777" w:rsidTr="00B63F1A">
        <w:trPr>
          <w:trHeight w:val="289"/>
        </w:trPr>
        <w:tc>
          <w:tcPr>
            <w:tcW w:w="1242" w:type="pct"/>
            <w:tcBorders>
              <w:top w:val="single" w:sz="4" w:space="0" w:color="auto"/>
              <w:left w:val="nil"/>
              <w:bottom w:val="single" w:sz="4" w:space="0" w:color="auto"/>
              <w:right w:val="nil"/>
            </w:tcBorders>
            <w:shd w:val="clear" w:color="auto" w:fill="auto"/>
            <w:noWrap/>
            <w:vAlign w:val="center"/>
            <w:hideMark/>
          </w:tcPr>
          <w:p w14:paraId="7A0C3769" w14:textId="77777777" w:rsidR="00E64517" w:rsidRPr="00EF0FC0" w:rsidRDefault="00E64517" w:rsidP="00B63F1A">
            <w:pPr>
              <w:spacing w:after="0" w:line="240" w:lineRule="auto"/>
              <w:rPr>
                <w:rFonts w:ascii="Times New Roman" w:eastAsia="Times New Roman" w:hAnsi="Times New Roman" w:cs="Times New Roman"/>
                <w:b/>
                <w:bCs/>
                <w:color w:val="000000"/>
                <w:sz w:val="16"/>
                <w:szCs w:val="16"/>
                <w:lang w:eastAsia="sk-SK"/>
              </w:rPr>
            </w:pPr>
            <w:bookmarkStart w:id="116" w:name="_Toc52972872"/>
            <w:r w:rsidRPr="00EF0FC0">
              <w:rPr>
                <w:rFonts w:ascii="Times New Roman" w:eastAsia="Times New Roman" w:hAnsi="Times New Roman" w:cs="Times New Roman"/>
                <w:b/>
                <w:bCs/>
                <w:color w:val="000000"/>
                <w:sz w:val="16"/>
                <w:szCs w:val="16"/>
                <w:lang w:eastAsia="sk-SK"/>
              </w:rPr>
              <w:t> v tis. eur</w:t>
            </w:r>
          </w:p>
        </w:tc>
        <w:tc>
          <w:tcPr>
            <w:tcW w:w="537" w:type="pct"/>
            <w:tcBorders>
              <w:top w:val="single" w:sz="4" w:space="0" w:color="auto"/>
              <w:left w:val="nil"/>
              <w:bottom w:val="single" w:sz="4" w:space="0" w:color="auto"/>
              <w:right w:val="nil"/>
            </w:tcBorders>
            <w:shd w:val="clear" w:color="auto" w:fill="auto"/>
            <w:noWrap/>
            <w:vAlign w:val="center"/>
            <w:hideMark/>
          </w:tcPr>
          <w:p w14:paraId="41B6B5B3"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2021 S</w:t>
            </w:r>
          </w:p>
        </w:tc>
        <w:tc>
          <w:tcPr>
            <w:tcW w:w="537" w:type="pct"/>
            <w:tcBorders>
              <w:top w:val="single" w:sz="4" w:space="0" w:color="auto"/>
              <w:left w:val="nil"/>
              <w:bottom w:val="single" w:sz="4" w:space="0" w:color="auto"/>
              <w:right w:val="nil"/>
            </w:tcBorders>
            <w:shd w:val="clear" w:color="auto" w:fill="auto"/>
            <w:noWrap/>
            <w:vAlign w:val="center"/>
            <w:hideMark/>
          </w:tcPr>
          <w:p w14:paraId="196565ED"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2022 S</w:t>
            </w:r>
          </w:p>
        </w:tc>
        <w:tc>
          <w:tcPr>
            <w:tcW w:w="537" w:type="pct"/>
            <w:tcBorders>
              <w:top w:val="single" w:sz="4" w:space="0" w:color="auto"/>
              <w:left w:val="nil"/>
              <w:bottom w:val="single" w:sz="4" w:space="0" w:color="auto"/>
              <w:right w:val="nil"/>
            </w:tcBorders>
            <w:shd w:val="clear" w:color="auto" w:fill="auto"/>
            <w:noWrap/>
            <w:vAlign w:val="center"/>
            <w:hideMark/>
          </w:tcPr>
          <w:p w14:paraId="6203FD07"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2023 R</w:t>
            </w:r>
          </w:p>
        </w:tc>
        <w:tc>
          <w:tcPr>
            <w:tcW w:w="537" w:type="pct"/>
            <w:tcBorders>
              <w:top w:val="single" w:sz="4" w:space="0" w:color="auto"/>
              <w:left w:val="nil"/>
              <w:bottom w:val="single" w:sz="4" w:space="0" w:color="auto"/>
              <w:right w:val="nil"/>
            </w:tcBorders>
            <w:shd w:val="clear" w:color="auto" w:fill="auto"/>
            <w:noWrap/>
            <w:vAlign w:val="center"/>
            <w:hideMark/>
          </w:tcPr>
          <w:p w14:paraId="4E0EDDC5"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2023 OS</w:t>
            </w:r>
          </w:p>
        </w:tc>
        <w:tc>
          <w:tcPr>
            <w:tcW w:w="537" w:type="pct"/>
            <w:tcBorders>
              <w:top w:val="single" w:sz="4" w:space="0" w:color="auto"/>
              <w:left w:val="nil"/>
              <w:bottom w:val="single" w:sz="4" w:space="0" w:color="auto"/>
              <w:right w:val="nil"/>
            </w:tcBorders>
            <w:shd w:val="clear" w:color="auto" w:fill="auto"/>
            <w:noWrap/>
            <w:vAlign w:val="center"/>
            <w:hideMark/>
          </w:tcPr>
          <w:p w14:paraId="2B5E9B72"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2024 N</w:t>
            </w:r>
          </w:p>
        </w:tc>
        <w:tc>
          <w:tcPr>
            <w:tcW w:w="537" w:type="pct"/>
            <w:tcBorders>
              <w:top w:val="single" w:sz="4" w:space="0" w:color="auto"/>
              <w:left w:val="nil"/>
              <w:bottom w:val="single" w:sz="4" w:space="0" w:color="auto"/>
              <w:right w:val="nil"/>
            </w:tcBorders>
            <w:shd w:val="clear" w:color="auto" w:fill="auto"/>
            <w:noWrap/>
            <w:vAlign w:val="center"/>
            <w:hideMark/>
          </w:tcPr>
          <w:p w14:paraId="677E25D3"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2025 N</w:t>
            </w:r>
          </w:p>
        </w:tc>
        <w:tc>
          <w:tcPr>
            <w:tcW w:w="537" w:type="pct"/>
            <w:tcBorders>
              <w:top w:val="single" w:sz="4" w:space="0" w:color="auto"/>
              <w:left w:val="nil"/>
              <w:bottom w:val="single" w:sz="4" w:space="0" w:color="auto"/>
              <w:right w:val="nil"/>
            </w:tcBorders>
            <w:shd w:val="clear" w:color="auto" w:fill="auto"/>
            <w:noWrap/>
            <w:vAlign w:val="center"/>
            <w:hideMark/>
          </w:tcPr>
          <w:p w14:paraId="6D7DFF71"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2026 N</w:t>
            </w:r>
          </w:p>
        </w:tc>
      </w:tr>
      <w:tr w:rsidR="00E64517" w:rsidRPr="00EF0FC0" w14:paraId="43E38864" w14:textId="77777777" w:rsidTr="00B63F1A">
        <w:trPr>
          <w:trHeight w:val="289"/>
        </w:trPr>
        <w:tc>
          <w:tcPr>
            <w:tcW w:w="1242" w:type="pct"/>
            <w:tcBorders>
              <w:top w:val="nil"/>
              <w:left w:val="nil"/>
              <w:bottom w:val="nil"/>
              <w:right w:val="nil"/>
            </w:tcBorders>
            <w:shd w:val="clear" w:color="auto" w:fill="auto"/>
            <w:noWrap/>
            <w:vAlign w:val="center"/>
            <w:hideMark/>
          </w:tcPr>
          <w:p w14:paraId="24AC18D8" w14:textId="77777777" w:rsidR="00E64517" w:rsidRPr="00EF0FC0" w:rsidRDefault="00E64517" w:rsidP="00B63F1A">
            <w:pPr>
              <w:spacing w:after="0" w:line="240" w:lineRule="auto"/>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Spolu</w:t>
            </w:r>
          </w:p>
        </w:tc>
        <w:tc>
          <w:tcPr>
            <w:tcW w:w="537" w:type="pct"/>
            <w:tcBorders>
              <w:top w:val="nil"/>
              <w:left w:val="nil"/>
              <w:bottom w:val="nil"/>
              <w:right w:val="nil"/>
            </w:tcBorders>
            <w:shd w:val="clear" w:color="auto" w:fill="auto"/>
            <w:noWrap/>
            <w:vAlign w:val="center"/>
            <w:hideMark/>
          </w:tcPr>
          <w:p w14:paraId="7941E657"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16 596 568</w:t>
            </w:r>
          </w:p>
        </w:tc>
        <w:tc>
          <w:tcPr>
            <w:tcW w:w="537" w:type="pct"/>
            <w:tcBorders>
              <w:top w:val="nil"/>
              <w:left w:val="nil"/>
              <w:bottom w:val="nil"/>
              <w:right w:val="nil"/>
            </w:tcBorders>
            <w:shd w:val="clear" w:color="auto" w:fill="auto"/>
            <w:noWrap/>
            <w:vAlign w:val="center"/>
            <w:hideMark/>
          </w:tcPr>
          <w:p w14:paraId="702E8992"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17 062 036</w:t>
            </w:r>
          </w:p>
        </w:tc>
        <w:tc>
          <w:tcPr>
            <w:tcW w:w="537" w:type="pct"/>
            <w:tcBorders>
              <w:top w:val="nil"/>
              <w:left w:val="nil"/>
              <w:bottom w:val="nil"/>
              <w:right w:val="nil"/>
            </w:tcBorders>
            <w:shd w:val="clear" w:color="auto" w:fill="auto"/>
            <w:noWrap/>
            <w:vAlign w:val="center"/>
            <w:hideMark/>
          </w:tcPr>
          <w:p w14:paraId="44608A85"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21 103 318</w:t>
            </w:r>
          </w:p>
        </w:tc>
        <w:tc>
          <w:tcPr>
            <w:tcW w:w="537" w:type="pct"/>
            <w:tcBorders>
              <w:top w:val="nil"/>
              <w:left w:val="nil"/>
              <w:bottom w:val="nil"/>
              <w:right w:val="nil"/>
            </w:tcBorders>
            <w:shd w:val="clear" w:color="auto" w:fill="auto"/>
            <w:noWrap/>
            <w:vAlign w:val="center"/>
            <w:hideMark/>
          </w:tcPr>
          <w:p w14:paraId="46AEDA1F"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23 161 374</w:t>
            </w:r>
          </w:p>
        </w:tc>
        <w:tc>
          <w:tcPr>
            <w:tcW w:w="537" w:type="pct"/>
            <w:tcBorders>
              <w:top w:val="nil"/>
              <w:left w:val="nil"/>
              <w:bottom w:val="nil"/>
              <w:right w:val="nil"/>
            </w:tcBorders>
            <w:shd w:val="clear" w:color="auto" w:fill="auto"/>
            <w:noWrap/>
            <w:vAlign w:val="center"/>
            <w:hideMark/>
          </w:tcPr>
          <w:p w14:paraId="3CF2ADE1"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18 949 412</w:t>
            </w:r>
          </w:p>
        </w:tc>
        <w:tc>
          <w:tcPr>
            <w:tcW w:w="537" w:type="pct"/>
            <w:tcBorders>
              <w:top w:val="nil"/>
              <w:left w:val="nil"/>
              <w:bottom w:val="nil"/>
              <w:right w:val="nil"/>
            </w:tcBorders>
            <w:shd w:val="clear" w:color="auto" w:fill="auto"/>
            <w:noWrap/>
            <w:vAlign w:val="center"/>
            <w:hideMark/>
          </w:tcPr>
          <w:p w14:paraId="450569AE"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20 339 649</w:t>
            </w:r>
          </w:p>
        </w:tc>
        <w:tc>
          <w:tcPr>
            <w:tcW w:w="537" w:type="pct"/>
            <w:tcBorders>
              <w:top w:val="nil"/>
              <w:left w:val="nil"/>
              <w:bottom w:val="nil"/>
              <w:right w:val="nil"/>
            </w:tcBorders>
            <w:shd w:val="clear" w:color="auto" w:fill="auto"/>
            <w:noWrap/>
            <w:vAlign w:val="center"/>
            <w:hideMark/>
          </w:tcPr>
          <w:p w14:paraId="7BB402FC"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20 684 121</w:t>
            </w:r>
          </w:p>
        </w:tc>
      </w:tr>
      <w:tr w:rsidR="00E64517" w:rsidRPr="00EF0FC0" w14:paraId="5A650CBB" w14:textId="77777777" w:rsidTr="00B63F1A">
        <w:trPr>
          <w:trHeight w:val="289"/>
        </w:trPr>
        <w:tc>
          <w:tcPr>
            <w:tcW w:w="1242" w:type="pct"/>
            <w:tcBorders>
              <w:top w:val="nil"/>
              <w:left w:val="nil"/>
              <w:bottom w:val="nil"/>
              <w:right w:val="nil"/>
            </w:tcBorders>
            <w:shd w:val="clear" w:color="auto" w:fill="auto"/>
            <w:noWrap/>
            <w:vAlign w:val="center"/>
            <w:hideMark/>
          </w:tcPr>
          <w:p w14:paraId="0AF42E23" w14:textId="77777777" w:rsidR="00E64517" w:rsidRPr="00EF0FC0" w:rsidRDefault="00E64517" w:rsidP="00B63F1A">
            <w:pPr>
              <w:spacing w:after="0" w:line="240" w:lineRule="auto"/>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Nedaňové príjmy</w:t>
            </w:r>
          </w:p>
        </w:tc>
        <w:tc>
          <w:tcPr>
            <w:tcW w:w="537" w:type="pct"/>
            <w:tcBorders>
              <w:top w:val="nil"/>
              <w:left w:val="nil"/>
              <w:bottom w:val="nil"/>
              <w:right w:val="nil"/>
            </w:tcBorders>
            <w:shd w:val="clear" w:color="auto" w:fill="auto"/>
            <w:noWrap/>
            <w:vAlign w:val="center"/>
            <w:hideMark/>
          </w:tcPr>
          <w:p w14:paraId="549AA4F8"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6 063 314</w:t>
            </w:r>
          </w:p>
        </w:tc>
        <w:tc>
          <w:tcPr>
            <w:tcW w:w="537" w:type="pct"/>
            <w:tcBorders>
              <w:top w:val="nil"/>
              <w:left w:val="nil"/>
              <w:bottom w:val="nil"/>
              <w:right w:val="nil"/>
            </w:tcBorders>
            <w:shd w:val="clear" w:color="auto" w:fill="auto"/>
            <w:noWrap/>
            <w:vAlign w:val="center"/>
            <w:hideMark/>
          </w:tcPr>
          <w:p w14:paraId="4BB79709"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6 465 044</w:t>
            </w:r>
          </w:p>
        </w:tc>
        <w:tc>
          <w:tcPr>
            <w:tcW w:w="537" w:type="pct"/>
            <w:tcBorders>
              <w:top w:val="nil"/>
              <w:left w:val="nil"/>
              <w:bottom w:val="nil"/>
              <w:right w:val="nil"/>
            </w:tcBorders>
            <w:shd w:val="clear" w:color="auto" w:fill="auto"/>
            <w:noWrap/>
            <w:vAlign w:val="center"/>
            <w:hideMark/>
          </w:tcPr>
          <w:p w14:paraId="5D29FF0C"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7 355 167</w:t>
            </w:r>
          </w:p>
        </w:tc>
        <w:tc>
          <w:tcPr>
            <w:tcW w:w="537" w:type="pct"/>
            <w:tcBorders>
              <w:top w:val="nil"/>
              <w:left w:val="nil"/>
              <w:bottom w:val="nil"/>
              <w:right w:val="nil"/>
            </w:tcBorders>
            <w:shd w:val="clear" w:color="auto" w:fill="auto"/>
            <w:noWrap/>
            <w:vAlign w:val="center"/>
            <w:hideMark/>
          </w:tcPr>
          <w:p w14:paraId="2F2A53D7"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7 172 095</w:t>
            </w:r>
          </w:p>
        </w:tc>
        <w:tc>
          <w:tcPr>
            <w:tcW w:w="537" w:type="pct"/>
            <w:tcBorders>
              <w:top w:val="nil"/>
              <w:left w:val="nil"/>
              <w:bottom w:val="nil"/>
              <w:right w:val="nil"/>
            </w:tcBorders>
            <w:shd w:val="clear" w:color="auto" w:fill="auto"/>
            <w:noWrap/>
            <w:vAlign w:val="center"/>
            <w:hideMark/>
          </w:tcPr>
          <w:p w14:paraId="05DF28D7"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7 965 507</w:t>
            </w:r>
          </w:p>
        </w:tc>
        <w:tc>
          <w:tcPr>
            <w:tcW w:w="537" w:type="pct"/>
            <w:tcBorders>
              <w:top w:val="nil"/>
              <w:left w:val="nil"/>
              <w:bottom w:val="nil"/>
              <w:right w:val="nil"/>
            </w:tcBorders>
            <w:shd w:val="clear" w:color="auto" w:fill="auto"/>
            <w:noWrap/>
            <w:vAlign w:val="center"/>
            <w:hideMark/>
          </w:tcPr>
          <w:p w14:paraId="5D2E6964"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8 003 388</w:t>
            </w:r>
          </w:p>
        </w:tc>
        <w:tc>
          <w:tcPr>
            <w:tcW w:w="537" w:type="pct"/>
            <w:tcBorders>
              <w:top w:val="nil"/>
              <w:left w:val="nil"/>
              <w:bottom w:val="nil"/>
              <w:right w:val="nil"/>
            </w:tcBorders>
            <w:shd w:val="clear" w:color="auto" w:fill="auto"/>
            <w:noWrap/>
            <w:vAlign w:val="center"/>
            <w:hideMark/>
          </w:tcPr>
          <w:p w14:paraId="588DFE63"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8 151 685</w:t>
            </w:r>
          </w:p>
        </w:tc>
      </w:tr>
      <w:tr w:rsidR="00E64517" w:rsidRPr="00EF0FC0" w14:paraId="6385D3E4" w14:textId="77777777" w:rsidTr="00B63F1A">
        <w:trPr>
          <w:trHeight w:val="289"/>
        </w:trPr>
        <w:tc>
          <w:tcPr>
            <w:tcW w:w="1242" w:type="pct"/>
            <w:tcBorders>
              <w:top w:val="nil"/>
              <w:left w:val="nil"/>
              <w:bottom w:val="single" w:sz="4" w:space="0" w:color="auto"/>
              <w:right w:val="nil"/>
            </w:tcBorders>
            <w:shd w:val="clear" w:color="auto" w:fill="auto"/>
            <w:noWrap/>
            <w:vAlign w:val="center"/>
            <w:hideMark/>
          </w:tcPr>
          <w:p w14:paraId="71A649EE" w14:textId="77777777" w:rsidR="00E64517" w:rsidRPr="00EF0FC0" w:rsidRDefault="00E64517" w:rsidP="00B63F1A">
            <w:pPr>
              <w:spacing w:after="0" w:line="240" w:lineRule="auto"/>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Granty a transfery</w:t>
            </w:r>
          </w:p>
        </w:tc>
        <w:tc>
          <w:tcPr>
            <w:tcW w:w="537" w:type="pct"/>
            <w:tcBorders>
              <w:top w:val="nil"/>
              <w:left w:val="nil"/>
              <w:bottom w:val="single" w:sz="4" w:space="0" w:color="auto"/>
              <w:right w:val="nil"/>
            </w:tcBorders>
            <w:shd w:val="clear" w:color="auto" w:fill="auto"/>
            <w:noWrap/>
            <w:vAlign w:val="center"/>
            <w:hideMark/>
          </w:tcPr>
          <w:p w14:paraId="136F3429"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10 533 254</w:t>
            </w:r>
          </w:p>
        </w:tc>
        <w:tc>
          <w:tcPr>
            <w:tcW w:w="537" w:type="pct"/>
            <w:tcBorders>
              <w:top w:val="nil"/>
              <w:left w:val="nil"/>
              <w:bottom w:val="single" w:sz="4" w:space="0" w:color="auto"/>
              <w:right w:val="nil"/>
            </w:tcBorders>
            <w:shd w:val="clear" w:color="auto" w:fill="auto"/>
            <w:noWrap/>
            <w:vAlign w:val="center"/>
            <w:hideMark/>
          </w:tcPr>
          <w:p w14:paraId="2C30D6BF"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10 596 992</w:t>
            </w:r>
          </w:p>
        </w:tc>
        <w:tc>
          <w:tcPr>
            <w:tcW w:w="537" w:type="pct"/>
            <w:tcBorders>
              <w:top w:val="nil"/>
              <w:left w:val="nil"/>
              <w:bottom w:val="single" w:sz="4" w:space="0" w:color="auto"/>
              <w:right w:val="nil"/>
            </w:tcBorders>
            <w:shd w:val="clear" w:color="auto" w:fill="auto"/>
            <w:noWrap/>
            <w:vAlign w:val="center"/>
            <w:hideMark/>
          </w:tcPr>
          <w:p w14:paraId="68AB2CA9"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13 748 151</w:t>
            </w:r>
          </w:p>
        </w:tc>
        <w:tc>
          <w:tcPr>
            <w:tcW w:w="537" w:type="pct"/>
            <w:tcBorders>
              <w:top w:val="nil"/>
              <w:left w:val="nil"/>
              <w:bottom w:val="single" w:sz="4" w:space="0" w:color="auto"/>
              <w:right w:val="nil"/>
            </w:tcBorders>
            <w:shd w:val="clear" w:color="auto" w:fill="auto"/>
            <w:noWrap/>
            <w:vAlign w:val="center"/>
            <w:hideMark/>
          </w:tcPr>
          <w:p w14:paraId="09DD2FFB"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15 989 279</w:t>
            </w:r>
          </w:p>
        </w:tc>
        <w:tc>
          <w:tcPr>
            <w:tcW w:w="537" w:type="pct"/>
            <w:tcBorders>
              <w:top w:val="nil"/>
              <w:left w:val="nil"/>
              <w:bottom w:val="single" w:sz="4" w:space="0" w:color="auto"/>
              <w:right w:val="nil"/>
            </w:tcBorders>
            <w:shd w:val="clear" w:color="auto" w:fill="auto"/>
            <w:noWrap/>
            <w:vAlign w:val="center"/>
            <w:hideMark/>
          </w:tcPr>
          <w:p w14:paraId="058668D5"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10 983 905</w:t>
            </w:r>
          </w:p>
        </w:tc>
        <w:tc>
          <w:tcPr>
            <w:tcW w:w="537" w:type="pct"/>
            <w:tcBorders>
              <w:top w:val="nil"/>
              <w:left w:val="nil"/>
              <w:bottom w:val="single" w:sz="4" w:space="0" w:color="auto"/>
              <w:right w:val="nil"/>
            </w:tcBorders>
            <w:shd w:val="clear" w:color="auto" w:fill="auto"/>
            <w:noWrap/>
            <w:vAlign w:val="center"/>
            <w:hideMark/>
          </w:tcPr>
          <w:p w14:paraId="10707325"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12 336 261</w:t>
            </w:r>
          </w:p>
        </w:tc>
        <w:tc>
          <w:tcPr>
            <w:tcW w:w="537" w:type="pct"/>
            <w:tcBorders>
              <w:top w:val="nil"/>
              <w:left w:val="nil"/>
              <w:bottom w:val="single" w:sz="4" w:space="0" w:color="auto"/>
              <w:right w:val="nil"/>
            </w:tcBorders>
            <w:shd w:val="clear" w:color="auto" w:fill="auto"/>
            <w:noWrap/>
            <w:vAlign w:val="center"/>
            <w:hideMark/>
          </w:tcPr>
          <w:p w14:paraId="44FE1C05"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12 532 436</w:t>
            </w:r>
          </w:p>
        </w:tc>
      </w:tr>
    </w:tbl>
    <w:p w14:paraId="201EB722" w14:textId="77777777" w:rsidR="00E64517" w:rsidRPr="0073210B" w:rsidRDefault="00E64517" w:rsidP="00E64517">
      <w:pPr>
        <w:spacing w:after="0"/>
        <w:rPr>
          <w:rFonts w:ascii="Times New Roman" w:eastAsia="Times New Roman" w:hAnsi="Times New Roman" w:cs="Times New Roman"/>
          <w:bCs/>
          <w:i/>
          <w:sz w:val="16"/>
          <w:szCs w:val="16"/>
        </w:rPr>
      </w:pPr>
      <w:r w:rsidRPr="0073210B">
        <w:rPr>
          <w:rFonts w:ascii="Times New Roman" w:eastAsia="Times New Roman" w:hAnsi="Times New Roman" w:cs="Times New Roman"/>
          <w:i/>
          <w:sz w:val="16"/>
          <w:szCs w:val="16"/>
        </w:rPr>
        <w:t xml:space="preserve">* </w:t>
      </w:r>
      <w:r w:rsidRPr="0073210B">
        <w:rPr>
          <w:rFonts w:ascii="Times New Roman" w:eastAsia="Times New Roman" w:hAnsi="Times New Roman" w:cs="Times New Roman"/>
          <w:bCs/>
          <w:i/>
          <w:sz w:val="16"/>
          <w:szCs w:val="16"/>
        </w:rPr>
        <w:t>Bez príjmov samostatných účtov vstupujúcich do rozpočtu verejnej správy, ktoré s</w:t>
      </w:r>
      <w:r>
        <w:rPr>
          <w:rFonts w:ascii="Times New Roman" w:eastAsia="Times New Roman" w:hAnsi="Times New Roman" w:cs="Times New Roman"/>
          <w:bCs/>
          <w:i/>
          <w:sz w:val="16"/>
          <w:szCs w:val="16"/>
        </w:rPr>
        <w:t>ú samostatne uvedené v </w:t>
      </w:r>
      <w:r w:rsidRPr="00AB0127">
        <w:rPr>
          <w:rFonts w:ascii="Times New Roman" w:eastAsia="Times New Roman" w:hAnsi="Times New Roman" w:cs="Times New Roman"/>
          <w:bCs/>
          <w:i/>
          <w:sz w:val="16"/>
          <w:szCs w:val="16"/>
        </w:rPr>
        <w:t>časti 3.3.</w:t>
      </w:r>
      <w:bookmarkEnd w:id="116"/>
    </w:p>
    <w:p w14:paraId="55645D01" w14:textId="77777777" w:rsidR="00E64517" w:rsidRDefault="00E64517" w:rsidP="00E64517">
      <w:pPr>
        <w:spacing w:after="0"/>
        <w:rPr>
          <w:rFonts w:ascii="Times New Roman" w:eastAsia="Calibri" w:hAnsi="Times New Roman" w:cs="Times New Roman"/>
          <w:i/>
          <w:sz w:val="16"/>
          <w:szCs w:val="16"/>
        </w:rPr>
      </w:pPr>
      <w:r w:rsidRPr="0073210B">
        <w:rPr>
          <w:rFonts w:ascii="Times New Roman" w:eastAsia="Calibri" w:hAnsi="Times New Roman" w:cs="Times New Roman"/>
          <w:sz w:val="16"/>
          <w:szCs w:val="16"/>
        </w:rPr>
        <w:t xml:space="preserve">     </w:t>
      </w:r>
      <w:r w:rsidRPr="0073210B">
        <w:rPr>
          <w:rFonts w:ascii="Times New Roman" w:eastAsia="Calibri" w:hAnsi="Times New Roman" w:cs="Times New Roman"/>
          <w:sz w:val="16"/>
          <w:szCs w:val="16"/>
        </w:rPr>
        <w:tab/>
      </w:r>
      <w:r w:rsidRPr="0073210B">
        <w:rPr>
          <w:rFonts w:ascii="Times New Roman" w:eastAsia="Calibri" w:hAnsi="Times New Roman" w:cs="Times New Roman"/>
          <w:sz w:val="16"/>
          <w:szCs w:val="16"/>
        </w:rPr>
        <w:tab/>
      </w:r>
      <w:r w:rsidRPr="0073210B">
        <w:rPr>
          <w:rFonts w:ascii="Times New Roman" w:eastAsia="Calibri" w:hAnsi="Times New Roman" w:cs="Times New Roman"/>
          <w:sz w:val="16"/>
          <w:szCs w:val="16"/>
        </w:rPr>
        <w:tab/>
      </w:r>
      <w:r w:rsidRPr="0073210B">
        <w:rPr>
          <w:rFonts w:ascii="Times New Roman" w:eastAsia="Calibri" w:hAnsi="Times New Roman" w:cs="Times New Roman"/>
          <w:sz w:val="16"/>
          <w:szCs w:val="16"/>
        </w:rPr>
        <w:tab/>
      </w:r>
      <w:r w:rsidRPr="0073210B">
        <w:rPr>
          <w:rFonts w:ascii="Times New Roman" w:eastAsia="Calibri" w:hAnsi="Times New Roman" w:cs="Times New Roman"/>
          <w:sz w:val="16"/>
          <w:szCs w:val="16"/>
        </w:rPr>
        <w:tab/>
      </w:r>
      <w:r w:rsidRPr="0073210B">
        <w:rPr>
          <w:rFonts w:ascii="Times New Roman" w:eastAsia="Calibri" w:hAnsi="Times New Roman" w:cs="Times New Roman"/>
          <w:sz w:val="16"/>
          <w:szCs w:val="16"/>
        </w:rPr>
        <w:tab/>
      </w:r>
      <w:r w:rsidRPr="0073210B">
        <w:rPr>
          <w:rFonts w:ascii="Times New Roman" w:eastAsia="Calibri" w:hAnsi="Times New Roman" w:cs="Times New Roman"/>
          <w:sz w:val="16"/>
          <w:szCs w:val="16"/>
        </w:rPr>
        <w:tab/>
      </w:r>
      <w:r w:rsidRPr="0073210B">
        <w:rPr>
          <w:rFonts w:ascii="Times New Roman" w:eastAsia="Calibri" w:hAnsi="Times New Roman" w:cs="Times New Roman"/>
          <w:sz w:val="16"/>
          <w:szCs w:val="16"/>
        </w:rPr>
        <w:tab/>
      </w:r>
      <w:r w:rsidRPr="0073210B">
        <w:rPr>
          <w:rFonts w:ascii="Times New Roman" w:eastAsia="Calibri" w:hAnsi="Times New Roman" w:cs="Times New Roman"/>
          <w:sz w:val="16"/>
          <w:szCs w:val="16"/>
        </w:rPr>
        <w:tab/>
      </w:r>
      <w:r w:rsidRPr="0073210B">
        <w:rPr>
          <w:rFonts w:ascii="Times New Roman" w:eastAsia="Calibri" w:hAnsi="Times New Roman" w:cs="Times New Roman"/>
          <w:sz w:val="16"/>
          <w:szCs w:val="16"/>
        </w:rPr>
        <w:tab/>
      </w:r>
      <w:r w:rsidRPr="0073210B">
        <w:rPr>
          <w:rFonts w:ascii="Times New Roman" w:eastAsia="Calibri" w:hAnsi="Times New Roman" w:cs="Times New Roman"/>
          <w:sz w:val="16"/>
          <w:szCs w:val="16"/>
        </w:rPr>
        <w:tab/>
        <w:t xml:space="preserve">     </w:t>
      </w:r>
      <w:r w:rsidRPr="0073210B">
        <w:rPr>
          <w:rFonts w:ascii="Times New Roman" w:eastAsia="Calibri" w:hAnsi="Times New Roman" w:cs="Times New Roman"/>
          <w:i/>
          <w:sz w:val="16"/>
          <w:szCs w:val="16"/>
        </w:rPr>
        <w:t>Zdroj: MF SR</w:t>
      </w:r>
    </w:p>
    <w:p w14:paraId="0650DE69" w14:textId="77777777" w:rsidR="00E64517" w:rsidRDefault="00E64517" w:rsidP="006A78DE">
      <w:pPr>
        <w:spacing w:after="0"/>
        <w:jc w:val="both"/>
        <w:rPr>
          <w:rFonts w:ascii="Times New Roman" w:hAnsi="Times New Roman"/>
          <w:b/>
          <w:color w:val="5B9BD5" w:themeColor="accent1"/>
          <w:sz w:val="24"/>
          <w:szCs w:val="24"/>
          <w:lang w:eastAsia="sk-SK"/>
        </w:rPr>
      </w:pPr>
    </w:p>
    <w:p w14:paraId="67711CF6" w14:textId="77777777" w:rsidR="007E2761" w:rsidRDefault="007E2761" w:rsidP="007E2761">
      <w:pPr>
        <w:spacing w:after="0"/>
        <w:jc w:val="both"/>
        <w:rPr>
          <w:rFonts w:ascii="Times New Roman" w:hAnsi="Times New Roman"/>
          <w:b/>
          <w:color w:val="5B9BD5" w:themeColor="accent1"/>
          <w:sz w:val="24"/>
          <w:szCs w:val="24"/>
          <w:lang w:eastAsia="sk-SK"/>
        </w:rPr>
      </w:pPr>
      <w:bookmarkStart w:id="117" w:name="_Toc52972875"/>
      <w:r w:rsidRPr="00FC43DD">
        <w:rPr>
          <w:rFonts w:ascii="Times New Roman" w:eastAsia="Times New Roman" w:hAnsi="Times New Roman" w:cs="Times New Roman"/>
          <w:b/>
          <w:bCs/>
          <w:color w:val="5B9BD5" w:themeColor="accent1"/>
          <w:sz w:val="24"/>
          <w:szCs w:val="24"/>
        </w:rPr>
        <w:lastRenderedPageBreak/>
        <w:t>3.</w:t>
      </w:r>
      <w:r>
        <w:rPr>
          <w:rFonts w:ascii="Times New Roman" w:eastAsia="Times New Roman" w:hAnsi="Times New Roman" w:cs="Times New Roman"/>
          <w:b/>
          <w:bCs/>
          <w:color w:val="5B9BD5" w:themeColor="accent1"/>
          <w:sz w:val="24"/>
          <w:szCs w:val="24"/>
        </w:rPr>
        <w:t>2</w:t>
      </w:r>
      <w:r w:rsidRPr="00FC43DD">
        <w:rPr>
          <w:rFonts w:ascii="Times New Roman" w:eastAsia="Times New Roman" w:hAnsi="Times New Roman" w:cs="Times New Roman"/>
          <w:b/>
          <w:bCs/>
          <w:color w:val="5B9BD5" w:themeColor="accent1"/>
          <w:sz w:val="24"/>
          <w:szCs w:val="24"/>
        </w:rPr>
        <w:t xml:space="preserve">.3. </w:t>
      </w:r>
      <w:bookmarkEnd w:id="117"/>
      <w:r w:rsidRPr="007C2BDC">
        <w:rPr>
          <w:rFonts w:ascii="Times New Roman" w:hAnsi="Times New Roman"/>
          <w:b/>
          <w:color w:val="5B9BD5" w:themeColor="accent1"/>
          <w:sz w:val="24"/>
          <w:szCs w:val="24"/>
          <w:lang w:eastAsia="sk-SK"/>
        </w:rPr>
        <w:t>Rozpočtovanie iných ako daňových príjmov štátneho rozpočtu</w:t>
      </w:r>
    </w:p>
    <w:p w14:paraId="7970F9C2" w14:textId="77777777" w:rsidR="007E2761" w:rsidRDefault="007E2761" w:rsidP="007E2761">
      <w:pPr>
        <w:pStyle w:val="Zkladntext"/>
        <w:rPr>
          <w:rFonts w:ascii="Times New Roman" w:hAnsi="Times New Roman" w:cs="Times New Roman"/>
          <w:b/>
          <w:color w:val="5B9BD5" w:themeColor="accent1"/>
        </w:rPr>
      </w:pPr>
    </w:p>
    <w:p w14:paraId="7E2A72FF" w14:textId="77777777" w:rsidR="00BC2A02" w:rsidRPr="00BC2A02" w:rsidRDefault="00BC2A02" w:rsidP="00296CA4">
      <w:pPr>
        <w:spacing w:after="5" w:line="269" w:lineRule="auto"/>
        <w:ind w:left="55" w:hanging="10"/>
        <w:jc w:val="both"/>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color w:val="000000"/>
          <w:sz w:val="24"/>
          <w:lang w:eastAsia="sk-SK"/>
        </w:rPr>
        <w:t>Výdavkové politiky vlády SR sú financované nielen z daňových príjmov, ale aj z iných príjmov kapitol štátneho rozpočtu, ktoré možno rozdeliť na dve základné kategórie, a to nedaňové príjmy a granty a transfery.</w:t>
      </w:r>
    </w:p>
    <w:p w14:paraId="3D8A93A7" w14:textId="77777777" w:rsidR="00BC2A02" w:rsidRPr="00BC2A02" w:rsidRDefault="00BC2A02" w:rsidP="00BC2A02">
      <w:pPr>
        <w:spacing w:after="5" w:line="269" w:lineRule="auto"/>
        <w:ind w:left="55" w:right="446" w:hanging="10"/>
        <w:jc w:val="both"/>
        <w:rPr>
          <w:rFonts w:ascii="Times New Roman" w:eastAsia="Times New Roman" w:hAnsi="Times New Roman" w:cs="Times New Roman"/>
          <w:color w:val="000000"/>
          <w:sz w:val="24"/>
          <w:lang w:eastAsia="sk-SK"/>
        </w:rPr>
      </w:pPr>
    </w:p>
    <w:p w14:paraId="084F409E" w14:textId="05935252" w:rsidR="00BC2A02" w:rsidRPr="00BC2A02" w:rsidRDefault="00BC2A02" w:rsidP="00BC2A02">
      <w:pPr>
        <w:spacing w:after="3"/>
        <w:ind w:left="60"/>
        <w:rPr>
          <w:rFonts w:ascii="Times New Roman" w:eastAsia="Times New Roman" w:hAnsi="Times New Roman" w:cs="Times New Roman"/>
          <w:color w:val="000000"/>
          <w:sz w:val="24"/>
          <w:lang w:eastAsia="sk-SK"/>
        </w:rPr>
      </w:pPr>
      <w:bookmarkStart w:id="118" w:name="_Toc123813900"/>
      <w:bookmarkStart w:id="119" w:name="_Toc153013031"/>
      <w:r w:rsidRPr="00BC2A02">
        <w:rPr>
          <w:rFonts w:ascii="Times New Roman" w:eastAsia="Times New Roman" w:hAnsi="Times New Roman" w:cs="Times New Roman"/>
          <w:b/>
          <w:color w:val="5B9BD5"/>
          <w:sz w:val="20"/>
          <w:lang w:eastAsia="sk-SK"/>
        </w:rPr>
        <w:t xml:space="preserve">Tabuľka </w:t>
      </w:r>
      <w:r w:rsidRPr="00BC2A02">
        <w:rPr>
          <w:rFonts w:ascii="Times New Roman" w:hAnsi="Times New Roman" w:cs="Times New Roman"/>
          <w:b/>
          <w:i/>
          <w:color w:val="5B9BD5" w:themeColor="accent1"/>
          <w:sz w:val="20"/>
          <w:szCs w:val="20"/>
        </w:rPr>
        <w:fldChar w:fldCharType="begin"/>
      </w:r>
      <w:r w:rsidRPr="00BC2A02">
        <w:rPr>
          <w:rFonts w:ascii="Times New Roman" w:hAnsi="Times New Roman" w:cs="Times New Roman"/>
          <w:b/>
          <w:color w:val="5B9BD5" w:themeColor="accent1"/>
          <w:sz w:val="20"/>
          <w:szCs w:val="20"/>
        </w:rPr>
        <w:instrText xml:space="preserve"> SEQ Tabuľka \* ARABIC </w:instrText>
      </w:r>
      <w:r w:rsidRPr="00BC2A02">
        <w:rPr>
          <w:rFonts w:ascii="Times New Roman" w:hAnsi="Times New Roman" w:cs="Times New Roman"/>
          <w:b/>
          <w:i/>
          <w:color w:val="5B9BD5" w:themeColor="accent1"/>
          <w:sz w:val="20"/>
          <w:szCs w:val="20"/>
        </w:rPr>
        <w:fldChar w:fldCharType="separate"/>
      </w:r>
      <w:r w:rsidR="003D5A3A">
        <w:rPr>
          <w:rFonts w:ascii="Times New Roman" w:hAnsi="Times New Roman" w:cs="Times New Roman"/>
          <w:b/>
          <w:noProof/>
          <w:color w:val="5B9BD5" w:themeColor="accent1"/>
          <w:sz w:val="20"/>
          <w:szCs w:val="20"/>
        </w:rPr>
        <w:t>33</w:t>
      </w:r>
      <w:r w:rsidRPr="00BC2A02">
        <w:rPr>
          <w:rFonts w:ascii="Times New Roman" w:hAnsi="Times New Roman" w:cs="Times New Roman"/>
          <w:b/>
          <w:i/>
          <w:color w:val="5B9BD5" w:themeColor="accent1"/>
          <w:sz w:val="20"/>
          <w:szCs w:val="20"/>
        </w:rPr>
        <w:fldChar w:fldCharType="end"/>
      </w:r>
      <w:r w:rsidRPr="00BC2A02">
        <w:rPr>
          <w:rFonts w:ascii="Times New Roman" w:eastAsia="Times New Roman" w:hAnsi="Times New Roman" w:cs="Times New Roman"/>
          <w:b/>
          <w:color w:val="5B9BD5"/>
          <w:sz w:val="20"/>
          <w:lang w:eastAsia="sk-SK"/>
        </w:rPr>
        <w:t xml:space="preserve"> - Iné ako daňové príjmy štátneho rozpočtu</w:t>
      </w:r>
      <w:bookmarkEnd w:id="118"/>
      <w:bookmarkEnd w:id="119"/>
      <w:r w:rsidRPr="00BC2A02">
        <w:rPr>
          <w:rFonts w:ascii="Times New Roman" w:eastAsia="Times New Roman" w:hAnsi="Times New Roman" w:cs="Times New Roman"/>
          <w:b/>
          <w:color w:val="5B9BD5"/>
          <w:sz w:val="20"/>
          <w:lang w:eastAsia="sk-SK"/>
        </w:rPr>
        <w:t xml:space="preserve"> </w:t>
      </w:r>
    </w:p>
    <w:tbl>
      <w:tblPr>
        <w:tblStyle w:val="TableGrid3"/>
        <w:tblW w:w="9088" w:type="dxa"/>
        <w:tblInd w:w="46" w:type="dxa"/>
        <w:tblCellMar>
          <w:top w:w="54" w:type="dxa"/>
          <w:right w:w="29" w:type="dxa"/>
        </w:tblCellMar>
        <w:tblLook w:val="04A0" w:firstRow="1" w:lastRow="0" w:firstColumn="1" w:lastColumn="0" w:noHBand="0" w:noVBand="1"/>
      </w:tblPr>
      <w:tblGrid>
        <w:gridCol w:w="2151"/>
        <w:gridCol w:w="1038"/>
        <w:gridCol w:w="1039"/>
        <w:gridCol w:w="1037"/>
        <w:gridCol w:w="1039"/>
        <w:gridCol w:w="880"/>
        <w:gridCol w:w="992"/>
        <w:gridCol w:w="912"/>
      </w:tblGrid>
      <w:tr w:rsidR="00BC2A02" w:rsidRPr="00BC2A02" w14:paraId="1261F36B" w14:textId="77777777" w:rsidTr="00B63F1A">
        <w:trPr>
          <w:trHeight w:val="300"/>
        </w:trPr>
        <w:tc>
          <w:tcPr>
            <w:tcW w:w="2151" w:type="dxa"/>
            <w:tcBorders>
              <w:top w:val="single" w:sz="4" w:space="0" w:color="000000"/>
              <w:left w:val="nil"/>
              <w:bottom w:val="single" w:sz="4" w:space="0" w:color="000000"/>
              <w:right w:val="nil"/>
            </w:tcBorders>
          </w:tcPr>
          <w:p w14:paraId="636EA3CB" w14:textId="77777777" w:rsidR="00BC2A02" w:rsidRPr="00BC2A02" w:rsidRDefault="00BC2A02" w:rsidP="00BC2A02">
            <w:pPr>
              <w:ind w:left="86"/>
              <w:rPr>
                <w:rFonts w:ascii="Times New Roman" w:hAnsi="Times New Roman" w:cs="Times New Roman"/>
                <w:color w:val="000000"/>
                <w:sz w:val="24"/>
              </w:rPr>
            </w:pPr>
            <w:r w:rsidRPr="00BC2A02">
              <w:rPr>
                <w:rFonts w:ascii="Times New Roman" w:hAnsi="Times New Roman" w:cs="Times New Roman"/>
                <w:b/>
                <w:color w:val="000000"/>
                <w:sz w:val="16"/>
              </w:rPr>
              <w:t xml:space="preserve"> v tis. eur </w:t>
            </w:r>
          </w:p>
        </w:tc>
        <w:tc>
          <w:tcPr>
            <w:tcW w:w="1038" w:type="dxa"/>
            <w:tcBorders>
              <w:top w:val="single" w:sz="4" w:space="0" w:color="000000"/>
              <w:left w:val="nil"/>
              <w:bottom w:val="single" w:sz="4" w:space="0" w:color="000000"/>
              <w:right w:val="nil"/>
            </w:tcBorders>
          </w:tcPr>
          <w:p w14:paraId="268E9E01" w14:textId="77777777" w:rsidR="00BC2A02" w:rsidRPr="00BC2A02" w:rsidRDefault="00BC2A02" w:rsidP="00BC2A02">
            <w:pPr>
              <w:ind w:left="192"/>
              <w:jc w:val="right"/>
              <w:rPr>
                <w:rFonts w:ascii="Times New Roman" w:hAnsi="Times New Roman" w:cs="Times New Roman"/>
                <w:color w:val="000000"/>
                <w:sz w:val="24"/>
              </w:rPr>
            </w:pPr>
            <w:r w:rsidRPr="00BC2A02">
              <w:rPr>
                <w:rFonts w:ascii="Times New Roman" w:hAnsi="Times New Roman" w:cs="Times New Roman"/>
                <w:b/>
                <w:color w:val="000000"/>
                <w:sz w:val="16"/>
              </w:rPr>
              <w:t xml:space="preserve">2021 S </w:t>
            </w:r>
          </w:p>
        </w:tc>
        <w:tc>
          <w:tcPr>
            <w:tcW w:w="1039" w:type="dxa"/>
            <w:tcBorders>
              <w:top w:val="single" w:sz="4" w:space="0" w:color="000000"/>
              <w:left w:val="nil"/>
              <w:bottom w:val="single" w:sz="4" w:space="0" w:color="000000"/>
              <w:right w:val="nil"/>
            </w:tcBorders>
          </w:tcPr>
          <w:p w14:paraId="48505E7C" w14:textId="77777777" w:rsidR="00BC2A02" w:rsidRPr="00BC2A02" w:rsidRDefault="00BC2A02" w:rsidP="00BC2A02">
            <w:pPr>
              <w:ind w:left="192"/>
              <w:jc w:val="right"/>
              <w:rPr>
                <w:rFonts w:ascii="Times New Roman" w:hAnsi="Times New Roman" w:cs="Times New Roman"/>
                <w:color w:val="000000"/>
                <w:sz w:val="24"/>
              </w:rPr>
            </w:pPr>
            <w:r w:rsidRPr="00BC2A02">
              <w:rPr>
                <w:rFonts w:ascii="Times New Roman" w:hAnsi="Times New Roman" w:cs="Times New Roman"/>
                <w:b/>
                <w:color w:val="000000"/>
                <w:sz w:val="16"/>
              </w:rPr>
              <w:t xml:space="preserve">2022 S </w:t>
            </w:r>
          </w:p>
        </w:tc>
        <w:tc>
          <w:tcPr>
            <w:tcW w:w="1037" w:type="dxa"/>
            <w:tcBorders>
              <w:top w:val="single" w:sz="4" w:space="0" w:color="000000"/>
              <w:left w:val="nil"/>
              <w:bottom w:val="single" w:sz="4" w:space="0" w:color="000000"/>
              <w:right w:val="nil"/>
            </w:tcBorders>
          </w:tcPr>
          <w:p w14:paraId="4E4597E2" w14:textId="77777777" w:rsidR="00BC2A02" w:rsidRPr="00BC2A02" w:rsidRDefault="00BC2A02" w:rsidP="00BC2A02">
            <w:pPr>
              <w:ind w:left="125"/>
              <w:jc w:val="right"/>
              <w:rPr>
                <w:rFonts w:ascii="Times New Roman" w:hAnsi="Times New Roman" w:cs="Times New Roman"/>
                <w:color w:val="000000"/>
                <w:sz w:val="24"/>
              </w:rPr>
            </w:pPr>
            <w:r w:rsidRPr="00BC2A02">
              <w:rPr>
                <w:rFonts w:ascii="Times New Roman" w:hAnsi="Times New Roman" w:cs="Times New Roman"/>
                <w:b/>
                <w:color w:val="000000"/>
                <w:sz w:val="16"/>
              </w:rPr>
              <w:t xml:space="preserve"> 2023 R </w:t>
            </w:r>
          </w:p>
        </w:tc>
        <w:tc>
          <w:tcPr>
            <w:tcW w:w="1039" w:type="dxa"/>
            <w:tcBorders>
              <w:top w:val="single" w:sz="4" w:space="0" w:color="000000"/>
              <w:left w:val="nil"/>
              <w:bottom w:val="single" w:sz="4" w:space="0" w:color="000000"/>
              <w:right w:val="nil"/>
            </w:tcBorders>
          </w:tcPr>
          <w:p w14:paraId="5EE094F6" w14:textId="77777777" w:rsidR="00BC2A02" w:rsidRPr="00BC2A02" w:rsidRDefault="00BC2A02" w:rsidP="00BC2A02">
            <w:pPr>
              <w:ind w:left="67"/>
              <w:jc w:val="right"/>
              <w:rPr>
                <w:rFonts w:ascii="Times New Roman" w:hAnsi="Times New Roman" w:cs="Times New Roman"/>
                <w:color w:val="000000"/>
                <w:sz w:val="24"/>
              </w:rPr>
            </w:pPr>
            <w:r w:rsidRPr="00BC2A02">
              <w:rPr>
                <w:rFonts w:ascii="Times New Roman" w:hAnsi="Times New Roman" w:cs="Times New Roman"/>
                <w:b/>
                <w:color w:val="000000"/>
                <w:sz w:val="16"/>
              </w:rPr>
              <w:t xml:space="preserve">2023 OS </w:t>
            </w:r>
          </w:p>
        </w:tc>
        <w:tc>
          <w:tcPr>
            <w:tcW w:w="880" w:type="dxa"/>
            <w:tcBorders>
              <w:top w:val="single" w:sz="4" w:space="0" w:color="000000"/>
              <w:left w:val="nil"/>
              <w:bottom w:val="single" w:sz="4" w:space="0" w:color="000000"/>
              <w:right w:val="nil"/>
            </w:tcBorders>
          </w:tcPr>
          <w:p w14:paraId="68BF95BB" w14:textId="77777777" w:rsidR="00BC2A02" w:rsidRPr="00BC2A02" w:rsidRDefault="00BC2A02" w:rsidP="00BC2A02">
            <w:pPr>
              <w:ind w:left="166"/>
              <w:jc w:val="right"/>
              <w:rPr>
                <w:rFonts w:ascii="Times New Roman" w:hAnsi="Times New Roman" w:cs="Times New Roman"/>
                <w:color w:val="000000"/>
                <w:sz w:val="24"/>
              </w:rPr>
            </w:pPr>
            <w:r w:rsidRPr="00BC2A02">
              <w:rPr>
                <w:rFonts w:ascii="Times New Roman" w:hAnsi="Times New Roman" w:cs="Times New Roman"/>
                <w:b/>
                <w:color w:val="000000"/>
                <w:sz w:val="16"/>
              </w:rPr>
              <w:t xml:space="preserve">2024 N </w:t>
            </w:r>
          </w:p>
        </w:tc>
        <w:tc>
          <w:tcPr>
            <w:tcW w:w="992" w:type="dxa"/>
            <w:tcBorders>
              <w:top w:val="single" w:sz="4" w:space="0" w:color="000000"/>
              <w:left w:val="nil"/>
              <w:bottom w:val="single" w:sz="4" w:space="0" w:color="000000"/>
              <w:right w:val="nil"/>
            </w:tcBorders>
          </w:tcPr>
          <w:p w14:paraId="18E00426" w14:textId="77777777" w:rsidR="00BC2A02" w:rsidRPr="00BC2A02" w:rsidRDefault="00BC2A02" w:rsidP="00BC2A02">
            <w:pPr>
              <w:ind w:left="166"/>
              <w:jc w:val="right"/>
              <w:rPr>
                <w:rFonts w:ascii="Times New Roman" w:hAnsi="Times New Roman" w:cs="Times New Roman"/>
                <w:color w:val="000000"/>
                <w:sz w:val="24"/>
              </w:rPr>
            </w:pPr>
            <w:r w:rsidRPr="00BC2A02">
              <w:rPr>
                <w:rFonts w:ascii="Times New Roman" w:hAnsi="Times New Roman" w:cs="Times New Roman"/>
                <w:b/>
                <w:color w:val="000000"/>
                <w:sz w:val="16"/>
              </w:rPr>
              <w:t xml:space="preserve">2025 N </w:t>
            </w:r>
          </w:p>
        </w:tc>
        <w:tc>
          <w:tcPr>
            <w:tcW w:w="912" w:type="dxa"/>
            <w:tcBorders>
              <w:top w:val="single" w:sz="4" w:space="0" w:color="000000"/>
              <w:left w:val="nil"/>
              <w:bottom w:val="single" w:sz="4" w:space="0" w:color="000000"/>
              <w:right w:val="nil"/>
            </w:tcBorders>
          </w:tcPr>
          <w:p w14:paraId="650BD7C8" w14:textId="77777777" w:rsidR="00BC2A02" w:rsidRPr="00BC2A02" w:rsidRDefault="00BC2A02" w:rsidP="00BC2A02">
            <w:pPr>
              <w:ind w:right="37"/>
              <w:jc w:val="right"/>
              <w:rPr>
                <w:rFonts w:ascii="Times New Roman" w:hAnsi="Times New Roman" w:cs="Times New Roman"/>
                <w:color w:val="000000"/>
                <w:sz w:val="24"/>
              </w:rPr>
            </w:pPr>
            <w:r w:rsidRPr="00BC2A02">
              <w:rPr>
                <w:rFonts w:ascii="Times New Roman" w:hAnsi="Times New Roman" w:cs="Times New Roman"/>
                <w:b/>
                <w:color w:val="000000"/>
                <w:sz w:val="16"/>
              </w:rPr>
              <w:t xml:space="preserve">2026 N </w:t>
            </w:r>
          </w:p>
        </w:tc>
      </w:tr>
      <w:tr w:rsidR="00BC2A02" w:rsidRPr="00BC2A02" w14:paraId="0909CC30" w14:textId="77777777" w:rsidTr="00B63F1A">
        <w:trPr>
          <w:trHeight w:val="293"/>
        </w:trPr>
        <w:tc>
          <w:tcPr>
            <w:tcW w:w="2151" w:type="dxa"/>
            <w:tcBorders>
              <w:top w:val="single" w:sz="4" w:space="0" w:color="000000"/>
              <w:left w:val="nil"/>
              <w:bottom w:val="nil"/>
              <w:right w:val="nil"/>
            </w:tcBorders>
          </w:tcPr>
          <w:p w14:paraId="52C40897" w14:textId="77777777" w:rsidR="00BC2A02" w:rsidRPr="00BC2A02" w:rsidRDefault="00BC2A02" w:rsidP="00BC2A02">
            <w:pPr>
              <w:ind w:left="86"/>
              <w:rPr>
                <w:rFonts w:ascii="Times New Roman" w:hAnsi="Times New Roman" w:cs="Times New Roman"/>
                <w:color w:val="000000"/>
                <w:sz w:val="16"/>
                <w:szCs w:val="16"/>
              </w:rPr>
            </w:pPr>
            <w:r w:rsidRPr="00BC2A02">
              <w:rPr>
                <w:rFonts w:ascii="Times New Roman" w:hAnsi="Times New Roman" w:cs="Times New Roman"/>
                <w:b/>
                <w:color w:val="000000"/>
                <w:sz w:val="16"/>
                <w:szCs w:val="16"/>
              </w:rPr>
              <w:t xml:space="preserve">Spolu </w:t>
            </w:r>
          </w:p>
        </w:tc>
        <w:tc>
          <w:tcPr>
            <w:tcW w:w="1038" w:type="dxa"/>
            <w:tcBorders>
              <w:top w:val="single" w:sz="4" w:space="0" w:color="000000"/>
              <w:left w:val="nil"/>
              <w:bottom w:val="nil"/>
              <w:right w:val="nil"/>
            </w:tcBorders>
          </w:tcPr>
          <w:p w14:paraId="458A75F3" w14:textId="77777777" w:rsidR="00BC2A02" w:rsidRPr="00BC2A02" w:rsidRDefault="00BC2A02" w:rsidP="00BC2A02">
            <w:pPr>
              <w:jc w:val="right"/>
              <w:rPr>
                <w:rFonts w:ascii="Times New Roman" w:hAnsi="Times New Roman" w:cs="Times New Roman"/>
                <w:b/>
                <w:bCs/>
                <w:color w:val="000000"/>
                <w:sz w:val="16"/>
                <w:szCs w:val="16"/>
              </w:rPr>
            </w:pPr>
            <w:r w:rsidRPr="00BC2A02">
              <w:rPr>
                <w:rFonts w:ascii="Times New Roman" w:hAnsi="Times New Roman" w:cs="Times New Roman"/>
                <w:b/>
                <w:bCs/>
                <w:color w:val="000000"/>
                <w:sz w:val="16"/>
                <w:szCs w:val="16"/>
              </w:rPr>
              <w:t>3 651 259</w:t>
            </w:r>
          </w:p>
        </w:tc>
        <w:tc>
          <w:tcPr>
            <w:tcW w:w="1039" w:type="dxa"/>
            <w:tcBorders>
              <w:top w:val="single" w:sz="4" w:space="0" w:color="000000"/>
              <w:left w:val="nil"/>
              <w:bottom w:val="nil"/>
              <w:right w:val="nil"/>
            </w:tcBorders>
          </w:tcPr>
          <w:p w14:paraId="6BDBD719" w14:textId="77777777" w:rsidR="00BC2A02" w:rsidRPr="00BC2A02" w:rsidRDefault="00BC2A02" w:rsidP="00BC2A02">
            <w:pPr>
              <w:jc w:val="right"/>
              <w:rPr>
                <w:rFonts w:ascii="Times New Roman" w:hAnsi="Times New Roman" w:cs="Times New Roman"/>
                <w:b/>
                <w:bCs/>
                <w:color w:val="000000"/>
                <w:sz w:val="16"/>
                <w:szCs w:val="16"/>
              </w:rPr>
            </w:pPr>
            <w:r w:rsidRPr="00BC2A02">
              <w:rPr>
                <w:rFonts w:ascii="Times New Roman" w:hAnsi="Times New Roman" w:cs="Times New Roman"/>
                <w:b/>
                <w:bCs/>
                <w:color w:val="000000"/>
                <w:sz w:val="16"/>
                <w:szCs w:val="16"/>
              </w:rPr>
              <w:t>3 512 666</w:t>
            </w:r>
          </w:p>
        </w:tc>
        <w:tc>
          <w:tcPr>
            <w:tcW w:w="1037" w:type="dxa"/>
            <w:tcBorders>
              <w:top w:val="single" w:sz="4" w:space="0" w:color="000000"/>
              <w:left w:val="nil"/>
              <w:bottom w:val="nil"/>
              <w:right w:val="nil"/>
            </w:tcBorders>
          </w:tcPr>
          <w:p w14:paraId="6BD7C288" w14:textId="77777777" w:rsidR="00BC2A02" w:rsidRPr="00BC2A02" w:rsidRDefault="00BC2A02" w:rsidP="00BC2A02">
            <w:pPr>
              <w:jc w:val="right"/>
              <w:rPr>
                <w:rFonts w:ascii="Times New Roman" w:hAnsi="Times New Roman" w:cs="Times New Roman"/>
                <w:b/>
                <w:color w:val="000000"/>
                <w:sz w:val="16"/>
                <w:szCs w:val="16"/>
              </w:rPr>
            </w:pPr>
            <w:r w:rsidRPr="00BC2A02">
              <w:rPr>
                <w:rFonts w:ascii="Times New Roman" w:hAnsi="Times New Roman" w:cs="Times New Roman"/>
                <w:b/>
                <w:color w:val="000000"/>
                <w:sz w:val="16"/>
                <w:szCs w:val="16"/>
              </w:rPr>
              <w:t>9 903 775</w:t>
            </w:r>
          </w:p>
        </w:tc>
        <w:tc>
          <w:tcPr>
            <w:tcW w:w="1039" w:type="dxa"/>
            <w:tcBorders>
              <w:top w:val="single" w:sz="4" w:space="0" w:color="000000"/>
              <w:left w:val="nil"/>
              <w:bottom w:val="nil"/>
              <w:right w:val="nil"/>
            </w:tcBorders>
          </w:tcPr>
          <w:p w14:paraId="4F4EBD56" w14:textId="77777777" w:rsidR="00BC2A02" w:rsidRPr="00BC2A02" w:rsidRDefault="00BC2A02" w:rsidP="00BC2A02">
            <w:pPr>
              <w:jc w:val="right"/>
              <w:rPr>
                <w:rFonts w:ascii="Times New Roman" w:hAnsi="Times New Roman" w:cs="Times New Roman"/>
                <w:b/>
                <w:color w:val="000000"/>
                <w:sz w:val="16"/>
                <w:szCs w:val="16"/>
              </w:rPr>
            </w:pPr>
            <w:r w:rsidRPr="00BC2A02">
              <w:rPr>
                <w:rFonts w:ascii="Times New Roman" w:hAnsi="Times New Roman" w:cs="Times New Roman"/>
                <w:b/>
                <w:color w:val="000000"/>
                <w:sz w:val="16"/>
                <w:szCs w:val="16"/>
              </w:rPr>
              <w:t>7 081 810</w:t>
            </w:r>
          </w:p>
        </w:tc>
        <w:tc>
          <w:tcPr>
            <w:tcW w:w="880" w:type="dxa"/>
            <w:tcBorders>
              <w:top w:val="single" w:sz="4" w:space="0" w:color="000000"/>
              <w:left w:val="nil"/>
              <w:bottom w:val="nil"/>
              <w:right w:val="nil"/>
            </w:tcBorders>
          </w:tcPr>
          <w:p w14:paraId="1AC275AB" w14:textId="77777777" w:rsidR="00BC2A02" w:rsidRPr="00BC2A02" w:rsidRDefault="00BC2A02" w:rsidP="00BC2A02">
            <w:pPr>
              <w:jc w:val="right"/>
              <w:rPr>
                <w:rFonts w:ascii="Times New Roman" w:hAnsi="Times New Roman" w:cs="Times New Roman"/>
                <w:b/>
                <w:color w:val="000000"/>
                <w:sz w:val="16"/>
                <w:szCs w:val="16"/>
              </w:rPr>
            </w:pPr>
            <w:r w:rsidRPr="00BC2A02">
              <w:rPr>
                <w:rFonts w:ascii="Times New Roman" w:hAnsi="Times New Roman" w:cs="Times New Roman"/>
                <w:b/>
                <w:color w:val="000000"/>
                <w:sz w:val="16"/>
                <w:szCs w:val="16"/>
              </w:rPr>
              <w:t>4 068 105</w:t>
            </w:r>
          </w:p>
        </w:tc>
        <w:tc>
          <w:tcPr>
            <w:tcW w:w="992" w:type="dxa"/>
            <w:tcBorders>
              <w:top w:val="single" w:sz="4" w:space="0" w:color="000000"/>
              <w:left w:val="nil"/>
              <w:bottom w:val="nil"/>
              <w:right w:val="nil"/>
            </w:tcBorders>
          </w:tcPr>
          <w:p w14:paraId="3128EA67" w14:textId="77777777" w:rsidR="00BC2A02" w:rsidRPr="00BC2A02" w:rsidRDefault="00BC2A02" w:rsidP="00BC2A02">
            <w:pPr>
              <w:jc w:val="right"/>
              <w:rPr>
                <w:rFonts w:ascii="Times New Roman" w:hAnsi="Times New Roman" w:cs="Times New Roman"/>
                <w:b/>
                <w:color w:val="000000"/>
                <w:sz w:val="16"/>
                <w:szCs w:val="16"/>
              </w:rPr>
            </w:pPr>
            <w:r w:rsidRPr="00BC2A02">
              <w:rPr>
                <w:rFonts w:ascii="Times New Roman" w:hAnsi="Times New Roman" w:cs="Times New Roman"/>
                <w:b/>
                <w:color w:val="000000"/>
                <w:sz w:val="16"/>
                <w:szCs w:val="16"/>
              </w:rPr>
              <w:t>4 860 538</w:t>
            </w:r>
          </w:p>
        </w:tc>
        <w:tc>
          <w:tcPr>
            <w:tcW w:w="912" w:type="dxa"/>
            <w:tcBorders>
              <w:top w:val="single" w:sz="4" w:space="0" w:color="000000"/>
              <w:left w:val="nil"/>
              <w:bottom w:val="nil"/>
              <w:right w:val="nil"/>
            </w:tcBorders>
          </w:tcPr>
          <w:p w14:paraId="09B53DA0" w14:textId="77777777" w:rsidR="00BC2A02" w:rsidRPr="00BC2A02" w:rsidRDefault="00BC2A02" w:rsidP="00BC2A02">
            <w:pPr>
              <w:jc w:val="right"/>
              <w:rPr>
                <w:rFonts w:ascii="Times New Roman" w:hAnsi="Times New Roman" w:cs="Times New Roman"/>
                <w:b/>
                <w:color w:val="000000"/>
                <w:sz w:val="16"/>
                <w:szCs w:val="16"/>
              </w:rPr>
            </w:pPr>
            <w:r w:rsidRPr="00BC2A02">
              <w:rPr>
                <w:rFonts w:ascii="Times New Roman" w:hAnsi="Times New Roman" w:cs="Times New Roman"/>
                <w:b/>
                <w:color w:val="000000"/>
                <w:sz w:val="16"/>
                <w:szCs w:val="16"/>
              </w:rPr>
              <w:t>4 963 636</w:t>
            </w:r>
          </w:p>
        </w:tc>
      </w:tr>
      <w:tr w:rsidR="00BC2A02" w:rsidRPr="00BC2A02" w14:paraId="316C09EC" w14:textId="77777777" w:rsidTr="00B63F1A">
        <w:trPr>
          <w:trHeight w:val="287"/>
        </w:trPr>
        <w:tc>
          <w:tcPr>
            <w:tcW w:w="2151" w:type="dxa"/>
            <w:tcBorders>
              <w:top w:val="nil"/>
              <w:left w:val="nil"/>
              <w:bottom w:val="nil"/>
              <w:right w:val="nil"/>
            </w:tcBorders>
          </w:tcPr>
          <w:p w14:paraId="57EB1598" w14:textId="77777777" w:rsidR="00BC2A02" w:rsidRPr="00BC2A02" w:rsidRDefault="00BC2A02" w:rsidP="00BC2A02">
            <w:pPr>
              <w:ind w:left="86"/>
              <w:rPr>
                <w:rFonts w:ascii="Times New Roman" w:hAnsi="Times New Roman" w:cs="Times New Roman"/>
                <w:color w:val="000000"/>
                <w:sz w:val="16"/>
                <w:szCs w:val="16"/>
              </w:rPr>
            </w:pPr>
            <w:r w:rsidRPr="00BC2A02">
              <w:rPr>
                <w:rFonts w:ascii="Times New Roman" w:hAnsi="Times New Roman" w:cs="Times New Roman"/>
                <w:color w:val="000000"/>
                <w:sz w:val="16"/>
                <w:szCs w:val="16"/>
              </w:rPr>
              <w:t xml:space="preserve">Nedaňové príjmy </w:t>
            </w:r>
          </w:p>
        </w:tc>
        <w:tc>
          <w:tcPr>
            <w:tcW w:w="1038" w:type="dxa"/>
            <w:tcBorders>
              <w:top w:val="nil"/>
              <w:left w:val="nil"/>
              <w:bottom w:val="nil"/>
              <w:right w:val="nil"/>
            </w:tcBorders>
          </w:tcPr>
          <w:p w14:paraId="70A83EFC" w14:textId="77777777" w:rsidR="00BC2A02" w:rsidRPr="00BC2A02" w:rsidRDefault="00BC2A02" w:rsidP="00BC2A02">
            <w:pPr>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1 338 320</w:t>
            </w:r>
          </w:p>
        </w:tc>
        <w:tc>
          <w:tcPr>
            <w:tcW w:w="1039" w:type="dxa"/>
            <w:tcBorders>
              <w:top w:val="nil"/>
              <w:left w:val="nil"/>
              <w:bottom w:val="nil"/>
              <w:right w:val="nil"/>
            </w:tcBorders>
          </w:tcPr>
          <w:p w14:paraId="0185306D" w14:textId="77777777" w:rsidR="00BC2A02" w:rsidRPr="00BC2A02" w:rsidRDefault="00BC2A02" w:rsidP="00BC2A02">
            <w:pPr>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1 285 089</w:t>
            </w:r>
          </w:p>
        </w:tc>
        <w:tc>
          <w:tcPr>
            <w:tcW w:w="1037" w:type="dxa"/>
            <w:tcBorders>
              <w:top w:val="nil"/>
              <w:left w:val="nil"/>
              <w:bottom w:val="nil"/>
              <w:right w:val="nil"/>
            </w:tcBorders>
          </w:tcPr>
          <w:p w14:paraId="6D9F8835" w14:textId="77777777" w:rsidR="00BC2A02" w:rsidRPr="00BC2A02" w:rsidRDefault="00BC2A02" w:rsidP="00BC2A02">
            <w:pPr>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2 129 738</w:t>
            </w:r>
          </w:p>
        </w:tc>
        <w:tc>
          <w:tcPr>
            <w:tcW w:w="1039" w:type="dxa"/>
            <w:tcBorders>
              <w:top w:val="nil"/>
              <w:left w:val="nil"/>
              <w:bottom w:val="nil"/>
              <w:right w:val="nil"/>
            </w:tcBorders>
          </w:tcPr>
          <w:p w14:paraId="1C394574" w14:textId="77777777" w:rsidR="00BC2A02" w:rsidRPr="00BC2A02" w:rsidRDefault="00BC2A02" w:rsidP="00BC2A02">
            <w:pPr>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1 710 218</w:t>
            </w:r>
          </w:p>
        </w:tc>
        <w:tc>
          <w:tcPr>
            <w:tcW w:w="880" w:type="dxa"/>
            <w:tcBorders>
              <w:top w:val="nil"/>
              <w:left w:val="nil"/>
              <w:bottom w:val="nil"/>
              <w:right w:val="nil"/>
            </w:tcBorders>
          </w:tcPr>
          <w:p w14:paraId="5C2A3D3E" w14:textId="77777777" w:rsidR="00BC2A02" w:rsidRPr="00BC2A02" w:rsidRDefault="00BC2A02" w:rsidP="00BC2A02">
            <w:pPr>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1 549 566</w:t>
            </w:r>
          </w:p>
        </w:tc>
        <w:tc>
          <w:tcPr>
            <w:tcW w:w="992" w:type="dxa"/>
            <w:tcBorders>
              <w:top w:val="nil"/>
              <w:left w:val="nil"/>
              <w:bottom w:val="nil"/>
              <w:right w:val="nil"/>
            </w:tcBorders>
          </w:tcPr>
          <w:p w14:paraId="5B7C6603" w14:textId="77777777" w:rsidR="00BC2A02" w:rsidRPr="00BC2A02" w:rsidRDefault="00BC2A02" w:rsidP="00BC2A02">
            <w:pPr>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1 401 908</w:t>
            </w:r>
          </w:p>
        </w:tc>
        <w:tc>
          <w:tcPr>
            <w:tcW w:w="912" w:type="dxa"/>
            <w:tcBorders>
              <w:top w:val="nil"/>
              <w:left w:val="nil"/>
              <w:bottom w:val="nil"/>
              <w:right w:val="nil"/>
            </w:tcBorders>
          </w:tcPr>
          <w:p w14:paraId="4E626FE9" w14:textId="77777777" w:rsidR="00BC2A02" w:rsidRPr="00BC2A02" w:rsidRDefault="00BC2A02" w:rsidP="00BC2A02">
            <w:pPr>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1 363 052</w:t>
            </w:r>
          </w:p>
        </w:tc>
      </w:tr>
      <w:tr w:rsidR="00BC2A02" w:rsidRPr="00BC2A02" w14:paraId="272A1D15" w14:textId="77777777" w:rsidTr="00B63F1A">
        <w:trPr>
          <w:trHeight w:val="297"/>
        </w:trPr>
        <w:tc>
          <w:tcPr>
            <w:tcW w:w="2151" w:type="dxa"/>
            <w:tcBorders>
              <w:top w:val="nil"/>
              <w:left w:val="nil"/>
              <w:bottom w:val="single" w:sz="4" w:space="0" w:color="000000"/>
              <w:right w:val="nil"/>
            </w:tcBorders>
          </w:tcPr>
          <w:p w14:paraId="18C57921" w14:textId="77777777" w:rsidR="00BC2A02" w:rsidRPr="00BC2A02" w:rsidRDefault="00BC2A02" w:rsidP="00BC2A02">
            <w:pPr>
              <w:ind w:left="86"/>
              <w:rPr>
                <w:rFonts w:ascii="Times New Roman" w:hAnsi="Times New Roman" w:cs="Times New Roman"/>
                <w:color w:val="000000"/>
                <w:sz w:val="16"/>
                <w:szCs w:val="16"/>
              </w:rPr>
            </w:pPr>
            <w:r w:rsidRPr="00BC2A02">
              <w:rPr>
                <w:rFonts w:ascii="Times New Roman" w:hAnsi="Times New Roman" w:cs="Times New Roman"/>
                <w:color w:val="000000"/>
                <w:sz w:val="16"/>
                <w:szCs w:val="16"/>
              </w:rPr>
              <w:t xml:space="preserve">Granty a transfery </w:t>
            </w:r>
          </w:p>
        </w:tc>
        <w:tc>
          <w:tcPr>
            <w:tcW w:w="1038" w:type="dxa"/>
            <w:tcBorders>
              <w:top w:val="nil"/>
              <w:left w:val="nil"/>
              <w:bottom w:val="single" w:sz="4" w:space="0" w:color="000000"/>
              <w:right w:val="nil"/>
            </w:tcBorders>
          </w:tcPr>
          <w:p w14:paraId="6AC4AB05" w14:textId="77777777" w:rsidR="00BC2A02" w:rsidRPr="00BC2A02" w:rsidRDefault="00BC2A02" w:rsidP="00BC2A02">
            <w:pPr>
              <w:jc w:val="right"/>
              <w:rPr>
                <w:rFonts w:ascii="Times New Roman" w:hAnsi="Times New Roman" w:cs="Times New Roman"/>
                <w:bCs/>
                <w:color w:val="000000"/>
                <w:sz w:val="16"/>
                <w:szCs w:val="16"/>
              </w:rPr>
            </w:pPr>
            <w:r w:rsidRPr="00BC2A02">
              <w:rPr>
                <w:rFonts w:ascii="Times New Roman" w:hAnsi="Times New Roman" w:cs="Times New Roman"/>
                <w:bCs/>
                <w:color w:val="000000"/>
                <w:sz w:val="16"/>
                <w:szCs w:val="16"/>
              </w:rPr>
              <w:t>2 312 939</w:t>
            </w:r>
          </w:p>
        </w:tc>
        <w:tc>
          <w:tcPr>
            <w:tcW w:w="1039" w:type="dxa"/>
            <w:tcBorders>
              <w:top w:val="nil"/>
              <w:left w:val="nil"/>
              <w:bottom w:val="single" w:sz="4" w:space="0" w:color="000000"/>
              <w:right w:val="nil"/>
            </w:tcBorders>
          </w:tcPr>
          <w:p w14:paraId="15E1DC53" w14:textId="77777777" w:rsidR="00BC2A02" w:rsidRPr="00BC2A02" w:rsidRDefault="00BC2A02" w:rsidP="00BC2A02">
            <w:pPr>
              <w:jc w:val="right"/>
              <w:rPr>
                <w:rFonts w:ascii="Times New Roman" w:hAnsi="Times New Roman" w:cs="Times New Roman"/>
                <w:bCs/>
                <w:color w:val="000000"/>
                <w:sz w:val="16"/>
                <w:szCs w:val="16"/>
              </w:rPr>
            </w:pPr>
            <w:r w:rsidRPr="00BC2A02">
              <w:rPr>
                <w:rFonts w:ascii="Times New Roman" w:hAnsi="Times New Roman" w:cs="Times New Roman"/>
                <w:bCs/>
                <w:color w:val="000000"/>
                <w:sz w:val="16"/>
                <w:szCs w:val="16"/>
              </w:rPr>
              <w:t>2 227 577</w:t>
            </w:r>
          </w:p>
        </w:tc>
        <w:tc>
          <w:tcPr>
            <w:tcW w:w="1037" w:type="dxa"/>
            <w:tcBorders>
              <w:top w:val="nil"/>
              <w:left w:val="nil"/>
              <w:bottom w:val="single" w:sz="4" w:space="0" w:color="000000"/>
              <w:right w:val="nil"/>
            </w:tcBorders>
          </w:tcPr>
          <w:p w14:paraId="14CE1939" w14:textId="77777777" w:rsidR="00BC2A02" w:rsidRPr="00BC2A02" w:rsidRDefault="00BC2A02" w:rsidP="00BC2A02">
            <w:pPr>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7 774 037</w:t>
            </w:r>
          </w:p>
        </w:tc>
        <w:tc>
          <w:tcPr>
            <w:tcW w:w="1039" w:type="dxa"/>
            <w:tcBorders>
              <w:top w:val="nil"/>
              <w:left w:val="nil"/>
              <w:bottom w:val="single" w:sz="4" w:space="0" w:color="000000"/>
              <w:right w:val="nil"/>
            </w:tcBorders>
          </w:tcPr>
          <w:p w14:paraId="41AA549B" w14:textId="77777777" w:rsidR="00BC2A02" w:rsidRPr="00BC2A02" w:rsidRDefault="00BC2A02" w:rsidP="00BC2A02">
            <w:pPr>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5 371 592</w:t>
            </w:r>
          </w:p>
        </w:tc>
        <w:tc>
          <w:tcPr>
            <w:tcW w:w="880" w:type="dxa"/>
            <w:tcBorders>
              <w:top w:val="nil"/>
              <w:left w:val="nil"/>
              <w:bottom w:val="single" w:sz="4" w:space="0" w:color="000000"/>
              <w:right w:val="nil"/>
            </w:tcBorders>
          </w:tcPr>
          <w:p w14:paraId="3E7CA14A" w14:textId="77777777" w:rsidR="00BC2A02" w:rsidRPr="00BC2A02" w:rsidRDefault="00BC2A02" w:rsidP="00BC2A02">
            <w:pPr>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2 518 539</w:t>
            </w:r>
          </w:p>
        </w:tc>
        <w:tc>
          <w:tcPr>
            <w:tcW w:w="992" w:type="dxa"/>
            <w:tcBorders>
              <w:top w:val="nil"/>
              <w:left w:val="nil"/>
              <w:bottom w:val="single" w:sz="4" w:space="0" w:color="000000"/>
              <w:right w:val="nil"/>
            </w:tcBorders>
          </w:tcPr>
          <w:p w14:paraId="4E446BB3" w14:textId="77777777" w:rsidR="00BC2A02" w:rsidRPr="00BC2A02" w:rsidRDefault="00BC2A02" w:rsidP="00BC2A02">
            <w:pPr>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3 458 630</w:t>
            </w:r>
          </w:p>
        </w:tc>
        <w:tc>
          <w:tcPr>
            <w:tcW w:w="912" w:type="dxa"/>
            <w:tcBorders>
              <w:top w:val="nil"/>
              <w:left w:val="nil"/>
              <w:bottom w:val="single" w:sz="4" w:space="0" w:color="000000"/>
              <w:right w:val="nil"/>
            </w:tcBorders>
          </w:tcPr>
          <w:p w14:paraId="31E4875F" w14:textId="77777777" w:rsidR="00BC2A02" w:rsidRPr="00BC2A02" w:rsidRDefault="00BC2A02" w:rsidP="00BC2A02">
            <w:pPr>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3 600 584</w:t>
            </w:r>
          </w:p>
        </w:tc>
      </w:tr>
    </w:tbl>
    <w:p w14:paraId="15AA72BE" w14:textId="77777777" w:rsidR="00E64517" w:rsidRDefault="00BC2A02" w:rsidP="00BC2A02">
      <w:pPr>
        <w:tabs>
          <w:tab w:val="center" w:pos="768"/>
          <w:tab w:val="center" w:pos="1476"/>
          <w:tab w:val="center" w:pos="2184"/>
          <w:tab w:val="center" w:pos="2893"/>
          <w:tab w:val="center" w:pos="3601"/>
          <w:tab w:val="center" w:pos="4309"/>
          <w:tab w:val="center" w:pos="5017"/>
          <w:tab w:val="center" w:pos="5725"/>
          <w:tab w:val="center" w:pos="6433"/>
          <w:tab w:val="center" w:pos="7141"/>
          <w:tab w:val="center" w:pos="8399"/>
        </w:tabs>
        <w:spacing w:after="73" w:line="269" w:lineRule="auto"/>
        <w:rPr>
          <w:rFonts w:ascii="Times New Roman" w:eastAsia="Times New Roman" w:hAnsi="Times New Roman" w:cs="Times New Roman"/>
          <w:i/>
          <w:color w:val="000000"/>
          <w:sz w:val="16"/>
          <w:lang w:eastAsia="sk-SK"/>
        </w:rPr>
      </w:pPr>
      <w:r w:rsidRPr="00BC2A02">
        <w:rPr>
          <w:rFonts w:ascii="Times New Roman" w:eastAsia="Times New Roman" w:hAnsi="Times New Roman" w:cs="Times New Roman"/>
          <w:color w:val="000000"/>
          <w:sz w:val="16"/>
          <w:lang w:eastAsia="sk-SK"/>
        </w:rPr>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r>
      <w:r w:rsidRPr="00BC2A02">
        <w:rPr>
          <w:rFonts w:ascii="Times New Roman" w:eastAsia="Times New Roman" w:hAnsi="Times New Roman" w:cs="Times New Roman"/>
          <w:i/>
          <w:color w:val="000000"/>
          <w:sz w:val="16"/>
          <w:lang w:eastAsia="sk-SK"/>
        </w:rPr>
        <w:t xml:space="preserve">     Zdroj: MF SR </w:t>
      </w:r>
    </w:p>
    <w:p w14:paraId="47009AC5" w14:textId="77777777" w:rsidR="00BC2A02" w:rsidRPr="00BC2A02" w:rsidRDefault="00BC2A02" w:rsidP="00BC2A02">
      <w:pPr>
        <w:tabs>
          <w:tab w:val="center" w:pos="768"/>
          <w:tab w:val="center" w:pos="1476"/>
          <w:tab w:val="center" w:pos="2184"/>
          <w:tab w:val="center" w:pos="2893"/>
          <w:tab w:val="center" w:pos="3601"/>
          <w:tab w:val="center" w:pos="4309"/>
          <w:tab w:val="center" w:pos="5017"/>
          <w:tab w:val="center" w:pos="5725"/>
          <w:tab w:val="center" w:pos="6433"/>
          <w:tab w:val="center" w:pos="7141"/>
          <w:tab w:val="center" w:pos="8399"/>
        </w:tabs>
        <w:spacing w:after="73" w:line="269" w:lineRule="auto"/>
        <w:rPr>
          <w:rFonts w:ascii="Times New Roman" w:eastAsia="Times New Roman" w:hAnsi="Times New Roman" w:cs="Times New Roman"/>
          <w:color w:val="000000"/>
          <w:sz w:val="24"/>
          <w:lang w:eastAsia="sk-SK"/>
        </w:rPr>
      </w:pPr>
    </w:p>
    <w:p w14:paraId="7D3E56CC" w14:textId="77777777" w:rsidR="007C2BDC" w:rsidRPr="00192C79" w:rsidRDefault="007C2BDC" w:rsidP="00192C79">
      <w:pPr>
        <w:pStyle w:val="Zkladntext"/>
        <w:rPr>
          <w:rFonts w:ascii="Times New Roman" w:hAnsi="Times New Roman" w:cs="Times New Roman"/>
          <w:b/>
          <w:color w:val="5B9BD5" w:themeColor="accent1"/>
        </w:rPr>
      </w:pPr>
      <w:r w:rsidRPr="00192C79">
        <w:rPr>
          <w:rFonts w:ascii="Times New Roman" w:hAnsi="Times New Roman" w:cs="Times New Roman"/>
          <w:b/>
          <w:color w:val="5B9BD5" w:themeColor="accent1"/>
        </w:rPr>
        <w:t>3.2.3.1. Nedaňové príjmy štátneho rozpočtu</w:t>
      </w:r>
    </w:p>
    <w:p w14:paraId="5B94CB24" w14:textId="77777777" w:rsidR="007C2BDC" w:rsidRPr="00CF001A" w:rsidRDefault="007C2BDC" w:rsidP="007C2BDC">
      <w:pPr>
        <w:widowControl w:val="0"/>
        <w:spacing w:after="0"/>
        <w:ind w:firstLine="709"/>
        <w:jc w:val="both"/>
        <w:rPr>
          <w:rFonts w:ascii="Times New Roman" w:eastAsia="NeueHaasGroteskText W02" w:hAnsi="Times New Roman" w:cs="Times New Roman"/>
          <w:b/>
          <w:sz w:val="24"/>
          <w:szCs w:val="20"/>
        </w:rPr>
      </w:pPr>
    </w:p>
    <w:p w14:paraId="764207CE" w14:textId="77777777" w:rsidR="00BC2A02" w:rsidRPr="00BC2A02" w:rsidRDefault="00BC2A02" w:rsidP="00296CA4">
      <w:pPr>
        <w:spacing w:after="5" w:line="269" w:lineRule="auto"/>
        <w:ind w:left="55" w:hanging="10"/>
        <w:jc w:val="both"/>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color w:val="000000"/>
          <w:sz w:val="24"/>
          <w:lang w:eastAsia="sk-SK"/>
        </w:rPr>
        <w:t xml:space="preserve">Nedaňové príjmy vznikajú z činnosti jednotlivých kapitol štátneho rozpočtu a môžu to byť príjmy z podnikania a vlastníctva majetku, poplatky a platby, kapitálové príjmy, úroky a iné nedaňové príjmy. </w:t>
      </w:r>
    </w:p>
    <w:p w14:paraId="5E3260F8" w14:textId="77777777" w:rsidR="00BC2A02" w:rsidRPr="00BC2A02" w:rsidRDefault="00BC2A02" w:rsidP="00BC2A02">
      <w:pPr>
        <w:spacing w:after="2"/>
        <w:ind w:left="60"/>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color w:val="000000"/>
          <w:sz w:val="24"/>
          <w:lang w:eastAsia="sk-SK"/>
        </w:rPr>
        <w:t xml:space="preserve"> </w:t>
      </w:r>
    </w:p>
    <w:p w14:paraId="4DBF031A" w14:textId="54710344" w:rsidR="00BC2A02" w:rsidRPr="00BC2A02" w:rsidRDefault="00BC2A02" w:rsidP="00BC2A02">
      <w:pPr>
        <w:spacing w:after="2"/>
        <w:ind w:left="60"/>
        <w:rPr>
          <w:rFonts w:ascii="Times New Roman" w:eastAsia="Times New Roman" w:hAnsi="Times New Roman" w:cs="Times New Roman"/>
          <w:color w:val="000000"/>
          <w:sz w:val="24"/>
          <w:lang w:eastAsia="sk-SK"/>
        </w:rPr>
      </w:pPr>
      <w:bookmarkStart w:id="120" w:name="_Toc123813901"/>
      <w:bookmarkStart w:id="121" w:name="_Toc153013032"/>
      <w:r w:rsidRPr="00BC2A02">
        <w:rPr>
          <w:rFonts w:ascii="Times New Roman" w:eastAsia="Times New Roman" w:hAnsi="Times New Roman" w:cs="Times New Roman"/>
          <w:b/>
          <w:color w:val="5B9BD5"/>
          <w:sz w:val="20"/>
          <w:lang w:eastAsia="sk-SK"/>
        </w:rPr>
        <w:t xml:space="preserve">Tabuľka </w:t>
      </w:r>
      <w:r w:rsidRPr="00BC2A02">
        <w:rPr>
          <w:rFonts w:ascii="Times New Roman" w:hAnsi="Times New Roman" w:cs="Times New Roman"/>
          <w:b/>
          <w:i/>
          <w:color w:val="5B9BD5" w:themeColor="accent1"/>
          <w:sz w:val="20"/>
          <w:szCs w:val="20"/>
        </w:rPr>
        <w:fldChar w:fldCharType="begin"/>
      </w:r>
      <w:r w:rsidRPr="00BC2A02">
        <w:rPr>
          <w:rFonts w:ascii="Times New Roman" w:hAnsi="Times New Roman" w:cs="Times New Roman"/>
          <w:b/>
          <w:color w:val="5B9BD5" w:themeColor="accent1"/>
          <w:sz w:val="20"/>
          <w:szCs w:val="20"/>
        </w:rPr>
        <w:instrText xml:space="preserve"> SEQ Tabuľka \* ARABIC </w:instrText>
      </w:r>
      <w:r w:rsidRPr="00BC2A02">
        <w:rPr>
          <w:rFonts w:ascii="Times New Roman" w:hAnsi="Times New Roman" w:cs="Times New Roman"/>
          <w:b/>
          <w:i/>
          <w:color w:val="5B9BD5" w:themeColor="accent1"/>
          <w:sz w:val="20"/>
          <w:szCs w:val="20"/>
        </w:rPr>
        <w:fldChar w:fldCharType="separate"/>
      </w:r>
      <w:r w:rsidR="003D5A3A">
        <w:rPr>
          <w:rFonts w:ascii="Times New Roman" w:hAnsi="Times New Roman" w:cs="Times New Roman"/>
          <w:b/>
          <w:noProof/>
          <w:color w:val="5B9BD5" w:themeColor="accent1"/>
          <w:sz w:val="20"/>
          <w:szCs w:val="20"/>
        </w:rPr>
        <w:t>34</w:t>
      </w:r>
      <w:r w:rsidRPr="00BC2A02">
        <w:rPr>
          <w:rFonts w:ascii="Times New Roman" w:hAnsi="Times New Roman" w:cs="Times New Roman"/>
          <w:b/>
          <w:i/>
          <w:color w:val="5B9BD5" w:themeColor="accent1"/>
          <w:sz w:val="20"/>
          <w:szCs w:val="20"/>
        </w:rPr>
        <w:fldChar w:fldCharType="end"/>
      </w:r>
      <w:r w:rsidRPr="00BC2A02">
        <w:rPr>
          <w:rFonts w:ascii="Times New Roman" w:eastAsia="Times New Roman" w:hAnsi="Times New Roman" w:cs="Times New Roman"/>
          <w:b/>
          <w:color w:val="5B9BD5"/>
          <w:sz w:val="20"/>
          <w:lang w:eastAsia="sk-SK"/>
        </w:rPr>
        <w:t xml:space="preserve"> - Nedaňové príjmy štátneho rozpočtu</w:t>
      </w:r>
      <w:bookmarkEnd w:id="120"/>
      <w:bookmarkEnd w:id="121"/>
      <w:r w:rsidRPr="00BC2A02">
        <w:rPr>
          <w:rFonts w:ascii="Times New Roman" w:eastAsia="Times New Roman" w:hAnsi="Times New Roman" w:cs="Times New Roman"/>
          <w:b/>
          <w:color w:val="5B9BD5"/>
          <w:sz w:val="20"/>
          <w:lang w:eastAsia="sk-SK"/>
        </w:rPr>
        <w:t xml:space="preserve"> </w:t>
      </w:r>
    </w:p>
    <w:tbl>
      <w:tblPr>
        <w:tblStyle w:val="TableGrid11"/>
        <w:tblW w:w="9088" w:type="dxa"/>
        <w:tblInd w:w="46" w:type="dxa"/>
        <w:tblCellMar>
          <w:top w:w="29" w:type="dxa"/>
          <w:right w:w="29" w:type="dxa"/>
        </w:tblCellMar>
        <w:tblLook w:val="04A0" w:firstRow="1" w:lastRow="0" w:firstColumn="1" w:lastColumn="0" w:noHBand="0" w:noVBand="1"/>
      </w:tblPr>
      <w:tblGrid>
        <w:gridCol w:w="2352"/>
        <w:gridCol w:w="863"/>
        <w:gridCol w:w="992"/>
        <w:gridCol w:w="992"/>
        <w:gridCol w:w="992"/>
        <w:gridCol w:w="993"/>
        <w:gridCol w:w="992"/>
        <w:gridCol w:w="912"/>
      </w:tblGrid>
      <w:tr w:rsidR="00BC2A02" w:rsidRPr="00BC2A02" w14:paraId="3CFBA584" w14:textId="77777777" w:rsidTr="00B63F1A">
        <w:trPr>
          <w:trHeight w:val="300"/>
        </w:trPr>
        <w:tc>
          <w:tcPr>
            <w:tcW w:w="2352" w:type="dxa"/>
            <w:tcBorders>
              <w:top w:val="single" w:sz="4" w:space="0" w:color="000000"/>
              <w:left w:val="nil"/>
              <w:bottom w:val="single" w:sz="4" w:space="0" w:color="000000"/>
              <w:right w:val="nil"/>
            </w:tcBorders>
          </w:tcPr>
          <w:p w14:paraId="33E6E3B3" w14:textId="77777777" w:rsidR="00BC2A02" w:rsidRPr="00BC2A02" w:rsidRDefault="00BC2A02" w:rsidP="00BC2A02">
            <w:pPr>
              <w:ind w:left="86"/>
              <w:rPr>
                <w:rFonts w:ascii="Times New Roman" w:hAnsi="Times New Roman" w:cs="Times New Roman"/>
                <w:color w:val="000000"/>
                <w:sz w:val="24"/>
              </w:rPr>
            </w:pPr>
            <w:r w:rsidRPr="00BC2A02">
              <w:rPr>
                <w:rFonts w:ascii="Times New Roman" w:hAnsi="Times New Roman" w:cs="Times New Roman"/>
                <w:b/>
                <w:color w:val="000000"/>
                <w:sz w:val="16"/>
              </w:rPr>
              <w:t xml:space="preserve"> v tis. eur </w:t>
            </w:r>
          </w:p>
        </w:tc>
        <w:tc>
          <w:tcPr>
            <w:tcW w:w="863" w:type="dxa"/>
            <w:tcBorders>
              <w:top w:val="single" w:sz="4" w:space="0" w:color="000000"/>
              <w:left w:val="nil"/>
              <w:bottom w:val="single" w:sz="4" w:space="0" w:color="000000"/>
              <w:right w:val="nil"/>
            </w:tcBorders>
          </w:tcPr>
          <w:p w14:paraId="3BBA090B" w14:textId="77777777" w:rsidR="00BC2A02" w:rsidRPr="00BC2A02" w:rsidRDefault="00BC2A02" w:rsidP="00BC2A02">
            <w:pPr>
              <w:ind w:left="193"/>
              <w:jc w:val="right"/>
              <w:rPr>
                <w:rFonts w:ascii="Times New Roman" w:hAnsi="Times New Roman" w:cs="Times New Roman"/>
                <w:color w:val="000000"/>
                <w:sz w:val="24"/>
              </w:rPr>
            </w:pPr>
            <w:r w:rsidRPr="00BC2A02">
              <w:rPr>
                <w:rFonts w:ascii="Times New Roman" w:hAnsi="Times New Roman" w:cs="Times New Roman"/>
                <w:b/>
                <w:color w:val="000000"/>
                <w:sz w:val="16"/>
              </w:rPr>
              <w:t xml:space="preserve">2021 S </w:t>
            </w:r>
          </w:p>
        </w:tc>
        <w:tc>
          <w:tcPr>
            <w:tcW w:w="992" w:type="dxa"/>
            <w:tcBorders>
              <w:top w:val="single" w:sz="4" w:space="0" w:color="000000"/>
              <w:left w:val="nil"/>
              <w:bottom w:val="single" w:sz="4" w:space="0" w:color="000000"/>
              <w:right w:val="nil"/>
            </w:tcBorders>
          </w:tcPr>
          <w:p w14:paraId="6AF9BB9E" w14:textId="77777777" w:rsidR="00BC2A02" w:rsidRPr="00BC2A02" w:rsidRDefault="00BC2A02" w:rsidP="00BC2A02">
            <w:pPr>
              <w:ind w:left="192"/>
              <w:jc w:val="right"/>
              <w:rPr>
                <w:rFonts w:ascii="Times New Roman" w:hAnsi="Times New Roman" w:cs="Times New Roman"/>
                <w:color w:val="000000"/>
                <w:sz w:val="24"/>
              </w:rPr>
            </w:pPr>
            <w:r w:rsidRPr="00BC2A02">
              <w:rPr>
                <w:rFonts w:ascii="Times New Roman" w:hAnsi="Times New Roman" w:cs="Times New Roman"/>
                <w:b/>
                <w:color w:val="000000"/>
                <w:sz w:val="16"/>
              </w:rPr>
              <w:t xml:space="preserve">2022 S </w:t>
            </w:r>
          </w:p>
        </w:tc>
        <w:tc>
          <w:tcPr>
            <w:tcW w:w="992" w:type="dxa"/>
            <w:tcBorders>
              <w:top w:val="single" w:sz="4" w:space="0" w:color="000000"/>
              <w:left w:val="nil"/>
              <w:bottom w:val="single" w:sz="4" w:space="0" w:color="000000"/>
              <w:right w:val="nil"/>
            </w:tcBorders>
          </w:tcPr>
          <w:p w14:paraId="099F8753" w14:textId="77777777" w:rsidR="00BC2A02" w:rsidRPr="00BC2A02" w:rsidRDefault="00BC2A02" w:rsidP="00BC2A02">
            <w:pPr>
              <w:ind w:left="125"/>
              <w:jc w:val="right"/>
              <w:rPr>
                <w:rFonts w:ascii="Times New Roman" w:hAnsi="Times New Roman" w:cs="Times New Roman"/>
                <w:color w:val="000000"/>
                <w:sz w:val="24"/>
              </w:rPr>
            </w:pPr>
            <w:r w:rsidRPr="00BC2A02">
              <w:rPr>
                <w:rFonts w:ascii="Times New Roman" w:hAnsi="Times New Roman" w:cs="Times New Roman"/>
                <w:b/>
                <w:color w:val="000000"/>
                <w:sz w:val="16"/>
              </w:rPr>
              <w:t xml:space="preserve"> 2023 R </w:t>
            </w:r>
          </w:p>
        </w:tc>
        <w:tc>
          <w:tcPr>
            <w:tcW w:w="992" w:type="dxa"/>
            <w:tcBorders>
              <w:top w:val="single" w:sz="4" w:space="0" w:color="000000"/>
              <w:left w:val="nil"/>
              <w:bottom w:val="single" w:sz="4" w:space="0" w:color="000000"/>
              <w:right w:val="nil"/>
            </w:tcBorders>
          </w:tcPr>
          <w:p w14:paraId="4817366C" w14:textId="77777777" w:rsidR="00BC2A02" w:rsidRPr="00BC2A02" w:rsidRDefault="00BC2A02" w:rsidP="00BC2A02">
            <w:pPr>
              <w:ind w:left="67"/>
              <w:jc w:val="right"/>
              <w:rPr>
                <w:rFonts w:ascii="Times New Roman" w:hAnsi="Times New Roman" w:cs="Times New Roman"/>
                <w:color w:val="000000"/>
                <w:sz w:val="24"/>
              </w:rPr>
            </w:pPr>
            <w:r w:rsidRPr="00BC2A02">
              <w:rPr>
                <w:rFonts w:ascii="Times New Roman" w:hAnsi="Times New Roman" w:cs="Times New Roman"/>
                <w:b/>
                <w:color w:val="000000"/>
                <w:sz w:val="16"/>
              </w:rPr>
              <w:t xml:space="preserve">2023 OS </w:t>
            </w:r>
          </w:p>
        </w:tc>
        <w:tc>
          <w:tcPr>
            <w:tcW w:w="993" w:type="dxa"/>
            <w:tcBorders>
              <w:top w:val="single" w:sz="4" w:space="0" w:color="000000"/>
              <w:left w:val="nil"/>
              <w:bottom w:val="single" w:sz="4" w:space="0" w:color="000000"/>
              <w:right w:val="nil"/>
            </w:tcBorders>
          </w:tcPr>
          <w:p w14:paraId="3D8F9AB6" w14:textId="77777777" w:rsidR="00BC2A02" w:rsidRPr="00BC2A02" w:rsidRDefault="00BC2A02" w:rsidP="00BC2A02">
            <w:pPr>
              <w:ind w:left="166"/>
              <w:jc w:val="right"/>
              <w:rPr>
                <w:rFonts w:ascii="Times New Roman" w:hAnsi="Times New Roman" w:cs="Times New Roman"/>
                <w:color w:val="000000"/>
                <w:sz w:val="24"/>
              </w:rPr>
            </w:pPr>
            <w:r w:rsidRPr="00BC2A02">
              <w:rPr>
                <w:rFonts w:ascii="Times New Roman" w:hAnsi="Times New Roman" w:cs="Times New Roman"/>
                <w:b/>
                <w:color w:val="000000"/>
                <w:sz w:val="16"/>
              </w:rPr>
              <w:t xml:space="preserve">2024 N </w:t>
            </w:r>
          </w:p>
        </w:tc>
        <w:tc>
          <w:tcPr>
            <w:tcW w:w="992" w:type="dxa"/>
            <w:tcBorders>
              <w:top w:val="single" w:sz="4" w:space="0" w:color="000000"/>
              <w:left w:val="nil"/>
              <w:bottom w:val="single" w:sz="4" w:space="0" w:color="000000"/>
              <w:right w:val="nil"/>
            </w:tcBorders>
          </w:tcPr>
          <w:p w14:paraId="492F0AEA" w14:textId="77777777" w:rsidR="00BC2A02" w:rsidRPr="00BC2A02" w:rsidRDefault="00BC2A02" w:rsidP="00BC2A02">
            <w:pPr>
              <w:ind w:left="166"/>
              <w:jc w:val="right"/>
              <w:rPr>
                <w:rFonts w:ascii="Times New Roman" w:hAnsi="Times New Roman" w:cs="Times New Roman"/>
                <w:color w:val="000000"/>
                <w:sz w:val="24"/>
              </w:rPr>
            </w:pPr>
            <w:r w:rsidRPr="00BC2A02">
              <w:rPr>
                <w:rFonts w:ascii="Times New Roman" w:hAnsi="Times New Roman" w:cs="Times New Roman"/>
                <w:b/>
                <w:color w:val="000000"/>
                <w:sz w:val="16"/>
              </w:rPr>
              <w:t xml:space="preserve">2025 N </w:t>
            </w:r>
          </w:p>
        </w:tc>
        <w:tc>
          <w:tcPr>
            <w:tcW w:w="912" w:type="dxa"/>
            <w:tcBorders>
              <w:top w:val="single" w:sz="4" w:space="0" w:color="000000"/>
              <w:left w:val="nil"/>
              <w:bottom w:val="single" w:sz="4" w:space="0" w:color="000000"/>
              <w:right w:val="nil"/>
            </w:tcBorders>
          </w:tcPr>
          <w:p w14:paraId="2CC281D5" w14:textId="77777777" w:rsidR="00BC2A02" w:rsidRPr="00BC2A02" w:rsidRDefault="00BC2A02" w:rsidP="00BC2A02">
            <w:pPr>
              <w:ind w:right="37"/>
              <w:jc w:val="right"/>
              <w:rPr>
                <w:rFonts w:ascii="Times New Roman" w:hAnsi="Times New Roman" w:cs="Times New Roman"/>
                <w:color w:val="000000"/>
                <w:sz w:val="24"/>
              </w:rPr>
            </w:pPr>
            <w:r w:rsidRPr="00BC2A02">
              <w:rPr>
                <w:rFonts w:ascii="Times New Roman" w:hAnsi="Times New Roman" w:cs="Times New Roman"/>
                <w:b/>
                <w:color w:val="000000"/>
                <w:sz w:val="16"/>
              </w:rPr>
              <w:t xml:space="preserve">2026 N </w:t>
            </w:r>
          </w:p>
        </w:tc>
      </w:tr>
      <w:tr w:rsidR="00BC2A02" w:rsidRPr="00BC2A02" w14:paraId="194D6D78" w14:textId="77777777" w:rsidTr="00B63F1A">
        <w:trPr>
          <w:trHeight w:val="282"/>
        </w:trPr>
        <w:tc>
          <w:tcPr>
            <w:tcW w:w="2352" w:type="dxa"/>
            <w:tcBorders>
              <w:top w:val="single" w:sz="4" w:space="0" w:color="000000"/>
              <w:left w:val="nil"/>
              <w:bottom w:val="nil"/>
              <w:right w:val="nil"/>
            </w:tcBorders>
          </w:tcPr>
          <w:p w14:paraId="1D098A54" w14:textId="77777777" w:rsidR="00BC2A02" w:rsidRPr="00BC2A02" w:rsidRDefault="00BC2A02" w:rsidP="00BC2A02">
            <w:pPr>
              <w:ind w:left="86"/>
              <w:rPr>
                <w:rFonts w:ascii="Times New Roman" w:hAnsi="Times New Roman" w:cs="Times New Roman"/>
                <w:color w:val="000000"/>
                <w:sz w:val="16"/>
                <w:szCs w:val="16"/>
              </w:rPr>
            </w:pPr>
            <w:r w:rsidRPr="00BC2A02">
              <w:rPr>
                <w:rFonts w:ascii="Times New Roman" w:hAnsi="Times New Roman" w:cs="Times New Roman"/>
                <w:b/>
                <w:color w:val="000000"/>
                <w:sz w:val="16"/>
                <w:szCs w:val="16"/>
              </w:rPr>
              <w:t xml:space="preserve">Nedaňové príjmy </w:t>
            </w:r>
          </w:p>
        </w:tc>
        <w:tc>
          <w:tcPr>
            <w:tcW w:w="863" w:type="dxa"/>
            <w:tcBorders>
              <w:top w:val="single" w:sz="4" w:space="0" w:color="000000"/>
              <w:left w:val="nil"/>
              <w:bottom w:val="nil"/>
              <w:right w:val="nil"/>
            </w:tcBorders>
          </w:tcPr>
          <w:p w14:paraId="120C7609" w14:textId="77777777" w:rsidR="00BC2A02" w:rsidRPr="00BC2A02" w:rsidRDefault="00BC2A02" w:rsidP="00BC2A02">
            <w:pPr>
              <w:jc w:val="right"/>
              <w:rPr>
                <w:rFonts w:ascii="Times New Roman" w:hAnsi="Times New Roman" w:cs="Times New Roman"/>
                <w:b/>
                <w:color w:val="000000"/>
                <w:sz w:val="16"/>
                <w:szCs w:val="16"/>
              </w:rPr>
            </w:pPr>
            <w:r w:rsidRPr="00BC2A02">
              <w:rPr>
                <w:rFonts w:ascii="Times New Roman" w:hAnsi="Times New Roman" w:cs="Times New Roman"/>
                <w:b/>
                <w:color w:val="000000"/>
                <w:sz w:val="16"/>
                <w:szCs w:val="16"/>
              </w:rPr>
              <w:t>1 338 320</w:t>
            </w:r>
          </w:p>
        </w:tc>
        <w:tc>
          <w:tcPr>
            <w:tcW w:w="992" w:type="dxa"/>
            <w:tcBorders>
              <w:top w:val="single" w:sz="4" w:space="0" w:color="000000"/>
              <w:left w:val="nil"/>
              <w:bottom w:val="nil"/>
              <w:right w:val="nil"/>
            </w:tcBorders>
          </w:tcPr>
          <w:p w14:paraId="0318EF9F" w14:textId="77777777" w:rsidR="00BC2A02" w:rsidRPr="00BC2A02" w:rsidRDefault="00BC2A02" w:rsidP="00BC2A02">
            <w:pPr>
              <w:jc w:val="right"/>
              <w:rPr>
                <w:rFonts w:ascii="Times New Roman" w:hAnsi="Times New Roman" w:cs="Times New Roman"/>
                <w:b/>
                <w:color w:val="000000"/>
                <w:sz w:val="16"/>
                <w:szCs w:val="16"/>
              </w:rPr>
            </w:pPr>
            <w:r w:rsidRPr="00BC2A02">
              <w:rPr>
                <w:rFonts w:ascii="Times New Roman" w:hAnsi="Times New Roman" w:cs="Times New Roman"/>
                <w:b/>
                <w:color w:val="000000"/>
                <w:sz w:val="16"/>
                <w:szCs w:val="16"/>
              </w:rPr>
              <w:t>1 285 089</w:t>
            </w:r>
          </w:p>
        </w:tc>
        <w:tc>
          <w:tcPr>
            <w:tcW w:w="992" w:type="dxa"/>
            <w:tcBorders>
              <w:top w:val="single" w:sz="4" w:space="0" w:color="000000"/>
              <w:left w:val="nil"/>
              <w:bottom w:val="nil"/>
              <w:right w:val="nil"/>
            </w:tcBorders>
          </w:tcPr>
          <w:p w14:paraId="6EAD4AA6" w14:textId="77777777" w:rsidR="00BC2A02" w:rsidRPr="00BC2A02" w:rsidRDefault="00BC2A02" w:rsidP="00BC2A02">
            <w:pPr>
              <w:jc w:val="right"/>
              <w:rPr>
                <w:rFonts w:ascii="Times New Roman" w:hAnsi="Times New Roman" w:cs="Times New Roman"/>
                <w:b/>
                <w:color w:val="000000"/>
                <w:sz w:val="16"/>
                <w:szCs w:val="16"/>
              </w:rPr>
            </w:pPr>
            <w:r w:rsidRPr="00BC2A02">
              <w:rPr>
                <w:rFonts w:ascii="Times New Roman" w:hAnsi="Times New Roman" w:cs="Times New Roman"/>
                <w:b/>
                <w:color w:val="000000"/>
                <w:sz w:val="16"/>
                <w:szCs w:val="16"/>
              </w:rPr>
              <w:t>2 129 738</w:t>
            </w:r>
          </w:p>
        </w:tc>
        <w:tc>
          <w:tcPr>
            <w:tcW w:w="992" w:type="dxa"/>
            <w:tcBorders>
              <w:top w:val="single" w:sz="4" w:space="0" w:color="000000"/>
              <w:left w:val="nil"/>
              <w:bottom w:val="nil"/>
              <w:right w:val="nil"/>
            </w:tcBorders>
          </w:tcPr>
          <w:p w14:paraId="0915C2BD" w14:textId="77777777" w:rsidR="00BC2A02" w:rsidRPr="00BC2A02" w:rsidRDefault="00BC2A02" w:rsidP="00BC2A02">
            <w:pPr>
              <w:jc w:val="right"/>
              <w:rPr>
                <w:rFonts w:ascii="Times New Roman" w:hAnsi="Times New Roman" w:cs="Times New Roman"/>
                <w:b/>
                <w:color w:val="000000"/>
                <w:sz w:val="16"/>
                <w:szCs w:val="16"/>
              </w:rPr>
            </w:pPr>
            <w:r w:rsidRPr="00BC2A02">
              <w:rPr>
                <w:rFonts w:ascii="Times New Roman" w:hAnsi="Times New Roman" w:cs="Times New Roman"/>
                <w:b/>
                <w:color w:val="000000"/>
                <w:sz w:val="16"/>
                <w:szCs w:val="16"/>
              </w:rPr>
              <w:t>1 710 218</w:t>
            </w:r>
          </w:p>
        </w:tc>
        <w:tc>
          <w:tcPr>
            <w:tcW w:w="993" w:type="dxa"/>
            <w:tcBorders>
              <w:top w:val="single" w:sz="4" w:space="0" w:color="000000"/>
              <w:left w:val="nil"/>
              <w:bottom w:val="nil"/>
              <w:right w:val="nil"/>
            </w:tcBorders>
          </w:tcPr>
          <w:p w14:paraId="22DC7D97" w14:textId="77777777" w:rsidR="00BC2A02" w:rsidRPr="00BC2A02" w:rsidRDefault="00BC2A02" w:rsidP="00BC2A02">
            <w:pPr>
              <w:jc w:val="right"/>
              <w:rPr>
                <w:rFonts w:ascii="Times New Roman" w:hAnsi="Times New Roman" w:cs="Times New Roman"/>
                <w:b/>
                <w:color w:val="000000"/>
                <w:sz w:val="16"/>
                <w:szCs w:val="16"/>
              </w:rPr>
            </w:pPr>
            <w:r w:rsidRPr="00BC2A02">
              <w:rPr>
                <w:rFonts w:ascii="Times New Roman" w:hAnsi="Times New Roman" w:cs="Times New Roman"/>
                <w:b/>
                <w:color w:val="000000"/>
                <w:sz w:val="16"/>
                <w:szCs w:val="16"/>
              </w:rPr>
              <w:t>1 549 566</w:t>
            </w:r>
          </w:p>
        </w:tc>
        <w:tc>
          <w:tcPr>
            <w:tcW w:w="992" w:type="dxa"/>
            <w:tcBorders>
              <w:top w:val="single" w:sz="4" w:space="0" w:color="000000"/>
              <w:left w:val="nil"/>
              <w:bottom w:val="nil"/>
              <w:right w:val="nil"/>
            </w:tcBorders>
          </w:tcPr>
          <w:p w14:paraId="7FCAD4C8" w14:textId="77777777" w:rsidR="00BC2A02" w:rsidRPr="00BC2A02" w:rsidRDefault="00BC2A02" w:rsidP="00BC2A02">
            <w:pPr>
              <w:jc w:val="right"/>
              <w:rPr>
                <w:rFonts w:ascii="Times New Roman" w:hAnsi="Times New Roman" w:cs="Times New Roman"/>
                <w:b/>
                <w:color w:val="000000"/>
                <w:sz w:val="16"/>
                <w:szCs w:val="16"/>
              </w:rPr>
            </w:pPr>
            <w:r w:rsidRPr="00BC2A02">
              <w:rPr>
                <w:rFonts w:ascii="Times New Roman" w:hAnsi="Times New Roman" w:cs="Times New Roman"/>
                <w:b/>
                <w:color w:val="000000"/>
                <w:sz w:val="16"/>
                <w:szCs w:val="16"/>
              </w:rPr>
              <w:t>1 401 908</w:t>
            </w:r>
          </w:p>
        </w:tc>
        <w:tc>
          <w:tcPr>
            <w:tcW w:w="912" w:type="dxa"/>
            <w:tcBorders>
              <w:top w:val="single" w:sz="4" w:space="0" w:color="000000"/>
              <w:left w:val="nil"/>
              <w:bottom w:val="nil"/>
              <w:right w:val="nil"/>
            </w:tcBorders>
          </w:tcPr>
          <w:p w14:paraId="2351EF13" w14:textId="77777777" w:rsidR="00BC2A02" w:rsidRPr="00BC2A02" w:rsidRDefault="00BC2A02" w:rsidP="00BC2A02">
            <w:pPr>
              <w:jc w:val="right"/>
              <w:rPr>
                <w:rFonts w:ascii="Times New Roman" w:hAnsi="Times New Roman" w:cs="Times New Roman"/>
                <w:b/>
                <w:color w:val="000000"/>
                <w:sz w:val="16"/>
                <w:szCs w:val="16"/>
              </w:rPr>
            </w:pPr>
            <w:r w:rsidRPr="00BC2A02">
              <w:rPr>
                <w:rFonts w:ascii="Times New Roman" w:hAnsi="Times New Roman" w:cs="Times New Roman"/>
                <w:b/>
                <w:color w:val="000000"/>
                <w:sz w:val="16"/>
                <w:szCs w:val="16"/>
              </w:rPr>
              <w:t>1 363 052</w:t>
            </w:r>
          </w:p>
        </w:tc>
      </w:tr>
      <w:tr w:rsidR="00BC2A02" w:rsidRPr="00BC2A02" w14:paraId="107548D3" w14:textId="77777777" w:rsidTr="00B63F1A">
        <w:trPr>
          <w:trHeight w:val="404"/>
        </w:trPr>
        <w:tc>
          <w:tcPr>
            <w:tcW w:w="2352" w:type="dxa"/>
            <w:tcBorders>
              <w:top w:val="nil"/>
              <w:left w:val="nil"/>
              <w:bottom w:val="nil"/>
              <w:right w:val="nil"/>
            </w:tcBorders>
          </w:tcPr>
          <w:p w14:paraId="4A6D4599" w14:textId="77777777" w:rsidR="00BC2A02" w:rsidRPr="00BC2A02" w:rsidRDefault="00BC2A02" w:rsidP="00BC2A02">
            <w:pPr>
              <w:ind w:left="86"/>
              <w:rPr>
                <w:rFonts w:ascii="Times New Roman" w:hAnsi="Times New Roman" w:cs="Times New Roman"/>
                <w:color w:val="000000"/>
                <w:sz w:val="16"/>
                <w:szCs w:val="16"/>
              </w:rPr>
            </w:pPr>
            <w:r w:rsidRPr="00BC2A02">
              <w:rPr>
                <w:rFonts w:ascii="Times New Roman" w:hAnsi="Times New Roman" w:cs="Times New Roman"/>
                <w:color w:val="000000"/>
                <w:sz w:val="16"/>
                <w:szCs w:val="16"/>
              </w:rPr>
              <w:t xml:space="preserve">Príjmy z podnikania a z vlastníctva majetku </w:t>
            </w:r>
          </w:p>
        </w:tc>
        <w:tc>
          <w:tcPr>
            <w:tcW w:w="863" w:type="dxa"/>
            <w:tcBorders>
              <w:top w:val="nil"/>
              <w:left w:val="nil"/>
              <w:bottom w:val="nil"/>
              <w:right w:val="nil"/>
            </w:tcBorders>
            <w:vAlign w:val="center"/>
          </w:tcPr>
          <w:p w14:paraId="5D13D07A" w14:textId="77777777" w:rsidR="00BC2A02" w:rsidRPr="00BC2A02" w:rsidRDefault="00BC2A02" w:rsidP="00BC2A02">
            <w:pPr>
              <w:ind w:left="120"/>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486 011</w:t>
            </w:r>
          </w:p>
        </w:tc>
        <w:tc>
          <w:tcPr>
            <w:tcW w:w="992" w:type="dxa"/>
            <w:tcBorders>
              <w:top w:val="nil"/>
              <w:left w:val="nil"/>
              <w:bottom w:val="nil"/>
              <w:right w:val="nil"/>
            </w:tcBorders>
            <w:vAlign w:val="center"/>
          </w:tcPr>
          <w:p w14:paraId="5C31C69D" w14:textId="77777777" w:rsidR="00BC2A02" w:rsidRPr="00BC2A02" w:rsidRDefault="00BC2A02" w:rsidP="00BC2A02">
            <w:pPr>
              <w:ind w:left="120"/>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168 026</w:t>
            </w:r>
          </w:p>
        </w:tc>
        <w:tc>
          <w:tcPr>
            <w:tcW w:w="992" w:type="dxa"/>
            <w:tcBorders>
              <w:top w:val="nil"/>
              <w:left w:val="nil"/>
              <w:bottom w:val="nil"/>
              <w:right w:val="nil"/>
            </w:tcBorders>
            <w:vAlign w:val="center"/>
          </w:tcPr>
          <w:p w14:paraId="7C9D5D42" w14:textId="77777777" w:rsidR="00BC2A02" w:rsidRPr="00BC2A02" w:rsidRDefault="00BC2A02" w:rsidP="00BC2A02">
            <w:pPr>
              <w:ind w:left="120"/>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544 796</w:t>
            </w:r>
          </w:p>
        </w:tc>
        <w:tc>
          <w:tcPr>
            <w:tcW w:w="992" w:type="dxa"/>
            <w:tcBorders>
              <w:top w:val="nil"/>
              <w:left w:val="nil"/>
              <w:bottom w:val="nil"/>
              <w:right w:val="nil"/>
            </w:tcBorders>
            <w:vAlign w:val="center"/>
          </w:tcPr>
          <w:p w14:paraId="3C0FA038" w14:textId="77777777" w:rsidR="00BC2A02" w:rsidRPr="00BC2A02" w:rsidRDefault="00BC2A02" w:rsidP="00BC2A02">
            <w:pPr>
              <w:ind w:left="120"/>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599 947</w:t>
            </w:r>
          </w:p>
        </w:tc>
        <w:tc>
          <w:tcPr>
            <w:tcW w:w="993" w:type="dxa"/>
            <w:tcBorders>
              <w:top w:val="nil"/>
              <w:left w:val="nil"/>
              <w:bottom w:val="nil"/>
              <w:right w:val="nil"/>
            </w:tcBorders>
            <w:vAlign w:val="center"/>
          </w:tcPr>
          <w:p w14:paraId="3E8245E8" w14:textId="77777777" w:rsidR="00BC2A02" w:rsidRPr="00BC2A02" w:rsidRDefault="00BC2A02" w:rsidP="00BC2A02">
            <w:pPr>
              <w:ind w:left="120"/>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522 669</w:t>
            </w:r>
          </w:p>
        </w:tc>
        <w:tc>
          <w:tcPr>
            <w:tcW w:w="992" w:type="dxa"/>
            <w:tcBorders>
              <w:top w:val="nil"/>
              <w:left w:val="nil"/>
              <w:bottom w:val="nil"/>
              <w:right w:val="nil"/>
            </w:tcBorders>
            <w:vAlign w:val="center"/>
          </w:tcPr>
          <w:p w14:paraId="26C0ACA6" w14:textId="77777777" w:rsidR="00BC2A02" w:rsidRPr="00BC2A02" w:rsidRDefault="00BC2A02" w:rsidP="00BC2A02">
            <w:pPr>
              <w:ind w:left="121"/>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335 254</w:t>
            </w:r>
          </w:p>
        </w:tc>
        <w:tc>
          <w:tcPr>
            <w:tcW w:w="912" w:type="dxa"/>
            <w:tcBorders>
              <w:top w:val="nil"/>
              <w:left w:val="nil"/>
              <w:bottom w:val="nil"/>
              <w:right w:val="nil"/>
            </w:tcBorders>
            <w:vAlign w:val="center"/>
          </w:tcPr>
          <w:p w14:paraId="48AC2E33" w14:textId="77777777" w:rsidR="00BC2A02" w:rsidRPr="00BC2A02" w:rsidRDefault="00BC2A02" w:rsidP="00BC2A02">
            <w:pPr>
              <w:ind w:left="120"/>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268 929</w:t>
            </w:r>
          </w:p>
        </w:tc>
      </w:tr>
      <w:tr w:rsidR="00BC2A02" w:rsidRPr="00BC2A02" w14:paraId="768944AB" w14:textId="77777777" w:rsidTr="00B63F1A">
        <w:trPr>
          <w:trHeight w:val="252"/>
        </w:trPr>
        <w:tc>
          <w:tcPr>
            <w:tcW w:w="2352" w:type="dxa"/>
            <w:tcBorders>
              <w:top w:val="nil"/>
              <w:left w:val="nil"/>
              <w:bottom w:val="nil"/>
              <w:right w:val="nil"/>
            </w:tcBorders>
          </w:tcPr>
          <w:p w14:paraId="7E778883" w14:textId="77777777" w:rsidR="00BC2A02" w:rsidRPr="00BC2A02" w:rsidRDefault="00BC2A02" w:rsidP="00BC2A02">
            <w:pPr>
              <w:ind w:left="86"/>
              <w:rPr>
                <w:rFonts w:ascii="Times New Roman" w:hAnsi="Times New Roman" w:cs="Times New Roman"/>
                <w:i/>
                <w:color w:val="000000"/>
                <w:sz w:val="16"/>
                <w:szCs w:val="16"/>
              </w:rPr>
            </w:pPr>
            <w:r w:rsidRPr="00BC2A02">
              <w:rPr>
                <w:rFonts w:ascii="Times New Roman" w:hAnsi="Times New Roman" w:cs="Times New Roman"/>
                <w:i/>
                <w:color w:val="000000"/>
                <w:sz w:val="16"/>
                <w:szCs w:val="16"/>
              </w:rPr>
              <w:t xml:space="preserve">z toho: dividendy </w:t>
            </w:r>
          </w:p>
        </w:tc>
        <w:tc>
          <w:tcPr>
            <w:tcW w:w="863" w:type="dxa"/>
            <w:tcBorders>
              <w:top w:val="nil"/>
              <w:left w:val="nil"/>
              <w:bottom w:val="nil"/>
              <w:right w:val="nil"/>
            </w:tcBorders>
          </w:tcPr>
          <w:p w14:paraId="4ABCFCD4" w14:textId="77777777" w:rsidR="00BC2A02" w:rsidRPr="00BC2A02" w:rsidRDefault="00BC2A02" w:rsidP="00BC2A02">
            <w:pPr>
              <w:ind w:left="120"/>
              <w:jc w:val="right"/>
              <w:rPr>
                <w:rFonts w:ascii="Times New Roman" w:hAnsi="Times New Roman" w:cs="Times New Roman"/>
                <w:i/>
                <w:color w:val="000000"/>
                <w:sz w:val="16"/>
                <w:szCs w:val="16"/>
              </w:rPr>
            </w:pPr>
            <w:r w:rsidRPr="00BC2A02">
              <w:rPr>
                <w:rFonts w:ascii="Times New Roman" w:hAnsi="Times New Roman" w:cs="Times New Roman"/>
                <w:i/>
                <w:color w:val="000000"/>
                <w:sz w:val="16"/>
                <w:szCs w:val="16"/>
              </w:rPr>
              <w:t>480 105</w:t>
            </w:r>
          </w:p>
        </w:tc>
        <w:tc>
          <w:tcPr>
            <w:tcW w:w="992" w:type="dxa"/>
            <w:tcBorders>
              <w:top w:val="nil"/>
              <w:left w:val="nil"/>
              <w:bottom w:val="nil"/>
              <w:right w:val="nil"/>
            </w:tcBorders>
          </w:tcPr>
          <w:p w14:paraId="4F3C38F1" w14:textId="77777777" w:rsidR="00BC2A02" w:rsidRPr="00BC2A02" w:rsidRDefault="00BC2A02" w:rsidP="00BC2A02">
            <w:pPr>
              <w:ind w:left="120"/>
              <w:jc w:val="right"/>
              <w:rPr>
                <w:rFonts w:ascii="Times New Roman" w:hAnsi="Times New Roman" w:cs="Times New Roman"/>
                <w:i/>
                <w:color w:val="000000"/>
                <w:sz w:val="16"/>
                <w:szCs w:val="16"/>
              </w:rPr>
            </w:pPr>
            <w:r w:rsidRPr="00BC2A02">
              <w:rPr>
                <w:rFonts w:ascii="Times New Roman" w:hAnsi="Times New Roman" w:cs="Times New Roman"/>
                <w:i/>
                <w:color w:val="000000"/>
                <w:sz w:val="16"/>
                <w:szCs w:val="16"/>
              </w:rPr>
              <w:t>160 534</w:t>
            </w:r>
          </w:p>
        </w:tc>
        <w:tc>
          <w:tcPr>
            <w:tcW w:w="992" w:type="dxa"/>
            <w:tcBorders>
              <w:top w:val="nil"/>
              <w:left w:val="nil"/>
              <w:bottom w:val="nil"/>
              <w:right w:val="nil"/>
            </w:tcBorders>
          </w:tcPr>
          <w:p w14:paraId="54614CEB" w14:textId="77777777" w:rsidR="00BC2A02" w:rsidRPr="00BC2A02" w:rsidRDefault="00BC2A02" w:rsidP="00BC2A02">
            <w:pPr>
              <w:ind w:left="120"/>
              <w:jc w:val="right"/>
              <w:rPr>
                <w:rFonts w:ascii="Times New Roman" w:hAnsi="Times New Roman" w:cs="Times New Roman"/>
                <w:i/>
                <w:color w:val="000000"/>
                <w:sz w:val="16"/>
                <w:szCs w:val="16"/>
              </w:rPr>
            </w:pPr>
            <w:r w:rsidRPr="00BC2A02">
              <w:rPr>
                <w:rFonts w:ascii="Times New Roman" w:hAnsi="Times New Roman" w:cs="Times New Roman"/>
                <w:i/>
                <w:color w:val="000000"/>
                <w:sz w:val="16"/>
                <w:szCs w:val="16"/>
              </w:rPr>
              <w:t>388 993</w:t>
            </w:r>
          </w:p>
        </w:tc>
        <w:tc>
          <w:tcPr>
            <w:tcW w:w="992" w:type="dxa"/>
            <w:tcBorders>
              <w:top w:val="nil"/>
              <w:left w:val="nil"/>
              <w:bottom w:val="nil"/>
              <w:right w:val="nil"/>
            </w:tcBorders>
          </w:tcPr>
          <w:p w14:paraId="33D0A545" w14:textId="77777777" w:rsidR="00BC2A02" w:rsidRPr="00BC2A02" w:rsidRDefault="00BC2A02" w:rsidP="00BC2A02">
            <w:pPr>
              <w:ind w:left="120"/>
              <w:jc w:val="right"/>
              <w:rPr>
                <w:rFonts w:ascii="Times New Roman" w:hAnsi="Times New Roman" w:cs="Times New Roman"/>
                <w:i/>
                <w:color w:val="000000"/>
                <w:sz w:val="16"/>
                <w:szCs w:val="16"/>
              </w:rPr>
            </w:pPr>
            <w:r w:rsidRPr="00BC2A02">
              <w:rPr>
                <w:rFonts w:ascii="Times New Roman" w:hAnsi="Times New Roman" w:cs="Times New Roman"/>
                <w:i/>
                <w:color w:val="000000"/>
                <w:sz w:val="16"/>
                <w:szCs w:val="16"/>
              </w:rPr>
              <w:t>442 374</w:t>
            </w:r>
          </w:p>
        </w:tc>
        <w:tc>
          <w:tcPr>
            <w:tcW w:w="993" w:type="dxa"/>
            <w:tcBorders>
              <w:top w:val="nil"/>
              <w:left w:val="nil"/>
              <w:bottom w:val="nil"/>
              <w:right w:val="nil"/>
            </w:tcBorders>
          </w:tcPr>
          <w:p w14:paraId="66610FFF" w14:textId="77777777" w:rsidR="00BC2A02" w:rsidRPr="00BC2A02" w:rsidRDefault="00BC2A02" w:rsidP="00BC2A02">
            <w:pPr>
              <w:ind w:left="120"/>
              <w:jc w:val="right"/>
              <w:rPr>
                <w:rFonts w:ascii="Times New Roman" w:hAnsi="Times New Roman" w:cs="Times New Roman"/>
                <w:i/>
                <w:color w:val="000000"/>
                <w:sz w:val="16"/>
                <w:szCs w:val="16"/>
              </w:rPr>
            </w:pPr>
            <w:r w:rsidRPr="00BC2A02">
              <w:rPr>
                <w:rFonts w:ascii="Times New Roman" w:hAnsi="Times New Roman" w:cs="Times New Roman"/>
                <w:i/>
                <w:color w:val="000000"/>
                <w:sz w:val="16"/>
                <w:szCs w:val="16"/>
              </w:rPr>
              <w:t>436 477</w:t>
            </w:r>
          </w:p>
        </w:tc>
        <w:tc>
          <w:tcPr>
            <w:tcW w:w="992" w:type="dxa"/>
            <w:tcBorders>
              <w:top w:val="nil"/>
              <w:left w:val="nil"/>
              <w:bottom w:val="nil"/>
              <w:right w:val="nil"/>
            </w:tcBorders>
          </w:tcPr>
          <w:p w14:paraId="34AF91DD" w14:textId="77777777" w:rsidR="00BC2A02" w:rsidRPr="00BC2A02" w:rsidRDefault="00BC2A02" w:rsidP="00BC2A02">
            <w:pPr>
              <w:ind w:left="121"/>
              <w:jc w:val="right"/>
              <w:rPr>
                <w:rFonts w:ascii="Times New Roman" w:hAnsi="Times New Roman" w:cs="Times New Roman"/>
                <w:i/>
                <w:color w:val="000000"/>
                <w:sz w:val="16"/>
                <w:szCs w:val="16"/>
              </w:rPr>
            </w:pPr>
            <w:r w:rsidRPr="00BC2A02">
              <w:rPr>
                <w:rFonts w:ascii="Times New Roman" w:hAnsi="Times New Roman" w:cs="Times New Roman"/>
                <w:i/>
                <w:color w:val="000000"/>
                <w:sz w:val="16"/>
                <w:szCs w:val="16"/>
              </w:rPr>
              <w:t>289 071</w:t>
            </w:r>
          </w:p>
        </w:tc>
        <w:tc>
          <w:tcPr>
            <w:tcW w:w="912" w:type="dxa"/>
            <w:tcBorders>
              <w:top w:val="nil"/>
              <w:left w:val="nil"/>
              <w:bottom w:val="nil"/>
              <w:right w:val="nil"/>
            </w:tcBorders>
          </w:tcPr>
          <w:p w14:paraId="4E7B9829" w14:textId="77777777" w:rsidR="00BC2A02" w:rsidRPr="00BC2A02" w:rsidRDefault="00BC2A02" w:rsidP="00BC2A02">
            <w:pPr>
              <w:ind w:left="120"/>
              <w:jc w:val="right"/>
              <w:rPr>
                <w:rFonts w:ascii="Times New Roman" w:hAnsi="Times New Roman" w:cs="Times New Roman"/>
                <w:i/>
                <w:color w:val="000000"/>
                <w:sz w:val="16"/>
                <w:szCs w:val="16"/>
              </w:rPr>
            </w:pPr>
            <w:r w:rsidRPr="00BC2A02">
              <w:rPr>
                <w:rFonts w:ascii="Times New Roman" w:hAnsi="Times New Roman" w:cs="Times New Roman"/>
                <w:i/>
                <w:color w:val="000000"/>
                <w:sz w:val="16"/>
                <w:szCs w:val="16"/>
              </w:rPr>
              <w:t>242 745</w:t>
            </w:r>
          </w:p>
        </w:tc>
      </w:tr>
      <w:tr w:rsidR="00BC2A02" w:rsidRPr="00BC2A02" w14:paraId="58643EF9" w14:textId="77777777" w:rsidTr="00B63F1A">
        <w:trPr>
          <w:trHeight w:val="404"/>
        </w:trPr>
        <w:tc>
          <w:tcPr>
            <w:tcW w:w="2352" w:type="dxa"/>
            <w:tcBorders>
              <w:top w:val="nil"/>
              <w:left w:val="nil"/>
              <w:bottom w:val="nil"/>
              <w:right w:val="nil"/>
            </w:tcBorders>
          </w:tcPr>
          <w:p w14:paraId="0B1C43EB" w14:textId="77777777" w:rsidR="00BC2A02" w:rsidRPr="00BC2A02" w:rsidRDefault="00BC2A02" w:rsidP="00BC2A02">
            <w:pPr>
              <w:ind w:left="86" w:right="248"/>
              <w:rPr>
                <w:rFonts w:ascii="Times New Roman" w:hAnsi="Times New Roman" w:cs="Times New Roman"/>
                <w:color w:val="000000"/>
                <w:sz w:val="16"/>
                <w:szCs w:val="16"/>
              </w:rPr>
            </w:pPr>
            <w:r w:rsidRPr="00BC2A02">
              <w:rPr>
                <w:rFonts w:ascii="Times New Roman" w:hAnsi="Times New Roman" w:cs="Times New Roman"/>
                <w:color w:val="000000"/>
                <w:sz w:val="16"/>
                <w:szCs w:val="16"/>
              </w:rPr>
              <w:t xml:space="preserve">Administratívne poplatky a iné poplatky a platby </w:t>
            </w:r>
          </w:p>
        </w:tc>
        <w:tc>
          <w:tcPr>
            <w:tcW w:w="863" w:type="dxa"/>
            <w:tcBorders>
              <w:top w:val="nil"/>
              <w:left w:val="nil"/>
              <w:bottom w:val="nil"/>
              <w:right w:val="nil"/>
            </w:tcBorders>
            <w:vAlign w:val="center"/>
          </w:tcPr>
          <w:p w14:paraId="56664225" w14:textId="77777777" w:rsidR="00BC2A02" w:rsidRPr="00BC2A02" w:rsidRDefault="00BC2A02" w:rsidP="00BC2A02">
            <w:pPr>
              <w:ind w:left="120"/>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354 593</w:t>
            </w:r>
          </w:p>
        </w:tc>
        <w:tc>
          <w:tcPr>
            <w:tcW w:w="992" w:type="dxa"/>
            <w:tcBorders>
              <w:top w:val="nil"/>
              <w:left w:val="nil"/>
              <w:bottom w:val="nil"/>
              <w:right w:val="nil"/>
            </w:tcBorders>
            <w:vAlign w:val="center"/>
          </w:tcPr>
          <w:p w14:paraId="2C0472FD" w14:textId="77777777" w:rsidR="00BC2A02" w:rsidRPr="00BC2A02" w:rsidRDefault="00BC2A02" w:rsidP="00BC2A02">
            <w:pPr>
              <w:ind w:left="120"/>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400 937</w:t>
            </w:r>
          </w:p>
        </w:tc>
        <w:tc>
          <w:tcPr>
            <w:tcW w:w="992" w:type="dxa"/>
            <w:tcBorders>
              <w:top w:val="nil"/>
              <w:left w:val="nil"/>
              <w:bottom w:val="nil"/>
              <w:right w:val="nil"/>
            </w:tcBorders>
            <w:vAlign w:val="center"/>
          </w:tcPr>
          <w:p w14:paraId="41BC1CD1" w14:textId="77777777" w:rsidR="00BC2A02" w:rsidRPr="00BC2A02" w:rsidRDefault="00BC2A02" w:rsidP="00BC2A02">
            <w:pPr>
              <w:ind w:left="120"/>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354 133</w:t>
            </w:r>
          </w:p>
        </w:tc>
        <w:tc>
          <w:tcPr>
            <w:tcW w:w="992" w:type="dxa"/>
            <w:tcBorders>
              <w:top w:val="nil"/>
              <w:left w:val="nil"/>
              <w:bottom w:val="nil"/>
              <w:right w:val="nil"/>
            </w:tcBorders>
            <w:vAlign w:val="center"/>
          </w:tcPr>
          <w:p w14:paraId="68AA4DA6" w14:textId="77777777" w:rsidR="00BC2A02" w:rsidRPr="00BC2A02" w:rsidRDefault="00BC2A02" w:rsidP="00BC2A02">
            <w:pPr>
              <w:ind w:left="120"/>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359 565</w:t>
            </w:r>
          </w:p>
        </w:tc>
        <w:tc>
          <w:tcPr>
            <w:tcW w:w="993" w:type="dxa"/>
            <w:tcBorders>
              <w:top w:val="nil"/>
              <w:left w:val="nil"/>
              <w:bottom w:val="nil"/>
              <w:right w:val="nil"/>
            </w:tcBorders>
            <w:vAlign w:val="center"/>
          </w:tcPr>
          <w:p w14:paraId="6871BD55" w14:textId="77777777" w:rsidR="00BC2A02" w:rsidRPr="00BC2A02" w:rsidRDefault="00BC2A02" w:rsidP="00BC2A02">
            <w:pPr>
              <w:ind w:left="120"/>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397 362</w:t>
            </w:r>
          </w:p>
        </w:tc>
        <w:tc>
          <w:tcPr>
            <w:tcW w:w="992" w:type="dxa"/>
            <w:tcBorders>
              <w:top w:val="nil"/>
              <w:left w:val="nil"/>
              <w:bottom w:val="nil"/>
              <w:right w:val="nil"/>
            </w:tcBorders>
            <w:vAlign w:val="center"/>
          </w:tcPr>
          <w:p w14:paraId="6E795286" w14:textId="77777777" w:rsidR="00BC2A02" w:rsidRPr="00BC2A02" w:rsidRDefault="00BC2A02" w:rsidP="00BC2A02">
            <w:pPr>
              <w:ind w:left="121"/>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445 058</w:t>
            </w:r>
          </w:p>
        </w:tc>
        <w:tc>
          <w:tcPr>
            <w:tcW w:w="912" w:type="dxa"/>
            <w:tcBorders>
              <w:top w:val="nil"/>
              <w:left w:val="nil"/>
              <w:bottom w:val="nil"/>
              <w:right w:val="nil"/>
            </w:tcBorders>
            <w:vAlign w:val="center"/>
          </w:tcPr>
          <w:p w14:paraId="3F5FC70E" w14:textId="77777777" w:rsidR="00BC2A02" w:rsidRPr="00BC2A02" w:rsidRDefault="00BC2A02" w:rsidP="00BC2A02">
            <w:pPr>
              <w:ind w:left="120"/>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452 077</w:t>
            </w:r>
          </w:p>
        </w:tc>
      </w:tr>
      <w:tr w:rsidR="00BC2A02" w:rsidRPr="00BC2A02" w14:paraId="31C98F0F" w14:textId="77777777" w:rsidTr="00B63F1A">
        <w:trPr>
          <w:trHeight w:val="252"/>
        </w:trPr>
        <w:tc>
          <w:tcPr>
            <w:tcW w:w="2352" w:type="dxa"/>
            <w:tcBorders>
              <w:top w:val="nil"/>
              <w:left w:val="nil"/>
              <w:bottom w:val="nil"/>
              <w:right w:val="nil"/>
            </w:tcBorders>
          </w:tcPr>
          <w:p w14:paraId="18D0BCF6" w14:textId="77777777" w:rsidR="00BC2A02" w:rsidRPr="00BC2A02" w:rsidRDefault="00BC2A02" w:rsidP="00BC2A02">
            <w:pPr>
              <w:ind w:left="86"/>
              <w:rPr>
                <w:rFonts w:ascii="Times New Roman" w:hAnsi="Times New Roman" w:cs="Times New Roman"/>
                <w:color w:val="000000"/>
                <w:sz w:val="16"/>
                <w:szCs w:val="16"/>
              </w:rPr>
            </w:pPr>
            <w:r w:rsidRPr="00BC2A02">
              <w:rPr>
                <w:rFonts w:ascii="Times New Roman" w:hAnsi="Times New Roman" w:cs="Times New Roman"/>
                <w:color w:val="000000"/>
                <w:sz w:val="16"/>
                <w:szCs w:val="16"/>
              </w:rPr>
              <w:t xml:space="preserve">Kapitálové príjmy </w:t>
            </w:r>
          </w:p>
        </w:tc>
        <w:tc>
          <w:tcPr>
            <w:tcW w:w="863" w:type="dxa"/>
            <w:tcBorders>
              <w:top w:val="nil"/>
              <w:left w:val="nil"/>
              <w:bottom w:val="nil"/>
              <w:right w:val="nil"/>
            </w:tcBorders>
          </w:tcPr>
          <w:p w14:paraId="1AEDEF6D" w14:textId="77777777" w:rsidR="00BC2A02" w:rsidRPr="00BC2A02" w:rsidRDefault="00BC2A02" w:rsidP="00BC2A02">
            <w:pPr>
              <w:ind w:left="202"/>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13 703</w:t>
            </w:r>
          </w:p>
        </w:tc>
        <w:tc>
          <w:tcPr>
            <w:tcW w:w="992" w:type="dxa"/>
            <w:tcBorders>
              <w:top w:val="nil"/>
              <w:left w:val="nil"/>
              <w:bottom w:val="nil"/>
              <w:right w:val="nil"/>
            </w:tcBorders>
          </w:tcPr>
          <w:p w14:paraId="3506FC12" w14:textId="77777777" w:rsidR="00BC2A02" w:rsidRPr="00BC2A02" w:rsidRDefault="00BC2A02" w:rsidP="00BC2A02">
            <w:pPr>
              <w:ind w:left="202"/>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11 460</w:t>
            </w:r>
          </w:p>
        </w:tc>
        <w:tc>
          <w:tcPr>
            <w:tcW w:w="992" w:type="dxa"/>
            <w:tcBorders>
              <w:top w:val="nil"/>
              <w:left w:val="nil"/>
              <w:bottom w:val="nil"/>
              <w:right w:val="nil"/>
            </w:tcBorders>
          </w:tcPr>
          <w:p w14:paraId="6800FF5A" w14:textId="77777777" w:rsidR="00BC2A02" w:rsidRPr="00BC2A02" w:rsidRDefault="00BC2A02" w:rsidP="00BC2A02">
            <w:pPr>
              <w:ind w:left="202"/>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27 270</w:t>
            </w:r>
          </w:p>
        </w:tc>
        <w:tc>
          <w:tcPr>
            <w:tcW w:w="992" w:type="dxa"/>
            <w:tcBorders>
              <w:top w:val="nil"/>
              <w:left w:val="nil"/>
              <w:bottom w:val="nil"/>
              <w:right w:val="nil"/>
            </w:tcBorders>
          </w:tcPr>
          <w:p w14:paraId="0950FE1C" w14:textId="77777777" w:rsidR="00BC2A02" w:rsidRPr="00BC2A02" w:rsidRDefault="00BC2A02" w:rsidP="00BC2A02">
            <w:pPr>
              <w:ind w:left="202"/>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28 076</w:t>
            </w:r>
          </w:p>
        </w:tc>
        <w:tc>
          <w:tcPr>
            <w:tcW w:w="993" w:type="dxa"/>
            <w:tcBorders>
              <w:top w:val="nil"/>
              <w:left w:val="nil"/>
              <w:bottom w:val="nil"/>
              <w:right w:val="nil"/>
            </w:tcBorders>
          </w:tcPr>
          <w:p w14:paraId="0331268E" w14:textId="77777777" w:rsidR="00BC2A02" w:rsidRPr="00BC2A02" w:rsidRDefault="00BC2A02" w:rsidP="00BC2A02">
            <w:pPr>
              <w:ind w:left="202"/>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17 526</w:t>
            </w:r>
          </w:p>
        </w:tc>
        <w:tc>
          <w:tcPr>
            <w:tcW w:w="992" w:type="dxa"/>
            <w:tcBorders>
              <w:top w:val="nil"/>
              <w:left w:val="nil"/>
              <w:bottom w:val="nil"/>
              <w:right w:val="nil"/>
            </w:tcBorders>
          </w:tcPr>
          <w:p w14:paraId="0FA0D9C6" w14:textId="77777777" w:rsidR="00BC2A02" w:rsidRPr="00BC2A02" w:rsidRDefault="00BC2A02" w:rsidP="00BC2A02">
            <w:pPr>
              <w:ind w:left="202"/>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6 094</w:t>
            </w:r>
          </w:p>
        </w:tc>
        <w:tc>
          <w:tcPr>
            <w:tcW w:w="912" w:type="dxa"/>
            <w:tcBorders>
              <w:top w:val="nil"/>
              <w:left w:val="nil"/>
              <w:bottom w:val="nil"/>
              <w:right w:val="nil"/>
            </w:tcBorders>
          </w:tcPr>
          <w:p w14:paraId="28CF3FA6" w14:textId="77777777" w:rsidR="00BC2A02" w:rsidRPr="00BC2A02" w:rsidRDefault="00BC2A02" w:rsidP="00BC2A02">
            <w:pPr>
              <w:ind w:left="202"/>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6 009</w:t>
            </w:r>
          </w:p>
        </w:tc>
      </w:tr>
      <w:tr w:rsidR="00BC2A02" w:rsidRPr="00BC2A02" w14:paraId="36CADE5E" w14:textId="77777777" w:rsidTr="00B63F1A">
        <w:trPr>
          <w:trHeight w:val="589"/>
        </w:trPr>
        <w:tc>
          <w:tcPr>
            <w:tcW w:w="2352" w:type="dxa"/>
            <w:tcBorders>
              <w:top w:val="nil"/>
              <w:left w:val="nil"/>
              <w:bottom w:val="nil"/>
              <w:right w:val="nil"/>
            </w:tcBorders>
          </w:tcPr>
          <w:p w14:paraId="1C81FE6E" w14:textId="77777777" w:rsidR="00BC2A02" w:rsidRPr="00BC2A02" w:rsidRDefault="00BC2A02" w:rsidP="00BC2A02">
            <w:pPr>
              <w:ind w:left="86" w:right="240"/>
              <w:rPr>
                <w:rFonts w:ascii="Times New Roman" w:hAnsi="Times New Roman" w:cs="Times New Roman"/>
                <w:color w:val="000000"/>
                <w:sz w:val="16"/>
                <w:szCs w:val="16"/>
              </w:rPr>
            </w:pPr>
            <w:r w:rsidRPr="00BC2A02">
              <w:rPr>
                <w:rFonts w:ascii="Times New Roman" w:hAnsi="Times New Roman" w:cs="Times New Roman"/>
                <w:color w:val="000000"/>
                <w:sz w:val="16"/>
                <w:szCs w:val="16"/>
              </w:rPr>
              <w:t xml:space="preserve">Úroky z tuzemských a zahraničných úverov, pôžičiek, NFV a vkladov </w:t>
            </w:r>
          </w:p>
        </w:tc>
        <w:tc>
          <w:tcPr>
            <w:tcW w:w="863" w:type="dxa"/>
            <w:tcBorders>
              <w:top w:val="nil"/>
              <w:left w:val="nil"/>
              <w:bottom w:val="nil"/>
              <w:right w:val="nil"/>
            </w:tcBorders>
            <w:vAlign w:val="center"/>
          </w:tcPr>
          <w:p w14:paraId="420A7C7B" w14:textId="77777777" w:rsidR="00BC2A02" w:rsidRPr="00BC2A02" w:rsidRDefault="00BC2A02" w:rsidP="00BC2A02">
            <w:pPr>
              <w:ind w:left="202"/>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7 055</w:t>
            </w:r>
          </w:p>
        </w:tc>
        <w:tc>
          <w:tcPr>
            <w:tcW w:w="992" w:type="dxa"/>
            <w:tcBorders>
              <w:top w:val="nil"/>
              <w:left w:val="nil"/>
              <w:bottom w:val="nil"/>
              <w:right w:val="nil"/>
            </w:tcBorders>
            <w:vAlign w:val="center"/>
          </w:tcPr>
          <w:p w14:paraId="27564F34" w14:textId="77777777" w:rsidR="00BC2A02" w:rsidRPr="00BC2A02" w:rsidRDefault="00BC2A02" w:rsidP="00BC2A02">
            <w:pPr>
              <w:ind w:left="202"/>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9 996</w:t>
            </w:r>
          </w:p>
        </w:tc>
        <w:tc>
          <w:tcPr>
            <w:tcW w:w="992" w:type="dxa"/>
            <w:tcBorders>
              <w:top w:val="nil"/>
              <w:left w:val="nil"/>
              <w:bottom w:val="nil"/>
              <w:right w:val="nil"/>
            </w:tcBorders>
            <w:vAlign w:val="center"/>
          </w:tcPr>
          <w:p w14:paraId="35295389" w14:textId="77777777" w:rsidR="00BC2A02" w:rsidRPr="00BC2A02" w:rsidRDefault="00BC2A02" w:rsidP="00BC2A02">
            <w:pPr>
              <w:ind w:left="202"/>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24 497</w:t>
            </w:r>
          </w:p>
        </w:tc>
        <w:tc>
          <w:tcPr>
            <w:tcW w:w="992" w:type="dxa"/>
            <w:tcBorders>
              <w:top w:val="nil"/>
              <w:left w:val="nil"/>
              <w:bottom w:val="nil"/>
              <w:right w:val="nil"/>
            </w:tcBorders>
            <w:vAlign w:val="center"/>
          </w:tcPr>
          <w:p w14:paraId="0D7679DA" w14:textId="77777777" w:rsidR="00BC2A02" w:rsidRPr="00BC2A02" w:rsidRDefault="00BC2A02" w:rsidP="00BC2A02">
            <w:pPr>
              <w:ind w:left="202"/>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117 285</w:t>
            </w:r>
          </w:p>
        </w:tc>
        <w:tc>
          <w:tcPr>
            <w:tcW w:w="993" w:type="dxa"/>
            <w:tcBorders>
              <w:top w:val="nil"/>
              <w:left w:val="nil"/>
              <w:bottom w:val="nil"/>
              <w:right w:val="nil"/>
            </w:tcBorders>
            <w:vAlign w:val="center"/>
          </w:tcPr>
          <w:p w14:paraId="152D53D3" w14:textId="77777777" w:rsidR="00BC2A02" w:rsidRPr="00BC2A02" w:rsidRDefault="00BC2A02" w:rsidP="00BC2A02">
            <w:pPr>
              <w:ind w:left="202"/>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127 284</w:t>
            </w:r>
          </w:p>
        </w:tc>
        <w:tc>
          <w:tcPr>
            <w:tcW w:w="992" w:type="dxa"/>
            <w:tcBorders>
              <w:top w:val="nil"/>
              <w:left w:val="nil"/>
              <w:bottom w:val="nil"/>
              <w:right w:val="nil"/>
            </w:tcBorders>
            <w:vAlign w:val="center"/>
          </w:tcPr>
          <w:p w14:paraId="06F57EE7" w14:textId="77777777" w:rsidR="00BC2A02" w:rsidRPr="00BC2A02" w:rsidRDefault="00BC2A02" w:rsidP="00BC2A02">
            <w:pPr>
              <w:ind w:left="202"/>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108 043</w:t>
            </w:r>
          </w:p>
        </w:tc>
        <w:tc>
          <w:tcPr>
            <w:tcW w:w="912" w:type="dxa"/>
            <w:tcBorders>
              <w:top w:val="nil"/>
              <w:left w:val="nil"/>
              <w:bottom w:val="nil"/>
              <w:right w:val="nil"/>
            </w:tcBorders>
            <w:vAlign w:val="center"/>
          </w:tcPr>
          <w:p w14:paraId="13120EB5" w14:textId="77777777" w:rsidR="00BC2A02" w:rsidRPr="00BC2A02" w:rsidRDefault="00BC2A02" w:rsidP="00BC2A02">
            <w:pPr>
              <w:ind w:left="202"/>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95 025</w:t>
            </w:r>
          </w:p>
        </w:tc>
      </w:tr>
      <w:tr w:rsidR="00BC2A02" w:rsidRPr="00BC2A02" w14:paraId="2EF76D8E" w14:textId="77777777" w:rsidTr="00B63F1A">
        <w:trPr>
          <w:trHeight w:val="269"/>
        </w:trPr>
        <w:tc>
          <w:tcPr>
            <w:tcW w:w="2352" w:type="dxa"/>
            <w:tcBorders>
              <w:top w:val="nil"/>
              <w:left w:val="nil"/>
              <w:bottom w:val="single" w:sz="4" w:space="0" w:color="000000"/>
              <w:right w:val="nil"/>
            </w:tcBorders>
          </w:tcPr>
          <w:p w14:paraId="1FC180DC" w14:textId="77777777" w:rsidR="00BC2A02" w:rsidRPr="00BC2A02" w:rsidRDefault="00BC2A02" w:rsidP="00BC2A02">
            <w:pPr>
              <w:ind w:left="86"/>
              <w:rPr>
                <w:rFonts w:ascii="Times New Roman" w:hAnsi="Times New Roman" w:cs="Times New Roman"/>
                <w:color w:val="000000"/>
                <w:sz w:val="16"/>
                <w:szCs w:val="16"/>
              </w:rPr>
            </w:pPr>
            <w:r w:rsidRPr="00BC2A02">
              <w:rPr>
                <w:rFonts w:ascii="Times New Roman" w:hAnsi="Times New Roman" w:cs="Times New Roman"/>
                <w:color w:val="000000"/>
                <w:sz w:val="16"/>
                <w:szCs w:val="16"/>
              </w:rPr>
              <w:t xml:space="preserve">Iné nedaňové príjmy </w:t>
            </w:r>
          </w:p>
        </w:tc>
        <w:tc>
          <w:tcPr>
            <w:tcW w:w="863" w:type="dxa"/>
            <w:tcBorders>
              <w:top w:val="nil"/>
              <w:left w:val="nil"/>
              <w:bottom w:val="single" w:sz="4" w:space="0" w:color="000000"/>
              <w:right w:val="nil"/>
            </w:tcBorders>
          </w:tcPr>
          <w:p w14:paraId="5D79410D" w14:textId="77777777" w:rsidR="00BC2A02" w:rsidRPr="00BC2A02" w:rsidRDefault="00BC2A02" w:rsidP="00BC2A02">
            <w:pPr>
              <w:ind w:left="120"/>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476 958</w:t>
            </w:r>
          </w:p>
        </w:tc>
        <w:tc>
          <w:tcPr>
            <w:tcW w:w="992" w:type="dxa"/>
            <w:tcBorders>
              <w:top w:val="nil"/>
              <w:left w:val="nil"/>
              <w:bottom w:val="single" w:sz="4" w:space="0" w:color="000000"/>
              <w:right w:val="nil"/>
            </w:tcBorders>
          </w:tcPr>
          <w:p w14:paraId="0FC1745B" w14:textId="77777777" w:rsidR="00BC2A02" w:rsidRPr="00BC2A02" w:rsidRDefault="00BC2A02" w:rsidP="00BC2A02">
            <w:pPr>
              <w:ind w:left="120"/>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694 670</w:t>
            </w:r>
          </w:p>
        </w:tc>
        <w:tc>
          <w:tcPr>
            <w:tcW w:w="992" w:type="dxa"/>
            <w:tcBorders>
              <w:top w:val="nil"/>
              <w:left w:val="nil"/>
              <w:bottom w:val="single" w:sz="4" w:space="0" w:color="000000"/>
              <w:right w:val="nil"/>
            </w:tcBorders>
          </w:tcPr>
          <w:p w14:paraId="0B99785D" w14:textId="77777777" w:rsidR="00BC2A02" w:rsidRPr="00BC2A02" w:rsidRDefault="00BC2A02" w:rsidP="00BC2A02">
            <w:pPr>
              <w:ind w:left="120"/>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1 179 042</w:t>
            </w:r>
          </w:p>
        </w:tc>
        <w:tc>
          <w:tcPr>
            <w:tcW w:w="992" w:type="dxa"/>
            <w:tcBorders>
              <w:top w:val="nil"/>
              <w:left w:val="nil"/>
              <w:bottom w:val="single" w:sz="4" w:space="0" w:color="000000"/>
              <w:right w:val="nil"/>
            </w:tcBorders>
          </w:tcPr>
          <w:p w14:paraId="19AB4F32" w14:textId="77777777" w:rsidR="00BC2A02" w:rsidRPr="00BC2A02" w:rsidRDefault="00BC2A02" w:rsidP="00BC2A02">
            <w:pPr>
              <w:ind w:left="120"/>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605 345</w:t>
            </w:r>
          </w:p>
        </w:tc>
        <w:tc>
          <w:tcPr>
            <w:tcW w:w="993" w:type="dxa"/>
            <w:tcBorders>
              <w:top w:val="nil"/>
              <w:left w:val="nil"/>
              <w:bottom w:val="single" w:sz="4" w:space="0" w:color="000000"/>
              <w:right w:val="nil"/>
            </w:tcBorders>
          </w:tcPr>
          <w:p w14:paraId="5C09E89C" w14:textId="77777777" w:rsidR="00BC2A02" w:rsidRPr="00BC2A02" w:rsidRDefault="00BC2A02" w:rsidP="00BC2A02">
            <w:pPr>
              <w:ind w:left="120"/>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484 725</w:t>
            </w:r>
          </w:p>
        </w:tc>
        <w:tc>
          <w:tcPr>
            <w:tcW w:w="992" w:type="dxa"/>
            <w:tcBorders>
              <w:top w:val="nil"/>
              <w:left w:val="nil"/>
              <w:bottom w:val="single" w:sz="4" w:space="0" w:color="000000"/>
              <w:right w:val="nil"/>
            </w:tcBorders>
          </w:tcPr>
          <w:p w14:paraId="032D9266" w14:textId="77777777" w:rsidR="00BC2A02" w:rsidRPr="00BC2A02" w:rsidRDefault="00BC2A02" w:rsidP="00BC2A02">
            <w:pPr>
              <w:ind w:left="121"/>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507 459</w:t>
            </w:r>
          </w:p>
        </w:tc>
        <w:tc>
          <w:tcPr>
            <w:tcW w:w="912" w:type="dxa"/>
            <w:tcBorders>
              <w:top w:val="nil"/>
              <w:left w:val="nil"/>
              <w:bottom w:val="single" w:sz="4" w:space="0" w:color="000000"/>
              <w:right w:val="nil"/>
            </w:tcBorders>
          </w:tcPr>
          <w:p w14:paraId="065611D9" w14:textId="77777777" w:rsidR="00BC2A02" w:rsidRPr="00BC2A02" w:rsidRDefault="00BC2A02" w:rsidP="00BC2A02">
            <w:pPr>
              <w:ind w:left="120"/>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541 012</w:t>
            </w:r>
          </w:p>
        </w:tc>
      </w:tr>
    </w:tbl>
    <w:p w14:paraId="6532A223" w14:textId="77777777" w:rsidR="00BC2A02" w:rsidRPr="00BC2A02" w:rsidRDefault="00BC2A02" w:rsidP="00BC2A02">
      <w:pPr>
        <w:tabs>
          <w:tab w:val="center" w:pos="768"/>
          <w:tab w:val="center" w:pos="1476"/>
          <w:tab w:val="center" w:pos="2184"/>
          <w:tab w:val="center" w:pos="2893"/>
          <w:tab w:val="center" w:pos="3601"/>
          <w:tab w:val="center" w:pos="4309"/>
          <w:tab w:val="center" w:pos="5017"/>
          <w:tab w:val="center" w:pos="5725"/>
          <w:tab w:val="center" w:pos="6433"/>
          <w:tab w:val="center" w:pos="7141"/>
          <w:tab w:val="center" w:pos="8399"/>
        </w:tabs>
        <w:spacing w:after="70" w:line="269" w:lineRule="auto"/>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color w:val="000000"/>
          <w:sz w:val="16"/>
          <w:lang w:eastAsia="sk-SK"/>
        </w:rPr>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i/>
          <w:color w:val="000000"/>
          <w:sz w:val="16"/>
          <w:lang w:eastAsia="sk-SK"/>
        </w:rPr>
        <w:t xml:space="preserve">Zdroj: MF SR </w:t>
      </w:r>
    </w:p>
    <w:p w14:paraId="62830732" w14:textId="77777777" w:rsidR="00BC2A02" w:rsidRPr="00BC2A02" w:rsidRDefault="00BC2A02" w:rsidP="00BC2A02">
      <w:pPr>
        <w:spacing w:after="34"/>
        <w:ind w:left="60"/>
        <w:rPr>
          <w:rFonts w:ascii="Times New Roman" w:eastAsia="Times New Roman" w:hAnsi="Times New Roman" w:cs="Times New Roman"/>
          <w:color w:val="000000"/>
          <w:sz w:val="24"/>
          <w:lang w:eastAsia="sk-SK"/>
        </w:rPr>
      </w:pPr>
    </w:p>
    <w:p w14:paraId="57B7EFAA" w14:textId="77777777" w:rsidR="00BC2A02" w:rsidRPr="00BC2A02" w:rsidRDefault="00BC2A02" w:rsidP="00296CA4">
      <w:pPr>
        <w:spacing w:after="5" w:line="269" w:lineRule="auto"/>
        <w:ind w:left="55" w:hanging="10"/>
        <w:jc w:val="both"/>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color w:val="000000"/>
          <w:sz w:val="24"/>
          <w:lang w:eastAsia="sk-SK"/>
        </w:rPr>
        <w:t xml:space="preserve">V rámci </w:t>
      </w:r>
      <w:r w:rsidRPr="00BC2A02">
        <w:rPr>
          <w:rFonts w:ascii="Times New Roman" w:eastAsia="Times New Roman" w:hAnsi="Times New Roman" w:cs="Times New Roman"/>
          <w:i/>
          <w:color w:val="000000"/>
          <w:sz w:val="24"/>
          <w:lang w:eastAsia="sk-SK"/>
        </w:rPr>
        <w:t>príjmov z podnikania a z vlastníctva majetku</w:t>
      </w:r>
      <w:r w:rsidRPr="00BC2A02">
        <w:rPr>
          <w:rFonts w:ascii="Times New Roman" w:eastAsia="Times New Roman" w:hAnsi="Times New Roman" w:cs="Times New Roman"/>
          <w:color w:val="000000"/>
          <w:sz w:val="24"/>
          <w:lang w:eastAsia="sk-SK"/>
        </w:rPr>
        <w:t xml:space="preserve"> sa rozpočtujú príjmy z dividend, ako aj iné príjmy z podnikania, ktoré zahŕňajú najmä osobitný odvod zo zisku po zdanení,</w:t>
      </w:r>
      <w:r w:rsidRPr="00BC2A02">
        <w:t xml:space="preserve"> </w:t>
      </w:r>
      <w:r w:rsidRPr="00BC2A02">
        <w:rPr>
          <w:rFonts w:ascii="Times New Roman" w:eastAsia="Times New Roman" w:hAnsi="Times New Roman" w:cs="Times New Roman"/>
          <w:color w:val="000000"/>
          <w:sz w:val="24"/>
          <w:lang w:eastAsia="sk-SK"/>
        </w:rPr>
        <w:t xml:space="preserve">ktorý v roku 2024 odvedú Vodohospodárska výstavba, š. p. v sume 80,0 mil. eur a Eximbanka SR v sume 250 tis. eur. Príjmy z vlastníctva predstavujú predovšetkým príjmy z prenajatých pozemkov, budov, strojov a pod. </w:t>
      </w:r>
    </w:p>
    <w:p w14:paraId="4672392E" w14:textId="77777777" w:rsidR="00BC2A02" w:rsidRPr="00BC2A02" w:rsidRDefault="00BC2A02" w:rsidP="00296CA4">
      <w:pPr>
        <w:spacing w:after="40"/>
        <w:ind w:left="60"/>
        <w:rPr>
          <w:rFonts w:ascii="Times New Roman" w:eastAsia="Times New Roman" w:hAnsi="Times New Roman" w:cs="Times New Roman"/>
          <w:color w:val="000000"/>
          <w:sz w:val="24"/>
          <w:lang w:eastAsia="sk-SK"/>
        </w:rPr>
      </w:pPr>
    </w:p>
    <w:p w14:paraId="27086D2F" w14:textId="5ED1A4F6" w:rsidR="00BC2A02" w:rsidRDefault="00BC2A02" w:rsidP="00296CA4">
      <w:pPr>
        <w:spacing w:after="5" w:line="269" w:lineRule="auto"/>
        <w:ind w:left="55" w:hanging="10"/>
        <w:jc w:val="both"/>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i/>
          <w:color w:val="000000"/>
          <w:sz w:val="24"/>
          <w:lang w:eastAsia="sk-SK"/>
        </w:rPr>
        <w:t>Príjmy z dividend</w:t>
      </w:r>
      <w:r w:rsidRPr="00BC2A02">
        <w:rPr>
          <w:rFonts w:ascii="Times New Roman" w:eastAsia="Times New Roman" w:hAnsi="Times New Roman" w:cs="Times New Roman"/>
          <w:color w:val="000000"/>
          <w:sz w:val="24"/>
          <w:lang w:eastAsia="sk-SK"/>
        </w:rPr>
        <w:t xml:space="preserve"> tvoria najpodstatnejšiu časť týchto príjmov. Objem dividend od spoločností, v ktorých vlastnícky podiel štátu je zastúpený príslušným ministerstvom, sa v roku 2024 navrhuje vo výške 436 mil. eur, čo je v porovnaní so schváleným rozpočtom na rok 2023 viac o 47,5 mil. eur. Tento medziročný nárast príjmov je spôsobený hlavne zvýšením príjmov z dividend od spoločností Slovenský plynárenský priemysel, a. s., Tipos, a. s., Slovenská záručná a rozvojová banka, a. s. a Západoslovenská energetika, a. s. (aj po zohľadnení skutočnosti, že od roku 2024 sa dividendy skupiny Východoslovenská energetika Holding, a. s. budú vyplácať </w:t>
      </w:r>
      <w:r w:rsidRPr="00BC2A02">
        <w:rPr>
          <w:rFonts w:ascii="Times New Roman" w:eastAsia="Times New Roman" w:hAnsi="Times New Roman" w:cs="Times New Roman"/>
          <w:color w:val="000000"/>
          <w:sz w:val="24"/>
          <w:lang w:eastAsia="sk-SK"/>
        </w:rPr>
        <w:lastRenderedPageBreak/>
        <w:t xml:space="preserve">prostredníctvom spoločnosti Západoslovenská energetika, a. s. z dôvodu reorganizácie dvoch skupín podnikov, skupiny Západoslovenská energetika, a. s. a Východoslovenská energetika Holding, a. s., </w:t>
      </w:r>
      <w:proofErr w:type="spellStart"/>
      <w:r w:rsidRPr="00BC2A02">
        <w:rPr>
          <w:rFonts w:ascii="Times New Roman" w:eastAsia="Times New Roman" w:hAnsi="Times New Roman" w:cs="Times New Roman"/>
          <w:color w:val="000000"/>
          <w:sz w:val="24"/>
          <w:lang w:eastAsia="sk-SK"/>
        </w:rPr>
        <w:t>spoluvlastnených</w:t>
      </w:r>
      <w:proofErr w:type="spellEnd"/>
      <w:r w:rsidRPr="00BC2A02">
        <w:rPr>
          <w:rFonts w:ascii="Times New Roman" w:eastAsia="Times New Roman" w:hAnsi="Times New Roman" w:cs="Times New Roman"/>
          <w:color w:val="000000"/>
          <w:sz w:val="24"/>
          <w:lang w:eastAsia="sk-SK"/>
        </w:rPr>
        <w:t xml:space="preserve"> rovnakým zahraničným investorom do jednej skupiny Západoslovenská energetika, a. s. pri zachovaní súčasných vlastníckych podielov súkromného investora a Slovenskej republiky). Naopak výrazne nižšie príjmy z dividend pri medziročnom porovnaní sa očakávajú najmä od spoločností Stredoslovenská energetika Holding, a. s. a Slovenská elektrizačná prenosová sústava, a. s.</w:t>
      </w:r>
    </w:p>
    <w:p w14:paraId="095164E4" w14:textId="42137309" w:rsidR="00BC2A02" w:rsidRPr="00BC2A02" w:rsidRDefault="00BC2A02" w:rsidP="00296CA4">
      <w:pPr>
        <w:spacing w:after="0"/>
        <w:rPr>
          <w:rFonts w:ascii="Times New Roman" w:eastAsia="Times New Roman" w:hAnsi="Times New Roman" w:cs="Times New Roman"/>
          <w:color w:val="000000"/>
          <w:sz w:val="24"/>
          <w:lang w:eastAsia="sk-SK"/>
        </w:rPr>
      </w:pPr>
    </w:p>
    <w:p w14:paraId="129836E1" w14:textId="25F4A4C0" w:rsidR="00BC2A02" w:rsidRPr="00BC2A02" w:rsidRDefault="00BC2A02" w:rsidP="00BC2A02">
      <w:pPr>
        <w:spacing w:after="0" w:line="265" w:lineRule="auto"/>
        <w:ind w:left="55" w:hanging="10"/>
        <w:rPr>
          <w:rFonts w:ascii="Times New Roman" w:eastAsia="Times New Roman" w:hAnsi="Times New Roman" w:cs="Times New Roman"/>
          <w:color w:val="000000"/>
          <w:sz w:val="24"/>
          <w:lang w:eastAsia="sk-SK"/>
        </w:rPr>
      </w:pPr>
      <w:bookmarkStart w:id="122" w:name="_Toc123813902"/>
      <w:bookmarkStart w:id="123" w:name="_Toc153013033"/>
      <w:r w:rsidRPr="00BC2A02">
        <w:rPr>
          <w:rFonts w:ascii="Times New Roman" w:eastAsia="Times New Roman" w:hAnsi="Times New Roman" w:cs="Times New Roman"/>
          <w:b/>
          <w:color w:val="5B9BD5"/>
          <w:sz w:val="20"/>
          <w:lang w:eastAsia="sk-SK"/>
        </w:rPr>
        <w:t xml:space="preserve">Tabuľka </w:t>
      </w:r>
      <w:r w:rsidRPr="00BC2A02">
        <w:rPr>
          <w:rFonts w:ascii="Times New Roman" w:hAnsi="Times New Roman" w:cs="Times New Roman"/>
          <w:b/>
          <w:i/>
          <w:color w:val="5B9BD5" w:themeColor="accent1"/>
          <w:sz w:val="20"/>
          <w:szCs w:val="20"/>
        </w:rPr>
        <w:fldChar w:fldCharType="begin"/>
      </w:r>
      <w:r w:rsidRPr="00BC2A02">
        <w:rPr>
          <w:rFonts w:ascii="Times New Roman" w:hAnsi="Times New Roman" w:cs="Times New Roman"/>
          <w:b/>
          <w:color w:val="5B9BD5" w:themeColor="accent1"/>
          <w:sz w:val="20"/>
          <w:szCs w:val="20"/>
        </w:rPr>
        <w:instrText xml:space="preserve"> SEQ Tabuľka \* ARABIC </w:instrText>
      </w:r>
      <w:r w:rsidRPr="00BC2A02">
        <w:rPr>
          <w:rFonts w:ascii="Times New Roman" w:hAnsi="Times New Roman" w:cs="Times New Roman"/>
          <w:b/>
          <w:i/>
          <w:color w:val="5B9BD5" w:themeColor="accent1"/>
          <w:sz w:val="20"/>
          <w:szCs w:val="20"/>
        </w:rPr>
        <w:fldChar w:fldCharType="separate"/>
      </w:r>
      <w:r w:rsidR="003D5A3A">
        <w:rPr>
          <w:rFonts w:ascii="Times New Roman" w:hAnsi="Times New Roman" w:cs="Times New Roman"/>
          <w:b/>
          <w:noProof/>
          <w:color w:val="5B9BD5" w:themeColor="accent1"/>
          <w:sz w:val="20"/>
          <w:szCs w:val="20"/>
        </w:rPr>
        <w:t>35</w:t>
      </w:r>
      <w:r w:rsidRPr="00BC2A02">
        <w:rPr>
          <w:rFonts w:ascii="Times New Roman" w:hAnsi="Times New Roman" w:cs="Times New Roman"/>
          <w:b/>
          <w:i/>
          <w:color w:val="5B9BD5" w:themeColor="accent1"/>
          <w:sz w:val="20"/>
          <w:szCs w:val="20"/>
        </w:rPr>
        <w:fldChar w:fldCharType="end"/>
      </w:r>
      <w:r w:rsidRPr="00BC2A02">
        <w:rPr>
          <w:rFonts w:ascii="Times New Roman" w:eastAsia="Times New Roman" w:hAnsi="Times New Roman" w:cs="Times New Roman"/>
          <w:b/>
          <w:color w:val="5B9BD5"/>
          <w:sz w:val="20"/>
          <w:lang w:eastAsia="sk-SK"/>
        </w:rPr>
        <w:t xml:space="preserve"> - Príjmy štátneho rozpočtu z dividend</w:t>
      </w:r>
      <w:bookmarkEnd w:id="122"/>
      <w:bookmarkEnd w:id="123"/>
      <w:r w:rsidRPr="00BC2A02">
        <w:rPr>
          <w:rFonts w:ascii="Times New Roman" w:eastAsia="Times New Roman" w:hAnsi="Times New Roman" w:cs="Times New Roman"/>
          <w:b/>
          <w:color w:val="5B9BD5"/>
          <w:sz w:val="20"/>
          <w:lang w:eastAsia="sk-SK"/>
        </w:rPr>
        <w:t xml:space="preserve"> </w:t>
      </w:r>
    </w:p>
    <w:tbl>
      <w:tblPr>
        <w:tblStyle w:val="TableGrid11"/>
        <w:tblW w:w="9088" w:type="dxa"/>
        <w:tblInd w:w="46" w:type="dxa"/>
        <w:tblCellMar>
          <w:top w:w="3" w:type="dxa"/>
          <w:right w:w="65" w:type="dxa"/>
        </w:tblCellMar>
        <w:tblLook w:val="04A0" w:firstRow="1" w:lastRow="0" w:firstColumn="1" w:lastColumn="0" w:noHBand="0" w:noVBand="1"/>
      </w:tblPr>
      <w:tblGrid>
        <w:gridCol w:w="3389"/>
        <w:gridCol w:w="888"/>
        <w:gridCol w:w="826"/>
        <w:gridCol w:w="744"/>
        <w:gridCol w:w="770"/>
        <w:gridCol w:w="850"/>
        <w:gridCol w:w="851"/>
        <w:gridCol w:w="770"/>
      </w:tblGrid>
      <w:tr w:rsidR="00BC2A02" w:rsidRPr="00BC2A02" w14:paraId="467B065C" w14:textId="77777777" w:rsidTr="00B63F1A">
        <w:trPr>
          <w:trHeight w:val="300"/>
        </w:trPr>
        <w:tc>
          <w:tcPr>
            <w:tcW w:w="3389" w:type="dxa"/>
            <w:tcBorders>
              <w:top w:val="single" w:sz="4" w:space="0" w:color="000000"/>
              <w:left w:val="nil"/>
              <w:bottom w:val="single" w:sz="4" w:space="0" w:color="000000"/>
              <w:right w:val="nil"/>
            </w:tcBorders>
          </w:tcPr>
          <w:p w14:paraId="747E041E" w14:textId="77777777" w:rsidR="00BC2A02" w:rsidRPr="00BC2A02" w:rsidRDefault="00BC2A02" w:rsidP="00296CA4">
            <w:pPr>
              <w:ind w:left="122"/>
              <w:rPr>
                <w:rFonts w:ascii="Times New Roman" w:hAnsi="Times New Roman" w:cs="Times New Roman"/>
                <w:color w:val="000000"/>
                <w:sz w:val="24"/>
              </w:rPr>
            </w:pPr>
            <w:r w:rsidRPr="00BC2A02">
              <w:rPr>
                <w:rFonts w:ascii="Times New Roman" w:hAnsi="Times New Roman" w:cs="Times New Roman"/>
                <w:b/>
                <w:color w:val="000000"/>
                <w:sz w:val="16"/>
              </w:rPr>
              <w:t xml:space="preserve"> v tis. eur </w:t>
            </w:r>
          </w:p>
        </w:tc>
        <w:tc>
          <w:tcPr>
            <w:tcW w:w="888" w:type="dxa"/>
            <w:tcBorders>
              <w:top w:val="single" w:sz="4" w:space="0" w:color="000000"/>
              <w:left w:val="nil"/>
              <w:bottom w:val="single" w:sz="4" w:space="0" w:color="000000"/>
              <w:right w:val="nil"/>
            </w:tcBorders>
          </w:tcPr>
          <w:p w14:paraId="2170DD73" w14:textId="77777777" w:rsidR="00BC2A02" w:rsidRPr="00BC2A02" w:rsidRDefault="00BC2A02" w:rsidP="00296CA4">
            <w:pPr>
              <w:ind w:left="50"/>
              <w:jc w:val="right"/>
              <w:rPr>
                <w:rFonts w:ascii="Times New Roman" w:hAnsi="Times New Roman" w:cs="Times New Roman"/>
                <w:color w:val="000000"/>
                <w:sz w:val="24"/>
              </w:rPr>
            </w:pPr>
            <w:r w:rsidRPr="00BC2A02">
              <w:rPr>
                <w:rFonts w:ascii="Times New Roman" w:hAnsi="Times New Roman" w:cs="Times New Roman"/>
                <w:b/>
                <w:color w:val="000000"/>
                <w:sz w:val="16"/>
              </w:rPr>
              <w:t>2021 S</w:t>
            </w:r>
          </w:p>
        </w:tc>
        <w:tc>
          <w:tcPr>
            <w:tcW w:w="826" w:type="dxa"/>
            <w:tcBorders>
              <w:top w:val="single" w:sz="4" w:space="0" w:color="000000"/>
              <w:left w:val="nil"/>
              <w:bottom w:val="single" w:sz="4" w:space="0" w:color="000000"/>
              <w:right w:val="nil"/>
            </w:tcBorders>
          </w:tcPr>
          <w:p w14:paraId="01EC43A5" w14:textId="77777777" w:rsidR="00BC2A02" w:rsidRPr="00BC2A02" w:rsidRDefault="00BC2A02" w:rsidP="00296CA4">
            <w:pPr>
              <w:ind w:left="7"/>
              <w:jc w:val="right"/>
              <w:rPr>
                <w:rFonts w:ascii="Times New Roman" w:hAnsi="Times New Roman" w:cs="Times New Roman"/>
                <w:color w:val="000000"/>
                <w:sz w:val="24"/>
              </w:rPr>
            </w:pPr>
            <w:r w:rsidRPr="00BC2A02">
              <w:rPr>
                <w:rFonts w:ascii="Times New Roman" w:hAnsi="Times New Roman" w:cs="Times New Roman"/>
                <w:b/>
                <w:color w:val="000000"/>
                <w:sz w:val="16"/>
              </w:rPr>
              <w:t>2022 S</w:t>
            </w:r>
          </w:p>
        </w:tc>
        <w:tc>
          <w:tcPr>
            <w:tcW w:w="744" w:type="dxa"/>
            <w:tcBorders>
              <w:top w:val="single" w:sz="4" w:space="0" w:color="000000"/>
              <w:left w:val="nil"/>
              <w:bottom w:val="single" w:sz="4" w:space="0" w:color="000000"/>
              <w:right w:val="nil"/>
            </w:tcBorders>
          </w:tcPr>
          <w:p w14:paraId="5FEBD3A0" w14:textId="77777777" w:rsidR="00BC2A02" w:rsidRPr="00BC2A02" w:rsidRDefault="00BC2A02" w:rsidP="00296CA4">
            <w:pPr>
              <w:jc w:val="right"/>
              <w:rPr>
                <w:rFonts w:ascii="Times New Roman" w:hAnsi="Times New Roman" w:cs="Times New Roman"/>
                <w:color w:val="000000"/>
                <w:sz w:val="24"/>
              </w:rPr>
            </w:pPr>
            <w:r w:rsidRPr="00BC2A02">
              <w:rPr>
                <w:rFonts w:ascii="Times New Roman" w:hAnsi="Times New Roman" w:cs="Times New Roman"/>
                <w:b/>
                <w:color w:val="000000"/>
                <w:sz w:val="16"/>
              </w:rPr>
              <w:t>2023 R</w:t>
            </w:r>
          </w:p>
        </w:tc>
        <w:tc>
          <w:tcPr>
            <w:tcW w:w="770" w:type="dxa"/>
            <w:tcBorders>
              <w:top w:val="single" w:sz="4" w:space="0" w:color="000000"/>
              <w:left w:val="nil"/>
              <w:bottom w:val="single" w:sz="4" w:space="0" w:color="000000"/>
              <w:right w:val="nil"/>
            </w:tcBorders>
          </w:tcPr>
          <w:p w14:paraId="7522944A" w14:textId="77777777" w:rsidR="00BC2A02" w:rsidRPr="00BC2A02" w:rsidRDefault="00BC2A02" w:rsidP="00296CA4">
            <w:pPr>
              <w:jc w:val="right"/>
              <w:rPr>
                <w:rFonts w:ascii="Times New Roman" w:hAnsi="Times New Roman" w:cs="Times New Roman"/>
                <w:color w:val="000000"/>
                <w:sz w:val="24"/>
              </w:rPr>
            </w:pPr>
            <w:r w:rsidRPr="00BC2A02">
              <w:rPr>
                <w:rFonts w:ascii="Times New Roman" w:hAnsi="Times New Roman" w:cs="Times New Roman"/>
                <w:b/>
                <w:color w:val="000000"/>
                <w:sz w:val="16"/>
              </w:rPr>
              <w:t>2023 OS</w:t>
            </w:r>
          </w:p>
        </w:tc>
        <w:tc>
          <w:tcPr>
            <w:tcW w:w="850" w:type="dxa"/>
            <w:tcBorders>
              <w:top w:val="single" w:sz="4" w:space="0" w:color="000000"/>
              <w:left w:val="nil"/>
              <w:bottom w:val="single" w:sz="4" w:space="0" w:color="000000"/>
              <w:right w:val="nil"/>
            </w:tcBorders>
          </w:tcPr>
          <w:p w14:paraId="4A9FD2B1" w14:textId="77777777" w:rsidR="00BC2A02" w:rsidRPr="00BC2A02" w:rsidRDefault="00BC2A02" w:rsidP="00296CA4">
            <w:pPr>
              <w:jc w:val="right"/>
              <w:rPr>
                <w:rFonts w:ascii="Times New Roman" w:hAnsi="Times New Roman" w:cs="Times New Roman"/>
                <w:color w:val="000000"/>
                <w:sz w:val="24"/>
              </w:rPr>
            </w:pPr>
            <w:r w:rsidRPr="00BC2A02">
              <w:rPr>
                <w:rFonts w:ascii="Times New Roman" w:hAnsi="Times New Roman" w:cs="Times New Roman"/>
                <w:b/>
                <w:color w:val="000000"/>
                <w:sz w:val="16"/>
              </w:rPr>
              <w:t>2024 N</w:t>
            </w:r>
          </w:p>
        </w:tc>
        <w:tc>
          <w:tcPr>
            <w:tcW w:w="851" w:type="dxa"/>
            <w:tcBorders>
              <w:top w:val="single" w:sz="4" w:space="0" w:color="000000"/>
              <w:left w:val="nil"/>
              <w:bottom w:val="single" w:sz="4" w:space="0" w:color="000000"/>
              <w:right w:val="nil"/>
            </w:tcBorders>
          </w:tcPr>
          <w:p w14:paraId="7062BB39" w14:textId="77777777" w:rsidR="00BC2A02" w:rsidRPr="00BC2A02" w:rsidRDefault="00BC2A02" w:rsidP="00296CA4">
            <w:pPr>
              <w:jc w:val="right"/>
              <w:rPr>
                <w:rFonts w:ascii="Times New Roman" w:hAnsi="Times New Roman" w:cs="Times New Roman"/>
                <w:color w:val="000000"/>
                <w:sz w:val="24"/>
              </w:rPr>
            </w:pPr>
            <w:r w:rsidRPr="00BC2A02">
              <w:rPr>
                <w:rFonts w:ascii="Times New Roman" w:hAnsi="Times New Roman" w:cs="Times New Roman"/>
                <w:b/>
                <w:color w:val="000000"/>
                <w:sz w:val="16"/>
              </w:rPr>
              <w:t>2025 N</w:t>
            </w:r>
          </w:p>
        </w:tc>
        <w:tc>
          <w:tcPr>
            <w:tcW w:w="770" w:type="dxa"/>
            <w:tcBorders>
              <w:top w:val="single" w:sz="4" w:space="0" w:color="000000"/>
              <w:left w:val="nil"/>
              <w:bottom w:val="single" w:sz="4" w:space="0" w:color="000000"/>
              <w:right w:val="nil"/>
            </w:tcBorders>
          </w:tcPr>
          <w:p w14:paraId="16B55B44" w14:textId="77777777" w:rsidR="00BC2A02" w:rsidRPr="00BC2A02" w:rsidRDefault="00BC2A02" w:rsidP="00296CA4">
            <w:pPr>
              <w:jc w:val="right"/>
              <w:rPr>
                <w:rFonts w:ascii="Times New Roman" w:hAnsi="Times New Roman" w:cs="Times New Roman"/>
                <w:color w:val="000000"/>
                <w:sz w:val="24"/>
              </w:rPr>
            </w:pPr>
            <w:r w:rsidRPr="00BC2A02">
              <w:rPr>
                <w:rFonts w:ascii="Times New Roman" w:hAnsi="Times New Roman" w:cs="Times New Roman"/>
                <w:b/>
                <w:color w:val="000000"/>
                <w:sz w:val="16"/>
              </w:rPr>
              <w:t>2026 N</w:t>
            </w:r>
          </w:p>
        </w:tc>
      </w:tr>
      <w:tr w:rsidR="00BC2A02" w:rsidRPr="00BC2A02" w14:paraId="02E59C00" w14:textId="77777777" w:rsidTr="00B63F1A">
        <w:trPr>
          <w:trHeight w:val="231"/>
        </w:trPr>
        <w:tc>
          <w:tcPr>
            <w:tcW w:w="3389" w:type="dxa"/>
            <w:tcBorders>
              <w:top w:val="single" w:sz="4" w:space="0" w:color="000000"/>
              <w:left w:val="nil"/>
              <w:bottom w:val="nil"/>
              <w:right w:val="nil"/>
            </w:tcBorders>
          </w:tcPr>
          <w:p w14:paraId="78AFDC46"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b/>
                <w:color w:val="000000"/>
                <w:sz w:val="14"/>
                <w:szCs w:val="14"/>
              </w:rPr>
              <w:t xml:space="preserve">Príjmy z podnikania - dividendy </w:t>
            </w:r>
          </w:p>
        </w:tc>
        <w:tc>
          <w:tcPr>
            <w:tcW w:w="888" w:type="dxa"/>
            <w:tcBorders>
              <w:top w:val="single" w:sz="4" w:space="0" w:color="000000"/>
              <w:left w:val="nil"/>
              <w:bottom w:val="nil"/>
              <w:right w:val="nil"/>
            </w:tcBorders>
          </w:tcPr>
          <w:p w14:paraId="0DA25601" w14:textId="77777777" w:rsidR="00BC2A02" w:rsidRPr="00BC2A02" w:rsidRDefault="00BC2A02" w:rsidP="00296CA4">
            <w:pPr>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480 105</w:t>
            </w:r>
          </w:p>
        </w:tc>
        <w:tc>
          <w:tcPr>
            <w:tcW w:w="826" w:type="dxa"/>
            <w:tcBorders>
              <w:top w:val="single" w:sz="4" w:space="0" w:color="000000"/>
              <w:left w:val="nil"/>
              <w:bottom w:val="nil"/>
              <w:right w:val="nil"/>
            </w:tcBorders>
          </w:tcPr>
          <w:p w14:paraId="27CA1F7C" w14:textId="77777777" w:rsidR="00BC2A02" w:rsidRPr="00BC2A02" w:rsidRDefault="00BC2A02" w:rsidP="00296CA4">
            <w:pPr>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160 534</w:t>
            </w:r>
          </w:p>
        </w:tc>
        <w:tc>
          <w:tcPr>
            <w:tcW w:w="744" w:type="dxa"/>
            <w:tcBorders>
              <w:top w:val="single" w:sz="4" w:space="0" w:color="000000"/>
              <w:left w:val="nil"/>
              <w:bottom w:val="nil"/>
              <w:right w:val="nil"/>
            </w:tcBorders>
          </w:tcPr>
          <w:p w14:paraId="10269797" w14:textId="77777777" w:rsidR="00BC2A02" w:rsidRPr="00BC2A02" w:rsidRDefault="00BC2A02" w:rsidP="00296CA4">
            <w:pPr>
              <w:ind w:left="19"/>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388 993</w:t>
            </w:r>
          </w:p>
        </w:tc>
        <w:tc>
          <w:tcPr>
            <w:tcW w:w="770" w:type="dxa"/>
            <w:tcBorders>
              <w:top w:val="single" w:sz="4" w:space="0" w:color="000000"/>
              <w:left w:val="nil"/>
              <w:bottom w:val="nil"/>
              <w:right w:val="nil"/>
            </w:tcBorders>
          </w:tcPr>
          <w:p w14:paraId="33923088" w14:textId="77777777" w:rsidR="00BC2A02" w:rsidRPr="00BC2A02" w:rsidRDefault="00BC2A02" w:rsidP="00296CA4">
            <w:pPr>
              <w:ind w:left="118"/>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442 374</w:t>
            </w:r>
          </w:p>
        </w:tc>
        <w:tc>
          <w:tcPr>
            <w:tcW w:w="850" w:type="dxa"/>
            <w:tcBorders>
              <w:top w:val="nil"/>
              <w:left w:val="nil"/>
              <w:bottom w:val="nil"/>
              <w:right w:val="nil"/>
            </w:tcBorders>
          </w:tcPr>
          <w:p w14:paraId="0A5C9F7C" w14:textId="77777777" w:rsidR="00BC2A02" w:rsidRPr="00BC2A02" w:rsidRDefault="00BC2A02" w:rsidP="00296CA4">
            <w:pPr>
              <w:ind w:left="120"/>
              <w:jc w:val="right"/>
              <w:rPr>
                <w:rFonts w:ascii="Times New Roman" w:hAnsi="Times New Roman" w:cs="Times New Roman"/>
                <w:b/>
                <w:color w:val="000000"/>
                <w:sz w:val="14"/>
                <w:szCs w:val="14"/>
                <w:highlight w:val="yellow"/>
              </w:rPr>
            </w:pPr>
            <w:r w:rsidRPr="00BC2A02">
              <w:rPr>
                <w:rFonts w:ascii="Times New Roman" w:hAnsi="Times New Roman" w:cs="Times New Roman"/>
                <w:b/>
                <w:color w:val="000000"/>
                <w:sz w:val="14"/>
                <w:szCs w:val="14"/>
              </w:rPr>
              <w:t>436 477</w:t>
            </w:r>
          </w:p>
        </w:tc>
        <w:tc>
          <w:tcPr>
            <w:tcW w:w="851" w:type="dxa"/>
            <w:tcBorders>
              <w:top w:val="nil"/>
              <w:left w:val="nil"/>
              <w:bottom w:val="nil"/>
              <w:right w:val="nil"/>
            </w:tcBorders>
          </w:tcPr>
          <w:p w14:paraId="1E5F15DD" w14:textId="77777777" w:rsidR="00BC2A02" w:rsidRPr="00BC2A02" w:rsidRDefault="00BC2A02" w:rsidP="00296CA4">
            <w:pPr>
              <w:ind w:left="121"/>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289 071</w:t>
            </w:r>
          </w:p>
        </w:tc>
        <w:tc>
          <w:tcPr>
            <w:tcW w:w="770" w:type="dxa"/>
            <w:tcBorders>
              <w:top w:val="nil"/>
              <w:left w:val="nil"/>
              <w:bottom w:val="nil"/>
              <w:right w:val="nil"/>
            </w:tcBorders>
          </w:tcPr>
          <w:p w14:paraId="40D69381" w14:textId="77777777" w:rsidR="00BC2A02" w:rsidRPr="00BC2A02" w:rsidRDefault="00BC2A02" w:rsidP="00296CA4">
            <w:pPr>
              <w:ind w:left="120"/>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242 745</w:t>
            </w:r>
          </w:p>
        </w:tc>
      </w:tr>
      <w:tr w:rsidR="00BC2A02" w:rsidRPr="00BC2A02" w14:paraId="196A349A" w14:textId="77777777" w:rsidTr="00B63F1A">
        <w:trPr>
          <w:trHeight w:val="288"/>
        </w:trPr>
        <w:tc>
          <w:tcPr>
            <w:tcW w:w="3389" w:type="dxa"/>
            <w:tcBorders>
              <w:top w:val="nil"/>
              <w:left w:val="nil"/>
              <w:right w:val="nil"/>
            </w:tcBorders>
          </w:tcPr>
          <w:p w14:paraId="3D9E6133" w14:textId="77777777" w:rsidR="00BC2A02" w:rsidRPr="00BC2A02" w:rsidRDefault="00BC2A02" w:rsidP="00296CA4">
            <w:pPr>
              <w:ind w:left="122"/>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 xml:space="preserve">     riadne dividendy </w:t>
            </w:r>
          </w:p>
        </w:tc>
        <w:tc>
          <w:tcPr>
            <w:tcW w:w="888" w:type="dxa"/>
            <w:tcBorders>
              <w:top w:val="nil"/>
              <w:left w:val="nil"/>
              <w:right w:val="nil"/>
            </w:tcBorders>
          </w:tcPr>
          <w:p w14:paraId="0003BA06" w14:textId="77777777" w:rsidR="00BC2A02" w:rsidRPr="00BC2A02" w:rsidRDefault="00BC2A02" w:rsidP="00296CA4">
            <w:pPr>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417 124</w:t>
            </w:r>
          </w:p>
        </w:tc>
        <w:tc>
          <w:tcPr>
            <w:tcW w:w="826" w:type="dxa"/>
            <w:tcBorders>
              <w:top w:val="nil"/>
              <w:left w:val="nil"/>
              <w:right w:val="nil"/>
            </w:tcBorders>
          </w:tcPr>
          <w:p w14:paraId="2A043027" w14:textId="77777777" w:rsidR="00BC2A02" w:rsidRPr="00BC2A02" w:rsidRDefault="00BC2A02" w:rsidP="00296CA4">
            <w:pPr>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149 695</w:t>
            </w:r>
          </w:p>
        </w:tc>
        <w:tc>
          <w:tcPr>
            <w:tcW w:w="744" w:type="dxa"/>
            <w:tcBorders>
              <w:top w:val="nil"/>
              <w:left w:val="nil"/>
              <w:right w:val="nil"/>
            </w:tcBorders>
          </w:tcPr>
          <w:p w14:paraId="7DB815F1" w14:textId="77777777" w:rsidR="00BC2A02" w:rsidRPr="00BC2A02" w:rsidRDefault="00BC2A02" w:rsidP="00296CA4">
            <w:pPr>
              <w:ind w:left="19"/>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306 617</w:t>
            </w:r>
          </w:p>
        </w:tc>
        <w:tc>
          <w:tcPr>
            <w:tcW w:w="770" w:type="dxa"/>
            <w:tcBorders>
              <w:top w:val="nil"/>
              <w:left w:val="nil"/>
              <w:right w:val="nil"/>
            </w:tcBorders>
          </w:tcPr>
          <w:p w14:paraId="1A2EBB0C" w14:textId="77777777" w:rsidR="00BC2A02" w:rsidRPr="00BC2A02" w:rsidRDefault="00BC2A02" w:rsidP="00296CA4">
            <w:pPr>
              <w:ind w:left="118"/>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195 235</w:t>
            </w:r>
          </w:p>
        </w:tc>
        <w:tc>
          <w:tcPr>
            <w:tcW w:w="850" w:type="dxa"/>
            <w:tcBorders>
              <w:top w:val="nil"/>
              <w:left w:val="nil"/>
              <w:right w:val="nil"/>
            </w:tcBorders>
          </w:tcPr>
          <w:p w14:paraId="0DCA7A3A" w14:textId="77777777" w:rsidR="00BC2A02" w:rsidRPr="00BC2A02" w:rsidRDefault="00BC2A02" w:rsidP="00296CA4">
            <w:pPr>
              <w:ind w:left="19"/>
              <w:jc w:val="right"/>
              <w:rPr>
                <w:rFonts w:ascii="Times New Roman" w:hAnsi="Times New Roman" w:cs="Times New Roman"/>
                <w:i/>
                <w:color w:val="000000"/>
                <w:sz w:val="14"/>
                <w:szCs w:val="14"/>
                <w:highlight w:val="yellow"/>
              </w:rPr>
            </w:pPr>
            <w:r w:rsidRPr="00BC2A02">
              <w:rPr>
                <w:rFonts w:ascii="Times New Roman" w:hAnsi="Times New Roman" w:cs="Times New Roman"/>
                <w:i/>
                <w:color w:val="000000"/>
                <w:sz w:val="14"/>
                <w:szCs w:val="14"/>
              </w:rPr>
              <w:t>272 294</w:t>
            </w:r>
          </w:p>
        </w:tc>
        <w:tc>
          <w:tcPr>
            <w:tcW w:w="851" w:type="dxa"/>
            <w:tcBorders>
              <w:top w:val="nil"/>
              <w:left w:val="nil"/>
              <w:right w:val="nil"/>
            </w:tcBorders>
          </w:tcPr>
          <w:p w14:paraId="2BBFC5C2" w14:textId="77777777" w:rsidR="00BC2A02" w:rsidRPr="00BC2A02" w:rsidRDefault="00BC2A02" w:rsidP="00296CA4">
            <w:pPr>
              <w:ind w:left="19"/>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288 109</w:t>
            </w:r>
          </w:p>
        </w:tc>
        <w:tc>
          <w:tcPr>
            <w:tcW w:w="770" w:type="dxa"/>
            <w:tcBorders>
              <w:top w:val="nil"/>
              <w:left w:val="nil"/>
              <w:right w:val="nil"/>
            </w:tcBorders>
          </w:tcPr>
          <w:p w14:paraId="77127046" w14:textId="77777777" w:rsidR="00BC2A02" w:rsidRPr="00BC2A02" w:rsidRDefault="00BC2A02" w:rsidP="00296CA4">
            <w:pPr>
              <w:ind w:left="19"/>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242 735</w:t>
            </w:r>
          </w:p>
        </w:tc>
      </w:tr>
      <w:tr w:rsidR="00BC2A02" w:rsidRPr="00BC2A02" w14:paraId="32C457E6" w14:textId="77777777" w:rsidTr="00B63F1A">
        <w:trPr>
          <w:trHeight w:val="288"/>
        </w:trPr>
        <w:tc>
          <w:tcPr>
            <w:tcW w:w="3389" w:type="dxa"/>
            <w:tcBorders>
              <w:top w:val="nil"/>
              <w:left w:val="nil"/>
              <w:right w:val="nil"/>
            </w:tcBorders>
          </w:tcPr>
          <w:p w14:paraId="1A70C580" w14:textId="77777777" w:rsidR="00BC2A02" w:rsidRPr="00BC2A02" w:rsidRDefault="00BC2A02" w:rsidP="00296CA4">
            <w:pPr>
              <w:ind w:left="122"/>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 xml:space="preserve">     </w:t>
            </w:r>
            <w:proofErr w:type="spellStart"/>
            <w:r w:rsidRPr="00BC2A02">
              <w:rPr>
                <w:rFonts w:ascii="Times New Roman" w:hAnsi="Times New Roman" w:cs="Times New Roman"/>
                <w:i/>
                <w:color w:val="000000"/>
                <w:sz w:val="14"/>
                <w:szCs w:val="14"/>
              </w:rPr>
              <w:t>superdividendy</w:t>
            </w:r>
            <w:proofErr w:type="spellEnd"/>
            <w:r w:rsidRPr="00BC2A02">
              <w:rPr>
                <w:rFonts w:ascii="Times New Roman" w:hAnsi="Times New Roman" w:cs="Times New Roman"/>
                <w:i/>
                <w:color w:val="000000"/>
                <w:sz w:val="14"/>
                <w:szCs w:val="14"/>
              </w:rPr>
              <w:t xml:space="preserve"> </w:t>
            </w:r>
          </w:p>
        </w:tc>
        <w:tc>
          <w:tcPr>
            <w:tcW w:w="888" w:type="dxa"/>
            <w:tcBorders>
              <w:top w:val="nil"/>
              <w:left w:val="nil"/>
              <w:right w:val="nil"/>
            </w:tcBorders>
          </w:tcPr>
          <w:p w14:paraId="735572E6" w14:textId="77777777" w:rsidR="00BC2A02" w:rsidRPr="00BC2A02" w:rsidRDefault="00BC2A02" w:rsidP="00296CA4">
            <w:pPr>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62 981</w:t>
            </w:r>
          </w:p>
        </w:tc>
        <w:tc>
          <w:tcPr>
            <w:tcW w:w="826" w:type="dxa"/>
            <w:tcBorders>
              <w:top w:val="nil"/>
              <w:left w:val="nil"/>
              <w:right w:val="nil"/>
            </w:tcBorders>
          </w:tcPr>
          <w:p w14:paraId="3025D29F" w14:textId="77777777" w:rsidR="00BC2A02" w:rsidRPr="00BC2A02" w:rsidRDefault="00BC2A02" w:rsidP="00296CA4">
            <w:pPr>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10 839</w:t>
            </w:r>
          </w:p>
        </w:tc>
        <w:tc>
          <w:tcPr>
            <w:tcW w:w="744" w:type="dxa"/>
            <w:tcBorders>
              <w:top w:val="nil"/>
              <w:left w:val="nil"/>
              <w:right w:val="nil"/>
            </w:tcBorders>
          </w:tcPr>
          <w:p w14:paraId="360DFB59" w14:textId="77777777" w:rsidR="00BC2A02" w:rsidRPr="00BC2A02" w:rsidRDefault="00BC2A02" w:rsidP="00296CA4">
            <w:pPr>
              <w:ind w:left="19"/>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82 376</w:t>
            </w:r>
          </w:p>
        </w:tc>
        <w:tc>
          <w:tcPr>
            <w:tcW w:w="770" w:type="dxa"/>
            <w:tcBorders>
              <w:top w:val="nil"/>
              <w:left w:val="nil"/>
              <w:right w:val="nil"/>
            </w:tcBorders>
          </w:tcPr>
          <w:p w14:paraId="51705A26" w14:textId="77777777" w:rsidR="00BC2A02" w:rsidRPr="00BC2A02" w:rsidRDefault="00BC2A02" w:rsidP="00296CA4">
            <w:pPr>
              <w:ind w:left="190"/>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27 124</w:t>
            </w:r>
          </w:p>
        </w:tc>
        <w:tc>
          <w:tcPr>
            <w:tcW w:w="850" w:type="dxa"/>
            <w:tcBorders>
              <w:top w:val="nil"/>
              <w:left w:val="nil"/>
              <w:right w:val="nil"/>
            </w:tcBorders>
          </w:tcPr>
          <w:p w14:paraId="5E3F5552" w14:textId="77777777" w:rsidR="00BC2A02" w:rsidRPr="00BC2A02" w:rsidRDefault="00BC2A02" w:rsidP="00296CA4">
            <w:pPr>
              <w:ind w:left="19"/>
              <w:jc w:val="right"/>
              <w:rPr>
                <w:rFonts w:ascii="Times New Roman" w:hAnsi="Times New Roman" w:cs="Times New Roman"/>
                <w:i/>
                <w:color w:val="000000"/>
                <w:sz w:val="14"/>
                <w:szCs w:val="14"/>
                <w:highlight w:val="yellow"/>
              </w:rPr>
            </w:pPr>
            <w:r w:rsidRPr="00BC2A02">
              <w:rPr>
                <w:rFonts w:ascii="Times New Roman" w:hAnsi="Times New Roman" w:cs="Times New Roman"/>
                <w:i/>
                <w:color w:val="000000"/>
                <w:sz w:val="14"/>
                <w:szCs w:val="14"/>
              </w:rPr>
              <w:t>164 183</w:t>
            </w:r>
          </w:p>
        </w:tc>
        <w:tc>
          <w:tcPr>
            <w:tcW w:w="851" w:type="dxa"/>
            <w:tcBorders>
              <w:top w:val="nil"/>
              <w:left w:val="nil"/>
              <w:right w:val="nil"/>
            </w:tcBorders>
          </w:tcPr>
          <w:p w14:paraId="3EB90BBF"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962</w:t>
            </w:r>
          </w:p>
        </w:tc>
        <w:tc>
          <w:tcPr>
            <w:tcW w:w="770" w:type="dxa"/>
            <w:tcBorders>
              <w:top w:val="nil"/>
              <w:left w:val="nil"/>
              <w:right w:val="nil"/>
            </w:tcBorders>
          </w:tcPr>
          <w:p w14:paraId="5C0479DF"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10</w:t>
            </w:r>
          </w:p>
        </w:tc>
      </w:tr>
      <w:tr w:rsidR="00BC2A02" w:rsidRPr="00BC2A02" w14:paraId="12BD9F0B" w14:textId="77777777" w:rsidTr="00B63F1A">
        <w:trPr>
          <w:trHeight w:val="159"/>
        </w:trPr>
        <w:tc>
          <w:tcPr>
            <w:tcW w:w="3389" w:type="dxa"/>
            <w:tcBorders>
              <w:left w:val="nil"/>
              <w:bottom w:val="single" w:sz="4" w:space="0" w:color="000000"/>
              <w:right w:val="nil"/>
            </w:tcBorders>
          </w:tcPr>
          <w:p w14:paraId="316CDE02" w14:textId="77777777" w:rsidR="00BC2A02" w:rsidRPr="00BC2A02" w:rsidRDefault="00BC2A02" w:rsidP="00296CA4">
            <w:pPr>
              <w:ind w:left="122"/>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 xml:space="preserve">     splátka pohľadávky</w:t>
            </w:r>
          </w:p>
        </w:tc>
        <w:tc>
          <w:tcPr>
            <w:tcW w:w="888" w:type="dxa"/>
            <w:tcBorders>
              <w:left w:val="nil"/>
              <w:bottom w:val="single" w:sz="4" w:space="0" w:color="000000"/>
              <w:right w:val="nil"/>
            </w:tcBorders>
          </w:tcPr>
          <w:p w14:paraId="388DC932" w14:textId="77777777" w:rsidR="00BC2A02" w:rsidRPr="00BC2A02" w:rsidRDefault="00BC2A02" w:rsidP="00296CA4">
            <w:pPr>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26" w:type="dxa"/>
            <w:tcBorders>
              <w:left w:val="nil"/>
              <w:bottom w:val="single" w:sz="4" w:space="0" w:color="000000"/>
              <w:right w:val="nil"/>
            </w:tcBorders>
          </w:tcPr>
          <w:p w14:paraId="326C4E2B" w14:textId="77777777" w:rsidR="00BC2A02" w:rsidRPr="00BC2A02" w:rsidRDefault="00BC2A02" w:rsidP="00296CA4">
            <w:pPr>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44" w:type="dxa"/>
            <w:tcBorders>
              <w:left w:val="nil"/>
              <w:bottom w:val="single" w:sz="4" w:space="0" w:color="000000"/>
              <w:right w:val="nil"/>
            </w:tcBorders>
          </w:tcPr>
          <w:p w14:paraId="7FFF9AA3" w14:textId="77777777" w:rsidR="00BC2A02" w:rsidRPr="00BC2A02" w:rsidRDefault="00BC2A02" w:rsidP="00296CA4">
            <w:pPr>
              <w:ind w:left="19"/>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left w:val="nil"/>
              <w:bottom w:val="single" w:sz="4" w:space="0" w:color="000000"/>
              <w:right w:val="nil"/>
            </w:tcBorders>
          </w:tcPr>
          <w:p w14:paraId="0BDC6950" w14:textId="77777777" w:rsidR="00BC2A02" w:rsidRPr="00BC2A02" w:rsidRDefault="00BC2A02" w:rsidP="00296CA4">
            <w:pPr>
              <w:ind w:left="190"/>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220 015</w:t>
            </w:r>
          </w:p>
        </w:tc>
        <w:tc>
          <w:tcPr>
            <w:tcW w:w="850" w:type="dxa"/>
            <w:tcBorders>
              <w:left w:val="nil"/>
              <w:bottom w:val="single" w:sz="4" w:space="0" w:color="000000"/>
              <w:right w:val="nil"/>
            </w:tcBorders>
          </w:tcPr>
          <w:p w14:paraId="21C0CC8D" w14:textId="77777777" w:rsidR="00BC2A02" w:rsidRPr="00BC2A02" w:rsidRDefault="00BC2A02" w:rsidP="00296CA4">
            <w:pPr>
              <w:ind w:left="19"/>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51" w:type="dxa"/>
            <w:tcBorders>
              <w:left w:val="nil"/>
              <w:bottom w:val="single" w:sz="4" w:space="0" w:color="000000"/>
              <w:right w:val="nil"/>
            </w:tcBorders>
          </w:tcPr>
          <w:p w14:paraId="7C73F052"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left w:val="nil"/>
              <w:bottom w:val="single" w:sz="4" w:space="0" w:color="000000"/>
              <w:right w:val="nil"/>
            </w:tcBorders>
          </w:tcPr>
          <w:p w14:paraId="06D7755A"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r>
      <w:tr w:rsidR="00BC2A02" w:rsidRPr="00BC2A02" w14:paraId="33339666" w14:textId="77777777" w:rsidTr="00B63F1A">
        <w:trPr>
          <w:trHeight w:val="233"/>
        </w:trPr>
        <w:tc>
          <w:tcPr>
            <w:tcW w:w="3389" w:type="dxa"/>
            <w:tcBorders>
              <w:top w:val="single" w:sz="4" w:space="0" w:color="000000"/>
              <w:left w:val="nil"/>
              <w:bottom w:val="nil"/>
              <w:right w:val="nil"/>
            </w:tcBorders>
          </w:tcPr>
          <w:p w14:paraId="0F8B15F5"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b/>
                <w:color w:val="000000"/>
                <w:sz w:val="14"/>
                <w:szCs w:val="14"/>
              </w:rPr>
              <w:t xml:space="preserve">Ministerstvo financií SR </w:t>
            </w:r>
          </w:p>
        </w:tc>
        <w:tc>
          <w:tcPr>
            <w:tcW w:w="888" w:type="dxa"/>
            <w:tcBorders>
              <w:top w:val="single" w:sz="4" w:space="0" w:color="000000"/>
              <w:left w:val="nil"/>
              <w:bottom w:val="nil"/>
              <w:right w:val="nil"/>
            </w:tcBorders>
          </w:tcPr>
          <w:p w14:paraId="65D60AE1" w14:textId="77777777" w:rsidR="00BC2A02" w:rsidRPr="00BC2A02" w:rsidRDefault="00BC2A02" w:rsidP="00296CA4">
            <w:pPr>
              <w:ind w:left="142"/>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32 410</w:t>
            </w:r>
          </w:p>
        </w:tc>
        <w:tc>
          <w:tcPr>
            <w:tcW w:w="826" w:type="dxa"/>
            <w:tcBorders>
              <w:top w:val="single" w:sz="4" w:space="0" w:color="000000"/>
              <w:left w:val="nil"/>
              <w:bottom w:val="nil"/>
              <w:right w:val="nil"/>
            </w:tcBorders>
          </w:tcPr>
          <w:p w14:paraId="5F6C4063" w14:textId="77777777" w:rsidR="00BC2A02" w:rsidRPr="00BC2A02" w:rsidRDefault="00BC2A02" w:rsidP="00296CA4">
            <w:pPr>
              <w:ind w:left="142"/>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7 000</w:t>
            </w:r>
          </w:p>
        </w:tc>
        <w:tc>
          <w:tcPr>
            <w:tcW w:w="744" w:type="dxa"/>
            <w:tcBorders>
              <w:top w:val="single" w:sz="4" w:space="0" w:color="000000"/>
              <w:left w:val="nil"/>
              <w:bottom w:val="nil"/>
              <w:right w:val="nil"/>
            </w:tcBorders>
          </w:tcPr>
          <w:p w14:paraId="56EF1052" w14:textId="77777777" w:rsidR="00BC2A02" w:rsidRPr="00BC2A02" w:rsidRDefault="00BC2A02" w:rsidP="00296CA4">
            <w:pPr>
              <w:ind w:left="91"/>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65 457</w:t>
            </w:r>
          </w:p>
        </w:tc>
        <w:tc>
          <w:tcPr>
            <w:tcW w:w="770" w:type="dxa"/>
            <w:tcBorders>
              <w:top w:val="single" w:sz="4" w:space="0" w:color="000000"/>
              <w:left w:val="nil"/>
              <w:bottom w:val="nil"/>
              <w:right w:val="nil"/>
            </w:tcBorders>
          </w:tcPr>
          <w:p w14:paraId="2C520B62" w14:textId="77777777" w:rsidR="00BC2A02" w:rsidRPr="00BC2A02" w:rsidRDefault="00BC2A02" w:rsidP="00296CA4">
            <w:pPr>
              <w:ind w:left="190"/>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133 012</w:t>
            </w:r>
          </w:p>
          <w:p w14:paraId="628B7029" w14:textId="77777777" w:rsidR="00BC2A02" w:rsidRPr="00BC2A02" w:rsidRDefault="00BC2A02" w:rsidP="00296CA4">
            <w:pPr>
              <w:ind w:left="190"/>
              <w:jc w:val="right"/>
              <w:rPr>
                <w:rFonts w:ascii="Times New Roman" w:hAnsi="Times New Roman" w:cs="Times New Roman"/>
                <w:b/>
                <w:color w:val="000000"/>
                <w:sz w:val="14"/>
                <w:szCs w:val="14"/>
              </w:rPr>
            </w:pPr>
          </w:p>
        </w:tc>
        <w:tc>
          <w:tcPr>
            <w:tcW w:w="850" w:type="dxa"/>
            <w:tcBorders>
              <w:top w:val="single" w:sz="4" w:space="0" w:color="000000"/>
              <w:left w:val="nil"/>
              <w:bottom w:val="nil"/>
              <w:right w:val="nil"/>
            </w:tcBorders>
          </w:tcPr>
          <w:p w14:paraId="1A5AD2A0" w14:textId="77777777" w:rsidR="00BC2A02" w:rsidRPr="00BC2A02" w:rsidRDefault="00BC2A02" w:rsidP="00296CA4">
            <w:pPr>
              <w:ind w:left="91"/>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61 475</w:t>
            </w:r>
          </w:p>
        </w:tc>
        <w:tc>
          <w:tcPr>
            <w:tcW w:w="851" w:type="dxa"/>
            <w:tcBorders>
              <w:top w:val="single" w:sz="4" w:space="0" w:color="000000"/>
              <w:left w:val="nil"/>
              <w:bottom w:val="nil"/>
              <w:right w:val="nil"/>
            </w:tcBorders>
          </w:tcPr>
          <w:p w14:paraId="294F1606" w14:textId="77777777" w:rsidR="00BC2A02" w:rsidRPr="00BC2A02" w:rsidRDefault="00BC2A02" w:rsidP="00296CA4">
            <w:pPr>
              <w:ind w:left="91"/>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49 300</w:t>
            </w:r>
          </w:p>
        </w:tc>
        <w:tc>
          <w:tcPr>
            <w:tcW w:w="770" w:type="dxa"/>
            <w:tcBorders>
              <w:top w:val="single" w:sz="4" w:space="0" w:color="000000"/>
              <w:left w:val="nil"/>
              <w:bottom w:val="nil"/>
              <w:right w:val="nil"/>
            </w:tcBorders>
          </w:tcPr>
          <w:p w14:paraId="5A0CAC1C" w14:textId="77777777" w:rsidR="00BC2A02" w:rsidRPr="00BC2A02" w:rsidRDefault="00BC2A02" w:rsidP="00296CA4">
            <w:pPr>
              <w:ind w:left="91"/>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35 150</w:t>
            </w:r>
          </w:p>
        </w:tc>
      </w:tr>
      <w:tr w:rsidR="00BC2A02" w:rsidRPr="00BC2A02" w14:paraId="37DC81D3" w14:textId="77777777" w:rsidTr="00B63F1A">
        <w:trPr>
          <w:trHeight w:val="287"/>
        </w:trPr>
        <w:tc>
          <w:tcPr>
            <w:tcW w:w="3389" w:type="dxa"/>
            <w:tcBorders>
              <w:top w:val="nil"/>
              <w:left w:val="nil"/>
              <w:bottom w:val="nil"/>
              <w:right w:val="nil"/>
            </w:tcBorders>
          </w:tcPr>
          <w:p w14:paraId="5D1D93EE"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color w:val="000000"/>
                <w:sz w:val="14"/>
                <w:szCs w:val="14"/>
              </w:rPr>
              <w:t xml:space="preserve">Slovenská konsolidačná, a. s. </w:t>
            </w:r>
          </w:p>
        </w:tc>
        <w:tc>
          <w:tcPr>
            <w:tcW w:w="888" w:type="dxa"/>
            <w:tcBorders>
              <w:top w:val="nil"/>
              <w:left w:val="nil"/>
              <w:bottom w:val="nil"/>
              <w:right w:val="nil"/>
            </w:tcBorders>
          </w:tcPr>
          <w:p w14:paraId="52C0F93C" w14:textId="77777777" w:rsidR="00BC2A02" w:rsidRPr="00BC2A02" w:rsidRDefault="00BC2A02" w:rsidP="00296CA4">
            <w:pPr>
              <w:ind w:left="14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575</w:t>
            </w:r>
          </w:p>
        </w:tc>
        <w:tc>
          <w:tcPr>
            <w:tcW w:w="826" w:type="dxa"/>
            <w:tcBorders>
              <w:top w:val="nil"/>
              <w:left w:val="nil"/>
              <w:bottom w:val="nil"/>
              <w:right w:val="nil"/>
            </w:tcBorders>
          </w:tcPr>
          <w:p w14:paraId="50266297" w14:textId="77777777" w:rsidR="00BC2A02" w:rsidRPr="00BC2A02" w:rsidRDefault="00BC2A02" w:rsidP="00296CA4">
            <w:pPr>
              <w:ind w:left="14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2 000</w:t>
            </w:r>
          </w:p>
        </w:tc>
        <w:tc>
          <w:tcPr>
            <w:tcW w:w="744" w:type="dxa"/>
            <w:tcBorders>
              <w:top w:val="nil"/>
              <w:left w:val="nil"/>
              <w:bottom w:val="nil"/>
              <w:right w:val="nil"/>
            </w:tcBorders>
          </w:tcPr>
          <w:p w14:paraId="6BA114FE" w14:textId="77777777" w:rsidR="00BC2A02" w:rsidRPr="00BC2A02" w:rsidRDefault="00BC2A02" w:rsidP="00296CA4">
            <w:pPr>
              <w:ind w:left="70"/>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85</w:t>
            </w:r>
          </w:p>
        </w:tc>
        <w:tc>
          <w:tcPr>
            <w:tcW w:w="770" w:type="dxa"/>
            <w:tcBorders>
              <w:top w:val="nil"/>
              <w:left w:val="nil"/>
              <w:bottom w:val="nil"/>
              <w:right w:val="nil"/>
            </w:tcBorders>
          </w:tcPr>
          <w:p w14:paraId="1DAF41D2" w14:textId="77777777" w:rsidR="00BC2A02" w:rsidRPr="00BC2A02" w:rsidRDefault="00BC2A02" w:rsidP="00296CA4">
            <w:pPr>
              <w:ind w:left="70"/>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3 274</w:t>
            </w:r>
          </w:p>
        </w:tc>
        <w:tc>
          <w:tcPr>
            <w:tcW w:w="850" w:type="dxa"/>
            <w:tcBorders>
              <w:top w:val="nil"/>
              <w:left w:val="nil"/>
              <w:bottom w:val="nil"/>
              <w:right w:val="nil"/>
            </w:tcBorders>
          </w:tcPr>
          <w:p w14:paraId="677CDE58" w14:textId="77777777" w:rsidR="00BC2A02" w:rsidRPr="00BC2A02" w:rsidRDefault="00BC2A02" w:rsidP="00296CA4">
            <w:pPr>
              <w:ind w:left="70"/>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325</w:t>
            </w:r>
          </w:p>
        </w:tc>
        <w:tc>
          <w:tcPr>
            <w:tcW w:w="851" w:type="dxa"/>
            <w:tcBorders>
              <w:top w:val="nil"/>
              <w:left w:val="nil"/>
              <w:bottom w:val="nil"/>
              <w:right w:val="nil"/>
            </w:tcBorders>
          </w:tcPr>
          <w:p w14:paraId="3C6AB3A1" w14:textId="77777777" w:rsidR="00BC2A02" w:rsidRPr="00BC2A02" w:rsidRDefault="00BC2A02" w:rsidP="00296CA4">
            <w:pPr>
              <w:ind w:left="70"/>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c>
          <w:tcPr>
            <w:tcW w:w="770" w:type="dxa"/>
            <w:tcBorders>
              <w:top w:val="nil"/>
              <w:left w:val="nil"/>
              <w:bottom w:val="nil"/>
              <w:right w:val="nil"/>
            </w:tcBorders>
          </w:tcPr>
          <w:p w14:paraId="647A0346" w14:textId="77777777" w:rsidR="00BC2A02" w:rsidRPr="00BC2A02" w:rsidRDefault="00BC2A02" w:rsidP="00296CA4">
            <w:pPr>
              <w:ind w:right="40"/>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r>
      <w:tr w:rsidR="00BC2A02" w:rsidRPr="00BC2A02" w14:paraId="7B6DDF5A" w14:textId="77777777" w:rsidTr="00B63F1A">
        <w:trPr>
          <w:trHeight w:val="289"/>
        </w:trPr>
        <w:tc>
          <w:tcPr>
            <w:tcW w:w="3389" w:type="dxa"/>
            <w:tcBorders>
              <w:top w:val="nil"/>
              <w:left w:val="nil"/>
              <w:bottom w:val="nil"/>
              <w:right w:val="nil"/>
            </w:tcBorders>
          </w:tcPr>
          <w:p w14:paraId="216D5CFD" w14:textId="77777777" w:rsidR="00BC2A02" w:rsidRPr="00BC2A02" w:rsidRDefault="00BC2A02" w:rsidP="00296CA4">
            <w:pPr>
              <w:ind w:left="122"/>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 xml:space="preserve">     riadne dividendy </w:t>
            </w:r>
          </w:p>
        </w:tc>
        <w:tc>
          <w:tcPr>
            <w:tcW w:w="888" w:type="dxa"/>
            <w:tcBorders>
              <w:top w:val="nil"/>
              <w:left w:val="nil"/>
              <w:bottom w:val="nil"/>
              <w:right w:val="nil"/>
            </w:tcBorders>
          </w:tcPr>
          <w:p w14:paraId="7B950782" w14:textId="77777777" w:rsidR="00BC2A02" w:rsidRPr="00BC2A02" w:rsidRDefault="00BC2A02" w:rsidP="00296CA4">
            <w:pPr>
              <w:ind w:left="8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575</w:t>
            </w:r>
          </w:p>
        </w:tc>
        <w:tc>
          <w:tcPr>
            <w:tcW w:w="826" w:type="dxa"/>
            <w:tcBorders>
              <w:top w:val="nil"/>
              <w:left w:val="nil"/>
              <w:bottom w:val="nil"/>
              <w:right w:val="nil"/>
            </w:tcBorders>
          </w:tcPr>
          <w:p w14:paraId="1F4E0FDF" w14:textId="77777777" w:rsidR="00BC2A02" w:rsidRPr="00BC2A02" w:rsidRDefault="00BC2A02" w:rsidP="00296CA4">
            <w:pPr>
              <w:ind w:left="8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44" w:type="dxa"/>
            <w:tcBorders>
              <w:top w:val="nil"/>
              <w:left w:val="nil"/>
              <w:bottom w:val="nil"/>
              <w:right w:val="nil"/>
            </w:tcBorders>
          </w:tcPr>
          <w:p w14:paraId="10C3AB6A" w14:textId="77777777" w:rsidR="00BC2A02" w:rsidRPr="00BC2A02" w:rsidRDefault="00BC2A02" w:rsidP="00296CA4">
            <w:pPr>
              <w:ind w:left="103"/>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3D93CD56" w14:textId="77777777" w:rsidR="00BC2A02" w:rsidRPr="00BC2A02" w:rsidRDefault="00BC2A02" w:rsidP="00296CA4">
            <w:pPr>
              <w:ind w:left="58"/>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3 274</w:t>
            </w:r>
          </w:p>
        </w:tc>
        <w:tc>
          <w:tcPr>
            <w:tcW w:w="850" w:type="dxa"/>
            <w:tcBorders>
              <w:top w:val="nil"/>
              <w:left w:val="nil"/>
              <w:bottom w:val="nil"/>
              <w:right w:val="nil"/>
            </w:tcBorders>
          </w:tcPr>
          <w:p w14:paraId="6A392F30" w14:textId="77777777" w:rsidR="00BC2A02" w:rsidRPr="00BC2A02" w:rsidRDefault="00BC2A02" w:rsidP="00296CA4">
            <w:pPr>
              <w:ind w:left="103"/>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263</w:t>
            </w:r>
          </w:p>
        </w:tc>
        <w:tc>
          <w:tcPr>
            <w:tcW w:w="851" w:type="dxa"/>
            <w:tcBorders>
              <w:top w:val="nil"/>
              <w:left w:val="nil"/>
              <w:bottom w:val="nil"/>
              <w:right w:val="nil"/>
            </w:tcBorders>
          </w:tcPr>
          <w:p w14:paraId="2ED42133" w14:textId="77777777" w:rsidR="00BC2A02" w:rsidRPr="00BC2A02" w:rsidRDefault="00BC2A02" w:rsidP="00296CA4">
            <w:pPr>
              <w:ind w:left="70"/>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1B0A766C" w14:textId="77777777" w:rsidR="00BC2A02" w:rsidRPr="00BC2A02" w:rsidRDefault="00BC2A02" w:rsidP="00296CA4">
            <w:pPr>
              <w:ind w:right="40"/>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r>
      <w:tr w:rsidR="00BC2A02" w:rsidRPr="00BC2A02" w14:paraId="08ACD8EA" w14:textId="77777777" w:rsidTr="00B63F1A">
        <w:trPr>
          <w:trHeight w:val="289"/>
        </w:trPr>
        <w:tc>
          <w:tcPr>
            <w:tcW w:w="3389" w:type="dxa"/>
            <w:tcBorders>
              <w:top w:val="nil"/>
              <w:left w:val="nil"/>
              <w:bottom w:val="nil"/>
              <w:right w:val="nil"/>
            </w:tcBorders>
          </w:tcPr>
          <w:p w14:paraId="411E82E5"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i/>
                <w:color w:val="000000"/>
                <w:sz w:val="14"/>
                <w:szCs w:val="14"/>
              </w:rPr>
              <w:t xml:space="preserve">     </w:t>
            </w:r>
            <w:proofErr w:type="spellStart"/>
            <w:r w:rsidRPr="00BC2A02">
              <w:rPr>
                <w:rFonts w:ascii="Times New Roman" w:hAnsi="Times New Roman" w:cs="Times New Roman"/>
                <w:i/>
                <w:color w:val="000000"/>
                <w:sz w:val="14"/>
                <w:szCs w:val="14"/>
              </w:rPr>
              <w:t>superdividendy</w:t>
            </w:r>
            <w:proofErr w:type="spellEnd"/>
            <w:r w:rsidRPr="00BC2A02">
              <w:rPr>
                <w:rFonts w:ascii="Times New Roman" w:hAnsi="Times New Roman" w:cs="Times New Roman"/>
                <w:i/>
                <w:color w:val="000000"/>
                <w:sz w:val="14"/>
                <w:szCs w:val="14"/>
              </w:rPr>
              <w:t xml:space="preserve"> </w:t>
            </w:r>
          </w:p>
        </w:tc>
        <w:tc>
          <w:tcPr>
            <w:tcW w:w="888" w:type="dxa"/>
            <w:tcBorders>
              <w:top w:val="nil"/>
              <w:left w:val="nil"/>
              <w:bottom w:val="nil"/>
              <w:right w:val="nil"/>
            </w:tcBorders>
          </w:tcPr>
          <w:p w14:paraId="4A906721" w14:textId="77777777" w:rsidR="00BC2A02" w:rsidRPr="00BC2A02" w:rsidRDefault="00BC2A02" w:rsidP="00296CA4">
            <w:pPr>
              <w:ind w:left="14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26" w:type="dxa"/>
            <w:tcBorders>
              <w:top w:val="nil"/>
              <w:left w:val="nil"/>
              <w:bottom w:val="nil"/>
              <w:right w:val="nil"/>
            </w:tcBorders>
          </w:tcPr>
          <w:p w14:paraId="20D131F6" w14:textId="77777777" w:rsidR="00BC2A02" w:rsidRPr="00BC2A02" w:rsidRDefault="00BC2A02" w:rsidP="00296CA4">
            <w:pPr>
              <w:ind w:left="14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2 000</w:t>
            </w:r>
          </w:p>
        </w:tc>
        <w:tc>
          <w:tcPr>
            <w:tcW w:w="744" w:type="dxa"/>
            <w:tcBorders>
              <w:top w:val="nil"/>
              <w:left w:val="nil"/>
              <w:bottom w:val="nil"/>
              <w:right w:val="nil"/>
            </w:tcBorders>
          </w:tcPr>
          <w:p w14:paraId="14765D19" w14:textId="77777777" w:rsidR="00BC2A02" w:rsidRPr="00BC2A02" w:rsidRDefault="00BC2A02" w:rsidP="00296CA4">
            <w:pPr>
              <w:ind w:left="70"/>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85</w:t>
            </w:r>
          </w:p>
        </w:tc>
        <w:tc>
          <w:tcPr>
            <w:tcW w:w="770" w:type="dxa"/>
            <w:tcBorders>
              <w:top w:val="nil"/>
              <w:left w:val="nil"/>
              <w:bottom w:val="nil"/>
              <w:right w:val="nil"/>
            </w:tcBorders>
          </w:tcPr>
          <w:p w14:paraId="1BDE3A70" w14:textId="77777777" w:rsidR="00BC2A02" w:rsidRPr="00BC2A02" w:rsidRDefault="00BC2A02" w:rsidP="00296CA4">
            <w:pPr>
              <w:ind w:left="70"/>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50" w:type="dxa"/>
            <w:tcBorders>
              <w:top w:val="nil"/>
              <w:left w:val="nil"/>
              <w:bottom w:val="nil"/>
              <w:right w:val="nil"/>
            </w:tcBorders>
          </w:tcPr>
          <w:p w14:paraId="37749090" w14:textId="77777777" w:rsidR="00BC2A02" w:rsidRPr="00BC2A02" w:rsidRDefault="00BC2A02" w:rsidP="00296CA4">
            <w:pPr>
              <w:ind w:left="70"/>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62</w:t>
            </w:r>
          </w:p>
        </w:tc>
        <w:tc>
          <w:tcPr>
            <w:tcW w:w="851" w:type="dxa"/>
            <w:tcBorders>
              <w:top w:val="nil"/>
              <w:left w:val="nil"/>
              <w:bottom w:val="nil"/>
              <w:right w:val="nil"/>
            </w:tcBorders>
          </w:tcPr>
          <w:p w14:paraId="0DDAAECB" w14:textId="77777777" w:rsidR="00BC2A02" w:rsidRPr="00BC2A02" w:rsidRDefault="00BC2A02" w:rsidP="00296CA4">
            <w:pPr>
              <w:ind w:left="70"/>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19706A5B" w14:textId="77777777" w:rsidR="00BC2A02" w:rsidRPr="00BC2A02" w:rsidRDefault="00BC2A02" w:rsidP="00296CA4">
            <w:pPr>
              <w:ind w:right="40"/>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r>
      <w:tr w:rsidR="00BC2A02" w:rsidRPr="00BC2A02" w14:paraId="67FE134C" w14:textId="77777777" w:rsidTr="00B63F1A">
        <w:trPr>
          <w:trHeight w:val="289"/>
        </w:trPr>
        <w:tc>
          <w:tcPr>
            <w:tcW w:w="3389" w:type="dxa"/>
            <w:tcBorders>
              <w:top w:val="nil"/>
              <w:left w:val="nil"/>
              <w:bottom w:val="nil"/>
              <w:right w:val="nil"/>
            </w:tcBorders>
          </w:tcPr>
          <w:p w14:paraId="6A0A30CB"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color w:val="000000"/>
                <w:sz w:val="14"/>
                <w:szCs w:val="14"/>
              </w:rPr>
              <w:t xml:space="preserve">Tipos, a. s. </w:t>
            </w:r>
          </w:p>
        </w:tc>
        <w:tc>
          <w:tcPr>
            <w:tcW w:w="888" w:type="dxa"/>
            <w:tcBorders>
              <w:top w:val="nil"/>
              <w:left w:val="nil"/>
              <w:bottom w:val="nil"/>
              <w:right w:val="nil"/>
            </w:tcBorders>
          </w:tcPr>
          <w:p w14:paraId="23FEC6E5" w14:textId="77777777" w:rsidR="00BC2A02" w:rsidRPr="00BC2A02" w:rsidRDefault="00BC2A02" w:rsidP="00296CA4">
            <w:pPr>
              <w:ind w:left="14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2 500</w:t>
            </w:r>
          </w:p>
        </w:tc>
        <w:tc>
          <w:tcPr>
            <w:tcW w:w="826" w:type="dxa"/>
            <w:tcBorders>
              <w:top w:val="nil"/>
              <w:left w:val="nil"/>
              <w:bottom w:val="nil"/>
              <w:right w:val="nil"/>
            </w:tcBorders>
          </w:tcPr>
          <w:p w14:paraId="00210F4B" w14:textId="77777777" w:rsidR="00BC2A02" w:rsidRPr="00BC2A02" w:rsidRDefault="00BC2A02" w:rsidP="00296CA4">
            <w:pPr>
              <w:ind w:left="14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5 000</w:t>
            </w:r>
          </w:p>
        </w:tc>
        <w:tc>
          <w:tcPr>
            <w:tcW w:w="744" w:type="dxa"/>
            <w:tcBorders>
              <w:top w:val="nil"/>
              <w:left w:val="nil"/>
              <w:bottom w:val="nil"/>
              <w:right w:val="nil"/>
            </w:tcBorders>
          </w:tcPr>
          <w:p w14:paraId="0F546A65" w14:textId="77777777" w:rsidR="00BC2A02" w:rsidRPr="00BC2A02" w:rsidRDefault="00BC2A02" w:rsidP="00296CA4">
            <w:pPr>
              <w:ind w:left="16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2 500</w:t>
            </w:r>
          </w:p>
        </w:tc>
        <w:tc>
          <w:tcPr>
            <w:tcW w:w="770" w:type="dxa"/>
            <w:tcBorders>
              <w:top w:val="nil"/>
              <w:left w:val="nil"/>
              <w:bottom w:val="nil"/>
              <w:right w:val="nil"/>
            </w:tcBorders>
          </w:tcPr>
          <w:p w14:paraId="3482565F" w14:textId="77777777" w:rsidR="00BC2A02" w:rsidRPr="00BC2A02" w:rsidRDefault="00BC2A02" w:rsidP="00296CA4">
            <w:pPr>
              <w:ind w:left="16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50 000</w:t>
            </w:r>
          </w:p>
        </w:tc>
        <w:tc>
          <w:tcPr>
            <w:tcW w:w="850" w:type="dxa"/>
            <w:tcBorders>
              <w:top w:val="nil"/>
              <w:left w:val="nil"/>
              <w:bottom w:val="nil"/>
              <w:right w:val="nil"/>
            </w:tcBorders>
          </w:tcPr>
          <w:p w14:paraId="07384CC5" w14:textId="77777777" w:rsidR="00BC2A02" w:rsidRPr="00BC2A02" w:rsidRDefault="00BC2A02" w:rsidP="00296CA4">
            <w:pPr>
              <w:ind w:left="16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20 000</w:t>
            </w:r>
          </w:p>
        </w:tc>
        <w:tc>
          <w:tcPr>
            <w:tcW w:w="851" w:type="dxa"/>
            <w:tcBorders>
              <w:top w:val="nil"/>
              <w:left w:val="nil"/>
              <w:bottom w:val="nil"/>
              <w:right w:val="nil"/>
            </w:tcBorders>
          </w:tcPr>
          <w:p w14:paraId="15E5C77C" w14:textId="77777777" w:rsidR="00BC2A02" w:rsidRPr="00BC2A02" w:rsidRDefault="00BC2A02" w:rsidP="00296CA4">
            <w:pPr>
              <w:ind w:left="16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20 300</w:t>
            </w:r>
          </w:p>
        </w:tc>
        <w:tc>
          <w:tcPr>
            <w:tcW w:w="770" w:type="dxa"/>
            <w:tcBorders>
              <w:top w:val="nil"/>
              <w:left w:val="nil"/>
              <w:bottom w:val="nil"/>
              <w:right w:val="nil"/>
            </w:tcBorders>
          </w:tcPr>
          <w:p w14:paraId="2B229014" w14:textId="77777777" w:rsidR="00BC2A02" w:rsidRPr="00BC2A02" w:rsidRDefault="00BC2A02" w:rsidP="00296CA4">
            <w:pPr>
              <w:ind w:left="12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21 000</w:t>
            </w:r>
          </w:p>
        </w:tc>
      </w:tr>
      <w:tr w:rsidR="00BC2A02" w:rsidRPr="00BC2A02" w14:paraId="7E96436B" w14:textId="77777777" w:rsidTr="00B63F1A">
        <w:trPr>
          <w:trHeight w:val="289"/>
        </w:trPr>
        <w:tc>
          <w:tcPr>
            <w:tcW w:w="3389" w:type="dxa"/>
            <w:tcBorders>
              <w:top w:val="nil"/>
              <w:left w:val="nil"/>
              <w:bottom w:val="nil"/>
              <w:right w:val="nil"/>
            </w:tcBorders>
          </w:tcPr>
          <w:p w14:paraId="1937481E" w14:textId="77777777" w:rsidR="00BC2A02" w:rsidRPr="00BC2A02" w:rsidRDefault="00BC2A02" w:rsidP="00296CA4">
            <w:pPr>
              <w:ind w:left="122"/>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 xml:space="preserve">     riadne dividendy </w:t>
            </w:r>
          </w:p>
        </w:tc>
        <w:tc>
          <w:tcPr>
            <w:tcW w:w="888" w:type="dxa"/>
            <w:tcBorders>
              <w:top w:val="nil"/>
              <w:left w:val="nil"/>
              <w:bottom w:val="nil"/>
              <w:right w:val="nil"/>
            </w:tcBorders>
          </w:tcPr>
          <w:p w14:paraId="78D663E3" w14:textId="77777777" w:rsidR="00BC2A02" w:rsidRPr="00BC2A02" w:rsidRDefault="00BC2A02" w:rsidP="00296CA4">
            <w:pPr>
              <w:ind w:left="14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2 500</w:t>
            </w:r>
          </w:p>
        </w:tc>
        <w:tc>
          <w:tcPr>
            <w:tcW w:w="826" w:type="dxa"/>
            <w:tcBorders>
              <w:top w:val="nil"/>
              <w:left w:val="nil"/>
              <w:bottom w:val="nil"/>
              <w:right w:val="nil"/>
            </w:tcBorders>
          </w:tcPr>
          <w:p w14:paraId="53C2F61F" w14:textId="77777777" w:rsidR="00BC2A02" w:rsidRPr="00BC2A02" w:rsidRDefault="00BC2A02" w:rsidP="00296CA4">
            <w:pPr>
              <w:ind w:left="14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5 000</w:t>
            </w:r>
          </w:p>
        </w:tc>
        <w:tc>
          <w:tcPr>
            <w:tcW w:w="744" w:type="dxa"/>
            <w:tcBorders>
              <w:top w:val="nil"/>
              <w:left w:val="nil"/>
              <w:bottom w:val="nil"/>
              <w:right w:val="nil"/>
            </w:tcBorders>
          </w:tcPr>
          <w:p w14:paraId="7968EA6F" w14:textId="77777777" w:rsidR="00BC2A02" w:rsidRPr="00BC2A02" w:rsidRDefault="00BC2A02" w:rsidP="00296CA4">
            <w:pPr>
              <w:ind w:left="16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2 500</w:t>
            </w:r>
          </w:p>
        </w:tc>
        <w:tc>
          <w:tcPr>
            <w:tcW w:w="770" w:type="dxa"/>
            <w:tcBorders>
              <w:top w:val="nil"/>
              <w:left w:val="nil"/>
              <w:bottom w:val="nil"/>
              <w:right w:val="nil"/>
            </w:tcBorders>
          </w:tcPr>
          <w:p w14:paraId="48F6A919" w14:textId="77777777" w:rsidR="00BC2A02" w:rsidRPr="00BC2A02" w:rsidRDefault="00BC2A02" w:rsidP="00296CA4">
            <w:pPr>
              <w:ind w:left="16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24 150</w:t>
            </w:r>
          </w:p>
        </w:tc>
        <w:tc>
          <w:tcPr>
            <w:tcW w:w="850" w:type="dxa"/>
            <w:tcBorders>
              <w:top w:val="nil"/>
              <w:left w:val="nil"/>
              <w:bottom w:val="nil"/>
              <w:right w:val="nil"/>
            </w:tcBorders>
          </w:tcPr>
          <w:p w14:paraId="39C1F8D4" w14:textId="77777777" w:rsidR="00BC2A02" w:rsidRPr="00BC2A02" w:rsidRDefault="00BC2A02" w:rsidP="00296CA4">
            <w:pPr>
              <w:ind w:left="16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20 000</w:t>
            </w:r>
          </w:p>
        </w:tc>
        <w:tc>
          <w:tcPr>
            <w:tcW w:w="851" w:type="dxa"/>
            <w:tcBorders>
              <w:top w:val="nil"/>
              <w:left w:val="nil"/>
              <w:bottom w:val="nil"/>
              <w:right w:val="nil"/>
            </w:tcBorders>
          </w:tcPr>
          <w:p w14:paraId="6173A133" w14:textId="77777777" w:rsidR="00BC2A02" w:rsidRPr="00BC2A02" w:rsidRDefault="00BC2A02" w:rsidP="00296CA4">
            <w:pPr>
              <w:ind w:left="16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20 300</w:t>
            </w:r>
          </w:p>
        </w:tc>
        <w:tc>
          <w:tcPr>
            <w:tcW w:w="770" w:type="dxa"/>
            <w:tcBorders>
              <w:top w:val="nil"/>
              <w:left w:val="nil"/>
              <w:bottom w:val="nil"/>
              <w:right w:val="nil"/>
            </w:tcBorders>
          </w:tcPr>
          <w:p w14:paraId="2BFC069B" w14:textId="77777777" w:rsidR="00BC2A02" w:rsidRPr="00BC2A02" w:rsidRDefault="00BC2A02" w:rsidP="00296CA4">
            <w:pPr>
              <w:ind w:left="12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21 000</w:t>
            </w:r>
          </w:p>
        </w:tc>
      </w:tr>
      <w:tr w:rsidR="00BC2A02" w:rsidRPr="00BC2A02" w14:paraId="4B9331FA" w14:textId="77777777" w:rsidTr="00B63F1A">
        <w:trPr>
          <w:trHeight w:val="289"/>
        </w:trPr>
        <w:tc>
          <w:tcPr>
            <w:tcW w:w="3389" w:type="dxa"/>
            <w:tcBorders>
              <w:top w:val="nil"/>
              <w:left w:val="nil"/>
              <w:bottom w:val="nil"/>
              <w:right w:val="nil"/>
            </w:tcBorders>
          </w:tcPr>
          <w:p w14:paraId="65A55B47" w14:textId="77777777" w:rsidR="00BC2A02" w:rsidRPr="00BC2A02" w:rsidRDefault="00BC2A02" w:rsidP="00296CA4">
            <w:pPr>
              <w:ind w:left="122"/>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 xml:space="preserve">     </w:t>
            </w:r>
            <w:proofErr w:type="spellStart"/>
            <w:r w:rsidRPr="00BC2A02">
              <w:rPr>
                <w:rFonts w:ascii="Times New Roman" w:hAnsi="Times New Roman" w:cs="Times New Roman"/>
                <w:i/>
                <w:color w:val="000000"/>
                <w:sz w:val="14"/>
                <w:szCs w:val="14"/>
              </w:rPr>
              <w:t>superdividendy</w:t>
            </w:r>
            <w:proofErr w:type="spellEnd"/>
            <w:r w:rsidRPr="00BC2A02">
              <w:rPr>
                <w:rFonts w:ascii="Times New Roman" w:hAnsi="Times New Roman" w:cs="Times New Roman"/>
                <w:i/>
                <w:color w:val="000000"/>
                <w:sz w:val="14"/>
                <w:szCs w:val="14"/>
              </w:rPr>
              <w:t xml:space="preserve"> </w:t>
            </w:r>
          </w:p>
        </w:tc>
        <w:tc>
          <w:tcPr>
            <w:tcW w:w="888" w:type="dxa"/>
            <w:tcBorders>
              <w:top w:val="nil"/>
              <w:left w:val="nil"/>
              <w:bottom w:val="nil"/>
              <w:right w:val="nil"/>
            </w:tcBorders>
          </w:tcPr>
          <w:p w14:paraId="13AB92EE" w14:textId="77777777" w:rsidR="00BC2A02" w:rsidRPr="00BC2A02" w:rsidRDefault="00BC2A02" w:rsidP="00296CA4">
            <w:pPr>
              <w:ind w:left="14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26" w:type="dxa"/>
            <w:tcBorders>
              <w:top w:val="nil"/>
              <w:left w:val="nil"/>
              <w:bottom w:val="nil"/>
              <w:right w:val="nil"/>
            </w:tcBorders>
          </w:tcPr>
          <w:p w14:paraId="383069A9" w14:textId="77777777" w:rsidR="00BC2A02" w:rsidRPr="00BC2A02" w:rsidRDefault="00BC2A02" w:rsidP="00296CA4">
            <w:pPr>
              <w:ind w:left="14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44" w:type="dxa"/>
            <w:tcBorders>
              <w:top w:val="nil"/>
              <w:left w:val="nil"/>
              <w:bottom w:val="nil"/>
              <w:right w:val="nil"/>
            </w:tcBorders>
          </w:tcPr>
          <w:p w14:paraId="345250E3" w14:textId="77777777" w:rsidR="00BC2A02" w:rsidRPr="00BC2A02" w:rsidRDefault="00BC2A02" w:rsidP="00296CA4">
            <w:pPr>
              <w:ind w:left="16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54F5DBCC" w14:textId="77777777" w:rsidR="00BC2A02" w:rsidRPr="00BC2A02" w:rsidRDefault="00BC2A02" w:rsidP="00296CA4">
            <w:pPr>
              <w:ind w:left="16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25 850</w:t>
            </w:r>
          </w:p>
        </w:tc>
        <w:tc>
          <w:tcPr>
            <w:tcW w:w="850" w:type="dxa"/>
            <w:tcBorders>
              <w:top w:val="nil"/>
              <w:left w:val="nil"/>
              <w:bottom w:val="nil"/>
              <w:right w:val="nil"/>
            </w:tcBorders>
          </w:tcPr>
          <w:p w14:paraId="76FDF7F3" w14:textId="77777777" w:rsidR="00BC2A02" w:rsidRPr="00BC2A02" w:rsidRDefault="00BC2A02" w:rsidP="00296CA4">
            <w:pPr>
              <w:ind w:left="16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51" w:type="dxa"/>
            <w:tcBorders>
              <w:top w:val="nil"/>
              <w:left w:val="nil"/>
              <w:bottom w:val="nil"/>
              <w:right w:val="nil"/>
            </w:tcBorders>
          </w:tcPr>
          <w:p w14:paraId="081E1320" w14:textId="77777777" w:rsidR="00BC2A02" w:rsidRPr="00BC2A02" w:rsidRDefault="00BC2A02" w:rsidP="00296CA4">
            <w:pPr>
              <w:ind w:left="16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04D07132" w14:textId="77777777" w:rsidR="00BC2A02" w:rsidRPr="00BC2A02" w:rsidRDefault="00BC2A02" w:rsidP="00296CA4">
            <w:pPr>
              <w:ind w:left="12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r>
      <w:tr w:rsidR="00BC2A02" w:rsidRPr="00BC2A02" w14:paraId="1368FD27" w14:textId="77777777" w:rsidTr="00B63F1A">
        <w:trPr>
          <w:trHeight w:val="289"/>
        </w:trPr>
        <w:tc>
          <w:tcPr>
            <w:tcW w:w="3389" w:type="dxa"/>
            <w:tcBorders>
              <w:top w:val="nil"/>
              <w:left w:val="nil"/>
              <w:bottom w:val="nil"/>
              <w:right w:val="nil"/>
            </w:tcBorders>
          </w:tcPr>
          <w:p w14:paraId="68F1211B"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color w:val="000000"/>
                <w:sz w:val="14"/>
                <w:szCs w:val="14"/>
              </w:rPr>
              <w:t xml:space="preserve">SEPS, a. s. </w:t>
            </w:r>
          </w:p>
        </w:tc>
        <w:tc>
          <w:tcPr>
            <w:tcW w:w="888" w:type="dxa"/>
            <w:tcBorders>
              <w:top w:val="nil"/>
              <w:left w:val="nil"/>
              <w:bottom w:val="nil"/>
              <w:right w:val="nil"/>
            </w:tcBorders>
          </w:tcPr>
          <w:p w14:paraId="058FE81F" w14:textId="77777777" w:rsidR="00BC2A02" w:rsidRPr="00BC2A02" w:rsidRDefault="00BC2A02" w:rsidP="00296CA4">
            <w:pPr>
              <w:ind w:left="8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29 335</w:t>
            </w:r>
          </w:p>
        </w:tc>
        <w:tc>
          <w:tcPr>
            <w:tcW w:w="826" w:type="dxa"/>
            <w:tcBorders>
              <w:top w:val="nil"/>
              <w:left w:val="nil"/>
              <w:bottom w:val="nil"/>
              <w:right w:val="nil"/>
            </w:tcBorders>
          </w:tcPr>
          <w:p w14:paraId="7CC8A288" w14:textId="77777777" w:rsidR="00BC2A02" w:rsidRPr="00BC2A02" w:rsidRDefault="00BC2A02" w:rsidP="00296CA4">
            <w:pPr>
              <w:ind w:left="8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c>
          <w:tcPr>
            <w:tcW w:w="744" w:type="dxa"/>
            <w:tcBorders>
              <w:top w:val="nil"/>
              <w:left w:val="nil"/>
              <w:bottom w:val="nil"/>
              <w:right w:val="nil"/>
            </w:tcBorders>
          </w:tcPr>
          <w:p w14:paraId="3810413B" w14:textId="77777777" w:rsidR="00BC2A02" w:rsidRPr="00BC2A02" w:rsidRDefault="00BC2A02" w:rsidP="00296CA4">
            <w:pPr>
              <w:ind w:left="16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62 872</w:t>
            </w:r>
          </w:p>
        </w:tc>
        <w:tc>
          <w:tcPr>
            <w:tcW w:w="770" w:type="dxa"/>
            <w:tcBorders>
              <w:top w:val="nil"/>
              <w:left w:val="nil"/>
              <w:bottom w:val="nil"/>
              <w:right w:val="nil"/>
            </w:tcBorders>
          </w:tcPr>
          <w:p w14:paraId="62A337CB" w14:textId="77777777" w:rsidR="00BC2A02" w:rsidRPr="00BC2A02" w:rsidRDefault="00BC2A02" w:rsidP="00296CA4">
            <w:pPr>
              <w:ind w:left="190"/>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79 338</w:t>
            </w:r>
          </w:p>
        </w:tc>
        <w:tc>
          <w:tcPr>
            <w:tcW w:w="850" w:type="dxa"/>
            <w:tcBorders>
              <w:top w:val="nil"/>
              <w:left w:val="nil"/>
              <w:bottom w:val="nil"/>
              <w:right w:val="nil"/>
            </w:tcBorders>
          </w:tcPr>
          <w:p w14:paraId="2AA04BE7" w14:textId="77777777" w:rsidR="00BC2A02" w:rsidRPr="00BC2A02" w:rsidRDefault="00BC2A02" w:rsidP="00296CA4">
            <w:pPr>
              <w:ind w:left="16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35 750</w:t>
            </w:r>
          </w:p>
        </w:tc>
        <w:tc>
          <w:tcPr>
            <w:tcW w:w="851" w:type="dxa"/>
            <w:tcBorders>
              <w:top w:val="nil"/>
              <w:left w:val="nil"/>
              <w:bottom w:val="nil"/>
              <w:right w:val="nil"/>
            </w:tcBorders>
          </w:tcPr>
          <w:p w14:paraId="628C98A2"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24 500</w:t>
            </w:r>
          </w:p>
        </w:tc>
        <w:tc>
          <w:tcPr>
            <w:tcW w:w="770" w:type="dxa"/>
            <w:tcBorders>
              <w:top w:val="nil"/>
              <w:left w:val="nil"/>
              <w:bottom w:val="nil"/>
              <w:right w:val="nil"/>
            </w:tcBorders>
          </w:tcPr>
          <w:p w14:paraId="46C87623"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13 500</w:t>
            </w:r>
          </w:p>
        </w:tc>
      </w:tr>
      <w:tr w:rsidR="00BC2A02" w:rsidRPr="00BC2A02" w14:paraId="5D31BBBD" w14:textId="77777777" w:rsidTr="00B63F1A">
        <w:trPr>
          <w:trHeight w:val="290"/>
        </w:trPr>
        <w:tc>
          <w:tcPr>
            <w:tcW w:w="3389" w:type="dxa"/>
            <w:tcBorders>
              <w:top w:val="nil"/>
              <w:left w:val="nil"/>
              <w:bottom w:val="nil"/>
              <w:right w:val="nil"/>
            </w:tcBorders>
          </w:tcPr>
          <w:p w14:paraId="3DC46BE1"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color w:val="000000"/>
                <w:sz w:val="14"/>
                <w:szCs w:val="14"/>
              </w:rPr>
              <w:t xml:space="preserve">SZRB, a. s. </w:t>
            </w:r>
          </w:p>
        </w:tc>
        <w:tc>
          <w:tcPr>
            <w:tcW w:w="888" w:type="dxa"/>
            <w:tcBorders>
              <w:top w:val="nil"/>
              <w:left w:val="nil"/>
              <w:bottom w:val="nil"/>
              <w:right w:val="nil"/>
            </w:tcBorders>
          </w:tcPr>
          <w:p w14:paraId="336B5EBF" w14:textId="77777777" w:rsidR="00BC2A02" w:rsidRPr="00BC2A02" w:rsidRDefault="00BC2A02" w:rsidP="00296CA4">
            <w:pPr>
              <w:ind w:left="8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c>
          <w:tcPr>
            <w:tcW w:w="826" w:type="dxa"/>
            <w:tcBorders>
              <w:top w:val="nil"/>
              <w:left w:val="nil"/>
              <w:bottom w:val="nil"/>
              <w:right w:val="nil"/>
            </w:tcBorders>
          </w:tcPr>
          <w:p w14:paraId="391E8E38" w14:textId="77777777" w:rsidR="00BC2A02" w:rsidRPr="00BC2A02" w:rsidRDefault="00BC2A02" w:rsidP="00296CA4">
            <w:pPr>
              <w:ind w:left="8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c>
          <w:tcPr>
            <w:tcW w:w="744" w:type="dxa"/>
            <w:tcBorders>
              <w:top w:val="nil"/>
              <w:left w:val="nil"/>
              <w:bottom w:val="nil"/>
              <w:right w:val="nil"/>
            </w:tcBorders>
          </w:tcPr>
          <w:p w14:paraId="6442C319" w14:textId="77777777" w:rsidR="00BC2A02" w:rsidRPr="00BC2A02" w:rsidRDefault="00BC2A02" w:rsidP="00296CA4">
            <w:pPr>
              <w:ind w:left="103"/>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c>
          <w:tcPr>
            <w:tcW w:w="770" w:type="dxa"/>
            <w:tcBorders>
              <w:top w:val="nil"/>
              <w:left w:val="nil"/>
              <w:bottom w:val="nil"/>
              <w:right w:val="nil"/>
            </w:tcBorders>
          </w:tcPr>
          <w:p w14:paraId="70437E3B" w14:textId="77777777" w:rsidR="00BC2A02" w:rsidRPr="00BC2A02" w:rsidRDefault="00BC2A02" w:rsidP="00296CA4">
            <w:pPr>
              <w:ind w:left="20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400</w:t>
            </w:r>
          </w:p>
        </w:tc>
        <w:tc>
          <w:tcPr>
            <w:tcW w:w="850" w:type="dxa"/>
            <w:tcBorders>
              <w:top w:val="nil"/>
              <w:left w:val="nil"/>
              <w:bottom w:val="nil"/>
              <w:right w:val="nil"/>
            </w:tcBorders>
          </w:tcPr>
          <w:p w14:paraId="684E89B4" w14:textId="77777777" w:rsidR="00BC2A02" w:rsidRPr="00BC2A02" w:rsidRDefault="00BC2A02" w:rsidP="00296CA4">
            <w:pPr>
              <w:ind w:left="103"/>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5 400</w:t>
            </w:r>
          </w:p>
        </w:tc>
        <w:tc>
          <w:tcPr>
            <w:tcW w:w="851" w:type="dxa"/>
            <w:tcBorders>
              <w:top w:val="nil"/>
              <w:left w:val="nil"/>
              <w:bottom w:val="nil"/>
              <w:right w:val="nil"/>
            </w:tcBorders>
          </w:tcPr>
          <w:p w14:paraId="2805AA5D" w14:textId="77777777" w:rsidR="00BC2A02" w:rsidRPr="00BC2A02" w:rsidRDefault="00BC2A02" w:rsidP="00296CA4">
            <w:pPr>
              <w:ind w:left="70"/>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4 500</w:t>
            </w:r>
          </w:p>
        </w:tc>
        <w:tc>
          <w:tcPr>
            <w:tcW w:w="770" w:type="dxa"/>
            <w:tcBorders>
              <w:top w:val="nil"/>
              <w:left w:val="nil"/>
              <w:bottom w:val="nil"/>
              <w:right w:val="nil"/>
            </w:tcBorders>
          </w:tcPr>
          <w:p w14:paraId="7C6581CE" w14:textId="77777777" w:rsidR="00BC2A02" w:rsidRPr="00BC2A02" w:rsidRDefault="00BC2A02" w:rsidP="00296CA4">
            <w:pPr>
              <w:ind w:left="264"/>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650</w:t>
            </w:r>
          </w:p>
        </w:tc>
      </w:tr>
      <w:tr w:rsidR="00BC2A02" w:rsidRPr="00BC2A02" w14:paraId="5E4F0C5C" w14:textId="77777777" w:rsidTr="00B63F1A">
        <w:trPr>
          <w:trHeight w:val="386"/>
        </w:trPr>
        <w:tc>
          <w:tcPr>
            <w:tcW w:w="3389" w:type="dxa"/>
            <w:tcBorders>
              <w:top w:val="nil"/>
              <w:left w:val="nil"/>
              <w:bottom w:val="nil"/>
              <w:right w:val="nil"/>
            </w:tcBorders>
          </w:tcPr>
          <w:p w14:paraId="57FC1DE5"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b/>
                <w:color w:val="000000"/>
                <w:sz w:val="14"/>
                <w:szCs w:val="14"/>
              </w:rPr>
              <w:t xml:space="preserve">Ministerstvo zahraničných vecí a európskych záležitostí SR </w:t>
            </w:r>
          </w:p>
        </w:tc>
        <w:tc>
          <w:tcPr>
            <w:tcW w:w="888" w:type="dxa"/>
            <w:tcBorders>
              <w:top w:val="nil"/>
              <w:left w:val="nil"/>
              <w:bottom w:val="nil"/>
              <w:right w:val="nil"/>
            </w:tcBorders>
          </w:tcPr>
          <w:p w14:paraId="7E13CB08" w14:textId="77777777" w:rsidR="00BC2A02" w:rsidRPr="00BC2A02" w:rsidRDefault="00BC2A02" w:rsidP="00296CA4">
            <w:pPr>
              <w:ind w:left="245"/>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250</w:t>
            </w:r>
          </w:p>
        </w:tc>
        <w:tc>
          <w:tcPr>
            <w:tcW w:w="826" w:type="dxa"/>
            <w:tcBorders>
              <w:top w:val="nil"/>
              <w:left w:val="nil"/>
              <w:bottom w:val="nil"/>
              <w:right w:val="nil"/>
            </w:tcBorders>
          </w:tcPr>
          <w:p w14:paraId="5860E0E0" w14:textId="77777777" w:rsidR="00BC2A02" w:rsidRPr="00BC2A02" w:rsidRDefault="00BC2A02" w:rsidP="00296CA4">
            <w:pPr>
              <w:ind w:left="245"/>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240</w:t>
            </w:r>
          </w:p>
        </w:tc>
        <w:tc>
          <w:tcPr>
            <w:tcW w:w="744" w:type="dxa"/>
            <w:tcBorders>
              <w:top w:val="nil"/>
              <w:left w:val="nil"/>
              <w:bottom w:val="nil"/>
              <w:right w:val="nil"/>
            </w:tcBorders>
          </w:tcPr>
          <w:p w14:paraId="179FCBAB" w14:textId="77777777" w:rsidR="00BC2A02" w:rsidRPr="00BC2A02" w:rsidRDefault="00BC2A02" w:rsidP="00296CA4">
            <w:pPr>
              <w:ind w:left="264"/>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260</w:t>
            </w:r>
          </w:p>
        </w:tc>
        <w:tc>
          <w:tcPr>
            <w:tcW w:w="770" w:type="dxa"/>
            <w:tcBorders>
              <w:top w:val="nil"/>
              <w:left w:val="nil"/>
              <w:bottom w:val="nil"/>
              <w:right w:val="nil"/>
            </w:tcBorders>
          </w:tcPr>
          <w:p w14:paraId="68550DE0" w14:textId="77777777" w:rsidR="00BC2A02" w:rsidRPr="00BC2A02" w:rsidRDefault="00BC2A02" w:rsidP="00296CA4">
            <w:pPr>
              <w:ind w:left="264"/>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260</w:t>
            </w:r>
          </w:p>
        </w:tc>
        <w:tc>
          <w:tcPr>
            <w:tcW w:w="850" w:type="dxa"/>
            <w:tcBorders>
              <w:top w:val="nil"/>
              <w:left w:val="nil"/>
              <w:bottom w:val="nil"/>
              <w:right w:val="nil"/>
            </w:tcBorders>
          </w:tcPr>
          <w:p w14:paraId="22023167" w14:textId="77777777" w:rsidR="00BC2A02" w:rsidRPr="00BC2A02" w:rsidRDefault="00BC2A02" w:rsidP="00296CA4">
            <w:pPr>
              <w:ind w:left="264"/>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260</w:t>
            </w:r>
          </w:p>
        </w:tc>
        <w:tc>
          <w:tcPr>
            <w:tcW w:w="851" w:type="dxa"/>
            <w:tcBorders>
              <w:top w:val="nil"/>
              <w:left w:val="nil"/>
              <w:bottom w:val="nil"/>
              <w:right w:val="nil"/>
            </w:tcBorders>
          </w:tcPr>
          <w:p w14:paraId="492E0CE4" w14:textId="77777777" w:rsidR="00BC2A02" w:rsidRPr="00BC2A02" w:rsidRDefault="00BC2A02" w:rsidP="00296CA4">
            <w:pPr>
              <w:ind w:left="264"/>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260</w:t>
            </w:r>
          </w:p>
        </w:tc>
        <w:tc>
          <w:tcPr>
            <w:tcW w:w="770" w:type="dxa"/>
            <w:tcBorders>
              <w:top w:val="nil"/>
              <w:left w:val="nil"/>
              <w:bottom w:val="nil"/>
              <w:right w:val="nil"/>
            </w:tcBorders>
          </w:tcPr>
          <w:p w14:paraId="06B163D1" w14:textId="77777777" w:rsidR="00BC2A02" w:rsidRPr="00BC2A02" w:rsidRDefault="00BC2A02" w:rsidP="00296CA4">
            <w:pPr>
              <w:ind w:left="264"/>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260</w:t>
            </w:r>
          </w:p>
        </w:tc>
      </w:tr>
      <w:tr w:rsidR="00BC2A02" w:rsidRPr="00BC2A02" w14:paraId="0B1ADC3C" w14:textId="77777777" w:rsidTr="00B63F1A">
        <w:trPr>
          <w:trHeight w:val="224"/>
        </w:trPr>
        <w:tc>
          <w:tcPr>
            <w:tcW w:w="3389" w:type="dxa"/>
            <w:tcBorders>
              <w:top w:val="nil"/>
              <w:left w:val="nil"/>
              <w:bottom w:val="nil"/>
              <w:right w:val="nil"/>
            </w:tcBorders>
          </w:tcPr>
          <w:p w14:paraId="199A118C"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color w:val="000000"/>
                <w:sz w:val="14"/>
                <w:szCs w:val="14"/>
              </w:rPr>
              <w:t xml:space="preserve">Správa služieb diplomatickému zboru, a. s. </w:t>
            </w:r>
          </w:p>
        </w:tc>
        <w:tc>
          <w:tcPr>
            <w:tcW w:w="888" w:type="dxa"/>
            <w:tcBorders>
              <w:top w:val="nil"/>
              <w:left w:val="nil"/>
              <w:bottom w:val="nil"/>
              <w:right w:val="nil"/>
            </w:tcBorders>
          </w:tcPr>
          <w:p w14:paraId="469FDF75" w14:textId="77777777" w:rsidR="00BC2A02" w:rsidRPr="00BC2A02" w:rsidRDefault="00BC2A02" w:rsidP="00296CA4">
            <w:pPr>
              <w:ind w:left="245"/>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250</w:t>
            </w:r>
          </w:p>
        </w:tc>
        <w:tc>
          <w:tcPr>
            <w:tcW w:w="826" w:type="dxa"/>
            <w:tcBorders>
              <w:top w:val="nil"/>
              <w:left w:val="nil"/>
              <w:bottom w:val="nil"/>
              <w:right w:val="nil"/>
            </w:tcBorders>
          </w:tcPr>
          <w:p w14:paraId="7E4C5CCC" w14:textId="77777777" w:rsidR="00BC2A02" w:rsidRPr="00BC2A02" w:rsidRDefault="00BC2A02" w:rsidP="00296CA4">
            <w:pPr>
              <w:ind w:left="245"/>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240</w:t>
            </w:r>
          </w:p>
        </w:tc>
        <w:tc>
          <w:tcPr>
            <w:tcW w:w="744" w:type="dxa"/>
            <w:tcBorders>
              <w:top w:val="nil"/>
              <w:left w:val="nil"/>
              <w:bottom w:val="nil"/>
              <w:right w:val="nil"/>
            </w:tcBorders>
          </w:tcPr>
          <w:p w14:paraId="52910162" w14:textId="77777777" w:rsidR="00BC2A02" w:rsidRPr="00BC2A02" w:rsidRDefault="00BC2A02" w:rsidP="00296CA4">
            <w:pPr>
              <w:ind w:left="264"/>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260</w:t>
            </w:r>
          </w:p>
        </w:tc>
        <w:tc>
          <w:tcPr>
            <w:tcW w:w="770" w:type="dxa"/>
            <w:tcBorders>
              <w:top w:val="nil"/>
              <w:left w:val="nil"/>
              <w:bottom w:val="nil"/>
              <w:right w:val="nil"/>
            </w:tcBorders>
          </w:tcPr>
          <w:p w14:paraId="1FEEEF6F" w14:textId="77777777" w:rsidR="00BC2A02" w:rsidRPr="00BC2A02" w:rsidRDefault="00BC2A02" w:rsidP="00296CA4">
            <w:pPr>
              <w:ind w:left="264"/>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260</w:t>
            </w:r>
          </w:p>
        </w:tc>
        <w:tc>
          <w:tcPr>
            <w:tcW w:w="850" w:type="dxa"/>
            <w:tcBorders>
              <w:top w:val="nil"/>
              <w:left w:val="nil"/>
              <w:bottom w:val="nil"/>
              <w:right w:val="nil"/>
            </w:tcBorders>
          </w:tcPr>
          <w:p w14:paraId="2C643F34" w14:textId="77777777" w:rsidR="00BC2A02" w:rsidRPr="00BC2A02" w:rsidRDefault="00BC2A02" w:rsidP="00296CA4">
            <w:pPr>
              <w:ind w:left="264"/>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260</w:t>
            </w:r>
          </w:p>
        </w:tc>
        <w:tc>
          <w:tcPr>
            <w:tcW w:w="851" w:type="dxa"/>
            <w:tcBorders>
              <w:top w:val="nil"/>
              <w:left w:val="nil"/>
              <w:bottom w:val="nil"/>
              <w:right w:val="nil"/>
            </w:tcBorders>
          </w:tcPr>
          <w:p w14:paraId="1CD98B7B" w14:textId="77777777" w:rsidR="00BC2A02" w:rsidRPr="00BC2A02" w:rsidRDefault="00BC2A02" w:rsidP="00296CA4">
            <w:pPr>
              <w:ind w:left="264"/>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260</w:t>
            </w:r>
          </w:p>
        </w:tc>
        <w:tc>
          <w:tcPr>
            <w:tcW w:w="770" w:type="dxa"/>
            <w:tcBorders>
              <w:top w:val="nil"/>
              <w:left w:val="nil"/>
              <w:bottom w:val="nil"/>
              <w:right w:val="nil"/>
            </w:tcBorders>
          </w:tcPr>
          <w:p w14:paraId="60C89C23" w14:textId="77777777" w:rsidR="00BC2A02" w:rsidRPr="00BC2A02" w:rsidRDefault="00BC2A02" w:rsidP="00296CA4">
            <w:pPr>
              <w:ind w:left="264"/>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260</w:t>
            </w:r>
          </w:p>
        </w:tc>
      </w:tr>
      <w:tr w:rsidR="00BC2A02" w:rsidRPr="00BC2A02" w14:paraId="3CCF043E" w14:textId="77777777" w:rsidTr="00B63F1A">
        <w:trPr>
          <w:trHeight w:val="273"/>
        </w:trPr>
        <w:tc>
          <w:tcPr>
            <w:tcW w:w="3389" w:type="dxa"/>
            <w:tcBorders>
              <w:top w:val="nil"/>
              <w:left w:val="nil"/>
              <w:bottom w:val="nil"/>
              <w:right w:val="nil"/>
            </w:tcBorders>
          </w:tcPr>
          <w:p w14:paraId="207FA465"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i/>
                <w:color w:val="000000"/>
                <w:sz w:val="14"/>
                <w:szCs w:val="14"/>
              </w:rPr>
              <w:t xml:space="preserve">     riadne dividendy </w:t>
            </w:r>
          </w:p>
        </w:tc>
        <w:tc>
          <w:tcPr>
            <w:tcW w:w="888" w:type="dxa"/>
            <w:tcBorders>
              <w:top w:val="nil"/>
              <w:left w:val="nil"/>
              <w:bottom w:val="nil"/>
              <w:right w:val="nil"/>
            </w:tcBorders>
          </w:tcPr>
          <w:p w14:paraId="5BD26BD0" w14:textId="77777777" w:rsidR="00BC2A02" w:rsidRPr="00BC2A02" w:rsidRDefault="00BC2A02" w:rsidP="00296CA4">
            <w:pPr>
              <w:ind w:left="245"/>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250</w:t>
            </w:r>
          </w:p>
        </w:tc>
        <w:tc>
          <w:tcPr>
            <w:tcW w:w="826" w:type="dxa"/>
            <w:tcBorders>
              <w:top w:val="nil"/>
              <w:left w:val="nil"/>
              <w:bottom w:val="nil"/>
              <w:right w:val="nil"/>
            </w:tcBorders>
          </w:tcPr>
          <w:p w14:paraId="327F0273" w14:textId="77777777" w:rsidR="00BC2A02" w:rsidRPr="00BC2A02" w:rsidRDefault="00BC2A02" w:rsidP="00296CA4">
            <w:pPr>
              <w:ind w:left="245"/>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240</w:t>
            </w:r>
          </w:p>
        </w:tc>
        <w:tc>
          <w:tcPr>
            <w:tcW w:w="744" w:type="dxa"/>
            <w:tcBorders>
              <w:top w:val="nil"/>
              <w:left w:val="nil"/>
              <w:bottom w:val="nil"/>
              <w:right w:val="nil"/>
            </w:tcBorders>
          </w:tcPr>
          <w:p w14:paraId="4D8DC13B" w14:textId="77777777" w:rsidR="00BC2A02" w:rsidRPr="00BC2A02" w:rsidRDefault="00BC2A02" w:rsidP="00296CA4">
            <w:pPr>
              <w:ind w:left="264"/>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260</w:t>
            </w:r>
          </w:p>
        </w:tc>
        <w:tc>
          <w:tcPr>
            <w:tcW w:w="770" w:type="dxa"/>
            <w:tcBorders>
              <w:top w:val="nil"/>
              <w:left w:val="nil"/>
              <w:bottom w:val="nil"/>
              <w:right w:val="nil"/>
            </w:tcBorders>
          </w:tcPr>
          <w:p w14:paraId="523ACAE6" w14:textId="77777777" w:rsidR="00BC2A02" w:rsidRPr="00BC2A02" w:rsidRDefault="00BC2A02" w:rsidP="00296CA4">
            <w:pPr>
              <w:ind w:left="264"/>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260</w:t>
            </w:r>
          </w:p>
        </w:tc>
        <w:tc>
          <w:tcPr>
            <w:tcW w:w="850" w:type="dxa"/>
            <w:tcBorders>
              <w:top w:val="nil"/>
              <w:left w:val="nil"/>
              <w:bottom w:val="nil"/>
              <w:right w:val="nil"/>
            </w:tcBorders>
          </w:tcPr>
          <w:p w14:paraId="3486CAEC" w14:textId="77777777" w:rsidR="00BC2A02" w:rsidRPr="00BC2A02" w:rsidRDefault="00BC2A02" w:rsidP="00296CA4">
            <w:pPr>
              <w:ind w:left="264"/>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117</w:t>
            </w:r>
          </w:p>
        </w:tc>
        <w:tc>
          <w:tcPr>
            <w:tcW w:w="851" w:type="dxa"/>
            <w:tcBorders>
              <w:top w:val="nil"/>
              <w:left w:val="nil"/>
              <w:bottom w:val="nil"/>
              <w:right w:val="nil"/>
            </w:tcBorders>
          </w:tcPr>
          <w:p w14:paraId="322392C2" w14:textId="77777777" w:rsidR="00BC2A02" w:rsidRPr="00BC2A02" w:rsidRDefault="00BC2A02" w:rsidP="00296CA4">
            <w:pPr>
              <w:ind w:left="264"/>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260</w:t>
            </w:r>
          </w:p>
        </w:tc>
        <w:tc>
          <w:tcPr>
            <w:tcW w:w="770" w:type="dxa"/>
            <w:tcBorders>
              <w:top w:val="nil"/>
              <w:left w:val="nil"/>
              <w:bottom w:val="nil"/>
              <w:right w:val="nil"/>
            </w:tcBorders>
          </w:tcPr>
          <w:p w14:paraId="19C1D9D8" w14:textId="77777777" w:rsidR="00BC2A02" w:rsidRPr="00BC2A02" w:rsidRDefault="00BC2A02" w:rsidP="00296CA4">
            <w:pPr>
              <w:ind w:left="264"/>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250</w:t>
            </w:r>
          </w:p>
        </w:tc>
      </w:tr>
      <w:tr w:rsidR="00BC2A02" w:rsidRPr="00BC2A02" w14:paraId="00E016BB" w14:textId="77777777" w:rsidTr="00B63F1A">
        <w:trPr>
          <w:trHeight w:val="290"/>
        </w:trPr>
        <w:tc>
          <w:tcPr>
            <w:tcW w:w="3389" w:type="dxa"/>
            <w:tcBorders>
              <w:top w:val="nil"/>
              <w:left w:val="nil"/>
              <w:bottom w:val="nil"/>
              <w:right w:val="nil"/>
            </w:tcBorders>
          </w:tcPr>
          <w:p w14:paraId="6CE29104"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i/>
                <w:color w:val="000000"/>
                <w:sz w:val="14"/>
                <w:szCs w:val="14"/>
              </w:rPr>
              <w:t xml:space="preserve">     </w:t>
            </w:r>
            <w:proofErr w:type="spellStart"/>
            <w:r w:rsidRPr="00BC2A02">
              <w:rPr>
                <w:rFonts w:ascii="Times New Roman" w:hAnsi="Times New Roman" w:cs="Times New Roman"/>
                <w:i/>
                <w:color w:val="000000"/>
                <w:sz w:val="14"/>
                <w:szCs w:val="14"/>
              </w:rPr>
              <w:t>superdividendy</w:t>
            </w:r>
            <w:proofErr w:type="spellEnd"/>
            <w:r w:rsidRPr="00BC2A02">
              <w:rPr>
                <w:rFonts w:ascii="Times New Roman" w:hAnsi="Times New Roman" w:cs="Times New Roman"/>
                <w:i/>
                <w:color w:val="000000"/>
                <w:sz w:val="14"/>
                <w:szCs w:val="14"/>
              </w:rPr>
              <w:t xml:space="preserve"> </w:t>
            </w:r>
          </w:p>
        </w:tc>
        <w:tc>
          <w:tcPr>
            <w:tcW w:w="888" w:type="dxa"/>
            <w:tcBorders>
              <w:top w:val="nil"/>
              <w:left w:val="nil"/>
              <w:bottom w:val="nil"/>
              <w:right w:val="nil"/>
            </w:tcBorders>
          </w:tcPr>
          <w:p w14:paraId="4AE24621" w14:textId="77777777" w:rsidR="00BC2A02" w:rsidRPr="00BC2A02" w:rsidRDefault="00BC2A02" w:rsidP="00296CA4">
            <w:pPr>
              <w:ind w:left="245"/>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26" w:type="dxa"/>
            <w:tcBorders>
              <w:top w:val="nil"/>
              <w:left w:val="nil"/>
              <w:bottom w:val="nil"/>
              <w:right w:val="nil"/>
            </w:tcBorders>
          </w:tcPr>
          <w:p w14:paraId="65A94D9B" w14:textId="77777777" w:rsidR="00BC2A02" w:rsidRPr="00BC2A02" w:rsidRDefault="00BC2A02" w:rsidP="00296CA4">
            <w:pPr>
              <w:ind w:left="245"/>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44" w:type="dxa"/>
            <w:tcBorders>
              <w:top w:val="nil"/>
              <w:left w:val="nil"/>
              <w:bottom w:val="nil"/>
              <w:right w:val="nil"/>
            </w:tcBorders>
          </w:tcPr>
          <w:p w14:paraId="2B13298C" w14:textId="77777777" w:rsidR="00BC2A02" w:rsidRPr="00BC2A02" w:rsidRDefault="00BC2A02" w:rsidP="00296CA4">
            <w:pPr>
              <w:ind w:left="103"/>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192DAB77" w14:textId="77777777" w:rsidR="00BC2A02" w:rsidRPr="00BC2A02" w:rsidRDefault="00BC2A02" w:rsidP="00296CA4">
            <w:pPr>
              <w:ind w:left="20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50" w:type="dxa"/>
            <w:tcBorders>
              <w:top w:val="nil"/>
              <w:left w:val="nil"/>
              <w:bottom w:val="nil"/>
              <w:right w:val="nil"/>
            </w:tcBorders>
          </w:tcPr>
          <w:p w14:paraId="0817B246" w14:textId="77777777" w:rsidR="00BC2A02" w:rsidRPr="00BC2A02" w:rsidRDefault="00BC2A02" w:rsidP="00296CA4">
            <w:pPr>
              <w:ind w:left="103"/>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143</w:t>
            </w:r>
          </w:p>
        </w:tc>
        <w:tc>
          <w:tcPr>
            <w:tcW w:w="851" w:type="dxa"/>
            <w:tcBorders>
              <w:top w:val="nil"/>
              <w:left w:val="nil"/>
              <w:bottom w:val="nil"/>
              <w:right w:val="nil"/>
            </w:tcBorders>
          </w:tcPr>
          <w:p w14:paraId="101EEA32" w14:textId="77777777" w:rsidR="00BC2A02" w:rsidRPr="00BC2A02" w:rsidRDefault="00BC2A02" w:rsidP="00296CA4">
            <w:pPr>
              <w:ind w:left="70"/>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0D0B2D93" w14:textId="77777777" w:rsidR="00BC2A02" w:rsidRPr="00BC2A02" w:rsidRDefault="00BC2A02" w:rsidP="00296CA4">
            <w:pPr>
              <w:ind w:left="70"/>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10</w:t>
            </w:r>
          </w:p>
        </w:tc>
      </w:tr>
      <w:tr w:rsidR="00BC2A02" w:rsidRPr="00BC2A02" w14:paraId="0EBAC825" w14:textId="77777777" w:rsidTr="00B63F1A">
        <w:trPr>
          <w:trHeight w:val="289"/>
        </w:trPr>
        <w:tc>
          <w:tcPr>
            <w:tcW w:w="3389" w:type="dxa"/>
            <w:tcBorders>
              <w:top w:val="nil"/>
              <w:left w:val="nil"/>
              <w:bottom w:val="nil"/>
              <w:right w:val="nil"/>
            </w:tcBorders>
          </w:tcPr>
          <w:p w14:paraId="2FD4AB7F"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b/>
                <w:color w:val="000000"/>
                <w:sz w:val="14"/>
                <w:szCs w:val="14"/>
              </w:rPr>
              <w:t xml:space="preserve">Ministerstvo hospodárstva SR </w:t>
            </w:r>
          </w:p>
        </w:tc>
        <w:tc>
          <w:tcPr>
            <w:tcW w:w="888" w:type="dxa"/>
            <w:tcBorders>
              <w:top w:val="nil"/>
              <w:left w:val="nil"/>
              <w:bottom w:val="nil"/>
              <w:right w:val="nil"/>
            </w:tcBorders>
          </w:tcPr>
          <w:p w14:paraId="0CC3FD62" w14:textId="77777777" w:rsidR="00BC2A02" w:rsidRPr="00BC2A02" w:rsidRDefault="00BC2A02" w:rsidP="00296CA4">
            <w:pPr>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447 445</w:t>
            </w:r>
          </w:p>
        </w:tc>
        <w:tc>
          <w:tcPr>
            <w:tcW w:w="826" w:type="dxa"/>
            <w:tcBorders>
              <w:top w:val="nil"/>
              <w:left w:val="nil"/>
              <w:bottom w:val="nil"/>
              <w:right w:val="nil"/>
            </w:tcBorders>
          </w:tcPr>
          <w:p w14:paraId="55DC5A33" w14:textId="77777777" w:rsidR="00BC2A02" w:rsidRPr="00BC2A02" w:rsidRDefault="00BC2A02" w:rsidP="00296CA4">
            <w:pPr>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153 186</w:t>
            </w:r>
          </w:p>
        </w:tc>
        <w:tc>
          <w:tcPr>
            <w:tcW w:w="744" w:type="dxa"/>
            <w:tcBorders>
              <w:top w:val="nil"/>
              <w:left w:val="nil"/>
              <w:bottom w:val="nil"/>
              <w:right w:val="nil"/>
            </w:tcBorders>
          </w:tcPr>
          <w:p w14:paraId="017D4490" w14:textId="77777777" w:rsidR="00BC2A02" w:rsidRPr="00BC2A02" w:rsidRDefault="00BC2A02" w:rsidP="00296CA4">
            <w:pPr>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323 276</w:t>
            </w:r>
          </w:p>
        </w:tc>
        <w:tc>
          <w:tcPr>
            <w:tcW w:w="770" w:type="dxa"/>
            <w:tcBorders>
              <w:top w:val="nil"/>
              <w:left w:val="nil"/>
              <w:bottom w:val="nil"/>
              <w:right w:val="nil"/>
            </w:tcBorders>
          </w:tcPr>
          <w:p w14:paraId="3DBC0501" w14:textId="77777777" w:rsidR="00BC2A02" w:rsidRPr="00BC2A02" w:rsidRDefault="00BC2A02" w:rsidP="00296CA4">
            <w:pPr>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308 575</w:t>
            </w:r>
          </w:p>
        </w:tc>
        <w:tc>
          <w:tcPr>
            <w:tcW w:w="850" w:type="dxa"/>
            <w:tcBorders>
              <w:top w:val="nil"/>
              <w:left w:val="nil"/>
              <w:bottom w:val="nil"/>
              <w:right w:val="nil"/>
            </w:tcBorders>
          </w:tcPr>
          <w:p w14:paraId="7118D625" w14:textId="77777777" w:rsidR="00BC2A02" w:rsidRPr="00BC2A02" w:rsidRDefault="00BC2A02" w:rsidP="00296CA4">
            <w:pPr>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374 599</w:t>
            </w:r>
          </w:p>
        </w:tc>
        <w:tc>
          <w:tcPr>
            <w:tcW w:w="851" w:type="dxa"/>
            <w:tcBorders>
              <w:top w:val="nil"/>
              <w:left w:val="nil"/>
              <w:bottom w:val="nil"/>
              <w:right w:val="nil"/>
            </w:tcBorders>
          </w:tcPr>
          <w:p w14:paraId="60DC4C7D" w14:textId="77777777" w:rsidR="00BC2A02" w:rsidRPr="00BC2A02" w:rsidRDefault="00BC2A02" w:rsidP="00296CA4">
            <w:pPr>
              <w:ind w:left="19"/>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239 046</w:t>
            </w:r>
          </w:p>
        </w:tc>
        <w:tc>
          <w:tcPr>
            <w:tcW w:w="770" w:type="dxa"/>
            <w:tcBorders>
              <w:top w:val="nil"/>
              <w:left w:val="nil"/>
              <w:bottom w:val="nil"/>
              <w:right w:val="nil"/>
            </w:tcBorders>
          </w:tcPr>
          <w:p w14:paraId="7E6F4BC5" w14:textId="77777777" w:rsidR="00BC2A02" w:rsidRPr="00BC2A02" w:rsidRDefault="00BC2A02" w:rsidP="00296CA4">
            <w:pPr>
              <w:ind w:left="19"/>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206 761</w:t>
            </w:r>
          </w:p>
        </w:tc>
      </w:tr>
      <w:tr w:rsidR="00BC2A02" w:rsidRPr="00BC2A02" w14:paraId="76FF5242" w14:textId="77777777" w:rsidTr="00B63F1A">
        <w:trPr>
          <w:trHeight w:val="288"/>
        </w:trPr>
        <w:tc>
          <w:tcPr>
            <w:tcW w:w="3389" w:type="dxa"/>
            <w:tcBorders>
              <w:top w:val="nil"/>
              <w:left w:val="nil"/>
              <w:bottom w:val="nil"/>
              <w:right w:val="nil"/>
            </w:tcBorders>
          </w:tcPr>
          <w:p w14:paraId="2E9CE56C"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color w:val="000000"/>
                <w:sz w:val="14"/>
                <w:szCs w:val="14"/>
              </w:rPr>
              <w:t xml:space="preserve">Jadrová a vyraďovacia spoločnosť, a. s. </w:t>
            </w:r>
          </w:p>
        </w:tc>
        <w:tc>
          <w:tcPr>
            <w:tcW w:w="888" w:type="dxa"/>
            <w:tcBorders>
              <w:top w:val="nil"/>
              <w:left w:val="nil"/>
              <w:bottom w:val="nil"/>
              <w:right w:val="nil"/>
            </w:tcBorders>
          </w:tcPr>
          <w:p w14:paraId="541A19A1" w14:textId="77777777" w:rsidR="00BC2A02" w:rsidRPr="00BC2A02" w:rsidRDefault="00BC2A02" w:rsidP="00296CA4">
            <w:pPr>
              <w:ind w:left="14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3 000</w:t>
            </w:r>
          </w:p>
        </w:tc>
        <w:tc>
          <w:tcPr>
            <w:tcW w:w="826" w:type="dxa"/>
            <w:tcBorders>
              <w:top w:val="nil"/>
              <w:left w:val="nil"/>
              <w:bottom w:val="nil"/>
              <w:right w:val="nil"/>
            </w:tcBorders>
          </w:tcPr>
          <w:p w14:paraId="08561493" w14:textId="77777777" w:rsidR="00BC2A02" w:rsidRPr="00BC2A02" w:rsidRDefault="00BC2A02" w:rsidP="00296CA4">
            <w:pPr>
              <w:ind w:left="14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3 000</w:t>
            </w:r>
          </w:p>
        </w:tc>
        <w:tc>
          <w:tcPr>
            <w:tcW w:w="744" w:type="dxa"/>
            <w:tcBorders>
              <w:top w:val="nil"/>
              <w:left w:val="nil"/>
              <w:bottom w:val="nil"/>
              <w:right w:val="nil"/>
            </w:tcBorders>
          </w:tcPr>
          <w:p w14:paraId="69601222" w14:textId="77777777" w:rsidR="00BC2A02" w:rsidRPr="00BC2A02" w:rsidRDefault="00BC2A02" w:rsidP="00296CA4">
            <w:pPr>
              <w:ind w:left="16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3 000</w:t>
            </w:r>
          </w:p>
        </w:tc>
        <w:tc>
          <w:tcPr>
            <w:tcW w:w="770" w:type="dxa"/>
            <w:tcBorders>
              <w:top w:val="nil"/>
              <w:left w:val="nil"/>
              <w:bottom w:val="nil"/>
              <w:right w:val="nil"/>
            </w:tcBorders>
          </w:tcPr>
          <w:p w14:paraId="25A48E2D" w14:textId="77777777" w:rsidR="00BC2A02" w:rsidRPr="00BC2A02" w:rsidRDefault="00BC2A02" w:rsidP="00296CA4">
            <w:pPr>
              <w:ind w:left="16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490</w:t>
            </w:r>
          </w:p>
        </w:tc>
        <w:tc>
          <w:tcPr>
            <w:tcW w:w="850" w:type="dxa"/>
            <w:tcBorders>
              <w:top w:val="nil"/>
              <w:left w:val="nil"/>
              <w:bottom w:val="nil"/>
              <w:right w:val="nil"/>
            </w:tcBorders>
          </w:tcPr>
          <w:p w14:paraId="34EF166F" w14:textId="77777777" w:rsidR="00BC2A02" w:rsidRPr="00BC2A02" w:rsidRDefault="00BC2A02" w:rsidP="00296CA4">
            <w:pPr>
              <w:ind w:left="16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403</w:t>
            </w:r>
          </w:p>
        </w:tc>
        <w:tc>
          <w:tcPr>
            <w:tcW w:w="851" w:type="dxa"/>
            <w:tcBorders>
              <w:top w:val="nil"/>
              <w:left w:val="nil"/>
              <w:bottom w:val="nil"/>
              <w:right w:val="nil"/>
            </w:tcBorders>
          </w:tcPr>
          <w:p w14:paraId="533C821B" w14:textId="77777777" w:rsidR="00BC2A02" w:rsidRPr="00BC2A02" w:rsidRDefault="00BC2A02" w:rsidP="00296CA4">
            <w:pPr>
              <w:ind w:left="16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c>
          <w:tcPr>
            <w:tcW w:w="770" w:type="dxa"/>
            <w:tcBorders>
              <w:top w:val="nil"/>
              <w:left w:val="nil"/>
              <w:bottom w:val="nil"/>
              <w:right w:val="nil"/>
            </w:tcBorders>
          </w:tcPr>
          <w:p w14:paraId="53582138" w14:textId="77777777" w:rsidR="00BC2A02" w:rsidRPr="00BC2A02" w:rsidRDefault="00BC2A02" w:rsidP="00296CA4">
            <w:pPr>
              <w:ind w:left="264"/>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r>
      <w:tr w:rsidR="00BC2A02" w:rsidRPr="00BC2A02" w14:paraId="790932F5" w14:textId="77777777" w:rsidTr="00B63F1A">
        <w:trPr>
          <w:trHeight w:val="289"/>
        </w:trPr>
        <w:tc>
          <w:tcPr>
            <w:tcW w:w="3389" w:type="dxa"/>
            <w:tcBorders>
              <w:top w:val="nil"/>
              <w:left w:val="nil"/>
              <w:bottom w:val="nil"/>
              <w:right w:val="nil"/>
            </w:tcBorders>
          </w:tcPr>
          <w:p w14:paraId="3C03A3EA"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i/>
                <w:color w:val="000000"/>
                <w:sz w:val="14"/>
                <w:szCs w:val="14"/>
              </w:rPr>
              <w:t xml:space="preserve">     riadne dividendy </w:t>
            </w:r>
          </w:p>
        </w:tc>
        <w:tc>
          <w:tcPr>
            <w:tcW w:w="888" w:type="dxa"/>
            <w:tcBorders>
              <w:top w:val="nil"/>
              <w:left w:val="nil"/>
              <w:bottom w:val="nil"/>
              <w:right w:val="nil"/>
            </w:tcBorders>
          </w:tcPr>
          <w:p w14:paraId="72B41E3F" w14:textId="77777777" w:rsidR="00BC2A02" w:rsidRPr="00BC2A02" w:rsidRDefault="00BC2A02" w:rsidP="00296CA4">
            <w:pPr>
              <w:ind w:left="8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26" w:type="dxa"/>
            <w:tcBorders>
              <w:top w:val="nil"/>
              <w:left w:val="nil"/>
              <w:bottom w:val="nil"/>
              <w:right w:val="nil"/>
            </w:tcBorders>
          </w:tcPr>
          <w:p w14:paraId="02F959B7" w14:textId="77777777" w:rsidR="00BC2A02" w:rsidRPr="00BC2A02" w:rsidRDefault="00BC2A02" w:rsidP="00296CA4">
            <w:pPr>
              <w:ind w:left="8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44" w:type="dxa"/>
            <w:tcBorders>
              <w:top w:val="nil"/>
              <w:left w:val="nil"/>
              <w:bottom w:val="nil"/>
              <w:right w:val="nil"/>
            </w:tcBorders>
          </w:tcPr>
          <w:p w14:paraId="32F37AA7" w14:textId="77777777" w:rsidR="00BC2A02" w:rsidRPr="00BC2A02" w:rsidRDefault="00BC2A02" w:rsidP="00296CA4">
            <w:pPr>
              <w:ind w:left="103"/>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316</w:t>
            </w:r>
          </w:p>
        </w:tc>
        <w:tc>
          <w:tcPr>
            <w:tcW w:w="770" w:type="dxa"/>
            <w:tcBorders>
              <w:top w:val="nil"/>
              <w:left w:val="nil"/>
              <w:bottom w:val="nil"/>
              <w:right w:val="nil"/>
            </w:tcBorders>
          </w:tcPr>
          <w:p w14:paraId="41B522D9" w14:textId="77777777" w:rsidR="00BC2A02" w:rsidRPr="00BC2A02" w:rsidRDefault="00BC2A02" w:rsidP="00296CA4">
            <w:pPr>
              <w:ind w:left="20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490</w:t>
            </w:r>
          </w:p>
        </w:tc>
        <w:tc>
          <w:tcPr>
            <w:tcW w:w="850" w:type="dxa"/>
            <w:tcBorders>
              <w:top w:val="nil"/>
              <w:left w:val="nil"/>
              <w:bottom w:val="nil"/>
              <w:right w:val="nil"/>
            </w:tcBorders>
          </w:tcPr>
          <w:p w14:paraId="5D06C8EE" w14:textId="77777777" w:rsidR="00BC2A02" w:rsidRPr="00BC2A02" w:rsidRDefault="00BC2A02" w:rsidP="00296CA4">
            <w:pPr>
              <w:ind w:left="103"/>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403</w:t>
            </w:r>
          </w:p>
        </w:tc>
        <w:tc>
          <w:tcPr>
            <w:tcW w:w="851" w:type="dxa"/>
            <w:tcBorders>
              <w:top w:val="nil"/>
              <w:left w:val="nil"/>
              <w:bottom w:val="nil"/>
              <w:right w:val="nil"/>
            </w:tcBorders>
          </w:tcPr>
          <w:p w14:paraId="68573417" w14:textId="77777777" w:rsidR="00BC2A02" w:rsidRPr="00BC2A02" w:rsidRDefault="00BC2A02" w:rsidP="00296CA4">
            <w:pPr>
              <w:ind w:left="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74764A31" w14:textId="77777777" w:rsidR="00BC2A02" w:rsidRPr="00BC2A02" w:rsidRDefault="00BC2A02" w:rsidP="00296CA4">
            <w:pPr>
              <w:ind w:left="264"/>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r>
      <w:tr w:rsidR="00BC2A02" w:rsidRPr="00BC2A02" w14:paraId="3B2553E0" w14:textId="77777777" w:rsidTr="00B63F1A">
        <w:trPr>
          <w:trHeight w:val="288"/>
        </w:trPr>
        <w:tc>
          <w:tcPr>
            <w:tcW w:w="3389" w:type="dxa"/>
            <w:tcBorders>
              <w:top w:val="nil"/>
              <w:left w:val="nil"/>
              <w:bottom w:val="nil"/>
              <w:right w:val="nil"/>
            </w:tcBorders>
          </w:tcPr>
          <w:p w14:paraId="70F4D644"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i/>
                <w:color w:val="000000"/>
                <w:sz w:val="14"/>
                <w:szCs w:val="14"/>
              </w:rPr>
              <w:t xml:space="preserve">     </w:t>
            </w:r>
            <w:proofErr w:type="spellStart"/>
            <w:r w:rsidRPr="00BC2A02">
              <w:rPr>
                <w:rFonts w:ascii="Times New Roman" w:hAnsi="Times New Roman" w:cs="Times New Roman"/>
                <w:i/>
                <w:color w:val="000000"/>
                <w:sz w:val="14"/>
                <w:szCs w:val="14"/>
              </w:rPr>
              <w:t>superdividendy</w:t>
            </w:r>
            <w:proofErr w:type="spellEnd"/>
            <w:r w:rsidRPr="00BC2A02">
              <w:rPr>
                <w:rFonts w:ascii="Times New Roman" w:hAnsi="Times New Roman" w:cs="Times New Roman"/>
                <w:i/>
                <w:color w:val="000000"/>
                <w:sz w:val="14"/>
                <w:szCs w:val="14"/>
              </w:rPr>
              <w:t xml:space="preserve"> </w:t>
            </w:r>
          </w:p>
        </w:tc>
        <w:tc>
          <w:tcPr>
            <w:tcW w:w="888" w:type="dxa"/>
            <w:tcBorders>
              <w:top w:val="nil"/>
              <w:left w:val="nil"/>
              <w:bottom w:val="nil"/>
              <w:right w:val="nil"/>
            </w:tcBorders>
          </w:tcPr>
          <w:p w14:paraId="7BCCD2E1" w14:textId="77777777" w:rsidR="00BC2A02" w:rsidRPr="00BC2A02" w:rsidRDefault="00BC2A02" w:rsidP="00296CA4">
            <w:pPr>
              <w:ind w:left="14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3 000</w:t>
            </w:r>
          </w:p>
        </w:tc>
        <w:tc>
          <w:tcPr>
            <w:tcW w:w="826" w:type="dxa"/>
            <w:tcBorders>
              <w:top w:val="nil"/>
              <w:left w:val="nil"/>
              <w:bottom w:val="nil"/>
              <w:right w:val="nil"/>
            </w:tcBorders>
          </w:tcPr>
          <w:p w14:paraId="7BC2FC64" w14:textId="77777777" w:rsidR="00BC2A02" w:rsidRPr="00BC2A02" w:rsidRDefault="00BC2A02" w:rsidP="00296CA4">
            <w:pPr>
              <w:ind w:left="14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3 000</w:t>
            </w:r>
          </w:p>
        </w:tc>
        <w:tc>
          <w:tcPr>
            <w:tcW w:w="744" w:type="dxa"/>
            <w:tcBorders>
              <w:top w:val="nil"/>
              <w:left w:val="nil"/>
              <w:bottom w:val="nil"/>
              <w:right w:val="nil"/>
            </w:tcBorders>
          </w:tcPr>
          <w:p w14:paraId="025995DF" w14:textId="77777777" w:rsidR="00BC2A02" w:rsidRPr="00BC2A02" w:rsidRDefault="00BC2A02" w:rsidP="00296CA4">
            <w:pPr>
              <w:ind w:left="16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2 684</w:t>
            </w:r>
          </w:p>
        </w:tc>
        <w:tc>
          <w:tcPr>
            <w:tcW w:w="770" w:type="dxa"/>
            <w:tcBorders>
              <w:top w:val="nil"/>
              <w:left w:val="nil"/>
              <w:bottom w:val="nil"/>
              <w:right w:val="nil"/>
            </w:tcBorders>
          </w:tcPr>
          <w:p w14:paraId="41D74422" w14:textId="77777777" w:rsidR="00BC2A02" w:rsidRPr="00BC2A02" w:rsidRDefault="00BC2A02" w:rsidP="00296CA4">
            <w:pPr>
              <w:ind w:left="14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50" w:type="dxa"/>
            <w:tcBorders>
              <w:top w:val="nil"/>
              <w:left w:val="nil"/>
              <w:bottom w:val="nil"/>
              <w:right w:val="nil"/>
            </w:tcBorders>
          </w:tcPr>
          <w:p w14:paraId="7A5DA810" w14:textId="77777777" w:rsidR="00BC2A02" w:rsidRPr="00BC2A02" w:rsidRDefault="00BC2A02" w:rsidP="00296CA4">
            <w:pPr>
              <w:ind w:left="16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51" w:type="dxa"/>
            <w:tcBorders>
              <w:top w:val="nil"/>
              <w:left w:val="nil"/>
              <w:bottom w:val="nil"/>
              <w:right w:val="nil"/>
            </w:tcBorders>
          </w:tcPr>
          <w:p w14:paraId="76056B3D" w14:textId="77777777" w:rsidR="00BC2A02" w:rsidRPr="00BC2A02" w:rsidRDefault="00BC2A02" w:rsidP="00296CA4">
            <w:pPr>
              <w:ind w:left="16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48F0060F" w14:textId="77777777" w:rsidR="00BC2A02" w:rsidRPr="00BC2A02" w:rsidRDefault="00BC2A02" w:rsidP="00296CA4">
            <w:pPr>
              <w:ind w:left="16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r>
      <w:tr w:rsidR="00BC2A02" w:rsidRPr="00BC2A02" w14:paraId="30167214" w14:textId="77777777" w:rsidTr="00B63F1A">
        <w:trPr>
          <w:trHeight w:val="289"/>
        </w:trPr>
        <w:tc>
          <w:tcPr>
            <w:tcW w:w="3389" w:type="dxa"/>
            <w:tcBorders>
              <w:top w:val="nil"/>
              <w:left w:val="nil"/>
              <w:bottom w:val="nil"/>
              <w:right w:val="nil"/>
            </w:tcBorders>
          </w:tcPr>
          <w:p w14:paraId="220F9DD4"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color w:val="000000"/>
                <w:sz w:val="14"/>
                <w:szCs w:val="14"/>
              </w:rPr>
              <w:t xml:space="preserve">Transpetrol, a. s. </w:t>
            </w:r>
          </w:p>
        </w:tc>
        <w:tc>
          <w:tcPr>
            <w:tcW w:w="888" w:type="dxa"/>
            <w:tcBorders>
              <w:top w:val="nil"/>
              <w:left w:val="nil"/>
              <w:bottom w:val="nil"/>
              <w:right w:val="nil"/>
            </w:tcBorders>
          </w:tcPr>
          <w:p w14:paraId="4C26A59B" w14:textId="77777777" w:rsidR="00BC2A02" w:rsidRPr="00BC2A02" w:rsidRDefault="00BC2A02" w:rsidP="00296CA4">
            <w:pPr>
              <w:ind w:left="8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2 000</w:t>
            </w:r>
          </w:p>
        </w:tc>
        <w:tc>
          <w:tcPr>
            <w:tcW w:w="826" w:type="dxa"/>
            <w:tcBorders>
              <w:top w:val="nil"/>
              <w:left w:val="nil"/>
              <w:bottom w:val="nil"/>
              <w:right w:val="nil"/>
            </w:tcBorders>
          </w:tcPr>
          <w:p w14:paraId="01AC121D" w14:textId="77777777" w:rsidR="00BC2A02" w:rsidRPr="00BC2A02" w:rsidRDefault="00BC2A02" w:rsidP="00296CA4">
            <w:pPr>
              <w:ind w:left="8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1 500</w:t>
            </w:r>
          </w:p>
        </w:tc>
        <w:tc>
          <w:tcPr>
            <w:tcW w:w="744" w:type="dxa"/>
            <w:tcBorders>
              <w:top w:val="nil"/>
              <w:left w:val="nil"/>
              <w:bottom w:val="nil"/>
              <w:right w:val="nil"/>
            </w:tcBorders>
          </w:tcPr>
          <w:p w14:paraId="413F9E1A" w14:textId="77777777" w:rsidR="00BC2A02" w:rsidRPr="00BC2A02" w:rsidRDefault="00BC2A02" w:rsidP="00296CA4">
            <w:pPr>
              <w:ind w:left="16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1 500</w:t>
            </w:r>
          </w:p>
        </w:tc>
        <w:tc>
          <w:tcPr>
            <w:tcW w:w="770" w:type="dxa"/>
            <w:tcBorders>
              <w:top w:val="nil"/>
              <w:left w:val="nil"/>
              <w:bottom w:val="nil"/>
              <w:right w:val="nil"/>
            </w:tcBorders>
          </w:tcPr>
          <w:p w14:paraId="40A134CC" w14:textId="77777777" w:rsidR="00BC2A02" w:rsidRPr="00BC2A02" w:rsidRDefault="00BC2A02" w:rsidP="00296CA4">
            <w:pPr>
              <w:ind w:left="8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1 500</w:t>
            </w:r>
          </w:p>
        </w:tc>
        <w:tc>
          <w:tcPr>
            <w:tcW w:w="850" w:type="dxa"/>
            <w:tcBorders>
              <w:top w:val="nil"/>
              <w:left w:val="nil"/>
              <w:bottom w:val="nil"/>
              <w:right w:val="nil"/>
            </w:tcBorders>
          </w:tcPr>
          <w:p w14:paraId="03734F6E" w14:textId="77777777" w:rsidR="00BC2A02" w:rsidRPr="00BC2A02" w:rsidRDefault="00BC2A02" w:rsidP="00296CA4">
            <w:pPr>
              <w:ind w:left="16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c>
          <w:tcPr>
            <w:tcW w:w="851" w:type="dxa"/>
            <w:tcBorders>
              <w:top w:val="nil"/>
              <w:left w:val="nil"/>
              <w:bottom w:val="nil"/>
              <w:right w:val="nil"/>
            </w:tcBorders>
          </w:tcPr>
          <w:p w14:paraId="79BACFDA" w14:textId="77777777" w:rsidR="00BC2A02" w:rsidRPr="00BC2A02" w:rsidRDefault="00BC2A02" w:rsidP="00296CA4">
            <w:pPr>
              <w:ind w:left="16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c>
          <w:tcPr>
            <w:tcW w:w="770" w:type="dxa"/>
            <w:tcBorders>
              <w:top w:val="nil"/>
              <w:left w:val="nil"/>
              <w:bottom w:val="nil"/>
              <w:right w:val="nil"/>
            </w:tcBorders>
          </w:tcPr>
          <w:p w14:paraId="0EC4D46F" w14:textId="77777777" w:rsidR="00BC2A02" w:rsidRPr="00BC2A02" w:rsidRDefault="00BC2A02" w:rsidP="00296CA4">
            <w:pPr>
              <w:ind w:left="12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r>
      <w:tr w:rsidR="00BC2A02" w:rsidRPr="00BC2A02" w14:paraId="2B17AFE2" w14:textId="77777777" w:rsidTr="00B63F1A">
        <w:trPr>
          <w:trHeight w:val="289"/>
        </w:trPr>
        <w:tc>
          <w:tcPr>
            <w:tcW w:w="3389" w:type="dxa"/>
            <w:tcBorders>
              <w:top w:val="nil"/>
              <w:left w:val="nil"/>
              <w:bottom w:val="nil"/>
              <w:right w:val="nil"/>
            </w:tcBorders>
          </w:tcPr>
          <w:p w14:paraId="6823353E"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color w:val="000000"/>
                <w:sz w:val="14"/>
                <w:szCs w:val="14"/>
              </w:rPr>
              <w:t xml:space="preserve">Slovenský plynárenský priemysel, a. s. </w:t>
            </w:r>
          </w:p>
        </w:tc>
        <w:tc>
          <w:tcPr>
            <w:tcW w:w="888" w:type="dxa"/>
            <w:tcBorders>
              <w:top w:val="nil"/>
              <w:left w:val="nil"/>
              <w:bottom w:val="nil"/>
              <w:right w:val="nil"/>
            </w:tcBorders>
          </w:tcPr>
          <w:p w14:paraId="29BE6C68" w14:textId="77777777" w:rsidR="00BC2A02" w:rsidRPr="00BC2A02" w:rsidRDefault="00BC2A02" w:rsidP="00296CA4">
            <w:pPr>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250 000</w:t>
            </w:r>
          </w:p>
        </w:tc>
        <w:tc>
          <w:tcPr>
            <w:tcW w:w="826" w:type="dxa"/>
            <w:tcBorders>
              <w:top w:val="nil"/>
              <w:left w:val="nil"/>
              <w:bottom w:val="nil"/>
              <w:right w:val="nil"/>
            </w:tcBorders>
          </w:tcPr>
          <w:p w14:paraId="0951A64E" w14:textId="77777777" w:rsidR="00BC2A02" w:rsidRPr="00BC2A02" w:rsidRDefault="00BC2A02" w:rsidP="00296CA4">
            <w:pPr>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c>
          <w:tcPr>
            <w:tcW w:w="744" w:type="dxa"/>
            <w:tcBorders>
              <w:top w:val="nil"/>
              <w:left w:val="nil"/>
              <w:bottom w:val="nil"/>
              <w:right w:val="nil"/>
            </w:tcBorders>
          </w:tcPr>
          <w:p w14:paraId="1C65AD9E" w14:textId="77777777" w:rsidR="00BC2A02" w:rsidRPr="00BC2A02" w:rsidRDefault="00BC2A02" w:rsidP="00296CA4">
            <w:pPr>
              <w:ind w:left="19"/>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156 286</w:t>
            </w:r>
          </w:p>
        </w:tc>
        <w:tc>
          <w:tcPr>
            <w:tcW w:w="770" w:type="dxa"/>
            <w:tcBorders>
              <w:top w:val="nil"/>
              <w:left w:val="nil"/>
              <w:bottom w:val="nil"/>
              <w:right w:val="nil"/>
            </w:tcBorders>
          </w:tcPr>
          <w:p w14:paraId="03C2517B" w14:textId="77777777" w:rsidR="00BC2A02" w:rsidRPr="00BC2A02" w:rsidRDefault="00BC2A02" w:rsidP="00296CA4">
            <w:pPr>
              <w:ind w:left="118"/>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220 000</w:t>
            </w:r>
          </w:p>
        </w:tc>
        <w:tc>
          <w:tcPr>
            <w:tcW w:w="850" w:type="dxa"/>
            <w:tcBorders>
              <w:top w:val="nil"/>
              <w:left w:val="nil"/>
              <w:bottom w:val="nil"/>
              <w:right w:val="nil"/>
            </w:tcBorders>
          </w:tcPr>
          <w:p w14:paraId="50BC8F4F" w14:textId="77777777" w:rsidR="00BC2A02" w:rsidRPr="00BC2A02" w:rsidRDefault="00BC2A02" w:rsidP="00296CA4">
            <w:pPr>
              <w:ind w:left="19"/>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290 700</w:t>
            </w:r>
          </w:p>
        </w:tc>
        <w:tc>
          <w:tcPr>
            <w:tcW w:w="851" w:type="dxa"/>
            <w:tcBorders>
              <w:top w:val="nil"/>
              <w:left w:val="nil"/>
              <w:bottom w:val="nil"/>
              <w:right w:val="nil"/>
            </w:tcBorders>
          </w:tcPr>
          <w:p w14:paraId="6CD2A94E" w14:textId="77777777" w:rsidR="00BC2A02" w:rsidRPr="00BC2A02" w:rsidRDefault="00BC2A02" w:rsidP="00296CA4">
            <w:pPr>
              <w:ind w:left="19"/>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95 636</w:t>
            </w:r>
          </w:p>
        </w:tc>
        <w:tc>
          <w:tcPr>
            <w:tcW w:w="770" w:type="dxa"/>
            <w:tcBorders>
              <w:top w:val="nil"/>
              <w:left w:val="nil"/>
              <w:bottom w:val="nil"/>
              <w:right w:val="nil"/>
            </w:tcBorders>
          </w:tcPr>
          <w:p w14:paraId="68B60CD8" w14:textId="77777777" w:rsidR="00BC2A02" w:rsidRPr="00BC2A02" w:rsidRDefault="00BC2A02" w:rsidP="00296CA4">
            <w:pPr>
              <w:ind w:left="19"/>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101 701</w:t>
            </w:r>
          </w:p>
        </w:tc>
      </w:tr>
      <w:tr w:rsidR="00BC2A02" w:rsidRPr="00BC2A02" w14:paraId="00598EC7" w14:textId="77777777" w:rsidTr="00B63F1A">
        <w:trPr>
          <w:trHeight w:val="285"/>
        </w:trPr>
        <w:tc>
          <w:tcPr>
            <w:tcW w:w="3389" w:type="dxa"/>
            <w:tcBorders>
              <w:top w:val="nil"/>
              <w:left w:val="nil"/>
              <w:bottom w:val="nil"/>
              <w:right w:val="nil"/>
            </w:tcBorders>
          </w:tcPr>
          <w:p w14:paraId="46C33CC7"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i/>
                <w:color w:val="000000"/>
                <w:sz w:val="14"/>
                <w:szCs w:val="14"/>
              </w:rPr>
              <w:t xml:space="preserve">     riadne dividendy </w:t>
            </w:r>
          </w:p>
        </w:tc>
        <w:tc>
          <w:tcPr>
            <w:tcW w:w="888" w:type="dxa"/>
            <w:tcBorders>
              <w:top w:val="nil"/>
              <w:left w:val="nil"/>
              <w:bottom w:val="nil"/>
              <w:right w:val="nil"/>
            </w:tcBorders>
          </w:tcPr>
          <w:p w14:paraId="4AFF89AA" w14:textId="77777777" w:rsidR="00BC2A02" w:rsidRPr="00BC2A02" w:rsidRDefault="00BC2A02" w:rsidP="00296CA4">
            <w:pPr>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249 510</w:t>
            </w:r>
          </w:p>
        </w:tc>
        <w:tc>
          <w:tcPr>
            <w:tcW w:w="826" w:type="dxa"/>
            <w:tcBorders>
              <w:top w:val="nil"/>
              <w:left w:val="nil"/>
              <w:bottom w:val="nil"/>
              <w:right w:val="nil"/>
            </w:tcBorders>
          </w:tcPr>
          <w:p w14:paraId="485123C3" w14:textId="77777777" w:rsidR="00BC2A02" w:rsidRPr="00BC2A02" w:rsidRDefault="00BC2A02" w:rsidP="00296CA4">
            <w:pPr>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44" w:type="dxa"/>
            <w:tcBorders>
              <w:top w:val="nil"/>
              <w:left w:val="nil"/>
              <w:bottom w:val="nil"/>
              <w:right w:val="nil"/>
            </w:tcBorders>
          </w:tcPr>
          <w:p w14:paraId="6BD5C3FB" w14:textId="77777777" w:rsidR="00BC2A02" w:rsidRPr="00BC2A02" w:rsidRDefault="00BC2A02" w:rsidP="00296CA4">
            <w:pPr>
              <w:ind w:left="19"/>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156 286</w:t>
            </w:r>
          </w:p>
        </w:tc>
        <w:tc>
          <w:tcPr>
            <w:tcW w:w="770" w:type="dxa"/>
            <w:tcBorders>
              <w:top w:val="nil"/>
              <w:left w:val="nil"/>
              <w:bottom w:val="nil"/>
              <w:right w:val="nil"/>
            </w:tcBorders>
          </w:tcPr>
          <w:p w14:paraId="02CC73B7" w14:textId="77777777" w:rsidR="00BC2A02" w:rsidRPr="00BC2A02" w:rsidRDefault="00BC2A02" w:rsidP="00296CA4">
            <w:pPr>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50" w:type="dxa"/>
            <w:tcBorders>
              <w:top w:val="nil"/>
              <w:left w:val="nil"/>
              <w:bottom w:val="nil"/>
              <w:right w:val="nil"/>
            </w:tcBorders>
          </w:tcPr>
          <w:p w14:paraId="787FECF3" w14:textId="77777777" w:rsidR="00BC2A02" w:rsidRPr="00BC2A02" w:rsidRDefault="00BC2A02" w:rsidP="00296CA4">
            <w:pPr>
              <w:ind w:left="19"/>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130 817</w:t>
            </w:r>
          </w:p>
        </w:tc>
        <w:tc>
          <w:tcPr>
            <w:tcW w:w="851" w:type="dxa"/>
            <w:tcBorders>
              <w:top w:val="nil"/>
              <w:left w:val="nil"/>
              <w:bottom w:val="nil"/>
              <w:right w:val="nil"/>
            </w:tcBorders>
          </w:tcPr>
          <w:p w14:paraId="5EB20C55" w14:textId="77777777" w:rsidR="00BC2A02" w:rsidRPr="00BC2A02" w:rsidRDefault="00BC2A02" w:rsidP="00296CA4">
            <w:pPr>
              <w:ind w:left="19"/>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95 636</w:t>
            </w:r>
          </w:p>
        </w:tc>
        <w:tc>
          <w:tcPr>
            <w:tcW w:w="770" w:type="dxa"/>
            <w:tcBorders>
              <w:top w:val="nil"/>
              <w:left w:val="nil"/>
              <w:bottom w:val="nil"/>
              <w:right w:val="nil"/>
            </w:tcBorders>
          </w:tcPr>
          <w:p w14:paraId="6F8FF291" w14:textId="77777777" w:rsidR="00BC2A02" w:rsidRPr="00BC2A02" w:rsidRDefault="00BC2A02" w:rsidP="00296CA4">
            <w:pPr>
              <w:ind w:left="19"/>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101 701</w:t>
            </w:r>
          </w:p>
        </w:tc>
      </w:tr>
      <w:tr w:rsidR="00BC2A02" w:rsidRPr="00BC2A02" w14:paraId="7212AE6F" w14:textId="77777777" w:rsidTr="00B63F1A">
        <w:trPr>
          <w:trHeight w:val="293"/>
        </w:trPr>
        <w:tc>
          <w:tcPr>
            <w:tcW w:w="3389" w:type="dxa"/>
            <w:tcBorders>
              <w:top w:val="nil"/>
              <w:left w:val="nil"/>
              <w:bottom w:val="nil"/>
              <w:right w:val="nil"/>
            </w:tcBorders>
          </w:tcPr>
          <w:p w14:paraId="06C72391"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i/>
                <w:color w:val="000000"/>
                <w:sz w:val="14"/>
                <w:szCs w:val="14"/>
              </w:rPr>
              <w:t xml:space="preserve">     </w:t>
            </w:r>
            <w:proofErr w:type="spellStart"/>
            <w:r w:rsidRPr="00BC2A02">
              <w:rPr>
                <w:rFonts w:ascii="Times New Roman" w:hAnsi="Times New Roman" w:cs="Times New Roman"/>
                <w:i/>
                <w:color w:val="000000"/>
                <w:sz w:val="14"/>
                <w:szCs w:val="14"/>
              </w:rPr>
              <w:t>superdividendy</w:t>
            </w:r>
            <w:proofErr w:type="spellEnd"/>
            <w:r w:rsidRPr="00BC2A02">
              <w:rPr>
                <w:rFonts w:ascii="Times New Roman" w:hAnsi="Times New Roman" w:cs="Times New Roman"/>
                <w:i/>
                <w:color w:val="000000"/>
                <w:sz w:val="14"/>
                <w:szCs w:val="14"/>
              </w:rPr>
              <w:t xml:space="preserve"> </w:t>
            </w:r>
          </w:p>
        </w:tc>
        <w:tc>
          <w:tcPr>
            <w:tcW w:w="888" w:type="dxa"/>
            <w:tcBorders>
              <w:top w:val="nil"/>
              <w:left w:val="nil"/>
              <w:bottom w:val="nil"/>
              <w:right w:val="nil"/>
            </w:tcBorders>
          </w:tcPr>
          <w:p w14:paraId="20AC18CB"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490</w:t>
            </w:r>
          </w:p>
        </w:tc>
        <w:tc>
          <w:tcPr>
            <w:tcW w:w="826" w:type="dxa"/>
            <w:tcBorders>
              <w:top w:val="nil"/>
              <w:left w:val="nil"/>
              <w:bottom w:val="nil"/>
              <w:right w:val="nil"/>
            </w:tcBorders>
          </w:tcPr>
          <w:p w14:paraId="053FDE8F"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44" w:type="dxa"/>
            <w:tcBorders>
              <w:top w:val="nil"/>
              <w:left w:val="nil"/>
              <w:bottom w:val="nil"/>
              <w:right w:val="nil"/>
            </w:tcBorders>
          </w:tcPr>
          <w:p w14:paraId="7E49CEBA" w14:textId="77777777" w:rsidR="00BC2A02" w:rsidRPr="00BC2A02" w:rsidRDefault="00BC2A02" w:rsidP="00296CA4">
            <w:pPr>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708CB5A8"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50" w:type="dxa"/>
            <w:tcBorders>
              <w:top w:val="nil"/>
              <w:left w:val="nil"/>
              <w:bottom w:val="nil"/>
              <w:right w:val="nil"/>
            </w:tcBorders>
          </w:tcPr>
          <w:p w14:paraId="6121EED5" w14:textId="77777777" w:rsidR="00BC2A02" w:rsidRPr="00BC2A02" w:rsidRDefault="00BC2A02" w:rsidP="00296CA4">
            <w:pPr>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159 883</w:t>
            </w:r>
          </w:p>
        </w:tc>
        <w:tc>
          <w:tcPr>
            <w:tcW w:w="851" w:type="dxa"/>
            <w:tcBorders>
              <w:top w:val="nil"/>
              <w:left w:val="nil"/>
              <w:bottom w:val="nil"/>
              <w:right w:val="nil"/>
            </w:tcBorders>
          </w:tcPr>
          <w:p w14:paraId="6DD44482" w14:textId="77777777" w:rsidR="00BC2A02" w:rsidRPr="00BC2A02" w:rsidRDefault="00BC2A02" w:rsidP="00296CA4">
            <w:pPr>
              <w:ind w:left="70"/>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035514FC" w14:textId="77777777" w:rsidR="00BC2A02" w:rsidRPr="00BC2A02" w:rsidRDefault="00BC2A02" w:rsidP="00296CA4">
            <w:pPr>
              <w:ind w:right="40"/>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r>
      <w:tr w:rsidR="00BC2A02" w:rsidRPr="00BC2A02" w14:paraId="714FEA6B" w14:textId="77777777" w:rsidTr="00B63F1A">
        <w:trPr>
          <w:trHeight w:val="293"/>
        </w:trPr>
        <w:tc>
          <w:tcPr>
            <w:tcW w:w="3389" w:type="dxa"/>
            <w:tcBorders>
              <w:top w:val="nil"/>
              <w:left w:val="nil"/>
              <w:bottom w:val="nil"/>
              <w:right w:val="nil"/>
            </w:tcBorders>
          </w:tcPr>
          <w:p w14:paraId="51BABC94" w14:textId="77777777" w:rsidR="00BC2A02" w:rsidRPr="00BC2A02" w:rsidRDefault="00BC2A02" w:rsidP="00296CA4">
            <w:pPr>
              <w:ind w:left="122"/>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 xml:space="preserve">     splátka pohľadávky</w:t>
            </w:r>
          </w:p>
        </w:tc>
        <w:tc>
          <w:tcPr>
            <w:tcW w:w="888" w:type="dxa"/>
            <w:tcBorders>
              <w:top w:val="nil"/>
              <w:left w:val="nil"/>
              <w:bottom w:val="nil"/>
              <w:right w:val="nil"/>
            </w:tcBorders>
          </w:tcPr>
          <w:p w14:paraId="03E16C09"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26" w:type="dxa"/>
            <w:tcBorders>
              <w:top w:val="nil"/>
              <w:left w:val="nil"/>
              <w:bottom w:val="nil"/>
              <w:right w:val="nil"/>
            </w:tcBorders>
          </w:tcPr>
          <w:p w14:paraId="79FA48D1"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44" w:type="dxa"/>
            <w:tcBorders>
              <w:top w:val="nil"/>
              <w:left w:val="nil"/>
              <w:bottom w:val="nil"/>
              <w:right w:val="nil"/>
            </w:tcBorders>
          </w:tcPr>
          <w:p w14:paraId="11C878EF" w14:textId="77777777" w:rsidR="00BC2A02" w:rsidRPr="00BC2A02" w:rsidRDefault="00BC2A02" w:rsidP="00296CA4">
            <w:pPr>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52D417CE"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220 000</w:t>
            </w:r>
          </w:p>
        </w:tc>
        <w:tc>
          <w:tcPr>
            <w:tcW w:w="850" w:type="dxa"/>
            <w:tcBorders>
              <w:top w:val="nil"/>
              <w:left w:val="nil"/>
              <w:bottom w:val="nil"/>
              <w:right w:val="nil"/>
            </w:tcBorders>
          </w:tcPr>
          <w:p w14:paraId="2DA20F68" w14:textId="77777777" w:rsidR="00BC2A02" w:rsidRPr="00BC2A02" w:rsidRDefault="00BC2A02" w:rsidP="00296CA4">
            <w:pPr>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51" w:type="dxa"/>
            <w:tcBorders>
              <w:top w:val="nil"/>
              <w:left w:val="nil"/>
              <w:bottom w:val="nil"/>
              <w:right w:val="nil"/>
            </w:tcBorders>
          </w:tcPr>
          <w:p w14:paraId="3D35CCE4" w14:textId="77777777" w:rsidR="00BC2A02" w:rsidRPr="00BC2A02" w:rsidRDefault="00BC2A02" w:rsidP="00296CA4">
            <w:pPr>
              <w:ind w:left="70"/>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540224F0" w14:textId="77777777" w:rsidR="00BC2A02" w:rsidRPr="00BC2A02" w:rsidRDefault="00BC2A02" w:rsidP="00296CA4">
            <w:pPr>
              <w:ind w:right="40"/>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r>
      <w:tr w:rsidR="00BC2A02" w:rsidRPr="00BC2A02" w14:paraId="503C048A" w14:textId="77777777" w:rsidTr="00B63F1A">
        <w:trPr>
          <w:trHeight w:val="288"/>
        </w:trPr>
        <w:tc>
          <w:tcPr>
            <w:tcW w:w="3389" w:type="dxa"/>
            <w:tcBorders>
              <w:top w:val="nil"/>
              <w:left w:val="nil"/>
              <w:bottom w:val="nil"/>
              <w:right w:val="nil"/>
            </w:tcBorders>
          </w:tcPr>
          <w:p w14:paraId="21E105E8"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color w:val="000000"/>
                <w:sz w:val="14"/>
                <w:szCs w:val="14"/>
              </w:rPr>
              <w:t xml:space="preserve">Západoslovenská energetika, a. s. </w:t>
            </w:r>
          </w:p>
        </w:tc>
        <w:tc>
          <w:tcPr>
            <w:tcW w:w="888" w:type="dxa"/>
            <w:tcBorders>
              <w:top w:val="nil"/>
              <w:left w:val="nil"/>
              <w:bottom w:val="nil"/>
              <w:right w:val="nil"/>
            </w:tcBorders>
          </w:tcPr>
          <w:p w14:paraId="50AC52A6" w14:textId="77777777" w:rsidR="00BC2A02" w:rsidRPr="00BC2A02" w:rsidRDefault="00BC2A02" w:rsidP="00296CA4">
            <w:pPr>
              <w:ind w:left="7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45 697</w:t>
            </w:r>
          </w:p>
        </w:tc>
        <w:tc>
          <w:tcPr>
            <w:tcW w:w="826" w:type="dxa"/>
            <w:tcBorders>
              <w:top w:val="nil"/>
              <w:left w:val="nil"/>
              <w:bottom w:val="nil"/>
              <w:right w:val="nil"/>
            </w:tcBorders>
          </w:tcPr>
          <w:p w14:paraId="7DEB7B13" w14:textId="77777777" w:rsidR="00BC2A02" w:rsidRPr="00BC2A02" w:rsidRDefault="00BC2A02" w:rsidP="00296CA4">
            <w:pPr>
              <w:ind w:left="7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44 839</w:t>
            </w:r>
          </w:p>
        </w:tc>
        <w:tc>
          <w:tcPr>
            <w:tcW w:w="744" w:type="dxa"/>
            <w:tcBorders>
              <w:top w:val="nil"/>
              <w:left w:val="nil"/>
              <w:bottom w:val="nil"/>
              <w:right w:val="nil"/>
            </w:tcBorders>
          </w:tcPr>
          <w:p w14:paraId="4DDD80C3"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36 693</w:t>
            </w:r>
          </w:p>
        </w:tc>
        <w:tc>
          <w:tcPr>
            <w:tcW w:w="770" w:type="dxa"/>
            <w:tcBorders>
              <w:top w:val="nil"/>
              <w:left w:val="nil"/>
              <w:bottom w:val="nil"/>
              <w:right w:val="nil"/>
            </w:tcBorders>
          </w:tcPr>
          <w:p w14:paraId="45A1923B"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37 091</w:t>
            </w:r>
          </w:p>
        </w:tc>
        <w:tc>
          <w:tcPr>
            <w:tcW w:w="850" w:type="dxa"/>
            <w:tcBorders>
              <w:top w:val="nil"/>
              <w:left w:val="nil"/>
              <w:bottom w:val="nil"/>
              <w:right w:val="nil"/>
            </w:tcBorders>
          </w:tcPr>
          <w:p w14:paraId="6273AFA8"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53 810</w:t>
            </w:r>
          </w:p>
        </w:tc>
        <w:tc>
          <w:tcPr>
            <w:tcW w:w="851" w:type="dxa"/>
            <w:tcBorders>
              <w:top w:val="nil"/>
              <w:left w:val="nil"/>
              <w:bottom w:val="nil"/>
              <w:right w:val="nil"/>
            </w:tcBorders>
          </w:tcPr>
          <w:p w14:paraId="0B26B227"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119 338</w:t>
            </w:r>
          </w:p>
        </w:tc>
        <w:tc>
          <w:tcPr>
            <w:tcW w:w="770" w:type="dxa"/>
            <w:tcBorders>
              <w:top w:val="nil"/>
              <w:left w:val="nil"/>
              <w:bottom w:val="nil"/>
              <w:right w:val="nil"/>
            </w:tcBorders>
          </w:tcPr>
          <w:p w14:paraId="668D27C8"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65 261</w:t>
            </w:r>
          </w:p>
        </w:tc>
      </w:tr>
      <w:tr w:rsidR="00BC2A02" w:rsidRPr="00BC2A02" w14:paraId="6F569860" w14:textId="77777777" w:rsidTr="00B63F1A">
        <w:trPr>
          <w:trHeight w:val="289"/>
        </w:trPr>
        <w:tc>
          <w:tcPr>
            <w:tcW w:w="3389" w:type="dxa"/>
            <w:tcBorders>
              <w:top w:val="nil"/>
              <w:left w:val="nil"/>
              <w:bottom w:val="nil"/>
              <w:right w:val="nil"/>
            </w:tcBorders>
          </w:tcPr>
          <w:p w14:paraId="2986F6A7"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i/>
                <w:color w:val="000000"/>
                <w:sz w:val="14"/>
                <w:szCs w:val="14"/>
              </w:rPr>
              <w:t xml:space="preserve">     riadne dividendy </w:t>
            </w:r>
          </w:p>
        </w:tc>
        <w:tc>
          <w:tcPr>
            <w:tcW w:w="888" w:type="dxa"/>
            <w:tcBorders>
              <w:top w:val="nil"/>
              <w:left w:val="nil"/>
              <w:bottom w:val="nil"/>
              <w:right w:val="nil"/>
            </w:tcBorders>
          </w:tcPr>
          <w:p w14:paraId="39B13A50"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45 697</w:t>
            </w:r>
          </w:p>
        </w:tc>
        <w:tc>
          <w:tcPr>
            <w:tcW w:w="826" w:type="dxa"/>
            <w:tcBorders>
              <w:top w:val="nil"/>
              <w:left w:val="nil"/>
              <w:bottom w:val="nil"/>
              <w:right w:val="nil"/>
            </w:tcBorders>
          </w:tcPr>
          <w:p w14:paraId="5F16DA24"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44 839</w:t>
            </w:r>
          </w:p>
        </w:tc>
        <w:tc>
          <w:tcPr>
            <w:tcW w:w="744" w:type="dxa"/>
            <w:tcBorders>
              <w:top w:val="nil"/>
              <w:left w:val="nil"/>
              <w:bottom w:val="nil"/>
              <w:right w:val="nil"/>
            </w:tcBorders>
          </w:tcPr>
          <w:p w14:paraId="0ABB7112"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36 693</w:t>
            </w:r>
          </w:p>
        </w:tc>
        <w:tc>
          <w:tcPr>
            <w:tcW w:w="770" w:type="dxa"/>
            <w:tcBorders>
              <w:top w:val="nil"/>
              <w:left w:val="nil"/>
              <w:bottom w:val="nil"/>
              <w:right w:val="nil"/>
            </w:tcBorders>
          </w:tcPr>
          <w:p w14:paraId="53ED78C9"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36 898</w:t>
            </w:r>
          </w:p>
        </w:tc>
        <w:tc>
          <w:tcPr>
            <w:tcW w:w="850" w:type="dxa"/>
            <w:tcBorders>
              <w:top w:val="nil"/>
              <w:left w:val="nil"/>
              <w:bottom w:val="nil"/>
              <w:right w:val="nil"/>
            </w:tcBorders>
          </w:tcPr>
          <w:p w14:paraId="583F882A"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53 339</w:t>
            </w:r>
          </w:p>
        </w:tc>
        <w:tc>
          <w:tcPr>
            <w:tcW w:w="851" w:type="dxa"/>
            <w:tcBorders>
              <w:top w:val="nil"/>
              <w:left w:val="nil"/>
              <w:bottom w:val="nil"/>
              <w:right w:val="nil"/>
            </w:tcBorders>
          </w:tcPr>
          <w:p w14:paraId="1857A899"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119 338</w:t>
            </w:r>
          </w:p>
        </w:tc>
        <w:tc>
          <w:tcPr>
            <w:tcW w:w="770" w:type="dxa"/>
            <w:tcBorders>
              <w:top w:val="nil"/>
              <w:left w:val="nil"/>
              <w:bottom w:val="nil"/>
              <w:right w:val="nil"/>
            </w:tcBorders>
          </w:tcPr>
          <w:p w14:paraId="75EBBA4A"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65 261</w:t>
            </w:r>
          </w:p>
        </w:tc>
      </w:tr>
      <w:tr w:rsidR="00BC2A02" w:rsidRPr="00BC2A02" w14:paraId="08DE8354" w14:textId="77777777" w:rsidTr="00B63F1A">
        <w:trPr>
          <w:trHeight w:val="289"/>
        </w:trPr>
        <w:tc>
          <w:tcPr>
            <w:tcW w:w="3389" w:type="dxa"/>
            <w:tcBorders>
              <w:top w:val="nil"/>
              <w:left w:val="nil"/>
              <w:bottom w:val="nil"/>
              <w:right w:val="nil"/>
            </w:tcBorders>
          </w:tcPr>
          <w:p w14:paraId="68207F80"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i/>
                <w:color w:val="000000"/>
                <w:sz w:val="14"/>
                <w:szCs w:val="14"/>
              </w:rPr>
              <w:t xml:space="preserve">     </w:t>
            </w:r>
            <w:proofErr w:type="spellStart"/>
            <w:r w:rsidRPr="00BC2A02">
              <w:rPr>
                <w:rFonts w:ascii="Times New Roman" w:hAnsi="Times New Roman" w:cs="Times New Roman"/>
                <w:i/>
                <w:color w:val="000000"/>
                <w:sz w:val="14"/>
                <w:szCs w:val="14"/>
              </w:rPr>
              <w:t>superdividendy</w:t>
            </w:r>
            <w:proofErr w:type="spellEnd"/>
            <w:r w:rsidRPr="00BC2A02">
              <w:rPr>
                <w:rFonts w:ascii="Times New Roman" w:hAnsi="Times New Roman" w:cs="Times New Roman"/>
                <w:i/>
                <w:color w:val="000000"/>
                <w:sz w:val="14"/>
                <w:szCs w:val="14"/>
              </w:rPr>
              <w:t xml:space="preserve"> </w:t>
            </w:r>
          </w:p>
        </w:tc>
        <w:tc>
          <w:tcPr>
            <w:tcW w:w="888" w:type="dxa"/>
            <w:tcBorders>
              <w:top w:val="nil"/>
              <w:left w:val="nil"/>
              <w:bottom w:val="nil"/>
              <w:right w:val="nil"/>
            </w:tcBorders>
          </w:tcPr>
          <w:p w14:paraId="41C84F9B" w14:textId="77777777" w:rsidR="00BC2A02" w:rsidRPr="00BC2A02" w:rsidRDefault="00BC2A02" w:rsidP="00296CA4">
            <w:pPr>
              <w:ind w:left="245"/>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26" w:type="dxa"/>
            <w:tcBorders>
              <w:top w:val="nil"/>
              <w:left w:val="nil"/>
              <w:bottom w:val="nil"/>
              <w:right w:val="nil"/>
            </w:tcBorders>
          </w:tcPr>
          <w:p w14:paraId="3CA2BBAF" w14:textId="77777777" w:rsidR="00BC2A02" w:rsidRPr="00BC2A02" w:rsidRDefault="00BC2A02" w:rsidP="00296CA4">
            <w:pPr>
              <w:ind w:left="245"/>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44" w:type="dxa"/>
            <w:tcBorders>
              <w:top w:val="nil"/>
              <w:left w:val="nil"/>
              <w:bottom w:val="nil"/>
              <w:right w:val="nil"/>
            </w:tcBorders>
          </w:tcPr>
          <w:p w14:paraId="4A070243" w14:textId="77777777" w:rsidR="00BC2A02" w:rsidRPr="00BC2A02" w:rsidRDefault="00BC2A02" w:rsidP="00296CA4">
            <w:pPr>
              <w:ind w:left="103"/>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09EEAE71" w14:textId="77777777" w:rsidR="00BC2A02" w:rsidRPr="00BC2A02" w:rsidRDefault="00BC2A02" w:rsidP="00296CA4">
            <w:pPr>
              <w:ind w:left="20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193</w:t>
            </w:r>
          </w:p>
        </w:tc>
        <w:tc>
          <w:tcPr>
            <w:tcW w:w="850" w:type="dxa"/>
            <w:tcBorders>
              <w:top w:val="nil"/>
              <w:left w:val="nil"/>
              <w:bottom w:val="nil"/>
              <w:right w:val="nil"/>
            </w:tcBorders>
          </w:tcPr>
          <w:p w14:paraId="24A6E052" w14:textId="77777777" w:rsidR="00BC2A02" w:rsidRPr="00BC2A02" w:rsidRDefault="00BC2A02" w:rsidP="00296CA4">
            <w:pPr>
              <w:ind w:left="103"/>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471</w:t>
            </w:r>
          </w:p>
        </w:tc>
        <w:tc>
          <w:tcPr>
            <w:tcW w:w="851" w:type="dxa"/>
            <w:tcBorders>
              <w:top w:val="nil"/>
              <w:left w:val="nil"/>
              <w:bottom w:val="nil"/>
              <w:right w:val="nil"/>
            </w:tcBorders>
          </w:tcPr>
          <w:p w14:paraId="30F87744" w14:textId="77777777" w:rsidR="00BC2A02" w:rsidRPr="00BC2A02" w:rsidRDefault="00BC2A02" w:rsidP="00296CA4">
            <w:pPr>
              <w:ind w:left="70"/>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47043E80" w14:textId="77777777" w:rsidR="00BC2A02" w:rsidRPr="00BC2A02" w:rsidRDefault="00BC2A02" w:rsidP="00296CA4">
            <w:pPr>
              <w:ind w:right="40"/>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r>
      <w:tr w:rsidR="00BC2A02" w:rsidRPr="00BC2A02" w14:paraId="4E16F324" w14:textId="77777777" w:rsidTr="00B63F1A">
        <w:trPr>
          <w:trHeight w:val="289"/>
        </w:trPr>
        <w:tc>
          <w:tcPr>
            <w:tcW w:w="3389" w:type="dxa"/>
            <w:tcBorders>
              <w:top w:val="nil"/>
              <w:left w:val="nil"/>
              <w:bottom w:val="nil"/>
              <w:right w:val="nil"/>
            </w:tcBorders>
          </w:tcPr>
          <w:p w14:paraId="5B60E449"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color w:val="000000"/>
                <w:sz w:val="14"/>
                <w:szCs w:val="14"/>
              </w:rPr>
              <w:t xml:space="preserve">Stredoslovenská energetika Holding, a. s. </w:t>
            </w:r>
          </w:p>
        </w:tc>
        <w:tc>
          <w:tcPr>
            <w:tcW w:w="888" w:type="dxa"/>
            <w:tcBorders>
              <w:top w:val="nil"/>
              <w:left w:val="nil"/>
              <w:bottom w:val="nil"/>
              <w:right w:val="nil"/>
            </w:tcBorders>
          </w:tcPr>
          <w:p w14:paraId="2F22BC42" w14:textId="77777777" w:rsidR="00BC2A02" w:rsidRPr="00BC2A02" w:rsidRDefault="00BC2A02" w:rsidP="00296CA4">
            <w:pPr>
              <w:ind w:left="7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113 071</w:t>
            </w:r>
          </w:p>
        </w:tc>
        <w:tc>
          <w:tcPr>
            <w:tcW w:w="826" w:type="dxa"/>
            <w:tcBorders>
              <w:top w:val="nil"/>
              <w:left w:val="nil"/>
              <w:bottom w:val="nil"/>
              <w:right w:val="nil"/>
            </w:tcBorders>
          </w:tcPr>
          <w:p w14:paraId="629CED7E" w14:textId="77777777" w:rsidR="00BC2A02" w:rsidRPr="00BC2A02" w:rsidRDefault="00BC2A02" w:rsidP="00296CA4">
            <w:pPr>
              <w:ind w:left="7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74 777</w:t>
            </w:r>
          </w:p>
        </w:tc>
        <w:tc>
          <w:tcPr>
            <w:tcW w:w="744" w:type="dxa"/>
            <w:tcBorders>
              <w:top w:val="nil"/>
              <w:left w:val="nil"/>
              <w:bottom w:val="nil"/>
              <w:right w:val="nil"/>
            </w:tcBorders>
          </w:tcPr>
          <w:p w14:paraId="394FD97C"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115 113</w:t>
            </w:r>
          </w:p>
        </w:tc>
        <w:tc>
          <w:tcPr>
            <w:tcW w:w="770" w:type="dxa"/>
            <w:tcBorders>
              <w:top w:val="nil"/>
              <w:left w:val="nil"/>
              <w:bottom w:val="nil"/>
              <w:right w:val="nil"/>
            </w:tcBorders>
          </w:tcPr>
          <w:p w14:paraId="4757344D" w14:textId="77777777" w:rsidR="00BC2A02" w:rsidRPr="00BC2A02" w:rsidRDefault="00BC2A02" w:rsidP="00296CA4">
            <w:pPr>
              <w:ind w:left="118"/>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38 784</w:t>
            </w:r>
          </w:p>
        </w:tc>
        <w:tc>
          <w:tcPr>
            <w:tcW w:w="850" w:type="dxa"/>
            <w:tcBorders>
              <w:top w:val="nil"/>
              <w:left w:val="nil"/>
              <w:bottom w:val="nil"/>
              <w:right w:val="nil"/>
            </w:tcBorders>
          </w:tcPr>
          <w:p w14:paraId="777E4809"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29 686</w:t>
            </w:r>
          </w:p>
        </w:tc>
        <w:tc>
          <w:tcPr>
            <w:tcW w:w="851" w:type="dxa"/>
            <w:tcBorders>
              <w:top w:val="nil"/>
              <w:left w:val="nil"/>
              <w:bottom w:val="nil"/>
              <w:right w:val="nil"/>
            </w:tcBorders>
          </w:tcPr>
          <w:p w14:paraId="429E67D9"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24 072</w:t>
            </w:r>
          </w:p>
        </w:tc>
        <w:tc>
          <w:tcPr>
            <w:tcW w:w="770" w:type="dxa"/>
            <w:tcBorders>
              <w:top w:val="nil"/>
              <w:left w:val="nil"/>
              <w:bottom w:val="nil"/>
              <w:right w:val="nil"/>
            </w:tcBorders>
          </w:tcPr>
          <w:p w14:paraId="5202BCEF"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39 799</w:t>
            </w:r>
          </w:p>
        </w:tc>
      </w:tr>
      <w:tr w:rsidR="00BC2A02" w:rsidRPr="00BC2A02" w14:paraId="6E79F95C" w14:textId="77777777" w:rsidTr="00B63F1A">
        <w:trPr>
          <w:trHeight w:val="289"/>
        </w:trPr>
        <w:tc>
          <w:tcPr>
            <w:tcW w:w="3389" w:type="dxa"/>
            <w:tcBorders>
              <w:top w:val="nil"/>
              <w:left w:val="nil"/>
              <w:bottom w:val="nil"/>
              <w:right w:val="nil"/>
            </w:tcBorders>
          </w:tcPr>
          <w:p w14:paraId="617A8F82"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i/>
                <w:color w:val="000000"/>
                <w:sz w:val="14"/>
                <w:szCs w:val="14"/>
              </w:rPr>
              <w:t xml:space="preserve">     riadne dividendy </w:t>
            </w:r>
          </w:p>
        </w:tc>
        <w:tc>
          <w:tcPr>
            <w:tcW w:w="888" w:type="dxa"/>
            <w:tcBorders>
              <w:top w:val="nil"/>
              <w:left w:val="nil"/>
              <w:bottom w:val="nil"/>
              <w:right w:val="nil"/>
            </w:tcBorders>
          </w:tcPr>
          <w:p w14:paraId="35E0497D"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62 037</w:t>
            </w:r>
          </w:p>
        </w:tc>
        <w:tc>
          <w:tcPr>
            <w:tcW w:w="826" w:type="dxa"/>
            <w:tcBorders>
              <w:top w:val="nil"/>
              <w:left w:val="nil"/>
              <w:bottom w:val="nil"/>
              <w:right w:val="nil"/>
            </w:tcBorders>
          </w:tcPr>
          <w:p w14:paraId="78702363"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74 777</w:t>
            </w:r>
          </w:p>
        </w:tc>
        <w:tc>
          <w:tcPr>
            <w:tcW w:w="744" w:type="dxa"/>
            <w:tcBorders>
              <w:top w:val="nil"/>
              <w:left w:val="nil"/>
              <w:bottom w:val="nil"/>
              <w:right w:val="nil"/>
            </w:tcBorders>
          </w:tcPr>
          <w:p w14:paraId="010A8B26"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38 189</w:t>
            </w:r>
          </w:p>
        </w:tc>
        <w:tc>
          <w:tcPr>
            <w:tcW w:w="770" w:type="dxa"/>
            <w:tcBorders>
              <w:top w:val="nil"/>
              <w:left w:val="nil"/>
              <w:bottom w:val="nil"/>
              <w:right w:val="nil"/>
            </w:tcBorders>
          </w:tcPr>
          <w:p w14:paraId="0C88DFCA" w14:textId="77777777" w:rsidR="00BC2A02" w:rsidRPr="00BC2A02" w:rsidRDefault="00BC2A02" w:rsidP="00296CA4">
            <w:pPr>
              <w:ind w:left="190"/>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38 784</w:t>
            </w:r>
          </w:p>
        </w:tc>
        <w:tc>
          <w:tcPr>
            <w:tcW w:w="850" w:type="dxa"/>
            <w:tcBorders>
              <w:top w:val="nil"/>
              <w:left w:val="nil"/>
              <w:bottom w:val="nil"/>
              <w:right w:val="nil"/>
            </w:tcBorders>
          </w:tcPr>
          <w:p w14:paraId="79FDF796"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26 062</w:t>
            </w:r>
          </w:p>
        </w:tc>
        <w:tc>
          <w:tcPr>
            <w:tcW w:w="851" w:type="dxa"/>
            <w:tcBorders>
              <w:top w:val="nil"/>
              <w:left w:val="nil"/>
              <w:bottom w:val="nil"/>
              <w:right w:val="nil"/>
            </w:tcBorders>
          </w:tcPr>
          <w:p w14:paraId="1F102B78"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23 110</w:t>
            </w:r>
          </w:p>
        </w:tc>
        <w:tc>
          <w:tcPr>
            <w:tcW w:w="770" w:type="dxa"/>
            <w:tcBorders>
              <w:top w:val="nil"/>
              <w:left w:val="nil"/>
              <w:bottom w:val="nil"/>
              <w:right w:val="nil"/>
            </w:tcBorders>
          </w:tcPr>
          <w:p w14:paraId="4A60611A"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39 799</w:t>
            </w:r>
          </w:p>
        </w:tc>
      </w:tr>
      <w:tr w:rsidR="00BC2A02" w:rsidRPr="00BC2A02" w14:paraId="41BCE884" w14:textId="77777777" w:rsidTr="00B63F1A">
        <w:trPr>
          <w:trHeight w:val="288"/>
        </w:trPr>
        <w:tc>
          <w:tcPr>
            <w:tcW w:w="3389" w:type="dxa"/>
            <w:tcBorders>
              <w:top w:val="nil"/>
              <w:left w:val="nil"/>
              <w:bottom w:val="nil"/>
              <w:right w:val="nil"/>
            </w:tcBorders>
          </w:tcPr>
          <w:p w14:paraId="5860333C"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i/>
                <w:color w:val="000000"/>
                <w:sz w:val="14"/>
                <w:szCs w:val="14"/>
              </w:rPr>
              <w:t xml:space="preserve">     </w:t>
            </w:r>
            <w:proofErr w:type="spellStart"/>
            <w:r w:rsidRPr="00BC2A02">
              <w:rPr>
                <w:rFonts w:ascii="Times New Roman" w:hAnsi="Times New Roman" w:cs="Times New Roman"/>
                <w:i/>
                <w:color w:val="000000"/>
                <w:sz w:val="14"/>
                <w:szCs w:val="14"/>
              </w:rPr>
              <w:t>superdividendy</w:t>
            </w:r>
            <w:proofErr w:type="spellEnd"/>
            <w:r w:rsidRPr="00BC2A02">
              <w:rPr>
                <w:rFonts w:ascii="Times New Roman" w:hAnsi="Times New Roman" w:cs="Times New Roman"/>
                <w:i/>
                <w:color w:val="000000"/>
                <w:sz w:val="14"/>
                <w:szCs w:val="14"/>
              </w:rPr>
              <w:t xml:space="preserve"> </w:t>
            </w:r>
          </w:p>
        </w:tc>
        <w:tc>
          <w:tcPr>
            <w:tcW w:w="888" w:type="dxa"/>
            <w:tcBorders>
              <w:top w:val="nil"/>
              <w:left w:val="nil"/>
              <w:bottom w:val="nil"/>
              <w:right w:val="nil"/>
            </w:tcBorders>
          </w:tcPr>
          <w:p w14:paraId="7D9A6587"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51 034</w:t>
            </w:r>
          </w:p>
        </w:tc>
        <w:tc>
          <w:tcPr>
            <w:tcW w:w="826" w:type="dxa"/>
            <w:tcBorders>
              <w:top w:val="nil"/>
              <w:left w:val="nil"/>
              <w:bottom w:val="nil"/>
              <w:right w:val="nil"/>
            </w:tcBorders>
          </w:tcPr>
          <w:p w14:paraId="2735D8FE"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44" w:type="dxa"/>
            <w:tcBorders>
              <w:top w:val="nil"/>
              <w:left w:val="nil"/>
              <w:bottom w:val="nil"/>
              <w:right w:val="nil"/>
            </w:tcBorders>
          </w:tcPr>
          <w:p w14:paraId="57D23FF2" w14:textId="77777777" w:rsidR="00BC2A02" w:rsidRPr="00BC2A02" w:rsidRDefault="00BC2A02" w:rsidP="00296CA4">
            <w:pPr>
              <w:ind w:left="103"/>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76 924</w:t>
            </w:r>
          </w:p>
        </w:tc>
        <w:tc>
          <w:tcPr>
            <w:tcW w:w="770" w:type="dxa"/>
            <w:tcBorders>
              <w:top w:val="nil"/>
              <w:left w:val="nil"/>
              <w:bottom w:val="nil"/>
              <w:right w:val="nil"/>
            </w:tcBorders>
          </w:tcPr>
          <w:p w14:paraId="37EBFF2E" w14:textId="77777777" w:rsidR="00BC2A02" w:rsidRPr="00BC2A02" w:rsidRDefault="00BC2A02" w:rsidP="00296CA4">
            <w:pPr>
              <w:ind w:left="190"/>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50" w:type="dxa"/>
            <w:tcBorders>
              <w:top w:val="nil"/>
              <w:left w:val="nil"/>
              <w:bottom w:val="nil"/>
              <w:right w:val="nil"/>
            </w:tcBorders>
          </w:tcPr>
          <w:p w14:paraId="73A96080" w14:textId="77777777" w:rsidR="00BC2A02" w:rsidRPr="00BC2A02" w:rsidRDefault="00BC2A02" w:rsidP="00296CA4">
            <w:pPr>
              <w:ind w:left="103"/>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3 624</w:t>
            </w:r>
          </w:p>
        </w:tc>
        <w:tc>
          <w:tcPr>
            <w:tcW w:w="851" w:type="dxa"/>
            <w:tcBorders>
              <w:top w:val="nil"/>
              <w:left w:val="nil"/>
              <w:bottom w:val="nil"/>
              <w:right w:val="nil"/>
            </w:tcBorders>
          </w:tcPr>
          <w:p w14:paraId="43E7F1B5" w14:textId="77777777" w:rsidR="00BC2A02" w:rsidRPr="00BC2A02" w:rsidRDefault="00BC2A02" w:rsidP="00296CA4">
            <w:pPr>
              <w:ind w:left="70"/>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962</w:t>
            </w:r>
          </w:p>
        </w:tc>
        <w:tc>
          <w:tcPr>
            <w:tcW w:w="770" w:type="dxa"/>
            <w:tcBorders>
              <w:top w:val="nil"/>
              <w:left w:val="nil"/>
              <w:bottom w:val="nil"/>
              <w:right w:val="nil"/>
            </w:tcBorders>
          </w:tcPr>
          <w:p w14:paraId="3430731D"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r>
      <w:tr w:rsidR="00BC2A02" w:rsidRPr="00BC2A02" w14:paraId="5ECCA47D" w14:textId="77777777" w:rsidTr="00B63F1A">
        <w:trPr>
          <w:trHeight w:val="290"/>
        </w:trPr>
        <w:tc>
          <w:tcPr>
            <w:tcW w:w="3389" w:type="dxa"/>
            <w:tcBorders>
              <w:top w:val="nil"/>
              <w:left w:val="nil"/>
              <w:bottom w:val="nil"/>
              <w:right w:val="nil"/>
            </w:tcBorders>
          </w:tcPr>
          <w:p w14:paraId="0730E6A6"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color w:val="000000"/>
                <w:sz w:val="14"/>
                <w:szCs w:val="14"/>
              </w:rPr>
              <w:t>Východoslovenská energetika Holding, a. s. *</w:t>
            </w:r>
          </w:p>
        </w:tc>
        <w:tc>
          <w:tcPr>
            <w:tcW w:w="888" w:type="dxa"/>
            <w:tcBorders>
              <w:top w:val="nil"/>
              <w:left w:val="nil"/>
              <w:bottom w:val="nil"/>
              <w:right w:val="nil"/>
            </w:tcBorders>
          </w:tcPr>
          <w:p w14:paraId="7A0D27D9" w14:textId="77777777" w:rsidR="00BC2A02" w:rsidRPr="00BC2A02" w:rsidRDefault="00BC2A02" w:rsidP="00296CA4">
            <w:pPr>
              <w:ind w:left="7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33 677</w:t>
            </w:r>
          </w:p>
        </w:tc>
        <w:tc>
          <w:tcPr>
            <w:tcW w:w="826" w:type="dxa"/>
            <w:tcBorders>
              <w:top w:val="nil"/>
              <w:left w:val="nil"/>
              <w:bottom w:val="nil"/>
              <w:right w:val="nil"/>
            </w:tcBorders>
          </w:tcPr>
          <w:p w14:paraId="65BE9CDA" w14:textId="77777777" w:rsidR="00BC2A02" w:rsidRPr="00BC2A02" w:rsidRDefault="00BC2A02" w:rsidP="00296CA4">
            <w:pPr>
              <w:ind w:left="7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29 070</w:t>
            </w:r>
          </w:p>
        </w:tc>
        <w:tc>
          <w:tcPr>
            <w:tcW w:w="744" w:type="dxa"/>
            <w:tcBorders>
              <w:top w:val="nil"/>
              <w:left w:val="nil"/>
              <w:bottom w:val="nil"/>
              <w:right w:val="nil"/>
            </w:tcBorders>
          </w:tcPr>
          <w:p w14:paraId="5C943C1F"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10 684</w:t>
            </w:r>
          </w:p>
        </w:tc>
        <w:tc>
          <w:tcPr>
            <w:tcW w:w="770" w:type="dxa"/>
            <w:tcBorders>
              <w:top w:val="nil"/>
              <w:left w:val="nil"/>
              <w:bottom w:val="nil"/>
              <w:right w:val="nil"/>
            </w:tcBorders>
          </w:tcPr>
          <w:p w14:paraId="3DD364CD" w14:textId="77777777" w:rsidR="00BC2A02" w:rsidRPr="00BC2A02" w:rsidRDefault="00BC2A02" w:rsidP="00296CA4">
            <w:pPr>
              <w:ind w:left="190"/>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10 710</w:t>
            </w:r>
          </w:p>
        </w:tc>
        <w:tc>
          <w:tcPr>
            <w:tcW w:w="850" w:type="dxa"/>
            <w:tcBorders>
              <w:top w:val="nil"/>
              <w:left w:val="nil"/>
              <w:bottom w:val="nil"/>
              <w:right w:val="nil"/>
            </w:tcBorders>
          </w:tcPr>
          <w:p w14:paraId="71CEE9C1"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c>
          <w:tcPr>
            <w:tcW w:w="851" w:type="dxa"/>
            <w:tcBorders>
              <w:top w:val="nil"/>
              <w:left w:val="nil"/>
              <w:bottom w:val="nil"/>
              <w:right w:val="nil"/>
            </w:tcBorders>
          </w:tcPr>
          <w:p w14:paraId="29EA96C9"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c>
          <w:tcPr>
            <w:tcW w:w="770" w:type="dxa"/>
            <w:tcBorders>
              <w:top w:val="nil"/>
              <w:left w:val="nil"/>
              <w:bottom w:val="nil"/>
              <w:right w:val="nil"/>
            </w:tcBorders>
          </w:tcPr>
          <w:p w14:paraId="27A778A9"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r>
      <w:tr w:rsidR="00BC2A02" w:rsidRPr="00BC2A02" w14:paraId="1CE2876C" w14:textId="77777777" w:rsidTr="00B63F1A">
        <w:trPr>
          <w:trHeight w:val="289"/>
        </w:trPr>
        <w:tc>
          <w:tcPr>
            <w:tcW w:w="3389" w:type="dxa"/>
            <w:tcBorders>
              <w:top w:val="nil"/>
              <w:left w:val="nil"/>
              <w:bottom w:val="nil"/>
              <w:right w:val="nil"/>
            </w:tcBorders>
          </w:tcPr>
          <w:p w14:paraId="6BCF38FB"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i/>
                <w:color w:val="000000"/>
                <w:sz w:val="14"/>
                <w:szCs w:val="14"/>
              </w:rPr>
              <w:t xml:space="preserve">     riadne dividendy </w:t>
            </w:r>
          </w:p>
        </w:tc>
        <w:tc>
          <w:tcPr>
            <w:tcW w:w="888" w:type="dxa"/>
            <w:tcBorders>
              <w:top w:val="nil"/>
              <w:left w:val="nil"/>
              <w:bottom w:val="nil"/>
              <w:right w:val="nil"/>
            </w:tcBorders>
          </w:tcPr>
          <w:p w14:paraId="07C9F2C4"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25 220</w:t>
            </w:r>
          </w:p>
        </w:tc>
        <w:tc>
          <w:tcPr>
            <w:tcW w:w="826" w:type="dxa"/>
            <w:tcBorders>
              <w:top w:val="nil"/>
              <w:left w:val="nil"/>
              <w:bottom w:val="nil"/>
              <w:right w:val="nil"/>
            </w:tcBorders>
          </w:tcPr>
          <w:p w14:paraId="69730D29"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23 231</w:t>
            </w:r>
          </w:p>
        </w:tc>
        <w:tc>
          <w:tcPr>
            <w:tcW w:w="744" w:type="dxa"/>
            <w:tcBorders>
              <w:top w:val="nil"/>
              <w:left w:val="nil"/>
              <w:bottom w:val="nil"/>
              <w:right w:val="nil"/>
            </w:tcBorders>
          </w:tcPr>
          <w:p w14:paraId="7DCCD46D"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8 001</w:t>
            </w:r>
          </w:p>
        </w:tc>
        <w:tc>
          <w:tcPr>
            <w:tcW w:w="770" w:type="dxa"/>
            <w:tcBorders>
              <w:top w:val="nil"/>
              <w:left w:val="nil"/>
              <w:bottom w:val="nil"/>
              <w:right w:val="nil"/>
            </w:tcBorders>
          </w:tcPr>
          <w:p w14:paraId="35FE6770" w14:textId="77777777" w:rsidR="00BC2A02" w:rsidRPr="00BC2A02" w:rsidRDefault="00BC2A02" w:rsidP="00296CA4">
            <w:pPr>
              <w:ind w:left="190"/>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9 666</w:t>
            </w:r>
          </w:p>
        </w:tc>
        <w:tc>
          <w:tcPr>
            <w:tcW w:w="850" w:type="dxa"/>
            <w:tcBorders>
              <w:top w:val="nil"/>
              <w:left w:val="nil"/>
              <w:bottom w:val="nil"/>
              <w:right w:val="nil"/>
            </w:tcBorders>
          </w:tcPr>
          <w:p w14:paraId="7BD307AE"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51" w:type="dxa"/>
            <w:tcBorders>
              <w:top w:val="nil"/>
              <w:left w:val="nil"/>
              <w:bottom w:val="nil"/>
              <w:right w:val="nil"/>
            </w:tcBorders>
          </w:tcPr>
          <w:p w14:paraId="69DA8FCD"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00CB9367"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r>
      <w:tr w:rsidR="00BC2A02" w:rsidRPr="00BC2A02" w14:paraId="05391580" w14:textId="77777777" w:rsidTr="00B63F1A">
        <w:trPr>
          <w:trHeight w:val="290"/>
        </w:trPr>
        <w:tc>
          <w:tcPr>
            <w:tcW w:w="3389" w:type="dxa"/>
            <w:tcBorders>
              <w:top w:val="nil"/>
              <w:left w:val="nil"/>
              <w:bottom w:val="nil"/>
              <w:right w:val="nil"/>
            </w:tcBorders>
          </w:tcPr>
          <w:p w14:paraId="39720C22"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i/>
                <w:color w:val="000000"/>
                <w:sz w:val="14"/>
                <w:szCs w:val="14"/>
              </w:rPr>
              <w:t xml:space="preserve">     </w:t>
            </w:r>
            <w:proofErr w:type="spellStart"/>
            <w:r w:rsidRPr="00BC2A02">
              <w:rPr>
                <w:rFonts w:ascii="Times New Roman" w:hAnsi="Times New Roman" w:cs="Times New Roman"/>
                <w:i/>
                <w:color w:val="000000"/>
                <w:sz w:val="14"/>
                <w:szCs w:val="14"/>
              </w:rPr>
              <w:t>superdividendy</w:t>
            </w:r>
            <w:proofErr w:type="spellEnd"/>
            <w:r w:rsidRPr="00BC2A02">
              <w:rPr>
                <w:rFonts w:ascii="Times New Roman" w:hAnsi="Times New Roman" w:cs="Times New Roman"/>
                <w:i/>
                <w:color w:val="000000"/>
                <w:sz w:val="14"/>
                <w:szCs w:val="14"/>
              </w:rPr>
              <w:t xml:space="preserve"> </w:t>
            </w:r>
          </w:p>
        </w:tc>
        <w:tc>
          <w:tcPr>
            <w:tcW w:w="888" w:type="dxa"/>
            <w:tcBorders>
              <w:top w:val="nil"/>
              <w:left w:val="nil"/>
              <w:bottom w:val="nil"/>
              <w:right w:val="nil"/>
            </w:tcBorders>
          </w:tcPr>
          <w:p w14:paraId="674847C8"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8 457</w:t>
            </w:r>
          </w:p>
        </w:tc>
        <w:tc>
          <w:tcPr>
            <w:tcW w:w="826" w:type="dxa"/>
            <w:tcBorders>
              <w:top w:val="nil"/>
              <w:left w:val="nil"/>
              <w:bottom w:val="nil"/>
              <w:right w:val="nil"/>
            </w:tcBorders>
          </w:tcPr>
          <w:p w14:paraId="5AF6BA7E"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5 839</w:t>
            </w:r>
          </w:p>
        </w:tc>
        <w:tc>
          <w:tcPr>
            <w:tcW w:w="744" w:type="dxa"/>
            <w:tcBorders>
              <w:top w:val="nil"/>
              <w:left w:val="nil"/>
              <w:bottom w:val="nil"/>
              <w:right w:val="nil"/>
            </w:tcBorders>
          </w:tcPr>
          <w:p w14:paraId="465D50C2"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2 683</w:t>
            </w:r>
          </w:p>
        </w:tc>
        <w:tc>
          <w:tcPr>
            <w:tcW w:w="770" w:type="dxa"/>
            <w:tcBorders>
              <w:top w:val="nil"/>
              <w:left w:val="nil"/>
              <w:bottom w:val="nil"/>
              <w:right w:val="nil"/>
            </w:tcBorders>
          </w:tcPr>
          <w:p w14:paraId="04F00C47"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1 044</w:t>
            </w:r>
          </w:p>
        </w:tc>
        <w:tc>
          <w:tcPr>
            <w:tcW w:w="850" w:type="dxa"/>
            <w:tcBorders>
              <w:top w:val="nil"/>
              <w:left w:val="nil"/>
              <w:bottom w:val="nil"/>
              <w:right w:val="nil"/>
            </w:tcBorders>
          </w:tcPr>
          <w:p w14:paraId="0813C58E"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51" w:type="dxa"/>
            <w:tcBorders>
              <w:top w:val="nil"/>
              <w:left w:val="nil"/>
              <w:bottom w:val="nil"/>
              <w:right w:val="nil"/>
            </w:tcBorders>
          </w:tcPr>
          <w:p w14:paraId="798E902E"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6D3E2C5E"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r>
      <w:tr w:rsidR="00BC2A02" w:rsidRPr="00BC2A02" w14:paraId="2FAC2C63" w14:textId="77777777" w:rsidTr="00B63F1A">
        <w:trPr>
          <w:trHeight w:val="290"/>
        </w:trPr>
        <w:tc>
          <w:tcPr>
            <w:tcW w:w="3389" w:type="dxa"/>
            <w:tcBorders>
              <w:top w:val="nil"/>
              <w:left w:val="nil"/>
              <w:bottom w:val="nil"/>
              <w:right w:val="nil"/>
            </w:tcBorders>
          </w:tcPr>
          <w:p w14:paraId="79FA9302" w14:textId="77777777" w:rsidR="00BC2A02" w:rsidRPr="00BC2A02" w:rsidRDefault="00BC2A02" w:rsidP="00296CA4">
            <w:pPr>
              <w:ind w:left="122"/>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Ministerstvo dopravy SR</w:t>
            </w:r>
          </w:p>
        </w:tc>
        <w:tc>
          <w:tcPr>
            <w:tcW w:w="888" w:type="dxa"/>
            <w:tcBorders>
              <w:top w:val="nil"/>
              <w:left w:val="nil"/>
              <w:bottom w:val="nil"/>
              <w:right w:val="nil"/>
            </w:tcBorders>
          </w:tcPr>
          <w:p w14:paraId="1CE6A6D2" w14:textId="77777777" w:rsidR="00BC2A02" w:rsidRPr="00BC2A02" w:rsidRDefault="00BC2A02" w:rsidP="00296CA4">
            <w:pPr>
              <w:ind w:left="72"/>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0</w:t>
            </w:r>
          </w:p>
        </w:tc>
        <w:tc>
          <w:tcPr>
            <w:tcW w:w="826" w:type="dxa"/>
            <w:tcBorders>
              <w:top w:val="nil"/>
              <w:left w:val="nil"/>
              <w:bottom w:val="nil"/>
              <w:right w:val="nil"/>
            </w:tcBorders>
          </w:tcPr>
          <w:p w14:paraId="579A79C4" w14:textId="77777777" w:rsidR="00BC2A02" w:rsidRPr="00BC2A02" w:rsidRDefault="00BC2A02" w:rsidP="00296CA4">
            <w:pPr>
              <w:ind w:left="72"/>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0</w:t>
            </w:r>
          </w:p>
        </w:tc>
        <w:tc>
          <w:tcPr>
            <w:tcW w:w="744" w:type="dxa"/>
            <w:tcBorders>
              <w:top w:val="nil"/>
              <w:left w:val="nil"/>
              <w:bottom w:val="nil"/>
              <w:right w:val="nil"/>
            </w:tcBorders>
          </w:tcPr>
          <w:p w14:paraId="5C3E25E0" w14:textId="77777777" w:rsidR="00BC2A02" w:rsidRPr="00BC2A02" w:rsidRDefault="00BC2A02" w:rsidP="00296CA4">
            <w:pPr>
              <w:ind w:left="91"/>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0</w:t>
            </w:r>
          </w:p>
        </w:tc>
        <w:tc>
          <w:tcPr>
            <w:tcW w:w="770" w:type="dxa"/>
            <w:tcBorders>
              <w:top w:val="nil"/>
              <w:left w:val="nil"/>
              <w:bottom w:val="nil"/>
              <w:right w:val="nil"/>
            </w:tcBorders>
          </w:tcPr>
          <w:p w14:paraId="573FDBC3" w14:textId="77777777" w:rsidR="00BC2A02" w:rsidRPr="00BC2A02" w:rsidRDefault="00BC2A02" w:rsidP="00296CA4">
            <w:pPr>
              <w:ind w:left="72"/>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418</w:t>
            </w:r>
          </w:p>
        </w:tc>
        <w:tc>
          <w:tcPr>
            <w:tcW w:w="850" w:type="dxa"/>
            <w:tcBorders>
              <w:top w:val="nil"/>
              <w:left w:val="nil"/>
              <w:bottom w:val="nil"/>
              <w:right w:val="nil"/>
            </w:tcBorders>
          </w:tcPr>
          <w:p w14:paraId="47DEBC6E" w14:textId="77777777" w:rsidR="00BC2A02" w:rsidRPr="00BC2A02" w:rsidRDefault="00BC2A02" w:rsidP="00296CA4">
            <w:pPr>
              <w:ind w:left="91"/>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34</w:t>
            </w:r>
          </w:p>
        </w:tc>
        <w:tc>
          <w:tcPr>
            <w:tcW w:w="851" w:type="dxa"/>
            <w:tcBorders>
              <w:top w:val="nil"/>
              <w:left w:val="nil"/>
              <w:bottom w:val="nil"/>
              <w:right w:val="nil"/>
            </w:tcBorders>
          </w:tcPr>
          <w:p w14:paraId="46EF93B7" w14:textId="77777777" w:rsidR="00BC2A02" w:rsidRPr="00BC2A02" w:rsidRDefault="00BC2A02" w:rsidP="00296CA4">
            <w:pPr>
              <w:ind w:left="91"/>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356</w:t>
            </w:r>
          </w:p>
        </w:tc>
        <w:tc>
          <w:tcPr>
            <w:tcW w:w="770" w:type="dxa"/>
            <w:tcBorders>
              <w:top w:val="nil"/>
              <w:left w:val="nil"/>
              <w:bottom w:val="nil"/>
              <w:right w:val="nil"/>
            </w:tcBorders>
          </w:tcPr>
          <w:p w14:paraId="70029F75" w14:textId="77777777" w:rsidR="00BC2A02" w:rsidRPr="00BC2A02" w:rsidRDefault="00BC2A02" w:rsidP="00296CA4">
            <w:pPr>
              <w:ind w:left="91"/>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465</w:t>
            </w:r>
          </w:p>
        </w:tc>
      </w:tr>
      <w:tr w:rsidR="00BC2A02" w:rsidRPr="00BC2A02" w14:paraId="6B990E09" w14:textId="77777777" w:rsidTr="00B63F1A">
        <w:trPr>
          <w:trHeight w:val="290"/>
        </w:trPr>
        <w:tc>
          <w:tcPr>
            <w:tcW w:w="3389" w:type="dxa"/>
            <w:tcBorders>
              <w:top w:val="nil"/>
              <w:left w:val="nil"/>
              <w:bottom w:val="nil"/>
              <w:right w:val="nil"/>
            </w:tcBorders>
          </w:tcPr>
          <w:p w14:paraId="7B2FA68E"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color w:val="000000"/>
                <w:sz w:val="14"/>
                <w:szCs w:val="14"/>
              </w:rPr>
              <w:t xml:space="preserve">Letisko Košice - </w:t>
            </w:r>
            <w:proofErr w:type="spellStart"/>
            <w:r w:rsidRPr="00BC2A02">
              <w:rPr>
                <w:rFonts w:ascii="Times New Roman" w:hAnsi="Times New Roman" w:cs="Times New Roman"/>
                <w:color w:val="000000"/>
                <w:sz w:val="14"/>
                <w:szCs w:val="14"/>
              </w:rPr>
              <w:t>Airport</w:t>
            </w:r>
            <w:proofErr w:type="spellEnd"/>
            <w:r w:rsidRPr="00BC2A02">
              <w:rPr>
                <w:rFonts w:ascii="Times New Roman" w:hAnsi="Times New Roman" w:cs="Times New Roman"/>
                <w:color w:val="000000"/>
                <w:sz w:val="14"/>
                <w:szCs w:val="14"/>
              </w:rPr>
              <w:t xml:space="preserve"> Košice, a. s.</w:t>
            </w:r>
          </w:p>
        </w:tc>
        <w:tc>
          <w:tcPr>
            <w:tcW w:w="888" w:type="dxa"/>
            <w:tcBorders>
              <w:top w:val="nil"/>
              <w:left w:val="nil"/>
              <w:bottom w:val="nil"/>
              <w:right w:val="nil"/>
            </w:tcBorders>
          </w:tcPr>
          <w:p w14:paraId="6E15988F" w14:textId="77777777" w:rsidR="00BC2A02" w:rsidRPr="00BC2A02" w:rsidRDefault="00BC2A02" w:rsidP="00296CA4">
            <w:pPr>
              <w:ind w:left="7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c>
          <w:tcPr>
            <w:tcW w:w="826" w:type="dxa"/>
            <w:tcBorders>
              <w:top w:val="nil"/>
              <w:left w:val="nil"/>
              <w:bottom w:val="nil"/>
              <w:right w:val="nil"/>
            </w:tcBorders>
          </w:tcPr>
          <w:p w14:paraId="4D8A9345" w14:textId="77777777" w:rsidR="00BC2A02" w:rsidRPr="00BC2A02" w:rsidRDefault="00BC2A02" w:rsidP="00296CA4">
            <w:pPr>
              <w:ind w:left="7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c>
          <w:tcPr>
            <w:tcW w:w="744" w:type="dxa"/>
            <w:tcBorders>
              <w:top w:val="nil"/>
              <w:left w:val="nil"/>
              <w:bottom w:val="nil"/>
              <w:right w:val="nil"/>
            </w:tcBorders>
          </w:tcPr>
          <w:p w14:paraId="58409881"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c>
          <w:tcPr>
            <w:tcW w:w="770" w:type="dxa"/>
            <w:tcBorders>
              <w:top w:val="nil"/>
              <w:left w:val="nil"/>
              <w:bottom w:val="nil"/>
              <w:right w:val="nil"/>
            </w:tcBorders>
          </w:tcPr>
          <w:p w14:paraId="41276FEB" w14:textId="77777777" w:rsidR="00BC2A02" w:rsidRPr="00BC2A02" w:rsidRDefault="00BC2A02" w:rsidP="00296CA4">
            <w:pPr>
              <w:ind w:left="7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346</w:t>
            </w:r>
          </w:p>
        </w:tc>
        <w:tc>
          <w:tcPr>
            <w:tcW w:w="850" w:type="dxa"/>
            <w:tcBorders>
              <w:top w:val="nil"/>
              <w:left w:val="nil"/>
              <w:bottom w:val="nil"/>
              <w:right w:val="nil"/>
            </w:tcBorders>
          </w:tcPr>
          <w:p w14:paraId="20FD6928"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34</w:t>
            </w:r>
          </w:p>
        </w:tc>
        <w:tc>
          <w:tcPr>
            <w:tcW w:w="851" w:type="dxa"/>
            <w:tcBorders>
              <w:top w:val="nil"/>
              <w:left w:val="nil"/>
              <w:bottom w:val="nil"/>
              <w:right w:val="nil"/>
            </w:tcBorders>
          </w:tcPr>
          <w:p w14:paraId="34B7F4C1"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356</w:t>
            </w:r>
          </w:p>
        </w:tc>
        <w:tc>
          <w:tcPr>
            <w:tcW w:w="770" w:type="dxa"/>
            <w:tcBorders>
              <w:top w:val="nil"/>
              <w:left w:val="nil"/>
              <w:bottom w:val="nil"/>
              <w:right w:val="nil"/>
            </w:tcBorders>
          </w:tcPr>
          <w:p w14:paraId="1035660F"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465</w:t>
            </w:r>
          </w:p>
        </w:tc>
      </w:tr>
      <w:tr w:rsidR="00BC2A02" w:rsidRPr="00BC2A02" w14:paraId="5F9FF484" w14:textId="77777777" w:rsidTr="00B63F1A">
        <w:trPr>
          <w:trHeight w:val="290"/>
        </w:trPr>
        <w:tc>
          <w:tcPr>
            <w:tcW w:w="3389" w:type="dxa"/>
            <w:tcBorders>
              <w:top w:val="nil"/>
              <w:left w:val="nil"/>
              <w:bottom w:val="nil"/>
              <w:right w:val="nil"/>
            </w:tcBorders>
          </w:tcPr>
          <w:p w14:paraId="69BC5F23" w14:textId="77777777" w:rsidR="00BC2A02" w:rsidRPr="00BC2A02" w:rsidRDefault="00BC2A02" w:rsidP="00296CA4">
            <w:pPr>
              <w:ind w:left="122"/>
              <w:rPr>
                <w:rFonts w:ascii="Times New Roman" w:hAnsi="Times New Roman" w:cs="Times New Roman"/>
                <w:i/>
                <w:color w:val="000000"/>
                <w:sz w:val="14"/>
                <w:szCs w:val="14"/>
              </w:rPr>
            </w:pPr>
            <w:r w:rsidRPr="00BC2A02">
              <w:rPr>
                <w:rFonts w:ascii="Times New Roman" w:hAnsi="Times New Roman" w:cs="Times New Roman"/>
                <w:i/>
                <w:color w:val="000000"/>
                <w:sz w:val="14"/>
                <w:szCs w:val="14"/>
              </w:rPr>
              <w:lastRenderedPageBreak/>
              <w:t xml:space="preserve">     riadne dividendy</w:t>
            </w:r>
          </w:p>
        </w:tc>
        <w:tc>
          <w:tcPr>
            <w:tcW w:w="888" w:type="dxa"/>
            <w:tcBorders>
              <w:top w:val="nil"/>
              <w:left w:val="nil"/>
              <w:bottom w:val="nil"/>
              <w:right w:val="nil"/>
            </w:tcBorders>
          </w:tcPr>
          <w:p w14:paraId="7A9AA2E5"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26" w:type="dxa"/>
            <w:tcBorders>
              <w:top w:val="nil"/>
              <w:left w:val="nil"/>
              <w:bottom w:val="nil"/>
              <w:right w:val="nil"/>
            </w:tcBorders>
          </w:tcPr>
          <w:p w14:paraId="19681B96"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44" w:type="dxa"/>
            <w:tcBorders>
              <w:top w:val="nil"/>
              <w:left w:val="nil"/>
              <w:bottom w:val="nil"/>
              <w:right w:val="nil"/>
            </w:tcBorders>
          </w:tcPr>
          <w:p w14:paraId="49F70EA7"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25F9E93F"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346</w:t>
            </w:r>
          </w:p>
        </w:tc>
        <w:tc>
          <w:tcPr>
            <w:tcW w:w="850" w:type="dxa"/>
            <w:tcBorders>
              <w:top w:val="nil"/>
              <w:left w:val="nil"/>
              <w:bottom w:val="nil"/>
              <w:right w:val="nil"/>
            </w:tcBorders>
          </w:tcPr>
          <w:p w14:paraId="7F75E1C9"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34</w:t>
            </w:r>
          </w:p>
        </w:tc>
        <w:tc>
          <w:tcPr>
            <w:tcW w:w="851" w:type="dxa"/>
            <w:tcBorders>
              <w:top w:val="nil"/>
              <w:left w:val="nil"/>
              <w:bottom w:val="nil"/>
              <w:right w:val="nil"/>
            </w:tcBorders>
          </w:tcPr>
          <w:p w14:paraId="6863DC4B"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356</w:t>
            </w:r>
          </w:p>
        </w:tc>
        <w:tc>
          <w:tcPr>
            <w:tcW w:w="770" w:type="dxa"/>
            <w:tcBorders>
              <w:top w:val="nil"/>
              <w:left w:val="nil"/>
              <w:bottom w:val="nil"/>
              <w:right w:val="nil"/>
            </w:tcBorders>
          </w:tcPr>
          <w:p w14:paraId="5A072840"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465</w:t>
            </w:r>
          </w:p>
        </w:tc>
      </w:tr>
      <w:tr w:rsidR="00BC2A02" w:rsidRPr="00BC2A02" w14:paraId="73FDE3E7" w14:textId="77777777" w:rsidTr="00B63F1A">
        <w:trPr>
          <w:trHeight w:val="290"/>
        </w:trPr>
        <w:tc>
          <w:tcPr>
            <w:tcW w:w="3389" w:type="dxa"/>
            <w:tcBorders>
              <w:top w:val="nil"/>
              <w:left w:val="nil"/>
              <w:bottom w:val="nil"/>
              <w:right w:val="nil"/>
            </w:tcBorders>
          </w:tcPr>
          <w:p w14:paraId="167460EB" w14:textId="77777777" w:rsidR="00BC2A02" w:rsidRPr="00BC2A02" w:rsidRDefault="00BC2A02" w:rsidP="00296CA4">
            <w:pPr>
              <w:ind w:left="122"/>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 xml:space="preserve">     </w:t>
            </w:r>
            <w:proofErr w:type="spellStart"/>
            <w:r w:rsidRPr="00BC2A02">
              <w:rPr>
                <w:rFonts w:ascii="Times New Roman" w:hAnsi="Times New Roman" w:cs="Times New Roman"/>
                <w:i/>
                <w:color w:val="000000"/>
                <w:sz w:val="14"/>
                <w:szCs w:val="14"/>
              </w:rPr>
              <w:t>superdividendy</w:t>
            </w:r>
            <w:proofErr w:type="spellEnd"/>
          </w:p>
        </w:tc>
        <w:tc>
          <w:tcPr>
            <w:tcW w:w="888" w:type="dxa"/>
            <w:tcBorders>
              <w:top w:val="nil"/>
              <w:left w:val="nil"/>
              <w:bottom w:val="nil"/>
              <w:right w:val="nil"/>
            </w:tcBorders>
          </w:tcPr>
          <w:p w14:paraId="09B6DF9B"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26" w:type="dxa"/>
            <w:tcBorders>
              <w:top w:val="nil"/>
              <w:left w:val="nil"/>
              <w:bottom w:val="nil"/>
              <w:right w:val="nil"/>
            </w:tcBorders>
          </w:tcPr>
          <w:p w14:paraId="47ACF4AE"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44" w:type="dxa"/>
            <w:tcBorders>
              <w:top w:val="nil"/>
              <w:left w:val="nil"/>
              <w:bottom w:val="nil"/>
              <w:right w:val="nil"/>
            </w:tcBorders>
          </w:tcPr>
          <w:p w14:paraId="513399F7"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43A68201"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50" w:type="dxa"/>
            <w:tcBorders>
              <w:top w:val="nil"/>
              <w:left w:val="nil"/>
              <w:bottom w:val="nil"/>
              <w:right w:val="nil"/>
            </w:tcBorders>
          </w:tcPr>
          <w:p w14:paraId="65D64211"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51" w:type="dxa"/>
            <w:tcBorders>
              <w:top w:val="nil"/>
              <w:left w:val="nil"/>
              <w:bottom w:val="nil"/>
              <w:right w:val="nil"/>
            </w:tcBorders>
          </w:tcPr>
          <w:p w14:paraId="67B180FB"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1FAE1239"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r>
      <w:tr w:rsidR="00BC2A02" w:rsidRPr="00BC2A02" w14:paraId="4B528696" w14:textId="77777777" w:rsidTr="00B63F1A">
        <w:trPr>
          <w:trHeight w:val="290"/>
        </w:trPr>
        <w:tc>
          <w:tcPr>
            <w:tcW w:w="3389" w:type="dxa"/>
            <w:tcBorders>
              <w:top w:val="nil"/>
              <w:left w:val="nil"/>
              <w:bottom w:val="nil"/>
              <w:right w:val="nil"/>
            </w:tcBorders>
          </w:tcPr>
          <w:p w14:paraId="6E1D14E5"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color w:val="000000"/>
                <w:sz w:val="14"/>
                <w:szCs w:val="14"/>
              </w:rPr>
              <w:t>365.bank, a. s.</w:t>
            </w:r>
          </w:p>
        </w:tc>
        <w:tc>
          <w:tcPr>
            <w:tcW w:w="888" w:type="dxa"/>
            <w:tcBorders>
              <w:top w:val="nil"/>
              <w:left w:val="nil"/>
              <w:bottom w:val="nil"/>
              <w:right w:val="nil"/>
            </w:tcBorders>
          </w:tcPr>
          <w:p w14:paraId="6CB77852" w14:textId="77777777" w:rsidR="00BC2A02" w:rsidRPr="00BC2A02" w:rsidRDefault="00BC2A02" w:rsidP="00296CA4">
            <w:pPr>
              <w:ind w:left="7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c>
          <w:tcPr>
            <w:tcW w:w="826" w:type="dxa"/>
            <w:tcBorders>
              <w:top w:val="nil"/>
              <w:left w:val="nil"/>
              <w:bottom w:val="nil"/>
              <w:right w:val="nil"/>
            </w:tcBorders>
          </w:tcPr>
          <w:p w14:paraId="558FC79E" w14:textId="77777777" w:rsidR="00BC2A02" w:rsidRPr="00BC2A02" w:rsidRDefault="00BC2A02" w:rsidP="00296CA4">
            <w:pPr>
              <w:ind w:left="7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c>
          <w:tcPr>
            <w:tcW w:w="744" w:type="dxa"/>
            <w:tcBorders>
              <w:top w:val="nil"/>
              <w:left w:val="nil"/>
              <w:bottom w:val="nil"/>
              <w:right w:val="nil"/>
            </w:tcBorders>
          </w:tcPr>
          <w:p w14:paraId="07E9CC8C"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c>
          <w:tcPr>
            <w:tcW w:w="770" w:type="dxa"/>
            <w:tcBorders>
              <w:top w:val="nil"/>
              <w:left w:val="nil"/>
              <w:bottom w:val="nil"/>
              <w:right w:val="nil"/>
            </w:tcBorders>
          </w:tcPr>
          <w:p w14:paraId="2F58C9A9" w14:textId="77777777" w:rsidR="00BC2A02" w:rsidRPr="00BC2A02" w:rsidRDefault="00BC2A02" w:rsidP="00296CA4">
            <w:pPr>
              <w:ind w:left="7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72</w:t>
            </w:r>
          </w:p>
        </w:tc>
        <w:tc>
          <w:tcPr>
            <w:tcW w:w="850" w:type="dxa"/>
            <w:tcBorders>
              <w:top w:val="nil"/>
              <w:left w:val="nil"/>
              <w:bottom w:val="nil"/>
              <w:right w:val="nil"/>
            </w:tcBorders>
          </w:tcPr>
          <w:p w14:paraId="7C3D3813"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c>
          <w:tcPr>
            <w:tcW w:w="851" w:type="dxa"/>
            <w:tcBorders>
              <w:top w:val="nil"/>
              <w:left w:val="nil"/>
              <w:bottom w:val="nil"/>
              <w:right w:val="nil"/>
            </w:tcBorders>
          </w:tcPr>
          <w:p w14:paraId="539D2F61"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c>
          <w:tcPr>
            <w:tcW w:w="770" w:type="dxa"/>
            <w:tcBorders>
              <w:top w:val="nil"/>
              <w:left w:val="nil"/>
              <w:bottom w:val="nil"/>
              <w:right w:val="nil"/>
            </w:tcBorders>
          </w:tcPr>
          <w:p w14:paraId="502F8D74" w14:textId="77777777" w:rsidR="00BC2A02" w:rsidRPr="00BC2A02" w:rsidRDefault="00BC2A02" w:rsidP="00296CA4">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r>
      <w:tr w:rsidR="00BC2A02" w:rsidRPr="00BC2A02" w14:paraId="08E5DDB3" w14:textId="77777777" w:rsidTr="00B63F1A">
        <w:trPr>
          <w:trHeight w:val="290"/>
        </w:trPr>
        <w:tc>
          <w:tcPr>
            <w:tcW w:w="3389" w:type="dxa"/>
            <w:tcBorders>
              <w:top w:val="nil"/>
              <w:left w:val="nil"/>
              <w:bottom w:val="nil"/>
              <w:right w:val="nil"/>
            </w:tcBorders>
          </w:tcPr>
          <w:p w14:paraId="38021477" w14:textId="77777777" w:rsidR="00BC2A02" w:rsidRPr="00BC2A02" w:rsidRDefault="00BC2A02" w:rsidP="00296CA4">
            <w:pPr>
              <w:ind w:left="122"/>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 xml:space="preserve">     riadne dividendy</w:t>
            </w:r>
          </w:p>
        </w:tc>
        <w:tc>
          <w:tcPr>
            <w:tcW w:w="888" w:type="dxa"/>
            <w:tcBorders>
              <w:top w:val="nil"/>
              <w:left w:val="nil"/>
              <w:bottom w:val="nil"/>
              <w:right w:val="nil"/>
            </w:tcBorders>
          </w:tcPr>
          <w:p w14:paraId="42D7E941"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26" w:type="dxa"/>
            <w:tcBorders>
              <w:top w:val="nil"/>
              <w:left w:val="nil"/>
              <w:bottom w:val="nil"/>
              <w:right w:val="nil"/>
            </w:tcBorders>
          </w:tcPr>
          <w:p w14:paraId="701C3C26"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44" w:type="dxa"/>
            <w:tcBorders>
              <w:top w:val="nil"/>
              <w:left w:val="nil"/>
              <w:bottom w:val="nil"/>
              <w:right w:val="nil"/>
            </w:tcBorders>
          </w:tcPr>
          <w:p w14:paraId="063C8055"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5A14008A"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20</w:t>
            </w:r>
          </w:p>
        </w:tc>
        <w:tc>
          <w:tcPr>
            <w:tcW w:w="850" w:type="dxa"/>
            <w:tcBorders>
              <w:top w:val="nil"/>
              <w:left w:val="nil"/>
              <w:bottom w:val="nil"/>
              <w:right w:val="nil"/>
            </w:tcBorders>
          </w:tcPr>
          <w:p w14:paraId="4C6588CC"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51" w:type="dxa"/>
            <w:tcBorders>
              <w:top w:val="nil"/>
              <w:left w:val="nil"/>
              <w:bottom w:val="nil"/>
              <w:right w:val="nil"/>
            </w:tcBorders>
          </w:tcPr>
          <w:p w14:paraId="6E3DCBB4"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53BCB12D"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r>
      <w:tr w:rsidR="00BC2A02" w:rsidRPr="00BC2A02" w14:paraId="6CBC9DBA" w14:textId="77777777" w:rsidTr="00B63F1A">
        <w:trPr>
          <w:trHeight w:val="290"/>
        </w:trPr>
        <w:tc>
          <w:tcPr>
            <w:tcW w:w="3389" w:type="dxa"/>
            <w:tcBorders>
              <w:top w:val="nil"/>
              <w:left w:val="nil"/>
              <w:bottom w:val="nil"/>
              <w:right w:val="nil"/>
            </w:tcBorders>
          </w:tcPr>
          <w:p w14:paraId="7576C10A" w14:textId="77777777" w:rsidR="00BC2A02" w:rsidRPr="00BC2A02" w:rsidRDefault="00BC2A02" w:rsidP="00296CA4">
            <w:pPr>
              <w:ind w:left="122"/>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 xml:space="preserve">     </w:t>
            </w:r>
            <w:proofErr w:type="spellStart"/>
            <w:r w:rsidRPr="00BC2A02">
              <w:rPr>
                <w:rFonts w:ascii="Times New Roman" w:hAnsi="Times New Roman" w:cs="Times New Roman"/>
                <w:i/>
                <w:color w:val="000000"/>
                <w:sz w:val="14"/>
                <w:szCs w:val="14"/>
              </w:rPr>
              <w:t>superdividendy</w:t>
            </w:r>
            <w:proofErr w:type="spellEnd"/>
          </w:p>
        </w:tc>
        <w:tc>
          <w:tcPr>
            <w:tcW w:w="888" w:type="dxa"/>
            <w:tcBorders>
              <w:top w:val="nil"/>
              <w:left w:val="nil"/>
              <w:bottom w:val="nil"/>
              <w:right w:val="nil"/>
            </w:tcBorders>
          </w:tcPr>
          <w:p w14:paraId="67D8927E"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26" w:type="dxa"/>
            <w:tcBorders>
              <w:top w:val="nil"/>
              <w:left w:val="nil"/>
              <w:bottom w:val="nil"/>
              <w:right w:val="nil"/>
            </w:tcBorders>
          </w:tcPr>
          <w:p w14:paraId="7A78E155"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44" w:type="dxa"/>
            <w:tcBorders>
              <w:top w:val="nil"/>
              <w:left w:val="nil"/>
              <w:bottom w:val="nil"/>
              <w:right w:val="nil"/>
            </w:tcBorders>
          </w:tcPr>
          <w:p w14:paraId="0A6979DC"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0B74A9B1" w14:textId="77777777" w:rsidR="00BC2A02" w:rsidRPr="00BC2A02" w:rsidRDefault="00BC2A02" w:rsidP="00296CA4">
            <w:pPr>
              <w:ind w:left="7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37</w:t>
            </w:r>
          </w:p>
        </w:tc>
        <w:tc>
          <w:tcPr>
            <w:tcW w:w="850" w:type="dxa"/>
            <w:tcBorders>
              <w:top w:val="nil"/>
              <w:left w:val="nil"/>
              <w:bottom w:val="nil"/>
              <w:right w:val="nil"/>
            </w:tcBorders>
          </w:tcPr>
          <w:p w14:paraId="159EAAB1"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51" w:type="dxa"/>
            <w:tcBorders>
              <w:top w:val="nil"/>
              <w:left w:val="nil"/>
              <w:bottom w:val="nil"/>
              <w:right w:val="nil"/>
            </w:tcBorders>
          </w:tcPr>
          <w:p w14:paraId="03071568"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41CCE6BC"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r>
      <w:tr w:rsidR="00BC2A02" w:rsidRPr="00BC2A02" w14:paraId="77E6C6D7" w14:textId="77777777" w:rsidTr="00B63F1A">
        <w:trPr>
          <w:trHeight w:val="289"/>
        </w:trPr>
        <w:tc>
          <w:tcPr>
            <w:tcW w:w="3389" w:type="dxa"/>
            <w:tcBorders>
              <w:top w:val="nil"/>
              <w:left w:val="nil"/>
              <w:bottom w:val="nil"/>
              <w:right w:val="nil"/>
            </w:tcBorders>
          </w:tcPr>
          <w:p w14:paraId="1AFBDAD7" w14:textId="77777777" w:rsidR="00BC2A02" w:rsidRPr="00BC2A02" w:rsidRDefault="00BC2A02" w:rsidP="00296CA4">
            <w:pPr>
              <w:ind w:left="122"/>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 xml:space="preserve">     splátka pohľadávky</w:t>
            </w:r>
          </w:p>
        </w:tc>
        <w:tc>
          <w:tcPr>
            <w:tcW w:w="888" w:type="dxa"/>
            <w:tcBorders>
              <w:top w:val="nil"/>
              <w:left w:val="nil"/>
              <w:bottom w:val="nil"/>
              <w:right w:val="nil"/>
            </w:tcBorders>
          </w:tcPr>
          <w:p w14:paraId="4B071DBB" w14:textId="77777777" w:rsidR="00BC2A02" w:rsidRPr="00BC2A02" w:rsidRDefault="00BC2A02" w:rsidP="00296CA4">
            <w:pPr>
              <w:ind w:left="245"/>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26" w:type="dxa"/>
            <w:tcBorders>
              <w:top w:val="nil"/>
              <w:left w:val="nil"/>
              <w:bottom w:val="nil"/>
              <w:right w:val="nil"/>
            </w:tcBorders>
          </w:tcPr>
          <w:p w14:paraId="6B0C6E8A" w14:textId="77777777" w:rsidR="00BC2A02" w:rsidRPr="00BC2A02" w:rsidRDefault="00BC2A02" w:rsidP="00296CA4">
            <w:pPr>
              <w:ind w:left="245"/>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44" w:type="dxa"/>
            <w:tcBorders>
              <w:top w:val="nil"/>
              <w:left w:val="nil"/>
              <w:bottom w:val="nil"/>
              <w:right w:val="nil"/>
            </w:tcBorders>
          </w:tcPr>
          <w:p w14:paraId="56F99BA4" w14:textId="77777777" w:rsidR="00BC2A02" w:rsidRPr="00BC2A02" w:rsidRDefault="00BC2A02" w:rsidP="00296CA4">
            <w:pPr>
              <w:ind w:left="103"/>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40D4D7FE" w14:textId="77777777" w:rsidR="00BC2A02" w:rsidRPr="00BC2A02" w:rsidRDefault="00BC2A02" w:rsidP="00296CA4">
            <w:pPr>
              <w:ind w:left="202"/>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15</w:t>
            </w:r>
          </w:p>
        </w:tc>
        <w:tc>
          <w:tcPr>
            <w:tcW w:w="850" w:type="dxa"/>
            <w:tcBorders>
              <w:top w:val="nil"/>
              <w:left w:val="nil"/>
              <w:bottom w:val="nil"/>
              <w:right w:val="nil"/>
            </w:tcBorders>
          </w:tcPr>
          <w:p w14:paraId="406EF6F4" w14:textId="77777777" w:rsidR="00BC2A02" w:rsidRPr="00BC2A02" w:rsidRDefault="00BC2A02" w:rsidP="00296CA4">
            <w:pPr>
              <w:ind w:left="103"/>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851" w:type="dxa"/>
            <w:tcBorders>
              <w:top w:val="nil"/>
              <w:left w:val="nil"/>
              <w:bottom w:val="nil"/>
              <w:right w:val="nil"/>
            </w:tcBorders>
          </w:tcPr>
          <w:p w14:paraId="7C04B3A5" w14:textId="77777777" w:rsidR="00BC2A02" w:rsidRPr="00BC2A02" w:rsidRDefault="00BC2A02" w:rsidP="00296CA4">
            <w:pPr>
              <w:ind w:left="70"/>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c>
          <w:tcPr>
            <w:tcW w:w="770" w:type="dxa"/>
            <w:tcBorders>
              <w:top w:val="nil"/>
              <w:left w:val="nil"/>
              <w:bottom w:val="nil"/>
              <w:right w:val="nil"/>
            </w:tcBorders>
          </w:tcPr>
          <w:p w14:paraId="5B6CCC4F" w14:textId="77777777" w:rsidR="00BC2A02" w:rsidRPr="00BC2A02" w:rsidRDefault="00BC2A02" w:rsidP="00296CA4">
            <w:pPr>
              <w:ind w:left="91"/>
              <w:jc w:val="right"/>
              <w:rPr>
                <w:rFonts w:ascii="Times New Roman" w:hAnsi="Times New Roman" w:cs="Times New Roman"/>
                <w:i/>
                <w:color w:val="000000"/>
                <w:sz w:val="14"/>
                <w:szCs w:val="14"/>
              </w:rPr>
            </w:pPr>
            <w:r w:rsidRPr="00BC2A02">
              <w:rPr>
                <w:rFonts w:ascii="Times New Roman" w:hAnsi="Times New Roman" w:cs="Times New Roman"/>
                <w:i/>
                <w:color w:val="000000"/>
                <w:sz w:val="14"/>
                <w:szCs w:val="14"/>
              </w:rPr>
              <w:t>0</w:t>
            </w:r>
          </w:p>
        </w:tc>
      </w:tr>
      <w:tr w:rsidR="00BC2A02" w:rsidRPr="00BC2A02" w14:paraId="6309CCD5" w14:textId="77777777" w:rsidTr="00B63F1A">
        <w:trPr>
          <w:trHeight w:val="289"/>
        </w:trPr>
        <w:tc>
          <w:tcPr>
            <w:tcW w:w="3389" w:type="dxa"/>
            <w:tcBorders>
              <w:top w:val="nil"/>
              <w:left w:val="nil"/>
              <w:bottom w:val="nil"/>
              <w:right w:val="nil"/>
            </w:tcBorders>
          </w:tcPr>
          <w:p w14:paraId="6B6725A2" w14:textId="77777777" w:rsidR="00BC2A02" w:rsidRPr="00BC2A02" w:rsidRDefault="00BC2A02" w:rsidP="00296CA4">
            <w:pPr>
              <w:ind w:left="122"/>
              <w:rPr>
                <w:rFonts w:ascii="Times New Roman" w:hAnsi="Times New Roman" w:cs="Times New Roman"/>
                <w:color w:val="000000"/>
                <w:sz w:val="14"/>
                <w:szCs w:val="14"/>
              </w:rPr>
            </w:pPr>
            <w:r w:rsidRPr="00BC2A02">
              <w:rPr>
                <w:rFonts w:ascii="Times New Roman" w:hAnsi="Times New Roman" w:cs="Times New Roman"/>
                <w:b/>
                <w:color w:val="000000"/>
                <w:sz w:val="14"/>
                <w:szCs w:val="14"/>
              </w:rPr>
              <w:t xml:space="preserve">Správa štátnych hmotných rezerv SR </w:t>
            </w:r>
          </w:p>
        </w:tc>
        <w:tc>
          <w:tcPr>
            <w:tcW w:w="888" w:type="dxa"/>
            <w:tcBorders>
              <w:top w:val="nil"/>
              <w:left w:val="nil"/>
              <w:bottom w:val="nil"/>
              <w:right w:val="nil"/>
            </w:tcBorders>
          </w:tcPr>
          <w:p w14:paraId="6F1B97AF" w14:textId="77777777" w:rsidR="00BC2A02" w:rsidRPr="00BC2A02" w:rsidRDefault="00BC2A02" w:rsidP="00296CA4">
            <w:pPr>
              <w:ind w:left="245"/>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0</w:t>
            </w:r>
          </w:p>
        </w:tc>
        <w:tc>
          <w:tcPr>
            <w:tcW w:w="826" w:type="dxa"/>
            <w:tcBorders>
              <w:top w:val="nil"/>
              <w:left w:val="nil"/>
              <w:bottom w:val="nil"/>
              <w:right w:val="nil"/>
            </w:tcBorders>
          </w:tcPr>
          <w:p w14:paraId="1096FAB4" w14:textId="77777777" w:rsidR="00BC2A02" w:rsidRPr="00BC2A02" w:rsidRDefault="00BC2A02" w:rsidP="00296CA4">
            <w:pPr>
              <w:ind w:left="245"/>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108</w:t>
            </w:r>
          </w:p>
        </w:tc>
        <w:tc>
          <w:tcPr>
            <w:tcW w:w="744" w:type="dxa"/>
            <w:tcBorders>
              <w:top w:val="nil"/>
              <w:left w:val="nil"/>
              <w:bottom w:val="nil"/>
              <w:right w:val="nil"/>
            </w:tcBorders>
          </w:tcPr>
          <w:p w14:paraId="0B1C950C" w14:textId="77777777" w:rsidR="00BC2A02" w:rsidRPr="00BC2A02" w:rsidRDefault="00BC2A02" w:rsidP="00296CA4">
            <w:pPr>
              <w:ind w:left="103"/>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0</w:t>
            </w:r>
          </w:p>
        </w:tc>
        <w:tc>
          <w:tcPr>
            <w:tcW w:w="770" w:type="dxa"/>
            <w:tcBorders>
              <w:top w:val="nil"/>
              <w:left w:val="nil"/>
              <w:bottom w:val="nil"/>
              <w:right w:val="nil"/>
            </w:tcBorders>
          </w:tcPr>
          <w:p w14:paraId="628EB60A" w14:textId="77777777" w:rsidR="00BC2A02" w:rsidRPr="00BC2A02" w:rsidRDefault="00BC2A02" w:rsidP="00296CA4">
            <w:pPr>
              <w:ind w:left="202"/>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109</w:t>
            </w:r>
          </w:p>
        </w:tc>
        <w:tc>
          <w:tcPr>
            <w:tcW w:w="850" w:type="dxa"/>
            <w:tcBorders>
              <w:top w:val="nil"/>
              <w:left w:val="nil"/>
              <w:bottom w:val="nil"/>
              <w:right w:val="nil"/>
            </w:tcBorders>
          </w:tcPr>
          <w:p w14:paraId="17EA7ED1" w14:textId="77777777" w:rsidR="00BC2A02" w:rsidRPr="00BC2A02" w:rsidRDefault="00BC2A02" w:rsidP="00296CA4">
            <w:pPr>
              <w:ind w:left="103"/>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109</w:t>
            </w:r>
          </w:p>
        </w:tc>
        <w:tc>
          <w:tcPr>
            <w:tcW w:w="851" w:type="dxa"/>
            <w:tcBorders>
              <w:top w:val="nil"/>
              <w:left w:val="nil"/>
              <w:bottom w:val="nil"/>
              <w:right w:val="nil"/>
            </w:tcBorders>
          </w:tcPr>
          <w:p w14:paraId="1A0FE1F5" w14:textId="77777777" w:rsidR="00BC2A02" w:rsidRPr="00BC2A02" w:rsidRDefault="00BC2A02" w:rsidP="00296CA4">
            <w:pPr>
              <w:ind w:left="70"/>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109</w:t>
            </w:r>
          </w:p>
        </w:tc>
        <w:tc>
          <w:tcPr>
            <w:tcW w:w="770" w:type="dxa"/>
            <w:tcBorders>
              <w:top w:val="nil"/>
              <w:left w:val="nil"/>
              <w:bottom w:val="nil"/>
              <w:right w:val="nil"/>
            </w:tcBorders>
          </w:tcPr>
          <w:p w14:paraId="6E5C3929" w14:textId="77777777" w:rsidR="00BC2A02" w:rsidRPr="00BC2A02" w:rsidRDefault="00BC2A02" w:rsidP="00296CA4">
            <w:pPr>
              <w:ind w:left="70"/>
              <w:jc w:val="right"/>
              <w:rPr>
                <w:rFonts w:ascii="Times New Roman" w:hAnsi="Times New Roman" w:cs="Times New Roman"/>
                <w:b/>
                <w:color w:val="000000"/>
                <w:sz w:val="14"/>
                <w:szCs w:val="14"/>
              </w:rPr>
            </w:pPr>
            <w:r w:rsidRPr="00BC2A02">
              <w:rPr>
                <w:rFonts w:ascii="Times New Roman" w:hAnsi="Times New Roman" w:cs="Times New Roman"/>
                <w:b/>
                <w:color w:val="000000"/>
                <w:sz w:val="14"/>
                <w:szCs w:val="14"/>
              </w:rPr>
              <w:t>109</w:t>
            </w:r>
          </w:p>
        </w:tc>
      </w:tr>
      <w:tr w:rsidR="00BC2A02" w:rsidRPr="00BC2A02" w14:paraId="4C011655" w14:textId="77777777" w:rsidTr="00B63F1A">
        <w:trPr>
          <w:trHeight w:val="115"/>
        </w:trPr>
        <w:tc>
          <w:tcPr>
            <w:tcW w:w="3389" w:type="dxa"/>
            <w:tcBorders>
              <w:top w:val="nil"/>
              <w:left w:val="nil"/>
              <w:bottom w:val="single" w:sz="4" w:space="0" w:color="auto"/>
              <w:right w:val="nil"/>
            </w:tcBorders>
          </w:tcPr>
          <w:p w14:paraId="0A03F9CC" w14:textId="77777777" w:rsidR="00BC2A02" w:rsidRPr="00BC2A02" w:rsidRDefault="00BC2A02" w:rsidP="00BC2A02">
            <w:pPr>
              <w:ind w:left="122"/>
              <w:rPr>
                <w:rFonts w:ascii="Times New Roman" w:hAnsi="Times New Roman" w:cs="Times New Roman"/>
                <w:color w:val="000000"/>
                <w:sz w:val="14"/>
                <w:szCs w:val="14"/>
              </w:rPr>
            </w:pPr>
            <w:r w:rsidRPr="00BC2A02">
              <w:rPr>
                <w:rFonts w:ascii="Times New Roman" w:hAnsi="Times New Roman" w:cs="Times New Roman"/>
                <w:color w:val="000000"/>
                <w:sz w:val="14"/>
                <w:szCs w:val="14"/>
              </w:rPr>
              <w:t>Spoločnosť pre skladovanie, a. s.</w:t>
            </w:r>
          </w:p>
        </w:tc>
        <w:tc>
          <w:tcPr>
            <w:tcW w:w="888" w:type="dxa"/>
            <w:tcBorders>
              <w:top w:val="nil"/>
              <w:left w:val="nil"/>
              <w:bottom w:val="single" w:sz="4" w:space="0" w:color="auto"/>
              <w:right w:val="nil"/>
            </w:tcBorders>
          </w:tcPr>
          <w:p w14:paraId="5592C899" w14:textId="77777777" w:rsidR="00BC2A02" w:rsidRPr="00BC2A02" w:rsidRDefault="00BC2A02" w:rsidP="00BC2A02">
            <w:pPr>
              <w:ind w:left="1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c>
          <w:tcPr>
            <w:tcW w:w="826" w:type="dxa"/>
            <w:tcBorders>
              <w:top w:val="nil"/>
              <w:left w:val="nil"/>
              <w:bottom w:val="single" w:sz="4" w:space="0" w:color="auto"/>
              <w:right w:val="nil"/>
            </w:tcBorders>
          </w:tcPr>
          <w:p w14:paraId="7B2665FA" w14:textId="77777777" w:rsidR="00BC2A02" w:rsidRPr="00BC2A02" w:rsidRDefault="00BC2A02" w:rsidP="00BC2A02">
            <w:pPr>
              <w:ind w:left="1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108</w:t>
            </w:r>
          </w:p>
        </w:tc>
        <w:tc>
          <w:tcPr>
            <w:tcW w:w="744" w:type="dxa"/>
            <w:tcBorders>
              <w:top w:val="nil"/>
              <w:left w:val="nil"/>
              <w:bottom w:val="single" w:sz="4" w:space="0" w:color="auto"/>
              <w:right w:val="nil"/>
            </w:tcBorders>
          </w:tcPr>
          <w:p w14:paraId="0B232434" w14:textId="77777777" w:rsidR="00BC2A02" w:rsidRPr="00BC2A02" w:rsidRDefault="00BC2A02" w:rsidP="00BC2A02">
            <w:pPr>
              <w:ind w:left="103"/>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0</w:t>
            </w:r>
          </w:p>
        </w:tc>
        <w:tc>
          <w:tcPr>
            <w:tcW w:w="770" w:type="dxa"/>
            <w:tcBorders>
              <w:top w:val="nil"/>
              <w:left w:val="nil"/>
              <w:bottom w:val="single" w:sz="4" w:space="0" w:color="auto"/>
              <w:right w:val="nil"/>
            </w:tcBorders>
          </w:tcPr>
          <w:p w14:paraId="5E30A672" w14:textId="77777777" w:rsidR="00BC2A02" w:rsidRPr="00BC2A02" w:rsidRDefault="00BC2A02" w:rsidP="00BC2A02">
            <w:pPr>
              <w:ind w:left="202"/>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109</w:t>
            </w:r>
          </w:p>
        </w:tc>
        <w:tc>
          <w:tcPr>
            <w:tcW w:w="850" w:type="dxa"/>
            <w:tcBorders>
              <w:top w:val="nil"/>
              <w:left w:val="nil"/>
              <w:bottom w:val="single" w:sz="4" w:space="0" w:color="auto"/>
              <w:right w:val="nil"/>
            </w:tcBorders>
          </w:tcPr>
          <w:p w14:paraId="0B6E4F2A" w14:textId="77777777" w:rsidR="00BC2A02" w:rsidRPr="00BC2A02" w:rsidRDefault="00BC2A02" w:rsidP="00BC2A02">
            <w:pPr>
              <w:ind w:left="103"/>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109</w:t>
            </w:r>
          </w:p>
        </w:tc>
        <w:tc>
          <w:tcPr>
            <w:tcW w:w="851" w:type="dxa"/>
            <w:tcBorders>
              <w:top w:val="nil"/>
              <w:left w:val="nil"/>
              <w:bottom w:val="single" w:sz="4" w:space="0" w:color="auto"/>
              <w:right w:val="nil"/>
            </w:tcBorders>
          </w:tcPr>
          <w:p w14:paraId="21DFB961" w14:textId="77777777" w:rsidR="00BC2A02" w:rsidRPr="00BC2A02" w:rsidRDefault="00BC2A02" w:rsidP="00BC2A02">
            <w:pPr>
              <w:ind w:left="70"/>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109</w:t>
            </w:r>
          </w:p>
        </w:tc>
        <w:tc>
          <w:tcPr>
            <w:tcW w:w="770" w:type="dxa"/>
            <w:tcBorders>
              <w:top w:val="nil"/>
              <w:left w:val="nil"/>
              <w:bottom w:val="single" w:sz="4" w:space="0" w:color="auto"/>
              <w:right w:val="nil"/>
            </w:tcBorders>
          </w:tcPr>
          <w:p w14:paraId="1ED77DC8" w14:textId="77777777" w:rsidR="00BC2A02" w:rsidRPr="00BC2A02" w:rsidRDefault="00BC2A02" w:rsidP="00BC2A02">
            <w:pPr>
              <w:ind w:left="91"/>
              <w:jc w:val="right"/>
              <w:rPr>
                <w:rFonts w:ascii="Times New Roman" w:hAnsi="Times New Roman" w:cs="Times New Roman"/>
                <w:color w:val="000000"/>
                <w:sz w:val="14"/>
                <w:szCs w:val="14"/>
              </w:rPr>
            </w:pPr>
            <w:r w:rsidRPr="00BC2A02">
              <w:rPr>
                <w:rFonts w:ascii="Times New Roman" w:hAnsi="Times New Roman" w:cs="Times New Roman"/>
                <w:color w:val="000000"/>
                <w:sz w:val="14"/>
                <w:szCs w:val="14"/>
              </w:rPr>
              <w:t>109</w:t>
            </w:r>
          </w:p>
        </w:tc>
      </w:tr>
    </w:tbl>
    <w:p w14:paraId="60C288F4" w14:textId="77777777" w:rsidR="00BC2A02" w:rsidRPr="00296CA4" w:rsidRDefault="00BC2A02" w:rsidP="00BC2A02">
      <w:pPr>
        <w:tabs>
          <w:tab w:val="center" w:pos="768"/>
          <w:tab w:val="center" w:pos="1476"/>
          <w:tab w:val="center" w:pos="2184"/>
          <w:tab w:val="center" w:pos="2893"/>
          <w:tab w:val="center" w:pos="3601"/>
          <w:tab w:val="center" w:pos="4309"/>
          <w:tab w:val="center" w:pos="5017"/>
          <w:tab w:val="center" w:pos="6433"/>
          <w:tab w:val="center" w:pos="7141"/>
          <w:tab w:val="center" w:pos="8479"/>
        </w:tabs>
        <w:spacing w:after="4" w:line="269" w:lineRule="auto"/>
        <w:jc w:val="both"/>
        <w:rPr>
          <w:rFonts w:ascii="Times New Roman" w:hAnsi="Times New Roman" w:cs="Times New Roman"/>
          <w:color w:val="000000"/>
          <w:sz w:val="14"/>
          <w:szCs w:val="14"/>
          <w:lang w:eastAsia="sk-SK"/>
        </w:rPr>
      </w:pPr>
      <w:r w:rsidRPr="00296CA4">
        <w:rPr>
          <w:rFonts w:ascii="Times New Roman" w:eastAsia="Times New Roman" w:hAnsi="Times New Roman" w:cs="Times New Roman"/>
          <w:color w:val="000000"/>
          <w:sz w:val="14"/>
          <w:szCs w:val="14"/>
          <w:lang w:eastAsia="sk-SK"/>
        </w:rPr>
        <w:t>*</w:t>
      </w:r>
      <w:r w:rsidRPr="00296CA4">
        <w:rPr>
          <w:rFonts w:ascii="Times New Roman" w:hAnsi="Times New Roman" w:cs="Times New Roman"/>
          <w:color w:val="000000"/>
          <w:sz w:val="14"/>
          <w:szCs w:val="14"/>
          <w:lang w:eastAsia="sk-SK"/>
        </w:rPr>
        <w:t xml:space="preserve"> Z dôvodu reorganizácie dvoch skupín podnikov, skupiny Západoslovenská energetika, a. s. a Východoslovenská energetika Holding, a. s., </w:t>
      </w:r>
      <w:proofErr w:type="spellStart"/>
      <w:r w:rsidRPr="00296CA4">
        <w:rPr>
          <w:rFonts w:ascii="Times New Roman" w:hAnsi="Times New Roman" w:cs="Times New Roman"/>
          <w:color w:val="000000"/>
          <w:sz w:val="14"/>
          <w:szCs w:val="14"/>
          <w:lang w:eastAsia="sk-SK"/>
        </w:rPr>
        <w:t>spoluvlastnených</w:t>
      </w:r>
      <w:proofErr w:type="spellEnd"/>
      <w:r w:rsidRPr="00296CA4">
        <w:rPr>
          <w:rFonts w:ascii="Times New Roman" w:hAnsi="Times New Roman" w:cs="Times New Roman"/>
          <w:color w:val="000000"/>
          <w:sz w:val="14"/>
          <w:szCs w:val="14"/>
          <w:lang w:eastAsia="sk-SK"/>
        </w:rPr>
        <w:t xml:space="preserve"> rovnakým zahraničným investorom do jednej skupiny Západoslovenská energetika, a. s. pri zachovaní súčasných vlastníckych podielov súkromného investora a Slovenskej republiky sa dividendy skupiny Východoslovenská energetika Holding, a. s. plánujú vyplácať od roku 2024 prostredníctvom spoločnosti Západoslovenská energetika, a. s.</w:t>
      </w:r>
    </w:p>
    <w:p w14:paraId="220CDCD2" w14:textId="77777777" w:rsidR="00BC2A02" w:rsidRPr="00BC2A02" w:rsidRDefault="00BC2A02" w:rsidP="00BC2A02">
      <w:pPr>
        <w:tabs>
          <w:tab w:val="center" w:pos="768"/>
          <w:tab w:val="center" w:pos="1476"/>
          <w:tab w:val="center" w:pos="2184"/>
          <w:tab w:val="center" w:pos="2893"/>
          <w:tab w:val="center" w:pos="3601"/>
          <w:tab w:val="center" w:pos="4309"/>
          <w:tab w:val="center" w:pos="5017"/>
          <w:tab w:val="center" w:pos="6433"/>
          <w:tab w:val="center" w:pos="7141"/>
          <w:tab w:val="center" w:pos="8479"/>
        </w:tabs>
        <w:spacing w:after="4" w:line="269" w:lineRule="auto"/>
        <w:rPr>
          <w:rFonts w:ascii="Times New Roman" w:eastAsia="Times New Roman" w:hAnsi="Times New Roman" w:cs="Times New Roman"/>
          <w:color w:val="000000"/>
          <w:sz w:val="24"/>
          <w:lang w:eastAsia="sk-SK"/>
        </w:rPr>
      </w:pPr>
      <w:r w:rsidRPr="00296CA4">
        <w:rPr>
          <w:rFonts w:ascii="Times New Roman" w:eastAsia="Times New Roman" w:hAnsi="Times New Roman" w:cs="Times New Roman"/>
          <w:i/>
          <w:color w:val="000000"/>
          <w:sz w:val="14"/>
          <w:szCs w:val="14"/>
          <w:lang w:eastAsia="sk-SK"/>
        </w:rPr>
        <w:t xml:space="preserve">                                                                                                                                                                                                       </w:t>
      </w:r>
      <w:r w:rsidRPr="00BC2A02">
        <w:rPr>
          <w:rFonts w:ascii="Times New Roman" w:eastAsia="Times New Roman" w:hAnsi="Times New Roman" w:cs="Times New Roman"/>
          <w:i/>
          <w:color w:val="000000"/>
          <w:sz w:val="16"/>
          <w:lang w:eastAsia="sk-SK"/>
        </w:rPr>
        <w:t xml:space="preserve">Zdroj: MF SR </w:t>
      </w:r>
    </w:p>
    <w:p w14:paraId="62803882" w14:textId="77777777" w:rsidR="00BC2A02" w:rsidRPr="00BC2A02" w:rsidRDefault="00BC2A02" w:rsidP="00BC2A02">
      <w:pPr>
        <w:spacing w:after="5" w:line="269" w:lineRule="auto"/>
        <w:ind w:left="55" w:right="446" w:hanging="10"/>
        <w:jc w:val="both"/>
        <w:rPr>
          <w:rFonts w:ascii="Times New Roman" w:eastAsia="Times New Roman" w:hAnsi="Times New Roman" w:cs="Times New Roman"/>
          <w:color w:val="000000"/>
          <w:sz w:val="24"/>
          <w:lang w:eastAsia="sk-SK"/>
        </w:rPr>
      </w:pPr>
    </w:p>
    <w:p w14:paraId="6C04B35B" w14:textId="77777777" w:rsidR="00BC2A02" w:rsidRPr="00BC2A02" w:rsidRDefault="00BC2A02" w:rsidP="00296CA4">
      <w:pPr>
        <w:spacing w:after="5" w:line="269" w:lineRule="auto"/>
        <w:ind w:left="55" w:hanging="10"/>
        <w:jc w:val="both"/>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color w:val="000000"/>
          <w:sz w:val="24"/>
          <w:lang w:eastAsia="sk-SK"/>
        </w:rPr>
        <w:t xml:space="preserve">Výška </w:t>
      </w:r>
      <w:r w:rsidRPr="00BC2A02">
        <w:rPr>
          <w:rFonts w:ascii="Times New Roman" w:eastAsia="Times New Roman" w:hAnsi="Times New Roman" w:cs="Times New Roman"/>
          <w:i/>
          <w:color w:val="000000"/>
          <w:sz w:val="24"/>
          <w:lang w:eastAsia="sk-SK"/>
        </w:rPr>
        <w:t>príjmov z administratívnych poplatkov a iných poplatkov a platieb</w:t>
      </w:r>
      <w:r w:rsidRPr="00BC2A02">
        <w:rPr>
          <w:rFonts w:ascii="Times New Roman" w:eastAsia="Times New Roman" w:hAnsi="Times New Roman" w:cs="Times New Roman"/>
          <w:b/>
          <w:color w:val="000000"/>
          <w:sz w:val="24"/>
          <w:lang w:eastAsia="sk-SK"/>
        </w:rPr>
        <w:t xml:space="preserve"> </w:t>
      </w:r>
      <w:r w:rsidRPr="00BC2A02">
        <w:rPr>
          <w:rFonts w:ascii="Times New Roman" w:eastAsia="Times New Roman" w:hAnsi="Times New Roman" w:cs="Times New Roman"/>
          <w:color w:val="000000"/>
          <w:sz w:val="24"/>
          <w:lang w:eastAsia="sk-SK"/>
        </w:rPr>
        <w:t>závisí od počtu jednotlivých aktov konania v priebehu roka.</w:t>
      </w:r>
      <w:r w:rsidRPr="00BC2A02">
        <w:rPr>
          <w:rFonts w:ascii="Times New Roman" w:eastAsia="Times New Roman" w:hAnsi="Times New Roman" w:cs="Times New Roman"/>
          <w:color w:val="000000"/>
          <w:lang w:eastAsia="sk-SK"/>
        </w:rPr>
        <w:t xml:space="preserve"> </w:t>
      </w:r>
      <w:r w:rsidRPr="00BC2A02">
        <w:rPr>
          <w:rFonts w:ascii="Times New Roman" w:eastAsia="Times New Roman" w:hAnsi="Times New Roman" w:cs="Times New Roman"/>
          <w:color w:val="000000"/>
          <w:sz w:val="24"/>
          <w:lang w:eastAsia="sk-SK"/>
        </w:rPr>
        <w:t>Uvedené príjmy sa na rok 2024 rozpočtujú v sume 397 mil. eur, čo predstavuje medziročný nárast o 12,2 %. Medziročný nárast súvisí najmä s novelizáciou zákona SNR č. 71/1992 Zb. o súdnych poplatkoch a poplatku za výpis z registra trestov v znení neskorších predpisov a zákona NR SR č. 145/1995 Z. z. o správnych poplatkoch v znení neskorších predpisov. Najvyšší objem v rámci týchto príjmov predstavujú príjmy z administratívnych poplatkov a v rámci nich príjmy zo súdnych poplatkov a ostatných poplatkov, kam patria napr. správne poplatky, paušálne náhrady za udeľovanie víz, udržiavacie poplatky za patent a pod. Ďalej sa tu rozpočtujú príjmy z pokút, penále a iných sankcií a príjmy z poplatkov a platieb z nepriemyselného a náhodného predaja a služieb.</w:t>
      </w:r>
    </w:p>
    <w:p w14:paraId="0B61ABFD" w14:textId="77777777" w:rsidR="00BC2A02" w:rsidRPr="00BC2A02" w:rsidRDefault="00BC2A02" w:rsidP="00296CA4">
      <w:pPr>
        <w:spacing w:after="44"/>
        <w:ind w:left="60"/>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color w:val="000000"/>
          <w:sz w:val="24"/>
          <w:lang w:eastAsia="sk-SK"/>
        </w:rPr>
        <w:t xml:space="preserve"> </w:t>
      </w:r>
    </w:p>
    <w:p w14:paraId="3D0FBB30" w14:textId="77777777" w:rsidR="00BC2A02" w:rsidRPr="00BC2A02" w:rsidRDefault="00BC2A02" w:rsidP="00296CA4">
      <w:pPr>
        <w:spacing w:after="5" w:line="269" w:lineRule="auto"/>
        <w:ind w:left="55" w:hanging="10"/>
        <w:jc w:val="both"/>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i/>
          <w:color w:val="000000"/>
          <w:sz w:val="24"/>
          <w:lang w:eastAsia="sk-SK"/>
        </w:rPr>
        <w:t>Kapitálové príjmy</w:t>
      </w:r>
      <w:r w:rsidRPr="00BC2A02">
        <w:rPr>
          <w:rFonts w:ascii="Times New Roman" w:eastAsia="Times New Roman" w:hAnsi="Times New Roman" w:cs="Times New Roman"/>
          <w:color w:val="000000"/>
          <w:sz w:val="24"/>
          <w:lang w:eastAsia="sk-SK"/>
        </w:rPr>
        <w:t xml:space="preserve"> sa na rok 2024 rozpočtujú v sume 17,5 mil. eur, čo v porovnaní so schváleným rozpočtom na rok 2023 predstavuje pokles o 9,7 mil. eur.</w:t>
      </w:r>
    </w:p>
    <w:p w14:paraId="1F8CF5B5" w14:textId="77777777" w:rsidR="00BC2A02" w:rsidRPr="00BC2A02" w:rsidRDefault="00BC2A02" w:rsidP="00296CA4">
      <w:pPr>
        <w:spacing w:after="0"/>
        <w:ind w:left="60"/>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color w:val="000000"/>
          <w:sz w:val="24"/>
          <w:lang w:eastAsia="sk-SK"/>
        </w:rPr>
        <w:t xml:space="preserve"> </w:t>
      </w:r>
    </w:p>
    <w:p w14:paraId="7DBAEF5A" w14:textId="77777777" w:rsidR="00BC2A02" w:rsidRPr="00BC2A02" w:rsidRDefault="00BC2A02" w:rsidP="00296CA4">
      <w:pPr>
        <w:spacing w:after="31" w:line="270" w:lineRule="auto"/>
        <w:ind w:left="55" w:hanging="10"/>
        <w:jc w:val="both"/>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i/>
          <w:color w:val="000000"/>
          <w:sz w:val="24"/>
          <w:lang w:eastAsia="sk-SK"/>
        </w:rPr>
        <w:t>Úroky z tuzemských a zahraničných úverov, pôžičiek, návratných finančných výpomocí a vkladov</w:t>
      </w:r>
      <w:r w:rsidRPr="00BC2A02">
        <w:rPr>
          <w:rFonts w:ascii="Times New Roman" w:eastAsia="Times New Roman" w:hAnsi="Times New Roman" w:cs="Times New Roman"/>
          <w:color w:val="000000"/>
          <w:sz w:val="24"/>
          <w:lang w:eastAsia="sk-SK"/>
        </w:rPr>
        <w:t xml:space="preserve"> sa na rok 2024 rozpočtujú v sume 127 mil. eur a pozostávajú z: </w:t>
      </w:r>
    </w:p>
    <w:p w14:paraId="077D3E4B" w14:textId="77777777" w:rsidR="00BC2A02" w:rsidRPr="00BC2A02" w:rsidRDefault="00BC2A02" w:rsidP="00296CA4">
      <w:pPr>
        <w:numPr>
          <w:ilvl w:val="0"/>
          <w:numId w:val="11"/>
        </w:numPr>
        <w:spacing w:after="5" w:line="269" w:lineRule="auto"/>
        <w:jc w:val="both"/>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i/>
          <w:color w:val="000000"/>
          <w:sz w:val="24"/>
          <w:lang w:eastAsia="sk-SK"/>
        </w:rPr>
        <w:t>úrokov z účtov finančného hospodárenia Štátnej pokladnice</w:t>
      </w:r>
      <w:r w:rsidRPr="00BC2A02">
        <w:rPr>
          <w:rFonts w:ascii="Times New Roman" w:eastAsia="Times New Roman" w:hAnsi="Times New Roman" w:cs="Times New Roman"/>
          <w:color w:val="000000"/>
          <w:sz w:val="24"/>
          <w:lang w:eastAsia="sk-SK"/>
        </w:rPr>
        <w:t xml:space="preserve">, ktoré predstavujú úroky z kreditných zostatkov peňažných prostriedkov vedených na účtoch Štátnej pokladnice v NBS, banke alebo pobočke zahraničnej banky vrátane úrokov z finančných operácií vykonaných Štátnou pokladnicou a klientom Štátny dlh znížené o úroky platené Štátnou pokladnicou a príjmy z poplatkov za služby poskytované Štátnou pokladnicou a príjmy z kurzových rozdielov. Rozpočtovanie týchto príjmov vychádza z odhadu úrokových sadzieb ECB KEY RATE a ESTER, ako aj z predpokladaného vývoja priemerných zostatkov na účtoch klientov Štátnej pokladnice, najmä na účtoch dobrovoľných klientov, na účtoch prostriedkov Európskej únie, na účtoch štátnych rozpočtových organizácií a na účtoch štátnych finančných aktív, </w:t>
      </w:r>
    </w:p>
    <w:p w14:paraId="6ACB7A9E" w14:textId="77777777" w:rsidR="00BC2A02" w:rsidRPr="00BC2A02" w:rsidRDefault="00BC2A02" w:rsidP="00296CA4">
      <w:pPr>
        <w:numPr>
          <w:ilvl w:val="0"/>
          <w:numId w:val="11"/>
        </w:numPr>
        <w:spacing w:after="5" w:line="269" w:lineRule="auto"/>
        <w:jc w:val="both"/>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i/>
          <w:color w:val="000000"/>
          <w:sz w:val="24"/>
          <w:lang w:eastAsia="sk-SK"/>
        </w:rPr>
        <w:t>úrokov z návratných finančných výpomocí</w:t>
      </w:r>
      <w:r w:rsidRPr="00BC2A02">
        <w:rPr>
          <w:rFonts w:ascii="Times New Roman" w:eastAsia="Times New Roman" w:hAnsi="Times New Roman" w:cs="Times New Roman"/>
          <w:color w:val="000000"/>
          <w:sz w:val="24"/>
          <w:lang w:eastAsia="sk-SK"/>
        </w:rPr>
        <w:t xml:space="preserve">, kde sa rozpočtujú úroky z nesplatenej časti istiny návratných finančných výpomocí poskytnutých Agentúre pre núdzové zásoby ropy a ropných výrobkov a spoločnostiam GA </w:t>
      </w:r>
      <w:proofErr w:type="spellStart"/>
      <w:r w:rsidRPr="00BC2A02">
        <w:rPr>
          <w:rFonts w:ascii="Times New Roman" w:eastAsia="Times New Roman" w:hAnsi="Times New Roman" w:cs="Times New Roman"/>
          <w:color w:val="000000"/>
          <w:sz w:val="24"/>
          <w:lang w:eastAsia="sk-SK"/>
        </w:rPr>
        <w:t>Drilling</w:t>
      </w:r>
      <w:proofErr w:type="spellEnd"/>
      <w:r w:rsidRPr="00BC2A02">
        <w:rPr>
          <w:rFonts w:ascii="Times New Roman" w:eastAsia="Times New Roman" w:hAnsi="Times New Roman" w:cs="Times New Roman"/>
          <w:color w:val="000000"/>
          <w:sz w:val="24"/>
          <w:lang w:eastAsia="sk-SK"/>
        </w:rPr>
        <w:t>, a. s. a </w:t>
      </w:r>
      <w:proofErr w:type="spellStart"/>
      <w:r w:rsidRPr="00BC2A02">
        <w:rPr>
          <w:rFonts w:ascii="Times New Roman" w:eastAsia="Times New Roman" w:hAnsi="Times New Roman" w:cs="Times New Roman"/>
          <w:color w:val="000000"/>
          <w:sz w:val="24"/>
          <w:lang w:eastAsia="sk-SK"/>
        </w:rPr>
        <w:t>Tachyum</w:t>
      </w:r>
      <w:proofErr w:type="spellEnd"/>
      <w:r w:rsidRPr="00BC2A02">
        <w:rPr>
          <w:rFonts w:ascii="Times New Roman" w:eastAsia="Times New Roman" w:hAnsi="Times New Roman" w:cs="Times New Roman"/>
          <w:color w:val="000000"/>
          <w:sz w:val="24"/>
          <w:lang w:eastAsia="sk-SK"/>
        </w:rPr>
        <w:t xml:space="preserve"> s. r. o., </w:t>
      </w:r>
    </w:p>
    <w:p w14:paraId="1B2BE228" w14:textId="77777777" w:rsidR="00BC2A02" w:rsidRPr="00BC2A02" w:rsidRDefault="00BC2A02" w:rsidP="00296CA4">
      <w:pPr>
        <w:numPr>
          <w:ilvl w:val="0"/>
          <w:numId w:val="11"/>
        </w:numPr>
        <w:spacing w:after="5" w:line="269" w:lineRule="auto"/>
        <w:jc w:val="both"/>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i/>
          <w:color w:val="000000"/>
          <w:sz w:val="24"/>
          <w:lang w:eastAsia="sk-SK"/>
        </w:rPr>
        <w:t>úrokov zo zahraničných úverov, pôžičiek, návratných finančných výpomocí a vkladov</w:t>
      </w:r>
      <w:r w:rsidRPr="00BC2A02">
        <w:rPr>
          <w:rFonts w:ascii="Times New Roman" w:eastAsia="Times New Roman" w:hAnsi="Times New Roman" w:cs="Times New Roman"/>
          <w:color w:val="000000"/>
          <w:sz w:val="24"/>
          <w:lang w:eastAsia="sk-SK"/>
        </w:rPr>
        <w:t xml:space="preserve">, ktoré sa rozpočtujú v kapitolách Ministerstva zahraničných vecí a európskych </w:t>
      </w:r>
      <w:r w:rsidRPr="00BC2A02">
        <w:rPr>
          <w:rFonts w:ascii="Times New Roman" w:eastAsia="Times New Roman" w:hAnsi="Times New Roman" w:cs="Times New Roman"/>
          <w:color w:val="000000"/>
          <w:sz w:val="24"/>
          <w:lang w:eastAsia="sk-SK"/>
        </w:rPr>
        <w:lastRenderedPageBreak/>
        <w:t>záležitostí SR a Ministerstva obrany SR. Ide o kreditné úroky účtov zastupiteľských úradov Slovenskej republiky v zahraničí.</w:t>
      </w:r>
    </w:p>
    <w:p w14:paraId="7D8FDB97" w14:textId="77777777" w:rsidR="00BC2A02" w:rsidRPr="00BC2A02" w:rsidRDefault="00BC2A02" w:rsidP="00296CA4">
      <w:pPr>
        <w:spacing w:after="5" w:line="269" w:lineRule="auto"/>
        <w:ind w:left="780"/>
        <w:jc w:val="both"/>
        <w:rPr>
          <w:rFonts w:ascii="Times New Roman" w:eastAsia="Times New Roman" w:hAnsi="Times New Roman" w:cs="Times New Roman"/>
          <w:color w:val="000000"/>
          <w:sz w:val="24"/>
          <w:lang w:eastAsia="sk-SK"/>
        </w:rPr>
      </w:pPr>
    </w:p>
    <w:p w14:paraId="12E81F80" w14:textId="77777777" w:rsidR="00BC2A02" w:rsidRPr="00BC2A02" w:rsidRDefault="00BC2A02" w:rsidP="00296CA4">
      <w:pPr>
        <w:spacing w:after="5" w:line="269" w:lineRule="auto"/>
        <w:ind w:left="70" w:hanging="10"/>
        <w:jc w:val="both"/>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color w:val="000000"/>
          <w:sz w:val="24"/>
          <w:lang w:eastAsia="sk-SK"/>
        </w:rPr>
        <w:t>V porovnaní s predchádzajúcim rokom sa ich suma podstatne zvýšila (nárast o 103 mil. eur, resp. o 420 %), čo súvisí predovšetkým s veľkým medziročným nárastom rozpočtovaných príjmov z úrokov z účtov finančného hospodárenia spôsobený vyššími úrokovými sadzbami (ECB KEY RATE a ESTER), ktoré používa Štátna pokladnica pri úročení svojich finančných operácií,</w:t>
      </w:r>
      <w:r w:rsidRPr="00BC2A02">
        <w:t xml:space="preserve"> </w:t>
      </w:r>
      <w:r w:rsidRPr="00BC2A02">
        <w:rPr>
          <w:rFonts w:ascii="Times New Roman" w:eastAsia="Times New Roman" w:hAnsi="Times New Roman" w:cs="Times New Roman"/>
          <w:color w:val="000000"/>
          <w:sz w:val="24"/>
          <w:lang w:eastAsia="sk-SK"/>
        </w:rPr>
        <w:t xml:space="preserve">ako aj s výrazne vyššími rozpočtovanými príjmami z úrokov z návratnej finančnej výpomoci poskytnutej Agentúre pre núdzové zásoby ropy a ropných výrobkov z dôvodu výrazného nárastu sadzby pre 6M </w:t>
      </w:r>
      <w:proofErr w:type="spellStart"/>
      <w:r w:rsidRPr="00BC2A02">
        <w:rPr>
          <w:rFonts w:ascii="Times New Roman" w:eastAsia="Times New Roman" w:hAnsi="Times New Roman" w:cs="Times New Roman"/>
          <w:color w:val="000000"/>
          <w:sz w:val="24"/>
          <w:lang w:eastAsia="sk-SK"/>
        </w:rPr>
        <w:t>Euribor</w:t>
      </w:r>
      <w:proofErr w:type="spellEnd"/>
      <w:r w:rsidRPr="00BC2A02">
        <w:rPr>
          <w:rFonts w:ascii="Times New Roman" w:eastAsia="Times New Roman" w:hAnsi="Times New Roman" w:cs="Times New Roman"/>
          <w:color w:val="000000"/>
          <w:sz w:val="24"/>
          <w:lang w:eastAsia="sk-SK"/>
        </w:rPr>
        <w:t>, od ktorej sa odvíja výsledná úroková sadzba použitá pri výpočte úrokov z nesplatenej časti istiny.</w:t>
      </w:r>
    </w:p>
    <w:p w14:paraId="6E0D3DD9" w14:textId="77777777" w:rsidR="00BC2A02" w:rsidRPr="00BC2A02" w:rsidRDefault="00BC2A02" w:rsidP="00296CA4">
      <w:pPr>
        <w:spacing w:after="45"/>
        <w:ind w:left="60"/>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color w:val="000000"/>
          <w:sz w:val="24"/>
          <w:lang w:eastAsia="sk-SK"/>
        </w:rPr>
        <w:t xml:space="preserve"> </w:t>
      </w:r>
    </w:p>
    <w:p w14:paraId="0D0AB18F" w14:textId="77777777" w:rsidR="00BC2A02" w:rsidRPr="00BC2A02" w:rsidRDefault="00BC2A02" w:rsidP="00296CA4">
      <w:pPr>
        <w:spacing w:after="5" w:line="269" w:lineRule="auto"/>
        <w:ind w:left="55" w:hanging="10"/>
        <w:jc w:val="both"/>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color w:val="000000"/>
          <w:sz w:val="24"/>
          <w:lang w:eastAsia="sk-SK"/>
        </w:rPr>
        <w:t xml:space="preserve">Výrazný medziročný pokles </w:t>
      </w:r>
      <w:r w:rsidRPr="00BC2A02">
        <w:rPr>
          <w:rFonts w:ascii="Times New Roman" w:eastAsia="Times New Roman" w:hAnsi="Times New Roman" w:cs="Times New Roman"/>
          <w:i/>
          <w:color w:val="000000"/>
          <w:sz w:val="24"/>
          <w:lang w:eastAsia="sk-SK"/>
        </w:rPr>
        <w:t>iných nedaňových príjmov</w:t>
      </w:r>
      <w:r w:rsidRPr="00BC2A02">
        <w:rPr>
          <w:rFonts w:ascii="Times New Roman" w:eastAsia="Times New Roman" w:hAnsi="Times New Roman" w:cs="Times New Roman"/>
          <w:color w:val="000000"/>
          <w:sz w:val="24"/>
          <w:lang w:eastAsia="sk-SK"/>
        </w:rPr>
        <w:t xml:space="preserve"> o 58,9 % súvisí predovšetkým s tým, že v ostatných nedaňových príjmoch sa už nerozpočtujú príjmy zo solidárneho príspevku z činností v odvetviach ropy, zemného plynu, uhlia a rafinérií a z odvodu z nadmerných príjmov elektrární.</w:t>
      </w:r>
      <w:r w:rsidRPr="00BC2A02">
        <w:t xml:space="preserve"> </w:t>
      </w:r>
      <w:r w:rsidRPr="00BC2A02">
        <w:rPr>
          <w:rFonts w:ascii="Times New Roman" w:eastAsia="Times New Roman" w:hAnsi="Times New Roman" w:cs="Times New Roman"/>
          <w:color w:val="000000"/>
          <w:sz w:val="24"/>
          <w:lang w:eastAsia="sk-SK"/>
        </w:rPr>
        <w:t>V súvislosti s oboma opatreniami sa v roku 2023 rozpočtovala v kapitole Všeobecná pokladničná správa suma 775 000 tis. eur. V roku 2024 sú tieto príjmy klasifikované ako daňové príjmy štátneho rozpočtu.</w:t>
      </w:r>
    </w:p>
    <w:p w14:paraId="6E4A7B03" w14:textId="77777777" w:rsidR="00BC2A02" w:rsidRPr="00BC2A02" w:rsidRDefault="00BC2A02" w:rsidP="00296CA4">
      <w:pPr>
        <w:spacing w:after="5" w:line="269" w:lineRule="auto"/>
        <w:ind w:left="55" w:hanging="10"/>
        <w:jc w:val="both"/>
        <w:rPr>
          <w:rFonts w:ascii="Times New Roman" w:eastAsia="Times New Roman" w:hAnsi="Times New Roman" w:cs="Times New Roman"/>
          <w:color w:val="000000"/>
          <w:sz w:val="24"/>
          <w:lang w:eastAsia="sk-SK"/>
        </w:rPr>
      </w:pPr>
    </w:p>
    <w:p w14:paraId="3A5E078B" w14:textId="77777777" w:rsidR="00BC2A02" w:rsidRPr="00BC2A02" w:rsidRDefault="00BC2A02" w:rsidP="00296CA4">
      <w:pPr>
        <w:spacing w:after="5" w:line="269" w:lineRule="auto"/>
        <w:ind w:left="55" w:hanging="10"/>
        <w:jc w:val="both"/>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color w:val="000000"/>
          <w:sz w:val="24"/>
          <w:lang w:eastAsia="sk-SK"/>
        </w:rPr>
        <w:t xml:space="preserve">Najväčší objem z </w:t>
      </w:r>
      <w:r w:rsidRPr="00BC2A02">
        <w:rPr>
          <w:rFonts w:ascii="Times New Roman" w:eastAsia="Times New Roman" w:hAnsi="Times New Roman" w:cs="Times New Roman"/>
          <w:i/>
          <w:color w:val="000000"/>
          <w:sz w:val="24"/>
          <w:lang w:eastAsia="sk-SK"/>
        </w:rPr>
        <w:t>iných nedaňových príjmov</w:t>
      </w:r>
      <w:r w:rsidRPr="00BC2A02">
        <w:rPr>
          <w:rFonts w:ascii="Times New Roman" w:eastAsia="Times New Roman" w:hAnsi="Times New Roman" w:cs="Times New Roman"/>
          <w:color w:val="000000"/>
          <w:sz w:val="24"/>
          <w:lang w:eastAsia="sk-SK"/>
        </w:rPr>
        <w:t xml:space="preserve"> predstavujú príjmy z odvodov z hazardných hier a iných podobných hier, ktoré sú rozpočtované v kapitole Všeobecná pokladničná správa na rok 2024 v sume 321 mil. eur. Do tejto kategórie príjmov patria aj vrátené neoprávnene použité alebo zadržané finančné prostriedky a ostatné príjmy. Výška týchto príjmov je v priebehu rozpočtového roka ovplyvnená najmä objemom vrátených neoprávnene použitých finančných prostriedkov od neziskových organizácií, rozpočtových organizácií, obcí a objemom ostatných príjmov, medzi ktoré patria najmä odvody a </w:t>
      </w:r>
      <w:proofErr w:type="spellStart"/>
      <w:r w:rsidRPr="00BC2A02">
        <w:rPr>
          <w:rFonts w:ascii="Times New Roman" w:eastAsia="Times New Roman" w:hAnsi="Times New Roman" w:cs="Times New Roman"/>
          <w:color w:val="000000"/>
          <w:sz w:val="24"/>
          <w:lang w:eastAsia="sk-SK"/>
        </w:rPr>
        <w:t>vratky</w:t>
      </w:r>
      <w:proofErr w:type="spellEnd"/>
      <w:r w:rsidRPr="00BC2A02">
        <w:rPr>
          <w:rFonts w:ascii="Times New Roman" w:eastAsia="Times New Roman" w:hAnsi="Times New Roman" w:cs="Times New Roman"/>
          <w:color w:val="000000"/>
          <w:sz w:val="24"/>
          <w:lang w:eastAsia="sk-SK"/>
        </w:rPr>
        <w:t>.</w:t>
      </w:r>
    </w:p>
    <w:p w14:paraId="4454373D" w14:textId="77777777" w:rsidR="00E64517" w:rsidRDefault="00E64517" w:rsidP="00192C79">
      <w:pPr>
        <w:pStyle w:val="Zkladntext"/>
        <w:rPr>
          <w:rFonts w:ascii="Times New Roman" w:hAnsi="Times New Roman" w:cs="Times New Roman"/>
          <w:b/>
          <w:color w:val="5B9BD5" w:themeColor="accent1"/>
        </w:rPr>
      </w:pPr>
    </w:p>
    <w:p w14:paraId="6DD7ED88" w14:textId="77777777" w:rsidR="007C2BDC" w:rsidRPr="00192C79" w:rsidRDefault="007C2BDC" w:rsidP="00192C79">
      <w:pPr>
        <w:pStyle w:val="Zkladntext"/>
        <w:rPr>
          <w:rFonts w:ascii="Times New Roman" w:hAnsi="Times New Roman" w:cs="Times New Roman"/>
          <w:b/>
          <w:color w:val="5B9BD5" w:themeColor="accent1"/>
        </w:rPr>
      </w:pPr>
      <w:r w:rsidRPr="00192C79">
        <w:rPr>
          <w:rFonts w:ascii="Times New Roman" w:hAnsi="Times New Roman" w:cs="Times New Roman"/>
          <w:b/>
          <w:color w:val="5B9BD5" w:themeColor="accent1"/>
        </w:rPr>
        <w:t xml:space="preserve">3.2.3.2. Príjmy štátneho rozpočtu z grantov a transferov </w:t>
      </w:r>
    </w:p>
    <w:p w14:paraId="0FC07A76" w14:textId="77777777" w:rsidR="007C2BDC" w:rsidRDefault="007C2BDC" w:rsidP="007C2BDC">
      <w:pPr>
        <w:widowControl w:val="0"/>
        <w:spacing w:after="0"/>
        <w:jc w:val="both"/>
        <w:rPr>
          <w:rFonts w:ascii="Times New Roman" w:eastAsia="NeueHaasGroteskText W02" w:hAnsi="Times New Roman" w:cs="Times New Roman"/>
          <w:sz w:val="24"/>
          <w:szCs w:val="20"/>
        </w:rPr>
      </w:pPr>
    </w:p>
    <w:p w14:paraId="6626C4AD" w14:textId="77777777" w:rsidR="00BC2A02" w:rsidRPr="00BC2A02" w:rsidRDefault="00BC2A02" w:rsidP="00296CA4">
      <w:pPr>
        <w:spacing w:after="27" w:line="269" w:lineRule="auto"/>
        <w:ind w:left="55" w:hanging="10"/>
        <w:jc w:val="both"/>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color w:val="000000"/>
          <w:sz w:val="24"/>
          <w:lang w:eastAsia="sk-SK"/>
        </w:rPr>
        <w:t>V rámci tejto skupiny príjmov štátneho rozpočtu sa triedia tuzemské a zahraničné granty a transfery, ktoré môžu byť určené na financovanie tak bežných, ako aj kapitálových potrieb štátu. Vývoj príjmov z grantov a transferov zobrazuje nasledujúca tabuľka.</w:t>
      </w:r>
    </w:p>
    <w:p w14:paraId="78540972" w14:textId="77777777" w:rsidR="00BC2A02" w:rsidRPr="00BC2A02" w:rsidRDefault="00BC2A02" w:rsidP="00BC2A02">
      <w:pPr>
        <w:spacing w:after="5" w:line="269" w:lineRule="auto"/>
        <w:ind w:left="55" w:right="446" w:hanging="10"/>
        <w:jc w:val="both"/>
        <w:rPr>
          <w:rFonts w:ascii="Times New Roman" w:eastAsia="Times New Roman" w:hAnsi="Times New Roman" w:cs="Times New Roman"/>
          <w:color w:val="000000"/>
          <w:sz w:val="24"/>
          <w:lang w:eastAsia="sk-SK"/>
        </w:rPr>
      </w:pPr>
    </w:p>
    <w:p w14:paraId="4AFB4A22" w14:textId="2E9E8D6A" w:rsidR="00BC2A02" w:rsidRPr="00BC2A02" w:rsidRDefault="00BC2A02" w:rsidP="00BC2A02">
      <w:pPr>
        <w:spacing w:after="5" w:line="269" w:lineRule="auto"/>
        <w:ind w:left="55" w:right="446" w:hanging="10"/>
        <w:jc w:val="both"/>
        <w:rPr>
          <w:rFonts w:ascii="Times New Roman" w:eastAsia="Times New Roman" w:hAnsi="Times New Roman" w:cs="Times New Roman"/>
          <w:color w:val="000000"/>
          <w:sz w:val="24"/>
          <w:lang w:eastAsia="sk-SK"/>
        </w:rPr>
      </w:pPr>
      <w:bookmarkStart w:id="124" w:name="_Toc123813904"/>
      <w:bookmarkStart w:id="125" w:name="_Toc153013034"/>
      <w:r w:rsidRPr="00BC2A02">
        <w:rPr>
          <w:rFonts w:ascii="Times New Roman" w:eastAsia="Times New Roman" w:hAnsi="Times New Roman" w:cs="Times New Roman"/>
          <w:b/>
          <w:color w:val="5B9BD5"/>
          <w:sz w:val="20"/>
          <w:lang w:eastAsia="sk-SK"/>
        </w:rPr>
        <w:t xml:space="preserve">Tabuľka </w:t>
      </w:r>
      <w:r w:rsidRPr="00BC2A02">
        <w:rPr>
          <w:rFonts w:ascii="Times New Roman" w:hAnsi="Times New Roman" w:cs="Times New Roman"/>
          <w:b/>
          <w:i/>
          <w:color w:val="5B9BD5" w:themeColor="accent1"/>
          <w:sz w:val="20"/>
          <w:szCs w:val="20"/>
        </w:rPr>
        <w:fldChar w:fldCharType="begin"/>
      </w:r>
      <w:r w:rsidRPr="00BC2A02">
        <w:rPr>
          <w:rFonts w:ascii="Times New Roman" w:hAnsi="Times New Roman" w:cs="Times New Roman"/>
          <w:b/>
          <w:color w:val="5B9BD5" w:themeColor="accent1"/>
          <w:sz w:val="20"/>
          <w:szCs w:val="20"/>
        </w:rPr>
        <w:instrText xml:space="preserve"> SEQ Tabuľka \* ARABIC </w:instrText>
      </w:r>
      <w:r w:rsidRPr="00BC2A02">
        <w:rPr>
          <w:rFonts w:ascii="Times New Roman" w:hAnsi="Times New Roman" w:cs="Times New Roman"/>
          <w:b/>
          <w:i/>
          <w:color w:val="5B9BD5" w:themeColor="accent1"/>
          <w:sz w:val="20"/>
          <w:szCs w:val="20"/>
        </w:rPr>
        <w:fldChar w:fldCharType="separate"/>
      </w:r>
      <w:r w:rsidR="003D5A3A">
        <w:rPr>
          <w:rFonts w:ascii="Times New Roman" w:hAnsi="Times New Roman" w:cs="Times New Roman"/>
          <w:b/>
          <w:noProof/>
          <w:color w:val="5B9BD5" w:themeColor="accent1"/>
          <w:sz w:val="20"/>
          <w:szCs w:val="20"/>
        </w:rPr>
        <w:t>36</w:t>
      </w:r>
      <w:r w:rsidRPr="00BC2A02">
        <w:rPr>
          <w:rFonts w:ascii="Times New Roman" w:hAnsi="Times New Roman" w:cs="Times New Roman"/>
          <w:b/>
          <w:i/>
          <w:color w:val="5B9BD5" w:themeColor="accent1"/>
          <w:sz w:val="20"/>
          <w:szCs w:val="20"/>
        </w:rPr>
        <w:fldChar w:fldCharType="end"/>
      </w:r>
      <w:r w:rsidRPr="00BC2A02">
        <w:rPr>
          <w:rFonts w:ascii="Times New Roman" w:eastAsia="Times New Roman" w:hAnsi="Times New Roman" w:cs="Times New Roman"/>
          <w:b/>
          <w:color w:val="5B9BD5"/>
          <w:sz w:val="20"/>
          <w:lang w:eastAsia="sk-SK"/>
        </w:rPr>
        <w:t xml:space="preserve"> - Príjmy štátneho rozpočtu z grantov a transferov</w:t>
      </w:r>
      <w:bookmarkEnd w:id="124"/>
      <w:bookmarkEnd w:id="125"/>
      <w:r w:rsidRPr="00BC2A02">
        <w:rPr>
          <w:rFonts w:ascii="Times New Roman" w:eastAsia="Times New Roman" w:hAnsi="Times New Roman" w:cs="Times New Roman"/>
          <w:b/>
          <w:color w:val="5B9BD5"/>
          <w:sz w:val="20"/>
          <w:lang w:eastAsia="sk-SK"/>
        </w:rPr>
        <w:t xml:space="preserve"> </w:t>
      </w:r>
    </w:p>
    <w:tbl>
      <w:tblPr>
        <w:tblStyle w:val="TableGrid210"/>
        <w:tblW w:w="9088" w:type="dxa"/>
        <w:tblInd w:w="46" w:type="dxa"/>
        <w:tblCellMar>
          <w:top w:w="45" w:type="dxa"/>
          <w:right w:w="29" w:type="dxa"/>
        </w:tblCellMar>
        <w:tblLook w:val="04A0" w:firstRow="1" w:lastRow="0" w:firstColumn="1" w:lastColumn="0" w:noHBand="0" w:noVBand="1"/>
      </w:tblPr>
      <w:tblGrid>
        <w:gridCol w:w="2453"/>
        <w:gridCol w:w="986"/>
        <w:gridCol w:w="910"/>
        <w:gridCol w:w="992"/>
        <w:gridCol w:w="992"/>
        <w:gridCol w:w="851"/>
        <w:gridCol w:w="992"/>
        <w:gridCol w:w="912"/>
      </w:tblGrid>
      <w:tr w:rsidR="00BC2A02" w:rsidRPr="00BC2A02" w14:paraId="596A9108" w14:textId="77777777" w:rsidTr="00B63F1A">
        <w:trPr>
          <w:trHeight w:val="298"/>
        </w:trPr>
        <w:tc>
          <w:tcPr>
            <w:tcW w:w="2453" w:type="dxa"/>
            <w:tcBorders>
              <w:top w:val="single" w:sz="4" w:space="0" w:color="000000"/>
              <w:left w:val="nil"/>
              <w:bottom w:val="single" w:sz="4" w:space="0" w:color="000000"/>
              <w:right w:val="nil"/>
            </w:tcBorders>
          </w:tcPr>
          <w:p w14:paraId="2557CD99" w14:textId="77777777" w:rsidR="00BC2A02" w:rsidRPr="00BC2A02" w:rsidRDefault="00BC2A02" w:rsidP="00BC2A02">
            <w:pPr>
              <w:ind w:left="86"/>
              <w:rPr>
                <w:rFonts w:ascii="Times New Roman" w:hAnsi="Times New Roman" w:cs="Times New Roman"/>
                <w:color w:val="000000"/>
                <w:sz w:val="24"/>
              </w:rPr>
            </w:pPr>
            <w:r w:rsidRPr="00BC2A02">
              <w:rPr>
                <w:rFonts w:ascii="Times New Roman" w:hAnsi="Times New Roman" w:cs="Times New Roman"/>
                <w:b/>
                <w:color w:val="000000"/>
                <w:sz w:val="16"/>
              </w:rPr>
              <w:t xml:space="preserve"> v tis. eur </w:t>
            </w:r>
          </w:p>
        </w:tc>
        <w:tc>
          <w:tcPr>
            <w:tcW w:w="986" w:type="dxa"/>
            <w:tcBorders>
              <w:top w:val="single" w:sz="4" w:space="0" w:color="000000"/>
              <w:left w:val="nil"/>
              <w:bottom w:val="single" w:sz="4" w:space="0" w:color="000000"/>
              <w:right w:val="nil"/>
            </w:tcBorders>
          </w:tcPr>
          <w:p w14:paraId="347738DB" w14:textId="77777777" w:rsidR="00BC2A02" w:rsidRPr="00BC2A02" w:rsidRDefault="00BC2A02" w:rsidP="00BC2A02">
            <w:pPr>
              <w:ind w:left="192"/>
              <w:jc w:val="right"/>
              <w:rPr>
                <w:rFonts w:ascii="Times New Roman" w:hAnsi="Times New Roman" w:cs="Times New Roman"/>
                <w:color w:val="000000"/>
                <w:sz w:val="24"/>
              </w:rPr>
            </w:pPr>
            <w:r w:rsidRPr="00BC2A02">
              <w:rPr>
                <w:rFonts w:ascii="Times New Roman" w:hAnsi="Times New Roman" w:cs="Times New Roman"/>
                <w:b/>
                <w:color w:val="000000"/>
                <w:sz w:val="16"/>
              </w:rPr>
              <w:t xml:space="preserve">2021 S </w:t>
            </w:r>
          </w:p>
        </w:tc>
        <w:tc>
          <w:tcPr>
            <w:tcW w:w="910" w:type="dxa"/>
            <w:tcBorders>
              <w:top w:val="single" w:sz="4" w:space="0" w:color="000000"/>
              <w:left w:val="nil"/>
              <w:bottom w:val="single" w:sz="4" w:space="0" w:color="000000"/>
              <w:right w:val="nil"/>
            </w:tcBorders>
          </w:tcPr>
          <w:p w14:paraId="5CCCEDF7" w14:textId="77777777" w:rsidR="00BC2A02" w:rsidRPr="00BC2A02" w:rsidRDefault="00BC2A02" w:rsidP="00BC2A02">
            <w:pPr>
              <w:ind w:left="192"/>
              <w:jc w:val="right"/>
              <w:rPr>
                <w:rFonts w:ascii="Times New Roman" w:hAnsi="Times New Roman" w:cs="Times New Roman"/>
                <w:color w:val="000000"/>
                <w:sz w:val="24"/>
              </w:rPr>
            </w:pPr>
            <w:r w:rsidRPr="00BC2A02">
              <w:rPr>
                <w:rFonts w:ascii="Times New Roman" w:hAnsi="Times New Roman" w:cs="Times New Roman"/>
                <w:b/>
                <w:color w:val="000000"/>
                <w:sz w:val="16"/>
              </w:rPr>
              <w:t xml:space="preserve">2022 S </w:t>
            </w:r>
          </w:p>
        </w:tc>
        <w:tc>
          <w:tcPr>
            <w:tcW w:w="992" w:type="dxa"/>
            <w:tcBorders>
              <w:top w:val="single" w:sz="4" w:space="0" w:color="000000"/>
              <w:left w:val="nil"/>
              <w:bottom w:val="single" w:sz="4" w:space="0" w:color="000000"/>
              <w:right w:val="nil"/>
            </w:tcBorders>
          </w:tcPr>
          <w:p w14:paraId="3CD216B7" w14:textId="77777777" w:rsidR="00BC2A02" w:rsidRPr="00BC2A02" w:rsidRDefault="00BC2A02" w:rsidP="00BC2A02">
            <w:pPr>
              <w:ind w:left="125"/>
              <w:jc w:val="right"/>
              <w:rPr>
                <w:rFonts w:ascii="Times New Roman" w:hAnsi="Times New Roman" w:cs="Times New Roman"/>
                <w:color w:val="000000"/>
                <w:sz w:val="24"/>
              </w:rPr>
            </w:pPr>
            <w:r w:rsidRPr="00BC2A02">
              <w:rPr>
                <w:rFonts w:ascii="Times New Roman" w:hAnsi="Times New Roman" w:cs="Times New Roman"/>
                <w:b/>
                <w:color w:val="000000"/>
                <w:sz w:val="16"/>
              </w:rPr>
              <w:t xml:space="preserve"> 2023 R </w:t>
            </w:r>
          </w:p>
        </w:tc>
        <w:tc>
          <w:tcPr>
            <w:tcW w:w="992" w:type="dxa"/>
            <w:tcBorders>
              <w:top w:val="single" w:sz="4" w:space="0" w:color="000000"/>
              <w:left w:val="nil"/>
              <w:bottom w:val="single" w:sz="4" w:space="0" w:color="000000"/>
              <w:right w:val="nil"/>
            </w:tcBorders>
          </w:tcPr>
          <w:p w14:paraId="62BE393A" w14:textId="77777777" w:rsidR="00BC2A02" w:rsidRPr="00BC2A02" w:rsidRDefault="00BC2A02" w:rsidP="00BC2A02">
            <w:pPr>
              <w:ind w:left="67"/>
              <w:jc w:val="right"/>
              <w:rPr>
                <w:rFonts w:ascii="Times New Roman" w:hAnsi="Times New Roman" w:cs="Times New Roman"/>
                <w:color w:val="000000"/>
                <w:sz w:val="24"/>
              </w:rPr>
            </w:pPr>
            <w:r w:rsidRPr="00BC2A02">
              <w:rPr>
                <w:rFonts w:ascii="Times New Roman" w:hAnsi="Times New Roman" w:cs="Times New Roman"/>
                <w:b/>
                <w:color w:val="000000"/>
                <w:sz w:val="16"/>
              </w:rPr>
              <w:t xml:space="preserve">2023 OS </w:t>
            </w:r>
          </w:p>
        </w:tc>
        <w:tc>
          <w:tcPr>
            <w:tcW w:w="851" w:type="dxa"/>
            <w:tcBorders>
              <w:top w:val="single" w:sz="4" w:space="0" w:color="000000"/>
              <w:left w:val="nil"/>
              <w:bottom w:val="single" w:sz="4" w:space="0" w:color="000000"/>
              <w:right w:val="nil"/>
            </w:tcBorders>
          </w:tcPr>
          <w:p w14:paraId="36A6629A" w14:textId="77777777" w:rsidR="00BC2A02" w:rsidRPr="00BC2A02" w:rsidRDefault="00BC2A02" w:rsidP="00BC2A02">
            <w:pPr>
              <w:ind w:left="166"/>
              <w:jc w:val="right"/>
              <w:rPr>
                <w:rFonts w:ascii="Times New Roman" w:hAnsi="Times New Roman" w:cs="Times New Roman"/>
                <w:color w:val="000000"/>
                <w:sz w:val="24"/>
              </w:rPr>
            </w:pPr>
            <w:r w:rsidRPr="00BC2A02">
              <w:rPr>
                <w:rFonts w:ascii="Times New Roman" w:hAnsi="Times New Roman" w:cs="Times New Roman"/>
                <w:b/>
                <w:color w:val="000000"/>
                <w:sz w:val="16"/>
              </w:rPr>
              <w:t xml:space="preserve">2024 N </w:t>
            </w:r>
          </w:p>
        </w:tc>
        <w:tc>
          <w:tcPr>
            <w:tcW w:w="992" w:type="dxa"/>
            <w:tcBorders>
              <w:top w:val="single" w:sz="4" w:space="0" w:color="000000"/>
              <w:left w:val="nil"/>
              <w:bottom w:val="single" w:sz="4" w:space="0" w:color="000000"/>
              <w:right w:val="nil"/>
            </w:tcBorders>
          </w:tcPr>
          <w:p w14:paraId="28218371" w14:textId="77777777" w:rsidR="00BC2A02" w:rsidRPr="00BC2A02" w:rsidRDefault="00BC2A02" w:rsidP="00BC2A02">
            <w:pPr>
              <w:ind w:left="166"/>
              <w:jc w:val="right"/>
              <w:rPr>
                <w:rFonts w:ascii="Times New Roman" w:hAnsi="Times New Roman" w:cs="Times New Roman"/>
                <w:color w:val="000000"/>
                <w:sz w:val="24"/>
              </w:rPr>
            </w:pPr>
            <w:r w:rsidRPr="00BC2A02">
              <w:rPr>
                <w:rFonts w:ascii="Times New Roman" w:hAnsi="Times New Roman" w:cs="Times New Roman"/>
                <w:b/>
                <w:color w:val="000000"/>
                <w:sz w:val="16"/>
              </w:rPr>
              <w:t xml:space="preserve">2025 N </w:t>
            </w:r>
          </w:p>
        </w:tc>
        <w:tc>
          <w:tcPr>
            <w:tcW w:w="912" w:type="dxa"/>
            <w:tcBorders>
              <w:top w:val="single" w:sz="4" w:space="0" w:color="000000"/>
              <w:left w:val="nil"/>
              <w:bottom w:val="single" w:sz="4" w:space="0" w:color="000000"/>
              <w:right w:val="nil"/>
            </w:tcBorders>
          </w:tcPr>
          <w:p w14:paraId="28BC4332" w14:textId="77777777" w:rsidR="00BC2A02" w:rsidRPr="00BC2A02" w:rsidRDefault="00BC2A02" w:rsidP="00BC2A02">
            <w:pPr>
              <w:ind w:right="37"/>
              <w:jc w:val="right"/>
              <w:rPr>
                <w:rFonts w:ascii="Times New Roman" w:hAnsi="Times New Roman" w:cs="Times New Roman"/>
                <w:color w:val="000000"/>
                <w:sz w:val="24"/>
              </w:rPr>
            </w:pPr>
            <w:r w:rsidRPr="00BC2A02">
              <w:rPr>
                <w:rFonts w:ascii="Times New Roman" w:hAnsi="Times New Roman" w:cs="Times New Roman"/>
                <w:b/>
                <w:color w:val="000000"/>
                <w:sz w:val="16"/>
              </w:rPr>
              <w:t xml:space="preserve">2026 N </w:t>
            </w:r>
          </w:p>
        </w:tc>
      </w:tr>
      <w:tr w:rsidR="00BC2A02" w:rsidRPr="00BC2A02" w14:paraId="2679E214" w14:textId="77777777" w:rsidTr="00B63F1A">
        <w:trPr>
          <w:trHeight w:val="294"/>
        </w:trPr>
        <w:tc>
          <w:tcPr>
            <w:tcW w:w="2453" w:type="dxa"/>
            <w:tcBorders>
              <w:top w:val="single" w:sz="4" w:space="0" w:color="000000"/>
              <w:left w:val="nil"/>
              <w:bottom w:val="nil"/>
              <w:right w:val="nil"/>
            </w:tcBorders>
          </w:tcPr>
          <w:p w14:paraId="684ABEC3" w14:textId="77777777" w:rsidR="00BC2A02" w:rsidRPr="00BC2A02" w:rsidRDefault="00BC2A02" w:rsidP="00BC2A02">
            <w:pPr>
              <w:ind w:left="86"/>
              <w:rPr>
                <w:rFonts w:ascii="Times New Roman" w:hAnsi="Times New Roman" w:cs="Times New Roman"/>
                <w:color w:val="000000"/>
                <w:sz w:val="16"/>
                <w:szCs w:val="16"/>
              </w:rPr>
            </w:pPr>
            <w:r w:rsidRPr="00BC2A02">
              <w:rPr>
                <w:rFonts w:ascii="Times New Roman" w:hAnsi="Times New Roman" w:cs="Times New Roman"/>
                <w:b/>
                <w:color w:val="000000"/>
                <w:sz w:val="16"/>
                <w:szCs w:val="16"/>
              </w:rPr>
              <w:t xml:space="preserve">Granty a transfery </w:t>
            </w:r>
          </w:p>
        </w:tc>
        <w:tc>
          <w:tcPr>
            <w:tcW w:w="986" w:type="dxa"/>
            <w:tcBorders>
              <w:top w:val="single" w:sz="4" w:space="0" w:color="000000"/>
              <w:left w:val="nil"/>
              <w:bottom w:val="nil"/>
              <w:right w:val="nil"/>
            </w:tcBorders>
          </w:tcPr>
          <w:p w14:paraId="16853D66" w14:textId="77777777" w:rsidR="00BC2A02" w:rsidRPr="00BC2A02" w:rsidRDefault="00BC2A02" w:rsidP="00BC2A02">
            <w:pPr>
              <w:jc w:val="right"/>
              <w:rPr>
                <w:rFonts w:ascii="Times New Roman" w:hAnsi="Times New Roman" w:cs="Times New Roman"/>
                <w:b/>
                <w:color w:val="000000"/>
                <w:sz w:val="16"/>
                <w:szCs w:val="16"/>
              </w:rPr>
            </w:pPr>
            <w:r w:rsidRPr="00BC2A02">
              <w:rPr>
                <w:rFonts w:ascii="Times New Roman" w:hAnsi="Times New Roman" w:cs="Times New Roman"/>
                <w:b/>
                <w:color w:val="000000"/>
                <w:sz w:val="16"/>
                <w:szCs w:val="16"/>
              </w:rPr>
              <w:t>2 312 939</w:t>
            </w:r>
          </w:p>
        </w:tc>
        <w:tc>
          <w:tcPr>
            <w:tcW w:w="910" w:type="dxa"/>
            <w:tcBorders>
              <w:top w:val="single" w:sz="4" w:space="0" w:color="000000"/>
              <w:left w:val="nil"/>
              <w:bottom w:val="nil"/>
              <w:right w:val="nil"/>
            </w:tcBorders>
          </w:tcPr>
          <w:p w14:paraId="10911D84" w14:textId="77777777" w:rsidR="00BC2A02" w:rsidRPr="00BC2A02" w:rsidRDefault="00BC2A02" w:rsidP="00BC2A02">
            <w:pPr>
              <w:jc w:val="right"/>
              <w:rPr>
                <w:rFonts w:ascii="Times New Roman" w:hAnsi="Times New Roman" w:cs="Times New Roman"/>
                <w:b/>
                <w:color w:val="000000"/>
                <w:sz w:val="16"/>
                <w:szCs w:val="16"/>
              </w:rPr>
            </w:pPr>
            <w:r w:rsidRPr="00BC2A02">
              <w:rPr>
                <w:rFonts w:ascii="Times New Roman" w:hAnsi="Times New Roman" w:cs="Times New Roman"/>
                <w:b/>
                <w:color w:val="000000"/>
                <w:sz w:val="16"/>
                <w:szCs w:val="16"/>
              </w:rPr>
              <w:t>2 227 577</w:t>
            </w:r>
          </w:p>
        </w:tc>
        <w:tc>
          <w:tcPr>
            <w:tcW w:w="992" w:type="dxa"/>
            <w:tcBorders>
              <w:top w:val="single" w:sz="4" w:space="0" w:color="000000"/>
              <w:left w:val="nil"/>
              <w:bottom w:val="nil"/>
              <w:right w:val="nil"/>
            </w:tcBorders>
          </w:tcPr>
          <w:p w14:paraId="2A2611EB" w14:textId="77777777" w:rsidR="00BC2A02" w:rsidRPr="00BC2A02" w:rsidRDefault="00BC2A02" w:rsidP="00BC2A02">
            <w:pPr>
              <w:jc w:val="right"/>
              <w:rPr>
                <w:rFonts w:ascii="Times New Roman" w:hAnsi="Times New Roman" w:cs="Times New Roman"/>
                <w:b/>
                <w:color w:val="000000"/>
                <w:sz w:val="16"/>
                <w:szCs w:val="16"/>
              </w:rPr>
            </w:pPr>
            <w:r w:rsidRPr="00BC2A02">
              <w:rPr>
                <w:rFonts w:ascii="Times New Roman" w:hAnsi="Times New Roman" w:cs="Times New Roman"/>
                <w:b/>
                <w:color w:val="000000"/>
                <w:sz w:val="16"/>
                <w:szCs w:val="16"/>
              </w:rPr>
              <w:t>7 774 037</w:t>
            </w:r>
          </w:p>
        </w:tc>
        <w:tc>
          <w:tcPr>
            <w:tcW w:w="992" w:type="dxa"/>
            <w:tcBorders>
              <w:top w:val="single" w:sz="4" w:space="0" w:color="000000"/>
              <w:left w:val="nil"/>
              <w:bottom w:val="nil"/>
              <w:right w:val="nil"/>
            </w:tcBorders>
          </w:tcPr>
          <w:p w14:paraId="118A2A5B" w14:textId="77777777" w:rsidR="00BC2A02" w:rsidRPr="00BC2A02" w:rsidRDefault="00BC2A02" w:rsidP="00BC2A02">
            <w:pPr>
              <w:jc w:val="right"/>
              <w:rPr>
                <w:rFonts w:ascii="Times New Roman" w:hAnsi="Times New Roman" w:cs="Times New Roman"/>
                <w:b/>
                <w:color w:val="000000"/>
                <w:sz w:val="16"/>
                <w:szCs w:val="16"/>
              </w:rPr>
            </w:pPr>
            <w:r w:rsidRPr="00BC2A02">
              <w:rPr>
                <w:rFonts w:ascii="Times New Roman" w:hAnsi="Times New Roman" w:cs="Times New Roman"/>
                <w:b/>
                <w:color w:val="000000"/>
                <w:sz w:val="16"/>
                <w:szCs w:val="16"/>
              </w:rPr>
              <w:t>5 371 592</w:t>
            </w:r>
          </w:p>
        </w:tc>
        <w:tc>
          <w:tcPr>
            <w:tcW w:w="851" w:type="dxa"/>
            <w:tcBorders>
              <w:top w:val="single" w:sz="4" w:space="0" w:color="000000"/>
              <w:left w:val="nil"/>
              <w:bottom w:val="nil"/>
              <w:right w:val="nil"/>
            </w:tcBorders>
          </w:tcPr>
          <w:p w14:paraId="7C87B18F" w14:textId="77777777" w:rsidR="00BC2A02" w:rsidRPr="00BC2A02" w:rsidRDefault="00BC2A02" w:rsidP="00BC2A02">
            <w:pPr>
              <w:jc w:val="right"/>
              <w:rPr>
                <w:rFonts w:ascii="Times New Roman" w:hAnsi="Times New Roman" w:cs="Times New Roman"/>
                <w:b/>
                <w:color w:val="000000"/>
                <w:sz w:val="16"/>
                <w:szCs w:val="16"/>
              </w:rPr>
            </w:pPr>
            <w:r w:rsidRPr="00BC2A02">
              <w:rPr>
                <w:rFonts w:ascii="Times New Roman" w:hAnsi="Times New Roman" w:cs="Times New Roman"/>
                <w:b/>
                <w:color w:val="000000"/>
                <w:sz w:val="16"/>
                <w:szCs w:val="16"/>
              </w:rPr>
              <w:t>2 518 539</w:t>
            </w:r>
          </w:p>
        </w:tc>
        <w:tc>
          <w:tcPr>
            <w:tcW w:w="992" w:type="dxa"/>
            <w:tcBorders>
              <w:top w:val="single" w:sz="4" w:space="0" w:color="000000"/>
              <w:left w:val="nil"/>
              <w:bottom w:val="nil"/>
              <w:right w:val="nil"/>
            </w:tcBorders>
          </w:tcPr>
          <w:p w14:paraId="7CB3A63E" w14:textId="77777777" w:rsidR="00BC2A02" w:rsidRPr="00BC2A02" w:rsidRDefault="00BC2A02" w:rsidP="00BC2A02">
            <w:pPr>
              <w:jc w:val="right"/>
              <w:rPr>
                <w:rFonts w:ascii="Times New Roman" w:hAnsi="Times New Roman" w:cs="Times New Roman"/>
                <w:b/>
                <w:color w:val="000000"/>
                <w:sz w:val="16"/>
                <w:szCs w:val="16"/>
              </w:rPr>
            </w:pPr>
            <w:r w:rsidRPr="00BC2A02">
              <w:rPr>
                <w:rFonts w:ascii="Times New Roman" w:hAnsi="Times New Roman" w:cs="Times New Roman"/>
                <w:b/>
                <w:color w:val="000000"/>
                <w:sz w:val="16"/>
                <w:szCs w:val="16"/>
              </w:rPr>
              <w:t>3 458 630</w:t>
            </w:r>
          </w:p>
        </w:tc>
        <w:tc>
          <w:tcPr>
            <w:tcW w:w="912" w:type="dxa"/>
            <w:tcBorders>
              <w:top w:val="single" w:sz="4" w:space="0" w:color="000000"/>
              <w:left w:val="nil"/>
              <w:bottom w:val="nil"/>
              <w:right w:val="nil"/>
            </w:tcBorders>
          </w:tcPr>
          <w:p w14:paraId="12FD9CED" w14:textId="77777777" w:rsidR="00BC2A02" w:rsidRPr="00BC2A02" w:rsidRDefault="00BC2A02" w:rsidP="00BC2A02">
            <w:pPr>
              <w:jc w:val="right"/>
              <w:rPr>
                <w:rFonts w:ascii="Times New Roman" w:hAnsi="Times New Roman" w:cs="Times New Roman"/>
                <w:b/>
                <w:color w:val="000000"/>
                <w:sz w:val="16"/>
                <w:szCs w:val="16"/>
              </w:rPr>
            </w:pPr>
            <w:r w:rsidRPr="00BC2A02">
              <w:rPr>
                <w:rFonts w:ascii="Times New Roman" w:hAnsi="Times New Roman" w:cs="Times New Roman"/>
                <w:b/>
                <w:color w:val="000000"/>
                <w:sz w:val="16"/>
                <w:szCs w:val="16"/>
              </w:rPr>
              <w:t>3 600 584</w:t>
            </w:r>
          </w:p>
        </w:tc>
      </w:tr>
      <w:tr w:rsidR="00BC2A02" w:rsidRPr="00BC2A02" w14:paraId="3A26C1F2" w14:textId="77777777" w:rsidTr="00B63F1A">
        <w:trPr>
          <w:trHeight w:val="288"/>
        </w:trPr>
        <w:tc>
          <w:tcPr>
            <w:tcW w:w="2453" w:type="dxa"/>
            <w:tcBorders>
              <w:top w:val="nil"/>
              <w:left w:val="nil"/>
              <w:bottom w:val="nil"/>
              <w:right w:val="nil"/>
            </w:tcBorders>
          </w:tcPr>
          <w:p w14:paraId="2CE2D2AA" w14:textId="77777777" w:rsidR="00BC2A02" w:rsidRPr="00BC2A02" w:rsidRDefault="00BC2A02" w:rsidP="00BC2A02">
            <w:pPr>
              <w:ind w:left="86"/>
              <w:rPr>
                <w:rFonts w:ascii="Times New Roman" w:hAnsi="Times New Roman" w:cs="Times New Roman"/>
                <w:color w:val="000000"/>
                <w:sz w:val="16"/>
                <w:szCs w:val="16"/>
              </w:rPr>
            </w:pPr>
            <w:r w:rsidRPr="00BC2A02">
              <w:rPr>
                <w:rFonts w:ascii="Times New Roman" w:hAnsi="Times New Roman" w:cs="Times New Roman"/>
                <w:color w:val="000000"/>
                <w:sz w:val="16"/>
                <w:szCs w:val="16"/>
              </w:rPr>
              <w:t xml:space="preserve">Tuzemské granty a transfery </w:t>
            </w:r>
          </w:p>
        </w:tc>
        <w:tc>
          <w:tcPr>
            <w:tcW w:w="986" w:type="dxa"/>
            <w:tcBorders>
              <w:top w:val="nil"/>
              <w:left w:val="nil"/>
              <w:bottom w:val="nil"/>
              <w:right w:val="nil"/>
            </w:tcBorders>
          </w:tcPr>
          <w:p w14:paraId="14B87C7B" w14:textId="77777777" w:rsidR="00BC2A02" w:rsidRPr="00BC2A02" w:rsidRDefault="00BC2A02" w:rsidP="00BC2A02">
            <w:pPr>
              <w:ind w:left="202"/>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38 947</w:t>
            </w:r>
          </w:p>
        </w:tc>
        <w:tc>
          <w:tcPr>
            <w:tcW w:w="910" w:type="dxa"/>
            <w:tcBorders>
              <w:top w:val="nil"/>
              <w:left w:val="nil"/>
              <w:bottom w:val="nil"/>
              <w:right w:val="nil"/>
            </w:tcBorders>
          </w:tcPr>
          <w:p w14:paraId="048C416B" w14:textId="77777777" w:rsidR="00BC2A02" w:rsidRPr="00BC2A02" w:rsidRDefault="00BC2A02" w:rsidP="00BC2A02">
            <w:pPr>
              <w:ind w:left="202"/>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39 875</w:t>
            </w:r>
          </w:p>
        </w:tc>
        <w:tc>
          <w:tcPr>
            <w:tcW w:w="992" w:type="dxa"/>
            <w:tcBorders>
              <w:top w:val="nil"/>
              <w:left w:val="nil"/>
              <w:bottom w:val="nil"/>
              <w:right w:val="nil"/>
            </w:tcBorders>
          </w:tcPr>
          <w:p w14:paraId="13B66B55" w14:textId="77777777" w:rsidR="00BC2A02" w:rsidRPr="00BC2A02" w:rsidRDefault="00BC2A02" w:rsidP="00BC2A02">
            <w:pPr>
              <w:ind w:left="202"/>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45 232</w:t>
            </w:r>
          </w:p>
        </w:tc>
        <w:tc>
          <w:tcPr>
            <w:tcW w:w="992" w:type="dxa"/>
            <w:tcBorders>
              <w:top w:val="nil"/>
              <w:left w:val="nil"/>
              <w:bottom w:val="nil"/>
              <w:right w:val="nil"/>
            </w:tcBorders>
          </w:tcPr>
          <w:p w14:paraId="58405DF7" w14:textId="77777777" w:rsidR="00BC2A02" w:rsidRPr="00BC2A02" w:rsidRDefault="00BC2A02" w:rsidP="00BC2A02">
            <w:pPr>
              <w:ind w:left="202"/>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139</w:t>
            </w:r>
          </w:p>
        </w:tc>
        <w:tc>
          <w:tcPr>
            <w:tcW w:w="851" w:type="dxa"/>
            <w:tcBorders>
              <w:top w:val="nil"/>
              <w:left w:val="nil"/>
              <w:bottom w:val="nil"/>
              <w:right w:val="nil"/>
            </w:tcBorders>
          </w:tcPr>
          <w:p w14:paraId="3861AE83" w14:textId="77777777" w:rsidR="00BC2A02" w:rsidRPr="00BC2A02" w:rsidRDefault="00BC2A02" w:rsidP="00BC2A02">
            <w:pPr>
              <w:ind w:left="202"/>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65 898</w:t>
            </w:r>
          </w:p>
        </w:tc>
        <w:tc>
          <w:tcPr>
            <w:tcW w:w="992" w:type="dxa"/>
            <w:tcBorders>
              <w:top w:val="nil"/>
              <w:left w:val="nil"/>
              <w:bottom w:val="nil"/>
              <w:right w:val="nil"/>
            </w:tcBorders>
          </w:tcPr>
          <w:p w14:paraId="1670B301" w14:textId="77777777" w:rsidR="00BC2A02" w:rsidRPr="00BC2A02" w:rsidRDefault="00BC2A02" w:rsidP="00BC2A02">
            <w:pPr>
              <w:ind w:left="202"/>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70 323</w:t>
            </w:r>
          </w:p>
        </w:tc>
        <w:tc>
          <w:tcPr>
            <w:tcW w:w="912" w:type="dxa"/>
            <w:tcBorders>
              <w:top w:val="nil"/>
              <w:left w:val="nil"/>
              <w:bottom w:val="nil"/>
              <w:right w:val="nil"/>
            </w:tcBorders>
          </w:tcPr>
          <w:p w14:paraId="7C8FF7EA" w14:textId="77777777" w:rsidR="00BC2A02" w:rsidRPr="00BC2A02" w:rsidRDefault="00BC2A02" w:rsidP="00BC2A02">
            <w:pPr>
              <w:ind w:left="202"/>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76 149</w:t>
            </w:r>
          </w:p>
        </w:tc>
      </w:tr>
      <w:tr w:rsidR="00BC2A02" w:rsidRPr="00BC2A02" w14:paraId="0764F9D2" w14:textId="77777777" w:rsidTr="00B63F1A">
        <w:trPr>
          <w:trHeight w:val="279"/>
        </w:trPr>
        <w:tc>
          <w:tcPr>
            <w:tcW w:w="2453" w:type="dxa"/>
            <w:tcBorders>
              <w:top w:val="nil"/>
              <w:left w:val="nil"/>
              <w:bottom w:val="nil"/>
              <w:right w:val="nil"/>
            </w:tcBorders>
          </w:tcPr>
          <w:p w14:paraId="7BEB3727" w14:textId="77777777" w:rsidR="00BC2A02" w:rsidRPr="00BC2A02" w:rsidRDefault="00BC2A02" w:rsidP="00BC2A02">
            <w:pPr>
              <w:ind w:left="86"/>
              <w:rPr>
                <w:rFonts w:ascii="Times New Roman" w:hAnsi="Times New Roman" w:cs="Times New Roman"/>
                <w:color w:val="000000"/>
                <w:sz w:val="16"/>
                <w:szCs w:val="16"/>
              </w:rPr>
            </w:pPr>
            <w:r w:rsidRPr="00BC2A02">
              <w:rPr>
                <w:rFonts w:ascii="Times New Roman" w:hAnsi="Times New Roman" w:cs="Times New Roman"/>
                <w:color w:val="000000"/>
                <w:sz w:val="16"/>
                <w:szCs w:val="16"/>
              </w:rPr>
              <w:t xml:space="preserve">Zahraničné granty a transfery </w:t>
            </w:r>
          </w:p>
        </w:tc>
        <w:tc>
          <w:tcPr>
            <w:tcW w:w="986" w:type="dxa"/>
            <w:tcBorders>
              <w:top w:val="nil"/>
              <w:left w:val="nil"/>
              <w:bottom w:val="nil"/>
              <w:right w:val="nil"/>
            </w:tcBorders>
          </w:tcPr>
          <w:p w14:paraId="09AFD5FF" w14:textId="77777777" w:rsidR="00BC2A02" w:rsidRPr="00BC2A02" w:rsidRDefault="00BC2A02" w:rsidP="00BC2A02">
            <w:pPr>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2 273 992</w:t>
            </w:r>
          </w:p>
        </w:tc>
        <w:tc>
          <w:tcPr>
            <w:tcW w:w="910" w:type="dxa"/>
            <w:tcBorders>
              <w:top w:val="nil"/>
              <w:left w:val="nil"/>
              <w:bottom w:val="nil"/>
              <w:right w:val="nil"/>
            </w:tcBorders>
          </w:tcPr>
          <w:p w14:paraId="39B150CF" w14:textId="77777777" w:rsidR="00BC2A02" w:rsidRPr="00BC2A02" w:rsidRDefault="00BC2A02" w:rsidP="00BC2A02">
            <w:pPr>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2 187 702</w:t>
            </w:r>
          </w:p>
        </w:tc>
        <w:tc>
          <w:tcPr>
            <w:tcW w:w="992" w:type="dxa"/>
            <w:tcBorders>
              <w:top w:val="nil"/>
              <w:left w:val="nil"/>
              <w:bottom w:val="nil"/>
              <w:right w:val="nil"/>
            </w:tcBorders>
          </w:tcPr>
          <w:p w14:paraId="6275DF60" w14:textId="77777777" w:rsidR="00BC2A02" w:rsidRPr="00BC2A02" w:rsidRDefault="00BC2A02" w:rsidP="00BC2A02">
            <w:pPr>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7 728 805</w:t>
            </w:r>
          </w:p>
        </w:tc>
        <w:tc>
          <w:tcPr>
            <w:tcW w:w="992" w:type="dxa"/>
            <w:tcBorders>
              <w:top w:val="nil"/>
              <w:left w:val="nil"/>
              <w:bottom w:val="nil"/>
              <w:right w:val="nil"/>
            </w:tcBorders>
          </w:tcPr>
          <w:p w14:paraId="5F075F55" w14:textId="77777777" w:rsidR="00BC2A02" w:rsidRPr="00BC2A02" w:rsidRDefault="00BC2A02" w:rsidP="00BC2A02">
            <w:pPr>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5 371 453</w:t>
            </w:r>
          </w:p>
        </w:tc>
        <w:tc>
          <w:tcPr>
            <w:tcW w:w="851" w:type="dxa"/>
            <w:tcBorders>
              <w:top w:val="nil"/>
              <w:left w:val="nil"/>
              <w:bottom w:val="nil"/>
              <w:right w:val="nil"/>
            </w:tcBorders>
          </w:tcPr>
          <w:p w14:paraId="38E12A94" w14:textId="77777777" w:rsidR="00BC2A02" w:rsidRPr="00BC2A02" w:rsidRDefault="00BC2A02" w:rsidP="00BC2A02">
            <w:pPr>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2 452 641</w:t>
            </w:r>
          </w:p>
        </w:tc>
        <w:tc>
          <w:tcPr>
            <w:tcW w:w="992" w:type="dxa"/>
            <w:tcBorders>
              <w:top w:val="nil"/>
              <w:left w:val="nil"/>
              <w:bottom w:val="nil"/>
              <w:right w:val="nil"/>
            </w:tcBorders>
          </w:tcPr>
          <w:p w14:paraId="312B3C6B" w14:textId="77777777" w:rsidR="00BC2A02" w:rsidRPr="00BC2A02" w:rsidRDefault="00BC2A02" w:rsidP="00BC2A02">
            <w:pPr>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3 388 307</w:t>
            </w:r>
          </w:p>
        </w:tc>
        <w:tc>
          <w:tcPr>
            <w:tcW w:w="912" w:type="dxa"/>
            <w:tcBorders>
              <w:top w:val="nil"/>
              <w:left w:val="nil"/>
              <w:bottom w:val="nil"/>
              <w:right w:val="nil"/>
            </w:tcBorders>
          </w:tcPr>
          <w:p w14:paraId="62B9A7BD" w14:textId="77777777" w:rsidR="00BC2A02" w:rsidRPr="00BC2A02" w:rsidRDefault="00BC2A02" w:rsidP="00BC2A02">
            <w:pPr>
              <w:jc w:val="right"/>
              <w:rPr>
                <w:rFonts w:ascii="Times New Roman" w:hAnsi="Times New Roman" w:cs="Times New Roman"/>
                <w:color w:val="000000"/>
                <w:sz w:val="16"/>
                <w:szCs w:val="16"/>
              </w:rPr>
            </w:pPr>
            <w:r w:rsidRPr="00BC2A02">
              <w:rPr>
                <w:rFonts w:ascii="Times New Roman" w:hAnsi="Times New Roman" w:cs="Times New Roman"/>
                <w:color w:val="000000"/>
                <w:sz w:val="16"/>
                <w:szCs w:val="16"/>
              </w:rPr>
              <w:t>3 524 435</w:t>
            </w:r>
          </w:p>
        </w:tc>
      </w:tr>
      <w:tr w:rsidR="00BC2A02" w:rsidRPr="00BC2A02" w14:paraId="34111FA8" w14:textId="77777777" w:rsidTr="00B63F1A">
        <w:trPr>
          <w:trHeight w:val="385"/>
        </w:trPr>
        <w:tc>
          <w:tcPr>
            <w:tcW w:w="2453" w:type="dxa"/>
            <w:tcBorders>
              <w:top w:val="nil"/>
              <w:left w:val="nil"/>
              <w:bottom w:val="single" w:sz="4" w:space="0" w:color="000000"/>
              <w:right w:val="nil"/>
            </w:tcBorders>
          </w:tcPr>
          <w:p w14:paraId="47D09FF1" w14:textId="77777777" w:rsidR="00BC2A02" w:rsidRPr="00BC2A02" w:rsidRDefault="00BC2A02" w:rsidP="00BC2A02">
            <w:pPr>
              <w:ind w:left="86"/>
              <w:rPr>
                <w:rFonts w:ascii="Times New Roman" w:hAnsi="Times New Roman" w:cs="Times New Roman"/>
                <w:i/>
                <w:color w:val="000000"/>
                <w:sz w:val="16"/>
                <w:szCs w:val="16"/>
              </w:rPr>
            </w:pPr>
            <w:r w:rsidRPr="00BC2A02">
              <w:rPr>
                <w:rFonts w:ascii="Times New Roman" w:hAnsi="Times New Roman" w:cs="Times New Roman"/>
                <w:i/>
                <w:color w:val="000000"/>
                <w:sz w:val="16"/>
                <w:szCs w:val="16"/>
              </w:rPr>
              <w:t xml:space="preserve">z toho: Zahraničné transfery – prostriedky z rozpočtu EÚ </w:t>
            </w:r>
          </w:p>
        </w:tc>
        <w:tc>
          <w:tcPr>
            <w:tcW w:w="986" w:type="dxa"/>
            <w:tcBorders>
              <w:top w:val="nil"/>
              <w:left w:val="nil"/>
              <w:bottom w:val="single" w:sz="4" w:space="0" w:color="000000"/>
              <w:right w:val="nil"/>
            </w:tcBorders>
            <w:vAlign w:val="center"/>
          </w:tcPr>
          <w:p w14:paraId="2994B24D" w14:textId="77777777" w:rsidR="00BC2A02" w:rsidRPr="00BC2A02" w:rsidRDefault="00BC2A02" w:rsidP="00BC2A02">
            <w:pPr>
              <w:jc w:val="right"/>
              <w:rPr>
                <w:rFonts w:ascii="Times New Roman" w:hAnsi="Times New Roman" w:cs="Times New Roman"/>
                <w:i/>
                <w:color w:val="000000"/>
                <w:sz w:val="16"/>
                <w:szCs w:val="16"/>
              </w:rPr>
            </w:pPr>
            <w:r w:rsidRPr="00BC2A02">
              <w:rPr>
                <w:rFonts w:ascii="Times New Roman" w:hAnsi="Times New Roman" w:cs="Times New Roman"/>
                <w:i/>
                <w:color w:val="000000"/>
                <w:sz w:val="16"/>
                <w:szCs w:val="16"/>
              </w:rPr>
              <w:t xml:space="preserve">2 273 989 </w:t>
            </w:r>
          </w:p>
        </w:tc>
        <w:tc>
          <w:tcPr>
            <w:tcW w:w="910" w:type="dxa"/>
            <w:tcBorders>
              <w:top w:val="nil"/>
              <w:left w:val="nil"/>
              <w:bottom w:val="single" w:sz="4" w:space="0" w:color="000000"/>
              <w:right w:val="nil"/>
            </w:tcBorders>
            <w:vAlign w:val="center"/>
          </w:tcPr>
          <w:p w14:paraId="4888EDF8" w14:textId="77777777" w:rsidR="00BC2A02" w:rsidRPr="00BC2A02" w:rsidRDefault="00BC2A02" w:rsidP="00BC2A02">
            <w:pPr>
              <w:jc w:val="right"/>
              <w:rPr>
                <w:rFonts w:ascii="Times New Roman" w:hAnsi="Times New Roman" w:cs="Times New Roman"/>
                <w:i/>
                <w:color w:val="000000"/>
                <w:sz w:val="16"/>
                <w:szCs w:val="16"/>
              </w:rPr>
            </w:pPr>
            <w:r w:rsidRPr="00BC2A02">
              <w:rPr>
                <w:rFonts w:ascii="Times New Roman" w:hAnsi="Times New Roman" w:cs="Times New Roman"/>
                <w:i/>
                <w:color w:val="000000"/>
                <w:sz w:val="16"/>
                <w:szCs w:val="16"/>
              </w:rPr>
              <w:t>2 187 702</w:t>
            </w:r>
          </w:p>
        </w:tc>
        <w:tc>
          <w:tcPr>
            <w:tcW w:w="992" w:type="dxa"/>
            <w:tcBorders>
              <w:top w:val="nil"/>
              <w:left w:val="nil"/>
              <w:bottom w:val="single" w:sz="4" w:space="0" w:color="000000"/>
              <w:right w:val="nil"/>
            </w:tcBorders>
            <w:vAlign w:val="center"/>
          </w:tcPr>
          <w:p w14:paraId="481E0D33" w14:textId="77777777" w:rsidR="00BC2A02" w:rsidRPr="00BC2A02" w:rsidRDefault="00BC2A02" w:rsidP="00BC2A02">
            <w:pPr>
              <w:jc w:val="right"/>
              <w:rPr>
                <w:rFonts w:ascii="Times New Roman" w:hAnsi="Times New Roman" w:cs="Times New Roman"/>
                <w:i/>
                <w:color w:val="000000"/>
                <w:sz w:val="16"/>
                <w:szCs w:val="16"/>
              </w:rPr>
            </w:pPr>
            <w:r w:rsidRPr="00BC2A02">
              <w:rPr>
                <w:rFonts w:ascii="Times New Roman" w:hAnsi="Times New Roman" w:cs="Times New Roman"/>
                <w:i/>
                <w:color w:val="000000"/>
                <w:sz w:val="16"/>
                <w:szCs w:val="16"/>
              </w:rPr>
              <w:t>7 728 805</w:t>
            </w:r>
          </w:p>
        </w:tc>
        <w:tc>
          <w:tcPr>
            <w:tcW w:w="992" w:type="dxa"/>
            <w:tcBorders>
              <w:top w:val="nil"/>
              <w:left w:val="nil"/>
              <w:bottom w:val="single" w:sz="4" w:space="0" w:color="000000"/>
              <w:right w:val="nil"/>
            </w:tcBorders>
            <w:vAlign w:val="center"/>
          </w:tcPr>
          <w:p w14:paraId="43ED29A8" w14:textId="77777777" w:rsidR="00BC2A02" w:rsidRPr="00BC2A02" w:rsidRDefault="00BC2A02" w:rsidP="00BC2A02">
            <w:pPr>
              <w:jc w:val="right"/>
              <w:rPr>
                <w:rFonts w:ascii="Times New Roman" w:hAnsi="Times New Roman" w:cs="Times New Roman"/>
                <w:i/>
                <w:color w:val="000000"/>
                <w:sz w:val="16"/>
                <w:szCs w:val="16"/>
              </w:rPr>
            </w:pPr>
            <w:r w:rsidRPr="00BC2A02">
              <w:rPr>
                <w:rFonts w:ascii="Times New Roman" w:hAnsi="Times New Roman" w:cs="Times New Roman"/>
                <w:i/>
                <w:color w:val="000000"/>
                <w:sz w:val="16"/>
                <w:szCs w:val="16"/>
              </w:rPr>
              <w:t>5 371 453</w:t>
            </w:r>
          </w:p>
        </w:tc>
        <w:tc>
          <w:tcPr>
            <w:tcW w:w="851" w:type="dxa"/>
            <w:tcBorders>
              <w:top w:val="nil"/>
              <w:left w:val="nil"/>
              <w:bottom w:val="single" w:sz="4" w:space="0" w:color="000000"/>
              <w:right w:val="nil"/>
            </w:tcBorders>
            <w:vAlign w:val="center"/>
          </w:tcPr>
          <w:p w14:paraId="7C63DA7C" w14:textId="77777777" w:rsidR="00BC2A02" w:rsidRPr="00BC2A02" w:rsidRDefault="00BC2A02" w:rsidP="00BC2A02">
            <w:pPr>
              <w:jc w:val="right"/>
              <w:rPr>
                <w:rFonts w:ascii="Times New Roman" w:hAnsi="Times New Roman" w:cs="Times New Roman"/>
                <w:i/>
                <w:color w:val="000000"/>
                <w:sz w:val="16"/>
                <w:szCs w:val="16"/>
              </w:rPr>
            </w:pPr>
            <w:r w:rsidRPr="00BC2A02">
              <w:rPr>
                <w:rFonts w:ascii="Times New Roman" w:hAnsi="Times New Roman" w:cs="Times New Roman"/>
                <w:i/>
                <w:color w:val="000000"/>
                <w:sz w:val="16"/>
                <w:szCs w:val="16"/>
              </w:rPr>
              <w:t>2 452 641</w:t>
            </w:r>
          </w:p>
        </w:tc>
        <w:tc>
          <w:tcPr>
            <w:tcW w:w="992" w:type="dxa"/>
            <w:tcBorders>
              <w:top w:val="nil"/>
              <w:left w:val="nil"/>
              <w:bottom w:val="single" w:sz="4" w:space="0" w:color="000000"/>
              <w:right w:val="nil"/>
            </w:tcBorders>
            <w:vAlign w:val="center"/>
          </w:tcPr>
          <w:p w14:paraId="1DC1B9B1" w14:textId="77777777" w:rsidR="00BC2A02" w:rsidRPr="00BC2A02" w:rsidRDefault="00BC2A02" w:rsidP="00BC2A02">
            <w:pPr>
              <w:jc w:val="right"/>
              <w:rPr>
                <w:rFonts w:ascii="Times New Roman" w:hAnsi="Times New Roman" w:cs="Times New Roman"/>
                <w:i/>
                <w:color w:val="000000"/>
                <w:sz w:val="16"/>
                <w:szCs w:val="16"/>
              </w:rPr>
            </w:pPr>
            <w:r w:rsidRPr="00BC2A02">
              <w:rPr>
                <w:rFonts w:ascii="Times New Roman" w:hAnsi="Times New Roman" w:cs="Times New Roman"/>
                <w:i/>
                <w:color w:val="000000"/>
                <w:sz w:val="16"/>
                <w:szCs w:val="16"/>
              </w:rPr>
              <w:t>3 388 307</w:t>
            </w:r>
          </w:p>
        </w:tc>
        <w:tc>
          <w:tcPr>
            <w:tcW w:w="912" w:type="dxa"/>
            <w:tcBorders>
              <w:top w:val="nil"/>
              <w:left w:val="nil"/>
              <w:bottom w:val="single" w:sz="4" w:space="0" w:color="000000"/>
              <w:right w:val="nil"/>
            </w:tcBorders>
            <w:vAlign w:val="center"/>
          </w:tcPr>
          <w:p w14:paraId="2BFD6B7B" w14:textId="77777777" w:rsidR="00BC2A02" w:rsidRPr="00BC2A02" w:rsidRDefault="00BC2A02" w:rsidP="00BC2A02">
            <w:pPr>
              <w:jc w:val="right"/>
              <w:rPr>
                <w:rFonts w:ascii="Times New Roman" w:hAnsi="Times New Roman" w:cs="Times New Roman"/>
                <w:i/>
                <w:color w:val="000000"/>
                <w:sz w:val="16"/>
                <w:szCs w:val="16"/>
              </w:rPr>
            </w:pPr>
            <w:r w:rsidRPr="00BC2A02">
              <w:rPr>
                <w:rFonts w:ascii="Times New Roman" w:hAnsi="Times New Roman" w:cs="Times New Roman"/>
                <w:i/>
                <w:color w:val="000000"/>
                <w:sz w:val="16"/>
                <w:szCs w:val="16"/>
              </w:rPr>
              <w:t>3 524 435</w:t>
            </w:r>
          </w:p>
        </w:tc>
      </w:tr>
    </w:tbl>
    <w:p w14:paraId="0FF83EEF" w14:textId="77777777" w:rsidR="00BC2A02" w:rsidRPr="00BC2A02" w:rsidRDefault="00BC2A02" w:rsidP="00BC2A02">
      <w:pPr>
        <w:tabs>
          <w:tab w:val="center" w:pos="768"/>
          <w:tab w:val="center" w:pos="1476"/>
          <w:tab w:val="center" w:pos="2184"/>
          <w:tab w:val="center" w:pos="2893"/>
          <w:tab w:val="center" w:pos="3601"/>
          <w:tab w:val="center" w:pos="4309"/>
          <w:tab w:val="center" w:pos="5017"/>
          <w:tab w:val="center" w:pos="5725"/>
          <w:tab w:val="center" w:pos="6433"/>
          <w:tab w:val="center" w:pos="7141"/>
          <w:tab w:val="center" w:pos="8399"/>
        </w:tabs>
        <w:spacing w:after="70" w:line="269" w:lineRule="auto"/>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color w:val="000000"/>
          <w:sz w:val="16"/>
          <w:lang w:eastAsia="sk-SK"/>
        </w:rPr>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color w:val="000000"/>
          <w:sz w:val="16"/>
          <w:lang w:eastAsia="sk-SK"/>
        </w:rPr>
        <w:tab/>
        <w:t xml:space="preserve">     </w:t>
      </w:r>
      <w:r w:rsidRPr="00BC2A02">
        <w:rPr>
          <w:rFonts w:ascii="Times New Roman" w:eastAsia="Times New Roman" w:hAnsi="Times New Roman" w:cs="Times New Roman"/>
          <w:i/>
          <w:color w:val="000000"/>
          <w:sz w:val="16"/>
          <w:lang w:eastAsia="sk-SK"/>
        </w:rPr>
        <w:t xml:space="preserve">Zdroj: MF SR </w:t>
      </w:r>
    </w:p>
    <w:p w14:paraId="41931491" w14:textId="77777777" w:rsidR="00BC2A02" w:rsidRPr="00BC2A02" w:rsidRDefault="00BC2A02" w:rsidP="00BC2A02">
      <w:pPr>
        <w:spacing w:after="38"/>
        <w:ind w:left="60"/>
        <w:rPr>
          <w:rFonts w:ascii="Times New Roman" w:eastAsia="Times New Roman" w:hAnsi="Times New Roman" w:cs="Times New Roman"/>
          <w:color w:val="000000"/>
          <w:sz w:val="24"/>
          <w:lang w:eastAsia="sk-SK"/>
        </w:rPr>
      </w:pPr>
    </w:p>
    <w:p w14:paraId="4288CBED" w14:textId="77777777" w:rsidR="00BC2A02" w:rsidRPr="00BC2A02" w:rsidRDefault="00BC2A02" w:rsidP="00296CA4">
      <w:pPr>
        <w:spacing w:after="31" w:line="269" w:lineRule="auto"/>
        <w:jc w:val="both"/>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color w:val="000000"/>
          <w:sz w:val="24"/>
          <w:lang w:eastAsia="sk-SK"/>
        </w:rPr>
        <w:t xml:space="preserve">V rámci </w:t>
      </w:r>
      <w:r w:rsidRPr="00BC2A02">
        <w:rPr>
          <w:rFonts w:ascii="Times New Roman" w:eastAsia="Times New Roman" w:hAnsi="Times New Roman" w:cs="Times New Roman"/>
          <w:i/>
          <w:color w:val="000000"/>
          <w:sz w:val="24"/>
          <w:lang w:eastAsia="sk-SK"/>
        </w:rPr>
        <w:t>tuzemských grantov a transferov</w:t>
      </w:r>
      <w:r w:rsidRPr="00BC2A02">
        <w:rPr>
          <w:rFonts w:ascii="Times New Roman" w:eastAsia="Times New Roman" w:hAnsi="Times New Roman" w:cs="Times New Roman"/>
          <w:color w:val="000000"/>
          <w:sz w:val="24"/>
          <w:lang w:eastAsia="sk-SK"/>
        </w:rPr>
        <w:t xml:space="preserve"> sa rozpočtujú tuzemské bežné transfery v rámci verejnej správy, a to najmä: </w:t>
      </w:r>
    </w:p>
    <w:p w14:paraId="1504275B" w14:textId="77777777" w:rsidR="00BC2A02" w:rsidRPr="00BC2A02" w:rsidRDefault="00BC2A02" w:rsidP="00296CA4">
      <w:pPr>
        <w:numPr>
          <w:ilvl w:val="0"/>
          <w:numId w:val="12"/>
        </w:numPr>
        <w:spacing w:after="5" w:line="269" w:lineRule="auto"/>
        <w:jc w:val="both"/>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color w:val="000000"/>
          <w:sz w:val="24"/>
          <w:lang w:eastAsia="sk-SK"/>
        </w:rPr>
        <w:lastRenderedPageBreak/>
        <w:t xml:space="preserve">transfery zo zdravotných poisťovní, ktoré sa týkajú príspevkov na činnosť operačných stredísk záchrannej zdravotnej služby a na činnosť národného centra (pôvodne Národného centra zdravotníckych informácií), </w:t>
      </w:r>
    </w:p>
    <w:p w14:paraId="5B6682E2" w14:textId="77777777" w:rsidR="00BC2A02" w:rsidRPr="00BC2A02" w:rsidRDefault="00BC2A02" w:rsidP="00296CA4">
      <w:pPr>
        <w:numPr>
          <w:ilvl w:val="0"/>
          <w:numId w:val="12"/>
        </w:numPr>
        <w:spacing w:after="5" w:line="269" w:lineRule="auto"/>
        <w:jc w:val="both"/>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color w:val="000000"/>
          <w:sz w:val="24"/>
          <w:lang w:eastAsia="sk-SK"/>
        </w:rPr>
        <w:t xml:space="preserve">transfer zo Slovenského pozemkového fondu do kapitoly Ministerstva pôdohospodárstva a rozvoja vidieka SR určený na zabezpečenie projektov pozemkových úprav v zmysle zákona č. 330/1991 Zb. o pozemkových úpravách, usporiadaní pozemkového vlastníctva, pozemkových úradoch, pozemkovom fonde a o pozemkových spoločenstvách. </w:t>
      </w:r>
    </w:p>
    <w:p w14:paraId="06B7F41E" w14:textId="77777777" w:rsidR="00BC2A02" w:rsidRPr="00BC2A02" w:rsidRDefault="00BC2A02" w:rsidP="00296CA4">
      <w:pPr>
        <w:spacing w:after="44"/>
        <w:ind w:left="60"/>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color w:val="000000"/>
          <w:sz w:val="24"/>
          <w:lang w:eastAsia="sk-SK"/>
        </w:rPr>
        <w:t xml:space="preserve"> </w:t>
      </w:r>
    </w:p>
    <w:p w14:paraId="5A1CD879" w14:textId="77777777" w:rsidR="00BC2A02" w:rsidRPr="00BC2A02" w:rsidRDefault="00BC2A02" w:rsidP="00296CA4">
      <w:pPr>
        <w:spacing w:after="5" w:line="269" w:lineRule="auto"/>
        <w:ind w:left="55" w:hanging="10"/>
        <w:jc w:val="both"/>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i/>
          <w:color w:val="000000"/>
          <w:sz w:val="24"/>
          <w:lang w:eastAsia="sk-SK"/>
        </w:rPr>
        <w:t>Zahraničné transfery</w:t>
      </w:r>
      <w:r w:rsidRPr="00BC2A02">
        <w:rPr>
          <w:rFonts w:ascii="Times New Roman" w:eastAsia="Times New Roman" w:hAnsi="Times New Roman" w:cs="Times New Roman"/>
          <w:color w:val="000000"/>
          <w:sz w:val="24"/>
          <w:lang w:eastAsia="sk-SK"/>
        </w:rPr>
        <w:t xml:space="preserve"> predstavujú prostriedky zo všeobecného rozpočtu Európskej únie a prostriedky z Plánu obnovy a odolnosti. V rokoch 2024 až 2026 sa rozpočtujú prostriedky EÚ pre programy Partnerskej dohody v rámci 4. programového obdobia, Fondy pre oblasť vnútorných záležitostí 2021 až 2027 a pre poľnohospodárske fondy v rámci 3. a 4. programového obdobia.</w:t>
      </w:r>
    </w:p>
    <w:p w14:paraId="1FA96EEE" w14:textId="77777777" w:rsidR="00BC2A02" w:rsidRPr="00BC2A02" w:rsidRDefault="00BC2A02" w:rsidP="00296CA4">
      <w:pPr>
        <w:spacing w:after="5" w:line="269" w:lineRule="auto"/>
        <w:ind w:left="55" w:hanging="10"/>
        <w:jc w:val="both"/>
        <w:rPr>
          <w:rFonts w:ascii="Times New Roman" w:eastAsia="Times New Roman" w:hAnsi="Times New Roman" w:cs="Times New Roman"/>
          <w:color w:val="000000"/>
          <w:sz w:val="24"/>
          <w:lang w:eastAsia="sk-SK"/>
        </w:rPr>
      </w:pPr>
    </w:p>
    <w:p w14:paraId="42115330" w14:textId="77777777" w:rsidR="00BC2A02" w:rsidRPr="00BC2A02" w:rsidRDefault="00BC2A02" w:rsidP="00296CA4">
      <w:pPr>
        <w:spacing w:after="5" w:line="269" w:lineRule="auto"/>
        <w:ind w:left="55" w:hanging="10"/>
        <w:jc w:val="both"/>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color w:val="000000"/>
          <w:sz w:val="24"/>
          <w:lang w:eastAsia="sk-SK"/>
        </w:rPr>
        <w:t>Prostriedky z Plánu obnovy a odolnosti sú určené na financovanie reforiem a investícií v oblastiach verejných politík SR, ako sú zelená ekonomika, vzdelávanie, veda, výskum, inovácie, zdravie, efektívna verejná správa a digitalizácia.</w:t>
      </w:r>
    </w:p>
    <w:p w14:paraId="2DB13127" w14:textId="77777777" w:rsidR="00BC2A02" w:rsidRPr="00BC2A02" w:rsidRDefault="00BC2A02" w:rsidP="00BC2A02">
      <w:pPr>
        <w:spacing w:after="0"/>
        <w:rPr>
          <w:rFonts w:ascii="Times New Roman" w:eastAsia="Times New Roman" w:hAnsi="Times New Roman" w:cs="Times New Roman"/>
          <w:color w:val="000000"/>
          <w:sz w:val="24"/>
          <w:lang w:eastAsia="sk-SK"/>
        </w:rPr>
      </w:pPr>
    </w:p>
    <w:p w14:paraId="01B78169" w14:textId="3F59BA8E" w:rsidR="00BC2A02" w:rsidRPr="00BC2A02" w:rsidRDefault="00BC2A02" w:rsidP="00BC2A02">
      <w:pPr>
        <w:spacing w:after="0" w:line="265" w:lineRule="auto"/>
        <w:ind w:left="55" w:hanging="10"/>
        <w:rPr>
          <w:rFonts w:ascii="Times New Roman" w:eastAsia="Times New Roman" w:hAnsi="Times New Roman" w:cs="Times New Roman"/>
          <w:color w:val="000000"/>
          <w:sz w:val="24"/>
          <w:lang w:eastAsia="sk-SK"/>
        </w:rPr>
      </w:pPr>
      <w:bookmarkStart w:id="126" w:name="_Toc123813905"/>
      <w:bookmarkStart w:id="127" w:name="_Toc153013035"/>
      <w:r w:rsidRPr="00BC2A02">
        <w:rPr>
          <w:rFonts w:ascii="Times New Roman" w:eastAsia="Times New Roman" w:hAnsi="Times New Roman" w:cs="Times New Roman"/>
          <w:b/>
          <w:color w:val="5B9BD5"/>
          <w:sz w:val="20"/>
          <w:lang w:eastAsia="sk-SK"/>
        </w:rPr>
        <w:t>Tabuľka</w:t>
      </w:r>
      <w:r w:rsidRPr="00BC2A02">
        <w:rPr>
          <w:rFonts w:ascii="Times New Roman" w:hAnsi="Times New Roman" w:cs="Times New Roman"/>
          <w:b/>
          <w:color w:val="5B9BD5" w:themeColor="accent1"/>
          <w:sz w:val="20"/>
          <w:szCs w:val="20"/>
        </w:rPr>
        <w:t xml:space="preserve"> </w:t>
      </w:r>
      <w:r w:rsidRPr="00BC2A02">
        <w:rPr>
          <w:rFonts w:ascii="Times New Roman" w:hAnsi="Times New Roman" w:cs="Times New Roman"/>
          <w:b/>
          <w:i/>
          <w:color w:val="5B9BD5" w:themeColor="accent1"/>
          <w:sz w:val="20"/>
          <w:szCs w:val="20"/>
        </w:rPr>
        <w:fldChar w:fldCharType="begin"/>
      </w:r>
      <w:r w:rsidRPr="00BC2A02">
        <w:rPr>
          <w:rFonts w:ascii="Times New Roman" w:hAnsi="Times New Roman" w:cs="Times New Roman"/>
          <w:b/>
          <w:color w:val="5B9BD5" w:themeColor="accent1"/>
          <w:sz w:val="20"/>
          <w:szCs w:val="20"/>
        </w:rPr>
        <w:instrText xml:space="preserve"> SEQ Tabuľka \* ARABIC </w:instrText>
      </w:r>
      <w:r w:rsidRPr="00BC2A02">
        <w:rPr>
          <w:rFonts w:ascii="Times New Roman" w:hAnsi="Times New Roman" w:cs="Times New Roman"/>
          <w:b/>
          <w:i/>
          <w:color w:val="5B9BD5" w:themeColor="accent1"/>
          <w:sz w:val="20"/>
          <w:szCs w:val="20"/>
        </w:rPr>
        <w:fldChar w:fldCharType="separate"/>
      </w:r>
      <w:r w:rsidR="003D5A3A">
        <w:rPr>
          <w:rFonts w:ascii="Times New Roman" w:hAnsi="Times New Roman" w:cs="Times New Roman"/>
          <w:b/>
          <w:noProof/>
          <w:color w:val="5B9BD5" w:themeColor="accent1"/>
          <w:sz w:val="20"/>
          <w:szCs w:val="20"/>
        </w:rPr>
        <w:t>37</w:t>
      </w:r>
      <w:r w:rsidRPr="00BC2A02">
        <w:rPr>
          <w:rFonts w:ascii="Times New Roman" w:hAnsi="Times New Roman" w:cs="Times New Roman"/>
          <w:b/>
          <w:i/>
          <w:color w:val="5B9BD5" w:themeColor="accent1"/>
          <w:sz w:val="20"/>
          <w:szCs w:val="20"/>
        </w:rPr>
        <w:fldChar w:fldCharType="end"/>
      </w:r>
      <w:r w:rsidRPr="00BC2A02">
        <w:rPr>
          <w:rFonts w:ascii="Times New Roman" w:eastAsia="Times New Roman" w:hAnsi="Times New Roman" w:cs="Times New Roman"/>
          <w:b/>
          <w:color w:val="5B9BD5"/>
          <w:sz w:val="20"/>
          <w:lang w:eastAsia="sk-SK"/>
        </w:rPr>
        <w:t xml:space="preserve"> - Príjmy štátneho rozpočtu zo zahraničných transferov – prostriedkov z rozpočtu EÚ</w:t>
      </w:r>
      <w:bookmarkEnd w:id="126"/>
      <w:bookmarkEnd w:id="127"/>
      <w:r w:rsidRPr="00BC2A02">
        <w:rPr>
          <w:rFonts w:ascii="Times New Roman" w:eastAsia="Times New Roman" w:hAnsi="Times New Roman" w:cs="Times New Roman"/>
          <w:b/>
          <w:color w:val="5B9BD5"/>
          <w:sz w:val="20"/>
          <w:lang w:eastAsia="sk-SK"/>
        </w:rPr>
        <w:t xml:space="preserve"> </w:t>
      </w:r>
    </w:p>
    <w:tbl>
      <w:tblPr>
        <w:tblW w:w="8920" w:type="dxa"/>
        <w:tblCellMar>
          <w:left w:w="70" w:type="dxa"/>
          <w:right w:w="70" w:type="dxa"/>
        </w:tblCellMar>
        <w:tblLook w:val="04A0" w:firstRow="1" w:lastRow="0" w:firstColumn="1" w:lastColumn="0" w:noHBand="0" w:noVBand="1"/>
      </w:tblPr>
      <w:tblGrid>
        <w:gridCol w:w="2127"/>
        <w:gridCol w:w="793"/>
        <w:gridCol w:w="1000"/>
        <w:gridCol w:w="1000"/>
        <w:gridCol w:w="1000"/>
        <w:gridCol w:w="1000"/>
        <w:gridCol w:w="1000"/>
        <w:gridCol w:w="1000"/>
      </w:tblGrid>
      <w:tr w:rsidR="00BC2A02" w:rsidRPr="00BC2A02" w14:paraId="36128749" w14:textId="77777777" w:rsidTr="00B63F1A">
        <w:trPr>
          <w:trHeight w:val="288"/>
        </w:trPr>
        <w:tc>
          <w:tcPr>
            <w:tcW w:w="2127" w:type="dxa"/>
            <w:tcBorders>
              <w:top w:val="single" w:sz="4" w:space="0" w:color="auto"/>
              <w:left w:val="nil"/>
              <w:bottom w:val="single" w:sz="4" w:space="0" w:color="auto"/>
              <w:right w:val="nil"/>
            </w:tcBorders>
            <w:shd w:val="clear" w:color="auto" w:fill="auto"/>
            <w:noWrap/>
            <w:vAlign w:val="center"/>
            <w:hideMark/>
          </w:tcPr>
          <w:p w14:paraId="77EC3D42" w14:textId="77777777" w:rsidR="00BC2A02" w:rsidRPr="00BC2A02" w:rsidRDefault="00BC2A02" w:rsidP="00BC2A02">
            <w:pPr>
              <w:spacing w:after="0" w:line="240" w:lineRule="auto"/>
              <w:rPr>
                <w:rFonts w:ascii="Times New Roman" w:eastAsia="Times New Roman" w:hAnsi="Times New Roman" w:cs="Times New Roman"/>
                <w:b/>
                <w:bCs/>
                <w:color w:val="000000"/>
                <w:sz w:val="16"/>
                <w:szCs w:val="16"/>
                <w:lang w:eastAsia="sk-SK"/>
              </w:rPr>
            </w:pPr>
            <w:r w:rsidRPr="00BC2A02">
              <w:rPr>
                <w:rFonts w:ascii="Times New Roman" w:eastAsia="Times New Roman" w:hAnsi="Times New Roman" w:cs="Times New Roman"/>
                <w:b/>
                <w:bCs/>
                <w:color w:val="000000"/>
                <w:sz w:val="16"/>
                <w:szCs w:val="16"/>
                <w:lang w:eastAsia="sk-SK"/>
              </w:rPr>
              <w:t> v tis. eur</w:t>
            </w:r>
          </w:p>
        </w:tc>
        <w:tc>
          <w:tcPr>
            <w:tcW w:w="793" w:type="dxa"/>
            <w:tcBorders>
              <w:top w:val="single" w:sz="4" w:space="0" w:color="auto"/>
              <w:left w:val="nil"/>
              <w:bottom w:val="single" w:sz="4" w:space="0" w:color="auto"/>
              <w:right w:val="nil"/>
            </w:tcBorders>
            <w:shd w:val="clear" w:color="auto" w:fill="auto"/>
            <w:noWrap/>
            <w:vAlign w:val="center"/>
            <w:hideMark/>
          </w:tcPr>
          <w:p w14:paraId="3CF6FBF3" w14:textId="77777777" w:rsidR="00BC2A02" w:rsidRPr="00BC2A02" w:rsidRDefault="00BC2A02" w:rsidP="00BC2A02">
            <w:pPr>
              <w:spacing w:after="0" w:line="240" w:lineRule="auto"/>
              <w:jc w:val="right"/>
              <w:rPr>
                <w:rFonts w:ascii="Times New Roman" w:eastAsia="Times New Roman" w:hAnsi="Times New Roman" w:cs="Times New Roman"/>
                <w:b/>
                <w:bCs/>
                <w:color w:val="000000"/>
                <w:sz w:val="16"/>
                <w:szCs w:val="16"/>
                <w:lang w:eastAsia="sk-SK"/>
              </w:rPr>
            </w:pPr>
            <w:r w:rsidRPr="00BC2A02">
              <w:rPr>
                <w:rFonts w:ascii="Times New Roman" w:eastAsia="Times New Roman" w:hAnsi="Times New Roman" w:cs="Times New Roman"/>
                <w:b/>
                <w:bCs/>
                <w:color w:val="000000"/>
                <w:sz w:val="16"/>
                <w:szCs w:val="16"/>
                <w:lang w:eastAsia="sk-SK"/>
              </w:rPr>
              <w:t>2021 S</w:t>
            </w:r>
          </w:p>
        </w:tc>
        <w:tc>
          <w:tcPr>
            <w:tcW w:w="1000" w:type="dxa"/>
            <w:tcBorders>
              <w:top w:val="single" w:sz="4" w:space="0" w:color="auto"/>
              <w:left w:val="nil"/>
              <w:bottom w:val="single" w:sz="4" w:space="0" w:color="auto"/>
              <w:right w:val="nil"/>
            </w:tcBorders>
            <w:shd w:val="clear" w:color="auto" w:fill="auto"/>
            <w:noWrap/>
            <w:vAlign w:val="center"/>
            <w:hideMark/>
          </w:tcPr>
          <w:p w14:paraId="6A2C6421" w14:textId="77777777" w:rsidR="00BC2A02" w:rsidRPr="00BC2A02" w:rsidRDefault="00BC2A02" w:rsidP="00BC2A02">
            <w:pPr>
              <w:spacing w:after="0" w:line="240" w:lineRule="auto"/>
              <w:jc w:val="right"/>
              <w:rPr>
                <w:rFonts w:ascii="Times New Roman" w:eastAsia="Times New Roman" w:hAnsi="Times New Roman" w:cs="Times New Roman"/>
                <w:b/>
                <w:bCs/>
                <w:color w:val="000000"/>
                <w:sz w:val="16"/>
                <w:szCs w:val="16"/>
                <w:lang w:eastAsia="sk-SK"/>
              </w:rPr>
            </w:pPr>
            <w:r w:rsidRPr="00BC2A02">
              <w:rPr>
                <w:rFonts w:ascii="Times New Roman" w:eastAsia="Times New Roman" w:hAnsi="Times New Roman" w:cs="Times New Roman"/>
                <w:b/>
                <w:bCs/>
                <w:color w:val="000000"/>
                <w:sz w:val="16"/>
                <w:szCs w:val="16"/>
                <w:lang w:eastAsia="sk-SK"/>
              </w:rPr>
              <w:t>2022 S</w:t>
            </w:r>
          </w:p>
        </w:tc>
        <w:tc>
          <w:tcPr>
            <w:tcW w:w="1000" w:type="dxa"/>
            <w:tcBorders>
              <w:top w:val="single" w:sz="4" w:space="0" w:color="auto"/>
              <w:left w:val="nil"/>
              <w:bottom w:val="single" w:sz="4" w:space="0" w:color="auto"/>
              <w:right w:val="nil"/>
            </w:tcBorders>
            <w:shd w:val="clear" w:color="auto" w:fill="auto"/>
            <w:noWrap/>
            <w:vAlign w:val="center"/>
            <w:hideMark/>
          </w:tcPr>
          <w:p w14:paraId="440A316F" w14:textId="77777777" w:rsidR="00BC2A02" w:rsidRPr="00BC2A02" w:rsidRDefault="00BC2A02" w:rsidP="00BC2A02">
            <w:pPr>
              <w:spacing w:after="0" w:line="240" w:lineRule="auto"/>
              <w:jc w:val="right"/>
              <w:rPr>
                <w:rFonts w:ascii="Times New Roman" w:eastAsia="Times New Roman" w:hAnsi="Times New Roman" w:cs="Times New Roman"/>
                <w:b/>
                <w:bCs/>
                <w:color w:val="000000"/>
                <w:sz w:val="16"/>
                <w:szCs w:val="16"/>
                <w:lang w:eastAsia="sk-SK"/>
              </w:rPr>
            </w:pPr>
            <w:r w:rsidRPr="00BC2A02">
              <w:rPr>
                <w:rFonts w:ascii="Times New Roman" w:eastAsia="Times New Roman" w:hAnsi="Times New Roman" w:cs="Times New Roman"/>
                <w:b/>
                <w:bCs/>
                <w:color w:val="000000"/>
                <w:sz w:val="16"/>
                <w:szCs w:val="16"/>
                <w:lang w:eastAsia="sk-SK"/>
              </w:rPr>
              <w:t>2023 R</w:t>
            </w:r>
          </w:p>
        </w:tc>
        <w:tc>
          <w:tcPr>
            <w:tcW w:w="1000" w:type="dxa"/>
            <w:tcBorders>
              <w:top w:val="single" w:sz="4" w:space="0" w:color="auto"/>
              <w:left w:val="nil"/>
              <w:bottom w:val="single" w:sz="4" w:space="0" w:color="auto"/>
              <w:right w:val="nil"/>
            </w:tcBorders>
            <w:shd w:val="clear" w:color="auto" w:fill="auto"/>
            <w:noWrap/>
            <w:vAlign w:val="center"/>
            <w:hideMark/>
          </w:tcPr>
          <w:p w14:paraId="56175B4B" w14:textId="77777777" w:rsidR="00BC2A02" w:rsidRPr="00BC2A02" w:rsidRDefault="00BC2A02" w:rsidP="00BC2A02">
            <w:pPr>
              <w:spacing w:after="0" w:line="240" w:lineRule="auto"/>
              <w:jc w:val="right"/>
              <w:rPr>
                <w:rFonts w:ascii="Times New Roman" w:eastAsia="Times New Roman" w:hAnsi="Times New Roman" w:cs="Times New Roman"/>
                <w:b/>
                <w:bCs/>
                <w:color w:val="000000"/>
                <w:sz w:val="16"/>
                <w:szCs w:val="16"/>
                <w:lang w:eastAsia="sk-SK"/>
              </w:rPr>
            </w:pPr>
            <w:r w:rsidRPr="00BC2A02">
              <w:rPr>
                <w:rFonts w:ascii="Times New Roman" w:eastAsia="Times New Roman" w:hAnsi="Times New Roman" w:cs="Times New Roman"/>
                <w:b/>
                <w:bCs/>
                <w:color w:val="000000"/>
                <w:sz w:val="16"/>
                <w:szCs w:val="16"/>
                <w:lang w:eastAsia="sk-SK"/>
              </w:rPr>
              <w:t>2023 OS</w:t>
            </w:r>
          </w:p>
        </w:tc>
        <w:tc>
          <w:tcPr>
            <w:tcW w:w="1000" w:type="dxa"/>
            <w:tcBorders>
              <w:top w:val="single" w:sz="4" w:space="0" w:color="auto"/>
              <w:left w:val="nil"/>
              <w:bottom w:val="single" w:sz="4" w:space="0" w:color="auto"/>
              <w:right w:val="nil"/>
            </w:tcBorders>
            <w:shd w:val="clear" w:color="auto" w:fill="auto"/>
            <w:noWrap/>
            <w:vAlign w:val="center"/>
            <w:hideMark/>
          </w:tcPr>
          <w:p w14:paraId="591642A2" w14:textId="77777777" w:rsidR="00BC2A02" w:rsidRPr="00BC2A02" w:rsidRDefault="00BC2A02" w:rsidP="00BC2A02">
            <w:pPr>
              <w:spacing w:after="0" w:line="240" w:lineRule="auto"/>
              <w:jc w:val="right"/>
              <w:rPr>
                <w:rFonts w:ascii="Times New Roman" w:eastAsia="Times New Roman" w:hAnsi="Times New Roman" w:cs="Times New Roman"/>
                <w:b/>
                <w:bCs/>
                <w:color w:val="000000"/>
                <w:sz w:val="16"/>
                <w:szCs w:val="16"/>
                <w:lang w:eastAsia="sk-SK"/>
              </w:rPr>
            </w:pPr>
            <w:r w:rsidRPr="00BC2A02">
              <w:rPr>
                <w:rFonts w:ascii="Times New Roman" w:eastAsia="Times New Roman" w:hAnsi="Times New Roman" w:cs="Times New Roman"/>
                <w:b/>
                <w:bCs/>
                <w:color w:val="000000"/>
                <w:sz w:val="16"/>
                <w:szCs w:val="16"/>
                <w:lang w:eastAsia="sk-SK"/>
              </w:rPr>
              <w:t>2024 N</w:t>
            </w:r>
          </w:p>
        </w:tc>
        <w:tc>
          <w:tcPr>
            <w:tcW w:w="1000" w:type="dxa"/>
            <w:tcBorders>
              <w:top w:val="single" w:sz="4" w:space="0" w:color="auto"/>
              <w:left w:val="nil"/>
              <w:bottom w:val="single" w:sz="4" w:space="0" w:color="auto"/>
              <w:right w:val="nil"/>
            </w:tcBorders>
            <w:shd w:val="clear" w:color="auto" w:fill="auto"/>
            <w:noWrap/>
            <w:vAlign w:val="center"/>
            <w:hideMark/>
          </w:tcPr>
          <w:p w14:paraId="46071A64" w14:textId="77777777" w:rsidR="00BC2A02" w:rsidRPr="00BC2A02" w:rsidRDefault="00BC2A02" w:rsidP="00BC2A02">
            <w:pPr>
              <w:spacing w:after="0" w:line="240" w:lineRule="auto"/>
              <w:jc w:val="right"/>
              <w:rPr>
                <w:rFonts w:ascii="Times New Roman" w:eastAsia="Times New Roman" w:hAnsi="Times New Roman" w:cs="Times New Roman"/>
                <w:b/>
                <w:bCs/>
                <w:color w:val="000000"/>
                <w:sz w:val="16"/>
                <w:szCs w:val="16"/>
                <w:lang w:eastAsia="sk-SK"/>
              </w:rPr>
            </w:pPr>
            <w:r w:rsidRPr="00BC2A02">
              <w:rPr>
                <w:rFonts w:ascii="Times New Roman" w:eastAsia="Times New Roman" w:hAnsi="Times New Roman" w:cs="Times New Roman"/>
                <w:b/>
                <w:bCs/>
                <w:color w:val="000000"/>
                <w:sz w:val="16"/>
                <w:szCs w:val="16"/>
                <w:lang w:eastAsia="sk-SK"/>
              </w:rPr>
              <w:t>2025 N</w:t>
            </w:r>
          </w:p>
        </w:tc>
        <w:tc>
          <w:tcPr>
            <w:tcW w:w="1000" w:type="dxa"/>
            <w:tcBorders>
              <w:top w:val="single" w:sz="4" w:space="0" w:color="auto"/>
              <w:left w:val="nil"/>
              <w:bottom w:val="single" w:sz="4" w:space="0" w:color="auto"/>
              <w:right w:val="nil"/>
            </w:tcBorders>
            <w:shd w:val="clear" w:color="auto" w:fill="auto"/>
            <w:noWrap/>
            <w:vAlign w:val="center"/>
            <w:hideMark/>
          </w:tcPr>
          <w:p w14:paraId="198C4A7E" w14:textId="77777777" w:rsidR="00BC2A02" w:rsidRPr="00BC2A02" w:rsidRDefault="00BC2A02" w:rsidP="00BC2A02">
            <w:pPr>
              <w:spacing w:after="0" w:line="240" w:lineRule="auto"/>
              <w:jc w:val="right"/>
              <w:rPr>
                <w:rFonts w:ascii="Times New Roman" w:eastAsia="Times New Roman" w:hAnsi="Times New Roman" w:cs="Times New Roman"/>
                <w:b/>
                <w:bCs/>
                <w:color w:val="000000"/>
                <w:sz w:val="16"/>
                <w:szCs w:val="16"/>
                <w:lang w:eastAsia="sk-SK"/>
              </w:rPr>
            </w:pPr>
            <w:r w:rsidRPr="00BC2A02">
              <w:rPr>
                <w:rFonts w:ascii="Times New Roman" w:eastAsia="Times New Roman" w:hAnsi="Times New Roman" w:cs="Times New Roman"/>
                <w:b/>
                <w:bCs/>
                <w:color w:val="000000"/>
                <w:sz w:val="16"/>
                <w:szCs w:val="16"/>
                <w:lang w:eastAsia="sk-SK"/>
              </w:rPr>
              <w:t>2026 N</w:t>
            </w:r>
          </w:p>
        </w:tc>
      </w:tr>
      <w:tr w:rsidR="00BC2A02" w:rsidRPr="00BC2A02" w14:paraId="50823CD1" w14:textId="77777777" w:rsidTr="00B63F1A">
        <w:trPr>
          <w:trHeight w:val="491"/>
        </w:trPr>
        <w:tc>
          <w:tcPr>
            <w:tcW w:w="2127" w:type="dxa"/>
            <w:tcBorders>
              <w:top w:val="single" w:sz="4" w:space="0" w:color="auto"/>
              <w:left w:val="nil"/>
              <w:right w:val="nil"/>
            </w:tcBorders>
            <w:shd w:val="clear" w:color="auto" w:fill="auto"/>
            <w:noWrap/>
            <w:vAlign w:val="center"/>
            <w:hideMark/>
          </w:tcPr>
          <w:p w14:paraId="7FDCC83E" w14:textId="77777777" w:rsidR="00BC2A02" w:rsidRPr="00BC2A02" w:rsidRDefault="00BC2A02" w:rsidP="00BC2A02">
            <w:pPr>
              <w:spacing w:after="0" w:line="240" w:lineRule="auto"/>
              <w:rPr>
                <w:rFonts w:ascii="Times New Roman" w:eastAsia="Times New Roman" w:hAnsi="Times New Roman" w:cs="Times New Roman"/>
                <w:b/>
                <w:bCs/>
                <w:color w:val="000000"/>
                <w:sz w:val="16"/>
                <w:szCs w:val="16"/>
                <w:lang w:eastAsia="sk-SK"/>
              </w:rPr>
            </w:pPr>
            <w:r w:rsidRPr="00BC2A02">
              <w:rPr>
                <w:rFonts w:ascii="Times New Roman" w:eastAsia="Times New Roman" w:hAnsi="Times New Roman" w:cs="Times New Roman"/>
                <w:b/>
                <w:bCs/>
                <w:color w:val="000000"/>
                <w:sz w:val="16"/>
                <w:szCs w:val="16"/>
                <w:lang w:eastAsia="sk-SK"/>
              </w:rPr>
              <w:t>Zahraničné transfery</w:t>
            </w:r>
          </w:p>
        </w:tc>
        <w:tc>
          <w:tcPr>
            <w:tcW w:w="793" w:type="dxa"/>
            <w:tcBorders>
              <w:top w:val="single" w:sz="4" w:space="0" w:color="auto"/>
            </w:tcBorders>
            <w:noWrap/>
            <w:vAlign w:val="center"/>
          </w:tcPr>
          <w:p w14:paraId="53FAF2BA" w14:textId="77777777" w:rsidR="00BC2A02" w:rsidRPr="00BC2A02" w:rsidRDefault="00BC2A02" w:rsidP="00BC2A02">
            <w:pPr>
              <w:spacing w:after="0" w:line="240" w:lineRule="auto"/>
              <w:jc w:val="right"/>
              <w:rPr>
                <w:rFonts w:ascii="Times New Roman" w:eastAsia="Times New Roman" w:hAnsi="Times New Roman" w:cs="Times New Roman"/>
                <w:b/>
                <w:sz w:val="16"/>
                <w:szCs w:val="16"/>
                <w:lang w:eastAsia="sk-SK"/>
              </w:rPr>
            </w:pPr>
            <w:r w:rsidRPr="00BC2A02">
              <w:rPr>
                <w:rFonts w:ascii="Times New Roman" w:eastAsia="Times New Roman" w:hAnsi="Times New Roman" w:cs="Times New Roman"/>
                <w:b/>
                <w:sz w:val="16"/>
                <w:szCs w:val="16"/>
                <w:lang w:eastAsia="sk-SK"/>
              </w:rPr>
              <w:t>2 273 989</w:t>
            </w:r>
          </w:p>
        </w:tc>
        <w:tc>
          <w:tcPr>
            <w:tcW w:w="1000" w:type="dxa"/>
            <w:tcBorders>
              <w:top w:val="single" w:sz="4" w:space="0" w:color="auto"/>
            </w:tcBorders>
            <w:noWrap/>
            <w:vAlign w:val="center"/>
          </w:tcPr>
          <w:p w14:paraId="5D3E9B51" w14:textId="77777777" w:rsidR="00BC2A02" w:rsidRPr="00BC2A02" w:rsidRDefault="00BC2A02" w:rsidP="00BC2A02">
            <w:pPr>
              <w:spacing w:after="0" w:line="240" w:lineRule="auto"/>
              <w:jc w:val="right"/>
              <w:rPr>
                <w:rFonts w:ascii="Times New Roman" w:eastAsia="Times New Roman" w:hAnsi="Times New Roman" w:cs="Times New Roman"/>
                <w:b/>
                <w:sz w:val="16"/>
                <w:szCs w:val="16"/>
                <w:lang w:eastAsia="sk-SK"/>
              </w:rPr>
            </w:pPr>
            <w:r w:rsidRPr="00BC2A02">
              <w:rPr>
                <w:rFonts w:ascii="Times New Roman" w:eastAsia="Times New Roman" w:hAnsi="Times New Roman" w:cs="Times New Roman"/>
                <w:b/>
                <w:sz w:val="16"/>
                <w:szCs w:val="16"/>
                <w:lang w:eastAsia="sk-SK"/>
              </w:rPr>
              <w:t>2 187 702</w:t>
            </w:r>
          </w:p>
        </w:tc>
        <w:tc>
          <w:tcPr>
            <w:tcW w:w="1000" w:type="dxa"/>
            <w:tcBorders>
              <w:top w:val="single" w:sz="4" w:space="0" w:color="auto"/>
            </w:tcBorders>
            <w:noWrap/>
            <w:vAlign w:val="center"/>
          </w:tcPr>
          <w:p w14:paraId="45D952C9" w14:textId="77777777" w:rsidR="00BC2A02" w:rsidRPr="00BC2A02" w:rsidRDefault="00BC2A02" w:rsidP="00BC2A02">
            <w:pPr>
              <w:spacing w:after="0" w:line="240" w:lineRule="auto"/>
              <w:jc w:val="right"/>
              <w:rPr>
                <w:rFonts w:ascii="Times New Roman" w:eastAsia="Times New Roman" w:hAnsi="Times New Roman" w:cs="Times New Roman"/>
                <w:b/>
                <w:sz w:val="16"/>
                <w:szCs w:val="16"/>
                <w:lang w:eastAsia="sk-SK"/>
              </w:rPr>
            </w:pPr>
            <w:r w:rsidRPr="00BC2A02">
              <w:rPr>
                <w:rFonts w:ascii="Times New Roman" w:eastAsia="Times New Roman" w:hAnsi="Times New Roman" w:cs="Times New Roman"/>
                <w:b/>
                <w:sz w:val="16"/>
                <w:szCs w:val="16"/>
                <w:lang w:eastAsia="sk-SK"/>
              </w:rPr>
              <w:t>7 728 805</w:t>
            </w:r>
          </w:p>
        </w:tc>
        <w:tc>
          <w:tcPr>
            <w:tcW w:w="1000" w:type="dxa"/>
            <w:tcBorders>
              <w:top w:val="single" w:sz="4" w:space="0" w:color="auto"/>
            </w:tcBorders>
            <w:noWrap/>
            <w:vAlign w:val="center"/>
          </w:tcPr>
          <w:p w14:paraId="3D49B320" w14:textId="77777777" w:rsidR="00BC2A02" w:rsidRPr="00BC2A02" w:rsidRDefault="00BC2A02" w:rsidP="00BC2A02">
            <w:pPr>
              <w:spacing w:after="0" w:line="240" w:lineRule="auto"/>
              <w:jc w:val="right"/>
              <w:rPr>
                <w:rFonts w:ascii="Times New Roman" w:eastAsia="Times New Roman" w:hAnsi="Times New Roman" w:cs="Times New Roman"/>
                <w:b/>
                <w:sz w:val="16"/>
                <w:szCs w:val="16"/>
                <w:lang w:eastAsia="sk-SK"/>
              </w:rPr>
            </w:pPr>
            <w:r w:rsidRPr="00BC2A02">
              <w:rPr>
                <w:rFonts w:ascii="Times New Roman" w:eastAsia="Times New Roman" w:hAnsi="Times New Roman" w:cs="Times New Roman"/>
                <w:b/>
                <w:sz w:val="16"/>
                <w:szCs w:val="16"/>
                <w:lang w:eastAsia="sk-SK"/>
              </w:rPr>
              <w:t>5 371 453</w:t>
            </w:r>
          </w:p>
        </w:tc>
        <w:tc>
          <w:tcPr>
            <w:tcW w:w="1000" w:type="dxa"/>
            <w:tcBorders>
              <w:top w:val="single" w:sz="4" w:space="0" w:color="auto"/>
            </w:tcBorders>
            <w:noWrap/>
            <w:vAlign w:val="center"/>
          </w:tcPr>
          <w:p w14:paraId="4F699EC0" w14:textId="77777777" w:rsidR="00BC2A02" w:rsidRPr="00BC2A02" w:rsidRDefault="00BC2A02" w:rsidP="00BC2A02">
            <w:pPr>
              <w:spacing w:after="0" w:line="240" w:lineRule="auto"/>
              <w:jc w:val="right"/>
              <w:rPr>
                <w:rFonts w:ascii="Times New Roman" w:eastAsia="Times New Roman" w:hAnsi="Times New Roman" w:cs="Times New Roman"/>
                <w:b/>
                <w:sz w:val="16"/>
                <w:szCs w:val="16"/>
                <w:lang w:eastAsia="sk-SK"/>
              </w:rPr>
            </w:pPr>
            <w:r w:rsidRPr="00BC2A02">
              <w:rPr>
                <w:rFonts w:ascii="Times New Roman" w:eastAsia="Times New Roman" w:hAnsi="Times New Roman" w:cs="Times New Roman"/>
                <w:b/>
                <w:sz w:val="16"/>
                <w:szCs w:val="16"/>
                <w:lang w:eastAsia="sk-SK"/>
              </w:rPr>
              <w:t>2 452 641</w:t>
            </w:r>
          </w:p>
        </w:tc>
        <w:tc>
          <w:tcPr>
            <w:tcW w:w="1000" w:type="dxa"/>
            <w:tcBorders>
              <w:top w:val="single" w:sz="4" w:space="0" w:color="auto"/>
            </w:tcBorders>
            <w:noWrap/>
            <w:vAlign w:val="center"/>
          </w:tcPr>
          <w:p w14:paraId="21FC1A92" w14:textId="77777777" w:rsidR="00BC2A02" w:rsidRPr="00BC2A02" w:rsidRDefault="00BC2A02" w:rsidP="00BC2A02">
            <w:pPr>
              <w:spacing w:after="0" w:line="240" w:lineRule="auto"/>
              <w:jc w:val="right"/>
              <w:rPr>
                <w:rFonts w:ascii="Times New Roman" w:eastAsia="Times New Roman" w:hAnsi="Times New Roman" w:cs="Times New Roman"/>
                <w:b/>
                <w:sz w:val="16"/>
                <w:szCs w:val="16"/>
                <w:lang w:eastAsia="sk-SK"/>
              </w:rPr>
            </w:pPr>
            <w:r w:rsidRPr="00BC2A02">
              <w:rPr>
                <w:rFonts w:ascii="Times New Roman" w:eastAsia="Times New Roman" w:hAnsi="Times New Roman" w:cs="Times New Roman"/>
                <w:b/>
                <w:sz w:val="16"/>
                <w:szCs w:val="16"/>
                <w:lang w:eastAsia="sk-SK"/>
              </w:rPr>
              <w:t>3 388 307</w:t>
            </w:r>
          </w:p>
        </w:tc>
        <w:tc>
          <w:tcPr>
            <w:tcW w:w="1000" w:type="dxa"/>
            <w:tcBorders>
              <w:top w:val="single" w:sz="4" w:space="0" w:color="auto"/>
            </w:tcBorders>
            <w:noWrap/>
            <w:vAlign w:val="center"/>
          </w:tcPr>
          <w:p w14:paraId="5F941F51" w14:textId="77777777" w:rsidR="00BC2A02" w:rsidRPr="00BC2A02" w:rsidRDefault="00BC2A02" w:rsidP="00BC2A02">
            <w:pPr>
              <w:spacing w:after="0" w:line="240" w:lineRule="auto"/>
              <w:jc w:val="right"/>
              <w:rPr>
                <w:rFonts w:ascii="Times New Roman" w:eastAsia="Times New Roman" w:hAnsi="Times New Roman" w:cs="Times New Roman"/>
                <w:b/>
                <w:sz w:val="16"/>
                <w:szCs w:val="16"/>
                <w:lang w:eastAsia="sk-SK"/>
              </w:rPr>
            </w:pPr>
            <w:r w:rsidRPr="00BC2A02">
              <w:rPr>
                <w:rFonts w:ascii="Times New Roman" w:eastAsia="Times New Roman" w:hAnsi="Times New Roman" w:cs="Times New Roman"/>
                <w:b/>
                <w:sz w:val="16"/>
                <w:szCs w:val="16"/>
                <w:lang w:eastAsia="sk-SK"/>
              </w:rPr>
              <w:t>3 524 435</w:t>
            </w:r>
          </w:p>
        </w:tc>
      </w:tr>
      <w:tr w:rsidR="00BC2A02" w:rsidRPr="00BC2A02" w14:paraId="6A93C1E6" w14:textId="77777777" w:rsidTr="00B63F1A">
        <w:trPr>
          <w:trHeight w:val="579"/>
        </w:trPr>
        <w:tc>
          <w:tcPr>
            <w:tcW w:w="2127" w:type="dxa"/>
            <w:tcBorders>
              <w:left w:val="nil"/>
              <w:right w:val="nil"/>
            </w:tcBorders>
            <w:shd w:val="clear" w:color="auto" w:fill="auto"/>
            <w:noWrap/>
            <w:vAlign w:val="center"/>
            <w:hideMark/>
          </w:tcPr>
          <w:p w14:paraId="2F640853" w14:textId="77777777" w:rsidR="00BC2A02" w:rsidRPr="00BC2A02" w:rsidRDefault="00BC2A02" w:rsidP="00BC2A02">
            <w:pPr>
              <w:spacing w:after="0" w:line="240" w:lineRule="auto"/>
              <w:rPr>
                <w:rFonts w:ascii="Times New Roman" w:eastAsia="Times New Roman" w:hAnsi="Times New Roman" w:cs="Times New Roman"/>
                <w:color w:val="000000"/>
                <w:sz w:val="16"/>
                <w:szCs w:val="16"/>
                <w:lang w:eastAsia="sk-SK"/>
              </w:rPr>
            </w:pPr>
            <w:r w:rsidRPr="00BC2A02">
              <w:rPr>
                <w:rFonts w:ascii="Times New Roman" w:eastAsia="Times New Roman" w:hAnsi="Times New Roman" w:cs="Times New Roman"/>
                <w:color w:val="000000"/>
                <w:sz w:val="16"/>
                <w:szCs w:val="16"/>
                <w:lang w:eastAsia="sk-SK"/>
              </w:rPr>
              <w:t>Prostriedky z rozpočtu EÚ pre 3. a 4. programové obdobie</w:t>
            </w:r>
          </w:p>
        </w:tc>
        <w:tc>
          <w:tcPr>
            <w:tcW w:w="793" w:type="dxa"/>
            <w:noWrap/>
            <w:vAlign w:val="center"/>
          </w:tcPr>
          <w:p w14:paraId="2BA02F4C" w14:textId="77777777" w:rsidR="00BC2A02" w:rsidRPr="00BC2A02" w:rsidRDefault="00BC2A02" w:rsidP="00BC2A02">
            <w:pPr>
              <w:spacing w:after="0" w:line="240" w:lineRule="auto"/>
              <w:jc w:val="right"/>
              <w:rPr>
                <w:rFonts w:ascii="Times New Roman" w:eastAsia="Times New Roman" w:hAnsi="Times New Roman" w:cs="Times New Roman"/>
                <w:sz w:val="16"/>
                <w:szCs w:val="16"/>
                <w:lang w:eastAsia="sk-SK"/>
              </w:rPr>
            </w:pPr>
            <w:r w:rsidRPr="00BC2A02">
              <w:rPr>
                <w:rFonts w:ascii="Times New Roman" w:eastAsia="Times New Roman" w:hAnsi="Times New Roman" w:cs="Times New Roman"/>
                <w:sz w:val="16"/>
                <w:szCs w:val="16"/>
                <w:lang w:eastAsia="sk-SK"/>
              </w:rPr>
              <w:t>2 269 706</w:t>
            </w:r>
          </w:p>
        </w:tc>
        <w:tc>
          <w:tcPr>
            <w:tcW w:w="1000" w:type="dxa"/>
            <w:noWrap/>
            <w:vAlign w:val="center"/>
          </w:tcPr>
          <w:p w14:paraId="3B43339A" w14:textId="77777777" w:rsidR="00BC2A02" w:rsidRPr="00BC2A02" w:rsidRDefault="00BC2A02" w:rsidP="00BC2A02">
            <w:pPr>
              <w:spacing w:after="0" w:line="240" w:lineRule="auto"/>
              <w:jc w:val="right"/>
              <w:rPr>
                <w:rFonts w:ascii="Times New Roman" w:eastAsia="Times New Roman" w:hAnsi="Times New Roman" w:cs="Times New Roman"/>
                <w:sz w:val="16"/>
                <w:szCs w:val="16"/>
                <w:lang w:eastAsia="sk-SK"/>
              </w:rPr>
            </w:pPr>
            <w:r w:rsidRPr="00BC2A02">
              <w:rPr>
                <w:rFonts w:ascii="Times New Roman" w:eastAsia="Times New Roman" w:hAnsi="Times New Roman" w:cs="Times New Roman"/>
                <w:sz w:val="16"/>
                <w:szCs w:val="16"/>
                <w:lang w:eastAsia="sk-SK"/>
              </w:rPr>
              <w:t>2 146 641</w:t>
            </w:r>
          </w:p>
        </w:tc>
        <w:tc>
          <w:tcPr>
            <w:tcW w:w="1000" w:type="dxa"/>
            <w:noWrap/>
            <w:vAlign w:val="center"/>
          </w:tcPr>
          <w:p w14:paraId="1C1F6F3E" w14:textId="77777777" w:rsidR="00BC2A02" w:rsidRPr="00BC2A02" w:rsidRDefault="00BC2A02" w:rsidP="00BC2A02">
            <w:pPr>
              <w:spacing w:after="0" w:line="240" w:lineRule="auto"/>
              <w:jc w:val="right"/>
              <w:rPr>
                <w:rFonts w:ascii="Times New Roman" w:eastAsia="Times New Roman" w:hAnsi="Times New Roman" w:cs="Times New Roman"/>
                <w:sz w:val="16"/>
                <w:szCs w:val="16"/>
                <w:lang w:eastAsia="sk-SK"/>
              </w:rPr>
            </w:pPr>
            <w:r w:rsidRPr="00BC2A02">
              <w:rPr>
                <w:rFonts w:ascii="Times New Roman" w:eastAsia="Times New Roman" w:hAnsi="Times New Roman" w:cs="Times New Roman"/>
                <w:sz w:val="16"/>
                <w:szCs w:val="16"/>
                <w:lang w:eastAsia="sk-SK"/>
              </w:rPr>
              <w:t>5 717 554*</w:t>
            </w:r>
          </w:p>
        </w:tc>
        <w:tc>
          <w:tcPr>
            <w:tcW w:w="1000" w:type="dxa"/>
            <w:noWrap/>
            <w:vAlign w:val="center"/>
          </w:tcPr>
          <w:p w14:paraId="7CFB5E42" w14:textId="77777777" w:rsidR="00BC2A02" w:rsidRPr="00BC2A02" w:rsidRDefault="00BC2A02" w:rsidP="00BC2A02">
            <w:pPr>
              <w:spacing w:after="0" w:line="240" w:lineRule="auto"/>
              <w:jc w:val="right"/>
              <w:rPr>
                <w:rFonts w:ascii="Times New Roman" w:eastAsia="Times New Roman" w:hAnsi="Times New Roman" w:cs="Times New Roman"/>
                <w:sz w:val="16"/>
                <w:szCs w:val="16"/>
                <w:lang w:eastAsia="sk-SK"/>
              </w:rPr>
            </w:pPr>
            <w:r w:rsidRPr="00BC2A02">
              <w:rPr>
                <w:rFonts w:ascii="Times New Roman" w:eastAsia="Times New Roman" w:hAnsi="Times New Roman" w:cs="Times New Roman"/>
                <w:sz w:val="16"/>
                <w:szCs w:val="16"/>
                <w:lang w:eastAsia="sk-SK"/>
              </w:rPr>
              <w:t>4 958 969</w:t>
            </w:r>
          </w:p>
        </w:tc>
        <w:tc>
          <w:tcPr>
            <w:tcW w:w="1000" w:type="dxa"/>
            <w:noWrap/>
            <w:vAlign w:val="center"/>
          </w:tcPr>
          <w:p w14:paraId="525C07C8" w14:textId="77777777" w:rsidR="00BC2A02" w:rsidRPr="00BC2A02" w:rsidRDefault="00BC2A02" w:rsidP="00BC2A02">
            <w:pPr>
              <w:spacing w:after="0" w:line="240" w:lineRule="auto"/>
              <w:jc w:val="right"/>
              <w:rPr>
                <w:rFonts w:ascii="Times New Roman" w:eastAsia="Times New Roman" w:hAnsi="Times New Roman" w:cs="Times New Roman"/>
                <w:sz w:val="16"/>
                <w:szCs w:val="16"/>
                <w:lang w:eastAsia="sk-SK"/>
              </w:rPr>
            </w:pPr>
            <w:r w:rsidRPr="00BC2A02">
              <w:rPr>
                <w:rFonts w:ascii="Times New Roman" w:eastAsia="Times New Roman" w:hAnsi="Times New Roman" w:cs="Times New Roman"/>
                <w:sz w:val="16"/>
                <w:szCs w:val="16"/>
                <w:lang w:eastAsia="sk-SK"/>
              </w:rPr>
              <w:t>1 237 239</w:t>
            </w:r>
          </w:p>
        </w:tc>
        <w:tc>
          <w:tcPr>
            <w:tcW w:w="1000" w:type="dxa"/>
            <w:noWrap/>
            <w:vAlign w:val="center"/>
          </w:tcPr>
          <w:p w14:paraId="2FA35C99" w14:textId="77777777" w:rsidR="00BC2A02" w:rsidRPr="00BC2A02" w:rsidRDefault="00BC2A02" w:rsidP="00BC2A02">
            <w:pPr>
              <w:spacing w:after="0" w:line="240" w:lineRule="auto"/>
              <w:jc w:val="right"/>
              <w:rPr>
                <w:rFonts w:ascii="Times New Roman" w:eastAsia="Times New Roman" w:hAnsi="Times New Roman" w:cs="Times New Roman"/>
                <w:sz w:val="16"/>
                <w:szCs w:val="16"/>
                <w:lang w:eastAsia="sk-SK"/>
              </w:rPr>
            </w:pPr>
            <w:r w:rsidRPr="00BC2A02">
              <w:rPr>
                <w:rFonts w:ascii="Times New Roman" w:eastAsia="Times New Roman" w:hAnsi="Times New Roman" w:cs="Times New Roman"/>
                <w:sz w:val="16"/>
                <w:szCs w:val="16"/>
                <w:lang w:eastAsia="sk-SK"/>
              </w:rPr>
              <w:t>2 208 678</w:t>
            </w:r>
          </w:p>
        </w:tc>
        <w:tc>
          <w:tcPr>
            <w:tcW w:w="1000" w:type="dxa"/>
            <w:noWrap/>
            <w:vAlign w:val="center"/>
          </w:tcPr>
          <w:p w14:paraId="2924245D" w14:textId="77777777" w:rsidR="00BC2A02" w:rsidRPr="00BC2A02" w:rsidRDefault="00BC2A02" w:rsidP="00BC2A02">
            <w:pPr>
              <w:spacing w:after="0" w:line="240" w:lineRule="auto"/>
              <w:jc w:val="right"/>
              <w:rPr>
                <w:rFonts w:ascii="Times New Roman" w:eastAsia="Times New Roman" w:hAnsi="Times New Roman" w:cs="Times New Roman"/>
                <w:sz w:val="16"/>
                <w:szCs w:val="16"/>
                <w:lang w:eastAsia="sk-SK"/>
              </w:rPr>
            </w:pPr>
            <w:r w:rsidRPr="00BC2A02">
              <w:rPr>
                <w:rFonts w:ascii="Times New Roman" w:eastAsia="Times New Roman" w:hAnsi="Times New Roman" w:cs="Times New Roman"/>
                <w:sz w:val="16"/>
                <w:szCs w:val="16"/>
                <w:lang w:eastAsia="sk-SK"/>
              </w:rPr>
              <w:t>2 952 611</w:t>
            </w:r>
          </w:p>
        </w:tc>
      </w:tr>
      <w:tr w:rsidR="00BC2A02" w:rsidRPr="00BC2A02" w14:paraId="0E20C3A5" w14:textId="77777777" w:rsidTr="00B63F1A">
        <w:trPr>
          <w:trHeight w:val="288"/>
        </w:trPr>
        <w:tc>
          <w:tcPr>
            <w:tcW w:w="2127" w:type="dxa"/>
            <w:tcBorders>
              <w:left w:val="nil"/>
              <w:bottom w:val="single" w:sz="4" w:space="0" w:color="auto"/>
              <w:right w:val="nil"/>
            </w:tcBorders>
            <w:shd w:val="clear" w:color="auto" w:fill="auto"/>
            <w:noWrap/>
            <w:vAlign w:val="center"/>
          </w:tcPr>
          <w:p w14:paraId="418284A6" w14:textId="77777777" w:rsidR="00BC2A02" w:rsidRPr="00BC2A02" w:rsidRDefault="00BC2A02" w:rsidP="00BC2A02">
            <w:pPr>
              <w:spacing w:after="0" w:line="240" w:lineRule="auto"/>
              <w:rPr>
                <w:rFonts w:ascii="Times New Roman" w:eastAsia="Times New Roman" w:hAnsi="Times New Roman" w:cs="Times New Roman"/>
                <w:color w:val="000000"/>
                <w:sz w:val="16"/>
                <w:szCs w:val="16"/>
                <w:lang w:eastAsia="sk-SK"/>
              </w:rPr>
            </w:pPr>
            <w:r w:rsidRPr="00BC2A02">
              <w:rPr>
                <w:rFonts w:ascii="Times New Roman" w:eastAsia="Times New Roman" w:hAnsi="Times New Roman" w:cs="Times New Roman"/>
                <w:color w:val="000000"/>
                <w:sz w:val="16"/>
                <w:szCs w:val="16"/>
                <w:lang w:eastAsia="sk-SK"/>
              </w:rPr>
              <w:t>Prostriedky z Plánu obnovy a odolnosti</w:t>
            </w:r>
          </w:p>
        </w:tc>
        <w:tc>
          <w:tcPr>
            <w:tcW w:w="793" w:type="dxa"/>
            <w:tcBorders>
              <w:bottom w:val="single" w:sz="4" w:space="0" w:color="auto"/>
            </w:tcBorders>
            <w:shd w:val="clear" w:color="auto" w:fill="auto"/>
            <w:noWrap/>
            <w:vAlign w:val="center"/>
          </w:tcPr>
          <w:p w14:paraId="4727A3F4" w14:textId="77777777" w:rsidR="00BC2A02" w:rsidRPr="00BC2A02" w:rsidRDefault="00BC2A02" w:rsidP="00BC2A02">
            <w:pPr>
              <w:spacing w:after="0" w:line="240" w:lineRule="auto"/>
              <w:jc w:val="right"/>
              <w:rPr>
                <w:rFonts w:ascii="Times New Roman" w:eastAsia="Times New Roman" w:hAnsi="Times New Roman" w:cs="Times New Roman"/>
                <w:sz w:val="16"/>
                <w:szCs w:val="16"/>
                <w:lang w:eastAsia="sk-SK"/>
              </w:rPr>
            </w:pPr>
            <w:r w:rsidRPr="00BC2A02">
              <w:rPr>
                <w:rFonts w:ascii="Times New Roman" w:eastAsia="Times New Roman" w:hAnsi="Times New Roman" w:cs="Times New Roman"/>
                <w:sz w:val="16"/>
                <w:szCs w:val="16"/>
                <w:lang w:eastAsia="sk-SK"/>
              </w:rPr>
              <w:t>4 283</w:t>
            </w:r>
          </w:p>
        </w:tc>
        <w:tc>
          <w:tcPr>
            <w:tcW w:w="1000" w:type="dxa"/>
            <w:tcBorders>
              <w:bottom w:val="single" w:sz="4" w:space="0" w:color="auto"/>
            </w:tcBorders>
            <w:shd w:val="clear" w:color="auto" w:fill="auto"/>
            <w:noWrap/>
            <w:vAlign w:val="center"/>
          </w:tcPr>
          <w:p w14:paraId="56C9A4B3" w14:textId="77777777" w:rsidR="00BC2A02" w:rsidRPr="00BC2A02" w:rsidRDefault="00BC2A02" w:rsidP="00BC2A02">
            <w:pPr>
              <w:spacing w:after="0" w:line="240" w:lineRule="auto"/>
              <w:jc w:val="right"/>
              <w:rPr>
                <w:rFonts w:ascii="Times New Roman" w:eastAsia="Times New Roman" w:hAnsi="Times New Roman" w:cs="Times New Roman"/>
                <w:sz w:val="16"/>
                <w:szCs w:val="16"/>
                <w:lang w:eastAsia="sk-SK"/>
              </w:rPr>
            </w:pPr>
            <w:r w:rsidRPr="00BC2A02">
              <w:rPr>
                <w:rFonts w:ascii="Times New Roman" w:eastAsia="Times New Roman" w:hAnsi="Times New Roman" w:cs="Times New Roman"/>
                <w:sz w:val="16"/>
                <w:szCs w:val="16"/>
                <w:lang w:eastAsia="sk-SK"/>
              </w:rPr>
              <w:t>41 061</w:t>
            </w:r>
          </w:p>
        </w:tc>
        <w:tc>
          <w:tcPr>
            <w:tcW w:w="1000" w:type="dxa"/>
            <w:tcBorders>
              <w:bottom w:val="single" w:sz="4" w:space="0" w:color="auto"/>
            </w:tcBorders>
            <w:shd w:val="clear" w:color="auto" w:fill="auto"/>
            <w:noWrap/>
            <w:vAlign w:val="center"/>
          </w:tcPr>
          <w:p w14:paraId="10C057CC" w14:textId="77777777" w:rsidR="00BC2A02" w:rsidRPr="00BC2A02" w:rsidRDefault="00BC2A02" w:rsidP="00BC2A02">
            <w:pPr>
              <w:spacing w:after="0" w:line="240" w:lineRule="auto"/>
              <w:jc w:val="right"/>
              <w:rPr>
                <w:rFonts w:ascii="Times New Roman" w:eastAsia="Times New Roman" w:hAnsi="Times New Roman" w:cs="Times New Roman"/>
                <w:sz w:val="16"/>
                <w:szCs w:val="16"/>
                <w:lang w:eastAsia="sk-SK"/>
              </w:rPr>
            </w:pPr>
            <w:r w:rsidRPr="00BC2A02">
              <w:rPr>
                <w:rFonts w:ascii="Times New Roman" w:eastAsia="Times New Roman" w:hAnsi="Times New Roman" w:cs="Times New Roman"/>
                <w:sz w:val="16"/>
                <w:szCs w:val="16"/>
                <w:lang w:eastAsia="sk-SK"/>
              </w:rPr>
              <w:t>2 011 251</w:t>
            </w:r>
          </w:p>
        </w:tc>
        <w:tc>
          <w:tcPr>
            <w:tcW w:w="1000" w:type="dxa"/>
            <w:tcBorders>
              <w:bottom w:val="single" w:sz="4" w:space="0" w:color="auto"/>
            </w:tcBorders>
            <w:shd w:val="clear" w:color="auto" w:fill="auto"/>
            <w:noWrap/>
            <w:vAlign w:val="center"/>
          </w:tcPr>
          <w:p w14:paraId="3DF4EEBF" w14:textId="77777777" w:rsidR="00BC2A02" w:rsidRPr="00BC2A02" w:rsidRDefault="00BC2A02" w:rsidP="00BC2A02">
            <w:pPr>
              <w:spacing w:after="0" w:line="240" w:lineRule="auto"/>
              <w:jc w:val="right"/>
              <w:rPr>
                <w:rFonts w:ascii="Times New Roman" w:eastAsia="Times New Roman" w:hAnsi="Times New Roman" w:cs="Times New Roman"/>
                <w:sz w:val="16"/>
                <w:szCs w:val="16"/>
                <w:lang w:eastAsia="sk-SK"/>
              </w:rPr>
            </w:pPr>
            <w:r w:rsidRPr="00BC2A02">
              <w:rPr>
                <w:rFonts w:ascii="Times New Roman" w:eastAsia="Times New Roman" w:hAnsi="Times New Roman" w:cs="Times New Roman"/>
                <w:sz w:val="16"/>
                <w:szCs w:val="16"/>
                <w:lang w:eastAsia="sk-SK"/>
              </w:rPr>
              <w:t>412 484</w:t>
            </w:r>
          </w:p>
        </w:tc>
        <w:tc>
          <w:tcPr>
            <w:tcW w:w="1000" w:type="dxa"/>
            <w:tcBorders>
              <w:bottom w:val="single" w:sz="4" w:space="0" w:color="auto"/>
            </w:tcBorders>
            <w:shd w:val="clear" w:color="auto" w:fill="auto"/>
            <w:noWrap/>
            <w:vAlign w:val="center"/>
          </w:tcPr>
          <w:p w14:paraId="7877F3B8" w14:textId="77777777" w:rsidR="00BC2A02" w:rsidRPr="00BC2A02" w:rsidRDefault="00BC2A02" w:rsidP="00BC2A02">
            <w:pPr>
              <w:spacing w:after="0" w:line="240" w:lineRule="auto"/>
              <w:jc w:val="right"/>
              <w:rPr>
                <w:rFonts w:ascii="Times New Roman" w:eastAsia="Times New Roman" w:hAnsi="Times New Roman" w:cs="Times New Roman"/>
                <w:sz w:val="16"/>
                <w:szCs w:val="16"/>
                <w:lang w:eastAsia="sk-SK"/>
              </w:rPr>
            </w:pPr>
            <w:r w:rsidRPr="00BC2A02">
              <w:rPr>
                <w:rFonts w:ascii="Times New Roman" w:eastAsia="Times New Roman" w:hAnsi="Times New Roman" w:cs="Times New Roman"/>
                <w:sz w:val="16"/>
                <w:szCs w:val="16"/>
                <w:lang w:eastAsia="sk-SK"/>
              </w:rPr>
              <w:t>1 215 402</w:t>
            </w:r>
          </w:p>
        </w:tc>
        <w:tc>
          <w:tcPr>
            <w:tcW w:w="1000" w:type="dxa"/>
            <w:tcBorders>
              <w:bottom w:val="single" w:sz="4" w:space="0" w:color="auto"/>
            </w:tcBorders>
            <w:shd w:val="clear" w:color="auto" w:fill="auto"/>
            <w:noWrap/>
            <w:vAlign w:val="center"/>
          </w:tcPr>
          <w:p w14:paraId="2CCDCDFC" w14:textId="77777777" w:rsidR="00BC2A02" w:rsidRPr="00BC2A02" w:rsidRDefault="00BC2A02" w:rsidP="00BC2A02">
            <w:pPr>
              <w:spacing w:after="0" w:line="240" w:lineRule="auto"/>
              <w:jc w:val="right"/>
              <w:rPr>
                <w:rFonts w:ascii="Times New Roman" w:eastAsia="Times New Roman" w:hAnsi="Times New Roman" w:cs="Times New Roman"/>
                <w:sz w:val="16"/>
                <w:szCs w:val="16"/>
                <w:lang w:eastAsia="sk-SK"/>
              </w:rPr>
            </w:pPr>
            <w:r w:rsidRPr="00BC2A02">
              <w:rPr>
                <w:rFonts w:ascii="Times New Roman" w:eastAsia="Times New Roman" w:hAnsi="Times New Roman" w:cs="Times New Roman"/>
                <w:sz w:val="16"/>
                <w:szCs w:val="16"/>
                <w:lang w:eastAsia="sk-SK"/>
              </w:rPr>
              <w:t>1 179 629</w:t>
            </w:r>
          </w:p>
        </w:tc>
        <w:tc>
          <w:tcPr>
            <w:tcW w:w="1000" w:type="dxa"/>
            <w:tcBorders>
              <w:bottom w:val="single" w:sz="4" w:space="0" w:color="auto"/>
            </w:tcBorders>
            <w:shd w:val="clear" w:color="auto" w:fill="auto"/>
            <w:noWrap/>
            <w:vAlign w:val="center"/>
          </w:tcPr>
          <w:p w14:paraId="6E640500" w14:textId="77777777" w:rsidR="00BC2A02" w:rsidRPr="00BC2A02" w:rsidRDefault="00BC2A02" w:rsidP="00BC2A02">
            <w:pPr>
              <w:spacing w:after="0" w:line="240" w:lineRule="auto"/>
              <w:jc w:val="right"/>
              <w:rPr>
                <w:rFonts w:ascii="Times New Roman" w:eastAsia="Times New Roman" w:hAnsi="Times New Roman" w:cs="Times New Roman"/>
                <w:sz w:val="16"/>
                <w:szCs w:val="16"/>
                <w:lang w:eastAsia="sk-SK"/>
              </w:rPr>
            </w:pPr>
            <w:r w:rsidRPr="00BC2A02">
              <w:rPr>
                <w:rFonts w:ascii="Times New Roman" w:eastAsia="Times New Roman" w:hAnsi="Times New Roman" w:cs="Times New Roman"/>
                <w:sz w:val="16"/>
                <w:szCs w:val="16"/>
                <w:lang w:eastAsia="sk-SK"/>
              </w:rPr>
              <w:t>571 824</w:t>
            </w:r>
          </w:p>
        </w:tc>
      </w:tr>
    </w:tbl>
    <w:p w14:paraId="19FE411F" w14:textId="77777777" w:rsidR="00BC2A02" w:rsidRPr="00BC2A02" w:rsidRDefault="00BC2A02" w:rsidP="00BC2A02">
      <w:pPr>
        <w:keepNext/>
        <w:keepLines/>
        <w:spacing w:after="5" w:line="270" w:lineRule="auto"/>
        <w:ind w:right="281"/>
        <w:outlineLvl w:val="4"/>
        <w:rPr>
          <w:rFonts w:ascii="Times New Roman" w:eastAsia="Times New Roman" w:hAnsi="Times New Roman" w:cs="Times New Roman"/>
          <w:sz w:val="16"/>
          <w:szCs w:val="16"/>
          <w:lang w:eastAsia="sk-SK"/>
        </w:rPr>
      </w:pPr>
      <w:r w:rsidRPr="00BC2A02">
        <w:rPr>
          <w:rFonts w:ascii="Times New Roman" w:eastAsia="Times New Roman" w:hAnsi="Times New Roman" w:cs="Times New Roman"/>
          <w:sz w:val="16"/>
          <w:szCs w:val="16"/>
          <w:lang w:eastAsia="sk-SK"/>
        </w:rPr>
        <w:t xml:space="preserve">*V roku 2023 sú započítané príjmy v sume 410 mil. eur ako rezerva na </w:t>
      </w:r>
      <w:proofErr w:type="spellStart"/>
      <w:r w:rsidRPr="00BC2A02">
        <w:rPr>
          <w:rFonts w:ascii="Times New Roman" w:eastAsia="Times New Roman" w:hAnsi="Times New Roman" w:cs="Times New Roman"/>
          <w:sz w:val="16"/>
          <w:szCs w:val="16"/>
          <w:lang w:eastAsia="sk-SK"/>
        </w:rPr>
        <w:t>nadčerpanie</w:t>
      </w:r>
      <w:proofErr w:type="spellEnd"/>
      <w:r w:rsidRPr="00BC2A02">
        <w:rPr>
          <w:rFonts w:ascii="Times New Roman" w:eastAsia="Times New Roman" w:hAnsi="Times New Roman" w:cs="Times New Roman"/>
          <w:sz w:val="16"/>
          <w:szCs w:val="16"/>
          <w:lang w:eastAsia="sk-SK"/>
        </w:rPr>
        <w:t xml:space="preserve"> za 3. programové obdobie.</w:t>
      </w:r>
    </w:p>
    <w:p w14:paraId="4A15143C" w14:textId="77777777" w:rsidR="00BC2A02" w:rsidRPr="00BC2A02" w:rsidRDefault="00BC2A02" w:rsidP="00BC2A02">
      <w:pPr>
        <w:spacing w:after="5" w:line="269" w:lineRule="auto"/>
        <w:ind w:left="70" w:hanging="10"/>
        <w:jc w:val="both"/>
        <w:rPr>
          <w:rFonts w:ascii="Times New Roman" w:eastAsia="Times New Roman" w:hAnsi="Times New Roman" w:cs="Times New Roman"/>
          <w:color w:val="000000"/>
          <w:sz w:val="24"/>
          <w:lang w:eastAsia="sk-SK"/>
        </w:rPr>
      </w:pPr>
      <w:r w:rsidRPr="00BC2A02">
        <w:rPr>
          <w:rFonts w:ascii="Times New Roman" w:eastAsia="Times New Roman" w:hAnsi="Times New Roman" w:cs="Times New Roman"/>
          <w:color w:val="000000"/>
          <w:sz w:val="24"/>
          <w:lang w:eastAsia="sk-SK"/>
        </w:rPr>
        <w:tab/>
      </w:r>
      <w:r w:rsidRPr="00BC2A02">
        <w:rPr>
          <w:rFonts w:ascii="Times New Roman" w:eastAsia="Times New Roman" w:hAnsi="Times New Roman" w:cs="Times New Roman"/>
          <w:color w:val="000000"/>
          <w:sz w:val="24"/>
          <w:lang w:eastAsia="sk-SK"/>
        </w:rPr>
        <w:tab/>
      </w:r>
      <w:r w:rsidRPr="00BC2A02">
        <w:rPr>
          <w:rFonts w:ascii="Times New Roman" w:eastAsia="Times New Roman" w:hAnsi="Times New Roman" w:cs="Times New Roman"/>
          <w:color w:val="000000"/>
          <w:sz w:val="24"/>
          <w:lang w:eastAsia="sk-SK"/>
        </w:rPr>
        <w:tab/>
      </w:r>
      <w:r w:rsidRPr="00BC2A02">
        <w:rPr>
          <w:rFonts w:ascii="Times New Roman" w:eastAsia="Times New Roman" w:hAnsi="Times New Roman" w:cs="Times New Roman"/>
          <w:color w:val="000000"/>
          <w:sz w:val="24"/>
          <w:lang w:eastAsia="sk-SK"/>
        </w:rPr>
        <w:tab/>
      </w:r>
      <w:r w:rsidRPr="00BC2A02">
        <w:rPr>
          <w:rFonts w:ascii="Times New Roman" w:eastAsia="Times New Roman" w:hAnsi="Times New Roman" w:cs="Times New Roman"/>
          <w:color w:val="000000"/>
          <w:sz w:val="24"/>
          <w:lang w:eastAsia="sk-SK"/>
        </w:rPr>
        <w:tab/>
      </w:r>
      <w:r w:rsidRPr="00BC2A02">
        <w:rPr>
          <w:rFonts w:ascii="Times New Roman" w:eastAsia="Times New Roman" w:hAnsi="Times New Roman" w:cs="Times New Roman"/>
          <w:color w:val="000000"/>
          <w:sz w:val="24"/>
          <w:lang w:eastAsia="sk-SK"/>
        </w:rPr>
        <w:tab/>
      </w:r>
      <w:r w:rsidRPr="00BC2A02">
        <w:rPr>
          <w:rFonts w:ascii="Times New Roman" w:eastAsia="Times New Roman" w:hAnsi="Times New Roman" w:cs="Times New Roman"/>
          <w:color w:val="000000"/>
          <w:sz w:val="24"/>
          <w:lang w:eastAsia="sk-SK"/>
        </w:rPr>
        <w:tab/>
      </w:r>
      <w:r w:rsidRPr="00BC2A02">
        <w:rPr>
          <w:rFonts w:ascii="Times New Roman" w:eastAsia="Times New Roman" w:hAnsi="Times New Roman" w:cs="Times New Roman"/>
          <w:color w:val="000000"/>
          <w:sz w:val="24"/>
          <w:lang w:eastAsia="sk-SK"/>
        </w:rPr>
        <w:tab/>
      </w:r>
      <w:r w:rsidRPr="00BC2A02">
        <w:rPr>
          <w:rFonts w:ascii="Times New Roman" w:eastAsia="Times New Roman" w:hAnsi="Times New Roman" w:cs="Times New Roman"/>
          <w:color w:val="000000"/>
          <w:sz w:val="24"/>
          <w:lang w:eastAsia="sk-SK"/>
        </w:rPr>
        <w:tab/>
      </w:r>
      <w:r w:rsidRPr="00BC2A02">
        <w:rPr>
          <w:rFonts w:ascii="Times New Roman" w:eastAsia="Times New Roman" w:hAnsi="Times New Roman" w:cs="Times New Roman"/>
          <w:color w:val="000000"/>
          <w:sz w:val="24"/>
          <w:lang w:eastAsia="sk-SK"/>
        </w:rPr>
        <w:tab/>
      </w:r>
      <w:r w:rsidRPr="00BC2A02">
        <w:rPr>
          <w:rFonts w:ascii="Times New Roman" w:eastAsia="Times New Roman" w:hAnsi="Times New Roman" w:cs="Times New Roman"/>
          <w:color w:val="000000"/>
          <w:sz w:val="24"/>
          <w:lang w:eastAsia="sk-SK"/>
        </w:rPr>
        <w:tab/>
      </w:r>
      <w:r w:rsidRPr="00BC2A02">
        <w:rPr>
          <w:rFonts w:ascii="Times New Roman" w:eastAsia="Times New Roman" w:hAnsi="Times New Roman" w:cs="Times New Roman"/>
          <w:color w:val="000000"/>
          <w:sz w:val="24"/>
          <w:lang w:eastAsia="sk-SK"/>
        </w:rPr>
        <w:tab/>
      </w:r>
      <w:r w:rsidRPr="00BC2A02">
        <w:rPr>
          <w:rFonts w:ascii="Times New Roman" w:eastAsia="Times New Roman" w:hAnsi="Times New Roman" w:cs="Times New Roman"/>
          <w:i/>
          <w:color w:val="000000"/>
          <w:sz w:val="16"/>
          <w:lang w:eastAsia="sk-SK"/>
        </w:rPr>
        <w:t>Zdroj: MF SR</w:t>
      </w:r>
    </w:p>
    <w:p w14:paraId="25B610B3" w14:textId="77777777" w:rsidR="00BC2A02" w:rsidRPr="00CF001A" w:rsidRDefault="00BC2A02" w:rsidP="007C2BDC">
      <w:pPr>
        <w:widowControl w:val="0"/>
        <w:spacing w:after="0"/>
        <w:jc w:val="both"/>
        <w:rPr>
          <w:rFonts w:ascii="Times New Roman" w:eastAsia="NeueHaasGroteskText W02" w:hAnsi="Times New Roman" w:cs="Times New Roman"/>
          <w:sz w:val="24"/>
          <w:szCs w:val="20"/>
        </w:rPr>
      </w:pPr>
    </w:p>
    <w:p w14:paraId="54AB60C4" w14:textId="77777777" w:rsidR="00AC031F" w:rsidRDefault="00AC031F" w:rsidP="00AC031F">
      <w:pPr>
        <w:spacing w:after="0"/>
        <w:rPr>
          <w:rFonts w:ascii="Times New Roman" w:eastAsia="Times New Roman" w:hAnsi="Times New Roman" w:cs="Times New Roman"/>
          <w:b/>
          <w:bCs/>
          <w:color w:val="5B9BD5" w:themeColor="accent1"/>
          <w:sz w:val="24"/>
          <w:szCs w:val="24"/>
        </w:rPr>
      </w:pPr>
      <w:bookmarkStart w:id="128" w:name="_Toc52972876"/>
      <w:r w:rsidRPr="00A742DB">
        <w:rPr>
          <w:rFonts w:ascii="Times New Roman" w:eastAsia="Times New Roman" w:hAnsi="Times New Roman" w:cs="Times New Roman"/>
          <w:b/>
          <w:bCs/>
          <w:color w:val="5B9BD5" w:themeColor="accent1"/>
          <w:sz w:val="24"/>
          <w:szCs w:val="24"/>
        </w:rPr>
        <w:t>3.2.4</w:t>
      </w:r>
      <w:r w:rsidR="00192C79">
        <w:rPr>
          <w:rFonts w:ascii="Times New Roman" w:eastAsia="Times New Roman" w:hAnsi="Times New Roman" w:cs="Times New Roman"/>
          <w:b/>
          <w:bCs/>
          <w:color w:val="5B9BD5" w:themeColor="accent1"/>
          <w:sz w:val="24"/>
          <w:szCs w:val="24"/>
        </w:rPr>
        <w:t>.</w:t>
      </w:r>
      <w:r w:rsidRPr="00A742DB">
        <w:rPr>
          <w:rFonts w:ascii="Times New Roman" w:eastAsia="Times New Roman" w:hAnsi="Times New Roman" w:cs="Times New Roman"/>
          <w:b/>
          <w:bCs/>
          <w:color w:val="5B9BD5" w:themeColor="accent1"/>
          <w:sz w:val="24"/>
          <w:szCs w:val="24"/>
        </w:rPr>
        <w:t xml:space="preserve"> </w:t>
      </w:r>
      <w:bookmarkEnd w:id="128"/>
      <w:r w:rsidR="00192C79" w:rsidRPr="00192C79">
        <w:rPr>
          <w:rFonts w:ascii="Times New Roman" w:hAnsi="Times New Roman"/>
          <w:b/>
          <w:color w:val="5B9BD5" w:themeColor="accent1"/>
          <w:sz w:val="24"/>
          <w:szCs w:val="24"/>
          <w:lang w:eastAsia="sk-SK"/>
        </w:rPr>
        <w:t>Rozpočtovanie iných ako daňových príjmov ostatných subjektov ústrednej správy</w:t>
      </w:r>
    </w:p>
    <w:p w14:paraId="4DAC32D1" w14:textId="77777777" w:rsidR="007020FE" w:rsidRDefault="007020FE" w:rsidP="00272075">
      <w:pPr>
        <w:spacing w:after="0" w:line="240" w:lineRule="auto"/>
        <w:rPr>
          <w:rFonts w:ascii="Times New Roman" w:eastAsia="Times New Roman" w:hAnsi="Times New Roman" w:cs="Times New Roman"/>
          <w:b/>
          <w:bCs/>
          <w:color w:val="5B9BD5" w:themeColor="accent1"/>
          <w:sz w:val="24"/>
          <w:szCs w:val="24"/>
        </w:rPr>
      </w:pPr>
    </w:p>
    <w:p w14:paraId="6226602E" w14:textId="77777777" w:rsidR="00E64517" w:rsidRDefault="00E64517" w:rsidP="00E64517">
      <w:pPr>
        <w:spacing w:after="0" w:line="240" w:lineRule="auto"/>
        <w:jc w:val="both"/>
        <w:rPr>
          <w:rFonts w:ascii="Times New Roman" w:eastAsia="Calibri" w:hAnsi="Times New Roman" w:cs="Times New Roman"/>
          <w:sz w:val="24"/>
          <w:szCs w:val="24"/>
        </w:rPr>
      </w:pPr>
      <w:r w:rsidRPr="00192C79">
        <w:rPr>
          <w:rFonts w:ascii="Times New Roman" w:eastAsia="Calibri" w:hAnsi="Times New Roman" w:cs="Times New Roman"/>
          <w:sz w:val="24"/>
          <w:szCs w:val="24"/>
        </w:rPr>
        <w:t>Okrem kapitol štátneho rozpočtu sa v ústrednej správe vykazujú aj príspevkové organizácie štátu, štátne účelové fondy, Slovenský pozemkový fond, MH Manažment a. s., Slovenská konsolidačná a. s., spoločnosti v pôsobnosti ministerstva dopravy</w:t>
      </w:r>
      <w:r w:rsidRPr="00192C79">
        <w:rPr>
          <w:rFonts w:ascii="Times New Roman" w:eastAsia="Calibri" w:hAnsi="Times New Roman" w:cs="Times New Roman"/>
          <w:sz w:val="24"/>
          <w:szCs w:val="24"/>
          <w:vertAlign w:val="superscript"/>
        </w:rPr>
        <w:footnoteReference w:id="28"/>
      </w:r>
      <w:r w:rsidRPr="00192C79">
        <w:rPr>
          <w:rFonts w:ascii="Times New Roman" w:eastAsia="Calibri" w:hAnsi="Times New Roman" w:cs="Times New Roman"/>
          <w:sz w:val="24"/>
          <w:szCs w:val="24"/>
        </w:rPr>
        <w:t>, Agentúra pre núdzové zásoby ropy a ropných výrobkov, verejné vysoké školy a ďalšie subjekty, ktoré sú zapísané v registri organizácií vedenom Štatistickým úradom SR a zaradené v ústrednej správe (ďalej len „ostatné subjekty ústrednej správy“).</w:t>
      </w:r>
    </w:p>
    <w:p w14:paraId="75449FE5" w14:textId="77777777" w:rsidR="00E64517" w:rsidRPr="00192C79" w:rsidRDefault="00E64517" w:rsidP="00E64517">
      <w:pPr>
        <w:spacing w:after="0"/>
        <w:jc w:val="both"/>
        <w:rPr>
          <w:rFonts w:ascii="Times New Roman" w:eastAsia="Calibri" w:hAnsi="Times New Roman" w:cs="Times New Roman"/>
          <w:sz w:val="24"/>
          <w:szCs w:val="24"/>
        </w:rPr>
      </w:pPr>
    </w:p>
    <w:p w14:paraId="64B71691" w14:textId="5FECCD61" w:rsidR="00E64517" w:rsidRPr="00192C79" w:rsidRDefault="00E64517" w:rsidP="00E64517">
      <w:pPr>
        <w:pStyle w:val="Popis"/>
        <w:keepNext/>
        <w:spacing w:after="0"/>
        <w:rPr>
          <w:rFonts w:ascii="Times New Roman" w:hAnsi="Times New Roman" w:cs="Times New Roman"/>
          <w:b/>
          <w:i w:val="0"/>
          <w:color w:val="5B9BD5" w:themeColor="accent1"/>
          <w:sz w:val="20"/>
          <w:szCs w:val="20"/>
        </w:rPr>
      </w:pPr>
      <w:bookmarkStart w:id="129" w:name="_Toc84845261"/>
      <w:bookmarkStart w:id="130" w:name="_Toc123813906"/>
      <w:bookmarkStart w:id="131" w:name="_Toc153013036"/>
      <w:r w:rsidRPr="00192C79">
        <w:rPr>
          <w:rFonts w:ascii="Times New Roman" w:hAnsi="Times New Roman" w:cs="Times New Roman"/>
          <w:b/>
          <w:i w:val="0"/>
          <w:color w:val="5B9BD5" w:themeColor="accent1"/>
          <w:sz w:val="20"/>
          <w:szCs w:val="20"/>
        </w:rPr>
        <w:t xml:space="preserve">Tabuľka </w:t>
      </w:r>
      <w:r w:rsidRPr="00192C79">
        <w:rPr>
          <w:rFonts w:ascii="Times New Roman" w:hAnsi="Times New Roman" w:cs="Times New Roman"/>
          <w:b/>
          <w:i w:val="0"/>
          <w:color w:val="5B9BD5" w:themeColor="accent1"/>
          <w:sz w:val="20"/>
          <w:szCs w:val="20"/>
        </w:rPr>
        <w:fldChar w:fldCharType="begin"/>
      </w:r>
      <w:r w:rsidRPr="00192C79">
        <w:rPr>
          <w:rFonts w:ascii="Times New Roman" w:hAnsi="Times New Roman" w:cs="Times New Roman"/>
          <w:b/>
          <w:i w:val="0"/>
          <w:color w:val="5B9BD5" w:themeColor="accent1"/>
          <w:sz w:val="20"/>
          <w:szCs w:val="20"/>
        </w:rPr>
        <w:instrText xml:space="preserve"> SEQ Tabuľka \* ARABIC </w:instrText>
      </w:r>
      <w:r w:rsidRPr="00192C79">
        <w:rPr>
          <w:rFonts w:ascii="Times New Roman" w:hAnsi="Times New Roman" w:cs="Times New Roman"/>
          <w:b/>
          <w:i w:val="0"/>
          <w:color w:val="5B9BD5" w:themeColor="accent1"/>
          <w:sz w:val="20"/>
          <w:szCs w:val="20"/>
        </w:rPr>
        <w:fldChar w:fldCharType="separate"/>
      </w:r>
      <w:r w:rsidR="003D5A3A">
        <w:rPr>
          <w:rFonts w:ascii="Times New Roman" w:hAnsi="Times New Roman" w:cs="Times New Roman"/>
          <w:b/>
          <w:i w:val="0"/>
          <w:noProof/>
          <w:color w:val="5B9BD5" w:themeColor="accent1"/>
          <w:sz w:val="20"/>
          <w:szCs w:val="20"/>
        </w:rPr>
        <w:t>38</w:t>
      </w:r>
      <w:r w:rsidRPr="00192C79">
        <w:rPr>
          <w:rFonts w:ascii="Times New Roman" w:hAnsi="Times New Roman" w:cs="Times New Roman"/>
          <w:b/>
          <w:i w:val="0"/>
          <w:color w:val="5B9BD5" w:themeColor="accent1"/>
          <w:sz w:val="20"/>
          <w:szCs w:val="20"/>
        </w:rPr>
        <w:fldChar w:fldCharType="end"/>
      </w:r>
      <w:r w:rsidRPr="00192C79">
        <w:rPr>
          <w:rFonts w:ascii="Times New Roman" w:hAnsi="Times New Roman" w:cs="Times New Roman"/>
          <w:b/>
          <w:i w:val="0"/>
          <w:color w:val="5B9BD5" w:themeColor="accent1"/>
          <w:sz w:val="20"/>
          <w:szCs w:val="20"/>
        </w:rPr>
        <w:t xml:space="preserve"> - Iné ako daňové príjmy ostatných subjektov ústrednej správy</w:t>
      </w:r>
      <w:bookmarkEnd w:id="129"/>
      <w:bookmarkEnd w:id="130"/>
      <w:bookmarkEnd w:id="131"/>
    </w:p>
    <w:tbl>
      <w:tblPr>
        <w:tblW w:w="5000" w:type="pct"/>
        <w:tblCellMar>
          <w:left w:w="70" w:type="dxa"/>
          <w:right w:w="70" w:type="dxa"/>
        </w:tblCellMar>
        <w:tblLook w:val="04A0" w:firstRow="1" w:lastRow="0" w:firstColumn="1" w:lastColumn="0" w:noHBand="0" w:noVBand="1"/>
      </w:tblPr>
      <w:tblGrid>
        <w:gridCol w:w="2648"/>
        <w:gridCol w:w="918"/>
        <w:gridCol w:w="918"/>
        <w:gridCol w:w="918"/>
        <w:gridCol w:w="918"/>
        <w:gridCol w:w="918"/>
        <w:gridCol w:w="918"/>
        <w:gridCol w:w="916"/>
      </w:tblGrid>
      <w:tr w:rsidR="00E64517" w:rsidRPr="00EF0FC0" w14:paraId="4BE8BC0E" w14:textId="77777777" w:rsidTr="00B63F1A">
        <w:trPr>
          <w:trHeight w:val="289"/>
        </w:trPr>
        <w:tc>
          <w:tcPr>
            <w:tcW w:w="1459" w:type="pct"/>
            <w:tcBorders>
              <w:top w:val="single" w:sz="4" w:space="0" w:color="auto"/>
              <w:left w:val="nil"/>
              <w:bottom w:val="single" w:sz="4" w:space="0" w:color="auto"/>
              <w:right w:val="nil"/>
            </w:tcBorders>
            <w:shd w:val="clear" w:color="auto" w:fill="auto"/>
            <w:noWrap/>
            <w:vAlign w:val="center"/>
            <w:hideMark/>
          </w:tcPr>
          <w:p w14:paraId="5EE9949C" w14:textId="77777777" w:rsidR="00E64517" w:rsidRPr="00EF0FC0" w:rsidRDefault="00E64517" w:rsidP="00B63F1A">
            <w:pPr>
              <w:spacing w:after="0" w:line="240" w:lineRule="auto"/>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 v tis. eur</w:t>
            </w:r>
          </w:p>
        </w:tc>
        <w:tc>
          <w:tcPr>
            <w:tcW w:w="506" w:type="pct"/>
            <w:tcBorders>
              <w:top w:val="single" w:sz="4" w:space="0" w:color="auto"/>
              <w:left w:val="nil"/>
              <w:bottom w:val="single" w:sz="4" w:space="0" w:color="auto"/>
              <w:right w:val="nil"/>
            </w:tcBorders>
            <w:shd w:val="clear" w:color="auto" w:fill="auto"/>
            <w:noWrap/>
            <w:vAlign w:val="center"/>
            <w:hideMark/>
          </w:tcPr>
          <w:p w14:paraId="41F72001"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2021 S</w:t>
            </w:r>
          </w:p>
        </w:tc>
        <w:tc>
          <w:tcPr>
            <w:tcW w:w="506" w:type="pct"/>
            <w:tcBorders>
              <w:top w:val="single" w:sz="4" w:space="0" w:color="auto"/>
              <w:left w:val="nil"/>
              <w:bottom w:val="single" w:sz="4" w:space="0" w:color="auto"/>
              <w:right w:val="nil"/>
            </w:tcBorders>
            <w:shd w:val="clear" w:color="auto" w:fill="auto"/>
            <w:noWrap/>
            <w:vAlign w:val="center"/>
            <w:hideMark/>
          </w:tcPr>
          <w:p w14:paraId="40939F74"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2022 S</w:t>
            </w:r>
          </w:p>
        </w:tc>
        <w:tc>
          <w:tcPr>
            <w:tcW w:w="506" w:type="pct"/>
            <w:tcBorders>
              <w:top w:val="single" w:sz="4" w:space="0" w:color="auto"/>
              <w:left w:val="nil"/>
              <w:bottom w:val="single" w:sz="4" w:space="0" w:color="auto"/>
              <w:right w:val="nil"/>
            </w:tcBorders>
            <w:shd w:val="clear" w:color="auto" w:fill="auto"/>
            <w:noWrap/>
            <w:vAlign w:val="center"/>
            <w:hideMark/>
          </w:tcPr>
          <w:p w14:paraId="7A58FDDA"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2023 R</w:t>
            </w:r>
          </w:p>
        </w:tc>
        <w:tc>
          <w:tcPr>
            <w:tcW w:w="506" w:type="pct"/>
            <w:tcBorders>
              <w:top w:val="single" w:sz="4" w:space="0" w:color="auto"/>
              <w:left w:val="nil"/>
              <w:bottom w:val="single" w:sz="4" w:space="0" w:color="auto"/>
              <w:right w:val="nil"/>
            </w:tcBorders>
            <w:shd w:val="clear" w:color="auto" w:fill="auto"/>
            <w:noWrap/>
            <w:vAlign w:val="center"/>
            <w:hideMark/>
          </w:tcPr>
          <w:p w14:paraId="430F96CC"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2023 OS</w:t>
            </w:r>
          </w:p>
        </w:tc>
        <w:tc>
          <w:tcPr>
            <w:tcW w:w="506" w:type="pct"/>
            <w:tcBorders>
              <w:top w:val="single" w:sz="4" w:space="0" w:color="auto"/>
              <w:left w:val="nil"/>
              <w:bottom w:val="single" w:sz="4" w:space="0" w:color="auto"/>
              <w:right w:val="nil"/>
            </w:tcBorders>
            <w:shd w:val="clear" w:color="auto" w:fill="auto"/>
            <w:noWrap/>
            <w:vAlign w:val="center"/>
            <w:hideMark/>
          </w:tcPr>
          <w:p w14:paraId="4818DAAA"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2024 N</w:t>
            </w:r>
          </w:p>
        </w:tc>
        <w:tc>
          <w:tcPr>
            <w:tcW w:w="506" w:type="pct"/>
            <w:tcBorders>
              <w:top w:val="single" w:sz="4" w:space="0" w:color="auto"/>
              <w:left w:val="nil"/>
              <w:bottom w:val="single" w:sz="4" w:space="0" w:color="auto"/>
              <w:right w:val="nil"/>
            </w:tcBorders>
            <w:shd w:val="clear" w:color="auto" w:fill="auto"/>
            <w:noWrap/>
            <w:vAlign w:val="center"/>
            <w:hideMark/>
          </w:tcPr>
          <w:p w14:paraId="7C897B54"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2025 N</w:t>
            </w:r>
          </w:p>
        </w:tc>
        <w:tc>
          <w:tcPr>
            <w:tcW w:w="506" w:type="pct"/>
            <w:tcBorders>
              <w:top w:val="single" w:sz="4" w:space="0" w:color="auto"/>
              <w:left w:val="nil"/>
              <w:bottom w:val="single" w:sz="4" w:space="0" w:color="auto"/>
              <w:right w:val="nil"/>
            </w:tcBorders>
            <w:shd w:val="clear" w:color="auto" w:fill="auto"/>
            <w:noWrap/>
            <w:vAlign w:val="center"/>
            <w:hideMark/>
          </w:tcPr>
          <w:p w14:paraId="414D41F9"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2026 N</w:t>
            </w:r>
          </w:p>
        </w:tc>
      </w:tr>
      <w:tr w:rsidR="00E64517" w:rsidRPr="00EF0FC0" w14:paraId="55DD5F5D" w14:textId="77777777" w:rsidTr="00B63F1A">
        <w:trPr>
          <w:trHeight w:val="289"/>
        </w:trPr>
        <w:tc>
          <w:tcPr>
            <w:tcW w:w="1459" w:type="pct"/>
            <w:tcBorders>
              <w:top w:val="nil"/>
              <w:left w:val="nil"/>
              <w:bottom w:val="nil"/>
              <w:right w:val="nil"/>
            </w:tcBorders>
            <w:shd w:val="clear" w:color="auto" w:fill="auto"/>
            <w:noWrap/>
            <w:vAlign w:val="center"/>
            <w:hideMark/>
          </w:tcPr>
          <w:p w14:paraId="3A8353AE" w14:textId="77777777" w:rsidR="00E64517" w:rsidRPr="00EF0FC0" w:rsidRDefault="00E64517" w:rsidP="00B63F1A">
            <w:pPr>
              <w:spacing w:after="0" w:line="240" w:lineRule="auto"/>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Spolu</w:t>
            </w:r>
          </w:p>
        </w:tc>
        <w:tc>
          <w:tcPr>
            <w:tcW w:w="506" w:type="pct"/>
            <w:tcBorders>
              <w:top w:val="nil"/>
              <w:left w:val="nil"/>
              <w:bottom w:val="nil"/>
              <w:right w:val="nil"/>
            </w:tcBorders>
            <w:shd w:val="clear" w:color="auto" w:fill="auto"/>
            <w:noWrap/>
            <w:vAlign w:val="center"/>
            <w:hideMark/>
          </w:tcPr>
          <w:p w14:paraId="5B2E17F2"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7 426 041</w:t>
            </w:r>
          </w:p>
        </w:tc>
        <w:tc>
          <w:tcPr>
            <w:tcW w:w="506" w:type="pct"/>
            <w:tcBorders>
              <w:top w:val="nil"/>
              <w:left w:val="nil"/>
              <w:bottom w:val="nil"/>
              <w:right w:val="nil"/>
            </w:tcBorders>
            <w:shd w:val="clear" w:color="auto" w:fill="auto"/>
            <w:noWrap/>
            <w:vAlign w:val="center"/>
            <w:hideMark/>
          </w:tcPr>
          <w:p w14:paraId="125981AC"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8 356 574</w:t>
            </w:r>
          </w:p>
        </w:tc>
        <w:tc>
          <w:tcPr>
            <w:tcW w:w="506" w:type="pct"/>
            <w:tcBorders>
              <w:top w:val="nil"/>
              <w:left w:val="nil"/>
              <w:bottom w:val="nil"/>
              <w:right w:val="nil"/>
            </w:tcBorders>
            <w:shd w:val="clear" w:color="auto" w:fill="auto"/>
            <w:noWrap/>
            <w:vAlign w:val="center"/>
            <w:hideMark/>
          </w:tcPr>
          <w:p w14:paraId="0ED06666"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6 770 126</w:t>
            </w:r>
          </w:p>
        </w:tc>
        <w:tc>
          <w:tcPr>
            <w:tcW w:w="506" w:type="pct"/>
            <w:tcBorders>
              <w:top w:val="nil"/>
              <w:left w:val="nil"/>
              <w:bottom w:val="nil"/>
              <w:right w:val="nil"/>
            </w:tcBorders>
            <w:shd w:val="clear" w:color="auto" w:fill="auto"/>
            <w:noWrap/>
            <w:vAlign w:val="center"/>
            <w:hideMark/>
          </w:tcPr>
          <w:p w14:paraId="6BF51265"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9 141 699</w:t>
            </w:r>
          </w:p>
        </w:tc>
        <w:tc>
          <w:tcPr>
            <w:tcW w:w="506" w:type="pct"/>
            <w:tcBorders>
              <w:top w:val="nil"/>
              <w:left w:val="nil"/>
              <w:bottom w:val="nil"/>
              <w:right w:val="nil"/>
            </w:tcBorders>
            <w:shd w:val="clear" w:color="auto" w:fill="auto"/>
            <w:noWrap/>
            <w:vAlign w:val="center"/>
            <w:hideMark/>
          </w:tcPr>
          <w:p w14:paraId="33CFA780"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8 094 694</w:t>
            </w:r>
          </w:p>
        </w:tc>
        <w:tc>
          <w:tcPr>
            <w:tcW w:w="506" w:type="pct"/>
            <w:tcBorders>
              <w:top w:val="nil"/>
              <w:left w:val="nil"/>
              <w:bottom w:val="nil"/>
              <w:right w:val="nil"/>
            </w:tcBorders>
            <w:shd w:val="clear" w:color="auto" w:fill="auto"/>
            <w:noWrap/>
            <w:vAlign w:val="center"/>
            <w:hideMark/>
          </w:tcPr>
          <w:p w14:paraId="4059A840"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8 499 167</w:t>
            </w:r>
          </w:p>
        </w:tc>
        <w:tc>
          <w:tcPr>
            <w:tcW w:w="506" w:type="pct"/>
            <w:tcBorders>
              <w:top w:val="nil"/>
              <w:left w:val="nil"/>
              <w:bottom w:val="nil"/>
              <w:right w:val="nil"/>
            </w:tcBorders>
            <w:shd w:val="clear" w:color="auto" w:fill="auto"/>
            <w:noWrap/>
            <w:vAlign w:val="center"/>
            <w:hideMark/>
          </w:tcPr>
          <w:p w14:paraId="4A98756B"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8 623 464</w:t>
            </w:r>
          </w:p>
        </w:tc>
      </w:tr>
      <w:tr w:rsidR="00E64517" w:rsidRPr="00EF0FC0" w14:paraId="0C929857" w14:textId="77777777" w:rsidTr="00B63F1A">
        <w:trPr>
          <w:trHeight w:val="289"/>
        </w:trPr>
        <w:tc>
          <w:tcPr>
            <w:tcW w:w="1459" w:type="pct"/>
            <w:tcBorders>
              <w:top w:val="nil"/>
              <w:left w:val="nil"/>
              <w:bottom w:val="nil"/>
              <w:right w:val="nil"/>
            </w:tcBorders>
            <w:shd w:val="clear" w:color="auto" w:fill="auto"/>
            <w:noWrap/>
            <w:vAlign w:val="center"/>
            <w:hideMark/>
          </w:tcPr>
          <w:p w14:paraId="28A0564B" w14:textId="77777777" w:rsidR="00E64517" w:rsidRPr="00EF0FC0" w:rsidRDefault="00E64517" w:rsidP="00B63F1A">
            <w:pPr>
              <w:spacing w:after="0" w:line="240" w:lineRule="auto"/>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Nedaňové príjmy</w:t>
            </w:r>
          </w:p>
        </w:tc>
        <w:tc>
          <w:tcPr>
            <w:tcW w:w="506" w:type="pct"/>
            <w:tcBorders>
              <w:top w:val="nil"/>
              <w:left w:val="nil"/>
              <w:bottom w:val="nil"/>
              <w:right w:val="nil"/>
            </w:tcBorders>
            <w:shd w:val="clear" w:color="auto" w:fill="auto"/>
            <w:noWrap/>
            <w:vAlign w:val="center"/>
            <w:hideMark/>
          </w:tcPr>
          <w:p w14:paraId="2A1B371E"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3 536 962</w:t>
            </w:r>
          </w:p>
        </w:tc>
        <w:tc>
          <w:tcPr>
            <w:tcW w:w="506" w:type="pct"/>
            <w:tcBorders>
              <w:top w:val="nil"/>
              <w:left w:val="nil"/>
              <w:bottom w:val="nil"/>
              <w:right w:val="nil"/>
            </w:tcBorders>
            <w:shd w:val="clear" w:color="auto" w:fill="auto"/>
            <w:noWrap/>
            <w:vAlign w:val="center"/>
            <w:hideMark/>
          </w:tcPr>
          <w:p w14:paraId="711E3264"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3 766 505</w:t>
            </w:r>
          </w:p>
        </w:tc>
        <w:tc>
          <w:tcPr>
            <w:tcW w:w="506" w:type="pct"/>
            <w:tcBorders>
              <w:top w:val="nil"/>
              <w:left w:val="nil"/>
              <w:bottom w:val="nil"/>
              <w:right w:val="nil"/>
            </w:tcBorders>
            <w:shd w:val="clear" w:color="auto" w:fill="auto"/>
            <w:noWrap/>
            <w:vAlign w:val="center"/>
            <w:hideMark/>
          </w:tcPr>
          <w:p w14:paraId="2E8024E2"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3 975 963</w:t>
            </w:r>
          </w:p>
        </w:tc>
        <w:tc>
          <w:tcPr>
            <w:tcW w:w="506" w:type="pct"/>
            <w:tcBorders>
              <w:top w:val="nil"/>
              <w:left w:val="nil"/>
              <w:bottom w:val="nil"/>
              <w:right w:val="nil"/>
            </w:tcBorders>
            <w:shd w:val="clear" w:color="auto" w:fill="auto"/>
            <w:noWrap/>
            <w:vAlign w:val="center"/>
            <w:hideMark/>
          </w:tcPr>
          <w:p w14:paraId="0513C401"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4 097 123</w:t>
            </w:r>
          </w:p>
        </w:tc>
        <w:tc>
          <w:tcPr>
            <w:tcW w:w="506" w:type="pct"/>
            <w:tcBorders>
              <w:top w:val="nil"/>
              <w:left w:val="nil"/>
              <w:bottom w:val="nil"/>
              <w:right w:val="nil"/>
            </w:tcBorders>
            <w:shd w:val="clear" w:color="auto" w:fill="auto"/>
            <w:noWrap/>
            <w:vAlign w:val="center"/>
            <w:hideMark/>
          </w:tcPr>
          <w:p w14:paraId="6252FBEE"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4 958 584</w:t>
            </w:r>
          </w:p>
        </w:tc>
        <w:tc>
          <w:tcPr>
            <w:tcW w:w="506" w:type="pct"/>
            <w:tcBorders>
              <w:top w:val="nil"/>
              <w:left w:val="nil"/>
              <w:bottom w:val="nil"/>
              <w:right w:val="nil"/>
            </w:tcBorders>
            <w:shd w:val="clear" w:color="auto" w:fill="auto"/>
            <w:noWrap/>
            <w:vAlign w:val="center"/>
            <w:hideMark/>
          </w:tcPr>
          <w:p w14:paraId="2497C1B0"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5 116 385</w:t>
            </w:r>
          </w:p>
        </w:tc>
        <w:tc>
          <w:tcPr>
            <w:tcW w:w="506" w:type="pct"/>
            <w:tcBorders>
              <w:top w:val="nil"/>
              <w:left w:val="nil"/>
              <w:bottom w:val="nil"/>
              <w:right w:val="nil"/>
            </w:tcBorders>
            <w:shd w:val="clear" w:color="auto" w:fill="auto"/>
            <w:noWrap/>
            <w:vAlign w:val="center"/>
            <w:hideMark/>
          </w:tcPr>
          <w:p w14:paraId="6CEE49D0"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5 282 786</w:t>
            </w:r>
          </w:p>
        </w:tc>
      </w:tr>
      <w:tr w:rsidR="00E64517" w:rsidRPr="00EF0FC0" w14:paraId="28958732" w14:textId="77777777" w:rsidTr="00B63F1A">
        <w:trPr>
          <w:trHeight w:val="289"/>
        </w:trPr>
        <w:tc>
          <w:tcPr>
            <w:tcW w:w="1459" w:type="pct"/>
            <w:tcBorders>
              <w:top w:val="nil"/>
              <w:left w:val="nil"/>
              <w:bottom w:val="single" w:sz="4" w:space="0" w:color="auto"/>
              <w:right w:val="nil"/>
            </w:tcBorders>
            <w:shd w:val="clear" w:color="auto" w:fill="auto"/>
            <w:noWrap/>
            <w:vAlign w:val="center"/>
            <w:hideMark/>
          </w:tcPr>
          <w:p w14:paraId="6EEB0B1C" w14:textId="77777777" w:rsidR="00E64517" w:rsidRPr="00EF0FC0" w:rsidRDefault="00E64517" w:rsidP="00B63F1A">
            <w:pPr>
              <w:spacing w:after="0" w:line="240" w:lineRule="auto"/>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Granty a transfery</w:t>
            </w:r>
          </w:p>
        </w:tc>
        <w:tc>
          <w:tcPr>
            <w:tcW w:w="506" w:type="pct"/>
            <w:tcBorders>
              <w:top w:val="nil"/>
              <w:left w:val="nil"/>
              <w:bottom w:val="single" w:sz="4" w:space="0" w:color="auto"/>
              <w:right w:val="nil"/>
            </w:tcBorders>
            <w:shd w:val="clear" w:color="auto" w:fill="auto"/>
            <w:noWrap/>
            <w:vAlign w:val="center"/>
            <w:hideMark/>
          </w:tcPr>
          <w:p w14:paraId="4A161247"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3 889 079</w:t>
            </w:r>
          </w:p>
        </w:tc>
        <w:tc>
          <w:tcPr>
            <w:tcW w:w="506" w:type="pct"/>
            <w:tcBorders>
              <w:top w:val="nil"/>
              <w:left w:val="nil"/>
              <w:bottom w:val="single" w:sz="4" w:space="0" w:color="auto"/>
              <w:right w:val="nil"/>
            </w:tcBorders>
            <w:shd w:val="clear" w:color="auto" w:fill="auto"/>
            <w:noWrap/>
            <w:vAlign w:val="center"/>
            <w:hideMark/>
          </w:tcPr>
          <w:p w14:paraId="4BC81737"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4 590 069</w:t>
            </w:r>
          </w:p>
        </w:tc>
        <w:tc>
          <w:tcPr>
            <w:tcW w:w="506" w:type="pct"/>
            <w:tcBorders>
              <w:top w:val="nil"/>
              <w:left w:val="nil"/>
              <w:bottom w:val="single" w:sz="4" w:space="0" w:color="auto"/>
              <w:right w:val="nil"/>
            </w:tcBorders>
            <w:shd w:val="clear" w:color="auto" w:fill="auto"/>
            <w:noWrap/>
            <w:vAlign w:val="center"/>
            <w:hideMark/>
          </w:tcPr>
          <w:p w14:paraId="562F889F"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2 794 163</w:t>
            </w:r>
          </w:p>
        </w:tc>
        <w:tc>
          <w:tcPr>
            <w:tcW w:w="506" w:type="pct"/>
            <w:tcBorders>
              <w:top w:val="nil"/>
              <w:left w:val="nil"/>
              <w:bottom w:val="single" w:sz="4" w:space="0" w:color="auto"/>
              <w:right w:val="nil"/>
            </w:tcBorders>
            <w:shd w:val="clear" w:color="auto" w:fill="auto"/>
            <w:noWrap/>
            <w:vAlign w:val="center"/>
            <w:hideMark/>
          </w:tcPr>
          <w:p w14:paraId="78992E53"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5 044 576</w:t>
            </w:r>
          </w:p>
        </w:tc>
        <w:tc>
          <w:tcPr>
            <w:tcW w:w="506" w:type="pct"/>
            <w:tcBorders>
              <w:top w:val="nil"/>
              <w:left w:val="nil"/>
              <w:bottom w:val="single" w:sz="4" w:space="0" w:color="auto"/>
              <w:right w:val="nil"/>
            </w:tcBorders>
            <w:shd w:val="clear" w:color="auto" w:fill="auto"/>
            <w:noWrap/>
            <w:vAlign w:val="center"/>
            <w:hideMark/>
          </w:tcPr>
          <w:p w14:paraId="27931BF1"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3 136 110</w:t>
            </w:r>
          </w:p>
        </w:tc>
        <w:tc>
          <w:tcPr>
            <w:tcW w:w="506" w:type="pct"/>
            <w:tcBorders>
              <w:top w:val="nil"/>
              <w:left w:val="nil"/>
              <w:bottom w:val="single" w:sz="4" w:space="0" w:color="auto"/>
              <w:right w:val="nil"/>
            </w:tcBorders>
            <w:shd w:val="clear" w:color="auto" w:fill="auto"/>
            <w:noWrap/>
            <w:vAlign w:val="center"/>
            <w:hideMark/>
          </w:tcPr>
          <w:p w14:paraId="51A3B4B5"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3 382 782</w:t>
            </w:r>
          </w:p>
        </w:tc>
        <w:tc>
          <w:tcPr>
            <w:tcW w:w="506" w:type="pct"/>
            <w:tcBorders>
              <w:top w:val="nil"/>
              <w:left w:val="nil"/>
              <w:bottom w:val="single" w:sz="4" w:space="0" w:color="auto"/>
              <w:right w:val="nil"/>
            </w:tcBorders>
            <w:shd w:val="clear" w:color="auto" w:fill="auto"/>
            <w:noWrap/>
            <w:vAlign w:val="center"/>
            <w:hideMark/>
          </w:tcPr>
          <w:p w14:paraId="10585A86"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3 340 678</w:t>
            </w:r>
          </w:p>
        </w:tc>
      </w:tr>
    </w:tbl>
    <w:p w14:paraId="0B704BB4" w14:textId="77777777" w:rsidR="00E64517" w:rsidRPr="00192C79" w:rsidRDefault="00E64517" w:rsidP="00E64517">
      <w:pPr>
        <w:spacing w:after="0"/>
        <w:rPr>
          <w:rFonts w:ascii="Times New Roman" w:eastAsia="Calibri" w:hAnsi="Times New Roman" w:cs="Times New Roman"/>
          <w:i/>
        </w:rPr>
      </w:pPr>
      <w:r w:rsidRPr="00192C79">
        <w:rPr>
          <w:rFonts w:ascii="Times New Roman" w:eastAsia="Calibri" w:hAnsi="Times New Roman" w:cs="Times New Roman"/>
          <w:sz w:val="16"/>
          <w:szCs w:val="16"/>
        </w:rPr>
        <w:t xml:space="preserve">     </w:t>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i/>
          <w:sz w:val="16"/>
          <w:szCs w:val="16"/>
        </w:rPr>
        <w:t xml:space="preserve">     Zdroj: MF SR</w:t>
      </w:r>
    </w:p>
    <w:p w14:paraId="6E14F741" w14:textId="77777777" w:rsidR="00E64517" w:rsidRPr="00192C79" w:rsidRDefault="00E64517" w:rsidP="00E64517">
      <w:pPr>
        <w:spacing w:after="0"/>
        <w:jc w:val="both"/>
        <w:rPr>
          <w:rFonts w:ascii="Times New Roman" w:eastAsia="Calibri" w:hAnsi="Times New Roman" w:cs="Times New Roman"/>
          <w:sz w:val="24"/>
          <w:szCs w:val="24"/>
        </w:rPr>
      </w:pPr>
    </w:p>
    <w:p w14:paraId="355E61AA" w14:textId="77777777" w:rsidR="00E64517" w:rsidRPr="00192C79" w:rsidRDefault="00E64517" w:rsidP="00E64517">
      <w:pPr>
        <w:spacing w:after="0"/>
        <w:jc w:val="both"/>
        <w:rPr>
          <w:rFonts w:ascii="Times New Roman" w:eastAsia="Calibri" w:hAnsi="Times New Roman" w:cs="Times New Roman"/>
          <w:sz w:val="24"/>
          <w:szCs w:val="24"/>
        </w:rPr>
      </w:pPr>
      <w:r w:rsidRPr="00192C79">
        <w:rPr>
          <w:rFonts w:ascii="Times New Roman" w:eastAsia="Calibri" w:hAnsi="Times New Roman" w:cs="Times New Roman"/>
          <w:sz w:val="24"/>
          <w:szCs w:val="24"/>
        </w:rPr>
        <w:lastRenderedPageBreak/>
        <w:t>Vývoj nedaňových príjmov ostatných subjektov ústrednej sprá</w:t>
      </w:r>
      <w:r>
        <w:rPr>
          <w:rFonts w:ascii="Times New Roman" w:eastAsia="Calibri" w:hAnsi="Times New Roman" w:cs="Times New Roman"/>
          <w:sz w:val="24"/>
          <w:szCs w:val="24"/>
        </w:rPr>
        <w:t>vy zobrazuje nasledujúca tabuľka.</w:t>
      </w:r>
    </w:p>
    <w:p w14:paraId="00D583B7" w14:textId="77777777" w:rsidR="00E64517" w:rsidRPr="00192C79" w:rsidRDefault="00E64517" w:rsidP="00E64517">
      <w:pPr>
        <w:spacing w:after="0"/>
        <w:rPr>
          <w:rFonts w:ascii="Times New Roman" w:eastAsia="Calibri" w:hAnsi="Times New Roman" w:cs="Times New Roman"/>
          <w:sz w:val="24"/>
          <w:szCs w:val="24"/>
        </w:rPr>
      </w:pPr>
    </w:p>
    <w:p w14:paraId="1A2AA580" w14:textId="4E6D3E15" w:rsidR="00E64517" w:rsidRPr="00192C79" w:rsidRDefault="00E64517" w:rsidP="00E64517">
      <w:pPr>
        <w:pStyle w:val="Popis"/>
        <w:keepNext/>
        <w:spacing w:after="0"/>
        <w:rPr>
          <w:rFonts w:ascii="Times New Roman" w:hAnsi="Times New Roman" w:cs="Times New Roman"/>
          <w:b/>
          <w:i w:val="0"/>
          <w:color w:val="5B9BD5" w:themeColor="accent1"/>
          <w:sz w:val="20"/>
          <w:szCs w:val="20"/>
        </w:rPr>
      </w:pPr>
      <w:bookmarkStart w:id="132" w:name="_Toc84845262"/>
      <w:bookmarkStart w:id="133" w:name="_Toc123813907"/>
      <w:bookmarkStart w:id="134" w:name="_Toc153013037"/>
      <w:r w:rsidRPr="00192C79">
        <w:rPr>
          <w:rFonts w:ascii="Times New Roman" w:hAnsi="Times New Roman" w:cs="Times New Roman"/>
          <w:b/>
          <w:i w:val="0"/>
          <w:color w:val="5B9BD5" w:themeColor="accent1"/>
          <w:sz w:val="20"/>
          <w:szCs w:val="20"/>
        </w:rPr>
        <w:t xml:space="preserve">Tabuľka </w:t>
      </w:r>
      <w:r w:rsidRPr="00192C79">
        <w:rPr>
          <w:rFonts w:ascii="Times New Roman" w:hAnsi="Times New Roman" w:cs="Times New Roman"/>
          <w:b/>
          <w:i w:val="0"/>
          <w:color w:val="5B9BD5" w:themeColor="accent1"/>
          <w:sz w:val="20"/>
          <w:szCs w:val="20"/>
        </w:rPr>
        <w:fldChar w:fldCharType="begin"/>
      </w:r>
      <w:r w:rsidRPr="00192C79">
        <w:rPr>
          <w:rFonts w:ascii="Times New Roman" w:hAnsi="Times New Roman" w:cs="Times New Roman"/>
          <w:b/>
          <w:i w:val="0"/>
          <w:color w:val="5B9BD5" w:themeColor="accent1"/>
          <w:sz w:val="20"/>
          <w:szCs w:val="20"/>
        </w:rPr>
        <w:instrText xml:space="preserve"> SEQ Tabuľka \* ARABIC </w:instrText>
      </w:r>
      <w:r w:rsidRPr="00192C79">
        <w:rPr>
          <w:rFonts w:ascii="Times New Roman" w:hAnsi="Times New Roman" w:cs="Times New Roman"/>
          <w:b/>
          <w:i w:val="0"/>
          <w:color w:val="5B9BD5" w:themeColor="accent1"/>
          <w:sz w:val="20"/>
          <w:szCs w:val="20"/>
        </w:rPr>
        <w:fldChar w:fldCharType="separate"/>
      </w:r>
      <w:r w:rsidR="003D5A3A">
        <w:rPr>
          <w:rFonts w:ascii="Times New Roman" w:hAnsi="Times New Roman" w:cs="Times New Roman"/>
          <w:b/>
          <w:i w:val="0"/>
          <w:noProof/>
          <w:color w:val="5B9BD5" w:themeColor="accent1"/>
          <w:sz w:val="20"/>
          <w:szCs w:val="20"/>
        </w:rPr>
        <w:t>39</w:t>
      </w:r>
      <w:r w:rsidRPr="00192C79">
        <w:rPr>
          <w:rFonts w:ascii="Times New Roman" w:hAnsi="Times New Roman" w:cs="Times New Roman"/>
          <w:b/>
          <w:i w:val="0"/>
          <w:color w:val="5B9BD5" w:themeColor="accent1"/>
          <w:sz w:val="20"/>
          <w:szCs w:val="20"/>
        </w:rPr>
        <w:fldChar w:fldCharType="end"/>
      </w:r>
      <w:r w:rsidRPr="00192C79">
        <w:rPr>
          <w:rFonts w:ascii="Times New Roman" w:hAnsi="Times New Roman" w:cs="Times New Roman"/>
          <w:b/>
          <w:i w:val="0"/>
          <w:color w:val="5B9BD5" w:themeColor="accent1"/>
          <w:sz w:val="20"/>
          <w:szCs w:val="20"/>
        </w:rPr>
        <w:t xml:space="preserve"> - Nedaňové príjmy ostatných subjektov ústrednej správy</w:t>
      </w:r>
      <w:bookmarkEnd w:id="132"/>
      <w:bookmarkEnd w:id="133"/>
      <w:bookmarkEnd w:id="134"/>
    </w:p>
    <w:tbl>
      <w:tblPr>
        <w:tblW w:w="4984" w:type="pct"/>
        <w:tblLayout w:type="fixed"/>
        <w:tblCellMar>
          <w:left w:w="70" w:type="dxa"/>
          <w:right w:w="70" w:type="dxa"/>
        </w:tblCellMar>
        <w:tblLook w:val="04A0" w:firstRow="1" w:lastRow="0" w:firstColumn="1" w:lastColumn="0" w:noHBand="0" w:noVBand="1"/>
      </w:tblPr>
      <w:tblGrid>
        <w:gridCol w:w="3161"/>
        <w:gridCol w:w="843"/>
        <w:gridCol w:w="843"/>
        <w:gridCol w:w="841"/>
        <w:gridCol w:w="841"/>
        <w:gridCol w:w="839"/>
        <w:gridCol w:w="839"/>
        <w:gridCol w:w="836"/>
      </w:tblGrid>
      <w:tr w:rsidR="00E64517" w:rsidRPr="00EF0FC0" w14:paraId="098BFE3F" w14:textId="77777777" w:rsidTr="00B63F1A">
        <w:trPr>
          <w:trHeight w:val="289"/>
        </w:trPr>
        <w:tc>
          <w:tcPr>
            <w:tcW w:w="1748" w:type="pct"/>
            <w:tcBorders>
              <w:top w:val="single" w:sz="4" w:space="0" w:color="auto"/>
              <w:left w:val="nil"/>
              <w:bottom w:val="single" w:sz="4" w:space="0" w:color="auto"/>
              <w:right w:val="nil"/>
            </w:tcBorders>
            <w:shd w:val="clear" w:color="auto" w:fill="auto"/>
            <w:noWrap/>
            <w:vAlign w:val="center"/>
            <w:hideMark/>
          </w:tcPr>
          <w:p w14:paraId="711BE4CF" w14:textId="77777777" w:rsidR="00E64517" w:rsidRPr="00EF0FC0" w:rsidRDefault="00E64517" w:rsidP="00B63F1A">
            <w:pPr>
              <w:spacing w:after="0" w:line="240" w:lineRule="auto"/>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 v tis. eur</w:t>
            </w:r>
          </w:p>
        </w:tc>
        <w:tc>
          <w:tcPr>
            <w:tcW w:w="466" w:type="pct"/>
            <w:tcBorders>
              <w:top w:val="single" w:sz="4" w:space="0" w:color="auto"/>
              <w:left w:val="nil"/>
              <w:bottom w:val="single" w:sz="4" w:space="0" w:color="auto"/>
              <w:right w:val="nil"/>
            </w:tcBorders>
            <w:shd w:val="clear" w:color="auto" w:fill="auto"/>
            <w:noWrap/>
            <w:vAlign w:val="center"/>
            <w:hideMark/>
          </w:tcPr>
          <w:p w14:paraId="5625BF37"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2021 S</w:t>
            </w:r>
          </w:p>
        </w:tc>
        <w:tc>
          <w:tcPr>
            <w:tcW w:w="466" w:type="pct"/>
            <w:tcBorders>
              <w:top w:val="single" w:sz="4" w:space="0" w:color="auto"/>
              <w:left w:val="nil"/>
              <w:bottom w:val="single" w:sz="4" w:space="0" w:color="auto"/>
              <w:right w:val="nil"/>
            </w:tcBorders>
            <w:shd w:val="clear" w:color="auto" w:fill="auto"/>
            <w:noWrap/>
            <w:vAlign w:val="center"/>
            <w:hideMark/>
          </w:tcPr>
          <w:p w14:paraId="01257355"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2022 S</w:t>
            </w:r>
          </w:p>
        </w:tc>
        <w:tc>
          <w:tcPr>
            <w:tcW w:w="465" w:type="pct"/>
            <w:tcBorders>
              <w:top w:val="single" w:sz="4" w:space="0" w:color="auto"/>
              <w:left w:val="nil"/>
              <w:bottom w:val="single" w:sz="4" w:space="0" w:color="auto"/>
              <w:right w:val="nil"/>
            </w:tcBorders>
            <w:shd w:val="clear" w:color="auto" w:fill="auto"/>
            <w:noWrap/>
            <w:vAlign w:val="center"/>
            <w:hideMark/>
          </w:tcPr>
          <w:p w14:paraId="14C628E5"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2023 R</w:t>
            </w:r>
          </w:p>
        </w:tc>
        <w:tc>
          <w:tcPr>
            <w:tcW w:w="465" w:type="pct"/>
            <w:tcBorders>
              <w:top w:val="single" w:sz="4" w:space="0" w:color="auto"/>
              <w:left w:val="nil"/>
              <w:bottom w:val="single" w:sz="4" w:space="0" w:color="auto"/>
              <w:right w:val="nil"/>
            </w:tcBorders>
            <w:shd w:val="clear" w:color="auto" w:fill="auto"/>
            <w:noWrap/>
            <w:vAlign w:val="center"/>
            <w:hideMark/>
          </w:tcPr>
          <w:p w14:paraId="111BA8B2"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2023 OS</w:t>
            </w:r>
          </w:p>
        </w:tc>
        <w:tc>
          <w:tcPr>
            <w:tcW w:w="464" w:type="pct"/>
            <w:tcBorders>
              <w:top w:val="single" w:sz="4" w:space="0" w:color="auto"/>
              <w:left w:val="nil"/>
              <w:bottom w:val="single" w:sz="4" w:space="0" w:color="auto"/>
              <w:right w:val="nil"/>
            </w:tcBorders>
            <w:shd w:val="clear" w:color="auto" w:fill="auto"/>
            <w:noWrap/>
            <w:vAlign w:val="center"/>
            <w:hideMark/>
          </w:tcPr>
          <w:p w14:paraId="6D2368ED"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2024 N</w:t>
            </w:r>
          </w:p>
        </w:tc>
        <w:tc>
          <w:tcPr>
            <w:tcW w:w="464" w:type="pct"/>
            <w:tcBorders>
              <w:top w:val="single" w:sz="4" w:space="0" w:color="auto"/>
              <w:left w:val="nil"/>
              <w:bottom w:val="single" w:sz="4" w:space="0" w:color="auto"/>
              <w:right w:val="nil"/>
            </w:tcBorders>
            <w:shd w:val="clear" w:color="auto" w:fill="auto"/>
            <w:noWrap/>
            <w:vAlign w:val="center"/>
            <w:hideMark/>
          </w:tcPr>
          <w:p w14:paraId="027D2D65"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2025 N</w:t>
            </w:r>
          </w:p>
        </w:tc>
        <w:tc>
          <w:tcPr>
            <w:tcW w:w="463" w:type="pct"/>
            <w:tcBorders>
              <w:top w:val="single" w:sz="4" w:space="0" w:color="auto"/>
              <w:left w:val="nil"/>
              <w:bottom w:val="single" w:sz="4" w:space="0" w:color="auto"/>
              <w:right w:val="nil"/>
            </w:tcBorders>
            <w:shd w:val="clear" w:color="auto" w:fill="auto"/>
            <w:noWrap/>
            <w:vAlign w:val="center"/>
            <w:hideMark/>
          </w:tcPr>
          <w:p w14:paraId="17433D1B"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2026 N</w:t>
            </w:r>
          </w:p>
        </w:tc>
      </w:tr>
      <w:tr w:rsidR="00E64517" w:rsidRPr="00EF0FC0" w14:paraId="1E35B38D" w14:textId="77777777" w:rsidTr="00B63F1A">
        <w:trPr>
          <w:trHeight w:val="289"/>
        </w:trPr>
        <w:tc>
          <w:tcPr>
            <w:tcW w:w="1748" w:type="pct"/>
            <w:tcBorders>
              <w:top w:val="nil"/>
              <w:left w:val="nil"/>
              <w:bottom w:val="nil"/>
              <w:right w:val="nil"/>
            </w:tcBorders>
            <w:shd w:val="clear" w:color="auto" w:fill="auto"/>
            <w:noWrap/>
            <w:vAlign w:val="center"/>
            <w:hideMark/>
          </w:tcPr>
          <w:p w14:paraId="5AA55B4D" w14:textId="77777777" w:rsidR="00E64517" w:rsidRPr="00EF0FC0" w:rsidRDefault="00E64517" w:rsidP="00B63F1A">
            <w:pPr>
              <w:spacing w:after="0" w:line="240" w:lineRule="auto"/>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Nedaňové príjmy</w:t>
            </w:r>
          </w:p>
        </w:tc>
        <w:tc>
          <w:tcPr>
            <w:tcW w:w="466" w:type="pct"/>
            <w:tcBorders>
              <w:top w:val="nil"/>
              <w:left w:val="nil"/>
              <w:bottom w:val="nil"/>
              <w:right w:val="nil"/>
            </w:tcBorders>
            <w:shd w:val="clear" w:color="auto" w:fill="auto"/>
            <w:noWrap/>
            <w:vAlign w:val="center"/>
            <w:hideMark/>
          </w:tcPr>
          <w:p w14:paraId="14AC7D74"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3 536 962</w:t>
            </w:r>
          </w:p>
        </w:tc>
        <w:tc>
          <w:tcPr>
            <w:tcW w:w="466" w:type="pct"/>
            <w:tcBorders>
              <w:top w:val="nil"/>
              <w:left w:val="nil"/>
              <w:bottom w:val="nil"/>
              <w:right w:val="nil"/>
            </w:tcBorders>
            <w:shd w:val="clear" w:color="auto" w:fill="auto"/>
            <w:noWrap/>
            <w:vAlign w:val="center"/>
            <w:hideMark/>
          </w:tcPr>
          <w:p w14:paraId="385594DF"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3 766 505</w:t>
            </w:r>
          </w:p>
        </w:tc>
        <w:tc>
          <w:tcPr>
            <w:tcW w:w="465" w:type="pct"/>
            <w:tcBorders>
              <w:top w:val="nil"/>
              <w:left w:val="nil"/>
              <w:bottom w:val="nil"/>
              <w:right w:val="nil"/>
            </w:tcBorders>
            <w:shd w:val="clear" w:color="auto" w:fill="auto"/>
            <w:noWrap/>
            <w:vAlign w:val="center"/>
            <w:hideMark/>
          </w:tcPr>
          <w:p w14:paraId="463CFEA9"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3 975 963</w:t>
            </w:r>
          </w:p>
        </w:tc>
        <w:tc>
          <w:tcPr>
            <w:tcW w:w="465" w:type="pct"/>
            <w:tcBorders>
              <w:top w:val="nil"/>
              <w:left w:val="nil"/>
              <w:bottom w:val="nil"/>
              <w:right w:val="nil"/>
            </w:tcBorders>
            <w:shd w:val="clear" w:color="auto" w:fill="auto"/>
            <w:noWrap/>
            <w:vAlign w:val="center"/>
            <w:hideMark/>
          </w:tcPr>
          <w:p w14:paraId="2D027675"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4 097 123</w:t>
            </w:r>
          </w:p>
        </w:tc>
        <w:tc>
          <w:tcPr>
            <w:tcW w:w="464" w:type="pct"/>
            <w:tcBorders>
              <w:top w:val="nil"/>
              <w:left w:val="nil"/>
              <w:bottom w:val="nil"/>
              <w:right w:val="nil"/>
            </w:tcBorders>
            <w:shd w:val="clear" w:color="auto" w:fill="auto"/>
            <w:noWrap/>
            <w:vAlign w:val="center"/>
            <w:hideMark/>
          </w:tcPr>
          <w:p w14:paraId="528730E8"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4 958 584</w:t>
            </w:r>
          </w:p>
        </w:tc>
        <w:tc>
          <w:tcPr>
            <w:tcW w:w="464" w:type="pct"/>
            <w:tcBorders>
              <w:top w:val="nil"/>
              <w:left w:val="nil"/>
              <w:bottom w:val="nil"/>
              <w:right w:val="nil"/>
            </w:tcBorders>
            <w:shd w:val="clear" w:color="auto" w:fill="auto"/>
            <w:noWrap/>
            <w:vAlign w:val="center"/>
            <w:hideMark/>
          </w:tcPr>
          <w:p w14:paraId="276C1C49"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5 116 385</w:t>
            </w:r>
          </w:p>
        </w:tc>
        <w:tc>
          <w:tcPr>
            <w:tcW w:w="463" w:type="pct"/>
            <w:tcBorders>
              <w:top w:val="nil"/>
              <w:left w:val="nil"/>
              <w:bottom w:val="nil"/>
              <w:right w:val="nil"/>
            </w:tcBorders>
            <w:shd w:val="clear" w:color="auto" w:fill="auto"/>
            <w:noWrap/>
            <w:vAlign w:val="center"/>
            <w:hideMark/>
          </w:tcPr>
          <w:p w14:paraId="7985D47D"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5 282 786</w:t>
            </w:r>
          </w:p>
        </w:tc>
      </w:tr>
      <w:tr w:rsidR="00E64517" w:rsidRPr="00EF0FC0" w14:paraId="3EAC232C" w14:textId="77777777" w:rsidTr="00B63F1A">
        <w:trPr>
          <w:trHeight w:val="289"/>
        </w:trPr>
        <w:tc>
          <w:tcPr>
            <w:tcW w:w="1748" w:type="pct"/>
            <w:tcBorders>
              <w:top w:val="nil"/>
              <w:left w:val="nil"/>
              <w:bottom w:val="nil"/>
              <w:right w:val="nil"/>
            </w:tcBorders>
            <w:shd w:val="clear" w:color="auto" w:fill="auto"/>
            <w:noWrap/>
            <w:vAlign w:val="center"/>
            <w:hideMark/>
          </w:tcPr>
          <w:p w14:paraId="0D35F0AF" w14:textId="77777777" w:rsidR="00E64517" w:rsidRPr="00EF0FC0" w:rsidRDefault="00E64517" w:rsidP="00B63F1A">
            <w:pPr>
              <w:spacing w:after="0" w:line="240" w:lineRule="auto"/>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Príjmy z podnikania a z vlastníctva majetku</w:t>
            </w:r>
          </w:p>
        </w:tc>
        <w:tc>
          <w:tcPr>
            <w:tcW w:w="466" w:type="pct"/>
            <w:tcBorders>
              <w:top w:val="nil"/>
              <w:left w:val="nil"/>
              <w:bottom w:val="nil"/>
              <w:right w:val="nil"/>
            </w:tcBorders>
            <w:shd w:val="clear" w:color="auto" w:fill="auto"/>
            <w:noWrap/>
            <w:vAlign w:val="center"/>
            <w:hideMark/>
          </w:tcPr>
          <w:p w14:paraId="695F0F7C"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172 640</w:t>
            </w:r>
          </w:p>
        </w:tc>
        <w:tc>
          <w:tcPr>
            <w:tcW w:w="466" w:type="pct"/>
            <w:tcBorders>
              <w:top w:val="nil"/>
              <w:left w:val="nil"/>
              <w:bottom w:val="nil"/>
              <w:right w:val="nil"/>
            </w:tcBorders>
            <w:shd w:val="clear" w:color="auto" w:fill="auto"/>
            <w:noWrap/>
            <w:vAlign w:val="center"/>
            <w:hideMark/>
          </w:tcPr>
          <w:p w14:paraId="7EE204CD"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144 680</w:t>
            </w:r>
          </w:p>
        </w:tc>
        <w:tc>
          <w:tcPr>
            <w:tcW w:w="465" w:type="pct"/>
            <w:tcBorders>
              <w:top w:val="nil"/>
              <w:left w:val="nil"/>
              <w:bottom w:val="nil"/>
              <w:right w:val="nil"/>
            </w:tcBorders>
            <w:shd w:val="clear" w:color="auto" w:fill="auto"/>
            <w:noWrap/>
            <w:vAlign w:val="center"/>
            <w:hideMark/>
          </w:tcPr>
          <w:p w14:paraId="3FDF16DF"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180 183</w:t>
            </w:r>
          </w:p>
        </w:tc>
        <w:tc>
          <w:tcPr>
            <w:tcW w:w="465" w:type="pct"/>
            <w:tcBorders>
              <w:top w:val="nil"/>
              <w:left w:val="nil"/>
              <w:bottom w:val="nil"/>
              <w:right w:val="nil"/>
            </w:tcBorders>
            <w:shd w:val="clear" w:color="auto" w:fill="auto"/>
            <w:noWrap/>
            <w:vAlign w:val="center"/>
            <w:hideMark/>
          </w:tcPr>
          <w:p w14:paraId="6C7D4027"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200 461</w:t>
            </w:r>
          </w:p>
        </w:tc>
        <w:tc>
          <w:tcPr>
            <w:tcW w:w="464" w:type="pct"/>
            <w:tcBorders>
              <w:top w:val="nil"/>
              <w:left w:val="nil"/>
              <w:bottom w:val="nil"/>
              <w:right w:val="nil"/>
            </w:tcBorders>
            <w:shd w:val="clear" w:color="auto" w:fill="auto"/>
            <w:noWrap/>
            <w:vAlign w:val="center"/>
            <w:hideMark/>
          </w:tcPr>
          <w:p w14:paraId="1C12FB87"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175 649</w:t>
            </w:r>
          </w:p>
        </w:tc>
        <w:tc>
          <w:tcPr>
            <w:tcW w:w="464" w:type="pct"/>
            <w:tcBorders>
              <w:top w:val="nil"/>
              <w:left w:val="nil"/>
              <w:bottom w:val="nil"/>
              <w:right w:val="nil"/>
            </w:tcBorders>
            <w:shd w:val="clear" w:color="auto" w:fill="auto"/>
            <w:noWrap/>
            <w:vAlign w:val="center"/>
            <w:hideMark/>
          </w:tcPr>
          <w:p w14:paraId="1F481820"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178 276</w:t>
            </w:r>
          </w:p>
        </w:tc>
        <w:tc>
          <w:tcPr>
            <w:tcW w:w="463" w:type="pct"/>
            <w:tcBorders>
              <w:top w:val="nil"/>
              <w:left w:val="nil"/>
              <w:bottom w:val="nil"/>
              <w:right w:val="nil"/>
            </w:tcBorders>
            <w:shd w:val="clear" w:color="auto" w:fill="auto"/>
            <w:noWrap/>
            <w:vAlign w:val="center"/>
            <w:hideMark/>
          </w:tcPr>
          <w:p w14:paraId="2BD2524D"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182 676</w:t>
            </w:r>
          </w:p>
        </w:tc>
      </w:tr>
      <w:tr w:rsidR="00E64517" w:rsidRPr="00EF0FC0" w14:paraId="3E8067C1" w14:textId="77777777" w:rsidTr="00B63F1A">
        <w:trPr>
          <w:trHeight w:val="289"/>
        </w:trPr>
        <w:tc>
          <w:tcPr>
            <w:tcW w:w="1748" w:type="pct"/>
            <w:tcBorders>
              <w:top w:val="nil"/>
              <w:left w:val="nil"/>
              <w:bottom w:val="nil"/>
              <w:right w:val="nil"/>
            </w:tcBorders>
            <w:shd w:val="clear" w:color="auto" w:fill="auto"/>
            <w:noWrap/>
            <w:vAlign w:val="center"/>
            <w:hideMark/>
          </w:tcPr>
          <w:p w14:paraId="6CCE2899" w14:textId="77777777" w:rsidR="00E64517" w:rsidRPr="00EF0FC0" w:rsidRDefault="00E64517" w:rsidP="00B63F1A">
            <w:pPr>
              <w:spacing w:after="0" w:line="240" w:lineRule="auto"/>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Administratívne poplatky a iné poplatky a platby</w:t>
            </w:r>
          </w:p>
        </w:tc>
        <w:tc>
          <w:tcPr>
            <w:tcW w:w="466" w:type="pct"/>
            <w:tcBorders>
              <w:top w:val="nil"/>
              <w:left w:val="nil"/>
              <w:bottom w:val="nil"/>
              <w:right w:val="nil"/>
            </w:tcBorders>
            <w:shd w:val="clear" w:color="auto" w:fill="auto"/>
            <w:noWrap/>
            <w:vAlign w:val="center"/>
            <w:hideMark/>
          </w:tcPr>
          <w:p w14:paraId="3BF858B6"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3 027 030</w:t>
            </w:r>
          </w:p>
        </w:tc>
        <w:tc>
          <w:tcPr>
            <w:tcW w:w="466" w:type="pct"/>
            <w:tcBorders>
              <w:top w:val="nil"/>
              <w:left w:val="nil"/>
              <w:bottom w:val="nil"/>
              <w:right w:val="nil"/>
            </w:tcBorders>
            <w:shd w:val="clear" w:color="auto" w:fill="auto"/>
            <w:noWrap/>
            <w:vAlign w:val="center"/>
            <w:hideMark/>
          </w:tcPr>
          <w:p w14:paraId="417023F2"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3 335 645</w:t>
            </w:r>
          </w:p>
        </w:tc>
        <w:tc>
          <w:tcPr>
            <w:tcW w:w="465" w:type="pct"/>
            <w:tcBorders>
              <w:top w:val="nil"/>
              <w:left w:val="nil"/>
              <w:bottom w:val="nil"/>
              <w:right w:val="nil"/>
            </w:tcBorders>
            <w:shd w:val="clear" w:color="auto" w:fill="auto"/>
            <w:noWrap/>
            <w:vAlign w:val="center"/>
            <w:hideMark/>
          </w:tcPr>
          <w:p w14:paraId="061FCEFD"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3 425 868</w:t>
            </w:r>
          </w:p>
        </w:tc>
        <w:tc>
          <w:tcPr>
            <w:tcW w:w="465" w:type="pct"/>
            <w:tcBorders>
              <w:top w:val="nil"/>
              <w:left w:val="nil"/>
              <w:bottom w:val="nil"/>
              <w:right w:val="nil"/>
            </w:tcBorders>
            <w:shd w:val="clear" w:color="auto" w:fill="auto"/>
            <w:noWrap/>
            <w:vAlign w:val="center"/>
            <w:hideMark/>
          </w:tcPr>
          <w:p w14:paraId="0D546BBF"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3 494 551</w:t>
            </w:r>
          </w:p>
        </w:tc>
        <w:tc>
          <w:tcPr>
            <w:tcW w:w="464" w:type="pct"/>
            <w:tcBorders>
              <w:top w:val="nil"/>
              <w:left w:val="nil"/>
              <w:bottom w:val="nil"/>
              <w:right w:val="nil"/>
            </w:tcBorders>
            <w:shd w:val="clear" w:color="auto" w:fill="auto"/>
            <w:noWrap/>
            <w:vAlign w:val="center"/>
            <w:hideMark/>
          </w:tcPr>
          <w:p w14:paraId="7AB63BD3"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4 411 527</w:t>
            </w:r>
          </w:p>
        </w:tc>
        <w:tc>
          <w:tcPr>
            <w:tcW w:w="464" w:type="pct"/>
            <w:tcBorders>
              <w:top w:val="nil"/>
              <w:left w:val="nil"/>
              <w:bottom w:val="nil"/>
              <w:right w:val="nil"/>
            </w:tcBorders>
            <w:shd w:val="clear" w:color="auto" w:fill="auto"/>
            <w:noWrap/>
            <w:vAlign w:val="center"/>
            <w:hideMark/>
          </w:tcPr>
          <w:p w14:paraId="3C220BC2"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4 538 576</w:t>
            </w:r>
          </w:p>
        </w:tc>
        <w:tc>
          <w:tcPr>
            <w:tcW w:w="463" w:type="pct"/>
            <w:tcBorders>
              <w:top w:val="nil"/>
              <w:left w:val="nil"/>
              <w:bottom w:val="nil"/>
              <w:right w:val="nil"/>
            </w:tcBorders>
            <w:shd w:val="clear" w:color="auto" w:fill="auto"/>
            <w:noWrap/>
            <w:vAlign w:val="center"/>
            <w:hideMark/>
          </w:tcPr>
          <w:p w14:paraId="0129DFEE"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4 700 674</w:t>
            </w:r>
          </w:p>
        </w:tc>
      </w:tr>
      <w:tr w:rsidR="00E64517" w:rsidRPr="00EF0FC0" w14:paraId="562C326F" w14:textId="77777777" w:rsidTr="00B63F1A">
        <w:trPr>
          <w:trHeight w:val="289"/>
        </w:trPr>
        <w:tc>
          <w:tcPr>
            <w:tcW w:w="1748" w:type="pct"/>
            <w:tcBorders>
              <w:top w:val="nil"/>
              <w:left w:val="nil"/>
              <w:bottom w:val="nil"/>
              <w:right w:val="nil"/>
            </w:tcBorders>
            <w:shd w:val="clear" w:color="auto" w:fill="auto"/>
            <w:noWrap/>
            <w:vAlign w:val="center"/>
            <w:hideMark/>
          </w:tcPr>
          <w:p w14:paraId="5F193D17" w14:textId="77777777" w:rsidR="00E64517" w:rsidRPr="00EF0FC0" w:rsidRDefault="00E64517" w:rsidP="00B63F1A">
            <w:pPr>
              <w:spacing w:after="0" w:line="240" w:lineRule="auto"/>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Kapitálové príjmy</w:t>
            </w:r>
          </w:p>
        </w:tc>
        <w:tc>
          <w:tcPr>
            <w:tcW w:w="466" w:type="pct"/>
            <w:tcBorders>
              <w:top w:val="nil"/>
              <w:left w:val="nil"/>
              <w:bottom w:val="nil"/>
              <w:right w:val="nil"/>
            </w:tcBorders>
            <w:shd w:val="clear" w:color="auto" w:fill="auto"/>
            <w:noWrap/>
            <w:vAlign w:val="center"/>
            <w:hideMark/>
          </w:tcPr>
          <w:p w14:paraId="664988D3"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29 898</w:t>
            </w:r>
          </w:p>
        </w:tc>
        <w:tc>
          <w:tcPr>
            <w:tcW w:w="466" w:type="pct"/>
            <w:tcBorders>
              <w:top w:val="nil"/>
              <w:left w:val="nil"/>
              <w:bottom w:val="nil"/>
              <w:right w:val="nil"/>
            </w:tcBorders>
            <w:shd w:val="clear" w:color="auto" w:fill="auto"/>
            <w:noWrap/>
            <w:vAlign w:val="center"/>
            <w:hideMark/>
          </w:tcPr>
          <w:p w14:paraId="2E12EEF4"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41 778</w:t>
            </w:r>
          </w:p>
        </w:tc>
        <w:tc>
          <w:tcPr>
            <w:tcW w:w="465" w:type="pct"/>
            <w:tcBorders>
              <w:top w:val="nil"/>
              <w:left w:val="nil"/>
              <w:bottom w:val="nil"/>
              <w:right w:val="nil"/>
            </w:tcBorders>
            <w:shd w:val="clear" w:color="auto" w:fill="auto"/>
            <w:noWrap/>
            <w:vAlign w:val="center"/>
            <w:hideMark/>
          </w:tcPr>
          <w:p w14:paraId="2765DA7D"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95 820</w:t>
            </w:r>
          </w:p>
        </w:tc>
        <w:tc>
          <w:tcPr>
            <w:tcW w:w="465" w:type="pct"/>
            <w:tcBorders>
              <w:top w:val="nil"/>
              <w:left w:val="nil"/>
              <w:bottom w:val="nil"/>
              <w:right w:val="nil"/>
            </w:tcBorders>
            <w:shd w:val="clear" w:color="auto" w:fill="auto"/>
            <w:noWrap/>
            <w:vAlign w:val="center"/>
            <w:hideMark/>
          </w:tcPr>
          <w:p w14:paraId="097BAAB5"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22 558</w:t>
            </w:r>
          </w:p>
        </w:tc>
        <w:tc>
          <w:tcPr>
            <w:tcW w:w="464" w:type="pct"/>
            <w:tcBorders>
              <w:top w:val="nil"/>
              <w:left w:val="nil"/>
              <w:bottom w:val="nil"/>
              <w:right w:val="nil"/>
            </w:tcBorders>
            <w:shd w:val="clear" w:color="auto" w:fill="auto"/>
            <w:noWrap/>
            <w:vAlign w:val="center"/>
            <w:hideMark/>
          </w:tcPr>
          <w:p w14:paraId="68508531"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20 008</w:t>
            </w:r>
          </w:p>
        </w:tc>
        <w:tc>
          <w:tcPr>
            <w:tcW w:w="464" w:type="pct"/>
            <w:tcBorders>
              <w:top w:val="nil"/>
              <w:left w:val="nil"/>
              <w:bottom w:val="nil"/>
              <w:right w:val="nil"/>
            </w:tcBorders>
            <w:shd w:val="clear" w:color="auto" w:fill="auto"/>
            <w:noWrap/>
            <w:vAlign w:val="center"/>
            <w:hideMark/>
          </w:tcPr>
          <w:p w14:paraId="7412A5C7"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23 588</w:t>
            </w:r>
          </w:p>
        </w:tc>
        <w:tc>
          <w:tcPr>
            <w:tcW w:w="463" w:type="pct"/>
            <w:tcBorders>
              <w:top w:val="nil"/>
              <w:left w:val="nil"/>
              <w:bottom w:val="nil"/>
              <w:right w:val="nil"/>
            </w:tcBorders>
            <w:shd w:val="clear" w:color="auto" w:fill="auto"/>
            <w:noWrap/>
            <w:vAlign w:val="center"/>
            <w:hideMark/>
          </w:tcPr>
          <w:p w14:paraId="0A6EC29A"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43 645</w:t>
            </w:r>
          </w:p>
        </w:tc>
      </w:tr>
      <w:tr w:rsidR="00E64517" w:rsidRPr="00EF0FC0" w14:paraId="265EF689" w14:textId="77777777" w:rsidTr="00B63F1A">
        <w:trPr>
          <w:trHeight w:val="289"/>
        </w:trPr>
        <w:tc>
          <w:tcPr>
            <w:tcW w:w="1748" w:type="pct"/>
            <w:tcBorders>
              <w:top w:val="nil"/>
              <w:left w:val="nil"/>
              <w:bottom w:val="nil"/>
              <w:right w:val="nil"/>
            </w:tcBorders>
            <w:shd w:val="clear" w:color="auto" w:fill="auto"/>
            <w:noWrap/>
            <w:vAlign w:val="center"/>
            <w:hideMark/>
          </w:tcPr>
          <w:p w14:paraId="7897B7C5" w14:textId="77777777" w:rsidR="00E64517" w:rsidRPr="00EF0FC0" w:rsidRDefault="00E64517" w:rsidP="00B63F1A">
            <w:pPr>
              <w:spacing w:after="0" w:line="240" w:lineRule="auto"/>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Úroky z tuzemských a zahraničných úverov, pôžičiek, NFV a vkladov</w:t>
            </w:r>
          </w:p>
        </w:tc>
        <w:tc>
          <w:tcPr>
            <w:tcW w:w="466" w:type="pct"/>
            <w:tcBorders>
              <w:top w:val="nil"/>
              <w:left w:val="nil"/>
              <w:bottom w:val="nil"/>
              <w:right w:val="nil"/>
            </w:tcBorders>
            <w:shd w:val="clear" w:color="auto" w:fill="auto"/>
            <w:noWrap/>
            <w:vAlign w:val="center"/>
            <w:hideMark/>
          </w:tcPr>
          <w:p w14:paraId="6F71EC89"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57 971</w:t>
            </w:r>
          </w:p>
        </w:tc>
        <w:tc>
          <w:tcPr>
            <w:tcW w:w="466" w:type="pct"/>
            <w:tcBorders>
              <w:top w:val="nil"/>
              <w:left w:val="nil"/>
              <w:bottom w:val="nil"/>
              <w:right w:val="nil"/>
            </w:tcBorders>
            <w:shd w:val="clear" w:color="auto" w:fill="auto"/>
            <w:noWrap/>
            <w:vAlign w:val="center"/>
            <w:hideMark/>
          </w:tcPr>
          <w:p w14:paraId="008C3A3C"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53 868</w:t>
            </w:r>
          </w:p>
        </w:tc>
        <w:tc>
          <w:tcPr>
            <w:tcW w:w="465" w:type="pct"/>
            <w:tcBorders>
              <w:top w:val="nil"/>
              <w:left w:val="nil"/>
              <w:bottom w:val="nil"/>
              <w:right w:val="nil"/>
            </w:tcBorders>
            <w:shd w:val="clear" w:color="auto" w:fill="auto"/>
            <w:noWrap/>
            <w:vAlign w:val="center"/>
            <w:hideMark/>
          </w:tcPr>
          <w:p w14:paraId="1EA2CA05"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50 473</w:t>
            </w:r>
          </w:p>
        </w:tc>
        <w:tc>
          <w:tcPr>
            <w:tcW w:w="465" w:type="pct"/>
            <w:tcBorders>
              <w:top w:val="nil"/>
              <w:left w:val="nil"/>
              <w:bottom w:val="nil"/>
              <w:right w:val="nil"/>
            </w:tcBorders>
            <w:shd w:val="clear" w:color="auto" w:fill="auto"/>
            <w:noWrap/>
            <w:vAlign w:val="center"/>
            <w:hideMark/>
          </w:tcPr>
          <w:p w14:paraId="662CDA76"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89 760</w:t>
            </w:r>
          </w:p>
        </w:tc>
        <w:tc>
          <w:tcPr>
            <w:tcW w:w="464" w:type="pct"/>
            <w:tcBorders>
              <w:top w:val="nil"/>
              <w:left w:val="nil"/>
              <w:bottom w:val="nil"/>
              <w:right w:val="nil"/>
            </w:tcBorders>
            <w:shd w:val="clear" w:color="auto" w:fill="auto"/>
            <w:noWrap/>
            <w:vAlign w:val="center"/>
            <w:hideMark/>
          </w:tcPr>
          <w:p w14:paraId="61C5D27F"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98 802</w:t>
            </w:r>
          </w:p>
        </w:tc>
        <w:tc>
          <w:tcPr>
            <w:tcW w:w="464" w:type="pct"/>
            <w:tcBorders>
              <w:top w:val="nil"/>
              <w:left w:val="nil"/>
              <w:bottom w:val="nil"/>
              <w:right w:val="nil"/>
            </w:tcBorders>
            <w:shd w:val="clear" w:color="auto" w:fill="auto"/>
            <w:noWrap/>
            <w:vAlign w:val="center"/>
            <w:hideMark/>
          </w:tcPr>
          <w:p w14:paraId="7D292A66"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98 039</w:t>
            </w:r>
          </w:p>
        </w:tc>
        <w:tc>
          <w:tcPr>
            <w:tcW w:w="463" w:type="pct"/>
            <w:tcBorders>
              <w:top w:val="nil"/>
              <w:left w:val="nil"/>
              <w:bottom w:val="nil"/>
              <w:right w:val="nil"/>
            </w:tcBorders>
            <w:shd w:val="clear" w:color="auto" w:fill="auto"/>
            <w:noWrap/>
            <w:vAlign w:val="center"/>
            <w:hideMark/>
          </w:tcPr>
          <w:p w14:paraId="2F4C8A36"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102 512</w:t>
            </w:r>
          </w:p>
        </w:tc>
      </w:tr>
      <w:tr w:rsidR="00E64517" w:rsidRPr="00EF0FC0" w14:paraId="35BE470F" w14:textId="77777777" w:rsidTr="00B63F1A">
        <w:trPr>
          <w:trHeight w:val="289"/>
        </w:trPr>
        <w:tc>
          <w:tcPr>
            <w:tcW w:w="1748" w:type="pct"/>
            <w:tcBorders>
              <w:top w:val="nil"/>
              <w:left w:val="nil"/>
              <w:bottom w:val="single" w:sz="4" w:space="0" w:color="auto"/>
              <w:right w:val="nil"/>
            </w:tcBorders>
            <w:shd w:val="clear" w:color="auto" w:fill="auto"/>
            <w:noWrap/>
            <w:vAlign w:val="center"/>
            <w:hideMark/>
          </w:tcPr>
          <w:p w14:paraId="2424B319" w14:textId="77777777" w:rsidR="00E64517" w:rsidRPr="00EF0FC0" w:rsidRDefault="00E64517" w:rsidP="00B63F1A">
            <w:pPr>
              <w:spacing w:after="0" w:line="240" w:lineRule="auto"/>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Iné nedaňové príjmy</w:t>
            </w:r>
          </w:p>
        </w:tc>
        <w:tc>
          <w:tcPr>
            <w:tcW w:w="466" w:type="pct"/>
            <w:tcBorders>
              <w:top w:val="nil"/>
              <w:left w:val="nil"/>
              <w:bottom w:val="single" w:sz="4" w:space="0" w:color="auto"/>
              <w:right w:val="nil"/>
            </w:tcBorders>
            <w:shd w:val="clear" w:color="auto" w:fill="auto"/>
            <w:noWrap/>
            <w:vAlign w:val="center"/>
            <w:hideMark/>
          </w:tcPr>
          <w:p w14:paraId="2EF78AF1"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249 423</w:t>
            </w:r>
          </w:p>
        </w:tc>
        <w:tc>
          <w:tcPr>
            <w:tcW w:w="466" w:type="pct"/>
            <w:tcBorders>
              <w:top w:val="nil"/>
              <w:left w:val="nil"/>
              <w:bottom w:val="single" w:sz="4" w:space="0" w:color="auto"/>
              <w:right w:val="nil"/>
            </w:tcBorders>
            <w:shd w:val="clear" w:color="auto" w:fill="auto"/>
            <w:noWrap/>
            <w:vAlign w:val="center"/>
            <w:hideMark/>
          </w:tcPr>
          <w:p w14:paraId="699A169E"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190 534</w:t>
            </w:r>
          </w:p>
        </w:tc>
        <w:tc>
          <w:tcPr>
            <w:tcW w:w="465" w:type="pct"/>
            <w:tcBorders>
              <w:top w:val="nil"/>
              <w:left w:val="nil"/>
              <w:bottom w:val="single" w:sz="4" w:space="0" w:color="auto"/>
              <w:right w:val="nil"/>
            </w:tcBorders>
            <w:shd w:val="clear" w:color="auto" w:fill="auto"/>
            <w:noWrap/>
            <w:vAlign w:val="center"/>
            <w:hideMark/>
          </w:tcPr>
          <w:p w14:paraId="576287C9"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223 619</w:t>
            </w:r>
          </w:p>
        </w:tc>
        <w:tc>
          <w:tcPr>
            <w:tcW w:w="465" w:type="pct"/>
            <w:tcBorders>
              <w:top w:val="nil"/>
              <w:left w:val="nil"/>
              <w:bottom w:val="single" w:sz="4" w:space="0" w:color="auto"/>
              <w:right w:val="nil"/>
            </w:tcBorders>
            <w:shd w:val="clear" w:color="auto" w:fill="auto"/>
            <w:noWrap/>
            <w:vAlign w:val="center"/>
            <w:hideMark/>
          </w:tcPr>
          <w:p w14:paraId="7A00026F"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289 793</w:t>
            </w:r>
          </w:p>
        </w:tc>
        <w:tc>
          <w:tcPr>
            <w:tcW w:w="464" w:type="pct"/>
            <w:tcBorders>
              <w:top w:val="nil"/>
              <w:left w:val="nil"/>
              <w:bottom w:val="single" w:sz="4" w:space="0" w:color="auto"/>
              <w:right w:val="nil"/>
            </w:tcBorders>
            <w:shd w:val="clear" w:color="auto" w:fill="auto"/>
            <w:noWrap/>
            <w:vAlign w:val="center"/>
            <w:hideMark/>
          </w:tcPr>
          <w:p w14:paraId="6D6A430C"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252 598</w:t>
            </w:r>
          </w:p>
        </w:tc>
        <w:tc>
          <w:tcPr>
            <w:tcW w:w="464" w:type="pct"/>
            <w:tcBorders>
              <w:top w:val="nil"/>
              <w:left w:val="nil"/>
              <w:bottom w:val="single" w:sz="4" w:space="0" w:color="auto"/>
              <w:right w:val="nil"/>
            </w:tcBorders>
            <w:shd w:val="clear" w:color="auto" w:fill="auto"/>
            <w:noWrap/>
            <w:vAlign w:val="center"/>
            <w:hideMark/>
          </w:tcPr>
          <w:p w14:paraId="209B24C3"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277 906</w:t>
            </w:r>
          </w:p>
        </w:tc>
        <w:tc>
          <w:tcPr>
            <w:tcW w:w="463" w:type="pct"/>
            <w:tcBorders>
              <w:top w:val="nil"/>
              <w:left w:val="nil"/>
              <w:bottom w:val="single" w:sz="4" w:space="0" w:color="auto"/>
              <w:right w:val="nil"/>
            </w:tcBorders>
            <w:shd w:val="clear" w:color="auto" w:fill="auto"/>
            <w:noWrap/>
            <w:vAlign w:val="center"/>
            <w:hideMark/>
          </w:tcPr>
          <w:p w14:paraId="7ADE1AFD"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253 279</w:t>
            </w:r>
          </w:p>
        </w:tc>
      </w:tr>
    </w:tbl>
    <w:p w14:paraId="5FB8DAB2" w14:textId="77777777" w:rsidR="00E64517" w:rsidRPr="00192C79" w:rsidRDefault="00E64517" w:rsidP="00E64517">
      <w:pPr>
        <w:spacing w:after="0"/>
        <w:rPr>
          <w:rFonts w:ascii="Times New Roman" w:eastAsia="Calibri" w:hAnsi="Times New Roman" w:cs="Times New Roman"/>
          <w:i/>
        </w:rPr>
      </w:pPr>
      <w:r w:rsidRPr="00192C79">
        <w:rPr>
          <w:rFonts w:ascii="Times New Roman" w:eastAsia="Calibri" w:hAnsi="Times New Roman" w:cs="Times New Roman"/>
          <w:sz w:val="16"/>
          <w:szCs w:val="16"/>
        </w:rPr>
        <w:t xml:space="preserve">     </w:t>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i/>
          <w:sz w:val="16"/>
          <w:szCs w:val="16"/>
        </w:rPr>
        <w:t xml:space="preserve">     Zdroj: MF SR</w:t>
      </w:r>
    </w:p>
    <w:p w14:paraId="51AACD1C" w14:textId="77777777" w:rsidR="00E64517" w:rsidRPr="00192C79" w:rsidRDefault="00E64517" w:rsidP="00E64517">
      <w:pPr>
        <w:spacing w:after="0"/>
        <w:rPr>
          <w:rFonts w:ascii="Times New Roman" w:eastAsia="Calibri" w:hAnsi="Times New Roman" w:cs="Times New Roman"/>
          <w:sz w:val="24"/>
          <w:szCs w:val="24"/>
        </w:rPr>
      </w:pPr>
    </w:p>
    <w:p w14:paraId="208B7AF9" w14:textId="77777777" w:rsidR="00E64517" w:rsidRPr="00324C90" w:rsidRDefault="00E64517" w:rsidP="00E64517">
      <w:pPr>
        <w:spacing w:after="0"/>
        <w:jc w:val="both"/>
        <w:rPr>
          <w:rFonts w:ascii="Times New Roman" w:eastAsia="Calibri" w:hAnsi="Times New Roman" w:cs="Times New Roman"/>
          <w:sz w:val="24"/>
          <w:szCs w:val="24"/>
        </w:rPr>
      </w:pPr>
      <w:r w:rsidRPr="00324C90">
        <w:rPr>
          <w:rFonts w:ascii="Times New Roman" w:eastAsia="Calibri" w:hAnsi="Times New Roman" w:cs="Times New Roman"/>
          <w:sz w:val="24"/>
          <w:szCs w:val="24"/>
        </w:rPr>
        <w:t>V rámci nedaňový</w:t>
      </w:r>
      <w:r>
        <w:rPr>
          <w:rFonts w:ascii="Times New Roman" w:eastAsia="Calibri" w:hAnsi="Times New Roman" w:cs="Times New Roman"/>
          <w:sz w:val="24"/>
          <w:szCs w:val="24"/>
        </w:rPr>
        <w:t>ch príjmov, ktoré sú na rok 2024</w:t>
      </w:r>
      <w:r w:rsidRPr="00324C90">
        <w:rPr>
          <w:rFonts w:ascii="Times New Roman" w:eastAsia="Calibri" w:hAnsi="Times New Roman" w:cs="Times New Roman"/>
          <w:sz w:val="24"/>
          <w:szCs w:val="24"/>
        </w:rPr>
        <w:t xml:space="preserve"> rozpočtované v sume </w:t>
      </w:r>
      <w:r>
        <w:rPr>
          <w:rFonts w:ascii="Times New Roman" w:eastAsia="Calibri" w:hAnsi="Times New Roman" w:cs="Times New Roman"/>
          <w:sz w:val="24"/>
          <w:szCs w:val="24"/>
        </w:rPr>
        <w:t>4,96</w:t>
      </w:r>
      <w:r w:rsidRPr="00324C90">
        <w:rPr>
          <w:rFonts w:ascii="Times New Roman" w:eastAsia="Calibri" w:hAnsi="Times New Roman" w:cs="Times New Roman"/>
          <w:sz w:val="24"/>
          <w:szCs w:val="24"/>
        </w:rPr>
        <w:t xml:space="preserve"> mld. eur, najväčší objem predstavujú príjmy z administratívnych poplatkov a iných popla</w:t>
      </w:r>
      <w:r>
        <w:rPr>
          <w:rFonts w:ascii="Times New Roman" w:eastAsia="Calibri" w:hAnsi="Times New Roman" w:cs="Times New Roman"/>
          <w:sz w:val="24"/>
          <w:szCs w:val="24"/>
        </w:rPr>
        <w:t>tkov a platieb, a to v sume 4,41</w:t>
      </w:r>
      <w:r w:rsidRPr="00324C90">
        <w:rPr>
          <w:rFonts w:ascii="Times New Roman" w:eastAsia="Calibri" w:hAnsi="Times New Roman" w:cs="Times New Roman"/>
          <w:sz w:val="24"/>
          <w:szCs w:val="24"/>
        </w:rPr>
        <w:t> mld. eur, z toho zdravotnícke zariadenia zaradené v subsektore ústrednej správy rozpočtujú tržby za poskytovanú zdrav</w:t>
      </w:r>
      <w:r>
        <w:rPr>
          <w:rFonts w:ascii="Times New Roman" w:eastAsia="Calibri" w:hAnsi="Times New Roman" w:cs="Times New Roman"/>
          <w:sz w:val="24"/>
          <w:szCs w:val="24"/>
        </w:rPr>
        <w:t>otnú starostlivosť vo výške 2,71</w:t>
      </w:r>
      <w:r w:rsidRPr="00324C90">
        <w:rPr>
          <w:rFonts w:ascii="Times New Roman" w:eastAsia="Calibri" w:hAnsi="Times New Roman" w:cs="Times New Roman"/>
          <w:sz w:val="24"/>
          <w:szCs w:val="24"/>
        </w:rPr>
        <w:t xml:space="preserve"> mld. eur. Príjmy spoločností v pôsobnosti ministerstva do</w:t>
      </w:r>
      <w:r>
        <w:rPr>
          <w:rFonts w:ascii="Times New Roman" w:eastAsia="Calibri" w:hAnsi="Times New Roman" w:cs="Times New Roman"/>
          <w:sz w:val="24"/>
          <w:szCs w:val="24"/>
        </w:rPr>
        <w:t>pravy sa rozpočtujú vo výške 753</w:t>
      </w:r>
      <w:r w:rsidRPr="00324C90">
        <w:rPr>
          <w:rFonts w:ascii="Times New Roman" w:eastAsia="Calibri" w:hAnsi="Times New Roman" w:cs="Times New Roman"/>
          <w:sz w:val="24"/>
          <w:szCs w:val="24"/>
        </w:rPr>
        <w:t xml:space="preserve"> mil. eur a tvoria ich predovšetkým t</w:t>
      </w:r>
      <w:r>
        <w:rPr>
          <w:rFonts w:ascii="Times New Roman" w:eastAsia="Calibri" w:hAnsi="Times New Roman" w:cs="Times New Roman"/>
          <w:sz w:val="24"/>
          <w:szCs w:val="24"/>
        </w:rPr>
        <w:t xml:space="preserve">ržby ako cestovné lístky, mýto a </w:t>
      </w:r>
      <w:r w:rsidRPr="00324C90">
        <w:rPr>
          <w:rFonts w:ascii="Times New Roman" w:eastAsia="Calibri" w:hAnsi="Times New Roman" w:cs="Times New Roman"/>
          <w:sz w:val="24"/>
          <w:szCs w:val="24"/>
        </w:rPr>
        <w:t xml:space="preserve">diaľničné poplatky. Príjmy Environmentálneho fondu za obchodovanie s emisnými kvótami sa rozpočtujú na hotovostnej úrovni </w:t>
      </w:r>
      <w:r w:rsidRPr="00324C90">
        <w:rPr>
          <w:rFonts w:ascii="Times New Roman" w:eastAsia="Calibri" w:hAnsi="Times New Roman" w:cs="Times New Roman"/>
          <w:sz w:val="24"/>
          <w:szCs w:val="24"/>
        </w:rPr>
        <w:br/>
        <w:t xml:space="preserve">vo výške </w:t>
      </w:r>
      <w:r>
        <w:rPr>
          <w:rFonts w:ascii="Times New Roman" w:eastAsia="Calibri" w:hAnsi="Times New Roman" w:cs="Times New Roman"/>
          <w:sz w:val="24"/>
          <w:szCs w:val="24"/>
        </w:rPr>
        <w:t>451</w:t>
      </w:r>
      <w:r w:rsidRPr="00324C90">
        <w:rPr>
          <w:rFonts w:ascii="Times New Roman" w:eastAsia="Calibri" w:hAnsi="Times New Roman" w:cs="Times New Roman"/>
          <w:sz w:val="24"/>
          <w:szCs w:val="24"/>
        </w:rPr>
        <w:t xml:space="preserve"> mil. eur. Príjmy verejných vysokých škôl sa rozpočtujú vo výške 1</w:t>
      </w:r>
      <w:r>
        <w:rPr>
          <w:rFonts w:ascii="Times New Roman" w:eastAsia="Calibri" w:hAnsi="Times New Roman" w:cs="Times New Roman"/>
          <w:sz w:val="24"/>
          <w:szCs w:val="24"/>
        </w:rPr>
        <w:t xml:space="preserve">58 </w:t>
      </w:r>
      <w:r w:rsidRPr="00324C90">
        <w:rPr>
          <w:rFonts w:ascii="Times New Roman" w:eastAsia="Calibri" w:hAnsi="Times New Roman" w:cs="Times New Roman"/>
          <w:sz w:val="24"/>
          <w:szCs w:val="24"/>
        </w:rPr>
        <w:t xml:space="preserve">mil. eur, a to za stravné, ubytovanie a ostatné poskytované tovary a služby. Agentúra pre núdzové zásoby ropy a ropných výrobkov rozpočtuje príjem z povinného poplatku za udržiavanie núdzových zásob ropy a ropných výrobkov vo výške </w:t>
      </w:r>
      <w:r>
        <w:rPr>
          <w:rFonts w:ascii="Times New Roman" w:eastAsia="Calibri" w:hAnsi="Times New Roman" w:cs="Times New Roman"/>
          <w:sz w:val="24"/>
          <w:szCs w:val="24"/>
        </w:rPr>
        <w:t>133</w:t>
      </w:r>
      <w:r w:rsidRPr="00324C90">
        <w:rPr>
          <w:rFonts w:ascii="Times New Roman" w:eastAsia="Calibri" w:hAnsi="Times New Roman" w:cs="Times New Roman"/>
          <w:sz w:val="24"/>
          <w:szCs w:val="24"/>
        </w:rPr>
        <w:t xml:space="preserve"> mil. eur. Slovenský vodohospodársky podnik, š. p. rozpočtuje príjmy z tržieb za hydroenergetický potenciál a z ostatných poplatkov a platieb celkovo vo výške 7</w:t>
      </w:r>
      <w:r>
        <w:rPr>
          <w:rFonts w:ascii="Times New Roman" w:eastAsia="Calibri" w:hAnsi="Times New Roman" w:cs="Times New Roman"/>
          <w:sz w:val="24"/>
          <w:szCs w:val="24"/>
        </w:rPr>
        <w:t>4</w:t>
      </w:r>
      <w:r w:rsidRPr="00324C90">
        <w:rPr>
          <w:rFonts w:ascii="Times New Roman" w:eastAsia="Calibri" w:hAnsi="Times New Roman" w:cs="Times New Roman"/>
          <w:sz w:val="24"/>
          <w:szCs w:val="24"/>
        </w:rPr>
        <w:t>,2 mil. eur.</w:t>
      </w:r>
    </w:p>
    <w:p w14:paraId="21F96718" w14:textId="77777777" w:rsidR="00E64517" w:rsidRPr="00324C90" w:rsidRDefault="00E64517" w:rsidP="00E64517">
      <w:pPr>
        <w:spacing w:after="0"/>
        <w:jc w:val="both"/>
        <w:rPr>
          <w:rFonts w:ascii="Times New Roman" w:eastAsia="Calibri" w:hAnsi="Times New Roman" w:cs="Times New Roman"/>
          <w:sz w:val="24"/>
          <w:szCs w:val="24"/>
        </w:rPr>
      </w:pPr>
    </w:p>
    <w:p w14:paraId="77F4C5E1" w14:textId="77777777" w:rsidR="00E64517" w:rsidRPr="00324C90" w:rsidRDefault="00E64517" w:rsidP="00E64517">
      <w:pPr>
        <w:spacing w:after="0"/>
        <w:jc w:val="both"/>
        <w:rPr>
          <w:rFonts w:ascii="Times New Roman" w:eastAsia="Calibri" w:hAnsi="Times New Roman" w:cs="Times New Roman"/>
          <w:sz w:val="24"/>
          <w:szCs w:val="24"/>
        </w:rPr>
      </w:pPr>
      <w:r w:rsidRPr="00324C90">
        <w:rPr>
          <w:rFonts w:ascii="Times New Roman" w:eastAsia="Calibri" w:hAnsi="Times New Roman" w:cs="Times New Roman"/>
          <w:sz w:val="24"/>
          <w:szCs w:val="24"/>
        </w:rPr>
        <w:t>Príjmy z podnikania a vlastníctva majetku sú rozpočtované vo výške 1</w:t>
      </w:r>
      <w:r>
        <w:rPr>
          <w:rFonts w:ascii="Times New Roman" w:eastAsia="Calibri" w:hAnsi="Times New Roman" w:cs="Times New Roman"/>
          <w:sz w:val="24"/>
          <w:szCs w:val="24"/>
        </w:rPr>
        <w:t>76</w:t>
      </w:r>
      <w:r w:rsidRPr="00324C90">
        <w:rPr>
          <w:rFonts w:ascii="Times New Roman" w:eastAsia="Calibri" w:hAnsi="Times New Roman" w:cs="Times New Roman"/>
          <w:sz w:val="24"/>
          <w:szCs w:val="24"/>
        </w:rPr>
        <w:t xml:space="preserve"> mil. eur a najväčší objem predstavujú príjmy štátnych zdravotníckych zariadení vo výške </w:t>
      </w:r>
      <w:r>
        <w:rPr>
          <w:rFonts w:ascii="Times New Roman" w:eastAsia="Calibri" w:hAnsi="Times New Roman" w:cs="Times New Roman"/>
          <w:sz w:val="24"/>
          <w:szCs w:val="24"/>
        </w:rPr>
        <w:t>68,2</w:t>
      </w:r>
      <w:r w:rsidRPr="00324C90">
        <w:rPr>
          <w:rFonts w:ascii="Times New Roman" w:eastAsia="Calibri" w:hAnsi="Times New Roman" w:cs="Times New Roman"/>
          <w:sz w:val="24"/>
          <w:szCs w:val="24"/>
        </w:rPr>
        <w:t xml:space="preserve"> mil. eur. Príjmy Slovenského pozemkového fondu sa rozpočtujú vo výške </w:t>
      </w:r>
      <w:r>
        <w:rPr>
          <w:rFonts w:ascii="Times New Roman" w:eastAsia="Calibri" w:hAnsi="Times New Roman" w:cs="Times New Roman"/>
          <w:sz w:val="24"/>
          <w:szCs w:val="24"/>
        </w:rPr>
        <w:t>22,1</w:t>
      </w:r>
      <w:r w:rsidRPr="00324C90">
        <w:rPr>
          <w:rFonts w:ascii="Times New Roman" w:eastAsia="Calibri" w:hAnsi="Times New Roman" w:cs="Times New Roman"/>
          <w:sz w:val="24"/>
          <w:szCs w:val="24"/>
        </w:rPr>
        <w:t xml:space="preserve"> mil. eur, a to predovšetkým z prenájmu majetku. Spoločnosť JAVYS, a. s. rozpočtuje príjmy z úhrad za nakladanie so zdrojmi ionizujúceho žiarenia vo výške </w:t>
      </w:r>
      <w:r>
        <w:rPr>
          <w:rFonts w:ascii="Times New Roman" w:eastAsia="Calibri" w:hAnsi="Times New Roman" w:cs="Times New Roman"/>
          <w:sz w:val="24"/>
          <w:szCs w:val="24"/>
        </w:rPr>
        <w:t>22,0</w:t>
      </w:r>
      <w:r w:rsidRPr="00324C90">
        <w:rPr>
          <w:rFonts w:ascii="Times New Roman" w:eastAsia="Calibri" w:hAnsi="Times New Roman" w:cs="Times New Roman"/>
          <w:sz w:val="24"/>
          <w:szCs w:val="24"/>
        </w:rPr>
        <w:t xml:space="preserve"> mil. eur. Príjmy Slovenského vodohospodárskeho podniku, š. p. za povrchovú vodu a energetickú vodu sú rozpočtované vo výške 35,0 mil. eur.</w:t>
      </w:r>
    </w:p>
    <w:p w14:paraId="0458317E" w14:textId="77777777" w:rsidR="00E64517" w:rsidRPr="00324C90" w:rsidRDefault="00E64517" w:rsidP="00E64517">
      <w:pPr>
        <w:spacing w:after="0"/>
        <w:jc w:val="both"/>
        <w:rPr>
          <w:rFonts w:ascii="Times New Roman" w:eastAsia="Calibri" w:hAnsi="Times New Roman" w:cs="Times New Roman"/>
          <w:sz w:val="24"/>
          <w:szCs w:val="24"/>
        </w:rPr>
      </w:pPr>
    </w:p>
    <w:p w14:paraId="466F5FDA" w14:textId="77777777" w:rsidR="00E64517" w:rsidRPr="00324C90" w:rsidRDefault="00E64517" w:rsidP="00E64517">
      <w:pPr>
        <w:spacing w:after="0"/>
        <w:jc w:val="both"/>
        <w:rPr>
          <w:rFonts w:ascii="Times New Roman" w:eastAsia="Calibri" w:hAnsi="Times New Roman" w:cs="Times New Roman"/>
          <w:sz w:val="24"/>
          <w:szCs w:val="24"/>
        </w:rPr>
      </w:pPr>
      <w:r w:rsidRPr="00324C90">
        <w:rPr>
          <w:rFonts w:ascii="Times New Roman" w:eastAsia="Calibri" w:hAnsi="Times New Roman" w:cs="Times New Roman"/>
          <w:sz w:val="24"/>
          <w:szCs w:val="24"/>
        </w:rPr>
        <w:t xml:space="preserve">V rámci kapitálových príjmov, ktoré sú rozpočtované vo výške </w:t>
      </w:r>
      <w:r>
        <w:rPr>
          <w:rFonts w:ascii="Times New Roman" w:eastAsia="Calibri" w:hAnsi="Times New Roman" w:cs="Times New Roman"/>
          <w:sz w:val="24"/>
          <w:szCs w:val="24"/>
        </w:rPr>
        <w:t>20,0</w:t>
      </w:r>
      <w:r w:rsidRPr="00324C90">
        <w:rPr>
          <w:rFonts w:ascii="Times New Roman" w:eastAsia="Calibri" w:hAnsi="Times New Roman" w:cs="Times New Roman"/>
          <w:sz w:val="24"/>
          <w:szCs w:val="24"/>
        </w:rPr>
        <w:t xml:space="preserve"> mil. eur, najväčší objem predstavujú príjmy z predaja majetku spoločnosti Železnice Slovenskej republiky vo výške </w:t>
      </w:r>
      <w:r>
        <w:rPr>
          <w:rFonts w:ascii="Times New Roman" w:eastAsia="Calibri" w:hAnsi="Times New Roman" w:cs="Times New Roman"/>
          <w:sz w:val="24"/>
          <w:szCs w:val="24"/>
        </w:rPr>
        <w:t>7,64 mil. eur</w:t>
      </w:r>
      <w:r w:rsidRPr="00324C90">
        <w:rPr>
          <w:rFonts w:ascii="Times New Roman" w:eastAsia="Calibri" w:hAnsi="Times New Roman" w:cs="Times New Roman"/>
          <w:sz w:val="24"/>
          <w:szCs w:val="24"/>
        </w:rPr>
        <w:t>. Predaj pozemkov v Slovenskom pozemkovom fonde sa rozpočtuje vo výške 7,00 mil. eur.</w:t>
      </w:r>
    </w:p>
    <w:p w14:paraId="39BD0710" w14:textId="77777777" w:rsidR="00E64517" w:rsidRPr="00324C90" w:rsidRDefault="00E64517" w:rsidP="00E64517">
      <w:pPr>
        <w:spacing w:after="0"/>
        <w:jc w:val="both"/>
        <w:rPr>
          <w:rFonts w:ascii="Times New Roman" w:eastAsia="Calibri" w:hAnsi="Times New Roman" w:cs="Times New Roman"/>
          <w:sz w:val="24"/>
          <w:szCs w:val="24"/>
        </w:rPr>
      </w:pPr>
    </w:p>
    <w:p w14:paraId="23C4B4A0" w14:textId="77777777" w:rsidR="00E64517" w:rsidRPr="00324C90" w:rsidRDefault="00E64517" w:rsidP="00E64517">
      <w:pPr>
        <w:spacing w:after="0"/>
        <w:jc w:val="both"/>
        <w:rPr>
          <w:rFonts w:ascii="Times New Roman" w:eastAsia="Calibri" w:hAnsi="Times New Roman" w:cs="Times New Roman"/>
          <w:sz w:val="24"/>
          <w:szCs w:val="24"/>
        </w:rPr>
      </w:pPr>
      <w:r w:rsidRPr="00324C90">
        <w:rPr>
          <w:rFonts w:ascii="Times New Roman" w:eastAsia="Calibri" w:hAnsi="Times New Roman" w:cs="Times New Roman"/>
          <w:sz w:val="24"/>
          <w:szCs w:val="24"/>
        </w:rPr>
        <w:t xml:space="preserve">Úroky z tuzemských a zahraničných úverov, pôžičiek, návratných finančných výpomocí a vkladov sú rozpočtované vo výške </w:t>
      </w:r>
      <w:r>
        <w:rPr>
          <w:rFonts w:ascii="Times New Roman" w:eastAsia="Calibri" w:hAnsi="Times New Roman" w:cs="Times New Roman"/>
          <w:sz w:val="24"/>
          <w:szCs w:val="24"/>
        </w:rPr>
        <w:t>98,8</w:t>
      </w:r>
      <w:r w:rsidRPr="00324C90">
        <w:rPr>
          <w:rFonts w:ascii="Times New Roman" w:eastAsia="Calibri" w:hAnsi="Times New Roman" w:cs="Times New Roman"/>
          <w:sz w:val="24"/>
          <w:szCs w:val="24"/>
        </w:rPr>
        <w:t xml:space="preserve"> mil. eur, pričom najväčší objem sa rozpočtuje v Národnom jadrovom fonde vo výške </w:t>
      </w:r>
      <w:r>
        <w:rPr>
          <w:rFonts w:ascii="Times New Roman" w:eastAsia="Calibri" w:hAnsi="Times New Roman" w:cs="Times New Roman"/>
          <w:sz w:val="24"/>
          <w:szCs w:val="24"/>
        </w:rPr>
        <w:t>40,4</w:t>
      </w:r>
      <w:r w:rsidRPr="00324C90">
        <w:rPr>
          <w:rFonts w:ascii="Times New Roman" w:eastAsia="Calibri" w:hAnsi="Times New Roman" w:cs="Times New Roman"/>
          <w:sz w:val="24"/>
          <w:szCs w:val="24"/>
        </w:rPr>
        <w:t xml:space="preserve"> mil. eur</w:t>
      </w:r>
      <w:r>
        <w:rPr>
          <w:rFonts w:ascii="Times New Roman" w:eastAsia="Calibri" w:hAnsi="Times New Roman" w:cs="Times New Roman"/>
          <w:sz w:val="24"/>
          <w:szCs w:val="24"/>
        </w:rPr>
        <w:t>,</w:t>
      </w:r>
      <w:r w:rsidRPr="00324C90">
        <w:rPr>
          <w:rFonts w:ascii="Times New Roman" w:eastAsia="Calibri" w:hAnsi="Times New Roman" w:cs="Times New Roman"/>
          <w:sz w:val="24"/>
          <w:szCs w:val="24"/>
        </w:rPr>
        <w:t xml:space="preserve"> v Eximbanke vo výške </w:t>
      </w:r>
      <w:r>
        <w:rPr>
          <w:rFonts w:ascii="Times New Roman" w:eastAsia="Calibri" w:hAnsi="Times New Roman" w:cs="Times New Roman"/>
          <w:sz w:val="24"/>
          <w:szCs w:val="24"/>
        </w:rPr>
        <w:t xml:space="preserve">32,5 mil. eur a </w:t>
      </w:r>
      <w:r w:rsidRPr="00324C90">
        <w:rPr>
          <w:rFonts w:ascii="Times New Roman" w:eastAsia="Calibri" w:hAnsi="Times New Roman" w:cs="Times New Roman"/>
          <w:sz w:val="24"/>
          <w:szCs w:val="24"/>
        </w:rPr>
        <w:t xml:space="preserve">v Štátnom fonde rozvoja bývania vo výške </w:t>
      </w:r>
      <w:r>
        <w:rPr>
          <w:rFonts w:ascii="Times New Roman" w:eastAsia="Calibri" w:hAnsi="Times New Roman" w:cs="Times New Roman"/>
          <w:sz w:val="24"/>
          <w:szCs w:val="24"/>
        </w:rPr>
        <w:t>16,8 mil. eur.</w:t>
      </w:r>
      <w:r w:rsidRPr="00324C90">
        <w:rPr>
          <w:rFonts w:ascii="Times New Roman" w:eastAsia="Calibri" w:hAnsi="Times New Roman" w:cs="Times New Roman"/>
          <w:sz w:val="24"/>
          <w:szCs w:val="24"/>
        </w:rPr>
        <w:t> </w:t>
      </w:r>
    </w:p>
    <w:p w14:paraId="4C52205C" w14:textId="77777777" w:rsidR="00E64517" w:rsidRPr="00324C90" w:rsidRDefault="00E64517" w:rsidP="00E64517">
      <w:pPr>
        <w:spacing w:after="0"/>
        <w:jc w:val="both"/>
        <w:rPr>
          <w:rFonts w:ascii="Times New Roman" w:eastAsia="Calibri" w:hAnsi="Times New Roman" w:cs="Times New Roman"/>
          <w:sz w:val="24"/>
          <w:szCs w:val="24"/>
        </w:rPr>
      </w:pPr>
    </w:p>
    <w:p w14:paraId="05B05925" w14:textId="77777777" w:rsidR="00E64517" w:rsidRPr="00324C90" w:rsidRDefault="00E64517" w:rsidP="00E64517">
      <w:pPr>
        <w:spacing w:after="0"/>
        <w:jc w:val="both"/>
        <w:rPr>
          <w:rFonts w:ascii="Times New Roman" w:eastAsia="Calibri" w:hAnsi="Times New Roman" w:cs="Times New Roman"/>
          <w:sz w:val="24"/>
          <w:szCs w:val="24"/>
        </w:rPr>
      </w:pPr>
      <w:r w:rsidRPr="00324C90">
        <w:rPr>
          <w:rFonts w:ascii="Times New Roman" w:eastAsia="Calibri" w:hAnsi="Times New Roman" w:cs="Times New Roman"/>
          <w:sz w:val="24"/>
          <w:szCs w:val="24"/>
        </w:rPr>
        <w:t>V rámci iných nedaňových príjmov, ktoré sú rozpočtované vo výške 2</w:t>
      </w:r>
      <w:r>
        <w:rPr>
          <w:rFonts w:ascii="Times New Roman" w:eastAsia="Calibri" w:hAnsi="Times New Roman" w:cs="Times New Roman"/>
          <w:sz w:val="24"/>
          <w:szCs w:val="24"/>
        </w:rPr>
        <w:t>53</w:t>
      </w:r>
      <w:r w:rsidRPr="00324C90">
        <w:rPr>
          <w:rFonts w:ascii="Times New Roman" w:eastAsia="Calibri" w:hAnsi="Times New Roman" w:cs="Times New Roman"/>
          <w:sz w:val="24"/>
          <w:szCs w:val="24"/>
        </w:rPr>
        <w:t xml:space="preserve"> mil. eur, najväčší objem predstavujú príjmy Národného jadrového fondu z príspevkov od prevádzkovateľov jadrových zariadení spolu vo výške </w:t>
      </w:r>
      <w:r>
        <w:rPr>
          <w:rFonts w:ascii="Times New Roman" w:eastAsia="Calibri" w:hAnsi="Times New Roman" w:cs="Times New Roman"/>
          <w:sz w:val="24"/>
          <w:szCs w:val="24"/>
        </w:rPr>
        <w:t>101</w:t>
      </w:r>
      <w:r w:rsidRPr="00324C90">
        <w:rPr>
          <w:rFonts w:ascii="Times New Roman" w:eastAsia="Calibri" w:hAnsi="Times New Roman" w:cs="Times New Roman"/>
          <w:sz w:val="24"/>
          <w:szCs w:val="24"/>
        </w:rPr>
        <w:t xml:space="preserve"> mil. eur. Verejné vysoké školy rozpočtujú iné nedaňové </w:t>
      </w:r>
      <w:r w:rsidRPr="00324C90">
        <w:rPr>
          <w:rFonts w:ascii="Times New Roman" w:eastAsia="Calibri" w:hAnsi="Times New Roman" w:cs="Times New Roman"/>
          <w:sz w:val="24"/>
          <w:szCs w:val="24"/>
        </w:rPr>
        <w:lastRenderedPageBreak/>
        <w:t xml:space="preserve">príjmy vo výške </w:t>
      </w:r>
      <w:r>
        <w:rPr>
          <w:rFonts w:ascii="Times New Roman" w:eastAsia="Calibri" w:hAnsi="Times New Roman" w:cs="Times New Roman"/>
          <w:sz w:val="24"/>
          <w:szCs w:val="24"/>
        </w:rPr>
        <w:t>71,4</w:t>
      </w:r>
      <w:r w:rsidRPr="00324C90">
        <w:rPr>
          <w:rFonts w:ascii="Times New Roman" w:eastAsia="Calibri" w:hAnsi="Times New Roman" w:cs="Times New Roman"/>
          <w:sz w:val="24"/>
          <w:szCs w:val="24"/>
        </w:rPr>
        <w:t xml:space="preserve"> mil. eur a zdravotnícke zariadenia zaradené v subsektore ústrednej správy vo výške </w:t>
      </w:r>
      <w:r>
        <w:rPr>
          <w:rFonts w:ascii="Times New Roman" w:eastAsia="Calibri" w:hAnsi="Times New Roman" w:cs="Times New Roman"/>
          <w:sz w:val="24"/>
          <w:szCs w:val="24"/>
        </w:rPr>
        <w:t>26,5</w:t>
      </w:r>
      <w:r w:rsidRPr="00324C90">
        <w:rPr>
          <w:rFonts w:ascii="Times New Roman" w:eastAsia="Calibri" w:hAnsi="Times New Roman" w:cs="Times New Roman"/>
          <w:sz w:val="24"/>
          <w:szCs w:val="24"/>
        </w:rPr>
        <w:t xml:space="preserve"> mil. eur.</w:t>
      </w:r>
    </w:p>
    <w:p w14:paraId="59588D3F" w14:textId="77777777" w:rsidR="00E64517" w:rsidRPr="00324C90" w:rsidRDefault="00E64517" w:rsidP="00E64517">
      <w:pPr>
        <w:spacing w:after="0"/>
        <w:jc w:val="both"/>
        <w:rPr>
          <w:rFonts w:ascii="Times New Roman" w:eastAsia="Calibri" w:hAnsi="Times New Roman" w:cs="Times New Roman"/>
          <w:sz w:val="24"/>
          <w:szCs w:val="24"/>
        </w:rPr>
      </w:pPr>
    </w:p>
    <w:p w14:paraId="352F9B8E" w14:textId="77777777" w:rsidR="00E64517" w:rsidRPr="00324C90" w:rsidRDefault="00E64517" w:rsidP="00E64517">
      <w:pPr>
        <w:spacing w:after="0"/>
        <w:jc w:val="both"/>
        <w:rPr>
          <w:rFonts w:ascii="Times New Roman" w:eastAsia="Calibri" w:hAnsi="Times New Roman" w:cs="Times New Roman"/>
          <w:sz w:val="24"/>
          <w:szCs w:val="24"/>
        </w:rPr>
      </w:pPr>
      <w:r w:rsidRPr="00324C90">
        <w:rPr>
          <w:rFonts w:ascii="Times New Roman" w:eastAsia="Calibri" w:hAnsi="Times New Roman" w:cs="Times New Roman"/>
          <w:sz w:val="24"/>
          <w:szCs w:val="24"/>
        </w:rPr>
        <w:t>Príjmy z grantov a transferov sú na r</w:t>
      </w:r>
      <w:r>
        <w:rPr>
          <w:rFonts w:ascii="Times New Roman" w:eastAsia="Calibri" w:hAnsi="Times New Roman" w:cs="Times New Roman"/>
          <w:sz w:val="24"/>
          <w:szCs w:val="24"/>
        </w:rPr>
        <w:t>ok 2024 rozpočtované v sume 3,14 mld. eur. Ich výšku</w:t>
      </w:r>
      <w:r w:rsidRPr="00324C90">
        <w:rPr>
          <w:rFonts w:ascii="Times New Roman" w:eastAsia="Calibri" w:hAnsi="Times New Roman" w:cs="Times New Roman"/>
          <w:sz w:val="24"/>
          <w:szCs w:val="24"/>
        </w:rPr>
        <w:t xml:space="preserve"> v jednotlivých rokoch </w:t>
      </w:r>
      <w:r>
        <w:rPr>
          <w:rFonts w:ascii="Times New Roman" w:eastAsia="Calibri" w:hAnsi="Times New Roman" w:cs="Times New Roman"/>
          <w:sz w:val="24"/>
          <w:szCs w:val="24"/>
        </w:rPr>
        <w:t xml:space="preserve">vyjadruje </w:t>
      </w:r>
      <w:r w:rsidRPr="00324C90">
        <w:rPr>
          <w:rFonts w:ascii="Times New Roman" w:eastAsia="Calibri" w:hAnsi="Times New Roman" w:cs="Times New Roman"/>
          <w:sz w:val="24"/>
          <w:szCs w:val="24"/>
        </w:rPr>
        <w:t>nasled</w:t>
      </w:r>
      <w:r>
        <w:rPr>
          <w:rFonts w:ascii="Times New Roman" w:eastAsia="Calibri" w:hAnsi="Times New Roman" w:cs="Times New Roman"/>
          <w:sz w:val="24"/>
          <w:szCs w:val="24"/>
        </w:rPr>
        <w:t>ujúca tabuľka</w:t>
      </w:r>
      <w:r w:rsidRPr="00324C90">
        <w:rPr>
          <w:rFonts w:ascii="Times New Roman" w:eastAsia="Calibri" w:hAnsi="Times New Roman" w:cs="Times New Roman"/>
          <w:sz w:val="24"/>
          <w:szCs w:val="24"/>
        </w:rPr>
        <w:t>.</w:t>
      </w:r>
    </w:p>
    <w:p w14:paraId="7E6F5F1D" w14:textId="77777777" w:rsidR="00E64517" w:rsidRPr="00192C79" w:rsidRDefault="00E64517" w:rsidP="00E64517">
      <w:pPr>
        <w:spacing w:after="0"/>
        <w:jc w:val="both"/>
        <w:rPr>
          <w:rFonts w:ascii="Times New Roman" w:eastAsia="Calibri" w:hAnsi="Times New Roman" w:cs="Times New Roman"/>
          <w:sz w:val="24"/>
          <w:szCs w:val="24"/>
        </w:rPr>
      </w:pPr>
    </w:p>
    <w:p w14:paraId="11A0D526" w14:textId="31641ED1" w:rsidR="00E64517" w:rsidRPr="00192C79" w:rsidRDefault="00E64517" w:rsidP="00E64517">
      <w:pPr>
        <w:pStyle w:val="Popis"/>
        <w:keepNext/>
        <w:spacing w:after="0"/>
        <w:rPr>
          <w:rFonts w:ascii="Times New Roman" w:hAnsi="Times New Roman" w:cs="Times New Roman"/>
          <w:b/>
          <w:i w:val="0"/>
          <w:color w:val="5B9BD5" w:themeColor="accent1"/>
          <w:sz w:val="20"/>
          <w:szCs w:val="20"/>
        </w:rPr>
      </w:pPr>
      <w:bookmarkStart w:id="135" w:name="_Toc84845263"/>
      <w:bookmarkStart w:id="136" w:name="_Toc123813908"/>
      <w:bookmarkStart w:id="137" w:name="_Toc153013038"/>
      <w:r w:rsidRPr="00192C79">
        <w:rPr>
          <w:rFonts w:ascii="Times New Roman" w:hAnsi="Times New Roman" w:cs="Times New Roman"/>
          <w:b/>
          <w:i w:val="0"/>
          <w:color w:val="5B9BD5" w:themeColor="accent1"/>
          <w:sz w:val="20"/>
          <w:szCs w:val="20"/>
        </w:rPr>
        <w:t xml:space="preserve">Tabuľka </w:t>
      </w:r>
      <w:r w:rsidRPr="00192C79">
        <w:rPr>
          <w:rFonts w:ascii="Times New Roman" w:hAnsi="Times New Roman" w:cs="Times New Roman"/>
          <w:b/>
          <w:i w:val="0"/>
          <w:color w:val="5B9BD5" w:themeColor="accent1"/>
          <w:sz w:val="20"/>
          <w:szCs w:val="20"/>
        </w:rPr>
        <w:fldChar w:fldCharType="begin"/>
      </w:r>
      <w:r w:rsidRPr="00192C79">
        <w:rPr>
          <w:rFonts w:ascii="Times New Roman" w:hAnsi="Times New Roman" w:cs="Times New Roman"/>
          <w:b/>
          <w:i w:val="0"/>
          <w:color w:val="5B9BD5" w:themeColor="accent1"/>
          <w:sz w:val="20"/>
          <w:szCs w:val="20"/>
        </w:rPr>
        <w:instrText xml:space="preserve"> SEQ Tabuľka \* ARABIC </w:instrText>
      </w:r>
      <w:r w:rsidRPr="00192C79">
        <w:rPr>
          <w:rFonts w:ascii="Times New Roman" w:hAnsi="Times New Roman" w:cs="Times New Roman"/>
          <w:b/>
          <w:i w:val="0"/>
          <w:color w:val="5B9BD5" w:themeColor="accent1"/>
          <w:sz w:val="20"/>
          <w:szCs w:val="20"/>
        </w:rPr>
        <w:fldChar w:fldCharType="separate"/>
      </w:r>
      <w:r w:rsidR="003D5A3A">
        <w:rPr>
          <w:rFonts w:ascii="Times New Roman" w:hAnsi="Times New Roman" w:cs="Times New Roman"/>
          <w:b/>
          <w:i w:val="0"/>
          <w:noProof/>
          <w:color w:val="5B9BD5" w:themeColor="accent1"/>
          <w:sz w:val="20"/>
          <w:szCs w:val="20"/>
        </w:rPr>
        <w:t>40</w:t>
      </w:r>
      <w:r w:rsidRPr="00192C79">
        <w:rPr>
          <w:rFonts w:ascii="Times New Roman" w:hAnsi="Times New Roman" w:cs="Times New Roman"/>
          <w:b/>
          <w:i w:val="0"/>
          <w:color w:val="5B9BD5" w:themeColor="accent1"/>
          <w:sz w:val="20"/>
          <w:szCs w:val="20"/>
        </w:rPr>
        <w:fldChar w:fldCharType="end"/>
      </w:r>
      <w:r w:rsidRPr="00192C79">
        <w:rPr>
          <w:rFonts w:ascii="Times New Roman" w:hAnsi="Times New Roman" w:cs="Times New Roman"/>
          <w:b/>
          <w:i w:val="0"/>
          <w:color w:val="5B9BD5" w:themeColor="accent1"/>
          <w:sz w:val="20"/>
          <w:szCs w:val="20"/>
        </w:rPr>
        <w:t xml:space="preserve"> - Príjmy ostatných subjektov ústrednej správy z grantov a transferov</w:t>
      </w:r>
      <w:bookmarkEnd w:id="135"/>
      <w:bookmarkEnd w:id="136"/>
      <w:bookmarkEnd w:id="137"/>
    </w:p>
    <w:tbl>
      <w:tblPr>
        <w:tblW w:w="5000" w:type="pct"/>
        <w:tblCellMar>
          <w:left w:w="70" w:type="dxa"/>
          <w:right w:w="70" w:type="dxa"/>
        </w:tblCellMar>
        <w:tblLook w:val="04A0" w:firstRow="1" w:lastRow="0" w:firstColumn="1" w:lastColumn="0" w:noHBand="0" w:noVBand="1"/>
      </w:tblPr>
      <w:tblGrid>
        <w:gridCol w:w="2648"/>
        <w:gridCol w:w="918"/>
        <w:gridCol w:w="918"/>
        <w:gridCol w:w="918"/>
        <w:gridCol w:w="918"/>
        <w:gridCol w:w="918"/>
        <w:gridCol w:w="918"/>
        <w:gridCol w:w="916"/>
      </w:tblGrid>
      <w:tr w:rsidR="00E64517" w:rsidRPr="00EF0FC0" w14:paraId="64CF73EC" w14:textId="77777777" w:rsidTr="00B63F1A">
        <w:trPr>
          <w:trHeight w:val="289"/>
        </w:trPr>
        <w:tc>
          <w:tcPr>
            <w:tcW w:w="1459" w:type="pct"/>
            <w:tcBorders>
              <w:top w:val="single" w:sz="4" w:space="0" w:color="auto"/>
              <w:left w:val="nil"/>
              <w:bottom w:val="single" w:sz="4" w:space="0" w:color="auto"/>
              <w:right w:val="nil"/>
            </w:tcBorders>
            <w:shd w:val="clear" w:color="auto" w:fill="auto"/>
            <w:noWrap/>
            <w:vAlign w:val="center"/>
            <w:hideMark/>
          </w:tcPr>
          <w:p w14:paraId="621DBEC9" w14:textId="77777777" w:rsidR="00E64517" w:rsidRPr="00EF0FC0" w:rsidRDefault="00E64517" w:rsidP="00B63F1A">
            <w:pPr>
              <w:spacing w:after="0" w:line="240" w:lineRule="auto"/>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 v tis. eur</w:t>
            </w:r>
          </w:p>
        </w:tc>
        <w:tc>
          <w:tcPr>
            <w:tcW w:w="506" w:type="pct"/>
            <w:tcBorders>
              <w:top w:val="single" w:sz="4" w:space="0" w:color="auto"/>
              <w:left w:val="nil"/>
              <w:bottom w:val="single" w:sz="4" w:space="0" w:color="auto"/>
              <w:right w:val="nil"/>
            </w:tcBorders>
            <w:shd w:val="clear" w:color="auto" w:fill="auto"/>
            <w:noWrap/>
            <w:vAlign w:val="center"/>
            <w:hideMark/>
          </w:tcPr>
          <w:p w14:paraId="2A2D16C3"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2021 S</w:t>
            </w:r>
          </w:p>
        </w:tc>
        <w:tc>
          <w:tcPr>
            <w:tcW w:w="506" w:type="pct"/>
            <w:tcBorders>
              <w:top w:val="single" w:sz="4" w:space="0" w:color="auto"/>
              <w:left w:val="nil"/>
              <w:bottom w:val="single" w:sz="4" w:space="0" w:color="auto"/>
              <w:right w:val="nil"/>
            </w:tcBorders>
            <w:shd w:val="clear" w:color="auto" w:fill="auto"/>
            <w:noWrap/>
            <w:vAlign w:val="center"/>
            <w:hideMark/>
          </w:tcPr>
          <w:p w14:paraId="1ECF0657"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2022 S</w:t>
            </w:r>
          </w:p>
        </w:tc>
        <w:tc>
          <w:tcPr>
            <w:tcW w:w="506" w:type="pct"/>
            <w:tcBorders>
              <w:top w:val="single" w:sz="4" w:space="0" w:color="auto"/>
              <w:left w:val="nil"/>
              <w:bottom w:val="single" w:sz="4" w:space="0" w:color="auto"/>
              <w:right w:val="nil"/>
            </w:tcBorders>
            <w:shd w:val="clear" w:color="auto" w:fill="auto"/>
            <w:noWrap/>
            <w:vAlign w:val="center"/>
            <w:hideMark/>
          </w:tcPr>
          <w:p w14:paraId="073306BC"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2023 R</w:t>
            </w:r>
          </w:p>
        </w:tc>
        <w:tc>
          <w:tcPr>
            <w:tcW w:w="506" w:type="pct"/>
            <w:tcBorders>
              <w:top w:val="single" w:sz="4" w:space="0" w:color="auto"/>
              <w:left w:val="nil"/>
              <w:bottom w:val="single" w:sz="4" w:space="0" w:color="auto"/>
              <w:right w:val="nil"/>
            </w:tcBorders>
            <w:shd w:val="clear" w:color="auto" w:fill="auto"/>
            <w:noWrap/>
            <w:vAlign w:val="center"/>
            <w:hideMark/>
          </w:tcPr>
          <w:p w14:paraId="4B960694"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2023 OS</w:t>
            </w:r>
          </w:p>
        </w:tc>
        <w:tc>
          <w:tcPr>
            <w:tcW w:w="506" w:type="pct"/>
            <w:tcBorders>
              <w:top w:val="single" w:sz="4" w:space="0" w:color="auto"/>
              <w:left w:val="nil"/>
              <w:bottom w:val="single" w:sz="4" w:space="0" w:color="auto"/>
              <w:right w:val="nil"/>
            </w:tcBorders>
            <w:shd w:val="clear" w:color="auto" w:fill="auto"/>
            <w:noWrap/>
            <w:vAlign w:val="center"/>
            <w:hideMark/>
          </w:tcPr>
          <w:p w14:paraId="55874304"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2024 N</w:t>
            </w:r>
          </w:p>
        </w:tc>
        <w:tc>
          <w:tcPr>
            <w:tcW w:w="506" w:type="pct"/>
            <w:tcBorders>
              <w:top w:val="single" w:sz="4" w:space="0" w:color="auto"/>
              <w:left w:val="nil"/>
              <w:bottom w:val="single" w:sz="4" w:space="0" w:color="auto"/>
              <w:right w:val="nil"/>
            </w:tcBorders>
            <w:shd w:val="clear" w:color="auto" w:fill="auto"/>
            <w:noWrap/>
            <w:vAlign w:val="center"/>
            <w:hideMark/>
          </w:tcPr>
          <w:p w14:paraId="4122D5D5"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2025 N</w:t>
            </w:r>
          </w:p>
        </w:tc>
        <w:tc>
          <w:tcPr>
            <w:tcW w:w="506" w:type="pct"/>
            <w:tcBorders>
              <w:top w:val="single" w:sz="4" w:space="0" w:color="auto"/>
              <w:left w:val="nil"/>
              <w:bottom w:val="single" w:sz="4" w:space="0" w:color="auto"/>
              <w:right w:val="nil"/>
            </w:tcBorders>
            <w:shd w:val="clear" w:color="auto" w:fill="auto"/>
            <w:noWrap/>
            <w:vAlign w:val="center"/>
            <w:hideMark/>
          </w:tcPr>
          <w:p w14:paraId="70721D00"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2026 N</w:t>
            </w:r>
          </w:p>
        </w:tc>
      </w:tr>
      <w:tr w:rsidR="00E64517" w:rsidRPr="00EF0FC0" w14:paraId="51AD41D9" w14:textId="77777777" w:rsidTr="00B63F1A">
        <w:trPr>
          <w:trHeight w:val="289"/>
        </w:trPr>
        <w:tc>
          <w:tcPr>
            <w:tcW w:w="1459" w:type="pct"/>
            <w:tcBorders>
              <w:top w:val="nil"/>
              <w:left w:val="nil"/>
              <w:bottom w:val="nil"/>
              <w:right w:val="nil"/>
            </w:tcBorders>
            <w:shd w:val="clear" w:color="auto" w:fill="auto"/>
            <w:noWrap/>
            <w:vAlign w:val="center"/>
            <w:hideMark/>
          </w:tcPr>
          <w:p w14:paraId="059F065F" w14:textId="77777777" w:rsidR="00E64517" w:rsidRPr="00EF0FC0" w:rsidRDefault="00E64517" w:rsidP="00B63F1A">
            <w:pPr>
              <w:spacing w:after="0" w:line="240" w:lineRule="auto"/>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Granty a transfery</w:t>
            </w:r>
          </w:p>
        </w:tc>
        <w:tc>
          <w:tcPr>
            <w:tcW w:w="506" w:type="pct"/>
            <w:tcBorders>
              <w:top w:val="nil"/>
              <w:left w:val="nil"/>
              <w:bottom w:val="nil"/>
              <w:right w:val="nil"/>
            </w:tcBorders>
            <w:shd w:val="clear" w:color="auto" w:fill="auto"/>
            <w:noWrap/>
            <w:vAlign w:val="center"/>
            <w:hideMark/>
          </w:tcPr>
          <w:p w14:paraId="40C411A0"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3 889 079</w:t>
            </w:r>
          </w:p>
        </w:tc>
        <w:tc>
          <w:tcPr>
            <w:tcW w:w="506" w:type="pct"/>
            <w:tcBorders>
              <w:top w:val="nil"/>
              <w:left w:val="nil"/>
              <w:bottom w:val="nil"/>
              <w:right w:val="nil"/>
            </w:tcBorders>
            <w:shd w:val="clear" w:color="auto" w:fill="auto"/>
            <w:noWrap/>
            <w:vAlign w:val="center"/>
            <w:hideMark/>
          </w:tcPr>
          <w:p w14:paraId="3CE4F9EC"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4 590 069</w:t>
            </w:r>
          </w:p>
        </w:tc>
        <w:tc>
          <w:tcPr>
            <w:tcW w:w="506" w:type="pct"/>
            <w:tcBorders>
              <w:top w:val="nil"/>
              <w:left w:val="nil"/>
              <w:bottom w:val="nil"/>
              <w:right w:val="nil"/>
            </w:tcBorders>
            <w:shd w:val="clear" w:color="auto" w:fill="auto"/>
            <w:noWrap/>
            <w:vAlign w:val="center"/>
            <w:hideMark/>
          </w:tcPr>
          <w:p w14:paraId="3754A18F"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2 794 163</w:t>
            </w:r>
          </w:p>
        </w:tc>
        <w:tc>
          <w:tcPr>
            <w:tcW w:w="506" w:type="pct"/>
            <w:tcBorders>
              <w:top w:val="nil"/>
              <w:left w:val="nil"/>
              <w:bottom w:val="nil"/>
              <w:right w:val="nil"/>
            </w:tcBorders>
            <w:shd w:val="clear" w:color="auto" w:fill="auto"/>
            <w:noWrap/>
            <w:vAlign w:val="center"/>
            <w:hideMark/>
          </w:tcPr>
          <w:p w14:paraId="44C6C816"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5 044 576</w:t>
            </w:r>
          </w:p>
        </w:tc>
        <w:tc>
          <w:tcPr>
            <w:tcW w:w="506" w:type="pct"/>
            <w:tcBorders>
              <w:top w:val="nil"/>
              <w:left w:val="nil"/>
              <w:bottom w:val="nil"/>
              <w:right w:val="nil"/>
            </w:tcBorders>
            <w:shd w:val="clear" w:color="auto" w:fill="auto"/>
            <w:noWrap/>
            <w:vAlign w:val="center"/>
            <w:hideMark/>
          </w:tcPr>
          <w:p w14:paraId="18F6C55E"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3 136 110</w:t>
            </w:r>
          </w:p>
        </w:tc>
        <w:tc>
          <w:tcPr>
            <w:tcW w:w="506" w:type="pct"/>
            <w:tcBorders>
              <w:top w:val="nil"/>
              <w:left w:val="nil"/>
              <w:bottom w:val="nil"/>
              <w:right w:val="nil"/>
            </w:tcBorders>
            <w:shd w:val="clear" w:color="auto" w:fill="auto"/>
            <w:noWrap/>
            <w:vAlign w:val="center"/>
            <w:hideMark/>
          </w:tcPr>
          <w:p w14:paraId="4DFE64AA"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3 382 782</w:t>
            </w:r>
          </w:p>
        </w:tc>
        <w:tc>
          <w:tcPr>
            <w:tcW w:w="506" w:type="pct"/>
            <w:tcBorders>
              <w:top w:val="nil"/>
              <w:left w:val="nil"/>
              <w:bottom w:val="nil"/>
              <w:right w:val="nil"/>
            </w:tcBorders>
            <w:shd w:val="clear" w:color="auto" w:fill="auto"/>
            <w:noWrap/>
            <w:vAlign w:val="center"/>
            <w:hideMark/>
          </w:tcPr>
          <w:p w14:paraId="3368AC78" w14:textId="77777777" w:rsidR="00E64517" w:rsidRPr="00EF0FC0" w:rsidRDefault="00E64517" w:rsidP="00B63F1A">
            <w:pPr>
              <w:spacing w:after="0" w:line="240" w:lineRule="auto"/>
              <w:jc w:val="right"/>
              <w:rPr>
                <w:rFonts w:ascii="Times New Roman" w:eastAsia="Times New Roman" w:hAnsi="Times New Roman" w:cs="Times New Roman"/>
                <w:b/>
                <w:bCs/>
                <w:color w:val="000000"/>
                <w:sz w:val="16"/>
                <w:szCs w:val="16"/>
                <w:lang w:eastAsia="sk-SK"/>
              </w:rPr>
            </w:pPr>
            <w:r w:rsidRPr="00EF0FC0">
              <w:rPr>
                <w:rFonts w:ascii="Times New Roman" w:eastAsia="Times New Roman" w:hAnsi="Times New Roman" w:cs="Times New Roman"/>
                <w:b/>
                <w:bCs/>
                <w:color w:val="000000"/>
                <w:sz w:val="16"/>
                <w:szCs w:val="16"/>
                <w:lang w:eastAsia="sk-SK"/>
              </w:rPr>
              <w:t>3 340 678</w:t>
            </w:r>
          </w:p>
        </w:tc>
      </w:tr>
      <w:tr w:rsidR="00E64517" w:rsidRPr="00EF0FC0" w14:paraId="1DE8ED59" w14:textId="77777777" w:rsidTr="00B63F1A">
        <w:trPr>
          <w:trHeight w:val="289"/>
        </w:trPr>
        <w:tc>
          <w:tcPr>
            <w:tcW w:w="1459" w:type="pct"/>
            <w:tcBorders>
              <w:top w:val="nil"/>
              <w:left w:val="nil"/>
              <w:bottom w:val="nil"/>
              <w:right w:val="nil"/>
            </w:tcBorders>
            <w:shd w:val="clear" w:color="auto" w:fill="auto"/>
            <w:noWrap/>
            <w:vAlign w:val="center"/>
            <w:hideMark/>
          </w:tcPr>
          <w:p w14:paraId="7EC3FBE4" w14:textId="77777777" w:rsidR="00E64517" w:rsidRPr="00EF0FC0" w:rsidRDefault="00E64517" w:rsidP="00B63F1A">
            <w:pPr>
              <w:spacing w:after="0" w:line="240" w:lineRule="auto"/>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Tuzemské granty a transfery</w:t>
            </w:r>
          </w:p>
        </w:tc>
        <w:tc>
          <w:tcPr>
            <w:tcW w:w="506" w:type="pct"/>
            <w:tcBorders>
              <w:top w:val="nil"/>
              <w:left w:val="nil"/>
              <w:bottom w:val="nil"/>
              <w:right w:val="nil"/>
            </w:tcBorders>
            <w:shd w:val="clear" w:color="auto" w:fill="auto"/>
            <w:noWrap/>
            <w:vAlign w:val="center"/>
            <w:hideMark/>
          </w:tcPr>
          <w:p w14:paraId="3FA366C5"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3 822 542</w:t>
            </w:r>
          </w:p>
        </w:tc>
        <w:tc>
          <w:tcPr>
            <w:tcW w:w="506" w:type="pct"/>
            <w:tcBorders>
              <w:top w:val="nil"/>
              <w:left w:val="nil"/>
              <w:bottom w:val="nil"/>
              <w:right w:val="nil"/>
            </w:tcBorders>
            <w:shd w:val="clear" w:color="auto" w:fill="auto"/>
            <w:noWrap/>
            <w:vAlign w:val="center"/>
            <w:hideMark/>
          </w:tcPr>
          <w:p w14:paraId="7AAA60AA"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4 294 890</w:t>
            </w:r>
          </w:p>
        </w:tc>
        <w:tc>
          <w:tcPr>
            <w:tcW w:w="506" w:type="pct"/>
            <w:tcBorders>
              <w:top w:val="nil"/>
              <w:left w:val="nil"/>
              <w:bottom w:val="nil"/>
              <w:right w:val="nil"/>
            </w:tcBorders>
            <w:shd w:val="clear" w:color="auto" w:fill="auto"/>
            <w:noWrap/>
            <w:vAlign w:val="center"/>
            <w:hideMark/>
          </w:tcPr>
          <w:p w14:paraId="754B5670"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2 641 749</w:t>
            </w:r>
          </w:p>
        </w:tc>
        <w:tc>
          <w:tcPr>
            <w:tcW w:w="506" w:type="pct"/>
            <w:tcBorders>
              <w:top w:val="nil"/>
              <w:left w:val="nil"/>
              <w:bottom w:val="nil"/>
              <w:right w:val="nil"/>
            </w:tcBorders>
            <w:shd w:val="clear" w:color="auto" w:fill="auto"/>
            <w:noWrap/>
            <w:vAlign w:val="center"/>
            <w:hideMark/>
          </w:tcPr>
          <w:p w14:paraId="663FEA1E"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4 837 787</w:t>
            </w:r>
          </w:p>
        </w:tc>
        <w:tc>
          <w:tcPr>
            <w:tcW w:w="506" w:type="pct"/>
            <w:tcBorders>
              <w:top w:val="nil"/>
              <w:left w:val="nil"/>
              <w:bottom w:val="nil"/>
              <w:right w:val="nil"/>
            </w:tcBorders>
            <w:shd w:val="clear" w:color="auto" w:fill="auto"/>
            <w:noWrap/>
            <w:vAlign w:val="center"/>
            <w:hideMark/>
          </w:tcPr>
          <w:p w14:paraId="3D055C3D"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2 864 841</w:t>
            </w:r>
          </w:p>
        </w:tc>
        <w:tc>
          <w:tcPr>
            <w:tcW w:w="506" w:type="pct"/>
            <w:tcBorders>
              <w:top w:val="nil"/>
              <w:left w:val="nil"/>
              <w:bottom w:val="nil"/>
              <w:right w:val="nil"/>
            </w:tcBorders>
            <w:shd w:val="clear" w:color="auto" w:fill="auto"/>
            <w:noWrap/>
            <w:vAlign w:val="center"/>
            <w:hideMark/>
          </w:tcPr>
          <w:p w14:paraId="11B053C0"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3 250 058</w:t>
            </w:r>
          </w:p>
        </w:tc>
        <w:tc>
          <w:tcPr>
            <w:tcW w:w="506" w:type="pct"/>
            <w:tcBorders>
              <w:top w:val="nil"/>
              <w:left w:val="nil"/>
              <w:bottom w:val="nil"/>
              <w:right w:val="nil"/>
            </w:tcBorders>
            <w:shd w:val="clear" w:color="auto" w:fill="auto"/>
            <w:noWrap/>
            <w:vAlign w:val="center"/>
            <w:hideMark/>
          </w:tcPr>
          <w:p w14:paraId="34899A15"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3 238 760</w:t>
            </w:r>
          </w:p>
        </w:tc>
      </w:tr>
      <w:tr w:rsidR="00E64517" w:rsidRPr="00EF0FC0" w14:paraId="549B8A8E" w14:textId="77777777" w:rsidTr="00B63F1A">
        <w:trPr>
          <w:trHeight w:val="289"/>
        </w:trPr>
        <w:tc>
          <w:tcPr>
            <w:tcW w:w="1459" w:type="pct"/>
            <w:tcBorders>
              <w:top w:val="nil"/>
              <w:left w:val="nil"/>
              <w:bottom w:val="single" w:sz="4" w:space="0" w:color="auto"/>
              <w:right w:val="nil"/>
            </w:tcBorders>
            <w:shd w:val="clear" w:color="auto" w:fill="auto"/>
            <w:noWrap/>
            <w:vAlign w:val="center"/>
            <w:hideMark/>
          </w:tcPr>
          <w:p w14:paraId="0BE64162" w14:textId="77777777" w:rsidR="00E64517" w:rsidRPr="00EF0FC0" w:rsidRDefault="00E64517" w:rsidP="00B63F1A">
            <w:pPr>
              <w:spacing w:after="0" w:line="240" w:lineRule="auto"/>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Zahraničné granty</w:t>
            </w:r>
          </w:p>
        </w:tc>
        <w:tc>
          <w:tcPr>
            <w:tcW w:w="506" w:type="pct"/>
            <w:tcBorders>
              <w:top w:val="nil"/>
              <w:left w:val="nil"/>
              <w:bottom w:val="single" w:sz="4" w:space="0" w:color="auto"/>
              <w:right w:val="nil"/>
            </w:tcBorders>
            <w:shd w:val="clear" w:color="auto" w:fill="auto"/>
            <w:noWrap/>
            <w:vAlign w:val="center"/>
            <w:hideMark/>
          </w:tcPr>
          <w:p w14:paraId="1B66FC1C"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66 537</w:t>
            </w:r>
          </w:p>
        </w:tc>
        <w:tc>
          <w:tcPr>
            <w:tcW w:w="506" w:type="pct"/>
            <w:tcBorders>
              <w:top w:val="nil"/>
              <w:left w:val="nil"/>
              <w:bottom w:val="single" w:sz="4" w:space="0" w:color="auto"/>
              <w:right w:val="nil"/>
            </w:tcBorders>
            <w:shd w:val="clear" w:color="auto" w:fill="auto"/>
            <w:noWrap/>
            <w:vAlign w:val="center"/>
            <w:hideMark/>
          </w:tcPr>
          <w:p w14:paraId="58E277CA"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295 179</w:t>
            </w:r>
          </w:p>
        </w:tc>
        <w:tc>
          <w:tcPr>
            <w:tcW w:w="506" w:type="pct"/>
            <w:tcBorders>
              <w:top w:val="nil"/>
              <w:left w:val="nil"/>
              <w:bottom w:val="single" w:sz="4" w:space="0" w:color="auto"/>
              <w:right w:val="nil"/>
            </w:tcBorders>
            <w:shd w:val="clear" w:color="auto" w:fill="auto"/>
            <w:noWrap/>
            <w:vAlign w:val="center"/>
            <w:hideMark/>
          </w:tcPr>
          <w:p w14:paraId="031A7460"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152 414</w:t>
            </w:r>
          </w:p>
        </w:tc>
        <w:tc>
          <w:tcPr>
            <w:tcW w:w="506" w:type="pct"/>
            <w:tcBorders>
              <w:top w:val="nil"/>
              <w:left w:val="nil"/>
              <w:bottom w:val="single" w:sz="4" w:space="0" w:color="auto"/>
              <w:right w:val="nil"/>
            </w:tcBorders>
            <w:shd w:val="clear" w:color="auto" w:fill="auto"/>
            <w:noWrap/>
            <w:vAlign w:val="center"/>
            <w:hideMark/>
          </w:tcPr>
          <w:p w14:paraId="28EF413F"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206 789</w:t>
            </w:r>
          </w:p>
        </w:tc>
        <w:tc>
          <w:tcPr>
            <w:tcW w:w="506" w:type="pct"/>
            <w:tcBorders>
              <w:top w:val="nil"/>
              <w:left w:val="nil"/>
              <w:bottom w:val="single" w:sz="4" w:space="0" w:color="auto"/>
              <w:right w:val="nil"/>
            </w:tcBorders>
            <w:shd w:val="clear" w:color="auto" w:fill="auto"/>
            <w:noWrap/>
            <w:vAlign w:val="center"/>
            <w:hideMark/>
          </w:tcPr>
          <w:p w14:paraId="7DA6D478"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271 269</w:t>
            </w:r>
          </w:p>
        </w:tc>
        <w:tc>
          <w:tcPr>
            <w:tcW w:w="506" w:type="pct"/>
            <w:tcBorders>
              <w:top w:val="nil"/>
              <w:left w:val="nil"/>
              <w:bottom w:val="single" w:sz="4" w:space="0" w:color="auto"/>
              <w:right w:val="nil"/>
            </w:tcBorders>
            <w:shd w:val="clear" w:color="auto" w:fill="auto"/>
            <w:noWrap/>
            <w:vAlign w:val="center"/>
            <w:hideMark/>
          </w:tcPr>
          <w:p w14:paraId="0431F47C"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132 724</w:t>
            </w:r>
          </w:p>
        </w:tc>
        <w:tc>
          <w:tcPr>
            <w:tcW w:w="506" w:type="pct"/>
            <w:tcBorders>
              <w:top w:val="nil"/>
              <w:left w:val="nil"/>
              <w:bottom w:val="single" w:sz="4" w:space="0" w:color="auto"/>
              <w:right w:val="nil"/>
            </w:tcBorders>
            <w:shd w:val="clear" w:color="auto" w:fill="auto"/>
            <w:noWrap/>
            <w:vAlign w:val="center"/>
            <w:hideMark/>
          </w:tcPr>
          <w:p w14:paraId="0B7CFA50" w14:textId="77777777" w:rsidR="00E64517" w:rsidRPr="00EF0FC0" w:rsidRDefault="00E64517" w:rsidP="00B63F1A">
            <w:pPr>
              <w:spacing w:after="0" w:line="240" w:lineRule="auto"/>
              <w:jc w:val="right"/>
              <w:rPr>
                <w:rFonts w:ascii="Times New Roman" w:eastAsia="Times New Roman" w:hAnsi="Times New Roman" w:cs="Times New Roman"/>
                <w:color w:val="000000"/>
                <w:sz w:val="16"/>
                <w:szCs w:val="16"/>
                <w:lang w:eastAsia="sk-SK"/>
              </w:rPr>
            </w:pPr>
            <w:r w:rsidRPr="00EF0FC0">
              <w:rPr>
                <w:rFonts w:ascii="Times New Roman" w:eastAsia="Times New Roman" w:hAnsi="Times New Roman" w:cs="Times New Roman"/>
                <w:color w:val="000000"/>
                <w:sz w:val="16"/>
                <w:szCs w:val="16"/>
                <w:lang w:eastAsia="sk-SK"/>
              </w:rPr>
              <w:t>101 918</w:t>
            </w:r>
          </w:p>
        </w:tc>
      </w:tr>
    </w:tbl>
    <w:p w14:paraId="6E1F4BF7" w14:textId="77777777" w:rsidR="00E64517" w:rsidRPr="00192C79" w:rsidRDefault="00E64517" w:rsidP="00E64517">
      <w:pPr>
        <w:spacing w:after="0"/>
        <w:rPr>
          <w:rFonts w:ascii="Times New Roman" w:eastAsia="Calibri" w:hAnsi="Times New Roman" w:cs="Times New Roman"/>
          <w:i/>
        </w:rPr>
      </w:pPr>
      <w:r w:rsidRPr="00192C79">
        <w:rPr>
          <w:rFonts w:ascii="Times New Roman" w:eastAsia="Calibri" w:hAnsi="Times New Roman" w:cs="Times New Roman"/>
          <w:sz w:val="16"/>
          <w:szCs w:val="16"/>
        </w:rPr>
        <w:t xml:space="preserve">     </w:t>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sz w:val="16"/>
          <w:szCs w:val="16"/>
        </w:rPr>
        <w:tab/>
      </w:r>
      <w:r w:rsidRPr="00192C79">
        <w:rPr>
          <w:rFonts w:ascii="Times New Roman" w:eastAsia="Calibri" w:hAnsi="Times New Roman" w:cs="Times New Roman"/>
          <w:i/>
          <w:sz w:val="16"/>
          <w:szCs w:val="16"/>
        </w:rPr>
        <w:t xml:space="preserve">     Zdroj: MF SR</w:t>
      </w:r>
    </w:p>
    <w:p w14:paraId="41B22F87" w14:textId="77777777" w:rsidR="00E64517" w:rsidRPr="00192C79" w:rsidRDefault="00E64517" w:rsidP="00E64517">
      <w:pPr>
        <w:spacing w:after="0"/>
        <w:rPr>
          <w:rFonts w:ascii="Times New Roman" w:eastAsia="Calibri" w:hAnsi="Times New Roman" w:cs="Times New Roman"/>
          <w:sz w:val="24"/>
          <w:szCs w:val="24"/>
        </w:rPr>
      </w:pPr>
    </w:p>
    <w:p w14:paraId="6BD61DFD" w14:textId="77777777" w:rsidR="00E64517" w:rsidRPr="00324C90" w:rsidRDefault="00E64517" w:rsidP="00E64517">
      <w:pPr>
        <w:spacing w:after="0"/>
        <w:jc w:val="both"/>
        <w:rPr>
          <w:rFonts w:ascii="Times New Roman" w:eastAsia="Calibri" w:hAnsi="Times New Roman" w:cs="Times New Roman"/>
          <w:sz w:val="24"/>
          <w:szCs w:val="24"/>
        </w:rPr>
      </w:pPr>
      <w:r w:rsidRPr="00324C90">
        <w:rPr>
          <w:rFonts w:ascii="Times New Roman" w:eastAsia="Calibri" w:hAnsi="Times New Roman" w:cs="Times New Roman"/>
          <w:sz w:val="24"/>
          <w:szCs w:val="24"/>
        </w:rPr>
        <w:t>Na rozpočtovanej sume príjmov z grantov a transferov sa najviac podieľajú príjmy z tuzemských grantov a transferov rozp</w:t>
      </w:r>
      <w:r>
        <w:rPr>
          <w:rFonts w:ascii="Times New Roman" w:eastAsia="Calibri" w:hAnsi="Times New Roman" w:cs="Times New Roman"/>
          <w:sz w:val="24"/>
          <w:szCs w:val="24"/>
        </w:rPr>
        <w:t>očtované na rok 2024 v sume 2,86</w:t>
      </w:r>
      <w:r w:rsidRPr="00324C90">
        <w:rPr>
          <w:rFonts w:ascii="Times New Roman" w:eastAsia="Calibri" w:hAnsi="Times New Roman" w:cs="Times New Roman"/>
          <w:sz w:val="24"/>
          <w:szCs w:val="24"/>
        </w:rPr>
        <w:t xml:space="preserve"> mld. eur, z ktorej väčšinu tvoria poskytnuté transfery zo štátneho rozpočtu. Najväčší objem transferov je poskytnutý spoločnostiam v pôsobnosti ministerstva dopravy, verejným vysokým školám, verejným výskumným inštitúciám</w:t>
      </w:r>
      <w:r>
        <w:rPr>
          <w:rFonts w:ascii="Times New Roman" w:eastAsia="Calibri" w:hAnsi="Times New Roman" w:cs="Times New Roman"/>
          <w:sz w:val="24"/>
          <w:szCs w:val="24"/>
        </w:rPr>
        <w:t>, Rozhlasu a televízii Slovenska</w:t>
      </w:r>
      <w:r w:rsidRPr="00324C90">
        <w:rPr>
          <w:rFonts w:ascii="Times New Roman" w:eastAsia="Calibri" w:hAnsi="Times New Roman" w:cs="Times New Roman"/>
          <w:sz w:val="24"/>
          <w:szCs w:val="24"/>
        </w:rPr>
        <w:t xml:space="preserve"> a príspevkovým organizáciám štátu.</w:t>
      </w:r>
    </w:p>
    <w:p w14:paraId="10496BD9" w14:textId="77777777" w:rsidR="00E64517" w:rsidRPr="00324C90" w:rsidRDefault="00E64517" w:rsidP="00E64517">
      <w:pPr>
        <w:spacing w:after="0"/>
        <w:jc w:val="both"/>
        <w:rPr>
          <w:rFonts w:ascii="Times New Roman" w:eastAsia="Calibri" w:hAnsi="Times New Roman" w:cs="Times New Roman"/>
          <w:sz w:val="24"/>
          <w:szCs w:val="24"/>
        </w:rPr>
      </w:pPr>
    </w:p>
    <w:p w14:paraId="6BBB1DE6" w14:textId="77777777" w:rsidR="00E64517" w:rsidRPr="00324C90" w:rsidRDefault="00E64517" w:rsidP="00E64517">
      <w:pPr>
        <w:spacing w:after="0"/>
        <w:jc w:val="both"/>
        <w:rPr>
          <w:rFonts w:ascii="Times New Roman" w:eastAsia="Calibri" w:hAnsi="Times New Roman" w:cs="Times New Roman"/>
          <w:sz w:val="24"/>
          <w:szCs w:val="24"/>
        </w:rPr>
      </w:pPr>
      <w:r w:rsidRPr="00324C90">
        <w:rPr>
          <w:rFonts w:ascii="Times New Roman" w:eastAsia="Calibri" w:hAnsi="Times New Roman" w:cs="Times New Roman"/>
          <w:sz w:val="24"/>
          <w:szCs w:val="24"/>
        </w:rPr>
        <w:t xml:space="preserve">Na celkovej rozpočtovanej sume </w:t>
      </w:r>
      <w:r>
        <w:rPr>
          <w:rFonts w:ascii="Times New Roman" w:eastAsia="Calibri" w:hAnsi="Times New Roman" w:cs="Times New Roman"/>
          <w:sz w:val="24"/>
          <w:szCs w:val="24"/>
        </w:rPr>
        <w:t>zahraničných grantov na rok 2024</w:t>
      </w:r>
      <w:r w:rsidRPr="00324C90">
        <w:rPr>
          <w:rFonts w:ascii="Times New Roman" w:eastAsia="Calibri" w:hAnsi="Times New Roman" w:cs="Times New Roman"/>
          <w:sz w:val="24"/>
          <w:szCs w:val="24"/>
        </w:rPr>
        <w:t xml:space="preserve"> vo výške </w:t>
      </w:r>
      <w:r>
        <w:rPr>
          <w:rFonts w:ascii="Times New Roman" w:eastAsia="Calibri" w:hAnsi="Times New Roman" w:cs="Times New Roman"/>
          <w:sz w:val="24"/>
          <w:szCs w:val="24"/>
        </w:rPr>
        <w:t>271</w:t>
      </w:r>
      <w:r w:rsidRPr="00324C90">
        <w:rPr>
          <w:rFonts w:ascii="Times New Roman" w:eastAsia="Calibri" w:hAnsi="Times New Roman" w:cs="Times New Roman"/>
          <w:sz w:val="24"/>
          <w:szCs w:val="24"/>
        </w:rPr>
        <w:t xml:space="preserve"> mil. eur sa najviac podieľajú zahraničné granty z Modernizačného fondu určené Environmentálnemu fondu vo výške 100 mil. eur a zahraničné granty z Nástroja na prepájanie Európy (CEF) určené Železniciam Slovenskej republiky vo výške </w:t>
      </w:r>
      <w:r>
        <w:rPr>
          <w:rFonts w:ascii="Times New Roman" w:eastAsia="Calibri" w:hAnsi="Times New Roman" w:cs="Times New Roman"/>
          <w:sz w:val="24"/>
          <w:szCs w:val="24"/>
        </w:rPr>
        <w:t>152,3</w:t>
      </w:r>
      <w:r w:rsidRPr="00324C90">
        <w:rPr>
          <w:rFonts w:ascii="Times New Roman" w:eastAsia="Calibri" w:hAnsi="Times New Roman" w:cs="Times New Roman"/>
          <w:sz w:val="24"/>
          <w:szCs w:val="24"/>
        </w:rPr>
        <w:t xml:space="preserve"> mil. eur. Zahraničné granty Jadrovej a vyraďovacej spoločnosti, a. s. z Medzinárodného fondu na podporu odstavenia JE V1 Bohunice (BIDSF) sa rozpočtujú vo výške </w:t>
      </w:r>
      <w:r>
        <w:rPr>
          <w:rFonts w:ascii="Times New Roman" w:eastAsia="Calibri" w:hAnsi="Times New Roman" w:cs="Times New Roman"/>
          <w:sz w:val="24"/>
          <w:szCs w:val="24"/>
        </w:rPr>
        <w:t>14,3</w:t>
      </w:r>
      <w:r w:rsidRPr="00324C90">
        <w:rPr>
          <w:rFonts w:ascii="Times New Roman" w:eastAsia="Calibri" w:hAnsi="Times New Roman" w:cs="Times New Roman"/>
          <w:sz w:val="24"/>
          <w:szCs w:val="24"/>
        </w:rPr>
        <w:t xml:space="preserve"> mil. eur.</w:t>
      </w:r>
    </w:p>
    <w:p w14:paraId="0476F7FF" w14:textId="77777777" w:rsidR="009821A0" w:rsidRDefault="009821A0" w:rsidP="00192C79">
      <w:pPr>
        <w:spacing w:after="0"/>
        <w:jc w:val="both"/>
        <w:rPr>
          <w:rFonts w:ascii="Times New Roman" w:eastAsia="Calibri" w:hAnsi="Times New Roman" w:cs="Times New Roman"/>
          <w:sz w:val="24"/>
          <w:szCs w:val="24"/>
        </w:rPr>
      </w:pPr>
    </w:p>
    <w:p w14:paraId="6314936D" w14:textId="77777777" w:rsidR="00192C79" w:rsidRDefault="00192C79" w:rsidP="00192C79">
      <w:pPr>
        <w:pStyle w:val="Zkladntext"/>
        <w:rPr>
          <w:rFonts w:ascii="Times New Roman" w:hAnsi="Times New Roman" w:cs="Times New Roman"/>
          <w:b/>
          <w:color w:val="5B9BD5" w:themeColor="accent1"/>
        </w:rPr>
      </w:pPr>
      <w:r w:rsidRPr="00192C79">
        <w:rPr>
          <w:rFonts w:ascii="Times New Roman" w:hAnsi="Times New Roman" w:cs="Times New Roman"/>
          <w:b/>
          <w:color w:val="5B9BD5" w:themeColor="accent1"/>
        </w:rPr>
        <w:t>3.2.5. Rozpočtovanie iných ako daňových príjmov vo fondoch sociálneho poistenia a fondoch zdravotného poistenia</w:t>
      </w:r>
    </w:p>
    <w:p w14:paraId="2768B9BB" w14:textId="77777777" w:rsidR="006A78DE" w:rsidRDefault="006A78DE" w:rsidP="00192C79">
      <w:pPr>
        <w:pStyle w:val="Zkladntext"/>
        <w:rPr>
          <w:rFonts w:ascii="Times New Roman" w:hAnsi="Times New Roman" w:cs="Times New Roman"/>
          <w:b/>
          <w:color w:val="5B9BD5" w:themeColor="accent1"/>
        </w:rPr>
      </w:pPr>
    </w:p>
    <w:p w14:paraId="77A9FB72" w14:textId="77777777" w:rsidR="00E64517" w:rsidRPr="00E64517" w:rsidRDefault="00E64517" w:rsidP="00E64517">
      <w:pPr>
        <w:spacing w:after="0"/>
        <w:jc w:val="both"/>
        <w:rPr>
          <w:rFonts w:ascii="Times New Roman" w:eastAsia="Calibri" w:hAnsi="Times New Roman" w:cs="Times New Roman"/>
          <w:sz w:val="24"/>
          <w:szCs w:val="24"/>
        </w:rPr>
      </w:pPr>
      <w:r w:rsidRPr="00E64517">
        <w:rPr>
          <w:rFonts w:ascii="Times New Roman" w:eastAsia="Calibri" w:hAnsi="Times New Roman" w:cs="Times New Roman"/>
          <w:sz w:val="24"/>
          <w:szCs w:val="24"/>
        </w:rPr>
        <w:t>Subjektami fondov sociálneho poistenia a fondov zdravotného poistenia sú Sociálna poisťovňa a verejné zdravotné poistenie (Všeobecná zdravotná poisťovňa, a. s. a verejné zdroje súkromných zdravotných poisťovní Dôvera zdravotná poisťovňa, a. s. a </w:t>
      </w:r>
      <w:proofErr w:type="spellStart"/>
      <w:r w:rsidRPr="00E64517">
        <w:rPr>
          <w:rFonts w:ascii="Times New Roman" w:eastAsia="Calibri" w:hAnsi="Times New Roman" w:cs="Times New Roman"/>
          <w:sz w:val="24"/>
          <w:szCs w:val="24"/>
        </w:rPr>
        <w:t>Union</w:t>
      </w:r>
      <w:proofErr w:type="spellEnd"/>
      <w:r w:rsidRPr="00E64517">
        <w:rPr>
          <w:rFonts w:ascii="Times New Roman" w:eastAsia="Calibri" w:hAnsi="Times New Roman" w:cs="Times New Roman"/>
          <w:sz w:val="24"/>
          <w:szCs w:val="24"/>
        </w:rPr>
        <w:t xml:space="preserve"> zdravotná poisťovňa, a. s.). Iné ako daňové príjmy týchto subjektov na rok 2024 sa rozpočtujú v sume </w:t>
      </w:r>
      <w:r w:rsidRPr="00E64517">
        <w:rPr>
          <w:rFonts w:ascii="Times New Roman" w:eastAsia="Calibri" w:hAnsi="Times New Roman" w:cs="Times New Roman"/>
          <w:sz w:val="24"/>
          <w:szCs w:val="24"/>
        </w:rPr>
        <w:br/>
        <w:t>1,70 mld. eur. V rámci nedaňových príjmov sa rozpočtujú najmä príjmy verejného zdravotného poistenia z tržieb vo výške 49,5 mil. eur a príjmy Sociálnej poisťovne z prijatých pokút vo výške 11,5 mil. eur. Transfer Sociálnej poisťovni poskytovaný z výdavkov štátneho rozpočtu na zabezpečenie jej platobnej schopnosti je na rok 2024 rozpočtovaný v sume 1,60 mld. eur.</w:t>
      </w:r>
    </w:p>
    <w:p w14:paraId="4F202D50" w14:textId="77777777" w:rsidR="00E64517" w:rsidRPr="00E64517" w:rsidRDefault="00E64517" w:rsidP="00E64517">
      <w:pPr>
        <w:pBdr>
          <w:top w:val="nil"/>
          <w:left w:val="nil"/>
          <w:bottom w:val="nil"/>
          <w:right w:val="nil"/>
          <w:between w:val="nil"/>
          <w:bar w:val="nil"/>
        </w:pBdr>
        <w:spacing w:after="0" w:line="240" w:lineRule="auto"/>
        <w:jc w:val="both"/>
        <w:rPr>
          <w:rFonts w:ascii="Times New Roman" w:eastAsia="Arial Narrow" w:hAnsi="Times New Roman" w:cs="Times New Roman"/>
          <w:b/>
          <w:bCs/>
          <w:noProof/>
          <w:color w:val="2C9ADC"/>
          <w:sz w:val="24"/>
          <w:szCs w:val="24"/>
          <w:bdr w:val="nil"/>
          <w:lang w:eastAsia="sk-SK"/>
        </w:rPr>
      </w:pPr>
    </w:p>
    <w:p w14:paraId="20773B4B" w14:textId="7566D5A7" w:rsidR="00E64517" w:rsidRPr="00E64517" w:rsidRDefault="00E64517" w:rsidP="00E64517">
      <w:pPr>
        <w:keepNext/>
        <w:spacing w:after="0" w:line="240" w:lineRule="auto"/>
        <w:rPr>
          <w:rFonts w:ascii="Times New Roman" w:hAnsi="Times New Roman" w:cs="Times New Roman"/>
          <w:b/>
          <w:iCs/>
          <w:color w:val="5B9BD5" w:themeColor="accent1"/>
          <w:sz w:val="20"/>
          <w:szCs w:val="20"/>
        </w:rPr>
      </w:pPr>
      <w:bookmarkStart w:id="138" w:name="_Toc84845264"/>
      <w:bookmarkStart w:id="139" w:name="_Toc123813909"/>
      <w:bookmarkStart w:id="140" w:name="_Toc153013039"/>
      <w:r w:rsidRPr="00E64517">
        <w:rPr>
          <w:rFonts w:ascii="Times New Roman" w:hAnsi="Times New Roman" w:cs="Times New Roman"/>
          <w:b/>
          <w:iCs/>
          <w:color w:val="5B9BD5" w:themeColor="accent1"/>
          <w:sz w:val="20"/>
          <w:szCs w:val="20"/>
        </w:rPr>
        <w:t xml:space="preserve">Tabuľka </w:t>
      </w:r>
      <w:r w:rsidRPr="00E64517">
        <w:rPr>
          <w:rFonts w:ascii="Times New Roman" w:hAnsi="Times New Roman" w:cs="Times New Roman"/>
          <w:b/>
          <w:iCs/>
          <w:color w:val="5B9BD5" w:themeColor="accent1"/>
          <w:sz w:val="20"/>
          <w:szCs w:val="20"/>
        </w:rPr>
        <w:fldChar w:fldCharType="begin"/>
      </w:r>
      <w:r w:rsidRPr="00E64517">
        <w:rPr>
          <w:rFonts w:ascii="Times New Roman" w:hAnsi="Times New Roman" w:cs="Times New Roman"/>
          <w:b/>
          <w:iCs/>
          <w:color w:val="5B9BD5" w:themeColor="accent1"/>
          <w:sz w:val="20"/>
          <w:szCs w:val="20"/>
        </w:rPr>
        <w:instrText xml:space="preserve"> SEQ Tabuľka \* ARABIC </w:instrText>
      </w:r>
      <w:r w:rsidRPr="00E64517">
        <w:rPr>
          <w:rFonts w:ascii="Times New Roman" w:hAnsi="Times New Roman" w:cs="Times New Roman"/>
          <w:b/>
          <w:iCs/>
          <w:color w:val="5B9BD5" w:themeColor="accent1"/>
          <w:sz w:val="20"/>
          <w:szCs w:val="20"/>
        </w:rPr>
        <w:fldChar w:fldCharType="separate"/>
      </w:r>
      <w:r w:rsidR="003D5A3A">
        <w:rPr>
          <w:rFonts w:ascii="Times New Roman" w:hAnsi="Times New Roman" w:cs="Times New Roman"/>
          <w:b/>
          <w:iCs/>
          <w:noProof/>
          <w:color w:val="5B9BD5" w:themeColor="accent1"/>
          <w:sz w:val="20"/>
          <w:szCs w:val="20"/>
        </w:rPr>
        <w:t>41</w:t>
      </w:r>
      <w:r w:rsidRPr="00E64517">
        <w:rPr>
          <w:rFonts w:ascii="Times New Roman" w:hAnsi="Times New Roman" w:cs="Times New Roman"/>
          <w:b/>
          <w:iCs/>
          <w:color w:val="5B9BD5" w:themeColor="accent1"/>
          <w:sz w:val="20"/>
          <w:szCs w:val="20"/>
        </w:rPr>
        <w:fldChar w:fldCharType="end"/>
      </w:r>
      <w:r w:rsidRPr="00E64517">
        <w:rPr>
          <w:rFonts w:ascii="Times New Roman" w:hAnsi="Times New Roman" w:cs="Times New Roman"/>
          <w:b/>
          <w:iCs/>
          <w:color w:val="5B9BD5" w:themeColor="accent1"/>
          <w:sz w:val="20"/>
          <w:szCs w:val="20"/>
        </w:rPr>
        <w:t xml:space="preserve"> - Iné ako daňové príjmy vo fondoch sociálneho poistenia a fondoch zdravotného poistenia</w:t>
      </w:r>
      <w:bookmarkEnd w:id="138"/>
      <w:bookmarkEnd w:id="139"/>
      <w:bookmarkEnd w:id="140"/>
    </w:p>
    <w:tbl>
      <w:tblPr>
        <w:tblW w:w="5000" w:type="pct"/>
        <w:tblCellMar>
          <w:left w:w="70" w:type="dxa"/>
          <w:right w:w="70" w:type="dxa"/>
        </w:tblCellMar>
        <w:tblLook w:val="04A0" w:firstRow="1" w:lastRow="0" w:firstColumn="1" w:lastColumn="0" w:noHBand="0" w:noVBand="1"/>
      </w:tblPr>
      <w:tblGrid>
        <w:gridCol w:w="2648"/>
        <w:gridCol w:w="918"/>
        <w:gridCol w:w="918"/>
        <w:gridCol w:w="918"/>
        <w:gridCol w:w="918"/>
        <w:gridCol w:w="918"/>
        <w:gridCol w:w="918"/>
        <w:gridCol w:w="916"/>
      </w:tblGrid>
      <w:tr w:rsidR="00E64517" w:rsidRPr="00E64517" w14:paraId="027048BC" w14:textId="77777777" w:rsidTr="00B63F1A">
        <w:trPr>
          <w:trHeight w:val="289"/>
        </w:trPr>
        <w:tc>
          <w:tcPr>
            <w:tcW w:w="1459" w:type="pct"/>
            <w:tcBorders>
              <w:top w:val="single" w:sz="4" w:space="0" w:color="auto"/>
              <w:left w:val="nil"/>
              <w:bottom w:val="single" w:sz="4" w:space="0" w:color="auto"/>
              <w:right w:val="nil"/>
            </w:tcBorders>
            <w:shd w:val="clear" w:color="auto" w:fill="auto"/>
            <w:noWrap/>
            <w:vAlign w:val="center"/>
            <w:hideMark/>
          </w:tcPr>
          <w:p w14:paraId="192A6EEF" w14:textId="77777777" w:rsidR="00E64517" w:rsidRPr="00E64517" w:rsidRDefault="00E64517" w:rsidP="00E64517">
            <w:pPr>
              <w:spacing w:after="0" w:line="240" w:lineRule="auto"/>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 v tis. eur</w:t>
            </w:r>
          </w:p>
        </w:tc>
        <w:tc>
          <w:tcPr>
            <w:tcW w:w="506" w:type="pct"/>
            <w:tcBorders>
              <w:top w:val="single" w:sz="4" w:space="0" w:color="auto"/>
              <w:left w:val="nil"/>
              <w:bottom w:val="single" w:sz="4" w:space="0" w:color="auto"/>
              <w:right w:val="nil"/>
            </w:tcBorders>
            <w:shd w:val="clear" w:color="auto" w:fill="auto"/>
            <w:noWrap/>
            <w:vAlign w:val="center"/>
            <w:hideMark/>
          </w:tcPr>
          <w:p w14:paraId="0BEE93A1"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2021 S</w:t>
            </w:r>
          </w:p>
        </w:tc>
        <w:tc>
          <w:tcPr>
            <w:tcW w:w="506" w:type="pct"/>
            <w:tcBorders>
              <w:top w:val="single" w:sz="4" w:space="0" w:color="auto"/>
              <w:left w:val="nil"/>
              <w:bottom w:val="single" w:sz="4" w:space="0" w:color="auto"/>
              <w:right w:val="nil"/>
            </w:tcBorders>
            <w:shd w:val="clear" w:color="auto" w:fill="auto"/>
            <w:noWrap/>
            <w:vAlign w:val="center"/>
            <w:hideMark/>
          </w:tcPr>
          <w:p w14:paraId="5AA241EE"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2022 S</w:t>
            </w:r>
          </w:p>
        </w:tc>
        <w:tc>
          <w:tcPr>
            <w:tcW w:w="506" w:type="pct"/>
            <w:tcBorders>
              <w:top w:val="single" w:sz="4" w:space="0" w:color="auto"/>
              <w:left w:val="nil"/>
              <w:bottom w:val="single" w:sz="4" w:space="0" w:color="auto"/>
              <w:right w:val="nil"/>
            </w:tcBorders>
            <w:shd w:val="clear" w:color="auto" w:fill="auto"/>
            <w:noWrap/>
            <w:vAlign w:val="center"/>
            <w:hideMark/>
          </w:tcPr>
          <w:p w14:paraId="1DC83B61"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2023 R</w:t>
            </w:r>
          </w:p>
        </w:tc>
        <w:tc>
          <w:tcPr>
            <w:tcW w:w="506" w:type="pct"/>
            <w:tcBorders>
              <w:top w:val="single" w:sz="4" w:space="0" w:color="auto"/>
              <w:left w:val="nil"/>
              <w:bottom w:val="single" w:sz="4" w:space="0" w:color="auto"/>
              <w:right w:val="nil"/>
            </w:tcBorders>
            <w:shd w:val="clear" w:color="auto" w:fill="auto"/>
            <w:noWrap/>
            <w:vAlign w:val="center"/>
            <w:hideMark/>
          </w:tcPr>
          <w:p w14:paraId="259AABA4"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2023 OS</w:t>
            </w:r>
          </w:p>
        </w:tc>
        <w:tc>
          <w:tcPr>
            <w:tcW w:w="506" w:type="pct"/>
            <w:tcBorders>
              <w:top w:val="single" w:sz="4" w:space="0" w:color="auto"/>
              <w:left w:val="nil"/>
              <w:bottom w:val="single" w:sz="4" w:space="0" w:color="auto"/>
              <w:right w:val="nil"/>
            </w:tcBorders>
            <w:shd w:val="clear" w:color="auto" w:fill="auto"/>
            <w:noWrap/>
            <w:vAlign w:val="center"/>
            <w:hideMark/>
          </w:tcPr>
          <w:p w14:paraId="39B77D48"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2024 N</w:t>
            </w:r>
          </w:p>
        </w:tc>
        <w:tc>
          <w:tcPr>
            <w:tcW w:w="506" w:type="pct"/>
            <w:tcBorders>
              <w:top w:val="single" w:sz="4" w:space="0" w:color="auto"/>
              <w:left w:val="nil"/>
              <w:bottom w:val="single" w:sz="4" w:space="0" w:color="auto"/>
              <w:right w:val="nil"/>
            </w:tcBorders>
            <w:shd w:val="clear" w:color="auto" w:fill="auto"/>
            <w:noWrap/>
            <w:vAlign w:val="center"/>
            <w:hideMark/>
          </w:tcPr>
          <w:p w14:paraId="4F4E10AB"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2025 N</w:t>
            </w:r>
          </w:p>
        </w:tc>
        <w:tc>
          <w:tcPr>
            <w:tcW w:w="506" w:type="pct"/>
            <w:tcBorders>
              <w:top w:val="single" w:sz="4" w:space="0" w:color="auto"/>
              <w:left w:val="nil"/>
              <w:bottom w:val="single" w:sz="4" w:space="0" w:color="auto"/>
              <w:right w:val="nil"/>
            </w:tcBorders>
            <w:shd w:val="clear" w:color="auto" w:fill="auto"/>
            <w:noWrap/>
            <w:vAlign w:val="center"/>
            <w:hideMark/>
          </w:tcPr>
          <w:p w14:paraId="00E23DFA"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2026 N</w:t>
            </w:r>
          </w:p>
        </w:tc>
      </w:tr>
      <w:tr w:rsidR="00E64517" w:rsidRPr="00E64517" w14:paraId="334A6A22" w14:textId="77777777" w:rsidTr="00B63F1A">
        <w:trPr>
          <w:trHeight w:val="289"/>
        </w:trPr>
        <w:tc>
          <w:tcPr>
            <w:tcW w:w="1459" w:type="pct"/>
            <w:tcBorders>
              <w:top w:val="nil"/>
              <w:left w:val="nil"/>
              <w:bottom w:val="nil"/>
              <w:right w:val="nil"/>
            </w:tcBorders>
            <w:shd w:val="clear" w:color="auto" w:fill="auto"/>
            <w:noWrap/>
            <w:vAlign w:val="center"/>
            <w:hideMark/>
          </w:tcPr>
          <w:p w14:paraId="28A30E85" w14:textId="77777777" w:rsidR="00E64517" w:rsidRPr="00E64517" w:rsidRDefault="00E64517" w:rsidP="00E64517">
            <w:pPr>
              <w:spacing w:after="0" w:line="240" w:lineRule="auto"/>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Spolu</w:t>
            </w:r>
          </w:p>
        </w:tc>
        <w:tc>
          <w:tcPr>
            <w:tcW w:w="506" w:type="pct"/>
            <w:tcBorders>
              <w:top w:val="nil"/>
              <w:left w:val="nil"/>
              <w:bottom w:val="nil"/>
              <w:right w:val="nil"/>
            </w:tcBorders>
            <w:shd w:val="clear" w:color="auto" w:fill="auto"/>
            <w:noWrap/>
            <w:vAlign w:val="center"/>
            <w:hideMark/>
          </w:tcPr>
          <w:p w14:paraId="1270C877"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939 990</w:t>
            </w:r>
          </w:p>
        </w:tc>
        <w:tc>
          <w:tcPr>
            <w:tcW w:w="506" w:type="pct"/>
            <w:tcBorders>
              <w:top w:val="nil"/>
              <w:left w:val="nil"/>
              <w:bottom w:val="nil"/>
              <w:right w:val="nil"/>
            </w:tcBorders>
            <w:shd w:val="clear" w:color="auto" w:fill="auto"/>
            <w:noWrap/>
            <w:vAlign w:val="center"/>
            <w:hideMark/>
          </w:tcPr>
          <w:p w14:paraId="0BC734A5"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204 644</w:t>
            </w:r>
          </w:p>
        </w:tc>
        <w:tc>
          <w:tcPr>
            <w:tcW w:w="506" w:type="pct"/>
            <w:tcBorders>
              <w:top w:val="nil"/>
              <w:left w:val="nil"/>
              <w:bottom w:val="nil"/>
              <w:right w:val="nil"/>
            </w:tcBorders>
            <w:shd w:val="clear" w:color="auto" w:fill="auto"/>
            <w:noWrap/>
            <w:vAlign w:val="center"/>
            <w:hideMark/>
          </w:tcPr>
          <w:p w14:paraId="743B4AA2"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82 450</w:t>
            </w:r>
          </w:p>
        </w:tc>
        <w:tc>
          <w:tcPr>
            <w:tcW w:w="506" w:type="pct"/>
            <w:tcBorders>
              <w:top w:val="nil"/>
              <w:left w:val="nil"/>
              <w:bottom w:val="nil"/>
              <w:right w:val="nil"/>
            </w:tcBorders>
            <w:shd w:val="clear" w:color="auto" w:fill="auto"/>
            <w:noWrap/>
            <w:vAlign w:val="center"/>
            <w:hideMark/>
          </w:tcPr>
          <w:p w14:paraId="21AB2340"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1 278 841</w:t>
            </w:r>
          </w:p>
        </w:tc>
        <w:tc>
          <w:tcPr>
            <w:tcW w:w="506" w:type="pct"/>
            <w:tcBorders>
              <w:top w:val="nil"/>
              <w:left w:val="nil"/>
              <w:bottom w:val="nil"/>
              <w:right w:val="nil"/>
            </w:tcBorders>
            <w:shd w:val="clear" w:color="auto" w:fill="auto"/>
            <w:noWrap/>
            <w:vAlign w:val="center"/>
            <w:hideMark/>
          </w:tcPr>
          <w:p w14:paraId="3D7409D2"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1 695 570</w:t>
            </w:r>
          </w:p>
        </w:tc>
        <w:tc>
          <w:tcPr>
            <w:tcW w:w="506" w:type="pct"/>
            <w:tcBorders>
              <w:top w:val="nil"/>
              <w:left w:val="nil"/>
              <w:bottom w:val="nil"/>
              <w:right w:val="nil"/>
            </w:tcBorders>
            <w:shd w:val="clear" w:color="auto" w:fill="auto"/>
            <w:noWrap/>
            <w:vAlign w:val="center"/>
            <w:hideMark/>
          </w:tcPr>
          <w:p w14:paraId="27A98047"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1 695 670</w:t>
            </w:r>
          </w:p>
        </w:tc>
        <w:tc>
          <w:tcPr>
            <w:tcW w:w="506" w:type="pct"/>
            <w:tcBorders>
              <w:top w:val="nil"/>
              <w:left w:val="nil"/>
              <w:bottom w:val="nil"/>
              <w:right w:val="nil"/>
            </w:tcBorders>
            <w:shd w:val="clear" w:color="auto" w:fill="auto"/>
            <w:noWrap/>
            <w:vAlign w:val="center"/>
            <w:hideMark/>
          </w:tcPr>
          <w:p w14:paraId="2CAAE61B"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1 745 670</w:t>
            </w:r>
          </w:p>
        </w:tc>
      </w:tr>
      <w:tr w:rsidR="00E64517" w:rsidRPr="00E64517" w14:paraId="0D2BE8CA" w14:textId="77777777" w:rsidTr="00B63F1A">
        <w:trPr>
          <w:trHeight w:val="289"/>
        </w:trPr>
        <w:tc>
          <w:tcPr>
            <w:tcW w:w="1459" w:type="pct"/>
            <w:tcBorders>
              <w:top w:val="nil"/>
              <w:left w:val="nil"/>
              <w:bottom w:val="nil"/>
              <w:right w:val="nil"/>
            </w:tcBorders>
            <w:shd w:val="clear" w:color="auto" w:fill="auto"/>
            <w:noWrap/>
            <w:vAlign w:val="center"/>
            <w:hideMark/>
          </w:tcPr>
          <w:p w14:paraId="48D66967" w14:textId="77777777" w:rsidR="00E64517" w:rsidRPr="00E64517" w:rsidRDefault="00E64517" w:rsidP="00E64517">
            <w:pPr>
              <w:spacing w:after="0" w:line="240" w:lineRule="auto"/>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Nedaňové príjmy</w:t>
            </w:r>
          </w:p>
        </w:tc>
        <w:tc>
          <w:tcPr>
            <w:tcW w:w="506" w:type="pct"/>
            <w:tcBorders>
              <w:top w:val="nil"/>
              <w:left w:val="nil"/>
              <w:bottom w:val="nil"/>
              <w:right w:val="nil"/>
            </w:tcBorders>
            <w:shd w:val="clear" w:color="auto" w:fill="auto"/>
            <w:noWrap/>
            <w:vAlign w:val="center"/>
            <w:hideMark/>
          </w:tcPr>
          <w:p w14:paraId="64966018"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97 260</w:t>
            </w:r>
          </w:p>
        </w:tc>
        <w:tc>
          <w:tcPr>
            <w:tcW w:w="506" w:type="pct"/>
            <w:tcBorders>
              <w:top w:val="nil"/>
              <w:left w:val="nil"/>
              <w:bottom w:val="nil"/>
              <w:right w:val="nil"/>
            </w:tcBorders>
            <w:shd w:val="clear" w:color="auto" w:fill="auto"/>
            <w:noWrap/>
            <w:vAlign w:val="center"/>
            <w:hideMark/>
          </w:tcPr>
          <w:p w14:paraId="77F16417"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96 923</w:t>
            </w:r>
          </w:p>
        </w:tc>
        <w:tc>
          <w:tcPr>
            <w:tcW w:w="506" w:type="pct"/>
            <w:tcBorders>
              <w:top w:val="nil"/>
              <w:left w:val="nil"/>
              <w:bottom w:val="nil"/>
              <w:right w:val="nil"/>
            </w:tcBorders>
            <w:shd w:val="clear" w:color="auto" w:fill="auto"/>
            <w:noWrap/>
            <w:vAlign w:val="center"/>
            <w:hideMark/>
          </w:tcPr>
          <w:p w14:paraId="0299AB5D"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82 380</w:t>
            </w:r>
          </w:p>
        </w:tc>
        <w:tc>
          <w:tcPr>
            <w:tcW w:w="506" w:type="pct"/>
            <w:tcBorders>
              <w:top w:val="nil"/>
              <w:left w:val="nil"/>
              <w:bottom w:val="nil"/>
              <w:right w:val="nil"/>
            </w:tcBorders>
            <w:shd w:val="clear" w:color="auto" w:fill="auto"/>
            <w:noWrap/>
            <w:vAlign w:val="center"/>
            <w:hideMark/>
          </w:tcPr>
          <w:p w14:paraId="5C4FBC91"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107 497</w:t>
            </w:r>
          </w:p>
        </w:tc>
        <w:tc>
          <w:tcPr>
            <w:tcW w:w="506" w:type="pct"/>
            <w:tcBorders>
              <w:top w:val="nil"/>
              <w:left w:val="nil"/>
              <w:bottom w:val="nil"/>
              <w:right w:val="nil"/>
            </w:tcBorders>
            <w:shd w:val="clear" w:color="auto" w:fill="auto"/>
            <w:noWrap/>
            <w:vAlign w:val="center"/>
            <w:hideMark/>
          </w:tcPr>
          <w:p w14:paraId="7A01DFD7"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95 500</w:t>
            </w:r>
          </w:p>
        </w:tc>
        <w:tc>
          <w:tcPr>
            <w:tcW w:w="506" w:type="pct"/>
            <w:tcBorders>
              <w:top w:val="nil"/>
              <w:left w:val="nil"/>
              <w:bottom w:val="nil"/>
              <w:right w:val="nil"/>
            </w:tcBorders>
            <w:shd w:val="clear" w:color="auto" w:fill="auto"/>
            <w:noWrap/>
            <w:vAlign w:val="center"/>
            <w:hideMark/>
          </w:tcPr>
          <w:p w14:paraId="34F531CB"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95 600</w:t>
            </w:r>
          </w:p>
        </w:tc>
        <w:tc>
          <w:tcPr>
            <w:tcW w:w="506" w:type="pct"/>
            <w:tcBorders>
              <w:top w:val="nil"/>
              <w:left w:val="nil"/>
              <w:bottom w:val="nil"/>
              <w:right w:val="nil"/>
            </w:tcBorders>
            <w:shd w:val="clear" w:color="auto" w:fill="auto"/>
            <w:noWrap/>
            <w:vAlign w:val="center"/>
            <w:hideMark/>
          </w:tcPr>
          <w:p w14:paraId="3D8407CC"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95 600</w:t>
            </w:r>
          </w:p>
        </w:tc>
      </w:tr>
      <w:tr w:rsidR="00E64517" w:rsidRPr="00E64517" w14:paraId="156FBDFF" w14:textId="77777777" w:rsidTr="00B63F1A">
        <w:trPr>
          <w:trHeight w:val="289"/>
        </w:trPr>
        <w:tc>
          <w:tcPr>
            <w:tcW w:w="1459" w:type="pct"/>
            <w:tcBorders>
              <w:top w:val="nil"/>
              <w:left w:val="nil"/>
              <w:bottom w:val="single" w:sz="4" w:space="0" w:color="auto"/>
              <w:right w:val="nil"/>
            </w:tcBorders>
            <w:shd w:val="clear" w:color="auto" w:fill="auto"/>
            <w:noWrap/>
            <w:vAlign w:val="center"/>
            <w:hideMark/>
          </w:tcPr>
          <w:p w14:paraId="688E5264" w14:textId="77777777" w:rsidR="00E64517" w:rsidRPr="00E64517" w:rsidRDefault="00E64517" w:rsidP="00E64517">
            <w:pPr>
              <w:spacing w:after="0" w:line="240" w:lineRule="auto"/>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Granty a transfery</w:t>
            </w:r>
          </w:p>
        </w:tc>
        <w:tc>
          <w:tcPr>
            <w:tcW w:w="506" w:type="pct"/>
            <w:tcBorders>
              <w:top w:val="nil"/>
              <w:left w:val="nil"/>
              <w:bottom w:val="single" w:sz="4" w:space="0" w:color="auto"/>
              <w:right w:val="nil"/>
            </w:tcBorders>
            <w:shd w:val="clear" w:color="auto" w:fill="auto"/>
            <w:noWrap/>
            <w:vAlign w:val="center"/>
            <w:hideMark/>
          </w:tcPr>
          <w:p w14:paraId="36FBAB55"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842 730</w:t>
            </w:r>
          </w:p>
        </w:tc>
        <w:tc>
          <w:tcPr>
            <w:tcW w:w="506" w:type="pct"/>
            <w:tcBorders>
              <w:top w:val="nil"/>
              <w:left w:val="nil"/>
              <w:bottom w:val="single" w:sz="4" w:space="0" w:color="auto"/>
              <w:right w:val="nil"/>
            </w:tcBorders>
            <w:shd w:val="clear" w:color="auto" w:fill="auto"/>
            <w:noWrap/>
            <w:vAlign w:val="center"/>
            <w:hideMark/>
          </w:tcPr>
          <w:p w14:paraId="6FE8B005"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107 721</w:t>
            </w:r>
          </w:p>
        </w:tc>
        <w:tc>
          <w:tcPr>
            <w:tcW w:w="506" w:type="pct"/>
            <w:tcBorders>
              <w:top w:val="nil"/>
              <w:left w:val="nil"/>
              <w:bottom w:val="single" w:sz="4" w:space="0" w:color="auto"/>
              <w:right w:val="nil"/>
            </w:tcBorders>
            <w:shd w:val="clear" w:color="auto" w:fill="auto"/>
            <w:noWrap/>
            <w:vAlign w:val="center"/>
            <w:hideMark/>
          </w:tcPr>
          <w:p w14:paraId="4CB5AF58"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70</w:t>
            </w:r>
          </w:p>
        </w:tc>
        <w:tc>
          <w:tcPr>
            <w:tcW w:w="506" w:type="pct"/>
            <w:tcBorders>
              <w:top w:val="nil"/>
              <w:left w:val="nil"/>
              <w:bottom w:val="single" w:sz="4" w:space="0" w:color="auto"/>
              <w:right w:val="nil"/>
            </w:tcBorders>
            <w:shd w:val="clear" w:color="auto" w:fill="auto"/>
            <w:noWrap/>
            <w:vAlign w:val="center"/>
            <w:hideMark/>
          </w:tcPr>
          <w:p w14:paraId="7114A2CD"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1 171 344</w:t>
            </w:r>
          </w:p>
        </w:tc>
        <w:tc>
          <w:tcPr>
            <w:tcW w:w="506" w:type="pct"/>
            <w:tcBorders>
              <w:top w:val="nil"/>
              <w:left w:val="nil"/>
              <w:bottom w:val="single" w:sz="4" w:space="0" w:color="auto"/>
              <w:right w:val="nil"/>
            </w:tcBorders>
            <w:shd w:val="clear" w:color="auto" w:fill="auto"/>
            <w:noWrap/>
            <w:vAlign w:val="center"/>
            <w:hideMark/>
          </w:tcPr>
          <w:p w14:paraId="3FB67886"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1 600 070</w:t>
            </w:r>
          </w:p>
        </w:tc>
        <w:tc>
          <w:tcPr>
            <w:tcW w:w="506" w:type="pct"/>
            <w:tcBorders>
              <w:top w:val="nil"/>
              <w:left w:val="nil"/>
              <w:bottom w:val="single" w:sz="4" w:space="0" w:color="auto"/>
              <w:right w:val="nil"/>
            </w:tcBorders>
            <w:shd w:val="clear" w:color="auto" w:fill="auto"/>
            <w:noWrap/>
            <w:vAlign w:val="center"/>
            <w:hideMark/>
          </w:tcPr>
          <w:p w14:paraId="563A95CE"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1 600 070</w:t>
            </w:r>
          </w:p>
        </w:tc>
        <w:tc>
          <w:tcPr>
            <w:tcW w:w="506" w:type="pct"/>
            <w:tcBorders>
              <w:top w:val="nil"/>
              <w:left w:val="nil"/>
              <w:bottom w:val="single" w:sz="4" w:space="0" w:color="auto"/>
              <w:right w:val="nil"/>
            </w:tcBorders>
            <w:shd w:val="clear" w:color="auto" w:fill="auto"/>
            <w:noWrap/>
            <w:vAlign w:val="center"/>
            <w:hideMark/>
          </w:tcPr>
          <w:p w14:paraId="2091D39C"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1 650 070</w:t>
            </w:r>
          </w:p>
        </w:tc>
      </w:tr>
    </w:tbl>
    <w:p w14:paraId="7AD8AD8F" w14:textId="77777777" w:rsidR="00E64517" w:rsidRPr="00E64517" w:rsidRDefault="00E64517" w:rsidP="00E64517">
      <w:pPr>
        <w:spacing w:after="0"/>
        <w:rPr>
          <w:rFonts w:ascii="Times New Roman" w:eastAsia="Calibri" w:hAnsi="Times New Roman" w:cs="Times New Roman"/>
          <w:i/>
        </w:rPr>
      </w:pPr>
      <w:r w:rsidRPr="00E64517">
        <w:rPr>
          <w:rFonts w:ascii="Times New Roman" w:eastAsia="Calibri" w:hAnsi="Times New Roman" w:cs="Times New Roman"/>
          <w:sz w:val="16"/>
          <w:szCs w:val="16"/>
        </w:rPr>
        <w:t xml:space="preserve">     </w:t>
      </w:r>
      <w:r w:rsidRPr="00E64517">
        <w:rPr>
          <w:rFonts w:ascii="Times New Roman" w:eastAsia="Calibri" w:hAnsi="Times New Roman" w:cs="Times New Roman"/>
          <w:sz w:val="16"/>
          <w:szCs w:val="16"/>
        </w:rPr>
        <w:tab/>
      </w:r>
      <w:r w:rsidRPr="00E64517">
        <w:rPr>
          <w:rFonts w:ascii="Times New Roman" w:eastAsia="Calibri" w:hAnsi="Times New Roman" w:cs="Times New Roman"/>
          <w:sz w:val="16"/>
          <w:szCs w:val="16"/>
        </w:rPr>
        <w:tab/>
      </w:r>
      <w:r w:rsidRPr="00E64517">
        <w:rPr>
          <w:rFonts w:ascii="Times New Roman" w:eastAsia="Calibri" w:hAnsi="Times New Roman" w:cs="Times New Roman"/>
          <w:sz w:val="16"/>
          <w:szCs w:val="16"/>
        </w:rPr>
        <w:tab/>
      </w:r>
      <w:r w:rsidRPr="00E64517">
        <w:rPr>
          <w:rFonts w:ascii="Times New Roman" w:eastAsia="Calibri" w:hAnsi="Times New Roman" w:cs="Times New Roman"/>
          <w:sz w:val="16"/>
          <w:szCs w:val="16"/>
        </w:rPr>
        <w:tab/>
      </w:r>
      <w:r w:rsidRPr="00E64517">
        <w:rPr>
          <w:rFonts w:ascii="Times New Roman" w:eastAsia="Calibri" w:hAnsi="Times New Roman" w:cs="Times New Roman"/>
          <w:sz w:val="16"/>
          <w:szCs w:val="16"/>
        </w:rPr>
        <w:tab/>
      </w:r>
      <w:r w:rsidRPr="00E64517">
        <w:rPr>
          <w:rFonts w:ascii="Times New Roman" w:eastAsia="Calibri" w:hAnsi="Times New Roman" w:cs="Times New Roman"/>
          <w:sz w:val="16"/>
          <w:szCs w:val="16"/>
        </w:rPr>
        <w:tab/>
      </w:r>
      <w:r w:rsidRPr="00E64517">
        <w:rPr>
          <w:rFonts w:ascii="Times New Roman" w:eastAsia="Calibri" w:hAnsi="Times New Roman" w:cs="Times New Roman"/>
          <w:sz w:val="16"/>
          <w:szCs w:val="16"/>
        </w:rPr>
        <w:tab/>
      </w:r>
      <w:r w:rsidRPr="00E64517">
        <w:rPr>
          <w:rFonts w:ascii="Times New Roman" w:eastAsia="Calibri" w:hAnsi="Times New Roman" w:cs="Times New Roman"/>
          <w:sz w:val="16"/>
          <w:szCs w:val="16"/>
        </w:rPr>
        <w:tab/>
      </w:r>
      <w:r w:rsidRPr="00E64517">
        <w:rPr>
          <w:rFonts w:ascii="Times New Roman" w:eastAsia="Calibri" w:hAnsi="Times New Roman" w:cs="Times New Roman"/>
          <w:sz w:val="16"/>
          <w:szCs w:val="16"/>
        </w:rPr>
        <w:tab/>
      </w:r>
      <w:r w:rsidRPr="00E64517">
        <w:rPr>
          <w:rFonts w:ascii="Times New Roman" w:eastAsia="Calibri" w:hAnsi="Times New Roman" w:cs="Times New Roman"/>
          <w:sz w:val="16"/>
          <w:szCs w:val="16"/>
        </w:rPr>
        <w:tab/>
      </w:r>
      <w:r w:rsidRPr="00E64517">
        <w:rPr>
          <w:rFonts w:ascii="Times New Roman" w:eastAsia="Calibri" w:hAnsi="Times New Roman" w:cs="Times New Roman"/>
          <w:sz w:val="16"/>
          <w:szCs w:val="16"/>
        </w:rPr>
        <w:tab/>
      </w:r>
      <w:r w:rsidRPr="00E64517">
        <w:rPr>
          <w:rFonts w:ascii="Times New Roman" w:eastAsia="Calibri" w:hAnsi="Times New Roman" w:cs="Times New Roman"/>
          <w:i/>
          <w:sz w:val="16"/>
          <w:szCs w:val="16"/>
        </w:rPr>
        <w:t xml:space="preserve">     Zdroj: MF SR</w:t>
      </w:r>
    </w:p>
    <w:p w14:paraId="6587438E" w14:textId="1B15903E" w:rsidR="009821A0" w:rsidRDefault="009821A0" w:rsidP="00192C79">
      <w:pPr>
        <w:spacing w:after="0"/>
        <w:rPr>
          <w:rFonts w:ascii="Times New Roman" w:eastAsia="Calibri" w:hAnsi="Times New Roman" w:cs="Times New Roman"/>
          <w:sz w:val="24"/>
          <w:szCs w:val="24"/>
        </w:rPr>
      </w:pPr>
    </w:p>
    <w:p w14:paraId="254B666E" w14:textId="3A9E1F18" w:rsidR="006C30CD" w:rsidRDefault="006C30CD" w:rsidP="00192C79">
      <w:pPr>
        <w:spacing w:after="0"/>
        <w:rPr>
          <w:rFonts w:ascii="Times New Roman" w:eastAsia="Calibri" w:hAnsi="Times New Roman" w:cs="Times New Roman"/>
          <w:sz w:val="24"/>
          <w:szCs w:val="24"/>
        </w:rPr>
      </w:pPr>
    </w:p>
    <w:p w14:paraId="5F1BB003" w14:textId="77777777" w:rsidR="006C30CD" w:rsidRPr="00192C79" w:rsidRDefault="006C30CD" w:rsidP="00192C79">
      <w:pPr>
        <w:spacing w:after="0"/>
        <w:rPr>
          <w:rFonts w:ascii="Times New Roman" w:eastAsia="Calibri" w:hAnsi="Times New Roman" w:cs="Times New Roman"/>
          <w:sz w:val="24"/>
          <w:szCs w:val="24"/>
        </w:rPr>
      </w:pPr>
    </w:p>
    <w:p w14:paraId="11377B20" w14:textId="77777777" w:rsidR="00192C79" w:rsidRPr="00192C79" w:rsidRDefault="00192C79" w:rsidP="00192C79">
      <w:pPr>
        <w:pStyle w:val="Zkladntext"/>
        <w:rPr>
          <w:rFonts w:ascii="Times New Roman" w:hAnsi="Times New Roman" w:cs="Times New Roman"/>
          <w:b/>
          <w:color w:val="5B9BD5" w:themeColor="accent1"/>
        </w:rPr>
      </w:pPr>
      <w:r w:rsidRPr="00192C79">
        <w:rPr>
          <w:rFonts w:ascii="Times New Roman" w:hAnsi="Times New Roman" w:cs="Times New Roman"/>
          <w:b/>
          <w:color w:val="5B9BD5" w:themeColor="accent1"/>
        </w:rPr>
        <w:lastRenderedPageBreak/>
        <w:t>3.2.6</w:t>
      </w:r>
      <w:r>
        <w:rPr>
          <w:rFonts w:ascii="Times New Roman" w:hAnsi="Times New Roman" w:cs="Times New Roman"/>
          <w:b/>
          <w:color w:val="5B9BD5" w:themeColor="accent1"/>
        </w:rPr>
        <w:t>.</w:t>
      </w:r>
      <w:r w:rsidRPr="00192C79">
        <w:rPr>
          <w:rFonts w:ascii="Times New Roman" w:hAnsi="Times New Roman" w:cs="Times New Roman"/>
          <w:b/>
          <w:color w:val="5B9BD5" w:themeColor="accent1"/>
        </w:rPr>
        <w:t xml:space="preserve"> Rozpočtovanie iných ako daňových príjmov územnej samosprávy</w:t>
      </w:r>
    </w:p>
    <w:p w14:paraId="187B3A9E" w14:textId="77777777" w:rsidR="00192C79" w:rsidRDefault="00192C79" w:rsidP="00192C79">
      <w:pPr>
        <w:spacing w:after="0"/>
        <w:jc w:val="both"/>
        <w:rPr>
          <w:rFonts w:ascii="Times New Roman" w:eastAsia="Calibri" w:hAnsi="Times New Roman" w:cs="Times New Roman"/>
          <w:sz w:val="24"/>
          <w:szCs w:val="24"/>
        </w:rPr>
      </w:pPr>
    </w:p>
    <w:p w14:paraId="4A847785" w14:textId="374328F5" w:rsidR="00923B65" w:rsidRPr="00871912" w:rsidRDefault="00923B65" w:rsidP="00923B65">
      <w:pPr>
        <w:spacing w:after="0"/>
        <w:jc w:val="both"/>
        <w:rPr>
          <w:rFonts w:ascii="Times New Roman" w:eastAsia="Calibri" w:hAnsi="Times New Roman" w:cs="Times New Roman"/>
          <w:sz w:val="24"/>
          <w:szCs w:val="24"/>
        </w:rPr>
      </w:pPr>
      <w:r w:rsidRPr="00871912">
        <w:rPr>
          <w:rFonts w:ascii="Times New Roman" w:eastAsia="Calibri" w:hAnsi="Times New Roman" w:cs="Times New Roman"/>
          <w:sz w:val="24"/>
          <w:szCs w:val="24"/>
        </w:rPr>
        <w:t>V územnej samospráve sa vykazujú obce a vyššie územné celky a nimi zriadené rozpočtové organizácie a príspevkové organizácie, ako aj ďalšie subjekty, ktoré sú zapísané v registri organizácií vedenom Štatistickým úradom SR a zaradené v územnej samospráve.</w:t>
      </w:r>
    </w:p>
    <w:p w14:paraId="56EA0507" w14:textId="77777777" w:rsidR="00923B65" w:rsidRPr="00871912" w:rsidRDefault="00923B65" w:rsidP="00923B65">
      <w:pPr>
        <w:spacing w:after="0"/>
        <w:jc w:val="both"/>
        <w:rPr>
          <w:rFonts w:ascii="Times New Roman" w:eastAsia="Calibri" w:hAnsi="Times New Roman" w:cs="Times New Roman"/>
          <w:sz w:val="24"/>
          <w:szCs w:val="24"/>
        </w:rPr>
      </w:pPr>
    </w:p>
    <w:p w14:paraId="6ACFC3F8" w14:textId="209D3CAE" w:rsidR="00923B65" w:rsidRPr="00871912" w:rsidRDefault="00923B65" w:rsidP="00923B65">
      <w:pPr>
        <w:keepNext/>
        <w:spacing w:after="0" w:line="240" w:lineRule="auto"/>
        <w:rPr>
          <w:rFonts w:ascii="Times New Roman" w:eastAsia="Calibri" w:hAnsi="Times New Roman" w:cs="Times New Roman"/>
          <w:b/>
          <w:bCs/>
          <w:color w:val="5B9BD5" w:themeColor="accent1"/>
          <w:sz w:val="20"/>
          <w:szCs w:val="18"/>
        </w:rPr>
      </w:pPr>
      <w:bookmarkStart w:id="141" w:name="_Toc52972968"/>
      <w:bookmarkStart w:id="142" w:name="_Toc53086367"/>
      <w:bookmarkStart w:id="143" w:name="_Toc153013040"/>
      <w:r w:rsidRPr="00871912">
        <w:rPr>
          <w:rFonts w:ascii="Times New Roman" w:eastAsia="Calibri" w:hAnsi="Times New Roman" w:cs="Times New Roman"/>
          <w:b/>
          <w:bCs/>
          <w:color w:val="5B9BD5" w:themeColor="accent1"/>
          <w:sz w:val="20"/>
          <w:szCs w:val="18"/>
        </w:rPr>
        <w:t xml:space="preserve">Tabuľka </w:t>
      </w:r>
      <w:r w:rsidR="005B05B7">
        <w:rPr>
          <w:rFonts w:ascii="Times New Roman" w:eastAsia="Arial Narrow" w:hAnsi="Times New Roman" w:cs="Times New Roman"/>
          <w:b/>
          <w:bCs/>
          <w:noProof/>
          <w:color w:val="5B9BD5" w:themeColor="accent1"/>
          <w:sz w:val="20"/>
          <w:szCs w:val="24"/>
          <w:bdr w:val="nil"/>
          <w:lang w:eastAsia="sk-SK"/>
        </w:rPr>
        <w:fldChar w:fldCharType="begin"/>
      </w:r>
      <w:r w:rsidR="005B05B7">
        <w:rPr>
          <w:rFonts w:ascii="Times New Roman" w:eastAsia="Arial Narrow" w:hAnsi="Times New Roman" w:cs="Times New Roman"/>
          <w:b/>
          <w:bCs/>
          <w:noProof/>
          <w:color w:val="5B9BD5" w:themeColor="accent1"/>
          <w:sz w:val="20"/>
          <w:szCs w:val="24"/>
          <w:bdr w:val="nil"/>
          <w:lang w:eastAsia="sk-SK"/>
        </w:rPr>
        <w:instrText xml:space="preserve"> SEQ Tabuľka \* ARABIC </w:instrText>
      </w:r>
      <w:r w:rsidR="005B05B7">
        <w:rPr>
          <w:rFonts w:ascii="Times New Roman" w:eastAsia="Arial Narrow" w:hAnsi="Times New Roman" w:cs="Times New Roman"/>
          <w:b/>
          <w:bCs/>
          <w:noProof/>
          <w:color w:val="5B9BD5" w:themeColor="accent1"/>
          <w:sz w:val="20"/>
          <w:szCs w:val="24"/>
          <w:bdr w:val="nil"/>
          <w:lang w:eastAsia="sk-SK"/>
        </w:rPr>
        <w:fldChar w:fldCharType="separate"/>
      </w:r>
      <w:r w:rsidR="003D5A3A">
        <w:rPr>
          <w:rFonts w:ascii="Times New Roman" w:eastAsia="Arial Narrow" w:hAnsi="Times New Roman" w:cs="Times New Roman"/>
          <w:b/>
          <w:bCs/>
          <w:noProof/>
          <w:color w:val="5B9BD5" w:themeColor="accent1"/>
          <w:sz w:val="20"/>
          <w:szCs w:val="24"/>
          <w:bdr w:val="nil"/>
          <w:lang w:eastAsia="sk-SK"/>
        </w:rPr>
        <w:t>42</w:t>
      </w:r>
      <w:r w:rsidR="005B05B7">
        <w:rPr>
          <w:rFonts w:ascii="Times New Roman" w:eastAsia="Arial Narrow" w:hAnsi="Times New Roman" w:cs="Times New Roman"/>
          <w:b/>
          <w:bCs/>
          <w:noProof/>
          <w:color w:val="5B9BD5" w:themeColor="accent1"/>
          <w:sz w:val="20"/>
          <w:szCs w:val="24"/>
          <w:bdr w:val="nil"/>
          <w:lang w:eastAsia="sk-SK"/>
        </w:rPr>
        <w:fldChar w:fldCharType="end"/>
      </w:r>
      <w:r w:rsidR="005B05B7" w:rsidRPr="00084ECE">
        <w:rPr>
          <w:rFonts w:ascii="Times New Roman" w:eastAsia="Arial Narrow" w:hAnsi="Times New Roman" w:cs="Times New Roman"/>
          <w:b/>
          <w:bCs/>
          <w:noProof/>
          <w:color w:val="5B9BD5" w:themeColor="accent1"/>
          <w:sz w:val="20"/>
          <w:szCs w:val="24"/>
          <w:bdr w:val="nil"/>
          <w:lang w:eastAsia="sk-SK"/>
        </w:rPr>
        <w:t xml:space="preserve"> </w:t>
      </w:r>
      <w:r w:rsidRPr="00871912">
        <w:rPr>
          <w:rFonts w:ascii="Times New Roman" w:eastAsia="Calibri" w:hAnsi="Times New Roman" w:cs="Times New Roman"/>
          <w:b/>
          <w:bCs/>
          <w:color w:val="5B9BD5" w:themeColor="accent1"/>
          <w:sz w:val="20"/>
          <w:szCs w:val="18"/>
        </w:rPr>
        <w:t>- Iné ako daňové príjmy územnej samosprávy</w:t>
      </w:r>
      <w:bookmarkEnd w:id="141"/>
      <w:bookmarkEnd w:id="142"/>
      <w:bookmarkEnd w:id="143"/>
    </w:p>
    <w:tbl>
      <w:tblPr>
        <w:tblW w:w="5000" w:type="pct"/>
        <w:tblCellMar>
          <w:left w:w="70" w:type="dxa"/>
          <w:right w:w="70" w:type="dxa"/>
        </w:tblCellMar>
        <w:tblLook w:val="04A0" w:firstRow="1" w:lastRow="0" w:firstColumn="1" w:lastColumn="0" w:noHBand="0" w:noVBand="1"/>
      </w:tblPr>
      <w:tblGrid>
        <w:gridCol w:w="1369"/>
        <w:gridCol w:w="1102"/>
        <w:gridCol w:w="1101"/>
        <w:gridCol w:w="1101"/>
        <w:gridCol w:w="1101"/>
        <w:gridCol w:w="1101"/>
        <w:gridCol w:w="1101"/>
        <w:gridCol w:w="1096"/>
      </w:tblGrid>
      <w:tr w:rsidR="00923B65" w:rsidRPr="007542FB" w14:paraId="05809952" w14:textId="77777777" w:rsidTr="00037FE6">
        <w:trPr>
          <w:trHeight w:val="315"/>
        </w:trPr>
        <w:tc>
          <w:tcPr>
            <w:tcW w:w="754" w:type="pct"/>
            <w:tcBorders>
              <w:top w:val="single" w:sz="4" w:space="0" w:color="auto"/>
              <w:left w:val="nil"/>
              <w:bottom w:val="single" w:sz="4" w:space="0" w:color="auto"/>
              <w:right w:val="nil"/>
            </w:tcBorders>
            <w:shd w:val="clear" w:color="auto" w:fill="auto"/>
            <w:noWrap/>
            <w:vAlign w:val="center"/>
            <w:hideMark/>
          </w:tcPr>
          <w:p w14:paraId="3F9DE68C" w14:textId="77777777" w:rsidR="00923B65" w:rsidRPr="007542FB" w:rsidRDefault="00923B65" w:rsidP="00B63F1A">
            <w:pPr>
              <w:spacing w:after="0" w:line="240" w:lineRule="auto"/>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 v tis. eur</w:t>
            </w:r>
          </w:p>
        </w:tc>
        <w:tc>
          <w:tcPr>
            <w:tcW w:w="607" w:type="pct"/>
            <w:tcBorders>
              <w:top w:val="single" w:sz="4" w:space="0" w:color="auto"/>
              <w:left w:val="nil"/>
              <w:bottom w:val="single" w:sz="4" w:space="0" w:color="auto"/>
              <w:right w:val="nil"/>
            </w:tcBorders>
            <w:shd w:val="clear" w:color="auto" w:fill="auto"/>
            <w:noWrap/>
            <w:vAlign w:val="center"/>
            <w:hideMark/>
          </w:tcPr>
          <w:p w14:paraId="27A2609A"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2021 S</w:t>
            </w:r>
          </w:p>
        </w:tc>
        <w:tc>
          <w:tcPr>
            <w:tcW w:w="607" w:type="pct"/>
            <w:tcBorders>
              <w:top w:val="single" w:sz="4" w:space="0" w:color="auto"/>
              <w:left w:val="nil"/>
              <w:bottom w:val="single" w:sz="4" w:space="0" w:color="auto"/>
              <w:right w:val="nil"/>
            </w:tcBorders>
            <w:shd w:val="clear" w:color="auto" w:fill="auto"/>
            <w:noWrap/>
            <w:vAlign w:val="center"/>
            <w:hideMark/>
          </w:tcPr>
          <w:p w14:paraId="1B60C253"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2022 S</w:t>
            </w:r>
          </w:p>
        </w:tc>
        <w:tc>
          <w:tcPr>
            <w:tcW w:w="607" w:type="pct"/>
            <w:tcBorders>
              <w:top w:val="single" w:sz="4" w:space="0" w:color="auto"/>
              <w:left w:val="nil"/>
              <w:bottom w:val="single" w:sz="4" w:space="0" w:color="auto"/>
              <w:right w:val="nil"/>
            </w:tcBorders>
            <w:shd w:val="clear" w:color="auto" w:fill="auto"/>
            <w:noWrap/>
            <w:vAlign w:val="center"/>
            <w:hideMark/>
          </w:tcPr>
          <w:p w14:paraId="6A0B9D7A"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2023 R</w:t>
            </w:r>
          </w:p>
        </w:tc>
        <w:tc>
          <w:tcPr>
            <w:tcW w:w="607" w:type="pct"/>
            <w:tcBorders>
              <w:top w:val="single" w:sz="4" w:space="0" w:color="auto"/>
              <w:left w:val="nil"/>
              <w:bottom w:val="single" w:sz="4" w:space="0" w:color="auto"/>
              <w:right w:val="nil"/>
            </w:tcBorders>
            <w:shd w:val="clear" w:color="auto" w:fill="auto"/>
            <w:noWrap/>
            <w:vAlign w:val="center"/>
            <w:hideMark/>
          </w:tcPr>
          <w:p w14:paraId="5AA53B6B"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2023 OS</w:t>
            </w:r>
          </w:p>
        </w:tc>
        <w:tc>
          <w:tcPr>
            <w:tcW w:w="607" w:type="pct"/>
            <w:tcBorders>
              <w:top w:val="single" w:sz="4" w:space="0" w:color="auto"/>
              <w:left w:val="nil"/>
              <w:bottom w:val="single" w:sz="4" w:space="0" w:color="auto"/>
              <w:right w:val="nil"/>
            </w:tcBorders>
            <w:shd w:val="clear" w:color="auto" w:fill="auto"/>
            <w:noWrap/>
            <w:vAlign w:val="center"/>
            <w:hideMark/>
          </w:tcPr>
          <w:p w14:paraId="0FE55982"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2024 N</w:t>
            </w:r>
          </w:p>
        </w:tc>
        <w:tc>
          <w:tcPr>
            <w:tcW w:w="607" w:type="pct"/>
            <w:tcBorders>
              <w:top w:val="single" w:sz="4" w:space="0" w:color="auto"/>
              <w:left w:val="nil"/>
              <w:bottom w:val="single" w:sz="4" w:space="0" w:color="auto"/>
              <w:right w:val="nil"/>
            </w:tcBorders>
            <w:shd w:val="clear" w:color="auto" w:fill="auto"/>
            <w:noWrap/>
            <w:vAlign w:val="center"/>
            <w:hideMark/>
          </w:tcPr>
          <w:p w14:paraId="6CA77756"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2025 N</w:t>
            </w:r>
          </w:p>
        </w:tc>
        <w:tc>
          <w:tcPr>
            <w:tcW w:w="607" w:type="pct"/>
            <w:tcBorders>
              <w:top w:val="single" w:sz="4" w:space="0" w:color="auto"/>
              <w:left w:val="nil"/>
              <w:bottom w:val="single" w:sz="4" w:space="0" w:color="auto"/>
              <w:right w:val="nil"/>
            </w:tcBorders>
            <w:shd w:val="clear" w:color="auto" w:fill="auto"/>
            <w:noWrap/>
            <w:vAlign w:val="center"/>
            <w:hideMark/>
          </w:tcPr>
          <w:p w14:paraId="6F9A1766"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2026 N</w:t>
            </w:r>
          </w:p>
        </w:tc>
      </w:tr>
      <w:tr w:rsidR="00923B65" w:rsidRPr="007542FB" w14:paraId="675C003B" w14:textId="77777777" w:rsidTr="00037FE6">
        <w:trPr>
          <w:trHeight w:val="300"/>
        </w:trPr>
        <w:tc>
          <w:tcPr>
            <w:tcW w:w="754" w:type="pct"/>
            <w:tcBorders>
              <w:top w:val="single" w:sz="4" w:space="0" w:color="auto"/>
              <w:left w:val="nil"/>
              <w:bottom w:val="nil"/>
              <w:right w:val="nil"/>
            </w:tcBorders>
            <w:shd w:val="clear" w:color="auto" w:fill="auto"/>
            <w:noWrap/>
            <w:vAlign w:val="center"/>
            <w:hideMark/>
          </w:tcPr>
          <w:p w14:paraId="31869C9B" w14:textId="77777777" w:rsidR="00923B65" w:rsidRPr="007542FB" w:rsidRDefault="00923B65" w:rsidP="00B63F1A">
            <w:pPr>
              <w:spacing w:after="0" w:line="240" w:lineRule="auto"/>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Spolu</w:t>
            </w:r>
          </w:p>
        </w:tc>
        <w:tc>
          <w:tcPr>
            <w:tcW w:w="607" w:type="pct"/>
            <w:tcBorders>
              <w:top w:val="single" w:sz="4" w:space="0" w:color="auto"/>
              <w:left w:val="nil"/>
              <w:bottom w:val="nil"/>
              <w:right w:val="nil"/>
            </w:tcBorders>
            <w:shd w:val="clear" w:color="auto" w:fill="auto"/>
            <w:noWrap/>
            <w:vAlign w:val="center"/>
            <w:hideMark/>
          </w:tcPr>
          <w:p w14:paraId="1432BA88"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4 579 278</w:t>
            </w:r>
          </w:p>
        </w:tc>
        <w:tc>
          <w:tcPr>
            <w:tcW w:w="607" w:type="pct"/>
            <w:tcBorders>
              <w:top w:val="single" w:sz="4" w:space="0" w:color="auto"/>
              <w:left w:val="nil"/>
              <w:bottom w:val="nil"/>
              <w:right w:val="nil"/>
            </w:tcBorders>
            <w:shd w:val="clear" w:color="auto" w:fill="auto"/>
            <w:noWrap/>
            <w:vAlign w:val="center"/>
            <w:hideMark/>
          </w:tcPr>
          <w:p w14:paraId="792AAD2C"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4 988 152</w:t>
            </w:r>
          </w:p>
        </w:tc>
        <w:tc>
          <w:tcPr>
            <w:tcW w:w="607" w:type="pct"/>
            <w:tcBorders>
              <w:top w:val="single" w:sz="4" w:space="0" w:color="auto"/>
              <w:left w:val="nil"/>
              <w:bottom w:val="nil"/>
              <w:right w:val="nil"/>
            </w:tcBorders>
            <w:shd w:val="clear" w:color="auto" w:fill="auto"/>
            <w:noWrap/>
            <w:vAlign w:val="center"/>
            <w:hideMark/>
          </w:tcPr>
          <w:p w14:paraId="754272E8"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4 346 967</w:t>
            </w:r>
          </w:p>
        </w:tc>
        <w:tc>
          <w:tcPr>
            <w:tcW w:w="607" w:type="pct"/>
            <w:tcBorders>
              <w:top w:val="single" w:sz="4" w:space="0" w:color="auto"/>
              <w:left w:val="nil"/>
              <w:bottom w:val="nil"/>
              <w:right w:val="nil"/>
            </w:tcBorders>
            <w:shd w:val="clear" w:color="auto" w:fill="auto"/>
            <w:noWrap/>
            <w:vAlign w:val="center"/>
            <w:hideMark/>
          </w:tcPr>
          <w:p w14:paraId="113F2D4A"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5 659 024</w:t>
            </w:r>
          </w:p>
        </w:tc>
        <w:tc>
          <w:tcPr>
            <w:tcW w:w="607" w:type="pct"/>
            <w:tcBorders>
              <w:top w:val="single" w:sz="4" w:space="0" w:color="auto"/>
              <w:left w:val="nil"/>
              <w:bottom w:val="nil"/>
              <w:right w:val="nil"/>
            </w:tcBorders>
            <w:shd w:val="clear" w:color="auto" w:fill="auto"/>
            <w:noWrap/>
            <w:vAlign w:val="center"/>
            <w:hideMark/>
          </w:tcPr>
          <w:p w14:paraId="3FB91EDD"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5 091 043</w:t>
            </w:r>
          </w:p>
        </w:tc>
        <w:tc>
          <w:tcPr>
            <w:tcW w:w="607" w:type="pct"/>
            <w:tcBorders>
              <w:top w:val="single" w:sz="4" w:space="0" w:color="auto"/>
              <w:left w:val="nil"/>
              <w:bottom w:val="nil"/>
              <w:right w:val="nil"/>
            </w:tcBorders>
            <w:shd w:val="clear" w:color="auto" w:fill="auto"/>
            <w:noWrap/>
            <w:vAlign w:val="center"/>
            <w:hideMark/>
          </w:tcPr>
          <w:p w14:paraId="3BE1D9DB"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5 284 274</w:t>
            </w:r>
          </w:p>
        </w:tc>
        <w:tc>
          <w:tcPr>
            <w:tcW w:w="607" w:type="pct"/>
            <w:tcBorders>
              <w:top w:val="single" w:sz="4" w:space="0" w:color="auto"/>
              <w:left w:val="nil"/>
              <w:bottom w:val="nil"/>
              <w:right w:val="nil"/>
            </w:tcBorders>
            <w:shd w:val="clear" w:color="auto" w:fill="auto"/>
            <w:noWrap/>
            <w:vAlign w:val="center"/>
            <w:hideMark/>
          </w:tcPr>
          <w:p w14:paraId="626F6AAB"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5 351 351</w:t>
            </w:r>
          </w:p>
        </w:tc>
      </w:tr>
      <w:tr w:rsidR="00923B65" w:rsidRPr="007542FB" w14:paraId="2E31C6AD" w14:textId="77777777" w:rsidTr="00B63F1A">
        <w:trPr>
          <w:trHeight w:val="300"/>
        </w:trPr>
        <w:tc>
          <w:tcPr>
            <w:tcW w:w="754" w:type="pct"/>
            <w:tcBorders>
              <w:top w:val="nil"/>
              <w:left w:val="nil"/>
              <w:bottom w:val="nil"/>
              <w:right w:val="nil"/>
            </w:tcBorders>
            <w:shd w:val="clear" w:color="auto" w:fill="auto"/>
            <w:noWrap/>
            <w:vAlign w:val="center"/>
            <w:hideMark/>
          </w:tcPr>
          <w:p w14:paraId="4F81B6AB" w14:textId="77777777" w:rsidR="00923B65" w:rsidRPr="007542FB" w:rsidRDefault="00923B65" w:rsidP="00B63F1A">
            <w:pPr>
              <w:spacing w:after="0" w:line="240" w:lineRule="auto"/>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Nedaňové príjmy</w:t>
            </w:r>
          </w:p>
        </w:tc>
        <w:tc>
          <w:tcPr>
            <w:tcW w:w="607" w:type="pct"/>
            <w:tcBorders>
              <w:top w:val="nil"/>
              <w:left w:val="nil"/>
              <w:bottom w:val="nil"/>
              <w:right w:val="nil"/>
            </w:tcBorders>
            <w:shd w:val="clear" w:color="auto" w:fill="auto"/>
            <w:noWrap/>
            <w:vAlign w:val="center"/>
            <w:hideMark/>
          </w:tcPr>
          <w:p w14:paraId="3E4992CA"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1 090 772</w:t>
            </w:r>
          </w:p>
        </w:tc>
        <w:tc>
          <w:tcPr>
            <w:tcW w:w="607" w:type="pct"/>
            <w:tcBorders>
              <w:top w:val="nil"/>
              <w:left w:val="nil"/>
              <w:bottom w:val="nil"/>
              <w:right w:val="nil"/>
            </w:tcBorders>
            <w:shd w:val="clear" w:color="auto" w:fill="auto"/>
            <w:noWrap/>
            <w:vAlign w:val="center"/>
            <w:hideMark/>
          </w:tcPr>
          <w:p w14:paraId="279132F7"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1 316 527</w:t>
            </w:r>
          </w:p>
        </w:tc>
        <w:tc>
          <w:tcPr>
            <w:tcW w:w="607" w:type="pct"/>
            <w:tcBorders>
              <w:top w:val="nil"/>
              <w:left w:val="nil"/>
              <w:bottom w:val="nil"/>
              <w:right w:val="nil"/>
            </w:tcBorders>
            <w:shd w:val="clear" w:color="auto" w:fill="auto"/>
            <w:noWrap/>
            <w:vAlign w:val="center"/>
            <w:hideMark/>
          </w:tcPr>
          <w:p w14:paraId="085CF092"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1 167 086</w:t>
            </w:r>
          </w:p>
        </w:tc>
        <w:tc>
          <w:tcPr>
            <w:tcW w:w="607" w:type="pct"/>
            <w:tcBorders>
              <w:top w:val="nil"/>
              <w:left w:val="nil"/>
              <w:bottom w:val="nil"/>
              <w:right w:val="nil"/>
            </w:tcBorders>
            <w:shd w:val="clear" w:color="auto" w:fill="auto"/>
            <w:noWrap/>
            <w:vAlign w:val="center"/>
            <w:hideMark/>
          </w:tcPr>
          <w:p w14:paraId="7085C569"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1 257 257</w:t>
            </w:r>
          </w:p>
        </w:tc>
        <w:tc>
          <w:tcPr>
            <w:tcW w:w="607" w:type="pct"/>
            <w:tcBorders>
              <w:top w:val="nil"/>
              <w:left w:val="nil"/>
              <w:bottom w:val="nil"/>
              <w:right w:val="nil"/>
            </w:tcBorders>
            <w:shd w:val="clear" w:color="auto" w:fill="auto"/>
            <w:noWrap/>
            <w:vAlign w:val="center"/>
            <w:hideMark/>
          </w:tcPr>
          <w:p w14:paraId="56F34C12"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1 361 857</w:t>
            </w:r>
          </w:p>
        </w:tc>
        <w:tc>
          <w:tcPr>
            <w:tcW w:w="607" w:type="pct"/>
            <w:tcBorders>
              <w:top w:val="nil"/>
              <w:left w:val="nil"/>
              <w:bottom w:val="nil"/>
              <w:right w:val="nil"/>
            </w:tcBorders>
            <w:shd w:val="clear" w:color="auto" w:fill="auto"/>
            <w:noWrap/>
            <w:vAlign w:val="center"/>
            <w:hideMark/>
          </w:tcPr>
          <w:p w14:paraId="4EBA435A"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1 389 495</w:t>
            </w:r>
          </w:p>
        </w:tc>
        <w:tc>
          <w:tcPr>
            <w:tcW w:w="607" w:type="pct"/>
            <w:tcBorders>
              <w:top w:val="nil"/>
              <w:left w:val="nil"/>
              <w:bottom w:val="nil"/>
              <w:right w:val="nil"/>
            </w:tcBorders>
            <w:shd w:val="clear" w:color="auto" w:fill="auto"/>
            <w:noWrap/>
            <w:vAlign w:val="center"/>
            <w:hideMark/>
          </w:tcPr>
          <w:p w14:paraId="5AB6B45A"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1 410 247</w:t>
            </w:r>
          </w:p>
        </w:tc>
      </w:tr>
      <w:tr w:rsidR="00923B65" w:rsidRPr="007542FB" w14:paraId="774D0C8B" w14:textId="77777777" w:rsidTr="00037FE6">
        <w:trPr>
          <w:trHeight w:val="315"/>
        </w:trPr>
        <w:tc>
          <w:tcPr>
            <w:tcW w:w="754" w:type="pct"/>
            <w:tcBorders>
              <w:top w:val="nil"/>
              <w:left w:val="nil"/>
              <w:bottom w:val="single" w:sz="4" w:space="0" w:color="auto"/>
              <w:right w:val="nil"/>
            </w:tcBorders>
            <w:shd w:val="clear" w:color="auto" w:fill="auto"/>
            <w:noWrap/>
            <w:vAlign w:val="center"/>
            <w:hideMark/>
          </w:tcPr>
          <w:p w14:paraId="469F967E" w14:textId="77777777" w:rsidR="00923B65" w:rsidRPr="007542FB" w:rsidRDefault="00923B65" w:rsidP="00B63F1A">
            <w:pPr>
              <w:spacing w:after="0" w:line="240" w:lineRule="auto"/>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Granty a transfery</w:t>
            </w:r>
          </w:p>
        </w:tc>
        <w:tc>
          <w:tcPr>
            <w:tcW w:w="607" w:type="pct"/>
            <w:tcBorders>
              <w:top w:val="nil"/>
              <w:left w:val="nil"/>
              <w:bottom w:val="single" w:sz="4" w:space="0" w:color="auto"/>
              <w:right w:val="nil"/>
            </w:tcBorders>
            <w:shd w:val="clear" w:color="auto" w:fill="auto"/>
            <w:noWrap/>
            <w:vAlign w:val="center"/>
            <w:hideMark/>
          </w:tcPr>
          <w:p w14:paraId="735D29BA"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3 488 506</w:t>
            </w:r>
          </w:p>
        </w:tc>
        <w:tc>
          <w:tcPr>
            <w:tcW w:w="607" w:type="pct"/>
            <w:tcBorders>
              <w:top w:val="nil"/>
              <w:left w:val="nil"/>
              <w:bottom w:val="single" w:sz="4" w:space="0" w:color="auto"/>
              <w:right w:val="nil"/>
            </w:tcBorders>
            <w:shd w:val="clear" w:color="auto" w:fill="auto"/>
            <w:noWrap/>
            <w:vAlign w:val="center"/>
            <w:hideMark/>
          </w:tcPr>
          <w:p w14:paraId="5816A91F"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3 671 625</w:t>
            </w:r>
          </w:p>
        </w:tc>
        <w:tc>
          <w:tcPr>
            <w:tcW w:w="607" w:type="pct"/>
            <w:tcBorders>
              <w:top w:val="nil"/>
              <w:left w:val="nil"/>
              <w:bottom w:val="single" w:sz="4" w:space="0" w:color="auto"/>
              <w:right w:val="nil"/>
            </w:tcBorders>
            <w:shd w:val="clear" w:color="auto" w:fill="auto"/>
            <w:noWrap/>
            <w:vAlign w:val="center"/>
            <w:hideMark/>
          </w:tcPr>
          <w:p w14:paraId="78630178"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3 179 881</w:t>
            </w:r>
          </w:p>
        </w:tc>
        <w:tc>
          <w:tcPr>
            <w:tcW w:w="607" w:type="pct"/>
            <w:tcBorders>
              <w:top w:val="nil"/>
              <w:left w:val="nil"/>
              <w:bottom w:val="single" w:sz="4" w:space="0" w:color="auto"/>
              <w:right w:val="nil"/>
            </w:tcBorders>
            <w:shd w:val="clear" w:color="auto" w:fill="auto"/>
            <w:noWrap/>
            <w:vAlign w:val="center"/>
            <w:hideMark/>
          </w:tcPr>
          <w:p w14:paraId="093C586D"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4 401 767</w:t>
            </w:r>
          </w:p>
        </w:tc>
        <w:tc>
          <w:tcPr>
            <w:tcW w:w="607" w:type="pct"/>
            <w:tcBorders>
              <w:top w:val="nil"/>
              <w:left w:val="nil"/>
              <w:bottom w:val="single" w:sz="4" w:space="0" w:color="auto"/>
              <w:right w:val="nil"/>
            </w:tcBorders>
            <w:shd w:val="clear" w:color="auto" w:fill="auto"/>
            <w:noWrap/>
            <w:vAlign w:val="center"/>
            <w:hideMark/>
          </w:tcPr>
          <w:p w14:paraId="6B18FC93"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3 729 186</w:t>
            </w:r>
          </w:p>
        </w:tc>
        <w:tc>
          <w:tcPr>
            <w:tcW w:w="607" w:type="pct"/>
            <w:tcBorders>
              <w:top w:val="nil"/>
              <w:left w:val="nil"/>
              <w:bottom w:val="single" w:sz="4" w:space="0" w:color="auto"/>
              <w:right w:val="nil"/>
            </w:tcBorders>
            <w:shd w:val="clear" w:color="auto" w:fill="auto"/>
            <w:noWrap/>
            <w:vAlign w:val="center"/>
            <w:hideMark/>
          </w:tcPr>
          <w:p w14:paraId="389E8F56"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3 894 779</w:t>
            </w:r>
          </w:p>
        </w:tc>
        <w:tc>
          <w:tcPr>
            <w:tcW w:w="607" w:type="pct"/>
            <w:tcBorders>
              <w:top w:val="nil"/>
              <w:left w:val="nil"/>
              <w:bottom w:val="single" w:sz="4" w:space="0" w:color="auto"/>
              <w:right w:val="nil"/>
            </w:tcBorders>
            <w:shd w:val="clear" w:color="auto" w:fill="auto"/>
            <w:noWrap/>
            <w:vAlign w:val="center"/>
            <w:hideMark/>
          </w:tcPr>
          <w:p w14:paraId="35ED9A81"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3 941 104</w:t>
            </w:r>
          </w:p>
        </w:tc>
      </w:tr>
    </w:tbl>
    <w:p w14:paraId="61E72DD9" w14:textId="77777777" w:rsidR="00923B65" w:rsidRPr="00871912" w:rsidRDefault="00923B65" w:rsidP="00923B65">
      <w:pPr>
        <w:spacing w:after="0"/>
        <w:rPr>
          <w:rFonts w:ascii="Times New Roman" w:eastAsia="Calibri" w:hAnsi="Times New Roman" w:cs="Times New Roman"/>
          <w:sz w:val="24"/>
          <w:szCs w:val="24"/>
        </w:rPr>
      </w:pP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i/>
          <w:sz w:val="16"/>
          <w:szCs w:val="16"/>
        </w:rPr>
        <w:t xml:space="preserve">     Zdroj: MF SR</w:t>
      </w:r>
    </w:p>
    <w:p w14:paraId="7CD6D9AF" w14:textId="77777777" w:rsidR="00923B65" w:rsidRPr="00871912" w:rsidRDefault="00923B65" w:rsidP="00923B65">
      <w:pPr>
        <w:keepNext/>
        <w:spacing w:after="0" w:line="240" w:lineRule="auto"/>
        <w:rPr>
          <w:rFonts w:ascii="Times New Roman" w:eastAsia="Calibri" w:hAnsi="Times New Roman" w:cs="Times New Roman"/>
          <w:b/>
          <w:bCs/>
          <w:color w:val="5B9BD5" w:themeColor="accent1"/>
          <w:sz w:val="20"/>
          <w:szCs w:val="18"/>
        </w:rPr>
      </w:pPr>
      <w:bookmarkStart w:id="144" w:name="_Toc52972969"/>
      <w:bookmarkStart w:id="145" w:name="_Toc53086368"/>
    </w:p>
    <w:p w14:paraId="596A1871" w14:textId="216264BE" w:rsidR="00923B65" w:rsidRPr="00871912" w:rsidRDefault="00923B65" w:rsidP="00923B65">
      <w:pPr>
        <w:keepNext/>
        <w:spacing w:after="0" w:line="240" w:lineRule="auto"/>
        <w:rPr>
          <w:rFonts w:ascii="Times New Roman" w:eastAsia="Calibri" w:hAnsi="Times New Roman" w:cs="Times New Roman"/>
          <w:sz w:val="16"/>
          <w:szCs w:val="16"/>
        </w:rPr>
      </w:pPr>
      <w:bookmarkStart w:id="146" w:name="_Toc153013041"/>
      <w:r>
        <w:rPr>
          <w:rFonts w:ascii="Times New Roman" w:eastAsia="Calibri" w:hAnsi="Times New Roman" w:cs="Times New Roman"/>
          <w:b/>
          <w:bCs/>
          <w:color w:val="5B9BD5" w:themeColor="accent1"/>
          <w:sz w:val="20"/>
          <w:szCs w:val="18"/>
        </w:rPr>
        <w:t>Tabuľka</w:t>
      </w:r>
      <w:r w:rsidRPr="00871912">
        <w:rPr>
          <w:rFonts w:ascii="Times New Roman" w:eastAsia="Calibri" w:hAnsi="Times New Roman" w:cs="Times New Roman"/>
          <w:b/>
          <w:bCs/>
          <w:color w:val="5B9BD5" w:themeColor="accent1"/>
          <w:sz w:val="20"/>
          <w:szCs w:val="18"/>
        </w:rPr>
        <w:t xml:space="preserve"> </w:t>
      </w:r>
      <w:r w:rsidR="005B05B7">
        <w:rPr>
          <w:rFonts w:ascii="Times New Roman" w:eastAsia="Arial Narrow" w:hAnsi="Times New Roman" w:cs="Times New Roman"/>
          <w:b/>
          <w:bCs/>
          <w:noProof/>
          <w:color w:val="5B9BD5" w:themeColor="accent1"/>
          <w:sz w:val="20"/>
          <w:szCs w:val="24"/>
          <w:bdr w:val="nil"/>
          <w:lang w:eastAsia="sk-SK"/>
        </w:rPr>
        <w:fldChar w:fldCharType="begin"/>
      </w:r>
      <w:r w:rsidR="005B05B7">
        <w:rPr>
          <w:rFonts w:ascii="Times New Roman" w:eastAsia="Arial Narrow" w:hAnsi="Times New Roman" w:cs="Times New Roman"/>
          <w:b/>
          <w:bCs/>
          <w:noProof/>
          <w:color w:val="5B9BD5" w:themeColor="accent1"/>
          <w:sz w:val="20"/>
          <w:szCs w:val="24"/>
          <w:bdr w:val="nil"/>
          <w:lang w:eastAsia="sk-SK"/>
        </w:rPr>
        <w:instrText xml:space="preserve"> SEQ Tabuľka \* ARABIC </w:instrText>
      </w:r>
      <w:r w:rsidR="005B05B7">
        <w:rPr>
          <w:rFonts w:ascii="Times New Roman" w:eastAsia="Arial Narrow" w:hAnsi="Times New Roman" w:cs="Times New Roman"/>
          <w:b/>
          <w:bCs/>
          <w:noProof/>
          <w:color w:val="5B9BD5" w:themeColor="accent1"/>
          <w:sz w:val="20"/>
          <w:szCs w:val="24"/>
          <w:bdr w:val="nil"/>
          <w:lang w:eastAsia="sk-SK"/>
        </w:rPr>
        <w:fldChar w:fldCharType="separate"/>
      </w:r>
      <w:r w:rsidR="003D5A3A">
        <w:rPr>
          <w:rFonts w:ascii="Times New Roman" w:eastAsia="Arial Narrow" w:hAnsi="Times New Roman" w:cs="Times New Roman"/>
          <w:b/>
          <w:bCs/>
          <w:noProof/>
          <w:color w:val="5B9BD5" w:themeColor="accent1"/>
          <w:sz w:val="20"/>
          <w:szCs w:val="24"/>
          <w:bdr w:val="nil"/>
          <w:lang w:eastAsia="sk-SK"/>
        </w:rPr>
        <w:t>43</w:t>
      </w:r>
      <w:r w:rsidR="005B05B7">
        <w:rPr>
          <w:rFonts w:ascii="Times New Roman" w:eastAsia="Arial Narrow" w:hAnsi="Times New Roman" w:cs="Times New Roman"/>
          <w:b/>
          <w:bCs/>
          <w:noProof/>
          <w:color w:val="5B9BD5" w:themeColor="accent1"/>
          <w:sz w:val="20"/>
          <w:szCs w:val="24"/>
          <w:bdr w:val="nil"/>
          <w:lang w:eastAsia="sk-SK"/>
        </w:rPr>
        <w:fldChar w:fldCharType="end"/>
      </w:r>
      <w:r>
        <w:rPr>
          <w:rFonts w:ascii="Times New Roman" w:eastAsia="Arial Narrow" w:hAnsi="Times New Roman" w:cs="Times New Roman"/>
          <w:b/>
          <w:bCs/>
          <w:noProof/>
          <w:color w:val="5B9BD5" w:themeColor="accent1"/>
          <w:sz w:val="20"/>
          <w:szCs w:val="24"/>
          <w:bdr w:val="nil"/>
          <w:lang w:eastAsia="sk-SK"/>
        </w:rPr>
        <w:t xml:space="preserve"> - </w:t>
      </w:r>
      <w:r w:rsidRPr="00871912">
        <w:rPr>
          <w:rFonts w:ascii="Times New Roman" w:eastAsia="Calibri" w:hAnsi="Times New Roman" w:cs="Times New Roman"/>
          <w:b/>
          <w:bCs/>
          <w:color w:val="5B9BD5" w:themeColor="accent1"/>
          <w:sz w:val="20"/>
          <w:szCs w:val="18"/>
        </w:rPr>
        <w:t>Nedaňové príjmy územnej samosprávy</w:t>
      </w:r>
      <w:bookmarkEnd w:id="144"/>
      <w:bookmarkEnd w:id="145"/>
      <w:bookmarkEnd w:id="146"/>
      <w:r w:rsidRPr="00871912">
        <w:rPr>
          <w:rFonts w:ascii="Times New Roman" w:eastAsia="Calibri" w:hAnsi="Times New Roman" w:cs="Times New Roman"/>
          <w:sz w:val="16"/>
          <w:szCs w:val="16"/>
        </w:rPr>
        <w:t xml:space="preserve"> </w:t>
      </w:r>
    </w:p>
    <w:tbl>
      <w:tblPr>
        <w:tblW w:w="5000" w:type="pct"/>
        <w:tblLayout w:type="fixed"/>
        <w:tblCellMar>
          <w:left w:w="70" w:type="dxa"/>
          <w:right w:w="70" w:type="dxa"/>
        </w:tblCellMar>
        <w:tblLook w:val="04A0" w:firstRow="1" w:lastRow="0" w:firstColumn="1" w:lastColumn="0" w:noHBand="0" w:noVBand="1"/>
      </w:tblPr>
      <w:tblGrid>
        <w:gridCol w:w="3403"/>
        <w:gridCol w:w="810"/>
        <w:gridCol w:w="810"/>
        <w:gridCol w:w="810"/>
        <w:gridCol w:w="810"/>
        <w:gridCol w:w="809"/>
        <w:gridCol w:w="809"/>
        <w:gridCol w:w="811"/>
      </w:tblGrid>
      <w:tr w:rsidR="00923B65" w:rsidRPr="007542FB" w14:paraId="683CBD2B" w14:textId="77777777" w:rsidTr="00037FE6">
        <w:trPr>
          <w:trHeight w:val="315"/>
        </w:trPr>
        <w:tc>
          <w:tcPr>
            <w:tcW w:w="1874" w:type="pct"/>
            <w:tcBorders>
              <w:top w:val="single" w:sz="4" w:space="0" w:color="auto"/>
              <w:left w:val="nil"/>
              <w:bottom w:val="single" w:sz="4" w:space="0" w:color="auto"/>
              <w:right w:val="nil"/>
            </w:tcBorders>
            <w:shd w:val="clear" w:color="auto" w:fill="auto"/>
            <w:noWrap/>
            <w:vAlign w:val="center"/>
            <w:hideMark/>
          </w:tcPr>
          <w:p w14:paraId="56388948" w14:textId="77777777" w:rsidR="00923B65" w:rsidRPr="007542FB" w:rsidRDefault="00923B65" w:rsidP="00B63F1A">
            <w:pPr>
              <w:spacing w:after="0" w:line="240" w:lineRule="auto"/>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 v tis. eur</w:t>
            </w:r>
          </w:p>
        </w:tc>
        <w:tc>
          <w:tcPr>
            <w:tcW w:w="446" w:type="pct"/>
            <w:tcBorders>
              <w:top w:val="single" w:sz="4" w:space="0" w:color="auto"/>
              <w:left w:val="nil"/>
              <w:bottom w:val="single" w:sz="4" w:space="0" w:color="auto"/>
              <w:right w:val="nil"/>
            </w:tcBorders>
            <w:shd w:val="clear" w:color="auto" w:fill="auto"/>
            <w:noWrap/>
            <w:vAlign w:val="center"/>
            <w:hideMark/>
          </w:tcPr>
          <w:p w14:paraId="51F76E04"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2021 S</w:t>
            </w:r>
          </w:p>
        </w:tc>
        <w:tc>
          <w:tcPr>
            <w:tcW w:w="446" w:type="pct"/>
            <w:tcBorders>
              <w:top w:val="single" w:sz="4" w:space="0" w:color="auto"/>
              <w:left w:val="nil"/>
              <w:bottom w:val="single" w:sz="4" w:space="0" w:color="auto"/>
              <w:right w:val="nil"/>
            </w:tcBorders>
            <w:shd w:val="clear" w:color="auto" w:fill="auto"/>
            <w:noWrap/>
            <w:vAlign w:val="center"/>
            <w:hideMark/>
          </w:tcPr>
          <w:p w14:paraId="1C4467A5"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2022 S</w:t>
            </w:r>
          </w:p>
        </w:tc>
        <w:tc>
          <w:tcPr>
            <w:tcW w:w="446" w:type="pct"/>
            <w:tcBorders>
              <w:top w:val="single" w:sz="4" w:space="0" w:color="auto"/>
              <w:left w:val="nil"/>
              <w:bottom w:val="single" w:sz="4" w:space="0" w:color="auto"/>
              <w:right w:val="nil"/>
            </w:tcBorders>
            <w:shd w:val="clear" w:color="auto" w:fill="auto"/>
            <w:noWrap/>
            <w:vAlign w:val="center"/>
            <w:hideMark/>
          </w:tcPr>
          <w:p w14:paraId="0748F6C4"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2023 R</w:t>
            </w:r>
          </w:p>
        </w:tc>
        <w:tc>
          <w:tcPr>
            <w:tcW w:w="446" w:type="pct"/>
            <w:tcBorders>
              <w:top w:val="single" w:sz="4" w:space="0" w:color="auto"/>
              <w:left w:val="nil"/>
              <w:bottom w:val="single" w:sz="4" w:space="0" w:color="auto"/>
              <w:right w:val="nil"/>
            </w:tcBorders>
            <w:shd w:val="clear" w:color="auto" w:fill="auto"/>
            <w:noWrap/>
            <w:vAlign w:val="center"/>
            <w:hideMark/>
          </w:tcPr>
          <w:p w14:paraId="152F7E2B"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2023 OS</w:t>
            </w:r>
          </w:p>
        </w:tc>
        <w:tc>
          <w:tcPr>
            <w:tcW w:w="446" w:type="pct"/>
            <w:tcBorders>
              <w:top w:val="single" w:sz="4" w:space="0" w:color="auto"/>
              <w:left w:val="nil"/>
              <w:bottom w:val="single" w:sz="4" w:space="0" w:color="auto"/>
              <w:right w:val="nil"/>
            </w:tcBorders>
            <w:shd w:val="clear" w:color="auto" w:fill="auto"/>
            <w:noWrap/>
            <w:vAlign w:val="center"/>
            <w:hideMark/>
          </w:tcPr>
          <w:p w14:paraId="5A07FD9A"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2024 N</w:t>
            </w:r>
          </w:p>
        </w:tc>
        <w:tc>
          <w:tcPr>
            <w:tcW w:w="446" w:type="pct"/>
            <w:tcBorders>
              <w:top w:val="single" w:sz="4" w:space="0" w:color="auto"/>
              <w:left w:val="nil"/>
              <w:bottom w:val="single" w:sz="4" w:space="0" w:color="auto"/>
              <w:right w:val="nil"/>
            </w:tcBorders>
            <w:shd w:val="clear" w:color="auto" w:fill="auto"/>
            <w:noWrap/>
            <w:vAlign w:val="center"/>
            <w:hideMark/>
          </w:tcPr>
          <w:p w14:paraId="7F98EFCF"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2025 N</w:t>
            </w:r>
          </w:p>
        </w:tc>
        <w:tc>
          <w:tcPr>
            <w:tcW w:w="447" w:type="pct"/>
            <w:tcBorders>
              <w:top w:val="single" w:sz="4" w:space="0" w:color="auto"/>
              <w:left w:val="nil"/>
              <w:bottom w:val="single" w:sz="4" w:space="0" w:color="auto"/>
              <w:right w:val="nil"/>
            </w:tcBorders>
            <w:shd w:val="clear" w:color="auto" w:fill="auto"/>
            <w:noWrap/>
            <w:vAlign w:val="center"/>
            <w:hideMark/>
          </w:tcPr>
          <w:p w14:paraId="2934C380"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2026 N</w:t>
            </w:r>
          </w:p>
        </w:tc>
      </w:tr>
      <w:tr w:rsidR="00923B65" w:rsidRPr="007542FB" w14:paraId="2990452D" w14:textId="77777777" w:rsidTr="00037FE6">
        <w:trPr>
          <w:trHeight w:val="300"/>
        </w:trPr>
        <w:tc>
          <w:tcPr>
            <w:tcW w:w="1874" w:type="pct"/>
            <w:tcBorders>
              <w:top w:val="single" w:sz="4" w:space="0" w:color="auto"/>
              <w:left w:val="nil"/>
              <w:bottom w:val="nil"/>
              <w:right w:val="nil"/>
            </w:tcBorders>
            <w:shd w:val="clear" w:color="auto" w:fill="auto"/>
            <w:noWrap/>
            <w:vAlign w:val="center"/>
            <w:hideMark/>
          </w:tcPr>
          <w:p w14:paraId="7D32193F" w14:textId="77777777" w:rsidR="00923B65" w:rsidRPr="007542FB" w:rsidRDefault="00923B65" w:rsidP="00B63F1A">
            <w:pPr>
              <w:spacing w:after="0" w:line="240" w:lineRule="auto"/>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Nedaňové príjmy</w:t>
            </w:r>
          </w:p>
        </w:tc>
        <w:tc>
          <w:tcPr>
            <w:tcW w:w="446" w:type="pct"/>
            <w:tcBorders>
              <w:top w:val="single" w:sz="4" w:space="0" w:color="auto"/>
              <w:left w:val="nil"/>
              <w:bottom w:val="nil"/>
              <w:right w:val="nil"/>
            </w:tcBorders>
            <w:shd w:val="clear" w:color="auto" w:fill="auto"/>
            <w:noWrap/>
            <w:vAlign w:val="center"/>
            <w:hideMark/>
          </w:tcPr>
          <w:p w14:paraId="05FF850B"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1 090 772</w:t>
            </w:r>
          </w:p>
        </w:tc>
        <w:tc>
          <w:tcPr>
            <w:tcW w:w="446" w:type="pct"/>
            <w:tcBorders>
              <w:top w:val="single" w:sz="4" w:space="0" w:color="auto"/>
              <w:left w:val="nil"/>
              <w:bottom w:val="nil"/>
              <w:right w:val="nil"/>
            </w:tcBorders>
            <w:shd w:val="clear" w:color="auto" w:fill="auto"/>
            <w:noWrap/>
            <w:vAlign w:val="center"/>
            <w:hideMark/>
          </w:tcPr>
          <w:p w14:paraId="369FB3EA"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1 316 527</w:t>
            </w:r>
          </w:p>
        </w:tc>
        <w:tc>
          <w:tcPr>
            <w:tcW w:w="446" w:type="pct"/>
            <w:tcBorders>
              <w:top w:val="single" w:sz="4" w:space="0" w:color="auto"/>
              <w:left w:val="nil"/>
              <w:bottom w:val="nil"/>
              <w:right w:val="nil"/>
            </w:tcBorders>
            <w:shd w:val="clear" w:color="auto" w:fill="auto"/>
            <w:noWrap/>
            <w:vAlign w:val="center"/>
            <w:hideMark/>
          </w:tcPr>
          <w:p w14:paraId="27C5E556"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1 167 086</w:t>
            </w:r>
          </w:p>
        </w:tc>
        <w:tc>
          <w:tcPr>
            <w:tcW w:w="446" w:type="pct"/>
            <w:tcBorders>
              <w:top w:val="single" w:sz="4" w:space="0" w:color="auto"/>
              <w:left w:val="nil"/>
              <w:bottom w:val="nil"/>
              <w:right w:val="nil"/>
            </w:tcBorders>
            <w:shd w:val="clear" w:color="auto" w:fill="auto"/>
            <w:noWrap/>
            <w:vAlign w:val="center"/>
            <w:hideMark/>
          </w:tcPr>
          <w:p w14:paraId="6DFBD919"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1 257 257</w:t>
            </w:r>
          </w:p>
        </w:tc>
        <w:tc>
          <w:tcPr>
            <w:tcW w:w="446" w:type="pct"/>
            <w:tcBorders>
              <w:top w:val="single" w:sz="4" w:space="0" w:color="auto"/>
              <w:left w:val="nil"/>
              <w:bottom w:val="nil"/>
              <w:right w:val="nil"/>
            </w:tcBorders>
            <w:shd w:val="clear" w:color="auto" w:fill="auto"/>
            <w:noWrap/>
            <w:vAlign w:val="center"/>
            <w:hideMark/>
          </w:tcPr>
          <w:p w14:paraId="71C49182"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1 361 857</w:t>
            </w:r>
          </w:p>
        </w:tc>
        <w:tc>
          <w:tcPr>
            <w:tcW w:w="446" w:type="pct"/>
            <w:tcBorders>
              <w:top w:val="single" w:sz="4" w:space="0" w:color="auto"/>
              <w:left w:val="nil"/>
              <w:bottom w:val="nil"/>
              <w:right w:val="nil"/>
            </w:tcBorders>
            <w:shd w:val="clear" w:color="auto" w:fill="auto"/>
            <w:noWrap/>
            <w:vAlign w:val="center"/>
            <w:hideMark/>
          </w:tcPr>
          <w:p w14:paraId="1D0F2B21"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1 389 495</w:t>
            </w:r>
          </w:p>
        </w:tc>
        <w:tc>
          <w:tcPr>
            <w:tcW w:w="447" w:type="pct"/>
            <w:tcBorders>
              <w:top w:val="single" w:sz="4" w:space="0" w:color="auto"/>
              <w:left w:val="nil"/>
              <w:bottom w:val="nil"/>
              <w:right w:val="nil"/>
            </w:tcBorders>
            <w:shd w:val="clear" w:color="auto" w:fill="auto"/>
            <w:noWrap/>
            <w:vAlign w:val="center"/>
            <w:hideMark/>
          </w:tcPr>
          <w:p w14:paraId="69F6510D" w14:textId="77777777" w:rsidR="00923B65" w:rsidRPr="007542FB"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7542FB">
              <w:rPr>
                <w:rFonts w:ascii="Times New Roman" w:eastAsia="Times New Roman" w:hAnsi="Times New Roman" w:cs="Times New Roman"/>
                <w:b/>
                <w:bCs/>
                <w:color w:val="000000"/>
                <w:sz w:val="16"/>
                <w:szCs w:val="16"/>
                <w:lang w:eastAsia="sk-SK"/>
              </w:rPr>
              <w:t>1 410 247</w:t>
            </w:r>
          </w:p>
        </w:tc>
      </w:tr>
      <w:tr w:rsidR="00923B65" w:rsidRPr="007542FB" w14:paraId="4F630095" w14:textId="77777777" w:rsidTr="00B63F1A">
        <w:trPr>
          <w:trHeight w:val="300"/>
        </w:trPr>
        <w:tc>
          <w:tcPr>
            <w:tcW w:w="1874" w:type="pct"/>
            <w:tcBorders>
              <w:top w:val="nil"/>
              <w:left w:val="nil"/>
              <w:bottom w:val="nil"/>
              <w:right w:val="nil"/>
            </w:tcBorders>
            <w:shd w:val="clear" w:color="auto" w:fill="auto"/>
            <w:noWrap/>
            <w:vAlign w:val="center"/>
            <w:hideMark/>
          </w:tcPr>
          <w:p w14:paraId="1EBAA6F1" w14:textId="77777777" w:rsidR="00923B65" w:rsidRPr="007542FB" w:rsidRDefault="00923B65" w:rsidP="00B63F1A">
            <w:pPr>
              <w:spacing w:after="0" w:line="240" w:lineRule="auto"/>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Príjmy z podnikania a z vlastníctva majetku</w:t>
            </w:r>
          </w:p>
        </w:tc>
        <w:tc>
          <w:tcPr>
            <w:tcW w:w="446" w:type="pct"/>
            <w:tcBorders>
              <w:top w:val="nil"/>
              <w:left w:val="nil"/>
              <w:bottom w:val="nil"/>
              <w:right w:val="nil"/>
            </w:tcBorders>
            <w:shd w:val="clear" w:color="auto" w:fill="auto"/>
            <w:noWrap/>
            <w:vAlign w:val="center"/>
            <w:hideMark/>
          </w:tcPr>
          <w:p w14:paraId="79A32BFC"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196 671</w:t>
            </w:r>
          </w:p>
        </w:tc>
        <w:tc>
          <w:tcPr>
            <w:tcW w:w="446" w:type="pct"/>
            <w:tcBorders>
              <w:top w:val="nil"/>
              <w:left w:val="nil"/>
              <w:bottom w:val="nil"/>
              <w:right w:val="nil"/>
            </w:tcBorders>
            <w:shd w:val="clear" w:color="auto" w:fill="auto"/>
            <w:noWrap/>
            <w:vAlign w:val="center"/>
            <w:hideMark/>
          </w:tcPr>
          <w:p w14:paraId="03DB6AD8"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217 596</w:t>
            </w:r>
          </w:p>
        </w:tc>
        <w:tc>
          <w:tcPr>
            <w:tcW w:w="446" w:type="pct"/>
            <w:tcBorders>
              <w:top w:val="nil"/>
              <w:left w:val="nil"/>
              <w:bottom w:val="nil"/>
              <w:right w:val="nil"/>
            </w:tcBorders>
            <w:shd w:val="clear" w:color="auto" w:fill="auto"/>
            <w:noWrap/>
            <w:vAlign w:val="center"/>
            <w:hideMark/>
          </w:tcPr>
          <w:p w14:paraId="139EA388"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206 696</w:t>
            </w:r>
          </w:p>
        </w:tc>
        <w:tc>
          <w:tcPr>
            <w:tcW w:w="446" w:type="pct"/>
            <w:tcBorders>
              <w:top w:val="nil"/>
              <w:left w:val="nil"/>
              <w:bottom w:val="nil"/>
              <w:right w:val="nil"/>
            </w:tcBorders>
            <w:shd w:val="clear" w:color="auto" w:fill="auto"/>
            <w:noWrap/>
            <w:vAlign w:val="center"/>
            <w:hideMark/>
          </w:tcPr>
          <w:p w14:paraId="47F461B0"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231 696</w:t>
            </w:r>
          </w:p>
        </w:tc>
        <w:tc>
          <w:tcPr>
            <w:tcW w:w="446" w:type="pct"/>
            <w:tcBorders>
              <w:top w:val="nil"/>
              <w:left w:val="nil"/>
              <w:bottom w:val="nil"/>
              <w:right w:val="nil"/>
            </w:tcBorders>
            <w:shd w:val="clear" w:color="auto" w:fill="auto"/>
            <w:noWrap/>
            <w:vAlign w:val="center"/>
            <w:hideMark/>
          </w:tcPr>
          <w:p w14:paraId="05546925"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236 317</w:t>
            </w:r>
          </w:p>
        </w:tc>
        <w:tc>
          <w:tcPr>
            <w:tcW w:w="446" w:type="pct"/>
            <w:tcBorders>
              <w:top w:val="nil"/>
              <w:left w:val="nil"/>
              <w:bottom w:val="nil"/>
              <w:right w:val="nil"/>
            </w:tcBorders>
            <w:shd w:val="clear" w:color="auto" w:fill="auto"/>
            <w:noWrap/>
            <w:vAlign w:val="center"/>
            <w:hideMark/>
          </w:tcPr>
          <w:p w14:paraId="12525981"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239 098</w:t>
            </w:r>
          </w:p>
        </w:tc>
        <w:tc>
          <w:tcPr>
            <w:tcW w:w="447" w:type="pct"/>
            <w:tcBorders>
              <w:top w:val="nil"/>
              <w:left w:val="nil"/>
              <w:bottom w:val="nil"/>
              <w:right w:val="nil"/>
            </w:tcBorders>
            <w:shd w:val="clear" w:color="auto" w:fill="auto"/>
            <w:noWrap/>
            <w:vAlign w:val="center"/>
            <w:hideMark/>
          </w:tcPr>
          <w:p w14:paraId="7C407204"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241 660</w:t>
            </w:r>
          </w:p>
        </w:tc>
      </w:tr>
      <w:tr w:rsidR="00923B65" w:rsidRPr="007542FB" w14:paraId="7C60F82D" w14:textId="77777777" w:rsidTr="00B63F1A">
        <w:trPr>
          <w:trHeight w:val="300"/>
        </w:trPr>
        <w:tc>
          <w:tcPr>
            <w:tcW w:w="1874" w:type="pct"/>
            <w:tcBorders>
              <w:top w:val="nil"/>
              <w:left w:val="nil"/>
              <w:bottom w:val="nil"/>
              <w:right w:val="nil"/>
            </w:tcBorders>
            <w:shd w:val="clear" w:color="auto" w:fill="auto"/>
            <w:noWrap/>
            <w:vAlign w:val="center"/>
            <w:hideMark/>
          </w:tcPr>
          <w:p w14:paraId="241A3B28" w14:textId="77777777" w:rsidR="00923B65" w:rsidRPr="007542FB" w:rsidRDefault="00923B65" w:rsidP="00B63F1A">
            <w:pPr>
              <w:spacing w:after="0" w:line="240" w:lineRule="auto"/>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Administratívne poplatky a iné poplatky a platby</w:t>
            </w:r>
          </w:p>
        </w:tc>
        <w:tc>
          <w:tcPr>
            <w:tcW w:w="446" w:type="pct"/>
            <w:tcBorders>
              <w:top w:val="nil"/>
              <w:left w:val="nil"/>
              <w:bottom w:val="nil"/>
              <w:right w:val="nil"/>
            </w:tcBorders>
            <w:shd w:val="clear" w:color="auto" w:fill="auto"/>
            <w:noWrap/>
            <w:vAlign w:val="center"/>
            <w:hideMark/>
          </w:tcPr>
          <w:p w14:paraId="1D5C3E02"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732 552</w:t>
            </w:r>
          </w:p>
        </w:tc>
        <w:tc>
          <w:tcPr>
            <w:tcW w:w="446" w:type="pct"/>
            <w:tcBorders>
              <w:top w:val="nil"/>
              <w:left w:val="nil"/>
              <w:bottom w:val="nil"/>
              <w:right w:val="nil"/>
            </w:tcBorders>
            <w:shd w:val="clear" w:color="auto" w:fill="auto"/>
            <w:noWrap/>
            <w:vAlign w:val="center"/>
            <w:hideMark/>
          </w:tcPr>
          <w:p w14:paraId="76C38959"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898 671</w:t>
            </w:r>
          </w:p>
        </w:tc>
        <w:tc>
          <w:tcPr>
            <w:tcW w:w="446" w:type="pct"/>
            <w:tcBorders>
              <w:top w:val="nil"/>
              <w:left w:val="nil"/>
              <w:bottom w:val="nil"/>
              <w:right w:val="nil"/>
            </w:tcBorders>
            <w:shd w:val="clear" w:color="auto" w:fill="auto"/>
            <w:noWrap/>
            <w:vAlign w:val="center"/>
            <w:hideMark/>
          </w:tcPr>
          <w:p w14:paraId="46790521"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812 758</w:t>
            </w:r>
          </w:p>
        </w:tc>
        <w:tc>
          <w:tcPr>
            <w:tcW w:w="446" w:type="pct"/>
            <w:tcBorders>
              <w:top w:val="nil"/>
              <w:left w:val="nil"/>
              <w:bottom w:val="nil"/>
              <w:right w:val="nil"/>
            </w:tcBorders>
            <w:shd w:val="clear" w:color="auto" w:fill="auto"/>
            <w:noWrap/>
            <w:vAlign w:val="center"/>
            <w:hideMark/>
          </w:tcPr>
          <w:p w14:paraId="2BC6AF1D"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885 785</w:t>
            </w:r>
          </w:p>
        </w:tc>
        <w:tc>
          <w:tcPr>
            <w:tcW w:w="446" w:type="pct"/>
            <w:tcBorders>
              <w:top w:val="nil"/>
              <w:left w:val="nil"/>
              <w:bottom w:val="nil"/>
              <w:right w:val="nil"/>
            </w:tcBorders>
            <w:shd w:val="clear" w:color="auto" w:fill="auto"/>
            <w:noWrap/>
            <w:vAlign w:val="center"/>
            <w:hideMark/>
          </w:tcPr>
          <w:p w14:paraId="0038A323"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983 769</w:t>
            </w:r>
          </w:p>
        </w:tc>
        <w:tc>
          <w:tcPr>
            <w:tcW w:w="446" w:type="pct"/>
            <w:tcBorders>
              <w:top w:val="nil"/>
              <w:left w:val="nil"/>
              <w:bottom w:val="nil"/>
              <w:right w:val="nil"/>
            </w:tcBorders>
            <w:shd w:val="clear" w:color="auto" w:fill="auto"/>
            <w:noWrap/>
            <w:vAlign w:val="center"/>
            <w:hideMark/>
          </w:tcPr>
          <w:p w14:paraId="17D720A7"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1 008 587</w:t>
            </w:r>
          </w:p>
        </w:tc>
        <w:tc>
          <w:tcPr>
            <w:tcW w:w="447" w:type="pct"/>
            <w:tcBorders>
              <w:top w:val="nil"/>
              <w:left w:val="nil"/>
              <w:bottom w:val="nil"/>
              <w:right w:val="nil"/>
            </w:tcBorders>
            <w:shd w:val="clear" w:color="auto" w:fill="auto"/>
            <w:noWrap/>
            <w:vAlign w:val="center"/>
            <w:hideMark/>
          </w:tcPr>
          <w:p w14:paraId="330C5D38"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1 026 719</w:t>
            </w:r>
          </w:p>
        </w:tc>
      </w:tr>
      <w:tr w:rsidR="00923B65" w:rsidRPr="007542FB" w14:paraId="41C65CD6" w14:textId="77777777" w:rsidTr="00B63F1A">
        <w:trPr>
          <w:trHeight w:val="300"/>
        </w:trPr>
        <w:tc>
          <w:tcPr>
            <w:tcW w:w="1874" w:type="pct"/>
            <w:tcBorders>
              <w:top w:val="nil"/>
              <w:left w:val="nil"/>
              <w:bottom w:val="nil"/>
              <w:right w:val="nil"/>
            </w:tcBorders>
            <w:shd w:val="clear" w:color="auto" w:fill="auto"/>
            <w:noWrap/>
            <w:vAlign w:val="center"/>
            <w:hideMark/>
          </w:tcPr>
          <w:p w14:paraId="2F1DC9AA" w14:textId="77777777" w:rsidR="00923B65" w:rsidRPr="007542FB" w:rsidRDefault="00923B65" w:rsidP="00B63F1A">
            <w:pPr>
              <w:spacing w:after="0" w:line="240" w:lineRule="auto"/>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Kapitálové príjmy</w:t>
            </w:r>
          </w:p>
        </w:tc>
        <w:tc>
          <w:tcPr>
            <w:tcW w:w="446" w:type="pct"/>
            <w:tcBorders>
              <w:top w:val="nil"/>
              <w:left w:val="nil"/>
              <w:bottom w:val="nil"/>
              <w:right w:val="nil"/>
            </w:tcBorders>
            <w:shd w:val="clear" w:color="auto" w:fill="auto"/>
            <w:noWrap/>
            <w:vAlign w:val="center"/>
            <w:hideMark/>
          </w:tcPr>
          <w:p w14:paraId="24CE4737"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70 389</w:t>
            </w:r>
          </w:p>
        </w:tc>
        <w:tc>
          <w:tcPr>
            <w:tcW w:w="446" w:type="pct"/>
            <w:tcBorders>
              <w:top w:val="nil"/>
              <w:left w:val="nil"/>
              <w:bottom w:val="nil"/>
              <w:right w:val="nil"/>
            </w:tcBorders>
            <w:shd w:val="clear" w:color="auto" w:fill="auto"/>
            <w:noWrap/>
            <w:vAlign w:val="center"/>
            <w:hideMark/>
          </w:tcPr>
          <w:p w14:paraId="188ED543"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95 866</w:t>
            </w:r>
          </w:p>
        </w:tc>
        <w:tc>
          <w:tcPr>
            <w:tcW w:w="446" w:type="pct"/>
            <w:tcBorders>
              <w:top w:val="nil"/>
              <w:left w:val="nil"/>
              <w:bottom w:val="nil"/>
              <w:right w:val="nil"/>
            </w:tcBorders>
            <w:shd w:val="clear" w:color="auto" w:fill="auto"/>
            <w:noWrap/>
            <w:vAlign w:val="center"/>
            <w:hideMark/>
          </w:tcPr>
          <w:p w14:paraId="3A981B5F"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64 315</w:t>
            </w:r>
          </w:p>
        </w:tc>
        <w:tc>
          <w:tcPr>
            <w:tcW w:w="446" w:type="pct"/>
            <w:tcBorders>
              <w:top w:val="nil"/>
              <w:left w:val="nil"/>
              <w:bottom w:val="nil"/>
              <w:right w:val="nil"/>
            </w:tcBorders>
            <w:shd w:val="clear" w:color="auto" w:fill="auto"/>
            <w:noWrap/>
            <w:vAlign w:val="center"/>
            <w:hideMark/>
          </w:tcPr>
          <w:p w14:paraId="785ECF8B"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64 458</w:t>
            </w:r>
          </w:p>
        </w:tc>
        <w:tc>
          <w:tcPr>
            <w:tcW w:w="446" w:type="pct"/>
            <w:tcBorders>
              <w:top w:val="nil"/>
              <w:left w:val="nil"/>
              <w:bottom w:val="nil"/>
              <w:right w:val="nil"/>
            </w:tcBorders>
            <w:shd w:val="clear" w:color="auto" w:fill="auto"/>
            <w:noWrap/>
            <w:vAlign w:val="center"/>
            <w:hideMark/>
          </w:tcPr>
          <w:p w14:paraId="684D0500"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64 467</w:t>
            </w:r>
          </w:p>
        </w:tc>
        <w:tc>
          <w:tcPr>
            <w:tcW w:w="446" w:type="pct"/>
            <w:tcBorders>
              <w:top w:val="nil"/>
              <w:left w:val="nil"/>
              <w:bottom w:val="nil"/>
              <w:right w:val="nil"/>
            </w:tcBorders>
            <w:shd w:val="clear" w:color="auto" w:fill="auto"/>
            <w:noWrap/>
            <w:vAlign w:val="center"/>
            <w:hideMark/>
          </w:tcPr>
          <w:p w14:paraId="6DC5B46D"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64 467</w:t>
            </w:r>
          </w:p>
        </w:tc>
        <w:tc>
          <w:tcPr>
            <w:tcW w:w="447" w:type="pct"/>
            <w:tcBorders>
              <w:top w:val="nil"/>
              <w:left w:val="nil"/>
              <w:bottom w:val="nil"/>
              <w:right w:val="nil"/>
            </w:tcBorders>
            <w:shd w:val="clear" w:color="auto" w:fill="auto"/>
            <w:noWrap/>
            <w:vAlign w:val="center"/>
            <w:hideMark/>
          </w:tcPr>
          <w:p w14:paraId="54A7BB39"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64 467</w:t>
            </w:r>
          </w:p>
        </w:tc>
      </w:tr>
      <w:tr w:rsidR="00923B65" w:rsidRPr="007542FB" w14:paraId="53200B24" w14:textId="77777777" w:rsidTr="00B63F1A">
        <w:trPr>
          <w:trHeight w:val="300"/>
        </w:trPr>
        <w:tc>
          <w:tcPr>
            <w:tcW w:w="1874" w:type="pct"/>
            <w:tcBorders>
              <w:top w:val="nil"/>
              <w:left w:val="nil"/>
              <w:bottom w:val="nil"/>
              <w:right w:val="nil"/>
            </w:tcBorders>
            <w:shd w:val="clear" w:color="auto" w:fill="auto"/>
            <w:noWrap/>
            <w:vAlign w:val="center"/>
            <w:hideMark/>
          </w:tcPr>
          <w:p w14:paraId="71E4637E" w14:textId="77777777" w:rsidR="00923B65" w:rsidRPr="007542FB" w:rsidRDefault="00923B65" w:rsidP="00B63F1A">
            <w:pPr>
              <w:spacing w:after="0" w:line="240" w:lineRule="auto"/>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Úroky z tuzemských a zahraničných úverov, pôžičiek, NFV a vkladov</w:t>
            </w:r>
          </w:p>
        </w:tc>
        <w:tc>
          <w:tcPr>
            <w:tcW w:w="446" w:type="pct"/>
            <w:tcBorders>
              <w:top w:val="nil"/>
              <w:left w:val="nil"/>
              <w:bottom w:val="nil"/>
              <w:right w:val="nil"/>
            </w:tcBorders>
            <w:shd w:val="clear" w:color="auto" w:fill="auto"/>
            <w:noWrap/>
            <w:vAlign w:val="center"/>
            <w:hideMark/>
          </w:tcPr>
          <w:p w14:paraId="61C9CC3C"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927</w:t>
            </w:r>
          </w:p>
        </w:tc>
        <w:tc>
          <w:tcPr>
            <w:tcW w:w="446" w:type="pct"/>
            <w:tcBorders>
              <w:top w:val="nil"/>
              <w:left w:val="nil"/>
              <w:bottom w:val="nil"/>
              <w:right w:val="nil"/>
            </w:tcBorders>
            <w:shd w:val="clear" w:color="auto" w:fill="auto"/>
            <w:noWrap/>
            <w:vAlign w:val="center"/>
            <w:hideMark/>
          </w:tcPr>
          <w:p w14:paraId="15AD168E"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1 254</w:t>
            </w:r>
          </w:p>
        </w:tc>
        <w:tc>
          <w:tcPr>
            <w:tcW w:w="446" w:type="pct"/>
            <w:tcBorders>
              <w:top w:val="nil"/>
              <w:left w:val="nil"/>
              <w:bottom w:val="nil"/>
              <w:right w:val="nil"/>
            </w:tcBorders>
            <w:shd w:val="clear" w:color="auto" w:fill="auto"/>
            <w:noWrap/>
            <w:vAlign w:val="center"/>
            <w:hideMark/>
          </w:tcPr>
          <w:p w14:paraId="2C47099F"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2 060</w:t>
            </w:r>
          </w:p>
        </w:tc>
        <w:tc>
          <w:tcPr>
            <w:tcW w:w="446" w:type="pct"/>
            <w:tcBorders>
              <w:top w:val="nil"/>
              <w:left w:val="nil"/>
              <w:bottom w:val="nil"/>
              <w:right w:val="nil"/>
            </w:tcBorders>
            <w:shd w:val="clear" w:color="auto" w:fill="auto"/>
            <w:noWrap/>
            <w:vAlign w:val="center"/>
            <w:hideMark/>
          </w:tcPr>
          <w:p w14:paraId="3C48EFE7"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2 886</w:t>
            </w:r>
          </w:p>
        </w:tc>
        <w:tc>
          <w:tcPr>
            <w:tcW w:w="446" w:type="pct"/>
            <w:tcBorders>
              <w:top w:val="nil"/>
              <w:left w:val="nil"/>
              <w:bottom w:val="nil"/>
              <w:right w:val="nil"/>
            </w:tcBorders>
            <w:shd w:val="clear" w:color="auto" w:fill="auto"/>
            <w:noWrap/>
            <w:vAlign w:val="center"/>
            <w:hideMark/>
          </w:tcPr>
          <w:p w14:paraId="55285446"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2 033</w:t>
            </w:r>
          </w:p>
        </w:tc>
        <w:tc>
          <w:tcPr>
            <w:tcW w:w="446" w:type="pct"/>
            <w:tcBorders>
              <w:top w:val="nil"/>
              <w:left w:val="nil"/>
              <w:bottom w:val="nil"/>
              <w:right w:val="nil"/>
            </w:tcBorders>
            <w:shd w:val="clear" w:color="auto" w:fill="auto"/>
            <w:noWrap/>
            <w:vAlign w:val="center"/>
            <w:hideMark/>
          </w:tcPr>
          <w:p w14:paraId="0735D5BA"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2 033</w:t>
            </w:r>
          </w:p>
        </w:tc>
        <w:tc>
          <w:tcPr>
            <w:tcW w:w="447" w:type="pct"/>
            <w:tcBorders>
              <w:top w:val="nil"/>
              <w:left w:val="nil"/>
              <w:bottom w:val="nil"/>
              <w:right w:val="nil"/>
            </w:tcBorders>
            <w:shd w:val="clear" w:color="auto" w:fill="auto"/>
            <w:noWrap/>
            <w:vAlign w:val="center"/>
            <w:hideMark/>
          </w:tcPr>
          <w:p w14:paraId="3755014F"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2 033</w:t>
            </w:r>
          </w:p>
        </w:tc>
      </w:tr>
      <w:tr w:rsidR="00923B65" w:rsidRPr="007542FB" w14:paraId="4E61B1FE" w14:textId="77777777" w:rsidTr="00037FE6">
        <w:trPr>
          <w:trHeight w:val="315"/>
        </w:trPr>
        <w:tc>
          <w:tcPr>
            <w:tcW w:w="1874" w:type="pct"/>
            <w:tcBorders>
              <w:top w:val="nil"/>
              <w:left w:val="nil"/>
              <w:bottom w:val="single" w:sz="4" w:space="0" w:color="auto"/>
              <w:right w:val="nil"/>
            </w:tcBorders>
            <w:shd w:val="clear" w:color="auto" w:fill="auto"/>
            <w:noWrap/>
            <w:vAlign w:val="center"/>
            <w:hideMark/>
          </w:tcPr>
          <w:p w14:paraId="0F583CF2" w14:textId="77777777" w:rsidR="00923B65" w:rsidRPr="007542FB" w:rsidRDefault="00923B65" w:rsidP="00B63F1A">
            <w:pPr>
              <w:spacing w:after="0" w:line="240" w:lineRule="auto"/>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Iné nedaňové príjmy</w:t>
            </w:r>
          </w:p>
        </w:tc>
        <w:tc>
          <w:tcPr>
            <w:tcW w:w="446" w:type="pct"/>
            <w:tcBorders>
              <w:top w:val="nil"/>
              <w:left w:val="nil"/>
              <w:bottom w:val="single" w:sz="4" w:space="0" w:color="auto"/>
              <w:right w:val="nil"/>
            </w:tcBorders>
            <w:shd w:val="clear" w:color="auto" w:fill="auto"/>
            <w:noWrap/>
            <w:vAlign w:val="center"/>
            <w:hideMark/>
          </w:tcPr>
          <w:p w14:paraId="4726D3B9"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90 233</w:t>
            </w:r>
          </w:p>
        </w:tc>
        <w:tc>
          <w:tcPr>
            <w:tcW w:w="446" w:type="pct"/>
            <w:tcBorders>
              <w:top w:val="nil"/>
              <w:left w:val="nil"/>
              <w:bottom w:val="single" w:sz="4" w:space="0" w:color="auto"/>
              <w:right w:val="nil"/>
            </w:tcBorders>
            <w:shd w:val="clear" w:color="auto" w:fill="auto"/>
            <w:noWrap/>
            <w:vAlign w:val="center"/>
            <w:hideMark/>
          </w:tcPr>
          <w:p w14:paraId="379548CF"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103 140</w:t>
            </w:r>
          </w:p>
        </w:tc>
        <w:tc>
          <w:tcPr>
            <w:tcW w:w="446" w:type="pct"/>
            <w:tcBorders>
              <w:top w:val="nil"/>
              <w:left w:val="nil"/>
              <w:bottom w:val="single" w:sz="4" w:space="0" w:color="auto"/>
              <w:right w:val="nil"/>
            </w:tcBorders>
            <w:shd w:val="clear" w:color="auto" w:fill="auto"/>
            <w:noWrap/>
            <w:vAlign w:val="center"/>
            <w:hideMark/>
          </w:tcPr>
          <w:p w14:paraId="7516F68D"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81 257</w:t>
            </w:r>
          </w:p>
        </w:tc>
        <w:tc>
          <w:tcPr>
            <w:tcW w:w="446" w:type="pct"/>
            <w:tcBorders>
              <w:top w:val="nil"/>
              <w:left w:val="nil"/>
              <w:bottom w:val="single" w:sz="4" w:space="0" w:color="auto"/>
              <w:right w:val="nil"/>
            </w:tcBorders>
            <w:shd w:val="clear" w:color="auto" w:fill="auto"/>
            <w:noWrap/>
            <w:vAlign w:val="center"/>
            <w:hideMark/>
          </w:tcPr>
          <w:p w14:paraId="0CFD78C3"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72 432</w:t>
            </w:r>
          </w:p>
        </w:tc>
        <w:tc>
          <w:tcPr>
            <w:tcW w:w="446" w:type="pct"/>
            <w:tcBorders>
              <w:top w:val="nil"/>
              <w:left w:val="nil"/>
              <w:bottom w:val="single" w:sz="4" w:space="0" w:color="auto"/>
              <w:right w:val="nil"/>
            </w:tcBorders>
            <w:shd w:val="clear" w:color="auto" w:fill="auto"/>
            <w:noWrap/>
            <w:vAlign w:val="center"/>
            <w:hideMark/>
          </w:tcPr>
          <w:p w14:paraId="730E75ED"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75 271</w:t>
            </w:r>
          </w:p>
        </w:tc>
        <w:tc>
          <w:tcPr>
            <w:tcW w:w="446" w:type="pct"/>
            <w:tcBorders>
              <w:top w:val="nil"/>
              <w:left w:val="nil"/>
              <w:bottom w:val="single" w:sz="4" w:space="0" w:color="auto"/>
              <w:right w:val="nil"/>
            </w:tcBorders>
            <w:shd w:val="clear" w:color="auto" w:fill="auto"/>
            <w:noWrap/>
            <w:vAlign w:val="center"/>
            <w:hideMark/>
          </w:tcPr>
          <w:p w14:paraId="0CCF01EF"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75 310</w:t>
            </w:r>
          </w:p>
        </w:tc>
        <w:tc>
          <w:tcPr>
            <w:tcW w:w="447" w:type="pct"/>
            <w:tcBorders>
              <w:top w:val="nil"/>
              <w:left w:val="nil"/>
              <w:bottom w:val="single" w:sz="4" w:space="0" w:color="auto"/>
              <w:right w:val="nil"/>
            </w:tcBorders>
            <w:shd w:val="clear" w:color="auto" w:fill="auto"/>
            <w:noWrap/>
            <w:vAlign w:val="center"/>
            <w:hideMark/>
          </w:tcPr>
          <w:p w14:paraId="7C89D29C" w14:textId="77777777" w:rsidR="00923B65" w:rsidRPr="007542FB"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7542FB">
              <w:rPr>
                <w:rFonts w:ascii="Times New Roman" w:eastAsia="Times New Roman" w:hAnsi="Times New Roman" w:cs="Times New Roman"/>
                <w:color w:val="000000"/>
                <w:sz w:val="16"/>
                <w:szCs w:val="16"/>
                <w:lang w:eastAsia="sk-SK"/>
              </w:rPr>
              <w:t>75 368</w:t>
            </w:r>
          </w:p>
        </w:tc>
      </w:tr>
    </w:tbl>
    <w:p w14:paraId="14F638EA" w14:textId="77777777" w:rsidR="00923B65" w:rsidRPr="00871912" w:rsidRDefault="00923B65" w:rsidP="00923B65">
      <w:pPr>
        <w:spacing w:after="0"/>
        <w:rPr>
          <w:rFonts w:ascii="Times New Roman" w:eastAsia="Calibri" w:hAnsi="Times New Roman" w:cs="Times New Roman"/>
          <w:i/>
        </w:rPr>
      </w:pPr>
      <w:r w:rsidRPr="00871912">
        <w:rPr>
          <w:rFonts w:ascii="Times New Roman" w:eastAsia="Calibri" w:hAnsi="Times New Roman" w:cs="Times New Roman"/>
          <w:sz w:val="16"/>
          <w:szCs w:val="16"/>
        </w:rPr>
        <w:t xml:space="preserve">   </w:t>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t xml:space="preserve">     </w:t>
      </w:r>
      <w:r w:rsidRPr="00871912">
        <w:rPr>
          <w:rFonts w:ascii="Times New Roman" w:eastAsia="Calibri" w:hAnsi="Times New Roman" w:cs="Times New Roman"/>
          <w:i/>
          <w:sz w:val="16"/>
          <w:szCs w:val="16"/>
        </w:rPr>
        <w:t>Zdroj: MF SR</w:t>
      </w:r>
    </w:p>
    <w:p w14:paraId="44F2221A" w14:textId="77777777" w:rsidR="00923B65" w:rsidRPr="00871912" w:rsidRDefault="00923B65" w:rsidP="00923B65">
      <w:pPr>
        <w:spacing w:after="0"/>
        <w:rPr>
          <w:rFonts w:ascii="Times New Roman" w:eastAsia="Calibri" w:hAnsi="Times New Roman" w:cs="Times New Roman"/>
          <w:sz w:val="24"/>
          <w:szCs w:val="24"/>
        </w:rPr>
      </w:pPr>
    </w:p>
    <w:p w14:paraId="18132906" w14:textId="77777777" w:rsidR="00923B65" w:rsidRPr="00F520E1" w:rsidRDefault="00923B65" w:rsidP="00923B65">
      <w:pPr>
        <w:contextualSpacing/>
        <w:jc w:val="both"/>
        <w:rPr>
          <w:rFonts w:ascii="Times New Roman" w:eastAsia="Calibri" w:hAnsi="Times New Roman" w:cs="Times New Roman"/>
          <w:sz w:val="24"/>
          <w:szCs w:val="24"/>
        </w:rPr>
      </w:pPr>
      <w:r w:rsidRPr="00F520E1">
        <w:rPr>
          <w:rFonts w:ascii="Times New Roman" w:eastAsia="Calibri" w:hAnsi="Times New Roman" w:cs="Times New Roman"/>
          <w:sz w:val="24"/>
          <w:szCs w:val="24"/>
        </w:rPr>
        <w:t xml:space="preserve">V rámci nedaňových  príjmov územnej samosprávy sa predpokladá, že obce dosiahnu v roku 2024 sumu </w:t>
      </w:r>
      <w:r>
        <w:rPr>
          <w:rFonts w:ascii="Times New Roman" w:eastAsia="Calibri" w:hAnsi="Times New Roman" w:cs="Times New Roman"/>
          <w:sz w:val="24"/>
          <w:szCs w:val="24"/>
        </w:rPr>
        <w:t>700</w:t>
      </w:r>
      <w:r w:rsidRPr="00F520E1">
        <w:rPr>
          <w:rFonts w:ascii="Times New Roman" w:eastAsia="Calibri" w:hAnsi="Times New Roman" w:cs="Times New Roman"/>
          <w:sz w:val="24"/>
          <w:szCs w:val="24"/>
        </w:rPr>
        <w:t xml:space="preserve"> mil. eur. </w:t>
      </w:r>
    </w:p>
    <w:p w14:paraId="32197C09" w14:textId="77777777" w:rsidR="00923B65" w:rsidRPr="00F520E1" w:rsidRDefault="00923B65" w:rsidP="00923B65">
      <w:pPr>
        <w:contextualSpacing/>
        <w:jc w:val="both"/>
        <w:rPr>
          <w:rFonts w:ascii="Times New Roman" w:eastAsia="Calibri" w:hAnsi="Times New Roman" w:cs="Times New Roman"/>
          <w:sz w:val="24"/>
          <w:szCs w:val="24"/>
        </w:rPr>
      </w:pPr>
    </w:p>
    <w:p w14:paraId="16B8293B" w14:textId="77777777" w:rsidR="00923B65" w:rsidRPr="00F520E1" w:rsidRDefault="00923B65" w:rsidP="00923B65">
      <w:pPr>
        <w:contextualSpacing/>
        <w:jc w:val="both"/>
        <w:rPr>
          <w:rFonts w:ascii="Times New Roman" w:eastAsia="Calibri" w:hAnsi="Times New Roman" w:cs="Times New Roman"/>
          <w:sz w:val="24"/>
          <w:szCs w:val="24"/>
        </w:rPr>
      </w:pPr>
      <w:r w:rsidRPr="00F520E1">
        <w:rPr>
          <w:rFonts w:ascii="Times New Roman" w:eastAsia="Calibri" w:hAnsi="Times New Roman" w:cs="Times New Roman"/>
          <w:sz w:val="24"/>
          <w:szCs w:val="24"/>
        </w:rPr>
        <w:t xml:space="preserve">Ide najmä o </w:t>
      </w:r>
      <w:r w:rsidRPr="00F520E1">
        <w:rPr>
          <w:rFonts w:ascii="Times New Roman" w:eastAsia="Calibri" w:hAnsi="Times New Roman" w:cs="Times New Roman"/>
          <w:i/>
          <w:sz w:val="24"/>
          <w:szCs w:val="24"/>
        </w:rPr>
        <w:t>príjmy z podnikania a z vlastníctva majetku</w:t>
      </w:r>
      <w:r w:rsidRPr="00F520E1">
        <w:rPr>
          <w:rFonts w:ascii="Times New Roman" w:eastAsia="Calibri" w:hAnsi="Times New Roman" w:cs="Times New Roman"/>
          <w:sz w:val="24"/>
          <w:szCs w:val="24"/>
        </w:rPr>
        <w:t xml:space="preserve"> v sume 200 mil. eur, a to </w:t>
      </w:r>
      <w:r w:rsidRPr="00F520E1">
        <w:rPr>
          <w:rFonts w:ascii="Times New Roman" w:eastAsia="Calibri" w:hAnsi="Times New Roman" w:cs="Times New Roman"/>
          <w:sz w:val="24"/>
          <w:szCs w:val="24"/>
        </w:rPr>
        <w:br/>
        <w:t xml:space="preserve">z nájomného z prenajatých pozemkov, budov, strojov a zariadení. </w:t>
      </w:r>
    </w:p>
    <w:p w14:paraId="32128C9C" w14:textId="77777777" w:rsidR="00923B65" w:rsidRPr="00F520E1" w:rsidRDefault="00923B65" w:rsidP="00923B65">
      <w:pPr>
        <w:contextualSpacing/>
        <w:jc w:val="both"/>
        <w:rPr>
          <w:rFonts w:ascii="Times New Roman" w:eastAsia="Calibri" w:hAnsi="Times New Roman" w:cs="Times New Roman"/>
          <w:sz w:val="24"/>
          <w:szCs w:val="24"/>
        </w:rPr>
      </w:pPr>
    </w:p>
    <w:p w14:paraId="0CA8FDCA" w14:textId="77777777" w:rsidR="00923B65" w:rsidRPr="007542FB" w:rsidRDefault="00923B65" w:rsidP="00923B65">
      <w:pPr>
        <w:contextualSpacing/>
        <w:jc w:val="both"/>
        <w:rPr>
          <w:rFonts w:ascii="Times New Roman" w:eastAsia="Calibri" w:hAnsi="Times New Roman" w:cs="Times New Roman"/>
          <w:sz w:val="24"/>
          <w:szCs w:val="24"/>
        </w:rPr>
      </w:pPr>
      <w:r w:rsidRPr="00F520E1">
        <w:rPr>
          <w:rFonts w:ascii="Times New Roman" w:eastAsia="Calibri" w:hAnsi="Times New Roman" w:cs="Times New Roman"/>
          <w:sz w:val="24"/>
          <w:szCs w:val="24"/>
        </w:rPr>
        <w:t xml:space="preserve">Ďalej sa </w:t>
      </w:r>
      <w:r w:rsidRPr="007542FB">
        <w:rPr>
          <w:rFonts w:ascii="Times New Roman" w:eastAsia="Calibri" w:hAnsi="Times New Roman" w:cs="Times New Roman"/>
          <w:sz w:val="24"/>
          <w:szCs w:val="24"/>
        </w:rPr>
        <w:t xml:space="preserve">predpokladajú </w:t>
      </w:r>
      <w:r w:rsidRPr="007542FB">
        <w:rPr>
          <w:rFonts w:ascii="Times New Roman" w:eastAsia="Calibri" w:hAnsi="Times New Roman" w:cs="Times New Roman"/>
          <w:i/>
          <w:sz w:val="24"/>
          <w:szCs w:val="24"/>
        </w:rPr>
        <w:t>príjmy</w:t>
      </w:r>
      <w:r w:rsidRPr="007542FB">
        <w:rPr>
          <w:rFonts w:ascii="Times New Roman" w:eastAsia="Calibri" w:hAnsi="Times New Roman" w:cs="Times New Roman"/>
          <w:sz w:val="24"/>
          <w:szCs w:val="24"/>
        </w:rPr>
        <w:t xml:space="preserve"> v sume 383 mil. eur </w:t>
      </w:r>
      <w:r w:rsidRPr="007542FB">
        <w:rPr>
          <w:rFonts w:ascii="Times New Roman" w:eastAsia="Calibri" w:hAnsi="Times New Roman" w:cs="Times New Roman"/>
          <w:i/>
          <w:sz w:val="24"/>
          <w:szCs w:val="24"/>
        </w:rPr>
        <w:t xml:space="preserve">z administratívnych a iných poplatkov </w:t>
      </w:r>
      <w:r w:rsidRPr="007542FB">
        <w:rPr>
          <w:rFonts w:ascii="Times New Roman" w:eastAsia="Calibri" w:hAnsi="Times New Roman" w:cs="Times New Roman"/>
          <w:i/>
          <w:sz w:val="24"/>
          <w:szCs w:val="24"/>
        </w:rPr>
        <w:br/>
        <w:t>a platieb</w:t>
      </w:r>
      <w:r w:rsidRPr="007542FB">
        <w:rPr>
          <w:rFonts w:ascii="Times New Roman" w:eastAsia="Calibri" w:hAnsi="Times New Roman" w:cs="Times New Roman"/>
          <w:sz w:val="24"/>
          <w:szCs w:val="24"/>
        </w:rPr>
        <w:t xml:space="preserve"> (správne poplatky, za ubytovacie a stravovacie služby, zo vstupného, za relácie </w:t>
      </w:r>
      <w:r w:rsidRPr="007542FB">
        <w:rPr>
          <w:rFonts w:ascii="Times New Roman" w:eastAsia="Calibri" w:hAnsi="Times New Roman" w:cs="Times New Roman"/>
          <w:sz w:val="24"/>
          <w:szCs w:val="24"/>
        </w:rPr>
        <w:br/>
        <w:t xml:space="preserve">v miestnom rozhlase a pod.). </w:t>
      </w:r>
    </w:p>
    <w:p w14:paraId="4A1CDBF0" w14:textId="77777777" w:rsidR="00923B65" w:rsidRPr="007542FB" w:rsidRDefault="00923B65" w:rsidP="00923B65">
      <w:pPr>
        <w:contextualSpacing/>
        <w:jc w:val="both"/>
        <w:rPr>
          <w:rFonts w:ascii="Times New Roman" w:eastAsia="Calibri" w:hAnsi="Times New Roman" w:cs="Times New Roman"/>
          <w:sz w:val="24"/>
          <w:szCs w:val="24"/>
        </w:rPr>
      </w:pPr>
    </w:p>
    <w:p w14:paraId="502E70CF" w14:textId="77777777" w:rsidR="00923B65" w:rsidRPr="007542FB" w:rsidRDefault="00923B65" w:rsidP="00923B65">
      <w:pPr>
        <w:contextualSpacing/>
        <w:jc w:val="both"/>
        <w:rPr>
          <w:rFonts w:ascii="Times New Roman" w:eastAsia="Calibri" w:hAnsi="Times New Roman" w:cs="Times New Roman"/>
          <w:sz w:val="24"/>
          <w:szCs w:val="24"/>
        </w:rPr>
      </w:pPr>
      <w:r w:rsidRPr="007542FB">
        <w:rPr>
          <w:rFonts w:ascii="Times New Roman" w:eastAsia="Calibri" w:hAnsi="Times New Roman" w:cs="Times New Roman"/>
          <w:i/>
          <w:sz w:val="24"/>
          <w:szCs w:val="24"/>
        </w:rPr>
        <w:t>Kapitálové príjmy</w:t>
      </w:r>
      <w:r w:rsidRPr="007542FB">
        <w:rPr>
          <w:rFonts w:ascii="Times New Roman" w:eastAsia="Calibri" w:hAnsi="Times New Roman" w:cs="Times New Roman"/>
          <w:sz w:val="24"/>
          <w:szCs w:val="24"/>
        </w:rPr>
        <w:t xml:space="preserve"> sa predpokladajú vo výške 60,0 mil. eur, a to najmä z predaja budov, bytov a z predaja pozemkov. </w:t>
      </w:r>
    </w:p>
    <w:p w14:paraId="20AAA140" w14:textId="77777777" w:rsidR="00923B65" w:rsidRPr="007542FB" w:rsidRDefault="00923B65" w:rsidP="00923B65">
      <w:pPr>
        <w:contextualSpacing/>
        <w:jc w:val="both"/>
        <w:rPr>
          <w:rFonts w:ascii="Times New Roman" w:eastAsia="Calibri" w:hAnsi="Times New Roman" w:cs="Times New Roman"/>
          <w:sz w:val="24"/>
          <w:szCs w:val="24"/>
        </w:rPr>
      </w:pPr>
    </w:p>
    <w:p w14:paraId="4CF8C4E1" w14:textId="77777777" w:rsidR="00923B65" w:rsidRPr="007542FB" w:rsidRDefault="00923B65" w:rsidP="00923B65">
      <w:pPr>
        <w:contextualSpacing/>
        <w:jc w:val="both"/>
        <w:rPr>
          <w:rFonts w:ascii="Times New Roman" w:eastAsia="Calibri" w:hAnsi="Times New Roman" w:cs="Times New Roman"/>
          <w:sz w:val="24"/>
          <w:szCs w:val="24"/>
        </w:rPr>
      </w:pPr>
      <w:r w:rsidRPr="007542FB">
        <w:rPr>
          <w:rFonts w:ascii="Times New Roman" w:eastAsia="Calibri" w:hAnsi="Times New Roman" w:cs="Times New Roman"/>
          <w:i/>
          <w:sz w:val="24"/>
          <w:szCs w:val="24"/>
        </w:rPr>
        <w:t>Príjmy z úrokov z vkladov</w:t>
      </w:r>
      <w:r w:rsidRPr="007542FB">
        <w:rPr>
          <w:rFonts w:ascii="Times New Roman" w:eastAsia="Calibri" w:hAnsi="Times New Roman" w:cs="Times New Roman"/>
          <w:sz w:val="24"/>
          <w:szCs w:val="24"/>
        </w:rPr>
        <w:t xml:space="preserve"> (z úverov, pôžičiek, návratných finančných výpomocí, vkladov </w:t>
      </w:r>
      <w:r w:rsidRPr="007542FB">
        <w:rPr>
          <w:rFonts w:ascii="Times New Roman" w:eastAsia="Calibri" w:hAnsi="Times New Roman" w:cs="Times New Roman"/>
          <w:sz w:val="24"/>
          <w:szCs w:val="24"/>
        </w:rPr>
        <w:br/>
        <w:t xml:space="preserve">a ážia) a </w:t>
      </w:r>
      <w:r w:rsidRPr="007542FB">
        <w:rPr>
          <w:rFonts w:ascii="Times New Roman" w:eastAsia="Calibri" w:hAnsi="Times New Roman" w:cs="Times New Roman"/>
          <w:i/>
          <w:sz w:val="24"/>
          <w:szCs w:val="24"/>
        </w:rPr>
        <w:t>iných nedaňových príjmov</w:t>
      </w:r>
      <w:r w:rsidRPr="007542FB">
        <w:rPr>
          <w:rFonts w:ascii="Times New Roman" w:eastAsia="Calibri" w:hAnsi="Times New Roman" w:cs="Times New Roman"/>
          <w:sz w:val="24"/>
          <w:szCs w:val="24"/>
        </w:rPr>
        <w:t xml:space="preserve"> (ako napr. od rozpočtovej organizácie a príspevkovej organizácie, neziskovej organizácie, fyzickej osoby, obcí a vyšších územných celkov a iných subjektov verejnej správy, náhrad z poistného plnenia, z odvodov z hazardných hier, z nezrovnalostí a </w:t>
      </w:r>
      <w:proofErr w:type="spellStart"/>
      <w:r w:rsidRPr="007542FB">
        <w:rPr>
          <w:rFonts w:ascii="Times New Roman" w:eastAsia="Calibri" w:hAnsi="Times New Roman" w:cs="Times New Roman"/>
          <w:sz w:val="24"/>
          <w:szCs w:val="24"/>
        </w:rPr>
        <w:t>vratiek</w:t>
      </w:r>
      <w:proofErr w:type="spellEnd"/>
      <w:r w:rsidRPr="007542FB">
        <w:rPr>
          <w:rFonts w:ascii="Times New Roman" w:eastAsia="Calibri" w:hAnsi="Times New Roman" w:cs="Times New Roman"/>
          <w:sz w:val="24"/>
          <w:szCs w:val="24"/>
        </w:rPr>
        <w:t>) sa predpokladajú v sume 57,0 mil. eur.</w:t>
      </w:r>
    </w:p>
    <w:p w14:paraId="7EA5C127" w14:textId="77777777" w:rsidR="00923B65" w:rsidRPr="007542FB" w:rsidRDefault="00923B65" w:rsidP="00923B65">
      <w:pPr>
        <w:spacing w:after="0"/>
        <w:rPr>
          <w:rFonts w:ascii="Times New Roman" w:eastAsia="Calibri" w:hAnsi="Times New Roman" w:cs="Times New Roman"/>
          <w:sz w:val="24"/>
          <w:szCs w:val="24"/>
        </w:rPr>
      </w:pPr>
    </w:p>
    <w:p w14:paraId="37EFF812" w14:textId="77777777" w:rsidR="00923B65" w:rsidRPr="007542FB" w:rsidRDefault="00923B65" w:rsidP="00923B65">
      <w:pPr>
        <w:contextualSpacing/>
        <w:jc w:val="both"/>
        <w:rPr>
          <w:rFonts w:ascii="Times New Roman" w:eastAsia="Calibri" w:hAnsi="Times New Roman" w:cs="Times New Roman"/>
          <w:sz w:val="24"/>
          <w:szCs w:val="24"/>
        </w:rPr>
      </w:pPr>
      <w:r w:rsidRPr="007542FB">
        <w:rPr>
          <w:rFonts w:ascii="Times New Roman" w:eastAsia="Calibri" w:hAnsi="Times New Roman" w:cs="Times New Roman"/>
          <w:sz w:val="24"/>
          <w:szCs w:val="24"/>
        </w:rPr>
        <w:t xml:space="preserve">Pre </w:t>
      </w:r>
      <w:r w:rsidRPr="007542FB">
        <w:rPr>
          <w:rFonts w:ascii="Times New Roman" w:eastAsia="Calibri" w:hAnsi="Times New Roman" w:cs="Times New Roman"/>
          <w:b/>
          <w:sz w:val="24"/>
          <w:szCs w:val="24"/>
        </w:rPr>
        <w:t>vyššie územné celky</w:t>
      </w:r>
      <w:r w:rsidRPr="007542FB">
        <w:rPr>
          <w:rFonts w:ascii="Times New Roman" w:eastAsia="Calibri" w:hAnsi="Times New Roman" w:cs="Times New Roman"/>
          <w:sz w:val="24"/>
          <w:szCs w:val="24"/>
        </w:rPr>
        <w:t xml:space="preserve"> (ďalej len „VÚC“) sa na rok 2024 rozpočtujú nedaňové príjmy v celkovej výške 122 mil. eur. </w:t>
      </w:r>
    </w:p>
    <w:p w14:paraId="0C0C8A9B" w14:textId="77777777" w:rsidR="00923B65" w:rsidRPr="007542FB" w:rsidRDefault="00923B65" w:rsidP="00923B65">
      <w:pPr>
        <w:contextualSpacing/>
        <w:jc w:val="both"/>
        <w:rPr>
          <w:rFonts w:ascii="Times New Roman" w:eastAsia="Calibri" w:hAnsi="Times New Roman" w:cs="Times New Roman"/>
          <w:sz w:val="24"/>
          <w:szCs w:val="24"/>
        </w:rPr>
      </w:pPr>
    </w:p>
    <w:p w14:paraId="582E1B66" w14:textId="77777777" w:rsidR="00923B65" w:rsidRPr="007542FB" w:rsidRDefault="00923B65" w:rsidP="00923B65">
      <w:pPr>
        <w:contextualSpacing/>
        <w:jc w:val="both"/>
        <w:rPr>
          <w:rFonts w:ascii="Times New Roman" w:eastAsia="Calibri" w:hAnsi="Times New Roman" w:cs="Times New Roman"/>
          <w:sz w:val="24"/>
          <w:szCs w:val="24"/>
        </w:rPr>
      </w:pPr>
      <w:r w:rsidRPr="007542FB">
        <w:rPr>
          <w:rFonts w:ascii="Times New Roman" w:eastAsia="Calibri" w:hAnsi="Times New Roman" w:cs="Times New Roman"/>
          <w:sz w:val="24"/>
          <w:szCs w:val="24"/>
        </w:rPr>
        <w:t xml:space="preserve">Tieto </w:t>
      </w:r>
      <w:r w:rsidRPr="007542FB">
        <w:rPr>
          <w:rFonts w:ascii="Times New Roman" w:eastAsia="Calibri" w:hAnsi="Times New Roman" w:cs="Times New Roman"/>
          <w:i/>
          <w:sz w:val="24"/>
          <w:szCs w:val="24"/>
        </w:rPr>
        <w:t>príjmy</w:t>
      </w:r>
      <w:r w:rsidRPr="007542FB">
        <w:rPr>
          <w:rFonts w:ascii="Times New Roman" w:eastAsia="Calibri" w:hAnsi="Times New Roman" w:cs="Times New Roman"/>
          <w:sz w:val="24"/>
          <w:szCs w:val="24"/>
        </w:rPr>
        <w:t xml:space="preserve"> by sa mali dosiahnuť najmä </w:t>
      </w:r>
      <w:r w:rsidRPr="007542FB">
        <w:rPr>
          <w:rFonts w:ascii="Times New Roman" w:eastAsia="Calibri" w:hAnsi="Times New Roman" w:cs="Times New Roman"/>
          <w:i/>
          <w:sz w:val="24"/>
          <w:szCs w:val="24"/>
        </w:rPr>
        <w:t>z administratívnych a iných poplatkov a platieb</w:t>
      </w:r>
      <w:r w:rsidRPr="007542FB">
        <w:rPr>
          <w:rFonts w:ascii="Times New Roman" w:eastAsia="Calibri" w:hAnsi="Times New Roman" w:cs="Times New Roman"/>
          <w:sz w:val="24"/>
          <w:szCs w:val="24"/>
        </w:rPr>
        <w:t xml:space="preserve"> </w:t>
      </w:r>
      <w:r w:rsidRPr="007542FB">
        <w:rPr>
          <w:rFonts w:ascii="Times New Roman" w:eastAsia="Calibri" w:hAnsi="Times New Roman" w:cs="Times New Roman"/>
          <w:sz w:val="24"/>
          <w:szCs w:val="24"/>
        </w:rPr>
        <w:br/>
        <w:t xml:space="preserve">v sume 94,0 mil. eur, a to najmä na úseku sociálneho zabezpečenia, z úhrad platených občanmi </w:t>
      </w:r>
      <w:r w:rsidRPr="007542FB">
        <w:rPr>
          <w:rFonts w:ascii="Times New Roman" w:eastAsia="Calibri" w:hAnsi="Times New Roman" w:cs="Times New Roman"/>
          <w:sz w:val="24"/>
          <w:szCs w:val="24"/>
        </w:rPr>
        <w:lastRenderedPageBreak/>
        <w:t xml:space="preserve">umiestnenými v zariadeniach sociálnych služieb, za poskytované služby, ako sú stravovanie, bývanie a zaopatrenie, na úseku školstva z príjmov získaných z poplatkov zo zápisného </w:t>
      </w:r>
      <w:r w:rsidRPr="007542FB">
        <w:rPr>
          <w:rFonts w:ascii="Times New Roman" w:eastAsia="Calibri" w:hAnsi="Times New Roman" w:cs="Times New Roman"/>
          <w:sz w:val="24"/>
          <w:szCs w:val="24"/>
        </w:rPr>
        <w:br/>
        <w:t xml:space="preserve">a školného, za ubytovanie v domovoch mládeže, z nájomného a pod. </w:t>
      </w:r>
    </w:p>
    <w:p w14:paraId="7BDDEFA4" w14:textId="77777777" w:rsidR="00923B65" w:rsidRPr="007542FB" w:rsidRDefault="00923B65" w:rsidP="00923B65">
      <w:pPr>
        <w:contextualSpacing/>
        <w:jc w:val="both"/>
        <w:rPr>
          <w:rFonts w:ascii="Times New Roman" w:eastAsia="Calibri" w:hAnsi="Times New Roman" w:cs="Times New Roman"/>
          <w:sz w:val="24"/>
          <w:szCs w:val="24"/>
        </w:rPr>
      </w:pPr>
    </w:p>
    <w:p w14:paraId="0C3F73BF" w14:textId="77777777" w:rsidR="00923B65" w:rsidRPr="007542FB" w:rsidRDefault="00923B65" w:rsidP="00923B65">
      <w:pPr>
        <w:contextualSpacing/>
        <w:jc w:val="both"/>
        <w:rPr>
          <w:rFonts w:ascii="Times New Roman" w:eastAsia="Calibri" w:hAnsi="Times New Roman" w:cs="Times New Roman"/>
          <w:sz w:val="24"/>
          <w:szCs w:val="24"/>
        </w:rPr>
      </w:pPr>
      <w:r w:rsidRPr="007542FB">
        <w:rPr>
          <w:rFonts w:ascii="Times New Roman" w:eastAsia="Calibri" w:hAnsi="Times New Roman" w:cs="Times New Roman"/>
          <w:sz w:val="24"/>
          <w:szCs w:val="24"/>
        </w:rPr>
        <w:t>Ďalej z</w:t>
      </w:r>
      <w:r w:rsidRPr="007542FB">
        <w:rPr>
          <w:rFonts w:ascii="Times New Roman" w:eastAsia="Calibri" w:hAnsi="Times New Roman" w:cs="Times New Roman"/>
          <w:i/>
          <w:sz w:val="24"/>
          <w:szCs w:val="24"/>
        </w:rPr>
        <w:t xml:space="preserve"> príjmov z podnikania a z vlastníctva majetku</w:t>
      </w:r>
      <w:r w:rsidRPr="007542FB">
        <w:rPr>
          <w:rFonts w:ascii="Times New Roman" w:eastAsia="Calibri" w:hAnsi="Times New Roman" w:cs="Times New Roman"/>
          <w:sz w:val="24"/>
          <w:szCs w:val="24"/>
        </w:rPr>
        <w:t xml:space="preserve"> (ako z nájomného z prenajatých pozemkov, budov, strojov a zariadení) sa očakáva 9,78 mil. eur.</w:t>
      </w:r>
    </w:p>
    <w:p w14:paraId="794821F4" w14:textId="77777777" w:rsidR="00923B65" w:rsidRPr="007542FB" w:rsidRDefault="00923B65" w:rsidP="00923B65">
      <w:pPr>
        <w:contextualSpacing/>
        <w:jc w:val="both"/>
        <w:rPr>
          <w:rFonts w:ascii="Times New Roman" w:eastAsia="Calibri" w:hAnsi="Times New Roman" w:cs="Times New Roman"/>
          <w:sz w:val="24"/>
          <w:szCs w:val="24"/>
        </w:rPr>
      </w:pPr>
    </w:p>
    <w:p w14:paraId="5F4B76FD" w14:textId="77777777" w:rsidR="00923B65" w:rsidRPr="007542FB" w:rsidRDefault="00923B65" w:rsidP="00923B65">
      <w:pPr>
        <w:contextualSpacing/>
        <w:jc w:val="both"/>
        <w:rPr>
          <w:rFonts w:ascii="Times New Roman" w:eastAsia="Calibri" w:hAnsi="Times New Roman" w:cs="Times New Roman"/>
          <w:sz w:val="24"/>
          <w:szCs w:val="24"/>
        </w:rPr>
      </w:pPr>
      <w:r w:rsidRPr="007542FB">
        <w:rPr>
          <w:rFonts w:ascii="Times New Roman" w:eastAsia="Calibri" w:hAnsi="Times New Roman" w:cs="Times New Roman"/>
          <w:i/>
          <w:sz w:val="24"/>
          <w:szCs w:val="24"/>
        </w:rPr>
        <w:t>Kapitálové príjmy</w:t>
      </w:r>
      <w:r w:rsidRPr="007542FB">
        <w:rPr>
          <w:rFonts w:ascii="Times New Roman" w:eastAsia="Calibri" w:hAnsi="Times New Roman" w:cs="Times New Roman"/>
          <w:sz w:val="24"/>
          <w:szCs w:val="24"/>
        </w:rPr>
        <w:t xml:space="preserve"> sa predpokladajú vo výške 4,20 mil. eur, a to najmä z predaja budov </w:t>
      </w:r>
      <w:r w:rsidRPr="007542FB">
        <w:rPr>
          <w:rFonts w:ascii="Times New Roman" w:eastAsia="Calibri" w:hAnsi="Times New Roman" w:cs="Times New Roman"/>
          <w:sz w:val="24"/>
          <w:szCs w:val="24"/>
        </w:rPr>
        <w:br/>
        <w:t xml:space="preserve">a z predaja pozemkov. </w:t>
      </w:r>
    </w:p>
    <w:p w14:paraId="6D20B0BB" w14:textId="77777777" w:rsidR="00923B65" w:rsidRPr="007542FB" w:rsidRDefault="00923B65" w:rsidP="00923B65">
      <w:pPr>
        <w:contextualSpacing/>
        <w:jc w:val="both"/>
        <w:rPr>
          <w:rFonts w:ascii="Times New Roman" w:eastAsia="Calibri" w:hAnsi="Times New Roman" w:cs="Times New Roman"/>
          <w:sz w:val="24"/>
          <w:szCs w:val="24"/>
        </w:rPr>
      </w:pPr>
    </w:p>
    <w:p w14:paraId="1A28FA8F" w14:textId="77777777" w:rsidR="00923B65" w:rsidRPr="007542FB" w:rsidRDefault="00923B65" w:rsidP="00923B65">
      <w:pPr>
        <w:contextualSpacing/>
        <w:jc w:val="both"/>
        <w:rPr>
          <w:rFonts w:ascii="Times New Roman" w:eastAsia="Calibri" w:hAnsi="Times New Roman" w:cs="Times New Roman"/>
          <w:sz w:val="24"/>
          <w:szCs w:val="24"/>
        </w:rPr>
      </w:pPr>
      <w:r w:rsidRPr="007542FB">
        <w:rPr>
          <w:rFonts w:ascii="Times New Roman" w:eastAsia="Calibri" w:hAnsi="Times New Roman" w:cs="Times New Roman"/>
          <w:i/>
          <w:sz w:val="24"/>
          <w:szCs w:val="24"/>
        </w:rPr>
        <w:t>Príjmy z úrokov z vkladov</w:t>
      </w:r>
      <w:r w:rsidRPr="007542FB">
        <w:rPr>
          <w:rFonts w:ascii="Times New Roman" w:eastAsia="Calibri" w:hAnsi="Times New Roman" w:cs="Times New Roman"/>
          <w:sz w:val="24"/>
          <w:szCs w:val="24"/>
        </w:rPr>
        <w:t xml:space="preserve"> (z úverov, pôžičiek, návratných finančných výpomocí, vkladov </w:t>
      </w:r>
      <w:r w:rsidRPr="007542FB">
        <w:rPr>
          <w:rFonts w:ascii="Times New Roman" w:eastAsia="Calibri" w:hAnsi="Times New Roman" w:cs="Times New Roman"/>
          <w:sz w:val="24"/>
          <w:szCs w:val="24"/>
        </w:rPr>
        <w:br/>
        <w:t xml:space="preserve">a ážia) a </w:t>
      </w:r>
      <w:r w:rsidRPr="007542FB">
        <w:rPr>
          <w:rFonts w:ascii="Times New Roman" w:eastAsia="Calibri" w:hAnsi="Times New Roman" w:cs="Times New Roman"/>
          <w:i/>
          <w:sz w:val="24"/>
          <w:szCs w:val="24"/>
        </w:rPr>
        <w:t>iných nedaňových príjmov</w:t>
      </w:r>
      <w:r w:rsidRPr="007542FB">
        <w:rPr>
          <w:rFonts w:ascii="Times New Roman" w:eastAsia="Calibri" w:hAnsi="Times New Roman" w:cs="Times New Roman"/>
          <w:sz w:val="24"/>
          <w:szCs w:val="24"/>
        </w:rPr>
        <w:t xml:space="preserve"> (ako napr. od rozpočtovej organizácie a príspevkovej organizácie, neziskovej organizácie, fyzickej osoby, od iných subjektov verejnej správy, náhrad z poistného plnenia, z nezrovnalostí a </w:t>
      </w:r>
      <w:proofErr w:type="spellStart"/>
      <w:r w:rsidRPr="007542FB">
        <w:rPr>
          <w:rFonts w:ascii="Times New Roman" w:eastAsia="Calibri" w:hAnsi="Times New Roman" w:cs="Times New Roman"/>
          <w:sz w:val="24"/>
          <w:szCs w:val="24"/>
        </w:rPr>
        <w:t>vratiek</w:t>
      </w:r>
      <w:proofErr w:type="spellEnd"/>
      <w:r w:rsidRPr="007542FB">
        <w:rPr>
          <w:rFonts w:ascii="Times New Roman" w:eastAsia="Calibri" w:hAnsi="Times New Roman" w:cs="Times New Roman"/>
          <w:sz w:val="24"/>
          <w:szCs w:val="24"/>
        </w:rPr>
        <w:t>) sa predpokladajú v sume 14,0 mil. eur.</w:t>
      </w:r>
    </w:p>
    <w:p w14:paraId="312106E8" w14:textId="77777777" w:rsidR="00923B65" w:rsidRPr="007542FB" w:rsidRDefault="00923B65" w:rsidP="00923B65">
      <w:pPr>
        <w:contextualSpacing/>
        <w:jc w:val="both"/>
        <w:rPr>
          <w:rFonts w:ascii="Times New Roman" w:eastAsia="Calibri" w:hAnsi="Times New Roman" w:cs="Times New Roman"/>
          <w:sz w:val="24"/>
          <w:szCs w:val="24"/>
        </w:rPr>
      </w:pPr>
    </w:p>
    <w:p w14:paraId="5B12CCA5" w14:textId="77777777" w:rsidR="00923B65" w:rsidRPr="007542FB" w:rsidRDefault="00923B65" w:rsidP="00923B65">
      <w:pPr>
        <w:contextualSpacing/>
        <w:jc w:val="both"/>
        <w:rPr>
          <w:rFonts w:ascii="Times New Roman" w:eastAsia="Calibri" w:hAnsi="Times New Roman" w:cs="Times New Roman"/>
          <w:sz w:val="24"/>
          <w:szCs w:val="24"/>
        </w:rPr>
      </w:pPr>
      <w:r w:rsidRPr="007542FB">
        <w:rPr>
          <w:rFonts w:ascii="Times New Roman" w:eastAsia="Calibri" w:hAnsi="Times New Roman" w:cs="Times New Roman"/>
          <w:sz w:val="24"/>
          <w:szCs w:val="24"/>
        </w:rPr>
        <w:t xml:space="preserve">V príjmoch na rok 2024 </w:t>
      </w:r>
      <w:r w:rsidRPr="007542FB">
        <w:rPr>
          <w:rFonts w:ascii="Times New Roman" w:eastAsia="Calibri" w:hAnsi="Times New Roman" w:cs="Times New Roman"/>
          <w:b/>
          <w:sz w:val="24"/>
          <w:szCs w:val="24"/>
        </w:rPr>
        <w:t>dopravné podniky</w:t>
      </w:r>
      <w:r w:rsidRPr="007542FB">
        <w:rPr>
          <w:rFonts w:ascii="Times New Roman" w:eastAsia="Calibri" w:hAnsi="Times New Roman" w:cs="Times New Roman"/>
          <w:sz w:val="24"/>
          <w:szCs w:val="24"/>
        </w:rPr>
        <w:t xml:space="preserve"> predpokladajú nedaňové príjmy v sume </w:t>
      </w:r>
      <w:r w:rsidRPr="007542FB">
        <w:rPr>
          <w:rFonts w:ascii="Times New Roman" w:eastAsia="Calibri" w:hAnsi="Times New Roman" w:cs="Times New Roman"/>
          <w:sz w:val="24"/>
          <w:szCs w:val="24"/>
        </w:rPr>
        <w:br/>
        <w:t>85,0 mil. eur.</w:t>
      </w:r>
    </w:p>
    <w:p w14:paraId="7B41B206" w14:textId="77777777" w:rsidR="00923B65" w:rsidRPr="007542FB" w:rsidRDefault="00923B65" w:rsidP="00923B65">
      <w:pPr>
        <w:contextualSpacing/>
        <w:jc w:val="both"/>
        <w:rPr>
          <w:rFonts w:ascii="Times New Roman" w:eastAsia="Calibri" w:hAnsi="Times New Roman" w:cs="Times New Roman"/>
          <w:sz w:val="24"/>
          <w:szCs w:val="24"/>
        </w:rPr>
      </w:pPr>
    </w:p>
    <w:p w14:paraId="22579973" w14:textId="77777777" w:rsidR="00923B65" w:rsidRPr="00871912" w:rsidRDefault="00923B65" w:rsidP="00923B65">
      <w:pPr>
        <w:contextualSpacing/>
        <w:jc w:val="both"/>
        <w:rPr>
          <w:rFonts w:ascii="Times New Roman" w:eastAsia="Calibri" w:hAnsi="Times New Roman" w:cs="Times New Roman"/>
          <w:sz w:val="24"/>
          <w:szCs w:val="24"/>
        </w:rPr>
      </w:pPr>
      <w:r w:rsidRPr="007542FB">
        <w:rPr>
          <w:rFonts w:ascii="Times New Roman" w:eastAsia="Calibri" w:hAnsi="Times New Roman" w:cs="Times New Roman"/>
          <w:sz w:val="24"/>
          <w:szCs w:val="24"/>
        </w:rPr>
        <w:t xml:space="preserve">Najvyšší podiel na nedaňových príjmoch majú </w:t>
      </w:r>
      <w:r w:rsidRPr="007542FB">
        <w:rPr>
          <w:rFonts w:ascii="Times New Roman" w:eastAsia="Calibri" w:hAnsi="Times New Roman" w:cs="Times New Roman"/>
          <w:i/>
          <w:sz w:val="24"/>
          <w:szCs w:val="24"/>
        </w:rPr>
        <w:t>príjmy</w:t>
      </w:r>
      <w:r w:rsidRPr="007542FB">
        <w:rPr>
          <w:rFonts w:ascii="Times New Roman" w:eastAsia="Calibri" w:hAnsi="Times New Roman" w:cs="Times New Roman"/>
          <w:sz w:val="24"/>
          <w:szCs w:val="24"/>
        </w:rPr>
        <w:t xml:space="preserve"> </w:t>
      </w:r>
      <w:r w:rsidRPr="007542FB">
        <w:rPr>
          <w:rFonts w:ascii="Times New Roman" w:eastAsia="Calibri" w:hAnsi="Times New Roman" w:cs="Times New Roman"/>
          <w:i/>
          <w:sz w:val="24"/>
          <w:szCs w:val="24"/>
        </w:rPr>
        <w:t>z platieb administratívnych a iných poplatkov (tržby)</w:t>
      </w:r>
      <w:r w:rsidRPr="007542FB">
        <w:rPr>
          <w:rFonts w:ascii="Times New Roman" w:eastAsia="Calibri" w:hAnsi="Times New Roman" w:cs="Times New Roman"/>
          <w:sz w:val="24"/>
          <w:szCs w:val="24"/>
        </w:rPr>
        <w:t xml:space="preserve"> v sume 83,0 mil. eur a z prenájmu budov, priestorov, objektov a strojov </w:t>
      </w:r>
      <w:r w:rsidRPr="007542FB">
        <w:rPr>
          <w:rFonts w:ascii="Times New Roman" w:eastAsia="Calibri" w:hAnsi="Times New Roman" w:cs="Times New Roman"/>
          <w:sz w:val="24"/>
          <w:szCs w:val="24"/>
        </w:rPr>
        <w:br/>
        <w:t>v sume 1,57 mil. eur.</w:t>
      </w:r>
    </w:p>
    <w:p w14:paraId="15A6A1A1" w14:textId="77777777" w:rsidR="00923B65" w:rsidRPr="00871912" w:rsidRDefault="00923B65" w:rsidP="00923B65">
      <w:pPr>
        <w:contextualSpacing/>
        <w:jc w:val="both"/>
        <w:rPr>
          <w:rFonts w:ascii="Times New Roman" w:eastAsia="Calibri" w:hAnsi="Times New Roman" w:cs="Times New Roman"/>
          <w:sz w:val="24"/>
          <w:szCs w:val="24"/>
        </w:rPr>
      </w:pPr>
    </w:p>
    <w:p w14:paraId="34935097" w14:textId="2AFB6A2F" w:rsidR="00923B65" w:rsidRPr="00871912" w:rsidRDefault="00923B65" w:rsidP="00923B65">
      <w:pPr>
        <w:pBdr>
          <w:top w:val="nil"/>
          <w:left w:val="nil"/>
          <w:bottom w:val="nil"/>
          <w:right w:val="nil"/>
          <w:between w:val="nil"/>
          <w:bar w:val="nil"/>
        </w:pBdr>
        <w:spacing w:after="0" w:line="240" w:lineRule="auto"/>
        <w:jc w:val="both"/>
        <w:rPr>
          <w:rFonts w:ascii="Times New Roman" w:eastAsia="Arial Narrow" w:hAnsi="Times New Roman" w:cs="Times New Roman"/>
          <w:b/>
          <w:bCs/>
          <w:noProof/>
          <w:color w:val="5B9BD5" w:themeColor="accent1"/>
          <w:sz w:val="20"/>
          <w:szCs w:val="24"/>
          <w:bdr w:val="nil"/>
          <w:lang w:eastAsia="sk-SK"/>
        </w:rPr>
      </w:pPr>
      <w:bookmarkStart w:id="147" w:name="_Toc52972970"/>
      <w:bookmarkStart w:id="148" w:name="_Toc53086369"/>
      <w:bookmarkStart w:id="149" w:name="_Toc153013042"/>
      <w:r w:rsidRPr="00871912">
        <w:rPr>
          <w:rFonts w:ascii="Times New Roman" w:eastAsia="Arial Narrow" w:hAnsi="Times New Roman" w:cs="Times New Roman"/>
          <w:b/>
          <w:bCs/>
          <w:noProof/>
          <w:color w:val="5B9BD5" w:themeColor="accent1"/>
          <w:sz w:val="20"/>
          <w:szCs w:val="24"/>
          <w:bdr w:val="nil"/>
          <w:lang w:eastAsia="sk-SK"/>
        </w:rPr>
        <w:t xml:space="preserve">Tabuľka </w:t>
      </w:r>
      <w:r w:rsidR="005B05B7">
        <w:rPr>
          <w:rFonts w:ascii="Times New Roman" w:eastAsia="Arial Narrow" w:hAnsi="Times New Roman" w:cs="Times New Roman"/>
          <w:b/>
          <w:bCs/>
          <w:noProof/>
          <w:color w:val="5B9BD5" w:themeColor="accent1"/>
          <w:sz w:val="20"/>
          <w:szCs w:val="24"/>
          <w:bdr w:val="nil"/>
          <w:lang w:eastAsia="sk-SK"/>
        </w:rPr>
        <w:fldChar w:fldCharType="begin"/>
      </w:r>
      <w:r w:rsidR="005B05B7">
        <w:rPr>
          <w:rFonts w:ascii="Times New Roman" w:eastAsia="Arial Narrow" w:hAnsi="Times New Roman" w:cs="Times New Roman"/>
          <w:b/>
          <w:bCs/>
          <w:noProof/>
          <w:color w:val="5B9BD5" w:themeColor="accent1"/>
          <w:sz w:val="20"/>
          <w:szCs w:val="24"/>
          <w:bdr w:val="nil"/>
          <w:lang w:eastAsia="sk-SK"/>
        </w:rPr>
        <w:instrText xml:space="preserve"> SEQ Tabuľka \* ARABIC </w:instrText>
      </w:r>
      <w:r w:rsidR="005B05B7">
        <w:rPr>
          <w:rFonts w:ascii="Times New Roman" w:eastAsia="Arial Narrow" w:hAnsi="Times New Roman" w:cs="Times New Roman"/>
          <w:b/>
          <w:bCs/>
          <w:noProof/>
          <w:color w:val="5B9BD5" w:themeColor="accent1"/>
          <w:sz w:val="20"/>
          <w:szCs w:val="24"/>
          <w:bdr w:val="nil"/>
          <w:lang w:eastAsia="sk-SK"/>
        </w:rPr>
        <w:fldChar w:fldCharType="separate"/>
      </w:r>
      <w:r w:rsidR="003D5A3A">
        <w:rPr>
          <w:rFonts w:ascii="Times New Roman" w:eastAsia="Arial Narrow" w:hAnsi="Times New Roman" w:cs="Times New Roman"/>
          <w:b/>
          <w:bCs/>
          <w:noProof/>
          <w:color w:val="5B9BD5" w:themeColor="accent1"/>
          <w:sz w:val="20"/>
          <w:szCs w:val="24"/>
          <w:bdr w:val="nil"/>
          <w:lang w:eastAsia="sk-SK"/>
        </w:rPr>
        <w:t>44</w:t>
      </w:r>
      <w:r w:rsidR="005B05B7">
        <w:rPr>
          <w:rFonts w:ascii="Times New Roman" w:eastAsia="Arial Narrow" w:hAnsi="Times New Roman" w:cs="Times New Roman"/>
          <w:b/>
          <w:bCs/>
          <w:noProof/>
          <w:color w:val="5B9BD5" w:themeColor="accent1"/>
          <w:sz w:val="20"/>
          <w:szCs w:val="24"/>
          <w:bdr w:val="nil"/>
          <w:lang w:eastAsia="sk-SK"/>
        </w:rPr>
        <w:fldChar w:fldCharType="end"/>
      </w:r>
      <w:r w:rsidRPr="00871912">
        <w:rPr>
          <w:rFonts w:ascii="Times New Roman" w:eastAsia="Arial Narrow" w:hAnsi="Times New Roman" w:cs="Times New Roman"/>
          <w:b/>
          <w:bCs/>
          <w:noProof/>
          <w:color w:val="5B9BD5" w:themeColor="accent1"/>
          <w:sz w:val="20"/>
          <w:szCs w:val="24"/>
          <w:bdr w:val="nil"/>
          <w:lang w:eastAsia="sk-SK"/>
        </w:rPr>
        <w:t xml:space="preserve"> - Príjmy územnej samosprávy z grantov a</w:t>
      </w:r>
      <w:r>
        <w:rPr>
          <w:rFonts w:ascii="Times New Roman" w:eastAsia="Arial Narrow" w:hAnsi="Times New Roman" w:cs="Times New Roman"/>
          <w:b/>
          <w:bCs/>
          <w:noProof/>
          <w:color w:val="5B9BD5" w:themeColor="accent1"/>
          <w:sz w:val="20"/>
          <w:szCs w:val="24"/>
          <w:bdr w:val="nil"/>
          <w:lang w:eastAsia="sk-SK"/>
        </w:rPr>
        <w:t> </w:t>
      </w:r>
      <w:r w:rsidRPr="00871912">
        <w:rPr>
          <w:rFonts w:ascii="Times New Roman" w:eastAsia="Arial Narrow" w:hAnsi="Times New Roman" w:cs="Times New Roman"/>
          <w:b/>
          <w:bCs/>
          <w:noProof/>
          <w:color w:val="5B9BD5" w:themeColor="accent1"/>
          <w:sz w:val="20"/>
          <w:szCs w:val="24"/>
          <w:bdr w:val="nil"/>
          <w:lang w:eastAsia="sk-SK"/>
        </w:rPr>
        <w:t>transferov</w:t>
      </w:r>
      <w:bookmarkEnd w:id="147"/>
      <w:bookmarkEnd w:id="148"/>
      <w:bookmarkEnd w:id="149"/>
    </w:p>
    <w:tbl>
      <w:tblPr>
        <w:tblW w:w="5000" w:type="pct"/>
        <w:tblCellMar>
          <w:left w:w="70" w:type="dxa"/>
          <w:right w:w="70" w:type="dxa"/>
        </w:tblCellMar>
        <w:tblLook w:val="04A0" w:firstRow="1" w:lastRow="0" w:firstColumn="1" w:lastColumn="0" w:noHBand="0" w:noVBand="1"/>
      </w:tblPr>
      <w:tblGrid>
        <w:gridCol w:w="1966"/>
        <w:gridCol w:w="1015"/>
        <w:gridCol w:w="1015"/>
        <w:gridCol w:w="1016"/>
        <w:gridCol w:w="1016"/>
        <w:gridCol w:w="1016"/>
        <w:gridCol w:w="1016"/>
        <w:gridCol w:w="1012"/>
      </w:tblGrid>
      <w:tr w:rsidR="00923B65" w:rsidRPr="006C73D0" w14:paraId="20B629F6" w14:textId="77777777" w:rsidTr="00111797">
        <w:trPr>
          <w:trHeight w:val="315"/>
        </w:trPr>
        <w:tc>
          <w:tcPr>
            <w:tcW w:w="1082" w:type="pct"/>
            <w:tcBorders>
              <w:top w:val="single" w:sz="4" w:space="0" w:color="auto"/>
              <w:left w:val="nil"/>
              <w:bottom w:val="single" w:sz="4" w:space="0" w:color="auto"/>
              <w:right w:val="nil"/>
            </w:tcBorders>
            <w:shd w:val="clear" w:color="auto" w:fill="auto"/>
            <w:noWrap/>
            <w:vAlign w:val="center"/>
            <w:hideMark/>
          </w:tcPr>
          <w:p w14:paraId="1287860D" w14:textId="77777777" w:rsidR="00923B65" w:rsidRPr="006C73D0" w:rsidRDefault="00923B65" w:rsidP="00B63F1A">
            <w:pPr>
              <w:spacing w:after="0" w:line="240" w:lineRule="auto"/>
              <w:rPr>
                <w:rFonts w:ascii="Times New Roman" w:eastAsia="Times New Roman" w:hAnsi="Times New Roman" w:cs="Times New Roman"/>
                <w:b/>
                <w:bCs/>
                <w:color w:val="000000"/>
                <w:sz w:val="16"/>
                <w:szCs w:val="16"/>
                <w:lang w:eastAsia="sk-SK"/>
              </w:rPr>
            </w:pPr>
            <w:r w:rsidRPr="006C73D0">
              <w:rPr>
                <w:rFonts w:ascii="Times New Roman" w:eastAsia="Times New Roman" w:hAnsi="Times New Roman" w:cs="Times New Roman"/>
                <w:b/>
                <w:bCs/>
                <w:color w:val="000000"/>
                <w:sz w:val="16"/>
                <w:szCs w:val="16"/>
                <w:lang w:eastAsia="sk-SK"/>
              </w:rPr>
              <w:t> v tis. eur</w:t>
            </w:r>
          </w:p>
        </w:tc>
        <w:tc>
          <w:tcPr>
            <w:tcW w:w="560" w:type="pct"/>
            <w:tcBorders>
              <w:top w:val="single" w:sz="4" w:space="0" w:color="auto"/>
              <w:left w:val="nil"/>
              <w:bottom w:val="single" w:sz="4" w:space="0" w:color="auto"/>
              <w:right w:val="nil"/>
            </w:tcBorders>
            <w:shd w:val="clear" w:color="auto" w:fill="auto"/>
            <w:noWrap/>
            <w:vAlign w:val="center"/>
            <w:hideMark/>
          </w:tcPr>
          <w:p w14:paraId="742E685A" w14:textId="77777777" w:rsidR="00923B65" w:rsidRPr="006C73D0"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6C73D0">
              <w:rPr>
                <w:rFonts w:ascii="Times New Roman" w:eastAsia="Times New Roman" w:hAnsi="Times New Roman" w:cs="Times New Roman"/>
                <w:b/>
                <w:bCs/>
                <w:color w:val="000000"/>
                <w:sz w:val="16"/>
                <w:szCs w:val="16"/>
                <w:lang w:eastAsia="sk-SK"/>
              </w:rPr>
              <w:t>2021 S</w:t>
            </w:r>
          </w:p>
        </w:tc>
        <w:tc>
          <w:tcPr>
            <w:tcW w:w="560" w:type="pct"/>
            <w:tcBorders>
              <w:top w:val="single" w:sz="4" w:space="0" w:color="auto"/>
              <w:left w:val="nil"/>
              <w:bottom w:val="single" w:sz="4" w:space="0" w:color="auto"/>
              <w:right w:val="nil"/>
            </w:tcBorders>
            <w:shd w:val="clear" w:color="auto" w:fill="auto"/>
            <w:noWrap/>
            <w:vAlign w:val="center"/>
            <w:hideMark/>
          </w:tcPr>
          <w:p w14:paraId="33663769" w14:textId="77777777" w:rsidR="00923B65" w:rsidRPr="006C73D0"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6C73D0">
              <w:rPr>
                <w:rFonts w:ascii="Times New Roman" w:eastAsia="Times New Roman" w:hAnsi="Times New Roman" w:cs="Times New Roman"/>
                <w:b/>
                <w:bCs/>
                <w:color w:val="000000"/>
                <w:sz w:val="16"/>
                <w:szCs w:val="16"/>
                <w:lang w:eastAsia="sk-SK"/>
              </w:rPr>
              <w:t>2022 S</w:t>
            </w:r>
          </w:p>
        </w:tc>
        <w:tc>
          <w:tcPr>
            <w:tcW w:w="560" w:type="pct"/>
            <w:tcBorders>
              <w:top w:val="single" w:sz="4" w:space="0" w:color="auto"/>
              <w:left w:val="nil"/>
              <w:bottom w:val="single" w:sz="4" w:space="0" w:color="auto"/>
              <w:right w:val="nil"/>
            </w:tcBorders>
            <w:shd w:val="clear" w:color="auto" w:fill="auto"/>
            <w:noWrap/>
            <w:vAlign w:val="center"/>
            <w:hideMark/>
          </w:tcPr>
          <w:p w14:paraId="73689494" w14:textId="77777777" w:rsidR="00923B65" w:rsidRPr="006C73D0"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6C73D0">
              <w:rPr>
                <w:rFonts w:ascii="Times New Roman" w:eastAsia="Times New Roman" w:hAnsi="Times New Roman" w:cs="Times New Roman"/>
                <w:b/>
                <w:bCs/>
                <w:color w:val="000000"/>
                <w:sz w:val="16"/>
                <w:szCs w:val="16"/>
                <w:lang w:eastAsia="sk-SK"/>
              </w:rPr>
              <w:t>2023 R</w:t>
            </w:r>
          </w:p>
        </w:tc>
        <w:tc>
          <w:tcPr>
            <w:tcW w:w="560" w:type="pct"/>
            <w:tcBorders>
              <w:top w:val="single" w:sz="4" w:space="0" w:color="auto"/>
              <w:left w:val="nil"/>
              <w:bottom w:val="single" w:sz="4" w:space="0" w:color="auto"/>
              <w:right w:val="nil"/>
            </w:tcBorders>
            <w:shd w:val="clear" w:color="auto" w:fill="auto"/>
            <w:noWrap/>
            <w:vAlign w:val="center"/>
            <w:hideMark/>
          </w:tcPr>
          <w:p w14:paraId="0E18DF04" w14:textId="77777777" w:rsidR="00923B65" w:rsidRPr="006C73D0"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6C73D0">
              <w:rPr>
                <w:rFonts w:ascii="Times New Roman" w:eastAsia="Times New Roman" w:hAnsi="Times New Roman" w:cs="Times New Roman"/>
                <w:b/>
                <w:bCs/>
                <w:color w:val="000000"/>
                <w:sz w:val="16"/>
                <w:szCs w:val="16"/>
                <w:lang w:eastAsia="sk-SK"/>
              </w:rPr>
              <w:t>2023 OS</w:t>
            </w:r>
          </w:p>
        </w:tc>
        <w:tc>
          <w:tcPr>
            <w:tcW w:w="560" w:type="pct"/>
            <w:tcBorders>
              <w:top w:val="single" w:sz="4" w:space="0" w:color="auto"/>
              <w:left w:val="nil"/>
              <w:bottom w:val="single" w:sz="4" w:space="0" w:color="auto"/>
              <w:right w:val="nil"/>
            </w:tcBorders>
            <w:shd w:val="clear" w:color="auto" w:fill="auto"/>
            <w:noWrap/>
            <w:vAlign w:val="center"/>
            <w:hideMark/>
          </w:tcPr>
          <w:p w14:paraId="6B3049A2" w14:textId="77777777" w:rsidR="00923B65" w:rsidRPr="006C73D0"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6C73D0">
              <w:rPr>
                <w:rFonts w:ascii="Times New Roman" w:eastAsia="Times New Roman" w:hAnsi="Times New Roman" w:cs="Times New Roman"/>
                <w:b/>
                <w:bCs/>
                <w:color w:val="000000"/>
                <w:sz w:val="16"/>
                <w:szCs w:val="16"/>
                <w:lang w:eastAsia="sk-SK"/>
              </w:rPr>
              <w:t>2024 N</w:t>
            </w:r>
          </w:p>
        </w:tc>
        <w:tc>
          <w:tcPr>
            <w:tcW w:w="560" w:type="pct"/>
            <w:tcBorders>
              <w:top w:val="single" w:sz="4" w:space="0" w:color="auto"/>
              <w:left w:val="nil"/>
              <w:bottom w:val="single" w:sz="4" w:space="0" w:color="auto"/>
              <w:right w:val="nil"/>
            </w:tcBorders>
            <w:shd w:val="clear" w:color="auto" w:fill="auto"/>
            <w:noWrap/>
            <w:vAlign w:val="center"/>
            <w:hideMark/>
          </w:tcPr>
          <w:p w14:paraId="3685B9FF" w14:textId="77777777" w:rsidR="00923B65" w:rsidRPr="006C73D0"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6C73D0">
              <w:rPr>
                <w:rFonts w:ascii="Times New Roman" w:eastAsia="Times New Roman" w:hAnsi="Times New Roman" w:cs="Times New Roman"/>
                <w:b/>
                <w:bCs/>
                <w:color w:val="000000"/>
                <w:sz w:val="16"/>
                <w:szCs w:val="16"/>
                <w:lang w:eastAsia="sk-SK"/>
              </w:rPr>
              <w:t>2025 N</w:t>
            </w:r>
          </w:p>
        </w:tc>
        <w:tc>
          <w:tcPr>
            <w:tcW w:w="560" w:type="pct"/>
            <w:tcBorders>
              <w:top w:val="single" w:sz="4" w:space="0" w:color="auto"/>
              <w:left w:val="nil"/>
              <w:bottom w:val="single" w:sz="4" w:space="0" w:color="auto"/>
              <w:right w:val="nil"/>
            </w:tcBorders>
            <w:shd w:val="clear" w:color="auto" w:fill="auto"/>
            <w:noWrap/>
            <w:vAlign w:val="center"/>
            <w:hideMark/>
          </w:tcPr>
          <w:p w14:paraId="433D4613" w14:textId="77777777" w:rsidR="00923B65" w:rsidRPr="006C73D0"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6C73D0">
              <w:rPr>
                <w:rFonts w:ascii="Times New Roman" w:eastAsia="Times New Roman" w:hAnsi="Times New Roman" w:cs="Times New Roman"/>
                <w:b/>
                <w:bCs/>
                <w:color w:val="000000"/>
                <w:sz w:val="16"/>
                <w:szCs w:val="16"/>
                <w:lang w:eastAsia="sk-SK"/>
              </w:rPr>
              <w:t>2026 N</w:t>
            </w:r>
          </w:p>
        </w:tc>
      </w:tr>
      <w:tr w:rsidR="00923B65" w:rsidRPr="006C73D0" w14:paraId="49C25FED" w14:textId="77777777" w:rsidTr="00111797">
        <w:trPr>
          <w:trHeight w:val="300"/>
        </w:trPr>
        <w:tc>
          <w:tcPr>
            <w:tcW w:w="1082" w:type="pct"/>
            <w:tcBorders>
              <w:top w:val="single" w:sz="4" w:space="0" w:color="auto"/>
              <w:left w:val="nil"/>
              <w:bottom w:val="nil"/>
              <w:right w:val="nil"/>
            </w:tcBorders>
            <w:shd w:val="clear" w:color="auto" w:fill="auto"/>
            <w:noWrap/>
            <w:vAlign w:val="center"/>
            <w:hideMark/>
          </w:tcPr>
          <w:p w14:paraId="07747ACB" w14:textId="77777777" w:rsidR="00923B65" w:rsidRPr="006C73D0" w:rsidRDefault="00923B65" w:rsidP="00B63F1A">
            <w:pPr>
              <w:spacing w:after="0" w:line="240" w:lineRule="auto"/>
              <w:rPr>
                <w:rFonts w:ascii="Times New Roman" w:eastAsia="Times New Roman" w:hAnsi="Times New Roman" w:cs="Times New Roman"/>
                <w:b/>
                <w:bCs/>
                <w:color w:val="000000"/>
                <w:sz w:val="16"/>
                <w:szCs w:val="16"/>
                <w:lang w:eastAsia="sk-SK"/>
              </w:rPr>
            </w:pPr>
            <w:r w:rsidRPr="006C73D0">
              <w:rPr>
                <w:rFonts w:ascii="Times New Roman" w:eastAsia="Times New Roman" w:hAnsi="Times New Roman" w:cs="Times New Roman"/>
                <w:b/>
                <w:bCs/>
                <w:color w:val="000000"/>
                <w:sz w:val="16"/>
                <w:szCs w:val="16"/>
                <w:lang w:eastAsia="sk-SK"/>
              </w:rPr>
              <w:t>Granty a transfery</w:t>
            </w:r>
          </w:p>
        </w:tc>
        <w:tc>
          <w:tcPr>
            <w:tcW w:w="560" w:type="pct"/>
            <w:tcBorders>
              <w:top w:val="single" w:sz="4" w:space="0" w:color="auto"/>
              <w:left w:val="nil"/>
              <w:bottom w:val="nil"/>
              <w:right w:val="nil"/>
            </w:tcBorders>
            <w:shd w:val="clear" w:color="auto" w:fill="auto"/>
            <w:noWrap/>
            <w:vAlign w:val="center"/>
            <w:hideMark/>
          </w:tcPr>
          <w:p w14:paraId="1A97689C" w14:textId="77777777" w:rsidR="00923B65" w:rsidRPr="006C73D0"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6C73D0">
              <w:rPr>
                <w:rFonts w:ascii="Times New Roman" w:eastAsia="Times New Roman" w:hAnsi="Times New Roman" w:cs="Times New Roman"/>
                <w:b/>
                <w:bCs/>
                <w:color w:val="000000"/>
                <w:sz w:val="16"/>
                <w:szCs w:val="16"/>
                <w:lang w:eastAsia="sk-SK"/>
              </w:rPr>
              <w:t>3 488 506</w:t>
            </w:r>
          </w:p>
        </w:tc>
        <w:tc>
          <w:tcPr>
            <w:tcW w:w="560" w:type="pct"/>
            <w:tcBorders>
              <w:top w:val="single" w:sz="4" w:space="0" w:color="auto"/>
              <w:left w:val="nil"/>
              <w:bottom w:val="nil"/>
              <w:right w:val="nil"/>
            </w:tcBorders>
            <w:shd w:val="clear" w:color="auto" w:fill="auto"/>
            <w:noWrap/>
            <w:vAlign w:val="center"/>
            <w:hideMark/>
          </w:tcPr>
          <w:p w14:paraId="3D94D840" w14:textId="77777777" w:rsidR="00923B65" w:rsidRPr="006C73D0"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6C73D0">
              <w:rPr>
                <w:rFonts w:ascii="Times New Roman" w:eastAsia="Times New Roman" w:hAnsi="Times New Roman" w:cs="Times New Roman"/>
                <w:b/>
                <w:bCs/>
                <w:color w:val="000000"/>
                <w:sz w:val="16"/>
                <w:szCs w:val="16"/>
                <w:lang w:eastAsia="sk-SK"/>
              </w:rPr>
              <w:t>3 671 625</w:t>
            </w:r>
          </w:p>
        </w:tc>
        <w:tc>
          <w:tcPr>
            <w:tcW w:w="560" w:type="pct"/>
            <w:tcBorders>
              <w:top w:val="single" w:sz="4" w:space="0" w:color="auto"/>
              <w:left w:val="nil"/>
              <w:bottom w:val="nil"/>
              <w:right w:val="nil"/>
            </w:tcBorders>
            <w:shd w:val="clear" w:color="auto" w:fill="auto"/>
            <w:noWrap/>
            <w:vAlign w:val="center"/>
            <w:hideMark/>
          </w:tcPr>
          <w:p w14:paraId="1238F634" w14:textId="77777777" w:rsidR="00923B65" w:rsidRPr="006C73D0"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6C73D0">
              <w:rPr>
                <w:rFonts w:ascii="Times New Roman" w:eastAsia="Times New Roman" w:hAnsi="Times New Roman" w:cs="Times New Roman"/>
                <w:b/>
                <w:bCs/>
                <w:color w:val="000000"/>
                <w:sz w:val="16"/>
                <w:szCs w:val="16"/>
                <w:lang w:eastAsia="sk-SK"/>
              </w:rPr>
              <w:t>3 179 881</w:t>
            </w:r>
          </w:p>
        </w:tc>
        <w:tc>
          <w:tcPr>
            <w:tcW w:w="560" w:type="pct"/>
            <w:tcBorders>
              <w:top w:val="single" w:sz="4" w:space="0" w:color="auto"/>
              <w:left w:val="nil"/>
              <w:bottom w:val="nil"/>
              <w:right w:val="nil"/>
            </w:tcBorders>
            <w:shd w:val="clear" w:color="auto" w:fill="auto"/>
            <w:noWrap/>
            <w:vAlign w:val="center"/>
            <w:hideMark/>
          </w:tcPr>
          <w:p w14:paraId="2E49F266" w14:textId="77777777" w:rsidR="00923B65" w:rsidRPr="006C73D0"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6C73D0">
              <w:rPr>
                <w:rFonts w:ascii="Times New Roman" w:eastAsia="Times New Roman" w:hAnsi="Times New Roman" w:cs="Times New Roman"/>
                <w:b/>
                <w:bCs/>
                <w:color w:val="000000"/>
                <w:sz w:val="16"/>
                <w:szCs w:val="16"/>
                <w:lang w:eastAsia="sk-SK"/>
              </w:rPr>
              <w:t>4 401 767</w:t>
            </w:r>
          </w:p>
        </w:tc>
        <w:tc>
          <w:tcPr>
            <w:tcW w:w="560" w:type="pct"/>
            <w:tcBorders>
              <w:top w:val="single" w:sz="4" w:space="0" w:color="auto"/>
              <w:left w:val="nil"/>
              <w:bottom w:val="nil"/>
              <w:right w:val="nil"/>
            </w:tcBorders>
            <w:shd w:val="clear" w:color="auto" w:fill="auto"/>
            <w:noWrap/>
            <w:vAlign w:val="center"/>
            <w:hideMark/>
          </w:tcPr>
          <w:p w14:paraId="65E4EDCC" w14:textId="77777777" w:rsidR="00923B65" w:rsidRPr="006C73D0"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6C73D0">
              <w:rPr>
                <w:rFonts w:ascii="Times New Roman" w:eastAsia="Times New Roman" w:hAnsi="Times New Roman" w:cs="Times New Roman"/>
                <w:b/>
                <w:bCs/>
                <w:color w:val="000000"/>
                <w:sz w:val="16"/>
                <w:szCs w:val="16"/>
                <w:lang w:eastAsia="sk-SK"/>
              </w:rPr>
              <w:t>3 729 186</w:t>
            </w:r>
          </w:p>
        </w:tc>
        <w:tc>
          <w:tcPr>
            <w:tcW w:w="560" w:type="pct"/>
            <w:tcBorders>
              <w:top w:val="single" w:sz="4" w:space="0" w:color="auto"/>
              <w:left w:val="nil"/>
              <w:bottom w:val="nil"/>
              <w:right w:val="nil"/>
            </w:tcBorders>
            <w:shd w:val="clear" w:color="auto" w:fill="auto"/>
            <w:noWrap/>
            <w:vAlign w:val="center"/>
            <w:hideMark/>
          </w:tcPr>
          <w:p w14:paraId="1A839489" w14:textId="77777777" w:rsidR="00923B65" w:rsidRPr="006C73D0"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6C73D0">
              <w:rPr>
                <w:rFonts w:ascii="Times New Roman" w:eastAsia="Times New Roman" w:hAnsi="Times New Roman" w:cs="Times New Roman"/>
                <w:b/>
                <w:bCs/>
                <w:color w:val="000000"/>
                <w:sz w:val="16"/>
                <w:szCs w:val="16"/>
                <w:lang w:eastAsia="sk-SK"/>
              </w:rPr>
              <w:t>3 894 779</w:t>
            </w:r>
          </w:p>
        </w:tc>
        <w:tc>
          <w:tcPr>
            <w:tcW w:w="560" w:type="pct"/>
            <w:tcBorders>
              <w:top w:val="single" w:sz="4" w:space="0" w:color="auto"/>
              <w:left w:val="nil"/>
              <w:bottom w:val="nil"/>
              <w:right w:val="nil"/>
            </w:tcBorders>
            <w:shd w:val="clear" w:color="auto" w:fill="auto"/>
            <w:noWrap/>
            <w:vAlign w:val="center"/>
            <w:hideMark/>
          </w:tcPr>
          <w:p w14:paraId="44E6150D" w14:textId="77777777" w:rsidR="00923B65" w:rsidRPr="006C73D0" w:rsidRDefault="00923B65" w:rsidP="00B63F1A">
            <w:pPr>
              <w:spacing w:after="0" w:line="240" w:lineRule="auto"/>
              <w:jc w:val="right"/>
              <w:rPr>
                <w:rFonts w:ascii="Times New Roman" w:eastAsia="Times New Roman" w:hAnsi="Times New Roman" w:cs="Times New Roman"/>
                <w:b/>
                <w:bCs/>
                <w:color w:val="000000"/>
                <w:sz w:val="16"/>
                <w:szCs w:val="16"/>
                <w:lang w:eastAsia="sk-SK"/>
              </w:rPr>
            </w:pPr>
            <w:r w:rsidRPr="006C73D0">
              <w:rPr>
                <w:rFonts w:ascii="Times New Roman" w:eastAsia="Times New Roman" w:hAnsi="Times New Roman" w:cs="Times New Roman"/>
                <w:b/>
                <w:bCs/>
                <w:color w:val="000000"/>
                <w:sz w:val="16"/>
                <w:szCs w:val="16"/>
                <w:lang w:eastAsia="sk-SK"/>
              </w:rPr>
              <w:t>3 941 104</w:t>
            </w:r>
          </w:p>
        </w:tc>
      </w:tr>
      <w:tr w:rsidR="00923B65" w:rsidRPr="006C73D0" w14:paraId="151AE52C" w14:textId="77777777" w:rsidTr="00B63F1A">
        <w:trPr>
          <w:trHeight w:val="300"/>
        </w:trPr>
        <w:tc>
          <w:tcPr>
            <w:tcW w:w="1082" w:type="pct"/>
            <w:tcBorders>
              <w:top w:val="nil"/>
              <w:left w:val="nil"/>
              <w:bottom w:val="nil"/>
              <w:right w:val="nil"/>
            </w:tcBorders>
            <w:shd w:val="clear" w:color="auto" w:fill="auto"/>
            <w:noWrap/>
            <w:vAlign w:val="center"/>
            <w:hideMark/>
          </w:tcPr>
          <w:p w14:paraId="40E6D686" w14:textId="77777777" w:rsidR="00923B65" w:rsidRPr="006C73D0" w:rsidRDefault="00923B65" w:rsidP="00B63F1A">
            <w:pPr>
              <w:spacing w:after="0" w:line="240" w:lineRule="auto"/>
              <w:rPr>
                <w:rFonts w:ascii="Times New Roman" w:eastAsia="Times New Roman" w:hAnsi="Times New Roman" w:cs="Times New Roman"/>
                <w:color w:val="000000"/>
                <w:sz w:val="16"/>
                <w:szCs w:val="16"/>
                <w:lang w:eastAsia="sk-SK"/>
              </w:rPr>
            </w:pPr>
            <w:r w:rsidRPr="006C73D0">
              <w:rPr>
                <w:rFonts w:ascii="Times New Roman" w:eastAsia="Times New Roman" w:hAnsi="Times New Roman" w:cs="Times New Roman"/>
                <w:color w:val="000000"/>
                <w:sz w:val="16"/>
                <w:szCs w:val="16"/>
                <w:lang w:eastAsia="sk-SK"/>
              </w:rPr>
              <w:t>Tuzemské granty a transfery</w:t>
            </w:r>
          </w:p>
        </w:tc>
        <w:tc>
          <w:tcPr>
            <w:tcW w:w="560" w:type="pct"/>
            <w:tcBorders>
              <w:top w:val="nil"/>
              <w:left w:val="nil"/>
              <w:bottom w:val="nil"/>
              <w:right w:val="nil"/>
            </w:tcBorders>
            <w:shd w:val="clear" w:color="auto" w:fill="auto"/>
            <w:noWrap/>
            <w:vAlign w:val="center"/>
            <w:hideMark/>
          </w:tcPr>
          <w:p w14:paraId="72C09AD5" w14:textId="77777777" w:rsidR="00923B65" w:rsidRPr="006C73D0"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6C73D0">
              <w:rPr>
                <w:rFonts w:ascii="Times New Roman" w:eastAsia="Times New Roman" w:hAnsi="Times New Roman" w:cs="Times New Roman"/>
                <w:color w:val="000000"/>
                <w:sz w:val="16"/>
                <w:szCs w:val="16"/>
                <w:lang w:eastAsia="sk-SK"/>
              </w:rPr>
              <w:t>3 486 044</w:t>
            </w:r>
          </w:p>
        </w:tc>
        <w:tc>
          <w:tcPr>
            <w:tcW w:w="560" w:type="pct"/>
            <w:tcBorders>
              <w:top w:val="nil"/>
              <w:left w:val="nil"/>
              <w:bottom w:val="nil"/>
              <w:right w:val="nil"/>
            </w:tcBorders>
            <w:shd w:val="clear" w:color="auto" w:fill="auto"/>
            <w:noWrap/>
            <w:vAlign w:val="center"/>
            <w:hideMark/>
          </w:tcPr>
          <w:p w14:paraId="6200DA82" w14:textId="77777777" w:rsidR="00923B65" w:rsidRPr="006C73D0"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6C73D0">
              <w:rPr>
                <w:rFonts w:ascii="Times New Roman" w:eastAsia="Times New Roman" w:hAnsi="Times New Roman" w:cs="Times New Roman"/>
                <w:color w:val="000000"/>
                <w:sz w:val="16"/>
                <w:szCs w:val="16"/>
                <w:lang w:eastAsia="sk-SK"/>
              </w:rPr>
              <w:t>3 669 327</w:t>
            </w:r>
          </w:p>
        </w:tc>
        <w:tc>
          <w:tcPr>
            <w:tcW w:w="560" w:type="pct"/>
            <w:tcBorders>
              <w:top w:val="nil"/>
              <w:left w:val="nil"/>
              <w:bottom w:val="nil"/>
              <w:right w:val="nil"/>
            </w:tcBorders>
            <w:shd w:val="clear" w:color="auto" w:fill="auto"/>
            <w:noWrap/>
            <w:vAlign w:val="center"/>
            <w:hideMark/>
          </w:tcPr>
          <w:p w14:paraId="55CB9441" w14:textId="77777777" w:rsidR="00923B65" w:rsidRPr="006C73D0"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6C73D0">
              <w:rPr>
                <w:rFonts w:ascii="Times New Roman" w:eastAsia="Times New Roman" w:hAnsi="Times New Roman" w:cs="Times New Roman"/>
                <w:color w:val="000000"/>
                <w:sz w:val="16"/>
                <w:szCs w:val="16"/>
                <w:lang w:eastAsia="sk-SK"/>
              </w:rPr>
              <w:t>3 179 881</w:t>
            </w:r>
          </w:p>
        </w:tc>
        <w:tc>
          <w:tcPr>
            <w:tcW w:w="560" w:type="pct"/>
            <w:tcBorders>
              <w:top w:val="nil"/>
              <w:left w:val="nil"/>
              <w:bottom w:val="nil"/>
              <w:right w:val="nil"/>
            </w:tcBorders>
            <w:shd w:val="clear" w:color="auto" w:fill="auto"/>
            <w:noWrap/>
            <w:vAlign w:val="center"/>
            <w:hideMark/>
          </w:tcPr>
          <w:p w14:paraId="7E035215" w14:textId="77777777" w:rsidR="00923B65" w:rsidRPr="006C73D0"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6C73D0">
              <w:rPr>
                <w:rFonts w:ascii="Times New Roman" w:eastAsia="Times New Roman" w:hAnsi="Times New Roman" w:cs="Times New Roman"/>
                <w:color w:val="000000"/>
                <w:sz w:val="16"/>
                <w:szCs w:val="16"/>
                <w:lang w:eastAsia="sk-SK"/>
              </w:rPr>
              <w:t>4 401 767</w:t>
            </w:r>
          </w:p>
        </w:tc>
        <w:tc>
          <w:tcPr>
            <w:tcW w:w="560" w:type="pct"/>
            <w:tcBorders>
              <w:top w:val="nil"/>
              <w:left w:val="nil"/>
              <w:bottom w:val="nil"/>
              <w:right w:val="nil"/>
            </w:tcBorders>
            <w:shd w:val="clear" w:color="auto" w:fill="auto"/>
            <w:noWrap/>
            <w:vAlign w:val="center"/>
            <w:hideMark/>
          </w:tcPr>
          <w:p w14:paraId="6070F2FA" w14:textId="77777777" w:rsidR="00923B65" w:rsidRPr="006C73D0"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6C73D0">
              <w:rPr>
                <w:rFonts w:ascii="Times New Roman" w:eastAsia="Times New Roman" w:hAnsi="Times New Roman" w:cs="Times New Roman"/>
                <w:color w:val="000000"/>
                <w:sz w:val="16"/>
                <w:szCs w:val="16"/>
                <w:lang w:eastAsia="sk-SK"/>
              </w:rPr>
              <w:t>3 729 186</w:t>
            </w:r>
          </w:p>
        </w:tc>
        <w:tc>
          <w:tcPr>
            <w:tcW w:w="560" w:type="pct"/>
            <w:tcBorders>
              <w:top w:val="nil"/>
              <w:left w:val="nil"/>
              <w:bottom w:val="nil"/>
              <w:right w:val="nil"/>
            </w:tcBorders>
            <w:shd w:val="clear" w:color="auto" w:fill="auto"/>
            <w:noWrap/>
            <w:vAlign w:val="center"/>
            <w:hideMark/>
          </w:tcPr>
          <w:p w14:paraId="68264AB1" w14:textId="77777777" w:rsidR="00923B65" w:rsidRPr="006C73D0"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6C73D0">
              <w:rPr>
                <w:rFonts w:ascii="Times New Roman" w:eastAsia="Times New Roman" w:hAnsi="Times New Roman" w:cs="Times New Roman"/>
                <w:color w:val="000000"/>
                <w:sz w:val="16"/>
                <w:szCs w:val="16"/>
                <w:lang w:eastAsia="sk-SK"/>
              </w:rPr>
              <w:t>3 894 779</w:t>
            </w:r>
          </w:p>
        </w:tc>
        <w:tc>
          <w:tcPr>
            <w:tcW w:w="560" w:type="pct"/>
            <w:tcBorders>
              <w:top w:val="nil"/>
              <w:left w:val="nil"/>
              <w:bottom w:val="nil"/>
              <w:right w:val="nil"/>
            </w:tcBorders>
            <w:shd w:val="clear" w:color="auto" w:fill="auto"/>
            <w:noWrap/>
            <w:vAlign w:val="center"/>
            <w:hideMark/>
          </w:tcPr>
          <w:p w14:paraId="200C5B65" w14:textId="77777777" w:rsidR="00923B65" w:rsidRPr="006C73D0"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6C73D0">
              <w:rPr>
                <w:rFonts w:ascii="Times New Roman" w:eastAsia="Times New Roman" w:hAnsi="Times New Roman" w:cs="Times New Roman"/>
                <w:color w:val="000000"/>
                <w:sz w:val="16"/>
                <w:szCs w:val="16"/>
                <w:lang w:eastAsia="sk-SK"/>
              </w:rPr>
              <w:t>3 941 104</w:t>
            </w:r>
          </w:p>
        </w:tc>
      </w:tr>
      <w:tr w:rsidR="00923B65" w:rsidRPr="006C73D0" w14:paraId="47036314" w14:textId="77777777" w:rsidTr="00111797">
        <w:trPr>
          <w:trHeight w:val="315"/>
        </w:trPr>
        <w:tc>
          <w:tcPr>
            <w:tcW w:w="1082" w:type="pct"/>
            <w:tcBorders>
              <w:top w:val="nil"/>
              <w:left w:val="nil"/>
              <w:bottom w:val="single" w:sz="4" w:space="0" w:color="auto"/>
              <w:right w:val="nil"/>
            </w:tcBorders>
            <w:shd w:val="clear" w:color="auto" w:fill="auto"/>
            <w:noWrap/>
            <w:vAlign w:val="center"/>
            <w:hideMark/>
          </w:tcPr>
          <w:p w14:paraId="43D6744B" w14:textId="77777777" w:rsidR="00923B65" w:rsidRPr="006C73D0" w:rsidRDefault="00923B65" w:rsidP="00B63F1A">
            <w:pPr>
              <w:spacing w:after="0" w:line="240" w:lineRule="auto"/>
              <w:rPr>
                <w:rFonts w:ascii="Times New Roman" w:eastAsia="Times New Roman" w:hAnsi="Times New Roman" w:cs="Times New Roman"/>
                <w:color w:val="000000"/>
                <w:sz w:val="16"/>
                <w:szCs w:val="16"/>
                <w:lang w:eastAsia="sk-SK"/>
              </w:rPr>
            </w:pPr>
            <w:r w:rsidRPr="006C73D0">
              <w:rPr>
                <w:rFonts w:ascii="Times New Roman" w:eastAsia="Times New Roman" w:hAnsi="Times New Roman" w:cs="Times New Roman"/>
                <w:color w:val="000000"/>
                <w:sz w:val="16"/>
                <w:szCs w:val="16"/>
                <w:lang w:eastAsia="sk-SK"/>
              </w:rPr>
              <w:t>Zahraničné granty</w:t>
            </w:r>
          </w:p>
        </w:tc>
        <w:tc>
          <w:tcPr>
            <w:tcW w:w="560" w:type="pct"/>
            <w:tcBorders>
              <w:top w:val="nil"/>
              <w:left w:val="nil"/>
              <w:bottom w:val="single" w:sz="4" w:space="0" w:color="auto"/>
              <w:right w:val="nil"/>
            </w:tcBorders>
            <w:shd w:val="clear" w:color="auto" w:fill="auto"/>
            <w:noWrap/>
            <w:vAlign w:val="center"/>
            <w:hideMark/>
          </w:tcPr>
          <w:p w14:paraId="15383AA3" w14:textId="77777777" w:rsidR="00923B65" w:rsidRPr="006C73D0"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6C73D0">
              <w:rPr>
                <w:rFonts w:ascii="Times New Roman" w:eastAsia="Times New Roman" w:hAnsi="Times New Roman" w:cs="Times New Roman"/>
                <w:color w:val="000000"/>
                <w:sz w:val="16"/>
                <w:szCs w:val="16"/>
                <w:lang w:eastAsia="sk-SK"/>
              </w:rPr>
              <w:t>2 462</w:t>
            </w:r>
          </w:p>
        </w:tc>
        <w:tc>
          <w:tcPr>
            <w:tcW w:w="560" w:type="pct"/>
            <w:tcBorders>
              <w:top w:val="nil"/>
              <w:left w:val="nil"/>
              <w:bottom w:val="single" w:sz="4" w:space="0" w:color="auto"/>
              <w:right w:val="nil"/>
            </w:tcBorders>
            <w:shd w:val="clear" w:color="auto" w:fill="auto"/>
            <w:noWrap/>
            <w:vAlign w:val="center"/>
            <w:hideMark/>
          </w:tcPr>
          <w:p w14:paraId="292E4D71" w14:textId="77777777" w:rsidR="00923B65" w:rsidRPr="006C73D0"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6C73D0">
              <w:rPr>
                <w:rFonts w:ascii="Times New Roman" w:eastAsia="Times New Roman" w:hAnsi="Times New Roman" w:cs="Times New Roman"/>
                <w:color w:val="000000"/>
                <w:sz w:val="16"/>
                <w:szCs w:val="16"/>
                <w:lang w:eastAsia="sk-SK"/>
              </w:rPr>
              <w:t>2 298</w:t>
            </w:r>
          </w:p>
        </w:tc>
        <w:tc>
          <w:tcPr>
            <w:tcW w:w="560" w:type="pct"/>
            <w:tcBorders>
              <w:top w:val="nil"/>
              <w:left w:val="nil"/>
              <w:bottom w:val="single" w:sz="4" w:space="0" w:color="auto"/>
              <w:right w:val="nil"/>
            </w:tcBorders>
            <w:shd w:val="clear" w:color="auto" w:fill="auto"/>
            <w:noWrap/>
            <w:vAlign w:val="center"/>
            <w:hideMark/>
          </w:tcPr>
          <w:p w14:paraId="705DB3CD" w14:textId="77777777" w:rsidR="00923B65" w:rsidRPr="006C73D0"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6C73D0">
              <w:rPr>
                <w:rFonts w:ascii="Times New Roman" w:eastAsia="Times New Roman" w:hAnsi="Times New Roman" w:cs="Times New Roman"/>
                <w:color w:val="000000"/>
                <w:sz w:val="16"/>
                <w:szCs w:val="16"/>
                <w:lang w:eastAsia="sk-SK"/>
              </w:rPr>
              <w:t>0</w:t>
            </w:r>
          </w:p>
        </w:tc>
        <w:tc>
          <w:tcPr>
            <w:tcW w:w="560" w:type="pct"/>
            <w:tcBorders>
              <w:top w:val="nil"/>
              <w:left w:val="nil"/>
              <w:bottom w:val="single" w:sz="4" w:space="0" w:color="auto"/>
              <w:right w:val="nil"/>
            </w:tcBorders>
            <w:shd w:val="clear" w:color="auto" w:fill="auto"/>
            <w:noWrap/>
            <w:vAlign w:val="center"/>
            <w:hideMark/>
          </w:tcPr>
          <w:p w14:paraId="55C7B1D0" w14:textId="77777777" w:rsidR="00923B65" w:rsidRPr="006C73D0"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6C73D0">
              <w:rPr>
                <w:rFonts w:ascii="Times New Roman" w:eastAsia="Times New Roman" w:hAnsi="Times New Roman" w:cs="Times New Roman"/>
                <w:color w:val="000000"/>
                <w:sz w:val="16"/>
                <w:szCs w:val="16"/>
                <w:lang w:eastAsia="sk-SK"/>
              </w:rPr>
              <w:t>0</w:t>
            </w:r>
          </w:p>
        </w:tc>
        <w:tc>
          <w:tcPr>
            <w:tcW w:w="560" w:type="pct"/>
            <w:tcBorders>
              <w:top w:val="nil"/>
              <w:left w:val="nil"/>
              <w:bottom w:val="single" w:sz="4" w:space="0" w:color="auto"/>
              <w:right w:val="nil"/>
            </w:tcBorders>
            <w:shd w:val="clear" w:color="auto" w:fill="auto"/>
            <w:noWrap/>
            <w:vAlign w:val="center"/>
            <w:hideMark/>
          </w:tcPr>
          <w:p w14:paraId="68FD5998" w14:textId="77777777" w:rsidR="00923B65" w:rsidRPr="006C73D0"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6C73D0">
              <w:rPr>
                <w:rFonts w:ascii="Times New Roman" w:eastAsia="Times New Roman" w:hAnsi="Times New Roman" w:cs="Times New Roman"/>
                <w:color w:val="000000"/>
                <w:sz w:val="16"/>
                <w:szCs w:val="16"/>
                <w:lang w:eastAsia="sk-SK"/>
              </w:rPr>
              <w:t>0</w:t>
            </w:r>
          </w:p>
        </w:tc>
        <w:tc>
          <w:tcPr>
            <w:tcW w:w="560" w:type="pct"/>
            <w:tcBorders>
              <w:top w:val="nil"/>
              <w:left w:val="nil"/>
              <w:bottom w:val="single" w:sz="4" w:space="0" w:color="auto"/>
              <w:right w:val="nil"/>
            </w:tcBorders>
            <w:shd w:val="clear" w:color="auto" w:fill="auto"/>
            <w:noWrap/>
            <w:vAlign w:val="center"/>
            <w:hideMark/>
          </w:tcPr>
          <w:p w14:paraId="5A62FEAC" w14:textId="77777777" w:rsidR="00923B65" w:rsidRPr="006C73D0"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6C73D0">
              <w:rPr>
                <w:rFonts w:ascii="Times New Roman" w:eastAsia="Times New Roman" w:hAnsi="Times New Roman" w:cs="Times New Roman"/>
                <w:color w:val="000000"/>
                <w:sz w:val="16"/>
                <w:szCs w:val="16"/>
                <w:lang w:eastAsia="sk-SK"/>
              </w:rPr>
              <w:t>0</w:t>
            </w:r>
          </w:p>
        </w:tc>
        <w:tc>
          <w:tcPr>
            <w:tcW w:w="560" w:type="pct"/>
            <w:tcBorders>
              <w:top w:val="nil"/>
              <w:left w:val="nil"/>
              <w:bottom w:val="single" w:sz="4" w:space="0" w:color="auto"/>
              <w:right w:val="nil"/>
            </w:tcBorders>
            <w:shd w:val="clear" w:color="auto" w:fill="auto"/>
            <w:noWrap/>
            <w:vAlign w:val="center"/>
            <w:hideMark/>
          </w:tcPr>
          <w:p w14:paraId="22D10040" w14:textId="77777777" w:rsidR="00923B65" w:rsidRPr="006C73D0" w:rsidRDefault="00923B65" w:rsidP="00B63F1A">
            <w:pPr>
              <w:spacing w:after="0" w:line="240" w:lineRule="auto"/>
              <w:jc w:val="right"/>
              <w:rPr>
                <w:rFonts w:ascii="Times New Roman" w:eastAsia="Times New Roman" w:hAnsi="Times New Roman" w:cs="Times New Roman"/>
                <w:color w:val="000000"/>
                <w:sz w:val="16"/>
                <w:szCs w:val="16"/>
                <w:lang w:eastAsia="sk-SK"/>
              </w:rPr>
            </w:pPr>
            <w:r w:rsidRPr="006C73D0">
              <w:rPr>
                <w:rFonts w:ascii="Times New Roman" w:eastAsia="Times New Roman" w:hAnsi="Times New Roman" w:cs="Times New Roman"/>
                <w:color w:val="000000"/>
                <w:sz w:val="16"/>
                <w:szCs w:val="16"/>
                <w:lang w:eastAsia="sk-SK"/>
              </w:rPr>
              <w:t>0</w:t>
            </w:r>
          </w:p>
        </w:tc>
      </w:tr>
    </w:tbl>
    <w:p w14:paraId="67FCC936" w14:textId="77777777" w:rsidR="00923B65" w:rsidRPr="00871912" w:rsidRDefault="00923B65" w:rsidP="00923B65">
      <w:pPr>
        <w:spacing w:after="0"/>
        <w:rPr>
          <w:rFonts w:ascii="Times New Roman" w:eastAsia="Calibri" w:hAnsi="Times New Roman" w:cs="Times New Roman"/>
          <w:i/>
        </w:rPr>
      </w:pPr>
      <w:r w:rsidRPr="00871912">
        <w:rPr>
          <w:rFonts w:ascii="Times New Roman" w:eastAsia="Calibri" w:hAnsi="Times New Roman" w:cs="Times New Roman"/>
          <w:sz w:val="16"/>
          <w:szCs w:val="16"/>
        </w:rPr>
        <w:t xml:space="preserve">     </w:t>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sz w:val="16"/>
          <w:szCs w:val="16"/>
        </w:rPr>
        <w:tab/>
      </w:r>
      <w:r w:rsidRPr="00871912">
        <w:rPr>
          <w:rFonts w:ascii="Times New Roman" w:eastAsia="Calibri" w:hAnsi="Times New Roman" w:cs="Times New Roman"/>
          <w:i/>
          <w:sz w:val="16"/>
          <w:szCs w:val="16"/>
        </w:rPr>
        <w:t xml:space="preserve">     Zdroj: MF SR</w:t>
      </w:r>
    </w:p>
    <w:p w14:paraId="67BFF960" w14:textId="77777777" w:rsidR="00923B65" w:rsidRPr="00871912" w:rsidRDefault="00923B65" w:rsidP="00923B65">
      <w:pPr>
        <w:spacing w:after="0"/>
        <w:rPr>
          <w:rFonts w:ascii="Times New Roman" w:eastAsia="Calibri" w:hAnsi="Times New Roman" w:cs="Times New Roman"/>
          <w:sz w:val="24"/>
          <w:szCs w:val="24"/>
        </w:rPr>
      </w:pPr>
    </w:p>
    <w:p w14:paraId="4ACED322" w14:textId="77777777" w:rsidR="00923B65" w:rsidRPr="00E53F42" w:rsidRDefault="00923B65" w:rsidP="00923B65">
      <w:pPr>
        <w:contextualSpacing/>
        <w:jc w:val="both"/>
        <w:rPr>
          <w:rFonts w:ascii="Times New Roman" w:eastAsia="Calibri" w:hAnsi="Times New Roman" w:cs="Times New Roman"/>
          <w:sz w:val="24"/>
          <w:szCs w:val="24"/>
        </w:rPr>
      </w:pPr>
      <w:r w:rsidRPr="00DB6DE9">
        <w:rPr>
          <w:rFonts w:ascii="Times New Roman" w:eastAsia="Calibri" w:hAnsi="Times New Roman" w:cs="Times New Roman"/>
          <w:sz w:val="24"/>
          <w:szCs w:val="24"/>
        </w:rPr>
        <w:t>V rámci grantov a transferov sa predpokladá, že obce dosiahnu príjmy zo štátneho rozpočtu, zo štátnych fondov, z rozpočtov iných obcí na činnosť spoločných úradov obcí a z rozpočtov VÚC na riešenie spoločných úloh v roku 2024 v objeme 2,0</w:t>
      </w:r>
      <w:r>
        <w:rPr>
          <w:rFonts w:ascii="Times New Roman" w:eastAsia="Calibri" w:hAnsi="Times New Roman" w:cs="Times New Roman"/>
          <w:sz w:val="24"/>
          <w:szCs w:val="24"/>
        </w:rPr>
        <w:t>6</w:t>
      </w:r>
      <w:r w:rsidRPr="00DB6DE9">
        <w:rPr>
          <w:rFonts w:ascii="Times New Roman" w:eastAsia="Calibri" w:hAnsi="Times New Roman" w:cs="Times New Roman"/>
          <w:sz w:val="24"/>
          <w:szCs w:val="24"/>
        </w:rPr>
        <w:t xml:space="preserve"> mld. eur. Bežné transfery sa predpokladajú vo výške 1,95 mld. eur, z </w:t>
      </w:r>
      <w:r w:rsidRPr="00E53F42">
        <w:rPr>
          <w:rFonts w:ascii="Times New Roman" w:eastAsia="Calibri" w:hAnsi="Times New Roman" w:cs="Times New Roman"/>
          <w:sz w:val="24"/>
          <w:szCs w:val="24"/>
        </w:rPr>
        <w:t xml:space="preserve">toho zdroje na financovanie spoločných projektov EÚ a SR v nadväznosti na Plán obnovy a odolnosti predstavujú 15,2 mil. eur. Kapitálové transfery sa predpokladajú vo výške 103 mil. eur, pričom kapitálové zdroje na financovanie spoločných projektov EÚ a SR v nadväznosti na Plán obnovy a odolnosti sa predbežne rozpočtujú vo výške 889 tis. eur. </w:t>
      </w:r>
    </w:p>
    <w:p w14:paraId="7B869178" w14:textId="77777777" w:rsidR="00923B65" w:rsidRPr="00E53F42" w:rsidRDefault="00923B65" w:rsidP="00923B65">
      <w:pPr>
        <w:contextualSpacing/>
        <w:jc w:val="both"/>
        <w:rPr>
          <w:rFonts w:ascii="Times New Roman" w:eastAsia="Calibri" w:hAnsi="Times New Roman" w:cs="Times New Roman"/>
          <w:sz w:val="24"/>
          <w:szCs w:val="24"/>
        </w:rPr>
      </w:pPr>
    </w:p>
    <w:p w14:paraId="7487ABCA" w14:textId="77777777" w:rsidR="00923B65" w:rsidRPr="00E53F42" w:rsidRDefault="00923B65" w:rsidP="00923B65">
      <w:pPr>
        <w:contextualSpacing/>
        <w:jc w:val="both"/>
        <w:rPr>
          <w:rFonts w:ascii="Times New Roman" w:eastAsia="Calibri" w:hAnsi="Times New Roman" w:cs="Times New Roman"/>
          <w:sz w:val="24"/>
          <w:szCs w:val="24"/>
        </w:rPr>
      </w:pPr>
      <w:r w:rsidRPr="00E53F42">
        <w:rPr>
          <w:rFonts w:ascii="Times New Roman" w:eastAsia="Calibri" w:hAnsi="Times New Roman" w:cs="Times New Roman"/>
          <w:sz w:val="24"/>
          <w:szCs w:val="24"/>
        </w:rPr>
        <w:t xml:space="preserve">Transfery zo štátneho rozpočtu do rozpočtov obcí sa v roku 2024 očakávajú v celkovej sume </w:t>
      </w:r>
      <w:r w:rsidRPr="00E53F42">
        <w:rPr>
          <w:rFonts w:ascii="Times New Roman" w:eastAsia="Calibri" w:hAnsi="Times New Roman" w:cs="Times New Roman"/>
          <w:sz w:val="24"/>
          <w:szCs w:val="24"/>
        </w:rPr>
        <w:br/>
        <w:t>1,89 mld. eur z týchto kapitol:</w:t>
      </w:r>
    </w:p>
    <w:p w14:paraId="13D666B0" w14:textId="77777777" w:rsidR="00923B65" w:rsidRPr="00E53F42" w:rsidRDefault="00923B65" w:rsidP="00923B65">
      <w:pPr>
        <w:contextualSpacing/>
        <w:jc w:val="both"/>
        <w:rPr>
          <w:rFonts w:ascii="Times New Roman" w:eastAsia="Calibri" w:hAnsi="Times New Roman" w:cs="Times New Roman"/>
          <w:sz w:val="24"/>
          <w:szCs w:val="24"/>
        </w:rPr>
      </w:pPr>
    </w:p>
    <w:p w14:paraId="232E1C9F" w14:textId="77777777" w:rsidR="00923B65" w:rsidRPr="00E53F42" w:rsidRDefault="00923B65" w:rsidP="00923B65">
      <w:pPr>
        <w:ind w:left="284" w:hanging="283"/>
        <w:contextualSpacing/>
        <w:jc w:val="both"/>
        <w:rPr>
          <w:rFonts w:ascii="Times New Roman" w:eastAsia="Calibri" w:hAnsi="Times New Roman" w:cs="Times New Roman"/>
          <w:sz w:val="24"/>
          <w:szCs w:val="24"/>
        </w:rPr>
      </w:pPr>
      <w:r w:rsidRPr="00681094">
        <w:rPr>
          <w:rFonts w:ascii="Times New Roman" w:eastAsia="Calibri" w:hAnsi="Times New Roman" w:cs="Times New Roman"/>
          <w:sz w:val="24"/>
          <w:szCs w:val="24"/>
        </w:rPr>
        <w:t>-</w:t>
      </w:r>
      <w:r w:rsidRPr="00681094">
        <w:rPr>
          <w:rFonts w:ascii="Times New Roman" w:eastAsia="Calibri" w:hAnsi="Times New Roman" w:cs="Times New Roman"/>
          <w:sz w:val="24"/>
          <w:szCs w:val="24"/>
        </w:rPr>
        <w:tab/>
        <w:t xml:space="preserve">Ministerstvo školstva, vedy, výskumu a športu SR – finančné prostriedky v sume </w:t>
      </w:r>
      <w:r w:rsidRPr="00681094">
        <w:rPr>
          <w:rFonts w:ascii="Times New Roman" w:eastAsia="Calibri" w:hAnsi="Times New Roman" w:cs="Times New Roman"/>
          <w:sz w:val="24"/>
          <w:szCs w:val="24"/>
        </w:rPr>
        <w:br/>
        <w:t>1,58 mld. eur, z ktorých je bežný transfer v sume 1,57 mld. eur na financovanie preneseného výkonu štátnej správy na úseku regionálneho školstva a bežný transfer v sume 15,9 mil. eur na financovanie iných aktivít regionálneho školstva, z toho zdroje na financovanie spoločných projektov EÚ a SR v nadväznosti na Plán obnovy a odolnosti predstavujú 15,2 mil. eur a kapitálový transfer v sume 2,89 mil. eur,</w:t>
      </w:r>
      <w:r>
        <w:rPr>
          <w:rFonts w:ascii="Times New Roman" w:eastAsia="Calibri" w:hAnsi="Times New Roman" w:cs="Times New Roman"/>
          <w:sz w:val="24"/>
          <w:szCs w:val="24"/>
        </w:rPr>
        <w:t xml:space="preserve"> </w:t>
      </w:r>
    </w:p>
    <w:p w14:paraId="3B0CB975" w14:textId="77777777" w:rsidR="00923B65" w:rsidRPr="007542FB" w:rsidRDefault="00923B65" w:rsidP="00923B65">
      <w:pPr>
        <w:ind w:left="284" w:hanging="283"/>
        <w:contextualSpacing/>
        <w:jc w:val="both"/>
        <w:rPr>
          <w:rFonts w:ascii="Times New Roman" w:eastAsia="Calibri" w:hAnsi="Times New Roman" w:cs="Times New Roman"/>
          <w:sz w:val="24"/>
          <w:szCs w:val="24"/>
          <w:highlight w:val="yellow"/>
        </w:rPr>
      </w:pPr>
    </w:p>
    <w:p w14:paraId="72339218" w14:textId="77777777" w:rsidR="00923B65" w:rsidRPr="009E2D06" w:rsidRDefault="00923B65" w:rsidP="00923B65">
      <w:pPr>
        <w:ind w:left="284" w:hanging="283"/>
        <w:contextualSpacing/>
        <w:jc w:val="both"/>
        <w:rPr>
          <w:rFonts w:ascii="Times New Roman" w:eastAsia="Calibri" w:hAnsi="Times New Roman" w:cs="Times New Roman"/>
          <w:sz w:val="24"/>
          <w:szCs w:val="24"/>
        </w:rPr>
      </w:pPr>
      <w:r w:rsidRPr="009E2D06">
        <w:rPr>
          <w:rFonts w:ascii="Times New Roman" w:eastAsia="Calibri" w:hAnsi="Times New Roman" w:cs="Times New Roman"/>
          <w:sz w:val="24"/>
          <w:szCs w:val="24"/>
        </w:rPr>
        <w:t>-</w:t>
      </w:r>
      <w:r w:rsidRPr="009E2D06">
        <w:rPr>
          <w:rFonts w:ascii="Times New Roman" w:eastAsia="Calibri" w:hAnsi="Times New Roman" w:cs="Times New Roman"/>
          <w:sz w:val="24"/>
          <w:szCs w:val="24"/>
        </w:rPr>
        <w:tab/>
        <w:t xml:space="preserve">Ministerstvo vnútra SR – finančné prostriedky v sume 36,2 mil. eur, kde v rámci preneseného výkonu štátnej správy (v celkovej sume 35,5 mil. eur) sú určené finančné prostriedky na činnosť matričných úradov v sume 10,8 mil. eur, na hlásenie pobytu občanov a register obyvateľov SR v sume 1,81 mil. eur, na register adries podľa zákona č. 125/2015 Z. z. v sume 170 tis. eur, na činnosti na úseku ochrany prírody, ovzdušia, vôd </w:t>
      </w:r>
      <w:r w:rsidRPr="009E2D06">
        <w:rPr>
          <w:rFonts w:ascii="Times New Roman" w:eastAsia="Calibri" w:hAnsi="Times New Roman" w:cs="Times New Roman"/>
          <w:sz w:val="24"/>
          <w:szCs w:val="24"/>
        </w:rPr>
        <w:br/>
        <w:t xml:space="preserve">a protipovodňovej ochrany v sume 657 tis. eur a na voľby v sume 22,1 mil. eur. Z ostatných finančných prostriedkov poskytnutých obciam (692 tis. eur) bude financovaná azylová politika, verejný poriadok a bezpečnosť, </w:t>
      </w:r>
    </w:p>
    <w:p w14:paraId="3F78A5B2" w14:textId="77777777" w:rsidR="00923B65" w:rsidRPr="009E2D06" w:rsidRDefault="00923B65" w:rsidP="00923B65">
      <w:pPr>
        <w:ind w:left="284" w:hanging="283"/>
        <w:contextualSpacing/>
        <w:jc w:val="both"/>
        <w:rPr>
          <w:rFonts w:ascii="Times New Roman" w:eastAsia="Calibri" w:hAnsi="Times New Roman" w:cs="Times New Roman"/>
          <w:sz w:val="24"/>
          <w:szCs w:val="24"/>
        </w:rPr>
      </w:pPr>
    </w:p>
    <w:p w14:paraId="127964A0" w14:textId="77777777" w:rsidR="00923B65" w:rsidRPr="009E2D06" w:rsidRDefault="00923B65" w:rsidP="00923B65">
      <w:pPr>
        <w:ind w:left="284" w:hanging="283"/>
        <w:contextualSpacing/>
        <w:jc w:val="both"/>
        <w:rPr>
          <w:rFonts w:ascii="Times New Roman" w:eastAsia="Calibri" w:hAnsi="Times New Roman" w:cs="Times New Roman"/>
          <w:sz w:val="24"/>
          <w:szCs w:val="24"/>
        </w:rPr>
      </w:pPr>
      <w:r w:rsidRPr="009E2D06">
        <w:rPr>
          <w:rFonts w:ascii="Times New Roman" w:eastAsia="Calibri" w:hAnsi="Times New Roman" w:cs="Times New Roman"/>
          <w:sz w:val="24"/>
          <w:szCs w:val="24"/>
        </w:rPr>
        <w:t>-</w:t>
      </w:r>
      <w:r w:rsidRPr="009E2D06">
        <w:rPr>
          <w:rFonts w:ascii="Times New Roman" w:eastAsia="Calibri" w:hAnsi="Times New Roman" w:cs="Times New Roman"/>
          <w:sz w:val="24"/>
          <w:szCs w:val="24"/>
        </w:rPr>
        <w:tab/>
        <w:t xml:space="preserve">Ministerstvo dopravy SR – na financovanie preneseného výkonu štátnej správy je určená suma 1,40 mil. eur, z toho 236 tis. eur na vykonávanie pôsobnosti špeciálneho stavebného úradu pre miestne komunikácie a účelové komunikácie a 1,17 mil. eur na úhradu nákladov na úseku bývania, </w:t>
      </w:r>
    </w:p>
    <w:p w14:paraId="56160220" w14:textId="77777777" w:rsidR="00923B65" w:rsidRPr="007542FB" w:rsidRDefault="00923B65" w:rsidP="00923B65">
      <w:pPr>
        <w:ind w:left="284" w:hanging="283"/>
        <w:contextualSpacing/>
        <w:jc w:val="both"/>
        <w:rPr>
          <w:rFonts w:ascii="Times New Roman" w:eastAsia="Calibri" w:hAnsi="Times New Roman" w:cs="Times New Roman"/>
          <w:sz w:val="24"/>
          <w:szCs w:val="24"/>
          <w:highlight w:val="yellow"/>
        </w:rPr>
      </w:pPr>
    </w:p>
    <w:p w14:paraId="255C61B7" w14:textId="77777777" w:rsidR="00923B65" w:rsidRPr="009E2D06" w:rsidRDefault="00923B65" w:rsidP="00923B65">
      <w:pPr>
        <w:ind w:left="284" w:hanging="283"/>
        <w:contextualSpacing/>
        <w:jc w:val="both"/>
        <w:rPr>
          <w:rFonts w:ascii="Times New Roman" w:eastAsia="Calibri" w:hAnsi="Times New Roman" w:cs="Times New Roman"/>
          <w:sz w:val="24"/>
          <w:szCs w:val="24"/>
        </w:rPr>
      </w:pPr>
      <w:r w:rsidRPr="009E2D06">
        <w:rPr>
          <w:rFonts w:ascii="Times New Roman" w:eastAsia="Calibri" w:hAnsi="Times New Roman" w:cs="Times New Roman"/>
          <w:sz w:val="24"/>
          <w:szCs w:val="24"/>
        </w:rPr>
        <w:t xml:space="preserve">-   Úrad pre územné plánovanie a výstavbu SR – na financovanie preneseného výkonu štátnej správy je určená suma 8,85 mil. eur na úhradu nákladov na úseku stavebného poriadku. Ostatné prostriedky sú určené na podporu územného rozvoja miest a obcí v sume </w:t>
      </w:r>
      <w:r w:rsidRPr="009E2D06">
        <w:rPr>
          <w:rFonts w:ascii="Times New Roman" w:eastAsia="Calibri" w:hAnsi="Times New Roman" w:cs="Times New Roman"/>
          <w:sz w:val="24"/>
          <w:szCs w:val="24"/>
        </w:rPr>
        <w:br/>
        <w:t>610 tis. eur,</w:t>
      </w:r>
    </w:p>
    <w:p w14:paraId="641D6605" w14:textId="77777777" w:rsidR="00923B65" w:rsidRPr="009E2D06" w:rsidRDefault="00923B65" w:rsidP="00923B65">
      <w:pPr>
        <w:ind w:left="284" w:hanging="283"/>
        <w:contextualSpacing/>
        <w:jc w:val="both"/>
        <w:rPr>
          <w:rFonts w:ascii="Times New Roman" w:eastAsia="Calibri" w:hAnsi="Times New Roman" w:cs="Times New Roman"/>
          <w:sz w:val="24"/>
          <w:szCs w:val="24"/>
        </w:rPr>
      </w:pPr>
    </w:p>
    <w:p w14:paraId="56DFC507" w14:textId="03DC4D59" w:rsidR="00923B65" w:rsidRDefault="00923B65" w:rsidP="00923B65">
      <w:pPr>
        <w:ind w:left="284" w:hanging="283"/>
        <w:contextualSpacing/>
        <w:jc w:val="both"/>
        <w:rPr>
          <w:rFonts w:ascii="Times New Roman" w:eastAsia="Calibri" w:hAnsi="Times New Roman" w:cs="Times New Roman"/>
          <w:sz w:val="24"/>
          <w:szCs w:val="24"/>
        </w:rPr>
      </w:pPr>
      <w:r w:rsidRPr="009E2D06">
        <w:rPr>
          <w:rFonts w:ascii="Times New Roman" w:eastAsia="Calibri" w:hAnsi="Times New Roman" w:cs="Times New Roman"/>
          <w:sz w:val="24"/>
          <w:szCs w:val="24"/>
        </w:rPr>
        <w:t>-</w:t>
      </w:r>
      <w:r w:rsidRPr="009E2D06">
        <w:rPr>
          <w:rFonts w:ascii="Times New Roman" w:eastAsia="Calibri" w:hAnsi="Times New Roman" w:cs="Times New Roman"/>
          <w:sz w:val="24"/>
          <w:szCs w:val="24"/>
        </w:rPr>
        <w:tab/>
        <w:t>Ministerstvo práce, sociálnych vecí a rodiny SR –</w:t>
      </w:r>
      <w:r w:rsidR="00BF7340">
        <w:rPr>
          <w:rFonts w:ascii="Times New Roman" w:eastAsia="Calibri" w:hAnsi="Times New Roman" w:cs="Times New Roman"/>
          <w:sz w:val="24"/>
          <w:szCs w:val="24"/>
        </w:rPr>
        <w:t xml:space="preserve"> finančné prostriedky v sume 259</w:t>
      </w:r>
      <w:r w:rsidRPr="009E2D06">
        <w:rPr>
          <w:rFonts w:ascii="Times New Roman" w:eastAsia="Calibri" w:hAnsi="Times New Roman" w:cs="Times New Roman"/>
          <w:sz w:val="24"/>
          <w:szCs w:val="24"/>
        </w:rPr>
        <w:t xml:space="preserve"> mil. eur, ktoré budú poskytované obciam na dotácie na podporu výchovy k stravovacím návykom vo výške 164 mil. eur, financovanie zariadení sociálnych služieb vo výške 84,6 mil. eur, dotácie na stravu pre dieťa v hmotnej núdzi vo výške 8,74 mil. eur, dotácie na školské potreby pre dieťa v hmotnej núdzi v sume 981 tis. eur a na výkon osobitného príjemcu vo výške 175 tis. eur,</w:t>
      </w:r>
    </w:p>
    <w:p w14:paraId="61967701" w14:textId="77777777" w:rsidR="00FC10FC" w:rsidRPr="007542FB" w:rsidRDefault="00FC10FC" w:rsidP="00923B65">
      <w:pPr>
        <w:ind w:left="284" w:hanging="283"/>
        <w:contextualSpacing/>
        <w:jc w:val="both"/>
        <w:rPr>
          <w:rFonts w:ascii="Times New Roman" w:eastAsia="Calibri" w:hAnsi="Times New Roman" w:cs="Times New Roman"/>
          <w:sz w:val="24"/>
          <w:szCs w:val="24"/>
          <w:highlight w:val="yellow"/>
        </w:rPr>
      </w:pPr>
    </w:p>
    <w:p w14:paraId="64605CEB" w14:textId="77777777" w:rsidR="00923B65" w:rsidRDefault="00FC10FC" w:rsidP="00923B65">
      <w:pPr>
        <w:ind w:left="284" w:hanging="283"/>
        <w:contextualSpacing/>
        <w:jc w:val="both"/>
        <w:rPr>
          <w:rFonts w:ascii="Times New Roman" w:eastAsia="Calibri" w:hAnsi="Times New Roman" w:cs="Times New Roman"/>
          <w:sz w:val="24"/>
          <w:szCs w:val="24"/>
        </w:rPr>
      </w:pPr>
      <w:r w:rsidRPr="00FC10FC">
        <w:rPr>
          <w:rFonts w:ascii="Times New Roman" w:eastAsia="Calibri" w:hAnsi="Times New Roman" w:cs="Times New Roman"/>
          <w:sz w:val="24"/>
          <w:szCs w:val="24"/>
        </w:rPr>
        <w:t>-</w:t>
      </w:r>
      <w:r w:rsidRPr="00FC10FC">
        <w:rPr>
          <w:rFonts w:ascii="Times New Roman" w:eastAsia="Calibri" w:hAnsi="Times New Roman" w:cs="Times New Roman"/>
          <w:sz w:val="24"/>
          <w:szCs w:val="24"/>
        </w:rPr>
        <w:tab/>
        <w:t>Ministerstvo obrany SR - finančné prostriedky v sume 20 tis. eur rozpočtované na základe zákona č. 435/2010 o poskytovaní dotácií v pôsobnosti Ministerstva obrany SR,</w:t>
      </w:r>
    </w:p>
    <w:p w14:paraId="5FD9915D" w14:textId="77777777" w:rsidR="00FC10FC" w:rsidRPr="007542FB" w:rsidRDefault="00FC10FC" w:rsidP="00923B65">
      <w:pPr>
        <w:ind w:left="284" w:hanging="283"/>
        <w:contextualSpacing/>
        <w:jc w:val="both"/>
        <w:rPr>
          <w:rFonts w:ascii="Times New Roman" w:eastAsia="Calibri" w:hAnsi="Times New Roman" w:cs="Times New Roman"/>
          <w:sz w:val="24"/>
          <w:szCs w:val="24"/>
          <w:highlight w:val="yellow"/>
        </w:rPr>
      </w:pPr>
    </w:p>
    <w:p w14:paraId="38AA8F80" w14:textId="77777777" w:rsidR="00923B65" w:rsidRPr="009E2D06" w:rsidRDefault="00923B65" w:rsidP="00923B65">
      <w:pPr>
        <w:ind w:left="284" w:hanging="283"/>
        <w:contextualSpacing/>
        <w:jc w:val="both"/>
        <w:rPr>
          <w:rFonts w:ascii="Times New Roman" w:eastAsia="Calibri" w:hAnsi="Times New Roman" w:cs="Times New Roman"/>
          <w:sz w:val="24"/>
          <w:szCs w:val="24"/>
        </w:rPr>
      </w:pPr>
      <w:r w:rsidRPr="009E2D06">
        <w:rPr>
          <w:rFonts w:ascii="Times New Roman" w:eastAsia="Calibri" w:hAnsi="Times New Roman" w:cs="Times New Roman"/>
          <w:sz w:val="24"/>
          <w:szCs w:val="24"/>
        </w:rPr>
        <w:t>-</w:t>
      </w:r>
      <w:r w:rsidRPr="009E2D06">
        <w:rPr>
          <w:rFonts w:ascii="Times New Roman" w:eastAsia="Calibri" w:hAnsi="Times New Roman" w:cs="Times New Roman"/>
          <w:sz w:val="24"/>
          <w:szCs w:val="24"/>
        </w:rPr>
        <w:tab/>
        <w:t>Úrad vlády SR – finančné prostriedky v sume 721 tis. eur na financovanie podporných aktivít, z toho suma 650 tis. eur predstavuje bežný transfer a suma 71,5 tis. eur kapitálový transfer.</w:t>
      </w:r>
    </w:p>
    <w:p w14:paraId="024FFEDD" w14:textId="77777777" w:rsidR="00923B65" w:rsidRPr="007542FB" w:rsidRDefault="00923B65" w:rsidP="00923B65">
      <w:pPr>
        <w:contextualSpacing/>
        <w:jc w:val="both"/>
        <w:rPr>
          <w:rFonts w:ascii="Times New Roman" w:eastAsia="Calibri" w:hAnsi="Times New Roman" w:cs="Times New Roman"/>
          <w:sz w:val="24"/>
          <w:szCs w:val="24"/>
          <w:highlight w:val="yellow"/>
        </w:rPr>
      </w:pPr>
    </w:p>
    <w:p w14:paraId="51F12433" w14:textId="77777777" w:rsidR="00923B65" w:rsidRPr="004E5D9C" w:rsidRDefault="00923B65" w:rsidP="00923B65">
      <w:pPr>
        <w:contextualSpacing/>
        <w:jc w:val="both"/>
        <w:rPr>
          <w:rFonts w:ascii="Times New Roman" w:eastAsia="Calibri" w:hAnsi="Times New Roman" w:cs="Times New Roman"/>
          <w:sz w:val="24"/>
          <w:szCs w:val="24"/>
        </w:rPr>
      </w:pPr>
      <w:r w:rsidRPr="004E5D9C">
        <w:rPr>
          <w:rFonts w:ascii="Times New Roman" w:eastAsia="Calibri" w:hAnsi="Times New Roman" w:cs="Times New Roman"/>
          <w:sz w:val="24"/>
          <w:szCs w:val="24"/>
        </w:rPr>
        <w:t xml:space="preserve">Do rozpočtov obcí sa predpokladá poskytnúť v roku 2024 transfery z fondov v celkovej sume 132 mil. eur, z toho z Environmentálneho fondu v sume 113 mil. eur z Audiovizuálneho fondu v sume 30,0 tis. eur, z Fondu na podporu umenia v sume 1,75 mil. eur (z toho bežný transfer predstavuje sumu 1,49 mil. eur a kapitálový transfer sumu 200 tis. eur), z Fondu na podporu športu v sume 17,0 mil. eur a z Fondu na podporu kultúry národnostných menšín v sume </w:t>
      </w:r>
      <w:r w:rsidRPr="004E5D9C">
        <w:rPr>
          <w:rFonts w:ascii="Times New Roman" w:eastAsia="Calibri" w:hAnsi="Times New Roman" w:cs="Times New Roman"/>
          <w:sz w:val="24"/>
          <w:szCs w:val="24"/>
        </w:rPr>
        <w:br/>
        <w:t xml:space="preserve">500 tis. eur. </w:t>
      </w:r>
    </w:p>
    <w:p w14:paraId="2B06900C" w14:textId="77777777" w:rsidR="00923B65" w:rsidRPr="007542FB" w:rsidRDefault="00923B65" w:rsidP="00923B65">
      <w:pPr>
        <w:contextualSpacing/>
        <w:jc w:val="both"/>
        <w:rPr>
          <w:rFonts w:ascii="Times New Roman" w:eastAsia="Calibri" w:hAnsi="Times New Roman" w:cs="Times New Roman"/>
          <w:sz w:val="24"/>
          <w:szCs w:val="24"/>
          <w:highlight w:val="yellow"/>
        </w:rPr>
      </w:pPr>
    </w:p>
    <w:p w14:paraId="35D0ECD5" w14:textId="77777777" w:rsidR="00923B65" w:rsidRPr="00871912" w:rsidRDefault="00923B65" w:rsidP="00923B65">
      <w:pPr>
        <w:contextualSpacing/>
        <w:jc w:val="both"/>
        <w:rPr>
          <w:rFonts w:ascii="Times New Roman" w:eastAsia="Calibri" w:hAnsi="Times New Roman" w:cs="Times New Roman"/>
          <w:sz w:val="24"/>
          <w:szCs w:val="24"/>
        </w:rPr>
      </w:pPr>
      <w:r w:rsidRPr="004E5D9C">
        <w:rPr>
          <w:rFonts w:ascii="Times New Roman" w:eastAsia="Calibri" w:hAnsi="Times New Roman" w:cs="Times New Roman"/>
          <w:sz w:val="24"/>
          <w:szCs w:val="24"/>
        </w:rPr>
        <w:t>Do rozpočtu obcí sa predpokladajú aj finančné prostriedky z Jadrovej a vyraďovacej spoločnosti, a. s. vo výške 170 tis. eur.</w:t>
      </w:r>
    </w:p>
    <w:p w14:paraId="2B1A845E" w14:textId="77777777" w:rsidR="00923B65" w:rsidRPr="00871912" w:rsidRDefault="00923B65" w:rsidP="00923B65">
      <w:pPr>
        <w:contextualSpacing/>
        <w:jc w:val="both"/>
        <w:rPr>
          <w:rFonts w:ascii="Times New Roman" w:eastAsia="Calibri" w:hAnsi="Times New Roman" w:cs="Times New Roman"/>
          <w:sz w:val="24"/>
          <w:szCs w:val="24"/>
        </w:rPr>
      </w:pPr>
    </w:p>
    <w:p w14:paraId="3354CD96" w14:textId="77777777" w:rsidR="00923B65" w:rsidRPr="007542FB" w:rsidRDefault="00923B65" w:rsidP="00923B65">
      <w:pPr>
        <w:keepNext/>
        <w:keepLines/>
        <w:contextualSpacing/>
        <w:jc w:val="both"/>
        <w:rPr>
          <w:rFonts w:ascii="Times New Roman" w:hAnsi="Times New Roman" w:cs="Times New Roman"/>
          <w:sz w:val="24"/>
          <w:szCs w:val="24"/>
        </w:rPr>
      </w:pPr>
      <w:bookmarkStart w:id="150" w:name="_Toc148255259"/>
      <w:bookmarkStart w:id="151" w:name="_Toc174871976"/>
      <w:bookmarkStart w:id="152" w:name="_Toc206478411"/>
      <w:bookmarkEnd w:id="150"/>
      <w:bookmarkEnd w:id="151"/>
      <w:bookmarkEnd w:id="152"/>
      <w:r w:rsidRPr="00681094">
        <w:rPr>
          <w:rFonts w:ascii="Times New Roman" w:hAnsi="Times New Roman" w:cs="Times New Roman"/>
          <w:sz w:val="24"/>
          <w:szCs w:val="24"/>
        </w:rPr>
        <w:lastRenderedPageBreak/>
        <w:t xml:space="preserve">Na rok 2024 sa rozpočtujú pre </w:t>
      </w:r>
      <w:r w:rsidRPr="00681094">
        <w:rPr>
          <w:rFonts w:ascii="Times New Roman" w:hAnsi="Times New Roman" w:cs="Times New Roman"/>
          <w:b/>
          <w:sz w:val="24"/>
          <w:szCs w:val="24"/>
        </w:rPr>
        <w:t>vyššie územné celky</w:t>
      </w:r>
      <w:r w:rsidRPr="00681094">
        <w:rPr>
          <w:rFonts w:ascii="Times New Roman" w:hAnsi="Times New Roman" w:cs="Times New Roman"/>
          <w:sz w:val="24"/>
          <w:szCs w:val="24"/>
        </w:rPr>
        <w:t xml:space="preserve"> celkové granty a transfery v objeme </w:t>
      </w:r>
      <w:r w:rsidRPr="00681094">
        <w:rPr>
          <w:rFonts w:ascii="Times New Roman" w:hAnsi="Times New Roman" w:cs="Times New Roman"/>
          <w:sz w:val="24"/>
          <w:szCs w:val="24"/>
        </w:rPr>
        <w:br/>
        <w:t>685</w:t>
      </w:r>
      <w:r w:rsidRPr="007542FB">
        <w:rPr>
          <w:rFonts w:ascii="Times New Roman" w:hAnsi="Times New Roman" w:cs="Times New Roman"/>
          <w:sz w:val="24"/>
          <w:szCs w:val="24"/>
        </w:rPr>
        <w:t> mil. eur. Bežné transfery sa predpokladajú vo výške 685 mil. eur, z toho Plánu obnovy a odolnosti vo výške 1,73 mil. a kapitálové transfery vo výške 800 tis. eur.</w:t>
      </w:r>
    </w:p>
    <w:p w14:paraId="575FB940" w14:textId="77777777" w:rsidR="00923B65" w:rsidRPr="007542FB" w:rsidRDefault="00923B65" w:rsidP="00923B65">
      <w:pPr>
        <w:keepNext/>
        <w:keepLines/>
        <w:contextualSpacing/>
        <w:jc w:val="both"/>
        <w:rPr>
          <w:rFonts w:ascii="Times New Roman" w:hAnsi="Times New Roman" w:cs="Times New Roman"/>
          <w:sz w:val="24"/>
          <w:szCs w:val="24"/>
        </w:rPr>
      </w:pPr>
    </w:p>
    <w:p w14:paraId="0E52AA37" w14:textId="77777777" w:rsidR="00923B65" w:rsidRPr="007542FB" w:rsidRDefault="00923B65" w:rsidP="00923B65">
      <w:pPr>
        <w:contextualSpacing/>
        <w:jc w:val="both"/>
        <w:rPr>
          <w:rFonts w:ascii="Times New Roman" w:hAnsi="Times New Roman" w:cs="Times New Roman"/>
          <w:sz w:val="24"/>
          <w:szCs w:val="24"/>
        </w:rPr>
      </w:pPr>
      <w:r w:rsidRPr="007542FB">
        <w:rPr>
          <w:rFonts w:ascii="Times New Roman" w:hAnsi="Times New Roman" w:cs="Times New Roman"/>
          <w:sz w:val="24"/>
          <w:szCs w:val="24"/>
        </w:rPr>
        <w:t>Transfery zo štátneho rozpočtu do rozpočtov VÚC sa očakávajú v celkovej sume 682 mil.  eur z kapitoly:</w:t>
      </w:r>
    </w:p>
    <w:p w14:paraId="1458AAEB" w14:textId="77777777" w:rsidR="00923B65" w:rsidRPr="007542FB" w:rsidRDefault="00923B65" w:rsidP="00923B65">
      <w:pPr>
        <w:contextualSpacing/>
        <w:jc w:val="both"/>
        <w:rPr>
          <w:rFonts w:ascii="Times New Roman" w:hAnsi="Times New Roman" w:cs="Times New Roman"/>
          <w:sz w:val="24"/>
          <w:szCs w:val="24"/>
        </w:rPr>
      </w:pPr>
    </w:p>
    <w:p w14:paraId="28A1AFEC" w14:textId="77777777" w:rsidR="00923B65" w:rsidRPr="007542FB" w:rsidRDefault="00923B65" w:rsidP="00743462">
      <w:pPr>
        <w:pStyle w:val="Odsekzoznamu"/>
        <w:numPr>
          <w:ilvl w:val="0"/>
          <w:numId w:val="10"/>
        </w:numPr>
        <w:ind w:left="284" w:hanging="284"/>
        <w:jc w:val="both"/>
        <w:rPr>
          <w:rFonts w:ascii="Times New Roman" w:hAnsi="Times New Roman" w:cs="Times New Roman"/>
        </w:rPr>
      </w:pPr>
      <w:r w:rsidRPr="007542FB">
        <w:rPr>
          <w:rFonts w:ascii="Times New Roman" w:hAnsi="Times New Roman" w:cs="Times New Roman"/>
        </w:rPr>
        <w:t>Ministerstva školstva, vedy, výskumu a športu SR – v sume  6</w:t>
      </w:r>
      <w:r>
        <w:rPr>
          <w:rFonts w:ascii="Times New Roman" w:hAnsi="Times New Roman" w:cs="Times New Roman"/>
        </w:rPr>
        <w:t>79</w:t>
      </w:r>
      <w:r w:rsidRPr="007542FB">
        <w:rPr>
          <w:rFonts w:ascii="Times New Roman" w:hAnsi="Times New Roman" w:cs="Times New Roman"/>
        </w:rPr>
        <w:t xml:space="preserve"> mil. eur, z toho </w:t>
      </w:r>
      <w:r>
        <w:rPr>
          <w:rFonts w:ascii="Times New Roman" w:hAnsi="Times New Roman" w:cs="Times New Roman"/>
        </w:rPr>
        <w:t xml:space="preserve">bežný transfer </w:t>
      </w:r>
      <w:r w:rsidRPr="007542FB">
        <w:rPr>
          <w:rFonts w:ascii="Times New Roman" w:hAnsi="Times New Roman" w:cs="Times New Roman"/>
        </w:rPr>
        <w:t>na financovanie preneseného výkonu štátnej správy na úseku stredných škôl, ku ktorým plnia VÚC zriaďovateľskú funkciu v sume 678 mil. eur a</w:t>
      </w:r>
      <w:r>
        <w:rPr>
          <w:rFonts w:ascii="Times New Roman" w:hAnsi="Times New Roman" w:cs="Times New Roman"/>
        </w:rPr>
        <w:t xml:space="preserve"> kapitálový transfer na </w:t>
      </w:r>
      <w:r w:rsidRPr="007542FB">
        <w:rPr>
          <w:rFonts w:ascii="Times New Roman" w:hAnsi="Times New Roman" w:cs="Times New Roman"/>
        </w:rPr>
        <w:t xml:space="preserve">odstránenie havarijného stavu na školách  sa rozpočtuje suma 300 tis. eur. </w:t>
      </w:r>
    </w:p>
    <w:p w14:paraId="5DE6AD33" w14:textId="77777777" w:rsidR="00923B65" w:rsidRPr="007542FB" w:rsidRDefault="00923B65" w:rsidP="00923B65">
      <w:pPr>
        <w:pStyle w:val="Odsekzoznamu"/>
        <w:ind w:left="284" w:hanging="284"/>
        <w:jc w:val="both"/>
        <w:rPr>
          <w:rFonts w:ascii="Times New Roman" w:hAnsi="Times New Roman" w:cs="Times New Roman"/>
        </w:rPr>
      </w:pPr>
    </w:p>
    <w:p w14:paraId="758F6DC4" w14:textId="77777777" w:rsidR="00923B65" w:rsidRPr="007542FB" w:rsidRDefault="00923B65" w:rsidP="00743462">
      <w:pPr>
        <w:pStyle w:val="Odsekzoznamu"/>
        <w:numPr>
          <w:ilvl w:val="0"/>
          <w:numId w:val="10"/>
        </w:numPr>
        <w:ind w:left="284" w:hanging="284"/>
        <w:jc w:val="both"/>
        <w:rPr>
          <w:rFonts w:ascii="Times New Roman" w:hAnsi="Times New Roman" w:cs="Times New Roman"/>
        </w:rPr>
      </w:pPr>
      <w:r w:rsidRPr="007542FB">
        <w:rPr>
          <w:rFonts w:ascii="Times New Roman" w:hAnsi="Times New Roman" w:cs="Times New Roman"/>
        </w:rPr>
        <w:t>Ministerstvo investícií, regionálneho rozvoja a informatizácie SR – v sume 1,73 mil. eur sa rozpočtujú prostriedky z Plán obnovy.</w:t>
      </w:r>
    </w:p>
    <w:p w14:paraId="1A72FC28" w14:textId="77777777" w:rsidR="00923B65" w:rsidRPr="007542FB" w:rsidRDefault="00923B65" w:rsidP="00923B65">
      <w:pPr>
        <w:pStyle w:val="Odsekzoznamu"/>
        <w:ind w:left="284" w:hanging="284"/>
        <w:jc w:val="both"/>
        <w:rPr>
          <w:rFonts w:ascii="Times New Roman" w:hAnsi="Times New Roman" w:cs="Times New Roman"/>
        </w:rPr>
      </w:pPr>
    </w:p>
    <w:p w14:paraId="48403910" w14:textId="77777777" w:rsidR="00923B65" w:rsidRPr="007542FB" w:rsidRDefault="00923B65" w:rsidP="00743462">
      <w:pPr>
        <w:pStyle w:val="Odsekzoznamu"/>
        <w:numPr>
          <w:ilvl w:val="0"/>
          <w:numId w:val="10"/>
        </w:numPr>
        <w:ind w:left="284" w:hanging="284"/>
        <w:jc w:val="both"/>
        <w:rPr>
          <w:rFonts w:ascii="Times New Roman" w:hAnsi="Times New Roman" w:cs="Times New Roman"/>
        </w:rPr>
      </w:pPr>
      <w:r w:rsidRPr="007542FB">
        <w:rPr>
          <w:rFonts w:ascii="Times New Roman" w:hAnsi="Times New Roman" w:cs="Times New Roman"/>
        </w:rPr>
        <w:t>Ministerstva práce, sociálnych vecí a rodiny SR – v sume 500 tis. eur na podporu rozvoja sociálnych služieb.</w:t>
      </w:r>
    </w:p>
    <w:p w14:paraId="62D9ECEF" w14:textId="77777777" w:rsidR="00923B65" w:rsidRPr="007542FB" w:rsidRDefault="00923B65" w:rsidP="00923B65">
      <w:pPr>
        <w:pStyle w:val="Odsekzoznamu"/>
        <w:ind w:left="284" w:hanging="284"/>
        <w:rPr>
          <w:rFonts w:ascii="Times New Roman" w:hAnsi="Times New Roman" w:cs="Times New Roman"/>
        </w:rPr>
      </w:pPr>
    </w:p>
    <w:p w14:paraId="5D6369A9" w14:textId="77777777" w:rsidR="00923B65" w:rsidRPr="007542FB" w:rsidRDefault="00923B65" w:rsidP="00743462">
      <w:pPr>
        <w:pStyle w:val="Odsekzoznamu"/>
        <w:numPr>
          <w:ilvl w:val="0"/>
          <w:numId w:val="10"/>
        </w:numPr>
        <w:ind w:left="284" w:hanging="284"/>
        <w:jc w:val="both"/>
        <w:rPr>
          <w:rFonts w:ascii="Times New Roman" w:hAnsi="Times New Roman" w:cs="Times New Roman"/>
        </w:rPr>
      </w:pPr>
      <w:r w:rsidRPr="007542FB">
        <w:rPr>
          <w:rFonts w:ascii="Times New Roman" w:hAnsi="Times New Roman" w:cs="Times New Roman"/>
        </w:rPr>
        <w:t>Úrad vlády SR – finančné prostriedky v sume 650 tis. eur na financovanie podporných aktív.</w:t>
      </w:r>
    </w:p>
    <w:p w14:paraId="49D95442" w14:textId="77777777" w:rsidR="00923B65" w:rsidRPr="007542FB" w:rsidRDefault="00923B65" w:rsidP="00923B65">
      <w:pPr>
        <w:pStyle w:val="Odsekzoznamu"/>
        <w:ind w:left="284" w:hanging="284"/>
        <w:rPr>
          <w:rFonts w:ascii="Times New Roman" w:hAnsi="Times New Roman" w:cs="Times New Roman"/>
        </w:rPr>
      </w:pPr>
    </w:p>
    <w:p w14:paraId="318235FA" w14:textId="77777777" w:rsidR="00923B65" w:rsidRPr="007542FB" w:rsidRDefault="00923B65" w:rsidP="00743462">
      <w:pPr>
        <w:pStyle w:val="Odsekzoznamu"/>
        <w:numPr>
          <w:ilvl w:val="0"/>
          <w:numId w:val="10"/>
        </w:numPr>
        <w:ind w:left="284" w:hanging="284"/>
        <w:jc w:val="both"/>
        <w:rPr>
          <w:rFonts w:ascii="Times New Roman" w:hAnsi="Times New Roman" w:cs="Times New Roman"/>
        </w:rPr>
      </w:pPr>
      <w:r w:rsidRPr="007542FB">
        <w:rPr>
          <w:rFonts w:ascii="Times New Roman" w:hAnsi="Times New Roman" w:cs="Times New Roman"/>
        </w:rPr>
        <w:t>Ministerstvo vnútra SR – v sume 31,0 tis. eur na financovanie preneseného výkonu štátnej správy na voľby.</w:t>
      </w:r>
    </w:p>
    <w:p w14:paraId="6B5D9507" w14:textId="77777777" w:rsidR="00923B65" w:rsidRPr="007542FB" w:rsidRDefault="00923B65" w:rsidP="00923B65">
      <w:pPr>
        <w:pStyle w:val="Odsekzoznamu"/>
        <w:ind w:left="284" w:hanging="284"/>
        <w:jc w:val="both"/>
        <w:rPr>
          <w:rFonts w:ascii="Times New Roman" w:hAnsi="Times New Roman" w:cs="Times New Roman"/>
        </w:rPr>
      </w:pPr>
    </w:p>
    <w:p w14:paraId="002B2C40" w14:textId="77777777" w:rsidR="00923B65" w:rsidRPr="007542FB" w:rsidRDefault="00923B65" w:rsidP="00923B65">
      <w:pPr>
        <w:contextualSpacing/>
        <w:jc w:val="both"/>
        <w:rPr>
          <w:rFonts w:ascii="Times New Roman" w:hAnsi="Times New Roman" w:cs="Times New Roman"/>
          <w:sz w:val="24"/>
          <w:szCs w:val="24"/>
        </w:rPr>
      </w:pPr>
      <w:r w:rsidRPr="007542FB">
        <w:rPr>
          <w:rFonts w:ascii="Times New Roman" w:hAnsi="Times New Roman" w:cs="Times New Roman"/>
          <w:sz w:val="24"/>
          <w:szCs w:val="24"/>
        </w:rPr>
        <w:t xml:space="preserve">Do rozpočtu </w:t>
      </w:r>
      <w:r w:rsidRPr="007542FB">
        <w:rPr>
          <w:rFonts w:ascii="Times New Roman" w:hAnsi="Times New Roman" w:cs="Times New Roman"/>
          <w:b/>
          <w:sz w:val="24"/>
          <w:szCs w:val="24"/>
        </w:rPr>
        <w:t>VÚC</w:t>
      </w:r>
      <w:r w:rsidRPr="007542FB">
        <w:rPr>
          <w:rFonts w:ascii="Times New Roman" w:hAnsi="Times New Roman" w:cs="Times New Roman"/>
          <w:sz w:val="24"/>
          <w:szCs w:val="24"/>
        </w:rPr>
        <w:t xml:space="preserve"> sa predpokladá poskytnúť v roku 2024 transfery z fondov v celkovej</w:t>
      </w:r>
      <w:r>
        <w:rPr>
          <w:rFonts w:ascii="Times New Roman" w:hAnsi="Times New Roman" w:cs="Times New Roman"/>
          <w:sz w:val="24"/>
          <w:szCs w:val="24"/>
        </w:rPr>
        <w:t xml:space="preserve"> sume 3,6</w:t>
      </w:r>
      <w:r w:rsidRPr="007542FB">
        <w:rPr>
          <w:rFonts w:ascii="Times New Roman" w:hAnsi="Times New Roman" w:cs="Times New Roman"/>
          <w:sz w:val="24"/>
          <w:szCs w:val="24"/>
        </w:rPr>
        <w:t xml:space="preserve">8 mil. eur., z toho bežné transfery z Fondu na podporu umenia sa rozpočtujú vo výške 3,03 mil. eur, </w:t>
      </w:r>
      <w:r>
        <w:rPr>
          <w:rFonts w:ascii="Times New Roman" w:hAnsi="Times New Roman" w:cs="Times New Roman"/>
          <w:sz w:val="24"/>
          <w:szCs w:val="24"/>
        </w:rPr>
        <w:t>kapitálové</w:t>
      </w:r>
      <w:r w:rsidRPr="007542FB">
        <w:rPr>
          <w:rFonts w:ascii="Times New Roman" w:hAnsi="Times New Roman" w:cs="Times New Roman"/>
          <w:sz w:val="24"/>
          <w:szCs w:val="24"/>
        </w:rPr>
        <w:t xml:space="preserve"> transfery z Fondu na podporu umenia sa rozpočtujú vo výške </w:t>
      </w:r>
      <w:r>
        <w:rPr>
          <w:rFonts w:ascii="Times New Roman" w:hAnsi="Times New Roman" w:cs="Times New Roman"/>
          <w:sz w:val="24"/>
          <w:szCs w:val="24"/>
        </w:rPr>
        <w:br/>
        <w:t>500 tis</w:t>
      </w:r>
      <w:r w:rsidRPr="007542FB">
        <w:rPr>
          <w:rFonts w:ascii="Times New Roman" w:hAnsi="Times New Roman" w:cs="Times New Roman"/>
          <w:sz w:val="24"/>
          <w:szCs w:val="24"/>
        </w:rPr>
        <w:t>. eur,</w:t>
      </w:r>
      <w:r>
        <w:rPr>
          <w:rFonts w:ascii="Times New Roman" w:hAnsi="Times New Roman" w:cs="Times New Roman"/>
          <w:sz w:val="24"/>
          <w:szCs w:val="24"/>
        </w:rPr>
        <w:t xml:space="preserve"> </w:t>
      </w:r>
      <w:r w:rsidRPr="007542FB">
        <w:rPr>
          <w:rFonts w:ascii="Times New Roman" w:hAnsi="Times New Roman" w:cs="Times New Roman"/>
          <w:sz w:val="24"/>
          <w:szCs w:val="24"/>
        </w:rPr>
        <w:t>z Fondu na podporu kultúry národnostných menšín sa rozpočtujú v sume 150 tis. eur, a z Astronomického ústavu SAV sa rozpočtujú vo výške 5,03 tis. eur.</w:t>
      </w:r>
    </w:p>
    <w:p w14:paraId="134D4CB9" w14:textId="77777777" w:rsidR="00923B65" w:rsidRPr="007542FB" w:rsidRDefault="00923B65" w:rsidP="00923B65">
      <w:pPr>
        <w:contextualSpacing/>
        <w:jc w:val="both"/>
        <w:rPr>
          <w:rFonts w:ascii="Times New Roman" w:hAnsi="Times New Roman" w:cs="Times New Roman"/>
          <w:sz w:val="24"/>
          <w:szCs w:val="24"/>
        </w:rPr>
      </w:pPr>
    </w:p>
    <w:p w14:paraId="178514E6" w14:textId="0DD6494F" w:rsidR="005466CE" w:rsidRDefault="00923B65" w:rsidP="00E64517">
      <w:pPr>
        <w:spacing w:after="0"/>
        <w:contextualSpacing/>
        <w:jc w:val="both"/>
        <w:rPr>
          <w:rFonts w:ascii="Times New Roman" w:hAnsi="Times New Roman" w:cs="Times New Roman"/>
          <w:sz w:val="24"/>
          <w:szCs w:val="24"/>
        </w:rPr>
      </w:pPr>
      <w:r w:rsidRPr="007542FB">
        <w:rPr>
          <w:rFonts w:ascii="Times New Roman" w:hAnsi="Times New Roman" w:cs="Times New Roman"/>
          <w:b/>
          <w:sz w:val="24"/>
          <w:szCs w:val="24"/>
        </w:rPr>
        <w:t>Dopravné podniky</w:t>
      </w:r>
      <w:r w:rsidRPr="007542FB">
        <w:rPr>
          <w:rFonts w:ascii="Times New Roman" w:hAnsi="Times New Roman" w:cs="Times New Roman"/>
          <w:sz w:val="24"/>
          <w:szCs w:val="24"/>
        </w:rPr>
        <w:t xml:space="preserve"> predpokladajú celkové</w:t>
      </w:r>
      <w:r w:rsidR="00BF7340">
        <w:rPr>
          <w:rFonts w:ascii="Times New Roman" w:hAnsi="Times New Roman" w:cs="Times New Roman"/>
          <w:sz w:val="24"/>
          <w:szCs w:val="24"/>
        </w:rPr>
        <w:t xml:space="preserve"> granty a transfery sa v sume 18</w:t>
      </w:r>
      <w:r w:rsidRPr="007542FB">
        <w:rPr>
          <w:rFonts w:ascii="Times New Roman" w:hAnsi="Times New Roman" w:cs="Times New Roman"/>
          <w:sz w:val="24"/>
          <w:szCs w:val="24"/>
        </w:rPr>
        <w:t>4 mil. eur, z toho na bežné t</w:t>
      </w:r>
      <w:r w:rsidR="00BF7340">
        <w:rPr>
          <w:rFonts w:ascii="Times New Roman" w:hAnsi="Times New Roman" w:cs="Times New Roman"/>
          <w:sz w:val="24"/>
          <w:szCs w:val="24"/>
        </w:rPr>
        <w:t>ransfery v sume 162</w:t>
      </w:r>
      <w:r w:rsidRPr="007542FB">
        <w:rPr>
          <w:rFonts w:ascii="Times New Roman" w:hAnsi="Times New Roman" w:cs="Times New Roman"/>
          <w:sz w:val="24"/>
          <w:szCs w:val="24"/>
        </w:rPr>
        <w:t xml:space="preserve"> mil. eur, najmä na pokrytie straty pri zabezpečení výkonov vo verejnom záujme v mestskej hromadnej doprave </w:t>
      </w:r>
      <w:r w:rsidR="00BF7340">
        <w:rPr>
          <w:rFonts w:ascii="Times New Roman" w:hAnsi="Times New Roman" w:cs="Times New Roman"/>
          <w:sz w:val="24"/>
          <w:szCs w:val="24"/>
        </w:rPr>
        <w:t>a kapitálové transfery v sume 22</w:t>
      </w:r>
      <w:r w:rsidRPr="007542FB">
        <w:rPr>
          <w:rFonts w:ascii="Times New Roman" w:hAnsi="Times New Roman" w:cs="Times New Roman"/>
          <w:sz w:val="24"/>
          <w:szCs w:val="24"/>
        </w:rPr>
        <w:t>,3 mil. eur na obstaranie kapitálových aktív.</w:t>
      </w:r>
      <w:r w:rsidRPr="00565EA3">
        <w:rPr>
          <w:rFonts w:ascii="Times New Roman" w:hAnsi="Times New Roman" w:cs="Times New Roman"/>
          <w:sz w:val="24"/>
          <w:szCs w:val="24"/>
        </w:rPr>
        <w:t xml:space="preserve"> </w:t>
      </w:r>
    </w:p>
    <w:p w14:paraId="677F8C88" w14:textId="77777777" w:rsidR="00E64517" w:rsidRPr="00565EA3" w:rsidRDefault="00E64517" w:rsidP="00E64517">
      <w:pPr>
        <w:spacing w:after="0"/>
        <w:contextualSpacing/>
        <w:jc w:val="both"/>
        <w:rPr>
          <w:rFonts w:ascii="Times New Roman" w:hAnsi="Times New Roman" w:cs="Times New Roman"/>
          <w:sz w:val="24"/>
          <w:szCs w:val="24"/>
        </w:rPr>
      </w:pPr>
    </w:p>
    <w:p w14:paraId="233F2CA8" w14:textId="77777777" w:rsidR="00AC031F" w:rsidRPr="00A742DB" w:rsidRDefault="00AC031F" w:rsidP="00E64517">
      <w:pPr>
        <w:pStyle w:val="Nadpis2"/>
        <w:spacing w:before="0" w:after="0"/>
        <w:jc w:val="both"/>
        <w:rPr>
          <w:rFonts w:ascii="Times New Roman" w:hAnsi="Times New Roman"/>
          <w:b w:val="0"/>
          <w:bCs w:val="0"/>
          <w:i w:val="0"/>
          <w:color w:val="5B9BD5" w:themeColor="accent1"/>
          <w:sz w:val="24"/>
          <w:szCs w:val="24"/>
          <w:lang w:eastAsia="sk-SK"/>
        </w:rPr>
      </w:pPr>
      <w:bookmarkStart w:id="153" w:name="_Toc52972877"/>
      <w:bookmarkStart w:id="154" w:name="_Toc152946770"/>
      <w:r w:rsidRPr="00A742DB">
        <w:rPr>
          <w:rFonts w:ascii="Times New Roman" w:hAnsi="Times New Roman"/>
          <w:i w:val="0"/>
          <w:color w:val="5B9BD5" w:themeColor="accent1"/>
          <w:sz w:val="24"/>
          <w:szCs w:val="24"/>
          <w:lang w:eastAsia="sk-SK"/>
        </w:rPr>
        <w:t xml:space="preserve">3.3. </w:t>
      </w:r>
      <w:bookmarkEnd w:id="153"/>
      <w:r w:rsidR="00192C79" w:rsidRPr="00A742DB">
        <w:rPr>
          <w:rFonts w:ascii="Times New Roman" w:hAnsi="Times New Roman"/>
          <w:i w:val="0"/>
          <w:color w:val="5B9BD5" w:themeColor="accent1"/>
          <w:sz w:val="24"/>
          <w:szCs w:val="24"/>
          <w:lang w:eastAsia="sk-SK"/>
        </w:rPr>
        <w:t xml:space="preserve">Príjmy samostatných účtov štátnych </w:t>
      </w:r>
      <w:r w:rsidR="00192C79" w:rsidRPr="001455C3">
        <w:rPr>
          <w:rFonts w:ascii="Times New Roman" w:hAnsi="Times New Roman"/>
          <w:i w:val="0"/>
          <w:color w:val="5B9BD5" w:themeColor="accent1"/>
          <w:sz w:val="24"/>
          <w:szCs w:val="24"/>
          <w:lang w:eastAsia="sk-SK"/>
        </w:rPr>
        <w:t>rozpočtových organizácií vstupujúce do rozpočtu verejnej správy</w:t>
      </w:r>
      <w:bookmarkEnd w:id="154"/>
    </w:p>
    <w:p w14:paraId="49A1009F" w14:textId="77777777" w:rsidR="00AC031F" w:rsidRDefault="00AC031F" w:rsidP="00AC031F">
      <w:pPr>
        <w:spacing w:after="0"/>
        <w:rPr>
          <w:rFonts w:ascii="Times New Roman" w:eastAsia="Calibri" w:hAnsi="Times New Roman" w:cs="Times New Roman"/>
          <w:sz w:val="24"/>
          <w:szCs w:val="24"/>
        </w:rPr>
      </w:pPr>
    </w:p>
    <w:p w14:paraId="40A1BA90" w14:textId="77777777" w:rsidR="00E64517" w:rsidRPr="00E64517" w:rsidRDefault="00E64517" w:rsidP="00E64517">
      <w:pPr>
        <w:spacing w:after="0"/>
        <w:jc w:val="both"/>
        <w:rPr>
          <w:rFonts w:ascii="Times New Roman" w:eastAsia="Calibri" w:hAnsi="Times New Roman" w:cs="Times New Roman"/>
          <w:sz w:val="24"/>
          <w:szCs w:val="24"/>
        </w:rPr>
      </w:pPr>
      <w:r w:rsidRPr="00E64517">
        <w:rPr>
          <w:rFonts w:ascii="Times New Roman" w:eastAsia="Calibri" w:hAnsi="Times New Roman" w:cs="Times New Roman"/>
          <w:sz w:val="24"/>
          <w:szCs w:val="24"/>
        </w:rPr>
        <w:t xml:space="preserve">Podľa zákona o rozpočtových pravidlách verejnej správy sú súčasťou príjmov rozpočtovej organizácie aj všetky príjmy rozpočtované na jej samostatných účtoch. </w:t>
      </w:r>
    </w:p>
    <w:p w14:paraId="177F083F" w14:textId="77777777" w:rsidR="00E64517" w:rsidRPr="00E64517" w:rsidRDefault="00E64517" w:rsidP="00E64517">
      <w:pPr>
        <w:spacing w:after="0"/>
        <w:jc w:val="both"/>
        <w:rPr>
          <w:rFonts w:ascii="Times New Roman" w:eastAsia="Calibri" w:hAnsi="Times New Roman" w:cs="Times New Roman"/>
          <w:sz w:val="24"/>
          <w:szCs w:val="24"/>
        </w:rPr>
      </w:pPr>
    </w:p>
    <w:p w14:paraId="7F6C1BDE" w14:textId="77777777" w:rsidR="00E64517" w:rsidRDefault="00E64517" w:rsidP="00E64517">
      <w:pPr>
        <w:spacing w:after="0"/>
        <w:jc w:val="both"/>
        <w:rPr>
          <w:rFonts w:ascii="Times New Roman" w:eastAsia="Calibri" w:hAnsi="Times New Roman" w:cs="Times New Roman"/>
          <w:sz w:val="24"/>
          <w:szCs w:val="24"/>
        </w:rPr>
      </w:pPr>
      <w:r w:rsidRPr="00E64517">
        <w:rPr>
          <w:rFonts w:ascii="Times New Roman" w:eastAsia="Calibri" w:hAnsi="Times New Roman" w:cs="Times New Roman"/>
          <w:sz w:val="24"/>
          <w:szCs w:val="24"/>
        </w:rPr>
        <w:t>V rámci aktuálneho rozpočtu verejnej správy sú rozpočtované nasledujúce príjmy samostatných účtov štátnych rozpočtových organizácií.</w:t>
      </w:r>
    </w:p>
    <w:p w14:paraId="717622AF" w14:textId="77777777" w:rsidR="00FC3450" w:rsidRDefault="00FC3450" w:rsidP="00E64517">
      <w:pPr>
        <w:spacing w:after="0"/>
        <w:jc w:val="both"/>
        <w:rPr>
          <w:rFonts w:ascii="Times New Roman" w:eastAsia="Calibri" w:hAnsi="Times New Roman" w:cs="Times New Roman"/>
          <w:sz w:val="24"/>
          <w:szCs w:val="24"/>
        </w:rPr>
      </w:pPr>
    </w:p>
    <w:p w14:paraId="5C1D8A56" w14:textId="77777777" w:rsidR="00FC3450" w:rsidRDefault="00FC3450" w:rsidP="00E64517">
      <w:pPr>
        <w:spacing w:after="0"/>
        <w:jc w:val="both"/>
        <w:rPr>
          <w:rFonts w:ascii="Times New Roman" w:eastAsia="Calibri" w:hAnsi="Times New Roman" w:cs="Times New Roman"/>
          <w:sz w:val="24"/>
          <w:szCs w:val="24"/>
        </w:rPr>
      </w:pPr>
    </w:p>
    <w:p w14:paraId="7450DB55" w14:textId="77777777" w:rsidR="00FC3450" w:rsidRDefault="00FC3450" w:rsidP="00E64517">
      <w:pPr>
        <w:spacing w:after="0"/>
        <w:jc w:val="both"/>
        <w:rPr>
          <w:rFonts w:ascii="Times New Roman" w:eastAsia="Calibri" w:hAnsi="Times New Roman" w:cs="Times New Roman"/>
          <w:sz w:val="24"/>
          <w:szCs w:val="24"/>
        </w:rPr>
      </w:pPr>
    </w:p>
    <w:p w14:paraId="5CFB40C4" w14:textId="77777777" w:rsidR="00FC3450" w:rsidRPr="00E64517" w:rsidRDefault="00FC3450" w:rsidP="00E64517">
      <w:pPr>
        <w:spacing w:after="0"/>
        <w:jc w:val="both"/>
        <w:rPr>
          <w:rFonts w:ascii="Times New Roman" w:eastAsia="Calibri" w:hAnsi="Times New Roman" w:cs="Times New Roman"/>
          <w:sz w:val="24"/>
          <w:szCs w:val="24"/>
        </w:rPr>
      </w:pPr>
    </w:p>
    <w:p w14:paraId="2DF086D5" w14:textId="77777777" w:rsidR="00E64517" w:rsidRPr="00E64517" w:rsidRDefault="00E64517" w:rsidP="00E64517">
      <w:pPr>
        <w:spacing w:after="0"/>
        <w:jc w:val="both"/>
        <w:rPr>
          <w:rFonts w:ascii="Times New Roman" w:eastAsia="Calibri" w:hAnsi="Times New Roman" w:cs="Times New Roman"/>
          <w:sz w:val="24"/>
          <w:szCs w:val="24"/>
        </w:rPr>
      </w:pPr>
    </w:p>
    <w:p w14:paraId="7F7154DE" w14:textId="6E9053B1" w:rsidR="00E64517" w:rsidRPr="00E64517" w:rsidRDefault="00E64517" w:rsidP="00E64517">
      <w:pPr>
        <w:keepNext/>
        <w:spacing w:after="0" w:line="240" w:lineRule="auto"/>
        <w:rPr>
          <w:rFonts w:ascii="Times New Roman" w:hAnsi="Times New Roman" w:cs="Times New Roman"/>
          <w:b/>
          <w:iCs/>
          <w:color w:val="5B9BD5" w:themeColor="accent1"/>
          <w:sz w:val="20"/>
          <w:szCs w:val="20"/>
        </w:rPr>
      </w:pPr>
      <w:bookmarkStart w:id="155" w:name="_Toc84845268"/>
      <w:bookmarkStart w:id="156" w:name="_Toc123813913"/>
      <w:bookmarkStart w:id="157" w:name="_Toc153013043"/>
      <w:r w:rsidRPr="00E64517">
        <w:rPr>
          <w:rFonts w:ascii="Times New Roman" w:hAnsi="Times New Roman" w:cs="Times New Roman"/>
          <w:b/>
          <w:iCs/>
          <w:color w:val="5B9BD5" w:themeColor="accent1"/>
          <w:sz w:val="20"/>
          <w:szCs w:val="20"/>
        </w:rPr>
        <w:lastRenderedPageBreak/>
        <w:t xml:space="preserve">Tabuľka </w:t>
      </w:r>
      <w:r w:rsidRPr="00E64517">
        <w:rPr>
          <w:rFonts w:ascii="Times New Roman" w:hAnsi="Times New Roman" w:cs="Times New Roman"/>
          <w:b/>
          <w:iCs/>
          <w:color w:val="5B9BD5" w:themeColor="accent1"/>
          <w:sz w:val="20"/>
          <w:szCs w:val="20"/>
        </w:rPr>
        <w:fldChar w:fldCharType="begin"/>
      </w:r>
      <w:r w:rsidRPr="00E64517">
        <w:rPr>
          <w:rFonts w:ascii="Times New Roman" w:hAnsi="Times New Roman" w:cs="Times New Roman"/>
          <w:b/>
          <w:iCs/>
          <w:color w:val="5B9BD5" w:themeColor="accent1"/>
          <w:sz w:val="20"/>
          <w:szCs w:val="20"/>
        </w:rPr>
        <w:instrText xml:space="preserve"> SEQ Tabuľka \* ARABIC </w:instrText>
      </w:r>
      <w:r w:rsidRPr="00E64517">
        <w:rPr>
          <w:rFonts w:ascii="Times New Roman" w:hAnsi="Times New Roman" w:cs="Times New Roman"/>
          <w:b/>
          <w:iCs/>
          <w:color w:val="5B9BD5" w:themeColor="accent1"/>
          <w:sz w:val="20"/>
          <w:szCs w:val="20"/>
        </w:rPr>
        <w:fldChar w:fldCharType="separate"/>
      </w:r>
      <w:r w:rsidR="003D5A3A">
        <w:rPr>
          <w:rFonts w:ascii="Times New Roman" w:hAnsi="Times New Roman" w:cs="Times New Roman"/>
          <w:b/>
          <w:iCs/>
          <w:noProof/>
          <w:color w:val="5B9BD5" w:themeColor="accent1"/>
          <w:sz w:val="20"/>
          <w:szCs w:val="20"/>
        </w:rPr>
        <w:t>45</w:t>
      </w:r>
      <w:r w:rsidRPr="00E64517">
        <w:rPr>
          <w:rFonts w:ascii="Times New Roman" w:hAnsi="Times New Roman" w:cs="Times New Roman"/>
          <w:b/>
          <w:iCs/>
          <w:color w:val="5B9BD5" w:themeColor="accent1"/>
          <w:sz w:val="20"/>
          <w:szCs w:val="20"/>
        </w:rPr>
        <w:fldChar w:fldCharType="end"/>
      </w:r>
      <w:r w:rsidRPr="00E64517">
        <w:rPr>
          <w:rFonts w:ascii="Times New Roman" w:hAnsi="Times New Roman" w:cs="Times New Roman"/>
          <w:b/>
          <w:iCs/>
          <w:color w:val="5B9BD5" w:themeColor="accent1"/>
          <w:sz w:val="20"/>
          <w:szCs w:val="20"/>
        </w:rPr>
        <w:t xml:space="preserve"> - Príjmy samostatných účtov štátnych rozpočtových organizácií</w:t>
      </w:r>
      <w:bookmarkEnd w:id="155"/>
      <w:bookmarkEnd w:id="156"/>
      <w:bookmarkEnd w:id="157"/>
    </w:p>
    <w:tbl>
      <w:tblPr>
        <w:tblW w:w="5000" w:type="pct"/>
        <w:tblCellMar>
          <w:left w:w="70" w:type="dxa"/>
          <w:right w:w="70" w:type="dxa"/>
        </w:tblCellMar>
        <w:tblLook w:val="04A0" w:firstRow="1" w:lastRow="0" w:firstColumn="1" w:lastColumn="0" w:noHBand="0" w:noVBand="1"/>
      </w:tblPr>
      <w:tblGrid>
        <w:gridCol w:w="1657"/>
        <w:gridCol w:w="1059"/>
        <w:gridCol w:w="1060"/>
        <w:gridCol w:w="1060"/>
        <w:gridCol w:w="1060"/>
        <w:gridCol w:w="1060"/>
        <w:gridCol w:w="1060"/>
        <w:gridCol w:w="1056"/>
      </w:tblGrid>
      <w:tr w:rsidR="00E64517" w:rsidRPr="00E64517" w14:paraId="2AAA077A" w14:textId="77777777" w:rsidTr="00B63F1A">
        <w:trPr>
          <w:trHeight w:val="289"/>
        </w:trPr>
        <w:tc>
          <w:tcPr>
            <w:tcW w:w="914" w:type="pct"/>
            <w:tcBorders>
              <w:top w:val="single" w:sz="4" w:space="0" w:color="auto"/>
              <w:left w:val="nil"/>
              <w:bottom w:val="single" w:sz="4" w:space="0" w:color="auto"/>
              <w:right w:val="nil"/>
            </w:tcBorders>
            <w:shd w:val="clear" w:color="auto" w:fill="auto"/>
            <w:noWrap/>
            <w:vAlign w:val="center"/>
            <w:hideMark/>
          </w:tcPr>
          <w:p w14:paraId="39D1D165" w14:textId="77777777" w:rsidR="00E64517" w:rsidRPr="00E64517" w:rsidRDefault="00E64517" w:rsidP="00E64517">
            <w:pPr>
              <w:spacing w:after="0" w:line="240" w:lineRule="auto"/>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 v tis. eur</w:t>
            </w:r>
          </w:p>
        </w:tc>
        <w:tc>
          <w:tcPr>
            <w:tcW w:w="584" w:type="pct"/>
            <w:tcBorders>
              <w:top w:val="single" w:sz="4" w:space="0" w:color="auto"/>
              <w:left w:val="nil"/>
              <w:bottom w:val="single" w:sz="4" w:space="0" w:color="auto"/>
              <w:right w:val="nil"/>
            </w:tcBorders>
            <w:shd w:val="clear" w:color="auto" w:fill="auto"/>
            <w:noWrap/>
            <w:vAlign w:val="center"/>
            <w:hideMark/>
          </w:tcPr>
          <w:p w14:paraId="415AD633"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2021 S</w:t>
            </w:r>
          </w:p>
        </w:tc>
        <w:tc>
          <w:tcPr>
            <w:tcW w:w="584" w:type="pct"/>
            <w:tcBorders>
              <w:top w:val="single" w:sz="4" w:space="0" w:color="auto"/>
              <w:left w:val="nil"/>
              <w:bottom w:val="single" w:sz="4" w:space="0" w:color="auto"/>
              <w:right w:val="nil"/>
            </w:tcBorders>
            <w:shd w:val="clear" w:color="auto" w:fill="auto"/>
            <w:noWrap/>
            <w:vAlign w:val="center"/>
            <w:hideMark/>
          </w:tcPr>
          <w:p w14:paraId="54D83971"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2022 S</w:t>
            </w:r>
          </w:p>
        </w:tc>
        <w:tc>
          <w:tcPr>
            <w:tcW w:w="584" w:type="pct"/>
            <w:tcBorders>
              <w:top w:val="single" w:sz="4" w:space="0" w:color="auto"/>
              <w:left w:val="nil"/>
              <w:bottom w:val="single" w:sz="4" w:space="0" w:color="auto"/>
              <w:right w:val="nil"/>
            </w:tcBorders>
            <w:shd w:val="clear" w:color="auto" w:fill="auto"/>
            <w:noWrap/>
            <w:vAlign w:val="center"/>
            <w:hideMark/>
          </w:tcPr>
          <w:p w14:paraId="062098DE"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2023 R</w:t>
            </w:r>
          </w:p>
        </w:tc>
        <w:tc>
          <w:tcPr>
            <w:tcW w:w="584" w:type="pct"/>
            <w:tcBorders>
              <w:top w:val="single" w:sz="4" w:space="0" w:color="auto"/>
              <w:left w:val="nil"/>
              <w:bottom w:val="single" w:sz="4" w:space="0" w:color="auto"/>
              <w:right w:val="nil"/>
            </w:tcBorders>
            <w:shd w:val="clear" w:color="auto" w:fill="auto"/>
            <w:noWrap/>
            <w:vAlign w:val="center"/>
            <w:hideMark/>
          </w:tcPr>
          <w:p w14:paraId="2B9536F2"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2023 OS</w:t>
            </w:r>
          </w:p>
        </w:tc>
        <w:tc>
          <w:tcPr>
            <w:tcW w:w="584" w:type="pct"/>
            <w:tcBorders>
              <w:top w:val="single" w:sz="4" w:space="0" w:color="auto"/>
              <w:left w:val="nil"/>
              <w:bottom w:val="single" w:sz="4" w:space="0" w:color="auto"/>
              <w:right w:val="nil"/>
            </w:tcBorders>
            <w:shd w:val="clear" w:color="auto" w:fill="auto"/>
            <w:noWrap/>
            <w:vAlign w:val="center"/>
            <w:hideMark/>
          </w:tcPr>
          <w:p w14:paraId="1669A188"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2024 N</w:t>
            </w:r>
          </w:p>
        </w:tc>
        <w:tc>
          <w:tcPr>
            <w:tcW w:w="584" w:type="pct"/>
            <w:tcBorders>
              <w:top w:val="single" w:sz="4" w:space="0" w:color="auto"/>
              <w:left w:val="nil"/>
              <w:bottom w:val="single" w:sz="4" w:space="0" w:color="auto"/>
              <w:right w:val="nil"/>
            </w:tcBorders>
            <w:shd w:val="clear" w:color="auto" w:fill="auto"/>
            <w:noWrap/>
            <w:vAlign w:val="center"/>
            <w:hideMark/>
          </w:tcPr>
          <w:p w14:paraId="6D669A0C"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2025 N</w:t>
            </w:r>
          </w:p>
        </w:tc>
        <w:tc>
          <w:tcPr>
            <w:tcW w:w="584" w:type="pct"/>
            <w:tcBorders>
              <w:top w:val="single" w:sz="4" w:space="0" w:color="auto"/>
              <w:left w:val="nil"/>
              <w:bottom w:val="single" w:sz="4" w:space="0" w:color="auto"/>
              <w:right w:val="nil"/>
            </w:tcBorders>
            <w:shd w:val="clear" w:color="auto" w:fill="auto"/>
            <w:noWrap/>
            <w:vAlign w:val="center"/>
            <w:hideMark/>
          </w:tcPr>
          <w:p w14:paraId="1430AEAE"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2026 N</w:t>
            </w:r>
          </w:p>
        </w:tc>
      </w:tr>
      <w:tr w:rsidR="00E64517" w:rsidRPr="00E64517" w14:paraId="6ACB3781" w14:textId="77777777" w:rsidTr="00B63F1A">
        <w:trPr>
          <w:trHeight w:val="289"/>
        </w:trPr>
        <w:tc>
          <w:tcPr>
            <w:tcW w:w="914" w:type="pct"/>
            <w:tcBorders>
              <w:top w:val="nil"/>
              <w:left w:val="nil"/>
              <w:bottom w:val="nil"/>
              <w:right w:val="nil"/>
            </w:tcBorders>
            <w:shd w:val="clear" w:color="auto" w:fill="auto"/>
            <w:noWrap/>
            <w:vAlign w:val="center"/>
            <w:hideMark/>
          </w:tcPr>
          <w:p w14:paraId="57EDAAFC" w14:textId="77777777" w:rsidR="00E64517" w:rsidRPr="00E64517" w:rsidRDefault="00E64517" w:rsidP="00E64517">
            <w:pPr>
              <w:spacing w:after="0" w:line="240" w:lineRule="auto"/>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Spolu</w:t>
            </w:r>
          </w:p>
        </w:tc>
        <w:tc>
          <w:tcPr>
            <w:tcW w:w="584" w:type="pct"/>
            <w:tcBorders>
              <w:top w:val="nil"/>
              <w:left w:val="nil"/>
              <w:bottom w:val="nil"/>
              <w:right w:val="nil"/>
            </w:tcBorders>
            <w:shd w:val="clear" w:color="auto" w:fill="auto"/>
            <w:noWrap/>
            <w:vAlign w:val="center"/>
            <w:hideMark/>
          </w:tcPr>
          <w:p w14:paraId="53C57351"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2 564 119</w:t>
            </w:r>
          </w:p>
        </w:tc>
        <w:tc>
          <w:tcPr>
            <w:tcW w:w="584" w:type="pct"/>
            <w:tcBorders>
              <w:top w:val="nil"/>
              <w:left w:val="nil"/>
              <w:bottom w:val="nil"/>
              <w:right w:val="nil"/>
            </w:tcBorders>
            <w:shd w:val="clear" w:color="auto" w:fill="auto"/>
            <w:noWrap/>
            <w:vAlign w:val="center"/>
            <w:hideMark/>
          </w:tcPr>
          <w:p w14:paraId="58E5C83C"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3 654 512</w:t>
            </w:r>
          </w:p>
        </w:tc>
        <w:tc>
          <w:tcPr>
            <w:tcW w:w="584" w:type="pct"/>
            <w:tcBorders>
              <w:top w:val="nil"/>
              <w:left w:val="nil"/>
              <w:bottom w:val="nil"/>
              <w:right w:val="nil"/>
            </w:tcBorders>
            <w:shd w:val="clear" w:color="auto" w:fill="auto"/>
            <w:noWrap/>
            <w:vAlign w:val="center"/>
            <w:hideMark/>
          </w:tcPr>
          <w:p w14:paraId="023F8F86"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2 703 090</w:t>
            </w:r>
          </w:p>
        </w:tc>
        <w:tc>
          <w:tcPr>
            <w:tcW w:w="584" w:type="pct"/>
            <w:tcBorders>
              <w:top w:val="nil"/>
              <w:left w:val="nil"/>
              <w:bottom w:val="nil"/>
              <w:right w:val="nil"/>
            </w:tcBorders>
            <w:shd w:val="clear" w:color="auto" w:fill="auto"/>
            <w:noWrap/>
            <w:vAlign w:val="center"/>
            <w:hideMark/>
          </w:tcPr>
          <w:p w14:paraId="5B71C678"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1 798 877</w:t>
            </w:r>
          </w:p>
        </w:tc>
        <w:tc>
          <w:tcPr>
            <w:tcW w:w="584" w:type="pct"/>
            <w:tcBorders>
              <w:top w:val="nil"/>
              <w:left w:val="nil"/>
              <w:bottom w:val="nil"/>
              <w:right w:val="nil"/>
            </w:tcBorders>
            <w:shd w:val="clear" w:color="auto" w:fill="auto"/>
            <w:noWrap/>
            <w:vAlign w:val="center"/>
            <w:hideMark/>
          </w:tcPr>
          <w:p w14:paraId="36D7CBAE"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2 561 310</w:t>
            </w:r>
          </w:p>
        </w:tc>
        <w:tc>
          <w:tcPr>
            <w:tcW w:w="584" w:type="pct"/>
            <w:tcBorders>
              <w:top w:val="nil"/>
              <w:left w:val="nil"/>
              <w:bottom w:val="nil"/>
              <w:right w:val="nil"/>
            </w:tcBorders>
            <w:shd w:val="clear" w:color="auto" w:fill="auto"/>
            <w:noWrap/>
            <w:vAlign w:val="center"/>
            <w:hideMark/>
          </w:tcPr>
          <w:p w14:paraId="0FAD93C7"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2 921 304</w:t>
            </w:r>
          </w:p>
        </w:tc>
        <w:tc>
          <w:tcPr>
            <w:tcW w:w="584" w:type="pct"/>
            <w:tcBorders>
              <w:top w:val="nil"/>
              <w:left w:val="nil"/>
              <w:bottom w:val="nil"/>
              <w:right w:val="nil"/>
            </w:tcBorders>
            <w:shd w:val="clear" w:color="auto" w:fill="auto"/>
            <w:noWrap/>
            <w:vAlign w:val="center"/>
            <w:hideMark/>
          </w:tcPr>
          <w:p w14:paraId="110AEA4D" w14:textId="77777777" w:rsidR="00E64517" w:rsidRPr="00E64517" w:rsidRDefault="00E64517" w:rsidP="00E64517">
            <w:pPr>
              <w:spacing w:after="0" w:line="240" w:lineRule="auto"/>
              <w:jc w:val="right"/>
              <w:rPr>
                <w:rFonts w:ascii="Times New Roman" w:eastAsia="Times New Roman" w:hAnsi="Times New Roman" w:cs="Times New Roman"/>
                <w:b/>
                <w:bCs/>
                <w:color w:val="000000"/>
                <w:sz w:val="16"/>
                <w:szCs w:val="16"/>
                <w:lang w:eastAsia="sk-SK"/>
              </w:rPr>
            </w:pPr>
            <w:r w:rsidRPr="00E64517">
              <w:rPr>
                <w:rFonts w:ascii="Times New Roman" w:eastAsia="Times New Roman" w:hAnsi="Times New Roman" w:cs="Times New Roman"/>
                <w:b/>
                <w:bCs/>
                <w:color w:val="000000"/>
                <w:sz w:val="16"/>
                <w:szCs w:val="16"/>
                <w:lang w:eastAsia="sk-SK"/>
              </w:rPr>
              <w:t>3 290 660</w:t>
            </w:r>
          </w:p>
        </w:tc>
      </w:tr>
      <w:tr w:rsidR="00E64517" w:rsidRPr="00E64517" w14:paraId="1336ED70" w14:textId="77777777" w:rsidTr="00B63F1A">
        <w:trPr>
          <w:trHeight w:val="289"/>
        </w:trPr>
        <w:tc>
          <w:tcPr>
            <w:tcW w:w="914" w:type="pct"/>
            <w:tcBorders>
              <w:top w:val="nil"/>
              <w:left w:val="nil"/>
              <w:bottom w:val="nil"/>
              <w:right w:val="nil"/>
            </w:tcBorders>
            <w:shd w:val="clear" w:color="auto" w:fill="auto"/>
            <w:noWrap/>
            <w:vAlign w:val="center"/>
            <w:hideMark/>
          </w:tcPr>
          <w:p w14:paraId="111D3E29" w14:textId="77777777" w:rsidR="00E64517" w:rsidRPr="00E64517" w:rsidRDefault="00E64517" w:rsidP="00E64517">
            <w:pPr>
              <w:spacing w:after="0" w:line="240" w:lineRule="auto"/>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Daňové príjmy</w:t>
            </w:r>
          </w:p>
        </w:tc>
        <w:tc>
          <w:tcPr>
            <w:tcW w:w="584" w:type="pct"/>
            <w:tcBorders>
              <w:top w:val="nil"/>
              <w:left w:val="nil"/>
              <w:bottom w:val="nil"/>
              <w:right w:val="nil"/>
            </w:tcBorders>
            <w:shd w:val="clear" w:color="auto" w:fill="auto"/>
            <w:noWrap/>
            <w:vAlign w:val="center"/>
            <w:hideMark/>
          </w:tcPr>
          <w:p w14:paraId="29E66CC2"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476 912</w:t>
            </w:r>
          </w:p>
        </w:tc>
        <w:tc>
          <w:tcPr>
            <w:tcW w:w="584" w:type="pct"/>
            <w:tcBorders>
              <w:top w:val="nil"/>
              <w:left w:val="nil"/>
              <w:bottom w:val="nil"/>
              <w:right w:val="nil"/>
            </w:tcBorders>
            <w:shd w:val="clear" w:color="auto" w:fill="auto"/>
            <w:noWrap/>
            <w:vAlign w:val="center"/>
            <w:hideMark/>
          </w:tcPr>
          <w:p w14:paraId="07E71B5B"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501 165</w:t>
            </w:r>
          </w:p>
        </w:tc>
        <w:tc>
          <w:tcPr>
            <w:tcW w:w="584" w:type="pct"/>
            <w:tcBorders>
              <w:top w:val="nil"/>
              <w:left w:val="nil"/>
              <w:bottom w:val="nil"/>
              <w:right w:val="nil"/>
            </w:tcBorders>
            <w:shd w:val="clear" w:color="auto" w:fill="auto"/>
            <w:noWrap/>
            <w:vAlign w:val="center"/>
            <w:hideMark/>
          </w:tcPr>
          <w:p w14:paraId="48113379"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488 235</w:t>
            </w:r>
          </w:p>
        </w:tc>
        <w:tc>
          <w:tcPr>
            <w:tcW w:w="584" w:type="pct"/>
            <w:tcBorders>
              <w:top w:val="nil"/>
              <w:left w:val="nil"/>
              <w:bottom w:val="nil"/>
              <w:right w:val="nil"/>
            </w:tcBorders>
            <w:shd w:val="clear" w:color="auto" w:fill="auto"/>
            <w:noWrap/>
            <w:vAlign w:val="center"/>
            <w:hideMark/>
          </w:tcPr>
          <w:p w14:paraId="56F07263"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488 235</w:t>
            </w:r>
          </w:p>
        </w:tc>
        <w:tc>
          <w:tcPr>
            <w:tcW w:w="584" w:type="pct"/>
            <w:tcBorders>
              <w:top w:val="nil"/>
              <w:left w:val="nil"/>
              <w:bottom w:val="nil"/>
              <w:right w:val="nil"/>
            </w:tcBorders>
            <w:shd w:val="clear" w:color="auto" w:fill="auto"/>
            <w:noWrap/>
            <w:vAlign w:val="center"/>
            <w:hideMark/>
          </w:tcPr>
          <w:p w14:paraId="61611A1A"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562 414</w:t>
            </w:r>
          </w:p>
        </w:tc>
        <w:tc>
          <w:tcPr>
            <w:tcW w:w="584" w:type="pct"/>
            <w:tcBorders>
              <w:top w:val="nil"/>
              <w:left w:val="nil"/>
              <w:bottom w:val="nil"/>
              <w:right w:val="nil"/>
            </w:tcBorders>
            <w:shd w:val="clear" w:color="auto" w:fill="auto"/>
            <w:noWrap/>
            <w:vAlign w:val="center"/>
            <w:hideMark/>
          </w:tcPr>
          <w:p w14:paraId="653344FD"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577 118</w:t>
            </w:r>
          </w:p>
        </w:tc>
        <w:tc>
          <w:tcPr>
            <w:tcW w:w="584" w:type="pct"/>
            <w:tcBorders>
              <w:top w:val="nil"/>
              <w:left w:val="nil"/>
              <w:bottom w:val="nil"/>
              <w:right w:val="nil"/>
            </w:tcBorders>
            <w:shd w:val="clear" w:color="auto" w:fill="auto"/>
            <w:noWrap/>
            <w:vAlign w:val="center"/>
            <w:hideMark/>
          </w:tcPr>
          <w:p w14:paraId="7AEA8D2D"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592 440</w:t>
            </w:r>
          </w:p>
        </w:tc>
      </w:tr>
      <w:tr w:rsidR="00E64517" w:rsidRPr="00E64517" w14:paraId="7BD71857" w14:textId="77777777" w:rsidTr="00B63F1A">
        <w:trPr>
          <w:trHeight w:val="289"/>
        </w:trPr>
        <w:tc>
          <w:tcPr>
            <w:tcW w:w="914" w:type="pct"/>
            <w:tcBorders>
              <w:top w:val="nil"/>
              <w:left w:val="nil"/>
              <w:bottom w:val="nil"/>
              <w:right w:val="nil"/>
            </w:tcBorders>
            <w:shd w:val="clear" w:color="auto" w:fill="auto"/>
            <w:noWrap/>
            <w:vAlign w:val="center"/>
            <w:hideMark/>
          </w:tcPr>
          <w:p w14:paraId="3D3F9F5B" w14:textId="77777777" w:rsidR="00E64517" w:rsidRPr="00E64517" w:rsidRDefault="00E64517" w:rsidP="00E64517">
            <w:pPr>
              <w:spacing w:after="0" w:line="240" w:lineRule="auto"/>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Nedaňové príjmy</w:t>
            </w:r>
          </w:p>
        </w:tc>
        <w:tc>
          <w:tcPr>
            <w:tcW w:w="584" w:type="pct"/>
            <w:tcBorders>
              <w:top w:val="nil"/>
              <w:left w:val="nil"/>
              <w:bottom w:val="nil"/>
              <w:right w:val="nil"/>
            </w:tcBorders>
            <w:shd w:val="clear" w:color="auto" w:fill="auto"/>
            <w:noWrap/>
            <w:vAlign w:val="center"/>
            <w:hideMark/>
          </w:tcPr>
          <w:p w14:paraId="4CD12C57"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635 540</w:t>
            </w:r>
          </w:p>
        </w:tc>
        <w:tc>
          <w:tcPr>
            <w:tcW w:w="584" w:type="pct"/>
            <w:tcBorders>
              <w:top w:val="nil"/>
              <w:left w:val="nil"/>
              <w:bottom w:val="nil"/>
              <w:right w:val="nil"/>
            </w:tcBorders>
            <w:shd w:val="clear" w:color="auto" w:fill="auto"/>
            <w:noWrap/>
            <w:vAlign w:val="center"/>
            <w:hideMark/>
          </w:tcPr>
          <w:p w14:paraId="0F9EEDFC"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421 002</w:t>
            </w:r>
          </w:p>
        </w:tc>
        <w:tc>
          <w:tcPr>
            <w:tcW w:w="584" w:type="pct"/>
            <w:tcBorders>
              <w:top w:val="nil"/>
              <w:left w:val="nil"/>
              <w:bottom w:val="nil"/>
              <w:right w:val="nil"/>
            </w:tcBorders>
            <w:shd w:val="clear" w:color="auto" w:fill="auto"/>
            <w:noWrap/>
            <w:vAlign w:val="center"/>
            <w:hideMark/>
          </w:tcPr>
          <w:p w14:paraId="5F1C90FF"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31 868</w:t>
            </w:r>
          </w:p>
        </w:tc>
        <w:tc>
          <w:tcPr>
            <w:tcW w:w="584" w:type="pct"/>
            <w:tcBorders>
              <w:top w:val="nil"/>
              <w:left w:val="nil"/>
              <w:bottom w:val="nil"/>
              <w:right w:val="nil"/>
            </w:tcBorders>
            <w:shd w:val="clear" w:color="auto" w:fill="auto"/>
            <w:noWrap/>
            <w:vAlign w:val="center"/>
            <w:hideMark/>
          </w:tcPr>
          <w:p w14:paraId="65F3662B"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31 868</w:t>
            </w:r>
          </w:p>
        </w:tc>
        <w:tc>
          <w:tcPr>
            <w:tcW w:w="584" w:type="pct"/>
            <w:tcBorders>
              <w:top w:val="nil"/>
              <w:left w:val="nil"/>
              <w:bottom w:val="nil"/>
              <w:right w:val="nil"/>
            </w:tcBorders>
            <w:shd w:val="clear" w:color="auto" w:fill="auto"/>
            <w:noWrap/>
            <w:vAlign w:val="center"/>
            <w:hideMark/>
          </w:tcPr>
          <w:p w14:paraId="45A3702A"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569 084</w:t>
            </w:r>
          </w:p>
        </w:tc>
        <w:tc>
          <w:tcPr>
            <w:tcW w:w="584" w:type="pct"/>
            <w:tcBorders>
              <w:top w:val="nil"/>
              <w:left w:val="nil"/>
              <w:bottom w:val="nil"/>
              <w:right w:val="nil"/>
            </w:tcBorders>
            <w:shd w:val="clear" w:color="auto" w:fill="auto"/>
            <w:noWrap/>
            <w:vAlign w:val="center"/>
            <w:hideMark/>
          </w:tcPr>
          <w:p w14:paraId="2A12CE5B"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511 500</w:t>
            </w:r>
          </w:p>
        </w:tc>
        <w:tc>
          <w:tcPr>
            <w:tcW w:w="584" w:type="pct"/>
            <w:tcBorders>
              <w:top w:val="nil"/>
              <w:left w:val="nil"/>
              <w:bottom w:val="nil"/>
              <w:right w:val="nil"/>
            </w:tcBorders>
            <w:shd w:val="clear" w:color="auto" w:fill="auto"/>
            <w:noWrap/>
            <w:vAlign w:val="center"/>
            <w:hideMark/>
          </w:tcPr>
          <w:p w14:paraId="2E833D65"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469 480</w:t>
            </w:r>
          </w:p>
        </w:tc>
      </w:tr>
      <w:tr w:rsidR="00E64517" w:rsidRPr="00E64517" w14:paraId="5E4F2E41" w14:textId="77777777" w:rsidTr="00B63F1A">
        <w:trPr>
          <w:trHeight w:val="289"/>
        </w:trPr>
        <w:tc>
          <w:tcPr>
            <w:tcW w:w="914" w:type="pct"/>
            <w:tcBorders>
              <w:top w:val="nil"/>
              <w:left w:val="nil"/>
              <w:bottom w:val="nil"/>
              <w:right w:val="nil"/>
            </w:tcBorders>
            <w:shd w:val="clear" w:color="auto" w:fill="auto"/>
            <w:noWrap/>
            <w:vAlign w:val="center"/>
            <w:hideMark/>
          </w:tcPr>
          <w:p w14:paraId="05CDBAD8" w14:textId="77777777" w:rsidR="00E64517" w:rsidRPr="00E64517" w:rsidRDefault="00E64517" w:rsidP="00E64517">
            <w:pPr>
              <w:spacing w:after="0" w:line="240" w:lineRule="auto"/>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Granty a transfery</w:t>
            </w:r>
          </w:p>
        </w:tc>
        <w:tc>
          <w:tcPr>
            <w:tcW w:w="584" w:type="pct"/>
            <w:tcBorders>
              <w:top w:val="nil"/>
              <w:left w:val="nil"/>
              <w:bottom w:val="nil"/>
              <w:right w:val="nil"/>
            </w:tcBorders>
            <w:shd w:val="clear" w:color="auto" w:fill="auto"/>
            <w:noWrap/>
            <w:vAlign w:val="center"/>
            <w:hideMark/>
          </w:tcPr>
          <w:p w14:paraId="4085A00C"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941 309</w:t>
            </w:r>
          </w:p>
        </w:tc>
        <w:tc>
          <w:tcPr>
            <w:tcW w:w="584" w:type="pct"/>
            <w:tcBorders>
              <w:top w:val="nil"/>
              <w:left w:val="nil"/>
              <w:bottom w:val="nil"/>
              <w:right w:val="nil"/>
            </w:tcBorders>
            <w:shd w:val="clear" w:color="auto" w:fill="auto"/>
            <w:noWrap/>
            <w:vAlign w:val="center"/>
            <w:hideMark/>
          </w:tcPr>
          <w:p w14:paraId="6159D34F"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2 180 518</w:t>
            </w:r>
          </w:p>
        </w:tc>
        <w:tc>
          <w:tcPr>
            <w:tcW w:w="584" w:type="pct"/>
            <w:tcBorders>
              <w:top w:val="nil"/>
              <w:left w:val="nil"/>
              <w:bottom w:val="nil"/>
              <w:right w:val="nil"/>
            </w:tcBorders>
            <w:shd w:val="clear" w:color="auto" w:fill="auto"/>
            <w:noWrap/>
            <w:vAlign w:val="center"/>
            <w:hideMark/>
          </w:tcPr>
          <w:p w14:paraId="4E0C6D91"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2 182 987</w:t>
            </w:r>
          </w:p>
        </w:tc>
        <w:tc>
          <w:tcPr>
            <w:tcW w:w="584" w:type="pct"/>
            <w:tcBorders>
              <w:top w:val="nil"/>
              <w:left w:val="nil"/>
              <w:bottom w:val="nil"/>
              <w:right w:val="nil"/>
            </w:tcBorders>
            <w:shd w:val="clear" w:color="auto" w:fill="auto"/>
            <w:noWrap/>
            <w:vAlign w:val="center"/>
            <w:hideMark/>
          </w:tcPr>
          <w:p w14:paraId="4DD434C8"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1 278 774</w:t>
            </w:r>
          </w:p>
        </w:tc>
        <w:tc>
          <w:tcPr>
            <w:tcW w:w="584" w:type="pct"/>
            <w:tcBorders>
              <w:top w:val="nil"/>
              <w:left w:val="nil"/>
              <w:bottom w:val="nil"/>
              <w:right w:val="nil"/>
            </w:tcBorders>
            <w:shd w:val="clear" w:color="auto" w:fill="auto"/>
            <w:noWrap/>
            <w:vAlign w:val="center"/>
            <w:hideMark/>
          </w:tcPr>
          <w:p w14:paraId="60F9C614"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1 429 812</w:t>
            </w:r>
          </w:p>
        </w:tc>
        <w:tc>
          <w:tcPr>
            <w:tcW w:w="584" w:type="pct"/>
            <w:tcBorders>
              <w:top w:val="nil"/>
              <w:left w:val="nil"/>
              <w:bottom w:val="nil"/>
              <w:right w:val="nil"/>
            </w:tcBorders>
            <w:shd w:val="clear" w:color="auto" w:fill="auto"/>
            <w:noWrap/>
            <w:vAlign w:val="center"/>
            <w:hideMark/>
          </w:tcPr>
          <w:p w14:paraId="6930DCE8"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1 832 686</w:t>
            </w:r>
          </w:p>
        </w:tc>
        <w:tc>
          <w:tcPr>
            <w:tcW w:w="584" w:type="pct"/>
            <w:tcBorders>
              <w:top w:val="nil"/>
              <w:left w:val="nil"/>
              <w:bottom w:val="nil"/>
              <w:right w:val="nil"/>
            </w:tcBorders>
            <w:shd w:val="clear" w:color="auto" w:fill="auto"/>
            <w:noWrap/>
            <w:vAlign w:val="center"/>
            <w:hideMark/>
          </w:tcPr>
          <w:p w14:paraId="1297A2DA"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2 228 740</w:t>
            </w:r>
          </w:p>
        </w:tc>
      </w:tr>
      <w:tr w:rsidR="00E64517" w:rsidRPr="00E64517" w14:paraId="0BD12A87" w14:textId="77777777" w:rsidTr="00B63F1A">
        <w:trPr>
          <w:trHeight w:val="289"/>
        </w:trPr>
        <w:tc>
          <w:tcPr>
            <w:tcW w:w="914" w:type="pct"/>
            <w:tcBorders>
              <w:top w:val="nil"/>
              <w:left w:val="nil"/>
              <w:bottom w:val="single" w:sz="4" w:space="0" w:color="auto"/>
              <w:right w:val="nil"/>
            </w:tcBorders>
            <w:shd w:val="clear" w:color="auto" w:fill="auto"/>
            <w:noWrap/>
            <w:vAlign w:val="center"/>
            <w:hideMark/>
          </w:tcPr>
          <w:p w14:paraId="1EAE6223" w14:textId="77777777" w:rsidR="00E64517" w:rsidRPr="00E64517" w:rsidRDefault="00E64517" w:rsidP="00E64517">
            <w:pPr>
              <w:spacing w:after="0" w:line="240" w:lineRule="auto"/>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Prevodové položky</w:t>
            </w:r>
          </w:p>
        </w:tc>
        <w:tc>
          <w:tcPr>
            <w:tcW w:w="584" w:type="pct"/>
            <w:tcBorders>
              <w:top w:val="nil"/>
              <w:left w:val="nil"/>
              <w:bottom w:val="single" w:sz="4" w:space="0" w:color="auto"/>
              <w:right w:val="nil"/>
            </w:tcBorders>
            <w:shd w:val="clear" w:color="auto" w:fill="auto"/>
            <w:noWrap/>
            <w:vAlign w:val="center"/>
            <w:hideMark/>
          </w:tcPr>
          <w:p w14:paraId="22F7891F"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510 358</w:t>
            </w:r>
          </w:p>
        </w:tc>
        <w:tc>
          <w:tcPr>
            <w:tcW w:w="584" w:type="pct"/>
            <w:tcBorders>
              <w:top w:val="nil"/>
              <w:left w:val="nil"/>
              <w:bottom w:val="single" w:sz="4" w:space="0" w:color="auto"/>
              <w:right w:val="nil"/>
            </w:tcBorders>
            <w:shd w:val="clear" w:color="auto" w:fill="auto"/>
            <w:noWrap/>
            <w:vAlign w:val="center"/>
            <w:hideMark/>
          </w:tcPr>
          <w:p w14:paraId="0D542AC7"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551 827</w:t>
            </w:r>
          </w:p>
        </w:tc>
        <w:tc>
          <w:tcPr>
            <w:tcW w:w="584" w:type="pct"/>
            <w:tcBorders>
              <w:top w:val="nil"/>
              <w:left w:val="nil"/>
              <w:bottom w:val="single" w:sz="4" w:space="0" w:color="auto"/>
              <w:right w:val="nil"/>
            </w:tcBorders>
            <w:shd w:val="clear" w:color="auto" w:fill="auto"/>
            <w:noWrap/>
            <w:vAlign w:val="center"/>
            <w:hideMark/>
          </w:tcPr>
          <w:p w14:paraId="70F9D6D4"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0</w:t>
            </w:r>
          </w:p>
        </w:tc>
        <w:tc>
          <w:tcPr>
            <w:tcW w:w="584" w:type="pct"/>
            <w:tcBorders>
              <w:top w:val="nil"/>
              <w:left w:val="nil"/>
              <w:bottom w:val="single" w:sz="4" w:space="0" w:color="auto"/>
              <w:right w:val="nil"/>
            </w:tcBorders>
            <w:shd w:val="clear" w:color="auto" w:fill="auto"/>
            <w:noWrap/>
            <w:vAlign w:val="center"/>
            <w:hideMark/>
          </w:tcPr>
          <w:p w14:paraId="3BB3683F"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0</w:t>
            </w:r>
          </w:p>
        </w:tc>
        <w:tc>
          <w:tcPr>
            <w:tcW w:w="584" w:type="pct"/>
            <w:tcBorders>
              <w:top w:val="nil"/>
              <w:left w:val="nil"/>
              <w:bottom w:val="single" w:sz="4" w:space="0" w:color="auto"/>
              <w:right w:val="nil"/>
            </w:tcBorders>
            <w:shd w:val="clear" w:color="auto" w:fill="auto"/>
            <w:noWrap/>
            <w:vAlign w:val="center"/>
            <w:hideMark/>
          </w:tcPr>
          <w:p w14:paraId="6CB2FBA5"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0</w:t>
            </w:r>
          </w:p>
        </w:tc>
        <w:tc>
          <w:tcPr>
            <w:tcW w:w="584" w:type="pct"/>
            <w:tcBorders>
              <w:top w:val="nil"/>
              <w:left w:val="nil"/>
              <w:bottom w:val="single" w:sz="4" w:space="0" w:color="auto"/>
              <w:right w:val="nil"/>
            </w:tcBorders>
            <w:shd w:val="clear" w:color="auto" w:fill="auto"/>
            <w:noWrap/>
            <w:vAlign w:val="center"/>
            <w:hideMark/>
          </w:tcPr>
          <w:p w14:paraId="296CE314"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0</w:t>
            </w:r>
          </w:p>
        </w:tc>
        <w:tc>
          <w:tcPr>
            <w:tcW w:w="584" w:type="pct"/>
            <w:tcBorders>
              <w:top w:val="nil"/>
              <w:left w:val="nil"/>
              <w:bottom w:val="single" w:sz="4" w:space="0" w:color="auto"/>
              <w:right w:val="nil"/>
            </w:tcBorders>
            <w:shd w:val="clear" w:color="auto" w:fill="auto"/>
            <w:noWrap/>
            <w:vAlign w:val="center"/>
            <w:hideMark/>
          </w:tcPr>
          <w:p w14:paraId="51502CBD" w14:textId="77777777" w:rsidR="00E64517" w:rsidRPr="00E64517" w:rsidRDefault="00E64517" w:rsidP="00E64517">
            <w:pPr>
              <w:spacing w:after="0" w:line="240" w:lineRule="auto"/>
              <w:jc w:val="right"/>
              <w:rPr>
                <w:rFonts w:ascii="Times New Roman" w:eastAsia="Times New Roman" w:hAnsi="Times New Roman" w:cs="Times New Roman"/>
                <w:color w:val="000000"/>
                <w:sz w:val="16"/>
                <w:szCs w:val="16"/>
                <w:lang w:eastAsia="sk-SK"/>
              </w:rPr>
            </w:pPr>
            <w:r w:rsidRPr="00E64517">
              <w:rPr>
                <w:rFonts w:ascii="Times New Roman" w:eastAsia="Times New Roman" w:hAnsi="Times New Roman" w:cs="Times New Roman"/>
                <w:color w:val="000000"/>
                <w:sz w:val="16"/>
                <w:szCs w:val="16"/>
                <w:lang w:eastAsia="sk-SK"/>
              </w:rPr>
              <w:t>0</w:t>
            </w:r>
          </w:p>
        </w:tc>
      </w:tr>
    </w:tbl>
    <w:p w14:paraId="725924AD" w14:textId="77777777" w:rsidR="00E64517" w:rsidRPr="00E64517" w:rsidRDefault="00E64517" w:rsidP="00E64517">
      <w:pPr>
        <w:spacing w:after="0"/>
        <w:rPr>
          <w:rFonts w:ascii="Times New Roman" w:eastAsia="Calibri" w:hAnsi="Times New Roman" w:cs="Times New Roman"/>
          <w:i/>
        </w:rPr>
      </w:pPr>
      <w:r w:rsidRPr="00E64517">
        <w:rPr>
          <w:rFonts w:ascii="Times New Roman" w:eastAsia="Calibri" w:hAnsi="Times New Roman" w:cs="Times New Roman"/>
          <w:sz w:val="16"/>
          <w:szCs w:val="16"/>
        </w:rPr>
        <w:t xml:space="preserve">     </w:t>
      </w:r>
      <w:r w:rsidRPr="00E64517">
        <w:rPr>
          <w:rFonts w:ascii="Times New Roman" w:eastAsia="Calibri" w:hAnsi="Times New Roman" w:cs="Times New Roman"/>
          <w:sz w:val="16"/>
          <w:szCs w:val="16"/>
        </w:rPr>
        <w:tab/>
      </w:r>
      <w:r w:rsidRPr="00E64517">
        <w:rPr>
          <w:rFonts w:ascii="Times New Roman" w:eastAsia="Calibri" w:hAnsi="Times New Roman" w:cs="Times New Roman"/>
          <w:sz w:val="16"/>
          <w:szCs w:val="16"/>
        </w:rPr>
        <w:tab/>
      </w:r>
      <w:r w:rsidRPr="00E64517">
        <w:rPr>
          <w:rFonts w:ascii="Times New Roman" w:eastAsia="Calibri" w:hAnsi="Times New Roman" w:cs="Times New Roman"/>
          <w:sz w:val="16"/>
          <w:szCs w:val="16"/>
        </w:rPr>
        <w:tab/>
      </w:r>
      <w:r w:rsidRPr="00E64517">
        <w:rPr>
          <w:rFonts w:ascii="Times New Roman" w:eastAsia="Calibri" w:hAnsi="Times New Roman" w:cs="Times New Roman"/>
          <w:sz w:val="16"/>
          <w:szCs w:val="16"/>
        </w:rPr>
        <w:tab/>
      </w:r>
      <w:r w:rsidRPr="00E64517">
        <w:rPr>
          <w:rFonts w:ascii="Times New Roman" w:eastAsia="Calibri" w:hAnsi="Times New Roman" w:cs="Times New Roman"/>
          <w:sz w:val="16"/>
          <w:szCs w:val="16"/>
        </w:rPr>
        <w:tab/>
      </w:r>
      <w:r w:rsidRPr="00E64517">
        <w:rPr>
          <w:rFonts w:ascii="Times New Roman" w:eastAsia="Calibri" w:hAnsi="Times New Roman" w:cs="Times New Roman"/>
          <w:sz w:val="16"/>
          <w:szCs w:val="16"/>
        </w:rPr>
        <w:tab/>
      </w:r>
      <w:r w:rsidRPr="00E64517">
        <w:rPr>
          <w:rFonts w:ascii="Times New Roman" w:eastAsia="Calibri" w:hAnsi="Times New Roman" w:cs="Times New Roman"/>
          <w:sz w:val="16"/>
          <w:szCs w:val="16"/>
        </w:rPr>
        <w:tab/>
      </w:r>
      <w:r w:rsidRPr="00E64517">
        <w:rPr>
          <w:rFonts w:ascii="Times New Roman" w:eastAsia="Calibri" w:hAnsi="Times New Roman" w:cs="Times New Roman"/>
          <w:sz w:val="16"/>
          <w:szCs w:val="16"/>
        </w:rPr>
        <w:tab/>
      </w:r>
      <w:r w:rsidRPr="00E64517">
        <w:rPr>
          <w:rFonts w:ascii="Times New Roman" w:eastAsia="Calibri" w:hAnsi="Times New Roman" w:cs="Times New Roman"/>
          <w:sz w:val="16"/>
          <w:szCs w:val="16"/>
        </w:rPr>
        <w:tab/>
      </w:r>
      <w:r w:rsidRPr="00E64517">
        <w:rPr>
          <w:rFonts w:ascii="Times New Roman" w:eastAsia="Calibri" w:hAnsi="Times New Roman" w:cs="Times New Roman"/>
          <w:sz w:val="16"/>
          <w:szCs w:val="16"/>
        </w:rPr>
        <w:tab/>
      </w:r>
      <w:r w:rsidRPr="00E64517">
        <w:rPr>
          <w:rFonts w:ascii="Times New Roman" w:eastAsia="Calibri" w:hAnsi="Times New Roman" w:cs="Times New Roman"/>
          <w:sz w:val="16"/>
          <w:szCs w:val="16"/>
        </w:rPr>
        <w:tab/>
      </w:r>
      <w:r w:rsidRPr="00E64517">
        <w:rPr>
          <w:rFonts w:ascii="Times New Roman" w:eastAsia="Calibri" w:hAnsi="Times New Roman" w:cs="Times New Roman"/>
          <w:i/>
          <w:sz w:val="16"/>
          <w:szCs w:val="16"/>
        </w:rPr>
        <w:t xml:space="preserve">        Zdroj: MF SR</w:t>
      </w:r>
    </w:p>
    <w:p w14:paraId="60E1046C" w14:textId="77777777" w:rsidR="00E64517" w:rsidRPr="00E64517" w:rsidRDefault="00E64517" w:rsidP="00E64517">
      <w:pPr>
        <w:spacing w:after="0"/>
        <w:rPr>
          <w:rFonts w:ascii="Times New Roman" w:eastAsia="Calibri" w:hAnsi="Times New Roman" w:cs="Times New Roman"/>
          <w:sz w:val="24"/>
          <w:szCs w:val="24"/>
        </w:rPr>
      </w:pPr>
    </w:p>
    <w:p w14:paraId="33737B93" w14:textId="77777777" w:rsidR="00E64517" w:rsidRPr="00E64517" w:rsidRDefault="00E64517" w:rsidP="00E64517">
      <w:pPr>
        <w:spacing w:after="0"/>
        <w:jc w:val="both"/>
        <w:rPr>
          <w:rFonts w:ascii="Times New Roman" w:eastAsia="Calibri" w:hAnsi="Times New Roman" w:cs="Times New Roman"/>
          <w:sz w:val="24"/>
          <w:szCs w:val="24"/>
        </w:rPr>
      </w:pPr>
      <w:r w:rsidRPr="00E64517">
        <w:rPr>
          <w:rFonts w:ascii="Times New Roman" w:eastAsia="Calibri" w:hAnsi="Times New Roman" w:cs="Times New Roman"/>
          <w:sz w:val="24"/>
          <w:szCs w:val="24"/>
        </w:rPr>
        <w:t>V rámci daňových príjmov sú rozpočtované príjmy z poistenia na sociálne zabezpečenie ozbrojených zložiek (policajtov, hasičov, vojakov a colníkov) v príslušných kapitolách štátneho rozpočtu. Tieto príjmy z poistného nie sú podrobené hodnoteniu Výborom pre daňové prognózy. Na rok 2024 sa rozpočtujú daňové príjmy samostatných účtov štátnych rozpočtových organizácií vo výške 562 mil. eur.</w:t>
      </w:r>
    </w:p>
    <w:p w14:paraId="70589628" w14:textId="77777777" w:rsidR="00E64517" w:rsidRPr="00E64517" w:rsidRDefault="00E64517" w:rsidP="00E64517">
      <w:pPr>
        <w:spacing w:after="0"/>
        <w:jc w:val="both"/>
        <w:rPr>
          <w:rFonts w:ascii="Times New Roman" w:eastAsia="Calibri" w:hAnsi="Times New Roman" w:cs="Times New Roman"/>
          <w:sz w:val="24"/>
          <w:szCs w:val="24"/>
        </w:rPr>
      </w:pPr>
    </w:p>
    <w:p w14:paraId="118581FB" w14:textId="77777777" w:rsidR="00E64517" w:rsidRPr="00E64517" w:rsidRDefault="00E64517" w:rsidP="00E64517">
      <w:pPr>
        <w:spacing w:after="0"/>
        <w:jc w:val="both"/>
        <w:rPr>
          <w:rFonts w:ascii="Times New Roman" w:eastAsia="Calibri" w:hAnsi="Times New Roman" w:cs="Times New Roman"/>
          <w:sz w:val="24"/>
          <w:szCs w:val="24"/>
        </w:rPr>
      </w:pPr>
      <w:r w:rsidRPr="00E64517">
        <w:rPr>
          <w:rFonts w:ascii="Times New Roman" w:eastAsia="Calibri" w:hAnsi="Times New Roman" w:cs="Times New Roman"/>
          <w:sz w:val="24"/>
          <w:szCs w:val="24"/>
        </w:rPr>
        <w:t>Nedaňové príjmy sa rozpočtujú na úrovni 569 mil. eur a tvoria ich napríklad iné nedaňové príjmy kapitoly Ministerstva obrany SR vo výške 130 mil. eur, príjmy z predaja hmotných rezerv a mobilizačných rezerv v kapitole Správa štátnych hmotných rezerv vo výške 20,6 mil. eur a príjmy zo stravného vo výške 16,0 mil. eur, rozpočtované predovšetkým v kapitolách Ministerstva vnútra SR a Ministerstva škol</w:t>
      </w:r>
      <w:r w:rsidR="00FC3450">
        <w:rPr>
          <w:rFonts w:ascii="Times New Roman" w:eastAsia="Calibri" w:hAnsi="Times New Roman" w:cs="Times New Roman"/>
          <w:sz w:val="24"/>
          <w:szCs w:val="24"/>
        </w:rPr>
        <w:t xml:space="preserve">stva, vedy, výskumu a športu SR, ako aj metodickú zmenu zaznamenávania úrokových príjmov s cieľom zosúladenia dát s dosahovanou skutočnosťou. </w:t>
      </w:r>
    </w:p>
    <w:p w14:paraId="49D840FE" w14:textId="77777777" w:rsidR="00E64517" w:rsidRPr="00E64517" w:rsidRDefault="00E64517" w:rsidP="00E64517">
      <w:pPr>
        <w:spacing w:after="0"/>
        <w:jc w:val="both"/>
        <w:rPr>
          <w:rFonts w:ascii="Times New Roman" w:eastAsia="Calibri" w:hAnsi="Times New Roman" w:cs="Times New Roman"/>
          <w:sz w:val="24"/>
          <w:szCs w:val="24"/>
        </w:rPr>
      </w:pPr>
    </w:p>
    <w:p w14:paraId="08421CB4" w14:textId="77777777" w:rsidR="00E64517" w:rsidRPr="00E64517" w:rsidRDefault="00E64517" w:rsidP="00E64517">
      <w:pPr>
        <w:spacing w:after="0"/>
        <w:jc w:val="both"/>
        <w:rPr>
          <w:rFonts w:ascii="Times New Roman" w:eastAsia="Calibri" w:hAnsi="Times New Roman" w:cs="Times New Roman"/>
          <w:sz w:val="24"/>
          <w:szCs w:val="24"/>
        </w:rPr>
      </w:pPr>
      <w:r w:rsidRPr="00E64517">
        <w:rPr>
          <w:rFonts w:ascii="Times New Roman" w:eastAsia="Calibri" w:hAnsi="Times New Roman" w:cs="Times New Roman"/>
          <w:sz w:val="24"/>
          <w:szCs w:val="24"/>
        </w:rPr>
        <w:t>Granty a transfery sa rozpočtujú na úrovni 1,43 mld. eur, z čoho najväčší objem predstavuje transfer zo štátneho rozpočtu na Saldo účet štátneho dlhu vo výške 1,36 mld. eur.</w:t>
      </w:r>
    </w:p>
    <w:p w14:paraId="6B53E35B" w14:textId="77777777" w:rsidR="007771EE" w:rsidRDefault="007771EE" w:rsidP="00446DDA">
      <w:pPr>
        <w:spacing w:after="0"/>
        <w:jc w:val="both"/>
        <w:rPr>
          <w:rFonts w:ascii="Times New Roman" w:eastAsia="Calibri" w:hAnsi="Times New Roman" w:cs="Times New Roman"/>
          <w:sz w:val="24"/>
          <w:szCs w:val="24"/>
        </w:rPr>
      </w:pPr>
    </w:p>
    <w:p w14:paraId="0C45FC38" w14:textId="77777777" w:rsidR="0076063B" w:rsidRPr="0033660F" w:rsidRDefault="0086216A" w:rsidP="0033660F">
      <w:pPr>
        <w:pStyle w:val="Nadpis2"/>
        <w:spacing w:before="0" w:after="0"/>
        <w:rPr>
          <w:rFonts w:ascii="Times New Roman" w:eastAsia="Calibri" w:hAnsi="Times New Roman"/>
          <w:i w:val="0"/>
          <w:color w:val="5B9BD5" w:themeColor="accent1"/>
          <w:sz w:val="24"/>
          <w:szCs w:val="24"/>
        </w:rPr>
      </w:pPr>
      <w:bookmarkStart w:id="158" w:name="_Toc152946771"/>
      <w:r>
        <w:rPr>
          <w:rFonts w:ascii="Times New Roman" w:eastAsia="Calibri" w:hAnsi="Times New Roman"/>
          <w:i w:val="0"/>
          <w:color w:val="5B9BD5" w:themeColor="accent1"/>
          <w:sz w:val="24"/>
          <w:szCs w:val="24"/>
        </w:rPr>
        <w:t>3.</w:t>
      </w:r>
      <w:r w:rsidR="00A742DB">
        <w:rPr>
          <w:rFonts w:ascii="Times New Roman" w:eastAsia="Calibri" w:hAnsi="Times New Roman"/>
          <w:i w:val="0"/>
          <w:color w:val="5B9BD5" w:themeColor="accent1"/>
          <w:sz w:val="24"/>
          <w:szCs w:val="24"/>
        </w:rPr>
        <w:t>4</w:t>
      </w:r>
      <w:r w:rsidR="0076063B" w:rsidRPr="0033660F">
        <w:rPr>
          <w:rFonts w:ascii="Times New Roman" w:eastAsia="Calibri" w:hAnsi="Times New Roman"/>
          <w:i w:val="0"/>
          <w:color w:val="5B9BD5" w:themeColor="accent1"/>
          <w:sz w:val="24"/>
          <w:szCs w:val="24"/>
        </w:rPr>
        <w:t>. Daňové výdavky</w:t>
      </w:r>
      <w:bookmarkEnd w:id="158"/>
    </w:p>
    <w:p w14:paraId="73E9A205" w14:textId="77777777" w:rsidR="0033660F" w:rsidRPr="00B25B70" w:rsidRDefault="0033660F" w:rsidP="0033660F">
      <w:pPr>
        <w:autoSpaceDE w:val="0"/>
        <w:autoSpaceDN w:val="0"/>
        <w:adjustRightInd w:val="0"/>
        <w:spacing w:after="0"/>
        <w:ind w:firstLine="708"/>
        <w:jc w:val="both"/>
        <w:rPr>
          <w:rFonts w:ascii="Times New Roman" w:hAnsi="Times New Roman" w:cs="Times New Roman"/>
          <w:color w:val="000000"/>
          <w:sz w:val="24"/>
          <w:szCs w:val="24"/>
        </w:rPr>
      </w:pPr>
    </w:p>
    <w:p w14:paraId="6553C79C" w14:textId="77777777" w:rsidR="00BD3539" w:rsidRPr="00BD3539" w:rsidRDefault="00BD3539" w:rsidP="00BD3539">
      <w:pPr>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D3539">
        <w:rPr>
          <w:rFonts w:ascii="Times New Roman" w:eastAsia="Times New Roman" w:hAnsi="Times New Roman" w:cs="Times New Roman"/>
          <w:sz w:val="24"/>
          <w:szCs w:val="24"/>
          <w:lang w:eastAsia="sk-SK"/>
        </w:rPr>
        <w:t>Rovnaké ciele verejnej politiky je z pohľadu rozpočtovej politiky a posudzovania vývoja verejných financií možné dosiahnuť dvoma spôsobmi. Buď prostredníctvom výdavkovej strany rozpočtu alebo cez selektívne daňové zvýhodnenia, ktoré znižujú potenciálne daňové príjmy. Časť vládnych výdavkov je tak obsiahnutá v daňových zákonoch vo forme rôznych zvýhodnení, oslobodení, či iných preferencií. Táto časť rozpočtu poskytuje v súlade so zverejnenou metodikou MF SR</w:t>
      </w:r>
      <w:r w:rsidRPr="00BD3539">
        <w:rPr>
          <w:rFonts w:ascii="Times New Roman" w:eastAsia="Times New Roman" w:hAnsi="Times New Roman" w:cs="Times New Roman"/>
          <w:sz w:val="24"/>
          <w:szCs w:val="24"/>
          <w:vertAlign w:val="superscript"/>
          <w:lang w:eastAsia="sk-SK"/>
        </w:rPr>
        <w:footnoteReference w:id="29"/>
      </w:r>
      <w:r w:rsidRPr="00BD3539">
        <w:rPr>
          <w:rFonts w:ascii="Times New Roman" w:eastAsia="Times New Roman" w:hAnsi="Times New Roman" w:cs="Times New Roman"/>
          <w:sz w:val="24"/>
          <w:szCs w:val="24"/>
          <w:lang w:eastAsia="sk-SK"/>
        </w:rPr>
        <w:t xml:space="preserve"> detailnejšie informácie o existujúcich daňových výdavkoch. </w:t>
      </w:r>
    </w:p>
    <w:p w14:paraId="5A1DABB9" w14:textId="77777777" w:rsidR="00BD3539" w:rsidRPr="00BD3539" w:rsidRDefault="00BD3539" w:rsidP="00BD35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sk-SK"/>
        </w:rPr>
      </w:pPr>
    </w:p>
    <w:p w14:paraId="3F51C24E" w14:textId="77777777" w:rsidR="00BD3539" w:rsidRPr="00BD3539" w:rsidRDefault="00BD3539" w:rsidP="00BD3539">
      <w:pPr>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D3539">
        <w:rPr>
          <w:rFonts w:ascii="Times New Roman" w:eastAsia="Times New Roman" w:hAnsi="Times New Roman" w:cs="Times New Roman"/>
          <w:sz w:val="24"/>
          <w:szCs w:val="24"/>
          <w:lang w:eastAsia="sk-SK"/>
        </w:rPr>
        <w:t>Povinnosť zverejňovať podrobné informácie o vplyve daňových výdavkov na daňové príjmy, vyplýva členským štátom z </w:t>
      </w:r>
      <w:hyperlink r:id="rId15" w:history="1">
        <w:r w:rsidRPr="00BD3539">
          <w:rPr>
            <w:rFonts w:ascii="Times New Roman" w:eastAsia="Times New Roman" w:hAnsi="Times New Roman" w:cs="Times New Roman"/>
            <w:sz w:val="24"/>
            <w:szCs w:val="24"/>
            <w:lang w:eastAsia="sk-SK"/>
          </w:rPr>
          <w:t>článku 14 ods. 2 Smernice Rady 2011/85/EÚ</w:t>
        </w:r>
      </w:hyperlink>
      <w:r w:rsidRPr="00BD3539">
        <w:rPr>
          <w:rFonts w:ascii="Times New Roman" w:eastAsia="Times New Roman" w:hAnsi="Times New Roman" w:cs="Times New Roman"/>
          <w:sz w:val="24"/>
          <w:szCs w:val="24"/>
          <w:lang w:eastAsia="sk-SK"/>
        </w:rPr>
        <w:t xml:space="preserve"> o požiadavkách na rozpočtové rámce členských štátov. Povinné reportovania údajov o daňových výdavkoch v rozpočte verejnej správy zaviedol aj </w:t>
      </w:r>
      <w:hyperlink r:id="rId16" w:history="1">
        <w:r w:rsidRPr="00BD3539">
          <w:rPr>
            <w:rFonts w:ascii="Times New Roman" w:eastAsia="Times New Roman" w:hAnsi="Times New Roman" w:cs="Times New Roman"/>
            <w:sz w:val="24"/>
            <w:szCs w:val="24"/>
            <w:lang w:eastAsia="sk-SK"/>
          </w:rPr>
          <w:t>Ústavný zákon č. 493/2011 o rozpočtovej zodpovednosti</w:t>
        </w:r>
      </w:hyperlink>
      <w:r w:rsidRPr="00BD3539">
        <w:rPr>
          <w:rFonts w:ascii="Times New Roman" w:eastAsia="Times New Roman" w:hAnsi="Times New Roman" w:cs="Times New Roman"/>
          <w:sz w:val="24"/>
          <w:szCs w:val="24"/>
          <w:lang w:eastAsia="sk-SK"/>
        </w:rPr>
        <w:t xml:space="preserve">. Motiváciou pre zavedenie tejto povinnosti bolo najmä zvýšenie transparentnosti rozpočtu, ktorá by pomohla objektívnejšie posúdiť náklady politík realizovaných vládou SR. Pravidelné zverejňovanie údajov o daňových výdavkoch umožní identifikovať potenciálne oblasti na dosiahnutie fiškálnych cieľov, zefektívnenie daňového systému, či zabezpečí monitorovanie ich vývoja. </w:t>
      </w:r>
    </w:p>
    <w:p w14:paraId="3E980BF8" w14:textId="77777777" w:rsidR="00BD3539" w:rsidRPr="00BD3539" w:rsidRDefault="00BD3539" w:rsidP="00BD3539">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6A0FF691" w14:textId="77777777" w:rsidR="00BD3539" w:rsidRPr="00BD3539" w:rsidRDefault="00BD3539" w:rsidP="00BD3539">
      <w:pPr>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D3539">
        <w:rPr>
          <w:rFonts w:ascii="Times New Roman" w:eastAsia="Times New Roman" w:hAnsi="Times New Roman" w:cs="Times New Roman"/>
          <w:sz w:val="24"/>
          <w:szCs w:val="24"/>
          <w:lang w:eastAsia="sk-SK"/>
        </w:rPr>
        <w:lastRenderedPageBreak/>
        <w:t>V súlade s manuálom daňových výdavkov sa pod</w:t>
      </w:r>
      <w:r w:rsidRPr="00BD3539">
        <w:rPr>
          <w:rFonts w:ascii="Times New Roman" w:eastAsia="Times New Roman" w:hAnsi="Times New Roman" w:cs="Times New Roman"/>
          <w:b/>
          <w:sz w:val="24"/>
          <w:szCs w:val="24"/>
          <w:lang w:eastAsia="sk-SK"/>
        </w:rPr>
        <w:t xml:space="preserve"> </w:t>
      </w:r>
      <w:r w:rsidRPr="00BD3539">
        <w:rPr>
          <w:rFonts w:ascii="Times New Roman" w:eastAsia="Times New Roman" w:hAnsi="Times New Roman" w:cs="Times New Roman"/>
          <w:sz w:val="24"/>
          <w:szCs w:val="24"/>
          <w:lang w:eastAsia="sk-SK"/>
        </w:rPr>
        <w:t xml:space="preserve">daňovým </w:t>
      </w:r>
      <w:proofErr w:type="spellStart"/>
      <w:r w:rsidRPr="00BD3539">
        <w:rPr>
          <w:rFonts w:ascii="Times New Roman" w:eastAsia="Times New Roman" w:hAnsi="Times New Roman" w:cs="Times New Roman"/>
          <w:sz w:val="24"/>
          <w:szCs w:val="24"/>
          <w:lang w:eastAsia="sk-SK"/>
        </w:rPr>
        <w:t>benchmarkom</w:t>
      </w:r>
      <w:proofErr w:type="spellEnd"/>
      <w:r w:rsidRPr="00BD3539">
        <w:rPr>
          <w:rFonts w:ascii="Times New Roman" w:eastAsia="Times New Roman" w:hAnsi="Times New Roman" w:cs="Times New Roman"/>
          <w:sz w:val="24"/>
          <w:szCs w:val="24"/>
          <w:lang w:eastAsia="sk-SK"/>
        </w:rPr>
        <w:t xml:space="preserve"> okrem legislatívne stanoveného základu dane a štruktúry sadzieb dane rozumejú aj štrukturálne daňové výdavky. Typickým príkladom štrukturálnych daňových výdavkov, ktoré sú súčasťou daňového </w:t>
      </w:r>
      <w:proofErr w:type="spellStart"/>
      <w:r w:rsidRPr="00BD3539">
        <w:rPr>
          <w:rFonts w:ascii="Times New Roman" w:eastAsia="Times New Roman" w:hAnsi="Times New Roman" w:cs="Times New Roman"/>
          <w:sz w:val="24"/>
          <w:szCs w:val="24"/>
          <w:lang w:eastAsia="sk-SK"/>
        </w:rPr>
        <w:t>benchmarku</w:t>
      </w:r>
      <w:proofErr w:type="spellEnd"/>
      <w:r w:rsidRPr="00BD3539">
        <w:rPr>
          <w:rFonts w:ascii="Times New Roman" w:eastAsia="Times New Roman" w:hAnsi="Times New Roman" w:cs="Times New Roman"/>
          <w:sz w:val="24"/>
          <w:szCs w:val="24"/>
          <w:lang w:eastAsia="sk-SK"/>
        </w:rPr>
        <w:t xml:space="preserve"> sú účtovné konvencie, </w:t>
      </w:r>
      <w:proofErr w:type="spellStart"/>
      <w:r w:rsidRPr="00BD3539">
        <w:rPr>
          <w:rFonts w:ascii="Times New Roman" w:eastAsia="Times New Roman" w:hAnsi="Times New Roman" w:cs="Times New Roman"/>
          <w:sz w:val="24"/>
          <w:szCs w:val="24"/>
          <w:lang w:eastAsia="sk-SK"/>
        </w:rPr>
        <w:t>odpočítateľnosť</w:t>
      </w:r>
      <w:proofErr w:type="spellEnd"/>
      <w:r w:rsidRPr="00BD3539">
        <w:rPr>
          <w:rFonts w:ascii="Times New Roman" w:eastAsia="Times New Roman" w:hAnsi="Times New Roman" w:cs="Times New Roman"/>
          <w:sz w:val="24"/>
          <w:szCs w:val="24"/>
          <w:lang w:eastAsia="sk-SK"/>
        </w:rPr>
        <w:t xml:space="preserve"> povinných platieb, ustanovenia s cieľom uľahčenia administrácie dane ako aj iné ustanovenia vyplývajúce z medzinárodných záväzkov</w:t>
      </w:r>
      <w:r w:rsidRPr="00BD3539">
        <w:rPr>
          <w:rFonts w:ascii="Times New Roman" w:eastAsia="Times New Roman" w:hAnsi="Times New Roman" w:cs="Times New Roman"/>
          <w:sz w:val="24"/>
          <w:szCs w:val="24"/>
          <w:vertAlign w:val="superscript"/>
          <w:lang w:eastAsia="sk-SK"/>
        </w:rPr>
        <w:footnoteReference w:id="30"/>
      </w:r>
      <w:r w:rsidRPr="00BD3539">
        <w:rPr>
          <w:rFonts w:ascii="Times New Roman" w:eastAsia="Times New Roman" w:hAnsi="Times New Roman" w:cs="Times New Roman"/>
          <w:sz w:val="24"/>
          <w:szCs w:val="24"/>
          <w:lang w:eastAsia="sk-SK"/>
        </w:rPr>
        <w:t xml:space="preserve">. Za účelom zabezpečenia konzistentnosti výpočtov medzi jednotlivými rokmi a porovnateľnosti vývoja daňových výdavkov sa za </w:t>
      </w:r>
      <w:proofErr w:type="spellStart"/>
      <w:r w:rsidRPr="00BD3539">
        <w:rPr>
          <w:rFonts w:ascii="Times New Roman" w:eastAsia="Times New Roman" w:hAnsi="Times New Roman" w:cs="Times New Roman"/>
          <w:sz w:val="24"/>
          <w:szCs w:val="24"/>
          <w:lang w:eastAsia="sk-SK"/>
        </w:rPr>
        <w:t>benchmark</w:t>
      </w:r>
      <w:proofErr w:type="spellEnd"/>
      <w:r w:rsidRPr="00BD3539">
        <w:rPr>
          <w:rFonts w:ascii="Times New Roman" w:eastAsia="Times New Roman" w:hAnsi="Times New Roman" w:cs="Times New Roman"/>
          <w:sz w:val="24"/>
          <w:szCs w:val="24"/>
          <w:lang w:eastAsia="sk-SK"/>
        </w:rPr>
        <w:t xml:space="preserve"> v prípade jednotlivých daní považujú legislatívne normy platné v roku 2020, na ktorý sa rozpočet schvaľuje.  </w:t>
      </w:r>
    </w:p>
    <w:p w14:paraId="017311D7" w14:textId="77777777" w:rsidR="00BD3539" w:rsidRPr="00BD3539" w:rsidRDefault="00BD3539" w:rsidP="00BD35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sk-SK"/>
        </w:rPr>
      </w:pPr>
    </w:p>
    <w:p w14:paraId="36800D91" w14:textId="6181E993" w:rsidR="00BD3539" w:rsidRPr="00111797" w:rsidRDefault="00BD3539" w:rsidP="00BD3539">
      <w:pPr>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111797">
        <w:rPr>
          <w:rFonts w:ascii="Times New Roman" w:eastAsia="Times New Roman" w:hAnsi="Times New Roman" w:cs="Times New Roman"/>
          <w:sz w:val="24"/>
          <w:szCs w:val="24"/>
          <w:lang w:eastAsia="sk-SK"/>
        </w:rPr>
        <w:t>Daňovým výdavkom sú špeciálne daňové úľavy, ktoré využíva vláda na podporu určitých aktivít alebo daňovníkov v špeciálnych okolnostiach. Na to, aby konkrétna daňová úľava</w:t>
      </w:r>
      <w:r w:rsidR="0031635B">
        <w:rPr>
          <w:rFonts w:ascii="Times New Roman" w:eastAsia="Times New Roman" w:hAnsi="Times New Roman" w:cs="Times New Roman"/>
          <w:sz w:val="24"/>
          <w:szCs w:val="24"/>
          <w:lang w:eastAsia="sk-SK"/>
        </w:rPr>
        <w:t>,</w:t>
      </w:r>
      <w:r w:rsidRPr="00111797">
        <w:rPr>
          <w:rFonts w:ascii="Times New Roman" w:eastAsia="Times New Roman" w:hAnsi="Times New Roman" w:cs="Times New Roman"/>
          <w:sz w:val="24"/>
          <w:szCs w:val="24"/>
          <w:lang w:eastAsia="sk-SK"/>
        </w:rPr>
        <w:t xml:space="preserve"> resp. špeciálny daňový režim bol z pohľadu MF SR klasifikovaný ako daňový výdavok, musí súčasne spĺňať nasledujúce podmienky: </w:t>
      </w:r>
    </w:p>
    <w:p w14:paraId="699550D0" w14:textId="77777777" w:rsidR="00BD3539" w:rsidRPr="00BD3539" w:rsidRDefault="00BD3539" w:rsidP="00BD35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sk-SK"/>
        </w:rPr>
      </w:pPr>
    </w:p>
    <w:p w14:paraId="204A1867" w14:textId="77777777" w:rsidR="00BD3539" w:rsidRPr="00BD3539" w:rsidRDefault="00BD3539" w:rsidP="00BD3539">
      <w:pPr>
        <w:numPr>
          <w:ilvl w:val="0"/>
          <w:numId w:val="13"/>
        </w:numPr>
        <w:autoSpaceDE w:val="0"/>
        <w:autoSpaceDN w:val="0"/>
        <w:adjustRightInd w:val="0"/>
        <w:spacing w:after="0" w:line="240" w:lineRule="auto"/>
        <w:jc w:val="both"/>
        <w:rPr>
          <w:rFonts w:ascii="Times New Roman" w:eastAsia="Times New Roman" w:hAnsi="Times New Roman" w:cs="Times New Roman"/>
          <w:b/>
          <w:sz w:val="24"/>
          <w:szCs w:val="24"/>
          <w:lang w:eastAsia="sk-SK"/>
        </w:rPr>
      </w:pPr>
      <w:r w:rsidRPr="00BD3539">
        <w:rPr>
          <w:rFonts w:ascii="Times New Roman" w:eastAsia="Times New Roman" w:hAnsi="Times New Roman" w:cs="Times New Roman"/>
          <w:b/>
          <w:sz w:val="24"/>
          <w:szCs w:val="24"/>
          <w:lang w:eastAsia="sk-SK"/>
        </w:rPr>
        <w:t xml:space="preserve">má vplyv na príjmy a saldo hospodárenia verejnej správy </w:t>
      </w:r>
      <w:r w:rsidRPr="00BD3539">
        <w:rPr>
          <w:rFonts w:ascii="Times New Roman" w:eastAsia="Times New Roman" w:hAnsi="Times New Roman" w:cs="Times New Roman"/>
          <w:sz w:val="24"/>
          <w:szCs w:val="24"/>
          <w:lang w:eastAsia="sk-SK"/>
        </w:rPr>
        <w:t>- daňovým výdavkom je opatrenie, ktoré znižuje (alebo zvyšuje) príjmy verejnej správy. V niektorých prípadoch je dôležité okrem vplyvu na príjmy sledovať aj vplyv na saldo verejnej správy. Typickým príkladom môžu byť napr. štátne sociálne dávky. Ich zdanenie kompenzované</w:t>
      </w:r>
      <w:r w:rsidRPr="00BD3539" w:rsidDel="00971FD3">
        <w:rPr>
          <w:rFonts w:ascii="Times New Roman" w:eastAsia="Times New Roman" w:hAnsi="Times New Roman" w:cs="Times New Roman"/>
          <w:sz w:val="24"/>
          <w:szCs w:val="24"/>
          <w:lang w:eastAsia="sk-SK"/>
        </w:rPr>
        <w:t xml:space="preserve"> </w:t>
      </w:r>
      <w:r w:rsidRPr="00BD3539">
        <w:rPr>
          <w:rFonts w:ascii="Times New Roman" w:eastAsia="Times New Roman" w:hAnsi="Times New Roman" w:cs="Times New Roman"/>
          <w:sz w:val="24"/>
          <w:szCs w:val="24"/>
          <w:lang w:eastAsia="sk-SK"/>
        </w:rPr>
        <w:t>adekvátnym zvýšením výdavkov verejnej správy, keďže z pohľadu záchrannej siete sú podstatné disponibilné príjmy obyvateľov v hmotnej núdzi, by malo neutrálny vplyv na saldo verejnej správy.</w:t>
      </w:r>
    </w:p>
    <w:p w14:paraId="5596DCEA" w14:textId="77777777" w:rsidR="00BD3539" w:rsidRPr="00BD3539" w:rsidRDefault="00BD3539" w:rsidP="00BD3539">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17A5F160" w14:textId="77777777" w:rsidR="00BD3539" w:rsidRPr="00BD3539" w:rsidRDefault="00BD3539" w:rsidP="00BD3539">
      <w:pPr>
        <w:numPr>
          <w:ilvl w:val="0"/>
          <w:numId w:val="13"/>
        </w:numPr>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D3539">
        <w:rPr>
          <w:rFonts w:ascii="Times New Roman" w:eastAsia="Times New Roman" w:hAnsi="Times New Roman" w:cs="Times New Roman"/>
          <w:b/>
          <w:sz w:val="24"/>
          <w:szCs w:val="24"/>
          <w:lang w:eastAsia="sk-SK"/>
        </w:rPr>
        <w:t>sleduje iný cieľ než je samotné zdanenie</w:t>
      </w:r>
      <w:r w:rsidRPr="00BD3539">
        <w:rPr>
          <w:rFonts w:ascii="Times New Roman" w:eastAsia="Times New Roman" w:hAnsi="Times New Roman" w:cs="Times New Roman"/>
          <w:sz w:val="24"/>
          <w:szCs w:val="24"/>
          <w:lang w:eastAsia="sk-SK"/>
        </w:rPr>
        <w:t xml:space="preserve"> - ak je cieľom podpora určitých aktivít alebo daňovníkov alebo ak existuje podobnosť s alternatívnym výdavkovým programom. </w:t>
      </w:r>
    </w:p>
    <w:p w14:paraId="5429A6B9" w14:textId="77777777" w:rsidR="00BD3539" w:rsidRPr="00BD3539" w:rsidRDefault="00BD3539" w:rsidP="00BD3539">
      <w:pPr>
        <w:autoSpaceDE w:val="0"/>
        <w:autoSpaceDN w:val="0"/>
        <w:adjustRightInd w:val="0"/>
        <w:spacing w:after="0" w:line="240" w:lineRule="auto"/>
        <w:ind w:left="720"/>
        <w:jc w:val="both"/>
        <w:rPr>
          <w:rFonts w:ascii="Times New Roman" w:eastAsia="Times New Roman" w:hAnsi="Times New Roman" w:cs="Times New Roman"/>
          <w:sz w:val="24"/>
          <w:szCs w:val="24"/>
          <w:lang w:eastAsia="sk-SK"/>
        </w:rPr>
      </w:pPr>
    </w:p>
    <w:p w14:paraId="5CEDDF8C" w14:textId="77777777" w:rsidR="00BD3539" w:rsidRPr="00BD3539" w:rsidRDefault="00BD3539" w:rsidP="00BD3539">
      <w:pPr>
        <w:numPr>
          <w:ilvl w:val="0"/>
          <w:numId w:val="13"/>
        </w:numPr>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D3539">
        <w:rPr>
          <w:rFonts w:ascii="Times New Roman" w:eastAsia="Times New Roman" w:hAnsi="Times New Roman" w:cs="Times New Roman"/>
          <w:b/>
          <w:sz w:val="24"/>
          <w:szCs w:val="24"/>
          <w:lang w:eastAsia="sk-SK"/>
        </w:rPr>
        <w:t xml:space="preserve">nejde o štrukturálny daňový výdavok obsiahnutý v definícii daňového </w:t>
      </w:r>
      <w:proofErr w:type="spellStart"/>
      <w:r w:rsidRPr="00BD3539">
        <w:rPr>
          <w:rFonts w:ascii="Times New Roman" w:eastAsia="Times New Roman" w:hAnsi="Times New Roman" w:cs="Times New Roman"/>
          <w:b/>
          <w:sz w:val="24"/>
          <w:szCs w:val="24"/>
          <w:lang w:eastAsia="sk-SK"/>
        </w:rPr>
        <w:t>benchmarku</w:t>
      </w:r>
      <w:proofErr w:type="spellEnd"/>
      <w:r w:rsidRPr="00BD3539">
        <w:rPr>
          <w:rFonts w:ascii="Times New Roman" w:eastAsia="Times New Roman" w:hAnsi="Times New Roman" w:cs="Times New Roman"/>
          <w:sz w:val="24"/>
          <w:szCs w:val="24"/>
          <w:lang w:eastAsia="sk-SK"/>
        </w:rPr>
        <w:t xml:space="preserve"> - sem zaraďujeme účtovné konvencie (legislatívne stanovené odpisové sadzby/doby aj v prípade, že sa nezhodujú s účtovnými odpismi), </w:t>
      </w:r>
      <w:proofErr w:type="spellStart"/>
      <w:r w:rsidRPr="00BD3539">
        <w:rPr>
          <w:rFonts w:ascii="Times New Roman" w:eastAsia="Times New Roman" w:hAnsi="Times New Roman" w:cs="Times New Roman"/>
          <w:sz w:val="24"/>
          <w:szCs w:val="24"/>
          <w:lang w:eastAsia="sk-SK"/>
        </w:rPr>
        <w:t>odpočítateľnosť</w:t>
      </w:r>
      <w:proofErr w:type="spellEnd"/>
      <w:r w:rsidRPr="00BD3539">
        <w:rPr>
          <w:rFonts w:ascii="Times New Roman" w:eastAsia="Times New Roman" w:hAnsi="Times New Roman" w:cs="Times New Roman"/>
          <w:sz w:val="24"/>
          <w:szCs w:val="24"/>
          <w:lang w:eastAsia="sk-SK"/>
        </w:rPr>
        <w:t xml:space="preserve"> povinných platieb (povinné platby vyplývajúce z iných zákonov sú automaticky považované za daňovo uznateľné výdavky), ustanovenia s cieľom uľahčenia administrácie dane (test príjmu na účely podávania daňového priznania, minimálna daňová povinnosť, zaokrúhľovanie a pod.).</w:t>
      </w:r>
    </w:p>
    <w:p w14:paraId="2CA5DD9F" w14:textId="77777777" w:rsidR="00BD3539" w:rsidRPr="00BD3539" w:rsidRDefault="00BD3539" w:rsidP="00BD3539">
      <w:pPr>
        <w:autoSpaceDE w:val="0"/>
        <w:autoSpaceDN w:val="0"/>
        <w:adjustRightInd w:val="0"/>
        <w:spacing w:after="0" w:line="240" w:lineRule="auto"/>
        <w:ind w:left="720"/>
        <w:jc w:val="both"/>
        <w:rPr>
          <w:rFonts w:ascii="Times New Roman" w:eastAsia="Times New Roman" w:hAnsi="Times New Roman" w:cs="Times New Roman"/>
          <w:sz w:val="24"/>
          <w:szCs w:val="24"/>
          <w:lang w:eastAsia="sk-SK"/>
        </w:rPr>
      </w:pPr>
    </w:p>
    <w:p w14:paraId="7233D57B" w14:textId="77777777" w:rsidR="00BD3539" w:rsidRPr="00BD3539" w:rsidRDefault="00BD3539" w:rsidP="00BD3539">
      <w:pPr>
        <w:numPr>
          <w:ilvl w:val="0"/>
          <w:numId w:val="13"/>
        </w:numPr>
        <w:autoSpaceDE w:val="0"/>
        <w:autoSpaceDN w:val="0"/>
        <w:adjustRightInd w:val="0"/>
        <w:spacing w:after="200" w:line="276" w:lineRule="auto"/>
        <w:jc w:val="both"/>
        <w:rPr>
          <w:rFonts w:ascii="Times New Roman" w:eastAsia="Times New Roman" w:hAnsi="Times New Roman" w:cs="Times New Roman"/>
          <w:sz w:val="24"/>
          <w:szCs w:val="24"/>
        </w:rPr>
      </w:pPr>
      <w:r w:rsidRPr="00BD3539">
        <w:rPr>
          <w:rFonts w:ascii="Times New Roman" w:eastAsia="Times New Roman" w:hAnsi="Times New Roman" w:cs="Times New Roman"/>
          <w:b/>
          <w:sz w:val="24"/>
          <w:szCs w:val="24"/>
        </w:rPr>
        <w:t>je selektívny</w:t>
      </w:r>
      <w:r w:rsidRPr="00BD3539">
        <w:rPr>
          <w:rFonts w:ascii="Times New Roman" w:eastAsia="Times New Roman" w:hAnsi="Times New Roman" w:cs="Times New Roman"/>
          <w:sz w:val="24"/>
          <w:szCs w:val="24"/>
        </w:rPr>
        <w:t xml:space="preserve"> - </w:t>
      </w:r>
      <w:r w:rsidRPr="00BD3539">
        <w:rPr>
          <w:rFonts w:ascii="Times New Roman" w:eastAsia="Times New Roman" w:hAnsi="Times New Roman" w:cs="Times New Roman"/>
          <w:color w:val="000000"/>
          <w:sz w:val="24"/>
          <w:szCs w:val="24"/>
        </w:rPr>
        <w:t xml:space="preserve">úľava je určená iba pre vybrané osoby, príjmy alebo sektor a pod. Nezdaniteľná časť základu dane, ktorá ovplyvňuje daňové príjmy a na ktorú majú nárok všetci daňovníci sa nepovažuje za daňový výdavok. Ide tak o ďalší štrukturálny element daňového systému, ináč aj štrukturálny daňový výdavok. Uvedené kritérium však na rozdiel od prvých troch </w:t>
      </w:r>
      <w:r w:rsidRPr="00BD3539">
        <w:rPr>
          <w:rFonts w:ascii="Times New Roman" w:eastAsia="Times New Roman" w:hAnsi="Times New Roman" w:cs="Times New Roman"/>
          <w:i/>
          <w:color w:val="000000"/>
          <w:sz w:val="24"/>
          <w:szCs w:val="24"/>
        </w:rPr>
        <w:t>nemusí byť nevyhnutne splnené.</w:t>
      </w:r>
      <w:r w:rsidRPr="00BD3539">
        <w:rPr>
          <w:rFonts w:ascii="Times New Roman" w:eastAsia="Times New Roman" w:hAnsi="Times New Roman" w:cs="Times New Roman"/>
          <w:color w:val="000000"/>
          <w:sz w:val="24"/>
          <w:szCs w:val="24"/>
          <w:vertAlign w:val="superscript"/>
        </w:rPr>
        <w:footnoteReference w:id="31"/>
      </w:r>
    </w:p>
    <w:p w14:paraId="77040A1D" w14:textId="63D83125" w:rsidR="00BD3539" w:rsidRPr="00BD3539" w:rsidRDefault="00BD3539" w:rsidP="00BD3539">
      <w:pPr>
        <w:spacing w:after="0" w:line="240" w:lineRule="auto"/>
        <w:jc w:val="both"/>
        <w:rPr>
          <w:rFonts w:ascii="Times New Roman" w:eastAsia="Times New Roman" w:hAnsi="Times New Roman" w:cs="Times New Roman"/>
          <w:color w:val="000000"/>
          <w:sz w:val="24"/>
          <w:szCs w:val="24"/>
          <w:lang w:eastAsia="sk-SK"/>
        </w:rPr>
      </w:pPr>
      <w:r w:rsidRPr="00BD3539">
        <w:rPr>
          <w:rFonts w:ascii="Times New Roman" w:eastAsia="Times New Roman" w:hAnsi="Times New Roman" w:cs="Times New Roman"/>
          <w:color w:val="000000"/>
          <w:sz w:val="24"/>
          <w:szCs w:val="24"/>
          <w:lang w:eastAsia="sk-SK"/>
        </w:rPr>
        <w:t>V zmysle zverejnenej metodiky údaje za daňové výdavky sú uvedené za rovnaký časový horizont, na aký sa zostavuje rozpočet verejnej správy</w:t>
      </w:r>
      <w:r w:rsidRPr="00BD3539">
        <w:rPr>
          <w:rFonts w:ascii="Times New Roman" w:eastAsia="Times New Roman" w:hAnsi="Times New Roman" w:cs="Times New Roman"/>
          <w:color w:val="000000"/>
          <w:sz w:val="24"/>
          <w:szCs w:val="24"/>
          <w:vertAlign w:val="superscript"/>
          <w:lang w:eastAsia="sk-SK"/>
        </w:rPr>
        <w:footnoteReference w:id="32"/>
      </w:r>
      <w:r w:rsidRPr="00BD3539">
        <w:rPr>
          <w:rFonts w:ascii="Times New Roman" w:eastAsia="Times New Roman" w:hAnsi="Times New Roman" w:cs="Times New Roman"/>
          <w:color w:val="000000"/>
          <w:sz w:val="24"/>
          <w:szCs w:val="24"/>
          <w:lang w:eastAsia="sk-SK"/>
        </w:rPr>
        <w:t xml:space="preserve">. Klasifikácia daňových výdavkov je založená na príslušnom daňovom základe a účelu, ktorý tieto výdavky sledujú. </w:t>
      </w:r>
    </w:p>
    <w:p w14:paraId="7104E2FC" w14:textId="4BE6D3B5" w:rsidR="00BD3539" w:rsidRPr="00BD3539" w:rsidRDefault="00BD3539" w:rsidP="00BD3539">
      <w:pPr>
        <w:spacing w:after="0" w:line="240" w:lineRule="auto"/>
        <w:ind w:firstLine="142"/>
        <w:jc w:val="both"/>
        <w:rPr>
          <w:rFonts w:ascii="Times New Roman" w:eastAsia="Times New Roman" w:hAnsi="Times New Roman" w:cs="Times New Roman"/>
          <w:color w:val="5B9BD5" w:themeColor="accent1"/>
          <w:sz w:val="20"/>
          <w:szCs w:val="20"/>
          <w:lang w:eastAsia="sk-SK"/>
        </w:rPr>
      </w:pPr>
      <w:bookmarkStart w:id="159" w:name="_Toc153013044"/>
      <w:r w:rsidRPr="00BD3539">
        <w:rPr>
          <w:rFonts w:ascii="Times New Roman" w:eastAsia="Calibri" w:hAnsi="Times New Roman" w:cs="Times New Roman"/>
          <w:b/>
          <w:color w:val="5B9BD5" w:themeColor="accent1"/>
          <w:sz w:val="20"/>
          <w:szCs w:val="20"/>
        </w:rPr>
        <w:lastRenderedPageBreak/>
        <w:t xml:space="preserve">Tabuľka </w:t>
      </w:r>
      <w:r w:rsidRPr="00BD3539">
        <w:rPr>
          <w:rFonts w:ascii="Times New Roman" w:eastAsia="Calibri" w:hAnsi="Times New Roman" w:cs="Times New Roman"/>
          <w:b/>
          <w:color w:val="5B9BD5" w:themeColor="accent1"/>
          <w:sz w:val="20"/>
          <w:szCs w:val="20"/>
        </w:rPr>
        <w:fldChar w:fldCharType="begin"/>
      </w:r>
      <w:r w:rsidRPr="00BD3539">
        <w:rPr>
          <w:rFonts w:ascii="Times New Roman" w:eastAsia="Calibri" w:hAnsi="Times New Roman" w:cs="Times New Roman"/>
          <w:b/>
          <w:color w:val="5B9BD5" w:themeColor="accent1"/>
          <w:sz w:val="20"/>
          <w:szCs w:val="20"/>
        </w:rPr>
        <w:instrText xml:space="preserve"> SEQ Tabuľka \* ARABIC </w:instrText>
      </w:r>
      <w:r w:rsidRPr="00BD3539">
        <w:rPr>
          <w:rFonts w:ascii="Times New Roman" w:eastAsia="Calibri" w:hAnsi="Times New Roman" w:cs="Times New Roman"/>
          <w:b/>
          <w:color w:val="5B9BD5" w:themeColor="accent1"/>
          <w:sz w:val="20"/>
          <w:szCs w:val="20"/>
        </w:rPr>
        <w:fldChar w:fldCharType="separate"/>
      </w:r>
      <w:r w:rsidR="003D5A3A">
        <w:rPr>
          <w:rFonts w:ascii="Times New Roman" w:eastAsia="Calibri" w:hAnsi="Times New Roman" w:cs="Times New Roman"/>
          <w:b/>
          <w:noProof/>
          <w:color w:val="5B9BD5" w:themeColor="accent1"/>
          <w:sz w:val="20"/>
          <w:szCs w:val="20"/>
        </w:rPr>
        <w:t>46</w:t>
      </w:r>
      <w:r w:rsidRPr="00BD3539">
        <w:rPr>
          <w:rFonts w:ascii="Times New Roman" w:eastAsia="Calibri" w:hAnsi="Times New Roman" w:cs="Times New Roman"/>
          <w:b/>
          <w:color w:val="5B9BD5" w:themeColor="accent1"/>
          <w:sz w:val="20"/>
          <w:szCs w:val="20"/>
        </w:rPr>
        <w:fldChar w:fldCharType="end"/>
      </w:r>
      <w:r w:rsidRPr="00BD3539">
        <w:rPr>
          <w:rFonts w:ascii="Times New Roman" w:eastAsia="Calibri" w:hAnsi="Times New Roman" w:cs="Times New Roman"/>
          <w:b/>
          <w:color w:val="5B9BD5" w:themeColor="accent1"/>
          <w:sz w:val="20"/>
          <w:szCs w:val="20"/>
        </w:rPr>
        <w:t xml:space="preserve"> - </w:t>
      </w:r>
      <w:r w:rsidRPr="00BD3539">
        <w:rPr>
          <w:rFonts w:ascii="Times New Roman" w:eastAsia="Times New Roman" w:hAnsi="Times New Roman" w:cs="Times New Roman"/>
          <w:b/>
          <w:bCs/>
          <w:color w:val="5B9BD5" w:themeColor="accent1"/>
          <w:sz w:val="20"/>
          <w:szCs w:val="20"/>
          <w:lang w:eastAsia="sk-SK"/>
        </w:rPr>
        <w:t>Prehľad daňových výdavkov podľa typu dane alebo poistného (ESA 2010, tis. eur)*</w:t>
      </w:r>
      <w:bookmarkEnd w:id="159"/>
    </w:p>
    <w:tbl>
      <w:tblPr>
        <w:tblW w:w="5000" w:type="pct"/>
        <w:tblLayout w:type="fixed"/>
        <w:tblCellMar>
          <w:left w:w="70" w:type="dxa"/>
          <w:right w:w="70" w:type="dxa"/>
        </w:tblCellMar>
        <w:tblLook w:val="04A0" w:firstRow="1" w:lastRow="0" w:firstColumn="1" w:lastColumn="0" w:noHBand="0" w:noVBand="1"/>
      </w:tblPr>
      <w:tblGrid>
        <w:gridCol w:w="3828"/>
        <w:gridCol w:w="874"/>
        <w:gridCol w:w="874"/>
        <w:gridCol w:w="874"/>
        <w:gridCol w:w="874"/>
        <w:gridCol w:w="874"/>
        <w:gridCol w:w="874"/>
      </w:tblGrid>
      <w:tr w:rsidR="00BD3539" w:rsidRPr="00BD3539" w14:paraId="37E107FC" w14:textId="77777777" w:rsidTr="006E5A9E">
        <w:trPr>
          <w:trHeight w:val="458"/>
        </w:trPr>
        <w:tc>
          <w:tcPr>
            <w:tcW w:w="3828" w:type="dxa"/>
            <w:vMerge w:val="restart"/>
            <w:tcBorders>
              <w:top w:val="single" w:sz="4" w:space="0" w:color="auto"/>
              <w:left w:val="nil"/>
              <w:bottom w:val="single" w:sz="4" w:space="0" w:color="000000"/>
              <w:right w:val="nil"/>
            </w:tcBorders>
            <w:shd w:val="clear" w:color="auto" w:fill="auto"/>
            <w:vAlign w:val="center"/>
            <w:hideMark/>
          </w:tcPr>
          <w:p w14:paraId="6384BF7A"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p>
        </w:tc>
        <w:tc>
          <w:tcPr>
            <w:tcW w:w="874" w:type="dxa"/>
            <w:vMerge w:val="restart"/>
            <w:tcBorders>
              <w:top w:val="single" w:sz="4" w:space="0" w:color="auto"/>
              <w:left w:val="nil"/>
              <w:bottom w:val="single" w:sz="4" w:space="0" w:color="000000"/>
              <w:right w:val="nil"/>
            </w:tcBorders>
            <w:shd w:val="clear" w:color="auto" w:fill="auto"/>
            <w:noWrap/>
            <w:vAlign w:val="center"/>
            <w:hideMark/>
          </w:tcPr>
          <w:p w14:paraId="76B294BE"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2021</w:t>
            </w:r>
          </w:p>
        </w:tc>
        <w:tc>
          <w:tcPr>
            <w:tcW w:w="874" w:type="dxa"/>
            <w:vMerge w:val="restart"/>
            <w:tcBorders>
              <w:top w:val="single" w:sz="4" w:space="0" w:color="auto"/>
              <w:left w:val="nil"/>
              <w:bottom w:val="single" w:sz="4" w:space="0" w:color="000000"/>
              <w:right w:val="nil"/>
            </w:tcBorders>
            <w:shd w:val="clear" w:color="auto" w:fill="auto"/>
            <w:noWrap/>
            <w:vAlign w:val="center"/>
            <w:hideMark/>
          </w:tcPr>
          <w:p w14:paraId="3C012CAB"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2022</w:t>
            </w:r>
          </w:p>
        </w:tc>
        <w:tc>
          <w:tcPr>
            <w:tcW w:w="874" w:type="dxa"/>
            <w:vMerge w:val="restart"/>
            <w:tcBorders>
              <w:top w:val="single" w:sz="4" w:space="0" w:color="auto"/>
              <w:left w:val="nil"/>
              <w:bottom w:val="single" w:sz="4" w:space="0" w:color="000000"/>
              <w:right w:val="nil"/>
            </w:tcBorders>
            <w:shd w:val="clear" w:color="auto" w:fill="auto"/>
            <w:noWrap/>
            <w:vAlign w:val="center"/>
            <w:hideMark/>
          </w:tcPr>
          <w:p w14:paraId="141B687A"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2023</w:t>
            </w:r>
          </w:p>
        </w:tc>
        <w:tc>
          <w:tcPr>
            <w:tcW w:w="874" w:type="dxa"/>
            <w:vMerge w:val="restart"/>
            <w:tcBorders>
              <w:top w:val="single" w:sz="4" w:space="0" w:color="auto"/>
              <w:left w:val="nil"/>
              <w:bottom w:val="single" w:sz="4" w:space="0" w:color="000000"/>
              <w:right w:val="nil"/>
            </w:tcBorders>
            <w:shd w:val="clear" w:color="auto" w:fill="auto"/>
            <w:noWrap/>
            <w:vAlign w:val="center"/>
            <w:hideMark/>
          </w:tcPr>
          <w:p w14:paraId="7A83C750"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2024</w:t>
            </w:r>
          </w:p>
        </w:tc>
        <w:tc>
          <w:tcPr>
            <w:tcW w:w="874" w:type="dxa"/>
            <w:vMerge w:val="restart"/>
            <w:tcBorders>
              <w:top w:val="single" w:sz="4" w:space="0" w:color="auto"/>
              <w:left w:val="nil"/>
              <w:bottom w:val="nil"/>
              <w:right w:val="nil"/>
            </w:tcBorders>
            <w:shd w:val="clear" w:color="auto" w:fill="auto"/>
            <w:noWrap/>
            <w:vAlign w:val="center"/>
            <w:hideMark/>
          </w:tcPr>
          <w:p w14:paraId="2C8254B4"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2025</w:t>
            </w:r>
          </w:p>
        </w:tc>
        <w:tc>
          <w:tcPr>
            <w:tcW w:w="874" w:type="dxa"/>
            <w:vMerge w:val="restart"/>
            <w:tcBorders>
              <w:top w:val="single" w:sz="4" w:space="0" w:color="auto"/>
              <w:left w:val="nil"/>
              <w:bottom w:val="nil"/>
              <w:right w:val="nil"/>
            </w:tcBorders>
            <w:shd w:val="clear" w:color="auto" w:fill="auto"/>
            <w:noWrap/>
            <w:vAlign w:val="center"/>
            <w:hideMark/>
          </w:tcPr>
          <w:p w14:paraId="1EF854FC"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2026</w:t>
            </w:r>
          </w:p>
        </w:tc>
      </w:tr>
      <w:tr w:rsidR="00BD3539" w:rsidRPr="00BD3539" w14:paraId="5C32FE38" w14:textId="77777777" w:rsidTr="006E5A9E">
        <w:trPr>
          <w:trHeight w:val="458"/>
        </w:trPr>
        <w:tc>
          <w:tcPr>
            <w:tcW w:w="3828" w:type="dxa"/>
            <w:vMerge/>
            <w:tcBorders>
              <w:top w:val="nil"/>
              <w:left w:val="nil"/>
              <w:bottom w:val="single" w:sz="4" w:space="0" w:color="000000"/>
              <w:right w:val="nil"/>
            </w:tcBorders>
            <w:shd w:val="clear" w:color="auto" w:fill="auto"/>
            <w:vAlign w:val="center"/>
            <w:hideMark/>
          </w:tcPr>
          <w:p w14:paraId="4EFC307A" w14:textId="77777777" w:rsidR="00BD3539" w:rsidRPr="00BD3539" w:rsidRDefault="00BD3539" w:rsidP="00BD3539">
            <w:pPr>
              <w:spacing w:after="0" w:line="240" w:lineRule="auto"/>
              <w:rPr>
                <w:rFonts w:ascii="Times New Roman" w:eastAsia="Times New Roman" w:hAnsi="Times New Roman" w:cs="Times New Roman"/>
                <w:b/>
                <w:bCs/>
                <w:sz w:val="16"/>
                <w:szCs w:val="16"/>
                <w:lang w:eastAsia="sk-SK"/>
              </w:rPr>
            </w:pPr>
          </w:p>
        </w:tc>
        <w:tc>
          <w:tcPr>
            <w:tcW w:w="874" w:type="dxa"/>
            <w:vMerge/>
            <w:tcBorders>
              <w:top w:val="nil"/>
              <w:left w:val="nil"/>
              <w:bottom w:val="single" w:sz="4" w:space="0" w:color="000000"/>
              <w:right w:val="nil"/>
            </w:tcBorders>
            <w:shd w:val="clear" w:color="auto" w:fill="auto"/>
            <w:vAlign w:val="center"/>
            <w:hideMark/>
          </w:tcPr>
          <w:p w14:paraId="3BDCA1AC" w14:textId="77777777" w:rsidR="00BD3539" w:rsidRPr="00BD3539" w:rsidRDefault="00BD3539" w:rsidP="00BD3539">
            <w:pPr>
              <w:spacing w:after="0" w:line="240" w:lineRule="auto"/>
              <w:rPr>
                <w:rFonts w:ascii="Times New Roman" w:eastAsia="Times New Roman" w:hAnsi="Times New Roman" w:cs="Times New Roman"/>
                <w:b/>
                <w:bCs/>
                <w:color w:val="FF0000"/>
                <w:sz w:val="16"/>
                <w:szCs w:val="16"/>
                <w:lang w:eastAsia="sk-SK"/>
              </w:rPr>
            </w:pPr>
          </w:p>
        </w:tc>
        <w:tc>
          <w:tcPr>
            <w:tcW w:w="874" w:type="dxa"/>
            <w:vMerge/>
            <w:tcBorders>
              <w:top w:val="nil"/>
              <w:left w:val="nil"/>
              <w:bottom w:val="single" w:sz="4" w:space="0" w:color="000000"/>
              <w:right w:val="nil"/>
            </w:tcBorders>
            <w:shd w:val="clear" w:color="auto" w:fill="auto"/>
            <w:vAlign w:val="center"/>
            <w:hideMark/>
          </w:tcPr>
          <w:p w14:paraId="1A3305CC" w14:textId="77777777" w:rsidR="00BD3539" w:rsidRPr="00BD3539" w:rsidRDefault="00BD3539" w:rsidP="00BD3539">
            <w:pPr>
              <w:spacing w:after="0" w:line="240" w:lineRule="auto"/>
              <w:rPr>
                <w:rFonts w:ascii="Times New Roman" w:eastAsia="Times New Roman" w:hAnsi="Times New Roman" w:cs="Times New Roman"/>
                <w:b/>
                <w:bCs/>
                <w:color w:val="FF0000"/>
                <w:sz w:val="16"/>
                <w:szCs w:val="16"/>
                <w:lang w:eastAsia="sk-SK"/>
              </w:rPr>
            </w:pPr>
          </w:p>
        </w:tc>
        <w:tc>
          <w:tcPr>
            <w:tcW w:w="874" w:type="dxa"/>
            <w:vMerge/>
            <w:tcBorders>
              <w:top w:val="nil"/>
              <w:left w:val="nil"/>
              <w:bottom w:val="single" w:sz="4" w:space="0" w:color="000000"/>
              <w:right w:val="nil"/>
            </w:tcBorders>
            <w:shd w:val="clear" w:color="auto" w:fill="auto"/>
            <w:vAlign w:val="center"/>
            <w:hideMark/>
          </w:tcPr>
          <w:p w14:paraId="3272336F" w14:textId="77777777" w:rsidR="00BD3539" w:rsidRPr="00BD3539" w:rsidRDefault="00BD3539" w:rsidP="00BD3539">
            <w:pPr>
              <w:spacing w:after="0" w:line="240" w:lineRule="auto"/>
              <w:rPr>
                <w:rFonts w:ascii="Times New Roman" w:eastAsia="Times New Roman" w:hAnsi="Times New Roman" w:cs="Times New Roman"/>
                <w:b/>
                <w:bCs/>
                <w:color w:val="FF0000"/>
                <w:sz w:val="16"/>
                <w:szCs w:val="16"/>
                <w:lang w:eastAsia="sk-SK"/>
              </w:rPr>
            </w:pPr>
          </w:p>
        </w:tc>
        <w:tc>
          <w:tcPr>
            <w:tcW w:w="874" w:type="dxa"/>
            <w:vMerge/>
            <w:tcBorders>
              <w:top w:val="nil"/>
              <w:left w:val="nil"/>
              <w:bottom w:val="single" w:sz="4" w:space="0" w:color="000000"/>
              <w:right w:val="nil"/>
            </w:tcBorders>
            <w:shd w:val="clear" w:color="auto" w:fill="auto"/>
            <w:vAlign w:val="center"/>
            <w:hideMark/>
          </w:tcPr>
          <w:p w14:paraId="622BF85F" w14:textId="77777777" w:rsidR="00BD3539" w:rsidRPr="00BD3539" w:rsidRDefault="00BD3539" w:rsidP="00BD3539">
            <w:pPr>
              <w:spacing w:after="0" w:line="240" w:lineRule="auto"/>
              <w:rPr>
                <w:rFonts w:ascii="Times New Roman" w:eastAsia="Times New Roman" w:hAnsi="Times New Roman" w:cs="Times New Roman"/>
                <w:b/>
                <w:bCs/>
                <w:color w:val="FF0000"/>
                <w:sz w:val="16"/>
                <w:szCs w:val="16"/>
                <w:lang w:eastAsia="sk-SK"/>
              </w:rPr>
            </w:pPr>
          </w:p>
        </w:tc>
        <w:tc>
          <w:tcPr>
            <w:tcW w:w="874" w:type="dxa"/>
            <w:vMerge/>
            <w:tcBorders>
              <w:top w:val="nil"/>
              <w:left w:val="nil"/>
              <w:bottom w:val="single" w:sz="4" w:space="0" w:color="auto"/>
              <w:right w:val="nil"/>
            </w:tcBorders>
            <w:shd w:val="clear" w:color="auto" w:fill="auto"/>
            <w:vAlign w:val="center"/>
            <w:hideMark/>
          </w:tcPr>
          <w:p w14:paraId="4BE4468D" w14:textId="77777777" w:rsidR="00BD3539" w:rsidRPr="00BD3539" w:rsidRDefault="00BD3539" w:rsidP="00BD3539">
            <w:pPr>
              <w:spacing w:after="0" w:line="240" w:lineRule="auto"/>
              <w:rPr>
                <w:rFonts w:ascii="Times New Roman" w:eastAsia="Times New Roman" w:hAnsi="Times New Roman" w:cs="Times New Roman"/>
                <w:b/>
                <w:bCs/>
                <w:color w:val="FF0000"/>
                <w:sz w:val="16"/>
                <w:szCs w:val="16"/>
                <w:lang w:eastAsia="sk-SK"/>
              </w:rPr>
            </w:pPr>
          </w:p>
        </w:tc>
        <w:tc>
          <w:tcPr>
            <w:tcW w:w="874" w:type="dxa"/>
            <w:vMerge/>
            <w:tcBorders>
              <w:top w:val="nil"/>
              <w:left w:val="nil"/>
              <w:bottom w:val="single" w:sz="4" w:space="0" w:color="auto"/>
              <w:right w:val="nil"/>
            </w:tcBorders>
            <w:shd w:val="clear" w:color="auto" w:fill="auto"/>
            <w:vAlign w:val="center"/>
            <w:hideMark/>
          </w:tcPr>
          <w:p w14:paraId="0F737A99" w14:textId="77777777" w:rsidR="00BD3539" w:rsidRPr="00BD3539" w:rsidRDefault="00BD3539" w:rsidP="00BD3539">
            <w:pPr>
              <w:spacing w:after="0" w:line="240" w:lineRule="auto"/>
              <w:rPr>
                <w:rFonts w:ascii="Times New Roman" w:eastAsia="Times New Roman" w:hAnsi="Times New Roman" w:cs="Times New Roman"/>
                <w:b/>
                <w:bCs/>
                <w:color w:val="FF0000"/>
                <w:sz w:val="16"/>
                <w:szCs w:val="16"/>
                <w:lang w:eastAsia="sk-SK"/>
              </w:rPr>
            </w:pPr>
          </w:p>
        </w:tc>
      </w:tr>
      <w:tr w:rsidR="00BD3539" w:rsidRPr="00BD3539" w14:paraId="667308CF" w14:textId="77777777" w:rsidTr="006E5A9E">
        <w:trPr>
          <w:trHeight w:val="270"/>
        </w:trPr>
        <w:tc>
          <w:tcPr>
            <w:tcW w:w="3828" w:type="dxa"/>
            <w:tcBorders>
              <w:top w:val="nil"/>
              <w:left w:val="nil"/>
              <w:bottom w:val="nil"/>
              <w:right w:val="nil"/>
            </w:tcBorders>
            <w:shd w:val="clear" w:color="auto" w:fill="auto"/>
            <w:noWrap/>
            <w:vAlign w:val="center"/>
            <w:hideMark/>
          </w:tcPr>
          <w:p w14:paraId="2B4FA4DA" w14:textId="77777777" w:rsidR="00BD3539" w:rsidRPr="00BD3539" w:rsidRDefault="00BD3539" w:rsidP="00BD3539">
            <w:pPr>
              <w:spacing w:after="0" w:line="240" w:lineRule="auto"/>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Daň z príjmov fyzických osôb</w:t>
            </w:r>
          </w:p>
        </w:tc>
        <w:tc>
          <w:tcPr>
            <w:tcW w:w="874" w:type="dxa"/>
            <w:tcBorders>
              <w:top w:val="nil"/>
              <w:left w:val="nil"/>
              <w:bottom w:val="nil"/>
              <w:right w:val="nil"/>
            </w:tcBorders>
            <w:shd w:val="clear" w:color="auto" w:fill="auto"/>
            <w:noWrap/>
            <w:vAlign w:val="center"/>
            <w:hideMark/>
          </w:tcPr>
          <w:p w14:paraId="2974185D" w14:textId="77777777" w:rsidR="00BD3539" w:rsidRPr="00BD3539" w:rsidRDefault="00BD3539" w:rsidP="00BD3539">
            <w:pPr>
              <w:spacing w:after="0" w:line="240" w:lineRule="auto"/>
              <w:jc w:val="center"/>
              <w:rPr>
                <w:rFonts w:ascii="Times New Roman" w:eastAsia="Times New Roman" w:hAnsi="Times New Roman" w:cs="Times New Roman"/>
                <w:color w:val="FF0000"/>
                <w:sz w:val="16"/>
                <w:szCs w:val="16"/>
                <w:lang w:eastAsia="sk-SK"/>
              </w:rPr>
            </w:pPr>
            <w:r w:rsidRPr="00BD3539">
              <w:rPr>
                <w:rFonts w:ascii="Times New Roman" w:eastAsia="Times New Roman" w:hAnsi="Times New Roman" w:cs="Times New Roman"/>
                <w:color w:val="000000"/>
                <w:sz w:val="16"/>
                <w:szCs w:val="16"/>
                <w:lang w:eastAsia="sk-SK"/>
              </w:rPr>
              <w:t>553 060</w:t>
            </w:r>
          </w:p>
        </w:tc>
        <w:tc>
          <w:tcPr>
            <w:tcW w:w="874" w:type="dxa"/>
            <w:tcBorders>
              <w:top w:val="nil"/>
              <w:left w:val="nil"/>
              <w:bottom w:val="nil"/>
              <w:right w:val="nil"/>
            </w:tcBorders>
            <w:shd w:val="clear" w:color="auto" w:fill="auto"/>
            <w:noWrap/>
            <w:vAlign w:val="center"/>
          </w:tcPr>
          <w:p w14:paraId="65D7611A" w14:textId="77777777" w:rsidR="00BD3539" w:rsidRPr="00BD3539" w:rsidRDefault="00BD3539" w:rsidP="00BD3539">
            <w:pPr>
              <w:spacing w:after="0" w:line="240" w:lineRule="auto"/>
              <w:jc w:val="center"/>
              <w:rPr>
                <w:rFonts w:ascii="Times New Roman" w:eastAsia="Times New Roman" w:hAnsi="Times New Roman" w:cs="Times New Roman"/>
                <w:color w:val="FF0000"/>
                <w:sz w:val="16"/>
                <w:szCs w:val="16"/>
                <w:lang w:eastAsia="sk-SK"/>
              </w:rPr>
            </w:pPr>
            <w:r w:rsidRPr="00BD3539">
              <w:rPr>
                <w:rFonts w:ascii="Times New Roman" w:eastAsia="Times New Roman" w:hAnsi="Times New Roman" w:cs="Times New Roman"/>
                <w:color w:val="000000"/>
                <w:sz w:val="16"/>
                <w:szCs w:val="16"/>
                <w:lang w:eastAsia="sk-SK"/>
              </w:rPr>
              <w:t>638 408</w:t>
            </w:r>
          </w:p>
        </w:tc>
        <w:tc>
          <w:tcPr>
            <w:tcW w:w="874" w:type="dxa"/>
            <w:tcBorders>
              <w:top w:val="nil"/>
              <w:left w:val="nil"/>
              <w:bottom w:val="nil"/>
              <w:right w:val="nil"/>
            </w:tcBorders>
            <w:shd w:val="clear" w:color="auto" w:fill="auto"/>
            <w:noWrap/>
            <w:vAlign w:val="center"/>
          </w:tcPr>
          <w:p w14:paraId="12B520ED" w14:textId="77777777" w:rsidR="00BD3539" w:rsidRPr="00BD3539" w:rsidRDefault="00BD3539" w:rsidP="00BD3539">
            <w:pPr>
              <w:spacing w:after="0" w:line="240" w:lineRule="auto"/>
              <w:jc w:val="center"/>
              <w:rPr>
                <w:rFonts w:ascii="Times New Roman" w:eastAsia="Times New Roman" w:hAnsi="Times New Roman" w:cs="Times New Roman"/>
                <w:color w:val="FF0000"/>
                <w:sz w:val="16"/>
                <w:szCs w:val="16"/>
                <w:lang w:eastAsia="sk-SK"/>
              </w:rPr>
            </w:pPr>
            <w:r w:rsidRPr="00BD3539">
              <w:rPr>
                <w:rFonts w:ascii="Times New Roman" w:eastAsia="Times New Roman" w:hAnsi="Times New Roman" w:cs="Times New Roman"/>
                <w:color w:val="000000"/>
                <w:sz w:val="16"/>
                <w:szCs w:val="16"/>
                <w:lang w:eastAsia="sk-SK"/>
              </w:rPr>
              <w:t>1 296 738</w:t>
            </w:r>
          </w:p>
        </w:tc>
        <w:tc>
          <w:tcPr>
            <w:tcW w:w="874" w:type="dxa"/>
            <w:tcBorders>
              <w:top w:val="nil"/>
              <w:left w:val="nil"/>
              <w:bottom w:val="nil"/>
              <w:right w:val="nil"/>
            </w:tcBorders>
            <w:shd w:val="clear" w:color="auto" w:fill="auto"/>
            <w:noWrap/>
            <w:vAlign w:val="center"/>
          </w:tcPr>
          <w:p w14:paraId="49BCEEF3" w14:textId="77777777" w:rsidR="00BD3539" w:rsidRPr="00BD3539" w:rsidRDefault="00BD3539" w:rsidP="00BD3539">
            <w:pPr>
              <w:spacing w:after="0" w:line="240" w:lineRule="auto"/>
              <w:jc w:val="center"/>
              <w:rPr>
                <w:rFonts w:ascii="Times New Roman" w:eastAsia="Times New Roman" w:hAnsi="Times New Roman" w:cs="Times New Roman"/>
                <w:color w:val="FF0000"/>
                <w:sz w:val="16"/>
                <w:szCs w:val="16"/>
                <w:lang w:eastAsia="sk-SK"/>
              </w:rPr>
            </w:pPr>
            <w:r w:rsidRPr="00BD3539">
              <w:rPr>
                <w:rFonts w:ascii="Times New Roman" w:eastAsia="Times New Roman" w:hAnsi="Times New Roman" w:cs="Times New Roman"/>
                <w:color w:val="000000"/>
                <w:sz w:val="16"/>
                <w:szCs w:val="16"/>
                <w:lang w:eastAsia="sk-SK"/>
              </w:rPr>
              <w:t>1 307 803</w:t>
            </w:r>
          </w:p>
        </w:tc>
        <w:tc>
          <w:tcPr>
            <w:tcW w:w="874" w:type="dxa"/>
            <w:tcBorders>
              <w:top w:val="single" w:sz="4" w:space="0" w:color="auto"/>
              <w:left w:val="nil"/>
              <w:bottom w:val="nil"/>
              <w:right w:val="nil"/>
            </w:tcBorders>
            <w:shd w:val="clear" w:color="auto" w:fill="auto"/>
            <w:noWrap/>
            <w:vAlign w:val="center"/>
          </w:tcPr>
          <w:p w14:paraId="7027CBB9" w14:textId="77777777" w:rsidR="00BD3539" w:rsidRPr="00BD3539" w:rsidRDefault="00BD3539" w:rsidP="00BD3539">
            <w:pPr>
              <w:spacing w:after="0" w:line="240" w:lineRule="auto"/>
              <w:jc w:val="center"/>
              <w:rPr>
                <w:rFonts w:ascii="Times New Roman" w:eastAsia="Times New Roman" w:hAnsi="Times New Roman" w:cs="Times New Roman"/>
                <w:color w:val="FF0000"/>
                <w:sz w:val="16"/>
                <w:szCs w:val="16"/>
                <w:lang w:eastAsia="sk-SK"/>
              </w:rPr>
            </w:pPr>
            <w:r w:rsidRPr="00BD3539">
              <w:rPr>
                <w:rFonts w:ascii="Times New Roman" w:eastAsia="Times New Roman" w:hAnsi="Times New Roman" w:cs="Times New Roman"/>
                <w:color w:val="000000"/>
                <w:sz w:val="16"/>
                <w:szCs w:val="16"/>
                <w:lang w:eastAsia="sk-SK"/>
              </w:rPr>
              <w:t>994 495</w:t>
            </w:r>
          </w:p>
        </w:tc>
        <w:tc>
          <w:tcPr>
            <w:tcW w:w="874" w:type="dxa"/>
            <w:tcBorders>
              <w:top w:val="single" w:sz="4" w:space="0" w:color="auto"/>
              <w:left w:val="nil"/>
              <w:bottom w:val="nil"/>
              <w:right w:val="nil"/>
            </w:tcBorders>
            <w:shd w:val="clear" w:color="auto" w:fill="auto"/>
            <w:noWrap/>
            <w:vAlign w:val="center"/>
          </w:tcPr>
          <w:p w14:paraId="41BF642E" w14:textId="77777777" w:rsidR="00BD3539" w:rsidRPr="00BD3539" w:rsidRDefault="00BD3539" w:rsidP="00BD3539">
            <w:pPr>
              <w:spacing w:after="0" w:line="240" w:lineRule="auto"/>
              <w:jc w:val="center"/>
              <w:rPr>
                <w:rFonts w:ascii="Times New Roman" w:eastAsia="Times New Roman" w:hAnsi="Times New Roman" w:cs="Times New Roman"/>
                <w:color w:val="FF0000"/>
                <w:sz w:val="16"/>
                <w:szCs w:val="16"/>
                <w:lang w:eastAsia="sk-SK"/>
              </w:rPr>
            </w:pPr>
            <w:r w:rsidRPr="00BD3539">
              <w:rPr>
                <w:rFonts w:ascii="Times New Roman" w:eastAsia="Times New Roman" w:hAnsi="Times New Roman" w:cs="Times New Roman"/>
                <w:color w:val="000000"/>
                <w:sz w:val="16"/>
                <w:szCs w:val="16"/>
                <w:lang w:eastAsia="sk-SK"/>
              </w:rPr>
              <w:t>1 004 111</w:t>
            </w:r>
          </w:p>
        </w:tc>
      </w:tr>
      <w:tr w:rsidR="00BD3539" w:rsidRPr="00BD3539" w14:paraId="21A77DE2" w14:textId="77777777" w:rsidTr="006E5A9E">
        <w:trPr>
          <w:trHeight w:val="270"/>
        </w:trPr>
        <w:tc>
          <w:tcPr>
            <w:tcW w:w="3828" w:type="dxa"/>
            <w:tcBorders>
              <w:top w:val="nil"/>
              <w:left w:val="nil"/>
              <w:bottom w:val="nil"/>
              <w:right w:val="nil"/>
            </w:tcBorders>
            <w:shd w:val="clear" w:color="auto" w:fill="auto"/>
            <w:noWrap/>
            <w:vAlign w:val="center"/>
            <w:hideMark/>
          </w:tcPr>
          <w:p w14:paraId="6625CDB4" w14:textId="77777777" w:rsidR="00BD3539" w:rsidRPr="00BD3539" w:rsidRDefault="00BD3539" w:rsidP="00BD3539">
            <w:pPr>
              <w:spacing w:after="0" w:line="240" w:lineRule="auto"/>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Daň z príjmov právnických osôb</w:t>
            </w:r>
          </w:p>
        </w:tc>
        <w:tc>
          <w:tcPr>
            <w:tcW w:w="874" w:type="dxa"/>
            <w:tcBorders>
              <w:top w:val="nil"/>
              <w:left w:val="nil"/>
              <w:bottom w:val="nil"/>
              <w:right w:val="nil"/>
            </w:tcBorders>
            <w:shd w:val="clear" w:color="auto" w:fill="auto"/>
            <w:noWrap/>
            <w:vAlign w:val="center"/>
          </w:tcPr>
          <w:p w14:paraId="535170C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333 954</w:t>
            </w:r>
          </w:p>
        </w:tc>
        <w:tc>
          <w:tcPr>
            <w:tcW w:w="874" w:type="dxa"/>
            <w:tcBorders>
              <w:top w:val="nil"/>
              <w:left w:val="nil"/>
              <w:bottom w:val="nil"/>
              <w:right w:val="nil"/>
            </w:tcBorders>
            <w:shd w:val="clear" w:color="auto" w:fill="auto"/>
            <w:noWrap/>
            <w:vAlign w:val="center"/>
          </w:tcPr>
          <w:p w14:paraId="766105F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337 874</w:t>
            </w:r>
          </w:p>
        </w:tc>
        <w:tc>
          <w:tcPr>
            <w:tcW w:w="874" w:type="dxa"/>
            <w:tcBorders>
              <w:top w:val="nil"/>
              <w:left w:val="nil"/>
              <w:bottom w:val="nil"/>
              <w:right w:val="nil"/>
            </w:tcBorders>
            <w:shd w:val="clear" w:color="auto" w:fill="auto"/>
            <w:noWrap/>
            <w:vAlign w:val="center"/>
          </w:tcPr>
          <w:p w14:paraId="032FD0D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356 252</w:t>
            </w:r>
          </w:p>
        </w:tc>
        <w:tc>
          <w:tcPr>
            <w:tcW w:w="874" w:type="dxa"/>
            <w:tcBorders>
              <w:top w:val="nil"/>
              <w:left w:val="nil"/>
              <w:bottom w:val="nil"/>
              <w:right w:val="nil"/>
            </w:tcBorders>
            <w:shd w:val="clear" w:color="auto" w:fill="auto"/>
            <w:noWrap/>
            <w:vAlign w:val="center"/>
          </w:tcPr>
          <w:p w14:paraId="5C6BB3C7"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272 789</w:t>
            </w:r>
          </w:p>
        </w:tc>
        <w:tc>
          <w:tcPr>
            <w:tcW w:w="874" w:type="dxa"/>
            <w:tcBorders>
              <w:top w:val="nil"/>
              <w:left w:val="nil"/>
              <w:bottom w:val="nil"/>
              <w:right w:val="nil"/>
            </w:tcBorders>
            <w:shd w:val="clear" w:color="auto" w:fill="auto"/>
            <w:noWrap/>
            <w:vAlign w:val="center"/>
          </w:tcPr>
          <w:p w14:paraId="2ADCB3CF"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295 705</w:t>
            </w:r>
          </w:p>
        </w:tc>
        <w:tc>
          <w:tcPr>
            <w:tcW w:w="874" w:type="dxa"/>
            <w:tcBorders>
              <w:top w:val="nil"/>
              <w:left w:val="nil"/>
              <w:bottom w:val="nil"/>
              <w:right w:val="nil"/>
            </w:tcBorders>
            <w:shd w:val="clear" w:color="auto" w:fill="auto"/>
            <w:noWrap/>
            <w:vAlign w:val="center"/>
          </w:tcPr>
          <w:p w14:paraId="6FEAE6D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253 732</w:t>
            </w:r>
          </w:p>
        </w:tc>
      </w:tr>
      <w:tr w:rsidR="00BD3539" w:rsidRPr="00BD3539" w14:paraId="3AB51802" w14:textId="77777777" w:rsidTr="006E5A9E">
        <w:trPr>
          <w:trHeight w:val="270"/>
        </w:trPr>
        <w:tc>
          <w:tcPr>
            <w:tcW w:w="3828" w:type="dxa"/>
            <w:tcBorders>
              <w:top w:val="nil"/>
              <w:left w:val="nil"/>
              <w:bottom w:val="nil"/>
              <w:right w:val="nil"/>
            </w:tcBorders>
            <w:shd w:val="clear" w:color="auto" w:fill="auto"/>
            <w:noWrap/>
            <w:vAlign w:val="center"/>
          </w:tcPr>
          <w:p w14:paraId="31951999" w14:textId="77777777" w:rsidR="00BD3539" w:rsidRPr="00BD3539" w:rsidRDefault="00BD3539" w:rsidP="00BD3539">
            <w:pPr>
              <w:spacing w:after="0" w:line="240" w:lineRule="auto"/>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Daň z príjmov vyberaná zrážkou</w:t>
            </w:r>
          </w:p>
        </w:tc>
        <w:tc>
          <w:tcPr>
            <w:tcW w:w="874" w:type="dxa"/>
            <w:tcBorders>
              <w:top w:val="nil"/>
              <w:left w:val="nil"/>
              <w:bottom w:val="nil"/>
              <w:right w:val="nil"/>
            </w:tcBorders>
            <w:shd w:val="clear" w:color="auto" w:fill="auto"/>
            <w:noWrap/>
          </w:tcPr>
          <w:p w14:paraId="4003DBE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4 336</w:t>
            </w:r>
          </w:p>
        </w:tc>
        <w:tc>
          <w:tcPr>
            <w:tcW w:w="874" w:type="dxa"/>
            <w:tcBorders>
              <w:top w:val="nil"/>
              <w:left w:val="nil"/>
              <w:bottom w:val="nil"/>
              <w:right w:val="nil"/>
            </w:tcBorders>
            <w:shd w:val="clear" w:color="auto" w:fill="auto"/>
            <w:noWrap/>
          </w:tcPr>
          <w:p w14:paraId="6F17CDCF"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4 753</w:t>
            </w:r>
          </w:p>
        </w:tc>
        <w:tc>
          <w:tcPr>
            <w:tcW w:w="874" w:type="dxa"/>
            <w:tcBorders>
              <w:top w:val="nil"/>
              <w:left w:val="nil"/>
              <w:bottom w:val="nil"/>
              <w:right w:val="nil"/>
            </w:tcBorders>
            <w:shd w:val="clear" w:color="auto" w:fill="auto"/>
            <w:noWrap/>
          </w:tcPr>
          <w:p w14:paraId="7F3F746F"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6 137</w:t>
            </w:r>
          </w:p>
        </w:tc>
        <w:tc>
          <w:tcPr>
            <w:tcW w:w="874" w:type="dxa"/>
            <w:tcBorders>
              <w:top w:val="nil"/>
              <w:left w:val="nil"/>
              <w:bottom w:val="nil"/>
              <w:right w:val="nil"/>
            </w:tcBorders>
            <w:shd w:val="clear" w:color="auto" w:fill="auto"/>
            <w:noWrap/>
          </w:tcPr>
          <w:p w14:paraId="4062B871"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1 050</w:t>
            </w:r>
          </w:p>
        </w:tc>
        <w:tc>
          <w:tcPr>
            <w:tcW w:w="874" w:type="dxa"/>
            <w:tcBorders>
              <w:top w:val="nil"/>
              <w:left w:val="nil"/>
              <w:bottom w:val="nil"/>
              <w:right w:val="nil"/>
            </w:tcBorders>
            <w:shd w:val="clear" w:color="auto" w:fill="auto"/>
            <w:noWrap/>
          </w:tcPr>
          <w:p w14:paraId="264A931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1 103</w:t>
            </w:r>
          </w:p>
        </w:tc>
        <w:tc>
          <w:tcPr>
            <w:tcW w:w="874" w:type="dxa"/>
            <w:tcBorders>
              <w:top w:val="nil"/>
              <w:left w:val="nil"/>
              <w:bottom w:val="nil"/>
              <w:right w:val="nil"/>
            </w:tcBorders>
            <w:shd w:val="clear" w:color="auto" w:fill="auto"/>
            <w:noWrap/>
          </w:tcPr>
          <w:p w14:paraId="15FA344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1 158</w:t>
            </w:r>
          </w:p>
        </w:tc>
      </w:tr>
      <w:tr w:rsidR="00BD3539" w:rsidRPr="00BD3539" w14:paraId="3E6FBB3A" w14:textId="77777777" w:rsidTr="006E5A9E">
        <w:trPr>
          <w:trHeight w:val="270"/>
        </w:trPr>
        <w:tc>
          <w:tcPr>
            <w:tcW w:w="3828" w:type="dxa"/>
            <w:tcBorders>
              <w:top w:val="nil"/>
              <w:left w:val="nil"/>
              <w:bottom w:val="nil"/>
              <w:right w:val="nil"/>
            </w:tcBorders>
            <w:shd w:val="clear" w:color="auto" w:fill="auto"/>
            <w:noWrap/>
            <w:vAlign w:val="center"/>
            <w:hideMark/>
          </w:tcPr>
          <w:p w14:paraId="5066DABE" w14:textId="77777777" w:rsidR="00BD3539" w:rsidRPr="00BD3539" w:rsidRDefault="00BD3539" w:rsidP="00BD3539">
            <w:pPr>
              <w:spacing w:after="0" w:line="240" w:lineRule="auto"/>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Daň z pridanej hodnoty</w:t>
            </w:r>
          </w:p>
        </w:tc>
        <w:tc>
          <w:tcPr>
            <w:tcW w:w="874" w:type="dxa"/>
            <w:tcBorders>
              <w:top w:val="nil"/>
              <w:left w:val="nil"/>
              <w:bottom w:val="nil"/>
              <w:right w:val="nil"/>
            </w:tcBorders>
            <w:shd w:val="clear" w:color="auto" w:fill="auto"/>
            <w:noWrap/>
            <w:hideMark/>
          </w:tcPr>
          <w:p w14:paraId="14E298F2"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531 660</w:t>
            </w:r>
          </w:p>
        </w:tc>
        <w:tc>
          <w:tcPr>
            <w:tcW w:w="874" w:type="dxa"/>
            <w:tcBorders>
              <w:top w:val="nil"/>
              <w:left w:val="nil"/>
              <w:bottom w:val="nil"/>
              <w:right w:val="nil"/>
            </w:tcBorders>
            <w:shd w:val="clear" w:color="auto" w:fill="auto"/>
            <w:noWrap/>
          </w:tcPr>
          <w:p w14:paraId="5412414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572 801</w:t>
            </w:r>
          </w:p>
        </w:tc>
        <w:tc>
          <w:tcPr>
            <w:tcW w:w="874" w:type="dxa"/>
            <w:tcBorders>
              <w:top w:val="nil"/>
              <w:left w:val="nil"/>
              <w:bottom w:val="nil"/>
              <w:right w:val="nil"/>
            </w:tcBorders>
            <w:shd w:val="clear" w:color="auto" w:fill="auto"/>
            <w:noWrap/>
          </w:tcPr>
          <w:p w14:paraId="5B5FE217"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838 002</w:t>
            </w:r>
          </w:p>
        </w:tc>
        <w:tc>
          <w:tcPr>
            <w:tcW w:w="874" w:type="dxa"/>
            <w:tcBorders>
              <w:top w:val="nil"/>
              <w:left w:val="nil"/>
              <w:bottom w:val="nil"/>
              <w:right w:val="nil"/>
            </w:tcBorders>
            <w:shd w:val="clear" w:color="auto" w:fill="auto"/>
            <w:noWrap/>
            <w:vAlign w:val="center"/>
          </w:tcPr>
          <w:p w14:paraId="08717243"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858 008</w:t>
            </w:r>
          </w:p>
        </w:tc>
        <w:tc>
          <w:tcPr>
            <w:tcW w:w="874" w:type="dxa"/>
            <w:tcBorders>
              <w:top w:val="nil"/>
              <w:left w:val="nil"/>
              <w:bottom w:val="nil"/>
              <w:right w:val="nil"/>
            </w:tcBorders>
            <w:shd w:val="clear" w:color="auto" w:fill="auto"/>
            <w:noWrap/>
            <w:vAlign w:val="center"/>
          </w:tcPr>
          <w:p w14:paraId="03392905"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898 209</w:t>
            </w:r>
          </w:p>
        </w:tc>
        <w:tc>
          <w:tcPr>
            <w:tcW w:w="874" w:type="dxa"/>
            <w:tcBorders>
              <w:top w:val="nil"/>
              <w:left w:val="nil"/>
              <w:bottom w:val="nil"/>
              <w:right w:val="nil"/>
            </w:tcBorders>
            <w:shd w:val="clear" w:color="auto" w:fill="auto"/>
            <w:noWrap/>
            <w:vAlign w:val="center"/>
          </w:tcPr>
          <w:p w14:paraId="42E74C87"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930 927</w:t>
            </w:r>
          </w:p>
        </w:tc>
      </w:tr>
      <w:tr w:rsidR="00BD3539" w:rsidRPr="00BD3539" w14:paraId="71F9F20C" w14:textId="77777777" w:rsidTr="006E5A9E">
        <w:trPr>
          <w:trHeight w:val="270"/>
        </w:trPr>
        <w:tc>
          <w:tcPr>
            <w:tcW w:w="3828" w:type="dxa"/>
            <w:tcBorders>
              <w:top w:val="nil"/>
              <w:left w:val="nil"/>
              <w:bottom w:val="nil"/>
              <w:right w:val="nil"/>
            </w:tcBorders>
            <w:shd w:val="clear" w:color="auto" w:fill="auto"/>
            <w:noWrap/>
            <w:vAlign w:val="center"/>
            <w:hideMark/>
          </w:tcPr>
          <w:p w14:paraId="5F6E64EE" w14:textId="77777777" w:rsidR="00BD3539" w:rsidRPr="00BD3539" w:rsidRDefault="00BD3539" w:rsidP="00BD3539">
            <w:pPr>
              <w:spacing w:after="0" w:line="240" w:lineRule="auto"/>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Spotrebné dane</w:t>
            </w:r>
          </w:p>
        </w:tc>
        <w:tc>
          <w:tcPr>
            <w:tcW w:w="874" w:type="dxa"/>
            <w:tcBorders>
              <w:top w:val="nil"/>
              <w:left w:val="nil"/>
              <w:bottom w:val="nil"/>
              <w:right w:val="nil"/>
            </w:tcBorders>
            <w:shd w:val="clear" w:color="auto" w:fill="auto"/>
            <w:noWrap/>
            <w:hideMark/>
          </w:tcPr>
          <w:p w14:paraId="2922D588"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495 347</w:t>
            </w:r>
          </w:p>
        </w:tc>
        <w:tc>
          <w:tcPr>
            <w:tcW w:w="874" w:type="dxa"/>
            <w:tcBorders>
              <w:top w:val="nil"/>
              <w:left w:val="nil"/>
              <w:bottom w:val="nil"/>
              <w:right w:val="nil"/>
            </w:tcBorders>
            <w:shd w:val="clear" w:color="auto" w:fill="auto"/>
            <w:noWrap/>
          </w:tcPr>
          <w:p w14:paraId="3866786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433 180</w:t>
            </w:r>
          </w:p>
        </w:tc>
        <w:tc>
          <w:tcPr>
            <w:tcW w:w="874" w:type="dxa"/>
            <w:tcBorders>
              <w:top w:val="nil"/>
              <w:left w:val="nil"/>
              <w:bottom w:val="nil"/>
              <w:right w:val="nil"/>
            </w:tcBorders>
            <w:shd w:val="clear" w:color="auto" w:fill="auto"/>
            <w:noWrap/>
          </w:tcPr>
          <w:p w14:paraId="4E26EC60"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352 303</w:t>
            </w:r>
          </w:p>
        </w:tc>
        <w:tc>
          <w:tcPr>
            <w:tcW w:w="874" w:type="dxa"/>
            <w:tcBorders>
              <w:top w:val="nil"/>
              <w:left w:val="nil"/>
              <w:bottom w:val="nil"/>
              <w:right w:val="nil"/>
            </w:tcBorders>
            <w:shd w:val="clear" w:color="auto" w:fill="auto"/>
            <w:noWrap/>
          </w:tcPr>
          <w:p w14:paraId="4647059A"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207 682</w:t>
            </w:r>
          </w:p>
        </w:tc>
        <w:tc>
          <w:tcPr>
            <w:tcW w:w="874" w:type="dxa"/>
            <w:tcBorders>
              <w:top w:val="nil"/>
              <w:left w:val="nil"/>
              <w:bottom w:val="nil"/>
              <w:right w:val="nil"/>
            </w:tcBorders>
            <w:shd w:val="clear" w:color="auto" w:fill="auto"/>
            <w:noWrap/>
          </w:tcPr>
          <w:p w14:paraId="2DAEBFE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196 188</w:t>
            </w:r>
          </w:p>
        </w:tc>
        <w:tc>
          <w:tcPr>
            <w:tcW w:w="874" w:type="dxa"/>
            <w:tcBorders>
              <w:top w:val="nil"/>
              <w:left w:val="nil"/>
              <w:bottom w:val="nil"/>
              <w:right w:val="nil"/>
            </w:tcBorders>
            <w:shd w:val="clear" w:color="auto" w:fill="auto"/>
            <w:noWrap/>
          </w:tcPr>
          <w:p w14:paraId="240514C1"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102 148</w:t>
            </w:r>
          </w:p>
        </w:tc>
      </w:tr>
      <w:tr w:rsidR="00BD3539" w:rsidRPr="00BD3539" w14:paraId="39239DBA" w14:textId="77777777" w:rsidTr="006E5A9E">
        <w:trPr>
          <w:trHeight w:val="270"/>
        </w:trPr>
        <w:tc>
          <w:tcPr>
            <w:tcW w:w="3828" w:type="dxa"/>
            <w:tcBorders>
              <w:top w:val="nil"/>
              <w:left w:val="nil"/>
              <w:bottom w:val="nil"/>
              <w:right w:val="nil"/>
            </w:tcBorders>
            <w:shd w:val="clear" w:color="auto" w:fill="auto"/>
            <w:noWrap/>
            <w:vAlign w:val="center"/>
          </w:tcPr>
          <w:p w14:paraId="1CC7B092" w14:textId="77777777" w:rsidR="00BD3539" w:rsidRPr="00BD3539" w:rsidRDefault="00BD3539" w:rsidP="00BD3539">
            <w:pPr>
              <w:spacing w:after="0" w:line="240" w:lineRule="auto"/>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Sociálne poistenie</w:t>
            </w:r>
          </w:p>
        </w:tc>
        <w:tc>
          <w:tcPr>
            <w:tcW w:w="874" w:type="dxa"/>
            <w:tcBorders>
              <w:top w:val="nil"/>
              <w:left w:val="nil"/>
              <w:bottom w:val="nil"/>
              <w:right w:val="nil"/>
            </w:tcBorders>
            <w:shd w:val="clear" w:color="auto" w:fill="auto"/>
            <w:noWrap/>
          </w:tcPr>
          <w:p w14:paraId="33CD8E68"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874" w:type="dxa"/>
            <w:tcBorders>
              <w:top w:val="nil"/>
              <w:left w:val="nil"/>
              <w:bottom w:val="nil"/>
              <w:right w:val="nil"/>
            </w:tcBorders>
            <w:shd w:val="clear" w:color="auto" w:fill="auto"/>
            <w:noWrap/>
          </w:tcPr>
          <w:p w14:paraId="6FDCFC8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874" w:type="dxa"/>
            <w:tcBorders>
              <w:top w:val="nil"/>
              <w:left w:val="nil"/>
              <w:bottom w:val="nil"/>
              <w:right w:val="nil"/>
            </w:tcBorders>
            <w:shd w:val="clear" w:color="auto" w:fill="auto"/>
            <w:noWrap/>
          </w:tcPr>
          <w:p w14:paraId="0BD1A61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874" w:type="dxa"/>
            <w:tcBorders>
              <w:top w:val="nil"/>
              <w:left w:val="nil"/>
              <w:bottom w:val="nil"/>
              <w:right w:val="nil"/>
            </w:tcBorders>
            <w:shd w:val="clear" w:color="auto" w:fill="auto"/>
            <w:noWrap/>
          </w:tcPr>
          <w:p w14:paraId="04DD4D0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874" w:type="dxa"/>
            <w:tcBorders>
              <w:top w:val="nil"/>
              <w:left w:val="nil"/>
              <w:bottom w:val="nil"/>
              <w:right w:val="nil"/>
            </w:tcBorders>
            <w:shd w:val="clear" w:color="auto" w:fill="auto"/>
            <w:noWrap/>
          </w:tcPr>
          <w:p w14:paraId="38E0870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874" w:type="dxa"/>
            <w:tcBorders>
              <w:top w:val="nil"/>
              <w:left w:val="nil"/>
              <w:bottom w:val="nil"/>
              <w:right w:val="nil"/>
            </w:tcBorders>
            <w:shd w:val="clear" w:color="auto" w:fill="auto"/>
            <w:noWrap/>
          </w:tcPr>
          <w:p w14:paraId="18A97CC0"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r>
      <w:tr w:rsidR="00BD3539" w:rsidRPr="00BD3539" w14:paraId="5236A632" w14:textId="77777777" w:rsidTr="006E5A9E">
        <w:trPr>
          <w:trHeight w:val="270"/>
        </w:trPr>
        <w:tc>
          <w:tcPr>
            <w:tcW w:w="3828" w:type="dxa"/>
            <w:tcBorders>
              <w:top w:val="nil"/>
              <w:left w:val="nil"/>
              <w:bottom w:val="single" w:sz="4" w:space="0" w:color="auto"/>
              <w:right w:val="nil"/>
            </w:tcBorders>
            <w:shd w:val="clear" w:color="auto" w:fill="auto"/>
            <w:noWrap/>
            <w:vAlign w:val="center"/>
            <w:hideMark/>
          </w:tcPr>
          <w:p w14:paraId="2666C974" w14:textId="77777777" w:rsidR="00BD3539" w:rsidRPr="00BD3539" w:rsidRDefault="00BD3539" w:rsidP="00BD3539">
            <w:pPr>
              <w:spacing w:after="0" w:line="240" w:lineRule="auto"/>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 xml:space="preserve">Zdravotné poistenie </w:t>
            </w:r>
          </w:p>
        </w:tc>
        <w:tc>
          <w:tcPr>
            <w:tcW w:w="874" w:type="dxa"/>
            <w:tcBorders>
              <w:top w:val="nil"/>
              <w:left w:val="nil"/>
              <w:bottom w:val="single" w:sz="4" w:space="0" w:color="auto"/>
              <w:right w:val="nil"/>
            </w:tcBorders>
            <w:shd w:val="clear" w:color="auto" w:fill="auto"/>
            <w:noWrap/>
            <w:hideMark/>
          </w:tcPr>
          <w:p w14:paraId="504B3BA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101 484</w:t>
            </w:r>
          </w:p>
        </w:tc>
        <w:tc>
          <w:tcPr>
            <w:tcW w:w="874" w:type="dxa"/>
            <w:tcBorders>
              <w:top w:val="nil"/>
              <w:left w:val="nil"/>
              <w:bottom w:val="single" w:sz="4" w:space="0" w:color="auto"/>
              <w:right w:val="nil"/>
            </w:tcBorders>
            <w:shd w:val="clear" w:color="auto" w:fill="auto"/>
            <w:noWrap/>
          </w:tcPr>
          <w:p w14:paraId="713C980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107 206</w:t>
            </w:r>
          </w:p>
        </w:tc>
        <w:tc>
          <w:tcPr>
            <w:tcW w:w="874" w:type="dxa"/>
            <w:tcBorders>
              <w:top w:val="nil"/>
              <w:left w:val="nil"/>
              <w:bottom w:val="single" w:sz="4" w:space="0" w:color="auto"/>
              <w:right w:val="nil"/>
            </w:tcBorders>
            <w:shd w:val="clear" w:color="auto" w:fill="auto"/>
            <w:noWrap/>
          </w:tcPr>
          <w:p w14:paraId="3CA182B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152 623</w:t>
            </w:r>
          </w:p>
        </w:tc>
        <w:tc>
          <w:tcPr>
            <w:tcW w:w="874" w:type="dxa"/>
            <w:tcBorders>
              <w:top w:val="nil"/>
              <w:left w:val="nil"/>
              <w:bottom w:val="single" w:sz="4" w:space="0" w:color="auto"/>
              <w:right w:val="nil"/>
            </w:tcBorders>
            <w:shd w:val="clear" w:color="auto" w:fill="auto"/>
            <w:noWrap/>
          </w:tcPr>
          <w:p w14:paraId="1B205A42"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135 380</w:t>
            </w:r>
          </w:p>
        </w:tc>
        <w:tc>
          <w:tcPr>
            <w:tcW w:w="874" w:type="dxa"/>
            <w:tcBorders>
              <w:top w:val="nil"/>
              <w:left w:val="nil"/>
              <w:bottom w:val="single" w:sz="4" w:space="0" w:color="auto"/>
              <w:right w:val="nil"/>
            </w:tcBorders>
            <w:shd w:val="clear" w:color="auto" w:fill="auto"/>
            <w:noWrap/>
          </w:tcPr>
          <w:p w14:paraId="43335D2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143 079</w:t>
            </w:r>
          </w:p>
        </w:tc>
        <w:tc>
          <w:tcPr>
            <w:tcW w:w="874" w:type="dxa"/>
            <w:tcBorders>
              <w:top w:val="nil"/>
              <w:left w:val="nil"/>
              <w:bottom w:val="single" w:sz="4" w:space="0" w:color="auto"/>
              <w:right w:val="nil"/>
            </w:tcBorders>
            <w:shd w:val="clear" w:color="auto" w:fill="auto"/>
            <w:noWrap/>
          </w:tcPr>
          <w:p w14:paraId="2489B6C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147 802</w:t>
            </w:r>
          </w:p>
        </w:tc>
      </w:tr>
      <w:tr w:rsidR="00BD3539" w:rsidRPr="00BD3539" w14:paraId="584C61EB" w14:textId="77777777" w:rsidTr="006E5A9E">
        <w:trPr>
          <w:trHeight w:val="270"/>
        </w:trPr>
        <w:tc>
          <w:tcPr>
            <w:tcW w:w="3828" w:type="dxa"/>
            <w:tcBorders>
              <w:top w:val="nil"/>
              <w:left w:val="nil"/>
              <w:bottom w:val="nil"/>
              <w:right w:val="nil"/>
            </w:tcBorders>
            <w:shd w:val="clear" w:color="auto" w:fill="auto"/>
            <w:noWrap/>
            <w:vAlign w:val="center"/>
            <w:hideMark/>
          </w:tcPr>
          <w:p w14:paraId="1592B032" w14:textId="77777777" w:rsidR="00BD3539" w:rsidRPr="00BD3539" w:rsidRDefault="00BD3539" w:rsidP="00BD3539">
            <w:pPr>
              <w:spacing w:after="0" w:line="240" w:lineRule="auto"/>
              <w:rPr>
                <w:rFonts w:ascii="Times New Roman" w:eastAsia="Times New Roman" w:hAnsi="Times New Roman" w:cs="Times New Roman"/>
                <w:i/>
                <w:iCs/>
                <w:sz w:val="16"/>
                <w:szCs w:val="16"/>
                <w:lang w:eastAsia="sk-SK"/>
              </w:rPr>
            </w:pPr>
            <w:r w:rsidRPr="00BD3539">
              <w:rPr>
                <w:rFonts w:ascii="Times New Roman" w:eastAsia="Times New Roman" w:hAnsi="Times New Roman" w:cs="Times New Roman"/>
                <w:i/>
                <w:iCs/>
                <w:sz w:val="16"/>
                <w:szCs w:val="16"/>
                <w:lang w:eastAsia="sk-SK"/>
              </w:rPr>
              <w:t>Negatívne daňové výdavky</w:t>
            </w:r>
          </w:p>
        </w:tc>
        <w:tc>
          <w:tcPr>
            <w:tcW w:w="874" w:type="dxa"/>
            <w:tcBorders>
              <w:top w:val="nil"/>
              <w:left w:val="nil"/>
              <w:bottom w:val="nil"/>
              <w:right w:val="nil"/>
            </w:tcBorders>
            <w:shd w:val="clear" w:color="auto" w:fill="auto"/>
            <w:noWrap/>
            <w:hideMark/>
          </w:tcPr>
          <w:p w14:paraId="377E3473"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376 751</w:t>
            </w:r>
          </w:p>
        </w:tc>
        <w:tc>
          <w:tcPr>
            <w:tcW w:w="874" w:type="dxa"/>
            <w:tcBorders>
              <w:top w:val="nil"/>
              <w:left w:val="nil"/>
              <w:bottom w:val="nil"/>
              <w:right w:val="nil"/>
            </w:tcBorders>
            <w:shd w:val="clear" w:color="auto" w:fill="auto"/>
            <w:noWrap/>
          </w:tcPr>
          <w:p w14:paraId="7FAEE1C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408 110</w:t>
            </w:r>
          </w:p>
        </w:tc>
        <w:tc>
          <w:tcPr>
            <w:tcW w:w="874" w:type="dxa"/>
            <w:tcBorders>
              <w:top w:val="nil"/>
              <w:left w:val="nil"/>
              <w:bottom w:val="nil"/>
              <w:right w:val="nil"/>
            </w:tcBorders>
            <w:shd w:val="clear" w:color="auto" w:fill="auto"/>
            <w:noWrap/>
          </w:tcPr>
          <w:p w14:paraId="7318DD31"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447 657</w:t>
            </w:r>
          </w:p>
        </w:tc>
        <w:tc>
          <w:tcPr>
            <w:tcW w:w="874" w:type="dxa"/>
            <w:tcBorders>
              <w:top w:val="nil"/>
              <w:left w:val="nil"/>
              <w:bottom w:val="nil"/>
              <w:right w:val="nil"/>
            </w:tcBorders>
            <w:shd w:val="clear" w:color="auto" w:fill="auto"/>
            <w:noWrap/>
          </w:tcPr>
          <w:p w14:paraId="1BEAA6B3"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71 826</w:t>
            </w:r>
          </w:p>
        </w:tc>
        <w:tc>
          <w:tcPr>
            <w:tcW w:w="874" w:type="dxa"/>
            <w:tcBorders>
              <w:top w:val="nil"/>
              <w:left w:val="nil"/>
              <w:bottom w:val="nil"/>
              <w:right w:val="nil"/>
            </w:tcBorders>
            <w:shd w:val="clear" w:color="auto" w:fill="auto"/>
            <w:noWrap/>
          </w:tcPr>
          <w:p w14:paraId="1409EB4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72 916</w:t>
            </w:r>
          </w:p>
        </w:tc>
        <w:tc>
          <w:tcPr>
            <w:tcW w:w="874" w:type="dxa"/>
            <w:tcBorders>
              <w:top w:val="nil"/>
              <w:left w:val="nil"/>
              <w:bottom w:val="nil"/>
              <w:right w:val="nil"/>
            </w:tcBorders>
            <w:shd w:val="clear" w:color="auto" w:fill="auto"/>
            <w:noWrap/>
          </w:tcPr>
          <w:p w14:paraId="5B940338"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73 418</w:t>
            </w:r>
          </w:p>
        </w:tc>
      </w:tr>
      <w:tr w:rsidR="00BD3539" w:rsidRPr="00BD3539" w14:paraId="59F3989D" w14:textId="77777777" w:rsidTr="006E5A9E">
        <w:trPr>
          <w:trHeight w:val="270"/>
        </w:trPr>
        <w:tc>
          <w:tcPr>
            <w:tcW w:w="3828" w:type="dxa"/>
            <w:tcBorders>
              <w:top w:val="nil"/>
              <w:left w:val="nil"/>
              <w:bottom w:val="nil"/>
              <w:right w:val="nil"/>
            </w:tcBorders>
            <w:shd w:val="clear" w:color="auto" w:fill="auto"/>
            <w:noWrap/>
            <w:vAlign w:val="center"/>
            <w:hideMark/>
          </w:tcPr>
          <w:p w14:paraId="055567C4" w14:textId="77777777" w:rsidR="00BD3539" w:rsidRPr="00BD3539" w:rsidRDefault="00BD3539" w:rsidP="00BD3539">
            <w:pPr>
              <w:spacing w:after="0" w:line="240" w:lineRule="auto"/>
              <w:rPr>
                <w:rFonts w:ascii="Times New Roman" w:eastAsia="Times New Roman" w:hAnsi="Times New Roman" w:cs="Times New Roman"/>
                <w:i/>
                <w:iCs/>
                <w:sz w:val="16"/>
                <w:szCs w:val="16"/>
                <w:lang w:eastAsia="sk-SK"/>
              </w:rPr>
            </w:pPr>
            <w:r w:rsidRPr="00BD3539">
              <w:rPr>
                <w:rFonts w:ascii="Times New Roman" w:eastAsia="Times New Roman" w:hAnsi="Times New Roman" w:cs="Times New Roman"/>
                <w:i/>
                <w:iCs/>
                <w:sz w:val="16"/>
                <w:szCs w:val="16"/>
                <w:lang w:eastAsia="sk-SK"/>
              </w:rPr>
              <w:t xml:space="preserve">   - z toho daň z príjmov právnických osôb</w:t>
            </w:r>
          </w:p>
        </w:tc>
        <w:tc>
          <w:tcPr>
            <w:tcW w:w="874" w:type="dxa"/>
            <w:tcBorders>
              <w:top w:val="nil"/>
              <w:left w:val="nil"/>
              <w:bottom w:val="nil"/>
              <w:right w:val="nil"/>
            </w:tcBorders>
            <w:shd w:val="clear" w:color="auto" w:fill="auto"/>
            <w:noWrap/>
            <w:vAlign w:val="center"/>
            <w:hideMark/>
          </w:tcPr>
          <w:p w14:paraId="387A7331"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-36 005</w:t>
            </w:r>
          </w:p>
        </w:tc>
        <w:tc>
          <w:tcPr>
            <w:tcW w:w="874" w:type="dxa"/>
            <w:tcBorders>
              <w:top w:val="nil"/>
              <w:left w:val="nil"/>
              <w:bottom w:val="nil"/>
              <w:right w:val="nil"/>
            </w:tcBorders>
            <w:shd w:val="clear" w:color="auto" w:fill="auto"/>
            <w:noWrap/>
            <w:vAlign w:val="center"/>
            <w:hideMark/>
          </w:tcPr>
          <w:p w14:paraId="4CA1DFFD"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-30 050</w:t>
            </w:r>
          </w:p>
        </w:tc>
        <w:tc>
          <w:tcPr>
            <w:tcW w:w="874" w:type="dxa"/>
            <w:tcBorders>
              <w:top w:val="nil"/>
              <w:left w:val="nil"/>
              <w:bottom w:val="nil"/>
              <w:right w:val="nil"/>
            </w:tcBorders>
            <w:shd w:val="clear" w:color="auto" w:fill="auto"/>
            <w:noWrap/>
            <w:vAlign w:val="center"/>
            <w:hideMark/>
          </w:tcPr>
          <w:p w14:paraId="791AC7CC"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-30 050</w:t>
            </w:r>
          </w:p>
        </w:tc>
        <w:tc>
          <w:tcPr>
            <w:tcW w:w="874" w:type="dxa"/>
            <w:tcBorders>
              <w:top w:val="nil"/>
              <w:left w:val="nil"/>
              <w:bottom w:val="nil"/>
              <w:right w:val="nil"/>
            </w:tcBorders>
            <w:shd w:val="clear" w:color="auto" w:fill="auto"/>
            <w:noWrap/>
            <w:vAlign w:val="center"/>
            <w:hideMark/>
          </w:tcPr>
          <w:p w14:paraId="136FC39D"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-30 050</w:t>
            </w:r>
          </w:p>
        </w:tc>
        <w:tc>
          <w:tcPr>
            <w:tcW w:w="874" w:type="dxa"/>
            <w:tcBorders>
              <w:top w:val="nil"/>
              <w:left w:val="nil"/>
              <w:bottom w:val="nil"/>
              <w:right w:val="nil"/>
            </w:tcBorders>
            <w:shd w:val="clear" w:color="auto" w:fill="auto"/>
            <w:noWrap/>
            <w:vAlign w:val="center"/>
            <w:hideMark/>
          </w:tcPr>
          <w:p w14:paraId="41B02418"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-30 050</w:t>
            </w:r>
          </w:p>
        </w:tc>
        <w:tc>
          <w:tcPr>
            <w:tcW w:w="874" w:type="dxa"/>
            <w:tcBorders>
              <w:top w:val="nil"/>
              <w:left w:val="nil"/>
              <w:bottom w:val="nil"/>
              <w:right w:val="nil"/>
            </w:tcBorders>
            <w:shd w:val="clear" w:color="auto" w:fill="auto"/>
            <w:noWrap/>
            <w:vAlign w:val="center"/>
          </w:tcPr>
          <w:p w14:paraId="1D658031"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-30 050</w:t>
            </w:r>
          </w:p>
        </w:tc>
      </w:tr>
      <w:tr w:rsidR="00BD3539" w:rsidRPr="00BD3539" w14:paraId="3B664EFF" w14:textId="77777777" w:rsidTr="006E5A9E">
        <w:trPr>
          <w:trHeight w:val="270"/>
        </w:trPr>
        <w:tc>
          <w:tcPr>
            <w:tcW w:w="3828" w:type="dxa"/>
            <w:tcBorders>
              <w:top w:val="nil"/>
              <w:left w:val="nil"/>
              <w:bottom w:val="nil"/>
              <w:right w:val="nil"/>
            </w:tcBorders>
            <w:shd w:val="clear" w:color="auto" w:fill="auto"/>
            <w:noWrap/>
            <w:vAlign w:val="center"/>
            <w:hideMark/>
          </w:tcPr>
          <w:p w14:paraId="71329D71" w14:textId="77777777" w:rsidR="00BD3539" w:rsidRPr="00BD3539" w:rsidRDefault="00BD3539" w:rsidP="00BD3539">
            <w:pPr>
              <w:spacing w:after="0" w:line="240" w:lineRule="auto"/>
              <w:rPr>
                <w:rFonts w:ascii="Times New Roman" w:eastAsia="Times New Roman" w:hAnsi="Times New Roman" w:cs="Times New Roman"/>
                <w:i/>
                <w:iCs/>
                <w:sz w:val="16"/>
                <w:szCs w:val="16"/>
                <w:lang w:eastAsia="sk-SK"/>
              </w:rPr>
            </w:pPr>
            <w:r w:rsidRPr="00BD3539">
              <w:rPr>
                <w:rFonts w:ascii="Times New Roman" w:eastAsia="Times New Roman" w:hAnsi="Times New Roman" w:cs="Times New Roman"/>
                <w:i/>
                <w:iCs/>
                <w:sz w:val="16"/>
                <w:szCs w:val="16"/>
                <w:lang w:eastAsia="sk-SK"/>
              </w:rPr>
              <w:t xml:space="preserve">   - z toho daň z príjmov fyzických osôb</w:t>
            </w:r>
          </w:p>
        </w:tc>
        <w:tc>
          <w:tcPr>
            <w:tcW w:w="874" w:type="dxa"/>
            <w:tcBorders>
              <w:top w:val="nil"/>
              <w:left w:val="nil"/>
              <w:bottom w:val="nil"/>
              <w:right w:val="nil"/>
            </w:tcBorders>
            <w:shd w:val="clear" w:color="auto" w:fill="auto"/>
            <w:noWrap/>
            <w:vAlign w:val="center"/>
            <w:hideMark/>
          </w:tcPr>
          <w:p w14:paraId="3DCEF329"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-304</w:t>
            </w:r>
          </w:p>
        </w:tc>
        <w:tc>
          <w:tcPr>
            <w:tcW w:w="874" w:type="dxa"/>
            <w:tcBorders>
              <w:top w:val="nil"/>
              <w:left w:val="nil"/>
              <w:bottom w:val="nil"/>
              <w:right w:val="nil"/>
            </w:tcBorders>
            <w:shd w:val="clear" w:color="auto" w:fill="auto"/>
            <w:noWrap/>
            <w:vAlign w:val="center"/>
            <w:hideMark/>
          </w:tcPr>
          <w:p w14:paraId="47533027"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-319</w:t>
            </w:r>
          </w:p>
        </w:tc>
        <w:tc>
          <w:tcPr>
            <w:tcW w:w="874" w:type="dxa"/>
            <w:tcBorders>
              <w:top w:val="nil"/>
              <w:left w:val="nil"/>
              <w:bottom w:val="nil"/>
              <w:right w:val="nil"/>
            </w:tcBorders>
            <w:shd w:val="clear" w:color="auto" w:fill="auto"/>
            <w:noWrap/>
            <w:vAlign w:val="center"/>
            <w:hideMark/>
          </w:tcPr>
          <w:p w14:paraId="5D6B3437"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-335</w:t>
            </w:r>
          </w:p>
        </w:tc>
        <w:tc>
          <w:tcPr>
            <w:tcW w:w="874" w:type="dxa"/>
            <w:tcBorders>
              <w:top w:val="nil"/>
              <w:left w:val="nil"/>
              <w:bottom w:val="nil"/>
              <w:right w:val="nil"/>
            </w:tcBorders>
            <w:shd w:val="clear" w:color="auto" w:fill="auto"/>
            <w:noWrap/>
            <w:vAlign w:val="center"/>
            <w:hideMark/>
          </w:tcPr>
          <w:p w14:paraId="74BEF8F8"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-352</w:t>
            </w:r>
          </w:p>
        </w:tc>
        <w:tc>
          <w:tcPr>
            <w:tcW w:w="874" w:type="dxa"/>
            <w:tcBorders>
              <w:top w:val="nil"/>
              <w:left w:val="nil"/>
              <w:bottom w:val="nil"/>
              <w:right w:val="nil"/>
            </w:tcBorders>
            <w:shd w:val="clear" w:color="auto" w:fill="auto"/>
            <w:noWrap/>
            <w:vAlign w:val="center"/>
            <w:hideMark/>
          </w:tcPr>
          <w:p w14:paraId="5D623DE0"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-370</w:t>
            </w:r>
          </w:p>
        </w:tc>
        <w:tc>
          <w:tcPr>
            <w:tcW w:w="874" w:type="dxa"/>
            <w:tcBorders>
              <w:top w:val="nil"/>
              <w:left w:val="nil"/>
              <w:bottom w:val="nil"/>
              <w:right w:val="nil"/>
            </w:tcBorders>
            <w:shd w:val="clear" w:color="auto" w:fill="auto"/>
            <w:noWrap/>
            <w:vAlign w:val="center"/>
          </w:tcPr>
          <w:p w14:paraId="1CEC96EA"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-388</w:t>
            </w:r>
          </w:p>
        </w:tc>
      </w:tr>
      <w:tr w:rsidR="00BD3539" w:rsidRPr="00BD3539" w14:paraId="1DC9F404" w14:textId="77777777" w:rsidTr="006E5A9E">
        <w:trPr>
          <w:trHeight w:val="270"/>
        </w:trPr>
        <w:tc>
          <w:tcPr>
            <w:tcW w:w="3828" w:type="dxa"/>
            <w:tcBorders>
              <w:top w:val="single" w:sz="4" w:space="0" w:color="auto"/>
              <w:left w:val="nil"/>
              <w:bottom w:val="nil"/>
              <w:right w:val="nil"/>
            </w:tcBorders>
            <w:shd w:val="clear" w:color="auto" w:fill="auto"/>
            <w:noWrap/>
            <w:vAlign w:val="center"/>
            <w:hideMark/>
          </w:tcPr>
          <w:p w14:paraId="5EF16B1F" w14:textId="77777777" w:rsidR="00BD3539" w:rsidRPr="00BD3539" w:rsidRDefault="00BD3539" w:rsidP="00BD3539">
            <w:pPr>
              <w:spacing w:after="0" w:line="240" w:lineRule="auto"/>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Orientačná výška daňových výdavkov*</w:t>
            </w:r>
          </w:p>
        </w:tc>
        <w:tc>
          <w:tcPr>
            <w:tcW w:w="874" w:type="dxa"/>
            <w:tcBorders>
              <w:top w:val="single" w:sz="4" w:space="0" w:color="auto"/>
              <w:left w:val="nil"/>
              <w:bottom w:val="nil"/>
              <w:right w:val="nil"/>
            </w:tcBorders>
            <w:shd w:val="clear" w:color="auto" w:fill="auto"/>
            <w:noWrap/>
            <w:vAlign w:val="center"/>
            <w:hideMark/>
          </w:tcPr>
          <w:p w14:paraId="6EA75FF9" w14:textId="77777777" w:rsidR="00BD3539" w:rsidRPr="00BD3539" w:rsidRDefault="00BD3539" w:rsidP="00BD3539">
            <w:pPr>
              <w:spacing w:after="0" w:line="240" w:lineRule="auto"/>
              <w:jc w:val="center"/>
              <w:rPr>
                <w:rFonts w:ascii="Times New Roman" w:eastAsia="Times New Roman" w:hAnsi="Times New Roman" w:cs="Times New Roman"/>
                <w:b/>
                <w:color w:val="000000"/>
                <w:sz w:val="16"/>
                <w:szCs w:val="16"/>
                <w:lang w:eastAsia="sk-SK"/>
              </w:rPr>
            </w:pPr>
            <w:r w:rsidRPr="00BD3539">
              <w:rPr>
                <w:rFonts w:ascii="Times New Roman" w:eastAsia="Times New Roman" w:hAnsi="Times New Roman" w:cs="Times New Roman"/>
                <w:b/>
                <w:color w:val="000000"/>
                <w:sz w:val="16"/>
                <w:szCs w:val="16"/>
                <w:lang w:eastAsia="sk-SK"/>
              </w:rPr>
              <w:t>2 396 592</w:t>
            </w:r>
          </w:p>
        </w:tc>
        <w:tc>
          <w:tcPr>
            <w:tcW w:w="874" w:type="dxa"/>
            <w:tcBorders>
              <w:top w:val="single" w:sz="4" w:space="0" w:color="auto"/>
              <w:left w:val="nil"/>
              <w:bottom w:val="nil"/>
              <w:right w:val="nil"/>
            </w:tcBorders>
            <w:shd w:val="clear" w:color="auto" w:fill="auto"/>
            <w:noWrap/>
            <w:vAlign w:val="center"/>
            <w:hideMark/>
          </w:tcPr>
          <w:p w14:paraId="2619B9E3" w14:textId="77777777" w:rsidR="00BD3539" w:rsidRPr="00BD3539" w:rsidRDefault="00BD3539" w:rsidP="00BD3539">
            <w:pPr>
              <w:spacing w:after="0" w:line="240" w:lineRule="auto"/>
              <w:jc w:val="center"/>
              <w:rPr>
                <w:rFonts w:ascii="Times New Roman" w:eastAsia="Times New Roman" w:hAnsi="Times New Roman" w:cs="Times New Roman"/>
                <w:b/>
                <w:color w:val="000000"/>
                <w:sz w:val="16"/>
                <w:szCs w:val="16"/>
                <w:lang w:eastAsia="sk-SK"/>
              </w:rPr>
            </w:pPr>
            <w:r w:rsidRPr="00BD3539">
              <w:rPr>
                <w:rFonts w:ascii="Times New Roman" w:eastAsia="Times New Roman" w:hAnsi="Times New Roman" w:cs="Times New Roman"/>
                <w:b/>
                <w:color w:val="000000"/>
                <w:sz w:val="16"/>
                <w:szCs w:val="16"/>
                <w:lang w:eastAsia="sk-SK"/>
              </w:rPr>
              <w:t>2 502 331</w:t>
            </w:r>
          </w:p>
        </w:tc>
        <w:tc>
          <w:tcPr>
            <w:tcW w:w="874" w:type="dxa"/>
            <w:tcBorders>
              <w:top w:val="single" w:sz="4" w:space="0" w:color="auto"/>
              <w:left w:val="nil"/>
              <w:bottom w:val="nil"/>
              <w:right w:val="nil"/>
            </w:tcBorders>
            <w:shd w:val="clear" w:color="auto" w:fill="auto"/>
            <w:noWrap/>
            <w:vAlign w:val="center"/>
            <w:hideMark/>
          </w:tcPr>
          <w:p w14:paraId="43FCF8A1" w14:textId="77777777" w:rsidR="00BD3539" w:rsidRPr="00BD3539" w:rsidRDefault="00BD3539" w:rsidP="00BD3539">
            <w:pPr>
              <w:spacing w:after="0" w:line="240" w:lineRule="auto"/>
              <w:jc w:val="center"/>
              <w:rPr>
                <w:rFonts w:ascii="Times New Roman" w:eastAsia="Times New Roman" w:hAnsi="Times New Roman" w:cs="Times New Roman"/>
                <w:b/>
                <w:color w:val="000000"/>
                <w:sz w:val="16"/>
                <w:szCs w:val="16"/>
                <w:lang w:eastAsia="sk-SK"/>
              </w:rPr>
            </w:pPr>
            <w:r w:rsidRPr="00BD3539">
              <w:rPr>
                <w:rFonts w:ascii="Times New Roman" w:eastAsia="Times New Roman" w:hAnsi="Times New Roman" w:cs="Times New Roman"/>
                <w:b/>
                <w:color w:val="000000"/>
                <w:sz w:val="16"/>
                <w:szCs w:val="16"/>
                <w:lang w:eastAsia="sk-SK"/>
              </w:rPr>
              <w:t>3 449 834</w:t>
            </w:r>
          </w:p>
        </w:tc>
        <w:tc>
          <w:tcPr>
            <w:tcW w:w="874" w:type="dxa"/>
            <w:tcBorders>
              <w:top w:val="single" w:sz="4" w:space="0" w:color="auto"/>
              <w:left w:val="nil"/>
              <w:bottom w:val="nil"/>
              <w:right w:val="nil"/>
            </w:tcBorders>
            <w:shd w:val="clear" w:color="auto" w:fill="auto"/>
            <w:noWrap/>
            <w:vAlign w:val="center"/>
            <w:hideMark/>
          </w:tcPr>
          <w:p w14:paraId="5ADB170C" w14:textId="77777777" w:rsidR="00BD3539" w:rsidRPr="00BD3539" w:rsidRDefault="00BD3539" w:rsidP="00BD3539">
            <w:pPr>
              <w:spacing w:after="0" w:line="240" w:lineRule="auto"/>
              <w:jc w:val="center"/>
              <w:rPr>
                <w:rFonts w:ascii="Times New Roman" w:eastAsia="Times New Roman" w:hAnsi="Times New Roman" w:cs="Times New Roman"/>
                <w:b/>
                <w:color w:val="000000"/>
                <w:sz w:val="16"/>
                <w:szCs w:val="16"/>
                <w:lang w:eastAsia="sk-SK"/>
              </w:rPr>
            </w:pPr>
            <w:r w:rsidRPr="00BD3539">
              <w:rPr>
                <w:rFonts w:ascii="Times New Roman" w:eastAsia="Times New Roman" w:hAnsi="Times New Roman" w:cs="Times New Roman"/>
                <w:b/>
                <w:color w:val="000000"/>
                <w:sz w:val="16"/>
                <w:szCs w:val="16"/>
                <w:lang w:eastAsia="sk-SK"/>
              </w:rPr>
              <w:t>2 883 156</w:t>
            </w:r>
          </w:p>
        </w:tc>
        <w:tc>
          <w:tcPr>
            <w:tcW w:w="874" w:type="dxa"/>
            <w:tcBorders>
              <w:top w:val="single" w:sz="4" w:space="0" w:color="auto"/>
              <w:left w:val="nil"/>
              <w:bottom w:val="nil"/>
              <w:right w:val="nil"/>
            </w:tcBorders>
            <w:shd w:val="clear" w:color="auto" w:fill="auto"/>
            <w:noWrap/>
            <w:vAlign w:val="center"/>
            <w:hideMark/>
          </w:tcPr>
          <w:p w14:paraId="22100A0B" w14:textId="77777777" w:rsidR="00BD3539" w:rsidRPr="00BD3539" w:rsidRDefault="00BD3539" w:rsidP="00BD3539">
            <w:pPr>
              <w:spacing w:after="0" w:line="240" w:lineRule="auto"/>
              <w:jc w:val="center"/>
              <w:rPr>
                <w:rFonts w:ascii="Times New Roman" w:eastAsia="Times New Roman" w:hAnsi="Times New Roman" w:cs="Times New Roman"/>
                <w:b/>
                <w:color w:val="000000"/>
                <w:sz w:val="16"/>
                <w:szCs w:val="16"/>
                <w:lang w:eastAsia="sk-SK"/>
              </w:rPr>
            </w:pPr>
            <w:r w:rsidRPr="00BD3539">
              <w:rPr>
                <w:rFonts w:ascii="Times New Roman" w:eastAsia="Times New Roman" w:hAnsi="Times New Roman" w:cs="Times New Roman"/>
                <w:b/>
                <w:color w:val="000000"/>
                <w:sz w:val="16"/>
                <w:szCs w:val="16"/>
                <w:lang w:eastAsia="sk-SK"/>
              </w:rPr>
              <w:t>2 626 608</w:t>
            </w:r>
          </w:p>
        </w:tc>
        <w:tc>
          <w:tcPr>
            <w:tcW w:w="874" w:type="dxa"/>
            <w:tcBorders>
              <w:top w:val="single" w:sz="4" w:space="0" w:color="auto"/>
              <w:left w:val="nil"/>
              <w:bottom w:val="nil"/>
              <w:right w:val="nil"/>
            </w:tcBorders>
            <w:shd w:val="clear" w:color="auto" w:fill="auto"/>
            <w:noWrap/>
            <w:vAlign w:val="center"/>
          </w:tcPr>
          <w:p w14:paraId="5C5E03F0" w14:textId="77777777" w:rsidR="00BD3539" w:rsidRPr="00BD3539" w:rsidRDefault="00BD3539" w:rsidP="00BD3539">
            <w:pPr>
              <w:spacing w:after="0" w:line="240" w:lineRule="auto"/>
              <w:jc w:val="center"/>
              <w:rPr>
                <w:rFonts w:ascii="Times New Roman" w:eastAsia="Times New Roman" w:hAnsi="Times New Roman" w:cs="Times New Roman"/>
                <w:b/>
                <w:color w:val="000000"/>
                <w:sz w:val="16"/>
                <w:szCs w:val="16"/>
                <w:lang w:eastAsia="sk-SK"/>
              </w:rPr>
            </w:pPr>
            <w:r w:rsidRPr="00BD3539">
              <w:rPr>
                <w:rFonts w:ascii="Times New Roman" w:eastAsia="Times New Roman" w:hAnsi="Times New Roman" w:cs="Times New Roman"/>
                <w:b/>
                <w:color w:val="000000"/>
                <w:sz w:val="16"/>
                <w:szCs w:val="16"/>
                <w:lang w:eastAsia="sk-SK"/>
              </w:rPr>
              <w:t>2 557 698</w:t>
            </w:r>
          </w:p>
        </w:tc>
      </w:tr>
      <w:tr w:rsidR="00BD3539" w:rsidRPr="00BD3539" w14:paraId="1FD9EC22" w14:textId="77777777" w:rsidTr="006E5A9E">
        <w:trPr>
          <w:trHeight w:val="270"/>
        </w:trPr>
        <w:tc>
          <w:tcPr>
            <w:tcW w:w="3828" w:type="dxa"/>
            <w:tcBorders>
              <w:top w:val="nil"/>
              <w:left w:val="nil"/>
              <w:bottom w:val="nil"/>
              <w:right w:val="nil"/>
            </w:tcBorders>
            <w:shd w:val="clear" w:color="auto" w:fill="auto"/>
            <w:noWrap/>
            <w:vAlign w:val="center"/>
            <w:hideMark/>
          </w:tcPr>
          <w:p w14:paraId="67A31185" w14:textId="77777777" w:rsidR="00BD3539" w:rsidRPr="00BD3539" w:rsidRDefault="00BD3539" w:rsidP="00BD3539">
            <w:pPr>
              <w:spacing w:after="0" w:line="240" w:lineRule="auto"/>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 xml:space="preserve">   </w:t>
            </w:r>
            <w:r w:rsidRPr="00BD3539">
              <w:rPr>
                <w:rFonts w:ascii="Times New Roman" w:eastAsia="Times New Roman" w:hAnsi="Times New Roman" w:cs="Times New Roman"/>
                <w:bCs/>
                <w:sz w:val="16"/>
                <w:szCs w:val="16"/>
                <w:lang w:eastAsia="sk-SK"/>
              </w:rPr>
              <w:t>v % daňových príjmov**</w:t>
            </w:r>
          </w:p>
        </w:tc>
        <w:tc>
          <w:tcPr>
            <w:tcW w:w="874" w:type="dxa"/>
            <w:tcBorders>
              <w:top w:val="nil"/>
              <w:left w:val="nil"/>
              <w:bottom w:val="nil"/>
              <w:right w:val="nil"/>
            </w:tcBorders>
            <w:shd w:val="clear" w:color="auto" w:fill="auto"/>
            <w:noWrap/>
            <w:vAlign w:val="center"/>
            <w:hideMark/>
          </w:tcPr>
          <w:p w14:paraId="75E413E0"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7,9</w:t>
            </w:r>
          </w:p>
        </w:tc>
        <w:tc>
          <w:tcPr>
            <w:tcW w:w="874" w:type="dxa"/>
            <w:tcBorders>
              <w:top w:val="nil"/>
              <w:left w:val="nil"/>
              <w:bottom w:val="nil"/>
              <w:right w:val="nil"/>
            </w:tcBorders>
            <w:shd w:val="clear" w:color="auto" w:fill="auto"/>
            <w:noWrap/>
            <w:vAlign w:val="center"/>
            <w:hideMark/>
          </w:tcPr>
          <w:p w14:paraId="49DB5C2E"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7,5</w:t>
            </w:r>
          </w:p>
        </w:tc>
        <w:tc>
          <w:tcPr>
            <w:tcW w:w="874" w:type="dxa"/>
            <w:tcBorders>
              <w:top w:val="nil"/>
              <w:left w:val="nil"/>
              <w:bottom w:val="nil"/>
              <w:right w:val="nil"/>
            </w:tcBorders>
            <w:shd w:val="clear" w:color="auto" w:fill="auto"/>
            <w:noWrap/>
            <w:vAlign w:val="center"/>
            <w:hideMark/>
          </w:tcPr>
          <w:p w14:paraId="7F6C2873"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9,5</w:t>
            </w:r>
          </w:p>
        </w:tc>
        <w:tc>
          <w:tcPr>
            <w:tcW w:w="874" w:type="dxa"/>
            <w:tcBorders>
              <w:top w:val="nil"/>
              <w:left w:val="nil"/>
              <w:bottom w:val="nil"/>
              <w:right w:val="nil"/>
            </w:tcBorders>
            <w:shd w:val="clear" w:color="auto" w:fill="auto"/>
            <w:noWrap/>
            <w:vAlign w:val="center"/>
            <w:hideMark/>
          </w:tcPr>
          <w:p w14:paraId="7358B883"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7,3</w:t>
            </w:r>
          </w:p>
        </w:tc>
        <w:tc>
          <w:tcPr>
            <w:tcW w:w="874" w:type="dxa"/>
            <w:tcBorders>
              <w:top w:val="nil"/>
              <w:left w:val="nil"/>
              <w:bottom w:val="nil"/>
              <w:right w:val="nil"/>
            </w:tcBorders>
            <w:shd w:val="clear" w:color="auto" w:fill="auto"/>
            <w:noWrap/>
            <w:vAlign w:val="center"/>
            <w:hideMark/>
          </w:tcPr>
          <w:p w14:paraId="2DAB79C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6,4</w:t>
            </w:r>
          </w:p>
        </w:tc>
        <w:tc>
          <w:tcPr>
            <w:tcW w:w="874" w:type="dxa"/>
            <w:tcBorders>
              <w:top w:val="nil"/>
              <w:left w:val="nil"/>
              <w:bottom w:val="nil"/>
              <w:right w:val="nil"/>
            </w:tcBorders>
            <w:shd w:val="clear" w:color="auto" w:fill="auto"/>
            <w:noWrap/>
            <w:vAlign w:val="center"/>
          </w:tcPr>
          <w:p w14:paraId="266C327F"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5,9</w:t>
            </w:r>
          </w:p>
        </w:tc>
      </w:tr>
      <w:tr w:rsidR="00BD3539" w:rsidRPr="00BD3539" w14:paraId="74905CFA" w14:textId="77777777" w:rsidTr="006E5A9E">
        <w:trPr>
          <w:trHeight w:val="270"/>
        </w:trPr>
        <w:tc>
          <w:tcPr>
            <w:tcW w:w="3828" w:type="dxa"/>
            <w:tcBorders>
              <w:top w:val="nil"/>
              <w:left w:val="nil"/>
              <w:bottom w:val="nil"/>
              <w:right w:val="nil"/>
            </w:tcBorders>
            <w:shd w:val="clear" w:color="auto" w:fill="auto"/>
            <w:noWrap/>
            <w:vAlign w:val="center"/>
            <w:hideMark/>
          </w:tcPr>
          <w:p w14:paraId="06449E76" w14:textId="77777777" w:rsidR="00BD3539" w:rsidRPr="00BD3539" w:rsidRDefault="00BD3539" w:rsidP="00BD3539">
            <w:pPr>
              <w:spacing w:after="0" w:line="240" w:lineRule="auto"/>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 xml:space="preserve">   </w:t>
            </w:r>
            <w:r w:rsidRPr="00BD3539">
              <w:rPr>
                <w:rFonts w:ascii="Times New Roman" w:eastAsia="Times New Roman" w:hAnsi="Times New Roman" w:cs="Times New Roman"/>
                <w:bCs/>
                <w:sz w:val="16"/>
                <w:szCs w:val="16"/>
                <w:lang w:eastAsia="sk-SK"/>
              </w:rPr>
              <w:t>v % HDP*</w:t>
            </w:r>
          </w:p>
        </w:tc>
        <w:tc>
          <w:tcPr>
            <w:tcW w:w="874" w:type="dxa"/>
            <w:tcBorders>
              <w:top w:val="nil"/>
              <w:left w:val="nil"/>
              <w:bottom w:val="nil"/>
              <w:right w:val="nil"/>
            </w:tcBorders>
            <w:shd w:val="clear" w:color="auto" w:fill="auto"/>
            <w:noWrap/>
            <w:vAlign w:val="center"/>
            <w:hideMark/>
          </w:tcPr>
          <w:p w14:paraId="117FBAA2"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2,4</w:t>
            </w:r>
          </w:p>
        </w:tc>
        <w:tc>
          <w:tcPr>
            <w:tcW w:w="874" w:type="dxa"/>
            <w:tcBorders>
              <w:top w:val="nil"/>
              <w:left w:val="nil"/>
              <w:bottom w:val="nil"/>
              <w:right w:val="nil"/>
            </w:tcBorders>
            <w:shd w:val="clear" w:color="auto" w:fill="auto"/>
            <w:noWrap/>
            <w:vAlign w:val="center"/>
            <w:hideMark/>
          </w:tcPr>
          <w:p w14:paraId="6C27A14E"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2,3</w:t>
            </w:r>
          </w:p>
        </w:tc>
        <w:tc>
          <w:tcPr>
            <w:tcW w:w="874" w:type="dxa"/>
            <w:tcBorders>
              <w:top w:val="nil"/>
              <w:left w:val="nil"/>
              <w:bottom w:val="nil"/>
              <w:right w:val="nil"/>
            </w:tcBorders>
            <w:shd w:val="clear" w:color="auto" w:fill="auto"/>
            <w:noWrap/>
            <w:vAlign w:val="center"/>
            <w:hideMark/>
          </w:tcPr>
          <w:p w14:paraId="47641FFA"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2,8</w:t>
            </w:r>
          </w:p>
        </w:tc>
        <w:tc>
          <w:tcPr>
            <w:tcW w:w="874" w:type="dxa"/>
            <w:tcBorders>
              <w:top w:val="nil"/>
              <w:left w:val="nil"/>
              <w:bottom w:val="nil"/>
              <w:right w:val="nil"/>
            </w:tcBorders>
            <w:shd w:val="clear" w:color="auto" w:fill="auto"/>
            <w:noWrap/>
            <w:vAlign w:val="center"/>
            <w:hideMark/>
          </w:tcPr>
          <w:p w14:paraId="672B905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2,2</w:t>
            </w:r>
          </w:p>
        </w:tc>
        <w:tc>
          <w:tcPr>
            <w:tcW w:w="874" w:type="dxa"/>
            <w:tcBorders>
              <w:top w:val="nil"/>
              <w:left w:val="nil"/>
              <w:bottom w:val="nil"/>
              <w:right w:val="nil"/>
            </w:tcBorders>
            <w:shd w:val="clear" w:color="auto" w:fill="auto"/>
            <w:noWrap/>
            <w:vAlign w:val="center"/>
            <w:hideMark/>
          </w:tcPr>
          <w:p w14:paraId="0D4E11C3"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1,9</w:t>
            </w:r>
          </w:p>
        </w:tc>
        <w:tc>
          <w:tcPr>
            <w:tcW w:w="874" w:type="dxa"/>
            <w:tcBorders>
              <w:top w:val="nil"/>
              <w:left w:val="nil"/>
              <w:bottom w:val="nil"/>
              <w:right w:val="nil"/>
            </w:tcBorders>
            <w:shd w:val="clear" w:color="auto" w:fill="auto"/>
            <w:noWrap/>
            <w:vAlign w:val="center"/>
          </w:tcPr>
          <w:p w14:paraId="070C0E61"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1,7</w:t>
            </w:r>
          </w:p>
        </w:tc>
      </w:tr>
      <w:tr w:rsidR="00BD3539" w:rsidRPr="00BD3539" w14:paraId="7203EBF9" w14:textId="77777777" w:rsidTr="006E5A9E">
        <w:trPr>
          <w:trHeight w:val="270"/>
        </w:trPr>
        <w:tc>
          <w:tcPr>
            <w:tcW w:w="3828" w:type="dxa"/>
            <w:tcBorders>
              <w:top w:val="single" w:sz="4" w:space="0" w:color="auto"/>
              <w:left w:val="nil"/>
              <w:bottom w:val="nil"/>
              <w:right w:val="nil"/>
            </w:tcBorders>
            <w:shd w:val="clear" w:color="auto" w:fill="auto"/>
            <w:noWrap/>
            <w:vAlign w:val="center"/>
            <w:hideMark/>
          </w:tcPr>
          <w:p w14:paraId="614BD66F" w14:textId="77777777" w:rsidR="00BD3539" w:rsidRPr="00BD3539" w:rsidRDefault="00BD3539" w:rsidP="00BD3539">
            <w:pPr>
              <w:spacing w:after="0" w:line="240" w:lineRule="auto"/>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Zmena výšky daňových výdavkov*</w:t>
            </w:r>
          </w:p>
        </w:tc>
        <w:tc>
          <w:tcPr>
            <w:tcW w:w="874" w:type="dxa"/>
            <w:tcBorders>
              <w:top w:val="single" w:sz="4" w:space="0" w:color="auto"/>
              <w:left w:val="nil"/>
              <w:bottom w:val="nil"/>
              <w:right w:val="nil"/>
            </w:tcBorders>
            <w:shd w:val="clear" w:color="auto" w:fill="auto"/>
            <w:noWrap/>
            <w:vAlign w:val="center"/>
            <w:hideMark/>
          </w:tcPr>
          <w:p w14:paraId="356E44A7" w14:textId="77777777" w:rsidR="00BD3539" w:rsidRPr="00BD3539" w:rsidRDefault="00BD3539" w:rsidP="00BD3539">
            <w:pPr>
              <w:spacing w:after="0" w:line="240" w:lineRule="auto"/>
              <w:jc w:val="center"/>
              <w:rPr>
                <w:rFonts w:ascii="Times New Roman" w:eastAsia="Times New Roman" w:hAnsi="Times New Roman" w:cs="Times New Roman"/>
                <w:b/>
                <w:color w:val="000000"/>
                <w:sz w:val="16"/>
                <w:szCs w:val="16"/>
                <w:lang w:eastAsia="sk-SK"/>
              </w:rPr>
            </w:pPr>
            <w:r w:rsidRPr="00BD3539">
              <w:rPr>
                <w:rFonts w:ascii="Times New Roman" w:eastAsia="Times New Roman" w:hAnsi="Times New Roman" w:cs="Times New Roman"/>
                <w:b/>
                <w:color w:val="000000"/>
                <w:sz w:val="16"/>
                <w:szCs w:val="16"/>
                <w:lang w:eastAsia="sk-SK"/>
              </w:rPr>
              <w:t>-50 997</w:t>
            </w:r>
          </w:p>
        </w:tc>
        <w:tc>
          <w:tcPr>
            <w:tcW w:w="874" w:type="dxa"/>
            <w:tcBorders>
              <w:top w:val="single" w:sz="4" w:space="0" w:color="auto"/>
              <w:left w:val="nil"/>
              <w:bottom w:val="nil"/>
              <w:right w:val="nil"/>
            </w:tcBorders>
            <w:shd w:val="clear" w:color="auto" w:fill="auto"/>
            <w:noWrap/>
            <w:vAlign w:val="center"/>
            <w:hideMark/>
          </w:tcPr>
          <w:p w14:paraId="624C9CD2" w14:textId="77777777" w:rsidR="00BD3539" w:rsidRPr="00BD3539" w:rsidRDefault="00BD3539" w:rsidP="00BD3539">
            <w:pPr>
              <w:spacing w:after="0" w:line="240" w:lineRule="auto"/>
              <w:jc w:val="center"/>
              <w:rPr>
                <w:rFonts w:ascii="Times New Roman" w:eastAsia="Times New Roman" w:hAnsi="Times New Roman" w:cs="Times New Roman"/>
                <w:b/>
                <w:color w:val="000000"/>
                <w:sz w:val="16"/>
                <w:szCs w:val="16"/>
                <w:lang w:eastAsia="sk-SK"/>
              </w:rPr>
            </w:pPr>
            <w:r w:rsidRPr="00BD3539">
              <w:rPr>
                <w:rFonts w:ascii="Times New Roman" w:eastAsia="Times New Roman" w:hAnsi="Times New Roman" w:cs="Times New Roman"/>
                <w:b/>
                <w:color w:val="000000"/>
                <w:sz w:val="16"/>
                <w:szCs w:val="16"/>
                <w:lang w:eastAsia="sk-SK"/>
              </w:rPr>
              <w:t>105 740</w:t>
            </w:r>
          </w:p>
        </w:tc>
        <w:tc>
          <w:tcPr>
            <w:tcW w:w="874" w:type="dxa"/>
            <w:tcBorders>
              <w:top w:val="single" w:sz="4" w:space="0" w:color="auto"/>
              <w:left w:val="nil"/>
              <w:bottom w:val="nil"/>
              <w:right w:val="nil"/>
            </w:tcBorders>
            <w:shd w:val="clear" w:color="auto" w:fill="auto"/>
            <w:noWrap/>
            <w:vAlign w:val="center"/>
            <w:hideMark/>
          </w:tcPr>
          <w:p w14:paraId="3029228B" w14:textId="77777777" w:rsidR="00BD3539" w:rsidRPr="00BD3539" w:rsidRDefault="00BD3539" w:rsidP="00BD3539">
            <w:pPr>
              <w:spacing w:after="0" w:line="240" w:lineRule="auto"/>
              <w:jc w:val="center"/>
              <w:rPr>
                <w:rFonts w:ascii="Times New Roman" w:eastAsia="Times New Roman" w:hAnsi="Times New Roman" w:cs="Times New Roman"/>
                <w:b/>
                <w:color w:val="000000"/>
                <w:sz w:val="16"/>
                <w:szCs w:val="16"/>
                <w:lang w:eastAsia="sk-SK"/>
              </w:rPr>
            </w:pPr>
            <w:r w:rsidRPr="00BD3539">
              <w:rPr>
                <w:rFonts w:ascii="Times New Roman" w:eastAsia="Times New Roman" w:hAnsi="Times New Roman" w:cs="Times New Roman"/>
                <w:b/>
                <w:color w:val="000000"/>
                <w:sz w:val="16"/>
                <w:szCs w:val="16"/>
                <w:lang w:eastAsia="sk-SK"/>
              </w:rPr>
              <w:t>947 503</w:t>
            </w:r>
          </w:p>
        </w:tc>
        <w:tc>
          <w:tcPr>
            <w:tcW w:w="874" w:type="dxa"/>
            <w:tcBorders>
              <w:top w:val="single" w:sz="4" w:space="0" w:color="auto"/>
              <w:left w:val="nil"/>
              <w:bottom w:val="nil"/>
              <w:right w:val="nil"/>
            </w:tcBorders>
            <w:shd w:val="clear" w:color="auto" w:fill="auto"/>
            <w:noWrap/>
            <w:vAlign w:val="center"/>
            <w:hideMark/>
          </w:tcPr>
          <w:p w14:paraId="351F0ACF" w14:textId="77777777" w:rsidR="00BD3539" w:rsidRPr="00BD3539" w:rsidRDefault="00BD3539" w:rsidP="00BD3539">
            <w:pPr>
              <w:spacing w:after="0" w:line="240" w:lineRule="auto"/>
              <w:jc w:val="center"/>
              <w:rPr>
                <w:rFonts w:ascii="Times New Roman" w:eastAsia="Times New Roman" w:hAnsi="Times New Roman" w:cs="Times New Roman"/>
                <w:b/>
                <w:color w:val="000000"/>
                <w:sz w:val="16"/>
                <w:szCs w:val="16"/>
                <w:lang w:eastAsia="sk-SK"/>
              </w:rPr>
            </w:pPr>
            <w:r w:rsidRPr="00BD3539">
              <w:rPr>
                <w:rFonts w:ascii="Times New Roman" w:eastAsia="Times New Roman" w:hAnsi="Times New Roman" w:cs="Times New Roman"/>
                <w:b/>
                <w:color w:val="000000"/>
                <w:sz w:val="16"/>
                <w:szCs w:val="16"/>
                <w:lang w:eastAsia="sk-SK"/>
              </w:rPr>
              <w:t>-566 678</w:t>
            </w:r>
          </w:p>
        </w:tc>
        <w:tc>
          <w:tcPr>
            <w:tcW w:w="874" w:type="dxa"/>
            <w:tcBorders>
              <w:top w:val="single" w:sz="4" w:space="0" w:color="auto"/>
              <w:left w:val="nil"/>
              <w:bottom w:val="nil"/>
              <w:right w:val="nil"/>
            </w:tcBorders>
            <w:shd w:val="clear" w:color="auto" w:fill="auto"/>
            <w:noWrap/>
            <w:vAlign w:val="center"/>
            <w:hideMark/>
          </w:tcPr>
          <w:p w14:paraId="02EE78A6" w14:textId="77777777" w:rsidR="00BD3539" w:rsidRPr="00BD3539" w:rsidRDefault="00BD3539" w:rsidP="00BD3539">
            <w:pPr>
              <w:spacing w:after="0" w:line="240" w:lineRule="auto"/>
              <w:jc w:val="center"/>
              <w:rPr>
                <w:rFonts w:ascii="Times New Roman" w:eastAsia="Times New Roman" w:hAnsi="Times New Roman" w:cs="Times New Roman"/>
                <w:b/>
                <w:color w:val="000000"/>
                <w:sz w:val="16"/>
                <w:szCs w:val="16"/>
                <w:lang w:eastAsia="sk-SK"/>
              </w:rPr>
            </w:pPr>
            <w:r w:rsidRPr="00BD3539">
              <w:rPr>
                <w:rFonts w:ascii="Times New Roman" w:eastAsia="Times New Roman" w:hAnsi="Times New Roman" w:cs="Times New Roman"/>
                <w:b/>
                <w:color w:val="000000"/>
                <w:sz w:val="16"/>
                <w:szCs w:val="16"/>
                <w:lang w:eastAsia="sk-SK"/>
              </w:rPr>
              <w:t>-256 548</w:t>
            </w:r>
          </w:p>
        </w:tc>
        <w:tc>
          <w:tcPr>
            <w:tcW w:w="874" w:type="dxa"/>
            <w:tcBorders>
              <w:top w:val="single" w:sz="4" w:space="0" w:color="auto"/>
              <w:left w:val="nil"/>
              <w:bottom w:val="nil"/>
              <w:right w:val="nil"/>
            </w:tcBorders>
            <w:shd w:val="clear" w:color="auto" w:fill="auto"/>
            <w:noWrap/>
            <w:vAlign w:val="center"/>
          </w:tcPr>
          <w:p w14:paraId="11973CCB" w14:textId="77777777" w:rsidR="00BD3539" w:rsidRPr="00BD3539" w:rsidRDefault="00BD3539" w:rsidP="00BD3539">
            <w:pPr>
              <w:spacing w:after="0" w:line="240" w:lineRule="auto"/>
              <w:jc w:val="center"/>
              <w:rPr>
                <w:rFonts w:ascii="Times New Roman" w:eastAsia="Times New Roman" w:hAnsi="Times New Roman" w:cs="Times New Roman"/>
                <w:b/>
                <w:color w:val="000000"/>
                <w:sz w:val="16"/>
                <w:szCs w:val="16"/>
                <w:lang w:eastAsia="sk-SK"/>
              </w:rPr>
            </w:pPr>
            <w:r w:rsidRPr="00BD3539">
              <w:rPr>
                <w:rFonts w:ascii="Times New Roman" w:eastAsia="Times New Roman" w:hAnsi="Times New Roman" w:cs="Times New Roman"/>
                <w:b/>
                <w:color w:val="000000"/>
                <w:sz w:val="16"/>
                <w:szCs w:val="16"/>
                <w:lang w:eastAsia="sk-SK"/>
              </w:rPr>
              <w:t>-68 910</w:t>
            </w:r>
          </w:p>
        </w:tc>
      </w:tr>
      <w:tr w:rsidR="00BD3539" w:rsidRPr="00BD3539" w14:paraId="114FC4AC" w14:textId="77777777" w:rsidTr="006E5A9E">
        <w:trPr>
          <w:trHeight w:val="270"/>
        </w:trPr>
        <w:tc>
          <w:tcPr>
            <w:tcW w:w="3828" w:type="dxa"/>
            <w:tcBorders>
              <w:top w:val="nil"/>
              <w:left w:val="nil"/>
              <w:bottom w:val="nil"/>
              <w:right w:val="nil"/>
            </w:tcBorders>
            <w:shd w:val="clear" w:color="auto" w:fill="auto"/>
            <w:noWrap/>
            <w:vAlign w:val="center"/>
            <w:hideMark/>
          </w:tcPr>
          <w:p w14:paraId="1B809117" w14:textId="77777777" w:rsidR="00BD3539" w:rsidRPr="00BD3539" w:rsidRDefault="00BD3539" w:rsidP="00BD3539">
            <w:pPr>
              <w:spacing w:after="0" w:line="240" w:lineRule="auto"/>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 xml:space="preserve">   </w:t>
            </w:r>
            <w:r w:rsidRPr="00BD3539">
              <w:rPr>
                <w:rFonts w:ascii="Times New Roman" w:eastAsia="Times New Roman" w:hAnsi="Times New Roman" w:cs="Times New Roman"/>
                <w:bCs/>
                <w:sz w:val="16"/>
                <w:szCs w:val="16"/>
                <w:lang w:eastAsia="sk-SK"/>
              </w:rPr>
              <w:t>v % daňových príjmov**</w:t>
            </w:r>
          </w:p>
        </w:tc>
        <w:tc>
          <w:tcPr>
            <w:tcW w:w="874" w:type="dxa"/>
            <w:tcBorders>
              <w:top w:val="nil"/>
              <w:left w:val="nil"/>
              <w:bottom w:val="nil"/>
              <w:right w:val="nil"/>
            </w:tcBorders>
            <w:shd w:val="clear" w:color="auto" w:fill="auto"/>
            <w:noWrap/>
            <w:vAlign w:val="center"/>
            <w:hideMark/>
          </w:tcPr>
          <w:p w14:paraId="2E4AECE8"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-1,0</w:t>
            </w:r>
          </w:p>
        </w:tc>
        <w:tc>
          <w:tcPr>
            <w:tcW w:w="874" w:type="dxa"/>
            <w:tcBorders>
              <w:top w:val="nil"/>
              <w:left w:val="nil"/>
              <w:bottom w:val="nil"/>
              <w:right w:val="nil"/>
            </w:tcBorders>
            <w:shd w:val="clear" w:color="auto" w:fill="auto"/>
            <w:noWrap/>
            <w:vAlign w:val="center"/>
            <w:hideMark/>
          </w:tcPr>
          <w:p w14:paraId="0B6F5A0D"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-0,4</w:t>
            </w:r>
          </w:p>
        </w:tc>
        <w:tc>
          <w:tcPr>
            <w:tcW w:w="874" w:type="dxa"/>
            <w:tcBorders>
              <w:top w:val="nil"/>
              <w:left w:val="nil"/>
              <w:bottom w:val="nil"/>
              <w:right w:val="nil"/>
            </w:tcBorders>
            <w:shd w:val="clear" w:color="auto" w:fill="auto"/>
            <w:noWrap/>
            <w:vAlign w:val="center"/>
            <w:hideMark/>
          </w:tcPr>
          <w:p w14:paraId="49DE4910"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2,0</w:t>
            </w:r>
          </w:p>
        </w:tc>
        <w:tc>
          <w:tcPr>
            <w:tcW w:w="874" w:type="dxa"/>
            <w:tcBorders>
              <w:top w:val="nil"/>
              <w:left w:val="nil"/>
              <w:bottom w:val="nil"/>
              <w:right w:val="nil"/>
            </w:tcBorders>
            <w:shd w:val="clear" w:color="auto" w:fill="auto"/>
            <w:noWrap/>
            <w:vAlign w:val="center"/>
            <w:hideMark/>
          </w:tcPr>
          <w:p w14:paraId="6FA5C852"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-2,2</w:t>
            </w:r>
          </w:p>
        </w:tc>
        <w:tc>
          <w:tcPr>
            <w:tcW w:w="874" w:type="dxa"/>
            <w:tcBorders>
              <w:top w:val="nil"/>
              <w:left w:val="nil"/>
              <w:bottom w:val="nil"/>
              <w:right w:val="nil"/>
            </w:tcBorders>
            <w:shd w:val="clear" w:color="auto" w:fill="auto"/>
            <w:noWrap/>
            <w:vAlign w:val="center"/>
            <w:hideMark/>
          </w:tcPr>
          <w:p w14:paraId="4602E601"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-0,9</w:t>
            </w:r>
          </w:p>
        </w:tc>
        <w:tc>
          <w:tcPr>
            <w:tcW w:w="874" w:type="dxa"/>
            <w:tcBorders>
              <w:top w:val="nil"/>
              <w:left w:val="nil"/>
              <w:bottom w:val="nil"/>
              <w:right w:val="nil"/>
            </w:tcBorders>
            <w:shd w:val="clear" w:color="auto" w:fill="auto"/>
            <w:noWrap/>
            <w:vAlign w:val="center"/>
          </w:tcPr>
          <w:p w14:paraId="783E83B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-0,4</w:t>
            </w:r>
          </w:p>
        </w:tc>
      </w:tr>
      <w:tr w:rsidR="00BD3539" w:rsidRPr="00BD3539" w14:paraId="5A402B6E" w14:textId="77777777" w:rsidTr="006E5A9E">
        <w:trPr>
          <w:trHeight w:val="270"/>
        </w:trPr>
        <w:tc>
          <w:tcPr>
            <w:tcW w:w="3828" w:type="dxa"/>
            <w:tcBorders>
              <w:top w:val="nil"/>
              <w:left w:val="nil"/>
              <w:bottom w:val="single" w:sz="4" w:space="0" w:color="auto"/>
              <w:right w:val="nil"/>
            </w:tcBorders>
            <w:shd w:val="clear" w:color="auto" w:fill="auto"/>
            <w:noWrap/>
            <w:vAlign w:val="center"/>
            <w:hideMark/>
          </w:tcPr>
          <w:p w14:paraId="3C38AF29" w14:textId="77777777" w:rsidR="00BD3539" w:rsidRPr="00BD3539" w:rsidRDefault="00BD3539" w:rsidP="00BD3539">
            <w:pPr>
              <w:spacing w:after="0" w:line="240" w:lineRule="auto"/>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 xml:space="preserve">   </w:t>
            </w:r>
            <w:r w:rsidRPr="00BD3539">
              <w:rPr>
                <w:rFonts w:ascii="Times New Roman" w:eastAsia="Times New Roman" w:hAnsi="Times New Roman" w:cs="Times New Roman"/>
                <w:bCs/>
                <w:sz w:val="16"/>
                <w:szCs w:val="16"/>
                <w:lang w:eastAsia="sk-SK"/>
              </w:rPr>
              <w:t>v % HDP*</w:t>
            </w:r>
          </w:p>
        </w:tc>
        <w:tc>
          <w:tcPr>
            <w:tcW w:w="874" w:type="dxa"/>
            <w:tcBorders>
              <w:top w:val="nil"/>
              <w:left w:val="nil"/>
              <w:bottom w:val="single" w:sz="4" w:space="0" w:color="auto"/>
              <w:right w:val="nil"/>
            </w:tcBorders>
            <w:shd w:val="clear" w:color="auto" w:fill="auto"/>
            <w:noWrap/>
            <w:vAlign w:val="center"/>
            <w:hideMark/>
          </w:tcPr>
          <w:p w14:paraId="65A485F8"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-0,2</w:t>
            </w:r>
          </w:p>
        </w:tc>
        <w:tc>
          <w:tcPr>
            <w:tcW w:w="874" w:type="dxa"/>
            <w:tcBorders>
              <w:top w:val="nil"/>
              <w:left w:val="nil"/>
              <w:bottom w:val="single" w:sz="4" w:space="0" w:color="auto"/>
              <w:right w:val="nil"/>
            </w:tcBorders>
            <w:shd w:val="clear" w:color="auto" w:fill="auto"/>
            <w:noWrap/>
            <w:vAlign w:val="center"/>
            <w:hideMark/>
          </w:tcPr>
          <w:p w14:paraId="73B45F45"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-0,1</w:t>
            </w:r>
          </w:p>
        </w:tc>
        <w:tc>
          <w:tcPr>
            <w:tcW w:w="874" w:type="dxa"/>
            <w:tcBorders>
              <w:top w:val="nil"/>
              <w:left w:val="nil"/>
              <w:bottom w:val="single" w:sz="4" w:space="0" w:color="auto"/>
              <w:right w:val="nil"/>
            </w:tcBorders>
            <w:shd w:val="clear" w:color="auto" w:fill="auto"/>
            <w:noWrap/>
            <w:vAlign w:val="center"/>
            <w:hideMark/>
          </w:tcPr>
          <w:p w14:paraId="69B7D4A6" w14:textId="77777777" w:rsidR="00BD3539" w:rsidRPr="00BD3539" w:rsidRDefault="00BD3539" w:rsidP="00BD3539">
            <w:pPr>
              <w:spacing w:after="0" w:line="240" w:lineRule="auto"/>
              <w:jc w:val="center"/>
              <w:rPr>
                <w:rFonts w:ascii="Times New Roman" w:eastAsia="Times New Roman" w:hAnsi="Times New Roman" w:cs="Times New Roman"/>
                <w:i/>
                <w:color w:val="000000"/>
                <w:sz w:val="16"/>
                <w:szCs w:val="16"/>
                <w:lang w:eastAsia="sk-SK"/>
              </w:rPr>
            </w:pPr>
            <w:r w:rsidRPr="00BD3539">
              <w:rPr>
                <w:rFonts w:ascii="Times New Roman" w:eastAsia="Times New Roman" w:hAnsi="Times New Roman" w:cs="Times New Roman"/>
                <w:i/>
                <w:color w:val="000000"/>
                <w:sz w:val="16"/>
                <w:szCs w:val="16"/>
                <w:lang w:eastAsia="sk-SK"/>
              </w:rPr>
              <w:t>0,5</w:t>
            </w:r>
          </w:p>
        </w:tc>
        <w:tc>
          <w:tcPr>
            <w:tcW w:w="874" w:type="dxa"/>
            <w:tcBorders>
              <w:top w:val="nil"/>
              <w:left w:val="nil"/>
              <w:bottom w:val="single" w:sz="4" w:space="0" w:color="auto"/>
              <w:right w:val="nil"/>
            </w:tcBorders>
            <w:shd w:val="clear" w:color="auto" w:fill="auto"/>
            <w:noWrap/>
            <w:vAlign w:val="center"/>
            <w:hideMark/>
          </w:tcPr>
          <w:p w14:paraId="4C65C470"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-0,6</w:t>
            </w:r>
          </w:p>
        </w:tc>
        <w:tc>
          <w:tcPr>
            <w:tcW w:w="874" w:type="dxa"/>
            <w:tcBorders>
              <w:top w:val="nil"/>
              <w:left w:val="nil"/>
              <w:bottom w:val="single" w:sz="4" w:space="0" w:color="auto"/>
              <w:right w:val="nil"/>
            </w:tcBorders>
            <w:shd w:val="clear" w:color="auto" w:fill="auto"/>
            <w:noWrap/>
            <w:vAlign w:val="center"/>
            <w:hideMark/>
          </w:tcPr>
          <w:p w14:paraId="772DD83F"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-0,3</w:t>
            </w:r>
          </w:p>
        </w:tc>
        <w:tc>
          <w:tcPr>
            <w:tcW w:w="874" w:type="dxa"/>
            <w:tcBorders>
              <w:top w:val="nil"/>
              <w:left w:val="nil"/>
              <w:bottom w:val="single" w:sz="4" w:space="0" w:color="auto"/>
              <w:right w:val="nil"/>
            </w:tcBorders>
            <w:shd w:val="clear" w:color="auto" w:fill="auto"/>
            <w:noWrap/>
            <w:vAlign w:val="center"/>
          </w:tcPr>
          <w:p w14:paraId="34CDE7B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-0,1</w:t>
            </w:r>
          </w:p>
        </w:tc>
      </w:tr>
    </w:tbl>
    <w:p w14:paraId="6ACEF8C5" w14:textId="77777777" w:rsidR="00BD3539" w:rsidRPr="00BD3539" w:rsidRDefault="00BD3539" w:rsidP="00BD3539">
      <w:pPr>
        <w:spacing w:after="0" w:line="240" w:lineRule="auto"/>
        <w:jc w:val="both"/>
        <w:rPr>
          <w:rFonts w:ascii="Times New Roman" w:eastAsia="Times New Roman" w:hAnsi="Times New Roman" w:cs="Times New Roman"/>
          <w:i/>
          <w:iCs/>
          <w:color w:val="000000"/>
          <w:sz w:val="16"/>
          <w:szCs w:val="16"/>
          <w:lang w:eastAsia="sk-SK"/>
        </w:rPr>
      </w:pPr>
      <w:r w:rsidRPr="00BD3539">
        <w:rPr>
          <w:rFonts w:ascii="Times New Roman" w:eastAsia="Times New Roman" w:hAnsi="Times New Roman" w:cs="Times New Roman"/>
          <w:i/>
          <w:iCs/>
          <w:color w:val="000000"/>
          <w:sz w:val="16"/>
          <w:szCs w:val="16"/>
          <w:lang w:eastAsia="sk-SK"/>
        </w:rPr>
        <w:t>* Súčet samostatne kvantifikovaných daňových výdavkov, čo môže byť spojené s chybou navzájom ovplyvňujúcich sa daňových výdavkov</w:t>
      </w:r>
    </w:p>
    <w:p w14:paraId="212A874B" w14:textId="77777777" w:rsidR="00BD3539" w:rsidRPr="00BD3539" w:rsidRDefault="00BD3539" w:rsidP="00BD3539">
      <w:pPr>
        <w:spacing w:after="0" w:line="240" w:lineRule="auto"/>
        <w:jc w:val="both"/>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i/>
          <w:iCs/>
          <w:color w:val="000000"/>
          <w:sz w:val="16"/>
          <w:szCs w:val="16"/>
          <w:lang w:eastAsia="sk-SK"/>
        </w:rPr>
        <w:t>** Podiel na súvisiacich daňových príjmoch</w:t>
      </w:r>
    </w:p>
    <w:p w14:paraId="7795071C" w14:textId="77777777" w:rsidR="00BD3539" w:rsidRPr="006C30CD" w:rsidRDefault="00BD3539" w:rsidP="00BD3539">
      <w:pPr>
        <w:spacing w:after="0" w:line="240" w:lineRule="auto"/>
        <w:jc w:val="both"/>
        <w:rPr>
          <w:rFonts w:ascii="Times New Roman" w:eastAsia="Times New Roman" w:hAnsi="Times New Roman" w:cs="Times New Roman"/>
          <w:sz w:val="24"/>
          <w:lang w:eastAsia="sk-SK"/>
        </w:rPr>
      </w:pPr>
    </w:p>
    <w:p w14:paraId="2B3EA639" w14:textId="77777777" w:rsidR="00BD3539" w:rsidRPr="00BD3539" w:rsidRDefault="00BD3539" w:rsidP="00BD3539">
      <w:pPr>
        <w:spacing w:after="0" w:line="240" w:lineRule="auto"/>
        <w:jc w:val="both"/>
        <w:rPr>
          <w:rFonts w:ascii="Times New Roman" w:eastAsia="Times New Roman" w:hAnsi="Times New Roman" w:cs="Times New Roman"/>
          <w:sz w:val="24"/>
          <w:szCs w:val="24"/>
          <w:lang w:eastAsia="sk-SK"/>
        </w:rPr>
      </w:pPr>
      <w:r w:rsidRPr="00BD3539">
        <w:rPr>
          <w:rFonts w:ascii="Times New Roman" w:eastAsia="Times New Roman" w:hAnsi="Times New Roman" w:cs="Times New Roman"/>
          <w:b/>
          <w:sz w:val="24"/>
          <w:szCs w:val="24"/>
          <w:lang w:eastAsia="sk-SK"/>
        </w:rPr>
        <w:t xml:space="preserve">Pri stanovenom </w:t>
      </w:r>
      <w:proofErr w:type="spellStart"/>
      <w:r w:rsidRPr="00BD3539">
        <w:rPr>
          <w:rFonts w:ascii="Times New Roman" w:eastAsia="Times New Roman" w:hAnsi="Times New Roman" w:cs="Times New Roman"/>
          <w:b/>
          <w:sz w:val="24"/>
          <w:szCs w:val="24"/>
          <w:lang w:eastAsia="sk-SK"/>
        </w:rPr>
        <w:t>benchmarku</w:t>
      </w:r>
      <w:proofErr w:type="spellEnd"/>
      <w:r w:rsidRPr="00BD3539">
        <w:rPr>
          <w:rFonts w:ascii="Times New Roman" w:eastAsia="Times New Roman" w:hAnsi="Times New Roman" w:cs="Times New Roman"/>
          <w:b/>
          <w:sz w:val="24"/>
          <w:szCs w:val="24"/>
          <w:lang w:eastAsia="sk-SK"/>
        </w:rPr>
        <w:t xml:space="preserve"> na úrovni aktuálnej legislatívy dosiahne úroveň daňových výdavkov v roku 2024 výšku 2 883 mil. eur (2,2 % HDP).</w:t>
      </w:r>
      <w:r w:rsidRPr="00BD3539">
        <w:rPr>
          <w:rFonts w:ascii="Times New Roman" w:eastAsia="Times New Roman" w:hAnsi="Times New Roman" w:cs="Times New Roman"/>
          <w:sz w:val="24"/>
          <w:szCs w:val="24"/>
          <w:lang w:eastAsia="sk-SK"/>
        </w:rPr>
        <w:t xml:space="preserve"> Celková výška daňových výdavkov je kvôli ich vzájomnému ovplyvňovaniu sa len orientačná. Za nárastom v roku 2024 je viacero faktorov. </w:t>
      </w:r>
    </w:p>
    <w:p w14:paraId="1D7BA5A9" w14:textId="77777777" w:rsidR="00BD3539" w:rsidRPr="00BD3539" w:rsidRDefault="00BD3539" w:rsidP="00BD3539">
      <w:pPr>
        <w:spacing w:after="0" w:line="240" w:lineRule="auto"/>
        <w:jc w:val="both"/>
        <w:rPr>
          <w:rFonts w:ascii="Times New Roman" w:eastAsia="Times New Roman" w:hAnsi="Times New Roman" w:cs="Times New Roman"/>
          <w:b/>
          <w:sz w:val="24"/>
          <w:szCs w:val="24"/>
          <w:lang w:eastAsia="sk-SK"/>
        </w:rPr>
      </w:pPr>
    </w:p>
    <w:p w14:paraId="2B8F0CC7" w14:textId="77777777" w:rsidR="00BD3539" w:rsidRPr="00BD3539" w:rsidRDefault="00BD3539" w:rsidP="00BD3539">
      <w:pPr>
        <w:spacing w:after="0" w:line="240" w:lineRule="auto"/>
        <w:jc w:val="both"/>
        <w:rPr>
          <w:rFonts w:ascii="Times New Roman" w:eastAsia="Times New Roman" w:hAnsi="Times New Roman" w:cs="Times New Roman"/>
          <w:sz w:val="24"/>
          <w:szCs w:val="24"/>
          <w:lang w:eastAsia="sk-SK"/>
        </w:rPr>
      </w:pPr>
      <w:r w:rsidRPr="00BD3539">
        <w:rPr>
          <w:rFonts w:ascii="Times New Roman" w:eastAsia="Times New Roman" w:hAnsi="Times New Roman" w:cs="Times New Roman"/>
          <w:b/>
          <w:sz w:val="24"/>
          <w:szCs w:val="24"/>
          <w:lang w:eastAsia="sk-SK"/>
        </w:rPr>
        <w:t>Výrazný nárast daňových výdavkov pri DPFO v rokoch 2023 a 2024 je aj pod vplyvom daňového bonusu na dieťa.</w:t>
      </w:r>
      <w:r w:rsidRPr="00BD3539">
        <w:rPr>
          <w:rFonts w:ascii="Times New Roman" w:eastAsia="Times New Roman" w:hAnsi="Times New Roman" w:cs="Times New Roman"/>
          <w:sz w:val="24"/>
          <w:szCs w:val="24"/>
          <w:lang w:eastAsia="sk-SK"/>
        </w:rPr>
        <w:t xml:space="preserve"> Ten je dočasne zvýšený od 1. januára 2023 na mesačné hodnoty 140 eur na dieťa do 18 rokov a 50 eur na staršie dieťa. Po 31. decembri 2024 sa bonus zníži na mesačnú hodnotu 100 eur na dieťa do 15 rokov a 50 eur na staršie dieťa. Zároveň sa upravili podmienky pre jeho získanie. Po novom vzniká nárok na daňový bonus od prvého zarobeného eura, avšak jeho celková výška je obmedzená najviac do určitého percenta čiastkového základu dane, ktoré závisí od počtu detí.</w:t>
      </w:r>
    </w:p>
    <w:p w14:paraId="29E9F39A" w14:textId="77777777" w:rsidR="00BD3539" w:rsidRPr="00BD3539" w:rsidRDefault="00BD3539" w:rsidP="00BD3539">
      <w:pPr>
        <w:spacing w:after="0" w:line="240" w:lineRule="auto"/>
        <w:jc w:val="both"/>
        <w:rPr>
          <w:rFonts w:ascii="Times New Roman" w:eastAsia="Times New Roman" w:hAnsi="Times New Roman" w:cs="Times New Roman"/>
          <w:sz w:val="24"/>
          <w:szCs w:val="24"/>
          <w:lang w:eastAsia="sk-SK"/>
        </w:rPr>
      </w:pPr>
    </w:p>
    <w:p w14:paraId="0F333576" w14:textId="77777777" w:rsidR="00BD3539" w:rsidRPr="00BD3539" w:rsidRDefault="00BD3539" w:rsidP="00BD3539">
      <w:pPr>
        <w:spacing w:after="0" w:line="240" w:lineRule="auto"/>
        <w:jc w:val="both"/>
        <w:rPr>
          <w:rFonts w:ascii="Times New Roman" w:eastAsia="Times New Roman" w:hAnsi="Times New Roman" w:cs="Times New Roman"/>
          <w:sz w:val="24"/>
          <w:szCs w:val="24"/>
          <w:lang w:eastAsia="sk-SK"/>
        </w:rPr>
      </w:pPr>
      <w:r w:rsidRPr="00BD3539">
        <w:rPr>
          <w:rFonts w:ascii="Times New Roman" w:eastAsia="Times New Roman" w:hAnsi="Times New Roman" w:cs="Times New Roman"/>
          <w:b/>
          <w:sz w:val="24"/>
          <w:szCs w:val="24"/>
          <w:lang w:eastAsia="sk-SK"/>
        </w:rPr>
        <w:t xml:space="preserve">Zmena daňových výdavkov pri DPPO je spôsobená </w:t>
      </w:r>
      <w:proofErr w:type="spellStart"/>
      <w:r w:rsidRPr="00BD3539">
        <w:rPr>
          <w:rFonts w:ascii="Times New Roman" w:eastAsia="Times New Roman" w:hAnsi="Times New Roman" w:cs="Times New Roman"/>
          <w:b/>
          <w:sz w:val="24"/>
          <w:szCs w:val="24"/>
          <w:lang w:eastAsia="sk-SK"/>
        </w:rPr>
        <w:t>znovazavedením</w:t>
      </w:r>
      <w:proofErr w:type="spellEnd"/>
      <w:r w:rsidRPr="00BD3539">
        <w:rPr>
          <w:rFonts w:ascii="Times New Roman" w:eastAsia="Times New Roman" w:hAnsi="Times New Roman" w:cs="Times New Roman"/>
          <w:b/>
          <w:sz w:val="24"/>
          <w:szCs w:val="24"/>
          <w:lang w:eastAsia="sk-SK"/>
        </w:rPr>
        <w:t xml:space="preserve"> minimálnej dane pre právnické osoby v roku 2024.</w:t>
      </w:r>
      <w:r w:rsidRPr="00BD3539">
        <w:rPr>
          <w:rFonts w:ascii="Times New Roman" w:eastAsia="Times New Roman" w:hAnsi="Times New Roman" w:cs="Times New Roman"/>
          <w:sz w:val="24"/>
          <w:szCs w:val="24"/>
          <w:lang w:eastAsia="sk-SK"/>
        </w:rPr>
        <w:t xml:space="preserve"> Návrh kopíruje tzv. daňovú licenciu, ktorá bola v platnosti do roku 2018. Subjekty podľa úrovne ich zdaniteľných príjmov budú povinné zaplatiť na dani aspoň určitú nominálnu sumu, ktorú im stanovuje zákon.</w:t>
      </w:r>
    </w:p>
    <w:p w14:paraId="3A96B387" w14:textId="77777777" w:rsidR="00BD3539" w:rsidRPr="00BD3539" w:rsidRDefault="00BD3539" w:rsidP="00BD3539">
      <w:pPr>
        <w:spacing w:after="0" w:line="240" w:lineRule="auto"/>
        <w:jc w:val="both"/>
        <w:rPr>
          <w:rFonts w:ascii="Times New Roman" w:eastAsia="Times New Roman" w:hAnsi="Times New Roman" w:cs="Times New Roman"/>
          <w:sz w:val="24"/>
          <w:szCs w:val="24"/>
          <w:lang w:eastAsia="sk-SK"/>
        </w:rPr>
      </w:pPr>
      <w:r w:rsidRPr="00BD3539">
        <w:rPr>
          <w:rFonts w:ascii="Times New Roman" w:eastAsia="Times New Roman" w:hAnsi="Times New Roman" w:cs="Times New Roman"/>
          <w:sz w:val="24"/>
          <w:szCs w:val="24"/>
          <w:lang w:eastAsia="sk-SK"/>
        </w:rPr>
        <w:tab/>
      </w:r>
    </w:p>
    <w:p w14:paraId="42721CB5" w14:textId="26260A3D" w:rsidR="00BD3539" w:rsidRPr="00BD3539" w:rsidRDefault="00BD3539" w:rsidP="00BD3539">
      <w:pPr>
        <w:spacing w:after="0" w:line="240" w:lineRule="auto"/>
        <w:jc w:val="both"/>
        <w:rPr>
          <w:rFonts w:ascii="Times New Roman" w:eastAsia="Times New Roman" w:hAnsi="Times New Roman" w:cs="Times New Roman"/>
          <w:sz w:val="24"/>
          <w:szCs w:val="24"/>
          <w:lang w:eastAsia="sk-SK"/>
        </w:rPr>
      </w:pPr>
      <w:r w:rsidRPr="00BD3539">
        <w:rPr>
          <w:rFonts w:ascii="Times New Roman" w:eastAsia="Times New Roman" w:hAnsi="Times New Roman" w:cs="Times New Roman"/>
          <w:sz w:val="24"/>
          <w:szCs w:val="24"/>
          <w:lang w:eastAsia="sk-SK"/>
        </w:rPr>
        <w:t xml:space="preserve">Zvýšenie </w:t>
      </w:r>
      <w:r w:rsidRPr="00BD3539">
        <w:rPr>
          <w:rFonts w:ascii="Times New Roman" w:eastAsia="Times New Roman" w:hAnsi="Times New Roman" w:cs="Times New Roman"/>
          <w:b/>
          <w:sz w:val="24"/>
          <w:szCs w:val="24"/>
          <w:lang w:eastAsia="sk-SK"/>
        </w:rPr>
        <w:t xml:space="preserve">daňových výdavkov pri dani vyberanej zrážkou </w:t>
      </w:r>
      <w:r w:rsidRPr="00BD3539">
        <w:rPr>
          <w:rFonts w:ascii="Times New Roman" w:eastAsia="Times New Roman" w:hAnsi="Times New Roman" w:cs="Times New Roman"/>
          <w:sz w:val="24"/>
          <w:szCs w:val="24"/>
          <w:lang w:eastAsia="sk-SK"/>
        </w:rPr>
        <w:t>je z titulu zvýšenie sadzby z dividend zo 7</w:t>
      </w:r>
      <w:r w:rsidR="0031635B">
        <w:rPr>
          <w:rFonts w:ascii="Times New Roman" w:eastAsia="Times New Roman" w:hAnsi="Times New Roman" w:cs="Times New Roman"/>
          <w:sz w:val="24"/>
          <w:szCs w:val="24"/>
          <w:lang w:eastAsia="sk-SK"/>
        </w:rPr>
        <w:t xml:space="preserve"> </w:t>
      </w:r>
      <w:r w:rsidRPr="00BD3539">
        <w:rPr>
          <w:rFonts w:ascii="Times New Roman" w:eastAsia="Times New Roman" w:hAnsi="Times New Roman" w:cs="Times New Roman"/>
          <w:sz w:val="24"/>
          <w:szCs w:val="24"/>
          <w:lang w:eastAsia="sk-SK"/>
        </w:rPr>
        <w:t>% na 10</w:t>
      </w:r>
      <w:r w:rsidR="0031635B">
        <w:rPr>
          <w:rFonts w:ascii="Times New Roman" w:eastAsia="Times New Roman" w:hAnsi="Times New Roman" w:cs="Times New Roman"/>
          <w:sz w:val="24"/>
          <w:szCs w:val="24"/>
          <w:lang w:eastAsia="sk-SK"/>
        </w:rPr>
        <w:t xml:space="preserve"> </w:t>
      </w:r>
      <w:r w:rsidRPr="00BD3539">
        <w:rPr>
          <w:rFonts w:ascii="Times New Roman" w:eastAsia="Times New Roman" w:hAnsi="Times New Roman" w:cs="Times New Roman"/>
          <w:sz w:val="24"/>
          <w:szCs w:val="24"/>
          <w:lang w:eastAsia="sk-SK"/>
        </w:rPr>
        <w:t>% od roku 2024.</w:t>
      </w:r>
    </w:p>
    <w:p w14:paraId="2EC41D5A" w14:textId="77777777" w:rsidR="00BD3539" w:rsidRPr="00BD3539" w:rsidRDefault="00BD3539" w:rsidP="00BD3539">
      <w:pPr>
        <w:spacing w:after="0" w:line="240" w:lineRule="auto"/>
        <w:jc w:val="both"/>
        <w:rPr>
          <w:rFonts w:ascii="Times New Roman" w:eastAsia="Times New Roman" w:hAnsi="Times New Roman" w:cs="Times New Roman"/>
          <w:sz w:val="24"/>
          <w:szCs w:val="24"/>
          <w:lang w:eastAsia="sk-SK"/>
        </w:rPr>
      </w:pPr>
    </w:p>
    <w:p w14:paraId="34A6D81E" w14:textId="77777777" w:rsidR="00BD3539" w:rsidRPr="00BD3539" w:rsidRDefault="00BD3539" w:rsidP="00BD3539">
      <w:pPr>
        <w:spacing w:after="0" w:line="240" w:lineRule="auto"/>
        <w:jc w:val="both"/>
        <w:rPr>
          <w:rFonts w:ascii="Times New Roman" w:eastAsia="Times New Roman" w:hAnsi="Times New Roman" w:cs="Times New Roman"/>
          <w:sz w:val="24"/>
          <w:szCs w:val="24"/>
          <w:lang w:eastAsia="sk-SK"/>
        </w:rPr>
      </w:pPr>
      <w:r w:rsidRPr="00BD3539">
        <w:rPr>
          <w:rFonts w:ascii="Times New Roman" w:eastAsia="Times New Roman" w:hAnsi="Times New Roman" w:cs="Times New Roman"/>
          <w:sz w:val="24"/>
          <w:szCs w:val="24"/>
          <w:lang w:eastAsia="sk-SK"/>
        </w:rPr>
        <w:t>Nárast výdavkov pri</w:t>
      </w:r>
      <w:r w:rsidRPr="00BD3539">
        <w:rPr>
          <w:rFonts w:ascii="Times New Roman" w:eastAsia="Times New Roman" w:hAnsi="Times New Roman" w:cs="Times New Roman"/>
          <w:b/>
          <w:sz w:val="24"/>
          <w:szCs w:val="24"/>
          <w:lang w:eastAsia="sk-SK"/>
        </w:rPr>
        <w:t xml:space="preserve"> DPH</w:t>
      </w:r>
      <w:r w:rsidRPr="00BD3539">
        <w:rPr>
          <w:rFonts w:ascii="Times New Roman" w:eastAsia="Times New Roman" w:hAnsi="Times New Roman" w:cs="Times New Roman"/>
          <w:sz w:val="24"/>
          <w:szCs w:val="24"/>
          <w:lang w:eastAsia="sk-SK"/>
        </w:rPr>
        <w:t xml:space="preserve"> je najmä z dôvodu trvalého zníženia DPH na 10 % pre </w:t>
      </w:r>
      <w:proofErr w:type="spellStart"/>
      <w:r w:rsidRPr="00BD3539">
        <w:rPr>
          <w:rFonts w:ascii="Times New Roman" w:eastAsia="Times New Roman" w:hAnsi="Times New Roman" w:cs="Times New Roman"/>
          <w:sz w:val="24"/>
          <w:szCs w:val="24"/>
          <w:lang w:eastAsia="sk-SK"/>
        </w:rPr>
        <w:t>gastro</w:t>
      </w:r>
      <w:proofErr w:type="spellEnd"/>
      <w:r w:rsidRPr="00BD3539">
        <w:rPr>
          <w:rFonts w:ascii="Times New Roman" w:eastAsia="Times New Roman" w:hAnsi="Times New Roman" w:cs="Times New Roman"/>
          <w:sz w:val="24"/>
          <w:szCs w:val="24"/>
          <w:lang w:eastAsia="sk-SK"/>
        </w:rPr>
        <w:t xml:space="preserve">, vleky, </w:t>
      </w:r>
      <w:proofErr w:type="spellStart"/>
      <w:r w:rsidRPr="00BD3539">
        <w:rPr>
          <w:rFonts w:ascii="Times New Roman" w:eastAsia="Times New Roman" w:hAnsi="Times New Roman" w:cs="Times New Roman"/>
          <w:sz w:val="24"/>
          <w:szCs w:val="24"/>
          <w:lang w:eastAsia="sk-SK"/>
        </w:rPr>
        <w:t>akvaparky</w:t>
      </w:r>
      <w:proofErr w:type="spellEnd"/>
      <w:r w:rsidRPr="00BD3539">
        <w:rPr>
          <w:rFonts w:ascii="Times New Roman" w:eastAsia="Times New Roman" w:hAnsi="Times New Roman" w:cs="Times New Roman"/>
          <w:sz w:val="24"/>
          <w:szCs w:val="24"/>
          <w:lang w:eastAsia="sk-SK"/>
        </w:rPr>
        <w:t xml:space="preserve"> a športoviská od 1.1.2023. Tá je od roku 2024 mierne znížená zrušením zníženej sadzby na alkohol v </w:t>
      </w:r>
      <w:proofErr w:type="spellStart"/>
      <w:r w:rsidRPr="00BD3539">
        <w:rPr>
          <w:rFonts w:ascii="Times New Roman" w:eastAsia="Times New Roman" w:hAnsi="Times New Roman" w:cs="Times New Roman"/>
          <w:sz w:val="24"/>
          <w:szCs w:val="24"/>
          <w:lang w:eastAsia="sk-SK"/>
        </w:rPr>
        <w:t>reštauráciach</w:t>
      </w:r>
      <w:proofErr w:type="spellEnd"/>
      <w:r w:rsidRPr="00BD3539">
        <w:rPr>
          <w:rFonts w:ascii="Times New Roman" w:eastAsia="Times New Roman" w:hAnsi="Times New Roman" w:cs="Times New Roman"/>
          <w:sz w:val="24"/>
          <w:szCs w:val="24"/>
          <w:lang w:eastAsia="sk-SK"/>
        </w:rPr>
        <w:t>.</w:t>
      </w:r>
    </w:p>
    <w:p w14:paraId="7FBDC93E" w14:textId="77777777" w:rsidR="00BD3539" w:rsidRPr="00BD3539" w:rsidRDefault="00BD3539" w:rsidP="00BD3539">
      <w:pPr>
        <w:spacing w:after="0" w:line="240" w:lineRule="auto"/>
        <w:jc w:val="both"/>
        <w:rPr>
          <w:rFonts w:ascii="Times New Roman" w:eastAsia="Times New Roman" w:hAnsi="Times New Roman" w:cs="Times New Roman"/>
          <w:sz w:val="24"/>
          <w:szCs w:val="24"/>
          <w:lang w:eastAsia="sk-SK"/>
        </w:rPr>
      </w:pPr>
    </w:p>
    <w:p w14:paraId="2EDE4144" w14:textId="77777777" w:rsidR="00BD3539" w:rsidRPr="00BD3539" w:rsidRDefault="00BD3539" w:rsidP="00BD3539">
      <w:pPr>
        <w:spacing w:after="0" w:line="240" w:lineRule="auto"/>
        <w:jc w:val="both"/>
        <w:rPr>
          <w:rFonts w:ascii="Times New Roman" w:eastAsia="Times New Roman" w:hAnsi="Times New Roman" w:cs="Times New Roman"/>
          <w:sz w:val="24"/>
          <w:szCs w:val="24"/>
          <w:lang w:eastAsia="sk-SK"/>
        </w:rPr>
      </w:pPr>
      <w:r w:rsidRPr="00BD3539">
        <w:rPr>
          <w:rFonts w:ascii="Times New Roman" w:eastAsia="Times New Roman" w:hAnsi="Times New Roman" w:cs="Times New Roman"/>
          <w:sz w:val="24"/>
          <w:szCs w:val="24"/>
          <w:lang w:eastAsia="sk-SK"/>
        </w:rPr>
        <w:t xml:space="preserve">Za poklesom výdavkov týkajúcich sa </w:t>
      </w:r>
      <w:r w:rsidRPr="00BD3539">
        <w:rPr>
          <w:rFonts w:ascii="Times New Roman" w:eastAsia="Times New Roman" w:hAnsi="Times New Roman" w:cs="Times New Roman"/>
          <w:b/>
          <w:sz w:val="24"/>
          <w:szCs w:val="24"/>
          <w:lang w:eastAsia="sk-SK"/>
        </w:rPr>
        <w:t>spotrebných daní</w:t>
      </w:r>
      <w:r w:rsidRPr="00BD3539">
        <w:rPr>
          <w:rFonts w:ascii="Times New Roman" w:eastAsia="Times New Roman" w:hAnsi="Times New Roman" w:cs="Times New Roman"/>
          <w:sz w:val="24"/>
          <w:szCs w:val="24"/>
          <w:lang w:eastAsia="sk-SK"/>
        </w:rPr>
        <w:t xml:space="preserve"> je zvýšenie spotrebnej dane z tabakových výrobkov a liehu. Sadzby spotrebnej dane z tabaku sa zvyšujú od 1.2.2023, 1.2.2024 a 1.2.2026. Spotrebná daň z liehu sa zvyšuje od 1.4.2023 a 1.1.2024.</w:t>
      </w:r>
    </w:p>
    <w:p w14:paraId="1F7A9D5B" w14:textId="77777777" w:rsidR="00BD3539" w:rsidRPr="00BD3539" w:rsidRDefault="00BD3539" w:rsidP="00BD3539">
      <w:pPr>
        <w:spacing w:after="0" w:line="240" w:lineRule="auto"/>
        <w:jc w:val="both"/>
        <w:rPr>
          <w:rFonts w:ascii="Times New Roman" w:eastAsia="Times New Roman" w:hAnsi="Times New Roman" w:cs="Times New Roman"/>
          <w:sz w:val="24"/>
          <w:szCs w:val="24"/>
          <w:lang w:eastAsia="sk-SK"/>
        </w:rPr>
      </w:pPr>
    </w:p>
    <w:p w14:paraId="3DF362C2" w14:textId="77777777" w:rsidR="00BD3539" w:rsidRPr="00BD3539" w:rsidRDefault="00BD3539" w:rsidP="00BD3539">
      <w:pPr>
        <w:spacing w:after="0" w:line="240" w:lineRule="auto"/>
        <w:jc w:val="both"/>
        <w:rPr>
          <w:rFonts w:ascii="Times New Roman" w:eastAsia="Times New Roman" w:hAnsi="Times New Roman" w:cs="Times New Roman"/>
          <w:sz w:val="24"/>
          <w:szCs w:val="24"/>
          <w:lang w:eastAsia="sk-SK"/>
        </w:rPr>
      </w:pPr>
      <w:r w:rsidRPr="00BD3539">
        <w:rPr>
          <w:rFonts w:ascii="Times New Roman" w:eastAsia="Times New Roman" w:hAnsi="Times New Roman" w:cs="Times New Roman"/>
          <w:sz w:val="24"/>
          <w:szCs w:val="24"/>
          <w:lang w:eastAsia="sk-SK"/>
        </w:rPr>
        <w:t xml:space="preserve">Daňové výdavky pri </w:t>
      </w:r>
      <w:r w:rsidRPr="00BD3539">
        <w:rPr>
          <w:rFonts w:ascii="Times New Roman" w:eastAsia="Times New Roman" w:hAnsi="Times New Roman" w:cs="Times New Roman"/>
          <w:b/>
          <w:sz w:val="24"/>
          <w:szCs w:val="24"/>
          <w:lang w:eastAsia="sk-SK"/>
        </w:rPr>
        <w:t>sociálnych odvodoch</w:t>
      </w:r>
      <w:r w:rsidRPr="00BD3539">
        <w:rPr>
          <w:rFonts w:ascii="Times New Roman" w:eastAsia="Times New Roman" w:hAnsi="Times New Roman" w:cs="Times New Roman"/>
          <w:sz w:val="24"/>
          <w:szCs w:val="24"/>
          <w:lang w:eastAsia="sk-SK"/>
        </w:rPr>
        <w:t xml:space="preserve"> zvyšuje zavedenie odvodovej odpočítateľnej položky pre sezónnych pracovníkov. Jednoročné zvýšenie v roku 2023 je aj z dôvodu odpustenia odvodov platených zamestnávateľmi v potravinárskom priemysle.</w:t>
      </w:r>
    </w:p>
    <w:p w14:paraId="3D2076E1" w14:textId="77777777" w:rsidR="00BD3539" w:rsidRPr="00BD3539" w:rsidRDefault="00BD3539" w:rsidP="00BD3539">
      <w:pPr>
        <w:spacing w:after="0" w:line="240" w:lineRule="auto"/>
        <w:jc w:val="both"/>
        <w:rPr>
          <w:rFonts w:ascii="Times New Roman" w:eastAsia="Times New Roman" w:hAnsi="Times New Roman" w:cs="Times New Roman"/>
          <w:sz w:val="24"/>
          <w:szCs w:val="24"/>
          <w:lang w:eastAsia="sk-SK"/>
        </w:rPr>
      </w:pPr>
    </w:p>
    <w:p w14:paraId="217D7DBE" w14:textId="7A7FBD84" w:rsidR="00BD3539" w:rsidRPr="00BD3539" w:rsidRDefault="00BD3539" w:rsidP="00BD3539">
      <w:pPr>
        <w:spacing w:after="0" w:line="240" w:lineRule="auto"/>
        <w:jc w:val="both"/>
        <w:rPr>
          <w:rFonts w:ascii="Times New Roman" w:eastAsia="Times New Roman" w:hAnsi="Times New Roman" w:cs="Times New Roman"/>
          <w:sz w:val="24"/>
          <w:szCs w:val="24"/>
          <w:lang w:eastAsia="sk-SK"/>
        </w:rPr>
      </w:pPr>
      <w:r w:rsidRPr="00BD3539">
        <w:rPr>
          <w:rFonts w:ascii="Times New Roman" w:eastAsia="Times New Roman" w:hAnsi="Times New Roman" w:cs="Times New Roman"/>
          <w:sz w:val="24"/>
          <w:szCs w:val="24"/>
          <w:lang w:eastAsia="sk-SK"/>
        </w:rPr>
        <w:t xml:space="preserve">Daňové výdavky pri </w:t>
      </w:r>
      <w:r w:rsidRPr="00BD3539">
        <w:rPr>
          <w:rFonts w:ascii="Times New Roman" w:eastAsia="Times New Roman" w:hAnsi="Times New Roman" w:cs="Times New Roman"/>
          <w:b/>
          <w:sz w:val="24"/>
          <w:szCs w:val="24"/>
          <w:lang w:eastAsia="sk-SK"/>
        </w:rPr>
        <w:t>zdravotných odvodoch</w:t>
      </w:r>
      <w:r w:rsidRPr="00BD3539">
        <w:rPr>
          <w:rFonts w:ascii="Times New Roman" w:eastAsia="Times New Roman" w:hAnsi="Times New Roman" w:cs="Times New Roman"/>
          <w:sz w:val="24"/>
          <w:szCs w:val="24"/>
          <w:lang w:eastAsia="sk-SK"/>
        </w:rPr>
        <w:t xml:space="preserve"> ovplyvňuje zvýšenie sadzby o 1 percentuálny bod pre zamestnávateľov z</w:t>
      </w:r>
      <w:r w:rsidR="00E077EB">
        <w:rPr>
          <w:rFonts w:ascii="Times New Roman" w:eastAsia="Times New Roman" w:hAnsi="Times New Roman" w:cs="Times New Roman"/>
          <w:sz w:val="24"/>
          <w:szCs w:val="24"/>
          <w:lang w:eastAsia="sk-SK"/>
        </w:rPr>
        <w:t> </w:t>
      </w:r>
      <w:r w:rsidRPr="00BD3539">
        <w:rPr>
          <w:rFonts w:ascii="Times New Roman" w:eastAsia="Times New Roman" w:hAnsi="Times New Roman" w:cs="Times New Roman"/>
          <w:sz w:val="24"/>
          <w:szCs w:val="24"/>
          <w:lang w:eastAsia="sk-SK"/>
        </w:rPr>
        <w:t>10</w:t>
      </w:r>
      <w:r w:rsidR="00E077EB">
        <w:rPr>
          <w:rFonts w:ascii="Times New Roman" w:eastAsia="Times New Roman" w:hAnsi="Times New Roman" w:cs="Times New Roman"/>
          <w:sz w:val="24"/>
          <w:szCs w:val="24"/>
          <w:lang w:eastAsia="sk-SK"/>
        </w:rPr>
        <w:t xml:space="preserve"> </w:t>
      </w:r>
      <w:r w:rsidRPr="00BD3539">
        <w:rPr>
          <w:rFonts w:ascii="Times New Roman" w:eastAsia="Times New Roman" w:hAnsi="Times New Roman" w:cs="Times New Roman"/>
          <w:sz w:val="24"/>
          <w:szCs w:val="24"/>
          <w:lang w:eastAsia="sk-SK"/>
        </w:rPr>
        <w:t>% na 11</w:t>
      </w:r>
      <w:r w:rsidR="00E077EB">
        <w:rPr>
          <w:rFonts w:ascii="Times New Roman" w:eastAsia="Times New Roman" w:hAnsi="Times New Roman" w:cs="Times New Roman"/>
          <w:sz w:val="24"/>
          <w:szCs w:val="24"/>
          <w:lang w:eastAsia="sk-SK"/>
        </w:rPr>
        <w:t xml:space="preserve"> </w:t>
      </w:r>
      <w:r w:rsidRPr="00BD3539">
        <w:rPr>
          <w:rFonts w:ascii="Times New Roman" w:eastAsia="Times New Roman" w:hAnsi="Times New Roman" w:cs="Times New Roman"/>
          <w:sz w:val="24"/>
          <w:szCs w:val="24"/>
          <w:lang w:eastAsia="sk-SK"/>
        </w:rPr>
        <w:t>% a živnostníkov z</w:t>
      </w:r>
      <w:r w:rsidR="00E077EB">
        <w:rPr>
          <w:rFonts w:ascii="Times New Roman" w:eastAsia="Times New Roman" w:hAnsi="Times New Roman" w:cs="Times New Roman"/>
          <w:sz w:val="24"/>
          <w:szCs w:val="24"/>
          <w:lang w:eastAsia="sk-SK"/>
        </w:rPr>
        <w:t> </w:t>
      </w:r>
      <w:r w:rsidRPr="00BD3539">
        <w:rPr>
          <w:rFonts w:ascii="Times New Roman" w:eastAsia="Times New Roman" w:hAnsi="Times New Roman" w:cs="Times New Roman"/>
          <w:sz w:val="24"/>
          <w:szCs w:val="24"/>
          <w:lang w:eastAsia="sk-SK"/>
        </w:rPr>
        <w:t>14</w:t>
      </w:r>
      <w:r w:rsidR="00E077EB">
        <w:rPr>
          <w:rFonts w:ascii="Times New Roman" w:eastAsia="Times New Roman" w:hAnsi="Times New Roman" w:cs="Times New Roman"/>
          <w:sz w:val="24"/>
          <w:szCs w:val="24"/>
          <w:lang w:eastAsia="sk-SK"/>
        </w:rPr>
        <w:t xml:space="preserve"> </w:t>
      </w:r>
      <w:r w:rsidRPr="00BD3539">
        <w:rPr>
          <w:rFonts w:ascii="Times New Roman" w:eastAsia="Times New Roman" w:hAnsi="Times New Roman" w:cs="Times New Roman"/>
          <w:sz w:val="24"/>
          <w:szCs w:val="24"/>
          <w:lang w:eastAsia="sk-SK"/>
        </w:rPr>
        <w:t>% na 15</w:t>
      </w:r>
      <w:r w:rsidR="00E077EB">
        <w:rPr>
          <w:rFonts w:ascii="Times New Roman" w:eastAsia="Times New Roman" w:hAnsi="Times New Roman" w:cs="Times New Roman"/>
          <w:sz w:val="24"/>
          <w:szCs w:val="24"/>
          <w:lang w:eastAsia="sk-SK"/>
        </w:rPr>
        <w:t xml:space="preserve"> </w:t>
      </w:r>
      <w:r w:rsidRPr="00BD3539">
        <w:rPr>
          <w:rFonts w:ascii="Times New Roman" w:eastAsia="Times New Roman" w:hAnsi="Times New Roman" w:cs="Times New Roman"/>
          <w:sz w:val="24"/>
          <w:szCs w:val="24"/>
          <w:lang w:eastAsia="sk-SK"/>
        </w:rPr>
        <w:t>%.</w:t>
      </w:r>
    </w:p>
    <w:p w14:paraId="664D99FE" w14:textId="77777777" w:rsidR="00BD3539" w:rsidRPr="00BD3539" w:rsidRDefault="00BD3539" w:rsidP="00BD3539">
      <w:pPr>
        <w:spacing w:after="0" w:line="240" w:lineRule="auto"/>
        <w:jc w:val="both"/>
        <w:rPr>
          <w:rFonts w:ascii="Times New Roman" w:eastAsia="Times New Roman" w:hAnsi="Times New Roman" w:cs="Times New Roman"/>
          <w:sz w:val="24"/>
          <w:szCs w:val="24"/>
          <w:lang w:eastAsia="sk-SK"/>
        </w:rPr>
      </w:pPr>
    </w:p>
    <w:p w14:paraId="4A199969" w14:textId="7875C56C" w:rsidR="00BD3539" w:rsidRPr="00BD3539" w:rsidRDefault="00BD3539" w:rsidP="00BD3539">
      <w:pPr>
        <w:spacing w:after="0" w:line="240" w:lineRule="auto"/>
        <w:jc w:val="both"/>
        <w:rPr>
          <w:rFonts w:ascii="Times New Roman" w:eastAsia="Times New Roman" w:hAnsi="Times New Roman" w:cs="Times New Roman"/>
          <w:sz w:val="24"/>
          <w:szCs w:val="24"/>
          <w:lang w:eastAsia="sk-SK"/>
        </w:rPr>
      </w:pPr>
      <w:r w:rsidRPr="00BD3539">
        <w:rPr>
          <w:rFonts w:ascii="Times New Roman" w:eastAsia="Times New Roman" w:hAnsi="Times New Roman" w:cs="Times New Roman"/>
          <w:sz w:val="24"/>
          <w:szCs w:val="24"/>
          <w:lang w:eastAsia="sk-SK"/>
        </w:rPr>
        <w:t>V porovnaní s daňo</w:t>
      </w:r>
      <w:r w:rsidR="00E077EB">
        <w:rPr>
          <w:rFonts w:ascii="Times New Roman" w:eastAsia="Times New Roman" w:hAnsi="Times New Roman" w:cs="Times New Roman"/>
          <w:sz w:val="24"/>
          <w:szCs w:val="24"/>
          <w:lang w:eastAsia="sk-SK"/>
        </w:rPr>
        <w:t>vými výdavkami publikovanými v rozpočte verejnej správy na roky 2023 až 2025</w:t>
      </w:r>
      <w:r w:rsidRPr="00BD3539">
        <w:rPr>
          <w:rFonts w:ascii="Times New Roman" w:eastAsia="Times New Roman" w:hAnsi="Times New Roman" w:cs="Times New Roman"/>
          <w:sz w:val="24"/>
          <w:szCs w:val="24"/>
          <w:lang w:eastAsia="sk-SK"/>
        </w:rPr>
        <w:t xml:space="preserve"> došlo okrem vyššie spomenutých zmien ešte k dvom úpravám. </w:t>
      </w:r>
      <w:r w:rsidRPr="00BD3539">
        <w:rPr>
          <w:rFonts w:ascii="Times New Roman" w:eastAsia="Times New Roman" w:hAnsi="Times New Roman" w:cs="Times New Roman"/>
          <w:b/>
          <w:sz w:val="24"/>
          <w:szCs w:val="24"/>
          <w:lang w:eastAsia="sk-SK"/>
        </w:rPr>
        <w:t>Výpadok</w:t>
      </w:r>
      <w:r w:rsidRPr="00BD3539">
        <w:rPr>
          <w:rFonts w:ascii="Times New Roman" w:eastAsia="Times New Roman" w:hAnsi="Times New Roman" w:cs="Times New Roman"/>
          <w:sz w:val="24"/>
          <w:szCs w:val="24"/>
          <w:lang w:eastAsia="sk-SK"/>
        </w:rPr>
        <w:t xml:space="preserve"> </w:t>
      </w:r>
      <w:r w:rsidRPr="00BD3539">
        <w:rPr>
          <w:rFonts w:ascii="Times New Roman" w:eastAsia="Times New Roman" w:hAnsi="Times New Roman" w:cs="Times New Roman"/>
          <w:b/>
          <w:sz w:val="24"/>
          <w:szCs w:val="24"/>
          <w:lang w:eastAsia="sk-SK"/>
        </w:rPr>
        <w:t>daňových výdavkov RTVS</w:t>
      </w:r>
      <w:r w:rsidRPr="00BD3539">
        <w:rPr>
          <w:rFonts w:ascii="Times New Roman" w:eastAsia="Times New Roman" w:hAnsi="Times New Roman" w:cs="Times New Roman"/>
          <w:sz w:val="24"/>
          <w:szCs w:val="24"/>
          <w:lang w:eastAsia="sk-SK"/>
        </w:rPr>
        <w:t xml:space="preserve"> je z dôvodu, že od 1.7.2023 sú úhrady RTVS zrušené. A teda neexistujú ani žiadne daňové výdavky. </w:t>
      </w:r>
    </w:p>
    <w:p w14:paraId="531F3FD0" w14:textId="77777777" w:rsidR="00BD3539" w:rsidRPr="00BD3539" w:rsidRDefault="00BD3539" w:rsidP="00BD3539">
      <w:pPr>
        <w:spacing w:after="0" w:line="240" w:lineRule="auto"/>
        <w:jc w:val="both"/>
        <w:rPr>
          <w:rFonts w:ascii="Times New Roman" w:eastAsia="Times New Roman" w:hAnsi="Times New Roman" w:cs="Times New Roman"/>
          <w:b/>
          <w:sz w:val="24"/>
          <w:szCs w:val="24"/>
          <w:lang w:eastAsia="sk-SK"/>
        </w:rPr>
      </w:pPr>
    </w:p>
    <w:p w14:paraId="70DFF343" w14:textId="78513DF4" w:rsidR="00BD3539" w:rsidRPr="00BD3539" w:rsidRDefault="00BD3539" w:rsidP="00BD3539">
      <w:pPr>
        <w:spacing w:after="0" w:line="240" w:lineRule="auto"/>
        <w:jc w:val="both"/>
        <w:rPr>
          <w:rFonts w:ascii="Times New Roman" w:eastAsia="Times New Roman" w:hAnsi="Times New Roman" w:cs="Times New Roman"/>
          <w:color w:val="5B9BD5" w:themeColor="accent1"/>
          <w:sz w:val="20"/>
          <w:szCs w:val="20"/>
          <w:lang w:eastAsia="sk-SK"/>
        </w:rPr>
      </w:pPr>
      <w:bookmarkStart w:id="160" w:name="_Toc153013045"/>
      <w:r w:rsidRPr="00BD3539">
        <w:rPr>
          <w:rFonts w:ascii="Times New Roman" w:eastAsia="Calibri" w:hAnsi="Times New Roman" w:cs="Times New Roman"/>
          <w:b/>
          <w:color w:val="5B9BD5" w:themeColor="accent1"/>
          <w:sz w:val="20"/>
          <w:szCs w:val="20"/>
        </w:rPr>
        <w:t xml:space="preserve">Tabuľka </w:t>
      </w:r>
      <w:r w:rsidRPr="00BD3539">
        <w:rPr>
          <w:rFonts w:ascii="Times New Roman" w:eastAsia="Calibri" w:hAnsi="Times New Roman" w:cs="Times New Roman"/>
          <w:b/>
          <w:color w:val="5B9BD5" w:themeColor="accent1"/>
          <w:sz w:val="20"/>
          <w:szCs w:val="20"/>
        </w:rPr>
        <w:fldChar w:fldCharType="begin"/>
      </w:r>
      <w:r w:rsidRPr="00BD3539">
        <w:rPr>
          <w:rFonts w:ascii="Times New Roman" w:eastAsia="Calibri" w:hAnsi="Times New Roman" w:cs="Times New Roman"/>
          <w:b/>
          <w:color w:val="5B9BD5" w:themeColor="accent1"/>
          <w:sz w:val="20"/>
          <w:szCs w:val="20"/>
        </w:rPr>
        <w:instrText xml:space="preserve"> SEQ Tabuľka \* ARABIC </w:instrText>
      </w:r>
      <w:r w:rsidRPr="00BD3539">
        <w:rPr>
          <w:rFonts w:ascii="Times New Roman" w:eastAsia="Calibri" w:hAnsi="Times New Roman" w:cs="Times New Roman"/>
          <w:b/>
          <w:color w:val="5B9BD5" w:themeColor="accent1"/>
          <w:sz w:val="20"/>
          <w:szCs w:val="20"/>
        </w:rPr>
        <w:fldChar w:fldCharType="separate"/>
      </w:r>
      <w:r w:rsidR="003D5A3A">
        <w:rPr>
          <w:rFonts w:ascii="Times New Roman" w:eastAsia="Calibri" w:hAnsi="Times New Roman" w:cs="Times New Roman"/>
          <w:b/>
          <w:noProof/>
          <w:color w:val="5B9BD5" w:themeColor="accent1"/>
          <w:sz w:val="20"/>
          <w:szCs w:val="20"/>
        </w:rPr>
        <w:t>47</w:t>
      </w:r>
      <w:r w:rsidRPr="00BD3539">
        <w:rPr>
          <w:rFonts w:ascii="Times New Roman" w:eastAsia="Calibri" w:hAnsi="Times New Roman" w:cs="Times New Roman"/>
          <w:b/>
          <w:color w:val="5B9BD5" w:themeColor="accent1"/>
          <w:sz w:val="20"/>
          <w:szCs w:val="20"/>
        </w:rPr>
        <w:fldChar w:fldCharType="end"/>
      </w:r>
      <w:r w:rsidRPr="00BD3539">
        <w:rPr>
          <w:rFonts w:ascii="Times New Roman" w:eastAsia="Calibri" w:hAnsi="Times New Roman" w:cs="Times New Roman"/>
          <w:b/>
          <w:color w:val="5B9BD5" w:themeColor="accent1"/>
          <w:sz w:val="20"/>
          <w:szCs w:val="20"/>
        </w:rPr>
        <w:t xml:space="preserve"> - </w:t>
      </w:r>
      <w:r w:rsidRPr="00BD3539">
        <w:rPr>
          <w:rFonts w:ascii="Times New Roman" w:eastAsia="Times New Roman" w:hAnsi="Times New Roman" w:cs="Times New Roman"/>
          <w:b/>
          <w:bCs/>
          <w:color w:val="5B9BD5" w:themeColor="accent1"/>
          <w:sz w:val="20"/>
          <w:szCs w:val="20"/>
          <w:lang w:eastAsia="sk-SK"/>
        </w:rPr>
        <w:t>Zmena daňových výdavkov oproti RVS 2023 - 2025 podľa typu dane alebo poistného (ESA 2010, tis. eur)</w:t>
      </w:r>
      <w:bookmarkEnd w:id="160"/>
    </w:p>
    <w:tbl>
      <w:tblPr>
        <w:tblW w:w="5000" w:type="pct"/>
        <w:jc w:val="center"/>
        <w:tblLayout w:type="fixed"/>
        <w:tblCellMar>
          <w:left w:w="70" w:type="dxa"/>
          <w:right w:w="70" w:type="dxa"/>
        </w:tblCellMar>
        <w:tblLook w:val="04A0" w:firstRow="1" w:lastRow="0" w:firstColumn="1" w:lastColumn="0" w:noHBand="0" w:noVBand="1"/>
      </w:tblPr>
      <w:tblGrid>
        <w:gridCol w:w="4237"/>
        <w:gridCol w:w="967"/>
        <w:gridCol w:w="967"/>
        <w:gridCol w:w="967"/>
        <w:gridCol w:w="967"/>
        <w:gridCol w:w="967"/>
      </w:tblGrid>
      <w:tr w:rsidR="00BD3539" w:rsidRPr="00BD3539" w14:paraId="33CD3BB0" w14:textId="77777777" w:rsidTr="006E5A9E">
        <w:trPr>
          <w:trHeight w:val="450"/>
          <w:jc w:val="center"/>
        </w:trPr>
        <w:tc>
          <w:tcPr>
            <w:tcW w:w="4237" w:type="dxa"/>
            <w:vMerge w:val="restart"/>
            <w:tcBorders>
              <w:top w:val="single" w:sz="4" w:space="0" w:color="auto"/>
              <w:left w:val="nil"/>
              <w:bottom w:val="single" w:sz="4" w:space="0" w:color="000000"/>
              <w:right w:val="nil"/>
            </w:tcBorders>
            <w:shd w:val="clear" w:color="auto" w:fill="auto"/>
            <w:vAlign w:val="center"/>
            <w:hideMark/>
          </w:tcPr>
          <w:p w14:paraId="5A845656"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p>
        </w:tc>
        <w:tc>
          <w:tcPr>
            <w:tcW w:w="967" w:type="dxa"/>
            <w:vMerge w:val="restart"/>
            <w:tcBorders>
              <w:top w:val="single" w:sz="4" w:space="0" w:color="auto"/>
              <w:left w:val="nil"/>
              <w:bottom w:val="single" w:sz="4" w:space="0" w:color="000000"/>
              <w:right w:val="nil"/>
            </w:tcBorders>
            <w:shd w:val="clear" w:color="auto" w:fill="auto"/>
            <w:noWrap/>
            <w:vAlign w:val="center"/>
            <w:hideMark/>
          </w:tcPr>
          <w:p w14:paraId="21F10AF8"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2021</w:t>
            </w:r>
          </w:p>
        </w:tc>
        <w:tc>
          <w:tcPr>
            <w:tcW w:w="967" w:type="dxa"/>
            <w:vMerge w:val="restart"/>
            <w:tcBorders>
              <w:top w:val="single" w:sz="4" w:space="0" w:color="auto"/>
              <w:left w:val="nil"/>
              <w:bottom w:val="single" w:sz="4" w:space="0" w:color="000000"/>
              <w:right w:val="nil"/>
            </w:tcBorders>
            <w:shd w:val="clear" w:color="auto" w:fill="auto"/>
            <w:noWrap/>
            <w:vAlign w:val="center"/>
            <w:hideMark/>
          </w:tcPr>
          <w:p w14:paraId="373E8AE2"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2022</w:t>
            </w:r>
          </w:p>
        </w:tc>
        <w:tc>
          <w:tcPr>
            <w:tcW w:w="967" w:type="dxa"/>
            <w:vMerge w:val="restart"/>
            <w:tcBorders>
              <w:top w:val="single" w:sz="4" w:space="0" w:color="auto"/>
              <w:left w:val="nil"/>
              <w:bottom w:val="single" w:sz="4" w:space="0" w:color="000000"/>
              <w:right w:val="nil"/>
            </w:tcBorders>
            <w:shd w:val="clear" w:color="auto" w:fill="auto"/>
            <w:noWrap/>
            <w:vAlign w:val="center"/>
            <w:hideMark/>
          </w:tcPr>
          <w:p w14:paraId="7562E22E"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2023</w:t>
            </w:r>
          </w:p>
        </w:tc>
        <w:tc>
          <w:tcPr>
            <w:tcW w:w="967" w:type="dxa"/>
            <w:vMerge w:val="restart"/>
            <w:tcBorders>
              <w:top w:val="single" w:sz="4" w:space="0" w:color="auto"/>
              <w:left w:val="nil"/>
              <w:bottom w:val="single" w:sz="4" w:space="0" w:color="000000"/>
              <w:right w:val="nil"/>
            </w:tcBorders>
            <w:shd w:val="clear" w:color="auto" w:fill="auto"/>
            <w:noWrap/>
            <w:vAlign w:val="center"/>
            <w:hideMark/>
          </w:tcPr>
          <w:p w14:paraId="6D8BF5FF"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2024</w:t>
            </w:r>
          </w:p>
        </w:tc>
        <w:tc>
          <w:tcPr>
            <w:tcW w:w="967" w:type="dxa"/>
            <w:vMerge w:val="restart"/>
            <w:tcBorders>
              <w:top w:val="single" w:sz="4" w:space="0" w:color="auto"/>
              <w:left w:val="nil"/>
              <w:bottom w:val="nil"/>
              <w:right w:val="nil"/>
            </w:tcBorders>
            <w:shd w:val="clear" w:color="auto" w:fill="auto"/>
            <w:noWrap/>
            <w:vAlign w:val="center"/>
            <w:hideMark/>
          </w:tcPr>
          <w:p w14:paraId="2D691812"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2025</w:t>
            </w:r>
          </w:p>
        </w:tc>
      </w:tr>
      <w:tr w:rsidR="00BD3539" w:rsidRPr="00BD3539" w14:paraId="28465D49" w14:textId="77777777" w:rsidTr="006E5A9E">
        <w:trPr>
          <w:trHeight w:val="458"/>
          <w:jc w:val="center"/>
        </w:trPr>
        <w:tc>
          <w:tcPr>
            <w:tcW w:w="4237" w:type="dxa"/>
            <w:vMerge/>
            <w:tcBorders>
              <w:top w:val="nil"/>
              <w:left w:val="nil"/>
              <w:bottom w:val="single" w:sz="4" w:space="0" w:color="000000"/>
              <w:right w:val="nil"/>
            </w:tcBorders>
            <w:shd w:val="clear" w:color="auto" w:fill="auto"/>
            <w:vAlign w:val="center"/>
            <w:hideMark/>
          </w:tcPr>
          <w:p w14:paraId="63779DE9" w14:textId="77777777" w:rsidR="00BD3539" w:rsidRPr="00BD3539" w:rsidRDefault="00BD3539" w:rsidP="00BD3539">
            <w:pPr>
              <w:spacing w:after="0" w:line="240" w:lineRule="auto"/>
              <w:rPr>
                <w:rFonts w:ascii="Times New Roman" w:eastAsia="Times New Roman" w:hAnsi="Times New Roman" w:cs="Times New Roman"/>
                <w:b/>
                <w:bCs/>
                <w:sz w:val="16"/>
                <w:szCs w:val="16"/>
                <w:highlight w:val="yellow"/>
                <w:lang w:eastAsia="sk-SK"/>
              </w:rPr>
            </w:pPr>
          </w:p>
        </w:tc>
        <w:tc>
          <w:tcPr>
            <w:tcW w:w="967" w:type="dxa"/>
            <w:vMerge/>
            <w:tcBorders>
              <w:top w:val="nil"/>
              <w:left w:val="nil"/>
              <w:bottom w:val="single" w:sz="4" w:space="0" w:color="000000"/>
              <w:right w:val="nil"/>
            </w:tcBorders>
            <w:shd w:val="clear" w:color="auto" w:fill="auto"/>
            <w:vAlign w:val="center"/>
            <w:hideMark/>
          </w:tcPr>
          <w:p w14:paraId="7EF1DEB7" w14:textId="77777777" w:rsidR="00BD3539" w:rsidRPr="00BD3539" w:rsidRDefault="00BD3539" w:rsidP="00BD3539">
            <w:pPr>
              <w:spacing w:after="0" w:line="240" w:lineRule="auto"/>
              <w:rPr>
                <w:rFonts w:ascii="Times New Roman" w:eastAsia="Times New Roman" w:hAnsi="Times New Roman" w:cs="Times New Roman"/>
                <w:b/>
                <w:bCs/>
                <w:color w:val="FF0000"/>
                <w:sz w:val="16"/>
                <w:szCs w:val="16"/>
                <w:highlight w:val="yellow"/>
                <w:lang w:eastAsia="sk-SK"/>
              </w:rPr>
            </w:pPr>
          </w:p>
        </w:tc>
        <w:tc>
          <w:tcPr>
            <w:tcW w:w="967" w:type="dxa"/>
            <w:vMerge/>
            <w:tcBorders>
              <w:top w:val="nil"/>
              <w:left w:val="nil"/>
              <w:bottom w:val="single" w:sz="4" w:space="0" w:color="000000"/>
              <w:right w:val="nil"/>
            </w:tcBorders>
            <w:shd w:val="clear" w:color="auto" w:fill="auto"/>
            <w:vAlign w:val="center"/>
            <w:hideMark/>
          </w:tcPr>
          <w:p w14:paraId="1FFA01FA" w14:textId="77777777" w:rsidR="00BD3539" w:rsidRPr="00BD3539" w:rsidRDefault="00BD3539" w:rsidP="00BD3539">
            <w:pPr>
              <w:spacing w:after="0" w:line="240" w:lineRule="auto"/>
              <w:rPr>
                <w:rFonts w:ascii="Times New Roman" w:eastAsia="Times New Roman" w:hAnsi="Times New Roman" w:cs="Times New Roman"/>
                <w:b/>
                <w:bCs/>
                <w:color w:val="FF0000"/>
                <w:sz w:val="16"/>
                <w:szCs w:val="16"/>
                <w:highlight w:val="yellow"/>
                <w:lang w:eastAsia="sk-SK"/>
              </w:rPr>
            </w:pPr>
          </w:p>
        </w:tc>
        <w:tc>
          <w:tcPr>
            <w:tcW w:w="967" w:type="dxa"/>
            <w:vMerge/>
            <w:tcBorders>
              <w:top w:val="nil"/>
              <w:left w:val="nil"/>
              <w:bottom w:val="single" w:sz="4" w:space="0" w:color="000000"/>
              <w:right w:val="nil"/>
            </w:tcBorders>
            <w:shd w:val="clear" w:color="auto" w:fill="auto"/>
            <w:vAlign w:val="center"/>
            <w:hideMark/>
          </w:tcPr>
          <w:p w14:paraId="552A9216" w14:textId="77777777" w:rsidR="00BD3539" w:rsidRPr="00BD3539" w:rsidRDefault="00BD3539" w:rsidP="00BD3539">
            <w:pPr>
              <w:spacing w:after="0" w:line="240" w:lineRule="auto"/>
              <w:rPr>
                <w:rFonts w:ascii="Times New Roman" w:eastAsia="Times New Roman" w:hAnsi="Times New Roman" w:cs="Times New Roman"/>
                <w:b/>
                <w:bCs/>
                <w:color w:val="FF0000"/>
                <w:sz w:val="16"/>
                <w:szCs w:val="16"/>
                <w:highlight w:val="yellow"/>
                <w:lang w:eastAsia="sk-SK"/>
              </w:rPr>
            </w:pPr>
          </w:p>
        </w:tc>
        <w:tc>
          <w:tcPr>
            <w:tcW w:w="967" w:type="dxa"/>
            <w:vMerge/>
            <w:tcBorders>
              <w:top w:val="nil"/>
              <w:left w:val="nil"/>
              <w:bottom w:val="single" w:sz="4" w:space="0" w:color="000000"/>
              <w:right w:val="nil"/>
            </w:tcBorders>
            <w:shd w:val="clear" w:color="auto" w:fill="auto"/>
            <w:vAlign w:val="center"/>
            <w:hideMark/>
          </w:tcPr>
          <w:p w14:paraId="5D332DA8" w14:textId="77777777" w:rsidR="00BD3539" w:rsidRPr="00BD3539" w:rsidRDefault="00BD3539" w:rsidP="00BD3539">
            <w:pPr>
              <w:spacing w:after="0" w:line="240" w:lineRule="auto"/>
              <w:rPr>
                <w:rFonts w:ascii="Times New Roman" w:eastAsia="Times New Roman" w:hAnsi="Times New Roman" w:cs="Times New Roman"/>
                <w:b/>
                <w:bCs/>
                <w:color w:val="FF0000"/>
                <w:sz w:val="16"/>
                <w:szCs w:val="16"/>
                <w:highlight w:val="yellow"/>
                <w:lang w:eastAsia="sk-SK"/>
              </w:rPr>
            </w:pPr>
          </w:p>
        </w:tc>
        <w:tc>
          <w:tcPr>
            <w:tcW w:w="967" w:type="dxa"/>
            <w:vMerge/>
            <w:tcBorders>
              <w:top w:val="nil"/>
              <w:left w:val="nil"/>
              <w:bottom w:val="single" w:sz="4" w:space="0" w:color="auto"/>
              <w:right w:val="nil"/>
            </w:tcBorders>
            <w:shd w:val="clear" w:color="auto" w:fill="auto"/>
            <w:vAlign w:val="center"/>
            <w:hideMark/>
          </w:tcPr>
          <w:p w14:paraId="0F6B73CE" w14:textId="77777777" w:rsidR="00BD3539" w:rsidRPr="00BD3539" w:rsidRDefault="00BD3539" w:rsidP="00BD3539">
            <w:pPr>
              <w:spacing w:after="0" w:line="240" w:lineRule="auto"/>
              <w:rPr>
                <w:rFonts w:ascii="Times New Roman" w:eastAsia="Times New Roman" w:hAnsi="Times New Roman" w:cs="Times New Roman"/>
                <w:b/>
                <w:bCs/>
                <w:color w:val="FF0000"/>
                <w:sz w:val="16"/>
                <w:szCs w:val="16"/>
                <w:highlight w:val="yellow"/>
                <w:lang w:eastAsia="sk-SK"/>
              </w:rPr>
            </w:pPr>
          </w:p>
        </w:tc>
      </w:tr>
      <w:tr w:rsidR="00BD3539" w:rsidRPr="00BD3539" w14:paraId="62D0598F" w14:textId="77777777" w:rsidTr="006E5A9E">
        <w:trPr>
          <w:trHeight w:val="261"/>
          <w:jc w:val="center"/>
        </w:trPr>
        <w:tc>
          <w:tcPr>
            <w:tcW w:w="4237" w:type="dxa"/>
            <w:tcBorders>
              <w:top w:val="nil"/>
              <w:left w:val="nil"/>
              <w:bottom w:val="nil"/>
              <w:right w:val="nil"/>
            </w:tcBorders>
            <w:shd w:val="clear" w:color="auto" w:fill="auto"/>
            <w:noWrap/>
            <w:vAlign w:val="center"/>
            <w:hideMark/>
          </w:tcPr>
          <w:p w14:paraId="2E757CE2" w14:textId="77777777" w:rsidR="00BD3539" w:rsidRPr="00BD3539" w:rsidRDefault="00BD3539" w:rsidP="00BD3539">
            <w:pPr>
              <w:spacing w:after="0" w:line="240" w:lineRule="auto"/>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Daň z príjmov fyzických osôb</w:t>
            </w:r>
          </w:p>
        </w:tc>
        <w:tc>
          <w:tcPr>
            <w:tcW w:w="967" w:type="dxa"/>
            <w:tcBorders>
              <w:top w:val="nil"/>
              <w:left w:val="nil"/>
              <w:bottom w:val="nil"/>
              <w:right w:val="nil"/>
            </w:tcBorders>
            <w:shd w:val="clear" w:color="auto" w:fill="auto"/>
            <w:noWrap/>
            <w:vAlign w:val="center"/>
            <w:hideMark/>
          </w:tcPr>
          <w:p w14:paraId="6C44A8E4"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-28 431</w:t>
            </w:r>
          </w:p>
        </w:tc>
        <w:tc>
          <w:tcPr>
            <w:tcW w:w="967" w:type="dxa"/>
            <w:tcBorders>
              <w:top w:val="nil"/>
              <w:left w:val="nil"/>
              <w:bottom w:val="nil"/>
              <w:right w:val="nil"/>
            </w:tcBorders>
            <w:shd w:val="clear" w:color="auto" w:fill="auto"/>
            <w:noWrap/>
            <w:vAlign w:val="center"/>
            <w:hideMark/>
          </w:tcPr>
          <w:p w14:paraId="211014E9"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-160 556</w:t>
            </w:r>
          </w:p>
        </w:tc>
        <w:tc>
          <w:tcPr>
            <w:tcW w:w="967" w:type="dxa"/>
            <w:tcBorders>
              <w:top w:val="nil"/>
              <w:left w:val="nil"/>
              <w:bottom w:val="nil"/>
              <w:right w:val="nil"/>
            </w:tcBorders>
            <w:shd w:val="clear" w:color="auto" w:fill="auto"/>
            <w:noWrap/>
            <w:vAlign w:val="center"/>
            <w:hideMark/>
          </w:tcPr>
          <w:p w14:paraId="00FEFFA5"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12 432</w:t>
            </w:r>
          </w:p>
        </w:tc>
        <w:tc>
          <w:tcPr>
            <w:tcW w:w="967" w:type="dxa"/>
            <w:tcBorders>
              <w:top w:val="nil"/>
              <w:left w:val="nil"/>
              <w:bottom w:val="nil"/>
              <w:right w:val="nil"/>
            </w:tcBorders>
            <w:shd w:val="clear" w:color="auto" w:fill="auto"/>
            <w:noWrap/>
            <w:vAlign w:val="center"/>
          </w:tcPr>
          <w:p w14:paraId="51A21DFA"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42 813</w:t>
            </w:r>
          </w:p>
        </w:tc>
        <w:tc>
          <w:tcPr>
            <w:tcW w:w="967" w:type="dxa"/>
            <w:tcBorders>
              <w:top w:val="single" w:sz="4" w:space="0" w:color="auto"/>
              <w:left w:val="nil"/>
              <w:bottom w:val="nil"/>
              <w:right w:val="nil"/>
            </w:tcBorders>
            <w:shd w:val="clear" w:color="auto" w:fill="auto"/>
            <w:noWrap/>
            <w:vAlign w:val="center"/>
          </w:tcPr>
          <w:p w14:paraId="5364F323"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-285 175</w:t>
            </w:r>
          </w:p>
        </w:tc>
      </w:tr>
      <w:tr w:rsidR="00BD3539" w:rsidRPr="00BD3539" w14:paraId="593FA393" w14:textId="77777777" w:rsidTr="006E5A9E">
        <w:trPr>
          <w:trHeight w:val="261"/>
          <w:jc w:val="center"/>
        </w:trPr>
        <w:tc>
          <w:tcPr>
            <w:tcW w:w="4237" w:type="dxa"/>
            <w:tcBorders>
              <w:top w:val="nil"/>
              <w:left w:val="nil"/>
              <w:bottom w:val="nil"/>
              <w:right w:val="nil"/>
            </w:tcBorders>
            <w:shd w:val="clear" w:color="auto" w:fill="auto"/>
            <w:noWrap/>
            <w:vAlign w:val="center"/>
            <w:hideMark/>
          </w:tcPr>
          <w:p w14:paraId="6E08A69A" w14:textId="77777777" w:rsidR="00BD3539" w:rsidRPr="00BD3539" w:rsidRDefault="00BD3539" w:rsidP="00BD3539">
            <w:pPr>
              <w:spacing w:after="0" w:line="240" w:lineRule="auto"/>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Daň z príjmov právnických osôb</w:t>
            </w:r>
          </w:p>
        </w:tc>
        <w:tc>
          <w:tcPr>
            <w:tcW w:w="967" w:type="dxa"/>
            <w:tcBorders>
              <w:top w:val="nil"/>
              <w:left w:val="nil"/>
              <w:bottom w:val="nil"/>
              <w:right w:val="nil"/>
            </w:tcBorders>
            <w:shd w:val="clear" w:color="auto" w:fill="auto"/>
            <w:noWrap/>
            <w:hideMark/>
          </w:tcPr>
          <w:p w14:paraId="5CEC521D"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118 717</w:t>
            </w:r>
          </w:p>
        </w:tc>
        <w:tc>
          <w:tcPr>
            <w:tcW w:w="967" w:type="dxa"/>
            <w:tcBorders>
              <w:top w:val="nil"/>
              <w:left w:val="nil"/>
              <w:bottom w:val="nil"/>
              <w:right w:val="nil"/>
            </w:tcBorders>
            <w:shd w:val="clear" w:color="auto" w:fill="auto"/>
            <w:noWrap/>
            <w:hideMark/>
          </w:tcPr>
          <w:p w14:paraId="7116F939"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119 238</w:t>
            </w:r>
          </w:p>
        </w:tc>
        <w:tc>
          <w:tcPr>
            <w:tcW w:w="967" w:type="dxa"/>
            <w:tcBorders>
              <w:top w:val="nil"/>
              <w:left w:val="nil"/>
              <w:bottom w:val="nil"/>
              <w:right w:val="nil"/>
            </w:tcBorders>
            <w:shd w:val="clear" w:color="auto" w:fill="auto"/>
            <w:noWrap/>
            <w:hideMark/>
          </w:tcPr>
          <w:p w14:paraId="196405FB"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120 281</w:t>
            </w:r>
          </w:p>
        </w:tc>
        <w:tc>
          <w:tcPr>
            <w:tcW w:w="967" w:type="dxa"/>
            <w:tcBorders>
              <w:top w:val="nil"/>
              <w:left w:val="nil"/>
              <w:bottom w:val="nil"/>
              <w:right w:val="nil"/>
            </w:tcBorders>
            <w:shd w:val="clear" w:color="auto" w:fill="auto"/>
            <w:noWrap/>
            <w:hideMark/>
          </w:tcPr>
          <w:p w14:paraId="2D4634D8"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9 632</w:t>
            </w:r>
          </w:p>
        </w:tc>
        <w:tc>
          <w:tcPr>
            <w:tcW w:w="967" w:type="dxa"/>
            <w:tcBorders>
              <w:top w:val="nil"/>
              <w:left w:val="nil"/>
              <w:bottom w:val="nil"/>
              <w:right w:val="nil"/>
            </w:tcBorders>
            <w:shd w:val="clear" w:color="auto" w:fill="auto"/>
            <w:noWrap/>
            <w:hideMark/>
          </w:tcPr>
          <w:p w14:paraId="796600F5"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8 631</w:t>
            </w:r>
          </w:p>
        </w:tc>
      </w:tr>
      <w:tr w:rsidR="00BD3539" w:rsidRPr="00BD3539" w14:paraId="163D560F" w14:textId="77777777" w:rsidTr="006E5A9E">
        <w:trPr>
          <w:trHeight w:val="261"/>
          <w:jc w:val="center"/>
        </w:trPr>
        <w:tc>
          <w:tcPr>
            <w:tcW w:w="4237" w:type="dxa"/>
            <w:tcBorders>
              <w:top w:val="nil"/>
              <w:left w:val="nil"/>
              <w:bottom w:val="nil"/>
              <w:right w:val="nil"/>
            </w:tcBorders>
            <w:shd w:val="clear" w:color="auto" w:fill="auto"/>
            <w:noWrap/>
            <w:vAlign w:val="center"/>
            <w:hideMark/>
          </w:tcPr>
          <w:p w14:paraId="79731FE2" w14:textId="77777777" w:rsidR="00BD3539" w:rsidRPr="00BD3539" w:rsidRDefault="00BD3539" w:rsidP="00BD3539">
            <w:pPr>
              <w:spacing w:after="0" w:line="240" w:lineRule="auto"/>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Daň z príjmov vyberaná zrážkou</w:t>
            </w:r>
          </w:p>
        </w:tc>
        <w:tc>
          <w:tcPr>
            <w:tcW w:w="967" w:type="dxa"/>
            <w:tcBorders>
              <w:top w:val="nil"/>
              <w:left w:val="nil"/>
              <w:bottom w:val="nil"/>
              <w:right w:val="nil"/>
            </w:tcBorders>
            <w:shd w:val="clear" w:color="auto" w:fill="auto"/>
            <w:noWrap/>
            <w:vAlign w:val="center"/>
            <w:hideMark/>
          </w:tcPr>
          <w:p w14:paraId="509B0701"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4 336</w:t>
            </w:r>
          </w:p>
        </w:tc>
        <w:tc>
          <w:tcPr>
            <w:tcW w:w="967" w:type="dxa"/>
            <w:tcBorders>
              <w:top w:val="nil"/>
              <w:left w:val="nil"/>
              <w:bottom w:val="nil"/>
              <w:right w:val="nil"/>
            </w:tcBorders>
            <w:shd w:val="clear" w:color="auto" w:fill="auto"/>
            <w:noWrap/>
            <w:vAlign w:val="center"/>
            <w:hideMark/>
          </w:tcPr>
          <w:p w14:paraId="66688C66"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4 753</w:t>
            </w:r>
          </w:p>
        </w:tc>
        <w:tc>
          <w:tcPr>
            <w:tcW w:w="967" w:type="dxa"/>
            <w:tcBorders>
              <w:top w:val="nil"/>
              <w:left w:val="nil"/>
              <w:bottom w:val="nil"/>
              <w:right w:val="nil"/>
            </w:tcBorders>
            <w:shd w:val="clear" w:color="auto" w:fill="auto"/>
            <w:noWrap/>
            <w:vAlign w:val="center"/>
            <w:hideMark/>
          </w:tcPr>
          <w:p w14:paraId="53DF197E"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6 137</w:t>
            </w:r>
          </w:p>
        </w:tc>
        <w:tc>
          <w:tcPr>
            <w:tcW w:w="967" w:type="dxa"/>
            <w:tcBorders>
              <w:top w:val="nil"/>
              <w:left w:val="nil"/>
              <w:bottom w:val="nil"/>
              <w:right w:val="nil"/>
            </w:tcBorders>
            <w:shd w:val="clear" w:color="auto" w:fill="auto"/>
            <w:noWrap/>
            <w:vAlign w:val="center"/>
            <w:hideMark/>
          </w:tcPr>
          <w:p w14:paraId="30E1DAF4"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1 050</w:t>
            </w:r>
          </w:p>
        </w:tc>
        <w:tc>
          <w:tcPr>
            <w:tcW w:w="967" w:type="dxa"/>
            <w:tcBorders>
              <w:top w:val="nil"/>
              <w:left w:val="nil"/>
              <w:bottom w:val="nil"/>
              <w:right w:val="nil"/>
            </w:tcBorders>
            <w:shd w:val="clear" w:color="auto" w:fill="auto"/>
            <w:noWrap/>
            <w:vAlign w:val="center"/>
            <w:hideMark/>
          </w:tcPr>
          <w:p w14:paraId="639996DC"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1 103</w:t>
            </w:r>
          </w:p>
        </w:tc>
      </w:tr>
      <w:tr w:rsidR="00BD3539" w:rsidRPr="00BD3539" w14:paraId="5639A304" w14:textId="77777777" w:rsidTr="006E5A9E">
        <w:trPr>
          <w:trHeight w:val="261"/>
          <w:jc w:val="center"/>
        </w:trPr>
        <w:tc>
          <w:tcPr>
            <w:tcW w:w="4237" w:type="dxa"/>
            <w:tcBorders>
              <w:top w:val="nil"/>
              <w:left w:val="nil"/>
              <w:bottom w:val="nil"/>
              <w:right w:val="nil"/>
            </w:tcBorders>
            <w:shd w:val="clear" w:color="auto" w:fill="auto"/>
            <w:noWrap/>
            <w:vAlign w:val="center"/>
          </w:tcPr>
          <w:p w14:paraId="4A1B32A6" w14:textId="77777777" w:rsidR="00BD3539" w:rsidRPr="00BD3539" w:rsidRDefault="00BD3539" w:rsidP="00BD3539">
            <w:pPr>
              <w:spacing w:after="0" w:line="240" w:lineRule="auto"/>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Daň z pridanej hodnoty</w:t>
            </w:r>
          </w:p>
        </w:tc>
        <w:tc>
          <w:tcPr>
            <w:tcW w:w="967" w:type="dxa"/>
            <w:tcBorders>
              <w:top w:val="nil"/>
              <w:left w:val="nil"/>
              <w:bottom w:val="nil"/>
              <w:right w:val="nil"/>
            </w:tcBorders>
            <w:shd w:val="clear" w:color="auto" w:fill="auto"/>
            <w:noWrap/>
            <w:vAlign w:val="center"/>
          </w:tcPr>
          <w:p w14:paraId="1072E2CC"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87 704</w:t>
            </w:r>
          </w:p>
        </w:tc>
        <w:tc>
          <w:tcPr>
            <w:tcW w:w="967" w:type="dxa"/>
            <w:tcBorders>
              <w:top w:val="nil"/>
              <w:left w:val="nil"/>
              <w:bottom w:val="nil"/>
              <w:right w:val="nil"/>
            </w:tcBorders>
            <w:shd w:val="clear" w:color="auto" w:fill="auto"/>
            <w:noWrap/>
          </w:tcPr>
          <w:p w14:paraId="22737371"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70 533</w:t>
            </w:r>
          </w:p>
        </w:tc>
        <w:tc>
          <w:tcPr>
            <w:tcW w:w="967" w:type="dxa"/>
            <w:tcBorders>
              <w:top w:val="nil"/>
              <w:left w:val="nil"/>
              <w:bottom w:val="nil"/>
              <w:right w:val="nil"/>
            </w:tcBorders>
            <w:shd w:val="clear" w:color="auto" w:fill="auto"/>
            <w:noWrap/>
          </w:tcPr>
          <w:p w14:paraId="42208CE5"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283 984</w:t>
            </w:r>
          </w:p>
        </w:tc>
        <w:tc>
          <w:tcPr>
            <w:tcW w:w="967" w:type="dxa"/>
            <w:tcBorders>
              <w:top w:val="nil"/>
              <w:left w:val="nil"/>
              <w:bottom w:val="nil"/>
              <w:right w:val="nil"/>
            </w:tcBorders>
            <w:shd w:val="clear" w:color="auto" w:fill="auto"/>
            <w:noWrap/>
          </w:tcPr>
          <w:p w14:paraId="75C9F4AC"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273 145</w:t>
            </w:r>
          </w:p>
        </w:tc>
        <w:tc>
          <w:tcPr>
            <w:tcW w:w="967" w:type="dxa"/>
            <w:tcBorders>
              <w:top w:val="nil"/>
              <w:left w:val="nil"/>
              <w:bottom w:val="nil"/>
              <w:right w:val="nil"/>
            </w:tcBorders>
            <w:shd w:val="clear" w:color="auto" w:fill="auto"/>
            <w:noWrap/>
          </w:tcPr>
          <w:p w14:paraId="5FBC4F43"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284 352</w:t>
            </w:r>
          </w:p>
        </w:tc>
      </w:tr>
      <w:tr w:rsidR="00BD3539" w:rsidRPr="00BD3539" w14:paraId="019E5767" w14:textId="77777777" w:rsidTr="006E5A9E">
        <w:trPr>
          <w:trHeight w:val="261"/>
          <w:jc w:val="center"/>
        </w:trPr>
        <w:tc>
          <w:tcPr>
            <w:tcW w:w="4237" w:type="dxa"/>
            <w:tcBorders>
              <w:top w:val="nil"/>
              <w:left w:val="nil"/>
              <w:bottom w:val="nil"/>
              <w:right w:val="nil"/>
            </w:tcBorders>
            <w:shd w:val="clear" w:color="auto" w:fill="auto"/>
            <w:noWrap/>
            <w:vAlign w:val="center"/>
            <w:hideMark/>
          </w:tcPr>
          <w:p w14:paraId="7C2FBCF2" w14:textId="77777777" w:rsidR="00BD3539" w:rsidRPr="00BD3539" w:rsidRDefault="00BD3539" w:rsidP="00BD3539">
            <w:pPr>
              <w:spacing w:after="0" w:line="240" w:lineRule="auto"/>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Spotrebné dane</w:t>
            </w:r>
          </w:p>
        </w:tc>
        <w:tc>
          <w:tcPr>
            <w:tcW w:w="967" w:type="dxa"/>
            <w:tcBorders>
              <w:top w:val="nil"/>
              <w:left w:val="nil"/>
              <w:bottom w:val="nil"/>
              <w:right w:val="nil"/>
            </w:tcBorders>
            <w:shd w:val="clear" w:color="auto" w:fill="auto"/>
            <w:noWrap/>
            <w:vAlign w:val="center"/>
            <w:hideMark/>
          </w:tcPr>
          <w:p w14:paraId="4E7090B7"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245 318</w:t>
            </w:r>
          </w:p>
        </w:tc>
        <w:tc>
          <w:tcPr>
            <w:tcW w:w="967" w:type="dxa"/>
            <w:tcBorders>
              <w:top w:val="nil"/>
              <w:left w:val="nil"/>
              <w:bottom w:val="nil"/>
              <w:right w:val="nil"/>
            </w:tcBorders>
            <w:shd w:val="clear" w:color="auto" w:fill="auto"/>
            <w:noWrap/>
            <w:vAlign w:val="center"/>
            <w:hideMark/>
          </w:tcPr>
          <w:p w14:paraId="4F6C9F9C"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250 864</w:t>
            </w:r>
          </w:p>
        </w:tc>
        <w:tc>
          <w:tcPr>
            <w:tcW w:w="967" w:type="dxa"/>
            <w:tcBorders>
              <w:top w:val="nil"/>
              <w:left w:val="nil"/>
              <w:bottom w:val="nil"/>
              <w:right w:val="nil"/>
            </w:tcBorders>
            <w:shd w:val="clear" w:color="auto" w:fill="auto"/>
            <w:noWrap/>
            <w:vAlign w:val="center"/>
            <w:hideMark/>
          </w:tcPr>
          <w:p w14:paraId="1534096D"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232 007</w:t>
            </w:r>
          </w:p>
        </w:tc>
        <w:tc>
          <w:tcPr>
            <w:tcW w:w="967" w:type="dxa"/>
            <w:tcBorders>
              <w:top w:val="nil"/>
              <w:left w:val="nil"/>
              <w:bottom w:val="nil"/>
              <w:right w:val="nil"/>
            </w:tcBorders>
            <w:shd w:val="clear" w:color="auto" w:fill="auto"/>
            <w:noWrap/>
            <w:vAlign w:val="center"/>
            <w:hideMark/>
          </w:tcPr>
          <w:p w14:paraId="085A67B4"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101 098</w:t>
            </w:r>
          </w:p>
        </w:tc>
        <w:tc>
          <w:tcPr>
            <w:tcW w:w="967" w:type="dxa"/>
            <w:tcBorders>
              <w:top w:val="nil"/>
              <w:left w:val="nil"/>
              <w:bottom w:val="nil"/>
              <w:right w:val="nil"/>
            </w:tcBorders>
            <w:shd w:val="clear" w:color="auto" w:fill="auto"/>
            <w:noWrap/>
            <w:vAlign w:val="center"/>
            <w:hideMark/>
          </w:tcPr>
          <w:p w14:paraId="0F491459"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90 623</w:t>
            </w:r>
          </w:p>
        </w:tc>
      </w:tr>
      <w:tr w:rsidR="00BD3539" w:rsidRPr="00BD3539" w14:paraId="2413C175" w14:textId="77777777" w:rsidTr="006E5A9E">
        <w:trPr>
          <w:trHeight w:val="261"/>
          <w:jc w:val="center"/>
        </w:trPr>
        <w:tc>
          <w:tcPr>
            <w:tcW w:w="4237" w:type="dxa"/>
            <w:tcBorders>
              <w:top w:val="nil"/>
              <w:left w:val="nil"/>
              <w:bottom w:val="nil"/>
              <w:right w:val="nil"/>
            </w:tcBorders>
            <w:shd w:val="clear" w:color="auto" w:fill="auto"/>
            <w:noWrap/>
            <w:vAlign w:val="center"/>
            <w:hideMark/>
          </w:tcPr>
          <w:p w14:paraId="328BBF52" w14:textId="77777777" w:rsidR="00BD3539" w:rsidRPr="00BD3539" w:rsidRDefault="00BD3539" w:rsidP="00BD3539">
            <w:pPr>
              <w:spacing w:after="0" w:line="240" w:lineRule="auto"/>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RTVS</w:t>
            </w:r>
          </w:p>
        </w:tc>
        <w:tc>
          <w:tcPr>
            <w:tcW w:w="967" w:type="dxa"/>
            <w:tcBorders>
              <w:top w:val="nil"/>
              <w:left w:val="nil"/>
              <w:bottom w:val="nil"/>
              <w:right w:val="nil"/>
            </w:tcBorders>
            <w:shd w:val="clear" w:color="auto" w:fill="auto"/>
            <w:noWrap/>
            <w:vAlign w:val="center"/>
            <w:hideMark/>
          </w:tcPr>
          <w:p w14:paraId="36376968"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-18 849</w:t>
            </w:r>
          </w:p>
        </w:tc>
        <w:tc>
          <w:tcPr>
            <w:tcW w:w="967" w:type="dxa"/>
            <w:tcBorders>
              <w:top w:val="nil"/>
              <w:left w:val="nil"/>
              <w:bottom w:val="nil"/>
              <w:right w:val="nil"/>
            </w:tcBorders>
            <w:shd w:val="clear" w:color="auto" w:fill="auto"/>
            <w:noWrap/>
            <w:vAlign w:val="center"/>
          </w:tcPr>
          <w:p w14:paraId="06D39E1A"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-18 849</w:t>
            </w:r>
          </w:p>
        </w:tc>
        <w:tc>
          <w:tcPr>
            <w:tcW w:w="967" w:type="dxa"/>
            <w:tcBorders>
              <w:top w:val="nil"/>
              <w:left w:val="nil"/>
              <w:bottom w:val="nil"/>
              <w:right w:val="nil"/>
            </w:tcBorders>
            <w:shd w:val="clear" w:color="auto" w:fill="auto"/>
            <w:noWrap/>
            <w:vAlign w:val="center"/>
          </w:tcPr>
          <w:p w14:paraId="7F650908"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-18 849</w:t>
            </w:r>
          </w:p>
        </w:tc>
        <w:tc>
          <w:tcPr>
            <w:tcW w:w="967" w:type="dxa"/>
            <w:tcBorders>
              <w:top w:val="nil"/>
              <w:left w:val="nil"/>
              <w:bottom w:val="nil"/>
              <w:right w:val="nil"/>
            </w:tcBorders>
            <w:shd w:val="clear" w:color="auto" w:fill="auto"/>
            <w:noWrap/>
            <w:vAlign w:val="center"/>
          </w:tcPr>
          <w:p w14:paraId="621883F2"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-18 849</w:t>
            </w:r>
          </w:p>
        </w:tc>
        <w:tc>
          <w:tcPr>
            <w:tcW w:w="967" w:type="dxa"/>
            <w:tcBorders>
              <w:top w:val="nil"/>
              <w:left w:val="nil"/>
              <w:bottom w:val="nil"/>
              <w:right w:val="nil"/>
            </w:tcBorders>
            <w:shd w:val="clear" w:color="auto" w:fill="auto"/>
            <w:noWrap/>
            <w:vAlign w:val="center"/>
          </w:tcPr>
          <w:p w14:paraId="618AC77C"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-18 849</w:t>
            </w:r>
          </w:p>
        </w:tc>
      </w:tr>
      <w:tr w:rsidR="00BD3539" w:rsidRPr="00BD3539" w14:paraId="4F9AB342" w14:textId="77777777" w:rsidTr="006E5A9E">
        <w:trPr>
          <w:trHeight w:val="261"/>
          <w:jc w:val="center"/>
        </w:trPr>
        <w:tc>
          <w:tcPr>
            <w:tcW w:w="4237" w:type="dxa"/>
            <w:tcBorders>
              <w:top w:val="nil"/>
              <w:left w:val="nil"/>
              <w:bottom w:val="nil"/>
              <w:right w:val="nil"/>
            </w:tcBorders>
            <w:shd w:val="clear" w:color="auto" w:fill="auto"/>
            <w:noWrap/>
            <w:vAlign w:val="center"/>
          </w:tcPr>
          <w:p w14:paraId="24F15E14" w14:textId="77777777" w:rsidR="00BD3539" w:rsidRPr="00BD3539" w:rsidRDefault="00BD3539" w:rsidP="00BD3539">
            <w:pPr>
              <w:spacing w:after="0" w:line="240" w:lineRule="auto"/>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Sociálne poistenie</w:t>
            </w:r>
          </w:p>
        </w:tc>
        <w:tc>
          <w:tcPr>
            <w:tcW w:w="967" w:type="dxa"/>
            <w:tcBorders>
              <w:top w:val="nil"/>
              <w:left w:val="nil"/>
              <w:bottom w:val="nil"/>
              <w:right w:val="nil"/>
            </w:tcBorders>
            <w:shd w:val="clear" w:color="auto" w:fill="auto"/>
            <w:noWrap/>
            <w:vAlign w:val="center"/>
          </w:tcPr>
          <w:p w14:paraId="5AB2DE0F"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-83 198</w:t>
            </w:r>
          </w:p>
        </w:tc>
        <w:tc>
          <w:tcPr>
            <w:tcW w:w="967" w:type="dxa"/>
            <w:tcBorders>
              <w:top w:val="nil"/>
              <w:left w:val="nil"/>
              <w:bottom w:val="nil"/>
              <w:right w:val="nil"/>
            </w:tcBorders>
            <w:shd w:val="clear" w:color="auto" w:fill="auto"/>
            <w:noWrap/>
            <w:vAlign w:val="center"/>
          </w:tcPr>
          <w:p w14:paraId="1AFDD984"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-94 521</w:t>
            </w:r>
          </w:p>
        </w:tc>
        <w:tc>
          <w:tcPr>
            <w:tcW w:w="967" w:type="dxa"/>
            <w:tcBorders>
              <w:top w:val="nil"/>
              <w:left w:val="nil"/>
              <w:bottom w:val="nil"/>
              <w:right w:val="nil"/>
            </w:tcBorders>
            <w:shd w:val="clear" w:color="auto" w:fill="auto"/>
            <w:noWrap/>
            <w:vAlign w:val="center"/>
          </w:tcPr>
          <w:p w14:paraId="178E5E4B"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-77 801</w:t>
            </w:r>
          </w:p>
        </w:tc>
        <w:tc>
          <w:tcPr>
            <w:tcW w:w="967" w:type="dxa"/>
            <w:tcBorders>
              <w:top w:val="nil"/>
              <w:left w:val="nil"/>
              <w:bottom w:val="nil"/>
              <w:right w:val="nil"/>
            </w:tcBorders>
            <w:shd w:val="clear" w:color="auto" w:fill="auto"/>
            <w:noWrap/>
            <w:vAlign w:val="center"/>
          </w:tcPr>
          <w:p w14:paraId="4BC425B5"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-97 350</w:t>
            </w:r>
          </w:p>
        </w:tc>
        <w:tc>
          <w:tcPr>
            <w:tcW w:w="967" w:type="dxa"/>
            <w:tcBorders>
              <w:top w:val="nil"/>
              <w:left w:val="nil"/>
              <w:bottom w:val="nil"/>
              <w:right w:val="nil"/>
            </w:tcBorders>
            <w:shd w:val="clear" w:color="auto" w:fill="auto"/>
            <w:noWrap/>
            <w:vAlign w:val="center"/>
          </w:tcPr>
          <w:p w14:paraId="3EE76F04"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-95 860</w:t>
            </w:r>
          </w:p>
        </w:tc>
      </w:tr>
      <w:tr w:rsidR="00BD3539" w:rsidRPr="00BD3539" w14:paraId="36F3AF3E" w14:textId="77777777" w:rsidTr="006E5A9E">
        <w:trPr>
          <w:trHeight w:val="261"/>
          <w:jc w:val="center"/>
        </w:trPr>
        <w:tc>
          <w:tcPr>
            <w:tcW w:w="4237" w:type="dxa"/>
            <w:tcBorders>
              <w:top w:val="nil"/>
              <w:left w:val="nil"/>
              <w:bottom w:val="single" w:sz="4" w:space="0" w:color="auto"/>
              <w:right w:val="nil"/>
            </w:tcBorders>
            <w:shd w:val="clear" w:color="auto" w:fill="auto"/>
            <w:noWrap/>
            <w:vAlign w:val="center"/>
            <w:hideMark/>
          </w:tcPr>
          <w:p w14:paraId="7CDBDDC3" w14:textId="77777777" w:rsidR="00BD3539" w:rsidRPr="00BD3539" w:rsidRDefault="00BD3539" w:rsidP="00BD3539">
            <w:pPr>
              <w:spacing w:after="0" w:line="240" w:lineRule="auto"/>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 xml:space="preserve">Zdravotné poistenie </w:t>
            </w:r>
          </w:p>
        </w:tc>
        <w:tc>
          <w:tcPr>
            <w:tcW w:w="967" w:type="dxa"/>
            <w:tcBorders>
              <w:top w:val="nil"/>
              <w:left w:val="nil"/>
              <w:bottom w:val="single" w:sz="4" w:space="0" w:color="auto"/>
              <w:right w:val="nil"/>
            </w:tcBorders>
            <w:shd w:val="clear" w:color="auto" w:fill="auto"/>
            <w:noWrap/>
            <w:vAlign w:val="center"/>
            <w:hideMark/>
          </w:tcPr>
          <w:p w14:paraId="19D78C89"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308 119</w:t>
            </w:r>
          </w:p>
        </w:tc>
        <w:tc>
          <w:tcPr>
            <w:tcW w:w="967" w:type="dxa"/>
            <w:tcBorders>
              <w:top w:val="nil"/>
              <w:left w:val="nil"/>
              <w:bottom w:val="single" w:sz="4" w:space="0" w:color="auto"/>
              <w:right w:val="nil"/>
            </w:tcBorders>
            <w:shd w:val="clear" w:color="auto" w:fill="auto"/>
            <w:noWrap/>
            <w:vAlign w:val="center"/>
            <w:hideMark/>
          </w:tcPr>
          <w:p w14:paraId="7D371FA2"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335 290</w:t>
            </w:r>
          </w:p>
        </w:tc>
        <w:tc>
          <w:tcPr>
            <w:tcW w:w="967" w:type="dxa"/>
            <w:tcBorders>
              <w:top w:val="nil"/>
              <w:left w:val="nil"/>
              <w:bottom w:val="single" w:sz="4" w:space="0" w:color="auto"/>
              <w:right w:val="nil"/>
            </w:tcBorders>
            <w:shd w:val="clear" w:color="auto" w:fill="auto"/>
            <w:noWrap/>
            <w:vAlign w:val="center"/>
            <w:hideMark/>
          </w:tcPr>
          <w:p w14:paraId="46C58F13"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372 600</w:t>
            </w:r>
          </w:p>
        </w:tc>
        <w:tc>
          <w:tcPr>
            <w:tcW w:w="967" w:type="dxa"/>
            <w:tcBorders>
              <w:top w:val="nil"/>
              <w:left w:val="nil"/>
              <w:bottom w:val="single" w:sz="4" w:space="0" w:color="auto"/>
              <w:right w:val="nil"/>
            </w:tcBorders>
            <w:shd w:val="clear" w:color="auto" w:fill="auto"/>
            <w:noWrap/>
            <w:vAlign w:val="center"/>
            <w:hideMark/>
          </w:tcPr>
          <w:p w14:paraId="240EA43F"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-4 094</w:t>
            </w:r>
          </w:p>
        </w:tc>
        <w:tc>
          <w:tcPr>
            <w:tcW w:w="967" w:type="dxa"/>
            <w:tcBorders>
              <w:top w:val="nil"/>
              <w:left w:val="nil"/>
              <w:bottom w:val="single" w:sz="4" w:space="0" w:color="auto"/>
              <w:right w:val="nil"/>
            </w:tcBorders>
            <w:shd w:val="clear" w:color="auto" w:fill="auto"/>
            <w:noWrap/>
            <w:vAlign w:val="center"/>
            <w:hideMark/>
          </w:tcPr>
          <w:p w14:paraId="60BFBE48" w14:textId="77777777" w:rsidR="00BD3539" w:rsidRPr="00BD3539" w:rsidRDefault="00BD3539" w:rsidP="00BD3539">
            <w:pPr>
              <w:spacing w:after="0" w:line="240" w:lineRule="auto"/>
              <w:jc w:val="center"/>
              <w:rPr>
                <w:rFonts w:ascii="Times New Roman" w:eastAsia="Times New Roman" w:hAnsi="Times New Roman" w:cs="Times New Roman"/>
                <w:bCs/>
                <w:sz w:val="16"/>
                <w:szCs w:val="16"/>
                <w:lang w:eastAsia="sk-SK"/>
              </w:rPr>
            </w:pPr>
            <w:r w:rsidRPr="00BD3539">
              <w:rPr>
                <w:rFonts w:ascii="Times New Roman" w:eastAsia="Times New Roman" w:hAnsi="Times New Roman" w:cs="Times New Roman"/>
                <w:bCs/>
                <w:sz w:val="16"/>
                <w:szCs w:val="16"/>
                <w:lang w:eastAsia="sk-SK"/>
              </w:rPr>
              <w:t>-3 892</w:t>
            </w:r>
          </w:p>
        </w:tc>
      </w:tr>
      <w:tr w:rsidR="00BD3539" w:rsidRPr="00BD3539" w14:paraId="6A2C18F0" w14:textId="77777777" w:rsidTr="006E5A9E">
        <w:trPr>
          <w:trHeight w:val="261"/>
          <w:jc w:val="center"/>
        </w:trPr>
        <w:tc>
          <w:tcPr>
            <w:tcW w:w="4237" w:type="dxa"/>
            <w:tcBorders>
              <w:top w:val="nil"/>
              <w:left w:val="nil"/>
              <w:bottom w:val="nil"/>
              <w:right w:val="nil"/>
            </w:tcBorders>
            <w:shd w:val="clear" w:color="auto" w:fill="auto"/>
            <w:noWrap/>
            <w:vAlign w:val="center"/>
            <w:hideMark/>
          </w:tcPr>
          <w:p w14:paraId="3D96A442" w14:textId="77777777" w:rsidR="00BD3539" w:rsidRPr="00BD3539" w:rsidRDefault="00BD3539" w:rsidP="00BD3539">
            <w:pPr>
              <w:spacing w:after="0" w:line="240" w:lineRule="auto"/>
              <w:rPr>
                <w:rFonts w:ascii="Times New Roman" w:eastAsia="Times New Roman" w:hAnsi="Times New Roman" w:cs="Times New Roman"/>
                <w:i/>
                <w:iCs/>
                <w:sz w:val="16"/>
                <w:szCs w:val="16"/>
                <w:lang w:eastAsia="sk-SK"/>
              </w:rPr>
            </w:pPr>
            <w:r w:rsidRPr="00BD3539">
              <w:rPr>
                <w:rFonts w:ascii="Times New Roman" w:eastAsia="Times New Roman" w:hAnsi="Times New Roman" w:cs="Times New Roman"/>
                <w:i/>
                <w:iCs/>
                <w:sz w:val="16"/>
                <w:szCs w:val="16"/>
                <w:lang w:eastAsia="sk-SK"/>
              </w:rPr>
              <w:t>Negatívne daňové výdavky</w:t>
            </w:r>
          </w:p>
        </w:tc>
        <w:tc>
          <w:tcPr>
            <w:tcW w:w="967" w:type="dxa"/>
            <w:tcBorders>
              <w:top w:val="nil"/>
              <w:left w:val="nil"/>
              <w:bottom w:val="nil"/>
              <w:right w:val="nil"/>
            </w:tcBorders>
            <w:shd w:val="clear" w:color="auto" w:fill="auto"/>
            <w:noWrap/>
            <w:vAlign w:val="center"/>
            <w:hideMark/>
          </w:tcPr>
          <w:p w14:paraId="57283D6F" w14:textId="77777777" w:rsidR="00BD3539" w:rsidRPr="00BD3539" w:rsidRDefault="00BD3539" w:rsidP="00BD3539">
            <w:pPr>
              <w:spacing w:after="0" w:line="240" w:lineRule="auto"/>
              <w:jc w:val="center"/>
              <w:rPr>
                <w:rFonts w:ascii="Times New Roman" w:eastAsia="Times New Roman" w:hAnsi="Times New Roman" w:cs="Times New Roman"/>
                <w:bCs/>
                <w:i/>
                <w:sz w:val="16"/>
                <w:szCs w:val="16"/>
                <w:lang w:eastAsia="sk-SK"/>
              </w:rPr>
            </w:pPr>
            <w:r w:rsidRPr="00BD3539">
              <w:rPr>
                <w:rFonts w:ascii="Times New Roman" w:eastAsia="Times New Roman" w:hAnsi="Times New Roman" w:cs="Times New Roman"/>
                <w:i/>
                <w:iCs/>
                <w:sz w:val="16"/>
                <w:szCs w:val="16"/>
                <w:lang w:eastAsia="sk-SK"/>
              </w:rPr>
              <w:t>0</w:t>
            </w:r>
          </w:p>
        </w:tc>
        <w:tc>
          <w:tcPr>
            <w:tcW w:w="967" w:type="dxa"/>
            <w:tcBorders>
              <w:top w:val="nil"/>
              <w:left w:val="nil"/>
              <w:bottom w:val="nil"/>
              <w:right w:val="nil"/>
            </w:tcBorders>
            <w:shd w:val="clear" w:color="auto" w:fill="auto"/>
            <w:noWrap/>
            <w:vAlign w:val="center"/>
            <w:hideMark/>
          </w:tcPr>
          <w:p w14:paraId="3DC9B3C6" w14:textId="77777777" w:rsidR="00BD3539" w:rsidRPr="00BD3539" w:rsidRDefault="00BD3539" w:rsidP="00BD3539">
            <w:pPr>
              <w:spacing w:after="0" w:line="240" w:lineRule="auto"/>
              <w:jc w:val="center"/>
              <w:rPr>
                <w:rFonts w:ascii="Times New Roman" w:eastAsia="Times New Roman" w:hAnsi="Times New Roman" w:cs="Times New Roman"/>
                <w:bCs/>
                <w:i/>
                <w:sz w:val="16"/>
                <w:szCs w:val="16"/>
                <w:lang w:eastAsia="sk-SK"/>
              </w:rPr>
            </w:pPr>
            <w:r w:rsidRPr="00BD3539">
              <w:rPr>
                <w:rFonts w:ascii="Times New Roman" w:eastAsia="Times New Roman" w:hAnsi="Times New Roman" w:cs="Times New Roman"/>
                <w:i/>
                <w:iCs/>
                <w:sz w:val="16"/>
                <w:szCs w:val="16"/>
                <w:lang w:eastAsia="sk-SK"/>
              </w:rPr>
              <w:t>0</w:t>
            </w:r>
          </w:p>
        </w:tc>
        <w:tc>
          <w:tcPr>
            <w:tcW w:w="967" w:type="dxa"/>
            <w:tcBorders>
              <w:top w:val="nil"/>
              <w:left w:val="nil"/>
              <w:bottom w:val="nil"/>
              <w:right w:val="nil"/>
            </w:tcBorders>
            <w:shd w:val="clear" w:color="auto" w:fill="auto"/>
            <w:noWrap/>
            <w:vAlign w:val="center"/>
            <w:hideMark/>
          </w:tcPr>
          <w:p w14:paraId="7E0294B5" w14:textId="77777777" w:rsidR="00BD3539" w:rsidRPr="00BD3539" w:rsidRDefault="00BD3539" w:rsidP="00BD3539">
            <w:pPr>
              <w:spacing w:after="0" w:line="240" w:lineRule="auto"/>
              <w:jc w:val="center"/>
              <w:rPr>
                <w:rFonts w:ascii="Times New Roman" w:eastAsia="Times New Roman" w:hAnsi="Times New Roman" w:cs="Times New Roman"/>
                <w:bCs/>
                <w:i/>
                <w:sz w:val="16"/>
                <w:szCs w:val="16"/>
                <w:lang w:eastAsia="sk-SK"/>
              </w:rPr>
            </w:pPr>
            <w:r w:rsidRPr="00BD3539">
              <w:rPr>
                <w:rFonts w:ascii="Times New Roman" w:eastAsia="Times New Roman" w:hAnsi="Times New Roman" w:cs="Times New Roman"/>
                <w:i/>
                <w:iCs/>
                <w:sz w:val="16"/>
                <w:szCs w:val="16"/>
                <w:lang w:eastAsia="sk-SK"/>
              </w:rPr>
              <w:t>0</w:t>
            </w:r>
          </w:p>
        </w:tc>
        <w:tc>
          <w:tcPr>
            <w:tcW w:w="967" w:type="dxa"/>
            <w:tcBorders>
              <w:top w:val="nil"/>
              <w:left w:val="nil"/>
              <w:bottom w:val="nil"/>
              <w:right w:val="nil"/>
            </w:tcBorders>
            <w:shd w:val="clear" w:color="auto" w:fill="auto"/>
            <w:noWrap/>
            <w:vAlign w:val="center"/>
            <w:hideMark/>
          </w:tcPr>
          <w:p w14:paraId="440FE588" w14:textId="77777777" w:rsidR="00BD3539" w:rsidRPr="00BD3539" w:rsidRDefault="00BD3539" w:rsidP="00BD3539">
            <w:pPr>
              <w:spacing w:after="0" w:line="240" w:lineRule="auto"/>
              <w:jc w:val="center"/>
              <w:rPr>
                <w:rFonts w:ascii="Times New Roman" w:eastAsia="Times New Roman" w:hAnsi="Times New Roman" w:cs="Times New Roman"/>
                <w:bCs/>
                <w:i/>
                <w:sz w:val="16"/>
                <w:szCs w:val="16"/>
                <w:lang w:eastAsia="sk-SK"/>
              </w:rPr>
            </w:pPr>
            <w:r w:rsidRPr="00BD3539">
              <w:rPr>
                <w:rFonts w:ascii="Times New Roman" w:eastAsia="Times New Roman" w:hAnsi="Times New Roman" w:cs="Times New Roman"/>
                <w:i/>
                <w:iCs/>
                <w:sz w:val="16"/>
                <w:szCs w:val="16"/>
                <w:lang w:eastAsia="sk-SK"/>
              </w:rPr>
              <w:t>0</w:t>
            </w:r>
          </w:p>
        </w:tc>
        <w:tc>
          <w:tcPr>
            <w:tcW w:w="967" w:type="dxa"/>
            <w:tcBorders>
              <w:top w:val="nil"/>
              <w:left w:val="nil"/>
              <w:bottom w:val="nil"/>
              <w:right w:val="nil"/>
            </w:tcBorders>
            <w:shd w:val="clear" w:color="auto" w:fill="auto"/>
            <w:noWrap/>
            <w:vAlign w:val="center"/>
            <w:hideMark/>
          </w:tcPr>
          <w:p w14:paraId="30E55CF6" w14:textId="77777777" w:rsidR="00BD3539" w:rsidRPr="00BD3539" w:rsidRDefault="00BD3539" w:rsidP="00BD3539">
            <w:pPr>
              <w:spacing w:after="0" w:line="240" w:lineRule="auto"/>
              <w:jc w:val="center"/>
              <w:rPr>
                <w:rFonts w:ascii="Times New Roman" w:eastAsia="Times New Roman" w:hAnsi="Times New Roman" w:cs="Times New Roman"/>
                <w:bCs/>
                <w:i/>
                <w:sz w:val="16"/>
                <w:szCs w:val="16"/>
                <w:lang w:eastAsia="sk-SK"/>
              </w:rPr>
            </w:pPr>
            <w:r w:rsidRPr="00BD3539">
              <w:rPr>
                <w:rFonts w:ascii="Times New Roman" w:eastAsia="Times New Roman" w:hAnsi="Times New Roman" w:cs="Times New Roman"/>
                <w:i/>
                <w:iCs/>
                <w:sz w:val="16"/>
                <w:szCs w:val="16"/>
                <w:lang w:eastAsia="sk-SK"/>
              </w:rPr>
              <w:t>0</w:t>
            </w:r>
          </w:p>
        </w:tc>
      </w:tr>
      <w:tr w:rsidR="00BD3539" w:rsidRPr="00BD3539" w14:paraId="1A8BC129" w14:textId="77777777" w:rsidTr="006E5A9E">
        <w:trPr>
          <w:trHeight w:val="261"/>
          <w:jc w:val="center"/>
        </w:trPr>
        <w:tc>
          <w:tcPr>
            <w:tcW w:w="4237" w:type="dxa"/>
            <w:tcBorders>
              <w:top w:val="single" w:sz="4" w:space="0" w:color="auto"/>
              <w:left w:val="nil"/>
              <w:bottom w:val="single" w:sz="4" w:space="0" w:color="auto"/>
              <w:right w:val="nil"/>
            </w:tcBorders>
            <w:shd w:val="clear" w:color="auto" w:fill="auto"/>
            <w:noWrap/>
            <w:vAlign w:val="center"/>
            <w:hideMark/>
          </w:tcPr>
          <w:p w14:paraId="38C5ABA5" w14:textId="77777777" w:rsidR="00BD3539" w:rsidRPr="00BD3539" w:rsidRDefault="00BD3539" w:rsidP="00BD3539">
            <w:pPr>
              <w:spacing w:after="0" w:line="240" w:lineRule="auto"/>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Orientačná zmena výšky daňových výdavkov*</w:t>
            </w:r>
          </w:p>
        </w:tc>
        <w:tc>
          <w:tcPr>
            <w:tcW w:w="967" w:type="dxa"/>
            <w:tcBorders>
              <w:top w:val="single" w:sz="4" w:space="0" w:color="auto"/>
              <w:left w:val="nil"/>
              <w:bottom w:val="single" w:sz="4" w:space="0" w:color="auto"/>
              <w:right w:val="nil"/>
            </w:tcBorders>
            <w:shd w:val="clear" w:color="auto" w:fill="auto"/>
            <w:noWrap/>
            <w:vAlign w:val="center"/>
            <w:hideMark/>
          </w:tcPr>
          <w:p w14:paraId="1256A778"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633 716</w:t>
            </w:r>
          </w:p>
        </w:tc>
        <w:tc>
          <w:tcPr>
            <w:tcW w:w="967" w:type="dxa"/>
            <w:tcBorders>
              <w:top w:val="single" w:sz="4" w:space="0" w:color="auto"/>
              <w:left w:val="nil"/>
              <w:bottom w:val="single" w:sz="4" w:space="0" w:color="auto"/>
              <w:right w:val="nil"/>
            </w:tcBorders>
            <w:shd w:val="clear" w:color="auto" w:fill="auto"/>
            <w:noWrap/>
            <w:vAlign w:val="center"/>
            <w:hideMark/>
          </w:tcPr>
          <w:p w14:paraId="216367DC"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506 752</w:t>
            </w:r>
          </w:p>
        </w:tc>
        <w:tc>
          <w:tcPr>
            <w:tcW w:w="967" w:type="dxa"/>
            <w:tcBorders>
              <w:top w:val="single" w:sz="4" w:space="0" w:color="auto"/>
              <w:left w:val="nil"/>
              <w:bottom w:val="single" w:sz="4" w:space="0" w:color="auto"/>
              <w:right w:val="nil"/>
            </w:tcBorders>
            <w:shd w:val="clear" w:color="auto" w:fill="auto"/>
            <w:noWrap/>
            <w:vAlign w:val="center"/>
            <w:hideMark/>
          </w:tcPr>
          <w:p w14:paraId="7D941E69"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930 791</w:t>
            </w:r>
          </w:p>
        </w:tc>
        <w:tc>
          <w:tcPr>
            <w:tcW w:w="967" w:type="dxa"/>
            <w:tcBorders>
              <w:top w:val="single" w:sz="4" w:space="0" w:color="auto"/>
              <w:left w:val="nil"/>
              <w:bottom w:val="single" w:sz="4" w:space="0" w:color="auto"/>
              <w:right w:val="nil"/>
            </w:tcBorders>
            <w:shd w:val="clear" w:color="auto" w:fill="auto"/>
            <w:noWrap/>
            <w:vAlign w:val="center"/>
            <w:hideMark/>
          </w:tcPr>
          <w:p w14:paraId="365FAAE4"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334 825</w:t>
            </w:r>
          </w:p>
        </w:tc>
        <w:tc>
          <w:tcPr>
            <w:tcW w:w="967" w:type="dxa"/>
            <w:tcBorders>
              <w:top w:val="single" w:sz="4" w:space="0" w:color="auto"/>
              <w:left w:val="nil"/>
              <w:bottom w:val="single" w:sz="4" w:space="0" w:color="auto"/>
              <w:right w:val="nil"/>
            </w:tcBorders>
            <w:shd w:val="clear" w:color="auto" w:fill="auto"/>
            <w:noWrap/>
            <w:vAlign w:val="center"/>
            <w:hideMark/>
          </w:tcPr>
          <w:p w14:paraId="0F2BB357"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9 739</w:t>
            </w:r>
          </w:p>
        </w:tc>
      </w:tr>
    </w:tbl>
    <w:p w14:paraId="7E7E1057" w14:textId="77777777" w:rsidR="00BD3539" w:rsidRPr="00BD3539" w:rsidRDefault="00BD3539" w:rsidP="00BD3539">
      <w:pPr>
        <w:spacing w:after="0" w:line="240" w:lineRule="auto"/>
        <w:jc w:val="both"/>
        <w:rPr>
          <w:rFonts w:ascii="Times New Roman" w:eastAsia="Times New Roman" w:hAnsi="Times New Roman" w:cs="Times New Roman"/>
          <w:lang w:eastAsia="sk-SK"/>
        </w:rPr>
      </w:pPr>
    </w:p>
    <w:p w14:paraId="4545E0A0" w14:textId="77777777" w:rsidR="00BD3539" w:rsidRPr="00BD3539" w:rsidRDefault="00BD3539" w:rsidP="00BD3539">
      <w:pPr>
        <w:spacing w:after="0" w:line="240" w:lineRule="auto"/>
        <w:jc w:val="both"/>
        <w:rPr>
          <w:rFonts w:ascii="Times New Roman" w:eastAsia="Times New Roman" w:hAnsi="Times New Roman" w:cs="Times New Roman"/>
          <w:lang w:eastAsia="sk-SK"/>
        </w:rPr>
      </w:pPr>
    </w:p>
    <w:p w14:paraId="24C74041" w14:textId="77777777" w:rsidR="00BD3539" w:rsidRPr="00BD3539" w:rsidRDefault="00BD3539" w:rsidP="00BD3539">
      <w:pPr>
        <w:spacing w:after="0" w:line="240" w:lineRule="auto"/>
        <w:jc w:val="both"/>
        <w:rPr>
          <w:rFonts w:ascii="Times New Roman" w:eastAsia="Times New Roman" w:hAnsi="Times New Roman" w:cs="Times New Roman"/>
          <w:sz w:val="24"/>
          <w:szCs w:val="24"/>
          <w:lang w:eastAsia="sk-SK"/>
        </w:rPr>
      </w:pPr>
      <w:r w:rsidRPr="00BD3539">
        <w:rPr>
          <w:rFonts w:ascii="Times New Roman" w:eastAsia="Times New Roman" w:hAnsi="Times New Roman" w:cs="Times New Roman"/>
          <w:sz w:val="24"/>
          <w:szCs w:val="24"/>
          <w:lang w:eastAsia="sk-SK"/>
        </w:rPr>
        <w:t xml:space="preserve">Ambíciou v oblasti daňových výdavkov je analogicky, ako v prípade revízie výdavkov, priebežne vyhodnocovať opodstatnenosť a efektivitu existujúcich výnimiek v zdanení z hľadiska dosahovania svojho účelu a verejne deklarovaných priorít v daňovej oblasti. </w:t>
      </w:r>
    </w:p>
    <w:p w14:paraId="0AF8C732" w14:textId="77777777" w:rsidR="00BD3539" w:rsidRPr="00BD3539" w:rsidRDefault="00BD3539" w:rsidP="00BD3539">
      <w:pPr>
        <w:spacing w:after="0" w:line="240" w:lineRule="auto"/>
        <w:jc w:val="both"/>
        <w:rPr>
          <w:rFonts w:ascii="Times New Roman" w:eastAsia="Times New Roman" w:hAnsi="Times New Roman" w:cs="Times New Roman"/>
          <w:color w:val="000000"/>
          <w:sz w:val="24"/>
          <w:szCs w:val="24"/>
          <w:lang w:eastAsia="sk-SK"/>
        </w:rPr>
      </w:pPr>
    </w:p>
    <w:p w14:paraId="04FE8AE1" w14:textId="77777777" w:rsidR="00BD3539" w:rsidRPr="00BD3539" w:rsidRDefault="00BD3539" w:rsidP="00BD3539">
      <w:pPr>
        <w:spacing w:after="0" w:line="240" w:lineRule="auto"/>
        <w:jc w:val="both"/>
        <w:rPr>
          <w:rFonts w:ascii="Times New Roman" w:eastAsia="Times New Roman" w:hAnsi="Times New Roman" w:cs="Times New Roman"/>
          <w:color w:val="000000"/>
          <w:sz w:val="24"/>
          <w:szCs w:val="24"/>
          <w:lang w:eastAsia="sk-SK"/>
        </w:rPr>
      </w:pPr>
      <w:r w:rsidRPr="00BD3539">
        <w:rPr>
          <w:rFonts w:ascii="Times New Roman" w:eastAsia="Times New Roman" w:hAnsi="Times New Roman" w:cs="Times New Roman"/>
          <w:color w:val="000000"/>
          <w:sz w:val="24"/>
          <w:szCs w:val="24"/>
          <w:lang w:eastAsia="sk-SK"/>
        </w:rPr>
        <w:t xml:space="preserve">Nižšie uvedená tabuľka poskytuje detailnejší prehľad existujúcich daňových výdavkov podľa účelu ich použitia. </w:t>
      </w:r>
    </w:p>
    <w:p w14:paraId="342298AE" w14:textId="77777777" w:rsidR="00BD3539" w:rsidRPr="00BD3539" w:rsidRDefault="00BD3539" w:rsidP="00BD3539">
      <w:pPr>
        <w:spacing w:after="0" w:line="276" w:lineRule="auto"/>
        <w:jc w:val="both"/>
        <w:rPr>
          <w:rFonts w:ascii="Times New Roman" w:eastAsia="Times New Roman" w:hAnsi="Times New Roman" w:cs="Times New Roman"/>
          <w:color w:val="000000"/>
          <w:lang w:eastAsia="sk-SK"/>
        </w:rPr>
      </w:pPr>
    </w:p>
    <w:p w14:paraId="2E4814DE" w14:textId="77777777" w:rsidR="00BD3539" w:rsidRPr="00BD3539" w:rsidRDefault="00BD3539" w:rsidP="00BD3539">
      <w:pPr>
        <w:spacing w:after="0" w:line="276" w:lineRule="auto"/>
        <w:jc w:val="both"/>
        <w:rPr>
          <w:rFonts w:ascii="Times New Roman" w:eastAsia="Times New Roman" w:hAnsi="Times New Roman" w:cs="Times New Roman"/>
          <w:color w:val="000000"/>
          <w:lang w:eastAsia="sk-SK"/>
        </w:rPr>
      </w:pPr>
    </w:p>
    <w:p w14:paraId="1E555155" w14:textId="77777777" w:rsidR="00BD3539" w:rsidRPr="00BD3539" w:rsidRDefault="00BD3539" w:rsidP="00BD3539">
      <w:pPr>
        <w:spacing w:after="0" w:line="276" w:lineRule="auto"/>
        <w:jc w:val="both"/>
        <w:rPr>
          <w:rFonts w:ascii="Times New Roman" w:eastAsia="Times New Roman" w:hAnsi="Times New Roman" w:cs="Times New Roman"/>
          <w:color w:val="000000"/>
          <w:lang w:eastAsia="sk-SK"/>
        </w:rPr>
      </w:pPr>
    </w:p>
    <w:p w14:paraId="4A1DE4B3" w14:textId="77777777" w:rsidR="00BD3539" w:rsidRPr="00BD3539" w:rsidRDefault="00BD3539" w:rsidP="00BD3539">
      <w:pPr>
        <w:spacing w:after="0" w:line="276" w:lineRule="auto"/>
        <w:jc w:val="both"/>
        <w:rPr>
          <w:rFonts w:ascii="Times New Roman" w:eastAsia="Times New Roman" w:hAnsi="Times New Roman" w:cs="Times New Roman"/>
          <w:color w:val="000000"/>
          <w:lang w:eastAsia="sk-SK"/>
        </w:rPr>
      </w:pPr>
    </w:p>
    <w:p w14:paraId="77DB710E" w14:textId="4DF79E07" w:rsidR="00BD3539" w:rsidRDefault="00BD3539" w:rsidP="00BD3539">
      <w:pPr>
        <w:spacing w:after="0" w:line="276" w:lineRule="auto"/>
        <w:jc w:val="both"/>
        <w:rPr>
          <w:rFonts w:ascii="Times New Roman" w:eastAsia="Times New Roman" w:hAnsi="Times New Roman" w:cs="Times New Roman"/>
          <w:color w:val="000000"/>
          <w:lang w:eastAsia="sk-SK"/>
        </w:rPr>
      </w:pPr>
    </w:p>
    <w:p w14:paraId="2F765500" w14:textId="199548D7" w:rsidR="006C30CD" w:rsidRDefault="006C30CD" w:rsidP="00BD3539">
      <w:pPr>
        <w:spacing w:after="0" w:line="276" w:lineRule="auto"/>
        <w:jc w:val="both"/>
        <w:rPr>
          <w:rFonts w:ascii="Times New Roman" w:eastAsia="Times New Roman" w:hAnsi="Times New Roman" w:cs="Times New Roman"/>
          <w:color w:val="000000"/>
          <w:lang w:eastAsia="sk-SK"/>
        </w:rPr>
      </w:pPr>
    </w:p>
    <w:p w14:paraId="0F18311B" w14:textId="653BFBE9" w:rsidR="006C30CD" w:rsidRDefault="006C30CD" w:rsidP="00BD3539">
      <w:pPr>
        <w:spacing w:after="0" w:line="276" w:lineRule="auto"/>
        <w:jc w:val="both"/>
        <w:rPr>
          <w:rFonts w:ascii="Times New Roman" w:eastAsia="Times New Roman" w:hAnsi="Times New Roman" w:cs="Times New Roman"/>
          <w:color w:val="000000"/>
          <w:lang w:eastAsia="sk-SK"/>
        </w:rPr>
      </w:pPr>
    </w:p>
    <w:p w14:paraId="493C0E9B" w14:textId="22847C9D" w:rsidR="006C30CD" w:rsidRDefault="006C30CD" w:rsidP="00BD3539">
      <w:pPr>
        <w:spacing w:after="0" w:line="276" w:lineRule="auto"/>
        <w:jc w:val="both"/>
        <w:rPr>
          <w:rFonts w:ascii="Times New Roman" w:eastAsia="Times New Roman" w:hAnsi="Times New Roman" w:cs="Times New Roman"/>
          <w:color w:val="000000"/>
          <w:lang w:eastAsia="sk-SK"/>
        </w:rPr>
      </w:pPr>
    </w:p>
    <w:p w14:paraId="4FAD5858" w14:textId="7AE8CA39" w:rsidR="00125B05" w:rsidRDefault="00125B05" w:rsidP="00BD3539">
      <w:pPr>
        <w:spacing w:after="0" w:line="276" w:lineRule="auto"/>
        <w:jc w:val="both"/>
        <w:rPr>
          <w:rFonts w:ascii="Times New Roman" w:eastAsia="Times New Roman" w:hAnsi="Times New Roman" w:cs="Times New Roman"/>
          <w:color w:val="000000"/>
          <w:lang w:eastAsia="sk-SK"/>
        </w:rPr>
      </w:pPr>
    </w:p>
    <w:p w14:paraId="4FA2DC59" w14:textId="3428810D" w:rsidR="00125B05" w:rsidRDefault="00125B05" w:rsidP="00BD3539">
      <w:pPr>
        <w:spacing w:after="0" w:line="276" w:lineRule="auto"/>
        <w:jc w:val="both"/>
        <w:rPr>
          <w:rFonts w:ascii="Times New Roman" w:eastAsia="Times New Roman" w:hAnsi="Times New Roman" w:cs="Times New Roman"/>
          <w:color w:val="000000"/>
          <w:lang w:eastAsia="sk-SK"/>
        </w:rPr>
      </w:pPr>
    </w:p>
    <w:p w14:paraId="10EB9290" w14:textId="77777777" w:rsidR="00125B05" w:rsidRPr="00BD3539" w:rsidRDefault="00125B05" w:rsidP="00BD3539">
      <w:pPr>
        <w:spacing w:after="0" w:line="276" w:lineRule="auto"/>
        <w:jc w:val="both"/>
        <w:rPr>
          <w:rFonts w:ascii="Times New Roman" w:eastAsia="Times New Roman" w:hAnsi="Times New Roman" w:cs="Times New Roman"/>
          <w:color w:val="000000"/>
          <w:lang w:eastAsia="sk-SK"/>
        </w:rPr>
      </w:pPr>
    </w:p>
    <w:p w14:paraId="388D119C" w14:textId="77777777" w:rsidR="00BD3539" w:rsidRPr="00BD3539" w:rsidRDefault="00BD3539" w:rsidP="00BD3539">
      <w:pPr>
        <w:spacing w:after="0" w:line="276" w:lineRule="auto"/>
        <w:jc w:val="both"/>
        <w:rPr>
          <w:rFonts w:ascii="Times New Roman" w:eastAsia="Times New Roman" w:hAnsi="Times New Roman" w:cs="Times New Roman"/>
          <w:color w:val="000000"/>
          <w:lang w:eastAsia="sk-SK"/>
        </w:rPr>
      </w:pPr>
    </w:p>
    <w:p w14:paraId="16E95A54" w14:textId="77777777" w:rsidR="00BD3539" w:rsidRPr="00BD3539" w:rsidRDefault="00BD3539" w:rsidP="00BD3539">
      <w:pPr>
        <w:spacing w:after="0" w:line="276" w:lineRule="auto"/>
        <w:jc w:val="both"/>
        <w:rPr>
          <w:rFonts w:ascii="Times New Roman" w:eastAsia="Times New Roman" w:hAnsi="Times New Roman" w:cs="Times New Roman"/>
          <w:color w:val="000000"/>
          <w:lang w:eastAsia="sk-SK"/>
        </w:rPr>
      </w:pPr>
    </w:p>
    <w:p w14:paraId="113AF507" w14:textId="77777777" w:rsidR="00BD3539" w:rsidRPr="00BD3539" w:rsidRDefault="00BD3539" w:rsidP="00BD3539">
      <w:pPr>
        <w:spacing w:after="0" w:line="276" w:lineRule="auto"/>
        <w:jc w:val="both"/>
        <w:rPr>
          <w:rFonts w:ascii="Times New Roman" w:eastAsia="Times New Roman" w:hAnsi="Times New Roman" w:cs="Times New Roman"/>
          <w:color w:val="000000"/>
          <w:lang w:eastAsia="sk-SK"/>
        </w:rPr>
      </w:pPr>
    </w:p>
    <w:p w14:paraId="1DD6BCFA" w14:textId="118DA18B" w:rsidR="00BD3539" w:rsidRPr="00BD3539" w:rsidRDefault="00BD3539" w:rsidP="00BD3539">
      <w:pPr>
        <w:spacing w:after="0" w:line="276" w:lineRule="auto"/>
        <w:jc w:val="both"/>
        <w:rPr>
          <w:rFonts w:ascii="Times New Roman" w:eastAsia="Times New Roman" w:hAnsi="Times New Roman" w:cs="Times New Roman"/>
          <w:b/>
          <w:bCs/>
          <w:color w:val="5B9BD5" w:themeColor="accent1"/>
          <w:sz w:val="20"/>
          <w:szCs w:val="20"/>
          <w:lang w:eastAsia="sk-SK"/>
        </w:rPr>
      </w:pPr>
      <w:bookmarkStart w:id="161" w:name="_Toc153013046"/>
      <w:r w:rsidRPr="00BD3539">
        <w:rPr>
          <w:rFonts w:ascii="Times New Roman" w:eastAsia="Calibri" w:hAnsi="Times New Roman" w:cs="Times New Roman"/>
          <w:b/>
          <w:color w:val="5B9BD5" w:themeColor="accent1"/>
          <w:sz w:val="20"/>
          <w:szCs w:val="20"/>
        </w:rPr>
        <w:lastRenderedPageBreak/>
        <w:t xml:space="preserve">Tabuľka </w:t>
      </w:r>
      <w:r w:rsidRPr="00BD3539">
        <w:rPr>
          <w:rFonts w:ascii="Times New Roman" w:eastAsia="Calibri" w:hAnsi="Times New Roman" w:cs="Times New Roman"/>
          <w:b/>
          <w:color w:val="5B9BD5" w:themeColor="accent1"/>
          <w:sz w:val="20"/>
          <w:szCs w:val="20"/>
        </w:rPr>
        <w:fldChar w:fldCharType="begin"/>
      </w:r>
      <w:r w:rsidRPr="00BD3539">
        <w:rPr>
          <w:rFonts w:ascii="Times New Roman" w:eastAsia="Calibri" w:hAnsi="Times New Roman" w:cs="Times New Roman"/>
          <w:b/>
          <w:color w:val="5B9BD5" w:themeColor="accent1"/>
          <w:sz w:val="20"/>
          <w:szCs w:val="20"/>
        </w:rPr>
        <w:instrText xml:space="preserve"> SEQ Tabuľka \* ARABIC </w:instrText>
      </w:r>
      <w:r w:rsidRPr="00BD3539">
        <w:rPr>
          <w:rFonts w:ascii="Times New Roman" w:eastAsia="Calibri" w:hAnsi="Times New Roman" w:cs="Times New Roman"/>
          <w:b/>
          <w:color w:val="5B9BD5" w:themeColor="accent1"/>
          <w:sz w:val="20"/>
          <w:szCs w:val="20"/>
        </w:rPr>
        <w:fldChar w:fldCharType="separate"/>
      </w:r>
      <w:r w:rsidR="003D5A3A">
        <w:rPr>
          <w:rFonts w:ascii="Times New Roman" w:eastAsia="Calibri" w:hAnsi="Times New Roman" w:cs="Times New Roman"/>
          <w:b/>
          <w:noProof/>
          <w:color w:val="5B9BD5" w:themeColor="accent1"/>
          <w:sz w:val="20"/>
          <w:szCs w:val="20"/>
        </w:rPr>
        <w:t>48</w:t>
      </w:r>
      <w:r w:rsidRPr="00BD3539">
        <w:rPr>
          <w:rFonts w:ascii="Times New Roman" w:eastAsia="Calibri" w:hAnsi="Times New Roman" w:cs="Times New Roman"/>
          <w:b/>
          <w:color w:val="5B9BD5" w:themeColor="accent1"/>
          <w:sz w:val="20"/>
          <w:szCs w:val="20"/>
        </w:rPr>
        <w:fldChar w:fldCharType="end"/>
      </w:r>
      <w:r w:rsidRPr="00BD3539">
        <w:rPr>
          <w:rFonts w:ascii="Times New Roman" w:eastAsia="Times New Roman" w:hAnsi="Times New Roman" w:cs="Times New Roman"/>
          <w:b/>
          <w:bCs/>
          <w:color w:val="5B9BD5" w:themeColor="accent1"/>
          <w:sz w:val="20"/>
          <w:szCs w:val="20"/>
          <w:lang w:eastAsia="sk-SK"/>
        </w:rPr>
        <w:t xml:space="preserve"> - Prehľad daňových výdavkov podľa ich účelu (ESA</w:t>
      </w:r>
      <w:r w:rsidR="006C30CD">
        <w:rPr>
          <w:rFonts w:ascii="Times New Roman" w:eastAsia="Times New Roman" w:hAnsi="Times New Roman" w:cs="Times New Roman"/>
          <w:b/>
          <w:bCs/>
          <w:color w:val="5B9BD5" w:themeColor="accent1"/>
          <w:sz w:val="20"/>
          <w:szCs w:val="20"/>
          <w:lang w:eastAsia="sk-SK"/>
        </w:rPr>
        <w:t xml:space="preserve"> </w:t>
      </w:r>
      <w:r w:rsidRPr="00BD3539">
        <w:rPr>
          <w:rFonts w:ascii="Times New Roman" w:eastAsia="Times New Roman" w:hAnsi="Times New Roman" w:cs="Times New Roman"/>
          <w:b/>
          <w:bCs/>
          <w:color w:val="5B9BD5" w:themeColor="accent1"/>
          <w:sz w:val="20"/>
          <w:szCs w:val="20"/>
          <w:lang w:eastAsia="sk-SK"/>
        </w:rPr>
        <w:t>2010, tis. eur)</w:t>
      </w:r>
      <w:bookmarkEnd w:id="161"/>
    </w:p>
    <w:tbl>
      <w:tblPr>
        <w:tblW w:w="9156" w:type="dxa"/>
        <w:tblCellMar>
          <w:left w:w="70" w:type="dxa"/>
          <w:right w:w="70" w:type="dxa"/>
        </w:tblCellMar>
        <w:tblLook w:val="04A0" w:firstRow="1" w:lastRow="0" w:firstColumn="1" w:lastColumn="0" w:noHBand="0" w:noVBand="1"/>
      </w:tblPr>
      <w:tblGrid>
        <w:gridCol w:w="3827"/>
        <w:gridCol w:w="907"/>
        <w:gridCol w:w="737"/>
        <w:gridCol w:w="737"/>
        <w:gridCol w:w="737"/>
        <w:gridCol w:w="737"/>
        <w:gridCol w:w="737"/>
        <w:gridCol w:w="737"/>
      </w:tblGrid>
      <w:tr w:rsidR="00BD3539" w:rsidRPr="00BD3539" w14:paraId="5E2F6A72" w14:textId="77777777" w:rsidTr="006E5A9E">
        <w:trPr>
          <w:trHeight w:val="458"/>
        </w:trPr>
        <w:tc>
          <w:tcPr>
            <w:tcW w:w="3827" w:type="dxa"/>
            <w:vMerge w:val="restart"/>
            <w:tcBorders>
              <w:top w:val="single" w:sz="4" w:space="0" w:color="auto"/>
              <w:left w:val="nil"/>
              <w:bottom w:val="single" w:sz="4" w:space="0" w:color="000000"/>
              <w:right w:val="nil"/>
            </w:tcBorders>
            <w:shd w:val="clear" w:color="auto" w:fill="auto"/>
            <w:vAlign w:val="center"/>
            <w:hideMark/>
          </w:tcPr>
          <w:p w14:paraId="521C7579"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p>
        </w:tc>
        <w:tc>
          <w:tcPr>
            <w:tcW w:w="907" w:type="dxa"/>
            <w:vMerge w:val="restart"/>
            <w:tcBorders>
              <w:top w:val="single" w:sz="4" w:space="0" w:color="auto"/>
              <w:left w:val="nil"/>
              <w:bottom w:val="single" w:sz="4" w:space="0" w:color="000000"/>
              <w:right w:val="nil"/>
            </w:tcBorders>
            <w:shd w:val="clear" w:color="auto" w:fill="auto"/>
            <w:noWrap/>
            <w:vAlign w:val="center"/>
            <w:hideMark/>
          </w:tcPr>
          <w:p w14:paraId="28D374B5"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Daň</w:t>
            </w:r>
          </w:p>
        </w:tc>
        <w:tc>
          <w:tcPr>
            <w:tcW w:w="737" w:type="dxa"/>
            <w:vMerge w:val="restart"/>
            <w:tcBorders>
              <w:top w:val="single" w:sz="4" w:space="0" w:color="auto"/>
              <w:left w:val="nil"/>
              <w:bottom w:val="single" w:sz="4" w:space="0" w:color="000000"/>
              <w:right w:val="nil"/>
            </w:tcBorders>
            <w:shd w:val="clear" w:color="auto" w:fill="auto"/>
            <w:noWrap/>
            <w:vAlign w:val="center"/>
            <w:hideMark/>
          </w:tcPr>
          <w:p w14:paraId="5330FDBF"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2021</w:t>
            </w:r>
          </w:p>
        </w:tc>
        <w:tc>
          <w:tcPr>
            <w:tcW w:w="737" w:type="dxa"/>
            <w:vMerge w:val="restart"/>
            <w:tcBorders>
              <w:top w:val="single" w:sz="4" w:space="0" w:color="auto"/>
              <w:left w:val="nil"/>
              <w:bottom w:val="single" w:sz="4" w:space="0" w:color="000000"/>
              <w:right w:val="nil"/>
            </w:tcBorders>
            <w:shd w:val="clear" w:color="auto" w:fill="auto"/>
            <w:noWrap/>
            <w:vAlign w:val="center"/>
            <w:hideMark/>
          </w:tcPr>
          <w:p w14:paraId="198378DB"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2022</w:t>
            </w:r>
          </w:p>
        </w:tc>
        <w:tc>
          <w:tcPr>
            <w:tcW w:w="737" w:type="dxa"/>
            <w:vMerge w:val="restart"/>
            <w:tcBorders>
              <w:top w:val="single" w:sz="4" w:space="0" w:color="auto"/>
              <w:left w:val="nil"/>
              <w:bottom w:val="single" w:sz="4" w:space="0" w:color="000000"/>
              <w:right w:val="nil"/>
            </w:tcBorders>
            <w:shd w:val="clear" w:color="auto" w:fill="auto"/>
            <w:noWrap/>
            <w:vAlign w:val="center"/>
            <w:hideMark/>
          </w:tcPr>
          <w:p w14:paraId="63C035AF"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2023</w:t>
            </w:r>
          </w:p>
        </w:tc>
        <w:tc>
          <w:tcPr>
            <w:tcW w:w="737" w:type="dxa"/>
            <w:vMerge w:val="restart"/>
            <w:tcBorders>
              <w:top w:val="single" w:sz="4" w:space="0" w:color="auto"/>
              <w:left w:val="nil"/>
              <w:bottom w:val="single" w:sz="4" w:space="0" w:color="000000"/>
              <w:right w:val="nil"/>
            </w:tcBorders>
            <w:shd w:val="clear" w:color="auto" w:fill="auto"/>
            <w:noWrap/>
            <w:vAlign w:val="center"/>
            <w:hideMark/>
          </w:tcPr>
          <w:p w14:paraId="5FD86964"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2024</w:t>
            </w:r>
          </w:p>
        </w:tc>
        <w:tc>
          <w:tcPr>
            <w:tcW w:w="737" w:type="dxa"/>
            <w:vMerge w:val="restart"/>
            <w:tcBorders>
              <w:top w:val="single" w:sz="4" w:space="0" w:color="auto"/>
              <w:left w:val="nil"/>
              <w:bottom w:val="single" w:sz="4" w:space="0" w:color="000000"/>
              <w:right w:val="nil"/>
            </w:tcBorders>
            <w:shd w:val="clear" w:color="auto" w:fill="auto"/>
            <w:noWrap/>
            <w:vAlign w:val="center"/>
            <w:hideMark/>
          </w:tcPr>
          <w:p w14:paraId="0C5013F9"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2025</w:t>
            </w:r>
          </w:p>
        </w:tc>
        <w:tc>
          <w:tcPr>
            <w:tcW w:w="737" w:type="dxa"/>
            <w:vMerge w:val="restart"/>
            <w:tcBorders>
              <w:top w:val="single" w:sz="4" w:space="0" w:color="auto"/>
              <w:left w:val="nil"/>
              <w:bottom w:val="single" w:sz="4" w:space="0" w:color="000000"/>
              <w:right w:val="nil"/>
            </w:tcBorders>
            <w:shd w:val="clear" w:color="auto" w:fill="auto"/>
            <w:noWrap/>
            <w:vAlign w:val="center"/>
            <w:hideMark/>
          </w:tcPr>
          <w:p w14:paraId="771AE77C"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2026</w:t>
            </w:r>
          </w:p>
        </w:tc>
      </w:tr>
      <w:tr w:rsidR="00BD3539" w:rsidRPr="00BD3539" w14:paraId="57C2C87D" w14:textId="77777777" w:rsidTr="006E5A9E">
        <w:trPr>
          <w:trHeight w:val="458"/>
        </w:trPr>
        <w:tc>
          <w:tcPr>
            <w:tcW w:w="3827" w:type="dxa"/>
            <w:vMerge/>
            <w:tcBorders>
              <w:top w:val="nil"/>
              <w:left w:val="nil"/>
              <w:bottom w:val="single" w:sz="4" w:space="0" w:color="000000"/>
              <w:right w:val="nil"/>
            </w:tcBorders>
            <w:shd w:val="clear" w:color="auto" w:fill="auto"/>
            <w:vAlign w:val="center"/>
            <w:hideMark/>
          </w:tcPr>
          <w:p w14:paraId="5C136E8E" w14:textId="77777777" w:rsidR="00BD3539" w:rsidRPr="00BD3539" w:rsidRDefault="00BD3539" w:rsidP="00BD3539">
            <w:pPr>
              <w:spacing w:after="0" w:line="240" w:lineRule="auto"/>
              <w:rPr>
                <w:rFonts w:ascii="Times New Roman" w:eastAsia="Times New Roman" w:hAnsi="Times New Roman" w:cs="Times New Roman"/>
                <w:b/>
                <w:bCs/>
                <w:sz w:val="16"/>
                <w:szCs w:val="16"/>
                <w:lang w:eastAsia="sk-SK"/>
              </w:rPr>
            </w:pPr>
          </w:p>
        </w:tc>
        <w:tc>
          <w:tcPr>
            <w:tcW w:w="907" w:type="dxa"/>
            <w:vMerge/>
            <w:tcBorders>
              <w:top w:val="nil"/>
              <w:left w:val="nil"/>
              <w:bottom w:val="single" w:sz="4" w:space="0" w:color="000000"/>
              <w:right w:val="nil"/>
            </w:tcBorders>
            <w:shd w:val="clear" w:color="auto" w:fill="auto"/>
            <w:vAlign w:val="center"/>
            <w:hideMark/>
          </w:tcPr>
          <w:p w14:paraId="708520F0"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p>
        </w:tc>
        <w:tc>
          <w:tcPr>
            <w:tcW w:w="737" w:type="dxa"/>
            <w:vMerge/>
            <w:tcBorders>
              <w:top w:val="nil"/>
              <w:left w:val="nil"/>
              <w:bottom w:val="single" w:sz="4" w:space="0" w:color="000000"/>
              <w:right w:val="nil"/>
            </w:tcBorders>
            <w:shd w:val="clear" w:color="auto" w:fill="auto"/>
            <w:vAlign w:val="center"/>
            <w:hideMark/>
          </w:tcPr>
          <w:p w14:paraId="3E4D91D8"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p>
        </w:tc>
        <w:tc>
          <w:tcPr>
            <w:tcW w:w="737" w:type="dxa"/>
            <w:vMerge/>
            <w:tcBorders>
              <w:top w:val="nil"/>
              <w:left w:val="nil"/>
              <w:bottom w:val="single" w:sz="4" w:space="0" w:color="000000"/>
              <w:right w:val="nil"/>
            </w:tcBorders>
            <w:shd w:val="clear" w:color="auto" w:fill="auto"/>
            <w:vAlign w:val="center"/>
            <w:hideMark/>
          </w:tcPr>
          <w:p w14:paraId="40E0F2A5"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p>
        </w:tc>
        <w:tc>
          <w:tcPr>
            <w:tcW w:w="737" w:type="dxa"/>
            <w:vMerge/>
            <w:tcBorders>
              <w:top w:val="nil"/>
              <w:left w:val="nil"/>
              <w:bottom w:val="single" w:sz="4" w:space="0" w:color="000000"/>
              <w:right w:val="nil"/>
            </w:tcBorders>
            <w:shd w:val="clear" w:color="auto" w:fill="auto"/>
            <w:vAlign w:val="center"/>
            <w:hideMark/>
          </w:tcPr>
          <w:p w14:paraId="10C9825B"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p>
        </w:tc>
        <w:tc>
          <w:tcPr>
            <w:tcW w:w="737" w:type="dxa"/>
            <w:vMerge/>
            <w:tcBorders>
              <w:top w:val="nil"/>
              <w:left w:val="nil"/>
              <w:bottom w:val="single" w:sz="4" w:space="0" w:color="000000"/>
              <w:right w:val="nil"/>
            </w:tcBorders>
            <w:shd w:val="clear" w:color="auto" w:fill="auto"/>
            <w:vAlign w:val="center"/>
            <w:hideMark/>
          </w:tcPr>
          <w:p w14:paraId="1D9A8B71"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p>
        </w:tc>
        <w:tc>
          <w:tcPr>
            <w:tcW w:w="737" w:type="dxa"/>
            <w:vMerge/>
            <w:tcBorders>
              <w:top w:val="nil"/>
              <w:left w:val="nil"/>
              <w:bottom w:val="single" w:sz="4" w:space="0" w:color="000000"/>
              <w:right w:val="nil"/>
            </w:tcBorders>
            <w:shd w:val="clear" w:color="auto" w:fill="auto"/>
            <w:vAlign w:val="center"/>
            <w:hideMark/>
          </w:tcPr>
          <w:p w14:paraId="4CE4323C"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p>
        </w:tc>
        <w:tc>
          <w:tcPr>
            <w:tcW w:w="737" w:type="dxa"/>
            <w:vMerge/>
            <w:tcBorders>
              <w:top w:val="nil"/>
              <w:left w:val="nil"/>
              <w:bottom w:val="single" w:sz="4" w:space="0" w:color="000000"/>
              <w:right w:val="nil"/>
            </w:tcBorders>
            <w:shd w:val="clear" w:color="auto" w:fill="auto"/>
            <w:vAlign w:val="center"/>
            <w:hideMark/>
          </w:tcPr>
          <w:p w14:paraId="69680CDF"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p>
        </w:tc>
      </w:tr>
      <w:tr w:rsidR="00BD3539" w:rsidRPr="00BD3539" w14:paraId="47BAB67C" w14:textId="77777777" w:rsidTr="006E5A9E">
        <w:trPr>
          <w:trHeight w:val="264"/>
        </w:trPr>
        <w:tc>
          <w:tcPr>
            <w:tcW w:w="3827" w:type="dxa"/>
            <w:tcBorders>
              <w:top w:val="nil"/>
              <w:left w:val="nil"/>
              <w:bottom w:val="nil"/>
              <w:right w:val="nil"/>
            </w:tcBorders>
            <w:shd w:val="clear" w:color="auto" w:fill="auto"/>
            <w:noWrap/>
            <w:vAlign w:val="center"/>
            <w:hideMark/>
          </w:tcPr>
          <w:p w14:paraId="66923874"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Podpora trhu práce, zamestnanosti (prácou podmienené benefity)</w:t>
            </w:r>
          </w:p>
        </w:tc>
        <w:tc>
          <w:tcPr>
            <w:tcW w:w="907" w:type="dxa"/>
            <w:tcBorders>
              <w:top w:val="nil"/>
              <w:left w:val="nil"/>
              <w:bottom w:val="nil"/>
              <w:right w:val="nil"/>
            </w:tcBorders>
            <w:shd w:val="clear" w:color="auto" w:fill="auto"/>
            <w:noWrap/>
            <w:vAlign w:val="center"/>
            <w:hideMark/>
          </w:tcPr>
          <w:p w14:paraId="128C9A34"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p>
        </w:tc>
        <w:tc>
          <w:tcPr>
            <w:tcW w:w="737" w:type="dxa"/>
            <w:tcBorders>
              <w:top w:val="nil"/>
              <w:left w:val="nil"/>
              <w:bottom w:val="nil"/>
              <w:right w:val="nil"/>
            </w:tcBorders>
            <w:shd w:val="clear" w:color="auto" w:fill="auto"/>
            <w:noWrap/>
            <w:vAlign w:val="center"/>
            <w:hideMark/>
          </w:tcPr>
          <w:p w14:paraId="37046B1F"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148 577</w:t>
            </w:r>
          </w:p>
        </w:tc>
        <w:tc>
          <w:tcPr>
            <w:tcW w:w="737" w:type="dxa"/>
            <w:tcBorders>
              <w:top w:val="nil"/>
              <w:left w:val="nil"/>
              <w:bottom w:val="nil"/>
              <w:right w:val="nil"/>
            </w:tcBorders>
            <w:shd w:val="clear" w:color="auto" w:fill="auto"/>
            <w:noWrap/>
            <w:vAlign w:val="center"/>
            <w:hideMark/>
          </w:tcPr>
          <w:p w14:paraId="3F8E60E0"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155 966</w:t>
            </w:r>
          </w:p>
        </w:tc>
        <w:tc>
          <w:tcPr>
            <w:tcW w:w="737" w:type="dxa"/>
            <w:tcBorders>
              <w:top w:val="nil"/>
              <w:left w:val="nil"/>
              <w:bottom w:val="nil"/>
              <w:right w:val="nil"/>
            </w:tcBorders>
            <w:shd w:val="clear" w:color="auto" w:fill="auto"/>
            <w:noWrap/>
            <w:vAlign w:val="center"/>
            <w:hideMark/>
          </w:tcPr>
          <w:p w14:paraId="54273855"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200 147</w:t>
            </w:r>
          </w:p>
        </w:tc>
        <w:tc>
          <w:tcPr>
            <w:tcW w:w="737" w:type="dxa"/>
            <w:tcBorders>
              <w:top w:val="nil"/>
              <w:left w:val="nil"/>
              <w:bottom w:val="nil"/>
              <w:right w:val="nil"/>
            </w:tcBorders>
            <w:shd w:val="clear" w:color="auto" w:fill="auto"/>
            <w:noWrap/>
            <w:vAlign w:val="center"/>
            <w:hideMark/>
          </w:tcPr>
          <w:p w14:paraId="7FA8EF3D"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181 418</w:t>
            </w:r>
          </w:p>
        </w:tc>
        <w:tc>
          <w:tcPr>
            <w:tcW w:w="737" w:type="dxa"/>
            <w:tcBorders>
              <w:top w:val="nil"/>
              <w:left w:val="nil"/>
              <w:bottom w:val="nil"/>
              <w:right w:val="nil"/>
            </w:tcBorders>
            <w:shd w:val="clear" w:color="auto" w:fill="auto"/>
            <w:noWrap/>
            <w:vAlign w:val="center"/>
            <w:hideMark/>
          </w:tcPr>
          <w:p w14:paraId="0EEEF99D"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186 976</w:t>
            </w:r>
          </w:p>
        </w:tc>
        <w:tc>
          <w:tcPr>
            <w:tcW w:w="737" w:type="dxa"/>
            <w:tcBorders>
              <w:top w:val="nil"/>
              <w:left w:val="nil"/>
              <w:bottom w:val="nil"/>
              <w:right w:val="nil"/>
            </w:tcBorders>
            <w:shd w:val="clear" w:color="auto" w:fill="auto"/>
            <w:noWrap/>
            <w:vAlign w:val="center"/>
            <w:hideMark/>
          </w:tcPr>
          <w:p w14:paraId="00EAB8A8"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190 838</w:t>
            </w:r>
          </w:p>
        </w:tc>
      </w:tr>
      <w:tr w:rsidR="00BD3539" w:rsidRPr="00BD3539" w14:paraId="6DBE3BEB" w14:textId="77777777" w:rsidTr="006E5A9E">
        <w:trPr>
          <w:trHeight w:val="264"/>
        </w:trPr>
        <w:tc>
          <w:tcPr>
            <w:tcW w:w="3827" w:type="dxa"/>
            <w:tcBorders>
              <w:top w:val="nil"/>
              <w:left w:val="nil"/>
              <w:bottom w:val="nil"/>
              <w:right w:val="nil"/>
            </w:tcBorders>
            <w:shd w:val="clear" w:color="auto" w:fill="auto"/>
            <w:vAlign w:val="center"/>
            <w:hideMark/>
          </w:tcPr>
          <w:p w14:paraId="60F78864"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Dohody o prácach vykonávaných mimo pracovný pomer</w:t>
            </w:r>
          </w:p>
        </w:tc>
        <w:tc>
          <w:tcPr>
            <w:tcW w:w="907" w:type="dxa"/>
            <w:tcBorders>
              <w:top w:val="nil"/>
              <w:left w:val="nil"/>
              <w:bottom w:val="nil"/>
              <w:right w:val="nil"/>
            </w:tcBorders>
            <w:shd w:val="clear" w:color="auto" w:fill="auto"/>
            <w:noWrap/>
            <w:vAlign w:val="center"/>
            <w:hideMark/>
          </w:tcPr>
          <w:p w14:paraId="1338455D"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SP, ZP</w:t>
            </w:r>
          </w:p>
        </w:tc>
        <w:tc>
          <w:tcPr>
            <w:tcW w:w="737" w:type="dxa"/>
            <w:tcBorders>
              <w:top w:val="nil"/>
              <w:left w:val="nil"/>
              <w:bottom w:val="nil"/>
              <w:right w:val="nil"/>
            </w:tcBorders>
            <w:shd w:val="clear" w:color="auto" w:fill="auto"/>
            <w:noWrap/>
            <w:vAlign w:val="center"/>
            <w:hideMark/>
          </w:tcPr>
          <w:p w14:paraId="70C9BCE0"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89 967</w:t>
            </w:r>
          </w:p>
        </w:tc>
        <w:tc>
          <w:tcPr>
            <w:tcW w:w="737" w:type="dxa"/>
            <w:tcBorders>
              <w:top w:val="nil"/>
              <w:left w:val="nil"/>
              <w:bottom w:val="nil"/>
              <w:right w:val="nil"/>
            </w:tcBorders>
            <w:shd w:val="clear" w:color="auto" w:fill="auto"/>
            <w:noWrap/>
            <w:vAlign w:val="center"/>
            <w:hideMark/>
          </w:tcPr>
          <w:p w14:paraId="065FD125"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94 475</w:t>
            </w:r>
          </w:p>
        </w:tc>
        <w:tc>
          <w:tcPr>
            <w:tcW w:w="737" w:type="dxa"/>
            <w:tcBorders>
              <w:top w:val="nil"/>
              <w:left w:val="nil"/>
              <w:bottom w:val="nil"/>
              <w:right w:val="nil"/>
            </w:tcBorders>
            <w:shd w:val="clear" w:color="auto" w:fill="auto"/>
            <w:noWrap/>
            <w:vAlign w:val="center"/>
            <w:hideMark/>
          </w:tcPr>
          <w:p w14:paraId="24E71DFC"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99 208</w:t>
            </w:r>
          </w:p>
        </w:tc>
        <w:tc>
          <w:tcPr>
            <w:tcW w:w="737" w:type="dxa"/>
            <w:tcBorders>
              <w:top w:val="nil"/>
              <w:left w:val="nil"/>
              <w:bottom w:val="nil"/>
              <w:right w:val="nil"/>
            </w:tcBorders>
            <w:shd w:val="clear" w:color="auto" w:fill="auto"/>
            <w:noWrap/>
            <w:vAlign w:val="center"/>
            <w:hideMark/>
          </w:tcPr>
          <w:p w14:paraId="51760019"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104 179</w:t>
            </w:r>
          </w:p>
        </w:tc>
        <w:tc>
          <w:tcPr>
            <w:tcW w:w="737" w:type="dxa"/>
            <w:tcBorders>
              <w:top w:val="nil"/>
              <w:left w:val="nil"/>
              <w:bottom w:val="nil"/>
              <w:right w:val="nil"/>
            </w:tcBorders>
            <w:shd w:val="clear" w:color="auto" w:fill="auto"/>
            <w:noWrap/>
            <w:vAlign w:val="center"/>
            <w:hideMark/>
          </w:tcPr>
          <w:p w14:paraId="36EE97B9"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109 398</w:t>
            </w:r>
          </w:p>
        </w:tc>
        <w:tc>
          <w:tcPr>
            <w:tcW w:w="737" w:type="dxa"/>
            <w:tcBorders>
              <w:top w:val="nil"/>
              <w:left w:val="nil"/>
              <w:bottom w:val="nil"/>
              <w:right w:val="nil"/>
            </w:tcBorders>
            <w:shd w:val="clear" w:color="auto" w:fill="auto"/>
            <w:noWrap/>
            <w:vAlign w:val="center"/>
            <w:hideMark/>
          </w:tcPr>
          <w:p w14:paraId="7A3F6979"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114 879</w:t>
            </w:r>
          </w:p>
        </w:tc>
      </w:tr>
      <w:tr w:rsidR="00BD3539" w:rsidRPr="00BD3539" w14:paraId="2D6D2F1C" w14:textId="77777777" w:rsidTr="006E5A9E">
        <w:trPr>
          <w:trHeight w:val="264"/>
        </w:trPr>
        <w:tc>
          <w:tcPr>
            <w:tcW w:w="3827" w:type="dxa"/>
            <w:tcBorders>
              <w:top w:val="nil"/>
              <w:left w:val="nil"/>
              <w:bottom w:val="nil"/>
              <w:right w:val="nil"/>
            </w:tcBorders>
            <w:shd w:val="clear" w:color="auto" w:fill="auto"/>
            <w:vAlign w:val="center"/>
            <w:hideMark/>
          </w:tcPr>
          <w:p w14:paraId="360D950B"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Odvodová odpočítateľná položka pre nízkopríjmových</w:t>
            </w:r>
          </w:p>
        </w:tc>
        <w:tc>
          <w:tcPr>
            <w:tcW w:w="907" w:type="dxa"/>
            <w:tcBorders>
              <w:top w:val="nil"/>
              <w:left w:val="nil"/>
              <w:bottom w:val="nil"/>
              <w:right w:val="nil"/>
            </w:tcBorders>
            <w:shd w:val="clear" w:color="auto" w:fill="auto"/>
            <w:noWrap/>
            <w:vAlign w:val="center"/>
            <w:hideMark/>
          </w:tcPr>
          <w:p w14:paraId="421B8569"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ZP</w:t>
            </w:r>
          </w:p>
        </w:tc>
        <w:tc>
          <w:tcPr>
            <w:tcW w:w="737" w:type="dxa"/>
            <w:tcBorders>
              <w:top w:val="nil"/>
              <w:left w:val="nil"/>
              <w:bottom w:val="nil"/>
              <w:right w:val="nil"/>
            </w:tcBorders>
            <w:shd w:val="clear" w:color="auto" w:fill="auto"/>
            <w:noWrap/>
            <w:vAlign w:val="center"/>
            <w:hideMark/>
          </w:tcPr>
          <w:p w14:paraId="34D9F2C0"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16 473</w:t>
            </w:r>
          </w:p>
        </w:tc>
        <w:tc>
          <w:tcPr>
            <w:tcW w:w="737" w:type="dxa"/>
            <w:tcBorders>
              <w:top w:val="nil"/>
              <w:left w:val="nil"/>
              <w:bottom w:val="nil"/>
              <w:right w:val="nil"/>
            </w:tcBorders>
            <w:shd w:val="clear" w:color="auto" w:fill="auto"/>
            <w:noWrap/>
            <w:vAlign w:val="center"/>
            <w:hideMark/>
          </w:tcPr>
          <w:p w14:paraId="28426EEB"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16 567</w:t>
            </w:r>
          </w:p>
        </w:tc>
        <w:tc>
          <w:tcPr>
            <w:tcW w:w="737" w:type="dxa"/>
            <w:tcBorders>
              <w:top w:val="nil"/>
              <w:left w:val="nil"/>
              <w:bottom w:val="nil"/>
              <w:right w:val="nil"/>
            </w:tcBorders>
            <w:shd w:val="clear" w:color="auto" w:fill="auto"/>
            <w:noWrap/>
            <w:vAlign w:val="center"/>
            <w:hideMark/>
          </w:tcPr>
          <w:p w14:paraId="17A5E592"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16 084</w:t>
            </w:r>
          </w:p>
        </w:tc>
        <w:tc>
          <w:tcPr>
            <w:tcW w:w="737" w:type="dxa"/>
            <w:tcBorders>
              <w:top w:val="nil"/>
              <w:left w:val="nil"/>
              <w:bottom w:val="nil"/>
              <w:right w:val="nil"/>
            </w:tcBorders>
            <w:shd w:val="clear" w:color="auto" w:fill="auto"/>
            <w:noWrap/>
            <w:vAlign w:val="center"/>
            <w:hideMark/>
          </w:tcPr>
          <w:p w14:paraId="5264CE5B"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14 524</w:t>
            </w:r>
          </w:p>
        </w:tc>
        <w:tc>
          <w:tcPr>
            <w:tcW w:w="737" w:type="dxa"/>
            <w:tcBorders>
              <w:top w:val="nil"/>
              <w:left w:val="nil"/>
              <w:bottom w:val="nil"/>
              <w:right w:val="nil"/>
            </w:tcBorders>
            <w:shd w:val="clear" w:color="auto" w:fill="auto"/>
            <w:noWrap/>
            <w:vAlign w:val="center"/>
            <w:hideMark/>
          </w:tcPr>
          <w:p w14:paraId="004D5B5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12 245</w:t>
            </w:r>
          </w:p>
        </w:tc>
        <w:tc>
          <w:tcPr>
            <w:tcW w:w="737" w:type="dxa"/>
            <w:tcBorders>
              <w:top w:val="nil"/>
              <w:left w:val="nil"/>
              <w:bottom w:val="nil"/>
              <w:right w:val="nil"/>
            </w:tcBorders>
            <w:shd w:val="clear" w:color="auto" w:fill="auto"/>
            <w:noWrap/>
            <w:vAlign w:val="center"/>
            <w:hideMark/>
          </w:tcPr>
          <w:p w14:paraId="32B6E49D"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9 899</w:t>
            </w:r>
          </w:p>
        </w:tc>
      </w:tr>
      <w:tr w:rsidR="00BD3539" w:rsidRPr="00BD3539" w14:paraId="7E05FEA0" w14:textId="77777777" w:rsidTr="006E5A9E">
        <w:trPr>
          <w:trHeight w:val="264"/>
        </w:trPr>
        <w:tc>
          <w:tcPr>
            <w:tcW w:w="3827" w:type="dxa"/>
            <w:tcBorders>
              <w:top w:val="nil"/>
              <w:left w:val="nil"/>
              <w:bottom w:val="nil"/>
              <w:right w:val="nil"/>
            </w:tcBorders>
            <w:shd w:val="clear" w:color="auto" w:fill="auto"/>
            <w:vAlign w:val="center"/>
            <w:hideMark/>
          </w:tcPr>
          <w:p w14:paraId="50B4FF64"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 xml:space="preserve">OOP pre dôchodcov na </w:t>
            </w:r>
            <w:proofErr w:type="spellStart"/>
            <w:r w:rsidRPr="00BD3539">
              <w:rPr>
                <w:rFonts w:ascii="Times New Roman" w:eastAsia="Times New Roman" w:hAnsi="Times New Roman" w:cs="Times New Roman"/>
                <w:sz w:val="16"/>
                <w:szCs w:val="16"/>
                <w:lang w:eastAsia="sk-SK"/>
              </w:rPr>
              <w:t>prijmy</w:t>
            </w:r>
            <w:proofErr w:type="spellEnd"/>
            <w:r w:rsidRPr="00BD3539">
              <w:rPr>
                <w:rFonts w:ascii="Times New Roman" w:eastAsia="Times New Roman" w:hAnsi="Times New Roman" w:cs="Times New Roman"/>
                <w:sz w:val="16"/>
                <w:szCs w:val="16"/>
                <w:lang w:eastAsia="sk-SK"/>
              </w:rPr>
              <w:t xml:space="preserve"> z </w:t>
            </w:r>
            <w:proofErr w:type="spellStart"/>
            <w:r w:rsidRPr="00BD3539">
              <w:rPr>
                <w:rFonts w:ascii="Times New Roman" w:eastAsia="Times New Roman" w:hAnsi="Times New Roman" w:cs="Times New Roman"/>
                <w:sz w:val="16"/>
                <w:szCs w:val="16"/>
                <w:lang w:eastAsia="sk-SK"/>
              </w:rPr>
              <w:t>dohod</w:t>
            </w:r>
            <w:proofErr w:type="spellEnd"/>
            <w:r w:rsidRPr="00BD3539">
              <w:rPr>
                <w:rFonts w:ascii="Times New Roman" w:eastAsia="Times New Roman" w:hAnsi="Times New Roman" w:cs="Times New Roman"/>
                <w:sz w:val="16"/>
                <w:szCs w:val="16"/>
                <w:lang w:eastAsia="sk-SK"/>
              </w:rPr>
              <w:t xml:space="preserve"> do 200 eur</w:t>
            </w:r>
          </w:p>
        </w:tc>
        <w:tc>
          <w:tcPr>
            <w:tcW w:w="907" w:type="dxa"/>
            <w:tcBorders>
              <w:top w:val="nil"/>
              <w:left w:val="nil"/>
              <w:bottom w:val="nil"/>
              <w:right w:val="nil"/>
            </w:tcBorders>
            <w:shd w:val="clear" w:color="auto" w:fill="auto"/>
            <w:noWrap/>
            <w:vAlign w:val="center"/>
            <w:hideMark/>
          </w:tcPr>
          <w:p w14:paraId="4AB67E56"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SP</w:t>
            </w:r>
          </w:p>
        </w:tc>
        <w:tc>
          <w:tcPr>
            <w:tcW w:w="737" w:type="dxa"/>
            <w:tcBorders>
              <w:top w:val="nil"/>
              <w:left w:val="nil"/>
              <w:bottom w:val="nil"/>
              <w:right w:val="nil"/>
            </w:tcBorders>
            <w:shd w:val="clear" w:color="auto" w:fill="auto"/>
            <w:noWrap/>
            <w:vAlign w:val="center"/>
            <w:hideMark/>
          </w:tcPr>
          <w:p w14:paraId="56198F5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21 839</w:t>
            </w:r>
          </w:p>
        </w:tc>
        <w:tc>
          <w:tcPr>
            <w:tcW w:w="737" w:type="dxa"/>
            <w:tcBorders>
              <w:top w:val="nil"/>
              <w:left w:val="nil"/>
              <w:bottom w:val="nil"/>
              <w:right w:val="nil"/>
            </w:tcBorders>
            <w:shd w:val="clear" w:color="auto" w:fill="auto"/>
            <w:noWrap/>
            <w:vAlign w:val="center"/>
            <w:hideMark/>
          </w:tcPr>
          <w:p w14:paraId="2D9DF918"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22 024</w:t>
            </w:r>
          </w:p>
        </w:tc>
        <w:tc>
          <w:tcPr>
            <w:tcW w:w="737" w:type="dxa"/>
            <w:tcBorders>
              <w:top w:val="nil"/>
              <w:left w:val="nil"/>
              <w:bottom w:val="nil"/>
              <w:right w:val="nil"/>
            </w:tcBorders>
            <w:shd w:val="clear" w:color="auto" w:fill="auto"/>
            <w:noWrap/>
            <w:vAlign w:val="center"/>
            <w:hideMark/>
          </w:tcPr>
          <w:p w14:paraId="2069CF6F"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22 267</w:t>
            </w:r>
          </w:p>
        </w:tc>
        <w:tc>
          <w:tcPr>
            <w:tcW w:w="737" w:type="dxa"/>
            <w:tcBorders>
              <w:top w:val="nil"/>
              <w:left w:val="nil"/>
              <w:bottom w:val="nil"/>
              <w:right w:val="nil"/>
            </w:tcBorders>
            <w:shd w:val="clear" w:color="auto" w:fill="auto"/>
            <w:noWrap/>
            <w:vAlign w:val="center"/>
            <w:hideMark/>
          </w:tcPr>
          <w:p w14:paraId="16479444"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22 485</w:t>
            </w:r>
          </w:p>
        </w:tc>
        <w:tc>
          <w:tcPr>
            <w:tcW w:w="737" w:type="dxa"/>
            <w:tcBorders>
              <w:top w:val="nil"/>
              <w:left w:val="nil"/>
              <w:bottom w:val="nil"/>
              <w:right w:val="nil"/>
            </w:tcBorders>
            <w:shd w:val="clear" w:color="auto" w:fill="auto"/>
            <w:noWrap/>
            <w:vAlign w:val="center"/>
            <w:hideMark/>
          </w:tcPr>
          <w:p w14:paraId="530FBE5B"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22 703</w:t>
            </w:r>
          </w:p>
        </w:tc>
        <w:tc>
          <w:tcPr>
            <w:tcW w:w="737" w:type="dxa"/>
            <w:tcBorders>
              <w:top w:val="nil"/>
              <w:left w:val="nil"/>
              <w:bottom w:val="nil"/>
              <w:right w:val="nil"/>
            </w:tcBorders>
            <w:shd w:val="clear" w:color="auto" w:fill="auto"/>
            <w:noWrap/>
            <w:vAlign w:val="center"/>
            <w:hideMark/>
          </w:tcPr>
          <w:p w14:paraId="1E06981B"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22 923</w:t>
            </w:r>
          </w:p>
        </w:tc>
      </w:tr>
      <w:tr w:rsidR="00BD3539" w:rsidRPr="00BD3539" w14:paraId="5A838947" w14:textId="77777777" w:rsidTr="006E5A9E">
        <w:trPr>
          <w:trHeight w:val="264"/>
        </w:trPr>
        <w:tc>
          <w:tcPr>
            <w:tcW w:w="3827" w:type="dxa"/>
            <w:tcBorders>
              <w:top w:val="nil"/>
              <w:left w:val="nil"/>
              <w:bottom w:val="nil"/>
              <w:right w:val="nil"/>
            </w:tcBorders>
            <w:shd w:val="clear" w:color="auto" w:fill="auto"/>
            <w:noWrap/>
            <w:vAlign w:val="center"/>
            <w:hideMark/>
          </w:tcPr>
          <w:p w14:paraId="47063084"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Nepeňažne príjmy (ubytovanie)</w:t>
            </w:r>
          </w:p>
        </w:tc>
        <w:tc>
          <w:tcPr>
            <w:tcW w:w="907" w:type="dxa"/>
            <w:tcBorders>
              <w:top w:val="nil"/>
              <w:left w:val="nil"/>
              <w:bottom w:val="nil"/>
              <w:right w:val="nil"/>
            </w:tcBorders>
            <w:shd w:val="clear" w:color="auto" w:fill="auto"/>
            <w:noWrap/>
            <w:vAlign w:val="center"/>
            <w:hideMark/>
          </w:tcPr>
          <w:p w14:paraId="53802379"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SP, ZP, DPFO</w:t>
            </w:r>
          </w:p>
        </w:tc>
        <w:tc>
          <w:tcPr>
            <w:tcW w:w="737" w:type="dxa"/>
            <w:tcBorders>
              <w:top w:val="nil"/>
              <w:left w:val="nil"/>
              <w:bottom w:val="nil"/>
              <w:right w:val="nil"/>
            </w:tcBorders>
            <w:shd w:val="clear" w:color="auto" w:fill="auto"/>
            <w:noWrap/>
            <w:vAlign w:val="center"/>
            <w:hideMark/>
          </w:tcPr>
          <w:p w14:paraId="75DDCBE5"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1 439</w:t>
            </w:r>
          </w:p>
        </w:tc>
        <w:tc>
          <w:tcPr>
            <w:tcW w:w="737" w:type="dxa"/>
            <w:tcBorders>
              <w:top w:val="nil"/>
              <w:left w:val="nil"/>
              <w:bottom w:val="nil"/>
              <w:right w:val="nil"/>
            </w:tcBorders>
            <w:shd w:val="clear" w:color="auto" w:fill="auto"/>
            <w:noWrap/>
            <w:vAlign w:val="center"/>
            <w:hideMark/>
          </w:tcPr>
          <w:p w14:paraId="58E40275"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1 650</w:t>
            </w:r>
          </w:p>
        </w:tc>
        <w:tc>
          <w:tcPr>
            <w:tcW w:w="737" w:type="dxa"/>
            <w:tcBorders>
              <w:top w:val="nil"/>
              <w:left w:val="nil"/>
              <w:bottom w:val="nil"/>
              <w:right w:val="nil"/>
            </w:tcBorders>
            <w:shd w:val="clear" w:color="auto" w:fill="auto"/>
            <w:noWrap/>
            <w:vAlign w:val="center"/>
            <w:hideMark/>
          </w:tcPr>
          <w:p w14:paraId="3E3F1C7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1 821</w:t>
            </w:r>
          </w:p>
        </w:tc>
        <w:tc>
          <w:tcPr>
            <w:tcW w:w="737" w:type="dxa"/>
            <w:tcBorders>
              <w:top w:val="nil"/>
              <w:left w:val="nil"/>
              <w:bottom w:val="nil"/>
              <w:right w:val="nil"/>
            </w:tcBorders>
            <w:shd w:val="clear" w:color="auto" w:fill="auto"/>
            <w:noWrap/>
            <w:vAlign w:val="center"/>
            <w:hideMark/>
          </w:tcPr>
          <w:p w14:paraId="1634ED63"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1 902</w:t>
            </w:r>
          </w:p>
        </w:tc>
        <w:tc>
          <w:tcPr>
            <w:tcW w:w="737" w:type="dxa"/>
            <w:tcBorders>
              <w:top w:val="nil"/>
              <w:left w:val="nil"/>
              <w:bottom w:val="nil"/>
              <w:right w:val="nil"/>
            </w:tcBorders>
            <w:shd w:val="clear" w:color="auto" w:fill="auto"/>
            <w:noWrap/>
            <w:vAlign w:val="center"/>
            <w:hideMark/>
          </w:tcPr>
          <w:p w14:paraId="078399C1"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1 988</w:t>
            </w:r>
          </w:p>
        </w:tc>
        <w:tc>
          <w:tcPr>
            <w:tcW w:w="737" w:type="dxa"/>
            <w:tcBorders>
              <w:top w:val="nil"/>
              <w:left w:val="nil"/>
              <w:bottom w:val="nil"/>
              <w:right w:val="nil"/>
            </w:tcBorders>
            <w:shd w:val="clear" w:color="auto" w:fill="auto"/>
            <w:noWrap/>
            <w:vAlign w:val="center"/>
            <w:hideMark/>
          </w:tcPr>
          <w:p w14:paraId="5EAE29B9"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2 051</w:t>
            </w:r>
          </w:p>
        </w:tc>
      </w:tr>
      <w:tr w:rsidR="00BD3539" w:rsidRPr="00BD3539" w14:paraId="57370428" w14:textId="77777777" w:rsidTr="006E5A9E">
        <w:trPr>
          <w:trHeight w:val="264"/>
        </w:trPr>
        <w:tc>
          <w:tcPr>
            <w:tcW w:w="3827" w:type="dxa"/>
            <w:tcBorders>
              <w:top w:val="nil"/>
              <w:left w:val="nil"/>
              <w:bottom w:val="nil"/>
              <w:right w:val="nil"/>
            </w:tcBorders>
            <w:shd w:val="clear" w:color="auto" w:fill="auto"/>
            <w:noWrap/>
            <w:vAlign w:val="center"/>
            <w:hideMark/>
          </w:tcPr>
          <w:p w14:paraId="0336584A"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Nepeňažne príjmy (doprava)</w:t>
            </w:r>
          </w:p>
        </w:tc>
        <w:tc>
          <w:tcPr>
            <w:tcW w:w="907" w:type="dxa"/>
            <w:tcBorders>
              <w:top w:val="nil"/>
              <w:left w:val="nil"/>
              <w:bottom w:val="nil"/>
              <w:right w:val="nil"/>
            </w:tcBorders>
            <w:shd w:val="clear" w:color="auto" w:fill="auto"/>
            <w:noWrap/>
            <w:vAlign w:val="center"/>
            <w:hideMark/>
          </w:tcPr>
          <w:p w14:paraId="56E5CD26"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SP, ZP, DPFO</w:t>
            </w:r>
          </w:p>
        </w:tc>
        <w:tc>
          <w:tcPr>
            <w:tcW w:w="737" w:type="dxa"/>
            <w:tcBorders>
              <w:top w:val="nil"/>
              <w:left w:val="nil"/>
              <w:bottom w:val="nil"/>
              <w:right w:val="nil"/>
            </w:tcBorders>
            <w:shd w:val="clear" w:color="auto" w:fill="auto"/>
            <w:noWrap/>
            <w:vAlign w:val="center"/>
            <w:hideMark/>
          </w:tcPr>
          <w:p w14:paraId="48FC0279"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18 532</w:t>
            </w:r>
          </w:p>
        </w:tc>
        <w:tc>
          <w:tcPr>
            <w:tcW w:w="737" w:type="dxa"/>
            <w:tcBorders>
              <w:top w:val="nil"/>
              <w:left w:val="nil"/>
              <w:bottom w:val="nil"/>
              <w:right w:val="nil"/>
            </w:tcBorders>
            <w:shd w:val="clear" w:color="auto" w:fill="auto"/>
            <w:noWrap/>
            <w:vAlign w:val="center"/>
            <w:hideMark/>
          </w:tcPr>
          <w:p w14:paraId="06F7BA5F"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21 250</w:t>
            </w:r>
          </w:p>
        </w:tc>
        <w:tc>
          <w:tcPr>
            <w:tcW w:w="737" w:type="dxa"/>
            <w:tcBorders>
              <w:top w:val="nil"/>
              <w:left w:val="nil"/>
              <w:bottom w:val="nil"/>
              <w:right w:val="nil"/>
            </w:tcBorders>
            <w:shd w:val="clear" w:color="auto" w:fill="auto"/>
            <w:noWrap/>
            <w:vAlign w:val="center"/>
            <w:hideMark/>
          </w:tcPr>
          <w:p w14:paraId="68B57CE4"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23 439</w:t>
            </w:r>
          </w:p>
        </w:tc>
        <w:tc>
          <w:tcPr>
            <w:tcW w:w="737" w:type="dxa"/>
            <w:tcBorders>
              <w:top w:val="nil"/>
              <w:left w:val="nil"/>
              <w:bottom w:val="nil"/>
              <w:right w:val="nil"/>
            </w:tcBorders>
            <w:shd w:val="clear" w:color="auto" w:fill="auto"/>
            <w:noWrap/>
            <w:vAlign w:val="center"/>
            <w:hideMark/>
          </w:tcPr>
          <w:p w14:paraId="15852161"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24 492</w:t>
            </w:r>
          </w:p>
        </w:tc>
        <w:tc>
          <w:tcPr>
            <w:tcW w:w="737" w:type="dxa"/>
            <w:tcBorders>
              <w:top w:val="nil"/>
              <w:left w:val="nil"/>
              <w:bottom w:val="nil"/>
              <w:right w:val="nil"/>
            </w:tcBorders>
            <w:shd w:val="clear" w:color="auto" w:fill="auto"/>
            <w:noWrap/>
            <w:vAlign w:val="center"/>
            <w:hideMark/>
          </w:tcPr>
          <w:p w14:paraId="2F5E44F4"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25 603</w:t>
            </w:r>
          </w:p>
        </w:tc>
        <w:tc>
          <w:tcPr>
            <w:tcW w:w="737" w:type="dxa"/>
            <w:tcBorders>
              <w:top w:val="nil"/>
              <w:left w:val="nil"/>
              <w:bottom w:val="nil"/>
              <w:right w:val="nil"/>
            </w:tcBorders>
            <w:shd w:val="clear" w:color="auto" w:fill="auto"/>
            <w:noWrap/>
            <w:vAlign w:val="center"/>
            <w:hideMark/>
          </w:tcPr>
          <w:p w14:paraId="4E881FC1"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26 409</w:t>
            </w:r>
          </w:p>
        </w:tc>
      </w:tr>
      <w:tr w:rsidR="00BD3539" w:rsidRPr="00BD3539" w14:paraId="62EC358B" w14:textId="77777777" w:rsidTr="006E5A9E">
        <w:trPr>
          <w:trHeight w:val="264"/>
        </w:trPr>
        <w:tc>
          <w:tcPr>
            <w:tcW w:w="3827" w:type="dxa"/>
            <w:tcBorders>
              <w:top w:val="nil"/>
              <w:left w:val="nil"/>
              <w:bottom w:val="nil"/>
              <w:right w:val="nil"/>
            </w:tcBorders>
            <w:shd w:val="clear" w:color="auto" w:fill="auto"/>
            <w:noWrap/>
            <w:vAlign w:val="center"/>
            <w:hideMark/>
          </w:tcPr>
          <w:p w14:paraId="74A75296"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OOP na SO sezónni pracovníci</w:t>
            </w:r>
          </w:p>
        </w:tc>
        <w:tc>
          <w:tcPr>
            <w:tcW w:w="907" w:type="dxa"/>
            <w:tcBorders>
              <w:top w:val="nil"/>
              <w:left w:val="nil"/>
              <w:bottom w:val="nil"/>
              <w:right w:val="nil"/>
            </w:tcBorders>
            <w:shd w:val="clear" w:color="auto" w:fill="auto"/>
            <w:noWrap/>
            <w:vAlign w:val="center"/>
            <w:hideMark/>
          </w:tcPr>
          <w:p w14:paraId="52183F73"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SP, DPFO</w:t>
            </w:r>
          </w:p>
        </w:tc>
        <w:tc>
          <w:tcPr>
            <w:tcW w:w="737" w:type="dxa"/>
            <w:tcBorders>
              <w:top w:val="nil"/>
              <w:left w:val="nil"/>
              <w:bottom w:val="nil"/>
              <w:right w:val="nil"/>
            </w:tcBorders>
            <w:shd w:val="clear" w:color="auto" w:fill="auto"/>
            <w:noWrap/>
            <w:vAlign w:val="center"/>
            <w:hideMark/>
          </w:tcPr>
          <w:p w14:paraId="0746FB78"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0</w:t>
            </w:r>
          </w:p>
        </w:tc>
        <w:tc>
          <w:tcPr>
            <w:tcW w:w="737" w:type="dxa"/>
            <w:tcBorders>
              <w:top w:val="nil"/>
              <w:left w:val="nil"/>
              <w:bottom w:val="nil"/>
              <w:right w:val="nil"/>
            </w:tcBorders>
            <w:shd w:val="clear" w:color="auto" w:fill="auto"/>
            <w:noWrap/>
            <w:vAlign w:val="center"/>
            <w:hideMark/>
          </w:tcPr>
          <w:p w14:paraId="4929D228"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0</w:t>
            </w:r>
          </w:p>
        </w:tc>
        <w:tc>
          <w:tcPr>
            <w:tcW w:w="737" w:type="dxa"/>
            <w:tcBorders>
              <w:top w:val="nil"/>
              <w:left w:val="nil"/>
              <w:bottom w:val="nil"/>
              <w:right w:val="nil"/>
            </w:tcBorders>
            <w:shd w:val="clear" w:color="auto" w:fill="auto"/>
            <w:noWrap/>
            <w:vAlign w:val="center"/>
            <w:hideMark/>
          </w:tcPr>
          <w:p w14:paraId="64701EC6"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12 850</w:t>
            </w:r>
          </w:p>
        </w:tc>
        <w:tc>
          <w:tcPr>
            <w:tcW w:w="737" w:type="dxa"/>
            <w:tcBorders>
              <w:top w:val="nil"/>
              <w:left w:val="nil"/>
              <w:bottom w:val="nil"/>
              <w:right w:val="nil"/>
            </w:tcBorders>
            <w:shd w:val="clear" w:color="auto" w:fill="auto"/>
            <w:noWrap/>
            <w:vAlign w:val="center"/>
            <w:hideMark/>
          </w:tcPr>
          <w:p w14:paraId="3C596E64"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13 837</w:t>
            </w:r>
          </w:p>
        </w:tc>
        <w:tc>
          <w:tcPr>
            <w:tcW w:w="737" w:type="dxa"/>
            <w:tcBorders>
              <w:top w:val="nil"/>
              <w:left w:val="nil"/>
              <w:bottom w:val="nil"/>
              <w:right w:val="nil"/>
            </w:tcBorders>
            <w:shd w:val="clear" w:color="auto" w:fill="auto"/>
            <w:noWrap/>
            <w:vAlign w:val="center"/>
            <w:hideMark/>
          </w:tcPr>
          <w:p w14:paraId="4DECD1B6"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15 040</w:t>
            </w:r>
          </w:p>
        </w:tc>
        <w:tc>
          <w:tcPr>
            <w:tcW w:w="737" w:type="dxa"/>
            <w:tcBorders>
              <w:top w:val="nil"/>
              <w:left w:val="nil"/>
              <w:bottom w:val="nil"/>
              <w:right w:val="nil"/>
            </w:tcBorders>
            <w:shd w:val="clear" w:color="auto" w:fill="auto"/>
            <w:noWrap/>
            <w:vAlign w:val="center"/>
            <w:hideMark/>
          </w:tcPr>
          <w:p w14:paraId="113615BA"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14 678</w:t>
            </w:r>
          </w:p>
        </w:tc>
      </w:tr>
      <w:tr w:rsidR="00BD3539" w:rsidRPr="00BD3539" w14:paraId="675421CD" w14:textId="77777777" w:rsidTr="006E5A9E">
        <w:trPr>
          <w:trHeight w:val="264"/>
        </w:trPr>
        <w:tc>
          <w:tcPr>
            <w:tcW w:w="3827" w:type="dxa"/>
            <w:tcBorders>
              <w:top w:val="nil"/>
              <w:left w:val="nil"/>
              <w:bottom w:val="nil"/>
              <w:right w:val="nil"/>
            </w:tcBorders>
            <w:shd w:val="clear" w:color="auto" w:fill="auto"/>
            <w:noWrap/>
            <w:vAlign w:val="center"/>
            <w:hideMark/>
          </w:tcPr>
          <w:p w14:paraId="1ACEFF73"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Odpustenie SO potravinári</w:t>
            </w:r>
          </w:p>
        </w:tc>
        <w:tc>
          <w:tcPr>
            <w:tcW w:w="907" w:type="dxa"/>
            <w:tcBorders>
              <w:top w:val="nil"/>
              <w:left w:val="nil"/>
              <w:bottom w:val="nil"/>
              <w:right w:val="nil"/>
            </w:tcBorders>
            <w:shd w:val="clear" w:color="auto" w:fill="auto"/>
            <w:noWrap/>
            <w:vAlign w:val="center"/>
            <w:hideMark/>
          </w:tcPr>
          <w:p w14:paraId="122A8C1D"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SP</w:t>
            </w:r>
          </w:p>
        </w:tc>
        <w:tc>
          <w:tcPr>
            <w:tcW w:w="737" w:type="dxa"/>
            <w:tcBorders>
              <w:top w:val="nil"/>
              <w:left w:val="nil"/>
              <w:bottom w:val="nil"/>
              <w:right w:val="nil"/>
            </w:tcBorders>
            <w:shd w:val="clear" w:color="auto" w:fill="auto"/>
            <w:noWrap/>
            <w:vAlign w:val="center"/>
            <w:hideMark/>
          </w:tcPr>
          <w:p w14:paraId="054DE3E5"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0</w:t>
            </w:r>
          </w:p>
        </w:tc>
        <w:tc>
          <w:tcPr>
            <w:tcW w:w="737" w:type="dxa"/>
            <w:tcBorders>
              <w:top w:val="nil"/>
              <w:left w:val="nil"/>
              <w:bottom w:val="nil"/>
              <w:right w:val="nil"/>
            </w:tcBorders>
            <w:shd w:val="clear" w:color="auto" w:fill="auto"/>
            <w:noWrap/>
            <w:vAlign w:val="center"/>
            <w:hideMark/>
          </w:tcPr>
          <w:p w14:paraId="182C73E1"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0</w:t>
            </w:r>
          </w:p>
        </w:tc>
        <w:tc>
          <w:tcPr>
            <w:tcW w:w="737" w:type="dxa"/>
            <w:tcBorders>
              <w:top w:val="nil"/>
              <w:left w:val="nil"/>
              <w:bottom w:val="nil"/>
              <w:right w:val="nil"/>
            </w:tcBorders>
            <w:shd w:val="clear" w:color="auto" w:fill="auto"/>
            <w:noWrap/>
            <w:vAlign w:val="center"/>
            <w:hideMark/>
          </w:tcPr>
          <w:p w14:paraId="7C662E3D"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24 478</w:t>
            </w:r>
          </w:p>
        </w:tc>
        <w:tc>
          <w:tcPr>
            <w:tcW w:w="737" w:type="dxa"/>
            <w:tcBorders>
              <w:top w:val="nil"/>
              <w:left w:val="nil"/>
              <w:bottom w:val="nil"/>
              <w:right w:val="nil"/>
            </w:tcBorders>
            <w:shd w:val="clear" w:color="auto" w:fill="auto"/>
            <w:noWrap/>
            <w:vAlign w:val="center"/>
            <w:hideMark/>
          </w:tcPr>
          <w:p w14:paraId="7708E081"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0</w:t>
            </w:r>
          </w:p>
        </w:tc>
        <w:tc>
          <w:tcPr>
            <w:tcW w:w="737" w:type="dxa"/>
            <w:tcBorders>
              <w:top w:val="nil"/>
              <w:left w:val="nil"/>
              <w:bottom w:val="nil"/>
              <w:right w:val="nil"/>
            </w:tcBorders>
            <w:shd w:val="clear" w:color="auto" w:fill="auto"/>
            <w:noWrap/>
            <w:vAlign w:val="center"/>
            <w:hideMark/>
          </w:tcPr>
          <w:p w14:paraId="2A99A8E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0</w:t>
            </w:r>
          </w:p>
        </w:tc>
        <w:tc>
          <w:tcPr>
            <w:tcW w:w="737" w:type="dxa"/>
            <w:tcBorders>
              <w:top w:val="nil"/>
              <w:left w:val="nil"/>
              <w:bottom w:val="nil"/>
              <w:right w:val="nil"/>
            </w:tcBorders>
            <w:shd w:val="clear" w:color="auto" w:fill="auto"/>
            <w:noWrap/>
            <w:vAlign w:val="center"/>
            <w:hideMark/>
          </w:tcPr>
          <w:p w14:paraId="63F273DF"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0</w:t>
            </w:r>
          </w:p>
        </w:tc>
      </w:tr>
      <w:tr w:rsidR="00BD3539" w:rsidRPr="00BD3539" w14:paraId="03A0956C" w14:textId="77777777" w:rsidTr="006E5A9E">
        <w:trPr>
          <w:trHeight w:val="264"/>
        </w:trPr>
        <w:tc>
          <w:tcPr>
            <w:tcW w:w="3827" w:type="dxa"/>
            <w:tcBorders>
              <w:top w:val="nil"/>
              <w:left w:val="nil"/>
              <w:bottom w:val="nil"/>
              <w:right w:val="nil"/>
            </w:tcBorders>
            <w:shd w:val="clear" w:color="auto" w:fill="auto"/>
            <w:noWrap/>
            <w:vAlign w:val="center"/>
            <w:hideMark/>
          </w:tcPr>
          <w:p w14:paraId="21A1B5FA"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Sociálna podpora</w:t>
            </w:r>
          </w:p>
        </w:tc>
        <w:tc>
          <w:tcPr>
            <w:tcW w:w="907" w:type="dxa"/>
            <w:tcBorders>
              <w:top w:val="nil"/>
              <w:left w:val="nil"/>
              <w:bottom w:val="nil"/>
              <w:right w:val="nil"/>
            </w:tcBorders>
            <w:shd w:val="clear" w:color="auto" w:fill="auto"/>
            <w:noWrap/>
            <w:vAlign w:val="center"/>
            <w:hideMark/>
          </w:tcPr>
          <w:p w14:paraId="53CEFF00"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p>
        </w:tc>
        <w:tc>
          <w:tcPr>
            <w:tcW w:w="737" w:type="dxa"/>
            <w:tcBorders>
              <w:top w:val="nil"/>
              <w:left w:val="nil"/>
              <w:bottom w:val="nil"/>
              <w:right w:val="nil"/>
            </w:tcBorders>
            <w:shd w:val="clear" w:color="auto" w:fill="auto"/>
            <w:noWrap/>
            <w:vAlign w:val="center"/>
            <w:hideMark/>
          </w:tcPr>
          <w:p w14:paraId="47199245"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332 975</w:t>
            </w:r>
          </w:p>
        </w:tc>
        <w:tc>
          <w:tcPr>
            <w:tcW w:w="737" w:type="dxa"/>
            <w:tcBorders>
              <w:top w:val="nil"/>
              <w:left w:val="nil"/>
              <w:bottom w:val="nil"/>
              <w:right w:val="nil"/>
            </w:tcBorders>
            <w:shd w:val="clear" w:color="auto" w:fill="auto"/>
            <w:noWrap/>
            <w:vAlign w:val="center"/>
            <w:hideMark/>
          </w:tcPr>
          <w:p w14:paraId="3B0D30CA"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344 725</w:t>
            </w:r>
          </w:p>
        </w:tc>
        <w:tc>
          <w:tcPr>
            <w:tcW w:w="737" w:type="dxa"/>
            <w:tcBorders>
              <w:top w:val="nil"/>
              <w:left w:val="nil"/>
              <w:bottom w:val="nil"/>
              <w:right w:val="nil"/>
            </w:tcBorders>
            <w:shd w:val="clear" w:color="auto" w:fill="auto"/>
            <w:noWrap/>
            <w:vAlign w:val="center"/>
            <w:hideMark/>
          </w:tcPr>
          <w:p w14:paraId="0415996B"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378 715</w:t>
            </w:r>
          </w:p>
        </w:tc>
        <w:tc>
          <w:tcPr>
            <w:tcW w:w="737" w:type="dxa"/>
            <w:tcBorders>
              <w:top w:val="nil"/>
              <w:left w:val="nil"/>
              <w:bottom w:val="nil"/>
              <w:right w:val="nil"/>
            </w:tcBorders>
            <w:shd w:val="clear" w:color="auto" w:fill="auto"/>
            <w:noWrap/>
            <w:vAlign w:val="center"/>
            <w:hideMark/>
          </w:tcPr>
          <w:p w14:paraId="4BAB3DCA"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411 007</w:t>
            </w:r>
          </w:p>
        </w:tc>
        <w:tc>
          <w:tcPr>
            <w:tcW w:w="737" w:type="dxa"/>
            <w:tcBorders>
              <w:top w:val="nil"/>
              <w:left w:val="nil"/>
              <w:bottom w:val="nil"/>
              <w:right w:val="nil"/>
            </w:tcBorders>
            <w:shd w:val="clear" w:color="auto" w:fill="auto"/>
            <w:noWrap/>
            <w:vAlign w:val="center"/>
            <w:hideMark/>
          </w:tcPr>
          <w:p w14:paraId="036E56C3"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432 201</w:t>
            </w:r>
          </w:p>
        </w:tc>
        <w:tc>
          <w:tcPr>
            <w:tcW w:w="737" w:type="dxa"/>
            <w:tcBorders>
              <w:top w:val="nil"/>
              <w:left w:val="nil"/>
              <w:bottom w:val="nil"/>
              <w:right w:val="nil"/>
            </w:tcBorders>
            <w:shd w:val="clear" w:color="auto" w:fill="auto"/>
            <w:noWrap/>
            <w:vAlign w:val="center"/>
            <w:hideMark/>
          </w:tcPr>
          <w:p w14:paraId="3B032B4A"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449 779</w:t>
            </w:r>
          </w:p>
        </w:tc>
      </w:tr>
      <w:tr w:rsidR="00BD3539" w:rsidRPr="00BD3539" w14:paraId="1D6EE583" w14:textId="77777777" w:rsidTr="006E5A9E">
        <w:trPr>
          <w:trHeight w:val="264"/>
        </w:trPr>
        <w:tc>
          <w:tcPr>
            <w:tcW w:w="3827" w:type="dxa"/>
            <w:tcBorders>
              <w:top w:val="nil"/>
              <w:left w:val="nil"/>
              <w:bottom w:val="nil"/>
              <w:right w:val="nil"/>
            </w:tcBorders>
            <w:shd w:val="clear" w:color="auto" w:fill="auto"/>
            <w:noWrap/>
            <w:vAlign w:val="center"/>
            <w:hideMark/>
          </w:tcPr>
          <w:p w14:paraId="4290F40D"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 xml:space="preserve">Oslobodenie </w:t>
            </w:r>
            <w:proofErr w:type="spellStart"/>
            <w:r w:rsidRPr="00BD3539">
              <w:rPr>
                <w:rFonts w:ascii="Times New Roman" w:eastAsia="Times New Roman" w:hAnsi="Times New Roman" w:cs="Times New Roman"/>
                <w:color w:val="000000"/>
                <w:sz w:val="16"/>
                <w:szCs w:val="16"/>
                <w:lang w:eastAsia="sk-SK"/>
              </w:rPr>
              <w:t>prispevku</w:t>
            </w:r>
            <w:proofErr w:type="spellEnd"/>
            <w:r w:rsidRPr="00BD3539">
              <w:rPr>
                <w:rFonts w:ascii="Times New Roman" w:eastAsia="Times New Roman" w:hAnsi="Times New Roman" w:cs="Times New Roman"/>
                <w:color w:val="000000"/>
                <w:sz w:val="16"/>
                <w:szCs w:val="16"/>
                <w:lang w:eastAsia="sk-SK"/>
              </w:rPr>
              <w:t xml:space="preserve"> zo </w:t>
            </w:r>
            <w:proofErr w:type="spellStart"/>
            <w:r w:rsidRPr="00BD3539">
              <w:rPr>
                <w:rFonts w:ascii="Times New Roman" w:eastAsia="Times New Roman" w:hAnsi="Times New Roman" w:cs="Times New Roman"/>
                <w:color w:val="000000"/>
                <w:sz w:val="16"/>
                <w:szCs w:val="16"/>
                <w:lang w:eastAsia="sk-SK"/>
              </w:rPr>
              <w:t>socialneho</w:t>
            </w:r>
            <w:proofErr w:type="spellEnd"/>
            <w:r w:rsidRPr="00BD3539">
              <w:rPr>
                <w:rFonts w:ascii="Times New Roman" w:eastAsia="Times New Roman" w:hAnsi="Times New Roman" w:cs="Times New Roman"/>
                <w:color w:val="000000"/>
                <w:sz w:val="16"/>
                <w:szCs w:val="16"/>
                <w:lang w:eastAsia="sk-SK"/>
              </w:rPr>
              <w:t xml:space="preserve"> fondu na </w:t>
            </w:r>
            <w:proofErr w:type="spellStart"/>
            <w:r w:rsidRPr="00BD3539">
              <w:rPr>
                <w:rFonts w:ascii="Times New Roman" w:eastAsia="Times New Roman" w:hAnsi="Times New Roman" w:cs="Times New Roman"/>
                <w:color w:val="000000"/>
                <w:sz w:val="16"/>
                <w:szCs w:val="16"/>
                <w:lang w:eastAsia="sk-SK"/>
              </w:rPr>
              <w:t>socialne</w:t>
            </w:r>
            <w:proofErr w:type="spellEnd"/>
            <w:r w:rsidRPr="00BD3539">
              <w:rPr>
                <w:rFonts w:ascii="Times New Roman" w:eastAsia="Times New Roman" w:hAnsi="Times New Roman" w:cs="Times New Roman"/>
                <w:color w:val="000000"/>
                <w:sz w:val="16"/>
                <w:szCs w:val="16"/>
                <w:lang w:eastAsia="sk-SK"/>
              </w:rPr>
              <w:t xml:space="preserve"> </w:t>
            </w:r>
            <w:proofErr w:type="spellStart"/>
            <w:r w:rsidRPr="00BD3539">
              <w:rPr>
                <w:rFonts w:ascii="Times New Roman" w:eastAsia="Times New Roman" w:hAnsi="Times New Roman" w:cs="Times New Roman"/>
                <w:color w:val="000000"/>
                <w:sz w:val="16"/>
                <w:szCs w:val="16"/>
                <w:lang w:eastAsia="sk-SK"/>
              </w:rPr>
              <w:t>ucely</w:t>
            </w:r>
            <w:proofErr w:type="spellEnd"/>
            <w:r w:rsidRPr="00BD3539">
              <w:rPr>
                <w:rFonts w:ascii="Times New Roman" w:eastAsia="Times New Roman" w:hAnsi="Times New Roman" w:cs="Times New Roman"/>
                <w:color w:val="000000"/>
                <w:sz w:val="16"/>
                <w:szCs w:val="16"/>
                <w:lang w:eastAsia="sk-SK"/>
              </w:rPr>
              <w:t xml:space="preserve"> do 2 000 eur</w:t>
            </w:r>
          </w:p>
        </w:tc>
        <w:tc>
          <w:tcPr>
            <w:tcW w:w="907" w:type="dxa"/>
            <w:tcBorders>
              <w:top w:val="nil"/>
              <w:left w:val="nil"/>
              <w:bottom w:val="nil"/>
              <w:right w:val="nil"/>
            </w:tcBorders>
            <w:shd w:val="clear" w:color="auto" w:fill="auto"/>
            <w:noWrap/>
            <w:vAlign w:val="center"/>
            <w:hideMark/>
          </w:tcPr>
          <w:p w14:paraId="4DEF69D1"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DPFO</w:t>
            </w:r>
          </w:p>
        </w:tc>
        <w:tc>
          <w:tcPr>
            <w:tcW w:w="737" w:type="dxa"/>
            <w:tcBorders>
              <w:top w:val="nil"/>
              <w:left w:val="nil"/>
              <w:bottom w:val="nil"/>
              <w:right w:val="nil"/>
            </w:tcBorders>
            <w:shd w:val="clear" w:color="auto" w:fill="auto"/>
            <w:noWrap/>
            <w:vAlign w:val="center"/>
            <w:hideMark/>
          </w:tcPr>
          <w:p w14:paraId="74BB619F"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796</w:t>
            </w:r>
          </w:p>
        </w:tc>
        <w:tc>
          <w:tcPr>
            <w:tcW w:w="737" w:type="dxa"/>
            <w:tcBorders>
              <w:top w:val="nil"/>
              <w:left w:val="nil"/>
              <w:bottom w:val="nil"/>
              <w:right w:val="nil"/>
            </w:tcBorders>
            <w:shd w:val="clear" w:color="auto" w:fill="auto"/>
            <w:noWrap/>
            <w:vAlign w:val="center"/>
            <w:hideMark/>
          </w:tcPr>
          <w:p w14:paraId="539D03C7"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796</w:t>
            </w:r>
          </w:p>
        </w:tc>
        <w:tc>
          <w:tcPr>
            <w:tcW w:w="737" w:type="dxa"/>
            <w:tcBorders>
              <w:top w:val="nil"/>
              <w:left w:val="nil"/>
              <w:bottom w:val="nil"/>
              <w:right w:val="nil"/>
            </w:tcBorders>
            <w:shd w:val="clear" w:color="auto" w:fill="auto"/>
            <w:noWrap/>
            <w:vAlign w:val="center"/>
            <w:hideMark/>
          </w:tcPr>
          <w:p w14:paraId="49A6BC3D"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796</w:t>
            </w:r>
          </w:p>
        </w:tc>
        <w:tc>
          <w:tcPr>
            <w:tcW w:w="737" w:type="dxa"/>
            <w:tcBorders>
              <w:top w:val="nil"/>
              <w:left w:val="nil"/>
              <w:bottom w:val="nil"/>
              <w:right w:val="nil"/>
            </w:tcBorders>
            <w:shd w:val="clear" w:color="auto" w:fill="auto"/>
            <w:noWrap/>
            <w:vAlign w:val="center"/>
            <w:hideMark/>
          </w:tcPr>
          <w:p w14:paraId="1C904CED"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796</w:t>
            </w:r>
          </w:p>
        </w:tc>
        <w:tc>
          <w:tcPr>
            <w:tcW w:w="737" w:type="dxa"/>
            <w:tcBorders>
              <w:top w:val="nil"/>
              <w:left w:val="nil"/>
              <w:bottom w:val="nil"/>
              <w:right w:val="nil"/>
            </w:tcBorders>
            <w:shd w:val="clear" w:color="auto" w:fill="auto"/>
            <w:noWrap/>
            <w:vAlign w:val="center"/>
            <w:hideMark/>
          </w:tcPr>
          <w:p w14:paraId="66E3CEA0"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796</w:t>
            </w:r>
          </w:p>
        </w:tc>
        <w:tc>
          <w:tcPr>
            <w:tcW w:w="737" w:type="dxa"/>
            <w:tcBorders>
              <w:top w:val="nil"/>
              <w:left w:val="nil"/>
              <w:bottom w:val="nil"/>
              <w:right w:val="nil"/>
            </w:tcBorders>
            <w:shd w:val="clear" w:color="auto" w:fill="auto"/>
            <w:noWrap/>
            <w:vAlign w:val="center"/>
            <w:hideMark/>
          </w:tcPr>
          <w:p w14:paraId="4C7AC89C"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796</w:t>
            </w:r>
          </w:p>
        </w:tc>
      </w:tr>
      <w:tr w:rsidR="00BD3539" w:rsidRPr="00BD3539" w14:paraId="46F9A9BB" w14:textId="77777777" w:rsidTr="006E5A9E">
        <w:trPr>
          <w:trHeight w:val="264"/>
        </w:trPr>
        <w:tc>
          <w:tcPr>
            <w:tcW w:w="3827" w:type="dxa"/>
            <w:tcBorders>
              <w:top w:val="nil"/>
              <w:left w:val="nil"/>
              <w:bottom w:val="nil"/>
              <w:right w:val="nil"/>
            </w:tcBorders>
            <w:shd w:val="clear" w:color="auto" w:fill="auto"/>
            <w:noWrap/>
            <w:vAlign w:val="center"/>
            <w:hideMark/>
          </w:tcPr>
          <w:p w14:paraId="42678817"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Znížená sadzba DPH na vybrané potraviny</w:t>
            </w:r>
          </w:p>
        </w:tc>
        <w:tc>
          <w:tcPr>
            <w:tcW w:w="907" w:type="dxa"/>
            <w:tcBorders>
              <w:top w:val="nil"/>
              <w:left w:val="nil"/>
              <w:bottom w:val="nil"/>
              <w:right w:val="nil"/>
            </w:tcBorders>
            <w:shd w:val="clear" w:color="auto" w:fill="auto"/>
            <w:noWrap/>
            <w:vAlign w:val="center"/>
            <w:hideMark/>
          </w:tcPr>
          <w:p w14:paraId="18DCA85C"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DPH</w:t>
            </w:r>
          </w:p>
        </w:tc>
        <w:tc>
          <w:tcPr>
            <w:tcW w:w="737" w:type="dxa"/>
            <w:tcBorders>
              <w:top w:val="nil"/>
              <w:left w:val="nil"/>
              <w:bottom w:val="nil"/>
              <w:right w:val="nil"/>
            </w:tcBorders>
            <w:shd w:val="clear" w:color="auto" w:fill="auto"/>
            <w:noWrap/>
            <w:vAlign w:val="center"/>
            <w:hideMark/>
          </w:tcPr>
          <w:p w14:paraId="64338844"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291 991</w:t>
            </w:r>
          </w:p>
        </w:tc>
        <w:tc>
          <w:tcPr>
            <w:tcW w:w="737" w:type="dxa"/>
            <w:tcBorders>
              <w:top w:val="nil"/>
              <w:left w:val="nil"/>
              <w:bottom w:val="nil"/>
              <w:right w:val="nil"/>
            </w:tcBorders>
            <w:shd w:val="clear" w:color="auto" w:fill="auto"/>
            <w:noWrap/>
            <w:vAlign w:val="center"/>
            <w:hideMark/>
          </w:tcPr>
          <w:p w14:paraId="27FF9769"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316 687</w:t>
            </w:r>
          </w:p>
        </w:tc>
        <w:tc>
          <w:tcPr>
            <w:tcW w:w="737" w:type="dxa"/>
            <w:tcBorders>
              <w:top w:val="nil"/>
              <w:left w:val="nil"/>
              <w:bottom w:val="nil"/>
              <w:right w:val="nil"/>
            </w:tcBorders>
            <w:shd w:val="clear" w:color="auto" w:fill="auto"/>
            <w:noWrap/>
            <w:vAlign w:val="center"/>
            <w:hideMark/>
          </w:tcPr>
          <w:p w14:paraId="1360508B"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344 784</w:t>
            </w:r>
          </w:p>
        </w:tc>
        <w:tc>
          <w:tcPr>
            <w:tcW w:w="737" w:type="dxa"/>
            <w:tcBorders>
              <w:top w:val="nil"/>
              <w:left w:val="nil"/>
              <w:bottom w:val="nil"/>
              <w:right w:val="nil"/>
            </w:tcBorders>
            <w:shd w:val="clear" w:color="auto" w:fill="auto"/>
            <w:noWrap/>
            <w:vAlign w:val="center"/>
            <w:hideMark/>
          </w:tcPr>
          <w:p w14:paraId="70FE9D37"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369 548</w:t>
            </w:r>
          </w:p>
        </w:tc>
        <w:tc>
          <w:tcPr>
            <w:tcW w:w="737" w:type="dxa"/>
            <w:tcBorders>
              <w:top w:val="nil"/>
              <w:left w:val="nil"/>
              <w:bottom w:val="nil"/>
              <w:right w:val="nil"/>
            </w:tcBorders>
            <w:shd w:val="clear" w:color="auto" w:fill="auto"/>
            <w:noWrap/>
            <w:vAlign w:val="center"/>
            <w:hideMark/>
          </w:tcPr>
          <w:p w14:paraId="72E23413"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388 120</w:t>
            </w:r>
          </w:p>
        </w:tc>
        <w:tc>
          <w:tcPr>
            <w:tcW w:w="737" w:type="dxa"/>
            <w:tcBorders>
              <w:top w:val="nil"/>
              <w:left w:val="nil"/>
              <w:bottom w:val="nil"/>
              <w:right w:val="nil"/>
            </w:tcBorders>
            <w:shd w:val="clear" w:color="auto" w:fill="auto"/>
            <w:noWrap/>
            <w:vAlign w:val="center"/>
            <w:hideMark/>
          </w:tcPr>
          <w:p w14:paraId="6AF4A8B9"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404 788</w:t>
            </w:r>
          </w:p>
        </w:tc>
      </w:tr>
      <w:tr w:rsidR="00BD3539" w:rsidRPr="00BD3539" w14:paraId="2B611CD3" w14:textId="77777777" w:rsidTr="006E5A9E">
        <w:trPr>
          <w:trHeight w:val="264"/>
        </w:trPr>
        <w:tc>
          <w:tcPr>
            <w:tcW w:w="3827" w:type="dxa"/>
            <w:tcBorders>
              <w:top w:val="nil"/>
              <w:left w:val="nil"/>
              <w:bottom w:val="nil"/>
              <w:right w:val="nil"/>
            </w:tcBorders>
            <w:shd w:val="clear" w:color="auto" w:fill="auto"/>
            <w:noWrap/>
            <w:vAlign w:val="center"/>
            <w:hideMark/>
          </w:tcPr>
          <w:p w14:paraId="72F153C1"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Znížená sadzba DPH na nájomné bývanie</w:t>
            </w:r>
          </w:p>
        </w:tc>
        <w:tc>
          <w:tcPr>
            <w:tcW w:w="907" w:type="dxa"/>
            <w:tcBorders>
              <w:top w:val="nil"/>
              <w:left w:val="nil"/>
              <w:bottom w:val="nil"/>
              <w:right w:val="nil"/>
            </w:tcBorders>
            <w:shd w:val="clear" w:color="auto" w:fill="auto"/>
            <w:noWrap/>
            <w:vAlign w:val="center"/>
            <w:hideMark/>
          </w:tcPr>
          <w:p w14:paraId="2F2717BD"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DPH</w:t>
            </w:r>
          </w:p>
        </w:tc>
        <w:tc>
          <w:tcPr>
            <w:tcW w:w="737" w:type="dxa"/>
            <w:tcBorders>
              <w:top w:val="nil"/>
              <w:left w:val="nil"/>
              <w:bottom w:val="nil"/>
              <w:right w:val="nil"/>
            </w:tcBorders>
            <w:shd w:val="clear" w:color="auto" w:fill="auto"/>
            <w:noWrap/>
            <w:vAlign w:val="center"/>
            <w:hideMark/>
          </w:tcPr>
          <w:p w14:paraId="09C6749F"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0</w:t>
            </w:r>
          </w:p>
        </w:tc>
        <w:tc>
          <w:tcPr>
            <w:tcW w:w="737" w:type="dxa"/>
            <w:tcBorders>
              <w:top w:val="nil"/>
              <w:left w:val="nil"/>
              <w:bottom w:val="nil"/>
              <w:right w:val="nil"/>
            </w:tcBorders>
            <w:shd w:val="clear" w:color="auto" w:fill="auto"/>
            <w:noWrap/>
            <w:vAlign w:val="center"/>
            <w:hideMark/>
          </w:tcPr>
          <w:p w14:paraId="1D74ABC4"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0</w:t>
            </w:r>
          </w:p>
        </w:tc>
        <w:tc>
          <w:tcPr>
            <w:tcW w:w="737" w:type="dxa"/>
            <w:tcBorders>
              <w:top w:val="nil"/>
              <w:left w:val="nil"/>
              <w:bottom w:val="nil"/>
              <w:right w:val="nil"/>
            </w:tcBorders>
            <w:shd w:val="clear" w:color="auto" w:fill="auto"/>
            <w:noWrap/>
            <w:vAlign w:val="center"/>
            <w:hideMark/>
          </w:tcPr>
          <w:p w14:paraId="1FEE33E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9 187</w:t>
            </w:r>
          </w:p>
        </w:tc>
        <w:tc>
          <w:tcPr>
            <w:tcW w:w="737" w:type="dxa"/>
            <w:tcBorders>
              <w:top w:val="nil"/>
              <w:left w:val="nil"/>
              <w:bottom w:val="nil"/>
              <w:right w:val="nil"/>
            </w:tcBorders>
            <w:shd w:val="clear" w:color="auto" w:fill="auto"/>
            <w:noWrap/>
            <w:vAlign w:val="center"/>
            <w:hideMark/>
          </w:tcPr>
          <w:p w14:paraId="104AEE02"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15 930</w:t>
            </w:r>
          </w:p>
        </w:tc>
        <w:tc>
          <w:tcPr>
            <w:tcW w:w="737" w:type="dxa"/>
            <w:tcBorders>
              <w:top w:val="nil"/>
              <w:left w:val="nil"/>
              <w:bottom w:val="nil"/>
              <w:right w:val="nil"/>
            </w:tcBorders>
            <w:shd w:val="clear" w:color="auto" w:fill="auto"/>
            <w:noWrap/>
            <w:vAlign w:val="center"/>
            <w:hideMark/>
          </w:tcPr>
          <w:p w14:paraId="25996D36"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18 153</w:t>
            </w:r>
          </w:p>
        </w:tc>
        <w:tc>
          <w:tcPr>
            <w:tcW w:w="737" w:type="dxa"/>
            <w:tcBorders>
              <w:top w:val="nil"/>
              <w:left w:val="nil"/>
              <w:bottom w:val="nil"/>
              <w:right w:val="nil"/>
            </w:tcBorders>
            <w:shd w:val="clear" w:color="auto" w:fill="auto"/>
            <w:noWrap/>
            <w:vAlign w:val="center"/>
            <w:hideMark/>
          </w:tcPr>
          <w:p w14:paraId="09FF8A16"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18 814</w:t>
            </w:r>
          </w:p>
        </w:tc>
      </w:tr>
      <w:tr w:rsidR="00BD3539" w:rsidRPr="00BD3539" w14:paraId="21F83E2A" w14:textId="77777777" w:rsidTr="006E5A9E">
        <w:trPr>
          <w:trHeight w:val="264"/>
        </w:trPr>
        <w:tc>
          <w:tcPr>
            <w:tcW w:w="3827" w:type="dxa"/>
            <w:tcBorders>
              <w:top w:val="nil"/>
              <w:left w:val="nil"/>
              <w:bottom w:val="nil"/>
              <w:right w:val="nil"/>
            </w:tcBorders>
            <w:shd w:val="clear" w:color="auto" w:fill="auto"/>
            <w:noWrap/>
            <w:vAlign w:val="center"/>
            <w:hideMark/>
          </w:tcPr>
          <w:p w14:paraId="479B9249"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Daň zo zemného plynu - fakultatívne oslobodenia</w:t>
            </w:r>
          </w:p>
        </w:tc>
        <w:tc>
          <w:tcPr>
            <w:tcW w:w="907" w:type="dxa"/>
            <w:tcBorders>
              <w:top w:val="nil"/>
              <w:left w:val="nil"/>
              <w:bottom w:val="nil"/>
              <w:right w:val="nil"/>
            </w:tcBorders>
            <w:shd w:val="clear" w:color="auto" w:fill="auto"/>
            <w:noWrap/>
            <w:vAlign w:val="center"/>
            <w:hideMark/>
          </w:tcPr>
          <w:p w14:paraId="3647C6DF"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SD</w:t>
            </w:r>
          </w:p>
        </w:tc>
        <w:tc>
          <w:tcPr>
            <w:tcW w:w="737" w:type="dxa"/>
            <w:tcBorders>
              <w:top w:val="nil"/>
              <w:left w:val="nil"/>
              <w:bottom w:val="nil"/>
              <w:right w:val="nil"/>
            </w:tcBorders>
            <w:shd w:val="clear" w:color="auto" w:fill="auto"/>
            <w:noWrap/>
            <w:vAlign w:val="center"/>
            <w:hideMark/>
          </w:tcPr>
          <w:p w14:paraId="7AA5365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29 912</w:t>
            </w:r>
          </w:p>
        </w:tc>
        <w:tc>
          <w:tcPr>
            <w:tcW w:w="737" w:type="dxa"/>
            <w:tcBorders>
              <w:top w:val="nil"/>
              <w:left w:val="nil"/>
              <w:bottom w:val="nil"/>
              <w:right w:val="nil"/>
            </w:tcBorders>
            <w:shd w:val="clear" w:color="auto" w:fill="auto"/>
            <w:noWrap/>
            <w:vAlign w:val="center"/>
            <w:hideMark/>
          </w:tcPr>
          <w:p w14:paraId="2F23C0CA"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27 241</w:t>
            </w:r>
          </w:p>
        </w:tc>
        <w:tc>
          <w:tcPr>
            <w:tcW w:w="737" w:type="dxa"/>
            <w:tcBorders>
              <w:top w:val="nil"/>
              <w:left w:val="nil"/>
              <w:bottom w:val="nil"/>
              <w:right w:val="nil"/>
            </w:tcBorders>
            <w:shd w:val="clear" w:color="auto" w:fill="auto"/>
            <w:noWrap/>
            <w:vAlign w:val="center"/>
            <w:hideMark/>
          </w:tcPr>
          <w:p w14:paraId="09A7DCFA"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23 948</w:t>
            </w:r>
          </w:p>
        </w:tc>
        <w:tc>
          <w:tcPr>
            <w:tcW w:w="737" w:type="dxa"/>
            <w:tcBorders>
              <w:top w:val="nil"/>
              <w:left w:val="nil"/>
              <w:bottom w:val="nil"/>
              <w:right w:val="nil"/>
            </w:tcBorders>
            <w:shd w:val="clear" w:color="auto" w:fill="auto"/>
            <w:noWrap/>
            <w:vAlign w:val="center"/>
            <w:hideMark/>
          </w:tcPr>
          <w:p w14:paraId="07D52343"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24 732</w:t>
            </w:r>
          </w:p>
        </w:tc>
        <w:tc>
          <w:tcPr>
            <w:tcW w:w="737" w:type="dxa"/>
            <w:tcBorders>
              <w:top w:val="nil"/>
              <w:left w:val="nil"/>
              <w:bottom w:val="nil"/>
              <w:right w:val="nil"/>
            </w:tcBorders>
            <w:shd w:val="clear" w:color="auto" w:fill="auto"/>
            <w:noWrap/>
            <w:vAlign w:val="center"/>
            <w:hideMark/>
          </w:tcPr>
          <w:p w14:paraId="16B67CE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25 132</w:t>
            </w:r>
          </w:p>
        </w:tc>
        <w:tc>
          <w:tcPr>
            <w:tcW w:w="737" w:type="dxa"/>
            <w:tcBorders>
              <w:top w:val="nil"/>
              <w:left w:val="nil"/>
              <w:bottom w:val="nil"/>
              <w:right w:val="nil"/>
            </w:tcBorders>
            <w:shd w:val="clear" w:color="auto" w:fill="auto"/>
            <w:noWrap/>
            <w:vAlign w:val="center"/>
            <w:hideMark/>
          </w:tcPr>
          <w:p w14:paraId="71E2B9A1"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25 380</w:t>
            </w:r>
          </w:p>
        </w:tc>
      </w:tr>
      <w:tr w:rsidR="00BD3539" w:rsidRPr="00BD3539" w14:paraId="78C69F86" w14:textId="77777777" w:rsidTr="006E5A9E">
        <w:trPr>
          <w:trHeight w:val="264"/>
        </w:trPr>
        <w:tc>
          <w:tcPr>
            <w:tcW w:w="3827" w:type="dxa"/>
            <w:tcBorders>
              <w:top w:val="nil"/>
              <w:left w:val="nil"/>
              <w:bottom w:val="nil"/>
              <w:right w:val="nil"/>
            </w:tcBorders>
            <w:shd w:val="clear" w:color="auto" w:fill="auto"/>
            <w:noWrap/>
            <w:vAlign w:val="center"/>
            <w:hideMark/>
          </w:tcPr>
          <w:p w14:paraId="4B75A1A8"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Dočasná nulová sadzba na respirátory - COVID 19</w:t>
            </w:r>
          </w:p>
        </w:tc>
        <w:tc>
          <w:tcPr>
            <w:tcW w:w="907" w:type="dxa"/>
            <w:tcBorders>
              <w:top w:val="nil"/>
              <w:left w:val="nil"/>
              <w:bottom w:val="nil"/>
              <w:right w:val="nil"/>
            </w:tcBorders>
            <w:shd w:val="clear" w:color="auto" w:fill="auto"/>
            <w:noWrap/>
            <w:vAlign w:val="center"/>
            <w:hideMark/>
          </w:tcPr>
          <w:p w14:paraId="7AC7800C"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DPH</w:t>
            </w:r>
          </w:p>
        </w:tc>
        <w:tc>
          <w:tcPr>
            <w:tcW w:w="737" w:type="dxa"/>
            <w:tcBorders>
              <w:top w:val="nil"/>
              <w:left w:val="nil"/>
              <w:bottom w:val="nil"/>
              <w:right w:val="nil"/>
            </w:tcBorders>
            <w:shd w:val="clear" w:color="auto" w:fill="auto"/>
            <w:noWrap/>
            <w:vAlign w:val="center"/>
            <w:hideMark/>
          </w:tcPr>
          <w:p w14:paraId="52883A47"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10 276</w:t>
            </w:r>
          </w:p>
        </w:tc>
        <w:tc>
          <w:tcPr>
            <w:tcW w:w="737" w:type="dxa"/>
            <w:tcBorders>
              <w:top w:val="nil"/>
              <w:left w:val="nil"/>
              <w:bottom w:val="nil"/>
              <w:right w:val="nil"/>
            </w:tcBorders>
            <w:shd w:val="clear" w:color="auto" w:fill="auto"/>
            <w:noWrap/>
            <w:vAlign w:val="center"/>
            <w:hideMark/>
          </w:tcPr>
          <w:p w14:paraId="4F30A19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17B4EC7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12E132D5"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6467CA6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7CCDA883"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r>
      <w:tr w:rsidR="00BD3539" w:rsidRPr="00BD3539" w14:paraId="082DAA9E" w14:textId="77777777" w:rsidTr="006E5A9E">
        <w:trPr>
          <w:trHeight w:val="264"/>
        </w:trPr>
        <w:tc>
          <w:tcPr>
            <w:tcW w:w="3827" w:type="dxa"/>
            <w:tcBorders>
              <w:top w:val="nil"/>
              <w:left w:val="nil"/>
              <w:bottom w:val="nil"/>
              <w:right w:val="nil"/>
            </w:tcBorders>
            <w:shd w:val="clear" w:color="auto" w:fill="auto"/>
            <w:noWrap/>
            <w:vAlign w:val="center"/>
            <w:hideMark/>
          </w:tcPr>
          <w:p w14:paraId="76E2D448"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Charita, dary a príspevky</w:t>
            </w:r>
          </w:p>
        </w:tc>
        <w:tc>
          <w:tcPr>
            <w:tcW w:w="907" w:type="dxa"/>
            <w:tcBorders>
              <w:top w:val="nil"/>
              <w:left w:val="nil"/>
              <w:bottom w:val="nil"/>
              <w:right w:val="nil"/>
            </w:tcBorders>
            <w:shd w:val="clear" w:color="auto" w:fill="auto"/>
            <w:noWrap/>
            <w:vAlign w:val="center"/>
            <w:hideMark/>
          </w:tcPr>
          <w:p w14:paraId="76F6D10E"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p>
        </w:tc>
        <w:tc>
          <w:tcPr>
            <w:tcW w:w="737" w:type="dxa"/>
            <w:tcBorders>
              <w:top w:val="nil"/>
              <w:left w:val="nil"/>
              <w:bottom w:val="nil"/>
              <w:right w:val="nil"/>
            </w:tcBorders>
            <w:shd w:val="clear" w:color="auto" w:fill="auto"/>
            <w:noWrap/>
            <w:vAlign w:val="center"/>
            <w:hideMark/>
          </w:tcPr>
          <w:p w14:paraId="75BEEC83"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87 191</w:t>
            </w:r>
          </w:p>
        </w:tc>
        <w:tc>
          <w:tcPr>
            <w:tcW w:w="737" w:type="dxa"/>
            <w:tcBorders>
              <w:top w:val="nil"/>
              <w:left w:val="nil"/>
              <w:bottom w:val="nil"/>
              <w:right w:val="nil"/>
            </w:tcBorders>
            <w:shd w:val="clear" w:color="auto" w:fill="auto"/>
            <w:noWrap/>
            <w:vAlign w:val="center"/>
            <w:hideMark/>
          </w:tcPr>
          <w:p w14:paraId="3884431E"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87 993</w:t>
            </w:r>
          </w:p>
        </w:tc>
        <w:tc>
          <w:tcPr>
            <w:tcW w:w="737" w:type="dxa"/>
            <w:tcBorders>
              <w:top w:val="nil"/>
              <w:left w:val="nil"/>
              <w:bottom w:val="nil"/>
              <w:right w:val="nil"/>
            </w:tcBorders>
            <w:shd w:val="clear" w:color="auto" w:fill="auto"/>
            <w:noWrap/>
            <w:vAlign w:val="center"/>
            <w:hideMark/>
          </w:tcPr>
          <w:p w14:paraId="450FB488"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93 681</w:t>
            </w:r>
          </w:p>
        </w:tc>
        <w:tc>
          <w:tcPr>
            <w:tcW w:w="737" w:type="dxa"/>
            <w:tcBorders>
              <w:top w:val="nil"/>
              <w:left w:val="nil"/>
              <w:bottom w:val="nil"/>
              <w:right w:val="nil"/>
            </w:tcBorders>
            <w:shd w:val="clear" w:color="auto" w:fill="auto"/>
            <w:noWrap/>
            <w:vAlign w:val="center"/>
            <w:hideMark/>
          </w:tcPr>
          <w:p w14:paraId="068DAF0F"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101 816</w:t>
            </w:r>
          </w:p>
        </w:tc>
        <w:tc>
          <w:tcPr>
            <w:tcW w:w="737" w:type="dxa"/>
            <w:tcBorders>
              <w:top w:val="nil"/>
              <w:left w:val="nil"/>
              <w:bottom w:val="nil"/>
              <w:right w:val="nil"/>
            </w:tcBorders>
            <w:shd w:val="clear" w:color="auto" w:fill="auto"/>
            <w:noWrap/>
            <w:vAlign w:val="center"/>
            <w:hideMark/>
          </w:tcPr>
          <w:p w14:paraId="04818A46"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106 230</w:t>
            </w:r>
          </w:p>
        </w:tc>
        <w:tc>
          <w:tcPr>
            <w:tcW w:w="737" w:type="dxa"/>
            <w:tcBorders>
              <w:top w:val="nil"/>
              <w:left w:val="nil"/>
              <w:bottom w:val="nil"/>
              <w:right w:val="nil"/>
            </w:tcBorders>
            <w:shd w:val="clear" w:color="auto" w:fill="auto"/>
            <w:noWrap/>
            <w:vAlign w:val="center"/>
            <w:hideMark/>
          </w:tcPr>
          <w:p w14:paraId="78A25F44"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116 500</w:t>
            </w:r>
          </w:p>
        </w:tc>
      </w:tr>
      <w:tr w:rsidR="00BD3539" w:rsidRPr="00BD3539" w14:paraId="5A1EC7CD" w14:textId="77777777" w:rsidTr="006E5A9E">
        <w:trPr>
          <w:trHeight w:val="264"/>
        </w:trPr>
        <w:tc>
          <w:tcPr>
            <w:tcW w:w="3827" w:type="dxa"/>
            <w:tcBorders>
              <w:top w:val="nil"/>
              <w:left w:val="nil"/>
              <w:bottom w:val="nil"/>
              <w:right w:val="nil"/>
            </w:tcBorders>
            <w:shd w:val="clear" w:color="auto" w:fill="auto"/>
            <w:vAlign w:val="center"/>
            <w:hideMark/>
          </w:tcPr>
          <w:p w14:paraId="5AF72D10"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Asignácia dane - použitie podielu zaplatenej dane</w:t>
            </w:r>
          </w:p>
        </w:tc>
        <w:tc>
          <w:tcPr>
            <w:tcW w:w="907" w:type="dxa"/>
            <w:tcBorders>
              <w:top w:val="nil"/>
              <w:left w:val="nil"/>
              <w:bottom w:val="nil"/>
              <w:right w:val="nil"/>
            </w:tcBorders>
            <w:shd w:val="clear" w:color="auto" w:fill="auto"/>
            <w:noWrap/>
            <w:vAlign w:val="center"/>
            <w:hideMark/>
          </w:tcPr>
          <w:p w14:paraId="5788AB75"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DPFO, DPPO</w:t>
            </w:r>
          </w:p>
        </w:tc>
        <w:tc>
          <w:tcPr>
            <w:tcW w:w="737" w:type="dxa"/>
            <w:tcBorders>
              <w:top w:val="nil"/>
              <w:left w:val="nil"/>
              <w:bottom w:val="nil"/>
              <w:right w:val="nil"/>
            </w:tcBorders>
            <w:shd w:val="clear" w:color="auto" w:fill="auto"/>
            <w:noWrap/>
            <w:vAlign w:val="center"/>
            <w:hideMark/>
          </w:tcPr>
          <w:p w14:paraId="31268FE1"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87 191</w:t>
            </w:r>
          </w:p>
        </w:tc>
        <w:tc>
          <w:tcPr>
            <w:tcW w:w="737" w:type="dxa"/>
            <w:tcBorders>
              <w:top w:val="nil"/>
              <w:left w:val="nil"/>
              <w:bottom w:val="nil"/>
              <w:right w:val="nil"/>
            </w:tcBorders>
            <w:shd w:val="clear" w:color="auto" w:fill="auto"/>
            <w:noWrap/>
            <w:vAlign w:val="center"/>
            <w:hideMark/>
          </w:tcPr>
          <w:p w14:paraId="2F6A858D"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87 993</w:t>
            </w:r>
          </w:p>
        </w:tc>
        <w:tc>
          <w:tcPr>
            <w:tcW w:w="737" w:type="dxa"/>
            <w:tcBorders>
              <w:top w:val="nil"/>
              <w:left w:val="nil"/>
              <w:bottom w:val="nil"/>
              <w:right w:val="nil"/>
            </w:tcBorders>
            <w:shd w:val="clear" w:color="auto" w:fill="auto"/>
            <w:noWrap/>
            <w:vAlign w:val="center"/>
            <w:hideMark/>
          </w:tcPr>
          <w:p w14:paraId="249251C2"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93 681</w:t>
            </w:r>
          </w:p>
        </w:tc>
        <w:tc>
          <w:tcPr>
            <w:tcW w:w="737" w:type="dxa"/>
            <w:tcBorders>
              <w:top w:val="nil"/>
              <w:left w:val="nil"/>
              <w:bottom w:val="nil"/>
              <w:right w:val="nil"/>
            </w:tcBorders>
            <w:shd w:val="clear" w:color="auto" w:fill="auto"/>
            <w:noWrap/>
            <w:vAlign w:val="center"/>
            <w:hideMark/>
          </w:tcPr>
          <w:p w14:paraId="1C5749A8"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101 816</w:t>
            </w:r>
          </w:p>
        </w:tc>
        <w:tc>
          <w:tcPr>
            <w:tcW w:w="737" w:type="dxa"/>
            <w:tcBorders>
              <w:top w:val="nil"/>
              <w:left w:val="nil"/>
              <w:bottom w:val="nil"/>
              <w:right w:val="nil"/>
            </w:tcBorders>
            <w:shd w:val="clear" w:color="auto" w:fill="auto"/>
            <w:noWrap/>
            <w:vAlign w:val="center"/>
            <w:hideMark/>
          </w:tcPr>
          <w:p w14:paraId="5BB18520"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106 230</w:t>
            </w:r>
          </w:p>
        </w:tc>
        <w:tc>
          <w:tcPr>
            <w:tcW w:w="737" w:type="dxa"/>
            <w:tcBorders>
              <w:top w:val="nil"/>
              <w:left w:val="nil"/>
              <w:bottom w:val="nil"/>
              <w:right w:val="nil"/>
            </w:tcBorders>
            <w:shd w:val="clear" w:color="auto" w:fill="auto"/>
            <w:noWrap/>
            <w:vAlign w:val="center"/>
            <w:hideMark/>
          </w:tcPr>
          <w:p w14:paraId="444D0753"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116 500</w:t>
            </w:r>
          </w:p>
        </w:tc>
      </w:tr>
      <w:tr w:rsidR="00BD3539" w:rsidRPr="00BD3539" w14:paraId="3ED27B32" w14:textId="77777777" w:rsidTr="006E5A9E">
        <w:trPr>
          <w:trHeight w:val="264"/>
        </w:trPr>
        <w:tc>
          <w:tcPr>
            <w:tcW w:w="3827" w:type="dxa"/>
            <w:tcBorders>
              <w:top w:val="nil"/>
              <w:left w:val="nil"/>
              <w:bottom w:val="nil"/>
              <w:right w:val="nil"/>
            </w:tcBorders>
            <w:shd w:val="clear" w:color="auto" w:fill="auto"/>
            <w:noWrap/>
            <w:vAlign w:val="center"/>
            <w:hideMark/>
          </w:tcPr>
          <w:p w14:paraId="69E3FCB4"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Podpora rodiny</w:t>
            </w:r>
          </w:p>
        </w:tc>
        <w:tc>
          <w:tcPr>
            <w:tcW w:w="907" w:type="dxa"/>
            <w:tcBorders>
              <w:top w:val="nil"/>
              <w:left w:val="nil"/>
              <w:bottom w:val="nil"/>
              <w:right w:val="nil"/>
            </w:tcBorders>
            <w:shd w:val="clear" w:color="auto" w:fill="auto"/>
            <w:noWrap/>
            <w:vAlign w:val="center"/>
            <w:hideMark/>
          </w:tcPr>
          <w:p w14:paraId="6A62818B"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p>
        </w:tc>
        <w:tc>
          <w:tcPr>
            <w:tcW w:w="737" w:type="dxa"/>
            <w:tcBorders>
              <w:top w:val="nil"/>
              <w:left w:val="nil"/>
              <w:bottom w:val="nil"/>
              <w:right w:val="nil"/>
            </w:tcBorders>
            <w:shd w:val="clear" w:color="auto" w:fill="auto"/>
            <w:noWrap/>
            <w:vAlign w:val="center"/>
            <w:hideMark/>
          </w:tcPr>
          <w:p w14:paraId="6010B0DF"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445 558</w:t>
            </w:r>
          </w:p>
        </w:tc>
        <w:tc>
          <w:tcPr>
            <w:tcW w:w="737" w:type="dxa"/>
            <w:tcBorders>
              <w:top w:val="nil"/>
              <w:left w:val="nil"/>
              <w:bottom w:val="nil"/>
              <w:right w:val="nil"/>
            </w:tcBorders>
            <w:shd w:val="clear" w:color="auto" w:fill="auto"/>
            <w:noWrap/>
            <w:vAlign w:val="center"/>
            <w:hideMark/>
          </w:tcPr>
          <w:p w14:paraId="7B5E531E"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535 346</w:t>
            </w:r>
          </w:p>
        </w:tc>
        <w:tc>
          <w:tcPr>
            <w:tcW w:w="737" w:type="dxa"/>
            <w:tcBorders>
              <w:top w:val="nil"/>
              <w:left w:val="nil"/>
              <w:bottom w:val="nil"/>
              <w:right w:val="nil"/>
            </w:tcBorders>
            <w:shd w:val="clear" w:color="auto" w:fill="auto"/>
            <w:noWrap/>
            <w:vAlign w:val="center"/>
            <w:hideMark/>
          </w:tcPr>
          <w:p w14:paraId="6CA7AC9E"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1 183 202</w:t>
            </w:r>
          </w:p>
        </w:tc>
        <w:tc>
          <w:tcPr>
            <w:tcW w:w="737" w:type="dxa"/>
            <w:tcBorders>
              <w:top w:val="nil"/>
              <w:left w:val="nil"/>
              <w:bottom w:val="nil"/>
              <w:right w:val="nil"/>
            </w:tcBorders>
            <w:shd w:val="clear" w:color="auto" w:fill="auto"/>
            <w:noWrap/>
            <w:vAlign w:val="center"/>
            <w:hideMark/>
          </w:tcPr>
          <w:p w14:paraId="77961A03"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1 200 342</w:t>
            </w:r>
          </w:p>
        </w:tc>
        <w:tc>
          <w:tcPr>
            <w:tcW w:w="737" w:type="dxa"/>
            <w:tcBorders>
              <w:top w:val="nil"/>
              <w:left w:val="nil"/>
              <w:bottom w:val="nil"/>
              <w:right w:val="nil"/>
            </w:tcBorders>
            <w:shd w:val="clear" w:color="auto" w:fill="auto"/>
            <w:noWrap/>
            <w:vAlign w:val="center"/>
            <w:hideMark/>
          </w:tcPr>
          <w:p w14:paraId="5470E597"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885 707</w:t>
            </w:r>
          </w:p>
        </w:tc>
        <w:tc>
          <w:tcPr>
            <w:tcW w:w="737" w:type="dxa"/>
            <w:tcBorders>
              <w:top w:val="nil"/>
              <w:left w:val="nil"/>
              <w:bottom w:val="nil"/>
              <w:right w:val="nil"/>
            </w:tcBorders>
            <w:shd w:val="clear" w:color="auto" w:fill="auto"/>
            <w:noWrap/>
            <w:vAlign w:val="center"/>
            <w:hideMark/>
          </w:tcPr>
          <w:p w14:paraId="0A24BF7B"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889 851</w:t>
            </w:r>
          </w:p>
        </w:tc>
      </w:tr>
      <w:tr w:rsidR="00BD3539" w:rsidRPr="00BD3539" w14:paraId="1CDF6486" w14:textId="77777777" w:rsidTr="006E5A9E">
        <w:trPr>
          <w:trHeight w:val="264"/>
        </w:trPr>
        <w:tc>
          <w:tcPr>
            <w:tcW w:w="3827" w:type="dxa"/>
            <w:tcBorders>
              <w:top w:val="nil"/>
              <w:left w:val="nil"/>
              <w:bottom w:val="nil"/>
              <w:right w:val="nil"/>
            </w:tcBorders>
            <w:shd w:val="clear" w:color="auto" w:fill="auto"/>
            <w:vAlign w:val="center"/>
            <w:hideMark/>
          </w:tcPr>
          <w:p w14:paraId="2BCCF8C5"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 xml:space="preserve">Uplatňovanie nezdaniteľnej časti základu dane na manžela(ku) </w:t>
            </w:r>
          </w:p>
        </w:tc>
        <w:tc>
          <w:tcPr>
            <w:tcW w:w="907" w:type="dxa"/>
            <w:tcBorders>
              <w:top w:val="nil"/>
              <w:left w:val="nil"/>
              <w:bottom w:val="nil"/>
              <w:right w:val="nil"/>
            </w:tcBorders>
            <w:shd w:val="clear" w:color="auto" w:fill="auto"/>
            <w:noWrap/>
            <w:vAlign w:val="center"/>
            <w:hideMark/>
          </w:tcPr>
          <w:p w14:paraId="71705B9B"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DPFO</w:t>
            </w:r>
          </w:p>
        </w:tc>
        <w:tc>
          <w:tcPr>
            <w:tcW w:w="737" w:type="dxa"/>
            <w:tcBorders>
              <w:top w:val="nil"/>
              <w:left w:val="nil"/>
              <w:bottom w:val="nil"/>
              <w:right w:val="nil"/>
            </w:tcBorders>
            <w:shd w:val="clear" w:color="auto" w:fill="auto"/>
            <w:noWrap/>
            <w:vAlign w:val="center"/>
            <w:hideMark/>
          </w:tcPr>
          <w:p w14:paraId="7E77326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35 837</w:t>
            </w:r>
          </w:p>
        </w:tc>
        <w:tc>
          <w:tcPr>
            <w:tcW w:w="737" w:type="dxa"/>
            <w:tcBorders>
              <w:top w:val="nil"/>
              <w:left w:val="nil"/>
              <w:bottom w:val="nil"/>
              <w:right w:val="nil"/>
            </w:tcBorders>
            <w:shd w:val="clear" w:color="auto" w:fill="auto"/>
            <w:noWrap/>
            <w:vAlign w:val="center"/>
            <w:hideMark/>
          </w:tcPr>
          <w:p w14:paraId="3DD6A02B"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32 384</w:t>
            </w:r>
          </w:p>
        </w:tc>
        <w:tc>
          <w:tcPr>
            <w:tcW w:w="737" w:type="dxa"/>
            <w:tcBorders>
              <w:top w:val="nil"/>
              <w:left w:val="nil"/>
              <w:bottom w:val="nil"/>
              <w:right w:val="nil"/>
            </w:tcBorders>
            <w:shd w:val="clear" w:color="auto" w:fill="auto"/>
            <w:noWrap/>
            <w:vAlign w:val="center"/>
            <w:hideMark/>
          </w:tcPr>
          <w:p w14:paraId="6DCB7559"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34 021</w:t>
            </w:r>
          </w:p>
        </w:tc>
        <w:tc>
          <w:tcPr>
            <w:tcW w:w="737" w:type="dxa"/>
            <w:tcBorders>
              <w:top w:val="nil"/>
              <w:left w:val="nil"/>
              <w:bottom w:val="nil"/>
              <w:right w:val="nil"/>
            </w:tcBorders>
            <w:shd w:val="clear" w:color="auto" w:fill="auto"/>
            <w:noWrap/>
            <w:vAlign w:val="center"/>
            <w:hideMark/>
          </w:tcPr>
          <w:p w14:paraId="3161CE78"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35 087</w:t>
            </w:r>
          </w:p>
        </w:tc>
        <w:tc>
          <w:tcPr>
            <w:tcW w:w="737" w:type="dxa"/>
            <w:tcBorders>
              <w:top w:val="nil"/>
              <w:left w:val="nil"/>
              <w:bottom w:val="nil"/>
              <w:right w:val="nil"/>
            </w:tcBorders>
            <w:shd w:val="clear" w:color="auto" w:fill="auto"/>
            <w:noWrap/>
            <w:vAlign w:val="center"/>
            <w:hideMark/>
          </w:tcPr>
          <w:p w14:paraId="103AA43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35 463</w:t>
            </w:r>
          </w:p>
        </w:tc>
        <w:tc>
          <w:tcPr>
            <w:tcW w:w="737" w:type="dxa"/>
            <w:tcBorders>
              <w:top w:val="nil"/>
              <w:left w:val="nil"/>
              <w:bottom w:val="nil"/>
              <w:right w:val="nil"/>
            </w:tcBorders>
            <w:shd w:val="clear" w:color="auto" w:fill="auto"/>
            <w:noWrap/>
            <w:vAlign w:val="center"/>
            <w:hideMark/>
          </w:tcPr>
          <w:p w14:paraId="34BB9F6A"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35 563</w:t>
            </w:r>
          </w:p>
        </w:tc>
      </w:tr>
      <w:tr w:rsidR="00BD3539" w:rsidRPr="00BD3539" w14:paraId="220F68F0" w14:textId="77777777" w:rsidTr="006E5A9E">
        <w:trPr>
          <w:trHeight w:val="264"/>
        </w:trPr>
        <w:tc>
          <w:tcPr>
            <w:tcW w:w="3827" w:type="dxa"/>
            <w:tcBorders>
              <w:top w:val="nil"/>
              <w:left w:val="nil"/>
              <w:bottom w:val="nil"/>
              <w:right w:val="nil"/>
            </w:tcBorders>
            <w:shd w:val="clear" w:color="auto" w:fill="auto"/>
            <w:vAlign w:val="center"/>
            <w:hideMark/>
          </w:tcPr>
          <w:p w14:paraId="4120394E"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Daňový bonus na deti</w:t>
            </w:r>
          </w:p>
        </w:tc>
        <w:tc>
          <w:tcPr>
            <w:tcW w:w="907" w:type="dxa"/>
            <w:tcBorders>
              <w:top w:val="nil"/>
              <w:left w:val="nil"/>
              <w:bottom w:val="nil"/>
              <w:right w:val="nil"/>
            </w:tcBorders>
            <w:shd w:val="clear" w:color="auto" w:fill="auto"/>
            <w:noWrap/>
            <w:vAlign w:val="center"/>
            <w:hideMark/>
          </w:tcPr>
          <w:p w14:paraId="0C4329E6"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DPFO</w:t>
            </w:r>
          </w:p>
        </w:tc>
        <w:tc>
          <w:tcPr>
            <w:tcW w:w="737" w:type="dxa"/>
            <w:tcBorders>
              <w:top w:val="nil"/>
              <w:left w:val="nil"/>
              <w:bottom w:val="nil"/>
              <w:right w:val="nil"/>
            </w:tcBorders>
            <w:shd w:val="clear" w:color="auto" w:fill="auto"/>
            <w:noWrap/>
            <w:vAlign w:val="center"/>
            <w:hideMark/>
          </w:tcPr>
          <w:p w14:paraId="07AB17C0"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409 722</w:t>
            </w:r>
          </w:p>
        </w:tc>
        <w:tc>
          <w:tcPr>
            <w:tcW w:w="737" w:type="dxa"/>
            <w:tcBorders>
              <w:top w:val="nil"/>
              <w:left w:val="nil"/>
              <w:bottom w:val="nil"/>
              <w:right w:val="nil"/>
            </w:tcBorders>
            <w:shd w:val="clear" w:color="auto" w:fill="auto"/>
            <w:noWrap/>
            <w:vAlign w:val="center"/>
            <w:hideMark/>
          </w:tcPr>
          <w:p w14:paraId="49BAE742"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502 962</w:t>
            </w:r>
          </w:p>
        </w:tc>
        <w:tc>
          <w:tcPr>
            <w:tcW w:w="737" w:type="dxa"/>
            <w:tcBorders>
              <w:top w:val="nil"/>
              <w:left w:val="nil"/>
              <w:bottom w:val="nil"/>
              <w:right w:val="nil"/>
            </w:tcBorders>
            <w:shd w:val="clear" w:color="auto" w:fill="auto"/>
            <w:noWrap/>
            <w:vAlign w:val="center"/>
            <w:hideMark/>
          </w:tcPr>
          <w:p w14:paraId="2246A5E5"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1 149 181</w:t>
            </w:r>
          </w:p>
        </w:tc>
        <w:tc>
          <w:tcPr>
            <w:tcW w:w="737" w:type="dxa"/>
            <w:tcBorders>
              <w:top w:val="nil"/>
              <w:left w:val="nil"/>
              <w:bottom w:val="nil"/>
              <w:right w:val="nil"/>
            </w:tcBorders>
            <w:shd w:val="clear" w:color="auto" w:fill="auto"/>
            <w:noWrap/>
            <w:vAlign w:val="center"/>
            <w:hideMark/>
          </w:tcPr>
          <w:p w14:paraId="0B5710A5"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1 165 255</w:t>
            </w:r>
          </w:p>
        </w:tc>
        <w:tc>
          <w:tcPr>
            <w:tcW w:w="737" w:type="dxa"/>
            <w:tcBorders>
              <w:top w:val="nil"/>
              <w:left w:val="nil"/>
              <w:bottom w:val="nil"/>
              <w:right w:val="nil"/>
            </w:tcBorders>
            <w:shd w:val="clear" w:color="auto" w:fill="auto"/>
            <w:noWrap/>
            <w:vAlign w:val="center"/>
            <w:hideMark/>
          </w:tcPr>
          <w:p w14:paraId="2626443D"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850 244</w:t>
            </w:r>
          </w:p>
        </w:tc>
        <w:tc>
          <w:tcPr>
            <w:tcW w:w="737" w:type="dxa"/>
            <w:tcBorders>
              <w:top w:val="nil"/>
              <w:left w:val="nil"/>
              <w:bottom w:val="nil"/>
              <w:right w:val="nil"/>
            </w:tcBorders>
            <w:shd w:val="clear" w:color="auto" w:fill="auto"/>
            <w:noWrap/>
            <w:vAlign w:val="center"/>
            <w:hideMark/>
          </w:tcPr>
          <w:p w14:paraId="251497C7"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854 287</w:t>
            </w:r>
          </w:p>
        </w:tc>
      </w:tr>
      <w:tr w:rsidR="00BD3539" w:rsidRPr="00BD3539" w14:paraId="1748DF99" w14:textId="77777777" w:rsidTr="006E5A9E">
        <w:trPr>
          <w:trHeight w:val="264"/>
        </w:trPr>
        <w:tc>
          <w:tcPr>
            <w:tcW w:w="3827" w:type="dxa"/>
            <w:tcBorders>
              <w:top w:val="nil"/>
              <w:left w:val="nil"/>
              <w:bottom w:val="nil"/>
              <w:right w:val="nil"/>
            </w:tcBorders>
            <w:shd w:val="clear" w:color="auto" w:fill="auto"/>
            <w:noWrap/>
            <w:vAlign w:val="center"/>
            <w:hideMark/>
          </w:tcPr>
          <w:p w14:paraId="44398924"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Úľavy na DPPO a DPFO podnikanie</w:t>
            </w:r>
          </w:p>
        </w:tc>
        <w:tc>
          <w:tcPr>
            <w:tcW w:w="907" w:type="dxa"/>
            <w:tcBorders>
              <w:top w:val="nil"/>
              <w:left w:val="nil"/>
              <w:bottom w:val="nil"/>
              <w:right w:val="nil"/>
            </w:tcBorders>
            <w:shd w:val="clear" w:color="auto" w:fill="auto"/>
            <w:noWrap/>
            <w:vAlign w:val="center"/>
            <w:hideMark/>
          </w:tcPr>
          <w:p w14:paraId="6E4F0EA1"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p>
        </w:tc>
        <w:tc>
          <w:tcPr>
            <w:tcW w:w="737" w:type="dxa"/>
            <w:tcBorders>
              <w:top w:val="nil"/>
              <w:left w:val="nil"/>
              <w:bottom w:val="nil"/>
              <w:right w:val="nil"/>
            </w:tcBorders>
            <w:shd w:val="clear" w:color="auto" w:fill="auto"/>
            <w:noWrap/>
            <w:vAlign w:val="center"/>
            <w:hideMark/>
          </w:tcPr>
          <w:p w14:paraId="69F12D8C"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196 423</w:t>
            </w:r>
          </w:p>
        </w:tc>
        <w:tc>
          <w:tcPr>
            <w:tcW w:w="737" w:type="dxa"/>
            <w:tcBorders>
              <w:top w:val="nil"/>
              <w:left w:val="nil"/>
              <w:bottom w:val="nil"/>
              <w:right w:val="nil"/>
            </w:tcBorders>
            <w:shd w:val="clear" w:color="auto" w:fill="auto"/>
            <w:noWrap/>
            <w:vAlign w:val="center"/>
            <w:hideMark/>
          </w:tcPr>
          <w:p w14:paraId="646D45D3"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199 280</w:t>
            </w:r>
          </w:p>
        </w:tc>
        <w:tc>
          <w:tcPr>
            <w:tcW w:w="737" w:type="dxa"/>
            <w:tcBorders>
              <w:top w:val="nil"/>
              <w:left w:val="nil"/>
              <w:bottom w:val="nil"/>
              <w:right w:val="nil"/>
            </w:tcBorders>
            <w:shd w:val="clear" w:color="auto" w:fill="auto"/>
            <w:noWrap/>
            <w:vAlign w:val="center"/>
            <w:hideMark/>
          </w:tcPr>
          <w:p w14:paraId="4F1C940E"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200 273</w:t>
            </w:r>
          </w:p>
        </w:tc>
        <w:tc>
          <w:tcPr>
            <w:tcW w:w="737" w:type="dxa"/>
            <w:tcBorders>
              <w:top w:val="nil"/>
              <w:left w:val="nil"/>
              <w:bottom w:val="nil"/>
              <w:right w:val="nil"/>
            </w:tcBorders>
            <w:shd w:val="clear" w:color="auto" w:fill="auto"/>
            <w:noWrap/>
            <w:vAlign w:val="center"/>
            <w:hideMark/>
          </w:tcPr>
          <w:p w14:paraId="1668C637"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89 178</w:t>
            </w:r>
          </w:p>
        </w:tc>
        <w:tc>
          <w:tcPr>
            <w:tcW w:w="737" w:type="dxa"/>
            <w:tcBorders>
              <w:top w:val="nil"/>
              <w:left w:val="nil"/>
              <w:bottom w:val="nil"/>
              <w:right w:val="nil"/>
            </w:tcBorders>
            <w:shd w:val="clear" w:color="auto" w:fill="auto"/>
            <w:noWrap/>
            <w:vAlign w:val="center"/>
            <w:hideMark/>
          </w:tcPr>
          <w:p w14:paraId="4C88D963"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90 441</w:t>
            </w:r>
          </w:p>
        </w:tc>
        <w:tc>
          <w:tcPr>
            <w:tcW w:w="737" w:type="dxa"/>
            <w:tcBorders>
              <w:top w:val="nil"/>
              <w:left w:val="nil"/>
              <w:bottom w:val="nil"/>
              <w:right w:val="nil"/>
            </w:tcBorders>
            <w:shd w:val="clear" w:color="auto" w:fill="auto"/>
            <w:noWrap/>
            <w:vAlign w:val="center"/>
            <w:hideMark/>
          </w:tcPr>
          <w:p w14:paraId="390887A7"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85 096</w:t>
            </w:r>
          </w:p>
        </w:tc>
      </w:tr>
      <w:tr w:rsidR="00BD3539" w:rsidRPr="00BD3539" w14:paraId="45208390" w14:textId="77777777" w:rsidTr="006E5A9E">
        <w:trPr>
          <w:trHeight w:val="264"/>
        </w:trPr>
        <w:tc>
          <w:tcPr>
            <w:tcW w:w="3827" w:type="dxa"/>
            <w:tcBorders>
              <w:top w:val="nil"/>
              <w:left w:val="nil"/>
              <w:bottom w:val="nil"/>
              <w:right w:val="nil"/>
            </w:tcBorders>
            <w:shd w:val="clear" w:color="auto" w:fill="auto"/>
            <w:noWrap/>
            <w:vAlign w:val="center"/>
            <w:hideMark/>
          </w:tcPr>
          <w:p w14:paraId="61B6A076"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Minimálna daň</w:t>
            </w:r>
          </w:p>
        </w:tc>
        <w:tc>
          <w:tcPr>
            <w:tcW w:w="907" w:type="dxa"/>
            <w:tcBorders>
              <w:top w:val="nil"/>
              <w:left w:val="nil"/>
              <w:bottom w:val="nil"/>
              <w:right w:val="nil"/>
            </w:tcBorders>
            <w:shd w:val="clear" w:color="auto" w:fill="auto"/>
            <w:noWrap/>
            <w:vAlign w:val="center"/>
            <w:hideMark/>
          </w:tcPr>
          <w:p w14:paraId="3636AB54"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DPPO</w:t>
            </w:r>
          </w:p>
        </w:tc>
        <w:tc>
          <w:tcPr>
            <w:tcW w:w="737" w:type="dxa"/>
            <w:tcBorders>
              <w:top w:val="nil"/>
              <w:left w:val="nil"/>
              <w:bottom w:val="nil"/>
              <w:right w:val="nil"/>
            </w:tcBorders>
            <w:shd w:val="clear" w:color="auto" w:fill="auto"/>
            <w:noWrap/>
            <w:vAlign w:val="center"/>
            <w:hideMark/>
          </w:tcPr>
          <w:p w14:paraId="6A5794E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117 022</w:t>
            </w:r>
          </w:p>
        </w:tc>
        <w:tc>
          <w:tcPr>
            <w:tcW w:w="737" w:type="dxa"/>
            <w:tcBorders>
              <w:top w:val="nil"/>
              <w:left w:val="nil"/>
              <w:bottom w:val="nil"/>
              <w:right w:val="nil"/>
            </w:tcBorders>
            <w:shd w:val="clear" w:color="auto" w:fill="auto"/>
            <w:noWrap/>
            <w:vAlign w:val="center"/>
            <w:hideMark/>
          </w:tcPr>
          <w:p w14:paraId="3CF81E2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117 022</w:t>
            </w:r>
          </w:p>
        </w:tc>
        <w:tc>
          <w:tcPr>
            <w:tcW w:w="737" w:type="dxa"/>
            <w:tcBorders>
              <w:top w:val="nil"/>
              <w:left w:val="nil"/>
              <w:bottom w:val="nil"/>
              <w:right w:val="nil"/>
            </w:tcBorders>
            <w:shd w:val="clear" w:color="auto" w:fill="auto"/>
            <w:noWrap/>
            <w:vAlign w:val="center"/>
            <w:hideMark/>
          </w:tcPr>
          <w:p w14:paraId="15A9E63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117 022</w:t>
            </w:r>
          </w:p>
        </w:tc>
        <w:tc>
          <w:tcPr>
            <w:tcW w:w="737" w:type="dxa"/>
            <w:tcBorders>
              <w:top w:val="nil"/>
              <w:left w:val="nil"/>
              <w:bottom w:val="nil"/>
              <w:right w:val="nil"/>
            </w:tcBorders>
            <w:shd w:val="clear" w:color="auto" w:fill="auto"/>
            <w:noWrap/>
            <w:vAlign w:val="center"/>
            <w:hideMark/>
          </w:tcPr>
          <w:p w14:paraId="31F24F62"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37DC364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161BD755"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r>
      <w:tr w:rsidR="00BD3539" w:rsidRPr="00BD3539" w14:paraId="749E56AA" w14:textId="77777777" w:rsidTr="006E5A9E">
        <w:trPr>
          <w:trHeight w:val="264"/>
        </w:trPr>
        <w:tc>
          <w:tcPr>
            <w:tcW w:w="3827" w:type="dxa"/>
            <w:tcBorders>
              <w:top w:val="nil"/>
              <w:left w:val="nil"/>
              <w:bottom w:val="nil"/>
              <w:right w:val="nil"/>
            </w:tcBorders>
            <w:shd w:val="clear" w:color="auto" w:fill="auto"/>
            <w:noWrap/>
            <w:vAlign w:val="center"/>
            <w:hideMark/>
          </w:tcPr>
          <w:p w14:paraId="0B64012F"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Zrýchlené odpisovanie</w:t>
            </w:r>
          </w:p>
        </w:tc>
        <w:tc>
          <w:tcPr>
            <w:tcW w:w="907" w:type="dxa"/>
            <w:tcBorders>
              <w:top w:val="nil"/>
              <w:left w:val="nil"/>
              <w:bottom w:val="nil"/>
              <w:right w:val="nil"/>
            </w:tcBorders>
            <w:shd w:val="clear" w:color="auto" w:fill="auto"/>
            <w:noWrap/>
            <w:vAlign w:val="center"/>
            <w:hideMark/>
          </w:tcPr>
          <w:p w14:paraId="168E21B2"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DPPO</w:t>
            </w:r>
          </w:p>
        </w:tc>
        <w:tc>
          <w:tcPr>
            <w:tcW w:w="737" w:type="dxa"/>
            <w:tcBorders>
              <w:top w:val="nil"/>
              <w:left w:val="nil"/>
              <w:bottom w:val="nil"/>
              <w:right w:val="nil"/>
            </w:tcBorders>
            <w:shd w:val="clear" w:color="auto" w:fill="auto"/>
            <w:noWrap/>
            <w:vAlign w:val="center"/>
            <w:hideMark/>
          </w:tcPr>
          <w:p w14:paraId="65AF774A"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10 076</w:t>
            </w:r>
          </w:p>
        </w:tc>
        <w:tc>
          <w:tcPr>
            <w:tcW w:w="737" w:type="dxa"/>
            <w:tcBorders>
              <w:top w:val="nil"/>
              <w:left w:val="nil"/>
              <w:bottom w:val="nil"/>
              <w:right w:val="nil"/>
            </w:tcBorders>
            <w:shd w:val="clear" w:color="auto" w:fill="auto"/>
            <w:noWrap/>
            <w:vAlign w:val="center"/>
            <w:hideMark/>
          </w:tcPr>
          <w:p w14:paraId="1780329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9 301</w:t>
            </w:r>
          </w:p>
        </w:tc>
        <w:tc>
          <w:tcPr>
            <w:tcW w:w="737" w:type="dxa"/>
            <w:tcBorders>
              <w:top w:val="nil"/>
              <w:left w:val="nil"/>
              <w:bottom w:val="nil"/>
              <w:right w:val="nil"/>
            </w:tcBorders>
            <w:shd w:val="clear" w:color="auto" w:fill="auto"/>
            <w:noWrap/>
            <w:vAlign w:val="center"/>
            <w:hideMark/>
          </w:tcPr>
          <w:p w14:paraId="2C229DF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8 585</w:t>
            </w:r>
          </w:p>
        </w:tc>
        <w:tc>
          <w:tcPr>
            <w:tcW w:w="737" w:type="dxa"/>
            <w:tcBorders>
              <w:top w:val="nil"/>
              <w:left w:val="nil"/>
              <w:bottom w:val="nil"/>
              <w:right w:val="nil"/>
            </w:tcBorders>
            <w:shd w:val="clear" w:color="auto" w:fill="auto"/>
            <w:noWrap/>
            <w:vAlign w:val="center"/>
            <w:hideMark/>
          </w:tcPr>
          <w:p w14:paraId="47138412"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7 925</w:t>
            </w:r>
          </w:p>
        </w:tc>
        <w:tc>
          <w:tcPr>
            <w:tcW w:w="737" w:type="dxa"/>
            <w:tcBorders>
              <w:top w:val="nil"/>
              <w:left w:val="nil"/>
              <w:bottom w:val="nil"/>
              <w:right w:val="nil"/>
            </w:tcBorders>
            <w:shd w:val="clear" w:color="auto" w:fill="auto"/>
            <w:noWrap/>
            <w:vAlign w:val="center"/>
            <w:hideMark/>
          </w:tcPr>
          <w:p w14:paraId="52BE70D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7 315</w:t>
            </w:r>
          </w:p>
        </w:tc>
        <w:tc>
          <w:tcPr>
            <w:tcW w:w="737" w:type="dxa"/>
            <w:tcBorders>
              <w:top w:val="nil"/>
              <w:left w:val="nil"/>
              <w:bottom w:val="nil"/>
              <w:right w:val="nil"/>
            </w:tcBorders>
            <w:shd w:val="clear" w:color="auto" w:fill="auto"/>
            <w:noWrap/>
            <w:vAlign w:val="center"/>
            <w:hideMark/>
          </w:tcPr>
          <w:p w14:paraId="6EFCD5A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r>
      <w:tr w:rsidR="00BD3539" w:rsidRPr="00BD3539" w14:paraId="6B41D655" w14:textId="77777777" w:rsidTr="006E5A9E">
        <w:trPr>
          <w:trHeight w:val="264"/>
        </w:trPr>
        <w:tc>
          <w:tcPr>
            <w:tcW w:w="3827" w:type="dxa"/>
            <w:tcBorders>
              <w:top w:val="nil"/>
              <w:left w:val="nil"/>
              <w:bottom w:val="nil"/>
              <w:right w:val="nil"/>
            </w:tcBorders>
            <w:shd w:val="clear" w:color="auto" w:fill="auto"/>
            <w:noWrap/>
            <w:vAlign w:val="center"/>
            <w:hideMark/>
          </w:tcPr>
          <w:p w14:paraId="796FABAB"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Oslobodenie obchodného podielu</w:t>
            </w:r>
          </w:p>
        </w:tc>
        <w:tc>
          <w:tcPr>
            <w:tcW w:w="907" w:type="dxa"/>
            <w:tcBorders>
              <w:top w:val="nil"/>
              <w:left w:val="nil"/>
              <w:bottom w:val="nil"/>
              <w:right w:val="nil"/>
            </w:tcBorders>
            <w:shd w:val="clear" w:color="auto" w:fill="auto"/>
            <w:noWrap/>
            <w:vAlign w:val="center"/>
            <w:hideMark/>
          </w:tcPr>
          <w:p w14:paraId="4C19BF53"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DPPO</w:t>
            </w:r>
          </w:p>
        </w:tc>
        <w:tc>
          <w:tcPr>
            <w:tcW w:w="737" w:type="dxa"/>
            <w:tcBorders>
              <w:top w:val="nil"/>
              <w:left w:val="nil"/>
              <w:bottom w:val="nil"/>
              <w:right w:val="nil"/>
            </w:tcBorders>
            <w:shd w:val="clear" w:color="auto" w:fill="auto"/>
            <w:noWrap/>
            <w:vAlign w:val="center"/>
            <w:hideMark/>
          </w:tcPr>
          <w:p w14:paraId="12CDA4E7"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22 250</w:t>
            </w:r>
          </w:p>
        </w:tc>
        <w:tc>
          <w:tcPr>
            <w:tcW w:w="737" w:type="dxa"/>
            <w:tcBorders>
              <w:top w:val="nil"/>
              <w:left w:val="nil"/>
              <w:bottom w:val="nil"/>
              <w:right w:val="nil"/>
            </w:tcBorders>
            <w:shd w:val="clear" w:color="auto" w:fill="auto"/>
            <w:noWrap/>
            <w:vAlign w:val="center"/>
            <w:hideMark/>
          </w:tcPr>
          <w:p w14:paraId="763BEBE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23 536</w:t>
            </w:r>
          </w:p>
        </w:tc>
        <w:tc>
          <w:tcPr>
            <w:tcW w:w="737" w:type="dxa"/>
            <w:tcBorders>
              <w:top w:val="nil"/>
              <w:left w:val="nil"/>
              <w:bottom w:val="nil"/>
              <w:right w:val="nil"/>
            </w:tcBorders>
            <w:shd w:val="clear" w:color="auto" w:fill="auto"/>
            <w:noWrap/>
            <w:vAlign w:val="center"/>
            <w:hideMark/>
          </w:tcPr>
          <w:p w14:paraId="73D63A1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24 896</w:t>
            </w:r>
          </w:p>
        </w:tc>
        <w:tc>
          <w:tcPr>
            <w:tcW w:w="737" w:type="dxa"/>
            <w:tcBorders>
              <w:top w:val="nil"/>
              <w:left w:val="nil"/>
              <w:bottom w:val="nil"/>
              <w:right w:val="nil"/>
            </w:tcBorders>
            <w:shd w:val="clear" w:color="auto" w:fill="auto"/>
            <w:noWrap/>
            <w:vAlign w:val="center"/>
            <w:hideMark/>
          </w:tcPr>
          <w:p w14:paraId="7C8036B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26 335</w:t>
            </w:r>
          </w:p>
        </w:tc>
        <w:tc>
          <w:tcPr>
            <w:tcW w:w="737" w:type="dxa"/>
            <w:tcBorders>
              <w:top w:val="nil"/>
              <w:left w:val="nil"/>
              <w:bottom w:val="nil"/>
              <w:right w:val="nil"/>
            </w:tcBorders>
            <w:shd w:val="clear" w:color="auto" w:fill="auto"/>
            <w:noWrap/>
            <w:vAlign w:val="center"/>
            <w:hideMark/>
          </w:tcPr>
          <w:p w14:paraId="5DC0C028"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27 857</w:t>
            </w:r>
          </w:p>
        </w:tc>
        <w:tc>
          <w:tcPr>
            <w:tcW w:w="737" w:type="dxa"/>
            <w:tcBorders>
              <w:top w:val="nil"/>
              <w:left w:val="nil"/>
              <w:bottom w:val="nil"/>
              <w:right w:val="nil"/>
            </w:tcBorders>
            <w:shd w:val="clear" w:color="auto" w:fill="auto"/>
            <w:noWrap/>
            <w:vAlign w:val="center"/>
            <w:hideMark/>
          </w:tcPr>
          <w:p w14:paraId="4698B418"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29 467</w:t>
            </w:r>
          </w:p>
        </w:tc>
      </w:tr>
      <w:tr w:rsidR="00BD3539" w:rsidRPr="00BD3539" w14:paraId="7E8A47FE" w14:textId="77777777" w:rsidTr="006E5A9E">
        <w:trPr>
          <w:trHeight w:val="264"/>
        </w:trPr>
        <w:tc>
          <w:tcPr>
            <w:tcW w:w="3827" w:type="dxa"/>
            <w:tcBorders>
              <w:top w:val="nil"/>
              <w:left w:val="nil"/>
              <w:bottom w:val="nil"/>
              <w:right w:val="nil"/>
            </w:tcBorders>
            <w:shd w:val="clear" w:color="auto" w:fill="auto"/>
            <w:noWrap/>
            <w:vAlign w:val="center"/>
            <w:hideMark/>
          </w:tcPr>
          <w:p w14:paraId="57C85E02"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 xml:space="preserve">Oslobodenie </w:t>
            </w:r>
            <w:proofErr w:type="spellStart"/>
            <w:r w:rsidRPr="00BD3539">
              <w:rPr>
                <w:rFonts w:ascii="Times New Roman" w:eastAsia="Times New Roman" w:hAnsi="Times New Roman" w:cs="Times New Roman"/>
                <w:color w:val="000000"/>
                <w:sz w:val="16"/>
                <w:szCs w:val="16"/>
                <w:lang w:eastAsia="sk-SK"/>
              </w:rPr>
              <w:t>vybravných</w:t>
            </w:r>
            <w:proofErr w:type="spellEnd"/>
            <w:r w:rsidRPr="00BD3539">
              <w:rPr>
                <w:rFonts w:ascii="Times New Roman" w:eastAsia="Times New Roman" w:hAnsi="Times New Roman" w:cs="Times New Roman"/>
                <w:color w:val="000000"/>
                <w:sz w:val="16"/>
                <w:szCs w:val="16"/>
                <w:lang w:eastAsia="sk-SK"/>
              </w:rPr>
              <w:t xml:space="preserve"> právnych foriem neziskového sektora</w:t>
            </w:r>
          </w:p>
        </w:tc>
        <w:tc>
          <w:tcPr>
            <w:tcW w:w="907" w:type="dxa"/>
            <w:tcBorders>
              <w:top w:val="nil"/>
              <w:left w:val="nil"/>
              <w:bottom w:val="nil"/>
              <w:right w:val="nil"/>
            </w:tcBorders>
            <w:shd w:val="clear" w:color="auto" w:fill="auto"/>
            <w:noWrap/>
            <w:vAlign w:val="center"/>
            <w:hideMark/>
          </w:tcPr>
          <w:p w14:paraId="3CCB588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DPPO</w:t>
            </w:r>
          </w:p>
        </w:tc>
        <w:tc>
          <w:tcPr>
            <w:tcW w:w="737" w:type="dxa"/>
            <w:tcBorders>
              <w:top w:val="nil"/>
              <w:left w:val="nil"/>
              <w:bottom w:val="nil"/>
              <w:right w:val="nil"/>
            </w:tcBorders>
            <w:shd w:val="clear" w:color="auto" w:fill="auto"/>
            <w:noWrap/>
            <w:vAlign w:val="center"/>
            <w:hideMark/>
          </w:tcPr>
          <w:p w14:paraId="601113A7"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1 629</w:t>
            </w:r>
          </w:p>
        </w:tc>
        <w:tc>
          <w:tcPr>
            <w:tcW w:w="737" w:type="dxa"/>
            <w:tcBorders>
              <w:top w:val="nil"/>
              <w:left w:val="nil"/>
              <w:bottom w:val="nil"/>
              <w:right w:val="nil"/>
            </w:tcBorders>
            <w:shd w:val="clear" w:color="auto" w:fill="auto"/>
            <w:noWrap/>
            <w:vAlign w:val="center"/>
            <w:hideMark/>
          </w:tcPr>
          <w:p w14:paraId="0A2BE63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1 723</w:t>
            </w:r>
          </w:p>
        </w:tc>
        <w:tc>
          <w:tcPr>
            <w:tcW w:w="737" w:type="dxa"/>
            <w:tcBorders>
              <w:top w:val="nil"/>
              <w:left w:val="nil"/>
              <w:bottom w:val="nil"/>
              <w:right w:val="nil"/>
            </w:tcBorders>
            <w:shd w:val="clear" w:color="auto" w:fill="auto"/>
            <w:noWrap/>
            <w:vAlign w:val="center"/>
            <w:hideMark/>
          </w:tcPr>
          <w:p w14:paraId="512C22E0"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1 823</w:t>
            </w:r>
          </w:p>
        </w:tc>
        <w:tc>
          <w:tcPr>
            <w:tcW w:w="737" w:type="dxa"/>
            <w:tcBorders>
              <w:top w:val="nil"/>
              <w:left w:val="nil"/>
              <w:bottom w:val="nil"/>
              <w:right w:val="nil"/>
            </w:tcBorders>
            <w:shd w:val="clear" w:color="auto" w:fill="auto"/>
            <w:noWrap/>
            <w:vAlign w:val="center"/>
            <w:hideMark/>
          </w:tcPr>
          <w:p w14:paraId="2542C31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1 929</w:t>
            </w:r>
          </w:p>
        </w:tc>
        <w:tc>
          <w:tcPr>
            <w:tcW w:w="737" w:type="dxa"/>
            <w:tcBorders>
              <w:top w:val="nil"/>
              <w:left w:val="nil"/>
              <w:bottom w:val="nil"/>
              <w:right w:val="nil"/>
            </w:tcBorders>
            <w:shd w:val="clear" w:color="auto" w:fill="auto"/>
            <w:noWrap/>
            <w:vAlign w:val="center"/>
            <w:hideMark/>
          </w:tcPr>
          <w:p w14:paraId="0D442447"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2 040</w:t>
            </w:r>
          </w:p>
        </w:tc>
        <w:tc>
          <w:tcPr>
            <w:tcW w:w="737" w:type="dxa"/>
            <w:tcBorders>
              <w:top w:val="nil"/>
              <w:left w:val="nil"/>
              <w:bottom w:val="nil"/>
              <w:right w:val="nil"/>
            </w:tcBorders>
            <w:shd w:val="clear" w:color="auto" w:fill="auto"/>
            <w:noWrap/>
            <w:vAlign w:val="center"/>
            <w:hideMark/>
          </w:tcPr>
          <w:p w14:paraId="0A306B1F"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2 159</w:t>
            </w:r>
          </w:p>
        </w:tc>
      </w:tr>
      <w:tr w:rsidR="00BD3539" w:rsidRPr="00BD3539" w14:paraId="11BF49F0" w14:textId="77777777" w:rsidTr="006E5A9E">
        <w:trPr>
          <w:trHeight w:val="408"/>
        </w:trPr>
        <w:tc>
          <w:tcPr>
            <w:tcW w:w="3827" w:type="dxa"/>
            <w:tcBorders>
              <w:top w:val="nil"/>
              <w:left w:val="nil"/>
              <w:bottom w:val="nil"/>
              <w:right w:val="nil"/>
            </w:tcBorders>
            <w:shd w:val="clear" w:color="auto" w:fill="auto"/>
            <w:vAlign w:val="center"/>
            <w:hideMark/>
          </w:tcPr>
          <w:p w14:paraId="19F8E345"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Znížená sadzba na 15 % pre firmy s obratom do 100 tis. eur (v roku 2020) a do 49 790 eur (od roku 2021) a do 60 tis. (od roku 2024)</w:t>
            </w:r>
          </w:p>
        </w:tc>
        <w:tc>
          <w:tcPr>
            <w:tcW w:w="907" w:type="dxa"/>
            <w:tcBorders>
              <w:top w:val="nil"/>
              <w:left w:val="nil"/>
              <w:bottom w:val="nil"/>
              <w:right w:val="nil"/>
            </w:tcBorders>
            <w:shd w:val="clear" w:color="auto" w:fill="auto"/>
            <w:noWrap/>
            <w:vAlign w:val="center"/>
            <w:hideMark/>
          </w:tcPr>
          <w:p w14:paraId="7C339B9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DPPO</w:t>
            </w:r>
          </w:p>
        </w:tc>
        <w:tc>
          <w:tcPr>
            <w:tcW w:w="737" w:type="dxa"/>
            <w:tcBorders>
              <w:top w:val="nil"/>
              <w:left w:val="nil"/>
              <w:bottom w:val="nil"/>
              <w:right w:val="nil"/>
            </w:tcBorders>
            <w:shd w:val="clear" w:color="auto" w:fill="auto"/>
            <w:noWrap/>
            <w:vAlign w:val="center"/>
            <w:hideMark/>
          </w:tcPr>
          <w:p w14:paraId="62E5D62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21 294</w:t>
            </w:r>
          </w:p>
        </w:tc>
        <w:tc>
          <w:tcPr>
            <w:tcW w:w="737" w:type="dxa"/>
            <w:tcBorders>
              <w:top w:val="nil"/>
              <w:left w:val="nil"/>
              <w:bottom w:val="nil"/>
              <w:right w:val="nil"/>
            </w:tcBorders>
            <w:shd w:val="clear" w:color="auto" w:fill="auto"/>
            <w:noWrap/>
            <w:vAlign w:val="center"/>
            <w:hideMark/>
          </w:tcPr>
          <w:p w14:paraId="2655D41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23 416</w:t>
            </w:r>
          </w:p>
        </w:tc>
        <w:tc>
          <w:tcPr>
            <w:tcW w:w="737" w:type="dxa"/>
            <w:tcBorders>
              <w:top w:val="nil"/>
              <w:left w:val="nil"/>
              <w:bottom w:val="nil"/>
              <w:right w:val="nil"/>
            </w:tcBorders>
            <w:shd w:val="clear" w:color="auto" w:fill="auto"/>
            <w:noWrap/>
            <w:vAlign w:val="center"/>
            <w:hideMark/>
          </w:tcPr>
          <w:p w14:paraId="45B7219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22 657</w:t>
            </w:r>
          </w:p>
        </w:tc>
        <w:tc>
          <w:tcPr>
            <w:tcW w:w="737" w:type="dxa"/>
            <w:tcBorders>
              <w:top w:val="nil"/>
              <w:left w:val="nil"/>
              <w:bottom w:val="nil"/>
              <w:right w:val="nil"/>
            </w:tcBorders>
            <w:shd w:val="clear" w:color="auto" w:fill="auto"/>
            <w:noWrap/>
            <w:vAlign w:val="center"/>
            <w:hideMark/>
          </w:tcPr>
          <w:p w14:paraId="1D91965F"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27 257</w:t>
            </w:r>
          </w:p>
        </w:tc>
        <w:tc>
          <w:tcPr>
            <w:tcW w:w="737" w:type="dxa"/>
            <w:tcBorders>
              <w:top w:val="nil"/>
              <w:left w:val="nil"/>
              <w:bottom w:val="nil"/>
              <w:right w:val="nil"/>
            </w:tcBorders>
            <w:shd w:val="clear" w:color="auto" w:fill="auto"/>
            <w:noWrap/>
            <w:vAlign w:val="center"/>
            <w:hideMark/>
          </w:tcPr>
          <w:p w14:paraId="75428A88"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27 456</w:t>
            </w:r>
          </w:p>
        </w:tc>
        <w:tc>
          <w:tcPr>
            <w:tcW w:w="737" w:type="dxa"/>
            <w:tcBorders>
              <w:top w:val="nil"/>
              <w:left w:val="nil"/>
              <w:bottom w:val="nil"/>
              <w:right w:val="nil"/>
            </w:tcBorders>
            <w:shd w:val="clear" w:color="auto" w:fill="auto"/>
            <w:noWrap/>
            <w:vAlign w:val="center"/>
            <w:hideMark/>
          </w:tcPr>
          <w:p w14:paraId="14C98350"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27 655</w:t>
            </w:r>
          </w:p>
        </w:tc>
      </w:tr>
      <w:tr w:rsidR="00BD3539" w:rsidRPr="00BD3539" w14:paraId="55FA826D" w14:textId="77777777" w:rsidTr="006E5A9E">
        <w:trPr>
          <w:trHeight w:val="408"/>
        </w:trPr>
        <w:tc>
          <w:tcPr>
            <w:tcW w:w="3827" w:type="dxa"/>
            <w:tcBorders>
              <w:top w:val="nil"/>
              <w:left w:val="nil"/>
              <w:bottom w:val="nil"/>
              <w:right w:val="nil"/>
            </w:tcBorders>
            <w:shd w:val="clear" w:color="auto" w:fill="auto"/>
            <w:vAlign w:val="center"/>
            <w:hideMark/>
          </w:tcPr>
          <w:p w14:paraId="728446AA"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 xml:space="preserve">Znížená sadzba na 15 % pre </w:t>
            </w:r>
            <w:proofErr w:type="spellStart"/>
            <w:r w:rsidRPr="00BD3539">
              <w:rPr>
                <w:rFonts w:ascii="Times New Roman" w:eastAsia="Times New Roman" w:hAnsi="Times New Roman" w:cs="Times New Roman"/>
                <w:sz w:val="16"/>
                <w:szCs w:val="16"/>
                <w:lang w:eastAsia="sk-SK"/>
              </w:rPr>
              <w:t>szčo</w:t>
            </w:r>
            <w:proofErr w:type="spellEnd"/>
            <w:r w:rsidRPr="00BD3539">
              <w:rPr>
                <w:rFonts w:ascii="Times New Roman" w:eastAsia="Times New Roman" w:hAnsi="Times New Roman" w:cs="Times New Roman"/>
                <w:sz w:val="16"/>
                <w:szCs w:val="16"/>
                <w:lang w:eastAsia="sk-SK"/>
              </w:rPr>
              <w:t xml:space="preserve"> s príjmom do 100 tis. (v roku 2020) a do 49 790 eur (od roku 2021) a do 60 tis. (od roku 2024)</w:t>
            </w:r>
          </w:p>
        </w:tc>
        <w:tc>
          <w:tcPr>
            <w:tcW w:w="907" w:type="dxa"/>
            <w:tcBorders>
              <w:top w:val="nil"/>
              <w:left w:val="nil"/>
              <w:bottom w:val="nil"/>
              <w:right w:val="nil"/>
            </w:tcBorders>
            <w:shd w:val="clear" w:color="auto" w:fill="auto"/>
            <w:noWrap/>
            <w:vAlign w:val="center"/>
            <w:hideMark/>
          </w:tcPr>
          <w:p w14:paraId="5797D6BA"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DPFO</w:t>
            </w:r>
          </w:p>
        </w:tc>
        <w:tc>
          <w:tcPr>
            <w:tcW w:w="737" w:type="dxa"/>
            <w:tcBorders>
              <w:top w:val="nil"/>
              <w:left w:val="nil"/>
              <w:bottom w:val="nil"/>
              <w:right w:val="nil"/>
            </w:tcBorders>
            <w:shd w:val="clear" w:color="auto" w:fill="auto"/>
            <w:noWrap/>
            <w:vAlign w:val="center"/>
            <w:hideMark/>
          </w:tcPr>
          <w:p w14:paraId="771577D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19 652</w:t>
            </w:r>
          </w:p>
        </w:tc>
        <w:tc>
          <w:tcPr>
            <w:tcW w:w="737" w:type="dxa"/>
            <w:tcBorders>
              <w:top w:val="nil"/>
              <w:left w:val="nil"/>
              <w:bottom w:val="nil"/>
              <w:right w:val="nil"/>
            </w:tcBorders>
            <w:shd w:val="clear" w:color="auto" w:fill="auto"/>
            <w:noWrap/>
            <w:vAlign w:val="center"/>
            <w:hideMark/>
          </w:tcPr>
          <w:p w14:paraId="0DA4080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19 782</w:t>
            </w:r>
          </w:p>
        </w:tc>
        <w:tc>
          <w:tcPr>
            <w:tcW w:w="737" w:type="dxa"/>
            <w:tcBorders>
              <w:top w:val="nil"/>
              <w:left w:val="nil"/>
              <w:bottom w:val="nil"/>
              <w:right w:val="nil"/>
            </w:tcBorders>
            <w:shd w:val="clear" w:color="auto" w:fill="auto"/>
            <w:noWrap/>
            <w:vAlign w:val="center"/>
            <w:hideMark/>
          </w:tcPr>
          <w:p w14:paraId="68D54EA8"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20 789</w:t>
            </w:r>
          </w:p>
        </w:tc>
        <w:tc>
          <w:tcPr>
            <w:tcW w:w="737" w:type="dxa"/>
            <w:tcBorders>
              <w:top w:val="nil"/>
              <w:left w:val="nil"/>
              <w:bottom w:val="nil"/>
              <w:right w:val="nil"/>
            </w:tcBorders>
            <w:shd w:val="clear" w:color="auto" w:fill="auto"/>
            <w:noWrap/>
            <w:vAlign w:val="center"/>
            <w:hideMark/>
          </w:tcPr>
          <w:p w14:paraId="5A3779D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21 233</w:t>
            </w:r>
          </w:p>
        </w:tc>
        <w:tc>
          <w:tcPr>
            <w:tcW w:w="737" w:type="dxa"/>
            <w:tcBorders>
              <w:top w:val="nil"/>
              <w:left w:val="nil"/>
              <w:bottom w:val="nil"/>
              <w:right w:val="nil"/>
            </w:tcBorders>
            <w:shd w:val="clear" w:color="auto" w:fill="auto"/>
            <w:noWrap/>
            <w:vAlign w:val="center"/>
            <w:hideMark/>
          </w:tcPr>
          <w:p w14:paraId="1D4B16A3"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21 273</w:t>
            </w:r>
          </w:p>
        </w:tc>
        <w:tc>
          <w:tcPr>
            <w:tcW w:w="737" w:type="dxa"/>
            <w:tcBorders>
              <w:top w:val="nil"/>
              <w:left w:val="nil"/>
              <w:bottom w:val="nil"/>
              <w:right w:val="nil"/>
            </w:tcBorders>
            <w:shd w:val="clear" w:color="auto" w:fill="auto"/>
            <w:noWrap/>
            <w:vAlign w:val="center"/>
            <w:hideMark/>
          </w:tcPr>
          <w:p w14:paraId="64B02EA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21 316</w:t>
            </w:r>
          </w:p>
        </w:tc>
      </w:tr>
      <w:tr w:rsidR="00BD3539" w:rsidRPr="00BD3539" w14:paraId="3FE8017C" w14:textId="77777777" w:rsidTr="006E5A9E">
        <w:trPr>
          <w:trHeight w:val="264"/>
        </w:trPr>
        <w:tc>
          <w:tcPr>
            <w:tcW w:w="3827" w:type="dxa"/>
            <w:tcBorders>
              <w:top w:val="nil"/>
              <w:left w:val="nil"/>
              <w:bottom w:val="nil"/>
              <w:right w:val="nil"/>
            </w:tcBorders>
            <w:shd w:val="clear" w:color="auto" w:fill="auto"/>
            <w:vAlign w:val="center"/>
            <w:hideMark/>
          </w:tcPr>
          <w:p w14:paraId="066A6D90"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Daňový výdavok na pohonné hmoty</w:t>
            </w:r>
          </w:p>
        </w:tc>
        <w:tc>
          <w:tcPr>
            <w:tcW w:w="907" w:type="dxa"/>
            <w:tcBorders>
              <w:top w:val="nil"/>
              <w:left w:val="nil"/>
              <w:bottom w:val="nil"/>
              <w:right w:val="nil"/>
            </w:tcBorders>
            <w:shd w:val="clear" w:color="auto" w:fill="auto"/>
            <w:noWrap/>
            <w:vAlign w:val="center"/>
            <w:hideMark/>
          </w:tcPr>
          <w:p w14:paraId="3BF9D83F"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DPPO</w:t>
            </w:r>
          </w:p>
        </w:tc>
        <w:tc>
          <w:tcPr>
            <w:tcW w:w="737" w:type="dxa"/>
            <w:tcBorders>
              <w:top w:val="nil"/>
              <w:left w:val="nil"/>
              <w:bottom w:val="nil"/>
              <w:right w:val="nil"/>
            </w:tcBorders>
            <w:shd w:val="clear" w:color="auto" w:fill="auto"/>
            <w:noWrap/>
            <w:vAlign w:val="center"/>
            <w:hideMark/>
          </w:tcPr>
          <w:p w14:paraId="7AE9C5C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4 500</w:t>
            </w:r>
          </w:p>
        </w:tc>
        <w:tc>
          <w:tcPr>
            <w:tcW w:w="737" w:type="dxa"/>
            <w:tcBorders>
              <w:top w:val="nil"/>
              <w:left w:val="nil"/>
              <w:bottom w:val="nil"/>
              <w:right w:val="nil"/>
            </w:tcBorders>
            <w:shd w:val="clear" w:color="auto" w:fill="auto"/>
            <w:noWrap/>
            <w:vAlign w:val="center"/>
            <w:hideMark/>
          </w:tcPr>
          <w:p w14:paraId="755605F0"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4 500</w:t>
            </w:r>
          </w:p>
        </w:tc>
        <w:tc>
          <w:tcPr>
            <w:tcW w:w="737" w:type="dxa"/>
            <w:tcBorders>
              <w:top w:val="nil"/>
              <w:left w:val="nil"/>
              <w:bottom w:val="nil"/>
              <w:right w:val="nil"/>
            </w:tcBorders>
            <w:shd w:val="clear" w:color="auto" w:fill="auto"/>
            <w:noWrap/>
            <w:vAlign w:val="center"/>
            <w:hideMark/>
          </w:tcPr>
          <w:p w14:paraId="002EB882"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4 500</w:t>
            </w:r>
          </w:p>
        </w:tc>
        <w:tc>
          <w:tcPr>
            <w:tcW w:w="737" w:type="dxa"/>
            <w:tcBorders>
              <w:top w:val="nil"/>
              <w:left w:val="nil"/>
              <w:bottom w:val="nil"/>
              <w:right w:val="nil"/>
            </w:tcBorders>
            <w:shd w:val="clear" w:color="auto" w:fill="auto"/>
            <w:noWrap/>
            <w:vAlign w:val="center"/>
            <w:hideMark/>
          </w:tcPr>
          <w:p w14:paraId="1B69117F"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4 500</w:t>
            </w:r>
          </w:p>
        </w:tc>
        <w:tc>
          <w:tcPr>
            <w:tcW w:w="737" w:type="dxa"/>
            <w:tcBorders>
              <w:top w:val="nil"/>
              <w:left w:val="nil"/>
              <w:bottom w:val="nil"/>
              <w:right w:val="nil"/>
            </w:tcBorders>
            <w:shd w:val="clear" w:color="auto" w:fill="auto"/>
            <w:noWrap/>
            <w:vAlign w:val="center"/>
            <w:hideMark/>
          </w:tcPr>
          <w:p w14:paraId="28D0E671"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4 500</w:t>
            </w:r>
          </w:p>
        </w:tc>
        <w:tc>
          <w:tcPr>
            <w:tcW w:w="737" w:type="dxa"/>
            <w:tcBorders>
              <w:top w:val="nil"/>
              <w:left w:val="nil"/>
              <w:bottom w:val="nil"/>
              <w:right w:val="nil"/>
            </w:tcBorders>
            <w:shd w:val="clear" w:color="auto" w:fill="auto"/>
            <w:noWrap/>
            <w:vAlign w:val="center"/>
            <w:hideMark/>
          </w:tcPr>
          <w:p w14:paraId="712552D7"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4 500</w:t>
            </w:r>
          </w:p>
        </w:tc>
      </w:tr>
      <w:tr w:rsidR="00BD3539" w:rsidRPr="00BD3539" w14:paraId="618667CD" w14:textId="77777777" w:rsidTr="006E5A9E">
        <w:trPr>
          <w:trHeight w:val="264"/>
        </w:trPr>
        <w:tc>
          <w:tcPr>
            <w:tcW w:w="3827" w:type="dxa"/>
            <w:tcBorders>
              <w:top w:val="nil"/>
              <w:left w:val="nil"/>
              <w:bottom w:val="nil"/>
              <w:right w:val="nil"/>
            </w:tcBorders>
            <w:shd w:val="clear" w:color="auto" w:fill="auto"/>
            <w:noWrap/>
            <w:vAlign w:val="center"/>
            <w:hideMark/>
          </w:tcPr>
          <w:p w14:paraId="428DC3CB"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Podpora špecifických odvetví</w:t>
            </w:r>
          </w:p>
        </w:tc>
        <w:tc>
          <w:tcPr>
            <w:tcW w:w="907" w:type="dxa"/>
            <w:tcBorders>
              <w:top w:val="nil"/>
              <w:left w:val="nil"/>
              <w:bottom w:val="nil"/>
              <w:right w:val="nil"/>
            </w:tcBorders>
            <w:shd w:val="clear" w:color="auto" w:fill="auto"/>
            <w:noWrap/>
            <w:vAlign w:val="center"/>
            <w:hideMark/>
          </w:tcPr>
          <w:p w14:paraId="539D231A"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p>
        </w:tc>
        <w:tc>
          <w:tcPr>
            <w:tcW w:w="737" w:type="dxa"/>
            <w:tcBorders>
              <w:top w:val="nil"/>
              <w:left w:val="nil"/>
              <w:bottom w:val="nil"/>
              <w:right w:val="nil"/>
            </w:tcBorders>
            <w:shd w:val="clear" w:color="auto" w:fill="auto"/>
            <w:noWrap/>
            <w:vAlign w:val="center"/>
            <w:hideMark/>
          </w:tcPr>
          <w:p w14:paraId="4E588CEA"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536 072</w:t>
            </w:r>
          </w:p>
        </w:tc>
        <w:tc>
          <w:tcPr>
            <w:tcW w:w="737" w:type="dxa"/>
            <w:tcBorders>
              <w:top w:val="nil"/>
              <w:left w:val="nil"/>
              <w:bottom w:val="nil"/>
              <w:right w:val="nil"/>
            </w:tcBorders>
            <w:shd w:val="clear" w:color="auto" w:fill="auto"/>
            <w:noWrap/>
            <w:vAlign w:val="center"/>
            <w:hideMark/>
          </w:tcPr>
          <w:p w14:paraId="3622B923"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486 856</w:t>
            </w:r>
          </w:p>
        </w:tc>
        <w:tc>
          <w:tcPr>
            <w:tcW w:w="737" w:type="dxa"/>
            <w:tcBorders>
              <w:top w:val="nil"/>
              <w:left w:val="nil"/>
              <w:bottom w:val="nil"/>
              <w:right w:val="nil"/>
            </w:tcBorders>
            <w:shd w:val="clear" w:color="auto" w:fill="auto"/>
            <w:noWrap/>
            <w:vAlign w:val="center"/>
            <w:hideMark/>
          </w:tcPr>
          <w:p w14:paraId="6D253C2B"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620 993</w:t>
            </w:r>
          </w:p>
        </w:tc>
        <w:tc>
          <w:tcPr>
            <w:tcW w:w="737" w:type="dxa"/>
            <w:tcBorders>
              <w:top w:val="nil"/>
              <w:left w:val="nil"/>
              <w:bottom w:val="nil"/>
              <w:right w:val="nil"/>
            </w:tcBorders>
            <w:shd w:val="clear" w:color="auto" w:fill="auto"/>
            <w:noWrap/>
            <w:vAlign w:val="center"/>
            <w:hideMark/>
          </w:tcPr>
          <w:p w14:paraId="48823043"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467 147</w:t>
            </w:r>
          </w:p>
        </w:tc>
        <w:tc>
          <w:tcPr>
            <w:tcW w:w="737" w:type="dxa"/>
            <w:tcBorders>
              <w:top w:val="nil"/>
              <w:left w:val="nil"/>
              <w:bottom w:val="nil"/>
              <w:right w:val="nil"/>
            </w:tcBorders>
            <w:shd w:val="clear" w:color="auto" w:fill="auto"/>
            <w:noWrap/>
            <w:vAlign w:val="center"/>
            <w:hideMark/>
          </w:tcPr>
          <w:p w14:paraId="458250E2"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469 612</w:t>
            </w:r>
          </w:p>
        </w:tc>
        <w:tc>
          <w:tcPr>
            <w:tcW w:w="737" w:type="dxa"/>
            <w:tcBorders>
              <w:top w:val="nil"/>
              <w:left w:val="nil"/>
              <w:bottom w:val="nil"/>
              <w:right w:val="nil"/>
            </w:tcBorders>
            <w:shd w:val="clear" w:color="auto" w:fill="auto"/>
            <w:noWrap/>
            <w:vAlign w:val="center"/>
            <w:hideMark/>
          </w:tcPr>
          <w:p w14:paraId="3365C013"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388 066</w:t>
            </w:r>
          </w:p>
        </w:tc>
      </w:tr>
      <w:tr w:rsidR="00BD3539" w:rsidRPr="00BD3539" w14:paraId="73494E31" w14:textId="77777777" w:rsidTr="006E5A9E">
        <w:trPr>
          <w:trHeight w:val="264"/>
        </w:trPr>
        <w:tc>
          <w:tcPr>
            <w:tcW w:w="3827" w:type="dxa"/>
            <w:tcBorders>
              <w:top w:val="nil"/>
              <w:left w:val="nil"/>
              <w:bottom w:val="nil"/>
              <w:right w:val="nil"/>
            </w:tcBorders>
            <w:shd w:val="clear" w:color="auto" w:fill="auto"/>
            <w:noWrap/>
            <w:vAlign w:val="center"/>
            <w:hideMark/>
          </w:tcPr>
          <w:p w14:paraId="7C490793"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Finančný leasing a oslobodenie prenájmu obcí a VÚC</w:t>
            </w:r>
          </w:p>
        </w:tc>
        <w:tc>
          <w:tcPr>
            <w:tcW w:w="907" w:type="dxa"/>
            <w:tcBorders>
              <w:top w:val="nil"/>
              <w:left w:val="nil"/>
              <w:bottom w:val="nil"/>
              <w:right w:val="nil"/>
            </w:tcBorders>
            <w:shd w:val="clear" w:color="auto" w:fill="auto"/>
            <w:noWrap/>
            <w:vAlign w:val="center"/>
            <w:hideMark/>
          </w:tcPr>
          <w:p w14:paraId="18B48605"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DPPO</w:t>
            </w:r>
          </w:p>
        </w:tc>
        <w:tc>
          <w:tcPr>
            <w:tcW w:w="737" w:type="dxa"/>
            <w:tcBorders>
              <w:top w:val="nil"/>
              <w:left w:val="nil"/>
              <w:bottom w:val="nil"/>
              <w:right w:val="nil"/>
            </w:tcBorders>
            <w:shd w:val="clear" w:color="auto" w:fill="auto"/>
            <w:noWrap/>
            <w:vAlign w:val="center"/>
            <w:hideMark/>
          </w:tcPr>
          <w:p w14:paraId="60862BC8"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11 021</w:t>
            </w:r>
          </w:p>
        </w:tc>
        <w:tc>
          <w:tcPr>
            <w:tcW w:w="737" w:type="dxa"/>
            <w:tcBorders>
              <w:top w:val="nil"/>
              <w:left w:val="nil"/>
              <w:bottom w:val="nil"/>
              <w:right w:val="nil"/>
            </w:tcBorders>
            <w:shd w:val="clear" w:color="auto" w:fill="auto"/>
            <w:noWrap/>
            <w:vAlign w:val="center"/>
            <w:hideMark/>
          </w:tcPr>
          <w:p w14:paraId="164A79D1"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11 021</w:t>
            </w:r>
          </w:p>
        </w:tc>
        <w:tc>
          <w:tcPr>
            <w:tcW w:w="737" w:type="dxa"/>
            <w:tcBorders>
              <w:top w:val="nil"/>
              <w:left w:val="nil"/>
              <w:bottom w:val="nil"/>
              <w:right w:val="nil"/>
            </w:tcBorders>
            <w:shd w:val="clear" w:color="auto" w:fill="auto"/>
            <w:noWrap/>
            <w:vAlign w:val="center"/>
            <w:hideMark/>
          </w:tcPr>
          <w:p w14:paraId="422FF874"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11 021</w:t>
            </w:r>
          </w:p>
        </w:tc>
        <w:tc>
          <w:tcPr>
            <w:tcW w:w="737" w:type="dxa"/>
            <w:tcBorders>
              <w:top w:val="nil"/>
              <w:left w:val="nil"/>
              <w:bottom w:val="nil"/>
              <w:right w:val="nil"/>
            </w:tcBorders>
            <w:shd w:val="clear" w:color="auto" w:fill="auto"/>
            <w:noWrap/>
            <w:vAlign w:val="center"/>
            <w:hideMark/>
          </w:tcPr>
          <w:p w14:paraId="455B5674"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11 021</w:t>
            </w:r>
          </w:p>
        </w:tc>
        <w:tc>
          <w:tcPr>
            <w:tcW w:w="737" w:type="dxa"/>
            <w:tcBorders>
              <w:top w:val="nil"/>
              <w:left w:val="nil"/>
              <w:bottom w:val="nil"/>
              <w:right w:val="nil"/>
            </w:tcBorders>
            <w:shd w:val="clear" w:color="auto" w:fill="auto"/>
            <w:noWrap/>
            <w:vAlign w:val="center"/>
            <w:hideMark/>
          </w:tcPr>
          <w:p w14:paraId="5C10719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11 021</w:t>
            </w:r>
          </w:p>
        </w:tc>
        <w:tc>
          <w:tcPr>
            <w:tcW w:w="737" w:type="dxa"/>
            <w:tcBorders>
              <w:top w:val="nil"/>
              <w:left w:val="nil"/>
              <w:bottom w:val="nil"/>
              <w:right w:val="nil"/>
            </w:tcBorders>
            <w:shd w:val="clear" w:color="auto" w:fill="auto"/>
            <w:noWrap/>
            <w:vAlign w:val="center"/>
            <w:hideMark/>
          </w:tcPr>
          <w:p w14:paraId="7DE2725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11 021</w:t>
            </w:r>
          </w:p>
        </w:tc>
      </w:tr>
      <w:tr w:rsidR="00BD3539" w:rsidRPr="00BD3539" w14:paraId="144D64D1" w14:textId="77777777" w:rsidTr="006E5A9E">
        <w:trPr>
          <w:trHeight w:val="264"/>
        </w:trPr>
        <w:tc>
          <w:tcPr>
            <w:tcW w:w="3827" w:type="dxa"/>
            <w:tcBorders>
              <w:top w:val="nil"/>
              <w:left w:val="nil"/>
              <w:bottom w:val="nil"/>
              <w:right w:val="nil"/>
            </w:tcBorders>
            <w:shd w:val="clear" w:color="auto" w:fill="auto"/>
            <w:noWrap/>
            <w:vAlign w:val="center"/>
            <w:hideMark/>
          </w:tcPr>
          <w:p w14:paraId="5E499EDE"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 xml:space="preserve">Zmena </w:t>
            </w:r>
            <w:proofErr w:type="spellStart"/>
            <w:r w:rsidRPr="00BD3539">
              <w:rPr>
                <w:rFonts w:ascii="Times New Roman" w:eastAsia="Times New Roman" w:hAnsi="Times New Roman" w:cs="Times New Roman"/>
                <w:color w:val="000000"/>
                <w:sz w:val="16"/>
                <w:szCs w:val="16"/>
                <w:lang w:eastAsia="sk-SK"/>
              </w:rPr>
              <w:t>konštatnty</w:t>
            </w:r>
            <w:proofErr w:type="spellEnd"/>
            <w:r w:rsidRPr="00BD3539">
              <w:rPr>
                <w:rFonts w:ascii="Times New Roman" w:eastAsia="Times New Roman" w:hAnsi="Times New Roman" w:cs="Times New Roman"/>
                <w:color w:val="000000"/>
                <w:sz w:val="16"/>
                <w:szCs w:val="16"/>
                <w:lang w:eastAsia="sk-SK"/>
              </w:rPr>
              <w:t xml:space="preserve"> na výpočet VZ SZČO a iné zmeny</w:t>
            </w:r>
          </w:p>
        </w:tc>
        <w:tc>
          <w:tcPr>
            <w:tcW w:w="907" w:type="dxa"/>
            <w:tcBorders>
              <w:top w:val="nil"/>
              <w:left w:val="nil"/>
              <w:bottom w:val="nil"/>
              <w:right w:val="nil"/>
            </w:tcBorders>
            <w:shd w:val="clear" w:color="auto" w:fill="auto"/>
            <w:noWrap/>
            <w:vAlign w:val="center"/>
            <w:hideMark/>
          </w:tcPr>
          <w:p w14:paraId="4960883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SP, ZP</w:t>
            </w:r>
          </w:p>
        </w:tc>
        <w:tc>
          <w:tcPr>
            <w:tcW w:w="737" w:type="dxa"/>
            <w:tcBorders>
              <w:top w:val="nil"/>
              <w:left w:val="nil"/>
              <w:bottom w:val="nil"/>
              <w:right w:val="nil"/>
            </w:tcBorders>
            <w:shd w:val="clear" w:color="auto" w:fill="auto"/>
            <w:noWrap/>
            <w:vAlign w:val="center"/>
            <w:hideMark/>
          </w:tcPr>
          <w:p w14:paraId="17573A9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08708A8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6080242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2EF8D433"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1AF17A0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3CE4102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r>
      <w:tr w:rsidR="00BD3539" w:rsidRPr="00BD3539" w14:paraId="0E33C2E0" w14:textId="77777777" w:rsidTr="006E5A9E">
        <w:trPr>
          <w:trHeight w:val="264"/>
        </w:trPr>
        <w:tc>
          <w:tcPr>
            <w:tcW w:w="3827" w:type="dxa"/>
            <w:tcBorders>
              <w:top w:val="nil"/>
              <w:left w:val="nil"/>
              <w:bottom w:val="nil"/>
              <w:right w:val="nil"/>
            </w:tcBorders>
            <w:shd w:val="clear" w:color="auto" w:fill="auto"/>
            <w:noWrap/>
            <w:vAlign w:val="center"/>
            <w:hideMark/>
          </w:tcPr>
          <w:p w14:paraId="782170ED"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Daň z elektriny - fakultatívne oslobodenia</w:t>
            </w:r>
          </w:p>
        </w:tc>
        <w:tc>
          <w:tcPr>
            <w:tcW w:w="907" w:type="dxa"/>
            <w:tcBorders>
              <w:top w:val="nil"/>
              <w:left w:val="nil"/>
              <w:bottom w:val="nil"/>
              <w:right w:val="nil"/>
            </w:tcBorders>
            <w:shd w:val="clear" w:color="auto" w:fill="auto"/>
            <w:noWrap/>
            <w:vAlign w:val="center"/>
            <w:hideMark/>
          </w:tcPr>
          <w:p w14:paraId="35F62D7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SD</w:t>
            </w:r>
          </w:p>
        </w:tc>
        <w:tc>
          <w:tcPr>
            <w:tcW w:w="737" w:type="dxa"/>
            <w:tcBorders>
              <w:top w:val="nil"/>
              <w:left w:val="nil"/>
              <w:bottom w:val="nil"/>
              <w:right w:val="nil"/>
            </w:tcBorders>
            <w:shd w:val="clear" w:color="auto" w:fill="auto"/>
            <w:noWrap/>
            <w:vAlign w:val="center"/>
            <w:hideMark/>
          </w:tcPr>
          <w:p w14:paraId="403BAB6A"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14 798</w:t>
            </w:r>
          </w:p>
        </w:tc>
        <w:tc>
          <w:tcPr>
            <w:tcW w:w="737" w:type="dxa"/>
            <w:tcBorders>
              <w:top w:val="nil"/>
              <w:left w:val="nil"/>
              <w:bottom w:val="nil"/>
              <w:right w:val="nil"/>
            </w:tcBorders>
            <w:shd w:val="clear" w:color="auto" w:fill="auto"/>
            <w:noWrap/>
            <w:vAlign w:val="center"/>
            <w:hideMark/>
          </w:tcPr>
          <w:p w14:paraId="4C2BD248"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13 938</w:t>
            </w:r>
          </w:p>
        </w:tc>
        <w:tc>
          <w:tcPr>
            <w:tcW w:w="737" w:type="dxa"/>
            <w:tcBorders>
              <w:top w:val="nil"/>
              <w:left w:val="nil"/>
              <w:bottom w:val="nil"/>
              <w:right w:val="nil"/>
            </w:tcBorders>
            <w:shd w:val="clear" w:color="auto" w:fill="auto"/>
            <w:noWrap/>
            <w:vAlign w:val="center"/>
            <w:hideMark/>
          </w:tcPr>
          <w:p w14:paraId="482EE6A7"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14 998</w:t>
            </w:r>
          </w:p>
        </w:tc>
        <w:tc>
          <w:tcPr>
            <w:tcW w:w="737" w:type="dxa"/>
            <w:tcBorders>
              <w:top w:val="nil"/>
              <w:left w:val="nil"/>
              <w:bottom w:val="nil"/>
              <w:right w:val="nil"/>
            </w:tcBorders>
            <w:shd w:val="clear" w:color="auto" w:fill="auto"/>
            <w:noWrap/>
            <w:vAlign w:val="center"/>
            <w:hideMark/>
          </w:tcPr>
          <w:p w14:paraId="4A536DF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15 447</w:t>
            </w:r>
          </w:p>
        </w:tc>
        <w:tc>
          <w:tcPr>
            <w:tcW w:w="737" w:type="dxa"/>
            <w:tcBorders>
              <w:top w:val="nil"/>
              <w:left w:val="nil"/>
              <w:bottom w:val="nil"/>
              <w:right w:val="nil"/>
            </w:tcBorders>
            <w:shd w:val="clear" w:color="auto" w:fill="auto"/>
            <w:noWrap/>
            <w:vAlign w:val="center"/>
            <w:hideMark/>
          </w:tcPr>
          <w:p w14:paraId="7DAF23C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15 655</w:t>
            </w:r>
          </w:p>
        </w:tc>
        <w:tc>
          <w:tcPr>
            <w:tcW w:w="737" w:type="dxa"/>
            <w:tcBorders>
              <w:top w:val="nil"/>
              <w:left w:val="nil"/>
              <w:bottom w:val="nil"/>
              <w:right w:val="nil"/>
            </w:tcBorders>
            <w:shd w:val="clear" w:color="auto" w:fill="auto"/>
            <w:noWrap/>
            <w:vAlign w:val="center"/>
            <w:hideMark/>
          </w:tcPr>
          <w:p w14:paraId="42FD65B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15 767</w:t>
            </w:r>
          </w:p>
        </w:tc>
      </w:tr>
      <w:tr w:rsidR="00BD3539" w:rsidRPr="00BD3539" w14:paraId="0ED4C4FF" w14:textId="77777777" w:rsidTr="006E5A9E">
        <w:trPr>
          <w:trHeight w:val="264"/>
        </w:trPr>
        <w:tc>
          <w:tcPr>
            <w:tcW w:w="3827" w:type="dxa"/>
            <w:tcBorders>
              <w:top w:val="nil"/>
              <w:left w:val="nil"/>
              <w:bottom w:val="nil"/>
              <w:right w:val="nil"/>
            </w:tcBorders>
            <w:shd w:val="clear" w:color="auto" w:fill="auto"/>
            <w:noWrap/>
            <w:vAlign w:val="center"/>
            <w:hideMark/>
          </w:tcPr>
          <w:p w14:paraId="72C7B0FC"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Daň z uhlia - fakultatívne oslobodenia</w:t>
            </w:r>
          </w:p>
        </w:tc>
        <w:tc>
          <w:tcPr>
            <w:tcW w:w="907" w:type="dxa"/>
            <w:tcBorders>
              <w:top w:val="nil"/>
              <w:left w:val="nil"/>
              <w:bottom w:val="nil"/>
              <w:right w:val="nil"/>
            </w:tcBorders>
            <w:shd w:val="clear" w:color="auto" w:fill="auto"/>
            <w:noWrap/>
            <w:vAlign w:val="center"/>
            <w:hideMark/>
          </w:tcPr>
          <w:p w14:paraId="71DDBACA"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SD</w:t>
            </w:r>
          </w:p>
        </w:tc>
        <w:tc>
          <w:tcPr>
            <w:tcW w:w="737" w:type="dxa"/>
            <w:tcBorders>
              <w:top w:val="nil"/>
              <w:left w:val="nil"/>
              <w:bottom w:val="nil"/>
              <w:right w:val="nil"/>
            </w:tcBorders>
            <w:shd w:val="clear" w:color="auto" w:fill="auto"/>
            <w:noWrap/>
            <w:vAlign w:val="center"/>
            <w:hideMark/>
          </w:tcPr>
          <w:p w14:paraId="6253D257"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15 996</w:t>
            </w:r>
          </w:p>
        </w:tc>
        <w:tc>
          <w:tcPr>
            <w:tcW w:w="737" w:type="dxa"/>
            <w:tcBorders>
              <w:top w:val="nil"/>
              <w:left w:val="nil"/>
              <w:bottom w:val="nil"/>
              <w:right w:val="nil"/>
            </w:tcBorders>
            <w:shd w:val="clear" w:color="auto" w:fill="auto"/>
            <w:noWrap/>
            <w:vAlign w:val="center"/>
            <w:hideMark/>
          </w:tcPr>
          <w:p w14:paraId="44B9304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16 977</w:t>
            </w:r>
          </w:p>
        </w:tc>
        <w:tc>
          <w:tcPr>
            <w:tcW w:w="737" w:type="dxa"/>
            <w:tcBorders>
              <w:top w:val="nil"/>
              <w:left w:val="nil"/>
              <w:bottom w:val="nil"/>
              <w:right w:val="nil"/>
            </w:tcBorders>
            <w:shd w:val="clear" w:color="auto" w:fill="auto"/>
            <w:noWrap/>
            <w:vAlign w:val="center"/>
            <w:hideMark/>
          </w:tcPr>
          <w:p w14:paraId="0F7E7B2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11 474</w:t>
            </w:r>
          </w:p>
        </w:tc>
        <w:tc>
          <w:tcPr>
            <w:tcW w:w="737" w:type="dxa"/>
            <w:tcBorders>
              <w:top w:val="nil"/>
              <w:left w:val="nil"/>
              <w:bottom w:val="nil"/>
              <w:right w:val="nil"/>
            </w:tcBorders>
            <w:shd w:val="clear" w:color="auto" w:fill="auto"/>
            <w:noWrap/>
            <w:vAlign w:val="center"/>
            <w:hideMark/>
          </w:tcPr>
          <w:p w14:paraId="02481D3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10 113</w:t>
            </w:r>
          </w:p>
        </w:tc>
        <w:tc>
          <w:tcPr>
            <w:tcW w:w="737" w:type="dxa"/>
            <w:tcBorders>
              <w:top w:val="nil"/>
              <w:left w:val="nil"/>
              <w:bottom w:val="nil"/>
              <w:right w:val="nil"/>
            </w:tcBorders>
            <w:shd w:val="clear" w:color="auto" w:fill="auto"/>
            <w:noWrap/>
            <w:vAlign w:val="center"/>
            <w:hideMark/>
          </w:tcPr>
          <w:p w14:paraId="2396168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8 751</w:t>
            </w:r>
          </w:p>
        </w:tc>
        <w:tc>
          <w:tcPr>
            <w:tcW w:w="737" w:type="dxa"/>
            <w:tcBorders>
              <w:top w:val="nil"/>
              <w:left w:val="nil"/>
              <w:bottom w:val="nil"/>
              <w:right w:val="nil"/>
            </w:tcBorders>
            <w:shd w:val="clear" w:color="auto" w:fill="auto"/>
            <w:noWrap/>
            <w:vAlign w:val="center"/>
            <w:hideMark/>
          </w:tcPr>
          <w:p w14:paraId="4FEB3EC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7 585</w:t>
            </w:r>
          </w:p>
        </w:tc>
      </w:tr>
      <w:tr w:rsidR="00BD3539" w:rsidRPr="00BD3539" w14:paraId="359103FA" w14:textId="77777777" w:rsidTr="006E5A9E">
        <w:trPr>
          <w:trHeight w:val="264"/>
        </w:trPr>
        <w:tc>
          <w:tcPr>
            <w:tcW w:w="3827" w:type="dxa"/>
            <w:tcBorders>
              <w:top w:val="nil"/>
              <w:left w:val="nil"/>
              <w:bottom w:val="nil"/>
              <w:right w:val="nil"/>
            </w:tcBorders>
            <w:shd w:val="clear" w:color="auto" w:fill="auto"/>
            <w:noWrap/>
            <w:vAlign w:val="center"/>
            <w:hideMark/>
          </w:tcPr>
          <w:p w14:paraId="1396168C"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Daň z piva - znížená sadzba pre malé pivovary</w:t>
            </w:r>
          </w:p>
        </w:tc>
        <w:tc>
          <w:tcPr>
            <w:tcW w:w="907" w:type="dxa"/>
            <w:tcBorders>
              <w:top w:val="nil"/>
              <w:left w:val="nil"/>
              <w:bottom w:val="nil"/>
              <w:right w:val="nil"/>
            </w:tcBorders>
            <w:shd w:val="clear" w:color="auto" w:fill="auto"/>
            <w:noWrap/>
            <w:vAlign w:val="center"/>
            <w:hideMark/>
          </w:tcPr>
          <w:p w14:paraId="7FEBBD44"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SD</w:t>
            </w:r>
          </w:p>
        </w:tc>
        <w:tc>
          <w:tcPr>
            <w:tcW w:w="737" w:type="dxa"/>
            <w:tcBorders>
              <w:top w:val="nil"/>
              <w:left w:val="nil"/>
              <w:bottom w:val="nil"/>
              <w:right w:val="nil"/>
            </w:tcBorders>
            <w:shd w:val="clear" w:color="auto" w:fill="auto"/>
            <w:noWrap/>
            <w:vAlign w:val="center"/>
            <w:hideMark/>
          </w:tcPr>
          <w:p w14:paraId="11C8D3B1"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1 102</w:t>
            </w:r>
          </w:p>
        </w:tc>
        <w:tc>
          <w:tcPr>
            <w:tcW w:w="737" w:type="dxa"/>
            <w:tcBorders>
              <w:top w:val="nil"/>
              <w:left w:val="nil"/>
              <w:bottom w:val="nil"/>
              <w:right w:val="nil"/>
            </w:tcBorders>
            <w:shd w:val="clear" w:color="auto" w:fill="auto"/>
            <w:noWrap/>
            <w:vAlign w:val="center"/>
            <w:hideMark/>
          </w:tcPr>
          <w:p w14:paraId="606DD5AF"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1 219</w:t>
            </w:r>
          </w:p>
        </w:tc>
        <w:tc>
          <w:tcPr>
            <w:tcW w:w="737" w:type="dxa"/>
            <w:tcBorders>
              <w:top w:val="nil"/>
              <w:left w:val="nil"/>
              <w:bottom w:val="nil"/>
              <w:right w:val="nil"/>
            </w:tcBorders>
            <w:shd w:val="clear" w:color="auto" w:fill="auto"/>
            <w:noWrap/>
            <w:vAlign w:val="center"/>
            <w:hideMark/>
          </w:tcPr>
          <w:p w14:paraId="70AB971A"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1 145</w:t>
            </w:r>
          </w:p>
        </w:tc>
        <w:tc>
          <w:tcPr>
            <w:tcW w:w="737" w:type="dxa"/>
            <w:tcBorders>
              <w:top w:val="nil"/>
              <w:left w:val="nil"/>
              <w:bottom w:val="nil"/>
              <w:right w:val="nil"/>
            </w:tcBorders>
            <w:shd w:val="clear" w:color="auto" w:fill="auto"/>
            <w:noWrap/>
            <w:vAlign w:val="center"/>
            <w:hideMark/>
          </w:tcPr>
          <w:p w14:paraId="01D0BC4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1 179</w:t>
            </w:r>
          </w:p>
        </w:tc>
        <w:tc>
          <w:tcPr>
            <w:tcW w:w="737" w:type="dxa"/>
            <w:tcBorders>
              <w:top w:val="nil"/>
              <w:left w:val="nil"/>
              <w:bottom w:val="nil"/>
              <w:right w:val="nil"/>
            </w:tcBorders>
            <w:shd w:val="clear" w:color="auto" w:fill="auto"/>
            <w:noWrap/>
            <w:vAlign w:val="center"/>
            <w:hideMark/>
          </w:tcPr>
          <w:p w14:paraId="3FD4B98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1 180</w:t>
            </w:r>
          </w:p>
        </w:tc>
        <w:tc>
          <w:tcPr>
            <w:tcW w:w="737" w:type="dxa"/>
            <w:tcBorders>
              <w:top w:val="nil"/>
              <w:left w:val="nil"/>
              <w:bottom w:val="nil"/>
              <w:right w:val="nil"/>
            </w:tcBorders>
            <w:shd w:val="clear" w:color="auto" w:fill="auto"/>
            <w:noWrap/>
            <w:vAlign w:val="center"/>
            <w:hideMark/>
          </w:tcPr>
          <w:p w14:paraId="5EDF3F6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1 173</w:t>
            </w:r>
          </w:p>
        </w:tc>
      </w:tr>
      <w:tr w:rsidR="00BD3539" w:rsidRPr="00BD3539" w14:paraId="7F01AD9B" w14:textId="77777777" w:rsidTr="006E5A9E">
        <w:trPr>
          <w:trHeight w:val="264"/>
        </w:trPr>
        <w:tc>
          <w:tcPr>
            <w:tcW w:w="3827" w:type="dxa"/>
            <w:tcBorders>
              <w:top w:val="nil"/>
              <w:left w:val="nil"/>
              <w:bottom w:val="nil"/>
              <w:right w:val="nil"/>
            </w:tcBorders>
            <w:shd w:val="clear" w:color="auto" w:fill="auto"/>
            <w:noWrap/>
            <w:vAlign w:val="center"/>
            <w:hideMark/>
          </w:tcPr>
          <w:p w14:paraId="17525D52"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Daň z vína - znížená sadzba (0 EUR)</w:t>
            </w:r>
          </w:p>
        </w:tc>
        <w:tc>
          <w:tcPr>
            <w:tcW w:w="907" w:type="dxa"/>
            <w:tcBorders>
              <w:top w:val="nil"/>
              <w:left w:val="nil"/>
              <w:bottom w:val="nil"/>
              <w:right w:val="nil"/>
            </w:tcBorders>
            <w:shd w:val="clear" w:color="auto" w:fill="auto"/>
            <w:noWrap/>
            <w:vAlign w:val="center"/>
            <w:hideMark/>
          </w:tcPr>
          <w:p w14:paraId="4DD2E1EA"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SD</w:t>
            </w:r>
          </w:p>
        </w:tc>
        <w:tc>
          <w:tcPr>
            <w:tcW w:w="737" w:type="dxa"/>
            <w:tcBorders>
              <w:top w:val="nil"/>
              <w:left w:val="nil"/>
              <w:bottom w:val="nil"/>
              <w:right w:val="nil"/>
            </w:tcBorders>
            <w:shd w:val="clear" w:color="auto" w:fill="auto"/>
            <w:noWrap/>
            <w:vAlign w:val="center"/>
            <w:hideMark/>
          </w:tcPr>
          <w:p w14:paraId="2E31A0A8"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34 320</w:t>
            </w:r>
          </w:p>
        </w:tc>
        <w:tc>
          <w:tcPr>
            <w:tcW w:w="737" w:type="dxa"/>
            <w:tcBorders>
              <w:top w:val="nil"/>
              <w:left w:val="nil"/>
              <w:bottom w:val="nil"/>
              <w:right w:val="nil"/>
            </w:tcBorders>
            <w:shd w:val="clear" w:color="auto" w:fill="auto"/>
            <w:noWrap/>
            <w:vAlign w:val="center"/>
            <w:hideMark/>
          </w:tcPr>
          <w:p w14:paraId="40ED0DE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32 503</w:t>
            </w:r>
          </w:p>
        </w:tc>
        <w:tc>
          <w:tcPr>
            <w:tcW w:w="737" w:type="dxa"/>
            <w:tcBorders>
              <w:top w:val="nil"/>
              <w:left w:val="nil"/>
              <w:bottom w:val="nil"/>
              <w:right w:val="nil"/>
            </w:tcBorders>
            <w:shd w:val="clear" w:color="auto" w:fill="auto"/>
            <w:noWrap/>
            <w:vAlign w:val="center"/>
            <w:hideMark/>
          </w:tcPr>
          <w:p w14:paraId="613BD5BF"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32 369</w:t>
            </w:r>
          </w:p>
        </w:tc>
        <w:tc>
          <w:tcPr>
            <w:tcW w:w="737" w:type="dxa"/>
            <w:tcBorders>
              <w:top w:val="nil"/>
              <w:left w:val="nil"/>
              <w:bottom w:val="nil"/>
              <w:right w:val="nil"/>
            </w:tcBorders>
            <w:shd w:val="clear" w:color="auto" w:fill="auto"/>
            <w:noWrap/>
            <w:vAlign w:val="center"/>
            <w:hideMark/>
          </w:tcPr>
          <w:p w14:paraId="4F83F75F"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33 253</w:t>
            </w:r>
          </w:p>
        </w:tc>
        <w:tc>
          <w:tcPr>
            <w:tcW w:w="737" w:type="dxa"/>
            <w:tcBorders>
              <w:top w:val="nil"/>
              <w:left w:val="nil"/>
              <w:bottom w:val="nil"/>
              <w:right w:val="nil"/>
            </w:tcBorders>
            <w:shd w:val="clear" w:color="auto" w:fill="auto"/>
            <w:noWrap/>
            <w:vAlign w:val="center"/>
            <w:hideMark/>
          </w:tcPr>
          <w:p w14:paraId="14B5E270"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33 172</w:t>
            </w:r>
          </w:p>
        </w:tc>
        <w:tc>
          <w:tcPr>
            <w:tcW w:w="737" w:type="dxa"/>
            <w:tcBorders>
              <w:top w:val="nil"/>
              <w:left w:val="nil"/>
              <w:bottom w:val="nil"/>
              <w:right w:val="nil"/>
            </w:tcBorders>
            <w:shd w:val="clear" w:color="auto" w:fill="auto"/>
            <w:noWrap/>
            <w:vAlign w:val="center"/>
            <w:hideMark/>
          </w:tcPr>
          <w:p w14:paraId="20BC9DE2"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32 886</w:t>
            </w:r>
          </w:p>
        </w:tc>
      </w:tr>
      <w:tr w:rsidR="00BD3539" w:rsidRPr="00BD3539" w14:paraId="3C344FDA" w14:textId="77777777" w:rsidTr="006E5A9E">
        <w:trPr>
          <w:trHeight w:val="264"/>
        </w:trPr>
        <w:tc>
          <w:tcPr>
            <w:tcW w:w="3827" w:type="dxa"/>
            <w:tcBorders>
              <w:top w:val="nil"/>
              <w:left w:val="nil"/>
              <w:bottom w:val="nil"/>
              <w:right w:val="nil"/>
            </w:tcBorders>
            <w:shd w:val="clear" w:color="auto" w:fill="auto"/>
            <w:noWrap/>
            <w:vAlign w:val="center"/>
            <w:hideMark/>
          </w:tcPr>
          <w:p w14:paraId="7E6E1096"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NČZD na kúpeľníctvo</w:t>
            </w:r>
          </w:p>
        </w:tc>
        <w:tc>
          <w:tcPr>
            <w:tcW w:w="907" w:type="dxa"/>
            <w:tcBorders>
              <w:top w:val="nil"/>
              <w:left w:val="nil"/>
              <w:bottom w:val="nil"/>
              <w:right w:val="nil"/>
            </w:tcBorders>
            <w:shd w:val="clear" w:color="auto" w:fill="auto"/>
            <w:noWrap/>
            <w:vAlign w:val="center"/>
            <w:hideMark/>
          </w:tcPr>
          <w:p w14:paraId="5F7F3F4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DPFO</w:t>
            </w:r>
          </w:p>
        </w:tc>
        <w:tc>
          <w:tcPr>
            <w:tcW w:w="737" w:type="dxa"/>
            <w:tcBorders>
              <w:top w:val="nil"/>
              <w:left w:val="nil"/>
              <w:bottom w:val="nil"/>
              <w:right w:val="nil"/>
            </w:tcBorders>
            <w:shd w:val="clear" w:color="auto" w:fill="auto"/>
            <w:noWrap/>
            <w:vAlign w:val="center"/>
            <w:hideMark/>
          </w:tcPr>
          <w:p w14:paraId="2FAC7412"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2 106</w:t>
            </w:r>
          </w:p>
        </w:tc>
        <w:tc>
          <w:tcPr>
            <w:tcW w:w="737" w:type="dxa"/>
            <w:tcBorders>
              <w:top w:val="nil"/>
              <w:left w:val="nil"/>
              <w:bottom w:val="nil"/>
              <w:right w:val="nil"/>
            </w:tcBorders>
            <w:shd w:val="clear" w:color="auto" w:fill="auto"/>
            <w:noWrap/>
            <w:vAlign w:val="center"/>
            <w:hideMark/>
          </w:tcPr>
          <w:p w14:paraId="05ED9D20"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07B18C27"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415A5822"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41F3F162"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46801F0F"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r>
      <w:tr w:rsidR="00BD3539" w:rsidRPr="00BD3539" w14:paraId="12A2BDE5" w14:textId="77777777" w:rsidTr="006E5A9E">
        <w:trPr>
          <w:trHeight w:val="264"/>
        </w:trPr>
        <w:tc>
          <w:tcPr>
            <w:tcW w:w="3827" w:type="dxa"/>
            <w:tcBorders>
              <w:top w:val="nil"/>
              <w:left w:val="nil"/>
              <w:bottom w:val="nil"/>
              <w:right w:val="nil"/>
            </w:tcBorders>
            <w:shd w:val="clear" w:color="auto" w:fill="auto"/>
            <w:noWrap/>
            <w:vAlign w:val="center"/>
            <w:hideMark/>
          </w:tcPr>
          <w:p w14:paraId="3DE82A06"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Rekreačné poukazy</w:t>
            </w:r>
          </w:p>
        </w:tc>
        <w:tc>
          <w:tcPr>
            <w:tcW w:w="907" w:type="dxa"/>
            <w:tcBorders>
              <w:top w:val="nil"/>
              <w:left w:val="nil"/>
              <w:bottom w:val="nil"/>
              <w:right w:val="nil"/>
            </w:tcBorders>
            <w:shd w:val="clear" w:color="auto" w:fill="auto"/>
            <w:noWrap/>
            <w:vAlign w:val="center"/>
            <w:hideMark/>
          </w:tcPr>
          <w:p w14:paraId="0EA0FB21"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SP, ZP, DPFO</w:t>
            </w:r>
          </w:p>
        </w:tc>
        <w:tc>
          <w:tcPr>
            <w:tcW w:w="737" w:type="dxa"/>
            <w:tcBorders>
              <w:top w:val="nil"/>
              <w:left w:val="nil"/>
              <w:bottom w:val="nil"/>
              <w:right w:val="nil"/>
            </w:tcBorders>
            <w:shd w:val="clear" w:color="auto" w:fill="auto"/>
            <w:noWrap/>
            <w:vAlign w:val="center"/>
            <w:hideMark/>
          </w:tcPr>
          <w:p w14:paraId="50CED763"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26 095</w:t>
            </w:r>
          </w:p>
        </w:tc>
        <w:tc>
          <w:tcPr>
            <w:tcW w:w="737" w:type="dxa"/>
            <w:tcBorders>
              <w:top w:val="nil"/>
              <w:left w:val="nil"/>
              <w:bottom w:val="nil"/>
              <w:right w:val="nil"/>
            </w:tcBorders>
            <w:shd w:val="clear" w:color="auto" w:fill="auto"/>
            <w:noWrap/>
            <w:vAlign w:val="center"/>
            <w:hideMark/>
          </w:tcPr>
          <w:p w14:paraId="2A29C5D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29 343</w:t>
            </w:r>
          </w:p>
        </w:tc>
        <w:tc>
          <w:tcPr>
            <w:tcW w:w="737" w:type="dxa"/>
            <w:tcBorders>
              <w:top w:val="nil"/>
              <w:left w:val="nil"/>
              <w:bottom w:val="nil"/>
              <w:right w:val="nil"/>
            </w:tcBorders>
            <w:shd w:val="clear" w:color="auto" w:fill="auto"/>
            <w:noWrap/>
            <w:vAlign w:val="center"/>
            <w:hideMark/>
          </w:tcPr>
          <w:p w14:paraId="1F985B0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34 910</w:t>
            </w:r>
          </w:p>
        </w:tc>
        <w:tc>
          <w:tcPr>
            <w:tcW w:w="737" w:type="dxa"/>
            <w:tcBorders>
              <w:top w:val="nil"/>
              <w:left w:val="nil"/>
              <w:bottom w:val="nil"/>
              <w:right w:val="nil"/>
            </w:tcBorders>
            <w:shd w:val="clear" w:color="auto" w:fill="auto"/>
            <w:noWrap/>
            <w:vAlign w:val="center"/>
            <w:hideMark/>
          </w:tcPr>
          <w:p w14:paraId="32E991D5"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39 465</w:t>
            </w:r>
          </w:p>
        </w:tc>
        <w:tc>
          <w:tcPr>
            <w:tcW w:w="737" w:type="dxa"/>
            <w:tcBorders>
              <w:top w:val="nil"/>
              <w:left w:val="nil"/>
              <w:bottom w:val="nil"/>
              <w:right w:val="nil"/>
            </w:tcBorders>
            <w:shd w:val="clear" w:color="auto" w:fill="auto"/>
            <w:noWrap/>
            <w:vAlign w:val="center"/>
            <w:hideMark/>
          </w:tcPr>
          <w:p w14:paraId="458C743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44 081</w:t>
            </w:r>
          </w:p>
        </w:tc>
        <w:tc>
          <w:tcPr>
            <w:tcW w:w="737" w:type="dxa"/>
            <w:tcBorders>
              <w:top w:val="nil"/>
              <w:left w:val="nil"/>
              <w:bottom w:val="nil"/>
              <w:right w:val="nil"/>
            </w:tcBorders>
            <w:shd w:val="clear" w:color="auto" w:fill="auto"/>
            <w:noWrap/>
            <w:vAlign w:val="center"/>
            <w:hideMark/>
          </w:tcPr>
          <w:p w14:paraId="38543C8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46 103</w:t>
            </w:r>
          </w:p>
        </w:tc>
      </w:tr>
      <w:tr w:rsidR="00BD3539" w:rsidRPr="00BD3539" w14:paraId="386C5103" w14:textId="77777777" w:rsidTr="006E5A9E">
        <w:trPr>
          <w:trHeight w:val="264"/>
        </w:trPr>
        <w:tc>
          <w:tcPr>
            <w:tcW w:w="3827" w:type="dxa"/>
            <w:tcBorders>
              <w:top w:val="nil"/>
              <w:left w:val="nil"/>
              <w:bottom w:val="nil"/>
              <w:right w:val="nil"/>
            </w:tcBorders>
            <w:shd w:val="clear" w:color="auto" w:fill="auto"/>
            <w:noWrap/>
            <w:vAlign w:val="center"/>
            <w:hideMark/>
          </w:tcPr>
          <w:p w14:paraId="085BAC2C"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Daň z tabaku - postupné zvýšenie SD na cigarety a tabak od 2021, 2022 a 2023</w:t>
            </w:r>
          </w:p>
        </w:tc>
        <w:tc>
          <w:tcPr>
            <w:tcW w:w="907" w:type="dxa"/>
            <w:tcBorders>
              <w:top w:val="nil"/>
              <w:left w:val="nil"/>
              <w:bottom w:val="nil"/>
              <w:right w:val="nil"/>
            </w:tcBorders>
            <w:shd w:val="clear" w:color="auto" w:fill="auto"/>
            <w:noWrap/>
            <w:vAlign w:val="center"/>
            <w:hideMark/>
          </w:tcPr>
          <w:p w14:paraId="3FE8CD61"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SD</w:t>
            </w:r>
          </w:p>
        </w:tc>
        <w:tc>
          <w:tcPr>
            <w:tcW w:w="737" w:type="dxa"/>
            <w:tcBorders>
              <w:top w:val="nil"/>
              <w:left w:val="nil"/>
              <w:bottom w:val="nil"/>
              <w:right w:val="nil"/>
            </w:tcBorders>
            <w:shd w:val="clear" w:color="auto" w:fill="auto"/>
            <w:noWrap/>
            <w:vAlign w:val="center"/>
            <w:hideMark/>
          </w:tcPr>
          <w:p w14:paraId="611BE152"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112 127</w:t>
            </w:r>
          </w:p>
        </w:tc>
        <w:tc>
          <w:tcPr>
            <w:tcW w:w="737" w:type="dxa"/>
            <w:tcBorders>
              <w:top w:val="nil"/>
              <w:left w:val="nil"/>
              <w:bottom w:val="nil"/>
              <w:right w:val="nil"/>
            </w:tcBorders>
            <w:shd w:val="clear" w:color="auto" w:fill="auto"/>
            <w:noWrap/>
            <w:vAlign w:val="center"/>
            <w:hideMark/>
          </w:tcPr>
          <w:p w14:paraId="059FF3E3"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49 947</w:t>
            </w:r>
          </w:p>
        </w:tc>
        <w:tc>
          <w:tcPr>
            <w:tcW w:w="737" w:type="dxa"/>
            <w:tcBorders>
              <w:top w:val="nil"/>
              <w:left w:val="nil"/>
              <w:bottom w:val="nil"/>
              <w:right w:val="nil"/>
            </w:tcBorders>
            <w:shd w:val="clear" w:color="auto" w:fill="auto"/>
            <w:noWrap/>
            <w:vAlign w:val="center"/>
            <w:hideMark/>
          </w:tcPr>
          <w:p w14:paraId="645C10E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3 690</w:t>
            </w:r>
          </w:p>
        </w:tc>
        <w:tc>
          <w:tcPr>
            <w:tcW w:w="737" w:type="dxa"/>
            <w:tcBorders>
              <w:top w:val="nil"/>
              <w:left w:val="nil"/>
              <w:bottom w:val="nil"/>
              <w:right w:val="nil"/>
            </w:tcBorders>
            <w:shd w:val="clear" w:color="auto" w:fill="auto"/>
            <w:noWrap/>
            <w:vAlign w:val="center"/>
            <w:hideMark/>
          </w:tcPr>
          <w:p w14:paraId="3B02162F"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5A19EAD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2F53AEF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r>
      <w:tr w:rsidR="00BD3539" w:rsidRPr="00BD3539" w14:paraId="495388E0" w14:textId="77777777" w:rsidTr="006E5A9E">
        <w:trPr>
          <w:trHeight w:val="264"/>
        </w:trPr>
        <w:tc>
          <w:tcPr>
            <w:tcW w:w="3827" w:type="dxa"/>
            <w:tcBorders>
              <w:top w:val="nil"/>
              <w:left w:val="nil"/>
              <w:bottom w:val="nil"/>
              <w:right w:val="nil"/>
            </w:tcBorders>
            <w:shd w:val="clear" w:color="auto" w:fill="auto"/>
            <w:noWrap/>
            <w:vAlign w:val="center"/>
            <w:hideMark/>
          </w:tcPr>
          <w:p w14:paraId="2E6CAFAA"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Daň z liehu - zvýšenie sadzby od 1.4.2023</w:t>
            </w:r>
          </w:p>
        </w:tc>
        <w:tc>
          <w:tcPr>
            <w:tcW w:w="907" w:type="dxa"/>
            <w:tcBorders>
              <w:top w:val="nil"/>
              <w:left w:val="nil"/>
              <w:bottom w:val="nil"/>
              <w:right w:val="nil"/>
            </w:tcBorders>
            <w:shd w:val="clear" w:color="auto" w:fill="auto"/>
            <w:noWrap/>
            <w:vAlign w:val="center"/>
            <w:hideMark/>
          </w:tcPr>
          <w:p w14:paraId="1A9BE2DA"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sz w:val="16"/>
                <w:szCs w:val="16"/>
                <w:lang w:eastAsia="sk-SK"/>
              </w:rPr>
              <w:t>SD</w:t>
            </w:r>
          </w:p>
        </w:tc>
        <w:tc>
          <w:tcPr>
            <w:tcW w:w="737" w:type="dxa"/>
            <w:tcBorders>
              <w:top w:val="nil"/>
              <w:left w:val="nil"/>
              <w:bottom w:val="nil"/>
              <w:right w:val="nil"/>
            </w:tcBorders>
            <w:shd w:val="clear" w:color="auto" w:fill="auto"/>
            <w:noWrap/>
            <w:vAlign w:val="center"/>
            <w:hideMark/>
          </w:tcPr>
          <w:p w14:paraId="695A93B8"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60 966</w:t>
            </w:r>
          </w:p>
        </w:tc>
        <w:tc>
          <w:tcPr>
            <w:tcW w:w="737" w:type="dxa"/>
            <w:tcBorders>
              <w:top w:val="nil"/>
              <w:left w:val="nil"/>
              <w:bottom w:val="nil"/>
              <w:right w:val="nil"/>
            </w:tcBorders>
            <w:shd w:val="clear" w:color="auto" w:fill="auto"/>
            <w:noWrap/>
            <w:vAlign w:val="center"/>
            <w:hideMark/>
          </w:tcPr>
          <w:p w14:paraId="52E1E178"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63 280</w:t>
            </w:r>
          </w:p>
        </w:tc>
        <w:tc>
          <w:tcPr>
            <w:tcW w:w="737" w:type="dxa"/>
            <w:tcBorders>
              <w:top w:val="nil"/>
              <w:left w:val="nil"/>
              <w:bottom w:val="nil"/>
              <w:right w:val="nil"/>
            </w:tcBorders>
            <w:shd w:val="clear" w:color="auto" w:fill="auto"/>
            <w:noWrap/>
            <w:vAlign w:val="center"/>
            <w:hideMark/>
          </w:tcPr>
          <w:p w14:paraId="3E939A73"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38 523</w:t>
            </w:r>
          </w:p>
        </w:tc>
        <w:tc>
          <w:tcPr>
            <w:tcW w:w="737" w:type="dxa"/>
            <w:tcBorders>
              <w:top w:val="nil"/>
              <w:left w:val="nil"/>
              <w:bottom w:val="nil"/>
              <w:right w:val="nil"/>
            </w:tcBorders>
            <w:shd w:val="clear" w:color="auto" w:fill="auto"/>
            <w:noWrap/>
            <w:vAlign w:val="center"/>
            <w:hideMark/>
          </w:tcPr>
          <w:p w14:paraId="3F99102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6E0DBB53"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1FD85577"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r>
      <w:tr w:rsidR="00BD3539" w:rsidRPr="00BD3539" w14:paraId="559619B7" w14:textId="77777777" w:rsidTr="006E5A9E">
        <w:trPr>
          <w:trHeight w:val="264"/>
        </w:trPr>
        <w:tc>
          <w:tcPr>
            <w:tcW w:w="3827" w:type="dxa"/>
            <w:tcBorders>
              <w:top w:val="nil"/>
              <w:left w:val="nil"/>
              <w:bottom w:val="nil"/>
              <w:right w:val="nil"/>
            </w:tcBorders>
            <w:shd w:val="clear" w:color="auto" w:fill="auto"/>
            <w:noWrap/>
            <w:vAlign w:val="center"/>
            <w:hideMark/>
          </w:tcPr>
          <w:p w14:paraId="24B6E0A1"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Znížená DPH na ubytovanie</w:t>
            </w:r>
          </w:p>
        </w:tc>
        <w:tc>
          <w:tcPr>
            <w:tcW w:w="907" w:type="dxa"/>
            <w:tcBorders>
              <w:top w:val="nil"/>
              <w:left w:val="nil"/>
              <w:bottom w:val="nil"/>
              <w:right w:val="nil"/>
            </w:tcBorders>
            <w:shd w:val="clear" w:color="auto" w:fill="auto"/>
            <w:noWrap/>
            <w:vAlign w:val="center"/>
            <w:hideMark/>
          </w:tcPr>
          <w:p w14:paraId="16D43F81"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DPH</w:t>
            </w:r>
          </w:p>
        </w:tc>
        <w:tc>
          <w:tcPr>
            <w:tcW w:w="737" w:type="dxa"/>
            <w:tcBorders>
              <w:top w:val="nil"/>
              <w:left w:val="nil"/>
              <w:bottom w:val="nil"/>
              <w:right w:val="nil"/>
            </w:tcBorders>
            <w:shd w:val="clear" w:color="auto" w:fill="auto"/>
            <w:noWrap/>
            <w:vAlign w:val="center"/>
            <w:hideMark/>
          </w:tcPr>
          <w:p w14:paraId="6795087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18 660</w:t>
            </w:r>
          </w:p>
        </w:tc>
        <w:tc>
          <w:tcPr>
            <w:tcW w:w="737" w:type="dxa"/>
            <w:tcBorders>
              <w:top w:val="nil"/>
              <w:left w:val="nil"/>
              <w:bottom w:val="nil"/>
              <w:right w:val="nil"/>
            </w:tcBorders>
            <w:shd w:val="clear" w:color="auto" w:fill="auto"/>
            <w:noWrap/>
            <w:vAlign w:val="center"/>
            <w:hideMark/>
          </w:tcPr>
          <w:p w14:paraId="5B7367F8"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35 911</w:t>
            </w:r>
          </w:p>
        </w:tc>
        <w:tc>
          <w:tcPr>
            <w:tcW w:w="737" w:type="dxa"/>
            <w:tcBorders>
              <w:top w:val="nil"/>
              <w:left w:val="nil"/>
              <w:bottom w:val="nil"/>
              <w:right w:val="nil"/>
            </w:tcBorders>
            <w:shd w:val="clear" w:color="auto" w:fill="auto"/>
            <w:noWrap/>
            <w:vAlign w:val="center"/>
            <w:hideMark/>
          </w:tcPr>
          <w:p w14:paraId="756876A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39 111</w:t>
            </w:r>
          </w:p>
        </w:tc>
        <w:tc>
          <w:tcPr>
            <w:tcW w:w="737" w:type="dxa"/>
            <w:tcBorders>
              <w:top w:val="nil"/>
              <w:left w:val="nil"/>
              <w:bottom w:val="nil"/>
              <w:right w:val="nil"/>
            </w:tcBorders>
            <w:shd w:val="clear" w:color="auto" w:fill="auto"/>
            <w:noWrap/>
            <w:vAlign w:val="center"/>
            <w:hideMark/>
          </w:tcPr>
          <w:p w14:paraId="439CAB2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38 433</w:t>
            </w:r>
          </w:p>
        </w:tc>
        <w:tc>
          <w:tcPr>
            <w:tcW w:w="737" w:type="dxa"/>
            <w:tcBorders>
              <w:top w:val="nil"/>
              <w:left w:val="nil"/>
              <w:bottom w:val="nil"/>
              <w:right w:val="nil"/>
            </w:tcBorders>
            <w:shd w:val="clear" w:color="auto" w:fill="auto"/>
            <w:noWrap/>
            <w:vAlign w:val="center"/>
            <w:hideMark/>
          </w:tcPr>
          <w:p w14:paraId="6C5FB45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38 041</w:t>
            </w:r>
          </w:p>
        </w:tc>
        <w:tc>
          <w:tcPr>
            <w:tcW w:w="737" w:type="dxa"/>
            <w:tcBorders>
              <w:top w:val="nil"/>
              <w:left w:val="nil"/>
              <w:bottom w:val="nil"/>
              <w:right w:val="nil"/>
            </w:tcBorders>
            <w:shd w:val="clear" w:color="auto" w:fill="auto"/>
            <w:noWrap/>
            <w:vAlign w:val="center"/>
            <w:hideMark/>
          </w:tcPr>
          <w:p w14:paraId="2E96430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39 637</w:t>
            </w:r>
          </w:p>
        </w:tc>
      </w:tr>
      <w:tr w:rsidR="00BD3539" w:rsidRPr="00BD3539" w14:paraId="7A070B62" w14:textId="77777777" w:rsidTr="006E5A9E">
        <w:trPr>
          <w:trHeight w:val="264"/>
        </w:trPr>
        <w:tc>
          <w:tcPr>
            <w:tcW w:w="3827" w:type="dxa"/>
            <w:tcBorders>
              <w:top w:val="nil"/>
              <w:left w:val="nil"/>
              <w:bottom w:val="nil"/>
              <w:right w:val="nil"/>
            </w:tcBorders>
            <w:shd w:val="clear" w:color="auto" w:fill="auto"/>
            <w:noWrap/>
            <w:vAlign w:val="center"/>
            <w:hideMark/>
          </w:tcPr>
          <w:p w14:paraId="7A6567D4"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 xml:space="preserve">Znížená DPH na </w:t>
            </w:r>
            <w:proofErr w:type="spellStart"/>
            <w:r w:rsidRPr="00BD3539">
              <w:rPr>
                <w:rFonts w:ascii="Times New Roman" w:eastAsia="Times New Roman" w:hAnsi="Times New Roman" w:cs="Times New Roman"/>
                <w:color w:val="000000"/>
                <w:sz w:val="16"/>
                <w:szCs w:val="16"/>
                <w:lang w:eastAsia="sk-SK"/>
              </w:rPr>
              <w:t>print</w:t>
            </w:r>
            <w:proofErr w:type="spellEnd"/>
          </w:p>
        </w:tc>
        <w:tc>
          <w:tcPr>
            <w:tcW w:w="907" w:type="dxa"/>
            <w:tcBorders>
              <w:top w:val="nil"/>
              <w:left w:val="nil"/>
              <w:bottom w:val="nil"/>
              <w:right w:val="nil"/>
            </w:tcBorders>
            <w:shd w:val="clear" w:color="auto" w:fill="auto"/>
            <w:noWrap/>
            <w:vAlign w:val="center"/>
            <w:hideMark/>
          </w:tcPr>
          <w:p w14:paraId="1F4D34D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DPH</w:t>
            </w:r>
          </w:p>
        </w:tc>
        <w:tc>
          <w:tcPr>
            <w:tcW w:w="737" w:type="dxa"/>
            <w:tcBorders>
              <w:top w:val="nil"/>
              <w:left w:val="nil"/>
              <w:bottom w:val="nil"/>
              <w:right w:val="nil"/>
            </w:tcBorders>
            <w:shd w:val="clear" w:color="auto" w:fill="auto"/>
            <w:noWrap/>
            <w:vAlign w:val="center"/>
            <w:hideMark/>
          </w:tcPr>
          <w:p w14:paraId="6FF1DE12"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17 443</w:t>
            </w:r>
          </w:p>
        </w:tc>
        <w:tc>
          <w:tcPr>
            <w:tcW w:w="737" w:type="dxa"/>
            <w:tcBorders>
              <w:top w:val="nil"/>
              <w:left w:val="nil"/>
              <w:bottom w:val="nil"/>
              <w:right w:val="nil"/>
            </w:tcBorders>
            <w:shd w:val="clear" w:color="auto" w:fill="auto"/>
            <w:noWrap/>
            <w:vAlign w:val="center"/>
            <w:hideMark/>
          </w:tcPr>
          <w:p w14:paraId="2CE145F0"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10 670</w:t>
            </w:r>
          </w:p>
        </w:tc>
        <w:tc>
          <w:tcPr>
            <w:tcW w:w="737" w:type="dxa"/>
            <w:tcBorders>
              <w:top w:val="nil"/>
              <w:left w:val="nil"/>
              <w:bottom w:val="nil"/>
              <w:right w:val="nil"/>
            </w:tcBorders>
            <w:shd w:val="clear" w:color="auto" w:fill="auto"/>
            <w:noWrap/>
            <w:vAlign w:val="center"/>
            <w:hideMark/>
          </w:tcPr>
          <w:p w14:paraId="5944C328"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10 408</w:t>
            </w:r>
          </w:p>
        </w:tc>
        <w:tc>
          <w:tcPr>
            <w:tcW w:w="737" w:type="dxa"/>
            <w:tcBorders>
              <w:top w:val="nil"/>
              <w:left w:val="nil"/>
              <w:bottom w:val="nil"/>
              <w:right w:val="nil"/>
            </w:tcBorders>
            <w:shd w:val="clear" w:color="auto" w:fill="auto"/>
            <w:noWrap/>
            <w:vAlign w:val="center"/>
            <w:hideMark/>
          </w:tcPr>
          <w:p w14:paraId="3DFFAD7F"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10 227</w:t>
            </w:r>
          </w:p>
        </w:tc>
        <w:tc>
          <w:tcPr>
            <w:tcW w:w="737" w:type="dxa"/>
            <w:tcBorders>
              <w:top w:val="nil"/>
              <w:left w:val="nil"/>
              <w:bottom w:val="nil"/>
              <w:right w:val="nil"/>
            </w:tcBorders>
            <w:shd w:val="clear" w:color="auto" w:fill="auto"/>
            <w:noWrap/>
            <w:vAlign w:val="center"/>
            <w:hideMark/>
          </w:tcPr>
          <w:p w14:paraId="14AFC46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10 123</w:t>
            </w:r>
          </w:p>
        </w:tc>
        <w:tc>
          <w:tcPr>
            <w:tcW w:w="737" w:type="dxa"/>
            <w:tcBorders>
              <w:top w:val="nil"/>
              <w:left w:val="nil"/>
              <w:bottom w:val="nil"/>
              <w:right w:val="nil"/>
            </w:tcBorders>
            <w:shd w:val="clear" w:color="auto" w:fill="auto"/>
            <w:noWrap/>
            <w:vAlign w:val="center"/>
            <w:hideMark/>
          </w:tcPr>
          <w:p w14:paraId="360F0A33"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10 548</w:t>
            </w:r>
          </w:p>
        </w:tc>
      </w:tr>
      <w:tr w:rsidR="00BD3539" w:rsidRPr="00BD3539" w14:paraId="70276775" w14:textId="77777777" w:rsidTr="006E5A9E">
        <w:trPr>
          <w:trHeight w:val="264"/>
        </w:trPr>
        <w:tc>
          <w:tcPr>
            <w:tcW w:w="3827" w:type="dxa"/>
            <w:tcBorders>
              <w:top w:val="nil"/>
              <w:left w:val="nil"/>
              <w:bottom w:val="nil"/>
              <w:right w:val="nil"/>
            </w:tcBorders>
            <w:shd w:val="clear" w:color="auto" w:fill="auto"/>
            <w:noWrap/>
            <w:vAlign w:val="center"/>
            <w:hideMark/>
          </w:tcPr>
          <w:p w14:paraId="7B4CAC07"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 xml:space="preserve">Znížená sadzba DPH na </w:t>
            </w:r>
            <w:proofErr w:type="spellStart"/>
            <w:r w:rsidRPr="00BD3539">
              <w:rPr>
                <w:rFonts w:ascii="Times New Roman" w:eastAsia="Times New Roman" w:hAnsi="Times New Roman" w:cs="Times New Roman"/>
                <w:color w:val="000000"/>
                <w:sz w:val="16"/>
                <w:szCs w:val="16"/>
                <w:lang w:eastAsia="sk-SK"/>
              </w:rPr>
              <w:t>gastro</w:t>
            </w:r>
            <w:proofErr w:type="spellEnd"/>
            <w:r w:rsidRPr="00BD3539">
              <w:rPr>
                <w:rFonts w:ascii="Times New Roman" w:eastAsia="Times New Roman" w:hAnsi="Times New Roman" w:cs="Times New Roman"/>
                <w:color w:val="000000"/>
                <w:sz w:val="16"/>
                <w:szCs w:val="16"/>
                <w:lang w:eastAsia="sk-SK"/>
              </w:rPr>
              <w:t xml:space="preserve"> a športoviská</w:t>
            </w:r>
          </w:p>
        </w:tc>
        <w:tc>
          <w:tcPr>
            <w:tcW w:w="907" w:type="dxa"/>
            <w:tcBorders>
              <w:top w:val="nil"/>
              <w:left w:val="nil"/>
              <w:bottom w:val="nil"/>
              <w:right w:val="nil"/>
            </w:tcBorders>
            <w:shd w:val="clear" w:color="auto" w:fill="auto"/>
            <w:noWrap/>
            <w:vAlign w:val="center"/>
            <w:hideMark/>
          </w:tcPr>
          <w:p w14:paraId="47708B71"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DPH</w:t>
            </w:r>
          </w:p>
        </w:tc>
        <w:tc>
          <w:tcPr>
            <w:tcW w:w="737" w:type="dxa"/>
            <w:tcBorders>
              <w:top w:val="nil"/>
              <w:left w:val="nil"/>
              <w:bottom w:val="nil"/>
              <w:right w:val="nil"/>
            </w:tcBorders>
            <w:shd w:val="clear" w:color="auto" w:fill="auto"/>
            <w:noWrap/>
            <w:vAlign w:val="center"/>
            <w:hideMark/>
          </w:tcPr>
          <w:p w14:paraId="43A2547A"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458FB1C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34A3D08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204 940</w:t>
            </w:r>
          </w:p>
        </w:tc>
        <w:tc>
          <w:tcPr>
            <w:tcW w:w="737" w:type="dxa"/>
            <w:tcBorders>
              <w:top w:val="nil"/>
              <w:left w:val="nil"/>
              <w:bottom w:val="nil"/>
              <w:right w:val="nil"/>
            </w:tcBorders>
            <w:shd w:val="clear" w:color="auto" w:fill="auto"/>
            <w:noWrap/>
            <w:vAlign w:val="center"/>
            <w:hideMark/>
          </w:tcPr>
          <w:p w14:paraId="0B83651F"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192 279</w:t>
            </w:r>
          </w:p>
        </w:tc>
        <w:tc>
          <w:tcPr>
            <w:tcW w:w="737" w:type="dxa"/>
            <w:tcBorders>
              <w:top w:val="nil"/>
              <w:left w:val="nil"/>
              <w:bottom w:val="nil"/>
              <w:right w:val="nil"/>
            </w:tcBorders>
            <w:shd w:val="clear" w:color="auto" w:fill="auto"/>
            <w:noWrap/>
            <w:vAlign w:val="center"/>
            <w:hideMark/>
          </w:tcPr>
          <w:p w14:paraId="4ACB11D4"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201 892</w:t>
            </w:r>
          </w:p>
        </w:tc>
        <w:tc>
          <w:tcPr>
            <w:tcW w:w="737" w:type="dxa"/>
            <w:tcBorders>
              <w:top w:val="nil"/>
              <w:left w:val="nil"/>
              <w:bottom w:val="nil"/>
              <w:right w:val="nil"/>
            </w:tcBorders>
            <w:shd w:val="clear" w:color="auto" w:fill="auto"/>
            <w:noWrap/>
            <w:vAlign w:val="center"/>
            <w:hideMark/>
          </w:tcPr>
          <w:p w14:paraId="6B77DB5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210 483</w:t>
            </w:r>
          </w:p>
        </w:tc>
      </w:tr>
      <w:tr w:rsidR="00BD3539" w:rsidRPr="00BD3539" w14:paraId="491F5E19" w14:textId="77777777" w:rsidTr="006E5A9E">
        <w:trPr>
          <w:trHeight w:val="264"/>
        </w:trPr>
        <w:tc>
          <w:tcPr>
            <w:tcW w:w="3827" w:type="dxa"/>
            <w:tcBorders>
              <w:top w:val="nil"/>
              <w:left w:val="nil"/>
              <w:bottom w:val="nil"/>
              <w:right w:val="nil"/>
            </w:tcBorders>
            <w:shd w:val="clear" w:color="auto" w:fill="auto"/>
            <w:noWrap/>
            <w:vAlign w:val="center"/>
            <w:hideMark/>
          </w:tcPr>
          <w:p w14:paraId="32B8EA44"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lastRenderedPageBreak/>
              <w:t>Skrátenie doby odpisu pre elektromobily</w:t>
            </w:r>
          </w:p>
        </w:tc>
        <w:tc>
          <w:tcPr>
            <w:tcW w:w="907" w:type="dxa"/>
            <w:tcBorders>
              <w:top w:val="nil"/>
              <w:left w:val="nil"/>
              <w:bottom w:val="nil"/>
              <w:right w:val="nil"/>
            </w:tcBorders>
            <w:shd w:val="clear" w:color="auto" w:fill="auto"/>
            <w:noWrap/>
            <w:vAlign w:val="center"/>
            <w:hideMark/>
          </w:tcPr>
          <w:p w14:paraId="7B0008CB"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DPPO</w:t>
            </w:r>
          </w:p>
        </w:tc>
        <w:tc>
          <w:tcPr>
            <w:tcW w:w="737" w:type="dxa"/>
            <w:tcBorders>
              <w:top w:val="nil"/>
              <w:left w:val="nil"/>
              <w:bottom w:val="nil"/>
              <w:right w:val="nil"/>
            </w:tcBorders>
            <w:shd w:val="clear" w:color="auto" w:fill="auto"/>
            <w:noWrap/>
            <w:vAlign w:val="center"/>
            <w:hideMark/>
          </w:tcPr>
          <w:p w14:paraId="4B5E48A2"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6 578</w:t>
            </w:r>
          </w:p>
        </w:tc>
        <w:tc>
          <w:tcPr>
            <w:tcW w:w="737" w:type="dxa"/>
            <w:tcBorders>
              <w:top w:val="nil"/>
              <w:left w:val="nil"/>
              <w:bottom w:val="nil"/>
              <w:right w:val="nil"/>
            </w:tcBorders>
            <w:shd w:val="clear" w:color="auto" w:fill="auto"/>
            <w:noWrap/>
            <w:vAlign w:val="center"/>
            <w:hideMark/>
          </w:tcPr>
          <w:p w14:paraId="7B15567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4 779</w:t>
            </w:r>
          </w:p>
        </w:tc>
        <w:tc>
          <w:tcPr>
            <w:tcW w:w="737" w:type="dxa"/>
            <w:tcBorders>
              <w:top w:val="nil"/>
              <w:left w:val="nil"/>
              <w:bottom w:val="nil"/>
              <w:right w:val="nil"/>
            </w:tcBorders>
            <w:shd w:val="clear" w:color="auto" w:fill="auto"/>
            <w:noWrap/>
            <w:vAlign w:val="center"/>
            <w:hideMark/>
          </w:tcPr>
          <w:p w14:paraId="7CA3682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2 613</w:t>
            </w:r>
          </w:p>
        </w:tc>
        <w:tc>
          <w:tcPr>
            <w:tcW w:w="737" w:type="dxa"/>
            <w:tcBorders>
              <w:top w:val="nil"/>
              <w:left w:val="nil"/>
              <w:bottom w:val="nil"/>
              <w:right w:val="nil"/>
            </w:tcBorders>
            <w:shd w:val="clear" w:color="auto" w:fill="auto"/>
            <w:noWrap/>
            <w:vAlign w:val="center"/>
            <w:hideMark/>
          </w:tcPr>
          <w:p w14:paraId="23E068E1"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2 729</w:t>
            </w:r>
          </w:p>
        </w:tc>
        <w:tc>
          <w:tcPr>
            <w:tcW w:w="737" w:type="dxa"/>
            <w:tcBorders>
              <w:top w:val="nil"/>
              <w:left w:val="nil"/>
              <w:bottom w:val="nil"/>
              <w:right w:val="nil"/>
            </w:tcBorders>
            <w:shd w:val="clear" w:color="auto" w:fill="auto"/>
            <w:noWrap/>
            <w:vAlign w:val="center"/>
            <w:hideMark/>
          </w:tcPr>
          <w:p w14:paraId="7324542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3 318</w:t>
            </w:r>
          </w:p>
        </w:tc>
        <w:tc>
          <w:tcPr>
            <w:tcW w:w="737" w:type="dxa"/>
            <w:tcBorders>
              <w:top w:val="nil"/>
              <w:left w:val="nil"/>
              <w:bottom w:val="nil"/>
              <w:right w:val="nil"/>
            </w:tcBorders>
            <w:shd w:val="clear" w:color="auto" w:fill="auto"/>
            <w:noWrap/>
            <w:vAlign w:val="center"/>
            <w:hideMark/>
          </w:tcPr>
          <w:p w14:paraId="53BE5DC0"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3 317</w:t>
            </w:r>
          </w:p>
        </w:tc>
      </w:tr>
      <w:tr w:rsidR="00BD3539" w:rsidRPr="00BD3539" w14:paraId="695DA5BD" w14:textId="77777777" w:rsidTr="006E5A9E">
        <w:trPr>
          <w:trHeight w:val="264"/>
        </w:trPr>
        <w:tc>
          <w:tcPr>
            <w:tcW w:w="3827" w:type="dxa"/>
            <w:tcBorders>
              <w:top w:val="nil"/>
              <w:left w:val="nil"/>
              <w:bottom w:val="nil"/>
              <w:right w:val="nil"/>
            </w:tcBorders>
            <w:shd w:val="clear" w:color="auto" w:fill="auto"/>
            <w:noWrap/>
            <w:vAlign w:val="center"/>
            <w:hideMark/>
          </w:tcPr>
          <w:p w14:paraId="5369CCA2"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 xml:space="preserve">Oslobodenie cestovných nákladov lekárov na </w:t>
            </w:r>
            <w:proofErr w:type="spellStart"/>
            <w:r w:rsidRPr="00BD3539">
              <w:rPr>
                <w:rFonts w:ascii="Times New Roman" w:eastAsia="Times New Roman" w:hAnsi="Times New Roman" w:cs="Times New Roman"/>
                <w:sz w:val="16"/>
                <w:szCs w:val="16"/>
                <w:lang w:eastAsia="sk-SK"/>
              </w:rPr>
              <w:t>kogresy</w:t>
            </w:r>
            <w:proofErr w:type="spellEnd"/>
          </w:p>
        </w:tc>
        <w:tc>
          <w:tcPr>
            <w:tcW w:w="907" w:type="dxa"/>
            <w:tcBorders>
              <w:top w:val="nil"/>
              <w:left w:val="nil"/>
              <w:bottom w:val="nil"/>
              <w:right w:val="nil"/>
            </w:tcBorders>
            <w:shd w:val="clear" w:color="auto" w:fill="auto"/>
            <w:noWrap/>
            <w:vAlign w:val="center"/>
            <w:hideMark/>
          </w:tcPr>
          <w:p w14:paraId="1CDC3DB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proofErr w:type="spellStart"/>
            <w:r w:rsidRPr="00BD3539">
              <w:rPr>
                <w:rFonts w:ascii="Times New Roman" w:eastAsia="Times New Roman" w:hAnsi="Times New Roman" w:cs="Times New Roman"/>
                <w:sz w:val="16"/>
                <w:szCs w:val="16"/>
                <w:lang w:eastAsia="sk-SK"/>
              </w:rPr>
              <w:t>DvZ</w:t>
            </w:r>
            <w:proofErr w:type="spellEnd"/>
          </w:p>
        </w:tc>
        <w:tc>
          <w:tcPr>
            <w:tcW w:w="737" w:type="dxa"/>
            <w:tcBorders>
              <w:top w:val="nil"/>
              <w:left w:val="nil"/>
              <w:bottom w:val="nil"/>
              <w:right w:val="nil"/>
            </w:tcBorders>
            <w:shd w:val="clear" w:color="auto" w:fill="auto"/>
            <w:noWrap/>
            <w:vAlign w:val="center"/>
            <w:hideMark/>
          </w:tcPr>
          <w:p w14:paraId="4839622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5C77AB50"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75F415E5"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1 000</w:t>
            </w:r>
          </w:p>
        </w:tc>
        <w:tc>
          <w:tcPr>
            <w:tcW w:w="737" w:type="dxa"/>
            <w:tcBorders>
              <w:top w:val="nil"/>
              <w:left w:val="nil"/>
              <w:bottom w:val="nil"/>
              <w:right w:val="nil"/>
            </w:tcBorders>
            <w:shd w:val="clear" w:color="auto" w:fill="auto"/>
            <w:noWrap/>
            <w:vAlign w:val="center"/>
            <w:hideMark/>
          </w:tcPr>
          <w:p w14:paraId="2FF8D95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1 050</w:t>
            </w:r>
          </w:p>
        </w:tc>
        <w:tc>
          <w:tcPr>
            <w:tcW w:w="737" w:type="dxa"/>
            <w:tcBorders>
              <w:top w:val="nil"/>
              <w:left w:val="nil"/>
              <w:bottom w:val="nil"/>
              <w:right w:val="nil"/>
            </w:tcBorders>
            <w:shd w:val="clear" w:color="auto" w:fill="auto"/>
            <w:noWrap/>
            <w:vAlign w:val="center"/>
            <w:hideMark/>
          </w:tcPr>
          <w:p w14:paraId="78B7C9A1"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1 103</w:t>
            </w:r>
          </w:p>
        </w:tc>
        <w:tc>
          <w:tcPr>
            <w:tcW w:w="737" w:type="dxa"/>
            <w:tcBorders>
              <w:top w:val="nil"/>
              <w:left w:val="nil"/>
              <w:bottom w:val="nil"/>
              <w:right w:val="nil"/>
            </w:tcBorders>
            <w:shd w:val="clear" w:color="auto" w:fill="auto"/>
            <w:noWrap/>
            <w:vAlign w:val="center"/>
            <w:hideMark/>
          </w:tcPr>
          <w:p w14:paraId="3DBF2790"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1 158</w:t>
            </w:r>
          </w:p>
        </w:tc>
      </w:tr>
      <w:tr w:rsidR="00BD3539" w:rsidRPr="00BD3539" w14:paraId="5CEC74A9" w14:textId="77777777" w:rsidTr="006E5A9E">
        <w:trPr>
          <w:trHeight w:val="264"/>
        </w:trPr>
        <w:tc>
          <w:tcPr>
            <w:tcW w:w="3827" w:type="dxa"/>
            <w:tcBorders>
              <w:top w:val="nil"/>
              <w:left w:val="nil"/>
              <w:bottom w:val="nil"/>
              <w:right w:val="nil"/>
            </w:tcBorders>
            <w:shd w:val="clear" w:color="auto" w:fill="auto"/>
            <w:noWrap/>
            <w:vAlign w:val="center"/>
            <w:hideMark/>
          </w:tcPr>
          <w:p w14:paraId="48AC291D"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Daň z liehu - zvýšenie sadzby od 1.1.2024</w:t>
            </w:r>
          </w:p>
        </w:tc>
        <w:tc>
          <w:tcPr>
            <w:tcW w:w="907" w:type="dxa"/>
            <w:tcBorders>
              <w:top w:val="nil"/>
              <w:left w:val="nil"/>
              <w:bottom w:val="nil"/>
              <w:right w:val="nil"/>
            </w:tcBorders>
            <w:shd w:val="clear" w:color="auto" w:fill="auto"/>
            <w:noWrap/>
            <w:vAlign w:val="center"/>
            <w:hideMark/>
          </w:tcPr>
          <w:p w14:paraId="0FB21521"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SD</w:t>
            </w:r>
          </w:p>
        </w:tc>
        <w:tc>
          <w:tcPr>
            <w:tcW w:w="737" w:type="dxa"/>
            <w:tcBorders>
              <w:top w:val="nil"/>
              <w:left w:val="nil"/>
              <w:bottom w:val="nil"/>
              <w:right w:val="nil"/>
            </w:tcBorders>
            <w:shd w:val="clear" w:color="auto" w:fill="auto"/>
            <w:noWrap/>
            <w:vAlign w:val="center"/>
            <w:hideMark/>
          </w:tcPr>
          <w:p w14:paraId="3DE1536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16 725</w:t>
            </w:r>
          </w:p>
        </w:tc>
        <w:tc>
          <w:tcPr>
            <w:tcW w:w="737" w:type="dxa"/>
            <w:tcBorders>
              <w:top w:val="nil"/>
              <w:left w:val="nil"/>
              <w:bottom w:val="nil"/>
              <w:right w:val="nil"/>
            </w:tcBorders>
            <w:shd w:val="clear" w:color="auto" w:fill="auto"/>
            <w:noWrap/>
            <w:vAlign w:val="center"/>
            <w:hideMark/>
          </w:tcPr>
          <w:p w14:paraId="084A5E88"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17 360</w:t>
            </w:r>
          </w:p>
        </w:tc>
        <w:tc>
          <w:tcPr>
            <w:tcW w:w="737" w:type="dxa"/>
            <w:tcBorders>
              <w:top w:val="nil"/>
              <w:left w:val="nil"/>
              <w:bottom w:val="nil"/>
              <w:right w:val="nil"/>
            </w:tcBorders>
            <w:shd w:val="clear" w:color="auto" w:fill="auto"/>
            <w:noWrap/>
            <w:vAlign w:val="center"/>
            <w:hideMark/>
          </w:tcPr>
          <w:p w14:paraId="28194A65"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18 257</w:t>
            </w:r>
          </w:p>
        </w:tc>
        <w:tc>
          <w:tcPr>
            <w:tcW w:w="737" w:type="dxa"/>
            <w:tcBorders>
              <w:top w:val="nil"/>
              <w:left w:val="nil"/>
              <w:bottom w:val="nil"/>
              <w:right w:val="nil"/>
            </w:tcBorders>
            <w:shd w:val="clear" w:color="auto" w:fill="auto"/>
            <w:noWrap/>
            <w:vAlign w:val="center"/>
            <w:hideMark/>
          </w:tcPr>
          <w:p w14:paraId="6D47C700"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2 491</w:t>
            </w:r>
          </w:p>
        </w:tc>
        <w:tc>
          <w:tcPr>
            <w:tcW w:w="737" w:type="dxa"/>
            <w:tcBorders>
              <w:top w:val="nil"/>
              <w:left w:val="nil"/>
              <w:bottom w:val="nil"/>
              <w:right w:val="nil"/>
            </w:tcBorders>
            <w:shd w:val="clear" w:color="auto" w:fill="auto"/>
            <w:noWrap/>
            <w:vAlign w:val="center"/>
            <w:hideMark/>
          </w:tcPr>
          <w:p w14:paraId="75AA41AF"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1FA6CBF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r>
      <w:tr w:rsidR="00BD3539" w:rsidRPr="00BD3539" w14:paraId="00BC5D3F" w14:textId="77777777" w:rsidTr="006E5A9E">
        <w:trPr>
          <w:trHeight w:val="264"/>
        </w:trPr>
        <w:tc>
          <w:tcPr>
            <w:tcW w:w="3827" w:type="dxa"/>
            <w:tcBorders>
              <w:top w:val="nil"/>
              <w:left w:val="nil"/>
              <w:bottom w:val="nil"/>
              <w:right w:val="nil"/>
            </w:tcBorders>
            <w:shd w:val="clear" w:color="auto" w:fill="auto"/>
            <w:noWrap/>
            <w:vAlign w:val="center"/>
            <w:hideMark/>
          </w:tcPr>
          <w:p w14:paraId="764469BB"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Daň z tabakových výrobkov - zvýšenie SD od 1.2.2024</w:t>
            </w:r>
          </w:p>
        </w:tc>
        <w:tc>
          <w:tcPr>
            <w:tcW w:w="907" w:type="dxa"/>
            <w:tcBorders>
              <w:top w:val="nil"/>
              <w:left w:val="nil"/>
              <w:bottom w:val="nil"/>
              <w:right w:val="nil"/>
            </w:tcBorders>
            <w:shd w:val="clear" w:color="auto" w:fill="auto"/>
            <w:noWrap/>
            <w:vAlign w:val="center"/>
            <w:hideMark/>
          </w:tcPr>
          <w:p w14:paraId="3999322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SD</w:t>
            </w:r>
          </w:p>
        </w:tc>
        <w:tc>
          <w:tcPr>
            <w:tcW w:w="737" w:type="dxa"/>
            <w:tcBorders>
              <w:top w:val="nil"/>
              <w:left w:val="nil"/>
              <w:bottom w:val="nil"/>
              <w:right w:val="nil"/>
            </w:tcBorders>
            <w:shd w:val="clear" w:color="auto" w:fill="auto"/>
            <w:noWrap/>
            <w:vAlign w:val="center"/>
            <w:hideMark/>
          </w:tcPr>
          <w:p w14:paraId="4526E34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97 279</w:t>
            </w:r>
          </w:p>
        </w:tc>
        <w:tc>
          <w:tcPr>
            <w:tcW w:w="737" w:type="dxa"/>
            <w:tcBorders>
              <w:top w:val="nil"/>
              <w:left w:val="nil"/>
              <w:bottom w:val="nil"/>
              <w:right w:val="nil"/>
            </w:tcBorders>
            <w:shd w:val="clear" w:color="auto" w:fill="auto"/>
            <w:noWrap/>
            <w:vAlign w:val="center"/>
            <w:hideMark/>
          </w:tcPr>
          <w:p w14:paraId="7FEB03F2"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98 150</w:t>
            </w:r>
          </w:p>
        </w:tc>
        <w:tc>
          <w:tcPr>
            <w:tcW w:w="737" w:type="dxa"/>
            <w:tcBorders>
              <w:top w:val="nil"/>
              <w:left w:val="nil"/>
              <w:bottom w:val="nil"/>
              <w:right w:val="nil"/>
            </w:tcBorders>
            <w:shd w:val="clear" w:color="auto" w:fill="auto"/>
            <w:noWrap/>
            <w:vAlign w:val="center"/>
            <w:hideMark/>
          </w:tcPr>
          <w:p w14:paraId="7603483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96 495</w:t>
            </w:r>
          </w:p>
        </w:tc>
        <w:tc>
          <w:tcPr>
            <w:tcW w:w="737" w:type="dxa"/>
            <w:tcBorders>
              <w:top w:val="nil"/>
              <w:left w:val="nil"/>
              <w:bottom w:val="nil"/>
              <w:right w:val="nil"/>
            </w:tcBorders>
            <w:shd w:val="clear" w:color="auto" w:fill="auto"/>
            <w:noWrap/>
            <w:vAlign w:val="center"/>
            <w:hideMark/>
          </w:tcPr>
          <w:p w14:paraId="76F7003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8 144</w:t>
            </w:r>
          </w:p>
        </w:tc>
        <w:tc>
          <w:tcPr>
            <w:tcW w:w="737" w:type="dxa"/>
            <w:tcBorders>
              <w:top w:val="nil"/>
              <w:left w:val="nil"/>
              <w:bottom w:val="nil"/>
              <w:right w:val="nil"/>
            </w:tcBorders>
            <w:shd w:val="clear" w:color="auto" w:fill="auto"/>
            <w:noWrap/>
            <w:vAlign w:val="center"/>
            <w:hideMark/>
          </w:tcPr>
          <w:p w14:paraId="7CD0E0E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7451C9E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r>
      <w:tr w:rsidR="00BD3539" w:rsidRPr="00BD3539" w14:paraId="4BAC2D29" w14:textId="77777777" w:rsidTr="006E5A9E">
        <w:trPr>
          <w:trHeight w:val="264"/>
        </w:trPr>
        <w:tc>
          <w:tcPr>
            <w:tcW w:w="3827" w:type="dxa"/>
            <w:tcBorders>
              <w:top w:val="nil"/>
              <w:left w:val="nil"/>
              <w:bottom w:val="nil"/>
              <w:right w:val="nil"/>
            </w:tcBorders>
            <w:shd w:val="clear" w:color="auto" w:fill="auto"/>
            <w:noWrap/>
            <w:vAlign w:val="center"/>
            <w:hideMark/>
          </w:tcPr>
          <w:p w14:paraId="5551ECC3"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Daň z tabakových výrobkov - zvýšenie SD od 1.2.2026</w:t>
            </w:r>
          </w:p>
        </w:tc>
        <w:tc>
          <w:tcPr>
            <w:tcW w:w="907" w:type="dxa"/>
            <w:tcBorders>
              <w:top w:val="nil"/>
              <w:left w:val="nil"/>
              <w:bottom w:val="nil"/>
              <w:right w:val="nil"/>
            </w:tcBorders>
            <w:shd w:val="clear" w:color="auto" w:fill="auto"/>
            <w:noWrap/>
            <w:vAlign w:val="center"/>
            <w:hideMark/>
          </w:tcPr>
          <w:p w14:paraId="42F4DB7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SD</w:t>
            </w:r>
          </w:p>
        </w:tc>
        <w:tc>
          <w:tcPr>
            <w:tcW w:w="737" w:type="dxa"/>
            <w:tcBorders>
              <w:top w:val="nil"/>
              <w:left w:val="nil"/>
              <w:bottom w:val="nil"/>
              <w:right w:val="nil"/>
            </w:tcBorders>
            <w:shd w:val="clear" w:color="auto" w:fill="auto"/>
            <w:noWrap/>
            <w:vAlign w:val="center"/>
            <w:hideMark/>
          </w:tcPr>
          <w:p w14:paraId="4695503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100 855</w:t>
            </w:r>
          </w:p>
        </w:tc>
        <w:tc>
          <w:tcPr>
            <w:tcW w:w="737" w:type="dxa"/>
            <w:tcBorders>
              <w:top w:val="nil"/>
              <w:left w:val="nil"/>
              <w:bottom w:val="nil"/>
              <w:right w:val="nil"/>
            </w:tcBorders>
            <w:shd w:val="clear" w:color="auto" w:fill="auto"/>
            <w:noWrap/>
            <w:vAlign w:val="center"/>
            <w:hideMark/>
          </w:tcPr>
          <w:p w14:paraId="6933D101"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101 758</w:t>
            </w:r>
          </w:p>
        </w:tc>
        <w:tc>
          <w:tcPr>
            <w:tcW w:w="737" w:type="dxa"/>
            <w:tcBorders>
              <w:top w:val="nil"/>
              <w:left w:val="nil"/>
              <w:bottom w:val="nil"/>
              <w:right w:val="nil"/>
            </w:tcBorders>
            <w:shd w:val="clear" w:color="auto" w:fill="auto"/>
            <w:noWrap/>
            <w:vAlign w:val="center"/>
            <w:hideMark/>
          </w:tcPr>
          <w:p w14:paraId="03E610F2"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100 041</w:t>
            </w:r>
          </w:p>
        </w:tc>
        <w:tc>
          <w:tcPr>
            <w:tcW w:w="737" w:type="dxa"/>
            <w:tcBorders>
              <w:top w:val="nil"/>
              <w:left w:val="nil"/>
              <w:bottom w:val="nil"/>
              <w:right w:val="nil"/>
            </w:tcBorders>
            <w:shd w:val="clear" w:color="auto" w:fill="auto"/>
            <w:noWrap/>
            <w:vAlign w:val="center"/>
            <w:hideMark/>
          </w:tcPr>
          <w:p w14:paraId="2C24D7E0"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101 314</w:t>
            </w:r>
          </w:p>
        </w:tc>
        <w:tc>
          <w:tcPr>
            <w:tcW w:w="737" w:type="dxa"/>
            <w:tcBorders>
              <w:top w:val="nil"/>
              <w:left w:val="nil"/>
              <w:bottom w:val="nil"/>
              <w:right w:val="nil"/>
            </w:tcBorders>
            <w:shd w:val="clear" w:color="auto" w:fill="auto"/>
            <w:noWrap/>
            <w:vAlign w:val="center"/>
            <w:hideMark/>
          </w:tcPr>
          <w:p w14:paraId="1C7A7C8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101 275</w:t>
            </w:r>
          </w:p>
        </w:tc>
        <w:tc>
          <w:tcPr>
            <w:tcW w:w="737" w:type="dxa"/>
            <w:tcBorders>
              <w:top w:val="nil"/>
              <w:left w:val="nil"/>
              <w:bottom w:val="nil"/>
              <w:right w:val="nil"/>
            </w:tcBorders>
            <w:shd w:val="clear" w:color="auto" w:fill="auto"/>
            <w:noWrap/>
            <w:vAlign w:val="center"/>
            <w:hideMark/>
          </w:tcPr>
          <w:p w14:paraId="2208EE5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8 389</w:t>
            </w:r>
          </w:p>
        </w:tc>
      </w:tr>
      <w:tr w:rsidR="00BD3539" w:rsidRPr="00BD3539" w14:paraId="7D5AA45E" w14:textId="77777777" w:rsidTr="006E5A9E">
        <w:trPr>
          <w:trHeight w:val="264"/>
        </w:trPr>
        <w:tc>
          <w:tcPr>
            <w:tcW w:w="3827" w:type="dxa"/>
            <w:tcBorders>
              <w:top w:val="nil"/>
              <w:left w:val="nil"/>
              <w:bottom w:val="nil"/>
              <w:right w:val="nil"/>
            </w:tcBorders>
            <w:shd w:val="clear" w:color="auto" w:fill="auto"/>
            <w:noWrap/>
            <w:vAlign w:val="center"/>
            <w:hideMark/>
          </w:tcPr>
          <w:p w14:paraId="274D6885"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Podpora vedy a výskumu</w:t>
            </w:r>
          </w:p>
        </w:tc>
        <w:tc>
          <w:tcPr>
            <w:tcW w:w="907" w:type="dxa"/>
            <w:tcBorders>
              <w:top w:val="nil"/>
              <w:left w:val="nil"/>
              <w:bottom w:val="nil"/>
              <w:right w:val="nil"/>
            </w:tcBorders>
            <w:shd w:val="clear" w:color="auto" w:fill="auto"/>
            <w:noWrap/>
            <w:vAlign w:val="center"/>
            <w:hideMark/>
          </w:tcPr>
          <w:p w14:paraId="5FAF7C00"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p>
        </w:tc>
        <w:tc>
          <w:tcPr>
            <w:tcW w:w="737" w:type="dxa"/>
            <w:tcBorders>
              <w:top w:val="nil"/>
              <w:left w:val="nil"/>
              <w:bottom w:val="nil"/>
              <w:right w:val="nil"/>
            </w:tcBorders>
            <w:shd w:val="clear" w:color="auto" w:fill="auto"/>
            <w:noWrap/>
            <w:vAlign w:val="center"/>
            <w:hideMark/>
          </w:tcPr>
          <w:p w14:paraId="6A34E2FD"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56 566</w:t>
            </w:r>
          </w:p>
        </w:tc>
        <w:tc>
          <w:tcPr>
            <w:tcW w:w="737" w:type="dxa"/>
            <w:tcBorders>
              <w:top w:val="nil"/>
              <w:left w:val="nil"/>
              <w:bottom w:val="nil"/>
              <w:right w:val="nil"/>
            </w:tcBorders>
            <w:shd w:val="clear" w:color="auto" w:fill="auto"/>
            <w:noWrap/>
            <w:vAlign w:val="center"/>
            <w:hideMark/>
          </w:tcPr>
          <w:p w14:paraId="09F4FFB2"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45 206</w:t>
            </w:r>
          </w:p>
        </w:tc>
        <w:tc>
          <w:tcPr>
            <w:tcW w:w="737" w:type="dxa"/>
            <w:tcBorders>
              <w:top w:val="nil"/>
              <w:left w:val="nil"/>
              <w:bottom w:val="nil"/>
              <w:right w:val="nil"/>
            </w:tcBorders>
            <w:shd w:val="clear" w:color="auto" w:fill="auto"/>
            <w:noWrap/>
            <w:vAlign w:val="center"/>
            <w:hideMark/>
          </w:tcPr>
          <w:p w14:paraId="170205D7"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62 823</w:t>
            </w:r>
          </w:p>
        </w:tc>
        <w:tc>
          <w:tcPr>
            <w:tcW w:w="737" w:type="dxa"/>
            <w:tcBorders>
              <w:top w:val="nil"/>
              <w:left w:val="nil"/>
              <w:bottom w:val="nil"/>
              <w:right w:val="nil"/>
            </w:tcBorders>
            <w:shd w:val="clear" w:color="auto" w:fill="auto"/>
            <w:noWrap/>
            <w:vAlign w:val="center"/>
            <w:hideMark/>
          </w:tcPr>
          <w:p w14:paraId="43A6C918"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79 654</w:t>
            </w:r>
          </w:p>
        </w:tc>
        <w:tc>
          <w:tcPr>
            <w:tcW w:w="737" w:type="dxa"/>
            <w:tcBorders>
              <w:top w:val="nil"/>
              <w:left w:val="nil"/>
              <w:bottom w:val="nil"/>
              <w:right w:val="nil"/>
            </w:tcBorders>
            <w:shd w:val="clear" w:color="auto" w:fill="auto"/>
            <w:noWrap/>
            <w:vAlign w:val="center"/>
            <w:hideMark/>
          </w:tcPr>
          <w:p w14:paraId="707D7C33"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95 183</w:t>
            </w:r>
          </w:p>
        </w:tc>
        <w:tc>
          <w:tcPr>
            <w:tcW w:w="737" w:type="dxa"/>
            <w:tcBorders>
              <w:top w:val="nil"/>
              <w:left w:val="nil"/>
              <w:bottom w:val="nil"/>
              <w:right w:val="nil"/>
            </w:tcBorders>
            <w:shd w:val="clear" w:color="auto" w:fill="auto"/>
            <w:noWrap/>
            <w:vAlign w:val="center"/>
            <w:hideMark/>
          </w:tcPr>
          <w:p w14:paraId="1912B29B"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99 043</w:t>
            </w:r>
          </w:p>
        </w:tc>
      </w:tr>
      <w:tr w:rsidR="00BD3539" w:rsidRPr="00BD3539" w14:paraId="693A539C" w14:textId="77777777" w:rsidTr="006E5A9E">
        <w:trPr>
          <w:trHeight w:val="264"/>
        </w:trPr>
        <w:tc>
          <w:tcPr>
            <w:tcW w:w="3827" w:type="dxa"/>
            <w:tcBorders>
              <w:top w:val="nil"/>
              <w:left w:val="nil"/>
              <w:bottom w:val="nil"/>
              <w:right w:val="nil"/>
            </w:tcBorders>
            <w:shd w:val="clear" w:color="auto" w:fill="auto"/>
            <w:noWrap/>
            <w:vAlign w:val="center"/>
            <w:hideMark/>
          </w:tcPr>
          <w:p w14:paraId="1960B5F8"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Úľava na dani pre príjemcov IP</w:t>
            </w:r>
          </w:p>
        </w:tc>
        <w:tc>
          <w:tcPr>
            <w:tcW w:w="907" w:type="dxa"/>
            <w:tcBorders>
              <w:top w:val="nil"/>
              <w:left w:val="nil"/>
              <w:bottom w:val="nil"/>
              <w:right w:val="nil"/>
            </w:tcBorders>
            <w:shd w:val="clear" w:color="auto" w:fill="auto"/>
            <w:noWrap/>
            <w:vAlign w:val="center"/>
            <w:hideMark/>
          </w:tcPr>
          <w:p w14:paraId="2E319C7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DPPO</w:t>
            </w:r>
          </w:p>
        </w:tc>
        <w:tc>
          <w:tcPr>
            <w:tcW w:w="737" w:type="dxa"/>
            <w:tcBorders>
              <w:top w:val="nil"/>
              <w:left w:val="nil"/>
              <w:bottom w:val="nil"/>
              <w:right w:val="nil"/>
            </w:tcBorders>
            <w:shd w:val="clear" w:color="auto" w:fill="auto"/>
            <w:noWrap/>
            <w:vAlign w:val="center"/>
            <w:hideMark/>
          </w:tcPr>
          <w:p w14:paraId="404C9C55"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12 355</w:t>
            </w:r>
          </w:p>
        </w:tc>
        <w:tc>
          <w:tcPr>
            <w:tcW w:w="737" w:type="dxa"/>
            <w:tcBorders>
              <w:top w:val="nil"/>
              <w:left w:val="nil"/>
              <w:bottom w:val="nil"/>
              <w:right w:val="nil"/>
            </w:tcBorders>
            <w:shd w:val="clear" w:color="auto" w:fill="auto"/>
            <w:noWrap/>
            <w:vAlign w:val="center"/>
            <w:hideMark/>
          </w:tcPr>
          <w:p w14:paraId="56164291"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12 232</w:t>
            </w:r>
          </w:p>
        </w:tc>
        <w:tc>
          <w:tcPr>
            <w:tcW w:w="737" w:type="dxa"/>
            <w:tcBorders>
              <w:top w:val="nil"/>
              <w:left w:val="nil"/>
              <w:bottom w:val="nil"/>
              <w:right w:val="nil"/>
            </w:tcBorders>
            <w:shd w:val="clear" w:color="auto" w:fill="auto"/>
            <w:noWrap/>
            <w:vAlign w:val="center"/>
            <w:hideMark/>
          </w:tcPr>
          <w:p w14:paraId="2F049EC7"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12 109</w:t>
            </w:r>
          </w:p>
        </w:tc>
        <w:tc>
          <w:tcPr>
            <w:tcW w:w="737" w:type="dxa"/>
            <w:tcBorders>
              <w:top w:val="nil"/>
              <w:left w:val="nil"/>
              <w:bottom w:val="nil"/>
              <w:right w:val="nil"/>
            </w:tcBorders>
            <w:shd w:val="clear" w:color="auto" w:fill="auto"/>
            <w:noWrap/>
            <w:vAlign w:val="center"/>
            <w:hideMark/>
          </w:tcPr>
          <w:p w14:paraId="5F4BF38F"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11 988</w:t>
            </w:r>
          </w:p>
        </w:tc>
        <w:tc>
          <w:tcPr>
            <w:tcW w:w="737" w:type="dxa"/>
            <w:tcBorders>
              <w:top w:val="nil"/>
              <w:left w:val="nil"/>
              <w:bottom w:val="nil"/>
              <w:right w:val="nil"/>
            </w:tcBorders>
            <w:shd w:val="clear" w:color="auto" w:fill="auto"/>
            <w:noWrap/>
            <w:vAlign w:val="center"/>
            <w:hideMark/>
          </w:tcPr>
          <w:p w14:paraId="7FCBA8C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11 868</w:t>
            </w:r>
          </w:p>
        </w:tc>
        <w:tc>
          <w:tcPr>
            <w:tcW w:w="737" w:type="dxa"/>
            <w:tcBorders>
              <w:top w:val="nil"/>
              <w:left w:val="nil"/>
              <w:bottom w:val="nil"/>
              <w:right w:val="nil"/>
            </w:tcBorders>
            <w:shd w:val="clear" w:color="auto" w:fill="auto"/>
            <w:noWrap/>
            <w:vAlign w:val="center"/>
            <w:hideMark/>
          </w:tcPr>
          <w:p w14:paraId="4317202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11 750</w:t>
            </w:r>
          </w:p>
        </w:tc>
      </w:tr>
      <w:tr w:rsidR="00BD3539" w:rsidRPr="00BD3539" w14:paraId="66B19D2C" w14:textId="77777777" w:rsidTr="006E5A9E">
        <w:trPr>
          <w:trHeight w:val="264"/>
        </w:trPr>
        <w:tc>
          <w:tcPr>
            <w:tcW w:w="3827" w:type="dxa"/>
            <w:tcBorders>
              <w:top w:val="nil"/>
              <w:left w:val="nil"/>
              <w:bottom w:val="nil"/>
              <w:right w:val="nil"/>
            </w:tcBorders>
            <w:shd w:val="clear" w:color="auto" w:fill="auto"/>
            <w:noWrap/>
            <w:vAlign w:val="center"/>
            <w:hideMark/>
          </w:tcPr>
          <w:p w14:paraId="7DA66BC6"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Úľava na dani (</w:t>
            </w:r>
            <w:proofErr w:type="spellStart"/>
            <w:r w:rsidRPr="00BD3539">
              <w:rPr>
                <w:rFonts w:ascii="Times New Roman" w:eastAsia="Times New Roman" w:hAnsi="Times New Roman" w:cs="Times New Roman"/>
                <w:color w:val="000000"/>
                <w:sz w:val="16"/>
                <w:szCs w:val="16"/>
                <w:lang w:eastAsia="sk-SK"/>
              </w:rPr>
              <w:t>superodpočet</w:t>
            </w:r>
            <w:proofErr w:type="spellEnd"/>
            <w:r w:rsidRPr="00BD3539">
              <w:rPr>
                <w:rFonts w:ascii="Times New Roman" w:eastAsia="Times New Roman" w:hAnsi="Times New Roman" w:cs="Times New Roman"/>
                <w:color w:val="000000"/>
                <w:sz w:val="16"/>
                <w:szCs w:val="16"/>
                <w:lang w:eastAsia="sk-SK"/>
              </w:rPr>
              <w:t xml:space="preserve"> </w:t>
            </w:r>
            <w:proofErr w:type="spellStart"/>
            <w:r w:rsidRPr="00BD3539">
              <w:rPr>
                <w:rFonts w:ascii="Times New Roman" w:eastAsia="Times New Roman" w:hAnsi="Times New Roman" w:cs="Times New Roman"/>
                <w:color w:val="000000"/>
                <w:sz w:val="16"/>
                <w:szCs w:val="16"/>
                <w:lang w:eastAsia="sk-SK"/>
              </w:rPr>
              <w:t>VaV</w:t>
            </w:r>
            <w:proofErr w:type="spellEnd"/>
            <w:r w:rsidRPr="00BD3539">
              <w:rPr>
                <w:rFonts w:ascii="Times New Roman" w:eastAsia="Times New Roman" w:hAnsi="Times New Roman" w:cs="Times New Roman"/>
                <w:color w:val="000000"/>
                <w:sz w:val="16"/>
                <w:szCs w:val="16"/>
                <w:lang w:eastAsia="sk-SK"/>
              </w:rPr>
              <w:t>)</w:t>
            </w:r>
          </w:p>
        </w:tc>
        <w:tc>
          <w:tcPr>
            <w:tcW w:w="907" w:type="dxa"/>
            <w:tcBorders>
              <w:top w:val="nil"/>
              <w:left w:val="nil"/>
              <w:bottom w:val="nil"/>
              <w:right w:val="nil"/>
            </w:tcBorders>
            <w:shd w:val="clear" w:color="auto" w:fill="auto"/>
            <w:noWrap/>
            <w:vAlign w:val="center"/>
            <w:hideMark/>
          </w:tcPr>
          <w:p w14:paraId="74817E8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DPPO</w:t>
            </w:r>
          </w:p>
        </w:tc>
        <w:tc>
          <w:tcPr>
            <w:tcW w:w="737" w:type="dxa"/>
            <w:tcBorders>
              <w:top w:val="nil"/>
              <w:left w:val="nil"/>
              <w:bottom w:val="nil"/>
              <w:right w:val="nil"/>
            </w:tcBorders>
            <w:shd w:val="clear" w:color="auto" w:fill="auto"/>
            <w:noWrap/>
            <w:vAlign w:val="center"/>
            <w:hideMark/>
          </w:tcPr>
          <w:p w14:paraId="26E07ED4"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44 210</w:t>
            </w:r>
          </w:p>
        </w:tc>
        <w:tc>
          <w:tcPr>
            <w:tcW w:w="737" w:type="dxa"/>
            <w:tcBorders>
              <w:top w:val="nil"/>
              <w:left w:val="nil"/>
              <w:bottom w:val="nil"/>
              <w:right w:val="nil"/>
            </w:tcBorders>
            <w:shd w:val="clear" w:color="auto" w:fill="auto"/>
            <w:noWrap/>
            <w:vAlign w:val="center"/>
            <w:hideMark/>
          </w:tcPr>
          <w:p w14:paraId="0D6E46E3"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24 670</w:t>
            </w:r>
          </w:p>
        </w:tc>
        <w:tc>
          <w:tcPr>
            <w:tcW w:w="737" w:type="dxa"/>
            <w:tcBorders>
              <w:top w:val="nil"/>
              <w:left w:val="nil"/>
              <w:bottom w:val="nil"/>
              <w:right w:val="nil"/>
            </w:tcBorders>
            <w:shd w:val="clear" w:color="auto" w:fill="auto"/>
            <w:noWrap/>
            <w:vAlign w:val="center"/>
            <w:hideMark/>
          </w:tcPr>
          <w:p w14:paraId="5AA22AF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27 532</w:t>
            </w:r>
          </w:p>
        </w:tc>
        <w:tc>
          <w:tcPr>
            <w:tcW w:w="737" w:type="dxa"/>
            <w:tcBorders>
              <w:top w:val="nil"/>
              <w:left w:val="nil"/>
              <w:bottom w:val="nil"/>
              <w:right w:val="nil"/>
            </w:tcBorders>
            <w:shd w:val="clear" w:color="auto" w:fill="auto"/>
            <w:noWrap/>
            <w:vAlign w:val="center"/>
            <w:hideMark/>
          </w:tcPr>
          <w:p w14:paraId="1A56F78F"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30 727</w:t>
            </w:r>
          </w:p>
        </w:tc>
        <w:tc>
          <w:tcPr>
            <w:tcW w:w="737" w:type="dxa"/>
            <w:tcBorders>
              <w:top w:val="nil"/>
              <w:left w:val="nil"/>
              <w:bottom w:val="nil"/>
              <w:right w:val="nil"/>
            </w:tcBorders>
            <w:shd w:val="clear" w:color="auto" w:fill="auto"/>
            <w:noWrap/>
            <w:vAlign w:val="center"/>
            <w:hideMark/>
          </w:tcPr>
          <w:p w14:paraId="1563FAC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34 292</w:t>
            </w:r>
          </w:p>
        </w:tc>
        <w:tc>
          <w:tcPr>
            <w:tcW w:w="737" w:type="dxa"/>
            <w:tcBorders>
              <w:top w:val="nil"/>
              <w:left w:val="nil"/>
              <w:bottom w:val="nil"/>
              <w:right w:val="nil"/>
            </w:tcBorders>
            <w:shd w:val="clear" w:color="auto" w:fill="auto"/>
            <w:noWrap/>
            <w:vAlign w:val="center"/>
            <w:hideMark/>
          </w:tcPr>
          <w:p w14:paraId="37983EE5"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38 271</w:t>
            </w:r>
          </w:p>
        </w:tc>
      </w:tr>
      <w:tr w:rsidR="00BD3539" w:rsidRPr="00BD3539" w14:paraId="621C2BCD" w14:textId="77777777" w:rsidTr="006E5A9E">
        <w:trPr>
          <w:trHeight w:val="264"/>
        </w:trPr>
        <w:tc>
          <w:tcPr>
            <w:tcW w:w="3827" w:type="dxa"/>
            <w:tcBorders>
              <w:top w:val="nil"/>
              <w:left w:val="nil"/>
              <w:bottom w:val="nil"/>
              <w:right w:val="nil"/>
            </w:tcBorders>
            <w:shd w:val="clear" w:color="auto" w:fill="auto"/>
            <w:noWrap/>
            <w:vAlign w:val="center"/>
            <w:hideMark/>
          </w:tcPr>
          <w:p w14:paraId="46E793D9"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proofErr w:type="spellStart"/>
            <w:r w:rsidRPr="00BD3539">
              <w:rPr>
                <w:rFonts w:ascii="Times New Roman" w:eastAsia="Times New Roman" w:hAnsi="Times New Roman" w:cs="Times New Roman"/>
                <w:color w:val="000000"/>
                <w:sz w:val="16"/>
                <w:szCs w:val="16"/>
                <w:lang w:eastAsia="sk-SK"/>
              </w:rPr>
              <w:t>Superodpočet</w:t>
            </w:r>
            <w:proofErr w:type="spellEnd"/>
            <w:r w:rsidRPr="00BD3539">
              <w:rPr>
                <w:rFonts w:ascii="Times New Roman" w:eastAsia="Times New Roman" w:hAnsi="Times New Roman" w:cs="Times New Roman"/>
                <w:color w:val="000000"/>
                <w:sz w:val="16"/>
                <w:szCs w:val="16"/>
                <w:lang w:eastAsia="sk-SK"/>
              </w:rPr>
              <w:t xml:space="preserve"> na investície do priemyslu 4.0</w:t>
            </w:r>
          </w:p>
        </w:tc>
        <w:tc>
          <w:tcPr>
            <w:tcW w:w="907" w:type="dxa"/>
            <w:tcBorders>
              <w:top w:val="nil"/>
              <w:left w:val="nil"/>
              <w:bottom w:val="nil"/>
              <w:right w:val="nil"/>
            </w:tcBorders>
            <w:shd w:val="clear" w:color="auto" w:fill="auto"/>
            <w:noWrap/>
            <w:vAlign w:val="center"/>
            <w:hideMark/>
          </w:tcPr>
          <w:p w14:paraId="3D1FD721"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DPPO</w:t>
            </w:r>
          </w:p>
        </w:tc>
        <w:tc>
          <w:tcPr>
            <w:tcW w:w="737" w:type="dxa"/>
            <w:tcBorders>
              <w:top w:val="nil"/>
              <w:left w:val="nil"/>
              <w:bottom w:val="nil"/>
              <w:right w:val="nil"/>
            </w:tcBorders>
            <w:shd w:val="clear" w:color="auto" w:fill="auto"/>
            <w:noWrap/>
            <w:vAlign w:val="center"/>
            <w:hideMark/>
          </w:tcPr>
          <w:p w14:paraId="098CEB07"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7E211D71"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8 304</w:t>
            </w:r>
          </w:p>
        </w:tc>
        <w:tc>
          <w:tcPr>
            <w:tcW w:w="737" w:type="dxa"/>
            <w:tcBorders>
              <w:top w:val="nil"/>
              <w:left w:val="nil"/>
              <w:bottom w:val="nil"/>
              <w:right w:val="nil"/>
            </w:tcBorders>
            <w:shd w:val="clear" w:color="auto" w:fill="auto"/>
            <w:noWrap/>
            <w:vAlign w:val="center"/>
            <w:hideMark/>
          </w:tcPr>
          <w:p w14:paraId="57737734"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23 182</w:t>
            </w:r>
          </w:p>
        </w:tc>
        <w:tc>
          <w:tcPr>
            <w:tcW w:w="737" w:type="dxa"/>
            <w:tcBorders>
              <w:top w:val="nil"/>
              <w:left w:val="nil"/>
              <w:bottom w:val="nil"/>
              <w:right w:val="nil"/>
            </w:tcBorders>
            <w:shd w:val="clear" w:color="auto" w:fill="auto"/>
            <w:noWrap/>
            <w:vAlign w:val="center"/>
            <w:hideMark/>
          </w:tcPr>
          <w:p w14:paraId="03B0E92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36 939</w:t>
            </w:r>
          </w:p>
        </w:tc>
        <w:tc>
          <w:tcPr>
            <w:tcW w:w="737" w:type="dxa"/>
            <w:tcBorders>
              <w:top w:val="nil"/>
              <w:left w:val="nil"/>
              <w:bottom w:val="nil"/>
              <w:right w:val="nil"/>
            </w:tcBorders>
            <w:shd w:val="clear" w:color="auto" w:fill="auto"/>
            <w:noWrap/>
            <w:vAlign w:val="center"/>
            <w:hideMark/>
          </w:tcPr>
          <w:p w14:paraId="34EE0A50"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49 022</w:t>
            </w:r>
          </w:p>
        </w:tc>
        <w:tc>
          <w:tcPr>
            <w:tcW w:w="737" w:type="dxa"/>
            <w:tcBorders>
              <w:top w:val="nil"/>
              <w:left w:val="nil"/>
              <w:bottom w:val="nil"/>
              <w:right w:val="nil"/>
            </w:tcBorders>
            <w:shd w:val="clear" w:color="auto" w:fill="auto"/>
            <w:noWrap/>
            <w:vAlign w:val="center"/>
            <w:hideMark/>
          </w:tcPr>
          <w:p w14:paraId="2B0E63E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49 022</w:t>
            </w:r>
          </w:p>
        </w:tc>
      </w:tr>
      <w:tr w:rsidR="00BD3539" w:rsidRPr="00BD3539" w14:paraId="4FA11D11" w14:textId="77777777" w:rsidTr="006E5A9E">
        <w:trPr>
          <w:trHeight w:val="264"/>
        </w:trPr>
        <w:tc>
          <w:tcPr>
            <w:tcW w:w="3827" w:type="dxa"/>
            <w:tcBorders>
              <w:top w:val="nil"/>
              <w:left w:val="nil"/>
              <w:bottom w:val="nil"/>
              <w:right w:val="nil"/>
            </w:tcBorders>
            <w:shd w:val="clear" w:color="auto" w:fill="auto"/>
            <w:noWrap/>
            <w:vAlign w:val="center"/>
            <w:hideMark/>
          </w:tcPr>
          <w:p w14:paraId="6DC933DB"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Podpora vzdelávania</w:t>
            </w:r>
          </w:p>
        </w:tc>
        <w:tc>
          <w:tcPr>
            <w:tcW w:w="907" w:type="dxa"/>
            <w:tcBorders>
              <w:top w:val="nil"/>
              <w:left w:val="nil"/>
              <w:bottom w:val="nil"/>
              <w:right w:val="nil"/>
            </w:tcBorders>
            <w:shd w:val="clear" w:color="auto" w:fill="auto"/>
            <w:noWrap/>
            <w:vAlign w:val="center"/>
            <w:hideMark/>
          </w:tcPr>
          <w:p w14:paraId="5AD75756"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p>
        </w:tc>
        <w:tc>
          <w:tcPr>
            <w:tcW w:w="737" w:type="dxa"/>
            <w:tcBorders>
              <w:top w:val="nil"/>
              <w:left w:val="nil"/>
              <w:bottom w:val="nil"/>
              <w:right w:val="nil"/>
            </w:tcBorders>
            <w:shd w:val="clear" w:color="auto" w:fill="auto"/>
            <w:noWrap/>
            <w:vAlign w:val="center"/>
            <w:hideMark/>
          </w:tcPr>
          <w:p w14:paraId="123E64F9"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23 288</w:t>
            </w:r>
          </w:p>
        </w:tc>
        <w:tc>
          <w:tcPr>
            <w:tcW w:w="737" w:type="dxa"/>
            <w:tcBorders>
              <w:top w:val="nil"/>
              <w:left w:val="nil"/>
              <w:bottom w:val="nil"/>
              <w:right w:val="nil"/>
            </w:tcBorders>
            <w:shd w:val="clear" w:color="auto" w:fill="auto"/>
            <w:noWrap/>
            <w:vAlign w:val="center"/>
            <w:hideMark/>
          </w:tcPr>
          <w:p w14:paraId="7EB4590E"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27 698</w:t>
            </w:r>
          </w:p>
        </w:tc>
        <w:tc>
          <w:tcPr>
            <w:tcW w:w="737" w:type="dxa"/>
            <w:tcBorders>
              <w:top w:val="nil"/>
              <w:left w:val="nil"/>
              <w:bottom w:val="nil"/>
              <w:right w:val="nil"/>
            </w:tcBorders>
            <w:shd w:val="clear" w:color="auto" w:fill="auto"/>
            <w:noWrap/>
            <w:vAlign w:val="center"/>
            <w:hideMark/>
          </w:tcPr>
          <w:p w14:paraId="67C95B8E"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26 209</w:t>
            </w:r>
          </w:p>
        </w:tc>
        <w:tc>
          <w:tcPr>
            <w:tcW w:w="737" w:type="dxa"/>
            <w:tcBorders>
              <w:top w:val="nil"/>
              <w:left w:val="nil"/>
              <w:bottom w:val="nil"/>
              <w:right w:val="nil"/>
            </w:tcBorders>
            <w:shd w:val="clear" w:color="auto" w:fill="auto"/>
            <w:noWrap/>
            <w:vAlign w:val="center"/>
            <w:hideMark/>
          </w:tcPr>
          <w:p w14:paraId="32CA3EF6"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25 755</w:t>
            </w:r>
          </w:p>
        </w:tc>
        <w:tc>
          <w:tcPr>
            <w:tcW w:w="737" w:type="dxa"/>
            <w:tcBorders>
              <w:top w:val="nil"/>
              <w:left w:val="nil"/>
              <w:bottom w:val="nil"/>
              <w:right w:val="nil"/>
            </w:tcBorders>
            <w:shd w:val="clear" w:color="auto" w:fill="auto"/>
            <w:noWrap/>
            <w:vAlign w:val="center"/>
            <w:hideMark/>
          </w:tcPr>
          <w:p w14:paraId="13DE3E2F"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25 492</w:t>
            </w:r>
          </w:p>
        </w:tc>
        <w:tc>
          <w:tcPr>
            <w:tcW w:w="737" w:type="dxa"/>
            <w:tcBorders>
              <w:top w:val="nil"/>
              <w:left w:val="nil"/>
              <w:bottom w:val="nil"/>
              <w:right w:val="nil"/>
            </w:tcBorders>
            <w:shd w:val="clear" w:color="auto" w:fill="auto"/>
            <w:noWrap/>
            <w:vAlign w:val="center"/>
            <w:hideMark/>
          </w:tcPr>
          <w:p w14:paraId="50044A3E"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26 562</w:t>
            </w:r>
          </w:p>
        </w:tc>
      </w:tr>
      <w:tr w:rsidR="00BD3539" w:rsidRPr="00BD3539" w14:paraId="4EFE663A" w14:textId="77777777" w:rsidTr="006E5A9E">
        <w:trPr>
          <w:trHeight w:val="264"/>
        </w:trPr>
        <w:tc>
          <w:tcPr>
            <w:tcW w:w="3827" w:type="dxa"/>
            <w:tcBorders>
              <w:top w:val="nil"/>
              <w:left w:val="nil"/>
              <w:bottom w:val="nil"/>
              <w:right w:val="nil"/>
            </w:tcBorders>
            <w:shd w:val="clear" w:color="auto" w:fill="auto"/>
            <w:noWrap/>
            <w:vAlign w:val="center"/>
            <w:hideMark/>
          </w:tcPr>
          <w:p w14:paraId="72E4E845"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Znížená sadzba dane na knihy</w:t>
            </w:r>
          </w:p>
        </w:tc>
        <w:tc>
          <w:tcPr>
            <w:tcW w:w="907" w:type="dxa"/>
            <w:tcBorders>
              <w:top w:val="nil"/>
              <w:left w:val="nil"/>
              <w:bottom w:val="nil"/>
              <w:right w:val="nil"/>
            </w:tcBorders>
            <w:shd w:val="clear" w:color="auto" w:fill="auto"/>
            <w:noWrap/>
            <w:vAlign w:val="center"/>
            <w:hideMark/>
          </w:tcPr>
          <w:p w14:paraId="52AF89C3"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DPH</w:t>
            </w:r>
          </w:p>
        </w:tc>
        <w:tc>
          <w:tcPr>
            <w:tcW w:w="737" w:type="dxa"/>
            <w:tcBorders>
              <w:top w:val="nil"/>
              <w:left w:val="nil"/>
              <w:bottom w:val="nil"/>
              <w:right w:val="nil"/>
            </w:tcBorders>
            <w:shd w:val="clear" w:color="auto" w:fill="auto"/>
            <w:noWrap/>
            <w:vAlign w:val="center"/>
            <w:hideMark/>
          </w:tcPr>
          <w:p w14:paraId="3344F0D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23 288</w:t>
            </w:r>
          </w:p>
        </w:tc>
        <w:tc>
          <w:tcPr>
            <w:tcW w:w="737" w:type="dxa"/>
            <w:tcBorders>
              <w:top w:val="nil"/>
              <w:left w:val="nil"/>
              <w:bottom w:val="nil"/>
              <w:right w:val="nil"/>
            </w:tcBorders>
            <w:shd w:val="clear" w:color="auto" w:fill="auto"/>
            <w:noWrap/>
            <w:vAlign w:val="center"/>
            <w:hideMark/>
          </w:tcPr>
          <w:p w14:paraId="76D8D46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27 698</w:t>
            </w:r>
          </w:p>
        </w:tc>
        <w:tc>
          <w:tcPr>
            <w:tcW w:w="737" w:type="dxa"/>
            <w:tcBorders>
              <w:top w:val="nil"/>
              <w:left w:val="nil"/>
              <w:bottom w:val="nil"/>
              <w:right w:val="nil"/>
            </w:tcBorders>
            <w:shd w:val="clear" w:color="auto" w:fill="auto"/>
            <w:noWrap/>
            <w:vAlign w:val="center"/>
            <w:hideMark/>
          </w:tcPr>
          <w:p w14:paraId="775A55C0"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26 209</w:t>
            </w:r>
          </w:p>
        </w:tc>
        <w:tc>
          <w:tcPr>
            <w:tcW w:w="737" w:type="dxa"/>
            <w:tcBorders>
              <w:top w:val="nil"/>
              <w:left w:val="nil"/>
              <w:bottom w:val="nil"/>
              <w:right w:val="nil"/>
            </w:tcBorders>
            <w:shd w:val="clear" w:color="auto" w:fill="auto"/>
            <w:noWrap/>
            <w:vAlign w:val="center"/>
            <w:hideMark/>
          </w:tcPr>
          <w:p w14:paraId="5F98A634"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25 755</w:t>
            </w:r>
          </w:p>
        </w:tc>
        <w:tc>
          <w:tcPr>
            <w:tcW w:w="737" w:type="dxa"/>
            <w:tcBorders>
              <w:top w:val="nil"/>
              <w:left w:val="nil"/>
              <w:bottom w:val="nil"/>
              <w:right w:val="nil"/>
            </w:tcBorders>
            <w:shd w:val="clear" w:color="auto" w:fill="auto"/>
            <w:noWrap/>
            <w:vAlign w:val="center"/>
            <w:hideMark/>
          </w:tcPr>
          <w:p w14:paraId="7E2CF1A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25 492</w:t>
            </w:r>
          </w:p>
        </w:tc>
        <w:tc>
          <w:tcPr>
            <w:tcW w:w="737" w:type="dxa"/>
            <w:tcBorders>
              <w:top w:val="nil"/>
              <w:left w:val="nil"/>
              <w:bottom w:val="nil"/>
              <w:right w:val="nil"/>
            </w:tcBorders>
            <w:shd w:val="clear" w:color="auto" w:fill="auto"/>
            <w:noWrap/>
            <w:vAlign w:val="center"/>
            <w:hideMark/>
          </w:tcPr>
          <w:p w14:paraId="1D40836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26 562</w:t>
            </w:r>
          </w:p>
        </w:tc>
      </w:tr>
      <w:tr w:rsidR="00BD3539" w:rsidRPr="00BD3539" w14:paraId="76BA26EF" w14:textId="77777777" w:rsidTr="006E5A9E">
        <w:trPr>
          <w:trHeight w:val="264"/>
        </w:trPr>
        <w:tc>
          <w:tcPr>
            <w:tcW w:w="3827" w:type="dxa"/>
            <w:tcBorders>
              <w:top w:val="nil"/>
              <w:left w:val="nil"/>
              <w:bottom w:val="nil"/>
              <w:right w:val="nil"/>
            </w:tcBorders>
            <w:shd w:val="clear" w:color="auto" w:fill="auto"/>
            <w:noWrap/>
            <w:vAlign w:val="center"/>
            <w:hideMark/>
          </w:tcPr>
          <w:p w14:paraId="10A4AE6B"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Podpora zdravia</w:t>
            </w:r>
          </w:p>
        </w:tc>
        <w:tc>
          <w:tcPr>
            <w:tcW w:w="907" w:type="dxa"/>
            <w:tcBorders>
              <w:top w:val="nil"/>
              <w:left w:val="nil"/>
              <w:bottom w:val="nil"/>
              <w:right w:val="nil"/>
            </w:tcBorders>
            <w:shd w:val="clear" w:color="auto" w:fill="auto"/>
            <w:noWrap/>
            <w:vAlign w:val="center"/>
            <w:hideMark/>
          </w:tcPr>
          <w:p w14:paraId="18C3EF34"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p>
        </w:tc>
        <w:tc>
          <w:tcPr>
            <w:tcW w:w="737" w:type="dxa"/>
            <w:tcBorders>
              <w:top w:val="nil"/>
              <w:left w:val="nil"/>
              <w:bottom w:val="nil"/>
              <w:right w:val="nil"/>
            </w:tcBorders>
            <w:shd w:val="clear" w:color="auto" w:fill="auto"/>
            <w:noWrap/>
            <w:vAlign w:val="center"/>
            <w:hideMark/>
          </w:tcPr>
          <w:p w14:paraId="2FBC5770"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175 581</w:t>
            </w:r>
          </w:p>
        </w:tc>
        <w:tc>
          <w:tcPr>
            <w:tcW w:w="737" w:type="dxa"/>
            <w:tcBorders>
              <w:top w:val="nil"/>
              <w:left w:val="nil"/>
              <w:bottom w:val="nil"/>
              <w:right w:val="nil"/>
            </w:tcBorders>
            <w:shd w:val="clear" w:color="auto" w:fill="auto"/>
            <w:noWrap/>
            <w:vAlign w:val="center"/>
            <w:hideMark/>
          </w:tcPr>
          <w:p w14:paraId="67732A58"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199 407</w:t>
            </w:r>
          </w:p>
        </w:tc>
        <w:tc>
          <w:tcPr>
            <w:tcW w:w="737" w:type="dxa"/>
            <w:tcBorders>
              <w:top w:val="nil"/>
              <w:left w:val="nil"/>
              <w:bottom w:val="nil"/>
              <w:right w:val="nil"/>
            </w:tcBorders>
            <w:shd w:val="clear" w:color="auto" w:fill="auto"/>
            <w:noWrap/>
            <w:vAlign w:val="center"/>
            <w:hideMark/>
          </w:tcPr>
          <w:p w14:paraId="482C56D2"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222 927</w:t>
            </w:r>
          </w:p>
        </w:tc>
        <w:tc>
          <w:tcPr>
            <w:tcW w:w="737" w:type="dxa"/>
            <w:tcBorders>
              <w:top w:val="nil"/>
              <w:left w:val="nil"/>
              <w:bottom w:val="nil"/>
              <w:right w:val="nil"/>
            </w:tcBorders>
            <w:shd w:val="clear" w:color="auto" w:fill="auto"/>
            <w:noWrap/>
            <w:vAlign w:val="center"/>
            <w:hideMark/>
          </w:tcPr>
          <w:p w14:paraId="680BA2DC"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227 564</w:t>
            </w:r>
          </w:p>
        </w:tc>
        <w:tc>
          <w:tcPr>
            <w:tcW w:w="737" w:type="dxa"/>
            <w:tcBorders>
              <w:top w:val="nil"/>
              <w:left w:val="nil"/>
              <w:bottom w:val="nil"/>
              <w:right w:val="nil"/>
            </w:tcBorders>
            <w:shd w:val="clear" w:color="auto" w:fill="auto"/>
            <w:noWrap/>
            <w:vAlign w:val="center"/>
            <w:hideMark/>
          </w:tcPr>
          <w:p w14:paraId="2173B355"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240 480</w:t>
            </w:r>
          </w:p>
        </w:tc>
        <w:tc>
          <w:tcPr>
            <w:tcW w:w="737" w:type="dxa"/>
            <w:tcBorders>
              <w:top w:val="nil"/>
              <w:left w:val="nil"/>
              <w:bottom w:val="nil"/>
              <w:right w:val="nil"/>
            </w:tcBorders>
            <w:shd w:val="clear" w:color="auto" w:fill="auto"/>
            <w:noWrap/>
            <w:vAlign w:val="center"/>
            <w:hideMark/>
          </w:tcPr>
          <w:p w14:paraId="6EB37C72"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246 755</w:t>
            </w:r>
          </w:p>
        </w:tc>
      </w:tr>
      <w:tr w:rsidR="00BD3539" w:rsidRPr="00BD3539" w14:paraId="75A09477" w14:textId="77777777" w:rsidTr="006E5A9E">
        <w:trPr>
          <w:trHeight w:val="264"/>
        </w:trPr>
        <w:tc>
          <w:tcPr>
            <w:tcW w:w="3827" w:type="dxa"/>
            <w:tcBorders>
              <w:top w:val="nil"/>
              <w:left w:val="nil"/>
              <w:bottom w:val="nil"/>
              <w:right w:val="nil"/>
            </w:tcBorders>
            <w:shd w:val="clear" w:color="auto" w:fill="auto"/>
            <w:noWrap/>
            <w:vAlign w:val="center"/>
            <w:hideMark/>
          </w:tcPr>
          <w:p w14:paraId="5E749309"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Znížená sadzba DPH na lieky a zdravotnícke pomôcky</w:t>
            </w:r>
          </w:p>
        </w:tc>
        <w:tc>
          <w:tcPr>
            <w:tcW w:w="907" w:type="dxa"/>
            <w:tcBorders>
              <w:top w:val="nil"/>
              <w:left w:val="nil"/>
              <w:bottom w:val="nil"/>
              <w:right w:val="nil"/>
            </w:tcBorders>
            <w:shd w:val="clear" w:color="auto" w:fill="auto"/>
            <w:noWrap/>
            <w:vAlign w:val="center"/>
            <w:hideMark/>
          </w:tcPr>
          <w:p w14:paraId="3939B5F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DPH</w:t>
            </w:r>
          </w:p>
        </w:tc>
        <w:tc>
          <w:tcPr>
            <w:tcW w:w="737" w:type="dxa"/>
            <w:tcBorders>
              <w:top w:val="nil"/>
              <w:left w:val="nil"/>
              <w:bottom w:val="nil"/>
              <w:right w:val="nil"/>
            </w:tcBorders>
            <w:shd w:val="clear" w:color="auto" w:fill="auto"/>
            <w:noWrap/>
            <w:vAlign w:val="center"/>
            <w:hideMark/>
          </w:tcPr>
          <w:p w14:paraId="760745B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173 202</w:t>
            </w:r>
          </w:p>
        </w:tc>
        <w:tc>
          <w:tcPr>
            <w:tcW w:w="737" w:type="dxa"/>
            <w:tcBorders>
              <w:top w:val="nil"/>
              <w:left w:val="nil"/>
              <w:bottom w:val="nil"/>
              <w:right w:val="nil"/>
            </w:tcBorders>
            <w:shd w:val="clear" w:color="auto" w:fill="auto"/>
            <w:noWrap/>
            <w:vAlign w:val="center"/>
            <w:hideMark/>
          </w:tcPr>
          <w:p w14:paraId="100B1830"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197 036</w:t>
            </w:r>
          </w:p>
        </w:tc>
        <w:tc>
          <w:tcPr>
            <w:tcW w:w="737" w:type="dxa"/>
            <w:tcBorders>
              <w:top w:val="nil"/>
              <w:left w:val="nil"/>
              <w:bottom w:val="nil"/>
              <w:right w:val="nil"/>
            </w:tcBorders>
            <w:shd w:val="clear" w:color="auto" w:fill="auto"/>
            <w:noWrap/>
            <w:vAlign w:val="center"/>
            <w:hideMark/>
          </w:tcPr>
          <w:p w14:paraId="14ABA9A7"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220 563</w:t>
            </w:r>
          </w:p>
        </w:tc>
        <w:tc>
          <w:tcPr>
            <w:tcW w:w="737" w:type="dxa"/>
            <w:tcBorders>
              <w:top w:val="nil"/>
              <w:left w:val="nil"/>
              <w:bottom w:val="nil"/>
              <w:right w:val="nil"/>
            </w:tcBorders>
            <w:shd w:val="clear" w:color="auto" w:fill="auto"/>
            <w:noWrap/>
            <w:vAlign w:val="center"/>
            <w:hideMark/>
          </w:tcPr>
          <w:p w14:paraId="189838B2"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225 208</w:t>
            </w:r>
          </w:p>
        </w:tc>
        <w:tc>
          <w:tcPr>
            <w:tcW w:w="737" w:type="dxa"/>
            <w:tcBorders>
              <w:top w:val="nil"/>
              <w:left w:val="nil"/>
              <w:bottom w:val="nil"/>
              <w:right w:val="nil"/>
            </w:tcBorders>
            <w:shd w:val="clear" w:color="auto" w:fill="auto"/>
            <w:noWrap/>
            <w:vAlign w:val="center"/>
            <w:hideMark/>
          </w:tcPr>
          <w:p w14:paraId="22C3D404"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238 124</w:t>
            </w:r>
          </w:p>
        </w:tc>
        <w:tc>
          <w:tcPr>
            <w:tcW w:w="737" w:type="dxa"/>
            <w:tcBorders>
              <w:top w:val="nil"/>
              <w:left w:val="nil"/>
              <w:bottom w:val="nil"/>
              <w:right w:val="nil"/>
            </w:tcBorders>
            <w:shd w:val="clear" w:color="auto" w:fill="auto"/>
            <w:noWrap/>
            <w:vAlign w:val="center"/>
            <w:hideMark/>
          </w:tcPr>
          <w:p w14:paraId="4DA95EA4"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244 399</w:t>
            </w:r>
          </w:p>
        </w:tc>
      </w:tr>
      <w:tr w:rsidR="00BD3539" w:rsidRPr="00BD3539" w14:paraId="275E7EE1" w14:textId="77777777" w:rsidTr="006E5A9E">
        <w:trPr>
          <w:trHeight w:val="264"/>
        </w:trPr>
        <w:tc>
          <w:tcPr>
            <w:tcW w:w="3827" w:type="dxa"/>
            <w:tcBorders>
              <w:top w:val="nil"/>
              <w:left w:val="nil"/>
              <w:bottom w:val="nil"/>
              <w:right w:val="nil"/>
            </w:tcBorders>
            <w:shd w:val="clear" w:color="auto" w:fill="auto"/>
            <w:noWrap/>
            <w:vAlign w:val="center"/>
            <w:hideMark/>
          </w:tcPr>
          <w:p w14:paraId="2C6C7FBC"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Športové poukazy</w:t>
            </w:r>
          </w:p>
        </w:tc>
        <w:tc>
          <w:tcPr>
            <w:tcW w:w="907" w:type="dxa"/>
            <w:tcBorders>
              <w:top w:val="nil"/>
              <w:left w:val="nil"/>
              <w:bottom w:val="nil"/>
              <w:right w:val="nil"/>
            </w:tcBorders>
            <w:shd w:val="clear" w:color="auto" w:fill="auto"/>
            <w:noWrap/>
            <w:vAlign w:val="center"/>
            <w:hideMark/>
          </w:tcPr>
          <w:p w14:paraId="596D155B"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SP, ZP, DPFO</w:t>
            </w:r>
          </w:p>
        </w:tc>
        <w:tc>
          <w:tcPr>
            <w:tcW w:w="737" w:type="dxa"/>
            <w:tcBorders>
              <w:top w:val="nil"/>
              <w:left w:val="nil"/>
              <w:bottom w:val="nil"/>
              <w:right w:val="nil"/>
            </w:tcBorders>
            <w:shd w:val="clear" w:color="auto" w:fill="auto"/>
            <w:noWrap/>
            <w:vAlign w:val="center"/>
            <w:hideMark/>
          </w:tcPr>
          <w:p w14:paraId="48D91787"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2 379</w:t>
            </w:r>
          </w:p>
        </w:tc>
        <w:tc>
          <w:tcPr>
            <w:tcW w:w="737" w:type="dxa"/>
            <w:tcBorders>
              <w:top w:val="nil"/>
              <w:left w:val="nil"/>
              <w:bottom w:val="nil"/>
              <w:right w:val="nil"/>
            </w:tcBorders>
            <w:shd w:val="clear" w:color="auto" w:fill="auto"/>
            <w:noWrap/>
            <w:vAlign w:val="center"/>
            <w:hideMark/>
          </w:tcPr>
          <w:p w14:paraId="4B687D38"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2 371</w:t>
            </w:r>
          </w:p>
        </w:tc>
        <w:tc>
          <w:tcPr>
            <w:tcW w:w="737" w:type="dxa"/>
            <w:tcBorders>
              <w:top w:val="nil"/>
              <w:left w:val="nil"/>
              <w:bottom w:val="nil"/>
              <w:right w:val="nil"/>
            </w:tcBorders>
            <w:shd w:val="clear" w:color="auto" w:fill="auto"/>
            <w:noWrap/>
            <w:vAlign w:val="center"/>
            <w:hideMark/>
          </w:tcPr>
          <w:p w14:paraId="0298ABC2"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2 363</w:t>
            </w:r>
          </w:p>
        </w:tc>
        <w:tc>
          <w:tcPr>
            <w:tcW w:w="737" w:type="dxa"/>
            <w:tcBorders>
              <w:top w:val="nil"/>
              <w:left w:val="nil"/>
              <w:bottom w:val="nil"/>
              <w:right w:val="nil"/>
            </w:tcBorders>
            <w:shd w:val="clear" w:color="auto" w:fill="auto"/>
            <w:noWrap/>
            <w:vAlign w:val="center"/>
            <w:hideMark/>
          </w:tcPr>
          <w:p w14:paraId="3601DFD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2 356</w:t>
            </w:r>
          </w:p>
        </w:tc>
        <w:tc>
          <w:tcPr>
            <w:tcW w:w="737" w:type="dxa"/>
            <w:tcBorders>
              <w:top w:val="nil"/>
              <w:left w:val="nil"/>
              <w:bottom w:val="nil"/>
              <w:right w:val="nil"/>
            </w:tcBorders>
            <w:shd w:val="clear" w:color="auto" w:fill="auto"/>
            <w:noWrap/>
            <w:vAlign w:val="center"/>
            <w:hideMark/>
          </w:tcPr>
          <w:p w14:paraId="00F5BF1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2 356</w:t>
            </w:r>
          </w:p>
        </w:tc>
        <w:tc>
          <w:tcPr>
            <w:tcW w:w="737" w:type="dxa"/>
            <w:tcBorders>
              <w:top w:val="nil"/>
              <w:left w:val="nil"/>
              <w:bottom w:val="nil"/>
              <w:right w:val="nil"/>
            </w:tcBorders>
            <w:shd w:val="clear" w:color="auto" w:fill="auto"/>
            <w:noWrap/>
            <w:vAlign w:val="center"/>
            <w:hideMark/>
          </w:tcPr>
          <w:p w14:paraId="6EB16AE3"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2 356</w:t>
            </w:r>
          </w:p>
        </w:tc>
      </w:tr>
      <w:tr w:rsidR="00BD3539" w:rsidRPr="00BD3539" w14:paraId="12C8AF8C" w14:textId="77777777" w:rsidTr="006E5A9E">
        <w:trPr>
          <w:trHeight w:val="264"/>
        </w:trPr>
        <w:tc>
          <w:tcPr>
            <w:tcW w:w="3827" w:type="dxa"/>
            <w:tcBorders>
              <w:top w:val="nil"/>
              <w:left w:val="nil"/>
              <w:bottom w:val="nil"/>
              <w:right w:val="nil"/>
            </w:tcBorders>
            <w:shd w:val="clear" w:color="auto" w:fill="auto"/>
            <w:noWrap/>
            <w:vAlign w:val="center"/>
            <w:hideMark/>
          </w:tcPr>
          <w:p w14:paraId="6F3638DB"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Podpora bývania</w:t>
            </w:r>
          </w:p>
        </w:tc>
        <w:tc>
          <w:tcPr>
            <w:tcW w:w="907" w:type="dxa"/>
            <w:tcBorders>
              <w:top w:val="nil"/>
              <w:left w:val="nil"/>
              <w:bottom w:val="nil"/>
              <w:right w:val="nil"/>
            </w:tcBorders>
            <w:shd w:val="clear" w:color="auto" w:fill="auto"/>
            <w:noWrap/>
            <w:vAlign w:val="center"/>
            <w:hideMark/>
          </w:tcPr>
          <w:p w14:paraId="0E300F77"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p>
        </w:tc>
        <w:tc>
          <w:tcPr>
            <w:tcW w:w="737" w:type="dxa"/>
            <w:tcBorders>
              <w:top w:val="nil"/>
              <w:left w:val="nil"/>
              <w:bottom w:val="nil"/>
              <w:right w:val="nil"/>
            </w:tcBorders>
            <w:shd w:val="clear" w:color="auto" w:fill="auto"/>
            <w:noWrap/>
            <w:vAlign w:val="center"/>
            <w:hideMark/>
          </w:tcPr>
          <w:p w14:paraId="64CDFCE7"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9 515</w:t>
            </w:r>
          </w:p>
        </w:tc>
        <w:tc>
          <w:tcPr>
            <w:tcW w:w="737" w:type="dxa"/>
            <w:tcBorders>
              <w:top w:val="nil"/>
              <w:left w:val="nil"/>
              <w:bottom w:val="nil"/>
              <w:right w:val="nil"/>
            </w:tcBorders>
            <w:shd w:val="clear" w:color="auto" w:fill="auto"/>
            <w:noWrap/>
            <w:vAlign w:val="center"/>
            <w:hideMark/>
          </w:tcPr>
          <w:p w14:paraId="4D6C1E5B"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9 821</w:t>
            </w:r>
          </w:p>
        </w:tc>
        <w:tc>
          <w:tcPr>
            <w:tcW w:w="737" w:type="dxa"/>
            <w:tcBorders>
              <w:top w:val="nil"/>
              <w:left w:val="nil"/>
              <w:bottom w:val="nil"/>
              <w:right w:val="nil"/>
            </w:tcBorders>
            <w:shd w:val="clear" w:color="auto" w:fill="auto"/>
            <w:noWrap/>
            <w:vAlign w:val="center"/>
            <w:hideMark/>
          </w:tcPr>
          <w:p w14:paraId="47D56D3D"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12 299</w:t>
            </w:r>
          </w:p>
        </w:tc>
        <w:tc>
          <w:tcPr>
            <w:tcW w:w="737" w:type="dxa"/>
            <w:tcBorders>
              <w:top w:val="nil"/>
              <w:left w:val="nil"/>
              <w:bottom w:val="nil"/>
              <w:right w:val="nil"/>
            </w:tcBorders>
            <w:shd w:val="clear" w:color="auto" w:fill="auto"/>
            <w:noWrap/>
            <w:vAlign w:val="center"/>
            <w:hideMark/>
          </w:tcPr>
          <w:p w14:paraId="61CC9161"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31 710</w:t>
            </w:r>
          </w:p>
        </w:tc>
        <w:tc>
          <w:tcPr>
            <w:tcW w:w="737" w:type="dxa"/>
            <w:tcBorders>
              <w:top w:val="nil"/>
              <w:left w:val="nil"/>
              <w:bottom w:val="nil"/>
              <w:right w:val="nil"/>
            </w:tcBorders>
            <w:shd w:val="clear" w:color="auto" w:fill="auto"/>
            <w:noWrap/>
            <w:vAlign w:val="center"/>
            <w:hideMark/>
          </w:tcPr>
          <w:p w14:paraId="7FF2165E"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25 362</w:t>
            </w:r>
          </w:p>
        </w:tc>
        <w:tc>
          <w:tcPr>
            <w:tcW w:w="737" w:type="dxa"/>
            <w:tcBorders>
              <w:top w:val="nil"/>
              <w:left w:val="nil"/>
              <w:bottom w:val="nil"/>
              <w:right w:val="nil"/>
            </w:tcBorders>
            <w:shd w:val="clear" w:color="auto" w:fill="auto"/>
            <w:noWrap/>
            <w:vAlign w:val="center"/>
            <w:hideMark/>
          </w:tcPr>
          <w:p w14:paraId="05511614"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40 744</w:t>
            </w:r>
          </w:p>
        </w:tc>
      </w:tr>
      <w:tr w:rsidR="00BD3539" w:rsidRPr="00BD3539" w14:paraId="284113BC" w14:textId="77777777" w:rsidTr="006E5A9E">
        <w:trPr>
          <w:trHeight w:val="264"/>
        </w:trPr>
        <w:tc>
          <w:tcPr>
            <w:tcW w:w="3827" w:type="dxa"/>
            <w:tcBorders>
              <w:top w:val="nil"/>
              <w:left w:val="nil"/>
              <w:bottom w:val="nil"/>
              <w:right w:val="nil"/>
            </w:tcBorders>
            <w:shd w:val="clear" w:color="auto" w:fill="auto"/>
            <w:noWrap/>
            <w:vAlign w:val="center"/>
            <w:hideMark/>
          </w:tcPr>
          <w:p w14:paraId="38033CC4"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Oslobodenie príjmu z prenájmu do 500 eur</w:t>
            </w:r>
          </w:p>
        </w:tc>
        <w:tc>
          <w:tcPr>
            <w:tcW w:w="907" w:type="dxa"/>
            <w:tcBorders>
              <w:top w:val="nil"/>
              <w:left w:val="nil"/>
              <w:bottom w:val="nil"/>
              <w:right w:val="nil"/>
            </w:tcBorders>
            <w:shd w:val="clear" w:color="auto" w:fill="auto"/>
            <w:noWrap/>
            <w:vAlign w:val="center"/>
            <w:hideMark/>
          </w:tcPr>
          <w:p w14:paraId="6F3EF9CD"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DPFO</w:t>
            </w:r>
          </w:p>
        </w:tc>
        <w:tc>
          <w:tcPr>
            <w:tcW w:w="737" w:type="dxa"/>
            <w:tcBorders>
              <w:top w:val="nil"/>
              <w:left w:val="nil"/>
              <w:bottom w:val="nil"/>
              <w:right w:val="nil"/>
            </w:tcBorders>
            <w:shd w:val="clear" w:color="auto" w:fill="auto"/>
            <w:noWrap/>
            <w:vAlign w:val="center"/>
            <w:hideMark/>
          </w:tcPr>
          <w:p w14:paraId="5E021C11"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3 481</w:t>
            </w:r>
          </w:p>
        </w:tc>
        <w:tc>
          <w:tcPr>
            <w:tcW w:w="737" w:type="dxa"/>
            <w:tcBorders>
              <w:top w:val="nil"/>
              <w:left w:val="nil"/>
              <w:bottom w:val="nil"/>
              <w:right w:val="nil"/>
            </w:tcBorders>
            <w:shd w:val="clear" w:color="auto" w:fill="auto"/>
            <w:noWrap/>
            <w:vAlign w:val="center"/>
            <w:hideMark/>
          </w:tcPr>
          <w:p w14:paraId="11FB95EA"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3 387</w:t>
            </w:r>
          </w:p>
        </w:tc>
        <w:tc>
          <w:tcPr>
            <w:tcW w:w="737" w:type="dxa"/>
            <w:tcBorders>
              <w:top w:val="nil"/>
              <w:left w:val="nil"/>
              <w:bottom w:val="nil"/>
              <w:right w:val="nil"/>
            </w:tcBorders>
            <w:shd w:val="clear" w:color="auto" w:fill="auto"/>
            <w:noWrap/>
            <w:vAlign w:val="center"/>
            <w:hideMark/>
          </w:tcPr>
          <w:p w14:paraId="7BB2EE66"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3 429</w:t>
            </w:r>
          </w:p>
        </w:tc>
        <w:tc>
          <w:tcPr>
            <w:tcW w:w="737" w:type="dxa"/>
            <w:tcBorders>
              <w:top w:val="nil"/>
              <w:left w:val="nil"/>
              <w:bottom w:val="nil"/>
              <w:right w:val="nil"/>
            </w:tcBorders>
            <w:shd w:val="clear" w:color="auto" w:fill="auto"/>
            <w:noWrap/>
            <w:vAlign w:val="center"/>
            <w:hideMark/>
          </w:tcPr>
          <w:p w14:paraId="1A70A855"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3 522</w:t>
            </w:r>
          </w:p>
        </w:tc>
        <w:tc>
          <w:tcPr>
            <w:tcW w:w="737" w:type="dxa"/>
            <w:tcBorders>
              <w:top w:val="nil"/>
              <w:left w:val="nil"/>
              <w:bottom w:val="nil"/>
              <w:right w:val="nil"/>
            </w:tcBorders>
            <w:shd w:val="clear" w:color="auto" w:fill="auto"/>
            <w:noWrap/>
            <w:vAlign w:val="center"/>
            <w:hideMark/>
          </w:tcPr>
          <w:p w14:paraId="6EF6804B"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3 620</w:t>
            </w:r>
          </w:p>
        </w:tc>
        <w:tc>
          <w:tcPr>
            <w:tcW w:w="737" w:type="dxa"/>
            <w:tcBorders>
              <w:top w:val="nil"/>
              <w:left w:val="nil"/>
              <w:bottom w:val="nil"/>
              <w:right w:val="nil"/>
            </w:tcBorders>
            <w:shd w:val="clear" w:color="auto" w:fill="auto"/>
            <w:noWrap/>
            <w:vAlign w:val="center"/>
            <w:hideMark/>
          </w:tcPr>
          <w:p w14:paraId="01A4BF07"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3 697</w:t>
            </w:r>
          </w:p>
        </w:tc>
      </w:tr>
      <w:tr w:rsidR="00BD3539" w:rsidRPr="00BD3539" w14:paraId="5798DC46" w14:textId="77777777" w:rsidTr="006E5A9E">
        <w:trPr>
          <w:trHeight w:val="264"/>
        </w:trPr>
        <w:tc>
          <w:tcPr>
            <w:tcW w:w="3827" w:type="dxa"/>
            <w:tcBorders>
              <w:top w:val="nil"/>
              <w:left w:val="nil"/>
              <w:bottom w:val="nil"/>
              <w:right w:val="nil"/>
            </w:tcBorders>
            <w:shd w:val="clear" w:color="auto" w:fill="auto"/>
            <w:noWrap/>
            <w:vAlign w:val="center"/>
            <w:hideMark/>
          </w:tcPr>
          <w:p w14:paraId="639EE2DF"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Daňový bonus na hypotéky</w:t>
            </w:r>
          </w:p>
        </w:tc>
        <w:tc>
          <w:tcPr>
            <w:tcW w:w="907" w:type="dxa"/>
            <w:tcBorders>
              <w:top w:val="nil"/>
              <w:left w:val="nil"/>
              <w:bottom w:val="nil"/>
              <w:right w:val="nil"/>
            </w:tcBorders>
            <w:shd w:val="clear" w:color="auto" w:fill="auto"/>
            <w:noWrap/>
            <w:vAlign w:val="center"/>
            <w:hideMark/>
          </w:tcPr>
          <w:p w14:paraId="6172669B"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DPFO</w:t>
            </w:r>
          </w:p>
        </w:tc>
        <w:tc>
          <w:tcPr>
            <w:tcW w:w="737" w:type="dxa"/>
            <w:tcBorders>
              <w:top w:val="nil"/>
              <w:left w:val="nil"/>
              <w:bottom w:val="nil"/>
              <w:right w:val="nil"/>
            </w:tcBorders>
            <w:shd w:val="clear" w:color="auto" w:fill="auto"/>
            <w:noWrap/>
            <w:vAlign w:val="center"/>
            <w:hideMark/>
          </w:tcPr>
          <w:p w14:paraId="7CD72584"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6 033</w:t>
            </w:r>
          </w:p>
        </w:tc>
        <w:tc>
          <w:tcPr>
            <w:tcW w:w="737" w:type="dxa"/>
            <w:tcBorders>
              <w:top w:val="nil"/>
              <w:left w:val="nil"/>
              <w:bottom w:val="nil"/>
              <w:right w:val="nil"/>
            </w:tcBorders>
            <w:shd w:val="clear" w:color="auto" w:fill="auto"/>
            <w:noWrap/>
            <w:vAlign w:val="center"/>
            <w:hideMark/>
          </w:tcPr>
          <w:p w14:paraId="64C737A8"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6 433</w:t>
            </w:r>
          </w:p>
        </w:tc>
        <w:tc>
          <w:tcPr>
            <w:tcW w:w="737" w:type="dxa"/>
            <w:tcBorders>
              <w:top w:val="nil"/>
              <w:left w:val="nil"/>
              <w:bottom w:val="nil"/>
              <w:right w:val="nil"/>
            </w:tcBorders>
            <w:shd w:val="clear" w:color="auto" w:fill="auto"/>
            <w:noWrap/>
            <w:vAlign w:val="center"/>
            <w:hideMark/>
          </w:tcPr>
          <w:p w14:paraId="49AF07DD"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8 870</w:t>
            </w:r>
          </w:p>
        </w:tc>
        <w:tc>
          <w:tcPr>
            <w:tcW w:w="737" w:type="dxa"/>
            <w:tcBorders>
              <w:top w:val="nil"/>
              <w:left w:val="nil"/>
              <w:bottom w:val="nil"/>
              <w:right w:val="nil"/>
            </w:tcBorders>
            <w:shd w:val="clear" w:color="auto" w:fill="auto"/>
            <w:noWrap/>
            <w:vAlign w:val="center"/>
            <w:hideMark/>
          </w:tcPr>
          <w:p w14:paraId="5ACD8F56"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28 189</w:t>
            </w:r>
          </w:p>
        </w:tc>
        <w:tc>
          <w:tcPr>
            <w:tcW w:w="737" w:type="dxa"/>
            <w:tcBorders>
              <w:top w:val="nil"/>
              <w:left w:val="nil"/>
              <w:bottom w:val="nil"/>
              <w:right w:val="nil"/>
            </w:tcBorders>
            <w:shd w:val="clear" w:color="auto" w:fill="auto"/>
            <w:noWrap/>
            <w:vAlign w:val="center"/>
            <w:hideMark/>
          </w:tcPr>
          <w:p w14:paraId="1B00BF38"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21 743</w:t>
            </w:r>
          </w:p>
        </w:tc>
        <w:tc>
          <w:tcPr>
            <w:tcW w:w="737" w:type="dxa"/>
            <w:tcBorders>
              <w:top w:val="nil"/>
              <w:left w:val="nil"/>
              <w:bottom w:val="nil"/>
              <w:right w:val="nil"/>
            </w:tcBorders>
            <w:shd w:val="clear" w:color="auto" w:fill="auto"/>
            <w:noWrap/>
            <w:vAlign w:val="center"/>
            <w:hideMark/>
          </w:tcPr>
          <w:p w14:paraId="06B48D2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37 047</w:t>
            </w:r>
          </w:p>
        </w:tc>
      </w:tr>
      <w:tr w:rsidR="00BD3539" w:rsidRPr="00BD3539" w14:paraId="709A3D97" w14:textId="77777777" w:rsidTr="006E5A9E">
        <w:trPr>
          <w:trHeight w:val="264"/>
        </w:trPr>
        <w:tc>
          <w:tcPr>
            <w:tcW w:w="3827" w:type="dxa"/>
            <w:tcBorders>
              <w:top w:val="nil"/>
              <w:left w:val="nil"/>
              <w:bottom w:val="nil"/>
              <w:right w:val="nil"/>
            </w:tcBorders>
            <w:shd w:val="clear" w:color="auto" w:fill="auto"/>
            <w:noWrap/>
            <w:vAlign w:val="center"/>
            <w:hideMark/>
          </w:tcPr>
          <w:p w14:paraId="1E475CF9"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Podpora kapitálu, úspor a investícii</w:t>
            </w:r>
          </w:p>
        </w:tc>
        <w:tc>
          <w:tcPr>
            <w:tcW w:w="907" w:type="dxa"/>
            <w:tcBorders>
              <w:top w:val="nil"/>
              <w:left w:val="nil"/>
              <w:bottom w:val="nil"/>
              <w:right w:val="nil"/>
            </w:tcBorders>
            <w:shd w:val="clear" w:color="auto" w:fill="auto"/>
            <w:noWrap/>
            <w:vAlign w:val="center"/>
            <w:hideMark/>
          </w:tcPr>
          <w:p w14:paraId="32C67361"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p>
        </w:tc>
        <w:tc>
          <w:tcPr>
            <w:tcW w:w="737" w:type="dxa"/>
            <w:tcBorders>
              <w:top w:val="nil"/>
              <w:left w:val="nil"/>
              <w:bottom w:val="nil"/>
              <w:right w:val="nil"/>
            </w:tcBorders>
            <w:shd w:val="clear" w:color="auto" w:fill="auto"/>
            <w:noWrap/>
            <w:vAlign w:val="center"/>
            <w:hideMark/>
          </w:tcPr>
          <w:p w14:paraId="02452F8D"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21 854</w:t>
            </w:r>
          </w:p>
        </w:tc>
        <w:tc>
          <w:tcPr>
            <w:tcW w:w="737" w:type="dxa"/>
            <w:tcBorders>
              <w:top w:val="nil"/>
              <w:left w:val="nil"/>
              <w:bottom w:val="nil"/>
              <w:right w:val="nil"/>
            </w:tcBorders>
            <w:shd w:val="clear" w:color="auto" w:fill="auto"/>
            <w:noWrap/>
            <w:vAlign w:val="center"/>
            <w:hideMark/>
          </w:tcPr>
          <w:p w14:paraId="333DE97F"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29 070</w:t>
            </w:r>
          </w:p>
        </w:tc>
        <w:tc>
          <w:tcPr>
            <w:tcW w:w="737" w:type="dxa"/>
            <w:tcBorders>
              <w:top w:val="nil"/>
              <w:left w:val="nil"/>
              <w:bottom w:val="nil"/>
              <w:right w:val="nil"/>
            </w:tcBorders>
            <w:shd w:val="clear" w:color="auto" w:fill="auto"/>
            <w:noWrap/>
            <w:vAlign w:val="center"/>
            <w:hideMark/>
          </w:tcPr>
          <w:p w14:paraId="69338C98"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30 338</w:t>
            </w:r>
          </w:p>
        </w:tc>
        <w:tc>
          <w:tcPr>
            <w:tcW w:w="737" w:type="dxa"/>
            <w:tcBorders>
              <w:top w:val="nil"/>
              <w:left w:val="nil"/>
              <w:bottom w:val="nil"/>
              <w:right w:val="nil"/>
            </w:tcBorders>
            <w:shd w:val="clear" w:color="auto" w:fill="auto"/>
            <w:noWrap/>
            <w:vAlign w:val="center"/>
            <w:hideMark/>
          </w:tcPr>
          <w:p w14:paraId="79A5A3CB"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26 912</w:t>
            </w:r>
          </w:p>
        </w:tc>
        <w:tc>
          <w:tcPr>
            <w:tcW w:w="737" w:type="dxa"/>
            <w:tcBorders>
              <w:top w:val="nil"/>
              <w:left w:val="nil"/>
              <w:bottom w:val="nil"/>
              <w:right w:val="nil"/>
            </w:tcBorders>
            <w:shd w:val="clear" w:color="auto" w:fill="auto"/>
            <w:noWrap/>
            <w:vAlign w:val="center"/>
            <w:hideMark/>
          </w:tcPr>
          <w:p w14:paraId="62899742"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28 027</w:t>
            </w:r>
          </w:p>
        </w:tc>
        <w:tc>
          <w:tcPr>
            <w:tcW w:w="737" w:type="dxa"/>
            <w:tcBorders>
              <w:top w:val="nil"/>
              <w:left w:val="nil"/>
              <w:bottom w:val="nil"/>
              <w:right w:val="nil"/>
            </w:tcBorders>
            <w:shd w:val="clear" w:color="auto" w:fill="auto"/>
            <w:noWrap/>
            <w:vAlign w:val="center"/>
            <w:hideMark/>
          </w:tcPr>
          <w:p w14:paraId="537CAA33"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29 050</w:t>
            </w:r>
          </w:p>
        </w:tc>
      </w:tr>
      <w:tr w:rsidR="00BD3539" w:rsidRPr="00BD3539" w14:paraId="547CB1E8" w14:textId="77777777" w:rsidTr="006E5A9E">
        <w:trPr>
          <w:trHeight w:val="408"/>
        </w:trPr>
        <w:tc>
          <w:tcPr>
            <w:tcW w:w="3827" w:type="dxa"/>
            <w:tcBorders>
              <w:top w:val="nil"/>
              <w:left w:val="nil"/>
              <w:bottom w:val="nil"/>
              <w:right w:val="nil"/>
            </w:tcBorders>
            <w:shd w:val="clear" w:color="auto" w:fill="auto"/>
            <w:vAlign w:val="center"/>
            <w:hideMark/>
          </w:tcPr>
          <w:p w14:paraId="6839CC9A"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 xml:space="preserve">Oslobodenie príjmu z prevodu opcií, cenných papierov a podielov (účastí) na </w:t>
            </w:r>
            <w:proofErr w:type="spellStart"/>
            <w:r w:rsidRPr="00BD3539">
              <w:rPr>
                <w:rFonts w:ascii="Times New Roman" w:eastAsia="Times New Roman" w:hAnsi="Times New Roman" w:cs="Times New Roman"/>
                <w:sz w:val="16"/>
                <w:szCs w:val="16"/>
                <w:lang w:eastAsia="sk-SK"/>
              </w:rPr>
              <w:t>s.r.o</w:t>
            </w:r>
            <w:proofErr w:type="spellEnd"/>
            <w:r w:rsidRPr="00BD3539">
              <w:rPr>
                <w:rFonts w:ascii="Times New Roman" w:eastAsia="Times New Roman" w:hAnsi="Times New Roman" w:cs="Times New Roman"/>
                <w:sz w:val="16"/>
                <w:szCs w:val="16"/>
                <w:lang w:eastAsia="sk-SK"/>
              </w:rPr>
              <w:t xml:space="preserve">., </w:t>
            </w:r>
            <w:proofErr w:type="spellStart"/>
            <w:r w:rsidRPr="00BD3539">
              <w:rPr>
                <w:rFonts w:ascii="Times New Roman" w:eastAsia="Times New Roman" w:hAnsi="Times New Roman" w:cs="Times New Roman"/>
                <w:sz w:val="16"/>
                <w:szCs w:val="16"/>
                <w:lang w:eastAsia="sk-SK"/>
              </w:rPr>
              <w:t>k.s</w:t>
            </w:r>
            <w:proofErr w:type="spellEnd"/>
            <w:r w:rsidRPr="00BD3539">
              <w:rPr>
                <w:rFonts w:ascii="Times New Roman" w:eastAsia="Times New Roman" w:hAnsi="Times New Roman" w:cs="Times New Roman"/>
                <w:sz w:val="16"/>
                <w:szCs w:val="16"/>
                <w:lang w:eastAsia="sk-SK"/>
              </w:rPr>
              <w:t>. a v družstve do výšky 500 eur</w:t>
            </w:r>
          </w:p>
        </w:tc>
        <w:tc>
          <w:tcPr>
            <w:tcW w:w="907" w:type="dxa"/>
            <w:tcBorders>
              <w:top w:val="nil"/>
              <w:left w:val="nil"/>
              <w:bottom w:val="nil"/>
              <w:right w:val="nil"/>
            </w:tcBorders>
            <w:shd w:val="clear" w:color="auto" w:fill="auto"/>
            <w:noWrap/>
            <w:vAlign w:val="center"/>
            <w:hideMark/>
          </w:tcPr>
          <w:p w14:paraId="0C6B2ECD"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DPFO</w:t>
            </w:r>
          </w:p>
        </w:tc>
        <w:tc>
          <w:tcPr>
            <w:tcW w:w="737" w:type="dxa"/>
            <w:tcBorders>
              <w:top w:val="nil"/>
              <w:left w:val="nil"/>
              <w:bottom w:val="nil"/>
              <w:right w:val="nil"/>
            </w:tcBorders>
            <w:shd w:val="clear" w:color="auto" w:fill="auto"/>
            <w:noWrap/>
            <w:vAlign w:val="center"/>
            <w:hideMark/>
          </w:tcPr>
          <w:p w14:paraId="06EF35CF"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202</w:t>
            </w:r>
          </w:p>
        </w:tc>
        <w:tc>
          <w:tcPr>
            <w:tcW w:w="737" w:type="dxa"/>
            <w:tcBorders>
              <w:top w:val="nil"/>
              <w:left w:val="nil"/>
              <w:bottom w:val="nil"/>
              <w:right w:val="nil"/>
            </w:tcBorders>
            <w:shd w:val="clear" w:color="auto" w:fill="auto"/>
            <w:noWrap/>
            <w:vAlign w:val="center"/>
            <w:hideMark/>
          </w:tcPr>
          <w:p w14:paraId="21EFF6A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218</w:t>
            </w:r>
          </w:p>
        </w:tc>
        <w:tc>
          <w:tcPr>
            <w:tcW w:w="737" w:type="dxa"/>
            <w:tcBorders>
              <w:top w:val="nil"/>
              <w:left w:val="nil"/>
              <w:bottom w:val="nil"/>
              <w:right w:val="nil"/>
            </w:tcBorders>
            <w:shd w:val="clear" w:color="auto" w:fill="auto"/>
            <w:noWrap/>
            <w:vAlign w:val="center"/>
            <w:hideMark/>
          </w:tcPr>
          <w:p w14:paraId="0DD738B2"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123</w:t>
            </w:r>
          </w:p>
        </w:tc>
        <w:tc>
          <w:tcPr>
            <w:tcW w:w="737" w:type="dxa"/>
            <w:tcBorders>
              <w:top w:val="nil"/>
              <w:left w:val="nil"/>
              <w:bottom w:val="nil"/>
              <w:right w:val="nil"/>
            </w:tcBorders>
            <w:shd w:val="clear" w:color="auto" w:fill="auto"/>
            <w:noWrap/>
            <w:vAlign w:val="center"/>
            <w:hideMark/>
          </w:tcPr>
          <w:p w14:paraId="14A6C315"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123</w:t>
            </w:r>
          </w:p>
        </w:tc>
        <w:tc>
          <w:tcPr>
            <w:tcW w:w="737" w:type="dxa"/>
            <w:tcBorders>
              <w:top w:val="nil"/>
              <w:left w:val="nil"/>
              <w:bottom w:val="nil"/>
              <w:right w:val="nil"/>
            </w:tcBorders>
            <w:shd w:val="clear" w:color="auto" w:fill="auto"/>
            <w:noWrap/>
            <w:vAlign w:val="center"/>
            <w:hideMark/>
          </w:tcPr>
          <w:p w14:paraId="5C96BBD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123</w:t>
            </w:r>
          </w:p>
        </w:tc>
        <w:tc>
          <w:tcPr>
            <w:tcW w:w="737" w:type="dxa"/>
            <w:tcBorders>
              <w:top w:val="nil"/>
              <w:left w:val="nil"/>
              <w:bottom w:val="nil"/>
              <w:right w:val="nil"/>
            </w:tcBorders>
            <w:shd w:val="clear" w:color="auto" w:fill="auto"/>
            <w:noWrap/>
            <w:vAlign w:val="center"/>
            <w:hideMark/>
          </w:tcPr>
          <w:p w14:paraId="1DB2192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123</w:t>
            </w:r>
          </w:p>
        </w:tc>
      </w:tr>
      <w:tr w:rsidR="00BD3539" w:rsidRPr="00BD3539" w14:paraId="40DCFD59" w14:textId="77777777" w:rsidTr="006E5A9E">
        <w:trPr>
          <w:trHeight w:val="264"/>
        </w:trPr>
        <w:tc>
          <w:tcPr>
            <w:tcW w:w="3827" w:type="dxa"/>
            <w:tcBorders>
              <w:top w:val="nil"/>
              <w:left w:val="nil"/>
              <w:bottom w:val="nil"/>
              <w:right w:val="nil"/>
            </w:tcBorders>
            <w:shd w:val="clear" w:color="auto" w:fill="auto"/>
            <w:vAlign w:val="center"/>
            <w:hideMark/>
          </w:tcPr>
          <w:p w14:paraId="4EC1F3F6"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NČZD na DDS, životné poistenie a účelové sporenie.</w:t>
            </w:r>
          </w:p>
        </w:tc>
        <w:tc>
          <w:tcPr>
            <w:tcW w:w="907" w:type="dxa"/>
            <w:tcBorders>
              <w:top w:val="nil"/>
              <w:left w:val="nil"/>
              <w:bottom w:val="nil"/>
              <w:right w:val="nil"/>
            </w:tcBorders>
            <w:shd w:val="clear" w:color="auto" w:fill="auto"/>
            <w:noWrap/>
            <w:vAlign w:val="center"/>
            <w:hideMark/>
          </w:tcPr>
          <w:p w14:paraId="01B906AD"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DPFO</w:t>
            </w:r>
          </w:p>
        </w:tc>
        <w:tc>
          <w:tcPr>
            <w:tcW w:w="737" w:type="dxa"/>
            <w:tcBorders>
              <w:top w:val="nil"/>
              <w:left w:val="nil"/>
              <w:bottom w:val="nil"/>
              <w:right w:val="nil"/>
            </w:tcBorders>
            <w:shd w:val="clear" w:color="auto" w:fill="auto"/>
            <w:noWrap/>
            <w:vAlign w:val="center"/>
            <w:hideMark/>
          </w:tcPr>
          <w:p w14:paraId="3241DA50"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6 573</w:t>
            </w:r>
          </w:p>
        </w:tc>
        <w:tc>
          <w:tcPr>
            <w:tcW w:w="737" w:type="dxa"/>
            <w:tcBorders>
              <w:top w:val="nil"/>
              <w:left w:val="nil"/>
              <w:bottom w:val="nil"/>
              <w:right w:val="nil"/>
            </w:tcBorders>
            <w:shd w:val="clear" w:color="auto" w:fill="auto"/>
            <w:noWrap/>
            <w:vAlign w:val="center"/>
            <w:hideMark/>
          </w:tcPr>
          <w:p w14:paraId="23610323"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8 685</w:t>
            </w:r>
          </w:p>
        </w:tc>
        <w:tc>
          <w:tcPr>
            <w:tcW w:w="737" w:type="dxa"/>
            <w:tcBorders>
              <w:top w:val="nil"/>
              <w:left w:val="nil"/>
              <w:bottom w:val="nil"/>
              <w:right w:val="nil"/>
            </w:tcBorders>
            <w:shd w:val="clear" w:color="auto" w:fill="auto"/>
            <w:noWrap/>
            <w:vAlign w:val="center"/>
            <w:hideMark/>
          </w:tcPr>
          <w:p w14:paraId="5BC2188D"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9 294</w:t>
            </w:r>
          </w:p>
        </w:tc>
        <w:tc>
          <w:tcPr>
            <w:tcW w:w="737" w:type="dxa"/>
            <w:tcBorders>
              <w:top w:val="nil"/>
              <w:left w:val="nil"/>
              <w:bottom w:val="nil"/>
              <w:right w:val="nil"/>
            </w:tcBorders>
            <w:shd w:val="clear" w:color="auto" w:fill="auto"/>
            <w:noWrap/>
            <w:vAlign w:val="center"/>
            <w:hideMark/>
          </w:tcPr>
          <w:p w14:paraId="4034B3F6"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10 706</w:t>
            </w:r>
          </w:p>
        </w:tc>
        <w:tc>
          <w:tcPr>
            <w:tcW w:w="737" w:type="dxa"/>
            <w:tcBorders>
              <w:top w:val="nil"/>
              <w:left w:val="nil"/>
              <w:bottom w:val="nil"/>
              <w:right w:val="nil"/>
            </w:tcBorders>
            <w:shd w:val="clear" w:color="auto" w:fill="auto"/>
            <w:noWrap/>
            <w:vAlign w:val="center"/>
            <w:hideMark/>
          </w:tcPr>
          <w:p w14:paraId="40E8BCEF"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11 522</w:t>
            </w:r>
          </w:p>
        </w:tc>
        <w:tc>
          <w:tcPr>
            <w:tcW w:w="737" w:type="dxa"/>
            <w:tcBorders>
              <w:top w:val="nil"/>
              <w:left w:val="nil"/>
              <w:bottom w:val="nil"/>
              <w:right w:val="nil"/>
            </w:tcBorders>
            <w:shd w:val="clear" w:color="auto" w:fill="auto"/>
            <w:noWrap/>
            <w:vAlign w:val="center"/>
            <w:hideMark/>
          </w:tcPr>
          <w:p w14:paraId="3BA4EB20"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12 262</w:t>
            </w:r>
          </w:p>
        </w:tc>
      </w:tr>
      <w:tr w:rsidR="00BD3539" w:rsidRPr="00BD3539" w14:paraId="37388405" w14:textId="77777777" w:rsidTr="006E5A9E">
        <w:trPr>
          <w:trHeight w:val="264"/>
        </w:trPr>
        <w:tc>
          <w:tcPr>
            <w:tcW w:w="3827" w:type="dxa"/>
            <w:tcBorders>
              <w:top w:val="nil"/>
              <w:left w:val="nil"/>
              <w:bottom w:val="nil"/>
              <w:right w:val="nil"/>
            </w:tcBorders>
            <w:shd w:val="clear" w:color="auto" w:fill="auto"/>
            <w:vAlign w:val="center"/>
            <w:hideMark/>
          </w:tcPr>
          <w:p w14:paraId="78F0072F"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 xml:space="preserve">Oslobodenie príjmov z predaja CP prijatých na obchodovanie na burze </w:t>
            </w:r>
          </w:p>
        </w:tc>
        <w:tc>
          <w:tcPr>
            <w:tcW w:w="907" w:type="dxa"/>
            <w:tcBorders>
              <w:top w:val="nil"/>
              <w:left w:val="nil"/>
              <w:bottom w:val="nil"/>
              <w:right w:val="nil"/>
            </w:tcBorders>
            <w:shd w:val="clear" w:color="auto" w:fill="auto"/>
            <w:noWrap/>
            <w:vAlign w:val="center"/>
            <w:hideMark/>
          </w:tcPr>
          <w:p w14:paraId="2B509DB2"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DPFO</w:t>
            </w:r>
          </w:p>
        </w:tc>
        <w:tc>
          <w:tcPr>
            <w:tcW w:w="737" w:type="dxa"/>
            <w:tcBorders>
              <w:top w:val="nil"/>
              <w:left w:val="nil"/>
              <w:bottom w:val="nil"/>
              <w:right w:val="nil"/>
            </w:tcBorders>
            <w:shd w:val="clear" w:color="auto" w:fill="auto"/>
            <w:noWrap/>
            <w:vAlign w:val="center"/>
            <w:hideMark/>
          </w:tcPr>
          <w:p w14:paraId="4EBE86D0"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2 882</w:t>
            </w:r>
          </w:p>
        </w:tc>
        <w:tc>
          <w:tcPr>
            <w:tcW w:w="737" w:type="dxa"/>
            <w:tcBorders>
              <w:top w:val="nil"/>
              <w:left w:val="nil"/>
              <w:bottom w:val="nil"/>
              <w:right w:val="nil"/>
            </w:tcBorders>
            <w:shd w:val="clear" w:color="auto" w:fill="auto"/>
            <w:noWrap/>
            <w:vAlign w:val="center"/>
            <w:hideMark/>
          </w:tcPr>
          <w:p w14:paraId="7E46A889"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2 969</w:t>
            </w:r>
          </w:p>
        </w:tc>
        <w:tc>
          <w:tcPr>
            <w:tcW w:w="737" w:type="dxa"/>
            <w:tcBorders>
              <w:top w:val="nil"/>
              <w:left w:val="nil"/>
              <w:bottom w:val="nil"/>
              <w:right w:val="nil"/>
            </w:tcBorders>
            <w:shd w:val="clear" w:color="auto" w:fill="auto"/>
            <w:noWrap/>
            <w:vAlign w:val="center"/>
            <w:hideMark/>
          </w:tcPr>
          <w:p w14:paraId="77BC7AD7"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3 198</w:t>
            </w:r>
          </w:p>
        </w:tc>
        <w:tc>
          <w:tcPr>
            <w:tcW w:w="737" w:type="dxa"/>
            <w:tcBorders>
              <w:top w:val="nil"/>
              <w:left w:val="nil"/>
              <w:bottom w:val="nil"/>
              <w:right w:val="nil"/>
            </w:tcBorders>
            <w:shd w:val="clear" w:color="auto" w:fill="auto"/>
            <w:noWrap/>
            <w:vAlign w:val="center"/>
            <w:hideMark/>
          </w:tcPr>
          <w:p w14:paraId="14C179AD"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3 377</w:t>
            </w:r>
          </w:p>
        </w:tc>
        <w:tc>
          <w:tcPr>
            <w:tcW w:w="737" w:type="dxa"/>
            <w:tcBorders>
              <w:top w:val="nil"/>
              <w:left w:val="nil"/>
              <w:bottom w:val="nil"/>
              <w:right w:val="nil"/>
            </w:tcBorders>
            <w:shd w:val="clear" w:color="auto" w:fill="auto"/>
            <w:noWrap/>
            <w:vAlign w:val="center"/>
            <w:hideMark/>
          </w:tcPr>
          <w:p w14:paraId="5D65A728"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3 556</w:t>
            </w:r>
          </w:p>
        </w:tc>
        <w:tc>
          <w:tcPr>
            <w:tcW w:w="737" w:type="dxa"/>
            <w:tcBorders>
              <w:top w:val="nil"/>
              <w:left w:val="nil"/>
              <w:bottom w:val="nil"/>
              <w:right w:val="nil"/>
            </w:tcBorders>
            <w:shd w:val="clear" w:color="auto" w:fill="auto"/>
            <w:noWrap/>
            <w:vAlign w:val="center"/>
            <w:hideMark/>
          </w:tcPr>
          <w:p w14:paraId="1FCA840C"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3 726</w:t>
            </w:r>
          </w:p>
        </w:tc>
      </w:tr>
      <w:tr w:rsidR="00BD3539" w:rsidRPr="00BD3539" w14:paraId="723ADB00" w14:textId="77777777" w:rsidTr="006E5A9E">
        <w:trPr>
          <w:trHeight w:val="264"/>
        </w:trPr>
        <w:tc>
          <w:tcPr>
            <w:tcW w:w="3827" w:type="dxa"/>
            <w:tcBorders>
              <w:top w:val="nil"/>
              <w:left w:val="nil"/>
              <w:bottom w:val="nil"/>
              <w:right w:val="nil"/>
            </w:tcBorders>
            <w:shd w:val="clear" w:color="auto" w:fill="auto"/>
            <w:vAlign w:val="center"/>
            <w:hideMark/>
          </w:tcPr>
          <w:p w14:paraId="0E2D8E7C"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Osobitný základ dane pre príjmy z kapitálového majetku</w:t>
            </w:r>
          </w:p>
        </w:tc>
        <w:tc>
          <w:tcPr>
            <w:tcW w:w="907" w:type="dxa"/>
            <w:tcBorders>
              <w:top w:val="nil"/>
              <w:left w:val="nil"/>
              <w:bottom w:val="nil"/>
              <w:right w:val="nil"/>
            </w:tcBorders>
            <w:shd w:val="clear" w:color="auto" w:fill="auto"/>
            <w:noWrap/>
            <w:vAlign w:val="center"/>
            <w:hideMark/>
          </w:tcPr>
          <w:p w14:paraId="04BFD649"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DPFO</w:t>
            </w:r>
          </w:p>
        </w:tc>
        <w:tc>
          <w:tcPr>
            <w:tcW w:w="737" w:type="dxa"/>
            <w:tcBorders>
              <w:top w:val="nil"/>
              <w:left w:val="nil"/>
              <w:bottom w:val="nil"/>
              <w:right w:val="nil"/>
            </w:tcBorders>
            <w:shd w:val="clear" w:color="auto" w:fill="auto"/>
            <w:noWrap/>
            <w:vAlign w:val="center"/>
            <w:hideMark/>
          </w:tcPr>
          <w:p w14:paraId="4E8C5A94"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116</w:t>
            </w:r>
          </w:p>
        </w:tc>
        <w:tc>
          <w:tcPr>
            <w:tcW w:w="737" w:type="dxa"/>
            <w:tcBorders>
              <w:top w:val="nil"/>
              <w:left w:val="nil"/>
              <w:bottom w:val="nil"/>
              <w:right w:val="nil"/>
            </w:tcBorders>
            <w:shd w:val="clear" w:color="auto" w:fill="auto"/>
            <w:noWrap/>
            <w:vAlign w:val="center"/>
            <w:hideMark/>
          </w:tcPr>
          <w:p w14:paraId="797BB21C"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116</w:t>
            </w:r>
          </w:p>
        </w:tc>
        <w:tc>
          <w:tcPr>
            <w:tcW w:w="737" w:type="dxa"/>
            <w:tcBorders>
              <w:top w:val="nil"/>
              <w:left w:val="nil"/>
              <w:bottom w:val="nil"/>
              <w:right w:val="nil"/>
            </w:tcBorders>
            <w:shd w:val="clear" w:color="auto" w:fill="auto"/>
            <w:noWrap/>
            <w:vAlign w:val="center"/>
            <w:hideMark/>
          </w:tcPr>
          <w:p w14:paraId="196CCDEA"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116</w:t>
            </w:r>
          </w:p>
        </w:tc>
        <w:tc>
          <w:tcPr>
            <w:tcW w:w="737" w:type="dxa"/>
            <w:tcBorders>
              <w:top w:val="nil"/>
              <w:left w:val="nil"/>
              <w:bottom w:val="nil"/>
              <w:right w:val="nil"/>
            </w:tcBorders>
            <w:shd w:val="clear" w:color="auto" w:fill="auto"/>
            <w:noWrap/>
            <w:vAlign w:val="center"/>
            <w:hideMark/>
          </w:tcPr>
          <w:p w14:paraId="7E2459A7"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116</w:t>
            </w:r>
          </w:p>
        </w:tc>
        <w:tc>
          <w:tcPr>
            <w:tcW w:w="737" w:type="dxa"/>
            <w:tcBorders>
              <w:top w:val="nil"/>
              <w:left w:val="nil"/>
              <w:bottom w:val="nil"/>
              <w:right w:val="nil"/>
            </w:tcBorders>
            <w:shd w:val="clear" w:color="auto" w:fill="auto"/>
            <w:noWrap/>
            <w:vAlign w:val="center"/>
            <w:hideMark/>
          </w:tcPr>
          <w:p w14:paraId="53905F17"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116</w:t>
            </w:r>
          </w:p>
        </w:tc>
        <w:tc>
          <w:tcPr>
            <w:tcW w:w="737" w:type="dxa"/>
            <w:tcBorders>
              <w:top w:val="nil"/>
              <w:left w:val="nil"/>
              <w:bottom w:val="nil"/>
              <w:right w:val="nil"/>
            </w:tcBorders>
            <w:shd w:val="clear" w:color="auto" w:fill="auto"/>
            <w:noWrap/>
            <w:vAlign w:val="center"/>
            <w:hideMark/>
          </w:tcPr>
          <w:p w14:paraId="649CE645"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116</w:t>
            </w:r>
          </w:p>
        </w:tc>
      </w:tr>
      <w:tr w:rsidR="00BD3539" w:rsidRPr="00BD3539" w14:paraId="2070C8EC" w14:textId="77777777" w:rsidTr="006E5A9E">
        <w:trPr>
          <w:trHeight w:val="264"/>
        </w:trPr>
        <w:tc>
          <w:tcPr>
            <w:tcW w:w="3827" w:type="dxa"/>
            <w:tcBorders>
              <w:top w:val="nil"/>
              <w:left w:val="nil"/>
              <w:bottom w:val="nil"/>
              <w:right w:val="nil"/>
            </w:tcBorders>
            <w:shd w:val="clear" w:color="auto" w:fill="auto"/>
            <w:vAlign w:val="center"/>
            <w:hideMark/>
          </w:tcPr>
          <w:p w14:paraId="56F08B74"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Dlhodobé investičné sporenie</w:t>
            </w:r>
          </w:p>
        </w:tc>
        <w:tc>
          <w:tcPr>
            <w:tcW w:w="907" w:type="dxa"/>
            <w:tcBorders>
              <w:top w:val="nil"/>
              <w:left w:val="nil"/>
              <w:bottom w:val="nil"/>
              <w:right w:val="nil"/>
            </w:tcBorders>
            <w:shd w:val="clear" w:color="auto" w:fill="auto"/>
            <w:noWrap/>
            <w:vAlign w:val="center"/>
            <w:hideMark/>
          </w:tcPr>
          <w:p w14:paraId="6522D61A"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DPFO</w:t>
            </w:r>
          </w:p>
        </w:tc>
        <w:tc>
          <w:tcPr>
            <w:tcW w:w="737" w:type="dxa"/>
            <w:tcBorders>
              <w:top w:val="nil"/>
              <w:left w:val="nil"/>
              <w:bottom w:val="nil"/>
              <w:right w:val="nil"/>
            </w:tcBorders>
            <w:shd w:val="clear" w:color="auto" w:fill="auto"/>
            <w:noWrap/>
            <w:vAlign w:val="center"/>
            <w:hideMark/>
          </w:tcPr>
          <w:p w14:paraId="047C920B"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1 897</w:t>
            </w:r>
          </w:p>
        </w:tc>
        <w:tc>
          <w:tcPr>
            <w:tcW w:w="737" w:type="dxa"/>
            <w:tcBorders>
              <w:top w:val="nil"/>
              <w:left w:val="nil"/>
              <w:bottom w:val="nil"/>
              <w:right w:val="nil"/>
            </w:tcBorders>
            <w:shd w:val="clear" w:color="auto" w:fill="auto"/>
            <w:noWrap/>
            <w:vAlign w:val="center"/>
            <w:hideMark/>
          </w:tcPr>
          <w:p w14:paraId="39FB675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1 991</w:t>
            </w:r>
          </w:p>
        </w:tc>
        <w:tc>
          <w:tcPr>
            <w:tcW w:w="737" w:type="dxa"/>
            <w:tcBorders>
              <w:top w:val="nil"/>
              <w:left w:val="nil"/>
              <w:bottom w:val="nil"/>
              <w:right w:val="nil"/>
            </w:tcBorders>
            <w:shd w:val="clear" w:color="auto" w:fill="auto"/>
            <w:noWrap/>
            <w:vAlign w:val="center"/>
            <w:hideMark/>
          </w:tcPr>
          <w:p w14:paraId="7CB963E7"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2 132</w:t>
            </w:r>
          </w:p>
        </w:tc>
        <w:tc>
          <w:tcPr>
            <w:tcW w:w="737" w:type="dxa"/>
            <w:tcBorders>
              <w:top w:val="nil"/>
              <w:left w:val="nil"/>
              <w:bottom w:val="nil"/>
              <w:right w:val="nil"/>
            </w:tcBorders>
            <w:shd w:val="clear" w:color="auto" w:fill="auto"/>
            <w:noWrap/>
            <w:vAlign w:val="center"/>
            <w:hideMark/>
          </w:tcPr>
          <w:p w14:paraId="6F3A7E31"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2 251</w:t>
            </w:r>
          </w:p>
        </w:tc>
        <w:tc>
          <w:tcPr>
            <w:tcW w:w="737" w:type="dxa"/>
            <w:tcBorders>
              <w:top w:val="nil"/>
              <w:left w:val="nil"/>
              <w:bottom w:val="nil"/>
              <w:right w:val="nil"/>
            </w:tcBorders>
            <w:shd w:val="clear" w:color="auto" w:fill="auto"/>
            <w:noWrap/>
            <w:vAlign w:val="center"/>
            <w:hideMark/>
          </w:tcPr>
          <w:p w14:paraId="3207FF95"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2 371</w:t>
            </w:r>
          </w:p>
        </w:tc>
        <w:tc>
          <w:tcPr>
            <w:tcW w:w="737" w:type="dxa"/>
            <w:tcBorders>
              <w:top w:val="nil"/>
              <w:left w:val="nil"/>
              <w:bottom w:val="nil"/>
              <w:right w:val="nil"/>
            </w:tcBorders>
            <w:shd w:val="clear" w:color="auto" w:fill="auto"/>
            <w:noWrap/>
            <w:vAlign w:val="center"/>
            <w:hideMark/>
          </w:tcPr>
          <w:p w14:paraId="77E4D29D"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2 484</w:t>
            </w:r>
          </w:p>
        </w:tc>
      </w:tr>
      <w:tr w:rsidR="00BD3539" w:rsidRPr="00BD3539" w14:paraId="7584EE8F" w14:textId="77777777" w:rsidTr="006E5A9E">
        <w:trPr>
          <w:trHeight w:val="264"/>
        </w:trPr>
        <w:tc>
          <w:tcPr>
            <w:tcW w:w="3827" w:type="dxa"/>
            <w:tcBorders>
              <w:top w:val="nil"/>
              <w:left w:val="nil"/>
              <w:bottom w:val="nil"/>
              <w:right w:val="nil"/>
            </w:tcBorders>
            <w:shd w:val="clear" w:color="auto" w:fill="auto"/>
            <w:vAlign w:val="center"/>
            <w:hideMark/>
          </w:tcPr>
          <w:p w14:paraId="21D8D130"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Zvýšenie sadzby dane z dividend</w:t>
            </w:r>
          </w:p>
        </w:tc>
        <w:tc>
          <w:tcPr>
            <w:tcW w:w="907" w:type="dxa"/>
            <w:tcBorders>
              <w:top w:val="nil"/>
              <w:left w:val="nil"/>
              <w:bottom w:val="nil"/>
              <w:right w:val="nil"/>
            </w:tcBorders>
            <w:shd w:val="clear" w:color="auto" w:fill="auto"/>
            <w:noWrap/>
            <w:vAlign w:val="center"/>
            <w:hideMark/>
          </w:tcPr>
          <w:p w14:paraId="15DDF4E8"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proofErr w:type="spellStart"/>
            <w:r w:rsidRPr="00BD3539">
              <w:rPr>
                <w:rFonts w:ascii="Times New Roman" w:eastAsia="Times New Roman" w:hAnsi="Times New Roman" w:cs="Times New Roman"/>
                <w:sz w:val="16"/>
                <w:szCs w:val="16"/>
                <w:lang w:eastAsia="sk-SK"/>
              </w:rPr>
              <w:t>DvZ</w:t>
            </w:r>
            <w:proofErr w:type="spellEnd"/>
          </w:p>
        </w:tc>
        <w:tc>
          <w:tcPr>
            <w:tcW w:w="737" w:type="dxa"/>
            <w:tcBorders>
              <w:top w:val="nil"/>
              <w:left w:val="nil"/>
              <w:bottom w:val="nil"/>
              <w:right w:val="nil"/>
            </w:tcBorders>
            <w:shd w:val="clear" w:color="auto" w:fill="auto"/>
            <w:noWrap/>
            <w:vAlign w:val="center"/>
            <w:hideMark/>
          </w:tcPr>
          <w:p w14:paraId="7F093348"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4 336</w:t>
            </w:r>
          </w:p>
        </w:tc>
        <w:tc>
          <w:tcPr>
            <w:tcW w:w="737" w:type="dxa"/>
            <w:tcBorders>
              <w:top w:val="nil"/>
              <w:left w:val="nil"/>
              <w:bottom w:val="nil"/>
              <w:right w:val="nil"/>
            </w:tcBorders>
            <w:shd w:val="clear" w:color="auto" w:fill="auto"/>
            <w:noWrap/>
            <w:vAlign w:val="center"/>
            <w:hideMark/>
          </w:tcPr>
          <w:p w14:paraId="1F014A8B"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4 753</w:t>
            </w:r>
          </w:p>
        </w:tc>
        <w:tc>
          <w:tcPr>
            <w:tcW w:w="737" w:type="dxa"/>
            <w:tcBorders>
              <w:top w:val="nil"/>
              <w:left w:val="nil"/>
              <w:bottom w:val="nil"/>
              <w:right w:val="nil"/>
            </w:tcBorders>
            <w:shd w:val="clear" w:color="auto" w:fill="auto"/>
            <w:noWrap/>
            <w:vAlign w:val="center"/>
            <w:hideMark/>
          </w:tcPr>
          <w:p w14:paraId="0F9573D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5 137</w:t>
            </w:r>
          </w:p>
        </w:tc>
        <w:tc>
          <w:tcPr>
            <w:tcW w:w="737" w:type="dxa"/>
            <w:tcBorders>
              <w:top w:val="nil"/>
              <w:left w:val="nil"/>
              <w:bottom w:val="nil"/>
              <w:right w:val="nil"/>
            </w:tcBorders>
            <w:shd w:val="clear" w:color="auto" w:fill="auto"/>
            <w:noWrap/>
            <w:vAlign w:val="center"/>
            <w:hideMark/>
          </w:tcPr>
          <w:p w14:paraId="738AB60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0</w:t>
            </w:r>
          </w:p>
        </w:tc>
        <w:tc>
          <w:tcPr>
            <w:tcW w:w="737" w:type="dxa"/>
            <w:tcBorders>
              <w:top w:val="nil"/>
              <w:left w:val="nil"/>
              <w:bottom w:val="nil"/>
              <w:right w:val="nil"/>
            </w:tcBorders>
            <w:shd w:val="clear" w:color="auto" w:fill="auto"/>
            <w:noWrap/>
            <w:vAlign w:val="center"/>
            <w:hideMark/>
          </w:tcPr>
          <w:p w14:paraId="2B772FF2"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0</w:t>
            </w:r>
          </w:p>
        </w:tc>
        <w:tc>
          <w:tcPr>
            <w:tcW w:w="737" w:type="dxa"/>
            <w:tcBorders>
              <w:top w:val="nil"/>
              <w:left w:val="nil"/>
              <w:bottom w:val="nil"/>
              <w:right w:val="nil"/>
            </w:tcBorders>
            <w:shd w:val="clear" w:color="auto" w:fill="auto"/>
            <w:noWrap/>
            <w:vAlign w:val="center"/>
            <w:hideMark/>
          </w:tcPr>
          <w:p w14:paraId="1677304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0</w:t>
            </w:r>
          </w:p>
        </w:tc>
      </w:tr>
      <w:tr w:rsidR="00BD3539" w:rsidRPr="00BD3539" w14:paraId="6E877DC5" w14:textId="77777777" w:rsidTr="006E5A9E">
        <w:trPr>
          <w:trHeight w:val="264"/>
        </w:trPr>
        <w:tc>
          <w:tcPr>
            <w:tcW w:w="3827" w:type="dxa"/>
            <w:tcBorders>
              <w:top w:val="nil"/>
              <w:left w:val="nil"/>
              <w:bottom w:val="nil"/>
              <w:right w:val="nil"/>
            </w:tcBorders>
            <w:shd w:val="clear" w:color="auto" w:fill="auto"/>
            <w:vAlign w:val="center"/>
            <w:hideMark/>
          </w:tcPr>
          <w:p w14:paraId="07C0D612"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ľubovoľný odpis majetku</w:t>
            </w:r>
          </w:p>
        </w:tc>
        <w:tc>
          <w:tcPr>
            <w:tcW w:w="907" w:type="dxa"/>
            <w:tcBorders>
              <w:top w:val="nil"/>
              <w:left w:val="nil"/>
              <w:bottom w:val="nil"/>
              <w:right w:val="nil"/>
            </w:tcBorders>
            <w:shd w:val="clear" w:color="auto" w:fill="auto"/>
            <w:noWrap/>
            <w:vAlign w:val="center"/>
            <w:hideMark/>
          </w:tcPr>
          <w:p w14:paraId="0BE1163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DPPO</w:t>
            </w:r>
          </w:p>
        </w:tc>
        <w:tc>
          <w:tcPr>
            <w:tcW w:w="737" w:type="dxa"/>
            <w:tcBorders>
              <w:top w:val="nil"/>
              <w:left w:val="nil"/>
              <w:bottom w:val="nil"/>
              <w:right w:val="nil"/>
            </w:tcBorders>
            <w:shd w:val="clear" w:color="auto" w:fill="auto"/>
            <w:noWrap/>
            <w:vAlign w:val="center"/>
            <w:hideMark/>
          </w:tcPr>
          <w:p w14:paraId="551E96EC"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4 748</w:t>
            </w:r>
          </w:p>
        </w:tc>
        <w:tc>
          <w:tcPr>
            <w:tcW w:w="737" w:type="dxa"/>
            <w:tcBorders>
              <w:top w:val="nil"/>
              <w:left w:val="nil"/>
              <w:bottom w:val="nil"/>
              <w:right w:val="nil"/>
            </w:tcBorders>
            <w:shd w:val="clear" w:color="auto" w:fill="auto"/>
            <w:noWrap/>
            <w:vAlign w:val="center"/>
            <w:hideMark/>
          </w:tcPr>
          <w:p w14:paraId="1190AC23"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4 748</w:t>
            </w:r>
          </w:p>
        </w:tc>
        <w:tc>
          <w:tcPr>
            <w:tcW w:w="737" w:type="dxa"/>
            <w:tcBorders>
              <w:top w:val="nil"/>
              <w:left w:val="nil"/>
              <w:bottom w:val="nil"/>
              <w:right w:val="nil"/>
            </w:tcBorders>
            <w:shd w:val="clear" w:color="auto" w:fill="auto"/>
            <w:noWrap/>
            <w:vAlign w:val="center"/>
            <w:hideMark/>
          </w:tcPr>
          <w:p w14:paraId="76286A5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4 748</w:t>
            </w:r>
          </w:p>
        </w:tc>
        <w:tc>
          <w:tcPr>
            <w:tcW w:w="737" w:type="dxa"/>
            <w:tcBorders>
              <w:top w:val="nil"/>
              <w:left w:val="nil"/>
              <w:bottom w:val="nil"/>
              <w:right w:val="nil"/>
            </w:tcBorders>
            <w:shd w:val="clear" w:color="auto" w:fill="auto"/>
            <w:noWrap/>
            <w:vAlign w:val="center"/>
            <w:hideMark/>
          </w:tcPr>
          <w:p w14:paraId="07858612"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4 748</w:t>
            </w:r>
          </w:p>
        </w:tc>
        <w:tc>
          <w:tcPr>
            <w:tcW w:w="737" w:type="dxa"/>
            <w:tcBorders>
              <w:top w:val="nil"/>
              <w:left w:val="nil"/>
              <w:bottom w:val="nil"/>
              <w:right w:val="nil"/>
            </w:tcBorders>
            <w:shd w:val="clear" w:color="auto" w:fill="auto"/>
            <w:noWrap/>
            <w:vAlign w:val="center"/>
            <w:hideMark/>
          </w:tcPr>
          <w:p w14:paraId="28752600"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4 748</w:t>
            </w:r>
          </w:p>
        </w:tc>
        <w:tc>
          <w:tcPr>
            <w:tcW w:w="737" w:type="dxa"/>
            <w:tcBorders>
              <w:top w:val="nil"/>
              <w:left w:val="nil"/>
              <w:bottom w:val="nil"/>
              <w:right w:val="nil"/>
            </w:tcBorders>
            <w:shd w:val="clear" w:color="auto" w:fill="auto"/>
            <w:noWrap/>
            <w:vAlign w:val="center"/>
            <w:hideMark/>
          </w:tcPr>
          <w:p w14:paraId="313F9017"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4 748</w:t>
            </w:r>
          </w:p>
        </w:tc>
      </w:tr>
      <w:tr w:rsidR="00BD3539" w:rsidRPr="00BD3539" w14:paraId="4A28BFD0" w14:textId="77777777" w:rsidTr="006E5A9E">
        <w:trPr>
          <w:trHeight w:val="264"/>
        </w:trPr>
        <w:tc>
          <w:tcPr>
            <w:tcW w:w="3827" w:type="dxa"/>
            <w:tcBorders>
              <w:top w:val="nil"/>
              <w:left w:val="nil"/>
              <w:bottom w:val="nil"/>
              <w:right w:val="nil"/>
            </w:tcBorders>
            <w:shd w:val="clear" w:color="auto" w:fill="auto"/>
            <w:vAlign w:val="center"/>
            <w:hideMark/>
          </w:tcPr>
          <w:p w14:paraId="5EF0F057"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opravné položky podľa účtovníctva</w:t>
            </w:r>
          </w:p>
        </w:tc>
        <w:tc>
          <w:tcPr>
            <w:tcW w:w="907" w:type="dxa"/>
            <w:tcBorders>
              <w:top w:val="nil"/>
              <w:left w:val="nil"/>
              <w:bottom w:val="nil"/>
              <w:right w:val="nil"/>
            </w:tcBorders>
            <w:shd w:val="clear" w:color="auto" w:fill="auto"/>
            <w:noWrap/>
            <w:vAlign w:val="center"/>
            <w:hideMark/>
          </w:tcPr>
          <w:p w14:paraId="5C412A85"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DPPO</w:t>
            </w:r>
          </w:p>
        </w:tc>
        <w:tc>
          <w:tcPr>
            <w:tcW w:w="737" w:type="dxa"/>
            <w:tcBorders>
              <w:top w:val="nil"/>
              <w:left w:val="nil"/>
              <w:bottom w:val="nil"/>
              <w:right w:val="nil"/>
            </w:tcBorders>
            <w:shd w:val="clear" w:color="auto" w:fill="auto"/>
            <w:noWrap/>
            <w:vAlign w:val="center"/>
            <w:hideMark/>
          </w:tcPr>
          <w:p w14:paraId="4B092641"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1 100</w:t>
            </w:r>
          </w:p>
        </w:tc>
        <w:tc>
          <w:tcPr>
            <w:tcW w:w="737" w:type="dxa"/>
            <w:tcBorders>
              <w:top w:val="nil"/>
              <w:left w:val="nil"/>
              <w:bottom w:val="nil"/>
              <w:right w:val="nil"/>
            </w:tcBorders>
            <w:shd w:val="clear" w:color="auto" w:fill="auto"/>
            <w:noWrap/>
            <w:vAlign w:val="center"/>
            <w:hideMark/>
          </w:tcPr>
          <w:p w14:paraId="390D61B5"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1 100</w:t>
            </w:r>
          </w:p>
        </w:tc>
        <w:tc>
          <w:tcPr>
            <w:tcW w:w="737" w:type="dxa"/>
            <w:tcBorders>
              <w:top w:val="nil"/>
              <w:left w:val="nil"/>
              <w:bottom w:val="nil"/>
              <w:right w:val="nil"/>
            </w:tcBorders>
            <w:shd w:val="clear" w:color="auto" w:fill="auto"/>
            <w:noWrap/>
            <w:vAlign w:val="center"/>
            <w:hideMark/>
          </w:tcPr>
          <w:p w14:paraId="516A2B47"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1 100</w:t>
            </w:r>
          </w:p>
        </w:tc>
        <w:tc>
          <w:tcPr>
            <w:tcW w:w="737" w:type="dxa"/>
            <w:tcBorders>
              <w:top w:val="nil"/>
              <w:left w:val="nil"/>
              <w:bottom w:val="nil"/>
              <w:right w:val="nil"/>
            </w:tcBorders>
            <w:shd w:val="clear" w:color="auto" w:fill="auto"/>
            <w:noWrap/>
            <w:vAlign w:val="center"/>
            <w:hideMark/>
          </w:tcPr>
          <w:p w14:paraId="710B2A6B"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1 100</w:t>
            </w:r>
          </w:p>
        </w:tc>
        <w:tc>
          <w:tcPr>
            <w:tcW w:w="737" w:type="dxa"/>
            <w:tcBorders>
              <w:top w:val="nil"/>
              <w:left w:val="nil"/>
              <w:bottom w:val="nil"/>
              <w:right w:val="nil"/>
            </w:tcBorders>
            <w:shd w:val="clear" w:color="auto" w:fill="auto"/>
            <w:noWrap/>
            <w:vAlign w:val="center"/>
            <w:hideMark/>
          </w:tcPr>
          <w:p w14:paraId="54672CBA"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1 100</w:t>
            </w:r>
          </w:p>
        </w:tc>
        <w:tc>
          <w:tcPr>
            <w:tcW w:w="737" w:type="dxa"/>
            <w:tcBorders>
              <w:top w:val="nil"/>
              <w:left w:val="nil"/>
              <w:bottom w:val="nil"/>
              <w:right w:val="nil"/>
            </w:tcBorders>
            <w:shd w:val="clear" w:color="auto" w:fill="auto"/>
            <w:noWrap/>
            <w:vAlign w:val="center"/>
            <w:hideMark/>
          </w:tcPr>
          <w:p w14:paraId="152BBE1B"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1 100</w:t>
            </w:r>
          </w:p>
        </w:tc>
      </w:tr>
      <w:tr w:rsidR="00BD3539" w:rsidRPr="00BD3539" w14:paraId="115FB2C5" w14:textId="77777777" w:rsidTr="006E5A9E">
        <w:trPr>
          <w:trHeight w:val="264"/>
        </w:trPr>
        <w:tc>
          <w:tcPr>
            <w:tcW w:w="3827" w:type="dxa"/>
            <w:tcBorders>
              <w:top w:val="nil"/>
              <w:left w:val="nil"/>
              <w:bottom w:val="nil"/>
              <w:right w:val="nil"/>
            </w:tcBorders>
            <w:shd w:val="clear" w:color="auto" w:fill="auto"/>
            <w:vAlign w:val="center"/>
            <w:hideMark/>
          </w:tcPr>
          <w:p w14:paraId="18537CA3"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ľubovoľný odpis straty</w:t>
            </w:r>
          </w:p>
        </w:tc>
        <w:tc>
          <w:tcPr>
            <w:tcW w:w="907" w:type="dxa"/>
            <w:tcBorders>
              <w:top w:val="nil"/>
              <w:left w:val="nil"/>
              <w:bottom w:val="nil"/>
              <w:right w:val="nil"/>
            </w:tcBorders>
            <w:shd w:val="clear" w:color="auto" w:fill="auto"/>
            <w:noWrap/>
            <w:vAlign w:val="center"/>
            <w:hideMark/>
          </w:tcPr>
          <w:p w14:paraId="55E1262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DPPO</w:t>
            </w:r>
          </w:p>
        </w:tc>
        <w:tc>
          <w:tcPr>
            <w:tcW w:w="737" w:type="dxa"/>
            <w:tcBorders>
              <w:top w:val="nil"/>
              <w:left w:val="nil"/>
              <w:bottom w:val="nil"/>
              <w:right w:val="nil"/>
            </w:tcBorders>
            <w:shd w:val="clear" w:color="auto" w:fill="auto"/>
            <w:noWrap/>
            <w:vAlign w:val="center"/>
            <w:hideMark/>
          </w:tcPr>
          <w:p w14:paraId="39823F3A"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0</w:t>
            </w:r>
          </w:p>
        </w:tc>
        <w:tc>
          <w:tcPr>
            <w:tcW w:w="737" w:type="dxa"/>
            <w:tcBorders>
              <w:top w:val="nil"/>
              <w:left w:val="nil"/>
              <w:bottom w:val="nil"/>
              <w:right w:val="nil"/>
            </w:tcBorders>
            <w:shd w:val="clear" w:color="auto" w:fill="auto"/>
            <w:noWrap/>
            <w:vAlign w:val="center"/>
            <w:hideMark/>
          </w:tcPr>
          <w:p w14:paraId="54C0545C"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4 491</w:t>
            </w:r>
          </w:p>
        </w:tc>
        <w:tc>
          <w:tcPr>
            <w:tcW w:w="737" w:type="dxa"/>
            <w:tcBorders>
              <w:top w:val="nil"/>
              <w:left w:val="nil"/>
              <w:bottom w:val="nil"/>
              <w:right w:val="nil"/>
            </w:tcBorders>
            <w:shd w:val="clear" w:color="auto" w:fill="auto"/>
            <w:noWrap/>
            <w:vAlign w:val="center"/>
            <w:hideMark/>
          </w:tcPr>
          <w:p w14:paraId="7171216A"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4 491</w:t>
            </w:r>
          </w:p>
        </w:tc>
        <w:tc>
          <w:tcPr>
            <w:tcW w:w="737" w:type="dxa"/>
            <w:tcBorders>
              <w:top w:val="nil"/>
              <w:left w:val="nil"/>
              <w:bottom w:val="nil"/>
              <w:right w:val="nil"/>
            </w:tcBorders>
            <w:shd w:val="clear" w:color="auto" w:fill="auto"/>
            <w:noWrap/>
            <w:vAlign w:val="center"/>
            <w:hideMark/>
          </w:tcPr>
          <w:p w14:paraId="1C1BD11A"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4 491</w:t>
            </w:r>
          </w:p>
        </w:tc>
        <w:tc>
          <w:tcPr>
            <w:tcW w:w="737" w:type="dxa"/>
            <w:tcBorders>
              <w:top w:val="nil"/>
              <w:left w:val="nil"/>
              <w:bottom w:val="nil"/>
              <w:right w:val="nil"/>
            </w:tcBorders>
            <w:shd w:val="clear" w:color="auto" w:fill="auto"/>
            <w:noWrap/>
            <w:vAlign w:val="center"/>
            <w:hideMark/>
          </w:tcPr>
          <w:p w14:paraId="72319401"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4 491</w:t>
            </w:r>
          </w:p>
        </w:tc>
        <w:tc>
          <w:tcPr>
            <w:tcW w:w="737" w:type="dxa"/>
            <w:tcBorders>
              <w:top w:val="nil"/>
              <w:left w:val="nil"/>
              <w:bottom w:val="nil"/>
              <w:right w:val="nil"/>
            </w:tcBorders>
            <w:shd w:val="clear" w:color="auto" w:fill="auto"/>
            <w:noWrap/>
            <w:vAlign w:val="center"/>
            <w:hideMark/>
          </w:tcPr>
          <w:p w14:paraId="7307E817"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4 491</w:t>
            </w:r>
          </w:p>
        </w:tc>
      </w:tr>
      <w:tr w:rsidR="00BD3539" w:rsidRPr="00BD3539" w14:paraId="2AA4FCCA" w14:textId="77777777" w:rsidTr="006E5A9E">
        <w:trPr>
          <w:trHeight w:val="264"/>
        </w:trPr>
        <w:tc>
          <w:tcPr>
            <w:tcW w:w="3827" w:type="dxa"/>
            <w:tcBorders>
              <w:top w:val="nil"/>
              <w:left w:val="nil"/>
              <w:bottom w:val="nil"/>
              <w:right w:val="nil"/>
            </w:tcBorders>
            <w:shd w:val="clear" w:color="auto" w:fill="auto"/>
            <w:noWrap/>
            <w:vAlign w:val="center"/>
            <w:hideMark/>
          </w:tcPr>
          <w:p w14:paraId="1F59DF26" w14:textId="77777777" w:rsidR="00BD3539" w:rsidRPr="00BD3539" w:rsidRDefault="00BD3539" w:rsidP="00BD3539">
            <w:pPr>
              <w:spacing w:after="0" w:line="240" w:lineRule="auto"/>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Iné</w:t>
            </w:r>
          </w:p>
        </w:tc>
        <w:tc>
          <w:tcPr>
            <w:tcW w:w="907" w:type="dxa"/>
            <w:tcBorders>
              <w:top w:val="nil"/>
              <w:left w:val="nil"/>
              <w:bottom w:val="nil"/>
              <w:right w:val="nil"/>
            </w:tcBorders>
            <w:shd w:val="clear" w:color="auto" w:fill="auto"/>
            <w:noWrap/>
            <w:vAlign w:val="center"/>
            <w:hideMark/>
          </w:tcPr>
          <w:p w14:paraId="55D27564" w14:textId="77777777" w:rsidR="00BD3539" w:rsidRPr="00BD3539" w:rsidRDefault="00BD3539" w:rsidP="00BD3539">
            <w:pPr>
              <w:spacing w:after="0" w:line="240" w:lineRule="auto"/>
              <w:rPr>
                <w:rFonts w:ascii="Times New Roman" w:eastAsia="Times New Roman" w:hAnsi="Times New Roman" w:cs="Times New Roman"/>
                <w:b/>
                <w:bCs/>
                <w:sz w:val="16"/>
                <w:szCs w:val="16"/>
                <w:lang w:eastAsia="sk-SK"/>
              </w:rPr>
            </w:pPr>
          </w:p>
        </w:tc>
        <w:tc>
          <w:tcPr>
            <w:tcW w:w="737" w:type="dxa"/>
            <w:tcBorders>
              <w:top w:val="nil"/>
              <w:left w:val="nil"/>
              <w:bottom w:val="nil"/>
              <w:right w:val="nil"/>
            </w:tcBorders>
            <w:shd w:val="clear" w:color="auto" w:fill="auto"/>
            <w:noWrap/>
            <w:vAlign w:val="center"/>
            <w:hideMark/>
          </w:tcPr>
          <w:p w14:paraId="05EE6D33"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362 993</w:t>
            </w:r>
          </w:p>
        </w:tc>
        <w:tc>
          <w:tcPr>
            <w:tcW w:w="737" w:type="dxa"/>
            <w:tcBorders>
              <w:top w:val="nil"/>
              <w:left w:val="nil"/>
              <w:bottom w:val="nil"/>
              <w:right w:val="nil"/>
            </w:tcBorders>
            <w:shd w:val="clear" w:color="auto" w:fill="auto"/>
            <w:noWrap/>
            <w:vAlign w:val="center"/>
            <w:hideMark/>
          </w:tcPr>
          <w:p w14:paraId="26DFF846"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380 964</w:t>
            </w:r>
          </w:p>
        </w:tc>
        <w:tc>
          <w:tcPr>
            <w:tcW w:w="737" w:type="dxa"/>
            <w:tcBorders>
              <w:top w:val="nil"/>
              <w:left w:val="nil"/>
              <w:bottom w:val="nil"/>
              <w:right w:val="nil"/>
            </w:tcBorders>
            <w:shd w:val="clear" w:color="auto" w:fill="auto"/>
            <w:noWrap/>
            <w:vAlign w:val="center"/>
            <w:hideMark/>
          </w:tcPr>
          <w:p w14:paraId="7944587D"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418 226</w:t>
            </w:r>
          </w:p>
        </w:tc>
        <w:tc>
          <w:tcPr>
            <w:tcW w:w="737" w:type="dxa"/>
            <w:tcBorders>
              <w:top w:val="nil"/>
              <w:left w:val="nil"/>
              <w:bottom w:val="nil"/>
              <w:right w:val="nil"/>
            </w:tcBorders>
            <w:shd w:val="clear" w:color="auto" w:fill="auto"/>
            <w:noWrap/>
            <w:vAlign w:val="center"/>
            <w:hideMark/>
          </w:tcPr>
          <w:p w14:paraId="4E03A30E"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40 653</w:t>
            </w:r>
          </w:p>
        </w:tc>
        <w:tc>
          <w:tcPr>
            <w:tcW w:w="737" w:type="dxa"/>
            <w:tcBorders>
              <w:top w:val="nil"/>
              <w:left w:val="nil"/>
              <w:bottom w:val="nil"/>
              <w:right w:val="nil"/>
            </w:tcBorders>
            <w:shd w:val="clear" w:color="auto" w:fill="auto"/>
            <w:noWrap/>
            <w:vAlign w:val="center"/>
            <w:hideMark/>
          </w:tcPr>
          <w:p w14:paraId="7C931C6F"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40 897</w:t>
            </w:r>
          </w:p>
        </w:tc>
        <w:tc>
          <w:tcPr>
            <w:tcW w:w="737" w:type="dxa"/>
            <w:tcBorders>
              <w:top w:val="nil"/>
              <w:left w:val="nil"/>
              <w:bottom w:val="nil"/>
              <w:right w:val="nil"/>
            </w:tcBorders>
            <w:shd w:val="clear" w:color="auto" w:fill="auto"/>
            <w:noWrap/>
            <w:vAlign w:val="center"/>
            <w:hideMark/>
          </w:tcPr>
          <w:p w14:paraId="32B6D20D" w14:textId="77777777" w:rsidR="00BD3539" w:rsidRPr="00BD3539" w:rsidRDefault="00BD3539" w:rsidP="00BD3539">
            <w:pPr>
              <w:spacing w:after="0" w:line="240" w:lineRule="auto"/>
              <w:jc w:val="center"/>
              <w:rPr>
                <w:rFonts w:ascii="Times New Roman" w:eastAsia="Times New Roman" w:hAnsi="Times New Roman" w:cs="Times New Roman"/>
                <w:b/>
                <w:bCs/>
                <w:sz w:val="16"/>
                <w:szCs w:val="16"/>
                <w:lang w:eastAsia="sk-SK"/>
              </w:rPr>
            </w:pPr>
            <w:r w:rsidRPr="00BD3539">
              <w:rPr>
                <w:rFonts w:ascii="Times New Roman" w:eastAsia="Times New Roman" w:hAnsi="Times New Roman" w:cs="Times New Roman"/>
                <w:b/>
                <w:bCs/>
                <w:sz w:val="16"/>
                <w:szCs w:val="16"/>
                <w:lang w:eastAsia="sk-SK"/>
              </w:rPr>
              <w:t>-4 585</w:t>
            </w:r>
          </w:p>
        </w:tc>
      </w:tr>
      <w:tr w:rsidR="00BD3539" w:rsidRPr="00BD3539" w14:paraId="4AF51572" w14:textId="77777777" w:rsidTr="006E5A9E">
        <w:trPr>
          <w:trHeight w:val="264"/>
        </w:trPr>
        <w:tc>
          <w:tcPr>
            <w:tcW w:w="3827" w:type="dxa"/>
            <w:tcBorders>
              <w:top w:val="nil"/>
              <w:left w:val="nil"/>
              <w:bottom w:val="nil"/>
              <w:right w:val="nil"/>
            </w:tcBorders>
            <w:shd w:val="clear" w:color="auto" w:fill="auto"/>
            <w:vAlign w:val="center"/>
            <w:hideMark/>
          </w:tcPr>
          <w:p w14:paraId="1682907A"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Nezdanenie paušálnych náhrad</w:t>
            </w:r>
          </w:p>
        </w:tc>
        <w:tc>
          <w:tcPr>
            <w:tcW w:w="907" w:type="dxa"/>
            <w:tcBorders>
              <w:top w:val="nil"/>
              <w:left w:val="nil"/>
              <w:bottom w:val="nil"/>
              <w:right w:val="nil"/>
            </w:tcBorders>
            <w:shd w:val="clear" w:color="auto" w:fill="auto"/>
            <w:noWrap/>
            <w:vAlign w:val="center"/>
            <w:hideMark/>
          </w:tcPr>
          <w:p w14:paraId="29ED498D"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DPFO</w:t>
            </w:r>
          </w:p>
        </w:tc>
        <w:tc>
          <w:tcPr>
            <w:tcW w:w="737" w:type="dxa"/>
            <w:tcBorders>
              <w:top w:val="nil"/>
              <w:left w:val="nil"/>
              <w:bottom w:val="nil"/>
              <w:right w:val="nil"/>
            </w:tcBorders>
            <w:shd w:val="clear" w:color="auto" w:fill="auto"/>
            <w:noWrap/>
            <w:vAlign w:val="center"/>
            <w:hideMark/>
          </w:tcPr>
          <w:p w14:paraId="0F2B66AA"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1 200</w:t>
            </w:r>
          </w:p>
        </w:tc>
        <w:tc>
          <w:tcPr>
            <w:tcW w:w="737" w:type="dxa"/>
            <w:tcBorders>
              <w:top w:val="nil"/>
              <w:left w:val="nil"/>
              <w:bottom w:val="nil"/>
              <w:right w:val="nil"/>
            </w:tcBorders>
            <w:shd w:val="clear" w:color="auto" w:fill="auto"/>
            <w:noWrap/>
            <w:vAlign w:val="center"/>
            <w:hideMark/>
          </w:tcPr>
          <w:p w14:paraId="0F0E4354"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1 283</w:t>
            </w:r>
          </w:p>
        </w:tc>
        <w:tc>
          <w:tcPr>
            <w:tcW w:w="737" w:type="dxa"/>
            <w:tcBorders>
              <w:top w:val="nil"/>
              <w:left w:val="nil"/>
              <w:bottom w:val="nil"/>
              <w:right w:val="nil"/>
            </w:tcBorders>
            <w:shd w:val="clear" w:color="auto" w:fill="auto"/>
            <w:noWrap/>
            <w:vAlign w:val="center"/>
            <w:hideMark/>
          </w:tcPr>
          <w:p w14:paraId="3139B081"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1 382</w:t>
            </w:r>
          </w:p>
        </w:tc>
        <w:tc>
          <w:tcPr>
            <w:tcW w:w="737" w:type="dxa"/>
            <w:tcBorders>
              <w:top w:val="nil"/>
              <w:left w:val="nil"/>
              <w:bottom w:val="nil"/>
              <w:right w:val="nil"/>
            </w:tcBorders>
            <w:shd w:val="clear" w:color="auto" w:fill="auto"/>
            <w:noWrap/>
            <w:vAlign w:val="center"/>
            <w:hideMark/>
          </w:tcPr>
          <w:p w14:paraId="0D35072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1 512</w:t>
            </w:r>
          </w:p>
        </w:tc>
        <w:tc>
          <w:tcPr>
            <w:tcW w:w="737" w:type="dxa"/>
            <w:tcBorders>
              <w:top w:val="nil"/>
              <w:left w:val="nil"/>
              <w:bottom w:val="nil"/>
              <w:right w:val="nil"/>
            </w:tcBorders>
            <w:shd w:val="clear" w:color="auto" w:fill="auto"/>
            <w:noWrap/>
            <w:vAlign w:val="center"/>
            <w:hideMark/>
          </w:tcPr>
          <w:p w14:paraId="466119AC"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1 624</w:t>
            </w:r>
          </w:p>
        </w:tc>
        <w:tc>
          <w:tcPr>
            <w:tcW w:w="737" w:type="dxa"/>
            <w:tcBorders>
              <w:top w:val="nil"/>
              <w:left w:val="nil"/>
              <w:bottom w:val="nil"/>
              <w:right w:val="nil"/>
            </w:tcBorders>
            <w:shd w:val="clear" w:color="auto" w:fill="auto"/>
            <w:noWrap/>
            <w:vAlign w:val="center"/>
            <w:hideMark/>
          </w:tcPr>
          <w:p w14:paraId="1622AA89"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1 710</w:t>
            </w:r>
          </w:p>
        </w:tc>
      </w:tr>
      <w:tr w:rsidR="00BD3539" w:rsidRPr="00BD3539" w14:paraId="57AFB232" w14:textId="77777777" w:rsidTr="006E5A9E">
        <w:trPr>
          <w:trHeight w:val="264"/>
        </w:trPr>
        <w:tc>
          <w:tcPr>
            <w:tcW w:w="3827" w:type="dxa"/>
            <w:tcBorders>
              <w:top w:val="nil"/>
              <w:left w:val="nil"/>
              <w:bottom w:val="nil"/>
              <w:right w:val="nil"/>
            </w:tcBorders>
            <w:shd w:val="clear" w:color="auto" w:fill="auto"/>
            <w:vAlign w:val="center"/>
            <w:hideMark/>
          </w:tcPr>
          <w:p w14:paraId="3744A1CA"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Oslobodenie výhier do výšky 350 eur mesačne</w:t>
            </w:r>
          </w:p>
        </w:tc>
        <w:tc>
          <w:tcPr>
            <w:tcW w:w="907" w:type="dxa"/>
            <w:tcBorders>
              <w:top w:val="nil"/>
              <w:left w:val="nil"/>
              <w:bottom w:val="nil"/>
              <w:right w:val="nil"/>
            </w:tcBorders>
            <w:shd w:val="clear" w:color="auto" w:fill="auto"/>
            <w:noWrap/>
            <w:vAlign w:val="center"/>
            <w:hideMark/>
          </w:tcPr>
          <w:p w14:paraId="5EFF8105"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DPFO, SP, ZP</w:t>
            </w:r>
          </w:p>
        </w:tc>
        <w:tc>
          <w:tcPr>
            <w:tcW w:w="737" w:type="dxa"/>
            <w:tcBorders>
              <w:top w:val="nil"/>
              <w:left w:val="nil"/>
              <w:bottom w:val="nil"/>
              <w:right w:val="nil"/>
            </w:tcBorders>
            <w:shd w:val="clear" w:color="auto" w:fill="auto"/>
            <w:noWrap/>
            <w:vAlign w:val="center"/>
            <w:hideMark/>
          </w:tcPr>
          <w:p w14:paraId="0B059754"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914</w:t>
            </w:r>
          </w:p>
        </w:tc>
        <w:tc>
          <w:tcPr>
            <w:tcW w:w="737" w:type="dxa"/>
            <w:tcBorders>
              <w:top w:val="nil"/>
              <w:left w:val="nil"/>
              <w:bottom w:val="nil"/>
              <w:right w:val="nil"/>
            </w:tcBorders>
            <w:shd w:val="clear" w:color="auto" w:fill="auto"/>
            <w:noWrap/>
            <w:vAlign w:val="center"/>
            <w:hideMark/>
          </w:tcPr>
          <w:p w14:paraId="708B2450"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919</w:t>
            </w:r>
          </w:p>
        </w:tc>
        <w:tc>
          <w:tcPr>
            <w:tcW w:w="737" w:type="dxa"/>
            <w:tcBorders>
              <w:top w:val="nil"/>
              <w:left w:val="nil"/>
              <w:bottom w:val="nil"/>
              <w:right w:val="nil"/>
            </w:tcBorders>
            <w:shd w:val="clear" w:color="auto" w:fill="auto"/>
            <w:noWrap/>
            <w:vAlign w:val="center"/>
            <w:hideMark/>
          </w:tcPr>
          <w:p w14:paraId="24FD171C"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923</w:t>
            </w:r>
          </w:p>
        </w:tc>
        <w:tc>
          <w:tcPr>
            <w:tcW w:w="737" w:type="dxa"/>
            <w:tcBorders>
              <w:top w:val="nil"/>
              <w:left w:val="nil"/>
              <w:bottom w:val="nil"/>
              <w:right w:val="nil"/>
            </w:tcBorders>
            <w:shd w:val="clear" w:color="auto" w:fill="auto"/>
            <w:noWrap/>
            <w:vAlign w:val="center"/>
            <w:hideMark/>
          </w:tcPr>
          <w:p w14:paraId="1C6C655D"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927</w:t>
            </w:r>
          </w:p>
        </w:tc>
        <w:tc>
          <w:tcPr>
            <w:tcW w:w="737" w:type="dxa"/>
            <w:tcBorders>
              <w:top w:val="nil"/>
              <w:left w:val="nil"/>
              <w:bottom w:val="nil"/>
              <w:right w:val="nil"/>
            </w:tcBorders>
            <w:shd w:val="clear" w:color="auto" w:fill="auto"/>
            <w:noWrap/>
            <w:vAlign w:val="center"/>
            <w:hideMark/>
          </w:tcPr>
          <w:p w14:paraId="0579729C"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932</w:t>
            </w:r>
          </w:p>
        </w:tc>
        <w:tc>
          <w:tcPr>
            <w:tcW w:w="737" w:type="dxa"/>
            <w:tcBorders>
              <w:top w:val="nil"/>
              <w:left w:val="nil"/>
              <w:bottom w:val="nil"/>
              <w:right w:val="nil"/>
            </w:tcBorders>
            <w:shd w:val="clear" w:color="auto" w:fill="auto"/>
            <w:noWrap/>
            <w:vAlign w:val="center"/>
            <w:hideMark/>
          </w:tcPr>
          <w:p w14:paraId="1F2E8BA3"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936</w:t>
            </w:r>
          </w:p>
        </w:tc>
      </w:tr>
      <w:tr w:rsidR="00BD3539" w:rsidRPr="00BD3539" w14:paraId="691DAF87" w14:textId="77777777" w:rsidTr="006E5A9E">
        <w:trPr>
          <w:trHeight w:val="264"/>
        </w:trPr>
        <w:tc>
          <w:tcPr>
            <w:tcW w:w="3827" w:type="dxa"/>
            <w:tcBorders>
              <w:top w:val="nil"/>
              <w:left w:val="nil"/>
              <w:bottom w:val="nil"/>
              <w:right w:val="nil"/>
            </w:tcBorders>
            <w:shd w:val="clear" w:color="auto" w:fill="auto"/>
            <w:vAlign w:val="center"/>
            <w:hideMark/>
          </w:tcPr>
          <w:p w14:paraId="0A541B08" w14:textId="77777777" w:rsidR="00BD3539" w:rsidRPr="00BD3539" w:rsidRDefault="00BD3539" w:rsidP="00BD3539">
            <w:pPr>
              <w:spacing w:after="0" w:line="240" w:lineRule="auto"/>
              <w:ind w:firstLineChars="100" w:firstLine="160"/>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Oslobodenie príplatkov sudcov a prokurátorov od dane</w:t>
            </w:r>
          </w:p>
        </w:tc>
        <w:tc>
          <w:tcPr>
            <w:tcW w:w="907" w:type="dxa"/>
            <w:tcBorders>
              <w:top w:val="nil"/>
              <w:left w:val="nil"/>
              <w:bottom w:val="nil"/>
              <w:right w:val="nil"/>
            </w:tcBorders>
            <w:shd w:val="clear" w:color="auto" w:fill="auto"/>
            <w:noWrap/>
            <w:vAlign w:val="center"/>
            <w:hideMark/>
          </w:tcPr>
          <w:p w14:paraId="579DC6D7"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DPFO</w:t>
            </w:r>
          </w:p>
        </w:tc>
        <w:tc>
          <w:tcPr>
            <w:tcW w:w="737" w:type="dxa"/>
            <w:tcBorders>
              <w:top w:val="nil"/>
              <w:left w:val="nil"/>
              <w:bottom w:val="nil"/>
              <w:right w:val="nil"/>
            </w:tcBorders>
            <w:shd w:val="clear" w:color="auto" w:fill="auto"/>
            <w:noWrap/>
            <w:vAlign w:val="center"/>
            <w:hideMark/>
          </w:tcPr>
          <w:p w14:paraId="5AE20424"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84</w:t>
            </w:r>
          </w:p>
        </w:tc>
        <w:tc>
          <w:tcPr>
            <w:tcW w:w="737" w:type="dxa"/>
            <w:tcBorders>
              <w:top w:val="nil"/>
              <w:left w:val="nil"/>
              <w:bottom w:val="nil"/>
              <w:right w:val="nil"/>
            </w:tcBorders>
            <w:shd w:val="clear" w:color="auto" w:fill="auto"/>
            <w:noWrap/>
            <w:vAlign w:val="center"/>
            <w:hideMark/>
          </w:tcPr>
          <w:p w14:paraId="2BC5B158"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90</w:t>
            </w:r>
          </w:p>
        </w:tc>
        <w:tc>
          <w:tcPr>
            <w:tcW w:w="737" w:type="dxa"/>
            <w:tcBorders>
              <w:top w:val="nil"/>
              <w:left w:val="nil"/>
              <w:bottom w:val="nil"/>
              <w:right w:val="nil"/>
            </w:tcBorders>
            <w:shd w:val="clear" w:color="auto" w:fill="auto"/>
            <w:noWrap/>
            <w:vAlign w:val="center"/>
            <w:hideMark/>
          </w:tcPr>
          <w:p w14:paraId="5A3155C2"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97</w:t>
            </w:r>
          </w:p>
        </w:tc>
        <w:tc>
          <w:tcPr>
            <w:tcW w:w="737" w:type="dxa"/>
            <w:tcBorders>
              <w:top w:val="nil"/>
              <w:left w:val="nil"/>
              <w:bottom w:val="nil"/>
              <w:right w:val="nil"/>
            </w:tcBorders>
            <w:shd w:val="clear" w:color="auto" w:fill="auto"/>
            <w:noWrap/>
            <w:vAlign w:val="center"/>
            <w:hideMark/>
          </w:tcPr>
          <w:p w14:paraId="31B3D6AF"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106</w:t>
            </w:r>
          </w:p>
        </w:tc>
        <w:tc>
          <w:tcPr>
            <w:tcW w:w="737" w:type="dxa"/>
            <w:tcBorders>
              <w:top w:val="nil"/>
              <w:left w:val="nil"/>
              <w:bottom w:val="nil"/>
              <w:right w:val="nil"/>
            </w:tcBorders>
            <w:shd w:val="clear" w:color="auto" w:fill="auto"/>
            <w:noWrap/>
            <w:vAlign w:val="center"/>
            <w:hideMark/>
          </w:tcPr>
          <w:p w14:paraId="5B3FBDE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114</w:t>
            </w:r>
          </w:p>
        </w:tc>
        <w:tc>
          <w:tcPr>
            <w:tcW w:w="737" w:type="dxa"/>
            <w:tcBorders>
              <w:top w:val="nil"/>
              <w:left w:val="nil"/>
              <w:bottom w:val="nil"/>
              <w:right w:val="nil"/>
            </w:tcBorders>
            <w:shd w:val="clear" w:color="auto" w:fill="auto"/>
            <w:noWrap/>
            <w:vAlign w:val="center"/>
            <w:hideMark/>
          </w:tcPr>
          <w:p w14:paraId="376642C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120</w:t>
            </w:r>
          </w:p>
        </w:tc>
      </w:tr>
      <w:tr w:rsidR="00BD3539" w:rsidRPr="00BD3539" w14:paraId="7C75968C" w14:textId="77777777" w:rsidTr="006E5A9E">
        <w:trPr>
          <w:trHeight w:val="264"/>
        </w:trPr>
        <w:tc>
          <w:tcPr>
            <w:tcW w:w="3827" w:type="dxa"/>
            <w:tcBorders>
              <w:top w:val="nil"/>
              <w:left w:val="nil"/>
              <w:bottom w:val="nil"/>
              <w:right w:val="nil"/>
            </w:tcBorders>
            <w:shd w:val="clear" w:color="auto" w:fill="auto"/>
            <w:noWrap/>
            <w:vAlign w:val="center"/>
            <w:hideMark/>
          </w:tcPr>
          <w:p w14:paraId="32E3ADF4"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Daň z liehu - znížená sadzba pre pestovateľské pálenie</w:t>
            </w:r>
          </w:p>
        </w:tc>
        <w:tc>
          <w:tcPr>
            <w:tcW w:w="907" w:type="dxa"/>
            <w:tcBorders>
              <w:top w:val="nil"/>
              <w:left w:val="nil"/>
              <w:bottom w:val="nil"/>
              <w:right w:val="nil"/>
            </w:tcBorders>
            <w:shd w:val="clear" w:color="auto" w:fill="auto"/>
            <w:noWrap/>
            <w:vAlign w:val="center"/>
            <w:hideMark/>
          </w:tcPr>
          <w:p w14:paraId="6395304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SD</w:t>
            </w:r>
          </w:p>
        </w:tc>
        <w:tc>
          <w:tcPr>
            <w:tcW w:w="737" w:type="dxa"/>
            <w:tcBorders>
              <w:top w:val="nil"/>
              <w:left w:val="nil"/>
              <w:bottom w:val="nil"/>
              <w:right w:val="nil"/>
            </w:tcBorders>
            <w:shd w:val="clear" w:color="auto" w:fill="auto"/>
            <w:noWrap/>
            <w:vAlign w:val="center"/>
            <w:hideMark/>
          </w:tcPr>
          <w:p w14:paraId="6D6AB87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11 268</w:t>
            </w:r>
          </w:p>
        </w:tc>
        <w:tc>
          <w:tcPr>
            <w:tcW w:w="737" w:type="dxa"/>
            <w:tcBorders>
              <w:top w:val="nil"/>
              <w:left w:val="nil"/>
              <w:bottom w:val="nil"/>
              <w:right w:val="nil"/>
            </w:tcBorders>
            <w:shd w:val="clear" w:color="auto" w:fill="auto"/>
            <w:noWrap/>
            <w:vAlign w:val="center"/>
            <w:hideMark/>
          </w:tcPr>
          <w:p w14:paraId="32337371"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10 806</w:t>
            </w:r>
          </w:p>
        </w:tc>
        <w:tc>
          <w:tcPr>
            <w:tcW w:w="737" w:type="dxa"/>
            <w:tcBorders>
              <w:top w:val="nil"/>
              <w:left w:val="nil"/>
              <w:bottom w:val="nil"/>
              <w:right w:val="nil"/>
            </w:tcBorders>
            <w:shd w:val="clear" w:color="auto" w:fill="auto"/>
            <w:noWrap/>
            <w:vAlign w:val="center"/>
            <w:hideMark/>
          </w:tcPr>
          <w:p w14:paraId="7AE0712A"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11 364</w:t>
            </w:r>
          </w:p>
        </w:tc>
        <w:tc>
          <w:tcPr>
            <w:tcW w:w="737" w:type="dxa"/>
            <w:tcBorders>
              <w:top w:val="nil"/>
              <w:left w:val="nil"/>
              <w:bottom w:val="nil"/>
              <w:right w:val="nil"/>
            </w:tcBorders>
            <w:shd w:val="clear" w:color="auto" w:fill="auto"/>
            <w:noWrap/>
            <w:vAlign w:val="center"/>
            <w:hideMark/>
          </w:tcPr>
          <w:p w14:paraId="0F626487"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11 008</w:t>
            </w:r>
          </w:p>
        </w:tc>
        <w:tc>
          <w:tcPr>
            <w:tcW w:w="737" w:type="dxa"/>
            <w:tcBorders>
              <w:top w:val="nil"/>
              <w:left w:val="nil"/>
              <w:bottom w:val="nil"/>
              <w:right w:val="nil"/>
            </w:tcBorders>
            <w:shd w:val="clear" w:color="auto" w:fill="auto"/>
            <w:noWrap/>
            <w:vAlign w:val="center"/>
            <w:hideMark/>
          </w:tcPr>
          <w:p w14:paraId="4CB743B8"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11 023</w:t>
            </w:r>
          </w:p>
        </w:tc>
        <w:tc>
          <w:tcPr>
            <w:tcW w:w="737" w:type="dxa"/>
            <w:tcBorders>
              <w:top w:val="nil"/>
              <w:left w:val="nil"/>
              <w:bottom w:val="nil"/>
              <w:right w:val="nil"/>
            </w:tcBorders>
            <w:shd w:val="clear" w:color="auto" w:fill="auto"/>
            <w:noWrap/>
            <w:vAlign w:val="center"/>
            <w:hideMark/>
          </w:tcPr>
          <w:p w14:paraId="2DADB7E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10 969</w:t>
            </w:r>
          </w:p>
        </w:tc>
      </w:tr>
      <w:tr w:rsidR="00BD3539" w:rsidRPr="00BD3539" w14:paraId="3C0F257D" w14:textId="77777777" w:rsidTr="006E5A9E">
        <w:trPr>
          <w:trHeight w:val="264"/>
        </w:trPr>
        <w:tc>
          <w:tcPr>
            <w:tcW w:w="3827" w:type="dxa"/>
            <w:tcBorders>
              <w:top w:val="nil"/>
              <w:left w:val="nil"/>
              <w:bottom w:val="nil"/>
              <w:right w:val="nil"/>
            </w:tcBorders>
            <w:shd w:val="clear" w:color="auto" w:fill="auto"/>
            <w:noWrap/>
            <w:vAlign w:val="center"/>
            <w:hideMark/>
          </w:tcPr>
          <w:p w14:paraId="461D7371"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 xml:space="preserve">Oslobodenie deputátov a </w:t>
            </w:r>
            <w:proofErr w:type="spellStart"/>
            <w:r w:rsidRPr="00BD3539">
              <w:rPr>
                <w:rFonts w:ascii="Times New Roman" w:eastAsia="Times New Roman" w:hAnsi="Times New Roman" w:cs="Times New Roman"/>
                <w:color w:val="000000"/>
                <w:sz w:val="16"/>
                <w:szCs w:val="16"/>
                <w:lang w:eastAsia="sk-SK"/>
              </w:rPr>
              <w:t>incýh</w:t>
            </w:r>
            <w:proofErr w:type="spellEnd"/>
            <w:r w:rsidRPr="00BD3539">
              <w:rPr>
                <w:rFonts w:ascii="Times New Roman" w:eastAsia="Times New Roman" w:hAnsi="Times New Roman" w:cs="Times New Roman"/>
                <w:color w:val="000000"/>
                <w:sz w:val="16"/>
                <w:szCs w:val="16"/>
                <w:lang w:eastAsia="sk-SK"/>
              </w:rPr>
              <w:t xml:space="preserve"> nepeňažných príjmov</w:t>
            </w:r>
          </w:p>
        </w:tc>
        <w:tc>
          <w:tcPr>
            <w:tcW w:w="907" w:type="dxa"/>
            <w:tcBorders>
              <w:top w:val="nil"/>
              <w:left w:val="nil"/>
              <w:bottom w:val="nil"/>
              <w:right w:val="nil"/>
            </w:tcBorders>
            <w:shd w:val="clear" w:color="auto" w:fill="auto"/>
            <w:noWrap/>
            <w:vAlign w:val="center"/>
            <w:hideMark/>
          </w:tcPr>
          <w:p w14:paraId="72E2962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SP, ZP</w:t>
            </w:r>
          </w:p>
        </w:tc>
        <w:tc>
          <w:tcPr>
            <w:tcW w:w="737" w:type="dxa"/>
            <w:tcBorders>
              <w:top w:val="nil"/>
              <w:left w:val="nil"/>
              <w:bottom w:val="nil"/>
              <w:right w:val="nil"/>
            </w:tcBorders>
            <w:shd w:val="clear" w:color="auto" w:fill="auto"/>
            <w:noWrap/>
            <w:vAlign w:val="center"/>
            <w:hideMark/>
          </w:tcPr>
          <w:p w14:paraId="79A864A2"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62</w:t>
            </w:r>
          </w:p>
        </w:tc>
        <w:tc>
          <w:tcPr>
            <w:tcW w:w="737" w:type="dxa"/>
            <w:tcBorders>
              <w:top w:val="nil"/>
              <w:left w:val="nil"/>
              <w:bottom w:val="nil"/>
              <w:right w:val="nil"/>
            </w:tcBorders>
            <w:shd w:val="clear" w:color="auto" w:fill="auto"/>
            <w:noWrap/>
            <w:vAlign w:val="center"/>
            <w:hideMark/>
          </w:tcPr>
          <w:p w14:paraId="4C2999D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58</w:t>
            </w:r>
          </w:p>
        </w:tc>
        <w:tc>
          <w:tcPr>
            <w:tcW w:w="737" w:type="dxa"/>
            <w:tcBorders>
              <w:top w:val="nil"/>
              <w:left w:val="nil"/>
              <w:bottom w:val="nil"/>
              <w:right w:val="nil"/>
            </w:tcBorders>
            <w:shd w:val="clear" w:color="auto" w:fill="auto"/>
            <w:noWrap/>
            <w:vAlign w:val="center"/>
            <w:hideMark/>
          </w:tcPr>
          <w:p w14:paraId="73003BE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55</w:t>
            </w:r>
          </w:p>
        </w:tc>
        <w:tc>
          <w:tcPr>
            <w:tcW w:w="737" w:type="dxa"/>
            <w:tcBorders>
              <w:top w:val="nil"/>
              <w:left w:val="nil"/>
              <w:bottom w:val="nil"/>
              <w:right w:val="nil"/>
            </w:tcBorders>
            <w:shd w:val="clear" w:color="auto" w:fill="auto"/>
            <w:noWrap/>
            <w:vAlign w:val="center"/>
            <w:hideMark/>
          </w:tcPr>
          <w:p w14:paraId="6B06E27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51</w:t>
            </w:r>
          </w:p>
        </w:tc>
        <w:tc>
          <w:tcPr>
            <w:tcW w:w="737" w:type="dxa"/>
            <w:tcBorders>
              <w:top w:val="nil"/>
              <w:left w:val="nil"/>
              <w:bottom w:val="nil"/>
              <w:right w:val="nil"/>
            </w:tcBorders>
            <w:shd w:val="clear" w:color="auto" w:fill="auto"/>
            <w:noWrap/>
            <w:vAlign w:val="center"/>
            <w:hideMark/>
          </w:tcPr>
          <w:p w14:paraId="022B99A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48</w:t>
            </w:r>
          </w:p>
        </w:tc>
        <w:tc>
          <w:tcPr>
            <w:tcW w:w="737" w:type="dxa"/>
            <w:tcBorders>
              <w:top w:val="nil"/>
              <w:left w:val="nil"/>
              <w:bottom w:val="nil"/>
              <w:right w:val="nil"/>
            </w:tcBorders>
            <w:shd w:val="clear" w:color="auto" w:fill="auto"/>
            <w:noWrap/>
            <w:vAlign w:val="center"/>
            <w:hideMark/>
          </w:tcPr>
          <w:p w14:paraId="5DB3213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46</w:t>
            </w:r>
          </w:p>
        </w:tc>
      </w:tr>
      <w:tr w:rsidR="00BD3539" w:rsidRPr="00BD3539" w14:paraId="12B0592C" w14:textId="77777777" w:rsidTr="006E5A9E">
        <w:trPr>
          <w:trHeight w:val="264"/>
        </w:trPr>
        <w:tc>
          <w:tcPr>
            <w:tcW w:w="3827" w:type="dxa"/>
            <w:tcBorders>
              <w:top w:val="nil"/>
              <w:left w:val="nil"/>
              <w:bottom w:val="nil"/>
              <w:right w:val="nil"/>
            </w:tcBorders>
            <w:shd w:val="clear" w:color="auto" w:fill="auto"/>
            <w:noWrap/>
            <w:vAlign w:val="center"/>
            <w:hideMark/>
          </w:tcPr>
          <w:p w14:paraId="2C1DEE59"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 xml:space="preserve">Zvýšenie odvodov zamestnávateľa o 1 </w:t>
            </w:r>
            <w:proofErr w:type="spellStart"/>
            <w:r w:rsidRPr="00BD3539">
              <w:rPr>
                <w:rFonts w:ascii="Times New Roman" w:eastAsia="Times New Roman" w:hAnsi="Times New Roman" w:cs="Times New Roman"/>
                <w:color w:val="000000"/>
                <w:sz w:val="16"/>
                <w:szCs w:val="16"/>
                <w:lang w:eastAsia="sk-SK"/>
              </w:rPr>
              <w:t>p.b</w:t>
            </w:r>
            <w:proofErr w:type="spellEnd"/>
            <w:r w:rsidRPr="00BD3539">
              <w:rPr>
                <w:rFonts w:ascii="Times New Roman" w:eastAsia="Times New Roman" w:hAnsi="Times New Roman" w:cs="Times New Roman"/>
                <w:color w:val="000000"/>
                <w:sz w:val="16"/>
                <w:szCs w:val="16"/>
                <w:lang w:eastAsia="sk-SK"/>
              </w:rPr>
              <w:t>.</w:t>
            </w:r>
          </w:p>
        </w:tc>
        <w:tc>
          <w:tcPr>
            <w:tcW w:w="907" w:type="dxa"/>
            <w:tcBorders>
              <w:top w:val="nil"/>
              <w:left w:val="nil"/>
              <w:bottom w:val="nil"/>
              <w:right w:val="nil"/>
            </w:tcBorders>
            <w:shd w:val="clear" w:color="auto" w:fill="auto"/>
            <w:noWrap/>
            <w:vAlign w:val="center"/>
            <w:hideMark/>
          </w:tcPr>
          <w:p w14:paraId="134DA02E"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ZP</w:t>
            </w:r>
          </w:p>
        </w:tc>
        <w:tc>
          <w:tcPr>
            <w:tcW w:w="737" w:type="dxa"/>
            <w:tcBorders>
              <w:top w:val="nil"/>
              <w:left w:val="nil"/>
              <w:bottom w:val="nil"/>
              <w:right w:val="nil"/>
            </w:tcBorders>
            <w:shd w:val="clear" w:color="auto" w:fill="auto"/>
            <w:noWrap/>
            <w:vAlign w:val="center"/>
            <w:hideMark/>
          </w:tcPr>
          <w:p w14:paraId="2406C201"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312 834</w:t>
            </w:r>
          </w:p>
        </w:tc>
        <w:tc>
          <w:tcPr>
            <w:tcW w:w="737" w:type="dxa"/>
            <w:tcBorders>
              <w:top w:val="nil"/>
              <w:left w:val="nil"/>
              <w:bottom w:val="nil"/>
              <w:right w:val="nil"/>
            </w:tcBorders>
            <w:shd w:val="clear" w:color="auto" w:fill="auto"/>
            <w:noWrap/>
            <w:vAlign w:val="center"/>
            <w:hideMark/>
          </w:tcPr>
          <w:p w14:paraId="324D6A2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341 109</w:t>
            </w:r>
          </w:p>
        </w:tc>
        <w:tc>
          <w:tcPr>
            <w:tcW w:w="737" w:type="dxa"/>
            <w:tcBorders>
              <w:top w:val="nil"/>
              <w:left w:val="nil"/>
              <w:bottom w:val="nil"/>
              <w:right w:val="nil"/>
            </w:tcBorders>
            <w:shd w:val="clear" w:color="auto" w:fill="auto"/>
            <w:noWrap/>
            <w:vAlign w:val="center"/>
            <w:hideMark/>
          </w:tcPr>
          <w:p w14:paraId="5EEECA3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377 513</w:t>
            </w:r>
          </w:p>
        </w:tc>
        <w:tc>
          <w:tcPr>
            <w:tcW w:w="737" w:type="dxa"/>
            <w:tcBorders>
              <w:top w:val="nil"/>
              <w:left w:val="nil"/>
              <w:bottom w:val="nil"/>
              <w:right w:val="nil"/>
            </w:tcBorders>
            <w:shd w:val="clear" w:color="auto" w:fill="auto"/>
            <w:noWrap/>
            <w:vAlign w:val="center"/>
            <w:hideMark/>
          </w:tcPr>
          <w:p w14:paraId="09D15F1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403A333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c>
          <w:tcPr>
            <w:tcW w:w="737" w:type="dxa"/>
            <w:tcBorders>
              <w:top w:val="nil"/>
              <w:left w:val="nil"/>
              <w:bottom w:val="nil"/>
              <w:right w:val="nil"/>
            </w:tcBorders>
            <w:shd w:val="clear" w:color="auto" w:fill="auto"/>
            <w:noWrap/>
            <w:vAlign w:val="center"/>
            <w:hideMark/>
          </w:tcPr>
          <w:p w14:paraId="13CBF630"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r>
      <w:tr w:rsidR="00BD3539" w:rsidRPr="00BD3539" w14:paraId="1604FDEA" w14:textId="77777777" w:rsidTr="006E5A9E">
        <w:trPr>
          <w:trHeight w:val="264"/>
        </w:trPr>
        <w:tc>
          <w:tcPr>
            <w:tcW w:w="3827" w:type="dxa"/>
            <w:tcBorders>
              <w:top w:val="nil"/>
              <w:left w:val="nil"/>
              <w:bottom w:val="nil"/>
              <w:right w:val="nil"/>
            </w:tcBorders>
            <w:shd w:val="clear" w:color="auto" w:fill="auto"/>
            <w:noWrap/>
            <w:vAlign w:val="center"/>
            <w:hideMark/>
          </w:tcPr>
          <w:p w14:paraId="12599646"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Pravidlá nízkej kapitalizácie</w:t>
            </w:r>
          </w:p>
        </w:tc>
        <w:tc>
          <w:tcPr>
            <w:tcW w:w="907" w:type="dxa"/>
            <w:tcBorders>
              <w:top w:val="nil"/>
              <w:left w:val="nil"/>
              <w:bottom w:val="nil"/>
              <w:right w:val="nil"/>
            </w:tcBorders>
            <w:shd w:val="clear" w:color="auto" w:fill="auto"/>
            <w:noWrap/>
            <w:vAlign w:val="center"/>
            <w:hideMark/>
          </w:tcPr>
          <w:p w14:paraId="11E6B221"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DPPO</w:t>
            </w:r>
          </w:p>
        </w:tc>
        <w:tc>
          <w:tcPr>
            <w:tcW w:w="737" w:type="dxa"/>
            <w:tcBorders>
              <w:top w:val="nil"/>
              <w:left w:val="nil"/>
              <w:bottom w:val="nil"/>
              <w:right w:val="nil"/>
            </w:tcBorders>
            <w:shd w:val="clear" w:color="auto" w:fill="auto"/>
            <w:noWrap/>
            <w:vAlign w:val="center"/>
            <w:hideMark/>
          </w:tcPr>
          <w:p w14:paraId="5A4C6664"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33 891</w:t>
            </w:r>
          </w:p>
        </w:tc>
        <w:tc>
          <w:tcPr>
            <w:tcW w:w="737" w:type="dxa"/>
            <w:tcBorders>
              <w:top w:val="nil"/>
              <w:left w:val="nil"/>
              <w:bottom w:val="nil"/>
              <w:right w:val="nil"/>
            </w:tcBorders>
            <w:shd w:val="clear" w:color="auto" w:fill="auto"/>
            <w:noWrap/>
            <w:vAlign w:val="center"/>
            <w:hideMark/>
          </w:tcPr>
          <w:p w14:paraId="4000F254"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35 960</w:t>
            </w:r>
          </w:p>
        </w:tc>
        <w:tc>
          <w:tcPr>
            <w:tcW w:w="737" w:type="dxa"/>
            <w:tcBorders>
              <w:top w:val="nil"/>
              <w:left w:val="nil"/>
              <w:bottom w:val="nil"/>
              <w:right w:val="nil"/>
            </w:tcBorders>
            <w:shd w:val="clear" w:color="auto" w:fill="auto"/>
            <w:noWrap/>
            <w:vAlign w:val="center"/>
            <w:hideMark/>
          </w:tcPr>
          <w:p w14:paraId="7F5D5ED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38 154</w:t>
            </w:r>
          </w:p>
        </w:tc>
        <w:tc>
          <w:tcPr>
            <w:tcW w:w="737" w:type="dxa"/>
            <w:tcBorders>
              <w:top w:val="nil"/>
              <w:left w:val="nil"/>
              <w:bottom w:val="nil"/>
              <w:right w:val="nil"/>
            </w:tcBorders>
            <w:shd w:val="clear" w:color="auto" w:fill="auto"/>
            <w:noWrap/>
            <w:vAlign w:val="center"/>
            <w:hideMark/>
          </w:tcPr>
          <w:p w14:paraId="3C0C9EF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40 483</w:t>
            </w:r>
          </w:p>
        </w:tc>
        <w:tc>
          <w:tcPr>
            <w:tcW w:w="737" w:type="dxa"/>
            <w:tcBorders>
              <w:top w:val="nil"/>
              <w:left w:val="nil"/>
              <w:bottom w:val="nil"/>
              <w:right w:val="nil"/>
            </w:tcBorders>
            <w:shd w:val="clear" w:color="auto" w:fill="auto"/>
            <w:noWrap/>
            <w:vAlign w:val="center"/>
            <w:hideMark/>
          </w:tcPr>
          <w:p w14:paraId="4B3B7EEA"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42 954</w:t>
            </w:r>
          </w:p>
        </w:tc>
        <w:tc>
          <w:tcPr>
            <w:tcW w:w="737" w:type="dxa"/>
            <w:tcBorders>
              <w:top w:val="nil"/>
              <w:left w:val="nil"/>
              <w:bottom w:val="nil"/>
              <w:right w:val="nil"/>
            </w:tcBorders>
            <w:shd w:val="clear" w:color="auto" w:fill="auto"/>
            <w:noWrap/>
            <w:vAlign w:val="center"/>
            <w:hideMark/>
          </w:tcPr>
          <w:p w14:paraId="4480A34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0</w:t>
            </w:r>
          </w:p>
        </w:tc>
      </w:tr>
      <w:tr w:rsidR="00BD3539" w:rsidRPr="00BD3539" w14:paraId="05D3E0BC" w14:textId="77777777" w:rsidTr="006E5A9E">
        <w:trPr>
          <w:trHeight w:val="264"/>
        </w:trPr>
        <w:tc>
          <w:tcPr>
            <w:tcW w:w="3827" w:type="dxa"/>
            <w:tcBorders>
              <w:top w:val="nil"/>
              <w:left w:val="nil"/>
              <w:bottom w:val="nil"/>
              <w:right w:val="nil"/>
            </w:tcBorders>
            <w:shd w:val="clear" w:color="auto" w:fill="auto"/>
            <w:noWrap/>
            <w:vAlign w:val="center"/>
            <w:hideMark/>
          </w:tcPr>
          <w:p w14:paraId="588DBE0B"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Oslobodenie príjmov pre krízové situácie od DPPO</w:t>
            </w:r>
          </w:p>
        </w:tc>
        <w:tc>
          <w:tcPr>
            <w:tcW w:w="907" w:type="dxa"/>
            <w:tcBorders>
              <w:top w:val="nil"/>
              <w:left w:val="nil"/>
              <w:bottom w:val="nil"/>
              <w:right w:val="nil"/>
            </w:tcBorders>
            <w:shd w:val="clear" w:color="auto" w:fill="auto"/>
            <w:noWrap/>
            <w:vAlign w:val="center"/>
            <w:hideMark/>
          </w:tcPr>
          <w:p w14:paraId="50C08323"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DPPO</w:t>
            </w:r>
          </w:p>
        </w:tc>
        <w:tc>
          <w:tcPr>
            <w:tcW w:w="737" w:type="dxa"/>
            <w:tcBorders>
              <w:top w:val="nil"/>
              <w:left w:val="nil"/>
              <w:bottom w:val="nil"/>
              <w:right w:val="nil"/>
            </w:tcBorders>
            <w:shd w:val="clear" w:color="auto" w:fill="auto"/>
            <w:noWrap/>
            <w:vAlign w:val="center"/>
            <w:hideMark/>
          </w:tcPr>
          <w:p w14:paraId="0473B913"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5 000</w:t>
            </w:r>
          </w:p>
        </w:tc>
        <w:tc>
          <w:tcPr>
            <w:tcW w:w="737" w:type="dxa"/>
            <w:tcBorders>
              <w:top w:val="nil"/>
              <w:left w:val="nil"/>
              <w:bottom w:val="nil"/>
              <w:right w:val="nil"/>
            </w:tcBorders>
            <w:shd w:val="clear" w:color="auto" w:fill="auto"/>
            <w:noWrap/>
            <w:vAlign w:val="center"/>
            <w:hideMark/>
          </w:tcPr>
          <w:p w14:paraId="668FBBD5"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5 000</w:t>
            </w:r>
          </w:p>
        </w:tc>
        <w:tc>
          <w:tcPr>
            <w:tcW w:w="737" w:type="dxa"/>
            <w:tcBorders>
              <w:top w:val="nil"/>
              <w:left w:val="nil"/>
              <w:bottom w:val="nil"/>
              <w:right w:val="nil"/>
            </w:tcBorders>
            <w:shd w:val="clear" w:color="auto" w:fill="auto"/>
            <w:noWrap/>
            <w:vAlign w:val="center"/>
            <w:hideMark/>
          </w:tcPr>
          <w:p w14:paraId="3325C17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5 000</w:t>
            </w:r>
          </w:p>
        </w:tc>
        <w:tc>
          <w:tcPr>
            <w:tcW w:w="737" w:type="dxa"/>
            <w:tcBorders>
              <w:top w:val="nil"/>
              <w:left w:val="nil"/>
              <w:bottom w:val="nil"/>
              <w:right w:val="nil"/>
            </w:tcBorders>
            <w:shd w:val="clear" w:color="auto" w:fill="auto"/>
            <w:noWrap/>
            <w:vAlign w:val="center"/>
            <w:hideMark/>
          </w:tcPr>
          <w:p w14:paraId="4A7C6320"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5 000</w:t>
            </w:r>
          </w:p>
        </w:tc>
        <w:tc>
          <w:tcPr>
            <w:tcW w:w="737" w:type="dxa"/>
            <w:tcBorders>
              <w:top w:val="nil"/>
              <w:left w:val="nil"/>
              <w:bottom w:val="nil"/>
              <w:right w:val="nil"/>
            </w:tcBorders>
            <w:shd w:val="clear" w:color="auto" w:fill="auto"/>
            <w:noWrap/>
            <w:vAlign w:val="center"/>
            <w:hideMark/>
          </w:tcPr>
          <w:p w14:paraId="20F39B7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5 000</w:t>
            </w:r>
          </w:p>
        </w:tc>
        <w:tc>
          <w:tcPr>
            <w:tcW w:w="737" w:type="dxa"/>
            <w:tcBorders>
              <w:top w:val="nil"/>
              <w:left w:val="nil"/>
              <w:bottom w:val="nil"/>
              <w:right w:val="nil"/>
            </w:tcBorders>
            <w:shd w:val="clear" w:color="auto" w:fill="auto"/>
            <w:noWrap/>
            <w:vAlign w:val="center"/>
            <w:hideMark/>
          </w:tcPr>
          <w:p w14:paraId="3CA0F49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5 000</w:t>
            </w:r>
          </w:p>
        </w:tc>
      </w:tr>
      <w:tr w:rsidR="00BD3539" w:rsidRPr="00BD3539" w14:paraId="1B03746E" w14:textId="77777777" w:rsidTr="006E5A9E">
        <w:trPr>
          <w:trHeight w:val="264"/>
        </w:trPr>
        <w:tc>
          <w:tcPr>
            <w:tcW w:w="3827" w:type="dxa"/>
            <w:tcBorders>
              <w:top w:val="nil"/>
              <w:left w:val="nil"/>
              <w:bottom w:val="nil"/>
              <w:right w:val="nil"/>
            </w:tcBorders>
            <w:shd w:val="clear" w:color="auto" w:fill="auto"/>
            <w:noWrap/>
            <w:vAlign w:val="center"/>
            <w:hideMark/>
          </w:tcPr>
          <w:p w14:paraId="2C612F4A"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proofErr w:type="spellStart"/>
            <w:r w:rsidRPr="00BD3539">
              <w:rPr>
                <w:rFonts w:ascii="Times New Roman" w:eastAsia="Times New Roman" w:hAnsi="Times New Roman" w:cs="Times New Roman"/>
                <w:color w:val="000000"/>
                <w:sz w:val="16"/>
                <w:szCs w:val="16"/>
                <w:lang w:eastAsia="sk-SK"/>
              </w:rPr>
              <w:t>Refundit</w:t>
            </w:r>
            <w:proofErr w:type="spellEnd"/>
          </w:p>
        </w:tc>
        <w:tc>
          <w:tcPr>
            <w:tcW w:w="907" w:type="dxa"/>
            <w:tcBorders>
              <w:top w:val="nil"/>
              <w:left w:val="nil"/>
              <w:bottom w:val="nil"/>
              <w:right w:val="nil"/>
            </w:tcBorders>
            <w:shd w:val="clear" w:color="auto" w:fill="auto"/>
            <w:noWrap/>
            <w:vAlign w:val="center"/>
            <w:hideMark/>
          </w:tcPr>
          <w:p w14:paraId="275FFD0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DPH</w:t>
            </w:r>
          </w:p>
        </w:tc>
        <w:tc>
          <w:tcPr>
            <w:tcW w:w="737" w:type="dxa"/>
            <w:tcBorders>
              <w:top w:val="nil"/>
              <w:left w:val="nil"/>
              <w:bottom w:val="nil"/>
              <w:right w:val="nil"/>
            </w:tcBorders>
            <w:shd w:val="clear" w:color="auto" w:fill="auto"/>
            <w:noWrap/>
            <w:vAlign w:val="center"/>
            <w:hideMark/>
          </w:tcPr>
          <w:p w14:paraId="287BCD64"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2 800</w:t>
            </w:r>
          </w:p>
        </w:tc>
        <w:tc>
          <w:tcPr>
            <w:tcW w:w="737" w:type="dxa"/>
            <w:tcBorders>
              <w:top w:val="nil"/>
              <w:left w:val="nil"/>
              <w:bottom w:val="nil"/>
              <w:right w:val="nil"/>
            </w:tcBorders>
            <w:shd w:val="clear" w:color="auto" w:fill="auto"/>
            <w:noWrap/>
            <w:vAlign w:val="center"/>
            <w:hideMark/>
          </w:tcPr>
          <w:p w14:paraId="30833DD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2 800</w:t>
            </w:r>
          </w:p>
        </w:tc>
        <w:tc>
          <w:tcPr>
            <w:tcW w:w="737" w:type="dxa"/>
            <w:tcBorders>
              <w:top w:val="nil"/>
              <w:left w:val="nil"/>
              <w:bottom w:val="nil"/>
              <w:right w:val="nil"/>
            </w:tcBorders>
            <w:shd w:val="clear" w:color="auto" w:fill="auto"/>
            <w:noWrap/>
            <w:vAlign w:val="center"/>
            <w:hideMark/>
          </w:tcPr>
          <w:p w14:paraId="35E8F42B"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2 800</w:t>
            </w:r>
          </w:p>
        </w:tc>
        <w:tc>
          <w:tcPr>
            <w:tcW w:w="737" w:type="dxa"/>
            <w:tcBorders>
              <w:top w:val="nil"/>
              <w:left w:val="nil"/>
              <w:bottom w:val="nil"/>
              <w:right w:val="nil"/>
            </w:tcBorders>
            <w:shd w:val="clear" w:color="auto" w:fill="auto"/>
            <w:noWrap/>
            <w:vAlign w:val="center"/>
            <w:hideMark/>
          </w:tcPr>
          <w:p w14:paraId="44EBE7E4"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2 800</w:t>
            </w:r>
          </w:p>
        </w:tc>
        <w:tc>
          <w:tcPr>
            <w:tcW w:w="737" w:type="dxa"/>
            <w:tcBorders>
              <w:top w:val="nil"/>
              <w:left w:val="nil"/>
              <w:bottom w:val="nil"/>
              <w:right w:val="nil"/>
            </w:tcBorders>
            <w:shd w:val="clear" w:color="auto" w:fill="auto"/>
            <w:noWrap/>
            <w:vAlign w:val="center"/>
            <w:hideMark/>
          </w:tcPr>
          <w:p w14:paraId="292C009A"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2 800</w:t>
            </w:r>
          </w:p>
        </w:tc>
        <w:tc>
          <w:tcPr>
            <w:tcW w:w="737" w:type="dxa"/>
            <w:tcBorders>
              <w:top w:val="nil"/>
              <w:left w:val="nil"/>
              <w:bottom w:val="nil"/>
              <w:right w:val="nil"/>
            </w:tcBorders>
            <w:shd w:val="clear" w:color="auto" w:fill="auto"/>
            <w:noWrap/>
            <w:vAlign w:val="center"/>
            <w:hideMark/>
          </w:tcPr>
          <w:p w14:paraId="181FE791"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2 800</w:t>
            </w:r>
          </w:p>
        </w:tc>
      </w:tr>
      <w:tr w:rsidR="00BD3539" w:rsidRPr="00BD3539" w14:paraId="343B61CB" w14:textId="77777777" w:rsidTr="006E5A9E">
        <w:trPr>
          <w:trHeight w:val="264"/>
        </w:trPr>
        <w:tc>
          <w:tcPr>
            <w:tcW w:w="3827" w:type="dxa"/>
            <w:tcBorders>
              <w:top w:val="nil"/>
              <w:left w:val="nil"/>
              <w:bottom w:val="nil"/>
              <w:right w:val="nil"/>
            </w:tcBorders>
            <w:shd w:val="clear" w:color="auto" w:fill="auto"/>
            <w:noWrap/>
            <w:vAlign w:val="center"/>
            <w:hideMark/>
          </w:tcPr>
          <w:p w14:paraId="6E964FC3"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Patent box</w:t>
            </w:r>
          </w:p>
        </w:tc>
        <w:tc>
          <w:tcPr>
            <w:tcW w:w="907" w:type="dxa"/>
            <w:tcBorders>
              <w:top w:val="nil"/>
              <w:left w:val="nil"/>
              <w:bottom w:val="nil"/>
              <w:right w:val="nil"/>
            </w:tcBorders>
            <w:shd w:val="clear" w:color="auto" w:fill="auto"/>
            <w:noWrap/>
            <w:vAlign w:val="center"/>
            <w:hideMark/>
          </w:tcPr>
          <w:p w14:paraId="177EE7B3"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DPPO</w:t>
            </w:r>
          </w:p>
        </w:tc>
        <w:tc>
          <w:tcPr>
            <w:tcW w:w="737" w:type="dxa"/>
            <w:tcBorders>
              <w:top w:val="nil"/>
              <w:left w:val="nil"/>
              <w:bottom w:val="nil"/>
              <w:right w:val="nil"/>
            </w:tcBorders>
            <w:shd w:val="clear" w:color="auto" w:fill="auto"/>
            <w:noWrap/>
            <w:vAlign w:val="center"/>
            <w:hideMark/>
          </w:tcPr>
          <w:p w14:paraId="7A8B7B3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939</w:t>
            </w:r>
          </w:p>
        </w:tc>
        <w:tc>
          <w:tcPr>
            <w:tcW w:w="737" w:type="dxa"/>
            <w:tcBorders>
              <w:top w:val="nil"/>
              <w:left w:val="nil"/>
              <w:bottom w:val="nil"/>
              <w:right w:val="nil"/>
            </w:tcBorders>
            <w:shd w:val="clear" w:color="auto" w:fill="auto"/>
            <w:noWrap/>
            <w:vAlign w:val="center"/>
            <w:hideMark/>
          </w:tcPr>
          <w:p w14:paraId="5403E2B9"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939</w:t>
            </w:r>
          </w:p>
        </w:tc>
        <w:tc>
          <w:tcPr>
            <w:tcW w:w="737" w:type="dxa"/>
            <w:tcBorders>
              <w:top w:val="nil"/>
              <w:left w:val="nil"/>
              <w:bottom w:val="nil"/>
              <w:right w:val="nil"/>
            </w:tcBorders>
            <w:shd w:val="clear" w:color="auto" w:fill="auto"/>
            <w:noWrap/>
            <w:vAlign w:val="center"/>
            <w:hideMark/>
          </w:tcPr>
          <w:p w14:paraId="341DADF2"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939</w:t>
            </w:r>
          </w:p>
        </w:tc>
        <w:tc>
          <w:tcPr>
            <w:tcW w:w="737" w:type="dxa"/>
            <w:tcBorders>
              <w:top w:val="nil"/>
              <w:left w:val="nil"/>
              <w:bottom w:val="nil"/>
              <w:right w:val="nil"/>
            </w:tcBorders>
            <w:shd w:val="clear" w:color="auto" w:fill="auto"/>
            <w:noWrap/>
            <w:vAlign w:val="center"/>
            <w:hideMark/>
          </w:tcPr>
          <w:p w14:paraId="71A6F57A"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939</w:t>
            </w:r>
          </w:p>
        </w:tc>
        <w:tc>
          <w:tcPr>
            <w:tcW w:w="737" w:type="dxa"/>
            <w:tcBorders>
              <w:top w:val="nil"/>
              <w:left w:val="nil"/>
              <w:bottom w:val="nil"/>
              <w:right w:val="nil"/>
            </w:tcBorders>
            <w:shd w:val="clear" w:color="auto" w:fill="auto"/>
            <w:noWrap/>
            <w:vAlign w:val="center"/>
            <w:hideMark/>
          </w:tcPr>
          <w:p w14:paraId="2D243DF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939</w:t>
            </w:r>
          </w:p>
        </w:tc>
        <w:tc>
          <w:tcPr>
            <w:tcW w:w="737" w:type="dxa"/>
            <w:tcBorders>
              <w:top w:val="nil"/>
              <w:left w:val="nil"/>
              <w:bottom w:val="nil"/>
              <w:right w:val="nil"/>
            </w:tcBorders>
            <w:shd w:val="clear" w:color="auto" w:fill="auto"/>
            <w:noWrap/>
            <w:vAlign w:val="center"/>
            <w:hideMark/>
          </w:tcPr>
          <w:p w14:paraId="626ABF57"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939</w:t>
            </w:r>
          </w:p>
        </w:tc>
      </w:tr>
      <w:tr w:rsidR="00BD3539" w:rsidRPr="00BD3539" w14:paraId="3FABF3DD" w14:textId="77777777" w:rsidTr="006E5A9E">
        <w:trPr>
          <w:trHeight w:val="264"/>
        </w:trPr>
        <w:tc>
          <w:tcPr>
            <w:tcW w:w="3827" w:type="dxa"/>
            <w:tcBorders>
              <w:top w:val="nil"/>
              <w:left w:val="nil"/>
              <w:bottom w:val="nil"/>
              <w:right w:val="nil"/>
            </w:tcBorders>
            <w:shd w:val="clear" w:color="auto" w:fill="auto"/>
            <w:noWrap/>
            <w:vAlign w:val="center"/>
            <w:hideMark/>
          </w:tcPr>
          <w:p w14:paraId="652385E1"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Oprava základu dane</w:t>
            </w:r>
          </w:p>
        </w:tc>
        <w:tc>
          <w:tcPr>
            <w:tcW w:w="907" w:type="dxa"/>
            <w:tcBorders>
              <w:top w:val="nil"/>
              <w:left w:val="nil"/>
              <w:bottom w:val="nil"/>
              <w:right w:val="nil"/>
            </w:tcBorders>
            <w:shd w:val="clear" w:color="auto" w:fill="auto"/>
            <w:noWrap/>
            <w:vAlign w:val="center"/>
            <w:hideMark/>
          </w:tcPr>
          <w:p w14:paraId="1ED4007A"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DPH</w:t>
            </w:r>
          </w:p>
        </w:tc>
        <w:tc>
          <w:tcPr>
            <w:tcW w:w="737" w:type="dxa"/>
            <w:tcBorders>
              <w:top w:val="nil"/>
              <w:left w:val="nil"/>
              <w:bottom w:val="nil"/>
              <w:right w:val="nil"/>
            </w:tcBorders>
            <w:shd w:val="clear" w:color="auto" w:fill="auto"/>
            <w:noWrap/>
            <w:vAlign w:val="center"/>
            <w:hideMark/>
          </w:tcPr>
          <w:p w14:paraId="462305D6"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5 000</w:t>
            </w:r>
          </w:p>
        </w:tc>
        <w:tc>
          <w:tcPr>
            <w:tcW w:w="737" w:type="dxa"/>
            <w:tcBorders>
              <w:top w:val="nil"/>
              <w:left w:val="nil"/>
              <w:bottom w:val="nil"/>
              <w:right w:val="nil"/>
            </w:tcBorders>
            <w:shd w:val="clear" w:color="auto" w:fill="auto"/>
            <w:noWrap/>
            <w:vAlign w:val="center"/>
            <w:hideMark/>
          </w:tcPr>
          <w:p w14:paraId="48A3C174"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5 000</w:t>
            </w:r>
          </w:p>
        </w:tc>
        <w:tc>
          <w:tcPr>
            <w:tcW w:w="737" w:type="dxa"/>
            <w:tcBorders>
              <w:top w:val="nil"/>
              <w:left w:val="nil"/>
              <w:bottom w:val="nil"/>
              <w:right w:val="nil"/>
            </w:tcBorders>
            <w:shd w:val="clear" w:color="auto" w:fill="auto"/>
            <w:noWrap/>
            <w:vAlign w:val="center"/>
            <w:hideMark/>
          </w:tcPr>
          <w:p w14:paraId="4D414965"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5 000</w:t>
            </w:r>
          </w:p>
        </w:tc>
        <w:tc>
          <w:tcPr>
            <w:tcW w:w="737" w:type="dxa"/>
            <w:tcBorders>
              <w:top w:val="nil"/>
              <w:left w:val="nil"/>
              <w:bottom w:val="nil"/>
              <w:right w:val="nil"/>
            </w:tcBorders>
            <w:shd w:val="clear" w:color="auto" w:fill="auto"/>
            <w:noWrap/>
            <w:vAlign w:val="center"/>
            <w:hideMark/>
          </w:tcPr>
          <w:p w14:paraId="5CA981C1"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5 000</w:t>
            </w:r>
          </w:p>
        </w:tc>
        <w:tc>
          <w:tcPr>
            <w:tcW w:w="737" w:type="dxa"/>
            <w:tcBorders>
              <w:top w:val="nil"/>
              <w:left w:val="nil"/>
              <w:bottom w:val="nil"/>
              <w:right w:val="nil"/>
            </w:tcBorders>
            <w:shd w:val="clear" w:color="auto" w:fill="auto"/>
            <w:noWrap/>
            <w:vAlign w:val="center"/>
            <w:hideMark/>
          </w:tcPr>
          <w:p w14:paraId="6DE3AFB0"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5 000</w:t>
            </w:r>
          </w:p>
        </w:tc>
        <w:tc>
          <w:tcPr>
            <w:tcW w:w="737" w:type="dxa"/>
            <w:tcBorders>
              <w:top w:val="nil"/>
              <w:left w:val="nil"/>
              <w:bottom w:val="nil"/>
              <w:right w:val="nil"/>
            </w:tcBorders>
            <w:shd w:val="clear" w:color="auto" w:fill="auto"/>
            <w:noWrap/>
            <w:vAlign w:val="center"/>
            <w:hideMark/>
          </w:tcPr>
          <w:p w14:paraId="52D7E654"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5 000</w:t>
            </w:r>
          </w:p>
        </w:tc>
      </w:tr>
      <w:tr w:rsidR="00BD3539" w:rsidRPr="00BD3539" w14:paraId="408A14B8" w14:textId="77777777" w:rsidTr="006E5A9E">
        <w:trPr>
          <w:trHeight w:val="264"/>
        </w:trPr>
        <w:tc>
          <w:tcPr>
            <w:tcW w:w="3827" w:type="dxa"/>
            <w:tcBorders>
              <w:top w:val="nil"/>
              <w:left w:val="nil"/>
              <w:bottom w:val="nil"/>
              <w:right w:val="nil"/>
            </w:tcBorders>
            <w:shd w:val="clear" w:color="auto" w:fill="auto"/>
            <w:noWrap/>
            <w:vAlign w:val="center"/>
            <w:hideMark/>
          </w:tcPr>
          <w:p w14:paraId="42B74CD6"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Zrušenie oslobodenia do 22 eur (smernica e-</w:t>
            </w:r>
            <w:proofErr w:type="spellStart"/>
            <w:r w:rsidRPr="00BD3539">
              <w:rPr>
                <w:rFonts w:ascii="Times New Roman" w:eastAsia="Times New Roman" w:hAnsi="Times New Roman" w:cs="Times New Roman"/>
                <w:color w:val="000000"/>
                <w:sz w:val="16"/>
                <w:szCs w:val="16"/>
                <w:lang w:eastAsia="sk-SK"/>
              </w:rPr>
              <w:t>commerce</w:t>
            </w:r>
            <w:proofErr w:type="spellEnd"/>
            <w:r w:rsidRPr="00BD3539">
              <w:rPr>
                <w:rFonts w:ascii="Times New Roman" w:eastAsia="Times New Roman" w:hAnsi="Times New Roman" w:cs="Times New Roman"/>
                <w:color w:val="000000"/>
                <w:sz w:val="16"/>
                <w:szCs w:val="16"/>
                <w:lang w:eastAsia="sk-SK"/>
              </w:rPr>
              <w:t>)</w:t>
            </w:r>
          </w:p>
        </w:tc>
        <w:tc>
          <w:tcPr>
            <w:tcW w:w="907" w:type="dxa"/>
            <w:tcBorders>
              <w:top w:val="nil"/>
              <w:left w:val="nil"/>
              <w:bottom w:val="nil"/>
              <w:right w:val="nil"/>
            </w:tcBorders>
            <w:shd w:val="clear" w:color="auto" w:fill="auto"/>
            <w:noWrap/>
            <w:vAlign w:val="center"/>
            <w:hideMark/>
          </w:tcPr>
          <w:p w14:paraId="0D0B88A2"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DPH</w:t>
            </w:r>
          </w:p>
        </w:tc>
        <w:tc>
          <w:tcPr>
            <w:tcW w:w="737" w:type="dxa"/>
            <w:tcBorders>
              <w:top w:val="nil"/>
              <w:left w:val="nil"/>
              <w:bottom w:val="nil"/>
              <w:right w:val="nil"/>
            </w:tcBorders>
            <w:shd w:val="clear" w:color="auto" w:fill="auto"/>
            <w:noWrap/>
            <w:vAlign w:val="center"/>
            <w:hideMark/>
          </w:tcPr>
          <w:p w14:paraId="0E856EFE"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-11 000</w:t>
            </w:r>
          </w:p>
        </w:tc>
        <w:tc>
          <w:tcPr>
            <w:tcW w:w="737" w:type="dxa"/>
            <w:tcBorders>
              <w:top w:val="nil"/>
              <w:left w:val="nil"/>
              <w:bottom w:val="nil"/>
              <w:right w:val="nil"/>
            </w:tcBorders>
            <w:shd w:val="clear" w:color="auto" w:fill="auto"/>
            <w:noWrap/>
            <w:vAlign w:val="center"/>
            <w:hideMark/>
          </w:tcPr>
          <w:p w14:paraId="2FFFCC55"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-23 000</w:t>
            </w:r>
          </w:p>
        </w:tc>
        <w:tc>
          <w:tcPr>
            <w:tcW w:w="737" w:type="dxa"/>
            <w:tcBorders>
              <w:top w:val="nil"/>
              <w:left w:val="nil"/>
              <w:bottom w:val="nil"/>
              <w:right w:val="nil"/>
            </w:tcBorders>
            <w:shd w:val="clear" w:color="auto" w:fill="auto"/>
            <w:noWrap/>
            <w:vAlign w:val="center"/>
            <w:hideMark/>
          </w:tcPr>
          <w:p w14:paraId="034EAC5A"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-25 000</w:t>
            </w:r>
          </w:p>
        </w:tc>
        <w:tc>
          <w:tcPr>
            <w:tcW w:w="737" w:type="dxa"/>
            <w:tcBorders>
              <w:top w:val="nil"/>
              <w:left w:val="nil"/>
              <w:bottom w:val="nil"/>
              <w:right w:val="nil"/>
            </w:tcBorders>
            <w:shd w:val="clear" w:color="auto" w:fill="auto"/>
            <w:noWrap/>
            <w:vAlign w:val="center"/>
            <w:hideMark/>
          </w:tcPr>
          <w:p w14:paraId="7C36B981"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-27 174</w:t>
            </w:r>
          </w:p>
        </w:tc>
        <w:tc>
          <w:tcPr>
            <w:tcW w:w="737" w:type="dxa"/>
            <w:tcBorders>
              <w:top w:val="nil"/>
              <w:left w:val="nil"/>
              <w:bottom w:val="nil"/>
              <w:right w:val="nil"/>
            </w:tcBorders>
            <w:shd w:val="clear" w:color="auto" w:fill="auto"/>
            <w:noWrap/>
            <w:vAlign w:val="center"/>
            <w:hideMark/>
          </w:tcPr>
          <w:p w14:paraId="5A778EA3"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-29 537</w:t>
            </w:r>
          </w:p>
        </w:tc>
        <w:tc>
          <w:tcPr>
            <w:tcW w:w="737" w:type="dxa"/>
            <w:tcBorders>
              <w:top w:val="nil"/>
              <w:left w:val="nil"/>
              <w:bottom w:val="nil"/>
              <w:right w:val="nil"/>
            </w:tcBorders>
            <w:shd w:val="clear" w:color="auto" w:fill="auto"/>
            <w:noWrap/>
            <w:vAlign w:val="center"/>
            <w:hideMark/>
          </w:tcPr>
          <w:p w14:paraId="37A7EF0A"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-32 105</w:t>
            </w:r>
          </w:p>
        </w:tc>
      </w:tr>
      <w:tr w:rsidR="00BD3539" w:rsidRPr="00BD3539" w14:paraId="7CA6F755" w14:textId="77777777" w:rsidTr="006E5A9E">
        <w:trPr>
          <w:trHeight w:val="264"/>
        </w:trPr>
        <w:tc>
          <w:tcPr>
            <w:tcW w:w="3827" w:type="dxa"/>
            <w:tcBorders>
              <w:top w:val="nil"/>
              <w:left w:val="nil"/>
              <w:bottom w:val="nil"/>
              <w:right w:val="nil"/>
            </w:tcBorders>
            <w:shd w:val="clear" w:color="auto" w:fill="auto"/>
            <w:noWrap/>
            <w:vAlign w:val="center"/>
            <w:hideMark/>
          </w:tcPr>
          <w:p w14:paraId="0C49B8A1"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Negatívne daňové výdavky</w:t>
            </w:r>
          </w:p>
        </w:tc>
        <w:tc>
          <w:tcPr>
            <w:tcW w:w="907" w:type="dxa"/>
            <w:tcBorders>
              <w:top w:val="nil"/>
              <w:left w:val="nil"/>
              <w:bottom w:val="nil"/>
              <w:right w:val="nil"/>
            </w:tcBorders>
            <w:shd w:val="clear" w:color="auto" w:fill="auto"/>
            <w:noWrap/>
            <w:vAlign w:val="bottom"/>
            <w:hideMark/>
          </w:tcPr>
          <w:p w14:paraId="033CAD8B" w14:textId="77777777" w:rsidR="00BD3539" w:rsidRPr="00BD3539" w:rsidRDefault="00BD3539" w:rsidP="00BD3539">
            <w:pPr>
              <w:spacing w:after="0" w:line="240" w:lineRule="auto"/>
              <w:rPr>
                <w:rFonts w:ascii="Times New Roman" w:eastAsia="Times New Roman" w:hAnsi="Times New Roman" w:cs="Times New Roman"/>
                <w:b/>
                <w:bCs/>
                <w:color w:val="000000"/>
                <w:sz w:val="16"/>
                <w:szCs w:val="16"/>
                <w:lang w:eastAsia="sk-SK"/>
              </w:rPr>
            </w:pPr>
          </w:p>
        </w:tc>
        <w:tc>
          <w:tcPr>
            <w:tcW w:w="737" w:type="dxa"/>
            <w:tcBorders>
              <w:top w:val="nil"/>
              <w:left w:val="nil"/>
              <w:bottom w:val="nil"/>
              <w:right w:val="nil"/>
            </w:tcBorders>
            <w:shd w:val="clear" w:color="auto" w:fill="auto"/>
            <w:noWrap/>
            <w:vAlign w:val="center"/>
            <w:hideMark/>
          </w:tcPr>
          <w:p w14:paraId="49DA51B0"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-36 309</w:t>
            </w:r>
          </w:p>
        </w:tc>
        <w:tc>
          <w:tcPr>
            <w:tcW w:w="737" w:type="dxa"/>
            <w:tcBorders>
              <w:top w:val="nil"/>
              <w:left w:val="nil"/>
              <w:bottom w:val="nil"/>
              <w:right w:val="nil"/>
            </w:tcBorders>
            <w:shd w:val="clear" w:color="auto" w:fill="auto"/>
            <w:noWrap/>
            <w:vAlign w:val="center"/>
            <w:hideMark/>
          </w:tcPr>
          <w:p w14:paraId="577C9C83"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-30 369</w:t>
            </w:r>
          </w:p>
        </w:tc>
        <w:tc>
          <w:tcPr>
            <w:tcW w:w="737" w:type="dxa"/>
            <w:tcBorders>
              <w:top w:val="nil"/>
              <w:left w:val="nil"/>
              <w:bottom w:val="nil"/>
              <w:right w:val="nil"/>
            </w:tcBorders>
            <w:shd w:val="clear" w:color="auto" w:fill="auto"/>
            <w:noWrap/>
            <w:vAlign w:val="center"/>
            <w:hideMark/>
          </w:tcPr>
          <w:p w14:paraId="628D3AAF"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-30 385</w:t>
            </w:r>
          </w:p>
        </w:tc>
        <w:tc>
          <w:tcPr>
            <w:tcW w:w="737" w:type="dxa"/>
            <w:tcBorders>
              <w:top w:val="nil"/>
              <w:left w:val="nil"/>
              <w:bottom w:val="nil"/>
              <w:right w:val="nil"/>
            </w:tcBorders>
            <w:shd w:val="clear" w:color="auto" w:fill="auto"/>
            <w:noWrap/>
            <w:vAlign w:val="center"/>
            <w:hideMark/>
          </w:tcPr>
          <w:p w14:paraId="5F113765"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-30 402</w:t>
            </w:r>
          </w:p>
        </w:tc>
        <w:tc>
          <w:tcPr>
            <w:tcW w:w="737" w:type="dxa"/>
            <w:tcBorders>
              <w:top w:val="nil"/>
              <w:left w:val="nil"/>
              <w:bottom w:val="nil"/>
              <w:right w:val="nil"/>
            </w:tcBorders>
            <w:shd w:val="clear" w:color="auto" w:fill="auto"/>
            <w:noWrap/>
            <w:vAlign w:val="center"/>
            <w:hideMark/>
          </w:tcPr>
          <w:p w14:paraId="32870625"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-30 420</w:t>
            </w:r>
          </w:p>
        </w:tc>
        <w:tc>
          <w:tcPr>
            <w:tcW w:w="737" w:type="dxa"/>
            <w:tcBorders>
              <w:top w:val="nil"/>
              <w:left w:val="nil"/>
              <w:bottom w:val="nil"/>
              <w:right w:val="nil"/>
            </w:tcBorders>
            <w:shd w:val="clear" w:color="auto" w:fill="auto"/>
            <w:noWrap/>
            <w:vAlign w:val="center"/>
            <w:hideMark/>
          </w:tcPr>
          <w:p w14:paraId="010374DD" w14:textId="77777777" w:rsidR="00BD3539" w:rsidRPr="00BD3539" w:rsidRDefault="00BD3539" w:rsidP="00BD3539">
            <w:pPr>
              <w:spacing w:after="0" w:line="240" w:lineRule="auto"/>
              <w:jc w:val="center"/>
              <w:rPr>
                <w:rFonts w:ascii="Times New Roman" w:eastAsia="Times New Roman" w:hAnsi="Times New Roman" w:cs="Times New Roman"/>
                <w:b/>
                <w:bCs/>
                <w:color w:val="000000"/>
                <w:sz w:val="16"/>
                <w:szCs w:val="16"/>
                <w:lang w:eastAsia="sk-SK"/>
              </w:rPr>
            </w:pPr>
            <w:r w:rsidRPr="00BD3539">
              <w:rPr>
                <w:rFonts w:ascii="Times New Roman" w:eastAsia="Times New Roman" w:hAnsi="Times New Roman" w:cs="Times New Roman"/>
                <w:b/>
                <w:bCs/>
                <w:color w:val="000000"/>
                <w:sz w:val="16"/>
                <w:szCs w:val="16"/>
                <w:lang w:eastAsia="sk-SK"/>
              </w:rPr>
              <w:t>-30 438</w:t>
            </w:r>
          </w:p>
        </w:tc>
      </w:tr>
      <w:tr w:rsidR="00BD3539" w:rsidRPr="00BD3539" w14:paraId="5DB695F4" w14:textId="77777777" w:rsidTr="006E5A9E">
        <w:trPr>
          <w:trHeight w:val="264"/>
        </w:trPr>
        <w:tc>
          <w:tcPr>
            <w:tcW w:w="3827" w:type="dxa"/>
            <w:tcBorders>
              <w:top w:val="nil"/>
              <w:left w:val="nil"/>
              <w:bottom w:val="nil"/>
              <w:right w:val="nil"/>
            </w:tcBorders>
            <w:shd w:val="clear" w:color="auto" w:fill="auto"/>
            <w:noWrap/>
            <w:vAlign w:val="center"/>
            <w:hideMark/>
          </w:tcPr>
          <w:p w14:paraId="2C6B68CC"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Osobitná sadzba dane pre vybraných ústavných činiteľov</w:t>
            </w:r>
          </w:p>
        </w:tc>
        <w:tc>
          <w:tcPr>
            <w:tcW w:w="907" w:type="dxa"/>
            <w:tcBorders>
              <w:top w:val="nil"/>
              <w:left w:val="nil"/>
              <w:bottom w:val="nil"/>
              <w:right w:val="nil"/>
            </w:tcBorders>
            <w:shd w:val="clear" w:color="auto" w:fill="auto"/>
            <w:noWrap/>
            <w:vAlign w:val="center"/>
            <w:hideMark/>
          </w:tcPr>
          <w:p w14:paraId="2FA0354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DPFO</w:t>
            </w:r>
          </w:p>
        </w:tc>
        <w:tc>
          <w:tcPr>
            <w:tcW w:w="737" w:type="dxa"/>
            <w:tcBorders>
              <w:top w:val="nil"/>
              <w:left w:val="nil"/>
              <w:bottom w:val="nil"/>
              <w:right w:val="nil"/>
            </w:tcBorders>
            <w:shd w:val="clear" w:color="auto" w:fill="auto"/>
            <w:noWrap/>
            <w:vAlign w:val="center"/>
            <w:hideMark/>
          </w:tcPr>
          <w:p w14:paraId="3029809F"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-304</w:t>
            </w:r>
          </w:p>
        </w:tc>
        <w:tc>
          <w:tcPr>
            <w:tcW w:w="737" w:type="dxa"/>
            <w:tcBorders>
              <w:top w:val="nil"/>
              <w:left w:val="nil"/>
              <w:bottom w:val="nil"/>
              <w:right w:val="nil"/>
            </w:tcBorders>
            <w:shd w:val="clear" w:color="auto" w:fill="auto"/>
            <w:noWrap/>
            <w:vAlign w:val="center"/>
            <w:hideMark/>
          </w:tcPr>
          <w:p w14:paraId="43382FB3"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-319</w:t>
            </w:r>
          </w:p>
        </w:tc>
        <w:tc>
          <w:tcPr>
            <w:tcW w:w="737" w:type="dxa"/>
            <w:tcBorders>
              <w:top w:val="nil"/>
              <w:left w:val="nil"/>
              <w:bottom w:val="nil"/>
              <w:right w:val="nil"/>
            </w:tcBorders>
            <w:shd w:val="clear" w:color="auto" w:fill="auto"/>
            <w:noWrap/>
            <w:vAlign w:val="center"/>
            <w:hideMark/>
          </w:tcPr>
          <w:p w14:paraId="5D8ABAFF"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-335</w:t>
            </w:r>
          </w:p>
        </w:tc>
        <w:tc>
          <w:tcPr>
            <w:tcW w:w="737" w:type="dxa"/>
            <w:tcBorders>
              <w:top w:val="nil"/>
              <w:left w:val="nil"/>
              <w:bottom w:val="nil"/>
              <w:right w:val="nil"/>
            </w:tcBorders>
            <w:shd w:val="clear" w:color="auto" w:fill="auto"/>
            <w:noWrap/>
            <w:vAlign w:val="center"/>
            <w:hideMark/>
          </w:tcPr>
          <w:p w14:paraId="2E34A1BA"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-352</w:t>
            </w:r>
          </w:p>
        </w:tc>
        <w:tc>
          <w:tcPr>
            <w:tcW w:w="737" w:type="dxa"/>
            <w:tcBorders>
              <w:top w:val="nil"/>
              <w:left w:val="nil"/>
              <w:bottom w:val="nil"/>
              <w:right w:val="nil"/>
            </w:tcBorders>
            <w:shd w:val="clear" w:color="auto" w:fill="auto"/>
            <w:noWrap/>
            <w:vAlign w:val="center"/>
            <w:hideMark/>
          </w:tcPr>
          <w:p w14:paraId="342D3549"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-370</w:t>
            </w:r>
          </w:p>
        </w:tc>
        <w:tc>
          <w:tcPr>
            <w:tcW w:w="737" w:type="dxa"/>
            <w:tcBorders>
              <w:top w:val="nil"/>
              <w:left w:val="nil"/>
              <w:bottom w:val="nil"/>
              <w:right w:val="nil"/>
            </w:tcBorders>
            <w:shd w:val="clear" w:color="auto" w:fill="auto"/>
            <w:noWrap/>
            <w:vAlign w:val="center"/>
            <w:hideMark/>
          </w:tcPr>
          <w:p w14:paraId="45620DC2" w14:textId="77777777" w:rsidR="00BD3539" w:rsidRPr="00BD3539" w:rsidRDefault="00BD3539" w:rsidP="00BD3539">
            <w:pPr>
              <w:spacing w:after="0" w:line="240" w:lineRule="auto"/>
              <w:jc w:val="center"/>
              <w:rPr>
                <w:rFonts w:ascii="Times New Roman" w:eastAsia="Times New Roman" w:hAnsi="Times New Roman" w:cs="Times New Roman"/>
                <w:sz w:val="16"/>
                <w:szCs w:val="16"/>
                <w:lang w:eastAsia="sk-SK"/>
              </w:rPr>
            </w:pPr>
            <w:r w:rsidRPr="00BD3539">
              <w:rPr>
                <w:rFonts w:ascii="Times New Roman" w:eastAsia="Times New Roman" w:hAnsi="Times New Roman" w:cs="Times New Roman"/>
                <w:sz w:val="16"/>
                <w:szCs w:val="16"/>
                <w:lang w:eastAsia="sk-SK"/>
              </w:rPr>
              <w:t>-388</w:t>
            </w:r>
          </w:p>
        </w:tc>
      </w:tr>
      <w:tr w:rsidR="00BD3539" w:rsidRPr="00BD3539" w14:paraId="4BAD67EB" w14:textId="77777777" w:rsidTr="006E5A9E">
        <w:trPr>
          <w:trHeight w:val="264"/>
        </w:trPr>
        <w:tc>
          <w:tcPr>
            <w:tcW w:w="3827" w:type="dxa"/>
            <w:tcBorders>
              <w:top w:val="nil"/>
              <w:left w:val="nil"/>
              <w:bottom w:val="single" w:sz="4" w:space="0" w:color="auto"/>
              <w:right w:val="nil"/>
            </w:tcBorders>
            <w:shd w:val="clear" w:color="auto" w:fill="auto"/>
            <w:noWrap/>
            <w:vAlign w:val="center"/>
            <w:hideMark/>
          </w:tcPr>
          <w:p w14:paraId="40A3A09C" w14:textId="77777777" w:rsidR="00BD3539" w:rsidRPr="00BD3539" w:rsidRDefault="00BD3539" w:rsidP="00BD3539">
            <w:pPr>
              <w:spacing w:after="0" w:line="240" w:lineRule="auto"/>
              <w:ind w:firstLineChars="100" w:firstLine="160"/>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Obmedzenie umorovania strát</w:t>
            </w:r>
          </w:p>
        </w:tc>
        <w:tc>
          <w:tcPr>
            <w:tcW w:w="907" w:type="dxa"/>
            <w:tcBorders>
              <w:top w:val="nil"/>
              <w:left w:val="nil"/>
              <w:bottom w:val="single" w:sz="4" w:space="0" w:color="auto"/>
              <w:right w:val="nil"/>
            </w:tcBorders>
            <w:shd w:val="clear" w:color="auto" w:fill="auto"/>
            <w:noWrap/>
            <w:vAlign w:val="center"/>
            <w:hideMark/>
          </w:tcPr>
          <w:p w14:paraId="60555AE2"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DPPO</w:t>
            </w:r>
          </w:p>
        </w:tc>
        <w:tc>
          <w:tcPr>
            <w:tcW w:w="737" w:type="dxa"/>
            <w:tcBorders>
              <w:top w:val="nil"/>
              <w:left w:val="nil"/>
              <w:bottom w:val="single" w:sz="4" w:space="0" w:color="auto"/>
              <w:right w:val="nil"/>
            </w:tcBorders>
            <w:shd w:val="clear" w:color="auto" w:fill="auto"/>
            <w:noWrap/>
            <w:vAlign w:val="center"/>
            <w:hideMark/>
          </w:tcPr>
          <w:p w14:paraId="458C849D"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-36 005</w:t>
            </w:r>
          </w:p>
        </w:tc>
        <w:tc>
          <w:tcPr>
            <w:tcW w:w="737" w:type="dxa"/>
            <w:tcBorders>
              <w:top w:val="nil"/>
              <w:left w:val="nil"/>
              <w:bottom w:val="single" w:sz="4" w:space="0" w:color="auto"/>
              <w:right w:val="nil"/>
            </w:tcBorders>
            <w:shd w:val="clear" w:color="auto" w:fill="auto"/>
            <w:noWrap/>
            <w:vAlign w:val="center"/>
            <w:hideMark/>
          </w:tcPr>
          <w:p w14:paraId="3AC8662F"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-30 050</w:t>
            </w:r>
          </w:p>
        </w:tc>
        <w:tc>
          <w:tcPr>
            <w:tcW w:w="737" w:type="dxa"/>
            <w:tcBorders>
              <w:top w:val="nil"/>
              <w:left w:val="nil"/>
              <w:bottom w:val="single" w:sz="4" w:space="0" w:color="auto"/>
              <w:right w:val="nil"/>
            </w:tcBorders>
            <w:shd w:val="clear" w:color="auto" w:fill="auto"/>
            <w:noWrap/>
            <w:vAlign w:val="center"/>
            <w:hideMark/>
          </w:tcPr>
          <w:p w14:paraId="3504E92C"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-30 050</w:t>
            </w:r>
          </w:p>
        </w:tc>
        <w:tc>
          <w:tcPr>
            <w:tcW w:w="737" w:type="dxa"/>
            <w:tcBorders>
              <w:top w:val="nil"/>
              <w:left w:val="nil"/>
              <w:bottom w:val="single" w:sz="4" w:space="0" w:color="auto"/>
              <w:right w:val="nil"/>
            </w:tcBorders>
            <w:shd w:val="clear" w:color="auto" w:fill="auto"/>
            <w:noWrap/>
            <w:vAlign w:val="center"/>
            <w:hideMark/>
          </w:tcPr>
          <w:p w14:paraId="18721D7F"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-30 050</w:t>
            </w:r>
          </w:p>
        </w:tc>
        <w:tc>
          <w:tcPr>
            <w:tcW w:w="737" w:type="dxa"/>
            <w:tcBorders>
              <w:top w:val="nil"/>
              <w:left w:val="nil"/>
              <w:bottom w:val="single" w:sz="4" w:space="0" w:color="auto"/>
              <w:right w:val="nil"/>
            </w:tcBorders>
            <w:shd w:val="clear" w:color="auto" w:fill="auto"/>
            <w:noWrap/>
            <w:vAlign w:val="center"/>
            <w:hideMark/>
          </w:tcPr>
          <w:p w14:paraId="6CE242D0"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-30 050</w:t>
            </w:r>
          </w:p>
        </w:tc>
        <w:tc>
          <w:tcPr>
            <w:tcW w:w="737" w:type="dxa"/>
            <w:tcBorders>
              <w:top w:val="nil"/>
              <w:left w:val="nil"/>
              <w:bottom w:val="single" w:sz="4" w:space="0" w:color="auto"/>
              <w:right w:val="nil"/>
            </w:tcBorders>
            <w:shd w:val="clear" w:color="auto" w:fill="auto"/>
            <w:noWrap/>
            <w:vAlign w:val="center"/>
            <w:hideMark/>
          </w:tcPr>
          <w:p w14:paraId="3F2A0FD0" w14:textId="77777777" w:rsidR="00BD3539" w:rsidRPr="00BD3539" w:rsidRDefault="00BD3539" w:rsidP="00BD3539">
            <w:pPr>
              <w:spacing w:after="0" w:line="240" w:lineRule="auto"/>
              <w:jc w:val="center"/>
              <w:rPr>
                <w:rFonts w:ascii="Times New Roman" w:eastAsia="Times New Roman" w:hAnsi="Times New Roman" w:cs="Times New Roman"/>
                <w:color w:val="000000"/>
                <w:sz w:val="16"/>
                <w:szCs w:val="16"/>
                <w:lang w:eastAsia="sk-SK"/>
              </w:rPr>
            </w:pPr>
            <w:r w:rsidRPr="00BD3539">
              <w:rPr>
                <w:rFonts w:ascii="Times New Roman" w:eastAsia="Times New Roman" w:hAnsi="Times New Roman" w:cs="Times New Roman"/>
                <w:color w:val="000000"/>
                <w:sz w:val="16"/>
                <w:szCs w:val="16"/>
                <w:lang w:eastAsia="sk-SK"/>
              </w:rPr>
              <w:t>-30 050</w:t>
            </w:r>
          </w:p>
        </w:tc>
      </w:tr>
    </w:tbl>
    <w:p w14:paraId="5678758A" w14:textId="77777777" w:rsidR="00BD3539" w:rsidRPr="00BD3539" w:rsidRDefault="00BD3539" w:rsidP="00BD3539">
      <w:pPr>
        <w:spacing w:after="0" w:line="276" w:lineRule="auto"/>
        <w:jc w:val="both"/>
        <w:rPr>
          <w:rFonts w:ascii="Times New Roman" w:eastAsia="Times New Roman" w:hAnsi="Times New Roman" w:cs="Times New Roman"/>
          <w:color w:val="000000"/>
          <w:lang w:eastAsia="sk-SK"/>
        </w:rPr>
      </w:pPr>
    </w:p>
    <w:p w14:paraId="664220CC" w14:textId="77777777" w:rsidR="00BD3539" w:rsidRPr="00BD3539" w:rsidRDefault="00BD3539" w:rsidP="00BD3539">
      <w:pPr>
        <w:spacing w:line="276" w:lineRule="auto"/>
        <w:jc w:val="both"/>
        <w:rPr>
          <w:color w:val="000000" w:themeColor="text1"/>
        </w:rPr>
      </w:pPr>
    </w:p>
    <w:p w14:paraId="1988EB41" w14:textId="4507A56E" w:rsidR="00050E66" w:rsidRDefault="00050E66" w:rsidP="0033660F">
      <w:pPr>
        <w:spacing w:line="276" w:lineRule="auto"/>
        <w:jc w:val="both"/>
        <w:rPr>
          <w:color w:val="000000" w:themeColor="text1"/>
        </w:rPr>
      </w:pPr>
    </w:p>
    <w:p w14:paraId="69F2B4DF" w14:textId="295EB6CA" w:rsidR="00051360" w:rsidRDefault="001E2730" w:rsidP="001E2730">
      <w:pPr>
        <w:pStyle w:val="Nadpis1"/>
        <w:rPr>
          <w:rFonts w:ascii="Times New Roman" w:hAnsi="Times New Roman" w:cs="Times New Roman"/>
          <w:b/>
          <w:color w:val="5B9BD5" w:themeColor="accent1"/>
          <w:sz w:val="28"/>
          <w:szCs w:val="24"/>
        </w:rPr>
      </w:pPr>
      <w:bookmarkStart w:id="162" w:name="_Toc152946772"/>
      <w:r>
        <w:rPr>
          <w:rFonts w:ascii="Times New Roman" w:hAnsi="Times New Roman" w:cs="Times New Roman"/>
          <w:b/>
          <w:color w:val="5B9BD5" w:themeColor="accent1"/>
          <w:sz w:val="28"/>
          <w:szCs w:val="24"/>
        </w:rPr>
        <w:lastRenderedPageBreak/>
        <w:t xml:space="preserve">4. </w:t>
      </w:r>
      <w:r w:rsidR="003F3696">
        <w:rPr>
          <w:rFonts w:ascii="Times New Roman" w:hAnsi="Times New Roman" w:cs="Times New Roman"/>
          <w:b/>
          <w:color w:val="5B9BD5" w:themeColor="accent1"/>
          <w:sz w:val="28"/>
          <w:szCs w:val="24"/>
        </w:rPr>
        <w:t>Rozpočtovanie výdavkov</w:t>
      </w:r>
      <w:r w:rsidR="00C6216E">
        <w:rPr>
          <w:rFonts w:ascii="Times New Roman" w:hAnsi="Times New Roman" w:cs="Times New Roman"/>
          <w:b/>
          <w:color w:val="5B9BD5" w:themeColor="accent1"/>
          <w:sz w:val="28"/>
          <w:szCs w:val="24"/>
        </w:rPr>
        <w:t xml:space="preserve"> </w:t>
      </w:r>
      <w:r w:rsidR="002B547D">
        <w:rPr>
          <w:rFonts w:ascii="Times New Roman" w:hAnsi="Times New Roman" w:cs="Times New Roman"/>
          <w:b/>
          <w:color w:val="5B9BD5" w:themeColor="accent1"/>
          <w:sz w:val="28"/>
          <w:szCs w:val="24"/>
        </w:rPr>
        <w:t>návrhu rozpočtu verejnej správ</w:t>
      </w:r>
      <w:bookmarkEnd w:id="162"/>
      <w:r w:rsidR="00401F07">
        <w:rPr>
          <w:rFonts w:ascii="Times New Roman" w:hAnsi="Times New Roman" w:cs="Times New Roman"/>
          <w:b/>
          <w:color w:val="5B9BD5" w:themeColor="accent1"/>
          <w:sz w:val="28"/>
          <w:szCs w:val="24"/>
        </w:rPr>
        <w:t>y</w:t>
      </w:r>
    </w:p>
    <w:p w14:paraId="1F11D19D" w14:textId="5310D9AB" w:rsidR="00FA4536" w:rsidRDefault="00FA4536" w:rsidP="00B63F1A">
      <w:pPr>
        <w:jc w:val="both"/>
        <w:rPr>
          <w:rFonts w:ascii="Times New Roman" w:hAnsi="Times New Roman" w:cs="Times New Roman"/>
          <w:b/>
          <w:bCs/>
          <w:iCs/>
        </w:rPr>
      </w:pPr>
    </w:p>
    <w:p w14:paraId="0E5BABCC" w14:textId="0F36AD52" w:rsidR="00050E66" w:rsidRPr="00C342FF" w:rsidRDefault="00050E66" w:rsidP="00AF6113">
      <w:pPr>
        <w:pStyle w:val="Odsekzoznamu"/>
        <w:spacing w:line="276" w:lineRule="auto"/>
        <w:ind w:left="0"/>
        <w:jc w:val="both"/>
        <w:rPr>
          <w:rFonts w:ascii="Times New Roman" w:hAnsi="Times New Roman" w:cs="Times New Roman"/>
          <w:bCs/>
          <w:iCs/>
        </w:rPr>
      </w:pPr>
      <w:r w:rsidRPr="00C342FF">
        <w:rPr>
          <w:rFonts w:ascii="Times New Roman" w:hAnsi="Times New Roman" w:cs="Times New Roman"/>
          <w:bCs/>
          <w:iCs/>
        </w:rPr>
        <w:t>Základnou bázou pre návrh rozpočtu verejnej správy na roky 2024 až 2026 bol vládou schválený Program stability Slovenskej republiky, ktorý uvádzal deficit rozpočtu verejnej správy z predbežne stanoveného rozpočtu na úrovni 4,7 % HDP v roku 2024. Od schválenia Programu stability boli však vládou</w:t>
      </w:r>
      <w:r w:rsidR="00AF6113">
        <w:rPr>
          <w:rFonts w:ascii="Times New Roman" w:hAnsi="Times New Roman" w:cs="Times New Roman"/>
          <w:bCs/>
          <w:iCs/>
        </w:rPr>
        <w:t>,</w:t>
      </w:r>
      <w:r w:rsidRPr="00C342FF">
        <w:rPr>
          <w:rFonts w:ascii="Times New Roman" w:hAnsi="Times New Roman" w:cs="Times New Roman"/>
          <w:bCs/>
          <w:iCs/>
        </w:rPr>
        <w:t xml:space="preserve"> či parlamentom schválené legislatívne a nelegislatívne materiály zakladajúce značný vplyv na rozpočet verejnej správy. Z mnohých je možné spomenúť najmä novelu školského zákona, právo na umiestnenie dieťaťa do predškolského zariadenia, obedy zadarmo, zmenu zákona o obchodovaní s emisnými kvótami, novelu zákona o sociálnom poistení, novelu zákona o Rozhlase a televízii Slovenska, Národnú stratégiu výskumu, vývoja a inovácií. Okrem zmeny legislatívy bola báza rozpočtu následne aktualizovaná o júnovú makro</w:t>
      </w:r>
      <w:r w:rsidR="00AF6113">
        <w:rPr>
          <w:rFonts w:ascii="Times New Roman" w:hAnsi="Times New Roman" w:cs="Times New Roman"/>
          <w:bCs/>
          <w:iCs/>
        </w:rPr>
        <w:t>ekonomickú</w:t>
      </w:r>
      <w:r w:rsidRPr="00C342FF">
        <w:rPr>
          <w:rFonts w:ascii="Times New Roman" w:hAnsi="Times New Roman" w:cs="Times New Roman"/>
          <w:bCs/>
          <w:iCs/>
        </w:rPr>
        <w:t xml:space="preserve"> a daňovú prognózu, aktualizáciu EÚ fondov a prostriedkov Plánu obnovy a odolnosti. V nadväznosti na rozpočtové rokovania boli do bázy rozpočtu premietnuté aj úpravy súvisiace najmä so stále prebiehajúcou energetickou krízou, aktualizáciou výdavkov na IT a kapitálových výdavkov</w:t>
      </w:r>
      <w:r w:rsidRPr="00050E66">
        <w:rPr>
          <w:rFonts w:ascii="Times New Roman" w:hAnsi="Times New Roman" w:cs="Times New Roman"/>
          <w:bCs/>
          <w:iCs/>
        </w:rPr>
        <w:t>, ako aj s premietnutím každoročne opakujúcich sa a pokračujúcich rozpočtových opatrení. Takto upravené dáta boli premietnuté  v Návrhu rozpočtového plánu Slovenskej republiky na rok 2024, ktorý schválila predchádzajúca vláda s deficitom na úrovni 6,55 % HDP.</w:t>
      </w:r>
    </w:p>
    <w:p w14:paraId="6DDA7538" w14:textId="77777777" w:rsidR="00050E66" w:rsidRPr="00C342FF" w:rsidRDefault="00050E66" w:rsidP="00AF6113">
      <w:pPr>
        <w:pStyle w:val="Odsekzoznamu"/>
        <w:spacing w:line="276" w:lineRule="auto"/>
        <w:ind w:left="0"/>
        <w:jc w:val="both"/>
        <w:rPr>
          <w:rFonts w:ascii="Times New Roman" w:hAnsi="Times New Roman" w:cs="Times New Roman"/>
          <w:bCs/>
          <w:iCs/>
        </w:rPr>
      </w:pPr>
    </w:p>
    <w:p w14:paraId="70CFD1D2" w14:textId="77777777" w:rsidR="00050E66" w:rsidRPr="00C342FF" w:rsidRDefault="00050E66" w:rsidP="00AF6113">
      <w:pPr>
        <w:spacing w:after="0" w:line="276" w:lineRule="auto"/>
        <w:jc w:val="both"/>
        <w:rPr>
          <w:rFonts w:ascii="Times New Roman" w:eastAsia="Calibri" w:hAnsi="Times New Roman" w:cs="Times New Roman"/>
          <w:sz w:val="24"/>
          <w:szCs w:val="24"/>
        </w:rPr>
      </w:pPr>
      <w:r w:rsidRPr="00C342FF">
        <w:rPr>
          <w:rFonts w:ascii="Times New Roman" w:eastAsia="Calibri" w:hAnsi="Times New Roman" w:cs="Times New Roman"/>
          <w:sz w:val="24"/>
          <w:szCs w:val="24"/>
        </w:rPr>
        <w:t xml:space="preserve">Nová vláda SR, ktorá vzišla zo septembrových volieb pristúpila zodpovedne k pripraveniu nového návrhu rozpočtu verejnej správy na roky 2024 až 2026 so </w:t>
      </w:r>
      <w:r w:rsidRPr="000E5F35">
        <w:rPr>
          <w:rFonts w:ascii="Times New Roman" w:eastAsia="Calibri" w:hAnsi="Times New Roman" w:cs="Times New Roman"/>
          <w:sz w:val="24"/>
          <w:szCs w:val="24"/>
        </w:rPr>
        <w:t>zohľadnením potrebnej</w:t>
      </w:r>
      <w:r w:rsidRPr="00C342FF">
        <w:rPr>
          <w:rFonts w:ascii="Times New Roman" w:eastAsia="Calibri" w:hAnsi="Times New Roman" w:cs="Times New Roman"/>
          <w:sz w:val="24"/>
          <w:szCs w:val="24"/>
        </w:rPr>
        <w:t xml:space="preserve"> konsolidácie verejných financií požadovanej zo strany Európskej komisie, ako aj napĺňania cieľov Programového vyhlásenia vlády SR. Vzhľadom na doterajší vysoký deficit verejných financií a enormné zadlženie Slovenskej republiky vláda SR schválila súbor konsolidačných opatrení, ktoré prispejú k stabilizácii verejných financií a k eliminácii negatívnych vplyvov na vývoj hospodárenia Slovenskej republiky. Vplyvy týchto opatrení sú zahrnuté v predkladanom rozpočte verejnej správy.</w:t>
      </w:r>
    </w:p>
    <w:p w14:paraId="6FB147AB" w14:textId="77777777" w:rsidR="00050E66" w:rsidRPr="00C342FF" w:rsidRDefault="00050E66" w:rsidP="00AF6113">
      <w:pPr>
        <w:spacing w:after="0" w:line="276" w:lineRule="auto"/>
        <w:jc w:val="both"/>
        <w:rPr>
          <w:rFonts w:ascii="Times New Roman" w:eastAsia="Calibri" w:hAnsi="Times New Roman" w:cs="Times New Roman"/>
          <w:sz w:val="24"/>
          <w:szCs w:val="24"/>
        </w:rPr>
      </w:pPr>
    </w:p>
    <w:p w14:paraId="7F1757FD" w14:textId="467C349A" w:rsidR="00050E66" w:rsidRPr="00C342FF" w:rsidRDefault="00050E66" w:rsidP="00AF6113">
      <w:pPr>
        <w:spacing w:after="0" w:line="276" w:lineRule="auto"/>
        <w:jc w:val="both"/>
        <w:rPr>
          <w:rFonts w:ascii="Times New Roman" w:eastAsia="Calibri" w:hAnsi="Times New Roman" w:cs="Times New Roman"/>
          <w:sz w:val="24"/>
          <w:szCs w:val="24"/>
        </w:rPr>
      </w:pPr>
      <w:r w:rsidRPr="00C342FF">
        <w:rPr>
          <w:rFonts w:ascii="Times New Roman" w:eastAsia="Calibri" w:hAnsi="Times New Roman" w:cs="Times New Roman"/>
          <w:sz w:val="24"/>
          <w:szCs w:val="24"/>
        </w:rPr>
        <w:t xml:space="preserve">Príjmové konsolidačné opatrenia sú </w:t>
      </w:r>
      <w:r w:rsidRPr="00FC016A">
        <w:rPr>
          <w:rFonts w:ascii="Times New Roman" w:eastAsia="Calibri" w:hAnsi="Times New Roman" w:cs="Times New Roman"/>
          <w:sz w:val="24"/>
          <w:szCs w:val="24"/>
        </w:rPr>
        <w:t>zahrnuté v </w:t>
      </w:r>
      <w:r w:rsidR="00FC016A" w:rsidRPr="00FC016A">
        <w:rPr>
          <w:rFonts w:ascii="Times New Roman" w:eastAsia="Calibri" w:hAnsi="Times New Roman" w:cs="Times New Roman"/>
          <w:sz w:val="24"/>
          <w:szCs w:val="24"/>
        </w:rPr>
        <w:t>daňovej</w:t>
      </w:r>
      <w:r w:rsidRPr="00FC016A">
        <w:rPr>
          <w:rFonts w:ascii="Times New Roman" w:eastAsia="Calibri" w:hAnsi="Times New Roman" w:cs="Times New Roman"/>
          <w:sz w:val="24"/>
          <w:szCs w:val="24"/>
        </w:rPr>
        <w:t xml:space="preserve"> prognóze</w:t>
      </w:r>
      <w:r w:rsidRPr="00C342FF">
        <w:rPr>
          <w:rFonts w:ascii="Times New Roman" w:eastAsia="Calibri" w:hAnsi="Times New Roman" w:cs="Times New Roman"/>
          <w:sz w:val="24"/>
          <w:szCs w:val="24"/>
        </w:rPr>
        <w:t xml:space="preserve"> decembrového Výboru a sú popísané v predošlých častiach materiálu.</w:t>
      </w:r>
    </w:p>
    <w:p w14:paraId="3D978244" w14:textId="77777777" w:rsidR="00050E66" w:rsidRPr="00C342FF" w:rsidRDefault="00050E66" w:rsidP="00AF6113">
      <w:pPr>
        <w:spacing w:after="0" w:line="276" w:lineRule="auto"/>
        <w:jc w:val="both"/>
        <w:rPr>
          <w:rFonts w:ascii="Times New Roman" w:eastAsia="Calibri" w:hAnsi="Times New Roman" w:cs="Times New Roman"/>
          <w:sz w:val="24"/>
          <w:szCs w:val="24"/>
        </w:rPr>
      </w:pPr>
    </w:p>
    <w:p w14:paraId="786D4031" w14:textId="77777777" w:rsidR="00050E66" w:rsidRPr="00C342FF" w:rsidRDefault="00050E66" w:rsidP="00AF6113">
      <w:pPr>
        <w:spacing w:after="0" w:line="276" w:lineRule="auto"/>
        <w:jc w:val="both"/>
        <w:rPr>
          <w:rFonts w:ascii="Times New Roman" w:eastAsia="Calibri" w:hAnsi="Times New Roman" w:cs="Times New Roman"/>
          <w:sz w:val="24"/>
          <w:szCs w:val="24"/>
        </w:rPr>
      </w:pPr>
      <w:r w:rsidRPr="00C342FF">
        <w:rPr>
          <w:rFonts w:ascii="Times New Roman" w:eastAsia="Calibri" w:hAnsi="Times New Roman" w:cs="Times New Roman"/>
          <w:sz w:val="24"/>
          <w:szCs w:val="24"/>
        </w:rPr>
        <w:t>Konsolidačné opatrenia na výdavkovej strane rozpočtu zahŕňajú najmä:</w:t>
      </w:r>
    </w:p>
    <w:p w14:paraId="1244A1AC" w14:textId="77777777" w:rsidR="00050E66" w:rsidRPr="00C342FF" w:rsidRDefault="00050E66" w:rsidP="00AF6113">
      <w:pPr>
        <w:spacing w:after="0" w:line="276" w:lineRule="auto"/>
        <w:jc w:val="both"/>
        <w:rPr>
          <w:rFonts w:ascii="Times New Roman" w:eastAsia="Calibri" w:hAnsi="Times New Roman" w:cs="Times New Roman"/>
          <w:sz w:val="24"/>
          <w:szCs w:val="24"/>
        </w:rPr>
      </w:pPr>
    </w:p>
    <w:p w14:paraId="6DFAFF59" w14:textId="77777777" w:rsidR="00050E66" w:rsidRPr="00432F42" w:rsidRDefault="00050E66" w:rsidP="00AF6113">
      <w:pPr>
        <w:pStyle w:val="Odsekzoznamu"/>
        <w:numPr>
          <w:ilvl w:val="0"/>
          <w:numId w:val="18"/>
        </w:numPr>
        <w:spacing w:line="276" w:lineRule="auto"/>
        <w:jc w:val="both"/>
        <w:rPr>
          <w:rFonts w:ascii="Times New Roman" w:hAnsi="Times New Roman" w:cs="Times New Roman"/>
        </w:rPr>
      </w:pPr>
      <w:r w:rsidRPr="00C342FF">
        <w:rPr>
          <w:rFonts w:ascii="Times New Roman" w:eastAsia="Calibri" w:hAnsi="Times New Roman" w:cs="Times New Roman"/>
          <w:b/>
        </w:rPr>
        <w:t>Viazanie výdavkov na úrovni 5 %</w:t>
      </w:r>
      <w:r>
        <w:rPr>
          <w:rFonts w:ascii="Times New Roman" w:eastAsia="Calibri" w:hAnsi="Times New Roman" w:cs="Times New Roman"/>
          <w:b/>
        </w:rPr>
        <w:t xml:space="preserve"> viazania osobných výdavkov</w:t>
      </w:r>
    </w:p>
    <w:p w14:paraId="5122FE8E" w14:textId="77777777" w:rsidR="00050E66" w:rsidRDefault="00050E66" w:rsidP="00AF6113">
      <w:pPr>
        <w:pStyle w:val="Odsekzoznamu"/>
        <w:spacing w:line="276" w:lineRule="auto"/>
        <w:jc w:val="both"/>
        <w:rPr>
          <w:rFonts w:ascii="Times New Roman" w:eastAsia="Calibri" w:hAnsi="Times New Roman" w:cs="Times New Roman"/>
          <w:b/>
        </w:rPr>
      </w:pPr>
    </w:p>
    <w:p w14:paraId="468C65ED" w14:textId="77777777" w:rsidR="00050E66" w:rsidRDefault="00050E66" w:rsidP="00AF6113">
      <w:pPr>
        <w:pStyle w:val="Odsekzoznamu"/>
        <w:spacing w:line="276" w:lineRule="auto"/>
        <w:jc w:val="both"/>
        <w:rPr>
          <w:rFonts w:ascii="Times New Roman" w:hAnsi="Times New Roman" w:cs="Times New Roman"/>
        </w:rPr>
      </w:pPr>
      <w:r w:rsidRPr="00C342FF">
        <w:rPr>
          <w:rFonts w:ascii="Times New Roman" w:hAnsi="Times New Roman" w:cs="Times New Roman"/>
        </w:rPr>
        <w:t>V</w:t>
      </w:r>
      <w:r>
        <w:rPr>
          <w:rFonts w:ascii="Times New Roman" w:hAnsi="Times New Roman" w:cs="Times New Roman"/>
        </w:rPr>
        <w:t xml:space="preserve"> návrhu</w:t>
      </w:r>
      <w:r w:rsidRPr="00C342FF">
        <w:rPr>
          <w:rFonts w:ascii="Times New Roman" w:hAnsi="Times New Roman" w:cs="Times New Roman"/>
        </w:rPr>
        <w:t>  rozpočtu</w:t>
      </w:r>
      <w:r>
        <w:rPr>
          <w:rFonts w:ascii="Times New Roman" w:hAnsi="Times New Roman" w:cs="Times New Roman"/>
        </w:rPr>
        <w:t xml:space="preserve"> verejnej správy</w:t>
      </w:r>
      <w:r w:rsidRPr="00C342FF">
        <w:rPr>
          <w:rFonts w:ascii="Times New Roman" w:hAnsi="Times New Roman" w:cs="Times New Roman"/>
        </w:rPr>
        <w:t xml:space="preserve"> na rok 2024 bolo zohľadnené aj viazanie výdavkov rozpočtových a príspevkových organizácií kapitol štátneho rozpočtu realizované v</w:t>
      </w:r>
      <w:r>
        <w:rPr>
          <w:rFonts w:ascii="Times New Roman" w:hAnsi="Times New Roman" w:cs="Times New Roman"/>
        </w:rPr>
        <w:t> </w:t>
      </w:r>
      <w:r w:rsidRPr="00C342FF">
        <w:rPr>
          <w:rFonts w:ascii="Times New Roman" w:hAnsi="Times New Roman" w:cs="Times New Roman"/>
        </w:rPr>
        <w:t>rámci konsolidačných opatrení v rozsahu 5 % viazania osobných výdavkov štátnych zamestnancov v štátnozamestnaneckom pomere a</w:t>
      </w:r>
      <w:r>
        <w:rPr>
          <w:rFonts w:ascii="Times New Roman" w:hAnsi="Times New Roman" w:cs="Times New Roman"/>
        </w:rPr>
        <w:t> </w:t>
      </w:r>
      <w:r w:rsidRPr="00C342FF">
        <w:rPr>
          <w:rFonts w:ascii="Times New Roman" w:hAnsi="Times New Roman" w:cs="Times New Roman"/>
        </w:rPr>
        <w:t>zamestnancov pri výkone práce vo</w:t>
      </w:r>
      <w:r>
        <w:rPr>
          <w:rFonts w:ascii="Times New Roman" w:hAnsi="Times New Roman" w:cs="Times New Roman"/>
        </w:rPr>
        <w:t> </w:t>
      </w:r>
      <w:r w:rsidRPr="00C342FF">
        <w:rPr>
          <w:rFonts w:ascii="Times New Roman" w:hAnsi="Times New Roman" w:cs="Times New Roman"/>
        </w:rPr>
        <w:t>verejnom záujme s výnimkou výdavkov rozpočtovaných najmä pre zamestnancov regionálneho školstva, zamestnancov verejných vysokých škôl, pedagogických a odborných zamestnancov, zdravotníckych zamestnancov, zamestnancov centier pre deti a rodiny, špecializovaných ústavov a</w:t>
      </w:r>
      <w:r>
        <w:rPr>
          <w:rFonts w:ascii="Times New Roman" w:hAnsi="Times New Roman" w:cs="Times New Roman"/>
        </w:rPr>
        <w:t> </w:t>
      </w:r>
      <w:r w:rsidRPr="00C342FF">
        <w:rPr>
          <w:rFonts w:ascii="Times New Roman" w:hAnsi="Times New Roman" w:cs="Times New Roman"/>
        </w:rPr>
        <w:t xml:space="preserve">profesionálnych rodičov, administratívne </w:t>
      </w:r>
      <w:r w:rsidRPr="00C342FF">
        <w:rPr>
          <w:rFonts w:ascii="Times New Roman" w:hAnsi="Times New Roman" w:cs="Times New Roman"/>
        </w:rPr>
        <w:lastRenderedPageBreak/>
        <w:t xml:space="preserve">kapacity, zamestnancov v cudzine, zamestnancov POO financovaných zo zdroja 111, ako aj zamestnancov preneseného výkonu štátnej správy na obciach a VÚC. </w:t>
      </w:r>
      <w:r>
        <w:rPr>
          <w:rFonts w:ascii="Times New Roman" w:hAnsi="Times New Roman" w:cs="Times New Roman"/>
        </w:rPr>
        <w:t xml:space="preserve"> Do základne na výpočet viazania neboli zahrnuté osobné výdavky </w:t>
      </w:r>
      <w:r w:rsidRPr="00C342FF">
        <w:rPr>
          <w:rFonts w:ascii="Times New Roman" w:hAnsi="Times New Roman" w:cs="Times New Roman"/>
        </w:rPr>
        <w:t>štátnych zamestnancov</w:t>
      </w:r>
      <w:r>
        <w:rPr>
          <w:rFonts w:ascii="Times New Roman" w:hAnsi="Times New Roman" w:cs="Times New Roman"/>
        </w:rPr>
        <w:t xml:space="preserve"> </w:t>
      </w:r>
      <w:r w:rsidRPr="00C342FF">
        <w:rPr>
          <w:rFonts w:ascii="Times New Roman" w:hAnsi="Times New Roman" w:cs="Times New Roman"/>
        </w:rPr>
        <w:t>v</w:t>
      </w:r>
      <w:r>
        <w:rPr>
          <w:rFonts w:ascii="Times New Roman" w:hAnsi="Times New Roman" w:cs="Times New Roman"/>
        </w:rPr>
        <w:t> </w:t>
      </w:r>
      <w:r w:rsidRPr="00C342FF">
        <w:rPr>
          <w:rFonts w:ascii="Times New Roman" w:hAnsi="Times New Roman" w:cs="Times New Roman"/>
        </w:rPr>
        <w:t>služobnom pomere, ústavných činiteľov, sudcov a prokurátorov, ako aj vyšších súdnych úradníkov a právnych čakateľov prokuratúry</w:t>
      </w:r>
      <w:r>
        <w:rPr>
          <w:rFonts w:ascii="Times New Roman" w:hAnsi="Times New Roman" w:cs="Times New Roman"/>
        </w:rPr>
        <w:t xml:space="preserve">. Kapitolám štátneho rozpočtu bolo umožnené realizovať viazanie v rámci bežných výdavkov </w:t>
      </w:r>
      <w:r w:rsidRPr="004F2C73">
        <w:rPr>
          <w:rFonts w:ascii="Times New Roman" w:hAnsi="Times New Roman" w:cs="Times New Roman"/>
        </w:rPr>
        <w:t>štátnych rozpočtových organizácií, štátnych príspevkových organizácií a verejných výskumných inštitúcií.</w:t>
      </w:r>
      <w:r w:rsidRPr="00C342FF">
        <w:rPr>
          <w:rFonts w:ascii="Times New Roman" w:hAnsi="Times New Roman" w:cs="Times New Roman"/>
        </w:rPr>
        <w:t xml:space="preserve"> </w:t>
      </w:r>
      <w:r>
        <w:rPr>
          <w:rFonts w:ascii="Times New Roman" w:hAnsi="Times New Roman" w:cs="Times New Roman"/>
        </w:rPr>
        <w:t>Suma viazania výdavkov predstavuje úroveň 70 mil. eur.</w:t>
      </w:r>
    </w:p>
    <w:p w14:paraId="132F14DC" w14:textId="77777777" w:rsidR="00050E66" w:rsidRPr="00C342FF" w:rsidRDefault="00050E66" w:rsidP="00AF6113">
      <w:pPr>
        <w:pStyle w:val="Odsekzoznamu"/>
        <w:spacing w:line="276" w:lineRule="auto"/>
        <w:jc w:val="both"/>
        <w:rPr>
          <w:rFonts w:ascii="Times New Roman" w:hAnsi="Times New Roman" w:cs="Times New Roman"/>
        </w:rPr>
      </w:pPr>
    </w:p>
    <w:p w14:paraId="103FF4A5" w14:textId="3E319731" w:rsidR="00050E66" w:rsidRPr="00C342FF" w:rsidRDefault="00FC016A" w:rsidP="00AF6113">
      <w:pPr>
        <w:pStyle w:val="Odsekzoznamu"/>
        <w:numPr>
          <w:ilvl w:val="0"/>
          <w:numId w:val="19"/>
        </w:numPr>
        <w:spacing w:line="276" w:lineRule="auto"/>
        <w:jc w:val="both"/>
        <w:rPr>
          <w:rFonts w:ascii="Times New Roman" w:eastAsia="Calibri" w:hAnsi="Times New Roman" w:cs="Times New Roman"/>
          <w:b/>
        </w:rPr>
      </w:pPr>
      <w:r>
        <w:rPr>
          <w:rFonts w:ascii="Times New Roman" w:eastAsia="Calibri" w:hAnsi="Times New Roman" w:cs="Times New Roman"/>
          <w:b/>
        </w:rPr>
        <w:t>Nulovú valorizáciu</w:t>
      </w:r>
      <w:r w:rsidR="00050E66" w:rsidRPr="00C342FF">
        <w:rPr>
          <w:rFonts w:ascii="Times New Roman" w:eastAsia="Calibri" w:hAnsi="Times New Roman" w:cs="Times New Roman"/>
          <w:b/>
        </w:rPr>
        <w:t xml:space="preserve"> platov v roku 2024</w:t>
      </w:r>
    </w:p>
    <w:p w14:paraId="009924AE" w14:textId="77777777" w:rsidR="00050E66" w:rsidRPr="00C342FF" w:rsidRDefault="00050E66" w:rsidP="00AF6113">
      <w:pPr>
        <w:spacing w:after="0" w:line="276" w:lineRule="auto"/>
        <w:jc w:val="both"/>
        <w:rPr>
          <w:rFonts w:ascii="Times New Roman" w:eastAsia="Calibri" w:hAnsi="Times New Roman" w:cs="Times New Roman"/>
          <w:sz w:val="24"/>
          <w:szCs w:val="24"/>
        </w:rPr>
      </w:pPr>
    </w:p>
    <w:p w14:paraId="0E20C64F" w14:textId="77777777" w:rsidR="00050E66" w:rsidRPr="00C342FF" w:rsidRDefault="00050E66" w:rsidP="00AF6113">
      <w:pPr>
        <w:spacing w:line="276" w:lineRule="auto"/>
        <w:ind w:left="708"/>
        <w:jc w:val="both"/>
        <w:rPr>
          <w:rFonts w:ascii="Times New Roman" w:eastAsia="Calibri" w:hAnsi="Times New Roman" w:cs="Times New Roman"/>
          <w:sz w:val="24"/>
          <w:szCs w:val="24"/>
        </w:rPr>
      </w:pPr>
      <w:r w:rsidRPr="00C342FF">
        <w:rPr>
          <w:rFonts w:ascii="Times New Roman" w:eastAsia="Calibri" w:hAnsi="Times New Roman" w:cs="Times New Roman"/>
          <w:sz w:val="24"/>
          <w:szCs w:val="24"/>
        </w:rPr>
        <w:t xml:space="preserve">Návrh rozpočtu verejnej správy na rok 2024 zohľadňuje premietnutie valorizácií z roku 2023 v súhrnnej sume 996 mil. eur. Z dôvodu rastu minimálnej mzdy v roku 2024 na 750 eur je v rozpočte zapracované aj zvýšenie osobných výdavkov pre zamestnancov odmeňovaných podľa Zákonníka práce v sume 2,65 mil. eur. Vzhľadom na stav verejných financií bolo potrebné prijať rozhodnutia, ktoré povedú k ich konsolidácii. Nakoľko k 1.9.2023 došlo k predsunutej valorizácii platov, vláda SR prijala rozhodnutie už nevalorizovať platy v roku 2024.  </w:t>
      </w:r>
    </w:p>
    <w:p w14:paraId="339AAA8E" w14:textId="3A42B9FB" w:rsidR="00050E66" w:rsidRPr="00C342FF" w:rsidRDefault="00050E66" w:rsidP="00AF6113">
      <w:pPr>
        <w:spacing w:after="0" w:line="276" w:lineRule="auto"/>
        <w:jc w:val="both"/>
        <w:rPr>
          <w:rFonts w:ascii="Times New Roman" w:eastAsia="Calibri" w:hAnsi="Times New Roman" w:cs="Times New Roman"/>
          <w:sz w:val="24"/>
          <w:szCs w:val="24"/>
        </w:rPr>
      </w:pPr>
    </w:p>
    <w:p w14:paraId="4F8DCC7F" w14:textId="77777777" w:rsidR="00050E66" w:rsidRPr="00C342FF" w:rsidRDefault="00050E66" w:rsidP="00AF6113">
      <w:pPr>
        <w:pStyle w:val="Odsekzoznamu"/>
        <w:numPr>
          <w:ilvl w:val="0"/>
          <w:numId w:val="18"/>
        </w:numPr>
        <w:spacing w:line="276" w:lineRule="auto"/>
        <w:jc w:val="both"/>
        <w:rPr>
          <w:rFonts w:ascii="Times New Roman" w:eastAsia="Calibri" w:hAnsi="Times New Roman" w:cs="Times New Roman"/>
          <w:b/>
          <w:bCs/>
        </w:rPr>
      </w:pPr>
      <w:r w:rsidRPr="00C342FF">
        <w:rPr>
          <w:rFonts w:ascii="Times New Roman" w:eastAsia="Calibri" w:hAnsi="Times New Roman" w:cs="Times New Roman"/>
          <w:b/>
          <w:bCs/>
        </w:rPr>
        <w:t xml:space="preserve">RTVS - zníženie percentuálneho podielu </w:t>
      </w:r>
      <w:proofErr w:type="spellStart"/>
      <w:r w:rsidRPr="00C342FF">
        <w:rPr>
          <w:rFonts w:ascii="Times New Roman" w:eastAsia="Calibri" w:hAnsi="Times New Roman" w:cs="Times New Roman"/>
          <w:b/>
          <w:bCs/>
        </w:rPr>
        <w:t>nárokovateľného</w:t>
      </w:r>
      <w:proofErr w:type="spellEnd"/>
      <w:r w:rsidRPr="00C342FF">
        <w:rPr>
          <w:rFonts w:ascii="Times New Roman" w:eastAsia="Calibri" w:hAnsi="Times New Roman" w:cs="Times New Roman"/>
          <w:b/>
          <w:bCs/>
        </w:rPr>
        <w:t xml:space="preserve"> príspevku na HDP</w:t>
      </w:r>
    </w:p>
    <w:p w14:paraId="0DEB05D9" w14:textId="77777777" w:rsidR="00050E66" w:rsidRPr="00C342FF" w:rsidRDefault="00050E66" w:rsidP="00AF6113">
      <w:pPr>
        <w:spacing w:after="0" w:line="276" w:lineRule="auto"/>
        <w:jc w:val="both"/>
        <w:rPr>
          <w:rFonts w:ascii="Times New Roman" w:eastAsia="Calibri" w:hAnsi="Times New Roman" w:cs="Times New Roman"/>
          <w:sz w:val="24"/>
          <w:szCs w:val="24"/>
        </w:rPr>
      </w:pPr>
    </w:p>
    <w:p w14:paraId="0C4C03EB" w14:textId="77777777" w:rsidR="00050E66" w:rsidRPr="00C342FF" w:rsidRDefault="00050E66" w:rsidP="00AF6113">
      <w:pPr>
        <w:spacing w:after="0" w:line="276" w:lineRule="auto"/>
        <w:ind w:left="708"/>
        <w:jc w:val="both"/>
        <w:rPr>
          <w:rFonts w:ascii="Times New Roman" w:eastAsia="Calibri" w:hAnsi="Times New Roman" w:cs="Times New Roman"/>
          <w:sz w:val="24"/>
          <w:szCs w:val="24"/>
          <w:lang w:eastAsia="cs-CZ"/>
        </w:rPr>
      </w:pPr>
      <w:r w:rsidRPr="00C342FF">
        <w:rPr>
          <w:rFonts w:ascii="Times New Roman" w:eastAsia="Calibri" w:hAnsi="Times New Roman" w:cs="Times New Roman"/>
          <w:sz w:val="24"/>
          <w:szCs w:val="24"/>
          <w:lang w:eastAsia="cs-CZ"/>
        </w:rPr>
        <w:t xml:space="preserve">Novelou zákona č. 532/2010 Z. z. o Rozhlase a televízii Slovenska bol v roku 2023 do právneho poriadku zavedený </w:t>
      </w:r>
      <w:proofErr w:type="spellStart"/>
      <w:r w:rsidRPr="00C342FF">
        <w:rPr>
          <w:rFonts w:ascii="Times New Roman" w:eastAsia="Calibri" w:hAnsi="Times New Roman" w:cs="Times New Roman"/>
          <w:sz w:val="24"/>
          <w:szCs w:val="24"/>
          <w:lang w:eastAsia="cs-CZ"/>
        </w:rPr>
        <w:t>nárokovateľný</w:t>
      </w:r>
      <w:proofErr w:type="spellEnd"/>
      <w:r w:rsidRPr="00C342FF">
        <w:rPr>
          <w:rFonts w:ascii="Times New Roman" w:eastAsia="Calibri" w:hAnsi="Times New Roman" w:cs="Times New Roman"/>
          <w:sz w:val="24"/>
          <w:szCs w:val="24"/>
          <w:lang w:eastAsia="cs-CZ"/>
        </w:rPr>
        <w:t xml:space="preserve"> príspevok vyjadrený ako percentuálny podiel príspevku na HDP. Výška </w:t>
      </w:r>
      <w:proofErr w:type="spellStart"/>
      <w:r w:rsidRPr="00C342FF">
        <w:rPr>
          <w:rFonts w:ascii="Times New Roman" w:eastAsia="Calibri" w:hAnsi="Times New Roman" w:cs="Times New Roman"/>
          <w:sz w:val="24"/>
          <w:szCs w:val="24"/>
          <w:lang w:eastAsia="cs-CZ"/>
        </w:rPr>
        <w:t>nárokovateľného</w:t>
      </w:r>
      <w:proofErr w:type="spellEnd"/>
      <w:r w:rsidRPr="00C342FF">
        <w:rPr>
          <w:rFonts w:ascii="Times New Roman" w:eastAsia="Calibri" w:hAnsi="Times New Roman" w:cs="Times New Roman"/>
          <w:sz w:val="24"/>
          <w:szCs w:val="24"/>
          <w:lang w:eastAsia="cs-CZ"/>
        </w:rPr>
        <w:t xml:space="preserve"> príspevku sa stanovila v sume rovnajúcej sa 0,17 % HDP spred dvoch rokov vyjadreného v bežných cenách. V rámci konsolidačných opatrení vláda SR pristúpila od roku 2024 k zníženiu percentuálneho podielu z 0,17 % na 0,12 % HDP. Cieľom legislatívneho návrhu opatrenia je zmiernenie tempa rastu </w:t>
      </w:r>
      <w:proofErr w:type="spellStart"/>
      <w:r w:rsidRPr="00C342FF">
        <w:rPr>
          <w:rFonts w:ascii="Times New Roman" w:eastAsia="Calibri" w:hAnsi="Times New Roman" w:cs="Times New Roman"/>
          <w:sz w:val="24"/>
          <w:szCs w:val="24"/>
          <w:lang w:eastAsia="cs-CZ"/>
        </w:rPr>
        <w:t>nárokovateľného</w:t>
      </w:r>
      <w:proofErr w:type="spellEnd"/>
      <w:r w:rsidRPr="00C342FF">
        <w:rPr>
          <w:rFonts w:ascii="Times New Roman" w:eastAsia="Calibri" w:hAnsi="Times New Roman" w:cs="Times New Roman"/>
          <w:sz w:val="24"/>
          <w:szCs w:val="24"/>
          <w:lang w:eastAsia="cs-CZ"/>
        </w:rPr>
        <w:t xml:space="preserve"> príspevku, ktoré má prispieť k stabilizácii verejných financií. Predpokladom pri nastavení vhodného pomeru príspevku k HDP bola skutočnosť, že je potrebné zachovať aspoň štandardnú úroveň príjmov RTVS, t. j. približne vo výške príjmov z predchádzajúcich rokov zo zmluvy so štátom a z výberu úhrad za služby verejnosti (tzv. koncesionárske poplatky). Zároveň sa pre RTVS garantuje každoročný nárast zdrojov v súlade s makroekonomickým vývojom ekonomiky SR. Celková úspora výdavkov ministerstva kultúry na transfer finančných prostriedkov pre RTVS prepočítaná na aktuálne prognózované údaje o HDP predstavuje v roku 2024 sumu 54,8 mil. eur, v roku 2025 sumu 61,0 mil. eur a v roku 2026 sumu 65,7 mil. eur.</w:t>
      </w:r>
    </w:p>
    <w:p w14:paraId="5B3EF6AE" w14:textId="77777777" w:rsidR="00050E66" w:rsidRPr="00C342FF" w:rsidRDefault="00050E66" w:rsidP="00AF6113">
      <w:pPr>
        <w:spacing w:after="0" w:line="276" w:lineRule="auto"/>
        <w:jc w:val="both"/>
        <w:rPr>
          <w:rFonts w:ascii="Times New Roman" w:eastAsia="Calibri" w:hAnsi="Times New Roman" w:cs="Times New Roman"/>
          <w:sz w:val="24"/>
          <w:szCs w:val="24"/>
          <w:lang w:eastAsia="cs-CZ"/>
        </w:rPr>
      </w:pPr>
    </w:p>
    <w:p w14:paraId="198A66C7" w14:textId="77777777" w:rsidR="00050E66" w:rsidRPr="00C342FF" w:rsidRDefault="00050E66" w:rsidP="00AF6113">
      <w:pPr>
        <w:pStyle w:val="Odsekzoznamu"/>
        <w:numPr>
          <w:ilvl w:val="0"/>
          <w:numId w:val="18"/>
        </w:numPr>
        <w:spacing w:line="276" w:lineRule="auto"/>
        <w:jc w:val="both"/>
        <w:rPr>
          <w:rFonts w:ascii="Times New Roman" w:eastAsia="Calibri" w:hAnsi="Times New Roman" w:cs="Times New Roman"/>
          <w:b/>
        </w:rPr>
      </w:pPr>
      <w:r w:rsidRPr="00C342FF">
        <w:rPr>
          <w:rFonts w:ascii="Times New Roman" w:eastAsia="Calibri" w:hAnsi="Times New Roman" w:cs="Times New Roman"/>
          <w:b/>
        </w:rPr>
        <w:t>Zrušenie podpory zníženia koncovej ceny elektriny pre podniky</w:t>
      </w:r>
    </w:p>
    <w:p w14:paraId="6D95938B" w14:textId="77777777" w:rsidR="00050E66" w:rsidRPr="00C342FF" w:rsidRDefault="00050E66" w:rsidP="00AF6113">
      <w:pPr>
        <w:pStyle w:val="Odsekzoznamu"/>
        <w:spacing w:line="276" w:lineRule="auto"/>
        <w:jc w:val="both"/>
        <w:rPr>
          <w:rFonts w:ascii="Times New Roman" w:eastAsia="Calibri" w:hAnsi="Times New Roman" w:cs="Times New Roman"/>
          <w:b/>
        </w:rPr>
      </w:pPr>
    </w:p>
    <w:p w14:paraId="1E4A1EA1" w14:textId="77777777" w:rsidR="00050E66" w:rsidRPr="00C342FF" w:rsidRDefault="00050E66" w:rsidP="00AF6113">
      <w:pPr>
        <w:autoSpaceDE w:val="0"/>
        <w:autoSpaceDN w:val="0"/>
        <w:spacing w:after="0" w:line="276" w:lineRule="auto"/>
        <w:ind w:left="708"/>
        <w:jc w:val="both"/>
        <w:rPr>
          <w:rFonts w:ascii="Times New Roman" w:eastAsia="Calibri" w:hAnsi="Times New Roman" w:cs="Times New Roman"/>
          <w:sz w:val="24"/>
          <w:szCs w:val="24"/>
          <w:lang w:eastAsia="cs-CZ"/>
        </w:rPr>
      </w:pPr>
      <w:r w:rsidRPr="00C342FF">
        <w:rPr>
          <w:rFonts w:ascii="Times New Roman" w:eastAsia="Calibri" w:hAnsi="Times New Roman" w:cs="Times New Roman"/>
          <w:sz w:val="24"/>
          <w:szCs w:val="24"/>
          <w:lang w:eastAsia="cs-CZ"/>
        </w:rPr>
        <w:t xml:space="preserve">Štát od roku 2019 každoročne kompenzuje podnikom tarifu za prevádzkovanie systému (TPS, časť konečnej ceny elektriny) sumou 40,0 mil. eur, pričom kompenzácia sa vždy vzťahuje na predchádzajúci kalendárny rok. Doterajšia kompenzácia reagovala na </w:t>
      </w:r>
      <w:r w:rsidRPr="00C342FF">
        <w:rPr>
          <w:rFonts w:ascii="Times New Roman" w:eastAsia="Calibri" w:hAnsi="Times New Roman" w:cs="Times New Roman"/>
          <w:sz w:val="24"/>
          <w:szCs w:val="24"/>
          <w:lang w:eastAsia="cs-CZ"/>
        </w:rPr>
        <w:lastRenderedPageBreak/>
        <w:t xml:space="preserve">vysoké ceny TPS (tarifa za prevádzkovanie systému) pred rokom 2021. Úrovne TPS pre firmy odvtedy významne klesli kvôli zavedeniu </w:t>
      </w:r>
      <w:proofErr w:type="spellStart"/>
      <w:r w:rsidRPr="00C342FF">
        <w:rPr>
          <w:rFonts w:ascii="Times New Roman" w:eastAsia="Calibri" w:hAnsi="Times New Roman" w:cs="Times New Roman"/>
          <w:sz w:val="24"/>
          <w:szCs w:val="24"/>
          <w:lang w:eastAsia="cs-CZ"/>
        </w:rPr>
        <w:t>multipásmovej</w:t>
      </w:r>
      <w:proofErr w:type="spellEnd"/>
      <w:r w:rsidRPr="00C342FF">
        <w:rPr>
          <w:rFonts w:ascii="Times New Roman" w:eastAsia="Calibri" w:hAnsi="Times New Roman" w:cs="Times New Roman"/>
          <w:sz w:val="24"/>
          <w:szCs w:val="24"/>
          <w:lang w:eastAsia="cs-CZ"/>
        </w:rPr>
        <w:t xml:space="preserve"> tarify, ďalšie kompenzovanie vo forme poskytovania dotácií tak nie je potrebné. V roku 2023 sa vyčerpá odhadom iba 5,00 mil. eur, z rozpočtovanej sumy 40,0 mil. eur, kvôli novým podmienkam výzvy (kompenzácia bude vyplatená za TPS vyplývajúcu z podpory OZE). </w:t>
      </w:r>
    </w:p>
    <w:p w14:paraId="5307F5B6" w14:textId="7C389E4A" w:rsidR="00050E66" w:rsidRPr="00C342FF" w:rsidRDefault="00050E66" w:rsidP="00AF6113">
      <w:pPr>
        <w:spacing w:after="0" w:line="276" w:lineRule="auto"/>
        <w:rPr>
          <w:rFonts w:ascii="Times New Roman" w:eastAsia="Calibri" w:hAnsi="Times New Roman" w:cs="Times New Roman"/>
          <w:sz w:val="24"/>
          <w:szCs w:val="24"/>
          <w:lang w:eastAsia="cs-CZ"/>
        </w:rPr>
      </w:pPr>
    </w:p>
    <w:p w14:paraId="736A1950" w14:textId="77777777" w:rsidR="00050E66" w:rsidRPr="00C342FF" w:rsidRDefault="00050E66" w:rsidP="00AF6113">
      <w:pPr>
        <w:spacing w:after="0" w:line="276" w:lineRule="auto"/>
        <w:jc w:val="both"/>
        <w:rPr>
          <w:rFonts w:ascii="Times New Roman" w:eastAsia="Calibri" w:hAnsi="Times New Roman" w:cs="Times New Roman"/>
          <w:b/>
          <w:sz w:val="24"/>
          <w:szCs w:val="24"/>
          <w:lang w:eastAsia="cs-CZ"/>
        </w:rPr>
      </w:pPr>
      <w:r w:rsidRPr="00C342FF">
        <w:rPr>
          <w:rFonts w:ascii="Times New Roman" w:eastAsia="Calibri" w:hAnsi="Times New Roman" w:cs="Times New Roman"/>
          <w:b/>
          <w:sz w:val="24"/>
          <w:szCs w:val="24"/>
          <w:lang w:eastAsia="cs-CZ"/>
        </w:rPr>
        <w:t xml:space="preserve">Deficit návrhu rozpočtu verejnej správy v roku 2024 po zahrnutí </w:t>
      </w:r>
      <w:r>
        <w:rPr>
          <w:rFonts w:ascii="Times New Roman" w:eastAsia="Calibri" w:hAnsi="Times New Roman" w:cs="Times New Roman"/>
          <w:b/>
          <w:sz w:val="24"/>
          <w:szCs w:val="24"/>
          <w:lang w:eastAsia="cs-CZ"/>
        </w:rPr>
        <w:t xml:space="preserve">konsolidačných opatrení </w:t>
      </w:r>
      <w:r w:rsidRPr="00C342FF">
        <w:rPr>
          <w:rFonts w:ascii="Times New Roman" w:eastAsia="Calibri" w:hAnsi="Times New Roman" w:cs="Times New Roman"/>
          <w:b/>
          <w:sz w:val="24"/>
          <w:szCs w:val="24"/>
          <w:lang w:eastAsia="cs-CZ"/>
        </w:rPr>
        <w:t xml:space="preserve"> predstavuje 5,97 % HDP.</w:t>
      </w:r>
    </w:p>
    <w:p w14:paraId="4859F5DE" w14:textId="77777777" w:rsidR="00050E66" w:rsidRPr="00C342FF" w:rsidRDefault="00050E66" w:rsidP="00AF6113">
      <w:pPr>
        <w:spacing w:after="0" w:line="276" w:lineRule="auto"/>
        <w:jc w:val="both"/>
        <w:rPr>
          <w:rFonts w:ascii="Times New Roman" w:eastAsia="Calibri" w:hAnsi="Times New Roman" w:cs="Times New Roman"/>
          <w:iCs/>
          <w:sz w:val="24"/>
          <w:szCs w:val="24"/>
          <w:lang w:eastAsia="cs-CZ"/>
        </w:rPr>
      </w:pPr>
    </w:p>
    <w:p w14:paraId="75C866F5" w14:textId="05F9AE6A" w:rsidR="00F0234E" w:rsidRPr="00F0234E" w:rsidRDefault="00F0234E" w:rsidP="00F0234E">
      <w:pPr>
        <w:spacing w:after="0" w:line="276" w:lineRule="auto"/>
        <w:jc w:val="both"/>
        <w:rPr>
          <w:rFonts w:ascii="Times New Roman" w:eastAsia="Calibri" w:hAnsi="Times New Roman" w:cs="Times New Roman"/>
          <w:sz w:val="24"/>
          <w:szCs w:val="24"/>
          <w:lang w:eastAsia="cs-CZ"/>
        </w:rPr>
      </w:pPr>
      <w:r w:rsidRPr="00F0234E">
        <w:rPr>
          <w:rFonts w:ascii="Times New Roman" w:eastAsia="Calibri" w:hAnsi="Times New Roman" w:cs="Times New Roman"/>
          <w:sz w:val="24"/>
          <w:szCs w:val="24"/>
          <w:lang w:eastAsia="cs-CZ"/>
        </w:rPr>
        <w:t>Návrh rozpočtu od roku 2024 zároveň alokuje všetky investičné zdroje priamo do príslušných kapitol štátneho rozpočtu a z uvedeného dôvodu sa po troch rokoch od zavedenia nulového štartovacieho rozpočtu kapitol</w:t>
      </w:r>
      <w:r w:rsidR="00E2500B">
        <w:rPr>
          <w:rFonts w:ascii="Times New Roman" w:eastAsia="Calibri" w:hAnsi="Times New Roman" w:cs="Times New Roman"/>
          <w:sz w:val="24"/>
          <w:szCs w:val="24"/>
          <w:lang w:eastAsia="cs-CZ"/>
        </w:rPr>
        <w:t xml:space="preserve"> (tzv. </w:t>
      </w:r>
      <w:proofErr w:type="spellStart"/>
      <w:r w:rsidR="00E2500B">
        <w:rPr>
          <w:rFonts w:ascii="Times New Roman" w:eastAsia="Calibri" w:hAnsi="Times New Roman" w:cs="Times New Roman"/>
          <w:sz w:val="24"/>
          <w:szCs w:val="24"/>
          <w:lang w:eastAsia="cs-CZ"/>
        </w:rPr>
        <w:t>zero-based</w:t>
      </w:r>
      <w:proofErr w:type="spellEnd"/>
      <w:r w:rsidR="00E2500B">
        <w:rPr>
          <w:rFonts w:ascii="Times New Roman" w:eastAsia="Calibri" w:hAnsi="Times New Roman" w:cs="Times New Roman"/>
          <w:sz w:val="24"/>
          <w:szCs w:val="24"/>
          <w:lang w:eastAsia="cs-CZ"/>
        </w:rPr>
        <w:t xml:space="preserve"> </w:t>
      </w:r>
      <w:proofErr w:type="spellStart"/>
      <w:r w:rsidR="00E2500B">
        <w:rPr>
          <w:rFonts w:ascii="Times New Roman" w:eastAsia="Calibri" w:hAnsi="Times New Roman" w:cs="Times New Roman"/>
          <w:sz w:val="24"/>
          <w:szCs w:val="24"/>
          <w:lang w:eastAsia="cs-CZ"/>
        </w:rPr>
        <w:t>budgeting</w:t>
      </w:r>
      <w:proofErr w:type="spellEnd"/>
      <w:r w:rsidR="00E2500B">
        <w:rPr>
          <w:rFonts w:ascii="Times New Roman" w:eastAsia="Calibri" w:hAnsi="Times New Roman" w:cs="Times New Roman"/>
          <w:sz w:val="24"/>
          <w:szCs w:val="24"/>
          <w:lang w:eastAsia="cs-CZ"/>
        </w:rPr>
        <w:t xml:space="preserve">) </w:t>
      </w:r>
      <w:r w:rsidRPr="00F0234E">
        <w:rPr>
          <w:rFonts w:ascii="Times New Roman" w:eastAsia="Calibri" w:hAnsi="Times New Roman" w:cs="Times New Roman"/>
          <w:sz w:val="24"/>
          <w:szCs w:val="24"/>
          <w:lang w:eastAsia="cs-CZ"/>
        </w:rPr>
        <w:t xml:space="preserve">v kapitole Všeobecná pokladničná správa </w:t>
      </w:r>
      <w:r w:rsidR="00E2500B" w:rsidRPr="00F0234E">
        <w:rPr>
          <w:rFonts w:ascii="Times New Roman" w:eastAsia="Calibri" w:hAnsi="Times New Roman" w:cs="Times New Roman"/>
          <w:sz w:val="24"/>
          <w:szCs w:val="24"/>
          <w:lang w:eastAsia="cs-CZ"/>
        </w:rPr>
        <w:t xml:space="preserve">už </w:t>
      </w:r>
      <w:r w:rsidRPr="00F0234E">
        <w:rPr>
          <w:rFonts w:ascii="Times New Roman" w:eastAsia="Calibri" w:hAnsi="Times New Roman" w:cs="Times New Roman"/>
          <w:sz w:val="24"/>
          <w:szCs w:val="24"/>
          <w:lang w:eastAsia="cs-CZ"/>
        </w:rPr>
        <w:t xml:space="preserve">nerozpočtujú kapitálové výdavky zo zdrojov štátneho rozpočtu nealokované na konkrétne investičné projekty. Vychádza sa z aplikačnej praxe a predovšetkým zo skutočnosti, že rozpočtované kapitálové výdavky na rok 2024 zo zdrojov štátneho  rozpočtu vychádzajú zo schválených investičných plánov jednotlivých kapitol. </w:t>
      </w:r>
    </w:p>
    <w:p w14:paraId="568653B4" w14:textId="77777777" w:rsidR="00050E66" w:rsidRPr="00C342FF" w:rsidRDefault="00050E66" w:rsidP="00AF6113">
      <w:pPr>
        <w:spacing w:after="0" w:line="276" w:lineRule="auto"/>
        <w:jc w:val="both"/>
        <w:rPr>
          <w:rFonts w:ascii="Times New Roman" w:eastAsia="Calibri" w:hAnsi="Times New Roman" w:cs="Times New Roman"/>
          <w:sz w:val="24"/>
          <w:szCs w:val="24"/>
          <w:lang w:eastAsia="cs-CZ"/>
        </w:rPr>
      </w:pPr>
    </w:p>
    <w:p w14:paraId="7A45FA14" w14:textId="01189F5D" w:rsidR="00050E66" w:rsidRPr="00D47323" w:rsidRDefault="00050E66" w:rsidP="00AF6113">
      <w:pPr>
        <w:spacing w:after="0" w:line="276" w:lineRule="auto"/>
        <w:jc w:val="both"/>
        <w:rPr>
          <w:rFonts w:ascii="Times New Roman" w:eastAsia="Calibri" w:hAnsi="Times New Roman" w:cs="Times New Roman"/>
          <w:sz w:val="24"/>
          <w:szCs w:val="24"/>
        </w:rPr>
      </w:pPr>
      <w:r w:rsidRPr="00D47323">
        <w:rPr>
          <w:rFonts w:ascii="Times New Roman" w:eastAsia="Calibri" w:hAnsi="Times New Roman" w:cs="Times New Roman"/>
          <w:sz w:val="24"/>
          <w:szCs w:val="24"/>
        </w:rPr>
        <w:t>Vládny návrh rozpočtu uvažuje s inými výdavkami kapitoly N</w:t>
      </w:r>
      <w:r>
        <w:rPr>
          <w:rFonts w:ascii="Times New Roman" w:eastAsia="Calibri" w:hAnsi="Times New Roman" w:cs="Times New Roman"/>
          <w:sz w:val="24"/>
          <w:szCs w:val="24"/>
        </w:rPr>
        <w:t>ajvyšší kontrolný úrad</w:t>
      </w:r>
      <w:r w:rsidR="009D7DD4">
        <w:rPr>
          <w:rFonts w:ascii="Times New Roman" w:eastAsia="Calibri" w:hAnsi="Times New Roman" w:cs="Times New Roman"/>
          <w:sz w:val="24"/>
          <w:szCs w:val="24"/>
        </w:rPr>
        <w:t xml:space="preserve"> SR, ako návrh rozpočtu NKÚ SR</w:t>
      </w:r>
      <w:r w:rsidR="00EA6B55">
        <w:rPr>
          <w:rFonts w:ascii="Times New Roman" w:eastAsia="Calibri" w:hAnsi="Times New Roman" w:cs="Times New Roman"/>
          <w:sz w:val="24"/>
          <w:szCs w:val="24"/>
        </w:rPr>
        <w:t xml:space="preserve"> </w:t>
      </w:r>
      <w:r w:rsidR="00EA6B55" w:rsidRPr="00FC016A">
        <w:rPr>
          <w:rFonts w:ascii="Times New Roman" w:eastAsia="Calibri" w:hAnsi="Times New Roman" w:cs="Times New Roman"/>
          <w:sz w:val="24"/>
          <w:szCs w:val="24"/>
        </w:rPr>
        <w:t>predložený do výboru NR SR</w:t>
      </w:r>
      <w:r w:rsidRPr="00FC016A">
        <w:rPr>
          <w:rFonts w:ascii="Times New Roman" w:eastAsia="Calibri" w:hAnsi="Times New Roman" w:cs="Times New Roman"/>
          <w:sz w:val="24"/>
          <w:szCs w:val="24"/>
        </w:rPr>
        <w:t>.</w:t>
      </w:r>
      <w:r w:rsidRPr="00D47323">
        <w:rPr>
          <w:rFonts w:ascii="Times New Roman" w:eastAsia="Calibri" w:hAnsi="Times New Roman" w:cs="Times New Roman"/>
          <w:sz w:val="24"/>
          <w:szCs w:val="24"/>
        </w:rPr>
        <w:t xml:space="preserve"> </w:t>
      </w:r>
      <w:r w:rsidR="00F0234E">
        <w:rPr>
          <w:rFonts w:ascii="Times New Roman" w:eastAsia="Calibri" w:hAnsi="Times New Roman" w:cs="Times New Roman"/>
          <w:sz w:val="24"/>
          <w:szCs w:val="24"/>
        </w:rPr>
        <w:t xml:space="preserve">V </w:t>
      </w:r>
      <w:r w:rsidRPr="00D47323">
        <w:rPr>
          <w:rFonts w:ascii="Times New Roman" w:eastAsia="Calibri" w:hAnsi="Times New Roman" w:cs="Times New Roman"/>
          <w:sz w:val="24"/>
          <w:szCs w:val="24"/>
        </w:rPr>
        <w:t>§ 21a odseku 2 zákona č. 39/1993 Z. z. o Najvyššom kontrolnom úrade Slovenskej republiky je ustanovené, že „</w:t>
      </w:r>
      <w:r w:rsidRPr="00D47323">
        <w:rPr>
          <w:rFonts w:ascii="Times New Roman" w:hAnsi="Times New Roman" w:cs="Times New Roman"/>
          <w:sz w:val="24"/>
          <w:szCs w:val="24"/>
          <w:shd w:val="clear" w:color="auto" w:fill="FFFFFF"/>
        </w:rPr>
        <w:t>Návrh rozpočtu kapitoly Úradu predloží Úrad na schválenie príslušnému výboru Národnej rady Slovenskej republiky. Príslušný výbor Národnej rady Slovenskej republiky predloží schválený náv</w:t>
      </w:r>
      <w:r w:rsidR="00EA6B55">
        <w:rPr>
          <w:rFonts w:ascii="Times New Roman" w:hAnsi="Times New Roman" w:cs="Times New Roman"/>
          <w:sz w:val="24"/>
          <w:szCs w:val="24"/>
          <w:shd w:val="clear" w:color="auto" w:fill="FFFFFF"/>
        </w:rPr>
        <w:t>rh</w:t>
      </w:r>
      <w:r w:rsidR="00FC016A">
        <w:rPr>
          <w:rFonts w:ascii="Times New Roman" w:hAnsi="Times New Roman" w:cs="Times New Roman"/>
          <w:sz w:val="24"/>
          <w:szCs w:val="24"/>
          <w:shd w:val="clear" w:color="auto" w:fill="FFFFFF"/>
        </w:rPr>
        <w:t xml:space="preserve"> rozpočtu kapitoly Úradu vláde</w:t>
      </w:r>
      <w:r w:rsidR="00EA6B55">
        <w:rPr>
          <w:rFonts w:ascii="Times New Roman" w:hAnsi="Times New Roman" w:cs="Times New Roman"/>
          <w:sz w:val="24"/>
          <w:szCs w:val="24"/>
          <w:shd w:val="clear" w:color="auto" w:fill="FFFFFF"/>
        </w:rPr>
        <w:t xml:space="preserve"> SR</w:t>
      </w:r>
      <w:r w:rsidRPr="00D47323">
        <w:rPr>
          <w:rFonts w:ascii="Times New Roman" w:hAnsi="Times New Roman" w:cs="Times New Roman"/>
          <w:sz w:val="24"/>
          <w:szCs w:val="24"/>
          <w:shd w:val="clear" w:color="auto" w:fill="FFFFFF"/>
        </w:rPr>
        <w:t xml:space="preserve"> do 30. júna bežného roka. Vláda rozhodne o návrhu rozpočtu kapitoly Úradu. Ak vláda vykoná v návrhu rozpočtu kapitoly Úradu zmeny, pri predkladaní návrhu zákona o štátnom rozpočte Národnej rade Slovenskej republiky ich odôvodní.</w:t>
      </w:r>
      <w:r w:rsidRPr="00D47323">
        <w:rPr>
          <w:rFonts w:ascii="Times New Roman" w:eastAsia="Calibri" w:hAnsi="Times New Roman" w:cs="Times New Roman"/>
          <w:sz w:val="24"/>
          <w:szCs w:val="24"/>
        </w:rPr>
        <w:t>“.</w:t>
      </w:r>
    </w:p>
    <w:p w14:paraId="6997BB5D" w14:textId="77777777" w:rsidR="00050E66" w:rsidRPr="00D47323" w:rsidRDefault="00050E66" w:rsidP="00AF6113">
      <w:pPr>
        <w:spacing w:after="0" w:line="276" w:lineRule="auto"/>
        <w:jc w:val="both"/>
        <w:rPr>
          <w:rFonts w:ascii="Times New Roman" w:eastAsia="Calibri" w:hAnsi="Times New Roman" w:cs="Times New Roman"/>
          <w:sz w:val="24"/>
          <w:szCs w:val="24"/>
        </w:rPr>
      </w:pPr>
    </w:p>
    <w:p w14:paraId="7CFBC06A" w14:textId="55414BFE" w:rsidR="00050E66" w:rsidRPr="00D47323" w:rsidRDefault="00050E66" w:rsidP="00AF6113">
      <w:pPr>
        <w:spacing w:after="0" w:line="276" w:lineRule="auto"/>
        <w:jc w:val="both"/>
        <w:rPr>
          <w:rFonts w:ascii="Times New Roman" w:eastAsia="Calibri" w:hAnsi="Times New Roman" w:cs="Times New Roman"/>
          <w:sz w:val="24"/>
          <w:szCs w:val="24"/>
        </w:rPr>
      </w:pPr>
      <w:r w:rsidRPr="00D47323">
        <w:rPr>
          <w:rFonts w:ascii="Times New Roman" w:eastAsia="Calibri" w:hAnsi="Times New Roman" w:cs="Times New Roman"/>
          <w:sz w:val="24"/>
          <w:szCs w:val="24"/>
        </w:rPr>
        <w:t>Nakoľko vláda</w:t>
      </w:r>
      <w:r>
        <w:rPr>
          <w:rFonts w:ascii="Times New Roman" w:eastAsia="Calibri" w:hAnsi="Times New Roman" w:cs="Times New Roman"/>
          <w:sz w:val="24"/>
          <w:szCs w:val="24"/>
        </w:rPr>
        <w:t xml:space="preserve"> SR predkladá Národnej rade SR</w:t>
      </w:r>
      <w:r w:rsidRPr="00D47323">
        <w:rPr>
          <w:rFonts w:ascii="Times New Roman" w:eastAsia="Calibri" w:hAnsi="Times New Roman" w:cs="Times New Roman"/>
          <w:sz w:val="24"/>
          <w:szCs w:val="24"/>
        </w:rPr>
        <w:t xml:space="preserve"> návrh rozpočtu verejnej správy na roky 2024 až 2026</w:t>
      </w:r>
      <w:r>
        <w:rPr>
          <w:rFonts w:ascii="Times New Roman" w:eastAsia="Calibri" w:hAnsi="Times New Roman" w:cs="Times New Roman"/>
          <w:sz w:val="24"/>
          <w:szCs w:val="24"/>
        </w:rPr>
        <w:t xml:space="preserve"> so zohľadnením konsolidačných opatrení</w:t>
      </w:r>
      <w:r w:rsidRPr="00D4732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D47323">
        <w:rPr>
          <w:rFonts w:ascii="Times New Roman" w:eastAsia="Calibri" w:hAnsi="Times New Roman" w:cs="Times New Roman"/>
          <w:sz w:val="24"/>
          <w:szCs w:val="24"/>
        </w:rPr>
        <w:t>je odôvodnené, aby aj návrh rozpočtu Najvyššieho kontrolného úradu</w:t>
      </w:r>
      <w:r>
        <w:rPr>
          <w:rFonts w:ascii="Times New Roman" w:eastAsia="Calibri" w:hAnsi="Times New Roman" w:cs="Times New Roman"/>
          <w:sz w:val="24"/>
          <w:szCs w:val="24"/>
        </w:rPr>
        <w:t xml:space="preserve"> SR</w:t>
      </w:r>
      <w:r w:rsidRPr="00D47323">
        <w:rPr>
          <w:rFonts w:ascii="Times New Roman" w:eastAsia="Calibri" w:hAnsi="Times New Roman" w:cs="Times New Roman"/>
          <w:sz w:val="24"/>
          <w:szCs w:val="24"/>
        </w:rPr>
        <w:t xml:space="preserve"> bol zosúladený s vládnym návrhom rozpočtu verejnej správy.</w:t>
      </w:r>
      <w:r>
        <w:rPr>
          <w:rFonts w:ascii="Times New Roman" w:eastAsia="Calibri" w:hAnsi="Times New Roman" w:cs="Times New Roman"/>
          <w:sz w:val="24"/>
          <w:szCs w:val="24"/>
        </w:rPr>
        <w:t xml:space="preserve"> Z dôvodu, že vyššie uvedené viazanie </w:t>
      </w:r>
      <w:r w:rsidRPr="00731FB3">
        <w:rPr>
          <w:rFonts w:ascii="Times New Roman" w:eastAsia="Calibri" w:hAnsi="Times New Roman" w:cs="Times New Roman"/>
          <w:sz w:val="24"/>
          <w:szCs w:val="24"/>
        </w:rPr>
        <w:t xml:space="preserve">výdavkov </w:t>
      </w:r>
      <w:r>
        <w:rPr>
          <w:rFonts w:ascii="Times New Roman" w:eastAsia="Calibri" w:hAnsi="Times New Roman" w:cs="Times New Roman"/>
          <w:sz w:val="24"/>
          <w:szCs w:val="24"/>
        </w:rPr>
        <w:t>sa týkalo aj štátnych rozpočtových organizácií, bol týmto konsolidačným opatrením ovplyvnený aj rozpočet Najvyššieho kontrolného úradu SR</w:t>
      </w:r>
      <w:r w:rsidR="008523BD">
        <w:rPr>
          <w:rFonts w:ascii="Times New Roman" w:eastAsia="Calibri" w:hAnsi="Times New Roman" w:cs="Times New Roman"/>
          <w:sz w:val="24"/>
          <w:szCs w:val="24"/>
        </w:rPr>
        <w:t>.</w:t>
      </w:r>
    </w:p>
    <w:p w14:paraId="61119658" w14:textId="77777777" w:rsidR="00050E66" w:rsidRPr="00C342FF" w:rsidRDefault="00050E66" w:rsidP="00AF6113">
      <w:pPr>
        <w:spacing w:after="0" w:line="276" w:lineRule="auto"/>
        <w:jc w:val="both"/>
        <w:rPr>
          <w:rFonts w:ascii="Times New Roman" w:eastAsia="Calibri" w:hAnsi="Times New Roman" w:cs="Times New Roman"/>
          <w:sz w:val="24"/>
          <w:szCs w:val="24"/>
          <w:lang w:eastAsia="cs-CZ"/>
        </w:rPr>
      </w:pPr>
    </w:p>
    <w:p w14:paraId="7AC1A746" w14:textId="46721885" w:rsidR="00050E66" w:rsidRPr="00C342FF" w:rsidRDefault="00050E66" w:rsidP="00AF6113">
      <w:pPr>
        <w:spacing w:after="0" w:line="276" w:lineRule="auto"/>
        <w:jc w:val="both"/>
        <w:rPr>
          <w:rFonts w:ascii="Times New Roman" w:eastAsia="Calibri" w:hAnsi="Times New Roman" w:cs="Times New Roman"/>
          <w:sz w:val="24"/>
          <w:szCs w:val="24"/>
          <w:lang w:eastAsia="cs-CZ"/>
        </w:rPr>
      </w:pPr>
      <w:r w:rsidRPr="00C342FF">
        <w:rPr>
          <w:rFonts w:ascii="Times New Roman" w:eastAsia="Calibri" w:hAnsi="Times New Roman" w:cs="Times New Roman"/>
          <w:sz w:val="24"/>
          <w:szCs w:val="24"/>
          <w:lang w:eastAsia="cs-CZ"/>
        </w:rPr>
        <w:t>Detailnejšie informácie o oblasti zamestnanosti a výdavkových politikách vlády sú popísané v</w:t>
      </w:r>
      <w:r>
        <w:rPr>
          <w:rFonts w:ascii="Times New Roman" w:eastAsia="Calibri" w:hAnsi="Times New Roman" w:cs="Times New Roman"/>
          <w:sz w:val="24"/>
          <w:szCs w:val="24"/>
          <w:lang w:eastAsia="cs-CZ"/>
        </w:rPr>
        <w:t> nasledujúcich častiach</w:t>
      </w:r>
      <w:r w:rsidR="008523BD">
        <w:rPr>
          <w:rFonts w:ascii="Times New Roman" w:eastAsia="Calibri" w:hAnsi="Times New Roman" w:cs="Times New Roman"/>
          <w:sz w:val="24"/>
          <w:szCs w:val="24"/>
          <w:lang w:eastAsia="cs-CZ"/>
        </w:rPr>
        <w:t xml:space="preserve"> </w:t>
      </w:r>
      <w:r w:rsidRPr="00C342FF">
        <w:rPr>
          <w:rFonts w:ascii="Times New Roman" w:eastAsia="Calibri" w:hAnsi="Times New Roman" w:cs="Times New Roman"/>
          <w:sz w:val="24"/>
          <w:szCs w:val="24"/>
          <w:lang w:eastAsia="cs-CZ"/>
        </w:rPr>
        <w:t>materiálu.</w:t>
      </w:r>
    </w:p>
    <w:p w14:paraId="632AA3F3" w14:textId="3672BC70" w:rsidR="002B547D" w:rsidRDefault="002B547D" w:rsidP="00AF6113">
      <w:pPr>
        <w:spacing w:line="276" w:lineRule="auto"/>
        <w:jc w:val="both"/>
        <w:rPr>
          <w:rFonts w:ascii="Times New Roman" w:hAnsi="Times New Roman" w:cs="Times New Roman"/>
          <w:b/>
          <w:bCs/>
          <w:iCs/>
        </w:rPr>
      </w:pPr>
    </w:p>
    <w:p w14:paraId="6AB3DA4B" w14:textId="2B5EF317" w:rsidR="00901697" w:rsidRDefault="00901697" w:rsidP="00AF6113">
      <w:pPr>
        <w:spacing w:line="276" w:lineRule="auto"/>
        <w:jc w:val="both"/>
        <w:rPr>
          <w:rFonts w:ascii="Times New Roman" w:hAnsi="Times New Roman" w:cs="Times New Roman"/>
          <w:b/>
          <w:bCs/>
          <w:iCs/>
        </w:rPr>
      </w:pPr>
    </w:p>
    <w:p w14:paraId="74A0705A" w14:textId="77777777" w:rsidR="00901697" w:rsidRDefault="00901697" w:rsidP="00AF6113">
      <w:pPr>
        <w:spacing w:line="276" w:lineRule="auto"/>
        <w:jc w:val="both"/>
        <w:rPr>
          <w:rFonts w:ascii="Times New Roman" w:hAnsi="Times New Roman" w:cs="Times New Roman"/>
          <w:b/>
          <w:bCs/>
          <w:iCs/>
        </w:rPr>
      </w:pPr>
    </w:p>
    <w:p w14:paraId="7CCF794D" w14:textId="7D386C4D" w:rsidR="006C30CD" w:rsidRDefault="006C30CD" w:rsidP="00B63F1A">
      <w:pPr>
        <w:jc w:val="both"/>
        <w:rPr>
          <w:rFonts w:ascii="Times New Roman" w:hAnsi="Times New Roman" w:cs="Times New Roman"/>
          <w:b/>
          <w:bCs/>
          <w:iCs/>
        </w:rPr>
      </w:pPr>
    </w:p>
    <w:p w14:paraId="789FC9B2" w14:textId="77777777" w:rsidR="00D61F5C" w:rsidRDefault="00D61F5C" w:rsidP="00B63F1A">
      <w:pPr>
        <w:jc w:val="both"/>
        <w:rPr>
          <w:rFonts w:ascii="Times New Roman" w:hAnsi="Times New Roman" w:cs="Times New Roman"/>
          <w:b/>
          <w:bCs/>
          <w:iCs/>
        </w:rPr>
      </w:pPr>
    </w:p>
    <w:p w14:paraId="02277C84" w14:textId="59615817" w:rsidR="006C30CD" w:rsidRPr="00B63F1A" w:rsidRDefault="006C30CD" w:rsidP="00B63F1A">
      <w:pPr>
        <w:jc w:val="both"/>
        <w:rPr>
          <w:rFonts w:ascii="Times New Roman" w:hAnsi="Times New Roman" w:cs="Times New Roman"/>
          <w:b/>
          <w:bCs/>
          <w:iCs/>
        </w:rPr>
      </w:pPr>
    </w:p>
    <w:p w14:paraId="09A33E84" w14:textId="77777777" w:rsidR="00B45F0E" w:rsidRPr="00B45F0E" w:rsidRDefault="00B45F0E" w:rsidP="00B45F0E">
      <w:pPr>
        <w:spacing w:after="0"/>
        <w:rPr>
          <w:rFonts w:ascii="Times New Roman" w:hAnsi="Times New Roman"/>
          <w:b/>
          <w:color w:val="5B9BD5" w:themeColor="accent1"/>
          <w:sz w:val="24"/>
          <w:szCs w:val="24"/>
        </w:rPr>
      </w:pPr>
      <w:r w:rsidRPr="00B45F0E">
        <w:rPr>
          <w:rFonts w:ascii="Times New Roman" w:hAnsi="Times New Roman"/>
          <w:b/>
          <w:color w:val="5B9BD5" w:themeColor="accent1"/>
          <w:sz w:val="24"/>
          <w:szCs w:val="24"/>
        </w:rPr>
        <w:lastRenderedPageBreak/>
        <w:t>Rozpočtovanie zamestnanosti v sektore verejnej správy</w:t>
      </w:r>
    </w:p>
    <w:p w14:paraId="56A2168F" w14:textId="77777777" w:rsidR="00B45F0E" w:rsidRPr="00B45F0E" w:rsidRDefault="00B45F0E" w:rsidP="00B45F0E">
      <w:pPr>
        <w:spacing w:after="0"/>
        <w:jc w:val="both"/>
        <w:rPr>
          <w:rFonts w:ascii="Times New Roman" w:hAnsi="Times New Roman" w:cs="Times New Roman"/>
          <w:sz w:val="24"/>
          <w:szCs w:val="24"/>
        </w:rPr>
      </w:pPr>
    </w:p>
    <w:p w14:paraId="2348462A" w14:textId="77777777" w:rsidR="00B45F0E" w:rsidRDefault="00B45F0E" w:rsidP="00B45F0E">
      <w:pPr>
        <w:spacing w:after="0"/>
        <w:jc w:val="both"/>
        <w:rPr>
          <w:rFonts w:ascii="Times New Roman" w:hAnsi="Times New Roman" w:cs="Times New Roman"/>
          <w:sz w:val="24"/>
          <w:szCs w:val="24"/>
        </w:rPr>
      </w:pPr>
      <w:r w:rsidRPr="00B45F0E">
        <w:rPr>
          <w:rFonts w:ascii="Times New Roman" w:hAnsi="Times New Roman" w:cs="Times New Roman"/>
          <w:sz w:val="24"/>
          <w:szCs w:val="24"/>
        </w:rPr>
        <w:t xml:space="preserve">Návrh rozpočtu verejnej správy na rok 2024 je zostavený na predpoklade, že vo verejnej správe bude </w:t>
      </w:r>
      <w:r w:rsidRPr="00B45F0E">
        <w:rPr>
          <w:rFonts w:ascii="Times New Roman" w:hAnsi="Times New Roman" w:cs="Times New Roman"/>
          <w:b/>
          <w:i/>
          <w:sz w:val="24"/>
          <w:szCs w:val="24"/>
        </w:rPr>
        <w:t>zamestnaných 451 845 osôb</w:t>
      </w:r>
      <w:r w:rsidRPr="00B45F0E">
        <w:rPr>
          <w:rFonts w:ascii="Times New Roman" w:hAnsi="Times New Roman" w:cs="Times New Roman"/>
          <w:sz w:val="24"/>
          <w:szCs w:val="24"/>
        </w:rPr>
        <w:t>.</w:t>
      </w:r>
    </w:p>
    <w:p w14:paraId="0B477CFC" w14:textId="1B85056A" w:rsidR="00B70E5E" w:rsidRPr="00B45F0E" w:rsidRDefault="00B70E5E" w:rsidP="00B45F0E">
      <w:pPr>
        <w:spacing w:after="0"/>
        <w:jc w:val="both"/>
        <w:rPr>
          <w:rFonts w:ascii="Times New Roman" w:hAnsi="Times New Roman" w:cs="Times New Roman"/>
          <w:sz w:val="24"/>
          <w:szCs w:val="24"/>
        </w:rPr>
      </w:pPr>
    </w:p>
    <w:tbl>
      <w:tblPr>
        <w:tblW w:w="9348" w:type="dxa"/>
        <w:tblCellMar>
          <w:left w:w="70" w:type="dxa"/>
          <w:right w:w="70" w:type="dxa"/>
        </w:tblCellMar>
        <w:tblLook w:val="04A0" w:firstRow="1" w:lastRow="0" w:firstColumn="1" w:lastColumn="0" w:noHBand="0" w:noVBand="1"/>
      </w:tblPr>
      <w:tblGrid>
        <w:gridCol w:w="685"/>
        <w:gridCol w:w="2920"/>
        <w:gridCol w:w="801"/>
        <w:gridCol w:w="801"/>
        <w:gridCol w:w="801"/>
        <w:gridCol w:w="937"/>
        <w:gridCol w:w="801"/>
        <w:gridCol w:w="801"/>
        <w:gridCol w:w="801"/>
      </w:tblGrid>
      <w:tr w:rsidR="00B45F0E" w:rsidRPr="00B45F0E" w14:paraId="31CDC375" w14:textId="77777777" w:rsidTr="00B63F1A">
        <w:trPr>
          <w:trHeight w:val="315"/>
        </w:trPr>
        <w:tc>
          <w:tcPr>
            <w:tcW w:w="9348" w:type="dxa"/>
            <w:gridSpan w:val="9"/>
            <w:tcBorders>
              <w:top w:val="nil"/>
              <w:left w:val="nil"/>
              <w:bottom w:val="nil"/>
              <w:right w:val="nil"/>
            </w:tcBorders>
            <w:shd w:val="clear" w:color="auto" w:fill="auto"/>
            <w:noWrap/>
            <w:vAlign w:val="center"/>
            <w:hideMark/>
          </w:tcPr>
          <w:p w14:paraId="0B17F990" w14:textId="47EEAB25" w:rsidR="00B45F0E" w:rsidRPr="00B45F0E" w:rsidRDefault="00B45F0E" w:rsidP="00B45F0E">
            <w:pPr>
              <w:spacing w:after="0" w:line="240" w:lineRule="auto"/>
              <w:rPr>
                <w:rFonts w:ascii="Times New Roman" w:eastAsia="Times New Roman" w:hAnsi="Times New Roman" w:cs="Times New Roman"/>
                <w:color w:val="000000"/>
                <w:sz w:val="24"/>
                <w:szCs w:val="24"/>
                <w:lang w:eastAsia="sk-SK"/>
              </w:rPr>
            </w:pPr>
            <w:bookmarkStart w:id="163" w:name="_Toc153013047"/>
            <w:r w:rsidRPr="00B45F0E">
              <w:rPr>
                <w:rFonts w:ascii="Times New Roman" w:hAnsi="Times New Roman" w:cs="Times New Roman"/>
                <w:b/>
                <w:color w:val="5B9BD5" w:themeColor="accent1"/>
                <w:sz w:val="20"/>
                <w:szCs w:val="20"/>
              </w:rPr>
              <w:t xml:space="preserve">Tabuľka </w:t>
            </w:r>
            <w:r w:rsidRPr="00B45F0E">
              <w:rPr>
                <w:rFonts w:ascii="Times New Roman" w:hAnsi="Times New Roman" w:cs="Times New Roman"/>
                <w:b/>
                <w:i/>
                <w:color w:val="5B9BD5" w:themeColor="accent1"/>
                <w:sz w:val="20"/>
                <w:szCs w:val="20"/>
              </w:rPr>
              <w:fldChar w:fldCharType="begin"/>
            </w:r>
            <w:r w:rsidRPr="00B45F0E">
              <w:rPr>
                <w:rFonts w:ascii="Times New Roman" w:hAnsi="Times New Roman" w:cs="Times New Roman"/>
                <w:b/>
                <w:color w:val="5B9BD5" w:themeColor="accent1"/>
                <w:sz w:val="20"/>
                <w:szCs w:val="20"/>
              </w:rPr>
              <w:instrText xml:space="preserve"> SEQ Tabuľka \* ARABIC </w:instrText>
            </w:r>
            <w:r w:rsidRPr="00B45F0E">
              <w:rPr>
                <w:rFonts w:ascii="Times New Roman" w:hAnsi="Times New Roman" w:cs="Times New Roman"/>
                <w:b/>
                <w:i/>
                <w:color w:val="5B9BD5" w:themeColor="accent1"/>
                <w:sz w:val="20"/>
                <w:szCs w:val="20"/>
              </w:rPr>
              <w:fldChar w:fldCharType="separate"/>
            </w:r>
            <w:r w:rsidR="003D5A3A">
              <w:rPr>
                <w:rFonts w:ascii="Times New Roman" w:hAnsi="Times New Roman" w:cs="Times New Roman"/>
                <w:b/>
                <w:noProof/>
                <w:color w:val="5B9BD5" w:themeColor="accent1"/>
                <w:sz w:val="20"/>
                <w:szCs w:val="20"/>
              </w:rPr>
              <w:t>49</w:t>
            </w:r>
            <w:r w:rsidRPr="00B45F0E">
              <w:rPr>
                <w:rFonts w:ascii="Times New Roman" w:hAnsi="Times New Roman" w:cs="Times New Roman"/>
                <w:b/>
                <w:i/>
                <w:color w:val="5B9BD5" w:themeColor="accent1"/>
                <w:sz w:val="20"/>
                <w:szCs w:val="20"/>
              </w:rPr>
              <w:fldChar w:fldCharType="end"/>
            </w:r>
            <w:r w:rsidRPr="00B45F0E">
              <w:rPr>
                <w:rFonts w:ascii="Times New Roman" w:hAnsi="Times New Roman" w:cs="Times New Roman"/>
                <w:b/>
                <w:color w:val="5B9BD5" w:themeColor="accent1"/>
                <w:sz w:val="20"/>
                <w:szCs w:val="20"/>
              </w:rPr>
              <w:t xml:space="preserve"> - Zamestnanosť vo verejnej správe</w:t>
            </w:r>
            <w:bookmarkEnd w:id="163"/>
          </w:p>
        </w:tc>
      </w:tr>
      <w:tr w:rsidR="00B45F0E" w:rsidRPr="00B45F0E" w14:paraId="15AF8C45" w14:textId="77777777" w:rsidTr="00B63F1A">
        <w:trPr>
          <w:trHeight w:val="315"/>
        </w:trPr>
        <w:tc>
          <w:tcPr>
            <w:tcW w:w="3605" w:type="dxa"/>
            <w:gridSpan w:val="2"/>
            <w:tcBorders>
              <w:top w:val="single" w:sz="4" w:space="0" w:color="auto"/>
              <w:left w:val="nil"/>
              <w:bottom w:val="single" w:sz="4" w:space="0" w:color="auto"/>
              <w:right w:val="nil"/>
            </w:tcBorders>
            <w:shd w:val="clear" w:color="auto" w:fill="auto"/>
            <w:vAlign w:val="center"/>
            <w:hideMark/>
          </w:tcPr>
          <w:p w14:paraId="3DD0378C"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Subjekty verejnej správy</w:t>
            </w:r>
          </w:p>
        </w:tc>
        <w:tc>
          <w:tcPr>
            <w:tcW w:w="801" w:type="dxa"/>
            <w:tcBorders>
              <w:top w:val="single" w:sz="4" w:space="0" w:color="auto"/>
              <w:left w:val="nil"/>
              <w:bottom w:val="single" w:sz="4" w:space="0" w:color="auto"/>
              <w:right w:val="nil"/>
            </w:tcBorders>
            <w:shd w:val="clear" w:color="auto" w:fill="auto"/>
            <w:noWrap/>
            <w:vAlign w:val="center"/>
            <w:hideMark/>
          </w:tcPr>
          <w:p w14:paraId="77EFB9BE"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2021  S</w:t>
            </w:r>
          </w:p>
        </w:tc>
        <w:tc>
          <w:tcPr>
            <w:tcW w:w="801" w:type="dxa"/>
            <w:tcBorders>
              <w:top w:val="single" w:sz="4" w:space="0" w:color="auto"/>
              <w:left w:val="nil"/>
              <w:bottom w:val="single" w:sz="4" w:space="0" w:color="auto"/>
              <w:right w:val="nil"/>
            </w:tcBorders>
            <w:shd w:val="clear" w:color="auto" w:fill="auto"/>
            <w:noWrap/>
            <w:vAlign w:val="center"/>
            <w:hideMark/>
          </w:tcPr>
          <w:p w14:paraId="42B59D98"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2022  S</w:t>
            </w:r>
          </w:p>
        </w:tc>
        <w:tc>
          <w:tcPr>
            <w:tcW w:w="801" w:type="dxa"/>
            <w:tcBorders>
              <w:top w:val="single" w:sz="4" w:space="0" w:color="auto"/>
              <w:left w:val="nil"/>
              <w:bottom w:val="single" w:sz="4" w:space="0" w:color="auto"/>
              <w:right w:val="nil"/>
            </w:tcBorders>
            <w:shd w:val="clear" w:color="auto" w:fill="auto"/>
            <w:noWrap/>
            <w:vAlign w:val="center"/>
            <w:hideMark/>
          </w:tcPr>
          <w:p w14:paraId="4C6B9587"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2023  R</w:t>
            </w:r>
          </w:p>
        </w:tc>
        <w:tc>
          <w:tcPr>
            <w:tcW w:w="937" w:type="dxa"/>
            <w:tcBorders>
              <w:top w:val="single" w:sz="4" w:space="0" w:color="auto"/>
              <w:left w:val="nil"/>
              <w:bottom w:val="single" w:sz="4" w:space="0" w:color="auto"/>
              <w:right w:val="nil"/>
            </w:tcBorders>
            <w:shd w:val="clear" w:color="auto" w:fill="auto"/>
            <w:noWrap/>
            <w:vAlign w:val="center"/>
            <w:hideMark/>
          </w:tcPr>
          <w:p w14:paraId="5654368E"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2023  OS</w:t>
            </w:r>
          </w:p>
        </w:tc>
        <w:tc>
          <w:tcPr>
            <w:tcW w:w="801" w:type="dxa"/>
            <w:tcBorders>
              <w:top w:val="single" w:sz="4" w:space="0" w:color="auto"/>
              <w:left w:val="nil"/>
              <w:bottom w:val="single" w:sz="4" w:space="0" w:color="auto"/>
              <w:right w:val="nil"/>
            </w:tcBorders>
            <w:shd w:val="clear" w:color="auto" w:fill="auto"/>
            <w:noWrap/>
            <w:vAlign w:val="center"/>
            <w:hideMark/>
          </w:tcPr>
          <w:p w14:paraId="77BDCF9B"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2024  N</w:t>
            </w:r>
          </w:p>
        </w:tc>
        <w:tc>
          <w:tcPr>
            <w:tcW w:w="801" w:type="dxa"/>
            <w:tcBorders>
              <w:top w:val="single" w:sz="4" w:space="0" w:color="auto"/>
              <w:left w:val="nil"/>
              <w:bottom w:val="single" w:sz="4" w:space="0" w:color="auto"/>
              <w:right w:val="nil"/>
            </w:tcBorders>
            <w:shd w:val="clear" w:color="auto" w:fill="auto"/>
            <w:noWrap/>
            <w:vAlign w:val="center"/>
            <w:hideMark/>
          </w:tcPr>
          <w:p w14:paraId="47D26E56"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2025  N</w:t>
            </w:r>
          </w:p>
        </w:tc>
        <w:tc>
          <w:tcPr>
            <w:tcW w:w="801" w:type="dxa"/>
            <w:tcBorders>
              <w:top w:val="single" w:sz="4" w:space="0" w:color="auto"/>
              <w:left w:val="nil"/>
              <w:bottom w:val="single" w:sz="4" w:space="0" w:color="auto"/>
              <w:right w:val="nil"/>
            </w:tcBorders>
            <w:shd w:val="clear" w:color="auto" w:fill="auto"/>
            <w:noWrap/>
            <w:vAlign w:val="center"/>
            <w:hideMark/>
          </w:tcPr>
          <w:p w14:paraId="6EDFAAFD"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2026  N</w:t>
            </w:r>
          </w:p>
        </w:tc>
      </w:tr>
      <w:tr w:rsidR="00B45F0E" w:rsidRPr="00B45F0E" w14:paraId="744F2F49" w14:textId="77777777" w:rsidTr="00B63F1A">
        <w:trPr>
          <w:trHeight w:val="288"/>
        </w:trPr>
        <w:tc>
          <w:tcPr>
            <w:tcW w:w="3605" w:type="dxa"/>
            <w:gridSpan w:val="2"/>
            <w:tcBorders>
              <w:top w:val="single" w:sz="4" w:space="0" w:color="auto"/>
              <w:left w:val="nil"/>
              <w:bottom w:val="nil"/>
              <w:right w:val="nil"/>
            </w:tcBorders>
            <w:shd w:val="clear" w:color="auto" w:fill="auto"/>
            <w:noWrap/>
            <w:vAlign w:val="center"/>
            <w:hideMark/>
          </w:tcPr>
          <w:p w14:paraId="0AA4FD53"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 xml:space="preserve">SPOLU  </w:t>
            </w:r>
            <w:r w:rsidRPr="00B45F0E">
              <w:rPr>
                <w:rFonts w:ascii="Times New Roman" w:eastAsia="Times New Roman" w:hAnsi="Times New Roman" w:cs="Times New Roman"/>
                <w:color w:val="000000"/>
                <w:sz w:val="16"/>
                <w:szCs w:val="16"/>
                <w:lang w:eastAsia="sk-SK"/>
              </w:rPr>
              <w:t xml:space="preserve"> (osoby)</w:t>
            </w:r>
          </w:p>
        </w:tc>
        <w:tc>
          <w:tcPr>
            <w:tcW w:w="801" w:type="dxa"/>
            <w:tcBorders>
              <w:top w:val="nil"/>
              <w:left w:val="nil"/>
              <w:bottom w:val="nil"/>
              <w:right w:val="nil"/>
            </w:tcBorders>
            <w:shd w:val="clear" w:color="auto" w:fill="auto"/>
            <w:noWrap/>
            <w:vAlign w:val="center"/>
            <w:hideMark/>
          </w:tcPr>
          <w:p w14:paraId="76970CDA"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427 103</w:t>
            </w:r>
          </w:p>
        </w:tc>
        <w:tc>
          <w:tcPr>
            <w:tcW w:w="801" w:type="dxa"/>
            <w:tcBorders>
              <w:top w:val="nil"/>
              <w:left w:val="nil"/>
              <w:bottom w:val="nil"/>
              <w:right w:val="nil"/>
            </w:tcBorders>
            <w:shd w:val="clear" w:color="auto" w:fill="auto"/>
            <w:noWrap/>
            <w:vAlign w:val="center"/>
            <w:hideMark/>
          </w:tcPr>
          <w:p w14:paraId="1BD4EDC6"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435 020</w:t>
            </w:r>
          </w:p>
        </w:tc>
        <w:tc>
          <w:tcPr>
            <w:tcW w:w="801" w:type="dxa"/>
            <w:tcBorders>
              <w:top w:val="nil"/>
              <w:left w:val="nil"/>
              <w:bottom w:val="nil"/>
              <w:right w:val="nil"/>
            </w:tcBorders>
            <w:shd w:val="clear" w:color="auto" w:fill="auto"/>
            <w:noWrap/>
            <w:vAlign w:val="center"/>
            <w:hideMark/>
          </w:tcPr>
          <w:p w14:paraId="52B29208"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439 387</w:t>
            </w:r>
          </w:p>
        </w:tc>
        <w:tc>
          <w:tcPr>
            <w:tcW w:w="937" w:type="dxa"/>
            <w:tcBorders>
              <w:top w:val="nil"/>
              <w:left w:val="nil"/>
              <w:bottom w:val="nil"/>
              <w:right w:val="nil"/>
            </w:tcBorders>
            <w:shd w:val="clear" w:color="auto" w:fill="auto"/>
            <w:noWrap/>
            <w:vAlign w:val="center"/>
            <w:hideMark/>
          </w:tcPr>
          <w:p w14:paraId="2799133A"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437 278</w:t>
            </w:r>
          </w:p>
        </w:tc>
        <w:tc>
          <w:tcPr>
            <w:tcW w:w="801" w:type="dxa"/>
            <w:tcBorders>
              <w:top w:val="nil"/>
              <w:left w:val="nil"/>
              <w:bottom w:val="nil"/>
              <w:right w:val="nil"/>
            </w:tcBorders>
            <w:shd w:val="clear" w:color="auto" w:fill="auto"/>
            <w:noWrap/>
            <w:vAlign w:val="center"/>
            <w:hideMark/>
          </w:tcPr>
          <w:p w14:paraId="36835523"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451 845</w:t>
            </w:r>
          </w:p>
        </w:tc>
        <w:tc>
          <w:tcPr>
            <w:tcW w:w="801" w:type="dxa"/>
            <w:tcBorders>
              <w:top w:val="nil"/>
              <w:left w:val="nil"/>
              <w:bottom w:val="nil"/>
              <w:right w:val="nil"/>
            </w:tcBorders>
            <w:shd w:val="clear" w:color="auto" w:fill="auto"/>
            <w:noWrap/>
            <w:vAlign w:val="center"/>
            <w:hideMark/>
          </w:tcPr>
          <w:p w14:paraId="6765FAFA"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453 307</w:t>
            </w:r>
          </w:p>
        </w:tc>
        <w:tc>
          <w:tcPr>
            <w:tcW w:w="801" w:type="dxa"/>
            <w:tcBorders>
              <w:top w:val="nil"/>
              <w:left w:val="nil"/>
              <w:bottom w:val="nil"/>
              <w:right w:val="nil"/>
            </w:tcBorders>
            <w:shd w:val="clear" w:color="auto" w:fill="auto"/>
            <w:noWrap/>
            <w:vAlign w:val="center"/>
            <w:hideMark/>
          </w:tcPr>
          <w:p w14:paraId="4E5A2BCD"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447 649</w:t>
            </w:r>
          </w:p>
        </w:tc>
      </w:tr>
      <w:tr w:rsidR="00B45F0E" w:rsidRPr="00B45F0E" w14:paraId="6B6204D3" w14:textId="77777777" w:rsidTr="00B63F1A">
        <w:trPr>
          <w:trHeight w:val="288"/>
        </w:trPr>
        <w:tc>
          <w:tcPr>
            <w:tcW w:w="3605" w:type="dxa"/>
            <w:gridSpan w:val="2"/>
            <w:tcBorders>
              <w:top w:val="nil"/>
              <w:left w:val="nil"/>
              <w:bottom w:val="nil"/>
              <w:right w:val="nil"/>
            </w:tcBorders>
            <w:shd w:val="clear" w:color="auto" w:fill="auto"/>
            <w:noWrap/>
            <w:vAlign w:val="center"/>
            <w:hideMark/>
          </w:tcPr>
          <w:p w14:paraId="1CD5FF3B"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 xml:space="preserve">A/  Ústredná správa spolu </w:t>
            </w:r>
            <w:r w:rsidRPr="00B45F0E">
              <w:rPr>
                <w:rFonts w:ascii="Times New Roman" w:eastAsia="Times New Roman" w:hAnsi="Times New Roman" w:cs="Times New Roman"/>
                <w:color w:val="000000"/>
                <w:sz w:val="16"/>
                <w:szCs w:val="16"/>
                <w:lang w:eastAsia="sk-SK"/>
              </w:rPr>
              <w:t>(bez SIS)</w:t>
            </w:r>
          </w:p>
        </w:tc>
        <w:tc>
          <w:tcPr>
            <w:tcW w:w="801" w:type="dxa"/>
            <w:tcBorders>
              <w:top w:val="nil"/>
              <w:left w:val="nil"/>
              <w:bottom w:val="nil"/>
              <w:right w:val="nil"/>
            </w:tcBorders>
            <w:shd w:val="clear" w:color="auto" w:fill="auto"/>
            <w:noWrap/>
            <w:vAlign w:val="center"/>
            <w:hideMark/>
          </w:tcPr>
          <w:p w14:paraId="58AD29B6"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223 104</w:t>
            </w:r>
          </w:p>
        </w:tc>
        <w:tc>
          <w:tcPr>
            <w:tcW w:w="801" w:type="dxa"/>
            <w:tcBorders>
              <w:top w:val="nil"/>
              <w:left w:val="nil"/>
              <w:bottom w:val="nil"/>
              <w:right w:val="nil"/>
            </w:tcBorders>
            <w:shd w:val="clear" w:color="auto" w:fill="auto"/>
            <w:noWrap/>
            <w:vAlign w:val="center"/>
            <w:hideMark/>
          </w:tcPr>
          <w:p w14:paraId="06261C90"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226 950</w:t>
            </w:r>
          </w:p>
        </w:tc>
        <w:tc>
          <w:tcPr>
            <w:tcW w:w="801" w:type="dxa"/>
            <w:tcBorders>
              <w:top w:val="nil"/>
              <w:left w:val="nil"/>
              <w:bottom w:val="nil"/>
              <w:right w:val="nil"/>
            </w:tcBorders>
            <w:shd w:val="clear" w:color="auto" w:fill="auto"/>
            <w:noWrap/>
            <w:vAlign w:val="center"/>
            <w:hideMark/>
          </w:tcPr>
          <w:p w14:paraId="7F2273EF"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231 074</w:t>
            </w:r>
          </w:p>
        </w:tc>
        <w:tc>
          <w:tcPr>
            <w:tcW w:w="937" w:type="dxa"/>
            <w:tcBorders>
              <w:top w:val="nil"/>
              <w:left w:val="nil"/>
              <w:bottom w:val="nil"/>
              <w:right w:val="nil"/>
            </w:tcBorders>
            <w:shd w:val="clear" w:color="auto" w:fill="auto"/>
            <w:noWrap/>
            <w:vAlign w:val="center"/>
            <w:hideMark/>
          </w:tcPr>
          <w:p w14:paraId="67C69DCB"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227 797</w:t>
            </w:r>
          </w:p>
        </w:tc>
        <w:tc>
          <w:tcPr>
            <w:tcW w:w="801" w:type="dxa"/>
            <w:tcBorders>
              <w:top w:val="nil"/>
              <w:left w:val="nil"/>
              <w:bottom w:val="nil"/>
              <w:right w:val="nil"/>
            </w:tcBorders>
            <w:shd w:val="clear" w:color="auto" w:fill="auto"/>
            <w:noWrap/>
            <w:vAlign w:val="center"/>
            <w:hideMark/>
          </w:tcPr>
          <w:p w14:paraId="49A06C42"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234 915</w:t>
            </w:r>
          </w:p>
        </w:tc>
        <w:tc>
          <w:tcPr>
            <w:tcW w:w="801" w:type="dxa"/>
            <w:tcBorders>
              <w:top w:val="nil"/>
              <w:left w:val="nil"/>
              <w:bottom w:val="nil"/>
              <w:right w:val="nil"/>
            </w:tcBorders>
            <w:shd w:val="clear" w:color="auto" w:fill="auto"/>
            <w:noWrap/>
            <w:vAlign w:val="center"/>
            <w:hideMark/>
          </w:tcPr>
          <w:p w14:paraId="2A65EEF4"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235 455</w:t>
            </w:r>
          </w:p>
        </w:tc>
        <w:tc>
          <w:tcPr>
            <w:tcW w:w="801" w:type="dxa"/>
            <w:tcBorders>
              <w:top w:val="nil"/>
              <w:left w:val="nil"/>
              <w:bottom w:val="nil"/>
              <w:right w:val="nil"/>
            </w:tcBorders>
            <w:shd w:val="clear" w:color="auto" w:fill="auto"/>
            <w:noWrap/>
            <w:vAlign w:val="center"/>
            <w:hideMark/>
          </w:tcPr>
          <w:p w14:paraId="238CCB5A"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235 649</w:t>
            </w:r>
          </w:p>
        </w:tc>
      </w:tr>
      <w:tr w:rsidR="00B45F0E" w:rsidRPr="00B45F0E" w14:paraId="2D498875" w14:textId="77777777" w:rsidTr="00B63F1A">
        <w:trPr>
          <w:trHeight w:val="288"/>
        </w:trPr>
        <w:tc>
          <w:tcPr>
            <w:tcW w:w="685" w:type="dxa"/>
            <w:tcBorders>
              <w:top w:val="nil"/>
              <w:left w:val="nil"/>
              <w:bottom w:val="nil"/>
              <w:right w:val="nil"/>
            </w:tcBorders>
            <w:shd w:val="clear" w:color="auto" w:fill="auto"/>
            <w:noWrap/>
            <w:vAlign w:val="center"/>
            <w:hideMark/>
          </w:tcPr>
          <w:p w14:paraId="2A5FF748" w14:textId="77777777" w:rsidR="00B45F0E" w:rsidRPr="00B45F0E" w:rsidRDefault="00B45F0E" w:rsidP="00B45F0E">
            <w:pPr>
              <w:spacing w:after="0" w:line="240" w:lineRule="auto"/>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z toho:</w:t>
            </w:r>
          </w:p>
        </w:tc>
        <w:tc>
          <w:tcPr>
            <w:tcW w:w="2920" w:type="dxa"/>
            <w:tcBorders>
              <w:top w:val="nil"/>
              <w:left w:val="nil"/>
              <w:bottom w:val="nil"/>
              <w:right w:val="nil"/>
            </w:tcBorders>
            <w:shd w:val="clear" w:color="auto" w:fill="auto"/>
            <w:noWrap/>
            <w:vAlign w:val="center"/>
            <w:hideMark/>
          </w:tcPr>
          <w:p w14:paraId="3E9E5CE6" w14:textId="77777777" w:rsidR="00B45F0E" w:rsidRPr="00B45F0E" w:rsidRDefault="00B45F0E" w:rsidP="00B45F0E">
            <w:pPr>
              <w:spacing w:after="0" w:line="240" w:lineRule="auto"/>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štátne rozpočtové organizácie</w:t>
            </w:r>
          </w:p>
        </w:tc>
        <w:tc>
          <w:tcPr>
            <w:tcW w:w="801" w:type="dxa"/>
            <w:tcBorders>
              <w:top w:val="nil"/>
              <w:left w:val="nil"/>
              <w:bottom w:val="nil"/>
              <w:right w:val="nil"/>
            </w:tcBorders>
            <w:shd w:val="clear" w:color="auto" w:fill="auto"/>
            <w:noWrap/>
            <w:vAlign w:val="center"/>
            <w:hideMark/>
          </w:tcPr>
          <w:p w14:paraId="5C5EB1EE"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124 257</w:t>
            </w:r>
          </w:p>
        </w:tc>
        <w:tc>
          <w:tcPr>
            <w:tcW w:w="801" w:type="dxa"/>
            <w:tcBorders>
              <w:top w:val="nil"/>
              <w:left w:val="nil"/>
              <w:bottom w:val="nil"/>
              <w:right w:val="nil"/>
            </w:tcBorders>
            <w:shd w:val="clear" w:color="auto" w:fill="auto"/>
            <w:noWrap/>
            <w:vAlign w:val="center"/>
            <w:hideMark/>
          </w:tcPr>
          <w:p w14:paraId="37DCD127"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122 978</w:t>
            </w:r>
          </w:p>
        </w:tc>
        <w:tc>
          <w:tcPr>
            <w:tcW w:w="801" w:type="dxa"/>
            <w:tcBorders>
              <w:top w:val="nil"/>
              <w:left w:val="nil"/>
              <w:bottom w:val="nil"/>
              <w:right w:val="nil"/>
            </w:tcBorders>
            <w:shd w:val="clear" w:color="auto" w:fill="auto"/>
            <w:noWrap/>
            <w:vAlign w:val="center"/>
            <w:hideMark/>
          </w:tcPr>
          <w:p w14:paraId="2D5088E8"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128 662</w:t>
            </w:r>
          </w:p>
        </w:tc>
        <w:tc>
          <w:tcPr>
            <w:tcW w:w="937" w:type="dxa"/>
            <w:tcBorders>
              <w:top w:val="nil"/>
              <w:left w:val="nil"/>
              <w:bottom w:val="nil"/>
              <w:right w:val="nil"/>
            </w:tcBorders>
            <w:shd w:val="clear" w:color="auto" w:fill="auto"/>
            <w:noWrap/>
            <w:vAlign w:val="center"/>
            <w:hideMark/>
          </w:tcPr>
          <w:p w14:paraId="05A0E78E"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123 752</w:t>
            </w:r>
          </w:p>
        </w:tc>
        <w:tc>
          <w:tcPr>
            <w:tcW w:w="801" w:type="dxa"/>
            <w:tcBorders>
              <w:top w:val="nil"/>
              <w:left w:val="nil"/>
              <w:bottom w:val="nil"/>
              <w:right w:val="nil"/>
            </w:tcBorders>
            <w:shd w:val="clear" w:color="auto" w:fill="auto"/>
            <w:noWrap/>
            <w:vAlign w:val="center"/>
            <w:hideMark/>
          </w:tcPr>
          <w:p w14:paraId="08DFD9B4"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131 869</w:t>
            </w:r>
          </w:p>
        </w:tc>
        <w:tc>
          <w:tcPr>
            <w:tcW w:w="801" w:type="dxa"/>
            <w:tcBorders>
              <w:top w:val="nil"/>
              <w:left w:val="nil"/>
              <w:bottom w:val="nil"/>
              <w:right w:val="nil"/>
            </w:tcBorders>
            <w:shd w:val="clear" w:color="auto" w:fill="auto"/>
            <w:noWrap/>
            <w:vAlign w:val="center"/>
            <w:hideMark/>
          </w:tcPr>
          <w:p w14:paraId="0EAF7AD4"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132 304</w:t>
            </w:r>
          </w:p>
        </w:tc>
        <w:tc>
          <w:tcPr>
            <w:tcW w:w="801" w:type="dxa"/>
            <w:tcBorders>
              <w:top w:val="nil"/>
              <w:left w:val="nil"/>
              <w:bottom w:val="nil"/>
              <w:right w:val="nil"/>
            </w:tcBorders>
            <w:shd w:val="clear" w:color="auto" w:fill="auto"/>
            <w:noWrap/>
            <w:vAlign w:val="center"/>
            <w:hideMark/>
          </w:tcPr>
          <w:p w14:paraId="7D07BF79"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132 488</w:t>
            </w:r>
          </w:p>
        </w:tc>
      </w:tr>
      <w:tr w:rsidR="00B45F0E" w:rsidRPr="00B45F0E" w14:paraId="0F574640" w14:textId="77777777" w:rsidTr="00B63F1A">
        <w:trPr>
          <w:trHeight w:val="288"/>
        </w:trPr>
        <w:tc>
          <w:tcPr>
            <w:tcW w:w="685" w:type="dxa"/>
            <w:tcBorders>
              <w:top w:val="nil"/>
              <w:left w:val="nil"/>
              <w:bottom w:val="nil"/>
              <w:right w:val="nil"/>
            </w:tcBorders>
            <w:shd w:val="clear" w:color="auto" w:fill="auto"/>
            <w:noWrap/>
            <w:vAlign w:val="bottom"/>
            <w:hideMark/>
          </w:tcPr>
          <w:p w14:paraId="7904C1F3"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p>
        </w:tc>
        <w:tc>
          <w:tcPr>
            <w:tcW w:w="2920" w:type="dxa"/>
            <w:tcBorders>
              <w:top w:val="nil"/>
              <w:left w:val="nil"/>
              <w:bottom w:val="nil"/>
              <w:right w:val="nil"/>
            </w:tcBorders>
            <w:shd w:val="clear" w:color="auto" w:fill="auto"/>
            <w:noWrap/>
            <w:vAlign w:val="center"/>
            <w:hideMark/>
          </w:tcPr>
          <w:p w14:paraId="46917220" w14:textId="77777777" w:rsidR="00B45F0E" w:rsidRPr="00B45F0E" w:rsidRDefault="00B45F0E" w:rsidP="00B45F0E">
            <w:pPr>
              <w:spacing w:after="0" w:line="240" w:lineRule="auto"/>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štátne príspevkové organizácie</w:t>
            </w:r>
          </w:p>
        </w:tc>
        <w:tc>
          <w:tcPr>
            <w:tcW w:w="801" w:type="dxa"/>
            <w:tcBorders>
              <w:top w:val="nil"/>
              <w:left w:val="nil"/>
              <w:bottom w:val="nil"/>
              <w:right w:val="nil"/>
            </w:tcBorders>
            <w:shd w:val="clear" w:color="auto" w:fill="auto"/>
            <w:noWrap/>
            <w:vAlign w:val="center"/>
            <w:hideMark/>
          </w:tcPr>
          <w:p w14:paraId="54D4105D"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12 296</w:t>
            </w:r>
          </w:p>
        </w:tc>
        <w:tc>
          <w:tcPr>
            <w:tcW w:w="801" w:type="dxa"/>
            <w:tcBorders>
              <w:top w:val="nil"/>
              <w:left w:val="nil"/>
              <w:bottom w:val="nil"/>
              <w:right w:val="nil"/>
            </w:tcBorders>
            <w:shd w:val="clear" w:color="auto" w:fill="auto"/>
            <w:noWrap/>
            <w:vAlign w:val="center"/>
            <w:hideMark/>
          </w:tcPr>
          <w:p w14:paraId="66849859"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10 993</w:t>
            </w:r>
          </w:p>
        </w:tc>
        <w:tc>
          <w:tcPr>
            <w:tcW w:w="801" w:type="dxa"/>
            <w:tcBorders>
              <w:top w:val="nil"/>
              <w:left w:val="nil"/>
              <w:bottom w:val="nil"/>
              <w:right w:val="nil"/>
            </w:tcBorders>
            <w:shd w:val="clear" w:color="auto" w:fill="auto"/>
            <w:noWrap/>
            <w:vAlign w:val="center"/>
            <w:hideMark/>
          </w:tcPr>
          <w:p w14:paraId="07D58300"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9 917</w:t>
            </w:r>
          </w:p>
        </w:tc>
        <w:tc>
          <w:tcPr>
            <w:tcW w:w="937" w:type="dxa"/>
            <w:tcBorders>
              <w:top w:val="nil"/>
              <w:left w:val="nil"/>
              <w:bottom w:val="nil"/>
              <w:right w:val="nil"/>
            </w:tcBorders>
            <w:shd w:val="clear" w:color="auto" w:fill="auto"/>
            <w:noWrap/>
            <w:vAlign w:val="center"/>
            <w:hideMark/>
          </w:tcPr>
          <w:p w14:paraId="250F435C"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10 916</w:t>
            </w:r>
          </w:p>
        </w:tc>
        <w:tc>
          <w:tcPr>
            <w:tcW w:w="801" w:type="dxa"/>
            <w:tcBorders>
              <w:top w:val="nil"/>
              <w:left w:val="nil"/>
              <w:bottom w:val="nil"/>
              <w:right w:val="nil"/>
            </w:tcBorders>
            <w:shd w:val="clear" w:color="auto" w:fill="auto"/>
            <w:noWrap/>
            <w:vAlign w:val="center"/>
            <w:hideMark/>
          </w:tcPr>
          <w:p w14:paraId="5597E847"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9 997</w:t>
            </w:r>
          </w:p>
        </w:tc>
        <w:tc>
          <w:tcPr>
            <w:tcW w:w="801" w:type="dxa"/>
            <w:tcBorders>
              <w:top w:val="nil"/>
              <w:left w:val="nil"/>
              <w:bottom w:val="nil"/>
              <w:right w:val="nil"/>
            </w:tcBorders>
            <w:shd w:val="clear" w:color="auto" w:fill="auto"/>
            <w:noWrap/>
            <w:vAlign w:val="center"/>
            <w:hideMark/>
          </w:tcPr>
          <w:p w14:paraId="3FB6CD0D"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10 014</w:t>
            </w:r>
          </w:p>
        </w:tc>
        <w:tc>
          <w:tcPr>
            <w:tcW w:w="801" w:type="dxa"/>
            <w:tcBorders>
              <w:top w:val="nil"/>
              <w:left w:val="nil"/>
              <w:bottom w:val="nil"/>
              <w:right w:val="nil"/>
            </w:tcBorders>
            <w:shd w:val="clear" w:color="auto" w:fill="auto"/>
            <w:noWrap/>
            <w:vAlign w:val="center"/>
            <w:hideMark/>
          </w:tcPr>
          <w:p w14:paraId="62E53CB8"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9 864</w:t>
            </w:r>
          </w:p>
        </w:tc>
      </w:tr>
      <w:tr w:rsidR="00B45F0E" w:rsidRPr="00B45F0E" w14:paraId="658535C0" w14:textId="77777777" w:rsidTr="00B63F1A">
        <w:trPr>
          <w:trHeight w:val="288"/>
        </w:trPr>
        <w:tc>
          <w:tcPr>
            <w:tcW w:w="685" w:type="dxa"/>
            <w:tcBorders>
              <w:top w:val="nil"/>
              <w:left w:val="nil"/>
              <w:bottom w:val="nil"/>
              <w:right w:val="nil"/>
            </w:tcBorders>
            <w:shd w:val="clear" w:color="auto" w:fill="auto"/>
            <w:noWrap/>
            <w:vAlign w:val="bottom"/>
            <w:hideMark/>
          </w:tcPr>
          <w:p w14:paraId="222EABD7"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p>
        </w:tc>
        <w:tc>
          <w:tcPr>
            <w:tcW w:w="2920" w:type="dxa"/>
            <w:tcBorders>
              <w:top w:val="nil"/>
              <w:left w:val="nil"/>
              <w:bottom w:val="nil"/>
              <w:right w:val="nil"/>
            </w:tcBorders>
            <w:shd w:val="clear" w:color="auto" w:fill="auto"/>
            <w:noWrap/>
            <w:vAlign w:val="center"/>
            <w:hideMark/>
          </w:tcPr>
          <w:p w14:paraId="73831F7C" w14:textId="77777777" w:rsidR="00B45F0E" w:rsidRPr="00B45F0E" w:rsidRDefault="00B45F0E" w:rsidP="00B45F0E">
            <w:pPr>
              <w:spacing w:after="0" w:line="240" w:lineRule="auto"/>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štátne účelové fondy spolu</w:t>
            </w:r>
          </w:p>
        </w:tc>
        <w:tc>
          <w:tcPr>
            <w:tcW w:w="801" w:type="dxa"/>
            <w:tcBorders>
              <w:top w:val="nil"/>
              <w:left w:val="nil"/>
              <w:bottom w:val="nil"/>
              <w:right w:val="nil"/>
            </w:tcBorders>
            <w:shd w:val="clear" w:color="auto" w:fill="auto"/>
            <w:noWrap/>
            <w:vAlign w:val="center"/>
            <w:hideMark/>
          </w:tcPr>
          <w:p w14:paraId="085BC3B9"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164</w:t>
            </w:r>
          </w:p>
        </w:tc>
        <w:tc>
          <w:tcPr>
            <w:tcW w:w="801" w:type="dxa"/>
            <w:tcBorders>
              <w:top w:val="nil"/>
              <w:left w:val="nil"/>
              <w:bottom w:val="nil"/>
              <w:right w:val="nil"/>
            </w:tcBorders>
            <w:shd w:val="clear" w:color="auto" w:fill="auto"/>
            <w:noWrap/>
            <w:vAlign w:val="center"/>
            <w:hideMark/>
          </w:tcPr>
          <w:p w14:paraId="4370446F"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177</w:t>
            </w:r>
          </w:p>
        </w:tc>
        <w:tc>
          <w:tcPr>
            <w:tcW w:w="801" w:type="dxa"/>
            <w:tcBorders>
              <w:top w:val="nil"/>
              <w:left w:val="nil"/>
              <w:bottom w:val="nil"/>
              <w:right w:val="nil"/>
            </w:tcBorders>
            <w:shd w:val="clear" w:color="auto" w:fill="auto"/>
            <w:noWrap/>
            <w:vAlign w:val="center"/>
            <w:hideMark/>
          </w:tcPr>
          <w:p w14:paraId="44FE20F4"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189</w:t>
            </w:r>
          </w:p>
        </w:tc>
        <w:tc>
          <w:tcPr>
            <w:tcW w:w="937" w:type="dxa"/>
            <w:tcBorders>
              <w:top w:val="nil"/>
              <w:left w:val="nil"/>
              <w:bottom w:val="nil"/>
              <w:right w:val="nil"/>
            </w:tcBorders>
            <w:shd w:val="clear" w:color="auto" w:fill="auto"/>
            <w:noWrap/>
            <w:vAlign w:val="center"/>
            <w:hideMark/>
          </w:tcPr>
          <w:p w14:paraId="6443072E"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192</w:t>
            </w:r>
          </w:p>
        </w:tc>
        <w:tc>
          <w:tcPr>
            <w:tcW w:w="801" w:type="dxa"/>
            <w:tcBorders>
              <w:top w:val="nil"/>
              <w:left w:val="nil"/>
              <w:bottom w:val="nil"/>
              <w:right w:val="nil"/>
            </w:tcBorders>
            <w:shd w:val="clear" w:color="auto" w:fill="auto"/>
            <w:noWrap/>
            <w:vAlign w:val="center"/>
            <w:hideMark/>
          </w:tcPr>
          <w:p w14:paraId="7A77680B"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210</w:t>
            </w:r>
          </w:p>
        </w:tc>
        <w:tc>
          <w:tcPr>
            <w:tcW w:w="801" w:type="dxa"/>
            <w:tcBorders>
              <w:top w:val="nil"/>
              <w:left w:val="nil"/>
              <w:bottom w:val="nil"/>
              <w:right w:val="nil"/>
            </w:tcBorders>
            <w:shd w:val="clear" w:color="auto" w:fill="auto"/>
            <w:noWrap/>
            <w:vAlign w:val="center"/>
            <w:hideMark/>
          </w:tcPr>
          <w:p w14:paraId="51DF6342"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210</w:t>
            </w:r>
          </w:p>
        </w:tc>
        <w:tc>
          <w:tcPr>
            <w:tcW w:w="801" w:type="dxa"/>
            <w:tcBorders>
              <w:top w:val="nil"/>
              <w:left w:val="nil"/>
              <w:bottom w:val="nil"/>
              <w:right w:val="nil"/>
            </w:tcBorders>
            <w:shd w:val="clear" w:color="auto" w:fill="auto"/>
            <w:noWrap/>
            <w:vAlign w:val="center"/>
            <w:hideMark/>
          </w:tcPr>
          <w:p w14:paraId="01EFBF29"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210</w:t>
            </w:r>
          </w:p>
        </w:tc>
      </w:tr>
      <w:tr w:rsidR="00B45F0E" w:rsidRPr="00B45F0E" w14:paraId="69AA0103" w14:textId="77777777" w:rsidTr="00B63F1A">
        <w:trPr>
          <w:trHeight w:val="288"/>
        </w:trPr>
        <w:tc>
          <w:tcPr>
            <w:tcW w:w="685" w:type="dxa"/>
            <w:tcBorders>
              <w:top w:val="nil"/>
              <w:left w:val="nil"/>
              <w:bottom w:val="nil"/>
              <w:right w:val="nil"/>
            </w:tcBorders>
            <w:shd w:val="clear" w:color="auto" w:fill="auto"/>
            <w:noWrap/>
            <w:vAlign w:val="bottom"/>
            <w:hideMark/>
          </w:tcPr>
          <w:p w14:paraId="426BE6E3"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p>
        </w:tc>
        <w:tc>
          <w:tcPr>
            <w:tcW w:w="2920" w:type="dxa"/>
            <w:tcBorders>
              <w:top w:val="nil"/>
              <w:left w:val="nil"/>
              <w:bottom w:val="nil"/>
              <w:right w:val="nil"/>
            </w:tcBorders>
            <w:shd w:val="clear" w:color="auto" w:fill="auto"/>
            <w:noWrap/>
            <w:vAlign w:val="center"/>
            <w:hideMark/>
          </w:tcPr>
          <w:p w14:paraId="40855EAB" w14:textId="77777777" w:rsidR="00B45F0E" w:rsidRPr="00B45F0E" w:rsidRDefault="00B45F0E" w:rsidP="00B45F0E">
            <w:pPr>
              <w:spacing w:after="0" w:line="240" w:lineRule="auto"/>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Slovenský pozemkový fond</w:t>
            </w:r>
          </w:p>
        </w:tc>
        <w:tc>
          <w:tcPr>
            <w:tcW w:w="801" w:type="dxa"/>
            <w:tcBorders>
              <w:top w:val="nil"/>
              <w:left w:val="nil"/>
              <w:bottom w:val="nil"/>
              <w:right w:val="nil"/>
            </w:tcBorders>
            <w:shd w:val="clear" w:color="auto" w:fill="auto"/>
            <w:noWrap/>
            <w:vAlign w:val="center"/>
            <w:hideMark/>
          </w:tcPr>
          <w:p w14:paraId="578D958B"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293</w:t>
            </w:r>
          </w:p>
        </w:tc>
        <w:tc>
          <w:tcPr>
            <w:tcW w:w="801" w:type="dxa"/>
            <w:tcBorders>
              <w:top w:val="nil"/>
              <w:left w:val="nil"/>
              <w:bottom w:val="nil"/>
              <w:right w:val="nil"/>
            </w:tcBorders>
            <w:shd w:val="clear" w:color="auto" w:fill="auto"/>
            <w:noWrap/>
            <w:vAlign w:val="center"/>
            <w:hideMark/>
          </w:tcPr>
          <w:p w14:paraId="6DAEE403"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306</w:t>
            </w:r>
          </w:p>
        </w:tc>
        <w:tc>
          <w:tcPr>
            <w:tcW w:w="801" w:type="dxa"/>
            <w:tcBorders>
              <w:top w:val="nil"/>
              <w:left w:val="nil"/>
              <w:bottom w:val="nil"/>
              <w:right w:val="nil"/>
            </w:tcBorders>
            <w:shd w:val="clear" w:color="auto" w:fill="auto"/>
            <w:noWrap/>
            <w:vAlign w:val="center"/>
            <w:hideMark/>
          </w:tcPr>
          <w:p w14:paraId="696E4438"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315</w:t>
            </w:r>
          </w:p>
        </w:tc>
        <w:tc>
          <w:tcPr>
            <w:tcW w:w="937" w:type="dxa"/>
            <w:tcBorders>
              <w:top w:val="nil"/>
              <w:left w:val="nil"/>
              <w:bottom w:val="nil"/>
              <w:right w:val="nil"/>
            </w:tcBorders>
            <w:shd w:val="clear" w:color="auto" w:fill="auto"/>
            <w:noWrap/>
            <w:vAlign w:val="center"/>
            <w:hideMark/>
          </w:tcPr>
          <w:p w14:paraId="463BFF5F"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303</w:t>
            </w:r>
          </w:p>
        </w:tc>
        <w:tc>
          <w:tcPr>
            <w:tcW w:w="801" w:type="dxa"/>
            <w:tcBorders>
              <w:top w:val="nil"/>
              <w:left w:val="nil"/>
              <w:bottom w:val="nil"/>
              <w:right w:val="nil"/>
            </w:tcBorders>
            <w:shd w:val="clear" w:color="auto" w:fill="auto"/>
            <w:noWrap/>
            <w:vAlign w:val="center"/>
            <w:hideMark/>
          </w:tcPr>
          <w:p w14:paraId="06C0AFFD"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315</w:t>
            </w:r>
          </w:p>
        </w:tc>
        <w:tc>
          <w:tcPr>
            <w:tcW w:w="801" w:type="dxa"/>
            <w:tcBorders>
              <w:top w:val="nil"/>
              <w:left w:val="nil"/>
              <w:bottom w:val="nil"/>
              <w:right w:val="nil"/>
            </w:tcBorders>
            <w:shd w:val="clear" w:color="auto" w:fill="auto"/>
            <w:noWrap/>
            <w:vAlign w:val="center"/>
            <w:hideMark/>
          </w:tcPr>
          <w:p w14:paraId="292C3389"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315</w:t>
            </w:r>
          </w:p>
        </w:tc>
        <w:tc>
          <w:tcPr>
            <w:tcW w:w="801" w:type="dxa"/>
            <w:tcBorders>
              <w:top w:val="nil"/>
              <w:left w:val="nil"/>
              <w:bottom w:val="nil"/>
              <w:right w:val="nil"/>
            </w:tcBorders>
            <w:shd w:val="clear" w:color="auto" w:fill="auto"/>
            <w:noWrap/>
            <w:vAlign w:val="center"/>
            <w:hideMark/>
          </w:tcPr>
          <w:p w14:paraId="1FC1D235"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315</w:t>
            </w:r>
          </w:p>
        </w:tc>
      </w:tr>
      <w:tr w:rsidR="00B45F0E" w:rsidRPr="00B45F0E" w14:paraId="49EA8C09" w14:textId="77777777" w:rsidTr="00B63F1A">
        <w:trPr>
          <w:trHeight w:val="288"/>
        </w:trPr>
        <w:tc>
          <w:tcPr>
            <w:tcW w:w="685" w:type="dxa"/>
            <w:tcBorders>
              <w:top w:val="nil"/>
              <w:left w:val="nil"/>
              <w:bottom w:val="nil"/>
              <w:right w:val="nil"/>
            </w:tcBorders>
            <w:shd w:val="clear" w:color="auto" w:fill="auto"/>
            <w:noWrap/>
            <w:vAlign w:val="bottom"/>
            <w:hideMark/>
          </w:tcPr>
          <w:p w14:paraId="39F5AE0D"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p>
        </w:tc>
        <w:tc>
          <w:tcPr>
            <w:tcW w:w="2920" w:type="dxa"/>
            <w:tcBorders>
              <w:top w:val="nil"/>
              <w:left w:val="nil"/>
              <w:bottom w:val="nil"/>
              <w:right w:val="nil"/>
            </w:tcBorders>
            <w:shd w:val="clear" w:color="auto" w:fill="auto"/>
            <w:noWrap/>
            <w:vAlign w:val="center"/>
            <w:hideMark/>
          </w:tcPr>
          <w:p w14:paraId="2122FA06" w14:textId="77777777" w:rsidR="00B45F0E" w:rsidRPr="00B45F0E" w:rsidRDefault="00B45F0E" w:rsidP="00B45F0E">
            <w:pPr>
              <w:spacing w:after="0" w:line="240" w:lineRule="auto"/>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verejné vysoké školy</w:t>
            </w:r>
          </w:p>
        </w:tc>
        <w:tc>
          <w:tcPr>
            <w:tcW w:w="801" w:type="dxa"/>
            <w:tcBorders>
              <w:top w:val="nil"/>
              <w:left w:val="nil"/>
              <w:bottom w:val="nil"/>
              <w:right w:val="nil"/>
            </w:tcBorders>
            <w:shd w:val="clear" w:color="auto" w:fill="auto"/>
            <w:noWrap/>
            <w:vAlign w:val="center"/>
            <w:hideMark/>
          </w:tcPr>
          <w:p w14:paraId="55DE6EBA"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19 675</w:t>
            </w:r>
          </w:p>
        </w:tc>
        <w:tc>
          <w:tcPr>
            <w:tcW w:w="801" w:type="dxa"/>
            <w:tcBorders>
              <w:top w:val="nil"/>
              <w:left w:val="nil"/>
              <w:bottom w:val="nil"/>
              <w:right w:val="nil"/>
            </w:tcBorders>
            <w:shd w:val="clear" w:color="auto" w:fill="auto"/>
            <w:noWrap/>
            <w:vAlign w:val="center"/>
            <w:hideMark/>
          </w:tcPr>
          <w:p w14:paraId="514AB866"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19 509</w:t>
            </w:r>
          </w:p>
        </w:tc>
        <w:tc>
          <w:tcPr>
            <w:tcW w:w="801" w:type="dxa"/>
            <w:tcBorders>
              <w:top w:val="nil"/>
              <w:left w:val="nil"/>
              <w:bottom w:val="nil"/>
              <w:right w:val="nil"/>
            </w:tcBorders>
            <w:shd w:val="clear" w:color="auto" w:fill="auto"/>
            <w:noWrap/>
            <w:vAlign w:val="center"/>
            <w:hideMark/>
          </w:tcPr>
          <w:p w14:paraId="3A91114C"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17 526</w:t>
            </w:r>
          </w:p>
        </w:tc>
        <w:tc>
          <w:tcPr>
            <w:tcW w:w="937" w:type="dxa"/>
            <w:tcBorders>
              <w:top w:val="nil"/>
              <w:left w:val="nil"/>
              <w:bottom w:val="nil"/>
              <w:right w:val="nil"/>
            </w:tcBorders>
            <w:shd w:val="clear" w:color="auto" w:fill="auto"/>
            <w:noWrap/>
            <w:vAlign w:val="center"/>
            <w:hideMark/>
          </w:tcPr>
          <w:p w14:paraId="6A516E31"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19 475</w:t>
            </w:r>
          </w:p>
        </w:tc>
        <w:tc>
          <w:tcPr>
            <w:tcW w:w="801" w:type="dxa"/>
            <w:tcBorders>
              <w:top w:val="nil"/>
              <w:left w:val="nil"/>
              <w:bottom w:val="nil"/>
              <w:right w:val="nil"/>
            </w:tcBorders>
            <w:shd w:val="clear" w:color="auto" w:fill="auto"/>
            <w:noWrap/>
            <w:vAlign w:val="center"/>
            <w:hideMark/>
          </w:tcPr>
          <w:p w14:paraId="50FD48FB"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17 526</w:t>
            </w:r>
          </w:p>
        </w:tc>
        <w:tc>
          <w:tcPr>
            <w:tcW w:w="801" w:type="dxa"/>
            <w:tcBorders>
              <w:top w:val="nil"/>
              <w:left w:val="nil"/>
              <w:bottom w:val="nil"/>
              <w:right w:val="nil"/>
            </w:tcBorders>
            <w:shd w:val="clear" w:color="auto" w:fill="auto"/>
            <w:noWrap/>
            <w:vAlign w:val="center"/>
            <w:hideMark/>
          </w:tcPr>
          <w:p w14:paraId="1FE5B6B4"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17 526</w:t>
            </w:r>
          </w:p>
        </w:tc>
        <w:tc>
          <w:tcPr>
            <w:tcW w:w="801" w:type="dxa"/>
            <w:tcBorders>
              <w:top w:val="nil"/>
              <w:left w:val="nil"/>
              <w:bottom w:val="nil"/>
              <w:right w:val="nil"/>
            </w:tcBorders>
            <w:shd w:val="clear" w:color="auto" w:fill="auto"/>
            <w:noWrap/>
            <w:vAlign w:val="center"/>
            <w:hideMark/>
          </w:tcPr>
          <w:p w14:paraId="4A9ED1FC"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17 526</w:t>
            </w:r>
          </w:p>
        </w:tc>
      </w:tr>
      <w:tr w:rsidR="00B45F0E" w:rsidRPr="00B45F0E" w14:paraId="570919F0" w14:textId="77777777" w:rsidTr="00B63F1A">
        <w:trPr>
          <w:trHeight w:val="288"/>
        </w:trPr>
        <w:tc>
          <w:tcPr>
            <w:tcW w:w="685" w:type="dxa"/>
            <w:tcBorders>
              <w:top w:val="nil"/>
              <w:left w:val="nil"/>
              <w:bottom w:val="nil"/>
              <w:right w:val="nil"/>
            </w:tcBorders>
            <w:shd w:val="clear" w:color="auto" w:fill="auto"/>
            <w:noWrap/>
            <w:vAlign w:val="bottom"/>
            <w:hideMark/>
          </w:tcPr>
          <w:p w14:paraId="460B06CB"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p>
        </w:tc>
        <w:tc>
          <w:tcPr>
            <w:tcW w:w="2920" w:type="dxa"/>
            <w:tcBorders>
              <w:top w:val="nil"/>
              <w:left w:val="nil"/>
              <w:bottom w:val="nil"/>
              <w:right w:val="nil"/>
            </w:tcBorders>
            <w:shd w:val="clear" w:color="auto" w:fill="auto"/>
            <w:noWrap/>
            <w:vAlign w:val="center"/>
            <w:hideMark/>
          </w:tcPr>
          <w:p w14:paraId="30106533" w14:textId="77777777" w:rsidR="00B45F0E" w:rsidRPr="00B45F0E" w:rsidRDefault="00B45F0E" w:rsidP="00B45F0E">
            <w:pPr>
              <w:spacing w:after="0" w:line="240" w:lineRule="auto"/>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verejné výskumné inštitúcie</w:t>
            </w:r>
          </w:p>
        </w:tc>
        <w:tc>
          <w:tcPr>
            <w:tcW w:w="801" w:type="dxa"/>
            <w:tcBorders>
              <w:top w:val="nil"/>
              <w:left w:val="nil"/>
              <w:bottom w:val="nil"/>
              <w:right w:val="nil"/>
            </w:tcBorders>
            <w:shd w:val="clear" w:color="auto" w:fill="auto"/>
            <w:noWrap/>
            <w:vAlign w:val="center"/>
            <w:hideMark/>
          </w:tcPr>
          <w:p w14:paraId="00072C00"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0</w:t>
            </w:r>
          </w:p>
        </w:tc>
        <w:tc>
          <w:tcPr>
            <w:tcW w:w="801" w:type="dxa"/>
            <w:tcBorders>
              <w:top w:val="nil"/>
              <w:left w:val="nil"/>
              <w:bottom w:val="nil"/>
              <w:right w:val="nil"/>
            </w:tcBorders>
            <w:shd w:val="clear" w:color="auto" w:fill="auto"/>
            <w:noWrap/>
            <w:vAlign w:val="center"/>
            <w:hideMark/>
          </w:tcPr>
          <w:p w14:paraId="2E2FA0A4"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2 934</w:t>
            </w:r>
          </w:p>
        </w:tc>
        <w:tc>
          <w:tcPr>
            <w:tcW w:w="801" w:type="dxa"/>
            <w:tcBorders>
              <w:top w:val="nil"/>
              <w:left w:val="nil"/>
              <w:bottom w:val="nil"/>
              <w:right w:val="nil"/>
            </w:tcBorders>
            <w:shd w:val="clear" w:color="auto" w:fill="auto"/>
            <w:noWrap/>
            <w:vAlign w:val="center"/>
            <w:hideMark/>
          </w:tcPr>
          <w:p w14:paraId="74328699"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2 870</w:t>
            </w:r>
          </w:p>
        </w:tc>
        <w:tc>
          <w:tcPr>
            <w:tcW w:w="937" w:type="dxa"/>
            <w:tcBorders>
              <w:top w:val="nil"/>
              <w:left w:val="nil"/>
              <w:bottom w:val="nil"/>
              <w:right w:val="nil"/>
            </w:tcBorders>
            <w:shd w:val="clear" w:color="auto" w:fill="auto"/>
            <w:noWrap/>
            <w:vAlign w:val="center"/>
            <w:hideMark/>
          </w:tcPr>
          <w:p w14:paraId="51628CF3"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2 966</w:t>
            </w:r>
          </w:p>
        </w:tc>
        <w:tc>
          <w:tcPr>
            <w:tcW w:w="801" w:type="dxa"/>
            <w:tcBorders>
              <w:top w:val="nil"/>
              <w:left w:val="nil"/>
              <w:bottom w:val="nil"/>
              <w:right w:val="nil"/>
            </w:tcBorders>
            <w:shd w:val="clear" w:color="auto" w:fill="auto"/>
            <w:noWrap/>
            <w:vAlign w:val="center"/>
            <w:hideMark/>
          </w:tcPr>
          <w:p w14:paraId="4CC6195F"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2 940</w:t>
            </w:r>
          </w:p>
        </w:tc>
        <w:tc>
          <w:tcPr>
            <w:tcW w:w="801" w:type="dxa"/>
            <w:tcBorders>
              <w:top w:val="nil"/>
              <w:left w:val="nil"/>
              <w:bottom w:val="nil"/>
              <w:right w:val="nil"/>
            </w:tcBorders>
            <w:shd w:val="clear" w:color="auto" w:fill="auto"/>
            <w:noWrap/>
            <w:vAlign w:val="center"/>
            <w:hideMark/>
          </w:tcPr>
          <w:p w14:paraId="66C83C35"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2 940</w:t>
            </w:r>
          </w:p>
        </w:tc>
        <w:tc>
          <w:tcPr>
            <w:tcW w:w="801" w:type="dxa"/>
            <w:tcBorders>
              <w:top w:val="nil"/>
              <w:left w:val="nil"/>
              <w:bottom w:val="nil"/>
              <w:right w:val="nil"/>
            </w:tcBorders>
            <w:shd w:val="clear" w:color="auto" w:fill="auto"/>
            <w:noWrap/>
            <w:vAlign w:val="center"/>
            <w:hideMark/>
          </w:tcPr>
          <w:p w14:paraId="2ABAB045"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2 940</w:t>
            </w:r>
          </w:p>
        </w:tc>
      </w:tr>
      <w:tr w:rsidR="00B45F0E" w:rsidRPr="00B45F0E" w14:paraId="2131AF7C" w14:textId="77777777" w:rsidTr="00B63F1A">
        <w:trPr>
          <w:trHeight w:val="288"/>
        </w:trPr>
        <w:tc>
          <w:tcPr>
            <w:tcW w:w="685" w:type="dxa"/>
            <w:tcBorders>
              <w:top w:val="nil"/>
              <w:left w:val="nil"/>
              <w:bottom w:val="nil"/>
              <w:right w:val="nil"/>
            </w:tcBorders>
            <w:shd w:val="clear" w:color="auto" w:fill="auto"/>
            <w:noWrap/>
            <w:vAlign w:val="bottom"/>
            <w:hideMark/>
          </w:tcPr>
          <w:p w14:paraId="1334E1FC"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p>
        </w:tc>
        <w:tc>
          <w:tcPr>
            <w:tcW w:w="2920" w:type="dxa"/>
            <w:tcBorders>
              <w:top w:val="nil"/>
              <w:left w:val="nil"/>
              <w:bottom w:val="nil"/>
              <w:right w:val="nil"/>
            </w:tcBorders>
            <w:shd w:val="clear" w:color="auto" w:fill="auto"/>
            <w:noWrap/>
            <w:vAlign w:val="center"/>
            <w:hideMark/>
          </w:tcPr>
          <w:p w14:paraId="6ECE3332" w14:textId="77777777" w:rsidR="00B45F0E" w:rsidRPr="00B45F0E" w:rsidRDefault="00B45F0E" w:rsidP="00B45F0E">
            <w:pPr>
              <w:spacing w:after="0" w:line="240" w:lineRule="auto"/>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ďalšie subjekty spolu</w:t>
            </w:r>
          </w:p>
        </w:tc>
        <w:tc>
          <w:tcPr>
            <w:tcW w:w="801" w:type="dxa"/>
            <w:tcBorders>
              <w:top w:val="nil"/>
              <w:left w:val="nil"/>
              <w:bottom w:val="nil"/>
              <w:right w:val="nil"/>
            </w:tcBorders>
            <w:shd w:val="clear" w:color="auto" w:fill="auto"/>
            <w:noWrap/>
            <w:vAlign w:val="center"/>
            <w:hideMark/>
          </w:tcPr>
          <w:p w14:paraId="778EFD45"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66 419</w:t>
            </w:r>
          </w:p>
        </w:tc>
        <w:tc>
          <w:tcPr>
            <w:tcW w:w="801" w:type="dxa"/>
            <w:tcBorders>
              <w:top w:val="nil"/>
              <w:left w:val="nil"/>
              <w:bottom w:val="nil"/>
              <w:right w:val="nil"/>
            </w:tcBorders>
            <w:shd w:val="clear" w:color="auto" w:fill="auto"/>
            <w:noWrap/>
            <w:vAlign w:val="center"/>
            <w:hideMark/>
          </w:tcPr>
          <w:p w14:paraId="439746DD"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70 053</w:t>
            </w:r>
          </w:p>
        </w:tc>
        <w:tc>
          <w:tcPr>
            <w:tcW w:w="801" w:type="dxa"/>
            <w:tcBorders>
              <w:top w:val="nil"/>
              <w:left w:val="nil"/>
              <w:bottom w:val="nil"/>
              <w:right w:val="nil"/>
            </w:tcBorders>
            <w:shd w:val="clear" w:color="auto" w:fill="auto"/>
            <w:noWrap/>
            <w:vAlign w:val="center"/>
            <w:hideMark/>
          </w:tcPr>
          <w:p w14:paraId="1D865D6F"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71 595</w:t>
            </w:r>
          </w:p>
        </w:tc>
        <w:tc>
          <w:tcPr>
            <w:tcW w:w="937" w:type="dxa"/>
            <w:tcBorders>
              <w:top w:val="nil"/>
              <w:left w:val="nil"/>
              <w:bottom w:val="nil"/>
              <w:right w:val="nil"/>
            </w:tcBorders>
            <w:shd w:val="clear" w:color="auto" w:fill="auto"/>
            <w:noWrap/>
            <w:vAlign w:val="center"/>
            <w:hideMark/>
          </w:tcPr>
          <w:p w14:paraId="46BB3A4C"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70 193</w:t>
            </w:r>
          </w:p>
        </w:tc>
        <w:tc>
          <w:tcPr>
            <w:tcW w:w="801" w:type="dxa"/>
            <w:tcBorders>
              <w:top w:val="nil"/>
              <w:left w:val="nil"/>
              <w:bottom w:val="nil"/>
              <w:right w:val="nil"/>
            </w:tcBorders>
            <w:shd w:val="clear" w:color="auto" w:fill="auto"/>
            <w:noWrap/>
            <w:vAlign w:val="center"/>
            <w:hideMark/>
          </w:tcPr>
          <w:p w14:paraId="17B860AF"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72 058</w:t>
            </w:r>
          </w:p>
        </w:tc>
        <w:tc>
          <w:tcPr>
            <w:tcW w:w="801" w:type="dxa"/>
            <w:tcBorders>
              <w:top w:val="nil"/>
              <w:left w:val="nil"/>
              <w:bottom w:val="nil"/>
              <w:right w:val="nil"/>
            </w:tcBorders>
            <w:shd w:val="clear" w:color="auto" w:fill="auto"/>
            <w:noWrap/>
            <w:vAlign w:val="center"/>
            <w:hideMark/>
          </w:tcPr>
          <w:p w14:paraId="1761E2B5"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72 146</w:t>
            </w:r>
          </w:p>
        </w:tc>
        <w:tc>
          <w:tcPr>
            <w:tcW w:w="801" w:type="dxa"/>
            <w:tcBorders>
              <w:top w:val="nil"/>
              <w:left w:val="nil"/>
              <w:bottom w:val="nil"/>
              <w:right w:val="nil"/>
            </w:tcBorders>
            <w:shd w:val="clear" w:color="auto" w:fill="auto"/>
            <w:noWrap/>
            <w:vAlign w:val="center"/>
            <w:hideMark/>
          </w:tcPr>
          <w:p w14:paraId="2142F806"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72 306</w:t>
            </w:r>
          </w:p>
        </w:tc>
      </w:tr>
      <w:tr w:rsidR="00B45F0E" w:rsidRPr="00B45F0E" w14:paraId="6595ECD3" w14:textId="77777777" w:rsidTr="00B63F1A">
        <w:trPr>
          <w:trHeight w:val="288"/>
        </w:trPr>
        <w:tc>
          <w:tcPr>
            <w:tcW w:w="3605" w:type="dxa"/>
            <w:gridSpan w:val="2"/>
            <w:tcBorders>
              <w:top w:val="nil"/>
              <w:left w:val="nil"/>
              <w:bottom w:val="nil"/>
              <w:right w:val="nil"/>
            </w:tcBorders>
            <w:shd w:val="clear" w:color="auto" w:fill="auto"/>
            <w:noWrap/>
            <w:vAlign w:val="center"/>
            <w:hideMark/>
          </w:tcPr>
          <w:p w14:paraId="0A25EF75"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B/  Územná samospráva spolu</w:t>
            </w:r>
            <w:r w:rsidRPr="00B45F0E">
              <w:rPr>
                <w:rFonts w:ascii="Times New Roman" w:eastAsia="Times New Roman" w:hAnsi="Times New Roman" w:cs="Times New Roman"/>
                <w:b/>
                <w:bCs/>
                <w:color w:val="000000"/>
                <w:sz w:val="14"/>
                <w:szCs w:val="14"/>
                <w:lang w:eastAsia="sk-SK"/>
              </w:rPr>
              <w:t xml:space="preserve"> </w:t>
            </w:r>
            <w:r w:rsidRPr="00B45F0E">
              <w:rPr>
                <w:rFonts w:ascii="Times New Roman" w:eastAsia="Times New Roman" w:hAnsi="Times New Roman" w:cs="Times New Roman"/>
                <w:color w:val="000000"/>
                <w:sz w:val="14"/>
                <w:szCs w:val="14"/>
                <w:lang w:eastAsia="sk-SK"/>
              </w:rPr>
              <w:t>(vr. zdrav. zariadení a DP)</w:t>
            </w:r>
          </w:p>
        </w:tc>
        <w:tc>
          <w:tcPr>
            <w:tcW w:w="801" w:type="dxa"/>
            <w:tcBorders>
              <w:top w:val="nil"/>
              <w:left w:val="nil"/>
              <w:bottom w:val="nil"/>
              <w:right w:val="nil"/>
            </w:tcBorders>
            <w:shd w:val="clear" w:color="auto" w:fill="auto"/>
            <w:noWrap/>
            <w:vAlign w:val="center"/>
            <w:hideMark/>
          </w:tcPr>
          <w:p w14:paraId="6C6012F3"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196 693</w:t>
            </w:r>
          </w:p>
        </w:tc>
        <w:tc>
          <w:tcPr>
            <w:tcW w:w="801" w:type="dxa"/>
            <w:tcBorders>
              <w:top w:val="nil"/>
              <w:left w:val="nil"/>
              <w:bottom w:val="nil"/>
              <w:right w:val="nil"/>
            </w:tcBorders>
            <w:shd w:val="clear" w:color="auto" w:fill="auto"/>
            <w:noWrap/>
            <w:vAlign w:val="center"/>
            <w:hideMark/>
          </w:tcPr>
          <w:p w14:paraId="3CC3DE00"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200 768</w:t>
            </w:r>
          </w:p>
        </w:tc>
        <w:tc>
          <w:tcPr>
            <w:tcW w:w="801" w:type="dxa"/>
            <w:tcBorders>
              <w:top w:val="nil"/>
              <w:left w:val="nil"/>
              <w:bottom w:val="nil"/>
              <w:right w:val="nil"/>
            </w:tcBorders>
            <w:shd w:val="clear" w:color="auto" w:fill="auto"/>
            <w:noWrap/>
            <w:vAlign w:val="center"/>
            <w:hideMark/>
          </w:tcPr>
          <w:p w14:paraId="41288B3A"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200 955</w:t>
            </w:r>
          </w:p>
        </w:tc>
        <w:tc>
          <w:tcPr>
            <w:tcW w:w="937" w:type="dxa"/>
            <w:tcBorders>
              <w:top w:val="nil"/>
              <w:left w:val="nil"/>
              <w:bottom w:val="nil"/>
              <w:right w:val="nil"/>
            </w:tcBorders>
            <w:shd w:val="clear" w:color="auto" w:fill="auto"/>
            <w:noWrap/>
            <w:vAlign w:val="center"/>
            <w:hideMark/>
          </w:tcPr>
          <w:p w14:paraId="4B72191F"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202 206</w:t>
            </w:r>
          </w:p>
        </w:tc>
        <w:tc>
          <w:tcPr>
            <w:tcW w:w="801" w:type="dxa"/>
            <w:tcBorders>
              <w:top w:val="nil"/>
              <w:left w:val="nil"/>
              <w:bottom w:val="nil"/>
              <w:right w:val="nil"/>
            </w:tcBorders>
            <w:shd w:val="clear" w:color="auto" w:fill="auto"/>
            <w:noWrap/>
            <w:vAlign w:val="center"/>
            <w:hideMark/>
          </w:tcPr>
          <w:p w14:paraId="733A870F"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209 539</w:t>
            </w:r>
          </w:p>
        </w:tc>
        <w:tc>
          <w:tcPr>
            <w:tcW w:w="801" w:type="dxa"/>
            <w:tcBorders>
              <w:top w:val="nil"/>
              <w:left w:val="nil"/>
              <w:bottom w:val="nil"/>
              <w:right w:val="nil"/>
            </w:tcBorders>
            <w:shd w:val="clear" w:color="auto" w:fill="auto"/>
            <w:noWrap/>
            <w:vAlign w:val="center"/>
            <w:hideMark/>
          </w:tcPr>
          <w:p w14:paraId="275C519F"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210 445</w:t>
            </w:r>
          </w:p>
        </w:tc>
        <w:tc>
          <w:tcPr>
            <w:tcW w:w="801" w:type="dxa"/>
            <w:tcBorders>
              <w:top w:val="nil"/>
              <w:left w:val="nil"/>
              <w:bottom w:val="nil"/>
              <w:right w:val="nil"/>
            </w:tcBorders>
            <w:shd w:val="clear" w:color="auto" w:fill="auto"/>
            <w:noWrap/>
            <w:vAlign w:val="center"/>
            <w:hideMark/>
          </w:tcPr>
          <w:p w14:paraId="1BB40E51"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204 692</w:t>
            </w:r>
          </w:p>
        </w:tc>
      </w:tr>
      <w:tr w:rsidR="00B45F0E" w:rsidRPr="00B45F0E" w14:paraId="734D5CFE" w14:textId="77777777" w:rsidTr="00B63F1A">
        <w:trPr>
          <w:trHeight w:val="288"/>
        </w:trPr>
        <w:tc>
          <w:tcPr>
            <w:tcW w:w="3605" w:type="dxa"/>
            <w:gridSpan w:val="2"/>
            <w:tcBorders>
              <w:top w:val="nil"/>
              <w:left w:val="nil"/>
              <w:bottom w:val="single" w:sz="4" w:space="0" w:color="auto"/>
              <w:right w:val="nil"/>
            </w:tcBorders>
            <w:shd w:val="clear" w:color="auto" w:fill="auto"/>
            <w:noWrap/>
            <w:vAlign w:val="center"/>
            <w:hideMark/>
          </w:tcPr>
          <w:p w14:paraId="43AB4BB8"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C/  Fondy sociálneho a zdravotného poistenia spolu</w:t>
            </w:r>
          </w:p>
        </w:tc>
        <w:tc>
          <w:tcPr>
            <w:tcW w:w="801" w:type="dxa"/>
            <w:tcBorders>
              <w:top w:val="nil"/>
              <w:left w:val="nil"/>
              <w:bottom w:val="single" w:sz="4" w:space="0" w:color="auto"/>
              <w:right w:val="nil"/>
            </w:tcBorders>
            <w:shd w:val="clear" w:color="auto" w:fill="auto"/>
            <w:noWrap/>
            <w:vAlign w:val="center"/>
            <w:hideMark/>
          </w:tcPr>
          <w:p w14:paraId="1D84AF5B"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7 306</w:t>
            </w:r>
          </w:p>
        </w:tc>
        <w:tc>
          <w:tcPr>
            <w:tcW w:w="801" w:type="dxa"/>
            <w:tcBorders>
              <w:top w:val="nil"/>
              <w:left w:val="nil"/>
              <w:bottom w:val="single" w:sz="4" w:space="0" w:color="auto"/>
              <w:right w:val="nil"/>
            </w:tcBorders>
            <w:shd w:val="clear" w:color="auto" w:fill="auto"/>
            <w:noWrap/>
            <w:vAlign w:val="center"/>
            <w:hideMark/>
          </w:tcPr>
          <w:p w14:paraId="064803EA"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7 302</w:t>
            </w:r>
          </w:p>
        </w:tc>
        <w:tc>
          <w:tcPr>
            <w:tcW w:w="801" w:type="dxa"/>
            <w:tcBorders>
              <w:top w:val="nil"/>
              <w:left w:val="nil"/>
              <w:bottom w:val="single" w:sz="4" w:space="0" w:color="auto"/>
              <w:right w:val="nil"/>
            </w:tcBorders>
            <w:shd w:val="clear" w:color="auto" w:fill="auto"/>
            <w:noWrap/>
            <w:vAlign w:val="center"/>
            <w:hideMark/>
          </w:tcPr>
          <w:p w14:paraId="13CAD0EC"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7 358</w:t>
            </w:r>
          </w:p>
        </w:tc>
        <w:tc>
          <w:tcPr>
            <w:tcW w:w="937" w:type="dxa"/>
            <w:tcBorders>
              <w:top w:val="nil"/>
              <w:left w:val="nil"/>
              <w:bottom w:val="single" w:sz="4" w:space="0" w:color="auto"/>
              <w:right w:val="nil"/>
            </w:tcBorders>
            <w:shd w:val="clear" w:color="auto" w:fill="auto"/>
            <w:noWrap/>
            <w:vAlign w:val="center"/>
            <w:hideMark/>
          </w:tcPr>
          <w:p w14:paraId="66BDA7F4"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7 275</w:t>
            </w:r>
          </w:p>
        </w:tc>
        <w:tc>
          <w:tcPr>
            <w:tcW w:w="801" w:type="dxa"/>
            <w:tcBorders>
              <w:top w:val="nil"/>
              <w:left w:val="nil"/>
              <w:bottom w:val="single" w:sz="4" w:space="0" w:color="auto"/>
              <w:right w:val="nil"/>
            </w:tcBorders>
            <w:shd w:val="clear" w:color="auto" w:fill="auto"/>
            <w:noWrap/>
            <w:vAlign w:val="center"/>
            <w:hideMark/>
          </w:tcPr>
          <w:p w14:paraId="14E11AA7"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7 391</w:t>
            </w:r>
          </w:p>
        </w:tc>
        <w:tc>
          <w:tcPr>
            <w:tcW w:w="801" w:type="dxa"/>
            <w:tcBorders>
              <w:top w:val="nil"/>
              <w:left w:val="nil"/>
              <w:bottom w:val="single" w:sz="4" w:space="0" w:color="auto"/>
              <w:right w:val="nil"/>
            </w:tcBorders>
            <w:shd w:val="clear" w:color="auto" w:fill="auto"/>
            <w:noWrap/>
            <w:vAlign w:val="center"/>
            <w:hideMark/>
          </w:tcPr>
          <w:p w14:paraId="1AC8386F"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7 407</w:t>
            </w:r>
          </w:p>
        </w:tc>
        <w:tc>
          <w:tcPr>
            <w:tcW w:w="801" w:type="dxa"/>
            <w:tcBorders>
              <w:top w:val="nil"/>
              <w:left w:val="nil"/>
              <w:bottom w:val="single" w:sz="4" w:space="0" w:color="auto"/>
              <w:right w:val="nil"/>
            </w:tcBorders>
            <w:shd w:val="clear" w:color="auto" w:fill="auto"/>
            <w:noWrap/>
            <w:vAlign w:val="center"/>
            <w:hideMark/>
          </w:tcPr>
          <w:p w14:paraId="0E29C3E8"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7 308</w:t>
            </w:r>
          </w:p>
        </w:tc>
      </w:tr>
      <w:tr w:rsidR="00B45F0E" w:rsidRPr="00B45F0E" w14:paraId="55AD346B" w14:textId="77777777" w:rsidTr="00B63F1A">
        <w:trPr>
          <w:trHeight w:val="630"/>
        </w:trPr>
        <w:tc>
          <w:tcPr>
            <w:tcW w:w="9348" w:type="dxa"/>
            <w:gridSpan w:val="9"/>
            <w:tcBorders>
              <w:top w:val="nil"/>
              <w:left w:val="nil"/>
              <w:bottom w:val="nil"/>
              <w:right w:val="nil"/>
            </w:tcBorders>
            <w:shd w:val="clear" w:color="auto" w:fill="auto"/>
            <w:hideMark/>
          </w:tcPr>
          <w:p w14:paraId="79F56193" w14:textId="77777777" w:rsidR="00B45F0E" w:rsidRPr="00B45F0E" w:rsidRDefault="00B45F0E" w:rsidP="00B45F0E">
            <w:pPr>
              <w:spacing w:after="0" w:line="240" w:lineRule="auto"/>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OS 2023 v prevažnej miere zohľadňuje  údaje zo štatistiky za 1. polrok 2023. NRVS 2024 až 2026 za územnú samosprávu vychádza z dosiahnutej skutočnosti za 1. polrok 2023.  NRVS 2024 až 2026 je vrátane Plánu obnovy a odolnosti SR.</w:t>
            </w:r>
          </w:p>
        </w:tc>
      </w:tr>
    </w:tbl>
    <w:p w14:paraId="70C0DBFD" w14:textId="5B80CA19" w:rsidR="00B45F0E" w:rsidRDefault="00B45F0E" w:rsidP="00B45F0E">
      <w:pPr>
        <w:spacing w:after="0"/>
        <w:jc w:val="both"/>
        <w:rPr>
          <w:rFonts w:ascii="Times New Roman" w:hAnsi="Times New Roman" w:cs="Times New Roman"/>
          <w:sz w:val="24"/>
          <w:szCs w:val="24"/>
        </w:rPr>
      </w:pPr>
      <w:r w:rsidRPr="00B45F0E">
        <w:rPr>
          <w:rFonts w:ascii="Times New Roman" w:hAnsi="Times New Roman" w:cs="Times New Roman"/>
          <w:sz w:val="24"/>
          <w:szCs w:val="24"/>
        </w:rPr>
        <w:t xml:space="preserve">Zamestnanosť v roku 2024 oproti roku 2023 medziročne rastie o 12 458 osôb. Najvýznamnejší nárast zamestnanosti zo subjektov verejnej správy je v územnej samospráve o 8 584 osôb, najmä z dôvodu prijatia novely zákona č. 245/2008 Z. z. o výchove a vzdelávaní (školský zákon) a o zmene a doplnení niektorých zákonov v znení neskorších predpisov. V ústrednej správe medziročne rastie počet zamestnancov o 3 841 osôb, z toho v štátnych rozpočtových organizáciách o 3 207 osôb. Vo fondoch sociálneho a zdravotného poistenia sa predpokladá nárast počtu zamestnancov o 33 osôb. </w:t>
      </w:r>
    </w:p>
    <w:p w14:paraId="76D60123" w14:textId="0267EA5E" w:rsidR="006C30CD" w:rsidRDefault="006C30CD" w:rsidP="00B45F0E">
      <w:pPr>
        <w:spacing w:after="0"/>
        <w:jc w:val="both"/>
        <w:rPr>
          <w:rFonts w:ascii="Times New Roman" w:hAnsi="Times New Roman" w:cs="Times New Roman"/>
          <w:sz w:val="24"/>
          <w:szCs w:val="24"/>
        </w:rPr>
      </w:pPr>
    </w:p>
    <w:p w14:paraId="6796D42A" w14:textId="11C27F0C" w:rsidR="006C30CD" w:rsidRDefault="006C30CD" w:rsidP="00B45F0E">
      <w:pPr>
        <w:spacing w:after="0"/>
        <w:jc w:val="both"/>
        <w:rPr>
          <w:rFonts w:ascii="Times New Roman" w:hAnsi="Times New Roman" w:cs="Times New Roman"/>
          <w:sz w:val="24"/>
          <w:szCs w:val="24"/>
        </w:rPr>
      </w:pPr>
    </w:p>
    <w:p w14:paraId="6D90986B" w14:textId="25D2DBB9" w:rsidR="006C30CD" w:rsidRDefault="006C30CD" w:rsidP="00B45F0E">
      <w:pPr>
        <w:spacing w:after="0"/>
        <w:jc w:val="both"/>
        <w:rPr>
          <w:rFonts w:ascii="Times New Roman" w:hAnsi="Times New Roman" w:cs="Times New Roman"/>
          <w:sz w:val="24"/>
          <w:szCs w:val="24"/>
        </w:rPr>
      </w:pPr>
    </w:p>
    <w:p w14:paraId="2544201A" w14:textId="41711C64" w:rsidR="006C30CD" w:rsidRDefault="006C30CD" w:rsidP="00B45F0E">
      <w:pPr>
        <w:spacing w:after="0"/>
        <w:jc w:val="both"/>
        <w:rPr>
          <w:rFonts w:ascii="Times New Roman" w:hAnsi="Times New Roman" w:cs="Times New Roman"/>
          <w:sz w:val="24"/>
          <w:szCs w:val="24"/>
        </w:rPr>
      </w:pPr>
    </w:p>
    <w:p w14:paraId="2B5AF761" w14:textId="3DC15B02" w:rsidR="006C30CD" w:rsidRDefault="006C30CD" w:rsidP="00B45F0E">
      <w:pPr>
        <w:spacing w:after="0"/>
        <w:jc w:val="both"/>
        <w:rPr>
          <w:rFonts w:ascii="Times New Roman" w:hAnsi="Times New Roman" w:cs="Times New Roman"/>
          <w:sz w:val="24"/>
          <w:szCs w:val="24"/>
        </w:rPr>
      </w:pPr>
    </w:p>
    <w:p w14:paraId="3DCD3214" w14:textId="021C5930" w:rsidR="006C30CD" w:rsidRDefault="006C30CD" w:rsidP="00B45F0E">
      <w:pPr>
        <w:spacing w:after="0"/>
        <w:jc w:val="both"/>
        <w:rPr>
          <w:rFonts w:ascii="Times New Roman" w:hAnsi="Times New Roman" w:cs="Times New Roman"/>
          <w:sz w:val="24"/>
          <w:szCs w:val="24"/>
        </w:rPr>
      </w:pPr>
    </w:p>
    <w:p w14:paraId="149645D4" w14:textId="4680C6BA" w:rsidR="006C30CD" w:rsidRDefault="006C30CD" w:rsidP="00B45F0E">
      <w:pPr>
        <w:spacing w:after="0"/>
        <w:jc w:val="both"/>
        <w:rPr>
          <w:rFonts w:ascii="Times New Roman" w:hAnsi="Times New Roman" w:cs="Times New Roman"/>
          <w:sz w:val="24"/>
          <w:szCs w:val="24"/>
        </w:rPr>
      </w:pPr>
    </w:p>
    <w:p w14:paraId="5554A9BB" w14:textId="727E146A" w:rsidR="006C30CD" w:rsidRDefault="006C30CD" w:rsidP="00B45F0E">
      <w:pPr>
        <w:spacing w:after="0"/>
        <w:jc w:val="both"/>
        <w:rPr>
          <w:rFonts w:ascii="Times New Roman" w:hAnsi="Times New Roman" w:cs="Times New Roman"/>
          <w:sz w:val="24"/>
          <w:szCs w:val="24"/>
        </w:rPr>
      </w:pPr>
    </w:p>
    <w:p w14:paraId="69E21998" w14:textId="08049F13" w:rsidR="006C30CD" w:rsidRDefault="006C30CD" w:rsidP="00B45F0E">
      <w:pPr>
        <w:spacing w:after="0"/>
        <w:jc w:val="both"/>
        <w:rPr>
          <w:rFonts w:ascii="Times New Roman" w:hAnsi="Times New Roman" w:cs="Times New Roman"/>
          <w:sz w:val="24"/>
          <w:szCs w:val="24"/>
        </w:rPr>
      </w:pPr>
    </w:p>
    <w:p w14:paraId="34574D82" w14:textId="7B90BC48" w:rsidR="006C30CD" w:rsidRDefault="006C30CD" w:rsidP="00B45F0E">
      <w:pPr>
        <w:spacing w:after="0"/>
        <w:jc w:val="both"/>
        <w:rPr>
          <w:rFonts w:ascii="Times New Roman" w:hAnsi="Times New Roman" w:cs="Times New Roman"/>
          <w:sz w:val="24"/>
          <w:szCs w:val="24"/>
        </w:rPr>
      </w:pPr>
    </w:p>
    <w:p w14:paraId="7A94177B" w14:textId="29774C17" w:rsidR="006C30CD" w:rsidRDefault="006C30CD" w:rsidP="00B45F0E">
      <w:pPr>
        <w:spacing w:after="0"/>
        <w:jc w:val="both"/>
        <w:rPr>
          <w:rFonts w:ascii="Times New Roman" w:hAnsi="Times New Roman" w:cs="Times New Roman"/>
          <w:sz w:val="24"/>
          <w:szCs w:val="24"/>
        </w:rPr>
      </w:pPr>
    </w:p>
    <w:p w14:paraId="60AEE51F" w14:textId="5ABA45DD" w:rsidR="006C30CD" w:rsidRDefault="006C30CD" w:rsidP="00B45F0E">
      <w:pPr>
        <w:spacing w:after="0"/>
        <w:jc w:val="both"/>
        <w:rPr>
          <w:rFonts w:ascii="Times New Roman" w:hAnsi="Times New Roman" w:cs="Times New Roman"/>
          <w:sz w:val="24"/>
          <w:szCs w:val="24"/>
        </w:rPr>
      </w:pPr>
    </w:p>
    <w:p w14:paraId="37170587" w14:textId="17B460BA" w:rsidR="006C30CD" w:rsidRDefault="006C30CD" w:rsidP="00B45F0E">
      <w:pPr>
        <w:spacing w:after="0"/>
        <w:jc w:val="both"/>
        <w:rPr>
          <w:rFonts w:ascii="Times New Roman" w:hAnsi="Times New Roman" w:cs="Times New Roman"/>
          <w:sz w:val="24"/>
          <w:szCs w:val="24"/>
        </w:rPr>
      </w:pPr>
    </w:p>
    <w:p w14:paraId="7DEF6B40" w14:textId="17839734" w:rsidR="006C30CD" w:rsidRDefault="006C30CD" w:rsidP="00B45F0E">
      <w:pPr>
        <w:spacing w:after="0"/>
        <w:jc w:val="both"/>
        <w:rPr>
          <w:rFonts w:ascii="Times New Roman" w:hAnsi="Times New Roman" w:cs="Times New Roman"/>
          <w:sz w:val="24"/>
          <w:szCs w:val="24"/>
        </w:rPr>
      </w:pPr>
    </w:p>
    <w:p w14:paraId="2E4C644F" w14:textId="5D92FDA3" w:rsidR="006C30CD" w:rsidRDefault="006C30CD" w:rsidP="00B45F0E">
      <w:pPr>
        <w:spacing w:after="0"/>
        <w:jc w:val="both"/>
        <w:rPr>
          <w:rFonts w:ascii="Times New Roman" w:hAnsi="Times New Roman" w:cs="Times New Roman"/>
          <w:sz w:val="24"/>
          <w:szCs w:val="24"/>
        </w:rPr>
      </w:pPr>
    </w:p>
    <w:p w14:paraId="6B194089" w14:textId="602C417E" w:rsidR="006C30CD" w:rsidRDefault="006C30CD" w:rsidP="00B45F0E">
      <w:pPr>
        <w:spacing w:after="0"/>
        <w:jc w:val="both"/>
        <w:rPr>
          <w:rFonts w:ascii="Times New Roman" w:hAnsi="Times New Roman" w:cs="Times New Roman"/>
          <w:sz w:val="24"/>
          <w:szCs w:val="24"/>
        </w:rPr>
      </w:pPr>
    </w:p>
    <w:p w14:paraId="1CD96055" w14:textId="776BADFD" w:rsidR="006C30CD" w:rsidRDefault="006C30CD" w:rsidP="00B45F0E">
      <w:pPr>
        <w:spacing w:after="0"/>
        <w:jc w:val="both"/>
        <w:rPr>
          <w:rFonts w:ascii="Times New Roman" w:hAnsi="Times New Roman" w:cs="Times New Roman"/>
          <w:sz w:val="24"/>
          <w:szCs w:val="24"/>
        </w:rPr>
      </w:pPr>
    </w:p>
    <w:p w14:paraId="78FEBA91" w14:textId="77777777" w:rsidR="006C30CD" w:rsidRPr="00B45F0E" w:rsidRDefault="006C30CD" w:rsidP="00B45F0E">
      <w:pPr>
        <w:spacing w:after="0"/>
        <w:jc w:val="both"/>
        <w:rPr>
          <w:rFonts w:ascii="Times New Roman" w:hAnsi="Times New Roman" w:cs="Times New Roman"/>
          <w:sz w:val="24"/>
          <w:szCs w:val="24"/>
        </w:rPr>
      </w:pPr>
    </w:p>
    <w:p w14:paraId="31C46110" w14:textId="77777777" w:rsidR="00B45F0E" w:rsidRPr="00B45F0E" w:rsidRDefault="00B45F0E" w:rsidP="00B45F0E">
      <w:pPr>
        <w:spacing w:after="0"/>
        <w:jc w:val="both"/>
        <w:rPr>
          <w:rFonts w:ascii="Times New Roman" w:hAnsi="Times New Roman" w:cs="Times New Roman"/>
          <w:b/>
          <w:i/>
          <w:color w:val="5B9BD5" w:themeColor="accent1"/>
          <w:sz w:val="20"/>
          <w:szCs w:val="20"/>
        </w:rPr>
      </w:pPr>
    </w:p>
    <w:p w14:paraId="55CC68DF" w14:textId="2D27D81B" w:rsidR="00B45F0E" w:rsidRPr="00B45F0E" w:rsidRDefault="00B45F0E" w:rsidP="006C30CD">
      <w:pPr>
        <w:tabs>
          <w:tab w:val="left" w:pos="7088"/>
        </w:tabs>
        <w:spacing w:after="0" w:line="240" w:lineRule="auto"/>
        <w:rPr>
          <w:rFonts w:ascii="Times New Roman" w:hAnsi="Times New Roman" w:cs="Times New Roman"/>
          <w:b/>
          <w:iCs/>
          <w:color w:val="FF0000"/>
          <w:sz w:val="20"/>
          <w:szCs w:val="20"/>
        </w:rPr>
      </w:pPr>
      <w:bookmarkStart w:id="164" w:name="_Toc153014654"/>
      <w:r>
        <w:rPr>
          <w:rFonts w:ascii="Times New Roman" w:hAnsi="Times New Roman" w:cs="Times New Roman"/>
          <w:b/>
          <w:iCs/>
          <w:color w:val="5B9BD5" w:themeColor="accent1"/>
          <w:sz w:val="20"/>
          <w:szCs w:val="20"/>
        </w:rPr>
        <w:lastRenderedPageBreak/>
        <w:t xml:space="preserve">Graf </w:t>
      </w:r>
      <w:r w:rsidRPr="00130C46">
        <w:rPr>
          <w:rFonts w:ascii="Times New Roman" w:eastAsia="Calibri" w:hAnsi="Times New Roman"/>
          <w:b/>
          <w:iCs/>
          <w:color w:val="5B9BD5"/>
          <w:sz w:val="20"/>
          <w:szCs w:val="18"/>
        </w:rPr>
        <w:fldChar w:fldCharType="begin"/>
      </w:r>
      <w:r w:rsidRPr="00130C46">
        <w:rPr>
          <w:rFonts w:ascii="Times New Roman" w:eastAsia="Calibri" w:hAnsi="Times New Roman"/>
          <w:b/>
          <w:iCs/>
          <w:color w:val="5B9BD5"/>
          <w:sz w:val="20"/>
          <w:szCs w:val="18"/>
        </w:rPr>
        <w:instrText xml:space="preserve"> SEQ Obrázok \* ARABIC </w:instrText>
      </w:r>
      <w:r w:rsidRPr="00130C46">
        <w:rPr>
          <w:rFonts w:ascii="Times New Roman" w:eastAsia="Calibri" w:hAnsi="Times New Roman"/>
          <w:b/>
          <w:iCs/>
          <w:color w:val="5B9BD5"/>
          <w:sz w:val="20"/>
          <w:szCs w:val="18"/>
        </w:rPr>
        <w:fldChar w:fldCharType="separate"/>
      </w:r>
      <w:r w:rsidR="003D5A3A">
        <w:rPr>
          <w:rFonts w:ascii="Times New Roman" w:eastAsia="Calibri" w:hAnsi="Times New Roman"/>
          <w:b/>
          <w:iCs/>
          <w:noProof/>
          <w:color w:val="5B9BD5"/>
          <w:sz w:val="20"/>
          <w:szCs w:val="18"/>
        </w:rPr>
        <w:t>7</w:t>
      </w:r>
      <w:r w:rsidRPr="00130C46">
        <w:rPr>
          <w:rFonts w:ascii="Times New Roman" w:eastAsia="Calibri" w:hAnsi="Times New Roman"/>
          <w:b/>
          <w:iCs/>
          <w:color w:val="5B9BD5"/>
          <w:sz w:val="20"/>
          <w:szCs w:val="18"/>
        </w:rPr>
        <w:fldChar w:fldCharType="end"/>
      </w:r>
      <w:r>
        <w:rPr>
          <w:rFonts w:ascii="Times New Roman" w:hAnsi="Times New Roman" w:cs="Times New Roman"/>
          <w:b/>
          <w:iCs/>
          <w:color w:val="5B9BD5" w:themeColor="accent1"/>
          <w:sz w:val="20"/>
          <w:szCs w:val="20"/>
        </w:rPr>
        <w:t xml:space="preserve"> -</w:t>
      </w:r>
      <w:r w:rsidRPr="00B45F0E">
        <w:rPr>
          <w:rFonts w:ascii="Times New Roman" w:hAnsi="Times New Roman" w:cs="Times New Roman"/>
          <w:b/>
          <w:iCs/>
          <w:color w:val="5B9BD5" w:themeColor="accent1"/>
          <w:sz w:val="20"/>
          <w:szCs w:val="20"/>
        </w:rPr>
        <w:t xml:space="preserve"> Medziročná zmena počtu zamestnancov</w:t>
      </w:r>
      <w:bookmarkEnd w:id="164"/>
      <w:r w:rsidRPr="00B45F0E">
        <w:rPr>
          <w:rFonts w:ascii="Times New Roman" w:hAnsi="Times New Roman" w:cs="Times New Roman"/>
          <w:b/>
          <w:iCs/>
          <w:color w:val="FF0000"/>
          <w:sz w:val="20"/>
          <w:szCs w:val="20"/>
        </w:rPr>
        <w:t xml:space="preserve"> </w:t>
      </w:r>
    </w:p>
    <w:p w14:paraId="1DE0067C" w14:textId="77777777" w:rsidR="00B45F0E" w:rsidRPr="00B45F0E" w:rsidRDefault="00B45F0E" w:rsidP="00B45F0E">
      <w:r w:rsidRPr="00B45F0E">
        <w:rPr>
          <w:noProof/>
          <w:lang w:eastAsia="sk-SK"/>
        </w:rPr>
        <w:drawing>
          <wp:inline distT="0" distB="0" distL="0" distR="0" wp14:anchorId="71C5CF43" wp14:editId="4CAD2A0F">
            <wp:extent cx="2733675" cy="3294380"/>
            <wp:effectExtent l="0" t="0" r="9525" b="1270"/>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B45F0E">
        <w:t xml:space="preserve">   </w:t>
      </w:r>
      <w:r w:rsidRPr="00B45F0E">
        <w:rPr>
          <w:noProof/>
          <w:lang w:eastAsia="sk-SK"/>
        </w:rPr>
        <w:drawing>
          <wp:inline distT="0" distB="0" distL="0" distR="0" wp14:anchorId="2A3370DF" wp14:editId="127DD250">
            <wp:extent cx="2714625" cy="3296285"/>
            <wp:effectExtent l="0" t="0" r="9525" b="18415"/>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B45F0E">
        <w:t xml:space="preserve">       </w:t>
      </w:r>
    </w:p>
    <w:p w14:paraId="366583DC" w14:textId="77777777" w:rsidR="00B45F0E" w:rsidRPr="00B45F0E" w:rsidRDefault="00B45F0E" w:rsidP="00B45F0E">
      <w:pPr>
        <w:spacing w:after="0"/>
        <w:jc w:val="both"/>
        <w:rPr>
          <w:rFonts w:ascii="Times New Roman" w:hAnsi="Times New Roman" w:cs="Times New Roman"/>
          <w:i/>
          <w:sz w:val="16"/>
          <w:szCs w:val="16"/>
        </w:rPr>
      </w:pPr>
      <w:r w:rsidRPr="00B45F0E">
        <w:rPr>
          <w:i/>
          <w:noProof/>
          <w:lang w:eastAsia="sk-SK"/>
        </w:rPr>
        <w:t xml:space="preserve">                                                                   </w:t>
      </w:r>
      <w:r w:rsidRPr="00B45F0E">
        <w:rPr>
          <w:rFonts w:ascii="Times New Roman" w:hAnsi="Times New Roman" w:cs="Times New Roman"/>
          <w:i/>
          <w:noProof/>
          <w:sz w:val="16"/>
          <w:szCs w:val="16"/>
          <w:lang w:eastAsia="sk-SK"/>
        </w:rPr>
        <w:t>Zdroj: MF SR                                                                                             Zdroj: MF SR</w:t>
      </w:r>
    </w:p>
    <w:p w14:paraId="6F806D54" w14:textId="77777777" w:rsidR="00B45F0E" w:rsidRPr="00B45F0E" w:rsidRDefault="00B45F0E" w:rsidP="00B45F0E">
      <w:pPr>
        <w:spacing w:after="0"/>
        <w:jc w:val="both"/>
        <w:rPr>
          <w:rFonts w:ascii="Times New Roman" w:hAnsi="Times New Roman" w:cs="Times New Roman"/>
          <w:sz w:val="24"/>
          <w:szCs w:val="24"/>
        </w:rPr>
      </w:pPr>
    </w:p>
    <w:p w14:paraId="2CEF2AA0" w14:textId="77777777" w:rsidR="00B45F0E" w:rsidRPr="00B45F0E" w:rsidRDefault="00B45F0E" w:rsidP="00B45F0E">
      <w:pPr>
        <w:spacing w:after="0"/>
        <w:jc w:val="both"/>
        <w:rPr>
          <w:rFonts w:ascii="Times New Roman" w:hAnsi="Times New Roman" w:cs="Times New Roman"/>
          <w:sz w:val="24"/>
          <w:szCs w:val="24"/>
        </w:rPr>
      </w:pPr>
      <w:r w:rsidRPr="00B45F0E">
        <w:rPr>
          <w:rFonts w:ascii="Times New Roman" w:hAnsi="Times New Roman" w:cs="Times New Roman"/>
          <w:sz w:val="24"/>
          <w:szCs w:val="24"/>
        </w:rPr>
        <w:t xml:space="preserve">Na náraste počtu zamestnancov štátnych rozpočtových organizácií sa najvýraznejšie podieľa zabezpečenie novej legislatívy, a to najmä v súvislosti s prijatím novely školského zákona o 870 osôb v kapitole Ministerstvo školstva, vedy, výskumu a športu SR a nového zákona č. 345/2022 Z. z. o inšpekcii v sociálnych veciach o 166 osôb v kapitole Ministerstvo práce, sociálnych vecí a rodiny SR. </w:t>
      </w:r>
    </w:p>
    <w:p w14:paraId="6FB45421" w14:textId="59EE3F65" w:rsidR="009A49C8" w:rsidRPr="009A49C8" w:rsidRDefault="009A49C8" w:rsidP="009A49C8">
      <w:pPr>
        <w:spacing w:after="0"/>
        <w:jc w:val="both"/>
        <w:rPr>
          <w:rFonts w:ascii="Times New Roman" w:hAnsi="Times New Roman" w:cs="Times New Roman"/>
          <w:sz w:val="24"/>
          <w:szCs w:val="24"/>
        </w:rPr>
      </w:pPr>
    </w:p>
    <w:p w14:paraId="16CA0673" w14:textId="63130F1F" w:rsidR="00B45F0E" w:rsidRDefault="009A49C8" w:rsidP="009A49C8">
      <w:pPr>
        <w:spacing w:after="0"/>
        <w:jc w:val="both"/>
        <w:rPr>
          <w:rFonts w:ascii="Times New Roman" w:hAnsi="Times New Roman" w:cs="Times New Roman"/>
          <w:sz w:val="24"/>
          <w:szCs w:val="24"/>
        </w:rPr>
      </w:pPr>
      <w:r w:rsidRPr="009A49C8">
        <w:rPr>
          <w:rFonts w:ascii="Times New Roman" w:hAnsi="Times New Roman" w:cs="Times New Roman"/>
          <w:sz w:val="24"/>
          <w:szCs w:val="24"/>
        </w:rPr>
        <w:t xml:space="preserve">V kapitole Ministerstvo vnútra SR dochádza k zvýšeniu limitu počtu zamestnancov hlavne z dôvodu čiastočného vrátenia systemizovaných miest policajtov v počte 907 osôb, ktoré boli v rozpočte kapitoly Ministerstvo vnútra SR viazané od roku 2022 z dôvodu optimalizácie počtu policajtov a postupného dorovnania na priemer EÚ do roku 2027 vyplývajúceho z Revízie výdavkov zamestnanosti a odmeňovania vo verejnej správe.  </w:t>
      </w:r>
    </w:p>
    <w:p w14:paraId="6D3806EE" w14:textId="77777777" w:rsidR="009A49C8" w:rsidRPr="00B45F0E" w:rsidRDefault="009A49C8" w:rsidP="009A49C8">
      <w:pPr>
        <w:spacing w:after="0"/>
        <w:jc w:val="both"/>
        <w:rPr>
          <w:rFonts w:ascii="Times New Roman" w:hAnsi="Times New Roman" w:cs="Times New Roman"/>
          <w:sz w:val="24"/>
          <w:szCs w:val="24"/>
        </w:rPr>
      </w:pPr>
    </w:p>
    <w:p w14:paraId="5F6626C4" w14:textId="77777777" w:rsidR="00B45F0E" w:rsidRPr="00B45F0E" w:rsidRDefault="00B45F0E" w:rsidP="00B45F0E">
      <w:pPr>
        <w:spacing w:after="0"/>
        <w:jc w:val="both"/>
        <w:rPr>
          <w:rFonts w:ascii="Times New Roman" w:hAnsi="Times New Roman" w:cs="Times New Roman"/>
          <w:sz w:val="24"/>
          <w:szCs w:val="24"/>
        </w:rPr>
      </w:pPr>
      <w:r w:rsidRPr="00B45F0E">
        <w:rPr>
          <w:rFonts w:ascii="Times New Roman" w:hAnsi="Times New Roman" w:cs="Times New Roman"/>
          <w:sz w:val="24"/>
          <w:szCs w:val="24"/>
        </w:rPr>
        <w:t xml:space="preserve">V súlade s  uznesením vlády  SR  č.  488  z  27. septembra 2023  k Stanoveniu počtu administratívnych kapacít financovaných z technickej pomoci fondov Európskej únie v programovom období 2021 – 2027 a nastaveniu systému financovania administratívnych kapacít v programovom období 2021 – 2027 medziročne klesá  počet administratívnych kapacít osobitne sledovaných o 15 osôb na celkový počet 1 630 osôb.  </w:t>
      </w:r>
    </w:p>
    <w:p w14:paraId="6CEA27DC" w14:textId="77777777" w:rsidR="00B45F0E" w:rsidRPr="00B45F0E" w:rsidRDefault="00B45F0E" w:rsidP="00B45F0E">
      <w:pPr>
        <w:spacing w:after="0"/>
        <w:jc w:val="both"/>
        <w:rPr>
          <w:rFonts w:ascii="Times New Roman" w:hAnsi="Times New Roman" w:cs="Times New Roman"/>
          <w:sz w:val="24"/>
          <w:szCs w:val="24"/>
        </w:rPr>
      </w:pPr>
    </w:p>
    <w:p w14:paraId="6E080A05" w14:textId="77777777" w:rsidR="00B45F0E" w:rsidRPr="00B45F0E" w:rsidRDefault="00B45F0E" w:rsidP="00B45F0E">
      <w:pPr>
        <w:spacing w:after="0"/>
        <w:jc w:val="both"/>
        <w:rPr>
          <w:rFonts w:ascii="Times New Roman" w:hAnsi="Times New Roman" w:cs="Times New Roman"/>
          <w:sz w:val="24"/>
          <w:szCs w:val="24"/>
        </w:rPr>
      </w:pPr>
      <w:r w:rsidRPr="00B45F0E">
        <w:rPr>
          <w:rFonts w:ascii="Times New Roman" w:hAnsi="Times New Roman" w:cs="Times New Roman"/>
          <w:sz w:val="24"/>
          <w:szCs w:val="24"/>
        </w:rPr>
        <w:t xml:space="preserve">Na ukončenie predchádzajúcich programových období sa na rok 2024 zvyšuje v kapitolách štátneho </w:t>
      </w:r>
      <w:r w:rsidRPr="00B45F0E">
        <w:rPr>
          <w:rFonts w:ascii="Times New Roman" w:hAnsi="Times New Roman" w:cs="Times New Roman"/>
          <w:color w:val="000000" w:themeColor="text1"/>
          <w:sz w:val="24"/>
          <w:szCs w:val="24"/>
        </w:rPr>
        <w:t xml:space="preserve">rozpočtu Ministerstvo vnútra SR, Ministerstvo školstva, vedy, výskumu a športu SR, Ministerstvo kultúry SR a Ministerstvo hospodárstva SR počet </w:t>
      </w:r>
      <w:r w:rsidRPr="00B45F0E">
        <w:rPr>
          <w:rFonts w:ascii="Times New Roman" w:hAnsi="Times New Roman" w:cs="Times New Roman"/>
          <w:sz w:val="24"/>
          <w:szCs w:val="24"/>
        </w:rPr>
        <w:t>zamestnancov spolu o 147 osôb.</w:t>
      </w:r>
    </w:p>
    <w:p w14:paraId="45755F9F" w14:textId="77777777" w:rsidR="00B45F0E" w:rsidRPr="00B45F0E" w:rsidRDefault="00B45F0E" w:rsidP="00B45F0E">
      <w:pPr>
        <w:spacing w:after="0"/>
        <w:jc w:val="both"/>
        <w:rPr>
          <w:rFonts w:ascii="Times New Roman" w:hAnsi="Times New Roman" w:cs="Times New Roman"/>
          <w:sz w:val="24"/>
          <w:szCs w:val="24"/>
        </w:rPr>
      </w:pPr>
    </w:p>
    <w:p w14:paraId="42E22FB4" w14:textId="77777777" w:rsidR="00B45F0E" w:rsidRPr="00B45F0E" w:rsidRDefault="00B45F0E" w:rsidP="00B45F0E">
      <w:pPr>
        <w:spacing w:after="0"/>
        <w:jc w:val="both"/>
        <w:rPr>
          <w:rFonts w:ascii="Times New Roman" w:hAnsi="Times New Roman" w:cs="Times New Roman"/>
          <w:sz w:val="24"/>
          <w:szCs w:val="24"/>
        </w:rPr>
      </w:pPr>
      <w:r w:rsidRPr="00B45F0E">
        <w:rPr>
          <w:rFonts w:ascii="Times New Roman" w:hAnsi="Times New Roman" w:cs="Times New Roman"/>
          <w:sz w:val="24"/>
          <w:szCs w:val="24"/>
        </w:rPr>
        <w:t>Na zabezpečenie projektov financovaných zo zdrojov EÚ sa medziročne zvyšuje počet zamestnancov štátnych rozpočtových organizácií o 191 osôb.</w:t>
      </w:r>
    </w:p>
    <w:p w14:paraId="7A4CD72A" w14:textId="77777777" w:rsidR="00B45F0E" w:rsidRPr="00B45F0E" w:rsidRDefault="00B45F0E" w:rsidP="00B45F0E">
      <w:pPr>
        <w:spacing w:after="0" w:line="240" w:lineRule="auto"/>
        <w:jc w:val="both"/>
        <w:rPr>
          <w:rFonts w:ascii="Times New Roman" w:hAnsi="Times New Roman" w:cs="Times New Roman"/>
          <w:sz w:val="24"/>
          <w:szCs w:val="24"/>
        </w:rPr>
      </w:pPr>
    </w:p>
    <w:p w14:paraId="70E77119" w14:textId="77777777" w:rsidR="00B45F0E" w:rsidRPr="00B45F0E" w:rsidRDefault="00B45F0E" w:rsidP="00B45F0E">
      <w:pPr>
        <w:spacing w:after="0"/>
        <w:jc w:val="both"/>
        <w:rPr>
          <w:rFonts w:ascii="Times New Roman" w:hAnsi="Times New Roman" w:cs="Times New Roman"/>
          <w:sz w:val="24"/>
          <w:szCs w:val="24"/>
        </w:rPr>
      </w:pPr>
      <w:bookmarkStart w:id="165" w:name="_Toc52988829"/>
      <w:r w:rsidRPr="00B45F0E">
        <w:rPr>
          <w:rFonts w:ascii="Times New Roman" w:hAnsi="Times New Roman" w:cs="Times New Roman"/>
          <w:sz w:val="24"/>
          <w:szCs w:val="24"/>
        </w:rPr>
        <w:lastRenderedPageBreak/>
        <w:t>Na realizáciu Plánu obnovy a odolnosti SR sa medziročne zvyšuje počet zamestnancov verejnej správy o 53 osôb na súhrnný stav 1 792 osôb. V štátnych rozpočtových organizáciách sa počet zamestnancov zvyšuje o 286 osôb na súhrnný stav 1 315 osôb. Dočasné zvýšenie počtu zamestnancov na uvedený účel bude medziročne aktualizované a v dotknutých kapitolách štátneho rozpočtu sa predpokladá jeho realizácia najdlhšie do 31. 12. 2026. Osobné výdavky týchto zamestnancov budú zabezpečené z finančných prostriedkov Plánu obnovy a odolnosti SR.</w:t>
      </w:r>
    </w:p>
    <w:p w14:paraId="79EABC3F" w14:textId="77777777" w:rsidR="00B45F0E" w:rsidRPr="00B45F0E" w:rsidRDefault="00B45F0E" w:rsidP="00B45F0E">
      <w:pPr>
        <w:spacing w:after="0"/>
        <w:jc w:val="both"/>
        <w:rPr>
          <w:rFonts w:ascii="Times New Roman" w:hAnsi="Times New Roman" w:cs="Times New Roman"/>
          <w:sz w:val="24"/>
          <w:szCs w:val="24"/>
          <w:highlight w:val="yellow"/>
        </w:rPr>
      </w:pPr>
    </w:p>
    <w:bookmarkEnd w:id="165"/>
    <w:p w14:paraId="3D44B9F1" w14:textId="77777777" w:rsidR="00B45F0E" w:rsidRPr="00B45F0E" w:rsidRDefault="00B45F0E" w:rsidP="00B45F0E">
      <w:pPr>
        <w:spacing w:after="0"/>
        <w:jc w:val="both"/>
        <w:rPr>
          <w:rFonts w:ascii="Times New Roman" w:hAnsi="Times New Roman" w:cs="Times New Roman"/>
          <w:sz w:val="24"/>
          <w:szCs w:val="24"/>
        </w:rPr>
      </w:pPr>
      <w:r w:rsidRPr="00B45F0E">
        <w:rPr>
          <w:rFonts w:ascii="Times New Roman" w:hAnsi="Times New Roman" w:cs="Times New Roman"/>
          <w:sz w:val="24"/>
          <w:szCs w:val="24"/>
        </w:rPr>
        <w:t>Na zabezpečenie ostatných legislatívnych zmien sa v ostatných dotknutých kapitolách štátneho rozpočtu zvyšuje počet zamestnancov celkovo o 652 osôb.</w:t>
      </w:r>
    </w:p>
    <w:p w14:paraId="7043B902" w14:textId="36E65A6F" w:rsidR="00B45F0E" w:rsidRPr="00B45F0E" w:rsidRDefault="00B45F0E" w:rsidP="00B45F0E">
      <w:pPr>
        <w:spacing w:after="0"/>
        <w:rPr>
          <w:rFonts w:ascii="Times New Roman" w:hAnsi="Times New Roman"/>
          <w:b/>
          <w:color w:val="5B9BD5" w:themeColor="accent1"/>
          <w:sz w:val="24"/>
          <w:szCs w:val="24"/>
          <w:highlight w:val="yellow"/>
        </w:rPr>
      </w:pPr>
    </w:p>
    <w:p w14:paraId="711D624E" w14:textId="5A4DAC83" w:rsidR="00B45F0E" w:rsidRPr="00B45F0E" w:rsidRDefault="00B45F0E" w:rsidP="00B45F0E">
      <w:pPr>
        <w:spacing w:after="0"/>
        <w:jc w:val="both"/>
        <w:rPr>
          <w:rFonts w:ascii="Times New Roman" w:hAnsi="Times New Roman" w:cs="Times New Roman"/>
          <w:b/>
          <w:color w:val="5B9BD5" w:themeColor="accent1"/>
          <w:sz w:val="20"/>
          <w:szCs w:val="20"/>
        </w:rPr>
      </w:pPr>
      <w:bookmarkStart w:id="166" w:name="_Toc153014655"/>
      <w:r w:rsidRPr="00B45F0E">
        <w:rPr>
          <w:rFonts w:ascii="Times New Roman" w:hAnsi="Times New Roman" w:cs="Times New Roman"/>
          <w:b/>
          <w:color w:val="5B9BD5" w:themeColor="accent1"/>
          <w:sz w:val="20"/>
          <w:szCs w:val="20"/>
        </w:rPr>
        <w:t xml:space="preserve">Graf </w:t>
      </w:r>
      <w:r w:rsidRPr="00130C46">
        <w:rPr>
          <w:rFonts w:ascii="Times New Roman" w:eastAsia="Calibri" w:hAnsi="Times New Roman"/>
          <w:b/>
          <w:iCs/>
          <w:color w:val="5B9BD5"/>
          <w:sz w:val="20"/>
          <w:szCs w:val="18"/>
        </w:rPr>
        <w:fldChar w:fldCharType="begin"/>
      </w:r>
      <w:r w:rsidRPr="00130C46">
        <w:rPr>
          <w:rFonts w:ascii="Times New Roman" w:eastAsia="Calibri" w:hAnsi="Times New Roman"/>
          <w:b/>
          <w:iCs/>
          <w:color w:val="5B9BD5"/>
          <w:sz w:val="20"/>
          <w:szCs w:val="18"/>
        </w:rPr>
        <w:instrText xml:space="preserve"> SEQ Obrázok \* ARABIC </w:instrText>
      </w:r>
      <w:r w:rsidRPr="00130C46">
        <w:rPr>
          <w:rFonts w:ascii="Times New Roman" w:eastAsia="Calibri" w:hAnsi="Times New Roman"/>
          <w:b/>
          <w:iCs/>
          <w:color w:val="5B9BD5"/>
          <w:sz w:val="20"/>
          <w:szCs w:val="18"/>
        </w:rPr>
        <w:fldChar w:fldCharType="separate"/>
      </w:r>
      <w:r w:rsidR="003D5A3A">
        <w:rPr>
          <w:rFonts w:ascii="Times New Roman" w:eastAsia="Calibri" w:hAnsi="Times New Roman"/>
          <w:b/>
          <w:iCs/>
          <w:noProof/>
          <w:color w:val="5B9BD5"/>
          <w:sz w:val="20"/>
          <w:szCs w:val="18"/>
        </w:rPr>
        <w:t>8</w:t>
      </w:r>
      <w:r w:rsidRPr="00130C46">
        <w:rPr>
          <w:rFonts w:ascii="Times New Roman" w:eastAsia="Calibri" w:hAnsi="Times New Roman"/>
          <w:b/>
          <w:iCs/>
          <w:color w:val="5B9BD5"/>
          <w:sz w:val="20"/>
          <w:szCs w:val="18"/>
        </w:rPr>
        <w:fldChar w:fldCharType="end"/>
      </w:r>
      <w:r>
        <w:rPr>
          <w:rFonts w:ascii="Times New Roman" w:eastAsia="Calibri" w:hAnsi="Times New Roman"/>
          <w:b/>
          <w:iCs/>
          <w:color w:val="5B9BD5"/>
          <w:sz w:val="20"/>
          <w:szCs w:val="18"/>
        </w:rPr>
        <w:t xml:space="preserve"> -</w:t>
      </w:r>
      <w:r w:rsidRPr="00B45F0E">
        <w:rPr>
          <w:rFonts w:ascii="Times New Roman" w:hAnsi="Times New Roman" w:cs="Times New Roman"/>
          <w:b/>
          <w:color w:val="5B9BD5" w:themeColor="accent1"/>
          <w:sz w:val="20"/>
          <w:szCs w:val="20"/>
        </w:rPr>
        <w:t xml:space="preserve"> Počet zamestnancov na realizáciu Plánu obnovy a odolnosti SR</w:t>
      </w:r>
      <w:bookmarkEnd w:id="166"/>
    </w:p>
    <w:p w14:paraId="3D6E98D4" w14:textId="4AD72A2B" w:rsidR="00B45F0E" w:rsidRPr="006C30CD" w:rsidRDefault="00B45F0E" w:rsidP="006C30CD">
      <w:pPr>
        <w:spacing w:after="0"/>
        <w:jc w:val="both"/>
        <w:rPr>
          <w:rFonts w:ascii="Times New Roman" w:hAnsi="Times New Roman" w:cs="Times New Roman"/>
          <w:b/>
          <w:color w:val="5B9BD5" w:themeColor="accent1"/>
          <w:sz w:val="20"/>
          <w:szCs w:val="20"/>
        </w:rPr>
      </w:pPr>
      <w:r w:rsidRPr="00B45F0E">
        <w:rPr>
          <w:noProof/>
          <w:lang w:eastAsia="sk-SK"/>
        </w:rPr>
        <w:drawing>
          <wp:inline distT="0" distB="0" distL="0" distR="0" wp14:anchorId="7FF9FC7C" wp14:editId="34580E71">
            <wp:extent cx="5705475" cy="2747645"/>
            <wp:effectExtent l="0" t="0" r="9525" b="14605"/>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6E9C971" w14:textId="77777777" w:rsidR="00B45F0E" w:rsidRPr="00B45F0E" w:rsidRDefault="00B45F0E" w:rsidP="00B45F0E">
      <w:pPr>
        <w:spacing w:after="0"/>
        <w:jc w:val="both"/>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 xml:space="preserve">                                                                                                                                                                                                                                       Zdroj: MF SR</w:t>
      </w:r>
    </w:p>
    <w:p w14:paraId="61E1D861" w14:textId="77777777" w:rsidR="00B45F0E" w:rsidRPr="00B45F0E" w:rsidRDefault="00B45F0E" w:rsidP="00B45F0E">
      <w:pPr>
        <w:spacing w:after="0"/>
        <w:rPr>
          <w:rFonts w:ascii="Times New Roman" w:hAnsi="Times New Roman"/>
          <w:b/>
          <w:color w:val="5B9BD5" w:themeColor="accent1"/>
          <w:sz w:val="24"/>
          <w:szCs w:val="24"/>
          <w:highlight w:val="yellow"/>
        </w:rPr>
      </w:pPr>
    </w:p>
    <w:p w14:paraId="3036E365" w14:textId="77777777" w:rsidR="00B45F0E" w:rsidRPr="00B45F0E" w:rsidRDefault="00B45F0E" w:rsidP="00B45F0E">
      <w:pPr>
        <w:spacing w:after="0"/>
        <w:rPr>
          <w:rFonts w:ascii="Times New Roman" w:hAnsi="Times New Roman"/>
          <w:b/>
          <w:color w:val="5B9BD5" w:themeColor="accent1"/>
          <w:sz w:val="24"/>
          <w:szCs w:val="24"/>
          <w:highlight w:val="yellow"/>
        </w:rPr>
      </w:pPr>
    </w:p>
    <w:p w14:paraId="44BE7195" w14:textId="77777777" w:rsidR="00B45F0E" w:rsidRPr="00B45F0E" w:rsidRDefault="00B45F0E" w:rsidP="00B45F0E">
      <w:pPr>
        <w:spacing w:after="0"/>
        <w:rPr>
          <w:rFonts w:ascii="Times New Roman" w:hAnsi="Times New Roman"/>
          <w:b/>
          <w:i/>
          <w:color w:val="5B9BD5" w:themeColor="accent1"/>
          <w:sz w:val="24"/>
          <w:szCs w:val="24"/>
        </w:rPr>
      </w:pPr>
      <w:r w:rsidRPr="00B45F0E">
        <w:rPr>
          <w:rFonts w:ascii="Times New Roman" w:hAnsi="Times New Roman"/>
          <w:b/>
          <w:color w:val="5B9BD5" w:themeColor="accent1"/>
          <w:sz w:val="24"/>
          <w:szCs w:val="24"/>
        </w:rPr>
        <w:t xml:space="preserve">Rozpočtovanie osobných výdavkov </w:t>
      </w:r>
    </w:p>
    <w:p w14:paraId="59183D70" w14:textId="77777777" w:rsidR="00B45F0E" w:rsidRPr="00B45F0E" w:rsidRDefault="00B45F0E" w:rsidP="00B45F0E">
      <w:pPr>
        <w:spacing w:after="0"/>
        <w:jc w:val="both"/>
        <w:rPr>
          <w:rFonts w:ascii="Times New Roman" w:hAnsi="Times New Roman" w:cs="Times New Roman"/>
          <w:sz w:val="24"/>
          <w:szCs w:val="24"/>
          <w:highlight w:val="yellow"/>
        </w:rPr>
      </w:pPr>
    </w:p>
    <w:p w14:paraId="11F9E980" w14:textId="77777777" w:rsidR="00B45F0E" w:rsidRPr="00B45F0E" w:rsidRDefault="00B45F0E" w:rsidP="00B45F0E">
      <w:pPr>
        <w:spacing w:after="0"/>
        <w:jc w:val="both"/>
        <w:rPr>
          <w:rFonts w:ascii="Times New Roman" w:hAnsi="Times New Roman" w:cs="Times New Roman"/>
          <w:sz w:val="24"/>
          <w:szCs w:val="24"/>
          <w:highlight w:val="yellow"/>
        </w:rPr>
      </w:pPr>
      <w:r w:rsidRPr="00B45F0E">
        <w:rPr>
          <w:rFonts w:ascii="Times New Roman" w:hAnsi="Times New Roman" w:cs="Times New Roman"/>
          <w:sz w:val="24"/>
          <w:szCs w:val="24"/>
        </w:rPr>
        <w:t>Pre 451 845 zamestnancov sektora verejnej správy sa na rok 2024 rozpočtujú osobné výdavky v sume 12,9 mld. eur, z toho mzdy 9,39 mld. eur. Rozpočtované osobné výdavky zamestnancov sektora verejnej správy zodpovedajú  21,1  % zo súhrnných výdavkov verejnej správy.</w:t>
      </w:r>
    </w:p>
    <w:p w14:paraId="3B7F97FC" w14:textId="77777777" w:rsidR="00B45F0E" w:rsidRPr="00B45F0E" w:rsidRDefault="00B45F0E" w:rsidP="00B45F0E">
      <w:pPr>
        <w:spacing w:after="0"/>
        <w:jc w:val="both"/>
        <w:rPr>
          <w:rFonts w:ascii="Times New Roman" w:hAnsi="Times New Roman" w:cs="Times New Roman"/>
          <w:sz w:val="24"/>
          <w:szCs w:val="24"/>
          <w:highlight w:val="yellow"/>
        </w:rPr>
      </w:pPr>
    </w:p>
    <w:p w14:paraId="28F67923" w14:textId="5D256152" w:rsidR="00B45F0E" w:rsidRPr="00B45F0E" w:rsidRDefault="00B45F0E" w:rsidP="00B45F0E">
      <w:pPr>
        <w:keepNext/>
        <w:spacing w:after="0" w:line="240" w:lineRule="auto"/>
        <w:rPr>
          <w:rFonts w:ascii="Times New Roman" w:hAnsi="Times New Roman" w:cs="Times New Roman"/>
          <w:b/>
          <w:iCs/>
          <w:color w:val="5B9BD5" w:themeColor="accent1"/>
          <w:sz w:val="20"/>
          <w:szCs w:val="20"/>
        </w:rPr>
      </w:pPr>
      <w:bookmarkStart w:id="167" w:name="_Toc153013048"/>
      <w:r w:rsidRPr="00B45F0E">
        <w:rPr>
          <w:rFonts w:ascii="Times New Roman" w:hAnsi="Times New Roman" w:cs="Times New Roman"/>
          <w:b/>
          <w:iCs/>
          <w:color w:val="5B9BD5" w:themeColor="accent1"/>
          <w:sz w:val="20"/>
          <w:szCs w:val="20"/>
        </w:rPr>
        <w:t xml:space="preserve">Tabuľka </w:t>
      </w:r>
      <w:r w:rsidRPr="00B45F0E">
        <w:rPr>
          <w:rFonts w:ascii="Times New Roman" w:hAnsi="Times New Roman" w:cs="Times New Roman"/>
          <w:b/>
          <w:iCs/>
          <w:color w:val="5B9BD5" w:themeColor="accent1"/>
          <w:sz w:val="20"/>
          <w:szCs w:val="20"/>
        </w:rPr>
        <w:fldChar w:fldCharType="begin"/>
      </w:r>
      <w:r w:rsidRPr="00B45F0E">
        <w:rPr>
          <w:rFonts w:ascii="Times New Roman" w:hAnsi="Times New Roman" w:cs="Times New Roman"/>
          <w:b/>
          <w:iCs/>
          <w:color w:val="5B9BD5" w:themeColor="accent1"/>
          <w:sz w:val="20"/>
          <w:szCs w:val="20"/>
        </w:rPr>
        <w:instrText xml:space="preserve"> SEQ Tabuľka \* ARABIC </w:instrText>
      </w:r>
      <w:r w:rsidRPr="00B45F0E">
        <w:rPr>
          <w:rFonts w:ascii="Times New Roman" w:hAnsi="Times New Roman" w:cs="Times New Roman"/>
          <w:b/>
          <w:iCs/>
          <w:color w:val="5B9BD5" w:themeColor="accent1"/>
          <w:sz w:val="20"/>
          <w:szCs w:val="20"/>
        </w:rPr>
        <w:fldChar w:fldCharType="separate"/>
      </w:r>
      <w:r w:rsidR="003D5A3A">
        <w:rPr>
          <w:rFonts w:ascii="Times New Roman" w:hAnsi="Times New Roman" w:cs="Times New Roman"/>
          <w:b/>
          <w:iCs/>
          <w:noProof/>
          <w:color w:val="5B9BD5" w:themeColor="accent1"/>
          <w:sz w:val="20"/>
          <w:szCs w:val="20"/>
        </w:rPr>
        <w:t>50</w:t>
      </w:r>
      <w:r w:rsidRPr="00B45F0E">
        <w:rPr>
          <w:rFonts w:ascii="Times New Roman" w:hAnsi="Times New Roman" w:cs="Times New Roman"/>
          <w:b/>
          <w:iCs/>
          <w:color w:val="5B9BD5" w:themeColor="accent1"/>
          <w:sz w:val="20"/>
          <w:szCs w:val="20"/>
        </w:rPr>
        <w:fldChar w:fldCharType="end"/>
      </w:r>
      <w:r w:rsidRPr="00B45F0E">
        <w:rPr>
          <w:rFonts w:ascii="Times New Roman" w:hAnsi="Times New Roman" w:cs="Times New Roman"/>
          <w:b/>
          <w:iCs/>
          <w:color w:val="5B9BD5" w:themeColor="accent1"/>
          <w:sz w:val="20"/>
          <w:szCs w:val="20"/>
        </w:rPr>
        <w:t xml:space="preserve"> - Ukazovatele zamestnanosti v subjektoch verejnej správy</w:t>
      </w:r>
      <w:bookmarkEnd w:id="167"/>
    </w:p>
    <w:tbl>
      <w:tblPr>
        <w:tblW w:w="9380" w:type="dxa"/>
        <w:tblCellMar>
          <w:left w:w="70" w:type="dxa"/>
          <w:right w:w="70" w:type="dxa"/>
        </w:tblCellMar>
        <w:tblLook w:val="04A0" w:firstRow="1" w:lastRow="0" w:firstColumn="1" w:lastColumn="0" w:noHBand="0" w:noVBand="1"/>
      </w:tblPr>
      <w:tblGrid>
        <w:gridCol w:w="2200"/>
        <w:gridCol w:w="740"/>
        <w:gridCol w:w="920"/>
        <w:gridCol w:w="920"/>
        <w:gridCol w:w="920"/>
        <w:gridCol w:w="920"/>
        <w:gridCol w:w="920"/>
        <w:gridCol w:w="920"/>
        <w:gridCol w:w="920"/>
      </w:tblGrid>
      <w:tr w:rsidR="00B45F0E" w:rsidRPr="00B45F0E" w14:paraId="65CA1E80" w14:textId="77777777" w:rsidTr="00B63F1A">
        <w:trPr>
          <w:trHeight w:val="288"/>
        </w:trPr>
        <w:tc>
          <w:tcPr>
            <w:tcW w:w="2200" w:type="dxa"/>
            <w:tcBorders>
              <w:top w:val="single" w:sz="4" w:space="0" w:color="auto"/>
              <w:left w:val="nil"/>
              <w:bottom w:val="single" w:sz="4" w:space="0" w:color="auto"/>
              <w:right w:val="nil"/>
            </w:tcBorders>
            <w:shd w:val="clear" w:color="auto" w:fill="auto"/>
            <w:noWrap/>
            <w:vAlign w:val="center"/>
            <w:hideMark/>
          </w:tcPr>
          <w:p w14:paraId="1291FE59"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Verejná správa spolu</w:t>
            </w:r>
          </w:p>
        </w:tc>
        <w:tc>
          <w:tcPr>
            <w:tcW w:w="740" w:type="dxa"/>
            <w:tcBorders>
              <w:top w:val="single" w:sz="4" w:space="0" w:color="auto"/>
              <w:left w:val="nil"/>
              <w:bottom w:val="single" w:sz="4" w:space="0" w:color="auto"/>
              <w:right w:val="nil"/>
            </w:tcBorders>
            <w:shd w:val="clear" w:color="auto" w:fill="auto"/>
            <w:noWrap/>
            <w:vAlign w:val="center"/>
            <w:hideMark/>
          </w:tcPr>
          <w:p w14:paraId="05D74C84"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 </w:t>
            </w:r>
          </w:p>
        </w:tc>
        <w:tc>
          <w:tcPr>
            <w:tcW w:w="920" w:type="dxa"/>
            <w:tcBorders>
              <w:top w:val="single" w:sz="4" w:space="0" w:color="auto"/>
              <w:left w:val="nil"/>
              <w:bottom w:val="single" w:sz="4" w:space="0" w:color="auto"/>
              <w:right w:val="nil"/>
            </w:tcBorders>
            <w:shd w:val="clear" w:color="auto" w:fill="auto"/>
            <w:noWrap/>
            <w:vAlign w:val="center"/>
            <w:hideMark/>
          </w:tcPr>
          <w:p w14:paraId="2F9F0F90"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2021  S</w:t>
            </w:r>
          </w:p>
        </w:tc>
        <w:tc>
          <w:tcPr>
            <w:tcW w:w="920" w:type="dxa"/>
            <w:tcBorders>
              <w:top w:val="single" w:sz="4" w:space="0" w:color="auto"/>
              <w:left w:val="nil"/>
              <w:bottom w:val="single" w:sz="4" w:space="0" w:color="auto"/>
              <w:right w:val="nil"/>
            </w:tcBorders>
            <w:shd w:val="clear" w:color="auto" w:fill="auto"/>
            <w:noWrap/>
            <w:vAlign w:val="center"/>
            <w:hideMark/>
          </w:tcPr>
          <w:p w14:paraId="0424D637"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2022  S</w:t>
            </w:r>
          </w:p>
        </w:tc>
        <w:tc>
          <w:tcPr>
            <w:tcW w:w="920" w:type="dxa"/>
            <w:tcBorders>
              <w:top w:val="single" w:sz="4" w:space="0" w:color="auto"/>
              <w:left w:val="nil"/>
              <w:bottom w:val="single" w:sz="4" w:space="0" w:color="auto"/>
              <w:right w:val="nil"/>
            </w:tcBorders>
            <w:shd w:val="clear" w:color="auto" w:fill="auto"/>
            <w:noWrap/>
            <w:vAlign w:val="center"/>
            <w:hideMark/>
          </w:tcPr>
          <w:p w14:paraId="143AB9B9"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2023  R</w:t>
            </w:r>
          </w:p>
        </w:tc>
        <w:tc>
          <w:tcPr>
            <w:tcW w:w="920" w:type="dxa"/>
            <w:tcBorders>
              <w:top w:val="single" w:sz="4" w:space="0" w:color="auto"/>
              <w:left w:val="nil"/>
              <w:bottom w:val="single" w:sz="4" w:space="0" w:color="auto"/>
              <w:right w:val="nil"/>
            </w:tcBorders>
            <w:shd w:val="clear" w:color="auto" w:fill="auto"/>
            <w:noWrap/>
            <w:vAlign w:val="center"/>
            <w:hideMark/>
          </w:tcPr>
          <w:p w14:paraId="2BF3BB76"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2023  OS</w:t>
            </w:r>
          </w:p>
        </w:tc>
        <w:tc>
          <w:tcPr>
            <w:tcW w:w="920" w:type="dxa"/>
            <w:tcBorders>
              <w:top w:val="single" w:sz="4" w:space="0" w:color="auto"/>
              <w:left w:val="nil"/>
              <w:bottom w:val="single" w:sz="4" w:space="0" w:color="auto"/>
              <w:right w:val="nil"/>
            </w:tcBorders>
            <w:shd w:val="clear" w:color="auto" w:fill="auto"/>
            <w:noWrap/>
            <w:vAlign w:val="center"/>
            <w:hideMark/>
          </w:tcPr>
          <w:p w14:paraId="406B5BC2"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2024  N</w:t>
            </w:r>
          </w:p>
        </w:tc>
        <w:tc>
          <w:tcPr>
            <w:tcW w:w="920" w:type="dxa"/>
            <w:tcBorders>
              <w:top w:val="single" w:sz="4" w:space="0" w:color="auto"/>
              <w:left w:val="nil"/>
              <w:bottom w:val="single" w:sz="4" w:space="0" w:color="auto"/>
              <w:right w:val="nil"/>
            </w:tcBorders>
            <w:shd w:val="clear" w:color="auto" w:fill="auto"/>
            <w:noWrap/>
            <w:vAlign w:val="center"/>
            <w:hideMark/>
          </w:tcPr>
          <w:p w14:paraId="71ABFCA9"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2025  N</w:t>
            </w:r>
          </w:p>
        </w:tc>
        <w:tc>
          <w:tcPr>
            <w:tcW w:w="920" w:type="dxa"/>
            <w:tcBorders>
              <w:top w:val="single" w:sz="4" w:space="0" w:color="auto"/>
              <w:left w:val="nil"/>
              <w:bottom w:val="single" w:sz="4" w:space="0" w:color="auto"/>
              <w:right w:val="nil"/>
            </w:tcBorders>
            <w:shd w:val="clear" w:color="auto" w:fill="auto"/>
            <w:noWrap/>
            <w:vAlign w:val="center"/>
            <w:hideMark/>
          </w:tcPr>
          <w:p w14:paraId="6E08E1C4"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2026  N</w:t>
            </w:r>
          </w:p>
        </w:tc>
      </w:tr>
      <w:tr w:rsidR="00B45F0E" w:rsidRPr="00B45F0E" w14:paraId="18B93225" w14:textId="77777777" w:rsidTr="00B63F1A">
        <w:trPr>
          <w:trHeight w:val="288"/>
        </w:trPr>
        <w:tc>
          <w:tcPr>
            <w:tcW w:w="2200" w:type="dxa"/>
            <w:tcBorders>
              <w:top w:val="nil"/>
              <w:left w:val="nil"/>
              <w:bottom w:val="nil"/>
              <w:right w:val="nil"/>
            </w:tcBorders>
            <w:shd w:val="clear" w:color="auto" w:fill="auto"/>
            <w:noWrap/>
            <w:vAlign w:val="center"/>
            <w:hideMark/>
          </w:tcPr>
          <w:p w14:paraId="16010FE9" w14:textId="77777777" w:rsidR="00B45F0E" w:rsidRPr="00B45F0E" w:rsidRDefault="00B45F0E" w:rsidP="00B45F0E">
            <w:pPr>
              <w:spacing w:after="0" w:line="240" w:lineRule="auto"/>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Počet zamestnancov</w:t>
            </w:r>
          </w:p>
        </w:tc>
        <w:tc>
          <w:tcPr>
            <w:tcW w:w="740" w:type="dxa"/>
            <w:tcBorders>
              <w:top w:val="nil"/>
              <w:left w:val="nil"/>
              <w:bottom w:val="nil"/>
              <w:right w:val="nil"/>
            </w:tcBorders>
            <w:shd w:val="clear" w:color="auto" w:fill="auto"/>
            <w:noWrap/>
            <w:vAlign w:val="center"/>
            <w:hideMark/>
          </w:tcPr>
          <w:p w14:paraId="41CC1757"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(osoby)</w:t>
            </w:r>
          </w:p>
        </w:tc>
        <w:tc>
          <w:tcPr>
            <w:tcW w:w="920" w:type="dxa"/>
            <w:tcBorders>
              <w:top w:val="nil"/>
              <w:left w:val="nil"/>
              <w:bottom w:val="nil"/>
              <w:right w:val="nil"/>
            </w:tcBorders>
            <w:shd w:val="clear" w:color="auto" w:fill="auto"/>
            <w:noWrap/>
            <w:vAlign w:val="center"/>
            <w:hideMark/>
          </w:tcPr>
          <w:p w14:paraId="4DA83933"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427 103</w:t>
            </w:r>
          </w:p>
        </w:tc>
        <w:tc>
          <w:tcPr>
            <w:tcW w:w="920" w:type="dxa"/>
            <w:tcBorders>
              <w:top w:val="nil"/>
              <w:left w:val="nil"/>
              <w:bottom w:val="nil"/>
              <w:right w:val="nil"/>
            </w:tcBorders>
            <w:shd w:val="clear" w:color="auto" w:fill="auto"/>
            <w:noWrap/>
            <w:vAlign w:val="center"/>
            <w:hideMark/>
          </w:tcPr>
          <w:p w14:paraId="49A73623"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435 020</w:t>
            </w:r>
          </w:p>
        </w:tc>
        <w:tc>
          <w:tcPr>
            <w:tcW w:w="920" w:type="dxa"/>
            <w:tcBorders>
              <w:top w:val="nil"/>
              <w:left w:val="nil"/>
              <w:bottom w:val="nil"/>
              <w:right w:val="nil"/>
            </w:tcBorders>
            <w:shd w:val="clear" w:color="auto" w:fill="auto"/>
            <w:noWrap/>
            <w:vAlign w:val="center"/>
            <w:hideMark/>
          </w:tcPr>
          <w:p w14:paraId="2ED4CA09"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439 387</w:t>
            </w:r>
          </w:p>
        </w:tc>
        <w:tc>
          <w:tcPr>
            <w:tcW w:w="920" w:type="dxa"/>
            <w:tcBorders>
              <w:top w:val="nil"/>
              <w:left w:val="nil"/>
              <w:bottom w:val="nil"/>
              <w:right w:val="nil"/>
            </w:tcBorders>
            <w:shd w:val="clear" w:color="auto" w:fill="auto"/>
            <w:noWrap/>
            <w:vAlign w:val="center"/>
            <w:hideMark/>
          </w:tcPr>
          <w:p w14:paraId="345795A2"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437 278</w:t>
            </w:r>
          </w:p>
        </w:tc>
        <w:tc>
          <w:tcPr>
            <w:tcW w:w="920" w:type="dxa"/>
            <w:tcBorders>
              <w:top w:val="nil"/>
              <w:left w:val="nil"/>
              <w:bottom w:val="nil"/>
              <w:right w:val="nil"/>
            </w:tcBorders>
            <w:shd w:val="clear" w:color="auto" w:fill="auto"/>
            <w:noWrap/>
            <w:vAlign w:val="center"/>
            <w:hideMark/>
          </w:tcPr>
          <w:p w14:paraId="1F1443F1"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451 845</w:t>
            </w:r>
          </w:p>
        </w:tc>
        <w:tc>
          <w:tcPr>
            <w:tcW w:w="920" w:type="dxa"/>
            <w:tcBorders>
              <w:top w:val="nil"/>
              <w:left w:val="nil"/>
              <w:bottom w:val="nil"/>
              <w:right w:val="nil"/>
            </w:tcBorders>
            <w:shd w:val="clear" w:color="auto" w:fill="auto"/>
            <w:noWrap/>
            <w:vAlign w:val="center"/>
            <w:hideMark/>
          </w:tcPr>
          <w:p w14:paraId="677F3117"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453 307</w:t>
            </w:r>
          </w:p>
        </w:tc>
        <w:tc>
          <w:tcPr>
            <w:tcW w:w="920" w:type="dxa"/>
            <w:tcBorders>
              <w:top w:val="nil"/>
              <w:left w:val="nil"/>
              <w:bottom w:val="nil"/>
              <w:right w:val="nil"/>
            </w:tcBorders>
            <w:shd w:val="clear" w:color="auto" w:fill="auto"/>
            <w:noWrap/>
            <w:vAlign w:val="center"/>
            <w:hideMark/>
          </w:tcPr>
          <w:p w14:paraId="158B3692"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447 649</w:t>
            </w:r>
          </w:p>
        </w:tc>
      </w:tr>
      <w:tr w:rsidR="00B45F0E" w:rsidRPr="00B45F0E" w14:paraId="61F151B0" w14:textId="77777777" w:rsidTr="00B63F1A">
        <w:trPr>
          <w:trHeight w:val="288"/>
        </w:trPr>
        <w:tc>
          <w:tcPr>
            <w:tcW w:w="2200" w:type="dxa"/>
            <w:tcBorders>
              <w:top w:val="nil"/>
              <w:left w:val="nil"/>
              <w:bottom w:val="nil"/>
              <w:right w:val="nil"/>
            </w:tcBorders>
            <w:shd w:val="clear" w:color="auto" w:fill="auto"/>
            <w:noWrap/>
            <w:vAlign w:val="center"/>
            <w:hideMark/>
          </w:tcPr>
          <w:p w14:paraId="13C56446"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Osobné výdavky</w:t>
            </w:r>
          </w:p>
        </w:tc>
        <w:tc>
          <w:tcPr>
            <w:tcW w:w="740" w:type="dxa"/>
            <w:tcBorders>
              <w:top w:val="nil"/>
              <w:left w:val="nil"/>
              <w:bottom w:val="nil"/>
              <w:right w:val="nil"/>
            </w:tcBorders>
            <w:shd w:val="clear" w:color="auto" w:fill="auto"/>
            <w:noWrap/>
            <w:vAlign w:val="center"/>
            <w:hideMark/>
          </w:tcPr>
          <w:p w14:paraId="16A49910"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w:t>
            </w:r>
            <w:r w:rsidRPr="00B45F0E">
              <w:rPr>
                <w:rFonts w:ascii="Times New Roman" w:eastAsia="Times New Roman" w:hAnsi="Times New Roman" w:cs="Times New Roman"/>
                <w:b/>
                <w:bCs/>
                <w:color w:val="000000"/>
                <w:sz w:val="16"/>
                <w:szCs w:val="16"/>
                <w:lang w:eastAsia="sk-SK"/>
              </w:rPr>
              <w:t>tis. eur</w:t>
            </w:r>
            <w:r w:rsidRPr="00B45F0E">
              <w:rPr>
                <w:rFonts w:ascii="Times New Roman" w:eastAsia="Times New Roman" w:hAnsi="Times New Roman" w:cs="Times New Roman"/>
                <w:color w:val="000000"/>
                <w:sz w:val="16"/>
                <w:szCs w:val="16"/>
                <w:lang w:eastAsia="sk-SK"/>
              </w:rPr>
              <w:t>)</w:t>
            </w:r>
          </w:p>
        </w:tc>
        <w:tc>
          <w:tcPr>
            <w:tcW w:w="920" w:type="dxa"/>
            <w:tcBorders>
              <w:top w:val="nil"/>
              <w:left w:val="nil"/>
              <w:bottom w:val="nil"/>
              <w:right w:val="nil"/>
            </w:tcBorders>
            <w:shd w:val="clear" w:color="auto" w:fill="auto"/>
            <w:noWrap/>
            <w:vAlign w:val="center"/>
            <w:hideMark/>
          </w:tcPr>
          <w:p w14:paraId="4390C72A"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10 143 161</w:t>
            </w:r>
          </w:p>
        </w:tc>
        <w:tc>
          <w:tcPr>
            <w:tcW w:w="920" w:type="dxa"/>
            <w:tcBorders>
              <w:top w:val="nil"/>
              <w:left w:val="nil"/>
              <w:bottom w:val="nil"/>
              <w:right w:val="nil"/>
            </w:tcBorders>
            <w:shd w:val="clear" w:color="auto" w:fill="auto"/>
            <w:noWrap/>
            <w:vAlign w:val="center"/>
            <w:hideMark/>
          </w:tcPr>
          <w:p w14:paraId="2435739F"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10 978 526</w:t>
            </w:r>
          </w:p>
        </w:tc>
        <w:tc>
          <w:tcPr>
            <w:tcW w:w="920" w:type="dxa"/>
            <w:tcBorders>
              <w:top w:val="nil"/>
              <w:left w:val="nil"/>
              <w:bottom w:val="nil"/>
              <w:right w:val="nil"/>
            </w:tcBorders>
            <w:shd w:val="clear" w:color="auto" w:fill="auto"/>
            <w:noWrap/>
            <w:vAlign w:val="center"/>
            <w:hideMark/>
          </w:tcPr>
          <w:p w14:paraId="31A15AAD"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11 434 639</w:t>
            </w:r>
          </w:p>
        </w:tc>
        <w:tc>
          <w:tcPr>
            <w:tcW w:w="920" w:type="dxa"/>
            <w:tcBorders>
              <w:top w:val="nil"/>
              <w:left w:val="nil"/>
              <w:bottom w:val="nil"/>
              <w:right w:val="nil"/>
            </w:tcBorders>
            <w:shd w:val="clear" w:color="auto" w:fill="auto"/>
            <w:noWrap/>
            <w:vAlign w:val="center"/>
            <w:hideMark/>
          </w:tcPr>
          <w:p w14:paraId="1620765E"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11 823 000</w:t>
            </w:r>
          </w:p>
        </w:tc>
        <w:tc>
          <w:tcPr>
            <w:tcW w:w="920" w:type="dxa"/>
            <w:tcBorders>
              <w:top w:val="nil"/>
              <w:left w:val="nil"/>
              <w:bottom w:val="nil"/>
              <w:right w:val="nil"/>
            </w:tcBorders>
            <w:shd w:val="clear" w:color="auto" w:fill="auto"/>
            <w:noWrap/>
            <w:vAlign w:val="center"/>
            <w:hideMark/>
          </w:tcPr>
          <w:p w14:paraId="7669AD9E"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12 947 424</w:t>
            </w:r>
          </w:p>
        </w:tc>
        <w:tc>
          <w:tcPr>
            <w:tcW w:w="920" w:type="dxa"/>
            <w:tcBorders>
              <w:top w:val="nil"/>
              <w:left w:val="nil"/>
              <w:bottom w:val="nil"/>
              <w:right w:val="nil"/>
            </w:tcBorders>
            <w:shd w:val="clear" w:color="auto" w:fill="auto"/>
            <w:noWrap/>
            <w:vAlign w:val="center"/>
            <w:hideMark/>
          </w:tcPr>
          <w:p w14:paraId="4F366C73"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13 641 436</w:t>
            </w:r>
          </w:p>
        </w:tc>
        <w:tc>
          <w:tcPr>
            <w:tcW w:w="920" w:type="dxa"/>
            <w:tcBorders>
              <w:top w:val="nil"/>
              <w:left w:val="nil"/>
              <w:bottom w:val="nil"/>
              <w:right w:val="nil"/>
            </w:tcBorders>
            <w:shd w:val="clear" w:color="auto" w:fill="auto"/>
            <w:noWrap/>
            <w:vAlign w:val="center"/>
            <w:hideMark/>
          </w:tcPr>
          <w:p w14:paraId="75EB60E6"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14 297 642</w:t>
            </w:r>
          </w:p>
        </w:tc>
      </w:tr>
      <w:tr w:rsidR="00B45F0E" w:rsidRPr="00B45F0E" w14:paraId="627B2E39" w14:textId="77777777" w:rsidTr="00B63F1A">
        <w:trPr>
          <w:trHeight w:val="288"/>
        </w:trPr>
        <w:tc>
          <w:tcPr>
            <w:tcW w:w="2200" w:type="dxa"/>
            <w:tcBorders>
              <w:top w:val="nil"/>
              <w:left w:val="nil"/>
              <w:bottom w:val="nil"/>
              <w:right w:val="nil"/>
            </w:tcBorders>
            <w:shd w:val="clear" w:color="auto" w:fill="auto"/>
            <w:noWrap/>
            <w:vAlign w:val="center"/>
            <w:hideMark/>
          </w:tcPr>
          <w:p w14:paraId="01D7A9C7" w14:textId="77777777" w:rsidR="00B45F0E" w:rsidRPr="00B45F0E" w:rsidRDefault="00B45F0E" w:rsidP="00B45F0E">
            <w:pPr>
              <w:spacing w:after="0" w:line="240" w:lineRule="auto"/>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 xml:space="preserve">        z toho: mzdové výdavky</w:t>
            </w:r>
          </w:p>
        </w:tc>
        <w:tc>
          <w:tcPr>
            <w:tcW w:w="740" w:type="dxa"/>
            <w:tcBorders>
              <w:top w:val="nil"/>
              <w:left w:val="nil"/>
              <w:bottom w:val="nil"/>
              <w:right w:val="nil"/>
            </w:tcBorders>
            <w:shd w:val="clear" w:color="auto" w:fill="auto"/>
            <w:noWrap/>
            <w:vAlign w:val="center"/>
            <w:hideMark/>
          </w:tcPr>
          <w:p w14:paraId="4998ECCB"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(tis. eur)</w:t>
            </w:r>
          </w:p>
        </w:tc>
        <w:tc>
          <w:tcPr>
            <w:tcW w:w="920" w:type="dxa"/>
            <w:tcBorders>
              <w:top w:val="nil"/>
              <w:left w:val="nil"/>
              <w:bottom w:val="nil"/>
              <w:right w:val="nil"/>
            </w:tcBorders>
            <w:shd w:val="clear" w:color="auto" w:fill="auto"/>
            <w:noWrap/>
            <w:vAlign w:val="center"/>
            <w:hideMark/>
          </w:tcPr>
          <w:p w14:paraId="0AC0F5C1"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7 454 594</w:t>
            </w:r>
          </w:p>
        </w:tc>
        <w:tc>
          <w:tcPr>
            <w:tcW w:w="920" w:type="dxa"/>
            <w:tcBorders>
              <w:top w:val="nil"/>
              <w:left w:val="nil"/>
              <w:bottom w:val="nil"/>
              <w:right w:val="nil"/>
            </w:tcBorders>
            <w:shd w:val="clear" w:color="auto" w:fill="auto"/>
            <w:noWrap/>
            <w:vAlign w:val="center"/>
            <w:hideMark/>
          </w:tcPr>
          <w:p w14:paraId="27A0949A"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8 076 894</w:t>
            </w:r>
          </w:p>
        </w:tc>
        <w:tc>
          <w:tcPr>
            <w:tcW w:w="920" w:type="dxa"/>
            <w:tcBorders>
              <w:top w:val="nil"/>
              <w:left w:val="nil"/>
              <w:bottom w:val="nil"/>
              <w:right w:val="nil"/>
            </w:tcBorders>
            <w:shd w:val="clear" w:color="auto" w:fill="auto"/>
            <w:noWrap/>
            <w:vAlign w:val="center"/>
            <w:hideMark/>
          </w:tcPr>
          <w:p w14:paraId="5671A738"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8 408 582</w:t>
            </w:r>
          </w:p>
        </w:tc>
        <w:tc>
          <w:tcPr>
            <w:tcW w:w="920" w:type="dxa"/>
            <w:tcBorders>
              <w:top w:val="nil"/>
              <w:left w:val="nil"/>
              <w:bottom w:val="nil"/>
              <w:right w:val="nil"/>
            </w:tcBorders>
            <w:shd w:val="clear" w:color="auto" w:fill="auto"/>
            <w:noWrap/>
            <w:vAlign w:val="center"/>
            <w:hideMark/>
          </w:tcPr>
          <w:p w14:paraId="6128EFED"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8 718 347</w:t>
            </w:r>
          </w:p>
        </w:tc>
        <w:tc>
          <w:tcPr>
            <w:tcW w:w="920" w:type="dxa"/>
            <w:tcBorders>
              <w:top w:val="nil"/>
              <w:left w:val="nil"/>
              <w:bottom w:val="nil"/>
              <w:right w:val="nil"/>
            </w:tcBorders>
            <w:shd w:val="clear" w:color="auto" w:fill="auto"/>
            <w:noWrap/>
            <w:vAlign w:val="center"/>
            <w:hideMark/>
          </w:tcPr>
          <w:p w14:paraId="7A89361A"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9 393 514</w:t>
            </w:r>
          </w:p>
        </w:tc>
        <w:tc>
          <w:tcPr>
            <w:tcW w:w="920" w:type="dxa"/>
            <w:tcBorders>
              <w:top w:val="nil"/>
              <w:left w:val="nil"/>
              <w:bottom w:val="nil"/>
              <w:right w:val="nil"/>
            </w:tcBorders>
            <w:shd w:val="clear" w:color="auto" w:fill="auto"/>
            <w:noWrap/>
            <w:vAlign w:val="center"/>
            <w:hideMark/>
          </w:tcPr>
          <w:p w14:paraId="7CED8FEF"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9 891 290</w:t>
            </w:r>
          </w:p>
        </w:tc>
        <w:tc>
          <w:tcPr>
            <w:tcW w:w="920" w:type="dxa"/>
            <w:tcBorders>
              <w:top w:val="nil"/>
              <w:left w:val="nil"/>
              <w:bottom w:val="nil"/>
              <w:right w:val="nil"/>
            </w:tcBorders>
            <w:shd w:val="clear" w:color="auto" w:fill="auto"/>
            <w:noWrap/>
            <w:vAlign w:val="center"/>
            <w:hideMark/>
          </w:tcPr>
          <w:p w14:paraId="40B7B3D8"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10 363 593</w:t>
            </w:r>
          </w:p>
        </w:tc>
      </w:tr>
      <w:tr w:rsidR="00B45F0E" w:rsidRPr="00B45F0E" w14:paraId="2CDB3CBF" w14:textId="77777777" w:rsidTr="00B63F1A">
        <w:trPr>
          <w:trHeight w:val="288"/>
        </w:trPr>
        <w:tc>
          <w:tcPr>
            <w:tcW w:w="2200" w:type="dxa"/>
            <w:tcBorders>
              <w:top w:val="nil"/>
              <w:left w:val="nil"/>
              <w:bottom w:val="single" w:sz="4" w:space="0" w:color="auto"/>
              <w:right w:val="nil"/>
            </w:tcBorders>
            <w:shd w:val="clear" w:color="auto" w:fill="auto"/>
            <w:noWrap/>
            <w:vAlign w:val="center"/>
            <w:hideMark/>
          </w:tcPr>
          <w:p w14:paraId="2AA928DC"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Priemerný mzdový výdavok</w:t>
            </w:r>
          </w:p>
        </w:tc>
        <w:tc>
          <w:tcPr>
            <w:tcW w:w="740" w:type="dxa"/>
            <w:tcBorders>
              <w:top w:val="nil"/>
              <w:left w:val="nil"/>
              <w:bottom w:val="single" w:sz="4" w:space="0" w:color="auto"/>
              <w:right w:val="nil"/>
            </w:tcBorders>
            <w:shd w:val="clear" w:color="auto" w:fill="auto"/>
            <w:noWrap/>
            <w:vAlign w:val="center"/>
            <w:hideMark/>
          </w:tcPr>
          <w:p w14:paraId="369145D5"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w:t>
            </w:r>
            <w:r w:rsidRPr="00B45F0E">
              <w:rPr>
                <w:rFonts w:ascii="Times New Roman" w:eastAsia="Times New Roman" w:hAnsi="Times New Roman" w:cs="Times New Roman"/>
                <w:b/>
                <w:bCs/>
                <w:color w:val="000000"/>
                <w:sz w:val="16"/>
                <w:szCs w:val="16"/>
                <w:lang w:eastAsia="sk-SK"/>
              </w:rPr>
              <w:t>eur</w:t>
            </w:r>
            <w:r w:rsidRPr="00B45F0E">
              <w:rPr>
                <w:rFonts w:ascii="Times New Roman" w:eastAsia="Times New Roman" w:hAnsi="Times New Roman" w:cs="Times New Roman"/>
                <w:color w:val="000000"/>
                <w:sz w:val="16"/>
                <w:szCs w:val="16"/>
                <w:lang w:eastAsia="sk-SK"/>
              </w:rPr>
              <w:t>)</w:t>
            </w:r>
          </w:p>
        </w:tc>
        <w:tc>
          <w:tcPr>
            <w:tcW w:w="920" w:type="dxa"/>
            <w:tcBorders>
              <w:top w:val="nil"/>
              <w:left w:val="nil"/>
              <w:bottom w:val="single" w:sz="4" w:space="0" w:color="auto"/>
              <w:right w:val="nil"/>
            </w:tcBorders>
            <w:shd w:val="clear" w:color="auto" w:fill="auto"/>
            <w:noWrap/>
            <w:vAlign w:val="center"/>
            <w:hideMark/>
          </w:tcPr>
          <w:p w14:paraId="7E30C1E9"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1 454,49</w:t>
            </w:r>
          </w:p>
        </w:tc>
        <w:tc>
          <w:tcPr>
            <w:tcW w:w="920" w:type="dxa"/>
            <w:tcBorders>
              <w:top w:val="nil"/>
              <w:left w:val="nil"/>
              <w:bottom w:val="single" w:sz="4" w:space="0" w:color="auto"/>
              <w:right w:val="nil"/>
            </w:tcBorders>
            <w:shd w:val="clear" w:color="auto" w:fill="auto"/>
            <w:noWrap/>
            <w:vAlign w:val="center"/>
            <w:hideMark/>
          </w:tcPr>
          <w:p w14:paraId="2F8BF710"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1 547,23</w:t>
            </w:r>
          </w:p>
        </w:tc>
        <w:tc>
          <w:tcPr>
            <w:tcW w:w="920" w:type="dxa"/>
            <w:tcBorders>
              <w:top w:val="nil"/>
              <w:left w:val="nil"/>
              <w:bottom w:val="single" w:sz="4" w:space="0" w:color="auto"/>
              <w:right w:val="nil"/>
            </w:tcBorders>
            <w:shd w:val="clear" w:color="auto" w:fill="auto"/>
            <w:noWrap/>
            <w:vAlign w:val="center"/>
            <w:hideMark/>
          </w:tcPr>
          <w:p w14:paraId="2791FE8D"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1 594,76</w:t>
            </w:r>
          </w:p>
        </w:tc>
        <w:tc>
          <w:tcPr>
            <w:tcW w:w="920" w:type="dxa"/>
            <w:tcBorders>
              <w:top w:val="nil"/>
              <w:left w:val="nil"/>
              <w:bottom w:val="single" w:sz="4" w:space="0" w:color="auto"/>
              <w:right w:val="nil"/>
            </w:tcBorders>
            <w:shd w:val="clear" w:color="auto" w:fill="auto"/>
            <w:noWrap/>
            <w:vAlign w:val="center"/>
            <w:hideMark/>
          </w:tcPr>
          <w:p w14:paraId="26DF239E"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1 661,48</w:t>
            </w:r>
          </w:p>
        </w:tc>
        <w:tc>
          <w:tcPr>
            <w:tcW w:w="920" w:type="dxa"/>
            <w:tcBorders>
              <w:top w:val="nil"/>
              <w:left w:val="nil"/>
              <w:bottom w:val="single" w:sz="4" w:space="0" w:color="auto"/>
              <w:right w:val="nil"/>
            </w:tcBorders>
            <w:shd w:val="clear" w:color="auto" w:fill="auto"/>
            <w:noWrap/>
            <w:vAlign w:val="center"/>
            <w:hideMark/>
          </w:tcPr>
          <w:p w14:paraId="5966274F"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1 732,44</w:t>
            </w:r>
          </w:p>
        </w:tc>
        <w:tc>
          <w:tcPr>
            <w:tcW w:w="920" w:type="dxa"/>
            <w:tcBorders>
              <w:top w:val="nil"/>
              <w:left w:val="nil"/>
              <w:bottom w:val="single" w:sz="4" w:space="0" w:color="auto"/>
              <w:right w:val="nil"/>
            </w:tcBorders>
            <w:shd w:val="clear" w:color="auto" w:fill="auto"/>
            <w:noWrap/>
            <w:vAlign w:val="center"/>
            <w:hideMark/>
          </w:tcPr>
          <w:p w14:paraId="3EFEE368"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1 818,36</w:t>
            </w:r>
          </w:p>
        </w:tc>
        <w:tc>
          <w:tcPr>
            <w:tcW w:w="920" w:type="dxa"/>
            <w:tcBorders>
              <w:top w:val="nil"/>
              <w:left w:val="nil"/>
              <w:bottom w:val="single" w:sz="4" w:space="0" w:color="auto"/>
              <w:right w:val="nil"/>
            </w:tcBorders>
            <w:shd w:val="clear" w:color="auto" w:fill="auto"/>
            <w:noWrap/>
            <w:vAlign w:val="center"/>
            <w:hideMark/>
          </w:tcPr>
          <w:p w14:paraId="5366E139"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1 929,26</w:t>
            </w:r>
          </w:p>
        </w:tc>
      </w:tr>
      <w:tr w:rsidR="00B45F0E" w:rsidRPr="00B45F0E" w14:paraId="76F2661A" w14:textId="77777777" w:rsidTr="00B63F1A">
        <w:trPr>
          <w:trHeight w:val="765"/>
        </w:trPr>
        <w:tc>
          <w:tcPr>
            <w:tcW w:w="9380" w:type="dxa"/>
            <w:gridSpan w:val="9"/>
            <w:tcBorders>
              <w:top w:val="single" w:sz="4" w:space="0" w:color="auto"/>
              <w:left w:val="nil"/>
              <w:bottom w:val="nil"/>
              <w:right w:val="nil"/>
            </w:tcBorders>
            <w:shd w:val="clear" w:color="auto" w:fill="auto"/>
            <w:hideMark/>
          </w:tcPr>
          <w:p w14:paraId="71B63A95" w14:textId="77777777" w:rsidR="00B45F0E" w:rsidRPr="00B45F0E" w:rsidRDefault="00B45F0E" w:rsidP="00B45F0E">
            <w:pPr>
              <w:spacing w:after="0" w:line="240" w:lineRule="auto"/>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S 2021 a 2022 v osobných výdavkoch - Štátny záverečný účet SR. OS 2023 v počte zamestnancov v prevažnej miere zohľadňuje úroveň dosiahnutej skutočnosti za 1. polrok 2023, v osobných výdavkoch aj odhad čerpania EÚ zdrojov a spolufinancovania zo ŠR. NRVS  2024 až 2026 za kapitoly ŠR nezohľadňuje zdroje EÚ a spolufinancovania zo ŠR.  NRVS 2024 až 2026 je vrátane Plánu obnovy a odolnosti SR.</w:t>
            </w:r>
          </w:p>
        </w:tc>
      </w:tr>
    </w:tbl>
    <w:p w14:paraId="41945D8E" w14:textId="77777777" w:rsidR="004C487C" w:rsidRDefault="004C487C" w:rsidP="00B45F0E">
      <w:pPr>
        <w:spacing w:after="0"/>
        <w:jc w:val="both"/>
        <w:rPr>
          <w:rFonts w:ascii="Times New Roman" w:hAnsi="Times New Roman" w:cs="Times New Roman"/>
          <w:sz w:val="24"/>
          <w:szCs w:val="24"/>
        </w:rPr>
      </w:pPr>
    </w:p>
    <w:p w14:paraId="513C8382" w14:textId="77777777" w:rsidR="004C487C" w:rsidRDefault="004C487C" w:rsidP="00B45F0E">
      <w:pPr>
        <w:spacing w:after="0"/>
        <w:jc w:val="both"/>
        <w:rPr>
          <w:rFonts w:ascii="Times New Roman" w:hAnsi="Times New Roman" w:cs="Times New Roman"/>
          <w:sz w:val="24"/>
          <w:szCs w:val="24"/>
        </w:rPr>
      </w:pPr>
    </w:p>
    <w:p w14:paraId="4C43FCF0" w14:textId="072929FD" w:rsidR="00B45F0E" w:rsidRPr="00B45F0E" w:rsidRDefault="00B45F0E" w:rsidP="00B45F0E">
      <w:pPr>
        <w:spacing w:after="0"/>
        <w:jc w:val="both"/>
        <w:rPr>
          <w:rFonts w:ascii="Times New Roman" w:hAnsi="Times New Roman" w:cs="Times New Roman"/>
          <w:sz w:val="24"/>
          <w:szCs w:val="24"/>
        </w:rPr>
      </w:pPr>
      <w:r w:rsidRPr="00B45F0E">
        <w:rPr>
          <w:rFonts w:ascii="Times New Roman" w:hAnsi="Times New Roman" w:cs="Times New Roman"/>
          <w:sz w:val="24"/>
          <w:szCs w:val="24"/>
        </w:rPr>
        <w:lastRenderedPageBreak/>
        <w:t>Prehľad o zamestnancoch financovaných zo štátneho rozpočtu, v členení podľa odmeňovacích predpisov, znázorňuje nasledujúci graf.</w:t>
      </w:r>
    </w:p>
    <w:p w14:paraId="674B6903" w14:textId="77777777" w:rsidR="00B45F0E" w:rsidRPr="00B45F0E" w:rsidRDefault="00B45F0E" w:rsidP="00B45F0E">
      <w:pPr>
        <w:spacing w:after="0"/>
        <w:jc w:val="both"/>
        <w:rPr>
          <w:rFonts w:ascii="Times New Roman" w:hAnsi="Times New Roman" w:cs="Times New Roman"/>
          <w:sz w:val="24"/>
          <w:szCs w:val="24"/>
        </w:rPr>
      </w:pPr>
    </w:p>
    <w:p w14:paraId="53089286" w14:textId="38EF4ACD" w:rsidR="00B45F0E" w:rsidRPr="00B45F0E" w:rsidRDefault="00B45F0E" w:rsidP="004C487C">
      <w:pPr>
        <w:keepNext/>
        <w:spacing w:after="0" w:line="240" w:lineRule="auto"/>
        <w:jc w:val="both"/>
        <w:rPr>
          <w:rFonts w:ascii="Times New Roman" w:hAnsi="Times New Roman" w:cs="Times New Roman"/>
          <w:i/>
          <w:iCs/>
          <w:color w:val="44546A" w:themeColor="text2"/>
          <w:sz w:val="24"/>
          <w:szCs w:val="24"/>
          <w:highlight w:val="yellow"/>
        </w:rPr>
      </w:pPr>
      <w:bookmarkStart w:id="168" w:name="_Toc52988830"/>
      <w:bookmarkStart w:id="169" w:name="_Toc153014656"/>
      <w:r w:rsidRPr="00B45F0E">
        <w:rPr>
          <w:rFonts w:ascii="Times New Roman" w:hAnsi="Times New Roman" w:cs="Times New Roman"/>
          <w:b/>
          <w:iCs/>
          <w:color w:val="5B9BD5" w:themeColor="accent1"/>
          <w:sz w:val="20"/>
          <w:szCs w:val="20"/>
        </w:rPr>
        <w:t xml:space="preserve">Graf </w:t>
      </w:r>
      <w:r w:rsidRPr="00130C46">
        <w:rPr>
          <w:rFonts w:ascii="Times New Roman" w:eastAsia="Calibri" w:hAnsi="Times New Roman"/>
          <w:b/>
          <w:iCs/>
          <w:color w:val="5B9BD5"/>
          <w:sz w:val="20"/>
          <w:szCs w:val="18"/>
        </w:rPr>
        <w:fldChar w:fldCharType="begin"/>
      </w:r>
      <w:r w:rsidRPr="00130C46">
        <w:rPr>
          <w:rFonts w:ascii="Times New Roman" w:eastAsia="Calibri" w:hAnsi="Times New Roman"/>
          <w:b/>
          <w:iCs/>
          <w:color w:val="5B9BD5"/>
          <w:sz w:val="20"/>
          <w:szCs w:val="18"/>
        </w:rPr>
        <w:instrText xml:space="preserve"> SEQ Obrázok \* ARABIC </w:instrText>
      </w:r>
      <w:r w:rsidRPr="00130C46">
        <w:rPr>
          <w:rFonts w:ascii="Times New Roman" w:eastAsia="Calibri" w:hAnsi="Times New Roman"/>
          <w:b/>
          <w:iCs/>
          <w:color w:val="5B9BD5"/>
          <w:sz w:val="20"/>
          <w:szCs w:val="18"/>
        </w:rPr>
        <w:fldChar w:fldCharType="separate"/>
      </w:r>
      <w:r w:rsidR="003D5A3A">
        <w:rPr>
          <w:rFonts w:ascii="Times New Roman" w:eastAsia="Calibri" w:hAnsi="Times New Roman"/>
          <w:b/>
          <w:iCs/>
          <w:noProof/>
          <w:color w:val="5B9BD5"/>
          <w:sz w:val="20"/>
          <w:szCs w:val="18"/>
        </w:rPr>
        <w:t>9</w:t>
      </w:r>
      <w:r w:rsidRPr="00130C46">
        <w:rPr>
          <w:rFonts w:ascii="Times New Roman" w:eastAsia="Calibri" w:hAnsi="Times New Roman"/>
          <w:b/>
          <w:iCs/>
          <w:color w:val="5B9BD5"/>
          <w:sz w:val="20"/>
          <w:szCs w:val="18"/>
        </w:rPr>
        <w:fldChar w:fldCharType="end"/>
      </w:r>
      <w:r>
        <w:rPr>
          <w:rFonts w:ascii="Times New Roman" w:eastAsia="Calibri" w:hAnsi="Times New Roman"/>
          <w:b/>
          <w:iCs/>
          <w:color w:val="5B9BD5"/>
          <w:sz w:val="20"/>
          <w:szCs w:val="18"/>
        </w:rPr>
        <w:t xml:space="preserve"> -</w:t>
      </w:r>
      <w:r w:rsidRPr="00B45F0E">
        <w:rPr>
          <w:rFonts w:ascii="Times New Roman" w:hAnsi="Times New Roman" w:cs="Times New Roman"/>
          <w:b/>
          <w:iCs/>
          <w:color w:val="5B9BD5" w:themeColor="accent1"/>
          <w:sz w:val="20"/>
          <w:szCs w:val="20"/>
        </w:rPr>
        <w:t xml:space="preserve"> Zamestnanosť financovaná zo štátneho rozpočtu</w:t>
      </w:r>
      <w:bookmarkEnd w:id="168"/>
      <w:bookmarkEnd w:id="169"/>
      <w:r w:rsidRPr="00B45F0E">
        <w:rPr>
          <w:rFonts w:ascii="Times New Roman" w:hAnsi="Times New Roman" w:cs="Times New Roman"/>
          <w:b/>
          <w:iCs/>
          <w:color w:val="5B9BD5" w:themeColor="accent1"/>
          <w:sz w:val="20"/>
          <w:szCs w:val="20"/>
        </w:rPr>
        <w:t xml:space="preserve"> </w:t>
      </w:r>
    </w:p>
    <w:p w14:paraId="0AE9F0E1" w14:textId="77777777" w:rsidR="00B45F0E" w:rsidRPr="00B45F0E" w:rsidRDefault="00B45F0E" w:rsidP="00B45F0E">
      <w:pPr>
        <w:spacing w:after="0"/>
        <w:jc w:val="both"/>
        <w:rPr>
          <w:rFonts w:ascii="Times New Roman" w:hAnsi="Times New Roman" w:cs="Times New Roman"/>
          <w:sz w:val="24"/>
          <w:szCs w:val="24"/>
          <w:highlight w:val="yellow"/>
        </w:rPr>
      </w:pPr>
      <w:r w:rsidRPr="00B45F0E">
        <w:rPr>
          <w:noProof/>
          <w:lang w:eastAsia="sk-SK"/>
        </w:rPr>
        <w:drawing>
          <wp:inline distT="0" distB="0" distL="0" distR="0" wp14:anchorId="312EE662" wp14:editId="6F491591">
            <wp:extent cx="2714625" cy="2852420"/>
            <wp:effectExtent l="0" t="0" r="9525" b="5080"/>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B45F0E">
        <w:rPr>
          <w:noProof/>
          <w:lang w:eastAsia="sk-SK"/>
        </w:rPr>
        <w:t xml:space="preserve">        </w:t>
      </w:r>
      <w:r w:rsidRPr="00B45F0E">
        <w:rPr>
          <w:noProof/>
          <w:lang w:eastAsia="sk-SK"/>
        </w:rPr>
        <w:drawing>
          <wp:inline distT="0" distB="0" distL="0" distR="0" wp14:anchorId="61CD3EF4" wp14:editId="19F50A68">
            <wp:extent cx="2733675" cy="2835275"/>
            <wp:effectExtent l="0" t="0" r="9525" b="3175"/>
            <wp:docPr id="16"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BCAA52E" w14:textId="77777777" w:rsidR="00B45F0E" w:rsidRPr="00B45F0E" w:rsidRDefault="00B45F0E" w:rsidP="00B45F0E">
      <w:pPr>
        <w:spacing w:after="0"/>
        <w:jc w:val="both"/>
        <w:rPr>
          <w:rFonts w:ascii="Times New Roman" w:hAnsi="Times New Roman" w:cs="Times New Roman"/>
          <w:i/>
          <w:sz w:val="16"/>
          <w:szCs w:val="16"/>
        </w:rPr>
      </w:pPr>
      <w:r w:rsidRPr="00B45F0E">
        <w:rPr>
          <w:i/>
          <w:noProof/>
          <w:lang w:eastAsia="sk-SK"/>
        </w:rPr>
        <w:t xml:space="preserve">                                                                   </w:t>
      </w:r>
      <w:r w:rsidRPr="00B45F0E">
        <w:rPr>
          <w:rFonts w:ascii="Times New Roman" w:hAnsi="Times New Roman" w:cs="Times New Roman"/>
          <w:i/>
          <w:noProof/>
          <w:sz w:val="16"/>
          <w:szCs w:val="16"/>
          <w:lang w:eastAsia="sk-SK"/>
        </w:rPr>
        <w:t>Zdroj: MF SR                                                                                               Zdroj: MF SR</w:t>
      </w:r>
    </w:p>
    <w:p w14:paraId="181E0985" w14:textId="4E16C04F" w:rsidR="00B45F0E" w:rsidRPr="00B45F0E" w:rsidRDefault="00B45F0E" w:rsidP="00B45F0E">
      <w:pPr>
        <w:spacing w:after="0"/>
        <w:jc w:val="both"/>
        <w:rPr>
          <w:rFonts w:ascii="Times New Roman" w:hAnsi="Times New Roman" w:cs="Times New Roman"/>
          <w:sz w:val="24"/>
          <w:szCs w:val="24"/>
          <w:highlight w:val="yellow"/>
        </w:rPr>
      </w:pPr>
    </w:p>
    <w:p w14:paraId="535FE6A4" w14:textId="77777777" w:rsidR="00B45F0E" w:rsidRPr="00B45F0E" w:rsidRDefault="00B45F0E" w:rsidP="00B45F0E">
      <w:pPr>
        <w:spacing w:after="0"/>
        <w:jc w:val="both"/>
        <w:rPr>
          <w:rFonts w:ascii="Times New Roman" w:hAnsi="Times New Roman" w:cs="Times New Roman"/>
          <w:sz w:val="24"/>
          <w:szCs w:val="24"/>
        </w:rPr>
      </w:pPr>
      <w:r w:rsidRPr="00B45F0E">
        <w:rPr>
          <w:rFonts w:ascii="Times New Roman" w:hAnsi="Times New Roman" w:cs="Times New Roman"/>
          <w:sz w:val="24"/>
          <w:szCs w:val="24"/>
        </w:rPr>
        <w:t>Návrh rozpočtu verejnej správy na rok 2024 zohľadňuje premietnutie valorizácií z roku 2023, t. j. valorizáciu platov štátnych zamestnancov  v štátnozamestnaneckom pomere a v služobnom pomere a zamestnancov pri výkone práce vo verejnom záujme od 1. 1. 2023 o 7 % a od 1. 9. 2023 o ďalších 10 % a 10 % valorizáciu platov učiteľov vysokých škôl a výskumných a vývojových zamestnancov a pedagogických zamestnancov a odborných zamestnancov od 1.</w:t>
      </w:r>
      <w:r w:rsidRPr="00B45F0E">
        <w:t> </w:t>
      </w:r>
      <w:r w:rsidRPr="00B45F0E">
        <w:rPr>
          <w:rFonts w:ascii="Times New Roman" w:hAnsi="Times New Roman" w:cs="Times New Roman"/>
          <w:sz w:val="24"/>
          <w:szCs w:val="24"/>
        </w:rPr>
        <w:t>1. 2023 a ďalších 12 % od 1.</w:t>
      </w:r>
      <w:r w:rsidRPr="00B45F0E">
        <w:t> </w:t>
      </w:r>
      <w:r w:rsidRPr="00B45F0E">
        <w:rPr>
          <w:rFonts w:ascii="Times New Roman" w:hAnsi="Times New Roman" w:cs="Times New Roman"/>
          <w:sz w:val="24"/>
          <w:szCs w:val="24"/>
        </w:rPr>
        <w:t>9. 2023 v súhrnnej sume 996 mil. eur, z toho mzdy v sume 738 mil. eur, v tom pre rozpočtové organizácie  kapitol štátneho rozpočtu osobné výdavky v sume 487 mil. eur, z toho mzdy 360 mil. eur. Z dôvodu rastu minimálnej mzdy v roku 2024 na 750 eur je v rozpočte zapracované aj zvýšenie osobných výdavkov pre zamestnancov odmeňovaných podľa Zákonníka práce v sume 2,65 mil. eur, z toho mzdy 1,97 mil. eur. V nadväznosti na uvedený medziročný rast sa v návrhu rozpočtu na rok 2024 neuvažuje s ďalšou valorizáciou platov.</w:t>
      </w:r>
    </w:p>
    <w:p w14:paraId="21200BAE" w14:textId="77777777" w:rsidR="00B45F0E" w:rsidRPr="00B45F0E" w:rsidRDefault="00B45F0E" w:rsidP="00B45F0E">
      <w:pPr>
        <w:spacing w:after="0"/>
        <w:jc w:val="both"/>
        <w:rPr>
          <w:rFonts w:ascii="Times New Roman" w:hAnsi="Times New Roman" w:cs="Times New Roman"/>
          <w:sz w:val="24"/>
          <w:szCs w:val="24"/>
        </w:rPr>
      </w:pPr>
    </w:p>
    <w:p w14:paraId="656CCD7A" w14:textId="20D4FB6E" w:rsidR="00B45F0E" w:rsidRPr="00B45F0E" w:rsidRDefault="00B45F0E" w:rsidP="00B45F0E">
      <w:pPr>
        <w:spacing w:after="0"/>
        <w:jc w:val="both"/>
        <w:rPr>
          <w:rFonts w:ascii="Times New Roman" w:hAnsi="Times New Roman" w:cs="Times New Roman"/>
          <w:sz w:val="24"/>
          <w:szCs w:val="24"/>
        </w:rPr>
      </w:pPr>
      <w:r w:rsidRPr="00B45F0E">
        <w:rPr>
          <w:rFonts w:ascii="Times New Roman" w:hAnsi="Times New Roman" w:cs="Times New Roman"/>
          <w:sz w:val="24"/>
          <w:szCs w:val="24"/>
        </w:rPr>
        <w:t xml:space="preserve">Zvýšenie osobných výdavkov zamestnancov financovaných zo štátneho rozpočtu v roku 2024 zohľadňuje najmä prijatie novely školského zákona v sume 77,6 mil. eur , z toho mzdy v sume 57,4 mil. eur, zavedenie koeficientu ekonomickej rovnováhy (KER) v sume 60 mil. eur, z toho mzdy v sume 44,4 mil. eur, dofinancovanie normatívnych výdavkov z dôvodu rastu počtu žiakov v sume 43,4 mil. eur, z toho mzdy 32,1 mil. eur, výkonnostné zmluvy v sume 47,3 mil. eur, z toho mzdy 30,8 mil. eur a zmena spôsobu financovania neštátnych zariadení poradenstva a prevencie v sume 14,6 mil. eur, z toho mzdy v sume 10,8 mil. eur pre kapitolu Ministerstvo školstva, vedy, výskumu a športu SR. Z dôvodu vrátenia počtu miest policajtov, ktoré boli v rozpočte kapitoly Ministerstvo vnútra SR viazané od roku 2023 v počte 907 miest policajtov z dôvodu optimalizácie počtu policajtov a postupného dorovnania na priemer EÚ do roku 2027 vyplývajúceho z Revízie výdavkov zamestnanosti a </w:t>
      </w:r>
      <w:r w:rsidR="00C20D78">
        <w:rPr>
          <w:rFonts w:ascii="Times New Roman" w:hAnsi="Times New Roman" w:cs="Times New Roman"/>
          <w:sz w:val="24"/>
          <w:szCs w:val="24"/>
        </w:rPr>
        <w:t xml:space="preserve">odmeňovania vo verejnej správe </w:t>
      </w:r>
      <w:r w:rsidRPr="00B45F0E">
        <w:rPr>
          <w:rFonts w:ascii="Times New Roman" w:hAnsi="Times New Roman" w:cs="Times New Roman"/>
          <w:sz w:val="24"/>
          <w:szCs w:val="24"/>
        </w:rPr>
        <w:t>v sume 38,3 mil. eur, z toho mzdy v sume 28,1 mil. eur pre kapitolu Ministerstvo vnútra SR.</w:t>
      </w:r>
    </w:p>
    <w:p w14:paraId="1A13B529" w14:textId="77777777" w:rsidR="00B45F0E" w:rsidRPr="00B45F0E" w:rsidRDefault="00B45F0E" w:rsidP="00B45F0E">
      <w:pPr>
        <w:spacing w:after="0"/>
        <w:jc w:val="both"/>
        <w:rPr>
          <w:rFonts w:ascii="Times New Roman" w:hAnsi="Times New Roman" w:cs="Times New Roman"/>
          <w:color w:val="000000" w:themeColor="text1"/>
          <w:sz w:val="24"/>
          <w:szCs w:val="24"/>
        </w:rPr>
      </w:pPr>
    </w:p>
    <w:p w14:paraId="0119B8B2" w14:textId="77777777" w:rsidR="00B45F0E" w:rsidRPr="00FA4536" w:rsidRDefault="00B45F0E" w:rsidP="00B45F0E">
      <w:pPr>
        <w:spacing w:after="0"/>
        <w:jc w:val="both"/>
        <w:rPr>
          <w:rFonts w:ascii="Times New Roman" w:hAnsi="Times New Roman" w:cs="Times New Roman"/>
          <w:color w:val="000000" w:themeColor="text1"/>
          <w:sz w:val="24"/>
          <w:szCs w:val="24"/>
        </w:rPr>
      </w:pPr>
      <w:r w:rsidRPr="00B45F0E">
        <w:rPr>
          <w:rFonts w:ascii="Times New Roman" w:hAnsi="Times New Roman" w:cs="Times New Roman"/>
          <w:color w:val="000000" w:themeColor="text1"/>
          <w:sz w:val="24"/>
          <w:szCs w:val="24"/>
        </w:rPr>
        <w:t>V súlade s uznesením vlády SR č. 488/2023 sa zabezpečili osobné výdavky pre administratívne kapacity financované zo štátneho rozpočtu v sume 20,2 mil. eur, z toho mzdy 15,0 mil. eur, z toho na ukončenie predchádzajúcich programových období sú vyčlenené osobné výdavky v sume 6,55 mil. eur, z toho mzdy 4,85 mil. eur.</w:t>
      </w:r>
    </w:p>
    <w:p w14:paraId="52CF2D20" w14:textId="77777777" w:rsidR="00B45F0E" w:rsidRPr="00B45F0E" w:rsidRDefault="00B45F0E" w:rsidP="00B45F0E">
      <w:pPr>
        <w:spacing w:after="0"/>
        <w:jc w:val="both"/>
        <w:rPr>
          <w:rFonts w:ascii="Times New Roman" w:hAnsi="Times New Roman" w:cs="Times New Roman"/>
          <w:sz w:val="24"/>
          <w:szCs w:val="24"/>
        </w:rPr>
      </w:pPr>
    </w:p>
    <w:p w14:paraId="710301C2" w14:textId="77777777" w:rsidR="00B45F0E" w:rsidRPr="00B45F0E" w:rsidRDefault="00B45F0E" w:rsidP="00B45F0E">
      <w:pPr>
        <w:spacing w:after="0"/>
        <w:jc w:val="both"/>
        <w:rPr>
          <w:rFonts w:ascii="Times New Roman" w:hAnsi="Times New Roman" w:cs="Times New Roman"/>
          <w:b/>
          <w:color w:val="5B9BD5" w:themeColor="accent1"/>
          <w:sz w:val="24"/>
          <w:szCs w:val="24"/>
        </w:rPr>
      </w:pPr>
      <w:r w:rsidRPr="00B45F0E">
        <w:rPr>
          <w:rFonts w:ascii="Times New Roman" w:hAnsi="Times New Roman" w:cs="Times New Roman"/>
          <w:b/>
          <w:color w:val="5B9BD5" w:themeColor="accent1"/>
          <w:sz w:val="24"/>
          <w:szCs w:val="24"/>
        </w:rPr>
        <w:t>Osobné výdavky zamestnancov regionálneho školstva financovaného zo štátneho rozpočtu</w:t>
      </w:r>
    </w:p>
    <w:p w14:paraId="1B6772AE" w14:textId="77777777" w:rsidR="00B45F0E" w:rsidRPr="00B45F0E" w:rsidRDefault="00B45F0E" w:rsidP="00B45F0E">
      <w:pPr>
        <w:spacing w:after="0"/>
        <w:jc w:val="both"/>
        <w:rPr>
          <w:rFonts w:ascii="Times New Roman" w:hAnsi="Times New Roman" w:cs="Times New Roman"/>
          <w:sz w:val="24"/>
          <w:szCs w:val="24"/>
        </w:rPr>
      </w:pPr>
    </w:p>
    <w:p w14:paraId="6AA732C8" w14:textId="7E728ABF" w:rsidR="00B45F0E" w:rsidRDefault="00B45F0E" w:rsidP="00B45F0E">
      <w:pPr>
        <w:spacing w:after="0"/>
        <w:jc w:val="both"/>
        <w:rPr>
          <w:rFonts w:ascii="Times New Roman" w:hAnsi="Times New Roman" w:cs="Times New Roman"/>
          <w:sz w:val="24"/>
          <w:szCs w:val="24"/>
        </w:rPr>
      </w:pPr>
      <w:r w:rsidRPr="00B45F0E">
        <w:rPr>
          <w:rFonts w:ascii="Times New Roman" w:hAnsi="Times New Roman" w:cs="Times New Roman"/>
          <w:sz w:val="24"/>
          <w:szCs w:val="24"/>
        </w:rPr>
        <w:t xml:space="preserve">Pre pedagogických, odborných a nepedagogických zamestnancov regionálneho školstva financovaného z kapitoly Ministerstvo školstva, vedy, výskumu a športu SR sa na rok 2024 navrhujú osobné výdavky v sume 2,46 mld. eur, z toho mzdy v sume 1,82 mld. eur pre 95 077 zamestnancov. Medziročný nárast osobných výdavkov zohľadňuje saldo valorizácií z roku 2023 v celkovej sume osobných výdavkov 158 mil. eur, z toho mzdy v sume 117 mil. eur. V návrhu rozpočtu je zapracovaná aj novela školského zákona v sume 77,6 mil. eur, z toho mzdy v sume 57,4 mil. eur, zavedenie koeficientu ekonomickej rovnováhy (KER) v sume 60 mil. eur, z toho mzdy v sume 44,4 mil. eur, dofinancovanie normatívnych výdavkov z roku 2023 v sume 43,4 mil. eur, z toho mzdy 32,1 mil. eur ako aj zmena spôsobu financovania neštátnych zariadení poradenstva a prevencie v sume 14,6 mil. eur, z toho mzdy v sume 10,8 mil. eur. Na zabezpečenie novely školského zákona sa súčasne zvyšuje počet pedagogických zamestnancov o ďalších 9 055 osôb. Z dôvodu dofinancovania normatívnych výdavkov a zvýšenia počtu žiakov sa zvyšuje počet pedagogických zamestnancov o 1 502 osôb a počet nepedagogických zamestnancov o 62 osôb a v súvislosti so zmenou spôsobu financovania neštátnych zariadení poradenstva a prevencie sa zvyšuje počet pedagogických zamestnancov o 469 osôb a počet nepedagogických zamestnancov o 69 osôb. Počet zamestnancov na rok 2024 je vrátane 92 nepedagogických zamestnancov na pozíciách školská zdravotná sestra, ktorí boli prijatí na implementáciu Plánu obnovy a odolnosti SR. </w:t>
      </w:r>
    </w:p>
    <w:p w14:paraId="0B41B30E" w14:textId="015330A7" w:rsidR="004C487C" w:rsidRDefault="004C487C" w:rsidP="00B45F0E">
      <w:pPr>
        <w:spacing w:after="0"/>
        <w:jc w:val="both"/>
        <w:rPr>
          <w:rFonts w:ascii="Times New Roman" w:hAnsi="Times New Roman" w:cs="Times New Roman"/>
          <w:sz w:val="24"/>
          <w:szCs w:val="24"/>
        </w:rPr>
      </w:pPr>
    </w:p>
    <w:p w14:paraId="6F7E14F0" w14:textId="071781D9" w:rsidR="004C487C" w:rsidRDefault="004C487C" w:rsidP="00B45F0E">
      <w:pPr>
        <w:spacing w:after="0"/>
        <w:jc w:val="both"/>
        <w:rPr>
          <w:rFonts w:ascii="Times New Roman" w:hAnsi="Times New Roman" w:cs="Times New Roman"/>
          <w:sz w:val="24"/>
          <w:szCs w:val="24"/>
        </w:rPr>
      </w:pPr>
    </w:p>
    <w:p w14:paraId="2BDD0B58" w14:textId="69B9A737" w:rsidR="004C487C" w:rsidRDefault="004C487C" w:rsidP="00B45F0E">
      <w:pPr>
        <w:spacing w:after="0"/>
        <w:jc w:val="both"/>
        <w:rPr>
          <w:rFonts w:ascii="Times New Roman" w:hAnsi="Times New Roman" w:cs="Times New Roman"/>
          <w:sz w:val="24"/>
          <w:szCs w:val="24"/>
        </w:rPr>
      </w:pPr>
    </w:p>
    <w:p w14:paraId="1250C7B2" w14:textId="4C8B9F22" w:rsidR="004C487C" w:rsidRDefault="004C487C" w:rsidP="00B45F0E">
      <w:pPr>
        <w:spacing w:after="0"/>
        <w:jc w:val="both"/>
        <w:rPr>
          <w:rFonts w:ascii="Times New Roman" w:hAnsi="Times New Roman" w:cs="Times New Roman"/>
          <w:sz w:val="24"/>
          <w:szCs w:val="24"/>
        </w:rPr>
      </w:pPr>
    </w:p>
    <w:p w14:paraId="2364B45E" w14:textId="6DBC7E39" w:rsidR="004C487C" w:rsidRDefault="004C487C" w:rsidP="00B45F0E">
      <w:pPr>
        <w:spacing w:after="0"/>
        <w:jc w:val="both"/>
        <w:rPr>
          <w:rFonts w:ascii="Times New Roman" w:hAnsi="Times New Roman" w:cs="Times New Roman"/>
          <w:sz w:val="24"/>
          <w:szCs w:val="24"/>
        </w:rPr>
      </w:pPr>
    </w:p>
    <w:p w14:paraId="734346B7" w14:textId="1FF33BA6" w:rsidR="004C487C" w:rsidRDefault="004C487C" w:rsidP="00B45F0E">
      <w:pPr>
        <w:spacing w:after="0"/>
        <w:jc w:val="both"/>
        <w:rPr>
          <w:rFonts w:ascii="Times New Roman" w:hAnsi="Times New Roman" w:cs="Times New Roman"/>
          <w:sz w:val="24"/>
          <w:szCs w:val="24"/>
        </w:rPr>
      </w:pPr>
    </w:p>
    <w:p w14:paraId="514417AF" w14:textId="58BE9CDD" w:rsidR="004C487C" w:rsidRDefault="004C487C" w:rsidP="00B45F0E">
      <w:pPr>
        <w:spacing w:after="0"/>
        <w:jc w:val="both"/>
        <w:rPr>
          <w:rFonts w:ascii="Times New Roman" w:hAnsi="Times New Roman" w:cs="Times New Roman"/>
          <w:sz w:val="24"/>
          <w:szCs w:val="24"/>
        </w:rPr>
      </w:pPr>
    </w:p>
    <w:p w14:paraId="2394ABEB" w14:textId="642E01D4" w:rsidR="004C487C" w:rsidRDefault="004C487C" w:rsidP="00B45F0E">
      <w:pPr>
        <w:spacing w:after="0"/>
        <w:jc w:val="both"/>
        <w:rPr>
          <w:rFonts w:ascii="Times New Roman" w:hAnsi="Times New Roman" w:cs="Times New Roman"/>
          <w:sz w:val="24"/>
          <w:szCs w:val="24"/>
        </w:rPr>
      </w:pPr>
    </w:p>
    <w:p w14:paraId="54091AF3" w14:textId="3CFB70F0" w:rsidR="004C487C" w:rsidRDefault="004C487C" w:rsidP="00B45F0E">
      <w:pPr>
        <w:spacing w:after="0"/>
        <w:jc w:val="both"/>
        <w:rPr>
          <w:rFonts w:ascii="Times New Roman" w:hAnsi="Times New Roman" w:cs="Times New Roman"/>
          <w:sz w:val="24"/>
          <w:szCs w:val="24"/>
        </w:rPr>
      </w:pPr>
    </w:p>
    <w:p w14:paraId="15286F0C" w14:textId="2236C2C4" w:rsidR="004C487C" w:rsidRDefault="004C487C" w:rsidP="00B45F0E">
      <w:pPr>
        <w:spacing w:after="0"/>
        <w:jc w:val="both"/>
        <w:rPr>
          <w:rFonts w:ascii="Times New Roman" w:hAnsi="Times New Roman" w:cs="Times New Roman"/>
          <w:sz w:val="24"/>
          <w:szCs w:val="24"/>
        </w:rPr>
      </w:pPr>
    </w:p>
    <w:p w14:paraId="29DAAC60" w14:textId="44C924DD" w:rsidR="004C487C" w:rsidRDefault="004C487C" w:rsidP="00B45F0E">
      <w:pPr>
        <w:spacing w:after="0"/>
        <w:jc w:val="both"/>
        <w:rPr>
          <w:rFonts w:ascii="Times New Roman" w:hAnsi="Times New Roman" w:cs="Times New Roman"/>
          <w:sz w:val="24"/>
          <w:szCs w:val="24"/>
        </w:rPr>
      </w:pPr>
    </w:p>
    <w:p w14:paraId="73980095" w14:textId="7582B1C4" w:rsidR="004C487C" w:rsidRDefault="004C487C" w:rsidP="00B45F0E">
      <w:pPr>
        <w:spacing w:after="0"/>
        <w:jc w:val="both"/>
        <w:rPr>
          <w:rFonts w:ascii="Times New Roman" w:hAnsi="Times New Roman" w:cs="Times New Roman"/>
          <w:sz w:val="24"/>
          <w:szCs w:val="24"/>
        </w:rPr>
      </w:pPr>
    </w:p>
    <w:p w14:paraId="31EAB0C1" w14:textId="1DDD3BEF" w:rsidR="004C487C" w:rsidRDefault="004C487C" w:rsidP="00B45F0E">
      <w:pPr>
        <w:spacing w:after="0"/>
        <w:jc w:val="both"/>
        <w:rPr>
          <w:rFonts w:ascii="Times New Roman" w:hAnsi="Times New Roman" w:cs="Times New Roman"/>
          <w:sz w:val="24"/>
          <w:szCs w:val="24"/>
        </w:rPr>
      </w:pPr>
    </w:p>
    <w:p w14:paraId="4B51032F" w14:textId="3BC3AE19" w:rsidR="004C487C" w:rsidRDefault="004C487C" w:rsidP="00B45F0E">
      <w:pPr>
        <w:spacing w:after="0"/>
        <w:jc w:val="both"/>
        <w:rPr>
          <w:rFonts w:ascii="Times New Roman" w:hAnsi="Times New Roman" w:cs="Times New Roman"/>
          <w:sz w:val="24"/>
          <w:szCs w:val="24"/>
        </w:rPr>
      </w:pPr>
    </w:p>
    <w:p w14:paraId="5CFAD510" w14:textId="7F177A00" w:rsidR="004C487C" w:rsidRDefault="004C487C" w:rsidP="00B45F0E">
      <w:pPr>
        <w:spacing w:after="0"/>
        <w:jc w:val="both"/>
        <w:rPr>
          <w:rFonts w:ascii="Times New Roman" w:hAnsi="Times New Roman" w:cs="Times New Roman"/>
          <w:sz w:val="24"/>
          <w:szCs w:val="24"/>
        </w:rPr>
      </w:pPr>
    </w:p>
    <w:p w14:paraId="42B057F9" w14:textId="337AEB5E" w:rsidR="004C487C" w:rsidRDefault="004C487C" w:rsidP="00B45F0E">
      <w:pPr>
        <w:spacing w:after="0"/>
        <w:jc w:val="both"/>
        <w:rPr>
          <w:rFonts w:ascii="Times New Roman" w:hAnsi="Times New Roman" w:cs="Times New Roman"/>
          <w:sz w:val="24"/>
          <w:szCs w:val="24"/>
        </w:rPr>
      </w:pPr>
    </w:p>
    <w:p w14:paraId="0DA43B82" w14:textId="2C859BCC" w:rsidR="004C487C" w:rsidRDefault="004C487C" w:rsidP="00B45F0E">
      <w:pPr>
        <w:spacing w:after="0"/>
        <w:jc w:val="both"/>
        <w:rPr>
          <w:rFonts w:ascii="Times New Roman" w:hAnsi="Times New Roman" w:cs="Times New Roman"/>
          <w:sz w:val="24"/>
          <w:szCs w:val="24"/>
        </w:rPr>
      </w:pPr>
    </w:p>
    <w:p w14:paraId="1CB6B03C" w14:textId="0DC2DE25" w:rsidR="004C487C" w:rsidRDefault="004C487C" w:rsidP="00B45F0E">
      <w:pPr>
        <w:spacing w:after="0"/>
        <w:jc w:val="both"/>
        <w:rPr>
          <w:rFonts w:ascii="Times New Roman" w:hAnsi="Times New Roman" w:cs="Times New Roman"/>
          <w:sz w:val="24"/>
          <w:szCs w:val="24"/>
        </w:rPr>
      </w:pPr>
    </w:p>
    <w:p w14:paraId="2B541DFD" w14:textId="4F76C390" w:rsidR="00B45F0E" w:rsidRDefault="00B45F0E" w:rsidP="00B45F0E">
      <w:pPr>
        <w:spacing w:after="0"/>
        <w:jc w:val="both"/>
        <w:rPr>
          <w:rFonts w:ascii="Times New Roman" w:hAnsi="Times New Roman" w:cs="Times New Roman"/>
          <w:sz w:val="24"/>
          <w:szCs w:val="24"/>
        </w:rPr>
      </w:pPr>
    </w:p>
    <w:p w14:paraId="1A393964" w14:textId="77777777" w:rsidR="00B4559D" w:rsidRPr="00B45F0E" w:rsidRDefault="00B4559D" w:rsidP="00B45F0E">
      <w:pPr>
        <w:spacing w:after="0"/>
        <w:jc w:val="both"/>
        <w:rPr>
          <w:rFonts w:ascii="Times New Roman" w:hAnsi="Times New Roman" w:cs="Times New Roman"/>
          <w:sz w:val="24"/>
          <w:szCs w:val="24"/>
        </w:rPr>
      </w:pPr>
    </w:p>
    <w:p w14:paraId="550F4C00" w14:textId="7568D02F" w:rsidR="00B45F0E" w:rsidRPr="00B45F0E" w:rsidRDefault="00B45F0E" w:rsidP="00B45F0E">
      <w:pPr>
        <w:spacing w:after="0"/>
        <w:jc w:val="both"/>
        <w:rPr>
          <w:rFonts w:ascii="Times New Roman" w:hAnsi="Times New Roman" w:cs="Times New Roman"/>
          <w:b/>
          <w:color w:val="5B9BD5" w:themeColor="accent1"/>
          <w:sz w:val="20"/>
          <w:szCs w:val="20"/>
        </w:rPr>
      </w:pPr>
      <w:bookmarkStart w:id="170" w:name="_Toc153013049"/>
      <w:r>
        <w:rPr>
          <w:rFonts w:ascii="Times New Roman" w:hAnsi="Times New Roman" w:cs="Times New Roman"/>
          <w:b/>
          <w:color w:val="5B9BD5" w:themeColor="accent1"/>
          <w:sz w:val="20"/>
          <w:szCs w:val="20"/>
        </w:rPr>
        <w:t>Tabuľka</w:t>
      </w:r>
      <w:r w:rsidRPr="007F6374">
        <w:rPr>
          <w:rFonts w:ascii="Times New Roman" w:eastAsia="Calibri" w:hAnsi="Times New Roman" w:cs="Times New Roman"/>
          <w:b/>
          <w:color w:val="5B9BD5" w:themeColor="accent1"/>
          <w:sz w:val="20"/>
          <w:szCs w:val="20"/>
        </w:rPr>
        <w:t xml:space="preserve"> </w:t>
      </w:r>
      <w:r w:rsidRPr="007F6374">
        <w:rPr>
          <w:rFonts w:ascii="Times New Roman" w:eastAsia="Calibri" w:hAnsi="Times New Roman" w:cs="Times New Roman"/>
          <w:b/>
          <w:color w:val="5B9BD5" w:themeColor="accent1"/>
          <w:sz w:val="20"/>
          <w:szCs w:val="20"/>
        </w:rPr>
        <w:fldChar w:fldCharType="begin"/>
      </w:r>
      <w:r w:rsidRPr="007F6374">
        <w:rPr>
          <w:rFonts w:ascii="Times New Roman" w:eastAsia="Calibri" w:hAnsi="Times New Roman" w:cs="Times New Roman"/>
          <w:b/>
          <w:color w:val="5B9BD5" w:themeColor="accent1"/>
          <w:sz w:val="20"/>
          <w:szCs w:val="20"/>
        </w:rPr>
        <w:instrText xml:space="preserve"> SEQ Tabuľka \* ARABIC </w:instrText>
      </w:r>
      <w:r w:rsidRPr="007F6374">
        <w:rPr>
          <w:rFonts w:ascii="Times New Roman" w:eastAsia="Calibri" w:hAnsi="Times New Roman" w:cs="Times New Roman"/>
          <w:b/>
          <w:color w:val="5B9BD5" w:themeColor="accent1"/>
          <w:sz w:val="20"/>
          <w:szCs w:val="20"/>
        </w:rPr>
        <w:fldChar w:fldCharType="separate"/>
      </w:r>
      <w:r w:rsidR="003D5A3A">
        <w:rPr>
          <w:rFonts w:ascii="Times New Roman" w:eastAsia="Calibri" w:hAnsi="Times New Roman" w:cs="Times New Roman"/>
          <w:b/>
          <w:noProof/>
          <w:color w:val="5B9BD5" w:themeColor="accent1"/>
          <w:sz w:val="20"/>
          <w:szCs w:val="20"/>
        </w:rPr>
        <w:t>51</w:t>
      </w:r>
      <w:r w:rsidRPr="007F6374">
        <w:rPr>
          <w:rFonts w:ascii="Times New Roman" w:eastAsia="Calibri" w:hAnsi="Times New Roman" w:cs="Times New Roman"/>
          <w:b/>
          <w:color w:val="5B9BD5" w:themeColor="accent1"/>
          <w:sz w:val="20"/>
          <w:szCs w:val="20"/>
        </w:rPr>
        <w:fldChar w:fldCharType="end"/>
      </w:r>
      <w:r w:rsidRPr="00B45F0E">
        <w:rPr>
          <w:rFonts w:ascii="Times New Roman" w:hAnsi="Times New Roman" w:cs="Times New Roman"/>
          <w:b/>
          <w:color w:val="5B9BD5" w:themeColor="accent1"/>
          <w:sz w:val="20"/>
          <w:szCs w:val="20"/>
        </w:rPr>
        <w:t xml:space="preserve"> - Zamestnanosť v regionálnom školstve</w:t>
      </w:r>
      <w:bookmarkEnd w:id="170"/>
    </w:p>
    <w:tbl>
      <w:tblPr>
        <w:tblW w:w="9408" w:type="dxa"/>
        <w:tblCellMar>
          <w:left w:w="70" w:type="dxa"/>
          <w:right w:w="70" w:type="dxa"/>
        </w:tblCellMar>
        <w:tblLook w:val="04A0" w:firstRow="1" w:lastRow="0" w:firstColumn="1" w:lastColumn="0" w:noHBand="0" w:noVBand="1"/>
      </w:tblPr>
      <w:tblGrid>
        <w:gridCol w:w="2140"/>
        <w:gridCol w:w="760"/>
        <w:gridCol w:w="880"/>
        <w:gridCol w:w="880"/>
        <w:gridCol w:w="880"/>
        <w:gridCol w:w="880"/>
        <w:gridCol w:w="880"/>
        <w:gridCol w:w="880"/>
        <w:gridCol w:w="880"/>
        <w:gridCol w:w="348"/>
      </w:tblGrid>
      <w:tr w:rsidR="00B45F0E" w:rsidRPr="00B45F0E" w14:paraId="0155459F" w14:textId="77777777" w:rsidTr="00B63F1A">
        <w:trPr>
          <w:gridAfter w:val="1"/>
          <w:wAfter w:w="348" w:type="dxa"/>
          <w:trHeight w:val="288"/>
        </w:trPr>
        <w:tc>
          <w:tcPr>
            <w:tcW w:w="2140" w:type="dxa"/>
            <w:tcBorders>
              <w:top w:val="single" w:sz="4" w:space="0" w:color="auto"/>
              <w:left w:val="nil"/>
              <w:bottom w:val="single" w:sz="4" w:space="0" w:color="auto"/>
              <w:right w:val="nil"/>
            </w:tcBorders>
            <w:shd w:val="clear" w:color="auto" w:fill="auto"/>
            <w:noWrap/>
            <w:vAlign w:val="center"/>
            <w:hideMark/>
          </w:tcPr>
          <w:p w14:paraId="46E374B7"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Regionálne školstvo</w:t>
            </w:r>
          </w:p>
        </w:tc>
        <w:tc>
          <w:tcPr>
            <w:tcW w:w="760" w:type="dxa"/>
            <w:tcBorders>
              <w:top w:val="single" w:sz="4" w:space="0" w:color="auto"/>
              <w:left w:val="nil"/>
              <w:bottom w:val="single" w:sz="4" w:space="0" w:color="auto"/>
              <w:right w:val="nil"/>
            </w:tcBorders>
            <w:shd w:val="clear" w:color="auto" w:fill="auto"/>
            <w:noWrap/>
            <w:vAlign w:val="center"/>
            <w:hideMark/>
          </w:tcPr>
          <w:p w14:paraId="1F016CB8"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 </w:t>
            </w:r>
          </w:p>
        </w:tc>
        <w:tc>
          <w:tcPr>
            <w:tcW w:w="880" w:type="dxa"/>
            <w:tcBorders>
              <w:top w:val="single" w:sz="4" w:space="0" w:color="auto"/>
              <w:left w:val="nil"/>
              <w:bottom w:val="single" w:sz="4" w:space="0" w:color="auto"/>
              <w:right w:val="nil"/>
            </w:tcBorders>
            <w:shd w:val="clear" w:color="auto" w:fill="auto"/>
            <w:noWrap/>
            <w:vAlign w:val="center"/>
            <w:hideMark/>
          </w:tcPr>
          <w:p w14:paraId="14B49953"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2021  S</w:t>
            </w:r>
          </w:p>
        </w:tc>
        <w:tc>
          <w:tcPr>
            <w:tcW w:w="880" w:type="dxa"/>
            <w:tcBorders>
              <w:top w:val="single" w:sz="4" w:space="0" w:color="auto"/>
              <w:left w:val="nil"/>
              <w:bottom w:val="single" w:sz="4" w:space="0" w:color="auto"/>
              <w:right w:val="nil"/>
            </w:tcBorders>
            <w:shd w:val="clear" w:color="auto" w:fill="auto"/>
            <w:noWrap/>
            <w:vAlign w:val="center"/>
            <w:hideMark/>
          </w:tcPr>
          <w:p w14:paraId="6F6ACDC1"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2022  S</w:t>
            </w:r>
          </w:p>
        </w:tc>
        <w:tc>
          <w:tcPr>
            <w:tcW w:w="880" w:type="dxa"/>
            <w:tcBorders>
              <w:top w:val="single" w:sz="4" w:space="0" w:color="auto"/>
              <w:left w:val="nil"/>
              <w:bottom w:val="single" w:sz="4" w:space="0" w:color="auto"/>
              <w:right w:val="nil"/>
            </w:tcBorders>
            <w:shd w:val="clear" w:color="auto" w:fill="auto"/>
            <w:noWrap/>
            <w:vAlign w:val="center"/>
            <w:hideMark/>
          </w:tcPr>
          <w:p w14:paraId="6F6465B0"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2023  R</w:t>
            </w:r>
          </w:p>
        </w:tc>
        <w:tc>
          <w:tcPr>
            <w:tcW w:w="880" w:type="dxa"/>
            <w:tcBorders>
              <w:top w:val="single" w:sz="4" w:space="0" w:color="auto"/>
              <w:left w:val="nil"/>
              <w:bottom w:val="single" w:sz="4" w:space="0" w:color="auto"/>
              <w:right w:val="nil"/>
            </w:tcBorders>
            <w:shd w:val="clear" w:color="auto" w:fill="auto"/>
            <w:noWrap/>
            <w:vAlign w:val="center"/>
            <w:hideMark/>
          </w:tcPr>
          <w:p w14:paraId="799E0573"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2023  OS</w:t>
            </w:r>
          </w:p>
        </w:tc>
        <w:tc>
          <w:tcPr>
            <w:tcW w:w="880" w:type="dxa"/>
            <w:tcBorders>
              <w:top w:val="single" w:sz="4" w:space="0" w:color="auto"/>
              <w:left w:val="nil"/>
              <w:bottom w:val="single" w:sz="4" w:space="0" w:color="auto"/>
              <w:right w:val="nil"/>
            </w:tcBorders>
            <w:shd w:val="clear" w:color="auto" w:fill="auto"/>
            <w:noWrap/>
            <w:vAlign w:val="center"/>
            <w:hideMark/>
          </w:tcPr>
          <w:p w14:paraId="3E43F800"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2024  N</w:t>
            </w:r>
          </w:p>
        </w:tc>
        <w:tc>
          <w:tcPr>
            <w:tcW w:w="880" w:type="dxa"/>
            <w:tcBorders>
              <w:top w:val="single" w:sz="4" w:space="0" w:color="auto"/>
              <w:left w:val="nil"/>
              <w:bottom w:val="single" w:sz="4" w:space="0" w:color="auto"/>
              <w:right w:val="nil"/>
            </w:tcBorders>
            <w:shd w:val="clear" w:color="auto" w:fill="auto"/>
            <w:noWrap/>
            <w:vAlign w:val="center"/>
            <w:hideMark/>
          </w:tcPr>
          <w:p w14:paraId="508DEF24"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2025  N</w:t>
            </w:r>
          </w:p>
        </w:tc>
        <w:tc>
          <w:tcPr>
            <w:tcW w:w="880" w:type="dxa"/>
            <w:tcBorders>
              <w:top w:val="single" w:sz="4" w:space="0" w:color="auto"/>
              <w:left w:val="nil"/>
              <w:bottom w:val="single" w:sz="4" w:space="0" w:color="auto"/>
              <w:right w:val="nil"/>
            </w:tcBorders>
            <w:shd w:val="clear" w:color="auto" w:fill="auto"/>
            <w:noWrap/>
            <w:vAlign w:val="center"/>
            <w:hideMark/>
          </w:tcPr>
          <w:p w14:paraId="701C1B6E"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2026  N</w:t>
            </w:r>
          </w:p>
        </w:tc>
      </w:tr>
      <w:tr w:rsidR="00B45F0E" w:rsidRPr="00B45F0E" w14:paraId="3496B899" w14:textId="77777777" w:rsidTr="00B63F1A">
        <w:trPr>
          <w:gridAfter w:val="1"/>
          <w:wAfter w:w="348" w:type="dxa"/>
          <w:trHeight w:val="288"/>
        </w:trPr>
        <w:tc>
          <w:tcPr>
            <w:tcW w:w="2140" w:type="dxa"/>
            <w:tcBorders>
              <w:top w:val="nil"/>
              <w:left w:val="nil"/>
              <w:bottom w:val="nil"/>
              <w:right w:val="nil"/>
            </w:tcBorders>
            <w:shd w:val="clear" w:color="auto" w:fill="auto"/>
            <w:noWrap/>
            <w:vAlign w:val="center"/>
            <w:hideMark/>
          </w:tcPr>
          <w:p w14:paraId="3F5CA593" w14:textId="77777777" w:rsidR="00B45F0E" w:rsidRPr="00B45F0E" w:rsidRDefault="00B45F0E" w:rsidP="00B45F0E">
            <w:pPr>
              <w:spacing w:after="0" w:line="240" w:lineRule="auto"/>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Počet zamestnancov</w:t>
            </w:r>
          </w:p>
        </w:tc>
        <w:tc>
          <w:tcPr>
            <w:tcW w:w="760" w:type="dxa"/>
            <w:tcBorders>
              <w:top w:val="nil"/>
              <w:left w:val="nil"/>
              <w:bottom w:val="nil"/>
              <w:right w:val="nil"/>
            </w:tcBorders>
            <w:shd w:val="clear" w:color="auto" w:fill="auto"/>
            <w:noWrap/>
            <w:vAlign w:val="center"/>
            <w:hideMark/>
          </w:tcPr>
          <w:p w14:paraId="6048D6D0"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(osoby)</w:t>
            </w:r>
          </w:p>
        </w:tc>
        <w:tc>
          <w:tcPr>
            <w:tcW w:w="880" w:type="dxa"/>
            <w:tcBorders>
              <w:top w:val="nil"/>
              <w:left w:val="nil"/>
              <w:bottom w:val="nil"/>
              <w:right w:val="nil"/>
            </w:tcBorders>
            <w:shd w:val="clear" w:color="auto" w:fill="auto"/>
            <w:noWrap/>
            <w:vAlign w:val="center"/>
            <w:hideMark/>
          </w:tcPr>
          <w:p w14:paraId="6565C9C5"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86 643</w:t>
            </w:r>
          </w:p>
        </w:tc>
        <w:tc>
          <w:tcPr>
            <w:tcW w:w="880" w:type="dxa"/>
            <w:tcBorders>
              <w:top w:val="nil"/>
              <w:left w:val="nil"/>
              <w:bottom w:val="nil"/>
              <w:right w:val="nil"/>
            </w:tcBorders>
            <w:shd w:val="clear" w:color="auto" w:fill="auto"/>
            <w:noWrap/>
            <w:vAlign w:val="center"/>
            <w:hideMark/>
          </w:tcPr>
          <w:p w14:paraId="0CFA6D1A"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87 761</w:t>
            </w:r>
          </w:p>
        </w:tc>
        <w:tc>
          <w:tcPr>
            <w:tcW w:w="880" w:type="dxa"/>
            <w:tcBorders>
              <w:top w:val="nil"/>
              <w:left w:val="nil"/>
              <w:bottom w:val="nil"/>
              <w:right w:val="nil"/>
            </w:tcBorders>
            <w:shd w:val="clear" w:color="auto" w:fill="auto"/>
            <w:noWrap/>
            <w:vAlign w:val="center"/>
            <w:hideMark/>
          </w:tcPr>
          <w:p w14:paraId="7E382C73"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84 218</w:t>
            </w:r>
          </w:p>
        </w:tc>
        <w:tc>
          <w:tcPr>
            <w:tcW w:w="880" w:type="dxa"/>
            <w:tcBorders>
              <w:top w:val="nil"/>
              <w:left w:val="nil"/>
              <w:bottom w:val="nil"/>
              <w:right w:val="nil"/>
            </w:tcBorders>
            <w:shd w:val="clear" w:color="auto" w:fill="auto"/>
            <w:noWrap/>
            <w:vAlign w:val="center"/>
            <w:hideMark/>
          </w:tcPr>
          <w:p w14:paraId="4C0E25D9"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83 989</w:t>
            </w:r>
          </w:p>
        </w:tc>
        <w:tc>
          <w:tcPr>
            <w:tcW w:w="880" w:type="dxa"/>
            <w:tcBorders>
              <w:top w:val="nil"/>
              <w:left w:val="nil"/>
              <w:bottom w:val="nil"/>
              <w:right w:val="nil"/>
            </w:tcBorders>
            <w:shd w:val="clear" w:color="auto" w:fill="auto"/>
            <w:noWrap/>
            <w:vAlign w:val="center"/>
            <w:hideMark/>
          </w:tcPr>
          <w:p w14:paraId="55CEC93A"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95 077</w:t>
            </w:r>
          </w:p>
        </w:tc>
        <w:tc>
          <w:tcPr>
            <w:tcW w:w="880" w:type="dxa"/>
            <w:tcBorders>
              <w:top w:val="nil"/>
              <w:left w:val="nil"/>
              <w:bottom w:val="nil"/>
              <w:right w:val="nil"/>
            </w:tcBorders>
            <w:shd w:val="clear" w:color="auto" w:fill="auto"/>
            <w:noWrap/>
            <w:vAlign w:val="center"/>
            <w:hideMark/>
          </w:tcPr>
          <w:p w14:paraId="790A9646"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96 574</w:t>
            </w:r>
          </w:p>
        </w:tc>
        <w:tc>
          <w:tcPr>
            <w:tcW w:w="880" w:type="dxa"/>
            <w:tcBorders>
              <w:top w:val="nil"/>
              <w:left w:val="nil"/>
              <w:bottom w:val="nil"/>
              <w:right w:val="nil"/>
            </w:tcBorders>
            <w:shd w:val="clear" w:color="auto" w:fill="auto"/>
            <w:noWrap/>
            <w:vAlign w:val="center"/>
            <w:hideMark/>
          </w:tcPr>
          <w:p w14:paraId="26340453"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100 466</w:t>
            </w:r>
          </w:p>
        </w:tc>
      </w:tr>
      <w:tr w:rsidR="00B45F0E" w:rsidRPr="00B45F0E" w14:paraId="5F2E4993" w14:textId="77777777" w:rsidTr="00B63F1A">
        <w:trPr>
          <w:gridAfter w:val="1"/>
          <w:wAfter w:w="348" w:type="dxa"/>
          <w:trHeight w:val="288"/>
        </w:trPr>
        <w:tc>
          <w:tcPr>
            <w:tcW w:w="2140" w:type="dxa"/>
            <w:tcBorders>
              <w:top w:val="nil"/>
              <w:left w:val="nil"/>
              <w:bottom w:val="nil"/>
              <w:right w:val="nil"/>
            </w:tcBorders>
            <w:shd w:val="clear" w:color="auto" w:fill="auto"/>
            <w:noWrap/>
            <w:vAlign w:val="center"/>
            <w:hideMark/>
          </w:tcPr>
          <w:p w14:paraId="15349442"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 xml:space="preserve">Osobné výdavky </w:t>
            </w:r>
          </w:p>
        </w:tc>
        <w:tc>
          <w:tcPr>
            <w:tcW w:w="760" w:type="dxa"/>
            <w:tcBorders>
              <w:top w:val="nil"/>
              <w:left w:val="nil"/>
              <w:bottom w:val="nil"/>
              <w:right w:val="nil"/>
            </w:tcBorders>
            <w:shd w:val="clear" w:color="auto" w:fill="auto"/>
            <w:noWrap/>
            <w:vAlign w:val="center"/>
            <w:hideMark/>
          </w:tcPr>
          <w:p w14:paraId="1D28772E"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w:t>
            </w:r>
            <w:r w:rsidRPr="00B45F0E">
              <w:rPr>
                <w:rFonts w:ascii="Times New Roman" w:eastAsia="Times New Roman" w:hAnsi="Times New Roman" w:cs="Times New Roman"/>
                <w:b/>
                <w:bCs/>
                <w:color w:val="000000"/>
                <w:sz w:val="16"/>
                <w:szCs w:val="16"/>
                <w:lang w:eastAsia="sk-SK"/>
              </w:rPr>
              <w:t>tis. eur</w:t>
            </w:r>
            <w:r w:rsidRPr="00B45F0E">
              <w:rPr>
                <w:rFonts w:ascii="Times New Roman" w:eastAsia="Times New Roman" w:hAnsi="Times New Roman" w:cs="Times New Roman"/>
                <w:color w:val="000000"/>
                <w:sz w:val="16"/>
                <w:szCs w:val="16"/>
                <w:lang w:eastAsia="sk-SK"/>
              </w:rPr>
              <w:t>)</w:t>
            </w:r>
          </w:p>
        </w:tc>
        <w:tc>
          <w:tcPr>
            <w:tcW w:w="880" w:type="dxa"/>
            <w:tcBorders>
              <w:top w:val="nil"/>
              <w:left w:val="nil"/>
              <w:bottom w:val="nil"/>
              <w:right w:val="nil"/>
            </w:tcBorders>
            <w:shd w:val="clear" w:color="auto" w:fill="auto"/>
            <w:noWrap/>
            <w:vAlign w:val="center"/>
            <w:hideMark/>
          </w:tcPr>
          <w:p w14:paraId="3470D2F7"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1 918 089</w:t>
            </w:r>
          </w:p>
        </w:tc>
        <w:tc>
          <w:tcPr>
            <w:tcW w:w="880" w:type="dxa"/>
            <w:tcBorders>
              <w:top w:val="nil"/>
              <w:left w:val="nil"/>
              <w:bottom w:val="nil"/>
              <w:right w:val="nil"/>
            </w:tcBorders>
            <w:shd w:val="clear" w:color="auto" w:fill="auto"/>
            <w:noWrap/>
            <w:vAlign w:val="center"/>
            <w:hideMark/>
          </w:tcPr>
          <w:p w14:paraId="675A0A7F"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1 989 645</w:t>
            </w:r>
          </w:p>
        </w:tc>
        <w:tc>
          <w:tcPr>
            <w:tcW w:w="880" w:type="dxa"/>
            <w:tcBorders>
              <w:top w:val="nil"/>
              <w:left w:val="nil"/>
              <w:bottom w:val="nil"/>
              <w:right w:val="nil"/>
            </w:tcBorders>
            <w:shd w:val="clear" w:color="auto" w:fill="auto"/>
            <w:noWrap/>
            <w:vAlign w:val="center"/>
            <w:hideMark/>
          </w:tcPr>
          <w:p w14:paraId="04518FE5"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2 106 987</w:t>
            </w:r>
          </w:p>
        </w:tc>
        <w:tc>
          <w:tcPr>
            <w:tcW w:w="880" w:type="dxa"/>
            <w:tcBorders>
              <w:top w:val="nil"/>
              <w:left w:val="nil"/>
              <w:bottom w:val="nil"/>
              <w:right w:val="nil"/>
            </w:tcBorders>
            <w:shd w:val="clear" w:color="auto" w:fill="auto"/>
            <w:noWrap/>
            <w:vAlign w:val="center"/>
            <w:hideMark/>
          </w:tcPr>
          <w:p w14:paraId="4809EAEE"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2 132 778</w:t>
            </w:r>
          </w:p>
        </w:tc>
        <w:tc>
          <w:tcPr>
            <w:tcW w:w="880" w:type="dxa"/>
            <w:tcBorders>
              <w:top w:val="nil"/>
              <w:left w:val="nil"/>
              <w:bottom w:val="nil"/>
              <w:right w:val="nil"/>
            </w:tcBorders>
            <w:shd w:val="clear" w:color="auto" w:fill="auto"/>
            <w:noWrap/>
            <w:vAlign w:val="center"/>
            <w:hideMark/>
          </w:tcPr>
          <w:p w14:paraId="3F8682C7"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2 459 018</w:t>
            </w:r>
          </w:p>
        </w:tc>
        <w:tc>
          <w:tcPr>
            <w:tcW w:w="880" w:type="dxa"/>
            <w:tcBorders>
              <w:top w:val="nil"/>
              <w:left w:val="nil"/>
              <w:bottom w:val="nil"/>
              <w:right w:val="nil"/>
            </w:tcBorders>
            <w:shd w:val="clear" w:color="auto" w:fill="auto"/>
            <w:noWrap/>
            <w:vAlign w:val="center"/>
            <w:hideMark/>
          </w:tcPr>
          <w:p w14:paraId="2653EFBA"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2 603 162</w:t>
            </w:r>
          </w:p>
        </w:tc>
        <w:tc>
          <w:tcPr>
            <w:tcW w:w="880" w:type="dxa"/>
            <w:tcBorders>
              <w:top w:val="nil"/>
              <w:left w:val="nil"/>
              <w:bottom w:val="nil"/>
              <w:right w:val="nil"/>
            </w:tcBorders>
            <w:shd w:val="clear" w:color="auto" w:fill="auto"/>
            <w:noWrap/>
            <w:vAlign w:val="center"/>
            <w:hideMark/>
          </w:tcPr>
          <w:p w14:paraId="7D206777"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2 676 277</w:t>
            </w:r>
          </w:p>
        </w:tc>
      </w:tr>
      <w:tr w:rsidR="00B45F0E" w:rsidRPr="00B45F0E" w14:paraId="7F3922D4" w14:textId="77777777" w:rsidTr="00B63F1A">
        <w:trPr>
          <w:gridAfter w:val="1"/>
          <w:wAfter w:w="348" w:type="dxa"/>
          <w:trHeight w:val="288"/>
        </w:trPr>
        <w:tc>
          <w:tcPr>
            <w:tcW w:w="2140" w:type="dxa"/>
            <w:tcBorders>
              <w:top w:val="nil"/>
              <w:left w:val="nil"/>
              <w:bottom w:val="nil"/>
              <w:right w:val="nil"/>
            </w:tcBorders>
            <w:shd w:val="clear" w:color="auto" w:fill="auto"/>
            <w:noWrap/>
            <w:vAlign w:val="center"/>
            <w:hideMark/>
          </w:tcPr>
          <w:p w14:paraId="0DC9644C" w14:textId="77777777" w:rsidR="00B45F0E" w:rsidRPr="00B45F0E" w:rsidRDefault="00B45F0E" w:rsidP="00B45F0E">
            <w:pPr>
              <w:spacing w:after="0" w:line="240" w:lineRule="auto"/>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z toho: mzdové výdavky</w:t>
            </w:r>
          </w:p>
        </w:tc>
        <w:tc>
          <w:tcPr>
            <w:tcW w:w="760" w:type="dxa"/>
            <w:tcBorders>
              <w:top w:val="nil"/>
              <w:left w:val="nil"/>
              <w:bottom w:val="nil"/>
              <w:right w:val="nil"/>
            </w:tcBorders>
            <w:shd w:val="clear" w:color="auto" w:fill="auto"/>
            <w:noWrap/>
            <w:vAlign w:val="center"/>
            <w:hideMark/>
          </w:tcPr>
          <w:p w14:paraId="02196D90"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(tis. eur)</w:t>
            </w:r>
          </w:p>
        </w:tc>
        <w:tc>
          <w:tcPr>
            <w:tcW w:w="880" w:type="dxa"/>
            <w:tcBorders>
              <w:top w:val="nil"/>
              <w:left w:val="nil"/>
              <w:bottom w:val="nil"/>
              <w:right w:val="nil"/>
            </w:tcBorders>
            <w:shd w:val="clear" w:color="auto" w:fill="auto"/>
            <w:noWrap/>
            <w:vAlign w:val="center"/>
            <w:hideMark/>
          </w:tcPr>
          <w:p w14:paraId="248CD866"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1 418 705</w:t>
            </w:r>
          </w:p>
        </w:tc>
        <w:tc>
          <w:tcPr>
            <w:tcW w:w="880" w:type="dxa"/>
            <w:tcBorders>
              <w:top w:val="nil"/>
              <w:left w:val="nil"/>
              <w:bottom w:val="nil"/>
              <w:right w:val="nil"/>
            </w:tcBorders>
            <w:shd w:val="clear" w:color="auto" w:fill="auto"/>
            <w:noWrap/>
            <w:vAlign w:val="center"/>
            <w:hideMark/>
          </w:tcPr>
          <w:p w14:paraId="4A56858B"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1 471 631</w:t>
            </w:r>
          </w:p>
        </w:tc>
        <w:tc>
          <w:tcPr>
            <w:tcW w:w="880" w:type="dxa"/>
            <w:tcBorders>
              <w:top w:val="nil"/>
              <w:left w:val="nil"/>
              <w:bottom w:val="nil"/>
              <w:right w:val="nil"/>
            </w:tcBorders>
            <w:shd w:val="clear" w:color="auto" w:fill="auto"/>
            <w:noWrap/>
            <w:vAlign w:val="center"/>
            <w:hideMark/>
          </w:tcPr>
          <w:p w14:paraId="744DF0B9"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1 558 630</w:t>
            </w:r>
          </w:p>
        </w:tc>
        <w:tc>
          <w:tcPr>
            <w:tcW w:w="880" w:type="dxa"/>
            <w:tcBorders>
              <w:top w:val="nil"/>
              <w:left w:val="nil"/>
              <w:bottom w:val="nil"/>
              <w:right w:val="nil"/>
            </w:tcBorders>
            <w:shd w:val="clear" w:color="auto" w:fill="auto"/>
            <w:noWrap/>
            <w:vAlign w:val="center"/>
            <w:hideMark/>
          </w:tcPr>
          <w:p w14:paraId="6D18D121"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1 577 868</w:t>
            </w:r>
          </w:p>
        </w:tc>
        <w:tc>
          <w:tcPr>
            <w:tcW w:w="880" w:type="dxa"/>
            <w:tcBorders>
              <w:top w:val="nil"/>
              <w:left w:val="nil"/>
              <w:bottom w:val="nil"/>
              <w:right w:val="nil"/>
            </w:tcBorders>
            <w:shd w:val="clear" w:color="auto" w:fill="auto"/>
            <w:noWrap/>
            <w:vAlign w:val="center"/>
            <w:hideMark/>
          </w:tcPr>
          <w:p w14:paraId="6C1BDCCA"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1 819 048</w:t>
            </w:r>
          </w:p>
        </w:tc>
        <w:tc>
          <w:tcPr>
            <w:tcW w:w="880" w:type="dxa"/>
            <w:tcBorders>
              <w:top w:val="nil"/>
              <w:left w:val="nil"/>
              <w:bottom w:val="nil"/>
              <w:right w:val="nil"/>
            </w:tcBorders>
            <w:shd w:val="clear" w:color="auto" w:fill="auto"/>
            <w:noWrap/>
            <w:vAlign w:val="center"/>
            <w:hideMark/>
          </w:tcPr>
          <w:p w14:paraId="03F230B1"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1 925 663</w:t>
            </w:r>
          </w:p>
        </w:tc>
        <w:tc>
          <w:tcPr>
            <w:tcW w:w="880" w:type="dxa"/>
            <w:tcBorders>
              <w:top w:val="nil"/>
              <w:left w:val="nil"/>
              <w:bottom w:val="nil"/>
              <w:right w:val="nil"/>
            </w:tcBorders>
            <w:shd w:val="clear" w:color="auto" w:fill="auto"/>
            <w:noWrap/>
            <w:vAlign w:val="center"/>
            <w:hideMark/>
          </w:tcPr>
          <w:p w14:paraId="7D429ACA"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1 979 766</w:t>
            </w:r>
          </w:p>
        </w:tc>
      </w:tr>
      <w:tr w:rsidR="00B45F0E" w:rsidRPr="00B45F0E" w14:paraId="0B73A969" w14:textId="77777777" w:rsidTr="00B63F1A">
        <w:trPr>
          <w:gridAfter w:val="1"/>
          <w:wAfter w:w="348" w:type="dxa"/>
          <w:trHeight w:val="288"/>
        </w:trPr>
        <w:tc>
          <w:tcPr>
            <w:tcW w:w="2140" w:type="dxa"/>
            <w:tcBorders>
              <w:top w:val="nil"/>
              <w:left w:val="nil"/>
              <w:bottom w:val="single" w:sz="4" w:space="0" w:color="auto"/>
              <w:right w:val="nil"/>
            </w:tcBorders>
            <w:shd w:val="clear" w:color="auto" w:fill="auto"/>
            <w:noWrap/>
            <w:vAlign w:val="center"/>
            <w:hideMark/>
          </w:tcPr>
          <w:p w14:paraId="4DFA0B23"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Priemerný mzdový výdavok</w:t>
            </w:r>
          </w:p>
        </w:tc>
        <w:tc>
          <w:tcPr>
            <w:tcW w:w="760" w:type="dxa"/>
            <w:tcBorders>
              <w:top w:val="nil"/>
              <w:left w:val="nil"/>
              <w:bottom w:val="single" w:sz="4" w:space="0" w:color="auto"/>
              <w:right w:val="nil"/>
            </w:tcBorders>
            <w:shd w:val="clear" w:color="auto" w:fill="auto"/>
            <w:noWrap/>
            <w:vAlign w:val="center"/>
            <w:hideMark/>
          </w:tcPr>
          <w:p w14:paraId="0C8A1BC1"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w:t>
            </w:r>
            <w:r w:rsidRPr="00B45F0E">
              <w:rPr>
                <w:rFonts w:ascii="Times New Roman" w:eastAsia="Times New Roman" w:hAnsi="Times New Roman" w:cs="Times New Roman"/>
                <w:b/>
                <w:bCs/>
                <w:color w:val="000000"/>
                <w:sz w:val="16"/>
                <w:szCs w:val="16"/>
                <w:lang w:eastAsia="sk-SK"/>
              </w:rPr>
              <w:t>eur</w:t>
            </w:r>
            <w:r w:rsidRPr="00B45F0E">
              <w:rPr>
                <w:rFonts w:ascii="Times New Roman" w:eastAsia="Times New Roman" w:hAnsi="Times New Roman" w:cs="Times New Roman"/>
                <w:color w:val="000000"/>
                <w:sz w:val="16"/>
                <w:szCs w:val="16"/>
                <w:lang w:eastAsia="sk-SK"/>
              </w:rPr>
              <w:t>)</w:t>
            </w:r>
          </w:p>
        </w:tc>
        <w:tc>
          <w:tcPr>
            <w:tcW w:w="880" w:type="dxa"/>
            <w:tcBorders>
              <w:top w:val="nil"/>
              <w:left w:val="nil"/>
              <w:bottom w:val="single" w:sz="4" w:space="0" w:color="auto"/>
              <w:right w:val="nil"/>
            </w:tcBorders>
            <w:shd w:val="clear" w:color="auto" w:fill="auto"/>
            <w:noWrap/>
            <w:vAlign w:val="center"/>
            <w:hideMark/>
          </w:tcPr>
          <w:p w14:paraId="29576D04"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1 364,51</w:t>
            </w:r>
          </w:p>
        </w:tc>
        <w:tc>
          <w:tcPr>
            <w:tcW w:w="880" w:type="dxa"/>
            <w:tcBorders>
              <w:top w:val="nil"/>
              <w:left w:val="nil"/>
              <w:bottom w:val="single" w:sz="4" w:space="0" w:color="auto"/>
              <w:right w:val="nil"/>
            </w:tcBorders>
            <w:shd w:val="clear" w:color="auto" w:fill="auto"/>
            <w:noWrap/>
            <w:vAlign w:val="center"/>
            <w:hideMark/>
          </w:tcPr>
          <w:p w14:paraId="19FE0B3F"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1 397,39</w:t>
            </w:r>
          </w:p>
        </w:tc>
        <w:tc>
          <w:tcPr>
            <w:tcW w:w="880" w:type="dxa"/>
            <w:tcBorders>
              <w:top w:val="nil"/>
              <w:left w:val="nil"/>
              <w:bottom w:val="single" w:sz="4" w:space="0" w:color="auto"/>
              <w:right w:val="nil"/>
            </w:tcBorders>
            <w:shd w:val="clear" w:color="auto" w:fill="auto"/>
            <w:noWrap/>
            <w:vAlign w:val="center"/>
            <w:hideMark/>
          </w:tcPr>
          <w:p w14:paraId="42022CBB"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1 542,26</w:t>
            </w:r>
          </w:p>
        </w:tc>
        <w:tc>
          <w:tcPr>
            <w:tcW w:w="880" w:type="dxa"/>
            <w:tcBorders>
              <w:top w:val="nil"/>
              <w:left w:val="nil"/>
              <w:bottom w:val="single" w:sz="4" w:space="0" w:color="auto"/>
              <w:right w:val="nil"/>
            </w:tcBorders>
            <w:shd w:val="clear" w:color="auto" w:fill="auto"/>
            <w:noWrap/>
            <w:vAlign w:val="center"/>
            <w:hideMark/>
          </w:tcPr>
          <w:p w14:paraId="687AC84A"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1 565,55</w:t>
            </w:r>
          </w:p>
        </w:tc>
        <w:tc>
          <w:tcPr>
            <w:tcW w:w="880" w:type="dxa"/>
            <w:tcBorders>
              <w:top w:val="nil"/>
              <w:left w:val="nil"/>
              <w:bottom w:val="single" w:sz="4" w:space="0" w:color="auto"/>
              <w:right w:val="nil"/>
            </w:tcBorders>
            <w:shd w:val="clear" w:color="auto" w:fill="auto"/>
            <w:noWrap/>
            <w:vAlign w:val="center"/>
            <w:hideMark/>
          </w:tcPr>
          <w:p w14:paraId="4962AE3A"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1 594,36</w:t>
            </w:r>
          </w:p>
        </w:tc>
        <w:tc>
          <w:tcPr>
            <w:tcW w:w="880" w:type="dxa"/>
            <w:tcBorders>
              <w:top w:val="nil"/>
              <w:left w:val="nil"/>
              <w:bottom w:val="single" w:sz="4" w:space="0" w:color="auto"/>
              <w:right w:val="nil"/>
            </w:tcBorders>
            <w:shd w:val="clear" w:color="auto" w:fill="auto"/>
            <w:noWrap/>
            <w:vAlign w:val="center"/>
            <w:hideMark/>
          </w:tcPr>
          <w:p w14:paraId="69C2BDC3"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1 661,65</w:t>
            </w:r>
          </w:p>
        </w:tc>
        <w:tc>
          <w:tcPr>
            <w:tcW w:w="880" w:type="dxa"/>
            <w:tcBorders>
              <w:top w:val="nil"/>
              <w:left w:val="nil"/>
              <w:bottom w:val="single" w:sz="4" w:space="0" w:color="auto"/>
              <w:right w:val="nil"/>
            </w:tcBorders>
            <w:shd w:val="clear" w:color="auto" w:fill="auto"/>
            <w:noWrap/>
            <w:vAlign w:val="center"/>
            <w:hideMark/>
          </w:tcPr>
          <w:p w14:paraId="6EF6C1BF"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1 642,15</w:t>
            </w:r>
          </w:p>
        </w:tc>
      </w:tr>
      <w:tr w:rsidR="00B45F0E" w:rsidRPr="00B45F0E" w14:paraId="66564617" w14:textId="77777777" w:rsidTr="00B63F1A">
        <w:trPr>
          <w:gridAfter w:val="1"/>
          <w:wAfter w:w="348" w:type="dxa"/>
          <w:trHeight w:val="288"/>
        </w:trPr>
        <w:tc>
          <w:tcPr>
            <w:tcW w:w="2140" w:type="dxa"/>
            <w:tcBorders>
              <w:top w:val="nil"/>
              <w:left w:val="nil"/>
              <w:bottom w:val="single" w:sz="4" w:space="0" w:color="auto"/>
              <w:right w:val="nil"/>
            </w:tcBorders>
            <w:shd w:val="clear" w:color="auto" w:fill="auto"/>
            <w:noWrap/>
            <w:vAlign w:val="center"/>
            <w:hideMark/>
          </w:tcPr>
          <w:p w14:paraId="6F36DFB5" w14:textId="77777777" w:rsidR="00B45F0E" w:rsidRPr="00B45F0E" w:rsidRDefault="00B45F0E" w:rsidP="00B45F0E">
            <w:pPr>
              <w:spacing w:after="0" w:line="240" w:lineRule="auto"/>
              <w:ind w:firstLineChars="200" w:firstLine="280"/>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z toho:</w:t>
            </w:r>
          </w:p>
        </w:tc>
        <w:tc>
          <w:tcPr>
            <w:tcW w:w="760" w:type="dxa"/>
            <w:tcBorders>
              <w:top w:val="nil"/>
              <w:left w:val="nil"/>
              <w:bottom w:val="single" w:sz="4" w:space="0" w:color="auto"/>
              <w:right w:val="nil"/>
            </w:tcBorders>
            <w:shd w:val="clear" w:color="auto" w:fill="auto"/>
            <w:noWrap/>
            <w:vAlign w:val="center"/>
            <w:hideMark/>
          </w:tcPr>
          <w:p w14:paraId="2731164C" w14:textId="77777777" w:rsidR="00B45F0E" w:rsidRPr="00B45F0E" w:rsidRDefault="00B45F0E" w:rsidP="00B45F0E">
            <w:pPr>
              <w:spacing w:after="0" w:line="240" w:lineRule="auto"/>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 </w:t>
            </w:r>
          </w:p>
        </w:tc>
        <w:tc>
          <w:tcPr>
            <w:tcW w:w="880" w:type="dxa"/>
            <w:tcBorders>
              <w:top w:val="nil"/>
              <w:left w:val="nil"/>
              <w:bottom w:val="single" w:sz="4" w:space="0" w:color="auto"/>
              <w:right w:val="nil"/>
            </w:tcBorders>
            <w:shd w:val="clear" w:color="auto" w:fill="auto"/>
            <w:noWrap/>
            <w:vAlign w:val="center"/>
            <w:hideMark/>
          </w:tcPr>
          <w:p w14:paraId="213118AF" w14:textId="77777777" w:rsidR="00B45F0E" w:rsidRPr="00B45F0E" w:rsidRDefault="00B45F0E" w:rsidP="00B45F0E">
            <w:pPr>
              <w:spacing w:after="0" w:line="240" w:lineRule="auto"/>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 </w:t>
            </w:r>
          </w:p>
        </w:tc>
        <w:tc>
          <w:tcPr>
            <w:tcW w:w="880" w:type="dxa"/>
            <w:tcBorders>
              <w:top w:val="nil"/>
              <w:left w:val="nil"/>
              <w:bottom w:val="single" w:sz="4" w:space="0" w:color="auto"/>
              <w:right w:val="nil"/>
            </w:tcBorders>
            <w:shd w:val="clear" w:color="auto" w:fill="auto"/>
            <w:noWrap/>
            <w:vAlign w:val="center"/>
            <w:hideMark/>
          </w:tcPr>
          <w:p w14:paraId="738CB874" w14:textId="77777777" w:rsidR="00B45F0E" w:rsidRPr="00B45F0E" w:rsidRDefault="00B45F0E" w:rsidP="00B45F0E">
            <w:pPr>
              <w:spacing w:after="0" w:line="240" w:lineRule="auto"/>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 </w:t>
            </w:r>
          </w:p>
        </w:tc>
        <w:tc>
          <w:tcPr>
            <w:tcW w:w="880" w:type="dxa"/>
            <w:tcBorders>
              <w:top w:val="nil"/>
              <w:left w:val="nil"/>
              <w:bottom w:val="single" w:sz="4" w:space="0" w:color="auto"/>
              <w:right w:val="nil"/>
            </w:tcBorders>
            <w:shd w:val="clear" w:color="auto" w:fill="auto"/>
            <w:noWrap/>
            <w:vAlign w:val="center"/>
            <w:hideMark/>
          </w:tcPr>
          <w:p w14:paraId="788D33E5" w14:textId="77777777" w:rsidR="00B45F0E" w:rsidRPr="00B45F0E" w:rsidRDefault="00B45F0E" w:rsidP="00B45F0E">
            <w:pPr>
              <w:spacing w:after="0" w:line="240" w:lineRule="auto"/>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 </w:t>
            </w:r>
          </w:p>
        </w:tc>
        <w:tc>
          <w:tcPr>
            <w:tcW w:w="880" w:type="dxa"/>
            <w:tcBorders>
              <w:top w:val="nil"/>
              <w:left w:val="nil"/>
              <w:bottom w:val="single" w:sz="4" w:space="0" w:color="auto"/>
              <w:right w:val="nil"/>
            </w:tcBorders>
            <w:shd w:val="clear" w:color="auto" w:fill="auto"/>
            <w:noWrap/>
            <w:vAlign w:val="center"/>
            <w:hideMark/>
          </w:tcPr>
          <w:p w14:paraId="5C0CDED6" w14:textId="77777777" w:rsidR="00B45F0E" w:rsidRPr="00B45F0E" w:rsidRDefault="00B45F0E" w:rsidP="00B45F0E">
            <w:pPr>
              <w:spacing w:after="0" w:line="240" w:lineRule="auto"/>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 </w:t>
            </w:r>
          </w:p>
        </w:tc>
        <w:tc>
          <w:tcPr>
            <w:tcW w:w="880" w:type="dxa"/>
            <w:tcBorders>
              <w:top w:val="nil"/>
              <w:left w:val="nil"/>
              <w:bottom w:val="single" w:sz="4" w:space="0" w:color="auto"/>
              <w:right w:val="nil"/>
            </w:tcBorders>
            <w:shd w:val="clear" w:color="auto" w:fill="auto"/>
            <w:noWrap/>
            <w:vAlign w:val="center"/>
            <w:hideMark/>
          </w:tcPr>
          <w:p w14:paraId="74CDA150" w14:textId="77777777" w:rsidR="00B45F0E" w:rsidRPr="00B45F0E" w:rsidRDefault="00B45F0E" w:rsidP="00B45F0E">
            <w:pPr>
              <w:spacing w:after="0" w:line="240" w:lineRule="auto"/>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 </w:t>
            </w:r>
          </w:p>
        </w:tc>
        <w:tc>
          <w:tcPr>
            <w:tcW w:w="880" w:type="dxa"/>
            <w:tcBorders>
              <w:top w:val="nil"/>
              <w:left w:val="nil"/>
              <w:bottom w:val="single" w:sz="4" w:space="0" w:color="auto"/>
              <w:right w:val="nil"/>
            </w:tcBorders>
            <w:shd w:val="clear" w:color="auto" w:fill="auto"/>
            <w:noWrap/>
            <w:vAlign w:val="center"/>
            <w:hideMark/>
          </w:tcPr>
          <w:p w14:paraId="0FB277A5" w14:textId="77777777" w:rsidR="00B45F0E" w:rsidRPr="00B45F0E" w:rsidRDefault="00B45F0E" w:rsidP="00B45F0E">
            <w:pPr>
              <w:spacing w:after="0" w:line="240" w:lineRule="auto"/>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 </w:t>
            </w:r>
          </w:p>
        </w:tc>
        <w:tc>
          <w:tcPr>
            <w:tcW w:w="880" w:type="dxa"/>
            <w:tcBorders>
              <w:top w:val="nil"/>
              <w:left w:val="nil"/>
              <w:bottom w:val="single" w:sz="4" w:space="0" w:color="auto"/>
              <w:right w:val="nil"/>
            </w:tcBorders>
            <w:shd w:val="clear" w:color="auto" w:fill="auto"/>
            <w:noWrap/>
            <w:vAlign w:val="center"/>
            <w:hideMark/>
          </w:tcPr>
          <w:p w14:paraId="4CA4B8E7" w14:textId="77777777" w:rsidR="00B45F0E" w:rsidRPr="00B45F0E" w:rsidRDefault="00B45F0E" w:rsidP="00B45F0E">
            <w:pPr>
              <w:spacing w:after="0" w:line="240" w:lineRule="auto"/>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 </w:t>
            </w:r>
          </w:p>
        </w:tc>
      </w:tr>
      <w:tr w:rsidR="00B45F0E" w:rsidRPr="00B45F0E" w14:paraId="2E80EF98" w14:textId="77777777" w:rsidTr="00B63F1A">
        <w:trPr>
          <w:gridAfter w:val="1"/>
          <w:wAfter w:w="348" w:type="dxa"/>
          <w:trHeight w:val="288"/>
        </w:trPr>
        <w:tc>
          <w:tcPr>
            <w:tcW w:w="2900" w:type="dxa"/>
            <w:gridSpan w:val="2"/>
            <w:tcBorders>
              <w:top w:val="nil"/>
              <w:left w:val="nil"/>
              <w:bottom w:val="single" w:sz="4" w:space="0" w:color="auto"/>
              <w:right w:val="nil"/>
            </w:tcBorders>
            <w:shd w:val="clear" w:color="auto" w:fill="auto"/>
            <w:noWrap/>
            <w:vAlign w:val="center"/>
            <w:hideMark/>
          </w:tcPr>
          <w:p w14:paraId="16CBC7D6"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Pedagogickí a odborní zamestnanci</w:t>
            </w:r>
          </w:p>
        </w:tc>
        <w:tc>
          <w:tcPr>
            <w:tcW w:w="880" w:type="dxa"/>
            <w:tcBorders>
              <w:top w:val="nil"/>
              <w:left w:val="nil"/>
              <w:bottom w:val="single" w:sz="4" w:space="0" w:color="auto"/>
              <w:right w:val="nil"/>
            </w:tcBorders>
            <w:shd w:val="clear" w:color="auto" w:fill="auto"/>
            <w:noWrap/>
            <w:vAlign w:val="center"/>
            <w:hideMark/>
          </w:tcPr>
          <w:p w14:paraId="22BE0A4D"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2021  S</w:t>
            </w:r>
          </w:p>
        </w:tc>
        <w:tc>
          <w:tcPr>
            <w:tcW w:w="880" w:type="dxa"/>
            <w:tcBorders>
              <w:top w:val="nil"/>
              <w:left w:val="nil"/>
              <w:bottom w:val="single" w:sz="4" w:space="0" w:color="auto"/>
              <w:right w:val="nil"/>
            </w:tcBorders>
            <w:shd w:val="clear" w:color="auto" w:fill="auto"/>
            <w:noWrap/>
            <w:vAlign w:val="center"/>
            <w:hideMark/>
          </w:tcPr>
          <w:p w14:paraId="6F9DF03B"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2022  S</w:t>
            </w:r>
          </w:p>
        </w:tc>
        <w:tc>
          <w:tcPr>
            <w:tcW w:w="880" w:type="dxa"/>
            <w:tcBorders>
              <w:top w:val="nil"/>
              <w:left w:val="nil"/>
              <w:bottom w:val="single" w:sz="4" w:space="0" w:color="auto"/>
              <w:right w:val="nil"/>
            </w:tcBorders>
            <w:shd w:val="clear" w:color="auto" w:fill="auto"/>
            <w:noWrap/>
            <w:vAlign w:val="center"/>
            <w:hideMark/>
          </w:tcPr>
          <w:p w14:paraId="1915F37C"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2023  R</w:t>
            </w:r>
          </w:p>
        </w:tc>
        <w:tc>
          <w:tcPr>
            <w:tcW w:w="880" w:type="dxa"/>
            <w:tcBorders>
              <w:top w:val="nil"/>
              <w:left w:val="nil"/>
              <w:bottom w:val="single" w:sz="4" w:space="0" w:color="auto"/>
              <w:right w:val="nil"/>
            </w:tcBorders>
            <w:shd w:val="clear" w:color="auto" w:fill="auto"/>
            <w:noWrap/>
            <w:vAlign w:val="center"/>
            <w:hideMark/>
          </w:tcPr>
          <w:p w14:paraId="7A2A8CD2"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2023  OS</w:t>
            </w:r>
          </w:p>
        </w:tc>
        <w:tc>
          <w:tcPr>
            <w:tcW w:w="880" w:type="dxa"/>
            <w:tcBorders>
              <w:top w:val="nil"/>
              <w:left w:val="nil"/>
              <w:bottom w:val="single" w:sz="4" w:space="0" w:color="auto"/>
              <w:right w:val="nil"/>
            </w:tcBorders>
            <w:shd w:val="clear" w:color="auto" w:fill="auto"/>
            <w:noWrap/>
            <w:vAlign w:val="center"/>
            <w:hideMark/>
          </w:tcPr>
          <w:p w14:paraId="4D695E02"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2024  N</w:t>
            </w:r>
          </w:p>
        </w:tc>
        <w:tc>
          <w:tcPr>
            <w:tcW w:w="880" w:type="dxa"/>
            <w:tcBorders>
              <w:top w:val="nil"/>
              <w:left w:val="nil"/>
              <w:bottom w:val="single" w:sz="4" w:space="0" w:color="auto"/>
              <w:right w:val="nil"/>
            </w:tcBorders>
            <w:shd w:val="clear" w:color="auto" w:fill="auto"/>
            <w:noWrap/>
            <w:vAlign w:val="center"/>
            <w:hideMark/>
          </w:tcPr>
          <w:p w14:paraId="5E48472B"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2025  N</w:t>
            </w:r>
          </w:p>
        </w:tc>
        <w:tc>
          <w:tcPr>
            <w:tcW w:w="880" w:type="dxa"/>
            <w:tcBorders>
              <w:top w:val="nil"/>
              <w:left w:val="nil"/>
              <w:bottom w:val="single" w:sz="4" w:space="0" w:color="auto"/>
              <w:right w:val="nil"/>
            </w:tcBorders>
            <w:shd w:val="clear" w:color="auto" w:fill="auto"/>
            <w:noWrap/>
            <w:vAlign w:val="center"/>
            <w:hideMark/>
          </w:tcPr>
          <w:p w14:paraId="15DF31A9"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2026  N</w:t>
            </w:r>
          </w:p>
        </w:tc>
      </w:tr>
      <w:tr w:rsidR="00B45F0E" w:rsidRPr="00B45F0E" w14:paraId="16358294" w14:textId="77777777" w:rsidTr="00B63F1A">
        <w:trPr>
          <w:gridAfter w:val="1"/>
          <w:wAfter w:w="348" w:type="dxa"/>
          <w:trHeight w:val="288"/>
        </w:trPr>
        <w:tc>
          <w:tcPr>
            <w:tcW w:w="2140" w:type="dxa"/>
            <w:tcBorders>
              <w:top w:val="nil"/>
              <w:left w:val="nil"/>
              <w:bottom w:val="nil"/>
              <w:right w:val="nil"/>
            </w:tcBorders>
            <w:shd w:val="clear" w:color="auto" w:fill="auto"/>
            <w:noWrap/>
            <w:vAlign w:val="center"/>
            <w:hideMark/>
          </w:tcPr>
          <w:p w14:paraId="237473D6" w14:textId="77777777" w:rsidR="00B45F0E" w:rsidRPr="00B45F0E" w:rsidRDefault="00B45F0E" w:rsidP="00B45F0E">
            <w:pPr>
              <w:spacing w:after="0" w:line="240" w:lineRule="auto"/>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Počet zamestnancov</w:t>
            </w:r>
          </w:p>
        </w:tc>
        <w:tc>
          <w:tcPr>
            <w:tcW w:w="760" w:type="dxa"/>
            <w:tcBorders>
              <w:top w:val="nil"/>
              <w:left w:val="nil"/>
              <w:bottom w:val="nil"/>
              <w:right w:val="nil"/>
            </w:tcBorders>
            <w:shd w:val="clear" w:color="auto" w:fill="auto"/>
            <w:noWrap/>
            <w:vAlign w:val="center"/>
            <w:hideMark/>
          </w:tcPr>
          <w:p w14:paraId="458C9582"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(osoby)</w:t>
            </w:r>
          </w:p>
        </w:tc>
        <w:tc>
          <w:tcPr>
            <w:tcW w:w="880" w:type="dxa"/>
            <w:tcBorders>
              <w:top w:val="nil"/>
              <w:left w:val="nil"/>
              <w:bottom w:val="nil"/>
              <w:right w:val="nil"/>
            </w:tcBorders>
            <w:shd w:val="clear" w:color="auto" w:fill="auto"/>
            <w:noWrap/>
            <w:vAlign w:val="center"/>
            <w:hideMark/>
          </w:tcPr>
          <w:p w14:paraId="3D5081FB"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67 547</w:t>
            </w:r>
          </w:p>
        </w:tc>
        <w:tc>
          <w:tcPr>
            <w:tcW w:w="880" w:type="dxa"/>
            <w:tcBorders>
              <w:top w:val="nil"/>
              <w:left w:val="nil"/>
              <w:bottom w:val="nil"/>
              <w:right w:val="nil"/>
            </w:tcBorders>
            <w:shd w:val="clear" w:color="auto" w:fill="auto"/>
            <w:noWrap/>
            <w:vAlign w:val="center"/>
            <w:hideMark/>
          </w:tcPr>
          <w:p w14:paraId="54974749"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68 417</w:t>
            </w:r>
          </w:p>
        </w:tc>
        <w:tc>
          <w:tcPr>
            <w:tcW w:w="880" w:type="dxa"/>
            <w:tcBorders>
              <w:top w:val="nil"/>
              <w:left w:val="nil"/>
              <w:bottom w:val="nil"/>
              <w:right w:val="nil"/>
            </w:tcBorders>
            <w:shd w:val="clear" w:color="auto" w:fill="auto"/>
            <w:noWrap/>
            <w:vAlign w:val="center"/>
            <w:hideMark/>
          </w:tcPr>
          <w:p w14:paraId="4A9691D6"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64 628</w:t>
            </w:r>
          </w:p>
        </w:tc>
        <w:tc>
          <w:tcPr>
            <w:tcW w:w="880" w:type="dxa"/>
            <w:tcBorders>
              <w:top w:val="nil"/>
              <w:left w:val="nil"/>
              <w:bottom w:val="nil"/>
              <w:right w:val="nil"/>
            </w:tcBorders>
            <w:shd w:val="clear" w:color="auto" w:fill="auto"/>
            <w:noWrap/>
            <w:vAlign w:val="center"/>
            <w:hideMark/>
          </w:tcPr>
          <w:p w14:paraId="0D65A22D"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64 990</w:t>
            </w:r>
          </w:p>
        </w:tc>
        <w:tc>
          <w:tcPr>
            <w:tcW w:w="880" w:type="dxa"/>
            <w:tcBorders>
              <w:top w:val="nil"/>
              <w:left w:val="nil"/>
              <w:bottom w:val="nil"/>
              <w:right w:val="nil"/>
            </w:tcBorders>
            <w:shd w:val="clear" w:color="auto" w:fill="auto"/>
            <w:noWrap/>
            <w:vAlign w:val="center"/>
            <w:hideMark/>
          </w:tcPr>
          <w:p w14:paraId="0F0B4D40"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75 654</w:t>
            </w:r>
          </w:p>
        </w:tc>
        <w:tc>
          <w:tcPr>
            <w:tcW w:w="880" w:type="dxa"/>
            <w:tcBorders>
              <w:top w:val="nil"/>
              <w:left w:val="nil"/>
              <w:bottom w:val="nil"/>
              <w:right w:val="nil"/>
            </w:tcBorders>
            <w:shd w:val="clear" w:color="auto" w:fill="auto"/>
            <w:noWrap/>
            <w:vAlign w:val="center"/>
            <w:hideMark/>
          </w:tcPr>
          <w:p w14:paraId="3F9F4CDE"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77 243</w:t>
            </w:r>
          </w:p>
        </w:tc>
        <w:tc>
          <w:tcPr>
            <w:tcW w:w="880" w:type="dxa"/>
            <w:tcBorders>
              <w:top w:val="nil"/>
              <w:left w:val="nil"/>
              <w:bottom w:val="nil"/>
              <w:right w:val="nil"/>
            </w:tcBorders>
            <w:shd w:val="clear" w:color="auto" w:fill="auto"/>
            <w:noWrap/>
            <w:vAlign w:val="center"/>
            <w:hideMark/>
          </w:tcPr>
          <w:p w14:paraId="5D54B877"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80 850</w:t>
            </w:r>
          </w:p>
        </w:tc>
      </w:tr>
      <w:tr w:rsidR="00B45F0E" w:rsidRPr="00B45F0E" w14:paraId="730314ED" w14:textId="77777777" w:rsidTr="00B63F1A">
        <w:trPr>
          <w:gridAfter w:val="1"/>
          <w:wAfter w:w="348" w:type="dxa"/>
          <w:trHeight w:val="288"/>
        </w:trPr>
        <w:tc>
          <w:tcPr>
            <w:tcW w:w="2140" w:type="dxa"/>
            <w:tcBorders>
              <w:top w:val="nil"/>
              <w:left w:val="nil"/>
              <w:bottom w:val="nil"/>
              <w:right w:val="nil"/>
            </w:tcBorders>
            <w:shd w:val="clear" w:color="auto" w:fill="auto"/>
            <w:noWrap/>
            <w:vAlign w:val="center"/>
            <w:hideMark/>
          </w:tcPr>
          <w:p w14:paraId="1DDF16F9"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Osobné výdavky</w:t>
            </w:r>
          </w:p>
        </w:tc>
        <w:tc>
          <w:tcPr>
            <w:tcW w:w="760" w:type="dxa"/>
            <w:tcBorders>
              <w:top w:val="nil"/>
              <w:left w:val="nil"/>
              <w:bottom w:val="nil"/>
              <w:right w:val="nil"/>
            </w:tcBorders>
            <w:shd w:val="clear" w:color="auto" w:fill="auto"/>
            <w:noWrap/>
            <w:vAlign w:val="center"/>
            <w:hideMark/>
          </w:tcPr>
          <w:p w14:paraId="12811292"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w:t>
            </w:r>
            <w:r w:rsidRPr="00B45F0E">
              <w:rPr>
                <w:rFonts w:ascii="Times New Roman" w:eastAsia="Times New Roman" w:hAnsi="Times New Roman" w:cs="Times New Roman"/>
                <w:b/>
                <w:bCs/>
                <w:color w:val="000000"/>
                <w:sz w:val="16"/>
                <w:szCs w:val="16"/>
                <w:lang w:eastAsia="sk-SK"/>
              </w:rPr>
              <w:t>tis. eur</w:t>
            </w:r>
            <w:r w:rsidRPr="00B45F0E">
              <w:rPr>
                <w:rFonts w:ascii="Times New Roman" w:eastAsia="Times New Roman" w:hAnsi="Times New Roman" w:cs="Times New Roman"/>
                <w:color w:val="000000"/>
                <w:sz w:val="16"/>
                <w:szCs w:val="16"/>
                <w:lang w:eastAsia="sk-SK"/>
              </w:rPr>
              <w:t>)</w:t>
            </w:r>
          </w:p>
        </w:tc>
        <w:tc>
          <w:tcPr>
            <w:tcW w:w="880" w:type="dxa"/>
            <w:tcBorders>
              <w:top w:val="nil"/>
              <w:left w:val="nil"/>
              <w:bottom w:val="nil"/>
              <w:right w:val="nil"/>
            </w:tcBorders>
            <w:shd w:val="clear" w:color="auto" w:fill="auto"/>
            <w:noWrap/>
            <w:vAlign w:val="center"/>
            <w:hideMark/>
          </w:tcPr>
          <w:p w14:paraId="7CB222C8"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1 633 662</w:t>
            </w:r>
          </w:p>
        </w:tc>
        <w:tc>
          <w:tcPr>
            <w:tcW w:w="880" w:type="dxa"/>
            <w:tcBorders>
              <w:top w:val="nil"/>
              <w:left w:val="nil"/>
              <w:bottom w:val="nil"/>
              <w:right w:val="nil"/>
            </w:tcBorders>
            <w:shd w:val="clear" w:color="auto" w:fill="auto"/>
            <w:noWrap/>
            <w:vAlign w:val="center"/>
            <w:hideMark/>
          </w:tcPr>
          <w:p w14:paraId="58ED5841"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1 689 908</w:t>
            </w:r>
          </w:p>
        </w:tc>
        <w:tc>
          <w:tcPr>
            <w:tcW w:w="880" w:type="dxa"/>
            <w:tcBorders>
              <w:top w:val="nil"/>
              <w:left w:val="nil"/>
              <w:bottom w:val="nil"/>
              <w:right w:val="nil"/>
            </w:tcBorders>
            <w:shd w:val="clear" w:color="auto" w:fill="auto"/>
            <w:noWrap/>
            <w:vAlign w:val="center"/>
            <w:hideMark/>
          </w:tcPr>
          <w:p w14:paraId="245F8A5C"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1 817 174</w:t>
            </w:r>
          </w:p>
        </w:tc>
        <w:tc>
          <w:tcPr>
            <w:tcW w:w="880" w:type="dxa"/>
            <w:tcBorders>
              <w:top w:val="nil"/>
              <w:left w:val="nil"/>
              <w:bottom w:val="nil"/>
              <w:right w:val="nil"/>
            </w:tcBorders>
            <w:shd w:val="clear" w:color="auto" w:fill="auto"/>
            <w:noWrap/>
            <w:vAlign w:val="center"/>
            <w:hideMark/>
          </w:tcPr>
          <w:p w14:paraId="004BAF9C"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1 845 069</w:t>
            </w:r>
          </w:p>
        </w:tc>
        <w:tc>
          <w:tcPr>
            <w:tcW w:w="880" w:type="dxa"/>
            <w:tcBorders>
              <w:top w:val="nil"/>
              <w:left w:val="nil"/>
              <w:bottom w:val="nil"/>
              <w:right w:val="nil"/>
            </w:tcBorders>
            <w:shd w:val="clear" w:color="auto" w:fill="auto"/>
            <w:noWrap/>
            <w:vAlign w:val="center"/>
            <w:hideMark/>
          </w:tcPr>
          <w:p w14:paraId="729CB262"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2 150 455</w:t>
            </w:r>
          </w:p>
        </w:tc>
        <w:tc>
          <w:tcPr>
            <w:tcW w:w="880" w:type="dxa"/>
            <w:tcBorders>
              <w:top w:val="nil"/>
              <w:left w:val="nil"/>
              <w:bottom w:val="nil"/>
              <w:right w:val="nil"/>
            </w:tcBorders>
            <w:shd w:val="clear" w:color="auto" w:fill="auto"/>
            <w:noWrap/>
            <w:vAlign w:val="center"/>
            <w:hideMark/>
          </w:tcPr>
          <w:p w14:paraId="00745B15"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2 295 781</w:t>
            </w:r>
          </w:p>
        </w:tc>
        <w:tc>
          <w:tcPr>
            <w:tcW w:w="880" w:type="dxa"/>
            <w:tcBorders>
              <w:top w:val="nil"/>
              <w:left w:val="nil"/>
              <w:bottom w:val="nil"/>
              <w:right w:val="nil"/>
            </w:tcBorders>
            <w:shd w:val="clear" w:color="auto" w:fill="auto"/>
            <w:noWrap/>
            <w:vAlign w:val="center"/>
            <w:hideMark/>
          </w:tcPr>
          <w:p w14:paraId="0AD6F1B3"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2 367 077</w:t>
            </w:r>
          </w:p>
        </w:tc>
      </w:tr>
      <w:tr w:rsidR="00B45F0E" w:rsidRPr="00B45F0E" w14:paraId="44547955" w14:textId="77777777" w:rsidTr="00B63F1A">
        <w:trPr>
          <w:gridAfter w:val="1"/>
          <w:wAfter w:w="348" w:type="dxa"/>
          <w:trHeight w:val="288"/>
        </w:trPr>
        <w:tc>
          <w:tcPr>
            <w:tcW w:w="2140" w:type="dxa"/>
            <w:tcBorders>
              <w:top w:val="nil"/>
              <w:left w:val="nil"/>
              <w:bottom w:val="nil"/>
              <w:right w:val="nil"/>
            </w:tcBorders>
            <w:shd w:val="clear" w:color="auto" w:fill="auto"/>
            <w:noWrap/>
            <w:vAlign w:val="center"/>
            <w:hideMark/>
          </w:tcPr>
          <w:p w14:paraId="5846B694" w14:textId="77777777" w:rsidR="00B45F0E" w:rsidRPr="00B45F0E" w:rsidRDefault="00B45F0E" w:rsidP="00B45F0E">
            <w:pPr>
              <w:spacing w:after="0" w:line="240" w:lineRule="auto"/>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z toho: mzdové výdavky</w:t>
            </w:r>
          </w:p>
        </w:tc>
        <w:tc>
          <w:tcPr>
            <w:tcW w:w="760" w:type="dxa"/>
            <w:tcBorders>
              <w:top w:val="nil"/>
              <w:left w:val="nil"/>
              <w:bottom w:val="nil"/>
              <w:right w:val="nil"/>
            </w:tcBorders>
            <w:shd w:val="clear" w:color="auto" w:fill="auto"/>
            <w:noWrap/>
            <w:vAlign w:val="center"/>
            <w:hideMark/>
          </w:tcPr>
          <w:p w14:paraId="2BD73258"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(tis. eur)</w:t>
            </w:r>
          </w:p>
        </w:tc>
        <w:tc>
          <w:tcPr>
            <w:tcW w:w="880" w:type="dxa"/>
            <w:tcBorders>
              <w:top w:val="nil"/>
              <w:left w:val="nil"/>
              <w:bottom w:val="nil"/>
              <w:right w:val="nil"/>
            </w:tcBorders>
            <w:shd w:val="clear" w:color="auto" w:fill="auto"/>
            <w:noWrap/>
            <w:vAlign w:val="center"/>
            <w:hideMark/>
          </w:tcPr>
          <w:p w14:paraId="79B326FE"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1 208 330</w:t>
            </w:r>
          </w:p>
        </w:tc>
        <w:tc>
          <w:tcPr>
            <w:tcW w:w="880" w:type="dxa"/>
            <w:tcBorders>
              <w:top w:val="nil"/>
              <w:left w:val="nil"/>
              <w:bottom w:val="nil"/>
              <w:right w:val="nil"/>
            </w:tcBorders>
            <w:shd w:val="clear" w:color="auto" w:fill="auto"/>
            <w:noWrap/>
            <w:vAlign w:val="center"/>
            <w:hideMark/>
          </w:tcPr>
          <w:p w14:paraId="68EBD3FC"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1 249 932</w:t>
            </w:r>
          </w:p>
        </w:tc>
        <w:tc>
          <w:tcPr>
            <w:tcW w:w="880" w:type="dxa"/>
            <w:tcBorders>
              <w:top w:val="nil"/>
              <w:left w:val="nil"/>
              <w:bottom w:val="nil"/>
              <w:right w:val="nil"/>
            </w:tcBorders>
            <w:shd w:val="clear" w:color="auto" w:fill="auto"/>
            <w:noWrap/>
            <w:vAlign w:val="center"/>
            <w:hideMark/>
          </w:tcPr>
          <w:p w14:paraId="3A30522C"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1 344 222</w:t>
            </w:r>
          </w:p>
        </w:tc>
        <w:tc>
          <w:tcPr>
            <w:tcW w:w="880" w:type="dxa"/>
            <w:tcBorders>
              <w:top w:val="nil"/>
              <w:left w:val="nil"/>
              <w:bottom w:val="nil"/>
              <w:right w:val="nil"/>
            </w:tcBorders>
            <w:shd w:val="clear" w:color="auto" w:fill="auto"/>
            <w:noWrap/>
            <w:vAlign w:val="center"/>
            <w:hideMark/>
          </w:tcPr>
          <w:p w14:paraId="6ACD43D7"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1 365 004</w:t>
            </w:r>
          </w:p>
        </w:tc>
        <w:tc>
          <w:tcPr>
            <w:tcW w:w="880" w:type="dxa"/>
            <w:tcBorders>
              <w:top w:val="nil"/>
              <w:left w:val="nil"/>
              <w:bottom w:val="nil"/>
              <w:right w:val="nil"/>
            </w:tcBorders>
            <w:shd w:val="clear" w:color="auto" w:fill="auto"/>
            <w:noWrap/>
            <w:vAlign w:val="center"/>
            <w:hideMark/>
          </w:tcPr>
          <w:p w14:paraId="5FB0717C"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1 590 772</w:t>
            </w:r>
          </w:p>
        </w:tc>
        <w:tc>
          <w:tcPr>
            <w:tcW w:w="880" w:type="dxa"/>
            <w:tcBorders>
              <w:top w:val="nil"/>
              <w:left w:val="nil"/>
              <w:bottom w:val="nil"/>
              <w:right w:val="nil"/>
            </w:tcBorders>
            <w:shd w:val="clear" w:color="auto" w:fill="auto"/>
            <w:noWrap/>
            <w:vAlign w:val="center"/>
            <w:hideMark/>
          </w:tcPr>
          <w:p w14:paraId="0EFE8EEC"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1 698 261</w:t>
            </w:r>
          </w:p>
        </w:tc>
        <w:tc>
          <w:tcPr>
            <w:tcW w:w="880" w:type="dxa"/>
            <w:tcBorders>
              <w:top w:val="nil"/>
              <w:left w:val="nil"/>
              <w:bottom w:val="nil"/>
              <w:right w:val="nil"/>
            </w:tcBorders>
            <w:shd w:val="clear" w:color="auto" w:fill="auto"/>
            <w:noWrap/>
            <w:vAlign w:val="center"/>
            <w:hideMark/>
          </w:tcPr>
          <w:p w14:paraId="56BDA449"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1 751 018</w:t>
            </w:r>
          </w:p>
        </w:tc>
      </w:tr>
      <w:tr w:rsidR="00B45F0E" w:rsidRPr="00B45F0E" w14:paraId="2EB429B5" w14:textId="77777777" w:rsidTr="00B63F1A">
        <w:trPr>
          <w:gridAfter w:val="1"/>
          <w:wAfter w:w="348" w:type="dxa"/>
          <w:trHeight w:val="288"/>
        </w:trPr>
        <w:tc>
          <w:tcPr>
            <w:tcW w:w="2140" w:type="dxa"/>
            <w:tcBorders>
              <w:top w:val="nil"/>
              <w:left w:val="nil"/>
              <w:bottom w:val="single" w:sz="4" w:space="0" w:color="auto"/>
              <w:right w:val="nil"/>
            </w:tcBorders>
            <w:shd w:val="clear" w:color="auto" w:fill="auto"/>
            <w:noWrap/>
            <w:vAlign w:val="center"/>
            <w:hideMark/>
          </w:tcPr>
          <w:p w14:paraId="77BF9289"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Priemerný mzdový výdavok</w:t>
            </w:r>
          </w:p>
        </w:tc>
        <w:tc>
          <w:tcPr>
            <w:tcW w:w="760" w:type="dxa"/>
            <w:tcBorders>
              <w:top w:val="nil"/>
              <w:left w:val="nil"/>
              <w:bottom w:val="single" w:sz="4" w:space="0" w:color="auto"/>
              <w:right w:val="nil"/>
            </w:tcBorders>
            <w:shd w:val="clear" w:color="auto" w:fill="auto"/>
            <w:noWrap/>
            <w:vAlign w:val="center"/>
            <w:hideMark/>
          </w:tcPr>
          <w:p w14:paraId="0B6577C0"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w:t>
            </w:r>
            <w:r w:rsidRPr="00B45F0E">
              <w:rPr>
                <w:rFonts w:ascii="Times New Roman" w:eastAsia="Times New Roman" w:hAnsi="Times New Roman" w:cs="Times New Roman"/>
                <w:b/>
                <w:bCs/>
                <w:color w:val="000000"/>
                <w:sz w:val="16"/>
                <w:szCs w:val="16"/>
                <w:lang w:eastAsia="sk-SK"/>
              </w:rPr>
              <w:t>eur</w:t>
            </w:r>
            <w:r w:rsidRPr="00B45F0E">
              <w:rPr>
                <w:rFonts w:ascii="Times New Roman" w:eastAsia="Times New Roman" w:hAnsi="Times New Roman" w:cs="Times New Roman"/>
                <w:color w:val="000000"/>
                <w:sz w:val="16"/>
                <w:szCs w:val="16"/>
                <w:lang w:eastAsia="sk-SK"/>
              </w:rPr>
              <w:t>)</w:t>
            </w:r>
          </w:p>
        </w:tc>
        <w:tc>
          <w:tcPr>
            <w:tcW w:w="880" w:type="dxa"/>
            <w:tcBorders>
              <w:top w:val="nil"/>
              <w:left w:val="nil"/>
              <w:bottom w:val="single" w:sz="4" w:space="0" w:color="auto"/>
              <w:right w:val="nil"/>
            </w:tcBorders>
            <w:shd w:val="clear" w:color="auto" w:fill="auto"/>
            <w:noWrap/>
            <w:vAlign w:val="center"/>
            <w:hideMark/>
          </w:tcPr>
          <w:p w14:paraId="4EAFBC78"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1 490,73</w:t>
            </w:r>
          </w:p>
        </w:tc>
        <w:tc>
          <w:tcPr>
            <w:tcW w:w="880" w:type="dxa"/>
            <w:tcBorders>
              <w:top w:val="nil"/>
              <w:left w:val="nil"/>
              <w:bottom w:val="single" w:sz="4" w:space="0" w:color="auto"/>
              <w:right w:val="nil"/>
            </w:tcBorders>
            <w:shd w:val="clear" w:color="auto" w:fill="auto"/>
            <w:noWrap/>
            <w:vAlign w:val="center"/>
            <w:hideMark/>
          </w:tcPr>
          <w:p w14:paraId="46DE1884"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1 522,44</w:t>
            </w:r>
          </w:p>
        </w:tc>
        <w:tc>
          <w:tcPr>
            <w:tcW w:w="880" w:type="dxa"/>
            <w:tcBorders>
              <w:top w:val="nil"/>
              <w:left w:val="nil"/>
              <w:bottom w:val="single" w:sz="4" w:space="0" w:color="auto"/>
              <w:right w:val="nil"/>
            </w:tcBorders>
            <w:shd w:val="clear" w:color="auto" w:fill="auto"/>
            <w:noWrap/>
            <w:vAlign w:val="center"/>
            <w:hideMark/>
          </w:tcPr>
          <w:p w14:paraId="515F6063"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1 733,28</w:t>
            </w:r>
          </w:p>
        </w:tc>
        <w:tc>
          <w:tcPr>
            <w:tcW w:w="880" w:type="dxa"/>
            <w:tcBorders>
              <w:top w:val="nil"/>
              <w:left w:val="nil"/>
              <w:bottom w:val="single" w:sz="4" w:space="0" w:color="auto"/>
              <w:right w:val="nil"/>
            </w:tcBorders>
            <w:shd w:val="clear" w:color="auto" w:fill="auto"/>
            <w:noWrap/>
            <w:vAlign w:val="center"/>
            <w:hideMark/>
          </w:tcPr>
          <w:p w14:paraId="53018709"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1 750,27</w:t>
            </w:r>
          </w:p>
        </w:tc>
        <w:tc>
          <w:tcPr>
            <w:tcW w:w="880" w:type="dxa"/>
            <w:tcBorders>
              <w:top w:val="nil"/>
              <w:left w:val="nil"/>
              <w:bottom w:val="single" w:sz="4" w:space="0" w:color="auto"/>
              <w:right w:val="nil"/>
            </w:tcBorders>
            <w:shd w:val="clear" w:color="auto" w:fill="auto"/>
            <w:noWrap/>
            <w:vAlign w:val="center"/>
            <w:hideMark/>
          </w:tcPr>
          <w:p w14:paraId="7CA652A3"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1 752,24</w:t>
            </w:r>
          </w:p>
        </w:tc>
        <w:tc>
          <w:tcPr>
            <w:tcW w:w="880" w:type="dxa"/>
            <w:tcBorders>
              <w:top w:val="nil"/>
              <w:left w:val="nil"/>
              <w:bottom w:val="single" w:sz="4" w:space="0" w:color="auto"/>
              <w:right w:val="nil"/>
            </w:tcBorders>
            <w:shd w:val="clear" w:color="auto" w:fill="auto"/>
            <w:noWrap/>
            <w:vAlign w:val="center"/>
            <w:hideMark/>
          </w:tcPr>
          <w:p w14:paraId="13BD2669"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1 832,16</w:t>
            </w:r>
          </w:p>
        </w:tc>
        <w:tc>
          <w:tcPr>
            <w:tcW w:w="880" w:type="dxa"/>
            <w:tcBorders>
              <w:top w:val="nil"/>
              <w:left w:val="nil"/>
              <w:bottom w:val="single" w:sz="4" w:space="0" w:color="auto"/>
              <w:right w:val="nil"/>
            </w:tcBorders>
            <w:shd w:val="clear" w:color="auto" w:fill="auto"/>
            <w:noWrap/>
            <w:vAlign w:val="center"/>
            <w:hideMark/>
          </w:tcPr>
          <w:p w14:paraId="5A7752E6"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1 804,80</w:t>
            </w:r>
          </w:p>
        </w:tc>
      </w:tr>
      <w:tr w:rsidR="00B45F0E" w:rsidRPr="00B45F0E" w14:paraId="30CACE70" w14:textId="77777777" w:rsidTr="00B63F1A">
        <w:trPr>
          <w:gridAfter w:val="1"/>
          <w:wAfter w:w="348" w:type="dxa"/>
          <w:trHeight w:val="288"/>
        </w:trPr>
        <w:tc>
          <w:tcPr>
            <w:tcW w:w="2140" w:type="dxa"/>
            <w:tcBorders>
              <w:top w:val="nil"/>
              <w:left w:val="nil"/>
              <w:bottom w:val="single" w:sz="4" w:space="0" w:color="auto"/>
              <w:right w:val="nil"/>
            </w:tcBorders>
            <w:shd w:val="clear" w:color="auto" w:fill="auto"/>
            <w:noWrap/>
            <w:vAlign w:val="center"/>
            <w:hideMark/>
          </w:tcPr>
          <w:p w14:paraId="50B0CAA9" w14:textId="77777777" w:rsidR="00B45F0E" w:rsidRPr="00B45F0E" w:rsidRDefault="00B45F0E" w:rsidP="00B45F0E">
            <w:pPr>
              <w:spacing w:after="0" w:line="240" w:lineRule="auto"/>
              <w:ind w:firstLineChars="100" w:firstLine="140"/>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 </w:t>
            </w:r>
          </w:p>
        </w:tc>
        <w:tc>
          <w:tcPr>
            <w:tcW w:w="760" w:type="dxa"/>
            <w:tcBorders>
              <w:top w:val="nil"/>
              <w:left w:val="nil"/>
              <w:bottom w:val="single" w:sz="4" w:space="0" w:color="auto"/>
              <w:right w:val="nil"/>
            </w:tcBorders>
            <w:shd w:val="clear" w:color="auto" w:fill="auto"/>
            <w:noWrap/>
            <w:vAlign w:val="center"/>
            <w:hideMark/>
          </w:tcPr>
          <w:p w14:paraId="295BA14B" w14:textId="77777777" w:rsidR="00B45F0E" w:rsidRPr="00B45F0E" w:rsidRDefault="00B45F0E" w:rsidP="00B45F0E">
            <w:pPr>
              <w:spacing w:after="0" w:line="240" w:lineRule="auto"/>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 </w:t>
            </w:r>
          </w:p>
        </w:tc>
        <w:tc>
          <w:tcPr>
            <w:tcW w:w="880" w:type="dxa"/>
            <w:tcBorders>
              <w:top w:val="nil"/>
              <w:left w:val="nil"/>
              <w:bottom w:val="single" w:sz="4" w:space="0" w:color="auto"/>
              <w:right w:val="nil"/>
            </w:tcBorders>
            <w:shd w:val="clear" w:color="auto" w:fill="auto"/>
            <w:noWrap/>
            <w:vAlign w:val="center"/>
            <w:hideMark/>
          </w:tcPr>
          <w:p w14:paraId="3B47834D" w14:textId="77777777" w:rsidR="00B45F0E" w:rsidRPr="00B45F0E" w:rsidRDefault="00B45F0E" w:rsidP="00B45F0E">
            <w:pPr>
              <w:spacing w:after="0" w:line="240" w:lineRule="auto"/>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 </w:t>
            </w:r>
          </w:p>
        </w:tc>
        <w:tc>
          <w:tcPr>
            <w:tcW w:w="880" w:type="dxa"/>
            <w:tcBorders>
              <w:top w:val="nil"/>
              <w:left w:val="nil"/>
              <w:bottom w:val="single" w:sz="4" w:space="0" w:color="auto"/>
              <w:right w:val="nil"/>
            </w:tcBorders>
            <w:shd w:val="clear" w:color="auto" w:fill="auto"/>
            <w:noWrap/>
            <w:vAlign w:val="center"/>
            <w:hideMark/>
          </w:tcPr>
          <w:p w14:paraId="4184FEA2" w14:textId="77777777" w:rsidR="00B45F0E" w:rsidRPr="00B45F0E" w:rsidRDefault="00B45F0E" w:rsidP="00B45F0E">
            <w:pPr>
              <w:spacing w:after="0" w:line="240" w:lineRule="auto"/>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 </w:t>
            </w:r>
          </w:p>
        </w:tc>
        <w:tc>
          <w:tcPr>
            <w:tcW w:w="880" w:type="dxa"/>
            <w:tcBorders>
              <w:top w:val="nil"/>
              <w:left w:val="nil"/>
              <w:bottom w:val="single" w:sz="4" w:space="0" w:color="auto"/>
              <w:right w:val="nil"/>
            </w:tcBorders>
            <w:shd w:val="clear" w:color="auto" w:fill="auto"/>
            <w:noWrap/>
            <w:vAlign w:val="center"/>
            <w:hideMark/>
          </w:tcPr>
          <w:p w14:paraId="262968A4" w14:textId="77777777" w:rsidR="00B45F0E" w:rsidRPr="00B45F0E" w:rsidRDefault="00B45F0E" w:rsidP="00B45F0E">
            <w:pPr>
              <w:spacing w:after="0" w:line="240" w:lineRule="auto"/>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 </w:t>
            </w:r>
          </w:p>
        </w:tc>
        <w:tc>
          <w:tcPr>
            <w:tcW w:w="880" w:type="dxa"/>
            <w:tcBorders>
              <w:top w:val="nil"/>
              <w:left w:val="nil"/>
              <w:bottom w:val="single" w:sz="4" w:space="0" w:color="auto"/>
              <w:right w:val="nil"/>
            </w:tcBorders>
            <w:shd w:val="clear" w:color="auto" w:fill="auto"/>
            <w:noWrap/>
            <w:vAlign w:val="center"/>
            <w:hideMark/>
          </w:tcPr>
          <w:p w14:paraId="1DA0229D" w14:textId="77777777" w:rsidR="00B45F0E" w:rsidRPr="00B45F0E" w:rsidRDefault="00B45F0E" w:rsidP="00B45F0E">
            <w:pPr>
              <w:spacing w:after="0" w:line="240" w:lineRule="auto"/>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 </w:t>
            </w:r>
          </w:p>
        </w:tc>
        <w:tc>
          <w:tcPr>
            <w:tcW w:w="880" w:type="dxa"/>
            <w:tcBorders>
              <w:top w:val="nil"/>
              <w:left w:val="nil"/>
              <w:bottom w:val="single" w:sz="4" w:space="0" w:color="auto"/>
              <w:right w:val="nil"/>
            </w:tcBorders>
            <w:shd w:val="clear" w:color="auto" w:fill="auto"/>
            <w:noWrap/>
            <w:vAlign w:val="center"/>
            <w:hideMark/>
          </w:tcPr>
          <w:p w14:paraId="235C9C01" w14:textId="77777777" w:rsidR="00B45F0E" w:rsidRPr="00B45F0E" w:rsidRDefault="00B45F0E" w:rsidP="00B45F0E">
            <w:pPr>
              <w:spacing w:after="0" w:line="240" w:lineRule="auto"/>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 </w:t>
            </w:r>
          </w:p>
        </w:tc>
        <w:tc>
          <w:tcPr>
            <w:tcW w:w="880" w:type="dxa"/>
            <w:tcBorders>
              <w:top w:val="nil"/>
              <w:left w:val="nil"/>
              <w:bottom w:val="single" w:sz="4" w:space="0" w:color="auto"/>
              <w:right w:val="nil"/>
            </w:tcBorders>
            <w:shd w:val="clear" w:color="auto" w:fill="auto"/>
            <w:noWrap/>
            <w:vAlign w:val="center"/>
            <w:hideMark/>
          </w:tcPr>
          <w:p w14:paraId="32D9AA55" w14:textId="77777777" w:rsidR="00B45F0E" w:rsidRPr="00B45F0E" w:rsidRDefault="00B45F0E" w:rsidP="00B45F0E">
            <w:pPr>
              <w:spacing w:after="0" w:line="240" w:lineRule="auto"/>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 </w:t>
            </w:r>
          </w:p>
        </w:tc>
        <w:tc>
          <w:tcPr>
            <w:tcW w:w="880" w:type="dxa"/>
            <w:tcBorders>
              <w:top w:val="nil"/>
              <w:left w:val="nil"/>
              <w:bottom w:val="single" w:sz="4" w:space="0" w:color="auto"/>
              <w:right w:val="nil"/>
            </w:tcBorders>
            <w:shd w:val="clear" w:color="auto" w:fill="auto"/>
            <w:noWrap/>
            <w:vAlign w:val="center"/>
            <w:hideMark/>
          </w:tcPr>
          <w:p w14:paraId="63683BCB" w14:textId="77777777" w:rsidR="00B45F0E" w:rsidRPr="00B45F0E" w:rsidRDefault="00B45F0E" w:rsidP="00B45F0E">
            <w:pPr>
              <w:spacing w:after="0" w:line="240" w:lineRule="auto"/>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 </w:t>
            </w:r>
          </w:p>
        </w:tc>
      </w:tr>
      <w:tr w:rsidR="00B45F0E" w:rsidRPr="00B45F0E" w14:paraId="37609124" w14:textId="77777777" w:rsidTr="00B63F1A">
        <w:trPr>
          <w:gridAfter w:val="1"/>
          <w:wAfter w:w="348" w:type="dxa"/>
          <w:trHeight w:val="288"/>
        </w:trPr>
        <w:tc>
          <w:tcPr>
            <w:tcW w:w="2140" w:type="dxa"/>
            <w:tcBorders>
              <w:top w:val="nil"/>
              <w:left w:val="nil"/>
              <w:bottom w:val="single" w:sz="4" w:space="0" w:color="auto"/>
              <w:right w:val="nil"/>
            </w:tcBorders>
            <w:shd w:val="clear" w:color="auto" w:fill="auto"/>
            <w:noWrap/>
            <w:vAlign w:val="center"/>
            <w:hideMark/>
          </w:tcPr>
          <w:p w14:paraId="6F5E638B"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Nepedagogickí zamestnanci</w:t>
            </w:r>
          </w:p>
        </w:tc>
        <w:tc>
          <w:tcPr>
            <w:tcW w:w="760" w:type="dxa"/>
            <w:tcBorders>
              <w:top w:val="nil"/>
              <w:left w:val="nil"/>
              <w:bottom w:val="single" w:sz="4" w:space="0" w:color="auto"/>
              <w:right w:val="nil"/>
            </w:tcBorders>
            <w:shd w:val="clear" w:color="auto" w:fill="auto"/>
            <w:noWrap/>
            <w:vAlign w:val="center"/>
            <w:hideMark/>
          </w:tcPr>
          <w:p w14:paraId="131DC8EE"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 </w:t>
            </w:r>
          </w:p>
        </w:tc>
        <w:tc>
          <w:tcPr>
            <w:tcW w:w="880" w:type="dxa"/>
            <w:tcBorders>
              <w:top w:val="nil"/>
              <w:left w:val="nil"/>
              <w:bottom w:val="single" w:sz="4" w:space="0" w:color="auto"/>
              <w:right w:val="nil"/>
            </w:tcBorders>
            <w:shd w:val="clear" w:color="auto" w:fill="auto"/>
            <w:noWrap/>
            <w:vAlign w:val="center"/>
            <w:hideMark/>
          </w:tcPr>
          <w:p w14:paraId="78B208A2"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2021  S</w:t>
            </w:r>
          </w:p>
        </w:tc>
        <w:tc>
          <w:tcPr>
            <w:tcW w:w="880" w:type="dxa"/>
            <w:tcBorders>
              <w:top w:val="nil"/>
              <w:left w:val="nil"/>
              <w:bottom w:val="single" w:sz="4" w:space="0" w:color="auto"/>
              <w:right w:val="nil"/>
            </w:tcBorders>
            <w:shd w:val="clear" w:color="auto" w:fill="auto"/>
            <w:noWrap/>
            <w:vAlign w:val="center"/>
            <w:hideMark/>
          </w:tcPr>
          <w:p w14:paraId="61021534"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2022  S</w:t>
            </w:r>
          </w:p>
        </w:tc>
        <w:tc>
          <w:tcPr>
            <w:tcW w:w="880" w:type="dxa"/>
            <w:tcBorders>
              <w:top w:val="nil"/>
              <w:left w:val="nil"/>
              <w:bottom w:val="single" w:sz="4" w:space="0" w:color="auto"/>
              <w:right w:val="nil"/>
            </w:tcBorders>
            <w:shd w:val="clear" w:color="auto" w:fill="auto"/>
            <w:noWrap/>
            <w:vAlign w:val="center"/>
            <w:hideMark/>
          </w:tcPr>
          <w:p w14:paraId="27F44A87"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2023  R</w:t>
            </w:r>
          </w:p>
        </w:tc>
        <w:tc>
          <w:tcPr>
            <w:tcW w:w="880" w:type="dxa"/>
            <w:tcBorders>
              <w:top w:val="nil"/>
              <w:left w:val="nil"/>
              <w:bottom w:val="single" w:sz="4" w:space="0" w:color="auto"/>
              <w:right w:val="nil"/>
            </w:tcBorders>
            <w:shd w:val="clear" w:color="auto" w:fill="auto"/>
            <w:noWrap/>
            <w:vAlign w:val="center"/>
            <w:hideMark/>
          </w:tcPr>
          <w:p w14:paraId="61DBE054"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2023  OS</w:t>
            </w:r>
          </w:p>
        </w:tc>
        <w:tc>
          <w:tcPr>
            <w:tcW w:w="880" w:type="dxa"/>
            <w:tcBorders>
              <w:top w:val="nil"/>
              <w:left w:val="nil"/>
              <w:bottom w:val="single" w:sz="4" w:space="0" w:color="auto"/>
              <w:right w:val="nil"/>
            </w:tcBorders>
            <w:shd w:val="clear" w:color="auto" w:fill="auto"/>
            <w:noWrap/>
            <w:vAlign w:val="center"/>
            <w:hideMark/>
          </w:tcPr>
          <w:p w14:paraId="4B39D4B3"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2024  N</w:t>
            </w:r>
          </w:p>
        </w:tc>
        <w:tc>
          <w:tcPr>
            <w:tcW w:w="880" w:type="dxa"/>
            <w:tcBorders>
              <w:top w:val="nil"/>
              <w:left w:val="nil"/>
              <w:bottom w:val="single" w:sz="4" w:space="0" w:color="auto"/>
              <w:right w:val="nil"/>
            </w:tcBorders>
            <w:shd w:val="clear" w:color="auto" w:fill="auto"/>
            <w:noWrap/>
            <w:vAlign w:val="center"/>
            <w:hideMark/>
          </w:tcPr>
          <w:p w14:paraId="04A1BD3C"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2025  N</w:t>
            </w:r>
          </w:p>
        </w:tc>
        <w:tc>
          <w:tcPr>
            <w:tcW w:w="880" w:type="dxa"/>
            <w:tcBorders>
              <w:top w:val="nil"/>
              <w:left w:val="nil"/>
              <w:bottom w:val="single" w:sz="4" w:space="0" w:color="auto"/>
              <w:right w:val="nil"/>
            </w:tcBorders>
            <w:shd w:val="clear" w:color="auto" w:fill="auto"/>
            <w:noWrap/>
            <w:vAlign w:val="center"/>
            <w:hideMark/>
          </w:tcPr>
          <w:p w14:paraId="4BE550FB"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2026  N</w:t>
            </w:r>
          </w:p>
        </w:tc>
      </w:tr>
      <w:tr w:rsidR="00B45F0E" w:rsidRPr="00B45F0E" w14:paraId="55094E20" w14:textId="77777777" w:rsidTr="00B63F1A">
        <w:trPr>
          <w:gridAfter w:val="1"/>
          <w:wAfter w:w="348" w:type="dxa"/>
          <w:trHeight w:val="288"/>
        </w:trPr>
        <w:tc>
          <w:tcPr>
            <w:tcW w:w="2140" w:type="dxa"/>
            <w:tcBorders>
              <w:top w:val="nil"/>
              <w:left w:val="nil"/>
              <w:bottom w:val="nil"/>
              <w:right w:val="nil"/>
            </w:tcBorders>
            <w:shd w:val="clear" w:color="auto" w:fill="auto"/>
            <w:noWrap/>
            <w:vAlign w:val="center"/>
            <w:hideMark/>
          </w:tcPr>
          <w:p w14:paraId="0EACD165" w14:textId="77777777" w:rsidR="00B45F0E" w:rsidRPr="00B45F0E" w:rsidRDefault="00B45F0E" w:rsidP="00B45F0E">
            <w:pPr>
              <w:spacing w:after="0" w:line="240" w:lineRule="auto"/>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Počet zamestnancov</w:t>
            </w:r>
          </w:p>
        </w:tc>
        <w:tc>
          <w:tcPr>
            <w:tcW w:w="760" w:type="dxa"/>
            <w:tcBorders>
              <w:top w:val="nil"/>
              <w:left w:val="nil"/>
              <w:bottom w:val="nil"/>
              <w:right w:val="nil"/>
            </w:tcBorders>
            <w:shd w:val="clear" w:color="auto" w:fill="auto"/>
            <w:noWrap/>
            <w:vAlign w:val="center"/>
            <w:hideMark/>
          </w:tcPr>
          <w:p w14:paraId="16E9D5D4"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(osoby)</w:t>
            </w:r>
          </w:p>
        </w:tc>
        <w:tc>
          <w:tcPr>
            <w:tcW w:w="880" w:type="dxa"/>
            <w:tcBorders>
              <w:top w:val="nil"/>
              <w:left w:val="nil"/>
              <w:bottom w:val="nil"/>
              <w:right w:val="nil"/>
            </w:tcBorders>
            <w:shd w:val="clear" w:color="auto" w:fill="auto"/>
            <w:noWrap/>
            <w:vAlign w:val="center"/>
            <w:hideMark/>
          </w:tcPr>
          <w:p w14:paraId="23BCDA18"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19 096</w:t>
            </w:r>
          </w:p>
        </w:tc>
        <w:tc>
          <w:tcPr>
            <w:tcW w:w="880" w:type="dxa"/>
            <w:tcBorders>
              <w:top w:val="nil"/>
              <w:left w:val="nil"/>
              <w:bottom w:val="nil"/>
              <w:right w:val="nil"/>
            </w:tcBorders>
            <w:shd w:val="clear" w:color="auto" w:fill="auto"/>
            <w:noWrap/>
            <w:vAlign w:val="center"/>
            <w:hideMark/>
          </w:tcPr>
          <w:p w14:paraId="1F07876A"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19 344</w:t>
            </w:r>
          </w:p>
        </w:tc>
        <w:tc>
          <w:tcPr>
            <w:tcW w:w="880" w:type="dxa"/>
            <w:tcBorders>
              <w:top w:val="nil"/>
              <w:left w:val="nil"/>
              <w:bottom w:val="nil"/>
              <w:right w:val="nil"/>
            </w:tcBorders>
            <w:shd w:val="clear" w:color="auto" w:fill="auto"/>
            <w:noWrap/>
            <w:vAlign w:val="center"/>
            <w:hideMark/>
          </w:tcPr>
          <w:p w14:paraId="7EE2A5ED"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19 590</w:t>
            </w:r>
          </w:p>
        </w:tc>
        <w:tc>
          <w:tcPr>
            <w:tcW w:w="880" w:type="dxa"/>
            <w:tcBorders>
              <w:top w:val="nil"/>
              <w:left w:val="nil"/>
              <w:bottom w:val="nil"/>
              <w:right w:val="nil"/>
            </w:tcBorders>
            <w:shd w:val="clear" w:color="auto" w:fill="auto"/>
            <w:noWrap/>
            <w:vAlign w:val="center"/>
            <w:hideMark/>
          </w:tcPr>
          <w:p w14:paraId="58046CAF"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18 999</w:t>
            </w:r>
          </w:p>
        </w:tc>
        <w:tc>
          <w:tcPr>
            <w:tcW w:w="880" w:type="dxa"/>
            <w:tcBorders>
              <w:top w:val="nil"/>
              <w:left w:val="nil"/>
              <w:bottom w:val="nil"/>
              <w:right w:val="nil"/>
            </w:tcBorders>
            <w:shd w:val="clear" w:color="auto" w:fill="auto"/>
            <w:noWrap/>
            <w:vAlign w:val="center"/>
            <w:hideMark/>
          </w:tcPr>
          <w:p w14:paraId="3CCA4B84"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19 423</w:t>
            </w:r>
          </w:p>
        </w:tc>
        <w:tc>
          <w:tcPr>
            <w:tcW w:w="880" w:type="dxa"/>
            <w:tcBorders>
              <w:top w:val="nil"/>
              <w:left w:val="nil"/>
              <w:bottom w:val="nil"/>
              <w:right w:val="nil"/>
            </w:tcBorders>
            <w:shd w:val="clear" w:color="auto" w:fill="auto"/>
            <w:noWrap/>
            <w:vAlign w:val="center"/>
            <w:hideMark/>
          </w:tcPr>
          <w:p w14:paraId="37BFEDE8"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19 331</w:t>
            </w:r>
          </w:p>
        </w:tc>
        <w:tc>
          <w:tcPr>
            <w:tcW w:w="880" w:type="dxa"/>
            <w:tcBorders>
              <w:top w:val="nil"/>
              <w:left w:val="nil"/>
              <w:bottom w:val="nil"/>
              <w:right w:val="nil"/>
            </w:tcBorders>
            <w:shd w:val="clear" w:color="auto" w:fill="auto"/>
            <w:noWrap/>
            <w:vAlign w:val="center"/>
            <w:hideMark/>
          </w:tcPr>
          <w:p w14:paraId="5916A6C9"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19 616</w:t>
            </w:r>
          </w:p>
        </w:tc>
      </w:tr>
      <w:tr w:rsidR="00B45F0E" w:rsidRPr="00B45F0E" w14:paraId="3CC8E8AB" w14:textId="77777777" w:rsidTr="00B63F1A">
        <w:trPr>
          <w:gridAfter w:val="1"/>
          <w:wAfter w:w="348" w:type="dxa"/>
          <w:trHeight w:val="288"/>
        </w:trPr>
        <w:tc>
          <w:tcPr>
            <w:tcW w:w="2140" w:type="dxa"/>
            <w:tcBorders>
              <w:top w:val="nil"/>
              <w:left w:val="nil"/>
              <w:bottom w:val="nil"/>
              <w:right w:val="nil"/>
            </w:tcBorders>
            <w:shd w:val="clear" w:color="auto" w:fill="auto"/>
            <w:noWrap/>
            <w:vAlign w:val="center"/>
            <w:hideMark/>
          </w:tcPr>
          <w:p w14:paraId="61070B0C"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Osobné výdavky</w:t>
            </w:r>
          </w:p>
        </w:tc>
        <w:tc>
          <w:tcPr>
            <w:tcW w:w="760" w:type="dxa"/>
            <w:tcBorders>
              <w:top w:val="nil"/>
              <w:left w:val="nil"/>
              <w:bottom w:val="nil"/>
              <w:right w:val="nil"/>
            </w:tcBorders>
            <w:shd w:val="clear" w:color="auto" w:fill="auto"/>
            <w:noWrap/>
            <w:vAlign w:val="center"/>
            <w:hideMark/>
          </w:tcPr>
          <w:p w14:paraId="663FBB00"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w:t>
            </w:r>
            <w:r w:rsidRPr="00B45F0E">
              <w:rPr>
                <w:rFonts w:ascii="Times New Roman" w:eastAsia="Times New Roman" w:hAnsi="Times New Roman" w:cs="Times New Roman"/>
                <w:b/>
                <w:bCs/>
                <w:color w:val="000000"/>
                <w:sz w:val="16"/>
                <w:szCs w:val="16"/>
                <w:lang w:eastAsia="sk-SK"/>
              </w:rPr>
              <w:t>tis. eur</w:t>
            </w:r>
            <w:r w:rsidRPr="00B45F0E">
              <w:rPr>
                <w:rFonts w:ascii="Times New Roman" w:eastAsia="Times New Roman" w:hAnsi="Times New Roman" w:cs="Times New Roman"/>
                <w:color w:val="000000"/>
                <w:sz w:val="16"/>
                <w:szCs w:val="16"/>
                <w:lang w:eastAsia="sk-SK"/>
              </w:rPr>
              <w:t>)</w:t>
            </w:r>
          </w:p>
        </w:tc>
        <w:tc>
          <w:tcPr>
            <w:tcW w:w="880" w:type="dxa"/>
            <w:tcBorders>
              <w:top w:val="nil"/>
              <w:left w:val="nil"/>
              <w:bottom w:val="nil"/>
              <w:right w:val="nil"/>
            </w:tcBorders>
            <w:shd w:val="clear" w:color="auto" w:fill="auto"/>
            <w:noWrap/>
            <w:vAlign w:val="center"/>
            <w:hideMark/>
          </w:tcPr>
          <w:p w14:paraId="35F5E191"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284 427</w:t>
            </w:r>
          </w:p>
        </w:tc>
        <w:tc>
          <w:tcPr>
            <w:tcW w:w="880" w:type="dxa"/>
            <w:tcBorders>
              <w:top w:val="nil"/>
              <w:left w:val="nil"/>
              <w:bottom w:val="nil"/>
              <w:right w:val="nil"/>
            </w:tcBorders>
            <w:shd w:val="clear" w:color="auto" w:fill="auto"/>
            <w:noWrap/>
            <w:vAlign w:val="center"/>
            <w:hideMark/>
          </w:tcPr>
          <w:p w14:paraId="34DB471A"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299 737</w:t>
            </w:r>
          </w:p>
        </w:tc>
        <w:tc>
          <w:tcPr>
            <w:tcW w:w="880" w:type="dxa"/>
            <w:tcBorders>
              <w:top w:val="nil"/>
              <w:left w:val="nil"/>
              <w:bottom w:val="nil"/>
              <w:right w:val="nil"/>
            </w:tcBorders>
            <w:shd w:val="clear" w:color="auto" w:fill="auto"/>
            <w:noWrap/>
            <w:vAlign w:val="center"/>
            <w:hideMark/>
          </w:tcPr>
          <w:p w14:paraId="5B43789A"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289 813</w:t>
            </w:r>
          </w:p>
        </w:tc>
        <w:tc>
          <w:tcPr>
            <w:tcW w:w="880" w:type="dxa"/>
            <w:tcBorders>
              <w:top w:val="nil"/>
              <w:left w:val="nil"/>
              <w:bottom w:val="nil"/>
              <w:right w:val="nil"/>
            </w:tcBorders>
            <w:shd w:val="clear" w:color="auto" w:fill="auto"/>
            <w:noWrap/>
            <w:vAlign w:val="center"/>
            <w:hideMark/>
          </w:tcPr>
          <w:p w14:paraId="467682B6"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287 709</w:t>
            </w:r>
          </w:p>
        </w:tc>
        <w:tc>
          <w:tcPr>
            <w:tcW w:w="880" w:type="dxa"/>
            <w:tcBorders>
              <w:top w:val="nil"/>
              <w:left w:val="nil"/>
              <w:bottom w:val="nil"/>
              <w:right w:val="nil"/>
            </w:tcBorders>
            <w:shd w:val="clear" w:color="auto" w:fill="auto"/>
            <w:noWrap/>
            <w:vAlign w:val="center"/>
            <w:hideMark/>
          </w:tcPr>
          <w:p w14:paraId="4B8166FE"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308 563</w:t>
            </w:r>
          </w:p>
        </w:tc>
        <w:tc>
          <w:tcPr>
            <w:tcW w:w="880" w:type="dxa"/>
            <w:tcBorders>
              <w:top w:val="nil"/>
              <w:left w:val="nil"/>
              <w:bottom w:val="nil"/>
              <w:right w:val="nil"/>
            </w:tcBorders>
            <w:shd w:val="clear" w:color="auto" w:fill="auto"/>
            <w:noWrap/>
            <w:vAlign w:val="center"/>
            <w:hideMark/>
          </w:tcPr>
          <w:p w14:paraId="3E59072C"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307 381</w:t>
            </w:r>
          </w:p>
        </w:tc>
        <w:tc>
          <w:tcPr>
            <w:tcW w:w="880" w:type="dxa"/>
            <w:tcBorders>
              <w:top w:val="nil"/>
              <w:left w:val="nil"/>
              <w:bottom w:val="nil"/>
              <w:right w:val="nil"/>
            </w:tcBorders>
            <w:shd w:val="clear" w:color="auto" w:fill="auto"/>
            <w:noWrap/>
            <w:vAlign w:val="center"/>
            <w:hideMark/>
          </w:tcPr>
          <w:p w14:paraId="78750836"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309 200</w:t>
            </w:r>
          </w:p>
        </w:tc>
      </w:tr>
      <w:tr w:rsidR="00B45F0E" w:rsidRPr="00B45F0E" w14:paraId="29382771" w14:textId="77777777" w:rsidTr="00B63F1A">
        <w:trPr>
          <w:gridAfter w:val="1"/>
          <w:wAfter w:w="348" w:type="dxa"/>
          <w:trHeight w:val="288"/>
        </w:trPr>
        <w:tc>
          <w:tcPr>
            <w:tcW w:w="2140" w:type="dxa"/>
            <w:tcBorders>
              <w:top w:val="nil"/>
              <w:left w:val="nil"/>
              <w:bottom w:val="nil"/>
              <w:right w:val="nil"/>
            </w:tcBorders>
            <w:shd w:val="clear" w:color="auto" w:fill="auto"/>
            <w:noWrap/>
            <w:vAlign w:val="center"/>
            <w:hideMark/>
          </w:tcPr>
          <w:p w14:paraId="0292B514" w14:textId="77777777" w:rsidR="00B45F0E" w:rsidRPr="00B45F0E" w:rsidRDefault="00B45F0E" w:rsidP="00B45F0E">
            <w:pPr>
              <w:spacing w:after="0" w:line="240" w:lineRule="auto"/>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z toho: mzdové výdavky</w:t>
            </w:r>
          </w:p>
        </w:tc>
        <w:tc>
          <w:tcPr>
            <w:tcW w:w="760" w:type="dxa"/>
            <w:tcBorders>
              <w:top w:val="nil"/>
              <w:left w:val="nil"/>
              <w:bottom w:val="nil"/>
              <w:right w:val="nil"/>
            </w:tcBorders>
            <w:shd w:val="clear" w:color="auto" w:fill="auto"/>
            <w:noWrap/>
            <w:vAlign w:val="center"/>
            <w:hideMark/>
          </w:tcPr>
          <w:p w14:paraId="51396248"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(tis. eur)</w:t>
            </w:r>
          </w:p>
        </w:tc>
        <w:tc>
          <w:tcPr>
            <w:tcW w:w="880" w:type="dxa"/>
            <w:tcBorders>
              <w:top w:val="nil"/>
              <w:left w:val="nil"/>
              <w:bottom w:val="nil"/>
              <w:right w:val="nil"/>
            </w:tcBorders>
            <w:shd w:val="clear" w:color="auto" w:fill="auto"/>
            <w:noWrap/>
            <w:vAlign w:val="center"/>
            <w:hideMark/>
          </w:tcPr>
          <w:p w14:paraId="217C4FD5"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210 375</w:t>
            </w:r>
          </w:p>
        </w:tc>
        <w:tc>
          <w:tcPr>
            <w:tcW w:w="880" w:type="dxa"/>
            <w:tcBorders>
              <w:top w:val="nil"/>
              <w:left w:val="nil"/>
              <w:bottom w:val="nil"/>
              <w:right w:val="nil"/>
            </w:tcBorders>
            <w:shd w:val="clear" w:color="auto" w:fill="auto"/>
            <w:noWrap/>
            <w:vAlign w:val="center"/>
            <w:hideMark/>
          </w:tcPr>
          <w:p w14:paraId="390F6988"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221 699</w:t>
            </w:r>
          </w:p>
        </w:tc>
        <w:tc>
          <w:tcPr>
            <w:tcW w:w="880" w:type="dxa"/>
            <w:tcBorders>
              <w:top w:val="nil"/>
              <w:left w:val="nil"/>
              <w:bottom w:val="nil"/>
              <w:right w:val="nil"/>
            </w:tcBorders>
            <w:shd w:val="clear" w:color="auto" w:fill="auto"/>
            <w:noWrap/>
            <w:vAlign w:val="center"/>
            <w:hideMark/>
          </w:tcPr>
          <w:p w14:paraId="1F50675E"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214 408</w:t>
            </w:r>
          </w:p>
        </w:tc>
        <w:tc>
          <w:tcPr>
            <w:tcW w:w="880" w:type="dxa"/>
            <w:tcBorders>
              <w:top w:val="nil"/>
              <w:left w:val="nil"/>
              <w:bottom w:val="nil"/>
              <w:right w:val="nil"/>
            </w:tcBorders>
            <w:shd w:val="clear" w:color="auto" w:fill="auto"/>
            <w:noWrap/>
            <w:vAlign w:val="center"/>
            <w:hideMark/>
          </w:tcPr>
          <w:p w14:paraId="6A9A3645"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212 864</w:t>
            </w:r>
          </w:p>
        </w:tc>
        <w:tc>
          <w:tcPr>
            <w:tcW w:w="880" w:type="dxa"/>
            <w:tcBorders>
              <w:top w:val="nil"/>
              <w:left w:val="nil"/>
              <w:bottom w:val="nil"/>
              <w:right w:val="nil"/>
            </w:tcBorders>
            <w:shd w:val="clear" w:color="auto" w:fill="auto"/>
            <w:noWrap/>
            <w:vAlign w:val="center"/>
            <w:hideMark/>
          </w:tcPr>
          <w:p w14:paraId="3920ECF4"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228 276</w:t>
            </w:r>
          </w:p>
        </w:tc>
        <w:tc>
          <w:tcPr>
            <w:tcW w:w="880" w:type="dxa"/>
            <w:tcBorders>
              <w:top w:val="nil"/>
              <w:left w:val="nil"/>
              <w:bottom w:val="nil"/>
              <w:right w:val="nil"/>
            </w:tcBorders>
            <w:shd w:val="clear" w:color="auto" w:fill="auto"/>
            <w:noWrap/>
            <w:vAlign w:val="center"/>
            <w:hideMark/>
          </w:tcPr>
          <w:p w14:paraId="3F2F1818"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227 402</w:t>
            </w:r>
          </w:p>
        </w:tc>
        <w:tc>
          <w:tcPr>
            <w:tcW w:w="880" w:type="dxa"/>
            <w:tcBorders>
              <w:top w:val="nil"/>
              <w:left w:val="nil"/>
              <w:bottom w:val="nil"/>
              <w:right w:val="nil"/>
            </w:tcBorders>
            <w:shd w:val="clear" w:color="auto" w:fill="auto"/>
            <w:noWrap/>
            <w:vAlign w:val="center"/>
            <w:hideMark/>
          </w:tcPr>
          <w:p w14:paraId="0CBC2731"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228 748</w:t>
            </w:r>
          </w:p>
        </w:tc>
      </w:tr>
      <w:tr w:rsidR="00B45F0E" w:rsidRPr="00B45F0E" w14:paraId="2634EF86" w14:textId="77777777" w:rsidTr="00B63F1A">
        <w:trPr>
          <w:gridAfter w:val="1"/>
          <w:wAfter w:w="348" w:type="dxa"/>
          <w:trHeight w:val="288"/>
        </w:trPr>
        <w:tc>
          <w:tcPr>
            <w:tcW w:w="2140" w:type="dxa"/>
            <w:tcBorders>
              <w:top w:val="nil"/>
              <w:left w:val="nil"/>
              <w:bottom w:val="single" w:sz="4" w:space="0" w:color="auto"/>
              <w:right w:val="nil"/>
            </w:tcBorders>
            <w:shd w:val="clear" w:color="auto" w:fill="auto"/>
            <w:noWrap/>
            <w:vAlign w:val="center"/>
            <w:hideMark/>
          </w:tcPr>
          <w:p w14:paraId="6A4DED12"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Priemerný mzdový výdavok</w:t>
            </w:r>
          </w:p>
        </w:tc>
        <w:tc>
          <w:tcPr>
            <w:tcW w:w="760" w:type="dxa"/>
            <w:tcBorders>
              <w:top w:val="nil"/>
              <w:left w:val="nil"/>
              <w:bottom w:val="single" w:sz="4" w:space="0" w:color="auto"/>
              <w:right w:val="nil"/>
            </w:tcBorders>
            <w:shd w:val="clear" w:color="auto" w:fill="auto"/>
            <w:noWrap/>
            <w:vAlign w:val="center"/>
            <w:hideMark/>
          </w:tcPr>
          <w:p w14:paraId="4A8CAF45"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w:t>
            </w:r>
            <w:r w:rsidRPr="00B45F0E">
              <w:rPr>
                <w:rFonts w:ascii="Times New Roman" w:eastAsia="Times New Roman" w:hAnsi="Times New Roman" w:cs="Times New Roman"/>
                <w:b/>
                <w:bCs/>
                <w:color w:val="000000"/>
                <w:sz w:val="16"/>
                <w:szCs w:val="16"/>
                <w:lang w:eastAsia="sk-SK"/>
              </w:rPr>
              <w:t>eur</w:t>
            </w:r>
            <w:r w:rsidRPr="00B45F0E">
              <w:rPr>
                <w:rFonts w:ascii="Times New Roman" w:eastAsia="Times New Roman" w:hAnsi="Times New Roman" w:cs="Times New Roman"/>
                <w:color w:val="000000"/>
                <w:sz w:val="16"/>
                <w:szCs w:val="16"/>
                <w:lang w:eastAsia="sk-SK"/>
              </w:rPr>
              <w:t>)</w:t>
            </w:r>
          </w:p>
        </w:tc>
        <w:tc>
          <w:tcPr>
            <w:tcW w:w="880" w:type="dxa"/>
            <w:tcBorders>
              <w:top w:val="nil"/>
              <w:left w:val="nil"/>
              <w:bottom w:val="single" w:sz="4" w:space="0" w:color="auto"/>
              <w:right w:val="nil"/>
            </w:tcBorders>
            <w:shd w:val="clear" w:color="auto" w:fill="auto"/>
            <w:noWrap/>
            <w:vAlign w:val="center"/>
            <w:hideMark/>
          </w:tcPr>
          <w:p w14:paraId="122CBAD8"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918,06</w:t>
            </w:r>
          </w:p>
        </w:tc>
        <w:tc>
          <w:tcPr>
            <w:tcW w:w="880" w:type="dxa"/>
            <w:tcBorders>
              <w:top w:val="nil"/>
              <w:left w:val="nil"/>
              <w:bottom w:val="single" w:sz="4" w:space="0" w:color="auto"/>
              <w:right w:val="nil"/>
            </w:tcBorders>
            <w:shd w:val="clear" w:color="auto" w:fill="auto"/>
            <w:noWrap/>
            <w:vAlign w:val="center"/>
            <w:hideMark/>
          </w:tcPr>
          <w:p w14:paraId="59089C9A"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955,07</w:t>
            </w:r>
          </w:p>
        </w:tc>
        <w:tc>
          <w:tcPr>
            <w:tcW w:w="880" w:type="dxa"/>
            <w:tcBorders>
              <w:top w:val="nil"/>
              <w:left w:val="nil"/>
              <w:bottom w:val="single" w:sz="4" w:space="0" w:color="auto"/>
              <w:right w:val="nil"/>
            </w:tcBorders>
            <w:shd w:val="clear" w:color="auto" w:fill="auto"/>
            <w:noWrap/>
            <w:vAlign w:val="center"/>
            <w:hideMark/>
          </w:tcPr>
          <w:p w14:paraId="3A6C9943"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912,07</w:t>
            </w:r>
          </w:p>
        </w:tc>
        <w:tc>
          <w:tcPr>
            <w:tcW w:w="880" w:type="dxa"/>
            <w:tcBorders>
              <w:top w:val="nil"/>
              <w:left w:val="nil"/>
              <w:bottom w:val="single" w:sz="4" w:space="0" w:color="auto"/>
              <w:right w:val="nil"/>
            </w:tcBorders>
            <w:shd w:val="clear" w:color="auto" w:fill="auto"/>
            <w:noWrap/>
            <w:vAlign w:val="center"/>
            <w:hideMark/>
          </w:tcPr>
          <w:p w14:paraId="73406698"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933,66</w:t>
            </w:r>
          </w:p>
        </w:tc>
        <w:tc>
          <w:tcPr>
            <w:tcW w:w="880" w:type="dxa"/>
            <w:tcBorders>
              <w:top w:val="nil"/>
              <w:left w:val="nil"/>
              <w:bottom w:val="single" w:sz="4" w:space="0" w:color="auto"/>
              <w:right w:val="nil"/>
            </w:tcBorders>
            <w:shd w:val="clear" w:color="auto" w:fill="auto"/>
            <w:noWrap/>
            <w:vAlign w:val="center"/>
            <w:hideMark/>
          </w:tcPr>
          <w:p w14:paraId="08ACCB76"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979,41</w:t>
            </w:r>
          </w:p>
        </w:tc>
        <w:tc>
          <w:tcPr>
            <w:tcW w:w="880" w:type="dxa"/>
            <w:tcBorders>
              <w:top w:val="nil"/>
              <w:left w:val="nil"/>
              <w:bottom w:val="single" w:sz="4" w:space="0" w:color="auto"/>
              <w:right w:val="nil"/>
            </w:tcBorders>
            <w:shd w:val="clear" w:color="auto" w:fill="auto"/>
            <w:noWrap/>
            <w:vAlign w:val="center"/>
            <w:hideMark/>
          </w:tcPr>
          <w:p w14:paraId="68061341"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980,30</w:t>
            </w:r>
          </w:p>
        </w:tc>
        <w:tc>
          <w:tcPr>
            <w:tcW w:w="880" w:type="dxa"/>
            <w:tcBorders>
              <w:top w:val="nil"/>
              <w:left w:val="nil"/>
              <w:bottom w:val="single" w:sz="4" w:space="0" w:color="auto"/>
              <w:right w:val="nil"/>
            </w:tcBorders>
            <w:shd w:val="clear" w:color="auto" w:fill="auto"/>
            <w:noWrap/>
            <w:vAlign w:val="center"/>
            <w:hideMark/>
          </w:tcPr>
          <w:p w14:paraId="4C1D96F4"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971,77</w:t>
            </w:r>
          </w:p>
        </w:tc>
      </w:tr>
      <w:tr w:rsidR="00B45F0E" w:rsidRPr="00B45F0E" w14:paraId="3DA1C62C" w14:textId="77777777" w:rsidTr="00B63F1A">
        <w:trPr>
          <w:gridAfter w:val="1"/>
          <w:wAfter w:w="348" w:type="dxa"/>
          <w:trHeight w:val="795"/>
        </w:trPr>
        <w:tc>
          <w:tcPr>
            <w:tcW w:w="9060" w:type="dxa"/>
            <w:gridSpan w:val="9"/>
            <w:tcBorders>
              <w:top w:val="nil"/>
              <w:left w:val="nil"/>
              <w:bottom w:val="nil"/>
              <w:right w:val="nil"/>
            </w:tcBorders>
            <w:shd w:val="clear" w:color="auto" w:fill="auto"/>
            <w:hideMark/>
          </w:tcPr>
          <w:p w14:paraId="57D5BC33" w14:textId="77777777" w:rsidR="00B45F0E" w:rsidRPr="00B45F0E" w:rsidRDefault="00B45F0E" w:rsidP="005A4D64">
            <w:pPr>
              <w:spacing w:after="0" w:line="240" w:lineRule="auto"/>
              <w:jc w:val="both"/>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S 2021 a 2022 v osobných výdavkoch je uvedená vrátane zdrojov EÚ a mimorozpočtových prostriedkov, poistné na úrovni 35,2 % (odhad). OS 2023 počtu zamestnancov vychádza z podkladu MŠVVŠ SR.  OS 2023 a NRVS 2024 až 2026 nezohľadňuje zdroje EÚ a spolufinancovania zo ŠR.  NRVS je vrátane Plánu obnovy a odolnosti SR.</w:t>
            </w:r>
          </w:p>
        </w:tc>
      </w:tr>
      <w:tr w:rsidR="00B45F0E" w:rsidRPr="00B45F0E" w14:paraId="5EFEACCD" w14:textId="77777777" w:rsidTr="00B63F1A">
        <w:trPr>
          <w:trHeight w:val="299"/>
        </w:trPr>
        <w:tc>
          <w:tcPr>
            <w:tcW w:w="9408" w:type="dxa"/>
            <w:gridSpan w:val="10"/>
            <w:tcBorders>
              <w:top w:val="nil"/>
              <w:left w:val="nil"/>
              <w:bottom w:val="nil"/>
              <w:right w:val="nil"/>
            </w:tcBorders>
            <w:shd w:val="clear" w:color="auto" w:fill="auto"/>
            <w:vAlign w:val="center"/>
            <w:hideMark/>
          </w:tcPr>
          <w:p w14:paraId="023C5111" w14:textId="73B85E25" w:rsidR="00B45F0E" w:rsidRPr="00B45F0E" w:rsidRDefault="00B45F0E" w:rsidP="004C487C">
            <w:pPr>
              <w:spacing w:after="0" w:line="240" w:lineRule="auto"/>
              <w:jc w:val="right"/>
              <w:rPr>
                <w:rFonts w:ascii="Times New Roman" w:eastAsia="Times New Roman" w:hAnsi="Times New Roman" w:cs="Times New Roman"/>
                <w:i/>
                <w:iCs/>
                <w:color w:val="000000"/>
                <w:sz w:val="14"/>
                <w:szCs w:val="14"/>
                <w:lang w:eastAsia="sk-SK"/>
              </w:rPr>
            </w:pPr>
            <w:r w:rsidRPr="00B45F0E">
              <w:rPr>
                <w:rFonts w:ascii="Times New Roman" w:eastAsia="Times New Roman" w:hAnsi="Times New Roman" w:cs="Times New Roman"/>
                <w:i/>
                <w:iCs/>
                <w:color w:val="000000"/>
                <w:sz w:val="14"/>
                <w:szCs w:val="14"/>
                <w:lang w:eastAsia="sk-SK"/>
              </w:rPr>
              <w:t xml:space="preserve">                                                                                                                                                                                                                                  </w:t>
            </w:r>
          </w:p>
        </w:tc>
      </w:tr>
    </w:tbl>
    <w:p w14:paraId="4CCDA932" w14:textId="37CA3628" w:rsidR="00B45F0E" w:rsidRDefault="00B45F0E" w:rsidP="004C487C">
      <w:pPr>
        <w:spacing w:after="0"/>
        <w:rPr>
          <w:rFonts w:ascii="Times New Roman" w:hAnsi="Times New Roman" w:cs="Times New Roman"/>
          <w:b/>
          <w:color w:val="5B9BD5" w:themeColor="accent1"/>
          <w:sz w:val="24"/>
          <w:szCs w:val="24"/>
        </w:rPr>
      </w:pPr>
      <w:r w:rsidRPr="00B45F0E">
        <w:rPr>
          <w:rFonts w:ascii="Times New Roman" w:hAnsi="Times New Roman" w:cs="Times New Roman"/>
          <w:b/>
          <w:color w:val="5B9BD5" w:themeColor="accent1"/>
          <w:sz w:val="24"/>
          <w:szCs w:val="24"/>
        </w:rPr>
        <w:t>Osobné výdavky zamestnancov verejných vysokých škôl</w:t>
      </w:r>
    </w:p>
    <w:p w14:paraId="6D1FB153" w14:textId="77777777" w:rsidR="004C487C" w:rsidRPr="00B45F0E" w:rsidRDefault="004C487C" w:rsidP="004C487C">
      <w:pPr>
        <w:spacing w:after="0"/>
        <w:rPr>
          <w:rFonts w:ascii="Times New Roman" w:hAnsi="Times New Roman" w:cs="Times New Roman"/>
          <w:b/>
          <w:color w:val="5B9BD5" w:themeColor="accent1"/>
          <w:sz w:val="24"/>
          <w:szCs w:val="24"/>
        </w:rPr>
      </w:pPr>
    </w:p>
    <w:p w14:paraId="08E0BE95" w14:textId="77777777" w:rsidR="00B45F0E" w:rsidRPr="00B45F0E" w:rsidRDefault="00B45F0E" w:rsidP="004C487C">
      <w:pPr>
        <w:spacing w:after="0"/>
        <w:jc w:val="both"/>
        <w:rPr>
          <w:rFonts w:ascii="Times New Roman" w:hAnsi="Times New Roman" w:cs="Times New Roman"/>
          <w:sz w:val="24"/>
          <w:szCs w:val="24"/>
        </w:rPr>
      </w:pPr>
      <w:r w:rsidRPr="00B45F0E">
        <w:rPr>
          <w:rFonts w:ascii="Times New Roman" w:hAnsi="Times New Roman" w:cs="Times New Roman"/>
          <w:sz w:val="24"/>
          <w:szCs w:val="24"/>
        </w:rPr>
        <w:t>Osobné výdavky zamestnancov verejných vysokých škôl vychádzajú z transferu rozpísaného kapitolou Ministerstvo školstva, vedy, výskumu a športu SR na rok 2024 v sume 654 mil. eur, v tom mzdy 479 mil. eur s priemerným mzdovým výdavkom 2 278,14 eura pre 17 526 zamestnancov, v roku 2025 v sume 721 mil. eur, z toho mzdy 528 mil. eur s priemerným mzdovým výdavkom 2 509,53 eura a v roku 2026 v sume 792 mil. eur, z toho mzdy 573 mil. eur s priemerným mzdovým výdavkom 2 723,20 eura.</w:t>
      </w:r>
    </w:p>
    <w:p w14:paraId="30FBFE52" w14:textId="77777777" w:rsidR="00B45F0E" w:rsidRPr="00B45F0E" w:rsidRDefault="00B45F0E" w:rsidP="00B45F0E">
      <w:pPr>
        <w:pBdr>
          <w:top w:val="nil"/>
          <w:left w:val="nil"/>
          <w:bottom w:val="nil"/>
          <w:right w:val="nil"/>
          <w:between w:val="nil"/>
          <w:bar w:val="nil"/>
        </w:pBdr>
        <w:spacing w:after="0" w:line="240" w:lineRule="auto"/>
        <w:jc w:val="both"/>
        <w:rPr>
          <w:rFonts w:ascii="Times New Roman" w:eastAsia="Arial Narrow" w:hAnsi="Times New Roman" w:cs="Times New Roman"/>
          <w:b/>
          <w:bCs/>
          <w:noProof/>
          <w:color w:val="2C9ADC"/>
          <w:sz w:val="20"/>
          <w:szCs w:val="24"/>
          <w:bdr w:val="nil"/>
          <w:lang w:eastAsia="sk-SK"/>
        </w:rPr>
      </w:pPr>
    </w:p>
    <w:tbl>
      <w:tblPr>
        <w:tblW w:w="9108" w:type="dxa"/>
        <w:tblCellMar>
          <w:left w:w="70" w:type="dxa"/>
          <w:right w:w="70" w:type="dxa"/>
        </w:tblCellMar>
        <w:tblLook w:val="04A0" w:firstRow="1" w:lastRow="0" w:firstColumn="1" w:lastColumn="0" w:noHBand="0" w:noVBand="1"/>
      </w:tblPr>
      <w:tblGrid>
        <w:gridCol w:w="9108"/>
      </w:tblGrid>
      <w:tr w:rsidR="00B45F0E" w:rsidRPr="00B45F0E" w14:paraId="4B642BE8" w14:textId="77777777" w:rsidTr="00B63F1A">
        <w:trPr>
          <w:trHeight w:val="2779"/>
        </w:trPr>
        <w:tc>
          <w:tcPr>
            <w:tcW w:w="9108" w:type="dxa"/>
            <w:tcBorders>
              <w:top w:val="nil"/>
              <w:left w:val="nil"/>
              <w:bottom w:val="nil"/>
              <w:right w:val="nil"/>
            </w:tcBorders>
            <w:shd w:val="clear" w:color="auto" w:fill="auto"/>
            <w:noWrap/>
            <w:vAlign w:val="center"/>
            <w:hideMark/>
          </w:tcPr>
          <w:p w14:paraId="4E585F5D" w14:textId="3FE34AD7" w:rsidR="00B45F0E" w:rsidRPr="00B45F0E" w:rsidRDefault="00B45F0E" w:rsidP="00B45F0E">
            <w:pPr>
              <w:spacing w:after="0"/>
              <w:jc w:val="both"/>
              <w:rPr>
                <w:rFonts w:ascii="Times New Roman" w:hAnsi="Times New Roman" w:cs="Times New Roman"/>
                <w:b/>
                <w:color w:val="5B9BD5" w:themeColor="accent1"/>
                <w:sz w:val="20"/>
                <w:szCs w:val="20"/>
              </w:rPr>
            </w:pPr>
            <w:bookmarkStart w:id="171" w:name="_Toc153013050"/>
            <w:r>
              <w:rPr>
                <w:rFonts w:ascii="Times New Roman" w:hAnsi="Times New Roman" w:cs="Times New Roman"/>
                <w:b/>
                <w:color w:val="5B9BD5" w:themeColor="accent1"/>
                <w:sz w:val="20"/>
                <w:szCs w:val="20"/>
              </w:rPr>
              <w:t>Tabuľka</w:t>
            </w:r>
            <w:r w:rsidRPr="007F6374">
              <w:rPr>
                <w:rFonts w:ascii="Times New Roman" w:eastAsia="Calibri" w:hAnsi="Times New Roman" w:cs="Times New Roman"/>
                <w:b/>
                <w:color w:val="5B9BD5" w:themeColor="accent1"/>
                <w:sz w:val="20"/>
                <w:szCs w:val="20"/>
              </w:rPr>
              <w:t xml:space="preserve"> </w:t>
            </w:r>
            <w:r w:rsidRPr="007F6374">
              <w:rPr>
                <w:rFonts w:ascii="Times New Roman" w:eastAsia="Calibri" w:hAnsi="Times New Roman" w:cs="Times New Roman"/>
                <w:b/>
                <w:color w:val="5B9BD5" w:themeColor="accent1"/>
                <w:sz w:val="20"/>
                <w:szCs w:val="20"/>
              </w:rPr>
              <w:fldChar w:fldCharType="begin"/>
            </w:r>
            <w:r w:rsidRPr="007F6374">
              <w:rPr>
                <w:rFonts w:ascii="Times New Roman" w:eastAsia="Calibri" w:hAnsi="Times New Roman" w:cs="Times New Roman"/>
                <w:b/>
                <w:color w:val="5B9BD5" w:themeColor="accent1"/>
                <w:sz w:val="20"/>
                <w:szCs w:val="20"/>
              </w:rPr>
              <w:instrText xml:space="preserve"> SEQ Tabuľka \* ARABIC </w:instrText>
            </w:r>
            <w:r w:rsidRPr="007F6374">
              <w:rPr>
                <w:rFonts w:ascii="Times New Roman" w:eastAsia="Calibri" w:hAnsi="Times New Roman" w:cs="Times New Roman"/>
                <w:b/>
                <w:color w:val="5B9BD5" w:themeColor="accent1"/>
                <w:sz w:val="20"/>
                <w:szCs w:val="20"/>
              </w:rPr>
              <w:fldChar w:fldCharType="separate"/>
            </w:r>
            <w:r w:rsidR="003D5A3A">
              <w:rPr>
                <w:rFonts w:ascii="Times New Roman" w:eastAsia="Calibri" w:hAnsi="Times New Roman" w:cs="Times New Roman"/>
                <w:b/>
                <w:noProof/>
                <w:color w:val="5B9BD5" w:themeColor="accent1"/>
                <w:sz w:val="20"/>
                <w:szCs w:val="20"/>
              </w:rPr>
              <w:t>52</w:t>
            </w:r>
            <w:r w:rsidRPr="007F6374">
              <w:rPr>
                <w:rFonts w:ascii="Times New Roman" w:eastAsia="Calibri" w:hAnsi="Times New Roman" w:cs="Times New Roman"/>
                <w:b/>
                <w:color w:val="5B9BD5" w:themeColor="accent1"/>
                <w:sz w:val="20"/>
                <w:szCs w:val="20"/>
              </w:rPr>
              <w:fldChar w:fldCharType="end"/>
            </w:r>
            <w:r w:rsidRPr="00B45F0E">
              <w:rPr>
                <w:rFonts w:ascii="Times New Roman" w:hAnsi="Times New Roman" w:cs="Times New Roman"/>
                <w:b/>
                <w:color w:val="5B9BD5" w:themeColor="accent1"/>
                <w:sz w:val="20"/>
                <w:szCs w:val="20"/>
              </w:rPr>
              <w:t xml:space="preserve"> - Zamestnanosť vo verejných vysokých školách</w:t>
            </w:r>
            <w:bookmarkEnd w:id="171"/>
          </w:p>
          <w:tbl>
            <w:tblPr>
              <w:tblW w:w="8967" w:type="dxa"/>
              <w:tblCellMar>
                <w:left w:w="70" w:type="dxa"/>
                <w:right w:w="70" w:type="dxa"/>
              </w:tblCellMar>
              <w:tblLook w:val="04A0" w:firstRow="1" w:lastRow="0" w:firstColumn="1" w:lastColumn="0" w:noHBand="0" w:noVBand="1"/>
            </w:tblPr>
            <w:tblGrid>
              <w:gridCol w:w="2205"/>
              <w:gridCol w:w="795"/>
              <w:gridCol w:w="852"/>
              <w:gridCol w:w="852"/>
              <w:gridCol w:w="852"/>
              <w:gridCol w:w="852"/>
              <w:gridCol w:w="852"/>
              <w:gridCol w:w="852"/>
              <w:gridCol w:w="855"/>
            </w:tblGrid>
            <w:tr w:rsidR="00B45F0E" w:rsidRPr="00B45F0E" w14:paraId="2D9118DE" w14:textId="77777777" w:rsidTr="00B63F1A">
              <w:trPr>
                <w:trHeight w:val="288"/>
              </w:trPr>
              <w:tc>
                <w:tcPr>
                  <w:tcW w:w="2205" w:type="dxa"/>
                  <w:tcBorders>
                    <w:top w:val="single" w:sz="4" w:space="0" w:color="auto"/>
                    <w:left w:val="nil"/>
                    <w:bottom w:val="single" w:sz="4" w:space="0" w:color="auto"/>
                    <w:right w:val="nil"/>
                  </w:tcBorders>
                  <w:shd w:val="clear" w:color="auto" w:fill="auto"/>
                  <w:noWrap/>
                  <w:vAlign w:val="center"/>
                  <w:hideMark/>
                </w:tcPr>
                <w:p w14:paraId="2F4F48E1"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Verejné vysoké školy</w:t>
                  </w:r>
                </w:p>
              </w:tc>
              <w:tc>
                <w:tcPr>
                  <w:tcW w:w="795" w:type="dxa"/>
                  <w:tcBorders>
                    <w:top w:val="single" w:sz="4" w:space="0" w:color="auto"/>
                    <w:left w:val="nil"/>
                    <w:bottom w:val="single" w:sz="4" w:space="0" w:color="auto"/>
                    <w:right w:val="nil"/>
                  </w:tcBorders>
                  <w:shd w:val="clear" w:color="auto" w:fill="auto"/>
                  <w:noWrap/>
                  <w:vAlign w:val="center"/>
                  <w:hideMark/>
                </w:tcPr>
                <w:p w14:paraId="0FABAE44"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 </w:t>
                  </w:r>
                </w:p>
              </w:tc>
              <w:tc>
                <w:tcPr>
                  <w:tcW w:w="852" w:type="dxa"/>
                  <w:tcBorders>
                    <w:top w:val="single" w:sz="4" w:space="0" w:color="auto"/>
                    <w:left w:val="nil"/>
                    <w:bottom w:val="single" w:sz="4" w:space="0" w:color="auto"/>
                    <w:right w:val="nil"/>
                  </w:tcBorders>
                  <w:shd w:val="clear" w:color="auto" w:fill="auto"/>
                  <w:noWrap/>
                  <w:vAlign w:val="center"/>
                  <w:hideMark/>
                </w:tcPr>
                <w:p w14:paraId="484927F7"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2021  S</w:t>
                  </w:r>
                </w:p>
              </w:tc>
              <w:tc>
                <w:tcPr>
                  <w:tcW w:w="852" w:type="dxa"/>
                  <w:tcBorders>
                    <w:top w:val="single" w:sz="4" w:space="0" w:color="auto"/>
                    <w:left w:val="nil"/>
                    <w:bottom w:val="single" w:sz="4" w:space="0" w:color="auto"/>
                    <w:right w:val="nil"/>
                  </w:tcBorders>
                  <w:shd w:val="clear" w:color="auto" w:fill="auto"/>
                  <w:noWrap/>
                  <w:vAlign w:val="center"/>
                  <w:hideMark/>
                </w:tcPr>
                <w:p w14:paraId="398F1096"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2022  S</w:t>
                  </w:r>
                </w:p>
              </w:tc>
              <w:tc>
                <w:tcPr>
                  <w:tcW w:w="852" w:type="dxa"/>
                  <w:tcBorders>
                    <w:top w:val="single" w:sz="4" w:space="0" w:color="auto"/>
                    <w:left w:val="nil"/>
                    <w:bottom w:val="single" w:sz="4" w:space="0" w:color="auto"/>
                    <w:right w:val="nil"/>
                  </w:tcBorders>
                  <w:shd w:val="clear" w:color="auto" w:fill="auto"/>
                  <w:noWrap/>
                  <w:vAlign w:val="center"/>
                  <w:hideMark/>
                </w:tcPr>
                <w:p w14:paraId="407C2CE0"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2023  R</w:t>
                  </w:r>
                </w:p>
              </w:tc>
              <w:tc>
                <w:tcPr>
                  <w:tcW w:w="852" w:type="dxa"/>
                  <w:tcBorders>
                    <w:top w:val="single" w:sz="4" w:space="0" w:color="auto"/>
                    <w:left w:val="nil"/>
                    <w:bottom w:val="single" w:sz="4" w:space="0" w:color="auto"/>
                    <w:right w:val="nil"/>
                  </w:tcBorders>
                  <w:shd w:val="clear" w:color="auto" w:fill="auto"/>
                  <w:noWrap/>
                  <w:vAlign w:val="center"/>
                  <w:hideMark/>
                </w:tcPr>
                <w:p w14:paraId="76D253CE"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2023  OS</w:t>
                  </w:r>
                </w:p>
              </w:tc>
              <w:tc>
                <w:tcPr>
                  <w:tcW w:w="852" w:type="dxa"/>
                  <w:tcBorders>
                    <w:top w:val="single" w:sz="4" w:space="0" w:color="auto"/>
                    <w:left w:val="nil"/>
                    <w:bottom w:val="single" w:sz="4" w:space="0" w:color="auto"/>
                    <w:right w:val="nil"/>
                  </w:tcBorders>
                  <w:shd w:val="clear" w:color="auto" w:fill="auto"/>
                  <w:noWrap/>
                  <w:vAlign w:val="center"/>
                  <w:hideMark/>
                </w:tcPr>
                <w:p w14:paraId="7DE5FC25"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2024  N</w:t>
                  </w:r>
                </w:p>
              </w:tc>
              <w:tc>
                <w:tcPr>
                  <w:tcW w:w="852" w:type="dxa"/>
                  <w:tcBorders>
                    <w:top w:val="single" w:sz="4" w:space="0" w:color="auto"/>
                    <w:left w:val="nil"/>
                    <w:bottom w:val="single" w:sz="4" w:space="0" w:color="auto"/>
                    <w:right w:val="nil"/>
                  </w:tcBorders>
                  <w:shd w:val="clear" w:color="auto" w:fill="auto"/>
                  <w:noWrap/>
                  <w:vAlign w:val="center"/>
                  <w:hideMark/>
                </w:tcPr>
                <w:p w14:paraId="7B071073"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2025  N</w:t>
                  </w:r>
                </w:p>
              </w:tc>
              <w:tc>
                <w:tcPr>
                  <w:tcW w:w="852" w:type="dxa"/>
                  <w:tcBorders>
                    <w:top w:val="single" w:sz="4" w:space="0" w:color="auto"/>
                    <w:left w:val="nil"/>
                    <w:bottom w:val="single" w:sz="4" w:space="0" w:color="auto"/>
                    <w:right w:val="nil"/>
                  </w:tcBorders>
                  <w:shd w:val="clear" w:color="auto" w:fill="auto"/>
                  <w:noWrap/>
                  <w:vAlign w:val="center"/>
                  <w:hideMark/>
                </w:tcPr>
                <w:p w14:paraId="590EF31A"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2026  N</w:t>
                  </w:r>
                </w:p>
              </w:tc>
            </w:tr>
            <w:tr w:rsidR="00B45F0E" w:rsidRPr="00B45F0E" w14:paraId="1D78B382" w14:textId="77777777" w:rsidTr="00B63F1A">
              <w:trPr>
                <w:trHeight w:val="288"/>
              </w:trPr>
              <w:tc>
                <w:tcPr>
                  <w:tcW w:w="2205" w:type="dxa"/>
                  <w:tcBorders>
                    <w:top w:val="nil"/>
                    <w:left w:val="nil"/>
                    <w:bottom w:val="nil"/>
                    <w:right w:val="nil"/>
                  </w:tcBorders>
                  <w:shd w:val="clear" w:color="auto" w:fill="auto"/>
                  <w:noWrap/>
                  <w:vAlign w:val="center"/>
                  <w:hideMark/>
                </w:tcPr>
                <w:p w14:paraId="3273D01F" w14:textId="77777777" w:rsidR="00B45F0E" w:rsidRPr="00B45F0E" w:rsidRDefault="00B45F0E" w:rsidP="00B45F0E">
                  <w:pPr>
                    <w:spacing w:after="0" w:line="240" w:lineRule="auto"/>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Počet zamestnancov</w:t>
                  </w:r>
                </w:p>
              </w:tc>
              <w:tc>
                <w:tcPr>
                  <w:tcW w:w="795" w:type="dxa"/>
                  <w:tcBorders>
                    <w:top w:val="nil"/>
                    <w:left w:val="nil"/>
                    <w:bottom w:val="nil"/>
                    <w:right w:val="nil"/>
                  </w:tcBorders>
                  <w:shd w:val="clear" w:color="auto" w:fill="auto"/>
                  <w:noWrap/>
                  <w:vAlign w:val="center"/>
                  <w:hideMark/>
                </w:tcPr>
                <w:p w14:paraId="2003F614"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(osoby)</w:t>
                  </w:r>
                </w:p>
              </w:tc>
              <w:tc>
                <w:tcPr>
                  <w:tcW w:w="852" w:type="dxa"/>
                  <w:tcBorders>
                    <w:top w:val="nil"/>
                    <w:left w:val="nil"/>
                    <w:bottom w:val="nil"/>
                    <w:right w:val="nil"/>
                  </w:tcBorders>
                  <w:shd w:val="clear" w:color="auto" w:fill="auto"/>
                  <w:noWrap/>
                  <w:vAlign w:val="center"/>
                  <w:hideMark/>
                </w:tcPr>
                <w:p w14:paraId="53041550"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19 675</w:t>
                  </w:r>
                </w:p>
              </w:tc>
              <w:tc>
                <w:tcPr>
                  <w:tcW w:w="852" w:type="dxa"/>
                  <w:tcBorders>
                    <w:top w:val="nil"/>
                    <w:left w:val="nil"/>
                    <w:bottom w:val="nil"/>
                    <w:right w:val="nil"/>
                  </w:tcBorders>
                  <w:shd w:val="clear" w:color="auto" w:fill="auto"/>
                  <w:noWrap/>
                  <w:vAlign w:val="center"/>
                  <w:hideMark/>
                </w:tcPr>
                <w:p w14:paraId="5EB272CE"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19 509</w:t>
                  </w:r>
                </w:p>
              </w:tc>
              <w:tc>
                <w:tcPr>
                  <w:tcW w:w="852" w:type="dxa"/>
                  <w:tcBorders>
                    <w:top w:val="nil"/>
                    <w:left w:val="nil"/>
                    <w:bottom w:val="nil"/>
                    <w:right w:val="nil"/>
                  </w:tcBorders>
                  <w:shd w:val="clear" w:color="auto" w:fill="auto"/>
                  <w:noWrap/>
                  <w:vAlign w:val="center"/>
                  <w:hideMark/>
                </w:tcPr>
                <w:p w14:paraId="7EEB3361"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17 526</w:t>
                  </w:r>
                </w:p>
              </w:tc>
              <w:tc>
                <w:tcPr>
                  <w:tcW w:w="852" w:type="dxa"/>
                  <w:tcBorders>
                    <w:top w:val="nil"/>
                    <w:left w:val="nil"/>
                    <w:bottom w:val="nil"/>
                    <w:right w:val="nil"/>
                  </w:tcBorders>
                  <w:shd w:val="clear" w:color="auto" w:fill="auto"/>
                  <w:noWrap/>
                  <w:vAlign w:val="center"/>
                  <w:hideMark/>
                </w:tcPr>
                <w:p w14:paraId="201F1BAF"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19 475</w:t>
                  </w:r>
                </w:p>
              </w:tc>
              <w:tc>
                <w:tcPr>
                  <w:tcW w:w="852" w:type="dxa"/>
                  <w:tcBorders>
                    <w:top w:val="nil"/>
                    <w:left w:val="nil"/>
                    <w:bottom w:val="nil"/>
                    <w:right w:val="nil"/>
                  </w:tcBorders>
                  <w:shd w:val="clear" w:color="auto" w:fill="auto"/>
                  <w:noWrap/>
                  <w:vAlign w:val="center"/>
                  <w:hideMark/>
                </w:tcPr>
                <w:p w14:paraId="6475BD66"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17 526</w:t>
                  </w:r>
                </w:p>
              </w:tc>
              <w:tc>
                <w:tcPr>
                  <w:tcW w:w="852" w:type="dxa"/>
                  <w:tcBorders>
                    <w:top w:val="nil"/>
                    <w:left w:val="nil"/>
                    <w:bottom w:val="nil"/>
                    <w:right w:val="nil"/>
                  </w:tcBorders>
                  <w:shd w:val="clear" w:color="auto" w:fill="auto"/>
                  <w:noWrap/>
                  <w:vAlign w:val="center"/>
                  <w:hideMark/>
                </w:tcPr>
                <w:p w14:paraId="13EFCE12"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17 526</w:t>
                  </w:r>
                </w:p>
              </w:tc>
              <w:tc>
                <w:tcPr>
                  <w:tcW w:w="852" w:type="dxa"/>
                  <w:tcBorders>
                    <w:top w:val="nil"/>
                    <w:left w:val="nil"/>
                    <w:bottom w:val="nil"/>
                    <w:right w:val="nil"/>
                  </w:tcBorders>
                  <w:shd w:val="clear" w:color="auto" w:fill="auto"/>
                  <w:noWrap/>
                  <w:vAlign w:val="center"/>
                  <w:hideMark/>
                </w:tcPr>
                <w:p w14:paraId="71C13E1C"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17 526</w:t>
                  </w:r>
                </w:p>
              </w:tc>
            </w:tr>
            <w:tr w:rsidR="00B45F0E" w:rsidRPr="00B45F0E" w14:paraId="76D809D6" w14:textId="77777777" w:rsidTr="00B63F1A">
              <w:trPr>
                <w:trHeight w:val="288"/>
              </w:trPr>
              <w:tc>
                <w:tcPr>
                  <w:tcW w:w="2205" w:type="dxa"/>
                  <w:tcBorders>
                    <w:top w:val="nil"/>
                    <w:left w:val="nil"/>
                    <w:bottom w:val="nil"/>
                    <w:right w:val="nil"/>
                  </w:tcBorders>
                  <w:shd w:val="clear" w:color="auto" w:fill="auto"/>
                  <w:noWrap/>
                  <w:vAlign w:val="center"/>
                  <w:hideMark/>
                </w:tcPr>
                <w:p w14:paraId="3A8B351B"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Osobné výdavky</w:t>
                  </w:r>
                </w:p>
              </w:tc>
              <w:tc>
                <w:tcPr>
                  <w:tcW w:w="795" w:type="dxa"/>
                  <w:tcBorders>
                    <w:top w:val="nil"/>
                    <w:left w:val="nil"/>
                    <w:bottom w:val="nil"/>
                    <w:right w:val="nil"/>
                  </w:tcBorders>
                  <w:shd w:val="clear" w:color="auto" w:fill="auto"/>
                  <w:noWrap/>
                  <w:vAlign w:val="center"/>
                  <w:hideMark/>
                </w:tcPr>
                <w:p w14:paraId="09810D1A"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w:t>
                  </w:r>
                  <w:r w:rsidRPr="00B45F0E">
                    <w:rPr>
                      <w:rFonts w:ascii="Times New Roman" w:eastAsia="Times New Roman" w:hAnsi="Times New Roman" w:cs="Times New Roman"/>
                      <w:b/>
                      <w:bCs/>
                      <w:color w:val="000000"/>
                      <w:sz w:val="16"/>
                      <w:szCs w:val="16"/>
                      <w:lang w:eastAsia="sk-SK"/>
                    </w:rPr>
                    <w:t>tis. eur</w:t>
                  </w:r>
                  <w:r w:rsidRPr="00B45F0E">
                    <w:rPr>
                      <w:rFonts w:ascii="Times New Roman" w:eastAsia="Times New Roman" w:hAnsi="Times New Roman" w:cs="Times New Roman"/>
                      <w:color w:val="000000"/>
                      <w:sz w:val="16"/>
                      <w:szCs w:val="16"/>
                      <w:lang w:eastAsia="sk-SK"/>
                    </w:rPr>
                    <w:t>)</w:t>
                  </w:r>
                </w:p>
              </w:tc>
              <w:tc>
                <w:tcPr>
                  <w:tcW w:w="852" w:type="dxa"/>
                  <w:tcBorders>
                    <w:top w:val="nil"/>
                    <w:left w:val="nil"/>
                    <w:bottom w:val="nil"/>
                    <w:right w:val="nil"/>
                  </w:tcBorders>
                  <w:shd w:val="clear" w:color="auto" w:fill="auto"/>
                  <w:noWrap/>
                  <w:vAlign w:val="center"/>
                  <w:hideMark/>
                </w:tcPr>
                <w:p w14:paraId="36E04C14"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514 460</w:t>
                  </w:r>
                </w:p>
              </w:tc>
              <w:tc>
                <w:tcPr>
                  <w:tcW w:w="852" w:type="dxa"/>
                  <w:tcBorders>
                    <w:top w:val="nil"/>
                    <w:left w:val="nil"/>
                    <w:bottom w:val="nil"/>
                    <w:right w:val="nil"/>
                  </w:tcBorders>
                  <w:shd w:val="clear" w:color="auto" w:fill="auto"/>
                  <w:noWrap/>
                  <w:vAlign w:val="center"/>
                  <w:hideMark/>
                </w:tcPr>
                <w:p w14:paraId="55D3667E"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547 744</w:t>
                  </w:r>
                </w:p>
              </w:tc>
              <w:tc>
                <w:tcPr>
                  <w:tcW w:w="852" w:type="dxa"/>
                  <w:tcBorders>
                    <w:top w:val="nil"/>
                    <w:left w:val="nil"/>
                    <w:bottom w:val="nil"/>
                    <w:right w:val="nil"/>
                  </w:tcBorders>
                  <w:shd w:val="clear" w:color="auto" w:fill="auto"/>
                  <w:noWrap/>
                  <w:vAlign w:val="center"/>
                  <w:hideMark/>
                </w:tcPr>
                <w:p w14:paraId="2A0FD7B3"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574 899</w:t>
                  </w:r>
                </w:p>
              </w:tc>
              <w:tc>
                <w:tcPr>
                  <w:tcW w:w="852" w:type="dxa"/>
                  <w:tcBorders>
                    <w:top w:val="nil"/>
                    <w:left w:val="nil"/>
                    <w:bottom w:val="nil"/>
                    <w:right w:val="nil"/>
                  </w:tcBorders>
                  <w:shd w:val="clear" w:color="auto" w:fill="auto"/>
                  <w:noWrap/>
                  <w:vAlign w:val="center"/>
                  <w:hideMark/>
                </w:tcPr>
                <w:p w14:paraId="3CD2C565"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598 372</w:t>
                  </w:r>
                </w:p>
              </w:tc>
              <w:tc>
                <w:tcPr>
                  <w:tcW w:w="852" w:type="dxa"/>
                  <w:tcBorders>
                    <w:top w:val="nil"/>
                    <w:left w:val="nil"/>
                    <w:bottom w:val="nil"/>
                    <w:right w:val="nil"/>
                  </w:tcBorders>
                  <w:shd w:val="clear" w:color="auto" w:fill="auto"/>
                  <w:noWrap/>
                  <w:vAlign w:val="center"/>
                  <w:hideMark/>
                </w:tcPr>
                <w:p w14:paraId="7CEB8596"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653 749</w:t>
                  </w:r>
                </w:p>
              </w:tc>
              <w:tc>
                <w:tcPr>
                  <w:tcW w:w="852" w:type="dxa"/>
                  <w:tcBorders>
                    <w:top w:val="nil"/>
                    <w:left w:val="nil"/>
                    <w:bottom w:val="nil"/>
                    <w:right w:val="nil"/>
                  </w:tcBorders>
                  <w:shd w:val="clear" w:color="auto" w:fill="auto"/>
                  <w:noWrap/>
                  <w:vAlign w:val="center"/>
                  <w:hideMark/>
                </w:tcPr>
                <w:p w14:paraId="7270B9C9"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720 588</w:t>
                  </w:r>
                </w:p>
              </w:tc>
              <w:tc>
                <w:tcPr>
                  <w:tcW w:w="852" w:type="dxa"/>
                  <w:tcBorders>
                    <w:top w:val="nil"/>
                    <w:left w:val="nil"/>
                    <w:bottom w:val="nil"/>
                    <w:right w:val="nil"/>
                  </w:tcBorders>
                  <w:shd w:val="clear" w:color="auto" w:fill="auto"/>
                  <w:noWrap/>
                  <w:vAlign w:val="center"/>
                  <w:hideMark/>
                </w:tcPr>
                <w:p w14:paraId="69943C3E"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792 467</w:t>
                  </w:r>
                </w:p>
              </w:tc>
            </w:tr>
            <w:tr w:rsidR="00B45F0E" w:rsidRPr="00B45F0E" w14:paraId="078129AB" w14:textId="77777777" w:rsidTr="00B63F1A">
              <w:trPr>
                <w:trHeight w:val="288"/>
              </w:trPr>
              <w:tc>
                <w:tcPr>
                  <w:tcW w:w="2205" w:type="dxa"/>
                  <w:tcBorders>
                    <w:top w:val="nil"/>
                    <w:left w:val="nil"/>
                    <w:bottom w:val="nil"/>
                    <w:right w:val="nil"/>
                  </w:tcBorders>
                  <w:shd w:val="clear" w:color="auto" w:fill="auto"/>
                  <w:noWrap/>
                  <w:vAlign w:val="center"/>
                  <w:hideMark/>
                </w:tcPr>
                <w:p w14:paraId="58FE457C" w14:textId="77777777" w:rsidR="00B45F0E" w:rsidRPr="00B45F0E" w:rsidRDefault="00B45F0E" w:rsidP="00B45F0E">
                  <w:pPr>
                    <w:spacing w:after="0" w:line="240" w:lineRule="auto"/>
                    <w:ind w:firstLineChars="200" w:firstLine="320"/>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z toho: mzdové výdavky</w:t>
                  </w:r>
                </w:p>
              </w:tc>
              <w:tc>
                <w:tcPr>
                  <w:tcW w:w="795" w:type="dxa"/>
                  <w:tcBorders>
                    <w:top w:val="nil"/>
                    <w:left w:val="nil"/>
                    <w:bottom w:val="nil"/>
                    <w:right w:val="nil"/>
                  </w:tcBorders>
                  <w:shd w:val="clear" w:color="auto" w:fill="auto"/>
                  <w:noWrap/>
                  <w:vAlign w:val="center"/>
                  <w:hideMark/>
                </w:tcPr>
                <w:p w14:paraId="2DBC91DF"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(tis. eur)</w:t>
                  </w:r>
                </w:p>
              </w:tc>
              <w:tc>
                <w:tcPr>
                  <w:tcW w:w="852" w:type="dxa"/>
                  <w:tcBorders>
                    <w:top w:val="nil"/>
                    <w:left w:val="nil"/>
                    <w:bottom w:val="nil"/>
                    <w:right w:val="nil"/>
                  </w:tcBorders>
                  <w:shd w:val="clear" w:color="auto" w:fill="auto"/>
                  <w:noWrap/>
                  <w:vAlign w:val="center"/>
                  <w:hideMark/>
                </w:tcPr>
                <w:p w14:paraId="3634DA19"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378 467</w:t>
                  </w:r>
                </w:p>
              </w:tc>
              <w:tc>
                <w:tcPr>
                  <w:tcW w:w="852" w:type="dxa"/>
                  <w:tcBorders>
                    <w:top w:val="nil"/>
                    <w:left w:val="nil"/>
                    <w:bottom w:val="nil"/>
                    <w:right w:val="nil"/>
                  </w:tcBorders>
                  <w:shd w:val="clear" w:color="auto" w:fill="auto"/>
                  <w:noWrap/>
                  <w:vAlign w:val="center"/>
                  <w:hideMark/>
                </w:tcPr>
                <w:p w14:paraId="249FD2DE"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402 545</w:t>
                  </w:r>
                </w:p>
              </w:tc>
              <w:tc>
                <w:tcPr>
                  <w:tcW w:w="852" w:type="dxa"/>
                  <w:tcBorders>
                    <w:top w:val="nil"/>
                    <w:left w:val="nil"/>
                    <w:bottom w:val="nil"/>
                    <w:right w:val="nil"/>
                  </w:tcBorders>
                  <w:shd w:val="clear" w:color="auto" w:fill="auto"/>
                  <w:noWrap/>
                  <w:vAlign w:val="center"/>
                  <w:hideMark/>
                </w:tcPr>
                <w:p w14:paraId="226943B3"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423 549</w:t>
                  </w:r>
                </w:p>
              </w:tc>
              <w:tc>
                <w:tcPr>
                  <w:tcW w:w="852" w:type="dxa"/>
                  <w:tcBorders>
                    <w:top w:val="nil"/>
                    <w:left w:val="nil"/>
                    <w:bottom w:val="nil"/>
                    <w:right w:val="nil"/>
                  </w:tcBorders>
                  <w:shd w:val="clear" w:color="auto" w:fill="auto"/>
                  <w:noWrap/>
                  <w:vAlign w:val="center"/>
                  <w:hideMark/>
                </w:tcPr>
                <w:p w14:paraId="3B56F495"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440 227</w:t>
                  </w:r>
                </w:p>
              </w:tc>
              <w:tc>
                <w:tcPr>
                  <w:tcW w:w="852" w:type="dxa"/>
                  <w:tcBorders>
                    <w:top w:val="nil"/>
                    <w:left w:val="nil"/>
                    <w:bottom w:val="nil"/>
                    <w:right w:val="nil"/>
                  </w:tcBorders>
                  <w:shd w:val="clear" w:color="auto" w:fill="auto"/>
                  <w:noWrap/>
                  <w:vAlign w:val="center"/>
                  <w:hideMark/>
                </w:tcPr>
                <w:p w14:paraId="11F1C7B5"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479 120</w:t>
                  </w:r>
                </w:p>
              </w:tc>
              <w:tc>
                <w:tcPr>
                  <w:tcW w:w="852" w:type="dxa"/>
                  <w:tcBorders>
                    <w:top w:val="nil"/>
                    <w:left w:val="nil"/>
                    <w:bottom w:val="nil"/>
                    <w:right w:val="nil"/>
                  </w:tcBorders>
                  <w:shd w:val="clear" w:color="auto" w:fill="auto"/>
                  <w:noWrap/>
                  <w:vAlign w:val="center"/>
                  <w:hideMark/>
                </w:tcPr>
                <w:p w14:paraId="03871A7D"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527 784</w:t>
                  </w:r>
                </w:p>
              </w:tc>
              <w:tc>
                <w:tcPr>
                  <w:tcW w:w="852" w:type="dxa"/>
                  <w:tcBorders>
                    <w:top w:val="nil"/>
                    <w:left w:val="nil"/>
                    <w:bottom w:val="nil"/>
                    <w:right w:val="nil"/>
                  </w:tcBorders>
                  <w:shd w:val="clear" w:color="auto" w:fill="auto"/>
                  <w:noWrap/>
                  <w:vAlign w:val="center"/>
                  <w:hideMark/>
                </w:tcPr>
                <w:p w14:paraId="710FD592"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572 722</w:t>
                  </w:r>
                </w:p>
              </w:tc>
            </w:tr>
            <w:tr w:rsidR="00B45F0E" w:rsidRPr="00B45F0E" w14:paraId="7AE8A0B9" w14:textId="77777777" w:rsidTr="00B63F1A">
              <w:trPr>
                <w:trHeight w:val="288"/>
              </w:trPr>
              <w:tc>
                <w:tcPr>
                  <w:tcW w:w="2205" w:type="dxa"/>
                  <w:tcBorders>
                    <w:top w:val="nil"/>
                    <w:left w:val="nil"/>
                    <w:bottom w:val="single" w:sz="4" w:space="0" w:color="auto"/>
                    <w:right w:val="nil"/>
                  </w:tcBorders>
                  <w:shd w:val="clear" w:color="auto" w:fill="auto"/>
                  <w:noWrap/>
                  <w:vAlign w:val="center"/>
                  <w:hideMark/>
                </w:tcPr>
                <w:p w14:paraId="012840B1" w14:textId="77777777" w:rsidR="00B45F0E" w:rsidRPr="00B45F0E" w:rsidRDefault="00B45F0E" w:rsidP="00B45F0E">
                  <w:pPr>
                    <w:spacing w:after="0" w:line="240" w:lineRule="auto"/>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Priemerný mzdový výdavok</w:t>
                  </w:r>
                </w:p>
              </w:tc>
              <w:tc>
                <w:tcPr>
                  <w:tcW w:w="795" w:type="dxa"/>
                  <w:tcBorders>
                    <w:top w:val="nil"/>
                    <w:left w:val="nil"/>
                    <w:bottom w:val="single" w:sz="4" w:space="0" w:color="auto"/>
                    <w:right w:val="nil"/>
                  </w:tcBorders>
                  <w:shd w:val="clear" w:color="auto" w:fill="auto"/>
                  <w:noWrap/>
                  <w:vAlign w:val="center"/>
                  <w:hideMark/>
                </w:tcPr>
                <w:p w14:paraId="0046894A" w14:textId="77777777" w:rsidR="00B45F0E" w:rsidRPr="00B45F0E" w:rsidRDefault="00B45F0E" w:rsidP="00B45F0E">
                  <w:pPr>
                    <w:spacing w:after="0" w:line="240" w:lineRule="auto"/>
                    <w:jc w:val="right"/>
                    <w:rPr>
                      <w:rFonts w:ascii="Times New Roman" w:eastAsia="Times New Roman" w:hAnsi="Times New Roman" w:cs="Times New Roman"/>
                      <w:color w:val="000000"/>
                      <w:sz w:val="16"/>
                      <w:szCs w:val="16"/>
                      <w:lang w:eastAsia="sk-SK"/>
                    </w:rPr>
                  </w:pPr>
                  <w:r w:rsidRPr="00B45F0E">
                    <w:rPr>
                      <w:rFonts w:ascii="Times New Roman" w:eastAsia="Times New Roman" w:hAnsi="Times New Roman" w:cs="Times New Roman"/>
                      <w:color w:val="000000"/>
                      <w:sz w:val="16"/>
                      <w:szCs w:val="16"/>
                      <w:lang w:eastAsia="sk-SK"/>
                    </w:rPr>
                    <w:t>(</w:t>
                  </w:r>
                  <w:r w:rsidRPr="00B45F0E">
                    <w:rPr>
                      <w:rFonts w:ascii="Times New Roman" w:eastAsia="Times New Roman" w:hAnsi="Times New Roman" w:cs="Times New Roman"/>
                      <w:b/>
                      <w:bCs/>
                      <w:color w:val="000000"/>
                      <w:sz w:val="16"/>
                      <w:szCs w:val="16"/>
                      <w:lang w:eastAsia="sk-SK"/>
                    </w:rPr>
                    <w:t>tis. eur</w:t>
                  </w:r>
                  <w:r w:rsidRPr="00B45F0E">
                    <w:rPr>
                      <w:rFonts w:ascii="Times New Roman" w:eastAsia="Times New Roman" w:hAnsi="Times New Roman" w:cs="Times New Roman"/>
                      <w:color w:val="000000"/>
                      <w:sz w:val="16"/>
                      <w:szCs w:val="16"/>
                      <w:lang w:eastAsia="sk-SK"/>
                    </w:rPr>
                    <w:t>)</w:t>
                  </w:r>
                </w:p>
              </w:tc>
              <w:tc>
                <w:tcPr>
                  <w:tcW w:w="852" w:type="dxa"/>
                  <w:tcBorders>
                    <w:top w:val="nil"/>
                    <w:left w:val="nil"/>
                    <w:bottom w:val="single" w:sz="4" w:space="0" w:color="auto"/>
                    <w:right w:val="nil"/>
                  </w:tcBorders>
                  <w:shd w:val="clear" w:color="auto" w:fill="auto"/>
                  <w:noWrap/>
                  <w:vAlign w:val="center"/>
                  <w:hideMark/>
                </w:tcPr>
                <w:p w14:paraId="2D0D9E32"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1 602,99</w:t>
                  </w:r>
                </w:p>
              </w:tc>
              <w:tc>
                <w:tcPr>
                  <w:tcW w:w="852" w:type="dxa"/>
                  <w:tcBorders>
                    <w:top w:val="nil"/>
                    <w:left w:val="nil"/>
                    <w:bottom w:val="single" w:sz="4" w:space="0" w:color="auto"/>
                    <w:right w:val="nil"/>
                  </w:tcBorders>
                  <w:shd w:val="clear" w:color="auto" w:fill="auto"/>
                  <w:noWrap/>
                  <w:vAlign w:val="center"/>
                  <w:hideMark/>
                </w:tcPr>
                <w:p w14:paraId="7E7ABFFC"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1 719,48</w:t>
                  </w:r>
                </w:p>
              </w:tc>
              <w:tc>
                <w:tcPr>
                  <w:tcW w:w="852" w:type="dxa"/>
                  <w:tcBorders>
                    <w:top w:val="nil"/>
                    <w:left w:val="nil"/>
                    <w:bottom w:val="single" w:sz="4" w:space="0" w:color="auto"/>
                    <w:right w:val="nil"/>
                  </w:tcBorders>
                  <w:shd w:val="clear" w:color="auto" w:fill="auto"/>
                  <w:noWrap/>
                  <w:vAlign w:val="center"/>
                  <w:hideMark/>
                </w:tcPr>
                <w:p w14:paraId="4624167D"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2 013,91</w:t>
                  </w:r>
                </w:p>
              </w:tc>
              <w:tc>
                <w:tcPr>
                  <w:tcW w:w="852" w:type="dxa"/>
                  <w:tcBorders>
                    <w:top w:val="nil"/>
                    <w:left w:val="nil"/>
                    <w:bottom w:val="single" w:sz="4" w:space="0" w:color="auto"/>
                    <w:right w:val="nil"/>
                  </w:tcBorders>
                  <w:shd w:val="clear" w:color="auto" w:fill="auto"/>
                  <w:noWrap/>
                  <w:vAlign w:val="center"/>
                  <w:hideMark/>
                </w:tcPr>
                <w:p w14:paraId="717FA1A2"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1883,73</w:t>
                  </w:r>
                </w:p>
              </w:tc>
              <w:tc>
                <w:tcPr>
                  <w:tcW w:w="852" w:type="dxa"/>
                  <w:tcBorders>
                    <w:top w:val="nil"/>
                    <w:left w:val="nil"/>
                    <w:bottom w:val="single" w:sz="4" w:space="0" w:color="auto"/>
                    <w:right w:val="nil"/>
                  </w:tcBorders>
                  <w:shd w:val="clear" w:color="auto" w:fill="auto"/>
                  <w:noWrap/>
                  <w:vAlign w:val="center"/>
                  <w:hideMark/>
                </w:tcPr>
                <w:p w14:paraId="4868B717"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2 278,14</w:t>
                  </w:r>
                </w:p>
              </w:tc>
              <w:tc>
                <w:tcPr>
                  <w:tcW w:w="852" w:type="dxa"/>
                  <w:tcBorders>
                    <w:top w:val="nil"/>
                    <w:left w:val="nil"/>
                    <w:bottom w:val="single" w:sz="4" w:space="0" w:color="auto"/>
                    <w:right w:val="nil"/>
                  </w:tcBorders>
                  <w:shd w:val="clear" w:color="auto" w:fill="auto"/>
                  <w:noWrap/>
                  <w:vAlign w:val="center"/>
                  <w:hideMark/>
                </w:tcPr>
                <w:p w14:paraId="7444D547"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2509,53</w:t>
                  </w:r>
                </w:p>
              </w:tc>
              <w:tc>
                <w:tcPr>
                  <w:tcW w:w="852" w:type="dxa"/>
                  <w:tcBorders>
                    <w:top w:val="nil"/>
                    <w:left w:val="nil"/>
                    <w:bottom w:val="single" w:sz="4" w:space="0" w:color="auto"/>
                    <w:right w:val="nil"/>
                  </w:tcBorders>
                  <w:shd w:val="clear" w:color="auto" w:fill="auto"/>
                  <w:noWrap/>
                  <w:vAlign w:val="center"/>
                  <w:hideMark/>
                </w:tcPr>
                <w:p w14:paraId="0FB70287" w14:textId="77777777" w:rsidR="00B45F0E" w:rsidRPr="00B45F0E" w:rsidRDefault="00B45F0E" w:rsidP="00B45F0E">
                  <w:pPr>
                    <w:spacing w:after="0" w:line="240" w:lineRule="auto"/>
                    <w:jc w:val="right"/>
                    <w:rPr>
                      <w:rFonts w:ascii="Times New Roman" w:eastAsia="Times New Roman" w:hAnsi="Times New Roman" w:cs="Times New Roman"/>
                      <w:b/>
                      <w:bCs/>
                      <w:color w:val="000000"/>
                      <w:sz w:val="16"/>
                      <w:szCs w:val="16"/>
                      <w:lang w:eastAsia="sk-SK"/>
                    </w:rPr>
                  </w:pPr>
                  <w:r w:rsidRPr="00B45F0E">
                    <w:rPr>
                      <w:rFonts w:ascii="Times New Roman" w:eastAsia="Times New Roman" w:hAnsi="Times New Roman" w:cs="Times New Roman"/>
                      <w:b/>
                      <w:bCs/>
                      <w:color w:val="000000"/>
                      <w:sz w:val="16"/>
                      <w:szCs w:val="16"/>
                      <w:lang w:eastAsia="sk-SK"/>
                    </w:rPr>
                    <w:t>2723,2</w:t>
                  </w:r>
                </w:p>
              </w:tc>
            </w:tr>
            <w:tr w:rsidR="00B45F0E" w:rsidRPr="00B45F0E" w14:paraId="0A68BBB0" w14:textId="77777777" w:rsidTr="00B63F1A">
              <w:trPr>
                <w:trHeight w:val="1224"/>
              </w:trPr>
              <w:tc>
                <w:tcPr>
                  <w:tcW w:w="8967" w:type="dxa"/>
                  <w:gridSpan w:val="9"/>
                  <w:tcBorders>
                    <w:top w:val="single" w:sz="4" w:space="0" w:color="auto"/>
                    <w:left w:val="nil"/>
                    <w:bottom w:val="nil"/>
                    <w:right w:val="nil"/>
                  </w:tcBorders>
                  <w:shd w:val="clear" w:color="auto" w:fill="auto"/>
                  <w:hideMark/>
                </w:tcPr>
                <w:p w14:paraId="496AD570" w14:textId="77777777" w:rsidR="00B45F0E" w:rsidRPr="00B45F0E" w:rsidRDefault="00B45F0E" w:rsidP="00B45F0E">
                  <w:pPr>
                    <w:spacing w:after="0" w:line="240" w:lineRule="auto"/>
                    <w:jc w:val="both"/>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 xml:space="preserve">S 2021 a 2022 (hlavná a podnikateľská činnosť) z výkazu FIN 1-04. OS 2023 v počtoch zamestnancov zohľadňuje údaje zo štatistiky za 1. polrok 2023. Počty zamestnancov v NRVS 2024 až 2026 (zdroj MŠVVŠ SR) sú orientačné a ich plnenie bude závisieť od čerpania zdrojov EÚ a spolufinancovania zo ŠR, čo ovplyvní výšku priemerného mzdového výdavku, v osobných výdavkoch zohľadňuje  zdroje EÚ a spolufinancovania zo ŠR.  NRVS 2024 až 2026 je vrátane Plánu obnovy a odolnosti SR.         </w:t>
                  </w:r>
                </w:p>
                <w:p w14:paraId="228B09D3" w14:textId="77777777" w:rsidR="00B45F0E" w:rsidRPr="00B45F0E" w:rsidRDefault="00B45F0E" w:rsidP="00B45F0E">
                  <w:pPr>
                    <w:spacing w:after="0" w:line="240" w:lineRule="auto"/>
                    <w:jc w:val="both"/>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 xml:space="preserve">                                                                                                                                                                                                                                                             </w:t>
                  </w:r>
                </w:p>
                <w:p w14:paraId="4B0498DA" w14:textId="77777777" w:rsidR="00B45F0E" w:rsidRPr="00B45F0E" w:rsidRDefault="00B45F0E" w:rsidP="00B45F0E">
                  <w:pPr>
                    <w:spacing w:after="0" w:line="240" w:lineRule="auto"/>
                    <w:jc w:val="both"/>
                    <w:rPr>
                      <w:rFonts w:ascii="Times New Roman" w:eastAsia="Times New Roman" w:hAnsi="Times New Roman" w:cs="Times New Roman"/>
                      <w:color w:val="000000"/>
                      <w:sz w:val="14"/>
                      <w:szCs w:val="14"/>
                      <w:lang w:eastAsia="sk-SK"/>
                    </w:rPr>
                  </w:pPr>
                  <w:r w:rsidRPr="00B45F0E">
                    <w:rPr>
                      <w:rFonts w:ascii="Times New Roman" w:eastAsia="Times New Roman" w:hAnsi="Times New Roman" w:cs="Times New Roman"/>
                      <w:color w:val="000000"/>
                      <w:sz w:val="14"/>
                      <w:szCs w:val="14"/>
                      <w:lang w:eastAsia="sk-SK"/>
                    </w:rPr>
                    <w:t xml:space="preserve">                                                                                                                                                                                                                                      Zdroj MF SR</w:t>
                  </w:r>
                </w:p>
              </w:tc>
            </w:tr>
          </w:tbl>
          <w:p w14:paraId="6EF51644" w14:textId="77777777" w:rsidR="00B45F0E" w:rsidRPr="00B45F0E" w:rsidRDefault="00B45F0E" w:rsidP="00B45F0E">
            <w:pPr>
              <w:spacing w:after="0"/>
              <w:jc w:val="both"/>
              <w:rPr>
                <w:rFonts w:ascii="Times New Roman" w:eastAsia="Times New Roman" w:hAnsi="Times New Roman" w:cs="Times New Roman"/>
                <w:color w:val="000000"/>
                <w:sz w:val="24"/>
                <w:szCs w:val="24"/>
                <w:lang w:eastAsia="sk-SK"/>
              </w:rPr>
            </w:pPr>
          </w:p>
        </w:tc>
      </w:tr>
    </w:tbl>
    <w:p w14:paraId="5CF55133" w14:textId="384D74C2" w:rsidR="00B45F0E" w:rsidRDefault="00B45F0E" w:rsidP="00B45F0E">
      <w:pPr>
        <w:spacing w:after="0"/>
        <w:jc w:val="both"/>
        <w:rPr>
          <w:rFonts w:ascii="Times New Roman" w:hAnsi="Times New Roman" w:cs="Times New Roman"/>
          <w:sz w:val="24"/>
          <w:szCs w:val="24"/>
        </w:rPr>
      </w:pPr>
      <w:r w:rsidRPr="00B45F0E">
        <w:rPr>
          <w:rFonts w:ascii="Times New Roman" w:hAnsi="Times New Roman" w:cs="Times New Roman"/>
          <w:sz w:val="24"/>
          <w:szCs w:val="24"/>
        </w:rPr>
        <w:t xml:space="preserve">Medziročný nárast osobných výdavkov v sume 78,9 mil. eur, z toho mzdy v sume 55,6 mil. eur zohľadňuje saldo valorizácií z roku 2023 v celkovej sume 38,7 mil. eur osobných výdavkov, z toho mzdy v sume 28,6 mil. eur, zapracovanie vplyvu národnej stratégie výskumu, vývoja a inovácií v celkovej sume 13,7 mil. eur osobných výdavkov, z toho mzdy v sume 10,3 mil. eur, dlhodobého zámeru vo vzdelávacej, výskumnej, vývojovej, umeleckej a ďalšej tvorivej činnosti pre oblasť vysokých škôl (výkonnostné zmluvy) v sume 46,9 mil. eur </w:t>
      </w:r>
      <w:r w:rsidRPr="00B45F0E">
        <w:rPr>
          <w:rFonts w:ascii="Times New Roman" w:hAnsi="Times New Roman" w:cs="Times New Roman"/>
          <w:sz w:val="24"/>
          <w:szCs w:val="24"/>
        </w:rPr>
        <w:lastRenderedPageBreak/>
        <w:t>osobných výdavkov, z toho mzdy v sume 30,5 mil. eur</w:t>
      </w:r>
      <w:r w:rsidR="005D1CCD">
        <w:rPr>
          <w:rFonts w:ascii="Times New Roman" w:hAnsi="Times New Roman" w:cs="Times New Roman"/>
          <w:sz w:val="24"/>
          <w:szCs w:val="24"/>
        </w:rPr>
        <w:t xml:space="preserve">. </w:t>
      </w:r>
      <w:r w:rsidRPr="00B45F0E">
        <w:rPr>
          <w:rFonts w:ascii="Times New Roman" w:hAnsi="Times New Roman" w:cs="Times New Roman"/>
          <w:sz w:val="24"/>
          <w:szCs w:val="24"/>
        </w:rPr>
        <w:t>Na roky 2024 až 2026 sa navrhuje zachovanie rozpočtovaného počtu zamestnancov verejných vysokých škôl v počte 17 526 osôb.</w:t>
      </w:r>
    </w:p>
    <w:p w14:paraId="09BAA4F4" w14:textId="169BDF68" w:rsidR="00DD531B" w:rsidRDefault="00DD531B" w:rsidP="00B45F0E">
      <w:pPr>
        <w:spacing w:after="0"/>
        <w:jc w:val="both"/>
        <w:rPr>
          <w:rFonts w:ascii="Times New Roman" w:hAnsi="Times New Roman" w:cs="Times New Roman"/>
          <w:sz w:val="24"/>
          <w:szCs w:val="24"/>
        </w:rPr>
      </w:pPr>
    </w:p>
    <w:p w14:paraId="74D66295" w14:textId="164FF0F6" w:rsidR="00DD531B" w:rsidRDefault="00DD531B" w:rsidP="00B45F0E">
      <w:pPr>
        <w:spacing w:after="0"/>
        <w:jc w:val="both"/>
        <w:rPr>
          <w:rFonts w:ascii="Times New Roman" w:hAnsi="Times New Roman" w:cs="Times New Roman"/>
          <w:sz w:val="24"/>
          <w:szCs w:val="24"/>
        </w:rPr>
      </w:pPr>
    </w:p>
    <w:p w14:paraId="13DBC0C5" w14:textId="6D02D3AB" w:rsidR="00DD531B" w:rsidRDefault="00DD531B" w:rsidP="00B45F0E">
      <w:pPr>
        <w:spacing w:after="0"/>
        <w:jc w:val="both"/>
        <w:rPr>
          <w:rFonts w:ascii="Times New Roman" w:hAnsi="Times New Roman" w:cs="Times New Roman"/>
          <w:sz w:val="24"/>
          <w:szCs w:val="24"/>
        </w:rPr>
      </w:pPr>
    </w:p>
    <w:p w14:paraId="207F47A0" w14:textId="73D43313" w:rsidR="00DD531B" w:rsidRDefault="00DD531B" w:rsidP="00B45F0E">
      <w:pPr>
        <w:spacing w:after="0"/>
        <w:jc w:val="both"/>
        <w:rPr>
          <w:rFonts w:ascii="Times New Roman" w:hAnsi="Times New Roman" w:cs="Times New Roman"/>
          <w:sz w:val="24"/>
          <w:szCs w:val="24"/>
        </w:rPr>
      </w:pPr>
    </w:p>
    <w:p w14:paraId="2EB866A0" w14:textId="6EFFE969" w:rsidR="00DD531B" w:rsidRDefault="00DD531B" w:rsidP="00B45F0E">
      <w:pPr>
        <w:spacing w:after="0"/>
        <w:jc w:val="both"/>
        <w:rPr>
          <w:rFonts w:ascii="Times New Roman" w:hAnsi="Times New Roman" w:cs="Times New Roman"/>
          <w:sz w:val="24"/>
          <w:szCs w:val="24"/>
        </w:rPr>
      </w:pPr>
    </w:p>
    <w:p w14:paraId="6AAA5A3A" w14:textId="629170C4" w:rsidR="00DD531B" w:rsidRDefault="00DD531B" w:rsidP="00B45F0E">
      <w:pPr>
        <w:spacing w:after="0"/>
        <w:jc w:val="both"/>
        <w:rPr>
          <w:rFonts w:ascii="Times New Roman" w:hAnsi="Times New Roman" w:cs="Times New Roman"/>
          <w:sz w:val="24"/>
          <w:szCs w:val="24"/>
        </w:rPr>
      </w:pPr>
    </w:p>
    <w:p w14:paraId="009FFFD3" w14:textId="04EF360A" w:rsidR="00DD531B" w:rsidRDefault="00DD531B" w:rsidP="00B45F0E">
      <w:pPr>
        <w:spacing w:after="0"/>
        <w:jc w:val="both"/>
        <w:rPr>
          <w:rFonts w:ascii="Times New Roman" w:hAnsi="Times New Roman" w:cs="Times New Roman"/>
          <w:sz w:val="24"/>
          <w:szCs w:val="24"/>
        </w:rPr>
      </w:pPr>
    </w:p>
    <w:p w14:paraId="67F8BFDF" w14:textId="73F6E288" w:rsidR="00DD531B" w:rsidRDefault="00DD531B" w:rsidP="00B45F0E">
      <w:pPr>
        <w:spacing w:after="0"/>
        <w:jc w:val="both"/>
        <w:rPr>
          <w:rFonts w:ascii="Times New Roman" w:hAnsi="Times New Roman" w:cs="Times New Roman"/>
          <w:sz w:val="24"/>
          <w:szCs w:val="24"/>
        </w:rPr>
      </w:pPr>
    </w:p>
    <w:p w14:paraId="615D78FC" w14:textId="1ED4B3EB" w:rsidR="00DD531B" w:rsidRDefault="00DD531B" w:rsidP="00B45F0E">
      <w:pPr>
        <w:spacing w:after="0"/>
        <w:jc w:val="both"/>
        <w:rPr>
          <w:rFonts w:ascii="Times New Roman" w:hAnsi="Times New Roman" w:cs="Times New Roman"/>
          <w:sz w:val="24"/>
          <w:szCs w:val="24"/>
        </w:rPr>
      </w:pPr>
    </w:p>
    <w:p w14:paraId="61070746" w14:textId="1FC62F32" w:rsidR="00DD531B" w:rsidRDefault="00DD531B" w:rsidP="00B45F0E">
      <w:pPr>
        <w:spacing w:after="0"/>
        <w:jc w:val="both"/>
        <w:rPr>
          <w:rFonts w:ascii="Times New Roman" w:hAnsi="Times New Roman" w:cs="Times New Roman"/>
          <w:sz w:val="24"/>
          <w:szCs w:val="24"/>
        </w:rPr>
      </w:pPr>
    </w:p>
    <w:p w14:paraId="110D61B7" w14:textId="65C966C9" w:rsidR="00DD531B" w:rsidRDefault="00DD531B" w:rsidP="00B45F0E">
      <w:pPr>
        <w:spacing w:after="0"/>
        <w:jc w:val="both"/>
        <w:rPr>
          <w:rFonts w:ascii="Times New Roman" w:hAnsi="Times New Roman" w:cs="Times New Roman"/>
          <w:sz w:val="24"/>
          <w:szCs w:val="24"/>
        </w:rPr>
      </w:pPr>
    </w:p>
    <w:p w14:paraId="7A7928A6" w14:textId="00C9AD04" w:rsidR="00DD531B" w:rsidRDefault="00DD531B" w:rsidP="00B45F0E">
      <w:pPr>
        <w:spacing w:after="0"/>
        <w:jc w:val="both"/>
        <w:rPr>
          <w:rFonts w:ascii="Times New Roman" w:hAnsi="Times New Roman" w:cs="Times New Roman"/>
          <w:sz w:val="24"/>
          <w:szCs w:val="24"/>
        </w:rPr>
      </w:pPr>
    </w:p>
    <w:p w14:paraId="53FF325E" w14:textId="50CC87D0" w:rsidR="00DD531B" w:rsidRDefault="00DD531B" w:rsidP="00B45F0E">
      <w:pPr>
        <w:spacing w:after="0"/>
        <w:jc w:val="both"/>
        <w:rPr>
          <w:rFonts w:ascii="Times New Roman" w:hAnsi="Times New Roman" w:cs="Times New Roman"/>
          <w:sz w:val="24"/>
          <w:szCs w:val="24"/>
        </w:rPr>
      </w:pPr>
    </w:p>
    <w:p w14:paraId="51831C3D" w14:textId="0B63C664" w:rsidR="00DD531B" w:rsidRDefault="00DD531B" w:rsidP="00B45F0E">
      <w:pPr>
        <w:spacing w:after="0"/>
        <w:jc w:val="both"/>
        <w:rPr>
          <w:rFonts w:ascii="Times New Roman" w:hAnsi="Times New Roman" w:cs="Times New Roman"/>
          <w:sz w:val="24"/>
          <w:szCs w:val="24"/>
        </w:rPr>
      </w:pPr>
    </w:p>
    <w:p w14:paraId="0DBEA779" w14:textId="02692C31" w:rsidR="00DD531B" w:rsidRDefault="00DD531B" w:rsidP="00B45F0E">
      <w:pPr>
        <w:spacing w:after="0"/>
        <w:jc w:val="both"/>
        <w:rPr>
          <w:rFonts w:ascii="Times New Roman" w:hAnsi="Times New Roman" w:cs="Times New Roman"/>
          <w:sz w:val="24"/>
          <w:szCs w:val="24"/>
        </w:rPr>
      </w:pPr>
    </w:p>
    <w:p w14:paraId="17D1167D" w14:textId="6ED02EE6" w:rsidR="00DD531B" w:rsidRDefault="00DD531B" w:rsidP="00B45F0E">
      <w:pPr>
        <w:spacing w:after="0"/>
        <w:jc w:val="both"/>
        <w:rPr>
          <w:rFonts w:ascii="Times New Roman" w:hAnsi="Times New Roman" w:cs="Times New Roman"/>
          <w:sz w:val="24"/>
          <w:szCs w:val="24"/>
        </w:rPr>
      </w:pPr>
    </w:p>
    <w:p w14:paraId="43A425D1" w14:textId="030C5DFE" w:rsidR="00DD531B" w:rsidRDefault="00DD531B" w:rsidP="00B45F0E">
      <w:pPr>
        <w:spacing w:after="0"/>
        <w:jc w:val="both"/>
        <w:rPr>
          <w:rFonts w:ascii="Times New Roman" w:hAnsi="Times New Roman" w:cs="Times New Roman"/>
          <w:sz w:val="24"/>
          <w:szCs w:val="24"/>
        </w:rPr>
      </w:pPr>
    </w:p>
    <w:p w14:paraId="0C7E9512" w14:textId="7DB2C8FE" w:rsidR="00DD531B" w:rsidRDefault="00DD531B" w:rsidP="00B45F0E">
      <w:pPr>
        <w:spacing w:after="0"/>
        <w:jc w:val="both"/>
        <w:rPr>
          <w:rFonts w:ascii="Times New Roman" w:hAnsi="Times New Roman" w:cs="Times New Roman"/>
          <w:sz w:val="24"/>
          <w:szCs w:val="24"/>
        </w:rPr>
      </w:pPr>
    </w:p>
    <w:p w14:paraId="4ED5A2E5" w14:textId="03ED694C" w:rsidR="00DD531B" w:rsidRDefault="00DD531B" w:rsidP="00B45F0E">
      <w:pPr>
        <w:spacing w:after="0"/>
        <w:jc w:val="both"/>
        <w:rPr>
          <w:rFonts w:ascii="Times New Roman" w:hAnsi="Times New Roman" w:cs="Times New Roman"/>
          <w:sz w:val="24"/>
          <w:szCs w:val="24"/>
        </w:rPr>
      </w:pPr>
    </w:p>
    <w:p w14:paraId="45ED2C80" w14:textId="4F99597A" w:rsidR="00DD531B" w:rsidRDefault="00DD531B" w:rsidP="00B45F0E">
      <w:pPr>
        <w:spacing w:after="0"/>
        <w:jc w:val="both"/>
        <w:rPr>
          <w:rFonts w:ascii="Times New Roman" w:hAnsi="Times New Roman" w:cs="Times New Roman"/>
          <w:sz w:val="24"/>
          <w:szCs w:val="24"/>
        </w:rPr>
      </w:pPr>
    </w:p>
    <w:p w14:paraId="490A8519" w14:textId="4683AD2A" w:rsidR="00DD531B" w:rsidRDefault="00DD531B" w:rsidP="00B45F0E">
      <w:pPr>
        <w:spacing w:after="0"/>
        <w:jc w:val="both"/>
        <w:rPr>
          <w:rFonts w:ascii="Times New Roman" w:hAnsi="Times New Roman" w:cs="Times New Roman"/>
          <w:sz w:val="24"/>
          <w:szCs w:val="24"/>
        </w:rPr>
      </w:pPr>
    </w:p>
    <w:p w14:paraId="4496F242" w14:textId="34B2556D" w:rsidR="00DD531B" w:rsidRDefault="00DD531B" w:rsidP="00B45F0E">
      <w:pPr>
        <w:spacing w:after="0"/>
        <w:jc w:val="both"/>
        <w:rPr>
          <w:rFonts w:ascii="Times New Roman" w:hAnsi="Times New Roman" w:cs="Times New Roman"/>
          <w:sz w:val="24"/>
          <w:szCs w:val="24"/>
        </w:rPr>
      </w:pPr>
    </w:p>
    <w:p w14:paraId="3883FF81" w14:textId="3A7A3174" w:rsidR="00DD531B" w:rsidRDefault="00DD531B" w:rsidP="00B45F0E">
      <w:pPr>
        <w:spacing w:after="0"/>
        <w:jc w:val="both"/>
        <w:rPr>
          <w:rFonts w:ascii="Times New Roman" w:hAnsi="Times New Roman" w:cs="Times New Roman"/>
          <w:sz w:val="24"/>
          <w:szCs w:val="24"/>
        </w:rPr>
      </w:pPr>
    </w:p>
    <w:p w14:paraId="7CC80CB9" w14:textId="69A06CF8" w:rsidR="00DD531B" w:rsidRDefault="00DD531B" w:rsidP="00B45F0E">
      <w:pPr>
        <w:spacing w:after="0"/>
        <w:jc w:val="both"/>
        <w:rPr>
          <w:rFonts w:ascii="Times New Roman" w:hAnsi="Times New Roman" w:cs="Times New Roman"/>
          <w:sz w:val="24"/>
          <w:szCs w:val="24"/>
        </w:rPr>
      </w:pPr>
    </w:p>
    <w:p w14:paraId="4A816459" w14:textId="7BD10833" w:rsidR="00DD531B" w:rsidRDefault="00DD531B" w:rsidP="00B45F0E">
      <w:pPr>
        <w:spacing w:after="0"/>
        <w:jc w:val="both"/>
        <w:rPr>
          <w:rFonts w:ascii="Times New Roman" w:hAnsi="Times New Roman" w:cs="Times New Roman"/>
          <w:sz w:val="24"/>
          <w:szCs w:val="24"/>
        </w:rPr>
      </w:pPr>
    </w:p>
    <w:p w14:paraId="1D347ECC" w14:textId="222C691B" w:rsidR="00DD531B" w:rsidRDefault="00DD531B" w:rsidP="00B45F0E">
      <w:pPr>
        <w:spacing w:after="0"/>
        <w:jc w:val="both"/>
        <w:rPr>
          <w:rFonts w:ascii="Times New Roman" w:hAnsi="Times New Roman" w:cs="Times New Roman"/>
          <w:sz w:val="24"/>
          <w:szCs w:val="24"/>
        </w:rPr>
      </w:pPr>
    </w:p>
    <w:p w14:paraId="1CC8E483" w14:textId="709106E3" w:rsidR="00DD531B" w:rsidRDefault="00DD531B" w:rsidP="00B45F0E">
      <w:pPr>
        <w:spacing w:after="0"/>
        <w:jc w:val="both"/>
        <w:rPr>
          <w:rFonts w:ascii="Times New Roman" w:hAnsi="Times New Roman" w:cs="Times New Roman"/>
          <w:sz w:val="24"/>
          <w:szCs w:val="24"/>
        </w:rPr>
      </w:pPr>
    </w:p>
    <w:p w14:paraId="06C22CC0" w14:textId="5B47FE85" w:rsidR="00DD531B" w:rsidRDefault="00DD531B" w:rsidP="00B45F0E">
      <w:pPr>
        <w:spacing w:after="0"/>
        <w:jc w:val="both"/>
        <w:rPr>
          <w:rFonts w:ascii="Times New Roman" w:hAnsi="Times New Roman" w:cs="Times New Roman"/>
          <w:sz w:val="24"/>
          <w:szCs w:val="24"/>
        </w:rPr>
      </w:pPr>
    </w:p>
    <w:p w14:paraId="73FC0FBA" w14:textId="127F64DC" w:rsidR="00DD531B" w:rsidRDefault="00DD531B" w:rsidP="00B45F0E">
      <w:pPr>
        <w:spacing w:after="0"/>
        <w:jc w:val="both"/>
        <w:rPr>
          <w:rFonts w:ascii="Times New Roman" w:hAnsi="Times New Roman" w:cs="Times New Roman"/>
          <w:sz w:val="24"/>
          <w:szCs w:val="24"/>
        </w:rPr>
      </w:pPr>
    </w:p>
    <w:p w14:paraId="3C4CFC1A" w14:textId="2CE6686A" w:rsidR="00DD531B" w:rsidRDefault="00DD531B" w:rsidP="00B45F0E">
      <w:pPr>
        <w:spacing w:after="0"/>
        <w:jc w:val="both"/>
        <w:rPr>
          <w:rFonts w:ascii="Times New Roman" w:hAnsi="Times New Roman" w:cs="Times New Roman"/>
          <w:sz w:val="24"/>
          <w:szCs w:val="24"/>
        </w:rPr>
      </w:pPr>
    </w:p>
    <w:p w14:paraId="1E407237" w14:textId="3973B3CD" w:rsidR="00DD531B" w:rsidRDefault="00DD531B" w:rsidP="00B45F0E">
      <w:pPr>
        <w:spacing w:after="0"/>
        <w:jc w:val="both"/>
        <w:rPr>
          <w:rFonts w:ascii="Times New Roman" w:hAnsi="Times New Roman" w:cs="Times New Roman"/>
          <w:sz w:val="24"/>
          <w:szCs w:val="24"/>
        </w:rPr>
      </w:pPr>
    </w:p>
    <w:p w14:paraId="26C588D4" w14:textId="5AFE7791" w:rsidR="00DD531B" w:rsidRDefault="00DD531B" w:rsidP="00B45F0E">
      <w:pPr>
        <w:spacing w:after="0"/>
        <w:jc w:val="both"/>
        <w:rPr>
          <w:rFonts w:ascii="Times New Roman" w:hAnsi="Times New Roman" w:cs="Times New Roman"/>
          <w:sz w:val="24"/>
          <w:szCs w:val="24"/>
        </w:rPr>
      </w:pPr>
    </w:p>
    <w:p w14:paraId="6F3DD38F" w14:textId="636A2334" w:rsidR="00DD531B" w:rsidRDefault="00DD531B" w:rsidP="00B45F0E">
      <w:pPr>
        <w:spacing w:after="0"/>
        <w:jc w:val="both"/>
        <w:rPr>
          <w:rFonts w:ascii="Times New Roman" w:hAnsi="Times New Roman" w:cs="Times New Roman"/>
          <w:sz w:val="24"/>
          <w:szCs w:val="24"/>
        </w:rPr>
      </w:pPr>
    </w:p>
    <w:p w14:paraId="79D57F2B" w14:textId="139E663A" w:rsidR="00DD531B" w:rsidRDefault="00DD531B" w:rsidP="00B45F0E">
      <w:pPr>
        <w:spacing w:after="0"/>
        <w:jc w:val="both"/>
        <w:rPr>
          <w:rFonts w:ascii="Times New Roman" w:hAnsi="Times New Roman" w:cs="Times New Roman"/>
          <w:sz w:val="24"/>
          <w:szCs w:val="24"/>
        </w:rPr>
      </w:pPr>
    </w:p>
    <w:p w14:paraId="3EC47FF5" w14:textId="3230463A" w:rsidR="00DD531B" w:rsidRDefault="00DD531B" w:rsidP="00B45F0E">
      <w:pPr>
        <w:spacing w:after="0"/>
        <w:jc w:val="both"/>
        <w:rPr>
          <w:rFonts w:ascii="Times New Roman" w:hAnsi="Times New Roman" w:cs="Times New Roman"/>
          <w:sz w:val="24"/>
          <w:szCs w:val="24"/>
        </w:rPr>
      </w:pPr>
    </w:p>
    <w:p w14:paraId="0102FE75" w14:textId="05202E7B" w:rsidR="00DD531B" w:rsidRDefault="00DD531B" w:rsidP="00B45F0E">
      <w:pPr>
        <w:spacing w:after="0"/>
        <w:jc w:val="both"/>
        <w:rPr>
          <w:rFonts w:ascii="Times New Roman" w:hAnsi="Times New Roman" w:cs="Times New Roman"/>
          <w:sz w:val="24"/>
          <w:szCs w:val="24"/>
        </w:rPr>
      </w:pPr>
    </w:p>
    <w:p w14:paraId="3EA3E9C5" w14:textId="62E45DE0" w:rsidR="00DD531B" w:rsidRDefault="00DD531B" w:rsidP="00B45F0E">
      <w:pPr>
        <w:spacing w:after="0"/>
        <w:jc w:val="both"/>
        <w:rPr>
          <w:rFonts w:ascii="Times New Roman" w:hAnsi="Times New Roman" w:cs="Times New Roman"/>
          <w:sz w:val="24"/>
          <w:szCs w:val="24"/>
        </w:rPr>
      </w:pPr>
    </w:p>
    <w:p w14:paraId="6DF23EED" w14:textId="51734590" w:rsidR="00DD531B" w:rsidRDefault="00DD531B" w:rsidP="00B45F0E">
      <w:pPr>
        <w:spacing w:after="0"/>
        <w:jc w:val="both"/>
        <w:rPr>
          <w:rFonts w:ascii="Times New Roman" w:hAnsi="Times New Roman" w:cs="Times New Roman"/>
          <w:sz w:val="24"/>
          <w:szCs w:val="24"/>
        </w:rPr>
      </w:pPr>
    </w:p>
    <w:p w14:paraId="4E407689" w14:textId="1129060C" w:rsidR="00DD531B" w:rsidRDefault="00DD531B" w:rsidP="00B45F0E">
      <w:pPr>
        <w:spacing w:after="0"/>
        <w:jc w:val="both"/>
        <w:rPr>
          <w:rFonts w:ascii="Times New Roman" w:hAnsi="Times New Roman" w:cs="Times New Roman"/>
          <w:sz w:val="24"/>
          <w:szCs w:val="24"/>
        </w:rPr>
      </w:pPr>
    </w:p>
    <w:p w14:paraId="6DD9A823" w14:textId="201AEACF" w:rsidR="00DD531B" w:rsidRDefault="00DD531B" w:rsidP="00B45F0E">
      <w:pPr>
        <w:spacing w:after="0"/>
        <w:jc w:val="both"/>
        <w:rPr>
          <w:rFonts w:ascii="Times New Roman" w:hAnsi="Times New Roman" w:cs="Times New Roman"/>
          <w:sz w:val="24"/>
          <w:szCs w:val="24"/>
        </w:rPr>
      </w:pPr>
    </w:p>
    <w:p w14:paraId="43AEC05F" w14:textId="34C374A3" w:rsidR="00B23ED4" w:rsidRDefault="00B23ED4" w:rsidP="00B45F0E">
      <w:pPr>
        <w:spacing w:after="0"/>
        <w:jc w:val="both"/>
        <w:rPr>
          <w:rFonts w:ascii="Times New Roman" w:hAnsi="Times New Roman" w:cs="Times New Roman"/>
          <w:sz w:val="24"/>
          <w:szCs w:val="24"/>
        </w:rPr>
      </w:pPr>
    </w:p>
    <w:p w14:paraId="495E5E9E" w14:textId="77777777" w:rsidR="00B23ED4" w:rsidRPr="00B45F0E" w:rsidRDefault="00B23ED4" w:rsidP="00B45F0E">
      <w:pPr>
        <w:spacing w:after="0"/>
        <w:jc w:val="both"/>
        <w:rPr>
          <w:rFonts w:ascii="Times New Roman" w:hAnsi="Times New Roman" w:cs="Times New Roman"/>
          <w:sz w:val="24"/>
          <w:szCs w:val="24"/>
        </w:rPr>
      </w:pPr>
      <w:bookmarkStart w:id="172" w:name="_GoBack"/>
      <w:bookmarkEnd w:id="172"/>
    </w:p>
    <w:p w14:paraId="4A38FD46" w14:textId="77777777" w:rsidR="00B45F0E" w:rsidRPr="00976E20" w:rsidRDefault="00B45F0E" w:rsidP="00B45F0E">
      <w:pPr>
        <w:spacing w:after="0"/>
        <w:jc w:val="both"/>
        <w:rPr>
          <w:rFonts w:ascii="Times New Roman" w:hAnsi="Times New Roman" w:cs="Times New Roman"/>
          <w:szCs w:val="24"/>
        </w:rPr>
      </w:pPr>
    </w:p>
    <w:p w14:paraId="7170FD5F" w14:textId="77777777" w:rsidR="00DD531B" w:rsidRPr="00DD531B" w:rsidRDefault="00DD531B" w:rsidP="00DD531B">
      <w:pPr>
        <w:keepNext/>
        <w:spacing w:after="0" w:line="276" w:lineRule="auto"/>
        <w:outlineLvl w:val="1"/>
        <w:rPr>
          <w:rFonts w:ascii="Times New Roman" w:eastAsia="Times New Roman" w:hAnsi="Times New Roman" w:cs="Times New Roman"/>
          <w:bCs/>
          <w:iCs/>
          <w:color w:val="5B9BD5"/>
          <w:sz w:val="24"/>
          <w:szCs w:val="24"/>
          <w:lang w:eastAsia="cs-CZ"/>
        </w:rPr>
      </w:pPr>
      <w:r w:rsidRPr="00DD531B">
        <w:rPr>
          <w:rFonts w:ascii="Times New Roman" w:eastAsia="Times New Roman" w:hAnsi="Times New Roman" w:cs="Times New Roman"/>
          <w:b/>
          <w:bCs/>
          <w:iCs/>
          <w:color w:val="5B9BD5"/>
          <w:sz w:val="24"/>
          <w:szCs w:val="24"/>
          <w:lang w:eastAsia="cs-CZ"/>
        </w:rPr>
        <w:lastRenderedPageBreak/>
        <w:t xml:space="preserve">Vzdelávanie, vrátane vedy, výskumu a športu </w:t>
      </w:r>
    </w:p>
    <w:p w14:paraId="16B512FC" w14:textId="77777777" w:rsidR="00DD531B" w:rsidRPr="00DD531B" w:rsidRDefault="00DD531B" w:rsidP="00DD531B">
      <w:pPr>
        <w:spacing w:after="0" w:line="276" w:lineRule="auto"/>
        <w:rPr>
          <w:rFonts w:ascii="Times New Roman" w:eastAsia="Calibri" w:hAnsi="Times New Roman" w:cs="Times New Roman"/>
          <w:sz w:val="24"/>
          <w:szCs w:val="24"/>
        </w:rPr>
      </w:pPr>
    </w:p>
    <w:p w14:paraId="3BA60F8F" w14:textId="79004BB6" w:rsidR="00DD531B" w:rsidRDefault="00DD531B" w:rsidP="0039178C">
      <w:pPr>
        <w:spacing w:after="0" w:line="276" w:lineRule="auto"/>
        <w:jc w:val="both"/>
        <w:rPr>
          <w:rFonts w:ascii="Times New Roman" w:hAnsi="Times New Roman" w:cs="Times New Roman"/>
          <w:color w:val="000000" w:themeColor="text1"/>
          <w:sz w:val="24"/>
          <w:szCs w:val="24"/>
        </w:rPr>
      </w:pPr>
      <w:r w:rsidRPr="00DD531B">
        <w:rPr>
          <w:rFonts w:ascii="Times New Roman" w:hAnsi="Times New Roman" w:cs="Times New Roman"/>
          <w:color w:val="000000"/>
          <w:sz w:val="24"/>
          <w:szCs w:val="24"/>
        </w:rPr>
        <w:t xml:space="preserve">Výdavky na oblasť vzdelávania, vedy, výskumu a športu sú financované zo zdrojov štátneho rozpočtu, európskych a štrukturálnych fondov, zo zdrojov Plánu obnovy a odolnosti v celkovej výške 4,86 mld. eur. </w:t>
      </w:r>
      <w:r w:rsidRPr="00DD531B">
        <w:rPr>
          <w:rFonts w:ascii="Times New Roman" w:hAnsi="Times New Roman" w:cs="Times New Roman"/>
          <w:color w:val="000000" w:themeColor="text1"/>
          <w:sz w:val="24"/>
          <w:szCs w:val="24"/>
        </w:rPr>
        <w:t xml:space="preserve">Do oblasti sú zahrnuté výdavky regionálneho školstva, vysokých škôl, výdavky na vedu a techniku, na šport a administratívu. </w:t>
      </w:r>
      <w:r w:rsidRPr="00DD531B">
        <w:rPr>
          <w:rFonts w:ascii="Times New Roman" w:hAnsi="Times New Roman" w:cs="Times New Roman"/>
          <w:color w:val="000000"/>
          <w:sz w:val="24"/>
          <w:szCs w:val="24"/>
        </w:rPr>
        <w:t>Oblasť vzdelávania, vedy, výskumu a športu</w:t>
      </w:r>
      <w:r w:rsidRPr="00DD531B">
        <w:rPr>
          <w:rFonts w:ascii="Times New Roman" w:hAnsi="Times New Roman" w:cs="Times New Roman"/>
          <w:color w:val="000000" w:themeColor="text1"/>
          <w:sz w:val="24"/>
          <w:szCs w:val="24"/>
        </w:rPr>
        <w:t xml:space="preserve"> zahŕňa výdavky kapitoly Ministerstva školstva, vedy, výskumu a športu SR, Ministerstva vnútra SR, Ministerstva obrany SR, Ministerstva zdravotníctva SR, Slovenskej akadémie vied a subjektov verejnej správy – verejné vysoké školy, verejné výskumné inštitúcie, Fond na podporu vzdelávania a Fond na podporu športu. </w:t>
      </w:r>
    </w:p>
    <w:p w14:paraId="1B656CBF" w14:textId="77777777" w:rsidR="0039178C" w:rsidRPr="00DD531B" w:rsidRDefault="0039178C" w:rsidP="0039178C">
      <w:pPr>
        <w:spacing w:after="0" w:line="276" w:lineRule="auto"/>
        <w:jc w:val="both"/>
        <w:rPr>
          <w:rFonts w:ascii="Times New Roman" w:hAnsi="Times New Roman" w:cs="Times New Roman"/>
          <w:color w:val="000000" w:themeColor="text1"/>
          <w:sz w:val="24"/>
          <w:szCs w:val="24"/>
        </w:rPr>
      </w:pPr>
    </w:p>
    <w:p w14:paraId="6CAFBBC3" w14:textId="77777777" w:rsidR="00DD531B" w:rsidRPr="00DD531B" w:rsidRDefault="00DD531B" w:rsidP="0039178C">
      <w:pPr>
        <w:spacing w:after="0" w:line="276" w:lineRule="auto"/>
        <w:jc w:val="both"/>
        <w:rPr>
          <w:rFonts w:ascii="Times New Roman" w:eastAsia="Calibri" w:hAnsi="Times New Roman" w:cs="Times New Roman"/>
          <w:b/>
          <w:sz w:val="24"/>
          <w:szCs w:val="24"/>
        </w:rPr>
      </w:pPr>
      <w:r w:rsidRPr="00DD531B">
        <w:rPr>
          <w:rFonts w:ascii="Times New Roman" w:eastAsia="Calibri" w:hAnsi="Times New Roman" w:cs="Times New Roman"/>
          <w:b/>
          <w:sz w:val="24"/>
          <w:szCs w:val="24"/>
        </w:rPr>
        <w:t>Normatívne výdavky</w:t>
      </w:r>
    </w:p>
    <w:p w14:paraId="2CC30760" w14:textId="12088A7E"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V roku 2024 boli dofinancované normatívne výdavky v regionálnom školstve v celkovej výške 166,6 mil. eur; z toho na posilnenie prevádzkového normatívu boli navýšené finančné prostriedky v celkovej výške 107,1 mil. eur, a to hlav</w:t>
      </w:r>
      <w:r w:rsidR="00111797">
        <w:rPr>
          <w:rFonts w:ascii="Times New Roman" w:eastAsia="Calibri" w:hAnsi="Times New Roman" w:cs="Times New Roman"/>
          <w:sz w:val="24"/>
          <w:szCs w:val="24"/>
        </w:rPr>
        <w:t>ne z dôvodu nárastu cien energií</w:t>
      </w:r>
      <w:r w:rsidRPr="00DD531B">
        <w:rPr>
          <w:rFonts w:ascii="Times New Roman" w:eastAsia="Calibri" w:hAnsi="Times New Roman" w:cs="Times New Roman"/>
          <w:sz w:val="24"/>
          <w:szCs w:val="24"/>
        </w:rPr>
        <w:t xml:space="preserve"> a nárastu cien služieb vplyvom inflácie; taktiež v súvislosti s nárastom počtu žiakov bol zvýšený objem finančných prostriedkov na mzdový normatív v roku 2024 v celkovej výške 59,5 mil. eur. </w:t>
      </w:r>
    </w:p>
    <w:p w14:paraId="50FEB821"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56EAA40D"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Rozpočet kapitoly MŠVVŠ SR bol každoročne zvýšený o 60 mil. eur na mechanizmus výhodnejšieho normatívneho financovania príspevkov pre školy, ide o tzv. ,,Koeficient ekonomickej rovnováhy“, ktorého cieľom je kompenzovať rozdiely v konkurencieschopnosti učiteľských platov v oblastiach s vyššími mzdami na lokálnom trhu práce.</w:t>
      </w:r>
    </w:p>
    <w:p w14:paraId="02A46D4E"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7901EFFF" w14:textId="77777777" w:rsidR="00DD531B" w:rsidRPr="00DD531B" w:rsidRDefault="00DD531B" w:rsidP="00DD531B">
      <w:pPr>
        <w:spacing w:after="0" w:line="276" w:lineRule="auto"/>
        <w:jc w:val="both"/>
        <w:rPr>
          <w:rFonts w:ascii="Times New Roman" w:eastAsia="Calibri" w:hAnsi="Times New Roman" w:cs="Times New Roman"/>
          <w:b/>
          <w:sz w:val="24"/>
          <w:szCs w:val="24"/>
        </w:rPr>
      </w:pPr>
      <w:r w:rsidRPr="00DD531B">
        <w:rPr>
          <w:rFonts w:ascii="Times New Roman" w:eastAsia="Calibri" w:hAnsi="Times New Roman" w:cs="Times New Roman"/>
          <w:b/>
          <w:sz w:val="24"/>
          <w:szCs w:val="24"/>
        </w:rPr>
        <w:t>Nový školský zákon</w:t>
      </w:r>
    </w:p>
    <w:p w14:paraId="5A60FF5A"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 xml:space="preserve">V nadväznosti na novelu zákona č. 245/2008 Z. z. o výchove a vzdelávaní (školský zákon) sa financovali opatrenia v roku 2024 v celkovej sume 100,7 mil. eur; t. j. financovanie pozícií v podporných tímoch a pozícií pomocných vychovávateľov, zvýšenie počtu pedagogických asistentov, financovanie kompenzačných pomôcok a špeciálnych edukačných publikácií, financovanie doučovania, jazykových kurzov a príspevok na dopravu. Cieľom školského zákona je znížiť podiel žiakov, ktorí nedosahujú ani základnú úroveň zručností, znížiť socioekonomický vplyv na vzdelávacie výsledky žiakov a podporiť rovnosť príležitostí vo vzdelávaní. V roku 2025 sú na uvedené opatrenia vyčlenené prostriedky v celkovej výške 231,7 mil. eur a v roku 2026 v celkovej výške 282,1 mil. eur. </w:t>
      </w:r>
    </w:p>
    <w:p w14:paraId="5630F7E3"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2FA2914A" w14:textId="77777777" w:rsidR="00DD531B" w:rsidRPr="00DD531B" w:rsidRDefault="00DD531B" w:rsidP="00DD531B">
      <w:pPr>
        <w:spacing w:after="0" w:line="276" w:lineRule="auto"/>
        <w:jc w:val="both"/>
        <w:rPr>
          <w:rFonts w:ascii="Times New Roman" w:eastAsia="Calibri" w:hAnsi="Times New Roman" w:cs="Times New Roman"/>
          <w:b/>
          <w:sz w:val="24"/>
          <w:szCs w:val="24"/>
        </w:rPr>
      </w:pPr>
      <w:r w:rsidRPr="00DD531B">
        <w:rPr>
          <w:rFonts w:ascii="Times New Roman" w:eastAsia="Calibri" w:hAnsi="Times New Roman" w:cs="Times New Roman"/>
          <w:b/>
          <w:sz w:val="24"/>
          <w:szCs w:val="24"/>
        </w:rPr>
        <w:t>Výkonnostné zmluvy</w:t>
      </w:r>
    </w:p>
    <w:p w14:paraId="0AAC84D9"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 xml:space="preserve">V nadväznosti na schválený materiál Dlhodobý zámer vo vzdelávacej, výskumnej, vývojovej, umeleckej a ďalšej tvorivej činnosti pre oblasť vysokých škôl na roky 2023 – 2028 boli zvýšené výdavky na rok 2024 v celkovej výške 47,3 mil. eur; v súvislosti s podpísaním výkonnostných zmlúv s verejnými vysokými školami došlo k ďalšej podpore zvyšovania kvality vysokých škôl s cieľom posilniť dlhodobú stabilitu a predvídateľnosť štátnych dotácií pre verejné vysoké školy. Zároveň došlo k zvýšeniu finančných prostriedkov na prevádzku verejných vysokých škôl z dôvodu nárastu cien energií v roku 2024 v celkovej výške 21,5 mil. eur. </w:t>
      </w:r>
    </w:p>
    <w:p w14:paraId="17713ED1"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6E83A46D"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4B47D4E5" w14:textId="77777777" w:rsidR="00DD531B" w:rsidRPr="00DD531B" w:rsidRDefault="00DD531B" w:rsidP="00DD531B">
      <w:pPr>
        <w:spacing w:after="0" w:line="276" w:lineRule="auto"/>
        <w:jc w:val="both"/>
        <w:rPr>
          <w:rFonts w:ascii="Times New Roman" w:eastAsia="Calibri" w:hAnsi="Times New Roman" w:cs="Times New Roman"/>
          <w:b/>
          <w:sz w:val="24"/>
          <w:szCs w:val="24"/>
        </w:rPr>
      </w:pPr>
      <w:r w:rsidRPr="00DD531B">
        <w:rPr>
          <w:rFonts w:ascii="Times New Roman" w:eastAsia="Calibri" w:hAnsi="Times New Roman" w:cs="Times New Roman"/>
          <w:b/>
          <w:sz w:val="24"/>
          <w:szCs w:val="24"/>
        </w:rPr>
        <w:lastRenderedPageBreak/>
        <w:t>Nové učebnice</w:t>
      </w:r>
    </w:p>
    <w:p w14:paraId="1DBF333B"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 xml:space="preserve">Ďalším cieľom bolo od roku 2024 zabezpečiť finančné prostriedky na nákup učebníc pre žiakov základných a stredných škôl a od roku 2024 došlo každoročne k zvýšeniu o 10 mil. eur na celkovú sumu 16,5 mil. eur. </w:t>
      </w:r>
    </w:p>
    <w:p w14:paraId="4B1D1056"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35088C09" w14:textId="77777777" w:rsidR="00DD531B" w:rsidRPr="00DD531B" w:rsidRDefault="00DD531B" w:rsidP="00DD531B">
      <w:pPr>
        <w:spacing w:after="0" w:line="276" w:lineRule="auto"/>
        <w:jc w:val="both"/>
        <w:rPr>
          <w:rFonts w:ascii="Times New Roman" w:eastAsia="Calibri" w:hAnsi="Times New Roman" w:cs="Times New Roman"/>
          <w:b/>
          <w:sz w:val="24"/>
          <w:szCs w:val="24"/>
        </w:rPr>
      </w:pPr>
      <w:r w:rsidRPr="00DD531B">
        <w:rPr>
          <w:rFonts w:ascii="Times New Roman" w:eastAsia="Calibri" w:hAnsi="Times New Roman" w:cs="Times New Roman"/>
          <w:b/>
          <w:sz w:val="24"/>
          <w:szCs w:val="24"/>
        </w:rPr>
        <w:t xml:space="preserve">Národná stratégia pre vedu, výskum a inovácie </w:t>
      </w:r>
    </w:p>
    <w:p w14:paraId="23F0F21D"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Zvyšuje sa podpora financovania výskumu, vývoja a inovácií v súlade so schválenou Národnou stratégiou výskumu, vývoja a inovácií (ďalej len „Národná stratégia“), ktorá nastavila strategické smerovanie výskumno-vývojovej a inovačnej politiky, jej ciele, nástroje, hlavné ukazovatele výkonnosti a formy financovania. Finančné prostriedky sú rozdelené do kapitol MŠVVŠ SR, MV SR, MH SR a ÚV SR.  Implementácia Stratégie bude prebiehať nadrezortne na Úrade vlády SR cez Radu vlády Slovenskej republiky pre vedu, techniku a inovácie v spolupráci s jednotlivými ministerstvami. Národná stratégia si vyžaduje viaczdrojové financovanie, pričom najväčšiu časť finančných potrieb pokryjú európske prostriedky Plánu obnovy a odolnosti (v roku 2024 v sume 123 mil. eur). Prostriedky  Programu Slovensko sú v roku 2024 plánované (vrátane spolufinancovania) v sume 53,3 mil. eur a financovanie zo štátneho rozpočtu v sume 50,2 mil. eur. Zapojením financovania zo zdrojov Plánu obnovy a odolnosti Slovenskej republiky, Programu Slovensko a štátneho rozpočtu sú výskum, vývoj a inovácie v zmysle Národnej stratégie podporené v roku 2024 celkovo sumou 227 mil. eur, v roku 2025 sumou 387 mil. eur a v roku 2026 sumou 483 mil. eur.</w:t>
      </w:r>
    </w:p>
    <w:p w14:paraId="6D8508E4" w14:textId="77777777" w:rsidR="00DD531B" w:rsidRPr="00DD531B" w:rsidRDefault="00DD531B" w:rsidP="00DD531B">
      <w:pPr>
        <w:spacing w:after="0" w:line="276" w:lineRule="auto"/>
        <w:jc w:val="both"/>
        <w:rPr>
          <w:rFonts w:ascii="Times New Roman" w:eastAsia="Calibri" w:hAnsi="Times New Roman" w:cs="Times New Roman"/>
          <w:sz w:val="24"/>
          <w:szCs w:val="24"/>
          <w:lang w:eastAsia="sk-SK"/>
        </w:rPr>
      </w:pPr>
    </w:p>
    <w:p w14:paraId="23B3022C" w14:textId="77777777" w:rsidR="00DD531B" w:rsidRPr="00DD531B" w:rsidRDefault="00DD531B" w:rsidP="00DD531B">
      <w:pPr>
        <w:spacing w:after="0" w:line="276" w:lineRule="auto"/>
        <w:jc w:val="both"/>
        <w:rPr>
          <w:rFonts w:ascii="Times New Roman" w:eastAsia="Calibri" w:hAnsi="Times New Roman" w:cs="Times New Roman"/>
          <w:b/>
          <w:sz w:val="24"/>
          <w:szCs w:val="24"/>
          <w:lang w:eastAsia="sk-SK"/>
        </w:rPr>
      </w:pPr>
      <w:r w:rsidRPr="00DD531B">
        <w:rPr>
          <w:rFonts w:ascii="Times New Roman" w:eastAsia="Calibri" w:hAnsi="Times New Roman" w:cs="Times New Roman"/>
          <w:b/>
          <w:sz w:val="24"/>
          <w:szCs w:val="24"/>
          <w:lang w:eastAsia="sk-SK"/>
        </w:rPr>
        <w:t>Slovenská akadémia vied</w:t>
      </w:r>
    </w:p>
    <w:p w14:paraId="256728D4" w14:textId="77777777" w:rsidR="00DD531B" w:rsidRPr="00DD531B" w:rsidRDefault="00DD531B" w:rsidP="00DD531B">
      <w:pPr>
        <w:spacing w:after="0" w:line="276" w:lineRule="auto"/>
        <w:jc w:val="both"/>
        <w:rPr>
          <w:rFonts w:ascii="Times New Roman" w:eastAsia="Calibri" w:hAnsi="Times New Roman" w:cs="Times New Roman"/>
          <w:sz w:val="24"/>
          <w:szCs w:val="24"/>
          <w:lang w:eastAsia="sk-SK"/>
        </w:rPr>
      </w:pPr>
      <w:r w:rsidRPr="00DD531B">
        <w:rPr>
          <w:rFonts w:ascii="Times New Roman" w:eastAsia="Calibri" w:hAnsi="Times New Roman" w:cs="Times New Roman"/>
          <w:sz w:val="24"/>
          <w:szCs w:val="24"/>
          <w:lang w:eastAsia="sk-SK"/>
        </w:rPr>
        <w:t>Celkové výdavky kapitoly Slovenskej akadémie vied sú na rok 2024 rozpočtované v sume 125,7 mil. eur. Do rozpočtu kapitoly SAV boli zapracované dodatočné výdavky v sume 12,9 mil. eur v rámci stabilizačnej dohody a výdavky v sume 7,5 mil. eur na financovanie výstavby Pavilónu Spoločenských vied SAV pre interdisciplinárne Centrum globálnych štúdií, civilizačných a kultúrnych analýz.</w:t>
      </w:r>
    </w:p>
    <w:p w14:paraId="01961480" w14:textId="77777777" w:rsidR="00DD531B" w:rsidRPr="00DD531B" w:rsidRDefault="00DD531B" w:rsidP="00DD531B">
      <w:pPr>
        <w:spacing w:after="0" w:line="276" w:lineRule="auto"/>
        <w:jc w:val="both"/>
        <w:rPr>
          <w:rFonts w:ascii="Times New Roman" w:eastAsia="Calibri" w:hAnsi="Times New Roman" w:cs="Times New Roman"/>
          <w:sz w:val="24"/>
          <w:szCs w:val="24"/>
          <w:lang w:eastAsia="sk-SK"/>
        </w:rPr>
      </w:pPr>
    </w:p>
    <w:p w14:paraId="759D30EA" w14:textId="77777777" w:rsidR="00DD531B" w:rsidRPr="00DD531B" w:rsidRDefault="00DD531B" w:rsidP="00DD531B">
      <w:pPr>
        <w:keepNext/>
        <w:spacing w:after="0" w:line="276" w:lineRule="auto"/>
        <w:outlineLvl w:val="1"/>
        <w:rPr>
          <w:rFonts w:ascii="Times New Roman" w:eastAsia="Times New Roman" w:hAnsi="Times New Roman" w:cs="Times New Roman"/>
          <w:b/>
          <w:bCs/>
          <w:iCs/>
          <w:color w:val="5B9BD5"/>
          <w:sz w:val="24"/>
          <w:szCs w:val="24"/>
          <w:lang w:eastAsia="cs-CZ"/>
        </w:rPr>
      </w:pPr>
      <w:r w:rsidRPr="00DD531B">
        <w:rPr>
          <w:rFonts w:ascii="Times New Roman" w:eastAsia="Times New Roman" w:hAnsi="Times New Roman" w:cs="Times New Roman"/>
          <w:b/>
          <w:bCs/>
          <w:iCs/>
          <w:color w:val="5B9BD5"/>
          <w:sz w:val="24"/>
          <w:szCs w:val="24"/>
          <w:lang w:eastAsia="cs-CZ"/>
        </w:rPr>
        <w:t xml:space="preserve">Doprava a bývanie </w:t>
      </w:r>
    </w:p>
    <w:p w14:paraId="2A6A669D" w14:textId="77777777" w:rsidR="00DD531B" w:rsidRPr="00DD531B" w:rsidRDefault="00DD531B" w:rsidP="00DD531B">
      <w:pPr>
        <w:spacing w:after="0" w:line="276" w:lineRule="auto"/>
        <w:jc w:val="both"/>
        <w:rPr>
          <w:rFonts w:ascii="Times New Roman" w:eastAsia="Calibri" w:hAnsi="Times New Roman" w:cs="Times New Roman"/>
          <w:iCs/>
          <w:sz w:val="24"/>
          <w:szCs w:val="24"/>
        </w:rPr>
      </w:pPr>
    </w:p>
    <w:p w14:paraId="4EEF5FBD" w14:textId="77777777" w:rsidR="00DD531B" w:rsidRPr="00DD531B" w:rsidRDefault="00DD531B" w:rsidP="00DD531B">
      <w:pPr>
        <w:spacing w:after="0" w:line="276" w:lineRule="auto"/>
        <w:jc w:val="both"/>
        <w:rPr>
          <w:rFonts w:ascii="Times New Roman" w:hAnsi="Times New Roman" w:cs="Times New Roman"/>
          <w:bCs/>
          <w:sz w:val="24"/>
        </w:rPr>
      </w:pPr>
      <w:r w:rsidRPr="00DD531B">
        <w:rPr>
          <w:rFonts w:ascii="Times New Roman" w:hAnsi="Times New Roman" w:cs="Times New Roman"/>
          <w:bCs/>
          <w:sz w:val="24"/>
        </w:rPr>
        <w:t xml:space="preserve">Výdavky na dopravu a rozvoj bývania v celkovom objeme 3,49 mld. eur sa v roku 2024 budú realizovať prostredníctvom úradu Ministerstva dopravy SR, ako aj prostredníctvom organizácií v zriaďovateľskej a zakladateľskej pôsobnosti kapitoly, a to Národnej diaľničnej spoločnosti, a. s., ktorá zabezpečuje prípravu, výstavbu a realizáciu opráv diaľnic a rýchlostných ciest na základe schválených projektov, prostredníctvom Slovenskej správy ciest, ktorá zabezpečuje výstavbu a správu ciest I. triedy, prostredníctvom Železníc SR, ktoré </w:t>
      </w:r>
      <w:r w:rsidRPr="00DD531B">
        <w:rPr>
          <w:rFonts w:ascii="Times New Roman" w:hAnsi="Times New Roman" w:cs="Times New Roman"/>
          <w:sz w:val="24"/>
        </w:rPr>
        <w:t>spravujú železničnú infraštruktúru vo vlastníctve štátu a vykonávajú funkciu manažéra infraštruktúry</w:t>
      </w:r>
      <w:r w:rsidRPr="00DD531B">
        <w:rPr>
          <w:rFonts w:ascii="Times New Roman" w:hAnsi="Times New Roman" w:cs="Times New Roman"/>
          <w:bCs/>
          <w:sz w:val="24"/>
        </w:rPr>
        <w:t xml:space="preserve">, Železničnej spoločnosti Slovensko, a. s., ktorá </w:t>
      </w:r>
      <w:r w:rsidRPr="00DD531B">
        <w:rPr>
          <w:rFonts w:ascii="Times New Roman" w:hAnsi="Times New Roman" w:cs="Times New Roman"/>
          <w:sz w:val="24"/>
        </w:rPr>
        <w:t>je hlavným dopravcom zabezpečujúcim osobnú železničnú dopravu vo verejnom záujme a teda zabezpečuje dopravné a prepravné služby zodpovedajúce záujmom dopravnej politiky štátu a požiadavkám trhu,</w:t>
      </w:r>
      <w:r w:rsidRPr="00DD531B">
        <w:rPr>
          <w:rFonts w:ascii="Times New Roman" w:hAnsi="Times New Roman" w:cs="Times New Roman"/>
          <w:bCs/>
          <w:sz w:val="24"/>
        </w:rPr>
        <w:t xml:space="preserve"> ako aj prostredníctvom Štátneho fondu rozvoja bývania, ktorý podporuje zlepšenie kvalitatívnych podmienok existujúceho bytového fondu a zvýšenie počtu dokončovaných bytov. Rozvoj a elektronizáciu územného plánovania a výstavby realizuje od roku 2023 Úrad pre územné plánovanie a výstavbu SR.</w:t>
      </w:r>
    </w:p>
    <w:p w14:paraId="5038B32C" w14:textId="77777777" w:rsidR="00DD531B" w:rsidRPr="00DD531B" w:rsidRDefault="00DD531B" w:rsidP="00DD531B">
      <w:pPr>
        <w:spacing w:after="0" w:line="276" w:lineRule="auto"/>
        <w:jc w:val="both"/>
        <w:rPr>
          <w:rFonts w:ascii="Times New Roman" w:eastAsia="Calibri" w:hAnsi="Times New Roman" w:cs="Times New Roman"/>
          <w:iCs/>
          <w:sz w:val="24"/>
          <w:szCs w:val="24"/>
        </w:rPr>
      </w:pPr>
    </w:p>
    <w:p w14:paraId="2A3E6CD6" w14:textId="77777777" w:rsidR="00DD531B" w:rsidRPr="00DD531B" w:rsidRDefault="00DD531B" w:rsidP="00DD531B">
      <w:pPr>
        <w:spacing w:after="0" w:line="276" w:lineRule="auto"/>
        <w:jc w:val="both"/>
        <w:rPr>
          <w:rFonts w:ascii="Times New Roman" w:eastAsia="Calibri" w:hAnsi="Times New Roman" w:cs="Times New Roman"/>
          <w:b/>
          <w:iCs/>
          <w:sz w:val="24"/>
          <w:szCs w:val="24"/>
        </w:rPr>
      </w:pPr>
      <w:r w:rsidRPr="00DD531B">
        <w:rPr>
          <w:rFonts w:ascii="Times New Roman" w:eastAsia="Calibri" w:hAnsi="Times New Roman" w:cs="Times New Roman"/>
          <w:b/>
          <w:iCs/>
          <w:sz w:val="24"/>
          <w:szCs w:val="24"/>
        </w:rPr>
        <w:lastRenderedPageBreak/>
        <w:t>Výstavba a obnova cestnej infraštruktúry</w:t>
      </w:r>
    </w:p>
    <w:p w14:paraId="37E21D04" w14:textId="77777777" w:rsidR="00DD531B" w:rsidRPr="00DD531B" w:rsidRDefault="00DD531B" w:rsidP="00DD531B">
      <w:pPr>
        <w:spacing w:after="0" w:line="276" w:lineRule="auto"/>
        <w:jc w:val="both"/>
        <w:rPr>
          <w:rFonts w:ascii="Times New Roman" w:eastAsia="Calibri" w:hAnsi="Times New Roman" w:cs="Times New Roman"/>
          <w:iCs/>
          <w:sz w:val="24"/>
          <w:szCs w:val="24"/>
        </w:rPr>
      </w:pPr>
      <w:r w:rsidRPr="00DD531B">
        <w:rPr>
          <w:rFonts w:ascii="Times New Roman" w:eastAsia="Calibri" w:hAnsi="Times New Roman" w:cs="Times New Roman"/>
          <w:iCs/>
          <w:sz w:val="24"/>
          <w:szCs w:val="24"/>
        </w:rPr>
        <w:t xml:space="preserve">Do dopravnej infraštruktúry bude v roku 2024 smerovať 1,88 mld. eur zo zdrojov štátneho rozpočtu, EÚ prostriedkov ako aj zo zdrojov Plánu obnovy a odolnosti. Z uvedených prostriedkov sa bude zabezpečovať výstavba a obnova cestnej infraštruktúry v objeme 733 mil. eur v súlade so schváleným Harmonogramom prípravy a výstavby projektov cestnej infraštruktúry vrátane rekonštrukcie a modernizácie mostných objektov na cestách I. triedy. </w:t>
      </w:r>
    </w:p>
    <w:p w14:paraId="78800308" w14:textId="77777777" w:rsidR="00DD531B" w:rsidRPr="00DD531B" w:rsidRDefault="00DD531B" w:rsidP="00DD531B">
      <w:pPr>
        <w:spacing w:after="0" w:line="276" w:lineRule="auto"/>
        <w:jc w:val="both"/>
        <w:rPr>
          <w:rFonts w:ascii="Times New Roman" w:eastAsia="Calibri" w:hAnsi="Times New Roman" w:cs="Times New Roman"/>
          <w:iCs/>
          <w:sz w:val="24"/>
          <w:szCs w:val="24"/>
        </w:rPr>
      </w:pPr>
    </w:p>
    <w:p w14:paraId="62014F47" w14:textId="77777777" w:rsidR="00DD531B" w:rsidRPr="00DD531B" w:rsidRDefault="00DD531B" w:rsidP="00DD531B">
      <w:pPr>
        <w:spacing w:after="0" w:line="276" w:lineRule="auto"/>
        <w:jc w:val="both"/>
        <w:rPr>
          <w:rFonts w:ascii="Times New Roman" w:eastAsia="Calibri" w:hAnsi="Times New Roman" w:cs="Times New Roman"/>
          <w:b/>
          <w:iCs/>
          <w:sz w:val="24"/>
          <w:szCs w:val="24"/>
        </w:rPr>
      </w:pPr>
      <w:r w:rsidRPr="00DD531B">
        <w:rPr>
          <w:rFonts w:ascii="Times New Roman" w:eastAsia="Calibri" w:hAnsi="Times New Roman" w:cs="Times New Roman"/>
          <w:b/>
          <w:iCs/>
          <w:sz w:val="24"/>
          <w:szCs w:val="24"/>
        </w:rPr>
        <w:t>Železnice</w:t>
      </w:r>
    </w:p>
    <w:p w14:paraId="674B3CEB" w14:textId="77777777" w:rsidR="00DD531B" w:rsidRPr="00DD531B" w:rsidRDefault="00DD531B" w:rsidP="00DD531B">
      <w:pPr>
        <w:spacing w:after="0" w:line="276" w:lineRule="auto"/>
        <w:jc w:val="both"/>
        <w:rPr>
          <w:rFonts w:ascii="Times New Roman" w:eastAsia="Calibri" w:hAnsi="Times New Roman" w:cs="Times New Roman"/>
          <w:iCs/>
          <w:sz w:val="24"/>
          <w:szCs w:val="24"/>
        </w:rPr>
      </w:pPr>
      <w:r w:rsidRPr="00DD531B">
        <w:rPr>
          <w:rFonts w:ascii="Times New Roman" w:eastAsia="Calibri" w:hAnsi="Times New Roman" w:cs="Times New Roman"/>
          <w:iCs/>
          <w:sz w:val="24"/>
          <w:szCs w:val="24"/>
        </w:rPr>
        <w:t>Na výstavbu a obnovu železničnej infraštruktúry je vyčlenených 107 mil. eur na zabezpečenie realizácie projektov zo schváleného Harmonogramu prípravy a výstavby projektov železničnej infraštruktúry. Na prevádzku železníc a zabezpečenie dopravných služieb vo verejnom záujme je v roku 2024 vyčlenených 920 mil. eur s medziročným nárastom zdrojov o 227 mil. eur, z čoho sa zabezpečuje okrem prevádzky aj odložená údržba železničnej infraštruktúry.</w:t>
      </w:r>
    </w:p>
    <w:p w14:paraId="4C6CF350" w14:textId="77777777" w:rsidR="00DD531B" w:rsidRPr="00DD531B" w:rsidRDefault="00DD531B" w:rsidP="00DD531B">
      <w:pPr>
        <w:spacing w:after="0" w:line="276" w:lineRule="auto"/>
        <w:jc w:val="both"/>
        <w:rPr>
          <w:rFonts w:ascii="Times New Roman" w:eastAsia="Calibri" w:hAnsi="Times New Roman" w:cs="Times New Roman"/>
          <w:iCs/>
          <w:sz w:val="24"/>
          <w:szCs w:val="24"/>
        </w:rPr>
      </w:pPr>
    </w:p>
    <w:p w14:paraId="0ABF2C24" w14:textId="77777777" w:rsidR="00DD531B" w:rsidRPr="00DD531B" w:rsidRDefault="00DD531B" w:rsidP="00DD531B">
      <w:pPr>
        <w:spacing w:after="0" w:line="276" w:lineRule="auto"/>
        <w:jc w:val="both"/>
        <w:rPr>
          <w:rFonts w:ascii="Times New Roman" w:eastAsia="Calibri" w:hAnsi="Times New Roman" w:cs="Times New Roman"/>
          <w:b/>
          <w:iCs/>
          <w:sz w:val="24"/>
          <w:szCs w:val="24"/>
        </w:rPr>
      </w:pPr>
      <w:r w:rsidRPr="00DD531B">
        <w:rPr>
          <w:rFonts w:ascii="Times New Roman" w:eastAsia="Calibri" w:hAnsi="Times New Roman" w:cs="Times New Roman"/>
          <w:b/>
          <w:iCs/>
          <w:sz w:val="24"/>
          <w:szCs w:val="24"/>
        </w:rPr>
        <w:t>Bývanie a územné plánovanie</w:t>
      </w:r>
    </w:p>
    <w:p w14:paraId="630D2004" w14:textId="77777777" w:rsidR="00DD531B" w:rsidRPr="00DD531B" w:rsidRDefault="00DD531B" w:rsidP="00DD531B">
      <w:pPr>
        <w:spacing w:after="0" w:line="276" w:lineRule="auto"/>
        <w:jc w:val="both"/>
        <w:rPr>
          <w:rFonts w:ascii="Times New Roman" w:eastAsia="Calibri" w:hAnsi="Times New Roman" w:cs="Times New Roman"/>
          <w:iCs/>
          <w:sz w:val="24"/>
          <w:szCs w:val="24"/>
        </w:rPr>
      </w:pPr>
      <w:r w:rsidRPr="00DD531B">
        <w:rPr>
          <w:rFonts w:ascii="Times New Roman" w:eastAsia="Calibri" w:hAnsi="Times New Roman" w:cs="Times New Roman"/>
          <w:iCs/>
          <w:sz w:val="24"/>
          <w:szCs w:val="24"/>
        </w:rPr>
        <w:t>Na podporu bývania je vyčlenených 51,2 mil. eur najmä na výstavbu a obnovu bytového fondu. V rámci výdavkov na cestovný ruch v objeme 45,7 mil. eur sa uvažuje aj s výdavkami na príspevok za poskytnutie ubytovania odídencovi z Ukrajiny. Na oblasť územného plánovania a výstavby je vyčlenených 61,5 mil. eur za účelom znižovania administratívnej záťaže, zjednodušovanie stavebného povolenia za pomoci elektronizácie procesov a digitalizáciu dát v oblasti územného plánovania a výstavby.</w:t>
      </w:r>
    </w:p>
    <w:p w14:paraId="09922979" w14:textId="77777777" w:rsidR="00DD531B" w:rsidRPr="00DD531B" w:rsidRDefault="00DD531B" w:rsidP="00DD531B">
      <w:pPr>
        <w:keepNext/>
        <w:spacing w:after="0" w:line="276" w:lineRule="auto"/>
        <w:jc w:val="both"/>
        <w:outlineLvl w:val="1"/>
        <w:rPr>
          <w:rFonts w:ascii="Times New Roman" w:eastAsia="Times New Roman" w:hAnsi="Times New Roman" w:cs="Times New Roman"/>
          <w:b/>
          <w:bCs/>
          <w:iCs/>
          <w:color w:val="5B9BD5"/>
          <w:sz w:val="24"/>
          <w:szCs w:val="24"/>
          <w:lang w:eastAsia="cs-CZ"/>
        </w:rPr>
      </w:pPr>
    </w:p>
    <w:p w14:paraId="474DCFA3" w14:textId="77777777" w:rsidR="00DD531B" w:rsidRPr="00DD531B" w:rsidRDefault="00DD531B" w:rsidP="00DD531B">
      <w:pPr>
        <w:keepNext/>
        <w:spacing w:after="0" w:line="276" w:lineRule="auto"/>
        <w:jc w:val="both"/>
        <w:outlineLvl w:val="1"/>
        <w:rPr>
          <w:rFonts w:ascii="Times New Roman" w:eastAsia="Times New Roman" w:hAnsi="Times New Roman" w:cs="Times New Roman"/>
          <w:b/>
          <w:bCs/>
          <w:iCs/>
          <w:color w:val="5B9BD5"/>
          <w:sz w:val="24"/>
          <w:szCs w:val="24"/>
          <w:lang w:eastAsia="cs-CZ"/>
        </w:rPr>
      </w:pPr>
      <w:r w:rsidRPr="00DD531B">
        <w:rPr>
          <w:rFonts w:ascii="Times New Roman" w:eastAsia="Times New Roman" w:hAnsi="Times New Roman" w:cs="Times New Roman"/>
          <w:b/>
          <w:bCs/>
          <w:iCs/>
          <w:color w:val="5B9BD5"/>
          <w:sz w:val="24"/>
          <w:szCs w:val="24"/>
          <w:lang w:eastAsia="cs-CZ"/>
        </w:rPr>
        <w:t>Sociálne veci a podpora zamestnanosti</w:t>
      </w:r>
    </w:p>
    <w:p w14:paraId="0F238166" w14:textId="77777777" w:rsidR="00DD531B" w:rsidRPr="00DD531B" w:rsidRDefault="00DD531B" w:rsidP="00DD531B">
      <w:pPr>
        <w:keepNext/>
        <w:spacing w:after="0" w:line="276" w:lineRule="auto"/>
        <w:jc w:val="both"/>
        <w:outlineLvl w:val="1"/>
        <w:rPr>
          <w:rFonts w:ascii="Times New Roman" w:eastAsia="Times New Roman" w:hAnsi="Times New Roman" w:cs="Times New Roman"/>
          <w:b/>
          <w:bCs/>
          <w:iCs/>
          <w:color w:val="5B9BD5"/>
          <w:sz w:val="24"/>
          <w:szCs w:val="24"/>
          <w:lang w:eastAsia="cs-CZ"/>
        </w:rPr>
      </w:pPr>
    </w:p>
    <w:p w14:paraId="6027F015" w14:textId="77777777" w:rsidR="00DD531B" w:rsidRPr="00DD531B" w:rsidRDefault="00DD531B" w:rsidP="00DD531B">
      <w:pPr>
        <w:spacing w:after="0" w:line="276" w:lineRule="auto"/>
        <w:jc w:val="both"/>
        <w:rPr>
          <w:rFonts w:ascii="Times New Roman" w:hAnsi="Times New Roman"/>
          <w:color w:val="000000"/>
          <w:sz w:val="24"/>
          <w:szCs w:val="24"/>
        </w:rPr>
      </w:pPr>
      <w:r w:rsidRPr="00DD531B">
        <w:rPr>
          <w:rFonts w:ascii="Times New Roman" w:hAnsi="Times New Roman"/>
          <w:color w:val="000000"/>
          <w:sz w:val="24"/>
          <w:szCs w:val="24"/>
        </w:rPr>
        <w:t>Celkové výdavky oblasti sa na rok 2024 rozpočtujú v sume 17,8 mld. eur. Uvedené výdavky sú určené na hmotné zabezpečenie v starobe, pri nespôsobilosti na prácu alebo znemožnení jej výkonu a v prípade osirenia alebo ovdovenia. Zároveň sú určené na spravodlivé a uspokojujúce pracovné podmienky, na poskytovanie osobitnej ochrany v pracovných vzťahoch zraniteľným skupinám, na podporu a pomoc pri hľadaní zamestnania uchádzačom o zamestnanie, pri zmene zamestnania záujemcom o zamestnanie a účastníkom trhu práce pri obsadzovaní voľných pracovných miest, na uplatňovanie aktívnych opatrení na trhu práce s osobitným zreteľom na pracovné uplatnenie znevýhodnených uchádzačov o zamestnanie. Zároveň zabezpečujú poskytovanie podpory pre rodičov, ktorí sa starajú o deti a pomoc občanom v hmotnej núdzi.</w:t>
      </w:r>
    </w:p>
    <w:p w14:paraId="77324126" w14:textId="77777777" w:rsidR="00DD531B" w:rsidRPr="00DD531B" w:rsidRDefault="00DD531B" w:rsidP="00DD531B">
      <w:pPr>
        <w:spacing w:after="0" w:line="276" w:lineRule="auto"/>
        <w:jc w:val="both"/>
        <w:rPr>
          <w:rFonts w:ascii="Times New Roman" w:hAnsi="Times New Roman"/>
          <w:color w:val="000000"/>
          <w:sz w:val="24"/>
          <w:szCs w:val="24"/>
        </w:rPr>
      </w:pPr>
    </w:p>
    <w:p w14:paraId="5DFA41BE" w14:textId="605C39AC" w:rsidR="00DD531B" w:rsidRDefault="00DD531B" w:rsidP="0039178C">
      <w:pPr>
        <w:spacing w:after="0" w:line="276" w:lineRule="auto"/>
        <w:jc w:val="both"/>
      </w:pPr>
      <w:r w:rsidRPr="00DD531B">
        <w:rPr>
          <w:rFonts w:ascii="Times New Roman" w:hAnsi="Times New Roman"/>
          <w:color w:val="000000"/>
          <w:sz w:val="24"/>
          <w:szCs w:val="24"/>
        </w:rPr>
        <w:t>V kapitole Ministerstva práce, sociálnych vecí a rodiny SR sa rozpočtujú výdavky pre sedem podriadených organizácií, z toho 6 rozpočtových a 1 príspevkovú organizáciu. Najväčšou organizáciou je Ústredie práce, sociálnych vecí a rodiny, ktoré prostredníctvom 46 úradov práce, sociálnych vecí a rodiny vykonáva štátnu správu v oblasti sociálnych vecí a služieb zamestnanosti.</w:t>
      </w:r>
      <w:r w:rsidRPr="00DD531B">
        <w:t xml:space="preserve"> </w:t>
      </w:r>
    </w:p>
    <w:p w14:paraId="4D1D6F79" w14:textId="77777777" w:rsidR="0039178C" w:rsidRPr="00DD531B" w:rsidRDefault="0039178C" w:rsidP="0039178C">
      <w:pPr>
        <w:spacing w:after="0" w:line="276" w:lineRule="auto"/>
        <w:jc w:val="both"/>
        <w:rPr>
          <w:rFonts w:ascii="Calibri" w:hAnsi="Calibri"/>
        </w:rPr>
      </w:pPr>
    </w:p>
    <w:p w14:paraId="64B90870" w14:textId="77777777" w:rsidR="00DD531B" w:rsidRPr="00DD531B" w:rsidRDefault="00DD531B" w:rsidP="0039178C">
      <w:pPr>
        <w:spacing w:after="0" w:line="276" w:lineRule="auto"/>
        <w:jc w:val="both"/>
        <w:rPr>
          <w:rFonts w:ascii="Times New Roman" w:hAnsi="Times New Roman"/>
          <w:color w:val="000000"/>
          <w:sz w:val="24"/>
          <w:szCs w:val="24"/>
        </w:rPr>
      </w:pPr>
      <w:r w:rsidRPr="00DD531B">
        <w:rPr>
          <w:rFonts w:ascii="Times New Roman" w:hAnsi="Times New Roman"/>
          <w:color w:val="000000"/>
          <w:sz w:val="24"/>
          <w:szCs w:val="24"/>
        </w:rPr>
        <w:t xml:space="preserve">Výplata dávok sociálneho poistenia sa zabezpečuje prostredníctvom verejnoprávnej inštitúcie, ktorou je Sociálna poisťovňa. Sociálne poistenie slúži na ochranu obyvateľov v rôznych životných situáciách (ako napr. materstvo, pracovná neschopnosť, invalidita, staroba alebo nezamestnanosť). </w:t>
      </w:r>
    </w:p>
    <w:p w14:paraId="2985988A" w14:textId="77777777" w:rsidR="00DD531B" w:rsidRPr="00DD531B" w:rsidRDefault="00DD531B" w:rsidP="00DD531B">
      <w:pPr>
        <w:spacing w:after="0" w:line="276" w:lineRule="auto"/>
        <w:jc w:val="both"/>
        <w:rPr>
          <w:rFonts w:ascii="Times New Roman" w:eastAsia="Calibri" w:hAnsi="Times New Roman" w:cs="Times New Roman"/>
          <w:b/>
          <w:sz w:val="24"/>
          <w:szCs w:val="24"/>
        </w:rPr>
      </w:pPr>
      <w:r w:rsidRPr="00DD531B">
        <w:rPr>
          <w:rFonts w:ascii="Times New Roman" w:eastAsia="Calibri" w:hAnsi="Times New Roman" w:cs="Times New Roman"/>
          <w:b/>
          <w:sz w:val="24"/>
          <w:szCs w:val="24"/>
        </w:rPr>
        <w:lastRenderedPageBreak/>
        <w:t>Transformácia doterajšieho 13. dôchodku na plnohodnotný priemerný 13. dôchodok</w:t>
      </w:r>
    </w:p>
    <w:p w14:paraId="0539B689"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 xml:space="preserve">Od roku 2024 sú v návrhu rozpočtu vyčlenené zdroje na výplatu plnohodnotných 13. dôchodkov. Pri určení sumy sa vychádza z priemerného dôchodku za predchádzajúci rok, čo v roku 2024 pri starobnom dôchodku predstavuje sumu 606 eur. V návrhu zákona sa zároveň stanovuje poistka, podľa ktorej suma 13. dôchodku nesmie byť nižšia ako 300 eur. V roku 2024 sa predpokladá na opatrenie vynaložiť 823 mil. eur, v tom sú zahrnuté okrem dôchodkov vyplácaných Sociálnou poisťovňou aj invalidné a sociálne dôchodky hradené ministerstvom práce a dôchodky tzv. silových rezortov.  </w:t>
      </w:r>
    </w:p>
    <w:p w14:paraId="6405FE27" w14:textId="23499E41" w:rsidR="00DD531B" w:rsidRPr="00DD531B" w:rsidRDefault="00DD531B" w:rsidP="00DD531B">
      <w:pPr>
        <w:spacing w:after="0" w:line="276" w:lineRule="auto"/>
        <w:jc w:val="both"/>
        <w:rPr>
          <w:rFonts w:ascii="Times New Roman" w:eastAsia="Calibri" w:hAnsi="Times New Roman" w:cs="Times New Roman"/>
          <w:b/>
          <w:sz w:val="24"/>
          <w:szCs w:val="24"/>
        </w:rPr>
      </w:pPr>
    </w:p>
    <w:p w14:paraId="54F409EA" w14:textId="77777777" w:rsidR="00DD531B" w:rsidRPr="00DD531B" w:rsidRDefault="00DD531B" w:rsidP="00DD531B">
      <w:pPr>
        <w:spacing w:after="0" w:line="276" w:lineRule="auto"/>
        <w:jc w:val="both"/>
        <w:rPr>
          <w:rFonts w:ascii="Times New Roman" w:eastAsia="Calibri" w:hAnsi="Times New Roman" w:cs="Times New Roman"/>
          <w:b/>
          <w:sz w:val="24"/>
          <w:szCs w:val="24"/>
        </w:rPr>
      </w:pPr>
      <w:r w:rsidRPr="00DD531B">
        <w:rPr>
          <w:rFonts w:ascii="Times New Roman" w:eastAsia="Calibri" w:hAnsi="Times New Roman" w:cs="Times New Roman"/>
          <w:b/>
          <w:sz w:val="24"/>
          <w:szCs w:val="24"/>
        </w:rPr>
        <w:t>Pomoc vlády so splátkami hypoték</w:t>
      </w:r>
    </w:p>
    <w:p w14:paraId="312D377E"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 xml:space="preserve">Ľuďom, ktorým v roku 2024 po </w:t>
      </w:r>
      <w:proofErr w:type="spellStart"/>
      <w:r w:rsidRPr="00DD531B">
        <w:rPr>
          <w:rFonts w:ascii="Times New Roman" w:eastAsia="Calibri" w:hAnsi="Times New Roman" w:cs="Times New Roman"/>
          <w:sz w:val="24"/>
          <w:szCs w:val="24"/>
        </w:rPr>
        <w:t>refixácii</w:t>
      </w:r>
      <w:proofErr w:type="spellEnd"/>
      <w:r w:rsidRPr="00DD531B">
        <w:rPr>
          <w:rFonts w:ascii="Times New Roman" w:eastAsia="Calibri" w:hAnsi="Times New Roman" w:cs="Times New Roman"/>
          <w:sz w:val="24"/>
          <w:szCs w:val="24"/>
        </w:rPr>
        <w:t xml:space="preserve"> hypotéky skokovo narastú úroky a tak aj splátka, pomôže Ministerstvo práce sociálnych vecí a rodiny formou príspevku, ktorý sa bude vyplácať na mesačnej báze. Štát preplatí 75 % z nárastu splátky, a to až do maximálnej výšky 150 eur mesačne. Pomoc je určená pre nízkopríjmové domácnosti, ktorým pre nárast úrokových sadzieb hrozí, že nezvládnu splácať svoje bývanie. Príjem môže dosahovať maximálne 1,6 násobok priemernej mzdy. V tomto prípade ide o nominálnu sumu hrubého príjmu maximálne 2 086,40 eur (za rok 2022). V prípade, ak je na úverovej zmluve spoludlžník (napríklad manželia), táto hranica sa zdvojnásobuje. Pomoc si môže osoba uplatniť len na jednu úverovú zmluvu a jednu nehnuteľnosť, pričom daná nehnuteľnosť musí slúžiť na bývanie a nesmie sa prenajímať. Na samotný príspevok je v rozpočte na rok 2024 alokovaná suma 64 mil. eur.</w:t>
      </w:r>
    </w:p>
    <w:p w14:paraId="2EB69C50"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2E97841A" w14:textId="77777777" w:rsidR="00DD531B" w:rsidRPr="00DD531B" w:rsidRDefault="00DD531B" w:rsidP="00DD531B">
      <w:pPr>
        <w:spacing w:after="0" w:line="276" w:lineRule="auto"/>
        <w:jc w:val="both"/>
        <w:rPr>
          <w:rFonts w:ascii="Times New Roman" w:eastAsia="Calibri" w:hAnsi="Times New Roman" w:cs="Times New Roman"/>
          <w:b/>
          <w:sz w:val="24"/>
          <w:szCs w:val="24"/>
        </w:rPr>
      </w:pPr>
      <w:r w:rsidRPr="00DD531B">
        <w:rPr>
          <w:rFonts w:ascii="Times New Roman" w:eastAsia="Calibri" w:hAnsi="Times New Roman" w:cs="Times New Roman"/>
          <w:b/>
          <w:sz w:val="24"/>
          <w:szCs w:val="24"/>
        </w:rPr>
        <w:t>Zvýšenie invalidných dôchodkov</w:t>
      </w:r>
    </w:p>
    <w:p w14:paraId="05B3A786"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 xml:space="preserve">Novelou zákona o sociálnom poistení sa upravila percentuálna miera poklesu schopnosti vykonávať zárobkovú činnosť, a to tak, aby presvedčivo a reálne zodpovedala závažnosti poškodenia zdravia a umožnila zaradiť nové druhy ochorení (v súlade s aktuálnymi medicínskymi poznatkami), čo bude mať pri niektorých ochoreniach vplyv na uznanie invalidity, resp. uznanie invalidity s vyššou percentuálnou mierou poklesu schopnosti vykonávať zárobkovú činnosť, a tým aj vplyv na nárok na invalidný dôchodok a jeho výšku. Novela zákona o sociálnom poistení zároveň predpokladá nárast novopriznaných invalidných dôchodkov. Sociálna poisťovňa bude mať dva roky od účinnosti novely zákona o sociálnom poistení, aby rozhodla o všetkých invalidných dôchodkoch, ktorých sa úprava percentuálnej miery poklesu schopnosti vykonávať zárobkovú činnosť dotkne. Výdavky Sociálnej poisťovne sa z tohto titulu upravili o sumu 43,4 mil. eur v roku 2024, 71,0 mil. eur v roku 2025 a 62,1 mil. eur v roku 2026. </w:t>
      </w:r>
    </w:p>
    <w:p w14:paraId="582E7D7F"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0A91455C" w14:textId="77777777" w:rsidR="00DD531B" w:rsidRPr="00DD531B" w:rsidRDefault="00DD531B" w:rsidP="00DD531B">
      <w:pPr>
        <w:spacing w:after="0" w:line="276" w:lineRule="auto"/>
        <w:jc w:val="both"/>
        <w:rPr>
          <w:rFonts w:ascii="Times New Roman" w:eastAsia="Calibri" w:hAnsi="Times New Roman" w:cs="Times New Roman"/>
          <w:b/>
          <w:sz w:val="24"/>
          <w:szCs w:val="24"/>
        </w:rPr>
      </w:pPr>
      <w:r w:rsidRPr="00DD531B">
        <w:rPr>
          <w:rFonts w:ascii="Times New Roman" w:eastAsia="Calibri" w:hAnsi="Times New Roman" w:cs="Times New Roman"/>
          <w:b/>
          <w:sz w:val="24"/>
          <w:szCs w:val="24"/>
        </w:rPr>
        <w:t>Rodičovský dôchodok pre rodičov, ktorých deti neboli prijaté do štátnej škôlky</w:t>
      </w:r>
    </w:p>
    <w:p w14:paraId="021E9432"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Rodičia detí vo veku od 3 rokov majú nárok na predĺžené poskytovanie rodičovského príspevku, pokiaľ dieťa neprijali do spádovej materskej školy z kapacitných dôvodov. Príspevok sa poskytuje len počas školského roka a požiadať oň možno na príslušnom úrade práce, sociálnych vecí a rodiny podľa miesta bydliska. Rodičovi vzniká nárok na rodičovský príspevok aj vtedy, ak pracuje a dieťa umiestni v súkromnej materskej škole. Na tento účel boli do návrhu rozpočtu zapracované výdavky v sume 136 mil. eur v roku 2024, 143 mil. eur v roku 2025 a 150 mil. eur v roku 2026.</w:t>
      </w:r>
    </w:p>
    <w:p w14:paraId="6A27F75C"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1A498348" w14:textId="77777777" w:rsidR="00DD531B" w:rsidRPr="00DD531B" w:rsidRDefault="00DD531B" w:rsidP="00DD531B">
      <w:pPr>
        <w:spacing w:after="0" w:line="276" w:lineRule="auto"/>
        <w:jc w:val="both"/>
        <w:rPr>
          <w:rFonts w:ascii="Times New Roman" w:eastAsia="Calibri" w:hAnsi="Times New Roman" w:cs="Times New Roman"/>
          <w:b/>
          <w:sz w:val="24"/>
          <w:szCs w:val="24"/>
        </w:rPr>
      </w:pPr>
      <w:r w:rsidRPr="00DD531B">
        <w:rPr>
          <w:rFonts w:ascii="Times New Roman" w:eastAsia="Calibri" w:hAnsi="Times New Roman" w:cs="Times New Roman"/>
          <w:b/>
          <w:sz w:val="24"/>
          <w:szCs w:val="24"/>
        </w:rPr>
        <w:lastRenderedPageBreak/>
        <w:t>Rozmrazenie minimálnych dôchodkov</w:t>
      </w:r>
    </w:p>
    <w:p w14:paraId="113E1922"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 xml:space="preserve">Do rozpočtu na roky 2024 až 2026 boli alokované zdroje v súvislosti s rozmrazením a zmenami v minimálnych dôchodkoch v roku 2023. Minimálne dôchodky rastú z dôvodu opätovného naviazania súm minimálneho dôchodku na sumu životného minima platnú pre jednu fyzickú osobu od 1. júla 2023. Ďalej sa minimálne dôchodky zvýšia aj v dôsledku zvýšenia základnej sumy minimálneho dôchodku zo 136 % na 145 % sumy životného minima pre jednu plnoletú fyzickú osobu od 1. októbra 2023. Zároveň sa upravili percentuálne body, o ktoré základná suma minimálneho dôchodku rastie, ak osoba získala stanovený počet kvalifikovaných rokov dôchodkového poistenia. Cieľom opatrení je zvýšenie solidarity dôchodkového systému s najnižšími príjmovými skupinami obyvateľstva rovnako ako zabezpečenie základného účelu minimálneho dôchodku, a tým, aby jeho poberatelia neboli závislí od pomoci v hmotnej núdzi. Vplyv uvedených legislatívnych zmien na rozpočet v roku 2024 sa predpokladá v sume 33,1 mil. eur, v roku 2025 v sume 35,3 mil. eur a v roku 2026 v sume 36,4 mil. eur. </w:t>
      </w:r>
    </w:p>
    <w:p w14:paraId="1656D4C4"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1C2D2B83" w14:textId="77777777" w:rsidR="00DD531B" w:rsidRPr="00DD531B" w:rsidRDefault="00DD531B" w:rsidP="00DD531B">
      <w:pPr>
        <w:spacing w:after="0" w:line="276" w:lineRule="auto"/>
        <w:jc w:val="both"/>
        <w:rPr>
          <w:rFonts w:ascii="Times New Roman" w:eastAsia="Calibri" w:hAnsi="Times New Roman" w:cs="Times New Roman"/>
          <w:b/>
          <w:sz w:val="24"/>
          <w:szCs w:val="24"/>
        </w:rPr>
      </w:pPr>
      <w:r w:rsidRPr="00DD531B">
        <w:rPr>
          <w:rFonts w:ascii="Times New Roman" w:eastAsia="Calibri" w:hAnsi="Times New Roman" w:cs="Times New Roman"/>
          <w:b/>
          <w:sz w:val="24"/>
          <w:szCs w:val="24"/>
        </w:rPr>
        <w:t>Dotácia na stravu v školách</w:t>
      </w:r>
    </w:p>
    <w:p w14:paraId="0BEAFEEF"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V rozpočte na roky 2024 - 2026 sú naďalej zabezpečené zdroje na financovanie obedov zadarmo každoročne v objeme viac ako 200 mil. eur (v roku 2024 je to 207 mil. eur, v 2025 suma 203 mil. eur a v roku 2026 zdroje v objeme 206 mil. eur). Po splnení stanovených podmienok bude dotácia na stravu poskytnutá všetkým deťom v poslednom ročníku materských škôl a všetkým žiakom základných škôl, po dodatočnej novele aj študentom 1. až 4. ročníka 8-ročných gymnázií. Dotácia na stravu slúži na zabezpečenie teplého jedla za deň, kedy sa žiak zúčastnil školského vyučovania, v sume 1,40 eur v MŠ, 2,10 eur v 1. stupni ZŠ a 2,30 eur v 2. stupni ZŠ a 8-ročné gymnáziá.</w:t>
      </w:r>
    </w:p>
    <w:p w14:paraId="5142CF18"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0B0FB55F" w14:textId="77777777" w:rsidR="00DD531B" w:rsidRPr="00DD531B" w:rsidRDefault="00DD531B" w:rsidP="00DD531B">
      <w:pPr>
        <w:spacing w:after="0" w:line="276" w:lineRule="auto"/>
        <w:jc w:val="both"/>
        <w:rPr>
          <w:rFonts w:ascii="Times New Roman" w:eastAsia="Calibri" w:hAnsi="Times New Roman" w:cs="Times New Roman"/>
          <w:b/>
          <w:sz w:val="24"/>
          <w:szCs w:val="24"/>
        </w:rPr>
      </w:pPr>
      <w:r w:rsidRPr="00DD531B">
        <w:rPr>
          <w:rFonts w:ascii="Times New Roman" w:eastAsia="Calibri" w:hAnsi="Times New Roman" w:cs="Times New Roman"/>
          <w:b/>
          <w:sz w:val="24"/>
          <w:szCs w:val="24"/>
        </w:rPr>
        <w:t>Zvýšenie finančnej podpory pre opatrovateľov, osobitne pre opatrovateľov poberajúcich zároveň niektorú dôchodkovú dávku</w:t>
      </w:r>
    </w:p>
    <w:p w14:paraId="74ADB555"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Prijatím nariadenia vlády SR, ktoré upravuje hodinovú sadzbu osobnej asistencie a výšku peňažného príspevku na opatrovanie sa zvýšili príspevky na opatrovanie a osobnú asistenciu. Príspevok na opatrovanie sa poskytuje vo výške čistej minimálnej mzdy pre rok 2023 t. j. 569 eur mesačne. Ak opatruje dve a viac osôb, predstavuje príspevok 756,80 eur mesačne. Celkový medziročný nárast objemu rozpočtovaných zdrojov na túto formu pomoci predstavuje 106 mil. eur.</w:t>
      </w:r>
    </w:p>
    <w:p w14:paraId="47126415"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27964A2E"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Zároveň sa postupne odstraňuje krátenie príspevku pre tých opatrovateľov, ktorí poberajú niektorú z dôchodkových dávok a zároveň nimi opatrovaná osoba využíva ambulantnú formu sociálnej služby. Po novom budú poberať príspevok vo výške 75% príspevku pre poberateľov v produktívnom veku podľa počtu opatrovaných osôb a následne od polovice roka 2024 v rovnakej sume.</w:t>
      </w:r>
    </w:p>
    <w:p w14:paraId="4BA8844D"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1AE863A7" w14:textId="77777777" w:rsidR="00DD531B" w:rsidRPr="00DD531B" w:rsidRDefault="00DD531B" w:rsidP="00DD531B">
      <w:pPr>
        <w:spacing w:after="0" w:line="276" w:lineRule="auto"/>
        <w:jc w:val="both"/>
        <w:rPr>
          <w:rFonts w:ascii="Times New Roman" w:eastAsia="Calibri" w:hAnsi="Times New Roman" w:cs="Times New Roman"/>
          <w:b/>
          <w:sz w:val="24"/>
          <w:szCs w:val="24"/>
        </w:rPr>
      </w:pPr>
      <w:r w:rsidRPr="00DD531B">
        <w:rPr>
          <w:rFonts w:ascii="Times New Roman" w:eastAsia="Calibri" w:hAnsi="Times New Roman" w:cs="Times New Roman"/>
          <w:b/>
          <w:sz w:val="24"/>
          <w:szCs w:val="24"/>
        </w:rPr>
        <w:t>Zvýšenie príspevku na poskytovanie sociálnych služieb</w:t>
      </w:r>
    </w:p>
    <w:p w14:paraId="22BB69EA" w14:textId="6682771A"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Poskytovateľom sociálnych služieb sa zvýšil finančný príspevok na rok 2024 o 36,4 mil. eur. Pre rok 2024 na tento účel rezort práce vynaloží spolu vyše 238 miliónov eur. Viac finančných prostriedkov prispeje k dostupnosti sociálnych služieb aj k lepšej stabilizácii zamestnancov v sociálnych službách, ktorá je spojená so zvýšením úrovne ich odmeňovania.</w:t>
      </w:r>
    </w:p>
    <w:p w14:paraId="0ADAF2B4" w14:textId="77777777" w:rsidR="00DD531B" w:rsidRPr="00DD531B" w:rsidRDefault="00DD531B" w:rsidP="00DD531B">
      <w:pPr>
        <w:spacing w:after="0" w:line="276" w:lineRule="auto"/>
        <w:jc w:val="both"/>
        <w:rPr>
          <w:rFonts w:ascii="Times New Roman" w:eastAsia="Calibri" w:hAnsi="Times New Roman" w:cs="Times New Roman"/>
          <w:b/>
          <w:sz w:val="24"/>
          <w:szCs w:val="24"/>
        </w:rPr>
      </w:pPr>
      <w:r w:rsidRPr="00DD531B">
        <w:rPr>
          <w:rFonts w:ascii="Times New Roman" w:eastAsia="Calibri" w:hAnsi="Times New Roman" w:cs="Times New Roman"/>
          <w:b/>
          <w:sz w:val="24"/>
          <w:szCs w:val="24"/>
        </w:rPr>
        <w:lastRenderedPageBreak/>
        <w:t>Zmeny v poskytovaní príspevku na bývanie</w:t>
      </w:r>
    </w:p>
    <w:p w14:paraId="0C9D9BD1"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 xml:space="preserve">V rozpočte sa zabezpečili vyššie zdroje na poskytovanie príspevku na bývanie v súlade s novelou zákona o pomoci v hmotnej núdzi účinnou od 15. júla 2023; pre rok 2024 ide o sumu 19,8 mil. eur. Cieľom zvýšenia a rozšírenia príspevku na bývanie pre ďalšie skupiny podľa počtu osôb v domácnosti je zmiernenie nepriaznivej situácie tých ľudí, ktorí sú na pomoc v hmotnej núdzi odkázaní. </w:t>
      </w:r>
    </w:p>
    <w:p w14:paraId="156F4BCA"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69BB33F6" w14:textId="77777777" w:rsidR="00DD531B" w:rsidRPr="00DD531B" w:rsidRDefault="00DD531B" w:rsidP="00DD531B">
      <w:pPr>
        <w:spacing w:after="0" w:line="276" w:lineRule="auto"/>
        <w:jc w:val="both"/>
        <w:rPr>
          <w:rFonts w:ascii="Times New Roman" w:eastAsia="Calibri" w:hAnsi="Times New Roman" w:cs="Times New Roman"/>
          <w:b/>
          <w:sz w:val="24"/>
          <w:szCs w:val="24"/>
        </w:rPr>
      </w:pPr>
      <w:r w:rsidRPr="00DD531B">
        <w:rPr>
          <w:rFonts w:ascii="Times New Roman" w:eastAsia="Calibri" w:hAnsi="Times New Roman" w:cs="Times New Roman"/>
          <w:b/>
          <w:sz w:val="24"/>
          <w:szCs w:val="24"/>
        </w:rPr>
        <w:t xml:space="preserve">Zvýšenie finančnej podpory pre štátne, neštátne centrá pre deti a rodiny a pre </w:t>
      </w:r>
      <w:proofErr w:type="spellStart"/>
      <w:r w:rsidRPr="00DD531B">
        <w:rPr>
          <w:rFonts w:ascii="Times New Roman" w:eastAsia="Calibri" w:hAnsi="Times New Roman" w:cs="Times New Roman"/>
          <w:b/>
          <w:sz w:val="24"/>
          <w:szCs w:val="24"/>
        </w:rPr>
        <w:t>profirodičov</w:t>
      </w:r>
      <w:proofErr w:type="spellEnd"/>
    </w:p>
    <w:p w14:paraId="4DC54B51"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Od roku 2024 bolo v návrhu rozpočtu kapitoly MPSVR SR zabezpečených dodatočných 14,5 milióna eur na dofinancovanie chodu štátnych aj neštátnych centier pre deti a rodiny, najmä v dôsledku výrazného nárastu nákladov na energie a samotný chod domovov, na ošatenie, hygienu či potraviny pre deti. Popri pokrývaní nákladov súvisiacich s rastom cien a nevyhnutných výdavkov a opráv, sú finančné prostriedky určené aj na podporu stabilizácie zamestnancov či rozvoja detí, nakoľko budú systematicky podporené voľnočasové aktivity, napríklad v podobe intenzívnych tréningov v športových kluboch a pôsobenia v divadelných a tanečných krúžkoch. V rámci týchto výdavkov je 9,8 milióna eur určených pre štátne centrá pre deti a rodiny a 4,7 milióna pre neštátne, akreditované centrá pre deti a rodiny.</w:t>
      </w:r>
    </w:p>
    <w:p w14:paraId="24E7524C"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594CE85A"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 xml:space="preserve">Profesionálni náhradní rodičia si finančne prilepšia v súvislosti so zvýšením platových taríf zamestnancov pri výkone práce vo verejnom záujme od 1. septembra 2023 o 10 percent. V návrhu rozpočtu sa pre nich zabezpečili dodatočné zdroje v sume 2,2 mil. eur. Cieľom je okrem zlepšenia podmienok existujúcich </w:t>
      </w:r>
      <w:proofErr w:type="spellStart"/>
      <w:r w:rsidRPr="00DD531B">
        <w:rPr>
          <w:rFonts w:ascii="Times New Roman" w:eastAsia="Calibri" w:hAnsi="Times New Roman" w:cs="Times New Roman"/>
          <w:sz w:val="24"/>
          <w:szCs w:val="24"/>
        </w:rPr>
        <w:t>profirodičov</w:t>
      </w:r>
      <w:proofErr w:type="spellEnd"/>
      <w:r w:rsidRPr="00DD531B">
        <w:rPr>
          <w:rFonts w:ascii="Times New Roman" w:eastAsia="Calibri" w:hAnsi="Times New Roman" w:cs="Times New Roman"/>
          <w:sz w:val="24"/>
          <w:szCs w:val="24"/>
        </w:rPr>
        <w:t xml:space="preserve"> tiež zvýšenie záujmu o túto prácu a možnosť poskytovať tak starostlivosť čo najväčšiemu počtu detí z detských domovov v domácom prostredí.</w:t>
      </w:r>
    </w:p>
    <w:p w14:paraId="767AAE1E"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5B76A48A" w14:textId="77777777" w:rsidR="00DD531B" w:rsidRPr="00DD531B" w:rsidRDefault="00DD531B" w:rsidP="00DD531B">
      <w:pPr>
        <w:spacing w:after="0" w:line="276" w:lineRule="auto"/>
        <w:jc w:val="both"/>
        <w:rPr>
          <w:rFonts w:ascii="Times New Roman" w:eastAsia="Calibri" w:hAnsi="Times New Roman" w:cs="Times New Roman"/>
          <w:b/>
          <w:sz w:val="24"/>
          <w:szCs w:val="24"/>
        </w:rPr>
      </w:pPr>
      <w:r w:rsidRPr="00DD531B">
        <w:rPr>
          <w:rFonts w:ascii="Times New Roman" w:eastAsia="Calibri" w:hAnsi="Times New Roman" w:cs="Times New Roman"/>
          <w:b/>
          <w:sz w:val="24"/>
          <w:szCs w:val="24"/>
        </w:rPr>
        <w:t>Zvýšenie osobných príplatkov, zvýšenie hmotnej zainteresovanosti zamestnancov úradov práce, služobná pohotovosť</w:t>
      </w:r>
    </w:p>
    <w:p w14:paraId="719334D8"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V návrhu rozpočtu sa tiež zabezpečili zdroje v sume 12,3 mil. eur každoročne na zvýšenie hmotnej zainteresovanosti zamestnancov úradov práce.</w:t>
      </w:r>
    </w:p>
    <w:p w14:paraId="375F4632"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 xml:space="preserve">Taktiež sú od roku 2024 v rozpočte vyčlenené zdroje v sume 857 tis. eur na finančnú podporu zamestnancov oddelení sociálnoprávnej ochrany detí a sociálnej kurately na úradoch práce, sociálnych vecí a rodiny za vykonávanie služobnej pohotovosti. Zamestnanci sociálnoprávnej ochrany detí a sociálnej kurately musia často zasahovať aj mimo pracovného času a mimo svojho pracoviska, čo si vyžaduje, aby boli neustále k dispozícii v rámci služobnej pohotovosti. </w:t>
      </w:r>
    </w:p>
    <w:p w14:paraId="5D14AC3A" w14:textId="77777777" w:rsidR="00DD531B" w:rsidRPr="00DD531B" w:rsidRDefault="00DD531B" w:rsidP="00DD531B">
      <w:pPr>
        <w:spacing w:after="0" w:line="276" w:lineRule="auto"/>
        <w:rPr>
          <w:rFonts w:ascii="Times New Roman" w:eastAsia="Calibri" w:hAnsi="Times New Roman" w:cs="Times New Roman"/>
          <w:b/>
          <w:color w:val="5B9BD5"/>
          <w:sz w:val="24"/>
          <w:szCs w:val="24"/>
        </w:rPr>
      </w:pPr>
    </w:p>
    <w:p w14:paraId="7D201285" w14:textId="77777777" w:rsidR="00DD531B" w:rsidRPr="00DD531B" w:rsidRDefault="00DD531B" w:rsidP="00DD531B">
      <w:pPr>
        <w:spacing w:after="0" w:line="276" w:lineRule="auto"/>
        <w:rPr>
          <w:rFonts w:ascii="Times New Roman" w:eastAsia="Calibri" w:hAnsi="Times New Roman" w:cs="Times New Roman"/>
          <w:b/>
          <w:color w:val="5B9BD5"/>
          <w:sz w:val="24"/>
          <w:szCs w:val="24"/>
        </w:rPr>
      </w:pPr>
      <w:r w:rsidRPr="00DD531B">
        <w:rPr>
          <w:rFonts w:ascii="Times New Roman" w:eastAsia="Calibri" w:hAnsi="Times New Roman" w:cs="Times New Roman"/>
          <w:b/>
          <w:color w:val="5B9BD5"/>
          <w:sz w:val="24"/>
          <w:szCs w:val="24"/>
        </w:rPr>
        <w:t>Zdravotníctvo</w:t>
      </w:r>
    </w:p>
    <w:p w14:paraId="52737645" w14:textId="77777777" w:rsidR="00DD531B" w:rsidRPr="00DD531B" w:rsidRDefault="00DD531B" w:rsidP="00DD531B">
      <w:pPr>
        <w:spacing w:after="0" w:line="276" w:lineRule="auto"/>
        <w:rPr>
          <w:rFonts w:ascii="Times New Roman" w:eastAsia="Calibri" w:hAnsi="Times New Roman" w:cs="Times New Roman"/>
          <w:b/>
          <w:color w:val="5B9BD5"/>
          <w:sz w:val="24"/>
          <w:szCs w:val="24"/>
        </w:rPr>
      </w:pPr>
    </w:p>
    <w:p w14:paraId="328D1BF2" w14:textId="1478991F" w:rsidR="00DD531B" w:rsidRDefault="00DD531B" w:rsidP="0039178C">
      <w:pPr>
        <w:spacing w:after="0" w:line="276" w:lineRule="auto"/>
        <w:jc w:val="both"/>
        <w:rPr>
          <w:rFonts w:ascii="Times New Roman" w:hAnsi="Times New Roman" w:cs="Times New Roman"/>
          <w:sz w:val="24"/>
          <w:szCs w:val="24"/>
        </w:rPr>
      </w:pPr>
      <w:r w:rsidRPr="00DD531B">
        <w:rPr>
          <w:rFonts w:ascii="Times New Roman" w:hAnsi="Times New Roman" w:cs="Times New Roman"/>
          <w:sz w:val="24"/>
          <w:szCs w:val="24"/>
        </w:rPr>
        <w:t>Rozpočet verejného zdravotného poistenia na roky 2024 až 2026 je navrhovaný tak, aby prinavrátil do sektora chýbajúcu stabilitu</w:t>
      </w:r>
      <w:r w:rsidRPr="00DD531B">
        <w:rPr>
          <w:rFonts w:ascii="Times New Roman" w:hAnsi="Times New Roman" w:cs="Times New Roman"/>
          <w:b/>
          <w:sz w:val="24"/>
          <w:szCs w:val="24"/>
        </w:rPr>
        <w:t xml:space="preserve"> </w:t>
      </w:r>
      <w:r w:rsidRPr="00DD531B">
        <w:rPr>
          <w:rFonts w:ascii="Times New Roman" w:hAnsi="Times New Roman" w:cs="Times New Roman"/>
          <w:sz w:val="24"/>
          <w:szCs w:val="24"/>
        </w:rPr>
        <w:t>a zároveň nastavil  pravidlá pre efektívne spravovanie zdrojov verejného zdravotného poistenia.</w:t>
      </w:r>
    </w:p>
    <w:p w14:paraId="7196F886" w14:textId="77777777" w:rsidR="0039178C" w:rsidRPr="00DD531B" w:rsidRDefault="0039178C" w:rsidP="0039178C">
      <w:pPr>
        <w:spacing w:after="0" w:line="276" w:lineRule="auto"/>
        <w:jc w:val="both"/>
        <w:rPr>
          <w:rFonts w:ascii="Times New Roman" w:hAnsi="Times New Roman" w:cs="Times New Roman"/>
          <w:sz w:val="24"/>
          <w:szCs w:val="24"/>
        </w:rPr>
      </w:pPr>
    </w:p>
    <w:p w14:paraId="6A75D573" w14:textId="77777777" w:rsidR="00DD531B" w:rsidRPr="00DD531B" w:rsidRDefault="00DD531B" w:rsidP="0039178C">
      <w:pPr>
        <w:spacing w:after="0" w:line="276" w:lineRule="auto"/>
        <w:jc w:val="both"/>
        <w:rPr>
          <w:rFonts w:ascii="Times New Roman" w:hAnsi="Times New Roman" w:cs="Times New Roman"/>
          <w:sz w:val="24"/>
          <w:szCs w:val="24"/>
        </w:rPr>
      </w:pPr>
      <w:r w:rsidRPr="00DD531B">
        <w:rPr>
          <w:rFonts w:ascii="Times New Roman" w:hAnsi="Times New Roman" w:cs="Times New Roman"/>
          <w:sz w:val="24"/>
          <w:szCs w:val="24"/>
        </w:rPr>
        <w:t xml:space="preserve">Úpravou legislatívy sa od roku 2024 na jednej strane zaviedlo pevné percento pri spôsobe výpočtu poistného plateného štátom. Uvedenou zmenou sa zabezpečilo navýšenie zdrojov v </w:t>
      </w:r>
      <w:r w:rsidRPr="00DD531B">
        <w:rPr>
          <w:rFonts w:ascii="Times New Roman" w:hAnsi="Times New Roman" w:cs="Times New Roman"/>
          <w:sz w:val="24"/>
          <w:szCs w:val="24"/>
        </w:rPr>
        <w:lastRenderedPageBreak/>
        <w:t>rámci platby za poistencov štátu pre zákonom vymedzené kategórie osôb o 494 mil. eur oproti rozpočtu na rok 2023. Celková platba tak na rok 2024 predstavuje sumu 2,1 mld. eur.</w:t>
      </w:r>
    </w:p>
    <w:p w14:paraId="458A8201" w14:textId="687A0BBD" w:rsidR="00DD531B" w:rsidRDefault="00DD531B" w:rsidP="0039178C">
      <w:pPr>
        <w:spacing w:after="0" w:line="276" w:lineRule="auto"/>
        <w:jc w:val="both"/>
        <w:rPr>
          <w:rFonts w:ascii="Times New Roman" w:hAnsi="Times New Roman" w:cs="Times New Roman"/>
          <w:sz w:val="24"/>
          <w:szCs w:val="24"/>
        </w:rPr>
      </w:pPr>
      <w:r w:rsidRPr="00DD531B">
        <w:rPr>
          <w:rFonts w:ascii="Times New Roman" w:hAnsi="Times New Roman" w:cs="Times New Roman"/>
          <w:sz w:val="24"/>
          <w:szCs w:val="24"/>
        </w:rPr>
        <w:t>Zároveň sa navrhlo zvýšenie sadzby poistného na verejné zdravotné poistenie zamestnávateľa, samostatne zárobkovo činnej osoby a samoplatiteľa o 1 p. b. , čo v roku 2024 zabezpečilo dodatočné príjmy od ekonomicky aktívnych osôb v sume 384 mil. eur.</w:t>
      </w:r>
    </w:p>
    <w:p w14:paraId="2D21510A" w14:textId="77777777" w:rsidR="0039178C" w:rsidRPr="00DD531B" w:rsidRDefault="0039178C" w:rsidP="0039178C">
      <w:pPr>
        <w:spacing w:after="0" w:line="276" w:lineRule="auto"/>
        <w:jc w:val="both"/>
        <w:rPr>
          <w:rFonts w:ascii="Times New Roman" w:hAnsi="Times New Roman" w:cs="Times New Roman"/>
          <w:sz w:val="24"/>
          <w:szCs w:val="24"/>
        </w:rPr>
      </w:pPr>
    </w:p>
    <w:p w14:paraId="6DAA4969" w14:textId="3A9E978B" w:rsidR="00DD531B" w:rsidRDefault="00DD531B" w:rsidP="0039178C">
      <w:pPr>
        <w:spacing w:after="0" w:line="276" w:lineRule="auto"/>
        <w:jc w:val="both"/>
        <w:rPr>
          <w:rFonts w:ascii="Times New Roman" w:hAnsi="Times New Roman" w:cs="Times New Roman"/>
          <w:sz w:val="24"/>
          <w:szCs w:val="24"/>
        </w:rPr>
      </w:pPr>
      <w:r w:rsidRPr="00DD531B">
        <w:rPr>
          <w:rFonts w:ascii="Times New Roman" w:hAnsi="Times New Roman" w:cs="Times New Roman"/>
          <w:sz w:val="24"/>
          <w:szCs w:val="24"/>
        </w:rPr>
        <w:t xml:space="preserve">Predmetné zmeny zabezpečili pre zdravotníctvo dodatočné výdavky, na základe ktorých sú finančné prostriedky v sektore na úrovni 8,9 mld. eur, čo predstavuje rast o 807 mil. eur oproti rozpočtu roku 2023. </w:t>
      </w:r>
    </w:p>
    <w:p w14:paraId="7128824A" w14:textId="77777777" w:rsidR="0039178C" w:rsidRPr="00DD531B" w:rsidRDefault="0039178C" w:rsidP="0039178C">
      <w:pPr>
        <w:spacing w:after="0" w:line="276" w:lineRule="auto"/>
        <w:jc w:val="both"/>
        <w:rPr>
          <w:rFonts w:ascii="Times New Roman" w:hAnsi="Times New Roman" w:cs="Times New Roman"/>
          <w:sz w:val="24"/>
          <w:szCs w:val="24"/>
        </w:rPr>
      </w:pPr>
    </w:p>
    <w:p w14:paraId="38CF344F" w14:textId="1418EB0A" w:rsidR="00DD531B" w:rsidRDefault="00DD531B" w:rsidP="0039178C">
      <w:pPr>
        <w:spacing w:after="0" w:line="276" w:lineRule="auto"/>
        <w:jc w:val="both"/>
        <w:rPr>
          <w:rFonts w:ascii="Times New Roman" w:hAnsi="Times New Roman" w:cs="Times New Roman"/>
          <w:sz w:val="24"/>
          <w:szCs w:val="24"/>
        </w:rPr>
      </w:pPr>
      <w:r w:rsidRPr="00DD531B" w:rsidDel="001A43AA">
        <w:rPr>
          <w:rFonts w:ascii="Times New Roman" w:hAnsi="Times New Roman" w:cs="Times New Roman"/>
          <w:sz w:val="24"/>
          <w:szCs w:val="24"/>
        </w:rPr>
        <w:t xml:space="preserve">Z toho výdavky na verejné zdravotné poistenie sú na rok 2024 rozpočtované v sume 7,97 mld. eur, čo predstavuje nárast voči schválenému rozpočtu roku 2023 o sumu 1,06 mld. eur  a najväčší podiel z toho tvoria výdavky na zdravotnú starostlivosť – výdavky poistenia v sume 7,67 mld. eur. </w:t>
      </w:r>
    </w:p>
    <w:p w14:paraId="1AFD9DCD" w14:textId="77777777" w:rsidR="0039178C" w:rsidRPr="00DD531B" w:rsidDel="001A43AA" w:rsidRDefault="0039178C" w:rsidP="0039178C">
      <w:pPr>
        <w:spacing w:after="0" w:line="276" w:lineRule="auto"/>
        <w:jc w:val="both"/>
        <w:rPr>
          <w:rFonts w:ascii="Times New Roman" w:hAnsi="Times New Roman" w:cs="Times New Roman"/>
          <w:sz w:val="24"/>
          <w:szCs w:val="24"/>
        </w:rPr>
      </w:pPr>
    </w:p>
    <w:p w14:paraId="00169B96" w14:textId="457424B9" w:rsidR="00DD531B" w:rsidRDefault="00DD531B" w:rsidP="0039178C">
      <w:pPr>
        <w:spacing w:after="0" w:line="276" w:lineRule="auto"/>
        <w:jc w:val="both"/>
        <w:rPr>
          <w:rFonts w:ascii="Times New Roman" w:hAnsi="Times New Roman" w:cs="Times New Roman"/>
          <w:sz w:val="24"/>
          <w:szCs w:val="24"/>
          <w:lang w:eastAsia="sk-SK"/>
        </w:rPr>
      </w:pPr>
      <w:r w:rsidRPr="00DD531B">
        <w:rPr>
          <w:rFonts w:ascii="Times New Roman" w:eastAsia="Calibri" w:hAnsi="Times New Roman" w:cs="Times New Roman"/>
          <w:sz w:val="24"/>
          <w:szCs w:val="24"/>
        </w:rPr>
        <w:t xml:space="preserve">Súčasťou výdavkov na verejné zdravotné poistenie sú aj iné výdavky, ktoré obsahujú povinné príspevky vybraným inštitúciám a tiež výdavky na prevádzku zdravotných poisťovní. </w:t>
      </w:r>
      <w:r w:rsidRPr="00DD531B">
        <w:rPr>
          <w:rFonts w:ascii="Times New Roman" w:hAnsi="Times New Roman" w:cs="Times New Roman"/>
          <w:sz w:val="24"/>
          <w:szCs w:val="24"/>
        </w:rPr>
        <w:t>Na financovanie činnosti operačných stredísk je zabezpečená výška príspevku v sume 30,6 mil. eur,</w:t>
      </w:r>
      <w:r w:rsidRPr="00DD531B">
        <w:rPr>
          <w:rFonts w:ascii="Times New Roman" w:hAnsi="Times New Roman" w:cs="Times New Roman"/>
          <w:sz w:val="24"/>
          <w:szCs w:val="24"/>
          <w:lang w:eastAsia="sk-SK"/>
        </w:rPr>
        <w:t xml:space="preserve"> príspevok na činnosť národného centra (NCZI) v sume 33,7 mil. eur, príspevok pre </w:t>
      </w:r>
      <w:r w:rsidRPr="00DD531B">
        <w:rPr>
          <w:rFonts w:ascii="Times New Roman" w:hAnsi="Times New Roman" w:cs="Times New Roman"/>
          <w:sz w:val="24"/>
          <w:szCs w:val="24"/>
        </w:rPr>
        <w:t xml:space="preserve">Úrad pre dohľad nad zdravotnou starostlivosťou v sume 30,6 mil. eur a pre </w:t>
      </w:r>
      <w:r w:rsidRPr="00DD531B">
        <w:rPr>
          <w:rFonts w:ascii="Times New Roman" w:hAnsi="Times New Roman" w:cs="Times New Roman"/>
          <w:sz w:val="24"/>
          <w:szCs w:val="24"/>
          <w:lang w:eastAsia="sk-SK"/>
        </w:rPr>
        <w:t xml:space="preserve">Národný inštitút pre hodnotu a technológie v zdravotníctve v sume 2,4 mil. eur. Výdavky spojené s prevádzkou štátnej zdravotnej poisťovne predstavujú sumu 111,7 mil. eur a výdavky za správu pre súkromné zdravotné poisťovne v sume 96,6 mil. eur.  </w:t>
      </w:r>
    </w:p>
    <w:p w14:paraId="13B1AFAA" w14:textId="77777777" w:rsidR="0039178C" w:rsidRPr="00DD531B" w:rsidRDefault="0039178C" w:rsidP="0039178C">
      <w:pPr>
        <w:spacing w:after="0" w:line="276" w:lineRule="auto"/>
        <w:jc w:val="both"/>
        <w:rPr>
          <w:rFonts w:ascii="Times New Roman" w:hAnsi="Times New Roman" w:cs="Times New Roman"/>
          <w:sz w:val="24"/>
          <w:szCs w:val="24"/>
          <w:lang w:eastAsia="sk-SK"/>
        </w:rPr>
      </w:pPr>
    </w:p>
    <w:p w14:paraId="7E5B77A5" w14:textId="77777777" w:rsidR="00DD531B" w:rsidRPr="00DD531B" w:rsidRDefault="00DD531B" w:rsidP="0039178C">
      <w:pPr>
        <w:spacing w:after="0" w:line="276" w:lineRule="auto"/>
        <w:jc w:val="both"/>
        <w:rPr>
          <w:rFonts w:ascii="Times New Roman" w:hAnsi="Times New Roman" w:cs="Times New Roman"/>
          <w:sz w:val="24"/>
          <w:szCs w:val="24"/>
        </w:rPr>
      </w:pPr>
      <w:r w:rsidRPr="00DD531B">
        <w:rPr>
          <w:rFonts w:ascii="Times New Roman" w:hAnsi="Times New Roman" w:cs="Times New Roman"/>
          <w:sz w:val="24"/>
          <w:szCs w:val="24"/>
        </w:rPr>
        <w:t xml:space="preserve">Výdavky rezortu zdravotníctva bez platby štátu, príspevkov, európskych prostriedkov a spolufinancovania a bez prostriedkov z Plánu obnovy a odolnosti sú na úrovni 219,5 mil. eur. </w:t>
      </w:r>
    </w:p>
    <w:p w14:paraId="79B246BA" w14:textId="77777777" w:rsidR="0039178C" w:rsidRDefault="0039178C" w:rsidP="0039178C">
      <w:pPr>
        <w:spacing w:after="0" w:line="276" w:lineRule="auto"/>
        <w:jc w:val="both"/>
        <w:rPr>
          <w:rFonts w:ascii="Times New Roman" w:hAnsi="Times New Roman" w:cs="Times New Roman"/>
          <w:sz w:val="24"/>
          <w:szCs w:val="24"/>
        </w:rPr>
      </w:pPr>
    </w:p>
    <w:p w14:paraId="1609F0F4" w14:textId="64D79CCD" w:rsidR="00DD531B" w:rsidRDefault="00DD531B" w:rsidP="0039178C">
      <w:pPr>
        <w:spacing w:after="0" w:line="276" w:lineRule="auto"/>
        <w:jc w:val="both"/>
        <w:rPr>
          <w:rFonts w:ascii="Times New Roman" w:hAnsi="Times New Roman" w:cs="Times New Roman"/>
          <w:sz w:val="24"/>
          <w:szCs w:val="24"/>
        </w:rPr>
      </w:pPr>
      <w:r w:rsidRPr="00DD531B">
        <w:rPr>
          <w:rFonts w:ascii="Times New Roman" w:hAnsi="Times New Roman" w:cs="Times New Roman"/>
          <w:sz w:val="24"/>
          <w:szCs w:val="24"/>
        </w:rPr>
        <w:t>Z toho sú pre oblasť  ďalšieho vzdelávania  v rámci tzv. rezidentského programu zabezpečené finančné prostriedky na roky 2024 až 2026 v sume 8,55 mil. eur ročne. Pre pokračujúce investičné akcie, rekonštrukcie budov a  obnovy technického a prístrojového vybavenia nemocníc sa vyčlenili kapitálové výdavky na úrovni 76,5 mil. eur.</w:t>
      </w:r>
    </w:p>
    <w:p w14:paraId="3EA7552A" w14:textId="77777777" w:rsidR="0039178C" w:rsidRPr="00DD531B" w:rsidRDefault="0039178C" w:rsidP="0039178C">
      <w:pPr>
        <w:spacing w:after="0" w:line="276" w:lineRule="auto"/>
        <w:jc w:val="both"/>
        <w:rPr>
          <w:rFonts w:ascii="Times New Roman" w:hAnsi="Times New Roman" w:cs="Times New Roman"/>
          <w:sz w:val="24"/>
          <w:szCs w:val="24"/>
        </w:rPr>
      </w:pPr>
    </w:p>
    <w:p w14:paraId="166D7312" w14:textId="77777777" w:rsidR="00DD531B" w:rsidRPr="00DD531B" w:rsidRDefault="00DD531B" w:rsidP="0039178C">
      <w:pPr>
        <w:spacing w:after="0" w:line="276" w:lineRule="auto"/>
        <w:jc w:val="both"/>
        <w:rPr>
          <w:rFonts w:ascii="Times New Roman" w:hAnsi="Times New Roman" w:cs="Times New Roman"/>
          <w:sz w:val="24"/>
          <w:szCs w:val="24"/>
        </w:rPr>
      </w:pPr>
      <w:r w:rsidRPr="00DD531B">
        <w:rPr>
          <w:rFonts w:ascii="Times New Roman" w:hAnsi="Times New Roman" w:cs="Times New Roman"/>
          <w:sz w:val="24"/>
          <w:szCs w:val="24"/>
        </w:rPr>
        <w:t>Okrem vyššie uvedených výdavkov sú v rámci výdavkov kapitoly alokované aj finančné prostriedky z Plánu obnovy a odolnosti</w:t>
      </w:r>
      <w:r w:rsidRPr="00DD531B">
        <w:rPr>
          <w:rFonts w:ascii="Times New Roman" w:hAnsi="Times New Roman" w:cs="Times New Roman"/>
          <w:b/>
          <w:sz w:val="24"/>
          <w:szCs w:val="24"/>
        </w:rPr>
        <w:t xml:space="preserve"> </w:t>
      </w:r>
      <w:r w:rsidRPr="00DD531B">
        <w:rPr>
          <w:rFonts w:ascii="Times New Roman" w:hAnsi="Times New Roman" w:cs="Times New Roman"/>
          <w:sz w:val="24"/>
          <w:szCs w:val="24"/>
        </w:rPr>
        <w:t>v celkovej sume 273 mil. eur.</w:t>
      </w:r>
    </w:p>
    <w:p w14:paraId="7FE43661" w14:textId="77777777" w:rsidR="00DD531B" w:rsidRPr="00DD531B" w:rsidRDefault="00DD531B" w:rsidP="0039178C">
      <w:pPr>
        <w:spacing w:after="0" w:line="276" w:lineRule="auto"/>
        <w:jc w:val="both"/>
        <w:rPr>
          <w:rFonts w:ascii="Times New Roman" w:eastAsia="Calibri" w:hAnsi="Times New Roman" w:cs="Times New Roman"/>
          <w:b/>
          <w:bCs/>
          <w:noProof/>
          <w:color w:val="5B9BD5"/>
          <w:sz w:val="24"/>
          <w:szCs w:val="24"/>
          <w:lang w:eastAsia="sk-SK"/>
        </w:rPr>
      </w:pPr>
    </w:p>
    <w:p w14:paraId="710713F5" w14:textId="77777777" w:rsidR="00DD531B" w:rsidRPr="00DD531B" w:rsidRDefault="00DD531B" w:rsidP="0039178C">
      <w:pPr>
        <w:spacing w:after="0" w:line="276" w:lineRule="auto"/>
        <w:jc w:val="both"/>
        <w:rPr>
          <w:rFonts w:ascii="Times New Roman" w:eastAsia="Calibri" w:hAnsi="Times New Roman" w:cs="Times New Roman"/>
          <w:b/>
          <w:bCs/>
          <w:noProof/>
          <w:sz w:val="24"/>
          <w:szCs w:val="24"/>
          <w:lang w:eastAsia="sk-SK"/>
        </w:rPr>
      </w:pPr>
      <w:r w:rsidRPr="00DD531B">
        <w:rPr>
          <w:rFonts w:ascii="Times New Roman" w:eastAsia="Calibri" w:hAnsi="Times New Roman" w:cs="Times New Roman"/>
          <w:b/>
          <w:bCs/>
          <w:noProof/>
          <w:color w:val="5B9BD5"/>
          <w:sz w:val="24"/>
          <w:szCs w:val="24"/>
          <w:lang w:eastAsia="sk-SK"/>
        </w:rPr>
        <w:t>Pôdohospodárstvo</w:t>
      </w:r>
      <w:r w:rsidRPr="00DD531B">
        <w:rPr>
          <w:rFonts w:ascii="Times New Roman" w:eastAsia="Calibri" w:hAnsi="Times New Roman" w:cs="Times New Roman"/>
          <w:b/>
          <w:bCs/>
          <w:noProof/>
          <w:sz w:val="24"/>
          <w:szCs w:val="24"/>
          <w:lang w:eastAsia="sk-SK"/>
        </w:rPr>
        <w:t xml:space="preserve"> </w:t>
      </w:r>
    </w:p>
    <w:p w14:paraId="37958D6C" w14:textId="77777777" w:rsidR="00DD531B" w:rsidRPr="00DD531B" w:rsidRDefault="00DD531B" w:rsidP="00DD531B">
      <w:pPr>
        <w:spacing w:after="0" w:line="276" w:lineRule="auto"/>
        <w:jc w:val="both"/>
        <w:rPr>
          <w:rFonts w:ascii="Times New Roman" w:eastAsia="Calibri" w:hAnsi="Times New Roman" w:cs="Times New Roman"/>
          <w:b/>
          <w:bCs/>
          <w:noProof/>
          <w:sz w:val="24"/>
          <w:szCs w:val="24"/>
          <w:lang w:eastAsia="sk-SK"/>
        </w:rPr>
      </w:pPr>
    </w:p>
    <w:p w14:paraId="7F5F45F7"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 xml:space="preserve">Celkové výdavky pre oblasť pôdohospodárstva sú na rok 2024 rozpočtované v sume 1,23 mld. eur. Okrem Ministerstva pôdohospodárstva a rozvoja vidieka SR (ďalej len „MPRV SR“) oblasť pôdohospodárstva rozvíjajú a podporujú svojou činnosťou aj Slovenský pozemkový fond a Úrad geodézie, kartografie a katastra SR. Hlavnými cieľmi aktivít v pôdohospodárstve je konkurencieschopnosť a trvalá udržateľnosť poľnohospodárstva, rybného a lesného hospodárstva, zabezpečenie kvality potravinárskych výrobkov dostupných na slovenskom trhu, zlepšovanie životných podmienok vidieckeho obyvateľstva, podpora rozvoja vidieka. </w:t>
      </w:r>
    </w:p>
    <w:p w14:paraId="050C1DDA"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3CE1F742" w14:textId="77777777" w:rsidR="00DD531B" w:rsidRPr="00DD531B" w:rsidRDefault="00DD531B" w:rsidP="00DD531B">
      <w:pPr>
        <w:spacing w:after="0" w:line="276" w:lineRule="auto"/>
        <w:jc w:val="both"/>
        <w:rPr>
          <w:rFonts w:ascii="Times New Roman" w:eastAsia="Calibri" w:hAnsi="Times New Roman" w:cs="Times New Roman"/>
          <w:bCs/>
          <w:noProof/>
          <w:sz w:val="24"/>
          <w:szCs w:val="24"/>
          <w:lang w:eastAsia="sk-SK"/>
        </w:rPr>
      </w:pPr>
      <w:r w:rsidRPr="00DD531B">
        <w:rPr>
          <w:rFonts w:ascii="Times New Roman" w:eastAsia="Calibri" w:hAnsi="Times New Roman" w:cs="Times New Roman"/>
          <w:bCs/>
          <w:noProof/>
          <w:sz w:val="24"/>
          <w:szCs w:val="24"/>
          <w:lang w:eastAsia="sk-SK"/>
        </w:rPr>
        <w:t xml:space="preserve">V roku 2024 sú v rozpočte vyčlenené zdroje na podporu poľnohospodárstva, potravinárstava a lesníctva formou štátnej pomoci v objeme 68,5 mil. eur a prostriedky na dotačný systém formou národných podpôr vo výške 7,5 mil. eur. Tieto prostriedky sú určené okrem iného na podporu činností v poľnohospodárskej prvovýrobe, podporu potravinárskeho sektoru, výskumu a vývoja v poľnohosdpodárstve a lesnom hospodárstve, kompenzovanie negatívnych vplyvov globálnej zmeny počasia na poľnohospodársku prvovýrobu, podporu farmárov formou dotácie na úhradu zaplatenej časti spotrebnej dane z minerálnych olejov ( tzv. „zelená nafta“), činnosti zamerané na rozvoj vidieka, hospodársky chov rýb.  </w:t>
      </w:r>
    </w:p>
    <w:p w14:paraId="43D76842" w14:textId="77777777" w:rsidR="00DD531B" w:rsidRPr="00DD531B" w:rsidRDefault="00DD531B" w:rsidP="00DD531B">
      <w:pPr>
        <w:spacing w:after="0" w:line="276" w:lineRule="auto"/>
        <w:jc w:val="both"/>
        <w:rPr>
          <w:rFonts w:ascii="Times New Roman" w:eastAsia="Calibri" w:hAnsi="Times New Roman" w:cs="Times New Roman"/>
          <w:bCs/>
          <w:noProof/>
          <w:sz w:val="24"/>
          <w:szCs w:val="24"/>
          <w:lang w:eastAsia="sk-SK"/>
        </w:rPr>
      </w:pPr>
    </w:p>
    <w:p w14:paraId="39C7782E" w14:textId="77777777" w:rsidR="00DD531B" w:rsidRPr="00DD531B" w:rsidRDefault="00DD531B" w:rsidP="00DD531B">
      <w:pPr>
        <w:spacing w:after="0" w:line="276" w:lineRule="auto"/>
        <w:jc w:val="both"/>
        <w:rPr>
          <w:rFonts w:ascii="Times New Roman" w:eastAsia="Calibri" w:hAnsi="Times New Roman" w:cs="Times New Roman"/>
          <w:bCs/>
          <w:noProof/>
          <w:sz w:val="24"/>
          <w:szCs w:val="24"/>
          <w:lang w:eastAsia="sk-SK"/>
        </w:rPr>
      </w:pPr>
      <w:r w:rsidRPr="00DD531B">
        <w:rPr>
          <w:rFonts w:ascii="Times New Roman" w:eastAsia="Calibri" w:hAnsi="Times New Roman" w:cs="Times New Roman"/>
          <w:bCs/>
          <w:noProof/>
          <w:sz w:val="24"/>
          <w:szCs w:val="24"/>
          <w:lang w:eastAsia="sk-SK"/>
        </w:rPr>
        <w:t xml:space="preserve">V štátnom rozpočte sú vyčlené prostriedky tiež na  podporu a realizáciu prebiehajúceho projektu pozemkových úprav, základného systémového nástroja na racionálne usporiadanie vlastníckych a užívateľských vzťahov k poľnohospodárskej pôde a na revitalizáciu poľnohospodárskej krajiny. Vzhľadom na dôležitosť tohto projektu sú na vykonanie pozemkových úprav na vybraných katastrálnych územiach na najbližšie 3 roky zabezpečené prostriedky vo výške 125 mil. eur.  </w:t>
      </w:r>
    </w:p>
    <w:p w14:paraId="345A4C23" w14:textId="77777777" w:rsidR="00DD531B" w:rsidRPr="00DD531B" w:rsidRDefault="00DD531B" w:rsidP="00DD531B">
      <w:pPr>
        <w:spacing w:after="0" w:line="276" w:lineRule="auto"/>
        <w:jc w:val="both"/>
        <w:rPr>
          <w:rFonts w:ascii="Times New Roman" w:eastAsia="Calibri" w:hAnsi="Times New Roman" w:cs="Times New Roman"/>
          <w:bCs/>
          <w:noProof/>
          <w:sz w:val="24"/>
          <w:szCs w:val="24"/>
          <w:lang w:eastAsia="sk-SK"/>
        </w:rPr>
      </w:pPr>
    </w:p>
    <w:p w14:paraId="0727A2E0" w14:textId="77777777" w:rsidR="00DD531B" w:rsidRPr="00DD531B" w:rsidRDefault="00DD531B" w:rsidP="00DD531B">
      <w:pPr>
        <w:spacing w:after="0" w:line="276" w:lineRule="auto"/>
        <w:jc w:val="both"/>
        <w:rPr>
          <w:rFonts w:ascii="Times New Roman" w:eastAsia="Calibri" w:hAnsi="Times New Roman" w:cs="Times New Roman"/>
          <w:bCs/>
          <w:noProof/>
          <w:sz w:val="24"/>
          <w:szCs w:val="24"/>
          <w:lang w:eastAsia="sk-SK"/>
        </w:rPr>
      </w:pPr>
      <w:r w:rsidRPr="00DD531B">
        <w:rPr>
          <w:rFonts w:ascii="Times New Roman" w:eastAsia="Calibri" w:hAnsi="Times New Roman" w:cs="Times New Roman"/>
          <w:bCs/>
          <w:noProof/>
          <w:sz w:val="24"/>
          <w:szCs w:val="24"/>
          <w:lang w:eastAsia="sk-SK"/>
        </w:rPr>
        <w:t>Na podporu poľnohospodárstva a rozvoja vidieka v SR v rámci Spoločnej poľnohospodárskej politiky EÚ je na rok 2024 navrhnutý aj vyšší objem prostriedkov zo zdrojov EÚ a zdrojov štátneho rozpočtu v rámci spolufinancovnia v celkovej sume 936 mil. eur s cieľom zvýšiť konkurencieschopnosť a odolnosť poľnohospodárskeho sektora za súčasnej ochrany prírodných zdrojov a podpriť rozvoj vidieka, okrem iného vytvorením 1 500 pracovných miest a 430 vidieckych podnikov.</w:t>
      </w:r>
    </w:p>
    <w:p w14:paraId="16A01BC8" w14:textId="77777777" w:rsidR="00DD531B" w:rsidRPr="00DD531B" w:rsidRDefault="00DD531B" w:rsidP="00DD531B">
      <w:pPr>
        <w:keepNext/>
        <w:spacing w:after="0" w:line="276" w:lineRule="auto"/>
        <w:contextualSpacing/>
        <w:outlineLvl w:val="1"/>
        <w:rPr>
          <w:rFonts w:ascii="Times New Roman" w:eastAsia="Times New Roman" w:hAnsi="Times New Roman" w:cs="Times New Roman"/>
          <w:b/>
          <w:bCs/>
          <w:iCs/>
          <w:color w:val="5B9BD5"/>
          <w:sz w:val="24"/>
          <w:szCs w:val="24"/>
          <w:lang w:eastAsia="cs-CZ"/>
        </w:rPr>
      </w:pPr>
      <w:bookmarkStart w:id="173" w:name="_Toc53062619"/>
      <w:bookmarkStart w:id="174" w:name="_Toc53084677"/>
      <w:bookmarkStart w:id="175" w:name="_Toc84528342"/>
      <w:bookmarkStart w:id="176" w:name="_Toc116040565"/>
    </w:p>
    <w:p w14:paraId="1756882C" w14:textId="77777777" w:rsidR="00DD531B" w:rsidRPr="00DD531B" w:rsidRDefault="00DD531B" w:rsidP="00DD531B">
      <w:pPr>
        <w:keepNext/>
        <w:spacing w:after="0" w:line="276" w:lineRule="auto"/>
        <w:contextualSpacing/>
        <w:outlineLvl w:val="1"/>
        <w:rPr>
          <w:rFonts w:ascii="Times New Roman" w:eastAsia="Times New Roman" w:hAnsi="Times New Roman" w:cs="Times New Roman"/>
          <w:b/>
          <w:bCs/>
          <w:iCs/>
          <w:color w:val="5B9BD5"/>
          <w:sz w:val="24"/>
          <w:szCs w:val="24"/>
          <w:lang w:eastAsia="cs-CZ"/>
        </w:rPr>
      </w:pPr>
      <w:r w:rsidRPr="00DD531B">
        <w:rPr>
          <w:rFonts w:ascii="Times New Roman" w:eastAsia="Times New Roman" w:hAnsi="Times New Roman" w:cs="Times New Roman"/>
          <w:b/>
          <w:bCs/>
          <w:iCs/>
          <w:color w:val="5B9BD5"/>
          <w:sz w:val="24"/>
          <w:szCs w:val="24"/>
          <w:lang w:eastAsia="cs-CZ"/>
        </w:rPr>
        <w:t>Verejný poriadok a bezpečnosť</w:t>
      </w:r>
      <w:bookmarkEnd w:id="173"/>
      <w:bookmarkEnd w:id="174"/>
      <w:bookmarkEnd w:id="175"/>
      <w:bookmarkEnd w:id="176"/>
      <w:r w:rsidRPr="00DD531B">
        <w:rPr>
          <w:rFonts w:ascii="Times New Roman" w:eastAsia="Times New Roman" w:hAnsi="Times New Roman" w:cs="Times New Roman"/>
          <w:b/>
          <w:bCs/>
          <w:iCs/>
          <w:color w:val="5B9BD5"/>
          <w:sz w:val="24"/>
          <w:szCs w:val="24"/>
          <w:lang w:eastAsia="cs-CZ"/>
        </w:rPr>
        <w:t xml:space="preserve"> </w:t>
      </w:r>
    </w:p>
    <w:p w14:paraId="6DB2C285" w14:textId="77777777" w:rsidR="00DD531B" w:rsidRPr="00DD531B" w:rsidRDefault="00DD531B" w:rsidP="00DD531B">
      <w:pPr>
        <w:spacing w:after="0" w:line="276" w:lineRule="auto"/>
        <w:contextualSpacing/>
        <w:rPr>
          <w:rFonts w:ascii="Times New Roman" w:eastAsia="Calibri" w:hAnsi="Times New Roman" w:cs="Times New Roman"/>
          <w:sz w:val="24"/>
          <w:szCs w:val="24"/>
          <w:lang w:eastAsia="cs-CZ"/>
        </w:rPr>
      </w:pPr>
    </w:p>
    <w:p w14:paraId="7DDD4D8B" w14:textId="77777777" w:rsidR="00DD531B" w:rsidRPr="00DD531B" w:rsidRDefault="00DD531B" w:rsidP="00DD531B">
      <w:pPr>
        <w:spacing w:after="0" w:line="276" w:lineRule="auto"/>
        <w:jc w:val="both"/>
        <w:rPr>
          <w:rFonts w:ascii="Times New Roman" w:hAnsi="Times New Roman"/>
          <w:sz w:val="24"/>
          <w:szCs w:val="24"/>
        </w:rPr>
      </w:pPr>
      <w:r w:rsidRPr="00DD531B">
        <w:rPr>
          <w:rFonts w:ascii="Times New Roman" w:eastAsia="Calibri" w:hAnsi="Times New Roman" w:cs="Times New Roman"/>
          <w:sz w:val="24"/>
          <w:szCs w:val="24"/>
          <w:lang w:eastAsia="cs-CZ"/>
        </w:rPr>
        <w:t xml:space="preserve">Celkové výdavky na verejný poriadok a bezpečnosť sa v roku 2024 rozpočtujú na úrovni 2,17 mld. eur. </w:t>
      </w:r>
      <w:r w:rsidRPr="00DD531B">
        <w:rPr>
          <w:rFonts w:ascii="Times New Roman" w:hAnsi="Times New Roman"/>
          <w:sz w:val="24"/>
          <w:szCs w:val="24"/>
        </w:rPr>
        <w:t>Do silových zložiek patrí polícia, hasi</w:t>
      </w:r>
      <w:r w:rsidRPr="00DD531B">
        <w:rPr>
          <w:rFonts w:ascii="Times New Roman" w:hAnsi="Times New Roman" w:hint="eastAsia"/>
          <w:sz w:val="24"/>
          <w:szCs w:val="24"/>
        </w:rPr>
        <w:t>č</w:t>
      </w:r>
      <w:r w:rsidRPr="00DD531B">
        <w:rPr>
          <w:rFonts w:ascii="Times New Roman" w:hAnsi="Times New Roman"/>
          <w:sz w:val="24"/>
          <w:szCs w:val="24"/>
        </w:rPr>
        <w:t xml:space="preserve">i a záchranári, ktorých </w:t>
      </w:r>
      <w:r w:rsidRPr="00DD531B">
        <w:rPr>
          <w:rFonts w:ascii="Times New Roman" w:hAnsi="Times New Roman" w:hint="eastAsia"/>
          <w:sz w:val="24"/>
          <w:szCs w:val="24"/>
        </w:rPr>
        <w:t>č</w:t>
      </w:r>
      <w:r w:rsidRPr="00DD531B">
        <w:rPr>
          <w:rFonts w:ascii="Times New Roman" w:hAnsi="Times New Roman"/>
          <w:sz w:val="24"/>
          <w:szCs w:val="24"/>
        </w:rPr>
        <w:t>innos</w:t>
      </w:r>
      <w:r w:rsidRPr="00DD531B">
        <w:rPr>
          <w:rFonts w:ascii="Times New Roman" w:hAnsi="Times New Roman" w:hint="eastAsia"/>
          <w:sz w:val="24"/>
          <w:szCs w:val="24"/>
        </w:rPr>
        <w:t>ť</w:t>
      </w:r>
      <w:r w:rsidRPr="00DD531B">
        <w:rPr>
          <w:rFonts w:ascii="Times New Roman" w:hAnsi="Times New Roman"/>
          <w:sz w:val="24"/>
          <w:szCs w:val="24"/>
        </w:rPr>
        <w:t xml:space="preserve"> zabezpe</w:t>
      </w:r>
      <w:r w:rsidRPr="00DD531B">
        <w:rPr>
          <w:rFonts w:ascii="Times New Roman" w:hAnsi="Times New Roman" w:hint="eastAsia"/>
          <w:sz w:val="24"/>
          <w:szCs w:val="24"/>
        </w:rPr>
        <w:t>č</w:t>
      </w:r>
      <w:r w:rsidRPr="00DD531B">
        <w:rPr>
          <w:rFonts w:ascii="Times New Roman" w:hAnsi="Times New Roman"/>
          <w:sz w:val="24"/>
          <w:szCs w:val="24"/>
        </w:rPr>
        <w:t>uje Ministerstvo vnútra SR a väzenstvo kompeten</w:t>
      </w:r>
      <w:r w:rsidRPr="00DD531B">
        <w:rPr>
          <w:rFonts w:ascii="Times New Roman" w:hAnsi="Times New Roman" w:hint="eastAsia"/>
          <w:sz w:val="24"/>
          <w:szCs w:val="24"/>
        </w:rPr>
        <w:t>č</w:t>
      </w:r>
      <w:r w:rsidRPr="00DD531B">
        <w:rPr>
          <w:rFonts w:ascii="Times New Roman" w:hAnsi="Times New Roman"/>
          <w:sz w:val="24"/>
          <w:szCs w:val="24"/>
        </w:rPr>
        <w:t>ne patrí pod Ministerstvo spravodlivosti SR. Spravodlivos</w:t>
      </w:r>
      <w:r w:rsidRPr="00DD531B">
        <w:rPr>
          <w:rFonts w:ascii="Times New Roman" w:hAnsi="Times New Roman" w:hint="eastAsia"/>
          <w:sz w:val="24"/>
          <w:szCs w:val="24"/>
        </w:rPr>
        <w:t>ť</w:t>
      </w:r>
      <w:r w:rsidRPr="00DD531B">
        <w:rPr>
          <w:rFonts w:ascii="Times New Roman" w:hAnsi="Times New Roman"/>
          <w:sz w:val="24"/>
          <w:szCs w:val="24"/>
        </w:rPr>
        <w:t xml:space="preserve"> je realizovaná Ministerstvom spravodlivosti SR, súdmi, Ústavným súdom SR, Najvyšším správnym súdom SR, Najvyšším súdom SR, Súdnou radou SR a Generálnou prokuratúrou SR. Prostredníctvom uvedených silových zložiek a organizácií v justícii štát ochra</w:t>
      </w:r>
      <w:r w:rsidRPr="00DD531B">
        <w:rPr>
          <w:rFonts w:ascii="Times New Roman" w:hAnsi="Times New Roman" w:hint="eastAsia"/>
          <w:sz w:val="24"/>
          <w:szCs w:val="24"/>
        </w:rPr>
        <w:t>ň</w:t>
      </w:r>
      <w:r w:rsidRPr="00DD531B">
        <w:rPr>
          <w:rFonts w:ascii="Times New Roman" w:hAnsi="Times New Roman"/>
          <w:sz w:val="24"/>
          <w:szCs w:val="24"/>
        </w:rPr>
        <w:t>uje život, slobody a bezpe</w:t>
      </w:r>
      <w:r w:rsidRPr="00DD531B">
        <w:rPr>
          <w:rFonts w:ascii="Times New Roman" w:hAnsi="Times New Roman" w:hint="eastAsia"/>
          <w:sz w:val="24"/>
          <w:szCs w:val="24"/>
        </w:rPr>
        <w:t>č</w:t>
      </w:r>
      <w:r w:rsidRPr="00DD531B">
        <w:rPr>
          <w:rFonts w:ascii="Times New Roman" w:hAnsi="Times New Roman"/>
          <w:sz w:val="24"/>
          <w:szCs w:val="24"/>
        </w:rPr>
        <w:t>nos</w:t>
      </w:r>
      <w:r w:rsidRPr="00DD531B">
        <w:rPr>
          <w:rFonts w:ascii="Times New Roman" w:hAnsi="Times New Roman" w:hint="eastAsia"/>
          <w:sz w:val="24"/>
          <w:szCs w:val="24"/>
        </w:rPr>
        <w:t>ť</w:t>
      </w:r>
      <w:r w:rsidRPr="00DD531B">
        <w:rPr>
          <w:rFonts w:ascii="Times New Roman" w:hAnsi="Times New Roman"/>
          <w:sz w:val="24"/>
          <w:szCs w:val="24"/>
        </w:rPr>
        <w:t xml:space="preserve"> obyvate</w:t>
      </w:r>
      <w:r w:rsidRPr="00DD531B">
        <w:rPr>
          <w:rFonts w:ascii="Times New Roman" w:hAnsi="Times New Roman" w:hint="eastAsia"/>
          <w:sz w:val="24"/>
          <w:szCs w:val="24"/>
        </w:rPr>
        <w:t>ľ</w:t>
      </w:r>
      <w:r w:rsidRPr="00DD531B">
        <w:rPr>
          <w:rFonts w:ascii="Times New Roman" w:hAnsi="Times New Roman"/>
          <w:sz w:val="24"/>
          <w:szCs w:val="24"/>
        </w:rPr>
        <w:t>ov a spravodlivos</w:t>
      </w:r>
      <w:r w:rsidRPr="00DD531B">
        <w:rPr>
          <w:rFonts w:ascii="Times New Roman" w:hAnsi="Times New Roman" w:hint="eastAsia"/>
          <w:sz w:val="24"/>
          <w:szCs w:val="24"/>
        </w:rPr>
        <w:t>ť</w:t>
      </w:r>
      <w:r w:rsidRPr="00DD531B">
        <w:rPr>
          <w:rFonts w:ascii="Times New Roman" w:hAnsi="Times New Roman"/>
          <w:sz w:val="24"/>
          <w:szCs w:val="24"/>
        </w:rPr>
        <w:t xml:space="preserve"> na svojom území.</w:t>
      </w:r>
      <w:r w:rsidRPr="00DD531B">
        <w:rPr>
          <w:rFonts w:ascii="Times New Roman" w:hAnsi="Times New Roman"/>
          <w:sz w:val="24"/>
          <w:szCs w:val="24"/>
          <w:highlight w:val="yellow"/>
        </w:rPr>
        <w:t xml:space="preserve"> </w:t>
      </w:r>
    </w:p>
    <w:p w14:paraId="2DF4B69F" w14:textId="77777777" w:rsidR="00DD531B" w:rsidRPr="00DD531B" w:rsidRDefault="00DD531B" w:rsidP="00DD531B">
      <w:pPr>
        <w:spacing w:after="0" w:line="276" w:lineRule="auto"/>
        <w:jc w:val="both"/>
        <w:rPr>
          <w:rFonts w:ascii="Times New Roman" w:hAnsi="Times New Roman"/>
          <w:color w:val="FF0000"/>
          <w:sz w:val="24"/>
          <w:szCs w:val="24"/>
        </w:rPr>
      </w:pPr>
    </w:p>
    <w:p w14:paraId="200EC59C" w14:textId="77777777" w:rsidR="00DD531B" w:rsidRPr="00DD531B" w:rsidRDefault="00DD531B" w:rsidP="00DD531B">
      <w:pPr>
        <w:spacing w:after="0" w:line="276" w:lineRule="auto"/>
        <w:contextualSpacing/>
        <w:jc w:val="both"/>
        <w:rPr>
          <w:rFonts w:ascii="Times New Roman" w:eastAsia="Calibri" w:hAnsi="Times New Roman" w:cs="Times New Roman"/>
          <w:color w:val="000000"/>
          <w:sz w:val="24"/>
          <w:szCs w:val="24"/>
        </w:rPr>
      </w:pPr>
      <w:r w:rsidRPr="00DD531B">
        <w:rPr>
          <w:rFonts w:ascii="Times New Roman" w:eastAsia="Calibri" w:hAnsi="Times New Roman" w:cs="Times New Roman"/>
          <w:color w:val="000000"/>
          <w:sz w:val="24"/>
          <w:szCs w:val="24"/>
        </w:rPr>
        <w:t xml:space="preserve">V oblasti bezpečnosti sa kapitole Ministerstvo vnútra SR v nadväznosti na aktualizáciu revízie zastabilizoval počet policajtov na úrovni 22 601 pre rok 2024. Vo výdavkoch na rok 2024 sú v kapitole premietnuté zvýšené prevádzkové výdavky najmä z titulu energií  v sume 23,4 mil. eur a medzirezortný program Podpora obrany štátu na roky 2024 až 2026 vo výške 2,49 mil. eur. Kapitálové výdavky sa medziročne zvýšili o sumu 66,3 mil. eur. </w:t>
      </w:r>
    </w:p>
    <w:p w14:paraId="71BFAEF6" w14:textId="77777777" w:rsidR="00DD531B" w:rsidRPr="00DD531B" w:rsidRDefault="00DD531B" w:rsidP="00DD531B">
      <w:pPr>
        <w:spacing w:after="0" w:line="276" w:lineRule="auto"/>
        <w:contextualSpacing/>
        <w:jc w:val="both"/>
        <w:rPr>
          <w:rFonts w:ascii="Times New Roman" w:eastAsia="Calibri" w:hAnsi="Times New Roman" w:cs="Times New Roman"/>
          <w:color w:val="000000"/>
          <w:sz w:val="24"/>
          <w:szCs w:val="24"/>
        </w:rPr>
      </w:pPr>
    </w:p>
    <w:p w14:paraId="61A80388" w14:textId="77777777" w:rsidR="00DD531B" w:rsidRPr="00DD531B" w:rsidRDefault="00DD531B" w:rsidP="00DD531B">
      <w:pPr>
        <w:spacing w:after="0" w:line="276" w:lineRule="auto"/>
        <w:contextualSpacing/>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 xml:space="preserve">V oblasti súdnictva sú </w:t>
      </w:r>
      <w:r w:rsidRPr="00DD531B">
        <w:rPr>
          <w:rFonts w:ascii="Times New Roman" w:eastAsia="Times New Roman" w:hAnsi="Times New Roman" w:cs="Times New Roman"/>
          <w:sz w:val="24"/>
          <w:szCs w:val="24"/>
          <w:lang w:eastAsia="cs-CZ"/>
        </w:rPr>
        <w:t xml:space="preserve">v kapitole Ministerstva spravodlivosti SR </w:t>
      </w:r>
      <w:r w:rsidRPr="00DD531B">
        <w:rPr>
          <w:rFonts w:ascii="Times New Roman" w:eastAsia="Calibri" w:hAnsi="Times New Roman" w:cs="Times New Roman"/>
          <w:sz w:val="24"/>
          <w:szCs w:val="24"/>
        </w:rPr>
        <w:t xml:space="preserve">na rok 2024 zahrnuté výdavky </w:t>
      </w:r>
      <w:r w:rsidRPr="00DD531B">
        <w:rPr>
          <w:rFonts w:ascii="Times New Roman" w:eastAsia="Times New Roman" w:hAnsi="Times New Roman" w:cs="Times New Roman"/>
          <w:sz w:val="24"/>
          <w:szCs w:val="24"/>
          <w:lang w:eastAsia="cs-CZ"/>
        </w:rPr>
        <w:t>v sume 13,2 mil. eur</w:t>
      </w:r>
      <w:r w:rsidRPr="00DD531B">
        <w:rPr>
          <w:rFonts w:ascii="Times New Roman" w:eastAsia="Calibri" w:hAnsi="Times New Roman" w:cs="Times New Roman"/>
          <w:sz w:val="24"/>
          <w:szCs w:val="24"/>
        </w:rPr>
        <w:t xml:space="preserve"> z prostriedkov POO </w:t>
      </w:r>
      <w:r w:rsidRPr="00DD531B">
        <w:rPr>
          <w:rFonts w:ascii="Times New Roman" w:eastAsia="Times New Roman" w:hAnsi="Times New Roman" w:cs="Times New Roman"/>
          <w:sz w:val="24"/>
          <w:szCs w:val="24"/>
          <w:lang w:eastAsia="cs-CZ"/>
        </w:rPr>
        <w:t xml:space="preserve">na reorganizáciu súdov a renovácie budov, ako aj na digitalizáciu a analytické kapacity a tiež na digitalizáciu procesov </w:t>
      </w:r>
      <w:proofErr w:type="spellStart"/>
      <w:r w:rsidRPr="00DD531B">
        <w:rPr>
          <w:rFonts w:ascii="Times New Roman" w:eastAsia="Times New Roman" w:hAnsi="Times New Roman" w:cs="Times New Roman"/>
          <w:sz w:val="24"/>
          <w:szCs w:val="24"/>
          <w:lang w:eastAsia="cs-CZ"/>
        </w:rPr>
        <w:t>insolvenčného</w:t>
      </w:r>
      <w:proofErr w:type="spellEnd"/>
      <w:r w:rsidRPr="00DD531B">
        <w:rPr>
          <w:rFonts w:ascii="Times New Roman" w:eastAsia="Times New Roman" w:hAnsi="Times New Roman" w:cs="Times New Roman"/>
          <w:sz w:val="24"/>
          <w:szCs w:val="24"/>
          <w:lang w:eastAsia="cs-CZ"/>
        </w:rPr>
        <w:t xml:space="preserve"> konania. Na </w:t>
      </w:r>
      <w:r w:rsidRPr="00DD531B">
        <w:rPr>
          <w:rFonts w:ascii="Times New Roman" w:eastAsia="Calibri" w:hAnsi="Times New Roman" w:cs="Times New Roman"/>
          <w:sz w:val="24"/>
          <w:szCs w:val="24"/>
        </w:rPr>
        <w:t xml:space="preserve">pokrytie výdavkov ministerstva v nadväznosti na reformu súdnej mapy sú alokované v rozpočte </w:t>
      </w:r>
      <w:r w:rsidRPr="00DD531B">
        <w:rPr>
          <w:rFonts w:ascii="Times New Roman" w:eastAsia="Calibri" w:hAnsi="Times New Roman" w:cs="Times New Roman"/>
          <w:sz w:val="24"/>
          <w:szCs w:val="24"/>
        </w:rPr>
        <w:lastRenderedPageBreak/>
        <w:t>kapitoly zdroje v sume 9,51 mil. eur. S cieľom implementovať niektoré z projektových zámerov ministerstva v rámci projektu „Implementácia opatrení na podporu reformy štruktúry a optimalizácie procesov v rodinnoprávnej agende“ je na zavedenie inštitútu vyššieho súdneho úradníka (koordinátora a psychológa) predurčené zdrojové krytie v sume 2,66 mil. eur. Na dofinancovanie prevádzky súdnictva je v kapitole vyčlenených 7,30 mil. eur, najmä na pokrytie rozdielu vzniknutého zvýšením cien energií a na príplatky k dôchodku za výkon funkcie sudcu a príplatky k dôchodku pozostalých.</w:t>
      </w:r>
    </w:p>
    <w:p w14:paraId="059C7577" w14:textId="77777777" w:rsidR="00DD531B" w:rsidRPr="00DD531B" w:rsidRDefault="00DD531B" w:rsidP="00DD531B">
      <w:pPr>
        <w:spacing w:after="0" w:line="276" w:lineRule="auto"/>
        <w:ind w:firstLine="360"/>
        <w:contextualSpacing/>
        <w:jc w:val="both"/>
        <w:rPr>
          <w:rFonts w:ascii="Times New Roman" w:eastAsia="Calibri" w:hAnsi="Times New Roman" w:cs="Times New Roman"/>
          <w:sz w:val="24"/>
          <w:szCs w:val="24"/>
        </w:rPr>
      </w:pPr>
    </w:p>
    <w:p w14:paraId="5E530FC6" w14:textId="77777777" w:rsidR="00DD531B" w:rsidRPr="00DD531B" w:rsidRDefault="00DD531B" w:rsidP="00DD531B">
      <w:pPr>
        <w:spacing w:after="0" w:line="276" w:lineRule="auto"/>
        <w:contextualSpacing/>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 xml:space="preserve">Výdavky </w:t>
      </w:r>
      <w:r w:rsidRPr="00DD531B">
        <w:rPr>
          <w:rFonts w:ascii="Times New Roman" w:eastAsia="Times New Roman" w:hAnsi="Times New Roman" w:cs="Times New Roman"/>
          <w:sz w:val="24"/>
          <w:szCs w:val="24"/>
          <w:lang w:eastAsia="cs-CZ"/>
        </w:rPr>
        <w:t>kapitoly Generálna prokuratúra SR medziročne rastú celkovo o 15,1 mil. eur. Rozdiel je mimo objemu prostriedkov na obligatórne náležitostí spojený s rozpočtovým krytím výdavkov v nadväznosti na zákon č. 192/2023 Z. z. o registri trestov v sume 4,98 mil. eur, rozpočtové krytie negatívnych dopadov reformy súdnej mapy na rezort prokuratúry v sume 1,45 mil. eur a dofinancovanie prevádzky v sume 1,09 mil. eur</w:t>
      </w:r>
      <w:r w:rsidRPr="00DD531B">
        <w:rPr>
          <w:rFonts w:ascii="Times New Roman" w:eastAsia="Calibri" w:hAnsi="Times New Roman" w:cs="Times New Roman"/>
          <w:sz w:val="24"/>
          <w:szCs w:val="24"/>
        </w:rPr>
        <w:t xml:space="preserve"> </w:t>
      </w:r>
      <w:r w:rsidRPr="00DD531B">
        <w:rPr>
          <w:rFonts w:ascii="Times New Roman" w:eastAsia="Times New Roman" w:hAnsi="Times New Roman" w:cs="Times New Roman"/>
          <w:sz w:val="24"/>
          <w:szCs w:val="24"/>
          <w:lang w:eastAsia="cs-CZ"/>
        </w:rPr>
        <w:t>na pokrytie zvýšenia cien energií.</w:t>
      </w:r>
    </w:p>
    <w:p w14:paraId="33910BF4" w14:textId="77777777" w:rsidR="00DD531B" w:rsidRPr="00DD531B" w:rsidRDefault="00DD531B" w:rsidP="00DD531B">
      <w:pPr>
        <w:spacing w:after="0" w:line="276" w:lineRule="auto"/>
        <w:contextualSpacing/>
        <w:jc w:val="both"/>
        <w:rPr>
          <w:rFonts w:ascii="Times New Roman" w:eastAsia="Calibri" w:hAnsi="Times New Roman" w:cs="Times New Roman"/>
          <w:sz w:val="24"/>
          <w:szCs w:val="24"/>
        </w:rPr>
      </w:pPr>
    </w:p>
    <w:p w14:paraId="5E844E21" w14:textId="77777777" w:rsidR="00DD531B" w:rsidRPr="00DD531B" w:rsidRDefault="00DD531B" w:rsidP="00DD531B">
      <w:pPr>
        <w:spacing w:after="0" w:line="276" w:lineRule="auto"/>
        <w:contextualSpacing/>
        <w:jc w:val="both"/>
        <w:rPr>
          <w:rFonts w:ascii="Times New Roman" w:eastAsia="Times New Roman" w:hAnsi="Times New Roman" w:cs="Times New Roman"/>
          <w:sz w:val="24"/>
          <w:szCs w:val="24"/>
          <w:lang w:eastAsia="cs-CZ"/>
        </w:rPr>
      </w:pPr>
      <w:r w:rsidRPr="00DD531B">
        <w:rPr>
          <w:rFonts w:ascii="Times New Roman" w:eastAsia="Calibri" w:hAnsi="Times New Roman" w:cs="Times New Roman"/>
          <w:sz w:val="24"/>
          <w:szCs w:val="24"/>
        </w:rPr>
        <w:t xml:space="preserve">V oblasti väzenstva sú </w:t>
      </w:r>
      <w:r w:rsidRPr="00DD531B">
        <w:rPr>
          <w:rFonts w:ascii="Times New Roman" w:eastAsia="Times New Roman" w:hAnsi="Times New Roman" w:cs="Times New Roman"/>
          <w:sz w:val="24"/>
          <w:szCs w:val="24"/>
          <w:lang w:eastAsia="cs-CZ"/>
        </w:rPr>
        <w:t xml:space="preserve">v kapitole Ministerstva spravodlivosti SR </w:t>
      </w:r>
      <w:r w:rsidRPr="00DD531B">
        <w:rPr>
          <w:rFonts w:ascii="Times New Roman" w:eastAsia="Calibri" w:hAnsi="Times New Roman" w:cs="Times New Roman"/>
          <w:sz w:val="24"/>
          <w:szCs w:val="24"/>
        </w:rPr>
        <w:t>na rok 2024 zahrnuté výdavky v sume 10,8 mil. eur</w:t>
      </w:r>
      <w:r w:rsidRPr="00DD531B">
        <w:rPr>
          <w:rFonts w:ascii="Times New Roman" w:eastAsia="Times New Roman" w:hAnsi="Times New Roman" w:cs="Times New Roman"/>
          <w:sz w:val="24"/>
          <w:szCs w:val="24"/>
          <w:lang w:eastAsia="cs-CZ"/>
        </w:rPr>
        <w:t xml:space="preserve"> na zvýšenie príspevku na bývanie pre príslušníkov Zboru väzenskej a justičnej stráže SR (ďalej „ZVJS“) </w:t>
      </w:r>
      <w:r w:rsidRPr="00DD531B">
        <w:rPr>
          <w:rFonts w:ascii="Times New Roman" w:eastAsia="Calibri" w:hAnsi="Times New Roman" w:cs="Times New Roman"/>
          <w:sz w:val="24"/>
          <w:szCs w:val="24"/>
        </w:rPr>
        <w:t xml:space="preserve">s cieľom riešiť nepriaznivú situáciu týkajúcu sa náboru a následnej práce s ľudskými zdrojmi v rámci zboru k zabezpečeniu stabilizácie personálu. Na dofinancovanie prevádzky väzenstva je v rozpočte alokovaných 6,54 mil. eur, najmä na pokrytie rozdielu vzniknutého zvýšením cien energií a na zvýšenie peňažného limitu na prípravu stravy pre väznené osoby a personál. Na </w:t>
      </w:r>
      <w:r w:rsidRPr="00DD531B">
        <w:rPr>
          <w:rFonts w:ascii="Times New Roman" w:eastAsia="Times New Roman" w:hAnsi="Times New Roman" w:cs="Times New Roman"/>
          <w:sz w:val="24"/>
          <w:szCs w:val="24"/>
          <w:lang w:eastAsia="cs-CZ"/>
        </w:rPr>
        <w:t>obnovu pamiatkovo chránených a historických objektov v správe ZVJS sú v návrhu rozpočtu alokované zdroje v sume 5,07 mil. eur v súlade so zámerom získania finančných prostriedkov z Plánu obnovy z Výzvy na obnovu pamiatkovo chránených a historických budov.</w:t>
      </w:r>
    </w:p>
    <w:p w14:paraId="14B63490" w14:textId="77777777" w:rsidR="00DD531B" w:rsidRPr="00DD531B" w:rsidRDefault="00DD531B" w:rsidP="00DD531B">
      <w:pPr>
        <w:spacing w:after="0" w:line="276" w:lineRule="auto"/>
        <w:contextualSpacing/>
        <w:jc w:val="both"/>
        <w:rPr>
          <w:rFonts w:ascii="Times New Roman" w:eastAsia="Times New Roman" w:hAnsi="Times New Roman" w:cs="Times New Roman"/>
          <w:sz w:val="24"/>
          <w:szCs w:val="24"/>
          <w:lang w:eastAsia="cs-CZ"/>
        </w:rPr>
      </w:pPr>
    </w:p>
    <w:p w14:paraId="2D0B335C" w14:textId="77777777" w:rsidR="00DD531B" w:rsidRPr="00DD531B" w:rsidRDefault="00DD531B" w:rsidP="00DD531B">
      <w:pPr>
        <w:keepNext/>
        <w:spacing w:after="0" w:line="276" w:lineRule="auto"/>
        <w:outlineLvl w:val="1"/>
        <w:rPr>
          <w:rFonts w:ascii="Times New Roman" w:eastAsia="Times New Roman" w:hAnsi="Times New Roman" w:cs="Times New Roman"/>
          <w:iCs/>
          <w:color w:val="5B9BD5"/>
          <w:sz w:val="24"/>
          <w:szCs w:val="24"/>
          <w:lang w:eastAsia="cs-CZ"/>
        </w:rPr>
      </w:pPr>
      <w:r w:rsidRPr="00DD531B">
        <w:rPr>
          <w:rFonts w:ascii="Times New Roman" w:eastAsia="Times New Roman" w:hAnsi="Times New Roman" w:cs="Times New Roman"/>
          <w:b/>
          <w:bCs/>
          <w:iCs/>
          <w:color w:val="5B9BD5"/>
          <w:sz w:val="24"/>
          <w:szCs w:val="24"/>
          <w:lang w:eastAsia="cs-CZ"/>
        </w:rPr>
        <w:t xml:space="preserve">Obrana </w:t>
      </w:r>
    </w:p>
    <w:p w14:paraId="21BE08FF" w14:textId="77777777" w:rsidR="00DD531B" w:rsidRPr="00DD531B" w:rsidRDefault="00DD531B" w:rsidP="00DD531B">
      <w:pPr>
        <w:spacing w:after="0" w:line="276" w:lineRule="auto"/>
        <w:jc w:val="both"/>
        <w:rPr>
          <w:rFonts w:ascii="Times New Roman" w:eastAsia="Calibri" w:hAnsi="Times New Roman" w:cs="Times New Roman"/>
          <w:b/>
          <w:sz w:val="24"/>
          <w:szCs w:val="24"/>
        </w:rPr>
      </w:pPr>
    </w:p>
    <w:p w14:paraId="126BD76F"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b/>
          <w:sz w:val="24"/>
          <w:szCs w:val="24"/>
        </w:rPr>
        <w:t>Celkové obranné výdavky</w:t>
      </w:r>
      <w:r w:rsidRPr="00DD531B">
        <w:rPr>
          <w:rFonts w:ascii="Times New Roman" w:eastAsia="Calibri" w:hAnsi="Times New Roman" w:cs="Times New Roman"/>
          <w:sz w:val="24"/>
          <w:szCs w:val="24"/>
        </w:rPr>
        <w:t xml:space="preserve"> sú na roky 2024 až 2026 plánované </w:t>
      </w:r>
      <w:r w:rsidRPr="00DD531B">
        <w:rPr>
          <w:rFonts w:ascii="Times New Roman" w:eastAsia="Calibri" w:hAnsi="Times New Roman" w:cs="Times New Roman"/>
          <w:b/>
          <w:sz w:val="24"/>
          <w:szCs w:val="24"/>
        </w:rPr>
        <w:t>vo výške 2,00 % HDP</w:t>
      </w:r>
      <w:r w:rsidRPr="00DD531B">
        <w:rPr>
          <w:rFonts w:ascii="Times New Roman" w:eastAsia="Calibri" w:hAnsi="Times New Roman" w:cs="Times New Roman"/>
          <w:sz w:val="24"/>
          <w:szCs w:val="24"/>
        </w:rPr>
        <w:t xml:space="preserve">, v absolútnom vyjadrení v sume 2,63 mld. eur na rok 2024, vrátane výdavkov ostatných kapitol štátneho rozpočtu v rámci medzirezortných programov Podpora obrany, Hospodárska mobilizácia a ostatných obranných výdavkov. </w:t>
      </w:r>
    </w:p>
    <w:p w14:paraId="4E348B06"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50C64CE1"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 xml:space="preserve">Obranné výdavky na roky 2024 až 2026 sú plánované v súlade s politickým záväzkom v rámci prísľubu investovania do obrany členskými štátmi NATO a závermi zo summitu NATO konaného v dňoch 11. a 12. júla 2023 vo Vilniuse, na ktorom bolo deklarované, že členovia NATO zvýšia svoje výdavky na obranu aspoň na 2 % svojho hrubého domáceho produktu. </w:t>
      </w:r>
    </w:p>
    <w:p w14:paraId="62803C90"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 xml:space="preserve">  </w:t>
      </w:r>
    </w:p>
    <w:p w14:paraId="6CA03E92"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 xml:space="preserve">V rámci výdavkov rezortu obrany sa rozpočtujú prostriedky celkovo v sume 2,61 mld. eur, predovšetkým na činnosť ozbrojených síl SR vrátane operácií medzinárodného krízového manažmentu, náležitosti súvisiace s personálom, nevyhnutnú prevádzku vrátane údržby a opráv dopravných prostriedkov, rutinnej a štandardnej údržby špeciálnych strojov a správy nehnuteľného majetku, medzinárodné záväzky voči NATO a EÚ, zabezpečenie transferov </w:t>
      </w:r>
      <w:r w:rsidRPr="00DD531B">
        <w:rPr>
          <w:rFonts w:ascii="Times New Roman" w:eastAsia="Calibri" w:hAnsi="Times New Roman" w:cs="Times New Roman"/>
          <w:sz w:val="24"/>
          <w:szCs w:val="24"/>
        </w:rPr>
        <w:lastRenderedPageBreak/>
        <w:t xml:space="preserve">nefinančným subjektom a príspevkovým organizáciám a na činnosť 11 rozpočtových organizácii v zriaďovateľskej pôsobnosti Ministerstva obrany SR.  </w:t>
      </w:r>
    </w:p>
    <w:p w14:paraId="5A8D5435"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7AE4681E"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 xml:space="preserve">V rámci celkových výdavkov rezortu obrany sa zabezpečujú aj prostriedky na rozvoj obrany vo výške 877 mil. eur, ktoré sú určené na rozvojové aktivity rezortu, a to najmä na rozvoj výzbroje, techniky a materiálu, rozvoj infraštruktúry a rozvoj komunikačných a informačných systémov, predovšetkým na zabezpečenie financovania najväčších investičných projektov  -  Viacúčelové taktické lietadlá, Pásové bojové vozidlá a Bojové obrnené vozidlá 8x8. </w:t>
      </w:r>
    </w:p>
    <w:p w14:paraId="277B3233" w14:textId="77777777" w:rsidR="00DD531B" w:rsidRPr="00DD531B" w:rsidRDefault="00DD531B" w:rsidP="00DD531B">
      <w:pPr>
        <w:keepNext/>
        <w:spacing w:after="0" w:line="276" w:lineRule="auto"/>
        <w:outlineLvl w:val="1"/>
        <w:rPr>
          <w:rFonts w:ascii="Times New Roman" w:eastAsia="Times New Roman" w:hAnsi="Times New Roman" w:cs="Times New Roman"/>
          <w:b/>
          <w:bCs/>
          <w:iCs/>
          <w:color w:val="5B9BD5"/>
          <w:sz w:val="24"/>
          <w:szCs w:val="24"/>
          <w:lang w:eastAsia="cs-CZ"/>
        </w:rPr>
      </w:pPr>
    </w:p>
    <w:p w14:paraId="3C418633" w14:textId="77777777" w:rsidR="00DD531B" w:rsidRPr="00DD531B" w:rsidRDefault="00DD531B" w:rsidP="00DD531B">
      <w:pPr>
        <w:keepNext/>
        <w:spacing w:after="0" w:line="276" w:lineRule="auto"/>
        <w:outlineLvl w:val="1"/>
        <w:rPr>
          <w:rFonts w:ascii="Times New Roman" w:eastAsia="Times New Roman" w:hAnsi="Times New Roman" w:cs="Times New Roman"/>
          <w:b/>
          <w:bCs/>
          <w:iCs/>
          <w:color w:val="5B9BD5"/>
          <w:sz w:val="24"/>
          <w:szCs w:val="24"/>
          <w:lang w:eastAsia="cs-CZ"/>
        </w:rPr>
      </w:pPr>
      <w:r w:rsidRPr="00DD531B">
        <w:rPr>
          <w:rFonts w:ascii="Times New Roman" w:eastAsia="Times New Roman" w:hAnsi="Times New Roman" w:cs="Times New Roman"/>
          <w:b/>
          <w:bCs/>
          <w:iCs/>
          <w:color w:val="5B9BD5"/>
          <w:sz w:val="24"/>
          <w:szCs w:val="24"/>
          <w:lang w:eastAsia="cs-CZ"/>
        </w:rPr>
        <w:t>Financie</w:t>
      </w:r>
    </w:p>
    <w:p w14:paraId="38C62ACB" w14:textId="77777777" w:rsidR="00DD531B" w:rsidRPr="00DD531B" w:rsidRDefault="00DD531B" w:rsidP="00DD531B">
      <w:pPr>
        <w:keepNext/>
        <w:spacing w:after="0" w:line="276" w:lineRule="auto"/>
        <w:outlineLvl w:val="1"/>
        <w:rPr>
          <w:rFonts w:ascii="Times New Roman" w:eastAsia="Times New Roman" w:hAnsi="Times New Roman" w:cs="Times New Roman"/>
          <w:bCs/>
          <w:iCs/>
          <w:color w:val="5B9BD5"/>
          <w:sz w:val="24"/>
          <w:szCs w:val="24"/>
          <w:lang w:eastAsia="cs-CZ"/>
        </w:rPr>
      </w:pPr>
    </w:p>
    <w:p w14:paraId="2564868A" w14:textId="37374929" w:rsidR="00DD531B" w:rsidRPr="00DD531B" w:rsidRDefault="00DD531B" w:rsidP="00DD531B">
      <w:pPr>
        <w:spacing w:after="0" w:line="276" w:lineRule="auto"/>
        <w:jc w:val="both"/>
        <w:rPr>
          <w:rFonts w:ascii="Times New Roman" w:eastAsia="Calibri" w:hAnsi="Times New Roman" w:cs="Times New Roman"/>
          <w:bCs/>
          <w:sz w:val="24"/>
          <w:szCs w:val="24"/>
        </w:rPr>
      </w:pPr>
      <w:r w:rsidRPr="00DD531B">
        <w:rPr>
          <w:rFonts w:ascii="Times New Roman" w:eastAsia="Calibri" w:hAnsi="Times New Roman" w:cs="Times New Roman"/>
          <w:bCs/>
          <w:sz w:val="24"/>
          <w:szCs w:val="24"/>
        </w:rPr>
        <w:t xml:space="preserve">Oblasť financií je na </w:t>
      </w:r>
      <w:r w:rsidR="002F6E98">
        <w:rPr>
          <w:rFonts w:ascii="Times New Roman" w:eastAsia="Calibri" w:hAnsi="Times New Roman" w:cs="Times New Roman"/>
          <w:bCs/>
          <w:sz w:val="24"/>
          <w:szCs w:val="24"/>
        </w:rPr>
        <w:t>rok 2024 zabezpečená v sume 1,85</w:t>
      </w:r>
      <w:r w:rsidRPr="00DD531B">
        <w:rPr>
          <w:rFonts w:ascii="Times New Roman" w:eastAsia="Calibri" w:hAnsi="Times New Roman" w:cs="Times New Roman"/>
          <w:bCs/>
          <w:sz w:val="24"/>
          <w:szCs w:val="24"/>
        </w:rPr>
        <w:t xml:space="preserve"> mld. eur, z toho finančné transakcie Exportno-importnej banky SR v sume 1,1 mld. eur. V rámci výdavkov na oblasť Financie sa v roku 2024 rozpočtujú prostriedky na finančnú správu, informačné systémy riadenia verejných financií, inštitucionálnu podporu a kontrolu a ostatné činnosti, Exportno-importnú banku SR, Slovenskú konsolidačnú, a. s., Úrad pre dohľad nad výkonom auditu a Radu pre rozpočtovú zodpovednosť. </w:t>
      </w:r>
    </w:p>
    <w:p w14:paraId="1C8A18FA" w14:textId="77777777" w:rsidR="00DD531B" w:rsidRPr="00DD531B" w:rsidRDefault="00DD531B" w:rsidP="00DD531B">
      <w:pPr>
        <w:spacing w:after="0" w:line="276" w:lineRule="auto"/>
        <w:jc w:val="both"/>
        <w:rPr>
          <w:rFonts w:ascii="Times New Roman" w:eastAsia="Calibri" w:hAnsi="Times New Roman" w:cs="Times New Roman"/>
          <w:bCs/>
          <w:sz w:val="24"/>
          <w:szCs w:val="24"/>
        </w:rPr>
      </w:pPr>
    </w:p>
    <w:p w14:paraId="78ECF52D" w14:textId="77777777" w:rsidR="00DD531B" w:rsidRPr="00DD531B" w:rsidRDefault="00DD531B" w:rsidP="00DD531B">
      <w:pPr>
        <w:spacing w:after="0" w:line="276" w:lineRule="auto"/>
        <w:jc w:val="both"/>
        <w:rPr>
          <w:rFonts w:ascii="Times New Roman" w:hAnsi="Times New Roman" w:cs="Times New Roman"/>
          <w:sz w:val="24"/>
          <w:szCs w:val="24"/>
        </w:rPr>
      </w:pPr>
      <w:r w:rsidRPr="00DD531B">
        <w:rPr>
          <w:rFonts w:ascii="Times New Roman" w:hAnsi="Times New Roman" w:cs="Times New Roman"/>
          <w:sz w:val="24"/>
          <w:szCs w:val="24"/>
        </w:rPr>
        <w:t xml:space="preserve">Finančná správa prostredníctvom Finančného riaditeľstva SR, daňových a colných úradov a Kriminálneho úradu finančnej správy zabezpečuje najmä úlohy v oblasti správy daní a registrácie daňových subjektov a výberu daní a cla. Výdavky na informačné systémy riadenia verejných financií zabezpečujú financovanie systémov vnútornej správy, podpornej infraštruktúry a špecializovaných agendových systémov. Výdavkami na inštitucionálnu podporu a kontrolu a ostatné činnosti sa zabezpečujú odborné činnosti a prevádzka Úradu vládneho auditu, Vzdelávacieho a doškoľovacieho zariadenia VS - Financie Tatranská Lomnica, Agentúry pre riadenie dlhu a likvidity, Štátnej pokladnice, </w:t>
      </w:r>
      <w:proofErr w:type="spellStart"/>
      <w:r w:rsidRPr="00DD531B">
        <w:rPr>
          <w:rFonts w:ascii="Times New Roman" w:hAnsi="Times New Roman" w:cs="Times New Roman"/>
          <w:sz w:val="24"/>
          <w:szCs w:val="24"/>
        </w:rPr>
        <w:t>DataCentra</w:t>
      </w:r>
      <w:proofErr w:type="spellEnd"/>
      <w:r w:rsidRPr="00DD531B">
        <w:rPr>
          <w:rFonts w:ascii="Times New Roman" w:hAnsi="Times New Roman" w:cs="Times New Roman"/>
          <w:sz w:val="24"/>
          <w:szCs w:val="24"/>
        </w:rPr>
        <w:t>, Úradu pre reguláciu hazardných hier a úradu Ministerstva financií SR.</w:t>
      </w:r>
    </w:p>
    <w:p w14:paraId="3586AEB1" w14:textId="77777777" w:rsidR="00DD531B" w:rsidRPr="00DD531B" w:rsidRDefault="00DD531B" w:rsidP="00DD531B">
      <w:pPr>
        <w:keepNext/>
        <w:spacing w:after="0" w:line="276" w:lineRule="auto"/>
        <w:outlineLvl w:val="1"/>
        <w:rPr>
          <w:rFonts w:ascii="Times New Roman" w:eastAsia="Calibri" w:hAnsi="Times New Roman" w:cs="Times New Roman"/>
          <w:b/>
          <w:sz w:val="24"/>
          <w:szCs w:val="24"/>
        </w:rPr>
      </w:pPr>
    </w:p>
    <w:p w14:paraId="0AE89325" w14:textId="77777777" w:rsidR="00DD531B" w:rsidRPr="00DD531B" w:rsidRDefault="00DD531B" w:rsidP="00DD531B">
      <w:pPr>
        <w:spacing w:after="0" w:line="276" w:lineRule="auto"/>
        <w:jc w:val="both"/>
        <w:rPr>
          <w:rFonts w:ascii="Times New Roman" w:eastAsia="Calibri" w:hAnsi="Times New Roman" w:cs="Times New Roman"/>
          <w:bCs/>
          <w:sz w:val="24"/>
          <w:szCs w:val="24"/>
        </w:rPr>
      </w:pPr>
      <w:r w:rsidRPr="00DD531B">
        <w:rPr>
          <w:rFonts w:ascii="Times New Roman" w:eastAsia="Calibri" w:hAnsi="Times New Roman" w:cs="Times New Roman"/>
          <w:bCs/>
          <w:sz w:val="24"/>
          <w:szCs w:val="24"/>
        </w:rPr>
        <w:t xml:space="preserve">V súvislosti s konfliktom na Ukrajine sa zintenzívnila premávka na hraničných priechodoch s Ukrajinou. V nadväznosti na uvedenú skutočnosť sa pripravuje projekt zásadného rozšírenia cestného hraničného priechodu Vyšné Nemecké, kde v roku 2024 je naň vyčlenených 7,5 mil. eur. Za účelom colnej ochrany jednotného trhu EÚ je pripravených ďalších 4,2 mil. eur na nákup špeciálnej techniky na colné kontroly či 1,4 mil. eur na </w:t>
      </w:r>
      <w:proofErr w:type="spellStart"/>
      <w:r w:rsidRPr="00DD531B">
        <w:rPr>
          <w:rFonts w:ascii="Times New Roman" w:eastAsia="Calibri" w:hAnsi="Times New Roman" w:cs="Times New Roman"/>
          <w:bCs/>
          <w:sz w:val="24"/>
          <w:szCs w:val="24"/>
        </w:rPr>
        <w:t>deutériovú</w:t>
      </w:r>
      <w:proofErr w:type="spellEnd"/>
      <w:r w:rsidRPr="00DD531B">
        <w:rPr>
          <w:rFonts w:ascii="Times New Roman" w:eastAsia="Calibri" w:hAnsi="Times New Roman" w:cs="Times New Roman"/>
          <w:bCs/>
          <w:sz w:val="24"/>
          <w:szCs w:val="24"/>
        </w:rPr>
        <w:t xml:space="preserve"> sondu. </w:t>
      </w:r>
    </w:p>
    <w:p w14:paraId="1761B9ED" w14:textId="77777777" w:rsidR="00DD531B" w:rsidRPr="00DD531B" w:rsidRDefault="00DD531B" w:rsidP="00DD531B">
      <w:pPr>
        <w:spacing w:after="0" w:line="276" w:lineRule="auto"/>
        <w:jc w:val="both"/>
        <w:rPr>
          <w:rFonts w:ascii="Times New Roman" w:eastAsia="Calibri" w:hAnsi="Times New Roman" w:cs="Times New Roman"/>
          <w:bCs/>
          <w:sz w:val="24"/>
          <w:szCs w:val="24"/>
        </w:rPr>
      </w:pPr>
    </w:p>
    <w:p w14:paraId="1B267784" w14:textId="77777777" w:rsidR="00DD531B" w:rsidRPr="00DD531B" w:rsidRDefault="00DD531B" w:rsidP="00DD531B">
      <w:pPr>
        <w:keepNext/>
        <w:spacing w:after="0" w:line="276" w:lineRule="auto"/>
        <w:outlineLvl w:val="1"/>
        <w:rPr>
          <w:rFonts w:ascii="Times New Roman" w:eastAsia="Calibri" w:hAnsi="Times New Roman" w:cs="Times New Roman"/>
          <w:b/>
          <w:sz w:val="24"/>
          <w:szCs w:val="24"/>
        </w:rPr>
      </w:pPr>
      <w:r w:rsidRPr="00DD531B">
        <w:rPr>
          <w:rFonts w:ascii="Times New Roman" w:eastAsia="Calibri" w:hAnsi="Times New Roman" w:cs="Times New Roman"/>
          <w:b/>
          <w:sz w:val="24"/>
          <w:szCs w:val="24"/>
        </w:rPr>
        <w:t>IT investície</w:t>
      </w:r>
    </w:p>
    <w:p w14:paraId="2DC3C232" w14:textId="77777777" w:rsidR="00DD531B" w:rsidRPr="00DD531B" w:rsidRDefault="00DD531B" w:rsidP="00DD531B">
      <w:pPr>
        <w:spacing w:after="0" w:line="276" w:lineRule="auto"/>
        <w:jc w:val="both"/>
        <w:rPr>
          <w:rFonts w:ascii="Times New Roman" w:eastAsia="Calibri" w:hAnsi="Times New Roman" w:cs="Times New Roman"/>
          <w:bCs/>
          <w:sz w:val="24"/>
          <w:szCs w:val="24"/>
        </w:rPr>
      </w:pPr>
      <w:r w:rsidRPr="00DD531B">
        <w:rPr>
          <w:rFonts w:ascii="Times New Roman" w:eastAsia="Calibri" w:hAnsi="Times New Roman" w:cs="Times New Roman"/>
          <w:bCs/>
          <w:sz w:val="24"/>
          <w:szCs w:val="24"/>
        </w:rPr>
        <w:t xml:space="preserve">Ministerstvo financií úspešne investuje aj do informačných systémov, nárast pokračuje aj v roku 2024. Rozbehnutý projekt Centrálny ekonomický systém (CES) má pre 150 inštitúcií a viac ako 16 000 používateľov zabezpečiť evidenciu a realizáciu rozpočtu, vedenie účtovníctva a výkazníctva, evidenciu a správu majetku a riadenie ľudských zdrojov. Na podporu ďalšej fázy sú v rozpočte pripravené investície za 9,4 mil. eur. Medzi ďalšími podporenými IT systémami sú investície do </w:t>
      </w:r>
      <w:proofErr w:type="spellStart"/>
      <w:r w:rsidRPr="00DD531B">
        <w:rPr>
          <w:rFonts w:ascii="Times New Roman" w:eastAsia="Calibri" w:hAnsi="Times New Roman" w:cs="Times New Roman"/>
          <w:bCs/>
          <w:sz w:val="24"/>
          <w:szCs w:val="24"/>
        </w:rPr>
        <w:t>SAPu</w:t>
      </w:r>
      <w:proofErr w:type="spellEnd"/>
      <w:r w:rsidRPr="00DD531B">
        <w:rPr>
          <w:rFonts w:ascii="Times New Roman" w:eastAsia="Calibri" w:hAnsi="Times New Roman" w:cs="Times New Roman"/>
          <w:bCs/>
          <w:sz w:val="24"/>
          <w:szCs w:val="24"/>
        </w:rPr>
        <w:t xml:space="preserve"> pre CES v sume 10 mil. eur, do Systému správy nepriamych daní v sume 5,2 mil. eur, do Portálu finančnej správy v sume 3,3 mil. eur, či na Centrálny ekonomický priečinok v sume 2,8 mil. eur.</w:t>
      </w:r>
    </w:p>
    <w:p w14:paraId="49FDB754" w14:textId="77777777" w:rsidR="00DD531B" w:rsidRPr="00DD531B" w:rsidRDefault="00DD531B" w:rsidP="00DD531B">
      <w:pPr>
        <w:spacing w:after="0" w:line="276" w:lineRule="auto"/>
        <w:jc w:val="both"/>
        <w:rPr>
          <w:rFonts w:ascii="Times New Roman" w:eastAsia="Calibri" w:hAnsi="Times New Roman" w:cs="Times New Roman"/>
          <w:bCs/>
          <w:sz w:val="24"/>
          <w:szCs w:val="24"/>
        </w:rPr>
      </w:pPr>
    </w:p>
    <w:p w14:paraId="256EF014" w14:textId="77777777" w:rsidR="00DD531B" w:rsidRPr="00DD531B" w:rsidRDefault="00DD531B" w:rsidP="00DD531B">
      <w:pPr>
        <w:spacing w:after="0" w:line="276" w:lineRule="auto"/>
        <w:jc w:val="both"/>
        <w:rPr>
          <w:rFonts w:ascii="Times New Roman" w:eastAsia="Calibri" w:hAnsi="Times New Roman" w:cs="Times New Roman"/>
          <w:bCs/>
          <w:sz w:val="24"/>
          <w:szCs w:val="24"/>
        </w:rPr>
      </w:pPr>
      <w:r w:rsidRPr="00DD531B">
        <w:rPr>
          <w:rFonts w:ascii="Times New Roman" w:eastAsia="Calibri" w:hAnsi="Times New Roman" w:cs="Times New Roman"/>
          <w:bCs/>
          <w:sz w:val="24"/>
          <w:szCs w:val="24"/>
        </w:rPr>
        <w:lastRenderedPageBreak/>
        <w:t>Potrebu ďalších IT investícií vyvoláva aj transpozícia práva EÚ. Najväčší vplyv mala novela zákona č. 222/2004 Z. z. o dani z pridanej hodnoty, ktorou sa so nášho zákonodarstva prijíma Smernica Rady 2022/542 vo veci sadzby dane z pridanej hodnoty.  Implementácia si vyžiada zmeny v šestnástich IT systémoch kapitoly, na čo je vyčlenených 4,5 mil. eur v roku 2024.</w:t>
      </w:r>
    </w:p>
    <w:p w14:paraId="2BFCEB96"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20E69570" w14:textId="77777777" w:rsidR="00DD531B" w:rsidRPr="00DD531B" w:rsidRDefault="00DD531B" w:rsidP="00DD531B">
      <w:pPr>
        <w:keepNext/>
        <w:spacing w:after="0" w:line="276" w:lineRule="auto"/>
        <w:outlineLvl w:val="1"/>
        <w:rPr>
          <w:rFonts w:ascii="Times New Roman" w:eastAsia="Times New Roman" w:hAnsi="Times New Roman" w:cs="Times New Roman"/>
          <w:bCs/>
          <w:iCs/>
          <w:color w:val="5B9BD5"/>
          <w:sz w:val="24"/>
          <w:szCs w:val="24"/>
          <w:lang w:eastAsia="cs-CZ"/>
        </w:rPr>
      </w:pPr>
      <w:r w:rsidRPr="00DD531B">
        <w:rPr>
          <w:rFonts w:ascii="Times New Roman" w:eastAsia="Times New Roman" w:hAnsi="Times New Roman" w:cs="Times New Roman"/>
          <w:b/>
          <w:bCs/>
          <w:iCs/>
          <w:color w:val="5B9BD5"/>
          <w:sz w:val="24"/>
          <w:szCs w:val="24"/>
          <w:lang w:eastAsia="cs-CZ"/>
        </w:rPr>
        <w:t>Životné prostredie</w:t>
      </w:r>
    </w:p>
    <w:p w14:paraId="48FFA927" w14:textId="77777777" w:rsidR="00DD531B" w:rsidRPr="00DD531B" w:rsidRDefault="00DD531B" w:rsidP="00DD531B">
      <w:pPr>
        <w:spacing w:after="0" w:line="276" w:lineRule="auto"/>
        <w:jc w:val="both"/>
        <w:rPr>
          <w:rFonts w:ascii="Times New Roman" w:eastAsia="Calibri" w:hAnsi="Times New Roman" w:cs="Times New Roman"/>
          <w:bCs/>
          <w:sz w:val="24"/>
          <w:szCs w:val="24"/>
        </w:rPr>
      </w:pPr>
    </w:p>
    <w:p w14:paraId="1309113E" w14:textId="77777777" w:rsidR="00DD531B" w:rsidRPr="00DD531B" w:rsidRDefault="00DD531B" w:rsidP="00DD531B">
      <w:pPr>
        <w:spacing w:after="0" w:line="276" w:lineRule="auto"/>
        <w:jc w:val="both"/>
        <w:rPr>
          <w:rFonts w:ascii="Times New Roman" w:hAnsi="Times New Roman" w:cs="Times New Roman"/>
          <w:sz w:val="24"/>
          <w:szCs w:val="24"/>
        </w:rPr>
      </w:pPr>
      <w:r w:rsidRPr="00DD531B">
        <w:rPr>
          <w:rFonts w:ascii="Times New Roman" w:hAnsi="Times New Roman" w:cs="Times New Roman"/>
          <w:sz w:val="24"/>
          <w:szCs w:val="24"/>
        </w:rPr>
        <w:t>Pre oblasť životného prostredia je v roku 2024 alokovaných celkovo 949 mil. eur. Uvedenými prostriedkami sa zabezpečujú úlohy najmä v oblasti ochrany prírody a krajiny, vodného hospodárstva, ochrany pred povodňami, ochrany kvality a množstva vôd a ich racionálneho využívania, ochrany ovzdušia, ozónovej vrstvy a klimatického systému Zeme, odpadového hospodárstva a geologického výskumu a prieskumu. V roku 2024 sú v oblasti vyčlenené značné prostriedky na riešenie environmentálnych záťaží, sanáciu problematických skládok či dekarbonizáciu priemyslu. Do oblasti vstupujú zdroje aj z Environmentálneho fondu, Modernizačného  fondu a Slovenského vodohospodárskeho podniku.</w:t>
      </w:r>
    </w:p>
    <w:p w14:paraId="5DE7235B" w14:textId="77777777" w:rsidR="00DD531B" w:rsidRPr="00DD531B" w:rsidRDefault="00DD531B" w:rsidP="00DD531B">
      <w:pPr>
        <w:keepNext/>
        <w:spacing w:after="0" w:line="276" w:lineRule="auto"/>
        <w:jc w:val="both"/>
        <w:outlineLvl w:val="1"/>
        <w:rPr>
          <w:rFonts w:ascii="Times New Roman" w:eastAsia="Times New Roman" w:hAnsi="Times New Roman" w:cs="Times New Roman"/>
          <w:b/>
          <w:bCs/>
          <w:iCs/>
          <w:color w:val="5B9BD5"/>
          <w:sz w:val="24"/>
          <w:szCs w:val="24"/>
          <w:lang w:eastAsia="cs-CZ"/>
        </w:rPr>
      </w:pPr>
    </w:p>
    <w:p w14:paraId="07443DDE" w14:textId="77777777" w:rsidR="00DD531B" w:rsidRPr="00DD531B" w:rsidRDefault="00DD531B" w:rsidP="00DD531B">
      <w:pPr>
        <w:keepNext/>
        <w:spacing w:after="0" w:line="276" w:lineRule="auto"/>
        <w:jc w:val="both"/>
        <w:outlineLvl w:val="1"/>
        <w:rPr>
          <w:rFonts w:ascii="Times New Roman" w:eastAsia="Times New Roman" w:hAnsi="Times New Roman" w:cs="Times New Roman"/>
          <w:b/>
          <w:bCs/>
          <w:iCs/>
          <w:sz w:val="24"/>
          <w:szCs w:val="24"/>
          <w:lang w:eastAsia="cs-CZ"/>
        </w:rPr>
      </w:pPr>
      <w:r w:rsidRPr="00DD531B">
        <w:rPr>
          <w:rFonts w:ascii="Times New Roman" w:eastAsia="Times New Roman" w:hAnsi="Times New Roman" w:cs="Times New Roman"/>
          <w:b/>
          <w:bCs/>
          <w:iCs/>
          <w:sz w:val="24"/>
          <w:szCs w:val="24"/>
          <w:lang w:eastAsia="cs-CZ"/>
        </w:rPr>
        <w:t>Prostriedky plánu obnovy a odolnosti</w:t>
      </w:r>
    </w:p>
    <w:p w14:paraId="60061F06"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 xml:space="preserve">V oblasti sú v roku 2024 k dispozícii aj zdroje z Plánu obnovy a odolnosti v objeme 242 mil. eur, ktoré budú slúžiť na dekarbonizáciu priemyslu, obnovu budov, ochranu prírody a krajiny a </w:t>
      </w:r>
      <w:proofErr w:type="spellStart"/>
      <w:r w:rsidRPr="00DD531B">
        <w:rPr>
          <w:rFonts w:ascii="Times New Roman" w:eastAsia="Calibri" w:hAnsi="Times New Roman" w:cs="Times New Roman"/>
          <w:sz w:val="24"/>
          <w:szCs w:val="24"/>
        </w:rPr>
        <w:t>renaturáciu</w:t>
      </w:r>
      <w:proofErr w:type="spellEnd"/>
      <w:r w:rsidRPr="00DD531B">
        <w:rPr>
          <w:rFonts w:ascii="Times New Roman" w:eastAsia="Calibri" w:hAnsi="Times New Roman" w:cs="Times New Roman"/>
          <w:sz w:val="24"/>
          <w:szCs w:val="24"/>
        </w:rPr>
        <w:t xml:space="preserve"> vodných tokov a mokradí. </w:t>
      </w:r>
    </w:p>
    <w:p w14:paraId="65E11DEA" w14:textId="77777777" w:rsidR="00DD531B" w:rsidRPr="00DD531B" w:rsidRDefault="00DD531B" w:rsidP="00DD531B">
      <w:pPr>
        <w:keepNext/>
        <w:spacing w:after="0" w:line="276" w:lineRule="auto"/>
        <w:jc w:val="both"/>
        <w:outlineLvl w:val="1"/>
        <w:rPr>
          <w:rFonts w:ascii="Times New Roman" w:eastAsia="Times New Roman" w:hAnsi="Times New Roman" w:cs="Times New Roman"/>
          <w:bCs/>
          <w:iCs/>
          <w:color w:val="5B9BD5"/>
          <w:sz w:val="24"/>
          <w:szCs w:val="24"/>
          <w:lang w:eastAsia="cs-CZ"/>
        </w:rPr>
      </w:pPr>
    </w:p>
    <w:p w14:paraId="08459A10" w14:textId="77777777" w:rsidR="00DD531B" w:rsidRPr="00DD531B" w:rsidRDefault="00DD531B" w:rsidP="00DD531B">
      <w:pPr>
        <w:keepNext/>
        <w:spacing w:after="0" w:line="276" w:lineRule="auto"/>
        <w:jc w:val="both"/>
        <w:outlineLvl w:val="1"/>
        <w:rPr>
          <w:rFonts w:ascii="Times New Roman" w:eastAsia="Times New Roman" w:hAnsi="Times New Roman" w:cs="Times New Roman"/>
          <w:b/>
          <w:bCs/>
          <w:iCs/>
          <w:sz w:val="24"/>
          <w:szCs w:val="24"/>
          <w:lang w:eastAsia="cs-CZ"/>
        </w:rPr>
      </w:pPr>
      <w:r w:rsidRPr="00DD531B">
        <w:rPr>
          <w:rFonts w:ascii="Times New Roman" w:eastAsia="Times New Roman" w:hAnsi="Times New Roman" w:cs="Times New Roman"/>
          <w:b/>
          <w:bCs/>
          <w:iCs/>
          <w:sz w:val="24"/>
          <w:szCs w:val="24"/>
          <w:lang w:eastAsia="cs-CZ"/>
        </w:rPr>
        <w:t>Environmentálny fond</w:t>
      </w:r>
    </w:p>
    <w:p w14:paraId="71341B8C" w14:textId="77777777" w:rsidR="00DD531B" w:rsidRPr="00DD531B" w:rsidRDefault="00DD531B" w:rsidP="00DD531B">
      <w:pPr>
        <w:spacing w:after="0" w:line="276" w:lineRule="auto"/>
        <w:jc w:val="both"/>
        <w:rPr>
          <w:rFonts w:ascii="Times New Roman" w:eastAsia="Calibri" w:hAnsi="Times New Roman" w:cs="Times New Roman"/>
          <w:bCs/>
          <w:sz w:val="24"/>
          <w:szCs w:val="24"/>
        </w:rPr>
      </w:pPr>
      <w:r w:rsidRPr="00DD531B">
        <w:rPr>
          <w:rFonts w:ascii="Times New Roman" w:eastAsia="Calibri" w:hAnsi="Times New Roman" w:cs="Times New Roman"/>
          <w:bCs/>
          <w:sz w:val="24"/>
          <w:szCs w:val="24"/>
        </w:rPr>
        <w:t>V oblasti sú alokované aj  ďalšie výdavky Environmentálneho fondu v celkovom objeme 210 mil. eur, ktoré medziročne rastú o 57,5 mil. eur v súvislosti so schválenou legislatívou o obchodovaní s emisnými kvótami, ktorá zvýšila použiteľný výnos z predaja emisných kvót na burze z 30% na 40%. Uvedené výdavky budú slúžiť najmä na projekty</w:t>
      </w:r>
      <w:r w:rsidRPr="00DD531B">
        <w:rPr>
          <w:rFonts w:ascii="Times New Roman" w:eastAsia="Calibri" w:hAnsi="Times New Roman" w:cs="Times New Roman"/>
          <w:sz w:val="24"/>
          <w:szCs w:val="24"/>
        </w:rPr>
        <w:t xml:space="preserve"> </w:t>
      </w:r>
      <w:r w:rsidRPr="00DD531B">
        <w:rPr>
          <w:rFonts w:ascii="Times New Roman" w:eastAsia="Calibri" w:hAnsi="Times New Roman" w:cs="Times New Roman"/>
          <w:bCs/>
          <w:sz w:val="24"/>
          <w:szCs w:val="24"/>
        </w:rPr>
        <w:t xml:space="preserve">ochrany a využívania vôd </w:t>
      </w:r>
      <w:r w:rsidRPr="00DD531B">
        <w:rPr>
          <w:rFonts w:ascii="Times New Roman" w:eastAsia="Times New Roman" w:hAnsi="Times New Roman" w:cs="Times New Roman"/>
          <w:sz w:val="24"/>
          <w:szCs w:val="24"/>
        </w:rPr>
        <w:t>-</w:t>
      </w:r>
      <w:r w:rsidRPr="00DD531B">
        <w:rPr>
          <w:rFonts w:ascii="Times New Roman" w:eastAsia="Calibri" w:hAnsi="Times New Roman" w:cs="Times New Roman"/>
          <w:bCs/>
          <w:sz w:val="24"/>
          <w:szCs w:val="24"/>
        </w:rPr>
        <w:t xml:space="preserve"> budovanie verejných vodovodov, kanalizácií, ČOV, na zvyšovanie energetickej účinnosti existujúcich verejných budov a na kompenzácie priemyselným podnikom, v prípade ktorých sa predpokladá značné riziko úniku uhlíka. Ďalších 63 mil. eur je v rozpočte fondu určených na poskytovanie úverov, ktoré budú pomáhať s financovaním ekologických projektov.</w:t>
      </w:r>
    </w:p>
    <w:p w14:paraId="7711AB7D" w14:textId="77777777" w:rsidR="00DD531B" w:rsidRPr="00DD531B" w:rsidRDefault="00DD531B" w:rsidP="00DD531B">
      <w:pPr>
        <w:spacing w:after="0" w:line="276" w:lineRule="auto"/>
        <w:jc w:val="both"/>
        <w:rPr>
          <w:rFonts w:ascii="Times New Roman" w:eastAsia="Calibri" w:hAnsi="Times New Roman" w:cs="Times New Roman"/>
          <w:bCs/>
          <w:sz w:val="24"/>
          <w:szCs w:val="24"/>
        </w:rPr>
      </w:pPr>
    </w:p>
    <w:p w14:paraId="7BECCE52" w14:textId="77777777" w:rsidR="00DD531B" w:rsidRPr="00DD531B" w:rsidRDefault="00DD531B" w:rsidP="00DD531B">
      <w:pPr>
        <w:keepNext/>
        <w:spacing w:after="0" w:line="276" w:lineRule="auto"/>
        <w:outlineLvl w:val="1"/>
        <w:rPr>
          <w:rFonts w:ascii="Times New Roman" w:eastAsia="Times New Roman" w:hAnsi="Times New Roman" w:cs="Times New Roman"/>
          <w:b/>
          <w:bCs/>
          <w:iCs/>
          <w:sz w:val="24"/>
          <w:szCs w:val="24"/>
          <w:lang w:eastAsia="cs-CZ"/>
        </w:rPr>
      </w:pPr>
      <w:r w:rsidRPr="00DD531B">
        <w:rPr>
          <w:rFonts w:ascii="Times New Roman" w:eastAsia="Times New Roman" w:hAnsi="Times New Roman" w:cs="Times New Roman"/>
          <w:b/>
          <w:bCs/>
          <w:iCs/>
          <w:sz w:val="24"/>
          <w:szCs w:val="24"/>
          <w:lang w:eastAsia="cs-CZ"/>
        </w:rPr>
        <w:t>Modernizačný fond</w:t>
      </w:r>
    </w:p>
    <w:p w14:paraId="46B41FFE" w14:textId="77777777" w:rsidR="00DD531B" w:rsidRPr="00DD531B" w:rsidRDefault="00DD531B" w:rsidP="00DD531B">
      <w:pPr>
        <w:spacing w:after="0" w:line="276" w:lineRule="auto"/>
        <w:jc w:val="both"/>
        <w:rPr>
          <w:rFonts w:ascii="Times New Roman" w:eastAsia="Calibri" w:hAnsi="Times New Roman" w:cs="Times New Roman"/>
          <w:bCs/>
          <w:sz w:val="24"/>
          <w:szCs w:val="24"/>
        </w:rPr>
      </w:pPr>
      <w:r w:rsidRPr="00DD531B">
        <w:rPr>
          <w:rFonts w:ascii="Times New Roman" w:eastAsia="Calibri" w:hAnsi="Times New Roman" w:cs="Times New Roman"/>
          <w:bCs/>
          <w:sz w:val="24"/>
          <w:szCs w:val="24"/>
        </w:rPr>
        <w:t>Do oblasti sú začlenené aj výdavky z Modernizačného fondu, rozpočtované v Environmentálnom fonde v objeme 100 mil. eur v roku 2024, určené na  schému štátnej pomoci pre teplárenské spoločnosti. Prostriedky sú určené na modernizáciu energetických systémov, vrátane uskladňovania energie a na zlepšenie energetickej efektívnosti.</w:t>
      </w:r>
    </w:p>
    <w:p w14:paraId="073C2506" w14:textId="77777777" w:rsidR="00DD531B" w:rsidRPr="00DD531B" w:rsidRDefault="00DD531B" w:rsidP="00DD531B">
      <w:pPr>
        <w:spacing w:after="0" w:line="276" w:lineRule="auto"/>
        <w:jc w:val="both"/>
        <w:rPr>
          <w:rFonts w:ascii="Times New Roman" w:eastAsia="Calibri" w:hAnsi="Times New Roman" w:cs="Times New Roman"/>
          <w:bCs/>
          <w:sz w:val="24"/>
          <w:szCs w:val="24"/>
        </w:rPr>
      </w:pPr>
    </w:p>
    <w:p w14:paraId="2965112D" w14:textId="77777777" w:rsidR="00DD531B" w:rsidRPr="00DD531B" w:rsidRDefault="00DD531B" w:rsidP="00DD531B">
      <w:pPr>
        <w:keepNext/>
        <w:spacing w:after="0" w:line="276" w:lineRule="auto"/>
        <w:outlineLvl w:val="1"/>
        <w:rPr>
          <w:rFonts w:ascii="Times New Roman" w:eastAsia="Times New Roman" w:hAnsi="Times New Roman" w:cs="Times New Roman"/>
          <w:b/>
          <w:bCs/>
          <w:iCs/>
          <w:sz w:val="24"/>
          <w:szCs w:val="24"/>
          <w:lang w:eastAsia="cs-CZ"/>
        </w:rPr>
      </w:pPr>
      <w:r w:rsidRPr="00DD531B">
        <w:rPr>
          <w:rFonts w:ascii="Times New Roman" w:eastAsia="Times New Roman" w:hAnsi="Times New Roman" w:cs="Times New Roman"/>
          <w:b/>
          <w:bCs/>
          <w:iCs/>
          <w:sz w:val="24"/>
          <w:szCs w:val="24"/>
          <w:lang w:eastAsia="cs-CZ"/>
        </w:rPr>
        <w:t>Uzatváranie a rekultivácia skládok</w:t>
      </w:r>
    </w:p>
    <w:p w14:paraId="2550B574" w14:textId="77777777" w:rsidR="00DD531B" w:rsidRPr="00DD531B" w:rsidRDefault="00DD531B" w:rsidP="00DD531B">
      <w:pPr>
        <w:spacing w:after="0" w:line="276" w:lineRule="auto"/>
        <w:jc w:val="both"/>
        <w:rPr>
          <w:rFonts w:ascii="Times New Roman" w:eastAsia="Calibri" w:hAnsi="Times New Roman" w:cs="Times New Roman"/>
          <w:bCs/>
          <w:sz w:val="24"/>
          <w:szCs w:val="24"/>
        </w:rPr>
      </w:pPr>
      <w:r w:rsidRPr="00DD531B">
        <w:rPr>
          <w:rFonts w:ascii="Times New Roman" w:eastAsia="Calibri" w:hAnsi="Times New Roman" w:cs="Times New Roman"/>
          <w:bCs/>
          <w:sz w:val="24"/>
          <w:szCs w:val="24"/>
        </w:rPr>
        <w:t>V rozpočte  oblasti sú na roky 2024-2026 zohľadnené aj výdavky  potrebné na uzatváranie a  rekultiváciu problematických skládok v celkovom objeme 33 mil. eur. Pri uvedených skládkach už</w:t>
      </w:r>
      <w:r w:rsidRPr="00DD531B">
        <w:rPr>
          <w:rFonts w:ascii="Times New Roman" w:eastAsia="Calibri" w:hAnsi="Times New Roman" w:cs="Times New Roman"/>
          <w:sz w:val="24"/>
          <w:szCs w:val="24"/>
        </w:rPr>
        <w:t xml:space="preserve"> </w:t>
      </w:r>
      <w:r w:rsidRPr="00DD531B">
        <w:rPr>
          <w:rFonts w:ascii="Times New Roman" w:eastAsia="Calibri" w:hAnsi="Times New Roman" w:cs="Times New Roman"/>
          <w:bCs/>
          <w:sz w:val="24"/>
          <w:szCs w:val="24"/>
        </w:rPr>
        <w:t>Európska komisia skonštatovala nesprávnu implementáciu smernice Rady 1999/31/ES o skládkach odpadov Slovenskou republikou, pričom pre SR by hrozili vysoké pokuty v prípade nekonania.</w:t>
      </w:r>
    </w:p>
    <w:p w14:paraId="244DEF45" w14:textId="77777777" w:rsidR="00DD531B" w:rsidRPr="00DD531B" w:rsidRDefault="00DD531B" w:rsidP="00DD531B">
      <w:pPr>
        <w:spacing w:after="0" w:line="276" w:lineRule="auto"/>
        <w:jc w:val="both"/>
        <w:rPr>
          <w:rFonts w:ascii="Times New Roman" w:eastAsia="Calibri" w:hAnsi="Times New Roman" w:cs="Times New Roman"/>
          <w:bCs/>
          <w:sz w:val="24"/>
          <w:szCs w:val="24"/>
        </w:rPr>
      </w:pPr>
    </w:p>
    <w:p w14:paraId="5CE0F285" w14:textId="77777777" w:rsidR="00DD531B" w:rsidRPr="00DD531B" w:rsidRDefault="00DD531B" w:rsidP="00DD531B">
      <w:pPr>
        <w:keepNext/>
        <w:spacing w:after="0" w:line="276" w:lineRule="auto"/>
        <w:outlineLvl w:val="1"/>
        <w:rPr>
          <w:rFonts w:ascii="Times New Roman" w:eastAsia="Times New Roman" w:hAnsi="Times New Roman" w:cs="Times New Roman"/>
          <w:b/>
          <w:bCs/>
          <w:iCs/>
          <w:sz w:val="24"/>
          <w:szCs w:val="24"/>
          <w:lang w:eastAsia="cs-CZ"/>
        </w:rPr>
      </w:pPr>
      <w:r w:rsidRPr="00DD531B">
        <w:rPr>
          <w:rFonts w:ascii="Times New Roman" w:eastAsia="Times New Roman" w:hAnsi="Times New Roman" w:cs="Times New Roman"/>
          <w:b/>
          <w:bCs/>
          <w:iCs/>
          <w:sz w:val="24"/>
          <w:szCs w:val="24"/>
          <w:lang w:eastAsia="cs-CZ"/>
        </w:rPr>
        <w:lastRenderedPageBreak/>
        <w:t>Sanácie environmentálnych záťaží</w:t>
      </w:r>
    </w:p>
    <w:p w14:paraId="3CC4CAF5" w14:textId="77777777" w:rsidR="00DD531B" w:rsidRPr="00DD531B" w:rsidRDefault="00DD531B" w:rsidP="00DD531B">
      <w:pPr>
        <w:spacing w:after="0" w:line="276" w:lineRule="auto"/>
        <w:jc w:val="both"/>
        <w:rPr>
          <w:rFonts w:ascii="Times New Roman" w:eastAsia="Calibri" w:hAnsi="Times New Roman" w:cs="Times New Roman"/>
          <w:bCs/>
          <w:sz w:val="24"/>
          <w:szCs w:val="24"/>
        </w:rPr>
      </w:pPr>
      <w:r w:rsidRPr="00DD531B">
        <w:rPr>
          <w:rFonts w:ascii="Times New Roman" w:eastAsia="Calibri" w:hAnsi="Times New Roman" w:cs="Times New Roman"/>
          <w:bCs/>
          <w:sz w:val="24"/>
          <w:szCs w:val="24"/>
        </w:rPr>
        <w:t xml:space="preserve">Výdavky v sume 6 mil. eur v rokoch 2024 a 2025 budú smerovať na opatrenia súvisiace so zneškodnením </w:t>
      </w:r>
      <w:proofErr w:type="spellStart"/>
      <w:r w:rsidRPr="00DD531B">
        <w:rPr>
          <w:rFonts w:ascii="Times New Roman" w:eastAsia="Calibri" w:hAnsi="Times New Roman" w:cs="Times New Roman"/>
          <w:bCs/>
          <w:sz w:val="24"/>
          <w:szCs w:val="24"/>
        </w:rPr>
        <w:t>polychlórovaných</w:t>
      </w:r>
      <w:proofErr w:type="spellEnd"/>
      <w:r w:rsidRPr="00DD531B">
        <w:rPr>
          <w:rFonts w:ascii="Times New Roman" w:eastAsia="Calibri" w:hAnsi="Times New Roman" w:cs="Times New Roman"/>
          <w:bCs/>
          <w:sz w:val="24"/>
          <w:szCs w:val="24"/>
        </w:rPr>
        <w:t xml:space="preserve"> </w:t>
      </w:r>
      <w:proofErr w:type="spellStart"/>
      <w:r w:rsidRPr="00DD531B">
        <w:rPr>
          <w:rFonts w:ascii="Times New Roman" w:eastAsia="Calibri" w:hAnsi="Times New Roman" w:cs="Times New Roman"/>
          <w:bCs/>
          <w:sz w:val="24"/>
          <w:szCs w:val="24"/>
        </w:rPr>
        <w:t>bifenylov</w:t>
      </w:r>
      <w:proofErr w:type="spellEnd"/>
      <w:r w:rsidRPr="00DD531B">
        <w:rPr>
          <w:rFonts w:ascii="Times New Roman" w:eastAsia="Calibri" w:hAnsi="Times New Roman" w:cs="Times New Roman"/>
          <w:bCs/>
          <w:sz w:val="24"/>
          <w:szCs w:val="24"/>
        </w:rPr>
        <w:t xml:space="preserve"> (PCB) v lokalite </w:t>
      </w:r>
      <w:proofErr w:type="spellStart"/>
      <w:r w:rsidRPr="00DD531B">
        <w:rPr>
          <w:rFonts w:ascii="Times New Roman" w:eastAsia="Calibri" w:hAnsi="Times New Roman" w:cs="Times New Roman"/>
          <w:bCs/>
          <w:sz w:val="24"/>
          <w:szCs w:val="24"/>
        </w:rPr>
        <w:t>Chemko</w:t>
      </w:r>
      <w:proofErr w:type="spellEnd"/>
      <w:r w:rsidRPr="00DD531B">
        <w:rPr>
          <w:rFonts w:ascii="Times New Roman" w:eastAsia="Calibri" w:hAnsi="Times New Roman" w:cs="Times New Roman"/>
          <w:bCs/>
          <w:sz w:val="24"/>
          <w:szCs w:val="24"/>
        </w:rPr>
        <w:t xml:space="preserve"> Strážske, pričom pôjde o postupné zneškodnenie nebezpečných odpadov z lokality. V rozpočte sú tiež alokované zdroje v sume 0,5 mil. eur na riešenie krízovej situácie v areáli spoločnosti PTCHEM, </w:t>
      </w:r>
      <w:proofErr w:type="spellStart"/>
      <w:r w:rsidRPr="00DD531B">
        <w:rPr>
          <w:rFonts w:ascii="Times New Roman" w:eastAsia="Calibri" w:hAnsi="Times New Roman" w:cs="Times New Roman"/>
          <w:bCs/>
          <w:sz w:val="24"/>
          <w:szCs w:val="24"/>
        </w:rPr>
        <w:t>s.r.o</w:t>
      </w:r>
      <w:proofErr w:type="spellEnd"/>
      <w:r w:rsidRPr="00DD531B">
        <w:rPr>
          <w:rFonts w:ascii="Times New Roman" w:eastAsia="Calibri" w:hAnsi="Times New Roman" w:cs="Times New Roman"/>
          <w:bCs/>
          <w:sz w:val="24"/>
          <w:szCs w:val="24"/>
        </w:rPr>
        <w:t>. Nemecká, kde bude zabezpečené čistenie kontaminovaných vôd na lokalite environmentálnej záťaže.</w:t>
      </w:r>
      <w:r w:rsidRPr="00DD531B">
        <w:rPr>
          <w:rFonts w:ascii="Times New Roman" w:eastAsia="Times New Roman" w:hAnsi="Times New Roman" w:cs="Times New Roman"/>
          <w:sz w:val="24"/>
          <w:szCs w:val="24"/>
          <w:lang w:eastAsia="sk-SK"/>
        </w:rPr>
        <w:t xml:space="preserve"> V oboch prípadoch bolo nevyhnutné realizovať uvedené opatrenia s cieľom o</w:t>
      </w:r>
      <w:r w:rsidRPr="00DD531B">
        <w:rPr>
          <w:rFonts w:ascii="Times New Roman" w:eastAsia="Calibri" w:hAnsi="Times New Roman" w:cs="Times New Roman"/>
          <w:bCs/>
          <w:sz w:val="24"/>
          <w:szCs w:val="24"/>
        </w:rPr>
        <w:t>dvrátenia ohrozenia životného prostredia a verejného zdravia.</w:t>
      </w:r>
    </w:p>
    <w:p w14:paraId="64AAEF65" w14:textId="77777777" w:rsidR="00DD531B" w:rsidRPr="00DD531B" w:rsidRDefault="00DD531B" w:rsidP="00DD531B">
      <w:pPr>
        <w:spacing w:after="0" w:line="276" w:lineRule="auto"/>
        <w:jc w:val="both"/>
        <w:rPr>
          <w:rFonts w:ascii="Times New Roman" w:eastAsia="Calibri" w:hAnsi="Times New Roman" w:cs="Times New Roman"/>
          <w:bCs/>
          <w:sz w:val="24"/>
          <w:szCs w:val="24"/>
        </w:rPr>
      </w:pPr>
    </w:p>
    <w:p w14:paraId="0CAEE018" w14:textId="77777777" w:rsidR="00DD531B" w:rsidRPr="00DD531B" w:rsidRDefault="00DD531B" w:rsidP="00DD531B">
      <w:pPr>
        <w:spacing w:after="0" w:line="276" w:lineRule="auto"/>
        <w:jc w:val="both"/>
        <w:rPr>
          <w:rFonts w:ascii="Times New Roman" w:eastAsia="Calibri" w:hAnsi="Times New Roman" w:cs="Times New Roman"/>
          <w:bCs/>
          <w:sz w:val="24"/>
          <w:szCs w:val="24"/>
        </w:rPr>
      </w:pPr>
      <w:r w:rsidRPr="00DD531B">
        <w:rPr>
          <w:rFonts w:ascii="Times New Roman" w:eastAsia="Calibri" w:hAnsi="Times New Roman" w:cs="Times New Roman"/>
          <w:bCs/>
          <w:sz w:val="24"/>
          <w:szCs w:val="24"/>
        </w:rPr>
        <w:t>Ďalej nárast zdrojov zohľadňuje výdavky na odstraňovanie následkov ničivého požiaru v Banskej Štiavnici v lokalite UNESCO v sume 5,7 mil. eur, vrátane rekonštrukcie historickej budovy, ktorá bola zničená požiarom.</w:t>
      </w:r>
    </w:p>
    <w:p w14:paraId="2BD7A980" w14:textId="77777777" w:rsidR="00DD531B" w:rsidRPr="00DD531B" w:rsidRDefault="00DD531B" w:rsidP="00DD531B">
      <w:pPr>
        <w:spacing w:after="0" w:line="276" w:lineRule="auto"/>
        <w:jc w:val="both"/>
        <w:rPr>
          <w:rFonts w:ascii="Times New Roman" w:eastAsia="Calibri" w:hAnsi="Times New Roman" w:cs="Times New Roman"/>
          <w:bCs/>
          <w:sz w:val="24"/>
          <w:szCs w:val="24"/>
        </w:rPr>
      </w:pPr>
    </w:p>
    <w:p w14:paraId="0B8E507F" w14:textId="77777777" w:rsidR="00DD531B" w:rsidRPr="00DD531B" w:rsidRDefault="00DD531B" w:rsidP="00DD531B">
      <w:pPr>
        <w:spacing w:after="0" w:line="276" w:lineRule="auto"/>
        <w:jc w:val="both"/>
        <w:rPr>
          <w:rFonts w:ascii="Times New Roman" w:eastAsia="Calibri" w:hAnsi="Times New Roman" w:cs="Times New Roman"/>
          <w:bCs/>
          <w:sz w:val="24"/>
          <w:szCs w:val="24"/>
        </w:rPr>
      </w:pPr>
      <w:r w:rsidRPr="00DD531B">
        <w:rPr>
          <w:rFonts w:ascii="Times New Roman" w:eastAsia="Calibri" w:hAnsi="Times New Roman" w:cs="Times New Roman"/>
          <w:bCs/>
          <w:sz w:val="24"/>
          <w:szCs w:val="24"/>
        </w:rPr>
        <w:t>Vo výdavkoch štátneho rozpočtu pre oblasť životného prostredia sú premietnuté aj výdavky súvisiace so zákonom o ochrane ovzdušia v sume 1,82 mil. eur za účelom vykonávania kontrol a plošného prieskumu o malých spaľovacích zariadeniach na vykurovanie domácností. Cieľom je zníženie znečistenia ovzdušia z vykurovania domácností a jeho negatívneho vplyvu na zdravie občanov.</w:t>
      </w:r>
    </w:p>
    <w:p w14:paraId="6DB2C611" w14:textId="77777777" w:rsidR="00DD531B" w:rsidRPr="00DD531B" w:rsidRDefault="00DD531B" w:rsidP="00DD531B">
      <w:pPr>
        <w:spacing w:after="0" w:line="276" w:lineRule="auto"/>
        <w:jc w:val="both"/>
        <w:rPr>
          <w:rFonts w:ascii="Times New Roman" w:eastAsia="Calibri" w:hAnsi="Times New Roman" w:cs="Times New Roman"/>
          <w:bCs/>
          <w:sz w:val="24"/>
          <w:szCs w:val="24"/>
        </w:rPr>
      </w:pPr>
    </w:p>
    <w:p w14:paraId="7E656146" w14:textId="77777777" w:rsidR="00DD531B" w:rsidRPr="00DD531B" w:rsidRDefault="00DD531B" w:rsidP="00DD531B">
      <w:pPr>
        <w:spacing w:after="0" w:line="276" w:lineRule="auto"/>
        <w:jc w:val="both"/>
        <w:rPr>
          <w:rFonts w:ascii="Times New Roman" w:eastAsia="Times New Roman" w:hAnsi="Times New Roman" w:cs="Times New Roman"/>
          <w:b/>
          <w:bCs/>
          <w:iCs/>
          <w:color w:val="5B9BD5"/>
          <w:sz w:val="24"/>
          <w:szCs w:val="24"/>
          <w:lang w:eastAsia="cs-CZ"/>
        </w:rPr>
      </w:pPr>
      <w:r w:rsidRPr="00DD531B">
        <w:rPr>
          <w:rFonts w:ascii="Times New Roman" w:eastAsia="Times New Roman" w:hAnsi="Times New Roman" w:cs="Times New Roman"/>
          <w:b/>
          <w:bCs/>
          <w:iCs/>
          <w:color w:val="5B9BD5"/>
          <w:sz w:val="24"/>
          <w:szCs w:val="24"/>
          <w:lang w:eastAsia="cs-CZ"/>
        </w:rPr>
        <w:t>Ekonomika</w:t>
      </w:r>
    </w:p>
    <w:p w14:paraId="1251B83D" w14:textId="77777777" w:rsidR="00DD531B" w:rsidRPr="00DD531B" w:rsidRDefault="00DD531B" w:rsidP="00DD531B">
      <w:pPr>
        <w:spacing w:after="0" w:line="276" w:lineRule="auto"/>
        <w:jc w:val="both"/>
        <w:rPr>
          <w:rFonts w:ascii="Times New Roman" w:eastAsia="Calibri" w:hAnsi="Times New Roman" w:cs="Times New Roman"/>
          <w:sz w:val="24"/>
          <w:szCs w:val="24"/>
          <w:lang w:eastAsia="sk-SK"/>
        </w:rPr>
      </w:pPr>
    </w:p>
    <w:p w14:paraId="6415AEBC" w14:textId="55911083" w:rsidR="00DD531B" w:rsidRPr="00DD531B" w:rsidRDefault="00DD531B" w:rsidP="0039178C">
      <w:pPr>
        <w:spacing w:after="0" w:line="276" w:lineRule="auto"/>
        <w:jc w:val="both"/>
        <w:rPr>
          <w:rFonts w:ascii="Times New Roman" w:hAnsi="Times New Roman" w:cs="Times New Roman"/>
          <w:sz w:val="24"/>
          <w:szCs w:val="24"/>
          <w:lang w:eastAsia="sk-SK"/>
        </w:rPr>
      </w:pPr>
      <w:r w:rsidRPr="00DD531B">
        <w:rPr>
          <w:rFonts w:ascii="Times New Roman" w:hAnsi="Times New Roman" w:cs="Times New Roman"/>
          <w:sz w:val="24"/>
          <w:szCs w:val="24"/>
          <w:lang w:eastAsia="sk-SK"/>
        </w:rPr>
        <w:t>V oblasti ekonomiky sú v návrhu rozpočtu na rok 2024 navrhované celkové výdavky v sume 1,49 mld. eur, tieto výdavky sú smerované najmä do oblasti podpory podnikania, reštrukturalizácie priemyselných odvetví, energetiky a inovácií, informatizácie, regionálneho rozvoja, podpory cestovného ruchu, administratívy, hospodárskej mobilizácie a pod. V rámci oblasti sú zahrnuté tiež výdavky Správy štátnych hmotných rezerv SR, Agentúry pre núdzové zásoby ropy a ropných výrobkov, Úradu jadrového dozoru, Úradu pre normalizáciu, metrológiu a skúšobníctvo SR, Úradu pre reguláciu sieťových odvetví, Úradu priemyselného vlastníctva, spoločnosti MH Manažment, a.</w:t>
      </w:r>
      <w:r w:rsidR="0039178C">
        <w:rPr>
          <w:rFonts w:ascii="Times New Roman" w:hAnsi="Times New Roman" w:cs="Times New Roman"/>
          <w:sz w:val="24"/>
          <w:szCs w:val="24"/>
          <w:lang w:eastAsia="sk-SK"/>
        </w:rPr>
        <w:t xml:space="preserve"> </w:t>
      </w:r>
      <w:r w:rsidRPr="00DD531B">
        <w:rPr>
          <w:rFonts w:ascii="Times New Roman" w:hAnsi="Times New Roman" w:cs="Times New Roman"/>
          <w:sz w:val="24"/>
          <w:szCs w:val="24"/>
          <w:lang w:eastAsia="sk-SK"/>
        </w:rPr>
        <w:t>s. a Protimonopolného úrad SR.</w:t>
      </w:r>
    </w:p>
    <w:p w14:paraId="2EDD5371" w14:textId="77777777" w:rsidR="00DD531B" w:rsidRPr="00DD531B" w:rsidRDefault="00DD531B" w:rsidP="0039178C">
      <w:pPr>
        <w:spacing w:after="0" w:line="276" w:lineRule="auto"/>
        <w:jc w:val="both"/>
        <w:rPr>
          <w:rFonts w:ascii="Times New Roman" w:eastAsia="Calibri" w:hAnsi="Times New Roman" w:cs="Times New Roman"/>
          <w:sz w:val="24"/>
          <w:szCs w:val="24"/>
          <w:lang w:eastAsia="sk-SK"/>
        </w:rPr>
      </w:pPr>
    </w:p>
    <w:p w14:paraId="7BD6D42A" w14:textId="77777777" w:rsidR="00DD531B" w:rsidRPr="00DD531B" w:rsidRDefault="00DD531B" w:rsidP="0039178C">
      <w:pPr>
        <w:spacing w:after="0" w:line="276" w:lineRule="auto"/>
        <w:jc w:val="both"/>
        <w:rPr>
          <w:rFonts w:ascii="Times New Roman" w:eastAsia="Calibri" w:hAnsi="Times New Roman" w:cs="Times New Roman"/>
          <w:sz w:val="24"/>
          <w:szCs w:val="24"/>
          <w:lang w:eastAsia="sk-SK"/>
        </w:rPr>
      </w:pPr>
      <w:r w:rsidRPr="00DD531B">
        <w:rPr>
          <w:rFonts w:ascii="Times New Roman" w:eastAsia="Calibri" w:hAnsi="Times New Roman" w:cs="Times New Roman"/>
          <w:sz w:val="24"/>
          <w:szCs w:val="24"/>
          <w:lang w:eastAsia="sk-SK"/>
        </w:rPr>
        <w:t>V rámci oblasti ekonomiky sú aj v roku 2024 zabezpečené výdavky určené na kompenzačné opatrenia spojené s nárastom cien energií v celkovej sume 1,25 mld. eur (z toho výdavky zo zdrojov ŠR v sume 800 mil. eur a prostriedky EÚ z refundácie programu SAFE v sume 449 mil. eur).</w:t>
      </w:r>
    </w:p>
    <w:p w14:paraId="7B963F59" w14:textId="77777777" w:rsidR="00DD531B" w:rsidRPr="00DD531B" w:rsidRDefault="00DD531B" w:rsidP="00DD531B">
      <w:pPr>
        <w:spacing w:after="0" w:line="276" w:lineRule="auto"/>
        <w:jc w:val="both"/>
        <w:rPr>
          <w:rFonts w:ascii="Times New Roman" w:eastAsia="Calibri" w:hAnsi="Times New Roman" w:cs="Times New Roman"/>
          <w:sz w:val="24"/>
          <w:szCs w:val="24"/>
          <w:lang w:eastAsia="sk-SK"/>
        </w:rPr>
      </w:pPr>
    </w:p>
    <w:p w14:paraId="4E092F58" w14:textId="77777777" w:rsidR="00DD531B" w:rsidRPr="00DD531B" w:rsidRDefault="00DD531B" w:rsidP="00DD531B">
      <w:pPr>
        <w:spacing w:after="0" w:line="276" w:lineRule="auto"/>
        <w:jc w:val="both"/>
        <w:rPr>
          <w:rFonts w:ascii="Times New Roman" w:eastAsia="Calibri" w:hAnsi="Times New Roman" w:cs="Times New Roman"/>
          <w:sz w:val="24"/>
          <w:szCs w:val="24"/>
          <w:lang w:eastAsia="sk-SK"/>
        </w:rPr>
      </w:pPr>
      <w:r w:rsidRPr="00DD531B">
        <w:rPr>
          <w:rFonts w:ascii="Times New Roman" w:eastAsia="Calibri" w:hAnsi="Times New Roman" w:cs="Times New Roman"/>
          <w:sz w:val="24"/>
          <w:szCs w:val="24"/>
          <w:lang w:eastAsia="sk-SK"/>
        </w:rPr>
        <w:t xml:space="preserve">V oblasti ekonomiky sú výdavky určené napríklad na podporu investícií v SR, v rámci ktorej  sú na rok 2024 rozpočtované prostriedky pre spoločnosť Valaliky Industrial Park, s. r. o., v sume 242 mil. eur. Táto spoločnosť zabezpečuje realizáciu investičného projektu „Strategické územie Valaliky“ za účelom prípravy územia pre nové investície v oblasti priemyselnej výroby. Na tomto pripravovanom území má byť situovaná aj strategická investícia Volvo </w:t>
      </w:r>
      <w:proofErr w:type="spellStart"/>
      <w:r w:rsidRPr="00DD531B">
        <w:rPr>
          <w:rFonts w:ascii="Times New Roman" w:eastAsia="Calibri" w:hAnsi="Times New Roman" w:cs="Times New Roman"/>
          <w:sz w:val="24"/>
          <w:szCs w:val="24"/>
          <w:lang w:eastAsia="sk-SK"/>
        </w:rPr>
        <w:t>Car</w:t>
      </w:r>
      <w:proofErr w:type="spellEnd"/>
      <w:r w:rsidRPr="00DD531B">
        <w:rPr>
          <w:rFonts w:ascii="Times New Roman" w:eastAsia="Calibri" w:hAnsi="Times New Roman" w:cs="Times New Roman"/>
          <w:sz w:val="24"/>
          <w:szCs w:val="24"/>
          <w:lang w:eastAsia="sk-SK"/>
        </w:rPr>
        <w:t xml:space="preserve"> Slovakia, pre ktorú vláda SR schválila investičnú pomoc vo forme dotácie dlhodobý hmotný a nehmotný majetok v celkovej sume 267 mil. eur (roky 2024 - 2028).</w:t>
      </w:r>
    </w:p>
    <w:p w14:paraId="516A201B" w14:textId="77777777" w:rsidR="00DD531B" w:rsidRPr="00DD531B" w:rsidRDefault="00DD531B" w:rsidP="00DD531B">
      <w:pPr>
        <w:spacing w:after="0" w:line="276" w:lineRule="auto"/>
        <w:jc w:val="both"/>
        <w:rPr>
          <w:rFonts w:ascii="Times New Roman" w:eastAsia="Calibri" w:hAnsi="Times New Roman" w:cs="Times New Roman"/>
          <w:sz w:val="24"/>
          <w:szCs w:val="24"/>
          <w:lang w:eastAsia="sk-SK"/>
        </w:rPr>
      </w:pPr>
    </w:p>
    <w:p w14:paraId="6F5E7D2E" w14:textId="77777777" w:rsidR="00DD531B" w:rsidRPr="00DD531B" w:rsidRDefault="00DD531B" w:rsidP="00DD531B">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r w:rsidRPr="00DD531B">
        <w:rPr>
          <w:rFonts w:ascii="Times New Roman" w:eastAsia="Times New Roman" w:hAnsi="Times New Roman" w:cs="Times New Roman"/>
          <w:color w:val="000000"/>
          <w:sz w:val="24"/>
          <w:szCs w:val="24"/>
          <w:lang w:eastAsia="sk-SK"/>
        </w:rPr>
        <w:lastRenderedPageBreak/>
        <w:t xml:space="preserve">V kapitole Ministerstva hospodárstva SR sú výdavky určené aj na podporu ďalších investičných projektov vo forme dotácie na dlhodobý hmotný a nehmotný majetok, kde je na rok 2024 rozpočtovaná suma 19,3 mil. eur. V týchto výdavkoch je zohľadnená aj nová investičná pomoc pre spoločnosť </w:t>
      </w:r>
      <w:proofErr w:type="spellStart"/>
      <w:r w:rsidRPr="00DD531B">
        <w:rPr>
          <w:rFonts w:ascii="Times New Roman" w:eastAsia="Times New Roman" w:hAnsi="Times New Roman" w:cs="Times New Roman"/>
          <w:color w:val="000000"/>
          <w:sz w:val="24"/>
          <w:szCs w:val="24"/>
          <w:lang w:eastAsia="sk-SK"/>
        </w:rPr>
        <w:t>Winkelmann</w:t>
      </w:r>
      <w:proofErr w:type="spellEnd"/>
      <w:r w:rsidRPr="00DD531B">
        <w:rPr>
          <w:rFonts w:ascii="Times New Roman" w:eastAsia="Times New Roman" w:hAnsi="Times New Roman" w:cs="Times New Roman"/>
          <w:color w:val="000000"/>
          <w:sz w:val="24"/>
          <w:szCs w:val="24"/>
          <w:lang w:eastAsia="sk-SK"/>
        </w:rPr>
        <w:t xml:space="preserve"> </w:t>
      </w:r>
      <w:proofErr w:type="spellStart"/>
      <w:r w:rsidRPr="00DD531B">
        <w:rPr>
          <w:rFonts w:ascii="Times New Roman" w:eastAsia="Times New Roman" w:hAnsi="Times New Roman" w:cs="Times New Roman"/>
          <w:color w:val="000000"/>
          <w:sz w:val="24"/>
          <w:szCs w:val="24"/>
          <w:lang w:eastAsia="sk-SK"/>
        </w:rPr>
        <w:t>Building</w:t>
      </w:r>
      <w:proofErr w:type="spellEnd"/>
      <w:r w:rsidRPr="00DD531B">
        <w:rPr>
          <w:rFonts w:ascii="Times New Roman" w:eastAsia="Times New Roman" w:hAnsi="Times New Roman" w:cs="Times New Roman"/>
          <w:color w:val="000000"/>
          <w:sz w:val="24"/>
          <w:szCs w:val="24"/>
          <w:lang w:eastAsia="sk-SK"/>
        </w:rPr>
        <w:t xml:space="preserve"> + Industry Slovakia, k. s., pričom v priamej súvislosti s týmto investičným zámerom má byť vytvorených 452 nových pracovných miest. </w:t>
      </w:r>
    </w:p>
    <w:p w14:paraId="16F53198" w14:textId="77777777" w:rsidR="00DD531B" w:rsidRPr="00DD531B" w:rsidRDefault="00DD531B" w:rsidP="00DD531B">
      <w:pPr>
        <w:spacing w:after="0" w:line="276" w:lineRule="auto"/>
        <w:jc w:val="both"/>
        <w:rPr>
          <w:rFonts w:ascii="Times New Roman" w:eastAsia="Calibri" w:hAnsi="Times New Roman" w:cs="Times New Roman"/>
          <w:sz w:val="24"/>
          <w:szCs w:val="24"/>
          <w:highlight w:val="yellow"/>
          <w:lang w:eastAsia="sk-SK"/>
        </w:rPr>
      </w:pPr>
    </w:p>
    <w:p w14:paraId="577C4CA3" w14:textId="77777777" w:rsidR="00DD531B" w:rsidRPr="00DD531B" w:rsidRDefault="00DD531B" w:rsidP="00DD531B">
      <w:pPr>
        <w:spacing w:after="0" w:line="276" w:lineRule="auto"/>
        <w:jc w:val="both"/>
        <w:rPr>
          <w:rFonts w:ascii="Times New Roman" w:eastAsia="Times New Roman" w:hAnsi="Times New Roman" w:cs="Times New Roman"/>
          <w:color w:val="000000"/>
          <w:sz w:val="24"/>
          <w:szCs w:val="24"/>
          <w:lang w:eastAsia="sk-SK"/>
        </w:rPr>
      </w:pPr>
      <w:r w:rsidRPr="00DD531B">
        <w:rPr>
          <w:rFonts w:ascii="Times New Roman" w:eastAsia="Times New Roman" w:hAnsi="Times New Roman" w:cs="Times New Roman"/>
          <w:color w:val="000000"/>
          <w:sz w:val="24"/>
          <w:szCs w:val="24"/>
          <w:lang w:eastAsia="sk-SK"/>
        </w:rPr>
        <w:t xml:space="preserve">V rámci spoločnosti MH </w:t>
      </w:r>
      <w:proofErr w:type="spellStart"/>
      <w:r w:rsidRPr="00DD531B">
        <w:rPr>
          <w:rFonts w:ascii="Times New Roman" w:eastAsia="Times New Roman" w:hAnsi="Times New Roman" w:cs="Times New Roman"/>
          <w:color w:val="000000"/>
          <w:sz w:val="24"/>
          <w:szCs w:val="24"/>
          <w:lang w:eastAsia="sk-SK"/>
        </w:rPr>
        <w:t>Invest</w:t>
      </w:r>
      <w:proofErr w:type="spellEnd"/>
      <w:r w:rsidRPr="00DD531B">
        <w:rPr>
          <w:rFonts w:ascii="Times New Roman" w:eastAsia="Times New Roman" w:hAnsi="Times New Roman" w:cs="Times New Roman"/>
          <w:color w:val="000000"/>
          <w:sz w:val="24"/>
          <w:szCs w:val="24"/>
          <w:lang w:eastAsia="sk-SK"/>
        </w:rPr>
        <w:t>, s. r. o., ktorá sa venuje najmä príprave územia pre nové investície v oblasti priemyselnej výroby boli na rok 2024 zohľadnené dodatočné výdavky v sume 50,1 mil. eur. Tieto výdavky majú byť určené na prípravu nových priemyselných parkov (PP Rimavská Sobota, PP Sabinov, PP Záborské a ďalšie).</w:t>
      </w:r>
    </w:p>
    <w:p w14:paraId="569500CD" w14:textId="77777777" w:rsidR="00DD531B" w:rsidRPr="00DD531B" w:rsidRDefault="00DD531B" w:rsidP="00DD531B">
      <w:pPr>
        <w:spacing w:after="0" w:line="276" w:lineRule="auto"/>
        <w:jc w:val="both"/>
        <w:rPr>
          <w:rFonts w:ascii="Times New Roman" w:eastAsia="Times New Roman" w:hAnsi="Times New Roman" w:cs="Times New Roman"/>
          <w:color w:val="000000"/>
          <w:sz w:val="24"/>
          <w:szCs w:val="24"/>
          <w:lang w:eastAsia="sk-SK"/>
        </w:rPr>
      </w:pPr>
    </w:p>
    <w:p w14:paraId="2D4C8E6B" w14:textId="77777777" w:rsidR="00DD531B" w:rsidRPr="00DD531B" w:rsidRDefault="00DD531B" w:rsidP="00DD531B">
      <w:pPr>
        <w:spacing w:after="0" w:line="276" w:lineRule="auto"/>
        <w:jc w:val="both"/>
        <w:rPr>
          <w:rFonts w:ascii="Times New Roman" w:eastAsia="Calibri" w:hAnsi="Times New Roman" w:cs="Times New Roman"/>
          <w:sz w:val="24"/>
          <w:szCs w:val="24"/>
          <w:lang w:eastAsia="sk-SK"/>
        </w:rPr>
      </w:pPr>
      <w:r w:rsidRPr="00DD531B">
        <w:rPr>
          <w:rFonts w:ascii="Times New Roman" w:eastAsia="Times New Roman" w:hAnsi="Times New Roman" w:cs="Times New Roman"/>
          <w:color w:val="000000"/>
          <w:sz w:val="24"/>
          <w:szCs w:val="24"/>
          <w:lang w:eastAsia="sk-SK"/>
        </w:rPr>
        <w:t>Výdavky v oblasti ekonomiky smerujú tiež do podpory uhoľného baníctva v nadväznosti na schválenú štátnu pomoc, resp. „Akčný</w:t>
      </w:r>
      <w:r w:rsidRPr="00DD531B">
        <w:rPr>
          <w:rFonts w:ascii="Times New Roman" w:eastAsia="Calibri" w:hAnsi="Times New Roman" w:cs="Times New Roman"/>
          <w:sz w:val="24"/>
          <w:szCs w:val="24"/>
          <w:lang w:eastAsia="sk-SK"/>
        </w:rPr>
        <w:t xml:space="preserve"> plán transformácie uhoľného regiónu horná Nitra“, kde sa na roky 2024 až 2026 rozpočtuje celková suma 38,4 mil. eur.</w:t>
      </w:r>
    </w:p>
    <w:p w14:paraId="6D005F75" w14:textId="77777777" w:rsidR="00DD531B" w:rsidRPr="00DD531B" w:rsidRDefault="00DD531B" w:rsidP="00DD531B">
      <w:pPr>
        <w:spacing w:after="0" w:line="276" w:lineRule="auto"/>
        <w:jc w:val="both"/>
        <w:rPr>
          <w:rFonts w:ascii="Times New Roman" w:eastAsia="Calibri" w:hAnsi="Times New Roman" w:cs="Times New Roman"/>
          <w:sz w:val="24"/>
          <w:szCs w:val="24"/>
          <w:highlight w:val="yellow"/>
          <w:lang w:eastAsia="sk-SK"/>
        </w:rPr>
      </w:pPr>
    </w:p>
    <w:p w14:paraId="425AFB5F" w14:textId="36BA11B4" w:rsidR="00DD531B" w:rsidRPr="00DD531B" w:rsidRDefault="00DD531B" w:rsidP="00DD531B">
      <w:pPr>
        <w:autoSpaceDE w:val="0"/>
        <w:autoSpaceDN w:val="0"/>
        <w:adjustRightInd w:val="0"/>
        <w:spacing w:after="0" w:line="276" w:lineRule="auto"/>
        <w:jc w:val="both"/>
        <w:rPr>
          <w:rFonts w:ascii="Times New Roman" w:eastAsia="Calibri" w:hAnsi="Times New Roman" w:cs="Times New Roman"/>
          <w:color w:val="000000"/>
          <w:sz w:val="24"/>
          <w:szCs w:val="24"/>
        </w:rPr>
      </w:pPr>
      <w:r w:rsidRPr="00DD531B">
        <w:rPr>
          <w:rFonts w:ascii="Times New Roman" w:eastAsia="Times New Roman" w:hAnsi="Times New Roman" w:cs="Times New Roman"/>
          <w:color w:val="000000"/>
          <w:sz w:val="24"/>
          <w:szCs w:val="24"/>
          <w:lang w:eastAsia="sk-SK"/>
        </w:rPr>
        <w:t>V rámci kapitoly Ministerstva hospodárstva SR boli na roky 2024 až 2026 zohľadnené t</w:t>
      </w:r>
      <w:r w:rsidR="00425153">
        <w:rPr>
          <w:rFonts w:ascii="Times New Roman" w:eastAsia="Times New Roman" w:hAnsi="Times New Roman" w:cs="Times New Roman"/>
          <w:color w:val="000000"/>
          <w:sz w:val="24"/>
          <w:szCs w:val="24"/>
          <w:lang w:eastAsia="sk-SK"/>
        </w:rPr>
        <w:t>iež výdavky v celkovej sume 11,</w:t>
      </w:r>
      <w:r w:rsidRPr="00DD531B">
        <w:rPr>
          <w:rFonts w:ascii="Times New Roman" w:eastAsia="Times New Roman" w:hAnsi="Times New Roman" w:cs="Times New Roman"/>
          <w:color w:val="000000"/>
          <w:sz w:val="24"/>
          <w:szCs w:val="24"/>
          <w:lang w:eastAsia="sk-SK"/>
        </w:rPr>
        <w:t xml:space="preserve">3 mil. eur, určené na zabezpečenie oficiálnej účasti Slovenskej republiky na Svetovej výstave EXPO 2025 Osaka, ktorej cieľom je </w:t>
      </w:r>
      <w:r w:rsidRPr="00DD531B">
        <w:rPr>
          <w:rFonts w:ascii="Times New Roman" w:eastAsia="Calibri" w:hAnsi="Times New Roman" w:cs="Times New Roman"/>
          <w:color w:val="000000"/>
          <w:sz w:val="24"/>
          <w:szCs w:val="24"/>
        </w:rPr>
        <w:t>zvýšiť povedomie o atraktivite Slovenskej republiky prostredníctvom svojej národnej prezentácie.</w:t>
      </w:r>
    </w:p>
    <w:p w14:paraId="376A4CB2" w14:textId="77777777" w:rsidR="00DD531B" w:rsidRPr="00DD531B" w:rsidRDefault="00DD531B" w:rsidP="00DD531B">
      <w:pPr>
        <w:autoSpaceDE w:val="0"/>
        <w:autoSpaceDN w:val="0"/>
        <w:adjustRightInd w:val="0"/>
        <w:spacing w:after="0" w:line="276" w:lineRule="auto"/>
        <w:jc w:val="both"/>
        <w:rPr>
          <w:rFonts w:ascii="Times New Roman" w:eastAsia="Calibri" w:hAnsi="Times New Roman" w:cs="Times New Roman"/>
          <w:color w:val="000000"/>
          <w:sz w:val="24"/>
          <w:szCs w:val="24"/>
        </w:rPr>
      </w:pPr>
    </w:p>
    <w:p w14:paraId="040D12B2" w14:textId="77777777" w:rsidR="00DD531B" w:rsidRPr="00DD531B" w:rsidRDefault="00DD531B" w:rsidP="00DD531B">
      <w:pPr>
        <w:spacing w:after="0" w:line="276" w:lineRule="auto"/>
        <w:rPr>
          <w:rFonts w:ascii="Times New Roman" w:eastAsia="Times New Roman" w:hAnsi="Times New Roman" w:cs="Times New Roman"/>
          <w:b/>
          <w:color w:val="000000"/>
          <w:sz w:val="24"/>
          <w:szCs w:val="24"/>
          <w:lang w:eastAsia="sk-SK"/>
        </w:rPr>
      </w:pPr>
      <w:r w:rsidRPr="00DD531B">
        <w:rPr>
          <w:rFonts w:ascii="Times New Roman" w:eastAsia="Times New Roman" w:hAnsi="Times New Roman" w:cs="Times New Roman"/>
          <w:b/>
          <w:color w:val="000000"/>
          <w:sz w:val="24"/>
          <w:szCs w:val="24"/>
          <w:lang w:eastAsia="sk-SK"/>
        </w:rPr>
        <w:t>Informatizácia a Regionálny rozvoj</w:t>
      </w:r>
    </w:p>
    <w:p w14:paraId="0492FBD4" w14:textId="77777777" w:rsidR="00DD531B" w:rsidRPr="00DD531B" w:rsidRDefault="00DD531B" w:rsidP="00DD531B">
      <w:pPr>
        <w:spacing w:after="0" w:line="276" w:lineRule="auto"/>
        <w:jc w:val="both"/>
        <w:rPr>
          <w:rFonts w:ascii="Times New Roman" w:eastAsia="Times New Roman" w:hAnsi="Times New Roman" w:cs="Times New Roman"/>
          <w:color w:val="000000"/>
          <w:sz w:val="24"/>
          <w:szCs w:val="24"/>
          <w:lang w:eastAsia="sk-SK"/>
        </w:rPr>
      </w:pPr>
      <w:r w:rsidRPr="00DD531B">
        <w:rPr>
          <w:rFonts w:ascii="Times New Roman" w:eastAsia="Times New Roman" w:hAnsi="Times New Roman" w:cs="Times New Roman"/>
          <w:color w:val="000000"/>
          <w:sz w:val="24"/>
          <w:szCs w:val="24"/>
          <w:lang w:eastAsia="sk-SK"/>
        </w:rPr>
        <w:t>Na rozpočtovanie IT výdavkov je vytvorený samostatný medzirezortný program 0EK – Informačné technológie financované zo štátneho rozpočtu. Na rok 2024 sú plánované výdavky spolu na prevádzku a investície pre všetkých účastníkov zaradených do medzirezortného programu v sume 587 mil. eur.</w:t>
      </w:r>
    </w:p>
    <w:p w14:paraId="15D39A3B" w14:textId="77777777" w:rsidR="00DD531B" w:rsidRPr="00DD531B" w:rsidRDefault="00DD531B" w:rsidP="00DD531B">
      <w:pPr>
        <w:spacing w:after="0" w:line="276" w:lineRule="auto"/>
        <w:jc w:val="both"/>
        <w:rPr>
          <w:rFonts w:ascii="Times New Roman" w:eastAsia="Times New Roman" w:hAnsi="Times New Roman" w:cs="Times New Roman"/>
          <w:color w:val="000000"/>
          <w:sz w:val="24"/>
          <w:szCs w:val="24"/>
          <w:lang w:eastAsia="sk-SK"/>
        </w:rPr>
      </w:pPr>
    </w:p>
    <w:p w14:paraId="71D09555" w14:textId="77777777" w:rsidR="00DD531B" w:rsidRPr="00DD531B" w:rsidRDefault="00DD531B" w:rsidP="00DD531B">
      <w:pPr>
        <w:spacing w:after="0" w:line="276" w:lineRule="auto"/>
        <w:jc w:val="both"/>
        <w:rPr>
          <w:rFonts w:ascii="Times New Roman" w:eastAsia="Times New Roman" w:hAnsi="Times New Roman" w:cs="Times New Roman"/>
          <w:color w:val="000000"/>
          <w:sz w:val="24"/>
          <w:szCs w:val="24"/>
          <w:lang w:eastAsia="sk-SK"/>
        </w:rPr>
      </w:pPr>
      <w:r w:rsidRPr="00DD531B">
        <w:rPr>
          <w:rFonts w:ascii="Times New Roman" w:eastAsia="Times New Roman" w:hAnsi="Times New Roman" w:cs="Times New Roman"/>
          <w:color w:val="000000"/>
          <w:sz w:val="24"/>
          <w:szCs w:val="24"/>
          <w:lang w:eastAsia="sk-SK"/>
        </w:rPr>
        <w:t>Ústredným orgánom štátnej správy pre centrálne riadenie informatizácie spoločnosti a tvorbu politiky jednotného digitálneho trhu je Ministerstvo investícií regionálneho rozvoja a informatizácie SR (ďalej len „MIRRI SR“). Rozhoduje o využívaní verejných prostriedkov pre informačné technológie a koordinuje plnenie úloh v oblasti informatizácie spoločnosti. MIRRI SR je zriaďovateľom príspevkovej organizácie Národná agentúra pre sieťové a elektronické služby (ďalej len „NASES“). Pre NASES sú plánované prostriedky v sume 39,3 mil. eur. Príspevková organizácia NASES použije prostriedky najmä na zabezpečenie činnosti Ústredného portálu verejnej správy a vládnej siete GOVNET.</w:t>
      </w:r>
    </w:p>
    <w:p w14:paraId="69FDDE27" w14:textId="77777777" w:rsidR="00DD531B" w:rsidRPr="00DD531B" w:rsidRDefault="00DD531B" w:rsidP="00DD531B">
      <w:pPr>
        <w:spacing w:after="0" w:line="276" w:lineRule="auto"/>
        <w:jc w:val="both"/>
        <w:rPr>
          <w:rFonts w:ascii="Times New Roman" w:eastAsia="Times New Roman" w:hAnsi="Times New Roman" w:cs="Times New Roman"/>
          <w:color w:val="000000"/>
          <w:sz w:val="24"/>
          <w:szCs w:val="24"/>
          <w:lang w:eastAsia="sk-SK"/>
        </w:rPr>
      </w:pPr>
    </w:p>
    <w:p w14:paraId="4B407D2C" w14:textId="77777777" w:rsidR="00DD531B" w:rsidRPr="00DD531B" w:rsidRDefault="00DD531B" w:rsidP="00DD531B">
      <w:pPr>
        <w:spacing w:after="0" w:line="276" w:lineRule="auto"/>
        <w:jc w:val="both"/>
        <w:rPr>
          <w:rFonts w:ascii="Times New Roman" w:eastAsia="Times New Roman" w:hAnsi="Times New Roman" w:cs="Times New Roman"/>
          <w:color w:val="000000"/>
          <w:sz w:val="24"/>
          <w:szCs w:val="24"/>
          <w:lang w:eastAsia="sk-SK"/>
        </w:rPr>
      </w:pPr>
      <w:r w:rsidRPr="00DD531B">
        <w:rPr>
          <w:rFonts w:ascii="Times New Roman" w:eastAsia="Times New Roman" w:hAnsi="Times New Roman" w:cs="Times New Roman"/>
          <w:color w:val="000000"/>
          <w:sz w:val="24"/>
          <w:szCs w:val="24"/>
          <w:lang w:eastAsia="sk-SK"/>
        </w:rPr>
        <w:t xml:space="preserve">MIRRI SR je ústredným orgánom štátnej správy pre oblasť regionálneho rozvoja, vrátane koordinácie prípravy politík regionálneho rozvoja. V súlade so zákonom č. 539/2008 Z. z. o podpore regionálneho rozvoja rozpočtuje dotácie prostredníctvom projektov zameraných na odstraňovanie alebo zmierňovanie nežiaducich rozdielov v úrovni rozvoja regiónov, na zvyšovanie ekonomickej výkonnosti regiónov a na zvyšovanie zamestnanosti a životnej úrovne obyvateľov v regiónoch. Zároveň v súlade so zákonom č. 336/2015 o podpore najmenej rozvinutých okresov je poskytovaná podpora najmenej rozvinutým okresom s cieľom podporiť vytváranie pracovných miest a znižovať regionálne rozdiely, podporovať investície a </w:t>
      </w:r>
      <w:r w:rsidRPr="00DD531B">
        <w:rPr>
          <w:rFonts w:ascii="Times New Roman" w:eastAsia="Times New Roman" w:hAnsi="Times New Roman" w:cs="Times New Roman"/>
          <w:color w:val="000000"/>
          <w:sz w:val="24"/>
          <w:szCs w:val="24"/>
          <w:lang w:eastAsia="sk-SK"/>
        </w:rPr>
        <w:lastRenderedPageBreak/>
        <w:t>podnikateľské aktivity, aby sa zamedzilo odchodu mladej a vzdelanej pracovnej sily z regiónov.  V roku 2024 je na tieto účely v rozpočte MIRRI SR plánovaných spolu  14,2 mil. eur.</w:t>
      </w:r>
    </w:p>
    <w:p w14:paraId="040ED642" w14:textId="77777777" w:rsidR="00DD531B" w:rsidRPr="00DD531B" w:rsidRDefault="00DD531B" w:rsidP="00DD531B">
      <w:pPr>
        <w:spacing w:after="0" w:line="276" w:lineRule="auto"/>
        <w:jc w:val="both"/>
        <w:rPr>
          <w:rFonts w:ascii="Times New Roman" w:eastAsia="Times New Roman" w:hAnsi="Times New Roman" w:cs="Times New Roman"/>
          <w:color w:val="000000"/>
          <w:sz w:val="24"/>
          <w:szCs w:val="24"/>
          <w:lang w:eastAsia="sk-SK"/>
        </w:rPr>
      </w:pPr>
    </w:p>
    <w:p w14:paraId="483E4A36" w14:textId="77777777" w:rsidR="00DD531B" w:rsidRPr="00DD531B" w:rsidRDefault="00DD531B" w:rsidP="00DD531B">
      <w:pPr>
        <w:keepNext/>
        <w:spacing w:after="0" w:line="276" w:lineRule="auto"/>
        <w:outlineLvl w:val="1"/>
        <w:rPr>
          <w:rFonts w:ascii="Times New Roman" w:eastAsia="Times New Roman" w:hAnsi="Times New Roman" w:cs="Times New Roman"/>
          <w:b/>
          <w:bCs/>
          <w:iCs/>
          <w:color w:val="5B9BD5"/>
          <w:sz w:val="24"/>
          <w:szCs w:val="24"/>
          <w:lang w:eastAsia="cs-CZ"/>
        </w:rPr>
      </w:pPr>
      <w:r w:rsidRPr="00DD531B">
        <w:rPr>
          <w:rFonts w:ascii="Times New Roman" w:eastAsia="Times New Roman" w:hAnsi="Times New Roman" w:cs="Times New Roman"/>
          <w:b/>
          <w:bCs/>
          <w:iCs/>
          <w:color w:val="5B9BD5"/>
          <w:sz w:val="24"/>
          <w:szCs w:val="24"/>
          <w:lang w:eastAsia="cs-CZ"/>
        </w:rPr>
        <w:t>Kultúra</w:t>
      </w:r>
    </w:p>
    <w:p w14:paraId="18B1E837" w14:textId="77777777" w:rsidR="00DD531B" w:rsidRPr="00DD531B" w:rsidRDefault="00DD531B" w:rsidP="00DD531B">
      <w:pPr>
        <w:keepNext/>
        <w:spacing w:after="0" w:line="276" w:lineRule="auto"/>
        <w:outlineLvl w:val="1"/>
        <w:rPr>
          <w:rFonts w:ascii="Times New Roman" w:eastAsia="Times New Roman" w:hAnsi="Times New Roman" w:cs="Times New Roman"/>
          <w:b/>
          <w:bCs/>
          <w:iCs/>
          <w:color w:val="5B9BD5"/>
          <w:sz w:val="24"/>
          <w:szCs w:val="24"/>
          <w:lang w:eastAsia="cs-CZ"/>
        </w:rPr>
      </w:pPr>
    </w:p>
    <w:p w14:paraId="7C263D59" w14:textId="5CA7A985" w:rsidR="00DD531B" w:rsidRDefault="00DD531B" w:rsidP="0039178C">
      <w:pPr>
        <w:spacing w:after="0" w:line="276" w:lineRule="auto"/>
        <w:jc w:val="both"/>
        <w:rPr>
          <w:rFonts w:ascii="Times New Roman" w:hAnsi="Times New Roman"/>
          <w:color w:val="000000"/>
          <w:sz w:val="24"/>
          <w:szCs w:val="24"/>
        </w:rPr>
      </w:pPr>
      <w:r w:rsidRPr="00DD531B">
        <w:rPr>
          <w:rFonts w:ascii="Times New Roman" w:hAnsi="Times New Roman"/>
          <w:color w:val="000000"/>
          <w:sz w:val="24"/>
          <w:szCs w:val="24"/>
        </w:rPr>
        <w:t xml:space="preserve">Celkové výdavky v oblasti kultúry sa rozpočtujú v sume 491 mil. eur. Vo výdavkoch na oblasť kultúry sú obsiahnuté výdavky na inštitucionálnu podporu podriadených organizácií rezortu Ministerstva kultúry SR, výdavky na projekty orientované na zachovanie a rozvoj kultúrneho dedičstva prostredníctvom Dotačného systému Ministerstva kultúry SR, výdavky na podporu verejnoprávnych inštitúcií a ostatných subjektov verejnej správy (Rozhlas a televízia Slovenska, Tlačová agentúra Slovenskej republiky, Audiovizuálny fond, Fond na podporu umenia, Fond na podporu kultúry národnostných menšín, Matica slovenská, </w:t>
      </w:r>
      <w:proofErr w:type="spellStart"/>
      <w:r w:rsidRPr="00DD531B">
        <w:rPr>
          <w:rFonts w:ascii="Times New Roman" w:hAnsi="Times New Roman"/>
          <w:color w:val="000000"/>
          <w:sz w:val="24"/>
          <w:szCs w:val="24"/>
        </w:rPr>
        <w:t>Csemadok</w:t>
      </w:r>
      <w:proofErr w:type="spellEnd"/>
      <w:r w:rsidRPr="00DD531B">
        <w:rPr>
          <w:rFonts w:ascii="Times New Roman" w:hAnsi="Times New Roman"/>
          <w:color w:val="000000"/>
          <w:sz w:val="24"/>
          <w:szCs w:val="24"/>
        </w:rPr>
        <w:t>), výdavky na podporu činnosti cirkví a náboženských spoločností, výdavky na strategické zámery kapitoly, výdavky na informačné technológie.</w:t>
      </w:r>
    </w:p>
    <w:p w14:paraId="271F34F3" w14:textId="77777777" w:rsidR="0039178C" w:rsidRPr="00DD531B" w:rsidRDefault="0039178C" w:rsidP="0039178C">
      <w:pPr>
        <w:spacing w:after="0" w:line="276" w:lineRule="auto"/>
        <w:jc w:val="both"/>
        <w:rPr>
          <w:rFonts w:ascii="Times New Roman" w:hAnsi="Times New Roman"/>
          <w:color w:val="000000"/>
          <w:sz w:val="24"/>
          <w:szCs w:val="24"/>
        </w:rPr>
      </w:pPr>
    </w:p>
    <w:p w14:paraId="620C8873" w14:textId="77777777" w:rsidR="00DD531B" w:rsidRPr="00DD531B" w:rsidRDefault="00DD531B" w:rsidP="0039178C">
      <w:pPr>
        <w:spacing w:after="0" w:line="276" w:lineRule="auto"/>
        <w:jc w:val="both"/>
        <w:rPr>
          <w:rFonts w:ascii="Times New Roman" w:eastAsia="Calibri" w:hAnsi="Times New Roman" w:cs="Times New Roman"/>
          <w:b/>
          <w:sz w:val="24"/>
          <w:szCs w:val="24"/>
        </w:rPr>
      </w:pPr>
      <w:r w:rsidRPr="00DD531B">
        <w:rPr>
          <w:rFonts w:ascii="Times New Roman" w:eastAsia="Calibri" w:hAnsi="Times New Roman" w:cs="Times New Roman"/>
          <w:b/>
          <w:sz w:val="24"/>
          <w:szCs w:val="24"/>
        </w:rPr>
        <w:t>Zmena spôsobu financovania RTVS a TASR</w:t>
      </w:r>
    </w:p>
    <w:p w14:paraId="15DB8D34"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 xml:space="preserve">Novelou zákona č. 532/2010 Z. z. o Rozhlase a televízii Slovenska bol v roku 2023 do právneho poriadku zavedený </w:t>
      </w:r>
      <w:proofErr w:type="spellStart"/>
      <w:r w:rsidRPr="00DD531B">
        <w:rPr>
          <w:rFonts w:ascii="Times New Roman" w:eastAsia="Calibri" w:hAnsi="Times New Roman" w:cs="Times New Roman"/>
          <w:sz w:val="24"/>
          <w:szCs w:val="24"/>
        </w:rPr>
        <w:t>nárokovateľný</w:t>
      </w:r>
      <w:proofErr w:type="spellEnd"/>
      <w:r w:rsidRPr="00DD531B">
        <w:rPr>
          <w:rFonts w:ascii="Times New Roman" w:eastAsia="Calibri" w:hAnsi="Times New Roman" w:cs="Times New Roman"/>
          <w:sz w:val="24"/>
          <w:szCs w:val="24"/>
        </w:rPr>
        <w:t xml:space="preserve"> príspevok vyjadrený ako percentuálny podiel na HDP. Výška </w:t>
      </w:r>
      <w:proofErr w:type="spellStart"/>
      <w:r w:rsidRPr="00DD531B">
        <w:rPr>
          <w:rFonts w:ascii="Times New Roman" w:eastAsia="Calibri" w:hAnsi="Times New Roman" w:cs="Times New Roman"/>
          <w:sz w:val="24"/>
          <w:szCs w:val="24"/>
        </w:rPr>
        <w:t>nárokovateľného</w:t>
      </w:r>
      <w:proofErr w:type="spellEnd"/>
      <w:r w:rsidRPr="00DD531B">
        <w:rPr>
          <w:rFonts w:ascii="Times New Roman" w:eastAsia="Calibri" w:hAnsi="Times New Roman" w:cs="Times New Roman"/>
          <w:sz w:val="24"/>
          <w:szCs w:val="24"/>
        </w:rPr>
        <w:t xml:space="preserve"> príspevku sa stanovila v sume rovnajúcej sa 0,17 % HDP spred dvoch rokov vyjadreného v bežných cenách. Od roku 2024 sa predpokladá legislatívne schválenie zníženia percentuálneho podielu z 0,17 % na 0,12 % HDP, tak aby bola zachovaná štandardná úroveň príjmov RTVS ako v predchádzajúcich rokoch. Zároveň sa garantuje každoročný nárast zdrojov v súlade s makroekonomickým vývojom ekonomiky SR. </w:t>
      </w:r>
      <w:proofErr w:type="spellStart"/>
      <w:r w:rsidRPr="00DD531B">
        <w:rPr>
          <w:rFonts w:ascii="Times New Roman" w:eastAsia="Calibri" w:hAnsi="Times New Roman" w:cs="Times New Roman"/>
          <w:sz w:val="24"/>
          <w:szCs w:val="24"/>
        </w:rPr>
        <w:t>Nárokovateľný</w:t>
      </w:r>
      <w:proofErr w:type="spellEnd"/>
      <w:r w:rsidRPr="00DD531B">
        <w:rPr>
          <w:rFonts w:ascii="Times New Roman" w:eastAsia="Calibri" w:hAnsi="Times New Roman" w:cs="Times New Roman"/>
          <w:sz w:val="24"/>
          <w:szCs w:val="24"/>
        </w:rPr>
        <w:t xml:space="preserve"> príspevok sa rozpočtuje na rok 2024 vo výške 132 mil. eur, v roku 2025 vo výške 136 mil. eur a na rok 2026 v sume 148 mil. eur.</w:t>
      </w:r>
    </w:p>
    <w:p w14:paraId="22C4CD2C"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72FFDD2F"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Novelou z roku 2023 sa rovnakým mechanizmom napojil na % HDP aj transfer MK SR pre TASR, a to vo výške 0,0029% HDP spred dvoch rokov vyjadreného v bežných cenách, čím sa zabezpečí každoročný rast príspevku na činnosť TASR.</w:t>
      </w:r>
    </w:p>
    <w:p w14:paraId="5CD549DC" w14:textId="77777777" w:rsidR="00DD531B" w:rsidRPr="00DD531B" w:rsidRDefault="00DD531B" w:rsidP="00DD531B">
      <w:pPr>
        <w:spacing w:after="0" w:line="276" w:lineRule="auto"/>
        <w:jc w:val="both"/>
        <w:rPr>
          <w:rFonts w:ascii="Times New Roman" w:eastAsia="Calibri" w:hAnsi="Times New Roman" w:cs="Times New Roman"/>
          <w:b/>
          <w:sz w:val="24"/>
          <w:szCs w:val="24"/>
        </w:rPr>
      </w:pPr>
    </w:p>
    <w:p w14:paraId="7D7F6B70" w14:textId="77777777" w:rsidR="00DD531B" w:rsidRPr="00DD531B" w:rsidRDefault="00DD531B" w:rsidP="00DD531B">
      <w:pPr>
        <w:spacing w:after="0" w:line="276" w:lineRule="auto"/>
        <w:jc w:val="both"/>
        <w:rPr>
          <w:rFonts w:ascii="Times New Roman" w:eastAsia="Calibri" w:hAnsi="Times New Roman" w:cs="Times New Roman"/>
          <w:b/>
          <w:sz w:val="24"/>
          <w:szCs w:val="24"/>
        </w:rPr>
      </w:pPr>
      <w:r w:rsidRPr="00DD531B">
        <w:rPr>
          <w:rFonts w:ascii="Times New Roman" w:eastAsia="Calibri" w:hAnsi="Times New Roman" w:cs="Times New Roman"/>
          <w:b/>
          <w:sz w:val="24"/>
          <w:szCs w:val="24"/>
        </w:rPr>
        <w:t>Filmové projekty</w:t>
      </w:r>
    </w:p>
    <w:p w14:paraId="1C49A4D2"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 xml:space="preserve">V rozpočte verejnej správy sa pre rezort kultúry alokovali finančné prostriedky na realizáciu filmových projektov v celkovej sume 48,6 mil. eur. Podpora filmového priemyslu je realizovaná prostredníctvom Audiovizuálneho fondu. </w:t>
      </w:r>
    </w:p>
    <w:p w14:paraId="5044CCF4"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7A777D1C" w14:textId="77777777" w:rsidR="00DD531B" w:rsidRPr="00DD531B" w:rsidRDefault="00DD531B" w:rsidP="00DD531B">
      <w:pPr>
        <w:spacing w:after="0" w:line="276" w:lineRule="auto"/>
        <w:jc w:val="both"/>
        <w:rPr>
          <w:rFonts w:ascii="Times New Roman" w:eastAsia="Calibri" w:hAnsi="Times New Roman" w:cs="Times New Roman"/>
          <w:b/>
          <w:sz w:val="24"/>
          <w:szCs w:val="24"/>
        </w:rPr>
      </w:pPr>
      <w:r w:rsidRPr="00DD531B">
        <w:rPr>
          <w:rFonts w:ascii="Times New Roman" w:eastAsia="Calibri" w:hAnsi="Times New Roman" w:cs="Times New Roman"/>
          <w:b/>
          <w:sz w:val="24"/>
          <w:szCs w:val="24"/>
        </w:rPr>
        <w:t>Iné zmeny</w:t>
      </w:r>
    </w:p>
    <w:p w14:paraId="55079E85"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Do rozpočtu kapitoly bolo zapracované zvýšenie kapitálových výdavkov na sumu 36,1 mil. eur v roku 2024, na sumu 52,2 mil. eur v roku 2025 a na sumu 42,9 mil. eur v roku 2026.</w:t>
      </w:r>
    </w:p>
    <w:p w14:paraId="20593E31"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1AB3AA88" w14:textId="41E2EDAC"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 xml:space="preserve">Tieto výdavky sú určené najmä na investičné účelové projekty RTVS, na dotačný systém Obnovme si svoj dom a na rekonštrukciu a modernizáciu Štátnej opery v Banskej Bystrici, historickej budovy Slovenského národného divadla, Kláštora minoritov v Levoči, Slovenskej národnej knižnice v Martine a na obnovu hradu Krásna Hôrka.  </w:t>
      </w:r>
    </w:p>
    <w:p w14:paraId="79A1D6E1" w14:textId="77777777" w:rsidR="00DD531B" w:rsidRPr="00DD531B" w:rsidRDefault="00DD531B" w:rsidP="00DD531B">
      <w:pPr>
        <w:spacing w:after="0" w:line="276" w:lineRule="auto"/>
        <w:rPr>
          <w:rFonts w:ascii="Times New Roman" w:eastAsia="Times New Roman" w:hAnsi="Times New Roman" w:cs="Times New Roman"/>
          <w:b/>
          <w:bCs/>
          <w:iCs/>
          <w:color w:val="5B9BD5"/>
          <w:sz w:val="24"/>
          <w:szCs w:val="24"/>
          <w:lang w:eastAsia="cs-CZ"/>
        </w:rPr>
      </w:pPr>
    </w:p>
    <w:p w14:paraId="50BD6DC6" w14:textId="77777777" w:rsidR="00DD531B" w:rsidRPr="00DD531B" w:rsidRDefault="00DD531B" w:rsidP="00DD531B">
      <w:pPr>
        <w:spacing w:after="0" w:line="276" w:lineRule="auto"/>
        <w:rPr>
          <w:rFonts w:ascii="Times New Roman" w:eastAsia="Times New Roman" w:hAnsi="Times New Roman" w:cs="Times New Roman"/>
          <w:b/>
          <w:bCs/>
          <w:iCs/>
          <w:color w:val="5B9BD5"/>
          <w:sz w:val="24"/>
          <w:szCs w:val="24"/>
          <w:lang w:eastAsia="cs-CZ"/>
        </w:rPr>
      </w:pPr>
      <w:r w:rsidRPr="00DD531B">
        <w:rPr>
          <w:rFonts w:ascii="Times New Roman" w:eastAsia="Times New Roman" w:hAnsi="Times New Roman" w:cs="Times New Roman"/>
          <w:b/>
          <w:bCs/>
          <w:iCs/>
          <w:color w:val="5B9BD5"/>
          <w:sz w:val="24"/>
          <w:szCs w:val="24"/>
          <w:lang w:eastAsia="cs-CZ"/>
        </w:rPr>
        <w:lastRenderedPageBreak/>
        <w:t>Verejné služby</w:t>
      </w:r>
    </w:p>
    <w:p w14:paraId="0E291E79" w14:textId="77777777" w:rsidR="00DD531B" w:rsidRPr="00DD531B" w:rsidRDefault="00DD531B" w:rsidP="00DD531B">
      <w:pPr>
        <w:spacing w:after="0" w:line="276" w:lineRule="auto"/>
        <w:rPr>
          <w:rFonts w:ascii="Times New Roman" w:eastAsia="Times New Roman" w:hAnsi="Times New Roman" w:cs="Times New Roman"/>
          <w:b/>
          <w:bCs/>
          <w:iCs/>
          <w:color w:val="5B9BD5"/>
          <w:sz w:val="24"/>
          <w:szCs w:val="24"/>
          <w:lang w:eastAsia="cs-CZ"/>
        </w:rPr>
      </w:pPr>
    </w:p>
    <w:p w14:paraId="5A82BDC1" w14:textId="77777777" w:rsidR="00DD531B" w:rsidRPr="00DD531B" w:rsidRDefault="00DD531B" w:rsidP="00DD531B">
      <w:pPr>
        <w:spacing w:line="276" w:lineRule="auto"/>
        <w:jc w:val="both"/>
        <w:rPr>
          <w:rFonts w:ascii="Times New Roman" w:eastAsia="Times New Roman" w:hAnsi="Times New Roman" w:cs="Times New Roman"/>
          <w:b/>
          <w:bCs/>
          <w:iCs/>
          <w:color w:val="5B9BD5"/>
          <w:sz w:val="24"/>
          <w:szCs w:val="24"/>
          <w:lang w:eastAsia="cs-CZ"/>
        </w:rPr>
      </w:pPr>
      <w:r w:rsidRPr="00DD531B">
        <w:rPr>
          <w:rFonts w:ascii="Times New Roman" w:hAnsi="Times New Roman" w:cs="Times New Roman"/>
          <w:sz w:val="24"/>
          <w:szCs w:val="24"/>
        </w:rPr>
        <w:t xml:space="preserve">Za oblasť verejných služieb sú v rozpočte na rok 2024 plánované výdavky v objeme 720 mil. eur. Z rozpočtu verejných služieb sú financované výkonné a zákonodarné orgány, zahraničné vzťahy a zahraničná pomoc a miestna štátna správa. Výkonné a zákonodarné orgány zahŕňajú výdavky Úradu vlády SR, Kancelárie Národnej rady SR, Kancelárie prezidenta SR, Najvyššieho kontrolného úradu SR, Štatistického úradu SR a Úradu pre verejné obstarávanie. V rámci zahraničných vzťahov sú okrem výdavkov zastupiteľských úradov SR zahrnuté aj výdavky na pomoc krajanom v zahraničí, rozvojovú spoluprácu a povinné príspevky do medzinárodných organizácií. Miestna štátna správa predstavuje výkon funkcií štátu v regiónoch, najmä prostredníctvom okresných úradov, zahŕňa aj výdavky na archívy a voľby. </w:t>
      </w:r>
    </w:p>
    <w:p w14:paraId="64B67EFC"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Zabezpečujú sa výdavky v súlade s Koncepciou strategickej komunikácie Slovenskej republiky,  na pokračovanie národného projektu Zvýšenie odolnosti Slovenska voči hybridným hrozbám.  Projekt bol financovaný z operačného programu efektívna a verejná správa a na dlhodobú finančnú a personálnu udržateľnosť projektu sú zabezpečené výdavky štátneho rozpočtu v celkovej sume 2,18 mil. eur ročne.</w:t>
      </w:r>
    </w:p>
    <w:p w14:paraId="48327CA3"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53E4530E"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V roku 2024 sú rozpočtované výdavky na voľby celkovo v sume 29,8 mil. eur, z toho na voľby prezidenta Slovenskej republiky v sume 16,2 mil. eur, na voľby do Európskeho parlamentu v sume 11,7 mil. eur a doplnkové voľby do orgánov samosprávy obcí a do orgánov samosprávnych krajov v sume spolu 1,82 mil. eur.</w:t>
      </w:r>
    </w:p>
    <w:p w14:paraId="795311C1"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02DD18DF" w14:textId="77777777" w:rsidR="00DD531B" w:rsidRPr="00DD531B" w:rsidRDefault="00DD531B" w:rsidP="00DD531B">
      <w:pPr>
        <w:spacing w:after="0" w:line="276" w:lineRule="auto"/>
        <w:jc w:val="both"/>
        <w:rPr>
          <w:rFonts w:ascii="Times New Roman" w:eastAsia="Calibri" w:hAnsi="Times New Roman" w:cs="Times New Roman"/>
          <w:b/>
          <w:sz w:val="24"/>
          <w:szCs w:val="24"/>
        </w:rPr>
      </w:pPr>
      <w:r w:rsidRPr="00DD531B">
        <w:rPr>
          <w:rFonts w:ascii="Times New Roman" w:eastAsia="Calibri" w:hAnsi="Times New Roman" w:cs="Times New Roman"/>
          <w:b/>
          <w:sz w:val="24"/>
          <w:szCs w:val="24"/>
        </w:rPr>
        <w:t>Zahraničné služby a zahraničná pomoc</w:t>
      </w:r>
    </w:p>
    <w:p w14:paraId="770FCAF2" w14:textId="77777777" w:rsidR="00DD531B" w:rsidRPr="00DD531B" w:rsidRDefault="00DD531B" w:rsidP="00DD531B">
      <w:pPr>
        <w:spacing w:after="0" w:line="276" w:lineRule="auto"/>
        <w:jc w:val="both"/>
        <w:rPr>
          <w:rFonts w:ascii="Times New Roman" w:eastAsia="Calibri" w:hAnsi="Times New Roman" w:cs="Times New Roman"/>
          <w:sz w:val="24"/>
          <w:szCs w:val="24"/>
        </w:rPr>
      </w:pPr>
      <w:r w:rsidRPr="00DD531B">
        <w:rPr>
          <w:rFonts w:ascii="Times New Roman" w:eastAsia="Calibri" w:hAnsi="Times New Roman" w:cs="Times New Roman"/>
          <w:sz w:val="24"/>
          <w:szCs w:val="24"/>
        </w:rPr>
        <w:t>V rámci výdavkov na zahraničnú politiku sa rozpočtujú prostriedky celkovo v sume 177 mil. eur, predovšetkým na zastupiteľské úrady SR v zahraničí, ktoré realizujú zahranično-politické záujmy štátu, ochranu práv a záujmov Slovenskej republiky a jej občanov v zahraničí. V rámci výdavkov na pomoc krajanom v zahraničí sa rozpočtujú výdavky pre podriadenú rozpočtovú organizáciu Úrad pre Slovákov žijúcich v zahraničí, ktorá zabezpečuje výdavky na dotácie pre zahraničných Slovákov. Z prostriedkov rozpočtovaných v rámci oblasti na oficiálnu rozvojovú pomoc sa zabezpečuje pomoc partnerským rozvojovým krajinám a krajinám v procese transformácie. V rámci oblasti sa zohľadnili v kategórii bežných transferov aj výdavky na poplatky a príspevky za členstvo SR v medzinárodných organizáciách, a to pre OSN, OECD, NATO, Medzinárodný vyšehradský fond, Radu Európy a ďalšie.</w:t>
      </w:r>
    </w:p>
    <w:p w14:paraId="33E99F00" w14:textId="77777777" w:rsidR="00DD531B" w:rsidRPr="00DD531B" w:rsidRDefault="00DD531B" w:rsidP="00DD531B">
      <w:pPr>
        <w:tabs>
          <w:tab w:val="left" w:pos="0"/>
        </w:tabs>
        <w:spacing w:after="0" w:line="276" w:lineRule="auto"/>
        <w:contextualSpacing/>
        <w:jc w:val="both"/>
        <w:rPr>
          <w:rFonts w:ascii="Times New Roman" w:eastAsia="Times New Roman" w:hAnsi="Times New Roman" w:cs="Times New Roman"/>
          <w:b/>
          <w:bCs/>
          <w:iCs/>
          <w:color w:val="4F81BD"/>
          <w:sz w:val="24"/>
          <w:szCs w:val="24"/>
          <w:lang w:eastAsia="sk-SK"/>
        </w:rPr>
      </w:pPr>
    </w:p>
    <w:p w14:paraId="2485A1F0" w14:textId="789B93AC" w:rsidR="00DD531B" w:rsidRDefault="00DD531B" w:rsidP="00DD531B">
      <w:pPr>
        <w:tabs>
          <w:tab w:val="left" w:pos="0"/>
        </w:tabs>
        <w:spacing w:after="0" w:line="276" w:lineRule="auto"/>
        <w:contextualSpacing/>
        <w:jc w:val="both"/>
        <w:rPr>
          <w:rFonts w:ascii="Times New Roman" w:eastAsia="Times New Roman" w:hAnsi="Times New Roman" w:cs="Times New Roman"/>
          <w:b/>
          <w:bCs/>
          <w:iCs/>
          <w:color w:val="4F81BD"/>
          <w:sz w:val="24"/>
          <w:szCs w:val="24"/>
          <w:lang w:eastAsia="sk-SK"/>
        </w:rPr>
      </w:pPr>
      <w:r w:rsidRPr="00DD531B">
        <w:rPr>
          <w:rFonts w:ascii="Times New Roman" w:eastAsia="Times New Roman" w:hAnsi="Times New Roman" w:cs="Times New Roman"/>
          <w:b/>
          <w:bCs/>
          <w:iCs/>
          <w:color w:val="4F81BD"/>
          <w:sz w:val="24"/>
          <w:szCs w:val="24"/>
          <w:lang w:eastAsia="sk-SK"/>
        </w:rPr>
        <w:t>Všeobecná pokladničná správa</w:t>
      </w:r>
    </w:p>
    <w:p w14:paraId="037D2C7E" w14:textId="77777777" w:rsidR="0094217E" w:rsidRPr="00DD531B" w:rsidRDefault="0094217E" w:rsidP="00DD531B">
      <w:pPr>
        <w:tabs>
          <w:tab w:val="left" w:pos="0"/>
        </w:tabs>
        <w:spacing w:after="0" w:line="276" w:lineRule="auto"/>
        <w:contextualSpacing/>
        <w:jc w:val="both"/>
        <w:rPr>
          <w:rFonts w:ascii="Times New Roman" w:eastAsia="Times New Roman" w:hAnsi="Times New Roman" w:cs="Times New Roman"/>
          <w:b/>
          <w:bCs/>
          <w:iCs/>
          <w:color w:val="4F81BD"/>
          <w:sz w:val="24"/>
          <w:szCs w:val="24"/>
          <w:lang w:eastAsia="sk-SK"/>
        </w:rPr>
      </w:pPr>
    </w:p>
    <w:p w14:paraId="4B2747A2" w14:textId="6B6075B5" w:rsidR="00026AFB" w:rsidRPr="0094217E" w:rsidRDefault="00026AFB" w:rsidP="0094217E">
      <w:pPr>
        <w:spacing w:after="0" w:line="276" w:lineRule="auto"/>
        <w:jc w:val="both"/>
        <w:rPr>
          <w:rFonts w:ascii="Times New Roman" w:eastAsia="Calibri" w:hAnsi="Times New Roman" w:cs="Times New Roman"/>
          <w:color w:val="000000"/>
          <w:sz w:val="24"/>
          <w:szCs w:val="24"/>
          <w:lang w:eastAsia="cs-CZ"/>
        </w:rPr>
      </w:pPr>
      <w:r w:rsidRPr="00026AFB">
        <w:rPr>
          <w:rFonts w:ascii="Times New Roman" w:eastAsia="Calibri" w:hAnsi="Times New Roman" w:cs="Times New Roman"/>
          <w:color w:val="000000"/>
          <w:sz w:val="24"/>
          <w:szCs w:val="24"/>
          <w:lang w:eastAsia="cs-CZ"/>
        </w:rPr>
        <w:t>V</w:t>
      </w:r>
      <w:r w:rsidRPr="00026AFB">
        <w:rPr>
          <w:rFonts w:ascii="Times New Roman" w:eastAsia="Calibri" w:hAnsi="Times New Roman" w:cs="Times New Roman"/>
          <w:sz w:val="24"/>
          <w:szCs w:val="24"/>
          <w:lang w:eastAsia="cs-CZ"/>
        </w:rPr>
        <w:t xml:space="preserve"> kapitole</w:t>
      </w:r>
      <w:r w:rsidRPr="00026AFB">
        <w:rPr>
          <w:rFonts w:ascii="Times New Roman" w:eastAsia="Calibri" w:hAnsi="Times New Roman" w:cs="Times New Roman"/>
          <w:color w:val="000000"/>
          <w:sz w:val="24"/>
          <w:szCs w:val="24"/>
          <w:lang w:eastAsia="cs-CZ"/>
        </w:rPr>
        <w:t xml:space="preserve"> Všeobecn</w:t>
      </w:r>
      <w:r w:rsidRPr="00026AFB">
        <w:rPr>
          <w:rFonts w:ascii="Times New Roman" w:eastAsia="Calibri" w:hAnsi="Times New Roman" w:cs="Times New Roman"/>
          <w:sz w:val="24"/>
          <w:szCs w:val="24"/>
          <w:lang w:eastAsia="cs-CZ"/>
        </w:rPr>
        <w:t>á</w:t>
      </w:r>
      <w:r w:rsidRPr="00026AFB">
        <w:rPr>
          <w:rFonts w:ascii="Times New Roman" w:eastAsia="Calibri" w:hAnsi="Times New Roman" w:cs="Times New Roman"/>
          <w:color w:val="000000"/>
          <w:sz w:val="24"/>
          <w:szCs w:val="24"/>
          <w:lang w:eastAsia="cs-CZ"/>
        </w:rPr>
        <w:t xml:space="preserve"> pokladničn</w:t>
      </w:r>
      <w:r w:rsidRPr="00026AFB">
        <w:rPr>
          <w:rFonts w:ascii="Times New Roman" w:eastAsia="Calibri" w:hAnsi="Times New Roman" w:cs="Times New Roman"/>
          <w:sz w:val="24"/>
          <w:szCs w:val="24"/>
          <w:lang w:eastAsia="cs-CZ"/>
        </w:rPr>
        <w:t>á</w:t>
      </w:r>
      <w:r w:rsidRPr="00026AFB">
        <w:rPr>
          <w:rFonts w:ascii="Times New Roman" w:eastAsia="Calibri" w:hAnsi="Times New Roman" w:cs="Times New Roman"/>
          <w:color w:val="000000"/>
          <w:sz w:val="24"/>
          <w:szCs w:val="24"/>
          <w:lang w:eastAsia="cs-CZ"/>
        </w:rPr>
        <w:t xml:space="preserve"> správ</w:t>
      </w:r>
      <w:r w:rsidRPr="00026AFB">
        <w:rPr>
          <w:rFonts w:ascii="Times New Roman" w:eastAsia="Calibri" w:hAnsi="Times New Roman" w:cs="Times New Roman"/>
          <w:sz w:val="24"/>
          <w:szCs w:val="24"/>
          <w:lang w:eastAsia="cs-CZ"/>
        </w:rPr>
        <w:t>a</w:t>
      </w:r>
      <w:r w:rsidRPr="00026AFB">
        <w:rPr>
          <w:rFonts w:ascii="Times New Roman" w:eastAsia="Calibri" w:hAnsi="Times New Roman" w:cs="Times New Roman"/>
          <w:color w:val="000000"/>
          <w:sz w:val="24"/>
          <w:szCs w:val="24"/>
          <w:lang w:eastAsia="cs-CZ"/>
        </w:rPr>
        <w:t xml:space="preserve"> sú rozpočtované výdavky</w:t>
      </w:r>
      <w:r w:rsidRPr="00026AFB">
        <w:rPr>
          <w:rFonts w:ascii="Times New Roman" w:eastAsia="Calibri" w:hAnsi="Times New Roman" w:cs="Times New Roman"/>
          <w:sz w:val="24"/>
          <w:szCs w:val="24"/>
          <w:lang w:eastAsia="cs-CZ"/>
        </w:rPr>
        <w:t xml:space="preserve"> na rok 2024</w:t>
      </w:r>
      <w:r w:rsidRPr="00026AFB">
        <w:rPr>
          <w:rFonts w:ascii="Times New Roman" w:eastAsia="Calibri" w:hAnsi="Times New Roman" w:cs="Times New Roman"/>
          <w:color w:val="000000"/>
          <w:sz w:val="24"/>
          <w:szCs w:val="24"/>
          <w:lang w:eastAsia="cs-CZ"/>
        </w:rPr>
        <w:t xml:space="preserve"> v celkovej výške 6 882 mil. eur a sú určené </w:t>
      </w:r>
      <w:r w:rsidRPr="00026AFB">
        <w:rPr>
          <w:rFonts w:ascii="Times New Roman" w:eastAsia="Calibri" w:hAnsi="Times New Roman" w:cs="Times New Roman"/>
          <w:sz w:val="24"/>
          <w:szCs w:val="24"/>
          <w:lang w:eastAsia="cs-CZ"/>
        </w:rPr>
        <w:t>najmä</w:t>
      </w:r>
      <w:r w:rsidRPr="00026AFB">
        <w:rPr>
          <w:rFonts w:ascii="Times New Roman" w:eastAsia="Calibri" w:hAnsi="Times New Roman" w:cs="Times New Roman"/>
          <w:color w:val="000000"/>
          <w:sz w:val="24"/>
          <w:szCs w:val="24"/>
          <w:lang w:eastAsia="cs-CZ"/>
        </w:rPr>
        <w:t xml:space="preserve"> na obsluhu štátneho dlhu, na odvody do rozpočtu EÚ, na zabezpečenie finančných vzťahov k Sociálnej poisťovni, na rozpočtové rezervy ako aj na výdavky</w:t>
      </w:r>
      <w:r w:rsidRPr="00026AFB">
        <w:rPr>
          <w:rFonts w:ascii="Times New Roman" w:eastAsia="Calibri" w:hAnsi="Times New Roman" w:cs="Times New Roman"/>
          <w:sz w:val="24"/>
          <w:szCs w:val="24"/>
          <w:lang w:eastAsia="cs-CZ"/>
        </w:rPr>
        <w:t xml:space="preserve"> na činnosť</w:t>
      </w:r>
      <w:r w:rsidRPr="00026AFB">
        <w:rPr>
          <w:rFonts w:ascii="Times New Roman" w:eastAsia="Calibri" w:hAnsi="Times New Roman" w:cs="Times New Roman"/>
          <w:color w:val="000000"/>
          <w:sz w:val="24"/>
          <w:szCs w:val="24"/>
          <w:lang w:eastAsia="cs-CZ"/>
        </w:rPr>
        <w:t xml:space="preserve"> organizácie Kancelária verejného ochrancu práv, Rada pre mediálne služby, Úrad na ochranu osobných údajov SR, Úrad na ochranu oznamovateľov, Ústav pamäti národa, Slovenské národné stredisko pre ľudské práva, Úrad komisára pre deti a Úrad komisára pre osoby so zdravotným postihnutím.</w:t>
      </w:r>
    </w:p>
    <w:p w14:paraId="249D1052" w14:textId="77777777" w:rsidR="00DD531B" w:rsidRPr="00DD531B" w:rsidRDefault="00DD531B" w:rsidP="00DD531B">
      <w:pPr>
        <w:spacing w:after="0" w:line="276" w:lineRule="auto"/>
        <w:jc w:val="both"/>
        <w:rPr>
          <w:rFonts w:ascii="Times New Roman" w:eastAsia="Calibri" w:hAnsi="Times New Roman" w:cs="Times New Roman"/>
          <w:b/>
          <w:sz w:val="24"/>
          <w:szCs w:val="24"/>
        </w:rPr>
      </w:pPr>
      <w:r w:rsidRPr="00DD531B">
        <w:rPr>
          <w:rFonts w:ascii="Times New Roman" w:eastAsia="Calibri" w:hAnsi="Times New Roman" w:cs="Times New Roman"/>
          <w:b/>
          <w:sz w:val="24"/>
          <w:szCs w:val="24"/>
        </w:rPr>
        <w:lastRenderedPageBreak/>
        <w:t>Rozpočtové rezervy</w:t>
      </w:r>
    </w:p>
    <w:p w14:paraId="3887D1B0" w14:textId="77777777" w:rsidR="00DD531B" w:rsidRPr="00DD531B" w:rsidRDefault="00DD531B" w:rsidP="00DD531B">
      <w:pPr>
        <w:spacing w:after="0" w:line="276" w:lineRule="auto"/>
        <w:ind w:left="792"/>
        <w:contextualSpacing/>
        <w:jc w:val="both"/>
        <w:rPr>
          <w:rFonts w:ascii="Times New Roman" w:eastAsia="Times New Roman" w:hAnsi="Times New Roman" w:cs="Times New Roman"/>
          <w:bCs/>
          <w:color w:val="4F81BD"/>
          <w:sz w:val="16"/>
          <w:szCs w:val="16"/>
          <w:lang w:eastAsia="sk-SK"/>
        </w:rPr>
      </w:pPr>
    </w:p>
    <w:p w14:paraId="4D8413BF" w14:textId="77777777" w:rsidR="00DD531B" w:rsidRPr="00DD531B" w:rsidRDefault="00DD531B" w:rsidP="00DD531B">
      <w:pPr>
        <w:spacing w:after="0" w:line="276" w:lineRule="auto"/>
        <w:jc w:val="both"/>
        <w:rPr>
          <w:rFonts w:ascii="Times New Roman" w:eastAsia="Times New Roman" w:hAnsi="Times New Roman" w:cs="Times New Roman"/>
          <w:color w:val="000000"/>
          <w:sz w:val="24"/>
          <w:szCs w:val="24"/>
          <w:lang w:eastAsia="cs-CZ"/>
        </w:rPr>
      </w:pPr>
      <w:r w:rsidRPr="00DD531B">
        <w:rPr>
          <w:rFonts w:ascii="Times New Roman" w:eastAsia="Times New Roman" w:hAnsi="Times New Roman" w:cs="Times New Roman"/>
          <w:color w:val="000000"/>
          <w:sz w:val="24"/>
          <w:szCs w:val="24"/>
          <w:lang w:eastAsia="cs-CZ"/>
        </w:rPr>
        <w:t xml:space="preserve">V návrhu rozpočtu kapitoly VPS na rok 2024 sa tvorí rozpočtová rezerva </w:t>
      </w:r>
    </w:p>
    <w:p w14:paraId="5EF652D0" w14:textId="77777777" w:rsidR="00DD531B" w:rsidRPr="00DD531B" w:rsidRDefault="00DD531B" w:rsidP="00DD531B">
      <w:pPr>
        <w:numPr>
          <w:ilvl w:val="0"/>
          <w:numId w:val="17"/>
        </w:numPr>
        <w:spacing w:after="0" w:line="276" w:lineRule="auto"/>
        <w:contextualSpacing/>
        <w:jc w:val="both"/>
        <w:rPr>
          <w:rFonts w:ascii="Times New Roman" w:eastAsia="Times New Roman" w:hAnsi="Times New Roman" w:cs="Times New Roman"/>
          <w:color w:val="000000"/>
          <w:sz w:val="24"/>
          <w:szCs w:val="24"/>
          <w:lang w:eastAsia="cs-CZ"/>
        </w:rPr>
      </w:pPr>
      <w:r w:rsidRPr="00DD531B">
        <w:rPr>
          <w:rFonts w:ascii="Times New Roman" w:eastAsia="Times New Roman" w:hAnsi="Times New Roman" w:cs="Times New Roman"/>
          <w:color w:val="000000"/>
          <w:sz w:val="24"/>
          <w:szCs w:val="24"/>
          <w:lang w:eastAsia="cs-CZ"/>
        </w:rPr>
        <w:t xml:space="preserve">vlády, </w:t>
      </w:r>
    </w:p>
    <w:p w14:paraId="2AD3D9E5" w14:textId="77777777" w:rsidR="00DD531B" w:rsidRPr="00DD531B" w:rsidRDefault="00DD531B" w:rsidP="00DD531B">
      <w:pPr>
        <w:numPr>
          <w:ilvl w:val="0"/>
          <w:numId w:val="17"/>
        </w:numPr>
        <w:spacing w:after="0" w:line="276" w:lineRule="auto"/>
        <w:contextualSpacing/>
        <w:jc w:val="both"/>
        <w:rPr>
          <w:rFonts w:ascii="Times New Roman" w:eastAsia="Times New Roman" w:hAnsi="Times New Roman" w:cs="Times New Roman"/>
          <w:color w:val="000000"/>
          <w:sz w:val="24"/>
          <w:szCs w:val="24"/>
          <w:lang w:eastAsia="cs-CZ"/>
        </w:rPr>
      </w:pPr>
      <w:r w:rsidRPr="00DD531B">
        <w:rPr>
          <w:rFonts w:ascii="Times New Roman" w:eastAsia="Times New Roman" w:hAnsi="Times New Roman" w:cs="Times New Roman"/>
          <w:color w:val="000000"/>
          <w:sz w:val="24"/>
          <w:szCs w:val="24"/>
          <w:lang w:eastAsia="cs-CZ"/>
        </w:rPr>
        <w:t>na prostriedky EÚ a odvody EÚ,</w:t>
      </w:r>
    </w:p>
    <w:p w14:paraId="1C5AE1FD" w14:textId="77777777" w:rsidR="00DD531B" w:rsidRPr="00DD531B" w:rsidRDefault="00DD531B" w:rsidP="00DD531B">
      <w:pPr>
        <w:numPr>
          <w:ilvl w:val="0"/>
          <w:numId w:val="17"/>
        </w:numPr>
        <w:spacing w:after="0" w:line="276" w:lineRule="auto"/>
        <w:contextualSpacing/>
        <w:jc w:val="both"/>
        <w:rPr>
          <w:rFonts w:ascii="Times New Roman" w:eastAsia="Times New Roman" w:hAnsi="Times New Roman" w:cs="Times New Roman"/>
          <w:color w:val="000000"/>
          <w:sz w:val="24"/>
          <w:szCs w:val="24"/>
          <w:lang w:eastAsia="cs-CZ"/>
        </w:rPr>
      </w:pPr>
      <w:r w:rsidRPr="00DD531B">
        <w:rPr>
          <w:rFonts w:ascii="Times New Roman" w:eastAsia="Times New Roman" w:hAnsi="Times New Roman" w:cs="Times New Roman"/>
          <w:color w:val="000000"/>
          <w:sz w:val="24"/>
          <w:szCs w:val="24"/>
          <w:lang w:eastAsia="cs-CZ"/>
        </w:rPr>
        <w:t>na riešenie vplyvov legislatívnych zmien,</w:t>
      </w:r>
    </w:p>
    <w:p w14:paraId="659C5870" w14:textId="77777777" w:rsidR="00DD531B" w:rsidRPr="00DD531B" w:rsidRDefault="00DD531B" w:rsidP="00DD531B">
      <w:pPr>
        <w:numPr>
          <w:ilvl w:val="0"/>
          <w:numId w:val="17"/>
        </w:numPr>
        <w:spacing w:after="0" w:line="276" w:lineRule="auto"/>
        <w:contextualSpacing/>
        <w:jc w:val="both"/>
        <w:rPr>
          <w:rFonts w:ascii="Times New Roman" w:eastAsia="Times New Roman" w:hAnsi="Times New Roman" w:cs="Times New Roman"/>
          <w:color w:val="000000"/>
          <w:sz w:val="24"/>
          <w:szCs w:val="24"/>
          <w:lang w:eastAsia="cs-CZ"/>
        </w:rPr>
      </w:pPr>
      <w:r w:rsidRPr="00DD531B">
        <w:rPr>
          <w:rFonts w:ascii="Times New Roman" w:eastAsia="Times New Roman" w:hAnsi="Times New Roman" w:cs="Times New Roman"/>
          <w:color w:val="000000"/>
          <w:sz w:val="24"/>
          <w:szCs w:val="24"/>
          <w:lang w:eastAsia="cs-CZ"/>
        </w:rPr>
        <w:t xml:space="preserve">na riešenie krízových situácií mimo času vojny a vojnového stavu a vykonávanie povodňových prác, </w:t>
      </w:r>
    </w:p>
    <w:p w14:paraId="39F99D00" w14:textId="77777777" w:rsidR="00DD531B" w:rsidRPr="00DD531B" w:rsidRDefault="00DD531B" w:rsidP="00DD531B">
      <w:pPr>
        <w:numPr>
          <w:ilvl w:val="0"/>
          <w:numId w:val="17"/>
        </w:numPr>
        <w:spacing w:after="0" w:line="276" w:lineRule="auto"/>
        <w:contextualSpacing/>
        <w:jc w:val="both"/>
        <w:rPr>
          <w:rFonts w:ascii="Times New Roman" w:eastAsia="Times New Roman" w:hAnsi="Times New Roman" w:cs="Times New Roman"/>
          <w:color w:val="000000"/>
          <w:sz w:val="24"/>
          <w:szCs w:val="24"/>
          <w:lang w:eastAsia="cs-CZ"/>
        </w:rPr>
      </w:pPr>
      <w:r w:rsidRPr="00DD531B">
        <w:rPr>
          <w:rFonts w:ascii="Times New Roman" w:eastAsia="Times New Roman" w:hAnsi="Times New Roman" w:cs="Times New Roman"/>
          <w:color w:val="000000"/>
          <w:sz w:val="24"/>
          <w:szCs w:val="24"/>
          <w:lang w:eastAsia="cs-CZ"/>
        </w:rPr>
        <w:t>na realizáciu súdnych a exekučných rozhodnutí,</w:t>
      </w:r>
    </w:p>
    <w:p w14:paraId="3808DA73" w14:textId="77777777" w:rsidR="00DD531B" w:rsidRPr="00DD531B" w:rsidRDefault="00DD531B" w:rsidP="00DD531B">
      <w:pPr>
        <w:numPr>
          <w:ilvl w:val="0"/>
          <w:numId w:val="17"/>
        </w:numPr>
        <w:spacing w:after="0" w:line="276" w:lineRule="auto"/>
        <w:contextualSpacing/>
        <w:jc w:val="both"/>
        <w:rPr>
          <w:rFonts w:ascii="Times New Roman" w:eastAsia="Times New Roman" w:hAnsi="Times New Roman" w:cs="Times New Roman"/>
          <w:color w:val="000000"/>
          <w:sz w:val="24"/>
          <w:szCs w:val="24"/>
          <w:lang w:eastAsia="cs-CZ"/>
        </w:rPr>
      </w:pPr>
      <w:r w:rsidRPr="00DD531B">
        <w:rPr>
          <w:rFonts w:ascii="Times New Roman" w:eastAsia="Times New Roman" w:hAnsi="Times New Roman" w:cs="Times New Roman"/>
          <w:color w:val="000000"/>
          <w:sz w:val="24"/>
          <w:szCs w:val="24"/>
          <w:lang w:eastAsia="cs-CZ"/>
        </w:rPr>
        <w:t>na mzdy a poistné,</w:t>
      </w:r>
    </w:p>
    <w:p w14:paraId="46B13243" w14:textId="77777777" w:rsidR="00DD531B" w:rsidRPr="00DD531B" w:rsidRDefault="00DD531B" w:rsidP="00DD531B">
      <w:pPr>
        <w:numPr>
          <w:ilvl w:val="0"/>
          <w:numId w:val="17"/>
        </w:numPr>
        <w:spacing w:after="0" w:line="276" w:lineRule="auto"/>
        <w:contextualSpacing/>
        <w:jc w:val="both"/>
        <w:rPr>
          <w:rFonts w:ascii="Times New Roman" w:eastAsia="Times New Roman" w:hAnsi="Times New Roman" w:cs="Times New Roman"/>
          <w:color w:val="000000"/>
          <w:sz w:val="24"/>
          <w:szCs w:val="24"/>
          <w:lang w:eastAsia="cs-CZ"/>
        </w:rPr>
      </w:pPr>
      <w:r w:rsidRPr="00DD531B">
        <w:rPr>
          <w:rFonts w:ascii="Times New Roman" w:eastAsia="Times New Roman" w:hAnsi="Times New Roman" w:cs="Times New Roman"/>
          <w:color w:val="000000"/>
          <w:sz w:val="24"/>
          <w:szCs w:val="24"/>
          <w:lang w:eastAsia="cs-CZ"/>
        </w:rPr>
        <w:t xml:space="preserve">na kompenzačné opatrenia súvisiace s rastom cien energií. </w:t>
      </w:r>
    </w:p>
    <w:p w14:paraId="16E20EEE" w14:textId="77777777" w:rsidR="00DD531B" w:rsidRPr="00DD531B" w:rsidRDefault="00DD531B" w:rsidP="00DD531B">
      <w:pPr>
        <w:spacing w:after="0" w:line="276" w:lineRule="auto"/>
        <w:contextualSpacing/>
        <w:jc w:val="both"/>
        <w:rPr>
          <w:rFonts w:ascii="Times New Roman" w:eastAsia="Times New Roman" w:hAnsi="Times New Roman" w:cs="Times New Roman"/>
          <w:color w:val="000000"/>
          <w:sz w:val="24"/>
          <w:szCs w:val="24"/>
          <w:lang w:eastAsia="cs-CZ"/>
        </w:rPr>
      </w:pPr>
    </w:p>
    <w:p w14:paraId="79638B16" w14:textId="016AA4BE" w:rsidR="00DD531B" w:rsidRPr="000D4EA0" w:rsidRDefault="00DD531B" w:rsidP="00DD531B">
      <w:pPr>
        <w:spacing w:after="0" w:line="276" w:lineRule="auto"/>
        <w:rPr>
          <w:rFonts w:ascii="Times New Roman" w:eastAsia="Calibri" w:hAnsi="Times New Roman" w:cs="Times New Roman"/>
          <w:color w:val="5B9BD5" w:themeColor="accent1"/>
          <w:szCs w:val="36"/>
        </w:rPr>
      </w:pPr>
      <w:bookmarkStart w:id="177" w:name="_Toc152689095"/>
      <w:bookmarkStart w:id="178" w:name="_Toc153013051"/>
      <w:r w:rsidRPr="000D4EA0">
        <w:rPr>
          <w:rFonts w:ascii="Times New Roman" w:eastAsia="Calibri" w:hAnsi="Times New Roman" w:cs="Times New Roman"/>
          <w:b/>
          <w:iCs/>
          <w:color w:val="5B9BD5" w:themeColor="accent1"/>
          <w:sz w:val="20"/>
          <w:szCs w:val="20"/>
          <w:lang w:eastAsia="cs-CZ"/>
        </w:rPr>
        <w:t xml:space="preserve">Tabuľka </w:t>
      </w:r>
      <w:r w:rsidRPr="000D4EA0">
        <w:rPr>
          <w:rFonts w:ascii="Times New Roman" w:hAnsi="Times New Roman" w:cs="Times New Roman"/>
          <w:b/>
          <w:color w:val="5B9BD5" w:themeColor="accent1"/>
          <w:sz w:val="20"/>
          <w:szCs w:val="20"/>
        </w:rPr>
        <w:fldChar w:fldCharType="begin"/>
      </w:r>
      <w:r w:rsidRPr="000D4EA0">
        <w:rPr>
          <w:rFonts w:ascii="Times New Roman" w:hAnsi="Times New Roman" w:cs="Times New Roman"/>
          <w:b/>
          <w:color w:val="5B9BD5" w:themeColor="accent1"/>
          <w:sz w:val="20"/>
          <w:szCs w:val="20"/>
        </w:rPr>
        <w:instrText xml:space="preserve"> SEQ Tabuľka \* ARABIC </w:instrText>
      </w:r>
      <w:r w:rsidRPr="000D4EA0">
        <w:rPr>
          <w:rFonts w:ascii="Times New Roman" w:hAnsi="Times New Roman" w:cs="Times New Roman"/>
          <w:b/>
          <w:color w:val="5B9BD5" w:themeColor="accent1"/>
          <w:sz w:val="20"/>
          <w:szCs w:val="20"/>
        </w:rPr>
        <w:fldChar w:fldCharType="separate"/>
      </w:r>
      <w:r w:rsidR="003D5A3A" w:rsidRPr="000D4EA0">
        <w:rPr>
          <w:rFonts w:ascii="Times New Roman" w:hAnsi="Times New Roman" w:cs="Times New Roman"/>
          <w:b/>
          <w:noProof/>
          <w:color w:val="5B9BD5" w:themeColor="accent1"/>
          <w:sz w:val="20"/>
          <w:szCs w:val="20"/>
        </w:rPr>
        <w:t>53</w:t>
      </w:r>
      <w:r w:rsidRPr="000D4EA0">
        <w:rPr>
          <w:rFonts w:ascii="Times New Roman" w:hAnsi="Times New Roman" w:cs="Times New Roman"/>
          <w:b/>
          <w:color w:val="5B9BD5" w:themeColor="accent1"/>
          <w:sz w:val="20"/>
          <w:szCs w:val="20"/>
        </w:rPr>
        <w:fldChar w:fldCharType="end"/>
      </w:r>
      <w:r w:rsidRPr="000D4EA0">
        <w:rPr>
          <w:rFonts w:ascii="Times New Roman" w:eastAsia="Calibri" w:hAnsi="Times New Roman" w:cs="Times New Roman"/>
          <w:b/>
          <w:iCs/>
          <w:color w:val="5B9BD5" w:themeColor="accent1"/>
          <w:sz w:val="20"/>
          <w:szCs w:val="20"/>
          <w:lang w:eastAsia="cs-CZ"/>
        </w:rPr>
        <w:t xml:space="preserve"> - Rozpočtové rezervy</w:t>
      </w:r>
      <w:bookmarkEnd w:id="177"/>
      <w:bookmarkEnd w:id="178"/>
    </w:p>
    <w:tbl>
      <w:tblPr>
        <w:tblW w:w="9008" w:type="dxa"/>
        <w:tblCellMar>
          <w:left w:w="70" w:type="dxa"/>
          <w:right w:w="70" w:type="dxa"/>
        </w:tblCellMar>
        <w:tblLook w:val="04A0" w:firstRow="1" w:lastRow="0" w:firstColumn="1" w:lastColumn="0" w:noHBand="0" w:noVBand="1"/>
      </w:tblPr>
      <w:tblGrid>
        <w:gridCol w:w="2820"/>
        <w:gridCol w:w="884"/>
        <w:gridCol w:w="884"/>
        <w:gridCol w:w="884"/>
        <w:gridCol w:w="884"/>
        <w:gridCol w:w="884"/>
        <w:gridCol w:w="884"/>
        <w:gridCol w:w="884"/>
      </w:tblGrid>
      <w:tr w:rsidR="00DD531B" w:rsidRPr="00DD531B" w14:paraId="6E46ACD7" w14:textId="77777777" w:rsidTr="001F24AE">
        <w:trPr>
          <w:trHeight w:val="275"/>
        </w:trPr>
        <w:tc>
          <w:tcPr>
            <w:tcW w:w="2820" w:type="dxa"/>
            <w:tcBorders>
              <w:top w:val="single" w:sz="4" w:space="0" w:color="auto"/>
              <w:left w:val="nil"/>
              <w:bottom w:val="single" w:sz="4" w:space="0" w:color="auto"/>
              <w:right w:val="nil"/>
            </w:tcBorders>
            <w:shd w:val="clear" w:color="auto" w:fill="auto"/>
            <w:noWrap/>
            <w:vAlign w:val="center"/>
            <w:hideMark/>
          </w:tcPr>
          <w:p w14:paraId="7ADBC7E5" w14:textId="77777777" w:rsidR="00DD531B" w:rsidRPr="00DD531B" w:rsidRDefault="00DD531B" w:rsidP="00DD531B">
            <w:pPr>
              <w:spacing w:after="0" w:line="276" w:lineRule="auto"/>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v tis. eur</w:t>
            </w:r>
          </w:p>
        </w:tc>
        <w:tc>
          <w:tcPr>
            <w:tcW w:w="884" w:type="dxa"/>
            <w:tcBorders>
              <w:top w:val="single" w:sz="4" w:space="0" w:color="auto"/>
              <w:left w:val="nil"/>
              <w:bottom w:val="single" w:sz="4" w:space="0" w:color="auto"/>
              <w:right w:val="nil"/>
            </w:tcBorders>
            <w:shd w:val="clear" w:color="auto" w:fill="auto"/>
            <w:vAlign w:val="center"/>
            <w:hideMark/>
          </w:tcPr>
          <w:p w14:paraId="5C90949A"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2021 S</w:t>
            </w:r>
          </w:p>
        </w:tc>
        <w:tc>
          <w:tcPr>
            <w:tcW w:w="884" w:type="dxa"/>
            <w:tcBorders>
              <w:top w:val="single" w:sz="4" w:space="0" w:color="auto"/>
              <w:left w:val="nil"/>
              <w:bottom w:val="single" w:sz="4" w:space="0" w:color="auto"/>
              <w:right w:val="nil"/>
            </w:tcBorders>
            <w:shd w:val="clear" w:color="auto" w:fill="auto"/>
            <w:vAlign w:val="center"/>
            <w:hideMark/>
          </w:tcPr>
          <w:p w14:paraId="31A1ADE4"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2022 S</w:t>
            </w:r>
          </w:p>
        </w:tc>
        <w:tc>
          <w:tcPr>
            <w:tcW w:w="884" w:type="dxa"/>
            <w:tcBorders>
              <w:top w:val="single" w:sz="4" w:space="0" w:color="auto"/>
              <w:left w:val="nil"/>
              <w:bottom w:val="single" w:sz="4" w:space="0" w:color="auto"/>
              <w:right w:val="nil"/>
            </w:tcBorders>
            <w:shd w:val="clear" w:color="auto" w:fill="auto"/>
            <w:vAlign w:val="center"/>
            <w:hideMark/>
          </w:tcPr>
          <w:p w14:paraId="2298C46B"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2023 R</w:t>
            </w:r>
          </w:p>
        </w:tc>
        <w:tc>
          <w:tcPr>
            <w:tcW w:w="884" w:type="dxa"/>
            <w:tcBorders>
              <w:top w:val="single" w:sz="4" w:space="0" w:color="auto"/>
              <w:left w:val="nil"/>
              <w:bottom w:val="single" w:sz="4" w:space="0" w:color="auto"/>
              <w:right w:val="nil"/>
            </w:tcBorders>
            <w:shd w:val="clear" w:color="auto" w:fill="auto"/>
            <w:vAlign w:val="center"/>
            <w:hideMark/>
          </w:tcPr>
          <w:p w14:paraId="59B40660"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2023 OS</w:t>
            </w:r>
          </w:p>
        </w:tc>
        <w:tc>
          <w:tcPr>
            <w:tcW w:w="884" w:type="dxa"/>
            <w:tcBorders>
              <w:top w:val="single" w:sz="4" w:space="0" w:color="auto"/>
              <w:left w:val="nil"/>
              <w:bottom w:val="single" w:sz="4" w:space="0" w:color="auto"/>
              <w:right w:val="nil"/>
            </w:tcBorders>
            <w:shd w:val="clear" w:color="auto" w:fill="auto"/>
            <w:noWrap/>
            <w:vAlign w:val="center"/>
            <w:hideMark/>
          </w:tcPr>
          <w:p w14:paraId="6A6571FB"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2024 N</w:t>
            </w:r>
          </w:p>
        </w:tc>
        <w:tc>
          <w:tcPr>
            <w:tcW w:w="884" w:type="dxa"/>
            <w:tcBorders>
              <w:top w:val="single" w:sz="4" w:space="0" w:color="auto"/>
              <w:left w:val="nil"/>
              <w:bottom w:val="single" w:sz="4" w:space="0" w:color="auto"/>
              <w:right w:val="nil"/>
            </w:tcBorders>
            <w:shd w:val="clear" w:color="auto" w:fill="auto"/>
            <w:vAlign w:val="center"/>
            <w:hideMark/>
          </w:tcPr>
          <w:p w14:paraId="50D2939B"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2025 N</w:t>
            </w:r>
          </w:p>
        </w:tc>
        <w:tc>
          <w:tcPr>
            <w:tcW w:w="884" w:type="dxa"/>
            <w:tcBorders>
              <w:top w:val="single" w:sz="4" w:space="0" w:color="auto"/>
              <w:left w:val="nil"/>
              <w:bottom w:val="single" w:sz="4" w:space="0" w:color="auto"/>
              <w:right w:val="nil"/>
            </w:tcBorders>
            <w:shd w:val="clear" w:color="auto" w:fill="auto"/>
            <w:vAlign w:val="center"/>
            <w:hideMark/>
          </w:tcPr>
          <w:p w14:paraId="397590F4"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2026 N</w:t>
            </w:r>
          </w:p>
        </w:tc>
      </w:tr>
      <w:tr w:rsidR="00DD531B" w:rsidRPr="00DD531B" w14:paraId="49A60C36" w14:textId="77777777" w:rsidTr="001F24AE">
        <w:trPr>
          <w:trHeight w:val="275"/>
        </w:trPr>
        <w:tc>
          <w:tcPr>
            <w:tcW w:w="2820" w:type="dxa"/>
            <w:tcBorders>
              <w:top w:val="nil"/>
              <w:left w:val="nil"/>
              <w:bottom w:val="nil"/>
              <w:right w:val="nil"/>
            </w:tcBorders>
            <w:shd w:val="clear" w:color="auto" w:fill="auto"/>
            <w:noWrap/>
            <w:vAlign w:val="center"/>
            <w:hideMark/>
          </w:tcPr>
          <w:p w14:paraId="2861A9E5" w14:textId="77777777" w:rsidR="00DD531B" w:rsidRPr="00DD531B" w:rsidRDefault="00DD531B" w:rsidP="00DD531B">
            <w:pPr>
              <w:spacing w:after="0" w:line="276" w:lineRule="auto"/>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Rozpočtové rezervy</w:t>
            </w:r>
          </w:p>
        </w:tc>
        <w:tc>
          <w:tcPr>
            <w:tcW w:w="884" w:type="dxa"/>
            <w:tcBorders>
              <w:top w:val="nil"/>
              <w:left w:val="nil"/>
              <w:bottom w:val="nil"/>
              <w:right w:val="nil"/>
            </w:tcBorders>
            <w:shd w:val="clear" w:color="auto" w:fill="auto"/>
            <w:vAlign w:val="center"/>
            <w:hideMark/>
          </w:tcPr>
          <w:p w14:paraId="45BF7E59"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277 613</w:t>
            </w:r>
          </w:p>
        </w:tc>
        <w:tc>
          <w:tcPr>
            <w:tcW w:w="884" w:type="dxa"/>
            <w:tcBorders>
              <w:top w:val="nil"/>
              <w:left w:val="nil"/>
              <w:bottom w:val="nil"/>
              <w:right w:val="nil"/>
            </w:tcBorders>
            <w:shd w:val="clear" w:color="auto" w:fill="auto"/>
            <w:vAlign w:val="center"/>
            <w:hideMark/>
          </w:tcPr>
          <w:p w14:paraId="5E5EF319"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4 588</w:t>
            </w:r>
          </w:p>
        </w:tc>
        <w:tc>
          <w:tcPr>
            <w:tcW w:w="884" w:type="dxa"/>
            <w:tcBorders>
              <w:top w:val="nil"/>
              <w:left w:val="nil"/>
              <w:bottom w:val="nil"/>
              <w:right w:val="nil"/>
            </w:tcBorders>
            <w:shd w:val="clear" w:color="auto" w:fill="auto"/>
            <w:vAlign w:val="center"/>
            <w:hideMark/>
          </w:tcPr>
          <w:p w14:paraId="7BA0ECF5"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2 446 524</w:t>
            </w:r>
          </w:p>
        </w:tc>
        <w:tc>
          <w:tcPr>
            <w:tcW w:w="884" w:type="dxa"/>
            <w:tcBorders>
              <w:top w:val="nil"/>
              <w:left w:val="nil"/>
              <w:bottom w:val="nil"/>
              <w:right w:val="nil"/>
            </w:tcBorders>
            <w:shd w:val="clear" w:color="auto" w:fill="auto"/>
            <w:vAlign w:val="center"/>
            <w:hideMark/>
          </w:tcPr>
          <w:p w14:paraId="67AF5BE7"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156 140</w:t>
            </w:r>
          </w:p>
        </w:tc>
        <w:tc>
          <w:tcPr>
            <w:tcW w:w="884" w:type="dxa"/>
            <w:tcBorders>
              <w:top w:val="nil"/>
              <w:left w:val="nil"/>
              <w:bottom w:val="nil"/>
              <w:right w:val="nil"/>
            </w:tcBorders>
            <w:shd w:val="clear" w:color="auto" w:fill="auto"/>
            <w:vAlign w:val="center"/>
            <w:hideMark/>
          </w:tcPr>
          <w:p w14:paraId="4D659225"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2 492 513</w:t>
            </w:r>
          </w:p>
        </w:tc>
        <w:tc>
          <w:tcPr>
            <w:tcW w:w="884" w:type="dxa"/>
            <w:tcBorders>
              <w:top w:val="nil"/>
              <w:left w:val="nil"/>
              <w:bottom w:val="nil"/>
              <w:right w:val="nil"/>
            </w:tcBorders>
            <w:shd w:val="clear" w:color="auto" w:fill="auto"/>
            <w:vAlign w:val="center"/>
            <w:hideMark/>
          </w:tcPr>
          <w:p w14:paraId="4CA47E7E"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1 460 628</w:t>
            </w:r>
          </w:p>
        </w:tc>
        <w:tc>
          <w:tcPr>
            <w:tcW w:w="884" w:type="dxa"/>
            <w:tcBorders>
              <w:top w:val="nil"/>
              <w:left w:val="nil"/>
              <w:bottom w:val="nil"/>
              <w:right w:val="nil"/>
            </w:tcBorders>
            <w:shd w:val="clear" w:color="auto" w:fill="auto"/>
            <w:vAlign w:val="center"/>
            <w:hideMark/>
          </w:tcPr>
          <w:p w14:paraId="5D957493"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1 756 709</w:t>
            </w:r>
          </w:p>
        </w:tc>
      </w:tr>
      <w:tr w:rsidR="00DD531B" w:rsidRPr="00DD531B" w14:paraId="06F13872" w14:textId="77777777" w:rsidTr="001F24AE">
        <w:trPr>
          <w:trHeight w:val="275"/>
        </w:trPr>
        <w:tc>
          <w:tcPr>
            <w:tcW w:w="2820" w:type="dxa"/>
            <w:tcBorders>
              <w:top w:val="nil"/>
              <w:left w:val="nil"/>
              <w:bottom w:val="nil"/>
              <w:right w:val="nil"/>
            </w:tcBorders>
            <w:shd w:val="clear" w:color="auto" w:fill="auto"/>
            <w:vAlign w:val="center"/>
            <w:hideMark/>
          </w:tcPr>
          <w:p w14:paraId="022F412C" w14:textId="77777777" w:rsidR="00DD531B" w:rsidRPr="00DD531B" w:rsidRDefault="00DD531B" w:rsidP="00DD531B">
            <w:pPr>
              <w:spacing w:after="0" w:line="276" w:lineRule="auto"/>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Rezerva vlády</w:t>
            </w:r>
          </w:p>
        </w:tc>
        <w:tc>
          <w:tcPr>
            <w:tcW w:w="884" w:type="dxa"/>
            <w:tcBorders>
              <w:top w:val="nil"/>
              <w:left w:val="nil"/>
              <w:bottom w:val="nil"/>
              <w:right w:val="nil"/>
            </w:tcBorders>
            <w:shd w:val="clear" w:color="auto" w:fill="auto"/>
            <w:vAlign w:val="center"/>
            <w:hideMark/>
          </w:tcPr>
          <w:p w14:paraId="69E3E862"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242</w:t>
            </w:r>
          </w:p>
        </w:tc>
        <w:tc>
          <w:tcPr>
            <w:tcW w:w="884" w:type="dxa"/>
            <w:tcBorders>
              <w:top w:val="nil"/>
              <w:left w:val="nil"/>
              <w:bottom w:val="nil"/>
              <w:right w:val="nil"/>
            </w:tcBorders>
            <w:shd w:val="clear" w:color="auto" w:fill="auto"/>
            <w:vAlign w:val="center"/>
            <w:hideMark/>
          </w:tcPr>
          <w:p w14:paraId="6756E8AB"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1 100</w:t>
            </w:r>
          </w:p>
        </w:tc>
        <w:tc>
          <w:tcPr>
            <w:tcW w:w="884" w:type="dxa"/>
            <w:tcBorders>
              <w:top w:val="nil"/>
              <w:left w:val="nil"/>
              <w:bottom w:val="nil"/>
              <w:right w:val="nil"/>
            </w:tcBorders>
            <w:shd w:val="clear" w:color="auto" w:fill="auto"/>
            <w:vAlign w:val="center"/>
            <w:hideMark/>
          </w:tcPr>
          <w:p w14:paraId="0C28DCA3"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5 000</w:t>
            </w:r>
          </w:p>
        </w:tc>
        <w:tc>
          <w:tcPr>
            <w:tcW w:w="884" w:type="dxa"/>
            <w:tcBorders>
              <w:top w:val="nil"/>
              <w:left w:val="nil"/>
              <w:bottom w:val="nil"/>
              <w:right w:val="nil"/>
            </w:tcBorders>
            <w:shd w:val="clear" w:color="auto" w:fill="auto"/>
            <w:vAlign w:val="center"/>
            <w:hideMark/>
          </w:tcPr>
          <w:p w14:paraId="16A51E00"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4 880</w:t>
            </w:r>
          </w:p>
        </w:tc>
        <w:tc>
          <w:tcPr>
            <w:tcW w:w="884" w:type="dxa"/>
            <w:tcBorders>
              <w:top w:val="nil"/>
              <w:left w:val="nil"/>
              <w:bottom w:val="nil"/>
              <w:right w:val="nil"/>
            </w:tcBorders>
            <w:shd w:val="clear" w:color="auto" w:fill="auto"/>
            <w:vAlign w:val="center"/>
            <w:hideMark/>
          </w:tcPr>
          <w:p w14:paraId="577CB619"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5 000</w:t>
            </w:r>
          </w:p>
        </w:tc>
        <w:tc>
          <w:tcPr>
            <w:tcW w:w="884" w:type="dxa"/>
            <w:tcBorders>
              <w:top w:val="nil"/>
              <w:left w:val="nil"/>
              <w:bottom w:val="nil"/>
              <w:right w:val="nil"/>
            </w:tcBorders>
            <w:shd w:val="clear" w:color="auto" w:fill="auto"/>
            <w:vAlign w:val="center"/>
            <w:hideMark/>
          </w:tcPr>
          <w:p w14:paraId="6662BD96"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5 000</w:t>
            </w:r>
          </w:p>
        </w:tc>
        <w:tc>
          <w:tcPr>
            <w:tcW w:w="884" w:type="dxa"/>
            <w:tcBorders>
              <w:top w:val="nil"/>
              <w:left w:val="nil"/>
              <w:bottom w:val="nil"/>
              <w:right w:val="nil"/>
            </w:tcBorders>
            <w:shd w:val="clear" w:color="auto" w:fill="auto"/>
            <w:vAlign w:val="center"/>
            <w:hideMark/>
          </w:tcPr>
          <w:p w14:paraId="751021E5"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5 000</w:t>
            </w:r>
          </w:p>
        </w:tc>
      </w:tr>
      <w:tr w:rsidR="00DD531B" w:rsidRPr="00DD531B" w14:paraId="05B55B20" w14:textId="77777777" w:rsidTr="001F24AE">
        <w:trPr>
          <w:trHeight w:val="275"/>
        </w:trPr>
        <w:tc>
          <w:tcPr>
            <w:tcW w:w="2820" w:type="dxa"/>
            <w:tcBorders>
              <w:top w:val="nil"/>
              <w:left w:val="nil"/>
              <w:bottom w:val="nil"/>
              <w:right w:val="nil"/>
            </w:tcBorders>
            <w:shd w:val="clear" w:color="auto" w:fill="auto"/>
            <w:vAlign w:val="center"/>
            <w:hideMark/>
          </w:tcPr>
          <w:p w14:paraId="6F0F1067" w14:textId="77777777" w:rsidR="00DD531B" w:rsidRPr="00DD531B" w:rsidRDefault="00DD531B" w:rsidP="00DD531B">
            <w:pPr>
              <w:spacing w:after="0" w:line="276" w:lineRule="auto"/>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Rezerva na prostriedky EÚ a odvody EÚ</w:t>
            </w:r>
          </w:p>
        </w:tc>
        <w:tc>
          <w:tcPr>
            <w:tcW w:w="884" w:type="dxa"/>
            <w:tcBorders>
              <w:top w:val="nil"/>
              <w:left w:val="nil"/>
              <w:bottom w:val="nil"/>
              <w:right w:val="nil"/>
            </w:tcBorders>
            <w:shd w:val="clear" w:color="auto" w:fill="auto"/>
            <w:vAlign w:val="center"/>
            <w:hideMark/>
          </w:tcPr>
          <w:p w14:paraId="2FF538F4"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277 251</w:t>
            </w:r>
          </w:p>
        </w:tc>
        <w:tc>
          <w:tcPr>
            <w:tcW w:w="884" w:type="dxa"/>
            <w:tcBorders>
              <w:top w:val="nil"/>
              <w:left w:val="nil"/>
              <w:bottom w:val="nil"/>
              <w:right w:val="nil"/>
            </w:tcBorders>
            <w:shd w:val="clear" w:color="auto" w:fill="auto"/>
            <w:vAlign w:val="center"/>
            <w:hideMark/>
          </w:tcPr>
          <w:p w14:paraId="6D96B417"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c>
          <w:tcPr>
            <w:tcW w:w="884" w:type="dxa"/>
            <w:tcBorders>
              <w:top w:val="nil"/>
              <w:left w:val="nil"/>
              <w:bottom w:val="nil"/>
              <w:right w:val="nil"/>
            </w:tcBorders>
            <w:shd w:val="clear" w:color="auto" w:fill="auto"/>
            <w:vAlign w:val="center"/>
            <w:hideMark/>
          </w:tcPr>
          <w:p w14:paraId="4987D330"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404 870</w:t>
            </w:r>
          </w:p>
        </w:tc>
        <w:tc>
          <w:tcPr>
            <w:tcW w:w="884" w:type="dxa"/>
            <w:tcBorders>
              <w:top w:val="nil"/>
              <w:left w:val="nil"/>
              <w:bottom w:val="nil"/>
              <w:right w:val="nil"/>
            </w:tcBorders>
            <w:shd w:val="clear" w:color="auto" w:fill="auto"/>
            <w:vAlign w:val="center"/>
            <w:hideMark/>
          </w:tcPr>
          <w:p w14:paraId="7ABDA396"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76 319</w:t>
            </w:r>
          </w:p>
        </w:tc>
        <w:tc>
          <w:tcPr>
            <w:tcW w:w="884" w:type="dxa"/>
            <w:tcBorders>
              <w:top w:val="nil"/>
              <w:left w:val="nil"/>
              <w:bottom w:val="nil"/>
              <w:right w:val="nil"/>
            </w:tcBorders>
            <w:shd w:val="clear" w:color="auto" w:fill="auto"/>
            <w:vAlign w:val="center"/>
            <w:hideMark/>
          </w:tcPr>
          <w:p w14:paraId="5839B8D0"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249 370</w:t>
            </w:r>
          </w:p>
        </w:tc>
        <w:tc>
          <w:tcPr>
            <w:tcW w:w="884" w:type="dxa"/>
            <w:tcBorders>
              <w:top w:val="nil"/>
              <w:left w:val="nil"/>
              <w:bottom w:val="nil"/>
              <w:right w:val="nil"/>
            </w:tcBorders>
            <w:shd w:val="clear" w:color="auto" w:fill="auto"/>
            <w:vAlign w:val="center"/>
            <w:hideMark/>
          </w:tcPr>
          <w:p w14:paraId="3973DF33"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c>
          <w:tcPr>
            <w:tcW w:w="884" w:type="dxa"/>
            <w:tcBorders>
              <w:top w:val="nil"/>
              <w:left w:val="nil"/>
              <w:bottom w:val="nil"/>
              <w:right w:val="nil"/>
            </w:tcBorders>
            <w:shd w:val="clear" w:color="auto" w:fill="auto"/>
            <w:vAlign w:val="center"/>
            <w:hideMark/>
          </w:tcPr>
          <w:p w14:paraId="2D4686FD"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r>
      <w:tr w:rsidR="00DD531B" w:rsidRPr="00DD531B" w14:paraId="5935A7DA" w14:textId="77777777" w:rsidTr="001F24AE">
        <w:trPr>
          <w:trHeight w:val="275"/>
        </w:trPr>
        <w:tc>
          <w:tcPr>
            <w:tcW w:w="2820" w:type="dxa"/>
            <w:tcBorders>
              <w:top w:val="nil"/>
              <w:left w:val="nil"/>
              <w:bottom w:val="nil"/>
              <w:right w:val="nil"/>
            </w:tcBorders>
            <w:shd w:val="clear" w:color="auto" w:fill="auto"/>
            <w:vAlign w:val="center"/>
            <w:hideMark/>
          </w:tcPr>
          <w:p w14:paraId="19758B7B" w14:textId="77777777" w:rsidR="00DD531B" w:rsidRPr="00DD531B" w:rsidRDefault="00DD531B" w:rsidP="00DD531B">
            <w:pPr>
              <w:spacing w:after="0" w:line="276" w:lineRule="auto"/>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Rezerva na riešenie vplyvov legislatívnych zmien</w:t>
            </w:r>
          </w:p>
        </w:tc>
        <w:tc>
          <w:tcPr>
            <w:tcW w:w="884" w:type="dxa"/>
            <w:tcBorders>
              <w:top w:val="nil"/>
              <w:left w:val="nil"/>
              <w:bottom w:val="nil"/>
              <w:right w:val="nil"/>
            </w:tcBorders>
            <w:shd w:val="clear" w:color="auto" w:fill="auto"/>
            <w:vAlign w:val="center"/>
            <w:hideMark/>
          </w:tcPr>
          <w:p w14:paraId="4D74B1A5"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c>
          <w:tcPr>
            <w:tcW w:w="884" w:type="dxa"/>
            <w:tcBorders>
              <w:top w:val="nil"/>
              <w:left w:val="nil"/>
              <w:bottom w:val="nil"/>
              <w:right w:val="nil"/>
            </w:tcBorders>
            <w:shd w:val="clear" w:color="auto" w:fill="auto"/>
            <w:vAlign w:val="center"/>
            <w:hideMark/>
          </w:tcPr>
          <w:p w14:paraId="10CFD71E"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c>
          <w:tcPr>
            <w:tcW w:w="884" w:type="dxa"/>
            <w:tcBorders>
              <w:top w:val="nil"/>
              <w:left w:val="nil"/>
              <w:bottom w:val="nil"/>
              <w:right w:val="nil"/>
            </w:tcBorders>
            <w:shd w:val="clear" w:color="auto" w:fill="auto"/>
            <w:vAlign w:val="center"/>
            <w:hideMark/>
          </w:tcPr>
          <w:p w14:paraId="107C5B04"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857 992</w:t>
            </w:r>
          </w:p>
        </w:tc>
        <w:tc>
          <w:tcPr>
            <w:tcW w:w="884" w:type="dxa"/>
            <w:tcBorders>
              <w:top w:val="nil"/>
              <w:left w:val="nil"/>
              <w:bottom w:val="nil"/>
              <w:right w:val="nil"/>
            </w:tcBorders>
            <w:shd w:val="clear" w:color="auto" w:fill="auto"/>
            <w:vAlign w:val="center"/>
            <w:hideMark/>
          </w:tcPr>
          <w:p w14:paraId="0DBC5603"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42 227</w:t>
            </w:r>
          </w:p>
        </w:tc>
        <w:tc>
          <w:tcPr>
            <w:tcW w:w="884" w:type="dxa"/>
            <w:tcBorders>
              <w:top w:val="nil"/>
              <w:left w:val="nil"/>
              <w:bottom w:val="nil"/>
              <w:right w:val="nil"/>
            </w:tcBorders>
            <w:shd w:val="clear" w:color="auto" w:fill="auto"/>
            <w:vAlign w:val="center"/>
            <w:hideMark/>
          </w:tcPr>
          <w:p w14:paraId="0D3C755A"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1 231 719</w:t>
            </w:r>
          </w:p>
        </w:tc>
        <w:tc>
          <w:tcPr>
            <w:tcW w:w="884" w:type="dxa"/>
            <w:tcBorders>
              <w:top w:val="nil"/>
              <w:left w:val="nil"/>
              <w:bottom w:val="nil"/>
              <w:right w:val="nil"/>
            </w:tcBorders>
            <w:shd w:val="clear" w:color="auto" w:fill="auto"/>
            <w:vAlign w:val="center"/>
            <w:hideMark/>
          </w:tcPr>
          <w:p w14:paraId="636EC360"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1 027 302</w:t>
            </w:r>
          </w:p>
        </w:tc>
        <w:tc>
          <w:tcPr>
            <w:tcW w:w="884" w:type="dxa"/>
            <w:tcBorders>
              <w:top w:val="nil"/>
              <w:left w:val="nil"/>
              <w:bottom w:val="nil"/>
              <w:right w:val="nil"/>
            </w:tcBorders>
            <w:shd w:val="clear" w:color="auto" w:fill="auto"/>
            <w:vAlign w:val="center"/>
            <w:hideMark/>
          </w:tcPr>
          <w:p w14:paraId="2B4A373B"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1 099 406</w:t>
            </w:r>
          </w:p>
        </w:tc>
      </w:tr>
      <w:tr w:rsidR="00DD531B" w:rsidRPr="00DD531B" w14:paraId="4806A605" w14:textId="77777777" w:rsidTr="001F24AE">
        <w:trPr>
          <w:trHeight w:val="539"/>
        </w:trPr>
        <w:tc>
          <w:tcPr>
            <w:tcW w:w="2820" w:type="dxa"/>
            <w:tcBorders>
              <w:top w:val="nil"/>
              <w:left w:val="nil"/>
              <w:bottom w:val="nil"/>
              <w:right w:val="nil"/>
            </w:tcBorders>
            <w:shd w:val="clear" w:color="auto" w:fill="auto"/>
            <w:vAlign w:val="center"/>
            <w:hideMark/>
          </w:tcPr>
          <w:p w14:paraId="7A7532BA" w14:textId="77777777" w:rsidR="00DD531B" w:rsidRPr="00DD531B" w:rsidRDefault="00DD531B" w:rsidP="00DD531B">
            <w:pPr>
              <w:spacing w:after="0" w:line="276" w:lineRule="auto"/>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Rezerva na riešenie krízových situácií mimo času vojny a vojnového stavu a vykonávanie povodňových prác</w:t>
            </w:r>
          </w:p>
        </w:tc>
        <w:tc>
          <w:tcPr>
            <w:tcW w:w="884" w:type="dxa"/>
            <w:tcBorders>
              <w:top w:val="nil"/>
              <w:left w:val="nil"/>
              <w:bottom w:val="nil"/>
              <w:right w:val="nil"/>
            </w:tcBorders>
            <w:shd w:val="clear" w:color="auto" w:fill="auto"/>
            <w:vAlign w:val="center"/>
            <w:hideMark/>
          </w:tcPr>
          <w:p w14:paraId="7D281648"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120</w:t>
            </w:r>
          </w:p>
        </w:tc>
        <w:tc>
          <w:tcPr>
            <w:tcW w:w="884" w:type="dxa"/>
            <w:tcBorders>
              <w:top w:val="nil"/>
              <w:left w:val="nil"/>
              <w:bottom w:val="nil"/>
              <w:right w:val="nil"/>
            </w:tcBorders>
            <w:shd w:val="clear" w:color="auto" w:fill="auto"/>
            <w:vAlign w:val="center"/>
            <w:hideMark/>
          </w:tcPr>
          <w:p w14:paraId="05EBCD28"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c>
          <w:tcPr>
            <w:tcW w:w="884" w:type="dxa"/>
            <w:tcBorders>
              <w:top w:val="nil"/>
              <w:left w:val="nil"/>
              <w:bottom w:val="nil"/>
              <w:right w:val="nil"/>
            </w:tcBorders>
            <w:shd w:val="clear" w:color="auto" w:fill="auto"/>
            <w:vAlign w:val="center"/>
            <w:hideMark/>
          </w:tcPr>
          <w:p w14:paraId="422A3AE4"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21 000</w:t>
            </w:r>
          </w:p>
        </w:tc>
        <w:tc>
          <w:tcPr>
            <w:tcW w:w="884" w:type="dxa"/>
            <w:tcBorders>
              <w:top w:val="nil"/>
              <w:left w:val="nil"/>
              <w:bottom w:val="nil"/>
              <w:right w:val="nil"/>
            </w:tcBorders>
            <w:shd w:val="clear" w:color="auto" w:fill="auto"/>
            <w:vAlign w:val="center"/>
            <w:hideMark/>
          </w:tcPr>
          <w:p w14:paraId="692221FB"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6 689</w:t>
            </w:r>
          </w:p>
        </w:tc>
        <w:tc>
          <w:tcPr>
            <w:tcW w:w="884" w:type="dxa"/>
            <w:tcBorders>
              <w:top w:val="nil"/>
              <w:left w:val="nil"/>
              <w:bottom w:val="nil"/>
              <w:right w:val="nil"/>
            </w:tcBorders>
            <w:shd w:val="clear" w:color="auto" w:fill="auto"/>
            <w:vAlign w:val="center"/>
            <w:hideMark/>
          </w:tcPr>
          <w:p w14:paraId="5D7E7C43"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21 000</w:t>
            </w:r>
          </w:p>
        </w:tc>
        <w:tc>
          <w:tcPr>
            <w:tcW w:w="884" w:type="dxa"/>
            <w:tcBorders>
              <w:top w:val="nil"/>
              <w:left w:val="nil"/>
              <w:bottom w:val="nil"/>
              <w:right w:val="nil"/>
            </w:tcBorders>
            <w:shd w:val="clear" w:color="auto" w:fill="auto"/>
            <w:vAlign w:val="center"/>
            <w:hideMark/>
          </w:tcPr>
          <w:p w14:paraId="58720DA0"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21 000</w:t>
            </w:r>
          </w:p>
        </w:tc>
        <w:tc>
          <w:tcPr>
            <w:tcW w:w="884" w:type="dxa"/>
            <w:tcBorders>
              <w:top w:val="nil"/>
              <w:left w:val="nil"/>
              <w:bottom w:val="nil"/>
              <w:right w:val="nil"/>
            </w:tcBorders>
            <w:shd w:val="clear" w:color="auto" w:fill="auto"/>
            <w:vAlign w:val="center"/>
            <w:hideMark/>
          </w:tcPr>
          <w:p w14:paraId="2A81938F"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21 000</w:t>
            </w:r>
          </w:p>
        </w:tc>
      </w:tr>
      <w:tr w:rsidR="00DD531B" w:rsidRPr="00DD531B" w14:paraId="6BB1AC34" w14:textId="77777777" w:rsidTr="001F24AE">
        <w:trPr>
          <w:trHeight w:val="376"/>
        </w:trPr>
        <w:tc>
          <w:tcPr>
            <w:tcW w:w="2820" w:type="dxa"/>
            <w:tcBorders>
              <w:top w:val="nil"/>
              <w:left w:val="nil"/>
              <w:bottom w:val="nil"/>
              <w:right w:val="nil"/>
            </w:tcBorders>
            <w:shd w:val="clear" w:color="auto" w:fill="auto"/>
            <w:vAlign w:val="center"/>
            <w:hideMark/>
          </w:tcPr>
          <w:p w14:paraId="421BFC30" w14:textId="77777777" w:rsidR="00DD531B" w:rsidRPr="00DD531B" w:rsidRDefault="00DD531B" w:rsidP="00DD531B">
            <w:pPr>
              <w:spacing w:after="0" w:line="276" w:lineRule="auto"/>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 xml:space="preserve">Rezerva na realizáciu súdnych a exekučných rozhodnutí </w:t>
            </w:r>
          </w:p>
        </w:tc>
        <w:tc>
          <w:tcPr>
            <w:tcW w:w="884" w:type="dxa"/>
            <w:tcBorders>
              <w:top w:val="nil"/>
              <w:left w:val="nil"/>
              <w:bottom w:val="nil"/>
              <w:right w:val="nil"/>
            </w:tcBorders>
            <w:shd w:val="clear" w:color="auto" w:fill="auto"/>
            <w:vAlign w:val="center"/>
            <w:hideMark/>
          </w:tcPr>
          <w:p w14:paraId="46A68645"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c>
          <w:tcPr>
            <w:tcW w:w="884" w:type="dxa"/>
            <w:tcBorders>
              <w:top w:val="nil"/>
              <w:left w:val="nil"/>
              <w:bottom w:val="nil"/>
              <w:right w:val="nil"/>
            </w:tcBorders>
            <w:shd w:val="clear" w:color="auto" w:fill="auto"/>
            <w:vAlign w:val="center"/>
            <w:hideMark/>
          </w:tcPr>
          <w:p w14:paraId="7D79CDD1"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c>
          <w:tcPr>
            <w:tcW w:w="884" w:type="dxa"/>
            <w:tcBorders>
              <w:top w:val="nil"/>
              <w:left w:val="nil"/>
              <w:bottom w:val="nil"/>
              <w:right w:val="nil"/>
            </w:tcBorders>
            <w:shd w:val="clear" w:color="auto" w:fill="auto"/>
            <w:vAlign w:val="center"/>
            <w:hideMark/>
          </w:tcPr>
          <w:p w14:paraId="44D9D970"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10 000</w:t>
            </w:r>
          </w:p>
        </w:tc>
        <w:tc>
          <w:tcPr>
            <w:tcW w:w="884" w:type="dxa"/>
            <w:tcBorders>
              <w:top w:val="nil"/>
              <w:left w:val="nil"/>
              <w:bottom w:val="nil"/>
              <w:right w:val="nil"/>
            </w:tcBorders>
            <w:shd w:val="clear" w:color="auto" w:fill="auto"/>
            <w:vAlign w:val="center"/>
            <w:hideMark/>
          </w:tcPr>
          <w:p w14:paraId="74778A1B"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7 354</w:t>
            </w:r>
          </w:p>
        </w:tc>
        <w:tc>
          <w:tcPr>
            <w:tcW w:w="884" w:type="dxa"/>
            <w:tcBorders>
              <w:top w:val="nil"/>
              <w:left w:val="nil"/>
              <w:bottom w:val="nil"/>
              <w:right w:val="nil"/>
            </w:tcBorders>
            <w:shd w:val="clear" w:color="auto" w:fill="auto"/>
            <w:vAlign w:val="center"/>
            <w:hideMark/>
          </w:tcPr>
          <w:p w14:paraId="28FA27A5"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10 000</w:t>
            </w:r>
          </w:p>
        </w:tc>
        <w:tc>
          <w:tcPr>
            <w:tcW w:w="884" w:type="dxa"/>
            <w:tcBorders>
              <w:top w:val="nil"/>
              <w:left w:val="nil"/>
              <w:bottom w:val="nil"/>
              <w:right w:val="nil"/>
            </w:tcBorders>
            <w:shd w:val="clear" w:color="auto" w:fill="auto"/>
            <w:vAlign w:val="center"/>
            <w:hideMark/>
          </w:tcPr>
          <w:p w14:paraId="1FCFA5E8"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10 000</w:t>
            </w:r>
          </w:p>
        </w:tc>
        <w:tc>
          <w:tcPr>
            <w:tcW w:w="884" w:type="dxa"/>
            <w:tcBorders>
              <w:top w:val="nil"/>
              <w:left w:val="nil"/>
              <w:bottom w:val="nil"/>
              <w:right w:val="nil"/>
            </w:tcBorders>
            <w:shd w:val="clear" w:color="auto" w:fill="auto"/>
            <w:vAlign w:val="center"/>
            <w:hideMark/>
          </w:tcPr>
          <w:p w14:paraId="7C1C7B43"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10 000</w:t>
            </w:r>
          </w:p>
        </w:tc>
      </w:tr>
      <w:tr w:rsidR="00DD531B" w:rsidRPr="00DD531B" w14:paraId="52E1DBA5" w14:textId="77777777" w:rsidTr="001F24AE">
        <w:trPr>
          <w:trHeight w:val="275"/>
        </w:trPr>
        <w:tc>
          <w:tcPr>
            <w:tcW w:w="2820" w:type="dxa"/>
            <w:tcBorders>
              <w:top w:val="nil"/>
              <w:left w:val="nil"/>
              <w:bottom w:val="nil"/>
              <w:right w:val="nil"/>
            </w:tcBorders>
            <w:shd w:val="clear" w:color="auto" w:fill="auto"/>
            <w:vAlign w:val="center"/>
            <w:hideMark/>
          </w:tcPr>
          <w:p w14:paraId="1A283244" w14:textId="77777777" w:rsidR="00DD531B" w:rsidRPr="00DD531B" w:rsidRDefault="00DD531B" w:rsidP="00DD531B">
            <w:pPr>
              <w:spacing w:after="0" w:line="276" w:lineRule="auto"/>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Rezerva na mzdy a poistné</w:t>
            </w:r>
          </w:p>
        </w:tc>
        <w:tc>
          <w:tcPr>
            <w:tcW w:w="884" w:type="dxa"/>
            <w:tcBorders>
              <w:top w:val="nil"/>
              <w:left w:val="nil"/>
              <w:bottom w:val="nil"/>
              <w:right w:val="nil"/>
            </w:tcBorders>
            <w:shd w:val="clear" w:color="auto" w:fill="auto"/>
            <w:vAlign w:val="center"/>
            <w:hideMark/>
          </w:tcPr>
          <w:p w14:paraId="131D196C"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c>
          <w:tcPr>
            <w:tcW w:w="884" w:type="dxa"/>
            <w:tcBorders>
              <w:top w:val="nil"/>
              <w:left w:val="nil"/>
              <w:bottom w:val="nil"/>
              <w:right w:val="nil"/>
            </w:tcBorders>
            <w:shd w:val="clear" w:color="auto" w:fill="auto"/>
            <w:vAlign w:val="center"/>
            <w:hideMark/>
          </w:tcPr>
          <w:p w14:paraId="5E64F8FB"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c>
          <w:tcPr>
            <w:tcW w:w="884" w:type="dxa"/>
            <w:tcBorders>
              <w:top w:val="nil"/>
              <w:left w:val="nil"/>
              <w:bottom w:val="nil"/>
              <w:right w:val="nil"/>
            </w:tcBorders>
            <w:shd w:val="clear" w:color="auto" w:fill="auto"/>
            <w:vAlign w:val="center"/>
            <w:hideMark/>
          </w:tcPr>
          <w:p w14:paraId="62B0B097"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187 662</w:t>
            </w:r>
          </w:p>
        </w:tc>
        <w:tc>
          <w:tcPr>
            <w:tcW w:w="884" w:type="dxa"/>
            <w:tcBorders>
              <w:top w:val="nil"/>
              <w:left w:val="nil"/>
              <w:bottom w:val="nil"/>
              <w:right w:val="nil"/>
            </w:tcBorders>
            <w:shd w:val="clear" w:color="auto" w:fill="auto"/>
            <w:vAlign w:val="center"/>
            <w:hideMark/>
          </w:tcPr>
          <w:p w14:paraId="2F7370EA"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13 625</w:t>
            </w:r>
          </w:p>
        </w:tc>
        <w:tc>
          <w:tcPr>
            <w:tcW w:w="884" w:type="dxa"/>
            <w:tcBorders>
              <w:top w:val="nil"/>
              <w:left w:val="nil"/>
              <w:bottom w:val="nil"/>
              <w:right w:val="nil"/>
            </w:tcBorders>
            <w:shd w:val="clear" w:color="auto" w:fill="auto"/>
            <w:vAlign w:val="center"/>
            <w:hideMark/>
          </w:tcPr>
          <w:p w14:paraId="7ABF9599"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175 424</w:t>
            </w:r>
          </w:p>
        </w:tc>
        <w:tc>
          <w:tcPr>
            <w:tcW w:w="884" w:type="dxa"/>
            <w:tcBorders>
              <w:top w:val="nil"/>
              <w:left w:val="nil"/>
              <w:bottom w:val="nil"/>
              <w:right w:val="nil"/>
            </w:tcBorders>
            <w:shd w:val="clear" w:color="auto" w:fill="auto"/>
            <w:vAlign w:val="center"/>
            <w:hideMark/>
          </w:tcPr>
          <w:p w14:paraId="22DB118F"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397 327</w:t>
            </w:r>
          </w:p>
        </w:tc>
        <w:tc>
          <w:tcPr>
            <w:tcW w:w="884" w:type="dxa"/>
            <w:tcBorders>
              <w:top w:val="nil"/>
              <w:left w:val="nil"/>
              <w:bottom w:val="nil"/>
              <w:right w:val="nil"/>
            </w:tcBorders>
            <w:shd w:val="clear" w:color="auto" w:fill="auto"/>
            <w:vAlign w:val="center"/>
            <w:hideMark/>
          </w:tcPr>
          <w:p w14:paraId="493D61E8"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621 303</w:t>
            </w:r>
          </w:p>
        </w:tc>
      </w:tr>
      <w:tr w:rsidR="00DD531B" w:rsidRPr="00DD531B" w14:paraId="6418524A" w14:textId="77777777" w:rsidTr="001F24AE">
        <w:trPr>
          <w:trHeight w:val="376"/>
        </w:trPr>
        <w:tc>
          <w:tcPr>
            <w:tcW w:w="2820" w:type="dxa"/>
            <w:tcBorders>
              <w:top w:val="nil"/>
              <w:left w:val="nil"/>
              <w:bottom w:val="nil"/>
              <w:right w:val="nil"/>
            </w:tcBorders>
            <w:shd w:val="clear" w:color="auto" w:fill="auto"/>
            <w:vAlign w:val="center"/>
            <w:hideMark/>
          </w:tcPr>
          <w:p w14:paraId="3DB42507" w14:textId="77777777" w:rsidR="00DD531B" w:rsidRPr="00DD531B" w:rsidRDefault="00DD531B" w:rsidP="00DD531B">
            <w:pPr>
              <w:spacing w:after="0" w:line="276" w:lineRule="auto"/>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Rezerva na negatívne vplyvy pandémie ochorenia COVID - 19 a výdavky v zdravotníctve</w:t>
            </w:r>
          </w:p>
        </w:tc>
        <w:tc>
          <w:tcPr>
            <w:tcW w:w="884" w:type="dxa"/>
            <w:tcBorders>
              <w:top w:val="nil"/>
              <w:left w:val="nil"/>
              <w:bottom w:val="nil"/>
              <w:right w:val="nil"/>
            </w:tcBorders>
            <w:shd w:val="clear" w:color="auto" w:fill="auto"/>
            <w:vAlign w:val="center"/>
            <w:hideMark/>
          </w:tcPr>
          <w:p w14:paraId="42FD6073"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c>
          <w:tcPr>
            <w:tcW w:w="884" w:type="dxa"/>
            <w:tcBorders>
              <w:top w:val="nil"/>
              <w:left w:val="nil"/>
              <w:bottom w:val="nil"/>
              <w:right w:val="nil"/>
            </w:tcBorders>
            <w:shd w:val="clear" w:color="auto" w:fill="auto"/>
            <w:vAlign w:val="center"/>
            <w:hideMark/>
          </w:tcPr>
          <w:p w14:paraId="0D69ECA1"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3 488</w:t>
            </w:r>
          </w:p>
        </w:tc>
        <w:tc>
          <w:tcPr>
            <w:tcW w:w="884" w:type="dxa"/>
            <w:tcBorders>
              <w:top w:val="nil"/>
              <w:left w:val="nil"/>
              <w:bottom w:val="nil"/>
              <w:right w:val="nil"/>
            </w:tcBorders>
            <w:shd w:val="clear" w:color="auto" w:fill="auto"/>
            <w:vAlign w:val="center"/>
            <w:hideMark/>
          </w:tcPr>
          <w:p w14:paraId="33A78F97"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c>
          <w:tcPr>
            <w:tcW w:w="884" w:type="dxa"/>
            <w:tcBorders>
              <w:top w:val="nil"/>
              <w:left w:val="nil"/>
              <w:bottom w:val="nil"/>
              <w:right w:val="nil"/>
            </w:tcBorders>
            <w:shd w:val="clear" w:color="auto" w:fill="auto"/>
            <w:vAlign w:val="center"/>
            <w:hideMark/>
          </w:tcPr>
          <w:p w14:paraId="3E3C690D"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c>
          <w:tcPr>
            <w:tcW w:w="884" w:type="dxa"/>
            <w:tcBorders>
              <w:top w:val="nil"/>
              <w:left w:val="nil"/>
              <w:bottom w:val="nil"/>
              <w:right w:val="nil"/>
            </w:tcBorders>
            <w:shd w:val="clear" w:color="auto" w:fill="auto"/>
            <w:vAlign w:val="center"/>
            <w:hideMark/>
          </w:tcPr>
          <w:p w14:paraId="2E96DF5B"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c>
          <w:tcPr>
            <w:tcW w:w="884" w:type="dxa"/>
            <w:tcBorders>
              <w:top w:val="nil"/>
              <w:left w:val="nil"/>
              <w:bottom w:val="nil"/>
              <w:right w:val="nil"/>
            </w:tcBorders>
            <w:shd w:val="clear" w:color="auto" w:fill="auto"/>
            <w:vAlign w:val="center"/>
            <w:hideMark/>
          </w:tcPr>
          <w:p w14:paraId="6D037268"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c>
          <w:tcPr>
            <w:tcW w:w="884" w:type="dxa"/>
            <w:tcBorders>
              <w:top w:val="nil"/>
              <w:left w:val="nil"/>
              <w:bottom w:val="nil"/>
              <w:right w:val="nil"/>
            </w:tcBorders>
            <w:shd w:val="clear" w:color="auto" w:fill="auto"/>
            <w:vAlign w:val="center"/>
            <w:hideMark/>
          </w:tcPr>
          <w:p w14:paraId="38490382"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r>
      <w:tr w:rsidR="00DD531B" w:rsidRPr="00DD531B" w14:paraId="479BD753" w14:textId="77777777" w:rsidTr="001F24AE">
        <w:trPr>
          <w:trHeight w:val="376"/>
        </w:trPr>
        <w:tc>
          <w:tcPr>
            <w:tcW w:w="2820" w:type="dxa"/>
            <w:tcBorders>
              <w:top w:val="nil"/>
              <w:left w:val="nil"/>
              <w:bottom w:val="nil"/>
              <w:right w:val="nil"/>
            </w:tcBorders>
            <w:shd w:val="clear" w:color="auto" w:fill="auto"/>
            <w:vAlign w:val="center"/>
            <w:hideMark/>
          </w:tcPr>
          <w:p w14:paraId="1419C657" w14:textId="77777777" w:rsidR="00DD531B" w:rsidRPr="00DD531B" w:rsidRDefault="00DD531B" w:rsidP="00DD531B">
            <w:pPr>
              <w:spacing w:after="0" w:line="276" w:lineRule="auto"/>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Rezerva na výdavky súvisiace s vojnovým konfliktom na Ukrajine</w:t>
            </w:r>
          </w:p>
        </w:tc>
        <w:tc>
          <w:tcPr>
            <w:tcW w:w="884" w:type="dxa"/>
            <w:tcBorders>
              <w:top w:val="nil"/>
              <w:left w:val="nil"/>
              <w:bottom w:val="nil"/>
              <w:right w:val="nil"/>
            </w:tcBorders>
            <w:shd w:val="clear" w:color="auto" w:fill="auto"/>
            <w:vAlign w:val="center"/>
            <w:hideMark/>
          </w:tcPr>
          <w:p w14:paraId="3BDAA8D5"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c>
          <w:tcPr>
            <w:tcW w:w="884" w:type="dxa"/>
            <w:tcBorders>
              <w:top w:val="nil"/>
              <w:left w:val="nil"/>
              <w:bottom w:val="nil"/>
              <w:right w:val="nil"/>
            </w:tcBorders>
            <w:shd w:val="clear" w:color="auto" w:fill="auto"/>
            <w:vAlign w:val="center"/>
            <w:hideMark/>
          </w:tcPr>
          <w:p w14:paraId="4E8BDA2E"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c>
          <w:tcPr>
            <w:tcW w:w="884" w:type="dxa"/>
            <w:tcBorders>
              <w:top w:val="nil"/>
              <w:left w:val="nil"/>
              <w:bottom w:val="nil"/>
              <w:right w:val="nil"/>
            </w:tcBorders>
            <w:shd w:val="clear" w:color="auto" w:fill="auto"/>
            <w:vAlign w:val="center"/>
            <w:hideMark/>
          </w:tcPr>
          <w:p w14:paraId="663DF8A4"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100 000</w:t>
            </w:r>
          </w:p>
        </w:tc>
        <w:tc>
          <w:tcPr>
            <w:tcW w:w="884" w:type="dxa"/>
            <w:tcBorders>
              <w:top w:val="nil"/>
              <w:left w:val="nil"/>
              <w:bottom w:val="nil"/>
              <w:right w:val="nil"/>
            </w:tcBorders>
            <w:shd w:val="clear" w:color="auto" w:fill="auto"/>
            <w:vAlign w:val="center"/>
            <w:hideMark/>
          </w:tcPr>
          <w:p w14:paraId="727894ED"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4 980</w:t>
            </w:r>
          </w:p>
        </w:tc>
        <w:tc>
          <w:tcPr>
            <w:tcW w:w="884" w:type="dxa"/>
            <w:tcBorders>
              <w:top w:val="nil"/>
              <w:left w:val="nil"/>
              <w:bottom w:val="nil"/>
              <w:right w:val="nil"/>
            </w:tcBorders>
            <w:shd w:val="clear" w:color="auto" w:fill="auto"/>
            <w:vAlign w:val="center"/>
            <w:hideMark/>
          </w:tcPr>
          <w:p w14:paraId="16F630C6"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c>
          <w:tcPr>
            <w:tcW w:w="884" w:type="dxa"/>
            <w:tcBorders>
              <w:top w:val="nil"/>
              <w:left w:val="nil"/>
              <w:bottom w:val="nil"/>
              <w:right w:val="nil"/>
            </w:tcBorders>
            <w:shd w:val="clear" w:color="auto" w:fill="auto"/>
            <w:vAlign w:val="center"/>
            <w:hideMark/>
          </w:tcPr>
          <w:p w14:paraId="7DB9EC53"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c>
          <w:tcPr>
            <w:tcW w:w="884" w:type="dxa"/>
            <w:tcBorders>
              <w:top w:val="nil"/>
              <w:left w:val="nil"/>
              <w:bottom w:val="nil"/>
              <w:right w:val="nil"/>
            </w:tcBorders>
            <w:shd w:val="clear" w:color="auto" w:fill="auto"/>
            <w:vAlign w:val="center"/>
            <w:hideMark/>
          </w:tcPr>
          <w:p w14:paraId="60AC2888"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r>
      <w:tr w:rsidR="00DD531B" w:rsidRPr="00DD531B" w14:paraId="052921DA" w14:textId="77777777" w:rsidTr="001F24AE">
        <w:trPr>
          <w:trHeight w:val="376"/>
        </w:trPr>
        <w:tc>
          <w:tcPr>
            <w:tcW w:w="2820" w:type="dxa"/>
            <w:tcBorders>
              <w:top w:val="nil"/>
              <w:left w:val="nil"/>
              <w:bottom w:val="single" w:sz="4" w:space="0" w:color="auto"/>
              <w:right w:val="nil"/>
            </w:tcBorders>
            <w:shd w:val="clear" w:color="auto" w:fill="auto"/>
            <w:vAlign w:val="center"/>
            <w:hideMark/>
          </w:tcPr>
          <w:p w14:paraId="40A076E6" w14:textId="77777777" w:rsidR="00DD531B" w:rsidRPr="00DD531B" w:rsidRDefault="00DD531B" w:rsidP="00DD531B">
            <w:pPr>
              <w:spacing w:after="0" w:line="276" w:lineRule="auto"/>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Rezerva na kompenzačné opatrenia súvisiace s rastom cien energií</w:t>
            </w:r>
          </w:p>
        </w:tc>
        <w:tc>
          <w:tcPr>
            <w:tcW w:w="884" w:type="dxa"/>
            <w:tcBorders>
              <w:top w:val="nil"/>
              <w:left w:val="nil"/>
              <w:bottom w:val="single" w:sz="4" w:space="0" w:color="auto"/>
              <w:right w:val="nil"/>
            </w:tcBorders>
            <w:shd w:val="clear" w:color="auto" w:fill="auto"/>
            <w:vAlign w:val="center"/>
            <w:hideMark/>
          </w:tcPr>
          <w:p w14:paraId="66FE3709"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c>
          <w:tcPr>
            <w:tcW w:w="884" w:type="dxa"/>
            <w:tcBorders>
              <w:top w:val="nil"/>
              <w:left w:val="nil"/>
              <w:bottom w:val="single" w:sz="4" w:space="0" w:color="auto"/>
              <w:right w:val="nil"/>
            </w:tcBorders>
            <w:shd w:val="clear" w:color="auto" w:fill="auto"/>
            <w:vAlign w:val="center"/>
            <w:hideMark/>
          </w:tcPr>
          <w:p w14:paraId="41923A2C"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c>
          <w:tcPr>
            <w:tcW w:w="884" w:type="dxa"/>
            <w:tcBorders>
              <w:top w:val="nil"/>
              <w:left w:val="nil"/>
              <w:bottom w:val="single" w:sz="4" w:space="0" w:color="auto"/>
              <w:right w:val="nil"/>
            </w:tcBorders>
            <w:shd w:val="clear" w:color="auto" w:fill="auto"/>
            <w:vAlign w:val="center"/>
            <w:hideMark/>
          </w:tcPr>
          <w:p w14:paraId="21CE8506"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860 000</w:t>
            </w:r>
          </w:p>
        </w:tc>
        <w:tc>
          <w:tcPr>
            <w:tcW w:w="884" w:type="dxa"/>
            <w:tcBorders>
              <w:top w:val="nil"/>
              <w:left w:val="nil"/>
              <w:bottom w:val="single" w:sz="4" w:space="0" w:color="auto"/>
              <w:right w:val="nil"/>
            </w:tcBorders>
            <w:shd w:val="clear" w:color="auto" w:fill="auto"/>
            <w:vAlign w:val="center"/>
            <w:hideMark/>
          </w:tcPr>
          <w:p w14:paraId="0AD20542"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66</w:t>
            </w:r>
          </w:p>
        </w:tc>
        <w:tc>
          <w:tcPr>
            <w:tcW w:w="884" w:type="dxa"/>
            <w:tcBorders>
              <w:top w:val="nil"/>
              <w:left w:val="nil"/>
              <w:bottom w:val="single" w:sz="4" w:space="0" w:color="auto"/>
              <w:right w:val="nil"/>
            </w:tcBorders>
            <w:shd w:val="clear" w:color="auto" w:fill="auto"/>
            <w:vAlign w:val="center"/>
            <w:hideMark/>
          </w:tcPr>
          <w:p w14:paraId="362072CB"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800 000</w:t>
            </w:r>
          </w:p>
        </w:tc>
        <w:tc>
          <w:tcPr>
            <w:tcW w:w="884" w:type="dxa"/>
            <w:tcBorders>
              <w:top w:val="nil"/>
              <w:left w:val="nil"/>
              <w:bottom w:val="single" w:sz="4" w:space="0" w:color="auto"/>
              <w:right w:val="nil"/>
            </w:tcBorders>
            <w:shd w:val="clear" w:color="auto" w:fill="auto"/>
            <w:vAlign w:val="center"/>
            <w:hideMark/>
          </w:tcPr>
          <w:p w14:paraId="15E0A9F8"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c>
          <w:tcPr>
            <w:tcW w:w="884" w:type="dxa"/>
            <w:tcBorders>
              <w:top w:val="nil"/>
              <w:left w:val="nil"/>
              <w:bottom w:val="single" w:sz="4" w:space="0" w:color="auto"/>
              <w:right w:val="nil"/>
            </w:tcBorders>
            <w:shd w:val="clear" w:color="auto" w:fill="auto"/>
            <w:vAlign w:val="center"/>
            <w:hideMark/>
          </w:tcPr>
          <w:p w14:paraId="66E548DD" w14:textId="77777777" w:rsidR="00DD531B" w:rsidRPr="00DD531B" w:rsidRDefault="00DD531B" w:rsidP="00DD531B">
            <w:pPr>
              <w:spacing w:after="0" w:line="276" w:lineRule="auto"/>
              <w:jc w:val="right"/>
              <w:rPr>
                <w:rFonts w:ascii="Times New Roman" w:eastAsia="Times New Roman" w:hAnsi="Times New Roman" w:cs="Times New Roman"/>
                <w:sz w:val="16"/>
                <w:szCs w:val="16"/>
                <w:lang w:eastAsia="sk-SK"/>
              </w:rPr>
            </w:pPr>
            <w:r w:rsidRPr="00DD531B">
              <w:rPr>
                <w:rFonts w:ascii="Times New Roman" w:eastAsia="Times New Roman" w:hAnsi="Times New Roman" w:cs="Times New Roman"/>
                <w:sz w:val="16"/>
                <w:szCs w:val="16"/>
                <w:lang w:eastAsia="sk-SK"/>
              </w:rPr>
              <w:t>0</w:t>
            </w:r>
          </w:p>
        </w:tc>
      </w:tr>
    </w:tbl>
    <w:p w14:paraId="16045A53" w14:textId="77777777" w:rsidR="00DD531B" w:rsidRPr="00DD531B" w:rsidRDefault="00DD531B" w:rsidP="00DD531B">
      <w:pPr>
        <w:spacing w:after="0" w:line="276" w:lineRule="auto"/>
        <w:ind w:left="7080" w:firstLine="708"/>
        <w:rPr>
          <w:rFonts w:ascii="Times New Roman" w:eastAsia="Times New Roman" w:hAnsi="Times New Roman" w:cs="Times New Roman"/>
          <w:i/>
          <w:iCs/>
          <w:color w:val="000000"/>
          <w:sz w:val="14"/>
          <w:szCs w:val="14"/>
        </w:rPr>
      </w:pPr>
      <w:r w:rsidRPr="00DD531B">
        <w:rPr>
          <w:rFonts w:ascii="Times New Roman" w:eastAsia="Times New Roman" w:hAnsi="Times New Roman" w:cs="Times New Roman"/>
          <w:i/>
          <w:iCs/>
          <w:color w:val="000000"/>
          <w:sz w:val="14"/>
          <w:szCs w:val="14"/>
        </w:rPr>
        <w:t xml:space="preserve">        </w:t>
      </w:r>
      <w:r w:rsidRPr="00DD531B">
        <w:rPr>
          <w:rFonts w:ascii="Times New Roman" w:eastAsia="Times New Roman" w:hAnsi="Times New Roman" w:cs="Times New Roman"/>
          <w:i/>
          <w:iCs/>
          <w:color w:val="000000"/>
          <w:sz w:val="16"/>
          <w:szCs w:val="16"/>
        </w:rPr>
        <w:t>Zdroj: MF SR</w:t>
      </w:r>
      <w:r w:rsidRPr="00DD531B">
        <w:rPr>
          <w:rFonts w:ascii="Times New Roman" w:eastAsia="Times New Roman" w:hAnsi="Times New Roman" w:cs="Times New Roman"/>
          <w:i/>
          <w:iCs/>
          <w:color w:val="000000"/>
          <w:sz w:val="14"/>
          <w:szCs w:val="14"/>
        </w:rPr>
        <w:t xml:space="preserve"> </w:t>
      </w:r>
    </w:p>
    <w:p w14:paraId="4009E97C" w14:textId="77777777" w:rsidR="00DD531B" w:rsidRPr="00DD531B" w:rsidRDefault="00DD531B" w:rsidP="00DD531B">
      <w:pPr>
        <w:spacing w:after="0" w:line="276" w:lineRule="auto"/>
        <w:ind w:left="7080" w:firstLine="708"/>
        <w:rPr>
          <w:rFonts w:ascii="Times New Roman" w:eastAsia="Times New Roman" w:hAnsi="Times New Roman" w:cs="Times New Roman"/>
          <w:i/>
          <w:iCs/>
          <w:color w:val="FF0000"/>
          <w:sz w:val="16"/>
          <w:szCs w:val="16"/>
        </w:rPr>
      </w:pPr>
      <w:r w:rsidRPr="00DD531B">
        <w:rPr>
          <w:rFonts w:ascii="Times New Roman" w:eastAsia="Times New Roman" w:hAnsi="Times New Roman" w:cs="Times New Roman"/>
          <w:i/>
          <w:iCs/>
          <w:color w:val="000000"/>
          <w:sz w:val="14"/>
          <w:szCs w:val="14"/>
        </w:rPr>
        <w:t xml:space="preserve"> </w:t>
      </w:r>
    </w:p>
    <w:p w14:paraId="574F10E3" w14:textId="66B6B991" w:rsidR="00DD531B" w:rsidRPr="00B4559D" w:rsidRDefault="00DD531B" w:rsidP="00DD531B">
      <w:pPr>
        <w:keepNext/>
        <w:spacing w:after="0" w:line="276" w:lineRule="auto"/>
        <w:contextualSpacing/>
        <w:jc w:val="both"/>
        <w:rPr>
          <w:rFonts w:ascii="Times New Roman" w:eastAsia="Calibri" w:hAnsi="Times New Roman" w:cs="Times New Roman"/>
          <w:b/>
          <w:iCs/>
          <w:color w:val="5B9BD5" w:themeColor="accent1"/>
          <w:sz w:val="20"/>
          <w:szCs w:val="20"/>
          <w:lang w:eastAsia="cs-CZ"/>
        </w:rPr>
      </w:pPr>
      <w:bookmarkStart w:id="179" w:name="_Toc152844076"/>
      <w:bookmarkStart w:id="180" w:name="_Toc153014657"/>
      <w:r w:rsidRPr="00B4559D">
        <w:rPr>
          <w:rFonts w:ascii="Times New Roman" w:eastAsia="Calibri" w:hAnsi="Times New Roman" w:cs="Times New Roman"/>
          <w:b/>
          <w:iCs/>
          <w:color w:val="5B9BD5" w:themeColor="accent1"/>
          <w:sz w:val="20"/>
          <w:szCs w:val="20"/>
          <w:lang w:eastAsia="cs-CZ"/>
        </w:rPr>
        <w:lastRenderedPageBreak/>
        <w:t xml:space="preserve">Graf </w:t>
      </w:r>
      <w:r w:rsidR="00B4559D" w:rsidRPr="00B4559D">
        <w:rPr>
          <w:rFonts w:ascii="Times New Roman" w:eastAsia="Calibri" w:hAnsi="Times New Roman" w:cs="Times New Roman"/>
          <w:b/>
          <w:iCs/>
          <w:color w:val="5B9BD5" w:themeColor="accent1"/>
          <w:sz w:val="20"/>
          <w:szCs w:val="20"/>
        </w:rPr>
        <w:fldChar w:fldCharType="begin"/>
      </w:r>
      <w:r w:rsidR="00B4559D" w:rsidRPr="00B4559D">
        <w:rPr>
          <w:rFonts w:ascii="Times New Roman" w:eastAsia="Calibri" w:hAnsi="Times New Roman" w:cs="Times New Roman"/>
          <w:b/>
          <w:iCs/>
          <w:color w:val="5B9BD5" w:themeColor="accent1"/>
          <w:sz w:val="20"/>
          <w:szCs w:val="20"/>
        </w:rPr>
        <w:instrText xml:space="preserve"> SEQ Obrázok \* ARABIC </w:instrText>
      </w:r>
      <w:r w:rsidR="00B4559D" w:rsidRPr="00B4559D">
        <w:rPr>
          <w:rFonts w:ascii="Times New Roman" w:eastAsia="Calibri" w:hAnsi="Times New Roman" w:cs="Times New Roman"/>
          <w:b/>
          <w:iCs/>
          <w:color w:val="5B9BD5" w:themeColor="accent1"/>
          <w:sz w:val="20"/>
          <w:szCs w:val="20"/>
        </w:rPr>
        <w:fldChar w:fldCharType="separate"/>
      </w:r>
      <w:r w:rsidR="003D5A3A">
        <w:rPr>
          <w:rFonts w:ascii="Times New Roman" w:eastAsia="Calibri" w:hAnsi="Times New Roman" w:cs="Times New Roman"/>
          <w:b/>
          <w:iCs/>
          <w:noProof/>
          <w:color w:val="5B9BD5" w:themeColor="accent1"/>
          <w:sz w:val="20"/>
          <w:szCs w:val="20"/>
        </w:rPr>
        <w:t>10</w:t>
      </w:r>
      <w:r w:rsidR="00B4559D" w:rsidRPr="00B4559D">
        <w:rPr>
          <w:rFonts w:ascii="Times New Roman" w:eastAsia="Calibri" w:hAnsi="Times New Roman" w:cs="Times New Roman"/>
          <w:b/>
          <w:iCs/>
          <w:color w:val="5B9BD5" w:themeColor="accent1"/>
          <w:sz w:val="20"/>
          <w:szCs w:val="20"/>
        </w:rPr>
        <w:fldChar w:fldCharType="end"/>
      </w:r>
      <w:r w:rsidR="00B4559D" w:rsidRPr="00B4559D">
        <w:rPr>
          <w:rFonts w:ascii="Times New Roman" w:eastAsia="Calibri" w:hAnsi="Times New Roman" w:cs="Times New Roman"/>
          <w:b/>
          <w:iCs/>
          <w:color w:val="5B9BD5" w:themeColor="accent1"/>
          <w:sz w:val="20"/>
          <w:szCs w:val="20"/>
        </w:rPr>
        <w:t xml:space="preserve"> -</w:t>
      </w:r>
      <w:r w:rsidRPr="00B4559D">
        <w:rPr>
          <w:rFonts w:ascii="Times New Roman" w:eastAsia="Calibri" w:hAnsi="Times New Roman" w:cs="Times New Roman"/>
          <w:b/>
          <w:iCs/>
          <w:color w:val="5B9BD5" w:themeColor="accent1"/>
          <w:sz w:val="20"/>
          <w:szCs w:val="20"/>
          <w:lang w:eastAsia="cs-CZ"/>
        </w:rPr>
        <w:t xml:space="preserve"> Štruktúra rozpočtových rezerv kapitoly VPS</w:t>
      </w:r>
      <w:bookmarkEnd w:id="179"/>
      <w:bookmarkEnd w:id="180"/>
    </w:p>
    <w:p w14:paraId="0F47C250" w14:textId="77777777" w:rsidR="00DD531B" w:rsidRPr="00DD531B" w:rsidRDefault="00DD531B" w:rsidP="00DD531B">
      <w:pPr>
        <w:spacing w:after="0" w:line="276" w:lineRule="auto"/>
        <w:jc w:val="both"/>
        <w:rPr>
          <w:rFonts w:ascii="Times New Roman" w:eastAsia="Times New Roman" w:hAnsi="Times New Roman" w:cs="Times New Roman"/>
          <w:color w:val="000000"/>
          <w:sz w:val="24"/>
          <w:szCs w:val="24"/>
          <w:lang w:eastAsia="cs-CZ"/>
        </w:rPr>
      </w:pPr>
      <w:r w:rsidRPr="00DD531B">
        <w:rPr>
          <w:rFonts w:ascii="Times New Roman" w:eastAsia="Calibri" w:hAnsi="Times New Roman" w:cs="Times New Roman"/>
          <w:noProof/>
          <w:lang w:eastAsia="sk-SK"/>
        </w:rPr>
        <w:drawing>
          <wp:inline distT="0" distB="0" distL="0" distR="0" wp14:anchorId="0BDFC8D0" wp14:editId="23278278">
            <wp:extent cx="5716905" cy="3156668"/>
            <wp:effectExtent l="0" t="0" r="17145" b="5715"/>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EF6357A" w14:textId="77777777" w:rsidR="00DD531B" w:rsidRPr="00DD531B" w:rsidRDefault="00DD531B" w:rsidP="00DD531B">
      <w:pPr>
        <w:spacing w:after="0" w:line="276" w:lineRule="auto"/>
        <w:ind w:left="7080" w:firstLine="708"/>
        <w:jc w:val="both"/>
        <w:rPr>
          <w:rFonts w:ascii="Times New Roman" w:eastAsia="Times New Roman" w:hAnsi="Times New Roman" w:cs="Times New Roman"/>
          <w:color w:val="000000"/>
          <w:sz w:val="24"/>
          <w:szCs w:val="24"/>
          <w:lang w:eastAsia="cs-CZ"/>
        </w:rPr>
      </w:pPr>
      <w:r w:rsidRPr="00DD531B">
        <w:rPr>
          <w:rFonts w:ascii="Times New Roman" w:eastAsia="Times New Roman" w:hAnsi="Times New Roman" w:cs="Times New Roman"/>
          <w:i/>
          <w:color w:val="000000"/>
          <w:sz w:val="16"/>
          <w:szCs w:val="16"/>
          <w:lang w:eastAsia="cs-CZ"/>
        </w:rPr>
        <w:t xml:space="preserve">         Zdroj: MF SR</w:t>
      </w:r>
    </w:p>
    <w:p w14:paraId="566E6EEC" w14:textId="77777777" w:rsidR="00DD531B" w:rsidRPr="00DD531B" w:rsidRDefault="00DD531B" w:rsidP="00DD531B">
      <w:pPr>
        <w:spacing w:after="0" w:line="276" w:lineRule="auto"/>
        <w:jc w:val="both"/>
        <w:rPr>
          <w:rFonts w:ascii="Times New Roman" w:eastAsia="Times New Roman" w:hAnsi="Times New Roman" w:cs="Times New Roman"/>
          <w:color w:val="000000"/>
          <w:sz w:val="24"/>
          <w:szCs w:val="24"/>
          <w:lang w:eastAsia="cs-CZ"/>
        </w:rPr>
      </w:pPr>
    </w:p>
    <w:p w14:paraId="65A23943" w14:textId="77777777" w:rsidR="00DD531B" w:rsidRPr="00DD531B" w:rsidRDefault="00DD531B" w:rsidP="00DD531B">
      <w:pPr>
        <w:spacing w:after="0" w:line="276" w:lineRule="auto"/>
        <w:jc w:val="both"/>
        <w:rPr>
          <w:rFonts w:ascii="Times New Roman" w:eastAsia="Times New Roman" w:hAnsi="Times New Roman" w:cs="Times New Roman"/>
          <w:color w:val="000000"/>
          <w:sz w:val="24"/>
          <w:szCs w:val="24"/>
          <w:lang w:eastAsia="cs-CZ"/>
        </w:rPr>
      </w:pPr>
      <w:r w:rsidRPr="00DD531B">
        <w:rPr>
          <w:rFonts w:ascii="Times New Roman" w:eastAsia="Times New Roman" w:hAnsi="Times New Roman" w:cs="Times New Roman"/>
          <w:color w:val="000000"/>
          <w:sz w:val="24"/>
          <w:szCs w:val="24"/>
          <w:lang w:eastAsia="cs-CZ"/>
        </w:rPr>
        <w:t xml:space="preserve">Rezerva vlády sa na rok 2024 rozpočtuje v sume 5 mil. eur, čo predstavuje rovnakú úroveň </w:t>
      </w:r>
      <w:r w:rsidRPr="00DD531B">
        <w:rPr>
          <w:rFonts w:ascii="Times New Roman" w:eastAsia="Times New Roman" w:hAnsi="Times New Roman" w:cs="Times New Roman"/>
          <w:color w:val="000000"/>
          <w:sz w:val="24"/>
          <w:szCs w:val="24"/>
          <w:lang w:eastAsia="cs-CZ"/>
        </w:rPr>
        <w:br/>
        <w:t>ako v predchádzajúcich rokoch. O použití prostriedkov tejto rezervy rozhoduje vláda na návrh ministra financií.</w:t>
      </w:r>
    </w:p>
    <w:p w14:paraId="1B7B9DE7" w14:textId="77777777" w:rsidR="00DD531B" w:rsidRPr="00DD531B" w:rsidRDefault="00DD531B" w:rsidP="00DD531B">
      <w:pPr>
        <w:spacing w:after="0" w:line="276" w:lineRule="auto"/>
        <w:jc w:val="both"/>
        <w:rPr>
          <w:rFonts w:ascii="Times New Roman" w:eastAsia="Times New Roman" w:hAnsi="Times New Roman" w:cs="Times New Roman"/>
          <w:bCs/>
          <w:color w:val="000000"/>
          <w:sz w:val="24"/>
          <w:szCs w:val="24"/>
          <w:lang w:eastAsia="cs-CZ"/>
        </w:rPr>
      </w:pPr>
    </w:p>
    <w:p w14:paraId="7065633C" w14:textId="77777777" w:rsidR="00DD531B" w:rsidRPr="00DD531B" w:rsidRDefault="00DD531B" w:rsidP="00DD531B">
      <w:pPr>
        <w:spacing w:after="0" w:line="276" w:lineRule="auto"/>
        <w:jc w:val="both"/>
        <w:rPr>
          <w:rFonts w:ascii="Times New Roman" w:eastAsia="Times New Roman" w:hAnsi="Times New Roman" w:cs="Times New Roman"/>
          <w:bCs/>
          <w:color w:val="000000"/>
          <w:sz w:val="24"/>
          <w:szCs w:val="24"/>
          <w:lang w:eastAsia="cs-CZ"/>
        </w:rPr>
      </w:pPr>
      <w:r w:rsidRPr="00DD531B">
        <w:rPr>
          <w:rFonts w:ascii="Times New Roman" w:eastAsia="Times New Roman" w:hAnsi="Times New Roman" w:cs="Times New Roman"/>
          <w:bCs/>
          <w:color w:val="000000"/>
          <w:sz w:val="24"/>
          <w:szCs w:val="24"/>
          <w:lang w:eastAsia="cs-CZ"/>
        </w:rPr>
        <w:t xml:space="preserve">V Rezerve na prostriedky Európskej únie a odvody Európskej únii sa rozpočtujú prostriedky </w:t>
      </w:r>
      <w:r w:rsidRPr="00DD531B">
        <w:rPr>
          <w:rFonts w:ascii="Times New Roman" w:eastAsia="Times New Roman" w:hAnsi="Times New Roman" w:cs="Times New Roman"/>
          <w:bCs/>
          <w:color w:val="000000"/>
          <w:sz w:val="24"/>
          <w:szCs w:val="24"/>
          <w:lang w:eastAsia="cs-CZ"/>
        </w:rPr>
        <w:br/>
        <w:t xml:space="preserve">na rok 2024 v sume 249 mil. eur na splatenie úrokov z omeškania vyplývajúcich zo straty </w:t>
      </w:r>
      <w:r w:rsidRPr="00DD531B">
        <w:rPr>
          <w:rFonts w:ascii="Times New Roman" w:eastAsia="Times New Roman" w:hAnsi="Times New Roman" w:cs="Times New Roman"/>
          <w:bCs/>
          <w:color w:val="000000"/>
          <w:sz w:val="24"/>
          <w:szCs w:val="24"/>
          <w:lang w:eastAsia="cs-CZ"/>
        </w:rPr>
        <w:br/>
        <w:t xml:space="preserve">na tradičných vlastných zdrojoch pri podhodnotení dovezeného textilu a obuvi z Čínskej ľudovej republiky. V roku 2023 sa očakáva splatnosť týchto úrokov z omeškania prislúchajúcich mimoriadnemu odvodu do rozpočtu EÚ vo výške 277,3 mil. eur, ktorý Slovenská republika uhradila 16. decembra 2021 na základe uznesenia vlády SR č. 716/2021 ako podmienenú platbu s úmyslom zastaviť narastajúce úroky z omeškania. V súčasnosti prebieha sumarizácia možností, ktoré plynú z danej situácie a dialóg s Európskou komisiou v snahe čo najviac stlmiť negatívny dopad na verejné financie. Vzhľadom na zdĺhavý proces negociácií medzi hlavnými aktérmi sporu k podhodnoteniu dovezeného textilu a obuvi z Čínskej ľudovej republiky, potrebu stanovenia nových súm istiny na základe rozsudku Európskeho súdneho dvora a prebiehajúce rokovania SR s Európskou komisiou, k platbe úrokov v roku 2023 zatiaľ nedošlo. Cieľom EK ako aj SR je ukončiť tento spor do konca roka 2023. Ak k uvedenej dohode dôjde až na konci roka 2023, očakáva sa splatenie úrokov </w:t>
      </w:r>
      <w:r w:rsidRPr="00DD531B">
        <w:rPr>
          <w:rFonts w:ascii="Times New Roman" w:eastAsia="Times New Roman" w:hAnsi="Times New Roman" w:cs="Times New Roman"/>
          <w:bCs/>
          <w:color w:val="000000"/>
          <w:sz w:val="24"/>
          <w:szCs w:val="24"/>
          <w:lang w:eastAsia="cs-CZ"/>
        </w:rPr>
        <w:br/>
        <w:t xml:space="preserve">z omeškania v roku 2024, a preto sa uvedený výdavok rozpočtuje aj v roku 2024. V zmysle metodiky ESA tento výdavok ovplyvnil hospodárenie rozpočtu v roku 2021. </w:t>
      </w:r>
    </w:p>
    <w:p w14:paraId="7C9CD719" w14:textId="77777777" w:rsidR="00DD531B" w:rsidRPr="00DD531B" w:rsidRDefault="00DD531B" w:rsidP="00DD531B">
      <w:pPr>
        <w:spacing w:after="0" w:line="276" w:lineRule="auto"/>
        <w:jc w:val="both"/>
        <w:rPr>
          <w:rFonts w:ascii="Times New Roman" w:eastAsia="Times New Roman" w:hAnsi="Times New Roman" w:cs="Times New Roman"/>
          <w:sz w:val="24"/>
          <w:szCs w:val="24"/>
          <w:lang w:eastAsia="cs-CZ"/>
        </w:rPr>
      </w:pPr>
    </w:p>
    <w:p w14:paraId="27F4E646" w14:textId="120102F5" w:rsidR="00DD531B" w:rsidRPr="00DD531B" w:rsidRDefault="00DD531B" w:rsidP="00DD531B">
      <w:pPr>
        <w:spacing w:after="0" w:line="276" w:lineRule="auto"/>
        <w:jc w:val="both"/>
        <w:rPr>
          <w:rFonts w:ascii="Times New Roman" w:eastAsia="Times New Roman" w:hAnsi="Times New Roman" w:cs="Times New Roman"/>
          <w:sz w:val="24"/>
          <w:szCs w:val="24"/>
          <w:lang w:eastAsia="cs-CZ"/>
        </w:rPr>
      </w:pPr>
      <w:r w:rsidRPr="00DD531B">
        <w:rPr>
          <w:rFonts w:ascii="Times New Roman" w:eastAsia="Times New Roman" w:hAnsi="Times New Roman" w:cs="Times New Roman"/>
          <w:sz w:val="24"/>
          <w:szCs w:val="24"/>
          <w:lang w:eastAsia="cs-CZ"/>
        </w:rPr>
        <w:t>V Rezerve na riešenie vplyv</w:t>
      </w:r>
      <w:r w:rsidR="00425153">
        <w:rPr>
          <w:rFonts w:ascii="Times New Roman" w:eastAsia="Times New Roman" w:hAnsi="Times New Roman" w:cs="Times New Roman"/>
          <w:sz w:val="24"/>
          <w:szCs w:val="24"/>
          <w:lang w:eastAsia="cs-CZ"/>
        </w:rPr>
        <w:t>ov</w:t>
      </w:r>
      <w:r w:rsidRPr="00DD531B">
        <w:rPr>
          <w:rFonts w:ascii="Times New Roman" w:eastAsia="Times New Roman" w:hAnsi="Times New Roman" w:cs="Times New Roman"/>
          <w:sz w:val="24"/>
          <w:szCs w:val="24"/>
          <w:lang w:eastAsia="cs-CZ"/>
        </w:rPr>
        <w:t xml:space="preserve"> legislatívnych zmien sa rozpočtujú výdavky súvisiace </w:t>
      </w:r>
      <w:r w:rsidRPr="00DD531B">
        <w:rPr>
          <w:rFonts w:ascii="Times New Roman" w:eastAsia="Times New Roman" w:hAnsi="Times New Roman" w:cs="Times New Roman"/>
          <w:sz w:val="24"/>
          <w:szCs w:val="24"/>
          <w:lang w:eastAsia="cs-CZ"/>
        </w:rPr>
        <w:br/>
        <w:t>s legislatívnymi zmenami s negatívnym vplyvom na rok 2024 v celkovej sume 1 232 mil. eur. Výšku tejto rezervy ovplyvnil</w:t>
      </w:r>
      <w:r w:rsidR="00425153">
        <w:rPr>
          <w:rFonts w:ascii="Times New Roman" w:eastAsia="Times New Roman" w:hAnsi="Times New Roman" w:cs="Times New Roman"/>
          <w:sz w:val="24"/>
          <w:szCs w:val="24"/>
          <w:lang w:eastAsia="cs-CZ"/>
        </w:rPr>
        <w:t>a</w:t>
      </w:r>
      <w:r w:rsidRPr="00DD531B">
        <w:rPr>
          <w:rFonts w:ascii="Times New Roman" w:eastAsia="Times New Roman" w:hAnsi="Times New Roman" w:cs="Times New Roman"/>
          <w:sz w:val="24"/>
          <w:szCs w:val="24"/>
          <w:lang w:eastAsia="cs-CZ"/>
        </w:rPr>
        <w:t xml:space="preserve"> najmä potreba finančného krytia výdavkov na zavedenie 13. </w:t>
      </w:r>
      <w:r w:rsidRPr="00DD531B">
        <w:rPr>
          <w:rFonts w:ascii="Times New Roman" w:eastAsia="Times New Roman" w:hAnsi="Times New Roman" w:cs="Times New Roman"/>
          <w:sz w:val="24"/>
          <w:szCs w:val="24"/>
          <w:lang w:eastAsia="cs-CZ"/>
        </w:rPr>
        <w:lastRenderedPageBreak/>
        <w:t>dôchodku a výdavkov na zabezpečenie činnosti novovznikajúceho Ministerstva cestovného ruchu a športu SR.</w:t>
      </w:r>
    </w:p>
    <w:p w14:paraId="7932DF92" w14:textId="77777777" w:rsidR="00DD531B" w:rsidRPr="00DD531B" w:rsidRDefault="00DD531B" w:rsidP="00DD531B">
      <w:pPr>
        <w:spacing w:after="0" w:line="276" w:lineRule="auto"/>
        <w:jc w:val="both"/>
        <w:rPr>
          <w:rFonts w:ascii="Times New Roman" w:eastAsia="Times New Roman" w:hAnsi="Times New Roman" w:cs="Times New Roman"/>
          <w:sz w:val="24"/>
          <w:szCs w:val="24"/>
          <w:lang w:eastAsia="cs-CZ"/>
        </w:rPr>
      </w:pPr>
      <w:r w:rsidRPr="00DD531B">
        <w:rPr>
          <w:rFonts w:ascii="Times New Roman" w:eastAsia="Times New Roman" w:hAnsi="Times New Roman" w:cs="Times New Roman"/>
          <w:sz w:val="24"/>
          <w:szCs w:val="24"/>
          <w:lang w:eastAsia="cs-CZ"/>
        </w:rPr>
        <w:t xml:space="preserve">  </w:t>
      </w:r>
    </w:p>
    <w:p w14:paraId="2FB7E391" w14:textId="77777777" w:rsidR="00DD531B" w:rsidRPr="00DD531B" w:rsidRDefault="00DD531B" w:rsidP="00DD531B">
      <w:pPr>
        <w:spacing w:after="0" w:line="276" w:lineRule="auto"/>
        <w:jc w:val="both"/>
        <w:rPr>
          <w:rFonts w:ascii="Times New Roman" w:eastAsia="Times New Roman" w:hAnsi="Times New Roman" w:cs="Times New Roman"/>
          <w:sz w:val="24"/>
          <w:szCs w:val="24"/>
          <w:lang w:eastAsia="cs-CZ"/>
        </w:rPr>
      </w:pPr>
      <w:r w:rsidRPr="00DD531B">
        <w:rPr>
          <w:rFonts w:ascii="Times New Roman" w:eastAsia="Times New Roman" w:hAnsi="Times New Roman" w:cs="Times New Roman"/>
          <w:sz w:val="24"/>
          <w:szCs w:val="24"/>
          <w:lang w:eastAsia="cs-CZ"/>
        </w:rPr>
        <w:t xml:space="preserve">Rezerva na riešenie krízových situácií mimo času vojny a vojnového stavu a vykonávanie povodňových prác sa tvorí na zabezpečenie finančného plnenia vyplývajúceho zo zákona č. 387/2002 Z. z. o riadení štátu v krízových situáciách mimo času vojny a vojnového stavu v znení neskorších predpisov a zákona č. 7/2010 Z. z. o ochrane pred povodňami v znení neskorších predpisov. Zahŕňa výdavky, ktoré sa použijú najmä v prípade povodní a iných živelných pohrôm, odškodnení pri mimoriadnych udalostiach a odstraňovaní následkov krízových situácií. V Rezerve na riešenie krízových situácií mimo času vojny a vojnového stavu a vykonávanie povodňových prác sa prostriedky na rok 2024 rozpočtuje vo výške  21 mil. eur.  </w:t>
      </w:r>
    </w:p>
    <w:p w14:paraId="3CA21182" w14:textId="77777777" w:rsidR="00DD531B" w:rsidRPr="00DD531B" w:rsidRDefault="00DD531B" w:rsidP="00DD531B">
      <w:pPr>
        <w:spacing w:after="0" w:line="276" w:lineRule="auto"/>
        <w:jc w:val="both"/>
        <w:rPr>
          <w:rFonts w:ascii="Times New Roman" w:eastAsia="Times New Roman" w:hAnsi="Times New Roman" w:cs="Times New Roman"/>
          <w:sz w:val="24"/>
          <w:szCs w:val="24"/>
          <w:lang w:eastAsia="cs-CZ"/>
        </w:rPr>
      </w:pPr>
    </w:p>
    <w:p w14:paraId="30868E48" w14:textId="77777777" w:rsidR="00DD531B" w:rsidRPr="00DD531B" w:rsidRDefault="00DD531B" w:rsidP="00DD531B">
      <w:pPr>
        <w:spacing w:after="0" w:line="276" w:lineRule="auto"/>
        <w:jc w:val="both"/>
        <w:rPr>
          <w:rFonts w:ascii="Times New Roman" w:eastAsia="Times New Roman" w:hAnsi="Times New Roman" w:cs="Times New Roman"/>
          <w:sz w:val="24"/>
          <w:szCs w:val="24"/>
          <w:lang w:eastAsia="cs-CZ"/>
        </w:rPr>
      </w:pPr>
      <w:r w:rsidRPr="00DD531B">
        <w:rPr>
          <w:rFonts w:ascii="Times New Roman" w:eastAsia="Times New Roman" w:hAnsi="Times New Roman" w:cs="Times New Roman"/>
          <w:sz w:val="24"/>
          <w:szCs w:val="24"/>
          <w:lang w:eastAsia="cs-CZ"/>
        </w:rPr>
        <w:t xml:space="preserve">Výdavky rezervy na realizáciu súdnych a exekučných rozhodnutí sa rozpočtujú na rok 2024 v sume 10 mil. eur najmä na úhradu plnení vyplývajúcich z rozsudkov Európskeho súdu pre ľudské práva a iných odškodnení a plnení v súlade s právoplatnými rozhodnutiami, na ktoré kapitoly štátneho rozpočtu z dôvodu neistého časového vymedzenia a výšky nemajú zabezpečené prostriedky v rámci pridelených limitov výdavkov na príslušné roky. </w:t>
      </w:r>
    </w:p>
    <w:p w14:paraId="350D22C5" w14:textId="77777777" w:rsidR="00DD531B" w:rsidRPr="00DD531B" w:rsidRDefault="00DD531B" w:rsidP="00DD531B">
      <w:pPr>
        <w:spacing w:after="0" w:line="276" w:lineRule="auto"/>
        <w:jc w:val="both"/>
        <w:rPr>
          <w:rFonts w:ascii="Times New Roman" w:eastAsia="Times New Roman" w:hAnsi="Times New Roman" w:cs="Times New Roman"/>
          <w:sz w:val="24"/>
          <w:szCs w:val="24"/>
          <w:lang w:eastAsia="cs-CZ"/>
        </w:rPr>
      </w:pPr>
    </w:p>
    <w:p w14:paraId="53FBA566" w14:textId="77777777" w:rsidR="00DD531B" w:rsidRPr="00DD531B" w:rsidRDefault="00DD531B" w:rsidP="00DD531B">
      <w:pPr>
        <w:spacing w:after="0" w:line="276" w:lineRule="auto"/>
        <w:jc w:val="both"/>
        <w:rPr>
          <w:rFonts w:ascii="Times New Roman" w:eastAsia="Times New Roman" w:hAnsi="Times New Roman" w:cs="Times New Roman"/>
          <w:color w:val="000000"/>
          <w:sz w:val="24"/>
          <w:szCs w:val="24"/>
          <w:lang w:eastAsia="cs-CZ"/>
        </w:rPr>
      </w:pPr>
      <w:r w:rsidRPr="00DD531B">
        <w:rPr>
          <w:rFonts w:ascii="Times New Roman" w:eastAsia="Times New Roman" w:hAnsi="Times New Roman" w:cs="Times New Roman"/>
          <w:color w:val="000000"/>
          <w:sz w:val="24"/>
          <w:szCs w:val="24"/>
          <w:lang w:eastAsia="cs-CZ"/>
        </w:rPr>
        <w:t xml:space="preserve">Výdavky rezervy na mzdy a poistné sa na rok 2024 rozpočtujú v sume 175,4 mil. eur. Najvýznamnejšiu časť rezervy na mzdy a poistné v roku 2024 tvoria prostriedky, ktoré sa rozpočtujú na krytie rastu minimálnej mzdy a krytie zvýšenia platov ústavných činiteľov, sudcov, prokurátorov a verejných činiteľov, v nadväznosti na prognózovaný rast priemernej nominálnej mesačnej mzdy zamestnanca v národnom hospodárstve SR. Ďalej sú v rezerve alokované výdavky na zabezpečenie zákonných nárokov na odchodné a odstupné zamestnancov vyplývajúce zo všeobecne záväzných právnych predpisov, najmä pre štátnych zamestnancov v služobnom pomere a na zabezpečenie vplyvov vyplývajúcich z § 94 ods. 4 zákona č. 328/2002 Z. z. o sociálnom zabezpečení policajtov a vojakov. </w:t>
      </w:r>
    </w:p>
    <w:p w14:paraId="78051EFB" w14:textId="77777777" w:rsidR="00DD531B" w:rsidRPr="00DD531B" w:rsidRDefault="00DD531B" w:rsidP="00DD531B">
      <w:pPr>
        <w:spacing w:after="0" w:line="276" w:lineRule="auto"/>
        <w:jc w:val="both"/>
        <w:rPr>
          <w:rFonts w:ascii="Times New Roman" w:eastAsia="Times New Roman" w:hAnsi="Times New Roman" w:cs="Times New Roman"/>
          <w:color w:val="0D0D0D"/>
          <w:sz w:val="24"/>
          <w:szCs w:val="24"/>
          <w:lang w:eastAsia="cs-CZ"/>
        </w:rPr>
      </w:pPr>
    </w:p>
    <w:p w14:paraId="778276B8" w14:textId="77777777" w:rsidR="00DD531B" w:rsidRPr="00DD531B" w:rsidRDefault="00DD531B" w:rsidP="00DD531B">
      <w:pPr>
        <w:spacing w:after="0" w:line="276" w:lineRule="auto"/>
        <w:jc w:val="both"/>
        <w:rPr>
          <w:rFonts w:ascii="Times New Roman" w:eastAsia="Times New Roman" w:hAnsi="Times New Roman" w:cs="Times New Roman"/>
          <w:sz w:val="24"/>
          <w:szCs w:val="24"/>
          <w:lang w:eastAsia="cs-CZ"/>
        </w:rPr>
      </w:pPr>
      <w:r w:rsidRPr="00DD531B">
        <w:rPr>
          <w:rFonts w:ascii="Times New Roman" w:eastAsia="Times New Roman" w:hAnsi="Times New Roman" w:cs="Times New Roman"/>
          <w:sz w:val="24"/>
          <w:szCs w:val="24"/>
          <w:lang w:eastAsia="cs-CZ"/>
        </w:rPr>
        <w:t>V kontexte schválených pokračujúcich schém pomoci ako kompenzačných opatrení negatívnych vplyvov vysokého rastu cien energií na odberateľov sa aj na rok 2024 tvorí rezerva na kompenzačné opatrenia súvisiace s rastom cien energií v sume 800 mil. eur.</w:t>
      </w:r>
    </w:p>
    <w:p w14:paraId="631174A4" w14:textId="77777777" w:rsidR="00DD531B" w:rsidRPr="00DD531B" w:rsidRDefault="00DD531B" w:rsidP="00DD531B">
      <w:pPr>
        <w:spacing w:after="0" w:line="276" w:lineRule="auto"/>
        <w:rPr>
          <w:rFonts w:ascii="Times New Roman" w:eastAsia="Calibri" w:hAnsi="Times New Roman" w:cs="Times New Roman"/>
        </w:rPr>
      </w:pPr>
    </w:p>
    <w:p w14:paraId="2FB4A4E6" w14:textId="77777777" w:rsidR="00DD531B" w:rsidRPr="00DD531B" w:rsidRDefault="00DD531B" w:rsidP="00DD531B">
      <w:pPr>
        <w:spacing w:after="0" w:line="276" w:lineRule="auto"/>
        <w:contextualSpacing/>
        <w:jc w:val="both"/>
        <w:rPr>
          <w:rFonts w:ascii="Times New Roman" w:eastAsia="Calibri" w:hAnsi="Times New Roman" w:cs="Times New Roman"/>
          <w:b/>
          <w:sz w:val="24"/>
          <w:szCs w:val="24"/>
        </w:rPr>
      </w:pPr>
      <w:r w:rsidRPr="00DD531B">
        <w:rPr>
          <w:rFonts w:ascii="Times New Roman" w:eastAsia="Calibri" w:hAnsi="Times New Roman" w:cs="Times New Roman"/>
          <w:b/>
          <w:sz w:val="24"/>
          <w:szCs w:val="24"/>
        </w:rPr>
        <w:t>Finančné vzťahy k Sociálnej poisťovni</w:t>
      </w:r>
    </w:p>
    <w:p w14:paraId="4026E5EB" w14:textId="77777777" w:rsidR="00DD531B" w:rsidRPr="00DD531B" w:rsidRDefault="00DD531B" w:rsidP="00DD531B">
      <w:pPr>
        <w:spacing w:after="0" w:line="276" w:lineRule="auto"/>
        <w:jc w:val="both"/>
        <w:rPr>
          <w:rFonts w:ascii="Times New Roman" w:eastAsia="Times New Roman" w:hAnsi="Times New Roman" w:cs="Times New Roman"/>
          <w:b/>
          <w:color w:val="4F81BD"/>
          <w:sz w:val="24"/>
          <w:szCs w:val="24"/>
          <w:lang w:eastAsia="cs-CZ"/>
        </w:rPr>
      </w:pPr>
    </w:p>
    <w:p w14:paraId="2F4F4476" w14:textId="77777777" w:rsidR="00DD531B" w:rsidRPr="00DD531B" w:rsidRDefault="00DD531B" w:rsidP="00DD531B">
      <w:pPr>
        <w:spacing w:after="0" w:line="276" w:lineRule="auto"/>
        <w:jc w:val="both"/>
        <w:rPr>
          <w:rFonts w:ascii="Times New Roman" w:eastAsia="Times New Roman" w:hAnsi="Times New Roman" w:cs="Times New Roman"/>
          <w:color w:val="000000"/>
          <w:sz w:val="24"/>
          <w:szCs w:val="24"/>
          <w:lang w:eastAsia="cs-CZ"/>
        </w:rPr>
      </w:pPr>
      <w:r w:rsidRPr="00DD531B">
        <w:rPr>
          <w:rFonts w:ascii="Times New Roman" w:eastAsia="Times New Roman" w:hAnsi="Times New Roman" w:cs="Times New Roman"/>
          <w:color w:val="000000"/>
          <w:sz w:val="24"/>
          <w:szCs w:val="24"/>
          <w:lang w:eastAsia="cs-CZ"/>
        </w:rPr>
        <w:t xml:space="preserve">Transfer Sociálnej poisťovni sa v rozpočte kapitoly VPS na rok 2024 rozpočtuje v sume </w:t>
      </w:r>
      <w:r w:rsidRPr="00DD531B">
        <w:rPr>
          <w:rFonts w:ascii="Times New Roman" w:eastAsia="Times New Roman" w:hAnsi="Times New Roman" w:cs="Times New Roman"/>
          <w:sz w:val="24"/>
          <w:szCs w:val="24"/>
          <w:lang w:eastAsia="cs-CZ"/>
        </w:rPr>
        <w:t xml:space="preserve">1 600  </w:t>
      </w:r>
      <w:r w:rsidRPr="00DD531B">
        <w:rPr>
          <w:rFonts w:ascii="Times New Roman" w:eastAsia="Times New Roman" w:hAnsi="Times New Roman" w:cs="Times New Roman"/>
          <w:color w:val="000000"/>
          <w:sz w:val="24"/>
          <w:szCs w:val="24"/>
          <w:lang w:eastAsia="cs-CZ"/>
        </w:rPr>
        <w:t xml:space="preserve">mil. eur. </w:t>
      </w:r>
    </w:p>
    <w:p w14:paraId="0F021F6A" w14:textId="77777777" w:rsidR="00DD531B" w:rsidRPr="00DD531B" w:rsidRDefault="00DD531B" w:rsidP="00DD531B">
      <w:pPr>
        <w:spacing w:after="0" w:line="276" w:lineRule="auto"/>
        <w:jc w:val="both"/>
        <w:rPr>
          <w:rFonts w:ascii="Times New Roman" w:eastAsia="Times New Roman" w:hAnsi="Times New Roman" w:cs="Times New Roman"/>
          <w:color w:val="000000"/>
          <w:sz w:val="16"/>
          <w:szCs w:val="16"/>
          <w:lang w:eastAsia="cs-CZ"/>
        </w:rPr>
      </w:pPr>
    </w:p>
    <w:p w14:paraId="5F7BCFFE" w14:textId="1DC7221F" w:rsidR="00DD531B" w:rsidRPr="00DD531B" w:rsidRDefault="00DD531B" w:rsidP="00DD531B">
      <w:pPr>
        <w:spacing w:after="0" w:line="276" w:lineRule="auto"/>
        <w:rPr>
          <w:rFonts w:ascii="Times New Roman" w:eastAsia="Calibri" w:hAnsi="Times New Roman" w:cs="Times New Roman"/>
          <w:i/>
          <w:iCs/>
          <w:color w:val="5B9BD5" w:themeColor="accent1"/>
          <w:szCs w:val="36"/>
        </w:rPr>
      </w:pPr>
      <w:bookmarkStart w:id="181" w:name="_Toc152689103"/>
      <w:bookmarkStart w:id="182" w:name="_Toc153013052"/>
      <w:r w:rsidRPr="00DD531B">
        <w:rPr>
          <w:rFonts w:ascii="Times New Roman" w:eastAsia="Calibri" w:hAnsi="Times New Roman" w:cs="Times New Roman"/>
          <w:b/>
          <w:iCs/>
          <w:color w:val="5B9BD5" w:themeColor="accent1"/>
          <w:sz w:val="20"/>
          <w:szCs w:val="20"/>
          <w:lang w:eastAsia="cs-CZ"/>
        </w:rPr>
        <w:t xml:space="preserve">Tabuľka </w:t>
      </w:r>
      <w:r w:rsidRPr="00DD531B">
        <w:rPr>
          <w:rFonts w:ascii="Times New Roman" w:hAnsi="Times New Roman" w:cs="Times New Roman"/>
          <w:b/>
          <w:color w:val="5B9BD5" w:themeColor="accent1"/>
          <w:sz w:val="20"/>
          <w:szCs w:val="20"/>
        </w:rPr>
        <w:fldChar w:fldCharType="begin"/>
      </w:r>
      <w:r w:rsidRPr="00DD531B">
        <w:rPr>
          <w:rFonts w:ascii="Times New Roman" w:hAnsi="Times New Roman" w:cs="Times New Roman"/>
          <w:b/>
          <w:color w:val="5B9BD5" w:themeColor="accent1"/>
          <w:sz w:val="20"/>
          <w:szCs w:val="20"/>
        </w:rPr>
        <w:instrText xml:space="preserve"> SEQ Tabuľka \* ARABIC </w:instrText>
      </w:r>
      <w:r w:rsidRPr="00DD531B">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54</w:t>
      </w:r>
      <w:r w:rsidRPr="00DD531B">
        <w:rPr>
          <w:rFonts w:ascii="Times New Roman" w:hAnsi="Times New Roman" w:cs="Times New Roman"/>
          <w:b/>
          <w:color w:val="5B9BD5" w:themeColor="accent1"/>
          <w:sz w:val="20"/>
          <w:szCs w:val="20"/>
        </w:rPr>
        <w:fldChar w:fldCharType="end"/>
      </w:r>
      <w:r w:rsidRPr="00DD531B">
        <w:rPr>
          <w:rFonts w:ascii="Times New Roman" w:eastAsia="Calibri" w:hAnsi="Times New Roman" w:cs="Times New Roman"/>
          <w:b/>
          <w:iCs/>
          <w:color w:val="5B9BD5" w:themeColor="accent1"/>
          <w:sz w:val="20"/>
          <w:szCs w:val="20"/>
          <w:lang w:eastAsia="cs-CZ"/>
        </w:rPr>
        <w:t xml:space="preserve"> - Transfer Sociálnej poisťovni</w:t>
      </w:r>
      <w:bookmarkEnd w:id="181"/>
      <w:bookmarkEnd w:id="182"/>
    </w:p>
    <w:tbl>
      <w:tblPr>
        <w:tblW w:w="9081" w:type="dxa"/>
        <w:tblCellMar>
          <w:left w:w="70" w:type="dxa"/>
          <w:right w:w="70" w:type="dxa"/>
        </w:tblCellMar>
        <w:tblLook w:val="04A0" w:firstRow="1" w:lastRow="0" w:firstColumn="1" w:lastColumn="0" w:noHBand="0" w:noVBand="1"/>
      </w:tblPr>
      <w:tblGrid>
        <w:gridCol w:w="2844"/>
        <w:gridCol w:w="891"/>
        <w:gridCol w:w="891"/>
        <w:gridCol w:w="891"/>
        <w:gridCol w:w="891"/>
        <w:gridCol w:w="891"/>
        <w:gridCol w:w="891"/>
        <w:gridCol w:w="891"/>
      </w:tblGrid>
      <w:tr w:rsidR="00DD531B" w:rsidRPr="00DD531B" w14:paraId="33390EAD" w14:textId="77777777" w:rsidTr="001F24AE">
        <w:trPr>
          <w:trHeight w:val="305"/>
        </w:trPr>
        <w:tc>
          <w:tcPr>
            <w:tcW w:w="2844" w:type="dxa"/>
            <w:tcBorders>
              <w:top w:val="single" w:sz="4" w:space="0" w:color="auto"/>
              <w:left w:val="nil"/>
              <w:bottom w:val="single" w:sz="4" w:space="0" w:color="auto"/>
              <w:right w:val="nil"/>
            </w:tcBorders>
            <w:shd w:val="clear" w:color="auto" w:fill="auto"/>
            <w:noWrap/>
            <w:vAlign w:val="center"/>
            <w:hideMark/>
          </w:tcPr>
          <w:p w14:paraId="2BE71CBD" w14:textId="77777777" w:rsidR="00DD531B" w:rsidRPr="00DD531B" w:rsidRDefault="00DD531B" w:rsidP="00DD531B">
            <w:pPr>
              <w:spacing w:after="0" w:line="276" w:lineRule="auto"/>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v tis. eur</w:t>
            </w:r>
          </w:p>
        </w:tc>
        <w:tc>
          <w:tcPr>
            <w:tcW w:w="891" w:type="dxa"/>
            <w:tcBorders>
              <w:top w:val="single" w:sz="4" w:space="0" w:color="auto"/>
              <w:left w:val="nil"/>
              <w:bottom w:val="single" w:sz="4" w:space="0" w:color="auto"/>
              <w:right w:val="nil"/>
            </w:tcBorders>
            <w:shd w:val="clear" w:color="auto" w:fill="auto"/>
            <w:vAlign w:val="center"/>
            <w:hideMark/>
          </w:tcPr>
          <w:p w14:paraId="5C4653DA"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2021 S</w:t>
            </w:r>
          </w:p>
        </w:tc>
        <w:tc>
          <w:tcPr>
            <w:tcW w:w="891" w:type="dxa"/>
            <w:tcBorders>
              <w:top w:val="single" w:sz="4" w:space="0" w:color="auto"/>
              <w:left w:val="nil"/>
              <w:bottom w:val="single" w:sz="4" w:space="0" w:color="auto"/>
              <w:right w:val="nil"/>
            </w:tcBorders>
            <w:shd w:val="clear" w:color="auto" w:fill="auto"/>
            <w:vAlign w:val="center"/>
            <w:hideMark/>
          </w:tcPr>
          <w:p w14:paraId="110BC031"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2022 S</w:t>
            </w:r>
          </w:p>
        </w:tc>
        <w:tc>
          <w:tcPr>
            <w:tcW w:w="891" w:type="dxa"/>
            <w:tcBorders>
              <w:top w:val="single" w:sz="4" w:space="0" w:color="auto"/>
              <w:left w:val="nil"/>
              <w:bottom w:val="single" w:sz="4" w:space="0" w:color="auto"/>
              <w:right w:val="nil"/>
            </w:tcBorders>
            <w:shd w:val="clear" w:color="auto" w:fill="auto"/>
            <w:vAlign w:val="center"/>
            <w:hideMark/>
          </w:tcPr>
          <w:p w14:paraId="0AD8E428"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2023 R</w:t>
            </w:r>
          </w:p>
        </w:tc>
        <w:tc>
          <w:tcPr>
            <w:tcW w:w="891" w:type="dxa"/>
            <w:tcBorders>
              <w:top w:val="single" w:sz="4" w:space="0" w:color="auto"/>
              <w:left w:val="nil"/>
              <w:bottom w:val="single" w:sz="4" w:space="0" w:color="auto"/>
              <w:right w:val="nil"/>
            </w:tcBorders>
            <w:shd w:val="clear" w:color="auto" w:fill="auto"/>
            <w:vAlign w:val="center"/>
            <w:hideMark/>
          </w:tcPr>
          <w:p w14:paraId="3DB58987"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2023 OS</w:t>
            </w:r>
          </w:p>
        </w:tc>
        <w:tc>
          <w:tcPr>
            <w:tcW w:w="891" w:type="dxa"/>
            <w:tcBorders>
              <w:top w:val="single" w:sz="4" w:space="0" w:color="auto"/>
              <w:left w:val="nil"/>
              <w:bottom w:val="single" w:sz="4" w:space="0" w:color="auto"/>
              <w:right w:val="nil"/>
            </w:tcBorders>
            <w:shd w:val="clear" w:color="auto" w:fill="auto"/>
            <w:noWrap/>
            <w:vAlign w:val="center"/>
            <w:hideMark/>
          </w:tcPr>
          <w:p w14:paraId="7869E651"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2024 N</w:t>
            </w:r>
          </w:p>
        </w:tc>
        <w:tc>
          <w:tcPr>
            <w:tcW w:w="891" w:type="dxa"/>
            <w:tcBorders>
              <w:top w:val="single" w:sz="4" w:space="0" w:color="auto"/>
              <w:left w:val="nil"/>
              <w:bottom w:val="single" w:sz="4" w:space="0" w:color="auto"/>
              <w:right w:val="nil"/>
            </w:tcBorders>
            <w:shd w:val="clear" w:color="auto" w:fill="auto"/>
            <w:vAlign w:val="center"/>
            <w:hideMark/>
          </w:tcPr>
          <w:p w14:paraId="11B5AF4F"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2025 N</w:t>
            </w:r>
          </w:p>
        </w:tc>
        <w:tc>
          <w:tcPr>
            <w:tcW w:w="891" w:type="dxa"/>
            <w:tcBorders>
              <w:top w:val="single" w:sz="4" w:space="0" w:color="auto"/>
              <w:left w:val="nil"/>
              <w:bottom w:val="single" w:sz="4" w:space="0" w:color="auto"/>
              <w:right w:val="nil"/>
            </w:tcBorders>
            <w:shd w:val="clear" w:color="auto" w:fill="auto"/>
            <w:vAlign w:val="center"/>
            <w:hideMark/>
          </w:tcPr>
          <w:p w14:paraId="0213232C"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2026 N</w:t>
            </w:r>
          </w:p>
        </w:tc>
      </w:tr>
      <w:tr w:rsidR="00DD531B" w:rsidRPr="00DD531B" w14:paraId="34270F23" w14:textId="77777777" w:rsidTr="001F24AE">
        <w:trPr>
          <w:trHeight w:val="305"/>
        </w:trPr>
        <w:tc>
          <w:tcPr>
            <w:tcW w:w="2844" w:type="dxa"/>
            <w:tcBorders>
              <w:top w:val="nil"/>
              <w:left w:val="nil"/>
              <w:bottom w:val="single" w:sz="4" w:space="0" w:color="auto"/>
              <w:right w:val="nil"/>
            </w:tcBorders>
            <w:shd w:val="clear" w:color="auto" w:fill="auto"/>
            <w:noWrap/>
            <w:vAlign w:val="center"/>
            <w:hideMark/>
          </w:tcPr>
          <w:p w14:paraId="2EF4C576" w14:textId="77777777" w:rsidR="00DD531B" w:rsidRPr="00DD531B" w:rsidRDefault="00DD531B" w:rsidP="00DD531B">
            <w:pPr>
              <w:spacing w:after="0" w:line="276" w:lineRule="auto"/>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Finančné vzťahy k Sociálnej poisťovni</w:t>
            </w:r>
          </w:p>
        </w:tc>
        <w:tc>
          <w:tcPr>
            <w:tcW w:w="891" w:type="dxa"/>
            <w:tcBorders>
              <w:top w:val="nil"/>
              <w:left w:val="nil"/>
              <w:bottom w:val="single" w:sz="4" w:space="0" w:color="auto"/>
              <w:right w:val="nil"/>
            </w:tcBorders>
            <w:shd w:val="clear" w:color="auto" w:fill="auto"/>
            <w:vAlign w:val="center"/>
            <w:hideMark/>
          </w:tcPr>
          <w:p w14:paraId="7F481CB3"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840 000</w:t>
            </w:r>
          </w:p>
        </w:tc>
        <w:tc>
          <w:tcPr>
            <w:tcW w:w="891" w:type="dxa"/>
            <w:tcBorders>
              <w:top w:val="nil"/>
              <w:left w:val="nil"/>
              <w:bottom w:val="single" w:sz="4" w:space="0" w:color="auto"/>
              <w:right w:val="nil"/>
            </w:tcBorders>
            <w:shd w:val="clear" w:color="auto" w:fill="auto"/>
            <w:vAlign w:val="center"/>
            <w:hideMark/>
          </w:tcPr>
          <w:p w14:paraId="0C820142"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100 000</w:t>
            </w:r>
          </w:p>
        </w:tc>
        <w:tc>
          <w:tcPr>
            <w:tcW w:w="891" w:type="dxa"/>
            <w:tcBorders>
              <w:top w:val="nil"/>
              <w:left w:val="nil"/>
              <w:bottom w:val="single" w:sz="4" w:space="0" w:color="auto"/>
              <w:right w:val="nil"/>
            </w:tcBorders>
            <w:shd w:val="clear" w:color="auto" w:fill="auto"/>
            <w:vAlign w:val="center"/>
            <w:hideMark/>
          </w:tcPr>
          <w:p w14:paraId="7276E8C3"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0</w:t>
            </w:r>
          </w:p>
        </w:tc>
        <w:tc>
          <w:tcPr>
            <w:tcW w:w="891" w:type="dxa"/>
            <w:tcBorders>
              <w:top w:val="nil"/>
              <w:left w:val="nil"/>
              <w:bottom w:val="single" w:sz="4" w:space="0" w:color="auto"/>
              <w:right w:val="nil"/>
            </w:tcBorders>
            <w:shd w:val="clear" w:color="auto" w:fill="auto"/>
            <w:vAlign w:val="center"/>
            <w:hideMark/>
          </w:tcPr>
          <w:p w14:paraId="56CC6BFC"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1 160 000</w:t>
            </w:r>
          </w:p>
        </w:tc>
        <w:tc>
          <w:tcPr>
            <w:tcW w:w="891" w:type="dxa"/>
            <w:tcBorders>
              <w:top w:val="nil"/>
              <w:left w:val="nil"/>
              <w:bottom w:val="single" w:sz="4" w:space="0" w:color="auto"/>
              <w:right w:val="nil"/>
            </w:tcBorders>
            <w:shd w:val="clear" w:color="auto" w:fill="auto"/>
            <w:vAlign w:val="center"/>
            <w:hideMark/>
          </w:tcPr>
          <w:p w14:paraId="7B579928"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1 600 000</w:t>
            </w:r>
          </w:p>
        </w:tc>
        <w:tc>
          <w:tcPr>
            <w:tcW w:w="891" w:type="dxa"/>
            <w:tcBorders>
              <w:top w:val="nil"/>
              <w:left w:val="nil"/>
              <w:bottom w:val="single" w:sz="4" w:space="0" w:color="auto"/>
              <w:right w:val="nil"/>
            </w:tcBorders>
            <w:shd w:val="clear" w:color="auto" w:fill="auto"/>
            <w:vAlign w:val="center"/>
            <w:hideMark/>
          </w:tcPr>
          <w:p w14:paraId="6A9B81F9"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1 600 000</w:t>
            </w:r>
          </w:p>
        </w:tc>
        <w:tc>
          <w:tcPr>
            <w:tcW w:w="891" w:type="dxa"/>
            <w:tcBorders>
              <w:top w:val="nil"/>
              <w:left w:val="nil"/>
              <w:bottom w:val="single" w:sz="4" w:space="0" w:color="auto"/>
              <w:right w:val="nil"/>
            </w:tcBorders>
            <w:shd w:val="clear" w:color="auto" w:fill="auto"/>
            <w:vAlign w:val="center"/>
            <w:hideMark/>
          </w:tcPr>
          <w:p w14:paraId="6AD623C4" w14:textId="77777777" w:rsidR="00DD531B" w:rsidRPr="00DD531B" w:rsidRDefault="00DD531B" w:rsidP="00DD531B">
            <w:pPr>
              <w:spacing w:after="0" w:line="276" w:lineRule="auto"/>
              <w:jc w:val="right"/>
              <w:rPr>
                <w:rFonts w:ascii="Times New Roman" w:eastAsia="Times New Roman" w:hAnsi="Times New Roman" w:cs="Times New Roman"/>
                <w:b/>
                <w:bCs/>
                <w:sz w:val="16"/>
                <w:szCs w:val="16"/>
                <w:lang w:eastAsia="sk-SK"/>
              </w:rPr>
            </w:pPr>
            <w:r w:rsidRPr="00DD531B">
              <w:rPr>
                <w:rFonts w:ascii="Times New Roman" w:eastAsia="Times New Roman" w:hAnsi="Times New Roman" w:cs="Times New Roman"/>
                <w:b/>
                <w:bCs/>
                <w:sz w:val="16"/>
                <w:szCs w:val="16"/>
                <w:lang w:eastAsia="sk-SK"/>
              </w:rPr>
              <w:t>1 650 000</w:t>
            </w:r>
          </w:p>
        </w:tc>
      </w:tr>
    </w:tbl>
    <w:p w14:paraId="597C9225" w14:textId="77777777" w:rsidR="00DD531B" w:rsidRPr="00DD531B" w:rsidRDefault="00DD531B" w:rsidP="00DD531B">
      <w:pPr>
        <w:spacing w:after="0" w:line="276" w:lineRule="auto"/>
        <w:ind w:left="7788"/>
        <w:contextualSpacing/>
        <w:jc w:val="both"/>
        <w:rPr>
          <w:rFonts w:ascii="Times New Roman" w:eastAsia="Times New Roman" w:hAnsi="Times New Roman" w:cs="Times New Roman"/>
          <w:iCs/>
          <w:color w:val="4F81BD"/>
          <w:sz w:val="24"/>
          <w:szCs w:val="24"/>
          <w:lang w:eastAsia="cs-CZ"/>
        </w:rPr>
      </w:pPr>
      <w:r w:rsidRPr="00DD531B">
        <w:rPr>
          <w:rFonts w:ascii="Times New Roman" w:eastAsia="Times New Roman" w:hAnsi="Times New Roman" w:cs="Times New Roman"/>
          <w:iCs/>
          <w:color w:val="4F81BD"/>
          <w:sz w:val="24"/>
          <w:szCs w:val="24"/>
          <w:lang w:eastAsia="cs-CZ"/>
        </w:rPr>
        <w:t xml:space="preserve">      </w:t>
      </w:r>
      <w:r w:rsidRPr="00DD531B">
        <w:rPr>
          <w:rFonts w:ascii="Times New Roman" w:eastAsia="Times New Roman" w:hAnsi="Times New Roman" w:cs="Times New Roman"/>
          <w:i/>
          <w:iCs/>
          <w:color w:val="000000"/>
          <w:sz w:val="16"/>
          <w:szCs w:val="16"/>
          <w:lang w:eastAsia="cs-CZ"/>
        </w:rPr>
        <w:t xml:space="preserve"> Zdroj: MF SR</w:t>
      </w:r>
    </w:p>
    <w:p w14:paraId="1AFF8CE1" w14:textId="77777777" w:rsidR="00DD531B" w:rsidRPr="00DD531B" w:rsidRDefault="00DD531B" w:rsidP="00DD531B">
      <w:pPr>
        <w:spacing w:after="0" w:line="276" w:lineRule="auto"/>
        <w:ind w:left="360"/>
        <w:contextualSpacing/>
        <w:jc w:val="both"/>
        <w:rPr>
          <w:rFonts w:ascii="Times New Roman" w:eastAsia="Times New Roman" w:hAnsi="Times New Roman" w:cs="Times New Roman"/>
          <w:b/>
          <w:color w:val="4F81BD"/>
          <w:sz w:val="16"/>
          <w:szCs w:val="16"/>
          <w:lang w:eastAsia="cs-CZ"/>
        </w:rPr>
      </w:pPr>
    </w:p>
    <w:p w14:paraId="58CC5BBE" w14:textId="77777777" w:rsidR="00DD531B" w:rsidRPr="00DD531B" w:rsidRDefault="00DD531B" w:rsidP="00DD531B">
      <w:pPr>
        <w:spacing w:after="0" w:line="276" w:lineRule="auto"/>
        <w:jc w:val="both"/>
        <w:rPr>
          <w:rFonts w:ascii="Times New Roman" w:eastAsia="Times New Roman" w:hAnsi="Times New Roman" w:cs="Times New Roman"/>
          <w:color w:val="FF0000"/>
          <w:sz w:val="24"/>
          <w:szCs w:val="24"/>
          <w:lang w:eastAsia="cs-CZ"/>
        </w:rPr>
      </w:pPr>
      <w:r w:rsidRPr="00DD531B">
        <w:rPr>
          <w:rFonts w:ascii="Times New Roman" w:eastAsia="Times New Roman" w:hAnsi="Times New Roman" w:cs="Times New Roman"/>
          <w:sz w:val="24"/>
          <w:szCs w:val="24"/>
          <w:lang w:eastAsia="cs-CZ"/>
        </w:rPr>
        <w:t xml:space="preserve">Podľa zákona č. 461/2003 Z. z. o sociálnom poistení v znení neskorších predpisov štát poskytuje v prípade platobnej neschopnosti niektorého zo základných fondov Sociálnej poisťovni finančnú výpomoc. Výška transferu zo štátneho rozpočtu zohľadňuje nevyhnutnú </w:t>
      </w:r>
      <w:r w:rsidRPr="00DD531B">
        <w:rPr>
          <w:rFonts w:ascii="Times New Roman" w:eastAsia="Times New Roman" w:hAnsi="Times New Roman" w:cs="Times New Roman"/>
          <w:sz w:val="24"/>
          <w:szCs w:val="24"/>
          <w:lang w:eastAsia="cs-CZ"/>
        </w:rPr>
        <w:lastRenderedPageBreak/>
        <w:t xml:space="preserve">technickú rezervu finančných prostriedkov pre zachovanie platobnej schopnosti Sociálnej poisťovne ako celku a jeho rast je indikovaný najmä zavedením rodičovského dôchodku a mimoriadnou valorizáciou dôchodkov schválenou v roku 2023. </w:t>
      </w:r>
    </w:p>
    <w:p w14:paraId="32E87738" w14:textId="77777777" w:rsidR="00DD531B" w:rsidRPr="00DD531B" w:rsidRDefault="00DD531B" w:rsidP="00DD531B">
      <w:pPr>
        <w:spacing w:after="0" w:line="276" w:lineRule="auto"/>
        <w:jc w:val="both"/>
        <w:rPr>
          <w:rFonts w:ascii="Times New Roman" w:eastAsia="Calibri" w:hAnsi="Times New Roman" w:cs="Times New Roman"/>
          <w:sz w:val="24"/>
          <w:szCs w:val="24"/>
        </w:rPr>
      </w:pPr>
    </w:p>
    <w:p w14:paraId="1B32681A" w14:textId="77777777" w:rsidR="00DD531B" w:rsidRPr="00DD531B" w:rsidRDefault="00DD531B" w:rsidP="00DD531B">
      <w:pPr>
        <w:spacing w:after="0" w:line="276" w:lineRule="auto"/>
        <w:jc w:val="both"/>
        <w:rPr>
          <w:rFonts w:ascii="Times New Roman" w:eastAsia="Times New Roman" w:hAnsi="Times New Roman" w:cs="Times New Roman"/>
          <w:color w:val="000000"/>
          <w:sz w:val="23"/>
          <w:szCs w:val="23"/>
          <w:lang w:eastAsia="sk-SK"/>
        </w:rPr>
      </w:pPr>
      <w:r w:rsidRPr="00DD531B">
        <w:rPr>
          <w:rFonts w:ascii="Times New Roman" w:eastAsia="Times New Roman" w:hAnsi="Times New Roman" w:cs="Times New Roman"/>
          <w:color w:val="000000"/>
          <w:sz w:val="23"/>
          <w:szCs w:val="23"/>
          <w:lang w:eastAsia="sk-SK"/>
        </w:rPr>
        <w:t xml:space="preserve">Nižšie sú uvedené príjmy a výdavky jednotlivých kapitol štátneho rozpočtu.  </w:t>
      </w:r>
    </w:p>
    <w:p w14:paraId="77D06F3B" w14:textId="77777777" w:rsidR="00DD531B" w:rsidRPr="00DD531B" w:rsidRDefault="00DD531B" w:rsidP="00DD531B">
      <w:pPr>
        <w:spacing w:after="0" w:line="276" w:lineRule="auto"/>
        <w:jc w:val="both"/>
        <w:rPr>
          <w:rFonts w:ascii="Times New Roman" w:eastAsia="Times New Roman" w:hAnsi="Times New Roman" w:cs="Times New Roman"/>
          <w:color w:val="000000"/>
          <w:sz w:val="23"/>
          <w:szCs w:val="23"/>
          <w:lang w:eastAsia="sk-SK"/>
        </w:rPr>
      </w:pPr>
    </w:p>
    <w:p w14:paraId="124816B5" w14:textId="77777777" w:rsidR="00DD531B" w:rsidRPr="00B4559D" w:rsidRDefault="00DD531B" w:rsidP="00B4559D">
      <w:pPr>
        <w:keepNext/>
        <w:keepLines/>
        <w:spacing w:after="0"/>
        <w:outlineLvl w:val="1"/>
        <w:rPr>
          <w:rFonts w:ascii="Times New Roman" w:eastAsia="Times New Roman" w:hAnsi="Times New Roman" w:cs="Times New Roman"/>
          <w:b/>
          <w:color w:val="5B9BD5" w:themeColor="accent1"/>
          <w:sz w:val="24"/>
          <w:szCs w:val="24"/>
        </w:rPr>
      </w:pPr>
      <w:r w:rsidRPr="00B4559D">
        <w:rPr>
          <w:rFonts w:ascii="Times New Roman" w:eastAsia="Times New Roman" w:hAnsi="Times New Roman" w:cs="Times New Roman"/>
          <w:b/>
          <w:color w:val="5B9BD5" w:themeColor="accent1"/>
          <w:sz w:val="24"/>
          <w:szCs w:val="24"/>
        </w:rPr>
        <w:t>Kancelária Národnej rady SR</w:t>
      </w:r>
    </w:p>
    <w:p w14:paraId="729BE35C" w14:textId="77777777" w:rsidR="00DD531B" w:rsidRPr="00DD531B" w:rsidRDefault="00DD531B" w:rsidP="00B4559D">
      <w:pPr>
        <w:rPr>
          <w:rFonts w:ascii="Times New Roman" w:eastAsia="Calibri" w:hAnsi="Times New Roman" w:cs="Times New Roman"/>
        </w:rPr>
      </w:pPr>
    </w:p>
    <w:p w14:paraId="616E36CF" w14:textId="4B882E62" w:rsidR="00DD531B" w:rsidRPr="00B4559D" w:rsidRDefault="00B4559D" w:rsidP="00B4559D">
      <w:pPr>
        <w:keepNext/>
        <w:keepLines/>
        <w:spacing w:after="0"/>
        <w:outlineLvl w:val="3"/>
        <w:rPr>
          <w:rFonts w:ascii="Times New Roman" w:eastAsia="Times New Roman" w:hAnsi="Times New Roman" w:cs="Times New Roman"/>
          <w:b/>
          <w:iCs/>
          <w:color w:val="5B9BD5" w:themeColor="accent1"/>
          <w:sz w:val="20"/>
          <w:szCs w:val="20"/>
          <w:lang w:eastAsia="sk-SK"/>
        </w:rPr>
      </w:pPr>
      <w:bookmarkStart w:id="183" w:name="_Toc153013053"/>
      <w:r w:rsidRPr="00B4559D">
        <w:rPr>
          <w:rFonts w:ascii="Times New Roman" w:eastAsia="Times New Roman" w:hAnsi="Times New Roman" w:cs="Times New Roman"/>
          <w:b/>
          <w:iCs/>
          <w:color w:val="5B9BD5" w:themeColor="accent1"/>
          <w:sz w:val="20"/>
          <w:szCs w:val="20"/>
          <w:lang w:eastAsia="sk-SK"/>
        </w:rPr>
        <w:t xml:space="preserve">Tabuľka </w:t>
      </w:r>
      <w:r w:rsidRPr="00B4559D">
        <w:rPr>
          <w:rFonts w:ascii="Times New Roman" w:hAnsi="Times New Roman" w:cs="Times New Roman"/>
          <w:b/>
          <w:color w:val="5B9BD5" w:themeColor="accent1"/>
          <w:sz w:val="20"/>
          <w:szCs w:val="20"/>
        </w:rPr>
        <w:fldChar w:fldCharType="begin"/>
      </w:r>
      <w:r w:rsidRPr="00B4559D">
        <w:rPr>
          <w:rFonts w:ascii="Times New Roman" w:hAnsi="Times New Roman" w:cs="Times New Roman"/>
          <w:b/>
          <w:color w:val="5B9BD5" w:themeColor="accent1"/>
          <w:sz w:val="20"/>
          <w:szCs w:val="20"/>
        </w:rPr>
        <w:instrText xml:space="preserve"> SEQ Tabuľka \* ARABIC </w:instrText>
      </w:r>
      <w:r w:rsidRPr="00B4559D">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55</w:t>
      </w:r>
      <w:r w:rsidRPr="00B4559D">
        <w:rPr>
          <w:rFonts w:ascii="Times New Roman" w:hAnsi="Times New Roman" w:cs="Times New Roman"/>
          <w:b/>
          <w:color w:val="5B9BD5" w:themeColor="accent1"/>
          <w:sz w:val="20"/>
          <w:szCs w:val="20"/>
        </w:rPr>
        <w:fldChar w:fldCharType="end"/>
      </w:r>
      <w:r w:rsidRPr="00B4559D">
        <w:rPr>
          <w:rFonts w:ascii="Times New Roman" w:hAnsi="Times New Roman" w:cs="Times New Roman"/>
          <w:b/>
          <w:color w:val="5B9BD5" w:themeColor="accent1"/>
          <w:sz w:val="20"/>
          <w:szCs w:val="20"/>
        </w:rPr>
        <w:t xml:space="preserve"> </w:t>
      </w:r>
      <w:r w:rsidRPr="00B4559D">
        <w:rPr>
          <w:rFonts w:ascii="Times New Roman" w:eastAsia="Times New Roman" w:hAnsi="Times New Roman" w:cs="Times New Roman"/>
          <w:b/>
          <w:iCs/>
          <w:color w:val="5B9BD5" w:themeColor="accent1"/>
          <w:sz w:val="20"/>
          <w:szCs w:val="20"/>
          <w:lang w:eastAsia="sk-SK"/>
        </w:rPr>
        <w:t xml:space="preserve">- </w:t>
      </w:r>
      <w:r w:rsidR="00DD531B" w:rsidRPr="00B4559D">
        <w:rPr>
          <w:rFonts w:ascii="Times New Roman" w:eastAsia="Times New Roman" w:hAnsi="Times New Roman" w:cs="Times New Roman"/>
          <w:b/>
          <w:iCs/>
          <w:color w:val="5B9BD5" w:themeColor="accent1"/>
          <w:sz w:val="20"/>
          <w:szCs w:val="20"/>
          <w:lang w:eastAsia="sk-SK"/>
        </w:rPr>
        <w:t>Príjmy kapitoly KNR SR</w:t>
      </w:r>
      <w:bookmarkEnd w:id="183"/>
    </w:p>
    <w:tbl>
      <w:tblPr>
        <w:tblW w:w="5000" w:type="pct"/>
        <w:tblCellMar>
          <w:left w:w="70" w:type="dxa"/>
          <w:right w:w="70" w:type="dxa"/>
        </w:tblCellMar>
        <w:tblLook w:val="04A0" w:firstRow="1" w:lastRow="0" w:firstColumn="1" w:lastColumn="0" w:noHBand="0" w:noVBand="1"/>
      </w:tblPr>
      <w:tblGrid>
        <w:gridCol w:w="4498"/>
        <w:gridCol w:w="653"/>
        <w:gridCol w:w="653"/>
        <w:gridCol w:w="653"/>
        <w:gridCol w:w="714"/>
        <w:gridCol w:w="616"/>
        <w:gridCol w:w="631"/>
        <w:gridCol w:w="654"/>
      </w:tblGrid>
      <w:tr w:rsidR="00DD531B" w:rsidRPr="00DD531B" w14:paraId="3CB94086" w14:textId="77777777" w:rsidTr="001F24AE">
        <w:trPr>
          <w:trHeight w:val="300"/>
        </w:trPr>
        <w:tc>
          <w:tcPr>
            <w:tcW w:w="2123" w:type="pct"/>
            <w:tcBorders>
              <w:top w:val="single" w:sz="4" w:space="0" w:color="auto"/>
              <w:left w:val="nil"/>
              <w:bottom w:val="single" w:sz="4" w:space="0" w:color="auto"/>
              <w:right w:val="nil"/>
            </w:tcBorders>
            <w:shd w:val="clear" w:color="auto" w:fill="auto"/>
            <w:noWrap/>
            <w:vAlign w:val="center"/>
            <w:hideMark/>
          </w:tcPr>
          <w:p w14:paraId="5C397CBD" w14:textId="77777777" w:rsidR="00DD531B" w:rsidRPr="00B4559D" w:rsidRDefault="00DD531B" w:rsidP="00DD531B">
            <w:pPr>
              <w:spacing w:after="0" w:line="240" w:lineRule="auto"/>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v tis. eur</w:t>
            </w:r>
          </w:p>
        </w:tc>
        <w:tc>
          <w:tcPr>
            <w:tcW w:w="411" w:type="pct"/>
            <w:tcBorders>
              <w:top w:val="single" w:sz="4" w:space="0" w:color="auto"/>
              <w:left w:val="nil"/>
              <w:bottom w:val="single" w:sz="4" w:space="0" w:color="auto"/>
              <w:right w:val="nil"/>
            </w:tcBorders>
            <w:shd w:val="clear" w:color="auto" w:fill="auto"/>
            <w:noWrap/>
            <w:vAlign w:val="center"/>
            <w:hideMark/>
          </w:tcPr>
          <w:p w14:paraId="24733AD3"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2021 S</w:t>
            </w:r>
          </w:p>
        </w:tc>
        <w:tc>
          <w:tcPr>
            <w:tcW w:w="411" w:type="pct"/>
            <w:tcBorders>
              <w:top w:val="single" w:sz="4" w:space="0" w:color="auto"/>
              <w:left w:val="nil"/>
              <w:bottom w:val="single" w:sz="4" w:space="0" w:color="auto"/>
              <w:right w:val="nil"/>
            </w:tcBorders>
            <w:shd w:val="clear" w:color="auto" w:fill="auto"/>
            <w:noWrap/>
            <w:vAlign w:val="center"/>
            <w:hideMark/>
          </w:tcPr>
          <w:p w14:paraId="73A47429"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2022 S</w:t>
            </w:r>
          </w:p>
        </w:tc>
        <w:tc>
          <w:tcPr>
            <w:tcW w:w="411" w:type="pct"/>
            <w:tcBorders>
              <w:top w:val="single" w:sz="4" w:space="0" w:color="auto"/>
              <w:left w:val="nil"/>
              <w:bottom w:val="single" w:sz="4" w:space="0" w:color="auto"/>
              <w:right w:val="nil"/>
            </w:tcBorders>
            <w:shd w:val="clear" w:color="auto" w:fill="auto"/>
            <w:noWrap/>
            <w:vAlign w:val="center"/>
            <w:hideMark/>
          </w:tcPr>
          <w:p w14:paraId="07093BFD"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2023 R</w:t>
            </w:r>
          </w:p>
        </w:tc>
        <w:tc>
          <w:tcPr>
            <w:tcW w:w="411" w:type="pct"/>
            <w:tcBorders>
              <w:top w:val="single" w:sz="4" w:space="0" w:color="auto"/>
              <w:left w:val="nil"/>
              <w:bottom w:val="single" w:sz="4" w:space="0" w:color="auto"/>
              <w:right w:val="nil"/>
            </w:tcBorders>
            <w:shd w:val="clear" w:color="auto" w:fill="auto"/>
            <w:noWrap/>
            <w:vAlign w:val="center"/>
            <w:hideMark/>
          </w:tcPr>
          <w:p w14:paraId="084F0C64"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2023 OS</w:t>
            </w:r>
          </w:p>
        </w:tc>
        <w:tc>
          <w:tcPr>
            <w:tcW w:w="411" w:type="pct"/>
            <w:tcBorders>
              <w:top w:val="single" w:sz="4" w:space="0" w:color="auto"/>
              <w:left w:val="nil"/>
              <w:bottom w:val="single" w:sz="4" w:space="0" w:color="auto"/>
              <w:right w:val="nil"/>
            </w:tcBorders>
            <w:shd w:val="clear" w:color="auto" w:fill="auto"/>
            <w:noWrap/>
            <w:vAlign w:val="center"/>
            <w:hideMark/>
          </w:tcPr>
          <w:p w14:paraId="5B9B03A3"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2024 N</w:t>
            </w:r>
          </w:p>
        </w:tc>
        <w:tc>
          <w:tcPr>
            <w:tcW w:w="411" w:type="pct"/>
            <w:tcBorders>
              <w:top w:val="single" w:sz="4" w:space="0" w:color="auto"/>
              <w:left w:val="nil"/>
              <w:bottom w:val="single" w:sz="4" w:space="0" w:color="auto"/>
              <w:right w:val="nil"/>
            </w:tcBorders>
            <w:shd w:val="clear" w:color="auto" w:fill="auto"/>
            <w:noWrap/>
            <w:vAlign w:val="center"/>
            <w:hideMark/>
          </w:tcPr>
          <w:p w14:paraId="64E75D9A"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2025 N</w:t>
            </w:r>
          </w:p>
        </w:tc>
        <w:tc>
          <w:tcPr>
            <w:tcW w:w="411" w:type="pct"/>
            <w:tcBorders>
              <w:top w:val="single" w:sz="4" w:space="0" w:color="auto"/>
              <w:left w:val="nil"/>
              <w:bottom w:val="single" w:sz="4" w:space="0" w:color="auto"/>
              <w:right w:val="nil"/>
            </w:tcBorders>
            <w:shd w:val="clear" w:color="auto" w:fill="auto"/>
            <w:noWrap/>
            <w:vAlign w:val="center"/>
            <w:hideMark/>
          </w:tcPr>
          <w:p w14:paraId="1AFED189"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2026 N</w:t>
            </w:r>
          </w:p>
        </w:tc>
      </w:tr>
      <w:tr w:rsidR="00DD531B" w:rsidRPr="00DD531B" w14:paraId="1E33E4B6" w14:textId="77777777" w:rsidTr="001F24AE">
        <w:trPr>
          <w:trHeight w:val="300"/>
        </w:trPr>
        <w:tc>
          <w:tcPr>
            <w:tcW w:w="2123" w:type="pct"/>
            <w:tcBorders>
              <w:top w:val="nil"/>
              <w:left w:val="nil"/>
              <w:bottom w:val="nil"/>
              <w:right w:val="nil"/>
            </w:tcBorders>
            <w:shd w:val="clear" w:color="auto" w:fill="auto"/>
            <w:noWrap/>
            <w:vAlign w:val="bottom"/>
            <w:hideMark/>
          </w:tcPr>
          <w:p w14:paraId="29ED20A9" w14:textId="77777777" w:rsidR="00DD531B" w:rsidRPr="00B4559D" w:rsidRDefault="00DD531B" w:rsidP="00DD531B">
            <w:pPr>
              <w:spacing w:after="0" w:line="240" w:lineRule="auto"/>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Príjmy kapitoly spolu</w:t>
            </w:r>
          </w:p>
        </w:tc>
        <w:tc>
          <w:tcPr>
            <w:tcW w:w="411" w:type="pct"/>
            <w:tcBorders>
              <w:top w:val="nil"/>
              <w:left w:val="nil"/>
              <w:bottom w:val="nil"/>
              <w:right w:val="nil"/>
            </w:tcBorders>
            <w:shd w:val="clear" w:color="auto" w:fill="auto"/>
            <w:noWrap/>
            <w:vAlign w:val="bottom"/>
            <w:hideMark/>
          </w:tcPr>
          <w:p w14:paraId="090AADEB" w14:textId="77777777" w:rsidR="00DD531B" w:rsidRPr="00B4559D"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1 036</w:t>
            </w:r>
          </w:p>
        </w:tc>
        <w:tc>
          <w:tcPr>
            <w:tcW w:w="411" w:type="pct"/>
            <w:tcBorders>
              <w:top w:val="nil"/>
              <w:left w:val="nil"/>
              <w:bottom w:val="nil"/>
              <w:right w:val="nil"/>
            </w:tcBorders>
            <w:shd w:val="clear" w:color="auto" w:fill="auto"/>
            <w:noWrap/>
            <w:vAlign w:val="bottom"/>
            <w:hideMark/>
          </w:tcPr>
          <w:p w14:paraId="79BEBE86" w14:textId="77777777" w:rsidR="00DD531B" w:rsidRPr="00B4559D"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1 921</w:t>
            </w:r>
          </w:p>
        </w:tc>
        <w:tc>
          <w:tcPr>
            <w:tcW w:w="411" w:type="pct"/>
            <w:tcBorders>
              <w:top w:val="nil"/>
              <w:left w:val="nil"/>
              <w:bottom w:val="nil"/>
              <w:right w:val="nil"/>
            </w:tcBorders>
            <w:shd w:val="clear" w:color="auto" w:fill="auto"/>
            <w:noWrap/>
            <w:vAlign w:val="bottom"/>
            <w:hideMark/>
          </w:tcPr>
          <w:p w14:paraId="25A016B0" w14:textId="77777777" w:rsidR="00DD531B" w:rsidRPr="00B4559D"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1 400</w:t>
            </w:r>
          </w:p>
        </w:tc>
        <w:tc>
          <w:tcPr>
            <w:tcW w:w="411" w:type="pct"/>
            <w:tcBorders>
              <w:top w:val="nil"/>
              <w:left w:val="nil"/>
              <w:bottom w:val="nil"/>
              <w:right w:val="nil"/>
            </w:tcBorders>
            <w:shd w:val="clear" w:color="auto" w:fill="auto"/>
            <w:noWrap/>
            <w:vAlign w:val="bottom"/>
            <w:hideMark/>
          </w:tcPr>
          <w:p w14:paraId="09932918" w14:textId="77777777" w:rsidR="00DD531B" w:rsidRPr="00B4559D"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1 400</w:t>
            </w:r>
          </w:p>
        </w:tc>
        <w:tc>
          <w:tcPr>
            <w:tcW w:w="411" w:type="pct"/>
            <w:tcBorders>
              <w:top w:val="nil"/>
              <w:left w:val="nil"/>
              <w:bottom w:val="nil"/>
              <w:right w:val="nil"/>
            </w:tcBorders>
            <w:shd w:val="clear" w:color="auto" w:fill="auto"/>
            <w:noWrap/>
            <w:vAlign w:val="bottom"/>
            <w:hideMark/>
          </w:tcPr>
          <w:p w14:paraId="6D9C384F" w14:textId="77777777" w:rsidR="00DD531B" w:rsidRPr="00B4559D"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1 400</w:t>
            </w:r>
          </w:p>
        </w:tc>
        <w:tc>
          <w:tcPr>
            <w:tcW w:w="411" w:type="pct"/>
            <w:tcBorders>
              <w:top w:val="nil"/>
              <w:left w:val="nil"/>
              <w:bottom w:val="nil"/>
              <w:right w:val="nil"/>
            </w:tcBorders>
            <w:shd w:val="clear" w:color="auto" w:fill="auto"/>
            <w:noWrap/>
            <w:vAlign w:val="bottom"/>
            <w:hideMark/>
          </w:tcPr>
          <w:p w14:paraId="1D29308D" w14:textId="77777777" w:rsidR="00DD531B" w:rsidRPr="00B4559D"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1 400</w:t>
            </w:r>
          </w:p>
        </w:tc>
        <w:tc>
          <w:tcPr>
            <w:tcW w:w="411" w:type="pct"/>
            <w:tcBorders>
              <w:top w:val="nil"/>
              <w:left w:val="nil"/>
              <w:bottom w:val="nil"/>
              <w:right w:val="nil"/>
            </w:tcBorders>
            <w:shd w:val="clear" w:color="auto" w:fill="auto"/>
            <w:noWrap/>
            <w:vAlign w:val="bottom"/>
            <w:hideMark/>
          </w:tcPr>
          <w:p w14:paraId="503862D2" w14:textId="77777777" w:rsidR="00DD531B" w:rsidRPr="00B4559D"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1 400</w:t>
            </w:r>
          </w:p>
        </w:tc>
      </w:tr>
      <w:tr w:rsidR="00DD531B" w:rsidRPr="00DD531B" w14:paraId="7AD725B8" w14:textId="77777777" w:rsidTr="001F24AE">
        <w:trPr>
          <w:trHeight w:val="300"/>
        </w:trPr>
        <w:tc>
          <w:tcPr>
            <w:tcW w:w="2123" w:type="pct"/>
            <w:tcBorders>
              <w:top w:val="nil"/>
              <w:left w:val="nil"/>
              <w:bottom w:val="nil"/>
              <w:right w:val="nil"/>
            </w:tcBorders>
            <w:shd w:val="clear" w:color="auto" w:fill="auto"/>
            <w:noWrap/>
            <w:vAlign w:val="bottom"/>
            <w:hideMark/>
          </w:tcPr>
          <w:p w14:paraId="47D9EC77" w14:textId="77777777" w:rsidR="00DD531B" w:rsidRPr="00B4559D" w:rsidRDefault="00DD531B" w:rsidP="00DD531B">
            <w:pPr>
              <w:spacing w:after="0" w:line="240" w:lineRule="auto"/>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nedaňové príjmy</w:t>
            </w:r>
          </w:p>
        </w:tc>
        <w:tc>
          <w:tcPr>
            <w:tcW w:w="411" w:type="pct"/>
            <w:tcBorders>
              <w:top w:val="nil"/>
              <w:left w:val="nil"/>
              <w:bottom w:val="nil"/>
              <w:right w:val="nil"/>
            </w:tcBorders>
            <w:shd w:val="clear" w:color="auto" w:fill="auto"/>
            <w:noWrap/>
            <w:vAlign w:val="bottom"/>
            <w:hideMark/>
          </w:tcPr>
          <w:p w14:paraId="0E515C9D"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976</w:t>
            </w:r>
          </w:p>
        </w:tc>
        <w:tc>
          <w:tcPr>
            <w:tcW w:w="411" w:type="pct"/>
            <w:tcBorders>
              <w:top w:val="nil"/>
              <w:left w:val="nil"/>
              <w:bottom w:val="nil"/>
              <w:right w:val="nil"/>
            </w:tcBorders>
            <w:shd w:val="clear" w:color="auto" w:fill="auto"/>
            <w:noWrap/>
            <w:vAlign w:val="bottom"/>
            <w:hideMark/>
          </w:tcPr>
          <w:p w14:paraId="625A9C2B"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1 917</w:t>
            </w:r>
          </w:p>
        </w:tc>
        <w:tc>
          <w:tcPr>
            <w:tcW w:w="411" w:type="pct"/>
            <w:tcBorders>
              <w:top w:val="nil"/>
              <w:left w:val="nil"/>
              <w:bottom w:val="nil"/>
              <w:right w:val="nil"/>
            </w:tcBorders>
            <w:shd w:val="clear" w:color="auto" w:fill="auto"/>
            <w:noWrap/>
            <w:vAlign w:val="bottom"/>
            <w:hideMark/>
          </w:tcPr>
          <w:p w14:paraId="4926131C"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1 400</w:t>
            </w:r>
          </w:p>
        </w:tc>
        <w:tc>
          <w:tcPr>
            <w:tcW w:w="411" w:type="pct"/>
            <w:tcBorders>
              <w:top w:val="nil"/>
              <w:left w:val="nil"/>
              <w:bottom w:val="nil"/>
              <w:right w:val="nil"/>
            </w:tcBorders>
            <w:shd w:val="clear" w:color="auto" w:fill="auto"/>
            <w:noWrap/>
            <w:vAlign w:val="bottom"/>
            <w:hideMark/>
          </w:tcPr>
          <w:p w14:paraId="54B7EBD1"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1 400</w:t>
            </w:r>
          </w:p>
        </w:tc>
        <w:tc>
          <w:tcPr>
            <w:tcW w:w="411" w:type="pct"/>
            <w:tcBorders>
              <w:top w:val="nil"/>
              <w:left w:val="nil"/>
              <w:bottom w:val="nil"/>
              <w:right w:val="nil"/>
            </w:tcBorders>
            <w:shd w:val="clear" w:color="auto" w:fill="auto"/>
            <w:noWrap/>
            <w:vAlign w:val="bottom"/>
            <w:hideMark/>
          </w:tcPr>
          <w:p w14:paraId="2EDE982E"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1 400</w:t>
            </w:r>
          </w:p>
        </w:tc>
        <w:tc>
          <w:tcPr>
            <w:tcW w:w="411" w:type="pct"/>
            <w:tcBorders>
              <w:top w:val="nil"/>
              <w:left w:val="nil"/>
              <w:bottom w:val="nil"/>
              <w:right w:val="nil"/>
            </w:tcBorders>
            <w:shd w:val="clear" w:color="auto" w:fill="auto"/>
            <w:noWrap/>
            <w:vAlign w:val="bottom"/>
            <w:hideMark/>
          </w:tcPr>
          <w:p w14:paraId="2C80DBBA"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1 400</w:t>
            </w:r>
          </w:p>
        </w:tc>
        <w:tc>
          <w:tcPr>
            <w:tcW w:w="411" w:type="pct"/>
            <w:tcBorders>
              <w:top w:val="nil"/>
              <w:left w:val="nil"/>
              <w:bottom w:val="nil"/>
              <w:right w:val="nil"/>
            </w:tcBorders>
            <w:shd w:val="clear" w:color="auto" w:fill="auto"/>
            <w:noWrap/>
            <w:vAlign w:val="bottom"/>
            <w:hideMark/>
          </w:tcPr>
          <w:p w14:paraId="667A3F31"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1 400</w:t>
            </w:r>
          </w:p>
        </w:tc>
      </w:tr>
      <w:tr w:rsidR="00DD531B" w:rsidRPr="00DD531B" w14:paraId="45524A75" w14:textId="77777777" w:rsidTr="001F24AE">
        <w:trPr>
          <w:trHeight w:val="300"/>
        </w:trPr>
        <w:tc>
          <w:tcPr>
            <w:tcW w:w="2123" w:type="pct"/>
            <w:tcBorders>
              <w:top w:val="nil"/>
              <w:left w:val="nil"/>
              <w:bottom w:val="single" w:sz="4" w:space="0" w:color="auto"/>
              <w:right w:val="nil"/>
            </w:tcBorders>
            <w:shd w:val="clear" w:color="auto" w:fill="auto"/>
            <w:noWrap/>
            <w:vAlign w:val="bottom"/>
            <w:hideMark/>
          </w:tcPr>
          <w:p w14:paraId="2ACF0BC4" w14:textId="77777777" w:rsidR="00DD531B" w:rsidRPr="00B4559D" w:rsidRDefault="00DD531B" w:rsidP="00DD531B">
            <w:pPr>
              <w:spacing w:after="0" w:line="240" w:lineRule="auto"/>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prostriedky podľa § 17 ods. 4 a § 22 ods. 4 zákona č. 523/2004 Z. z.</w:t>
            </w:r>
          </w:p>
        </w:tc>
        <w:tc>
          <w:tcPr>
            <w:tcW w:w="411" w:type="pct"/>
            <w:tcBorders>
              <w:top w:val="nil"/>
              <w:left w:val="nil"/>
              <w:bottom w:val="single" w:sz="4" w:space="0" w:color="auto"/>
              <w:right w:val="nil"/>
            </w:tcBorders>
            <w:shd w:val="clear" w:color="auto" w:fill="auto"/>
            <w:noWrap/>
            <w:vAlign w:val="bottom"/>
            <w:hideMark/>
          </w:tcPr>
          <w:p w14:paraId="640324DC"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60</w:t>
            </w:r>
          </w:p>
        </w:tc>
        <w:tc>
          <w:tcPr>
            <w:tcW w:w="411" w:type="pct"/>
            <w:tcBorders>
              <w:top w:val="nil"/>
              <w:left w:val="nil"/>
              <w:bottom w:val="single" w:sz="4" w:space="0" w:color="auto"/>
              <w:right w:val="nil"/>
            </w:tcBorders>
            <w:shd w:val="clear" w:color="auto" w:fill="auto"/>
            <w:noWrap/>
            <w:vAlign w:val="bottom"/>
            <w:hideMark/>
          </w:tcPr>
          <w:p w14:paraId="67A9F0C6"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w:t>
            </w:r>
          </w:p>
        </w:tc>
        <w:tc>
          <w:tcPr>
            <w:tcW w:w="411" w:type="pct"/>
            <w:tcBorders>
              <w:top w:val="nil"/>
              <w:left w:val="nil"/>
              <w:bottom w:val="single" w:sz="4" w:space="0" w:color="auto"/>
              <w:right w:val="nil"/>
            </w:tcBorders>
            <w:shd w:val="clear" w:color="auto" w:fill="auto"/>
            <w:noWrap/>
            <w:vAlign w:val="bottom"/>
            <w:hideMark/>
          </w:tcPr>
          <w:p w14:paraId="7D86C87F"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11" w:type="pct"/>
            <w:tcBorders>
              <w:top w:val="nil"/>
              <w:left w:val="nil"/>
              <w:bottom w:val="single" w:sz="4" w:space="0" w:color="auto"/>
              <w:right w:val="nil"/>
            </w:tcBorders>
            <w:shd w:val="clear" w:color="auto" w:fill="auto"/>
            <w:noWrap/>
            <w:vAlign w:val="bottom"/>
            <w:hideMark/>
          </w:tcPr>
          <w:p w14:paraId="36C6B7E8"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11" w:type="pct"/>
            <w:tcBorders>
              <w:top w:val="nil"/>
              <w:left w:val="nil"/>
              <w:bottom w:val="single" w:sz="4" w:space="0" w:color="auto"/>
              <w:right w:val="nil"/>
            </w:tcBorders>
            <w:shd w:val="clear" w:color="auto" w:fill="auto"/>
            <w:noWrap/>
            <w:vAlign w:val="bottom"/>
            <w:hideMark/>
          </w:tcPr>
          <w:p w14:paraId="008A1E38"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11" w:type="pct"/>
            <w:tcBorders>
              <w:top w:val="nil"/>
              <w:left w:val="nil"/>
              <w:bottom w:val="single" w:sz="4" w:space="0" w:color="auto"/>
              <w:right w:val="nil"/>
            </w:tcBorders>
            <w:shd w:val="clear" w:color="auto" w:fill="auto"/>
            <w:noWrap/>
            <w:vAlign w:val="bottom"/>
            <w:hideMark/>
          </w:tcPr>
          <w:p w14:paraId="4DB60324"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11" w:type="pct"/>
            <w:tcBorders>
              <w:top w:val="nil"/>
              <w:left w:val="nil"/>
              <w:bottom w:val="single" w:sz="4" w:space="0" w:color="auto"/>
              <w:right w:val="nil"/>
            </w:tcBorders>
            <w:shd w:val="clear" w:color="auto" w:fill="auto"/>
            <w:noWrap/>
            <w:vAlign w:val="bottom"/>
            <w:hideMark/>
          </w:tcPr>
          <w:p w14:paraId="5AA349C7"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r>
    </w:tbl>
    <w:p w14:paraId="00FF4B51" w14:textId="77777777" w:rsidR="00DD531B" w:rsidRPr="00DD531B" w:rsidRDefault="00DD531B" w:rsidP="00DD531B">
      <w:pPr>
        <w:rPr>
          <w:rFonts w:ascii="Times New Roman" w:eastAsia="Calibri" w:hAnsi="Times New Roman" w:cs="Times New Roman"/>
        </w:rPr>
      </w:pPr>
    </w:p>
    <w:p w14:paraId="5CF9099D" w14:textId="02CFFDC4" w:rsidR="00DD531B" w:rsidRPr="00B4559D" w:rsidRDefault="00B4559D"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184" w:name="_Toc153013054"/>
      <w:r w:rsidRPr="00B4559D">
        <w:rPr>
          <w:rFonts w:ascii="Times New Roman" w:eastAsia="Times New Roman" w:hAnsi="Times New Roman" w:cs="Times New Roman"/>
          <w:b/>
          <w:iCs/>
          <w:color w:val="5B9BD5" w:themeColor="accent1"/>
          <w:sz w:val="20"/>
          <w:szCs w:val="20"/>
          <w:lang w:eastAsia="sk-SK"/>
        </w:rPr>
        <w:t xml:space="preserve">Tabuľka </w:t>
      </w:r>
      <w:r w:rsidRPr="00B4559D">
        <w:rPr>
          <w:rFonts w:ascii="Times New Roman" w:hAnsi="Times New Roman" w:cs="Times New Roman"/>
          <w:b/>
          <w:color w:val="5B9BD5" w:themeColor="accent1"/>
          <w:sz w:val="20"/>
          <w:szCs w:val="20"/>
        </w:rPr>
        <w:fldChar w:fldCharType="begin"/>
      </w:r>
      <w:r w:rsidRPr="00B4559D">
        <w:rPr>
          <w:rFonts w:ascii="Times New Roman" w:hAnsi="Times New Roman" w:cs="Times New Roman"/>
          <w:b/>
          <w:color w:val="5B9BD5" w:themeColor="accent1"/>
          <w:sz w:val="20"/>
          <w:szCs w:val="20"/>
        </w:rPr>
        <w:instrText xml:space="preserve"> SEQ Tabuľka \* ARABIC </w:instrText>
      </w:r>
      <w:r w:rsidRPr="00B4559D">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56</w:t>
      </w:r>
      <w:r w:rsidRPr="00B4559D">
        <w:rPr>
          <w:rFonts w:ascii="Times New Roman" w:hAnsi="Times New Roman" w:cs="Times New Roman"/>
          <w:b/>
          <w:color w:val="5B9BD5" w:themeColor="accent1"/>
          <w:sz w:val="20"/>
          <w:szCs w:val="20"/>
        </w:rPr>
        <w:fldChar w:fldCharType="end"/>
      </w:r>
      <w:r w:rsidRPr="00B4559D">
        <w:rPr>
          <w:rFonts w:ascii="Times New Roman" w:hAnsi="Times New Roman" w:cs="Times New Roman"/>
          <w:b/>
          <w:color w:val="5B9BD5" w:themeColor="accent1"/>
          <w:sz w:val="20"/>
          <w:szCs w:val="20"/>
        </w:rPr>
        <w:t xml:space="preserve"> - </w:t>
      </w:r>
      <w:r w:rsidR="00DD531B" w:rsidRPr="00B4559D">
        <w:rPr>
          <w:rFonts w:ascii="Times New Roman" w:eastAsia="Times New Roman" w:hAnsi="Times New Roman" w:cs="Times New Roman"/>
          <w:b/>
          <w:iCs/>
          <w:color w:val="5B9BD5" w:themeColor="accent1"/>
          <w:sz w:val="20"/>
          <w:szCs w:val="20"/>
          <w:lang w:eastAsia="sk-SK"/>
        </w:rPr>
        <w:t>Výdavky kapitoly KNR SR</w:t>
      </w:r>
      <w:bookmarkEnd w:id="184"/>
    </w:p>
    <w:tbl>
      <w:tblPr>
        <w:tblW w:w="5000" w:type="pct"/>
        <w:tblCellMar>
          <w:left w:w="70" w:type="dxa"/>
          <w:right w:w="70" w:type="dxa"/>
        </w:tblCellMar>
        <w:tblLook w:val="04A0" w:firstRow="1" w:lastRow="0" w:firstColumn="1" w:lastColumn="0" w:noHBand="0" w:noVBand="1"/>
      </w:tblPr>
      <w:tblGrid>
        <w:gridCol w:w="3851"/>
        <w:gridCol w:w="745"/>
        <w:gridCol w:w="746"/>
        <w:gridCol w:w="746"/>
        <w:gridCol w:w="746"/>
        <w:gridCol w:w="746"/>
        <w:gridCol w:w="746"/>
        <w:gridCol w:w="746"/>
      </w:tblGrid>
      <w:tr w:rsidR="00DD531B" w:rsidRPr="00B4559D" w14:paraId="602836AE" w14:textId="77777777" w:rsidTr="001F24AE">
        <w:trPr>
          <w:trHeight w:val="300"/>
        </w:trPr>
        <w:tc>
          <w:tcPr>
            <w:tcW w:w="2123" w:type="pct"/>
            <w:tcBorders>
              <w:top w:val="single" w:sz="4" w:space="0" w:color="auto"/>
              <w:left w:val="nil"/>
              <w:bottom w:val="single" w:sz="4" w:space="0" w:color="auto"/>
              <w:right w:val="nil"/>
            </w:tcBorders>
            <w:shd w:val="clear" w:color="auto" w:fill="auto"/>
            <w:noWrap/>
            <w:vAlign w:val="center"/>
            <w:hideMark/>
          </w:tcPr>
          <w:p w14:paraId="58F2A5CD" w14:textId="77777777" w:rsidR="00DD531B" w:rsidRPr="00B4559D" w:rsidRDefault="00DD531B" w:rsidP="00DD531B">
            <w:pPr>
              <w:spacing w:after="0" w:line="240" w:lineRule="auto"/>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v tis. eur</w:t>
            </w:r>
          </w:p>
        </w:tc>
        <w:tc>
          <w:tcPr>
            <w:tcW w:w="411" w:type="pct"/>
            <w:tcBorders>
              <w:top w:val="single" w:sz="4" w:space="0" w:color="auto"/>
              <w:left w:val="nil"/>
              <w:bottom w:val="single" w:sz="4" w:space="0" w:color="auto"/>
              <w:right w:val="nil"/>
            </w:tcBorders>
            <w:shd w:val="clear" w:color="auto" w:fill="auto"/>
            <w:noWrap/>
            <w:vAlign w:val="center"/>
            <w:hideMark/>
          </w:tcPr>
          <w:p w14:paraId="6FCF7FA3"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2021 S</w:t>
            </w:r>
          </w:p>
        </w:tc>
        <w:tc>
          <w:tcPr>
            <w:tcW w:w="411" w:type="pct"/>
            <w:tcBorders>
              <w:top w:val="single" w:sz="4" w:space="0" w:color="auto"/>
              <w:left w:val="nil"/>
              <w:bottom w:val="single" w:sz="4" w:space="0" w:color="auto"/>
              <w:right w:val="nil"/>
            </w:tcBorders>
            <w:shd w:val="clear" w:color="auto" w:fill="auto"/>
            <w:noWrap/>
            <w:vAlign w:val="center"/>
            <w:hideMark/>
          </w:tcPr>
          <w:p w14:paraId="06608C13"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2022 S</w:t>
            </w:r>
          </w:p>
        </w:tc>
        <w:tc>
          <w:tcPr>
            <w:tcW w:w="411" w:type="pct"/>
            <w:tcBorders>
              <w:top w:val="single" w:sz="4" w:space="0" w:color="auto"/>
              <w:left w:val="nil"/>
              <w:bottom w:val="single" w:sz="4" w:space="0" w:color="auto"/>
              <w:right w:val="nil"/>
            </w:tcBorders>
            <w:shd w:val="clear" w:color="auto" w:fill="auto"/>
            <w:noWrap/>
            <w:vAlign w:val="center"/>
            <w:hideMark/>
          </w:tcPr>
          <w:p w14:paraId="40EA721E"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2023 R</w:t>
            </w:r>
          </w:p>
        </w:tc>
        <w:tc>
          <w:tcPr>
            <w:tcW w:w="411" w:type="pct"/>
            <w:tcBorders>
              <w:top w:val="single" w:sz="4" w:space="0" w:color="auto"/>
              <w:left w:val="nil"/>
              <w:bottom w:val="single" w:sz="4" w:space="0" w:color="auto"/>
              <w:right w:val="nil"/>
            </w:tcBorders>
            <w:shd w:val="clear" w:color="auto" w:fill="auto"/>
            <w:noWrap/>
            <w:vAlign w:val="center"/>
            <w:hideMark/>
          </w:tcPr>
          <w:p w14:paraId="7D28D218"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2023 OS</w:t>
            </w:r>
          </w:p>
        </w:tc>
        <w:tc>
          <w:tcPr>
            <w:tcW w:w="411" w:type="pct"/>
            <w:tcBorders>
              <w:top w:val="single" w:sz="4" w:space="0" w:color="auto"/>
              <w:left w:val="nil"/>
              <w:bottom w:val="single" w:sz="4" w:space="0" w:color="auto"/>
              <w:right w:val="nil"/>
            </w:tcBorders>
            <w:shd w:val="clear" w:color="auto" w:fill="auto"/>
            <w:noWrap/>
            <w:vAlign w:val="center"/>
            <w:hideMark/>
          </w:tcPr>
          <w:p w14:paraId="2210E3D3"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2024 N</w:t>
            </w:r>
          </w:p>
        </w:tc>
        <w:tc>
          <w:tcPr>
            <w:tcW w:w="411" w:type="pct"/>
            <w:tcBorders>
              <w:top w:val="single" w:sz="4" w:space="0" w:color="auto"/>
              <w:left w:val="nil"/>
              <w:bottom w:val="single" w:sz="4" w:space="0" w:color="auto"/>
              <w:right w:val="nil"/>
            </w:tcBorders>
            <w:shd w:val="clear" w:color="auto" w:fill="auto"/>
            <w:noWrap/>
            <w:vAlign w:val="center"/>
            <w:hideMark/>
          </w:tcPr>
          <w:p w14:paraId="7D00C7ED"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2025 N</w:t>
            </w:r>
          </w:p>
        </w:tc>
        <w:tc>
          <w:tcPr>
            <w:tcW w:w="411" w:type="pct"/>
            <w:tcBorders>
              <w:top w:val="single" w:sz="4" w:space="0" w:color="auto"/>
              <w:left w:val="nil"/>
              <w:bottom w:val="single" w:sz="4" w:space="0" w:color="auto"/>
              <w:right w:val="nil"/>
            </w:tcBorders>
            <w:shd w:val="clear" w:color="auto" w:fill="auto"/>
            <w:noWrap/>
            <w:vAlign w:val="center"/>
            <w:hideMark/>
          </w:tcPr>
          <w:p w14:paraId="2202CABB"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2026 N</w:t>
            </w:r>
          </w:p>
        </w:tc>
      </w:tr>
      <w:tr w:rsidR="00DD531B" w:rsidRPr="00B4559D" w14:paraId="5E660845" w14:textId="77777777" w:rsidTr="001F24AE">
        <w:trPr>
          <w:trHeight w:val="300"/>
        </w:trPr>
        <w:tc>
          <w:tcPr>
            <w:tcW w:w="2123" w:type="pct"/>
            <w:tcBorders>
              <w:top w:val="nil"/>
              <w:left w:val="nil"/>
              <w:bottom w:val="nil"/>
              <w:right w:val="nil"/>
            </w:tcBorders>
            <w:shd w:val="clear" w:color="auto" w:fill="auto"/>
            <w:noWrap/>
            <w:vAlign w:val="center"/>
            <w:hideMark/>
          </w:tcPr>
          <w:p w14:paraId="01C6ADBF" w14:textId="77777777" w:rsidR="00DD531B" w:rsidRPr="00B4559D" w:rsidRDefault="00DD531B" w:rsidP="00DD531B">
            <w:pPr>
              <w:spacing w:after="0" w:line="240" w:lineRule="auto"/>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Výdavky kapitoly spolu</w:t>
            </w:r>
          </w:p>
        </w:tc>
        <w:tc>
          <w:tcPr>
            <w:tcW w:w="411" w:type="pct"/>
            <w:tcBorders>
              <w:top w:val="nil"/>
              <w:left w:val="nil"/>
              <w:bottom w:val="nil"/>
              <w:right w:val="nil"/>
            </w:tcBorders>
            <w:shd w:val="clear" w:color="auto" w:fill="auto"/>
            <w:noWrap/>
            <w:vAlign w:val="center"/>
            <w:hideMark/>
          </w:tcPr>
          <w:p w14:paraId="3E042784"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40 416</w:t>
            </w:r>
          </w:p>
        </w:tc>
        <w:tc>
          <w:tcPr>
            <w:tcW w:w="411" w:type="pct"/>
            <w:tcBorders>
              <w:top w:val="nil"/>
              <w:left w:val="nil"/>
              <w:bottom w:val="nil"/>
              <w:right w:val="nil"/>
            </w:tcBorders>
            <w:shd w:val="clear" w:color="auto" w:fill="auto"/>
            <w:noWrap/>
            <w:vAlign w:val="center"/>
            <w:hideMark/>
          </w:tcPr>
          <w:p w14:paraId="406CD676"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41 760</w:t>
            </w:r>
          </w:p>
        </w:tc>
        <w:tc>
          <w:tcPr>
            <w:tcW w:w="411" w:type="pct"/>
            <w:tcBorders>
              <w:top w:val="nil"/>
              <w:left w:val="nil"/>
              <w:bottom w:val="nil"/>
              <w:right w:val="nil"/>
            </w:tcBorders>
            <w:shd w:val="clear" w:color="auto" w:fill="auto"/>
            <w:noWrap/>
            <w:vAlign w:val="center"/>
            <w:hideMark/>
          </w:tcPr>
          <w:p w14:paraId="2A6C3FBD"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42 331</w:t>
            </w:r>
          </w:p>
        </w:tc>
        <w:tc>
          <w:tcPr>
            <w:tcW w:w="411" w:type="pct"/>
            <w:tcBorders>
              <w:top w:val="nil"/>
              <w:left w:val="nil"/>
              <w:bottom w:val="nil"/>
              <w:right w:val="nil"/>
            </w:tcBorders>
            <w:shd w:val="clear" w:color="auto" w:fill="auto"/>
            <w:noWrap/>
            <w:vAlign w:val="center"/>
            <w:hideMark/>
          </w:tcPr>
          <w:p w14:paraId="15D60B75"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50 127</w:t>
            </w:r>
          </w:p>
        </w:tc>
        <w:tc>
          <w:tcPr>
            <w:tcW w:w="411" w:type="pct"/>
            <w:tcBorders>
              <w:top w:val="nil"/>
              <w:left w:val="nil"/>
              <w:bottom w:val="nil"/>
              <w:right w:val="nil"/>
            </w:tcBorders>
            <w:shd w:val="clear" w:color="auto" w:fill="auto"/>
            <w:noWrap/>
            <w:vAlign w:val="center"/>
            <w:hideMark/>
          </w:tcPr>
          <w:p w14:paraId="4F823A28"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48 394</w:t>
            </w:r>
          </w:p>
        </w:tc>
        <w:tc>
          <w:tcPr>
            <w:tcW w:w="411" w:type="pct"/>
            <w:tcBorders>
              <w:top w:val="nil"/>
              <w:left w:val="nil"/>
              <w:bottom w:val="nil"/>
              <w:right w:val="nil"/>
            </w:tcBorders>
            <w:shd w:val="clear" w:color="auto" w:fill="auto"/>
            <w:noWrap/>
            <w:vAlign w:val="center"/>
            <w:hideMark/>
          </w:tcPr>
          <w:p w14:paraId="51FDE247"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49 041</w:t>
            </w:r>
          </w:p>
        </w:tc>
        <w:tc>
          <w:tcPr>
            <w:tcW w:w="411" w:type="pct"/>
            <w:tcBorders>
              <w:top w:val="nil"/>
              <w:left w:val="nil"/>
              <w:bottom w:val="nil"/>
              <w:right w:val="nil"/>
            </w:tcBorders>
            <w:shd w:val="clear" w:color="auto" w:fill="auto"/>
            <w:noWrap/>
            <w:vAlign w:val="center"/>
            <w:hideMark/>
          </w:tcPr>
          <w:p w14:paraId="13DE9E27"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48 649</w:t>
            </w:r>
          </w:p>
        </w:tc>
      </w:tr>
      <w:tr w:rsidR="00DD531B" w:rsidRPr="00B4559D" w14:paraId="7587418E" w14:textId="77777777" w:rsidTr="001F24AE">
        <w:trPr>
          <w:trHeight w:val="300"/>
        </w:trPr>
        <w:tc>
          <w:tcPr>
            <w:tcW w:w="2123" w:type="pct"/>
            <w:tcBorders>
              <w:top w:val="nil"/>
              <w:left w:val="nil"/>
              <w:bottom w:val="nil"/>
              <w:right w:val="nil"/>
            </w:tcBorders>
            <w:shd w:val="clear" w:color="auto" w:fill="auto"/>
            <w:noWrap/>
            <w:vAlign w:val="bottom"/>
            <w:hideMark/>
          </w:tcPr>
          <w:p w14:paraId="0B58318F" w14:textId="77777777" w:rsidR="00DD531B" w:rsidRPr="00B4559D" w:rsidRDefault="00DD531B" w:rsidP="00DD531B">
            <w:pPr>
              <w:spacing w:after="0" w:line="240" w:lineRule="auto"/>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rozpočtové zdroje kapitoly</w:t>
            </w:r>
          </w:p>
        </w:tc>
        <w:tc>
          <w:tcPr>
            <w:tcW w:w="411" w:type="pct"/>
            <w:tcBorders>
              <w:top w:val="nil"/>
              <w:left w:val="nil"/>
              <w:bottom w:val="nil"/>
              <w:right w:val="nil"/>
            </w:tcBorders>
            <w:shd w:val="clear" w:color="auto" w:fill="auto"/>
            <w:noWrap/>
            <w:vAlign w:val="bottom"/>
            <w:hideMark/>
          </w:tcPr>
          <w:p w14:paraId="51720367"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35 415</w:t>
            </w:r>
          </w:p>
        </w:tc>
        <w:tc>
          <w:tcPr>
            <w:tcW w:w="411" w:type="pct"/>
            <w:tcBorders>
              <w:top w:val="nil"/>
              <w:left w:val="nil"/>
              <w:bottom w:val="nil"/>
              <w:right w:val="nil"/>
            </w:tcBorders>
            <w:shd w:val="clear" w:color="auto" w:fill="auto"/>
            <w:noWrap/>
            <w:vAlign w:val="bottom"/>
            <w:hideMark/>
          </w:tcPr>
          <w:p w14:paraId="1DF97910"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38 299</w:t>
            </w:r>
          </w:p>
        </w:tc>
        <w:tc>
          <w:tcPr>
            <w:tcW w:w="411" w:type="pct"/>
            <w:tcBorders>
              <w:top w:val="nil"/>
              <w:left w:val="nil"/>
              <w:bottom w:val="nil"/>
              <w:right w:val="nil"/>
            </w:tcBorders>
            <w:shd w:val="clear" w:color="auto" w:fill="auto"/>
            <w:noWrap/>
            <w:vAlign w:val="bottom"/>
            <w:hideMark/>
          </w:tcPr>
          <w:p w14:paraId="06A60AD8"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42 331</w:t>
            </w:r>
          </w:p>
        </w:tc>
        <w:tc>
          <w:tcPr>
            <w:tcW w:w="411" w:type="pct"/>
            <w:tcBorders>
              <w:top w:val="nil"/>
              <w:left w:val="nil"/>
              <w:bottom w:val="nil"/>
              <w:right w:val="nil"/>
            </w:tcBorders>
            <w:shd w:val="clear" w:color="auto" w:fill="auto"/>
            <w:noWrap/>
            <w:vAlign w:val="bottom"/>
            <w:hideMark/>
          </w:tcPr>
          <w:p w14:paraId="2AFAC481"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45 617</w:t>
            </w:r>
          </w:p>
        </w:tc>
        <w:tc>
          <w:tcPr>
            <w:tcW w:w="411" w:type="pct"/>
            <w:tcBorders>
              <w:top w:val="nil"/>
              <w:left w:val="nil"/>
              <w:bottom w:val="nil"/>
              <w:right w:val="nil"/>
            </w:tcBorders>
            <w:shd w:val="clear" w:color="auto" w:fill="auto"/>
            <w:noWrap/>
            <w:vAlign w:val="bottom"/>
            <w:hideMark/>
          </w:tcPr>
          <w:p w14:paraId="71516001"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48 394</w:t>
            </w:r>
          </w:p>
        </w:tc>
        <w:tc>
          <w:tcPr>
            <w:tcW w:w="411" w:type="pct"/>
            <w:tcBorders>
              <w:top w:val="nil"/>
              <w:left w:val="nil"/>
              <w:bottom w:val="nil"/>
              <w:right w:val="nil"/>
            </w:tcBorders>
            <w:shd w:val="clear" w:color="auto" w:fill="auto"/>
            <w:noWrap/>
            <w:vAlign w:val="bottom"/>
            <w:hideMark/>
          </w:tcPr>
          <w:p w14:paraId="59DCE9B8"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49 041</w:t>
            </w:r>
          </w:p>
        </w:tc>
        <w:tc>
          <w:tcPr>
            <w:tcW w:w="411" w:type="pct"/>
            <w:tcBorders>
              <w:top w:val="nil"/>
              <w:left w:val="nil"/>
              <w:bottom w:val="nil"/>
              <w:right w:val="nil"/>
            </w:tcBorders>
            <w:shd w:val="clear" w:color="auto" w:fill="auto"/>
            <w:noWrap/>
            <w:vAlign w:val="bottom"/>
            <w:hideMark/>
          </w:tcPr>
          <w:p w14:paraId="0AFF0C4B"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48 649</w:t>
            </w:r>
          </w:p>
        </w:tc>
      </w:tr>
      <w:tr w:rsidR="00DD531B" w:rsidRPr="00B4559D" w14:paraId="5A914D18" w14:textId="77777777" w:rsidTr="001F24AE">
        <w:trPr>
          <w:trHeight w:val="300"/>
        </w:trPr>
        <w:tc>
          <w:tcPr>
            <w:tcW w:w="2123" w:type="pct"/>
            <w:tcBorders>
              <w:top w:val="nil"/>
              <w:left w:val="nil"/>
              <w:bottom w:val="nil"/>
              <w:right w:val="nil"/>
            </w:tcBorders>
            <w:shd w:val="clear" w:color="auto" w:fill="auto"/>
            <w:noWrap/>
            <w:vAlign w:val="bottom"/>
            <w:hideMark/>
          </w:tcPr>
          <w:p w14:paraId="60EADA26"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bežné výdavky  600, v tom:</w:t>
            </w:r>
          </w:p>
        </w:tc>
        <w:tc>
          <w:tcPr>
            <w:tcW w:w="411" w:type="pct"/>
            <w:tcBorders>
              <w:top w:val="nil"/>
              <w:left w:val="nil"/>
              <w:bottom w:val="nil"/>
              <w:right w:val="nil"/>
            </w:tcBorders>
            <w:shd w:val="clear" w:color="auto" w:fill="auto"/>
            <w:noWrap/>
            <w:vAlign w:val="bottom"/>
            <w:hideMark/>
          </w:tcPr>
          <w:p w14:paraId="2CBFBD7F"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35 320</w:t>
            </w:r>
          </w:p>
        </w:tc>
        <w:tc>
          <w:tcPr>
            <w:tcW w:w="411" w:type="pct"/>
            <w:tcBorders>
              <w:top w:val="nil"/>
              <w:left w:val="nil"/>
              <w:bottom w:val="nil"/>
              <w:right w:val="nil"/>
            </w:tcBorders>
            <w:shd w:val="clear" w:color="auto" w:fill="auto"/>
            <w:noWrap/>
            <w:vAlign w:val="bottom"/>
            <w:hideMark/>
          </w:tcPr>
          <w:p w14:paraId="52D574DF"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38 097</w:t>
            </w:r>
          </w:p>
        </w:tc>
        <w:tc>
          <w:tcPr>
            <w:tcW w:w="411" w:type="pct"/>
            <w:tcBorders>
              <w:top w:val="nil"/>
              <w:left w:val="nil"/>
              <w:bottom w:val="nil"/>
              <w:right w:val="nil"/>
            </w:tcBorders>
            <w:shd w:val="clear" w:color="auto" w:fill="auto"/>
            <w:noWrap/>
            <w:vAlign w:val="bottom"/>
            <w:hideMark/>
          </w:tcPr>
          <w:p w14:paraId="61F170A4"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40 151</w:t>
            </w:r>
          </w:p>
        </w:tc>
        <w:tc>
          <w:tcPr>
            <w:tcW w:w="411" w:type="pct"/>
            <w:tcBorders>
              <w:top w:val="nil"/>
              <w:left w:val="nil"/>
              <w:bottom w:val="nil"/>
              <w:right w:val="nil"/>
            </w:tcBorders>
            <w:shd w:val="clear" w:color="auto" w:fill="auto"/>
            <w:noWrap/>
            <w:vAlign w:val="bottom"/>
            <w:hideMark/>
          </w:tcPr>
          <w:p w14:paraId="067B376C"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45 161</w:t>
            </w:r>
          </w:p>
        </w:tc>
        <w:tc>
          <w:tcPr>
            <w:tcW w:w="411" w:type="pct"/>
            <w:tcBorders>
              <w:top w:val="nil"/>
              <w:left w:val="nil"/>
              <w:bottom w:val="nil"/>
              <w:right w:val="nil"/>
            </w:tcBorders>
            <w:shd w:val="clear" w:color="auto" w:fill="auto"/>
            <w:noWrap/>
            <w:vAlign w:val="bottom"/>
            <w:hideMark/>
          </w:tcPr>
          <w:p w14:paraId="4009D6AB"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45 792</w:t>
            </w:r>
          </w:p>
        </w:tc>
        <w:tc>
          <w:tcPr>
            <w:tcW w:w="411" w:type="pct"/>
            <w:tcBorders>
              <w:top w:val="nil"/>
              <w:left w:val="nil"/>
              <w:bottom w:val="nil"/>
              <w:right w:val="nil"/>
            </w:tcBorders>
            <w:shd w:val="clear" w:color="auto" w:fill="auto"/>
            <w:noWrap/>
            <w:vAlign w:val="bottom"/>
            <w:hideMark/>
          </w:tcPr>
          <w:p w14:paraId="547D2CF2"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44 202</w:t>
            </w:r>
          </w:p>
        </w:tc>
        <w:tc>
          <w:tcPr>
            <w:tcW w:w="411" w:type="pct"/>
            <w:tcBorders>
              <w:top w:val="nil"/>
              <w:left w:val="nil"/>
              <w:bottom w:val="nil"/>
              <w:right w:val="nil"/>
            </w:tcBorders>
            <w:shd w:val="clear" w:color="auto" w:fill="auto"/>
            <w:noWrap/>
            <w:vAlign w:val="bottom"/>
            <w:hideMark/>
          </w:tcPr>
          <w:p w14:paraId="61321D0C"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44 596</w:t>
            </w:r>
          </w:p>
        </w:tc>
      </w:tr>
      <w:tr w:rsidR="00DD531B" w:rsidRPr="00B4559D" w14:paraId="5451E8E0" w14:textId="77777777" w:rsidTr="001F24AE">
        <w:trPr>
          <w:trHeight w:val="300"/>
        </w:trPr>
        <w:tc>
          <w:tcPr>
            <w:tcW w:w="2123" w:type="pct"/>
            <w:tcBorders>
              <w:top w:val="nil"/>
              <w:left w:val="nil"/>
              <w:bottom w:val="nil"/>
              <w:right w:val="nil"/>
            </w:tcBorders>
            <w:shd w:val="clear" w:color="auto" w:fill="auto"/>
            <w:noWrap/>
            <w:vAlign w:val="bottom"/>
            <w:hideMark/>
          </w:tcPr>
          <w:p w14:paraId="1347759A"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610 mzdy</w:t>
            </w:r>
          </w:p>
        </w:tc>
        <w:tc>
          <w:tcPr>
            <w:tcW w:w="411" w:type="pct"/>
            <w:tcBorders>
              <w:top w:val="nil"/>
              <w:left w:val="nil"/>
              <w:bottom w:val="nil"/>
              <w:right w:val="nil"/>
            </w:tcBorders>
            <w:shd w:val="clear" w:color="auto" w:fill="auto"/>
            <w:noWrap/>
            <w:vAlign w:val="bottom"/>
            <w:hideMark/>
          </w:tcPr>
          <w:p w14:paraId="37774D4B"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19 146</w:t>
            </w:r>
          </w:p>
        </w:tc>
        <w:tc>
          <w:tcPr>
            <w:tcW w:w="411" w:type="pct"/>
            <w:tcBorders>
              <w:top w:val="nil"/>
              <w:left w:val="nil"/>
              <w:bottom w:val="nil"/>
              <w:right w:val="nil"/>
            </w:tcBorders>
            <w:shd w:val="clear" w:color="auto" w:fill="auto"/>
            <w:noWrap/>
            <w:vAlign w:val="bottom"/>
            <w:hideMark/>
          </w:tcPr>
          <w:p w14:paraId="76DD007F"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19 408</w:t>
            </w:r>
          </w:p>
        </w:tc>
        <w:tc>
          <w:tcPr>
            <w:tcW w:w="411" w:type="pct"/>
            <w:tcBorders>
              <w:top w:val="nil"/>
              <w:left w:val="nil"/>
              <w:bottom w:val="nil"/>
              <w:right w:val="nil"/>
            </w:tcBorders>
            <w:shd w:val="clear" w:color="auto" w:fill="auto"/>
            <w:noWrap/>
            <w:vAlign w:val="bottom"/>
            <w:hideMark/>
          </w:tcPr>
          <w:p w14:paraId="17690891"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21 135</w:t>
            </w:r>
          </w:p>
        </w:tc>
        <w:tc>
          <w:tcPr>
            <w:tcW w:w="411" w:type="pct"/>
            <w:tcBorders>
              <w:top w:val="nil"/>
              <w:left w:val="nil"/>
              <w:bottom w:val="nil"/>
              <w:right w:val="nil"/>
            </w:tcBorders>
            <w:shd w:val="clear" w:color="auto" w:fill="auto"/>
            <w:noWrap/>
            <w:vAlign w:val="bottom"/>
            <w:hideMark/>
          </w:tcPr>
          <w:p w14:paraId="337A630A"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21 928</w:t>
            </w:r>
          </w:p>
        </w:tc>
        <w:tc>
          <w:tcPr>
            <w:tcW w:w="411" w:type="pct"/>
            <w:tcBorders>
              <w:top w:val="nil"/>
              <w:left w:val="nil"/>
              <w:bottom w:val="nil"/>
              <w:right w:val="nil"/>
            </w:tcBorders>
            <w:shd w:val="clear" w:color="auto" w:fill="auto"/>
            <w:noWrap/>
            <w:vAlign w:val="bottom"/>
            <w:hideMark/>
          </w:tcPr>
          <w:p w14:paraId="79365198"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22 626</w:t>
            </w:r>
          </w:p>
        </w:tc>
        <w:tc>
          <w:tcPr>
            <w:tcW w:w="411" w:type="pct"/>
            <w:tcBorders>
              <w:top w:val="nil"/>
              <w:left w:val="nil"/>
              <w:bottom w:val="nil"/>
              <w:right w:val="nil"/>
            </w:tcBorders>
            <w:shd w:val="clear" w:color="auto" w:fill="auto"/>
            <w:noWrap/>
            <w:vAlign w:val="bottom"/>
            <w:hideMark/>
          </w:tcPr>
          <w:p w14:paraId="33E521B1"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22 626</w:t>
            </w:r>
          </w:p>
        </w:tc>
        <w:tc>
          <w:tcPr>
            <w:tcW w:w="411" w:type="pct"/>
            <w:tcBorders>
              <w:top w:val="nil"/>
              <w:left w:val="nil"/>
              <w:bottom w:val="nil"/>
              <w:right w:val="nil"/>
            </w:tcBorders>
            <w:shd w:val="clear" w:color="auto" w:fill="auto"/>
            <w:noWrap/>
            <w:vAlign w:val="bottom"/>
            <w:hideMark/>
          </w:tcPr>
          <w:p w14:paraId="784A454F"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22 626</w:t>
            </w:r>
          </w:p>
        </w:tc>
      </w:tr>
      <w:tr w:rsidR="00DD531B" w:rsidRPr="00B4559D" w14:paraId="21241AA7" w14:textId="77777777" w:rsidTr="001F24AE">
        <w:trPr>
          <w:trHeight w:val="300"/>
        </w:trPr>
        <w:tc>
          <w:tcPr>
            <w:tcW w:w="2123" w:type="pct"/>
            <w:tcBorders>
              <w:top w:val="nil"/>
              <w:left w:val="nil"/>
              <w:bottom w:val="nil"/>
              <w:right w:val="nil"/>
            </w:tcBorders>
            <w:shd w:val="clear" w:color="auto" w:fill="auto"/>
            <w:noWrap/>
            <w:vAlign w:val="bottom"/>
            <w:hideMark/>
          </w:tcPr>
          <w:p w14:paraId="655FB8E8"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620 odvody</w:t>
            </w:r>
          </w:p>
        </w:tc>
        <w:tc>
          <w:tcPr>
            <w:tcW w:w="411" w:type="pct"/>
            <w:tcBorders>
              <w:top w:val="nil"/>
              <w:left w:val="nil"/>
              <w:bottom w:val="nil"/>
              <w:right w:val="nil"/>
            </w:tcBorders>
            <w:shd w:val="clear" w:color="auto" w:fill="auto"/>
            <w:noWrap/>
            <w:vAlign w:val="bottom"/>
            <w:hideMark/>
          </w:tcPr>
          <w:p w14:paraId="24458CD3"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5 483</w:t>
            </w:r>
          </w:p>
        </w:tc>
        <w:tc>
          <w:tcPr>
            <w:tcW w:w="411" w:type="pct"/>
            <w:tcBorders>
              <w:top w:val="nil"/>
              <w:left w:val="nil"/>
              <w:bottom w:val="nil"/>
              <w:right w:val="nil"/>
            </w:tcBorders>
            <w:shd w:val="clear" w:color="auto" w:fill="auto"/>
            <w:noWrap/>
            <w:vAlign w:val="bottom"/>
            <w:hideMark/>
          </w:tcPr>
          <w:p w14:paraId="1B384DC0"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5 463</w:t>
            </w:r>
          </w:p>
        </w:tc>
        <w:tc>
          <w:tcPr>
            <w:tcW w:w="411" w:type="pct"/>
            <w:tcBorders>
              <w:top w:val="nil"/>
              <w:left w:val="nil"/>
              <w:bottom w:val="nil"/>
              <w:right w:val="nil"/>
            </w:tcBorders>
            <w:shd w:val="clear" w:color="auto" w:fill="auto"/>
            <w:noWrap/>
            <w:vAlign w:val="bottom"/>
            <w:hideMark/>
          </w:tcPr>
          <w:p w14:paraId="5A0B8315"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5 976</w:t>
            </w:r>
          </w:p>
        </w:tc>
        <w:tc>
          <w:tcPr>
            <w:tcW w:w="411" w:type="pct"/>
            <w:tcBorders>
              <w:top w:val="nil"/>
              <w:left w:val="nil"/>
              <w:bottom w:val="nil"/>
              <w:right w:val="nil"/>
            </w:tcBorders>
            <w:shd w:val="clear" w:color="auto" w:fill="auto"/>
            <w:noWrap/>
            <w:vAlign w:val="bottom"/>
            <w:hideMark/>
          </w:tcPr>
          <w:p w14:paraId="06B0AFA6"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6 183</w:t>
            </w:r>
          </w:p>
        </w:tc>
        <w:tc>
          <w:tcPr>
            <w:tcW w:w="411" w:type="pct"/>
            <w:tcBorders>
              <w:top w:val="nil"/>
              <w:left w:val="nil"/>
              <w:bottom w:val="nil"/>
              <w:right w:val="nil"/>
            </w:tcBorders>
            <w:shd w:val="clear" w:color="auto" w:fill="auto"/>
            <w:noWrap/>
            <w:vAlign w:val="bottom"/>
            <w:hideMark/>
          </w:tcPr>
          <w:p w14:paraId="434F1FD0"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6 381</w:t>
            </w:r>
          </w:p>
        </w:tc>
        <w:tc>
          <w:tcPr>
            <w:tcW w:w="411" w:type="pct"/>
            <w:tcBorders>
              <w:top w:val="nil"/>
              <w:left w:val="nil"/>
              <w:bottom w:val="nil"/>
              <w:right w:val="nil"/>
            </w:tcBorders>
            <w:shd w:val="clear" w:color="auto" w:fill="auto"/>
            <w:noWrap/>
            <w:vAlign w:val="bottom"/>
            <w:hideMark/>
          </w:tcPr>
          <w:p w14:paraId="4D84445B"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6 381</w:t>
            </w:r>
          </w:p>
        </w:tc>
        <w:tc>
          <w:tcPr>
            <w:tcW w:w="411" w:type="pct"/>
            <w:tcBorders>
              <w:top w:val="nil"/>
              <w:left w:val="nil"/>
              <w:bottom w:val="nil"/>
              <w:right w:val="nil"/>
            </w:tcBorders>
            <w:shd w:val="clear" w:color="auto" w:fill="auto"/>
            <w:noWrap/>
            <w:vAlign w:val="bottom"/>
            <w:hideMark/>
          </w:tcPr>
          <w:p w14:paraId="663F3012"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6 381</w:t>
            </w:r>
          </w:p>
        </w:tc>
      </w:tr>
      <w:tr w:rsidR="00DD531B" w:rsidRPr="00B4559D" w14:paraId="7E93C212" w14:textId="77777777" w:rsidTr="001F24AE">
        <w:trPr>
          <w:trHeight w:val="300"/>
        </w:trPr>
        <w:tc>
          <w:tcPr>
            <w:tcW w:w="2123" w:type="pct"/>
            <w:tcBorders>
              <w:top w:val="nil"/>
              <w:left w:val="nil"/>
              <w:bottom w:val="nil"/>
              <w:right w:val="nil"/>
            </w:tcBorders>
            <w:shd w:val="clear" w:color="auto" w:fill="auto"/>
            <w:noWrap/>
            <w:vAlign w:val="bottom"/>
            <w:hideMark/>
          </w:tcPr>
          <w:p w14:paraId="011F32AB"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630 tovary a služby</w:t>
            </w:r>
          </w:p>
        </w:tc>
        <w:tc>
          <w:tcPr>
            <w:tcW w:w="411" w:type="pct"/>
            <w:tcBorders>
              <w:top w:val="nil"/>
              <w:left w:val="nil"/>
              <w:bottom w:val="nil"/>
              <w:right w:val="nil"/>
            </w:tcBorders>
            <w:shd w:val="clear" w:color="auto" w:fill="auto"/>
            <w:noWrap/>
            <w:vAlign w:val="bottom"/>
            <w:hideMark/>
          </w:tcPr>
          <w:p w14:paraId="24E76DDD"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10 274</w:t>
            </w:r>
          </w:p>
        </w:tc>
        <w:tc>
          <w:tcPr>
            <w:tcW w:w="411" w:type="pct"/>
            <w:tcBorders>
              <w:top w:val="nil"/>
              <w:left w:val="nil"/>
              <w:bottom w:val="nil"/>
              <w:right w:val="nil"/>
            </w:tcBorders>
            <w:shd w:val="clear" w:color="auto" w:fill="auto"/>
            <w:noWrap/>
            <w:vAlign w:val="bottom"/>
            <w:hideMark/>
          </w:tcPr>
          <w:p w14:paraId="5D6E8369"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12 645</w:t>
            </w:r>
          </w:p>
        </w:tc>
        <w:tc>
          <w:tcPr>
            <w:tcW w:w="411" w:type="pct"/>
            <w:tcBorders>
              <w:top w:val="nil"/>
              <w:left w:val="nil"/>
              <w:bottom w:val="nil"/>
              <w:right w:val="nil"/>
            </w:tcBorders>
            <w:shd w:val="clear" w:color="auto" w:fill="auto"/>
            <w:noWrap/>
            <w:vAlign w:val="bottom"/>
            <w:hideMark/>
          </w:tcPr>
          <w:p w14:paraId="73B44D76"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12 604</w:t>
            </w:r>
          </w:p>
        </w:tc>
        <w:tc>
          <w:tcPr>
            <w:tcW w:w="411" w:type="pct"/>
            <w:tcBorders>
              <w:top w:val="nil"/>
              <w:left w:val="nil"/>
              <w:bottom w:val="nil"/>
              <w:right w:val="nil"/>
            </w:tcBorders>
            <w:shd w:val="clear" w:color="auto" w:fill="auto"/>
            <w:noWrap/>
            <w:vAlign w:val="bottom"/>
            <w:hideMark/>
          </w:tcPr>
          <w:p w14:paraId="670CA931"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16 206</w:t>
            </w:r>
          </w:p>
        </w:tc>
        <w:tc>
          <w:tcPr>
            <w:tcW w:w="411" w:type="pct"/>
            <w:tcBorders>
              <w:top w:val="nil"/>
              <w:left w:val="nil"/>
              <w:bottom w:val="nil"/>
              <w:right w:val="nil"/>
            </w:tcBorders>
            <w:shd w:val="clear" w:color="auto" w:fill="auto"/>
            <w:noWrap/>
            <w:vAlign w:val="bottom"/>
            <w:hideMark/>
          </w:tcPr>
          <w:p w14:paraId="6BC3AA6B"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16 316</w:t>
            </w:r>
          </w:p>
        </w:tc>
        <w:tc>
          <w:tcPr>
            <w:tcW w:w="411" w:type="pct"/>
            <w:tcBorders>
              <w:top w:val="nil"/>
              <w:left w:val="nil"/>
              <w:bottom w:val="nil"/>
              <w:right w:val="nil"/>
            </w:tcBorders>
            <w:shd w:val="clear" w:color="auto" w:fill="auto"/>
            <w:noWrap/>
            <w:vAlign w:val="bottom"/>
            <w:hideMark/>
          </w:tcPr>
          <w:p w14:paraId="4C6DC11C"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14 756</w:t>
            </w:r>
          </w:p>
        </w:tc>
        <w:tc>
          <w:tcPr>
            <w:tcW w:w="411" w:type="pct"/>
            <w:tcBorders>
              <w:top w:val="nil"/>
              <w:left w:val="nil"/>
              <w:bottom w:val="nil"/>
              <w:right w:val="nil"/>
            </w:tcBorders>
            <w:shd w:val="clear" w:color="auto" w:fill="auto"/>
            <w:noWrap/>
            <w:vAlign w:val="bottom"/>
            <w:hideMark/>
          </w:tcPr>
          <w:p w14:paraId="29961AED"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15 150</w:t>
            </w:r>
          </w:p>
        </w:tc>
      </w:tr>
      <w:tr w:rsidR="00DD531B" w:rsidRPr="00B4559D" w14:paraId="744A45D5" w14:textId="77777777" w:rsidTr="001F24AE">
        <w:trPr>
          <w:trHeight w:val="300"/>
        </w:trPr>
        <w:tc>
          <w:tcPr>
            <w:tcW w:w="2123" w:type="pct"/>
            <w:tcBorders>
              <w:top w:val="nil"/>
              <w:left w:val="nil"/>
              <w:bottom w:val="nil"/>
              <w:right w:val="nil"/>
            </w:tcBorders>
            <w:shd w:val="clear" w:color="auto" w:fill="auto"/>
            <w:noWrap/>
            <w:vAlign w:val="bottom"/>
            <w:hideMark/>
          </w:tcPr>
          <w:p w14:paraId="058933CA"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640 bežné transfery</w:t>
            </w:r>
          </w:p>
        </w:tc>
        <w:tc>
          <w:tcPr>
            <w:tcW w:w="411" w:type="pct"/>
            <w:tcBorders>
              <w:top w:val="nil"/>
              <w:left w:val="nil"/>
              <w:bottom w:val="nil"/>
              <w:right w:val="nil"/>
            </w:tcBorders>
            <w:shd w:val="clear" w:color="auto" w:fill="auto"/>
            <w:noWrap/>
            <w:vAlign w:val="bottom"/>
            <w:hideMark/>
          </w:tcPr>
          <w:p w14:paraId="7B947A9C"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417</w:t>
            </w:r>
          </w:p>
        </w:tc>
        <w:tc>
          <w:tcPr>
            <w:tcW w:w="411" w:type="pct"/>
            <w:tcBorders>
              <w:top w:val="nil"/>
              <w:left w:val="nil"/>
              <w:bottom w:val="nil"/>
              <w:right w:val="nil"/>
            </w:tcBorders>
            <w:shd w:val="clear" w:color="auto" w:fill="auto"/>
            <w:noWrap/>
            <w:vAlign w:val="bottom"/>
            <w:hideMark/>
          </w:tcPr>
          <w:p w14:paraId="0A30B5A6"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581</w:t>
            </w:r>
          </w:p>
        </w:tc>
        <w:tc>
          <w:tcPr>
            <w:tcW w:w="411" w:type="pct"/>
            <w:tcBorders>
              <w:top w:val="nil"/>
              <w:left w:val="nil"/>
              <w:bottom w:val="nil"/>
              <w:right w:val="nil"/>
            </w:tcBorders>
            <w:shd w:val="clear" w:color="auto" w:fill="auto"/>
            <w:noWrap/>
            <w:vAlign w:val="bottom"/>
            <w:hideMark/>
          </w:tcPr>
          <w:p w14:paraId="09B56844"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436</w:t>
            </w:r>
          </w:p>
        </w:tc>
        <w:tc>
          <w:tcPr>
            <w:tcW w:w="411" w:type="pct"/>
            <w:tcBorders>
              <w:top w:val="nil"/>
              <w:left w:val="nil"/>
              <w:bottom w:val="nil"/>
              <w:right w:val="nil"/>
            </w:tcBorders>
            <w:shd w:val="clear" w:color="auto" w:fill="auto"/>
            <w:noWrap/>
            <w:vAlign w:val="bottom"/>
            <w:hideMark/>
          </w:tcPr>
          <w:p w14:paraId="0F6DACB5"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844</w:t>
            </w:r>
          </w:p>
        </w:tc>
        <w:tc>
          <w:tcPr>
            <w:tcW w:w="411" w:type="pct"/>
            <w:tcBorders>
              <w:top w:val="nil"/>
              <w:left w:val="nil"/>
              <w:bottom w:val="nil"/>
              <w:right w:val="nil"/>
            </w:tcBorders>
            <w:shd w:val="clear" w:color="auto" w:fill="auto"/>
            <w:noWrap/>
            <w:vAlign w:val="bottom"/>
            <w:hideMark/>
          </w:tcPr>
          <w:p w14:paraId="7D875179"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469</w:t>
            </w:r>
          </w:p>
        </w:tc>
        <w:tc>
          <w:tcPr>
            <w:tcW w:w="411" w:type="pct"/>
            <w:tcBorders>
              <w:top w:val="nil"/>
              <w:left w:val="nil"/>
              <w:bottom w:val="nil"/>
              <w:right w:val="nil"/>
            </w:tcBorders>
            <w:shd w:val="clear" w:color="auto" w:fill="auto"/>
            <w:noWrap/>
            <w:vAlign w:val="bottom"/>
            <w:hideMark/>
          </w:tcPr>
          <w:p w14:paraId="4B4D983A"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439</w:t>
            </w:r>
          </w:p>
        </w:tc>
        <w:tc>
          <w:tcPr>
            <w:tcW w:w="411" w:type="pct"/>
            <w:tcBorders>
              <w:top w:val="nil"/>
              <w:left w:val="nil"/>
              <w:bottom w:val="nil"/>
              <w:right w:val="nil"/>
            </w:tcBorders>
            <w:shd w:val="clear" w:color="auto" w:fill="auto"/>
            <w:noWrap/>
            <w:vAlign w:val="bottom"/>
            <w:hideMark/>
          </w:tcPr>
          <w:p w14:paraId="7AD5B9EA"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439</w:t>
            </w:r>
          </w:p>
        </w:tc>
      </w:tr>
      <w:tr w:rsidR="00DD531B" w:rsidRPr="00B4559D" w14:paraId="0B632730" w14:textId="77777777" w:rsidTr="001F24AE">
        <w:trPr>
          <w:trHeight w:val="300"/>
        </w:trPr>
        <w:tc>
          <w:tcPr>
            <w:tcW w:w="2123" w:type="pct"/>
            <w:tcBorders>
              <w:top w:val="nil"/>
              <w:left w:val="nil"/>
              <w:bottom w:val="nil"/>
              <w:right w:val="nil"/>
            </w:tcBorders>
            <w:shd w:val="clear" w:color="auto" w:fill="auto"/>
            <w:noWrap/>
            <w:vAlign w:val="bottom"/>
            <w:hideMark/>
          </w:tcPr>
          <w:p w14:paraId="6065F815"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kapitálové výdavky 700</w:t>
            </w:r>
          </w:p>
        </w:tc>
        <w:tc>
          <w:tcPr>
            <w:tcW w:w="411" w:type="pct"/>
            <w:tcBorders>
              <w:top w:val="nil"/>
              <w:left w:val="nil"/>
              <w:bottom w:val="nil"/>
              <w:right w:val="nil"/>
            </w:tcBorders>
            <w:shd w:val="clear" w:color="auto" w:fill="auto"/>
            <w:noWrap/>
            <w:vAlign w:val="bottom"/>
            <w:hideMark/>
          </w:tcPr>
          <w:p w14:paraId="42EB39A3"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95</w:t>
            </w:r>
          </w:p>
        </w:tc>
        <w:tc>
          <w:tcPr>
            <w:tcW w:w="411" w:type="pct"/>
            <w:tcBorders>
              <w:top w:val="nil"/>
              <w:left w:val="nil"/>
              <w:bottom w:val="nil"/>
              <w:right w:val="nil"/>
            </w:tcBorders>
            <w:shd w:val="clear" w:color="auto" w:fill="auto"/>
            <w:noWrap/>
            <w:vAlign w:val="bottom"/>
            <w:hideMark/>
          </w:tcPr>
          <w:p w14:paraId="550EED4B"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202</w:t>
            </w:r>
          </w:p>
        </w:tc>
        <w:tc>
          <w:tcPr>
            <w:tcW w:w="411" w:type="pct"/>
            <w:tcBorders>
              <w:top w:val="nil"/>
              <w:left w:val="nil"/>
              <w:bottom w:val="nil"/>
              <w:right w:val="nil"/>
            </w:tcBorders>
            <w:shd w:val="clear" w:color="auto" w:fill="auto"/>
            <w:noWrap/>
            <w:vAlign w:val="bottom"/>
            <w:hideMark/>
          </w:tcPr>
          <w:p w14:paraId="38B2303C"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2 180</w:t>
            </w:r>
          </w:p>
        </w:tc>
        <w:tc>
          <w:tcPr>
            <w:tcW w:w="411" w:type="pct"/>
            <w:tcBorders>
              <w:top w:val="nil"/>
              <w:left w:val="nil"/>
              <w:bottom w:val="nil"/>
              <w:right w:val="nil"/>
            </w:tcBorders>
            <w:shd w:val="clear" w:color="auto" w:fill="auto"/>
            <w:noWrap/>
            <w:vAlign w:val="bottom"/>
            <w:hideMark/>
          </w:tcPr>
          <w:p w14:paraId="26F14D68"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456</w:t>
            </w:r>
          </w:p>
        </w:tc>
        <w:tc>
          <w:tcPr>
            <w:tcW w:w="411" w:type="pct"/>
            <w:tcBorders>
              <w:top w:val="nil"/>
              <w:left w:val="nil"/>
              <w:bottom w:val="nil"/>
              <w:right w:val="nil"/>
            </w:tcBorders>
            <w:shd w:val="clear" w:color="auto" w:fill="auto"/>
            <w:noWrap/>
            <w:vAlign w:val="bottom"/>
            <w:hideMark/>
          </w:tcPr>
          <w:p w14:paraId="12335FEF"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2 602</w:t>
            </w:r>
          </w:p>
        </w:tc>
        <w:tc>
          <w:tcPr>
            <w:tcW w:w="411" w:type="pct"/>
            <w:tcBorders>
              <w:top w:val="nil"/>
              <w:left w:val="nil"/>
              <w:bottom w:val="nil"/>
              <w:right w:val="nil"/>
            </w:tcBorders>
            <w:shd w:val="clear" w:color="auto" w:fill="auto"/>
            <w:noWrap/>
            <w:vAlign w:val="bottom"/>
            <w:hideMark/>
          </w:tcPr>
          <w:p w14:paraId="57F3FC6F"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4 839</w:t>
            </w:r>
          </w:p>
        </w:tc>
        <w:tc>
          <w:tcPr>
            <w:tcW w:w="411" w:type="pct"/>
            <w:tcBorders>
              <w:top w:val="nil"/>
              <w:left w:val="nil"/>
              <w:bottom w:val="nil"/>
              <w:right w:val="nil"/>
            </w:tcBorders>
            <w:shd w:val="clear" w:color="auto" w:fill="auto"/>
            <w:noWrap/>
            <w:vAlign w:val="bottom"/>
            <w:hideMark/>
          </w:tcPr>
          <w:p w14:paraId="46281966"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4 053</w:t>
            </w:r>
          </w:p>
        </w:tc>
      </w:tr>
      <w:tr w:rsidR="00DD531B" w:rsidRPr="00B4559D" w14:paraId="2F3E8937" w14:textId="77777777" w:rsidTr="001F24AE">
        <w:trPr>
          <w:trHeight w:val="300"/>
        </w:trPr>
        <w:tc>
          <w:tcPr>
            <w:tcW w:w="2123" w:type="pct"/>
            <w:tcBorders>
              <w:top w:val="nil"/>
              <w:left w:val="nil"/>
              <w:bottom w:val="nil"/>
              <w:right w:val="nil"/>
            </w:tcBorders>
            <w:shd w:val="clear" w:color="auto" w:fill="auto"/>
            <w:noWrap/>
            <w:vAlign w:val="bottom"/>
            <w:hideMark/>
          </w:tcPr>
          <w:p w14:paraId="75E31AB3" w14:textId="77777777" w:rsidR="00DD531B" w:rsidRPr="00B4559D" w:rsidRDefault="00DD531B" w:rsidP="00DD531B">
            <w:pPr>
              <w:spacing w:after="0" w:line="240" w:lineRule="auto"/>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presun z minulých rokov § 8, v tom:</w:t>
            </w:r>
          </w:p>
        </w:tc>
        <w:tc>
          <w:tcPr>
            <w:tcW w:w="411" w:type="pct"/>
            <w:tcBorders>
              <w:top w:val="nil"/>
              <w:left w:val="nil"/>
              <w:bottom w:val="nil"/>
              <w:right w:val="nil"/>
            </w:tcBorders>
            <w:shd w:val="clear" w:color="auto" w:fill="auto"/>
            <w:noWrap/>
            <w:vAlign w:val="bottom"/>
            <w:hideMark/>
          </w:tcPr>
          <w:p w14:paraId="2484430F"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5 001</w:t>
            </w:r>
          </w:p>
        </w:tc>
        <w:tc>
          <w:tcPr>
            <w:tcW w:w="411" w:type="pct"/>
            <w:tcBorders>
              <w:top w:val="nil"/>
              <w:left w:val="nil"/>
              <w:bottom w:val="nil"/>
              <w:right w:val="nil"/>
            </w:tcBorders>
            <w:shd w:val="clear" w:color="auto" w:fill="auto"/>
            <w:noWrap/>
            <w:vAlign w:val="bottom"/>
            <w:hideMark/>
          </w:tcPr>
          <w:p w14:paraId="010D5E03"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3 461</w:t>
            </w:r>
          </w:p>
        </w:tc>
        <w:tc>
          <w:tcPr>
            <w:tcW w:w="411" w:type="pct"/>
            <w:tcBorders>
              <w:top w:val="nil"/>
              <w:left w:val="nil"/>
              <w:bottom w:val="nil"/>
              <w:right w:val="nil"/>
            </w:tcBorders>
            <w:shd w:val="clear" w:color="auto" w:fill="auto"/>
            <w:noWrap/>
            <w:vAlign w:val="bottom"/>
            <w:hideMark/>
          </w:tcPr>
          <w:p w14:paraId="78DC381B"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0</w:t>
            </w:r>
          </w:p>
        </w:tc>
        <w:tc>
          <w:tcPr>
            <w:tcW w:w="411" w:type="pct"/>
            <w:tcBorders>
              <w:top w:val="nil"/>
              <w:left w:val="nil"/>
              <w:bottom w:val="nil"/>
              <w:right w:val="nil"/>
            </w:tcBorders>
            <w:shd w:val="clear" w:color="auto" w:fill="auto"/>
            <w:noWrap/>
            <w:vAlign w:val="bottom"/>
            <w:hideMark/>
          </w:tcPr>
          <w:p w14:paraId="33616BA8"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4 510</w:t>
            </w:r>
          </w:p>
        </w:tc>
        <w:tc>
          <w:tcPr>
            <w:tcW w:w="411" w:type="pct"/>
            <w:tcBorders>
              <w:top w:val="nil"/>
              <w:left w:val="nil"/>
              <w:bottom w:val="nil"/>
              <w:right w:val="nil"/>
            </w:tcBorders>
            <w:shd w:val="clear" w:color="auto" w:fill="auto"/>
            <w:noWrap/>
            <w:vAlign w:val="bottom"/>
            <w:hideMark/>
          </w:tcPr>
          <w:p w14:paraId="3B6BD72F"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0</w:t>
            </w:r>
          </w:p>
        </w:tc>
        <w:tc>
          <w:tcPr>
            <w:tcW w:w="411" w:type="pct"/>
            <w:tcBorders>
              <w:top w:val="nil"/>
              <w:left w:val="nil"/>
              <w:bottom w:val="nil"/>
              <w:right w:val="nil"/>
            </w:tcBorders>
            <w:shd w:val="clear" w:color="auto" w:fill="auto"/>
            <w:noWrap/>
            <w:vAlign w:val="bottom"/>
            <w:hideMark/>
          </w:tcPr>
          <w:p w14:paraId="332B0708"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0</w:t>
            </w:r>
          </w:p>
        </w:tc>
        <w:tc>
          <w:tcPr>
            <w:tcW w:w="411" w:type="pct"/>
            <w:tcBorders>
              <w:top w:val="nil"/>
              <w:left w:val="nil"/>
              <w:bottom w:val="nil"/>
              <w:right w:val="nil"/>
            </w:tcBorders>
            <w:shd w:val="clear" w:color="auto" w:fill="auto"/>
            <w:noWrap/>
            <w:vAlign w:val="bottom"/>
            <w:hideMark/>
          </w:tcPr>
          <w:p w14:paraId="14B99966"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0</w:t>
            </w:r>
          </w:p>
        </w:tc>
      </w:tr>
      <w:tr w:rsidR="00DD531B" w:rsidRPr="00B4559D" w14:paraId="089E7B51" w14:textId="77777777" w:rsidTr="001F24AE">
        <w:trPr>
          <w:trHeight w:val="300"/>
        </w:trPr>
        <w:tc>
          <w:tcPr>
            <w:tcW w:w="2123" w:type="pct"/>
            <w:tcBorders>
              <w:top w:val="nil"/>
              <w:left w:val="nil"/>
              <w:bottom w:val="single" w:sz="4" w:space="0" w:color="auto"/>
              <w:right w:val="nil"/>
            </w:tcBorders>
            <w:shd w:val="clear" w:color="auto" w:fill="auto"/>
            <w:noWrap/>
            <w:vAlign w:val="bottom"/>
            <w:hideMark/>
          </w:tcPr>
          <w:p w14:paraId="0D22CE70"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štátny rozpočet</w:t>
            </w:r>
          </w:p>
        </w:tc>
        <w:tc>
          <w:tcPr>
            <w:tcW w:w="411" w:type="pct"/>
            <w:tcBorders>
              <w:top w:val="nil"/>
              <w:left w:val="nil"/>
              <w:bottom w:val="single" w:sz="4" w:space="0" w:color="auto"/>
              <w:right w:val="nil"/>
            </w:tcBorders>
            <w:shd w:val="clear" w:color="auto" w:fill="auto"/>
            <w:noWrap/>
            <w:vAlign w:val="bottom"/>
            <w:hideMark/>
          </w:tcPr>
          <w:p w14:paraId="0B564ECC"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5 001</w:t>
            </w:r>
          </w:p>
        </w:tc>
        <w:tc>
          <w:tcPr>
            <w:tcW w:w="411" w:type="pct"/>
            <w:tcBorders>
              <w:top w:val="nil"/>
              <w:left w:val="nil"/>
              <w:bottom w:val="single" w:sz="4" w:space="0" w:color="auto"/>
              <w:right w:val="nil"/>
            </w:tcBorders>
            <w:shd w:val="clear" w:color="auto" w:fill="auto"/>
            <w:noWrap/>
            <w:vAlign w:val="bottom"/>
            <w:hideMark/>
          </w:tcPr>
          <w:p w14:paraId="09198CC1"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3 461</w:t>
            </w:r>
          </w:p>
        </w:tc>
        <w:tc>
          <w:tcPr>
            <w:tcW w:w="411" w:type="pct"/>
            <w:tcBorders>
              <w:top w:val="nil"/>
              <w:left w:val="nil"/>
              <w:bottom w:val="single" w:sz="4" w:space="0" w:color="auto"/>
              <w:right w:val="nil"/>
            </w:tcBorders>
            <w:shd w:val="clear" w:color="auto" w:fill="auto"/>
            <w:noWrap/>
            <w:vAlign w:val="bottom"/>
            <w:hideMark/>
          </w:tcPr>
          <w:p w14:paraId="343974C6"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11" w:type="pct"/>
            <w:tcBorders>
              <w:top w:val="nil"/>
              <w:left w:val="nil"/>
              <w:bottom w:val="single" w:sz="4" w:space="0" w:color="auto"/>
              <w:right w:val="nil"/>
            </w:tcBorders>
            <w:shd w:val="clear" w:color="auto" w:fill="auto"/>
            <w:noWrap/>
            <w:vAlign w:val="bottom"/>
            <w:hideMark/>
          </w:tcPr>
          <w:p w14:paraId="1B418D4C"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4 510</w:t>
            </w:r>
          </w:p>
        </w:tc>
        <w:tc>
          <w:tcPr>
            <w:tcW w:w="411" w:type="pct"/>
            <w:tcBorders>
              <w:top w:val="nil"/>
              <w:left w:val="nil"/>
              <w:bottom w:val="single" w:sz="4" w:space="0" w:color="auto"/>
              <w:right w:val="nil"/>
            </w:tcBorders>
            <w:shd w:val="clear" w:color="auto" w:fill="auto"/>
            <w:noWrap/>
            <w:vAlign w:val="bottom"/>
            <w:hideMark/>
          </w:tcPr>
          <w:p w14:paraId="3CD66D62"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11" w:type="pct"/>
            <w:tcBorders>
              <w:top w:val="nil"/>
              <w:left w:val="nil"/>
              <w:bottom w:val="single" w:sz="4" w:space="0" w:color="auto"/>
              <w:right w:val="nil"/>
            </w:tcBorders>
            <w:shd w:val="clear" w:color="auto" w:fill="auto"/>
            <w:noWrap/>
            <w:vAlign w:val="bottom"/>
            <w:hideMark/>
          </w:tcPr>
          <w:p w14:paraId="092F1B1A"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11" w:type="pct"/>
            <w:tcBorders>
              <w:top w:val="nil"/>
              <w:left w:val="nil"/>
              <w:bottom w:val="single" w:sz="4" w:space="0" w:color="auto"/>
              <w:right w:val="nil"/>
            </w:tcBorders>
            <w:shd w:val="clear" w:color="auto" w:fill="auto"/>
            <w:noWrap/>
            <w:vAlign w:val="bottom"/>
            <w:hideMark/>
          </w:tcPr>
          <w:p w14:paraId="6F2F6765"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r>
    </w:tbl>
    <w:p w14:paraId="42ED7C03" w14:textId="01D5C28B" w:rsidR="00DD531B" w:rsidRDefault="00DD531B" w:rsidP="00DD531B">
      <w:pPr>
        <w:rPr>
          <w:rFonts w:ascii="Times New Roman" w:eastAsia="Calibri" w:hAnsi="Times New Roman" w:cs="Times New Roman"/>
          <w:sz w:val="16"/>
          <w:szCs w:val="16"/>
        </w:rPr>
      </w:pPr>
    </w:p>
    <w:p w14:paraId="0094F517" w14:textId="6F51E71F" w:rsidR="00B4559D" w:rsidRDefault="00B4559D" w:rsidP="00DD531B">
      <w:pPr>
        <w:rPr>
          <w:rFonts w:ascii="Times New Roman" w:eastAsia="Calibri" w:hAnsi="Times New Roman" w:cs="Times New Roman"/>
          <w:sz w:val="16"/>
          <w:szCs w:val="16"/>
        </w:rPr>
      </w:pPr>
    </w:p>
    <w:p w14:paraId="341C77AA" w14:textId="792FC86C" w:rsidR="00B4559D" w:rsidRDefault="00B4559D" w:rsidP="00DD531B">
      <w:pPr>
        <w:rPr>
          <w:rFonts w:ascii="Times New Roman" w:eastAsia="Calibri" w:hAnsi="Times New Roman" w:cs="Times New Roman"/>
          <w:sz w:val="16"/>
          <w:szCs w:val="16"/>
        </w:rPr>
      </w:pPr>
    </w:p>
    <w:p w14:paraId="3928C1A2" w14:textId="6CFDEC85" w:rsidR="00B4559D" w:rsidRDefault="00B4559D" w:rsidP="00DD531B">
      <w:pPr>
        <w:rPr>
          <w:rFonts w:ascii="Times New Roman" w:eastAsia="Calibri" w:hAnsi="Times New Roman" w:cs="Times New Roman"/>
          <w:sz w:val="16"/>
          <w:szCs w:val="16"/>
        </w:rPr>
      </w:pPr>
    </w:p>
    <w:p w14:paraId="64678EA5" w14:textId="0B328173" w:rsidR="00B4559D" w:rsidRDefault="00B4559D" w:rsidP="00DD531B">
      <w:pPr>
        <w:rPr>
          <w:rFonts w:ascii="Times New Roman" w:eastAsia="Calibri" w:hAnsi="Times New Roman" w:cs="Times New Roman"/>
          <w:sz w:val="16"/>
          <w:szCs w:val="16"/>
        </w:rPr>
      </w:pPr>
    </w:p>
    <w:p w14:paraId="2B9CC19D" w14:textId="6876F3F1" w:rsidR="00B4559D" w:rsidRDefault="00B4559D" w:rsidP="00DD531B">
      <w:pPr>
        <w:rPr>
          <w:rFonts w:ascii="Times New Roman" w:eastAsia="Calibri" w:hAnsi="Times New Roman" w:cs="Times New Roman"/>
          <w:sz w:val="16"/>
          <w:szCs w:val="16"/>
        </w:rPr>
      </w:pPr>
    </w:p>
    <w:p w14:paraId="36795385" w14:textId="72FE264E" w:rsidR="00B4559D" w:rsidRDefault="00B4559D" w:rsidP="00DD531B">
      <w:pPr>
        <w:rPr>
          <w:rFonts w:ascii="Times New Roman" w:eastAsia="Calibri" w:hAnsi="Times New Roman" w:cs="Times New Roman"/>
          <w:sz w:val="16"/>
          <w:szCs w:val="16"/>
        </w:rPr>
      </w:pPr>
    </w:p>
    <w:p w14:paraId="1B1065AA" w14:textId="4C7330E3" w:rsidR="00B4559D" w:rsidRDefault="00B4559D" w:rsidP="00DD531B">
      <w:pPr>
        <w:rPr>
          <w:rFonts w:ascii="Times New Roman" w:eastAsia="Calibri" w:hAnsi="Times New Roman" w:cs="Times New Roman"/>
          <w:sz w:val="16"/>
          <w:szCs w:val="16"/>
        </w:rPr>
      </w:pPr>
    </w:p>
    <w:p w14:paraId="7A275DE3" w14:textId="4B904E49" w:rsidR="00B4559D" w:rsidRDefault="00B4559D" w:rsidP="00DD531B">
      <w:pPr>
        <w:rPr>
          <w:rFonts w:ascii="Times New Roman" w:eastAsia="Calibri" w:hAnsi="Times New Roman" w:cs="Times New Roman"/>
          <w:sz w:val="16"/>
          <w:szCs w:val="16"/>
        </w:rPr>
      </w:pPr>
    </w:p>
    <w:p w14:paraId="7A1836D5" w14:textId="0D803372" w:rsidR="00B4559D" w:rsidRDefault="00B4559D" w:rsidP="00DD531B">
      <w:pPr>
        <w:rPr>
          <w:rFonts w:ascii="Times New Roman" w:eastAsia="Calibri" w:hAnsi="Times New Roman" w:cs="Times New Roman"/>
          <w:sz w:val="16"/>
          <w:szCs w:val="16"/>
        </w:rPr>
      </w:pPr>
    </w:p>
    <w:p w14:paraId="0A424C86" w14:textId="24C8D480" w:rsidR="00B4559D" w:rsidRDefault="00B4559D" w:rsidP="00DD531B">
      <w:pPr>
        <w:rPr>
          <w:rFonts w:ascii="Times New Roman" w:eastAsia="Calibri" w:hAnsi="Times New Roman" w:cs="Times New Roman"/>
          <w:sz w:val="16"/>
          <w:szCs w:val="16"/>
        </w:rPr>
      </w:pPr>
    </w:p>
    <w:p w14:paraId="478CEA9F" w14:textId="502F9CE7" w:rsidR="00B4559D" w:rsidRDefault="00B4559D" w:rsidP="00DD531B">
      <w:pPr>
        <w:rPr>
          <w:rFonts w:ascii="Times New Roman" w:eastAsia="Calibri" w:hAnsi="Times New Roman" w:cs="Times New Roman"/>
          <w:sz w:val="16"/>
          <w:szCs w:val="16"/>
        </w:rPr>
      </w:pPr>
    </w:p>
    <w:p w14:paraId="4DA330B8" w14:textId="0EB3F68F" w:rsidR="00B4559D" w:rsidRDefault="00B4559D" w:rsidP="00DD531B">
      <w:pPr>
        <w:rPr>
          <w:rFonts w:ascii="Times New Roman" w:eastAsia="Calibri" w:hAnsi="Times New Roman" w:cs="Times New Roman"/>
          <w:sz w:val="16"/>
          <w:szCs w:val="16"/>
        </w:rPr>
      </w:pPr>
    </w:p>
    <w:p w14:paraId="29069515" w14:textId="00DF61AE" w:rsidR="00B4559D" w:rsidRDefault="00B4559D" w:rsidP="00DD531B">
      <w:pPr>
        <w:rPr>
          <w:rFonts w:ascii="Times New Roman" w:eastAsia="Calibri" w:hAnsi="Times New Roman" w:cs="Times New Roman"/>
          <w:sz w:val="16"/>
          <w:szCs w:val="16"/>
        </w:rPr>
      </w:pPr>
    </w:p>
    <w:p w14:paraId="14B30E7B" w14:textId="77777777" w:rsidR="00B4559D" w:rsidRPr="00B4559D" w:rsidRDefault="00B4559D" w:rsidP="00DD531B">
      <w:pPr>
        <w:rPr>
          <w:rFonts w:ascii="Times New Roman" w:eastAsia="Calibri" w:hAnsi="Times New Roman" w:cs="Times New Roman"/>
          <w:sz w:val="16"/>
          <w:szCs w:val="16"/>
        </w:rPr>
      </w:pPr>
    </w:p>
    <w:p w14:paraId="2BBB51AA" w14:textId="77777777" w:rsidR="00DD531B" w:rsidRPr="00B4559D" w:rsidRDefault="00DD531B" w:rsidP="00B4559D">
      <w:pPr>
        <w:keepNext/>
        <w:keepLines/>
        <w:spacing w:after="0"/>
        <w:outlineLvl w:val="1"/>
        <w:rPr>
          <w:rFonts w:ascii="Times New Roman" w:eastAsia="Times New Roman" w:hAnsi="Times New Roman" w:cs="Times New Roman"/>
          <w:b/>
          <w:color w:val="5B9BD5" w:themeColor="accent1"/>
          <w:sz w:val="24"/>
          <w:szCs w:val="24"/>
        </w:rPr>
      </w:pPr>
      <w:r w:rsidRPr="00B4559D">
        <w:rPr>
          <w:rFonts w:ascii="Times New Roman" w:eastAsia="Times New Roman" w:hAnsi="Times New Roman" w:cs="Times New Roman"/>
          <w:b/>
          <w:color w:val="5B9BD5" w:themeColor="accent1"/>
          <w:sz w:val="24"/>
          <w:szCs w:val="24"/>
        </w:rPr>
        <w:lastRenderedPageBreak/>
        <w:t>Kancelária prezidenta SR</w:t>
      </w:r>
    </w:p>
    <w:p w14:paraId="4C38A0AD" w14:textId="77777777" w:rsidR="00DD531B" w:rsidRPr="00B4559D" w:rsidRDefault="00DD531B" w:rsidP="00B4559D">
      <w:pPr>
        <w:rPr>
          <w:rFonts w:ascii="Times New Roman" w:eastAsia="Calibri" w:hAnsi="Times New Roman" w:cs="Times New Roman"/>
          <w:color w:val="5B9BD5" w:themeColor="accent1"/>
        </w:rPr>
      </w:pPr>
    </w:p>
    <w:p w14:paraId="3378F659" w14:textId="1F9727A9" w:rsidR="00DD531B" w:rsidRPr="00B4559D" w:rsidRDefault="00B4559D" w:rsidP="00B4559D">
      <w:pPr>
        <w:keepNext/>
        <w:keepLines/>
        <w:spacing w:after="0"/>
        <w:outlineLvl w:val="3"/>
        <w:rPr>
          <w:rFonts w:ascii="Times New Roman" w:eastAsia="Times New Roman" w:hAnsi="Times New Roman" w:cs="Times New Roman"/>
          <w:b/>
          <w:iCs/>
          <w:color w:val="5B9BD5" w:themeColor="accent1"/>
          <w:sz w:val="20"/>
          <w:szCs w:val="20"/>
          <w:lang w:eastAsia="sk-SK"/>
        </w:rPr>
      </w:pPr>
      <w:bookmarkStart w:id="185" w:name="_Toc153013055"/>
      <w:r w:rsidRPr="00B4559D">
        <w:rPr>
          <w:rFonts w:ascii="Times New Roman" w:eastAsia="Times New Roman" w:hAnsi="Times New Roman" w:cs="Times New Roman"/>
          <w:b/>
          <w:iCs/>
          <w:color w:val="5B9BD5" w:themeColor="accent1"/>
          <w:sz w:val="20"/>
          <w:szCs w:val="20"/>
          <w:lang w:eastAsia="sk-SK"/>
        </w:rPr>
        <w:t xml:space="preserve">Tabuľka </w:t>
      </w:r>
      <w:r w:rsidRPr="00B4559D">
        <w:rPr>
          <w:rFonts w:ascii="Times New Roman" w:hAnsi="Times New Roman" w:cs="Times New Roman"/>
          <w:b/>
          <w:color w:val="5B9BD5" w:themeColor="accent1"/>
          <w:sz w:val="20"/>
          <w:szCs w:val="20"/>
        </w:rPr>
        <w:fldChar w:fldCharType="begin"/>
      </w:r>
      <w:r w:rsidRPr="00B4559D">
        <w:rPr>
          <w:rFonts w:ascii="Times New Roman" w:hAnsi="Times New Roman" w:cs="Times New Roman"/>
          <w:b/>
          <w:color w:val="5B9BD5" w:themeColor="accent1"/>
          <w:sz w:val="20"/>
          <w:szCs w:val="20"/>
        </w:rPr>
        <w:instrText xml:space="preserve"> SEQ Tabuľka \* ARABIC </w:instrText>
      </w:r>
      <w:r w:rsidRPr="00B4559D">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57</w:t>
      </w:r>
      <w:r w:rsidRPr="00B4559D">
        <w:rPr>
          <w:rFonts w:ascii="Times New Roman" w:hAnsi="Times New Roman" w:cs="Times New Roman"/>
          <w:b/>
          <w:color w:val="5B9BD5" w:themeColor="accent1"/>
          <w:sz w:val="20"/>
          <w:szCs w:val="20"/>
        </w:rPr>
        <w:fldChar w:fldCharType="end"/>
      </w:r>
      <w:r w:rsidRPr="00B4559D">
        <w:rPr>
          <w:rFonts w:ascii="Times New Roman" w:hAnsi="Times New Roman" w:cs="Times New Roman"/>
          <w:b/>
          <w:color w:val="5B9BD5" w:themeColor="accent1"/>
          <w:sz w:val="20"/>
          <w:szCs w:val="20"/>
        </w:rPr>
        <w:t xml:space="preserve"> - </w:t>
      </w:r>
      <w:r w:rsidR="00DD531B" w:rsidRPr="00B4559D">
        <w:rPr>
          <w:rFonts w:ascii="Times New Roman" w:eastAsia="Times New Roman" w:hAnsi="Times New Roman" w:cs="Times New Roman"/>
          <w:b/>
          <w:iCs/>
          <w:color w:val="5B9BD5" w:themeColor="accent1"/>
          <w:sz w:val="20"/>
          <w:szCs w:val="20"/>
          <w:lang w:eastAsia="sk-SK"/>
        </w:rPr>
        <w:t>Príjmy kapitoly KP SR</w:t>
      </w:r>
      <w:bookmarkEnd w:id="185"/>
    </w:p>
    <w:tbl>
      <w:tblPr>
        <w:tblW w:w="5000" w:type="pct"/>
        <w:tblCellMar>
          <w:left w:w="70" w:type="dxa"/>
          <w:right w:w="70" w:type="dxa"/>
        </w:tblCellMar>
        <w:tblLook w:val="04A0" w:firstRow="1" w:lastRow="0" w:firstColumn="1" w:lastColumn="0" w:noHBand="0" w:noVBand="1"/>
      </w:tblPr>
      <w:tblGrid>
        <w:gridCol w:w="3862"/>
        <w:gridCol w:w="709"/>
        <w:gridCol w:w="708"/>
        <w:gridCol w:w="731"/>
        <w:gridCol w:w="869"/>
        <w:gridCol w:w="731"/>
        <w:gridCol w:w="731"/>
        <w:gridCol w:w="731"/>
      </w:tblGrid>
      <w:tr w:rsidR="00DD531B" w:rsidRPr="00DD531B" w14:paraId="7D2167F8" w14:textId="77777777" w:rsidTr="001F24AE">
        <w:trPr>
          <w:trHeight w:val="300"/>
        </w:trPr>
        <w:tc>
          <w:tcPr>
            <w:tcW w:w="2128" w:type="pct"/>
            <w:tcBorders>
              <w:top w:val="single" w:sz="4" w:space="0" w:color="auto"/>
              <w:left w:val="nil"/>
              <w:bottom w:val="single" w:sz="4" w:space="0" w:color="auto"/>
              <w:right w:val="nil"/>
            </w:tcBorders>
            <w:shd w:val="clear" w:color="auto" w:fill="auto"/>
            <w:noWrap/>
            <w:vAlign w:val="center"/>
            <w:hideMark/>
          </w:tcPr>
          <w:p w14:paraId="428F8495" w14:textId="77777777" w:rsidR="00DD531B" w:rsidRPr="00B4559D" w:rsidRDefault="00DD531B" w:rsidP="00DD531B">
            <w:pPr>
              <w:spacing w:after="0" w:line="240" w:lineRule="auto"/>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v tis. eur</w:t>
            </w:r>
          </w:p>
        </w:tc>
        <w:tc>
          <w:tcPr>
            <w:tcW w:w="390" w:type="pct"/>
            <w:tcBorders>
              <w:top w:val="single" w:sz="4" w:space="0" w:color="auto"/>
              <w:left w:val="nil"/>
              <w:bottom w:val="single" w:sz="4" w:space="0" w:color="auto"/>
              <w:right w:val="nil"/>
            </w:tcBorders>
            <w:shd w:val="clear" w:color="auto" w:fill="auto"/>
            <w:noWrap/>
            <w:vAlign w:val="center"/>
            <w:hideMark/>
          </w:tcPr>
          <w:p w14:paraId="16DE1036"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2021 S</w:t>
            </w:r>
          </w:p>
        </w:tc>
        <w:tc>
          <w:tcPr>
            <w:tcW w:w="390" w:type="pct"/>
            <w:tcBorders>
              <w:top w:val="single" w:sz="4" w:space="0" w:color="auto"/>
              <w:left w:val="nil"/>
              <w:bottom w:val="single" w:sz="4" w:space="0" w:color="auto"/>
              <w:right w:val="nil"/>
            </w:tcBorders>
            <w:shd w:val="clear" w:color="auto" w:fill="auto"/>
            <w:noWrap/>
            <w:vAlign w:val="center"/>
            <w:hideMark/>
          </w:tcPr>
          <w:p w14:paraId="6020B76A"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2022 S</w:t>
            </w:r>
          </w:p>
        </w:tc>
        <w:tc>
          <w:tcPr>
            <w:tcW w:w="403" w:type="pct"/>
            <w:tcBorders>
              <w:top w:val="single" w:sz="4" w:space="0" w:color="auto"/>
              <w:left w:val="nil"/>
              <w:bottom w:val="single" w:sz="4" w:space="0" w:color="auto"/>
              <w:right w:val="nil"/>
            </w:tcBorders>
            <w:shd w:val="clear" w:color="auto" w:fill="auto"/>
            <w:noWrap/>
            <w:vAlign w:val="center"/>
            <w:hideMark/>
          </w:tcPr>
          <w:p w14:paraId="62294881"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2023 R</w:t>
            </w:r>
          </w:p>
        </w:tc>
        <w:tc>
          <w:tcPr>
            <w:tcW w:w="479" w:type="pct"/>
            <w:tcBorders>
              <w:top w:val="single" w:sz="4" w:space="0" w:color="auto"/>
              <w:left w:val="nil"/>
              <w:bottom w:val="single" w:sz="4" w:space="0" w:color="auto"/>
              <w:right w:val="nil"/>
            </w:tcBorders>
            <w:shd w:val="clear" w:color="auto" w:fill="auto"/>
            <w:noWrap/>
            <w:vAlign w:val="center"/>
            <w:hideMark/>
          </w:tcPr>
          <w:p w14:paraId="64CF6563"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2023 OS</w:t>
            </w:r>
          </w:p>
        </w:tc>
        <w:tc>
          <w:tcPr>
            <w:tcW w:w="403" w:type="pct"/>
            <w:tcBorders>
              <w:top w:val="single" w:sz="4" w:space="0" w:color="auto"/>
              <w:left w:val="nil"/>
              <w:bottom w:val="single" w:sz="4" w:space="0" w:color="auto"/>
              <w:right w:val="nil"/>
            </w:tcBorders>
            <w:shd w:val="clear" w:color="auto" w:fill="auto"/>
            <w:noWrap/>
            <w:vAlign w:val="center"/>
            <w:hideMark/>
          </w:tcPr>
          <w:p w14:paraId="03716FB8"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2024 N</w:t>
            </w:r>
          </w:p>
        </w:tc>
        <w:tc>
          <w:tcPr>
            <w:tcW w:w="403" w:type="pct"/>
            <w:tcBorders>
              <w:top w:val="single" w:sz="4" w:space="0" w:color="auto"/>
              <w:left w:val="nil"/>
              <w:bottom w:val="single" w:sz="4" w:space="0" w:color="auto"/>
              <w:right w:val="nil"/>
            </w:tcBorders>
            <w:shd w:val="clear" w:color="auto" w:fill="auto"/>
            <w:noWrap/>
            <w:vAlign w:val="center"/>
            <w:hideMark/>
          </w:tcPr>
          <w:p w14:paraId="31D796C6"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2025 N</w:t>
            </w:r>
          </w:p>
        </w:tc>
        <w:tc>
          <w:tcPr>
            <w:tcW w:w="403" w:type="pct"/>
            <w:tcBorders>
              <w:top w:val="single" w:sz="4" w:space="0" w:color="auto"/>
              <w:left w:val="nil"/>
              <w:bottom w:val="single" w:sz="4" w:space="0" w:color="auto"/>
              <w:right w:val="nil"/>
            </w:tcBorders>
            <w:shd w:val="clear" w:color="auto" w:fill="auto"/>
            <w:noWrap/>
            <w:vAlign w:val="center"/>
            <w:hideMark/>
          </w:tcPr>
          <w:p w14:paraId="36BFF4DC"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2026 N</w:t>
            </w:r>
          </w:p>
        </w:tc>
      </w:tr>
      <w:tr w:rsidR="00DD531B" w:rsidRPr="00DD531B" w14:paraId="4225FF43" w14:textId="77777777" w:rsidTr="001F24AE">
        <w:trPr>
          <w:trHeight w:val="300"/>
        </w:trPr>
        <w:tc>
          <w:tcPr>
            <w:tcW w:w="2128" w:type="pct"/>
            <w:tcBorders>
              <w:top w:val="nil"/>
              <w:left w:val="nil"/>
              <w:bottom w:val="nil"/>
              <w:right w:val="nil"/>
            </w:tcBorders>
            <w:shd w:val="clear" w:color="auto" w:fill="auto"/>
            <w:noWrap/>
            <w:vAlign w:val="bottom"/>
            <w:hideMark/>
          </w:tcPr>
          <w:p w14:paraId="059EA350" w14:textId="77777777" w:rsidR="00DD531B" w:rsidRPr="00B4559D" w:rsidRDefault="00DD531B" w:rsidP="00DD531B">
            <w:pPr>
              <w:spacing w:after="0" w:line="240" w:lineRule="auto"/>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Príjmy kapitoly spolu</w:t>
            </w:r>
          </w:p>
        </w:tc>
        <w:tc>
          <w:tcPr>
            <w:tcW w:w="390" w:type="pct"/>
            <w:tcBorders>
              <w:top w:val="nil"/>
              <w:left w:val="nil"/>
              <w:bottom w:val="nil"/>
              <w:right w:val="nil"/>
            </w:tcBorders>
            <w:shd w:val="clear" w:color="auto" w:fill="auto"/>
            <w:noWrap/>
            <w:vAlign w:val="bottom"/>
            <w:hideMark/>
          </w:tcPr>
          <w:p w14:paraId="31EBDE40" w14:textId="77777777" w:rsidR="00DD531B" w:rsidRPr="00B4559D"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14</w:t>
            </w:r>
          </w:p>
        </w:tc>
        <w:tc>
          <w:tcPr>
            <w:tcW w:w="390" w:type="pct"/>
            <w:tcBorders>
              <w:top w:val="nil"/>
              <w:left w:val="nil"/>
              <w:bottom w:val="nil"/>
              <w:right w:val="nil"/>
            </w:tcBorders>
            <w:shd w:val="clear" w:color="auto" w:fill="auto"/>
            <w:noWrap/>
            <w:vAlign w:val="bottom"/>
            <w:hideMark/>
          </w:tcPr>
          <w:p w14:paraId="40B9FAD7" w14:textId="77777777" w:rsidR="00DD531B" w:rsidRPr="00B4559D"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17</w:t>
            </w:r>
          </w:p>
        </w:tc>
        <w:tc>
          <w:tcPr>
            <w:tcW w:w="403" w:type="pct"/>
            <w:tcBorders>
              <w:top w:val="nil"/>
              <w:left w:val="nil"/>
              <w:bottom w:val="nil"/>
              <w:right w:val="nil"/>
            </w:tcBorders>
            <w:shd w:val="clear" w:color="auto" w:fill="auto"/>
            <w:noWrap/>
            <w:vAlign w:val="bottom"/>
            <w:hideMark/>
          </w:tcPr>
          <w:p w14:paraId="39D8EFC9" w14:textId="77777777" w:rsidR="00DD531B" w:rsidRPr="00B4559D"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10</w:t>
            </w:r>
          </w:p>
        </w:tc>
        <w:tc>
          <w:tcPr>
            <w:tcW w:w="479" w:type="pct"/>
            <w:tcBorders>
              <w:top w:val="nil"/>
              <w:left w:val="nil"/>
              <w:bottom w:val="nil"/>
              <w:right w:val="nil"/>
            </w:tcBorders>
            <w:shd w:val="clear" w:color="auto" w:fill="auto"/>
            <w:noWrap/>
            <w:vAlign w:val="bottom"/>
            <w:hideMark/>
          </w:tcPr>
          <w:p w14:paraId="5273B827" w14:textId="77777777" w:rsidR="00DD531B" w:rsidRPr="00B4559D"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15</w:t>
            </w:r>
          </w:p>
        </w:tc>
        <w:tc>
          <w:tcPr>
            <w:tcW w:w="403" w:type="pct"/>
            <w:tcBorders>
              <w:top w:val="nil"/>
              <w:left w:val="nil"/>
              <w:bottom w:val="nil"/>
              <w:right w:val="nil"/>
            </w:tcBorders>
            <w:shd w:val="clear" w:color="auto" w:fill="auto"/>
            <w:noWrap/>
            <w:vAlign w:val="bottom"/>
            <w:hideMark/>
          </w:tcPr>
          <w:p w14:paraId="3C6C8A9B" w14:textId="77777777" w:rsidR="00DD531B" w:rsidRPr="00B4559D"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15</w:t>
            </w:r>
          </w:p>
        </w:tc>
        <w:tc>
          <w:tcPr>
            <w:tcW w:w="403" w:type="pct"/>
            <w:tcBorders>
              <w:top w:val="nil"/>
              <w:left w:val="nil"/>
              <w:bottom w:val="nil"/>
              <w:right w:val="nil"/>
            </w:tcBorders>
            <w:shd w:val="clear" w:color="auto" w:fill="auto"/>
            <w:noWrap/>
            <w:vAlign w:val="bottom"/>
            <w:hideMark/>
          </w:tcPr>
          <w:p w14:paraId="2B0E3F5E" w14:textId="77777777" w:rsidR="00DD531B" w:rsidRPr="00B4559D"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15</w:t>
            </w:r>
          </w:p>
        </w:tc>
        <w:tc>
          <w:tcPr>
            <w:tcW w:w="403" w:type="pct"/>
            <w:tcBorders>
              <w:top w:val="nil"/>
              <w:left w:val="nil"/>
              <w:bottom w:val="nil"/>
              <w:right w:val="nil"/>
            </w:tcBorders>
            <w:shd w:val="clear" w:color="auto" w:fill="auto"/>
            <w:noWrap/>
            <w:vAlign w:val="bottom"/>
            <w:hideMark/>
          </w:tcPr>
          <w:p w14:paraId="5CA1B191" w14:textId="77777777" w:rsidR="00DD531B" w:rsidRPr="00B4559D"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15</w:t>
            </w:r>
          </w:p>
        </w:tc>
      </w:tr>
      <w:tr w:rsidR="00DD531B" w:rsidRPr="00DD531B" w14:paraId="3D9EA4F6" w14:textId="77777777" w:rsidTr="001F24AE">
        <w:trPr>
          <w:trHeight w:val="300"/>
        </w:trPr>
        <w:tc>
          <w:tcPr>
            <w:tcW w:w="2128" w:type="pct"/>
            <w:tcBorders>
              <w:top w:val="nil"/>
              <w:left w:val="nil"/>
              <w:bottom w:val="single" w:sz="4" w:space="0" w:color="auto"/>
              <w:right w:val="nil"/>
            </w:tcBorders>
            <w:shd w:val="clear" w:color="auto" w:fill="auto"/>
            <w:noWrap/>
            <w:vAlign w:val="bottom"/>
            <w:hideMark/>
          </w:tcPr>
          <w:p w14:paraId="46BE8348" w14:textId="77777777" w:rsidR="00DD531B" w:rsidRPr="00B4559D" w:rsidRDefault="00DD531B" w:rsidP="00DD531B">
            <w:pPr>
              <w:spacing w:after="0" w:line="240" w:lineRule="auto"/>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nedaňové príjmy</w:t>
            </w:r>
          </w:p>
        </w:tc>
        <w:tc>
          <w:tcPr>
            <w:tcW w:w="390" w:type="pct"/>
            <w:tcBorders>
              <w:top w:val="nil"/>
              <w:left w:val="nil"/>
              <w:bottom w:val="single" w:sz="4" w:space="0" w:color="auto"/>
              <w:right w:val="nil"/>
            </w:tcBorders>
            <w:shd w:val="clear" w:color="auto" w:fill="auto"/>
            <w:noWrap/>
            <w:vAlign w:val="bottom"/>
            <w:hideMark/>
          </w:tcPr>
          <w:p w14:paraId="15BF481C"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14</w:t>
            </w:r>
          </w:p>
        </w:tc>
        <w:tc>
          <w:tcPr>
            <w:tcW w:w="390" w:type="pct"/>
            <w:tcBorders>
              <w:top w:val="nil"/>
              <w:left w:val="nil"/>
              <w:bottom w:val="single" w:sz="4" w:space="0" w:color="auto"/>
              <w:right w:val="nil"/>
            </w:tcBorders>
            <w:shd w:val="clear" w:color="auto" w:fill="auto"/>
            <w:noWrap/>
            <w:vAlign w:val="bottom"/>
            <w:hideMark/>
          </w:tcPr>
          <w:p w14:paraId="663E23AD"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17</w:t>
            </w:r>
          </w:p>
        </w:tc>
        <w:tc>
          <w:tcPr>
            <w:tcW w:w="403" w:type="pct"/>
            <w:tcBorders>
              <w:top w:val="nil"/>
              <w:left w:val="nil"/>
              <w:bottom w:val="single" w:sz="4" w:space="0" w:color="auto"/>
              <w:right w:val="nil"/>
            </w:tcBorders>
            <w:shd w:val="clear" w:color="auto" w:fill="auto"/>
            <w:noWrap/>
            <w:vAlign w:val="bottom"/>
            <w:hideMark/>
          </w:tcPr>
          <w:p w14:paraId="78EB84F4"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10</w:t>
            </w:r>
          </w:p>
        </w:tc>
        <w:tc>
          <w:tcPr>
            <w:tcW w:w="479" w:type="pct"/>
            <w:tcBorders>
              <w:top w:val="nil"/>
              <w:left w:val="nil"/>
              <w:bottom w:val="single" w:sz="4" w:space="0" w:color="auto"/>
              <w:right w:val="nil"/>
            </w:tcBorders>
            <w:shd w:val="clear" w:color="auto" w:fill="auto"/>
            <w:noWrap/>
            <w:vAlign w:val="bottom"/>
            <w:hideMark/>
          </w:tcPr>
          <w:p w14:paraId="7E586E10"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15</w:t>
            </w:r>
          </w:p>
        </w:tc>
        <w:tc>
          <w:tcPr>
            <w:tcW w:w="403" w:type="pct"/>
            <w:tcBorders>
              <w:top w:val="nil"/>
              <w:left w:val="nil"/>
              <w:bottom w:val="single" w:sz="4" w:space="0" w:color="auto"/>
              <w:right w:val="nil"/>
            </w:tcBorders>
            <w:shd w:val="clear" w:color="auto" w:fill="auto"/>
            <w:noWrap/>
            <w:vAlign w:val="bottom"/>
            <w:hideMark/>
          </w:tcPr>
          <w:p w14:paraId="21834B88"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15</w:t>
            </w:r>
          </w:p>
        </w:tc>
        <w:tc>
          <w:tcPr>
            <w:tcW w:w="403" w:type="pct"/>
            <w:tcBorders>
              <w:top w:val="nil"/>
              <w:left w:val="nil"/>
              <w:bottom w:val="single" w:sz="4" w:space="0" w:color="auto"/>
              <w:right w:val="nil"/>
            </w:tcBorders>
            <w:shd w:val="clear" w:color="auto" w:fill="auto"/>
            <w:noWrap/>
            <w:vAlign w:val="bottom"/>
            <w:hideMark/>
          </w:tcPr>
          <w:p w14:paraId="44F573A7"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15</w:t>
            </w:r>
          </w:p>
        </w:tc>
        <w:tc>
          <w:tcPr>
            <w:tcW w:w="403" w:type="pct"/>
            <w:tcBorders>
              <w:top w:val="nil"/>
              <w:left w:val="nil"/>
              <w:bottom w:val="single" w:sz="4" w:space="0" w:color="auto"/>
              <w:right w:val="nil"/>
            </w:tcBorders>
            <w:shd w:val="clear" w:color="auto" w:fill="auto"/>
            <w:noWrap/>
            <w:vAlign w:val="bottom"/>
            <w:hideMark/>
          </w:tcPr>
          <w:p w14:paraId="17629FF1"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15</w:t>
            </w:r>
          </w:p>
        </w:tc>
      </w:tr>
    </w:tbl>
    <w:p w14:paraId="0A2B44FE" w14:textId="77777777" w:rsidR="00DD531B" w:rsidRPr="00DD531B" w:rsidRDefault="00DD531B" w:rsidP="00DD531B">
      <w:pPr>
        <w:rPr>
          <w:rFonts w:ascii="Times New Roman" w:eastAsia="Calibri" w:hAnsi="Times New Roman" w:cs="Times New Roman"/>
        </w:rPr>
      </w:pPr>
    </w:p>
    <w:p w14:paraId="39026CA9" w14:textId="18C1F2DE" w:rsidR="00DD531B" w:rsidRPr="00B4559D" w:rsidRDefault="00B4559D"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186" w:name="_Toc153013056"/>
      <w:r w:rsidRPr="00B4559D">
        <w:rPr>
          <w:rFonts w:ascii="Times New Roman" w:eastAsia="Times New Roman" w:hAnsi="Times New Roman" w:cs="Times New Roman"/>
          <w:b/>
          <w:iCs/>
          <w:color w:val="5B9BD5" w:themeColor="accent1"/>
          <w:sz w:val="20"/>
          <w:szCs w:val="20"/>
          <w:lang w:eastAsia="sk-SK"/>
        </w:rPr>
        <w:t xml:space="preserve">Tabuľka </w:t>
      </w:r>
      <w:r w:rsidRPr="00B4559D">
        <w:rPr>
          <w:rFonts w:ascii="Times New Roman" w:hAnsi="Times New Roman" w:cs="Times New Roman"/>
          <w:b/>
          <w:color w:val="5B9BD5" w:themeColor="accent1"/>
          <w:sz w:val="20"/>
          <w:szCs w:val="20"/>
        </w:rPr>
        <w:fldChar w:fldCharType="begin"/>
      </w:r>
      <w:r w:rsidRPr="00B4559D">
        <w:rPr>
          <w:rFonts w:ascii="Times New Roman" w:hAnsi="Times New Roman" w:cs="Times New Roman"/>
          <w:b/>
          <w:color w:val="5B9BD5" w:themeColor="accent1"/>
          <w:sz w:val="20"/>
          <w:szCs w:val="20"/>
        </w:rPr>
        <w:instrText xml:space="preserve"> SEQ Tabuľka \* ARABIC </w:instrText>
      </w:r>
      <w:r w:rsidRPr="00B4559D">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58</w:t>
      </w:r>
      <w:r w:rsidRPr="00B4559D">
        <w:rPr>
          <w:rFonts w:ascii="Times New Roman" w:hAnsi="Times New Roman" w:cs="Times New Roman"/>
          <w:b/>
          <w:color w:val="5B9BD5" w:themeColor="accent1"/>
          <w:sz w:val="20"/>
          <w:szCs w:val="20"/>
        </w:rPr>
        <w:fldChar w:fldCharType="end"/>
      </w:r>
      <w:r w:rsidRPr="00B4559D">
        <w:rPr>
          <w:rFonts w:ascii="Times New Roman" w:hAnsi="Times New Roman" w:cs="Times New Roman"/>
          <w:b/>
          <w:color w:val="5B9BD5" w:themeColor="accent1"/>
          <w:sz w:val="20"/>
          <w:szCs w:val="20"/>
        </w:rPr>
        <w:t xml:space="preserve"> - </w:t>
      </w:r>
      <w:r w:rsidR="00DD531B" w:rsidRPr="00B4559D">
        <w:rPr>
          <w:rFonts w:ascii="Times New Roman" w:eastAsia="Times New Roman" w:hAnsi="Times New Roman" w:cs="Times New Roman"/>
          <w:b/>
          <w:iCs/>
          <w:color w:val="5B9BD5" w:themeColor="accent1"/>
          <w:sz w:val="20"/>
          <w:szCs w:val="20"/>
          <w:lang w:eastAsia="sk-SK"/>
        </w:rPr>
        <w:t>Výdavky kapitoly KP SR</w:t>
      </w:r>
      <w:bookmarkEnd w:id="186"/>
    </w:p>
    <w:tbl>
      <w:tblPr>
        <w:tblW w:w="5000" w:type="pct"/>
        <w:tblCellMar>
          <w:left w:w="70" w:type="dxa"/>
          <w:right w:w="70" w:type="dxa"/>
        </w:tblCellMar>
        <w:tblLook w:val="04A0" w:firstRow="1" w:lastRow="0" w:firstColumn="1" w:lastColumn="0" w:noHBand="0" w:noVBand="1"/>
      </w:tblPr>
      <w:tblGrid>
        <w:gridCol w:w="3862"/>
        <w:gridCol w:w="709"/>
        <w:gridCol w:w="708"/>
        <w:gridCol w:w="731"/>
        <w:gridCol w:w="869"/>
        <w:gridCol w:w="731"/>
        <w:gridCol w:w="731"/>
        <w:gridCol w:w="731"/>
      </w:tblGrid>
      <w:tr w:rsidR="00DD531B" w:rsidRPr="00DD531B" w14:paraId="759A9710" w14:textId="77777777" w:rsidTr="001F24AE">
        <w:trPr>
          <w:trHeight w:val="300"/>
        </w:trPr>
        <w:tc>
          <w:tcPr>
            <w:tcW w:w="2128" w:type="pct"/>
            <w:tcBorders>
              <w:top w:val="single" w:sz="4" w:space="0" w:color="auto"/>
              <w:left w:val="nil"/>
              <w:bottom w:val="single" w:sz="4" w:space="0" w:color="auto"/>
              <w:right w:val="nil"/>
            </w:tcBorders>
            <w:shd w:val="clear" w:color="auto" w:fill="auto"/>
            <w:noWrap/>
            <w:vAlign w:val="center"/>
            <w:hideMark/>
          </w:tcPr>
          <w:p w14:paraId="2D0F6590" w14:textId="77777777" w:rsidR="00DD531B" w:rsidRPr="00D6350B" w:rsidRDefault="00DD531B" w:rsidP="00DD531B">
            <w:pPr>
              <w:spacing w:after="0" w:line="240" w:lineRule="auto"/>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v tis. eur</w:t>
            </w:r>
          </w:p>
        </w:tc>
        <w:tc>
          <w:tcPr>
            <w:tcW w:w="390" w:type="pct"/>
            <w:tcBorders>
              <w:top w:val="single" w:sz="4" w:space="0" w:color="auto"/>
              <w:left w:val="nil"/>
              <w:bottom w:val="single" w:sz="4" w:space="0" w:color="auto"/>
              <w:right w:val="nil"/>
            </w:tcBorders>
            <w:shd w:val="clear" w:color="auto" w:fill="auto"/>
            <w:noWrap/>
            <w:vAlign w:val="center"/>
            <w:hideMark/>
          </w:tcPr>
          <w:p w14:paraId="42B81ACE" w14:textId="77777777" w:rsidR="00DD531B" w:rsidRPr="00D6350B" w:rsidRDefault="00DD531B" w:rsidP="00B4559D">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2021 S</w:t>
            </w:r>
          </w:p>
        </w:tc>
        <w:tc>
          <w:tcPr>
            <w:tcW w:w="390" w:type="pct"/>
            <w:tcBorders>
              <w:top w:val="single" w:sz="4" w:space="0" w:color="auto"/>
              <w:left w:val="nil"/>
              <w:bottom w:val="single" w:sz="4" w:space="0" w:color="auto"/>
              <w:right w:val="nil"/>
            </w:tcBorders>
            <w:shd w:val="clear" w:color="auto" w:fill="auto"/>
            <w:noWrap/>
            <w:vAlign w:val="center"/>
            <w:hideMark/>
          </w:tcPr>
          <w:p w14:paraId="2BE93458" w14:textId="77777777" w:rsidR="00DD531B" w:rsidRPr="00D6350B" w:rsidRDefault="00DD531B" w:rsidP="00B4559D">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2022 S</w:t>
            </w:r>
          </w:p>
        </w:tc>
        <w:tc>
          <w:tcPr>
            <w:tcW w:w="403" w:type="pct"/>
            <w:tcBorders>
              <w:top w:val="single" w:sz="4" w:space="0" w:color="auto"/>
              <w:left w:val="nil"/>
              <w:bottom w:val="single" w:sz="4" w:space="0" w:color="auto"/>
              <w:right w:val="nil"/>
            </w:tcBorders>
            <w:shd w:val="clear" w:color="auto" w:fill="auto"/>
            <w:noWrap/>
            <w:vAlign w:val="center"/>
            <w:hideMark/>
          </w:tcPr>
          <w:p w14:paraId="2C89CFD7" w14:textId="77777777" w:rsidR="00DD531B" w:rsidRPr="00D6350B" w:rsidRDefault="00DD531B" w:rsidP="00B4559D">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2023 R</w:t>
            </w:r>
          </w:p>
        </w:tc>
        <w:tc>
          <w:tcPr>
            <w:tcW w:w="479" w:type="pct"/>
            <w:tcBorders>
              <w:top w:val="single" w:sz="4" w:space="0" w:color="auto"/>
              <w:left w:val="nil"/>
              <w:bottom w:val="single" w:sz="4" w:space="0" w:color="auto"/>
              <w:right w:val="nil"/>
            </w:tcBorders>
            <w:shd w:val="clear" w:color="auto" w:fill="auto"/>
            <w:noWrap/>
            <w:vAlign w:val="center"/>
            <w:hideMark/>
          </w:tcPr>
          <w:p w14:paraId="3DF7239A" w14:textId="77777777" w:rsidR="00DD531B" w:rsidRPr="00D6350B" w:rsidRDefault="00DD531B" w:rsidP="00B4559D">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2023 OS</w:t>
            </w:r>
          </w:p>
        </w:tc>
        <w:tc>
          <w:tcPr>
            <w:tcW w:w="403" w:type="pct"/>
            <w:tcBorders>
              <w:top w:val="single" w:sz="4" w:space="0" w:color="auto"/>
              <w:left w:val="nil"/>
              <w:bottom w:val="single" w:sz="4" w:space="0" w:color="auto"/>
              <w:right w:val="nil"/>
            </w:tcBorders>
            <w:shd w:val="clear" w:color="auto" w:fill="auto"/>
            <w:noWrap/>
            <w:vAlign w:val="center"/>
            <w:hideMark/>
          </w:tcPr>
          <w:p w14:paraId="4D1DA323" w14:textId="77777777" w:rsidR="00DD531B" w:rsidRPr="00D6350B" w:rsidRDefault="00DD531B" w:rsidP="00B4559D">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2024 N</w:t>
            </w:r>
          </w:p>
        </w:tc>
        <w:tc>
          <w:tcPr>
            <w:tcW w:w="403" w:type="pct"/>
            <w:tcBorders>
              <w:top w:val="single" w:sz="4" w:space="0" w:color="auto"/>
              <w:left w:val="nil"/>
              <w:bottom w:val="single" w:sz="4" w:space="0" w:color="auto"/>
              <w:right w:val="nil"/>
            </w:tcBorders>
            <w:shd w:val="clear" w:color="auto" w:fill="auto"/>
            <w:noWrap/>
            <w:vAlign w:val="center"/>
            <w:hideMark/>
          </w:tcPr>
          <w:p w14:paraId="0508478A" w14:textId="77777777" w:rsidR="00DD531B" w:rsidRPr="00D6350B" w:rsidRDefault="00DD531B" w:rsidP="00B4559D">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2025 N</w:t>
            </w:r>
          </w:p>
        </w:tc>
        <w:tc>
          <w:tcPr>
            <w:tcW w:w="403" w:type="pct"/>
            <w:tcBorders>
              <w:top w:val="single" w:sz="4" w:space="0" w:color="auto"/>
              <w:left w:val="nil"/>
              <w:bottom w:val="single" w:sz="4" w:space="0" w:color="auto"/>
              <w:right w:val="nil"/>
            </w:tcBorders>
            <w:shd w:val="clear" w:color="auto" w:fill="auto"/>
            <w:noWrap/>
            <w:vAlign w:val="center"/>
            <w:hideMark/>
          </w:tcPr>
          <w:p w14:paraId="29AD3A19" w14:textId="77777777" w:rsidR="00DD531B" w:rsidRPr="00D6350B" w:rsidRDefault="00DD531B" w:rsidP="00B4559D">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2026 N</w:t>
            </w:r>
          </w:p>
        </w:tc>
      </w:tr>
      <w:tr w:rsidR="00DD531B" w:rsidRPr="00DD531B" w14:paraId="14FA9827" w14:textId="77777777" w:rsidTr="001F24AE">
        <w:trPr>
          <w:trHeight w:val="300"/>
        </w:trPr>
        <w:tc>
          <w:tcPr>
            <w:tcW w:w="2128" w:type="pct"/>
            <w:tcBorders>
              <w:top w:val="nil"/>
              <w:left w:val="nil"/>
              <w:bottom w:val="nil"/>
              <w:right w:val="nil"/>
            </w:tcBorders>
            <w:shd w:val="clear" w:color="auto" w:fill="auto"/>
            <w:noWrap/>
            <w:vAlign w:val="center"/>
            <w:hideMark/>
          </w:tcPr>
          <w:p w14:paraId="46A233AD" w14:textId="77777777" w:rsidR="00DD531B" w:rsidRPr="00D6350B" w:rsidRDefault="00DD531B" w:rsidP="00DD531B">
            <w:pPr>
              <w:spacing w:after="0" w:line="240" w:lineRule="auto"/>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Výdavky kapitoly spolu</w:t>
            </w:r>
          </w:p>
        </w:tc>
        <w:tc>
          <w:tcPr>
            <w:tcW w:w="390" w:type="pct"/>
            <w:tcBorders>
              <w:top w:val="nil"/>
              <w:left w:val="nil"/>
              <w:bottom w:val="nil"/>
              <w:right w:val="nil"/>
            </w:tcBorders>
            <w:shd w:val="clear" w:color="auto" w:fill="auto"/>
            <w:noWrap/>
            <w:vAlign w:val="center"/>
            <w:hideMark/>
          </w:tcPr>
          <w:p w14:paraId="57A55F38"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6 293</w:t>
            </w:r>
          </w:p>
        </w:tc>
        <w:tc>
          <w:tcPr>
            <w:tcW w:w="390" w:type="pct"/>
            <w:tcBorders>
              <w:top w:val="nil"/>
              <w:left w:val="nil"/>
              <w:bottom w:val="nil"/>
              <w:right w:val="nil"/>
            </w:tcBorders>
            <w:shd w:val="clear" w:color="auto" w:fill="auto"/>
            <w:noWrap/>
            <w:vAlign w:val="center"/>
            <w:hideMark/>
          </w:tcPr>
          <w:p w14:paraId="7E42CC58"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6 637</w:t>
            </w:r>
          </w:p>
        </w:tc>
        <w:tc>
          <w:tcPr>
            <w:tcW w:w="403" w:type="pct"/>
            <w:tcBorders>
              <w:top w:val="nil"/>
              <w:left w:val="nil"/>
              <w:bottom w:val="nil"/>
              <w:right w:val="nil"/>
            </w:tcBorders>
            <w:shd w:val="clear" w:color="auto" w:fill="auto"/>
            <w:noWrap/>
            <w:vAlign w:val="center"/>
            <w:hideMark/>
          </w:tcPr>
          <w:p w14:paraId="63A6467A"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6 377</w:t>
            </w:r>
          </w:p>
        </w:tc>
        <w:tc>
          <w:tcPr>
            <w:tcW w:w="479" w:type="pct"/>
            <w:tcBorders>
              <w:top w:val="nil"/>
              <w:left w:val="nil"/>
              <w:bottom w:val="nil"/>
              <w:right w:val="nil"/>
            </w:tcBorders>
            <w:shd w:val="clear" w:color="auto" w:fill="auto"/>
            <w:noWrap/>
            <w:vAlign w:val="center"/>
            <w:hideMark/>
          </w:tcPr>
          <w:p w14:paraId="7CEA8F8E"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8 719</w:t>
            </w:r>
          </w:p>
        </w:tc>
        <w:tc>
          <w:tcPr>
            <w:tcW w:w="403" w:type="pct"/>
            <w:tcBorders>
              <w:top w:val="nil"/>
              <w:left w:val="nil"/>
              <w:bottom w:val="nil"/>
              <w:right w:val="nil"/>
            </w:tcBorders>
            <w:shd w:val="clear" w:color="auto" w:fill="auto"/>
            <w:noWrap/>
            <w:vAlign w:val="center"/>
            <w:hideMark/>
          </w:tcPr>
          <w:p w14:paraId="4D92479A"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7 438</w:t>
            </w:r>
          </w:p>
        </w:tc>
        <w:tc>
          <w:tcPr>
            <w:tcW w:w="403" w:type="pct"/>
            <w:tcBorders>
              <w:top w:val="nil"/>
              <w:left w:val="nil"/>
              <w:bottom w:val="nil"/>
              <w:right w:val="nil"/>
            </w:tcBorders>
            <w:shd w:val="clear" w:color="auto" w:fill="auto"/>
            <w:noWrap/>
            <w:vAlign w:val="center"/>
            <w:hideMark/>
          </w:tcPr>
          <w:p w14:paraId="7FD1B316"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7 551</w:t>
            </w:r>
          </w:p>
        </w:tc>
        <w:tc>
          <w:tcPr>
            <w:tcW w:w="403" w:type="pct"/>
            <w:tcBorders>
              <w:top w:val="nil"/>
              <w:left w:val="nil"/>
              <w:bottom w:val="nil"/>
              <w:right w:val="nil"/>
            </w:tcBorders>
            <w:shd w:val="clear" w:color="auto" w:fill="auto"/>
            <w:noWrap/>
            <w:vAlign w:val="center"/>
            <w:hideMark/>
          </w:tcPr>
          <w:p w14:paraId="2AD05286"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7 395</w:t>
            </w:r>
          </w:p>
        </w:tc>
      </w:tr>
      <w:tr w:rsidR="00DD531B" w:rsidRPr="00DD531B" w14:paraId="30BC1865" w14:textId="77777777" w:rsidTr="001F24AE">
        <w:trPr>
          <w:trHeight w:val="300"/>
        </w:trPr>
        <w:tc>
          <w:tcPr>
            <w:tcW w:w="2128" w:type="pct"/>
            <w:tcBorders>
              <w:top w:val="nil"/>
              <w:left w:val="nil"/>
              <w:bottom w:val="nil"/>
              <w:right w:val="nil"/>
            </w:tcBorders>
            <w:shd w:val="clear" w:color="auto" w:fill="auto"/>
            <w:noWrap/>
            <w:vAlign w:val="bottom"/>
            <w:hideMark/>
          </w:tcPr>
          <w:p w14:paraId="6CABCFDB" w14:textId="77777777" w:rsidR="00DD531B" w:rsidRPr="00D6350B" w:rsidRDefault="00DD531B" w:rsidP="00DD531B">
            <w:pPr>
              <w:spacing w:after="0" w:line="240" w:lineRule="auto"/>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rozpočtové zdroje kapitoly</w:t>
            </w:r>
          </w:p>
        </w:tc>
        <w:tc>
          <w:tcPr>
            <w:tcW w:w="390" w:type="pct"/>
            <w:tcBorders>
              <w:top w:val="nil"/>
              <w:left w:val="nil"/>
              <w:bottom w:val="nil"/>
              <w:right w:val="nil"/>
            </w:tcBorders>
            <w:shd w:val="clear" w:color="auto" w:fill="auto"/>
            <w:noWrap/>
            <w:vAlign w:val="bottom"/>
            <w:hideMark/>
          </w:tcPr>
          <w:p w14:paraId="1651ED89"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6 040</w:t>
            </w:r>
          </w:p>
        </w:tc>
        <w:tc>
          <w:tcPr>
            <w:tcW w:w="390" w:type="pct"/>
            <w:tcBorders>
              <w:top w:val="nil"/>
              <w:left w:val="nil"/>
              <w:bottom w:val="nil"/>
              <w:right w:val="nil"/>
            </w:tcBorders>
            <w:shd w:val="clear" w:color="auto" w:fill="auto"/>
            <w:noWrap/>
            <w:vAlign w:val="bottom"/>
            <w:hideMark/>
          </w:tcPr>
          <w:p w14:paraId="601266AD"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6 584</w:t>
            </w:r>
          </w:p>
        </w:tc>
        <w:tc>
          <w:tcPr>
            <w:tcW w:w="403" w:type="pct"/>
            <w:tcBorders>
              <w:top w:val="nil"/>
              <w:left w:val="nil"/>
              <w:bottom w:val="nil"/>
              <w:right w:val="nil"/>
            </w:tcBorders>
            <w:shd w:val="clear" w:color="auto" w:fill="auto"/>
            <w:noWrap/>
            <w:vAlign w:val="bottom"/>
            <w:hideMark/>
          </w:tcPr>
          <w:p w14:paraId="3CF9E6BF"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6 377</w:t>
            </w:r>
          </w:p>
        </w:tc>
        <w:tc>
          <w:tcPr>
            <w:tcW w:w="479" w:type="pct"/>
            <w:tcBorders>
              <w:top w:val="nil"/>
              <w:left w:val="nil"/>
              <w:bottom w:val="nil"/>
              <w:right w:val="nil"/>
            </w:tcBorders>
            <w:shd w:val="clear" w:color="auto" w:fill="auto"/>
            <w:noWrap/>
            <w:vAlign w:val="bottom"/>
            <w:hideMark/>
          </w:tcPr>
          <w:p w14:paraId="5A15F671"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8 484</w:t>
            </w:r>
          </w:p>
        </w:tc>
        <w:tc>
          <w:tcPr>
            <w:tcW w:w="403" w:type="pct"/>
            <w:tcBorders>
              <w:top w:val="nil"/>
              <w:left w:val="nil"/>
              <w:bottom w:val="nil"/>
              <w:right w:val="nil"/>
            </w:tcBorders>
            <w:shd w:val="clear" w:color="auto" w:fill="auto"/>
            <w:noWrap/>
            <w:vAlign w:val="bottom"/>
            <w:hideMark/>
          </w:tcPr>
          <w:p w14:paraId="179C2AB7"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7 438</w:t>
            </w:r>
          </w:p>
        </w:tc>
        <w:tc>
          <w:tcPr>
            <w:tcW w:w="403" w:type="pct"/>
            <w:tcBorders>
              <w:top w:val="nil"/>
              <w:left w:val="nil"/>
              <w:bottom w:val="nil"/>
              <w:right w:val="nil"/>
            </w:tcBorders>
            <w:shd w:val="clear" w:color="auto" w:fill="auto"/>
            <w:noWrap/>
            <w:vAlign w:val="bottom"/>
            <w:hideMark/>
          </w:tcPr>
          <w:p w14:paraId="5D1F63E7"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7 551</w:t>
            </w:r>
          </w:p>
        </w:tc>
        <w:tc>
          <w:tcPr>
            <w:tcW w:w="403" w:type="pct"/>
            <w:tcBorders>
              <w:top w:val="nil"/>
              <w:left w:val="nil"/>
              <w:bottom w:val="nil"/>
              <w:right w:val="nil"/>
            </w:tcBorders>
            <w:shd w:val="clear" w:color="auto" w:fill="auto"/>
            <w:noWrap/>
            <w:vAlign w:val="bottom"/>
            <w:hideMark/>
          </w:tcPr>
          <w:p w14:paraId="18488251"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7 395</w:t>
            </w:r>
          </w:p>
        </w:tc>
      </w:tr>
      <w:tr w:rsidR="00DD531B" w:rsidRPr="00DD531B" w14:paraId="7C049D02" w14:textId="77777777" w:rsidTr="001F24AE">
        <w:trPr>
          <w:trHeight w:val="300"/>
        </w:trPr>
        <w:tc>
          <w:tcPr>
            <w:tcW w:w="2128" w:type="pct"/>
            <w:tcBorders>
              <w:top w:val="nil"/>
              <w:left w:val="nil"/>
              <w:bottom w:val="nil"/>
              <w:right w:val="nil"/>
            </w:tcBorders>
            <w:shd w:val="clear" w:color="auto" w:fill="auto"/>
            <w:noWrap/>
            <w:vAlign w:val="bottom"/>
            <w:hideMark/>
          </w:tcPr>
          <w:p w14:paraId="3B00B2A8"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bežné výdavky  600, v tom:</w:t>
            </w:r>
          </w:p>
        </w:tc>
        <w:tc>
          <w:tcPr>
            <w:tcW w:w="390" w:type="pct"/>
            <w:tcBorders>
              <w:top w:val="nil"/>
              <w:left w:val="nil"/>
              <w:bottom w:val="nil"/>
              <w:right w:val="nil"/>
            </w:tcBorders>
            <w:shd w:val="clear" w:color="auto" w:fill="auto"/>
            <w:noWrap/>
            <w:vAlign w:val="bottom"/>
            <w:hideMark/>
          </w:tcPr>
          <w:p w14:paraId="24D2BA50"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6 032</w:t>
            </w:r>
          </w:p>
        </w:tc>
        <w:tc>
          <w:tcPr>
            <w:tcW w:w="390" w:type="pct"/>
            <w:tcBorders>
              <w:top w:val="nil"/>
              <w:left w:val="nil"/>
              <w:bottom w:val="nil"/>
              <w:right w:val="nil"/>
            </w:tcBorders>
            <w:shd w:val="clear" w:color="auto" w:fill="auto"/>
            <w:noWrap/>
            <w:vAlign w:val="bottom"/>
            <w:hideMark/>
          </w:tcPr>
          <w:p w14:paraId="43425C63"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6 428</w:t>
            </w:r>
          </w:p>
        </w:tc>
        <w:tc>
          <w:tcPr>
            <w:tcW w:w="403" w:type="pct"/>
            <w:tcBorders>
              <w:top w:val="nil"/>
              <w:left w:val="nil"/>
              <w:bottom w:val="nil"/>
              <w:right w:val="nil"/>
            </w:tcBorders>
            <w:shd w:val="clear" w:color="auto" w:fill="auto"/>
            <w:noWrap/>
            <w:vAlign w:val="bottom"/>
            <w:hideMark/>
          </w:tcPr>
          <w:p w14:paraId="63DF2D2F"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6 369</w:t>
            </w:r>
          </w:p>
        </w:tc>
        <w:tc>
          <w:tcPr>
            <w:tcW w:w="479" w:type="pct"/>
            <w:tcBorders>
              <w:top w:val="nil"/>
              <w:left w:val="nil"/>
              <w:bottom w:val="nil"/>
              <w:right w:val="nil"/>
            </w:tcBorders>
            <w:shd w:val="clear" w:color="auto" w:fill="auto"/>
            <w:noWrap/>
            <w:vAlign w:val="bottom"/>
            <w:hideMark/>
          </w:tcPr>
          <w:p w14:paraId="03D56182"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8 102</w:t>
            </w:r>
          </w:p>
        </w:tc>
        <w:tc>
          <w:tcPr>
            <w:tcW w:w="403" w:type="pct"/>
            <w:tcBorders>
              <w:top w:val="nil"/>
              <w:left w:val="nil"/>
              <w:bottom w:val="nil"/>
              <w:right w:val="nil"/>
            </w:tcBorders>
            <w:shd w:val="clear" w:color="auto" w:fill="auto"/>
            <w:noWrap/>
            <w:vAlign w:val="bottom"/>
            <w:hideMark/>
          </w:tcPr>
          <w:p w14:paraId="2C0A6E40"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7 430</w:t>
            </w:r>
          </w:p>
        </w:tc>
        <w:tc>
          <w:tcPr>
            <w:tcW w:w="403" w:type="pct"/>
            <w:tcBorders>
              <w:top w:val="nil"/>
              <w:left w:val="nil"/>
              <w:bottom w:val="nil"/>
              <w:right w:val="nil"/>
            </w:tcBorders>
            <w:shd w:val="clear" w:color="auto" w:fill="auto"/>
            <w:noWrap/>
            <w:vAlign w:val="bottom"/>
            <w:hideMark/>
          </w:tcPr>
          <w:p w14:paraId="273465A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7 257</w:t>
            </w:r>
          </w:p>
        </w:tc>
        <w:tc>
          <w:tcPr>
            <w:tcW w:w="403" w:type="pct"/>
            <w:tcBorders>
              <w:top w:val="nil"/>
              <w:left w:val="nil"/>
              <w:bottom w:val="nil"/>
              <w:right w:val="nil"/>
            </w:tcBorders>
            <w:shd w:val="clear" w:color="auto" w:fill="auto"/>
            <w:noWrap/>
            <w:vAlign w:val="bottom"/>
            <w:hideMark/>
          </w:tcPr>
          <w:p w14:paraId="202D117D"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7 183</w:t>
            </w:r>
          </w:p>
        </w:tc>
      </w:tr>
      <w:tr w:rsidR="00DD531B" w:rsidRPr="00DD531B" w14:paraId="05DEE2A6" w14:textId="77777777" w:rsidTr="001F24AE">
        <w:trPr>
          <w:trHeight w:val="300"/>
        </w:trPr>
        <w:tc>
          <w:tcPr>
            <w:tcW w:w="2128" w:type="pct"/>
            <w:tcBorders>
              <w:top w:val="nil"/>
              <w:left w:val="nil"/>
              <w:bottom w:val="nil"/>
              <w:right w:val="nil"/>
            </w:tcBorders>
            <w:shd w:val="clear" w:color="auto" w:fill="auto"/>
            <w:noWrap/>
            <w:vAlign w:val="bottom"/>
            <w:hideMark/>
          </w:tcPr>
          <w:p w14:paraId="58084332"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610 mzdy</w:t>
            </w:r>
          </w:p>
        </w:tc>
        <w:tc>
          <w:tcPr>
            <w:tcW w:w="390" w:type="pct"/>
            <w:tcBorders>
              <w:top w:val="nil"/>
              <w:left w:val="nil"/>
              <w:bottom w:val="nil"/>
              <w:right w:val="nil"/>
            </w:tcBorders>
            <w:shd w:val="clear" w:color="auto" w:fill="auto"/>
            <w:noWrap/>
            <w:vAlign w:val="bottom"/>
            <w:hideMark/>
          </w:tcPr>
          <w:p w14:paraId="5006BD8A"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2 757</w:t>
            </w:r>
          </w:p>
        </w:tc>
        <w:tc>
          <w:tcPr>
            <w:tcW w:w="390" w:type="pct"/>
            <w:tcBorders>
              <w:top w:val="nil"/>
              <w:left w:val="nil"/>
              <w:bottom w:val="nil"/>
              <w:right w:val="nil"/>
            </w:tcBorders>
            <w:shd w:val="clear" w:color="auto" w:fill="auto"/>
            <w:noWrap/>
            <w:vAlign w:val="bottom"/>
            <w:hideMark/>
          </w:tcPr>
          <w:p w14:paraId="2DA231F3"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2 874</w:t>
            </w:r>
          </w:p>
        </w:tc>
        <w:tc>
          <w:tcPr>
            <w:tcW w:w="403" w:type="pct"/>
            <w:tcBorders>
              <w:top w:val="nil"/>
              <w:left w:val="nil"/>
              <w:bottom w:val="nil"/>
              <w:right w:val="nil"/>
            </w:tcBorders>
            <w:shd w:val="clear" w:color="auto" w:fill="auto"/>
            <w:noWrap/>
            <w:vAlign w:val="bottom"/>
            <w:hideMark/>
          </w:tcPr>
          <w:p w14:paraId="4262F073"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3 149</w:t>
            </w:r>
          </w:p>
        </w:tc>
        <w:tc>
          <w:tcPr>
            <w:tcW w:w="479" w:type="pct"/>
            <w:tcBorders>
              <w:top w:val="nil"/>
              <w:left w:val="nil"/>
              <w:bottom w:val="nil"/>
              <w:right w:val="nil"/>
            </w:tcBorders>
            <w:shd w:val="clear" w:color="auto" w:fill="auto"/>
            <w:noWrap/>
            <w:vAlign w:val="bottom"/>
            <w:hideMark/>
          </w:tcPr>
          <w:p w14:paraId="68AF35F4"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3 262</w:t>
            </w:r>
          </w:p>
        </w:tc>
        <w:tc>
          <w:tcPr>
            <w:tcW w:w="403" w:type="pct"/>
            <w:tcBorders>
              <w:top w:val="nil"/>
              <w:left w:val="nil"/>
              <w:bottom w:val="nil"/>
              <w:right w:val="nil"/>
            </w:tcBorders>
            <w:shd w:val="clear" w:color="auto" w:fill="auto"/>
            <w:noWrap/>
            <w:vAlign w:val="bottom"/>
            <w:hideMark/>
          </w:tcPr>
          <w:p w14:paraId="24B5CB1A"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3 353</w:t>
            </w:r>
          </w:p>
        </w:tc>
        <w:tc>
          <w:tcPr>
            <w:tcW w:w="403" w:type="pct"/>
            <w:tcBorders>
              <w:top w:val="nil"/>
              <w:left w:val="nil"/>
              <w:bottom w:val="nil"/>
              <w:right w:val="nil"/>
            </w:tcBorders>
            <w:shd w:val="clear" w:color="auto" w:fill="auto"/>
            <w:noWrap/>
            <w:vAlign w:val="bottom"/>
            <w:hideMark/>
          </w:tcPr>
          <w:p w14:paraId="6D3D68C7"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3 353</w:t>
            </w:r>
          </w:p>
        </w:tc>
        <w:tc>
          <w:tcPr>
            <w:tcW w:w="403" w:type="pct"/>
            <w:tcBorders>
              <w:top w:val="nil"/>
              <w:left w:val="nil"/>
              <w:bottom w:val="nil"/>
              <w:right w:val="nil"/>
            </w:tcBorders>
            <w:shd w:val="clear" w:color="auto" w:fill="auto"/>
            <w:noWrap/>
            <w:vAlign w:val="bottom"/>
            <w:hideMark/>
          </w:tcPr>
          <w:p w14:paraId="67E98D4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3 353</w:t>
            </w:r>
          </w:p>
        </w:tc>
      </w:tr>
      <w:tr w:rsidR="00DD531B" w:rsidRPr="00DD531B" w14:paraId="6E10D152" w14:textId="77777777" w:rsidTr="001F24AE">
        <w:trPr>
          <w:trHeight w:val="300"/>
        </w:trPr>
        <w:tc>
          <w:tcPr>
            <w:tcW w:w="2128" w:type="pct"/>
            <w:tcBorders>
              <w:top w:val="nil"/>
              <w:left w:val="nil"/>
              <w:bottom w:val="nil"/>
              <w:right w:val="nil"/>
            </w:tcBorders>
            <w:shd w:val="clear" w:color="auto" w:fill="auto"/>
            <w:noWrap/>
            <w:vAlign w:val="bottom"/>
            <w:hideMark/>
          </w:tcPr>
          <w:p w14:paraId="52A9B0B4"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620 odvody</w:t>
            </w:r>
          </w:p>
        </w:tc>
        <w:tc>
          <w:tcPr>
            <w:tcW w:w="390" w:type="pct"/>
            <w:tcBorders>
              <w:top w:val="nil"/>
              <w:left w:val="nil"/>
              <w:bottom w:val="nil"/>
              <w:right w:val="nil"/>
            </w:tcBorders>
            <w:shd w:val="clear" w:color="auto" w:fill="auto"/>
            <w:noWrap/>
            <w:vAlign w:val="bottom"/>
            <w:hideMark/>
          </w:tcPr>
          <w:p w14:paraId="52ECBE49"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1 035</w:t>
            </w:r>
          </w:p>
        </w:tc>
        <w:tc>
          <w:tcPr>
            <w:tcW w:w="390" w:type="pct"/>
            <w:tcBorders>
              <w:top w:val="nil"/>
              <w:left w:val="nil"/>
              <w:bottom w:val="nil"/>
              <w:right w:val="nil"/>
            </w:tcBorders>
            <w:shd w:val="clear" w:color="auto" w:fill="auto"/>
            <w:noWrap/>
            <w:vAlign w:val="bottom"/>
            <w:hideMark/>
          </w:tcPr>
          <w:p w14:paraId="5F4CC8A4"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1 088</w:t>
            </w:r>
          </w:p>
        </w:tc>
        <w:tc>
          <w:tcPr>
            <w:tcW w:w="403" w:type="pct"/>
            <w:tcBorders>
              <w:top w:val="nil"/>
              <w:left w:val="nil"/>
              <w:bottom w:val="nil"/>
              <w:right w:val="nil"/>
            </w:tcBorders>
            <w:shd w:val="clear" w:color="auto" w:fill="auto"/>
            <w:noWrap/>
            <w:vAlign w:val="bottom"/>
            <w:hideMark/>
          </w:tcPr>
          <w:p w14:paraId="1FBA186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1 251</w:t>
            </w:r>
          </w:p>
        </w:tc>
        <w:tc>
          <w:tcPr>
            <w:tcW w:w="479" w:type="pct"/>
            <w:tcBorders>
              <w:top w:val="nil"/>
              <w:left w:val="nil"/>
              <w:bottom w:val="nil"/>
              <w:right w:val="nil"/>
            </w:tcBorders>
            <w:shd w:val="clear" w:color="auto" w:fill="auto"/>
            <w:noWrap/>
            <w:vAlign w:val="bottom"/>
            <w:hideMark/>
          </w:tcPr>
          <w:p w14:paraId="4147765F"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1 295</w:t>
            </w:r>
          </w:p>
        </w:tc>
        <w:tc>
          <w:tcPr>
            <w:tcW w:w="403" w:type="pct"/>
            <w:tcBorders>
              <w:top w:val="nil"/>
              <w:left w:val="nil"/>
              <w:bottom w:val="nil"/>
              <w:right w:val="nil"/>
            </w:tcBorders>
            <w:shd w:val="clear" w:color="auto" w:fill="auto"/>
            <w:noWrap/>
            <w:vAlign w:val="bottom"/>
            <w:hideMark/>
          </w:tcPr>
          <w:p w14:paraId="6D94E882"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1 383</w:t>
            </w:r>
          </w:p>
        </w:tc>
        <w:tc>
          <w:tcPr>
            <w:tcW w:w="403" w:type="pct"/>
            <w:tcBorders>
              <w:top w:val="nil"/>
              <w:left w:val="nil"/>
              <w:bottom w:val="nil"/>
              <w:right w:val="nil"/>
            </w:tcBorders>
            <w:shd w:val="clear" w:color="auto" w:fill="auto"/>
            <w:noWrap/>
            <w:vAlign w:val="bottom"/>
            <w:hideMark/>
          </w:tcPr>
          <w:p w14:paraId="04A8C6C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1 391</w:t>
            </w:r>
          </w:p>
        </w:tc>
        <w:tc>
          <w:tcPr>
            <w:tcW w:w="403" w:type="pct"/>
            <w:tcBorders>
              <w:top w:val="nil"/>
              <w:left w:val="nil"/>
              <w:bottom w:val="nil"/>
              <w:right w:val="nil"/>
            </w:tcBorders>
            <w:shd w:val="clear" w:color="auto" w:fill="auto"/>
            <w:noWrap/>
            <w:vAlign w:val="bottom"/>
            <w:hideMark/>
          </w:tcPr>
          <w:p w14:paraId="59DF7ED0"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1 371</w:t>
            </w:r>
          </w:p>
        </w:tc>
      </w:tr>
      <w:tr w:rsidR="00DD531B" w:rsidRPr="00DD531B" w14:paraId="2F76FF75" w14:textId="77777777" w:rsidTr="001F24AE">
        <w:trPr>
          <w:trHeight w:val="300"/>
        </w:trPr>
        <w:tc>
          <w:tcPr>
            <w:tcW w:w="2128" w:type="pct"/>
            <w:tcBorders>
              <w:top w:val="nil"/>
              <w:left w:val="nil"/>
              <w:bottom w:val="nil"/>
              <w:right w:val="nil"/>
            </w:tcBorders>
            <w:shd w:val="clear" w:color="auto" w:fill="auto"/>
            <w:noWrap/>
            <w:vAlign w:val="bottom"/>
            <w:hideMark/>
          </w:tcPr>
          <w:p w14:paraId="163B15E0"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630 tovary a služby</w:t>
            </w:r>
          </w:p>
        </w:tc>
        <w:tc>
          <w:tcPr>
            <w:tcW w:w="390" w:type="pct"/>
            <w:tcBorders>
              <w:top w:val="nil"/>
              <w:left w:val="nil"/>
              <w:bottom w:val="nil"/>
              <w:right w:val="nil"/>
            </w:tcBorders>
            <w:shd w:val="clear" w:color="auto" w:fill="auto"/>
            <w:noWrap/>
            <w:vAlign w:val="bottom"/>
            <w:hideMark/>
          </w:tcPr>
          <w:p w14:paraId="73C2F92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2 005</w:t>
            </w:r>
          </w:p>
        </w:tc>
        <w:tc>
          <w:tcPr>
            <w:tcW w:w="390" w:type="pct"/>
            <w:tcBorders>
              <w:top w:val="nil"/>
              <w:left w:val="nil"/>
              <w:bottom w:val="nil"/>
              <w:right w:val="nil"/>
            </w:tcBorders>
            <w:shd w:val="clear" w:color="auto" w:fill="auto"/>
            <w:noWrap/>
            <w:vAlign w:val="bottom"/>
            <w:hideMark/>
          </w:tcPr>
          <w:p w14:paraId="19DE4C81"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2 171</w:t>
            </w:r>
          </w:p>
        </w:tc>
        <w:tc>
          <w:tcPr>
            <w:tcW w:w="403" w:type="pct"/>
            <w:tcBorders>
              <w:top w:val="nil"/>
              <w:left w:val="nil"/>
              <w:bottom w:val="nil"/>
              <w:right w:val="nil"/>
            </w:tcBorders>
            <w:shd w:val="clear" w:color="auto" w:fill="auto"/>
            <w:noWrap/>
            <w:vAlign w:val="bottom"/>
            <w:hideMark/>
          </w:tcPr>
          <w:p w14:paraId="0029AED5"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1 747</w:t>
            </w:r>
          </w:p>
        </w:tc>
        <w:tc>
          <w:tcPr>
            <w:tcW w:w="479" w:type="pct"/>
            <w:tcBorders>
              <w:top w:val="nil"/>
              <w:left w:val="nil"/>
              <w:bottom w:val="nil"/>
              <w:right w:val="nil"/>
            </w:tcBorders>
            <w:shd w:val="clear" w:color="auto" w:fill="auto"/>
            <w:noWrap/>
            <w:vAlign w:val="bottom"/>
            <w:hideMark/>
          </w:tcPr>
          <w:p w14:paraId="5A24DD2C"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3 150</w:t>
            </w:r>
          </w:p>
        </w:tc>
        <w:tc>
          <w:tcPr>
            <w:tcW w:w="403" w:type="pct"/>
            <w:tcBorders>
              <w:top w:val="nil"/>
              <w:left w:val="nil"/>
              <w:bottom w:val="nil"/>
              <w:right w:val="nil"/>
            </w:tcBorders>
            <w:shd w:val="clear" w:color="auto" w:fill="auto"/>
            <w:noWrap/>
            <w:vAlign w:val="bottom"/>
            <w:hideMark/>
          </w:tcPr>
          <w:p w14:paraId="5345B8E0"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2 196</w:t>
            </w:r>
          </w:p>
        </w:tc>
        <w:tc>
          <w:tcPr>
            <w:tcW w:w="403" w:type="pct"/>
            <w:tcBorders>
              <w:top w:val="nil"/>
              <w:left w:val="nil"/>
              <w:bottom w:val="nil"/>
              <w:right w:val="nil"/>
            </w:tcBorders>
            <w:shd w:val="clear" w:color="auto" w:fill="auto"/>
            <w:noWrap/>
            <w:vAlign w:val="bottom"/>
            <w:hideMark/>
          </w:tcPr>
          <w:p w14:paraId="34D25413"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1 994</w:t>
            </w:r>
          </w:p>
        </w:tc>
        <w:tc>
          <w:tcPr>
            <w:tcW w:w="403" w:type="pct"/>
            <w:tcBorders>
              <w:top w:val="nil"/>
              <w:left w:val="nil"/>
              <w:bottom w:val="nil"/>
              <w:right w:val="nil"/>
            </w:tcBorders>
            <w:shd w:val="clear" w:color="auto" w:fill="auto"/>
            <w:noWrap/>
            <w:vAlign w:val="bottom"/>
            <w:hideMark/>
          </w:tcPr>
          <w:p w14:paraId="03F0298F"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1 994</w:t>
            </w:r>
          </w:p>
        </w:tc>
      </w:tr>
      <w:tr w:rsidR="00DD531B" w:rsidRPr="00DD531B" w14:paraId="36E5FB55" w14:textId="77777777" w:rsidTr="001F24AE">
        <w:trPr>
          <w:trHeight w:val="300"/>
        </w:trPr>
        <w:tc>
          <w:tcPr>
            <w:tcW w:w="2128" w:type="pct"/>
            <w:tcBorders>
              <w:top w:val="nil"/>
              <w:left w:val="nil"/>
              <w:bottom w:val="nil"/>
              <w:right w:val="nil"/>
            </w:tcBorders>
            <w:shd w:val="clear" w:color="auto" w:fill="auto"/>
            <w:noWrap/>
            <w:vAlign w:val="bottom"/>
            <w:hideMark/>
          </w:tcPr>
          <w:p w14:paraId="0333014D"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640 bežné transfery</w:t>
            </w:r>
          </w:p>
        </w:tc>
        <w:tc>
          <w:tcPr>
            <w:tcW w:w="390" w:type="pct"/>
            <w:tcBorders>
              <w:top w:val="nil"/>
              <w:left w:val="nil"/>
              <w:bottom w:val="nil"/>
              <w:right w:val="nil"/>
            </w:tcBorders>
            <w:shd w:val="clear" w:color="auto" w:fill="auto"/>
            <w:noWrap/>
            <w:vAlign w:val="bottom"/>
            <w:hideMark/>
          </w:tcPr>
          <w:p w14:paraId="56C599A0"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235</w:t>
            </w:r>
          </w:p>
        </w:tc>
        <w:tc>
          <w:tcPr>
            <w:tcW w:w="390" w:type="pct"/>
            <w:tcBorders>
              <w:top w:val="nil"/>
              <w:left w:val="nil"/>
              <w:bottom w:val="nil"/>
              <w:right w:val="nil"/>
            </w:tcBorders>
            <w:shd w:val="clear" w:color="auto" w:fill="auto"/>
            <w:noWrap/>
            <w:vAlign w:val="bottom"/>
            <w:hideMark/>
          </w:tcPr>
          <w:p w14:paraId="75A360DF"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296</w:t>
            </w:r>
          </w:p>
        </w:tc>
        <w:tc>
          <w:tcPr>
            <w:tcW w:w="403" w:type="pct"/>
            <w:tcBorders>
              <w:top w:val="nil"/>
              <w:left w:val="nil"/>
              <w:bottom w:val="nil"/>
              <w:right w:val="nil"/>
            </w:tcBorders>
            <w:shd w:val="clear" w:color="auto" w:fill="auto"/>
            <w:noWrap/>
            <w:vAlign w:val="bottom"/>
            <w:hideMark/>
          </w:tcPr>
          <w:p w14:paraId="17C84260"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223</w:t>
            </w:r>
          </w:p>
        </w:tc>
        <w:tc>
          <w:tcPr>
            <w:tcW w:w="479" w:type="pct"/>
            <w:tcBorders>
              <w:top w:val="nil"/>
              <w:left w:val="nil"/>
              <w:bottom w:val="nil"/>
              <w:right w:val="nil"/>
            </w:tcBorders>
            <w:shd w:val="clear" w:color="auto" w:fill="auto"/>
            <w:noWrap/>
            <w:vAlign w:val="bottom"/>
            <w:hideMark/>
          </w:tcPr>
          <w:p w14:paraId="78A71DFC"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394</w:t>
            </w:r>
          </w:p>
        </w:tc>
        <w:tc>
          <w:tcPr>
            <w:tcW w:w="403" w:type="pct"/>
            <w:tcBorders>
              <w:top w:val="nil"/>
              <w:left w:val="nil"/>
              <w:bottom w:val="nil"/>
              <w:right w:val="nil"/>
            </w:tcBorders>
            <w:shd w:val="clear" w:color="auto" w:fill="auto"/>
            <w:noWrap/>
            <w:vAlign w:val="bottom"/>
            <w:hideMark/>
          </w:tcPr>
          <w:p w14:paraId="3E3646D5"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498</w:t>
            </w:r>
          </w:p>
        </w:tc>
        <w:tc>
          <w:tcPr>
            <w:tcW w:w="403" w:type="pct"/>
            <w:tcBorders>
              <w:top w:val="nil"/>
              <w:left w:val="nil"/>
              <w:bottom w:val="nil"/>
              <w:right w:val="nil"/>
            </w:tcBorders>
            <w:shd w:val="clear" w:color="auto" w:fill="auto"/>
            <w:noWrap/>
            <w:vAlign w:val="bottom"/>
            <w:hideMark/>
          </w:tcPr>
          <w:p w14:paraId="43481DA4"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518</w:t>
            </w:r>
          </w:p>
        </w:tc>
        <w:tc>
          <w:tcPr>
            <w:tcW w:w="403" w:type="pct"/>
            <w:tcBorders>
              <w:top w:val="nil"/>
              <w:left w:val="nil"/>
              <w:bottom w:val="nil"/>
              <w:right w:val="nil"/>
            </w:tcBorders>
            <w:shd w:val="clear" w:color="auto" w:fill="auto"/>
            <w:noWrap/>
            <w:vAlign w:val="bottom"/>
            <w:hideMark/>
          </w:tcPr>
          <w:p w14:paraId="40A5E243"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465</w:t>
            </w:r>
          </w:p>
        </w:tc>
      </w:tr>
      <w:tr w:rsidR="00DD531B" w:rsidRPr="00DD531B" w14:paraId="05306713" w14:textId="77777777" w:rsidTr="001F24AE">
        <w:trPr>
          <w:trHeight w:val="300"/>
        </w:trPr>
        <w:tc>
          <w:tcPr>
            <w:tcW w:w="2128" w:type="pct"/>
            <w:tcBorders>
              <w:top w:val="nil"/>
              <w:left w:val="nil"/>
              <w:bottom w:val="nil"/>
              <w:right w:val="nil"/>
            </w:tcBorders>
            <w:shd w:val="clear" w:color="auto" w:fill="auto"/>
            <w:noWrap/>
            <w:vAlign w:val="bottom"/>
            <w:hideMark/>
          </w:tcPr>
          <w:p w14:paraId="2FE7C14C"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kapitálové výdavky 700</w:t>
            </w:r>
          </w:p>
        </w:tc>
        <w:tc>
          <w:tcPr>
            <w:tcW w:w="390" w:type="pct"/>
            <w:tcBorders>
              <w:top w:val="nil"/>
              <w:left w:val="nil"/>
              <w:bottom w:val="nil"/>
              <w:right w:val="nil"/>
            </w:tcBorders>
            <w:shd w:val="clear" w:color="auto" w:fill="auto"/>
            <w:noWrap/>
            <w:vAlign w:val="bottom"/>
            <w:hideMark/>
          </w:tcPr>
          <w:p w14:paraId="68EF5D25"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8</w:t>
            </w:r>
          </w:p>
        </w:tc>
        <w:tc>
          <w:tcPr>
            <w:tcW w:w="390" w:type="pct"/>
            <w:tcBorders>
              <w:top w:val="nil"/>
              <w:left w:val="nil"/>
              <w:bottom w:val="nil"/>
              <w:right w:val="nil"/>
            </w:tcBorders>
            <w:shd w:val="clear" w:color="auto" w:fill="auto"/>
            <w:noWrap/>
            <w:vAlign w:val="bottom"/>
            <w:hideMark/>
          </w:tcPr>
          <w:p w14:paraId="41D53AC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155</w:t>
            </w:r>
          </w:p>
        </w:tc>
        <w:tc>
          <w:tcPr>
            <w:tcW w:w="403" w:type="pct"/>
            <w:tcBorders>
              <w:top w:val="nil"/>
              <w:left w:val="nil"/>
              <w:bottom w:val="nil"/>
              <w:right w:val="nil"/>
            </w:tcBorders>
            <w:shd w:val="clear" w:color="auto" w:fill="auto"/>
            <w:noWrap/>
            <w:vAlign w:val="bottom"/>
            <w:hideMark/>
          </w:tcPr>
          <w:p w14:paraId="2C3D5C3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8</w:t>
            </w:r>
          </w:p>
        </w:tc>
        <w:tc>
          <w:tcPr>
            <w:tcW w:w="479" w:type="pct"/>
            <w:tcBorders>
              <w:top w:val="nil"/>
              <w:left w:val="nil"/>
              <w:bottom w:val="nil"/>
              <w:right w:val="nil"/>
            </w:tcBorders>
            <w:shd w:val="clear" w:color="auto" w:fill="auto"/>
            <w:noWrap/>
            <w:vAlign w:val="bottom"/>
            <w:hideMark/>
          </w:tcPr>
          <w:p w14:paraId="49081F25"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382</w:t>
            </w:r>
          </w:p>
        </w:tc>
        <w:tc>
          <w:tcPr>
            <w:tcW w:w="403" w:type="pct"/>
            <w:tcBorders>
              <w:top w:val="nil"/>
              <w:left w:val="nil"/>
              <w:bottom w:val="nil"/>
              <w:right w:val="nil"/>
            </w:tcBorders>
            <w:shd w:val="clear" w:color="auto" w:fill="auto"/>
            <w:noWrap/>
            <w:vAlign w:val="bottom"/>
            <w:hideMark/>
          </w:tcPr>
          <w:p w14:paraId="579FB4D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8</w:t>
            </w:r>
          </w:p>
        </w:tc>
        <w:tc>
          <w:tcPr>
            <w:tcW w:w="403" w:type="pct"/>
            <w:tcBorders>
              <w:top w:val="nil"/>
              <w:left w:val="nil"/>
              <w:bottom w:val="nil"/>
              <w:right w:val="nil"/>
            </w:tcBorders>
            <w:shd w:val="clear" w:color="auto" w:fill="auto"/>
            <w:noWrap/>
            <w:vAlign w:val="bottom"/>
            <w:hideMark/>
          </w:tcPr>
          <w:p w14:paraId="24EA8E1A"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294</w:t>
            </w:r>
          </w:p>
        </w:tc>
        <w:tc>
          <w:tcPr>
            <w:tcW w:w="403" w:type="pct"/>
            <w:tcBorders>
              <w:top w:val="nil"/>
              <w:left w:val="nil"/>
              <w:bottom w:val="nil"/>
              <w:right w:val="nil"/>
            </w:tcBorders>
            <w:shd w:val="clear" w:color="auto" w:fill="auto"/>
            <w:noWrap/>
            <w:vAlign w:val="bottom"/>
            <w:hideMark/>
          </w:tcPr>
          <w:p w14:paraId="555A5309"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212</w:t>
            </w:r>
          </w:p>
        </w:tc>
      </w:tr>
      <w:tr w:rsidR="00DD531B" w:rsidRPr="00DD531B" w14:paraId="3484F687" w14:textId="77777777" w:rsidTr="001F24AE">
        <w:trPr>
          <w:trHeight w:val="300"/>
        </w:trPr>
        <w:tc>
          <w:tcPr>
            <w:tcW w:w="2128" w:type="pct"/>
            <w:tcBorders>
              <w:top w:val="nil"/>
              <w:left w:val="nil"/>
              <w:bottom w:val="nil"/>
              <w:right w:val="nil"/>
            </w:tcBorders>
            <w:shd w:val="clear" w:color="auto" w:fill="auto"/>
            <w:noWrap/>
            <w:vAlign w:val="bottom"/>
            <w:hideMark/>
          </w:tcPr>
          <w:p w14:paraId="2CEEFF79" w14:textId="77777777" w:rsidR="00DD531B" w:rsidRPr="00D6350B" w:rsidRDefault="00DD531B" w:rsidP="00DD531B">
            <w:pPr>
              <w:spacing w:after="0" w:line="240" w:lineRule="auto"/>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presun z minulých rokov § 8, v tom:</w:t>
            </w:r>
          </w:p>
        </w:tc>
        <w:tc>
          <w:tcPr>
            <w:tcW w:w="390" w:type="pct"/>
            <w:tcBorders>
              <w:top w:val="nil"/>
              <w:left w:val="nil"/>
              <w:bottom w:val="nil"/>
              <w:right w:val="nil"/>
            </w:tcBorders>
            <w:shd w:val="clear" w:color="auto" w:fill="auto"/>
            <w:noWrap/>
            <w:vAlign w:val="bottom"/>
            <w:hideMark/>
          </w:tcPr>
          <w:p w14:paraId="67CB87F1"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253</w:t>
            </w:r>
          </w:p>
        </w:tc>
        <w:tc>
          <w:tcPr>
            <w:tcW w:w="390" w:type="pct"/>
            <w:tcBorders>
              <w:top w:val="nil"/>
              <w:left w:val="nil"/>
              <w:bottom w:val="nil"/>
              <w:right w:val="nil"/>
            </w:tcBorders>
            <w:shd w:val="clear" w:color="auto" w:fill="auto"/>
            <w:noWrap/>
            <w:vAlign w:val="bottom"/>
            <w:hideMark/>
          </w:tcPr>
          <w:p w14:paraId="062B113B"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53</w:t>
            </w:r>
          </w:p>
        </w:tc>
        <w:tc>
          <w:tcPr>
            <w:tcW w:w="403" w:type="pct"/>
            <w:tcBorders>
              <w:top w:val="nil"/>
              <w:left w:val="nil"/>
              <w:bottom w:val="nil"/>
              <w:right w:val="nil"/>
            </w:tcBorders>
            <w:shd w:val="clear" w:color="auto" w:fill="auto"/>
            <w:noWrap/>
            <w:vAlign w:val="bottom"/>
            <w:hideMark/>
          </w:tcPr>
          <w:p w14:paraId="3D40AE65"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0</w:t>
            </w:r>
          </w:p>
        </w:tc>
        <w:tc>
          <w:tcPr>
            <w:tcW w:w="479" w:type="pct"/>
            <w:tcBorders>
              <w:top w:val="nil"/>
              <w:left w:val="nil"/>
              <w:bottom w:val="nil"/>
              <w:right w:val="nil"/>
            </w:tcBorders>
            <w:shd w:val="clear" w:color="auto" w:fill="auto"/>
            <w:noWrap/>
            <w:vAlign w:val="bottom"/>
            <w:hideMark/>
          </w:tcPr>
          <w:p w14:paraId="756F27BD"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235</w:t>
            </w:r>
          </w:p>
        </w:tc>
        <w:tc>
          <w:tcPr>
            <w:tcW w:w="403" w:type="pct"/>
            <w:tcBorders>
              <w:top w:val="nil"/>
              <w:left w:val="nil"/>
              <w:bottom w:val="nil"/>
              <w:right w:val="nil"/>
            </w:tcBorders>
            <w:shd w:val="clear" w:color="auto" w:fill="auto"/>
            <w:noWrap/>
            <w:vAlign w:val="bottom"/>
            <w:hideMark/>
          </w:tcPr>
          <w:p w14:paraId="44546FB3"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0</w:t>
            </w:r>
          </w:p>
        </w:tc>
        <w:tc>
          <w:tcPr>
            <w:tcW w:w="403" w:type="pct"/>
            <w:tcBorders>
              <w:top w:val="nil"/>
              <w:left w:val="nil"/>
              <w:bottom w:val="nil"/>
              <w:right w:val="nil"/>
            </w:tcBorders>
            <w:shd w:val="clear" w:color="auto" w:fill="auto"/>
            <w:noWrap/>
            <w:vAlign w:val="bottom"/>
            <w:hideMark/>
          </w:tcPr>
          <w:p w14:paraId="764E118C"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0</w:t>
            </w:r>
          </w:p>
        </w:tc>
        <w:tc>
          <w:tcPr>
            <w:tcW w:w="403" w:type="pct"/>
            <w:tcBorders>
              <w:top w:val="nil"/>
              <w:left w:val="nil"/>
              <w:bottom w:val="nil"/>
              <w:right w:val="nil"/>
            </w:tcBorders>
            <w:shd w:val="clear" w:color="auto" w:fill="auto"/>
            <w:noWrap/>
            <w:vAlign w:val="bottom"/>
            <w:hideMark/>
          </w:tcPr>
          <w:p w14:paraId="2C041ACD"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0</w:t>
            </w:r>
          </w:p>
        </w:tc>
      </w:tr>
      <w:tr w:rsidR="00DD531B" w:rsidRPr="00DD531B" w14:paraId="4177089F" w14:textId="77777777" w:rsidTr="001F24AE">
        <w:trPr>
          <w:trHeight w:val="300"/>
        </w:trPr>
        <w:tc>
          <w:tcPr>
            <w:tcW w:w="2128" w:type="pct"/>
            <w:tcBorders>
              <w:top w:val="nil"/>
              <w:left w:val="nil"/>
              <w:bottom w:val="nil"/>
              <w:right w:val="nil"/>
            </w:tcBorders>
            <w:shd w:val="clear" w:color="auto" w:fill="auto"/>
            <w:noWrap/>
            <w:vAlign w:val="bottom"/>
            <w:hideMark/>
          </w:tcPr>
          <w:p w14:paraId="6BF25A87"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štátny rozpočet</w:t>
            </w:r>
          </w:p>
        </w:tc>
        <w:tc>
          <w:tcPr>
            <w:tcW w:w="390" w:type="pct"/>
            <w:tcBorders>
              <w:top w:val="nil"/>
              <w:left w:val="nil"/>
              <w:bottom w:val="nil"/>
              <w:right w:val="nil"/>
            </w:tcBorders>
            <w:shd w:val="clear" w:color="auto" w:fill="auto"/>
            <w:noWrap/>
            <w:vAlign w:val="bottom"/>
            <w:hideMark/>
          </w:tcPr>
          <w:p w14:paraId="4B87E3C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253</w:t>
            </w:r>
          </w:p>
        </w:tc>
        <w:tc>
          <w:tcPr>
            <w:tcW w:w="390" w:type="pct"/>
            <w:tcBorders>
              <w:top w:val="nil"/>
              <w:left w:val="nil"/>
              <w:bottom w:val="nil"/>
              <w:right w:val="nil"/>
            </w:tcBorders>
            <w:shd w:val="clear" w:color="auto" w:fill="auto"/>
            <w:noWrap/>
            <w:vAlign w:val="bottom"/>
            <w:hideMark/>
          </w:tcPr>
          <w:p w14:paraId="373B2BE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53</w:t>
            </w:r>
          </w:p>
        </w:tc>
        <w:tc>
          <w:tcPr>
            <w:tcW w:w="403" w:type="pct"/>
            <w:tcBorders>
              <w:top w:val="nil"/>
              <w:left w:val="nil"/>
              <w:bottom w:val="nil"/>
              <w:right w:val="nil"/>
            </w:tcBorders>
            <w:shd w:val="clear" w:color="auto" w:fill="auto"/>
            <w:noWrap/>
            <w:vAlign w:val="bottom"/>
            <w:hideMark/>
          </w:tcPr>
          <w:p w14:paraId="741117FC"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79" w:type="pct"/>
            <w:tcBorders>
              <w:top w:val="nil"/>
              <w:left w:val="nil"/>
              <w:bottom w:val="nil"/>
              <w:right w:val="nil"/>
            </w:tcBorders>
            <w:shd w:val="clear" w:color="auto" w:fill="auto"/>
            <w:noWrap/>
            <w:vAlign w:val="bottom"/>
            <w:hideMark/>
          </w:tcPr>
          <w:p w14:paraId="4ED2062C"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228</w:t>
            </w:r>
          </w:p>
        </w:tc>
        <w:tc>
          <w:tcPr>
            <w:tcW w:w="403" w:type="pct"/>
            <w:tcBorders>
              <w:top w:val="nil"/>
              <w:left w:val="nil"/>
              <w:bottom w:val="nil"/>
              <w:right w:val="nil"/>
            </w:tcBorders>
            <w:shd w:val="clear" w:color="auto" w:fill="auto"/>
            <w:noWrap/>
            <w:vAlign w:val="bottom"/>
            <w:hideMark/>
          </w:tcPr>
          <w:p w14:paraId="6A43A7EA"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03" w:type="pct"/>
            <w:tcBorders>
              <w:top w:val="nil"/>
              <w:left w:val="nil"/>
              <w:bottom w:val="nil"/>
              <w:right w:val="nil"/>
            </w:tcBorders>
            <w:shd w:val="clear" w:color="auto" w:fill="auto"/>
            <w:noWrap/>
            <w:vAlign w:val="bottom"/>
            <w:hideMark/>
          </w:tcPr>
          <w:p w14:paraId="408DA55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03" w:type="pct"/>
            <w:tcBorders>
              <w:top w:val="nil"/>
              <w:left w:val="nil"/>
              <w:bottom w:val="nil"/>
              <w:right w:val="nil"/>
            </w:tcBorders>
            <w:shd w:val="clear" w:color="auto" w:fill="auto"/>
            <w:noWrap/>
            <w:vAlign w:val="bottom"/>
            <w:hideMark/>
          </w:tcPr>
          <w:p w14:paraId="150D7CBD"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r>
      <w:tr w:rsidR="00DD531B" w:rsidRPr="00DD531B" w14:paraId="3ABD8764" w14:textId="77777777" w:rsidTr="001F24AE">
        <w:trPr>
          <w:trHeight w:val="300"/>
        </w:trPr>
        <w:tc>
          <w:tcPr>
            <w:tcW w:w="2128" w:type="pct"/>
            <w:tcBorders>
              <w:top w:val="nil"/>
              <w:left w:val="nil"/>
              <w:bottom w:val="nil"/>
              <w:right w:val="nil"/>
            </w:tcBorders>
            <w:shd w:val="clear" w:color="auto" w:fill="auto"/>
            <w:noWrap/>
            <w:vAlign w:val="bottom"/>
            <w:hideMark/>
          </w:tcPr>
          <w:p w14:paraId="0E928AD0"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prostriedky EÚ a spolufinancovanie zo ŠR</w:t>
            </w:r>
          </w:p>
        </w:tc>
        <w:tc>
          <w:tcPr>
            <w:tcW w:w="390" w:type="pct"/>
            <w:tcBorders>
              <w:top w:val="nil"/>
              <w:left w:val="nil"/>
              <w:bottom w:val="nil"/>
              <w:right w:val="nil"/>
            </w:tcBorders>
            <w:shd w:val="clear" w:color="auto" w:fill="auto"/>
            <w:noWrap/>
            <w:vAlign w:val="bottom"/>
            <w:hideMark/>
          </w:tcPr>
          <w:p w14:paraId="26E4193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390" w:type="pct"/>
            <w:tcBorders>
              <w:top w:val="nil"/>
              <w:left w:val="nil"/>
              <w:bottom w:val="nil"/>
              <w:right w:val="nil"/>
            </w:tcBorders>
            <w:shd w:val="clear" w:color="auto" w:fill="auto"/>
            <w:noWrap/>
            <w:vAlign w:val="bottom"/>
            <w:hideMark/>
          </w:tcPr>
          <w:p w14:paraId="17A92489"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03" w:type="pct"/>
            <w:tcBorders>
              <w:top w:val="nil"/>
              <w:left w:val="nil"/>
              <w:bottom w:val="nil"/>
              <w:right w:val="nil"/>
            </w:tcBorders>
            <w:shd w:val="clear" w:color="auto" w:fill="auto"/>
            <w:noWrap/>
            <w:vAlign w:val="bottom"/>
            <w:hideMark/>
          </w:tcPr>
          <w:p w14:paraId="4EEB5A69"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79" w:type="pct"/>
            <w:tcBorders>
              <w:top w:val="nil"/>
              <w:left w:val="nil"/>
              <w:bottom w:val="nil"/>
              <w:right w:val="nil"/>
            </w:tcBorders>
            <w:shd w:val="clear" w:color="auto" w:fill="auto"/>
            <w:noWrap/>
            <w:vAlign w:val="bottom"/>
            <w:hideMark/>
          </w:tcPr>
          <w:p w14:paraId="35F8424A"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5</w:t>
            </w:r>
          </w:p>
        </w:tc>
        <w:tc>
          <w:tcPr>
            <w:tcW w:w="403" w:type="pct"/>
            <w:tcBorders>
              <w:top w:val="nil"/>
              <w:left w:val="nil"/>
              <w:bottom w:val="nil"/>
              <w:right w:val="nil"/>
            </w:tcBorders>
            <w:shd w:val="clear" w:color="auto" w:fill="auto"/>
            <w:noWrap/>
            <w:vAlign w:val="bottom"/>
            <w:hideMark/>
          </w:tcPr>
          <w:p w14:paraId="1013EA0D"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03" w:type="pct"/>
            <w:tcBorders>
              <w:top w:val="nil"/>
              <w:left w:val="nil"/>
              <w:bottom w:val="nil"/>
              <w:right w:val="nil"/>
            </w:tcBorders>
            <w:shd w:val="clear" w:color="auto" w:fill="auto"/>
            <w:noWrap/>
            <w:vAlign w:val="bottom"/>
            <w:hideMark/>
          </w:tcPr>
          <w:p w14:paraId="6706AE0A"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03" w:type="pct"/>
            <w:tcBorders>
              <w:top w:val="nil"/>
              <w:left w:val="nil"/>
              <w:bottom w:val="nil"/>
              <w:right w:val="nil"/>
            </w:tcBorders>
            <w:shd w:val="clear" w:color="auto" w:fill="auto"/>
            <w:noWrap/>
            <w:vAlign w:val="bottom"/>
            <w:hideMark/>
          </w:tcPr>
          <w:p w14:paraId="064FB41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r>
      <w:tr w:rsidR="00DD531B" w:rsidRPr="00DD531B" w14:paraId="6B8FAD9E" w14:textId="77777777" w:rsidTr="001F24AE">
        <w:trPr>
          <w:trHeight w:val="300"/>
        </w:trPr>
        <w:tc>
          <w:tcPr>
            <w:tcW w:w="2128" w:type="pct"/>
            <w:tcBorders>
              <w:top w:val="nil"/>
              <w:left w:val="nil"/>
              <w:bottom w:val="single" w:sz="4" w:space="0" w:color="auto"/>
              <w:right w:val="nil"/>
            </w:tcBorders>
            <w:shd w:val="clear" w:color="auto" w:fill="auto"/>
            <w:noWrap/>
            <w:vAlign w:val="bottom"/>
            <w:hideMark/>
          </w:tcPr>
          <w:p w14:paraId="13FFCC6A"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prostriedky POO a DPH k POO</w:t>
            </w:r>
          </w:p>
        </w:tc>
        <w:tc>
          <w:tcPr>
            <w:tcW w:w="390" w:type="pct"/>
            <w:tcBorders>
              <w:top w:val="nil"/>
              <w:left w:val="nil"/>
              <w:bottom w:val="single" w:sz="4" w:space="0" w:color="auto"/>
              <w:right w:val="nil"/>
            </w:tcBorders>
            <w:shd w:val="clear" w:color="auto" w:fill="auto"/>
            <w:noWrap/>
            <w:vAlign w:val="bottom"/>
            <w:hideMark/>
          </w:tcPr>
          <w:p w14:paraId="5751C41D"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390" w:type="pct"/>
            <w:tcBorders>
              <w:top w:val="nil"/>
              <w:left w:val="nil"/>
              <w:bottom w:val="single" w:sz="4" w:space="0" w:color="auto"/>
              <w:right w:val="nil"/>
            </w:tcBorders>
            <w:shd w:val="clear" w:color="auto" w:fill="auto"/>
            <w:noWrap/>
            <w:vAlign w:val="bottom"/>
            <w:hideMark/>
          </w:tcPr>
          <w:p w14:paraId="76DD82E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03" w:type="pct"/>
            <w:tcBorders>
              <w:top w:val="nil"/>
              <w:left w:val="nil"/>
              <w:bottom w:val="single" w:sz="4" w:space="0" w:color="auto"/>
              <w:right w:val="nil"/>
            </w:tcBorders>
            <w:shd w:val="clear" w:color="auto" w:fill="auto"/>
            <w:noWrap/>
            <w:vAlign w:val="bottom"/>
            <w:hideMark/>
          </w:tcPr>
          <w:p w14:paraId="2AF47146"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79" w:type="pct"/>
            <w:tcBorders>
              <w:top w:val="nil"/>
              <w:left w:val="nil"/>
              <w:bottom w:val="single" w:sz="4" w:space="0" w:color="auto"/>
              <w:right w:val="nil"/>
            </w:tcBorders>
            <w:shd w:val="clear" w:color="auto" w:fill="auto"/>
            <w:noWrap/>
            <w:vAlign w:val="bottom"/>
            <w:hideMark/>
          </w:tcPr>
          <w:p w14:paraId="7EAA66AA"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w:t>
            </w:r>
          </w:p>
        </w:tc>
        <w:tc>
          <w:tcPr>
            <w:tcW w:w="403" w:type="pct"/>
            <w:tcBorders>
              <w:top w:val="nil"/>
              <w:left w:val="nil"/>
              <w:bottom w:val="single" w:sz="4" w:space="0" w:color="auto"/>
              <w:right w:val="nil"/>
            </w:tcBorders>
            <w:shd w:val="clear" w:color="auto" w:fill="auto"/>
            <w:noWrap/>
            <w:vAlign w:val="bottom"/>
            <w:hideMark/>
          </w:tcPr>
          <w:p w14:paraId="6A317899"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03" w:type="pct"/>
            <w:tcBorders>
              <w:top w:val="nil"/>
              <w:left w:val="nil"/>
              <w:bottom w:val="single" w:sz="4" w:space="0" w:color="auto"/>
              <w:right w:val="nil"/>
            </w:tcBorders>
            <w:shd w:val="clear" w:color="auto" w:fill="auto"/>
            <w:noWrap/>
            <w:vAlign w:val="bottom"/>
            <w:hideMark/>
          </w:tcPr>
          <w:p w14:paraId="06EC74B4"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03" w:type="pct"/>
            <w:tcBorders>
              <w:top w:val="nil"/>
              <w:left w:val="nil"/>
              <w:bottom w:val="single" w:sz="4" w:space="0" w:color="auto"/>
              <w:right w:val="nil"/>
            </w:tcBorders>
            <w:shd w:val="clear" w:color="auto" w:fill="auto"/>
            <w:noWrap/>
            <w:vAlign w:val="bottom"/>
            <w:hideMark/>
          </w:tcPr>
          <w:p w14:paraId="3845DF2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r>
    </w:tbl>
    <w:p w14:paraId="0204724D" w14:textId="0492C59D" w:rsidR="00DD531B" w:rsidRDefault="00DD531B" w:rsidP="00DD531B">
      <w:pPr>
        <w:rPr>
          <w:rFonts w:ascii="Times New Roman" w:eastAsia="Calibri" w:hAnsi="Times New Roman" w:cs="Times New Roman"/>
          <w:lang w:eastAsia="sk-SK"/>
        </w:rPr>
      </w:pPr>
    </w:p>
    <w:p w14:paraId="0DB3D21C" w14:textId="0304D0A3" w:rsidR="00B4559D" w:rsidRDefault="00B4559D" w:rsidP="00DD531B">
      <w:pPr>
        <w:rPr>
          <w:rFonts w:ascii="Times New Roman" w:eastAsia="Calibri" w:hAnsi="Times New Roman" w:cs="Times New Roman"/>
          <w:lang w:eastAsia="sk-SK"/>
        </w:rPr>
      </w:pPr>
    </w:p>
    <w:p w14:paraId="6AC4B423" w14:textId="37BA42BF" w:rsidR="00B4559D" w:rsidRDefault="00B4559D" w:rsidP="00DD531B">
      <w:pPr>
        <w:rPr>
          <w:rFonts w:ascii="Times New Roman" w:eastAsia="Calibri" w:hAnsi="Times New Roman" w:cs="Times New Roman"/>
          <w:lang w:eastAsia="sk-SK"/>
        </w:rPr>
      </w:pPr>
    </w:p>
    <w:p w14:paraId="7F9F5FAA" w14:textId="3E8A6AB8" w:rsidR="00B4559D" w:rsidRDefault="00B4559D" w:rsidP="00DD531B">
      <w:pPr>
        <w:rPr>
          <w:rFonts w:ascii="Times New Roman" w:eastAsia="Calibri" w:hAnsi="Times New Roman" w:cs="Times New Roman"/>
          <w:lang w:eastAsia="sk-SK"/>
        </w:rPr>
      </w:pPr>
    </w:p>
    <w:p w14:paraId="5F2CED43" w14:textId="6A86798A" w:rsidR="00B4559D" w:rsidRDefault="00B4559D" w:rsidP="00DD531B">
      <w:pPr>
        <w:rPr>
          <w:rFonts w:ascii="Times New Roman" w:eastAsia="Calibri" w:hAnsi="Times New Roman" w:cs="Times New Roman"/>
          <w:lang w:eastAsia="sk-SK"/>
        </w:rPr>
      </w:pPr>
    </w:p>
    <w:p w14:paraId="43F18B49" w14:textId="47775C82" w:rsidR="00B4559D" w:rsidRDefault="00B4559D" w:rsidP="00DD531B">
      <w:pPr>
        <w:rPr>
          <w:rFonts w:ascii="Times New Roman" w:eastAsia="Calibri" w:hAnsi="Times New Roman" w:cs="Times New Roman"/>
          <w:lang w:eastAsia="sk-SK"/>
        </w:rPr>
      </w:pPr>
    </w:p>
    <w:p w14:paraId="4924CB08" w14:textId="6F2F2DD3" w:rsidR="00B4559D" w:rsidRDefault="00B4559D" w:rsidP="00DD531B">
      <w:pPr>
        <w:rPr>
          <w:rFonts w:ascii="Times New Roman" w:eastAsia="Calibri" w:hAnsi="Times New Roman" w:cs="Times New Roman"/>
          <w:lang w:eastAsia="sk-SK"/>
        </w:rPr>
      </w:pPr>
    </w:p>
    <w:p w14:paraId="7FFDFCA6" w14:textId="5ECAACE2" w:rsidR="00B4559D" w:rsidRDefault="00B4559D" w:rsidP="00DD531B">
      <w:pPr>
        <w:rPr>
          <w:rFonts w:ascii="Times New Roman" w:eastAsia="Calibri" w:hAnsi="Times New Roman" w:cs="Times New Roman"/>
          <w:lang w:eastAsia="sk-SK"/>
        </w:rPr>
      </w:pPr>
    </w:p>
    <w:p w14:paraId="205732BE" w14:textId="304A5415" w:rsidR="00B4559D" w:rsidRDefault="00B4559D" w:rsidP="00DD531B">
      <w:pPr>
        <w:rPr>
          <w:rFonts w:ascii="Times New Roman" w:eastAsia="Calibri" w:hAnsi="Times New Roman" w:cs="Times New Roman"/>
          <w:lang w:eastAsia="sk-SK"/>
        </w:rPr>
      </w:pPr>
    </w:p>
    <w:p w14:paraId="2E88808C" w14:textId="385CF8D9" w:rsidR="00B4559D" w:rsidRDefault="00B4559D" w:rsidP="00DD531B">
      <w:pPr>
        <w:rPr>
          <w:rFonts w:ascii="Times New Roman" w:eastAsia="Calibri" w:hAnsi="Times New Roman" w:cs="Times New Roman"/>
          <w:lang w:eastAsia="sk-SK"/>
        </w:rPr>
      </w:pPr>
    </w:p>
    <w:p w14:paraId="61C37DDD" w14:textId="101FB406" w:rsidR="00B4559D" w:rsidRDefault="00B4559D" w:rsidP="00DD531B">
      <w:pPr>
        <w:rPr>
          <w:rFonts w:ascii="Times New Roman" w:eastAsia="Calibri" w:hAnsi="Times New Roman" w:cs="Times New Roman"/>
          <w:lang w:eastAsia="sk-SK"/>
        </w:rPr>
      </w:pPr>
    </w:p>
    <w:p w14:paraId="2B49F664" w14:textId="0FC0EB99" w:rsidR="00B4559D" w:rsidRDefault="00B4559D" w:rsidP="00DD531B">
      <w:pPr>
        <w:rPr>
          <w:rFonts w:ascii="Times New Roman" w:eastAsia="Calibri" w:hAnsi="Times New Roman" w:cs="Times New Roman"/>
          <w:lang w:eastAsia="sk-SK"/>
        </w:rPr>
      </w:pPr>
    </w:p>
    <w:p w14:paraId="771AF531" w14:textId="58134434" w:rsidR="00B4559D" w:rsidRDefault="00B4559D" w:rsidP="00DD531B">
      <w:pPr>
        <w:rPr>
          <w:rFonts w:ascii="Times New Roman" w:eastAsia="Calibri" w:hAnsi="Times New Roman" w:cs="Times New Roman"/>
          <w:lang w:eastAsia="sk-SK"/>
        </w:rPr>
      </w:pPr>
    </w:p>
    <w:p w14:paraId="762C5DAC" w14:textId="20081299" w:rsidR="00B4559D" w:rsidRDefault="00B4559D" w:rsidP="00DD531B">
      <w:pPr>
        <w:rPr>
          <w:rFonts w:ascii="Times New Roman" w:eastAsia="Calibri" w:hAnsi="Times New Roman" w:cs="Times New Roman"/>
          <w:lang w:eastAsia="sk-SK"/>
        </w:rPr>
      </w:pPr>
    </w:p>
    <w:p w14:paraId="70BE3D56" w14:textId="6353F3AA" w:rsidR="00B4559D" w:rsidRDefault="00B4559D" w:rsidP="00DD531B">
      <w:pPr>
        <w:rPr>
          <w:rFonts w:ascii="Times New Roman" w:eastAsia="Calibri" w:hAnsi="Times New Roman" w:cs="Times New Roman"/>
          <w:lang w:eastAsia="sk-SK"/>
        </w:rPr>
      </w:pPr>
    </w:p>
    <w:p w14:paraId="26B7ADEE" w14:textId="77777777" w:rsidR="00B4559D" w:rsidRPr="00DD531B" w:rsidRDefault="00B4559D" w:rsidP="00DD531B">
      <w:pPr>
        <w:rPr>
          <w:rFonts w:ascii="Times New Roman" w:eastAsia="Calibri" w:hAnsi="Times New Roman" w:cs="Times New Roman"/>
          <w:lang w:eastAsia="sk-SK"/>
        </w:rPr>
      </w:pPr>
    </w:p>
    <w:p w14:paraId="7FA196A9" w14:textId="77777777" w:rsidR="00DD531B" w:rsidRPr="00B4559D" w:rsidRDefault="00DD531B" w:rsidP="00B4559D">
      <w:pPr>
        <w:keepNext/>
        <w:keepLines/>
        <w:spacing w:before="40" w:after="0"/>
        <w:outlineLvl w:val="1"/>
        <w:rPr>
          <w:rFonts w:ascii="Times New Roman" w:eastAsia="Times New Roman" w:hAnsi="Times New Roman" w:cs="Times New Roman"/>
          <w:b/>
          <w:color w:val="5B9BD5" w:themeColor="accent1"/>
          <w:sz w:val="24"/>
          <w:szCs w:val="24"/>
        </w:rPr>
      </w:pPr>
      <w:r w:rsidRPr="00B4559D">
        <w:rPr>
          <w:rFonts w:ascii="Times New Roman" w:eastAsia="Times New Roman" w:hAnsi="Times New Roman" w:cs="Times New Roman"/>
          <w:b/>
          <w:color w:val="5B9BD5" w:themeColor="accent1"/>
          <w:sz w:val="24"/>
          <w:szCs w:val="24"/>
        </w:rPr>
        <w:lastRenderedPageBreak/>
        <w:t>Úrad vlády SR</w:t>
      </w:r>
    </w:p>
    <w:p w14:paraId="751DD56B" w14:textId="77777777" w:rsidR="00DD531B" w:rsidRPr="00B4559D" w:rsidRDefault="00DD531B" w:rsidP="00DD531B">
      <w:pPr>
        <w:rPr>
          <w:rFonts w:ascii="Times New Roman" w:eastAsia="Calibri" w:hAnsi="Times New Roman" w:cs="Times New Roman"/>
          <w:color w:val="5B9BD5" w:themeColor="accent1"/>
        </w:rPr>
      </w:pPr>
    </w:p>
    <w:p w14:paraId="14915CBD" w14:textId="0020CC01" w:rsidR="00DD531B" w:rsidRPr="00B4559D" w:rsidRDefault="00B4559D"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187" w:name="_Toc153013057"/>
      <w:r>
        <w:rPr>
          <w:rFonts w:ascii="Times New Roman" w:eastAsia="Times New Roman" w:hAnsi="Times New Roman" w:cs="Times New Roman"/>
          <w:b/>
          <w:iCs/>
          <w:color w:val="5B9BD5" w:themeColor="accent1"/>
          <w:sz w:val="20"/>
          <w:szCs w:val="20"/>
          <w:lang w:eastAsia="sk-SK"/>
        </w:rPr>
        <w:t xml:space="preserve">Tabuľka </w:t>
      </w:r>
      <w:r w:rsidRPr="00DD531B">
        <w:rPr>
          <w:rFonts w:ascii="Times New Roman" w:hAnsi="Times New Roman" w:cs="Times New Roman"/>
          <w:b/>
          <w:color w:val="5B9BD5" w:themeColor="accent1"/>
          <w:sz w:val="20"/>
          <w:szCs w:val="20"/>
        </w:rPr>
        <w:fldChar w:fldCharType="begin"/>
      </w:r>
      <w:r w:rsidRPr="00DD531B">
        <w:rPr>
          <w:rFonts w:ascii="Times New Roman" w:hAnsi="Times New Roman" w:cs="Times New Roman"/>
          <w:b/>
          <w:color w:val="5B9BD5" w:themeColor="accent1"/>
          <w:sz w:val="20"/>
          <w:szCs w:val="20"/>
        </w:rPr>
        <w:instrText xml:space="preserve"> SEQ Tabuľka \* ARABIC </w:instrText>
      </w:r>
      <w:r w:rsidRPr="00DD531B">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59</w:t>
      </w:r>
      <w:r w:rsidRPr="00DD531B">
        <w:rPr>
          <w:rFonts w:ascii="Times New Roman" w:hAnsi="Times New Roman" w:cs="Times New Roman"/>
          <w:b/>
          <w:color w:val="5B9BD5" w:themeColor="accent1"/>
          <w:sz w:val="20"/>
          <w:szCs w:val="20"/>
        </w:rPr>
        <w:fldChar w:fldCharType="end"/>
      </w:r>
      <w:r>
        <w:rPr>
          <w:rFonts w:ascii="Times New Roman" w:hAnsi="Times New Roman" w:cs="Times New Roman"/>
          <w:b/>
          <w:color w:val="5B9BD5" w:themeColor="accent1"/>
          <w:sz w:val="20"/>
          <w:szCs w:val="20"/>
        </w:rPr>
        <w:t xml:space="preserve"> - </w:t>
      </w:r>
      <w:r w:rsidR="00DD531B" w:rsidRPr="00B4559D">
        <w:rPr>
          <w:rFonts w:ascii="Times New Roman" w:eastAsia="Times New Roman" w:hAnsi="Times New Roman" w:cs="Times New Roman"/>
          <w:b/>
          <w:iCs/>
          <w:color w:val="5B9BD5" w:themeColor="accent1"/>
          <w:sz w:val="20"/>
          <w:szCs w:val="20"/>
          <w:lang w:eastAsia="sk-SK"/>
        </w:rPr>
        <w:t>Príjmy kapitoly ÚV SR</w:t>
      </w:r>
      <w:bookmarkEnd w:id="187"/>
    </w:p>
    <w:tbl>
      <w:tblPr>
        <w:tblW w:w="5000" w:type="pct"/>
        <w:tblCellMar>
          <w:left w:w="70" w:type="dxa"/>
          <w:right w:w="70" w:type="dxa"/>
        </w:tblCellMar>
        <w:tblLook w:val="04A0" w:firstRow="1" w:lastRow="0" w:firstColumn="1" w:lastColumn="0" w:noHBand="0" w:noVBand="1"/>
      </w:tblPr>
      <w:tblGrid>
        <w:gridCol w:w="3346"/>
        <w:gridCol w:w="797"/>
        <w:gridCol w:w="795"/>
        <w:gridCol w:w="827"/>
        <w:gridCol w:w="827"/>
        <w:gridCol w:w="827"/>
        <w:gridCol w:w="827"/>
        <w:gridCol w:w="826"/>
      </w:tblGrid>
      <w:tr w:rsidR="00DD531B" w:rsidRPr="00DD531B" w14:paraId="11B42122" w14:textId="77777777" w:rsidTr="001F24AE">
        <w:trPr>
          <w:trHeight w:val="300"/>
        </w:trPr>
        <w:tc>
          <w:tcPr>
            <w:tcW w:w="1844" w:type="pct"/>
            <w:tcBorders>
              <w:top w:val="single" w:sz="4" w:space="0" w:color="auto"/>
              <w:left w:val="nil"/>
              <w:bottom w:val="single" w:sz="4" w:space="0" w:color="auto"/>
              <w:right w:val="nil"/>
            </w:tcBorders>
            <w:shd w:val="clear" w:color="auto" w:fill="auto"/>
            <w:noWrap/>
            <w:vAlign w:val="center"/>
            <w:hideMark/>
          </w:tcPr>
          <w:p w14:paraId="279F83AC" w14:textId="77777777" w:rsidR="00DD531B" w:rsidRPr="00B4559D" w:rsidRDefault="00DD531B" w:rsidP="00DD531B">
            <w:pPr>
              <w:spacing w:after="0" w:line="240" w:lineRule="auto"/>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v tis. eur</w:t>
            </w:r>
          </w:p>
        </w:tc>
        <w:tc>
          <w:tcPr>
            <w:tcW w:w="439" w:type="pct"/>
            <w:tcBorders>
              <w:top w:val="single" w:sz="4" w:space="0" w:color="auto"/>
              <w:left w:val="nil"/>
              <w:bottom w:val="single" w:sz="4" w:space="0" w:color="auto"/>
              <w:right w:val="nil"/>
            </w:tcBorders>
            <w:shd w:val="clear" w:color="auto" w:fill="auto"/>
            <w:noWrap/>
            <w:vAlign w:val="center"/>
            <w:hideMark/>
          </w:tcPr>
          <w:p w14:paraId="2D8B1C20"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2021 S</w:t>
            </w:r>
          </w:p>
        </w:tc>
        <w:tc>
          <w:tcPr>
            <w:tcW w:w="438" w:type="pct"/>
            <w:tcBorders>
              <w:top w:val="single" w:sz="4" w:space="0" w:color="auto"/>
              <w:left w:val="nil"/>
              <w:bottom w:val="single" w:sz="4" w:space="0" w:color="auto"/>
              <w:right w:val="nil"/>
            </w:tcBorders>
            <w:shd w:val="clear" w:color="auto" w:fill="auto"/>
            <w:noWrap/>
            <w:vAlign w:val="center"/>
            <w:hideMark/>
          </w:tcPr>
          <w:p w14:paraId="4CC2CBC5"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2022 S</w:t>
            </w:r>
          </w:p>
        </w:tc>
        <w:tc>
          <w:tcPr>
            <w:tcW w:w="456" w:type="pct"/>
            <w:tcBorders>
              <w:top w:val="single" w:sz="4" w:space="0" w:color="auto"/>
              <w:left w:val="nil"/>
              <w:bottom w:val="single" w:sz="4" w:space="0" w:color="auto"/>
              <w:right w:val="nil"/>
            </w:tcBorders>
            <w:shd w:val="clear" w:color="auto" w:fill="auto"/>
            <w:noWrap/>
            <w:vAlign w:val="center"/>
            <w:hideMark/>
          </w:tcPr>
          <w:p w14:paraId="68101DBB"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2023 R</w:t>
            </w:r>
          </w:p>
        </w:tc>
        <w:tc>
          <w:tcPr>
            <w:tcW w:w="456" w:type="pct"/>
            <w:tcBorders>
              <w:top w:val="single" w:sz="4" w:space="0" w:color="auto"/>
              <w:left w:val="nil"/>
              <w:bottom w:val="single" w:sz="4" w:space="0" w:color="auto"/>
              <w:right w:val="nil"/>
            </w:tcBorders>
            <w:shd w:val="clear" w:color="auto" w:fill="auto"/>
            <w:noWrap/>
            <w:vAlign w:val="center"/>
            <w:hideMark/>
          </w:tcPr>
          <w:p w14:paraId="4D516E9E"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2023 OS</w:t>
            </w:r>
          </w:p>
        </w:tc>
        <w:tc>
          <w:tcPr>
            <w:tcW w:w="456" w:type="pct"/>
            <w:tcBorders>
              <w:top w:val="single" w:sz="4" w:space="0" w:color="auto"/>
              <w:left w:val="nil"/>
              <w:bottom w:val="single" w:sz="4" w:space="0" w:color="auto"/>
              <w:right w:val="nil"/>
            </w:tcBorders>
            <w:shd w:val="clear" w:color="auto" w:fill="auto"/>
            <w:noWrap/>
            <w:vAlign w:val="center"/>
            <w:hideMark/>
          </w:tcPr>
          <w:p w14:paraId="480D7B84"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2024 N</w:t>
            </w:r>
          </w:p>
        </w:tc>
        <w:tc>
          <w:tcPr>
            <w:tcW w:w="456" w:type="pct"/>
            <w:tcBorders>
              <w:top w:val="single" w:sz="4" w:space="0" w:color="auto"/>
              <w:left w:val="nil"/>
              <w:bottom w:val="single" w:sz="4" w:space="0" w:color="auto"/>
              <w:right w:val="nil"/>
            </w:tcBorders>
            <w:shd w:val="clear" w:color="auto" w:fill="auto"/>
            <w:noWrap/>
            <w:vAlign w:val="center"/>
            <w:hideMark/>
          </w:tcPr>
          <w:p w14:paraId="484841CE"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2025 N</w:t>
            </w:r>
          </w:p>
        </w:tc>
        <w:tc>
          <w:tcPr>
            <w:tcW w:w="456" w:type="pct"/>
            <w:tcBorders>
              <w:top w:val="single" w:sz="4" w:space="0" w:color="auto"/>
              <w:left w:val="nil"/>
              <w:bottom w:val="single" w:sz="4" w:space="0" w:color="auto"/>
              <w:right w:val="nil"/>
            </w:tcBorders>
            <w:shd w:val="clear" w:color="auto" w:fill="auto"/>
            <w:noWrap/>
            <w:vAlign w:val="center"/>
            <w:hideMark/>
          </w:tcPr>
          <w:p w14:paraId="17116749"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2026 N</w:t>
            </w:r>
          </w:p>
        </w:tc>
      </w:tr>
      <w:tr w:rsidR="00DD531B" w:rsidRPr="00DD531B" w14:paraId="4CED5A3D" w14:textId="77777777" w:rsidTr="001F24AE">
        <w:trPr>
          <w:trHeight w:val="300"/>
        </w:trPr>
        <w:tc>
          <w:tcPr>
            <w:tcW w:w="1844" w:type="pct"/>
            <w:tcBorders>
              <w:top w:val="nil"/>
              <w:left w:val="nil"/>
              <w:bottom w:val="nil"/>
              <w:right w:val="nil"/>
            </w:tcBorders>
            <w:shd w:val="clear" w:color="auto" w:fill="auto"/>
            <w:noWrap/>
            <w:vAlign w:val="bottom"/>
            <w:hideMark/>
          </w:tcPr>
          <w:p w14:paraId="4667BF03" w14:textId="77777777" w:rsidR="00DD531B" w:rsidRPr="00B4559D" w:rsidRDefault="00DD531B" w:rsidP="00DD531B">
            <w:pPr>
              <w:spacing w:after="0" w:line="240" w:lineRule="auto"/>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Príjmy kapitoly spolu</w:t>
            </w:r>
          </w:p>
        </w:tc>
        <w:tc>
          <w:tcPr>
            <w:tcW w:w="439" w:type="pct"/>
            <w:tcBorders>
              <w:top w:val="nil"/>
              <w:left w:val="nil"/>
              <w:bottom w:val="nil"/>
              <w:right w:val="nil"/>
            </w:tcBorders>
            <w:shd w:val="clear" w:color="auto" w:fill="auto"/>
            <w:noWrap/>
            <w:vAlign w:val="bottom"/>
            <w:hideMark/>
          </w:tcPr>
          <w:p w14:paraId="1517AFA2" w14:textId="77777777" w:rsidR="00DD531B" w:rsidRPr="00B4559D"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392</w:t>
            </w:r>
          </w:p>
        </w:tc>
        <w:tc>
          <w:tcPr>
            <w:tcW w:w="438" w:type="pct"/>
            <w:tcBorders>
              <w:top w:val="nil"/>
              <w:left w:val="nil"/>
              <w:bottom w:val="nil"/>
              <w:right w:val="nil"/>
            </w:tcBorders>
            <w:shd w:val="clear" w:color="auto" w:fill="auto"/>
            <w:noWrap/>
            <w:vAlign w:val="bottom"/>
            <w:hideMark/>
          </w:tcPr>
          <w:p w14:paraId="48B98FA6" w14:textId="77777777" w:rsidR="00DD531B" w:rsidRPr="00B4559D"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654</w:t>
            </w:r>
          </w:p>
        </w:tc>
        <w:tc>
          <w:tcPr>
            <w:tcW w:w="456" w:type="pct"/>
            <w:tcBorders>
              <w:top w:val="nil"/>
              <w:left w:val="nil"/>
              <w:bottom w:val="nil"/>
              <w:right w:val="nil"/>
            </w:tcBorders>
            <w:shd w:val="clear" w:color="auto" w:fill="auto"/>
            <w:noWrap/>
            <w:vAlign w:val="bottom"/>
            <w:hideMark/>
          </w:tcPr>
          <w:p w14:paraId="11C8BD2E" w14:textId="77777777" w:rsidR="00DD531B" w:rsidRPr="00B4559D"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700</w:t>
            </w:r>
          </w:p>
        </w:tc>
        <w:tc>
          <w:tcPr>
            <w:tcW w:w="456" w:type="pct"/>
            <w:tcBorders>
              <w:top w:val="nil"/>
              <w:left w:val="nil"/>
              <w:bottom w:val="nil"/>
              <w:right w:val="nil"/>
            </w:tcBorders>
            <w:shd w:val="clear" w:color="auto" w:fill="auto"/>
            <w:noWrap/>
            <w:vAlign w:val="bottom"/>
            <w:hideMark/>
          </w:tcPr>
          <w:p w14:paraId="5D0E5A70" w14:textId="77777777" w:rsidR="00DD531B" w:rsidRPr="00B4559D"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700</w:t>
            </w:r>
          </w:p>
        </w:tc>
        <w:tc>
          <w:tcPr>
            <w:tcW w:w="456" w:type="pct"/>
            <w:tcBorders>
              <w:top w:val="nil"/>
              <w:left w:val="nil"/>
              <w:bottom w:val="nil"/>
              <w:right w:val="nil"/>
            </w:tcBorders>
            <w:shd w:val="clear" w:color="auto" w:fill="auto"/>
            <w:noWrap/>
            <w:vAlign w:val="bottom"/>
            <w:hideMark/>
          </w:tcPr>
          <w:p w14:paraId="0AB05488" w14:textId="77777777" w:rsidR="00DD531B" w:rsidRPr="00B4559D"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700</w:t>
            </w:r>
          </w:p>
        </w:tc>
        <w:tc>
          <w:tcPr>
            <w:tcW w:w="456" w:type="pct"/>
            <w:tcBorders>
              <w:top w:val="nil"/>
              <w:left w:val="nil"/>
              <w:bottom w:val="nil"/>
              <w:right w:val="nil"/>
            </w:tcBorders>
            <w:shd w:val="clear" w:color="auto" w:fill="auto"/>
            <w:noWrap/>
            <w:vAlign w:val="bottom"/>
            <w:hideMark/>
          </w:tcPr>
          <w:p w14:paraId="29A790B7" w14:textId="77777777" w:rsidR="00DD531B" w:rsidRPr="00B4559D"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700</w:t>
            </w:r>
          </w:p>
        </w:tc>
        <w:tc>
          <w:tcPr>
            <w:tcW w:w="456" w:type="pct"/>
            <w:tcBorders>
              <w:top w:val="nil"/>
              <w:left w:val="nil"/>
              <w:bottom w:val="nil"/>
              <w:right w:val="nil"/>
            </w:tcBorders>
            <w:shd w:val="clear" w:color="auto" w:fill="auto"/>
            <w:noWrap/>
            <w:vAlign w:val="bottom"/>
            <w:hideMark/>
          </w:tcPr>
          <w:p w14:paraId="1C6795DF" w14:textId="77777777" w:rsidR="00DD531B" w:rsidRPr="00B4559D"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700</w:t>
            </w:r>
          </w:p>
        </w:tc>
      </w:tr>
      <w:tr w:rsidR="00DD531B" w:rsidRPr="00DD531B" w14:paraId="1952CCB6" w14:textId="77777777" w:rsidTr="001F24AE">
        <w:trPr>
          <w:trHeight w:val="300"/>
        </w:trPr>
        <w:tc>
          <w:tcPr>
            <w:tcW w:w="1844" w:type="pct"/>
            <w:tcBorders>
              <w:top w:val="nil"/>
              <w:left w:val="nil"/>
              <w:bottom w:val="single" w:sz="4" w:space="0" w:color="auto"/>
              <w:right w:val="nil"/>
            </w:tcBorders>
            <w:shd w:val="clear" w:color="auto" w:fill="auto"/>
            <w:noWrap/>
            <w:vAlign w:val="bottom"/>
            <w:hideMark/>
          </w:tcPr>
          <w:p w14:paraId="48ABA1EA" w14:textId="77777777" w:rsidR="00DD531B" w:rsidRPr="00B4559D" w:rsidRDefault="00DD531B" w:rsidP="00DD531B">
            <w:pPr>
              <w:spacing w:after="0" w:line="240" w:lineRule="auto"/>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nedaňové príjmy</w:t>
            </w:r>
          </w:p>
        </w:tc>
        <w:tc>
          <w:tcPr>
            <w:tcW w:w="439" w:type="pct"/>
            <w:tcBorders>
              <w:top w:val="nil"/>
              <w:left w:val="nil"/>
              <w:bottom w:val="single" w:sz="4" w:space="0" w:color="auto"/>
              <w:right w:val="nil"/>
            </w:tcBorders>
            <w:shd w:val="clear" w:color="auto" w:fill="auto"/>
            <w:noWrap/>
            <w:vAlign w:val="bottom"/>
            <w:hideMark/>
          </w:tcPr>
          <w:p w14:paraId="7B6F59FB"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392</w:t>
            </w:r>
          </w:p>
        </w:tc>
        <w:tc>
          <w:tcPr>
            <w:tcW w:w="438" w:type="pct"/>
            <w:tcBorders>
              <w:top w:val="nil"/>
              <w:left w:val="nil"/>
              <w:bottom w:val="single" w:sz="4" w:space="0" w:color="auto"/>
              <w:right w:val="nil"/>
            </w:tcBorders>
            <w:shd w:val="clear" w:color="auto" w:fill="auto"/>
            <w:noWrap/>
            <w:vAlign w:val="bottom"/>
            <w:hideMark/>
          </w:tcPr>
          <w:p w14:paraId="79DBF96D"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654</w:t>
            </w:r>
          </w:p>
        </w:tc>
        <w:tc>
          <w:tcPr>
            <w:tcW w:w="456" w:type="pct"/>
            <w:tcBorders>
              <w:top w:val="nil"/>
              <w:left w:val="nil"/>
              <w:bottom w:val="single" w:sz="4" w:space="0" w:color="auto"/>
              <w:right w:val="nil"/>
            </w:tcBorders>
            <w:shd w:val="clear" w:color="auto" w:fill="auto"/>
            <w:noWrap/>
            <w:vAlign w:val="bottom"/>
            <w:hideMark/>
          </w:tcPr>
          <w:p w14:paraId="06FCC58F"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700</w:t>
            </w:r>
          </w:p>
        </w:tc>
        <w:tc>
          <w:tcPr>
            <w:tcW w:w="456" w:type="pct"/>
            <w:tcBorders>
              <w:top w:val="nil"/>
              <w:left w:val="nil"/>
              <w:bottom w:val="single" w:sz="4" w:space="0" w:color="auto"/>
              <w:right w:val="nil"/>
            </w:tcBorders>
            <w:shd w:val="clear" w:color="auto" w:fill="auto"/>
            <w:noWrap/>
            <w:vAlign w:val="bottom"/>
            <w:hideMark/>
          </w:tcPr>
          <w:p w14:paraId="2A33B546"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700</w:t>
            </w:r>
          </w:p>
        </w:tc>
        <w:tc>
          <w:tcPr>
            <w:tcW w:w="456" w:type="pct"/>
            <w:tcBorders>
              <w:top w:val="nil"/>
              <w:left w:val="nil"/>
              <w:bottom w:val="single" w:sz="4" w:space="0" w:color="auto"/>
              <w:right w:val="nil"/>
            </w:tcBorders>
            <w:shd w:val="clear" w:color="auto" w:fill="auto"/>
            <w:noWrap/>
            <w:vAlign w:val="bottom"/>
            <w:hideMark/>
          </w:tcPr>
          <w:p w14:paraId="1CBE0C5C"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700</w:t>
            </w:r>
          </w:p>
        </w:tc>
        <w:tc>
          <w:tcPr>
            <w:tcW w:w="456" w:type="pct"/>
            <w:tcBorders>
              <w:top w:val="nil"/>
              <w:left w:val="nil"/>
              <w:bottom w:val="single" w:sz="4" w:space="0" w:color="auto"/>
              <w:right w:val="nil"/>
            </w:tcBorders>
            <w:shd w:val="clear" w:color="auto" w:fill="auto"/>
            <w:noWrap/>
            <w:vAlign w:val="bottom"/>
            <w:hideMark/>
          </w:tcPr>
          <w:p w14:paraId="41ECD54D"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700</w:t>
            </w:r>
          </w:p>
        </w:tc>
        <w:tc>
          <w:tcPr>
            <w:tcW w:w="456" w:type="pct"/>
            <w:tcBorders>
              <w:top w:val="nil"/>
              <w:left w:val="nil"/>
              <w:bottom w:val="single" w:sz="4" w:space="0" w:color="auto"/>
              <w:right w:val="nil"/>
            </w:tcBorders>
            <w:shd w:val="clear" w:color="auto" w:fill="auto"/>
            <w:noWrap/>
            <w:vAlign w:val="bottom"/>
            <w:hideMark/>
          </w:tcPr>
          <w:p w14:paraId="35BFC76F"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700</w:t>
            </w:r>
          </w:p>
        </w:tc>
      </w:tr>
    </w:tbl>
    <w:p w14:paraId="18841E5D" w14:textId="77777777" w:rsidR="00DD531B" w:rsidRPr="00DD531B" w:rsidRDefault="00DD531B" w:rsidP="00DD531B">
      <w:pPr>
        <w:rPr>
          <w:rFonts w:ascii="Times New Roman" w:eastAsia="Calibri" w:hAnsi="Times New Roman" w:cs="Times New Roman"/>
        </w:rPr>
      </w:pPr>
    </w:p>
    <w:p w14:paraId="1F8D8AC3" w14:textId="762BAA10" w:rsidR="00DD531B" w:rsidRPr="00B4559D" w:rsidRDefault="00B4559D"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188" w:name="_Toc153013058"/>
      <w:r w:rsidRPr="00B4559D">
        <w:rPr>
          <w:rFonts w:ascii="Times New Roman" w:eastAsia="Times New Roman" w:hAnsi="Times New Roman" w:cs="Times New Roman"/>
          <w:b/>
          <w:iCs/>
          <w:color w:val="5B9BD5" w:themeColor="accent1"/>
          <w:sz w:val="20"/>
          <w:szCs w:val="20"/>
          <w:lang w:eastAsia="sk-SK"/>
        </w:rPr>
        <w:t xml:space="preserve">Tabuľka </w:t>
      </w:r>
      <w:r w:rsidRPr="00B4559D">
        <w:rPr>
          <w:rFonts w:ascii="Times New Roman" w:hAnsi="Times New Roman" w:cs="Times New Roman"/>
          <w:b/>
          <w:color w:val="5B9BD5" w:themeColor="accent1"/>
          <w:sz w:val="20"/>
          <w:szCs w:val="20"/>
        </w:rPr>
        <w:fldChar w:fldCharType="begin"/>
      </w:r>
      <w:r w:rsidRPr="00B4559D">
        <w:rPr>
          <w:rFonts w:ascii="Times New Roman" w:hAnsi="Times New Roman" w:cs="Times New Roman"/>
          <w:b/>
          <w:color w:val="5B9BD5" w:themeColor="accent1"/>
          <w:sz w:val="20"/>
          <w:szCs w:val="20"/>
        </w:rPr>
        <w:instrText xml:space="preserve"> SEQ Tabuľka \* ARABIC </w:instrText>
      </w:r>
      <w:r w:rsidRPr="00B4559D">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60</w:t>
      </w:r>
      <w:r w:rsidRPr="00B4559D">
        <w:rPr>
          <w:rFonts w:ascii="Times New Roman" w:hAnsi="Times New Roman" w:cs="Times New Roman"/>
          <w:b/>
          <w:color w:val="5B9BD5" w:themeColor="accent1"/>
          <w:sz w:val="20"/>
          <w:szCs w:val="20"/>
        </w:rPr>
        <w:fldChar w:fldCharType="end"/>
      </w:r>
      <w:r w:rsidRPr="00B4559D">
        <w:rPr>
          <w:rFonts w:ascii="Times New Roman" w:hAnsi="Times New Roman" w:cs="Times New Roman"/>
          <w:b/>
          <w:color w:val="5B9BD5" w:themeColor="accent1"/>
          <w:sz w:val="20"/>
          <w:szCs w:val="20"/>
        </w:rPr>
        <w:t xml:space="preserve"> - </w:t>
      </w:r>
      <w:r w:rsidR="00DD531B" w:rsidRPr="00B4559D">
        <w:rPr>
          <w:rFonts w:ascii="Times New Roman" w:eastAsia="Times New Roman" w:hAnsi="Times New Roman" w:cs="Times New Roman"/>
          <w:b/>
          <w:iCs/>
          <w:color w:val="5B9BD5" w:themeColor="accent1"/>
          <w:sz w:val="20"/>
          <w:szCs w:val="20"/>
          <w:lang w:eastAsia="sk-SK"/>
        </w:rPr>
        <w:t>Výdavky kapitoly ÚV SR</w:t>
      </w:r>
      <w:bookmarkEnd w:id="188"/>
    </w:p>
    <w:tbl>
      <w:tblPr>
        <w:tblW w:w="5000" w:type="pct"/>
        <w:tblCellMar>
          <w:left w:w="70" w:type="dxa"/>
          <w:right w:w="70" w:type="dxa"/>
        </w:tblCellMar>
        <w:tblLook w:val="04A0" w:firstRow="1" w:lastRow="0" w:firstColumn="1" w:lastColumn="0" w:noHBand="0" w:noVBand="1"/>
      </w:tblPr>
      <w:tblGrid>
        <w:gridCol w:w="3572"/>
        <w:gridCol w:w="762"/>
        <w:gridCol w:w="763"/>
        <w:gridCol w:w="795"/>
        <w:gridCol w:w="795"/>
        <w:gridCol w:w="795"/>
        <w:gridCol w:w="795"/>
        <w:gridCol w:w="795"/>
      </w:tblGrid>
      <w:tr w:rsidR="00DD531B" w:rsidRPr="00DD531B" w14:paraId="24E62632" w14:textId="77777777" w:rsidTr="001F24AE">
        <w:trPr>
          <w:trHeight w:val="300"/>
        </w:trPr>
        <w:tc>
          <w:tcPr>
            <w:tcW w:w="1843" w:type="pct"/>
            <w:tcBorders>
              <w:top w:val="single" w:sz="4" w:space="0" w:color="auto"/>
              <w:left w:val="nil"/>
              <w:bottom w:val="single" w:sz="4" w:space="0" w:color="auto"/>
              <w:right w:val="nil"/>
            </w:tcBorders>
            <w:shd w:val="clear" w:color="auto" w:fill="auto"/>
            <w:noWrap/>
            <w:vAlign w:val="center"/>
            <w:hideMark/>
          </w:tcPr>
          <w:p w14:paraId="14111E6E" w14:textId="77777777" w:rsidR="00DD531B" w:rsidRPr="00B4559D" w:rsidRDefault="00DD531B" w:rsidP="00DD531B">
            <w:pPr>
              <w:spacing w:after="0" w:line="240" w:lineRule="auto"/>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v tis. eur</w:t>
            </w:r>
          </w:p>
        </w:tc>
        <w:tc>
          <w:tcPr>
            <w:tcW w:w="438" w:type="pct"/>
            <w:tcBorders>
              <w:top w:val="single" w:sz="4" w:space="0" w:color="auto"/>
              <w:left w:val="nil"/>
              <w:bottom w:val="single" w:sz="4" w:space="0" w:color="auto"/>
              <w:right w:val="nil"/>
            </w:tcBorders>
            <w:shd w:val="clear" w:color="auto" w:fill="auto"/>
            <w:noWrap/>
            <w:vAlign w:val="center"/>
            <w:hideMark/>
          </w:tcPr>
          <w:p w14:paraId="6FC90F4A"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2021 S</w:t>
            </w:r>
          </w:p>
        </w:tc>
        <w:tc>
          <w:tcPr>
            <w:tcW w:w="438" w:type="pct"/>
            <w:tcBorders>
              <w:top w:val="single" w:sz="4" w:space="0" w:color="auto"/>
              <w:left w:val="nil"/>
              <w:bottom w:val="single" w:sz="4" w:space="0" w:color="auto"/>
              <w:right w:val="nil"/>
            </w:tcBorders>
            <w:shd w:val="clear" w:color="auto" w:fill="auto"/>
            <w:noWrap/>
            <w:vAlign w:val="center"/>
            <w:hideMark/>
          </w:tcPr>
          <w:p w14:paraId="0F5C85F8"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2022 S</w:t>
            </w:r>
          </w:p>
        </w:tc>
        <w:tc>
          <w:tcPr>
            <w:tcW w:w="456" w:type="pct"/>
            <w:tcBorders>
              <w:top w:val="single" w:sz="4" w:space="0" w:color="auto"/>
              <w:left w:val="nil"/>
              <w:bottom w:val="single" w:sz="4" w:space="0" w:color="auto"/>
              <w:right w:val="nil"/>
            </w:tcBorders>
            <w:shd w:val="clear" w:color="auto" w:fill="auto"/>
            <w:noWrap/>
            <w:vAlign w:val="center"/>
            <w:hideMark/>
          </w:tcPr>
          <w:p w14:paraId="6B8C26C6"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2023 R</w:t>
            </w:r>
          </w:p>
        </w:tc>
        <w:tc>
          <w:tcPr>
            <w:tcW w:w="456" w:type="pct"/>
            <w:tcBorders>
              <w:top w:val="single" w:sz="4" w:space="0" w:color="auto"/>
              <w:left w:val="nil"/>
              <w:bottom w:val="single" w:sz="4" w:space="0" w:color="auto"/>
              <w:right w:val="nil"/>
            </w:tcBorders>
            <w:shd w:val="clear" w:color="auto" w:fill="auto"/>
            <w:noWrap/>
            <w:vAlign w:val="center"/>
            <w:hideMark/>
          </w:tcPr>
          <w:p w14:paraId="7AB87628"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2023 OS</w:t>
            </w:r>
          </w:p>
        </w:tc>
        <w:tc>
          <w:tcPr>
            <w:tcW w:w="456" w:type="pct"/>
            <w:tcBorders>
              <w:top w:val="single" w:sz="4" w:space="0" w:color="auto"/>
              <w:left w:val="nil"/>
              <w:bottom w:val="single" w:sz="4" w:space="0" w:color="auto"/>
              <w:right w:val="nil"/>
            </w:tcBorders>
            <w:shd w:val="clear" w:color="auto" w:fill="auto"/>
            <w:noWrap/>
            <w:vAlign w:val="center"/>
            <w:hideMark/>
          </w:tcPr>
          <w:p w14:paraId="1199E308"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2024 N</w:t>
            </w:r>
          </w:p>
        </w:tc>
        <w:tc>
          <w:tcPr>
            <w:tcW w:w="456" w:type="pct"/>
            <w:tcBorders>
              <w:top w:val="single" w:sz="4" w:space="0" w:color="auto"/>
              <w:left w:val="nil"/>
              <w:bottom w:val="single" w:sz="4" w:space="0" w:color="auto"/>
              <w:right w:val="nil"/>
            </w:tcBorders>
            <w:shd w:val="clear" w:color="auto" w:fill="auto"/>
            <w:noWrap/>
            <w:vAlign w:val="center"/>
            <w:hideMark/>
          </w:tcPr>
          <w:p w14:paraId="57A75F2E"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2025 N</w:t>
            </w:r>
          </w:p>
        </w:tc>
        <w:tc>
          <w:tcPr>
            <w:tcW w:w="456" w:type="pct"/>
            <w:tcBorders>
              <w:top w:val="single" w:sz="4" w:space="0" w:color="auto"/>
              <w:left w:val="nil"/>
              <w:bottom w:val="single" w:sz="4" w:space="0" w:color="auto"/>
              <w:right w:val="nil"/>
            </w:tcBorders>
            <w:shd w:val="clear" w:color="auto" w:fill="auto"/>
            <w:noWrap/>
            <w:vAlign w:val="center"/>
            <w:hideMark/>
          </w:tcPr>
          <w:p w14:paraId="4AFB472B"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2026 N</w:t>
            </w:r>
          </w:p>
        </w:tc>
      </w:tr>
      <w:tr w:rsidR="00DD531B" w:rsidRPr="00DD531B" w14:paraId="4FAD1821" w14:textId="77777777" w:rsidTr="001F24AE">
        <w:trPr>
          <w:trHeight w:val="300"/>
        </w:trPr>
        <w:tc>
          <w:tcPr>
            <w:tcW w:w="1843" w:type="pct"/>
            <w:tcBorders>
              <w:top w:val="nil"/>
              <w:left w:val="nil"/>
              <w:bottom w:val="nil"/>
              <w:right w:val="nil"/>
            </w:tcBorders>
            <w:shd w:val="clear" w:color="auto" w:fill="auto"/>
            <w:noWrap/>
            <w:vAlign w:val="center"/>
            <w:hideMark/>
          </w:tcPr>
          <w:p w14:paraId="2C542362" w14:textId="77777777" w:rsidR="00DD531B" w:rsidRPr="00B4559D" w:rsidRDefault="00DD531B" w:rsidP="00DD531B">
            <w:pPr>
              <w:spacing w:after="0" w:line="240" w:lineRule="auto"/>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Výdavky kapitoly spolu</w:t>
            </w:r>
          </w:p>
        </w:tc>
        <w:tc>
          <w:tcPr>
            <w:tcW w:w="438" w:type="pct"/>
            <w:tcBorders>
              <w:top w:val="nil"/>
              <w:left w:val="nil"/>
              <w:bottom w:val="nil"/>
              <w:right w:val="nil"/>
            </w:tcBorders>
            <w:shd w:val="clear" w:color="auto" w:fill="auto"/>
            <w:noWrap/>
            <w:vAlign w:val="center"/>
            <w:hideMark/>
          </w:tcPr>
          <w:p w14:paraId="32DE2A90"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47 677</w:t>
            </w:r>
          </w:p>
        </w:tc>
        <w:tc>
          <w:tcPr>
            <w:tcW w:w="438" w:type="pct"/>
            <w:tcBorders>
              <w:top w:val="nil"/>
              <w:left w:val="nil"/>
              <w:bottom w:val="nil"/>
              <w:right w:val="nil"/>
            </w:tcBorders>
            <w:shd w:val="clear" w:color="auto" w:fill="auto"/>
            <w:noWrap/>
            <w:vAlign w:val="center"/>
            <w:hideMark/>
          </w:tcPr>
          <w:p w14:paraId="1013A67D"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73 583</w:t>
            </w:r>
          </w:p>
        </w:tc>
        <w:tc>
          <w:tcPr>
            <w:tcW w:w="456" w:type="pct"/>
            <w:tcBorders>
              <w:top w:val="nil"/>
              <w:left w:val="nil"/>
              <w:bottom w:val="nil"/>
              <w:right w:val="nil"/>
            </w:tcBorders>
            <w:shd w:val="clear" w:color="auto" w:fill="auto"/>
            <w:noWrap/>
            <w:vAlign w:val="center"/>
            <w:hideMark/>
          </w:tcPr>
          <w:p w14:paraId="5CE6CA85"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193 213</w:t>
            </w:r>
          </w:p>
        </w:tc>
        <w:tc>
          <w:tcPr>
            <w:tcW w:w="456" w:type="pct"/>
            <w:tcBorders>
              <w:top w:val="nil"/>
              <w:left w:val="nil"/>
              <w:bottom w:val="nil"/>
              <w:right w:val="nil"/>
            </w:tcBorders>
            <w:shd w:val="clear" w:color="auto" w:fill="auto"/>
            <w:noWrap/>
            <w:vAlign w:val="center"/>
            <w:hideMark/>
          </w:tcPr>
          <w:p w14:paraId="1CF44A9A"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164 527</w:t>
            </w:r>
          </w:p>
        </w:tc>
        <w:tc>
          <w:tcPr>
            <w:tcW w:w="456" w:type="pct"/>
            <w:tcBorders>
              <w:top w:val="nil"/>
              <w:left w:val="nil"/>
              <w:bottom w:val="nil"/>
              <w:right w:val="nil"/>
            </w:tcBorders>
            <w:shd w:val="clear" w:color="auto" w:fill="auto"/>
            <w:noWrap/>
            <w:vAlign w:val="center"/>
            <w:hideMark/>
          </w:tcPr>
          <w:p w14:paraId="62DEBA34"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208 193</w:t>
            </w:r>
          </w:p>
        </w:tc>
        <w:tc>
          <w:tcPr>
            <w:tcW w:w="456" w:type="pct"/>
            <w:tcBorders>
              <w:top w:val="nil"/>
              <w:left w:val="nil"/>
              <w:bottom w:val="nil"/>
              <w:right w:val="nil"/>
            </w:tcBorders>
            <w:shd w:val="clear" w:color="auto" w:fill="auto"/>
            <w:noWrap/>
            <w:vAlign w:val="center"/>
            <w:hideMark/>
          </w:tcPr>
          <w:p w14:paraId="159A48F1"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281 963</w:t>
            </w:r>
          </w:p>
        </w:tc>
        <w:tc>
          <w:tcPr>
            <w:tcW w:w="456" w:type="pct"/>
            <w:tcBorders>
              <w:top w:val="nil"/>
              <w:left w:val="nil"/>
              <w:bottom w:val="nil"/>
              <w:right w:val="nil"/>
            </w:tcBorders>
            <w:shd w:val="clear" w:color="auto" w:fill="auto"/>
            <w:noWrap/>
            <w:vAlign w:val="center"/>
            <w:hideMark/>
          </w:tcPr>
          <w:p w14:paraId="5AECF62E"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367 115</w:t>
            </w:r>
          </w:p>
        </w:tc>
      </w:tr>
      <w:tr w:rsidR="00DD531B" w:rsidRPr="00DD531B" w14:paraId="23C2BD59" w14:textId="77777777" w:rsidTr="001F24AE">
        <w:trPr>
          <w:trHeight w:val="300"/>
        </w:trPr>
        <w:tc>
          <w:tcPr>
            <w:tcW w:w="1843" w:type="pct"/>
            <w:tcBorders>
              <w:top w:val="nil"/>
              <w:left w:val="nil"/>
              <w:bottom w:val="nil"/>
              <w:right w:val="nil"/>
            </w:tcBorders>
            <w:shd w:val="clear" w:color="auto" w:fill="auto"/>
            <w:noWrap/>
            <w:vAlign w:val="bottom"/>
            <w:hideMark/>
          </w:tcPr>
          <w:p w14:paraId="3E838686" w14:textId="77777777" w:rsidR="00DD531B" w:rsidRPr="00B4559D" w:rsidRDefault="00DD531B" w:rsidP="00DD531B">
            <w:pPr>
              <w:spacing w:after="0" w:line="240" w:lineRule="auto"/>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rozpočtové zdroje kapitoly</w:t>
            </w:r>
          </w:p>
        </w:tc>
        <w:tc>
          <w:tcPr>
            <w:tcW w:w="438" w:type="pct"/>
            <w:tcBorders>
              <w:top w:val="nil"/>
              <w:left w:val="nil"/>
              <w:bottom w:val="nil"/>
              <w:right w:val="nil"/>
            </w:tcBorders>
            <w:shd w:val="clear" w:color="auto" w:fill="auto"/>
            <w:noWrap/>
            <w:vAlign w:val="bottom"/>
            <w:hideMark/>
          </w:tcPr>
          <w:p w14:paraId="56CCA908"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33 379</w:t>
            </w:r>
          </w:p>
        </w:tc>
        <w:tc>
          <w:tcPr>
            <w:tcW w:w="438" w:type="pct"/>
            <w:tcBorders>
              <w:top w:val="nil"/>
              <w:left w:val="nil"/>
              <w:bottom w:val="nil"/>
              <w:right w:val="nil"/>
            </w:tcBorders>
            <w:shd w:val="clear" w:color="auto" w:fill="auto"/>
            <w:noWrap/>
            <w:vAlign w:val="bottom"/>
            <w:hideMark/>
          </w:tcPr>
          <w:p w14:paraId="047D7665"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35 782</w:t>
            </w:r>
          </w:p>
        </w:tc>
        <w:tc>
          <w:tcPr>
            <w:tcW w:w="456" w:type="pct"/>
            <w:tcBorders>
              <w:top w:val="nil"/>
              <w:left w:val="nil"/>
              <w:bottom w:val="nil"/>
              <w:right w:val="nil"/>
            </w:tcBorders>
            <w:shd w:val="clear" w:color="auto" w:fill="auto"/>
            <w:noWrap/>
            <w:vAlign w:val="bottom"/>
            <w:hideMark/>
          </w:tcPr>
          <w:p w14:paraId="5C33B60A"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42 170</w:t>
            </w:r>
          </w:p>
        </w:tc>
        <w:tc>
          <w:tcPr>
            <w:tcW w:w="456" w:type="pct"/>
            <w:tcBorders>
              <w:top w:val="nil"/>
              <w:left w:val="nil"/>
              <w:bottom w:val="nil"/>
              <w:right w:val="nil"/>
            </w:tcBorders>
            <w:shd w:val="clear" w:color="auto" w:fill="auto"/>
            <w:noWrap/>
            <w:vAlign w:val="bottom"/>
            <w:hideMark/>
          </w:tcPr>
          <w:p w14:paraId="46DB840F"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49 791</w:t>
            </w:r>
          </w:p>
        </w:tc>
        <w:tc>
          <w:tcPr>
            <w:tcW w:w="456" w:type="pct"/>
            <w:tcBorders>
              <w:top w:val="nil"/>
              <w:left w:val="nil"/>
              <w:bottom w:val="nil"/>
              <w:right w:val="nil"/>
            </w:tcBorders>
            <w:shd w:val="clear" w:color="auto" w:fill="auto"/>
            <w:noWrap/>
            <w:vAlign w:val="bottom"/>
            <w:hideMark/>
          </w:tcPr>
          <w:p w14:paraId="6E6618E6"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70 688</w:t>
            </w:r>
          </w:p>
        </w:tc>
        <w:tc>
          <w:tcPr>
            <w:tcW w:w="456" w:type="pct"/>
            <w:tcBorders>
              <w:top w:val="nil"/>
              <w:left w:val="nil"/>
              <w:bottom w:val="nil"/>
              <w:right w:val="nil"/>
            </w:tcBorders>
            <w:shd w:val="clear" w:color="auto" w:fill="auto"/>
            <w:noWrap/>
            <w:vAlign w:val="bottom"/>
            <w:hideMark/>
          </w:tcPr>
          <w:p w14:paraId="5DD62D82"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155 969</w:t>
            </w:r>
          </w:p>
        </w:tc>
        <w:tc>
          <w:tcPr>
            <w:tcW w:w="456" w:type="pct"/>
            <w:tcBorders>
              <w:top w:val="nil"/>
              <w:left w:val="nil"/>
              <w:bottom w:val="nil"/>
              <w:right w:val="nil"/>
            </w:tcBorders>
            <w:shd w:val="clear" w:color="auto" w:fill="auto"/>
            <w:noWrap/>
            <w:vAlign w:val="bottom"/>
            <w:hideMark/>
          </w:tcPr>
          <w:p w14:paraId="7C9CBB1A"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233 072</w:t>
            </w:r>
          </w:p>
        </w:tc>
      </w:tr>
      <w:tr w:rsidR="00DD531B" w:rsidRPr="00DD531B" w14:paraId="3E200455" w14:textId="77777777" w:rsidTr="001F24AE">
        <w:trPr>
          <w:trHeight w:val="300"/>
        </w:trPr>
        <w:tc>
          <w:tcPr>
            <w:tcW w:w="1843" w:type="pct"/>
            <w:tcBorders>
              <w:top w:val="nil"/>
              <w:left w:val="nil"/>
              <w:bottom w:val="nil"/>
              <w:right w:val="nil"/>
            </w:tcBorders>
            <w:shd w:val="clear" w:color="auto" w:fill="auto"/>
            <w:noWrap/>
            <w:vAlign w:val="bottom"/>
            <w:hideMark/>
          </w:tcPr>
          <w:p w14:paraId="00E6BE33"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bežné výdavky  600, v tom:</w:t>
            </w:r>
          </w:p>
        </w:tc>
        <w:tc>
          <w:tcPr>
            <w:tcW w:w="438" w:type="pct"/>
            <w:tcBorders>
              <w:top w:val="nil"/>
              <w:left w:val="nil"/>
              <w:bottom w:val="nil"/>
              <w:right w:val="nil"/>
            </w:tcBorders>
            <w:shd w:val="clear" w:color="auto" w:fill="auto"/>
            <w:noWrap/>
            <w:vAlign w:val="bottom"/>
            <w:hideMark/>
          </w:tcPr>
          <w:p w14:paraId="2F1B6D37"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33 147</w:t>
            </w:r>
          </w:p>
        </w:tc>
        <w:tc>
          <w:tcPr>
            <w:tcW w:w="438" w:type="pct"/>
            <w:tcBorders>
              <w:top w:val="nil"/>
              <w:left w:val="nil"/>
              <w:bottom w:val="nil"/>
              <w:right w:val="nil"/>
            </w:tcBorders>
            <w:shd w:val="clear" w:color="auto" w:fill="auto"/>
            <w:noWrap/>
            <w:vAlign w:val="bottom"/>
            <w:hideMark/>
          </w:tcPr>
          <w:p w14:paraId="4A39A3C8"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35 651</w:t>
            </w:r>
          </w:p>
        </w:tc>
        <w:tc>
          <w:tcPr>
            <w:tcW w:w="456" w:type="pct"/>
            <w:tcBorders>
              <w:top w:val="nil"/>
              <w:left w:val="nil"/>
              <w:bottom w:val="nil"/>
              <w:right w:val="nil"/>
            </w:tcBorders>
            <w:shd w:val="clear" w:color="auto" w:fill="auto"/>
            <w:noWrap/>
            <w:vAlign w:val="bottom"/>
            <w:hideMark/>
          </w:tcPr>
          <w:p w14:paraId="204D1BF8"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36 697</w:t>
            </w:r>
          </w:p>
        </w:tc>
        <w:tc>
          <w:tcPr>
            <w:tcW w:w="456" w:type="pct"/>
            <w:tcBorders>
              <w:top w:val="nil"/>
              <w:left w:val="nil"/>
              <w:bottom w:val="nil"/>
              <w:right w:val="nil"/>
            </w:tcBorders>
            <w:shd w:val="clear" w:color="auto" w:fill="auto"/>
            <w:noWrap/>
            <w:vAlign w:val="bottom"/>
            <w:hideMark/>
          </w:tcPr>
          <w:p w14:paraId="4936AEE4"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43 186</w:t>
            </w:r>
          </w:p>
        </w:tc>
        <w:tc>
          <w:tcPr>
            <w:tcW w:w="456" w:type="pct"/>
            <w:tcBorders>
              <w:top w:val="nil"/>
              <w:left w:val="nil"/>
              <w:bottom w:val="nil"/>
              <w:right w:val="nil"/>
            </w:tcBorders>
            <w:shd w:val="clear" w:color="auto" w:fill="auto"/>
            <w:noWrap/>
            <w:vAlign w:val="bottom"/>
            <w:hideMark/>
          </w:tcPr>
          <w:p w14:paraId="51E04AB3"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67 096</w:t>
            </w:r>
          </w:p>
        </w:tc>
        <w:tc>
          <w:tcPr>
            <w:tcW w:w="456" w:type="pct"/>
            <w:tcBorders>
              <w:top w:val="nil"/>
              <w:left w:val="nil"/>
              <w:bottom w:val="nil"/>
              <w:right w:val="nil"/>
            </w:tcBorders>
            <w:shd w:val="clear" w:color="auto" w:fill="auto"/>
            <w:noWrap/>
            <w:vAlign w:val="bottom"/>
            <w:hideMark/>
          </w:tcPr>
          <w:p w14:paraId="249EA81F"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112 688</w:t>
            </w:r>
          </w:p>
        </w:tc>
        <w:tc>
          <w:tcPr>
            <w:tcW w:w="456" w:type="pct"/>
            <w:tcBorders>
              <w:top w:val="nil"/>
              <w:left w:val="nil"/>
              <w:bottom w:val="nil"/>
              <w:right w:val="nil"/>
            </w:tcBorders>
            <w:shd w:val="clear" w:color="auto" w:fill="auto"/>
            <w:noWrap/>
            <w:vAlign w:val="bottom"/>
            <w:hideMark/>
          </w:tcPr>
          <w:p w14:paraId="75A460BC"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154 762</w:t>
            </w:r>
          </w:p>
        </w:tc>
      </w:tr>
      <w:tr w:rsidR="00DD531B" w:rsidRPr="00DD531B" w14:paraId="57008B21" w14:textId="77777777" w:rsidTr="001F24AE">
        <w:trPr>
          <w:trHeight w:val="300"/>
        </w:trPr>
        <w:tc>
          <w:tcPr>
            <w:tcW w:w="1843" w:type="pct"/>
            <w:tcBorders>
              <w:top w:val="nil"/>
              <w:left w:val="nil"/>
              <w:bottom w:val="nil"/>
              <w:right w:val="nil"/>
            </w:tcBorders>
            <w:shd w:val="clear" w:color="auto" w:fill="auto"/>
            <w:noWrap/>
            <w:vAlign w:val="bottom"/>
            <w:hideMark/>
          </w:tcPr>
          <w:p w14:paraId="6D530A6A"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610 mzdy</w:t>
            </w:r>
          </w:p>
        </w:tc>
        <w:tc>
          <w:tcPr>
            <w:tcW w:w="438" w:type="pct"/>
            <w:tcBorders>
              <w:top w:val="nil"/>
              <w:left w:val="nil"/>
              <w:bottom w:val="nil"/>
              <w:right w:val="nil"/>
            </w:tcBorders>
            <w:shd w:val="clear" w:color="auto" w:fill="auto"/>
            <w:noWrap/>
            <w:vAlign w:val="bottom"/>
            <w:hideMark/>
          </w:tcPr>
          <w:p w14:paraId="25C38709"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13 113</w:t>
            </w:r>
          </w:p>
        </w:tc>
        <w:tc>
          <w:tcPr>
            <w:tcW w:w="438" w:type="pct"/>
            <w:tcBorders>
              <w:top w:val="nil"/>
              <w:left w:val="nil"/>
              <w:bottom w:val="nil"/>
              <w:right w:val="nil"/>
            </w:tcBorders>
            <w:shd w:val="clear" w:color="auto" w:fill="auto"/>
            <w:noWrap/>
            <w:vAlign w:val="bottom"/>
            <w:hideMark/>
          </w:tcPr>
          <w:p w14:paraId="592027EE"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14 078</w:t>
            </w:r>
          </w:p>
        </w:tc>
        <w:tc>
          <w:tcPr>
            <w:tcW w:w="456" w:type="pct"/>
            <w:tcBorders>
              <w:top w:val="nil"/>
              <w:left w:val="nil"/>
              <w:bottom w:val="nil"/>
              <w:right w:val="nil"/>
            </w:tcBorders>
            <w:shd w:val="clear" w:color="auto" w:fill="auto"/>
            <w:noWrap/>
            <w:vAlign w:val="bottom"/>
            <w:hideMark/>
          </w:tcPr>
          <w:p w14:paraId="41A8B020"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15 940</w:t>
            </w:r>
          </w:p>
        </w:tc>
        <w:tc>
          <w:tcPr>
            <w:tcW w:w="456" w:type="pct"/>
            <w:tcBorders>
              <w:top w:val="nil"/>
              <w:left w:val="nil"/>
              <w:bottom w:val="nil"/>
              <w:right w:val="nil"/>
            </w:tcBorders>
            <w:shd w:val="clear" w:color="auto" w:fill="auto"/>
            <w:noWrap/>
            <w:vAlign w:val="bottom"/>
            <w:hideMark/>
          </w:tcPr>
          <w:p w14:paraId="7F798D38"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17 437</w:t>
            </w:r>
          </w:p>
        </w:tc>
        <w:tc>
          <w:tcPr>
            <w:tcW w:w="456" w:type="pct"/>
            <w:tcBorders>
              <w:top w:val="nil"/>
              <w:left w:val="nil"/>
              <w:bottom w:val="nil"/>
              <w:right w:val="nil"/>
            </w:tcBorders>
            <w:shd w:val="clear" w:color="auto" w:fill="auto"/>
            <w:noWrap/>
            <w:vAlign w:val="bottom"/>
            <w:hideMark/>
          </w:tcPr>
          <w:p w14:paraId="752B9620"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20 132</w:t>
            </w:r>
          </w:p>
        </w:tc>
        <w:tc>
          <w:tcPr>
            <w:tcW w:w="456" w:type="pct"/>
            <w:tcBorders>
              <w:top w:val="nil"/>
              <w:left w:val="nil"/>
              <w:bottom w:val="nil"/>
              <w:right w:val="nil"/>
            </w:tcBorders>
            <w:shd w:val="clear" w:color="auto" w:fill="auto"/>
            <w:noWrap/>
            <w:vAlign w:val="bottom"/>
            <w:hideMark/>
          </w:tcPr>
          <w:p w14:paraId="242B4256"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21 065</w:t>
            </w:r>
          </w:p>
        </w:tc>
        <w:tc>
          <w:tcPr>
            <w:tcW w:w="456" w:type="pct"/>
            <w:tcBorders>
              <w:top w:val="nil"/>
              <w:left w:val="nil"/>
              <w:bottom w:val="nil"/>
              <w:right w:val="nil"/>
            </w:tcBorders>
            <w:shd w:val="clear" w:color="auto" w:fill="auto"/>
            <w:noWrap/>
            <w:vAlign w:val="bottom"/>
            <w:hideMark/>
          </w:tcPr>
          <w:p w14:paraId="2A9CA8B2"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22 064</w:t>
            </w:r>
          </w:p>
        </w:tc>
      </w:tr>
      <w:tr w:rsidR="00DD531B" w:rsidRPr="00DD531B" w14:paraId="69A89045" w14:textId="77777777" w:rsidTr="001F24AE">
        <w:trPr>
          <w:trHeight w:val="300"/>
        </w:trPr>
        <w:tc>
          <w:tcPr>
            <w:tcW w:w="1843" w:type="pct"/>
            <w:tcBorders>
              <w:top w:val="nil"/>
              <w:left w:val="nil"/>
              <w:bottom w:val="nil"/>
              <w:right w:val="nil"/>
            </w:tcBorders>
            <w:shd w:val="clear" w:color="auto" w:fill="auto"/>
            <w:noWrap/>
            <w:vAlign w:val="bottom"/>
            <w:hideMark/>
          </w:tcPr>
          <w:p w14:paraId="4AE6625B"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620 odvody</w:t>
            </w:r>
          </w:p>
        </w:tc>
        <w:tc>
          <w:tcPr>
            <w:tcW w:w="438" w:type="pct"/>
            <w:tcBorders>
              <w:top w:val="nil"/>
              <w:left w:val="nil"/>
              <w:bottom w:val="nil"/>
              <w:right w:val="nil"/>
            </w:tcBorders>
            <w:shd w:val="clear" w:color="auto" w:fill="auto"/>
            <w:noWrap/>
            <w:vAlign w:val="bottom"/>
            <w:hideMark/>
          </w:tcPr>
          <w:p w14:paraId="03581015"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5 283</w:t>
            </w:r>
          </w:p>
        </w:tc>
        <w:tc>
          <w:tcPr>
            <w:tcW w:w="438" w:type="pct"/>
            <w:tcBorders>
              <w:top w:val="nil"/>
              <w:left w:val="nil"/>
              <w:bottom w:val="nil"/>
              <w:right w:val="nil"/>
            </w:tcBorders>
            <w:shd w:val="clear" w:color="auto" w:fill="auto"/>
            <w:noWrap/>
            <w:vAlign w:val="bottom"/>
            <w:hideMark/>
          </w:tcPr>
          <w:p w14:paraId="646DB2FE"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5 816</w:t>
            </w:r>
          </w:p>
        </w:tc>
        <w:tc>
          <w:tcPr>
            <w:tcW w:w="456" w:type="pct"/>
            <w:tcBorders>
              <w:top w:val="nil"/>
              <w:left w:val="nil"/>
              <w:bottom w:val="nil"/>
              <w:right w:val="nil"/>
            </w:tcBorders>
            <w:shd w:val="clear" w:color="auto" w:fill="auto"/>
            <w:noWrap/>
            <w:vAlign w:val="bottom"/>
            <w:hideMark/>
          </w:tcPr>
          <w:p w14:paraId="5F78B168"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5 584</w:t>
            </w:r>
          </w:p>
        </w:tc>
        <w:tc>
          <w:tcPr>
            <w:tcW w:w="456" w:type="pct"/>
            <w:tcBorders>
              <w:top w:val="nil"/>
              <w:left w:val="nil"/>
              <w:bottom w:val="nil"/>
              <w:right w:val="nil"/>
            </w:tcBorders>
            <w:shd w:val="clear" w:color="auto" w:fill="auto"/>
            <w:noWrap/>
            <w:vAlign w:val="bottom"/>
            <w:hideMark/>
          </w:tcPr>
          <w:p w14:paraId="343ADBA4"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6 374</w:t>
            </w:r>
          </w:p>
        </w:tc>
        <w:tc>
          <w:tcPr>
            <w:tcW w:w="456" w:type="pct"/>
            <w:tcBorders>
              <w:top w:val="nil"/>
              <w:left w:val="nil"/>
              <w:bottom w:val="nil"/>
              <w:right w:val="nil"/>
            </w:tcBorders>
            <w:shd w:val="clear" w:color="auto" w:fill="auto"/>
            <w:noWrap/>
            <w:vAlign w:val="bottom"/>
            <w:hideMark/>
          </w:tcPr>
          <w:p w14:paraId="5108FBE4"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7 039</w:t>
            </w:r>
          </w:p>
        </w:tc>
        <w:tc>
          <w:tcPr>
            <w:tcW w:w="456" w:type="pct"/>
            <w:tcBorders>
              <w:top w:val="nil"/>
              <w:left w:val="nil"/>
              <w:bottom w:val="nil"/>
              <w:right w:val="nil"/>
            </w:tcBorders>
            <w:shd w:val="clear" w:color="auto" w:fill="auto"/>
            <w:noWrap/>
            <w:vAlign w:val="bottom"/>
            <w:hideMark/>
          </w:tcPr>
          <w:p w14:paraId="60B44772"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7 365</w:t>
            </w:r>
          </w:p>
        </w:tc>
        <w:tc>
          <w:tcPr>
            <w:tcW w:w="456" w:type="pct"/>
            <w:tcBorders>
              <w:top w:val="nil"/>
              <w:left w:val="nil"/>
              <w:bottom w:val="nil"/>
              <w:right w:val="nil"/>
            </w:tcBorders>
            <w:shd w:val="clear" w:color="auto" w:fill="auto"/>
            <w:noWrap/>
            <w:vAlign w:val="bottom"/>
            <w:hideMark/>
          </w:tcPr>
          <w:p w14:paraId="7F25D6A6"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7 715</w:t>
            </w:r>
          </w:p>
        </w:tc>
      </w:tr>
      <w:tr w:rsidR="00DD531B" w:rsidRPr="00DD531B" w14:paraId="548449E6" w14:textId="77777777" w:rsidTr="001F24AE">
        <w:trPr>
          <w:trHeight w:val="300"/>
        </w:trPr>
        <w:tc>
          <w:tcPr>
            <w:tcW w:w="1843" w:type="pct"/>
            <w:tcBorders>
              <w:top w:val="nil"/>
              <w:left w:val="nil"/>
              <w:bottom w:val="nil"/>
              <w:right w:val="nil"/>
            </w:tcBorders>
            <w:shd w:val="clear" w:color="auto" w:fill="auto"/>
            <w:noWrap/>
            <w:vAlign w:val="bottom"/>
            <w:hideMark/>
          </w:tcPr>
          <w:p w14:paraId="02B38B8D"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630 tovary a služby</w:t>
            </w:r>
          </w:p>
        </w:tc>
        <w:tc>
          <w:tcPr>
            <w:tcW w:w="438" w:type="pct"/>
            <w:tcBorders>
              <w:top w:val="nil"/>
              <w:left w:val="nil"/>
              <w:bottom w:val="nil"/>
              <w:right w:val="nil"/>
            </w:tcBorders>
            <w:shd w:val="clear" w:color="auto" w:fill="auto"/>
            <w:noWrap/>
            <w:vAlign w:val="bottom"/>
            <w:hideMark/>
          </w:tcPr>
          <w:p w14:paraId="3CFD4397"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10 992</w:t>
            </w:r>
          </w:p>
        </w:tc>
        <w:tc>
          <w:tcPr>
            <w:tcW w:w="438" w:type="pct"/>
            <w:tcBorders>
              <w:top w:val="nil"/>
              <w:left w:val="nil"/>
              <w:bottom w:val="nil"/>
              <w:right w:val="nil"/>
            </w:tcBorders>
            <w:shd w:val="clear" w:color="auto" w:fill="auto"/>
            <w:noWrap/>
            <w:vAlign w:val="bottom"/>
            <w:hideMark/>
          </w:tcPr>
          <w:p w14:paraId="5B16C781"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13 363</w:t>
            </w:r>
          </w:p>
        </w:tc>
        <w:tc>
          <w:tcPr>
            <w:tcW w:w="456" w:type="pct"/>
            <w:tcBorders>
              <w:top w:val="nil"/>
              <w:left w:val="nil"/>
              <w:bottom w:val="nil"/>
              <w:right w:val="nil"/>
            </w:tcBorders>
            <w:shd w:val="clear" w:color="auto" w:fill="auto"/>
            <w:noWrap/>
            <w:vAlign w:val="bottom"/>
            <w:hideMark/>
          </w:tcPr>
          <w:p w14:paraId="13F093EE"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12 507</w:t>
            </w:r>
          </w:p>
        </w:tc>
        <w:tc>
          <w:tcPr>
            <w:tcW w:w="456" w:type="pct"/>
            <w:tcBorders>
              <w:top w:val="nil"/>
              <w:left w:val="nil"/>
              <w:bottom w:val="nil"/>
              <w:right w:val="nil"/>
            </w:tcBorders>
            <w:shd w:val="clear" w:color="auto" w:fill="auto"/>
            <w:noWrap/>
            <w:vAlign w:val="bottom"/>
            <w:hideMark/>
          </w:tcPr>
          <w:p w14:paraId="0F67D2CD"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15 012</w:t>
            </w:r>
          </w:p>
        </w:tc>
        <w:tc>
          <w:tcPr>
            <w:tcW w:w="456" w:type="pct"/>
            <w:tcBorders>
              <w:top w:val="nil"/>
              <w:left w:val="nil"/>
              <w:bottom w:val="nil"/>
              <w:right w:val="nil"/>
            </w:tcBorders>
            <w:shd w:val="clear" w:color="auto" w:fill="auto"/>
            <w:noWrap/>
            <w:vAlign w:val="bottom"/>
            <w:hideMark/>
          </w:tcPr>
          <w:p w14:paraId="1D0EC4F0"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13 413</w:t>
            </w:r>
          </w:p>
        </w:tc>
        <w:tc>
          <w:tcPr>
            <w:tcW w:w="456" w:type="pct"/>
            <w:tcBorders>
              <w:top w:val="nil"/>
              <w:left w:val="nil"/>
              <w:bottom w:val="nil"/>
              <w:right w:val="nil"/>
            </w:tcBorders>
            <w:shd w:val="clear" w:color="auto" w:fill="auto"/>
            <w:noWrap/>
            <w:vAlign w:val="bottom"/>
            <w:hideMark/>
          </w:tcPr>
          <w:p w14:paraId="5AA5E315"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13 686</w:t>
            </w:r>
          </w:p>
        </w:tc>
        <w:tc>
          <w:tcPr>
            <w:tcW w:w="456" w:type="pct"/>
            <w:tcBorders>
              <w:top w:val="nil"/>
              <w:left w:val="nil"/>
              <w:bottom w:val="nil"/>
              <w:right w:val="nil"/>
            </w:tcBorders>
            <w:shd w:val="clear" w:color="auto" w:fill="auto"/>
            <w:noWrap/>
            <w:vAlign w:val="bottom"/>
            <w:hideMark/>
          </w:tcPr>
          <w:p w14:paraId="290589CD"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13 963</w:t>
            </w:r>
          </w:p>
        </w:tc>
      </w:tr>
      <w:tr w:rsidR="00DD531B" w:rsidRPr="00DD531B" w14:paraId="3EE440DB" w14:textId="77777777" w:rsidTr="001F24AE">
        <w:trPr>
          <w:trHeight w:val="300"/>
        </w:trPr>
        <w:tc>
          <w:tcPr>
            <w:tcW w:w="1843" w:type="pct"/>
            <w:tcBorders>
              <w:top w:val="nil"/>
              <w:left w:val="nil"/>
              <w:bottom w:val="nil"/>
              <w:right w:val="nil"/>
            </w:tcBorders>
            <w:shd w:val="clear" w:color="auto" w:fill="auto"/>
            <w:noWrap/>
            <w:vAlign w:val="bottom"/>
            <w:hideMark/>
          </w:tcPr>
          <w:p w14:paraId="7213E0E2"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640 bežné transfery</w:t>
            </w:r>
          </w:p>
        </w:tc>
        <w:tc>
          <w:tcPr>
            <w:tcW w:w="438" w:type="pct"/>
            <w:tcBorders>
              <w:top w:val="nil"/>
              <w:left w:val="nil"/>
              <w:bottom w:val="nil"/>
              <w:right w:val="nil"/>
            </w:tcBorders>
            <w:shd w:val="clear" w:color="auto" w:fill="auto"/>
            <w:noWrap/>
            <w:vAlign w:val="bottom"/>
            <w:hideMark/>
          </w:tcPr>
          <w:p w14:paraId="7FA72041"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3 759</w:t>
            </w:r>
          </w:p>
        </w:tc>
        <w:tc>
          <w:tcPr>
            <w:tcW w:w="438" w:type="pct"/>
            <w:tcBorders>
              <w:top w:val="nil"/>
              <w:left w:val="nil"/>
              <w:bottom w:val="nil"/>
              <w:right w:val="nil"/>
            </w:tcBorders>
            <w:shd w:val="clear" w:color="auto" w:fill="auto"/>
            <w:noWrap/>
            <w:vAlign w:val="bottom"/>
            <w:hideMark/>
          </w:tcPr>
          <w:p w14:paraId="498D5C04"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2 394</w:t>
            </w:r>
          </w:p>
        </w:tc>
        <w:tc>
          <w:tcPr>
            <w:tcW w:w="456" w:type="pct"/>
            <w:tcBorders>
              <w:top w:val="nil"/>
              <w:left w:val="nil"/>
              <w:bottom w:val="nil"/>
              <w:right w:val="nil"/>
            </w:tcBorders>
            <w:shd w:val="clear" w:color="auto" w:fill="auto"/>
            <w:noWrap/>
            <w:vAlign w:val="bottom"/>
            <w:hideMark/>
          </w:tcPr>
          <w:p w14:paraId="4F0FEFC7"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2 666</w:t>
            </w:r>
          </w:p>
        </w:tc>
        <w:tc>
          <w:tcPr>
            <w:tcW w:w="456" w:type="pct"/>
            <w:tcBorders>
              <w:top w:val="nil"/>
              <w:left w:val="nil"/>
              <w:bottom w:val="nil"/>
              <w:right w:val="nil"/>
            </w:tcBorders>
            <w:shd w:val="clear" w:color="auto" w:fill="auto"/>
            <w:noWrap/>
            <w:vAlign w:val="bottom"/>
            <w:hideMark/>
          </w:tcPr>
          <w:p w14:paraId="316E7578"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4 363</w:t>
            </w:r>
          </w:p>
        </w:tc>
        <w:tc>
          <w:tcPr>
            <w:tcW w:w="456" w:type="pct"/>
            <w:tcBorders>
              <w:top w:val="nil"/>
              <w:left w:val="nil"/>
              <w:bottom w:val="nil"/>
              <w:right w:val="nil"/>
            </w:tcBorders>
            <w:shd w:val="clear" w:color="auto" w:fill="auto"/>
            <w:noWrap/>
            <w:vAlign w:val="bottom"/>
            <w:hideMark/>
          </w:tcPr>
          <w:p w14:paraId="759D3DB4"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26 512</w:t>
            </w:r>
          </w:p>
        </w:tc>
        <w:tc>
          <w:tcPr>
            <w:tcW w:w="456" w:type="pct"/>
            <w:tcBorders>
              <w:top w:val="nil"/>
              <w:left w:val="nil"/>
              <w:bottom w:val="nil"/>
              <w:right w:val="nil"/>
            </w:tcBorders>
            <w:shd w:val="clear" w:color="auto" w:fill="auto"/>
            <w:noWrap/>
            <w:vAlign w:val="bottom"/>
            <w:hideMark/>
          </w:tcPr>
          <w:p w14:paraId="2C551CAD"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70 572</w:t>
            </w:r>
          </w:p>
        </w:tc>
        <w:tc>
          <w:tcPr>
            <w:tcW w:w="456" w:type="pct"/>
            <w:tcBorders>
              <w:top w:val="nil"/>
              <w:left w:val="nil"/>
              <w:bottom w:val="nil"/>
              <w:right w:val="nil"/>
            </w:tcBorders>
            <w:shd w:val="clear" w:color="auto" w:fill="auto"/>
            <w:noWrap/>
            <w:vAlign w:val="bottom"/>
            <w:hideMark/>
          </w:tcPr>
          <w:p w14:paraId="5839DD1B"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111 020</w:t>
            </w:r>
          </w:p>
        </w:tc>
      </w:tr>
      <w:tr w:rsidR="00DD531B" w:rsidRPr="00DD531B" w14:paraId="5C80C341" w14:textId="77777777" w:rsidTr="001F24AE">
        <w:trPr>
          <w:trHeight w:val="300"/>
        </w:trPr>
        <w:tc>
          <w:tcPr>
            <w:tcW w:w="1843" w:type="pct"/>
            <w:tcBorders>
              <w:top w:val="nil"/>
              <w:left w:val="nil"/>
              <w:bottom w:val="nil"/>
              <w:right w:val="nil"/>
            </w:tcBorders>
            <w:shd w:val="clear" w:color="auto" w:fill="auto"/>
            <w:noWrap/>
            <w:vAlign w:val="bottom"/>
            <w:hideMark/>
          </w:tcPr>
          <w:p w14:paraId="5598E88D"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kapitálové výdavky 700</w:t>
            </w:r>
          </w:p>
        </w:tc>
        <w:tc>
          <w:tcPr>
            <w:tcW w:w="438" w:type="pct"/>
            <w:tcBorders>
              <w:top w:val="nil"/>
              <w:left w:val="nil"/>
              <w:bottom w:val="nil"/>
              <w:right w:val="nil"/>
            </w:tcBorders>
            <w:shd w:val="clear" w:color="auto" w:fill="auto"/>
            <w:noWrap/>
            <w:vAlign w:val="bottom"/>
            <w:hideMark/>
          </w:tcPr>
          <w:p w14:paraId="661E3EA4"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232</w:t>
            </w:r>
          </w:p>
        </w:tc>
        <w:tc>
          <w:tcPr>
            <w:tcW w:w="438" w:type="pct"/>
            <w:tcBorders>
              <w:top w:val="nil"/>
              <w:left w:val="nil"/>
              <w:bottom w:val="nil"/>
              <w:right w:val="nil"/>
            </w:tcBorders>
            <w:shd w:val="clear" w:color="auto" w:fill="auto"/>
            <w:noWrap/>
            <w:vAlign w:val="bottom"/>
            <w:hideMark/>
          </w:tcPr>
          <w:p w14:paraId="3155F61E"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131</w:t>
            </w:r>
          </w:p>
        </w:tc>
        <w:tc>
          <w:tcPr>
            <w:tcW w:w="456" w:type="pct"/>
            <w:tcBorders>
              <w:top w:val="nil"/>
              <w:left w:val="nil"/>
              <w:bottom w:val="nil"/>
              <w:right w:val="nil"/>
            </w:tcBorders>
            <w:shd w:val="clear" w:color="auto" w:fill="auto"/>
            <w:noWrap/>
            <w:vAlign w:val="bottom"/>
            <w:hideMark/>
          </w:tcPr>
          <w:p w14:paraId="49CF9CE3"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5 473</w:t>
            </w:r>
          </w:p>
        </w:tc>
        <w:tc>
          <w:tcPr>
            <w:tcW w:w="456" w:type="pct"/>
            <w:tcBorders>
              <w:top w:val="nil"/>
              <w:left w:val="nil"/>
              <w:bottom w:val="nil"/>
              <w:right w:val="nil"/>
            </w:tcBorders>
            <w:shd w:val="clear" w:color="auto" w:fill="auto"/>
            <w:noWrap/>
            <w:vAlign w:val="bottom"/>
            <w:hideMark/>
          </w:tcPr>
          <w:p w14:paraId="3CC28EF3"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6 605</w:t>
            </w:r>
          </w:p>
        </w:tc>
        <w:tc>
          <w:tcPr>
            <w:tcW w:w="456" w:type="pct"/>
            <w:tcBorders>
              <w:top w:val="nil"/>
              <w:left w:val="nil"/>
              <w:bottom w:val="nil"/>
              <w:right w:val="nil"/>
            </w:tcBorders>
            <w:shd w:val="clear" w:color="auto" w:fill="auto"/>
            <w:noWrap/>
            <w:vAlign w:val="bottom"/>
            <w:hideMark/>
          </w:tcPr>
          <w:p w14:paraId="0EF2DBFE"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3 592</w:t>
            </w:r>
          </w:p>
        </w:tc>
        <w:tc>
          <w:tcPr>
            <w:tcW w:w="456" w:type="pct"/>
            <w:tcBorders>
              <w:top w:val="nil"/>
              <w:left w:val="nil"/>
              <w:bottom w:val="nil"/>
              <w:right w:val="nil"/>
            </w:tcBorders>
            <w:shd w:val="clear" w:color="auto" w:fill="auto"/>
            <w:noWrap/>
            <w:vAlign w:val="bottom"/>
            <w:hideMark/>
          </w:tcPr>
          <w:p w14:paraId="15EE5F57"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43 281</w:t>
            </w:r>
          </w:p>
        </w:tc>
        <w:tc>
          <w:tcPr>
            <w:tcW w:w="456" w:type="pct"/>
            <w:tcBorders>
              <w:top w:val="nil"/>
              <w:left w:val="nil"/>
              <w:bottom w:val="nil"/>
              <w:right w:val="nil"/>
            </w:tcBorders>
            <w:shd w:val="clear" w:color="auto" w:fill="auto"/>
            <w:noWrap/>
            <w:vAlign w:val="bottom"/>
            <w:hideMark/>
          </w:tcPr>
          <w:p w14:paraId="74CC4BB1"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78 310</w:t>
            </w:r>
          </w:p>
        </w:tc>
      </w:tr>
      <w:tr w:rsidR="00DD531B" w:rsidRPr="00DD531B" w14:paraId="518F8F1B" w14:textId="77777777" w:rsidTr="001F24AE">
        <w:trPr>
          <w:trHeight w:val="300"/>
        </w:trPr>
        <w:tc>
          <w:tcPr>
            <w:tcW w:w="1843" w:type="pct"/>
            <w:tcBorders>
              <w:top w:val="nil"/>
              <w:left w:val="nil"/>
              <w:bottom w:val="nil"/>
              <w:right w:val="nil"/>
            </w:tcBorders>
            <w:shd w:val="clear" w:color="auto" w:fill="auto"/>
            <w:noWrap/>
            <w:vAlign w:val="bottom"/>
            <w:hideMark/>
          </w:tcPr>
          <w:p w14:paraId="52CF7B7D" w14:textId="77777777" w:rsidR="00DD531B" w:rsidRPr="00B4559D" w:rsidRDefault="00DD531B" w:rsidP="00DD531B">
            <w:pPr>
              <w:spacing w:after="0" w:line="240" w:lineRule="auto"/>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zdroj EÚ vrátane spolufinancovania zo ŠR, v tom:</w:t>
            </w:r>
          </w:p>
        </w:tc>
        <w:tc>
          <w:tcPr>
            <w:tcW w:w="438" w:type="pct"/>
            <w:tcBorders>
              <w:top w:val="nil"/>
              <w:left w:val="nil"/>
              <w:bottom w:val="nil"/>
              <w:right w:val="nil"/>
            </w:tcBorders>
            <w:shd w:val="clear" w:color="auto" w:fill="auto"/>
            <w:noWrap/>
            <w:vAlign w:val="bottom"/>
            <w:hideMark/>
          </w:tcPr>
          <w:p w14:paraId="7CC1534E"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11 898</w:t>
            </w:r>
          </w:p>
        </w:tc>
        <w:tc>
          <w:tcPr>
            <w:tcW w:w="438" w:type="pct"/>
            <w:tcBorders>
              <w:top w:val="nil"/>
              <w:left w:val="nil"/>
              <w:bottom w:val="nil"/>
              <w:right w:val="nil"/>
            </w:tcBorders>
            <w:shd w:val="clear" w:color="auto" w:fill="auto"/>
            <w:noWrap/>
            <w:vAlign w:val="bottom"/>
            <w:hideMark/>
          </w:tcPr>
          <w:p w14:paraId="1FA5E2EE"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11 178</w:t>
            </w:r>
          </w:p>
        </w:tc>
        <w:tc>
          <w:tcPr>
            <w:tcW w:w="456" w:type="pct"/>
            <w:tcBorders>
              <w:top w:val="nil"/>
              <w:left w:val="nil"/>
              <w:bottom w:val="nil"/>
              <w:right w:val="nil"/>
            </w:tcBorders>
            <w:shd w:val="clear" w:color="auto" w:fill="auto"/>
            <w:noWrap/>
            <w:vAlign w:val="bottom"/>
            <w:hideMark/>
          </w:tcPr>
          <w:p w14:paraId="39FF8739"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0</w:t>
            </w:r>
          </w:p>
        </w:tc>
        <w:tc>
          <w:tcPr>
            <w:tcW w:w="456" w:type="pct"/>
            <w:tcBorders>
              <w:top w:val="nil"/>
              <w:left w:val="nil"/>
              <w:bottom w:val="nil"/>
              <w:right w:val="nil"/>
            </w:tcBorders>
            <w:shd w:val="clear" w:color="auto" w:fill="auto"/>
            <w:noWrap/>
            <w:vAlign w:val="bottom"/>
            <w:hideMark/>
          </w:tcPr>
          <w:p w14:paraId="1AF3697B"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35 339</w:t>
            </w:r>
          </w:p>
        </w:tc>
        <w:tc>
          <w:tcPr>
            <w:tcW w:w="456" w:type="pct"/>
            <w:tcBorders>
              <w:top w:val="nil"/>
              <w:left w:val="nil"/>
              <w:bottom w:val="nil"/>
              <w:right w:val="nil"/>
            </w:tcBorders>
            <w:shd w:val="clear" w:color="auto" w:fill="auto"/>
            <w:noWrap/>
            <w:vAlign w:val="bottom"/>
            <w:hideMark/>
          </w:tcPr>
          <w:p w14:paraId="07224A03"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0</w:t>
            </w:r>
          </w:p>
        </w:tc>
        <w:tc>
          <w:tcPr>
            <w:tcW w:w="456" w:type="pct"/>
            <w:tcBorders>
              <w:top w:val="nil"/>
              <w:left w:val="nil"/>
              <w:bottom w:val="nil"/>
              <w:right w:val="nil"/>
            </w:tcBorders>
            <w:shd w:val="clear" w:color="auto" w:fill="auto"/>
            <w:noWrap/>
            <w:vAlign w:val="bottom"/>
            <w:hideMark/>
          </w:tcPr>
          <w:p w14:paraId="497DFCA7"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0</w:t>
            </w:r>
          </w:p>
        </w:tc>
        <w:tc>
          <w:tcPr>
            <w:tcW w:w="456" w:type="pct"/>
            <w:tcBorders>
              <w:top w:val="nil"/>
              <w:left w:val="nil"/>
              <w:bottom w:val="nil"/>
              <w:right w:val="nil"/>
            </w:tcBorders>
            <w:shd w:val="clear" w:color="auto" w:fill="auto"/>
            <w:noWrap/>
            <w:vAlign w:val="bottom"/>
            <w:hideMark/>
          </w:tcPr>
          <w:p w14:paraId="015268EA"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0</w:t>
            </w:r>
          </w:p>
        </w:tc>
      </w:tr>
      <w:tr w:rsidR="00DD531B" w:rsidRPr="00DD531B" w14:paraId="025EDB2D" w14:textId="77777777" w:rsidTr="001F24AE">
        <w:trPr>
          <w:trHeight w:val="300"/>
        </w:trPr>
        <w:tc>
          <w:tcPr>
            <w:tcW w:w="1843" w:type="pct"/>
            <w:tcBorders>
              <w:top w:val="nil"/>
              <w:left w:val="nil"/>
              <w:bottom w:val="nil"/>
              <w:right w:val="nil"/>
            </w:tcBorders>
            <w:shd w:val="clear" w:color="auto" w:fill="auto"/>
            <w:noWrap/>
            <w:vAlign w:val="bottom"/>
            <w:hideMark/>
          </w:tcPr>
          <w:p w14:paraId="0B71DE32"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prostriedky EÚ</w:t>
            </w:r>
          </w:p>
        </w:tc>
        <w:tc>
          <w:tcPr>
            <w:tcW w:w="438" w:type="pct"/>
            <w:tcBorders>
              <w:top w:val="nil"/>
              <w:left w:val="nil"/>
              <w:bottom w:val="nil"/>
              <w:right w:val="nil"/>
            </w:tcBorders>
            <w:shd w:val="clear" w:color="auto" w:fill="auto"/>
            <w:noWrap/>
            <w:vAlign w:val="bottom"/>
            <w:hideMark/>
          </w:tcPr>
          <w:p w14:paraId="2A65EBDF"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10 103</w:t>
            </w:r>
          </w:p>
        </w:tc>
        <w:tc>
          <w:tcPr>
            <w:tcW w:w="438" w:type="pct"/>
            <w:tcBorders>
              <w:top w:val="nil"/>
              <w:left w:val="nil"/>
              <w:bottom w:val="nil"/>
              <w:right w:val="nil"/>
            </w:tcBorders>
            <w:shd w:val="clear" w:color="auto" w:fill="auto"/>
            <w:noWrap/>
            <w:vAlign w:val="bottom"/>
            <w:hideMark/>
          </w:tcPr>
          <w:p w14:paraId="23169D56"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9 343</w:t>
            </w:r>
          </w:p>
        </w:tc>
        <w:tc>
          <w:tcPr>
            <w:tcW w:w="456" w:type="pct"/>
            <w:tcBorders>
              <w:top w:val="nil"/>
              <w:left w:val="nil"/>
              <w:bottom w:val="nil"/>
              <w:right w:val="nil"/>
            </w:tcBorders>
            <w:shd w:val="clear" w:color="auto" w:fill="auto"/>
            <w:noWrap/>
            <w:vAlign w:val="bottom"/>
            <w:hideMark/>
          </w:tcPr>
          <w:p w14:paraId="359E9F1F"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56" w:type="pct"/>
            <w:tcBorders>
              <w:top w:val="nil"/>
              <w:left w:val="nil"/>
              <w:bottom w:val="nil"/>
              <w:right w:val="nil"/>
            </w:tcBorders>
            <w:shd w:val="clear" w:color="auto" w:fill="auto"/>
            <w:noWrap/>
            <w:vAlign w:val="bottom"/>
            <w:hideMark/>
          </w:tcPr>
          <w:p w14:paraId="214B288D"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30 136</w:t>
            </w:r>
          </w:p>
        </w:tc>
        <w:tc>
          <w:tcPr>
            <w:tcW w:w="456" w:type="pct"/>
            <w:tcBorders>
              <w:top w:val="nil"/>
              <w:left w:val="nil"/>
              <w:bottom w:val="nil"/>
              <w:right w:val="nil"/>
            </w:tcBorders>
            <w:shd w:val="clear" w:color="auto" w:fill="auto"/>
            <w:noWrap/>
            <w:vAlign w:val="bottom"/>
            <w:hideMark/>
          </w:tcPr>
          <w:p w14:paraId="5B5F7D37"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56" w:type="pct"/>
            <w:tcBorders>
              <w:top w:val="nil"/>
              <w:left w:val="nil"/>
              <w:bottom w:val="nil"/>
              <w:right w:val="nil"/>
            </w:tcBorders>
            <w:shd w:val="clear" w:color="auto" w:fill="auto"/>
            <w:noWrap/>
            <w:vAlign w:val="bottom"/>
            <w:hideMark/>
          </w:tcPr>
          <w:p w14:paraId="79539892"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56" w:type="pct"/>
            <w:tcBorders>
              <w:top w:val="nil"/>
              <w:left w:val="nil"/>
              <w:bottom w:val="nil"/>
              <w:right w:val="nil"/>
            </w:tcBorders>
            <w:shd w:val="clear" w:color="auto" w:fill="auto"/>
            <w:noWrap/>
            <w:vAlign w:val="bottom"/>
            <w:hideMark/>
          </w:tcPr>
          <w:p w14:paraId="171100F8"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r>
      <w:tr w:rsidR="00DD531B" w:rsidRPr="00DD531B" w14:paraId="56D6D5BA" w14:textId="77777777" w:rsidTr="001F24AE">
        <w:trPr>
          <w:trHeight w:val="300"/>
        </w:trPr>
        <w:tc>
          <w:tcPr>
            <w:tcW w:w="1843" w:type="pct"/>
            <w:tcBorders>
              <w:top w:val="nil"/>
              <w:left w:val="nil"/>
              <w:bottom w:val="nil"/>
              <w:right w:val="nil"/>
            </w:tcBorders>
            <w:shd w:val="clear" w:color="auto" w:fill="auto"/>
            <w:noWrap/>
            <w:vAlign w:val="bottom"/>
            <w:hideMark/>
          </w:tcPr>
          <w:p w14:paraId="0C0AFFDA"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spolufinancovanie zo ŠR</w:t>
            </w:r>
          </w:p>
        </w:tc>
        <w:tc>
          <w:tcPr>
            <w:tcW w:w="438" w:type="pct"/>
            <w:tcBorders>
              <w:top w:val="nil"/>
              <w:left w:val="nil"/>
              <w:bottom w:val="nil"/>
              <w:right w:val="nil"/>
            </w:tcBorders>
            <w:shd w:val="clear" w:color="auto" w:fill="auto"/>
            <w:noWrap/>
            <w:vAlign w:val="bottom"/>
            <w:hideMark/>
          </w:tcPr>
          <w:p w14:paraId="1D061203"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1 795</w:t>
            </w:r>
          </w:p>
        </w:tc>
        <w:tc>
          <w:tcPr>
            <w:tcW w:w="438" w:type="pct"/>
            <w:tcBorders>
              <w:top w:val="nil"/>
              <w:left w:val="nil"/>
              <w:bottom w:val="nil"/>
              <w:right w:val="nil"/>
            </w:tcBorders>
            <w:shd w:val="clear" w:color="auto" w:fill="auto"/>
            <w:noWrap/>
            <w:vAlign w:val="bottom"/>
            <w:hideMark/>
          </w:tcPr>
          <w:p w14:paraId="0CEDAFF6"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1 835</w:t>
            </w:r>
          </w:p>
        </w:tc>
        <w:tc>
          <w:tcPr>
            <w:tcW w:w="456" w:type="pct"/>
            <w:tcBorders>
              <w:top w:val="nil"/>
              <w:left w:val="nil"/>
              <w:bottom w:val="nil"/>
              <w:right w:val="nil"/>
            </w:tcBorders>
            <w:shd w:val="clear" w:color="auto" w:fill="auto"/>
            <w:noWrap/>
            <w:vAlign w:val="bottom"/>
            <w:hideMark/>
          </w:tcPr>
          <w:p w14:paraId="15842169"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56" w:type="pct"/>
            <w:tcBorders>
              <w:top w:val="nil"/>
              <w:left w:val="nil"/>
              <w:bottom w:val="nil"/>
              <w:right w:val="nil"/>
            </w:tcBorders>
            <w:shd w:val="clear" w:color="auto" w:fill="auto"/>
            <w:noWrap/>
            <w:vAlign w:val="bottom"/>
            <w:hideMark/>
          </w:tcPr>
          <w:p w14:paraId="09027B59"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5 203</w:t>
            </w:r>
          </w:p>
        </w:tc>
        <w:tc>
          <w:tcPr>
            <w:tcW w:w="456" w:type="pct"/>
            <w:tcBorders>
              <w:top w:val="nil"/>
              <w:left w:val="nil"/>
              <w:bottom w:val="nil"/>
              <w:right w:val="nil"/>
            </w:tcBorders>
            <w:shd w:val="clear" w:color="auto" w:fill="auto"/>
            <w:noWrap/>
            <w:vAlign w:val="bottom"/>
            <w:hideMark/>
          </w:tcPr>
          <w:p w14:paraId="3F42B805"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56" w:type="pct"/>
            <w:tcBorders>
              <w:top w:val="nil"/>
              <w:left w:val="nil"/>
              <w:bottom w:val="nil"/>
              <w:right w:val="nil"/>
            </w:tcBorders>
            <w:shd w:val="clear" w:color="auto" w:fill="auto"/>
            <w:noWrap/>
            <w:vAlign w:val="bottom"/>
            <w:hideMark/>
          </w:tcPr>
          <w:p w14:paraId="7D9A803A"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56" w:type="pct"/>
            <w:tcBorders>
              <w:top w:val="nil"/>
              <w:left w:val="nil"/>
              <w:bottom w:val="nil"/>
              <w:right w:val="nil"/>
            </w:tcBorders>
            <w:shd w:val="clear" w:color="auto" w:fill="auto"/>
            <w:noWrap/>
            <w:vAlign w:val="bottom"/>
            <w:hideMark/>
          </w:tcPr>
          <w:p w14:paraId="2B362283"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r>
      <w:tr w:rsidR="00DD531B" w:rsidRPr="00DD531B" w14:paraId="7607E4A8" w14:textId="77777777" w:rsidTr="001F24AE">
        <w:trPr>
          <w:trHeight w:val="300"/>
        </w:trPr>
        <w:tc>
          <w:tcPr>
            <w:tcW w:w="1843" w:type="pct"/>
            <w:tcBorders>
              <w:top w:val="nil"/>
              <w:left w:val="nil"/>
              <w:bottom w:val="nil"/>
              <w:right w:val="nil"/>
            </w:tcBorders>
            <w:shd w:val="clear" w:color="auto" w:fill="auto"/>
            <w:noWrap/>
            <w:vAlign w:val="center"/>
            <w:hideMark/>
          </w:tcPr>
          <w:p w14:paraId="0AD22E1E" w14:textId="77777777" w:rsidR="00DD531B" w:rsidRPr="00B4559D" w:rsidRDefault="00DD531B" w:rsidP="00DD531B">
            <w:pPr>
              <w:spacing w:after="0" w:line="240" w:lineRule="auto"/>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zdroj Plán obnovy a odolnosti , v tom:</w:t>
            </w:r>
          </w:p>
        </w:tc>
        <w:tc>
          <w:tcPr>
            <w:tcW w:w="438" w:type="pct"/>
            <w:tcBorders>
              <w:top w:val="nil"/>
              <w:left w:val="nil"/>
              <w:bottom w:val="nil"/>
              <w:right w:val="nil"/>
            </w:tcBorders>
            <w:shd w:val="clear" w:color="auto" w:fill="auto"/>
            <w:noWrap/>
            <w:vAlign w:val="bottom"/>
            <w:hideMark/>
          </w:tcPr>
          <w:p w14:paraId="3C3FFDCE"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121</w:t>
            </w:r>
          </w:p>
        </w:tc>
        <w:tc>
          <w:tcPr>
            <w:tcW w:w="438" w:type="pct"/>
            <w:tcBorders>
              <w:top w:val="nil"/>
              <w:left w:val="nil"/>
              <w:bottom w:val="nil"/>
              <w:right w:val="nil"/>
            </w:tcBorders>
            <w:shd w:val="clear" w:color="auto" w:fill="auto"/>
            <w:noWrap/>
            <w:vAlign w:val="bottom"/>
            <w:hideMark/>
          </w:tcPr>
          <w:p w14:paraId="7DF8978E"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354</w:t>
            </w:r>
          </w:p>
        </w:tc>
        <w:tc>
          <w:tcPr>
            <w:tcW w:w="456" w:type="pct"/>
            <w:tcBorders>
              <w:top w:val="nil"/>
              <w:left w:val="nil"/>
              <w:bottom w:val="nil"/>
              <w:right w:val="nil"/>
            </w:tcBorders>
            <w:shd w:val="clear" w:color="auto" w:fill="auto"/>
            <w:noWrap/>
            <w:vAlign w:val="bottom"/>
            <w:hideMark/>
          </w:tcPr>
          <w:p w14:paraId="44DB2CFB"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151 043</w:t>
            </w:r>
          </w:p>
        </w:tc>
        <w:tc>
          <w:tcPr>
            <w:tcW w:w="456" w:type="pct"/>
            <w:tcBorders>
              <w:top w:val="nil"/>
              <w:left w:val="nil"/>
              <w:bottom w:val="nil"/>
              <w:right w:val="nil"/>
            </w:tcBorders>
            <w:shd w:val="clear" w:color="auto" w:fill="auto"/>
            <w:noWrap/>
            <w:vAlign w:val="bottom"/>
            <w:hideMark/>
          </w:tcPr>
          <w:p w14:paraId="27595F8B"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45 537</w:t>
            </w:r>
          </w:p>
        </w:tc>
        <w:tc>
          <w:tcPr>
            <w:tcW w:w="456" w:type="pct"/>
            <w:tcBorders>
              <w:top w:val="nil"/>
              <w:left w:val="nil"/>
              <w:bottom w:val="nil"/>
              <w:right w:val="nil"/>
            </w:tcBorders>
            <w:shd w:val="clear" w:color="auto" w:fill="auto"/>
            <w:noWrap/>
            <w:vAlign w:val="bottom"/>
            <w:hideMark/>
          </w:tcPr>
          <w:p w14:paraId="2AB3207A"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137 505</w:t>
            </w:r>
          </w:p>
        </w:tc>
        <w:tc>
          <w:tcPr>
            <w:tcW w:w="456" w:type="pct"/>
            <w:tcBorders>
              <w:top w:val="nil"/>
              <w:left w:val="nil"/>
              <w:bottom w:val="nil"/>
              <w:right w:val="nil"/>
            </w:tcBorders>
            <w:shd w:val="clear" w:color="auto" w:fill="auto"/>
            <w:noWrap/>
            <w:vAlign w:val="bottom"/>
            <w:hideMark/>
          </w:tcPr>
          <w:p w14:paraId="34F1BF03"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125 994</w:t>
            </w:r>
          </w:p>
        </w:tc>
        <w:tc>
          <w:tcPr>
            <w:tcW w:w="456" w:type="pct"/>
            <w:tcBorders>
              <w:top w:val="nil"/>
              <w:left w:val="nil"/>
              <w:bottom w:val="nil"/>
              <w:right w:val="nil"/>
            </w:tcBorders>
            <w:shd w:val="clear" w:color="auto" w:fill="auto"/>
            <w:noWrap/>
            <w:vAlign w:val="bottom"/>
            <w:hideMark/>
          </w:tcPr>
          <w:p w14:paraId="3939B600"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134 043</w:t>
            </w:r>
          </w:p>
        </w:tc>
      </w:tr>
      <w:tr w:rsidR="00DD531B" w:rsidRPr="00DD531B" w14:paraId="35E7085F" w14:textId="77777777" w:rsidTr="001F24AE">
        <w:trPr>
          <w:trHeight w:val="300"/>
        </w:trPr>
        <w:tc>
          <w:tcPr>
            <w:tcW w:w="1843" w:type="pct"/>
            <w:tcBorders>
              <w:top w:val="nil"/>
              <w:left w:val="nil"/>
              <w:bottom w:val="nil"/>
              <w:right w:val="nil"/>
            </w:tcBorders>
            <w:shd w:val="clear" w:color="auto" w:fill="auto"/>
            <w:noWrap/>
            <w:vAlign w:val="bottom"/>
            <w:hideMark/>
          </w:tcPr>
          <w:p w14:paraId="27DBE5E3"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prostriedky POO</w:t>
            </w:r>
          </w:p>
        </w:tc>
        <w:tc>
          <w:tcPr>
            <w:tcW w:w="438" w:type="pct"/>
            <w:tcBorders>
              <w:top w:val="nil"/>
              <w:left w:val="nil"/>
              <w:bottom w:val="nil"/>
              <w:right w:val="nil"/>
            </w:tcBorders>
            <w:shd w:val="clear" w:color="auto" w:fill="auto"/>
            <w:noWrap/>
            <w:vAlign w:val="bottom"/>
            <w:hideMark/>
          </w:tcPr>
          <w:p w14:paraId="3A0EFBD3" w14:textId="77777777" w:rsidR="00DD531B" w:rsidRPr="00B4559D"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121</w:t>
            </w:r>
          </w:p>
        </w:tc>
        <w:tc>
          <w:tcPr>
            <w:tcW w:w="438" w:type="pct"/>
            <w:tcBorders>
              <w:top w:val="nil"/>
              <w:left w:val="nil"/>
              <w:bottom w:val="nil"/>
              <w:right w:val="nil"/>
            </w:tcBorders>
            <w:shd w:val="clear" w:color="auto" w:fill="auto"/>
            <w:noWrap/>
            <w:vAlign w:val="bottom"/>
            <w:hideMark/>
          </w:tcPr>
          <w:p w14:paraId="6BDF96A1"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354</w:t>
            </w:r>
          </w:p>
        </w:tc>
        <w:tc>
          <w:tcPr>
            <w:tcW w:w="456" w:type="pct"/>
            <w:tcBorders>
              <w:top w:val="nil"/>
              <w:left w:val="nil"/>
              <w:bottom w:val="nil"/>
              <w:right w:val="nil"/>
            </w:tcBorders>
            <w:shd w:val="clear" w:color="auto" w:fill="auto"/>
            <w:noWrap/>
            <w:vAlign w:val="bottom"/>
            <w:hideMark/>
          </w:tcPr>
          <w:p w14:paraId="7BA29B8A"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126 904</w:t>
            </w:r>
          </w:p>
        </w:tc>
        <w:tc>
          <w:tcPr>
            <w:tcW w:w="456" w:type="pct"/>
            <w:tcBorders>
              <w:top w:val="nil"/>
              <w:left w:val="nil"/>
              <w:bottom w:val="nil"/>
              <w:right w:val="nil"/>
            </w:tcBorders>
            <w:shd w:val="clear" w:color="auto" w:fill="auto"/>
            <w:noWrap/>
            <w:vAlign w:val="bottom"/>
            <w:hideMark/>
          </w:tcPr>
          <w:p w14:paraId="2836037B"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36 742</w:t>
            </w:r>
          </w:p>
        </w:tc>
        <w:tc>
          <w:tcPr>
            <w:tcW w:w="456" w:type="pct"/>
            <w:tcBorders>
              <w:top w:val="nil"/>
              <w:left w:val="nil"/>
              <w:bottom w:val="nil"/>
              <w:right w:val="nil"/>
            </w:tcBorders>
            <w:shd w:val="clear" w:color="auto" w:fill="auto"/>
            <w:noWrap/>
            <w:vAlign w:val="bottom"/>
            <w:hideMark/>
          </w:tcPr>
          <w:p w14:paraId="3B305363"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116 275</w:t>
            </w:r>
          </w:p>
        </w:tc>
        <w:tc>
          <w:tcPr>
            <w:tcW w:w="456" w:type="pct"/>
            <w:tcBorders>
              <w:top w:val="nil"/>
              <w:left w:val="nil"/>
              <w:bottom w:val="nil"/>
              <w:right w:val="nil"/>
            </w:tcBorders>
            <w:shd w:val="clear" w:color="auto" w:fill="auto"/>
            <w:noWrap/>
            <w:vAlign w:val="bottom"/>
            <w:hideMark/>
          </w:tcPr>
          <w:p w14:paraId="47FBBE4D"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106 622</w:t>
            </w:r>
          </w:p>
        </w:tc>
        <w:tc>
          <w:tcPr>
            <w:tcW w:w="456" w:type="pct"/>
            <w:tcBorders>
              <w:top w:val="nil"/>
              <w:left w:val="nil"/>
              <w:bottom w:val="nil"/>
              <w:right w:val="nil"/>
            </w:tcBorders>
            <w:shd w:val="clear" w:color="auto" w:fill="auto"/>
            <w:noWrap/>
            <w:vAlign w:val="bottom"/>
            <w:hideMark/>
          </w:tcPr>
          <w:p w14:paraId="1FC078CD"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113 223</w:t>
            </w:r>
          </w:p>
        </w:tc>
      </w:tr>
      <w:tr w:rsidR="00DD531B" w:rsidRPr="00DD531B" w14:paraId="2A9CAA61" w14:textId="77777777" w:rsidTr="001F24AE">
        <w:trPr>
          <w:trHeight w:val="300"/>
        </w:trPr>
        <w:tc>
          <w:tcPr>
            <w:tcW w:w="1843" w:type="pct"/>
            <w:tcBorders>
              <w:top w:val="nil"/>
              <w:left w:val="nil"/>
              <w:bottom w:val="nil"/>
              <w:right w:val="nil"/>
            </w:tcBorders>
            <w:shd w:val="clear" w:color="auto" w:fill="auto"/>
            <w:noWrap/>
            <w:vAlign w:val="bottom"/>
            <w:hideMark/>
          </w:tcPr>
          <w:p w14:paraId="7B38EB51"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DPH k POO</w:t>
            </w:r>
          </w:p>
        </w:tc>
        <w:tc>
          <w:tcPr>
            <w:tcW w:w="438" w:type="pct"/>
            <w:tcBorders>
              <w:top w:val="nil"/>
              <w:left w:val="nil"/>
              <w:bottom w:val="nil"/>
              <w:right w:val="nil"/>
            </w:tcBorders>
            <w:shd w:val="clear" w:color="auto" w:fill="auto"/>
            <w:noWrap/>
            <w:vAlign w:val="bottom"/>
            <w:hideMark/>
          </w:tcPr>
          <w:p w14:paraId="51A87537" w14:textId="77777777" w:rsidR="00DD531B" w:rsidRPr="00B4559D"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0</w:t>
            </w:r>
          </w:p>
        </w:tc>
        <w:tc>
          <w:tcPr>
            <w:tcW w:w="438" w:type="pct"/>
            <w:tcBorders>
              <w:top w:val="nil"/>
              <w:left w:val="nil"/>
              <w:bottom w:val="nil"/>
              <w:right w:val="nil"/>
            </w:tcBorders>
            <w:shd w:val="clear" w:color="auto" w:fill="auto"/>
            <w:noWrap/>
            <w:vAlign w:val="bottom"/>
            <w:hideMark/>
          </w:tcPr>
          <w:p w14:paraId="46A5A34F"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56" w:type="pct"/>
            <w:tcBorders>
              <w:top w:val="nil"/>
              <w:left w:val="nil"/>
              <w:bottom w:val="nil"/>
              <w:right w:val="nil"/>
            </w:tcBorders>
            <w:shd w:val="clear" w:color="auto" w:fill="auto"/>
            <w:noWrap/>
            <w:vAlign w:val="bottom"/>
            <w:hideMark/>
          </w:tcPr>
          <w:p w14:paraId="5B76EFDB"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24 139</w:t>
            </w:r>
          </w:p>
        </w:tc>
        <w:tc>
          <w:tcPr>
            <w:tcW w:w="456" w:type="pct"/>
            <w:tcBorders>
              <w:top w:val="nil"/>
              <w:left w:val="nil"/>
              <w:bottom w:val="nil"/>
              <w:right w:val="nil"/>
            </w:tcBorders>
            <w:shd w:val="clear" w:color="auto" w:fill="auto"/>
            <w:noWrap/>
            <w:vAlign w:val="bottom"/>
            <w:hideMark/>
          </w:tcPr>
          <w:p w14:paraId="7CDC7C72"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8 795</w:t>
            </w:r>
          </w:p>
        </w:tc>
        <w:tc>
          <w:tcPr>
            <w:tcW w:w="456" w:type="pct"/>
            <w:tcBorders>
              <w:top w:val="nil"/>
              <w:left w:val="nil"/>
              <w:bottom w:val="nil"/>
              <w:right w:val="nil"/>
            </w:tcBorders>
            <w:shd w:val="clear" w:color="auto" w:fill="auto"/>
            <w:noWrap/>
            <w:vAlign w:val="bottom"/>
            <w:hideMark/>
          </w:tcPr>
          <w:p w14:paraId="319F2417"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21 230</w:t>
            </w:r>
          </w:p>
        </w:tc>
        <w:tc>
          <w:tcPr>
            <w:tcW w:w="456" w:type="pct"/>
            <w:tcBorders>
              <w:top w:val="nil"/>
              <w:left w:val="nil"/>
              <w:bottom w:val="nil"/>
              <w:right w:val="nil"/>
            </w:tcBorders>
            <w:shd w:val="clear" w:color="auto" w:fill="auto"/>
            <w:noWrap/>
            <w:vAlign w:val="bottom"/>
            <w:hideMark/>
          </w:tcPr>
          <w:p w14:paraId="413857CE"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19 372</w:t>
            </w:r>
          </w:p>
        </w:tc>
        <w:tc>
          <w:tcPr>
            <w:tcW w:w="456" w:type="pct"/>
            <w:tcBorders>
              <w:top w:val="nil"/>
              <w:left w:val="nil"/>
              <w:bottom w:val="nil"/>
              <w:right w:val="nil"/>
            </w:tcBorders>
            <w:shd w:val="clear" w:color="auto" w:fill="auto"/>
            <w:noWrap/>
            <w:vAlign w:val="bottom"/>
            <w:hideMark/>
          </w:tcPr>
          <w:p w14:paraId="298D3E52"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20 820</w:t>
            </w:r>
          </w:p>
        </w:tc>
      </w:tr>
      <w:tr w:rsidR="00DD531B" w:rsidRPr="00DD531B" w14:paraId="546242DB" w14:textId="77777777" w:rsidTr="001F24AE">
        <w:trPr>
          <w:trHeight w:val="300"/>
        </w:trPr>
        <w:tc>
          <w:tcPr>
            <w:tcW w:w="1843" w:type="pct"/>
            <w:tcBorders>
              <w:top w:val="nil"/>
              <w:left w:val="nil"/>
              <w:bottom w:val="nil"/>
              <w:right w:val="nil"/>
            </w:tcBorders>
            <w:shd w:val="clear" w:color="auto" w:fill="auto"/>
            <w:noWrap/>
            <w:vAlign w:val="bottom"/>
            <w:hideMark/>
          </w:tcPr>
          <w:p w14:paraId="574115DE" w14:textId="77777777" w:rsidR="00DD531B" w:rsidRPr="00B4559D" w:rsidRDefault="00DD531B" w:rsidP="00DD531B">
            <w:pPr>
              <w:spacing w:after="0" w:line="240" w:lineRule="auto"/>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presun z minulých rokov § 8, v tom:</w:t>
            </w:r>
          </w:p>
        </w:tc>
        <w:tc>
          <w:tcPr>
            <w:tcW w:w="438" w:type="pct"/>
            <w:tcBorders>
              <w:top w:val="nil"/>
              <w:left w:val="nil"/>
              <w:bottom w:val="nil"/>
              <w:right w:val="nil"/>
            </w:tcBorders>
            <w:shd w:val="clear" w:color="auto" w:fill="auto"/>
            <w:noWrap/>
            <w:vAlign w:val="bottom"/>
            <w:hideMark/>
          </w:tcPr>
          <w:p w14:paraId="76F0BC30"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2 279</w:t>
            </w:r>
          </w:p>
        </w:tc>
        <w:tc>
          <w:tcPr>
            <w:tcW w:w="438" w:type="pct"/>
            <w:tcBorders>
              <w:top w:val="nil"/>
              <w:left w:val="nil"/>
              <w:bottom w:val="nil"/>
              <w:right w:val="nil"/>
            </w:tcBorders>
            <w:shd w:val="clear" w:color="auto" w:fill="auto"/>
            <w:noWrap/>
            <w:vAlign w:val="bottom"/>
            <w:hideMark/>
          </w:tcPr>
          <w:p w14:paraId="0C7075C7"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26 269</w:t>
            </w:r>
          </w:p>
        </w:tc>
        <w:tc>
          <w:tcPr>
            <w:tcW w:w="456" w:type="pct"/>
            <w:tcBorders>
              <w:top w:val="nil"/>
              <w:left w:val="nil"/>
              <w:bottom w:val="nil"/>
              <w:right w:val="nil"/>
            </w:tcBorders>
            <w:shd w:val="clear" w:color="auto" w:fill="auto"/>
            <w:noWrap/>
            <w:vAlign w:val="bottom"/>
            <w:hideMark/>
          </w:tcPr>
          <w:p w14:paraId="5162FBFA"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0</w:t>
            </w:r>
          </w:p>
        </w:tc>
        <w:tc>
          <w:tcPr>
            <w:tcW w:w="456" w:type="pct"/>
            <w:tcBorders>
              <w:top w:val="nil"/>
              <w:left w:val="nil"/>
              <w:bottom w:val="nil"/>
              <w:right w:val="nil"/>
            </w:tcBorders>
            <w:shd w:val="clear" w:color="auto" w:fill="auto"/>
            <w:noWrap/>
            <w:vAlign w:val="bottom"/>
            <w:hideMark/>
          </w:tcPr>
          <w:p w14:paraId="5D6997DC"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33 860</w:t>
            </w:r>
          </w:p>
        </w:tc>
        <w:tc>
          <w:tcPr>
            <w:tcW w:w="456" w:type="pct"/>
            <w:tcBorders>
              <w:top w:val="nil"/>
              <w:left w:val="nil"/>
              <w:bottom w:val="nil"/>
              <w:right w:val="nil"/>
            </w:tcBorders>
            <w:shd w:val="clear" w:color="auto" w:fill="auto"/>
            <w:noWrap/>
            <w:vAlign w:val="bottom"/>
            <w:hideMark/>
          </w:tcPr>
          <w:p w14:paraId="36F3BE4C"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0</w:t>
            </w:r>
          </w:p>
        </w:tc>
        <w:tc>
          <w:tcPr>
            <w:tcW w:w="456" w:type="pct"/>
            <w:tcBorders>
              <w:top w:val="nil"/>
              <w:left w:val="nil"/>
              <w:bottom w:val="nil"/>
              <w:right w:val="nil"/>
            </w:tcBorders>
            <w:shd w:val="clear" w:color="auto" w:fill="auto"/>
            <w:noWrap/>
            <w:vAlign w:val="bottom"/>
            <w:hideMark/>
          </w:tcPr>
          <w:p w14:paraId="3FD82840"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0</w:t>
            </w:r>
          </w:p>
        </w:tc>
        <w:tc>
          <w:tcPr>
            <w:tcW w:w="456" w:type="pct"/>
            <w:tcBorders>
              <w:top w:val="nil"/>
              <w:left w:val="nil"/>
              <w:bottom w:val="nil"/>
              <w:right w:val="nil"/>
            </w:tcBorders>
            <w:shd w:val="clear" w:color="auto" w:fill="auto"/>
            <w:noWrap/>
            <w:vAlign w:val="bottom"/>
            <w:hideMark/>
          </w:tcPr>
          <w:p w14:paraId="628CF365"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0</w:t>
            </w:r>
          </w:p>
        </w:tc>
      </w:tr>
      <w:tr w:rsidR="00DD531B" w:rsidRPr="00DD531B" w14:paraId="4C4FDDCE" w14:textId="77777777" w:rsidTr="001F24AE">
        <w:trPr>
          <w:trHeight w:val="300"/>
        </w:trPr>
        <w:tc>
          <w:tcPr>
            <w:tcW w:w="1843" w:type="pct"/>
            <w:tcBorders>
              <w:top w:val="nil"/>
              <w:left w:val="nil"/>
              <w:bottom w:val="nil"/>
              <w:right w:val="nil"/>
            </w:tcBorders>
            <w:shd w:val="clear" w:color="auto" w:fill="auto"/>
            <w:noWrap/>
            <w:vAlign w:val="bottom"/>
            <w:hideMark/>
          </w:tcPr>
          <w:p w14:paraId="58ABAB3E"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štátny rozpočet</w:t>
            </w:r>
          </w:p>
        </w:tc>
        <w:tc>
          <w:tcPr>
            <w:tcW w:w="438" w:type="pct"/>
            <w:tcBorders>
              <w:top w:val="nil"/>
              <w:left w:val="nil"/>
              <w:bottom w:val="nil"/>
              <w:right w:val="nil"/>
            </w:tcBorders>
            <w:shd w:val="clear" w:color="auto" w:fill="auto"/>
            <w:noWrap/>
            <w:vAlign w:val="bottom"/>
            <w:hideMark/>
          </w:tcPr>
          <w:p w14:paraId="4CD541A3"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1 339</w:t>
            </w:r>
          </w:p>
        </w:tc>
        <w:tc>
          <w:tcPr>
            <w:tcW w:w="438" w:type="pct"/>
            <w:tcBorders>
              <w:top w:val="nil"/>
              <w:left w:val="nil"/>
              <w:bottom w:val="nil"/>
              <w:right w:val="nil"/>
            </w:tcBorders>
            <w:shd w:val="clear" w:color="auto" w:fill="auto"/>
            <w:noWrap/>
            <w:vAlign w:val="bottom"/>
            <w:hideMark/>
          </w:tcPr>
          <w:p w14:paraId="2C43FB6F"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4 624</w:t>
            </w:r>
          </w:p>
        </w:tc>
        <w:tc>
          <w:tcPr>
            <w:tcW w:w="456" w:type="pct"/>
            <w:tcBorders>
              <w:top w:val="nil"/>
              <w:left w:val="nil"/>
              <w:bottom w:val="nil"/>
              <w:right w:val="nil"/>
            </w:tcBorders>
            <w:shd w:val="clear" w:color="auto" w:fill="auto"/>
            <w:noWrap/>
            <w:vAlign w:val="bottom"/>
            <w:hideMark/>
          </w:tcPr>
          <w:p w14:paraId="47119668"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56" w:type="pct"/>
            <w:tcBorders>
              <w:top w:val="nil"/>
              <w:left w:val="nil"/>
              <w:bottom w:val="nil"/>
              <w:right w:val="nil"/>
            </w:tcBorders>
            <w:shd w:val="clear" w:color="auto" w:fill="auto"/>
            <w:noWrap/>
            <w:vAlign w:val="bottom"/>
            <w:hideMark/>
          </w:tcPr>
          <w:p w14:paraId="08C3FFC2"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4 719</w:t>
            </w:r>
          </w:p>
        </w:tc>
        <w:tc>
          <w:tcPr>
            <w:tcW w:w="456" w:type="pct"/>
            <w:tcBorders>
              <w:top w:val="nil"/>
              <w:left w:val="nil"/>
              <w:bottom w:val="nil"/>
              <w:right w:val="nil"/>
            </w:tcBorders>
            <w:shd w:val="clear" w:color="auto" w:fill="auto"/>
            <w:noWrap/>
            <w:vAlign w:val="bottom"/>
            <w:hideMark/>
          </w:tcPr>
          <w:p w14:paraId="62375F23"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56" w:type="pct"/>
            <w:tcBorders>
              <w:top w:val="nil"/>
              <w:left w:val="nil"/>
              <w:bottom w:val="nil"/>
              <w:right w:val="nil"/>
            </w:tcBorders>
            <w:shd w:val="clear" w:color="auto" w:fill="auto"/>
            <w:noWrap/>
            <w:vAlign w:val="bottom"/>
            <w:hideMark/>
          </w:tcPr>
          <w:p w14:paraId="01499B42"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56" w:type="pct"/>
            <w:tcBorders>
              <w:top w:val="nil"/>
              <w:left w:val="nil"/>
              <w:bottom w:val="nil"/>
              <w:right w:val="nil"/>
            </w:tcBorders>
            <w:shd w:val="clear" w:color="auto" w:fill="auto"/>
            <w:noWrap/>
            <w:vAlign w:val="bottom"/>
            <w:hideMark/>
          </w:tcPr>
          <w:p w14:paraId="7FD5E8C6"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r>
      <w:tr w:rsidR="00DD531B" w:rsidRPr="00DD531B" w14:paraId="1575D645" w14:textId="77777777" w:rsidTr="001F24AE">
        <w:trPr>
          <w:trHeight w:val="300"/>
        </w:trPr>
        <w:tc>
          <w:tcPr>
            <w:tcW w:w="1843" w:type="pct"/>
            <w:tcBorders>
              <w:top w:val="nil"/>
              <w:left w:val="nil"/>
              <w:bottom w:val="nil"/>
              <w:right w:val="nil"/>
            </w:tcBorders>
            <w:shd w:val="clear" w:color="auto" w:fill="auto"/>
            <w:noWrap/>
            <w:vAlign w:val="bottom"/>
            <w:hideMark/>
          </w:tcPr>
          <w:p w14:paraId="2EFD002E"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prostriedky EÚ a spolufinancovanie zo ŠR</w:t>
            </w:r>
          </w:p>
        </w:tc>
        <w:tc>
          <w:tcPr>
            <w:tcW w:w="438" w:type="pct"/>
            <w:tcBorders>
              <w:top w:val="nil"/>
              <w:left w:val="nil"/>
              <w:bottom w:val="nil"/>
              <w:right w:val="nil"/>
            </w:tcBorders>
            <w:shd w:val="clear" w:color="auto" w:fill="auto"/>
            <w:noWrap/>
            <w:vAlign w:val="bottom"/>
            <w:hideMark/>
          </w:tcPr>
          <w:p w14:paraId="3AFC9E1B"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940</w:t>
            </w:r>
          </w:p>
        </w:tc>
        <w:tc>
          <w:tcPr>
            <w:tcW w:w="438" w:type="pct"/>
            <w:tcBorders>
              <w:top w:val="nil"/>
              <w:left w:val="nil"/>
              <w:bottom w:val="nil"/>
              <w:right w:val="nil"/>
            </w:tcBorders>
            <w:shd w:val="clear" w:color="auto" w:fill="auto"/>
            <w:noWrap/>
            <w:vAlign w:val="bottom"/>
            <w:hideMark/>
          </w:tcPr>
          <w:p w14:paraId="084A50E5"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17 600</w:t>
            </w:r>
          </w:p>
        </w:tc>
        <w:tc>
          <w:tcPr>
            <w:tcW w:w="456" w:type="pct"/>
            <w:tcBorders>
              <w:top w:val="nil"/>
              <w:left w:val="nil"/>
              <w:bottom w:val="nil"/>
              <w:right w:val="nil"/>
            </w:tcBorders>
            <w:shd w:val="clear" w:color="auto" w:fill="auto"/>
            <w:noWrap/>
            <w:vAlign w:val="bottom"/>
            <w:hideMark/>
          </w:tcPr>
          <w:p w14:paraId="260E27ED"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56" w:type="pct"/>
            <w:tcBorders>
              <w:top w:val="nil"/>
              <w:left w:val="nil"/>
              <w:bottom w:val="nil"/>
              <w:right w:val="nil"/>
            </w:tcBorders>
            <w:shd w:val="clear" w:color="auto" w:fill="auto"/>
            <w:noWrap/>
            <w:vAlign w:val="bottom"/>
            <w:hideMark/>
          </w:tcPr>
          <w:p w14:paraId="081E748F"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25 469</w:t>
            </w:r>
          </w:p>
        </w:tc>
        <w:tc>
          <w:tcPr>
            <w:tcW w:w="456" w:type="pct"/>
            <w:tcBorders>
              <w:top w:val="nil"/>
              <w:left w:val="nil"/>
              <w:bottom w:val="nil"/>
              <w:right w:val="nil"/>
            </w:tcBorders>
            <w:shd w:val="clear" w:color="auto" w:fill="auto"/>
            <w:noWrap/>
            <w:vAlign w:val="bottom"/>
            <w:hideMark/>
          </w:tcPr>
          <w:p w14:paraId="136A540A"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56" w:type="pct"/>
            <w:tcBorders>
              <w:top w:val="nil"/>
              <w:left w:val="nil"/>
              <w:bottom w:val="nil"/>
              <w:right w:val="nil"/>
            </w:tcBorders>
            <w:shd w:val="clear" w:color="auto" w:fill="auto"/>
            <w:noWrap/>
            <w:vAlign w:val="bottom"/>
            <w:hideMark/>
          </w:tcPr>
          <w:p w14:paraId="7126BF0C"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56" w:type="pct"/>
            <w:tcBorders>
              <w:top w:val="nil"/>
              <w:left w:val="nil"/>
              <w:bottom w:val="nil"/>
              <w:right w:val="nil"/>
            </w:tcBorders>
            <w:shd w:val="clear" w:color="auto" w:fill="auto"/>
            <w:noWrap/>
            <w:vAlign w:val="bottom"/>
            <w:hideMark/>
          </w:tcPr>
          <w:p w14:paraId="767C3122"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r>
      <w:tr w:rsidR="00DD531B" w:rsidRPr="00DD531B" w14:paraId="53CBAFD3" w14:textId="77777777" w:rsidTr="001F24AE">
        <w:trPr>
          <w:trHeight w:val="300"/>
        </w:trPr>
        <w:tc>
          <w:tcPr>
            <w:tcW w:w="1843" w:type="pct"/>
            <w:tcBorders>
              <w:top w:val="nil"/>
              <w:left w:val="nil"/>
              <w:bottom w:val="single" w:sz="4" w:space="0" w:color="auto"/>
              <w:right w:val="nil"/>
            </w:tcBorders>
            <w:shd w:val="clear" w:color="auto" w:fill="auto"/>
            <w:noWrap/>
            <w:vAlign w:val="bottom"/>
            <w:hideMark/>
          </w:tcPr>
          <w:p w14:paraId="64A9E4B7"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prostriedky POO a DPH k POO</w:t>
            </w:r>
          </w:p>
        </w:tc>
        <w:tc>
          <w:tcPr>
            <w:tcW w:w="438" w:type="pct"/>
            <w:tcBorders>
              <w:top w:val="nil"/>
              <w:left w:val="nil"/>
              <w:bottom w:val="single" w:sz="4" w:space="0" w:color="auto"/>
              <w:right w:val="nil"/>
            </w:tcBorders>
            <w:shd w:val="clear" w:color="auto" w:fill="auto"/>
            <w:noWrap/>
            <w:vAlign w:val="bottom"/>
            <w:hideMark/>
          </w:tcPr>
          <w:p w14:paraId="64B81D8A"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38" w:type="pct"/>
            <w:tcBorders>
              <w:top w:val="nil"/>
              <w:left w:val="nil"/>
              <w:bottom w:val="single" w:sz="4" w:space="0" w:color="auto"/>
              <w:right w:val="nil"/>
            </w:tcBorders>
            <w:shd w:val="clear" w:color="auto" w:fill="auto"/>
            <w:noWrap/>
            <w:vAlign w:val="bottom"/>
            <w:hideMark/>
          </w:tcPr>
          <w:p w14:paraId="065227E7"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4 045</w:t>
            </w:r>
          </w:p>
        </w:tc>
        <w:tc>
          <w:tcPr>
            <w:tcW w:w="456" w:type="pct"/>
            <w:tcBorders>
              <w:top w:val="nil"/>
              <w:left w:val="nil"/>
              <w:bottom w:val="single" w:sz="4" w:space="0" w:color="auto"/>
              <w:right w:val="nil"/>
            </w:tcBorders>
            <w:shd w:val="clear" w:color="auto" w:fill="auto"/>
            <w:noWrap/>
            <w:vAlign w:val="bottom"/>
            <w:hideMark/>
          </w:tcPr>
          <w:p w14:paraId="18D18A8F"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56" w:type="pct"/>
            <w:tcBorders>
              <w:top w:val="nil"/>
              <w:left w:val="nil"/>
              <w:bottom w:val="single" w:sz="4" w:space="0" w:color="auto"/>
              <w:right w:val="nil"/>
            </w:tcBorders>
            <w:shd w:val="clear" w:color="auto" w:fill="auto"/>
            <w:noWrap/>
            <w:vAlign w:val="bottom"/>
            <w:hideMark/>
          </w:tcPr>
          <w:p w14:paraId="39BD47EC"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3 672</w:t>
            </w:r>
          </w:p>
        </w:tc>
        <w:tc>
          <w:tcPr>
            <w:tcW w:w="456" w:type="pct"/>
            <w:tcBorders>
              <w:top w:val="nil"/>
              <w:left w:val="nil"/>
              <w:bottom w:val="single" w:sz="4" w:space="0" w:color="auto"/>
              <w:right w:val="nil"/>
            </w:tcBorders>
            <w:shd w:val="clear" w:color="auto" w:fill="auto"/>
            <w:noWrap/>
            <w:vAlign w:val="bottom"/>
            <w:hideMark/>
          </w:tcPr>
          <w:p w14:paraId="2D7CF683"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56" w:type="pct"/>
            <w:tcBorders>
              <w:top w:val="nil"/>
              <w:left w:val="nil"/>
              <w:bottom w:val="single" w:sz="4" w:space="0" w:color="auto"/>
              <w:right w:val="nil"/>
            </w:tcBorders>
            <w:shd w:val="clear" w:color="auto" w:fill="auto"/>
            <w:noWrap/>
            <w:vAlign w:val="bottom"/>
            <w:hideMark/>
          </w:tcPr>
          <w:p w14:paraId="2E09C7E6"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56" w:type="pct"/>
            <w:tcBorders>
              <w:top w:val="nil"/>
              <w:left w:val="nil"/>
              <w:bottom w:val="single" w:sz="4" w:space="0" w:color="auto"/>
              <w:right w:val="nil"/>
            </w:tcBorders>
            <w:shd w:val="clear" w:color="auto" w:fill="auto"/>
            <w:noWrap/>
            <w:vAlign w:val="bottom"/>
            <w:hideMark/>
          </w:tcPr>
          <w:p w14:paraId="484680E5"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r>
    </w:tbl>
    <w:p w14:paraId="48251B4D" w14:textId="7E6E8807" w:rsidR="00DD531B" w:rsidRDefault="00DD531B" w:rsidP="00DD531B">
      <w:pPr>
        <w:rPr>
          <w:rFonts w:ascii="Times New Roman" w:eastAsia="Calibri" w:hAnsi="Times New Roman" w:cs="Times New Roman"/>
        </w:rPr>
      </w:pPr>
    </w:p>
    <w:p w14:paraId="716580F5" w14:textId="16AAB51A" w:rsidR="00B4559D" w:rsidRDefault="00B4559D" w:rsidP="00DD531B">
      <w:pPr>
        <w:rPr>
          <w:rFonts w:ascii="Times New Roman" w:eastAsia="Calibri" w:hAnsi="Times New Roman" w:cs="Times New Roman"/>
        </w:rPr>
      </w:pPr>
    </w:p>
    <w:p w14:paraId="2DF25D4B" w14:textId="50E61A47" w:rsidR="00B4559D" w:rsidRDefault="00B4559D" w:rsidP="00DD531B">
      <w:pPr>
        <w:rPr>
          <w:rFonts w:ascii="Times New Roman" w:eastAsia="Calibri" w:hAnsi="Times New Roman" w:cs="Times New Roman"/>
        </w:rPr>
      </w:pPr>
    </w:p>
    <w:p w14:paraId="268AEA3D" w14:textId="738A6D79" w:rsidR="00B4559D" w:rsidRDefault="00B4559D" w:rsidP="00DD531B">
      <w:pPr>
        <w:rPr>
          <w:rFonts w:ascii="Times New Roman" w:eastAsia="Calibri" w:hAnsi="Times New Roman" w:cs="Times New Roman"/>
        </w:rPr>
      </w:pPr>
    </w:p>
    <w:p w14:paraId="2096B205" w14:textId="2447E87A" w:rsidR="00B4559D" w:rsidRDefault="00B4559D" w:rsidP="00DD531B">
      <w:pPr>
        <w:rPr>
          <w:rFonts w:ascii="Times New Roman" w:eastAsia="Calibri" w:hAnsi="Times New Roman" w:cs="Times New Roman"/>
        </w:rPr>
      </w:pPr>
    </w:p>
    <w:p w14:paraId="75AE557A" w14:textId="3845D168" w:rsidR="00B4559D" w:rsidRDefault="00B4559D" w:rsidP="00DD531B">
      <w:pPr>
        <w:rPr>
          <w:rFonts w:ascii="Times New Roman" w:eastAsia="Calibri" w:hAnsi="Times New Roman" w:cs="Times New Roman"/>
        </w:rPr>
      </w:pPr>
    </w:p>
    <w:p w14:paraId="697F5AAC" w14:textId="4AC9E085" w:rsidR="00B4559D" w:rsidRDefault="00B4559D" w:rsidP="00DD531B">
      <w:pPr>
        <w:rPr>
          <w:rFonts w:ascii="Times New Roman" w:eastAsia="Calibri" w:hAnsi="Times New Roman" w:cs="Times New Roman"/>
        </w:rPr>
      </w:pPr>
    </w:p>
    <w:p w14:paraId="3DB71978" w14:textId="0936898B" w:rsidR="00B4559D" w:rsidRDefault="00B4559D" w:rsidP="00DD531B">
      <w:pPr>
        <w:rPr>
          <w:rFonts w:ascii="Times New Roman" w:eastAsia="Calibri" w:hAnsi="Times New Roman" w:cs="Times New Roman"/>
        </w:rPr>
      </w:pPr>
    </w:p>
    <w:p w14:paraId="0C475E95" w14:textId="1F50AEA2" w:rsidR="00B4559D" w:rsidRDefault="00B4559D" w:rsidP="00DD531B">
      <w:pPr>
        <w:rPr>
          <w:rFonts w:ascii="Times New Roman" w:eastAsia="Calibri" w:hAnsi="Times New Roman" w:cs="Times New Roman"/>
        </w:rPr>
      </w:pPr>
    </w:p>
    <w:p w14:paraId="75483F8A" w14:textId="5B51ABA5" w:rsidR="00B4559D" w:rsidRDefault="00B4559D" w:rsidP="00DD531B">
      <w:pPr>
        <w:rPr>
          <w:rFonts w:ascii="Times New Roman" w:eastAsia="Calibri" w:hAnsi="Times New Roman" w:cs="Times New Roman"/>
        </w:rPr>
      </w:pPr>
    </w:p>
    <w:p w14:paraId="6732C523" w14:textId="104B482A" w:rsidR="00B4559D" w:rsidRDefault="00B4559D" w:rsidP="00DD531B">
      <w:pPr>
        <w:rPr>
          <w:rFonts w:ascii="Times New Roman" w:eastAsia="Calibri" w:hAnsi="Times New Roman" w:cs="Times New Roman"/>
        </w:rPr>
      </w:pPr>
    </w:p>
    <w:p w14:paraId="331C31C0" w14:textId="77777777" w:rsidR="00B4559D" w:rsidRPr="00DD531B" w:rsidRDefault="00B4559D" w:rsidP="00DD531B">
      <w:pPr>
        <w:rPr>
          <w:rFonts w:ascii="Times New Roman" w:eastAsia="Calibri" w:hAnsi="Times New Roman" w:cs="Times New Roman"/>
        </w:rPr>
      </w:pPr>
    </w:p>
    <w:p w14:paraId="52953728" w14:textId="77777777" w:rsidR="00DD531B" w:rsidRPr="00B4559D" w:rsidRDefault="00DD531B" w:rsidP="00B4559D">
      <w:pPr>
        <w:keepNext/>
        <w:keepLines/>
        <w:spacing w:before="40" w:after="0"/>
        <w:outlineLvl w:val="1"/>
        <w:rPr>
          <w:rFonts w:ascii="Times New Roman" w:eastAsia="Times New Roman" w:hAnsi="Times New Roman" w:cs="Times New Roman"/>
          <w:b/>
          <w:color w:val="5B9BD5" w:themeColor="accent1"/>
          <w:sz w:val="24"/>
          <w:szCs w:val="24"/>
        </w:rPr>
      </w:pPr>
      <w:r w:rsidRPr="00B4559D">
        <w:rPr>
          <w:rFonts w:ascii="Times New Roman" w:eastAsia="Times New Roman" w:hAnsi="Times New Roman" w:cs="Times New Roman"/>
          <w:b/>
          <w:color w:val="5B9BD5" w:themeColor="accent1"/>
          <w:sz w:val="24"/>
          <w:szCs w:val="24"/>
        </w:rPr>
        <w:lastRenderedPageBreak/>
        <w:t>Ministerstvo investícií, regionálneho rozvoja a informatizácie SR</w:t>
      </w:r>
    </w:p>
    <w:p w14:paraId="4171DFBC" w14:textId="77777777" w:rsidR="00DD531B" w:rsidRPr="00B4559D" w:rsidRDefault="00DD531B" w:rsidP="00DD531B">
      <w:pPr>
        <w:rPr>
          <w:rFonts w:ascii="Times New Roman" w:eastAsia="Calibri" w:hAnsi="Times New Roman" w:cs="Times New Roman"/>
          <w:color w:val="5B9BD5" w:themeColor="accent1"/>
        </w:rPr>
      </w:pPr>
    </w:p>
    <w:p w14:paraId="48A0FFD8" w14:textId="6B22157E" w:rsidR="00DD531B" w:rsidRPr="00B4559D" w:rsidRDefault="00B4559D"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189" w:name="_Toc153013059"/>
      <w:r>
        <w:rPr>
          <w:rFonts w:ascii="Times New Roman" w:hAnsi="Times New Roman" w:cs="Times New Roman"/>
          <w:b/>
          <w:color w:val="5B9BD5" w:themeColor="accent1"/>
          <w:sz w:val="20"/>
          <w:szCs w:val="20"/>
        </w:rPr>
        <w:t xml:space="preserve">Tabuľka </w:t>
      </w:r>
      <w:r w:rsidRPr="00DD531B">
        <w:rPr>
          <w:rFonts w:ascii="Times New Roman" w:hAnsi="Times New Roman" w:cs="Times New Roman"/>
          <w:b/>
          <w:color w:val="5B9BD5" w:themeColor="accent1"/>
          <w:sz w:val="20"/>
          <w:szCs w:val="20"/>
        </w:rPr>
        <w:fldChar w:fldCharType="begin"/>
      </w:r>
      <w:r w:rsidRPr="00DD531B">
        <w:rPr>
          <w:rFonts w:ascii="Times New Roman" w:hAnsi="Times New Roman" w:cs="Times New Roman"/>
          <w:b/>
          <w:color w:val="5B9BD5" w:themeColor="accent1"/>
          <w:sz w:val="20"/>
          <w:szCs w:val="20"/>
        </w:rPr>
        <w:instrText xml:space="preserve"> SEQ Tabuľka \* ARABIC </w:instrText>
      </w:r>
      <w:r w:rsidRPr="00DD531B">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61</w:t>
      </w:r>
      <w:r w:rsidRPr="00DD531B">
        <w:rPr>
          <w:rFonts w:ascii="Times New Roman" w:hAnsi="Times New Roman" w:cs="Times New Roman"/>
          <w:b/>
          <w:color w:val="5B9BD5" w:themeColor="accent1"/>
          <w:sz w:val="20"/>
          <w:szCs w:val="20"/>
        </w:rPr>
        <w:fldChar w:fldCharType="end"/>
      </w:r>
      <w:r>
        <w:rPr>
          <w:rFonts w:ascii="Times New Roman" w:hAnsi="Times New Roman" w:cs="Times New Roman"/>
          <w:b/>
          <w:color w:val="5B9BD5" w:themeColor="accent1"/>
          <w:sz w:val="20"/>
          <w:szCs w:val="20"/>
        </w:rPr>
        <w:t xml:space="preserve"> - </w:t>
      </w:r>
      <w:r w:rsidR="00DD531B" w:rsidRPr="00B4559D">
        <w:rPr>
          <w:rFonts w:ascii="Times New Roman" w:eastAsia="Times New Roman" w:hAnsi="Times New Roman" w:cs="Times New Roman"/>
          <w:b/>
          <w:iCs/>
          <w:color w:val="5B9BD5" w:themeColor="accent1"/>
          <w:sz w:val="20"/>
          <w:szCs w:val="20"/>
          <w:lang w:eastAsia="sk-SK"/>
        </w:rPr>
        <w:t>Príjmy kapitoly MIRRI SR</w:t>
      </w:r>
      <w:bookmarkEnd w:id="189"/>
    </w:p>
    <w:tbl>
      <w:tblPr>
        <w:tblW w:w="5000" w:type="pct"/>
        <w:tblCellMar>
          <w:left w:w="70" w:type="dxa"/>
          <w:right w:w="70" w:type="dxa"/>
        </w:tblCellMar>
        <w:tblLook w:val="04A0" w:firstRow="1" w:lastRow="0" w:firstColumn="1" w:lastColumn="0" w:noHBand="0" w:noVBand="1"/>
      </w:tblPr>
      <w:tblGrid>
        <w:gridCol w:w="3238"/>
        <w:gridCol w:w="802"/>
        <w:gridCol w:w="802"/>
        <w:gridCol w:w="914"/>
        <w:gridCol w:w="914"/>
        <w:gridCol w:w="802"/>
        <w:gridCol w:w="802"/>
        <w:gridCol w:w="798"/>
      </w:tblGrid>
      <w:tr w:rsidR="00DD531B" w:rsidRPr="00DD531B" w14:paraId="740F2838" w14:textId="77777777" w:rsidTr="001F24AE">
        <w:trPr>
          <w:trHeight w:val="300"/>
        </w:trPr>
        <w:tc>
          <w:tcPr>
            <w:tcW w:w="1784" w:type="pct"/>
            <w:tcBorders>
              <w:top w:val="single" w:sz="4" w:space="0" w:color="auto"/>
              <w:left w:val="nil"/>
              <w:bottom w:val="single" w:sz="4" w:space="0" w:color="auto"/>
              <w:right w:val="nil"/>
            </w:tcBorders>
            <w:shd w:val="clear" w:color="auto" w:fill="auto"/>
            <w:noWrap/>
            <w:vAlign w:val="center"/>
            <w:hideMark/>
          </w:tcPr>
          <w:p w14:paraId="6383E56C" w14:textId="77777777" w:rsidR="00DD531B" w:rsidRPr="00DD531B" w:rsidRDefault="00DD531B" w:rsidP="00DD531B">
            <w:pPr>
              <w:spacing w:after="0" w:line="240" w:lineRule="auto"/>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v tis. eur</w:t>
            </w:r>
          </w:p>
        </w:tc>
        <w:tc>
          <w:tcPr>
            <w:tcW w:w="442" w:type="pct"/>
            <w:tcBorders>
              <w:top w:val="single" w:sz="4" w:space="0" w:color="auto"/>
              <w:left w:val="nil"/>
              <w:bottom w:val="single" w:sz="4" w:space="0" w:color="auto"/>
              <w:right w:val="nil"/>
            </w:tcBorders>
            <w:shd w:val="clear" w:color="auto" w:fill="auto"/>
            <w:noWrap/>
            <w:vAlign w:val="center"/>
            <w:hideMark/>
          </w:tcPr>
          <w:p w14:paraId="560545E9" w14:textId="77777777" w:rsidR="00DD531B" w:rsidRPr="00DD531B" w:rsidRDefault="00DD531B" w:rsidP="00B4559D">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2021 S</w:t>
            </w:r>
          </w:p>
        </w:tc>
        <w:tc>
          <w:tcPr>
            <w:tcW w:w="442" w:type="pct"/>
            <w:tcBorders>
              <w:top w:val="single" w:sz="4" w:space="0" w:color="auto"/>
              <w:left w:val="nil"/>
              <w:bottom w:val="single" w:sz="4" w:space="0" w:color="auto"/>
              <w:right w:val="nil"/>
            </w:tcBorders>
            <w:shd w:val="clear" w:color="auto" w:fill="auto"/>
            <w:noWrap/>
            <w:vAlign w:val="center"/>
            <w:hideMark/>
          </w:tcPr>
          <w:p w14:paraId="2357E825" w14:textId="77777777" w:rsidR="00DD531B" w:rsidRPr="00DD531B" w:rsidRDefault="00DD531B" w:rsidP="00B4559D">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2022 S</w:t>
            </w:r>
          </w:p>
        </w:tc>
        <w:tc>
          <w:tcPr>
            <w:tcW w:w="504" w:type="pct"/>
            <w:tcBorders>
              <w:top w:val="single" w:sz="4" w:space="0" w:color="auto"/>
              <w:left w:val="nil"/>
              <w:bottom w:val="single" w:sz="4" w:space="0" w:color="auto"/>
              <w:right w:val="nil"/>
            </w:tcBorders>
            <w:shd w:val="clear" w:color="auto" w:fill="auto"/>
            <w:noWrap/>
            <w:vAlign w:val="center"/>
            <w:hideMark/>
          </w:tcPr>
          <w:p w14:paraId="7E718783" w14:textId="77777777" w:rsidR="00DD531B" w:rsidRPr="00DD531B" w:rsidRDefault="00DD531B" w:rsidP="00B4559D">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2023 R</w:t>
            </w:r>
          </w:p>
        </w:tc>
        <w:tc>
          <w:tcPr>
            <w:tcW w:w="504" w:type="pct"/>
            <w:tcBorders>
              <w:top w:val="single" w:sz="4" w:space="0" w:color="auto"/>
              <w:left w:val="nil"/>
              <w:bottom w:val="single" w:sz="4" w:space="0" w:color="auto"/>
              <w:right w:val="nil"/>
            </w:tcBorders>
            <w:shd w:val="clear" w:color="auto" w:fill="auto"/>
            <w:noWrap/>
            <w:vAlign w:val="center"/>
            <w:hideMark/>
          </w:tcPr>
          <w:p w14:paraId="6468B602" w14:textId="77777777" w:rsidR="00DD531B" w:rsidRPr="00DD531B" w:rsidRDefault="00DD531B" w:rsidP="00B4559D">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2023 OS</w:t>
            </w:r>
          </w:p>
        </w:tc>
        <w:tc>
          <w:tcPr>
            <w:tcW w:w="442" w:type="pct"/>
            <w:tcBorders>
              <w:top w:val="single" w:sz="4" w:space="0" w:color="auto"/>
              <w:left w:val="nil"/>
              <w:bottom w:val="single" w:sz="4" w:space="0" w:color="auto"/>
              <w:right w:val="nil"/>
            </w:tcBorders>
            <w:shd w:val="clear" w:color="auto" w:fill="auto"/>
            <w:noWrap/>
            <w:vAlign w:val="center"/>
            <w:hideMark/>
          </w:tcPr>
          <w:p w14:paraId="201B49AA" w14:textId="77777777" w:rsidR="00DD531B" w:rsidRPr="00DD531B" w:rsidRDefault="00DD531B" w:rsidP="00B4559D">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2024 N</w:t>
            </w:r>
          </w:p>
        </w:tc>
        <w:tc>
          <w:tcPr>
            <w:tcW w:w="442" w:type="pct"/>
            <w:tcBorders>
              <w:top w:val="single" w:sz="4" w:space="0" w:color="auto"/>
              <w:left w:val="nil"/>
              <w:bottom w:val="single" w:sz="4" w:space="0" w:color="auto"/>
              <w:right w:val="nil"/>
            </w:tcBorders>
            <w:shd w:val="clear" w:color="auto" w:fill="auto"/>
            <w:noWrap/>
            <w:vAlign w:val="center"/>
            <w:hideMark/>
          </w:tcPr>
          <w:p w14:paraId="51E5B78D" w14:textId="77777777" w:rsidR="00DD531B" w:rsidRPr="00DD531B" w:rsidRDefault="00DD531B" w:rsidP="00B4559D">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2025 N</w:t>
            </w:r>
          </w:p>
        </w:tc>
        <w:tc>
          <w:tcPr>
            <w:tcW w:w="442" w:type="pct"/>
            <w:tcBorders>
              <w:top w:val="single" w:sz="4" w:space="0" w:color="auto"/>
              <w:left w:val="nil"/>
              <w:bottom w:val="single" w:sz="4" w:space="0" w:color="auto"/>
              <w:right w:val="nil"/>
            </w:tcBorders>
            <w:shd w:val="clear" w:color="auto" w:fill="auto"/>
            <w:noWrap/>
            <w:vAlign w:val="center"/>
            <w:hideMark/>
          </w:tcPr>
          <w:p w14:paraId="74BF9049" w14:textId="77777777" w:rsidR="00DD531B" w:rsidRPr="00DD531B" w:rsidRDefault="00DD531B" w:rsidP="00B4559D">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2026 N</w:t>
            </w:r>
          </w:p>
        </w:tc>
      </w:tr>
      <w:tr w:rsidR="00DD531B" w:rsidRPr="00DD531B" w14:paraId="6C71BCC4" w14:textId="77777777" w:rsidTr="001F24AE">
        <w:trPr>
          <w:trHeight w:val="300"/>
        </w:trPr>
        <w:tc>
          <w:tcPr>
            <w:tcW w:w="1784" w:type="pct"/>
            <w:tcBorders>
              <w:top w:val="nil"/>
              <w:left w:val="nil"/>
              <w:bottom w:val="nil"/>
              <w:right w:val="nil"/>
            </w:tcBorders>
            <w:shd w:val="clear" w:color="auto" w:fill="auto"/>
            <w:noWrap/>
            <w:vAlign w:val="bottom"/>
            <w:hideMark/>
          </w:tcPr>
          <w:p w14:paraId="0486D52C" w14:textId="77777777" w:rsidR="00DD531B" w:rsidRPr="00DD531B" w:rsidRDefault="00DD531B" w:rsidP="00DD531B">
            <w:pPr>
              <w:spacing w:after="0" w:line="240" w:lineRule="auto"/>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Príjmy kapitoly spolu</w:t>
            </w:r>
          </w:p>
        </w:tc>
        <w:tc>
          <w:tcPr>
            <w:tcW w:w="442" w:type="pct"/>
            <w:tcBorders>
              <w:top w:val="nil"/>
              <w:left w:val="nil"/>
              <w:bottom w:val="nil"/>
              <w:right w:val="nil"/>
            </w:tcBorders>
            <w:shd w:val="clear" w:color="auto" w:fill="auto"/>
            <w:noWrap/>
            <w:vAlign w:val="bottom"/>
            <w:hideMark/>
          </w:tcPr>
          <w:p w14:paraId="43ACB0F5"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299 795</w:t>
            </w:r>
          </w:p>
        </w:tc>
        <w:tc>
          <w:tcPr>
            <w:tcW w:w="442" w:type="pct"/>
            <w:tcBorders>
              <w:top w:val="nil"/>
              <w:left w:val="nil"/>
              <w:bottom w:val="nil"/>
              <w:right w:val="nil"/>
            </w:tcBorders>
            <w:shd w:val="clear" w:color="auto" w:fill="auto"/>
            <w:noWrap/>
            <w:vAlign w:val="bottom"/>
            <w:hideMark/>
          </w:tcPr>
          <w:p w14:paraId="530D74C7"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310 952</w:t>
            </w:r>
          </w:p>
        </w:tc>
        <w:tc>
          <w:tcPr>
            <w:tcW w:w="504" w:type="pct"/>
            <w:tcBorders>
              <w:top w:val="nil"/>
              <w:left w:val="nil"/>
              <w:bottom w:val="nil"/>
              <w:right w:val="nil"/>
            </w:tcBorders>
            <w:shd w:val="clear" w:color="auto" w:fill="auto"/>
            <w:noWrap/>
            <w:vAlign w:val="bottom"/>
            <w:hideMark/>
          </w:tcPr>
          <w:p w14:paraId="4645E4F6"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1 469 022</w:t>
            </w:r>
          </w:p>
        </w:tc>
        <w:tc>
          <w:tcPr>
            <w:tcW w:w="504" w:type="pct"/>
            <w:tcBorders>
              <w:top w:val="nil"/>
              <w:left w:val="nil"/>
              <w:bottom w:val="nil"/>
              <w:right w:val="nil"/>
            </w:tcBorders>
            <w:shd w:val="clear" w:color="auto" w:fill="auto"/>
            <w:noWrap/>
            <w:vAlign w:val="bottom"/>
            <w:hideMark/>
          </w:tcPr>
          <w:p w14:paraId="026D9613"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1 242 592</w:t>
            </w:r>
          </w:p>
        </w:tc>
        <w:tc>
          <w:tcPr>
            <w:tcW w:w="442" w:type="pct"/>
            <w:tcBorders>
              <w:top w:val="nil"/>
              <w:left w:val="nil"/>
              <w:bottom w:val="nil"/>
              <w:right w:val="nil"/>
            </w:tcBorders>
            <w:shd w:val="clear" w:color="auto" w:fill="auto"/>
            <w:noWrap/>
            <w:vAlign w:val="bottom"/>
            <w:hideMark/>
          </w:tcPr>
          <w:p w14:paraId="41230F2C"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77 031</w:t>
            </w:r>
          </w:p>
        </w:tc>
        <w:tc>
          <w:tcPr>
            <w:tcW w:w="442" w:type="pct"/>
            <w:tcBorders>
              <w:top w:val="nil"/>
              <w:left w:val="nil"/>
              <w:bottom w:val="nil"/>
              <w:right w:val="nil"/>
            </w:tcBorders>
            <w:shd w:val="clear" w:color="auto" w:fill="auto"/>
            <w:noWrap/>
            <w:vAlign w:val="bottom"/>
            <w:hideMark/>
          </w:tcPr>
          <w:p w14:paraId="7909F4A2"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323 961</w:t>
            </w:r>
          </w:p>
        </w:tc>
        <w:tc>
          <w:tcPr>
            <w:tcW w:w="442" w:type="pct"/>
            <w:tcBorders>
              <w:top w:val="nil"/>
              <w:left w:val="nil"/>
              <w:bottom w:val="nil"/>
              <w:right w:val="nil"/>
            </w:tcBorders>
            <w:shd w:val="clear" w:color="auto" w:fill="auto"/>
            <w:noWrap/>
            <w:vAlign w:val="bottom"/>
            <w:hideMark/>
          </w:tcPr>
          <w:p w14:paraId="0DFAE00B"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557 612</w:t>
            </w:r>
          </w:p>
        </w:tc>
      </w:tr>
      <w:tr w:rsidR="00DD531B" w:rsidRPr="00DD531B" w14:paraId="6B9F3B98" w14:textId="77777777" w:rsidTr="001F24AE">
        <w:trPr>
          <w:trHeight w:val="300"/>
        </w:trPr>
        <w:tc>
          <w:tcPr>
            <w:tcW w:w="1784" w:type="pct"/>
            <w:tcBorders>
              <w:top w:val="nil"/>
              <w:left w:val="nil"/>
              <w:bottom w:val="nil"/>
              <w:right w:val="nil"/>
            </w:tcBorders>
            <w:shd w:val="clear" w:color="auto" w:fill="auto"/>
            <w:noWrap/>
            <w:vAlign w:val="bottom"/>
            <w:hideMark/>
          </w:tcPr>
          <w:p w14:paraId="6263A2F0" w14:textId="77777777" w:rsidR="00DD531B" w:rsidRPr="00DD531B" w:rsidRDefault="00DD531B" w:rsidP="00DD531B">
            <w:pPr>
              <w:spacing w:after="0" w:line="240" w:lineRule="auto"/>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nedaňové príjmy</w:t>
            </w:r>
          </w:p>
        </w:tc>
        <w:tc>
          <w:tcPr>
            <w:tcW w:w="442" w:type="pct"/>
            <w:tcBorders>
              <w:top w:val="nil"/>
              <w:left w:val="nil"/>
              <w:bottom w:val="nil"/>
              <w:right w:val="nil"/>
            </w:tcBorders>
            <w:shd w:val="clear" w:color="auto" w:fill="auto"/>
            <w:noWrap/>
            <w:vAlign w:val="bottom"/>
            <w:hideMark/>
          </w:tcPr>
          <w:p w14:paraId="236EB538"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197</w:t>
            </w:r>
          </w:p>
        </w:tc>
        <w:tc>
          <w:tcPr>
            <w:tcW w:w="442" w:type="pct"/>
            <w:tcBorders>
              <w:top w:val="nil"/>
              <w:left w:val="nil"/>
              <w:bottom w:val="nil"/>
              <w:right w:val="nil"/>
            </w:tcBorders>
            <w:shd w:val="clear" w:color="auto" w:fill="auto"/>
            <w:noWrap/>
            <w:vAlign w:val="bottom"/>
            <w:hideMark/>
          </w:tcPr>
          <w:p w14:paraId="692AEBA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64</w:t>
            </w:r>
          </w:p>
        </w:tc>
        <w:tc>
          <w:tcPr>
            <w:tcW w:w="504" w:type="pct"/>
            <w:tcBorders>
              <w:top w:val="nil"/>
              <w:left w:val="nil"/>
              <w:bottom w:val="nil"/>
              <w:right w:val="nil"/>
            </w:tcBorders>
            <w:shd w:val="clear" w:color="auto" w:fill="auto"/>
            <w:noWrap/>
            <w:vAlign w:val="bottom"/>
            <w:hideMark/>
          </w:tcPr>
          <w:p w14:paraId="2E9E418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504" w:type="pct"/>
            <w:tcBorders>
              <w:top w:val="nil"/>
              <w:left w:val="nil"/>
              <w:bottom w:val="nil"/>
              <w:right w:val="nil"/>
            </w:tcBorders>
            <w:shd w:val="clear" w:color="auto" w:fill="auto"/>
            <w:noWrap/>
            <w:vAlign w:val="bottom"/>
            <w:hideMark/>
          </w:tcPr>
          <w:p w14:paraId="0843A65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8 976</w:t>
            </w:r>
          </w:p>
        </w:tc>
        <w:tc>
          <w:tcPr>
            <w:tcW w:w="442" w:type="pct"/>
            <w:tcBorders>
              <w:top w:val="nil"/>
              <w:left w:val="nil"/>
              <w:bottom w:val="nil"/>
              <w:right w:val="nil"/>
            </w:tcBorders>
            <w:shd w:val="clear" w:color="auto" w:fill="auto"/>
            <w:noWrap/>
            <w:vAlign w:val="bottom"/>
            <w:hideMark/>
          </w:tcPr>
          <w:p w14:paraId="26502A9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42" w:type="pct"/>
            <w:tcBorders>
              <w:top w:val="nil"/>
              <w:left w:val="nil"/>
              <w:bottom w:val="nil"/>
              <w:right w:val="nil"/>
            </w:tcBorders>
            <w:shd w:val="clear" w:color="auto" w:fill="auto"/>
            <w:noWrap/>
            <w:vAlign w:val="bottom"/>
            <w:hideMark/>
          </w:tcPr>
          <w:p w14:paraId="6C7EF9C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42" w:type="pct"/>
            <w:tcBorders>
              <w:top w:val="nil"/>
              <w:left w:val="nil"/>
              <w:bottom w:val="nil"/>
              <w:right w:val="nil"/>
            </w:tcBorders>
            <w:shd w:val="clear" w:color="auto" w:fill="auto"/>
            <w:noWrap/>
            <w:vAlign w:val="bottom"/>
            <w:hideMark/>
          </w:tcPr>
          <w:p w14:paraId="5E4080E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r>
      <w:tr w:rsidR="00DD531B" w:rsidRPr="00DD531B" w14:paraId="014A0705" w14:textId="77777777" w:rsidTr="001F24AE">
        <w:trPr>
          <w:trHeight w:val="300"/>
        </w:trPr>
        <w:tc>
          <w:tcPr>
            <w:tcW w:w="1784" w:type="pct"/>
            <w:tcBorders>
              <w:top w:val="nil"/>
              <w:left w:val="nil"/>
              <w:bottom w:val="nil"/>
              <w:right w:val="nil"/>
            </w:tcBorders>
            <w:shd w:val="clear" w:color="auto" w:fill="auto"/>
            <w:noWrap/>
            <w:vAlign w:val="bottom"/>
            <w:hideMark/>
          </w:tcPr>
          <w:p w14:paraId="56BE3033" w14:textId="77777777" w:rsidR="00DD531B" w:rsidRPr="00DD531B" w:rsidRDefault="00DD531B" w:rsidP="00DD531B">
            <w:pPr>
              <w:spacing w:after="0" w:line="240" w:lineRule="auto"/>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granty a transfery, v tom:</w:t>
            </w:r>
          </w:p>
        </w:tc>
        <w:tc>
          <w:tcPr>
            <w:tcW w:w="442" w:type="pct"/>
            <w:tcBorders>
              <w:top w:val="nil"/>
              <w:left w:val="nil"/>
              <w:bottom w:val="nil"/>
              <w:right w:val="nil"/>
            </w:tcBorders>
            <w:shd w:val="clear" w:color="auto" w:fill="auto"/>
            <w:noWrap/>
            <w:vAlign w:val="bottom"/>
            <w:hideMark/>
          </w:tcPr>
          <w:p w14:paraId="594C09A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299 598</w:t>
            </w:r>
          </w:p>
        </w:tc>
        <w:tc>
          <w:tcPr>
            <w:tcW w:w="442" w:type="pct"/>
            <w:tcBorders>
              <w:top w:val="nil"/>
              <w:left w:val="nil"/>
              <w:bottom w:val="nil"/>
              <w:right w:val="nil"/>
            </w:tcBorders>
            <w:shd w:val="clear" w:color="auto" w:fill="auto"/>
            <w:noWrap/>
            <w:vAlign w:val="bottom"/>
            <w:hideMark/>
          </w:tcPr>
          <w:p w14:paraId="551AAEB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310 888</w:t>
            </w:r>
          </w:p>
        </w:tc>
        <w:tc>
          <w:tcPr>
            <w:tcW w:w="504" w:type="pct"/>
            <w:tcBorders>
              <w:top w:val="nil"/>
              <w:left w:val="nil"/>
              <w:bottom w:val="nil"/>
              <w:right w:val="nil"/>
            </w:tcBorders>
            <w:shd w:val="clear" w:color="auto" w:fill="auto"/>
            <w:noWrap/>
            <w:vAlign w:val="bottom"/>
            <w:hideMark/>
          </w:tcPr>
          <w:p w14:paraId="7BAEAAE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1 469 022</w:t>
            </w:r>
          </w:p>
        </w:tc>
        <w:tc>
          <w:tcPr>
            <w:tcW w:w="504" w:type="pct"/>
            <w:tcBorders>
              <w:top w:val="nil"/>
              <w:left w:val="nil"/>
              <w:bottom w:val="nil"/>
              <w:right w:val="nil"/>
            </w:tcBorders>
            <w:shd w:val="clear" w:color="auto" w:fill="auto"/>
            <w:noWrap/>
            <w:vAlign w:val="bottom"/>
            <w:hideMark/>
          </w:tcPr>
          <w:p w14:paraId="76DE5D3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1 233 616</w:t>
            </w:r>
          </w:p>
        </w:tc>
        <w:tc>
          <w:tcPr>
            <w:tcW w:w="442" w:type="pct"/>
            <w:tcBorders>
              <w:top w:val="nil"/>
              <w:left w:val="nil"/>
              <w:bottom w:val="nil"/>
              <w:right w:val="nil"/>
            </w:tcBorders>
            <w:shd w:val="clear" w:color="auto" w:fill="auto"/>
            <w:noWrap/>
            <w:vAlign w:val="bottom"/>
            <w:hideMark/>
          </w:tcPr>
          <w:p w14:paraId="4BABF5C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77 031</w:t>
            </w:r>
          </w:p>
        </w:tc>
        <w:tc>
          <w:tcPr>
            <w:tcW w:w="442" w:type="pct"/>
            <w:tcBorders>
              <w:top w:val="nil"/>
              <w:left w:val="nil"/>
              <w:bottom w:val="nil"/>
              <w:right w:val="nil"/>
            </w:tcBorders>
            <w:shd w:val="clear" w:color="auto" w:fill="auto"/>
            <w:noWrap/>
            <w:vAlign w:val="bottom"/>
            <w:hideMark/>
          </w:tcPr>
          <w:p w14:paraId="1EFFCC0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323 961</w:t>
            </w:r>
          </w:p>
        </w:tc>
        <w:tc>
          <w:tcPr>
            <w:tcW w:w="442" w:type="pct"/>
            <w:tcBorders>
              <w:top w:val="nil"/>
              <w:left w:val="nil"/>
              <w:bottom w:val="nil"/>
              <w:right w:val="nil"/>
            </w:tcBorders>
            <w:shd w:val="clear" w:color="auto" w:fill="auto"/>
            <w:noWrap/>
            <w:vAlign w:val="bottom"/>
            <w:hideMark/>
          </w:tcPr>
          <w:p w14:paraId="5643C78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557 612</w:t>
            </w:r>
          </w:p>
        </w:tc>
      </w:tr>
      <w:tr w:rsidR="00DD531B" w:rsidRPr="00DD531B" w14:paraId="3797D419" w14:textId="77777777" w:rsidTr="001F24AE">
        <w:trPr>
          <w:trHeight w:val="300"/>
        </w:trPr>
        <w:tc>
          <w:tcPr>
            <w:tcW w:w="1784" w:type="pct"/>
            <w:tcBorders>
              <w:top w:val="nil"/>
              <w:left w:val="nil"/>
              <w:bottom w:val="single" w:sz="4" w:space="0" w:color="auto"/>
              <w:right w:val="nil"/>
            </w:tcBorders>
            <w:shd w:val="clear" w:color="auto" w:fill="auto"/>
            <w:noWrap/>
            <w:vAlign w:val="bottom"/>
            <w:hideMark/>
          </w:tcPr>
          <w:p w14:paraId="0FFC0C28" w14:textId="77777777" w:rsidR="00DD531B" w:rsidRPr="00DD531B" w:rsidRDefault="00DD531B" w:rsidP="00DD531B">
            <w:pPr>
              <w:spacing w:after="0" w:line="240" w:lineRule="auto"/>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prostriedky EÚ</w:t>
            </w:r>
          </w:p>
        </w:tc>
        <w:tc>
          <w:tcPr>
            <w:tcW w:w="442" w:type="pct"/>
            <w:tcBorders>
              <w:top w:val="nil"/>
              <w:left w:val="nil"/>
              <w:bottom w:val="single" w:sz="4" w:space="0" w:color="auto"/>
              <w:right w:val="nil"/>
            </w:tcBorders>
            <w:shd w:val="clear" w:color="auto" w:fill="auto"/>
            <w:noWrap/>
            <w:vAlign w:val="bottom"/>
            <w:hideMark/>
          </w:tcPr>
          <w:p w14:paraId="536B1CFE"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299 598</w:t>
            </w:r>
          </w:p>
        </w:tc>
        <w:tc>
          <w:tcPr>
            <w:tcW w:w="442" w:type="pct"/>
            <w:tcBorders>
              <w:top w:val="nil"/>
              <w:left w:val="nil"/>
              <w:bottom w:val="single" w:sz="4" w:space="0" w:color="auto"/>
              <w:right w:val="nil"/>
            </w:tcBorders>
            <w:shd w:val="clear" w:color="auto" w:fill="auto"/>
            <w:noWrap/>
            <w:vAlign w:val="bottom"/>
            <w:hideMark/>
          </w:tcPr>
          <w:p w14:paraId="4F44260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310 888</w:t>
            </w:r>
          </w:p>
        </w:tc>
        <w:tc>
          <w:tcPr>
            <w:tcW w:w="504" w:type="pct"/>
            <w:tcBorders>
              <w:top w:val="nil"/>
              <w:left w:val="nil"/>
              <w:bottom w:val="single" w:sz="4" w:space="0" w:color="auto"/>
              <w:right w:val="nil"/>
            </w:tcBorders>
            <w:shd w:val="clear" w:color="auto" w:fill="auto"/>
            <w:noWrap/>
            <w:vAlign w:val="bottom"/>
            <w:hideMark/>
          </w:tcPr>
          <w:p w14:paraId="0473FCB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1 469 022</w:t>
            </w:r>
          </w:p>
        </w:tc>
        <w:tc>
          <w:tcPr>
            <w:tcW w:w="504" w:type="pct"/>
            <w:tcBorders>
              <w:top w:val="nil"/>
              <w:left w:val="nil"/>
              <w:bottom w:val="single" w:sz="4" w:space="0" w:color="auto"/>
              <w:right w:val="nil"/>
            </w:tcBorders>
            <w:shd w:val="clear" w:color="auto" w:fill="auto"/>
            <w:noWrap/>
            <w:vAlign w:val="bottom"/>
            <w:hideMark/>
          </w:tcPr>
          <w:p w14:paraId="70B1C87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1 233 616</w:t>
            </w:r>
          </w:p>
        </w:tc>
        <w:tc>
          <w:tcPr>
            <w:tcW w:w="442" w:type="pct"/>
            <w:tcBorders>
              <w:top w:val="nil"/>
              <w:left w:val="nil"/>
              <w:bottom w:val="single" w:sz="4" w:space="0" w:color="auto"/>
              <w:right w:val="nil"/>
            </w:tcBorders>
            <w:shd w:val="clear" w:color="auto" w:fill="auto"/>
            <w:noWrap/>
            <w:vAlign w:val="bottom"/>
            <w:hideMark/>
          </w:tcPr>
          <w:p w14:paraId="6F64B04E"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77 031</w:t>
            </w:r>
          </w:p>
        </w:tc>
        <w:tc>
          <w:tcPr>
            <w:tcW w:w="442" w:type="pct"/>
            <w:tcBorders>
              <w:top w:val="nil"/>
              <w:left w:val="nil"/>
              <w:bottom w:val="single" w:sz="4" w:space="0" w:color="auto"/>
              <w:right w:val="nil"/>
            </w:tcBorders>
            <w:shd w:val="clear" w:color="auto" w:fill="auto"/>
            <w:noWrap/>
            <w:vAlign w:val="bottom"/>
            <w:hideMark/>
          </w:tcPr>
          <w:p w14:paraId="04CCA55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323 961</w:t>
            </w:r>
          </w:p>
        </w:tc>
        <w:tc>
          <w:tcPr>
            <w:tcW w:w="442" w:type="pct"/>
            <w:tcBorders>
              <w:top w:val="nil"/>
              <w:left w:val="nil"/>
              <w:bottom w:val="single" w:sz="4" w:space="0" w:color="auto"/>
              <w:right w:val="nil"/>
            </w:tcBorders>
            <w:shd w:val="clear" w:color="auto" w:fill="auto"/>
            <w:noWrap/>
            <w:vAlign w:val="bottom"/>
            <w:hideMark/>
          </w:tcPr>
          <w:p w14:paraId="39EF979A"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557 612</w:t>
            </w:r>
          </w:p>
        </w:tc>
      </w:tr>
    </w:tbl>
    <w:p w14:paraId="56B0A529" w14:textId="77777777" w:rsidR="00DD531B" w:rsidRPr="00DD531B" w:rsidRDefault="00DD531B" w:rsidP="00DD531B">
      <w:pPr>
        <w:rPr>
          <w:rFonts w:ascii="Times New Roman" w:eastAsia="Calibri" w:hAnsi="Times New Roman" w:cs="Times New Roman"/>
        </w:rPr>
      </w:pPr>
    </w:p>
    <w:p w14:paraId="51BD0D2E" w14:textId="77777777" w:rsidR="00DD531B" w:rsidRPr="00DD531B" w:rsidRDefault="00DD531B" w:rsidP="00DD531B">
      <w:pPr>
        <w:rPr>
          <w:rFonts w:ascii="Times New Roman" w:eastAsia="Calibri" w:hAnsi="Times New Roman" w:cs="Times New Roman"/>
        </w:rPr>
      </w:pPr>
    </w:p>
    <w:p w14:paraId="5CAF7E24" w14:textId="2E2CFF3A" w:rsidR="00DD531B" w:rsidRPr="00DD531B" w:rsidRDefault="00B4559D" w:rsidP="00DD531B">
      <w:pPr>
        <w:keepNext/>
        <w:keepLines/>
        <w:spacing w:before="40" w:after="0"/>
        <w:outlineLvl w:val="3"/>
        <w:rPr>
          <w:rFonts w:ascii="Times New Roman" w:eastAsia="Times New Roman" w:hAnsi="Times New Roman" w:cs="Times New Roman"/>
          <w:b/>
          <w:iCs/>
          <w:color w:val="2E74B5"/>
          <w:sz w:val="20"/>
          <w:szCs w:val="20"/>
          <w:lang w:eastAsia="sk-SK"/>
        </w:rPr>
      </w:pPr>
      <w:bookmarkStart w:id="190" w:name="_Toc153013060"/>
      <w:r w:rsidRPr="00B4559D">
        <w:rPr>
          <w:rFonts w:ascii="Times New Roman" w:eastAsia="Times New Roman" w:hAnsi="Times New Roman" w:cs="Times New Roman"/>
          <w:b/>
          <w:iCs/>
          <w:color w:val="5B9BD5" w:themeColor="accent1"/>
          <w:sz w:val="20"/>
          <w:szCs w:val="20"/>
          <w:lang w:eastAsia="sk-SK"/>
        </w:rPr>
        <w:t xml:space="preserve">Tabuľka </w:t>
      </w:r>
      <w:r w:rsidRPr="00B4559D">
        <w:rPr>
          <w:rFonts w:ascii="Times New Roman" w:hAnsi="Times New Roman" w:cs="Times New Roman"/>
          <w:b/>
          <w:color w:val="5B9BD5" w:themeColor="accent1"/>
          <w:sz w:val="20"/>
          <w:szCs w:val="20"/>
        </w:rPr>
        <w:fldChar w:fldCharType="begin"/>
      </w:r>
      <w:r w:rsidRPr="00B4559D">
        <w:rPr>
          <w:rFonts w:ascii="Times New Roman" w:hAnsi="Times New Roman" w:cs="Times New Roman"/>
          <w:b/>
          <w:color w:val="5B9BD5" w:themeColor="accent1"/>
          <w:sz w:val="20"/>
          <w:szCs w:val="20"/>
        </w:rPr>
        <w:instrText xml:space="preserve"> SEQ Tabuľka \* ARABIC </w:instrText>
      </w:r>
      <w:r w:rsidRPr="00B4559D">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62</w:t>
      </w:r>
      <w:r w:rsidRPr="00B4559D">
        <w:rPr>
          <w:rFonts w:ascii="Times New Roman" w:hAnsi="Times New Roman" w:cs="Times New Roman"/>
          <w:b/>
          <w:color w:val="5B9BD5" w:themeColor="accent1"/>
          <w:sz w:val="20"/>
          <w:szCs w:val="20"/>
        </w:rPr>
        <w:fldChar w:fldCharType="end"/>
      </w:r>
      <w:r w:rsidRPr="00B4559D">
        <w:rPr>
          <w:rFonts w:ascii="Times New Roman" w:hAnsi="Times New Roman" w:cs="Times New Roman"/>
          <w:b/>
          <w:color w:val="5B9BD5" w:themeColor="accent1"/>
          <w:sz w:val="20"/>
          <w:szCs w:val="20"/>
        </w:rPr>
        <w:t xml:space="preserve"> - </w:t>
      </w:r>
      <w:r w:rsidR="00DD531B" w:rsidRPr="00B4559D">
        <w:rPr>
          <w:rFonts w:ascii="Times New Roman" w:eastAsia="Times New Roman" w:hAnsi="Times New Roman" w:cs="Times New Roman"/>
          <w:b/>
          <w:iCs/>
          <w:color w:val="5B9BD5" w:themeColor="accent1"/>
          <w:sz w:val="20"/>
          <w:szCs w:val="20"/>
          <w:lang w:eastAsia="sk-SK"/>
        </w:rPr>
        <w:t>Výdavky kapitoly MIRRI SR</w:t>
      </w:r>
      <w:bookmarkEnd w:id="190"/>
    </w:p>
    <w:tbl>
      <w:tblPr>
        <w:tblW w:w="5000" w:type="pct"/>
        <w:tblCellMar>
          <w:left w:w="70" w:type="dxa"/>
          <w:right w:w="70" w:type="dxa"/>
        </w:tblCellMar>
        <w:tblLook w:val="04A0" w:firstRow="1" w:lastRow="0" w:firstColumn="1" w:lastColumn="0" w:noHBand="0" w:noVBand="1"/>
      </w:tblPr>
      <w:tblGrid>
        <w:gridCol w:w="3572"/>
        <w:gridCol w:w="754"/>
        <w:gridCol w:w="754"/>
        <w:gridCol w:w="866"/>
        <w:gridCol w:w="866"/>
        <w:gridCol w:w="754"/>
        <w:gridCol w:w="755"/>
        <w:gridCol w:w="751"/>
      </w:tblGrid>
      <w:tr w:rsidR="00DD531B" w:rsidRPr="00DD531B" w14:paraId="0A8B7414" w14:textId="77777777" w:rsidTr="001F24AE">
        <w:trPr>
          <w:trHeight w:val="300"/>
        </w:trPr>
        <w:tc>
          <w:tcPr>
            <w:tcW w:w="1784" w:type="pct"/>
            <w:tcBorders>
              <w:top w:val="single" w:sz="4" w:space="0" w:color="auto"/>
              <w:left w:val="nil"/>
              <w:bottom w:val="single" w:sz="4" w:space="0" w:color="auto"/>
              <w:right w:val="nil"/>
            </w:tcBorders>
            <w:shd w:val="clear" w:color="auto" w:fill="auto"/>
            <w:noWrap/>
            <w:vAlign w:val="center"/>
            <w:hideMark/>
          </w:tcPr>
          <w:p w14:paraId="53872283" w14:textId="77777777" w:rsidR="00DD531B" w:rsidRPr="00B4559D" w:rsidRDefault="00DD531B" w:rsidP="00DD531B">
            <w:pPr>
              <w:spacing w:after="0" w:line="240" w:lineRule="auto"/>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v tis. eur</w:t>
            </w:r>
          </w:p>
        </w:tc>
        <w:tc>
          <w:tcPr>
            <w:tcW w:w="442" w:type="pct"/>
            <w:tcBorders>
              <w:top w:val="single" w:sz="4" w:space="0" w:color="auto"/>
              <w:left w:val="nil"/>
              <w:bottom w:val="single" w:sz="4" w:space="0" w:color="auto"/>
              <w:right w:val="nil"/>
            </w:tcBorders>
            <w:shd w:val="clear" w:color="auto" w:fill="auto"/>
            <w:noWrap/>
            <w:vAlign w:val="center"/>
            <w:hideMark/>
          </w:tcPr>
          <w:p w14:paraId="0243E9F7"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2021 S</w:t>
            </w:r>
          </w:p>
        </w:tc>
        <w:tc>
          <w:tcPr>
            <w:tcW w:w="442" w:type="pct"/>
            <w:tcBorders>
              <w:top w:val="single" w:sz="4" w:space="0" w:color="auto"/>
              <w:left w:val="nil"/>
              <w:bottom w:val="single" w:sz="4" w:space="0" w:color="auto"/>
              <w:right w:val="nil"/>
            </w:tcBorders>
            <w:shd w:val="clear" w:color="auto" w:fill="auto"/>
            <w:noWrap/>
            <w:vAlign w:val="center"/>
            <w:hideMark/>
          </w:tcPr>
          <w:p w14:paraId="02734B34"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2022 S</w:t>
            </w:r>
          </w:p>
        </w:tc>
        <w:tc>
          <w:tcPr>
            <w:tcW w:w="504" w:type="pct"/>
            <w:tcBorders>
              <w:top w:val="single" w:sz="4" w:space="0" w:color="auto"/>
              <w:left w:val="nil"/>
              <w:bottom w:val="single" w:sz="4" w:space="0" w:color="auto"/>
              <w:right w:val="nil"/>
            </w:tcBorders>
            <w:shd w:val="clear" w:color="auto" w:fill="auto"/>
            <w:noWrap/>
            <w:vAlign w:val="center"/>
            <w:hideMark/>
          </w:tcPr>
          <w:p w14:paraId="1C18AC4A"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2023 R</w:t>
            </w:r>
          </w:p>
        </w:tc>
        <w:tc>
          <w:tcPr>
            <w:tcW w:w="504" w:type="pct"/>
            <w:tcBorders>
              <w:top w:val="single" w:sz="4" w:space="0" w:color="auto"/>
              <w:left w:val="nil"/>
              <w:bottom w:val="single" w:sz="4" w:space="0" w:color="auto"/>
              <w:right w:val="nil"/>
            </w:tcBorders>
            <w:shd w:val="clear" w:color="auto" w:fill="auto"/>
            <w:noWrap/>
            <w:vAlign w:val="center"/>
            <w:hideMark/>
          </w:tcPr>
          <w:p w14:paraId="7996454D"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2023 OS</w:t>
            </w:r>
          </w:p>
        </w:tc>
        <w:tc>
          <w:tcPr>
            <w:tcW w:w="442" w:type="pct"/>
            <w:tcBorders>
              <w:top w:val="single" w:sz="4" w:space="0" w:color="auto"/>
              <w:left w:val="nil"/>
              <w:bottom w:val="single" w:sz="4" w:space="0" w:color="auto"/>
              <w:right w:val="nil"/>
            </w:tcBorders>
            <w:shd w:val="clear" w:color="auto" w:fill="auto"/>
            <w:noWrap/>
            <w:vAlign w:val="center"/>
            <w:hideMark/>
          </w:tcPr>
          <w:p w14:paraId="14ED9CE7"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2024 N</w:t>
            </w:r>
          </w:p>
        </w:tc>
        <w:tc>
          <w:tcPr>
            <w:tcW w:w="442" w:type="pct"/>
            <w:tcBorders>
              <w:top w:val="single" w:sz="4" w:space="0" w:color="auto"/>
              <w:left w:val="nil"/>
              <w:bottom w:val="single" w:sz="4" w:space="0" w:color="auto"/>
              <w:right w:val="nil"/>
            </w:tcBorders>
            <w:shd w:val="clear" w:color="auto" w:fill="auto"/>
            <w:noWrap/>
            <w:vAlign w:val="center"/>
            <w:hideMark/>
          </w:tcPr>
          <w:p w14:paraId="7AA8FC31"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2025 N</w:t>
            </w:r>
          </w:p>
        </w:tc>
        <w:tc>
          <w:tcPr>
            <w:tcW w:w="442" w:type="pct"/>
            <w:tcBorders>
              <w:top w:val="single" w:sz="4" w:space="0" w:color="auto"/>
              <w:left w:val="nil"/>
              <w:bottom w:val="single" w:sz="4" w:space="0" w:color="auto"/>
              <w:right w:val="nil"/>
            </w:tcBorders>
            <w:shd w:val="clear" w:color="auto" w:fill="auto"/>
            <w:noWrap/>
            <w:vAlign w:val="center"/>
            <w:hideMark/>
          </w:tcPr>
          <w:p w14:paraId="3FDFDF6F" w14:textId="77777777" w:rsidR="00DD531B" w:rsidRPr="00B4559D" w:rsidRDefault="00DD531B" w:rsidP="00B4559D">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2026 N</w:t>
            </w:r>
          </w:p>
        </w:tc>
      </w:tr>
      <w:tr w:rsidR="00DD531B" w:rsidRPr="00DD531B" w14:paraId="239685F9" w14:textId="77777777" w:rsidTr="001F24AE">
        <w:trPr>
          <w:trHeight w:val="300"/>
        </w:trPr>
        <w:tc>
          <w:tcPr>
            <w:tcW w:w="1784" w:type="pct"/>
            <w:tcBorders>
              <w:top w:val="nil"/>
              <w:left w:val="nil"/>
              <w:bottom w:val="nil"/>
              <w:right w:val="nil"/>
            </w:tcBorders>
            <w:shd w:val="clear" w:color="auto" w:fill="auto"/>
            <w:noWrap/>
            <w:vAlign w:val="center"/>
            <w:hideMark/>
          </w:tcPr>
          <w:p w14:paraId="22F0D312" w14:textId="77777777" w:rsidR="00DD531B" w:rsidRPr="00B4559D" w:rsidRDefault="00DD531B" w:rsidP="00DD531B">
            <w:pPr>
              <w:spacing w:after="0" w:line="240" w:lineRule="auto"/>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Výdavky kapitoly spolu</w:t>
            </w:r>
          </w:p>
        </w:tc>
        <w:tc>
          <w:tcPr>
            <w:tcW w:w="442" w:type="pct"/>
            <w:tcBorders>
              <w:top w:val="nil"/>
              <w:left w:val="nil"/>
              <w:bottom w:val="nil"/>
              <w:right w:val="nil"/>
            </w:tcBorders>
            <w:shd w:val="clear" w:color="auto" w:fill="auto"/>
            <w:noWrap/>
            <w:vAlign w:val="center"/>
            <w:hideMark/>
          </w:tcPr>
          <w:p w14:paraId="0BDE2F09"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395 872</w:t>
            </w:r>
          </w:p>
        </w:tc>
        <w:tc>
          <w:tcPr>
            <w:tcW w:w="442" w:type="pct"/>
            <w:tcBorders>
              <w:top w:val="nil"/>
              <w:left w:val="nil"/>
              <w:bottom w:val="nil"/>
              <w:right w:val="nil"/>
            </w:tcBorders>
            <w:shd w:val="clear" w:color="auto" w:fill="auto"/>
            <w:noWrap/>
            <w:vAlign w:val="center"/>
            <w:hideMark/>
          </w:tcPr>
          <w:p w14:paraId="65BF2969"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465 361</w:t>
            </w:r>
          </w:p>
        </w:tc>
        <w:tc>
          <w:tcPr>
            <w:tcW w:w="504" w:type="pct"/>
            <w:tcBorders>
              <w:top w:val="nil"/>
              <w:left w:val="nil"/>
              <w:bottom w:val="nil"/>
              <w:right w:val="nil"/>
            </w:tcBorders>
            <w:shd w:val="clear" w:color="auto" w:fill="auto"/>
            <w:noWrap/>
            <w:vAlign w:val="center"/>
            <w:hideMark/>
          </w:tcPr>
          <w:p w14:paraId="71A4835F"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2 013 854</w:t>
            </w:r>
          </w:p>
        </w:tc>
        <w:tc>
          <w:tcPr>
            <w:tcW w:w="504" w:type="pct"/>
            <w:tcBorders>
              <w:top w:val="nil"/>
              <w:left w:val="nil"/>
              <w:bottom w:val="nil"/>
              <w:right w:val="nil"/>
            </w:tcBorders>
            <w:shd w:val="clear" w:color="auto" w:fill="auto"/>
            <w:noWrap/>
            <w:vAlign w:val="center"/>
            <w:hideMark/>
          </w:tcPr>
          <w:p w14:paraId="4F50D8BC"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1 493 709</w:t>
            </w:r>
          </w:p>
        </w:tc>
        <w:tc>
          <w:tcPr>
            <w:tcW w:w="442" w:type="pct"/>
            <w:tcBorders>
              <w:top w:val="nil"/>
              <w:left w:val="nil"/>
              <w:bottom w:val="nil"/>
              <w:right w:val="nil"/>
            </w:tcBorders>
            <w:shd w:val="clear" w:color="auto" w:fill="auto"/>
            <w:noWrap/>
            <w:vAlign w:val="center"/>
            <w:hideMark/>
          </w:tcPr>
          <w:p w14:paraId="6B977CA3"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421 393</w:t>
            </w:r>
          </w:p>
        </w:tc>
        <w:tc>
          <w:tcPr>
            <w:tcW w:w="442" w:type="pct"/>
            <w:tcBorders>
              <w:top w:val="nil"/>
              <w:left w:val="nil"/>
              <w:bottom w:val="nil"/>
              <w:right w:val="nil"/>
            </w:tcBorders>
            <w:shd w:val="clear" w:color="auto" w:fill="auto"/>
            <w:noWrap/>
            <w:vAlign w:val="center"/>
            <w:hideMark/>
          </w:tcPr>
          <w:p w14:paraId="2D9558FA"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726 549</w:t>
            </w:r>
          </w:p>
        </w:tc>
        <w:tc>
          <w:tcPr>
            <w:tcW w:w="442" w:type="pct"/>
            <w:tcBorders>
              <w:top w:val="nil"/>
              <w:left w:val="nil"/>
              <w:bottom w:val="nil"/>
              <w:right w:val="nil"/>
            </w:tcBorders>
            <w:shd w:val="clear" w:color="auto" w:fill="auto"/>
            <w:noWrap/>
            <w:vAlign w:val="center"/>
            <w:hideMark/>
          </w:tcPr>
          <w:p w14:paraId="558327B1"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885 686</w:t>
            </w:r>
          </w:p>
        </w:tc>
      </w:tr>
      <w:tr w:rsidR="00DD531B" w:rsidRPr="00DD531B" w14:paraId="208B8874" w14:textId="77777777" w:rsidTr="001F24AE">
        <w:trPr>
          <w:trHeight w:val="300"/>
        </w:trPr>
        <w:tc>
          <w:tcPr>
            <w:tcW w:w="1784" w:type="pct"/>
            <w:tcBorders>
              <w:top w:val="nil"/>
              <w:left w:val="nil"/>
              <w:bottom w:val="nil"/>
              <w:right w:val="nil"/>
            </w:tcBorders>
            <w:shd w:val="clear" w:color="auto" w:fill="auto"/>
            <w:noWrap/>
            <w:vAlign w:val="bottom"/>
            <w:hideMark/>
          </w:tcPr>
          <w:p w14:paraId="609E5EAC" w14:textId="77777777" w:rsidR="00DD531B" w:rsidRPr="00B4559D" w:rsidRDefault="00DD531B" w:rsidP="00DD531B">
            <w:pPr>
              <w:spacing w:after="0" w:line="240" w:lineRule="auto"/>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rozpočtové zdroje kapitoly</w:t>
            </w:r>
          </w:p>
        </w:tc>
        <w:tc>
          <w:tcPr>
            <w:tcW w:w="442" w:type="pct"/>
            <w:tcBorders>
              <w:top w:val="nil"/>
              <w:left w:val="nil"/>
              <w:bottom w:val="nil"/>
              <w:right w:val="nil"/>
            </w:tcBorders>
            <w:shd w:val="clear" w:color="auto" w:fill="auto"/>
            <w:noWrap/>
            <w:vAlign w:val="bottom"/>
            <w:hideMark/>
          </w:tcPr>
          <w:p w14:paraId="36A2D5AF"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107 272</w:t>
            </w:r>
          </w:p>
        </w:tc>
        <w:tc>
          <w:tcPr>
            <w:tcW w:w="442" w:type="pct"/>
            <w:tcBorders>
              <w:top w:val="nil"/>
              <w:left w:val="nil"/>
              <w:bottom w:val="nil"/>
              <w:right w:val="nil"/>
            </w:tcBorders>
            <w:shd w:val="clear" w:color="auto" w:fill="auto"/>
            <w:noWrap/>
            <w:vAlign w:val="bottom"/>
            <w:hideMark/>
          </w:tcPr>
          <w:p w14:paraId="1FEC7551"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78 400</w:t>
            </w:r>
          </w:p>
        </w:tc>
        <w:tc>
          <w:tcPr>
            <w:tcW w:w="504" w:type="pct"/>
            <w:tcBorders>
              <w:top w:val="nil"/>
              <w:left w:val="nil"/>
              <w:bottom w:val="nil"/>
              <w:right w:val="nil"/>
            </w:tcBorders>
            <w:shd w:val="clear" w:color="auto" w:fill="auto"/>
            <w:noWrap/>
            <w:vAlign w:val="bottom"/>
            <w:hideMark/>
          </w:tcPr>
          <w:p w14:paraId="4D5D56A1"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89 313</w:t>
            </w:r>
          </w:p>
        </w:tc>
        <w:tc>
          <w:tcPr>
            <w:tcW w:w="504" w:type="pct"/>
            <w:tcBorders>
              <w:top w:val="nil"/>
              <w:left w:val="nil"/>
              <w:bottom w:val="nil"/>
              <w:right w:val="nil"/>
            </w:tcBorders>
            <w:shd w:val="clear" w:color="auto" w:fill="auto"/>
            <w:noWrap/>
            <w:vAlign w:val="bottom"/>
            <w:hideMark/>
          </w:tcPr>
          <w:p w14:paraId="10D12CCB"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94 650</w:t>
            </w:r>
          </w:p>
        </w:tc>
        <w:tc>
          <w:tcPr>
            <w:tcW w:w="442" w:type="pct"/>
            <w:tcBorders>
              <w:top w:val="nil"/>
              <w:left w:val="nil"/>
              <w:bottom w:val="nil"/>
              <w:right w:val="nil"/>
            </w:tcBorders>
            <w:shd w:val="clear" w:color="auto" w:fill="auto"/>
            <w:noWrap/>
            <w:vAlign w:val="bottom"/>
            <w:hideMark/>
          </w:tcPr>
          <w:p w14:paraId="43B0141B"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124 624</w:t>
            </w:r>
          </w:p>
        </w:tc>
        <w:tc>
          <w:tcPr>
            <w:tcW w:w="442" w:type="pct"/>
            <w:tcBorders>
              <w:top w:val="nil"/>
              <w:left w:val="nil"/>
              <w:bottom w:val="nil"/>
              <w:right w:val="nil"/>
            </w:tcBorders>
            <w:shd w:val="clear" w:color="auto" w:fill="auto"/>
            <w:noWrap/>
            <w:vAlign w:val="bottom"/>
            <w:hideMark/>
          </w:tcPr>
          <w:p w14:paraId="550017AA"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153 822</w:t>
            </w:r>
          </w:p>
        </w:tc>
        <w:tc>
          <w:tcPr>
            <w:tcW w:w="442" w:type="pct"/>
            <w:tcBorders>
              <w:top w:val="nil"/>
              <w:left w:val="nil"/>
              <w:bottom w:val="nil"/>
              <w:right w:val="nil"/>
            </w:tcBorders>
            <w:shd w:val="clear" w:color="auto" w:fill="auto"/>
            <w:noWrap/>
            <w:vAlign w:val="bottom"/>
            <w:hideMark/>
          </w:tcPr>
          <w:p w14:paraId="7F98B603"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147 635</w:t>
            </w:r>
          </w:p>
        </w:tc>
      </w:tr>
      <w:tr w:rsidR="00DD531B" w:rsidRPr="00DD531B" w14:paraId="21BE00AB" w14:textId="77777777" w:rsidTr="001F24AE">
        <w:trPr>
          <w:trHeight w:val="300"/>
        </w:trPr>
        <w:tc>
          <w:tcPr>
            <w:tcW w:w="1784" w:type="pct"/>
            <w:tcBorders>
              <w:top w:val="nil"/>
              <w:left w:val="nil"/>
              <w:bottom w:val="nil"/>
              <w:right w:val="nil"/>
            </w:tcBorders>
            <w:shd w:val="clear" w:color="auto" w:fill="auto"/>
            <w:noWrap/>
            <w:vAlign w:val="bottom"/>
            <w:hideMark/>
          </w:tcPr>
          <w:p w14:paraId="23FE8B41"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bežné výdavky  600, v tom:</w:t>
            </w:r>
          </w:p>
        </w:tc>
        <w:tc>
          <w:tcPr>
            <w:tcW w:w="442" w:type="pct"/>
            <w:tcBorders>
              <w:top w:val="nil"/>
              <w:left w:val="nil"/>
              <w:bottom w:val="nil"/>
              <w:right w:val="nil"/>
            </w:tcBorders>
            <w:shd w:val="clear" w:color="auto" w:fill="auto"/>
            <w:noWrap/>
            <w:vAlign w:val="bottom"/>
            <w:hideMark/>
          </w:tcPr>
          <w:p w14:paraId="77311088"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90 241</w:t>
            </w:r>
          </w:p>
        </w:tc>
        <w:tc>
          <w:tcPr>
            <w:tcW w:w="442" w:type="pct"/>
            <w:tcBorders>
              <w:top w:val="nil"/>
              <w:left w:val="nil"/>
              <w:bottom w:val="nil"/>
              <w:right w:val="nil"/>
            </w:tcBorders>
            <w:shd w:val="clear" w:color="auto" w:fill="auto"/>
            <w:noWrap/>
            <w:vAlign w:val="bottom"/>
            <w:hideMark/>
          </w:tcPr>
          <w:p w14:paraId="30541C08"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71 129</w:t>
            </w:r>
          </w:p>
        </w:tc>
        <w:tc>
          <w:tcPr>
            <w:tcW w:w="504" w:type="pct"/>
            <w:tcBorders>
              <w:top w:val="nil"/>
              <w:left w:val="nil"/>
              <w:bottom w:val="nil"/>
              <w:right w:val="nil"/>
            </w:tcBorders>
            <w:shd w:val="clear" w:color="auto" w:fill="auto"/>
            <w:noWrap/>
            <w:vAlign w:val="bottom"/>
            <w:hideMark/>
          </w:tcPr>
          <w:p w14:paraId="25C424AB"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82 892</w:t>
            </w:r>
          </w:p>
        </w:tc>
        <w:tc>
          <w:tcPr>
            <w:tcW w:w="504" w:type="pct"/>
            <w:tcBorders>
              <w:top w:val="nil"/>
              <w:left w:val="nil"/>
              <w:bottom w:val="nil"/>
              <w:right w:val="nil"/>
            </w:tcBorders>
            <w:shd w:val="clear" w:color="auto" w:fill="auto"/>
            <w:noWrap/>
            <w:vAlign w:val="bottom"/>
            <w:hideMark/>
          </w:tcPr>
          <w:p w14:paraId="70BF6BB7"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88 437</w:t>
            </w:r>
          </w:p>
        </w:tc>
        <w:tc>
          <w:tcPr>
            <w:tcW w:w="442" w:type="pct"/>
            <w:tcBorders>
              <w:top w:val="nil"/>
              <w:left w:val="nil"/>
              <w:bottom w:val="nil"/>
              <w:right w:val="nil"/>
            </w:tcBorders>
            <w:shd w:val="clear" w:color="auto" w:fill="auto"/>
            <w:noWrap/>
            <w:vAlign w:val="bottom"/>
            <w:hideMark/>
          </w:tcPr>
          <w:p w14:paraId="7A944323"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122 153</w:t>
            </w:r>
          </w:p>
        </w:tc>
        <w:tc>
          <w:tcPr>
            <w:tcW w:w="442" w:type="pct"/>
            <w:tcBorders>
              <w:top w:val="nil"/>
              <w:left w:val="nil"/>
              <w:bottom w:val="nil"/>
              <w:right w:val="nil"/>
            </w:tcBorders>
            <w:shd w:val="clear" w:color="auto" w:fill="auto"/>
            <w:noWrap/>
            <w:vAlign w:val="bottom"/>
            <w:hideMark/>
          </w:tcPr>
          <w:p w14:paraId="24E09911"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123 510</w:t>
            </w:r>
          </w:p>
        </w:tc>
        <w:tc>
          <w:tcPr>
            <w:tcW w:w="442" w:type="pct"/>
            <w:tcBorders>
              <w:top w:val="nil"/>
              <w:left w:val="nil"/>
              <w:bottom w:val="nil"/>
              <w:right w:val="nil"/>
            </w:tcBorders>
            <w:shd w:val="clear" w:color="auto" w:fill="auto"/>
            <w:noWrap/>
            <w:vAlign w:val="bottom"/>
            <w:hideMark/>
          </w:tcPr>
          <w:p w14:paraId="575CE4AF"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125 413</w:t>
            </w:r>
          </w:p>
        </w:tc>
      </w:tr>
      <w:tr w:rsidR="00DD531B" w:rsidRPr="00DD531B" w14:paraId="010BB28F" w14:textId="77777777" w:rsidTr="001F24AE">
        <w:trPr>
          <w:trHeight w:val="300"/>
        </w:trPr>
        <w:tc>
          <w:tcPr>
            <w:tcW w:w="1784" w:type="pct"/>
            <w:tcBorders>
              <w:top w:val="nil"/>
              <w:left w:val="nil"/>
              <w:bottom w:val="nil"/>
              <w:right w:val="nil"/>
            </w:tcBorders>
            <w:shd w:val="clear" w:color="auto" w:fill="auto"/>
            <w:noWrap/>
            <w:vAlign w:val="bottom"/>
            <w:hideMark/>
          </w:tcPr>
          <w:p w14:paraId="112C539A"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610 mzdy</w:t>
            </w:r>
          </w:p>
        </w:tc>
        <w:tc>
          <w:tcPr>
            <w:tcW w:w="442" w:type="pct"/>
            <w:tcBorders>
              <w:top w:val="nil"/>
              <w:left w:val="nil"/>
              <w:bottom w:val="nil"/>
              <w:right w:val="nil"/>
            </w:tcBorders>
            <w:shd w:val="clear" w:color="auto" w:fill="auto"/>
            <w:noWrap/>
            <w:vAlign w:val="bottom"/>
            <w:hideMark/>
          </w:tcPr>
          <w:p w14:paraId="6C8FE640"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11 194</w:t>
            </w:r>
          </w:p>
        </w:tc>
        <w:tc>
          <w:tcPr>
            <w:tcW w:w="442" w:type="pct"/>
            <w:tcBorders>
              <w:top w:val="nil"/>
              <w:left w:val="nil"/>
              <w:bottom w:val="nil"/>
              <w:right w:val="nil"/>
            </w:tcBorders>
            <w:shd w:val="clear" w:color="auto" w:fill="auto"/>
            <w:noWrap/>
            <w:vAlign w:val="bottom"/>
            <w:hideMark/>
          </w:tcPr>
          <w:p w14:paraId="67812500"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13 952</w:t>
            </w:r>
          </w:p>
        </w:tc>
        <w:tc>
          <w:tcPr>
            <w:tcW w:w="504" w:type="pct"/>
            <w:tcBorders>
              <w:top w:val="nil"/>
              <w:left w:val="nil"/>
              <w:bottom w:val="nil"/>
              <w:right w:val="nil"/>
            </w:tcBorders>
            <w:shd w:val="clear" w:color="auto" w:fill="auto"/>
            <w:noWrap/>
            <w:vAlign w:val="bottom"/>
            <w:hideMark/>
          </w:tcPr>
          <w:p w14:paraId="607565A9"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12 711</w:t>
            </w:r>
          </w:p>
        </w:tc>
        <w:tc>
          <w:tcPr>
            <w:tcW w:w="504" w:type="pct"/>
            <w:tcBorders>
              <w:top w:val="nil"/>
              <w:left w:val="nil"/>
              <w:bottom w:val="nil"/>
              <w:right w:val="nil"/>
            </w:tcBorders>
            <w:shd w:val="clear" w:color="auto" w:fill="auto"/>
            <w:noWrap/>
            <w:vAlign w:val="bottom"/>
            <w:hideMark/>
          </w:tcPr>
          <w:p w14:paraId="12C9FD7B"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18 617</w:t>
            </w:r>
          </w:p>
        </w:tc>
        <w:tc>
          <w:tcPr>
            <w:tcW w:w="442" w:type="pct"/>
            <w:tcBorders>
              <w:top w:val="nil"/>
              <w:left w:val="nil"/>
              <w:bottom w:val="nil"/>
              <w:right w:val="nil"/>
            </w:tcBorders>
            <w:shd w:val="clear" w:color="auto" w:fill="auto"/>
            <w:noWrap/>
            <w:vAlign w:val="bottom"/>
            <w:hideMark/>
          </w:tcPr>
          <w:p w14:paraId="6A0E1F8A"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15 703</w:t>
            </w:r>
          </w:p>
        </w:tc>
        <w:tc>
          <w:tcPr>
            <w:tcW w:w="442" w:type="pct"/>
            <w:tcBorders>
              <w:top w:val="nil"/>
              <w:left w:val="nil"/>
              <w:bottom w:val="nil"/>
              <w:right w:val="nil"/>
            </w:tcBorders>
            <w:shd w:val="clear" w:color="auto" w:fill="auto"/>
            <w:noWrap/>
            <w:vAlign w:val="bottom"/>
            <w:hideMark/>
          </w:tcPr>
          <w:p w14:paraId="3ADCD264"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15 504</w:t>
            </w:r>
          </w:p>
        </w:tc>
        <w:tc>
          <w:tcPr>
            <w:tcW w:w="442" w:type="pct"/>
            <w:tcBorders>
              <w:top w:val="nil"/>
              <w:left w:val="nil"/>
              <w:bottom w:val="nil"/>
              <w:right w:val="nil"/>
            </w:tcBorders>
            <w:shd w:val="clear" w:color="auto" w:fill="auto"/>
            <w:noWrap/>
            <w:vAlign w:val="bottom"/>
            <w:hideMark/>
          </w:tcPr>
          <w:p w14:paraId="44801753"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15 782</w:t>
            </w:r>
          </w:p>
        </w:tc>
      </w:tr>
      <w:tr w:rsidR="00DD531B" w:rsidRPr="00DD531B" w14:paraId="67FD1E61" w14:textId="77777777" w:rsidTr="001F24AE">
        <w:trPr>
          <w:trHeight w:val="300"/>
        </w:trPr>
        <w:tc>
          <w:tcPr>
            <w:tcW w:w="1784" w:type="pct"/>
            <w:tcBorders>
              <w:top w:val="nil"/>
              <w:left w:val="nil"/>
              <w:bottom w:val="nil"/>
              <w:right w:val="nil"/>
            </w:tcBorders>
            <w:shd w:val="clear" w:color="auto" w:fill="auto"/>
            <w:noWrap/>
            <w:vAlign w:val="bottom"/>
            <w:hideMark/>
          </w:tcPr>
          <w:p w14:paraId="38CDBE8A"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620 odvody</w:t>
            </w:r>
          </w:p>
        </w:tc>
        <w:tc>
          <w:tcPr>
            <w:tcW w:w="442" w:type="pct"/>
            <w:tcBorders>
              <w:top w:val="nil"/>
              <w:left w:val="nil"/>
              <w:bottom w:val="nil"/>
              <w:right w:val="nil"/>
            </w:tcBorders>
            <w:shd w:val="clear" w:color="auto" w:fill="auto"/>
            <w:noWrap/>
            <w:vAlign w:val="bottom"/>
            <w:hideMark/>
          </w:tcPr>
          <w:p w14:paraId="48137C84"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7 220</w:t>
            </w:r>
          </w:p>
        </w:tc>
        <w:tc>
          <w:tcPr>
            <w:tcW w:w="442" w:type="pct"/>
            <w:tcBorders>
              <w:top w:val="nil"/>
              <w:left w:val="nil"/>
              <w:bottom w:val="nil"/>
              <w:right w:val="nil"/>
            </w:tcBorders>
            <w:shd w:val="clear" w:color="auto" w:fill="auto"/>
            <w:noWrap/>
            <w:vAlign w:val="bottom"/>
            <w:hideMark/>
          </w:tcPr>
          <w:p w14:paraId="2E9CA4BA"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5 102</w:t>
            </w:r>
          </w:p>
        </w:tc>
        <w:tc>
          <w:tcPr>
            <w:tcW w:w="504" w:type="pct"/>
            <w:tcBorders>
              <w:top w:val="nil"/>
              <w:left w:val="nil"/>
              <w:bottom w:val="nil"/>
              <w:right w:val="nil"/>
            </w:tcBorders>
            <w:shd w:val="clear" w:color="auto" w:fill="auto"/>
            <w:noWrap/>
            <w:vAlign w:val="bottom"/>
            <w:hideMark/>
          </w:tcPr>
          <w:p w14:paraId="4A684611"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4 711</w:t>
            </w:r>
          </w:p>
        </w:tc>
        <w:tc>
          <w:tcPr>
            <w:tcW w:w="504" w:type="pct"/>
            <w:tcBorders>
              <w:top w:val="nil"/>
              <w:left w:val="nil"/>
              <w:bottom w:val="nil"/>
              <w:right w:val="nil"/>
            </w:tcBorders>
            <w:shd w:val="clear" w:color="auto" w:fill="auto"/>
            <w:noWrap/>
            <w:vAlign w:val="bottom"/>
            <w:hideMark/>
          </w:tcPr>
          <w:p w14:paraId="1D54D37E"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5 184</w:t>
            </w:r>
          </w:p>
        </w:tc>
        <w:tc>
          <w:tcPr>
            <w:tcW w:w="442" w:type="pct"/>
            <w:tcBorders>
              <w:top w:val="nil"/>
              <w:left w:val="nil"/>
              <w:bottom w:val="nil"/>
              <w:right w:val="nil"/>
            </w:tcBorders>
            <w:shd w:val="clear" w:color="auto" w:fill="auto"/>
            <w:noWrap/>
            <w:vAlign w:val="bottom"/>
            <w:hideMark/>
          </w:tcPr>
          <w:p w14:paraId="5A425007"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5 485</w:t>
            </w:r>
          </w:p>
        </w:tc>
        <w:tc>
          <w:tcPr>
            <w:tcW w:w="442" w:type="pct"/>
            <w:tcBorders>
              <w:top w:val="nil"/>
              <w:left w:val="nil"/>
              <w:bottom w:val="nil"/>
              <w:right w:val="nil"/>
            </w:tcBorders>
            <w:shd w:val="clear" w:color="auto" w:fill="auto"/>
            <w:noWrap/>
            <w:vAlign w:val="bottom"/>
            <w:hideMark/>
          </w:tcPr>
          <w:p w14:paraId="3D0512C8"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5 466</w:t>
            </w:r>
          </w:p>
        </w:tc>
        <w:tc>
          <w:tcPr>
            <w:tcW w:w="442" w:type="pct"/>
            <w:tcBorders>
              <w:top w:val="nil"/>
              <w:left w:val="nil"/>
              <w:bottom w:val="nil"/>
              <w:right w:val="nil"/>
            </w:tcBorders>
            <w:shd w:val="clear" w:color="auto" w:fill="auto"/>
            <w:noWrap/>
            <w:vAlign w:val="bottom"/>
            <w:hideMark/>
          </w:tcPr>
          <w:p w14:paraId="06AE4E43"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5 563</w:t>
            </w:r>
          </w:p>
        </w:tc>
      </w:tr>
      <w:tr w:rsidR="00DD531B" w:rsidRPr="00DD531B" w14:paraId="7D681C60" w14:textId="77777777" w:rsidTr="001F24AE">
        <w:trPr>
          <w:trHeight w:val="300"/>
        </w:trPr>
        <w:tc>
          <w:tcPr>
            <w:tcW w:w="1784" w:type="pct"/>
            <w:tcBorders>
              <w:top w:val="nil"/>
              <w:left w:val="nil"/>
              <w:bottom w:val="nil"/>
              <w:right w:val="nil"/>
            </w:tcBorders>
            <w:shd w:val="clear" w:color="auto" w:fill="auto"/>
            <w:noWrap/>
            <w:vAlign w:val="bottom"/>
            <w:hideMark/>
          </w:tcPr>
          <w:p w14:paraId="7483585C"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630 tovary a služby</w:t>
            </w:r>
          </w:p>
        </w:tc>
        <w:tc>
          <w:tcPr>
            <w:tcW w:w="442" w:type="pct"/>
            <w:tcBorders>
              <w:top w:val="nil"/>
              <w:left w:val="nil"/>
              <w:bottom w:val="nil"/>
              <w:right w:val="nil"/>
            </w:tcBorders>
            <w:shd w:val="clear" w:color="auto" w:fill="auto"/>
            <w:noWrap/>
            <w:vAlign w:val="bottom"/>
            <w:hideMark/>
          </w:tcPr>
          <w:p w14:paraId="6DE1BB8D"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33 673</w:t>
            </w:r>
          </w:p>
        </w:tc>
        <w:tc>
          <w:tcPr>
            <w:tcW w:w="442" w:type="pct"/>
            <w:tcBorders>
              <w:top w:val="nil"/>
              <w:left w:val="nil"/>
              <w:bottom w:val="nil"/>
              <w:right w:val="nil"/>
            </w:tcBorders>
            <w:shd w:val="clear" w:color="auto" w:fill="auto"/>
            <w:noWrap/>
            <w:vAlign w:val="bottom"/>
            <w:hideMark/>
          </w:tcPr>
          <w:p w14:paraId="07E5136D"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15 520</w:t>
            </w:r>
          </w:p>
        </w:tc>
        <w:tc>
          <w:tcPr>
            <w:tcW w:w="504" w:type="pct"/>
            <w:tcBorders>
              <w:top w:val="nil"/>
              <w:left w:val="nil"/>
              <w:bottom w:val="nil"/>
              <w:right w:val="nil"/>
            </w:tcBorders>
            <w:shd w:val="clear" w:color="auto" w:fill="auto"/>
            <w:noWrap/>
            <w:vAlign w:val="bottom"/>
            <w:hideMark/>
          </w:tcPr>
          <w:p w14:paraId="7A26F22B"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15 948</w:t>
            </w:r>
          </w:p>
        </w:tc>
        <w:tc>
          <w:tcPr>
            <w:tcW w:w="504" w:type="pct"/>
            <w:tcBorders>
              <w:top w:val="nil"/>
              <w:left w:val="nil"/>
              <w:bottom w:val="nil"/>
              <w:right w:val="nil"/>
            </w:tcBorders>
            <w:shd w:val="clear" w:color="auto" w:fill="auto"/>
            <w:noWrap/>
            <w:vAlign w:val="bottom"/>
            <w:hideMark/>
          </w:tcPr>
          <w:p w14:paraId="432556F4"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18 690</w:t>
            </w:r>
          </w:p>
        </w:tc>
        <w:tc>
          <w:tcPr>
            <w:tcW w:w="442" w:type="pct"/>
            <w:tcBorders>
              <w:top w:val="nil"/>
              <w:left w:val="nil"/>
              <w:bottom w:val="nil"/>
              <w:right w:val="nil"/>
            </w:tcBorders>
            <w:shd w:val="clear" w:color="auto" w:fill="auto"/>
            <w:noWrap/>
            <w:vAlign w:val="bottom"/>
            <w:hideMark/>
          </w:tcPr>
          <w:p w14:paraId="0A85A7E2"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45 481</w:t>
            </w:r>
          </w:p>
        </w:tc>
        <w:tc>
          <w:tcPr>
            <w:tcW w:w="442" w:type="pct"/>
            <w:tcBorders>
              <w:top w:val="nil"/>
              <w:left w:val="nil"/>
              <w:bottom w:val="nil"/>
              <w:right w:val="nil"/>
            </w:tcBorders>
            <w:shd w:val="clear" w:color="auto" w:fill="auto"/>
            <w:noWrap/>
            <w:vAlign w:val="bottom"/>
            <w:hideMark/>
          </w:tcPr>
          <w:p w14:paraId="44864964"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47 881</w:t>
            </w:r>
          </w:p>
        </w:tc>
        <w:tc>
          <w:tcPr>
            <w:tcW w:w="442" w:type="pct"/>
            <w:tcBorders>
              <w:top w:val="nil"/>
              <w:left w:val="nil"/>
              <w:bottom w:val="nil"/>
              <w:right w:val="nil"/>
            </w:tcBorders>
            <w:shd w:val="clear" w:color="auto" w:fill="auto"/>
            <w:noWrap/>
            <w:vAlign w:val="bottom"/>
            <w:hideMark/>
          </w:tcPr>
          <w:p w14:paraId="6EBA5552"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47 213</w:t>
            </w:r>
          </w:p>
        </w:tc>
      </w:tr>
      <w:tr w:rsidR="00DD531B" w:rsidRPr="00DD531B" w14:paraId="6D7C3690" w14:textId="77777777" w:rsidTr="001F24AE">
        <w:trPr>
          <w:trHeight w:val="300"/>
        </w:trPr>
        <w:tc>
          <w:tcPr>
            <w:tcW w:w="1784" w:type="pct"/>
            <w:tcBorders>
              <w:top w:val="nil"/>
              <w:left w:val="nil"/>
              <w:bottom w:val="nil"/>
              <w:right w:val="nil"/>
            </w:tcBorders>
            <w:shd w:val="clear" w:color="auto" w:fill="auto"/>
            <w:noWrap/>
            <w:vAlign w:val="bottom"/>
            <w:hideMark/>
          </w:tcPr>
          <w:p w14:paraId="1E159D2B"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640 bežné transfery</w:t>
            </w:r>
          </w:p>
        </w:tc>
        <w:tc>
          <w:tcPr>
            <w:tcW w:w="442" w:type="pct"/>
            <w:tcBorders>
              <w:top w:val="nil"/>
              <w:left w:val="nil"/>
              <w:bottom w:val="nil"/>
              <w:right w:val="nil"/>
            </w:tcBorders>
            <w:shd w:val="clear" w:color="auto" w:fill="auto"/>
            <w:noWrap/>
            <w:vAlign w:val="bottom"/>
            <w:hideMark/>
          </w:tcPr>
          <w:p w14:paraId="3E3B2BB3"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38 154</w:t>
            </w:r>
          </w:p>
        </w:tc>
        <w:tc>
          <w:tcPr>
            <w:tcW w:w="442" w:type="pct"/>
            <w:tcBorders>
              <w:top w:val="nil"/>
              <w:left w:val="nil"/>
              <w:bottom w:val="nil"/>
              <w:right w:val="nil"/>
            </w:tcBorders>
            <w:shd w:val="clear" w:color="auto" w:fill="auto"/>
            <w:noWrap/>
            <w:vAlign w:val="bottom"/>
            <w:hideMark/>
          </w:tcPr>
          <w:p w14:paraId="7F084AE4"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36 555</w:t>
            </w:r>
          </w:p>
        </w:tc>
        <w:tc>
          <w:tcPr>
            <w:tcW w:w="504" w:type="pct"/>
            <w:tcBorders>
              <w:top w:val="nil"/>
              <w:left w:val="nil"/>
              <w:bottom w:val="nil"/>
              <w:right w:val="nil"/>
            </w:tcBorders>
            <w:shd w:val="clear" w:color="auto" w:fill="auto"/>
            <w:noWrap/>
            <w:vAlign w:val="bottom"/>
            <w:hideMark/>
          </w:tcPr>
          <w:p w14:paraId="7C2DF700"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49 522</w:t>
            </w:r>
          </w:p>
        </w:tc>
        <w:tc>
          <w:tcPr>
            <w:tcW w:w="504" w:type="pct"/>
            <w:tcBorders>
              <w:top w:val="nil"/>
              <w:left w:val="nil"/>
              <w:bottom w:val="nil"/>
              <w:right w:val="nil"/>
            </w:tcBorders>
            <w:shd w:val="clear" w:color="auto" w:fill="auto"/>
            <w:noWrap/>
            <w:vAlign w:val="bottom"/>
            <w:hideMark/>
          </w:tcPr>
          <w:p w14:paraId="0A69A3AE"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45 946</w:t>
            </w:r>
          </w:p>
        </w:tc>
        <w:tc>
          <w:tcPr>
            <w:tcW w:w="442" w:type="pct"/>
            <w:tcBorders>
              <w:top w:val="nil"/>
              <w:left w:val="nil"/>
              <w:bottom w:val="nil"/>
              <w:right w:val="nil"/>
            </w:tcBorders>
            <w:shd w:val="clear" w:color="auto" w:fill="auto"/>
            <w:noWrap/>
            <w:vAlign w:val="bottom"/>
            <w:hideMark/>
          </w:tcPr>
          <w:p w14:paraId="11B8F440"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55 484</w:t>
            </w:r>
          </w:p>
        </w:tc>
        <w:tc>
          <w:tcPr>
            <w:tcW w:w="442" w:type="pct"/>
            <w:tcBorders>
              <w:top w:val="nil"/>
              <w:left w:val="nil"/>
              <w:bottom w:val="nil"/>
              <w:right w:val="nil"/>
            </w:tcBorders>
            <w:shd w:val="clear" w:color="auto" w:fill="auto"/>
            <w:noWrap/>
            <w:vAlign w:val="bottom"/>
            <w:hideMark/>
          </w:tcPr>
          <w:p w14:paraId="7F7EEAE7"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54 659</w:t>
            </w:r>
          </w:p>
        </w:tc>
        <w:tc>
          <w:tcPr>
            <w:tcW w:w="442" w:type="pct"/>
            <w:tcBorders>
              <w:top w:val="nil"/>
              <w:left w:val="nil"/>
              <w:bottom w:val="nil"/>
              <w:right w:val="nil"/>
            </w:tcBorders>
            <w:shd w:val="clear" w:color="auto" w:fill="auto"/>
            <w:noWrap/>
            <w:vAlign w:val="bottom"/>
            <w:hideMark/>
          </w:tcPr>
          <w:p w14:paraId="43068DD7"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56 855</w:t>
            </w:r>
          </w:p>
        </w:tc>
      </w:tr>
      <w:tr w:rsidR="00DD531B" w:rsidRPr="00DD531B" w14:paraId="2B111F44" w14:textId="77777777" w:rsidTr="001F24AE">
        <w:trPr>
          <w:trHeight w:val="300"/>
        </w:trPr>
        <w:tc>
          <w:tcPr>
            <w:tcW w:w="1784" w:type="pct"/>
            <w:tcBorders>
              <w:top w:val="nil"/>
              <w:left w:val="nil"/>
              <w:bottom w:val="nil"/>
              <w:right w:val="nil"/>
            </w:tcBorders>
            <w:shd w:val="clear" w:color="auto" w:fill="auto"/>
            <w:noWrap/>
            <w:vAlign w:val="bottom"/>
            <w:hideMark/>
          </w:tcPr>
          <w:p w14:paraId="51461AC3"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kapitálové výdavky 700</w:t>
            </w:r>
          </w:p>
        </w:tc>
        <w:tc>
          <w:tcPr>
            <w:tcW w:w="442" w:type="pct"/>
            <w:tcBorders>
              <w:top w:val="nil"/>
              <w:left w:val="nil"/>
              <w:bottom w:val="nil"/>
              <w:right w:val="nil"/>
            </w:tcBorders>
            <w:shd w:val="clear" w:color="auto" w:fill="auto"/>
            <w:noWrap/>
            <w:vAlign w:val="bottom"/>
            <w:hideMark/>
          </w:tcPr>
          <w:p w14:paraId="097D8CC6"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17 031</w:t>
            </w:r>
          </w:p>
        </w:tc>
        <w:tc>
          <w:tcPr>
            <w:tcW w:w="442" w:type="pct"/>
            <w:tcBorders>
              <w:top w:val="nil"/>
              <w:left w:val="nil"/>
              <w:bottom w:val="nil"/>
              <w:right w:val="nil"/>
            </w:tcBorders>
            <w:shd w:val="clear" w:color="auto" w:fill="auto"/>
            <w:noWrap/>
            <w:vAlign w:val="bottom"/>
            <w:hideMark/>
          </w:tcPr>
          <w:p w14:paraId="308E4AEB"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7 271</w:t>
            </w:r>
          </w:p>
        </w:tc>
        <w:tc>
          <w:tcPr>
            <w:tcW w:w="504" w:type="pct"/>
            <w:tcBorders>
              <w:top w:val="nil"/>
              <w:left w:val="nil"/>
              <w:bottom w:val="nil"/>
              <w:right w:val="nil"/>
            </w:tcBorders>
            <w:shd w:val="clear" w:color="auto" w:fill="auto"/>
            <w:noWrap/>
            <w:vAlign w:val="bottom"/>
            <w:hideMark/>
          </w:tcPr>
          <w:p w14:paraId="5DDCDBAE"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6 421</w:t>
            </w:r>
          </w:p>
        </w:tc>
        <w:tc>
          <w:tcPr>
            <w:tcW w:w="504" w:type="pct"/>
            <w:tcBorders>
              <w:top w:val="nil"/>
              <w:left w:val="nil"/>
              <w:bottom w:val="nil"/>
              <w:right w:val="nil"/>
            </w:tcBorders>
            <w:shd w:val="clear" w:color="auto" w:fill="auto"/>
            <w:noWrap/>
            <w:vAlign w:val="bottom"/>
            <w:hideMark/>
          </w:tcPr>
          <w:p w14:paraId="7CE498E5"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6 213</w:t>
            </w:r>
          </w:p>
        </w:tc>
        <w:tc>
          <w:tcPr>
            <w:tcW w:w="442" w:type="pct"/>
            <w:tcBorders>
              <w:top w:val="nil"/>
              <w:left w:val="nil"/>
              <w:bottom w:val="nil"/>
              <w:right w:val="nil"/>
            </w:tcBorders>
            <w:shd w:val="clear" w:color="auto" w:fill="auto"/>
            <w:noWrap/>
            <w:vAlign w:val="bottom"/>
            <w:hideMark/>
          </w:tcPr>
          <w:p w14:paraId="68CA7E9A"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2 471</w:t>
            </w:r>
          </w:p>
        </w:tc>
        <w:tc>
          <w:tcPr>
            <w:tcW w:w="442" w:type="pct"/>
            <w:tcBorders>
              <w:top w:val="nil"/>
              <w:left w:val="nil"/>
              <w:bottom w:val="nil"/>
              <w:right w:val="nil"/>
            </w:tcBorders>
            <w:shd w:val="clear" w:color="auto" w:fill="auto"/>
            <w:noWrap/>
            <w:vAlign w:val="bottom"/>
            <w:hideMark/>
          </w:tcPr>
          <w:p w14:paraId="3B67CC10"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30 312</w:t>
            </w:r>
          </w:p>
        </w:tc>
        <w:tc>
          <w:tcPr>
            <w:tcW w:w="442" w:type="pct"/>
            <w:tcBorders>
              <w:top w:val="nil"/>
              <w:left w:val="nil"/>
              <w:bottom w:val="nil"/>
              <w:right w:val="nil"/>
            </w:tcBorders>
            <w:shd w:val="clear" w:color="auto" w:fill="auto"/>
            <w:noWrap/>
            <w:vAlign w:val="bottom"/>
            <w:hideMark/>
          </w:tcPr>
          <w:p w14:paraId="180C4DCB"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22 222</w:t>
            </w:r>
          </w:p>
        </w:tc>
      </w:tr>
      <w:tr w:rsidR="00DD531B" w:rsidRPr="00DD531B" w14:paraId="7D8D9B15" w14:textId="77777777" w:rsidTr="001F24AE">
        <w:trPr>
          <w:trHeight w:val="300"/>
        </w:trPr>
        <w:tc>
          <w:tcPr>
            <w:tcW w:w="1784" w:type="pct"/>
            <w:tcBorders>
              <w:top w:val="nil"/>
              <w:left w:val="nil"/>
              <w:bottom w:val="nil"/>
              <w:right w:val="nil"/>
            </w:tcBorders>
            <w:shd w:val="clear" w:color="auto" w:fill="auto"/>
            <w:noWrap/>
            <w:vAlign w:val="bottom"/>
            <w:hideMark/>
          </w:tcPr>
          <w:p w14:paraId="4AE94839" w14:textId="77777777" w:rsidR="00DD531B" w:rsidRPr="00B4559D" w:rsidRDefault="00DD531B" w:rsidP="00DD531B">
            <w:pPr>
              <w:spacing w:after="0" w:line="240" w:lineRule="auto"/>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zdroj EÚ vrátane spolufinancovania zo ŠR, v tom:</w:t>
            </w:r>
          </w:p>
        </w:tc>
        <w:tc>
          <w:tcPr>
            <w:tcW w:w="442" w:type="pct"/>
            <w:tcBorders>
              <w:top w:val="nil"/>
              <w:left w:val="nil"/>
              <w:bottom w:val="nil"/>
              <w:right w:val="nil"/>
            </w:tcBorders>
            <w:shd w:val="clear" w:color="auto" w:fill="auto"/>
            <w:noWrap/>
            <w:vAlign w:val="bottom"/>
            <w:hideMark/>
          </w:tcPr>
          <w:p w14:paraId="72848859"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226 676</w:t>
            </w:r>
          </w:p>
        </w:tc>
        <w:tc>
          <w:tcPr>
            <w:tcW w:w="442" w:type="pct"/>
            <w:tcBorders>
              <w:top w:val="nil"/>
              <w:left w:val="nil"/>
              <w:bottom w:val="nil"/>
              <w:right w:val="nil"/>
            </w:tcBorders>
            <w:shd w:val="clear" w:color="auto" w:fill="auto"/>
            <w:noWrap/>
            <w:vAlign w:val="bottom"/>
            <w:hideMark/>
          </w:tcPr>
          <w:p w14:paraId="616FAFC6"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191 315</w:t>
            </w:r>
          </w:p>
        </w:tc>
        <w:tc>
          <w:tcPr>
            <w:tcW w:w="504" w:type="pct"/>
            <w:tcBorders>
              <w:top w:val="nil"/>
              <w:left w:val="nil"/>
              <w:bottom w:val="nil"/>
              <w:right w:val="nil"/>
            </w:tcBorders>
            <w:shd w:val="clear" w:color="auto" w:fill="auto"/>
            <w:noWrap/>
            <w:vAlign w:val="bottom"/>
            <w:hideMark/>
          </w:tcPr>
          <w:p w14:paraId="14B71912"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1 782 886</w:t>
            </w:r>
          </w:p>
        </w:tc>
        <w:tc>
          <w:tcPr>
            <w:tcW w:w="504" w:type="pct"/>
            <w:tcBorders>
              <w:top w:val="nil"/>
              <w:left w:val="nil"/>
              <w:bottom w:val="nil"/>
              <w:right w:val="nil"/>
            </w:tcBorders>
            <w:shd w:val="clear" w:color="auto" w:fill="auto"/>
            <w:noWrap/>
            <w:vAlign w:val="bottom"/>
            <w:hideMark/>
          </w:tcPr>
          <w:p w14:paraId="4F498EB8"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703 525</w:t>
            </w:r>
          </w:p>
        </w:tc>
        <w:tc>
          <w:tcPr>
            <w:tcW w:w="442" w:type="pct"/>
            <w:tcBorders>
              <w:top w:val="nil"/>
              <w:left w:val="nil"/>
              <w:bottom w:val="nil"/>
              <w:right w:val="nil"/>
            </w:tcBorders>
            <w:shd w:val="clear" w:color="auto" w:fill="auto"/>
            <w:noWrap/>
            <w:vAlign w:val="bottom"/>
            <w:hideMark/>
          </w:tcPr>
          <w:p w14:paraId="53F5181D"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97 411</w:t>
            </w:r>
          </w:p>
        </w:tc>
        <w:tc>
          <w:tcPr>
            <w:tcW w:w="442" w:type="pct"/>
            <w:tcBorders>
              <w:top w:val="nil"/>
              <w:left w:val="nil"/>
              <w:bottom w:val="nil"/>
              <w:right w:val="nil"/>
            </w:tcBorders>
            <w:shd w:val="clear" w:color="auto" w:fill="auto"/>
            <w:noWrap/>
            <w:vAlign w:val="bottom"/>
            <w:hideMark/>
          </w:tcPr>
          <w:p w14:paraId="7CAAE041"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400 430</w:t>
            </w:r>
          </w:p>
        </w:tc>
        <w:tc>
          <w:tcPr>
            <w:tcW w:w="442" w:type="pct"/>
            <w:tcBorders>
              <w:top w:val="nil"/>
              <w:left w:val="nil"/>
              <w:bottom w:val="nil"/>
              <w:right w:val="nil"/>
            </w:tcBorders>
            <w:shd w:val="clear" w:color="auto" w:fill="auto"/>
            <w:noWrap/>
            <w:vAlign w:val="bottom"/>
            <w:hideMark/>
          </w:tcPr>
          <w:p w14:paraId="426A2802"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672 815</w:t>
            </w:r>
          </w:p>
        </w:tc>
      </w:tr>
      <w:tr w:rsidR="00DD531B" w:rsidRPr="00DD531B" w14:paraId="7CD157B6" w14:textId="77777777" w:rsidTr="001F24AE">
        <w:trPr>
          <w:trHeight w:val="300"/>
        </w:trPr>
        <w:tc>
          <w:tcPr>
            <w:tcW w:w="1784" w:type="pct"/>
            <w:tcBorders>
              <w:top w:val="nil"/>
              <w:left w:val="nil"/>
              <w:bottom w:val="nil"/>
              <w:right w:val="nil"/>
            </w:tcBorders>
            <w:shd w:val="clear" w:color="auto" w:fill="auto"/>
            <w:noWrap/>
            <w:vAlign w:val="bottom"/>
            <w:hideMark/>
          </w:tcPr>
          <w:p w14:paraId="3C8363F9"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prostriedky EÚ</w:t>
            </w:r>
          </w:p>
        </w:tc>
        <w:tc>
          <w:tcPr>
            <w:tcW w:w="442" w:type="pct"/>
            <w:tcBorders>
              <w:top w:val="nil"/>
              <w:left w:val="nil"/>
              <w:bottom w:val="nil"/>
              <w:right w:val="nil"/>
            </w:tcBorders>
            <w:shd w:val="clear" w:color="auto" w:fill="auto"/>
            <w:noWrap/>
            <w:vAlign w:val="bottom"/>
            <w:hideMark/>
          </w:tcPr>
          <w:p w14:paraId="179F1E4D"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208 555</w:t>
            </w:r>
          </w:p>
        </w:tc>
        <w:tc>
          <w:tcPr>
            <w:tcW w:w="442" w:type="pct"/>
            <w:tcBorders>
              <w:top w:val="nil"/>
              <w:left w:val="nil"/>
              <w:bottom w:val="nil"/>
              <w:right w:val="nil"/>
            </w:tcBorders>
            <w:shd w:val="clear" w:color="auto" w:fill="auto"/>
            <w:noWrap/>
            <w:vAlign w:val="bottom"/>
            <w:hideMark/>
          </w:tcPr>
          <w:p w14:paraId="4E5A3774"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181 532</w:t>
            </w:r>
          </w:p>
        </w:tc>
        <w:tc>
          <w:tcPr>
            <w:tcW w:w="504" w:type="pct"/>
            <w:tcBorders>
              <w:top w:val="nil"/>
              <w:left w:val="nil"/>
              <w:bottom w:val="nil"/>
              <w:right w:val="nil"/>
            </w:tcBorders>
            <w:shd w:val="clear" w:color="auto" w:fill="auto"/>
            <w:noWrap/>
            <w:vAlign w:val="bottom"/>
            <w:hideMark/>
          </w:tcPr>
          <w:p w14:paraId="760E41EB"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1 469 022</w:t>
            </w:r>
          </w:p>
        </w:tc>
        <w:tc>
          <w:tcPr>
            <w:tcW w:w="504" w:type="pct"/>
            <w:tcBorders>
              <w:top w:val="nil"/>
              <w:left w:val="nil"/>
              <w:bottom w:val="nil"/>
              <w:right w:val="nil"/>
            </w:tcBorders>
            <w:shd w:val="clear" w:color="auto" w:fill="auto"/>
            <w:noWrap/>
            <w:vAlign w:val="bottom"/>
            <w:hideMark/>
          </w:tcPr>
          <w:p w14:paraId="1C03B9FA"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671 312</w:t>
            </w:r>
          </w:p>
        </w:tc>
        <w:tc>
          <w:tcPr>
            <w:tcW w:w="442" w:type="pct"/>
            <w:tcBorders>
              <w:top w:val="nil"/>
              <w:left w:val="nil"/>
              <w:bottom w:val="nil"/>
              <w:right w:val="nil"/>
            </w:tcBorders>
            <w:shd w:val="clear" w:color="auto" w:fill="auto"/>
            <w:noWrap/>
            <w:vAlign w:val="bottom"/>
            <w:hideMark/>
          </w:tcPr>
          <w:p w14:paraId="56026AFC"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77 031</w:t>
            </w:r>
          </w:p>
        </w:tc>
        <w:tc>
          <w:tcPr>
            <w:tcW w:w="442" w:type="pct"/>
            <w:tcBorders>
              <w:top w:val="nil"/>
              <w:left w:val="nil"/>
              <w:bottom w:val="nil"/>
              <w:right w:val="nil"/>
            </w:tcBorders>
            <w:shd w:val="clear" w:color="auto" w:fill="auto"/>
            <w:noWrap/>
            <w:vAlign w:val="bottom"/>
            <w:hideMark/>
          </w:tcPr>
          <w:p w14:paraId="35CF241B"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323 961</w:t>
            </w:r>
          </w:p>
        </w:tc>
        <w:tc>
          <w:tcPr>
            <w:tcW w:w="442" w:type="pct"/>
            <w:tcBorders>
              <w:top w:val="nil"/>
              <w:left w:val="nil"/>
              <w:bottom w:val="nil"/>
              <w:right w:val="nil"/>
            </w:tcBorders>
            <w:shd w:val="clear" w:color="auto" w:fill="auto"/>
            <w:noWrap/>
            <w:vAlign w:val="bottom"/>
            <w:hideMark/>
          </w:tcPr>
          <w:p w14:paraId="66A9027D"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557 612</w:t>
            </w:r>
          </w:p>
        </w:tc>
      </w:tr>
      <w:tr w:rsidR="00DD531B" w:rsidRPr="00DD531B" w14:paraId="2F017B76" w14:textId="77777777" w:rsidTr="001F24AE">
        <w:trPr>
          <w:trHeight w:val="300"/>
        </w:trPr>
        <w:tc>
          <w:tcPr>
            <w:tcW w:w="1784" w:type="pct"/>
            <w:tcBorders>
              <w:top w:val="nil"/>
              <w:left w:val="nil"/>
              <w:bottom w:val="nil"/>
              <w:right w:val="nil"/>
            </w:tcBorders>
            <w:shd w:val="clear" w:color="auto" w:fill="auto"/>
            <w:noWrap/>
            <w:vAlign w:val="bottom"/>
            <w:hideMark/>
          </w:tcPr>
          <w:p w14:paraId="061EED50"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spolufinancovanie zo ŠR</w:t>
            </w:r>
          </w:p>
        </w:tc>
        <w:tc>
          <w:tcPr>
            <w:tcW w:w="442" w:type="pct"/>
            <w:tcBorders>
              <w:top w:val="nil"/>
              <w:left w:val="nil"/>
              <w:bottom w:val="nil"/>
              <w:right w:val="nil"/>
            </w:tcBorders>
            <w:shd w:val="clear" w:color="auto" w:fill="auto"/>
            <w:noWrap/>
            <w:vAlign w:val="bottom"/>
            <w:hideMark/>
          </w:tcPr>
          <w:p w14:paraId="6B82C3D7"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18 121</w:t>
            </w:r>
          </w:p>
        </w:tc>
        <w:tc>
          <w:tcPr>
            <w:tcW w:w="442" w:type="pct"/>
            <w:tcBorders>
              <w:top w:val="nil"/>
              <w:left w:val="nil"/>
              <w:bottom w:val="nil"/>
              <w:right w:val="nil"/>
            </w:tcBorders>
            <w:shd w:val="clear" w:color="auto" w:fill="auto"/>
            <w:noWrap/>
            <w:vAlign w:val="bottom"/>
            <w:hideMark/>
          </w:tcPr>
          <w:p w14:paraId="12A00EA3"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9 783</w:t>
            </w:r>
          </w:p>
        </w:tc>
        <w:tc>
          <w:tcPr>
            <w:tcW w:w="504" w:type="pct"/>
            <w:tcBorders>
              <w:top w:val="nil"/>
              <w:left w:val="nil"/>
              <w:bottom w:val="nil"/>
              <w:right w:val="nil"/>
            </w:tcBorders>
            <w:shd w:val="clear" w:color="auto" w:fill="auto"/>
            <w:noWrap/>
            <w:vAlign w:val="bottom"/>
            <w:hideMark/>
          </w:tcPr>
          <w:p w14:paraId="215E3CB0"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313 864</w:t>
            </w:r>
          </w:p>
        </w:tc>
        <w:tc>
          <w:tcPr>
            <w:tcW w:w="504" w:type="pct"/>
            <w:tcBorders>
              <w:top w:val="nil"/>
              <w:left w:val="nil"/>
              <w:bottom w:val="nil"/>
              <w:right w:val="nil"/>
            </w:tcBorders>
            <w:shd w:val="clear" w:color="auto" w:fill="auto"/>
            <w:noWrap/>
            <w:vAlign w:val="bottom"/>
            <w:hideMark/>
          </w:tcPr>
          <w:p w14:paraId="374AEBA1"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32 213</w:t>
            </w:r>
          </w:p>
        </w:tc>
        <w:tc>
          <w:tcPr>
            <w:tcW w:w="442" w:type="pct"/>
            <w:tcBorders>
              <w:top w:val="nil"/>
              <w:left w:val="nil"/>
              <w:bottom w:val="nil"/>
              <w:right w:val="nil"/>
            </w:tcBorders>
            <w:shd w:val="clear" w:color="auto" w:fill="auto"/>
            <w:noWrap/>
            <w:vAlign w:val="bottom"/>
            <w:hideMark/>
          </w:tcPr>
          <w:p w14:paraId="503E4219"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20 380</w:t>
            </w:r>
          </w:p>
        </w:tc>
        <w:tc>
          <w:tcPr>
            <w:tcW w:w="442" w:type="pct"/>
            <w:tcBorders>
              <w:top w:val="nil"/>
              <w:left w:val="nil"/>
              <w:bottom w:val="nil"/>
              <w:right w:val="nil"/>
            </w:tcBorders>
            <w:shd w:val="clear" w:color="auto" w:fill="auto"/>
            <w:noWrap/>
            <w:vAlign w:val="bottom"/>
            <w:hideMark/>
          </w:tcPr>
          <w:p w14:paraId="7F7AA546"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76 469</w:t>
            </w:r>
          </w:p>
        </w:tc>
        <w:tc>
          <w:tcPr>
            <w:tcW w:w="442" w:type="pct"/>
            <w:tcBorders>
              <w:top w:val="nil"/>
              <w:left w:val="nil"/>
              <w:bottom w:val="nil"/>
              <w:right w:val="nil"/>
            </w:tcBorders>
            <w:shd w:val="clear" w:color="auto" w:fill="auto"/>
            <w:noWrap/>
            <w:vAlign w:val="bottom"/>
            <w:hideMark/>
          </w:tcPr>
          <w:p w14:paraId="1F2379B9"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115 203</w:t>
            </w:r>
          </w:p>
        </w:tc>
      </w:tr>
      <w:tr w:rsidR="00DD531B" w:rsidRPr="00DD531B" w14:paraId="1D4D3268" w14:textId="77777777" w:rsidTr="001F24AE">
        <w:trPr>
          <w:trHeight w:val="300"/>
        </w:trPr>
        <w:tc>
          <w:tcPr>
            <w:tcW w:w="1784" w:type="pct"/>
            <w:tcBorders>
              <w:top w:val="nil"/>
              <w:left w:val="nil"/>
              <w:bottom w:val="nil"/>
              <w:right w:val="nil"/>
            </w:tcBorders>
            <w:shd w:val="clear" w:color="auto" w:fill="auto"/>
            <w:noWrap/>
            <w:vAlign w:val="center"/>
            <w:hideMark/>
          </w:tcPr>
          <w:p w14:paraId="66EA1BC2" w14:textId="77777777" w:rsidR="00DD531B" w:rsidRPr="00B4559D" w:rsidRDefault="00DD531B" w:rsidP="00DD531B">
            <w:pPr>
              <w:spacing w:after="0" w:line="240" w:lineRule="auto"/>
              <w:rPr>
                <w:rFonts w:ascii="Times New Roman" w:eastAsia="Times New Roman" w:hAnsi="Times New Roman" w:cs="Times New Roman"/>
                <w:b/>
                <w:bCs/>
                <w:color w:val="000000"/>
                <w:sz w:val="16"/>
                <w:szCs w:val="16"/>
                <w:lang w:eastAsia="sk-SK"/>
              </w:rPr>
            </w:pPr>
            <w:r w:rsidRPr="00B4559D">
              <w:rPr>
                <w:rFonts w:ascii="Times New Roman" w:eastAsia="Times New Roman" w:hAnsi="Times New Roman" w:cs="Times New Roman"/>
                <w:b/>
                <w:bCs/>
                <w:color w:val="000000"/>
                <w:sz w:val="16"/>
                <w:szCs w:val="16"/>
                <w:lang w:eastAsia="sk-SK"/>
              </w:rPr>
              <w:t>zdroj Plán obnovy a odolnosti , v tom:</w:t>
            </w:r>
          </w:p>
        </w:tc>
        <w:tc>
          <w:tcPr>
            <w:tcW w:w="442" w:type="pct"/>
            <w:tcBorders>
              <w:top w:val="nil"/>
              <w:left w:val="nil"/>
              <w:bottom w:val="nil"/>
              <w:right w:val="nil"/>
            </w:tcBorders>
            <w:shd w:val="clear" w:color="auto" w:fill="auto"/>
            <w:noWrap/>
            <w:vAlign w:val="bottom"/>
            <w:hideMark/>
          </w:tcPr>
          <w:p w14:paraId="3E37BCAA"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0</w:t>
            </w:r>
          </w:p>
        </w:tc>
        <w:tc>
          <w:tcPr>
            <w:tcW w:w="442" w:type="pct"/>
            <w:tcBorders>
              <w:top w:val="nil"/>
              <w:left w:val="nil"/>
              <w:bottom w:val="nil"/>
              <w:right w:val="nil"/>
            </w:tcBorders>
            <w:shd w:val="clear" w:color="auto" w:fill="auto"/>
            <w:noWrap/>
            <w:vAlign w:val="bottom"/>
            <w:hideMark/>
          </w:tcPr>
          <w:p w14:paraId="7B4DA1C4"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2 215</w:t>
            </w:r>
          </w:p>
        </w:tc>
        <w:tc>
          <w:tcPr>
            <w:tcW w:w="504" w:type="pct"/>
            <w:tcBorders>
              <w:top w:val="nil"/>
              <w:left w:val="nil"/>
              <w:bottom w:val="nil"/>
              <w:right w:val="nil"/>
            </w:tcBorders>
            <w:shd w:val="clear" w:color="auto" w:fill="auto"/>
            <w:noWrap/>
            <w:vAlign w:val="bottom"/>
            <w:hideMark/>
          </w:tcPr>
          <w:p w14:paraId="6C43DE80"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141 655</w:t>
            </w:r>
          </w:p>
        </w:tc>
        <w:tc>
          <w:tcPr>
            <w:tcW w:w="504" w:type="pct"/>
            <w:tcBorders>
              <w:top w:val="nil"/>
              <w:left w:val="nil"/>
              <w:bottom w:val="nil"/>
              <w:right w:val="nil"/>
            </w:tcBorders>
            <w:shd w:val="clear" w:color="auto" w:fill="auto"/>
            <w:noWrap/>
            <w:vAlign w:val="bottom"/>
            <w:hideMark/>
          </w:tcPr>
          <w:p w14:paraId="02BBCFE9"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5 128</w:t>
            </w:r>
          </w:p>
        </w:tc>
        <w:tc>
          <w:tcPr>
            <w:tcW w:w="442" w:type="pct"/>
            <w:tcBorders>
              <w:top w:val="nil"/>
              <w:left w:val="nil"/>
              <w:bottom w:val="nil"/>
              <w:right w:val="nil"/>
            </w:tcBorders>
            <w:shd w:val="clear" w:color="auto" w:fill="auto"/>
            <w:noWrap/>
            <w:vAlign w:val="bottom"/>
            <w:hideMark/>
          </w:tcPr>
          <w:p w14:paraId="7A23D769"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199 358</w:t>
            </w:r>
          </w:p>
        </w:tc>
        <w:tc>
          <w:tcPr>
            <w:tcW w:w="442" w:type="pct"/>
            <w:tcBorders>
              <w:top w:val="nil"/>
              <w:left w:val="nil"/>
              <w:bottom w:val="nil"/>
              <w:right w:val="nil"/>
            </w:tcBorders>
            <w:shd w:val="clear" w:color="auto" w:fill="auto"/>
            <w:noWrap/>
            <w:vAlign w:val="bottom"/>
            <w:hideMark/>
          </w:tcPr>
          <w:p w14:paraId="4C0BD912"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172 297</w:t>
            </w:r>
          </w:p>
        </w:tc>
        <w:tc>
          <w:tcPr>
            <w:tcW w:w="442" w:type="pct"/>
            <w:tcBorders>
              <w:top w:val="nil"/>
              <w:left w:val="nil"/>
              <w:bottom w:val="nil"/>
              <w:right w:val="nil"/>
            </w:tcBorders>
            <w:shd w:val="clear" w:color="auto" w:fill="auto"/>
            <w:noWrap/>
            <w:vAlign w:val="bottom"/>
            <w:hideMark/>
          </w:tcPr>
          <w:p w14:paraId="7D93771B"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65 236</w:t>
            </w:r>
          </w:p>
        </w:tc>
      </w:tr>
      <w:tr w:rsidR="00DD531B" w:rsidRPr="00DD531B" w14:paraId="0AF4CF5A" w14:textId="77777777" w:rsidTr="001F24AE">
        <w:trPr>
          <w:trHeight w:val="300"/>
        </w:trPr>
        <w:tc>
          <w:tcPr>
            <w:tcW w:w="1784" w:type="pct"/>
            <w:tcBorders>
              <w:top w:val="nil"/>
              <w:left w:val="nil"/>
              <w:bottom w:val="nil"/>
              <w:right w:val="nil"/>
            </w:tcBorders>
            <w:shd w:val="clear" w:color="auto" w:fill="auto"/>
            <w:noWrap/>
            <w:vAlign w:val="bottom"/>
            <w:hideMark/>
          </w:tcPr>
          <w:p w14:paraId="35939354"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prostriedky POO</w:t>
            </w:r>
          </w:p>
        </w:tc>
        <w:tc>
          <w:tcPr>
            <w:tcW w:w="442" w:type="pct"/>
            <w:tcBorders>
              <w:top w:val="nil"/>
              <w:left w:val="nil"/>
              <w:bottom w:val="nil"/>
              <w:right w:val="nil"/>
            </w:tcBorders>
            <w:shd w:val="clear" w:color="auto" w:fill="auto"/>
            <w:noWrap/>
            <w:vAlign w:val="bottom"/>
            <w:hideMark/>
          </w:tcPr>
          <w:p w14:paraId="7987C54B" w14:textId="77777777" w:rsidR="00DD531B" w:rsidRPr="00B4559D"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0</w:t>
            </w:r>
          </w:p>
        </w:tc>
        <w:tc>
          <w:tcPr>
            <w:tcW w:w="442" w:type="pct"/>
            <w:tcBorders>
              <w:top w:val="nil"/>
              <w:left w:val="nil"/>
              <w:bottom w:val="nil"/>
              <w:right w:val="nil"/>
            </w:tcBorders>
            <w:shd w:val="clear" w:color="auto" w:fill="auto"/>
            <w:noWrap/>
            <w:vAlign w:val="bottom"/>
            <w:hideMark/>
          </w:tcPr>
          <w:p w14:paraId="68A8CEE5"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2 049</w:t>
            </w:r>
          </w:p>
        </w:tc>
        <w:tc>
          <w:tcPr>
            <w:tcW w:w="504" w:type="pct"/>
            <w:tcBorders>
              <w:top w:val="nil"/>
              <w:left w:val="nil"/>
              <w:bottom w:val="nil"/>
              <w:right w:val="nil"/>
            </w:tcBorders>
            <w:shd w:val="clear" w:color="auto" w:fill="auto"/>
            <w:noWrap/>
            <w:vAlign w:val="bottom"/>
            <w:hideMark/>
          </w:tcPr>
          <w:p w14:paraId="2F1622C0"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119 643</w:t>
            </w:r>
          </w:p>
        </w:tc>
        <w:tc>
          <w:tcPr>
            <w:tcW w:w="504" w:type="pct"/>
            <w:tcBorders>
              <w:top w:val="nil"/>
              <w:left w:val="nil"/>
              <w:bottom w:val="nil"/>
              <w:right w:val="nil"/>
            </w:tcBorders>
            <w:shd w:val="clear" w:color="auto" w:fill="auto"/>
            <w:noWrap/>
            <w:vAlign w:val="bottom"/>
            <w:hideMark/>
          </w:tcPr>
          <w:p w14:paraId="7F3FE761"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4 482</w:t>
            </w:r>
          </w:p>
        </w:tc>
        <w:tc>
          <w:tcPr>
            <w:tcW w:w="442" w:type="pct"/>
            <w:tcBorders>
              <w:top w:val="nil"/>
              <w:left w:val="nil"/>
              <w:bottom w:val="nil"/>
              <w:right w:val="nil"/>
            </w:tcBorders>
            <w:shd w:val="clear" w:color="auto" w:fill="auto"/>
            <w:noWrap/>
            <w:vAlign w:val="bottom"/>
            <w:hideMark/>
          </w:tcPr>
          <w:p w14:paraId="519C66F4"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175 809</w:t>
            </w:r>
          </w:p>
        </w:tc>
        <w:tc>
          <w:tcPr>
            <w:tcW w:w="442" w:type="pct"/>
            <w:tcBorders>
              <w:top w:val="nil"/>
              <w:left w:val="nil"/>
              <w:bottom w:val="nil"/>
              <w:right w:val="nil"/>
            </w:tcBorders>
            <w:shd w:val="clear" w:color="auto" w:fill="auto"/>
            <w:noWrap/>
            <w:vAlign w:val="bottom"/>
            <w:hideMark/>
          </w:tcPr>
          <w:p w14:paraId="78267C13"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146 537</w:t>
            </w:r>
          </w:p>
        </w:tc>
        <w:tc>
          <w:tcPr>
            <w:tcW w:w="442" w:type="pct"/>
            <w:tcBorders>
              <w:top w:val="nil"/>
              <w:left w:val="nil"/>
              <w:bottom w:val="nil"/>
              <w:right w:val="nil"/>
            </w:tcBorders>
            <w:shd w:val="clear" w:color="auto" w:fill="auto"/>
            <w:noWrap/>
            <w:vAlign w:val="bottom"/>
            <w:hideMark/>
          </w:tcPr>
          <w:p w14:paraId="7772D225"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52 719</w:t>
            </w:r>
          </w:p>
        </w:tc>
      </w:tr>
      <w:tr w:rsidR="00DD531B" w:rsidRPr="00DD531B" w14:paraId="3003F152" w14:textId="77777777" w:rsidTr="001F24AE">
        <w:trPr>
          <w:trHeight w:val="300"/>
        </w:trPr>
        <w:tc>
          <w:tcPr>
            <w:tcW w:w="1784" w:type="pct"/>
            <w:tcBorders>
              <w:top w:val="nil"/>
              <w:left w:val="nil"/>
              <w:bottom w:val="nil"/>
              <w:right w:val="nil"/>
            </w:tcBorders>
            <w:shd w:val="clear" w:color="auto" w:fill="auto"/>
            <w:noWrap/>
            <w:vAlign w:val="bottom"/>
            <w:hideMark/>
          </w:tcPr>
          <w:p w14:paraId="6CC3778D"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DPH k POO</w:t>
            </w:r>
          </w:p>
        </w:tc>
        <w:tc>
          <w:tcPr>
            <w:tcW w:w="442" w:type="pct"/>
            <w:tcBorders>
              <w:top w:val="nil"/>
              <w:left w:val="nil"/>
              <w:bottom w:val="nil"/>
              <w:right w:val="nil"/>
            </w:tcBorders>
            <w:shd w:val="clear" w:color="auto" w:fill="auto"/>
            <w:noWrap/>
            <w:vAlign w:val="bottom"/>
            <w:hideMark/>
          </w:tcPr>
          <w:p w14:paraId="21CE3D7B" w14:textId="77777777" w:rsidR="00DD531B" w:rsidRPr="00B4559D"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0</w:t>
            </w:r>
          </w:p>
        </w:tc>
        <w:tc>
          <w:tcPr>
            <w:tcW w:w="442" w:type="pct"/>
            <w:tcBorders>
              <w:top w:val="nil"/>
              <w:left w:val="nil"/>
              <w:bottom w:val="nil"/>
              <w:right w:val="nil"/>
            </w:tcBorders>
            <w:shd w:val="clear" w:color="auto" w:fill="auto"/>
            <w:noWrap/>
            <w:vAlign w:val="bottom"/>
            <w:hideMark/>
          </w:tcPr>
          <w:p w14:paraId="001968D6"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166</w:t>
            </w:r>
          </w:p>
        </w:tc>
        <w:tc>
          <w:tcPr>
            <w:tcW w:w="504" w:type="pct"/>
            <w:tcBorders>
              <w:top w:val="nil"/>
              <w:left w:val="nil"/>
              <w:bottom w:val="nil"/>
              <w:right w:val="nil"/>
            </w:tcBorders>
            <w:shd w:val="clear" w:color="auto" w:fill="auto"/>
            <w:noWrap/>
            <w:vAlign w:val="bottom"/>
            <w:hideMark/>
          </w:tcPr>
          <w:p w14:paraId="69D7825A"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22 012</w:t>
            </w:r>
          </w:p>
        </w:tc>
        <w:tc>
          <w:tcPr>
            <w:tcW w:w="504" w:type="pct"/>
            <w:tcBorders>
              <w:top w:val="nil"/>
              <w:left w:val="nil"/>
              <w:bottom w:val="nil"/>
              <w:right w:val="nil"/>
            </w:tcBorders>
            <w:shd w:val="clear" w:color="auto" w:fill="auto"/>
            <w:noWrap/>
            <w:vAlign w:val="bottom"/>
            <w:hideMark/>
          </w:tcPr>
          <w:p w14:paraId="0BB0A1C6"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646</w:t>
            </w:r>
          </w:p>
        </w:tc>
        <w:tc>
          <w:tcPr>
            <w:tcW w:w="442" w:type="pct"/>
            <w:tcBorders>
              <w:top w:val="nil"/>
              <w:left w:val="nil"/>
              <w:bottom w:val="nil"/>
              <w:right w:val="nil"/>
            </w:tcBorders>
            <w:shd w:val="clear" w:color="auto" w:fill="auto"/>
            <w:noWrap/>
            <w:vAlign w:val="bottom"/>
            <w:hideMark/>
          </w:tcPr>
          <w:p w14:paraId="123AD956"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23 549</w:t>
            </w:r>
          </w:p>
        </w:tc>
        <w:tc>
          <w:tcPr>
            <w:tcW w:w="442" w:type="pct"/>
            <w:tcBorders>
              <w:top w:val="nil"/>
              <w:left w:val="nil"/>
              <w:bottom w:val="nil"/>
              <w:right w:val="nil"/>
            </w:tcBorders>
            <w:shd w:val="clear" w:color="auto" w:fill="auto"/>
            <w:noWrap/>
            <w:vAlign w:val="bottom"/>
            <w:hideMark/>
          </w:tcPr>
          <w:p w14:paraId="76B078C1"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25 760</w:t>
            </w:r>
          </w:p>
        </w:tc>
        <w:tc>
          <w:tcPr>
            <w:tcW w:w="442" w:type="pct"/>
            <w:tcBorders>
              <w:top w:val="nil"/>
              <w:left w:val="nil"/>
              <w:bottom w:val="nil"/>
              <w:right w:val="nil"/>
            </w:tcBorders>
            <w:shd w:val="clear" w:color="auto" w:fill="auto"/>
            <w:noWrap/>
            <w:vAlign w:val="bottom"/>
            <w:hideMark/>
          </w:tcPr>
          <w:p w14:paraId="6B156D03"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12 517</w:t>
            </w:r>
          </w:p>
        </w:tc>
      </w:tr>
      <w:tr w:rsidR="00DD531B" w:rsidRPr="00DD531B" w14:paraId="25234656" w14:textId="77777777" w:rsidTr="001F24AE">
        <w:trPr>
          <w:trHeight w:val="300"/>
        </w:trPr>
        <w:tc>
          <w:tcPr>
            <w:tcW w:w="1784" w:type="pct"/>
            <w:tcBorders>
              <w:top w:val="nil"/>
              <w:left w:val="nil"/>
              <w:bottom w:val="nil"/>
              <w:right w:val="nil"/>
            </w:tcBorders>
            <w:shd w:val="clear" w:color="auto" w:fill="auto"/>
            <w:noWrap/>
            <w:vAlign w:val="bottom"/>
            <w:hideMark/>
          </w:tcPr>
          <w:p w14:paraId="224D998D" w14:textId="77777777" w:rsidR="00DD531B" w:rsidRPr="00B4559D" w:rsidRDefault="00DD531B" w:rsidP="00DD531B">
            <w:pPr>
              <w:spacing w:after="0" w:line="240" w:lineRule="auto"/>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presun z minulých rokov § 8, v tom:</w:t>
            </w:r>
          </w:p>
        </w:tc>
        <w:tc>
          <w:tcPr>
            <w:tcW w:w="442" w:type="pct"/>
            <w:tcBorders>
              <w:top w:val="nil"/>
              <w:left w:val="nil"/>
              <w:bottom w:val="nil"/>
              <w:right w:val="nil"/>
            </w:tcBorders>
            <w:shd w:val="clear" w:color="auto" w:fill="auto"/>
            <w:noWrap/>
            <w:vAlign w:val="bottom"/>
            <w:hideMark/>
          </w:tcPr>
          <w:p w14:paraId="160889FF"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61 924</w:t>
            </w:r>
          </w:p>
        </w:tc>
        <w:tc>
          <w:tcPr>
            <w:tcW w:w="442" w:type="pct"/>
            <w:tcBorders>
              <w:top w:val="nil"/>
              <w:left w:val="nil"/>
              <w:bottom w:val="nil"/>
              <w:right w:val="nil"/>
            </w:tcBorders>
            <w:shd w:val="clear" w:color="auto" w:fill="auto"/>
            <w:noWrap/>
            <w:vAlign w:val="bottom"/>
            <w:hideMark/>
          </w:tcPr>
          <w:p w14:paraId="60A2B1F5"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193 431</w:t>
            </w:r>
          </w:p>
        </w:tc>
        <w:tc>
          <w:tcPr>
            <w:tcW w:w="504" w:type="pct"/>
            <w:tcBorders>
              <w:top w:val="nil"/>
              <w:left w:val="nil"/>
              <w:bottom w:val="nil"/>
              <w:right w:val="nil"/>
            </w:tcBorders>
            <w:shd w:val="clear" w:color="auto" w:fill="auto"/>
            <w:noWrap/>
            <w:vAlign w:val="bottom"/>
            <w:hideMark/>
          </w:tcPr>
          <w:p w14:paraId="5C91F84B"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0</w:t>
            </w:r>
          </w:p>
        </w:tc>
        <w:tc>
          <w:tcPr>
            <w:tcW w:w="504" w:type="pct"/>
            <w:tcBorders>
              <w:top w:val="nil"/>
              <w:left w:val="nil"/>
              <w:bottom w:val="nil"/>
              <w:right w:val="nil"/>
            </w:tcBorders>
            <w:shd w:val="clear" w:color="auto" w:fill="auto"/>
            <w:noWrap/>
            <w:vAlign w:val="bottom"/>
            <w:hideMark/>
          </w:tcPr>
          <w:p w14:paraId="66EF2B7D"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690 406</w:t>
            </w:r>
          </w:p>
        </w:tc>
        <w:tc>
          <w:tcPr>
            <w:tcW w:w="442" w:type="pct"/>
            <w:tcBorders>
              <w:top w:val="nil"/>
              <w:left w:val="nil"/>
              <w:bottom w:val="nil"/>
              <w:right w:val="nil"/>
            </w:tcBorders>
            <w:shd w:val="clear" w:color="auto" w:fill="auto"/>
            <w:noWrap/>
            <w:vAlign w:val="bottom"/>
            <w:hideMark/>
          </w:tcPr>
          <w:p w14:paraId="006436E0"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0</w:t>
            </w:r>
          </w:p>
        </w:tc>
        <w:tc>
          <w:tcPr>
            <w:tcW w:w="442" w:type="pct"/>
            <w:tcBorders>
              <w:top w:val="nil"/>
              <w:left w:val="nil"/>
              <w:bottom w:val="nil"/>
              <w:right w:val="nil"/>
            </w:tcBorders>
            <w:shd w:val="clear" w:color="auto" w:fill="auto"/>
            <w:noWrap/>
            <w:vAlign w:val="bottom"/>
            <w:hideMark/>
          </w:tcPr>
          <w:p w14:paraId="1F99E866"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0</w:t>
            </w:r>
          </w:p>
        </w:tc>
        <w:tc>
          <w:tcPr>
            <w:tcW w:w="442" w:type="pct"/>
            <w:tcBorders>
              <w:top w:val="nil"/>
              <w:left w:val="nil"/>
              <w:bottom w:val="nil"/>
              <w:right w:val="nil"/>
            </w:tcBorders>
            <w:shd w:val="clear" w:color="auto" w:fill="auto"/>
            <w:noWrap/>
            <w:vAlign w:val="bottom"/>
            <w:hideMark/>
          </w:tcPr>
          <w:p w14:paraId="6E754D4C" w14:textId="77777777" w:rsidR="00DD531B" w:rsidRPr="00B4559D" w:rsidRDefault="00DD531B" w:rsidP="00DD531B">
            <w:pPr>
              <w:spacing w:after="0" w:line="240" w:lineRule="auto"/>
              <w:jc w:val="right"/>
              <w:rPr>
                <w:rFonts w:ascii="Times New Roman" w:eastAsia="Times New Roman" w:hAnsi="Times New Roman" w:cs="Times New Roman"/>
                <w:b/>
                <w:bCs/>
                <w:sz w:val="16"/>
                <w:szCs w:val="16"/>
                <w:lang w:eastAsia="sk-SK"/>
              </w:rPr>
            </w:pPr>
            <w:r w:rsidRPr="00B4559D">
              <w:rPr>
                <w:rFonts w:ascii="Times New Roman" w:eastAsia="Times New Roman" w:hAnsi="Times New Roman" w:cs="Times New Roman"/>
                <w:b/>
                <w:bCs/>
                <w:sz w:val="16"/>
                <w:szCs w:val="16"/>
                <w:lang w:eastAsia="sk-SK"/>
              </w:rPr>
              <w:t>0</w:t>
            </w:r>
          </w:p>
        </w:tc>
      </w:tr>
      <w:tr w:rsidR="00DD531B" w:rsidRPr="00DD531B" w14:paraId="4A6BFCD7" w14:textId="77777777" w:rsidTr="001F24AE">
        <w:trPr>
          <w:trHeight w:val="300"/>
        </w:trPr>
        <w:tc>
          <w:tcPr>
            <w:tcW w:w="1784" w:type="pct"/>
            <w:tcBorders>
              <w:top w:val="nil"/>
              <w:left w:val="nil"/>
              <w:bottom w:val="nil"/>
              <w:right w:val="nil"/>
            </w:tcBorders>
            <w:shd w:val="clear" w:color="auto" w:fill="auto"/>
            <w:noWrap/>
            <w:vAlign w:val="bottom"/>
            <w:hideMark/>
          </w:tcPr>
          <w:p w14:paraId="554E101B"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štátny rozpočet</w:t>
            </w:r>
          </w:p>
        </w:tc>
        <w:tc>
          <w:tcPr>
            <w:tcW w:w="442" w:type="pct"/>
            <w:tcBorders>
              <w:top w:val="nil"/>
              <w:left w:val="nil"/>
              <w:bottom w:val="nil"/>
              <w:right w:val="nil"/>
            </w:tcBorders>
            <w:shd w:val="clear" w:color="auto" w:fill="auto"/>
            <w:noWrap/>
            <w:vAlign w:val="bottom"/>
            <w:hideMark/>
          </w:tcPr>
          <w:p w14:paraId="2ECCC4DC"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13 113</w:t>
            </w:r>
          </w:p>
        </w:tc>
        <w:tc>
          <w:tcPr>
            <w:tcW w:w="442" w:type="pct"/>
            <w:tcBorders>
              <w:top w:val="nil"/>
              <w:left w:val="nil"/>
              <w:bottom w:val="nil"/>
              <w:right w:val="nil"/>
            </w:tcBorders>
            <w:shd w:val="clear" w:color="auto" w:fill="auto"/>
            <w:noWrap/>
            <w:vAlign w:val="bottom"/>
            <w:hideMark/>
          </w:tcPr>
          <w:p w14:paraId="00A8F8BA"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33 188</w:t>
            </w:r>
          </w:p>
        </w:tc>
        <w:tc>
          <w:tcPr>
            <w:tcW w:w="504" w:type="pct"/>
            <w:tcBorders>
              <w:top w:val="nil"/>
              <w:left w:val="nil"/>
              <w:bottom w:val="nil"/>
              <w:right w:val="nil"/>
            </w:tcBorders>
            <w:shd w:val="clear" w:color="auto" w:fill="auto"/>
            <w:noWrap/>
            <w:vAlign w:val="bottom"/>
            <w:hideMark/>
          </w:tcPr>
          <w:p w14:paraId="6D5AB203"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504" w:type="pct"/>
            <w:tcBorders>
              <w:top w:val="nil"/>
              <w:left w:val="nil"/>
              <w:bottom w:val="nil"/>
              <w:right w:val="nil"/>
            </w:tcBorders>
            <w:shd w:val="clear" w:color="auto" w:fill="auto"/>
            <w:noWrap/>
            <w:vAlign w:val="bottom"/>
            <w:hideMark/>
          </w:tcPr>
          <w:p w14:paraId="4B6C1101"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15 485</w:t>
            </w:r>
          </w:p>
        </w:tc>
        <w:tc>
          <w:tcPr>
            <w:tcW w:w="442" w:type="pct"/>
            <w:tcBorders>
              <w:top w:val="nil"/>
              <w:left w:val="nil"/>
              <w:bottom w:val="nil"/>
              <w:right w:val="nil"/>
            </w:tcBorders>
            <w:shd w:val="clear" w:color="auto" w:fill="auto"/>
            <w:noWrap/>
            <w:vAlign w:val="bottom"/>
            <w:hideMark/>
          </w:tcPr>
          <w:p w14:paraId="0BD538BF"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42" w:type="pct"/>
            <w:tcBorders>
              <w:top w:val="nil"/>
              <w:left w:val="nil"/>
              <w:bottom w:val="nil"/>
              <w:right w:val="nil"/>
            </w:tcBorders>
            <w:shd w:val="clear" w:color="auto" w:fill="auto"/>
            <w:noWrap/>
            <w:vAlign w:val="bottom"/>
            <w:hideMark/>
          </w:tcPr>
          <w:p w14:paraId="0DEEA1A6"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42" w:type="pct"/>
            <w:tcBorders>
              <w:top w:val="nil"/>
              <w:left w:val="nil"/>
              <w:bottom w:val="nil"/>
              <w:right w:val="nil"/>
            </w:tcBorders>
            <w:shd w:val="clear" w:color="auto" w:fill="auto"/>
            <w:noWrap/>
            <w:vAlign w:val="bottom"/>
            <w:hideMark/>
          </w:tcPr>
          <w:p w14:paraId="16BC21DE"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r>
      <w:tr w:rsidR="00DD531B" w:rsidRPr="00DD531B" w14:paraId="1970F902" w14:textId="77777777" w:rsidTr="001F24AE">
        <w:trPr>
          <w:trHeight w:val="300"/>
        </w:trPr>
        <w:tc>
          <w:tcPr>
            <w:tcW w:w="1784" w:type="pct"/>
            <w:tcBorders>
              <w:top w:val="nil"/>
              <w:left w:val="nil"/>
              <w:bottom w:val="nil"/>
              <w:right w:val="nil"/>
            </w:tcBorders>
            <w:shd w:val="clear" w:color="auto" w:fill="auto"/>
            <w:noWrap/>
            <w:vAlign w:val="bottom"/>
            <w:hideMark/>
          </w:tcPr>
          <w:p w14:paraId="2BCFB0FA"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prostriedky EÚ a spolufinancovanie zo ŠR</w:t>
            </w:r>
          </w:p>
        </w:tc>
        <w:tc>
          <w:tcPr>
            <w:tcW w:w="442" w:type="pct"/>
            <w:tcBorders>
              <w:top w:val="nil"/>
              <w:left w:val="nil"/>
              <w:bottom w:val="nil"/>
              <w:right w:val="nil"/>
            </w:tcBorders>
            <w:shd w:val="clear" w:color="auto" w:fill="auto"/>
            <w:noWrap/>
            <w:vAlign w:val="bottom"/>
            <w:hideMark/>
          </w:tcPr>
          <w:p w14:paraId="59C53DBC"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48 811</w:t>
            </w:r>
          </w:p>
        </w:tc>
        <w:tc>
          <w:tcPr>
            <w:tcW w:w="442" w:type="pct"/>
            <w:tcBorders>
              <w:top w:val="nil"/>
              <w:left w:val="nil"/>
              <w:bottom w:val="nil"/>
              <w:right w:val="nil"/>
            </w:tcBorders>
            <w:shd w:val="clear" w:color="auto" w:fill="auto"/>
            <w:noWrap/>
            <w:vAlign w:val="bottom"/>
            <w:hideMark/>
          </w:tcPr>
          <w:p w14:paraId="7EDE4A1B"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159 764</w:t>
            </w:r>
          </w:p>
        </w:tc>
        <w:tc>
          <w:tcPr>
            <w:tcW w:w="504" w:type="pct"/>
            <w:tcBorders>
              <w:top w:val="nil"/>
              <w:left w:val="nil"/>
              <w:bottom w:val="nil"/>
              <w:right w:val="nil"/>
            </w:tcBorders>
            <w:shd w:val="clear" w:color="auto" w:fill="auto"/>
            <w:noWrap/>
            <w:vAlign w:val="bottom"/>
            <w:hideMark/>
          </w:tcPr>
          <w:p w14:paraId="30CDF4D5"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504" w:type="pct"/>
            <w:tcBorders>
              <w:top w:val="nil"/>
              <w:left w:val="nil"/>
              <w:bottom w:val="nil"/>
              <w:right w:val="nil"/>
            </w:tcBorders>
            <w:shd w:val="clear" w:color="auto" w:fill="auto"/>
            <w:noWrap/>
            <w:vAlign w:val="bottom"/>
            <w:hideMark/>
          </w:tcPr>
          <w:p w14:paraId="68364F24"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663 394</w:t>
            </w:r>
          </w:p>
        </w:tc>
        <w:tc>
          <w:tcPr>
            <w:tcW w:w="442" w:type="pct"/>
            <w:tcBorders>
              <w:top w:val="nil"/>
              <w:left w:val="nil"/>
              <w:bottom w:val="nil"/>
              <w:right w:val="nil"/>
            </w:tcBorders>
            <w:shd w:val="clear" w:color="auto" w:fill="auto"/>
            <w:noWrap/>
            <w:vAlign w:val="bottom"/>
            <w:hideMark/>
          </w:tcPr>
          <w:p w14:paraId="06870806"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42" w:type="pct"/>
            <w:tcBorders>
              <w:top w:val="nil"/>
              <w:left w:val="nil"/>
              <w:bottom w:val="nil"/>
              <w:right w:val="nil"/>
            </w:tcBorders>
            <w:shd w:val="clear" w:color="auto" w:fill="auto"/>
            <w:noWrap/>
            <w:vAlign w:val="bottom"/>
            <w:hideMark/>
          </w:tcPr>
          <w:p w14:paraId="054B8FE5"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42" w:type="pct"/>
            <w:tcBorders>
              <w:top w:val="nil"/>
              <w:left w:val="nil"/>
              <w:bottom w:val="nil"/>
              <w:right w:val="nil"/>
            </w:tcBorders>
            <w:shd w:val="clear" w:color="auto" w:fill="auto"/>
            <w:noWrap/>
            <w:vAlign w:val="bottom"/>
            <w:hideMark/>
          </w:tcPr>
          <w:p w14:paraId="3EDC0322"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r>
      <w:tr w:rsidR="00DD531B" w:rsidRPr="00DD531B" w14:paraId="292B62FD" w14:textId="77777777" w:rsidTr="001F24AE">
        <w:trPr>
          <w:trHeight w:val="300"/>
        </w:trPr>
        <w:tc>
          <w:tcPr>
            <w:tcW w:w="1784" w:type="pct"/>
            <w:tcBorders>
              <w:top w:val="nil"/>
              <w:left w:val="nil"/>
              <w:bottom w:val="single" w:sz="4" w:space="0" w:color="auto"/>
              <w:right w:val="nil"/>
            </w:tcBorders>
            <w:shd w:val="clear" w:color="auto" w:fill="auto"/>
            <w:noWrap/>
            <w:vAlign w:val="bottom"/>
            <w:hideMark/>
          </w:tcPr>
          <w:p w14:paraId="1E0D8A69" w14:textId="77777777" w:rsidR="00DD531B" w:rsidRPr="00B4559D" w:rsidRDefault="00DD531B" w:rsidP="00DD531B">
            <w:pPr>
              <w:spacing w:after="0" w:line="240" w:lineRule="auto"/>
              <w:rPr>
                <w:rFonts w:ascii="Times New Roman" w:eastAsia="Times New Roman" w:hAnsi="Times New Roman" w:cs="Times New Roman"/>
                <w:color w:val="000000"/>
                <w:sz w:val="16"/>
                <w:szCs w:val="16"/>
                <w:lang w:eastAsia="sk-SK"/>
              </w:rPr>
            </w:pPr>
            <w:r w:rsidRPr="00B4559D">
              <w:rPr>
                <w:rFonts w:ascii="Times New Roman" w:eastAsia="Times New Roman" w:hAnsi="Times New Roman" w:cs="Times New Roman"/>
                <w:color w:val="000000"/>
                <w:sz w:val="16"/>
                <w:szCs w:val="16"/>
                <w:lang w:eastAsia="sk-SK"/>
              </w:rPr>
              <w:t>prostriedky POO a DPH k POO</w:t>
            </w:r>
          </w:p>
        </w:tc>
        <w:tc>
          <w:tcPr>
            <w:tcW w:w="442" w:type="pct"/>
            <w:tcBorders>
              <w:top w:val="nil"/>
              <w:left w:val="nil"/>
              <w:bottom w:val="single" w:sz="4" w:space="0" w:color="auto"/>
              <w:right w:val="nil"/>
            </w:tcBorders>
            <w:shd w:val="clear" w:color="auto" w:fill="auto"/>
            <w:noWrap/>
            <w:vAlign w:val="bottom"/>
            <w:hideMark/>
          </w:tcPr>
          <w:p w14:paraId="088398F8"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42" w:type="pct"/>
            <w:tcBorders>
              <w:top w:val="nil"/>
              <w:left w:val="nil"/>
              <w:bottom w:val="single" w:sz="4" w:space="0" w:color="auto"/>
              <w:right w:val="nil"/>
            </w:tcBorders>
            <w:shd w:val="clear" w:color="auto" w:fill="auto"/>
            <w:noWrap/>
            <w:vAlign w:val="bottom"/>
            <w:hideMark/>
          </w:tcPr>
          <w:p w14:paraId="3B9005C3"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479</w:t>
            </w:r>
          </w:p>
        </w:tc>
        <w:tc>
          <w:tcPr>
            <w:tcW w:w="504" w:type="pct"/>
            <w:tcBorders>
              <w:top w:val="nil"/>
              <w:left w:val="nil"/>
              <w:bottom w:val="single" w:sz="4" w:space="0" w:color="auto"/>
              <w:right w:val="nil"/>
            </w:tcBorders>
            <w:shd w:val="clear" w:color="auto" w:fill="auto"/>
            <w:noWrap/>
            <w:vAlign w:val="bottom"/>
            <w:hideMark/>
          </w:tcPr>
          <w:p w14:paraId="1F39CF00"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504" w:type="pct"/>
            <w:tcBorders>
              <w:top w:val="nil"/>
              <w:left w:val="nil"/>
              <w:bottom w:val="single" w:sz="4" w:space="0" w:color="auto"/>
              <w:right w:val="nil"/>
            </w:tcBorders>
            <w:shd w:val="clear" w:color="auto" w:fill="auto"/>
            <w:noWrap/>
            <w:vAlign w:val="bottom"/>
            <w:hideMark/>
          </w:tcPr>
          <w:p w14:paraId="07C6FF95"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11 527</w:t>
            </w:r>
          </w:p>
        </w:tc>
        <w:tc>
          <w:tcPr>
            <w:tcW w:w="442" w:type="pct"/>
            <w:tcBorders>
              <w:top w:val="nil"/>
              <w:left w:val="nil"/>
              <w:bottom w:val="single" w:sz="4" w:space="0" w:color="auto"/>
              <w:right w:val="nil"/>
            </w:tcBorders>
            <w:shd w:val="clear" w:color="auto" w:fill="auto"/>
            <w:noWrap/>
            <w:vAlign w:val="bottom"/>
            <w:hideMark/>
          </w:tcPr>
          <w:p w14:paraId="78479CAA"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42" w:type="pct"/>
            <w:tcBorders>
              <w:top w:val="nil"/>
              <w:left w:val="nil"/>
              <w:bottom w:val="single" w:sz="4" w:space="0" w:color="auto"/>
              <w:right w:val="nil"/>
            </w:tcBorders>
            <w:shd w:val="clear" w:color="auto" w:fill="auto"/>
            <w:noWrap/>
            <w:vAlign w:val="bottom"/>
            <w:hideMark/>
          </w:tcPr>
          <w:p w14:paraId="6E522608"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c>
          <w:tcPr>
            <w:tcW w:w="442" w:type="pct"/>
            <w:tcBorders>
              <w:top w:val="nil"/>
              <w:left w:val="nil"/>
              <w:bottom w:val="single" w:sz="4" w:space="0" w:color="auto"/>
              <w:right w:val="nil"/>
            </w:tcBorders>
            <w:shd w:val="clear" w:color="auto" w:fill="auto"/>
            <w:noWrap/>
            <w:vAlign w:val="bottom"/>
            <w:hideMark/>
          </w:tcPr>
          <w:p w14:paraId="6089FFE8" w14:textId="77777777" w:rsidR="00DD531B" w:rsidRPr="00B4559D" w:rsidRDefault="00DD531B" w:rsidP="00DD531B">
            <w:pPr>
              <w:spacing w:after="0" w:line="240" w:lineRule="auto"/>
              <w:jc w:val="right"/>
              <w:rPr>
                <w:rFonts w:ascii="Times New Roman" w:eastAsia="Times New Roman" w:hAnsi="Times New Roman" w:cs="Times New Roman"/>
                <w:sz w:val="16"/>
                <w:szCs w:val="16"/>
                <w:lang w:eastAsia="sk-SK"/>
              </w:rPr>
            </w:pPr>
            <w:r w:rsidRPr="00B4559D">
              <w:rPr>
                <w:rFonts w:ascii="Times New Roman" w:eastAsia="Times New Roman" w:hAnsi="Times New Roman" w:cs="Times New Roman"/>
                <w:sz w:val="16"/>
                <w:szCs w:val="16"/>
                <w:lang w:eastAsia="sk-SK"/>
              </w:rPr>
              <w:t>0</w:t>
            </w:r>
          </w:p>
        </w:tc>
      </w:tr>
    </w:tbl>
    <w:p w14:paraId="0081597C" w14:textId="738B775D" w:rsidR="00DD531B" w:rsidRDefault="00DD531B" w:rsidP="00DD531B">
      <w:pPr>
        <w:rPr>
          <w:rFonts w:ascii="Times New Roman" w:eastAsia="Calibri" w:hAnsi="Times New Roman" w:cs="Times New Roman"/>
        </w:rPr>
      </w:pPr>
    </w:p>
    <w:p w14:paraId="486F19FB" w14:textId="7F6FD4D8" w:rsidR="00D03732" w:rsidRDefault="00D03732" w:rsidP="00DD531B">
      <w:pPr>
        <w:rPr>
          <w:rFonts w:ascii="Times New Roman" w:eastAsia="Calibri" w:hAnsi="Times New Roman" w:cs="Times New Roman"/>
        </w:rPr>
      </w:pPr>
    </w:p>
    <w:p w14:paraId="00456945" w14:textId="537964DB" w:rsidR="00D03732" w:rsidRDefault="00D03732" w:rsidP="00DD531B">
      <w:pPr>
        <w:rPr>
          <w:rFonts w:ascii="Times New Roman" w:eastAsia="Calibri" w:hAnsi="Times New Roman" w:cs="Times New Roman"/>
        </w:rPr>
      </w:pPr>
    </w:p>
    <w:p w14:paraId="731EFB6C" w14:textId="107E1493" w:rsidR="00D03732" w:rsidRDefault="00D03732" w:rsidP="00DD531B">
      <w:pPr>
        <w:rPr>
          <w:rFonts w:ascii="Times New Roman" w:eastAsia="Calibri" w:hAnsi="Times New Roman" w:cs="Times New Roman"/>
        </w:rPr>
      </w:pPr>
    </w:p>
    <w:p w14:paraId="4FE8003A" w14:textId="1AB1F0A9" w:rsidR="00D03732" w:rsidRDefault="00D03732" w:rsidP="00DD531B">
      <w:pPr>
        <w:rPr>
          <w:rFonts w:ascii="Times New Roman" w:eastAsia="Calibri" w:hAnsi="Times New Roman" w:cs="Times New Roman"/>
        </w:rPr>
      </w:pPr>
    </w:p>
    <w:p w14:paraId="376A4C87" w14:textId="0FE2E80C" w:rsidR="00D03732" w:rsidRDefault="00D03732" w:rsidP="00DD531B">
      <w:pPr>
        <w:rPr>
          <w:rFonts w:ascii="Times New Roman" w:eastAsia="Calibri" w:hAnsi="Times New Roman" w:cs="Times New Roman"/>
        </w:rPr>
      </w:pPr>
    </w:p>
    <w:p w14:paraId="0EECC837" w14:textId="5712EE1B" w:rsidR="00D03732" w:rsidRDefault="00D03732" w:rsidP="00DD531B">
      <w:pPr>
        <w:rPr>
          <w:rFonts w:ascii="Times New Roman" w:eastAsia="Calibri" w:hAnsi="Times New Roman" w:cs="Times New Roman"/>
        </w:rPr>
      </w:pPr>
    </w:p>
    <w:p w14:paraId="0C455403" w14:textId="3255A967" w:rsidR="00D03732" w:rsidRDefault="00D03732" w:rsidP="00DD531B">
      <w:pPr>
        <w:rPr>
          <w:rFonts w:ascii="Times New Roman" w:eastAsia="Calibri" w:hAnsi="Times New Roman" w:cs="Times New Roman"/>
        </w:rPr>
      </w:pPr>
    </w:p>
    <w:p w14:paraId="1B509C34" w14:textId="7CB30CD0" w:rsidR="00D03732" w:rsidRDefault="00D03732" w:rsidP="00DD531B">
      <w:pPr>
        <w:rPr>
          <w:rFonts w:ascii="Times New Roman" w:eastAsia="Calibri" w:hAnsi="Times New Roman" w:cs="Times New Roman"/>
        </w:rPr>
      </w:pPr>
    </w:p>
    <w:p w14:paraId="7BFF8896" w14:textId="77777777" w:rsidR="00D03732" w:rsidRPr="00DD531B" w:rsidRDefault="00D03732" w:rsidP="00DD531B">
      <w:pPr>
        <w:rPr>
          <w:rFonts w:ascii="Times New Roman" w:eastAsia="Calibri" w:hAnsi="Times New Roman" w:cs="Times New Roman"/>
        </w:rPr>
      </w:pPr>
    </w:p>
    <w:p w14:paraId="623054DB" w14:textId="3FA144AD" w:rsidR="00DD531B" w:rsidRDefault="00DD531B" w:rsidP="00D03732">
      <w:pPr>
        <w:keepNext/>
        <w:keepLines/>
        <w:spacing w:after="0"/>
        <w:outlineLvl w:val="1"/>
        <w:rPr>
          <w:rFonts w:ascii="Times New Roman" w:eastAsia="Times New Roman" w:hAnsi="Times New Roman" w:cs="Times New Roman"/>
          <w:b/>
          <w:color w:val="5B9BD5" w:themeColor="accent1"/>
          <w:sz w:val="24"/>
          <w:szCs w:val="24"/>
        </w:rPr>
      </w:pPr>
      <w:r w:rsidRPr="00D03732">
        <w:rPr>
          <w:rFonts w:ascii="Times New Roman" w:eastAsia="Times New Roman" w:hAnsi="Times New Roman" w:cs="Times New Roman"/>
          <w:b/>
          <w:color w:val="5B9BD5" w:themeColor="accent1"/>
          <w:sz w:val="24"/>
          <w:szCs w:val="24"/>
        </w:rPr>
        <w:lastRenderedPageBreak/>
        <w:t>Kancelária Ústavného súdu SR</w:t>
      </w:r>
    </w:p>
    <w:p w14:paraId="28D4822E" w14:textId="77777777" w:rsidR="00D03732" w:rsidRPr="00D03732" w:rsidRDefault="00D03732" w:rsidP="00D03732">
      <w:pPr>
        <w:keepNext/>
        <w:keepLines/>
        <w:spacing w:after="0"/>
        <w:outlineLvl w:val="1"/>
        <w:rPr>
          <w:rFonts w:ascii="Times New Roman" w:eastAsia="Times New Roman" w:hAnsi="Times New Roman" w:cs="Times New Roman"/>
          <w:b/>
          <w:color w:val="5B9BD5" w:themeColor="accent1"/>
          <w:sz w:val="24"/>
          <w:szCs w:val="24"/>
        </w:rPr>
      </w:pPr>
    </w:p>
    <w:p w14:paraId="73344054" w14:textId="23F7EB43" w:rsidR="00DD531B" w:rsidRPr="00D03732" w:rsidRDefault="00D03732" w:rsidP="00D03732">
      <w:pPr>
        <w:keepNext/>
        <w:keepLines/>
        <w:spacing w:after="0"/>
        <w:outlineLvl w:val="3"/>
        <w:rPr>
          <w:rFonts w:ascii="Times New Roman" w:eastAsia="Times New Roman" w:hAnsi="Times New Roman" w:cs="Times New Roman"/>
          <w:b/>
          <w:iCs/>
          <w:color w:val="5B9BD5" w:themeColor="accent1"/>
          <w:sz w:val="20"/>
          <w:szCs w:val="20"/>
          <w:lang w:eastAsia="sk-SK"/>
        </w:rPr>
      </w:pPr>
      <w:bookmarkStart w:id="191" w:name="_Toc153013061"/>
      <w:r w:rsidRPr="00D03732">
        <w:rPr>
          <w:rFonts w:ascii="Times New Roman" w:eastAsia="Times New Roman" w:hAnsi="Times New Roman" w:cs="Times New Roman"/>
          <w:b/>
          <w:iCs/>
          <w:color w:val="5B9BD5" w:themeColor="accent1"/>
          <w:sz w:val="20"/>
          <w:szCs w:val="20"/>
          <w:lang w:eastAsia="sk-SK"/>
        </w:rPr>
        <w:t xml:space="preserve">Tabuľka </w:t>
      </w:r>
      <w:r w:rsidRPr="00D03732">
        <w:rPr>
          <w:rFonts w:ascii="Times New Roman" w:hAnsi="Times New Roman" w:cs="Times New Roman"/>
          <w:b/>
          <w:color w:val="5B9BD5" w:themeColor="accent1"/>
          <w:sz w:val="20"/>
          <w:szCs w:val="20"/>
        </w:rPr>
        <w:fldChar w:fldCharType="begin"/>
      </w:r>
      <w:r w:rsidRPr="00D03732">
        <w:rPr>
          <w:rFonts w:ascii="Times New Roman" w:hAnsi="Times New Roman" w:cs="Times New Roman"/>
          <w:b/>
          <w:color w:val="5B9BD5" w:themeColor="accent1"/>
          <w:sz w:val="20"/>
          <w:szCs w:val="20"/>
        </w:rPr>
        <w:instrText xml:space="preserve"> SEQ Tabuľka \* ARABIC </w:instrText>
      </w:r>
      <w:r w:rsidRPr="00D03732">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63</w:t>
      </w:r>
      <w:r w:rsidRPr="00D03732">
        <w:rPr>
          <w:rFonts w:ascii="Times New Roman" w:hAnsi="Times New Roman" w:cs="Times New Roman"/>
          <w:b/>
          <w:color w:val="5B9BD5" w:themeColor="accent1"/>
          <w:sz w:val="20"/>
          <w:szCs w:val="20"/>
        </w:rPr>
        <w:fldChar w:fldCharType="end"/>
      </w:r>
      <w:r w:rsidRPr="00D03732">
        <w:rPr>
          <w:rFonts w:ascii="Times New Roman" w:hAnsi="Times New Roman" w:cs="Times New Roman"/>
          <w:b/>
          <w:color w:val="5B9BD5" w:themeColor="accent1"/>
          <w:sz w:val="20"/>
          <w:szCs w:val="20"/>
        </w:rPr>
        <w:t xml:space="preserve"> - </w:t>
      </w:r>
      <w:r w:rsidR="00DD531B" w:rsidRPr="00D03732">
        <w:rPr>
          <w:rFonts w:ascii="Times New Roman" w:eastAsia="Times New Roman" w:hAnsi="Times New Roman" w:cs="Times New Roman"/>
          <w:b/>
          <w:iCs/>
          <w:color w:val="5B9BD5" w:themeColor="accent1"/>
          <w:sz w:val="20"/>
          <w:szCs w:val="20"/>
          <w:lang w:eastAsia="sk-SK"/>
        </w:rPr>
        <w:t>Príjmy kapitoly KÚS SR</w:t>
      </w:r>
      <w:bookmarkEnd w:id="191"/>
    </w:p>
    <w:tbl>
      <w:tblPr>
        <w:tblW w:w="5000" w:type="pct"/>
        <w:tblCellMar>
          <w:left w:w="70" w:type="dxa"/>
          <w:right w:w="70" w:type="dxa"/>
        </w:tblCellMar>
        <w:tblLook w:val="04A0" w:firstRow="1" w:lastRow="0" w:firstColumn="1" w:lastColumn="0" w:noHBand="0" w:noVBand="1"/>
      </w:tblPr>
      <w:tblGrid>
        <w:gridCol w:w="4498"/>
        <w:gridCol w:w="654"/>
        <w:gridCol w:w="654"/>
        <w:gridCol w:w="654"/>
        <w:gridCol w:w="714"/>
        <w:gridCol w:w="616"/>
        <w:gridCol w:w="632"/>
        <w:gridCol w:w="650"/>
      </w:tblGrid>
      <w:tr w:rsidR="00DD531B" w:rsidRPr="00DD531B" w14:paraId="5EAA8CEC" w14:textId="77777777" w:rsidTr="001F24AE">
        <w:trPr>
          <w:trHeight w:val="300"/>
        </w:trPr>
        <w:tc>
          <w:tcPr>
            <w:tcW w:w="2209" w:type="pct"/>
            <w:tcBorders>
              <w:top w:val="single" w:sz="4" w:space="0" w:color="auto"/>
              <w:left w:val="nil"/>
              <w:bottom w:val="single" w:sz="4" w:space="0" w:color="auto"/>
              <w:right w:val="nil"/>
            </w:tcBorders>
            <w:shd w:val="clear" w:color="auto" w:fill="auto"/>
            <w:noWrap/>
            <w:vAlign w:val="center"/>
            <w:hideMark/>
          </w:tcPr>
          <w:p w14:paraId="3694D080" w14:textId="77777777" w:rsidR="00DD531B" w:rsidRPr="00D03732" w:rsidRDefault="00DD531B" w:rsidP="00DD531B">
            <w:pPr>
              <w:spacing w:after="0" w:line="240" w:lineRule="auto"/>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v tis. eur</w:t>
            </w:r>
          </w:p>
        </w:tc>
        <w:tc>
          <w:tcPr>
            <w:tcW w:w="399" w:type="pct"/>
            <w:tcBorders>
              <w:top w:val="single" w:sz="4" w:space="0" w:color="auto"/>
              <w:left w:val="nil"/>
              <w:bottom w:val="single" w:sz="4" w:space="0" w:color="auto"/>
              <w:right w:val="nil"/>
            </w:tcBorders>
            <w:shd w:val="clear" w:color="auto" w:fill="auto"/>
            <w:noWrap/>
            <w:vAlign w:val="center"/>
            <w:hideMark/>
          </w:tcPr>
          <w:p w14:paraId="060F8D41"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2021 S</w:t>
            </w:r>
          </w:p>
        </w:tc>
        <w:tc>
          <w:tcPr>
            <w:tcW w:w="399" w:type="pct"/>
            <w:tcBorders>
              <w:top w:val="single" w:sz="4" w:space="0" w:color="auto"/>
              <w:left w:val="nil"/>
              <w:bottom w:val="single" w:sz="4" w:space="0" w:color="auto"/>
              <w:right w:val="nil"/>
            </w:tcBorders>
            <w:shd w:val="clear" w:color="auto" w:fill="auto"/>
            <w:noWrap/>
            <w:vAlign w:val="center"/>
            <w:hideMark/>
          </w:tcPr>
          <w:p w14:paraId="1DAAA66C"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2022 S</w:t>
            </w:r>
          </w:p>
        </w:tc>
        <w:tc>
          <w:tcPr>
            <w:tcW w:w="399" w:type="pct"/>
            <w:tcBorders>
              <w:top w:val="single" w:sz="4" w:space="0" w:color="auto"/>
              <w:left w:val="nil"/>
              <w:bottom w:val="single" w:sz="4" w:space="0" w:color="auto"/>
              <w:right w:val="nil"/>
            </w:tcBorders>
            <w:shd w:val="clear" w:color="auto" w:fill="auto"/>
            <w:noWrap/>
            <w:vAlign w:val="center"/>
            <w:hideMark/>
          </w:tcPr>
          <w:p w14:paraId="36BF2C5D"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2023 R</w:t>
            </w:r>
          </w:p>
        </w:tc>
        <w:tc>
          <w:tcPr>
            <w:tcW w:w="399" w:type="pct"/>
            <w:tcBorders>
              <w:top w:val="single" w:sz="4" w:space="0" w:color="auto"/>
              <w:left w:val="nil"/>
              <w:bottom w:val="single" w:sz="4" w:space="0" w:color="auto"/>
              <w:right w:val="nil"/>
            </w:tcBorders>
            <w:shd w:val="clear" w:color="auto" w:fill="auto"/>
            <w:noWrap/>
            <w:vAlign w:val="center"/>
            <w:hideMark/>
          </w:tcPr>
          <w:p w14:paraId="5F15CF4A"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2023 OS</w:t>
            </w:r>
          </w:p>
        </w:tc>
        <w:tc>
          <w:tcPr>
            <w:tcW w:w="399" w:type="pct"/>
            <w:tcBorders>
              <w:top w:val="single" w:sz="4" w:space="0" w:color="auto"/>
              <w:left w:val="nil"/>
              <w:bottom w:val="single" w:sz="4" w:space="0" w:color="auto"/>
              <w:right w:val="nil"/>
            </w:tcBorders>
            <w:shd w:val="clear" w:color="auto" w:fill="auto"/>
            <w:noWrap/>
            <w:vAlign w:val="center"/>
            <w:hideMark/>
          </w:tcPr>
          <w:p w14:paraId="62BE2C1D"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2024 N</w:t>
            </w:r>
          </w:p>
        </w:tc>
        <w:tc>
          <w:tcPr>
            <w:tcW w:w="399" w:type="pct"/>
            <w:tcBorders>
              <w:top w:val="single" w:sz="4" w:space="0" w:color="auto"/>
              <w:left w:val="nil"/>
              <w:bottom w:val="single" w:sz="4" w:space="0" w:color="auto"/>
              <w:right w:val="nil"/>
            </w:tcBorders>
            <w:shd w:val="clear" w:color="auto" w:fill="auto"/>
            <w:noWrap/>
            <w:vAlign w:val="center"/>
            <w:hideMark/>
          </w:tcPr>
          <w:p w14:paraId="34AF3365"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2025 N</w:t>
            </w:r>
          </w:p>
        </w:tc>
        <w:tc>
          <w:tcPr>
            <w:tcW w:w="399" w:type="pct"/>
            <w:tcBorders>
              <w:top w:val="single" w:sz="4" w:space="0" w:color="auto"/>
              <w:left w:val="nil"/>
              <w:bottom w:val="single" w:sz="4" w:space="0" w:color="auto"/>
              <w:right w:val="nil"/>
            </w:tcBorders>
            <w:shd w:val="clear" w:color="auto" w:fill="auto"/>
            <w:noWrap/>
            <w:vAlign w:val="center"/>
            <w:hideMark/>
          </w:tcPr>
          <w:p w14:paraId="405381E2"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2026 N</w:t>
            </w:r>
          </w:p>
        </w:tc>
      </w:tr>
      <w:tr w:rsidR="00DD531B" w:rsidRPr="00DD531B" w14:paraId="68AA4985" w14:textId="77777777" w:rsidTr="001F24AE">
        <w:trPr>
          <w:trHeight w:val="300"/>
        </w:trPr>
        <w:tc>
          <w:tcPr>
            <w:tcW w:w="2209" w:type="pct"/>
            <w:tcBorders>
              <w:top w:val="nil"/>
              <w:left w:val="nil"/>
              <w:bottom w:val="nil"/>
              <w:right w:val="nil"/>
            </w:tcBorders>
            <w:shd w:val="clear" w:color="auto" w:fill="auto"/>
            <w:noWrap/>
            <w:vAlign w:val="bottom"/>
            <w:hideMark/>
          </w:tcPr>
          <w:p w14:paraId="4FED210F" w14:textId="77777777" w:rsidR="00DD531B" w:rsidRPr="00D03732" w:rsidRDefault="00DD531B" w:rsidP="00DD531B">
            <w:pPr>
              <w:spacing w:after="0" w:line="240" w:lineRule="auto"/>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Príjmy kapitoly spolu</w:t>
            </w:r>
          </w:p>
        </w:tc>
        <w:tc>
          <w:tcPr>
            <w:tcW w:w="399" w:type="pct"/>
            <w:tcBorders>
              <w:top w:val="nil"/>
              <w:left w:val="nil"/>
              <w:bottom w:val="nil"/>
              <w:right w:val="nil"/>
            </w:tcBorders>
            <w:shd w:val="clear" w:color="auto" w:fill="auto"/>
            <w:noWrap/>
            <w:vAlign w:val="bottom"/>
            <w:hideMark/>
          </w:tcPr>
          <w:p w14:paraId="571A28CB"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9</w:t>
            </w:r>
          </w:p>
        </w:tc>
        <w:tc>
          <w:tcPr>
            <w:tcW w:w="399" w:type="pct"/>
            <w:tcBorders>
              <w:top w:val="nil"/>
              <w:left w:val="nil"/>
              <w:bottom w:val="nil"/>
              <w:right w:val="nil"/>
            </w:tcBorders>
            <w:shd w:val="clear" w:color="auto" w:fill="auto"/>
            <w:noWrap/>
            <w:vAlign w:val="bottom"/>
            <w:hideMark/>
          </w:tcPr>
          <w:p w14:paraId="219BE69D"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13</w:t>
            </w:r>
          </w:p>
        </w:tc>
        <w:tc>
          <w:tcPr>
            <w:tcW w:w="399" w:type="pct"/>
            <w:tcBorders>
              <w:top w:val="nil"/>
              <w:left w:val="nil"/>
              <w:bottom w:val="nil"/>
              <w:right w:val="nil"/>
            </w:tcBorders>
            <w:shd w:val="clear" w:color="auto" w:fill="auto"/>
            <w:noWrap/>
            <w:vAlign w:val="bottom"/>
            <w:hideMark/>
          </w:tcPr>
          <w:p w14:paraId="74EAD9F7"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10</w:t>
            </w:r>
          </w:p>
        </w:tc>
        <w:tc>
          <w:tcPr>
            <w:tcW w:w="399" w:type="pct"/>
            <w:tcBorders>
              <w:top w:val="nil"/>
              <w:left w:val="nil"/>
              <w:bottom w:val="nil"/>
              <w:right w:val="nil"/>
            </w:tcBorders>
            <w:shd w:val="clear" w:color="auto" w:fill="auto"/>
            <w:noWrap/>
            <w:vAlign w:val="bottom"/>
            <w:hideMark/>
          </w:tcPr>
          <w:p w14:paraId="70B8DD20"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10</w:t>
            </w:r>
          </w:p>
        </w:tc>
        <w:tc>
          <w:tcPr>
            <w:tcW w:w="399" w:type="pct"/>
            <w:tcBorders>
              <w:top w:val="nil"/>
              <w:left w:val="nil"/>
              <w:bottom w:val="nil"/>
              <w:right w:val="nil"/>
            </w:tcBorders>
            <w:shd w:val="clear" w:color="auto" w:fill="auto"/>
            <w:noWrap/>
            <w:vAlign w:val="bottom"/>
            <w:hideMark/>
          </w:tcPr>
          <w:p w14:paraId="7F081353"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10</w:t>
            </w:r>
          </w:p>
        </w:tc>
        <w:tc>
          <w:tcPr>
            <w:tcW w:w="399" w:type="pct"/>
            <w:tcBorders>
              <w:top w:val="nil"/>
              <w:left w:val="nil"/>
              <w:bottom w:val="nil"/>
              <w:right w:val="nil"/>
            </w:tcBorders>
            <w:shd w:val="clear" w:color="auto" w:fill="auto"/>
            <w:noWrap/>
            <w:vAlign w:val="bottom"/>
            <w:hideMark/>
          </w:tcPr>
          <w:p w14:paraId="73DA5D59"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10</w:t>
            </w:r>
          </w:p>
        </w:tc>
        <w:tc>
          <w:tcPr>
            <w:tcW w:w="399" w:type="pct"/>
            <w:tcBorders>
              <w:top w:val="nil"/>
              <w:left w:val="nil"/>
              <w:bottom w:val="nil"/>
              <w:right w:val="nil"/>
            </w:tcBorders>
            <w:shd w:val="clear" w:color="auto" w:fill="auto"/>
            <w:noWrap/>
            <w:vAlign w:val="bottom"/>
            <w:hideMark/>
          </w:tcPr>
          <w:p w14:paraId="1B3C0576"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10</w:t>
            </w:r>
          </w:p>
        </w:tc>
      </w:tr>
      <w:tr w:rsidR="00DD531B" w:rsidRPr="00DD531B" w14:paraId="1CA2135E" w14:textId="77777777" w:rsidTr="001F24AE">
        <w:trPr>
          <w:trHeight w:val="300"/>
        </w:trPr>
        <w:tc>
          <w:tcPr>
            <w:tcW w:w="2209" w:type="pct"/>
            <w:tcBorders>
              <w:top w:val="nil"/>
              <w:left w:val="nil"/>
              <w:bottom w:val="nil"/>
              <w:right w:val="nil"/>
            </w:tcBorders>
            <w:shd w:val="clear" w:color="auto" w:fill="auto"/>
            <w:noWrap/>
            <w:vAlign w:val="bottom"/>
            <w:hideMark/>
          </w:tcPr>
          <w:p w14:paraId="67D3625C" w14:textId="77777777" w:rsidR="00DD531B" w:rsidRPr="00D03732" w:rsidRDefault="00DD531B" w:rsidP="00DD531B">
            <w:pPr>
              <w:spacing w:after="0" w:line="240" w:lineRule="auto"/>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nedaňové príjmy</w:t>
            </w:r>
          </w:p>
        </w:tc>
        <w:tc>
          <w:tcPr>
            <w:tcW w:w="399" w:type="pct"/>
            <w:tcBorders>
              <w:top w:val="nil"/>
              <w:left w:val="nil"/>
              <w:bottom w:val="nil"/>
              <w:right w:val="nil"/>
            </w:tcBorders>
            <w:shd w:val="clear" w:color="auto" w:fill="auto"/>
            <w:noWrap/>
            <w:vAlign w:val="bottom"/>
            <w:hideMark/>
          </w:tcPr>
          <w:p w14:paraId="3371449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9</w:t>
            </w:r>
          </w:p>
        </w:tc>
        <w:tc>
          <w:tcPr>
            <w:tcW w:w="399" w:type="pct"/>
            <w:tcBorders>
              <w:top w:val="nil"/>
              <w:left w:val="nil"/>
              <w:bottom w:val="nil"/>
              <w:right w:val="nil"/>
            </w:tcBorders>
            <w:shd w:val="clear" w:color="auto" w:fill="auto"/>
            <w:noWrap/>
            <w:vAlign w:val="bottom"/>
            <w:hideMark/>
          </w:tcPr>
          <w:p w14:paraId="1B61B85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9</w:t>
            </w:r>
          </w:p>
        </w:tc>
        <w:tc>
          <w:tcPr>
            <w:tcW w:w="399" w:type="pct"/>
            <w:tcBorders>
              <w:top w:val="nil"/>
              <w:left w:val="nil"/>
              <w:bottom w:val="nil"/>
              <w:right w:val="nil"/>
            </w:tcBorders>
            <w:shd w:val="clear" w:color="auto" w:fill="auto"/>
            <w:noWrap/>
            <w:vAlign w:val="bottom"/>
            <w:hideMark/>
          </w:tcPr>
          <w:p w14:paraId="0EE9A6C5"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10</w:t>
            </w:r>
          </w:p>
        </w:tc>
        <w:tc>
          <w:tcPr>
            <w:tcW w:w="399" w:type="pct"/>
            <w:tcBorders>
              <w:top w:val="nil"/>
              <w:left w:val="nil"/>
              <w:bottom w:val="nil"/>
              <w:right w:val="nil"/>
            </w:tcBorders>
            <w:shd w:val="clear" w:color="auto" w:fill="auto"/>
            <w:noWrap/>
            <w:vAlign w:val="bottom"/>
            <w:hideMark/>
          </w:tcPr>
          <w:p w14:paraId="34AF79C8"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10</w:t>
            </w:r>
          </w:p>
        </w:tc>
        <w:tc>
          <w:tcPr>
            <w:tcW w:w="399" w:type="pct"/>
            <w:tcBorders>
              <w:top w:val="nil"/>
              <w:left w:val="nil"/>
              <w:bottom w:val="nil"/>
              <w:right w:val="nil"/>
            </w:tcBorders>
            <w:shd w:val="clear" w:color="auto" w:fill="auto"/>
            <w:noWrap/>
            <w:vAlign w:val="bottom"/>
            <w:hideMark/>
          </w:tcPr>
          <w:p w14:paraId="4ADFB98F"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10</w:t>
            </w:r>
          </w:p>
        </w:tc>
        <w:tc>
          <w:tcPr>
            <w:tcW w:w="399" w:type="pct"/>
            <w:tcBorders>
              <w:top w:val="nil"/>
              <w:left w:val="nil"/>
              <w:bottom w:val="nil"/>
              <w:right w:val="nil"/>
            </w:tcBorders>
            <w:shd w:val="clear" w:color="auto" w:fill="auto"/>
            <w:noWrap/>
            <w:vAlign w:val="bottom"/>
            <w:hideMark/>
          </w:tcPr>
          <w:p w14:paraId="03DE7CDE"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10</w:t>
            </w:r>
          </w:p>
        </w:tc>
        <w:tc>
          <w:tcPr>
            <w:tcW w:w="399" w:type="pct"/>
            <w:tcBorders>
              <w:top w:val="nil"/>
              <w:left w:val="nil"/>
              <w:bottom w:val="nil"/>
              <w:right w:val="nil"/>
            </w:tcBorders>
            <w:shd w:val="clear" w:color="auto" w:fill="auto"/>
            <w:noWrap/>
            <w:vAlign w:val="bottom"/>
            <w:hideMark/>
          </w:tcPr>
          <w:p w14:paraId="096902EE"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10</w:t>
            </w:r>
          </w:p>
        </w:tc>
      </w:tr>
      <w:tr w:rsidR="00DD531B" w:rsidRPr="00DD531B" w14:paraId="476ACBDD" w14:textId="77777777" w:rsidTr="001F24AE">
        <w:trPr>
          <w:trHeight w:val="300"/>
        </w:trPr>
        <w:tc>
          <w:tcPr>
            <w:tcW w:w="2209" w:type="pct"/>
            <w:tcBorders>
              <w:top w:val="nil"/>
              <w:left w:val="nil"/>
              <w:bottom w:val="single" w:sz="4" w:space="0" w:color="auto"/>
              <w:right w:val="nil"/>
            </w:tcBorders>
            <w:shd w:val="clear" w:color="auto" w:fill="auto"/>
            <w:noWrap/>
            <w:vAlign w:val="bottom"/>
            <w:hideMark/>
          </w:tcPr>
          <w:p w14:paraId="10CDCBC0" w14:textId="77777777" w:rsidR="00DD531B" w:rsidRPr="00D03732" w:rsidRDefault="00DD531B" w:rsidP="00DD531B">
            <w:pPr>
              <w:spacing w:after="0" w:line="240" w:lineRule="auto"/>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prostriedky podľa § 17 ods. 4 a § 22 ods. 4 zákona č. 523/2004 Z. z.</w:t>
            </w:r>
          </w:p>
        </w:tc>
        <w:tc>
          <w:tcPr>
            <w:tcW w:w="399" w:type="pct"/>
            <w:tcBorders>
              <w:top w:val="nil"/>
              <w:left w:val="nil"/>
              <w:bottom w:val="single" w:sz="4" w:space="0" w:color="auto"/>
              <w:right w:val="nil"/>
            </w:tcBorders>
            <w:shd w:val="clear" w:color="auto" w:fill="auto"/>
            <w:noWrap/>
            <w:vAlign w:val="bottom"/>
            <w:hideMark/>
          </w:tcPr>
          <w:p w14:paraId="420E4CF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399" w:type="pct"/>
            <w:tcBorders>
              <w:top w:val="nil"/>
              <w:left w:val="nil"/>
              <w:bottom w:val="single" w:sz="4" w:space="0" w:color="auto"/>
              <w:right w:val="nil"/>
            </w:tcBorders>
            <w:shd w:val="clear" w:color="auto" w:fill="auto"/>
            <w:noWrap/>
            <w:vAlign w:val="bottom"/>
            <w:hideMark/>
          </w:tcPr>
          <w:p w14:paraId="39AC16E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w:t>
            </w:r>
          </w:p>
        </w:tc>
        <w:tc>
          <w:tcPr>
            <w:tcW w:w="399" w:type="pct"/>
            <w:tcBorders>
              <w:top w:val="nil"/>
              <w:left w:val="nil"/>
              <w:bottom w:val="single" w:sz="4" w:space="0" w:color="auto"/>
              <w:right w:val="nil"/>
            </w:tcBorders>
            <w:shd w:val="clear" w:color="auto" w:fill="auto"/>
            <w:noWrap/>
            <w:vAlign w:val="bottom"/>
            <w:hideMark/>
          </w:tcPr>
          <w:p w14:paraId="19F81821"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399" w:type="pct"/>
            <w:tcBorders>
              <w:top w:val="nil"/>
              <w:left w:val="nil"/>
              <w:bottom w:val="single" w:sz="4" w:space="0" w:color="auto"/>
              <w:right w:val="nil"/>
            </w:tcBorders>
            <w:shd w:val="clear" w:color="auto" w:fill="auto"/>
            <w:noWrap/>
            <w:vAlign w:val="bottom"/>
            <w:hideMark/>
          </w:tcPr>
          <w:p w14:paraId="5DC26CE6"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399" w:type="pct"/>
            <w:tcBorders>
              <w:top w:val="nil"/>
              <w:left w:val="nil"/>
              <w:bottom w:val="single" w:sz="4" w:space="0" w:color="auto"/>
              <w:right w:val="nil"/>
            </w:tcBorders>
            <w:shd w:val="clear" w:color="auto" w:fill="auto"/>
            <w:noWrap/>
            <w:vAlign w:val="bottom"/>
            <w:hideMark/>
          </w:tcPr>
          <w:p w14:paraId="06D89544"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399" w:type="pct"/>
            <w:tcBorders>
              <w:top w:val="nil"/>
              <w:left w:val="nil"/>
              <w:bottom w:val="single" w:sz="4" w:space="0" w:color="auto"/>
              <w:right w:val="nil"/>
            </w:tcBorders>
            <w:shd w:val="clear" w:color="auto" w:fill="auto"/>
            <w:noWrap/>
            <w:vAlign w:val="bottom"/>
            <w:hideMark/>
          </w:tcPr>
          <w:p w14:paraId="3DE2FFC9"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399" w:type="pct"/>
            <w:tcBorders>
              <w:top w:val="nil"/>
              <w:left w:val="nil"/>
              <w:bottom w:val="single" w:sz="4" w:space="0" w:color="auto"/>
              <w:right w:val="nil"/>
            </w:tcBorders>
            <w:shd w:val="clear" w:color="auto" w:fill="auto"/>
            <w:noWrap/>
            <w:vAlign w:val="bottom"/>
            <w:hideMark/>
          </w:tcPr>
          <w:p w14:paraId="487B90B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r>
    </w:tbl>
    <w:p w14:paraId="671BB6E6" w14:textId="77777777" w:rsidR="00DD531B" w:rsidRPr="00DD531B" w:rsidRDefault="00DD531B" w:rsidP="00DD531B">
      <w:pPr>
        <w:rPr>
          <w:rFonts w:ascii="Times New Roman" w:eastAsia="Calibri" w:hAnsi="Times New Roman" w:cs="Times New Roman"/>
        </w:rPr>
      </w:pPr>
    </w:p>
    <w:p w14:paraId="2D4478B0" w14:textId="76BF4891" w:rsidR="00DD531B" w:rsidRPr="00D03732" w:rsidRDefault="00D03732"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192" w:name="_Toc153013062"/>
      <w:r w:rsidRPr="00D03732">
        <w:rPr>
          <w:rFonts w:ascii="Times New Roman" w:eastAsia="Times New Roman" w:hAnsi="Times New Roman" w:cs="Times New Roman"/>
          <w:b/>
          <w:iCs/>
          <w:color w:val="5B9BD5" w:themeColor="accent1"/>
          <w:sz w:val="20"/>
          <w:szCs w:val="20"/>
          <w:lang w:eastAsia="sk-SK"/>
        </w:rPr>
        <w:t xml:space="preserve">Tabuľka </w:t>
      </w:r>
      <w:r w:rsidRPr="00D03732">
        <w:rPr>
          <w:rFonts w:ascii="Times New Roman" w:hAnsi="Times New Roman" w:cs="Times New Roman"/>
          <w:b/>
          <w:color w:val="5B9BD5" w:themeColor="accent1"/>
          <w:sz w:val="20"/>
          <w:szCs w:val="20"/>
        </w:rPr>
        <w:fldChar w:fldCharType="begin"/>
      </w:r>
      <w:r w:rsidRPr="00D03732">
        <w:rPr>
          <w:rFonts w:ascii="Times New Roman" w:hAnsi="Times New Roman" w:cs="Times New Roman"/>
          <w:b/>
          <w:color w:val="5B9BD5" w:themeColor="accent1"/>
          <w:sz w:val="20"/>
          <w:szCs w:val="20"/>
        </w:rPr>
        <w:instrText xml:space="preserve"> SEQ Tabuľka \* ARABIC </w:instrText>
      </w:r>
      <w:r w:rsidRPr="00D03732">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64</w:t>
      </w:r>
      <w:r w:rsidRPr="00D03732">
        <w:rPr>
          <w:rFonts w:ascii="Times New Roman" w:hAnsi="Times New Roman" w:cs="Times New Roman"/>
          <w:b/>
          <w:color w:val="5B9BD5" w:themeColor="accent1"/>
          <w:sz w:val="20"/>
          <w:szCs w:val="20"/>
        </w:rPr>
        <w:fldChar w:fldCharType="end"/>
      </w:r>
      <w:r w:rsidRPr="00D03732">
        <w:rPr>
          <w:rFonts w:ascii="Times New Roman" w:hAnsi="Times New Roman" w:cs="Times New Roman"/>
          <w:b/>
          <w:color w:val="5B9BD5" w:themeColor="accent1"/>
          <w:sz w:val="20"/>
          <w:szCs w:val="20"/>
        </w:rPr>
        <w:t xml:space="preserve"> - </w:t>
      </w:r>
      <w:r w:rsidR="00DD531B" w:rsidRPr="00D03732">
        <w:rPr>
          <w:rFonts w:ascii="Times New Roman" w:eastAsia="Times New Roman" w:hAnsi="Times New Roman" w:cs="Times New Roman"/>
          <w:b/>
          <w:iCs/>
          <w:color w:val="5B9BD5" w:themeColor="accent1"/>
          <w:sz w:val="20"/>
          <w:szCs w:val="20"/>
          <w:lang w:eastAsia="sk-SK"/>
        </w:rPr>
        <w:t>Výdavky kapitoly KÚS SR</w:t>
      </w:r>
      <w:bookmarkEnd w:id="192"/>
    </w:p>
    <w:tbl>
      <w:tblPr>
        <w:tblW w:w="5000" w:type="pct"/>
        <w:tblCellMar>
          <w:left w:w="70" w:type="dxa"/>
          <w:right w:w="70" w:type="dxa"/>
        </w:tblCellMar>
        <w:tblLook w:val="04A0" w:firstRow="1" w:lastRow="0" w:firstColumn="1" w:lastColumn="0" w:noHBand="0" w:noVBand="1"/>
      </w:tblPr>
      <w:tblGrid>
        <w:gridCol w:w="4678"/>
        <w:gridCol w:w="607"/>
        <w:gridCol w:w="609"/>
        <w:gridCol w:w="616"/>
        <w:gridCol w:w="714"/>
        <w:gridCol w:w="616"/>
        <w:gridCol w:w="616"/>
        <w:gridCol w:w="616"/>
      </w:tblGrid>
      <w:tr w:rsidR="00DD531B" w:rsidRPr="00DD531B" w14:paraId="1019C63E" w14:textId="77777777" w:rsidTr="001F24AE">
        <w:trPr>
          <w:trHeight w:val="300"/>
        </w:trPr>
        <w:tc>
          <w:tcPr>
            <w:tcW w:w="2209" w:type="pct"/>
            <w:tcBorders>
              <w:top w:val="single" w:sz="4" w:space="0" w:color="auto"/>
              <w:left w:val="nil"/>
              <w:bottom w:val="single" w:sz="4" w:space="0" w:color="auto"/>
              <w:right w:val="nil"/>
            </w:tcBorders>
            <w:shd w:val="clear" w:color="auto" w:fill="auto"/>
            <w:noWrap/>
            <w:vAlign w:val="center"/>
            <w:hideMark/>
          </w:tcPr>
          <w:p w14:paraId="36D6B754" w14:textId="77777777" w:rsidR="00DD531B" w:rsidRPr="00D03732" w:rsidRDefault="00DD531B" w:rsidP="00DD531B">
            <w:pPr>
              <w:spacing w:after="0" w:line="240" w:lineRule="auto"/>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v tis. eur</w:t>
            </w:r>
          </w:p>
        </w:tc>
        <w:tc>
          <w:tcPr>
            <w:tcW w:w="399" w:type="pct"/>
            <w:tcBorders>
              <w:top w:val="single" w:sz="4" w:space="0" w:color="auto"/>
              <w:left w:val="nil"/>
              <w:bottom w:val="single" w:sz="4" w:space="0" w:color="auto"/>
              <w:right w:val="nil"/>
            </w:tcBorders>
            <w:shd w:val="clear" w:color="auto" w:fill="auto"/>
            <w:noWrap/>
            <w:vAlign w:val="center"/>
            <w:hideMark/>
          </w:tcPr>
          <w:p w14:paraId="6643DE9D"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2021 S</w:t>
            </w:r>
          </w:p>
        </w:tc>
        <w:tc>
          <w:tcPr>
            <w:tcW w:w="399" w:type="pct"/>
            <w:tcBorders>
              <w:top w:val="single" w:sz="4" w:space="0" w:color="auto"/>
              <w:left w:val="nil"/>
              <w:bottom w:val="single" w:sz="4" w:space="0" w:color="auto"/>
              <w:right w:val="nil"/>
            </w:tcBorders>
            <w:shd w:val="clear" w:color="auto" w:fill="auto"/>
            <w:noWrap/>
            <w:vAlign w:val="center"/>
            <w:hideMark/>
          </w:tcPr>
          <w:p w14:paraId="54C029B7"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2022 S</w:t>
            </w:r>
          </w:p>
        </w:tc>
        <w:tc>
          <w:tcPr>
            <w:tcW w:w="399" w:type="pct"/>
            <w:tcBorders>
              <w:top w:val="single" w:sz="4" w:space="0" w:color="auto"/>
              <w:left w:val="nil"/>
              <w:bottom w:val="single" w:sz="4" w:space="0" w:color="auto"/>
              <w:right w:val="nil"/>
            </w:tcBorders>
            <w:shd w:val="clear" w:color="auto" w:fill="auto"/>
            <w:noWrap/>
            <w:vAlign w:val="center"/>
            <w:hideMark/>
          </w:tcPr>
          <w:p w14:paraId="6B0D34E8"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2023 R</w:t>
            </w:r>
          </w:p>
        </w:tc>
        <w:tc>
          <w:tcPr>
            <w:tcW w:w="399" w:type="pct"/>
            <w:tcBorders>
              <w:top w:val="single" w:sz="4" w:space="0" w:color="auto"/>
              <w:left w:val="nil"/>
              <w:bottom w:val="single" w:sz="4" w:space="0" w:color="auto"/>
              <w:right w:val="nil"/>
            </w:tcBorders>
            <w:shd w:val="clear" w:color="auto" w:fill="auto"/>
            <w:noWrap/>
            <w:vAlign w:val="center"/>
            <w:hideMark/>
          </w:tcPr>
          <w:p w14:paraId="74B3A9E8"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2023 OS</w:t>
            </w:r>
          </w:p>
        </w:tc>
        <w:tc>
          <w:tcPr>
            <w:tcW w:w="399" w:type="pct"/>
            <w:tcBorders>
              <w:top w:val="single" w:sz="4" w:space="0" w:color="auto"/>
              <w:left w:val="nil"/>
              <w:bottom w:val="single" w:sz="4" w:space="0" w:color="auto"/>
              <w:right w:val="nil"/>
            </w:tcBorders>
            <w:shd w:val="clear" w:color="auto" w:fill="auto"/>
            <w:noWrap/>
            <w:vAlign w:val="center"/>
            <w:hideMark/>
          </w:tcPr>
          <w:p w14:paraId="2B8A0C6A"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2024 N</w:t>
            </w:r>
          </w:p>
        </w:tc>
        <w:tc>
          <w:tcPr>
            <w:tcW w:w="399" w:type="pct"/>
            <w:tcBorders>
              <w:top w:val="single" w:sz="4" w:space="0" w:color="auto"/>
              <w:left w:val="nil"/>
              <w:bottom w:val="single" w:sz="4" w:space="0" w:color="auto"/>
              <w:right w:val="nil"/>
            </w:tcBorders>
            <w:shd w:val="clear" w:color="auto" w:fill="auto"/>
            <w:noWrap/>
            <w:vAlign w:val="center"/>
            <w:hideMark/>
          </w:tcPr>
          <w:p w14:paraId="6A0AFDF8"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2025 N</w:t>
            </w:r>
          </w:p>
        </w:tc>
        <w:tc>
          <w:tcPr>
            <w:tcW w:w="399" w:type="pct"/>
            <w:tcBorders>
              <w:top w:val="single" w:sz="4" w:space="0" w:color="auto"/>
              <w:left w:val="nil"/>
              <w:bottom w:val="single" w:sz="4" w:space="0" w:color="auto"/>
              <w:right w:val="nil"/>
            </w:tcBorders>
            <w:shd w:val="clear" w:color="auto" w:fill="auto"/>
            <w:noWrap/>
            <w:vAlign w:val="center"/>
            <w:hideMark/>
          </w:tcPr>
          <w:p w14:paraId="42BE0D87"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2026 N</w:t>
            </w:r>
          </w:p>
        </w:tc>
      </w:tr>
      <w:tr w:rsidR="00DD531B" w:rsidRPr="00DD531B" w14:paraId="2798938A" w14:textId="77777777" w:rsidTr="001F24AE">
        <w:trPr>
          <w:trHeight w:val="300"/>
        </w:trPr>
        <w:tc>
          <w:tcPr>
            <w:tcW w:w="2209" w:type="pct"/>
            <w:tcBorders>
              <w:top w:val="nil"/>
              <w:left w:val="nil"/>
              <w:bottom w:val="nil"/>
              <w:right w:val="nil"/>
            </w:tcBorders>
            <w:shd w:val="clear" w:color="auto" w:fill="auto"/>
            <w:noWrap/>
            <w:vAlign w:val="center"/>
            <w:hideMark/>
          </w:tcPr>
          <w:p w14:paraId="47D6F5F7" w14:textId="77777777" w:rsidR="00DD531B" w:rsidRPr="00D03732" w:rsidRDefault="00DD531B" w:rsidP="00DD531B">
            <w:pPr>
              <w:spacing w:after="0" w:line="240" w:lineRule="auto"/>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Výdavky kapitoly spolu</w:t>
            </w:r>
          </w:p>
        </w:tc>
        <w:tc>
          <w:tcPr>
            <w:tcW w:w="399" w:type="pct"/>
            <w:tcBorders>
              <w:top w:val="nil"/>
              <w:left w:val="nil"/>
              <w:bottom w:val="nil"/>
              <w:right w:val="nil"/>
            </w:tcBorders>
            <w:shd w:val="clear" w:color="auto" w:fill="auto"/>
            <w:noWrap/>
            <w:vAlign w:val="center"/>
            <w:hideMark/>
          </w:tcPr>
          <w:p w14:paraId="1CA6DC79"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6 953</w:t>
            </w:r>
          </w:p>
        </w:tc>
        <w:tc>
          <w:tcPr>
            <w:tcW w:w="399" w:type="pct"/>
            <w:tcBorders>
              <w:top w:val="nil"/>
              <w:left w:val="nil"/>
              <w:bottom w:val="nil"/>
              <w:right w:val="nil"/>
            </w:tcBorders>
            <w:shd w:val="clear" w:color="auto" w:fill="auto"/>
            <w:noWrap/>
            <w:vAlign w:val="center"/>
            <w:hideMark/>
          </w:tcPr>
          <w:p w14:paraId="4864DC55"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7 877</w:t>
            </w:r>
          </w:p>
        </w:tc>
        <w:tc>
          <w:tcPr>
            <w:tcW w:w="399" w:type="pct"/>
            <w:tcBorders>
              <w:top w:val="nil"/>
              <w:left w:val="nil"/>
              <w:bottom w:val="nil"/>
              <w:right w:val="nil"/>
            </w:tcBorders>
            <w:shd w:val="clear" w:color="auto" w:fill="auto"/>
            <w:noWrap/>
            <w:vAlign w:val="center"/>
            <w:hideMark/>
          </w:tcPr>
          <w:p w14:paraId="60658291"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8 148</w:t>
            </w:r>
          </w:p>
        </w:tc>
        <w:tc>
          <w:tcPr>
            <w:tcW w:w="399" w:type="pct"/>
            <w:tcBorders>
              <w:top w:val="nil"/>
              <w:left w:val="nil"/>
              <w:bottom w:val="nil"/>
              <w:right w:val="nil"/>
            </w:tcBorders>
            <w:shd w:val="clear" w:color="auto" w:fill="auto"/>
            <w:noWrap/>
            <w:vAlign w:val="center"/>
            <w:hideMark/>
          </w:tcPr>
          <w:p w14:paraId="314EDEC7"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9 641</w:t>
            </w:r>
          </w:p>
        </w:tc>
        <w:tc>
          <w:tcPr>
            <w:tcW w:w="399" w:type="pct"/>
            <w:tcBorders>
              <w:top w:val="nil"/>
              <w:left w:val="nil"/>
              <w:bottom w:val="nil"/>
              <w:right w:val="nil"/>
            </w:tcBorders>
            <w:shd w:val="clear" w:color="auto" w:fill="auto"/>
            <w:noWrap/>
            <w:vAlign w:val="center"/>
            <w:hideMark/>
          </w:tcPr>
          <w:p w14:paraId="39C53390"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8 575</w:t>
            </w:r>
          </w:p>
        </w:tc>
        <w:tc>
          <w:tcPr>
            <w:tcW w:w="399" w:type="pct"/>
            <w:tcBorders>
              <w:top w:val="nil"/>
              <w:left w:val="nil"/>
              <w:bottom w:val="nil"/>
              <w:right w:val="nil"/>
            </w:tcBorders>
            <w:shd w:val="clear" w:color="auto" w:fill="auto"/>
            <w:noWrap/>
            <w:vAlign w:val="center"/>
            <w:hideMark/>
          </w:tcPr>
          <w:p w14:paraId="5D57E8C9"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8 762</w:t>
            </w:r>
          </w:p>
        </w:tc>
        <w:tc>
          <w:tcPr>
            <w:tcW w:w="399" w:type="pct"/>
            <w:tcBorders>
              <w:top w:val="nil"/>
              <w:left w:val="nil"/>
              <w:bottom w:val="nil"/>
              <w:right w:val="nil"/>
            </w:tcBorders>
            <w:shd w:val="clear" w:color="auto" w:fill="auto"/>
            <w:noWrap/>
            <w:vAlign w:val="center"/>
            <w:hideMark/>
          </w:tcPr>
          <w:p w14:paraId="108A602F"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8 674</w:t>
            </w:r>
          </w:p>
        </w:tc>
      </w:tr>
      <w:tr w:rsidR="00DD531B" w:rsidRPr="00DD531B" w14:paraId="29600DA4" w14:textId="77777777" w:rsidTr="001F24AE">
        <w:trPr>
          <w:trHeight w:val="300"/>
        </w:trPr>
        <w:tc>
          <w:tcPr>
            <w:tcW w:w="2209" w:type="pct"/>
            <w:tcBorders>
              <w:top w:val="nil"/>
              <w:left w:val="nil"/>
              <w:bottom w:val="nil"/>
              <w:right w:val="nil"/>
            </w:tcBorders>
            <w:shd w:val="clear" w:color="auto" w:fill="auto"/>
            <w:noWrap/>
            <w:vAlign w:val="bottom"/>
            <w:hideMark/>
          </w:tcPr>
          <w:p w14:paraId="2360CBE8" w14:textId="77777777" w:rsidR="00DD531B" w:rsidRPr="00D03732" w:rsidRDefault="00DD531B" w:rsidP="00DD531B">
            <w:pPr>
              <w:spacing w:after="0" w:line="240" w:lineRule="auto"/>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rozpočtové zdroje kapitoly</w:t>
            </w:r>
          </w:p>
        </w:tc>
        <w:tc>
          <w:tcPr>
            <w:tcW w:w="399" w:type="pct"/>
            <w:tcBorders>
              <w:top w:val="nil"/>
              <w:left w:val="nil"/>
              <w:bottom w:val="nil"/>
              <w:right w:val="nil"/>
            </w:tcBorders>
            <w:shd w:val="clear" w:color="auto" w:fill="auto"/>
            <w:noWrap/>
            <w:vAlign w:val="bottom"/>
            <w:hideMark/>
          </w:tcPr>
          <w:p w14:paraId="537B54A7"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6 757</w:t>
            </w:r>
          </w:p>
        </w:tc>
        <w:tc>
          <w:tcPr>
            <w:tcW w:w="399" w:type="pct"/>
            <w:tcBorders>
              <w:top w:val="nil"/>
              <w:left w:val="nil"/>
              <w:bottom w:val="nil"/>
              <w:right w:val="nil"/>
            </w:tcBorders>
            <w:shd w:val="clear" w:color="auto" w:fill="auto"/>
            <w:noWrap/>
            <w:vAlign w:val="bottom"/>
            <w:hideMark/>
          </w:tcPr>
          <w:p w14:paraId="3D6B6E8C"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7 326</w:t>
            </w:r>
          </w:p>
        </w:tc>
        <w:tc>
          <w:tcPr>
            <w:tcW w:w="399" w:type="pct"/>
            <w:tcBorders>
              <w:top w:val="nil"/>
              <w:left w:val="nil"/>
              <w:bottom w:val="nil"/>
              <w:right w:val="nil"/>
            </w:tcBorders>
            <w:shd w:val="clear" w:color="auto" w:fill="auto"/>
            <w:noWrap/>
            <w:vAlign w:val="bottom"/>
            <w:hideMark/>
          </w:tcPr>
          <w:p w14:paraId="5D7CCF91"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8 148</w:t>
            </w:r>
          </w:p>
        </w:tc>
        <w:tc>
          <w:tcPr>
            <w:tcW w:w="399" w:type="pct"/>
            <w:tcBorders>
              <w:top w:val="nil"/>
              <w:left w:val="nil"/>
              <w:bottom w:val="nil"/>
              <w:right w:val="nil"/>
            </w:tcBorders>
            <w:shd w:val="clear" w:color="auto" w:fill="auto"/>
            <w:noWrap/>
            <w:vAlign w:val="bottom"/>
            <w:hideMark/>
          </w:tcPr>
          <w:p w14:paraId="1833DE4C"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8 631</w:t>
            </w:r>
          </w:p>
        </w:tc>
        <w:tc>
          <w:tcPr>
            <w:tcW w:w="399" w:type="pct"/>
            <w:tcBorders>
              <w:top w:val="nil"/>
              <w:left w:val="nil"/>
              <w:bottom w:val="nil"/>
              <w:right w:val="nil"/>
            </w:tcBorders>
            <w:shd w:val="clear" w:color="auto" w:fill="auto"/>
            <w:noWrap/>
            <w:vAlign w:val="bottom"/>
            <w:hideMark/>
          </w:tcPr>
          <w:p w14:paraId="18E3BD50"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8 575</w:t>
            </w:r>
          </w:p>
        </w:tc>
        <w:tc>
          <w:tcPr>
            <w:tcW w:w="399" w:type="pct"/>
            <w:tcBorders>
              <w:top w:val="nil"/>
              <w:left w:val="nil"/>
              <w:bottom w:val="nil"/>
              <w:right w:val="nil"/>
            </w:tcBorders>
            <w:shd w:val="clear" w:color="auto" w:fill="auto"/>
            <w:noWrap/>
            <w:vAlign w:val="bottom"/>
            <w:hideMark/>
          </w:tcPr>
          <w:p w14:paraId="73E26646"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8 762</w:t>
            </w:r>
          </w:p>
        </w:tc>
        <w:tc>
          <w:tcPr>
            <w:tcW w:w="399" w:type="pct"/>
            <w:tcBorders>
              <w:top w:val="nil"/>
              <w:left w:val="nil"/>
              <w:bottom w:val="nil"/>
              <w:right w:val="nil"/>
            </w:tcBorders>
            <w:shd w:val="clear" w:color="auto" w:fill="auto"/>
            <w:noWrap/>
            <w:vAlign w:val="bottom"/>
            <w:hideMark/>
          </w:tcPr>
          <w:p w14:paraId="4F7A7ED2"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8 674</w:t>
            </w:r>
          </w:p>
        </w:tc>
      </w:tr>
      <w:tr w:rsidR="00DD531B" w:rsidRPr="00DD531B" w14:paraId="3D9B4C1F" w14:textId="77777777" w:rsidTr="001F24AE">
        <w:trPr>
          <w:trHeight w:val="300"/>
        </w:trPr>
        <w:tc>
          <w:tcPr>
            <w:tcW w:w="2209" w:type="pct"/>
            <w:tcBorders>
              <w:top w:val="nil"/>
              <w:left w:val="nil"/>
              <w:bottom w:val="nil"/>
              <w:right w:val="nil"/>
            </w:tcBorders>
            <w:shd w:val="clear" w:color="auto" w:fill="auto"/>
            <w:noWrap/>
            <w:vAlign w:val="bottom"/>
            <w:hideMark/>
          </w:tcPr>
          <w:p w14:paraId="64F80DC4"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bežné výdavky  600, v tom:</w:t>
            </w:r>
          </w:p>
        </w:tc>
        <w:tc>
          <w:tcPr>
            <w:tcW w:w="399" w:type="pct"/>
            <w:tcBorders>
              <w:top w:val="nil"/>
              <w:left w:val="nil"/>
              <w:bottom w:val="nil"/>
              <w:right w:val="nil"/>
            </w:tcBorders>
            <w:shd w:val="clear" w:color="auto" w:fill="auto"/>
            <w:noWrap/>
            <w:vAlign w:val="bottom"/>
            <w:hideMark/>
          </w:tcPr>
          <w:p w14:paraId="1B34F318"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6 553</w:t>
            </w:r>
          </w:p>
        </w:tc>
        <w:tc>
          <w:tcPr>
            <w:tcW w:w="399" w:type="pct"/>
            <w:tcBorders>
              <w:top w:val="nil"/>
              <w:left w:val="nil"/>
              <w:bottom w:val="nil"/>
              <w:right w:val="nil"/>
            </w:tcBorders>
            <w:shd w:val="clear" w:color="auto" w:fill="auto"/>
            <w:noWrap/>
            <w:vAlign w:val="bottom"/>
            <w:hideMark/>
          </w:tcPr>
          <w:p w14:paraId="595E9FD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7 175</w:t>
            </w:r>
          </w:p>
        </w:tc>
        <w:tc>
          <w:tcPr>
            <w:tcW w:w="399" w:type="pct"/>
            <w:tcBorders>
              <w:top w:val="nil"/>
              <w:left w:val="nil"/>
              <w:bottom w:val="nil"/>
              <w:right w:val="nil"/>
            </w:tcBorders>
            <w:shd w:val="clear" w:color="auto" w:fill="auto"/>
            <w:noWrap/>
            <w:vAlign w:val="bottom"/>
            <w:hideMark/>
          </w:tcPr>
          <w:p w14:paraId="1E2780F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8 002</w:t>
            </w:r>
          </w:p>
        </w:tc>
        <w:tc>
          <w:tcPr>
            <w:tcW w:w="399" w:type="pct"/>
            <w:tcBorders>
              <w:top w:val="nil"/>
              <w:left w:val="nil"/>
              <w:bottom w:val="nil"/>
              <w:right w:val="nil"/>
            </w:tcBorders>
            <w:shd w:val="clear" w:color="auto" w:fill="auto"/>
            <w:noWrap/>
            <w:vAlign w:val="bottom"/>
            <w:hideMark/>
          </w:tcPr>
          <w:p w14:paraId="6C8BF0A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8 196</w:t>
            </w:r>
          </w:p>
        </w:tc>
        <w:tc>
          <w:tcPr>
            <w:tcW w:w="399" w:type="pct"/>
            <w:tcBorders>
              <w:top w:val="nil"/>
              <w:left w:val="nil"/>
              <w:bottom w:val="nil"/>
              <w:right w:val="nil"/>
            </w:tcBorders>
            <w:shd w:val="clear" w:color="auto" w:fill="auto"/>
            <w:noWrap/>
            <w:vAlign w:val="bottom"/>
            <w:hideMark/>
          </w:tcPr>
          <w:p w14:paraId="4F9C1DD8"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8 364</w:t>
            </w:r>
          </w:p>
        </w:tc>
        <w:tc>
          <w:tcPr>
            <w:tcW w:w="399" w:type="pct"/>
            <w:tcBorders>
              <w:top w:val="nil"/>
              <w:left w:val="nil"/>
              <w:bottom w:val="nil"/>
              <w:right w:val="nil"/>
            </w:tcBorders>
            <w:shd w:val="clear" w:color="auto" w:fill="auto"/>
            <w:noWrap/>
            <w:vAlign w:val="bottom"/>
            <w:hideMark/>
          </w:tcPr>
          <w:p w14:paraId="3331C5F4"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8 255</w:t>
            </w:r>
          </w:p>
        </w:tc>
        <w:tc>
          <w:tcPr>
            <w:tcW w:w="399" w:type="pct"/>
            <w:tcBorders>
              <w:top w:val="nil"/>
              <w:left w:val="nil"/>
              <w:bottom w:val="nil"/>
              <w:right w:val="nil"/>
            </w:tcBorders>
            <w:shd w:val="clear" w:color="auto" w:fill="auto"/>
            <w:noWrap/>
            <w:vAlign w:val="bottom"/>
            <w:hideMark/>
          </w:tcPr>
          <w:p w14:paraId="1783FD5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8 271</w:t>
            </w:r>
          </w:p>
        </w:tc>
      </w:tr>
      <w:tr w:rsidR="00DD531B" w:rsidRPr="00DD531B" w14:paraId="5B86E270" w14:textId="77777777" w:rsidTr="001F24AE">
        <w:trPr>
          <w:trHeight w:val="300"/>
        </w:trPr>
        <w:tc>
          <w:tcPr>
            <w:tcW w:w="2209" w:type="pct"/>
            <w:tcBorders>
              <w:top w:val="nil"/>
              <w:left w:val="nil"/>
              <w:bottom w:val="nil"/>
              <w:right w:val="nil"/>
            </w:tcBorders>
            <w:shd w:val="clear" w:color="auto" w:fill="auto"/>
            <w:noWrap/>
            <w:vAlign w:val="bottom"/>
            <w:hideMark/>
          </w:tcPr>
          <w:p w14:paraId="09C426B8"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610 mzdy</w:t>
            </w:r>
          </w:p>
        </w:tc>
        <w:tc>
          <w:tcPr>
            <w:tcW w:w="399" w:type="pct"/>
            <w:tcBorders>
              <w:top w:val="nil"/>
              <w:left w:val="nil"/>
              <w:bottom w:val="nil"/>
              <w:right w:val="nil"/>
            </w:tcBorders>
            <w:shd w:val="clear" w:color="auto" w:fill="auto"/>
            <w:noWrap/>
            <w:vAlign w:val="bottom"/>
            <w:hideMark/>
          </w:tcPr>
          <w:p w14:paraId="450E121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3 778</w:t>
            </w:r>
          </w:p>
        </w:tc>
        <w:tc>
          <w:tcPr>
            <w:tcW w:w="399" w:type="pct"/>
            <w:tcBorders>
              <w:top w:val="nil"/>
              <w:left w:val="nil"/>
              <w:bottom w:val="nil"/>
              <w:right w:val="nil"/>
            </w:tcBorders>
            <w:shd w:val="clear" w:color="auto" w:fill="auto"/>
            <w:noWrap/>
            <w:vAlign w:val="bottom"/>
            <w:hideMark/>
          </w:tcPr>
          <w:p w14:paraId="47D8235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4 064</w:t>
            </w:r>
          </w:p>
        </w:tc>
        <w:tc>
          <w:tcPr>
            <w:tcW w:w="399" w:type="pct"/>
            <w:tcBorders>
              <w:top w:val="nil"/>
              <w:left w:val="nil"/>
              <w:bottom w:val="nil"/>
              <w:right w:val="nil"/>
            </w:tcBorders>
            <w:shd w:val="clear" w:color="auto" w:fill="auto"/>
            <w:noWrap/>
            <w:vAlign w:val="bottom"/>
            <w:hideMark/>
          </w:tcPr>
          <w:p w14:paraId="49D0A289"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4 375</w:t>
            </w:r>
          </w:p>
        </w:tc>
        <w:tc>
          <w:tcPr>
            <w:tcW w:w="399" w:type="pct"/>
            <w:tcBorders>
              <w:top w:val="nil"/>
              <w:left w:val="nil"/>
              <w:bottom w:val="nil"/>
              <w:right w:val="nil"/>
            </w:tcBorders>
            <w:shd w:val="clear" w:color="auto" w:fill="auto"/>
            <w:noWrap/>
            <w:vAlign w:val="bottom"/>
            <w:hideMark/>
          </w:tcPr>
          <w:p w14:paraId="63F84B1E"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4 474</w:t>
            </w:r>
          </w:p>
        </w:tc>
        <w:tc>
          <w:tcPr>
            <w:tcW w:w="399" w:type="pct"/>
            <w:tcBorders>
              <w:top w:val="nil"/>
              <w:left w:val="nil"/>
              <w:bottom w:val="nil"/>
              <w:right w:val="nil"/>
            </w:tcBorders>
            <w:shd w:val="clear" w:color="auto" w:fill="auto"/>
            <w:noWrap/>
            <w:vAlign w:val="bottom"/>
            <w:hideMark/>
          </w:tcPr>
          <w:p w14:paraId="4766A693"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4 675</w:t>
            </w:r>
          </w:p>
        </w:tc>
        <w:tc>
          <w:tcPr>
            <w:tcW w:w="399" w:type="pct"/>
            <w:tcBorders>
              <w:top w:val="nil"/>
              <w:left w:val="nil"/>
              <w:bottom w:val="nil"/>
              <w:right w:val="nil"/>
            </w:tcBorders>
            <w:shd w:val="clear" w:color="auto" w:fill="auto"/>
            <w:noWrap/>
            <w:vAlign w:val="bottom"/>
            <w:hideMark/>
          </w:tcPr>
          <w:p w14:paraId="481125BA"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4 675</w:t>
            </w:r>
          </w:p>
        </w:tc>
        <w:tc>
          <w:tcPr>
            <w:tcW w:w="399" w:type="pct"/>
            <w:tcBorders>
              <w:top w:val="nil"/>
              <w:left w:val="nil"/>
              <w:bottom w:val="nil"/>
              <w:right w:val="nil"/>
            </w:tcBorders>
            <w:shd w:val="clear" w:color="auto" w:fill="auto"/>
            <w:noWrap/>
            <w:vAlign w:val="bottom"/>
            <w:hideMark/>
          </w:tcPr>
          <w:p w14:paraId="54E11F9E"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4 675</w:t>
            </w:r>
          </w:p>
        </w:tc>
      </w:tr>
      <w:tr w:rsidR="00DD531B" w:rsidRPr="00DD531B" w14:paraId="611B8CEC" w14:textId="77777777" w:rsidTr="001F24AE">
        <w:trPr>
          <w:trHeight w:val="300"/>
        </w:trPr>
        <w:tc>
          <w:tcPr>
            <w:tcW w:w="2209" w:type="pct"/>
            <w:tcBorders>
              <w:top w:val="nil"/>
              <w:left w:val="nil"/>
              <w:bottom w:val="nil"/>
              <w:right w:val="nil"/>
            </w:tcBorders>
            <w:shd w:val="clear" w:color="auto" w:fill="auto"/>
            <w:noWrap/>
            <w:vAlign w:val="bottom"/>
            <w:hideMark/>
          </w:tcPr>
          <w:p w14:paraId="60A9CE0F"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620 odvody</w:t>
            </w:r>
          </w:p>
        </w:tc>
        <w:tc>
          <w:tcPr>
            <w:tcW w:w="399" w:type="pct"/>
            <w:tcBorders>
              <w:top w:val="nil"/>
              <w:left w:val="nil"/>
              <w:bottom w:val="nil"/>
              <w:right w:val="nil"/>
            </w:tcBorders>
            <w:shd w:val="clear" w:color="auto" w:fill="auto"/>
            <w:noWrap/>
            <w:vAlign w:val="bottom"/>
            <w:hideMark/>
          </w:tcPr>
          <w:p w14:paraId="6D52FA73"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1 093</w:t>
            </w:r>
          </w:p>
        </w:tc>
        <w:tc>
          <w:tcPr>
            <w:tcW w:w="399" w:type="pct"/>
            <w:tcBorders>
              <w:top w:val="nil"/>
              <w:left w:val="nil"/>
              <w:bottom w:val="nil"/>
              <w:right w:val="nil"/>
            </w:tcBorders>
            <w:shd w:val="clear" w:color="auto" w:fill="auto"/>
            <w:noWrap/>
            <w:vAlign w:val="bottom"/>
            <w:hideMark/>
          </w:tcPr>
          <w:p w14:paraId="235F084A"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1 180</w:t>
            </w:r>
          </w:p>
        </w:tc>
        <w:tc>
          <w:tcPr>
            <w:tcW w:w="399" w:type="pct"/>
            <w:tcBorders>
              <w:top w:val="nil"/>
              <w:left w:val="nil"/>
              <w:bottom w:val="nil"/>
              <w:right w:val="nil"/>
            </w:tcBorders>
            <w:shd w:val="clear" w:color="auto" w:fill="auto"/>
            <w:noWrap/>
            <w:vAlign w:val="bottom"/>
            <w:hideMark/>
          </w:tcPr>
          <w:p w14:paraId="0FCDB1C3"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1 316</w:t>
            </w:r>
          </w:p>
        </w:tc>
        <w:tc>
          <w:tcPr>
            <w:tcW w:w="399" w:type="pct"/>
            <w:tcBorders>
              <w:top w:val="nil"/>
              <w:left w:val="nil"/>
              <w:bottom w:val="nil"/>
              <w:right w:val="nil"/>
            </w:tcBorders>
            <w:shd w:val="clear" w:color="auto" w:fill="auto"/>
            <w:noWrap/>
            <w:vAlign w:val="bottom"/>
            <w:hideMark/>
          </w:tcPr>
          <w:p w14:paraId="61294620"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1 335</w:t>
            </w:r>
          </w:p>
        </w:tc>
        <w:tc>
          <w:tcPr>
            <w:tcW w:w="399" w:type="pct"/>
            <w:tcBorders>
              <w:top w:val="nil"/>
              <w:left w:val="nil"/>
              <w:bottom w:val="nil"/>
              <w:right w:val="nil"/>
            </w:tcBorders>
            <w:shd w:val="clear" w:color="auto" w:fill="auto"/>
            <w:noWrap/>
            <w:vAlign w:val="bottom"/>
            <w:hideMark/>
          </w:tcPr>
          <w:p w14:paraId="077433FD"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1 406</w:t>
            </w:r>
          </w:p>
        </w:tc>
        <w:tc>
          <w:tcPr>
            <w:tcW w:w="399" w:type="pct"/>
            <w:tcBorders>
              <w:top w:val="nil"/>
              <w:left w:val="nil"/>
              <w:bottom w:val="nil"/>
              <w:right w:val="nil"/>
            </w:tcBorders>
            <w:shd w:val="clear" w:color="auto" w:fill="auto"/>
            <w:noWrap/>
            <w:vAlign w:val="bottom"/>
            <w:hideMark/>
          </w:tcPr>
          <w:p w14:paraId="0FFB15C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1 401</w:t>
            </w:r>
          </w:p>
        </w:tc>
        <w:tc>
          <w:tcPr>
            <w:tcW w:w="399" w:type="pct"/>
            <w:tcBorders>
              <w:top w:val="nil"/>
              <w:left w:val="nil"/>
              <w:bottom w:val="nil"/>
              <w:right w:val="nil"/>
            </w:tcBorders>
            <w:shd w:val="clear" w:color="auto" w:fill="auto"/>
            <w:noWrap/>
            <w:vAlign w:val="bottom"/>
            <w:hideMark/>
          </w:tcPr>
          <w:p w14:paraId="2E7F34D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1 405</w:t>
            </w:r>
          </w:p>
        </w:tc>
      </w:tr>
      <w:tr w:rsidR="00DD531B" w:rsidRPr="00DD531B" w14:paraId="42476DAA" w14:textId="77777777" w:rsidTr="001F24AE">
        <w:trPr>
          <w:trHeight w:val="300"/>
        </w:trPr>
        <w:tc>
          <w:tcPr>
            <w:tcW w:w="2209" w:type="pct"/>
            <w:tcBorders>
              <w:top w:val="nil"/>
              <w:left w:val="nil"/>
              <w:bottom w:val="nil"/>
              <w:right w:val="nil"/>
            </w:tcBorders>
            <w:shd w:val="clear" w:color="auto" w:fill="auto"/>
            <w:noWrap/>
            <w:vAlign w:val="bottom"/>
            <w:hideMark/>
          </w:tcPr>
          <w:p w14:paraId="78FA31FE"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630 tovary a služby</w:t>
            </w:r>
          </w:p>
        </w:tc>
        <w:tc>
          <w:tcPr>
            <w:tcW w:w="399" w:type="pct"/>
            <w:tcBorders>
              <w:top w:val="nil"/>
              <w:left w:val="nil"/>
              <w:bottom w:val="nil"/>
              <w:right w:val="nil"/>
            </w:tcBorders>
            <w:shd w:val="clear" w:color="auto" w:fill="auto"/>
            <w:noWrap/>
            <w:vAlign w:val="bottom"/>
            <w:hideMark/>
          </w:tcPr>
          <w:p w14:paraId="315CCB9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1 259</w:t>
            </w:r>
          </w:p>
        </w:tc>
        <w:tc>
          <w:tcPr>
            <w:tcW w:w="399" w:type="pct"/>
            <w:tcBorders>
              <w:top w:val="nil"/>
              <w:left w:val="nil"/>
              <w:bottom w:val="nil"/>
              <w:right w:val="nil"/>
            </w:tcBorders>
            <w:shd w:val="clear" w:color="auto" w:fill="auto"/>
            <w:noWrap/>
            <w:vAlign w:val="bottom"/>
            <w:hideMark/>
          </w:tcPr>
          <w:p w14:paraId="4FFA61E6"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1 429</w:t>
            </w:r>
          </w:p>
        </w:tc>
        <w:tc>
          <w:tcPr>
            <w:tcW w:w="399" w:type="pct"/>
            <w:tcBorders>
              <w:top w:val="nil"/>
              <w:left w:val="nil"/>
              <w:bottom w:val="nil"/>
              <w:right w:val="nil"/>
            </w:tcBorders>
            <w:shd w:val="clear" w:color="auto" w:fill="auto"/>
            <w:noWrap/>
            <w:vAlign w:val="bottom"/>
            <w:hideMark/>
          </w:tcPr>
          <w:p w14:paraId="538AA7C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1 859</w:t>
            </w:r>
          </w:p>
        </w:tc>
        <w:tc>
          <w:tcPr>
            <w:tcW w:w="399" w:type="pct"/>
            <w:tcBorders>
              <w:top w:val="nil"/>
              <w:left w:val="nil"/>
              <w:bottom w:val="nil"/>
              <w:right w:val="nil"/>
            </w:tcBorders>
            <w:shd w:val="clear" w:color="auto" w:fill="auto"/>
            <w:noWrap/>
            <w:vAlign w:val="bottom"/>
            <w:hideMark/>
          </w:tcPr>
          <w:p w14:paraId="0953FE8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1 789</w:t>
            </w:r>
          </w:p>
        </w:tc>
        <w:tc>
          <w:tcPr>
            <w:tcW w:w="399" w:type="pct"/>
            <w:tcBorders>
              <w:top w:val="nil"/>
              <w:left w:val="nil"/>
              <w:bottom w:val="nil"/>
              <w:right w:val="nil"/>
            </w:tcBorders>
            <w:shd w:val="clear" w:color="auto" w:fill="auto"/>
            <w:noWrap/>
            <w:vAlign w:val="bottom"/>
            <w:hideMark/>
          </w:tcPr>
          <w:p w14:paraId="7658241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1 727</w:t>
            </w:r>
          </w:p>
        </w:tc>
        <w:tc>
          <w:tcPr>
            <w:tcW w:w="399" w:type="pct"/>
            <w:tcBorders>
              <w:top w:val="nil"/>
              <w:left w:val="nil"/>
              <w:bottom w:val="nil"/>
              <w:right w:val="nil"/>
            </w:tcBorders>
            <w:shd w:val="clear" w:color="auto" w:fill="auto"/>
            <w:noWrap/>
            <w:vAlign w:val="bottom"/>
            <w:hideMark/>
          </w:tcPr>
          <w:p w14:paraId="2E6E2050"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1 638</w:t>
            </w:r>
          </w:p>
        </w:tc>
        <w:tc>
          <w:tcPr>
            <w:tcW w:w="399" w:type="pct"/>
            <w:tcBorders>
              <w:top w:val="nil"/>
              <w:left w:val="nil"/>
              <w:bottom w:val="nil"/>
              <w:right w:val="nil"/>
            </w:tcBorders>
            <w:shd w:val="clear" w:color="auto" w:fill="auto"/>
            <w:noWrap/>
            <w:vAlign w:val="bottom"/>
            <w:hideMark/>
          </w:tcPr>
          <w:p w14:paraId="51DA645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1 638</w:t>
            </w:r>
          </w:p>
        </w:tc>
      </w:tr>
      <w:tr w:rsidR="00DD531B" w:rsidRPr="00DD531B" w14:paraId="0E851B36" w14:textId="77777777" w:rsidTr="001F24AE">
        <w:trPr>
          <w:trHeight w:val="300"/>
        </w:trPr>
        <w:tc>
          <w:tcPr>
            <w:tcW w:w="2209" w:type="pct"/>
            <w:tcBorders>
              <w:top w:val="nil"/>
              <w:left w:val="nil"/>
              <w:bottom w:val="nil"/>
              <w:right w:val="nil"/>
            </w:tcBorders>
            <w:shd w:val="clear" w:color="auto" w:fill="auto"/>
            <w:noWrap/>
            <w:vAlign w:val="bottom"/>
            <w:hideMark/>
          </w:tcPr>
          <w:p w14:paraId="4946DE5C"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640 bežné transfery</w:t>
            </w:r>
          </w:p>
        </w:tc>
        <w:tc>
          <w:tcPr>
            <w:tcW w:w="399" w:type="pct"/>
            <w:tcBorders>
              <w:top w:val="nil"/>
              <w:left w:val="nil"/>
              <w:bottom w:val="nil"/>
              <w:right w:val="nil"/>
            </w:tcBorders>
            <w:shd w:val="clear" w:color="auto" w:fill="auto"/>
            <w:noWrap/>
            <w:vAlign w:val="bottom"/>
            <w:hideMark/>
          </w:tcPr>
          <w:p w14:paraId="3ECD53D4"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423</w:t>
            </w:r>
          </w:p>
        </w:tc>
        <w:tc>
          <w:tcPr>
            <w:tcW w:w="399" w:type="pct"/>
            <w:tcBorders>
              <w:top w:val="nil"/>
              <w:left w:val="nil"/>
              <w:bottom w:val="nil"/>
              <w:right w:val="nil"/>
            </w:tcBorders>
            <w:shd w:val="clear" w:color="auto" w:fill="auto"/>
            <w:noWrap/>
            <w:vAlign w:val="bottom"/>
            <w:hideMark/>
          </w:tcPr>
          <w:p w14:paraId="6615AEC6"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502</w:t>
            </w:r>
          </w:p>
        </w:tc>
        <w:tc>
          <w:tcPr>
            <w:tcW w:w="399" w:type="pct"/>
            <w:tcBorders>
              <w:top w:val="nil"/>
              <w:left w:val="nil"/>
              <w:bottom w:val="nil"/>
              <w:right w:val="nil"/>
            </w:tcBorders>
            <w:shd w:val="clear" w:color="auto" w:fill="auto"/>
            <w:noWrap/>
            <w:vAlign w:val="bottom"/>
            <w:hideMark/>
          </w:tcPr>
          <w:p w14:paraId="68DEDC10"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452</w:t>
            </w:r>
          </w:p>
        </w:tc>
        <w:tc>
          <w:tcPr>
            <w:tcW w:w="399" w:type="pct"/>
            <w:tcBorders>
              <w:top w:val="nil"/>
              <w:left w:val="nil"/>
              <w:bottom w:val="nil"/>
              <w:right w:val="nil"/>
            </w:tcBorders>
            <w:shd w:val="clear" w:color="auto" w:fill="auto"/>
            <w:noWrap/>
            <w:vAlign w:val="bottom"/>
            <w:hideMark/>
          </w:tcPr>
          <w:p w14:paraId="48AD2E80"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599</w:t>
            </w:r>
          </w:p>
        </w:tc>
        <w:tc>
          <w:tcPr>
            <w:tcW w:w="399" w:type="pct"/>
            <w:tcBorders>
              <w:top w:val="nil"/>
              <w:left w:val="nil"/>
              <w:bottom w:val="nil"/>
              <w:right w:val="nil"/>
            </w:tcBorders>
            <w:shd w:val="clear" w:color="auto" w:fill="auto"/>
            <w:noWrap/>
            <w:vAlign w:val="bottom"/>
            <w:hideMark/>
          </w:tcPr>
          <w:p w14:paraId="36DDB26D"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555</w:t>
            </w:r>
          </w:p>
        </w:tc>
        <w:tc>
          <w:tcPr>
            <w:tcW w:w="399" w:type="pct"/>
            <w:tcBorders>
              <w:top w:val="nil"/>
              <w:left w:val="nil"/>
              <w:bottom w:val="nil"/>
              <w:right w:val="nil"/>
            </w:tcBorders>
            <w:shd w:val="clear" w:color="auto" w:fill="auto"/>
            <w:noWrap/>
            <w:vAlign w:val="bottom"/>
            <w:hideMark/>
          </w:tcPr>
          <w:p w14:paraId="7212D5D6"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540</w:t>
            </w:r>
          </w:p>
        </w:tc>
        <w:tc>
          <w:tcPr>
            <w:tcW w:w="399" w:type="pct"/>
            <w:tcBorders>
              <w:top w:val="nil"/>
              <w:left w:val="nil"/>
              <w:bottom w:val="nil"/>
              <w:right w:val="nil"/>
            </w:tcBorders>
            <w:shd w:val="clear" w:color="auto" w:fill="auto"/>
            <w:noWrap/>
            <w:vAlign w:val="bottom"/>
            <w:hideMark/>
          </w:tcPr>
          <w:p w14:paraId="57A27591"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553</w:t>
            </w:r>
          </w:p>
        </w:tc>
      </w:tr>
      <w:tr w:rsidR="00DD531B" w:rsidRPr="00DD531B" w14:paraId="696DC1A0" w14:textId="77777777" w:rsidTr="001F24AE">
        <w:trPr>
          <w:trHeight w:val="300"/>
        </w:trPr>
        <w:tc>
          <w:tcPr>
            <w:tcW w:w="2209" w:type="pct"/>
            <w:tcBorders>
              <w:top w:val="nil"/>
              <w:left w:val="nil"/>
              <w:bottom w:val="nil"/>
              <w:right w:val="nil"/>
            </w:tcBorders>
            <w:shd w:val="clear" w:color="auto" w:fill="auto"/>
            <w:noWrap/>
            <w:vAlign w:val="bottom"/>
            <w:hideMark/>
          </w:tcPr>
          <w:p w14:paraId="2371B0CC"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kapitálové výdavky 700</w:t>
            </w:r>
          </w:p>
        </w:tc>
        <w:tc>
          <w:tcPr>
            <w:tcW w:w="399" w:type="pct"/>
            <w:tcBorders>
              <w:top w:val="nil"/>
              <w:left w:val="nil"/>
              <w:bottom w:val="nil"/>
              <w:right w:val="nil"/>
            </w:tcBorders>
            <w:shd w:val="clear" w:color="auto" w:fill="auto"/>
            <w:noWrap/>
            <w:vAlign w:val="bottom"/>
            <w:hideMark/>
          </w:tcPr>
          <w:p w14:paraId="5B985534"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204</w:t>
            </w:r>
          </w:p>
        </w:tc>
        <w:tc>
          <w:tcPr>
            <w:tcW w:w="399" w:type="pct"/>
            <w:tcBorders>
              <w:top w:val="nil"/>
              <w:left w:val="nil"/>
              <w:bottom w:val="nil"/>
              <w:right w:val="nil"/>
            </w:tcBorders>
            <w:shd w:val="clear" w:color="auto" w:fill="auto"/>
            <w:noWrap/>
            <w:vAlign w:val="bottom"/>
            <w:hideMark/>
          </w:tcPr>
          <w:p w14:paraId="7E099696"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151</w:t>
            </w:r>
          </w:p>
        </w:tc>
        <w:tc>
          <w:tcPr>
            <w:tcW w:w="399" w:type="pct"/>
            <w:tcBorders>
              <w:top w:val="nil"/>
              <w:left w:val="nil"/>
              <w:bottom w:val="nil"/>
              <w:right w:val="nil"/>
            </w:tcBorders>
            <w:shd w:val="clear" w:color="auto" w:fill="auto"/>
            <w:noWrap/>
            <w:vAlign w:val="bottom"/>
            <w:hideMark/>
          </w:tcPr>
          <w:p w14:paraId="50E2EB8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146</w:t>
            </w:r>
          </w:p>
        </w:tc>
        <w:tc>
          <w:tcPr>
            <w:tcW w:w="399" w:type="pct"/>
            <w:tcBorders>
              <w:top w:val="nil"/>
              <w:left w:val="nil"/>
              <w:bottom w:val="nil"/>
              <w:right w:val="nil"/>
            </w:tcBorders>
            <w:shd w:val="clear" w:color="auto" w:fill="auto"/>
            <w:noWrap/>
            <w:vAlign w:val="bottom"/>
            <w:hideMark/>
          </w:tcPr>
          <w:p w14:paraId="2C71AD2C"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435</w:t>
            </w:r>
          </w:p>
        </w:tc>
        <w:tc>
          <w:tcPr>
            <w:tcW w:w="399" w:type="pct"/>
            <w:tcBorders>
              <w:top w:val="nil"/>
              <w:left w:val="nil"/>
              <w:bottom w:val="nil"/>
              <w:right w:val="nil"/>
            </w:tcBorders>
            <w:shd w:val="clear" w:color="auto" w:fill="auto"/>
            <w:noWrap/>
            <w:vAlign w:val="bottom"/>
            <w:hideMark/>
          </w:tcPr>
          <w:p w14:paraId="200D4DBF"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211</w:t>
            </w:r>
          </w:p>
        </w:tc>
        <w:tc>
          <w:tcPr>
            <w:tcW w:w="399" w:type="pct"/>
            <w:tcBorders>
              <w:top w:val="nil"/>
              <w:left w:val="nil"/>
              <w:bottom w:val="nil"/>
              <w:right w:val="nil"/>
            </w:tcBorders>
            <w:shd w:val="clear" w:color="auto" w:fill="auto"/>
            <w:noWrap/>
            <w:vAlign w:val="bottom"/>
            <w:hideMark/>
          </w:tcPr>
          <w:p w14:paraId="396C6D48"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507</w:t>
            </w:r>
          </w:p>
        </w:tc>
        <w:tc>
          <w:tcPr>
            <w:tcW w:w="399" w:type="pct"/>
            <w:tcBorders>
              <w:top w:val="nil"/>
              <w:left w:val="nil"/>
              <w:bottom w:val="nil"/>
              <w:right w:val="nil"/>
            </w:tcBorders>
            <w:shd w:val="clear" w:color="auto" w:fill="auto"/>
            <w:noWrap/>
            <w:vAlign w:val="bottom"/>
            <w:hideMark/>
          </w:tcPr>
          <w:p w14:paraId="0FA93548"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403</w:t>
            </w:r>
          </w:p>
        </w:tc>
      </w:tr>
      <w:tr w:rsidR="00DD531B" w:rsidRPr="00DD531B" w14:paraId="28B28CCC" w14:textId="77777777" w:rsidTr="001F24AE">
        <w:trPr>
          <w:trHeight w:val="300"/>
        </w:trPr>
        <w:tc>
          <w:tcPr>
            <w:tcW w:w="2209" w:type="pct"/>
            <w:tcBorders>
              <w:top w:val="nil"/>
              <w:left w:val="nil"/>
              <w:bottom w:val="nil"/>
              <w:right w:val="nil"/>
            </w:tcBorders>
            <w:shd w:val="clear" w:color="auto" w:fill="auto"/>
            <w:noWrap/>
            <w:vAlign w:val="bottom"/>
            <w:hideMark/>
          </w:tcPr>
          <w:p w14:paraId="32AA195A" w14:textId="77777777" w:rsidR="00DD531B" w:rsidRPr="00D03732" w:rsidRDefault="00DD531B" w:rsidP="00DD531B">
            <w:pPr>
              <w:spacing w:after="0" w:line="240" w:lineRule="auto"/>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presun z minulých rokov § 8, v tom:</w:t>
            </w:r>
          </w:p>
        </w:tc>
        <w:tc>
          <w:tcPr>
            <w:tcW w:w="399" w:type="pct"/>
            <w:tcBorders>
              <w:top w:val="nil"/>
              <w:left w:val="nil"/>
              <w:bottom w:val="nil"/>
              <w:right w:val="nil"/>
            </w:tcBorders>
            <w:shd w:val="clear" w:color="auto" w:fill="auto"/>
            <w:noWrap/>
            <w:vAlign w:val="bottom"/>
            <w:hideMark/>
          </w:tcPr>
          <w:p w14:paraId="429B5FB2"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197</w:t>
            </w:r>
          </w:p>
        </w:tc>
        <w:tc>
          <w:tcPr>
            <w:tcW w:w="399" w:type="pct"/>
            <w:tcBorders>
              <w:top w:val="nil"/>
              <w:left w:val="nil"/>
              <w:bottom w:val="nil"/>
              <w:right w:val="nil"/>
            </w:tcBorders>
            <w:shd w:val="clear" w:color="auto" w:fill="auto"/>
            <w:noWrap/>
            <w:vAlign w:val="bottom"/>
            <w:hideMark/>
          </w:tcPr>
          <w:p w14:paraId="5DB30CE0"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551</w:t>
            </w:r>
          </w:p>
        </w:tc>
        <w:tc>
          <w:tcPr>
            <w:tcW w:w="399" w:type="pct"/>
            <w:tcBorders>
              <w:top w:val="nil"/>
              <w:left w:val="nil"/>
              <w:bottom w:val="nil"/>
              <w:right w:val="nil"/>
            </w:tcBorders>
            <w:shd w:val="clear" w:color="auto" w:fill="auto"/>
            <w:noWrap/>
            <w:vAlign w:val="bottom"/>
            <w:hideMark/>
          </w:tcPr>
          <w:p w14:paraId="3901C5B7"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399" w:type="pct"/>
            <w:tcBorders>
              <w:top w:val="nil"/>
              <w:left w:val="nil"/>
              <w:bottom w:val="nil"/>
              <w:right w:val="nil"/>
            </w:tcBorders>
            <w:shd w:val="clear" w:color="auto" w:fill="auto"/>
            <w:noWrap/>
            <w:vAlign w:val="bottom"/>
            <w:hideMark/>
          </w:tcPr>
          <w:p w14:paraId="140ADD3E"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1 010</w:t>
            </w:r>
          </w:p>
        </w:tc>
        <w:tc>
          <w:tcPr>
            <w:tcW w:w="399" w:type="pct"/>
            <w:tcBorders>
              <w:top w:val="nil"/>
              <w:left w:val="nil"/>
              <w:bottom w:val="nil"/>
              <w:right w:val="nil"/>
            </w:tcBorders>
            <w:shd w:val="clear" w:color="auto" w:fill="auto"/>
            <w:noWrap/>
            <w:vAlign w:val="bottom"/>
            <w:hideMark/>
          </w:tcPr>
          <w:p w14:paraId="7FD64C3E"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399" w:type="pct"/>
            <w:tcBorders>
              <w:top w:val="nil"/>
              <w:left w:val="nil"/>
              <w:bottom w:val="nil"/>
              <w:right w:val="nil"/>
            </w:tcBorders>
            <w:shd w:val="clear" w:color="auto" w:fill="auto"/>
            <w:noWrap/>
            <w:vAlign w:val="bottom"/>
            <w:hideMark/>
          </w:tcPr>
          <w:p w14:paraId="5B37D39E"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399" w:type="pct"/>
            <w:tcBorders>
              <w:top w:val="nil"/>
              <w:left w:val="nil"/>
              <w:bottom w:val="nil"/>
              <w:right w:val="nil"/>
            </w:tcBorders>
            <w:shd w:val="clear" w:color="auto" w:fill="auto"/>
            <w:noWrap/>
            <w:vAlign w:val="bottom"/>
            <w:hideMark/>
          </w:tcPr>
          <w:p w14:paraId="07BE4039"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r>
      <w:tr w:rsidR="00DD531B" w:rsidRPr="00DD531B" w14:paraId="5079344B" w14:textId="77777777" w:rsidTr="001F24AE">
        <w:trPr>
          <w:trHeight w:val="300"/>
        </w:trPr>
        <w:tc>
          <w:tcPr>
            <w:tcW w:w="2209" w:type="pct"/>
            <w:tcBorders>
              <w:top w:val="nil"/>
              <w:left w:val="nil"/>
              <w:bottom w:val="nil"/>
              <w:right w:val="nil"/>
            </w:tcBorders>
            <w:shd w:val="clear" w:color="auto" w:fill="auto"/>
            <w:noWrap/>
            <w:vAlign w:val="bottom"/>
            <w:hideMark/>
          </w:tcPr>
          <w:p w14:paraId="64D02987"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štátny rozpočet</w:t>
            </w:r>
          </w:p>
        </w:tc>
        <w:tc>
          <w:tcPr>
            <w:tcW w:w="399" w:type="pct"/>
            <w:tcBorders>
              <w:top w:val="nil"/>
              <w:left w:val="nil"/>
              <w:bottom w:val="nil"/>
              <w:right w:val="nil"/>
            </w:tcBorders>
            <w:shd w:val="clear" w:color="auto" w:fill="auto"/>
            <w:noWrap/>
            <w:vAlign w:val="bottom"/>
            <w:hideMark/>
          </w:tcPr>
          <w:p w14:paraId="20D5FB75"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197</w:t>
            </w:r>
          </w:p>
        </w:tc>
        <w:tc>
          <w:tcPr>
            <w:tcW w:w="399" w:type="pct"/>
            <w:tcBorders>
              <w:top w:val="nil"/>
              <w:left w:val="nil"/>
              <w:bottom w:val="nil"/>
              <w:right w:val="nil"/>
            </w:tcBorders>
            <w:shd w:val="clear" w:color="auto" w:fill="auto"/>
            <w:noWrap/>
            <w:vAlign w:val="bottom"/>
            <w:hideMark/>
          </w:tcPr>
          <w:p w14:paraId="4C1C820F"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551</w:t>
            </w:r>
          </w:p>
        </w:tc>
        <w:tc>
          <w:tcPr>
            <w:tcW w:w="399" w:type="pct"/>
            <w:tcBorders>
              <w:top w:val="nil"/>
              <w:left w:val="nil"/>
              <w:bottom w:val="nil"/>
              <w:right w:val="nil"/>
            </w:tcBorders>
            <w:shd w:val="clear" w:color="auto" w:fill="auto"/>
            <w:noWrap/>
            <w:vAlign w:val="bottom"/>
            <w:hideMark/>
          </w:tcPr>
          <w:p w14:paraId="7CB64905"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399" w:type="pct"/>
            <w:tcBorders>
              <w:top w:val="nil"/>
              <w:left w:val="nil"/>
              <w:bottom w:val="nil"/>
              <w:right w:val="nil"/>
            </w:tcBorders>
            <w:shd w:val="clear" w:color="auto" w:fill="auto"/>
            <w:noWrap/>
            <w:vAlign w:val="bottom"/>
            <w:hideMark/>
          </w:tcPr>
          <w:p w14:paraId="781C4145"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977</w:t>
            </w:r>
          </w:p>
        </w:tc>
        <w:tc>
          <w:tcPr>
            <w:tcW w:w="399" w:type="pct"/>
            <w:tcBorders>
              <w:top w:val="nil"/>
              <w:left w:val="nil"/>
              <w:bottom w:val="nil"/>
              <w:right w:val="nil"/>
            </w:tcBorders>
            <w:shd w:val="clear" w:color="auto" w:fill="auto"/>
            <w:noWrap/>
            <w:vAlign w:val="bottom"/>
            <w:hideMark/>
          </w:tcPr>
          <w:p w14:paraId="6F00E90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399" w:type="pct"/>
            <w:tcBorders>
              <w:top w:val="nil"/>
              <w:left w:val="nil"/>
              <w:bottom w:val="nil"/>
              <w:right w:val="nil"/>
            </w:tcBorders>
            <w:shd w:val="clear" w:color="auto" w:fill="auto"/>
            <w:noWrap/>
            <w:vAlign w:val="bottom"/>
            <w:hideMark/>
          </w:tcPr>
          <w:p w14:paraId="10F8A03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399" w:type="pct"/>
            <w:tcBorders>
              <w:top w:val="nil"/>
              <w:left w:val="nil"/>
              <w:bottom w:val="nil"/>
              <w:right w:val="nil"/>
            </w:tcBorders>
            <w:shd w:val="clear" w:color="auto" w:fill="auto"/>
            <w:noWrap/>
            <w:vAlign w:val="bottom"/>
            <w:hideMark/>
          </w:tcPr>
          <w:p w14:paraId="2D271C66"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r>
      <w:tr w:rsidR="00DD531B" w:rsidRPr="00DD531B" w14:paraId="1B6288B5" w14:textId="77777777" w:rsidTr="001F24AE">
        <w:trPr>
          <w:trHeight w:val="300"/>
        </w:trPr>
        <w:tc>
          <w:tcPr>
            <w:tcW w:w="2209" w:type="pct"/>
            <w:tcBorders>
              <w:top w:val="nil"/>
              <w:left w:val="nil"/>
              <w:bottom w:val="nil"/>
              <w:right w:val="nil"/>
            </w:tcBorders>
            <w:shd w:val="clear" w:color="auto" w:fill="auto"/>
            <w:noWrap/>
            <w:vAlign w:val="bottom"/>
            <w:hideMark/>
          </w:tcPr>
          <w:p w14:paraId="54D806C6"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prostriedky EÚ a spolufinancovanie zo ŠR</w:t>
            </w:r>
          </w:p>
        </w:tc>
        <w:tc>
          <w:tcPr>
            <w:tcW w:w="399" w:type="pct"/>
            <w:tcBorders>
              <w:top w:val="nil"/>
              <w:left w:val="nil"/>
              <w:bottom w:val="nil"/>
              <w:right w:val="nil"/>
            </w:tcBorders>
            <w:shd w:val="clear" w:color="auto" w:fill="auto"/>
            <w:noWrap/>
            <w:vAlign w:val="bottom"/>
            <w:hideMark/>
          </w:tcPr>
          <w:p w14:paraId="7E88B87C"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399" w:type="pct"/>
            <w:tcBorders>
              <w:top w:val="nil"/>
              <w:left w:val="nil"/>
              <w:bottom w:val="nil"/>
              <w:right w:val="nil"/>
            </w:tcBorders>
            <w:shd w:val="clear" w:color="auto" w:fill="auto"/>
            <w:noWrap/>
            <w:vAlign w:val="bottom"/>
            <w:hideMark/>
          </w:tcPr>
          <w:p w14:paraId="5E1A761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399" w:type="pct"/>
            <w:tcBorders>
              <w:top w:val="nil"/>
              <w:left w:val="nil"/>
              <w:bottom w:val="nil"/>
              <w:right w:val="nil"/>
            </w:tcBorders>
            <w:shd w:val="clear" w:color="auto" w:fill="auto"/>
            <w:noWrap/>
            <w:vAlign w:val="bottom"/>
            <w:hideMark/>
          </w:tcPr>
          <w:p w14:paraId="383132BD"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399" w:type="pct"/>
            <w:tcBorders>
              <w:top w:val="nil"/>
              <w:left w:val="nil"/>
              <w:bottom w:val="nil"/>
              <w:right w:val="nil"/>
            </w:tcBorders>
            <w:shd w:val="clear" w:color="auto" w:fill="auto"/>
            <w:noWrap/>
            <w:vAlign w:val="bottom"/>
            <w:hideMark/>
          </w:tcPr>
          <w:p w14:paraId="52744318"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33</w:t>
            </w:r>
          </w:p>
        </w:tc>
        <w:tc>
          <w:tcPr>
            <w:tcW w:w="399" w:type="pct"/>
            <w:tcBorders>
              <w:top w:val="nil"/>
              <w:left w:val="nil"/>
              <w:bottom w:val="nil"/>
              <w:right w:val="nil"/>
            </w:tcBorders>
            <w:shd w:val="clear" w:color="auto" w:fill="auto"/>
            <w:noWrap/>
            <w:vAlign w:val="bottom"/>
            <w:hideMark/>
          </w:tcPr>
          <w:p w14:paraId="513EBFA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399" w:type="pct"/>
            <w:tcBorders>
              <w:top w:val="nil"/>
              <w:left w:val="nil"/>
              <w:bottom w:val="nil"/>
              <w:right w:val="nil"/>
            </w:tcBorders>
            <w:shd w:val="clear" w:color="auto" w:fill="auto"/>
            <w:noWrap/>
            <w:vAlign w:val="bottom"/>
            <w:hideMark/>
          </w:tcPr>
          <w:p w14:paraId="6F4BD5B1"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399" w:type="pct"/>
            <w:tcBorders>
              <w:top w:val="nil"/>
              <w:left w:val="nil"/>
              <w:bottom w:val="nil"/>
              <w:right w:val="nil"/>
            </w:tcBorders>
            <w:shd w:val="clear" w:color="auto" w:fill="auto"/>
            <w:noWrap/>
            <w:vAlign w:val="bottom"/>
            <w:hideMark/>
          </w:tcPr>
          <w:p w14:paraId="4B51C795"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r>
      <w:tr w:rsidR="00DD531B" w:rsidRPr="00DD531B" w14:paraId="13FC619C" w14:textId="77777777" w:rsidTr="001F24AE">
        <w:trPr>
          <w:trHeight w:val="300"/>
        </w:trPr>
        <w:tc>
          <w:tcPr>
            <w:tcW w:w="2209" w:type="pct"/>
            <w:tcBorders>
              <w:top w:val="nil"/>
              <w:left w:val="nil"/>
              <w:bottom w:val="single" w:sz="4" w:space="0" w:color="auto"/>
              <w:right w:val="nil"/>
            </w:tcBorders>
            <w:shd w:val="clear" w:color="auto" w:fill="auto"/>
            <w:noWrap/>
            <w:vAlign w:val="bottom"/>
            <w:hideMark/>
          </w:tcPr>
          <w:p w14:paraId="2E23389C" w14:textId="77777777" w:rsidR="00DD531B" w:rsidRPr="00D03732" w:rsidRDefault="00DD531B" w:rsidP="00DD531B">
            <w:pPr>
              <w:spacing w:after="0" w:line="240" w:lineRule="auto"/>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prostriedky podľa § 17 ods. 4 a § 22 ods. 4 zákona č. 523/2004 Z. z.</w:t>
            </w:r>
          </w:p>
        </w:tc>
        <w:tc>
          <w:tcPr>
            <w:tcW w:w="399" w:type="pct"/>
            <w:tcBorders>
              <w:top w:val="nil"/>
              <w:left w:val="nil"/>
              <w:bottom w:val="single" w:sz="4" w:space="0" w:color="auto"/>
              <w:right w:val="nil"/>
            </w:tcBorders>
            <w:shd w:val="clear" w:color="auto" w:fill="auto"/>
            <w:noWrap/>
            <w:vAlign w:val="bottom"/>
            <w:hideMark/>
          </w:tcPr>
          <w:p w14:paraId="183F7CA2"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399" w:type="pct"/>
            <w:tcBorders>
              <w:top w:val="nil"/>
              <w:left w:val="nil"/>
              <w:bottom w:val="single" w:sz="4" w:space="0" w:color="auto"/>
              <w:right w:val="nil"/>
            </w:tcBorders>
            <w:shd w:val="clear" w:color="auto" w:fill="auto"/>
            <w:noWrap/>
            <w:vAlign w:val="bottom"/>
            <w:hideMark/>
          </w:tcPr>
          <w:p w14:paraId="569D2306"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399" w:type="pct"/>
            <w:tcBorders>
              <w:top w:val="nil"/>
              <w:left w:val="nil"/>
              <w:bottom w:val="single" w:sz="4" w:space="0" w:color="auto"/>
              <w:right w:val="nil"/>
            </w:tcBorders>
            <w:shd w:val="clear" w:color="auto" w:fill="auto"/>
            <w:noWrap/>
            <w:vAlign w:val="bottom"/>
            <w:hideMark/>
          </w:tcPr>
          <w:p w14:paraId="655584A7"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399" w:type="pct"/>
            <w:tcBorders>
              <w:top w:val="nil"/>
              <w:left w:val="nil"/>
              <w:bottom w:val="single" w:sz="4" w:space="0" w:color="auto"/>
              <w:right w:val="nil"/>
            </w:tcBorders>
            <w:shd w:val="clear" w:color="auto" w:fill="auto"/>
            <w:noWrap/>
            <w:vAlign w:val="bottom"/>
            <w:hideMark/>
          </w:tcPr>
          <w:p w14:paraId="1CCEF4F4"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399" w:type="pct"/>
            <w:tcBorders>
              <w:top w:val="nil"/>
              <w:left w:val="nil"/>
              <w:bottom w:val="single" w:sz="4" w:space="0" w:color="auto"/>
              <w:right w:val="nil"/>
            </w:tcBorders>
            <w:shd w:val="clear" w:color="auto" w:fill="auto"/>
            <w:noWrap/>
            <w:vAlign w:val="bottom"/>
            <w:hideMark/>
          </w:tcPr>
          <w:p w14:paraId="4A97F8E6"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399" w:type="pct"/>
            <w:tcBorders>
              <w:top w:val="nil"/>
              <w:left w:val="nil"/>
              <w:bottom w:val="single" w:sz="4" w:space="0" w:color="auto"/>
              <w:right w:val="nil"/>
            </w:tcBorders>
            <w:shd w:val="clear" w:color="auto" w:fill="auto"/>
            <w:noWrap/>
            <w:vAlign w:val="bottom"/>
            <w:hideMark/>
          </w:tcPr>
          <w:p w14:paraId="43347B9A"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399" w:type="pct"/>
            <w:tcBorders>
              <w:top w:val="nil"/>
              <w:left w:val="nil"/>
              <w:bottom w:val="single" w:sz="4" w:space="0" w:color="auto"/>
              <w:right w:val="nil"/>
            </w:tcBorders>
            <w:shd w:val="clear" w:color="auto" w:fill="auto"/>
            <w:noWrap/>
            <w:vAlign w:val="bottom"/>
            <w:hideMark/>
          </w:tcPr>
          <w:p w14:paraId="4F7699F0"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r>
    </w:tbl>
    <w:p w14:paraId="543953D8" w14:textId="002ACF39" w:rsidR="00DD531B" w:rsidRDefault="00DD531B" w:rsidP="00DD531B">
      <w:pPr>
        <w:rPr>
          <w:rFonts w:ascii="Times New Roman" w:eastAsia="Calibri" w:hAnsi="Times New Roman" w:cs="Times New Roman"/>
        </w:rPr>
      </w:pPr>
    </w:p>
    <w:p w14:paraId="055C7096" w14:textId="00E51A10" w:rsidR="00D03732" w:rsidRDefault="00D03732" w:rsidP="00DD531B">
      <w:pPr>
        <w:rPr>
          <w:rFonts w:ascii="Times New Roman" w:eastAsia="Calibri" w:hAnsi="Times New Roman" w:cs="Times New Roman"/>
        </w:rPr>
      </w:pPr>
    </w:p>
    <w:p w14:paraId="7025970D" w14:textId="23D4EDD2" w:rsidR="00D03732" w:rsidRDefault="00D03732" w:rsidP="00DD531B">
      <w:pPr>
        <w:rPr>
          <w:rFonts w:ascii="Times New Roman" w:eastAsia="Calibri" w:hAnsi="Times New Roman" w:cs="Times New Roman"/>
        </w:rPr>
      </w:pPr>
    </w:p>
    <w:p w14:paraId="3AB45F84" w14:textId="0DDF8B22" w:rsidR="00D03732" w:rsidRDefault="00D03732" w:rsidP="00DD531B">
      <w:pPr>
        <w:rPr>
          <w:rFonts w:ascii="Times New Roman" w:eastAsia="Calibri" w:hAnsi="Times New Roman" w:cs="Times New Roman"/>
        </w:rPr>
      </w:pPr>
    </w:p>
    <w:p w14:paraId="53E94176" w14:textId="6963B754" w:rsidR="00D03732" w:rsidRDefault="00D03732" w:rsidP="00DD531B">
      <w:pPr>
        <w:rPr>
          <w:rFonts w:ascii="Times New Roman" w:eastAsia="Calibri" w:hAnsi="Times New Roman" w:cs="Times New Roman"/>
        </w:rPr>
      </w:pPr>
    </w:p>
    <w:p w14:paraId="317D09A0" w14:textId="7B4102CF" w:rsidR="00D03732" w:rsidRDefault="00D03732" w:rsidP="00DD531B">
      <w:pPr>
        <w:rPr>
          <w:rFonts w:ascii="Times New Roman" w:eastAsia="Calibri" w:hAnsi="Times New Roman" w:cs="Times New Roman"/>
        </w:rPr>
      </w:pPr>
    </w:p>
    <w:p w14:paraId="0815B7C3" w14:textId="78B00E7D" w:rsidR="00D03732" w:rsidRDefault="00D03732" w:rsidP="00DD531B">
      <w:pPr>
        <w:rPr>
          <w:rFonts w:ascii="Times New Roman" w:eastAsia="Calibri" w:hAnsi="Times New Roman" w:cs="Times New Roman"/>
        </w:rPr>
      </w:pPr>
    </w:p>
    <w:p w14:paraId="1528CE2B" w14:textId="2A236D07" w:rsidR="00D03732" w:rsidRDefault="00D03732" w:rsidP="00DD531B">
      <w:pPr>
        <w:rPr>
          <w:rFonts w:ascii="Times New Roman" w:eastAsia="Calibri" w:hAnsi="Times New Roman" w:cs="Times New Roman"/>
        </w:rPr>
      </w:pPr>
    </w:p>
    <w:p w14:paraId="2C1A6A06" w14:textId="761D8314" w:rsidR="00D03732" w:rsidRDefault="00D03732" w:rsidP="00DD531B">
      <w:pPr>
        <w:rPr>
          <w:rFonts w:ascii="Times New Roman" w:eastAsia="Calibri" w:hAnsi="Times New Roman" w:cs="Times New Roman"/>
        </w:rPr>
      </w:pPr>
    </w:p>
    <w:p w14:paraId="653A8828" w14:textId="1928E69A" w:rsidR="00D03732" w:rsidRDefault="00D03732" w:rsidP="00DD531B">
      <w:pPr>
        <w:rPr>
          <w:rFonts w:ascii="Times New Roman" w:eastAsia="Calibri" w:hAnsi="Times New Roman" w:cs="Times New Roman"/>
        </w:rPr>
      </w:pPr>
    </w:p>
    <w:p w14:paraId="5123636F" w14:textId="5201D271" w:rsidR="00D03732" w:rsidRDefault="00D03732" w:rsidP="00DD531B">
      <w:pPr>
        <w:rPr>
          <w:rFonts w:ascii="Times New Roman" w:eastAsia="Calibri" w:hAnsi="Times New Roman" w:cs="Times New Roman"/>
        </w:rPr>
      </w:pPr>
    </w:p>
    <w:p w14:paraId="2AF30AE0" w14:textId="07516AE3" w:rsidR="00D03732" w:rsidRDefault="00D03732" w:rsidP="00DD531B">
      <w:pPr>
        <w:rPr>
          <w:rFonts w:ascii="Times New Roman" w:eastAsia="Calibri" w:hAnsi="Times New Roman" w:cs="Times New Roman"/>
        </w:rPr>
      </w:pPr>
    </w:p>
    <w:p w14:paraId="597E2D47" w14:textId="7F7F5314" w:rsidR="00D03732" w:rsidRDefault="00D03732" w:rsidP="00DD531B">
      <w:pPr>
        <w:rPr>
          <w:rFonts w:ascii="Times New Roman" w:eastAsia="Calibri" w:hAnsi="Times New Roman" w:cs="Times New Roman"/>
        </w:rPr>
      </w:pPr>
    </w:p>
    <w:p w14:paraId="52A31CA7" w14:textId="77777777" w:rsidR="00D03732" w:rsidRPr="00DD531B" w:rsidRDefault="00D03732" w:rsidP="00DD531B">
      <w:pPr>
        <w:rPr>
          <w:rFonts w:ascii="Times New Roman" w:eastAsia="Calibri" w:hAnsi="Times New Roman" w:cs="Times New Roman"/>
        </w:rPr>
      </w:pPr>
    </w:p>
    <w:p w14:paraId="12FF35C7" w14:textId="46D5BA13" w:rsidR="00DD531B" w:rsidRPr="00D03732" w:rsidRDefault="00DD531B" w:rsidP="00D03732">
      <w:pPr>
        <w:keepNext/>
        <w:keepLines/>
        <w:spacing w:before="40" w:after="0"/>
        <w:outlineLvl w:val="1"/>
        <w:rPr>
          <w:rFonts w:ascii="Times New Roman" w:eastAsia="Times New Roman" w:hAnsi="Times New Roman" w:cs="Times New Roman"/>
          <w:b/>
          <w:color w:val="5B9BD5" w:themeColor="accent1"/>
          <w:sz w:val="24"/>
          <w:szCs w:val="24"/>
        </w:rPr>
      </w:pPr>
      <w:r w:rsidRPr="00D03732">
        <w:rPr>
          <w:rFonts w:ascii="Times New Roman" w:eastAsia="Times New Roman" w:hAnsi="Times New Roman" w:cs="Times New Roman"/>
          <w:b/>
          <w:color w:val="5B9BD5" w:themeColor="accent1"/>
          <w:sz w:val="24"/>
          <w:szCs w:val="24"/>
        </w:rPr>
        <w:lastRenderedPageBreak/>
        <w:t>Kancelária najvyššieho súdu SR</w:t>
      </w:r>
    </w:p>
    <w:p w14:paraId="105043C5" w14:textId="77777777" w:rsidR="00D03732" w:rsidRPr="00D03732" w:rsidRDefault="00D03732" w:rsidP="00D03732">
      <w:pPr>
        <w:keepNext/>
        <w:keepLines/>
        <w:spacing w:before="40" w:after="0"/>
        <w:outlineLvl w:val="1"/>
        <w:rPr>
          <w:rFonts w:ascii="Times New Roman" w:eastAsia="Times New Roman" w:hAnsi="Times New Roman" w:cs="Times New Roman"/>
          <w:b/>
          <w:color w:val="5B9BD5" w:themeColor="accent1"/>
          <w:sz w:val="24"/>
          <w:szCs w:val="24"/>
        </w:rPr>
      </w:pPr>
    </w:p>
    <w:p w14:paraId="63BEC8A4" w14:textId="5DCDADEA" w:rsidR="00DD531B" w:rsidRPr="00D03732" w:rsidRDefault="00D03732"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193" w:name="_Toc153013063"/>
      <w:r w:rsidRPr="00D03732">
        <w:rPr>
          <w:rFonts w:ascii="Times New Roman" w:eastAsia="Times New Roman" w:hAnsi="Times New Roman" w:cs="Times New Roman"/>
          <w:b/>
          <w:iCs/>
          <w:color w:val="5B9BD5" w:themeColor="accent1"/>
          <w:sz w:val="20"/>
          <w:szCs w:val="20"/>
          <w:lang w:eastAsia="sk-SK"/>
        </w:rPr>
        <w:t xml:space="preserve">Tabuľka </w:t>
      </w:r>
      <w:r w:rsidRPr="00D03732">
        <w:rPr>
          <w:rFonts w:ascii="Times New Roman" w:hAnsi="Times New Roman" w:cs="Times New Roman"/>
          <w:b/>
          <w:color w:val="5B9BD5" w:themeColor="accent1"/>
          <w:sz w:val="20"/>
          <w:szCs w:val="20"/>
        </w:rPr>
        <w:fldChar w:fldCharType="begin"/>
      </w:r>
      <w:r w:rsidRPr="00D03732">
        <w:rPr>
          <w:rFonts w:ascii="Times New Roman" w:hAnsi="Times New Roman" w:cs="Times New Roman"/>
          <w:b/>
          <w:color w:val="5B9BD5" w:themeColor="accent1"/>
          <w:sz w:val="20"/>
          <w:szCs w:val="20"/>
        </w:rPr>
        <w:instrText xml:space="preserve"> SEQ Tabuľka \* ARABIC </w:instrText>
      </w:r>
      <w:r w:rsidRPr="00D03732">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65</w:t>
      </w:r>
      <w:r w:rsidRPr="00D03732">
        <w:rPr>
          <w:rFonts w:ascii="Times New Roman" w:hAnsi="Times New Roman" w:cs="Times New Roman"/>
          <w:b/>
          <w:color w:val="5B9BD5" w:themeColor="accent1"/>
          <w:sz w:val="20"/>
          <w:szCs w:val="20"/>
        </w:rPr>
        <w:fldChar w:fldCharType="end"/>
      </w:r>
      <w:r w:rsidRPr="00D03732">
        <w:rPr>
          <w:rFonts w:ascii="Times New Roman" w:hAnsi="Times New Roman" w:cs="Times New Roman"/>
          <w:b/>
          <w:color w:val="5B9BD5" w:themeColor="accent1"/>
          <w:sz w:val="20"/>
          <w:szCs w:val="20"/>
        </w:rPr>
        <w:t xml:space="preserve"> - </w:t>
      </w:r>
      <w:r w:rsidR="00DD531B" w:rsidRPr="00D03732">
        <w:rPr>
          <w:rFonts w:ascii="Times New Roman" w:eastAsia="Times New Roman" w:hAnsi="Times New Roman" w:cs="Times New Roman"/>
          <w:b/>
          <w:iCs/>
          <w:color w:val="5B9BD5" w:themeColor="accent1"/>
          <w:sz w:val="20"/>
          <w:szCs w:val="20"/>
          <w:lang w:eastAsia="sk-SK"/>
        </w:rPr>
        <w:t>Príjmy kapitoly KNS SR</w:t>
      </w:r>
      <w:bookmarkEnd w:id="193"/>
    </w:p>
    <w:tbl>
      <w:tblPr>
        <w:tblW w:w="5000" w:type="pct"/>
        <w:tblCellMar>
          <w:left w:w="70" w:type="dxa"/>
          <w:right w:w="70" w:type="dxa"/>
        </w:tblCellMar>
        <w:tblLook w:val="04A0" w:firstRow="1" w:lastRow="0" w:firstColumn="1" w:lastColumn="0" w:noHBand="0" w:noVBand="1"/>
      </w:tblPr>
      <w:tblGrid>
        <w:gridCol w:w="3407"/>
        <w:gridCol w:w="810"/>
        <w:gridCol w:w="810"/>
        <w:gridCol w:w="809"/>
        <w:gridCol w:w="809"/>
        <w:gridCol w:w="809"/>
        <w:gridCol w:w="809"/>
        <w:gridCol w:w="809"/>
      </w:tblGrid>
      <w:tr w:rsidR="00DD531B" w:rsidRPr="00D03732" w14:paraId="0085268A" w14:textId="77777777" w:rsidTr="001F24AE">
        <w:trPr>
          <w:trHeight w:val="300"/>
        </w:trPr>
        <w:tc>
          <w:tcPr>
            <w:tcW w:w="1877" w:type="pct"/>
            <w:tcBorders>
              <w:top w:val="single" w:sz="4" w:space="0" w:color="auto"/>
              <w:left w:val="nil"/>
              <w:bottom w:val="single" w:sz="4" w:space="0" w:color="auto"/>
              <w:right w:val="nil"/>
            </w:tcBorders>
            <w:shd w:val="clear" w:color="auto" w:fill="auto"/>
            <w:noWrap/>
            <w:vAlign w:val="center"/>
            <w:hideMark/>
          </w:tcPr>
          <w:p w14:paraId="29242202" w14:textId="77777777" w:rsidR="00DD531B" w:rsidRPr="00D03732" w:rsidRDefault="00DD531B" w:rsidP="00DD531B">
            <w:pPr>
              <w:spacing w:after="0" w:line="240" w:lineRule="auto"/>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v tis. eur</w:t>
            </w:r>
          </w:p>
        </w:tc>
        <w:tc>
          <w:tcPr>
            <w:tcW w:w="446" w:type="pct"/>
            <w:tcBorders>
              <w:top w:val="single" w:sz="4" w:space="0" w:color="auto"/>
              <w:left w:val="nil"/>
              <w:bottom w:val="single" w:sz="4" w:space="0" w:color="auto"/>
              <w:right w:val="nil"/>
            </w:tcBorders>
            <w:shd w:val="clear" w:color="auto" w:fill="auto"/>
            <w:noWrap/>
            <w:vAlign w:val="center"/>
            <w:hideMark/>
          </w:tcPr>
          <w:p w14:paraId="6A3965D0"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2021 S</w:t>
            </w:r>
          </w:p>
        </w:tc>
        <w:tc>
          <w:tcPr>
            <w:tcW w:w="446" w:type="pct"/>
            <w:tcBorders>
              <w:top w:val="single" w:sz="4" w:space="0" w:color="auto"/>
              <w:left w:val="nil"/>
              <w:bottom w:val="single" w:sz="4" w:space="0" w:color="auto"/>
              <w:right w:val="nil"/>
            </w:tcBorders>
            <w:shd w:val="clear" w:color="auto" w:fill="auto"/>
            <w:noWrap/>
            <w:vAlign w:val="center"/>
            <w:hideMark/>
          </w:tcPr>
          <w:p w14:paraId="3703DA85"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2022 S</w:t>
            </w:r>
          </w:p>
        </w:tc>
        <w:tc>
          <w:tcPr>
            <w:tcW w:w="446" w:type="pct"/>
            <w:tcBorders>
              <w:top w:val="single" w:sz="4" w:space="0" w:color="auto"/>
              <w:left w:val="nil"/>
              <w:bottom w:val="single" w:sz="4" w:space="0" w:color="auto"/>
              <w:right w:val="nil"/>
            </w:tcBorders>
            <w:shd w:val="clear" w:color="auto" w:fill="auto"/>
            <w:noWrap/>
            <w:vAlign w:val="center"/>
            <w:hideMark/>
          </w:tcPr>
          <w:p w14:paraId="29E2E0C2"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2023 R</w:t>
            </w:r>
          </w:p>
        </w:tc>
        <w:tc>
          <w:tcPr>
            <w:tcW w:w="446" w:type="pct"/>
            <w:tcBorders>
              <w:top w:val="single" w:sz="4" w:space="0" w:color="auto"/>
              <w:left w:val="nil"/>
              <w:bottom w:val="single" w:sz="4" w:space="0" w:color="auto"/>
              <w:right w:val="nil"/>
            </w:tcBorders>
            <w:shd w:val="clear" w:color="auto" w:fill="auto"/>
            <w:noWrap/>
            <w:vAlign w:val="center"/>
            <w:hideMark/>
          </w:tcPr>
          <w:p w14:paraId="7FD52E0A"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2023 OS</w:t>
            </w:r>
          </w:p>
        </w:tc>
        <w:tc>
          <w:tcPr>
            <w:tcW w:w="446" w:type="pct"/>
            <w:tcBorders>
              <w:top w:val="single" w:sz="4" w:space="0" w:color="auto"/>
              <w:left w:val="nil"/>
              <w:bottom w:val="single" w:sz="4" w:space="0" w:color="auto"/>
              <w:right w:val="nil"/>
            </w:tcBorders>
            <w:shd w:val="clear" w:color="auto" w:fill="auto"/>
            <w:noWrap/>
            <w:vAlign w:val="center"/>
            <w:hideMark/>
          </w:tcPr>
          <w:p w14:paraId="30544559"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2024 N</w:t>
            </w:r>
          </w:p>
        </w:tc>
        <w:tc>
          <w:tcPr>
            <w:tcW w:w="446" w:type="pct"/>
            <w:tcBorders>
              <w:top w:val="single" w:sz="4" w:space="0" w:color="auto"/>
              <w:left w:val="nil"/>
              <w:bottom w:val="single" w:sz="4" w:space="0" w:color="auto"/>
              <w:right w:val="nil"/>
            </w:tcBorders>
            <w:shd w:val="clear" w:color="auto" w:fill="auto"/>
            <w:noWrap/>
            <w:vAlign w:val="center"/>
            <w:hideMark/>
          </w:tcPr>
          <w:p w14:paraId="2BF529CC"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2025 N</w:t>
            </w:r>
          </w:p>
        </w:tc>
        <w:tc>
          <w:tcPr>
            <w:tcW w:w="446" w:type="pct"/>
            <w:tcBorders>
              <w:top w:val="single" w:sz="4" w:space="0" w:color="auto"/>
              <w:left w:val="nil"/>
              <w:bottom w:val="single" w:sz="4" w:space="0" w:color="auto"/>
              <w:right w:val="nil"/>
            </w:tcBorders>
            <w:shd w:val="clear" w:color="auto" w:fill="auto"/>
            <w:noWrap/>
            <w:vAlign w:val="center"/>
            <w:hideMark/>
          </w:tcPr>
          <w:p w14:paraId="77512F01"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2026 N</w:t>
            </w:r>
          </w:p>
        </w:tc>
      </w:tr>
      <w:tr w:rsidR="00DD531B" w:rsidRPr="00D03732" w14:paraId="2470735A" w14:textId="77777777" w:rsidTr="001F24AE">
        <w:trPr>
          <w:trHeight w:val="300"/>
        </w:trPr>
        <w:tc>
          <w:tcPr>
            <w:tcW w:w="1877" w:type="pct"/>
            <w:tcBorders>
              <w:top w:val="nil"/>
              <w:left w:val="nil"/>
              <w:bottom w:val="nil"/>
              <w:right w:val="nil"/>
            </w:tcBorders>
            <w:shd w:val="clear" w:color="auto" w:fill="auto"/>
            <w:noWrap/>
            <w:vAlign w:val="bottom"/>
            <w:hideMark/>
          </w:tcPr>
          <w:p w14:paraId="0F242246" w14:textId="77777777" w:rsidR="00DD531B" w:rsidRPr="00D03732" w:rsidRDefault="00DD531B" w:rsidP="00DD531B">
            <w:pPr>
              <w:spacing w:after="0" w:line="240" w:lineRule="auto"/>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Príjmy kapitoly spolu</w:t>
            </w:r>
          </w:p>
        </w:tc>
        <w:tc>
          <w:tcPr>
            <w:tcW w:w="446" w:type="pct"/>
            <w:tcBorders>
              <w:top w:val="nil"/>
              <w:left w:val="nil"/>
              <w:bottom w:val="nil"/>
              <w:right w:val="nil"/>
            </w:tcBorders>
            <w:shd w:val="clear" w:color="auto" w:fill="auto"/>
            <w:noWrap/>
            <w:vAlign w:val="bottom"/>
            <w:hideMark/>
          </w:tcPr>
          <w:p w14:paraId="78439C5D"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14</w:t>
            </w:r>
          </w:p>
        </w:tc>
        <w:tc>
          <w:tcPr>
            <w:tcW w:w="446" w:type="pct"/>
            <w:tcBorders>
              <w:top w:val="nil"/>
              <w:left w:val="nil"/>
              <w:bottom w:val="nil"/>
              <w:right w:val="nil"/>
            </w:tcBorders>
            <w:shd w:val="clear" w:color="auto" w:fill="auto"/>
            <w:noWrap/>
            <w:vAlign w:val="bottom"/>
            <w:hideMark/>
          </w:tcPr>
          <w:p w14:paraId="54D28552"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25</w:t>
            </w:r>
          </w:p>
        </w:tc>
        <w:tc>
          <w:tcPr>
            <w:tcW w:w="446" w:type="pct"/>
            <w:tcBorders>
              <w:top w:val="nil"/>
              <w:left w:val="nil"/>
              <w:bottom w:val="nil"/>
              <w:right w:val="nil"/>
            </w:tcBorders>
            <w:shd w:val="clear" w:color="auto" w:fill="auto"/>
            <w:noWrap/>
            <w:vAlign w:val="bottom"/>
            <w:hideMark/>
          </w:tcPr>
          <w:p w14:paraId="2B5181D1"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10</w:t>
            </w:r>
          </w:p>
        </w:tc>
        <w:tc>
          <w:tcPr>
            <w:tcW w:w="446" w:type="pct"/>
            <w:tcBorders>
              <w:top w:val="nil"/>
              <w:left w:val="nil"/>
              <w:bottom w:val="nil"/>
              <w:right w:val="nil"/>
            </w:tcBorders>
            <w:shd w:val="clear" w:color="auto" w:fill="auto"/>
            <w:noWrap/>
            <w:vAlign w:val="bottom"/>
            <w:hideMark/>
          </w:tcPr>
          <w:p w14:paraId="70EDFF65"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10</w:t>
            </w:r>
          </w:p>
        </w:tc>
        <w:tc>
          <w:tcPr>
            <w:tcW w:w="446" w:type="pct"/>
            <w:tcBorders>
              <w:top w:val="nil"/>
              <w:left w:val="nil"/>
              <w:bottom w:val="nil"/>
              <w:right w:val="nil"/>
            </w:tcBorders>
            <w:shd w:val="clear" w:color="auto" w:fill="auto"/>
            <w:noWrap/>
            <w:vAlign w:val="bottom"/>
            <w:hideMark/>
          </w:tcPr>
          <w:p w14:paraId="756BC90A"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10</w:t>
            </w:r>
          </w:p>
        </w:tc>
        <w:tc>
          <w:tcPr>
            <w:tcW w:w="446" w:type="pct"/>
            <w:tcBorders>
              <w:top w:val="nil"/>
              <w:left w:val="nil"/>
              <w:bottom w:val="nil"/>
              <w:right w:val="nil"/>
            </w:tcBorders>
            <w:shd w:val="clear" w:color="auto" w:fill="auto"/>
            <w:noWrap/>
            <w:vAlign w:val="bottom"/>
            <w:hideMark/>
          </w:tcPr>
          <w:p w14:paraId="430C6E82"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10</w:t>
            </w:r>
          </w:p>
        </w:tc>
        <w:tc>
          <w:tcPr>
            <w:tcW w:w="446" w:type="pct"/>
            <w:tcBorders>
              <w:top w:val="nil"/>
              <w:left w:val="nil"/>
              <w:bottom w:val="nil"/>
              <w:right w:val="nil"/>
            </w:tcBorders>
            <w:shd w:val="clear" w:color="auto" w:fill="auto"/>
            <w:noWrap/>
            <w:vAlign w:val="bottom"/>
            <w:hideMark/>
          </w:tcPr>
          <w:p w14:paraId="4EF83E07"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10</w:t>
            </w:r>
          </w:p>
        </w:tc>
      </w:tr>
      <w:tr w:rsidR="00DD531B" w:rsidRPr="00D03732" w14:paraId="0693C078" w14:textId="77777777" w:rsidTr="001F24AE">
        <w:trPr>
          <w:trHeight w:val="300"/>
        </w:trPr>
        <w:tc>
          <w:tcPr>
            <w:tcW w:w="1877" w:type="pct"/>
            <w:tcBorders>
              <w:top w:val="nil"/>
              <w:left w:val="nil"/>
              <w:bottom w:val="single" w:sz="4" w:space="0" w:color="auto"/>
              <w:right w:val="nil"/>
            </w:tcBorders>
            <w:shd w:val="clear" w:color="auto" w:fill="auto"/>
            <w:noWrap/>
            <w:vAlign w:val="bottom"/>
            <w:hideMark/>
          </w:tcPr>
          <w:p w14:paraId="09061140" w14:textId="77777777" w:rsidR="00DD531B" w:rsidRPr="00D03732" w:rsidRDefault="00DD531B" w:rsidP="00DD531B">
            <w:pPr>
              <w:spacing w:after="0" w:line="240" w:lineRule="auto"/>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nedaňové príjmy</w:t>
            </w:r>
          </w:p>
        </w:tc>
        <w:tc>
          <w:tcPr>
            <w:tcW w:w="446" w:type="pct"/>
            <w:tcBorders>
              <w:top w:val="nil"/>
              <w:left w:val="nil"/>
              <w:bottom w:val="single" w:sz="4" w:space="0" w:color="auto"/>
              <w:right w:val="nil"/>
            </w:tcBorders>
            <w:shd w:val="clear" w:color="auto" w:fill="auto"/>
            <w:noWrap/>
            <w:vAlign w:val="bottom"/>
            <w:hideMark/>
          </w:tcPr>
          <w:p w14:paraId="48D077A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14</w:t>
            </w:r>
          </w:p>
        </w:tc>
        <w:tc>
          <w:tcPr>
            <w:tcW w:w="446" w:type="pct"/>
            <w:tcBorders>
              <w:top w:val="nil"/>
              <w:left w:val="nil"/>
              <w:bottom w:val="single" w:sz="4" w:space="0" w:color="auto"/>
              <w:right w:val="nil"/>
            </w:tcBorders>
            <w:shd w:val="clear" w:color="auto" w:fill="auto"/>
            <w:noWrap/>
            <w:vAlign w:val="bottom"/>
            <w:hideMark/>
          </w:tcPr>
          <w:p w14:paraId="008B0C60"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25</w:t>
            </w:r>
          </w:p>
        </w:tc>
        <w:tc>
          <w:tcPr>
            <w:tcW w:w="446" w:type="pct"/>
            <w:tcBorders>
              <w:top w:val="nil"/>
              <w:left w:val="nil"/>
              <w:bottom w:val="single" w:sz="4" w:space="0" w:color="auto"/>
              <w:right w:val="nil"/>
            </w:tcBorders>
            <w:shd w:val="clear" w:color="auto" w:fill="auto"/>
            <w:noWrap/>
            <w:vAlign w:val="bottom"/>
            <w:hideMark/>
          </w:tcPr>
          <w:p w14:paraId="71667605"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10</w:t>
            </w:r>
          </w:p>
        </w:tc>
        <w:tc>
          <w:tcPr>
            <w:tcW w:w="446" w:type="pct"/>
            <w:tcBorders>
              <w:top w:val="nil"/>
              <w:left w:val="nil"/>
              <w:bottom w:val="single" w:sz="4" w:space="0" w:color="auto"/>
              <w:right w:val="nil"/>
            </w:tcBorders>
            <w:shd w:val="clear" w:color="auto" w:fill="auto"/>
            <w:noWrap/>
            <w:vAlign w:val="bottom"/>
            <w:hideMark/>
          </w:tcPr>
          <w:p w14:paraId="02CA9209"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10</w:t>
            </w:r>
          </w:p>
        </w:tc>
        <w:tc>
          <w:tcPr>
            <w:tcW w:w="446" w:type="pct"/>
            <w:tcBorders>
              <w:top w:val="nil"/>
              <w:left w:val="nil"/>
              <w:bottom w:val="single" w:sz="4" w:space="0" w:color="auto"/>
              <w:right w:val="nil"/>
            </w:tcBorders>
            <w:shd w:val="clear" w:color="auto" w:fill="auto"/>
            <w:noWrap/>
            <w:vAlign w:val="bottom"/>
            <w:hideMark/>
          </w:tcPr>
          <w:p w14:paraId="305117CC"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10</w:t>
            </w:r>
          </w:p>
        </w:tc>
        <w:tc>
          <w:tcPr>
            <w:tcW w:w="446" w:type="pct"/>
            <w:tcBorders>
              <w:top w:val="nil"/>
              <w:left w:val="nil"/>
              <w:bottom w:val="single" w:sz="4" w:space="0" w:color="auto"/>
              <w:right w:val="nil"/>
            </w:tcBorders>
            <w:shd w:val="clear" w:color="auto" w:fill="auto"/>
            <w:noWrap/>
            <w:vAlign w:val="bottom"/>
            <w:hideMark/>
          </w:tcPr>
          <w:p w14:paraId="320AAD40"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10</w:t>
            </w:r>
          </w:p>
        </w:tc>
        <w:tc>
          <w:tcPr>
            <w:tcW w:w="446" w:type="pct"/>
            <w:tcBorders>
              <w:top w:val="nil"/>
              <w:left w:val="nil"/>
              <w:bottom w:val="single" w:sz="4" w:space="0" w:color="auto"/>
              <w:right w:val="nil"/>
            </w:tcBorders>
            <w:shd w:val="clear" w:color="auto" w:fill="auto"/>
            <w:noWrap/>
            <w:vAlign w:val="bottom"/>
            <w:hideMark/>
          </w:tcPr>
          <w:p w14:paraId="5EA54D4F"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10</w:t>
            </w:r>
          </w:p>
        </w:tc>
      </w:tr>
    </w:tbl>
    <w:p w14:paraId="6D4B7D3A" w14:textId="77777777" w:rsidR="00DD531B" w:rsidRPr="00D03732" w:rsidRDefault="00DD531B" w:rsidP="00DD531B">
      <w:pPr>
        <w:rPr>
          <w:rFonts w:ascii="Times New Roman" w:eastAsia="Calibri" w:hAnsi="Times New Roman" w:cs="Times New Roman"/>
          <w:color w:val="5B9BD5" w:themeColor="accent1"/>
          <w:sz w:val="16"/>
          <w:szCs w:val="16"/>
        </w:rPr>
      </w:pPr>
    </w:p>
    <w:p w14:paraId="04101EC6" w14:textId="0C94C858" w:rsidR="00DD531B" w:rsidRPr="00D03732" w:rsidRDefault="00D03732"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194" w:name="_Toc153013064"/>
      <w:r w:rsidRPr="00D03732">
        <w:rPr>
          <w:rFonts w:ascii="Times New Roman" w:eastAsia="Times New Roman" w:hAnsi="Times New Roman" w:cs="Times New Roman"/>
          <w:b/>
          <w:iCs/>
          <w:color w:val="5B9BD5" w:themeColor="accent1"/>
          <w:sz w:val="20"/>
          <w:szCs w:val="20"/>
          <w:lang w:eastAsia="sk-SK"/>
        </w:rPr>
        <w:t xml:space="preserve">Tabuľka </w:t>
      </w:r>
      <w:r w:rsidRPr="00D03732">
        <w:rPr>
          <w:rFonts w:ascii="Times New Roman" w:hAnsi="Times New Roman" w:cs="Times New Roman"/>
          <w:b/>
          <w:color w:val="5B9BD5" w:themeColor="accent1"/>
          <w:sz w:val="20"/>
          <w:szCs w:val="20"/>
        </w:rPr>
        <w:fldChar w:fldCharType="begin"/>
      </w:r>
      <w:r w:rsidRPr="00D03732">
        <w:rPr>
          <w:rFonts w:ascii="Times New Roman" w:hAnsi="Times New Roman" w:cs="Times New Roman"/>
          <w:b/>
          <w:color w:val="5B9BD5" w:themeColor="accent1"/>
          <w:sz w:val="20"/>
          <w:szCs w:val="20"/>
        </w:rPr>
        <w:instrText xml:space="preserve"> SEQ Tabuľka \* ARABIC </w:instrText>
      </w:r>
      <w:r w:rsidRPr="00D03732">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66</w:t>
      </w:r>
      <w:r w:rsidRPr="00D03732">
        <w:rPr>
          <w:rFonts w:ascii="Times New Roman" w:hAnsi="Times New Roman" w:cs="Times New Roman"/>
          <w:b/>
          <w:color w:val="5B9BD5" w:themeColor="accent1"/>
          <w:sz w:val="20"/>
          <w:szCs w:val="20"/>
        </w:rPr>
        <w:fldChar w:fldCharType="end"/>
      </w:r>
      <w:r w:rsidRPr="00D03732">
        <w:rPr>
          <w:rFonts w:ascii="Times New Roman" w:hAnsi="Times New Roman" w:cs="Times New Roman"/>
          <w:b/>
          <w:color w:val="5B9BD5" w:themeColor="accent1"/>
          <w:sz w:val="20"/>
          <w:szCs w:val="20"/>
        </w:rPr>
        <w:t xml:space="preserve"> - </w:t>
      </w:r>
      <w:r w:rsidR="00DD531B" w:rsidRPr="00D03732">
        <w:rPr>
          <w:rFonts w:ascii="Times New Roman" w:eastAsia="Times New Roman" w:hAnsi="Times New Roman" w:cs="Times New Roman"/>
          <w:b/>
          <w:iCs/>
          <w:color w:val="5B9BD5" w:themeColor="accent1"/>
          <w:sz w:val="20"/>
          <w:szCs w:val="20"/>
          <w:lang w:eastAsia="sk-SK"/>
        </w:rPr>
        <w:t>Výdavky kapitoly KNS SR</w:t>
      </w:r>
      <w:bookmarkEnd w:id="194"/>
    </w:p>
    <w:tbl>
      <w:tblPr>
        <w:tblW w:w="5000" w:type="pct"/>
        <w:tblCellMar>
          <w:left w:w="70" w:type="dxa"/>
          <w:right w:w="70" w:type="dxa"/>
        </w:tblCellMar>
        <w:tblLook w:val="04A0" w:firstRow="1" w:lastRow="0" w:firstColumn="1" w:lastColumn="0" w:noHBand="0" w:noVBand="1"/>
      </w:tblPr>
      <w:tblGrid>
        <w:gridCol w:w="3572"/>
        <w:gridCol w:w="785"/>
        <w:gridCol w:w="785"/>
        <w:gridCol w:w="786"/>
        <w:gridCol w:w="786"/>
        <w:gridCol w:w="786"/>
        <w:gridCol w:w="786"/>
        <w:gridCol w:w="786"/>
      </w:tblGrid>
      <w:tr w:rsidR="00DD531B" w:rsidRPr="00DD531B" w14:paraId="0CB3C595" w14:textId="77777777" w:rsidTr="001F24AE">
        <w:trPr>
          <w:trHeight w:val="300"/>
        </w:trPr>
        <w:tc>
          <w:tcPr>
            <w:tcW w:w="1877" w:type="pct"/>
            <w:tcBorders>
              <w:top w:val="single" w:sz="4" w:space="0" w:color="auto"/>
              <w:left w:val="nil"/>
              <w:bottom w:val="single" w:sz="4" w:space="0" w:color="auto"/>
              <w:right w:val="nil"/>
            </w:tcBorders>
            <w:shd w:val="clear" w:color="auto" w:fill="auto"/>
            <w:noWrap/>
            <w:vAlign w:val="center"/>
            <w:hideMark/>
          </w:tcPr>
          <w:p w14:paraId="7979396A" w14:textId="77777777" w:rsidR="00DD531B" w:rsidRPr="00D03732" w:rsidRDefault="00DD531B" w:rsidP="00DD531B">
            <w:pPr>
              <w:spacing w:after="0" w:line="240" w:lineRule="auto"/>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v tis. eur</w:t>
            </w:r>
          </w:p>
        </w:tc>
        <w:tc>
          <w:tcPr>
            <w:tcW w:w="446" w:type="pct"/>
            <w:tcBorders>
              <w:top w:val="single" w:sz="4" w:space="0" w:color="auto"/>
              <w:left w:val="nil"/>
              <w:bottom w:val="single" w:sz="4" w:space="0" w:color="auto"/>
              <w:right w:val="nil"/>
            </w:tcBorders>
            <w:shd w:val="clear" w:color="auto" w:fill="auto"/>
            <w:noWrap/>
            <w:vAlign w:val="center"/>
            <w:hideMark/>
          </w:tcPr>
          <w:p w14:paraId="3A9C8D25"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2021 S</w:t>
            </w:r>
          </w:p>
        </w:tc>
        <w:tc>
          <w:tcPr>
            <w:tcW w:w="446" w:type="pct"/>
            <w:tcBorders>
              <w:top w:val="single" w:sz="4" w:space="0" w:color="auto"/>
              <w:left w:val="nil"/>
              <w:bottom w:val="single" w:sz="4" w:space="0" w:color="auto"/>
              <w:right w:val="nil"/>
            </w:tcBorders>
            <w:shd w:val="clear" w:color="auto" w:fill="auto"/>
            <w:noWrap/>
            <w:vAlign w:val="center"/>
            <w:hideMark/>
          </w:tcPr>
          <w:p w14:paraId="22DFA52D"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2022 S</w:t>
            </w:r>
          </w:p>
        </w:tc>
        <w:tc>
          <w:tcPr>
            <w:tcW w:w="446" w:type="pct"/>
            <w:tcBorders>
              <w:top w:val="single" w:sz="4" w:space="0" w:color="auto"/>
              <w:left w:val="nil"/>
              <w:bottom w:val="single" w:sz="4" w:space="0" w:color="auto"/>
              <w:right w:val="nil"/>
            </w:tcBorders>
            <w:shd w:val="clear" w:color="auto" w:fill="auto"/>
            <w:noWrap/>
            <w:vAlign w:val="center"/>
            <w:hideMark/>
          </w:tcPr>
          <w:p w14:paraId="78D075ED"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2023 R</w:t>
            </w:r>
          </w:p>
        </w:tc>
        <w:tc>
          <w:tcPr>
            <w:tcW w:w="446" w:type="pct"/>
            <w:tcBorders>
              <w:top w:val="single" w:sz="4" w:space="0" w:color="auto"/>
              <w:left w:val="nil"/>
              <w:bottom w:val="single" w:sz="4" w:space="0" w:color="auto"/>
              <w:right w:val="nil"/>
            </w:tcBorders>
            <w:shd w:val="clear" w:color="auto" w:fill="auto"/>
            <w:noWrap/>
            <w:vAlign w:val="center"/>
            <w:hideMark/>
          </w:tcPr>
          <w:p w14:paraId="70490958"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2023 OS</w:t>
            </w:r>
          </w:p>
        </w:tc>
        <w:tc>
          <w:tcPr>
            <w:tcW w:w="446" w:type="pct"/>
            <w:tcBorders>
              <w:top w:val="single" w:sz="4" w:space="0" w:color="auto"/>
              <w:left w:val="nil"/>
              <w:bottom w:val="single" w:sz="4" w:space="0" w:color="auto"/>
              <w:right w:val="nil"/>
            </w:tcBorders>
            <w:shd w:val="clear" w:color="auto" w:fill="auto"/>
            <w:noWrap/>
            <w:vAlign w:val="center"/>
            <w:hideMark/>
          </w:tcPr>
          <w:p w14:paraId="3CF865BD"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2024 N</w:t>
            </w:r>
          </w:p>
        </w:tc>
        <w:tc>
          <w:tcPr>
            <w:tcW w:w="446" w:type="pct"/>
            <w:tcBorders>
              <w:top w:val="single" w:sz="4" w:space="0" w:color="auto"/>
              <w:left w:val="nil"/>
              <w:bottom w:val="single" w:sz="4" w:space="0" w:color="auto"/>
              <w:right w:val="nil"/>
            </w:tcBorders>
            <w:shd w:val="clear" w:color="auto" w:fill="auto"/>
            <w:noWrap/>
            <w:vAlign w:val="center"/>
            <w:hideMark/>
          </w:tcPr>
          <w:p w14:paraId="2063C560"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2025 N</w:t>
            </w:r>
          </w:p>
        </w:tc>
        <w:tc>
          <w:tcPr>
            <w:tcW w:w="446" w:type="pct"/>
            <w:tcBorders>
              <w:top w:val="single" w:sz="4" w:space="0" w:color="auto"/>
              <w:left w:val="nil"/>
              <w:bottom w:val="single" w:sz="4" w:space="0" w:color="auto"/>
              <w:right w:val="nil"/>
            </w:tcBorders>
            <w:shd w:val="clear" w:color="auto" w:fill="auto"/>
            <w:noWrap/>
            <w:vAlign w:val="center"/>
            <w:hideMark/>
          </w:tcPr>
          <w:p w14:paraId="2E97B2D1"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2026 N</w:t>
            </w:r>
          </w:p>
        </w:tc>
      </w:tr>
      <w:tr w:rsidR="00DD531B" w:rsidRPr="00DD531B" w14:paraId="0DD18EB2" w14:textId="77777777" w:rsidTr="001F24AE">
        <w:trPr>
          <w:trHeight w:val="300"/>
        </w:trPr>
        <w:tc>
          <w:tcPr>
            <w:tcW w:w="1877" w:type="pct"/>
            <w:tcBorders>
              <w:top w:val="nil"/>
              <w:left w:val="nil"/>
              <w:bottom w:val="nil"/>
              <w:right w:val="nil"/>
            </w:tcBorders>
            <w:shd w:val="clear" w:color="auto" w:fill="auto"/>
            <w:noWrap/>
            <w:vAlign w:val="center"/>
            <w:hideMark/>
          </w:tcPr>
          <w:p w14:paraId="67AFADCF" w14:textId="77777777" w:rsidR="00DD531B" w:rsidRPr="00D03732" w:rsidRDefault="00DD531B" w:rsidP="00DD531B">
            <w:pPr>
              <w:spacing w:after="0" w:line="240" w:lineRule="auto"/>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Výdavky kapitoly spolu</w:t>
            </w:r>
          </w:p>
        </w:tc>
        <w:tc>
          <w:tcPr>
            <w:tcW w:w="446" w:type="pct"/>
            <w:tcBorders>
              <w:top w:val="nil"/>
              <w:left w:val="nil"/>
              <w:bottom w:val="nil"/>
              <w:right w:val="nil"/>
            </w:tcBorders>
            <w:shd w:val="clear" w:color="auto" w:fill="auto"/>
            <w:noWrap/>
            <w:vAlign w:val="center"/>
            <w:hideMark/>
          </w:tcPr>
          <w:p w14:paraId="59ABBF61"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15 175</w:t>
            </w:r>
          </w:p>
        </w:tc>
        <w:tc>
          <w:tcPr>
            <w:tcW w:w="446" w:type="pct"/>
            <w:tcBorders>
              <w:top w:val="nil"/>
              <w:left w:val="nil"/>
              <w:bottom w:val="nil"/>
              <w:right w:val="nil"/>
            </w:tcBorders>
            <w:shd w:val="clear" w:color="auto" w:fill="auto"/>
            <w:noWrap/>
            <w:vAlign w:val="center"/>
            <w:hideMark/>
          </w:tcPr>
          <w:p w14:paraId="2CD9DCA2"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14 465</w:t>
            </w:r>
          </w:p>
        </w:tc>
        <w:tc>
          <w:tcPr>
            <w:tcW w:w="446" w:type="pct"/>
            <w:tcBorders>
              <w:top w:val="nil"/>
              <w:left w:val="nil"/>
              <w:bottom w:val="nil"/>
              <w:right w:val="nil"/>
            </w:tcBorders>
            <w:shd w:val="clear" w:color="auto" w:fill="auto"/>
            <w:noWrap/>
            <w:vAlign w:val="center"/>
            <w:hideMark/>
          </w:tcPr>
          <w:p w14:paraId="3CF1F803"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15 548</w:t>
            </w:r>
          </w:p>
        </w:tc>
        <w:tc>
          <w:tcPr>
            <w:tcW w:w="446" w:type="pct"/>
            <w:tcBorders>
              <w:top w:val="nil"/>
              <w:left w:val="nil"/>
              <w:bottom w:val="nil"/>
              <w:right w:val="nil"/>
            </w:tcBorders>
            <w:shd w:val="clear" w:color="auto" w:fill="auto"/>
            <w:noWrap/>
            <w:vAlign w:val="center"/>
            <w:hideMark/>
          </w:tcPr>
          <w:p w14:paraId="29C457AB"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18 325</w:t>
            </w:r>
          </w:p>
        </w:tc>
        <w:tc>
          <w:tcPr>
            <w:tcW w:w="446" w:type="pct"/>
            <w:tcBorders>
              <w:top w:val="nil"/>
              <w:left w:val="nil"/>
              <w:bottom w:val="nil"/>
              <w:right w:val="nil"/>
            </w:tcBorders>
            <w:shd w:val="clear" w:color="auto" w:fill="auto"/>
            <w:noWrap/>
            <w:vAlign w:val="center"/>
            <w:hideMark/>
          </w:tcPr>
          <w:p w14:paraId="6C640705"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16 379</w:t>
            </w:r>
          </w:p>
        </w:tc>
        <w:tc>
          <w:tcPr>
            <w:tcW w:w="446" w:type="pct"/>
            <w:tcBorders>
              <w:top w:val="nil"/>
              <w:left w:val="nil"/>
              <w:bottom w:val="nil"/>
              <w:right w:val="nil"/>
            </w:tcBorders>
            <w:shd w:val="clear" w:color="auto" w:fill="auto"/>
            <w:noWrap/>
            <w:vAlign w:val="center"/>
            <w:hideMark/>
          </w:tcPr>
          <w:p w14:paraId="546E4B18"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16 546</w:t>
            </w:r>
          </w:p>
        </w:tc>
        <w:tc>
          <w:tcPr>
            <w:tcW w:w="446" w:type="pct"/>
            <w:tcBorders>
              <w:top w:val="nil"/>
              <w:left w:val="nil"/>
              <w:bottom w:val="nil"/>
              <w:right w:val="nil"/>
            </w:tcBorders>
            <w:shd w:val="clear" w:color="auto" w:fill="auto"/>
            <w:noWrap/>
            <w:vAlign w:val="center"/>
            <w:hideMark/>
          </w:tcPr>
          <w:p w14:paraId="2643B05C"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16 611</w:t>
            </w:r>
          </w:p>
        </w:tc>
      </w:tr>
      <w:tr w:rsidR="00DD531B" w:rsidRPr="00DD531B" w14:paraId="05F09B99" w14:textId="77777777" w:rsidTr="001F24AE">
        <w:trPr>
          <w:trHeight w:val="300"/>
        </w:trPr>
        <w:tc>
          <w:tcPr>
            <w:tcW w:w="1877" w:type="pct"/>
            <w:tcBorders>
              <w:top w:val="nil"/>
              <w:left w:val="nil"/>
              <w:bottom w:val="nil"/>
              <w:right w:val="nil"/>
            </w:tcBorders>
            <w:shd w:val="clear" w:color="auto" w:fill="auto"/>
            <w:noWrap/>
            <w:vAlign w:val="bottom"/>
            <w:hideMark/>
          </w:tcPr>
          <w:p w14:paraId="3B5BEAE7" w14:textId="77777777" w:rsidR="00DD531B" w:rsidRPr="00D03732" w:rsidRDefault="00DD531B" w:rsidP="00DD531B">
            <w:pPr>
              <w:spacing w:after="0" w:line="240" w:lineRule="auto"/>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rozpočtové zdroje kapitoly</w:t>
            </w:r>
          </w:p>
        </w:tc>
        <w:tc>
          <w:tcPr>
            <w:tcW w:w="446" w:type="pct"/>
            <w:tcBorders>
              <w:top w:val="nil"/>
              <w:left w:val="nil"/>
              <w:bottom w:val="nil"/>
              <w:right w:val="nil"/>
            </w:tcBorders>
            <w:shd w:val="clear" w:color="auto" w:fill="auto"/>
            <w:noWrap/>
            <w:vAlign w:val="bottom"/>
            <w:hideMark/>
          </w:tcPr>
          <w:p w14:paraId="504F6826"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14 021</w:t>
            </w:r>
          </w:p>
        </w:tc>
        <w:tc>
          <w:tcPr>
            <w:tcW w:w="446" w:type="pct"/>
            <w:tcBorders>
              <w:top w:val="nil"/>
              <w:left w:val="nil"/>
              <w:bottom w:val="nil"/>
              <w:right w:val="nil"/>
            </w:tcBorders>
            <w:shd w:val="clear" w:color="auto" w:fill="auto"/>
            <w:noWrap/>
            <w:vAlign w:val="bottom"/>
            <w:hideMark/>
          </w:tcPr>
          <w:p w14:paraId="115B578B"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13 601</w:t>
            </w:r>
          </w:p>
        </w:tc>
        <w:tc>
          <w:tcPr>
            <w:tcW w:w="446" w:type="pct"/>
            <w:tcBorders>
              <w:top w:val="nil"/>
              <w:left w:val="nil"/>
              <w:bottom w:val="nil"/>
              <w:right w:val="nil"/>
            </w:tcBorders>
            <w:shd w:val="clear" w:color="auto" w:fill="auto"/>
            <w:noWrap/>
            <w:vAlign w:val="bottom"/>
            <w:hideMark/>
          </w:tcPr>
          <w:p w14:paraId="783A2BE3"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15 548</w:t>
            </w:r>
          </w:p>
        </w:tc>
        <w:tc>
          <w:tcPr>
            <w:tcW w:w="446" w:type="pct"/>
            <w:tcBorders>
              <w:top w:val="nil"/>
              <w:left w:val="nil"/>
              <w:bottom w:val="nil"/>
              <w:right w:val="nil"/>
            </w:tcBorders>
            <w:shd w:val="clear" w:color="auto" w:fill="auto"/>
            <w:noWrap/>
            <w:vAlign w:val="bottom"/>
            <w:hideMark/>
          </w:tcPr>
          <w:p w14:paraId="6AB28CBD"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15 970</w:t>
            </w:r>
          </w:p>
        </w:tc>
        <w:tc>
          <w:tcPr>
            <w:tcW w:w="446" w:type="pct"/>
            <w:tcBorders>
              <w:top w:val="nil"/>
              <w:left w:val="nil"/>
              <w:bottom w:val="nil"/>
              <w:right w:val="nil"/>
            </w:tcBorders>
            <w:shd w:val="clear" w:color="auto" w:fill="auto"/>
            <w:noWrap/>
            <w:vAlign w:val="bottom"/>
            <w:hideMark/>
          </w:tcPr>
          <w:p w14:paraId="5ECE1071"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16 379</w:t>
            </w:r>
          </w:p>
        </w:tc>
        <w:tc>
          <w:tcPr>
            <w:tcW w:w="446" w:type="pct"/>
            <w:tcBorders>
              <w:top w:val="nil"/>
              <w:left w:val="nil"/>
              <w:bottom w:val="nil"/>
              <w:right w:val="nil"/>
            </w:tcBorders>
            <w:shd w:val="clear" w:color="auto" w:fill="auto"/>
            <w:noWrap/>
            <w:vAlign w:val="bottom"/>
            <w:hideMark/>
          </w:tcPr>
          <w:p w14:paraId="22599A77"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16 546</w:t>
            </w:r>
          </w:p>
        </w:tc>
        <w:tc>
          <w:tcPr>
            <w:tcW w:w="446" w:type="pct"/>
            <w:tcBorders>
              <w:top w:val="nil"/>
              <w:left w:val="nil"/>
              <w:bottom w:val="nil"/>
              <w:right w:val="nil"/>
            </w:tcBorders>
            <w:shd w:val="clear" w:color="auto" w:fill="auto"/>
            <w:noWrap/>
            <w:vAlign w:val="bottom"/>
            <w:hideMark/>
          </w:tcPr>
          <w:p w14:paraId="628791C8"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16 611</w:t>
            </w:r>
          </w:p>
        </w:tc>
      </w:tr>
      <w:tr w:rsidR="00DD531B" w:rsidRPr="00DD531B" w14:paraId="47ED83F7" w14:textId="77777777" w:rsidTr="001F24AE">
        <w:trPr>
          <w:trHeight w:val="300"/>
        </w:trPr>
        <w:tc>
          <w:tcPr>
            <w:tcW w:w="1877" w:type="pct"/>
            <w:tcBorders>
              <w:top w:val="nil"/>
              <w:left w:val="nil"/>
              <w:bottom w:val="nil"/>
              <w:right w:val="nil"/>
            </w:tcBorders>
            <w:shd w:val="clear" w:color="auto" w:fill="auto"/>
            <w:noWrap/>
            <w:vAlign w:val="bottom"/>
            <w:hideMark/>
          </w:tcPr>
          <w:p w14:paraId="7A8DEC4F"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bežné výdavky  600, v tom:</w:t>
            </w:r>
          </w:p>
        </w:tc>
        <w:tc>
          <w:tcPr>
            <w:tcW w:w="446" w:type="pct"/>
            <w:tcBorders>
              <w:top w:val="nil"/>
              <w:left w:val="nil"/>
              <w:bottom w:val="nil"/>
              <w:right w:val="nil"/>
            </w:tcBorders>
            <w:shd w:val="clear" w:color="auto" w:fill="auto"/>
            <w:noWrap/>
            <w:vAlign w:val="bottom"/>
            <w:hideMark/>
          </w:tcPr>
          <w:p w14:paraId="31AF879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13 994</w:t>
            </w:r>
          </w:p>
        </w:tc>
        <w:tc>
          <w:tcPr>
            <w:tcW w:w="446" w:type="pct"/>
            <w:tcBorders>
              <w:top w:val="nil"/>
              <w:left w:val="nil"/>
              <w:bottom w:val="nil"/>
              <w:right w:val="nil"/>
            </w:tcBorders>
            <w:shd w:val="clear" w:color="auto" w:fill="auto"/>
            <w:noWrap/>
            <w:vAlign w:val="bottom"/>
            <w:hideMark/>
          </w:tcPr>
          <w:p w14:paraId="35F16D1E"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13 573</w:t>
            </w:r>
          </w:p>
        </w:tc>
        <w:tc>
          <w:tcPr>
            <w:tcW w:w="446" w:type="pct"/>
            <w:tcBorders>
              <w:top w:val="nil"/>
              <w:left w:val="nil"/>
              <w:bottom w:val="nil"/>
              <w:right w:val="nil"/>
            </w:tcBorders>
            <w:shd w:val="clear" w:color="auto" w:fill="auto"/>
            <w:noWrap/>
            <w:vAlign w:val="bottom"/>
            <w:hideMark/>
          </w:tcPr>
          <w:p w14:paraId="09F3F9C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15 198</w:t>
            </w:r>
          </w:p>
        </w:tc>
        <w:tc>
          <w:tcPr>
            <w:tcW w:w="446" w:type="pct"/>
            <w:tcBorders>
              <w:top w:val="nil"/>
              <w:left w:val="nil"/>
              <w:bottom w:val="nil"/>
              <w:right w:val="nil"/>
            </w:tcBorders>
            <w:shd w:val="clear" w:color="auto" w:fill="auto"/>
            <w:noWrap/>
            <w:vAlign w:val="bottom"/>
            <w:hideMark/>
          </w:tcPr>
          <w:p w14:paraId="6FC1437E"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15 578</w:t>
            </w:r>
          </w:p>
        </w:tc>
        <w:tc>
          <w:tcPr>
            <w:tcW w:w="446" w:type="pct"/>
            <w:tcBorders>
              <w:top w:val="nil"/>
              <w:left w:val="nil"/>
              <w:bottom w:val="nil"/>
              <w:right w:val="nil"/>
            </w:tcBorders>
            <w:shd w:val="clear" w:color="auto" w:fill="auto"/>
            <w:noWrap/>
            <w:vAlign w:val="bottom"/>
            <w:hideMark/>
          </w:tcPr>
          <w:p w14:paraId="64472591"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16 029</w:t>
            </w:r>
          </w:p>
        </w:tc>
        <w:tc>
          <w:tcPr>
            <w:tcW w:w="446" w:type="pct"/>
            <w:tcBorders>
              <w:top w:val="nil"/>
              <w:left w:val="nil"/>
              <w:bottom w:val="nil"/>
              <w:right w:val="nil"/>
            </w:tcBorders>
            <w:shd w:val="clear" w:color="auto" w:fill="auto"/>
            <w:noWrap/>
            <w:vAlign w:val="bottom"/>
            <w:hideMark/>
          </w:tcPr>
          <w:p w14:paraId="187921FE"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16 196</w:t>
            </w:r>
          </w:p>
        </w:tc>
        <w:tc>
          <w:tcPr>
            <w:tcW w:w="446" w:type="pct"/>
            <w:tcBorders>
              <w:top w:val="nil"/>
              <w:left w:val="nil"/>
              <w:bottom w:val="nil"/>
              <w:right w:val="nil"/>
            </w:tcBorders>
            <w:shd w:val="clear" w:color="auto" w:fill="auto"/>
            <w:noWrap/>
            <w:vAlign w:val="bottom"/>
            <w:hideMark/>
          </w:tcPr>
          <w:p w14:paraId="7A19B97A"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16 261</w:t>
            </w:r>
          </w:p>
        </w:tc>
      </w:tr>
      <w:tr w:rsidR="00DD531B" w:rsidRPr="00DD531B" w14:paraId="1B7808C6" w14:textId="77777777" w:rsidTr="001F24AE">
        <w:trPr>
          <w:trHeight w:val="300"/>
        </w:trPr>
        <w:tc>
          <w:tcPr>
            <w:tcW w:w="1877" w:type="pct"/>
            <w:tcBorders>
              <w:top w:val="nil"/>
              <w:left w:val="nil"/>
              <w:bottom w:val="nil"/>
              <w:right w:val="nil"/>
            </w:tcBorders>
            <w:shd w:val="clear" w:color="auto" w:fill="auto"/>
            <w:noWrap/>
            <w:vAlign w:val="bottom"/>
            <w:hideMark/>
          </w:tcPr>
          <w:p w14:paraId="7DEC844D"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610 mzdy</w:t>
            </w:r>
          </w:p>
        </w:tc>
        <w:tc>
          <w:tcPr>
            <w:tcW w:w="446" w:type="pct"/>
            <w:tcBorders>
              <w:top w:val="nil"/>
              <w:left w:val="nil"/>
              <w:bottom w:val="nil"/>
              <w:right w:val="nil"/>
            </w:tcBorders>
            <w:shd w:val="clear" w:color="auto" w:fill="auto"/>
            <w:noWrap/>
            <w:vAlign w:val="bottom"/>
            <w:hideMark/>
          </w:tcPr>
          <w:p w14:paraId="759C7B8D"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8 920</w:t>
            </w:r>
          </w:p>
        </w:tc>
        <w:tc>
          <w:tcPr>
            <w:tcW w:w="446" w:type="pct"/>
            <w:tcBorders>
              <w:top w:val="nil"/>
              <w:left w:val="nil"/>
              <w:bottom w:val="nil"/>
              <w:right w:val="nil"/>
            </w:tcBorders>
            <w:shd w:val="clear" w:color="auto" w:fill="auto"/>
            <w:noWrap/>
            <w:vAlign w:val="bottom"/>
            <w:hideMark/>
          </w:tcPr>
          <w:p w14:paraId="0F3CBA8D"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8 371</w:t>
            </w:r>
          </w:p>
        </w:tc>
        <w:tc>
          <w:tcPr>
            <w:tcW w:w="446" w:type="pct"/>
            <w:tcBorders>
              <w:top w:val="nil"/>
              <w:left w:val="nil"/>
              <w:bottom w:val="nil"/>
              <w:right w:val="nil"/>
            </w:tcBorders>
            <w:shd w:val="clear" w:color="auto" w:fill="auto"/>
            <w:noWrap/>
            <w:vAlign w:val="bottom"/>
            <w:hideMark/>
          </w:tcPr>
          <w:p w14:paraId="27CD5D1C"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9 859</w:t>
            </w:r>
          </w:p>
        </w:tc>
        <w:tc>
          <w:tcPr>
            <w:tcW w:w="446" w:type="pct"/>
            <w:tcBorders>
              <w:top w:val="nil"/>
              <w:left w:val="nil"/>
              <w:bottom w:val="nil"/>
              <w:right w:val="nil"/>
            </w:tcBorders>
            <w:shd w:val="clear" w:color="auto" w:fill="auto"/>
            <w:noWrap/>
            <w:vAlign w:val="bottom"/>
            <w:hideMark/>
          </w:tcPr>
          <w:p w14:paraId="0C79C34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9 903</w:t>
            </w:r>
          </w:p>
        </w:tc>
        <w:tc>
          <w:tcPr>
            <w:tcW w:w="446" w:type="pct"/>
            <w:tcBorders>
              <w:top w:val="nil"/>
              <w:left w:val="nil"/>
              <w:bottom w:val="nil"/>
              <w:right w:val="nil"/>
            </w:tcBorders>
            <w:shd w:val="clear" w:color="auto" w:fill="auto"/>
            <w:noWrap/>
            <w:vAlign w:val="bottom"/>
            <w:hideMark/>
          </w:tcPr>
          <w:p w14:paraId="3644646A"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10 395</w:t>
            </w:r>
          </w:p>
        </w:tc>
        <w:tc>
          <w:tcPr>
            <w:tcW w:w="446" w:type="pct"/>
            <w:tcBorders>
              <w:top w:val="nil"/>
              <w:left w:val="nil"/>
              <w:bottom w:val="nil"/>
              <w:right w:val="nil"/>
            </w:tcBorders>
            <w:shd w:val="clear" w:color="auto" w:fill="auto"/>
            <w:noWrap/>
            <w:vAlign w:val="bottom"/>
            <w:hideMark/>
          </w:tcPr>
          <w:p w14:paraId="78CCFB24"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10 395</w:t>
            </w:r>
          </w:p>
        </w:tc>
        <w:tc>
          <w:tcPr>
            <w:tcW w:w="446" w:type="pct"/>
            <w:tcBorders>
              <w:top w:val="nil"/>
              <w:left w:val="nil"/>
              <w:bottom w:val="nil"/>
              <w:right w:val="nil"/>
            </w:tcBorders>
            <w:shd w:val="clear" w:color="auto" w:fill="auto"/>
            <w:noWrap/>
            <w:vAlign w:val="bottom"/>
            <w:hideMark/>
          </w:tcPr>
          <w:p w14:paraId="6ACB7C9A"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10 395</w:t>
            </w:r>
          </w:p>
        </w:tc>
      </w:tr>
      <w:tr w:rsidR="00DD531B" w:rsidRPr="00DD531B" w14:paraId="0BE08B9C" w14:textId="77777777" w:rsidTr="001F24AE">
        <w:trPr>
          <w:trHeight w:val="300"/>
        </w:trPr>
        <w:tc>
          <w:tcPr>
            <w:tcW w:w="1877" w:type="pct"/>
            <w:tcBorders>
              <w:top w:val="nil"/>
              <w:left w:val="nil"/>
              <w:bottom w:val="nil"/>
              <w:right w:val="nil"/>
            </w:tcBorders>
            <w:shd w:val="clear" w:color="auto" w:fill="auto"/>
            <w:noWrap/>
            <w:vAlign w:val="bottom"/>
            <w:hideMark/>
          </w:tcPr>
          <w:p w14:paraId="66F54BE6"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620 odvody</w:t>
            </w:r>
          </w:p>
        </w:tc>
        <w:tc>
          <w:tcPr>
            <w:tcW w:w="446" w:type="pct"/>
            <w:tcBorders>
              <w:top w:val="nil"/>
              <w:left w:val="nil"/>
              <w:bottom w:val="nil"/>
              <w:right w:val="nil"/>
            </w:tcBorders>
            <w:shd w:val="clear" w:color="auto" w:fill="auto"/>
            <w:noWrap/>
            <w:vAlign w:val="bottom"/>
            <w:hideMark/>
          </w:tcPr>
          <w:p w14:paraId="6B6DAAB1"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2 939</w:t>
            </w:r>
          </w:p>
        </w:tc>
        <w:tc>
          <w:tcPr>
            <w:tcW w:w="446" w:type="pct"/>
            <w:tcBorders>
              <w:top w:val="nil"/>
              <w:left w:val="nil"/>
              <w:bottom w:val="nil"/>
              <w:right w:val="nil"/>
            </w:tcBorders>
            <w:shd w:val="clear" w:color="auto" w:fill="auto"/>
            <w:noWrap/>
            <w:vAlign w:val="bottom"/>
            <w:hideMark/>
          </w:tcPr>
          <w:p w14:paraId="693A36F8"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2 709</w:t>
            </w:r>
          </w:p>
        </w:tc>
        <w:tc>
          <w:tcPr>
            <w:tcW w:w="446" w:type="pct"/>
            <w:tcBorders>
              <w:top w:val="nil"/>
              <w:left w:val="nil"/>
              <w:bottom w:val="nil"/>
              <w:right w:val="nil"/>
            </w:tcBorders>
            <w:shd w:val="clear" w:color="auto" w:fill="auto"/>
            <w:noWrap/>
            <w:vAlign w:val="bottom"/>
            <w:hideMark/>
          </w:tcPr>
          <w:p w14:paraId="795BACDE"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3 129</w:t>
            </w:r>
          </w:p>
        </w:tc>
        <w:tc>
          <w:tcPr>
            <w:tcW w:w="446" w:type="pct"/>
            <w:tcBorders>
              <w:top w:val="nil"/>
              <w:left w:val="nil"/>
              <w:bottom w:val="nil"/>
              <w:right w:val="nil"/>
            </w:tcBorders>
            <w:shd w:val="clear" w:color="auto" w:fill="auto"/>
            <w:noWrap/>
            <w:vAlign w:val="bottom"/>
            <w:hideMark/>
          </w:tcPr>
          <w:p w14:paraId="4D03CC9D"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3 007</w:t>
            </w:r>
          </w:p>
        </w:tc>
        <w:tc>
          <w:tcPr>
            <w:tcW w:w="446" w:type="pct"/>
            <w:tcBorders>
              <w:top w:val="nil"/>
              <w:left w:val="nil"/>
              <w:bottom w:val="nil"/>
              <w:right w:val="nil"/>
            </w:tcBorders>
            <w:shd w:val="clear" w:color="auto" w:fill="auto"/>
            <w:noWrap/>
            <w:vAlign w:val="bottom"/>
            <w:hideMark/>
          </w:tcPr>
          <w:p w14:paraId="25CD8891"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3 302</w:t>
            </w:r>
          </w:p>
        </w:tc>
        <w:tc>
          <w:tcPr>
            <w:tcW w:w="446" w:type="pct"/>
            <w:tcBorders>
              <w:top w:val="nil"/>
              <w:left w:val="nil"/>
              <w:bottom w:val="nil"/>
              <w:right w:val="nil"/>
            </w:tcBorders>
            <w:shd w:val="clear" w:color="auto" w:fill="auto"/>
            <w:noWrap/>
            <w:vAlign w:val="bottom"/>
            <w:hideMark/>
          </w:tcPr>
          <w:p w14:paraId="58FCDADF"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3 302</w:t>
            </w:r>
          </w:p>
        </w:tc>
        <w:tc>
          <w:tcPr>
            <w:tcW w:w="446" w:type="pct"/>
            <w:tcBorders>
              <w:top w:val="nil"/>
              <w:left w:val="nil"/>
              <w:bottom w:val="nil"/>
              <w:right w:val="nil"/>
            </w:tcBorders>
            <w:shd w:val="clear" w:color="auto" w:fill="auto"/>
            <w:noWrap/>
            <w:vAlign w:val="bottom"/>
            <w:hideMark/>
          </w:tcPr>
          <w:p w14:paraId="77657FB0"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3 302</w:t>
            </w:r>
          </w:p>
        </w:tc>
      </w:tr>
      <w:tr w:rsidR="00DD531B" w:rsidRPr="00DD531B" w14:paraId="0FBFB912" w14:textId="77777777" w:rsidTr="001F24AE">
        <w:trPr>
          <w:trHeight w:val="300"/>
        </w:trPr>
        <w:tc>
          <w:tcPr>
            <w:tcW w:w="1877" w:type="pct"/>
            <w:tcBorders>
              <w:top w:val="nil"/>
              <w:left w:val="nil"/>
              <w:bottom w:val="nil"/>
              <w:right w:val="nil"/>
            </w:tcBorders>
            <w:shd w:val="clear" w:color="auto" w:fill="auto"/>
            <w:noWrap/>
            <w:vAlign w:val="bottom"/>
            <w:hideMark/>
          </w:tcPr>
          <w:p w14:paraId="40589F23"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630 tovary a služby</w:t>
            </w:r>
          </w:p>
        </w:tc>
        <w:tc>
          <w:tcPr>
            <w:tcW w:w="446" w:type="pct"/>
            <w:tcBorders>
              <w:top w:val="nil"/>
              <w:left w:val="nil"/>
              <w:bottom w:val="nil"/>
              <w:right w:val="nil"/>
            </w:tcBorders>
            <w:shd w:val="clear" w:color="auto" w:fill="auto"/>
            <w:noWrap/>
            <w:vAlign w:val="bottom"/>
            <w:hideMark/>
          </w:tcPr>
          <w:p w14:paraId="22DDD5C9"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1 734</w:t>
            </w:r>
          </w:p>
        </w:tc>
        <w:tc>
          <w:tcPr>
            <w:tcW w:w="446" w:type="pct"/>
            <w:tcBorders>
              <w:top w:val="nil"/>
              <w:left w:val="nil"/>
              <w:bottom w:val="nil"/>
              <w:right w:val="nil"/>
            </w:tcBorders>
            <w:shd w:val="clear" w:color="auto" w:fill="auto"/>
            <w:noWrap/>
            <w:vAlign w:val="bottom"/>
            <w:hideMark/>
          </w:tcPr>
          <w:p w14:paraId="335F5238"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2 165</w:t>
            </w:r>
          </w:p>
        </w:tc>
        <w:tc>
          <w:tcPr>
            <w:tcW w:w="446" w:type="pct"/>
            <w:tcBorders>
              <w:top w:val="nil"/>
              <w:left w:val="nil"/>
              <w:bottom w:val="nil"/>
              <w:right w:val="nil"/>
            </w:tcBorders>
            <w:shd w:val="clear" w:color="auto" w:fill="auto"/>
            <w:noWrap/>
            <w:vAlign w:val="bottom"/>
            <w:hideMark/>
          </w:tcPr>
          <w:p w14:paraId="6AE1EBC8"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2 073</w:t>
            </w:r>
          </w:p>
        </w:tc>
        <w:tc>
          <w:tcPr>
            <w:tcW w:w="446" w:type="pct"/>
            <w:tcBorders>
              <w:top w:val="nil"/>
              <w:left w:val="nil"/>
              <w:bottom w:val="nil"/>
              <w:right w:val="nil"/>
            </w:tcBorders>
            <w:shd w:val="clear" w:color="auto" w:fill="auto"/>
            <w:noWrap/>
            <w:vAlign w:val="bottom"/>
            <w:hideMark/>
          </w:tcPr>
          <w:p w14:paraId="781F55C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2 258</w:t>
            </w:r>
          </w:p>
        </w:tc>
        <w:tc>
          <w:tcPr>
            <w:tcW w:w="446" w:type="pct"/>
            <w:tcBorders>
              <w:top w:val="nil"/>
              <w:left w:val="nil"/>
              <w:bottom w:val="nil"/>
              <w:right w:val="nil"/>
            </w:tcBorders>
            <w:shd w:val="clear" w:color="auto" w:fill="auto"/>
            <w:noWrap/>
            <w:vAlign w:val="bottom"/>
            <w:hideMark/>
          </w:tcPr>
          <w:p w14:paraId="6529E84A"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2 124</w:t>
            </w:r>
          </w:p>
        </w:tc>
        <w:tc>
          <w:tcPr>
            <w:tcW w:w="446" w:type="pct"/>
            <w:tcBorders>
              <w:top w:val="nil"/>
              <w:left w:val="nil"/>
              <w:bottom w:val="nil"/>
              <w:right w:val="nil"/>
            </w:tcBorders>
            <w:shd w:val="clear" w:color="auto" w:fill="auto"/>
            <w:noWrap/>
            <w:vAlign w:val="bottom"/>
            <w:hideMark/>
          </w:tcPr>
          <w:p w14:paraId="13C13F9E"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2 124</w:t>
            </w:r>
          </w:p>
        </w:tc>
        <w:tc>
          <w:tcPr>
            <w:tcW w:w="446" w:type="pct"/>
            <w:tcBorders>
              <w:top w:val="nil"/>
              <w:left w:val="nil"/>
              <w:bottom w:val="nil"/>
              <w:right w:val="nil"/>
            </w:tcBorders>
            <w:shd w:val="clear" w:color="auto" w:fill="auto"/>
            <w:noWrap/>
            <w:vAlign w:val="bottom"/>
            <w:hideMark/>
          </w:tcPr>
          <w:p w14:paraId="77B256FA"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2 124</w:t>
            </w:r>
          </w:p>
        </w:tc>
      </w:tr>
      <w:tr w:rsidR="00DD531B" w:rsidRPr="00DD531B" w14:paraId="3CB15013" w14:textId="77777777" w:rsidTr="001F24AE">
        <w:trPr>
          <w:trHeight w:val="300"/>
        </w:trPr>
        <w:tc>
          <w:tcPr>
            <w:tcW w:w="1877" w:type="pct"/>
            <w:tcBorders>
              <w:top w:val="nil"/>
              <w:left w:val="nil"/>
              <w:bottom w:val="nil"/>
              <w:right w:val="nil"/>
            </w:tcBorders>
            <w:shd w:val="clear" w:color="auto" w:fill="auto"/>
            <w:noWrap/>
            <w:vAlign w:val="bottom"/>
            <w:hideMark/>
          </w:tcPr>
          <w:p w14:paraId="492BB1F1"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640 bežné transfery</w:t>
            </w:r>
          </w:p>
        </w:tc>
        <w:tc>
          <w:tcPr>
            <w:tcW w:w="446" w:type="pct"/>
            <w:tcBorders>
              <w:top w:val="nil"/>
              <w:left w:val="nil"/>
              <w:bottom w:val="nil"/>
              <w:right w:val="nil"/>
            </w:tcBorders>
            <w:shd w:val="clear" w:color="auto" w:fill="auto"/>
            <w:noWrap/>
            <w:vAlign w:val="bottom"/>
            <w:hideMark/>
          </w:tcPr>
          <w:p w14:paraId="2C56528E"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402</w:t>
            </w:r>
          </w:p>
        </w:tc>
        <w:tc>
          <w:tcPr>
            <w:tcW w:w="446" w:type="pct"/>
            <w:tcBorders>
              <w:top w:val="nil"/>
              <w:left w:val="nil"/>
              <w:bottom w:val="nil"/>
              <w:right w:val="nil"/>
            </w:tcBorders>
            <w:shd w:val="clear" w:color="auto" w:fill="auto"/>
            <w:noWrap/>
            <w:vAlign w:val="bottom"/>
            <w:hideMark/>
          </w:tcPr>
          <w:p w14:paraId="06A9C990"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329</w:t>
            </w:r>
          </w:p>
        </w:tc>
        <w:tc>
          <w:tcPr>
            <w:tcW w:w="446" w:type="pct"/>
            <w:tcBorders>
              <w:top w:val="nil"/>
              <w:left w:val="nil"/>
              <w:bottom w:val="nil"/>
              <w:right w:val="nil"/>
            </w:tcBorders>
            <w:shd w:val="clear" w:color="auto" w:fill="auto"/>
            <w:noWrap/>
            <w:vAlign w:val="bottom"/>
            <w:hideMark/>
          </w:tcPr>
          <w:p w14:paraId="3AA640BA"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137</w:t>
            </w:r>
          </w:p>
        </w:tc>
        <w:tc>
          <w:tcPr>
            <w:tcW w:w="446" w:type="pct"/>
            <w:tcBorders>
              <w:top w:val="nil"/>
              <w:left w:val="nil"/>
              <w:bottom w:val="nil"/>
              <w:right w:val="nil"/>
            </w:tcBorders>
            <w:shd w:val="clear" w:color="auto" w:fill="auto"/>
            <w:noWrap/>
            <w:vAlign w:val="bottom"/>
            <w:hideMark/>
          </w:tcPr>
          <w:p w14:paraId="170DE7E1"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409</w:t>
            </w:r>
          </w:p>
        </w:tc>
        <w:tc>
          <w:tcPr>
            <w:tcW w:w="446" w:type="pct"/>
            <w:tcBorders>
              <w:top w:val="nil"/>
              <w:left w:val="nil"/>
              <w:bottom w:val="nil"/>
              <w:right w:val="nil"/>
            </w:tcBorders>
            <w:shd w:val="clear" w:color="auto" w:fill="auto"/>
            <w:noWrap/>
            <w:vAlign w:val="bottom"/>
            <w:hideMark/>
          </w:tcPr>
          <w:p w14:paraId="0B856115"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208</w:t>
            </w:r>
          </w:p>
        </w:tc>
        <w:tc>
          <w:tcPr>
            <w:tcW w:w="446" w:type="pct"/>
            <w:tcBorders>
              <w:top w:val="nil"/>
              <w:left w:val="nil"/>
              <w:bottom w:val="nil"/>
              <w:right w:val="nil"/>
            </w:tcBorders>
            <w:shd w:val="clear" w:color="auto" w:fill="auto"/>
            <w:noWrap/>
            <w:vAlign w:val="bottom"/>
            <w:hideMark/>
          </w:tcPr>
          <w:p w14:paraId="16EA1AE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375</w:t>
            </w:r>
          </w:p>
        </w:tc>
        <w:tc>
          <w:tcPr>
            <w:tcW w:w="446" w:type="pct"/>
            <w:tcBorders>
              <w:top w:val="nil"/>
              <w:left w:val="nil"/>
              <w:bottom w:val="nil"/>
              <w:right w:val="nil"/>
            </w:tcBorders>
            <w:shd w:val="clear" w:color="auto" w:fill="auto"/>
            <w:noWrap/>
            <w:vAlign w:val="bottom"/>
            <w:hideMark/>
          </w:tcPr>
          <w:p w14:paraId="2E16D334"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440</w:t>
            </w:r>
          </w:p>
        </w:tc>
      </w:tr>
      <w:tr w:rsidR="00DD531B" w:rsidRPr="00DD531B" w14:paraId="6E131973" w14:textId="77777777" w:rsidTr="001F24AE">
        <w:trPr>
          <w:trHeight w:val="300"/>
        </w:trPr>
        <w:tc>
          <w:tcPr>
            <w:tcW w:w="1877" w:type="pct"/>
            <w:tcBorders>
              <w:top w:val="nil"/>
              <w:left w:val="nil"/>
              <w:bottom w:val="nil"/>
              <w:right w:val="nil"/>
            </w:tcBorders>
            <w:shd w:val="clear" w:color="auto" w:fill="auto"/>
            <w:noWrap/>
            <w:vAlign w:val="bottom"/>
            <w:hideMark/>
          </w:tcPr>
          <w:p w14:paraId="7959CF1A"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kapitálové výdavky 700</w:t>
            </w:r>
          </w:p>
        </w:tc>
        <w:tc>
          <w:tcPr>
            <w:tcW w:w="446" w:type="pct"/>
            <w:tcBorders>
              <w:top w:val="nil"/>
              <w:left w:val="nil"/>
              <w:bottom w:val="nil"/>
              <w:right w:val="nil"/>
            </w:tcBorders>
            <w:shd w:val="clear" w:color="auto" w:fill="auto"/>
            <w:noWrap/>
            <w:vAlign w:val="bottom"/>
            <w:hideMark/>
          </w:tcPr>
          <w:p w14:paraId="056B0F5C"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27</w:t>
            </w:r>
          </w:p>
        </w:tc>
        <w:tc>
          <w:tcPr>
            <w:tcW w:w="446" w:type="pct"/>
            <w:tcBorders>
              <w:top w:val="nil"/>
              <w:left w:val="nil"/>
              <w:bottom w:val="nil"/>
              <w:right w:val="nil"/>
            </w:tcBorders>
            <w:shd w:val="clear" w:color="auto" w:fill="auto"/>
            <w:noWrap/>
            <w:vAlign w:val="bottom"/>
            <w:hideMark/>
          </w:tcPr>
          <w:p w14:paraId="7738FA16"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28</w:t>
            </w:r>
          </w:p>
        </w:tc>
        <w:tc>
          <w:tcPr>
            <w:tcW w:w="446" w:type="pct"/>
            <w:tcBorders>
              <w:top w:val="nil"/>
              <w:left w:val="nil"/>
              <w:bottom w:val="nil"/>
              <w:right w:val="nil"/>
            </w:tcBorders>
            <w:shd w:val="clear" w:color="auto" w:fill="auto"/>
            <w:noWrap/>
            <w:vAlign w:val="bottom"/>
            <w:hideMark/>
          </w:tcPr>
          <w:p w14:paraId="5FDF0AA3"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350</w:t>
            </w:r>
          </w:p>
        </w:tc>
        <w:tc>
          <w:tcPr>
            <w:tcW w:w="446" w:type="pct"/>
            <w:tcBorders>
              <w:top w:val="nil"/>
              <w:left w:val="nil"/>
              <w:bottom w:val="nil"/>
              <w:right w:val="nil"/>
            </w:tcBorders>
            <w:shd w:val="clear" w:color="auto" w:fill="auto"/>
            <w:noWrap/>
            <w:vAlign w:val="bottom"/>
            <w:hideMark/>
          </w:tcPr>
          <w:p w14:paraId="0AA7F7BE"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393</w:t>
            </w:r>
          </w:p>
        </w:tc>
        <w:tc>
          <w:tcPr>
            <w:tcW w:w="446" w:type="pct"/>
            <w:tcBorders>
              <w:top w:val="nil"/>
              <w:left w:val="nil"/>
              <w:bottom w:val="nil"/>
              <w:right w:val="nil"/>
            </w:tcBorders>
            <w:shd w:val="clear" w:color="auto" w:fill="auto"/>
            <w:noWrap/>
            <w:vAlign w:val="bottom"/>
            <w:hideMark/>
          </w:tcPr>
          <w:p w14:paraId="68D7F668"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350</w:t>
            </w:r>
          </w:p>
        </w:tc>
        <w:tc>
          <w:tcPr>
            <w:tcW w:w="446" w:type="pct"/>
            <w:tcBorders>
              <w:top w:val="nil"/>
              <w:left w:val="nil"/>
              <w:bottom w:val="nil"/>
              <w:right w:val="nil"/>
            </w:tcBorders>
            <w:shd w:val="clear" w:color="auto" w:fill="auto"/>
            <w:noWrap/>
            <w:vAlign w:val="bottom"/>
            <w:hideMark/>
          </w:tcPr>
          <w:p w14:paraId="4014F170"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350</w:t>
            </w:r>
          </w:p>
        </w:tc>
        <w:tc>
          <w:tcPr>
            <w:tcW w:w="446" w:type="pct"/>
            <w:tcBorders>
              <w:top w:val="nil"/>
              <w:left w:val="nil"/>
              <w:bottom w:val="nil"/>
              <w:right w:val="nil"/>
            </w:tcBorders>
            <w:shd w:val="clear" w:color="auto" w:fill="auto"/>
            <w:noWrap/>
            <w:vAlign w:val="bottom"/>
            <w:hideMark/>
          </w:tcPr>
          <w:p w14:paraId="7E7F209D"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350</w:t>
            </w:r>
          </w:p>
        </w:tc>
      </w:tr>
      <w:tr w:rsidR="00DD531B" w:rsidRPr="00DD531B" w14:paraId="17AA10DD" w14:textId="77777777" w:rsidTr="001F24AE">
        <w:trPr>
          <w:trHeight w:val="300"/>
        </w:trPr>
        <w:tc>
          <w:tcPr>
            <w:tcW w:w="1877" w:type="pct"/>
            <w:tcBorders>
              <w:top w:val="nil"/>
              <w:left w:val="nil"/>
              <w:bottom w:val="nil"/>
              <w:right w:val="nil"/>
            </w:tcBorders>
            <w:shd w:val="clear" w:color="auto" w:fill="auto"/>
            <w:noWrap/>
            <w:vAlign w:val="bottom"/>
            <w:hideMark/>
          </w:tcPr>
          <w:p w14:paraId="6DC438B3" w14:textId="77777777" w:rsidR="00DD531B" w:rsidRPr="00D03732" w:rsidRDefault="00DD531B" w:rsidP="00DD531B">
            <w:pPr>
              <w:spacing w:after="0" w:line="240" w:lineRule="auto"/>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zdroj EÚ vrátane spolufinancovania zo ŠR, v tom:</w:t>
            </w:r>
          </w:p>
        </w:tc>
        <w:tc>
          <w:tcPr>
            <w:tcW w:w="446" w:type="pct"/>
            <w:tcBorders>
              <w:top w:val="nil"/>
              <w:left w:val="nil"/>
              <w:bottom w:val="nil"/>
              <w:right w:val="nil"/>
            </w:tcBorders>
            <w:shd w:val="clear" w:color="auto" w:fill="auto"/>
            <w:noWrap/>
            <w:vAlign w:val="bottom"/>
            <w:hideMark/>
          </w:tcPr>
          <w:p w14:paraId="1BC028D6"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311</w:t>
            </w:r>
          </w:p>
        </w:tc>
        <w:tc>
          <w:tcPr>
            <w:tcW w:w="446" w:type="pct"/>
            <w:tcBorders>
              <w:top w:val="nil"/>
              <w:left w:val="nil"/>
              <w:bottom w:val="nil"/>
              <w:right w:val="nil"/>
            </w:tcBorders>
            <w:shd w:val="clear" w:color="auto" w:fill="auto"/>
            <w:noWrap/>
            <w:vAlign w:val="bottom"/>
            <w:hideMark/>
          </w:tcPr>
          <w:p w14:paraId="35EB4C52"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113</w:t>
            </w:r>
          </w:p>
        </w:tc>
        <w:tc>
          <w:tcPr>
            <w:tcW w:w="446" w:type="pct"/>
            <w:tcBorders>
              <w:top w:val="nil"/>
              <w:left w:val="nil"/>
              <w:bottom w:val="nil"/>
              <w:right w:val="nil"/>
            </w:tcBorders>
            <w:shd w:val="clear" w:color="auto" w:fill="auto"/>
            <w:noWrap/>
            <w:vAlign w:val="bottom"/>
            <w:hideMark/>
          </w:tcPr>
          <w:p w14:paraId="1EDBB092"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446" w:type="pct"/>
            <w:tcBorders>
              <w:top w:val="nil"/>
              <w:left w:val="nil"/>
              <w:bottom w:val="nil"/>
              <w:right w:val="nil"/>
            </w:tcBorders>
            <w:shd w:val="clear" w:color="auto" w:fill="auto"/>
            <w:noWrap/>
            <w:vAlign w:val="bottom"/>
            <w:hideMark/>
          </w:tcPr>
          <w:p w14:paraId="6D118F27"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443</w:t>
            </w:r>
          </w:p>
        </w:tc>
        <w:tc>
          <w:tcPr>
            <w:tcW w:w="446" w:type="pct"/>
            <w:tcBorders>
              <w:top w:val="nil"/>
              <w:left w:val="nil"/>
              <w:bottom w:val="nil"/>
              <w:right w:val="nil"/>
            </w:tcBorders>
            <w:shd w:val="clear" w:color="auto" w:fill="auto"/>
            <w:noWrap/>
            <w:vAlign w:val="bottom"/>
            <w:hideMark/>
          </w:tcPr>
          <w:p w14:paraId="55ADBB42"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446" w:type="pct"/>
            <w:tcBorders>
              <w:top w:val="nil"/>
              <w:left w:val="nil"/>
              <w:bottom w:val="nil"/>
              <w:right w:val="nil"/>
            </w:tcBorders>
            <w:shd w:val="clear" w:color="auto" w:fill="auto"/>
            <w:noWrap/>
            <w:vAlign w:val="bottom"/>
            <w:hideMark/>
          </w:tcPr>
          <w:p w14:paraId="04F5C8FE"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446" w:type="pct"/>
            <w:tcBorders>
              <w:top w:val="nil"/>
              <w:left w:val="nil"/>
              <w:bottom w:val="nil"/>
              <w:right w:val="nil"/>
            </w:tcBorders>
            <w:shd w:val="clear" w:color="auto" w:fill="auto"/>
            <w:noWrap/>
            <w:vAlign w:val="bottom"/>
            <w:hideMark/>
          </w:tcPr>
          <w:p w14:paraId="642C6EF8"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r>
      <w:tr w:rsidR="00DD531B" w:rsidRPr="00DD531B" w14:paraId="67D77001" w14:textId="77777777" w:rsidTr="001F24AE">
        <w:trPr>
          <w:trHeight w:val="300"/>
        </w:trPr>
        <w:tc>
          <w:tcPr>
            <w:tcW w:w="1877" w:type="pct"/>
            <w:tcBorders>
              <w:top w:val="nil"/>
              <w:left w:val="nil"/>
              <w:bottom w:val="nil"/>
              <w:right w:val="nil"/>
            </w:tcBorders>
            <w:shd w:val="clear" w:color="auto" w:fill="auto"/>
            <w:noWrap/>
            <w:vAlign w:val="bottom"/>
            <w:hideMark/>
          </w:tcPr>
          <w:p w14:paraId="7255AFEB"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prostriedky EÚ</w:t>
            </w:r>
          </w:p>
        </w:tc>
        <w:tc>
          <w:tcPr>
            <w:tcW w:w="446" w:type="pct"/>
            <w:tcBorders>
              <w:top w:val="nil"/>
              <w:left w:val="nil"/>
              <w:bottom w:val="nil"/>
              <w:right w:val="nil"/>
            </w:tcBorders>
            <w:shd w:val="clear" w:color="auto" w:fill="auto"/>
            <w:noWrap/>
            <w:vAlign w:val="bottom"/>
            <w:hideMark/>
          </w:tcPr>
          <w:p w14:paraId="5C4ACF11"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243</w:t>
            </w:r>
          </w:p>
        </w:tc>
        <w:tc>
          <w:tcPr>
            <w:tcW w:w="446" w:type="pct"/>
            <w:tcBorders>
              <w:top w:val="nil"/>
              <w:left w:val="nil"/>
              <w:bottom w:val="nil"/>
              <w:right w:val="nil"/>
            </w:tcBorders>
            <w:shd w:val="clear" w:color="auto" w:fill="auto"/>
            <w:noWrap/>
            <w:vAlign w:val="bottom"/>
            <w:hideMark/>
          </w:tcPr>
          <w:p w14:paraId="3CF6B364"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90</w:t>
            </w:r>
          </w:p>
        </w:tc>
        <w:tc>
          <w:tcPr>
            <w:tcW w:w="446" w:type="pct"/>
            <w:tcBorders>
              <w:top w:val="nil"/>
              <w:left w:val="nil"/>
              <w:bottom w:val="nil"/>
              <w:right w:val="nil"/>
            </w:tcBorders>
            <w:shd w:val="clear" w:color="auto" w:fill="auto"/>
            <w:noWrap/>
            <w:vAlign w:val="bottom"/>
            <w:hideMark/>
          </w:tcPr>
          <w:p w14:paraId="5F4CD29A"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21383E88"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272</w:t>
            </w:r>
          </w:p>
        </w:tc>
        <w:tc>
          <w:tcPr>
            <w:tcW w:w="446" w:type="pct"/>
            <w:tcBorders>
              <w:top w:val="nil"/>
              <w:left w:val="nil"/>
              <w:bottom w:val="nil"/>
              <w:right w:val="nil"/>
            </w:tcBorders>
            <w:shd w:val="clear" w:color="auto" w:fill="auto"/>
            <w:noWrap/>
            <w:vAlign w:val="bottom"/>
            <w:hideMark/>
          </w:tcPr>
          <w:p w14:paraId="05C3A00E"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3CDFF8DA"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775A8CC6"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r>
      <w:tr w:rsidR="00DD531B" w:rsidRPr="00DD531B" w14:paraId="5E0BB224" w14:textId="77777777" w:rsidTr="001F24AE">
        <w:trPr>
          <w:trHeight w:val="300"/>
        </w:trPr>
        <w:tc>
          <w:tcPr>
            <w:tcW w:w="1877" w:type="pct"/>
            <w:tcBorders>
              <w:top w:val="nil"/>
              <w:left w:val="nil"/>
              <w:bottom w:val="nil"/>
              <w:right w:val="nil"/>
            </w:tcBorders>
            <w:shd w:val="clear" w:color="auto" w:fill="auto"/>
            <w:noWrap/>
            <w:vAlign w:val="bottom"/>
            <w:hideMark/>
          </w:tcPr>
          <w:p w14:paraId="4EF0BBBE"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spolufinancovanie zo ŠR</w:t>
            </w:r>
          </w:p>
        </w:tc>
        <w:tc>
          <w:tcPr>
            <w:tcW w:w="446" w:type="pct"/>
            <w:tcBorders>
              <w:top w:val="nil"/>
              <w:left w:val="nil"/>
              <w:bottom w:val="nil"/>
              <w:right w:val="nil"/>
            </w:tcBorders>
            <w:shd w:val="clear" w:color="auto" w:fill="auto"/>
            <w:noWrap/>
            <w:vAlign w:val="bottom"/>
            <w:hideMark/>
          </w:tcPr>
          <w:p w14:paraId="045F38A6"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68</w:t>
            </w:r>
          </w:p>
        </w:tc>
        <w:tc>
          <w:tcPr>
            <w:tcW w:w="446" w:type="pct"/>
            <w:tcBorders>
              <w:top w:val="nil"/>
              <w:left w:val="nil"/>
              <w:bottom w:val="nil"/>
              <w:right w:val="nil"/>
            </w:tcBorders>
            <w:shd w:val="clear" w:color="auto" w:fill="auto"/>
            <w:noWrap/>
            <w:vAlign w:val="bottom"/>
            <w:hideMark/>
          </w:tcPr>
          <w:p w14:paraId="540CFCDD"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24</w:t>
            </w:r>
          </w:p>
        </w:tc>
        <w:tc>
          <w:tcPr>
            <w:tcW w:w="446" w:type="pct"/>
            <w:tcBorders>
              <w:top w:val="nil"/>
              <w:left w:val="nil"/>
              <w:bottom w:val="nil"/>
              <w:right w:val="nil"/>
            </w:tcBorders>
            <w:shd w:val="clear" w:color="auto" w:fill="auto"/>
            <w:noWrap/>
            <w:vAlign w:val="bottom"/>
            <w:hideMark/>
          </w:tcPr>
          <w:p w14:paraId="114D8BD8"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66FAA3F9"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171</w:t>
            </w:r>
          </w:p>
        </w:tc>
        <w:tc>
          <w:tcPr>
            <w:tcW w:w="446" w:type="pct"/>
            <w:tcBorders>
              <w:top w:val="nil"/>
              <w:left w:val="nil"/>
              <w:bottom w:val="nil"/>
              <w:right w:val="nil"/>
            </w:tcBorders>
            <w:shd w:val="clear" w:color="auto" w:fill="auto"/>
            <w:noWrap/>
            <w:vAlign w:val="bottom"/>
            <w:hideMark/>
          </w:tcPr>
          <w:p w14:paraId="387184BD"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75FE151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2F7CB3D5"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r>
      <w:tr w:rsidR="00DD531B" w:rsidRPr="00DD531B" w14:paraId="5FC8D5C2" w14:textId="77777777" w:rsidTr="001F24AE">
        <w:trPr>
          <w:trHeight w:val="300"/>
        </w:trPr>
        <w:tc>
          <w:tcPr>
            <w:tcW w:w="1877" w:type="pct"/>
            <w:tcBorders>
              <w:top w:val="nil"/>
              <w:left w:val="nil"/>
              <w:bottom w:val="nil"/>
              <w:right w:val="nil"/>
            </w:tcBorders>
            <w:shd w:val="clear" w:color="auto" w:fill="auto"/>
            <w:noWrap/>
            <w:vAlign w:val="bottom"/>
            <w:hideMark/>
          </w:tcPr>
          <w:p w14:paraId="01BDFF06" w14:textId="77777777" w:rsidR="00DD531B" w:rsidRPr="00D03732" w:rsidRDefault="00DD531B" w:rsidP="00DD531B">
            <w:pPr>
              <w:spacing w:after="0" w:line="240" w:lineRule="auto"/>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presun z minulých rokov § 8, v tom:</w:t>
            </w:r>
          </w:p>
        </w:tc>
        <w:tc>
          <w:tcPr>
            <w:tcW w:w="446" w:type="pct"/>
            <w:tcBorders>
              <w:top w:val="nil"/>
              <w:left w:val="nil"/>
              <w:bottom w:val="nil"/>
              <w:right w:val="nil"/>
            </w:tcBorders>
            <w:shd w:val="clear" w:color="auto" w:fill="auto"/>
            <w:noWrap/>
            <w:vAlign w:val="bottom"/>
            <w:hideMark/>
          </w:tcPr>
          <w:p w14:paraId="70ED4AE4"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843</w:t>
            </w:r>
          </w:p>
        </w:tc>
        <w:tc>
          <w:tcPr>
            <w:tcW w:w="446" w:type="pct"/>
            <w:tcBorders>
              <w:top w:val="nil"/>
              <w:left w:val="nil"/>
              <w:bottom w:val="nil"/>
              <w:right w:val="nil"/>
            </w:tcBorders>
            <w:shd w:val="clear" w:color="auto" w:fill="auto"/>
            <w:noWrap/>
            <w:vAlign w:val="bottom"/>
            <w:hideMark/>
          </w:tcPr>
          <w:p w14:paraId="5A5EF222"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750</w:t>
            </w:r>
          </w:p>
        </w:tc>
        <w:tc>
          <w:tcPr>
            <w:tcW w:w="446" w:type="pct"/>
            <w:tcBorders>
              <w:top w:val="nil"/>
              <w:left w:val="nil"/>
              <w:bottom w:val="nil"/>
              <w:right w:val="nil"/>
            </w:tcBorders>
            <w:shd w:val="clear" w:color="auto" w:fill="auto"/>
            <w:noWrap/>
            <w:vAlign w:val="bottom"/>
            <w:hideMark/>
          </w:tcPr>
          <w:p w14:paraId="077BE316"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446" w:type="pct"/>
            <w:tcBorders>
              <w:top w:val="nil"/>
              <w:left w:val="nil"/>
              <w:bottom w:val="nil"/>
              <w:right w:val="nil"/>
            </w:tcBorders>
            <w:shd w:val="clear" w:color="auto" w:fill="auto"/>
            <w:noWrap/>
            <w:vAlign w:val="bottom"/>
            <w:hideMark/>
          </w:tcPr>
          <w:p w14:paraId="36C38993"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1 911</w:t>
            </w:r>
          </w:p>
        </w:tc>
        <w:tc>
          <w:tcPr>
            <w:tcW w:w="446" w:type="pct"/>
            <w:tcBorders>
              <w:top w:val="nil"/>
              <w:left w:val="nil"/>
              <w:bottom w:val="nil"/>
              <w:right w:val="nil"/>
            </w:tcBorders>
            <w:shd w:val="clear" w:color="auto" w:fill="auto"/>
            <w:noWrap/>
            <w:vAlign w:val="bottom"/>
            <w:hideMark/>
          </w:tcPr>
          <w:p w14:paraId="0681AA4B"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446" w:type="pct"/>
            <w:tcBorders>
              <w:top w:val="nil"/>
              <w:left w:val="nil"/>
              <w:bottom w:val="nil"/>
              <w:right w:val="nil"/>
            </w:tcBorders>
            <w:shd w:val="clear" w:color="auto" w:fill="auto"/>
            <w:noWrap/>
            <w:vAlign w:val="bottom"/>
            <w:hideMark/>
          </w:tcPr>
          <w:p w14:paraId="376EA336"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446" w:type="pct"/>
            <w:tcBorders>
              <w:top w:val="nil"/>
              <w:left w:val="nil"/>
              <w:bottom w:val="nil"/>
              <w:right w:val="nil"/>
            </w:tcBorders>
            <w:shd w:val="clear" w:color="auto" w:fill="auto"/>
            <w:noWrap/>
            <w:vAlign w:val="bottom"/>
            <w:hideMark/>
          </w:tcPr>
          <w:p w14:paraId="2A782FA7"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r>
      <w:tr w:rsidR="00DD531B" w:rsidRPr="00DD531B" w14:paraId="320C526A" w14:textId="77777777" w:rsidTr="001F24AE">
        <w:trPr>
          <w:trHeight w:val="300"/>
        </w:trPr>
        <w:tc>
          <w:tcPr>
            <w:tcW w:w="1877" w:type="pct"/>
            <w:tcBorders>
              <w:top w:val="nil"/>
              <w:left w:val="nil"/>
              <w:bottom w:val="nil"/>
              <w:right w:val="nil"/>
            </w:tcBorders>
            <w:shd w:val="clear" w:color="auto" w:fill="auto"/>
            <w:noWrap/>
            <w:vAlign w:val="bottom"/>
            <w:hideMark/>
          </w:tcPr>
          <w:p w14:paraId="36BD673E"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štátny rozpočet</w:t>
            </w:r>
          </w:p>
        </w:tc>
        <w:tc>
          <w:tcPr>
            <w:tcW w:w="446" w:type="pct"/>
            <w:tcBorders>
              <w:top w:val="nil"/>
              <w:left w:val="nil"/>
              <w:bottom w:val="nil"/>
              <w:right w:val="nil"/>
            </w:tcBorders>
            <w:shd w:val="clear" w:color="auto" w:fill="auto"/>
            <w:noWrap/>
            <w:vAlign w:val="bottom"/>
            <w:hideMark/>
          </w:tcPr>
          <w:p w14:paraId="1B2E815A"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40</w:t>
            </w:r>
          </w:p>
        </w:tc>
        <w:tc>
          <w:tcPr>
            <w:tcW w:w="446" w:type="pct"/>
            <w:tcBorders>
              <w:top w:val="nil"/>
              <w:left w:val="nil"/>
              <w:bottom w:val="nil"/>
              <w:right w:val="nil"/>
            </w:tcBorders>
            <w:shd w:val="clear" w:color="auto" w:fill="auto"/>
            <w:noWrap/>
            <w:vAlign w:val="bottom"/>
            <w:hideMark/>
          </w:tcPr>
          <w:p w14:paraId="62252CA4"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255</w:t>
            </w:r>
          </w:p>
        </w:tc>
        <w:tc>
          <w:tcPr>
            <w:tcW w:w="446" w:type="pct"/>
            <w:tcBorders>
              <w:top w:val="nil"/>
              <w:left w:val="nil"/>
              <w:bottom w:val="nil"/>
              <w:right w:val="nil"/>
            </w:tcBorders>
            <w:shd w:val="clear" w:color="auto" w:fill="auto"/>
            <w:noWrap/>
            <w:vAlign w:val="bottom"/>
            <w:hideMark/>
          </w:tcPr>
          <w:p w14:paraId="472E6C5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5AFF1A7F"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1 414</w:t>
            </w:r>
          </w:p>
        </w:tc>
        <w:tc>
          <w:tcPr>
            <w:tcW w:w="446" w:type="pct"/>
            <w:tcBorders>
              <w:top w:val="nil"/>
              <w:left w:val="nil"/>
              <w:bottom w:val="nil"/>
              <w:right w:val="nil"/>
            </w:tcBorders>
            <w:shd w:val="clear" w:color="auto" w:fill="auto"/>
            <w:noWrap/>
            <w:vAlign w:val="bottom"/>
            <w:hideMark/>
          </w:tcPr>
          <w:p w14:paraId="07A872A0"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64421A99"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57033B71"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r>
      <w:tr w:rsidR="00DD531B" w:rsidRPr="00DD531B" w14:paraId="0B01BF61" w14:textId="77777777" w:rsidTr="001F24AE">
        <w:trPr>
          <w:trHeight w:val="300"/>
        </w:trPr>
        <w:tc>
          <w:tcPr>
            <w:tcW w:w="1877" w:type="pct"/>
            <w:tcBorders>
              <w:top w:val="nil"/>
              <w:left w:val="nil"/>
              <w:bottom w:val="single" w:sz="4" w:space="0" w:color="auto"/>
              <w:right w:val="nil"/>
            </w:tcBorders>
            <w:shd w:val="clear" w:color="auto" w:fill="auto"/>
            <w:noWrap/>
            <w:vAlign w:val="bottom"/>
            <w:hideMark/>
          </w:tcPr>
          <w:p w14:paraId="1DC289B9"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prostriedky EÚ a spolufinancovanie zo ŠR</w:t>
            </w:r>
          </w:p>
        </w:tc>
        <w:tc>
          <w:tcPr>
            <w:tcW w:w="446" w:type="pct"/>
            <w:tcBorders>
              <w:top w:val="nil"/>
              <w:left w:val="nil"/>
              <w:bottom w:val="single" w:sz="4" w:space="0" w:color="auto"/>
              <w:right w:val="nil"/>
            </w:tcBorders>
            <w:shd w:val="clear" w:color="auto" w:fill="auto"/>
            <w:noWrap/>
            <w:vAlign w:val="bottom"/>
            <w:hideMark/>
          </w:tcPr>
          <w:p w14:paraId="4B2A302F"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803</w:t>
            </w:r>
          </w:p>
        </w:tc>
        <w:tc>
          <w:tcPr>
            <w:tcW w:w="446" w:type="pct"/>
            <w:tcBorders>
              <w:top w:val="nil"/>
              <w:left w:val="nil"/>
              <w:bottom w:val="single" w:sz="4" w:space="0" w:color="auto"/>
              <w:right w:val="nil"/>
            </w:tcBorders>
            <w:shd w:val="clear" w:color="auto" w:fill="auto"/>
            <w:noWrap/>
            <w:vAlign w:val="bottom"/>
            <w:hideMark/>
          </w:tcPr>
          <w:p w14:paraId="2C875AD6"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495</w:t>
            </w:r>
          </w:p>
        </w:tc>
        <w:tc>
          <w:tcPr>
            <w:tcW w:w="446" w:type="pct"/>
            <w:tcBorders>
              <w:top w:val="nil"/>
              <w:left w:val="nil"/>
              <w:bottom w:val="single" w:sz="4" w:space="0" w:color="auto"/>
              <w:right w:val="nil"/>
            </w:tcBorders>
            <w:shd w:val="clear" w:color="auto" w:fill="auto"/>
            <w:noWrap/>
            <w:vAlign w:val="bottom"/>
            <w:hideMark/>
          </w:tcPr>
          <w:p w14:paraId="5FB47C76"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single" w:sz="4" w:space="0" w:color="auto"/>
              <w:right w:val="nil"/>
            </w:tcBorders>
            <w:shd w:val="clear" w:color="auto" w:fill="auto"/>
            <w:noWrap/>
            <w:vAlign w:val="bottom"/>
            <w:hideMark/>
          </w:tcPr>
          <w:p w14:paraId="2A17A7F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498</w:t>
            </w:r>
          </w:p>
        </w:tc>
        <w:tc>
          <w:tcPr>
            <w:tcW w:w="446" w:type="pct"/>
            <w:tcBorders>
              <w:top w:val="nil"/>
              <w:left w:val="nil"/>
              <w:bottom w:val="single" w:sz="4" w:space="0" w:color="auto"/>
              <w:right w:val="nil"/>
            </w:tcBorders>
            <w:shd w:val="clear" w:color="auto" w:fill="auto"/>
            <w:noWrap/>
            <w:vAlign w:val="bottom"/>
            <w:hideMark/>
          </w:tcPr>
          <w:p w14:paraId="68937430"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single" w:sz="4" w:space="0" w:color="auto"/>
              <w:right w:val="nil"/>
            </w:tcBorders>
            <w:shd w:val="clear" w:color="auto" w:fill="auto"/>
            <w:noWrap/>
            <w:vAlign w:val="bottom"/>
            <w:hideMark/>
          </w:tcPr>
          <w:p w14:paraId="7BDD3DE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single" w:sz="4" w:space="0" w:color="auto"/>
              <w:right w:val="nil"/>
            </w:tcBorders>
            <w:shd w:val="clear" w:color="auto" w:fill="auto"/>
            <w:noWrap/>
            <w:vAlign w:val="bottom"/>
            <w:hideMark/>
          </w:tcPr>
          <w:p w14:paraId="719C0F3E"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r>
    </w:tbl>
    <w:p w14:paraId="5D179778" w14:textId="77777777" w:rsidR="00DD531B" w:rsidRPr="00D03732" w:rsidRDefault="00DD531B" w:rsidP="00DD531B">
      <w:pPr>
        <w:rPr>
          <w:rFonts w:ascii="Times New Roman" w:eastAsia="Calibri" w:hAnsi="Times New Roman" w:cs="Times New Roman"/>
          <w:color w:val="5B9BD5" w:themeColor="accent1"/>
        </w:rPr>
      </w:pPr>
    </w:p>
    <w:p w14:paraId="6D1ACF60" w14:textId="77777777" w:rsidR="00DD531B" w:rsidRPr="00D03732" w:rsidRDefault="00DD531B" w:rsidP="00D03732">
      <w:pPr>
        <w:keepNext/>
        <w:keepLines/>
        <w:spacing w:before="40" w:after="0"/>
        <w:outlineLvl w:val="1"/>
        <w:rPr>
          <w:rFonts w:ascii="Times New Roman" w:eastAsia="Times New Roman" w:hAnsi="Times New Roman" w:cs="Times New Roman"/>
          <w:b/>
          <w:color w:val="5B9BD5" w:themeColor="accent1"/>
          <w:sz w:val="24"/>
          <w:szCs w:val="24"/>
        </w:rPr>
      </w:pPr>
      <w:r w:rsidRPr="00D03732">
        <w:rPr>
          <w:rFonts w:ascii="Times New Roman" w:eastAsia="Times New Roman" w:hAnsi="Times New Roman" w:cs="Times New Roman"/>
          <w:b/>
          <w:color w:val="5B9BD5" w:themeColor="accent1"/>
          <w:sz w:val="24"/>
          <w:szCs w:val="24"/>
        </w:rPr>
        <w:t>Generálna prokuratúra SR</w:t>
      </w:r>
    </w:p>
    <w:p w14:paraId="38928E96" w14:textId="77777777" w:rsidR="00DD531B" w:rsidRPr="00D03732" w:rsidRDefault="00DD531B" w:rsidP="00DD531B">
      <w:pPr>
        <w:rPr>
          <w:rFonts w:ascii="Times New Roman" w:eastAsia="Calibri" w:hAnsi="Times New Roman" w:cs="Times New Roman"/>
          <w:color w:val="5B9BD5" w:themeColor="accent1"/>
        </w:rPr>
      </w:pPr>
    </w:p>
    <w:p w14:paraId="6974DBF1" w14:textId="0369BE6D" w:rsidR="00DD531B" w:rsidRPr="00D03732" w:rsidRDefault="00D03732"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195" w:name="_Toc153013065"/>
      <w:r>
        <w:rPr>
          <w:rFonts w:ascii="Times New Roman" w:eastAsia="Times New Roman" w:hAnsi="Times New Roman" w:cs="Times New Roman"/>
          <w:b/>
          <w:iCs/>
          <w:color w:val="5B9BD5" w:themeColor="accent1"/>
          <w:sz w:val="20"/>
          <w:szCs w:val="20"/>
          <w:lang w:eastAsia="sk-SK"/>
        </w:rPr>
        <w:t xml:space="preserve">Tabuľka </w:t>
      </w:r>
      <w:r w:rsidRPr="00DD531B">
        <w:rPr>
          <w:rFonts w:ascii="Times New Roman" w:hAnsi="Times New Roman" w:cs="Times New Roman"/>
          <w:b/>
          <w:color w:val="5B9BD5" w:themeColor="accent1"/>
          <w:sz w:val="20"/>
          <w:szCs w:val="20"/>
        </w:rPr>
        <w:fldChar w:fldCharType="begin"/>
      </w:r>
      <w:r w:rsidRPr="00DD531B">
        <w:rPr>
          <w:rFonts w:ascii="Times New Roman" w:hAnsi="Times New Roman" w:cs="Times New Roman"/>
          <w:b/>
          <w:color w:val="5B9BD5" w:themeColor="accent1"/>
          <w:sz w:val="20"/>
          <w:szCs w:val="20"/>
        </w:rPr>
        <w:instrText xml:space="preserve"> SEQ Tabuľka \* ARABIC </w:instrText>
      </w:r>
      <w:r w:rsidRPr="00DD531B">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67</w:t>
      </w:r>
      <w:r w:rsidRPr="00DD531B">
        <w:rPr>
          <w:rFonts w:ascii="Times New Roman" w:hAnsi="Times New Roman" w:cs="Times New Roman"/>
          <w:b/>
          <w:color w:val="5B9BD5" w:themeColor="accent1"/>
          <w:sz w:val="20"/>
          <w:szCs w:val="20"/>
        </w:rPr>
        <w:fldChar w:fldCharType="end"/>
      </w:r>
      <w:r>
        <w:rPr>
          <w:rFonts w:ascii="Times New Roman" w:hAnsi="Times New Roman" w:cs="Times New Roman"/>
          <w:b/>
          <w:color w:val="5B9BD5" w:themeColor="accent1"/>
          <w:sz w:val="20"/>
          <w:szCs w:val="20"/>
        </w:rPr>
        <w:t xml:space="preserve"> - </w:t>
      </w:r>
      <w:r w:rsidR="00DD531B" w:rsidRPr="00D03732">
        <w:rPr>
          <w:rFonts w:ascii="Times New Roman" w:eastAsia="Times New Roman" w:hAnsi="Times New Roman" w:cs="Times New Roman"/>
          <w:b/>
          <w:iCs/>
          <w:color w:val="5B9BD5" w:themeColor="accent1"/>
          <w:sz w:val="20"/>
          <w:szCs w:val="20"/>
          <w:lang w:eastAsia="sk-SK"/>
        </w:rPr>
        <w:t>Príjmy kapitoly GP SR</w:t>
      </w:r>
      <w:bookmarkEnd w:id="195"/>
    </w:p>
    <w:tbl>
      <w:tblPr>
        <w:tblW w:w="5000" w:type="pct"/>
        <w:tblCellMar>
          <w:left w:w="70" w:type="dxa"/>
          <w:right w:w="70" w:type="dxa"/>
        </w:tblCellMar>
        <w:tblLook w:val="04A0" w:firstRow="1" w:lastRow="0" w:firstColumn="1" w:lastColumn="0" w:noHBand="0" w:noVBand="1"/>
      </w:tblPr>
      <w:tblGrid>
        <w:gridCol w:w="4498"/>
        <w:gridCol w:w="653"/>
        <w:gridCol w:w="653"/>
        <w:gridCol w:w="653"/>
        <w:gridCol w:w="714"/>
        <w:gridCol w:w="616"/>
        <w:gridCol w:w="631"/>
        <w:gridCol w:w="654"/>
      </w:tblGrid>
      <w:tr w:rsidR="00DD531B" w:rsidRPr="00DD531B" w14:paraId="70E4DCE6" w14:textId="77777777" w:rsidTr="001F24AE">
        <w:trPr>
          <w:trHeight w:val="300"/>
        </w:trPr>
        <w:tc>
          <w:tcPr>
            <w:tcW w:w="2123" w:type="pct"/>
            <w:tcBorders>
              <w:top w:val="single" w:sz="4" w:space="0" w:color="auto"/>
              <w:left w:val="nil"/>
              <w:bottom w:val="single" w:sz="4" w:space="0" w:color="auto"/>
              <w:right w:val="nil"/>
            </w:tcBorders>
            <w:shd w:val="clear" w:color="auto" w:fill="auto"/>
            <w:noWrap/>
            <w:vAlign w:val="center"/>
            <w:hideMark/>
          </w:tcPr>
          <w:p w14:paraId="4326A962" w14:textId="77777777" w:rsidR="00DD531B" w:rsidRPr="00D03732" w:rsidRDefault="00DD531B" w:rsidP="00DD531B">
            <w:pPr>
              <w:spacing w:after="0" w:line="240" w:lineRule="auto"/>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v tis. eur</w:t>
            </w:r>
          </w:p>
        </w:tc>
        <w:tc>
          <w:tcPr>
            <w:tcW w:w="411" w:type="pct"/>
            <w:tcBorders>
              <w:top w:val="single" w:sz="4" w:space="0" w:color="auto"/>
              <w:left w:val="nil"/>
              <w:bottom w:val="single" w:sz="4" w:space="0" w:color="auto"/>
              <w:right w:val="nil"/>
            </w:tcBorders>
            <w:shd w:val="clear" w:color="auto" w:fill="auto"/>
            <w:noWrap/>
            <w:vAlign w:val="center"/>
            <w:hideMark/>
          </w:tcPr>
          <w:p w14:paraId="3D3CDF9B"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2021 S</w:t>
            </w:r>
          </w:p>
        </w:tc>
        <w:tc>
          <w:tcPr>
            <w:tcW w:w="411" w:type="pct"/>
            <w:tcBorders>
              <w:top w:val="single" w:sz="4" w:space="0" w:color="auto"/>
              <w:left w:val="nil"/>
              <w:bottom w:val="single" w:sz="4" w:space="0" w:color="auto"/>
              <w:right w:val="nil"/>
            </w:tcBorders>
            <w:shd w:val="clear" w:color="auto" w:fill="auto"/>
            <w:noWrap/>
            <w:vAlign w:val="center"/>
            <w:hideMark/>
          </w:tcPr>
          <w:p w14:paraId="635B1054"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2022 S</w:t>
            </w:r>
          </w:p>
        </w:tc>
        <w:tc>
          <w:tcPr>
            <w:tcW w:w="411" w:type="pct"/>
            <w:tcBorders>
              <w:top w:val="single" w:sz="4" w:space="0" w:color="auto"/>
              <w:left w:val="nil"/>
              <w:bottom w:val="single" w:sz="4" w:space="0" w:color="auto"/>
              <w:right w:val="nil"/>
            </w:tcBorders>
            <w:shd w:val="clear" w:color="auto" w:fill="auto"/>
            <w:noWrap/>
            <w:vAlign w:val="center"/>
            <w:hideMark/>
          </w:tcPr>
          <w:p w14:paraId="378E4A3F"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2023 R</w:t>
            </w:r>
          </w:p>
        </w:tc>
        <w:tc>
          <w:tcPr>
            <w:tcW w:w="411" w:type="pct"/>
            <w:tcBorders>
              <w:top w:val="single" w:sz="4" w:space="0" w:color="auto"/>
              <w:left w:val="nil"/>
              <w:bottom w:val="single" w:sz="4" w:space="0" w:color="auto"/>
              <w:right w:val="nil"/>
            </w:tcBorders>
            <w:shd w:val="clear" w:color="auto" w:fill="auto"/>
            <w:noWrap/>
            <w:vAlign w:val="center"/>
            <w:hideMark/>
          </w:tcPr>
          <w:p w14:paraId="68C323A8"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2023 OS</w:t>
            </w:r>
          </w:p>
        </w:tc>
        <w:tc>
          <w:tcPr>
            <w:tcW w:w="411" w:type="pct"/>
            <w:tcBorders>
              <w:top w:val="single" w:sz="4" w:space="0" w:color="auto"/>
              <w:left w:val="nil"/>
              <w:bottom w:val="single" w:sz="4" w:space="0" w:color="auto"/>
              <w:right w:val="nil"/>
            </w:tcBorders>
            <w:shd w:val="clear" w:color="auto" w:fill="auto"/>
            <w:noWrap/>
            <w:vAlign w:val="center"/>
            <w:hideMark/>
          </w:tcPr>
          <w:p w14:paraId="213BDCE5"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2024 N</w:t>
            </w:r>
          </w:p>
        </w:tc>
        <w:tc>
          <w:tcPr>
            <w:tcW w:w="411" w:type="pct"/>
            <w:tcBorders>
              <w:top w:val="single" w:sz="4" w:space="0" w:color="auto"/>
              <w:left w:val="nil"/>
              <w:bottom w:val="single" w:sz="4" w:space="0" w:color="auto"/>
              <w:right w:val="nil"/>
            </w:tcBorders>
            <w:shd w:val="clear" w:color="auto" w:fill="auto"/>
            <w:noWrap/>
            <w:vAlign w:val="center"/>
            <w:hideMark/>
          </w:tcPr>
          <w:p w14:paraId="1095F025"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2025 N</w:t>
            </w:r>
          </w:p>
        </w:tc>
        <w:tc>
          <w:tcPr>
            <w:tcW w:w="411" w:type="pct"/>
            <w:tcBorders>
              <w:top w:val="single" w:sz="4" w:space="0" w:color="auto"/>
              <w:left w:val="nil"/>
              <w:bottom w:val="single" w:sz="4" w:space="0" w:color="auto"/>
              <w:right w:val="nil"/>
            </w:tcBorders>
            <w:shd w:val="clear" w:color="auto" w:fill="auto"/>
            <w:noWrap/>
            <w:vAlign w:val="center"/>
            <w:hideMark/>
          </w:tcPr>
          <w:p w14:paraId="632A82B2"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2026 N</w:t>
            </w:r>
          </w:p>
        </w:tc>
      </w:tr>
      <w:tr w:rsidR="00DD531B" w:rsidRPr="00DD531B" w14:paraId="6777F12C" w14:textId="77777777" w:rsidTr="001F24AE">
        <w:trPr>
          <w:trHeight w:val="300"/>
        </w:trPr>
        <w:tc>
          <w:tcPr>
            <w:tcW w:w="2123" w:type="pct"/>
            <w:tcBorders>
              <w:top w:val="nil"/>
              <w:left w:val="nil"/>
              <w:bottom w:val="nil"/>
              <w:right w:val="nil"/>
            </w:tcBorders>
            <w:shd w:val="clear" w:color="auto" w:fill="auto"/>
            <w:noWrap/>
            <w:vAlign w:val="bottom"/>
            <w:hideMark/>
          </w:tcPr>
          <w:p w14:paraId="16FB5586" w14:textId="77777777" w:rsidR="00DD531B" w:rsidRPr="00D03732" w:rsidRDefault="00DD531B" w:rsidP="00DD531B">
            <w:pPr>
              <w:spacing w:after="0" w:line="240" w:lineRule="auto"/>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Príjmy kapitoly spolu</w:t>
            </w:r>
          </w:p>
        </w:tc>
        <w:tc>
          <w:tcPr>
            <w:tcW w:w="411" w:type="pct"/>
            <w:tcBorders>
              <w:top w:val="nil"/>
              <w:left w:val="nil"/>
              <w:bottom w:val="nil"/>
              <w:right w:val="nil"/>
            </w:tcBorders>
            <w:shd w:val="clear" w:color="auto" w:fill="auto"/>
            <w:noWrap/>
            <w:vAlign w:val="bottom"/>
            <w:hideMark/>
          </w:tcPr>
          <w:p w14:paraId="430CB3CC"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337</w:t>
            </w:r>
          </w:p>
        </w:tc>
        <w:tc>
          <w:tcPr>
            <w:tcW w:w="411" w:type="pct"/>
            <w:tcBorders>
              <w:top w:val="nil"/>
              <w:left w:val="nil"/>
              <w:bottom w:val="nil"/>
              <w:right w:val="nil"/>
            </w:tcBorders>
            <w:shd w:val="clear" w:color="auto" w:fill="auto"/>
            <w:noWrap/>
            <w:vAlign w:val="bottom"/>
            <w:hideMark/>
          </w:tcPr>
          <w:p w14:paraId="595A62D6"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433</w:t>
            </w:r>
          </w:p>
        </w:tc>
        <w:tc>
          <w:tcPr>
            <w:tcW w:w="411" w:type="pct"/>
            <w:tcBorders>
              <w:top w:val="nil"/>
              <w:left w:val="nil"/>
              <w:bottom w:val="nil"/>
              <w:right w:val="nil"/>
            </w:tcBorders>
            <w:shd w:val="clear" w:color="auto" w:fill="auto"/>
            <w:noWrap/>
            <w:vAlign w:val="bottom"/>
            <w:hideMark/>
          </w:tcPr>
          <w:p w14:paraId="7B8EA1C0"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350</w:t>
            </w:r>
          </w:p>
        </w:tc>
        <w:tc>
          <w:tcPr>
            <w:tcW w:w="411" w:type="pct"/>
            <w:tcBorders>
              <w:top w:val="nil"/>
              <w:left w:val="nil"/>
              <w:bottom w:val="nil"/>
              <w:right w:val="nil"/>
            </w:tcBorders>
            <w:shd w:val="clear" w:color="auto" w:fill="auto"/>
            <w:noWrap/>
            <w:vAlign w:val="bottom"/>
            <w:hideMark/>
          </w:tcPr>
          <w:p w14:paraId="29E0462D"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350</w:t>
            </w:r>
          </w:p>
        </w:tc>
        <w:tc>
          <w:tcPr>
            <w:tcW w:w="411" w:type="pct"/>
            <w:tcBorders>
              <w:top w:val="nil"/>
              <w:left w:val="nil"/>
              <w:bottom w:val="nil"/>
              <w:right w:val="nil"/>
            </w:tcBorders>
            <w:shd w:val="clear" w:color="auto" w:fill="auto"/>
            <w:noWrap/>
            <w:vAlign w:val="bottom"/>
            <w:hideMark/>
          </w:tcPr>
          <w:p w14:paraId="1BF0F6E7"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350</w:t>
            </w:r>
          </w:p>
        </w:tc>
        <w:tc>
          <w:tcPr>
            <w:tcW w:w="411" w:type="pct"/>
            <w:tcBorders>
              <w:top w:val="nil"/>
              <w:left w:val="nil"/>
              <w:bottom w:val="nil"/>
              <w:right w:val="nil"/>
            </w:tcBorders>
            <w:shd w:val="clear" w:color="auto" w:fill="auto"/>
            <w:noWrap/>
            <w:vAlign w:val="bottom"/>
            <w:hideMark/>
          </w:tcPr>
          <w:p w14:paraId="063CCB7F"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350</w:t>
            </w:r>
          </w:p>
        </w:tc>
        <w:tc>
          <w:tcPr>
            <w:tcW w:w="411" w:type="pct"/>
            <w:tcBorders>
              <w:top w:val="nil"/>
              <w:left w:val="nil"/>
              <w:bottom w:val="nil"/>
              <w:right w:val="nil"/>
            </w:tcBorders>
            <w:shd w:val="clear" w:color="auto" w:fill="auto"/>
            <w:noWrap/>
            <w:vAlign w:val="bottom"/>
            <w:hideMark/>
          </w:tcPr>
          <w:p w14:paraId="655776DD"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350</w:t>
            </w:r>
          </w:p>
        </w:tc>
      </w:tr>
      <w:tr w:rsidR="00DD531B" w:rsidRPr="00DD531B" w14:paraId="1C409D9F" w14:textId="77777777" w:rsidTr="001F24AE">
        <w:trPr>
          <w:trHeight w:val="300"/>
        </w:trPr>
        <w:tc>
          <w:tcPr>
            <w:tcW w:w="2123" w:type="pct"/>
            <w:tcBorders>
              <w:top w:val="nil"/>
              <w:left w:val="nil"/>
              <w:bottom w:val="nil"/>
              <w:right w:val="nil"/>
            </w:tcBorders>
            <w:shd w:val="clear" w:color="auto" w:fill="auto"/>
            <w:noWrap/>
            <w:vAlign w:val="bottom"/>
            <w:hideMark/>
          </w:tcPr>
          <w:p w14:paraId="7F6C0C9B" w14:textId="77777777" w:rsidR="00DD531B" w:rsidRPr="00D03732" w:rsidRDefault="00DD531B" w:rsidP="00DD531B">
            <w:pPr>
              <w:spacing w:after="0" w:line="240" w:lineRule="auto"/>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nedaňové príjmy</w:t>
            </w:r>
          </w:p>
        </w:tc>
        <w:tc>
          <w:tcPr>
            <w:tcW w:w="411" w:type="pct"/>
            <w:tcBorders>
              <w:top w:val="nil"/>
              <w:left w:val="nil"/>
              <w:bottom w:val="nil"/>
              <w:right w:val="nil"/>
            </w:tcBorders>
            <w:shd w:val="clear" w:color="auto" w:fill="auto"/>
            <w:noWrap/>
            <w:vAlign w:val="bottom"/>
            <w:hideMark/>
          </w:tcPr>
          <w:p w14:paraId="6F2C9E8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337</w:t>
            </w:r>
          </w:p>
        </w:tc>
        <w:tc>
          <w:tcPr>
            <w:tcW w:w="411" w:type="pct"/>
            <w:tcBorders>
              <w:top w:val="nil"/>
              <w:left w:val="nil"/>
              <w:bottom w:val="nil"/>
              <w:right w:val="nil"/>
            </w:tcBorders>
            <w:shd w:val="clear" w:color="auto" w:fill="auto"/>
            <w:noWrap/>
            <w:vAlign w:val="bottom"/>
            <w:hideMark/>
          </w:tcPr>
          <w:p w14:paraId="1DCA8393"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433</w:t>
            </w:r>
          </w:p>
        </w:tc>
        <w:tc>
          <w:tcPr>
            <w:tcW w:w="411" w:type="pct"/>
            <w:tcBorders>
              <w:top w:val="nil"/>
              <w:left w:val="nil"/>
              <w:bottom w:val="nil"/>
              <w:right w:val="nil"/>
            </w:tcBorders>
            <w:shd w:val="clear" w:color="auto" w:fill="auto"/>
            <w:noWrap/>
            <w:vAlign w:val="bottom"/>
            <w:hideMark/>
          </w:tcPr>
          <w:p w14:paraId="7D2672D8"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350</w:t>
            </w:r>
          </w:p>
        </w:tc>
        <w:tc>
          <w:tcPr>
            <w:tcW w:w="411" w:type="pct"/>
            <w:tcBorders>
              <w:top w:val="nil"/>
              <w:left w:val="nil"/>
              <w:bottom w:val="nil"/>
              <w:right w:val="nil"/>
            </w:tcBorders>
            <w:shd w:val="clear" w:color="auto" w:fill="auto"/>
            <w:noWrap/>
            <w:vAlign w:val="bottom"/>
            <w:hideMark/>
          </w:tcPr>
          <w:p w14:paraId="4710BD8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350</w:t>
            </w:r>
          </w:p>
        </w:tc>
        <w:tc>
          <w:tcPr>
            <w:tcW w:w="411" w:type="pct"/>
            <w:tcBorders>
              <w:top w:val="nil"/>
              <w:left w:val="nil"/>
              <w:bottom w:val="nil"/>
              <w:right w:val="nil"/>
            </w:tcBorders>
            <w:shd w:val="clear" w:color="auto" w:fill="auto"/>
            <w:noWrap/>
            <w:vAlign w:val="bottom"/>
            <w:hideMark/>
          </w:tcPr>
          <w:p w14:paraId="6842F393"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350</w:t>
            </w:r>
          </w:p>
        </w:tc>
        <w:tc>
          <w:tcPr>
            <w:tcW w:w="411" w:type="pct"/>
            <w:tcBorders>
              <w:top w:val="nil"/>
              <w:left w:val="nil"/>
              <w:bottom w:val="nil"/>
              <w:right w:val="nil"/>
            </w:tcBorders>
            <w:shd w:val="clear" w:color="auto" w:fill="auto"/>
            <w:noWrap/>
            <w:vAlign w:val="bottom"/>
            <w:hideMark/>
          </w:tcPr>
          <w:p w14:paraId="6B8735F3"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350</w:t>
            </w:r>
          </w:p>
        </w:tc>
        <w:tc>
          <w:tcPr>
            <w:tcW w:w="411" w:type="pct"/>
            <w:tcBorders>
              <w:top w:val="nil"/>
              <w:left w:val="nil"/>
              <w:bottom w:val="nil"/>
              <w:right w:val="nil"/>
            </w:tcBorders>
            <w:shd w:val="clear" w:color="auto" w:fill="auto"/>
            <w:noWrap/>
            <w:vAlign w:val="bottom"/>
            <w:hideMark/>
          </w:tcPr>
          <w:p w14:paraId="3D2DAC8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350</w:t>
            </w:r>
          </w:p>
        </w:tc>
      </w:tr>
      <w:tr w:rsidR="00DD531B" w:rsidRPr="00DD531B" w14:paraId="18520EE9" w14:textId="77777777" w:rsidTr="001F24AE">
        <w:trPr>
          <w:trHeight w:val="300"/>
        </w:trPr>
        <w:tc>
          <w:tcPr>
            <w:tcW w:w="2123" w:type="pct"/>
            <w:tcBorders>
              <w:top w:val="nil"/>
              <w:left w:val="nil"/>
              <w:bottom w:val="single" w:sz="4" w:space="0" w:color="auto"/>
              <w:right w:val="nil"/>
            </w:tcBorders>
            <w:shd w:val="clear" w:color="auto" w:fill="auto"/>
            <w:noWrap/>
            <w:vAlign w:val="bottom"/>
            <w:hideMark/>
          </w:tcPr>
          <w:p w14:paraId="75EBA9C9" w14:textId="77777777" w:rsidR="00DD531B" w:rsidRPr="00D03732" w:rsidRDefault="00DD531B" w:rsidP="00DD531B">
            <w:pPr>
              <w:spacing w:after="0" w:line="240" w:lineRule="auto"/>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prostriedky podľa § 17 ods. 4 a § 22 ods. 4 zákona č. 523/2004 Z. z.</w:t>
            </w:r>
          </w:p>
        </w:tc>
        <w:tc>
          <w:tcPr>
            <w:tcW w:w="411" w:type="pct"/>
            <w:tcBorders>
              <w:top w:val="nil"/>
              <w:left w:val="nil"/>
              <w:bottom w:val="single" w:sz="4" w:space="0" w:color="auto"/>
              <w:right w:val="nil"/>
            </w:tcBorders>
            <w:shd w:val="clear" w:color="auto" w:fill="auto"/>
            <w:noWrap/>
            <w:vAlign w:val="bottom"/>
            <w:hideMark/>
          </w:tcPr>
          <w:p w14:paraId="6CDD79B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337</w:t>
            </w:r>
          </w:p>
        </w:tc>
        <w:tc>
          <w:tcPr>
            <w:tcW w:w="411" w:type="pct"/>
            <w:tcBorders>
              <w:top w:val="nil"/>
              <w:left w:val="nil"/>
              <w:bottom w:val="single" w:sz="4" w:space="0" w:color="auto"/>
              <w:right w:val="nil"/>
            </w:tcBorders>
            <w:shd w:val="clear" w:color="auto" w:fill="auto"/>
            <w:noWrap/>
            <w:vAlign w:val="bottom"/>
            <w:hideMark/>
          </w:tcPr>
          <w:p w14:paraId="0793E290"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433</w:t>
            </w:r>
          </w:p>
        </w:tc>
        <w:tc>
          <w:tcPr>
            <w:tcW w:w="411" w:type="pct"/>
            <w:tcBorders>
              <w:top w:val="nil"/>
              <w:left w:val="nil"/>
              <w:bottom w:val="single" w:sz="4" w:space="0" w:color="auto"/>
              <w:right w:val="nil"/>
            </w:tcBorders>
            <w:shd w:val="clear" w:color="auto" w:fill="auto"/>
            <w:noWrap/>
            <w:vAlign w:val="bottom"/>
            <w:hideMark/>
          </w:tcPr>
          <w:p w14:paraId="4F6769E1"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350</w:t>
            </w:r>
          </w:p>
        </w:tc>
        <w:tc>
          <w:tcPr>
            <w:tcW w:w="411" w:type="pct"/>
            <w:tcBorders>
              <w:top w:val="nil"/>
              <w:left w:val="nil"/>
              <w:bottom w:val="single" w:sz="4" w:space="0" w:color="auto"/>
              <w:right w:val="nil"/>
            </w:tcBorders>
            <w:shd w:val="clear" w:color="auto" w:fill="auto"/>
            <w:noWrap/>
            <w:vAlign w:val="bottom"/>
            <w:hideMark/>
          </w:tcPr>
          <w:p w14:paraId="4D55C616"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350</w:t>
            </w:r>
          </w:p>
        </w:tc>
        <w:tc>
          <w:tcPr>
            <w:tcW w:w="411" w:type="pct"/>
            <w:tcBorders>
              <w:top w:val="nil"/>
              <w:left w:val="nil"/>
              <w:bottom w:val="single" w:sz="4" w:space="0" w:color="auto"/>
              <w:right w:val="nil"/>
            </w:tcBorders>
            <w:shd w:val="clear" w:color="auto" w:fill="auto"/>
            <w:noWrap/>
            <w:vAlign w:val="bottom"/>
            <w:hideMark/>
          </w:tcPr>
          <w:p w14:paraId="6E9D22AA"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350</w:t>
            </w:r>
          </w:p>
        </w:tc>
        <w:tc>
          <w:tcPr>
            <w:tcW w:w="411" w:type="pct"/>
            <w:tcBorders>
              <w:top w:val="nil"/>
              <w:left w:val="nil"/>
              <w:bottom w:val="single" w:sz="4" w:space="0" w:color="auto"/>
              <w:right w:val="nil"/>
            </w:tcBorders>
            <w:shd w:val="clear" w:color="auto" w:fill="auto"/>
            <w:noWrap/>
            <w:vAlign w:val="bottom"/>
            <w:hideMark/>
          </w:tcPr>
          <w:p w14:paraId="1D47CA7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350</w:t>
            </w:r>
          </w:p>
        </w:tc>
        <w:tc>
          <w:tcPr>
            <w:tcW w:w="411" w:type="pct"/>
            <w:tcBorders>
              <w:top w:val="nil"/>
              <w:left w:val="nil"/>
              <w:bottom w:val="single" w:sz="4" w:space="0" w:color="auto"/>
              <w:right w:val="nil"/>
            </w:tcBorders>
            <w:shd w:val="clear" w:color="auto" w:fill="auto"/>
            <w:noWrap/>
            <w:vAlign w:val="bottom"/>
            <w:hideMark/>
          </w:tcPr>
          <w:p w14:paraId="662E4676"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350</w:t>
            </w:r>
          </w:p>
        </w:tc>
      </w:tr>
    </w:tbl>
    <w:p w14:paraId="1F12C5A8" w14:textId="77777777" w:rsidR="00DD531B" w:rsidRPr="00D03732" w:rsidRDefault="00DD531B" w:rsidP="00DD531B">
      <w:pPr>
        <w:rPr>
          <w:rFonts w:ascii="Times New Roman" w:eastAsia="Calibri" w:hAnsi="Times New Roman" w:cs="Times New Roman"/>
          <w:color w:val="5B9BD5" w:themeColor="accent1"/>
        </w:rPr>
      </w:pPr>
    </w:p>
    <w:p w14:paraId="2E357CAC" w14:textId="0331C55F" w:rsidR="00DD531B" w:rsidRPr="00D03732" w:rsidRDefault="00D03732"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196" w:name="_Toc153013066"/>
      <w:r w:rsidRPr="00D03732">
        <w:rPr>
          <w:rFonts w:ascii="Times New Roman" w:eastAsia="Times New Roman" w:hAnsi="Times New Roman" w:cs="Times New Roman"/>
          <w:b/>
          <w:iCs/>
          <w:color w:val="5B9BD5" w:themeColor="accent1"/>
          <w:sz w:val="20"/>
          <w:szCs w:val="20"/>
          <w:lang w:eastAsia="sk-SK"/>
        </w:rPr>
        <w:t xml:space="preserve">Tabuľka </w:t>
      </w:r>
      <w:r w:rsidRPr="00D03732">
        <w:rPr>
          <w:rFonts w:ascii="Times New Roman" w:hAnsi="Times New Roman" w:cs="Times New Roman"/>
          <w:b/>
          <w:color w:val="5B9BD5" w:themeColor="accent1"/>
          <w:sz w:val="20"/>
          <w:szCs w:val="20"/>
        </w:rPr>
        <w:fldChar w:fldCharType="begin"/>
      </w:r>
      <w:r w:rsidRPr="00D03732">
        <w:rPr>
          <w:rFonts w:ascii="Times New Roman" w:hAnsi="Times New Roman" w:cs="Times New Roman"/>
          <w:b/>
          <w:color w:val="5B9BD5" w:themeColor="accent1"/>
          <w:sz w:val="20"/>
          <w:szCs w:val="20"/>
        </w:rPr>
        <w:instrText xml:space="preserve"> SEQ Tabuľka \* ARABIC </w:instrText>
      </w:r>
      <w:r w:rsidRPr="00D03732">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68</w:t>
      </w:r>
      <w:r w:rsidRPr="00D03732">
        <w:rPr>
          <w:rFonts w:ascii="Times New Roman" w:hAnsi="Times New Roman" w:cs="Times New Roman"/>
          <w:b/>
          <w:color w:val="5B9BD5" w:themeColor="accent1"/>
          <w:sz w:val="20"/>
          <w:szCs w:val="20"/>
        </w:rPr>
        <w:fldChar w:fldCharType="end"/>
      </w:r>
      <w:r w:rsidRPr="00D03732">
        <w:rPr>
          <w:rFonts w:ascii="Times New Roman" w:hAnsi="Times New Roman" w:cs="Times New Roman"/>
          <w:b/>
          <w:color w:val="5B9BD5" w:themeColor="accent1"/>
          <w:sz w:val="20"/>
          <w:szCs w:val="20"/>
        </w:rPr>
        <w:t xml:space="preserve"> - </w:t>
      </w:r>
      <w:r w:rsidR="00DD531B" w:rsidRPr="00D03732">
        <w:rPr>
          <w:rFonts w:ascii="Times New Roman" w:eastAsia="Times New Roman" w:hAnsi="Times New Roman" w:cs="Times New Roman"/>
          <w:b/>
          <w:iCs/>
          <w:color w:val="5B9BD5" w:themeColor="accent1"/>
          <w:sz w:val="20"/>
          <w:szCs w:val="20"/>
          <w:lang w:eastAsia="sk-SK"/>
        </w:rPr>
        <w:t>Výdavky kapitoly GP SR</w:t>
      </w:r>
      <w:bookmarkEnd w:id="196"/>
    </w:p>
    <w:tbl>
      <w:tblPr>
        <w:tblW w:w="5000" w:type="pct"/>
        <w:tblCellMar>
          <w:left w:w="70" w:type="dxa"/>
          <w:right w:w="70" w:type="dxa"/>
        </w:tblCellMar>
        <w:tblLook w:val="04A0" w:firstRow="1" w:lastRow="0" w:firstColumn="1" w:lastColumn="0" w:noHBand="0" w:noVBand="1"/>
      </w:tblPr>
      <w:tblGrid>
        <w:gridCol w:w="3851"/>
        <w:gridCol w:w="745"/>
        <w:gridCol w:w="746"/>
        <w:gridCol w:w="746"/>
        <w:gridCol w:w="746"/>
        <w:gridCol w:w="746"/>
        <w:gridCol w:w="746"/>
        <w:gridCol w:w="746"/>
      </w:tblGrid>
      <w:tr w:rsidR="00DD531B" w:rsidRPr="00DD531B" w14:paraId="150636E6" w14:textId="77777777" w:rsidTr="001F24AE">
        <w:trPr>
          <w:trHeight w:val="300"/>
        </w:trPr>
        <w:tc>
          <w:tcPr>
            <w:tcW w:w="2123" w:type="pct"/>
            <w:tcBorders>
              <w:top w:val="single" w:sz="4" w:space="0" w:color="auto"/>
              <w:left w:val="nil"/>
              <w:bottom w:val="single" w:sz="4" w:space="0" w:color="auto"/>
              <w:right w:val="nil"/>
            </w:tcBorders>
            <w:shd w:val="clear" w:color="auto" w:fill="auto"/>
            <w:noWrap/>
            <w:vAlign w:val="center"/>
            <w:hideMark/>
          </w:tcPr>
          <w:p w14:paraId="54FCA6A1" w14:textId="77777777" w:rsidR="00DD531B" w:rsidRPr="00D03732" w:rsidRDefault="00DD531B" w:rsidP="00DD531B">
            <w:pPr>
              <w:spacing w:after="0" w:line="240" w:lineRule="auto"/>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v tis. eur</w:t>
            </w:r>
          </w:p>
        </w:tc>
        <w:tc>
          <w:tcPr>
            <w:tcW w:w="411" w:type="pct"/>
            <w:tcBorders>
              <w:top w:val="single" w:sz="4" w:space="0" w:color="auto"/>
              <w:left w:val="nil"/>
              <w:bottom w:val="single" w:sz="4" w:space="0" w:color="auto"/>
              <w:right w:val="nil"/>
            </w:tcBorders>
            <w:shd w:val="clear" w:color="auto" w:fill="auto"/>
            <w:noWrap/>
            <w:vAlign w:val="center"/>
            <w:hideMark/>
          </w:tcPr>
          <w:p w14:paraId="7B9147A6"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2021 S</w:t>
            </w:r>
          </w:p>
        </w:tc>
        <w:tc>
          <w:tcPr>
            <w:tcW w:w="411" w:type="pct"/>
            <w:tcBorders>
              <w:top w:val="single" w:sz="4" w:space="0" w:color="auto"/>
              <w:left w:val="nil"/>
              <w:bottom w:val="single" w:sz="4" w:space="0" w:color="auto"/>
              <w:right w:val="nil"/>
            </w:tcBorders>
            <w:shd w:val="clear" w:color="auto" w:fill="auto"/>
            <w:noWrap/>
            <w:vAlign w:val="center"/>
            <w:hideMark/>
          </w:tcPr>
          <w:p w14:paraId="0F76B15B"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2022 S</w:t>
            </w:r>
          </w:p>
        </w:tc>
        <w:tc>
          <w:tcPr>
            <w:tcW w:w="411" w:type="pct"/>
            <w:tcBorders>
              <w:top w:val="single" w:sz="4" w:space="0" w:color="auto"/>
              <w:left w:val="nil"/>
              <w:bottom w:val="single" w:sz="4" w:space="0" w:color="auto"/>
              <w:right w:val="nil"/>
            </w:tcBorders>
            <w:shd w:val="clear" w:color="auto" w:fill="auto"/>
            <w:noWrap/>
            <w:vAlign w:val="center"/>
            <w:hideMark/>
          </w:tcPr>
          <w:p w14:paraId="577EA1E3"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2023 R</w:t>
            </w:r>
          </w:p>
        </w:tc>
        <w:tc>
          <w:tcPr>
            <w:tcW w:w="411" w:type="pct"/>
            <w:tcBorders>
              <w:top w:val="single" w:sz="4" w:space="0" w:color="auto"/>
              <w:left w:val="nil"/>
              <w:bottom w:val="single" w:sz="4" w:space="0" w:color="auto"/>
              <w:right w:val="nil"/>
            </w:tcBorders>
            <w:shd w:val="clear" w:color="auto" w:fill="auto"/>
            <w:noWrap/>
            <w:vAlign w:val="center"/>
            <w:hideMark/>
          </w:tcPr>
          <w:p w14:paraId="3015534A"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2023 OS</w:t>
            </w:r>
          </w:p>
        </w:tc>
        <w:tc>
          <w:tcPr>
            <w:tcW w:w="411" w:type="pct"/>
            <w:tcBorders>
              <w:top w:val="single" w:sz="4" w:space="0" w:color="auto"/>
              <w:left w:val="nil"/>
              <w:bottom w:val="single" w:sz="4" w:space="0" w:color="auto"/>
              <w:right w:val="nil"/>
            </w:tcBorders>
            <w:shd w:val="clear" w:color="auto" w:fill="auto"/>
            <w:noWrap/>
            <w:vAlign w:val="center"/>
            <w:hideMark/>
          </w:tcPr>
          <w:p w14:paraId="3D28FED9"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2024 N</w:t>
            </w:r>
          </w:p>
        </w:tc>
        <w:tc>
          <w:tcPr>
            <w:tcW w:w="411" w:type="pct"/>
            <w:tcBorders>
              <w:top w:val="single" w:sz="4" w:space="0" w:color="auto"/>
              <w:left w:val="nil"/>
              <w:bottom w:val="single" w:sz="4" w:space="0" w:color="auto"/>
              <w:right w:val="nil"/>
            </w:tcBorders>
            <w:shd w:val="clear" w:color="auto" w:fill="auto"/>
            <w:noWrap/>
            <w:vAlign w:val="center"/>
            <w:hideMark/>
          </w:tcPr>
          <w:p w14:paraId="68C590D0"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2025 N</w:t>
            </w:r>
          </w:p>
        </w:tc>
        <w:tc>
          <w:tcPr>
            <w:tcW w:w="411" w:type="pct"/>
            <w:tcBorders>
              <w:top w:val="single" w:sz="4" w:space="0" w:color="auto"/>
              <w:left w:val="nil"/>
              <w:bottom w:val="single" w:sz="4" w:space="0" w:color="auto"/>
              <w:right w:val="nil"/>
            </w:tcBorders>
            <w:shd w:val="clear" w:color="auto" w:fill="auto"/>
            <w:noWrap/>
            <w:vAlign w:val="center"/>
            <w:hideMark/>
          </w:tcPr>
          <w:p w14:paraId="7E516E6D"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2026 N</w:t>
            </w:r>
          </w:p>
        </w:tc>
      </w:tr>
      <w:tr w:rsidR="00DD531B" w:rsidRPr="00DD531B" w14:paraId="5B391714" w14:textId="77777777" w:rsidTr="001F24AE">
        <w:trPr>
          <w:trHeight w:val="300"/>
        </w:trPr>
        <w:tc>
          <w:tcPr>
            <w:tcW w:w="2123" w:type="pct"/>
            <w:tcBorders>
              <w:top w:val="nil"/>
              <w:left w:val="nil"/>
              <w:bottom w:val="nil"/>
              <w:right w:val="nil"/>
            </w:tcBorders>
            <w:shd w:val="clear" w:color="auto" w:fill="auto"/>
            <w:noWrap/>
            <w:vAlign w:val="center"/>
            <w:hideMark/>
          </w:tcPr>
          <w:p w14:paraId="2A74CD3A" w14:textId="77777777" w:rsidR="00DD531B" w:rsidRPr="00D03732" w:rsidRDefault="00DD531B" w:rsidP="00DD531B">
            <w:pPr>
              <w:spacing w:after="0" w:line="240" w:lineRule="auto"/>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Výdavky kapitoly spolu</w:t>
            </w:r>
          </w:p>
        </w:tc>
        <w:tc>
          <w:tcPr>
            <w:tcW w:w="411" w:type="pct"/>
            <w:tcBorders>
              <w:top w:val="nil"/>
              <w:left w:val="nil"/>
              <w:bottom w:val="nil"/>
              <w:right w:val="nil"/>
            </w:tcBorders>
            <w:shd w:val="clear" w:color="auto" w:fill="auto"/>
            <w:noWrap/>
            <w:vAlign w:val="center"/>
            <w:hideMark/>
          </w:tcPr>
          <w:p w14:paraId="5DF20256"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117 234</w:t>
            </w:r>
          </w:p>
        </w:tc>
        <w:tc>
          <w:tcPr>
            <w:tcW w:w="411" w:type="pct"/>
            <w:tcBorders>
              <w:top w:val="nil"/>
              <w:left w:val="nil"/>
              <w:bottom w:val="nil"/>
              <w:right w:val="nil"/>
            </w:tcBorders>
            <w:shd w:val="clear" w:color="auto" w:fill="auto"/>
            <w:noWrap/>
            <w:vAlign w:val="center"/>
            <w:hideMark/>
          </w:tcPr>
          <w:p w14:paraId="28507609"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126 627</w:t>
            </w:r>
          </w:p>
        </w:tc>
        <w:tc>
          <w:tcPr>
            <w:tcW w:w="411" w:type="pct"/>
            <w:tcBorders>
              <w:top w:val="nil"/>
              <w:left w:val="nil"/>
              <w:bottom w:val="nil"/>
              <w:right w:val="nil"/>
            </w:tcBorders>
            <w:shd w:val="clear" w:color="auto" w:fill="auto"/>
            <w:noWrap/>
            <w:vAlign w:val="center"/>
            <w:hideMark/>
          </w:tcPr>
          <w:p w14:paraId="31CCF41D"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128 154</w:t>
            </w:r>
          </w:p>
        </w:tc>
        <w:tc>
          <w:tcPr>
            <w:tcW w:w="411" w:type="pct"/>
            <w:tcBorders>
              <w:top w:val="nil"/>
              <w:left w:val="nil"/>
              <w:bottom w:val="nil"/>
              <w:right w:val="nil"/>
            </w:tcBorders>
            <w:shd w:val="clear" w:color="auto" w:fill="auto"/>
            <w:noWrap/>
            <w:vAlign w:val="center"/>
            <w:hideMark/>
          </w:tcPr>
          <w:p w14:paraId="1EBDC2E5"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140 618</w:t>
            </w:r>
          </w:p>
        </w:tc>
        <w:tc>
          <w:tcPr>
            <w:tcW w:w="411" w:type="pct"/>
            <w:tcBorders>
              <w:top w:val="nil"/>
              <w:left w:val="nil"/>
              <w:bottom w:val="nil"/>
              <w:right w:val="nil"/>
            </w:tcBorders>
            <w:shd w:val="clear" w:color="auto" w:fill="auto"/>
            <w:noWrap/>
            <w:vAlign w:val="center"/>
            <w:hideMark/>
          </w:tcPr>
          <w:p w14:paraId="70EA942B"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143 303</w:t>
            </w:r>
          </w:p>
        </w:tc>
        <w:tc>
          <w:tcPr>
            <w:tcW w:w="411" w:type="pct"/>
            <w:tcBorders>
              <w:top w:val="nil"/>
              <w:left w:val="nil"/>
              <w:bottom w:val="nil"/>
              <w:right w:val="nil"/>
            </w:tcBorders>
            <w:shd w:val="clear" w:color="auto" w:fill="auto"/>
            <w:noWrap/>
            <w:vAlign w:val="center"/>
            <w:hideMark/>
          </w:tcPr>
          <w:p w14:paraId="724332AC"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139 361</w:t>
            </w:r>
          </w:p>
        </w:tc>
        <w:tc>
          <w:tcPr>
            <w:tcW w:w="411" w:type="pct"/>
            <w:tcBorders>
              <w:top w:val="nil"/>
              <w:left w:val="nil"/>
              <w:bottom w:val="nil"/>
              <w:right w:val="nil"/>
            </w:tcBorders>
            <w:shd w:val="clear" w:color="auto" w:fill="auto"/>
            <w:noWrap/>
            <w:vAlign w:val="center"/>
            <w:hideMark/>
          </w:tcPr>
          <w:p w14:paraId="16FBF6D5"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138 661</w:t>
            </w:r>
          </w:p>
        </w:tc>
      </w:tr>
      <w:tr w:rsidR="00DD531B" w:rsidRPr="00DD531B" w14:paraId="5A3E6200" w14:textId="77777777" w:rsidTr="001F24AE">
        <w:trPr>
          <w:trHeight w:val="300"/>
        </w:trPr>
        <w:tc>
          <w:tcPr>
            <w:tcW w:w="2123" w:type="pct"/>
            <w:tcBorders>
              <w:top w:val="nil"/>
              <w:left w:val="nil"/>
              <w:bottom w:val="nil"/>
              <w:right w:val="nil"/>
            </w:tcBorders>
            <w:shd w:val="clear" w:color="auto" w:fill="auto"/>
            <w:noWrap/>
            <w:vAlign w:val="bottom"/>
            <w:hideMark/>
          </w:tcPr>
          <w:p w14:paraId="383741F8" w14:textId="77777777" w:rsidR="00DD531B" w:rsidRPr="00D03732" w:rsidRDefault="00DD531B" w:rsidP="00DD531B">
            <w:pPr>
              <w:spacing w:after="0" w:line="240" w:lineRule="auto"/>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rozpočtové zdroje kapitoly</w:t>
            </w:r>
          </w:p>
        </w:tc>
        <w:tc>
          <w:tcPr>
            <w:tcW w:w="411" w:type="pct"/>
            <w:tcBorders>
              <w:top w:val="nil"/>
              <w:left w:val="nil"/>
              <w:bottom w:val="nil"/>
              <w:right w:val="nil"/>
            </w:tcBorders>
            <w:shd w:val="clear" w:color="auto" w:fill="auto"/>
            <w:noWrap/>
            <w:vAlign w:val="bottom"/>
            <w:hideMark/>
          </w:tcPr>
          <w:p w14:paraId="3AEA898E"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112 831</w:t>
            </w:r>
          </w:p>
        </w:tc>
        <w:tc>
          <w:tcPr>
            <w:tcW w:w="411" w:type="pct"/>
            <w:tcBorders>
              <w:top w:val="nil"/>
              <w:left w:val="nil"/>
              <w:bottom w:val="nil"/>
              <w:right w:val="nil"/>
            </w:tcBorders>
            <w:shd w:val="clear" w:color="auto" w:fill="auto"/>
            <w:noWrap/>
            <w:vAlign w:val="bottom"/>
            <w:hideMark/>
          </w:tcPr>
          <w:p w14:paraId="52ABEAD8"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122 363</w:t>
            </w:r>
          </w:p>
        </w:tc>
        <w:tc>
          <w:tcPr>
            <w:tcW w:w="411" w:type="pct"/>
            <w:tcBorders>
              <w:top w:val="nil"/>
              <w:left w:val="nil"/>
              <w:bottom w:val="nil"/>
              <w:right w:val="nil"/>
            </w:tcBorders>
            <w:shd w:val="clear" w:color="auto" w:fill="auto"/>
            <w:noWrap/>
            <w:vAlign w:val="bottom"/>
            <w:hideMark/>
          </w:tcPr>
          <w:p w14:paraId="285D4DA4"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128 154</w:t>
            </w:r>
          </w:p>
        </w:tc>
        <w:tc>
          <w:tcPr>
            <w:tcW w:w="411" w:type="pct"/>
            <w:tcBorders>
              <w:top w:val="nil"/>
              <w:left w:val="nil"/>
              <w:bottom w:val="nil"/>
              <w:right w:val="nil"/>
            </w:tcBorders>
            <w:shd w:val="clear" w:color="auto" w:fill="auto"/>
            <w:noWrap/>
            <w:vAlign w:val="bottom"/>
            <w:hideMark/>
          </w:tcPr>
          <w:p w14:paraId="1E785902"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136 383</w:t>
            </w:r>
          </w:p>
        </w:tc>
        <w:tc>
          <w:tcPr>
            <w:tcW w:w="411" w:type="pct"/>
            <w:tcBorders>
              <w:top w:val="nil"/>
              <w:left w:val="nil"/>
              <w:bottom w:val="nil"/>
              <w:right w:val="nil"/>
            </w:tcBorders>
            <w:shd w:val="clear" w:color="auto" w:fill="auto"/>
            <w:noWrap/>
            <w:vAlign w:val="bottom"/>
            <w:hideMark/>
          </w:tcPr>
          <w:p w14:paraId="09FB5FB2"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143 303</w:t>
            </w:r>
          </w:p>
        </w:tc>
        <w:tc>
          <w:tcPr>
            <w:tcW w:w="411" w:type="pct"/>
            <w:tcBorders>
              <w:top w:val="nil"/>
              <w:left w:val="nil"/>
              <w:bottom w:val="nil"/>
              <w:right w:val="nil"/>
            </w:tcBorders>
            <w:shd w:val="clear" w:color="auto" w:fill="auto"/>
            <w:noWrap/>
            <w:vAlign w:val="bottom"/>
            <w:hideMark/>
          </w:tcPr>
          <w:p w14:paraId="0B92EB76"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139 361</w:t>
            </w:r>
          </w:p>
        </w:tc>
        <w:tc>
          <w:tcPr>
            <w:tcW w:w="411" w:type="pct"/>
            <w:tcBorders>
              <w:top w:val="nil"/>
              <w:left w:val="nil"/>
              <w:bottom w:val="nil"/>
              <w:right w:val="nil"/>
            </w:tcBorders>
            <w:shd w:val="clear" w:color="auto" w:fill="auto"/>
            <w:noWrap/>
            <w:vAlign w:val="bottom"/>
            <w:hideMark/>
          </w:tcPr>
          <w:p w14:paraId="1E5FBF66"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138 661</w:t>
            </w:r>
          </w:p>
        </w:tc>
      </w:tr>
      <w:tr w:rsidR="00DD531B" w:rsidRPr="00DD531B" w14:paraId="72EB320E" w14:textId="77777777" w:rsidTr="001F24AE">
        <w:trPr>
          <w:trHeight w:val="300"/>
        </w:trPr>
        <w:tc>
          <w:tcPr>
            <w:tcW w:w="2123" w:type="pct"/>
            <w:tcBorders>
              <w:top w:val="nil"/>
              <w:left w:val="nil"/>
              <w:bottom w:val="nil"/>
              <w:right w:val="nil"/>
            </w:tcBorders>
            <w:shd w:val="clear" w:color="auto" w:fill="auto"/>
            <w:noWrap/>
            <w:vAlign w:val="bottom"/>
            <w:hideMark/>
          </w:tcPr>
          <w:p w14:paraId="264291D0"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bežné výdavky  600, v tom:</w:t>
            </w:r>
          </w:p>
        </w:tc>
        <w:tc>
          <w:tcPr>
            <w:tcW w:w="411" w:type="pct"/>
            <w:tcBorders>
              <w:top w:val="nil"/>
              <w:left w:val="nil"/>
              <w:bottom w:val="nil"/>
              <w:right w:val="nil"/>
            </w:tcBorders>
            <w:shd w:val="clear" w:color="auto" w:fill="auto"/>
            <w:noWrap/>
            <w:vAlign w:val="bottom"/>
            <w:hideMark/>
          </w:tcPr>
          <w:p w14:paraId="62E09D0C"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111 523</w:t>
            </w:r>
          </w:p>
        </w:tc>
        <w:tc>
          <w:tcPr>
            <w:tcW w:w="411" w:type="pct"/>
            <w:tcBorders>
              <w:top w:val="nil"/>
              <w:left w:val="nil"/>
              <w:bottom w:val="nil"/>
              <w:right w:val="nil"/>
            </w:tcBorders>
            <w:shd w:val="clear" w:color="auto" w:fill="auto"/>
            <w:noWrap/>
            <w:vAlign w:val="bottom"/>
            <w:hideMark/>
          </w:tcPr>
          <w:p w14:paraId="5DF5AFF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121 487</w:t>
            </w:r>
          </w:p>
        </w:tc>
        <w:tc>
          <w:tcPr>
            <w:tcW w:w="411" w:type="pct"/>
            <w:tcBorders>
              <w:top w:val="nil"/>
              <w:left w:val="nil"/>
              <w:bottom w:val="nil"/>
              <w:right w:val="nil"/>
            </w:tcBorders>
            <w:shd w:val="clear" w:color="auto" w:fill="auto"/>
            <w:noWrap/>
            <w:vAlign w:val="bottom"/>
            <w:hideMark/>
          </w:tcPr>
          <w:p w14:paraId="356BC7E8"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126 184</w:t>
            </w:r>
          </w:p>
        </w:tc>
        <w:tc>
          <w:tcPr>
            <w:tcW w:w="411" w:type="pct"/>
            <w:tcBorders>
              <w:top w:val="nil"/>
              <w:left w:val="nil"/>
              <w:bottom w:val="nil"/>
              <w:right w:val="nil"/>
            </w:tcBorders>
            <w:shd w:val="clear" w:color="auto" w:fill="auto"/>
            <w:noWrap/>
            <w:vAlign w:val="bottom"/>
            <w:hideMark/>
          </w:tcPr>
          <w:p w14:paraId="02E0E5D4"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134 413</w:t>
            </w:r>
          </w:p>
        </w:tc>
        <w:tc>
          <w:tcPr>
            <w:tcW w:w="411" w:type="pct"/>
            <w:tcBorders>
              <w:top w:val="nil"/>
              <w:left w:val="nil"/>
              <w:bottom w:val="nil"/>
              <w:right w:val="nil"/>
            </w:tcBorders>
            <w:shd w:val="clear" w:color="auto" w:fill="auto"/>
            <w:noWrap/>
            <w:vAlign w:val="bottom"/>
            <w:hideMark/>
          </w:tcPr>
          <w:p w14:paraId="08DDA1A1"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135 806</w:t>
            </w:r>
          </w:p>
        </w:tc>
        <w:tc>
          <w:tcPr>
            <w:tcW w:w="411" w:type="pct"/>
            <w:tcBorders>
              <w:top w:val="nil"/>
              <w:left w:val="nil"/>
              <w:bottom w:val="nil"/>
              <w:right w:val="nil"/>
            </w:tcBorders>
            <w:shd w:val="clear" w:color="auto" w:fill="auto"/>
            <w:noWrap/>
            <w:vAlign w:val="bottom"/>
            <w:hideMark/>
          </w:tcPr>
          <w:p w14:paraId="398E460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135 110</w:t>
            </w:r>
          </w:p>
        </w:tc>
        <w:tc>
          <w:tcPr>
            <w:tcW w:w="411" w:type="pct"/>
            <w:tcBorders>
              <w:top w:val="nil"/>
              <w:left w:val="nil"/>
              <w:bottom w:val="nil"/>
              <w:right w:val="nil"/>
            </w:tcBorders>
            <w:shd w:val="clear" w:color="auto" w:fill="auto"/>
            <w:noWrap/>
            <w:vAlign w:val="bottom"/>
            <w:hideMark/>
          </w:tcPr>
          <w:p w14:paraId="22214F48"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135 110</w:t>
            </w:r>
          </w:p>
        </w:tc>
      </w:tr>
      <w:tr w:rsidR="00DD531B" w:rsidRPr="00DD531B" w14:paraId="06AB295A" w14:textId="77777777" w:rsidTr="001F24AE">
        <w:trPr>
          <w:trHeight w:val="300"/>
        </w:trPr>
        <w:tc>
          <w:tcPr>
            <w:tcW w:w="2123" w:type="pct"/>
            <w:tcBorders>
              <w:top w:val="nil"/>
              <w:left w:val="nil"/>
              <w:bottom w:val="nil"/>
              <w:right w:val="nil"/>
            </w:tcBorders>
            <w:shd w:val="clear" w:color="auto" w:fill="auto"/>
            <w:noWrap/>
            <w:vAlign w:val="bottom"/>
            <w:hideMark/>
          </w:tcPr>
          <w:p w14:paraId="43EC2611"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610 mzdy</w:t>
            </w:r>
          </w:p>
        </w:tc>
        <w:tc>
          <w:tcPr>
            <w:tcW w:w="411" w:type="pct"/>
            <w:tcBorders>
              <w:top w:val="nil"/>
              <w:left w:val="nil"/>
              <w:bottom w:val="nil"/>
              <w:right w:val="nil"/>
            </w:tcBorders>
            <w:shd w:val="clear" w:color="auto" w:fill="auto"/>
            <w:noWrap/>
            <w:vAlign w:val="bottom"/>
            <w:hideMark/>
          </w:tcPr>
          <w:p w14:paraId="557D3211"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69 336</w:t>
            </w:r>
          </w:p>
        </w:tc>
        <w:tc>
          <w:tcPr>
            <w:tcW w:w="411" w:type="pct"/>
            <w:tcBorders>
              <w:top w:val="nil"/>
              <w:left w:val="nil"/>
              <w:bottom w:val="nil"/>
              <w:right w:val="nil"/>
            </w:tcBorders>
            <w:shd w:val="clear" w:color="auto" w:fill="auto"/>
            <w:noWrap/>
            <w:vAlign w:val="bottom"/>
            <w:hideMark/>
          </w:tcPr>
          <w:p w14:paraId="3EF6927D"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75 057</w:t>
            </w:r>
          </w:p>
        </w:tc>
        <w:tc>
          <w:tcPr>
            <w:tcW w:w="411" w:type="pct"/>
            <w:tcBorders>
              <w:top w:val="nil"/>
              <w:left w:val="nil"/>
              <w:bottom w:val="nil"/>
              <w:right w:val="nil"/>
            </w:tcBorders>
            <w:shd w:val="clear" w:color="auto" w:fill="auto"/>
            <w:noWrap/>
            <w:vAlign w:val="bottom"/>
            <w:hideMark/>
          </w:tcPr>
          <w:p w14:paraId="145E96DC"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82 036</w:t>
            </w:r>
          </w:p>
        </w:tc>
        <w:tc>
          <w:tcPr>
            <w:tcW w:w="411" w:type="pct"/>
            <w:tcBorders>
              <w:top w:val="nil"/>
              <w:left w:val="nil"/>
              <w:bottom w:val="nil"/>
              <w:right w:val="nil"/>
            </w:tcBorders>
            <w:shd w:val="clear" w:color="auto" w:fill="auto"/>
            <w:noWrap/>
            <w:vAlign w:val="bottom"/>
            <w:hideMark/>
          </w:tcPr>
          <w:p w14:paraId="0BCE3A69"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84 957</w:t>
            </w:r>
          </w:p>
        </w:tc>
        <w:tc>
          <w:tcPr>
            <w:tcW w:w="411" w:type="pct"/>
            <w:tcBorders>
              <w:top w:val="nil"/>
              <w:left w:val="nil"/>
              <w:bottom w:val="nil"/>
              <w:right w:val="nil"/>
            </w:tcBorders>
            <w:shd w:val="clear" w:color="auto" w:fill="auto"/>
            <w:noWrap/>
            <w:vAlign w:val="bottom"/>
            <w:hideMark/>
          </w:tcPr>
          <w:p w14:paraId="01A38260"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88 512</w:t>
            </w:r>
          </w:p>
        </w:tc>
        <w:tc>
          <w:tcPr>
            <w:tcW w:w="411" w:type="pct"/>
            <w:tcBorders>
              <w:top w:val="nil"/>
              <w:left w:val="nil"/>
              <w:bottom w:val="nil"/>
              <w:right w:val="nil"/>
            </w:tcBorders>
            <w:shd w:val="clear" w:color="auto" w:fill="auto"/>
            <w:noWrap/>
            <w:vAlign w:val="bottom"/>
            <w:hideMark/>
          </w:tcPr>
          <w:p w14:paraId="78CD4123"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88 512</w:t>
            </w:r>
          </w:p>
        </w:tc>
        <w:tc>
          <w:tcPr>
            <w:tcW w:w="411" w:type="pct"/>
            <w:tcBorders>
              <w:top w:val="nil"/>
              <w:left w:val="nil"/>
              <w:bottom w:val="nil"/>
              <w:right w:val="nil"/>
            </w:tcBorders>
            <w:shd w:val="clear" w:color="auto" w:fill="auto"/>
            <w:noWrap/>
            <w:vAlign w:val="bottom"/>
            <w:hideMark/>
          </w:tcPr>
          <w:p w14:paraId="7548D89E"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88 512</w:t>
            </w:r>
          </w:p>
        </w:tc>
      </w:tr>
      <w:tr w:rsidR="00DD531B" w:rsidRPr="00DD531B" w14:paraId="4FB0850C" w14:textId="77777777" w:rsidTr="001F24AE">
        <w:trPr>
          <w:trHeight w:val="300"/>
        </w:trPr>
        <w:tc>
          <w:tcPr>
            <w:tcW w:w="2123" w:type="pct"/>
            <w:tcBorders>
              <w:top w:val="nil"/>
              <w:left w:val="nil"/>
              <w:bottom w:val="nil"/>
              <w:right w:val="nil"/>
            </w:tcBorders>
            <w:shd w:val="clear" w:color="auto" w:fill="auto"/>
            <w:noWrap/>
            <w:vAlign w:val="bottom"/>
            <w:hideMark/>
          </w:tcPr>
          <w:p w14:paraId="6F5E1039"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620 odvody</w:t>
            </w:r>
          </w:p>
        </w:tc>
        <w:tc>
          <w:tcPr>
            <w:tcW w:w="411" w:type="pct"/>
            <w:tcBorders>
              <w:top w:val="nil"/>
              <w:left w:val="nil"/>
              <w:bottom w:val="nil"/>
              <w:right w:val="nil"/>
            </w:tcBorders>
            <w:shd w:val="clear" w:color="auto" w:fill="auto"/>
            <w:noWrap/>
            <w:vAlign w:val="bottom"/>
            <w:hideMark/>
          </w:tcPr>
          <w:p w14:paraId="06A1533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22 746</w:t>
            </w:r>
          </w:p>
        </w:tc>
        <w:tc>
          <w:tcPr>
            <w:tcW w:w="411" w:type="pct"/>
            <w:tcBorders>
              <w:top w:val="nil"/>
              <w:left w:val="nil"/>
              <w:bottom w:val="nil"/>
              <w:right w:val="nil"/>
            </w:tcBorders>
            <w:shd w:val="clear" w:color="auto" w:fill="auto"/>
            <w:noWrap/>
            <w:vAlign w:val="bottom"/>
            <w:hideMark/>
          </w:tcPr>
          <w:p w14:paraId="76015BA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24 582</w:t>
            </w:r>
          </w:p>
        </w:tc>
        <w:tc>
          <w:tcPr>
            <w:tcW w:w="411" w:type="pct"/>
            <w:tcBorders>
              <w:top w:val="nil"/>
              <w:left w:val="nil"/>
              <w:bottom w:val="nil"/>
              <w:right w:val="nil"/>
            </w:tcBorders>
            <w:shd w:val="clear" w:color="auto" w:fill="auto"/>
            <w:noWrap/>
            <w:vAlign w:val="bottom"/>
            <w:hideMark/>
          </w:tcPr>
          <w:p w14:paraId="2D255814"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27 102</w:t>
            </w:r>
          </w:p>
        </w:tc>
        <w:tc>
          <w:tcPr>
            <w:tcW w:w="411" w:type="pct"/>
            <w:tcBorders>
              <w:top w:val="nil"/>
              <w:left w:val="nil"/>
              <w:bottom w:val="nil"/>
              <w:right w:val="nil"/>
            </w:tcBorders>
            <w:shd w:val="clear" w:color="auto" w:fill="auto"/>
            <w:noWrap/>
            <w:vAlign w:val="bottom"/>
            <w:hideMark/>
          </w:tcPr>
          <w:p w14:paraId="0CB0C56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27 314</w:t>
            </w:r>
          </w:p>
        </w:tc>
        <w:tc>
          <w:tcPr>
            <w:tcW w:w="411" w:type="pct"/>
            <w:tcBorders>
              <w:top w:val="nil"/>
              <w:left w:val="nil"/>
              <w:bottom w:val="nil"/>
              <w:right w:val="nil"/>
            </w:tcBorders>
            <w:shd w:val="clear" w:color="auto" w:fill="auto"/>
            <w:noWrap/>
            <w:vAlign w:val="bottom"/>
            <w:hideMark/>
          </w:tcPr>
          <w:p w14:paraId="74925EA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29 210</w:t>
            </w:r>
          </w:p>
        </w:tc>
        <w:tc>
          <w:tcPr>
            <w:tcW w:w="411" w:type="pct"/>
            <w:tcBorders>
              <w:top w:val="nil"/>
              <w:left w:val="nil"/>
              <w:bottom w:val="nil"/>
              <w:right w:val="nil"/>
            </w:tcBorders>
            <w:shd w:val="clear" w:color="auto" w:fill="auto"/>
            <w:noWrap/>
            <w:vAlign w:val="bottom"/>
            <w:hideMark/>
          </w:tcPr>
          <w:p w14:paraId="2E46232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29 210</w:t>
            </w:r>
          </w:p>
        </w:tc>
        <w:tc>
          <w:tcPr>
            <w:tcW w:w="411" w:type="pct"/>
            <w:tcBorders>
              <w:top w:val="nil"/>
              <w:left w:val="nil"/>
              <w:bottom w:val="nil"/>
              <w:right w:val="nil"/>
            </w:tcBorders>
            <w:shd w:val="clear" w:color="auto" w:fill="auto"/>
            <w:noWrap/>
            <w:vAlign w:val="bottom"/>
            <w:hideMark/>
          </w:tcPr>
          <w:p w14:paraId="53BE899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29 210</w:t>
            </w:r>
          </w:p>
        </w:tc>
      </w:tr>
      <w:tr w:rsidR="00DD531B" w:rsidRPr="00DD531B" w14:paraId="75F8C39C" w14:textId="77777777" w:rsidTr="001F24AE">
        <w:trPr>
          <w:trHeight w:val="300"/>
        </w:trPr>
        <w:tc>
          <w:tcPr>
            <w:tcW w:w="2123" w:type="pct"/>
            <w:tcBorders>
              <w:top w:val="nil"/>
              <w:left w:val="nil"/>
              <w:bottom w:val="nil"/>
              <w:right w:val="nil"/>
            </w:tcBorders>
            <w:shd w:val="clear" w:color="auto" w:fill="auto"/>
            <w:noWrap/>
            <w:vAlign w:val="bottom"/>
            <w:hideMark/>
          </w:tcPr>
          <w:p w14:paraId="41ED037D"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630 tovary a služby</w:t>
            </w:r>
          </w:p>
        </w:tc>
        <w:tc>
          <w:tcPr>
            <w:tcW w:w="411" w:type="pct"/>
            <w:tcBorders>
              <w:top w:val="nil"/>
              <w:left w:val="nil"/>
              <w:bottom w:val="nil"/>
              <w:right w:val="nil"/>
            </w:tcBorders>
            <w:shd w:val="clear" w:color="auto" w:fill="auto"/>
            <w:noWrap/>
            <w:vAlign w:val="bottom"/>
            <w:hideMark/>
          </w:tcPr>
          <w:p w14:paraId="3CAB9BFE"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14 091</w:t>
            </w:r>
          </w:p>
        </w:tc>
        <w:tc>
          <w:tcPr>
            <w:tcW w:w="411" w:type="pct"/>
            <w:tcBorders>
              <w:top w:val="nil"/>
              <w:left w:val="nil"/>
              <w:bottom w:val="nil"/>
              <w:right w:val="nil"/>
            </w:tcBorders>
            <w:shd w:val="clear" w:color="auto" w:fill="auto"/>
            <w:noWrap/>
            <w:vAlign w:val="bottom"/>
            <w:hideMark/>
          </w:tcPr>
          <w:p w14:paraId="1E8C20FD"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15 190</w:t>
            </w:r>
          </w:p>
        </w:tc>
        <w:tc>
          <w:tcPr>
            <w:tcW w:w="411" w:type="pct"/>
            <w:tcBorders>
              <w:top w:val="nil"/>
              <w:left w:val="nil"/>
              <w:bottom w:val="nil"/>
              <w:right w:val="nil"/>
            </w:tcBorders>
            <w:shd w:val="clear" w:color="auto" w:fill="auto"/>
            <w:noWrap/>
            <w:vAlign w:val="bottom"/>
            <w:hideMark/>
          </w:tcPr>
          <w:p w14:paraId="00DA48D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12 264</w:t>
            </w:r>
          </w:p>
        </w:tc>
        <w:tc>
          <w:tcPr>
            <w:tcW w:w="411" w:type="pct"/>
            <w:tcBorders>
              <w:top w:val="nil"/>
              <w:left w:val="nil"/>
              <w:bottom w:val="nil"/>
              <w:right w:val="nil"/>
            </w:tcBorders>
            <w:shd w:val="clear" w:color="auto" w:fill="auto"/>
            <w:noWrap/>
            <w:vAlign w:val="bottom"/>
            <w:hideMark/>
          </w:tcPr>
          <w:p w14:paraId="51299CD9"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13 964</w:t>
            </w:r>
          </w:p>
        </w:tc>
        <w:tc>
          <w:tcPr>
            <w:tcW w:w="411" w:type="pct"/>
            <w:tcBorders>
              <w:top w:val="nil"/>
              <w:left w:val="nil"/>
              <w:bottom w:val="nil"/>
              <w:right w:val="nil"/>
            </w:tcBorders>
            <w:shd w:val="clear" w:color="auto" w:fill="auto"/>
            <w:noWrap/>
            <w:vAlign w:val="bottom"/>
            <w:hideMark/>
          </w:tcPr>
          <w:p w14:paraId="44731FE1"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13 302</w:t>
            </w:r>
          </w:p>
        </w:tc>
        <w:tc>
          <w:tcPr>
            <w:tcW w:w="411" w:type="pct"/>
            <w:tcBorders>
              <w:top w:val="nil"/>
              <w:left w:val="nil"/>
              <w:bottom w:val="nil"/>
              <w:right w:val="nil"/>
            </w:tcBorders>
            <w:shd w:val="clear" w:color="auto" w:fill="auto"/>
            <w:noWrap/>
            <w:vAlign w:val="bottom"/>
            <w:hideMark/>
          </w:tcPr>
          <w:p w14:paraId="0F9AC106"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12 606</w:t>
            </w:r>
          </w:p>
        </w:tc>
        <w:tc>
          <w:tcPr>
            <w:tcW w:w="411" w:type="pct"/>
            <w:tcBorders>
              <w:top w:val="nil"/>
              <w:left w:val="nil"/>
              <w:bottom w:val="nil"/>
              <w:right w:val="nil"/>
            </w:tcBorders>
            <w:shd w:val="clear" w:color="auto" w:fill="auto"/>
            <w:noWrap/>
            <w:vAlign w:val="bottom"/>
            <w:hideMark/>
          </w:tcPr>
          <w:p w14:paraId="3EEBC531"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12 606</w:t>
            </w:r>
          </w:p>
        </w:tc>
      </w:tr>
      <w:tr w:rsidR="00DD531B" w:rsidRPr="00DD531B" w14:paraId="756BCDEE" w14:textId="77777777" w:rsidTr="001F24AE">
        <w:trPr>
          <w:trHeight w:val="300"/>
        </w:trPr>
        <w:tc>
          <w:tcPr>
            <w:tcW w:w="2123" w:type="pct"/>
            <w:tcBorders>
              <w:top w:val="nil"/>
              <w:left w:val="nil"/>
              <w:bottom w:val="nil"/>
              <w:right w:val="nil"/>
            </w:tcBorders>
            <w:shd w:val="clear" w:color="auto" w:fill="auto"/>
            <w:noWrap/>
            <w:vAlign w:val="bottom"/>
            <w:hideMark/>
          </w:tcPr>
          <w:p w14:paraId="63753D91"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640 bežné transfery</w:t>
            </w:r>
          </w:p>
        </w:tc>
        <w:tc>
          <w:tcPr>
            <w:tcW w:w="411" w:type="pct"/>
            <w:tcBorders>
              <w:top w:val="nil"/>
              <w:left w:val="nil"/>
              <w:bottom w:val="nil"/>
              <w:right w:val="nil"/>
            </w:tcBorders>
            <w:shd w:val="clear" w:color="auto" w:fill="auto"/>
            <w:noWrap/>
            <w:vAlign w:val="bottom"/>
            <w:hideMark/>
          </w:tcPr>
          <w:p w14:paraId="23C7D44C"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5 350</w:t>
            </w:r>
          </w:p>
        </w:tc>
        <w:tc>
          <w:tcPr>
            <w:tcW w:w="411" w:type="pct"/>
            <w:tcBorders>
              <w:top w:val="nil"/>
              <w:left w:val="nil"/>
              <w:bottom w:val="nil"/>
              <w:right w:val="nil"/>
            </w:tcBorders>
            <w:shd w:val="clear" w:color="auto" w:fill="auto"/>
            <w:noWrap/>
            <w:vAlign w:val="bottom"/>
            <w:hideMark/>
          </w:tcPr>
          <w:p w14:paraId="44281B4F"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6 657</w:t>
            </w:r>
          </w:p>
        </w:tc>
        <w:tc>
          <w:tcPr>
            <w:tcW w:w="411" w:type="pct"/>
            <w:tcBorders>
              <w:top w:val="nil"/>
              <w:left w:val="nil"/>
              <w:bottom w:val="nil"/>
              <w:right w:val="nil"/>
            </w:tcBorders>
            <w:shd w:val="clear" w:color="auto" w:fill="auto"/>
            <w:noWrap/>
            <w:vAlign w:val="bottom"/>
            <w:hideMark/>
          </w:tcPr>
          <w:p w14:paraId="51AC8C46"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4 782</w:t>
            </w:r>
          </w:p>
        </w:tc>
        <w:tc>
          <w:tcPr>
            <w:tcW w:w="411" w:type="pct"/>
            <w:tcBorders>
              <w:top w:val="nil"/>
              <w:left w:val="nil"/>
              <w:bottom w:val="nil"/>
              <w:right w:val="nil"/>
            </w:tcBorders>
            <w:shd w:val="clear" w:color="auto" w:fill="auto"/>
            <w:noWrap/>
            <w:vAlign w:val="bottom"/>
            <w:hideMark/>
          </w:tcPr>
          <w:p w14:paraId="638E4CD1"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8 177</w:t>
            </w:r>
          </w:p>
        </w:tc>
        <w:tc>
          <w:tcPr>
            <w:tcW w:w="411" w:type="pct"/>
            <w:tcBorders>
              <w:top w:val="nil"/>
              <w:left w:val="nil"/>
              <w:bottom w:val="nil"/>
              <w:right w:val="nil"/>
            </w:tcBorders>
            <w:shd w:val="clear" w:color="auto" w:fill="auto"/>
            <w:noWrap/>
            <w:vAlign w:val="bottom"/>
            <w:hideMark/>
          </w:tcPr>
          <w:p w14:paraId="6525E3A3"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4 783</w:t>
            </w:r>
          </w:p>
        </w:tc>
        <w:tc>
          <w:tcPr>
            <w:tcW w:w="411" w:type="pct"/>
            <w:tcBorders>
              <w:top w:val="nil"/>
              <w:left w:val="nil"/>
              <w:bottom w:val="nil"/>
              <w:right w:val="nil"/>
            </w:tcBorders>
            <w:shd w:val="clear" w:color="auto" w:fill="auto"/>
            <w:noWrap/>
            <w:vAlign w:val="bottom"/>
            <w:hideMark/>
          </w:tcPr>
          <w:p w14:paraId="799ACBC3"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4 783</w:t>
            </w:r>
          </w:p>
        </w:tc>
        <w:tc>
          <w:tcPr>
            <w:tcW w:w="411" w:type="pct"/>
            <w:tcBorders>
              <w:top w:val="nil"/>
              <w:left w:val="nil"/>
              <w:bottom w:val="nil"/>
              <w:right w:val="nil"/>
            </w:tcBorders>
            <w:shd w:val="clear" w:color="auto" w:fill="auto"/>
            <w:noWrap/>
            <w:vAlign w:val="bottom"/>
            <w:hideMark/>
          </w:tcPr>
          <w:p w14:paraId="4287F91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4 783</w:t>
            </w:r>
          </w:p>
        </w:tc>
      </w:tr>
      <w:tr w:rsidR="00DD531B" w:rsidRPr="00DD531B" w14:paraId="33D9A8B9" w14:textId="77777777" w:rsidTr="001F24AE">
        <w:trPr>
          <w:trHeight w:val="300"/>
        </w:trPr>
        <w:tc>
          <w:tcPr>
            <w:tcW w:w="2123" w:type="pct"/>
            <w:tcBorders>
              <w:top w:val="nil"/>
              <w:left w:val="nil"/>
              <w:bottom w:val="nil"/>
              <w:right w:val="nil"/>
            </w:tcBorders>
            <w:shd w:val="clear" w:color="auto" w:fill="auto"/>
            <w:noWrap/>
            <w:vAlign w:val="bottom"/>
            <w:hideMark/>
          </w:tcPr>
          <w:p w14:paraId="43C816DA"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kapitálové výdavky 700</w:t>
            </w:r>
          </w:p>
        </w:tc>
        <w:tc>
          <w:tcPr>
            <w:tcW w:w="411" w:type="pct"/>
            <w:tcBorders>
              <w:top w:val="nil"/>
              <w:left w:val="nil"/>
              <w:bottom w:val="nil"/>
              <w:right w:val="nil"/>
            </w:tcBorders>
            <w:shd w:val="clear" w:color="auto" w:fill="auto"/>
            <w:noWrap/>
            <w:vAlign w:val="bottom"/>
            <w:hideMark/>
          </w:tcPr>
          <w:p w14:paraId="6E21788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1 309</w:t>
            </w:r>
          </w:p>
        </w:tc>
        <w:tc>
          <w:tcPr>
            <w:tcW w:w="411" w:type="pct"/>
            <w:tcBorders>
              <w:top w:val="nil"/>
              <w:left w:val="nil"/>
              <w:bottom w:val="nil"/>
              <w:right w:val="nil"/>
            </w:tcBorders>
            <w:shd w:val="clear" w:color="auto" w:fill="auto"/>
            <w:noWrap/>
            <w:vAlign w:val="bottom"/>
            <w:hideMark/>
          </w:tcPr>
          <w:p w14:paraId="151A540D"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876</w:t>
            </w:r>
          </w:p>
        </w:tc>
        <w:tc>
          <w:tcPr>
            <w:tcW w:w="411" w:type="pct"/>
            <w:tcBorders>
              <w:top w:val="nil"/>
              <w:left w:val="nil"/>
              <w:bottom w:val="nil"/>
              <w:right w:val="nil"/>
            </w:tcBorders>
            <w:shd w:val="clear" w:color="auto" w:fill="auto"/>
            <w:noWrap/>
            <w:vAlign w:val="bottom"/>
            <w:hideMark/>
          </w:tcPr>
          <w:p w14:paraId="2E172B66"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1 970</w:t>
            </w:r>
          </w:p>
        </w:tc>
        <w:tc>
          <w:tcPr>
            <w:tcW w:w="411" w:type="pct"/>
            <w:tcBorders>
              <w:top w:val="nil"/>
              <w:left w:val="nil"/>
              <w:bottom w:val="nil"/>
              <w:right w:val="nil"/>
            </w:tcBorders>
            <w:shd w:val="clear" w:color="auto" w:fill="auto"/>
            <w:noWrap/>
            <w:vAlign w:val="bottom"/>
            <w:hideMark/>
          </w:tcPr>
          <w:p w14:paraId="49E8B621"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1 970</w:t>
            </w:r>
          </w:p>
        </w:tc>
        <w:tc>
          <w:tcPr>
            <w:tcW w:w="411" w:type="pct"/>
            <w:tcBorders>
              <w:top w:val="nil"/>
              <w:left w:val="nil"/>
              <w:bottom w:val="nil"/>
              <w:right w:val="nil"/>
            </w:tcBorders>
            <w:shd w:val="clear" w:color="auto" w:fill="auto"/>
            <w:noWrap/>
            <w:vAlign w:val="bottom"/>
            <w:hideMark/>
          </w:tcPr>
          <w:p w14:paraId="7F9FF42A"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7 497</w:t>
            </w:r>
          </w:p>
        </w:tc>
        <w:tc>
          <w:tcPr>
            <w:tcW w:w="411" w:type="pct"/>
            <w:tcBorders>
              <w:top w:val="nil"/>
              <w:left w:val="nil"/>
              <w:bottom w:val="nil"/>
              <w:right w:val="nil"/>
            </w:tcBorders>
            <w:shd w:val="clear" w:color="auto" w:fill="auto"/>
            <w:noWrap/>
            <w:vAlign w:val="bottom"/>
            <w:hideMark/>
          </w:tcPr>
          <w:p w14:paraId="3666E9D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4 251</w:t>
            </w:r>
          </w:p>
        </w:tc>
        <w:tc>
          <w:tcPr>
            <w:tcW w:w="411" w:type="pct"/>
            <w:tcBorders>
              <w:top w:val="nil"/>
              <w:left w:val="nil"/>
              <w:bottom w:val="nil"/>
              <w:right w:val="nil"/>
            </w:tcBorders>
            <w:shd w:val="clear" w:color="auto" w:fill="auto"/>
            <w:noWrap/>
            <w:vAlign w:val="bottom"/>
            <w:hideMark/>
          </w:tcPr>
          <w:p w14:paraId="2525BD3E"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3 551</w:t>
            </w:r>
          </w:p>
        </w:tc>
      </w:tr>
      <w:tr w:rsidR="00DD531B" w:rsidRPr="00DD531B" w14:paraId="63988ED0" w14:textId="77777777" w:rsidTr="001F24AE">
        <w:trPr>
          <w:trHeight w:val="300"/>
        </w:trPr>
        <w:tc>
          <w:tcPr>
            <w:tcW w:w="2123" w:type="pct"/>
            <w:tcBorders>
              <w:top w:val="nil"/>
              <w:left w:val="nil"/>
              <w:bottom w:val="nil"/>
              <w:right w:val="nil"/>
            </w:tcBorders>
            <w:shd w:val="clear" w:color="auto" w:fill="auto"/>
            <w:noWrap/>
            <w:vAlign w:val="bottom"/>
            <w:hideMark/>
          </w:tcPr>
          <w:p w14:paraId="402A99B3" w14:textId="77777777" w:rsidR="00DD531B" w:rsidRPr="00D03732" w:rsidRDefault="00DD531B" w:rsidP="00DD531B">
            <w:pPr>
              <w:spacing w:after="0" w:line="240" w:lineRule="auto"/>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presun z minulých rokov § 8, v tom:</w:t>
            </w:r>
          </w:p>
        </w:tc>
        <w:tc>
          <w:tcPr>
            <w:tcW w:w="411" w:type="pct"/>
            <w:tcBorders>
              <w:top w:val="nil"/>
              <w:left w:val="nil"/>
              <w:bottom w:val="nil"/>
              <w:right w:val="nil"/>
            </w:tcBorders>
            <w:shd w:val="clear" w:color="auto" w:fill="auto"/>
            <w:noWrap/>
            <w:vAlign w:val="bottom"/>
            <w:hideMark/>
          </w:tcPr>
          <w:p w14:paraId="3D572F5C"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4 403</w:t>
            </w:r>
          </w:p>
        </w:tc>
        <w:tc>
          <w:tcPr>
            <w:tcW w:w="411" w:type="pct"/>
            <w:tcBorders>
              <w:top w:val="nil"/>
              <w:left w:val="nil"/>
              <w:bottom w:val="nil"/>
              <w:right w:val="nil"/>
            </w:tcBorders>
            <w:shd w:val="clear" w:color="auto" w:fill="auto"/>
            <w:noWrap/>
            <w:vAlign w:val="bottom"/>
            <w:hideMark/>
          </w:tcPr>
          <w:p w14:paraId="54C0B343"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4 264</w:t>
            </w:r>
          </w:p>
        </w:tc>
        <w:tc>
          <w:tcPr>
            <w:tcW w:w="411" w:type="pct"/>
            <w:tcBorders>
              <w:top w:val="nil"/>
              <w:left w:val="nil"/>
              <w:bottom w:val="nil"/>
              <w:right w:val="nil"/>
            </w:tcBorders>
            <w:shd w:val="clear" w:color="auto" w:fill="auto"/>
            <w:noWrap/>
            <w:vAlign w:val="bottom"/>
            <w:hideMark/>
          </w:tcPr>
          <w:p w14:paraId="7FA9FF2E"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411" w:type="pct"/>
            <w:tcBorders>
              <w:top w:val="nil"/>
              <w:left w:val="nil"/>
              <w:bottom w:val="nil"/>
              <w:right w:val="nil"/>
            </w:tcBorders>
            <w:shd w:val="clear" w:color="auto" w:fill="auto"/>
            <w:noWrap/>
            <w:vAlign w:val="bottom"/>
            <w:hideMark/>
          </w:tcPr>
          <w:p w14:paraId="37AF92DB"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4 235</w:t>
            </w:r>
          </w:p>
        </w:tc>
        <w:tc>
          <w:tcPr>
            <w:tcW w:w="411" w:type="pct"/>
            <w:tcBorders>
              <w:top w:val="nil"/>
              <w:left w:val="nil"/>
              <w:bottom w:val="nil"/>
              <w:right w:val="nil"/>
            </w:tcBorders>
            <w:shd w:val="clear" w:color="auto" w:fill="auto"/>
            <w:noWrap/>
            <w:vAlign w:val="bottom"/>
            <w:hideMark/>
          </w:tcPr>
          <w:p w14:paraId="65A19ADF"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411" w:type="pct"/>
            <w:tcBorders>
              <w:top w:val="nil"/>
              <w:left w:val="nil"/>
              <w:bottom w:val="nil"/>
              <w:right w:val="nil"/>
            </w:tcBorders>
            <w:shd w:val="clear" w:color="auto" w:fill="auto"/>
            <w:noWrap/>
            <w:vAlign w:val="bottom"/>
            <w:hideMark/>
          </w:tcPr>
          <w:p w14:paraId="03BF4983"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411" w:type="pct"/>
            <w:tcBorders>
              <w:top w:val="nil"/>
              <w:left w:val="nil"/>
              <w:bottom w:val="nil"/>
              <w:right w:val="nil"/>
            </w:tcBorders>
            <w:shd w:val="clear" w:color="auto" w:fill="auto"/>
            <w:noWrap/>
            <w:vAlign w:val="bottom"/>
            <w:hideMark/>
          </w:tcPr>
          <w:p w14:paraId="5C73DAAA"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r>
      <w:tr w:rsidR="00DD531B" w:rsidRPr="00DD531B" w14:paraId="1AD8A703" w14:textId="77777777" w:rsidTr="001F24AE">
        <w:trPr>
          <w:trHeight w:val="300"/>
        </w:trPr>
        <w:tc>
          <w:tcPr>
            <w:tcW w:w="2123" w:type="pct"/>
            <w:tcBorders>
              <w:top w:val="nil"/>
              <w:left w:val="nil"/>
              <w:bottom w:val="nil"/>
              <w:right w:val="nil"/>
            </w:tcBorders>
            <w:shd w:val="clear" w:color="auto" w:fill="auto"/>
            <w:noWrap/>
            <w:vAlign w:val="bottom"/>
            <w:hideMark/>
          </w:tcPr>
          <w:p w14:paraId="6EABA058"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štátny rozpočet</w:t>
            </w:r>
          </w:p>
        </w:tc>
        <w:tc>
          <w:tcPr>
            <w:tcW w:w="411" w:type="pct"/>
            <w:tcBorders>
              <w:top w:val="nil"/>
              <w:left w:val="nil"/>
              <w:bottom w:val="nil"/>
              <w:right w:val="nil"/>
            </w:tcBorders>
            <w:shd w:val="clear" w:color="auto" w:fill="auto"/>
            <w:noWrap/>
            <w:vAlign w:val="bottom"/>
            <w:hideMark/>
          </w:tcPr>
          <w:p w14:paraId="4933478E"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4 403</w:t>
            </w:r>
          </w:p>
        </w:tc>
        <w:tc>
          <w:tcPr>
            <w:tcW w:w="411" w:type="pct"/>
            <w:tcBorders>
              <w:top w:val="nil"/>
              <w:left w:val="nil"/>
              <w:bottom w:val="nil"/>
              <w:right w:val="nil"/>
            </w:tcBorders>
            <w:shd w:val="clear" w:color="auto" w:fill="auto"/>
            <w:noWrap/>
            <w:vAlign w:val="bottom"/>
            <w:hideMark/>
          </w:tcPr>
          <w:p w14:paraId="4F4CE88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4 238</w:t>
            </w:r>
          </w:p>
        </w:tc>
        <w:tc>
          <w:tcPr>
            <w:tcW w:w="411" w:type="pct"/>
            <w:tcBorders>
              <w:top w:val="nil"/>
              <w:left w:val="nil"/>
              <w:bottom w:val="nil"/>
              <w:right w:val="nil"/>
            </w:tcBorders>
            <w:shd w:val="clear" w:color="auto" w:fill="auto"/>
            <w:noWrap/>
            <w:vAlign w:val="bottom"/>
            <w:hideMark/>
          </w:tcPr>
          <w:p w14:paraId="548169FE"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11" w:type="pct"/>
            <w:tcBorders>
              <w:top w:val="nil"/>
              <w:left w:val="nil"/>
              <w:bottom w:val="nil"/>
              <w:right w:val="nil"/>
            </w:tcBorders>
            <w:shd w:val="clear" w:color="auto" w:fill="auto"/>
            <w:noWrap/>
            <w:vAlign w:val="bottom"/>
            <w:hideMark/>
          </w:tcPr>
          <w:p w14:paraId="03CC2525"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4 235</w:t>
            </w:r>
          </w:p>
        </w:tc>
        <w:tc>
          <w:tcPr>
            <w:tcW w:w="411" w:type="pct"/>
            <w:tcBorders>
              <w:top w:val="nil"/>
              <w:left w:val="nil"/>
              <w:bottom w:val="nil"/>
              <w:right w:val="nil"/>
            </w:tcBorders>
            <w:shd w:val="clear" w:color="auto" w:fill="auto"/>
            <w:noWrap/>
            <w:vAlign w:val="bottom"/>
            <w:hideMark/>
          </w:tcPr>
          <w:p w14:paraId="49B9B72F"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11" w:type="pct"/>
            <w:tcBorders>
              <w:top w:val="nil"/>
              <w:left w:val="nil"/>
              <w:bottom w:val="nil"/>
              <w:right w:val="nil"/>
            </w:tcBorders>
            <w:shd w:val="clear" w:color="auto" w:fill="auto"/>
            <w:noWrap/>
            <w:vAlign w:val="bottom"/>
            <w:hideMark/>
          </w:tcPr>
          <w:p w14:paraId="74B56F7F"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11" w:type="pct"/>
            <w:tcBorders>
              <w:top w:val="nil"/>
              <w:left w:val="nil"/>
              <w:bottom w:val="nil"/>
              <w:right w:val="nil"/>
            </w:tcBorders>
            <w:shd w:val="clear" w:color="auto" w:fill="auto"/>
            <w:noWrap/>
            <w:vAlign w:val="bottom"/>
            <w:hideMark/>
          </w:tcPr>
          <w:p w14:paraId="6F834AC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r>
      <w:tr w:rsidR="00DD531B" w:rsidRPr="00DD531B" w14:paraId="3E9FFEE9" w14:textId="77777777" w:rsidTr="001F24AE">
        <w:trPr>
          <w:trHeight w:val="300"/>
        </w:trPr>
        <w:tc>
          <w:tcPr>
            <w:tcW w:w="2123" w:type="pct"/>
            <w:tcBorders>
              <w:top w:val="nil"/>
              <w:left w:val="nil"/>
              <w:bottom w:val="single" w:sz="4" w:space="0" w:color="auto"/>
              <w:right w:val="nil"/>
            </w:tcBorders>
            <w:shd w:val="clear" w:color="auto" w:fill="auto"/>
            <w:noWrap/>
            <w:vAlign w:val="bottom"/>
            <w:hideMark/>
          </w:tcPr>
          <w:p w14:paraId="048BD52B"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prostriedky EÚ a spolufinancovanie zo ŠR</w:t>
            </w:r>
          </w:p>
        </w:tc>
        <w:tc>
          <w:tcPr>
            <w:tcW w:w="411" w:type="pct"/>
            <w:tcBorders>
              <w:top w:val="nil"/>
              <w:left w:val="nil"/>
              <w:bottom w:val="single" w:sz="4" w:space="0" w:color="auto"/>
              <w:right w:val="nil"/>
            </w:tcBorders>
            <w:shd w:val="clear" w:color="auto" w:fill="auto"/>
            <w:noWrap/>
            <w:vAlign w:val="bottom"/>
            <w:hideMark/>
          </w:tcPr>
          <w:p w14:paraId="037D7325"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11" w:type="pct"/>
            <w:tcBorders>
              <w:top w:val="nil"/>
              <w:left w:val="nil"/>
              <w:bottom w:val="single" w:sz="4" w:space="0" w:color="auto"/>
              <w:right w:val="nil"/>
            </w:tcBorders>
            <w:shd w:val="clear" w:color="auto" w:fill="auto"/>
            <w:noWrap/>
            <w:vAlign w:val="bottom"/>
            <w:hideMark/>
          </w:tcPr>
          <w:p w14:paraId="7EB6FF78"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26</w:t>
            </w:r>
          </w:p>
        </w:tc>
        <w:tc>
          <w:tcPr>
            <w:tcW w:w="411" w:type="pct"/>
            <w:tcBorders>
              <w:top w:val="nil"/>
              <w:left w:val="nil"/>
              <w:bottom w:val="single" w:sz="4" w:space="0" w:color="auto"/>
              <w:right w:val="nil"/>
            </w:tcBorders>
            <w:shd w:val="clear" w:color="auto" w:fill="auto"/>
            <w:noWrap/>
            <w:vAlign w:val="bottom"/>
            <w:hideMark/>
          </w:tcPr>
          <w:p w14:paraId="4D73A52A"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11" w:type="pct"/>
            <w:tcBorders>
              <w:top w:val="nil"/>
              <w:left w:val="nil"/>
              <w:bottom w:val="single" w:sz="4" w:space="0" w:color="auto"/>
              <w:right w:val="nil"/>
            </w:tcBorders>
            <w:shd w:val="clear" w:color="auto" w:fill="auto"/>
            <w:noWrap/>
            <w:vAlign w:val="bottom"/>
            <w:hideMark/>
          </w:tcPr>
          <w:p w14:paraId="68941EC9"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11" w:type="pct"/>
            <w:tcBorders>
              <w:top w:val="nil"/>
              <w:left w:val="nil"/>
              <w:bottom w:val="single" w:sz="4" w:space="0" w:color="auto"/>
              <w:right w:val="nil"/>
            </w:tcBorders>
            <w:shd w:val="clear" w:color="auto" w:fill="auto"/>
            <w:noWrap/>
            <w:vAlign w:val="bottom"/>
            <w:hideMark/>
          </w:tcPr>
          <w:p w14:paraId="156DFFC1"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11" w:type="pct"/>
            <w:tcBorders>
              <w:top w:val="nil"/>
              <w:left w:val="nil"/>
              <w:bottom w:val="single" w:sz="4" w:space="0" w:color="auto"/>
              <w:right w:val="nil"/>
            </w:tcBorders>
            <w:shd w:val="clear" w:color="auto" w:fill="auto"/>
            <w:noWrap/>
            <w:vAlign w:val="bottom"/>
            <w:hideMark/>
          </w:tcPr>
          <w:p w14:paraId="37F956D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11" w:type="pct"/>
            <w:tcBorders>
              <w:top w:val="nil"/>
              <w:left w:val="nil"/>
              <w:bottom w:val="single" w:sz="4" w:space="0" w:color="auto"/>
              <w:right w:val="nil"/>
            </w:tcBorders>
            <w:shd w:val="clear" w:color="auto" w:fill="auto"/>
            <w:noWrap/>
            <w:vAlign w:val="bottom"/>
            <w:hideMark/>
          </w:tcPr>
          <w:p w14:paraId="7384899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r>
    </w:tbl>
    <w:p w14:paraId="60A47279" w14:textId="1C0D6214" w:rsidR="00DD531B" w:rsidRPr="00D03732" w:rsidRDefault="00DD531B" w:rsidP="00D03732">
      <w:pPr>
        <w:keepNext/>
        <w:keepLines/>
        <w:spacing w:before="40" w:after="0"/>
        <w:outlineLvl w:val="1"/>
        <w:rPr>
          <w:rFonts w:ascii="Times New Roman" w:eastAsia="Times New Roman" w:hAnsi="Times New Roman" w:cs="Times New Roman"/>
          <w:b/>
          <w:color w:val="5B9BD5" w:themeColor="accent1"/>
          <w:sz w:val="24"/>
          <w:szCs w:val="24"/>
        </w:rPr>
      </w:pPr>
      <w:r w:rsidRPr="00D03732">
        <w:rPr>
          <w:rFonts w:ascii="Times New Roman" w:eastAsia="Times New Roman" w:hAnsi="Times New Roman" w:cs="Times New Roman"/>
          <w:b/>
          <w:color w:val="5B9BD5" w:themeColor="accent1"/>
          <w:sz w:val="24"/>
          <w:szCs w:val="24"/>
        </w:rPr>
        <w:lastRenderedPageBreak/>
        <w:t>Najvyšší kontrolný úrad SR</w:t>
      </w:r>
    </w:p>
    <w:p w14:paraId="1FC8796E" w14:textId="77777777" w:rsidR="00DD531B" w:rsidRPr="00D03732" w:rsidRDefault="00DD531B" w:rsidP="00DD531B">
      <w:pPr>
        <w:rPr>
          <w:rFonts w:ascii="Times New Roman" w:eastAsia="Calibri" w:hAnsi="Times New Roman" w:cs="Times New Roman"/>
          <w:color w:val="5B9BD5" w:themeColor="accent1"/>
        </w:rPr>
      </w:pPr>
    </w:p>
    <w:p w14:paraId="68E732E5" w14:textId="787E7288" w:rsidR="00DD531B" w:rsidRPr="00D03732" w:rsidRDefault="00D03732"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197" w:name="_Toc153013067"/>
      <w:r>
        <w:rPr>
          <w:rFonts w:ascii="Times New Roman" w:eastAsia="Times New Roman" w:hAnsi="Times New Roman" w:cs="Times New Roman"/>
          <w:b/>
          <w:iCs/>
          <w:color w:val="5B9BD5" w:themeColor="accent1"/>
          <w:sz w:val="20"/>
          <w:szCs w:val="20"/>
          <w:lang w:eastAsia="sk-SK"/>
        </w:rPr>
        <w:t xml:space="preserve">Tabuľka </w:t>
      </w:r>
      <w:r w:rsidRPr="00DD531B">
        <w:rPr>
          <w:rFonts w:ascii="Times New Roman" w:hAnsi="Times New Roman" w:cs="Times New Roman"/>
          <w:b/>
          <w:color w:val="5B9BD5" w:themeColor="accent1"/>
          <w:sz w:val="20"/>
          <w:szCs w:val="20"/>
        </w:rPr>
        <w:fldChar w:fldCharType="begin"/>
      </w:r>
      <w:r w:rsidRPr="00DD531B">
        <w:rPr>
          <w:rFonts w:ascii="Times New Roman" w:hAnsi="Times New Roman" w:cs="Times New Roman"/>
          <w:b/>
          <w:color w:val="5B9BD5" w:themeColor="accent1"/>
          <w:sz w:val="20"/>
          <w:szCs w:val="20"/>
        </w:rPr>
        <w:instrText xml:space="preserve"> SEQ Tabuľka \* ARABIC </w:instrText>
      </w:r>
      <w:r w:rsidRPr="00DD531B">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69</w:t>
      </w:r>
      <w:r w:rsidRPr="00DD531B">
        <w:rPr>
          <w:rFonts w:ascii="Times New Roman" w:hAnsi="Times New Roman" w:cs="Times New Roman"/>
          <w:b/>
          <w:color w:val="5B9BD5" w:themeColor="accent1"/>
          <w:sz w:val="20"/>
          <w:szCs w:val="20"/>
        </w:rPr>
        <w:fldChar w:fldCharType="end"/>
      </w:r>
      <w:r>
        <w:rPr>
          <w:rFonts w:ascii="Times New Roman" w:hAnsi="Times New Roman" w:cs="Times New Roman"/>
          <w:b/>
          <w:color w:val="5B9BD5" w:themeColor="accent1"/>
          <w:sz w:val="20"/>
          <w:szCs w:val="20"/>
        </w:rPr>
        <w:t xml:space="preserve"> - </w:t>
      </w:r>
      <w:r w:rsidR="00DD531B" w:rsidRPr="00D03732">
        <w:rPr>
          <w:rFonts w:ascii="Times New Roman" w:eastAsia="Times New Roman" w:hAnsi="Times New Roman" w:cs="Times New Roman"/>
          <w:b/>
          <w:iCs/>
          <w:color w:val="5B9BD5" w:themeColor="accent1"/>
          <w:sz w:val="20"/>
          <w:szCs w:val="20"/>
          <w:lang w:eastAsia="sk-SK"/>
        </w:rPr>
        <w:t>Príjmy kapitoly NKÚ SR</w:t>
      </w:r>
      <w:bookmarkEnd w:id="197"/>
    </w:p>
    <w:tbl>
      <w:tblPr>
        <w:tblW w:w="5000" w:type="pct"/>
        <w:tblCellMar>
          <w:left w:w="70" w:type="dxa"/>
          <w:right w:w="70" w:type="dxa"/>
        </w:tblCellMar>
        <w:tblLook w:val="04A0" w:firstRow="1" w:lastRow="0" w:firstColumn="1" w:lastColumn="0" w:noHBand="0" w:noVBand="1"/>
      </w:tblPr>
      <w:tblGrid>
        <w:gridCol w:w="3407"/>
        <w:gridCol w:w="810"/>
        <w:gridCol w:w="810"/>
        <w:gridCol w:w="809"/>
        <w:gridCol w:w="809"/>
        <w:gridCol w:w="809"/>
        <w:gridCol w:w="809"/>
        <w:gridCol w:w="809"/>
      </w:tblGrid>
      <w:tr w:rsidR="00DD531B" w:rsidRPr="00DD531B" w14:paraId="05953F6B" w14:textId="77777777" w:rsidTr="001F24AE">
        <w:trPr>
          <w:trHeight w:val="300"/>
        </w:trPr>
        <w:tc>
          <w:tcPr>
            <w:tcW w:w="1877" w:type="pct"/>
            <w:tcBorders>
              <w:top w:val="single" w:sz="4" w:space="0" w:color="auto"/>
              <w:left w:val="nil"/>
              <w:bottom w:val="single" w:sz="4" w:space="0" w:color="auto"/>
              <w:right w:val="nil"/>
            </w:tcBorders>
            <w:shd w:val="clear" w:color="auto" w:fill="auto"/>
            <w:noWrap/>
            <w:vAlign w:val="center"/>
            <w:hideMark/>
          </w:tcPr>
          <w:p w14:paraId="08987567" w14:textId="77777777" w:rsidR="00DD531B" w:rsidRPr="00D03732" w:rsidRDefault="00DD531B" w:rsidP="00DD531B">
            <w:pPr>
              <w:spacing w:after="0" w:line="240" w:lineRule="auto"/>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v tis. eur</w:t>
            </w:r>
          </w:p>
        </w:tc>
        <w:tc>
          <w:tcPr>
            <w:tcW w:w="446" w:type="pct"/>
            <w:tcBorders>
              <w:top w:val="single" w:sz="4" w:space="0" w:color="auto"/>
              <w:left w:val="nil"/>
              <w:bottom w:val="single" w:sz="4" w:space="0" w:color="auto"/>
              <w:right w:val="nil"/>
            </w:tcBorders>
            <w:shd w:val="clear" w:color="auto" w:fill="auto"/>
            <w:noWrap/>
            <w:vAlign w:val="center"/>
            <w:hideMark/>
          </w:tcPr>
          <w:p w14:paraId="5BDCADB5"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2021 S</w:t>
            </w:r>
          </w:p>
        </w:tc>
        <w:tc>
          <w:tcPr>
            <w:tcW w:w="446" w:type="pct"/>
            <w:tcBorders>
              <w:top w:val="single" w:sz="4" w:space="0" w:color="auto"/>
              <w:left w:val="nil"/>
              <w:bottom w:val="single" w:sz="4" w:space="0" w:color="auto"/>
              <w:right w:val="nil"/>
            </w:tcBorders>
            <w:shd w:val="clear" w:color="auto" w:fill="auto"/>
            <w:noWrap/>
            <w:vAlign w:val="center"/>
            <w:hideMark/>
          </w:tcPr>
          <w:p w14:paraId="3C00E8EC"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2022 S</w:t>
            </w:r>
          </w:p>
        </w:tc>
        <w:tc>
          <w:tcPr>
            <w:tcW w:w="446" w:type="pct"/>
            <w:tcBorders>
              <w:top w:val="single" w:sz="4" w:space="0" w:color="auto"/>
              <w:left w:val="nil"/>
              <w:bottom w:val="single" w:sz="4" w:space="0" w:color="auto"/>
              <w:right w:val="nil"/>
            </w:tcBorders>
            <w:shd w:val="clear" w:color="auto" w:fill="auto"/>
            <w:noWrap/>
            <w:vAlign w:val="center"/>
            <w:hideMark/>
          </w:tcPr>
          <w:p w14:paraId="09F47C5B"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2023 R</w:t>
            </w:r>
          </w:p>
        </w:tc>
        <w:tc>
          <w:tcPr>
            <w:tcW w:w="446" w:type="pct"/>
            <w:tcBorders>
              <w:top w:val="single" w:sz="4" w:space="0" w:color="auto"/>
              <w:left w:val="nil"/>
              <w:bottom w:val="single" w:sz="4" w:space="0" w:color="auto"/>
              <w:right w:val="nil"/>
            </w:tcBorders>
            <w:shd w:val="clear" w:color="auto" w:fill="auto"/>
            <w:noWrap/>
            <w:vAlign w:val="center"/>
            <w:hideMark/>
          </w:tcPr>
          <w:p w14:paraId="035361A4"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2023 OS</w:t>
            </w:r>
          </w:p>
        </w:tc>
        <w:tc>
          <w:tcPr>
            <w:tcW w:w="446" w:type="pct"/>
            <w:tcBorders>
              <w:top w:val="single" w:sz="4" w:space="0" w:color="auto"/>
              <w:left w:val="nil"/>
              <w:bottom w:val="single" w:sz="4" w:space="0" w:color="auto"/>
              <w:right w:val="nil"/>
            </w:tcBorders>
            <w:shd w:val="clear" w:color="auto" w:fill="auto"/>
            <w:noWrap/>
            <w:vAlign w:val="center"/>
            <w:hideMark/>
          </w:tcPr>
          <w:p w14:paraId="30D574FF"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2024 N</w:t>
            </w:r>
          </w:p>
        </w:tc>
        <w:tc>
          <w:tcPr>
            <w:tcW w:w="446" w:type="pct"/>
            <w:tcBorders>
              <w:top w:val="single" w:sz="4" w:space="0" w:color="auto"/>
              <w:left w:val="nil"/>
              <w:bottom w:val="single" w:sz="4" w:space="0" w:color="auto"/>
              <w:right w:val="nil"/>
            </w:tcBorders>
            <w:shd w:val="clear" w:color="auto" w:fill="auto"/>
            <w:noWrap/>
            <w:vAlign w:val="center"/>
            <w:hideMark/>
          </w:tcPr>
          <w:p w14:paraId="07F618C2"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2025 N</w:t>
            </w:r>
          </w:p>
        </w:tc>
        <w:tc>
          <w:tcPr>
            <w:tcW w:w="446" w:type="pct"/>
            <w:tcBorders>
              <w:top w:val="single" w:sz="4" w:space="0" w:color="auto"/>
              <w:left w:val="nil"/>
              <w:bottom w:val="single" w:sz="4" w:space="0" w:color="auto"/>
              <w:right w:val="nil"/>
            </w:tcBorders>
            <w:shd w:val="clear" w:color="auto" w:fill="auto"/>
            <w:noWrap/>
            <w:vAlign w:val="center"/>
            <w:hideMark/>
          </w:tcPr>
          <w:p w14:paraId="072084D9"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2026 N</w:t>
            </w:r>
          </w:p>
        </w:tc>
      </w:tr>
      <w:tr w:rsidR="00DD531B" w:rsidRPr="00DD531B" w14:paraId="791E1B16" w14:textId="77777777" w:rsidTr="001F24AE">
        <w:trPr>
          <w:trHeight w:val="300"/>
        </w:trPr>
        <w:tc>
          <w:tcPr>
            <w:tcW w:w="1877" w:type="pct"/>
            <w:tcBorders>
              <w:top w:val="nil"/>
              <w:left w:val="nil"/>
              <w:bottom w:val="nil"/>
              <w:right w:val="nil"/>
            </w:tcBorders>
            <w:shd w:val="clear" w:color="auto" w:fill="auto"/>
            <w:noWrap/>
            <w:vAlign w:val="bottom"/>
            <w:hideMark/>
          </w:tcPr>
          <w:p w14:paraId="49AEA365" w14:textId="77777777" w:rsidR="00DD531B" w:rsidRPr="00D03732" w:rsidRDefault="00DD531B" w:rsidP="00DD531B">
            <w:pPr>
              <w:spacing w:after="0" w:line="240" w:lineRule="auto"/>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Príjmy kapitoly spolu</w:t>
            </w:r>
          </w:p>
        </w:tc>
        <w:tc>
          <w:tcPr>
            <w:tcW w:w="446" w:type="pct"/>
            <w:tcBorders>
              <w:top w:val="nil"/>
              <w:left w:val="nil"/>
              <w:bottom w:val="nil"/>
              <w:right w:val="nil"/>
            </w:tcBorders>
            <w:shd w:val="clear" w:color="auto" w:fill="auto"/>
            <w:noWrap/>
            <w:vAlign w:val="bottom"/>
            <w:hideMark/>
          </w:tcPr>
          <w:p w14:paraId="4BBF2405"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11</w:t>
            </w:r>
          </w:p>
        </w:tc>
        <w:tc>
          <w:tcPr>
            <w:tcW w:w="446" w:type="pct"/>
            <w:tcBorders>
              <w:top w:val="nil"/>
              <w:left w:val="nil"/>
              <w:bottom w:val="nil"/>
              <w:right w:val="nil"/>
            </w:tcBorders>
            <w:shd w:val="clear" w:color="auto" w:fill="auto"/>
            <w:noWrap/>
            <w:vAlign w:val="bottom"/>
            <w:hideMark/>
          </w:tcPr>
          <w:p w14:paraId="7ED5B4D8"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7</w:t>
            </w:r>
          </w:p>
        </w:tc>
        <w:tc>
          <w:tcPr>
            <w:tcW w:w="446" w:type="pct"/>
            <w:tcBorders>
              <w:top w:val="nil"/>
              <w:left w:val="nil"/>
              <w:bottom w:val="nil"/>
              <w:right w:val="nil"/>
            </w:tcBorders>
            <w:shd w:val="clear" w:color="auto" w:fill="auto"/>
            <w:noWrap/>
            <w:vAlign w:val="bottom"/>
            <w:hideMark/>
          </w:tcPr>
          <w:p w14:paraId="6787CB49"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20</w:t>
            </w:r>
          </w:p>
        </w:tc>
        <w:tc>
          <w:tcPr>
            <w:tcW w:w="446" w:type="pct"/>
            <w:tcBorders>
              <w:top w:val="nil"/>
              <w:left w:val="nil"/>
              <w:bottom w:val="nil"/>
              <w:right w:val="nil"/>
            </w:tcBorders>
            <w:shd w:val="clear" w:color="auto" w:fill="auto"/>
            <w:noWrap/>
            <w:vAlign w:val="bottom"/>
            <w:hideMark/>
          </w:tcPr>
          <w:p w14:paraId="5F8EA36F"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20</w:t>
            </w:r>
          </w:p>
        </w:tc>
        <w:tc>
          <w:tcPr>
            <w:tcW w:w="446" w:type="pct"/>
            <w:tcBorders>
              <w:top w:val="nil"/>
              <w:left w:val="nil"/>
              <w:bottom w:val="nil"/>
              <w:right w:val="nil"/>
            </w:tcBorders>
            <w:shd w:val="clear" w:color="auto" w:fill="auto"/>
            <w:noWrap/>
            <w:vAlign w:val="bottom"/>
            <w:hideMark/>
          </w:tcPr>
          <w:p w14:paraId="7E20B316"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12</w:t>
            </w:r>
          </w:p>
        </w:tc>
        <w:tc>
          <w:tcPr>
            <w:tcW w:w="446" w:type="pct"/>
            <w:tcBorders>
              <w:top w:val="nil"/>
              <w:left w:val="nil"/>
              <w:bottom w:val="nil"/>
              <w:right w:val="nil"/>
            </w:tcBorders>
            <w:shd w:val="clear" w:color="auto" w:fill="auto"/>
            <w:noWrap/>
            <w:vAlign w:val="bottom"/>
            <w:hideMark/>
          </w:tcPr>
          <w:p w14:paraId="4783440F"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12</w:t>
            </w:r>
          </w:p>
        </w:tc>
        <w:tc>
          <w:tcPr>
            <w:tcW w:w="446" w:type="pct"/>
            <w:tcBorders>
              <w:top w:val="nil"/>
              <w:left w:val="nil"/>
              <w:bottom w:val="nil"/>
              <w:right w:val="nil"/>
            </w:tcBorders>
            <w:shd w:val="clear" w:color="auto" w:fill="auto"/>
            <w:noWrap/>
            <w:vAlign w:val="bottom"/>
            <w:hideMark/>
          </w:tcPr>
          <w:p w14:paraId="11D6D10A" w14:textId="77777777" w:rsidR="00DD531B" w:rsidRPr="00D0373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12</w:t>
            </w:r>
          </w:p>
        </w:tc>
      </w:tr>
      <w:tr w:rsidR="00DD531B" w:rsidRPr="00DD531B" w14:paraId="4FA1CB6B" w14:textId="77777777" w:rsidTr="001F24AE">
        <w:trPr>
          <w:trHeight w:val="300"/>
        </w:trPr>
        <w:tc>
          <w:tcPr>
            <w:tcW w:w="1877" w:type="pct"/>
            <w:tcBorders>
              <w:top w:val="nil"/>
              <w:left w:val="nil"/>
              <w:bottom w:val="single" w:sz="4" w:space="0" w:color="auto"/>
              <w:right w:val="nil"/>
            </w:tcBorders>
            <w:shd w:val="clear" w:color="auto" w:fill="auto"/>
            <w:noWrap/>
            <w:vAlign w:val="bottom"/>
            <w:hideMark/>
          </w:tcPr>
          <w:p w14:paraId="13020C83" w14:textId="77777777" w:rsidR="00DD531B" w:rsidRPr="00D03732" w:rsidRDefault="00DD531B" w:rsidP="00DD531B">
            <w:pPr>
              <w:spacing w:after="0" w:line="240" w:lineRule="auto"/>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nedaňové príjmy</w:t>
            </w:r>
          </w:p>
        </w:tc>
        <w:tc>
          <w:tcPr>
            <w:tcW w:w="446" w:type="pct"/>
            <w:tcBorders>
              <w:top w:val="nil"/>
              <w:left w:val="nil"/>
              <w:bottom w:val="single" w:sz="4" w:space="0" w:color="auto"/>
              <w:right w:val="nil"/>
            </w:tcBorders>
            <w:shd w:val="clear" w:color="auto" w:fill="auto"/>
            <w:noWrap/>
            <w:vAlign w:val="bottom"/>
            <w:hideMark/>
          </w:tcPr>
          <w:p w14:paraId="50A6B84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11</w:t>
            </w:r>
          </w:p>
        </w:tc>
        <w:tc>
          <w:tcPr>
            <w:tcW w:w="446" w:type="pct"/>
            <w:tcBorders>
              <w:top w:val="nil"/>
              <w:left w:val="nil"/>
              <w:bottom w:val="single" w:sz="4" w:space="0" w:color="auto"/>
              <w:right w:val="nil"/>
            </w:tcBorders>
            <w:shd w:val="clear" w:color="auto" w:fill="auto"/>
            <w:noWrap/>
            <w:vAlign w:val="bottom"/>
            <w:hideMark/>
          </w:tcPr>
          <w:p w14:paraId="26F79E6F"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7</w:t>
            </w:r>
          </w:p>
        </w:tc>
        <w:tc>
          <w:tcPr>
            <w:tcW w:w="446" w:type="pct"/>
            <w:tcBorders>
              <w:top w:val="nil"/>
              <w:left w:val="nil"/>
              <w:bottom w:val="single" w:sz="4" w:space="0" w:color="auto"/>
              <w:right w:val="nil"/>
            </w:tcBorders>
            <w:shd w:val="clear" w:color="auto" w:fill="auto"/>
            <w:noWrap/>
            <w:vAlign w:val="bottom"/>
            <w:hideMark/>
          </w:tcPr>
          <w:p w14:paraId="0485D5B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20</w:t>
            </w:r>
          </w:p>
        </w:tc>
        <w:tc>
          <w:tcPr>
            <w:tcW w:w="446" w:type="pct"/>
            <w:tcBorders>
              <w:top w:val="nil"/>
              <w:left w:val="nil"/>
              <w:bottom w:val="single" w:sz="4" w:space="0" w:color="auto"/>
              <w:right w:val="nil"/>
            </w:tcBorders>
            <w:shd w:val="clear" w:color="auto" w:fill="auto"/>
            <w:noWrap/>
            <w:vAlign w:val="bottom"/>
            <w:hideMark/>
          </w:tcPr>
          <w:p w14:paraId="1D650C66"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20</w:t>
            </w:r>
          </w:p>
        </w:tc>
        <w:tc>
          <w:tcPr>
            <w:tcW w:w="446" w:type="pct"/>
            <w:tcBorders>
              <w:top w:val="nil"/>
              <w:left w:val="nil"/>
              <w:bottom w:val="single" w:sz="4" w:space="0" w:color="auto"/>
              <w:right w:val="nil"/>
            </w:tcBorders>
            <w:shd w:val="clear" w:color="auto" w:fill="auto"/>
            <w:noWrap/>
            <w:vAlign w:val="bottom"/>
            <w:hideMark/>
          </w:tcPr>
          <w:p w14:paraId="48997800"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12</w:t>
            </w:r>
          </w:p>
        </w:tc>
        <w:tc>
          <w:tcPr>
            <w:tcW w:w="446" w:type="pct"/>
            <w:tcBorders>
              <w:top w:val="nil"/>
              <w:left w:val="nil"/>
              <w:bottom w:val="single" w:sz="4" w:space="0" w:color="auto"/>
              <w:right w:val="nil"/>
            </w:tcBorders>
            <w:shd w:val="clear" w:color="auto" w:fill="auto"/>
            <w:noWrap/>
            <w:vAlign w:val="bottom"/>
            <w:hideMark/>
          </w:tcPr>
          <w:p w14:paraId="429D74C3"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12</w:t>
            </w:r>
          </w:p>
        </w:tc>
        <w:tc>
          <w:tcPr>
            <w:tcW w:w="446" w:type="pct"/>
            <w:tcBorders>
              <w:top w:val="nil"/>
              <w:left w:val="nil"/>
              <w:bottom w:val="single" w:sz="4" w:space="0" w:color="auto"/>
              <w:right w:val="nil"/>
            </w:tcBorders>
            <w:shd w:val="clear" w:color="auto" w:fill="auto"/>
            <w:noWrap/>
            <w:vAlign w:val="bottom"/>
            <w:hideMark/>
          </w:tcPr>
          <w:p w14:paraId="2D9531BC"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12</w:t>
            </w:r>
          </w:p>
        </w:tc>
      </w:tr>
    </w:tbl>
    <w:p w14:paraId="0D05A4B6" w14:textId="77777777" w:rsidR="00DD531B" w:rsidRPr="00DD531B" w:rsidRDefault="00DD531B" w:rsidP="00DD531B">
      <w:pPr>
        <w:rPr>
          <w:rFonts w:ascii="Times New Roman" w:eastAsia="Calibri" w:hAnsi="Times New Roman" w:cs="Times New Roman"/>
        </w:rPr>
      </w:pPr>
    </w:p>
    <w:p w14:paraId="2C8C8F9E" w14:textId="767FBFEE" w:rsidR="00DD531B" w:rsidRPr="00D03732" w:rsidRDefault="00D03732"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198" w:name="_Toc153013068"/>
      <w:r w:rsidRPr="00D03732">
        <w:rPr>
          <w:rFonts w:ascii="Times New Roman" w:eastAsia="Times New Roman" w:hAnsi="Times New Roman" w:cs="Times New Roman"/>
          <w:b/>
          <w:iCs/>
          <w:color w:val="5B9BD5" w:themeColor="accent1"/>
          <w:sz w:val="20"/>
          <w:szCs w:val="20"/>
          <w:lang w:eastAsia="sk-SK"/>
        </w:rPr>
        <w:t xml:space="preserve">Tabuľka </w:t>
      </w:r>
      <w:r w:rsidRPr="00D03732">
        <w:rPr>
          <w:rFonts w:ascii="Times New Roman" w:hAnsi="Times New Roman" w:cs="Times New Roman"/>
          <w:b/>
          <w:color w:val="5B9BD5" w:themeColor="accent1"/>
          <w:sz w:val="20"/>
          <w:szCs w:val="20"/>
        </w:rPr>
        <w:fldChar w:fldCharType="begin"/>
      </w:r>
      <w:r w:rsidRPr="00D03732">
        <w:rPr>
          <w:rFonts w:ascii="Times New Roman" w:hAnsi="Times New Roman" w:cs="Times New Roman"/>
          <w:b/>
          <w:color w:val="5B9BD5" w:themeColor="accent1"/>
          <w:sz w:val="20"/>
          <w:szCs w:val="20"/>
        </w:rPr>
        <w:instrText xml:space="preserve"> SEQ Tabuľka \* ARABIC </w:instrText>
      </w:r>
      <w:r w:rsidRPr="00D03732">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70</w:t>
      </w:r>
      <w:r w:rsidRPr="00D03732">
        <w:rPr>
          <w:rFonts w:ascii="Times New Roman" w:hAnsi="Times New Roman" w:cs="Times New Roman"/>
          <w:b/>
          <w:color w:val="5B9BD5" w:themeColor="accent1"/>
          <w:sz w:val="20"/>
          <w:szCs w:val="20"/>
        </w:rPr>
        <w:fldChar w:fldCharType="end"/>
      </w:r>
      <w:r w:rsidRPr="00D03732">
        <w:rPr>
          <w:rFonts w:ascii="Times New Roman" w:hAnsi="Times New Roman" w:cs="Times New Roman"/>
          <w:b/>
          <w:color w:val="5B9BD5" w:themeColor="accent1"/>
          <w:sz w:val="20"/>
          <w:szCs w:val="20"/>
        </w:rPr>
        <w:t xml:space="preserve"> - </w:t>
      </w:r>
      <w:r w:rsidR="00DD531B" w:rsidRPr="00D03732">
        <w:rPr>
          <w:rFonts w:ascii="Times New Roman" w:eastAsia="Times New Roman" w:hAnsi="Times New Roman" w:cs="Times New Roman"/>
          <w:b/>
          <w:iCs/>
          <w:color w:val="5B9BD5" w:themeColor="accent1"/>
          <w:sz w:val="20"/>
          <w:szCs w:val="20"/>
          <w:lang w:eastAsia="sk-SK"/>
        </w:rPr>
        <w:t>Výdavky kapitoly NKÚ SR</w:t>
      </w:r>
      <w:bookmarkEnd w:id="198"/>
    </w:p>
    <w:tbl>
      <w:tblPr>
        <w:tblW w:w="5000" w:type="pct"/>
        <w:tblCellMar>
          <w:left w:w="70" w:type="dxa"/>
          <w:right w:w="70" w:type="dxa"/>
        </w:tblCellMar>
        <w:tblLook w:val="04A0" w:firstRow="1" w:lastRow="0" w:firstColumn="1" w:lastColumn="0" w:noHBand="0" w:noVBand="1"/>
      </w:tblPr>
      <w:tblGrid>
        <w:gridCol w:w="3572"/>
        <w:gridCol w:w="785"/>
        <w:gridCol w:w="785"/>
        <w:gridCol w:w="786"/>
        <w:gridCol w:w="786"/>
        <w:gridCol w:w="786"/>
        <w:gridCol w:w="786"/>
        <w:gridCol w:w="786"/>
      </w:tblGrid>
      <w:tr w:rsidR="00DD531B" w:rsidRPr="00DD531B" w14:paraId="4DD49902" w14:textId="77777777" w:rsidTr="001F24AE">
        <w:trPr>
          <w:trHeight w:val="300"/>
        </w:trPr>
        <w:tc>
          <w:tcPr>
            <w:tcW w:w="1877" w:type="pct"/>
            <w:tcBorders>
              <w:top w:val="single" w:sz="4" w:space="0" w:color="auto"/>
              <w:left w:val="nil"/>
              <w:bottom w:val="single" w:sz="4" w:space="0" w:color="auto"/>
              <w:right w:val="nil"/>
            </w:tcBorders>
            <w:shd w:val="clear" w:color="auto" w:fill="auto"/>
            <w:noWrap/>
            <w:vAlign w:val="center"/>
            <w:hideMark/>
          </w:tcPr>
          <w:p w14:paraId="276E6E67" w14:textId="77777777" w:rsidR="00DD531B" w:rsidRPr="00D03732" w:rsidRDefault="00DD531B" w:rsidP="00DD531B">
            <w:pPr>
              <w:spacing w:after="0" w:line="240" w:lineRule="auto"/>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v tis. eur</w:t>
            </w:r>
          </w:p>
        </w:tc>
        <w:tc>
          <w:tcPr>
            <w:tcW w:w="446" w:type="pct"/>
            <w:tcBorders>
              <w:top w:val="single" w:sz="4" w:space="0" w:color="auto"/>
              <w:left w:val="nil"/>
              <w:bottom w:val="single" w:sz="4" w:space="0" w:color="auto"/>
              <w:right w:val="nil"/>
            </w:tcBorders>
            <w:shd w:val="clear" w:color="auto" w:fill="auto"/>
            <w:noWrap/>
            <w:vAlign w:val="center"/>
            <w:hideMark/>
          </w:tcPr>
          <w:p w14:paraId="528E1C44"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2021 S</w:t>
            </w:r>
          </w:p>
        </w:tc>
        <w:tc>
          <w:tcPr>
            <w:tcW w:w="446" w:type="pct"/>
            <w:tcBorders>
              <w:top w:val="single" w:sz="4" w:space="0" w:color="auto"/>
              <w:left w:val="nil"/>
              <w:bottom w:val="single" w:sz="4" w:space="0" w:color="auto"/>
              <w:right w:val="nil"/>
            </w:tcBorders>
            <w:shd w:val="clear" w:color="auto" w:fill="auto"/>
            <w:noWrap/>
            <w:vAlign w:val="center"/>
            <w:hideMark/>
          </w:tcPr>
          <w:p w14:paraId="30DF350B"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2022 S</w:t>
            </w:r>
          </w:p>
        </w:tc>
        <w:tc>
          <w:tcPr>
            <w:tcW w:w="446" w:type="pct"/>
            <w:tcBorders>
              <w:top w:val="single" w:sz="4" w:space="0" w:color="auto"/>
              <w:left w:val="nil"/>
              <w:bottom w:val="single" w:sz="4" w:space="0" w:color="auto"/>
              <w:right w:val="nil"/>
            </w:tcBorders>
            <w:shd w:val="clear" w:color="auto" w:fill="auto"/>
            <w:noWrap/>
            <w:vAlign w:val="center"/>
            <w:hideMark/>
          </w:tcPr>
          <w:p w14:paraId="7E02C6C0"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2023 R</w:t>
            </w:r>
          </w:p>
        </w:tc>
        <w:tc>
          <w:tcPr>
            <w:tcW w:w="446" w:type="pct"/>
            <w:tcBorders>
              <w:top w:val="single" w:sz="4" w:space="0" w:color="auto"/>
              <w:left w:val="nil"/>
              <w:bottom w:val="single" w:sz="4" w:space="0" w:color="auto"/>
              <w:right w:val="nil"/>
            </w:tcBorders>
            <w:shd w:val="clear" w:color="auto" w:fill="auto"/>
            <w:noWrap/>
            <w:vAlign w:val="center"/>
            <w:hideMark/>
          </w:tcPr>
          <w:p w14:paraId="4B8FB932"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2023 OS</w:t>
            </w:r>
          </w:p>
        </w:tc>
        <w:tc>
          <w:tcPr>
            <w:tcW w:w="446" w:type="pct"/>
            <w:tcBorders>
              <w:top w:val="single" w:sz="4" w:space="0" w:color="auto"/>
              <w:left w:val="nil"/>
              <w:bottom w:val="single" w:sz="4" w:space="0" w:color="auto"/>
              <w:right w:val="nil"/>
            </w:tcBorders>
            <w:shd w:val="clear" w:color="auto" w:fill="auto"/>
            <w:noWrap/>
            <w:vAlign w:val="center"/>
            <w:hideMark/>
          </w:tcPr>
          <w:p w14:paraId="63C0A055"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2024 N</w:t>
            </w:r>
          </w:p>
        </w:tc>
        <w:tc>
          <w:tcPr>
            <w:tcW w:w="446" w:type="pct"/>
            <w:tcBorders>
              <w:top w:val="single" w:sz="4" w:space="0" w:color="auto"/>
              <w:left w:val="nil"/>
              <w:bottom w:val="single" w:sz="4" w:space="0" w:color="auto"/>
              <w:right w:val="nil"/>
            </w:tcBorders>
            <w:shd w:val="clear" w:color="auto" w:fill="auto"/>
            <w:noWrap/>
            <w:vAlign w:val="center"/>
            <w:hideMark/>
          </w:tcPr>
          <w:p w14:paraId="6FD3CFAB"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2025 N</w:t>
            </w:r>
          </w:p>
        </w:tc>
        <w:tc>
          <w:tcPr>
            <w:tcW w:w="446" w:type="pct"/>
            <w:tcBorders>
              <w:top w:val="single" w:sz="4" w:space="0" w:color="auto"/>
              <w:left w:val="nil"/>
              <w:bottom w:val="single" w:sz="4" w:space="0" w:color="auto"/>
              <w:right w:val="nil"/>
            </w:tcBorders>
            <w:shd w:val="clear" w:color="auto" w:fill="auto"/>
            <w:noWrap/>
            <w:vAlign w:val="center"/>
            <w:hideMark/>
          </w:tcPr>
          <w:p w14:paraId="2BD2B774"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2026 N</w:t>
            </w:r>
          </w:p>
        </w:tc>
      </w:tr>
      <w:tr w:rsidR="00DD531B" w:rsidRPr="00DD531B" w14:paraId="6B4EF739" w14:textId="77777777" w:rsidTr="001F24AE">
        <w:trPr>
          <w:trHeight w:val="300"/>
        </w:trPr>
        <w:tc>
          <w:tcPr>
            <w:tcW w:w="1877" w:type="pct"/>
            <w:tcBorders>
              <w:top w:val="nil"/>
              <w:left w:val="nil"/>
              <w:bottom w:val="nil"/>
              <w:right w:val="nil"/>
            </w:tcBorders>
            <w:shd w:val="clear" w:color="auto" w:fill="auto"/>
            <w:noWrap/>
            <w:vAlign w:val="center"/>
            <w:hideMark/>
          </w:tcPr>
          <w:p w14:paraId="6FFEC095" w14:textId="77777777" w:rsidR="00DD531B" w:rsidRPr="00D03732" w:rsidRDefault="00DD531B" w:rsidP="00DD531B">
            <w:pPr>
              <w:spacing w:after="0" w:line="240" w:lineRule="auto"/>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Výdavky kapitoly spolu</w:t>
            </w:r>
          </w:p>
        </w:tc>
        <w:tc>
          <w:tcPr>
            <w:tcW w:w="446" w:type="pct"/>
            <w:tcBorders>
              <w:top w:val="nil"/>
              <w:left w:val="nil"/>
              <w:bottom w:val="nil"/>
              <w:right w:val="nil"/>
            </w:tcBorders>
            <w:shd w:val="clear" w:color="auto" w:fill="auto"/>
            <w:noWrap/>
            <w:vAlign w:val="center"/>
            <w:hideMark/>
          </w:tcPr>
          <w:p w14:paraId="1B2F12AF"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13 349</w:t>
            </w:r>
          </w:p>
        </w:tc>
        <w:tc>
          <w:tcPr>
            <w:tcW w:w="446" w:type="pct"/>
            <w:tcBorders>
              <w:top w:val="nil"/>
              <w:left w:val="nil"/>
              <w:bottom w:val="nil"/>
              <w:right w:val="nil"/>
            </w:tcBorders>
            <w:shd w:val="clear" w:color="auto" w:fill="auto"/>
            <w:noWrap/>
            <w:vAlign w:val="center"/>
            <w:hideMark/>
          </w:tcPr>
          <w:p w14:paraId="77EC9578"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14 286</w:t>
            </w:r>
          </w:p>
        </w:tc>
        <w:tc>
          <w:tcPr>
            <w:tcW w:w="446" w:type="pct"/>
            <w:tcBorders>
              <w:top w:val="nil"/>
              <w:left w:val="nil"/>
              <w:bottom w:val="nil"/>
              <w:right w:val="nil"/>
            </w:tcBorders>
            <w:shd w:val="clear" w:color="auto" w:fill="auto"/>
            <w:noWrap/>
            <w:vAlign w:val="center"/>
            <w:hideMark/>
          </w:tcPr>
          <w:p w14:paraId="4A2F0AE3"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13 904</w:t>
            </w:r>
          </w:p>
        </w:tc>
        <w:tc>
          <w:tcPr>
            <w:tcW w:w="446" w:type="pct"/>
            <w:tcBorders>
              <w:top w:val="nil"/>
              <w:left w:val="nil"/>
              <w:bottom w:val="nil"/>
              <w:right w:val="nil"/>
            </w:tcBorders>
            <w:shd w:val="clear" w:color="auto" w:fill="auto"/>
            <w:noWrap/>
            <w:vAlign w:val="center"/>
            <w:hideMark/>
          </w:tcPr>
          <w:p w14:paraId="09C18EB2"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15 465</w:t>
            </w:r>
          </w:p>
        </w:tc>
        <w:tc>
          <w:tcPr>
            <w:tcW w:w="446" w:type="pct"/>
            <w:tcBorders>
              <w:top w:val="nil"/>
              <w:left w:val="nil"/>
              <w:bottom w:val="nil"/>
              <w:right w:val="nil"/>
            </w:tcBorders>
            <w:shd w:val="clear" w:color="auto" w:fill="auto"/>
            <w:noWrap/>
            <w:vAlign w:val="center"/>
            <w:hideMark/>
          </w:tcPr>
          <w:p w14:paraId="618BE92D"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14 440</w:t>
            </w:r>
          </w:p>
        </w:tc>
        <w:tc>
          <w:tcPr>
            <w:tcW w:w="446" w:type="pct"/>
            <w:tcBorders>
              <w:top w:val="nil"/>
              <w:left w:val="nil"/>
              <w:bottom w:val="nil"/>
              <w:right w:val="nil"/>
            </w:tcBorders>
            <w:shd w:val="clear" w:color="auto" w:fill="auto"/>
            <w:noWrap/>
            <w:vAlign w:val="center"/>
            <w:hideMark/>
          </w:tcPr>
          <w:p w14:paraId="4F7D4B1F"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14 626</w:t>
            </w:r>
          </w:p>
        </w:tc>
        <w:tc>
          <w:tcPr>
            <w:tcW w:w="446" w:type="pct"/>
            <w:tcBorders>
              <w:top w:val="nil"/>
              <w:left w:val="nil"/>
              <w:bottom w:val="nil"/>
              <w:right w:val="nil"/>
            </w:tcBorders>
            <w:shd w:val="clear" w:color="auto" w:fill="auto"/>
            <w:noWrap/>
            <w:vAlign w:val="center"/>
            <w:hideMark/>
          </w:tcPr>
          <w:p w14:paraId="14B7D40F"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14 566</w:t>
            </w:r>
          </w:p>
        </w:tc>
      </w:tr>
      <w:tr w:rsidR="00DD531B" w:rsidRPr="00DD531B" w14:paraId="3F93AFF6" w14:textId="77777777" w:rsidTr="001F24AE">
        <w:trPr>
          <w:trHeight w:val="300"/>
        </w:trPr>
        <w:tc>
          <w:tcPr>
            <w:tcW w:w="1877" w:type="pct"/>
            <w:tcBorders>
              <w:top w:val="nil"/>
              <w:left w:val="nil"/>
              <w:bottom w:val="nil"/>
              <w:right w:val="nil"/>
            </w:tcBorders>
            <w:shd w:val="clear" w:color="auto" w:fill="auto"/>
            <w:noWrap/>
            <w:vAlign w:val="bottom"/>
            <w:hideMark/>
          </w:tcPr>
          <w:p w14:paraId="4F6F3340" w14:textId="77777777" w:rsidR="00DD531B" w:rsidRPr="00D03732" w:rsidRDefault="00DD531B" w:rsidP="00DD531B">
            <w:pPr>
              <w:spacing w:after="0" w:line="240" w:lineRule="auto"/>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rozpočtové zdroje kapitoly</w:t>
            </w:r>
          </w:p>
        </w:tc>
        <w:tc>
          <w:tcPr>
            <w:tcW w:w="446" w:type="pct"/>
            <w:tcBorders>
              <w:top w:val="nil"/>
              <w:left w:val="nil"/>
              <w:bottom w:val="nil"/>
              <w:right w:val="nil"/>
            </w:tcBorders>
            <w:shd w:val="clear" w:color="auto" w:fill="auto"/>
            <w:noWrap/>
            <w:vAlign w:val="bottom"/>
            <w:hideMark/>
          </w:tcPr>
          <w:p w14:paraId="780E0DAA"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12 789</w:t>
            </w:r>
          </w:p>
        </w:tc>
        <w:tc>
          <w:tcPr>
            <w:tcW w:w="446" w:type="pct"/>
            <w:tcBorders>
              <w:top w:val="nil"/>
              <w:left w:val="nil"/>
              <w:bottom w:val="nil"/>
              <w:right w:val="nil"/>
            </w:tcBorders>
            <w:shd w:val="clear" w:color="auto" w:fill="auto"/>
            <w:noWrap/>
            <w:vAlign w:val="bottom"/>
            <w:hideMark/>
          </w:tcPr>
          <w:p w14:paraId="4E2F36C8"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13 249</w:t>
            </w:r>
          </w:p>
        </w:tc>
        <w:tc>
          <w:tcPr>
            <w:tcW w:w="446" w:type="pct"/>
            <w:tcBorders>
              <w:top w:val="nil"/>
              <w:left w:val="nil"/>
              <w:bottom w:val="nil"/>
              <w:right w:val="nil"/>
            </w:tcBorders>
            <w:shd w:val="clear" w:color="auto" w:fill="auto"/>
            <w:noWrap/>
            <w:vAlign w:val="bottom"/>
            <w:hideMark/>
          </w:tcPr>
          <w:p w14:paraId="04557299"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13 904</w:t>
            </w:r>
          </w:p>
        </w:tc>
        <w:tc>
          <w:tcPr>
            <w:tcW w:w="446" w:type="pct"/>
            <w:tcBorders>
              <w:top w:val="nil"/>
              <w:left w:val="nil"/>
              <w:bottom w:val="nil"/>
              <w:right w:val="nil"/>
            </w:tcBorders>
            <w:shd w:val="clear" w:color="auto" w:fill="auto"/>
            <w:noWrap/>
            <w:vAlign w:val="bottom"/>
            <w:hideMark/>
          </w:tcPr>
          <w:p w14:paraId="5D1A0630"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14 367</w:t>
            </w:r>
          </w:p>
        </w:tc>
        <w:tc>
          <w:tcPr>
            <w:tcW w:w="446" w:type="pct"/>
            <w:tcBorders>
              <w:top w:val="nil"/>
              <w:left w:val="nil"/>
              <w:bottom w:val="nil"/>
              <w:right w:val="nil"/>
            </w:tcBorders>
            <w:shd w:val="clear" w:color="auto" w:fill="auto"/>
            <w:noWrap/>
            <w:vAlign w:val="bottom"/>
            <w:hideMark/>
          </w:tcPr>
          <w:p w14:paraId="4A6C3887"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14 440</w:t>
            </w:r>
          </w:p>
        </w:tc>
        <w:tc>
          <w:tcPr>
            <w:tcW w:w="446" w:type="pct"/>
            <w:tcBorders>
              <w:top w:val="nil"/>
              <w:left w:val="nil"/>
              <w:bottom w:val="nil"/>
              <w:right w:val="nil"/>
            </w:tcBorders>
            <w:shd w:val="clear" w:color="auto" w:fill="auto"/>
            <w:noWrap/>
            <w:vAlign w:val="bottom"/>
            <w:hideMark/>
          </w:tcPr>
          <w:p w14:paraId="34C16BC2"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14 626</w:t>
            </w:r>
          </w:p>
        </w:tc>
        <w:tc>
          <w:tcPr>
            <w:tcW w:w="446" w:type="pct"/>
            <w:tcBorders>
              <w:top w:val="nil"/>
              <w:left w:val="nil"/>
              <w:bottom w:val="nil"/>
              <w:right w:val="nil"/>
            </w:tcBorders>
            <w:shd w:val="clear" w:color="auto" w:fill="auto"/>
            <w:noWrap/>
            <w:vAlign w:val="bottom"/>
            <w:hideMark/>
          </w:tcPr>
          <w:p w14:paraId="7B4FCDB6"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14 566</w:t>
            </w:r>
          </w:p>
        </w:tc>
      </w:tr>
      <w:tr w:rsidR="00DD531B" w:rsidRPr="00DD531B" w14:paraId="67E4CE0D" w14:textId="77777777" w:rsidTr="001F24AE">
        <w:trPr>
          <w:trHeight w:val="300"/>
        </w:trPr>
        <w:tc>
          <w:tcPr>
            <w:tcW w:w="1877" w:type="pct"/>
            <w:tcBorders>
              <w:top w:val="nil"/>
              <w:left w:val="nil"/>
              <w:bottom w:val="nil"/>
              <w:right w:val="nil"/>
            </w:tcBorders>
            <w:shd w:val="clear" w:color="auto" w:fill="auto"/>
            <w:noWrap/>
            <w:vAlign w:val="bottom"/>
            <w:hideMark/>
          </w:tcPr>
          <w:p w14:paraId="1FD23920"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bežné výdavky  600, v tom:</w:t>
            </w:r>
          </w:p>
        </w:tc>
        <w:tc>
          <w:tcPr>
            <w:tcW w:w="446" w:type="pct"/>
            <w:tcBorders>
              <w:top w:val="nil"/>
              <w:left w:val="nil"/>
              <w:bottom w:val="nil"/>
              <w:right w:val="nil"/>
            </w:tcBorders>
            <w:shd w:val="clear" w:color="auto" w:fill="auto"/>
            <w:noWrap/>
            <w:vAlign w:val="bottom"/>
            <w:hideMark/>
          </w:tcPr>
          <w:p w14:paraId="5EE64269"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12 549</w:t>
            </w:r>
          </w:p>
        </w:tc>
        <w:tc>
          <w:tcPr>
            <w:tcW w:w="446" w:type="pct"/>
            <w:tcBorders>
              <w:top w:val="nil"/>
              <w:left w:val="nil"/>
              <w:bottom w:val="nil"/>
              <w:right w:val="nil"/>
            </w:tcBorders>
            <w:shd w:val="clear" w:color="auto" w:fill="auto"/>
            <w:noWrap/>
            <w:vAlign w:val="bottom"/>
            <w:hideMark/>
          </w:tcPr>
          <w:p w14:paraId="428EA26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12 611</w:t>
            </w:r>
          </w:p>
        </w:tc>
        <w:tc>
          <w:tcPr>
            <w:tcW w:w="446" w:type="pct"/>
            <w:tcBorders>
              <w:top w:val="nil"/>
              <w:left w:val="nil"/>
              <w:bottom w:val="nil"/>
              <w:right w:val="nil"/>
            </w:tcBorders>
            <w:shd w:val="clear" w:color="auto" w:fill="auto"/>
            <w:noWrap/>
            <w:vAlign w:val="bottom"/>
            <w:hideMark/>
          </w:tcPr>
          <w:p w14:paraId="74F9A86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13 804</w:t>
            </w:r>
          </w:p>
        </w:tc>
        <w:tc>
          <w:tcPr>
            <w:tcW w:w="446" w:type="pct"/>
            <w:tcBorders>
              <w:top w:val="nil"/>
              <w:left w:val="nil"/>
              <w:bottom w:val="nil"/>
              <w:right w:val="nil"/>
            </w:tcBorders>
            <w:shd w:val="clear" w:color="auto" w:fill="auto"/>
            <w:noWrap/>
            <w:vAlign w:val="bottom"/>
            <w:hideMark/>
          </w:tcPr>
          <w:p w14:paraId="28BE66D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14 267</w:t>
            </w:r>
          </w:p>
        </w:tc>
        <w:tc>
          <w:tcPr>
            <w:tcW w:w="446" w:type="pct"/>
            <w:tcBorders>
              <w:top w:val="nil"/>
              <w:left w:val="nil"/>
              <w:bottom w:val="nil"/>
              <w:right w:val="nil"/>
            </w:tcBorders>
            <w:shd w:val="clear" w:color="auto" w:fill="auto"/>
            <w:noWrap/>
            <w:vAlign w:val="bottom"/>
            <w:hideMark/>
          </w:tcPr>
          <w:p w14:paraId="2B7BFD7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14 348</w:t>
            </w:r>
          </w:p>
        </w:tc>
        <w:tc>
          <w:tcPr>
            <w:tcW w:w="446" w:type="pct"/>
            <w:tcBorders>
              <w:top w:val="nil"/>
              <w:left w:val="nil"/>
              <w:bottom w:val="nil"/>
              <w:right w:val="nil"/>
            </w:tcBorders>
            <w:shd w:val="clear" w:color="auto" w:fill="auto"/>
            <w:noWrap/>
            <w:vAlign w:val="bottom"/>
            <w:hideMark/>
          </w:tcPr>
          <w:p w14:paraId="4EB81413"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14 328</w:t>
            </w:r>
          </w:p>
        </w:tc>
        <w:tc>
          <w:tcPr>
            <w:tcW w:w="446" w:type="pct"/>
            <w:tcBorders>
              <w:top w:val="nil"/>
              <w:left w:val="nil"/>
              <w:bottom w:val="nil"/>
              <w:right w:val="nil"/>
            </w:tcBorders>
            <w:shd w:val="clear" w:color="auto" w:fill="auto"/>
            <w:noWrap/>
            <w:vAlign w:val="bottom"/>
            <w:hideMark/>
          </w:tcPr>
          <w:p w14:paraId="06E7062E"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14 328</w:t>
            </w:r>
          </w:p>
        </w:tc>
      </w:tr>
      <w:tr w:rsidR="00DD531B" w:rsidRPr="00DD531B" w14:paraId="4BB67808" w14:textId="77777777" w:rsidTr="001F24AE">
        <w:trPr>
          <w:trHeight w:val="300"/>
        </w:trPr>
        <w:tc>
          <w:tcPr>
            <w:tcW w:w="1877" w:type="pct"/>
            <w:tcBorders>
              <w:top w:val="nil"/>
              <w:left w:val="nil"/>
              <w:bottom w:val="nil"/>
              <w:right w:val="nil"/>
            </w:tcBorders>
            <w:shd w:val="clear" w:color="auto" w:fill="auto"/>
            <w:noWrap/>
            <w:vAlign w:val="bottom"/>
            <w:hideMark/>
          </w:tcPr>
          <w:p w14:paraId="4FC1C388"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610 mzdy</w:t>
            </w:r>
          </w:p>
        </w:tc>
        <w:tc>
          <w:tcPr>
            <w:tcW w:w="446" w:type="pct"/>
            <w:tcBorders>
              <w:top w:val="nil"/>
              <w:left w:val="nil"/>
              <w:bottom w:val="nil"/>
              <w:right w:val="nil"/>
            </w:tcBorders>
            <w:shd w:val="clear" w:color="auto" w:fill="auto"/>
            <w:noWrap/>
            <w:vAlign w:val="bottom"/>
            <w:hideMark/>
          </w:tcPr>
          <w:p w14:paraId="57770714"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7 626</w:t>
            </w:r>
          </w:p>
        </w:tc>
        <w:tc>
          <w:tcPr>
            <w:tcW w:w="446" w:type="pct"/>
            <w:tcBorders>
              <w:top w:val="nil"/>
              <w:left w:val="nil"/>
              <w:bottom w:val="nil"/>
              <w:right w:val="nil"/>
            </w:tcBorders>
            <w:shd w:val="clear" w:color="auto" w:fill="auto"/>
            <w:noWrap/>
            <w:vAlign w:val="bottom"/>
            <w:hideMark/>
          </w:tcPr>
          <w:p w14:paraId="0C577FD5"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7 682</w:t>
            </w:r>
          </w:p>
        </w:tc>
        <w:tc>
          <w:tcPr>
            <w:tcW w:w="446" w:type="pct"/>
            <w:tcBorders>
              <w:top w:val="nil"/>
              <w:left w:val="nil"/>
              <w:bottom w:val="nil"/>
              <w:right w:val="nil"/>
            </w:tcBorders>
            <w:shd w:val="clear" w:color="auto" w:fill="auto"/>
            <w:noWrap/>
            <w:vAlign w:val="bottom"/>
            <w:hideMark/>
          </w:tcPr>
          <w:p w14:paraId="13CFC1A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8 580</w:t>
            </w:r>
          </w:p>
        </w:tc>
        <w:tc>
          <w:tcPr>
            <w:tcW w:w="446" w:type="pct"/>
            <w:tcBorders>
              <w:top w:val="nil"/>
              <w:left w:val="nil"/>
              <w:bottom w:val="nil"/>
              <w:right w:val="nil"/>
            </w:tcBorders>
            <w:shd w:val="clear" w:color="auto" w:fill="auto"/>
            <w:noWrap/>
            <w:vAlign w:val="bottom"/>
            <w:hideMark/>
          </w:tcPr>
          <w:p w14:paraId="2444209F"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8 586</w:t>
            </w:r>
          </w:p>
        </w:tc>
        <w:tc>
          <w:tcPr>
            <w:tcW w:w="446" w:type="pct"/>
            <w:tcBorders>
              <w:top w:val="nil"/>
              <w:left w:val="nil"/>
              <w:bottom w:val="nil"/>
              <w:right w:val="nil"/>
            </w:tcBorders>
            <w:shd w:val="clear" w:color="auto" w:fill="auto"/>
            <w:noWrap/>
            <w:vAlign w:val="bottom"/>
            <w:hideMark/>
          </w:tcPr>
          <w:p w14:paraId="64A43326"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9 217</w:t>
            </w:r>
          </w:p>
        </w:tc>
        <w:tc>
          <w:tcPr>
            <w:tcW w:w="446" w:type="pct"/>
            <w:tcBorders>
              <w:top w:val="nil"/>
              <w:left w:val="nil"/>
              <w:bottom w:val="nil"/>
              <w:right w:val="nil"/>
            </w:tcBorders>
            <w:shd w:val="clear" w:color="auto" w:fill="auto"/>
            <w:noWrap/>
            <w:vAlign w:val="bottom"/>
            <w:hideMark/>
          </w:tcPr>
          <w:p w14:paraId="0A4B2C46"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9 217</w:t>
            </w:r>
          </w:p>
        </w:tc>
        <w:tc>
          <w:tcPr>
            <w:tcW w:w="446" w:type="pct"/>
            <w:tcBorders>
              <w:top w:val="nil"/>
              <w:left w:val="nil"/>
              <w:bottom w:val="nil"/>
              <w:right w:val="nil"/>
            </w:tcBorders>
            <w:shd w:val="clear" w:color="auto" w:fill="auto"/>
            <w:noWrap/>
            <w:vAlign w:val="bottom"/>
            <w:hideMark/>
          </w:tcPr>
          <w:p w14:paraId="00EE2963"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9 217</w:t>
            </w:r>
          </w:p>
        </w:tc>
      </w:tr>
      <w:tr w:rsidR="00DD531B" w:rsidRPr="00DD531B" w14:paraId="7EA4EFEF" w14:textId="77777777" w:rsidTr="001F24AE">
        <w:trPr>
          <w:trHeight w:val="300"/>
        </w:trPr>
        <w:tc>
          <w:tcPr>
            <w:tcW w:w="1877" w:type="pct"/>
            <w:tcBorders>
              <w:top w:val="nil"/>
              <w:left w:val="nil"/>
              <w:bottom w:val="nil"/>
              <w:right w:val="nil"/>
            </w:tcBorders>
            <w:shd w:val="clear" w:color="auto" w:fill="auto"/>
            <w:noWrap/>
            <w:vAlign w:val="bottom"/>
            <w:hideMark/>
          </w:tcPr>
          <w:p w14:paraId="3227A62C"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620 odvody</w:t>
            </w:r>
          </w:p>
        </w:tc>
        <w:tc>
          <w:tcPr>
            <w:tcW w:w="446" w:type="pct"/>
            <w:tcBorders>
              <w:top w:val="nil"/>
              <w:left w:val="nil"/>
              <w:bottom w:val="nil"/>
              <w:right w:val="nil"/>
            </w:tcBorders>
            <w:shd w:val="clear" w:color="auto" w:fill="auto"/>
            <w:noWrap/>
            <w:vAlign w:val="bottom"/>
            <w:hideMark/>
          </w:tcPr>
          <w:p w14:paraId="361EAE11"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2 776</w:t>
            </w:r>
          </w:p>
        </w:tc>
        <w:tc>
          <w:tcPr>
            <w:tcW w:w="446" w:type="pct"/>
            <w:tcBorders>
              <w:top w:val="nil"/>
              <w:left w:val="nil"/>
              <w:bottom w:val="nil"/>
              <w:right w:val="nil"/>
            </w:tcBorders>
            <w:shd w:val="clear" w:color="auto" w:fill="auto"/>
            <w:noWrap/>
            <w:vAlign w:val="bottom"/>
            <w:hideMark/>
          </w:tcPr>
          <w:p w14:paraId="520891F9"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2 514</w:t>
            </w:r>
          </w:p>
        </w:tc>
        <w:tc>
          <w:tcPr>
            <w:tcW w:w="446" w:type="pct"/>
            <w:tcBorders>
              <w:top w:val="nil"/>
              <w:left w:val="nil"/>
              <w:bottom w:val="nil"/>
              <w:right w:val="nil"/>
            </w:tcBorders>
            <w:shd w:val="clear" w:color="auto" w:fill="auto"/>
            <w:noWrap/>
            <w:vAlign w:val="bottom"/>
            <w:hideMark/>
          </w:tcPr>
          <w:p w14:paraId="2DD4E875"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3 135</w:t>
            </w:r>
          </w:p>
        </w:tc>
        <w:tc>
          <w:tcPr>
            <w:tcW w:w="446" w:type="pct"/>
            <w:tcBorders>
              <w:top w:val="nil"/>
              <w:left w:val="nil"/>
              <w:bottom w:val="nil"/>
              <w:right w:val="nil"/>
            </w:tcBorders>
            <w:shd w:val="clear" w:color="auto" w:fill="auto"/>
            <w:noWrap/>
            <w:vAlign w:val="bottom"/>
            <w:hideMark/>
          </w:tcPr>
          <w:p w14:paraId="5BE692AA"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3 140</w:t>
            </w:r>
          </w:p>
        </w:tc>
        <w:tc>
          <w:tcPr>
            <w:tcW w:w="446" w:type="pct"/>
            <w:tcBorders>
              <w:top w:val="nil"/>
              <w:left w:val="nil"/>
              <w:bottom w:val="nil"/>
              <w:right w:val="nil"/>
            </w:tcBorders>
            <w:shd w:val="clear" w:color="auto" w:fill="auto"/>
            <w:noWrap/>
            <w:vAlign w:val="bottom"/>
            <w:hideMark/>
          </w:tcPr>
          <w:p w14:paraId="37956C8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3 355</w:t>
            </w:r>
          </w:p>
        </w:tc>
        <w:tc>
          <w:tcPr>
            <w:tcW w:w="446" w:type="pct"/>
            <w:tcBorders>
              <w:top w:val="nil"/>
              <w:left w:val="nil"/>
              <w:bottom w:val="nil"/>
              <w:right w:val="nil"/>
            </w:tcBorders>
            <w:shd w:val="clear" w:color="auto" w:fill="auto"/>
            <w:noWrap/>
            <w:vAlign w:val="bottom"/>
            <w:hideMark/>
          </w:tcPr>
          <w:p w14:paraId="7A708E84"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3 355</w:t>
            </w:r>
          </w:p>
        </w:tc>
        <w:tc>
          <w:tcPr>
            <w:tcW w:w="446" w:type="pct"/>
            <w:tcBorders>
              <w:top w:val="nil"/>
              <w:left w:val="nil"/>
              <w:bottom w:val="nil"/>
              <w:right w:val="nil"/>
            </w:tcBorders>
            <w:shd w:val="clear" w:color="auto" w:fill="auto"/>
            <w:noWrap/>
            <w:vAlign w:val="bottom"/>
            <w:hideMark/>
          </w:tcPr>
          <w:p w14:paraId="4B184F3F"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3 355</w:t>
            </w:r>
          </w:p>
        </w:tc>
      </w:tr>
      <w:tr w:rsidR="00DD531B" w:rsidRPr="00DD531B" w14:paraId="563D74E8" w14:textId="77777777" w:rsidTr="001F24AE">
        <w:trPr>
          <w:trHeight w:val="300"/>
        </w:trPr>
        <w:tc>
          <w:tcPr>
            <w:tcW w:w="1877" w:type="pct"/>
            <w:tcBorders>
              <w:top w:val="nil"/>
              <w:left w:val="nil"/>
              <w:bottom w:val="nil"/>
              <w:right w:val="nil"/>
            </w:tcBorders>
            <w:shd w:val="clear" w:color="auto" w:fill="auto"/>
            <w:noWrap/>
            <w:vAlign w:val="bottom"/>
            <w:hideMark/>
          </w:tcPr>
          <w:p w14:paraId="1895B20A"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630 tovary a služby</w:t>
            </w:r>
          </w:p>
        </w:tc>
        <w:tc>
          <w:tcPr>
            <w:tcW w:w="446" w:type="pct"/>
            <w:tcBorders>
              <w:top w:val="nil"/>
              <w:left w:val="nil"/>
              <w:bottom w:val="nil"/>
              <w:right w:val="nil"/>
            </w:tcBorders>
            <w:shd w:val="clear" w:color="auto" w:fill="auto"/>
            <w:noWrap/>
            <w:vAlign w:val="bottom"/>
            <w:hideMark/>
          </w:tcPr>
          <w:p w14:paraId="41DBFA2E"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1 916</w:t>
            </w:r>
          </w:p>
        </w:tc>
        <w:tc>
          <w:tcPr>
            <w:tcW w:w="446" w:type="pct"/>
            <w:tcBorders>
              <w:top w:val="nil"/>
              <w:left w:val="nil"/>
              <w:bottom w:val="nil"/>
              <w:right w:val="nil"/>
            </w:tcBorders>
            <w:shd w:val="clear" w:color="auto" w:fill="auto"/>
            <w:noWrap/>
            <w:vAlign w:val="bottom"/>
            <w:hideMark/>
          </w:tcPr>
          <w:p w14:paraId="2F199AA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2 234</w:t>
            </w:r>
          </w:p>
        </w:tc>
        <w:tc>
          <w:tcPr>
            <w:tcW w:w="446" w:type="pct"/>
            <w:tcBorders>
              <w:top w:val="nil"/>
              <w:left w:val="nil"/>
              <w:bottom w:val="nil"/>
              <w:right w:val="nil"/>
            </w:tcBorders>
            <w:shd w:val="clear" w:color="auto" w:fill="auto"/>
            <w:noWrap/>
            <w:vAlign w:val="bottom"/>
            <w:hideMark/>
          </w:tcPr>
          <w:p w14:paraId="044F5171"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1 984</w:t>
            </w:r>
          </w:p>
        </w:tc>
        <w:tc>
          <w:tcPr>
            <w:tcW w:w="446" w:type="pct"/>
            <w:tcBorders>
              <w:top w:val="nil"/>
              <w:left w:val="nil"/>
              <w:bottom w:val="nil"/>
              <w:right w:val="nil"/>
            </w:tcBorders>
            <w:shd w:val="clear" w:color="auto" w:fill="auto"/>
            <w:noWrap/>
            <w:vAlign w:val="bottom"/>
            <w:hideMark/>
          </w:tcPr>
          <w:p w14:paraId="71F3FBD1"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2 243</w:t>
            </w:r>
          </w:p>
        </w:tc>
        <w:tc>
          <w:tcPr>
            <w:tcW w:w="446" w:type="pct"/>
            <w:tcBorders>
              <w:top w:val="nil"/>
              <w:left w:val="nil"/>
              <w:bottom w:val="nil"/>
              <w:right w:val="nil"/>
            </w:tcBorders>
            <w:shd w:val="clear" w:color="auto" w:fill="auto"/>
            <w:noWrap/>
            <w:vAlign w:val="bottom"/>
            <w:hideMark/>
          </w:tcPr>
          <w:p w14:paraId="381081BA"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1 711</w:t>
            </w:r>
          </w:p>
        </w:tc>
        <w:tc>
          <w:tcPr>
            <w:tcW w:w="446" w:type="pct"/>
            <w:tcBorders>
              <w:top w:val="nil"/>
              <w:left w:val="nil"/>
              <w:bottom w:val="nil"/>
              <w:right w:val="nil"/>
            </w:tcBorders>
            <w:shd w:val="clear" w:color="auto" w:fill="auto"/>
            <w:noWrap/>
            <w:vAlign w:val="bottom"/>
            <w:hideMark/>
          </w:tcPr>
          <w:p w14:paraId="6C4D9FB3"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1 691</w:t>
            </w:r>
          </w:p>
        </w:tc>
        <w:tc>
          <w:tcPr>
            <w:tcW w:w="446" w:type="pct"/>
            <w:tcBorders>
              <w:top w:val="nil"/>
              <w:left w:val="nil"/>
              <w:bottom w:val="nil"/>
              <w:right w:val="nil"/>
            </w:tcBorders>
            <w:shd w:val="clear" w:color="auto" w:fill="auto"/>
            <w:noWrap/>
            <w:vAlign w:val="bottom"/>
            <w:hideMark/>
          </w:tcPr>
          <w:p w14:paraId="78F47BC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1 691</w:t>
            </w:r>
          </w:p>
        </w:tc>
      </w:tr>
      <w:tr w:rsidR="00DD531B" w:rsidRPr="00DD531B" w14:paraId="55DDAD9E" w14:textId="77777777" w:rsidTr="001F24AE">
        <w:trPr>
          <w:trHeight w:val="300"/>
        </w:trPr>
        <w:tc>
          <w:tcPr>
            <w:tcW w:w="1877" w:type="pct"/>
            <w:tcBorders>
              <w:top w:val="nil"/>
              <w:left w:val="nil"/>
              <w:bottom w:val="nil"/>
              <w:right w:val="nil"/>
            </w:tcBorders>
            <w:shd w:val="clear" w:color="auto" w:fill="auto"/>
            <w:noWrap/>
            <w:vAlign w:val="bottom"/>
            <w:hideMark/>
          </w:tcPr>
          <w:p w14:paraId="0EBACC9D"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640 bežné transfery</w:t>
            </w:r>
          </w:p>
        </w:tc>
        <w:tc>
          <w:tcPr>
            <w:tcW w:w="446" w:type="pct"/>
            <w:tcBorders>
              <w:top w:val="nil"/>
              <w:left w:val="nil"/>
              <w:bottom w:val="nil"/>
              <w:right w:val="nil"/>
            </w:tcBorders>
            <w:shd w:val="clear" w:color="auto" w:fill="auto"/>
            <w:noWrap/>
            <w:vAlign w:val="bottom"/>
            <w:hideMark/>
          </w:tcPr>
          <w:p w14:paraId="2F485ED4"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231</w:t>
            </w:r>
          </w:p>
        </w:tc>
        <w:tc>
          <w:tcPr>
            <w:tcW w:w="446" w:type="pct"/>
            <w:tcBorders>
              <w:top w:val="nil"/>
              <w:left w:val="nil"/>
              <w:bottom w:val="nil"/>
              <w:right w:val="nil"/>
            </w:tcBorders>
            <w:shd w:val="clear" w:color="auto" w:fill="auto"/>
            <w:noWrap/>
            <w:vAlign w:val="bottom"/>
            <w:hideMark/>
          </w:tcPr>
          <w:p w14:paraId="066AC2E9"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181</w:t>
            </w:r>
          </w:p>
        </w:tc>
        <w:tc>
          <w:tcPr>
            <w:tcW w:w="446" w:type="pct"/>
            <w:tcBorders>
              <w:top w:val="nil"/>
              <w:left w:val="nil"/>
              <w:bottom w:val="nil"/>
              <w:right w:val="nil"/>
            </w:tcBorders>
            <w:shd w:val="clear" w:color="auto" w:fill="auto"/>
            <w:noWrap/>
            <w:vAlign w:val="bottom"/>
            <w:hideMark/>
          </w:tcPr>
          <w:p w14:paraId="48C41A98"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105</w:t>
            </w:r>
          </w:p>
        </w:tc>
        <w:tc>
          <w:tcPr>
            <w:tcW w:w="446" w:type="pct"/>
            <w:tcBorders>
              <w:top w:val="nil"/>
              <w:left w:val="nil"/>
              <w:bottom w:val="nil"/>
              <w:right w:val="nil"/>
            </w:tcBorders>
            <w:shd w:val="clear" w:color="auto" w:fill="auto"/>
            <w:noWrap/>
            <w:vAlign w:val="bottom"/>
            <w:hideMark/>
          </w:tcPr>
          <w:p w14:paraId="263D0AA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298</w:t>
            </w:r>
          </w:p>
        </w:tc>
        <w:tc>
          <w:tcPr>
            <w:tcW w:w="446" w:type="pct"/>
            <w:tcBorders>
              <w:top w:val="nil"/>
              <w:left w:val="nil"/>
              <w:bottom w:val="nil"/>
              <w:right w:val="nil"/>
            </w:tcBorders>
            <w:shd w:val="clear" w:color="auto" w:fill="auto"/>
            <w:noWrap/>
            <w:vAlign w:val="bottom"/>
            <w:hideMark/>
          </w:tcPr>
          <w:p w14:paraId="0ECF069C"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65</w:t>
            </w:r>
          </w:p>
        </w:tc>
        <w:tc>
          <w:tcPr>
            <w:tcW w:w="446" w:type="pct"/>
            <w:tcBorders>
              <w:top w:val="nil"/>
              <w:left w:val="nil"/>
              <w:bottom w:val="nil"/>
              <w:right w:val="nil"/>
            </w:tcBorders>
            <w:shd w:val="clear" w:color="auto" w:fill="auto"/>
            <w:noWrap/>
            <w:vAlign w:val="bottom"/>
            <w:hideMark/>
          </w:tcPr>
          <w:p w14:paraId="373D42E6"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65</w:t>
            </w:r>
          </w:p>
        </w:tc>
        <w:tc>
          <w:tcPr>
            <w:tcW w:w="446" w:type="pct"/>
            <w:tcBorders>
              <w:top w:val="nil"/>
              <w:left w:val="nil"/>
              <w:bottom w:val="nil"/>
              <w:right w:val="nil"/>
            </w:tcBorders>
            <w:shd w:val="clear" w:color="auto" w:fill="auto"/>
            <w:noWrap/>
            <w:vAlign w:val="bottom"/>
            <w:hideMark/>
          </w:tcPr>
          <w:p w14:paraId="443C3C2F"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65</w:t>
            </w:r>
          </w:p>
        </w:tc>
      </w:tr>
      <w:tr w:rsidR="00DD531B" w:rsidRPr="00DD531B" w14:paraId="7CD05962" w14:textId="77777777" w:rsidTr="001F24AE">
        <w:trPr>
          <w:trHeight w:val="300"/>
        </w:trPr>
        <w:tc>
          <w:tcPr>
            <w:tcW w:w="1877" w:type="pct"/>
            <w:tcBorders>
              <w:top w:val="nil"/>
              <w:left w:val="nil"/>
              <w:bottom w:val="nil"/>
              <w:right w:val="nil"/>
            </w:tcBorders>
            <w:shd w:val="clear" w:color="auto" w:fill="auto"/>
            <w:noWrap/>
            <w:vAlign w:val="bottom"/>
            <w:hideMark/>
          </w:tcPr>
          <w:p w14:paraId="345A585F"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kapitálové výdavky 700</w:t>
            </w:r>
          </w:p>
        </w:tc>
        <w:tc>
          <w:tcPr>
            <w:tcW w:w="446" w:type="pct"/>
            <w:tcBorders>
              <w:top w:val="nil"/>
              <w:left w:val="nil"/>
              <w:bottom w:val="nil"/>
              <w:right w:val="nil"/>
            </w:tcBorders>
            <w:shd w:val="clear" w:color="auto" w:fill="auto"/>
            <w:noWrap/>
            <w:vAlign w:val="bottom"/>
            <w:hideMark/>
          </w:tcPr>
          <w:p w14:paraId="08FD036A"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240</w:t>
            </w:r>
          </w:p>
        </w:tc>
        <w:tc>
          <w:tcPr>
            <w:tcW w:w="446" w:type="pct"/>
            <w:tcBorders>
              <w:top w:val="nil"/>
              <w:left w:val="nil"/>
              <w:bottom w:val="nil"/>
              <w:right w:val="nil"/>
            </w:tcBorders>
            <w:shd w:val="clear" w:color="auto" w:fill="auto"/>
            <w:noWrap/>
            <w:vAlign w:val="bottom"/>
            <w:hideMark/>
          </w:tcPr>
          <w:p w14:paraId="6D78B73F"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638</w:t>
            </w:r>
          </w:p>
        </w:tc>
        <w:tc>
          <w:tcPr>
            <w:tcW w:w="446" w:type="pct"/>
            <w:tcBorders>
              <w:top w:val="nil"/>
              <w:left w:val="nil"/>
              <w:bottom w:val="nil"/>
              <w:right w:val="nil"/>
            </w:tcBorders>
            <w:shd w:val="clear" w:color="auto" w:fill="auto"/>
            <w:noWrap/>
            <w:vAlign w:val="bottom"/>
            <w:hideMark/>
          </w:tcPr>
          <w:p w14:paraId="4B1ADF80"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100</w:t>
            </w:r>
          </w:p>
        </w:tc>
        <w:tc>
          <w:tcPr>
            <w:tcW w:w="446" w:type="pct"/>
            <w:tcBorders>
              <w:top w:val="nil"/>
              <w:left w:val="nil"/>
              <w:bottom w:val="nil"/>
              <w:right w:val="nil"/>
            </w:tcBorders>
            <w:shd w:val="clear" w:color="auto" w:fill="auto"/>
            <w:noWrap/>
            <w:vAlign w:val="bottom"/>
            <w:hideMark/>
          </w:tcPr>
          <w:p w14:paraId="60FD15D4"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100</w:t>
            </w:r>
          </w:p>
        </w:tc>
        <w:tc>
          <w:tcPr>
            <w:tcW w:w="446" w:type="pct"/>
            <w:tcBorders>
              <w:top w:val="nil"/>
              <w:left w:val="nil"/>
              <w:bottom w:val="nil"/>
              <w:right w:val="nil"/>
            </w:tcBorders>
            <w:shd w:val="clear" w:color="auto" w:fill="auto"/>
            <w:noWrap/>
            <w:vAlign w:val="bottom"/>
            <w:hideMark/>
          </w:tcPr>
          <w:p w14:paraId="683B482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92</w:t>
            </w:r>
          </w:p>
        </w:tc>
        <w:tc>
          <w:tcPr>
            <w:tcW w:w="446" w:type="pct"/>
            <w:tcBorders>
              <w:top w:val="nil"/>
              <w:left w:val="nil"/>
              <w:bottom w:val="nil"/>
              <w:right w:val="nil"/>
            </w:tcBorders>
            <w:shd w:val="clear" w:color="auto" w:fill="auto"/>
            <w:noWrap/>
            <w:vAlign w:val="bottom"/>
            <w:hideMark/>
          </w:tcPr>
          <w:p w14:paraId="454C97E0"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298</w:t>
            </w:r>
          </w:p>
        </w:tc>
        <w:tc>
          <w:tcPr>
            <w:tcW w:w="446" w:type="pct"/>
            <w:tcBorders>
              <w:top w:val="nil"/>
              <w:left w:val="nil"/>
              <w:bottom w:val="nil"/>
              <w:right w:val="nil"/>
            </w:tcBorders>
            <w:shd w:val="clear" w:color="auto" w:fill="auto"/>
            <w:noWrap/>
            <w:vAlign w:val="bottom"/>
            <w:hideMark/>
          </w:tcPr>
          <w:p w14:paraId="266B48B0"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238</w:t>
            </w:r>
          </w:p>
        </w:tc>
      </w:tr>
      <w:tr w:rsidR="00DD531B" w:rsidRPr="00DD531B" w14:paraId="17AF1F72" w14:textId="77777777" w:rsidTr="001F24AE">
        <w:trPr>
          <w:trHeight w:val="300"/>
        </w:trPr>
        <w:tc>
          <w:tcPr>
            <w:tcW w:w="1877" w:type="pct"/>
            <w:tcBorders>
              <w:top w:val="nil"/>
              <w:left w:val="nil"/>
              <w:bottom w:val="nil"/>
              <w:right w:val="nil"/>
            </w:tcBorders>
            <w:shd w:val="clear" w:color="auto" w:fill="auto"/>
            <w:noWrap/>
            <w:vAlign w:val="bottom"/>
            <w:hideMark/>
          </w:tcPr>
          <w:p w14:paraId="6001EF73" w14:textId="77777777" w:rsidR="00DD531B" w:rsidRPr="00D03732" w:rsidRDefault="00DD531B" w:rsidP="00DD531B">
            <w:pPr>
              <w:spacing w:after="0" w:line="240" w:lineRule="auto"/>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zdroj EÚ vrátane spolufinancovania zo ŠR, v tom:</w:t>
            </w:r>
          </w:p>
        </w:tc>
        <w:tc>
          <w:tcPr>
            <w:tcW w:w="446" w:type="pct"/>
            <w:tcBorders>
              <w:top w:val="nil"/>
              <w:left w:val="nil"/>
              <w:bottom w:val="nil"/>
              <w:right w:val="nil"/>
            </w:tcBorders>
            <w:shd w:val="clear" w:color="auto" w:fill="auto"/>
            <w:noWrap/>
            <w:vAlign w:val="bottom"/>
            <w:hideMark/>
          </w:tcPr>
          <w:p w14:paraId="454BE984"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167</w:t>
            </w:r>
          </w:p>
        </w:tc>
        <w:tc>
          <w:tcPr>
            <w:tcW w:w="446" w:type="pct"/>
            <w:tcBorders>
              <w:top w:val="nil"/>
              <w:left w:val="nil"/>
              <w:bottom w:val="nil"/>
              <w:right w:val="nil"/>
            </w:tcBorders>
            <w:shd w:val="clear" w:color="auto" w:fill="auto"/>
            <w:noWrap/>
            <w:vAlign w:val="bottom"/>
            <w:hideMark/>
          </w:tcPr>
          <w:p w14:paraId="0C4A4586"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634</w:t>
            </w:r>
          </w:p>
        </w:tc>
        <w:tc>
          <w:tcPr>
            <w:tcW w:w="446" w:type="pct"/>
            <w:tcBorders>
              <w:top w:val="nil"/>
              <w:left w:val="nil"/>
              <w:bottom w:val="nil"/>
              <w:right w:val="nil"/>
            </w:tcBorders>
            <w:shd w:val="clear" w:color="auto" w:fill="auto"/>
            <w:noWrap/>
            <w:vAlign w:val="bottom"/>
            <w:hideMark/>
          </w:tcPr>
          <w:p w14:paraId="1859CD9F"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446" w:type="pct"/>
            <w:tcBorders>
              <w:top w:val="nil"/>
              <w:left w:val="nil"/>
              <w:bottom w:val="nil"/>
              <w:right w:val="nil"/>
            </w:tcBorders>
            <w:shd w:val="clear" w:color="auto" w:fill="auto"/>
            <w:noWrap/>
            <w:vAlign w:val="bottom"/>
            <w:hideMark/>
          </w:tcPr>
          <w:p w14:paraId="4831F91E"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9</w:t>
            </w:r>
          </w:p>
        </w:tc>
        <w:tc>
          <w:tcPr>
            <w:tcW w:w="446" w:type="pct"/>
            <w:tcBorders>
              <w:top w:val="nil"/>
              <w:left w:val="nil"/>
              <w:bottom w:val="nil"/>
              <w:right w:val="nil"/>
            </w:tcBorders>
            <w:shd w:val="clear" w:color="auto" w:fill="auto"/>
            <w:noWrap/>
            <w:vAlign w:val="bottom"/>
            <w:hideMark/>
          </w:tcPr>
          <w:p w14:paraId="402EE21E"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446" w:type="pct"/>
            <w:tcBorders>
              <w:top w:val="nil"/>
              <w:left w:val="nil"/>
              <w:bottom w:val="nil"/>
              <w:right w:val="nil"/>
            </w:tcBorders>
            <w:shd w:val="clear" w:color="auto" w:fill="auto"/>
            <w:noWrap/>
            <w:vAlign w:val="bottom"/>
            <w:hideMark/>
          </w:tcPr>
          <w:p w14:paraId="61A57A27"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446" w:type="pct"/>
            <w:tcBorders>
              <w:top w:val="nil"/>
              <w:left w:val="nil"/>
              <w:bottom w:val="nil"/>
              <w:right w:val="nil"/>
            </w:tcBorders>
            <w:shd w:val="clear" w:color="auto" w:fill="auto"/>
            <w:noWrap/>
            <w:vAlign w:val="bottom"/>
            <w:hideMark/>
          </w:tcPr>
          <w:p w14:paraId="244C2188"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r>
      <w:tr w:rsidR="00DD531B" w:rsidRPr="00DD531B" w14:paraId="0F222248" w14:textId="77777777" w:rsidTr="001F24AE">
        <w:trPr>
          <w:trHeight w:val="300"/>
        </w:trPr>
        <w:tc>
          <w:tcPr>
            <w:tcW w:w="1877" w:type="pct"/>
            <w:tcBorders>
              <w:top w:val="nil"/>
              <w:left w:val="nil"/>
              <w:bottom w:val="nil"/>
              <w:right w:val="nil"/>
            </w:tcBorders>
            <w:shd w:val="clear" w:color="auto" w:fill="auto"/>
            <w:noWrap/>
            <w:vAlign w:val="bottom"/>
            <w:hideMark/>
          </w:tcPr>
          <w:p w14:paraId="3456255E"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prostriedky EÚ</w:t>
            </w:r>
          </w:p>
        </w:tc>
        <w:tc>
          <w:tcPr>
            <w:tcW w:w="446" w:type="pct"/>
            <w:tcBorders>
              <w:top w:val="nil"/>
              <w:left w:val="nil"/>
              <w:bottom w:val="nil"/>
              <w:right w:val="nil"/>
            </w:tcBorders>
            <w:shd w:val="clear" w:color="auto" w:fill="auto"/>
            <w:noWrap/>
            <w:vAlign w:val="bottom"/>
            <w:hideMark/>
          </w:tcPr>
          <w:p w14:paraId="67E44F8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153</w:t>
            </w:r>
          </w:p>
        </w:tc>
        <w:tc>
          <w:tcPr>
            <w:tcW w:w="446" w:type="pct"/>
            <w:tcBorders>
              <w:top w:val="nil"/>
              <w:left w:val="nil"/>
              <w:bottom w:val="nil"/>
              <w:right w:val="nil"/>
            </w:tcBorders>
            <w:shd w:val="clear" w:color="auto" w:fill="auto"/>
            <w:noWrap/>
            <w:vAlign w:val="bottom"/>
            <w:hideMark/>
          </w:tcPr>
          <w:p w14:paraId="3CCBD9B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520</w:t>
            </w:r>
          </w:p>
        </w:tc>
        <w:tc>
          <w:tcPr>
            <w:tcW w:w="446" w:type="pct"/>
            <w:tcBorders>
              <w:top w:val="nil"/>
              <w:left w:val="nil"/>
              <w:bottom w:val="nil"/>
              <w:right w:val="nil"/>
            </w:tcBorders>
            <w:shd w:val="clear" w:color="auto" w:fill="auto"/>
            <w:noWrap/>
            <w:vAlign w:val="bottom"/>
            <w:hideMark/>
          </w:tcPr>
          <w:p w14:paraId="736C1BFE"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157AC94D"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6</w:t>
            </w:r>
          </w:p>
        </w:tc>
        <w:tc>
          <w:tcPr>
            <w:tcW w:w="446" w:type="pct"/>
            <w:tcBorders>
              <w:top w:val="nil"/>
              <w:left w:val="nil"/>
              <w:bottom w:val="nil"/>
              <w:right w:val="nil"/>
            </w:tcBorders>
            <w:shd w:val="clear" w:color="auto" w:fill="auto"/>
            <w:noWrap/>
            <w:vAlign w:val="bottom"/>
            <w:hideMark/>
          </w:tcPr>
          <w:p w14:paraId="2289435A"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06E985E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47C296D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r>
      <w:tr w:rsidR="00DD531B" w:rsidRPr="00DD531B" w14:paraId="15B23A52" w14:textId="77777777" w:rsidTr="001F24AE">
        <w:trPr>
          <w:trHeight w:val="300"/>
        </w:trPr>
        <w:tc>
          <w:tcPr>
            <w:tcW w:w="1877" w:type="pct"/>
            <w:tcBorders>
              <w:top w:val="nil"/>
              <w:left w:val="nil"/>
              <w:bottom w:val="nil"/>
              <w:right w:val="nil"/>
            </w:tcBorders>
            <w:shd w:val="clear" w:color="auto" w:fill="auto"/>
            <w:noWrap/>
            <w:vAlign w:val="bottom"/>
            <w:hideMark/>
          </w:tcPr>
          <w:p w14:paraId="2B89EC04"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spolufinancovanie zo ŠR</w:t>
            </w:r>
          </w:p>
        </w:tc>
        <w:tc>
          <w:tcPr>
            <w:tcW w:w="446" w:type="pct"/>
            <w:tcBorders>
              <w:top w:val="nil"/>
              <w:left w:val="nil"/>
              <w:bottom w:val="nil"/>
              <w:right w:val="nil"/>
            </w:tcBorders>
            <w:shd w:val="clear" w:color="auto" w:fill="auto"/>
            <w:noWrap/>
            <w:vAlign w:val="bottom"/>
            <w:hideMark/>
          </w:tcPr>
          <w:p w14:paraId="65301058"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14</w:t>
            </w:r>
          </w:p>
        </w:tc>
        <w:tc>
          <w:tcPr>
            <w:tcW w:w="446" w:type="pct"/>
            <w:tcBorders>
              <w:top w:val="nil"/>
              <w:left w:val="nil"/>
              <w:bottom w:val="nil"/>
              <w:right w:val="nil"/>
            </w:tcBorders>
            <w:shd w:val="clear" w:color="auto" w:fill="auto"/>
            <w:noWrap/>
            <w:vAlign w:val="bottom"/>
            <w:hideMark/>
          </w:tcPr>
          <w:p w14:paraId="7FEFF753"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114</w:t>
            </w:r>
          </w:p>
        </w:tc>
        <w:tc>
          <w:tcPr>
            <w:tcW w:w="446" w:type="pct"/>
            <w:tcBorders>
              <w:top w:val="nil"/>
              <w:left w:val="nil"/>
              <w:bottom w:val="nil"/>
              <w:right w:val="nil"/>
            </w:tcBorders>
            <w:shd w:val="clear" w:color="auto" w:fill="auto"/>
            <w:noWrap/>
            <w:vAlign w:val="bottom"/>
            <w:hideMark/>
          </w:tcPr>
          <w:p w14:paraId="33F038E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21C45C53"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w:t>
            </w:r>
          </w:p>
        </w:tc>
        <w:tc>
          <w:tcPr>
            <w:tcW w:w="446" w:type="pct"/>
            <w:tcBorders>
              <w:top w:val="nil"/>
              <w:left w:val="nil"/>
              <w:bottom w:val="nil"/>
              <w:right w:val="nil"/>
            </w:tcBorders>
            <w:shd w:val="clear" w:color="auto" w:fill="auto"/>
            <w:noWrap/>
            <w:vAlign w:val="bottom"/>
            <w:hideMark/>
          </w:tcPr>
          <w:p w14:paraId="0516A489"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50B2E114"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797196C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r>
      <w:tr w:rsidR="00DD531B" w:rsidRPr="00DD531B" w14:paraId="6753B2CF" w14:textId="77777777" w:rsidTr="001F24AE">
        <w:trPr>
          <w:trHeight w:val="300"/>
        </w:trPr>
        <w:tc>
          <w:tcPr>
            <w:tcW w:w="1877" w:type="pct"/>
            <w:tcBorders>
              <w:top w:val="nil"/>
              <w:left w:val="nil"/>
              <w:bottom w:val="nil"/>
              <w:right w:val="nil"/>
            </w:tcBorders>
            <w:shd w:val="clear" w:color="auto" w:fill="auto"/>
            <w:noWrap/>
            <w:vAlign w:val="bottom"/>
            <w:hideMark/>
          </w:tcPr>
          <w:p w14:paraId="71741029" w14:textId="77777777" w:rsidR="00DD531B" w:rsidRPr="00D03732" w:rsidRDefault="00DD531B" w:rsidP="00DD531B">
            <w:pPr>
              <w:spacing w:after="0" w:line="240" w:lineRule="auto"/>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presun z minulých rokov § 8, v tom:</w:t>
            </w:r>
          </w:p>
        </w:tc>
        <w:tc>
          <w:tcPr>
            <w:tcW w:w="446" w:type="pct"/>
            <w:tcBorders>
              <w:top w:val="nil"/>
              <w:left w:val="nil"/>
              <w:bottom w:val="nil"/>
              <w:right w:val="nil"/>
            </w:tcBorders>
            <w:shd w:val="clear" w:color="auto" w:fill="auto"/>
            <w:noWrap/>
            <w:vAlign w:val="bottom"/>
            <w:hideMark/>
          </w:tcPr>
          <w:p w14:paraId="0C9CF3D4"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393</w:t>
            </w:r>
          </w:p>
        </w:tc>
        <w:tc>
          <w:tcPr>
            <w:tcW w:w="446" w:type="pct"/>
            <w:tcBorders>
              <w:top w:val="nil"/>
              <w:left w:val="nil"/>
              <w:bottom w:val="nil"/>
              <w:right w:val="nil"/>
            </w:tcBorders>
            <w:shd w:val="clear" w:color="auto" w:fill="auto"/>
            <w:noWrap/>
            <w:vAlign w:val="bottom"/>
            <w:hideMark/>
          </w:tcPr>
          <w:p w14:paraId="7C42B419"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403</w:t>
            </w:r>
          </w:p>
        </w:tc>
        <w:tc>
          <w:tcPr>
            <w:tcW w:w="446" w:type="pct"/>
            <w:tcBorders>
              <w:top w:val="nil"/>
              <w:left w:val="nil"/>
              <w:bottom w:val="nil"/>
              <w:right w:val="nil"/>
            </w:tcBorders>
            <w:shd w:val="clear" w:color="auto" w:fill="auto"/>
            <w:noWrap/>
            <w:vAlign w:val="bottom"/>
            <w:hideMark/>
          </w:tcPr>
          <w:p w14:paraId="26042A1B"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446" w:type="pct"/>
            <w:tcBorders>
              <w:top w:val="nil"/>
              <w:left w:val="nil"/>
              <w:bottom w:val="nil"/>
              <w:right w:val="nil"/>
            </w:tcBorders>
            <w:shd w:val="clear" w:color="auto" w:fill="auto"/>
            <w:noWrap/>
            <w:vAlign w:val="bottom"/>
            <w:hideMark/>
          </w:tcPr>
          <w:p w14:paraId="08D00D94"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1 089</w:t>
            </w:r>
          </w:p>
        </w:tc>
        <w:tc>
          <w:tcPr>
            <w:tcW w:w="446" w:type="pct"/>
            <w:tcBorders>
              <w:top w:val="nil"/>
              <w:left w:val="nil"/>
              <w:bottom w:val="nil"/>
              <w:right w:val="nil"/>
            </w:tcBorders>
            <w:shd w:val="clear" w:color="auto" w:fill="auto"/>
            <w:noWrap/>
            <w:vAlign w:val="bottom"/>
            <w:hideMark/>
          </w:tcPr>
          <w:p w14:paraId="30A589FC"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446" w:type="pct"/>
            <w:tcBorders>
              <w:top w:val="nil"/>
              <w:left w:val="nil"/>
              <w:bottom w:val="nil"/>
              <w:right w:val="nil"/>
            </w:tcBorders>
            <w:shd w:val="clear" w:color="auto" w:fill="auto"/>
            <w:noWrap/>
            <w:vAlign w:val="bottom"/>
            <w:hideMark/>
          </w:tcPr>
          <w:p w14:paraId="59AB4A42"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446" w:type="pct"/>
            <w:tcBorders>
              <w:top w:val="nil"/>
              <w:left w:val="nil"/>
              <w:bottom w:val="nil"/>
              <w:right w:val="nil"/>
            </w:tcBorders>
            <w:shd w:val="clear" w:color="auto" w:fill="auto"/>
            <w:noWrap/>
            <w:vAlign w:val="bottom"/>
            <w:hideMark/>
          </w:tcPr>
          <w:p w14:paraId="1B4CAB48"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r>
      <w:tr w:rsidR="00DD531B" w:rsidRPr="00DD531B" w14:paraId="038C6C81" w14:textId="77777777" w:rsidTr="001F24AE">
        <w:trPr>
          <w:trHeight w:val="300"/>
        </w:trPr>
        <w:tc>
          <w:tcPr>
            <w:tcW w:w="1877" w:type="pct"/>
            <w:tcBorders>
              <w:top w:val="nil"/>
              <w:left w:val="nil"/>
              <w:bottom w:val="nil"/>
              <w:right w:val="nil"/>
            </w:tcBorders>
            <w:shd w:val="clear" w:color="auto" w:fill="auto"/>
            <w:noWrap/>
            <w:vAlign w:val="bottom"/>
            <w:hideMark/>
          </w:tcPr>
          <w:p w14:paraId="10FF9E3F"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štátny rozpočet</w:t>
            </w:r>
          </w:p>
        </w:tc>
        <w:tc>
          <w:tcPr>
            <w:tcW w:w="446" w:type="pct"/>
            <w:tcBorders>
              <w:top w:val="nil"/>
              <w:left w:val="nil"/>
              <w:bottom w:val="nil"/>
              <w:right w:val="nil"/>
            </w:tcBorders>
            <w:shd w:val="clear" w:color="auto" w:fill="auto"/>
            <w:noWrap/>
            <w:vAlign w:val="bottom"/>
            <w:hideMark/>
          </w:tcPr>
          <w:p w14:paraId="396691B5"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59</w:t>
            </w:r>
          </w:p>
        </w:tc>
        <w:tc>
          <w:tcPr>
            <w:tcW w:w="446" w:type="pct"/>
            <w:tcBorders>
              <w:top w:val="nil"/>
              <w:left w:val="nil"/>
              <w:bottom w:val="nil"/>
              <w:right w:val="nil"/>
            </w:tcBorders>
            <w:shd w:val="clear" w:color="auto" w:fill="auto"/>
            <w:noWrap/>
            <w:vAlign w:val="bottom"/>
            <w:hideMark/>
          </w:tcPr>
          <w:p w14:paraId="2EF096C9"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5ED5622D"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3B244B4A"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790</w:t>
            </w:r>
          </w:p>
        </w:tc>
        <w:tc>
          <w:tcPr>
            <w:tcW w:w="446" w:type="pct"/>
            <w:tcBorders>
              <w:top w:val="nil"/>
              <w:left w:val="nil"/>
              <w:bottom w:val="nil"/>
              <w:right w:val="nil"/>
            </w:tcBorders>
            <w:shd w:val="clear" w:color="auto" w:fill="auto"/>
            <w:noWrap/>
            <w:vAlign w:val="bottom"/>
            <w:hideMark/>
          </w:tcPr>
          <w:p w14:paraId="7A6921C8"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2E41F5EF"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3384AA77"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r>
      <w:tr w:rsidR="00DD531B" w:rsidRPr="00DD531B" w14:paraId="6CBA8176" w14:textId="77777777" w:rsidTr="001F24AE">
        <w:trPr>
          <w:trHeight w:val="300"/>
        </w:trPr>
        <w:tc>
          <w:tcPr>
            <w:tcW w:w="1877" w:type="pct"/>
            <w:tcBorders>
              <w:top w:val="nil"/>
              <w:left w:val="nil"/>
              <w:bottom w:val="single" w:sz="4" w:space="0" w:color="auto"/>
              <w:right w:val="nil"/>
            </w:tcBorders>
            <w:shd w:val="clear" w:color="auto" w:fill="auto"/>
            <w:noWrap/>
            <w:vAlign w:val="bottom"/>
            <w:hideMark/>
          </w:tcPr>
          <w:p w14:paraId="3D2B391A"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prostriedky EÚ a spolufinancovanie zo ŠR</w:t>
            </w:r>
          </w:p>
        </w:tc>
        <w:tc>
          <w:tcPr>
            <w:tcW w:w="446" w:type="pct"/>
            <w:tcBorders>
              <w:top w:val="nil"/>
              <w:left w:val="nil"/>
              <w:bottom w:val="single" w:sz="4" w:space="0" w:color="auto"/>
              <w:right w:val="nil"/>
            </w:tcBorders>
            <w:shd w:val="clear" w:color="auto" w:fill="auto"/>
            <w:noWrap/>
            <w:vAlign w:val="bottom"/>
            <w:hideMark/>
          </w:tcPr>
          <w:p w14:paraId="3E3A62AD"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334</w:t>
            </w:r>
          </w:p>
        </w:tc>
        <w:tc>
          <w:tcPr>
            <w:tcW w:w="446" w:type="pct"/>
            <w:tcBorders>
              <w:top w:val="nil"/>
              <w:left w:val="nil"/>
              <w:bottom w:val="single" w:sz="4" w:space="0" w:color="auto"/>
              <w:right w:val="nil"/>
            </w:tcBorders>
            <w:shd w:val="clear" w:color="auto" w:fill="auto"/>
            <w:noWrap/>
            <w:vAlign w:val="bottom"/>
            <w:hideMark/>
          </w:tcPr>
          <w:p w14:paraId="60E86495"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403</w:t>
            </w:r>
          </w:p>
        </w:tc>
        <w:tc>
          <w:tcPr>
            <w:tcW w:w="446" w:type="pct"/>
            <w:tcBorders>
              <w:top w:val="nil"/>
              <w:left w:val="nil"/>
              <w:bottom w:val="single" w:sz="4" w:space="0" w:color="auto"/>
              <w:right w:val="nil"/>
            </w:tcBorders>
            <w:shd w:val="clear" w:color="auto" w:fill="auto"/>
            <w:noWrap/>
            <w:vAlign w:val="bottom"/>
            <w:hideMark/>
          </w:tcPr>
          <w:p w14:paraId="4E678AE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single" w:sz="4" w:space="0" w:color="auto"/>
              <w:right w:val="nil"/>
            </w:tcBorders>
            <w:shd w:val="clear" w:color="auto" w:fill="auto"/>
            <w:noWrap/>
            <w:vAlign w:val="bottom"/>
            <w:hideMark/>
          </w:tcPr>
          <w:p w14:paraId="7547E95F"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299</w:t>
            </w:r>
          </w:p>
        </w:tc>
        <w:tc>
          <w:tcPr>
            <w:tcW w:w="446" w:type="pct"/>
            <w:tcBorders>
              <w:top w:val="nil"/>
              <w:left w:val="nil"/>
              <w:bottom w:val="single" w:sz="4" w:space="0" w:color="auto"/>
              <w:right w:val="nil"/>
            </w:tcBorders>
            <w:shd w:val="clear" w:color="auto" w:fill="auto"/>
            <w:noWrap/>
            <w:vAlign w:val="bottom"/>
            <w:hideMark/>
          </w:tcPr>
          <w:p w14:paraId="62D0E994"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single" w:sz="4" w:space="0" w:color="auto"/>
              <w:right w:val="nil"/>
            </w:tcBorders>
            <w:shd w:val="clear" w:color="auto" w:fill="auto"/>
            <w:noWrap/>
            <w:vAlign w:val="bottom"/>
            <w:hideMark/>
          </w:tcPr>
          <w:p w14:paraId="039DCD94"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46" w:type="pct"/>
            <w:tcBorders>
              <w:top w:val="nil"/>
              <w:left w:val="nil"/>
              <w:bottom w:val="single" w:sz="4" w:space="0" w:color="auto"/>
              <w:right w:val="nil"/>
            </w:tcBorders>
            <w:shd w:val="clear" w:color="auto" w:fill="auto"/>
            <w:noWrap/>
            <w:vAlign w:val="bottom"/>
            <w:hideMark/>
          </w:tcPr>
          <w:p w14:paraId="57E44F13"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r>
    </w:tbl>
    <w:p w14:paraId="4A058BD8" w14:textId="77777777" w:rsidR="00DD531B" w:rsidRPr="00DD531B" w:rsidRDefault="00DD531B" w:rsidP="00DD531B">
      <w:pPr>
        <w:rPr>
          <w:rFonts w:ascii="Times New Roman" w:eastAsia="Calibri" w:hAnsi="Times New Roman" w:cs="Times New Roman"/>
        </w:rPr>
      </w:pPr>
    </w:p>
    <w:p w14:paraId="51D2C099" w14:textId="77777777" w:rsidR="00DD531B" w:rsidRPr="00D03732" w:rsidRDefault="00DD531B" w:rsidP="00D03732">
      <w:pPr>
        <w:keepNext/>
        <w:keepLines/>
        <w:spacing w:before="40" w:after="0"/>
        <w:outlineLvl w:val="1"/>
        <w:rPr>
          <w:rFonts w:ascii="Times New Roman" w:eastAsia="Times New Roman" w:hAnsi="Times New Roman" w:cs="Times New Roman"/>
          <w:b/>
          <w:color w:val="5B9BD5" w:themeColor="accent1"/>
          <w:sz w:val="24"/>
          <w:szCs w:val="24"/>
        </w:rPr>
      </w:pPr>
      <w:r w:rsidRPr="00D03732">
        <w:rPr>
          <w:rFonts w:ascii="Times New Roman" w:eastAsia="Times New Roman" w:hAnsi="Times New Roman" w:cs="Times New Roman"/>
          <w:b/>
          <w:color w:val="5B9BD5" w:themeColor="accent1"/>
          <w:sz w:val="24"/>
          <w:szCs w:val="24"/>
        </w:rPr>
        <w:t>Slovenská informačná služba</w:t>
      </w:r>
    </w:p>
    <w:p w14:paraId="1D339356" w14:textId="77777777" w:rsidR="00DD531B" w:rsidRPr="00DD531B" w:rsidRDefault="00DD531B" w:rsidP="00DD531B">
      <w:pPr>
        <w:rPr>
          <w:rFonts w:ascii="Times New Roman" w:eastAsia="Calibri" w:hAnsi="Times New Roman" w:cs="Times New Roman"/>
        </w:rPr>
      </w:pPr>
    </w:p>
    <w:p w14:paraId="5EA81758" w14:textId="57B07A0D" w:rsidR="00DD531B" w:rsidRPr="00D03732" w:rsidRDefault="00D03732"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199" w:name="_Toc153013069"/>
      <w:r w:rsidRPr="00D03732">
        <w:rPr>
          <w:rFonts w:ascii="Times New Roman" w:eastAsia="Times New Roman" w:hAnsi="Times New Roman" w:cs="Times New Roman"/>
          <w:b/>
          <w:iCs/>
          <w:color w:val="5B9BD5" w:themeColor="accent1"/>
          <w:sz w:val="20"/>
          <w:szCs w:val="20"/>
          <w:lang w:eastAsia="sk-SK"/>
        </w:rPr>
        <w:t xml:space="preserve">Tabuľka </w:t>
      </w:r>
      <w:r w:rsidRPr="00D03732">
        <w:rPr>
          <w:rFonts w:ascii="Times New Roman" w:hAnsi="Times New Roman" w:cs="Times New Roman"/>
          <w:b/>
          <w:color w:val="5B9BD5" w:themeColor="accent1"/>
          <w:sz w:val="20"/>
          <w:szCs w:val="20"/>
        </w:rPr>
        <w:fldChar w:fldCharType="begin"/>
      </w:r>
      <w:r w:rsidRPr="00D03732">
        <w:rPr>
          <w:rFonts w:ascii="Times New Roman" w:hAnsi="Times New Roman" w:cs="Times New Roman"/>
          <w:b/>
          <w:color w:val="5B9BD5" w:themeColor="accent1"/>
          <w:sz w:val="20"/>
          <w:szCs w:val="20"/>
        </w:rPr>
        <w:instrText xml:space="preserve"> SEQ Tabuľka \* ARABIC </w:instrText>
      </w:r>
      <w:r w:rsidRPr="00D03732">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71</w:t>
      </w:r>
      <w:r w:rsidRPr="00D03732">
        <w:rPr>
          <w:rFonts w:ascii="Times New Roman" w:hAnsi="Times New Roman" w:cs="Times New Roman"/>
          <w:b/>
          <w:color w:val="5B9BD5" w:themeColor="accent1"/>
          <w:sz w:val="20"/>
          <w:szCs w:val="20"/>
        </w:rPr>
        <w:fldChar w:fldCharType="end"/>
      </w:r>
      <w:r w:rsidRPr="00D03732">
        <w:rPr>
          <w:rFonts w:ascii="Times New Roman" w:hAnsi="Times New Roman" w:cs="Times New Roman"/>
          <w:b/>
          <w:color w:val="5B9BD5" w:themeColor="accent1"/>
          <w:sz w:val="20"/>
          <w:szCs w:val="20"/>
        </w:rPr>
        <w:t xml:space="preserve"> - </w:t>
      </w:r>
      <w:r w:rsidR="00DD531B" w:rsidRPr="00D03732">
        <w:rPr>
          <w:rFonts w:ascii="Times New Roman" w:eastAsia="Times New Roman" w:hAnsi="Times New Roman" w:cs="Times New Roman"/>
          <w:b/>
          <w:iCs/>
          <w:color w:val="5B9BD5" w:themeColor="accent1"/>
          <w:sz w:val="20"/>
          <w:szCs w:val="20"/>
          <w:lang w:eastAsia="sk-SK"/>
        </w:rPr>
        <w:t>Príjmy kapitoly SIS</w:t>
      </w:r>
      <w:bookmarkEnd w:id="199"/>
    </w:p>
    <w:tbl>
      <w:tblPr>
        <w:tblW w:w="5000" w:type="pct"/>
        <w:tblCellMar>
          <w:left w:w="70" w:type="dxa"/>
          <w:right w:w="70" w:type="dxa"/>
        </w:tblCellMar>
        <w:tblLook w:val="04A0" w:firstRow="1" w:lastRow="0" w:firstColumn="1" w:lastColumn="0" w:noHBand="0" w:noVBand="1"/>
      </w:tblPr>
      <w:tblGrid>
        <w:gridCol w:w="4716"/>
        <w:gridCol w:w="589"/>
        <w:gridCol w:w="589"/>
        <w:gridCol w:w="616"/>
        <w:gridCol w:w="714"/>
        <w:gridCol w:w="616"/>
        <w:gridCol w:w="616"/>
        <w:gridCol w:w="616"/>
      </w:tblGrid>
      <w:tr w:rsidR="00DD531B" w:rsidRPr="00DD531B" w14:paraId="306A6244" w14:textId="77777777" w:rsidTr="001F24AE">
        <w:trPr>
          <w:trHeight w:val="300"/>
        </w:trPr>
        <w:tc>
          <w:tcPr>
            <w:tcW w:w="2692" w:type="pct"/>
            <w:tcBorders>
              <w:top w:val="single" w:sz="4" w:space="0" w:color="auto"/>
              <w:left w:val="nil"/>
              <w:bottom w:val="single" w:sz="4" w:space="0" w:color="auto"/>
              <w:right w:val="nil"/>
            </w:tcBorders>
            <w:shd w:val="clear" w:color="auto" w:fill="auto"/>
            <w:noWrap/>
            <w:vAlign w:val="center"/>
            <w:hideMark/>
          </w:tcPr>
          <w:p w14:paraId="71946149" w14:textId="77777777" w:rsidR="00DD531B" w:rsidRPr="00D6350B" w:rsidRDefault="00DD531B" w:rsidP="00DD531B">
            <w:pPr>
              <w:spacing w:after="0" w:line="240" w:lineRule="auto"/>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v tis. eur</w:t>
            </w:r>
          </w:p>
        </w:tc>
        <w:tc>
          <w:tcPr>
            <w:tcW w:w="314" w:type="pct"/>
            <w:tcBorders>
              <w:top w:val="single" w:sz="4" w:space="0" w:color="auto"/>
              <w:left w:val="nil"/>
              <w:bottom w:val="single" w:sz="4" w:space="0" w:color="auto"/>
              <w:right w:val="nil"/>
            </w:tcBorders>
            <w:shd w:val="clear" w:color="auto" w:fill="auto"/>
            <w:noWrap/>
            <w:vAlign w:val="center"/>
            <w:hideMark/>
          </w:tcPr>
          <w:p w14:paraId="646510F3" w14:textId="77777777" w:rsidR="00DD531B" w:rsidRPr="00D6350B" w:rsidRDefault="00DD531B" w:rsidP="00D03732">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2021 S</w:t>
            </w:r>
          </w:p>
        </w:tc>
        <w:tc>
          <w:tcPr>
            <w:tcW w:w="314" w:type="pct"/>
            <w:tcBorders>
              <w:top w:val="single" w:sz="4" w:space="0" w:color="auto"/>
              <w:left w:val="nil"/>
              <w:bottom w:val="single" w:sz="4" w:space="0" w:color="auto"/>
              <w:right w:val="nil"/>
            </w:tcBorders>
            <w:shd w:val="clear" w:color="auto" w:fill="auto"/>
            <w:noWrap/>
            <w:vAlign w:val="center"/>
            <w:hideMark/>
          </w:tcPr>
          <w:p w14:paraId="1448159E" w14:textId="77777777" w:rsidR="00DD531B" w:rsidRPr="00D6350B" w:rsidRDefault="00DD531B" w:rsidP="00D03732">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2022 S</w:t>
            </w:r>
          </w:p>
        </w:tc>
        <w:tc>
          <w:tcPr>
            <w:tcW w:w="324" w:type="pct"/>
            <w:tcBorders>
              <w:top w:val="single" w:sz="4" w:space="0" w:color="auto"/>
              <w:left w:val="nil"/>
              <w:bottom w:val="single" w:sz="4" w:space="0" w:color="auto"/>
              <w:right w:val="nil"/>
            </w:tcBorders>
            <w:shd w:val="clear" w:color="auto" w:fill="auto"/>
            <w:noWrap/>
            <w:vAlign w:val="center"/>
            <w:hideMark/>
          </w:tcPr>
          <w:p w14:paraId="2C7211FC" w14:textId="77777777" w:rsidR="00DD531B" w:rsidRPr="00D6350B" w:rsidRDefault="00DD531B" w:rsidP="00D03732">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2023 R</w:t>
            </w:r>
          </w:p>
        </w:tc>
        <w:tc>
          <w:tcPr>
            <w:tcW w:w="385" w:type="pct"/>
            <w:tcBorders>
              <w:top w:val="single" w:sz="4" w:space="0" w:color="auto"/>
              <w:left w:val="nil"/>
              <w:bottom w:val="single" w:sz="4" w:space="0" w:color="auto"/>
              <w:right w:val="nil"/>
            </w:tcBorders>
            <w:shd w:val="clear" w:color="auto" w:fill="auto"/>
            <w:noWrap/>
            <w:vAlign w:val="center"/>
            <w:hideMark/>
          </w:tcPr>
          <w:p w14:paraId="2F28C43E" w14:textId="77777777" w:rsidR="00DD531B" w:rsidRPr="00D6350B" w:rsidRDefault="00DD531B" w:rsidP="00D03732">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2023 OS</w:t>
            </w:r>
          </w:p>
        </w:tc>
        <w:tc>
          <w:tcPr>
            <w:tcW w:w="324" w:type="pct"/>
            <w:tcBorders>
              <w:top w:val="single" w:sz="4" w:space="0" w:color="auto"/>
              <w:left w:val="nil"/>
              <w:bottom w:val="single" w:sz="4" w:space="0" w:color="auto"/>
              <w:right w:val="nil"/>
            </w:tcBorders>
            <w:shd w:val="clear" w:color="auto" w:fill="auto"/>
            <w:noWrap/>
            <w:vAlign w:val="center"/>
            <w:hideMark/>
          </w:tcPr>
          <w:p w14:paraId="49FD543E" w14:textId="77777777" w:rsidR="00DD531B" w:rsidRPr="00D6350B" w:rsidRDefault="00DD531B" w:rsidP="00D03732">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2024 N</w:t>
            </w:r>
          </w:p>
        </w:tc>
        <w:tc>
          <w:tcPr>
            <w:tcW w:w="324" w:type="pct"/>
            <w:tcBorders>
              <w:top w:val="single" w:sz="4" w:space="0" w:color="auto"/>
              <w:left w:val="nil"/>
              <w:bottom w:val="single" w:sz="4" w:space="0" w:color="auto"/>
              <w:right w:val="nil"/>
            </w:tcBorders>
            <w:shd w:val="clear" w:color="auto" w:fill="auto"/>
            <w:noWrap/>
            <w:vAlign w:val="center"/>
            <w:hideMark/>
          </w:tcPr>
          <w:p w14:paraId="1695A093" w14:textId="77777777" w:rsidR="00DD531B" w:rsidRPr="00D6350B" w:rsidRDefault="00DD531B" w:rsidP="00D03732">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2025 N</w:t>
            </w:r>
          </w:p>
        </w:tc>
        <w:tc>
          <w:tcPr>
            <w:tcW w:w="324" w:type="pct"/>
            <w:tcBorders>
              <w:top w:val="single" w:sz="4" w:space="0" w:color="auto"/>
              <w:left w:val="nil"/>
              <w:bottom w:val="single" w:sz="4" w:space="0" w:color="auto"/>
              <w:right w:val="nil"/>
            </w:tcBorders>
            <w:shd w:val="clear" w:color="auto" w:fill="auto"/>
            <w:noWrap/>
            <w:vAlign w:val="center"/>
            <w:hideMark/>
          </w:tcPr>
          <w:p w14:paraId="053DD6E9" w14:textId="77777777" w:rsidR="00DD531B" w:rsidRPr="00D6350B" w:rsidRDefault="00DD531B" w:rsidP="00D03732">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2026 N</w:t>
            </w:r>
          </w:p>
        </w:tc>
      </w:tr>
      <w:tr w:rsidR="00DD531B" w:rsidRPr="00DD531B" w14:paraId="63D0F6F3" w14:textId="77777777" w:rsidTr="001F24AE">
        <w:trPr>
          <w:trHeight w:val="300"/>
        </w:trPr>
        <w:tc>
          <w:tcPr>
            <w:tcW w:w="2692" w:type="pct"/>
            <w:tcBorders>
              <w:top w:val="nil"/>
              <w:left w:val="nil"/>
              <w:bottom w:val="nil"/>
              <w:right w:val="nil"/>
            </w:tcBorders>
            <w:shd w:val="clear" w:color="auto" w:fill="auto"/>
            <w:noWrap/>
            <w:vAlign w:val="bottom"/>
            <w:hideMark/>
          </w:tcPr>
          <w:p w14:paraId="7C489853" w14:textId="77777777" w:rsidR="00DD531B" w:rsidRPr="00D6350B" w:rsidRDefault="00DD531B" w:rsidP="00DD531B">
            <w:pPr>
              <w:spacing w:after="0" w:line="240" w:lineRule="auto"/>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Príjmy kapitoly spolu</w:t>
            </w:r>
          </w:p>
        </w:tc>
        <w:tc>
          <w:tcPr>
            <w:tcW w:w="314" w:type="pct"/>
            <w:tcBorders>
              <w:top w:val="nil"/>
              <w:left w:val="nil"/>
              <w:bottom w:val="nil"/>
              <w:right w:val="nil"/>
            </w:tcBorders>
            <w:shd w:val="clear" w:color="auto" w:fill="auto"/>
            <w:noWrap/>
            <w:vAlign w:val="bottom"/>
            <w:hideMark/>
          </w:tcPr>
          <w:p w14:paraId="0808AF40" w14:textId="77777777" w:rsidR="00DD531B" w:rsidRPr="00D6350B"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124</w:t>
            </w:r>
          </w:p>
        </w:tc>
        <w:tc>
          <w:tcPr>
            <w:tcW w:w="314" w:type="pct"/>
            <w:tcBorders>
              <w:top w:val="nil"/>
              <w:left w:val="nil"/>
              <w:bottom w:val="nil"/>
              <w:right w:val="nil"/>
            </w:tcBorders>
            <w:shd w:val="clear" w:color="auto" w:fill="auto"/>
            <w:noWrap/>
            <w:vAlign w:val="bottom"/>
            <w:hideMark/>
          </w:tcPr>
          <w:p w14:paraId="5037F0E8" w14:textId="77777777" w:rsidR="00DD531B" w:rsidRPr="00D6350B"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137</w:t>
            </w:r>
          </w:p>
        </w:tc>
        <w:tc>
          <w:tcPr>
            <w:tcW w:w="324" w:type="pct"/>
            <w:tcBorders>
              <w:top w:val="nil"/>
              <w:left w:val="nil"/>
              <w:bottom w:val="nil"/>
              <w:right w:val="nil"/>
            </w:tcBorders>
            <w:shd w:val="clear" w:color="auto" w:fill="auto"/>
            <w:noWrap/>
            <w:vAlign w:val="bottom"/>
            <w:hideMark/>
          </w:tcPr>
          <w:p w14:paraId="0D21D923" w14:textId="77777777" w:rsidR="00DD531B" w:rsidRPr="00D6350B"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200</w:t>
            </w:r>
          </w:p>
        </w:tc>
        <w:tc>
          <w:tcPr>
            <w:tcW w:w="385" w:type="pct"/>
            <w:tcBorders>
              <w:top w:val="nil"/>
              <w:left w:val="nil"/>
              <w:bottom w:val="nil"/>
              <w:right w:val="nil"/>
            </w:tcBorders>
            <w:shd w:val="clear" w:color="auto" w:fill="auto"/>
            <w:noWrap/>
            <w:vAlign w:val="bottom"/>
            <w:hideMark/>
          </w:tcPr>
          <w:p w14:paraId="6693D9EC" w14:textId="77777777" w:rsidR="00DD531B" w:rsidRPr="00D6350B"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140</w:t>
            </w:r>
          </w:p>
        </w:tc>
        <w:tc>
          <w:tcPr>
            <w:tcW w:w="324" w:type="pct"/>
            <w:tcBorders>
              <w:top w:val="nil"/>
              <w:left w:val="nil"/>
              <w:bottom w:val="nil"/>
              <w:right w:val="nil"/>
            </w:tcBorders>
            <w:shd w:val="clear" w:color="auto" w:fill="auto"/>
            <w:noWrap/>
            <w:vAlign w:val="bottom"/>
            <w:hideMark/>
          </w:tcPr>
          <w:p w14:paraId="511C1424" w14:textId="77777777" w:rsidR="00DD531B" w:rsidRPr="00D6350B"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120</w:t>
            </w:r>
          </w:p>
        </w:tc>
        <w:tc>
          <w:tcPr>
            <w:tcW w:w="324" w:type="pct"/>
            <w:tcBorders>
              <w:top w:val="nil"/>
              <w:left w:val="nil"/>
              <w:bottom w:val="nil"/>
              <w:right w:val="nil"/>
            </w:tcBorders>
            <w:shd w:val="clear" w:color="auto" w:fill="auto"/>
            <w:noWrap/>
            <w:vAlign w:val="bottom"/>
            <w:hideMark/>
          </w:tcPr>
          <w:p w14:paraId="3D3D8803" w14:textId="77777777" w:rsidR="00DD531B" w:rsidRPr="00D6350B"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120</w:t>
            </w:r>
          </w:p>
        </w:tc>
        <w:tc>
          <w:tcPr>
            <w:tcW w:w="324" w:type="pct"/>
            <w:tcBorders>
              <w:top w:val="nil"/>
              <w:left w:val="nil"/>
              <w:bottom w:val="nil"/>
              <w:right w:val="nil"/>
            </w:tcBorders>
            <w:shd w:val="clear" w:color="auto" w:fill="auto"/>
            <w:noWrap/>
            <w:vAlign w:val="bottom"/>
            <w:hideMark/>
          </w:tcPr>
          <w:p w14:paraId="7C97BA3F" w14:textId="77777777" w:rsidR="00DD531B" w:rsidRPr="00D6350B"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120</w:t>
            </w:r>
          </w:p>
        </w:tc>
      </w:tr>
      <w:tr w:rsidR="00DD531B" w:rsidRPr="00DD531B" w14:paraId="46EB50FB" w14:textId="77777777" w:rsidTr="001F24AE">
        <w:trPr>
          <w:trHeight w:val="300"/>
        </w:trPr>
        <w:tc>
          <w:tcPr>
            <w:tcW w:w="2692" w:type="pct"/>
            <w:tcBorders>
              <w:top w:val="nil"/>
              <w:left w:val="nil"/>
              <w:bottom w:val="nil"/>
              <w:right w:val="nil"/>
            </w:tcBorders>
            <w:shd w:val="clear" w:color="auto" w:fill="auto"/>
            <w:noWrap/>
            <w:vAlign w:val="bottom"/>
            <w:hideMark/>
          </w:tcPr>
          <w:p w14:paraId="629EB00D" w14:textId="77777777" w:rsidR="00DD531B" w:rsidRPr="00D6350B" w:rsidRDefault="00DD531B" w:rsidP="00DD531B">
            <w:pPr>
              <w:spacing w:after="0" w:line="240" w:lineRule="auto"/>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nedaňové príjmy</w:t>
            </w:r>
          </w:p>
        </w:tc>
        <w:tc>
          <w:tcPr>
            <w:tcW w:w="314" w:type="pct"/>
            <w:tcBorders>
              <w:top w:val="nil"/>
              <w:left w:val="nil"/>
              <w:bottom w:val="nil"/>
              <w:right w:val="nil"/>
            </w:tcBorders>
            <w:shd w:val="clear" w:color="auto" w:fill="auto"/>
            <w:noWrap/>
            <w:vAlign w:val="bottom"/>
            <w:hideMark/>
          </w:tcPr>
          <w:p w14:paraId="7CD4D283"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97</w:t>
            </w:r>
          </w:p>
        </w:tc>
        <w:tc>
          <w:tcPr>
            <w:tcW w:w="314" w:type="pct"/>
            <w:tcBorders>
              <w:top w:val="nil"/>
              <w:left w:val="nil"/>
              <w:bottom w:val="nil"/>
              <w:right w:val="nil"/>
            </w:tcBorders>
            <w:shd w:val="clear" w:color="auto" w:fill="auto"/>
            <w:noWrap/>
            <w:vAlign w:val="bottom"/>
            <w:hideMark/>
          </w:tcPr>
          <w:p w14:paraId="0B9CEC18"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116</w:t>
            </w:r>
          </w:p>
        </w:tc>
        <w:tc>
          <w:tcPr>
            <w:tcW w:w="324" w:type="pct"/>
            <w:tcBorders>
              <w:top w:val="nil"/>
              <w:left w:val="nil"/>
              <w:bottom w:val="nil"/>
              <w:right w:val="nil"/>
            </w:tcBorders>
            <w:shd w:val="clear" w:color="auto" w:fill="auto"/>
            <w:noWrap/>
            <w:vAlign w:val="bottom"/>
            <w:hideMark/>
          </w:tcPr>
          <w:p w14:paraId="1E1A1BFA"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200</w:t>
            </w:r>
          </w:p>
        </w:tc>
        <w:tc>
          <w:tcPr>
            <w:tcW w:w="385" w:type="pct"/>
            <w:tcBorders>
              <w:top w:val="nil"/>
              <w:left w:val="nil"/>
              <w:bottom w:val="nil"/>
              <w:right w:val="nil"/>
            </w:tcBorders>
            <w:shd w:val="clear" w:color="auto" w:fill="auto"/>
            <w:noWrap/>
            <w:vAlign w:val="bottom"/>
            <w:hideMark/>
          </w:tcPr>
          <w:p w14:paraId="6AB015B1"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120</w:t>
            </w:r>
          </w:p>
        </w:tc>
        <w:tc>
          <w:tcPr>
            <w:tcW w:w="324" w:type="pct"/>
            <w:tcBorders>
              <w:top w:val="nil"/>
              <w:left w:val="nil"/>
              <w:bottom w:val="nil"/>
              <w:right w:val="nil"/>
            </w:tcBorders>
            <w:shd w:val="clear" w:color="auto" w:fill="auto"/>
            <w:noWrap/>
            <w:vAlign w:val="bottom"/>
            <w:hideMark/>
          </w:tcPr>
          <w:p w14:paraId="003D1945"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120</w:t>
            </w:r>
          </w:p>
        </w:tc>
        <w:tc>
          <w:tcPr>
            <w:tcW w:w="324" w:type="pct"/>
            <w:tcBorders>
              <w:top w:val="nil"/>
              <w:left w:val="nil"/>
              <w:bottom w:val="nil"/>
              <w:right w:val="nil"/>
            </w:tcBorders>
            <w:shd w:val="clear" w:color="auto" w:fill="auto"/>
            <w:noWrap/>
            <w:vAlign w:val="bottom"/>
            <w:hideMark/>
          </w:tcPr>
          <w:p w14:paraId="42FF2A1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120</w:t>
            </w:r>
          </w:p>
        </w:tc>
        <w:tc>
          <w:tcPr>
            <w:tcW w:w="324" w:type="pct"/>
            <w:tcBorders>
              <w:top w:val="nil"/>
              <w:left w:val="nil"/>
              <w:bottom w:val="nil"/>
              <w:right w:val="nil"/>
            </w:tcBorders>
            <w:shd w:val="clear" w:color="auto" w:fill="auto"/>
            <w:noWrap/>
            <w:vAlign w:val="bottom"/>
            <w:hideMark/>
          </w:tcPr>
          <w:p w14:paraId="51FF36EF"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120</w:t>
            </w:r>
          </w:p>
        </w:tc>
      </w:tr>
      <w:tr w:rsidR="00DD531B" w:rsidRPr="00DD531B" w14:paraId="07416875" w14:textId="77777777" w:rsidTr="001F24AE">
        <w:trPr>
          <w:trHeight w:val="300"/>
        </w:trPr>
        <w:tc>
          <w:tcPr>
            <w:tcW w:w="2692" w:type="pct"/>
            <w:tcBorders>
              <w:top w:val="nil"/>
              <w:left w:val="nil"/>
              <w:bottom w:val="single" w:sz="4" w:space="0" w:color="auto"/>
              <w:right w:val="nil"/>
            </w:tcBorders>
            <w:shd w:val="clear" w:color="auto" w:fill="auto"/>
            <w:noWrap/>
            <w:vAlign w:val="bottom"/>
            <w:hideMark/>
          </w:tcPr>
          <w:p w14:paraId="4C8E8513" w14:textId="77777777" w:rsidR="00DD531B" w:rsidRPr="00D6350B" w:rsidRDefault="00DD531B" w:rsidP="00DD531B">
            <w:pPr>
              <w:spacing w:after="0" w:line="240" w:lineRule="auto"/>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prostriedky podľa § 17 ods. 4 a § 22 ods. 4 zákona č. 523/2004 Z. z.</w:t>
            </w:r>
          </w:p>
        </w:tc>
        <w:tc>
          <w:tcPr>
            <w:tcW w:w="314" w:type="pct"/>
            <w:tcBorders>
              <w:top w:val="nil"/>
              <w:left w:val="nil"/>
              <w:bottom w:val="single" w:sz="4" w:space="0" w:color="auto"/>
              <w:right w:val="nil"/>
            </w:tcBorders>
            <w:shd w:val="clear" w:color="auto" w:fill="auto"/>
            <w:noWrap/>
            <w:vAlign w:val="bottom"/>
            <w:hideMark/>
          </w:tcPr>
          <w:p w14:paraId="12940638"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27</w:t>
            </w:r>
          </w:p>
        </w:tc>
        <w:tc>
          <w:tcPr>
            <w:tcW w:w="314" w:type="pct"/>
            <w:tcBorders>
              <w:top w:val="nil"/>
              <w:left w:val="nil"/>
              <w:bottom w:val="single" w:sz="4" w:space="0" w:color="auto"/>
              <w:right w:val="nil"/>
            </w:tcBorders>
            <w:shd w:val="clear" w:color="auto" w:fill="auto"/>
            <w:noWrap/>
            <w:vAlign w:val="bottom"/>
            <w:hideMark/>
          </w:tcPr>
          <w:p w14:paraId="53BF3D6D"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21</w:t>
            </w:r>
          </w:p>
        </w:tc>
        <w:tc>
          <w:tcPr>
            <w:tcW w:w="324" w:type="pct"/>
            <w:tcBorders>
              <w:top w:val="nil"/>
              <w:left w:val="nil"/>
              <w:bottom w:val="single" w:sz="4" w:space="0" w:color="auto"/>
              <w:right w:val="nil"/>
            </w:tcBorders>
            <w:shd w:val="clear" w:color="auto" w:fill="auto"/>
            <w:noWrap/>
            <w:vAlign w:val="bottom"/>
            <w:hideMark/>
          </w:tcPr>
          <w:p w14:paraId="6AA46971"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385" w:type="pct"/>
            <w:tcBorders>
              <w:top w:val="nil"/>
              <w:left w:val="nil"/>
              <w:bottom w:val="single" w:sz="4" w:space="0" w:color="auto"/>
              <w:right w:val="nil"/>
            </w:tcBorders>
            <w:shd w:val="clear" w:color="auto" w:fill="auto"/>
            <w:noWrap/>
            <w:vAlign w:val="bottom"/>
            <w:hideMark/>
          </w:tcPr>
          <w:p w14:paraId="406E1501"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20</w:t>
            </w:r>
          </w:p>
        </w:tc>
        <w:tc>
          <w:tcPr>
            <w:tcW w:w="324" w:type="pct"/>
            <w:tcBorders>
              <w:top w:val="nil"/>
              <w:left w:val="nil"/>
              <w:bottom w:val="single" w:sz="4" w:space="0" w:color="auto"/>
              <w:right w:val="nil"/>
            </w:tcBorders>
            <w:shd w:val="clear" w:color="auto" w:fill="auto"/>
            <w:noWrap/>
            <w:vAlign w:val="bottom"/>
            <w:hideMark/>
          </w:tcPr>
          <w:p w14:paraId="5A2891F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324" w:type="pct"/>
            <w:tcBorders>
              <w:top w:val="nil"/>
              <w:left w:val="nil"/>
              <w:bottom w:val="single" w:sz="4" w:space="0" w:color="auto"/>
              <w:right w:val="nil"/>
            </w:tcBorders>
            <w:shd w:val="clear" w:color="auto" w:fill="auto"/>
            <w:noWrap/>
            <w:vAlign w:val="bottom"/>
            <w:hideMark/>
          </w:tcPr>
          <w:p w14:paraId="617593D0"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324" w:type="pct"/>
            <w:tcBorders>
              <w:top w:val="nil"/>
              <w:left w:val="nil"/>
              <w:bottom w:val="single" w:sz="4" w:space="0" w:color="auto"/>
              <w:right w:val="nil"/>
            </w:tcBorders>
            <w:shd w:val="clear" w:color="auto" w:fill="auto"/>
            <w:noWrap/>
            <w:vAlign w:val="bottom"/>
            <w:hideMark/>
          </w:tcPr>
          <w:p w14:paraId="76B48AE5"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r>
    </w:tbl>
    <w:p w14:paraId="73510E51" w14:textId="77777777" w:rsidR="00DD531B" w:rsidRPr="00DD531B" w:rsidRDefault="00DD531B" w:rsidP="00DD531B">
      <w:pPr>
        <w:rPr>
          <w:rFonts w:ascii="Times New Roman" w:eastAsia="Calibri" w:hAnsi="Times New Roman" w:cs="Times New Roman"/>
        </w:rPr>
      </w:pPr>
    </w:p>
    <w:p w14:paraId="079F3403" w14:textId="758A9B28" w:rsidR="00DD531B" w:rsidRPr="00D03732" w:rsidRDefault="00D03732"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00" w:name="_Toc153013070"/>
      <w:r w:rsidRPr="00D03732">
        <w:rPr>
          <w:rFonts w:ascii="Times New Roman" w:eastAsia="Times New Roman" w:hAnsi="Times New Roman" w:cs="Times New Roman"/>
          <w:b/>
          <w:iCs/>
          <w:color w:val="5B9BD5" w:themeColor="accent1"/>
          <w:sz w:val="20"/>
          <w:szCs w:val="20"/>
          <w:lang w:eastAsia="sk-SK"/>
        </w:rPr>
        <w:t xml:space="preserve">Tabuľka </w:t>
      </w:r>
      <w:r w:rsidRPr="00D03732">
        <w:rPr>
          <w:rFonts w:ascii="Times New Roman" w:hAnsi="Times New Roman" w:cs="Times New Roman"/>
          <w:b/>
          <w:color w:val="5B9BD5" w:themeColor="accent1"/>
          <w:sz w:val="20"/>
          <w:szCs w:val="20"/>
        </w:rPr>
        <w:fldChar w:fldCharType="begin"/>
      </w:r>
      <w:r w:rsidRPr="00D03732">
        <w:rPr>
          <w:rFonts w:ascii="Times New Roman" w:hAnsi="Times New Roman" w:cs="Times New Roman"/>
          <w:b/>
          <w:color w:val="5B9BD5" w:themeColor="accent1"/>
          <w:sz w:val="20"/>
          <w:szCs w:val="20"/>
        </w:rPr>
        <w:instrText xml:space="preserve"> SEQ Tabuľka \* ARABIC </w:instrText>
      </w:r>
      <w:r w:rsidRPr="00D03732">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72</w:t>
      </w:r>
      <w:r w:rsidRPr="00D03732">
        <w:rPr>
          <w:rFonts w:ascii="Times New Roman" w:hAnsi="Times New Roman" w:cs="Times New Roman"/>
          <w:b/>
          <w:color w:val="5B9BD5" w:themeColor="accent1"/>
          <w:sz w:val="20"/>
          <w:szCs w:val="20"/>
        </w:rPr>
        <w:fldChar w:fldCharType="end"/>
      </w:r>
      <w:r w:rsidRPr="00D03732">
        <w:rPr>
          <w:rFonts w:ascii="Times New Roman" w:hAnsi="Times New Roman" w:cs="Times New Roman"/>
          <w:b/>
          <w:color w:val="5B9BD5" w:themeColor="accent1"/>
          <w:sz w:val="20"/>
          <w:szCs w:val="20"/>
        </w:rPr>
        <w:t xml:space="preserve"> - </w:t>
      </w:r>
      <w:r w:rsidR="00DD531B" w:rsidRPr="00D03732">
        <w:rPr>
          <w:rFonts w:ascii="Times New Roman" w:eastAsia="Times New Roman" w:hAnsi="Times New Roman" w:cs="Times New Roman"/>
          <w:b/>
          <w:iCs/>
          <w:color w:val="5B9BD5" w:themeColor="accent1"/>
          <w:sz w:val="20"/>
          <w:szCs w:val="20"/>
          <w:lang w:eastAsia="sk-SK"/>
        </w:rPr>
        <w:t>Výdavky kapitoly SIS</w:t>
      </w:r>
      <w:bookmarkEnd w:id="200"/>
    </w:p>
    <w:tbl>
      <w:tblPr>
        <w:tblW w:w="5000" w:type="pct"/>
        <w:tblCellMar>
          <w:left w:w="70" w:type="dxa"/>
          <w:right w:w="70" w:type="dxa"/>
        </w:tblCellMar>
        <w:tblLook w:val="04A0" w:firstRow="1" w:lastRow="0" w:firstColumn="1" w:lastColumn="0" w:noHBand="0" w:noVBand="1"/>
      </w:tblPr>
      <w:tblGrid>
        <w:gridCol w:w="4678"/>
        <w:gridCol w:w="596"/>
        <w:gridCol w:w="597"/>
        <w:gridCol w:w="617"/>
        <w:gridCol w:w="733"/>
        <w:gridCol w:w="617"/>
        <w:gridCol w:w="618"/>
        <w:gridCol w:w="616"/>
      </w:tblGrid>
      <w:tr w:rsidR="00DD531B" w:rsidRPr="00DD531B" w14:paraId="67FCB274" w14:textId="77777777" w:rsidTr="001F24AE">
        <w:trPr>
          <w:trHeight w:val="300"/>
        </w:trPr>
        <w:tc>
          <w:tcPr>
            <w:tcW w:w="2559" w:type="pct"/>
            <w:tcBorders>
              <w:top w:val="single" w:sz="4" w:space="0" w:color="auto"/>
              <w:left w:val="nil"/>
              <w:bottom w:val="single" w:sz="4" w:space="0" w:color="auto"/>
              <w:right w:val="nil"/>
            </w:tcBorders>
            <w:shd w:val="clear" w:color="auto" w:fill="auto"/>
            <w:noWrap/>
            <w:vAlign w:val="center"/>
            <w:hideMark/>
          </w:tcPr>
          <w:p w14:paraId="019B10DD" w14:textId="77777777" w:rsidR="00DD531B" w:rsidRPr="00D03732" w:rsidRDefault="00DD531B" w:rsidP="00DD531B">
            <w:pPr>
              <w:spacing w:after="0" w:line="240" w:lineRule="auto"/>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v tis. eur</w:t>
            </w:r>
          </w:p>
        </w:tc>
        <w:tc>
          <w:tcPr>
            <w:tcW w:w="332" w:type="pct"/>
            <w:tcBorders>
              <w:top w:val="single" w:sz="4" w:space="0" w:color="auto"/>
              <w:left w:val="nil"/>
              <w:bottom w:val="single" w:sz="4" w:space="0" w:color="auto"/>
              <w:right w:val="nil"/>
            </w:tcBorders>
            <w:shd w:val="clear" w:color="auto" w:fill="auto"/>
            <w:noWrap/>
            <w:vAlign w:val="center"/>
            <w:hideMark/>
          </w:tcPr>
          <w:p w14:paraId="34E2A37C"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2021 S</w:t>
            </w:r>
          </w:p>
        </w:tc>
        <w:tc>
          <w:tcPr>
            <w:tcW w:w="332" w:type="pct"/>
            <w:tcBorders>
              <w:top w:val="single" w:sz="4" w:space="0" w:color="auto"/>
              <w:left w:val="nil"/>
              <w:bottom w:val="single" w:sz="4" w:space="0" w:color="auto"/>
              <w:right w:val="nil"/>
            </w:tcBorders>
            <w:shd w:val="clear" w:color="auto" w:fill="auto"/>
            <w:noWrap/>
            <w:vAlign w:val="center"/>
            <w:hideMark/>
          </w:tcPr>
          <w:p w14:paraId="75A6A489"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2022 S</w:t>
            </w:r>
          </w:p>
        </w:tc>
        <w:tc>
          <w:tcPr>
            <w:tcW w:w="343" w:type="pct"/>
            <w:tcBorders>
              <w:top w:val="single" w:sz="4" w:space="0" w:color="auto"/>
              <w:left w:val="nil"/>
              <w:bottom w:val="single" w:sz="4" w:space="0" w:color="auto"/>
              <w:right w:val="nil"/>
            </w:tcBorders>
            <w:shd w:val="clear" w:color="auto" w:fill="auto"/>
            <w:noWrap/>
            <w:vAlign w:val="center"/>
            <w:hideMark/>
          </w:tcPr>
          <w:p w14:paraId="150314F8"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2023 R</w:t>
            </w:r>
          </w:p>
        </w:tc>
        <w:tc>
          <w:tcPr>
            <w:tcW w:w="407" w:type="pct"/>
            <w:tcBorders>
              <w:top w:val="single" w:sz="4" w:space="0" w:color="auto"/>
              <w:left w:val="nil"/>
              <w:bottom w:val="single" w:sz="4" w:space="0" w:color="auto"/>
              <w:right w:val="nil"/>
            </w:tcBorders>
            <w:shd w:val="clear" w:color="auto" w:fill="auto"/>
            <w:noWrap/>
            <w:vAlign w:val="center"/>
            <w:hideMark/>
          </w:tcPr>
          <w:p w14:paraId="32482D42"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2023 OS</w:t>
            </w:r>
          </w:p>
        </w:tc>
        <w:tc>
          <w:tcPr>
            <w:tcW w:w="343" w:type="pct"/>
            <w:tcBorders>
              <w:top w:val="single" w:sz="4" w:space="0" w:color="auto"/>
              <w:left w:val="nil"/>
              <w:bottom w:val="single" w:sz="4" w:space="0" w:color="auto"/>
              <w:right w:val="nil"/>
            </w:tcBorders>
            <w:shd w:val="clear" w:color="auto" w:fill="auto"/>
            <w:noWrap/>
            <w:vAlign w:val="center"/>
            <w:hideMark/>
          </w:tcPr>
          <w:p w14:paraId="15FD1B8A"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2024 N</w:t>
            </w:r>
          </w:p>
        </w:tc>
        <w:tc>
          <w:tcPr>
            <w:tcW w:w="343" w:type="pct"/>
            <w:tcBorders>
              <w:top w:val="single" w:sz="4" w:space="0" w:color="auto"/>
              <w:left w:val="nil"/>
              <w:bottom w:val="single" w:sz="4" w:space="0" w:color="auto"/>
              <w:right w:val="nil"/>
            </w:tcBorders>
            <w:shd w:val="clear" w:color="auto" w:fill="auto"/>
            <w:noWrap/>
            <w:vAlign w:val="center"/>
            <w:hideMark/>
          </w:tcPr>
          <w:p w14:paraId="2A163974"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2025 N</w:t>
            </w:r>
          </w:p>
        </w:tc>
        <w:tc>
          <w:tcPr>
            <w:tcW w:w="343" w:type="pct"/>
            <w:tcBorders>
              <w:top w:val="single" w:sz="4" w:space="0" w:color="auto"/>
              <w:left w:val="nil"/>
              <w:bottom w:val="single" w:sz="4" w:space="0" w:color="auto"/>
              <w:right w:val="nil"/>
            </w:tcBorders>
            <w:shd w:val="clear" w:color="auto" w:fill="auto"/>
            <w:noWrap/>
            <w:vAlign w:val="center"/>
            <w:hideMark/>
          </w:tcPr>
          <w:p w14:paraId="31A6D316" w14:textId="77777777" w:rsidR="00DD531B" w:rsidRPr="00D03732" w:rsidRDefault="00DD531B" w:rsidP="00D03732">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2026 N</w:t>
            </w:r>
          </w:p>
        </w:tc>
      </w:tr>
      <w:tr w:rsidR="00DD531B" w:rsidRPr="00DD531B" w14:paraId="19DAA956" w14:textId="77777777" w:rsidTr="001F24AE">
        <w:trPr>
          <w:trHeight w:val="300"/>
        </w:trPr>
        <w:tc>
          <w:tcPr>
            <w:tcW w:w="2559" w:type="pct"/>
            <w:tcBorders>
              <w:top w:val="nil"/>
              <w:left w:val="nil"/>
              <w:bottom w:val="nil"/>
              <w:right w:val="nil"/>
            </w:tcBorders>
            <w:shd w:val="clear" w:color="auto" w:fill="auto"/>
            <w:noWrap/>
            <w:vAlign w:val="center"/>
            <w:hideMark/>
          </w:tcPr>
          <w:p w14:paraId="64570692" w14:textId="77777777" w:rsidR="00DD531B" w:rsidRPr="00D03732" w:rsidRDefault="00DD531B" w:rsidP="00DD531B">
            <w:pPr>
              <w:spacing w:after="0" w:line="240" w:lineRule="auto"/>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Výdavky kapitoly spolu</w:t>
            </w:r>
          </w:p>
        </w:tc>
        <w:tc>
          <w:tcPr>
            <w:tcW w:w="332" w:type="pct"/>
            <w:tcBorders>
              <w:top w:val="nil"/>
              <w:left w:val="nil"/>
              <w:bottom w:val="nil"/>
              <w:right w:val="nil"/>
            </w:tcBorders>
            <w:shd w:val="clear" w:color="auto" w:fill="auto"/>
            <w:noWrap/>
            <w:vAlign w:val="center"/>
            <w:hideMark/>
          </w:tcPr>
          <w:p w14:paraId="79A40798"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68 650</w:t>
            </w:r>
          </w:p>
        </w:tc>
        <w:tc>
          <w:tcPr>
            <w:tcW w:w="332" w:type="pct"/>
            <w:tcBorders>
              <w:top w:val="nil"/>
              <w:left w:val="nil"/>
              <w:bottom w:val="nil"/>
              <w:right w:val="nil"/>
            </w:tcBorders>
            <w:shd w:val="clear" w:color="auto" w:fill="auto"/>
            <w:noWrap/>
            <w:vAlign w:val="center"/>
            <w:hideMark/>
          </w:tcPr>
          <w:p w14:paraId="24C45C63"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82 088</w:t>
            </w:r>
          </w:p>
        </w:tc>
        <w:tc>
          <w:tcPr>
            <w:tcW w:w="343" w:type="pct"/>
            <w:tcBorders>
              <w:top w:val="nil"/>
              <w:left w:val="nil"/>
              <w:bottom w:val="nil"/>
              <w:right w:val="nil"/>
            </w:tcBorders>
            <w:shd w:val="clear" w:color="auto" w:fill="auto"/>
            <w:noWrap/>
            <w:vAlign w:val="center"/>
            <w:hideMark/>
          </w:tcPr>
          <w:p w14:paraId="1C1919B5"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76 543</w:t>
            </w:r>
          </w:p>
        </w:tc>
        <w:tc>
          <w:tcPr>
            <w:tcW w:w="407" w:type="pct"/>
            <w:tcBorders>
              <w:top w:val="nil"/>
              <w:left w:val="nil"/>
              <w:bottom w:val="nil"/>
              <w:right w:val="nil"/>
            </w:tcBorders>
            <w:shd w:val="clear" w:color="auto" w:fill="auto"/>
            <w:noWrap/>
            <w:vAlign w:val="center"/>
            <w:hideMark/>
          </w:tcPr>
          <w:p w14:paraId="09FC0322"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80 657</w:t>
            </w:r>
          </w:p>
        </w:tc>
        <w:tc>
          <w:tcPr>
            <w:tcW w:w="343" w:type="pct"/>
            <w:tcBorders>
              <w:top w:val="nil"/>
              <w:left w:val="nil"/>
              <w:bottom w:val="nil"/>
              <w:right w:val="nil"/>
            </w:tcBorders>
            <w:shd w:val="clear" w:color="auto" w:fill="auto"/>
            <w:noWrap/>
            <w:vAlign w:val="center"/>
            <w:hideMark/>
          </w:tcPr>
          <w:p w14:paraId="2410E2AE"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84 087</w:t>
            </w:r>
          </w:p>
        </w:tc>
        <w:tc>
          <w:tcPr>
            <w:tcW w:w="343" w:type="pct"/>
            <w:tcBorders>
              <w:top w:val="nil"/>
              <w:left w:val="nil"/>
              <w:bottom w:val="nil"/>
              <w:right w:val="nil"/>
            </w:tcBorders>
            <w:shd w:val="clear" w:color="auto" w:fill="auto"/>
            <w:noWrap/>
            <w:vAlign w:val="center"/>
            <w:hideMark/>
          </w:tcPr>
          <w:p w14:paraId="36D4F0F2"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84 067</w:t>
            </w:r>
          </w:p>
        </w:tc>
        <w:tc>
          <w:tcPr>
            <w:tcW w:w="343" w:type="pct"/>
            <w:tcBorders>
              <w:top w:val="nil"/>
              <w:left w:val="nil"/>
              <w:bottom w:val="nil"/>
              <w:right w:val="nil"/>
            </w:tcBorders>
            <w:shd w:val="clear" w:color="auto" w:fill="auto"/>
            <w:noWrap/>
            <w:vAlign w:val="center"/>
            <w:hideMark/>
          </w:tcPr>
          <w:p w14:paraId="222C558C"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83 888</w:t>
            </w:r>
          </w:p>
        </w:tc>
      </w:tr>
      <w:tr w:rsidR="00DD531B" w:rsidRPr="00DD531B" w14:paraId="7D118AA2" w14:textId="77777777" w:rsidTr="001F24AE">
        <w:trPr>
          <w:trHeight w:val="300"/>
        </w:trPr>
        <w:tc>
          <w:tcPr>
            <w:tcW w:w="2559" w:type="pct"/>
            <w:tcBorders>
              <w:top w:val="nil"/>
              <w:left w:val="nil"/>
              <w:bottom w:val="nil"/>
              <w:right w:val="nil"/>
            </w:tcBorders>
            <w:shd w:val="clear" w:color="auto" w:fill="auto"/>
            <w:noWrap/>
            <w:vAlign w:val="bottom"/>
            <w:hideMark/>
          </w:tcPr>
          <w:p w14:paraId="749F1B09" w14:textId="77777777" w:rsidR="00DD531B" w:rsidRPr="00D03732" w:rsidRDefault="00DD531B" w:rsidP="00DD531B">
            <w:pPr>
              <w:spacing w:after="0" w:line="240" w:lineRule="auto"/>
              <w:rPr>
                <w:rFonts w:ascii="Times New Roman" w:eastAsia="Times New Roman" w:hAnsi="Times New Roman" w:cs="Times New Roman"/>
                <w:b/>
                <w:bCs/>
                <w:color w:val="000000"/>
                <w:sz w:val="16"/>
                <w:szCs w:val="16"/>
                <w:lang w:eastAsia="sk-SK"/>
              </w:rPr>
            </w:pPr>
            <w:r w:rsidRPr="00D03732">
              <w:rPr>
                <w:rFonts w:ascii="Times New Roman" w:eastAsia="Times New Roman" w:hAnsi="Times New Roman" w:cs="Times New Roman"/>
                <w:b/>
                <w:bCs/>
                <w:color w:val="000000"/>
                <w:sz w:val="16"/>
                <w:szCs w:val="16"/>
                <w:lang w:eastAsia="sk-SK"/>
              </w:rPr>
              <w:t>rozpočtové zdroje kapitoly</w:t>
            </w:r>
          </w:p>
        </w:tc>
        <w:tc>
          <w:tcPr>
            <w:tcW w:w="332" w:type="pct"/>
            <w:tcBorders>
              <w:top w:val="nil"/>
              <w:left w:val="nil"/>
              <w:bottom w:val="nil"/>
              <w:right w:val="nil"/>
            </w:tcBorders>
            <w:shd w:val="clear" w:color="auto" w:fill="auto"/>
            <w:noWrap/>
            <w:vAlign w:val="bottom"/>
            <w:hideMark/>
          </w:tcPr>
          <w:p w14:paraId="16DD1D76"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67 727</w:t>
            </w:r>
          </w:p>
        </w:tc>
        <w:tc>
          <w:tcPr>
            <w:tcW w:w="332" w:type="pct"/>
            <w:tcBorders>
              <w:top w:val="nil"/>
              <w:left w:val="nil"/>
              <w:bottom w:val="nil"/>
              <w:right w:val="nil"/>
            </w:tcBorders>
            <w:shd w:val="clear" w:color="auto" w:fill="auto"/>
            <w:noWrap/>
            <w:vAlign w:val="bottom"/>
            <w:hideMark/>
          </w:tcPr>
          <w:p w14:paraId="3BBFEEA4"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80 475</w:t>
            </w:r>
          </w:p>
        </w:tc>
        <w:tc>
          <w:tcPr>
            <w:tcW w:w="343" w:type="pct"/>
            <w:tcBorders>
              <w:top w:val="nil"/>
              <w:left w:val="nil"/>
              <w:bottom w:val="nil"/>
              <w:right w:val="nil"/>
            </w:tcBorders>
            <w:shd w:val="clear" w:color="auto" w:fill="auto"/>
            <w:noWrap/>
            <w:vAlign w:val="bottom"/>
            <w:hideMark/>
          </w:tcPr>
          <w:p w14:paraId="4D32DAF3"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76 543</w:t>
            </w:r>
          </w:p>
        </w:tc>
        <w:tc>
          <w:tcPr>
            <w:tcW w:w="407" w:type="pct"/>
            <w:tcBorders>
              <w:top w:val="nil"/>
              <w:left w:val="nil"/>
              <w:bottom w:val="nil"/>
              <w:right w:val="nil"/>
            </w:tcBorders>
            <w:shd w:val="clear" w:color="auto" w:fill="auto"/>
            <w:noWrap/>
            <w:vAlign w:val="bottom"/>
            <w:hideMark/>
          </w:tcPr>
          <w:p w14:paraId="33068028"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77 309</w:t>
            </w:r>
          </w:p>
        </w:tc>
        <w:tc>
          <w:tcPr>
            <w:tcW w:w="343" w:type="pct"/>
            <w:tcBorders>
              <w:top w:val="nil"/>
              <w:left w:val="nil"/>
              <w:bottom w:val="nil"/>
              <w:right w:val="nil"/>
            </w:tcBorders>
            <w:shd w:val="clear" w:color="auto" w:fill="auto"/>
            <w:noWrap/>
            <w:vAlign w:val="bottom"/>
            <w:hideMark/>
          </w:tcPr>
          <w:p w14:paraId="1B6F5D3E"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84 087</w:t>
            </w:r>
          </w:p>
        </w:tc>
        <w:tc>
          <w:tcPr>
            <w:tcW w:w="343" w:type="pct"/>
            <w:tcBorders>
              <w:top w:val="nil"/>
              <w:left w:val="nil"/>
              <w:bottom w:val="nil"/>
              <w:right w:val="nil"/>
            </w:tcBorders>
            <w:shd w:val="clear" w:color="auto" w:fill="auto"/>
            <w:noWrap/>
            <w:vAlign w:val="bottom"/>
            <w:hideMark/>
          </w:tcPr>
          <w:p w14:paraId="1A58DDC8"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84 067</w:t>
            </w:r>
          </w:p>
        </w:tc>
        <w:tc>
          <w:tcPr>
            <w:tcW w:w="343" w:type="pct"/>
            <w:tcBorders>
              <w:top w:val="nil"/>
              <w:left w:val="nil"/>
              <w:bottom w:val="nil"/>
              <w:right w:val="nil"/>
            </w:tcBorders>
            <w:shd w:val="clear" w:color="auto" w:fill="auto"/>
            <w:noWrap/>
            <w:vAlign w:val="bottom"/>
            <w:hideMark/>
          </w:tcPr>
          <w:p w14:paraId="5E40F55B"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83 888</w:t>
            </w:r>
          </w:p>
        </w:tc>
      </w:tr>
      <w:tr w:rsidR="00DD531B" w:rsidRPr="00DD531B" w14:paraId="7DC126CC" w14:textId="77777777" w:rsidTr="001F24AE">
        <w:trPr>
          <w:trHeight w:val="300"/>
        </w:trPr>
        <w:tc>
          <w:tcPr>
            <w:tcW w:w="2559" w:type="pct"/>
            <w:tcBorders>
              <w:top w:val="nil"/>
              <w:left w:val="nil"/>
              <w:bottom w:val="nil"/>
              <w:right w:val="nil"/>
            </w:tcBorders>
            <w:shd w:val="clear" w:color="auto" w:fill="auto"/>
            <w:noWrap/>
            <w:vAlign w:val="bottom"/>
            <w:hideMark/>
          </w:tcPr>
          <w:p w14:paraId="25005C3E"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bežné výdavky  600, v tom:</w:t>
            </w:r>
          </w:p>
        </w:tc>
        <w:tc>
          <w:tcPr>
            <w:tcW w:w="332" w:type="pct"/>
            <w:tcBorders>
              <w:top w:val="nil"/>
              <w:left w:val="nil"/>
              <w:bottom w:val="nil"/>
              <w:right w:val="nil"/>
            </w:tcBorders>
            <w:shd w:val="clear" w:color="auto" w:fill="auto"/>
            <w:noWrap/>
            <w:vAlign w:val="bottom"/>
            <w:hideMark/>
          </w:tcPr>
          <w:p w14:paraId="19DF85E0"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64 727</w:t>
            </w:r>
          </w:p>
        </w:tc>
        <w:tc>
          <w:tcPr>
            <w:tcW w:w="332" w:type="pct"/>
            <w:tcBorders>
              <w:top w:val="nil"/>
              <w:left w:val="nil"/>
              <w:bottom w:val="nil"/>
              <w:right w:val="nil"/>
            </w:tcBorders>
            <w:shd w:val="clear" w:color="auto" w:fill="auto"/>
            <w:noWrap/>
            <w:vAlign w:val="bottom"/>
            <w:hideMark/>
          </w:tcPr>
          <w:p w14:paraId="2F1FA390"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77 692</w:t>
            </w:r>
          </w:p>
        </w:tc>
        <w:tc>
          <w:tcPr>
            <w:tcW w:w="343" w:type="pct"/>
            <w:tcBorders>
              <w:top w:val="nil"/>
              <w:left w:val="nil"/>
              <w:bottom w:val="nil"/>
              <w:right w:val="nil"/>
            </w:tcBorders>
            <w:shd w:val="clear" w:color="auto" w:fill="auto"/>
            <w:noWrap/>
            <w:vAlign w:val="bottom"/>
            <w:hideMark/>
          </w:tcPr>
          <w:p w14:paraId="6BD2A633"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72 706</w:t>
            </w:r>
          </w:p>
        </w:tc>
        <w:tc>
          <w:tcPr>
            <w:tcW w:w="407" w:type="pct"/>
            <w:tcBorders>
              <w:top w:val="nil"/>
              <w:left w:val="nil"/>
              <w:bottom w:val="nil"/>
              <w:right w:val="nil"/>
            </w:tcBorders>
            <w:shd w:val="clear" w:color="auto" w:fill="auto"/>
            <w:noWrap/>
            <w:vAlign w:val="bottom"/>
            <w:hideMark/>
          </w:tcPr>
          <w:p w14:paraId="0B3ED908"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73 472</w:t>
            </w:r>
          </w:p>
        </w:tc>
        <w:tc>
          <w:tcPr>
            <w:tcW w:w="343" w:type="pct"/>
            <w:tcBorders>
              <w:top w:val="nil"/>
              <w:left w:val="nil"/>
              <w:bottom w:val="nil"/>
              <w:right w:val="nil"/>
            </w:tcBorders>
            <w:shd w:val="clear" w:color="auto" w:fill="auto"/>
            <w:noWrap/>
            <w:vAlign w:val="bottom"/>
            <w:hideMark/>
          </w:tcPr>
          <w:p w14:paraId="0518CDF8"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80 138</w:t>
            </w:r>
          </w:p>
        </w:tc>
        <w:tc>
          <w:tcPr>
            <w:tcW w:w="343" w:type="pct"/>
            <w:tcBorders>
              <w:top w:val="nil"/>
              <w:left w:val="nil"/>
              <w:bottom w:val="nil"/>
              <w:right w:val="nil"/>
            </w:tcBorders>
            <w:shd w:val="clear" w:color="auto" w:fill="auto"/>
            <w:noWrap/>
            <w:vAlign w:val="bottom"/>
            <w:hideMark/>
          </w:tcPr>
          <w:p w14:paraId="23A25034"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79 608</w:t>
            </w:r>
          </w:p>
        </w:tc>
        <w:tc>
          <w:tcPr>
            <w:tcW w:w="343" w:type="pct"/>
            <w:tcBorders>
              <w:top w:val="nil"/>
              <w:left w:val="nil"/>
              <w:bottom w:val="nil"/>
              <w:right w:val="nil"/>
            </w:tcBorders>
            <w:shd w:val="clear" w:color="auto" w:fill="auto"/>
            <w:noWrap/>
            <w:vAlign w:val="bottom"/>
            <w:hideMark/>
          </w:tcPr>
          <w:p w14:paraId="24EB9BB5"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79 608</w:t>
            </w:r>
          </w:p>
        </w:tc>
      </w:tr>
      <w:tr w:rsidR="00DD531B" w:rsidRPr="00DD531B" w14:paraId="6B9A3880" w14:textId="77777777" w:rsidTr="001F24AE">
        <w:trPr>
          <w:trHeight w:val="300"/>
        </w:trPr>
        <w:tc>
          <w:tcPr>
            <w:tcW w:w="2559" w:type="pct"/>
            <w:tcBorders>
              <w:top w:val="nil"/>
              <w:left w:val="nil"/>
              <w:bottom w:val="nil"/>
              <w:right w:val="nil"/>
            </w:tcBorders>
            <w:shd w:val="clear" w:color="auto" w:fill="auto"/>
            <w:noWrap/>
            <w:vAlign w:val="bottom"/>
            <w:hideMark/>
          </w:tcPr>
          <w:p w14:paraId="75FA5B37"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630 tovary a služby</w:t>
            </w:r>
          </w:p>
        </w:tc>
        <w:tc>
          <w:tcPr>
            <w:tcW w:w="332" w:type="pct"/>
            <w:tcBorders>
              <w:top w:val="nil"/>
              <w:left w:val="nil"/>
              <w:bottom w:val="nil"/>
              <w:right w:val="nil"/>
            </w:tcBorders>
            <w:shd w:val="clear" w:color="auto" w:fill="auto"/>
            <w:noWrap/>
            <w:vAlign w:val="bottom"/>
            <w:hideMark/>
          </w:tcPr>
          <w:p w14:paraId="208A379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64 727</w:t>
            </w:r>
          </w:p>
        </w:tc>
        <w:tc>
          <w:tcPr>
            <w:tcW w:w="332" w:type="pct"/>
            <w:tcBorders>
              <w:top w:val="nil"/>
              <w:left w:val="nil"/>
              <w:bottom w:val="nil"/>
              <w:right w:val="nil"/>
            </w:tcBorders>
            <w:shd w:val="clear" w:color="auto" w:fill="auto"/>
            <w:noWrap/>
            <w:vAlign w:val="bottom"/>
            <w:hideMark/>
          </w:tcPr>
          <w:p w14:paraId="7183FB10"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77 692</w:t>
            </w:r>
          </w:p>
        </w:tc>
        <w:tc>
          <w:tcPr>
            <w:tcW w:w="343" w:type="pct"/>
            <w:tcBorders>
              <w:top w:val="nil"/>
              <w:left w:val="nil"/>
              <w:bottom w:val="nil"/>
              <w:right w:val="nil"/>
            </w:tcBorders>
            <w:shd w:val="clear" w:color="auto" w:fill="auto"/>
            <w:noWrap/>
            <w:vAlign w:val="bottom"/>
            <w:hideMark/>
          </w:tcPr>
          <w:p w14:paraId="6F43992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72 706</w:t>
            </w:r>
          </w:p>
        </w:tc>
        <w:tc>
          <w:tcPr>
            <w:tcW w:w="407" w:type="pct"/>
            <w:tcBorders>
              <w:top w:val="nil"/>
              <w:left w:val="nil"/>
              <w:bottom w:val="nil"/>
              <w:right w:val="nil"/>
            </w:tcBorders>
            <w:shd w:val="clear" w:color="auto" w:fill="auto"/>
            <w:noWrap/>
            <w:vAlign w:val="bottom"/>
            <w:hideMark/>
          </w:tcPr>
          <w:p w14:paraId="0F56A52A"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73 472</w:t>
            </w:r>
          </w:p>
        </w:tc>
        <w:tc>
          <w:tcPr>
            <w:tcW w:w="343" w:type="pct"/>
            <w:tcBorders>
              <w:top w:val="nil"/>
              <w:left w:val="nil"/>
              <w:bottom w:val="nil"/>
              <w:right w:val="nil"/>
            </w:tcBorders>
            <w:shd w:val="clear" w:color="auto" w:fill="auto"/>
            <w:noWrap/>
            <w:vAlign w:val="bottom"/>
            <w:hideMark/>
          </w:tcPr>
          <w:p w14:paraId="0A0B00D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80 138</w:t>
            </w:r>
          </w:p>
        </w:tc>
        <w:tc>
          <w:tcPr>
            <w:tcW w:w="343" w:type="pct"/>
            <w:tcBorders>
              <w:top w:val="nil"/>
              <w:left w:val="nil"/>
              <w:bottom w:val="nil"/>
              <w:right w:val="nil"/>
            </w:tcBorders>
            <w:shd w:val="clear" w:color="auto" w:fill="auto"/>
            <w:noWrap/>
            <w:vAlign w:val="bottom"/>
            <w:hideMark/>
          </w:tcPr>
          <w:p w14:paraId="632B337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79 608</w:t>
            </w:r>
          </w:p>
        </w:tc>
        <w:tc>
          <w:tcPr>
            <w:tcW w:w="343" w:type="pct"/>
            <w:tcBorders>
              <w:top w:val="nil"/>
              <w:left w:val="nil"/>
              <w:bottom w:val="nil"/>
              <w:right w:val="nil"/>
            </w:tcBorders>
            <w:shd w:val="clear" w:color="auto" w:fill="auto"/>
            <w:noWrap/>
            <w:vAlign w:val="bottom"/>
            <w:hideMark/>
          </w:tcPr>
          <w:p w14:paraId="0B62E28F"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79 608</w:t>
            </w:r>
          </w:p>
        </w:tc>
      </w:tr>
      <w:tr w:rsidR="00DD531B" w:rsidRPr="00DD531B" w14:paraId="04B8A5AC" w14:textId="77777777" w:rsidTr="001F24AE">
        <w:trPr>
          <w:trHeight w:val="300"/>
        </w:trPr>
        <w:tc>
          <w:tcPr>
            <w:tcW w:w="2559" w:type="pct"/>
            <w:tcBorders>
              <w:top w:val="nil"/>
              <w:left w:val="nil"/>
              <w:bottom w:val="nil"/>
              <w:right w:val="nil"/>
            </w:tcBorders>
            <w:shd w:val="clear" w:color="auto" w:fill="auto"/>
            <w:noWrap/>
            <w:vAlign w:val="bottom"/>
            <w:hideMark/>
          </w:tcPr>
          <w:p w14:paraId="16767B51"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kapitálové výdavky 700</w:t>
            </w:r>
          </w:p>
        </w:tc>
        <w:tc>
          <w:tcPr>
            <w:tcW w:w="332" w:type="pct"/>
            <w:tcBorders>
              <w:top w:val="nil"/>
              <w:left w:val="nil"/>
              <w:bottom w:val="nil"/>
              <w:right w:val="nil"/>
            </w:tcBorders>
            <w:shd w:val="clear" w:color="auto" w:fill="auto"/>
            <w:noWrap/>
            <w:vAlign w:val="bottom"/>
            <w:hideMark/>
          </w:tcPr>
          <w:p w14:paraId="5A658CC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3 000</w:t>
            </w:r>
          </w:p>
        </w:tc>
        <w:tc>
          <w:tcPr>
            <w:tcW w:w="332" w:type="pct"/>
            <w:tcBorders>
              <w:top w:val="nil"/>
              <w:left w:val="nil"/>
              <w:bottom w:val="nil"/>
              <w:right w:val="nil"/>
            </w:tcBorders>
            <w:shd w:val="clear" w:color="auto" w:fill="auto"/>
            <w:noWrap/>
            <w:vAlign w:val="bottom"/>
            <w:hideMark/>
          </w:tcPr>
          <w:p w14:paraId="04D734B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2 783</w:t>
            </w:r>
          </w:p>
        </w:tc>
        <w:tc>
          <w:tcPr>
            <w:tcW w:w="343" w:type="pct"/>
            <w:tcBorders>
              <w:top w:val="nil"/>
              <w:left w:val="nil"/>
              <w:bottom w:val="nil"/>
              <w:right w:val="nil"/>
            </w:tcBorders>
            <w:shd w:val="clear" w:color="auto" w:fill="auto"/>
            <w:noWrap/>
            <w:vAlign w:val="bottom"/>
            <w:hideMark/>
          </w:tcPr>
          <w:p w14:paraId="4F0D482F"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3 837</w:t>
            </w:r>
          </w:p>
        </w:tc>
        <w:tc>
          <w:tcPr>
            <w:tcW w:w="407" w:type="pct"/>
            <w:tcBorders>
              <w:top w:val="nil"/>
              <w:left w:val="nil"/>
              <w:bottom w:val="nil"/>
              <w:right w:val="nil"/>
            </w:tcBorders>
            <w:shd w:val="clear" w:color="auto" w:fill="auto"/>
            <w:noWrap/>
            <w:vAlign w:val="bottom"/>
            <w:hideMark/>
          </w:tcPr>
          <w:p w14:paraId="4B9723C4"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3 837</w:t>
            </w:r>
          </w:p>
        </w:tc>
        <w:tc>
          <w:tcPr>
            <w:tcW w:w="343" w:type="pct"/>
            <w:tcBorders>
              <w:top w:val="nil"/>
              <w:left w:val="nil"/>
              <w:bottom w:val="nil"/>
              <w:right w:val="nil"/>
            </w:tcBorders>
            <w:shd w:val="clear" w:color="auto" w:fill="auto"/>
            <w:noWrap/>
            <w:vAlign w:val="bottom"/>
            <w:hideMark/>
          </w:tcPr>
          <w:p w14:paraId="0043F73D"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3 950</w:t>
            </w:r>
          </w:p>
        </w:tc>
        <w:tc>
          <w:tcPr>
            <w:tcW w:w="343" w:type="pct"/>
            <w:tcBorders>
              <w:top w:val="nil"/>
              <w:left w:val="nil"/>
              <w:bottom w:val="nil"/>
              <w:right w:val="nil"/>
            </w:tcBorders>
            <w:shd w:val="clear" w:color="auto" w:fill="auto"/>
            <w:noWrap/>
            <w:vAlign w:val="bottom"/>
            <w:hideMark/>
          </w:tcPr>
          <w:p w14:paraId="4A709B41"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4 459</w:t>
            </w:r>
          </w:p>
        </w:tc>
        <w:tc>
          <w:tcPr>
            <w:tcW w:w="343" w:type="pct"/>
            <w:tcBorders>
              <w:top w:val="nil"/>
              <w:left w:val="nil"/>
              <w:bottom w:val="nil"/>
              <w:right w:val="nil"/>
            </w:tcBorders>
            <w:shd w:val="clear" w:color="auto" w:fill="auto"/>
            <w:noWrap/>
            <w:vAlign w:val="bottom"/>
            <w:hideMark/>
          </w:tcPr>
          <w:p w14:paraId="5D00DA04"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4 280</w:t>
            </w:r>
          </w:p>
        </w:tc>
      </w:tr>
      <w:tr w:rsidR="00DD531B" w:rsidRPr="00DD531B" w14:paraId="106BB79C" w14:textId="77777777" w:rsidTr="001F24AE">
        <w:trPr>
          <w:trHeight w:val="300"/>
        </w:trPr>
        <w:tc>
          <w:tcPr>
            <w:tcW w:w="2559" w:type="pct"/>
            <w:tcBorders>
              <w:top w:val="nil"/>
              <w:left w:val="nil"/>
              <w:bottom w:val="nil"/>
              <w:right w:val="nil"/>
            </w:tcBorders>
            <w:shd w:val="clear" w:color="auto" w:fill="auto"/>
            <w:noWrap/>
            <w:vAlign w:val="bottom"/>
            <w:hideMark/>
          </w:tcPr>
          <w:p w14:paraId="3AB85F46" w14:textId="77777777" w:rsidR="00DD531B" w:rsidRPr="00D03732" w:rsidRDefault="00DD531B" w:rsidP="00DD531B">
            <w:pPr>
              <w:spacing w:after="0" w:line="240" w:lineRule="auto"/>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presun z minulých rokov § 8, v tom:</w:t>
            </w:r>
          </w:p>
        </w:tc>
        <w:tc>
          <w:tcPr>
            <w:tcW w:w="332" w:type="pct"/>
            <w:tcBorders>
              <w:top w:val="nil"/>
              <w:left w:val="nil"/>
              <w:bottom w:val="nil"/>
              <w:right w:val="nil"/>
            </w:tcBorders>
            <w:shd w:val="clear" w:color="auto" w:fill="auto"/>
            <w:noWrap/>
            <w:vAlign w:val="bottom"/>
            <w:hideMark/>
          </w:tcPr>
          <w:p w14:paraId="4E2BC537"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897</w:t>
            </w:r>
          </w:p>
        </w:tc>
        <w:tc>
          <w:tcPr>
            <w:tcW w:w="332" w:type="pct"/>
            <w:tcBorders>
              <w:top w:val="nil"/>
              <w:left w:val="nil"/>
              <w:bottom w:val="nil"/>
              <w:right w:val="nil"/>
            </w:tcBorders>
            <w:shd w:val="clear" w:color="auto" w:fill="auto"/>
            <w:noWrap/>
            <w:vAlign w:val="bottom"/>
            <w:hideMark/>
          </w:tcPr>
          <w:p w14:paraId="00399F15"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1 592</w:t>
            </w:r>
          </w:p>
        </w:tc>
        <w:tc>
          <w:tcPr>
            <w:tcW w:w="343" w:type="pct"/>
            <w:tcBorders>
              <w:top w:val="nil"/>
              <w:left w:val="nil"/>
              <w:bottom w:val="nil"/>
              <w:right w:val="nil"/>
            </w:tcBorders>
            <w:shd w:val="clear" w:color="auto" w:fill="auto"/>
            <w:noWrap/>
            <w:vAlign w:val="bottom"/>
            <w:hideMark/>
          </w:tcPr>
          <w:p w14:paraId="3D98A2C6"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407" w:type="pct"/>
            <w:tcBorders>
              <w:top w:val="nil"/>
              <w:left w:val="nil"/>
              <w:bottom w:val="nil"/>
              <w:right w:val="nil"/>
            </w:tcBorders>
            <w:shd w:val="clear" w:color="auto" w:fill="auto"/>
            <w:noWrap/>
            <w:vAlign w:val="bottom"/>
            <w:hideMark/>
          </w:tcPr>
          <w:p w14:paraId="23A95DF9"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3 329</w:t>
            </w:r>
          </w:p>
        </w:tc>
        <w:tc>
          <w:tcPr>
            <w:tcW w:w="343" w:type="pct"/>
            <w:tcBorders>
              <w:top w:val="nil"/>
              <w:left w:val="nil"/>
              <w:bottom w:val="nil"/>
              <w:right w:val="nil"/>
            </w:tcBorders>
            <w:shd w:val="clear" w:color="auto" w:fill="auto"/>
            <w:noWrap/>
            <w:vAlign w:val="bottom"/>
            <w:hideMark/>
          </w:tcPr>
          <w:p w14:paraId="3386EBBB"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343" w:type="pct"/>
            <w:tcBorders>
              <w:top w:val="nil"/>
              <w:left w:val="nil"/>
              <w:bottom w:val="nil"/>
              <w:right w:val="nil"/>
            </w:tcBorders>
            <w:shd w:val="clear" w:color="auto" w:fill="auto"/>
            <w:noWrap/>
            <w:vAlign w:val="bottom"/>
            <w:hideMark/>
          </w:tcPr>
          <w:p w14:paraId="5A0E2958"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343" w:type="pct"/>
            <w:tcBorders>
              <w:top w:val="nil"/>
              <w:left w:val="nil"/>
              <w:bottom w:val="nil"/>
              <w:right w:val="nil"/>
            </w:tcBorders>
            <w:shd w:val="clear" w:color="auto" w:fill="auto"/>
            <w:noWrap/>
            <w:vAlign w:val="bottom"/>
            <w:hideMark/>
          </w:tcPr>
          <w:p w14:paraId="6C54E896"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r>
      <w:tr w:rsidR="00DD531B" w:rsidRPr="00DD531B" w14:paraId="1418D4F9" w14:textId="77777777" w:rsidTr="001F24AE">
        <w:trPr>
          <w:trHeight w:val="300"/>
        </w:trPr>
        <w:tc>
          <w:tcPr>
            <w:tcW w:w="2559" w:type="pct"/>
            <w:tcBorders>
              <w:top w:val="nil"/>
              <w:left w:val="nil"/>
              <w:bottom w:val="nil"/>
              <w:right w:val="nil"/>
            </w:tcBorders>
            <w:shd w:val="clear" w:color="auto" w:fill="auto"/>
            <w:noWrap/>
            <w:vAlign w:val="bottom"/>
            <w:hideMark/>
          </w:tcPr>
          <w:p w14:paraId="0F6F8B8E" w14:textId="77777777" w:rsidR="00DD531B" w:rsidRPr="00D03732" w:rsidRDefault="00DD531B" w:rsidP="00DD531B">
            <w:pPr>
              <w:spacing w:after="0" w:line="240" w:lineRule="auto"/>
              <w:rPr>
                <w:rFonts w:ascii="Times New Roman" w:eastAsia="Times New Roman" w:hAnsi="Times New Roman" w:cs="Times New Roman"/>
                <w:color w:val="000000"/>
                <w:sz w:val="16"/>
                <w:szCs w:val="16"/>
                <w:lang w:eastAsia="sk-SK"/>
              </w:rPr>
            </w:pPr>
            <w:r w:rsidRPr="00D03732">
              <w:rPr>
                <w:rFonts w:ascii="Times New Roman" w:eastAsia="Times New Roman" w:hAnsi="Times New Roman" w:cs="Times New Roman"/>
                <w:color w:val="000000"/>
                <w:sz w:val="16"/>
                <w:szCs w:val="16"/>
                <w:lang w:eastAsia="sk-SK"/>
              </w:rPr>
              <w:t>štátny rozpočet</w:t>
            </w:r>
          </w:p>
        </w:tc>
        <w:tc>
          <w:tcPr>
            <w:tcW w:w="332" w:type="pct"/>
            <w:tcBorders>
              <w:top w:val="nil"/>
              <w:left w:val="nil"/>
              <w:bottom w:val="nil"/>
              <w:right w:val="nil"/>
            </w:tcBorders>
            <w:shd w:val="clear" w:color="auto" w:fill="auto"/>
            <w:noWrap/>
            <w:vAlign w:val="bottom"/>
            <w:hideMark/>
          </w:tcPr>
          <w:p w14:paraId="45497CAF"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897</w:t>
            </w:r>
          </w:p>
        </w:tc>
        <w:tc>
          <w:tcPr>
            <w:tcW w:w="332" w:type="pct"/>
            <w:tcBorders>
              <w:top w:val="nil"/>
              <w:left w:val="nil"/>
              <w:bottom w:val="nil"/>
              <w:right w:val="nil"/>
            </w:tcBorders>
            <w:shd w:val="clear" w:color="auto" w:fill="auto"/>
            <w:noWrap/>
            <w:vAlign w:val="bottom"/>
            <w:hideMark/>
          </w:tcPr>
          <w:p w14:paraId="2F4124F6"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1 592</w:t>
            </w:r>
          </w:p>
        </w:tc>
        <w:tc>
          <w:tcPr>
            <w:tcW w:w="343" w:type="pct"/>
            <w:tcBorders>
              <w:top w:val="nil"/>
              <w:left w:val="nil"/>
              <w:bottom w:val="nil"/>
              <w:right w:val="nil"/>
            </w:tcBorders>
            <w:shd w:val="clear" w:color="auto" w:fill="auto"/>
            <w:noWrap/>
            <w:vAlign w:val="bottom"/>
            <w:hideMark/>
          </w:tcPr>
          <w:p w14:paraId="7133AD9B"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bottom"/>
            <w:hideMark/>
          </w:tcPr>
          <w:p w14:paraId="6698150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3 329</w:t>
            </w:r>
          </w:p>
        </w:tc>
        <w:tc>
          <w:tcPr>
            <w:tcW w:w="343" w:type="pct"/>
            <w:tcBorders>
              <w:top w:val="nil"/>
              <w:left w:val="nil"/>
              <w:bottom w:val="nil"/>
              <w:right w:val="nil"/>
            </w:tcBorders>
            <w:shd w:val="clear" w:color="auto" w:fill="auto"/>
            <w:noWrap/>
            <w:vAlign w:val="bottom"/>
            <w:hideMark/>
          </w:tcPr>
          <w:p w14:paraId="736AD7BF"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343" w:type="pct"/>
            <w:tcBorders>
              <w:top w:val="nil"/>
              <w:left w:val="nil"/>
              <w:bottom w:val="nil"/>
              <w:right w:val="nil"/>
            </w:tcBorders>
            <w:shd w:val="clear" w:color="auto" w:fill="auto"/>
            <w:noWrap/>
            <w:vAlign w:val="bottom"/>
            <w:hideMark/>
          </w:tcPr>
          <w:p w14:paraId="64E3BB69"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c>
          <w:tcPr>
            <w:tcW w:w="343" w:type="pct"/>
            <w:tcBorders>
              <w:top w:val="nil"/>
              <w:left w:val="nil"/>
              <w:bottom w:val="nil"/>
              <w:right w:val="nil"/>
            </w:tcBorders>
            <w:shd w:val="clear" w:color="auto" w:fill="auto"/>
            <w:noWrap/>
            <w:vAlign w:val="bottom"/>
            <w:hideMark/>
          </w:tcPr>
          <w:p w14:paraId="0F99A342" w14:textId="77777777" w:rsidR="00DD531B" w:rsidRPr="00D03732" w:rsidRDefault="00DD531B" w:rsidP="00DD531B">
            <w:pPr>
              <w:spacing w:after="0" w:line="240" w:lineRule="auto"/>
              <w:jc w:val="right"/>
              <w:rPr>
                <w:rFonts w:ascii="Times New Roman" w:eastAsia="Times New Roman" w:hAnsi="Times New Roman" w:cs="Times New Roman"/>
                <w:sz w:val="16"/>
                <w:szCs w:val="16"/>
                <w:lang w:eastAsia="sk-SK"/>
              </w:rPr>
            </w:pPr>
            <w:r w:rsidRPr="00D03732">
              <w:rPr>
                <w:rFonts w:ascii="Times New Roman" w:eastAsia="Times New Roman" w:hAnsi="Times New Roman" w:cs="Times New Roman"/>
                <w:sz w:val="16"/>
                <w:szCs w:val="16"/>
                <w:lang w:eastAsia="sk-SK"/>
              </w:rPr>
              <w:t>0</w:t>
            </w:r>
          </w:p>
        </w:tc>
      </w:tr>
      <w:tr w:rsidR="00DD531B" w:rsidRPr="00DD531B" w14:paraId="727E80D3" w14:textId="77777777" w:rsidTr="001F24AE">
        <w:trPr>
          <w:trHeight w:val="300"/>
        </w:trPr>
        <w:tc>
          <w:tcPr>
            <w:tcW w:w="2559" w:type="pct"/>
            <w:tcBorders>
              <w:top w:val="nil"/>
              <w:left w:val="nil"/>
              <w:bottom w:val="single" w:sz="4" w:space="0" w:color="auto"/>
              <w:right w:val="nil"/>
            </w:tcBorders>
            <w:shd w:val="clear" w:color="auto" w:fill="auto"/>
            <w:noWrap/>
            <w:vAlign w:val="bottom"/>
            <w:hideMark/>
          </w:tcPr>
          <w:p w14:paraId="17AF1E90" w14:textId="77777777" w:rsidR="00DD531B" w:rsidRPr="00D03732" w:rsidRDefault="00DD531B" w:rsidP="00DD531B">
            <w:pPr>
              <w:spacing w:after="0" w:line="240" w:lineRule="auto"/>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prostriedky podľa § 17 ods. 4 a § 22 ods. 4 zákona č. 523/2004 Z. z.</w:t>
            </w:r>
          </w:p>
        </w:tc>
        <w:tc>
          <w:tcPr>
            <w:tcW w:w="332" w:type="pct"/>
            <w:tcBorders>
              <w:top w:val="nil"/>
              <w:left w:val="nil"/>
              <w:bottom w:val="single" w:sz="4" w:space="0" w:color="auto"/>
              <w:right w:val="nil"/>
            </w:tcBorders>
            <w:shd w:val="clear" w:color="auto" w:fill="auto"/>
            <w:noWrap/>
            <w:vAlign w:val="bottom"/>
            <w:hideMark/>
          </w:tcPr>
          <w:p w14:paraId="34344671"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27</w:t>
            </w:r>
          </w:p>
        </w:tc>
        <w:tc>
          <w:tcPr>
            <w:tcW w:w="332" w:type="pct"/>
            <w:tcBorders>
              <w:top w:val="nil"/>
              <w:left w:val="nil"/>
              <w:bottom w:val="single" w:sz="4" w:space="0" w:color="auto"/>
              <w:right w:val="nil"/>
            </w:tcBorders>
            <w:shd w:val="clear" w:color="auto" w:fill="auto"/>
            <w:noWrap/>
            <w:vAlign w:val="bottom"/>
            <w:hideMark/>
          </w:tcPr>
          <w:p w14:paraId="547F2581"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21</w:t>
            </w:r>
          </w:p>
        </w:tc>
        <w:tc>
          <w:tcPr>
            <w:tcW w:w="343" w:type="pct"/>
            <w:tcBorders>
              <w:top w:val="nil"/>
              <w:left w:val="nil"/>
              <w:bottom w:val="single" w:sz="4" w:space="0" w:color="auto"/>
              <w:right w:val="nil"/>
            </w:tcBorders>
            <w:shd w:val="clear" w:color="auto" w:fill="auto"/>
            <w:noWrap/>
            <w:vAlign w:val="bottom"/>
            <w:hideMark/>
          </w:tcPr>
          <w:p w14:paraId="2CCEB881"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407" w:type="pct"/>
            <w:tcBorders>
              <w:top w:val="nil"/>
              <w:left w:val="nil"/>
              <w:bottom w:val="single" w:sz="4" w:space="0" w:color="auto"/>
              <w:right w:val="nil"/>
            </w:tcBorders>
            <w:shd w:val="clear" w:color="auto" w:fill="auto"/>
            <w:noWrap/>
            <w:vAlign w:val="bottom"/>
            <w:hideMark/>
          </w:tcPr>
          <w:p w14:paraId="11890342"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20</w:t>
            </w:r>
          </w:p>
        </w:tc>
        <w:tc>
          <w:tcPr>
            <w:tcW w:w="343" w:type="pct"/>
            <w:tcBorders>
              <w:top w:val="nil"/>
              <w:left w:val="nil"/>
              <w:bottom w:val="single" w:sz="4" w:space="0" w:color="auto"/>
              <w:right w:val="nil"/>
            </w:tcBorders>
            <w:shd w:val="clear" w:color="auto" w:fill="auto"/>
            <w:noWrap/>
            <w:vAlign w:val="bottom"/>
            <w:hideMark/>
          </w:tcPr>
          <w:p w14:paraId="504EBF03"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343" w:type="pct"/>
            <w:tcBorders>
              <w:top w:val="nil"/>
              <w:left w:val="nil"/>
              <w:bottom w:val="single" w:sz="4" w:space="0" w:color="auto"/>
              <w:right w:val="nil"/>
            </w:tcBorders>
            <w:shd w:val="clear" w:color="auto" w:fill="auto"/>
            <w:noWrap/>
            <w:vAlign w:val="bottom"/>
            <w:hideMark/>
          </w:tcPr>
          <w:p w14:paraId="7802AD3A"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c>
          <w:tcPr>
            <w:tcW w:w="343" w:type="pct"/>
            <w:tcBorders>
              <w:top w:val="nil"/>
              <w:left w:val="nil"/>
              <w:bottom w:val="single" w:sz="4" w:space="0" w:color="auto"/>
              <w:right w:val="nil"/>
            </w:tcBorders>
            <w:shd w:val="clear" w:color="auto" w:fill="auto"/>
            <w:noWrap/>
            <w:vAlign w:val="bottom"/>
            <w:hideMark/>
          </w:tcPr>
          <w:p w14:paraId="19BC93CB" w14:textId="77777777" w:rsidR="00DD531B" w:rsidRPr="00D03732" w:rsidRDefault="00DD531B" w:rsidP="00DD531B">
            <w:pPr>
              <w:spacing w:after="0" w:line="240" w:lineRule="auto"/>
              <w:jc w:val="right"/>
              <w:rPr>
                <w:rFonts w:ascii="Times New Roman" w:eastAsia="Times New Roman" w:hAnsi="Times New Roman" w:cs="Times New Roman"/>
                <w:b/>
                <w:bCs/>
                <w:sz w:val="16"/>
                <w:szCs w:val="16"/>
                <w:lang w:eastAsia="sk-SK"/>
              </w:rPr>
            </w:pPr>
            <w:r w:rsidRPr="00D03732">
              <w:rPr>
                <w:rFonts w:ascii="Times New Roman" w:eastAsia="Times New Roman" w:hAnsi="Times New Roman" w:cs="Times New Roman"/>
                <w:b/>
                <w:bCs/>
                <w:sz w:val="16"/>
                <w:szCs w:val="16"/>
                <w:lang w:eastAsia="sk-SK"/>
              </w:rPr>
              <w:t>0</w:t>
            </w:r>
          </w:p>
        </w:tc>
      </w:tr>
    </w:tbl>
    <w:p w14:paraId="29B0C08E" w14:textId="77777777" w:rsidR="00D03732" w:rsidRDefault="00DD531B" w:rsidP="00DD531B">
      <w:pPr>
        <w:keepNext/>
        <w:keepLines/>
        <w:spacing w:before="40" w:after="0"/>
        <w:outlineLvl w:val="1"/>
        <w:rPr>
          <w:rFonts w:ascii="Times New Roman" w:eastAsia="Times New Roman" w:hAnsi="Times New Roman" w:cs="Times New Roman"/>
          <w:b/>
          <w:color w:val="2E74B5"/>
          <w:sz w:val="24"/>
          <w:szCs w:val="24"/>
        </w:rPr>
      </w:pPr>
      <w:r w:rsidRPr="00DD531B">
        <w:rPr>
          <w:rFonts w:ascii="Times New Roman" w:eastAsia="Times New Roman" w:hAnsi="Times New Roman" w:cs="Times New Roman"/>
          <w:b/>
          <w:color w:val="2E74B5"/>
          <w:sz w:val="24"/>
          <w:szCs w:val="24"/>
        </w:rPr>
        <w:lastRenderedPageBreak/>
        <w:t xml:space="preserve"> </w:t>
      </w:r>
    </w:p>
    <w:p w14:paraId="7A2113B0" w14:textId="2396EF31" w:rsidR="00DD531B" w:rsidRPr="00D6350B" w:rsidRDefault="00DD531B" w:rsidP="00DD531B">
      <w:pPr>
        <w:keepNext/>
        <w:keepLines/>
        <w:spacing w:before="40" w:after="0"/>
        <w:outlineLvl w:val="1"/>
        <w:rPr>
          <w:rFonts w:ascii="Times New Roman" w:eastAsia="Times New Roman" w:hAnsi="Times New Roman" w:cs="Times New Roman"/>
          <w:b/>
          <w:color w:val="5B9BD5" w:themeColor="accent1"/>
          <w:sz w:val="24"/>
          <w:szCs w:val="24"/>
        </w:rPr>
      </w:pPr>
      <w:r w:rsidRPr="00D6350B">
        <w:rPr>
          <w:rFonts w:ascii="Times New Roman" w:eastAsia="Times New Roman" w:hAnsi="Times New Roman" w:cs="Times New Roman"/>
          <w:b/>
          <w:color w:val="5B9BD5" w:themeColor="accent1"/>
          <w:sz w:val="24"/>
          <w:szCs w:val="24"/>
        </w:rPr>
        <w:t>Ministerstvo zahraničných vecí a európskych záležitostí SR</w:t>
      </w:r>
    </w:p>
    <w:p w14:paraId="61FD3CA6" w14:textId="77777777" w:rsidR="00DD531B" w:rsidRPr="00DD531B" w:rsidRDefault="00DD531B" w:rsidP="00DD531B">
      <w:pPr>
        <w:rPr>
          <w:rFonts w:ascii="Times New Roman" w:eastAsia="Calibri" w:hAnsi="Times New Roman" w:cs="Times New Roman"/>
        </w:rPr>
      </w:pPr>
    </w:p>
    <w:p w14:paraId="4B0C93EE" w14:textId="02E6E24E" w:rsidR="00DD531B" w:rsidRPr="00D6350B" w:rsidRDefault="00D6350B"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01" w:name="_Toc153013071"/>
      <w:r w:rsidRPr="00D6350B">
        <w:rPr>
          <w:rFonts w:ascii="Times New Roman" w:eastAsia="Times New Roman" w:hAnsi="Times New Roman" w:cs="Times New Roman"/>
          <w:b/>
          <w:iCs/>
          <w:color w:val="5B9BD5" w:themeColor="accent1"/>
          <w:sz w:val="20"/>
          <w:szCs w:val="20"/>
          <w:lang w:eastAsia="sk-SK"/>
        </w:rPr>
        <w:t xml:space="preserve">Tabuľka </w:t>
      </w:r>
      <w:r w:rsidRPr="00D6350B">
        <w:rPr>
          <w:rFonts w:ascii="Times New Roman" w:hAnsi="Times New Roman" w:cs="Times New Roman"/>
          <w:b/>
          <w:color w:val="5B9BD5" w:themeColor="accent1"/>
          <w:sz w:val="20"/>
          <w:szCs w:val="20"/>
        </w:rPr>
        <w:fldChar w:fldCharType="begin"/>
      </w:r>
      <w:r w:rsidRPr="00D6350B">
        <w:rPr>
          <w:rFonts w:ascii="Times New Roman" w:hAnsi="Times New Roman" w:cs="Times New Roman"/>
          <w:b/>
          <w:color w:val="5B9BD5" w:themeColor="accent1"/>
          <w:sz w:val="20"/>
          <w:szCs w:val="20"/>
        </w:rPr>
        <w:instrText xml:space="preserve"> SEQ Tabuľka \* ARABIC </w:instrText>
      </w:r>
      <w:r w:rsidRPr="00D6350B">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73</w:t>
      </w:r>
      <w:r w:rsidRPr="00D6350B">
        <w:rPr>
          <w:rFonts w:ascii="Times New Roman" w:hAnsi="Times New Roman" w:cs="Times New Roman"/>
          <w:b/>
          <w:color w:val="5B9BD5" w:themeColor="accent1"/>
          <w:sz w:val="20"/>
          <w:szCs w:val="20"/>
        </w:rPr>
        <w:fldChar w:fldCharType="end"/>
      </w:r>
      <w:r w:rsidRPr="00D6350B">
        <w:rPr>
          <w:rFonts w:ascii="Times New Roman" w:hAnsi="Times New Roman" w:cs="Times New Roman"/>
          <w:b/>
          <w:color w:val="5B9BD5" w:themeColor="accent1"/>
          <w:sz w:val="20"/>
          <w:szCs w:val="20"/>
        </w:rPr>
        <w:t xml:space="preserve"> - </w:t>
      </w:r>
      <w:r w:rsidR="00DD531B" w:rsidRPr="00D6350B">
        <w:rPr>
          <w:rFonts w:ascii="Times New Roman" w:eastAsia="Times New Roman" w:hAnsi="Times New Roman" w:cs="Times New Roman"/>
          <w:b/>
          <w:iCs/>
          <w:color w:val="5B9BD5" w:themeColor="accent1"/>
          <w:sz w:val="20"/>
          <w:szCs w:val="20"/>
          <w:lang w:eastAsia="sk-SK"/>
        </w:rPr>
        <w:t>Príjmy kapitoly MZVEZ SR</w:t>
      </w:r>
      <w:bookmarkEnd w:id="201"/>
    </w:p>
    <w:tbl>
      <w:tblPr>
        <w:tblW w:w="5000" w:type="pct"/>
        <w:tblCellMar>
          <w:left w:w="70" w:type="dxa"/>
          <w:right w:w="70" w:type="dxa"/>
        </w:tblCellMar>
        <w:tblLook w:val="04A0" w:firstRow="1" w:lastRow="0" w:firstColumn="1" w:lastColumn="0" w:noHBand="0" w:noVBand="1"/>
      </w:tblPr>
      <w:tblGrid>
        <w:gridCol w:w="3320"/>
        <w:gridCol w:w="822"/>
        <w:gridCol w:w="822"/>
        <w:gridCol w:w="822"/>
        <w:gridCol w:w="822"/>
        <w:gridCol w:w="822"/>
        <w:gridCol w:w="822"/>
        <w:gridCol w:w="820"/>
      </w:tblGrid>
      <w:tr w:rsidR="00DD531B" w:rsidRPr="00DD531B" w14:paraId="63A4C0A6" w14:textId="77777777" w:rsidTr="001F24AE">
        <w:trPr>
          <w:trHeight w:val="300"/>
        </w:trPr>
        <w:tc>
          <w:tcPr>
            <w:tcW w:w="1830" w:type="pct"/>
            <w:tcBorders>
              <w:top w:val="single" w:sz="4" w:space="0" w:color="auto"/>
              <w:left w:val="nil"/>
              <w:bottom w:val="single" w:sz="4" w:space="0" w:color="auto"/>
              <w:right w:val="nil"/>
            </w:tcBorders>
            <w:shd w:val="clear" w:color="auto" w:fill="auto"/>
            <w:noWrap/>
            <w:vAlign w:val="center"/>
            <w:hideMark/>
          </w:tcPr>
          <w:p w14:paraId="3C93F351" w14:textId="77777777" w:rsidR="00DD531B" w:rsidRPr="00D6350B" w:rsidRDefault="00DD531B" w:rsidP="00DD531B">
            <w:pPr>
              <w:spacing w:after="0" w:line="240" w:lineRule="auto"/>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v tis. eur</w:t>
            </w:r>
          </w:p>
        </w:tc>
        <w:tc>
          <w:tcPr>
            <w:tcW w:w="453" w:type="pct"/>
            <w:tcBorders>
              <w:top w:val="single" w:sz="4" w:space="0" w:color="auto"/>
              <w:left w:val="nil"/>
              <w:bottom w:val="single" w:sz="4" w:space="0" w:color="auto"/>
              <w:right w:val="nil"/>
            </w:tcBorders>
            <w:shd w:val="clear" w:color="auto" w:fill="auto"/>
            <w:noWrap/>
            <w:vAlign w:val="center"/>
            <w:hideMark/>
          </w:tcPr>
          <w:p w14:paraId="12EA4CCF"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2021 S</w:t>
            </w:r>
          </w:p>
        </w:tc>
        <w:tc>
          <w:tcPr>
            <w:tcW w:w="453" w:type="pct"/>
            <w:tcBorders>
              <w:top w:val="single" w:sz="4" w:space="0" w:color="auto"/>
              <w:left w:val="nil"/>
              <w:bottom w:val="single" w:sz="4" w:space="0" w:color="auto"/>
              <w:right w:val="nil"/>
            </w:tcBorders>
            <w:shd w:val="clear" w:color="auto" w:fill="auto"/>
            <w:noWrap/>
            <w:vAlign w:val="center"/>
            <w:hideMark/>
          </w:tcPr>
          <w:p w14:paraId="419167A2"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2022 S</w:t>
            </w:r>
          </w:p>
        </w:tc>
        <w:tc>
          <w:tcPr>
            <w:tcW w:w="453" w:type="pct"/>
            <w:tcBorders>
              <w:top w:val="single" w:sz="4" w:space="0" w:color="auto"/>
              <w:left w:val="nil"/>
              <w:bottom w:val="single" w:sz="4" w:space="0" w:color="auto"/>
              <w:right w:val="nil"/>
            </w:tcBorders>
            <w:shd w:val="clear" w:color="auto" w:fill="auto"/>
            <w:noWrap/>
            <w:vAlign w:val="center"/>
            <w:hideMark/>
          </w:tcPr>
          <w:p w14:paraId="024181CE"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2023 R</w:t>
            </w:r>
          </w:p>
        </w:tc>
        <w:tc>
          <w:tcPr>
            <w:tcW w:w="453" w:type="pct"/>
            <w:tcBorders>
              <w:top w:val="single" w:sz="4" w:space="0" w:color="auto"/>
              <w:left w:val="nil"/>
              <w:bottom w:val="single" w:sz="4" w:space="0" w:color="auto"/>
              <w:right w:val="nil"/>
            </w:tcBorders>
            <w:shd w:val="clear" w:color="auto" w:fill="auto"/>
            <w:noWrap/>
            <w:vAlign w:val="center"/>
            <w:hideMark/>
          </w:tcPr>
          <w:p w14:paraId="261D680C"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2023 OS</w:t>
            </w:r>
          </w:p>
        </w:tc>
        <w:tc>
          <w:tcPr>
            <w:tcW w:w="453" w:type="pct"/>
            <w:tcBorders>
              <w:top w:val="single" w:sz="4" w:space="0" w:color="auto"/>
              <w:left w:val="nil"/>
              <w:bottom w:val="single" w:sz="4" w:space="0" w:color="auto"/>
              <w:right w:val="nil"/>
            </w:tcBorders>
            <w:shd w:val="clear" w:color="auto" w:fill="auto"/>
            <w:noWrap/>
            <w:vAlign w:val="center"/>
            <w:hideMark/>
          </w:tcPr>
          <w:p w14:paraId="512D4E48"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2024 N</w:t>
            </w:r>
          </w:p>
        </w:tc>
        <w:tc>
          <w:tcPr>
            <w:tcW w:w="453" w:type="pct"/>
            <w:tcBorders>
              <w:top w:val="single" w:sz="4" w:space="0" w:color="auto"/>
              <w:left w:val="nil"/>
              <w:bottom w:val="single" w:sz="4" w:space="0" w:color="auto"/>
              <w:right w:val="nil"/>
            </w:tcBorders>
            <w:shd w:val="clear" w:color="auto" w:fill="auto"/>
            <w:noWrap/>
            <w:vAlign w:val="center"/>
            <w:hideMark/>
          </w:tcPr>
          <w:p w14:paraId="5220FA4B"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2025 N</w:t>
            </w:r>
          </w:p>
        </w:tc>
        <w:tc>
          <w:tcPr>
            <w:tcW w:w="453" w:type="pct"/>
            <w:tcBorders>
              <w:top w:val="single" w:sz="4" w:space="0" w:color="auto"/>
              <w:left w:val="nil"/>
              <w:bottom w:val="single" w:sz="4" w:space="0" w:color="auto"/>
              <w:right w:val="nil"/>
            </w:tcBorders>
            <w:shd w:val="clear" w:color="auto" w:fill="auto"/>
            <w:noWrap/>
            <w:vAlign w:val="center"/>
            <w:hideMark/>
          </w:tcPr>
          <w:p w14:paraId="562EFCCA"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2026 N</w:t>
            </w:r>
          </w:p>
        </w:tc>
      </w:tr>
      <w:tr w:rsidR="00DD531B" w:rsidRPr="00DD531B" w14:paraId="21F1378D" w14:textId="77777777" w:rsidTr="001F24AE">
        <w:trPr>
          <w:trHeight w:val="300"/>
        </w:trPr>
        <w:tc>
          <w:tcPr>
            <w:tcW w:w="1830" w:type="pct"/>
            <w:tcBorders>
              <w:top w:val="nil"/>
              <w:left w:val="nil"/>
              <w:bottom w:val="nil"/>
              <w:right w:val="nil"/>
            </w:tcBorders>
            <w:shd w:val="clear" w:color="auto" w:fill="auto"/>
            <w:noWrap/>
            <w:vAlign w:val="bottom"/>
            <w:hideMark/>
          </w:tcPr>
          <w:p w14:paraId="427F9664" w14:textId="77777777" w:rsidR="00DD531B" w:rsidRPr="00D6350B" w:rsidRDefault="00DD531B" w:rsidP="00DD531B">
            <w:pPr>
              <w:spacing w:after="0" w:line="240" w:lineRule="auto"/>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Príjmy kapitoly spolu</w:t>
            </w:r>
          </w:p>
        </w:tc>
        <w:tc>
          <w:tcPr>
            <w:tcW w:w="453" w:type="pct"/>
            <w:tcBorders>
              <w:top w:val="nil"/>
              <w:left w:val="nil"/>
              <w:bottom w:val="nil"/>
              <w:right w:val="nil"/>
            </w:tcBorders>
            <w:shd w:val="clear" w:color="auto" w:fill="auto"/>
            <w:noWrap/>
            <w:vAlign w:val="bottom"/>
            <w:hideMark/>
          </w:tcPr>
          <w:p w14:paraId="33B95E5C" w14:textId="77777777" w:rsidR="00DD531B" w:rsidRPr="00D6350B"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3 718</w:t>
            </w:r>
          </w:p>
        </w:tc>
        <w:tc>
          <w:tcPr>
            <w:tcW w:w="453" w:type="pct"/>
            <w:tcBorders>
              <w:top w:val="nil"/>
              <w:left w:val="nil"/>
              <w:bottom w:val="nil"/>
              <w:right w:val="nil"/>
            </w:tcBorders>
            <w:shd w:val="clear" w:color="auto" w:fill="auto"/>
            <w:noWrap/>
            <w:vAlign w:val="bottom"/>
            <w:hideMark/>
          </w:tcPr>
          <w:p w14:paraId="6965B5B4" w14:textId="77777777" w:rsidR="00DD531B" w:rsidRPr="00D6350B"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2 076</w:t>
            </w:r>
          </w:p>
        </w:tc>
        <w:tc>
          <w:tcPr>
            <w:tcW w:w="453" w:type="pct"/>
            <w:tcBorders>
              <w:top w:val="nil"/>
              <w:left w:val="nil"/>
              <w:bottom w:val="nil"/>
              <w:right w:val="nil"/>
            </w:tcBorders>
            <w:shd w:val="clear" w:color="auto" w:fill="auto"/>
            <w:noWrap/>
            <w:vAlign w:val="bottom"/>
            <w:hideMark/>
          </w:tcPr>
          <w:p w14:paraId="7DF8A2C3" w14:textId="77777777" w:rsidR="00DD531B" w:rsidRPr="00D6350B"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10 850</w:t>
            </w:r>
          </w:p>
        </w:tc>
        <w:tc>
          <w:tcPr>
            <w:tcW w:w="453" w:type="pct"/>
            <w:tcBorders>
              <w:top w:val="nil"/>
              <w:left w:val="nil"/>
              <w:bottom w:val="nil"/>
              <w:right w:val="nil"/>
            </w:tcBorders>
            <w:shd w:val="clear" w:color="auto" w:fill="auto"/>
            <w:noWrap/>
            <w:vAlign w:val="bottom"/>
            <w:hideMark/>
          </w:tcPr>
          <w:p w14:paraId="46891404" w14:textId="77777777" w:rsidR="00DD531B" w:rsidRPr="00D6350B"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3 350</w:t>
            </w:r>
          </w:p>
        </w:tc>
        <w:tc>
          <w:tcPr>
            <w:tcW w:w="453" w:type="pct"/>
            <w:tcBorders>
              <w:top w:val="nil"/>
              <w:left w:val="nil"/>
              <w:bottom w:val="nil"/>
              <w:right w:val="nil"/>
            </w:tcBorders>
            <w:shd w:val="clear" w:color="auto" w:fill="auto"/>
            <w:noWrap/>
            <w:vAlign w:val="bottom"/>
            <w:hideMark/>
          </w:tcPr>
          <w:p w14:paraId="13D1BCFD" w14:textId="77777777" w:rsidR="00DD531B" w:rsidRPr="00D6350B"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2 000</w:t>
            </w:r>
          </w:p>
        </w:tc>
        <w:tc>
          <w:tcPr>
            <w:tcW w:w="453" w:type="pct"/>
            <w:tcBorders>
              <w:top w:val="nil"/>
              <w:left w:val="nil"/>
              <w:bottom w:val="nil"/>
              <w:right w:val="nil"/>
            </w:tcBorders>
            <w:shd w:val="clear" w:color="auto" w:fill="auto"/>
            <w:noWrap/>
            <w:vAlign w:val="bottom"/>
            <w:hideMark/>
          </w:tcPr>
          <w:p w14:paraId="704C0016" w14:textId="77777777" w:rsidR="00DD531B" w:rsidRPr="00D6350B"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2 000</w:t>
            </w:r>
          </w:p>
        </w:tc>
        <w:tc>
          <w:tcPr>
            <w:tcW w:w="453" w:type="pct"/>
            <w:tcBorders>
              <w:top w:val="nil"/>
              <w:left w:val="nil"/>
              <w:bottom w:val="nil"/>
              <w:right w:val="nil"/>
            </w:tcBorders>
            <w:shd w:val="clear" w:color="auto" w:fill="auto"/>
            <w:noWrap/>
            <w:vAlign w:val="bottom"/>
            <w:hideMark/>
          </w:tcPr>
          <w:p w14:paraId="2EAC4574" w14:textId="77777777" w:rsidR="00DD531B" w:rsidRPr="00D6350B"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2 000</w:t>
            </w:r>
          </w:p>
        </w:tc>
      </w:tr>
      <w:tr w:rsidR="00DD531B" w:rsidRPr="00DD531B" w14:paraId="65208357" w14:textId="77777777" w:rsidTr="001F24AE">
        <w:trPr>
          <w:trHeight w:val="300"/>
        </w:trPr>
        <w:tc>
          <w:tcPr>
            <w:tcW w:w="1830" w:type="pct"/>
            <w:tcBorders>
              <w:top w:val="nil"/>
              <w:left w:val="nil"/>
              <w:bottom w:val="nil"/>
              <w:right w:val="nil"/>
            </w:tcBorders>
            <w:shd w:val="clear" w:color="auto" w:fill="auto"/>
            <w:noWrap/>
            <w:vAlign w:val="bottom"/>
            <w:hideMark/>
          </w:tcPr>
          <w:p w14:paraId="3DECEFD8" w14:textId="77777777" w:rsidR="00DD531B" w:rsidRPr="00D6350B" w:rsidRDefault="00DD531B" w:rsidP="00DD531B">
            <w:pPr>
              <w:spacing w:after="0" w:line="240" w:lineRule="auto"/>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nedaňové príjmy, v tom:</w:t>
            </w:r>
          </w:p>
        </w:tc>
        <w:tc>
          <w:tcPr>
            <w:tcW w:w="453" w:type="pct"/>
            <w:tcBorders>
              <w:top w:val="nil"/>
              <w:left w:val="nil"/>
              <w:bottom w:val="nil"/>
              <w:right w:val="nil"/>
            </w:tcBorders>
            <w:shd w:val="clear" w:color="auto" w:fill="auto"/>
            <w:noWrap/>
            <w:vAlign w:val="bottom"/>
            <w:hideMark/>
          </w:tcPr>
          <w:p w14:paraId="45BA0038"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3 718</w:t>
            </w:r>
          </w:p>
        </w:tc>
        <w:tc>
          <w:tcPr>
            <w:tcW w:w="453" w:type="pct"/>
            <w:tcBorders>
              <w:top w:val="nil"/>
              <w:left w:val="nil"/>
              <w:bottom w:val="nil"/>
              <w:right w:val="nil"/>
            </w:tcBorders>
            <w:shd w:val="clear" w:color="auto" w:fill="auto"/>
            <w:noWrap/>
            <w:vAlign w:val="bottom"/>
            <w:hideMark/>
          </w:tcPr>
          <w:p w14:paraId="0BA73A84"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2 076</w:t>
            </w:r>
          </w:p>
        </w:tc>
        <w:tc>
          <w:tcPr>
            <w:tcW w:w="453" w:type="pct"/>
            <w:tcBorders>
              <w:top w:val="nil"/>
              <w:left w:val="nil"/>
              <w:bottom w:val="nil"/>
              <w:right w:val="nil"/>
            </w:tcBorders>
            <w:shd w:val="clear" w:color="auto" w:fill="auto"/>
            <w:noWrap/>
            <w:vAlign w:val="bottom"/>
            <w:hideMark/>
          </w:tcPr>
          <w:p w14:paraId="297C8916"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10 850</w:t>
            </w:r>
          </w:p>
        </w:tc>
        <w:tc>
          <w:tcPr>
            <w:tcW w:w="453" w:type="pct"/>
            <w:tcBorders>
              <w:top w:val="nil"/>
              <w:left w:val="nil"/>
              <w:bottom w:val="nil"/>
              <w:right w:val="nil"/>
            </w:tcBorders>
            <w:shd w:val="clear" w:color="auto" w:fill="auto"/>
            <w:noWrap/>
            <w:vAlign w:val="bottom"/>
            <w:hideMark/>
          </w:tcPr>
          <w:p w14:paraId="29A3CE23"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3 350</w:t>
            </w:r>
          </w:p>
        </w:tc>
        <w:tc>
          <w:tcPr>
            <w:tcW w:w="453" w:type="pct"/>
            <w:tcBorders>
              <w:top w:val="nil"/>
              <w:left w:val="nil"/>
              <w:bottom w:val="nil"/>
              <w:right w:val="nil"/>
            </w:tcBorders>
            <w:shd w:val="clear" w:color="auto" w:fill="auto"/>
            <w:noWrap/>
            <w:vAlign w:val="bottom"/>
            <w:hideMark/>
          </w:tcPr>
          <w:p w14:paraId="0C27D096"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2 000</w:t>
            </w:r>
          </w:p>
        </w:tc>
        <w:tc>
          <w:tcPr>
            <w:tcW w:w="453" w:type="pct"/>
            <w:tcBorders>
              <w:top w:val="nil"/>
              <w:left w:val="nil"/>
              <w:bottom w:val="nil"/>
              <w:right w:val="nil"/>
            </w:tcBorders>
            <w:shd w:val="clear" w:color="auto" w:fill="auto"/>
            <w:noWrap/>
            <w:vAlign w:val="bottom"/>
            <w:hideMark/>
          </w:tcPr>
          <w:p w14:paraId="6E79C2FC"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2 000</w:t>
            </w:r>
          </w:p>
        </w:tc>
        <w:tc>
          <w:tcPr>
            <w:tcW w:w="453" w:type="pct"/>
            <w:tcBorders>
              <w:top w:val="nil"/>
              <w:left w:val="nil"/>
              <w:bottom w:val="nil"/>
              <w:right w:val="nil"/>
            </w:tcBorders>
            <w:shd w:val="clear" w:color="auto" w:fill="auto"/>
            <w:noWrap/>
            <w:vAlign w:val="bottom"/>
            <w:hideMark/>
          </w:tcPr>
          <w:p w14:paraId="503A3C1A"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2 000</w:t>
            </w:r>
          </w:p>
        </w:tc>
      </w:tr>
      <w:tr w:rsidR="00DD531B" w:rsidRPr="00DD531B" w14:paraId="5400EAF6" w14:textId="77777777" w:rsidTr="001F24AE">
        <w:trPr>
          <w:trHeight w:val="300"/>
        </w:trPr>
        <w:tc>
          <w:tcPr>
            <w:tcW w:w="1830" w:type="pct"/>
            <w:tcBorders>
              <w:top w:val="nil"/>
              <w:left w:val="nil"/>
              <w:bottom w:val="single" w:sz="4" w:space="0" w:color="auto"/>
              <w:right w:val="nil"/>
            </w:tcBorders>
            <w:shd w:val="clear" w:color="auto" w:fill="auto"/>
            <w:noWrap/>
            <w:vAlign w:val="bottom"/>
            <w:hideMark/>
          </w:tcPr>
          <w:p w14:paraId="2B5B8EE7" w14:textId="77777777" w:rsidR="00DD531B" w:rsidRPr="00D6350B" w:rsidRDefault="00DD531B" w:rsidP="00DD531B">
            <w:pPr>
              <w:spacing w:after="0" w:line="240" w:lineRule="auto"/>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dividendy</w:t>
            </w:r>
          </w:p>
        </w:tc>
        <w:tc>
          <w:tcPr>
            <w:tcW w:w="453" w:type="pct"/>
            <w:tcBorders>
              <w:top w:val="nil"/>
              <w:left w:val="nil"/>
              <w:bottom w:val="single" w:sz="4" w:space="0" w:color="auto"/>
              <w:right w:val="nil"/>
            </w:tcBorders>
            <w:shd w:val="clear" w:color="auto" w:fill="auto"/>
            <w:noWrap/>
            <w:vAlign w:val="bottom"/>
            <w:hideMark/>
          </w:tcPr>
          <w:p w14:paraId="7285F5C7"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250</w:t>
            </w:r>
          </w:p>
        </w:tc>
        <w:tc>
          <w:tcPr>
            <w:tcW w:w="453" w:type="pct"/>
            <w:tcBorders>
              <w:top w:val="nil"/>
              <w:left w:val="nil"/>
              <w:bottom w:val="single" w:sz="4" w:space="0" w:color="auto"/>
              <w:right w:val="nil"/>
            </w:tcBorders>
            <w:shd w:val="clear" w:color="auto" w:fill="auto"/>
            <w:noWrap/>
            <w:vAlign w:val="bottom"/>
            <w:hideMark/>
          </w:tcPr>
          <w:p w14:paraId="1832C689"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240</w:t>
            </w:r>
          </w:p>
        </w:tc>
        <w:tc>
          <w:tcPr>
            <w:tcW w:w="453" w:type="pct"/>
            <w:tcBorders>
              <w:top w:val="nil"/>
              <w:left w:val="nil"/>
              <w:bottom w:val="single" w:sz="4" w:space="0" w:color="auto"/>
              <w:right w:val="nil"/>
            </w:tcBorders>
            <w:shd w:val="clear" w:color="auto" w:fill="auto"/>
            <w:noWrap/>
            <w:vAlign w:val="bottom"/>
            <w:hideMark/>
          </w:tcPr>
          <w:p w14:paraId="6EF73754"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260</w:t>
            </w:r>
          </w:p>
        </w:tc>
        <w:tc>
          <w:tcPr>
            <w:tcW w:w="453" w:type="pct"/>
            <w:tcBorders>
              <w:top w:val="nil"/>
              <w:left w:val="nil"/>
              <w:bottom w:val="single" w:sz="4" w:space="0" w:color="auto"/>
              <w:right w:val="nil"/>
            </w:tcBorders>
            <w:shd w:val="clear" w:color="auto" w:fill="auto"/>
            <w:noWrap/>
            <w:vAlign w:val="bottom"/>
            <w:hideMark/>
          </w:tcPr>
          <w:p w14:paraId="1D128F3F"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260</w:t>
            </w:r>
          </w:p>
        </w:tc>
        <w:tc>
          <w:tcPr>
            <w:tcW w:w="453" w:type="pct"/>
            <w:tcBorders>
              <w:top w:val="nil"/>
              <w:left w:val="nil"/>
              <w:bottom w:val="single" w:sz="4" w:space="0" w:color="auto"/>
              <w:right w:val="nil"/>
            </w:tcBorders>
            <w:shd w:val="clear" w:color="auto" w:fill="auto"/>
            <w:noWrap/>
            <w:vAlign w:val="bottom"/>
            <w:hideMark/>
          </w:tcPr>
          <w:p w14:paraId="6C0E35E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260</w:t>
            </w:r>
          </w:p>
        </w:tc>
        <w:tc>
          <w:tcPr>
            <w:tcW w:w="453" w:type="pct"/>
            <w:tcBorders>
              <w:top w:val="nil"/>
              <w:left w:val="nil"/>
              <w:bottom w:val="single" w:sz="4" w:space="0" w:color="auto"/>
              <w:right w:val="nil"/>
            </w:tcBorders>
            <w:shd w:val="clear" w:color="auto" w:fill="auto"/>
            <w:noWrap/>
            <w:vAlign w:val="bottom"/>
            <w:hideMark/>
          </w:tcPr>
          <w:p w14:paraId="7837E7B0"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260</w:t>
            </w:r>
          </w:p>
        </w:tc>
        <w:tc>
          <w:tcPr>
            <w:tcW w:w="453" w:type="pct"/>
            <w:tcBorders>
              <w:top w:val="nil"/>
              <w:left w:val="nil"/>
              <w:bottom w:val="single" w:sz="4" w:space="0" w:color="auto"/>
              <w:right w:val="nil"/>
            </w:tcBorders>
            <w:shd w:val="clear" w:color="auto" w:fill="auto"/>
            <w:noWrap/>
            <w:vAlign w:val="bottom"/>
            <w:hideMark/>
          </w:tcPr>
          <w:p w14:paraId="13C05170"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260</w:t>
            </w:r>
          </w:p>
        </w:tc>
      </w:tr>
    </w:tbl>
    <w:p w14:paraId="4242BED3" w14:textId="77777777" w:rsidR="00DD531B" w:rsidRPr="00DD531B" w:rsidRDefault="00DD531B" w:rsidP="00DD531B">
      <w:pPr>
        <w:rPr>
          <w:rFonts w:ascii="Times New Roman" w:eastAsia="Calibri" w:hAnsi="Times New Roman" w:cs="Times New Roman"/>
        </w:rPr>
      </w:pPr>
    </w:p>
    <w:p w14:paraId="159F8E3B" w14:textId="251D0BEF" w:rsidR="00DD531B" w:rsidRPr="00D6350B" w:rsidRDefault="00D6350B"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02" w:name="_Toc153013072"/>
      <w:r w:rsidRPr="00D6350B">
        <w:rPr>
          <w:rFonts w:ascii="Times New Roman" w:eastAsia="Times New Roman" w:hAnsi="Times New Roman" w:cs="Times New Roman"/>
          <w:b/>
          <w:iCs/>
          <w:color w:val="5B9BD5" w:themeColor="accent1"/>
          <w:sz w:val="20"/>
          <w:szCs w:val="20"/>
          <w:lang w:eastAsia="sk-SK"/>
        </w:rPr>
        <w:t xml:space="preserve">Tabuľka </w:t>
      </w:r>
      <w:r w:rsidRPr="00D6350B">
        <w:rPr>
          <w:rFonts w:ascii="Times New Roman" w:hAnsi="Times New Roman" w:cs="Times New Roman"/>
          <w:b/>
          <w:color w:val="5B9BD5" w:themeColor="accent1"/>
          <w:sz w:val="20"/>
          <w:szCs w:val="20"/>
        </w:rPr>
        <w:fldChar w:fldCharType="begin"/>
      </w:r>
      <w:r w:rsidRPr="00D6350B">
        <w:rPr>
          <w:rFonts w:ascii="Times New Roman" w:hAnsi="Times New Roman" w:cs="Times New Roman"/>
          <w:b/>
          <w:color w:val="5B9BD5" w:themeColor="accent1"/>
          <w:sz w:val="20"/>
          <w:szCs w:val="20"/>
        </w:rPr>
        <w:instrText xml:space="preserve"> SEQ Tabuľka \* ARABIC </w:instrText>
      </w:r>
      <w:r w:rsidRPr="00D6350B">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74</w:t>
      </w:r>
      <w:r w:rsidRPr="00D6350B">
        <w:rPr>
          <w:rFonts w:ascii="Times New Roman" w:hAnsi="Times New Roman" w:cs="Times New Roman"/>
          <w:b/>
          <w:color w:val="5B9BD5" w:themeColor="accent1"/>
          <w:sz w:val="20"/>
          <w:szCs w:val="20"/>
        </w:rPr>
        <w:fldChar w:fldCharType="end"/>
      </w:r>
      <w:r w:rsidRPr="00D6350B">
        <w:rPr>
          <w:rFonts w:ascii="Times New Roman" w:hAnsi="Times New Roman" w:cs="Times New Roman"/>
          <w:b/>
          <w:color w:val="5B9BD5" w:themeColor="accent1"/>
          <w:sz w:val="20"/>
          <w:szCs w:val="20"/>
        </w:rPr>
        <w:t xml:space="preserve"> - </w:t>
      </w:r>
      <w:r w:rsidR="00DD531B" w:rsidRPr="00D6350B">
        <w:rPr>
          <w:rFonts w:ascii="Times New Roman" w:eastAsia="Times New Roman" w:hAnsi="Times New Roman" w:cs="Times New Roman"/>
          <w:b/>
          <w:iCs/>
          <w:color w:val="5B9BD5" w:themeColor="accent1"/>
          <w:sz w:val="20"/>
          <w:szCs w:val="20"/>
          <w:lang w:eastAsia="sk-SK"/>
        </w:rPr>
        <w:t>Výdavky kapitoly MZVEZ SR</w:t>
      </w:r>
      <w:bookmarkEnd w:id="202"/>
    </w:p>
    <w:tbl>
      <w:tblPr>
        <w:tblW w:w="5000" w:type="pct"/>
        <w:tblCellMar>
          <w:left w:w="70" w:type="dxa"/>
          <w:right w:w="70" w:type="dxa"/>
        </w:tblCellMar>
        <w:tblLook w:val="04A0" w:firstRow="1" w:lastRow="0" w:firstColumn="1" w:lastColumn="0" w:noHBand="0" w:noVBand="1"/>
      </w:tblPr>
      <w:tblGrid>
        <w:gridCol w:w="3572"/>
        <w:gridCol w:w="786"/>
        <w:gridCol w:w="786"/>
        <w:gridCol w:w="786"/>
        <w:gridCol w:w="786"/>
        <w:gridCol w:w="786"/>
        <w:gridCol w:w="786"/>
        <w:gridCol w:w="784"/>
      </w:tblGrid>
      <w:tr w:rsidR="00DD531B" w:rsidRPr="00DD531B" w14:paraId="365763C7" w14:textId="77777777" w:rsidTr="001F24AE">
        <w:trPr>
          <w:trHeight w:val="300"/>
        </w:trPr>
        <w:tc>
          <w:tcPr>
            <w:tcW w:w="1830" w:type="pct"/>
            <w:tcBorders>
              <w:top w:val="single" w:sz="4" w:space="0" w:color="auto"/>
              <w:left w:val="nil"/>
              <w:bottom w:val="single" w:sz="4" w:space="0" w:color="auto"/>
              <w:right w:val="nil"/>
            </w:tcBorders>
            <w:shd w:val="clear" w:color="auto" w:fill="auto"/>
            <w:noWrap/>
            <w:vAlign w:val="center"/>
            <w:hideMark/>
          </w:tcPr>
          <w:p w14:paraId="25201E4A" w14:textId="77777777" w:rsidR="00DD531B" w:rsidRPr="00D6350B" w:rsidRDefault="00DD531B" w:rsidP="00DD531B">
            <w:pPr>
              <w:spacing w:after="0" w:line="240" w:lineRule="auto"/>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v tis. eur</w:t>
            </w:r>
          </w:p>
        </w:tc>
        <w:tc>
          <w:tcPr>
            <w:tcW w:w="453" w:type="pct"/>
            <w:tcBorders>
              <w:top w:val="single" w:sz="4" w:space="0" w:color="auto"/>
              <w:left w:val="nil"/>
              <w:bottom w:val="single" w:sz="4" w:space="0" w:color="auto"/>
              <w:right w:val="nil"/>
            </w:tcBorders>
            <w:shd w:val="clear" w:color="auto" w:fill="auto"/>
            <w:noWrap/>
            <w:vAlign w:val="center"/>
            <w:hideMark/>
          </w:tcPr>
          <w:p w14:paraId="5C36C0D7"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2021 S</w:t>
            </w:r>
          </w:p>
        </w:tc>
        <w:tc>
          <w:tcPr>
            <w:tcW w:w="453" w:type="pct"/>
            <w:tcBorders>
              <w:top w:val="single" w:sz="4" w:space="0" w:color="auto"/>
              <w:left w:val="nil"/>
              <w:bottom w:val="single" w:sz="4" w:space="0" w:color="auto"/>
              <w:right w:val="nil"/>
            </w:tcBorders>
            <w:shd w:val="clear" w:color="auto" w:fill="auto"/>
            <w:noWrap/>
            <w:vAlign w:val="center"/>
            <w:hideMark/>
          </w:tcPr>
          <w:p w14:paraId="3B90EEA5"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2022 S</w:t>
            </w:r>
          </w:p>
        </w:tc>
        <w:tc>
          <w:tcPr>
            <w:tcW w:w="453" w:type="pct"/>
            <w:tcBorders>
              <w:top w:val="single" w:sz="4" w:space="0" w:color="auto"/>
              <w:left w:val="nil"/>
              <w:bottom w:val="single" w:sz="4" w:space="0" w:color="auto"/>
              <w:right w:val="nil"/>
            </w:tcBorders>
            <w:shd w:val="clear" w:color="auto" w:fill="auto"/>
            <w:noWrap/>
            <w:vAlign w:val="center"/>
            <w:hideMark/>
          </w:tcPr>
          <w:p w14:paraId="421FF10E"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2023 R</w:t>
            </w:r>
          </w:p>
        </w:tc>
        <w:tc>
          <w:tcPr>
            <w:tcW w:w="453" w:type="pct"/>
            <w:tcBorders>
              <w:top w:val="single" w:sz="4" w:space="0" w:color="auto"/>
              <w:left w:val="nil"/>
              <w:bottom w:val="single" w:sz="4" w:space="0" w:color="auto"/>
              <w:right w:val="nil"/>
            </w:tcBorders>
            <w:shd w:val="clear" w:color="auto" w:fill="auto"/>
            <w:noWrap/>
            <w:vAlign w:val="center"/>
            <w:hideMark/>
          </w:tcPr>
          <w:p w14:paraId="5E6F7A01"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2023 OS</w:t>
            </w:r>
          </w:p>
        </w:tc>
        <w:tc>
          <w:tcPr>
            <w:tcW w:w="453" w:type="pct"/>
            <w:tcBorders>
              <w:top w:val="single" w:sz="4" w:space="0" w:color="auto"/>
              <w:left w:val="nil"/>
              <w:bottom w:val="single" w:sz="4" w:space="0" w:color="auto"/>
              <w:right w:val="nil"/>
            </w:tcBorders>
            <w:shd w:val="clear" w:color="auto" w:fill="auto"/>
            <w:noWrap/>
            <w:vAlign w:val="center"/>
            <w:hideMark/>
          </w:tcPr>
          <w:p w14:paraId="75A862FC"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2024 N</w:t>
            </w:r>
          </w:p>
        </w:tc>
        <w:tc>
          <w:tcPr>
            <w:tcW w:w="453" w:type="pct"/>
            <w:tcBorders>
              <w:top w:val="single" w:sz="4" w:space="0" w:color="auto"/>
              <w:left w:val="nil"/>
              <w:bottom w:val="single" w:sz="4" w:space="0" w:color="auto"/>
              <w:right w:val="nil"/>
            </w:tcBorders>
            <w:shd w:val="clear" w:color="auto" w:fill="auto"/>
            <w:noWrap/>
            <w:vAlign w:val="center"/>
            <w:hideMark/>
          </w:tcPr>
          <w:p w14:paraId="57EA4998"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2025 N</w:t>
            </w:r>
          </w:p>
        </w:tc>
        <w:tc>
          <w:tcPr>
            <w:tcW w:w="453" w:type="pct"/>
            <w:tcBorders>
              <w:top w:val="single" w:sz="4" w:space="0" w:color="auto"/>
              <w:left w:val="nil"/>
              <w:bottom w:val="single" w:sz="4" w:space="0" w:color="auto"/>
              <w:right w:val="nil"/>
            </w:tcBorders>
            <w:shd w:val="clear" w:color="auto" w:fill="auto"/>
            <w:noWrap/>
            <w:vAlign w:val="center"/>
            <w:hideMark/>
          </w:tcPr>
          <w:p w14:paraId="5216235C"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2026 N</w:t>
            </w:r>
          </w:p>
        </w:tc>
      </w:tr>
      <w:tr w:rsidR="00DD531B" w:rsidRPr="00DD531B" w14:paraId="5C889FC4" w14:textId="77777777" w:rsidTr="001F24AE">
        <w:trPr>
          <w:trHeight w:val="300"/>
        </w:trPr>
        <w:tc>
          <w:tcPr>
            <w:tcW w:w="1830" w:type="pct"/>
            <w:tcBorders>
              <w:top w:val="nil"/>
              <w:left w:val="nil"/>
              <w:bottom w:val="nil"/>
              <w:right w:val="nil"/>
            </w:tcBorders>
            <w:shd w:val="clear" w:color="auto" w:fill="auto"/>
            <w:noWrap/>
            <w:vAlign w:val="center"/>
            <w:hideMark/>
          </w:tcPr>
          <w:p w14:paraId="519B9D96" w14:textId="77777777" w:rsidR="00DD531B" w:rsidRPr="00D6350B" w:rsidRDefault="00DD531B" w:rsidP="00DD531B">
            <w:pPr>
              <w:spacing w:after="0" w:line="240" w:lineRule="auto"/>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Výdavky kapitoly spolu</w:t>
            </w:r>
          </w:p>
        </w:tc>
        <w:tc>
          <w:tcPr>
            <w:tcW w:w="453" w:type="pct"/>
            <w:tcBorders>
              <w:top w:val="nil"/>
              <w:left w:val="nil"/>
              <w:bottom w:val="nil"/>
              <w:right w:val="nil"/>
            </w:tcBorders>
            <w:shd w:val="clear" w:color="auto" w:fill="auto"/>
            <w:noWrap/>
            <w:vAlign w:val="center"/>
            <w:hideMark/>
          </w:tcPr>
          <w:p w14:paraId="59F96A98"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159 363</w:t>
            </w:r>
          </w:p>
        </w:tc>
        <w:tc>
          <w:tcPr>
            <w:tcW w:w="453" w:type="pct"/>
            <w:tcBorders>
              <w:top w:val="nil"/>
              <w:left w:val="nil"/>
              <w:bottom w:val="nil"/>
              <w:right w:val="nil"/>
            </w:tcBorders>
            <w:shd w:val="clear" w:color="auto" w:fill="auto"/>
            <w:noWrap/>
            <w:vAlign w:val="center"/>
            <w:hideMark/>
          </w:tcPr>
          <w:p w14:paraId="507B20A9"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167 917</w:t>
            </w:r>
          </w:p>
        </w:tc>
        <w:tc>
          <w:tcPr>
            <w:tcW w:w="453" w:type="pct"/>
            <w:tcBorders>
              <w:top w:val="nil"/>
              <w:left w:val="nil"/>
              <w:bottom w:val="nil"/>
              <w:right w:val="nil"/>
            </w:tcBorders>
            <w:shd w:val="clear" w:color="auto" w:fill="auto"/>
            <w:noWrap/>
            <w:vAlign w:val="center"/>
            <w:hideMark/>
          </w:tcPr>
          <w:p w14:paraId="1EA0CC43"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175 277</w:t>
            </w:r>
          </w:p>
        </w:tc>
        <w:tc>
          <w:tcPr>
            <w:tcW w:w="453" w:type="pct"/>
            <w:tcBorders>
              <w:top w:val="nil"/>
              <w:left w:val="nil"/>
              <w:bottom w:val="nil"/>
              <w:right w:val="nil"/>
            </w:tcBorders>
            <w:shd w:val="clear" w:color="auto" w:fill="auto"/>
            <w:noWrap/>
            <w:vAlign w:val="center"/>
            <w:hideMark/>
          </w:tcPr>
          <w:p w14:paraId="19C8EA27"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188 799</w:t>
            </w:r>
          </w:p>
        </w:tc>
        <w:tc>
          <w:tcPr>
            <w:tcW w:w="453" w:type="pct"/>
            <w:tcBorders>
              <w:top w:val="nil"/>
              <w:left w:val="nil"/>
              <w:bottom w:val="nil"/>
              <w:right w:val="nil"/>
            </w:tcBorders>
            <w:shd w:val="clear" w:color="auto" w:fill="auto"/>
            <w:noWrap/>
            <w:vAlign w:val="center"/>
            <w:hideMark/>
          </w:tcPr>
          <w:p w14:paraId="4BCB9C67"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177 340</w:t>
            </w:r>
          </w:p>
        </w:tc>
        <w:tc>
          <w:tcPr>
            <w:tcW w:w="453" w:type="pct"/>
            <w:tcBorders>
              <w:top w:val="nil"/>
              <w:left w:val="nil"/>
              <w:bottom w:val="nil"/>
              <w:right w:val="nil"/>
            </w:tcBorders>
            <w:shd w:val="clear" w:color="auto" w:fill="auto"/>
            <w:noWrap/>
            <w:vAlign w:val="center"/>
            <w:hideMark/>
          </w:tcPr>
          <w:p w14:paraId="5D3C0B22"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185 390</w:t>
            </w:r>
          </w:p>
        </w:tc>
        <w:tc>
          <w:tcPr>
            <w:tcW w:w="453" w:type="pct"/>
            <w:tcBorders>
              <w:top w:val="nil"/>
              <w:left w:val="nil"/>
              <w:bottom w:val="nil"/>
              <w:right w:val="nil"/>
            </w:tcBorders>
            <w:shd w:val="clear" w:color="auto" w:fill="auto"/>
            <w:noWrap/>
            <w:vAlign w:val="center"/>
            <w:hideMark/>
          </w:tcPr>
          <w:p w14:paraId="638410E2"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183 014</w:t>
            </w:r>
          </w:p>
        </w:tc>
      </w:tr>
      <w:tr w:rsidR="00DD531B" w:rsidRPr="00DD531B" w14:paraId="3A54FA92" w14:textId="77777777" w:rsidTr="001F24AE">
        <w:trPr>
          <w:trHeight w:val="300"/>
        </w:trPr>
        <w:tc>
          <w:tcPr>
            <w:tcW w:w="1830" w:type="pct"/>
            <w:tcBorders>
              <w:top w:val="nil"/>
              <w:left w:val="nil"/>
              <w:bottom w:val="nil"/>
              <w:right w:val="nil"/>
            </w:tcBorders>
            <w:shd w:val="clear" w:color="auto" w:fill="auto"/>
            <w:noWrap/>
            <w:vAlign w:val="bottom"/>
            <w:hideMark/>
          </w:tcPr>
          <w:p w14:paraId="0066111A" w14:textId="77777777" w:rsidR="00DD531B" w:rsidRPr="00D6350B" w:rsidRDefault="00DD531B" w:rsidP="00DD531B">
            <w:pPr>
              <w:spacing w:after="0" w:line="240" w:lineRule="auto"/>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rozpočtové zdroje kapitoly</w:t>
            </w:r>
          </w:p>
        </w:tc>
        <w:tc>
          <w:tcPr>
            <w:tcW w:w="453" w:type="pct"/>
            <w:tcBorders>
              <w:top w:val="nil"/>
              <w:left w:val="nil"/>
              <w:bottom w:val="nil"/>
              <w:right w:val="nil"/>
            </w:tcBorders>
            <w:shd w:val="clear" w:color="auto" w:fill="auto"/>
            <w:noWrap/>
            <w:vAlign w:val="bottom"/>
            <w:hideMark/>
          </w:tcPr>
          <w:p w14:paraId="66AABF53"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151 651</w:t>
            </w:r>
          </w:p>
        </w:tc>
        <w:tc>
          <w:tcPr>
            <w:tcW w:w="453" w:type="pct"/>
            <w:tcBorders>
              <w:top w:val="nil"/>
              <w:left w:val="nil"/>
              <w:bottom w:val="nil"/>
              <w:right w:val="nil"/>
            </w:tcBorders>
            <w:shd w:val="clear" w:color="auto" w:fill="auto"/>
            <w:noWrap/>
            <w:vAlign w:val="bottom"/>
            <w:hideMark/>
          </w:tcPr>
          <w:p w14:paraId="3F7ACBCA"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150 469</w:t>
            </w:r>
          </w:p>
        </w:tc>
        <w:tc>
          <w:tcPr>
            <w:tcW w:w="453" w:type="pct"/>
            <w:tcBorders>
              <w:top w:val="nil"/>
              <w:left w:val="nil"/>
              <w:bottom w:val="nil"/>
              <w:right w:val="nil"/>
            </w:tcBorders>
            <w:shd w:val="clear" w:color="auto" w:fill="auto"/>
            <w:noWrap/>
            <w:vAlign w:val="bottom"/>
            <w:hideMark/>
          </w:tcPr>
          <w:p w14:paraId="64E8D72D"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175 277</w:t>
            </w:r>
          </w:p>
        </w:tc>
        <w:tc>
          <w:tcPr>
            <w:tcW w:w="453" w:type="pct"/>
            <w:tcBorders>
              <w:top w:val="nil"/>
              <w:left w:val="nil"/>
              <w:bottom w:val="nil"/>
              <w:right w:val="nil"/>
            </w:tcBorders>
            <w:shd w:val="clear" w:color="auto" w:fill="auto"/>
            <w:noWrap/>
            <w:vAlign w:val="bottom"/>
            <w:hideMark/>
          </w:tcPr>
          <w:p w14:paraId="5393CE89"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174 893</w:t>
            </w:r>
          </w:p>
        </w:tc>
        <w:tc>
          <w:tcPr>
            <w:tcW w:w="453" w:type="pct"/>
            <w:tcBorders>
              <w:top w:val="nil"/>
              <w:left w:val="nil"/>
              <w:bottom w:val="nil"/>
              <w:right w:val="nil"/>
            </w:tcBorders>
            <w:shd w:val="clear" w:color="auto" w:fill="auto"/>
            <w:noWrap/>
            <w:vAlign w:val="bottom"/>
            <w:hideMark/>
          </w:tcPr>
          <w:p w14:paraId="68673AE7"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177 340</w:t>
            </w:r>
          </w:p>
        </w:tc>
        <w:tc>
          <w:tcPr>
            <w:tcW w:w="453" w:type="pct"/>
            <w:tcBorders>
              <w:top w:val="nil"/>
              <w:left w:val="nil"/>
              <w:bottom w:val="nil"/>
              <w:right w:val="nil"/>
            </w:tcBorders>
            <w:shd w:val="clear" w:color="auto" w:fill="auto"/>
            <w:noWrap/>
            <w:vAlign w:val="bottom"/>
            <w:hideMark/>
          </w:tcPr>
          <w:p w14:paraId="5B4BA7A7"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185 390</w:t>
            </w:r>
          </w:p>
        </w:tc>
        <w:tc>
          <w:tcPr>
            <w:tcW w:w="453" w:type="pct"/>
            <w:tcBorders>
              <w:top w:val="nil"/>
              <w:left w:val="nil"/>
              <w:bottom w:val="nil"/>
              <w:right w:val="nil"/>
            </w:tcBorders>
            <w:shd w:val="clear" w:color="auto" w:fill="auto"/>
            <w:noWrap/>
            <w:vAlign w:val="bottom"/>
            <w:hideMark/>
          </w:tcPr>
          <w:p w14:paraId="006B958D"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183 014</w:t>
            </w:r>
          </w:p>
        </w:tc>
      </w:tr>
      <w:tr w:rsidR="00DD531B" w:rsidRPr="00DD531B" w14:paraId="429AD937" w14:textId="77777777" w:rsidTr="001F24AE">
        <w:trPr>
          <w:trHeight w:val="300"/>
        </w:trPr>
        <w:tc>
          <w:tcPr>
            <w:tcW w:w="1830" w:type="pct"/>
            <w:tcBorders>
              <w:top w:val="nil"/>
              <w:left w:val="nil"/>
              <w:bottom w:val="nil"/>
              <w:right w:val="nil"/>
            </w:tcBorders>
            <w:shd w:val="clear" w:color="auto" w:fill="auto"/>
            <w:noWrap/>
            <w:vAlign w:val="bottom"/>
            <w:hideMark/>
          </w:tcPr>
          <w:p w14:paraId="691D7D4B"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bežné výdavky  600, v tom:</w:t>
            </w:r>
          </w:p>
        </w:tc>
        <w:tc>
          <w:tcPr>
            <w:tcW w:w="453" w:type="pct"/>
            <w:tcBorders>
              <w:top w:val="nil"/>
              <w:left w:val="nil"/>
              <w:bottom w:val="nil"/>
              <w:right w:val="nil"/>
            </w:tcBorders>
            <w:shd w:val="clear" w:color="auto" w:fill="auto"/>
            <w:noWrap/>
            <w:vAlign w:val="bottom"/>
            <w:hideMark/>
          </w:tcPr>
          <w:p w14:paraId="2B5C8BC7"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149 730</w:t>
            </w:r>
          </w:p>
        </w:tc>
        <w:tc>
          <w:tcPr>
            <w:tcW w:w="453" w:type="pct"/>
            <w:tcBorders>
              <w:top w:val="nil"/>
              <w:left w:val="nil"/>
              <w:bottom w:val="nil"/>
              <w:right w:val="nil"/>
            </w:tcBorders>
            <w:shd w:val="clear" w:color="auto" w:fill="auto"/>
            <w:noWrap/>
            <w:vAlign w:val="bottom"/>
            <w:hideMark/>
          </w:tcPr>
          <w:p w14:paraId="186B097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148 509</w:t>
            </w:r>
          </w:p>
        </w:tc>
        <w:tc>
          <w:tcPr>
            <w:tcW w:w="453" w:type="pct"/>
            <w:tcBorders>
              <w:top w:val="nil"/>
              <w:left w:val="nil"/>
              <w:bottom w:val="nil"/>
              <w:right w:val="nil"/>
            </w:tcBorders>
            <w:shd w:val="clear" w:color="auto" w:fill="auto"/>
            <w:noWrap/>
            <w:vAlign w:val="bottom"/>
            <w:hideMark/>
          </w:tcPr>
          <w:p w14:paraId="5D57E317"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165 428</w:t>
            </w:r>
          </w:p>
        </w:tc>
        <w:tc>
          <w:tcPr>
            <w:tcW w:w="453" w:type="pct"/>
            <w:tcBorders>
              <w:top w:val="nil"/>
              <w:left w:val="nil"/>
              <w:bottom w:val="nil"/>
              <w:right w:val="nil"/>
            </w:tcBorders>
            <w:shd w:val="clear" w:color="auto" w:fill="auto"/>
            <w:noWrap/>
            <w:vAlign w:val="bottom"/>
            <w:hideMark/>
          </w:tcPr>
          <w:p w14:paraId="0FAFCBAA"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172 179</w:t>
            </w:r>
          </w:p>
        </w:tc>
        <w:tc>
          <w:tcPr>
            <w:tcW w:w="453" w:type="pct"/>
            <w:tcBorders>
              <w:top w:val="nil"/>
              <w:left w:val="nil"/>
              <w:bottom w:val="nil"/>
              <w:right w:val="nil"/>
            </w:tcBorders>
            <w:shd w:val="clear" w:color="auto" w:fill="auto"/>
            <w:noWrap/>
            <w:vAlign w:val="bottom"/>
            <w:hideMark/>
          </w:tcPr>
          <w:p w14:paraId="6624F838"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172 284</w:t>
            </w:r>
          </w:p>
        </w:tc>
        <w:tc>
          <w:tcPr>
            <w:tcW w:w="453" w:type="pct"/>
            <w:tcBorders>
              <w:top w:val="nil"/>
              <w:left w:val="nil"/>
              <w:bottom w:val="nil"/>
              <w:right w:val="nil"/>
            </w:tcBorders>
            <w:shd w:val="clear" w:color="auto" w:fill="auto"/>
            <w:noWrap/>
            <w:vAlign w:val="bottom"/>
            <w:hideMark/>
          </w:tcPr>
          <w:p w14:paraId="335376C7"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172 510</w:t>
            </w:r>
          </w:p>
        </w:tc>
        <w:tc>
          <w:tcPr>
            <w:tcW w:w="453" w:type="pct"/>
            <w:tcBorders>
              <w:top w:val="nil"/>
              <w:left w:val="nil"/>
              <w:bottom w:val="nil"/>
              <w:right w:val="nil"/>
            </w:tcBorders>
            <w:shd w:val="clear" w:color="auto" w:fill="auto"/>
            <w:noWrap/>
            <w:vAlign w:val="bottom"/>
            <w:hideMark/>
          </w:tcPr>
          <w:p w14:paraId="2400827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173 288</w:t>
            </w:r>
          </w:p>
        </w:tc>
      </w:tr>
      <w:tr w:rsidR="00DD531B" w:rsidRPr="00DD531B" w14:paraId="34419616" w14:textId="77777777" w:rsidTr="001F24AE">
        <w:trPr>
          <w:trHeight w:val="300"/>
        </w:trPr>
        <w:tc>
          <w:tcPr>
            <w:tcW w:w="1830" w:type="pct"/>
            <w:tcBorders>
              <w:top w:val="nil"/>
              <w:left w:val="nil"/>
              <w:bottom w:val="nil"/>
              <w:right w:val="nil"/>
            </w:tcBorders>
            <w:shd w:val="clear" w:color="auto" w:fill="auto"/>
            <w:noWrap/>
            <w:vAlign w:val="bottom"/>
            <w:hideMark/>
          </w:tcPr>
          <w:p w14:paraId="498BEAB9"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610 mzdy</w:t>
            </w:r>
          </w:p>
        </w:tc>
        <w:tc>
          <w:tcPr>
            <w:tcW w:w="453" w:type="pct"/>
            <w:tcBorders>
              <w:top w:val="nil"/>
              <w:left w:val="nil"/>
              <w:bottom w:val="nil"/>
              <w:right w:val="nil"/>
            </w:tcBorders>
            <w:shd w:val="clear" w:color="auto" w:fill="auto"/>
            <w:noWrap/>
            <w:vAlign w:val="bottom"/>
            <w:hideMark/>
          </w:tcPr>
          <w:p w14:paraId="17B88996"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57 037</w:t>
            </w:r>
          </w:p>
        </w:tc>
        <w:tc>
          <w:tcPr>
            <w:tcW w:w="453" w:type="pct"/>
            <w:tcBorders>
              <w:top w:val="nil"/>
              <w:left w:val="nil"/>
              <w:bottom w:val="nil"/>
              <w:right w:val="nil"/>
            </w:tcBorders>
            <w:shd w:val="clear" w:color="auto" w:fill="auto"/>
            <w:noWrap/>
            <w:vAlign w:val="bottom"/>
            <w:hideMark/>
          </w:tcPr>
          <w:p w14:paraId="1D82F2D2"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59 737</w:t>
            </w:r>
          </w:p>
        </w:tc>
        <w:tc>
          <w:tcPr>
            <w:tcW w:w="453" w:type="pct"/>
            <w:tcBorders>
              <w:top w:val="nil"/>
              <w:left w:val="nil"/>
              <w:bottom w:val="nil"/>
              <w:right w:val="nil"/>
            </w:tcBorders>
            <w:shd w:val="clear" w:color="auto" w:fill="auto"/>
            <w:noWrap/>
            <w:vAlign w:val="bottom"/>
            <w:hideMark/>
          </w:tcPr>
          <w:p w14:paraId="43AA2606"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64 188</w:t>
            </w:r>
          </w:p>
        </w:tc>
        <w:tc>
          <w:tcPr>
            <w:tcW w:w="453" w:type="pct"/>
            <w:tcBorders>
              <w:top w:val="nil"/>
              <w:left w:val="nil"/>
              <w:bottom w:val="nil"/>
              <w:right w:val="nil"/>
            </w:tcBorders>
            <w:shd w:val="clear" w:color="auto" w:fill="auto"/>
            <w:noWrap/>
            <w:vAlign w:val="bottom"/>
            <w:hideMark/>
          </w:tcPr>
          <w:p w14:paraId="718195CF"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66 041</w:t>
            </w:r>
          </w:p>
        </w:tc>
        <w:tc>
          <w:tcPr>
            <w:tcW w:w="453" w:type="pct"/>
            <w:tcBorders>
              <w:top w:val="nil"/>
              <w:left w:val="nil"/>
              <w:bottom w:val="nil"/>
              <w:right w:val="nil"/>
            </w:tcBorders>
            <w:shd w:val="clear" w:color="auto" w:fill="auto"/>
            <w:noWrap/>
            <w:vAlign w:val="bottom"/>
            <w:hideMark/>
          </w:tcPr>
          <w:p w14:paraId="135D1A0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68 080</w:t>
            </w:r>
          </w:p>
        </w:tc>
        <w:tc>
          <w:tcPr>
            <w:tcW w:w="453" w:type="pct"/>
            <w:tcBorders>
              <w:top w:val="nil"/>
              <w:left w:val="nil"/>
              <w:bottom w:val="nil"/>
              <w:right w:val="nil"/>
            </w:tcBorders>
            <w:shd w:val="clear" w:color="auto" w:fill="auto"/>
            <w:noWrap/>
            <w:vAlign w:val="bottom"/>
            <w:hideMark/>
          </w:tcPr>
          <w:p w14:paraId="75BCC493"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68 080</w:t>
            </w:r>
          </w:p>
        </w:tc>
        <w:tc>
          <w:tcPr>
            <w:tcW w:w="453" w:type="pct"/>
            <w:tcBorders>
              <w:top w:val="nil"/>
              <w:left w:val="nil"/>
              <w:bottom w:val="nil"/>
              <w:right w:val="nil"/>
            </w:tcBorders>
            <w:shd w:val="clear" w:color="auto" w:fill="auto"/>
            <w:noWrap/>
            <w:vAlign w:val="bottom"/>
            <w:hideMark/>
          </w:tcPr>
          <w:p w14:paraId="65CE3E86"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68 080</w:t>
            </w:r>
          </w:p>
        </w:tc>
      </w:tr>
      <w:tr w:rsidR="00DD531B" w:rsidRPr="00DD531B" w14:paraId="40A6707E" w14:textId="77777777" w:rsidTr="001F24AE">
        <w:trPr>
          <w:trHeight w:val="300"/>
        </w:trPr>
        <w:tc>
          <w:tcPr>
            <w:tcW w:w="1830" w:type="pct"/>
            <w:tcBorders>
              <w:top w:val="nil"/>
              <w:left w:val="nil"/>
              <w:bottom w:val="nil"/>
              <w:right w:val="nil"/>
            </w:tcBorders>
            <w:shd w:val="clear" w:color="auto" w:fill="auto"/>
            <w:noWrap/>
            <w:vAlign w:val="bottom"/>
            <w:hideMark/>
          </w:tcPr>
          <w:p w14:paraId="5327AA0D"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620 odvody</w:t>
            </w:r>
          </w:p>
        </w:tc>
        <w:tc>
          <w:tcPr>
            <w:tcW w:w="453" w:type="pct"/>
            <w:tcBorders>
              <w:top w:val="nil"/>
              <w:left w:val="nil"/>
              <w:bottom w:val="nil"/>
              <w:right w:val="nil"/>
            </w:tcBorders>
            <w:shd w:val="clear" w:color="auto" w:fill="auto"/>
            <w:noWrap/>
            <w:vAlign w:val="bottom"/>
            <w:hideMark/>
          </w:tcPr>
          <w:p w14:paraId="33B38951"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19 976</w:t>
            </w:r>
          </w:p>
        </w:tc>
        <w:tc>
          <w:tcPr>
            <w:tcW w:w="453" w:type="pct"/>
            <w:tcBorders>
              <w:top w:val="nil"/>
              <w:left w:val="nil"/>
              <w:bottom w:val="nil"/>
              <w:right w:val="nil"/>
            </w:tcBorders>
            <w:shd w:val="clear" w:color="auto" w:fill="auto"/>
            <w:noWrap/>
            <w:vAlign w:val="bottom"/>
            <w:hideMark/>
          </w:tcPr>
          <w:p w14:paraId="09A7C50A"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20 903</w:t>
            </w:r>
          </w:p>
        </w:tc>
        <w:tc>
          <w:tcPr>
            <w:tcW w:w="453" w:type="pct"/>
            <w:tcBorders>
              <w:top w:val="nil"/>
              <w:left w:val="nil"/>
              <w:bottom w:val="nil"/>
              <w:right w:val="nil"/>
            </w:tcBorders>
            <w:shd w:val="clear" w:color="auto" w:fill="auto"/>
            <w:noWrap/>
            <w:vAlign w:val="bottom"/>
            <w:hideMark/>
          </w:tcPr>
          <w:p w14:paraId="043ED798"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22 739</w:t>
            </w:r>
          </w:p>
        </w:tc>
        <w:tc>
          <w:tcPr>
            <w:tcW w:w="453" w:type="pct"/>
            <w:tcBorders>
              <w:top w:val="nil"/>
              <w:left w:val="nil"/>
              <w:bottom w:val="nil"/>
              <w:right w:val="nil"/>
            </w:tcBorders>
            <w:shd w:val="clear" w:color="auto" w:fill="auto"/>
            <w:noWrap/>
            <w:vAlign w:val="bottom"/>
            <w:hideMark/>
          </w:tcPr>
          <w:p w14:paraId="79E19637"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23 440</w:t>
            </w:r>
          </w:p>
        </w:tc>
        <w:tc>
          <w:tcPr>
            <w:tcW w:w="453" w:type="pct"/>
            <w:tcBorders>
              <w:top w:val="nil"/>
              <w:left w:val="nil"/>
              <w:bottom w:val="nil"/>
              <w:right w:val="nil"/>
            </w:tcBorders>
            <w:shd w:val="clear" w:color="auto" w:fill="auto"/>
            <w:noWrap/>
            <w:vAlign w:val="bottom"/>
            <w:hideMark/>
          </w:tcPr>
          <w:p w14:paraId="5E4CBE6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24 013</w:t>
            </w:r>
          </w:p>
        </w:tc>
        <w:tc>
          <w:tcPr>
            <w:tcW w:w="453" w:type="pct"/>
            <w:tcBorders>
              <w:top w:val="nil"/>
              <w:left w:val="nil"/>
              <w:bottom w:val="nil"/>
              <w:right w:val="nil"/>
            </w:tcBorders>
            <w:shd w:val="clear" w:color="auto" w:fill="auto"/>
            <w:noWrap/>
            <w:vAlign w:val="bottom"/>
            <w:hideMark/>
          </w:tcPr>
          <w:p w14:paraId="413264F1"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24 013</w:t>
            </w:r>
          </w:p>
        </w:tc>
        <w:tc>
          <w:tcPr>
            <w:tcW w:w="453" w:type="pct"/>
            <w:tcBorders>
              <w:top w:val="nil"/>
              <w:left w:val="nil"/>
              <w:bottom w:val="nil"/>
              <w:right w:val="nil"/>
            </w:tcBorders>
            <w:shd w:val="clear" w:color="auto" w:fill="auto"/>
            <w:noWrap/>
            <w:vAlign w:val="bottom"/>
            <w:hideMark/>
          </w:tcPr>
          <w:p w14:paraId="4557495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24 013</w:t>
            </w:r>
          </w:p>
        </w:tc>
      </w:tr>
      <w:tr w:rsidR="00DD531B" w:rsidRPr="00DD531B" w14:paraId="46F6BFC3" w14:textId="77777777" w:rsidTr="001F24AE">
        <w:trPr>
          <w:trHeight w:val="300"/>
        </w:trPr>
        <w:tc>
          <w:tcPr>
            <w:tcW w:w="1830" w:type="pct"/>
            <w:tcBorders>
              <w:top w:val="nil"/>
              <w:left w:val="nil"/>
              <w:bottom w:val="nil"/>
              <w:right w:val="nil"/>
            </w:tcBorders>
            <w:shd w:val="clear" w:color="auto" w:fill="auto"/>
            <w:noWrap/>
            <w:vAlign w:val="bottom"/>
            <w:hideMark/>
          </w:tcPr>
          <w:p w14:paraId="4C366757"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630 tovary a služby</w:t>
            </w:r>
          </w:p>
        </w:tc>
        <w:tc>
          <w:tcPr>
            <w:tcW w:w="453" w:type="pct"/>
            <w:tcBorders>
              <w:top w:val="nil"/>
              <w:left w:val="nil"/>
              <w:bottom w:val="nil"/>
              <w:right w:val="nil"/>
            </w:tcBorders>
            <w:shd w:val="clear" w:color="auto" w:fill="auto"/>
            <w:noWrap/>
            <w:vAlign w:val="bottom"/>
            <w:hideMark/>
          </w:tcPr>
          <w:p w14:paraId="5E275F14"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41 366</w:t>
            </w:r>
          </w:p>
        </w:tc>
        <w:tc>
          <w:tcPr>
            <w:tcW w:w="453" w:type="pct"/>
            <w:tcBorders>
              <w:top w:val="nil"/>
              <w:left w:val="nil"/>
              <w:bottom w:val="nil"/>
              <w:right w:val="nil"/>
            </w:tcBorders>
            <w:shd w:val="clear" w:color="auto" w:fill="auto"/>
            <w:noWrap/>
            <w:vAlign w:val="bottom"/>
            <w:hideMark/>
          </w:tcPr>
          <w:p w14:paraId="27776061"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44 230</w:t>
            </w:r>
          </w:p>
        </w:tc>
        <w:tc>
          <w:tcPr>
            <w:tcW w:w="453" w:type="pct"/>
            <w:tcBorders>
              <w:top w:val="nil"/>
              <w:left w:val="nil"/>
              <w:bottom w:val="nil"/>
              <w:right w:val="nil"/>
            </w:tcBorders>
            <w:shd w:val="clear" w:color="auto" w:fill="auto"/>
            <w:noWrap/>
            <w:vAlign w:val="bottom"/>
            <w:hideMark/>
          </w:tcPr>
          <w:p w14:paraId="29B9221C"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43 910</w:t>
            </w:r>
          </w:p>
        </w:tc>
        <w:tc>
          <w:tcPr>
            <w:tcW w:w="453" w:type="pct"/>
            <w:tcBorders>
              <w:top w:val="nil"/>
              <w:left w:val="nil"/>
              <w:bottom w:val="nil"/>
              <w:right w:val="nil"/>
            </w:tcBorders>
            <w:shd w:val="clear" w:color="auto" w:fill="auto"/>
            <w:noWrap/>
            <w:vAlign w:val="bottom"/>
            <w:hideMark/>
          </w:tcPr>
          <w:p w14:paraId="3E5E60D7"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52 407</w:t>
            </w:r>
          </w:p>
        </w:tc>
        <w:tc>
          <w:tcPr>
            <w:tcW w:w="453" w:type="pct"/>
            <w:tcBorders>
              <w:top w:val="nil"/>
              <w:left w:val="nil"/>
              <w:bottom w:val="nil"/>
              <w:right w:val="nil"/>
            </w:tcBorders>
            <w:shd w:val="clear" w:color="auto" w:fill="auto"/>
            <w:noWrap/>
            <w:vAlign w:val="bottom"/>
            <w:hideMark/>
          </w:tcPr>
          <w:p w14:paraId="45B5FBAF"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44 848</w:t>
            </w:r>
          </w:p>
        </w:tc>
        <w:tc>
          <w:tcPr>
            <w:tcW w:w="453" w:type="pct"/>
            <w:tcBorders>
              <w:top w:val="nil"/>
              <w:left w:val="nil"/>
              <w:bottom w:val="nil"/>
              <w:right w:val="nil"/>
            </w:tcBorders>
            <w:shd w:val="clear" w:color="auto" w:fill="auto"/>
            <w:noWrap/>
            <w:vAlign w:val="bottom"/>
            <w:hideMark/>
          </w:tcPr>
          <w:p w14:paraId="718551C5"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44 164</w:t>
            </w:r>
          </w:p>
        </w:tc>
        <w:tc>
          <w:tcPr>
            <w:tcW w:w="453" w:type="pct"/>
            <w:tcBorders>
              <w:top w:val="nil"/>
              <w:left w:val="nil"/>
              <w:bottom w:val="nil"/>
              <w:right w:val="nil"/>
            </w:tcBorders>
            <w:shd w:val="clear" w:color="auto" w:fill="auto"/>
            <w:noWrap/>
            <w:vAlign w:val="bottom"/>
            <w:hideMark/>
          </w:tcPr>
          <w:p w14:paraId="229EF3AC"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44 006</w:t>
            </w:r>
          </w:p>
        </w:tc>
      </w:tr>
      <w:tr w:rsidR="00DD531B" w:rsidRPr="00DD531B" w14:paraId="3526F169" w14:textId="77777777" w:rsidTr="001F24AE">
        <w:trPr>
          <w:trHeight w:val="300"/>
        </w:trPr>
        <w:tc>
          <w:tcPr>
            <w:tcW w:w="1830" w:type="pct"/>
            <w:tcBorders>
              <w:top w:val="nil"/>
              <w:left w:val="nil"/>
              <w:bottom w:val="nil"/>
              <w:right w:val="nil"/>
            </w:tcBorders>
            <w:shd w:val="clear" w:color="auto" w:fill="auto"/>
            <w:noWrap/>
            <w:vAlign w:val="bottom"/>
            <w:hideMark/>
          </w:tcPr>
          <w:p w14:paraId="0327711D"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640 bežné transfery</w:t>
            </w:r>
          </w:p>
        </w:tc>
        <w:tc>
          <w:tcPr>
            <w:tcW w:w="453" w:type="pct"/>
            <w:tcBorders>
              <w:top w:val="nil"/>
              <w:left w:val="nil"/>
              <w:bottom w:val="nil"/>
              <w:right w:val="nil"/>
            </w:tcBorders>
            <w:shd w:val="clear" w:color="auto" w:fill="auto"/>
            <w:noWrap/>
            <w:vAlign w:val="bottom"/>
            <w:hideMark/>
          </w:tcPr>
          <w:p w14:paraId="1B2B0DC6"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31 351</w:t>
            </w:r>
          </w:p>
        </w:tc>
        <w:tc>
          <w:tcPr>
            <w:tcW w:w="453" w:type="pct"/>
            <w:tcBorders>
              <w:top w:val="nil"/>
              <w:left w:val="nil"/>
              <w:bottom w:val="nil"/>
              <w:right w:val="nil"/>
            </w:tcBorders>
            <w:shd w:val="clear" w:color="auto" w:fill="auto"/>
            <w:noWrap/>
            <w:vAlign w:val="bottom"/>
            <w:hideMark/>
          </w:tcPr>
          <w:p w14:paraId="5DBC2D29"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23 639</w:t>
            </w:r>
          </w:p>
        </w:tc>
        <w:tc>
          <w:tcPr>
            <w:tcW w:w="453" w:type="pct"/>
            <w:tcBorders>
              <w:top w:val="nil"/>
              <w:left w:val="nil"/>
              <w:bottom w:val="nil"/>
              <w:right w:val="nil"/>
            </w:tcBorders>
            <w:shd w:val="clear" w:color="auto" w:fill="auto"/>
            <w:noWrap/>
            <w:vAlign w:val="bottom"/>
            <w:hideMark/>
          </w:tcPr>
          <w:p w14:paraId="171D72A3"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34 591</w:t>
            </w:r>
          </w:p>
        </w:tc>
        <w:tc>
          <w:tcPr>
            <w:tcW w:w="453" w:type="pct"/>
            <w:tcBorders>
              <w:top w:val="nil"/>
              <w:left w:val="nil"/>
              <w:bottom w:val="nil"/>
              <w:right w:val="nil"/>
            </w:tcBorders>
            <w:shd w:val="clear" w:color="auto" w:fill="auto"/>
            <w:noWrap/>
            <w:vAlign w:val="bottom"/>
            <w:hideMark/>
          </w:tcPr>
          <w:p w14:paraId="5FC38A8A"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30 291</w:t>
            </w:r>
          </w:p>
        </w:tc>
        <w:tc>
          <w:tcPr>
            <w:tcW w:w="453" w:type="pct"/>
            <w:tcBorders>
              <w:top w:val="nil"/>
              <w:left w:val="nil"/>
              <w:bottom w:val="nil"/>
              <w:right w:val="nil"/>
            </w:tcBorders>
            <w:shd w:val="clear" w:color="auto" w:fill="auto"/>
            <w:noWrap/>
            <w:vAlign w:val="bottom"/>
            <w:hideMark/>
          </w:tcPr>
          <w:p w14:paraId="6BA6BA3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35 343</w:t>
            </w:r>
          </w:p>
        </w:tc>
        <w:tc>
          <w:tcPr>
            <w:tcW w:w="453" w:type="pct"/>
            <w:tcBorders>
              <w:top w:val="nil"/>
              <w:left w:val="nil"/>
              <w:bottom w:val="nil"/>
              <w:right w:val="nil"/>
            </w:tcBorders>
            <w:shd w:val="clear" w:color="auto" w:fill="auto"/>
            <w:noWrap/>
            <w:vAlign w:val="bottom"/>
            <w:hideMark/>
          </w:tcPr>
          <w:p w14:paraId="76434B10"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36 253</w:t>
            </w:r>
          </w:p>
        </w:tc>
        <w:tc>
          <w:tcPr>
            <w:tcW w:w="453" w:type="pct"/>
            <w:tcBorders>
              <w:top w:val="nil"/>
              <w:left w:val="nil"/>
              <w:bottom w:val="nil"/>
              <w:right w:val="nil"/>
            </w:tcBorders>
            <w:shd w:val="clear" w:color="auto" w:fill="auto"/>
            <w:noWrap/>
            <w:vAlign w:val="bottom"/>
            <w:hideMark/>
          </w:tcPr>
          <w:p w14:paraId="0EA398B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37 189</w:t>
            </w:r>
          </w:p>
        </w:tc>
      </w:tr>
      <w:tr w:rsidR="00DD531B" w:rsidRPr="00DD531B" w14:paraId="10BB8CF3" w14:textId="77777777" w:rsidTr="001F24AE">
        <w:trPr>
          <w:trHeight w:val="300"/>
        </w:trPr>
        <w:tc>
          <w:tcPr>
            <w:tcW w:w="1830" w:type="pct"/>
            <w:tcBorders>
              <w:top w:val="nil"/>
              <w:left w:val="nil"/>
              <w:bottom w:val="nil"/>
              <w:right w:val="nil"/>
            </w:tcBorders>
            <w:shd w:val="clear" w:color="auto" w:fill="auto"/>
            <w:noWrap/>
            <w:vAlign w:val="bottom"/>
            <w:hideMark/>
          </w:tcPr>
          <w:p w14:paraId="32081AD1"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kapitálové výdavky 700</w:t>
            </w:r>
          </w:p>
        </w:tc>
        <w:tc>
          <w:tcPr>
            <w:tcW w:w="453" w:type="pct"/>
            <w:tcBorders>
              <w:top w:val="nil"/>
              <w:left w:val="nil"/>
              <w:bottom w:val="nil"/>
              <w:right w:val="nil"/>
            </w:tcBorders>
            <w:shd w:val="clear" w:color="auto" w:fill="auto"/>
            <w:noWrap/>
            <w:vAlign w:val="bottom"/>
            <w:hideMark/>
          </w:tcPr>
          <w:p w14:paraId="7BF99D50"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1 921</w:t>
            </w:r>
          </w:p>
        </w:tc>
        <w:tc>
          <w:tcPr>
            <w:tcW w:w="453" w:type="pct"/>
            <w:tcBorders>
              <w:top w:val="nil"/>
              <w:left w:val="nil"/>
              <w:bottom w:val="nil"/>
              <w:right w:val="nil"/>
            </w:tcBorders>
            <w:shd w:val="clear" w:color="auto" w:fill="auto"/>
            <w:noWrap/>
            <w:vAlign w:val="bottom"/>
            <w:hideMark/>
          </w:tcPr>
          <w:p w14:paraId="3214FAA7"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1 960</w:t>
            </w:r>
          </w:p>
        </w:tc>
        <w:tc>
          <w:tcPr>
            <w:tcW w:w="453" w:type="pct"/>
            <w:tcBorders>
              <w:top w:val="nil"/>
              <w:left w:val="nil"/>
              <w:bottom w:val="nil"/>
              <w:right w:val="nil"/>
            </w:tcBorders>
            <w:shd w:val="clear" w:color="auto" w:fill="auto"/>
            <w:noWrap/>
            <w:vAlign w:val="bottom"/>
            <w:hideMark/>
          </w:tcPr>
          <w:p w14:paraId="69E0A46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9 849</w:t>
            </w:r>
          </w:p>
        </w:tc>
        <w:tc>
          <w:tcPr>
            <w:tcW w:w="453" w:type="pct"/>
            <w:tcBorders>
              <w:top w:val="nil"/>
              <w:left w:val="nil"/>
              <w:bottom w:val="nil"/>
              <w:right w:val="nil"/>
            </w:tcBorders>
            <w:shd w:val="clear" w:color="auto" w:fill="auto"/>
            <w:noWrap/>
            <w:vAlign w:val="bottom"/>
            <w:hideMark/>
          </w:tcPr>
          <w:p w14:paraId="6A108F36"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2 714</w:t>
            </w:r>
          </w:p>
        </w:tc>
        <w:tc>
          <w:tcPr>
            <w:tcW w:w="453" w:type="pct"/>
            <w:tcBorders>
              <w:top w:val="nil"/>
              <w:left w:val="nil"/>
              <w:bottom w:val="nil"/>
              <w:right w:val="nil"/>
            </w:tcBorders>
            <w:shd w:val="clear" w:color="auto" w:fill="auto"/>
            <w:noWrap/>
            <w:vAlign w:val="bottom"/>
            <w:hideMark/>
          </w:tcPr>
          <w:p w14:paraId="1852EB81"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5 056</w:t>
            </w:r>
          </w:p>
        </w:tc>
        <w:tc>
          <w:tcPr>
            <w:tcW w:w="453" w:type="pct"/>
            <w:tcBorders>
              <w:top w:val="nil"/>
              <w:left w:val="nil"/>
              <w:bottom w:val="nil"/>
              <w:right w:val="nil"/>
            </w:tcBorders>
            <w:shd w:val="clear" w:color="auto" w:fill="auto"/>
            <w:noWrap/>
            <w:vAlign w:val="bottom"/>
            <w:hideMark/>
          </w:tcPr>
          <w:p w14:paraId="40216205"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12 880</w:t>
            </w:r>
          </w:p>
        </w:tc>
        <w:tc>
          <w:tcPr>
            <w:tcW w:w="453" w:type="pct"/>
            <w:tcBorders>
              <w:top w:val="nil"/>
              <w:left w:val="nil"/>
              <w:bottom w:val="nil"/>
              <w:right w:val="nil"/>
            </w:tcBorders>
            <w:shd w:val="clear" w:color="auto" w:fill="auto"/>
            <w:noWrap/>
            <w:vAlign w:val="bottom"/>
            <w:hideMark/>
          </w:tcPr>
          <w:p w14:paraId="5BBA2F75"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9 726</w:t>
            </w:r>
          </w:p>
        </w:tc>
      </w:tr>
      <w:tr w:rsidR="00DD531B" w:rsidRPr="00DD531B" w14:paraId="6EDBCA99" w14:textId="77777777" w:rsidTr="001F24AE">
        <w:trPr>
          <w:trHeight w:val="300"/>
        </w:trPr>
        <w:tc>
          <w:tcPr>
            <w:tcW w:w="1830" w:type="pct"/>
            <w:tcBorders>
              <w:top w:val="nil"/>
              <w:left w:val="nil"/>
              <w:bottom w:val="nil"/>
              <w:right w:val="nil"/>
            </w:tcBorders>
            <w:shd w:val="clear" w:color="auto" w:fill="auto"/>
            <w:noWrap/>
            <w:vAlign w:val="bottom"/>
            <w:hideMark/>
          </w:tcPr>
          <w:p w14:paraId="061AF9E8" w14:textId="77777777" w:rsidR="00DD531B" w:rsidRPr="00D6350B" w:rsidRDefault="00DD531B" w:rsidP="00DD531B">
            <w:pPr>
              <w:spacing w:after="0" w:line="240" w:lineRule="auto"/>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zdroj EÚ vrátane spolufinancovania zo ŠR, v tom:</w:t>
            </w:r>
          </w:p>
        </w:tc>
        <w:tc>
          <w:tcPr>
            <w:tcW w:w="453" w:type="pct"/>
            <w:tcBorders>
              <w:top w:val="nil"/>
              <w:left w:val="nil"/>
              <w:bottom w:val="nil"/>
              <w:right w:val="nil"/>
            </w:tcBorders>
            <w:shd w:val="clear" w:color="auto" w:fill="auto"/>
            <w:noWrap/>
            <w:vAlign w:val="bottom"/>
            <w:hideMark/>
          </w:tcPr>
          <w:p w14:paraId="53F1F287"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452</w:t>
            </w:r>
          </w:p>
        </w:tc>
        <w:tc>
          <w:tcPr>
            <w:tcW w:w="453" w:type="pct"/>
            <w:tcBorders>
              <w:top w:val="nil"/>
              <w:left w:val="nil"/>
              <w:bottom w:val="nil"/>
              <w:right w:val="nil"/>
            </w:tcBorders>
            <w:shd w:val="clear" w:color="auto" w:fill="auto"/>
            <w:noWrap/>
            <w:vAlign w:val="bottom"/>
            <w:hideMark/>
          </w:tcPr>
          <w:p w14:paraId="03F1F632"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674</w:t>
            </w:r>
          </w:p>
        </w:tc>
        <w:tc>
          <w:tcPr>
            <w:tcW w:w="453" w:type="pct"/>
            <w:tcBorders>
              <w:top w:val="nil"/>
              <w:left w:val="nil"/>
              <w:bottom w:val="nil"/>
              <w:right w:val="nil"/>
            </w:tcBorders>
            <w:shd w:val="clear" w:color="auto" w:fill="auto"/>
            <w:noWrap/>
            <w:vAlign w:val="bottom"/>
            <w:hideMark/>
          </w:tcPr>
          <w:p w14:paraId="747E84C6"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0</w:t>
            </w:r>
          </w:p>
        </w:tc>
        <w:tc>
          <w:tcPr>
            <w:tcW w:w="453" w:type="pct"/>
            <w:tcBorders>
              <w:top w:val="nil"/>
              <w:left w:val="nil"/>
              <w:bottom w:val="nil"/>
              <w:right w:val="nil"/>
            </w:tcBorders>
            <w:shd w:val="clear" w:color="auto" w:fill="auto"/>
            <w:noWrap/>
            <w:vAlign w:val="bottom"/>
            <w:hideMark/>
          </w:tcPr>
          <w:p w14:paraId="34B88B01"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4 407</w:t>
            </w:r>
          </w:p>
        </w:tc>
        <w:tc>
          <w:tcPr>
            <w:tcW w:w="453" w:type="pct"/>
            <w:tcBorders>
              <w:top w:val="nil"/>
              <w:left w:val="nil"/>
              <w:bottom w:val="nil"/>
              <w:right w:val="nil"/>
            </w:tcBorders>
            <w:shd w:val="clear" w:color="auto" w:fill="auto"/>
            <w:noWrap/>
            <w:vAlign w:val="bottom"/>
            <w:hideMark/>
          </w:tcPr>
          <w:p w14:paraId="26B96E92"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0</w:t>
            </w:r>
          </w:p>
        </w:tc>
        <w:tc>
          <w:tcPr>
            <w:tcW w:w="453" w:type="pct"/>
            <w:tcBorders>
              <w:top w:val="nil"/>
              <w:left w:val="nil"/>
              <w:bottom w:val="nil"/>
              <w:right w:val="nil"/>
            </w:tcBorders>
            <w:shd w:val="clear" w:color="auto" w:fill="auto"/>
            <w:noWrap/>
            <w:vAlign w:val="bottom"/>
            <w:hideMark/>
          </w:tcPr>
          <w:p w14:paraId="32D39C46"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0</w:t>
            </w:r>
          </w:p>
        </w:tc>
        <w:tc>
          <w:tcPr>
            <w:tcW w:w="453" w:type="pct"/>
            <w:tcBorders>
              <w:top w:val="nil"/>
              <w:left w:val="nil"/>
              <w:bottom w:val="nil"/>
              <w:right w:val="nil"/>
            </w:tcBorders>
            <w:shd w:val="clear" w:color="auto" w:fill="auto"/>
            <w:noWrap/>
            <w:vAlign w:val="bottom"/>
            <w:hideMark/>
          </w:tcPr>
          <w:p w14:paraId="7B1EFCF9"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0</w:t>
            </w:r>
          </w:p>
        </w:tc>
      </w:tr>
      <w:tr w:rsidR="00DD531B" w:rsidRPr="00DD531B" w14:paraId="747C61D3" w14:textId="77777777" w:rsidTr="001F24AE">
        <w:trPr>
          <w:trHeight w:val="300"/>
        </w:trPr>
        <w:tc>
          <w:tcPr>
            <w:tcW w:w="1830" w:type="pct"/>
            <w:tcBorders>
              <w:top w:val="nil"/>
              <w:left w:val="nil"/>
              <w:bottom w:val="nil"/>
              <w:right w:val="nil"/>
            </w:tcBorders>
            <w:shd w:val="clear" w:color="auto" w:fill="auto"/>
            <w:noWrap/>
            <w:vAlign w:val="bottom"/>
            <w:hideMark/>
          </w:tcPr>
          <w:p w14:paraId="00F85063"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prostriedky EÚ</w:t>
            </w:r>
          </w:p>
        </w:tc>
        <w:tc>
          <w:tcPr>
            <w:tcW w:w="453" w:type="pct"/>
            <w:tcBorders>
              <w:top w:val="nil"/>
              <w:left w:val="nil"/>
              <w:bottom w:val="nil"/>
              <w:right w:val="nil"/>
            </w:tcBorders>
            <w:shd w:val="clear" w:color="auto" w:fill="auto"/>
            <w:noWrap/>
            <w:vAlign w:val="bottom"/>
            <w:hideMark/>
          </w:tcPr>
          <w:p w14:paraId="5130A2B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371</w:t>
            </w:r>
          </w:p>
        </w:tc>
        <w:tc>
          <w:tcPr>
            <w:tcW w:w="453" w:type="pct"/>
            <w:tcBorders>
              <w:top w:val="nil"/>
              <w:left w:val="nil"/>
              <w:bottom w:val="nil"/>
              <w:right w:val="nil"/>
            </w:tcBorders>
            <w:shd w:val="clear" w:color="auto" w:fill="auto"/>
            <w:noWrap/>
            <w:vAlign w:val="bottom"/>
            <w:hideMark/>
          </w:tcPr>
          <w:p w14:paraId="51DFC5B0"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547</w:t>
            </w:r>
          </w:p>
        </w:tc>
        <w:tc>
          <w:tcPr>
            <w:tcW w:w="453" w:type="pct"/>
            <w:tcBorders>
              <w:top w:val="nil"/>
              <w:left w:val="nil"/>
              <w:bottom w:val="nil"/>
              <w:right w:val="nil"/>
            </w:tcBorders>
            <w:shd w:val="clear" w:color="auto" w:fill="auto"/>
            <w:noWrap/>
            <w:vAlign w:val="bottom"/>
            <w:hideMark/>
          </w:tcPr>
          <w:p w14:paraId="10AFC982"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53" w:type="pct"/>
            <w:tcBorders>
              <w:top w:val="nil"/>
              <w:left w:val="nil"/>
              <w:bottom w:val="nil"/>
              <w:right w:val="nil"/>
            </w:tcBorders>
            <w:shd w:val="clear" w:color="auto" w:fill="auto"/>
            <w:noWrap/>
            <w:vAlign w:val="bottom"/>
            <w:hideMark/>
          </w:tcPr>
          <w:p w14:paraId="42D2282A"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3 318</w:t>
            </w:r>
          </w:p>
        </w:tc>
        <w:tc>
          <w:tcPr>
            <w:tcW w:w="453" w:type="pct"/>
            <w:tcBorders>
              <w:top w:val="nil"/>
              <w:left w:val="nil"/>
              <w:bottom w:val="nil"/>
              <w:right w:val="nil"/>
            </w:tcBorders>
            <w:shd w:val="clear" w:color="auto" w:fill="auto"/>
            <w:noWrap/>
            <w:vAlign w:val="bottom"/>
            <w:hideMark/>
          </w:tcPr>
          <w:p w14:paraId="135BA5F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53" w:type="pct"/>
            <w:tcBorders>
              <w:top w:val="nil"/>
              <w:left w:val="nil"/>
              <w:bottom w:val="nil"/>
              <w:right w:val="nil"/>
            </w:tcBorders>
            <w:shd w:val="clear" w:color="auto" w:fill="auto"/>
            <w:noWrap/>
            <w:vAlign w:val="bottom"/>
            <w:hideMark/>
          </w:tcPr>
          <w:p w14:paraId="3DFB560A"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53" w:type="pct"/>
            <w:tcBorders>
              <w:top w:val="nil"/>
              <w:left w:val="nil"/>
              <w:bottom w:val="nil"/>
              <w:right w:val="nil"/>
            </w:tcBorders>
            <w:shd w:val="clear" w:color="auto" w:fill="auto"/>
            <w:noWrap/>
            <w:vAlign w:val="bottom"/>
            <w:hideMark/>
          </w:tcPr>
          <w:p w14:paraId="6E209EE3"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r>
      <w:tr w:rsidR="00DD531B" w:rsidRPr="00DD531B" w14:paraId="72E944CB" w14:textId="77777777" w:rsidTr="001F24AE">
        <w:trPr>
          <w:trHeight w:val="300"/>
        </w:trPr>
        <w:tc>
          <w:tcPr>
            <w:tcW w:w="1830" w:type="pct"/>
            <w:tcBorders>
              <w:top w:val="nil"/>
              <w:left w:val="nil"/>
              <w:bottom w:val="nil"/>
              <w:right w:val="nil"/>
            </w:tcBorders>
            <w:shd w:val="clear" w:color="auto" w:fill="auto"/>
            <w:noWrap/>
            <w:vAlign w:val="bottom"/>
            <w:hideMark/>
          </w:tcPr>
          <w:p w14:paraId="62C1C320"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spolufinancovanie zo ŠR</w:t>
            </w:r>
          </w:p>
        </w:tc>
        <w:tc>
          <w:tcPr>
            <w:tcW w:w="453" w:type="pct"/>
            <w:tcBorders>
              <w:top w:val="nil"/>
              <w:left w:val="nil"/>
              <w:bottom w:val="nil"/>
              <w:right w:val="nil"/>
            </w:tcBorders>
            <w:shd w:val="clear" w:color="auto" w:fill="auto"/>
            <w:noWrap/>
            <w:vAlign w:val="bottom"/>
            <w:hideMark/>
          </w:tcPr>
          <w:p w14:paraId="3E679CFC"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81</w:t>
            </w:r>
          </w:p>
        </w:tc>
        <w:tc>
          <w:tcPr>
            <w:tcW w:w="453" w:type="pct"/>
            <w:tcBorders>
              <w:top w:val="nil"/>
              <w:left w:val="nil"/>
              <w:bottom w:val="nil"/>
              <w:right w:val="nil"/>
            </w:tcBorders>
            <w:shd w:val="clear" w:color="auto" w:fill="auto"/>
            <w:noWrap/>
            <w:vAlign w:val="bottom"/>
            <w:hideMark/>
          </w:tcPr>
          <w:p w14:paraId="27FE3AC7"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127</w:t>
            </w:r>
          </w:p>
        </w:tc>
        <w:tc>
          <w:tcPr>
            <w:tcW w:w="453" w:type="pct"/>
            <w:tcBorders>
              <w:top w:val="nil"/>
              <w:left w:val="nil"/>
              <w:bottom w:val="nil"/>
              <w:right w:val="nil"/>
            </w:tcBorders>
            <w:shd w:val="clear" w:color="auto" w:fill="auto"/>
            <w:noWrap/>
            <w:vAlign w:val="bottom"/>
            <w:hideMark/>
          </w:tcPr>
          <w:p w14:paraId="5F21A5D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53" w:type="pct"/>
            <w:tcBorders>
              <w:top w:val="nil"/>
              <w:left w:val="nil"/>
              <w:bottom w:val="nil"/>
              <w:right w:val="nil"/>
            </w:tcBorders>
            <w:shd w:val="clear" w:color="auto" w:fill="auto"/>
            <w:noWrap/>
            <w:vAlign w:val="bottom"/>
            <w:hideMark/>
          </w:tcPr>
          <w:p w14:paraId="28E499ED"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1 089</w:t>
            </w:r>
          </w:p>
        </w:tc>
        <w:tc>
          <w:tcPr>
            <w:tcW w:w="453" w:type="pct"/>
            <w:tcBorders>
              <w:top w:val="nil"/>
              <w:left w:val="nil"/>
              <w:bottom w:val="nil"/>
              <w:right w:val="nil"/>
            </w:tcBorders>
            <w:shd w:val="clear" w:color="auto" w:fill="auto"/>
            <w:noWrap/>
            <w:vAlign w:val="bottom"/>
            <w:hideMark/>
          </w:tcPr>
          <w:p w14:paraId="64F1EAF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53" w:type="pct"/>
            <w:tcBorders>
              <w:top w:val="nil"/>
              <w:left w:val="nil"/>
              <w:bottom w:val="nil"/>
              <w:right w:val="nil"/>
            </w:tcBorders>
            <w:shd w:val="clear" w:color="auto" w:fill="auto"/>
            <w:noWrap/>
            <w:vAlign w:val="bottom"/>
            <w:hideMark/>
          </w:tcPr>
          <w:p w14:paraId="2FD10092"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53" w:type="pct"/>
            <w:tcBorders>
              <w:top w:val="nil"/>
              <w:left w:val="nil"/>
              <w:bottom w:val="nil"/>
              <w:right w:val="nil"/>
            </w:tcBorders>
            <w:shd w:val="clear" w:color="auto" w:fill="auto"/>
            <w:noWrap/>
            <w:vAlign w:val="bottom"/>
            <w:hideMark/>
          </w:tcPr>
          <w:p w14:paraId="000FA2E8"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r>
      <w:tr w:rsidR="00DD531B" w:rsidRPr="00DD531B" w14:paraId="4478EF71" w14:textId="77777777" w:rsidTr="001F24AE">
        <w:trPr>
          <w:trHeight w:val="300"/>
        </w:trPr>
        <w:tc>
          <w:tcPr>
            <w:tcW w:w="1830" w:type="pct"/>
            <w:tcBorders>
              <w:top w:val="nil"/>
              <w:left w:val="nil"/>
              <w:bottom w:val="nil"/>
              <w:right w:val="nil"/>
            </w:tcBorders>
            <w:shd w:val="clear" w:color="auto" w:fill="auto"/>
            <w:noWrap/>
            <w:vAlign w:val="bottom"/>
            <w:hideMark/>
          </w:tcPr>
          <w:p w14:paraId="7A010785" w14:textId="77777777" w:rsidR="00DD531B" w:rsidRPr="00D6350B" w:rsidRDefault="00DD531B" w:rsidP="00DD531B">
            <w:pPr>
              <w:spacing w:after="0" w:line="240" w:lineRule="auto"/>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presun z minulých rokov § 8, v tom:</w:t>
            </w:r>
          </w:p>
        </w:tc>
        <w:tc>
          <w:tcPr>
            <w:tcW w:w="453" w:type="pct"/>
            <w:tcBorders>
              <w:top w:val="nil"/>
              <w:left w:val="nil"/>
              <w:bottom w:val="nil"/>
              <w:right w:val="nil"/>
            </w:tcBorders>
            <w:shd w:val="clear" w:color="auto" w:fill="auto"/>
            <w:noWrap/>
            <w:vAlign w:val="bottom"/>
            <w:hideMark/>
          </w:tcPr>
          <w:p w14:paraId="148A76D3"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7 260</w:t>
            </w:r>
          </w:p>
        </w:tc>
        <w:tc>
          <w:tcPr>
            <w:tcW w:w="453" w:type="pct"/>
            <w:tcBorders>
              <w:top w:val="nil"/>
              <w:left w:val="nil"/>
              <w:bottom w:val="nil"/>
              <w:right w:val="nil"/>
            </w:tcBorders>
            <w:shd w:val="clear" w:color="auto" w:fill="auto"/>
            <w:noWrap/>
            <w:vAlign w:val="bottom"/>
            <w:hideMark/>
          </w:tcPr>
          <w:p w14:paraId="1EFD39B9"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16 774</w:t>
            </w:r>
          </w:p>
        </w:tc>
        <w:tc>
          <w:tcPr>
            <w:tcW w:w="453" w:type="pct"/>
            <w:tcBorders>
              <w:top w:val="nil"/>
              <w:left w:val="nil"/>
              <w:bottom w:val="nil"/>
              <w:right w:val="nil"/>
            </w:tcBorders>
            <w:shd w:val="clear" w:color="auto" w:fill="auto"/>
            <w:noWrap/>
            <w:vAlign w:val="bottom"/>
            <w:hideMark/>
          </w:tcPr>
          <w:p w14:paraId="739C231B"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0</w:t>
            </w:r>
          </w:p>
        </w:tc>
        <w:tc>
          <w:tcPr>
            <w:tcW w:w="453" w:type="pct"/>
            <w:tcBorders>
              <w:top w:val="nil"/>
              <w:left w:val="nil"/>
              <w:bottom w:val="nil"/>
              <w:right w:val="nil"/>
            </w:tcBorders>
            <w:shd w:val="clear" w:color="auto" w:fill="auto"/>
            <w:noWrap/>
            <w:vAlign w:val="bottom"/>
            <w:hideMark/>
          </w:tcPr>
          <w:p w14:paraId="47FBA5CA"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9 499</w:t>
            </w:r>
          </w:p>
        </w:tc>
        <w:tc>
          <w:tcPr>
            <w:tcW w:w="453" w:type="pct"/>
            <w:tcBorders>
              <w:top w:val="nil"/>
              <w:left w:val="nil"/>
              <w:bottom w:val="nil"/>
              <w:right w:val="nil"/>
            </w:tcBorders>
            <w:shd w:val="clear" w:color="auto" w:fill="auto"/>
            <w:noWrap/>
            <w:vAlign w:val="bottom"/>
            <w:hideMark/>
          </w:tcPr>
          <w:p w14:paraId="1C140E47"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0</w:t>
            </w:r>
          </w:p>
        </w:tc>
        <w:tc>
          <w:tcPr>
            <w:tcW w:w="453" w:type="pct"/>
            <w:tcBorders>
              <w:top w:val="nil"/>
              <w:left w:val="nil"/>
              <w:bottom w:val="nil"/>
              <w:right w:val="nil"/>
            </w:tcBorders>
            <w:shd w:val="clear" w:color="auto" w:fill="auto"/>
            <w:noWrap/>
            <w:vAlign w:val="bottom"/>
            <w:hideMark/>
          </w:tcPr>
          <w:p w14:paraId="48746FBE"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0</w:t>
            </w:r>
          </w:p>
        </w:tc>
        <w:tc>
          <w:tcPr>
            <w:tcW w:w="453" w:type="pct"/>
            <w:tcBorders>
              <w:top w:val="nil"/>
              <w:left w:val="nil"/>
              <w:bottom w:val="nil"/>
              <w:right w:val="nil"/>
            </w:tcBorders>
            <w:shd w:val="clear" w:color="auto" w:fill="auto"/>
            <w:noWrap/>
            <w:vAlign w:val="bottom"/>
            <w:hideMark/>
          </w:tcPr>
          <w:p w14:paraId="35EF9D79"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0</w:t>
            </w:r>
          </w:p>
        </w:tc>
      </w:tr>
      <w:tr w:rsidR="00DD531B" w:rsidRPr="00DD531B" w14:paraId="496C78FF" w14:textId="77777777" w:rsidTr="001F24AE">
        <w:trPr>
          <w:trHeight w:val="300"/>
        </w:trPr>
        <w:tc>
          <w:tcPr>
            <w:tcW w:w="1830" w:type="pct"/>
            <w:tcBorders>
              <w:top w:val="nil"/>
              <w:left w:val="nil"/>
              <w:bottom w:val="nil"/>
              <w:right w:val="nil"/>
            </w:tcBorders>
            <w:shd w:val="clear" w:color="auto" w:fill="auto"/>
            <w:noWrap/>
            <w:vAlign w:val="bottom"/>
            <w:hideMark/>
          </w:tcPr>
          <w:p w14:paraId="6E869CA3"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štátny rozpočet</w:t>
            </w:r>
          </w:p>
        </w:tc>
        <w:tc>
          <w:tcPr>
            <w:tcW w:w="453" w:type="pct"/>
            <w:tcBorders>
              <w:top w:val="nil"/>
              <w:left w:val="nil"/>
              <w:bottom w:val="nil"/>
              <w:right w:val="nil"/>
            </w:tcBorders>
            <w:shd w:val="clear" w:color="auto" w:fill="auto"/>
            <w:noWrap/>
            <w:vAlign w:val="bottom"/>
            <w:hideMark/>
          </w:tcPr>
          <w:p w14:paraId="3D340A35"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7 260</w:t>
            </w:r>
          </w:p>
        </w:tc>
        <w:tc>
          <w:tcPr>
            <w:tcW w:w="453" w:type="pct"/>
            <w:tcBorders>
              <w:top w:val="nil"/>
              <w:left w:val="nil"/>
              <w:bottom w:val="nil"/>
              <w:right w:val="nil"/>
            </w:tcBorders>
            <w:shd w:val="clear" w:color="auto" w:fill="auto"/>
            <w:noWrap/>
            <w:vAlign w:val="bottom"/>
            <w:hideMark/>
          </w:tcPr>
          <w:p w14:paraId="107869CD"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16 743</w:t>
            </w:r>
          </w:p>
        </w:tc>
        <w:tc>
          <w:tcPr>
            <w:tcW w:w="453" w:type="pct"/>
            <w:tcBorders>
              <w:top w:val="nil"/>
              <w:left w:val="nil"/>
              <w:bottom w:val="nil"/>
              <w:right w:val="nil"/>
            </w:tcBorders>
            <w:shd w:val="clear" w:color="auto" w:fill="auto"/>
            <w:noWrap/>
            <w:vAlign w:val="bottom"/>
            <w:hideMark/>
          </w:tcPr>
          <w:p w14:paraId="767F8914"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53" w:type="pct"/>
            <w:tcBorders>
              <w:top w:val="nil"/>
              <w:left w:val="nil"/>
              <w:bottom w:val="nil"/>
              <w:right w:val="nil"/>
            </w:tcBorders>
            <w:shd w:val="clear" w:color="auto" w:fill="auto"/>
            <w:noWrap/>
            <w:vAlign w:val="bottom"/>
            <w:hideMark/>
          </w:tcPr>
          <w:p w14:paraId="15BAB988"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9 062</w:t>
            </w:r>
          </w:p>
        </w:tc>
        <w:tc>
          <w:tcPr>
            <w:tcW w:w="453" w:type="pct"/>
            <w:tcBorders>
              <w:top w:val="nil"/>
              <w:left w:val="nil"/>
              <w:bottom w:val="nil"/>
              <w:right w:val="nil"/>
            </w:tcBorders>
            <w:shd w:val="clear" w:color="auto" w:fill="auto"/>
            <w:noWrap/>
            <w:vAlign w:val="bottom"/>
            <w:hideMark/>
          </w:tcPr>
          <w:p w14:paraId="376C5439"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53" w:type="pct"/>
            <w:tcBorders>
              <w:top w:val="nil"/>
              <w:left w:val="nil"/>
              <w:bottom w:val="nil"/>
              <w:right w:val="nil"/>
            </w:tcBorders>
            <w:shd w:val="clear" w:color="auto" w:fill="auto"/>
            <w:noWrap/>
            <w:vAlign w:val="bottom"/>
            <w:hideMark/>
          </w:tcPr>
          <w:p w14:paraId="51E7E2ED"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53" w:type="pct"/>
            <w:tcBorders>
              <w:top w:val="nil"/>
              <w:left w:val="nil"/>
              <w:bottom w:val="nil"/>
              <w:right w:val="nil"/>
            </w:tcBorders>
            <w:shd w:val="clear" w:color="auto" w:fill="auto"/>
            <w:noWrap/>
            <w:vAlign w:val="bottom"/>
            <w:hideMark/>
          </w:tcPr>
          <w:p w14:paraId="47F97E3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r>
      <w:tr w:rsidR="00DD531B" w:rsidRPr="00DD531B" w14:paraId="522780F0" w14:textId="77777777" w:rsidTr="001F24AE">
        <w:trPr>
          <w:trHeight w:val="300"/>
        </w:trPr>
        <w:tc>
          <w:tcPr>
            <w:tcW w:w="1830" w:type="pct"/>
            <w:tcBorders>
              <w:top w:val="nil"/>
              <w:left w:val="nil"/>
              <w:bottom w:val="single" w:sz="4" w:space="0" w:color="auto"/>
              <w:right w:val="nil"/>
            </w:tcBorders>
            <w:shd w:val="clear" w:color="auto" w:fill="auto"/>
            <w:noWrap/>
            <w:vAlign w:val="bottom"/>
            <w:hideMark/>
          </w:tcPr>
          <w:p w14:paraId="616AA720"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prostriedky EÚ a spolufinancovanie zo ŠR</w:t>
            </w:r>
          </w:p>
        </w:tc>
        <w:tc>
          <w:tcPr>
            <w:tcW w:w="453" w:type="pct"/>
            <w:tcBorders>
              <w:top w:val="nil"/>
              <w:left w:val="nil"/>
              <w:bottom w:val="single" w:sz="4" w:space="0" w:color="auto"/>
              <w:right w:val="nil"/>
            </w:tcBorders>
            <w:shd w:val="clear" w:color="auto" w:fill="auto"/>
            <w:noWrap/>
            <w:vAlign w:val="bottom"/>
            <w:hideMark/>
          </w:tcPr>
          <w:p w14:paraId="539A6452"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53" w:type="pct"/>
            <w:tcBorders>
              <w:top w:val="nil"/>
              <w:left w:val="nil"/>
              <w:bottom w:val="single" w:sz="4" w:space="0" w:color="auto"/>
              <w:right w:val="nil"/>
            </w:tcBorders>
            <w:shd w:val="clear" w:color="auto" w:fill="auto"/>
            <w:noWrap/>
            <w:vAlign w:val="bottom"/>
            <w:hideMark/>
          </w:tcPr>
          <w:p w14:paraId="650774A1"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31</w:t>
            </w:r>
          </w:p>
        </w:tc>
        <w:tc>
          <w:tcPr>
            <w:tcW w:w="453" w:type="pct"/>
            <w:tcBorders>
              <w:top w:val="nil"/>
              <w:left w:val="nil"/>
              <w:bottom w:val="single" w:sz="4" w:space="0" w:color="auto"/>
              <w:right w:val="nil"/>
            </w:tcBorders>
            <w:shd w:val="clear" w:color="auto" w:fill="auto"/>
            <w:noWrap/>
            <w:vAlign w:val="bottom"/>
            <w:hideMark/>
          </w:tcPr>
          <w:p w14:paraId="6A123255"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53" w:type="pct"/>
            <w:tcBorders>
              <w:top w:val="nil"/>
              <w:left w:val="nil"/>
              <w:bottom w:val="single" w:sz="4" w:space="0" w:color="auto"/>
              <w:right w:val="nil"/>
            </w:tcBorders>
            <w:shd w:val="clear" w:color="auto" w:fill="auto"/>
            <w:noWrap/>
            <w:vAlign w:val="bottom"/>
            <w:hideMark/>
          </w:tcPr>
          <w:p w14:paraId="5721CBA8"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437</w:t>
            </w:r>
          </w:p>
        </w:tc>
        <w:tc>
          <w:tcPr>
            <w:tcW w:w="453" w:type="pct"/>
            <w:tcBorders>
              <w:top w:val="nil"/>
              <w:left w:val="nil"/>
              <w:bottom w:val="single" w:sz="4" w:space="0" w:color="auto"/>
              <w:right w:val="nil"/>
            </w:tcBorders>
            <w:shd w:val="clear" w:color="auto" w:fill="auto"/>
            <w:noWrap/>
            <w:vAlign w:val="bottom"/>
            <w:hideMark/>
          </w:tcPr>
          <w:p w14:paraId="468ED1A2"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53" w:type="pct"/>
            <w:tcBorders>
              <w:top w:val="nil"/>
              <w:left w:val="nil"/>
              <w:bottom w:val="single" w:sz="4" w:space="0" w:color="auto"/>
              <w:right w:val="nil"/>
            </w:tcBorders>
            <w:shd w:val="clear" w:color="auto" w:fill="auto"/>
            <w:noWrap/>
            <w:vAlign w:val="bottom"/>
            <w:hideMark/>
          </w:tcPr>
          <w:p w14:paraId="700D1960"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53" w:type="pct"/>
            <w:tcBorders>
              <w:top w:val="nil"/>
              <w:left w:val="nil"/>
              <w:bottom w:val="single" w:sz="4" w:space="0" w:color="auto"/>
              <w:right w:val="nil"/>
            </w:tcBorders>
            <w:shd w:val="clear" w:color="auto" w:fill="auto"/>
            <w:noWrap/>
            <w:vAlign w:val="bottom"/>
            <w:hideMark/>
          </w:tcPr>
          <w:p w14:paraId="41937CCC"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r>
    </w:tbl>
    <w:p w14:paraId="508A676E" w14:textId="264684C4" w:rsidR="00DD531B" w:rsidRDefault="00DD531B" w:rsidP="00DD531B">
      <w:pPr>
        <w:rPr>
          <w:rFonts w:ascii="Times New Roman" w:eastAsia="Calibri" w:hAnsi="Times New Roman" w:cs="Times New Roman"/>
          <w:lang w:eastAsia="sk-SK"/>
        </w:rPr>
      </w:pPr>
    </w:p>
    <w:p w14:paraId="7A601D14" w14:textId="1A347A73" w:rsidR="00D6350B" w:rsidRDefault="00D6350B" w:rsidP="00DD531B">
      <w:pPr>
        <w:rPr>
          <w:rFonts w:ascii="Times New Roman" w:eastAsia="Calibri" w:hAnsi="Times New Roman" w:cs="Times New Roman"/>
          <w:lang w:eastAsia="sk-SK"/>
        </w:rPr>
      </w:pPr>
    </w:p>
    <w:p w14:paraId="6A4A4AC4" w14:textId="76EA3513" w:rsidR="00D6350B" w:rsidRDefault="00D6350B" w:rsidP="00DD531B">
      <w:pPr>
        <w:rPr>
          <w:rFonts w:ascii="Times New Roman" w:eastAsia="Calibri" w:hAnsi="Times New Roman" w:cs="Times New Roman"/>
          <w:lang w:eastAsia="sk-SK"/>
        </w:rPr>
      </w:pPr>
    </w:p>
    <w:p w14:paraId="1203232D" w14:textId="3E04DD0F" w:rsidR="00D6350B" w:rsidRDefault="00D6350B" w:rsidP="00DD531B">
      <w:pPr>
        <w:rPr>
          <w:rFonts w:ascii="Times New Roman" w:eastAsia="Calibri" w:hAnsi="Times New Roman" w:cs="Times New Roman"/>
          <w:lang w:eastAsia="sk-SK"/>
        </w:rPr>
      </w:pPr>
    </w:p>
    <w:p w14:paraId="5BA16416" w14:textId="39C83E49" w:rsidR="00D6350B" w:rsidRDefault="00D6350B" w:rsidP="00DD531B">
      <w:pPr>
        <w:rPr>
          <w:rFonts w:ascii="Times New Roman" w:eastAsia="Calibri" w:hAnsi="Times New Roman" w:cs="Times New Roman"/>
          <w:lang w:eastAsia="sk-SK"/>
        </w:rPr>
      </w:pPr>
    </w:p>
    <w:p w14:paraId="520A4438" w14:textId="250284F8" w:rsidR="00D6350B" w:rsidRDefault="00D6350B" w:rsidP="00DD531B">
      <w:pPr>
        <w:rPr>
          <w:rFonts w:ascii="Times New Roman" w:eastAsia="Calibri" w:hAnsi="Times New Roman" w:cs="Times New Roman"/>
          <w:lang w:eastAsia="sk-SK"/>
        </w:rPr>
      </w:pPr>
    </w:p>
    <w:p w14:paraId="6CB3F382" w14:textId="19674F6F" w:rsidR="00D6350B" w:rsidRDefault="00D6350B" w:rsidP="00DD531B">
      <w:pPr>
        <w:rPr>
          <w:rFonts w:ascii="Times New Roman" w:eastAsia="Calibri" w:hAnsi="Times New Roman" w:cs="Times New Roman"/>
          <w:lang w:eastAsia="sk-SK"/>
        </w:rPr>
      </w:pPr>
    </w:p>
    <w:p w14:paraId="2B5F2640" w14:textId="5F4B2CB2" w:rsidR="00D6350B" w:rsidRDefault="00D6350B" w:rsidP="00DD531B">
      <w:pPr>
        <w:rPr>
          <w:rFonts w:ascii="Times New Roman" w:eastAsia="Calibri" w:hAnsi="Times New Roman" w:cs="Times New Roman"/>
          <w:lang w:eastAsia="sk-SK"/>
        </w:rPr>
      </w:pPr>
    </w:p>
    <w:p w14:paraId="61FE93CF" w14:textId="419434A1" w:rsidR="00D6350B" w:rsidRDefault="00D6350B" w:rsidP="00DD531B">
      <w:pPr>
        <w:rPr>
          <w:rFonts w:ascii="Times New Roman" w:eastAsia="Calibri" w:hAnsi="Times New Roman" w:cs="Times New Roman"/>
          <w:lang w:eastAsia="sk-SK"/>
        </w:rPr>
      </w:pPr>
    </w:p>
    <w:p w14:paraId="6DB3E5D1" w14:textId="75C34841" w:rsidR="00D6350B" w:rsidRDefault="00D6350B" w:rsidP="00DD531B">
      <w:pPr>
        <w:rPr>
          <w:rFonts w:ascii="Times New Roman" w:eastAsia="Calibri" w:hAnsi="Times New Roman" w:cs="Times New Roman"/>
          <w:lang w:eastAsia="sk-SK"/>
        </w:rPr>
      </w:pPr>
    </w:p>
    <w:p w14:paraId="5FB7EC7C" w14:textId="03DF746C" w:rsidR="00D6350B" w:rsidRDefault="00D6350B" w:rsidP="00DD531B">
      <w:pPr>
        <w:rPr>
          <w:rFonts w:ascii="Times New Roman" w:eastAsia="Calibri" w:hAnsi="Times New Roman" w:cs="Times New Roman"/>
          <w:lang w:eastAsia="sk-SK"/>
        </w:rPr>
      </w:pPr>
    </w:p>
    <w:p w14:paraId="2E8205BD" w14:textId="072732D6" w:rsidR="00D6350B" w:rsidRDefault="00D6350B" w:rsidP="00DD531B">
      <w:pPr>
        <w:rPr>
          <w:rFonts w:ascii="Times New Roman" w:eastAsia="Calibri" w:hAnsi="Times New Roman" w:cs="Times New Roman"/>
          <w:lang w:eastAsia="sk-SK"/>
        </w:rPr>
      </w:pPr>
    </w:p>
    <w:p w14:paraId="05D5F9DD" w14:textId="17612321" w:rsidR="00D6350B" w:rsidRDefault="00D6350B" w:rsidP="00DD531B">
      <w:pPr>
        <w:rPr>
          <w:rFonts w:ascii="Times New Roman" w:eastAsia="Calibri" w:hAnsi="Times New Roman" w:cs="Times New Roman"/>
          <w:lang w:eastAsia="sk-SK"/>
        </w:rPr>
      </w:pPr>
    </w:p>
    <w:p w14:paraId="048D67DB" w14:textId="77777777" w:rsidR="00D6350B" w:rsidRPr="00DD531B" w:rsidRDefault="00D6350B" w:rsidP="00DD531B">
      <w:pPr>
        <w:rPr>
          <w:rFonts w:ascii="Times New Roman" w:eastAsia="Calibri" w:hAnsi="Times New Roman" w:cs="Times New Roman"/>
          <w:lang w:eastAsia="sk-SK"/>
        </w:rPr>
      </w:pPr>
    </w:p>
    <w:p w14:paraId="68AEC48B" w14:textId="6717CA26" w:rsidR="00DD531B" w:rsidRPr="005F5DA3" w:rsidRDefault="00DD531B" w:rsidP="00DD531B">
      <w:pPr>
        <w:keepNext/>
        <w:keepLines/>
        <w:spacing w:before="40" w:after="0"/>
        <w:outlineLvl w:val="1"/>
        <w:rPr>
          <w:rFonts w:ascii="Times New Roman" w:eastAsia="Times New Roman" w:hAnsi="Times New Roman" w:cs="Times New Roman"/>
          <w:b/>
          <w:color w:val="5B9BD5" w:themeColor="accent1"/>
          <w:sz w:val="24"/>
          <w:szCs w:val="24"/>
        </w:rPr>
      </w:pPr>
      <w:r w:rsidRPr="005F5DA3">
        <w:rPr>
          <w:rFonts w:ascii="Times New Roman" w:eastAsia="Times New Roman" w:hAnsi="Times New Roman" w:cs="Times New Roman"/>
          <w:b/>
          <w:color w:val="5B9BD5" w:themeColor="accent1"/>
          <w:sz w:val="24"/>
          <w:szCs w:val="24"/>
        </w:rPr>
        <w:lastRenderedPageBreak/>
        <w:t>Ministerstvo obrany SR</w:t>
      </w:r>
    </w:p>
    <w:p w14:paraId="13B703AE" w14:textId="77777777" w:rsidR="00DD531B" w:rsidRPr="00DD531B" w:rsidRDefault="00DD531B" w:rsidP="00DD531B">
      <w:pPr>
        <w:rPr>
          <w:rFonts w:ascii="Times New Roman" w:eastAsia="Calibri" w:hAnsi="Times New Roman" w:cs="Times New Roman"/>
          <w:lang w:eastAsia="sk-SK"/>
        </w:rPr>
      </w:pPr>
    </w:p>
    <w:p w14:paraId="6F14F55D" w14:textId="7221B90B" w:rsidR="00DD531B" w:rsidRPr="00D6350B" w:rsidRDefault="00D6350B"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03" w:name="_Toc153013073"/>
      <w:r w:rsidRPr="00D6350B">
        <w:rPr>
          <w:rFonts w:ascii="Times New Roman" w:hAnsi="Times New Roman" w:cs="Times New Roman"/>
          <w:b/>
          <w:color w:val="5B9BD5" w:themeColor="accent1"/>
          <w:sz w:val="20"/>
          <w:szCs w:val="20"/>
        </w:rPr>
        <w:t xml:space="preserve">Tabuľka </w:t>
      </w:r>
      <w:r w:rsidRPr="00D6350B">
        <w:rPr>
          <w:rFonts w:ascii="Times New Roman" w:hAnsi="Times New Roman" w:cs="Times New Roman"/>
          <w:b/>
          <w:color w:val="5B9BD5" w:themeColor="accent1"/>
          <w:sz w:val="20"/>
          <w:szCs w:val="20"/>
        </w:rPr>
        <w:fldChar w:fldCharType="begin"/>
      </w:r>
      <w:r w:rsidRPr="00D6350B">
        <w:rPr>
          <w:rFonts w:ascii="Times New Roman" w:hAnsi="Times New Roman" w:cs="Times New Roman"/>
          <w:b/>
          <w:color w:val="5B9BD5" w:themeColor="accent1"/>
          <w:sz w:val="20"/>
          <w:szCs w:val="20"/>
        </w:rPr>
        <w:instrText xml:space="preserve"> SEQ Tabuľka \* ARABIC </w:instrText>
      </w:r>
      <w:r w:rsidRPr="00D6350B">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75</w:t>
      </w:r>
      <w:r w:rsidRPr="00D6350B">
        <w:rPr>
          <w:rFonts w:ascii="Times New Roman" w:hAnsi="Times New Roman" w:cs="Times New Roman"/>
          <w:b/>
          <w:color w:val="5B9BD5" w:themeColor="accent1"/>
          <w:sz w:val="20"/>
          <w:szCs w:val="20"/>
        </w:rPr>
        <w:fldChar w:fldCharType="end"/>
      </w:r>
      <w:r w:rsidRPr="00D6350B">
        <w:rPr>
          <w:rFonts w:ascii="Times New Roman" w:hAnsi="Times New Roman" w:cs="Times New Roman"/>
          <w:b/>
          <w:color w:val="5B9BD5" w:themeColor="accent1"/>
          <w:sz w:val="20"/>
          <w:szCs w:val="20"/>
        </w:rPr>
        <w:t xml:space="preserve"> - </w:t>
      </w:r>
      <w:r w:rsidR="00DD531B" w:rsidRPr="00D6350B">
        <w:rPr>
          <w:rFonts w:ascii="Times New Roman" w:eastAsia="Times New Roman" w:hAnsi="Times New Roman" w:cs="Times New Roman"/>
          <w:b/>
          <w:iCs/>
          <w:color w:val="5B9BD5" w:themeColor="accent1"/>
          <w:sz w:val="20"/>
          <w:szCs w:val="20"/>
          <w:lang w:eastAsia="sk-SK"/>
        </w:rPr>
        <w:t>Príjmy kapitoly MO SR</w:t>
      </w:r>
      <w:bookmarkEnd w:id="203"/>
    </w:p>
    <w:tbl>
      <w:tblPr>
        <w:tblW w:w="5000" w:type="pct"/>
        <w:tblCellMar>
          <w:left w:w="70" w:type="dxa"/>
          <w:right w:w="70" w:type="dxa"/>
        </w:tblCellMar>
        <w:tblLook w:val="04A0" w:firstRow="1" w:lastRow="0" w:firstColumn="1" w:lastColumn="0" w:noHBand="0" w:noVBand="1"/>
      </w:tblPr>
      <w:tblGrid>
        <w:gridCol w:w="4498"/>
        <w:gridCol w:w="643"/>
        <w:gridCol w:w="643"/>
        <w:gridCol w:w="643"/>
        <w:gridCol w:w="714"/>
        <w:gridCol w:w="643"/>
        <w:gridCol w:w="644"/>
        <w:gridCol w:w="644"/>
      </w:tblGrid>
      <w:tr w:rsidR="00DD531B" w:rsidRPr="00DD531B" w14:paraId="22EED3B1" w14:textId="77777777" w:rsidTr="001F24AE">
        <w:trPr>
          <w:trHeight w:val="300"/>
        </w:trPr>
        <w:tc>
          <w:tcPr>
            <w:tcW w:w="2256" w:type="pct"/>
            <w:tcBorders>
              <w:top w:val="single" w:sz="4" w:space="0" w:color="auto"/>
              <w:left w:val="nil"/>
              <w:bottom w:val="single" w:sz="4" w:space="0" w:color="auto"/>
              <w:right w:val="nil"/>
            </w:tcBorders>
            <w:shd w:val="clear" w:color="auto" w:fill="auto"/>
            <w:noWrap/>
            <w:vAlign w:val="center"/>
            <w:hideMark/>
          </w:tcPr>
          <w:p w14:paraId="1215D1BF" w14:textId="77777777" w:rsidR="00DD531B" w:rsidRPr="00D6350B" w:rsidRDefault="00DD531B" w:rsidP="00DD531B">
            <w:pPr>
              <w:spacing w:after="0" w:line="240" w:lineRule="auto"/>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v tis. eur</w:t>
            </w:r>
          </w:p>
        </w:tc>
        <w:tc>
          <w:tcPr>
            <w:tcW w:w="392" w:type="pct"/>
            <w:tcBorders>
              <w:top w:val="single" w:sz="4" w:space="0" w:color="auto"/>
              <w:left w:val="nil"/>
              <w:bottom w:val="single" w:sz="4" w:space="0" w:color="auto"/>
              <w:right w:val="nil"/>
            </w:tcBorders>
            <w:shd w:val="clear" w:color="auto" w:fill="auto"/>
            <w:noWrap/>
            <w:vAlign w:val="center"/>
            <w:hideMark/>
          </w:tcPr>
          <w:p w14:paraId="6A1C41A9"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2021 S</w:t>
            </w:r>
          </w:p>
        </w:tc>
        <w:tc>
          <w:tcPr>
            <w:tcW w:w="392" w:type="pct"/>
            <w:tcBorders>
              <w:top w:val="single" w:sz="4" w:space="0" w:color="auto"/>
              <w:left w:val="nil"/>
              <w:bottom w:val="single" w:sz="4" w:space="0" w:color="auto"/>
              <w:right w:val="nil"/>
            </w:tcBorders>
            <w:shd w:val="clear" w:color="auto" w:fill="auto"/>
            <w:noWrap/>
            <w:vAlign w:val="center"/>
            <w:hideMark/>
          </w:tcPr>
          <w:p w14:paraId="590FCFDA"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2022 S</w:t>
            </w:r>
          </w:p>
        </w:tc>
        <w:tc>
          <w:tcPr>
            <w:tcW w:w="392" w:type="pct"/>
            <w:tcBorders>
              <w:top w:val="single" w:sz="4" w:space="0" w:color="auto"/>
              <w:left w:val="nil"/>
              <w:bottom w:val="single" w:sz="4" w:space="0" w:color="auto"/>
              <w:right w:val="nil"/>
            </w:tcBorders>
            <w:shd w:val="clear" w:color="auto" w:fill="auto"/>
            <w:noWrap/>
            <w:vAlign w:val="center"/>
            <w:hideMark/>
          </w:tcPr>
          <w:p w14:paraId="4EA5C7C5"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2023 R</w:t>
            </w:r>
          </w:p>
        </w:tc>
        <w:tc>
          <w:tcPr>
            <w:tcW w:w="392" w:type="pct"/>
            <w:tcBorders>
              <w:top w:val="single" w:sz="4" w:space="0" w:color="auto"/>
              <w:left w:val="nil"/>
              <w:bottom w:val="single" w:sz="4" w:space="0" w:color="auto"/>
              <w:right w:val="nil"/>
            </w:tcBorders>
            <w:shd w:val="clear" w:color="auto" w:fill="auto"/>
            <w:noWrap/>
            <w:vAlign w:val="center"/>
            <w:hideMark/>
          </w:tcPr>
          <w:p w14:paraId="48EDA7C8"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2023 OS</w:t>
            </w:r>
          </w:p>
        </w:tc>
        <w:tc>
          <w:tcPr>
            <w:tcW w:w="392" w:type="pct"/>
            <w:tcBorders>
              <w:top w:val="single" w:sz="4" w:space="0" w:color="auto"/>
              <w:left w:val="nil"/>
              <w:bottom w:val="single" w:sz="4" w:space="0" w:color="auto"/>
              <w:right w:val="nil"/>
            </w:tcBorders>
            <w:shd w:val="clear" w:color="auto" w:fill="auto"/>
            <w:noWrap/>
            <w:vAlign w:val="center"/>
            <w:hideMark/>
          </w:tcPr>
          <w:p w14:paraId="604A8DFA"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2024 N</w:t>
            </w:r>
          </w:p>
        </w:tc>
        <w:tc>
          <w:tcPr>
            <w:tcW w:w="392" w:type="pct"/>
            <w:tcBorders>
              <w:top w:val="single" w:sz="4" w:space="0" w:color="auto"/>
              <w:left w:val="nil"/>
              <w:bottom w:val="single" w:sz="4" w:space="0" w:color="auto"/>
              <w:right w:val="nil"/>
            </w:tcBorders>
            <w:shd w:val="clear" w:color="auto" w:fill="auto"/>
            <w:noWrap/>
            <w:vAlign w:val="center"/>
            <w:hideMark/>
          </w:tcPr>
          <w:p w14:paraId="2735A65C"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2025 N</w:t>
            </w:r>
          </w:p>
        </w:tc>
        <w:tc>
          <w:tcPr>
            <w:tcW w:w="392" w:type="pct"/>
            <w:tcBorders>
              <w:top w:val="single" w:sz="4" w:space="0" w:color="auto"/>
              <w:left w:val="nil"/>
              <w:bottom w:val="single" w:sz="4" w:space="0" w:color="auto"/>
              <w:right w:val="nil"/>
            </w:tcBorders>
            <w:shd w:val="clear" w:color="auto" w:fill="auto"/>
            <w:noWrap/>
            <w:vAlign w:val="center"/>
            <w:hideMark/>
          </w:tcPr>
          <w:p w14:paraId="503BD889"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2026 N</w:t>
            </w:r>
          </w:p>
        </w:tc>
      </w:tr>
      <w:tr w:rsidR="00DD531B" w:rsidRPr="00DD531B" w14:paraId="103F1EF1" w14:textId="77777777" w:rsidTr="001F24AE">
        <w:trPr>
          <w:trHeight w:val="300"/>
        </w:trPr>
        <w:tc>
          <w:tcPr>
            <w:tcW w:w="2256" w:type="pct"/>
            <w:tcBorders>
              <w:top w:val="nil"/>
              <w:left w:val="nil"/>
              <w:bottom w:val="nil"/>
              <w:right w:val="nil"/>
            </w:tcBorders>
            <w:shd w:val="clear" w:color="auto" w:fill="auto"/>
            <w:noWrap/>
            <w:vAlign w:val="bottom"/>
            <w:hideMark/>
          </w:tcPr>
          <w:p w14:paraId="3F3BF190" w14:textId="77777777" w:rsidR="00DD531B" w:rsidRPr="00D6350B" w:rsidRDefault="00DD531B" w:rsidP="00DD531B">
            <w:pPr>
              <w:spacing w:after="0" w:line="240" w:lineRule="auto"/>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Príjmy kapitoly spolu</w:t>
            </w:r>
          </w:p>
        </w:tc>
        <w:tc>
          <w:tcPr>
            <w:tcW w:w="392" w:type="pct"/>
            <w:tcBorders>
              <w:top w:val="nil"/>
              <w:left w:val="nil"/>
              <w:bottom w:val="nil"/>
              <w:right w:val="nil"/>
            </w:tcBorders>
            <w:shd w:val="clear" w:color="auto" w:fill="auto"/>
            <w:noWrap/>
            <w:vAlign w:val="bottom"/>
            <w:hideMark/>
          </w:tcPr>
          <w:p w14:paraId="79AEE6FE" w14:textId="77777777" w:rsidR="00DD531B" w:rsidRPr="00D6350B"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4 819</w:t>
            </w:r>
          </w:p>
        </w:tc>
        <w:tc>
          <w:tcPr>
            <w:tcW w:w="392" w:type="pct"/>
            <w:tcBorders>
              <w:top w:val="nil"/>
              <w:left w:val="nil"/>
              <w:bottom w:val="nil"/>
              <w:right w:val="nil"/>
            </w:tcBorders>
            <w:shd w:val="clear" w:color="auto" w:fill="auto"/>
            <w:noWrap/>
            <w:vAlign w:val="bottom"/>
            <w:hideMark/>
          </w:tcPr>
          <w:p w14:paraId="45E09BA1" w14:textId="77777777" w:rsidR="00DD531B" w:rsidRPr="00D6350B"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46 388</w:t>
            </w:r>
          </w:p>
        </w:tc>
        <w:tc>
          <w:tcPr>
            <w:tcW w:w="392" w:type="pct"/>
            <w:tcBorders>
              <w:top w:val="nil"/>
              <w:left w:val="nil"/>
              <w:bottom w:val="nil"/>
              <w:right w:val="nil"/>
            </w:tcBorders>
            <w:shd w:val="clear" w:color="auto" w:fill="auto"/>
            <w:noWrap/>
            <w:vAlign w:val="bottom"/>
            <w:hideMark/>
          </w:tcPr>
          <w:p w14:paraId="54BF44FB" w14:textId="77777777" w:rsidR="00DD531B" w:rsidRPr="00D6350B"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5 047</w:t>
            </w:r>
          </w:p>
        </w:tc>
        <w:tc>
          <w:tcPr>
            <w:tcW w:w="392" w:type="pct"/>
            <w:tcBorders>
              <w:top w:val="nil"/>
              <w:left w:val="nil"/>
              <w:bottom w:val="nil"/>
              <w:right w:val="nil"/>
            </w:tcBorders>
            <w:shd w:val="clear" w:color="auto" w:fill="auto"/>
            <w:noWrap/>
            <w:vAlign w:val="bottom"/>
            <w:hideMark/>
          </w:tcPr>
          <w:p w14:paraId="48C634B0" w14:textId="77777777" w:rsidR="00DD531B" w:rsidRPr="00D6350B"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53 264</w:t>
            </w:r>
          </w:p>
        </w:tc>
        <w:tc>
          <w:tcPr>
            <w:tcW w:w="392" w:type="pct"/>
            <w:tcBorders>
              <w:top w:val="nil"/>
              <w:left w:val="nil"/>
              <w:bottom w:val="nil"/>
              <w:right w:val="nil"/>
            </w:tcBorders>
            <w:shd w:val="clear" w:color="auto" w:fill="auto"/>
            <w:noWrap/>
            <w:vAlign w:val="bottom"/>
            <w:hideMark/>
          </w:tcPr>
          <w:p w14:paraId="76E0262A" w14:textId="77777777" w:rsidR="00DD531B" w:rsidRPr="00D6350B"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16 368</w:t>
            </w:r>
          </w:p>
        </w:tc>
        <w:tc>
          <w:tcPr>
            <w:tcW w:w="392" w:type="pct"/>
            <w:tcBorders>
              <w:top w:val="nil"/>
              <w:left w:val="nil"/>
              <w:bottom w:val="nil"/>
              <w:right w:val="nil"/>
            </w:tcBorders>
            <w:shd w:val="clear" w:color="auto" w:fill="auto"/>
            <w:noWrap/>
            <w:vAlign w:val="bottom"/>
            <w:hideMark/>
          </w:tcPr>
          <w:p w14:paraId="10251E7C" w14:textId="77777777" w:rsidR="00DD531B" w:rsidRPr="00D6350B"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5 047</w:t>
            </w:r>
          </w:p>
        </w:tc>
        <w:tc>
          <w:tcPr>
            <w:tcW w:w="392" w:type="pct"/>
            <w:tcBorders>
              <w:top w:val="nil"/>
              <w:left w:val="nil"/>
              <w:bottom w:val="nil"/>
              <w:right w:val="nil"/>
            </w:tcBorders>
            <w:shd w:val="clear" w:color="auto" w:fill="auto"/>
            <w:noWrap/>
            <w:vAlign w:val="bottom"/>
            <w:hideMark/>
          </w:tcPr>
          <w:p w14:paraId="7B0F2D05" w14:textId="77777777" w:rsidR="00DD531B" w:rsidRPr="00D6350B"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5 047</w:t>
            </w:r>
          </w:p>
        </w:tc>
      </w:tr>
      <w:tr w:rsidR="00DD531B" w:rsidRPr="00DD531B" w14:paraId="11B96BEC" w14:textId="77777777" w:rsidTr="001F24AE">
        <w:trPr>
          <w:trHeight w:val="300"/>
        </w:trPr>
        <w:tc>
          <w:tcPr>
            <w:tcW w:w="2256" w:type="pct"/>
            <w:tcBorders>
              <w:top w:val="nil"/>
              <w:left w:val="nil"/>
              <w:bottom w:val="nil"/>
              <w:right w:val="nil"/>
            </w:tcBorders>
            <w:shd w:val="clear" w:color="auto" w:fill="auto"/>
            <w:noWrap/>
            <w:vAlign w:val="bottom"/>
            <w:hideMark/>
          </w:tcPr>
          <w:p w14:paraId="6092BC6B" w14:textId="77777777" w:rsidR="00DD531B" w:rsidRPr="00D6350B" w:rsidRDefault="00DD531B" w:rsidP="00DD531B">
            <w:pPr>
              <w:spacing w:after="0" w:line="240" w:lineRule="auto"/>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nedaňové príjmy</w:t>
            </w:r>
          </w:p>
        </w:tc>
        <w:tc>
          <w:tcPr>
            <w:tcW w:w="392" w:type="pct"/>
            <w:tcBorders>
              <w:top w:val="nil"/>
              <w:left w:val="nil"/>
              <w:bottom w:val="nil"/>
              <w:right w:val="nil"/>
            </w:tcBorders>
            <w:shd w:val="clear" w:color="auto" w:fill="auto"/>
            <w:noWrap/>
            <w:vAlign w:val="bottom"/>
            <w:hideMark/>
          </w:tcPr>
          <w:p w14:paraId="78534FE6"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4 779</w:t>
            </w:r>
          </w:p>
        </w:tc>
        <w:tc>
          <w:tcPr>
            <w:tcW w:w="392" w:type="pct"/>
            <w:tcBorders>
              <w:top w:val="nil"/>
              <w:left w:val="nil"/>
              <w:bottom w:val="nil"/>
              <w:right w:val="nil"/>
            </w:tcBorders>
            <w:shd w:val="clear" w:color="auto" w:fill="auto"/>
            <w:noWrap/>
            <w:vAlign w:val="bottom"/>
            <w:hideMark/>
          </w:tcPr>
          <w:p w14:paraId="2F2D3480"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46 338</w:t>
            </w:r>
          </w:p>
        </w:tc>
        <w:tc>
          <w:tcPr>
            <w:tcW w:w="392" w:type="pct"/>
            <w:tcBorders>
              <w:top w:val="nil"/>
              <w:left w:val="nil"/>
              <w:bottom w:val="nil"/>
              <w:right w:val="nil"/>
            </w:tcBorders>
            <w:shd w:val="clear" w:color="auto" w:fill="auto"/>
            <w:noWrap/>
            <w:vAlign w:val="bottom"/>
            <w:hideMark/>
          </w:tcPr>
          <w:p w14:paraId="7443D568"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5 000</w:t>
            </w:r>
          </w:p>
        </w:tc>
        <w:tc>
          <w:tcPr>
            <w:tcW w:w="392" w:type="pct"/>
            <w:tcBorders>
              <w:top w:val="nil"/>
              <w:left w:val="nil"/>
              <w:bottom w:val="nil"/>
              <w:right w:val="nil"/>
            </w:tcBorders>
            <w:shd w:val="clear" w:color="auto" w:fill="auto"/>
            <w:noWrap/>
            <w:vAlign w:val="bottom"/>
            <w:hideMark/>
          </w:tcPr>
          <w:p w14:paraId="695EFED9"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53 206</w:t>
            </w:r>
          </w:p>
        </w:tc>
        <w:tc>
          <w:tcPr>
            <w:tcW w:w="392" w:type="pct"/>
            <w:tcBorders>
              <w:top w:val="nil"/>
              <w:left w:val="nil"/>
              <w:bottom w:val="nil"/>
              <w:right w:val="nil"/>
            </w:tcBorders>
            <w:shd w:val="clear" w:color="auto" w:fill="auto"/>
            <w:noWrap/>
            <w:vAlign w:val="bottom"/>
            <w:hideMark/>
          </w:tcPr>
          <w:p w14:paraId="7C63C5A3"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16 321</w:t>
            </w:r>
          </w:p>
        </w:tc>
        <w:tc>
          <w:tcPr>
            <w:tcW w:w="392" w:type="pct"/>
            <w:tcBorders>
              <w:top w:val="nil"/>
              <w:left w:val="nil"/>
              <w:bottom w:val="nil"/>
              <w:right w:val="nil"/>
            </w:tcBorders>
            <w:shd w:val="clear" w:color="auto" w:fill="auto"/>
            <w:noWrap/>
            <w:vAlign w:val="bottom"/>
            <w:hideMark/>
          </w:tcPr>
          <w:p w14:paraId="1AA1F341"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5 000</w:t>
            </w:r>
          </w:p>
        </w:tc>
        <w:tc>
          <w:tcPr>
            <w:tcW w:w="392" w:type="pct"/>
            <w:tcBorders>
              <w:top w:val="nil"/>
              <w:left w:val="nil"/>
              <w:bottom w:val="nil"/>
              <w:right w:val="nil"/>
            </w:tcBorders>
            <w:shd w:val="clear" w:color="auto" w:fill="auto"/>
            <w:noWrap/>
            <w:vAlign w:val="bottom"/>
            <w:hideMark/>
          </w:tcPr>
          <w:p w14:paraId="51FDD3F6"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5 000</w:t>
            </w:r>
          </w:p>
        </w:tc>
      </w:tr>
      <w:tr w:rsidR="00DD531B" w:rsidRPr="00DD531B" w14:paraId="15F8A64C" w14:textId="77777777" w:rsidTr="001F24AE">
        <w:trPr>
          <w:trHeight w:val="300"/>
        </w:trPr>
        <w:tc>
          <w:tcPr>
            <w:tcW w:w="2256" w:type="pct"/>
            <w:tcBorders>
              <w:top w:val="nil"/>
              <w:left w:val="nil"/>
              <w:bottom w:val="single" w:sz="4" w:space="0" w:color="auto"/>
              <w:right w:val="nil"/>
            </w:tcBorders>
            <w:shd w:val="clear" w:color="auto" w:fill="auto"/>
            <w:noWrap/>
            <w:vAlign w:val="bottom"/>
            <w:hideMark/>
          </w:tcPr>
          <w:p w14:paraId="116DF143" w14:textId="77777777" w:rsidR="00DD531B" w:rsidRPr="00D6350B" w:rsidRDefault="00DD531B" w:rsidP="00DD531B">
            <w:pPr>
              <w:spacing w:after="0" w:line="240" w:lineRule="auto"/>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prostriedky podľa § 17 ods. 4 a § 22 ods. 4 zákona č. 523/2004 Z. z.</w:t>
            </w:r>
          </w:p>
        </w:tc>
        <w:tc>
          <w:tcPr>
            <w:tcW w:w="392" w:type="pct"/>
            <w:tcBorders>
              <w:top w:val="nil"/>
              <w:left w:val="nil"/>
              <w:bottom w:val="single" w:sz="4" w:space="0" w:color="auto"/>
              <w:right w:val="nil"/>
            </w:tcBorders>
            <w:shd w:val="clear" w:color="auto" w:fill="auto"/>
            <w:noWrap/>
            <w:vAlign w:val="bottom"/>
            <w:hideMark/>
          </w:tcPr>
          <w:p w14:paraId="41CD577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40</w:t>
            </w:r>
          </w:p>
        </w:tc>
        <w:tc>
          <w:tcPr>
            <w:tcW w:w="392" w:type="pct"/>
            <w:tcBorders>
              <w:top w:val="nil"/>
              <w:left w:val="nil"/>
              <w:bottom w:val="single" w:sz="4" w:space="0" w:color="auto"/>
              <w:right w:val="nil"/>
            </w:tcBorders>
            <w:shd w:val="clear" w:color="auto" w:fill="auto"/>
            <w:noWrap/>
            <w:vAlign w:val="bottom"/>
            <w:hideMark/>
          </w:tcPr>
          <w:p w14:paraId="7DA1CFBD"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49</w:t>
            </w:r>
          </w:p>
        </w:tc>
        <w:tc>
          <w:tcPr>
            <w:tcW w:w="392" w:type="pct"/>
            <w:tcBorders>
              <w:top w:val="nil"/>
              <w:left w:val="nil"/>
              <w:bottom w:val="single" w:sz="4" w:space="0" w:color="auto"/>
              <w:right w:val="nil"/>
            </w:tcBorders>
            <w:shd w:val="clear" w:color="auto" w:fill="auto"/>
            <w:noWrap/>
            <w:vAlign w:val="bottom"/>
            <w:hideMark/>
          </w:tcPr>
          <w:p w14:paraId="43AB7F7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47</w:t>
            </w:r>
          </w:p>
        </w:tc>
        <w:tc>
          <w:tcPr>
            <w:tcW w:w="392" w:type="pct"/>
            <w:tcBorders>
              <w:top w:val="nil"/>
              <w:left w:val="nil"/>
              <w:bottom w:val="single" w:sz="4" w:space="0" w:color="auto"/>
              <w:right w:val="nil"/>
            </w:tcBorders>
            <w:shd w:val="clear" w:color="auto" w:fill="auto"/>
            <w:noWrap/>
            <w:vAlign w:val="bottom"/>
            <w:hideMark/>
          </w:tcPr>
          <w:p w14:paraId="2546EC1A"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58</w:t>
            </w:r>
          </w:p>
        </w:tc>
        <w:tc>
          <w:tcPr>
            <w:tcW w:w="392" w:type="pct"/>
            <w:tcBorders>
              <w:top w:val="nil"/>
              <w:left w:val="nil"/>
              <w:bottom w:val="single" w:sz="4" w:space="0" w:color="auto"/>
              <w:right w:val="nil"/>
            </w:tcBorders>
            <w:shd w:val="clear" w:color="auto" w:fill="auto"/>
            <w:noWrap/>
            <w:vAlign w:val="bottom"/>
            <w:hideMark/>
          </w:tcPr>
          <w:p w14:paraId="2CDC676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47</w:t>
            </w:r>
          </w:p>
        </w:tc>
        <w:tc>
          <w:tcPr>
            <w:tcW w:w="392" w:type="pct"/>
            <w:tcBorders>
              <w:top w:val="nil"/>
              <w:left w:val="nil"/>
              <w:bottom w:val="single" w:sz="4" w:space="0" w:color="auto"/>
              <w:right w:val="nil"/>
            </w:tcBorders>
            <w:shd w:val="clear" w:color="auto" w:fill="auto"/>
            <w:noWrap/>
            <w:vAlign w:val="bottom"/>
            <w:hideMark/>
          </w:tcPr>
          <w:p w14:paraId="1E78B377"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47</w:t>
            </w:r>
          </w:p>
        </w:tc>
        <w:tc>
          <w:tcPr>
            <w:tcW w:w="392" w:type="pct"/>
            <w:tcBorders>
              <w:top w:val="nil"/>
              <w:left w:val="nil"/>
              <w:bottom w:val="single" w:sz="4" w:space="0" w:color="auto"/>
              <w:right w:val="nil"/>
            </w:tcBorders>
            <w:shd w:val="clear" w:color="auto" w:fill="auto"/>
            <w:noWrap/>
            <w:vAlign w:val="bottom"/>
            <w:hideMark/>
          </w:tcPr>
          <w:p w14:paraId="1789A12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47</w:t>
            </w:r>
          </w:p>
        </w:tc>
      </w:tr>
    </w:tbl>
    <w:p w14:paraId="7F106382" w14:textId="77777777" w:rsidR="00DD531B" w:rsidRPr="00DD531B" w:rsidRDefault="00DD531B" w:rsidP="00DD531B">
      <w:pPr>
        <w:rPr>
          <w:rFonts w:ascii="Times New Roman" w:eastAsia="Calibri" w:hAnsi="Times New Roman" w:cs="Times New Roman"/>
        </w:rPr>
      </w:pPr>
    </w:p>
    <w:p w14:paraId="32C67162" w14:textId="42B5A7A8" w:rsidR="00DD531B" w:rsidRPr="00D6350B" w:rsidRDefault="00D6350B"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04" w:name="_Toc153013074"/>
      <w:r w:rsidRPr="00D6350B">
        <w:rPr>
          <w:rFonts w:ascii="Times New Roman" w:eastAsia="Times New Roman" w:hAnsi="Times New Roman" w:cs="Times New Roman"/>
          <w:b/>
          <w:iCs/>
          <w:color w:val="5B9BD5" w:themeColor="accent1"/>
          <w:sz w:val="20"/>
          <w:szCs w:val="20"/>
          <w:lang w:eastAsia="sk-SK"/>
        </w:rPr>
        <w:t xml:space="preserve">Tabuľka </w:t>
      </w:r>
      <w:r w:rsidRPr="00D6350B">
        <w:rPr>
          <w:rFonts w:ascii="Times New Roman" w:hAnsi="Times New Roman" w:cs="Times New Roman"/>
          <w:b/>
          <w:color w:val="5B9BD5" w:themeColor="accent1"/>
          <w:sz w:val="20"/>
          <w:szCs w:val="20"/>
        </w:rPr>
        <w:fldChar w:fldCharType="begin"/>
      </w:r>
      <w:r w:rsidRPr="00D6350B">
        <w:rPr>
          <w:rFonts w:ascii="Times New Roman" w:hAnsi="Times New Roman" w:cs="Times New Roman"/>
          <w:b/>
          <w:color w:val="5B9BD5" w:themeColor="accent1"/>
          <w:sz w:val="20"/>
          <w:szCs w:val="20"/>
        </w:rPr>
        <w:instrText xml:space="preserve"> SEQ Tabuľka \* ARABIC </w:instrText>
      </w:r>
      <w:r w:rsidRPr="00D6350B">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76</w:t>
      </w:r>
      <w:r w:rsidRPr="00D6350B">
        <w:rPr>
          <w:rFonts w:ascii="Times New Roman" w:hAnsi="Times New Roman" w:cs="Times New Roman"/>
          <w:b/>
          <w:color w:val="5B9BD5" w:themeColor="accent1"/>
          <w:sz w:val="20"/>
          <w:szCs w:val="20"/>
        </w:rPr>
        <w:fldChar w:fldCharType="end"/>
      </w:r>
      <w:r>
        <w:rPr>
          <w:rFonts w:ascii="Times New Roman" w:hAnsi="Times New Roman" w:cs="Times New Roman"/>
          <w:b/>
          <w:color w:val="5B9BD5" w:themeColor="accent1"/>
          <w:sz w:val="20"/>
          <w:szCs w:val="20"/>
        </w:rPr>
        <w:t xml:space="preserve"> -</w:t>
      </w:r>
      <w:r w:rsidRPr="00D6350B">
        <w:rPr>
          <w:rFonts w:ascii="Times New Roman" w:hAnsi="Times New Roman" w:cs="Times New Roman"/>
          <w:b/>
          <w:color w:val="5B9BD5" w:themeColor="accent1"/>
          <w:sz w:val="20"/>
          <w:szCs w:val="20"/>
        </w:rPr>
        <w:t xml:space="preserve"> </w:t>
      </w:r>
      <w:r w:rsidR="00DD531B" w:rsidRPr="00D6350B">
        <w:rPr>
          <w:rFonts w:ascii="Times New Roman" w:eastAsia="Times New Roman" w:hAnsi="Times New Roman" w:cs="Times New Roman"/>
          <w:b/>
          <w:iCs/>
          <w:color w:val="5B9BD5" w:themeColor="accent1"/>
          <w:sz w:val="20"/>
          <w:szCs w:val="20"/>
          <w:lang w:eastAsia="sk-SK"/>
        </w:rPr>
        <w:t>Výdavky kapitoly MO SR</w:t>
      </w:r>
      <w:bookmarkEnd w:id="204"/>
    </w:p>
    <w:tbl>
      <w:tblPr>
        <w:tblW w:w="5000" w:type="pct"/>
        <w:tblLayout w:type="fixed"/>
        <w:tblCellMar>
          <w:left w:w="70" w:type="dxa"/>
          <w:right w:w="70" w:type="dxa"/>
        </w:tblCellMar>
        <w:tblLook w:val="04A0" w:firstRow="1" w:lastRow="0" w:firstColumn="1" w:lastColumn="0" w:noHBand="0" w:noVBand="1"/>
      </w:tblPr>
      <w:tblGrid>
        <w:gridCol w:w="3119"/>
        <w:gridCol w:w="849"/>
        <w:gridCol w:w="853"/>
        <w:gridCol w:w="849"/>
        <w:gridCol w:w="851"/>
        <w:gridCol w:w="853"/>
        <w:gridCol w:w="849"/>
        <w:gridCol w:w="849"/>
      </w:tblGrid>
      <w:tr w:rsidR="00D6350B" w:rsidRPr="00DD531B" w14:paraId="7D2977E1" w14:textId="77777777" w:rsidTr="005F5DA3">
        <w:trPr>
          <w:trHeight w:val="300"/>
        </w:trPr>
        <w:tc>
          <w:tcPr>
            <w:tcW w:w="1719" w:type="pct"/>
            <w:tcBorders>
              <w:top w:val="single" w:sz="4" w:space="0" w:color="auto"/>
              <w:left w:val="nil"/>
              <w:bottom w:val="single" w:sz="4" w:space="0" w:color="auto"/>
              <w:right w:val="nil"/>
            </w:tcBorders>
            <w:shd w:val="clear" w:color="auto" w:fill="auto"/>
            <w:noWrap/>
            <w:vAlign w:val="center"/>
            <w:hideMark/>
          </w:tcPr>
          <w:p w14:paraId="01F87986" w14:textId="77777777" w:rsidR="00DD531B" w:rsidRPr="00D6350B" w:rsidRDefault="00DD531B" w:rsidP="00DD531B">
            <w:pPr>
              <w:spacing w:after="0" w:line="240" w:lineRule="auto"/>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v tis. eur</w:t>
            </w:r>
          </w:p>
        </w:tc>
        <w:tc>
          <w:tcPr>
            <w:tcW w:w="468" w:type="pct"/>
            <w:tcBorders>
              <w:top w:val="single" w:sz="4" w:space="0" w:color="auto"/>
              <w:left w:val="nil"/>
              <w:bottom w:val="single" w:sz="4" w:space="0" w:color="auto"/>
              <w:right w:val="nil"/>
            </w:tcBorders>
            <w:shd w:val="clear" w:color="auto" w:fill="auto"/>
            <w:noWrap/>
            <w:vAlign w:val="center"/>
            <w:hideMark/>
          </w:tcPr>
          <w:p w14:paraId="345AB0A5"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2021 S</w:t>
            </w:r>
          </w:p>
        </w:tc>
        <w:tc>
          <w:tcPr>
            <w:tcW w:w="470" w:type="pct"/>
            <w:tcBorders>
              <w:top w:val="single" w:sz="4" w:space="0" w:color="auto"/>
              <w:left w:val="nil"/>
              <w:bottom w:val="single" w:sz="4" w:space="0" w:color="auto"/>
              <w:right w:val="nil"/>
            </w:tcBorders>
            <w:shd w:val="clear" w:color="auto" w:fill="auto"/>
            <w:noWrap/>
            <w:vAlign w:val="center"/>
            <w:hideMark/>
          </w:tcPr>
          <w:p w14:paraId="16376ECE"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2022 S</w:t>
            </w:r>
          </w:p>
        </w:tc>
        <w:tc>
          <w:tcPr>
            <w:tcW w:w="468" w:type="pct"/>
            <w:tcBorders>
              <w:top w:val="single" w:sz="4" w:space="0" w:color="auto"/>
              <w:left w:val="nil"/>
              <w:bottom w:val="single" w:sz="4" w:space="0" w:color="auto"/>
              <w:right w:val="nil"/>
            </w:tcBorders>
            <w:shd w:val="clear" w:color="auto" w:fill="auto"/>
            <w:noWrap/>
            <w:vAlign w:val="center"/>
            <w:hideMark/>
          </w:tcPr>
          <w:p w14:paraId="67A29C8A"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2023 R</w:t>
            </w:r>
          </w:p>
        </w:tc>
        <w:tc>
          <w:tcPr>
            <w:tcW w:w="469" w:type="pct"/>
            <w:tcBorders>
              <w:top w:val="single" w:sz="4" w:space="0" w:color="auto"/>
              <w:left w:val="nil"/>
              <w:bottom w:val="single" w:sz="4" w:space="0" w:color="auto"/>
              <w:right w:val="nil"/>
            </w:tcBorders>
            <w:shd w:val="clear" w:color="auto" w:fill="auto"/>
            <w:noWrap/>
            <w:vAlign w:val="center"/>
            <w:hideMark/>
          </w:tcPr>
          <w:p w14:paraId="645C53D1"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2023 OS</w:t>
            </w:r>
          </w:p>
        </w:tc>
        <w:tc>
          <w:tcPr>
            <w:tcW w:w="470" w:type="pct"/>
            <w:tcBorders>
              <w:top w:val="single" w:sz="4" w:space="0" w:color="auto"/>
              <w:left w:val="nil"/>
              <w:bottom w:val="single" w:sz="4" w:space="0" w:color="auto"/>
              <w:right w:val="nil"/>
            </w:tcBorders>
            <w:shd w:val="clear" w:color="auto" w:fill="auto"/>
            <w:noWrap/>
            <w:vAlign w:val="center"/>
            <w:hideMark/>
          </w:tcPr>
          <w:p w14:paraId="4508522A"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2024 N</w:t>
            </w:r>
          </w:p>
        </w:tc>
        <w:tc>
          <w:tcPr>
            <w:tcW w:w="468" w:type="pct"/>
            <w:tcBorders>
              <w:top w:val="single" w:sz="4" w:space="0" w:color="auto"/>
              <w:left w:val="nil"/>
              <w:bottom w:val="single" w:sz="4" w:space="0" w:color="auto"/>
              <w:right w:val="nil"/>
            </w:tcBorders>
            <w:shd w:val="clear" w:color="auto" w:fill="auto"/>
            <w:noWrap/>
            <w:vAlign w:val="center"/>
            <w:hideMark/>
          </w:tcPr>
          <w:p w14:paraId="6B44FBE8"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2025 N</w:t>
            </w:r>
          </w:p>
        </w:tc>
        <w:tc>
          <w:tcPr>
            <w:tcW w:w="468" w:type="pct"/>
            <w:tcBorders>
              <w:top w:val="single" w:sz="4" w:space="0" w:color="auto"/>
              <w:left w:val="nil"/>
              <w:bottom w:val="single" w:sz="4" w:space="0" w:color="auto"/>
              <w:right w:val="nil"/>
            </w:tcBorders>
            <w:shd w:val="clear" w:color="auto" w:fill="auto"/>
            <w:noWrap/>
            <w:vAlign w:val="center"/>
            <w:hideMark/>
          </w:tcPr>
          <w:p w14:paraId="5080EDA3" w14:textId="77777777" w:rsidR="00DD531B" w:rsidRPr="00D6350B" w:rsidRDefault="00DD531B" w:rsidP="00D6350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2026 N</w:t>
            </w:r>
          </w:p>
        </w:tc>
      </w:tr>
      <w:tr w:rsidR="00D6350B" w:rsidRPr="00DD531B" w14:paraId="30824A6F" w14:textId="77777777" w:rsidTr="005F5DA3">
        <w:trPr>
          <w:trHeight w:val="300"/>
        </w:trPr>
        <w:tc>
          <w:tcPr>
            <w:tcW w:w="1719" w:type="pct"/>
            <w:tcBorders>
              <w:top w:val="nil"/>
              <w:left w:val="nil"/>
              <w:bottom w:val="nil"/>
              <w:right w:val="nil"/>
            </w:tcBorders>
            <w:shd w:val="clear" w:color="auto" w:fill="auto"/>
            <w:noWrap/>
            <w:vAlign w:val="center"/>
            <w:hideMark/>
          </w:tcPr>
          <w:p w14:paraId="3AE8E1A2" w14:textId="77777777" w:rsidR="00DD531B" w:rsidRPr="00D6350B" w:rsidRDefault="00DD531B" w:rsidP="00DD531B">
            <w:pPr>
              <w:spacing w:after="0" w:line="240" w:lineRule="auto"/>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Výdavky kapitoly spolu</w:t>
            </w:r>
          </w:p>
        </w:tc>
        <w:tc>
          <w:tcPr>
            <w:tcW w:w="468" w:type="pct"/>
            <w:tcBorders>
              <w:top w:val="nil"/>
              <w:left w:val="nil"/>
              <w:bottom w:val="nil"/>
              <w:right w:val="nil"/>
            </w:tcBorders>
            <w:shd w:val="clear" w:color="auto" w:fill="auto"/>
            <w:noWrap/>
            <w:vAlign w:val="center"/>
            <w:hideMark/>
          </w:tcPr>
          <w:p w14:paraId="1324D71A"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1 727 689</w:t>
            </w:r>
          </w:p>
        </w:tc>
        <w:tc>
          <w:tcPr>
            <w:tcW w:w="470" w:type="pct"/>
            <w:tcBorders>
              <w:top w:val="nil"/>
              <w:left w:val="nil"/>
              <w:bottom w:val="nil"/>
              <w:right w:val="nil"/>
            </w:tcBorders>
            <w:shd w:val="clear" w:color="auto" w:fill="auto"/>
            <w:noWrap/>
            <w:vAlign w:val="center"/>
            <w:hideMark/>
          </w:tcPr>
          <w:p w14:paraId="075CAC5B"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1 964 781</w:t>
            </w:r>
          </w:p>
        </w:tc>
        <w:tc>
          <w:tcPr>
            <w:tcW w:w="468" w:type="pct"/>
            <w:tcBorders>
              <w:top w:val="nil"/>
              <w:left w:val="nil"/>
              <w:bottom w:val="nil"/>
              <w:right w:val="nil"/>
            </w:tcBorders>
            <w:shd w:val="clear" w:color="auto" w:fill="auto"/>
            <w:noWrap/>
            <w:vAlign w:val="center"/>
            <w:hideMark/>
          </w:tcPr>
          <w:p w14:paraId="094CE379"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2 092 834</w:t>
            </w:r>
          </w:p>
        </w:tc>
        <w:tc>
          <w:tcPr>
            <w:tcW w:w="469" w:type="pct"/>
            <w:tcBorders>
              <w:top w:val="nil"/>
              <w:left w:val="nil"/>
              <w:bottom w:val="nil"/>
              <w:right w:val="nil"/>
            </w:tcBorders>
            <w:shd w:val="clear" w:color="auto" w:fill="auto"/>
            <w:noWrap/>
            <w:vAlign w:val="center"/>
            <w:hideMark/>
          </w:tcPr>
          <w:p w14:paraId="65BF4636"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2 066 216</w:t>
            </w:r>
          </w:p>
        </w:tc>
        <w:tc>
          <w:tcPr>
            <w:tcW w:w="470" w:type="pct"/>
            <w:tcBorders>
              <w:top w:val="nil"/>
              <w:left w:val="nil"/>
              <w:bottom w:val="nil"/>
              <w:right w:val="nil"/>
            </w:tcBorders>
            <w:shd w:val="clear" w:color="auto" w:fill="auto"/>
            <w:noWrap/>
            <w:vAlign w:val="center"/>
            <w:hideMark/>
          </w:tcPr>
          <w:p w14:paraId="75F57ABA"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2 609 208</w:t>
            </w:r>
          </w:p>
        </w:tc>
        <w:tc>
          <w:tcPr>
            <w:tcW w:w="468" w:type="pct"/>
            <w:tcBorders>
              <w:top w:val="nil"/>
              <w:left w:val="nil"/>
              <w:bottom w:val="nil"/>
              <w:right w:val="nil"/>
            </w:tcBorders>
            <w:shd w:val="clear" w:color="auto" w:fill="auto"/>
            <w:noWrap/>
            <w:vAlign w:val="center"/>
            <w:hideMark/>
          </w:tcPr>
          <w:p w14:paraId="65722E19"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2 761 421</w:t>
            </w:r>
          </w:p>
        </w:tc>
        <w:tc>
          <w:tcPr>
            <w:tcW w:w="468" w:type="pct"/>
            <w:tcBorders>
              <w:top w:val="nil"/>
              <w:left w:val="nil"/>
              <w:bottom w:val="nil"/>
              <w:right w:val="nil"/>
            </w:tcBorders>
            <w:shd w:val="clear" w:color="auto" w:fill="auto"/>
            <w:noWrap/>
            <w:vAlign w:val="center"/>
            <w:hideMark/>
          </w:tcPr>
          <w:p w14:paraId="685F7116"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2 911 088</w:t>
            </w:r>
          </w:p>
        </w:tc>
      </w:tr>
      <w:tr w:rsidR="00D6350B" w:rsidRPr="00DD531B" w14:paraId="52EDE39B" w14:textId="77777777" w:rsidTr="005F5DA3">
        <w:trPr>
          <w:trHeight w:val="300"/>
        </w:trPr>
        <w:tc>
          <w:tcPr>
            <w:tcW w:w="1719" w:type="pct"/>
            <w:tcBorders>
              <w:top w:val="nil"/>
              <w:left w:val="nil"/>
              <w:bottom w:val="nil"/>
              <w:right w:val="nil"/>
            </w:tcBorders>
            <w:shd w:val="clear" w:color="auto" w:fill="auto"/>
            <w:noWrap/>
            <w:vAlign w:val="bottom"/>
            <w:hideMark/>
          </w:tcPr>
          <w:p w14:paraId="116E5E51" w14:textId="77777777" w:rsidR="00DD531B" w:rsidRPr="00D6350B" w:rsidRDefault="00DD531B" w:rsidP="00DD531B">
            <w:pPr>
              <w:spacing w:after="0" w:line="240" w:lineRule="auto"/>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rozpočtové zdroje kapitoly</w:t>
            </w:r>
          </w:p>
        </w:tc>
        <w:tc>
          <w:tcPr>
            <w:tcW w:w="468" w:type="pct"/>
            <w:tcBorders>
              <w:top w:val="nil"/>
              <w:left w:val="nil"/>
              <w:bottom w:val="nil"/>
              <w:right w:val="nil"/>
            </w:tcBorders>
            <w:shd w:val="clear" w:color="auto" w:fill="auto"/>
            <w:noWrap/>
            <w:vAlign w:val="bottom"/>
            <w:hideMark/>
          </w:tcPr>
          <w:p w14:paraId="522502AC"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1 663 692</w:t>
            </w:r>
          </w:p>
        </w:tc>
        <w:tc>
          <w:tcPr>
            <w:tcW w:w="470" w:type="pct"/>
            <w:tcBorders>
              <w:top w:val="nil"/>
              <w:left w:val="nil"/>
              <w:bottom w:val="nil"/>
              <w:right w:val="nil"/>
            </w:tcBorders>
            <w:shd w:val="clear" w:color="auto" w:fill="auto"/>
            <w:noWrap/>
            <w:vAlign w:val="bottom"/>
            <w:hideMark/>
          </w:tcPr>
          <w:p w14:paraId="70E451A1"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1 557 830</w:t>
            </w:r>
          </w:p>
        </w:tc>
        <w:tc>
          <w:tcPr>
            <w:tcW w:w="468" w:type="pct"/>
            <w:tcBorders>
              <w:top w:val="nil"/>
              <w:left w:val="nil"/>
              <w:bottom w:val="nil"/>
              <w:right w:val="nil"/>
            </w:tcBorders>
            <w:shd w:val="clear" w:color="auto" w:fill="auto"/>
            <w:noWrap/>
            <w:vAlign w:val="bottom"/>
            <w:hideMark/>
          </w:tcPr>
          <w:p w14:paraId="021C82D5"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2 092 787</w:t>
            </w:r>
          </w:p>
        </w:tc>
        <w:tc>
          <w:tcPr>
            <w:tcW w:w="469" w:type="pct"/>
            <w:tcBorders>
              <w:top w:val="nil"/>
              <w:left w:val="nil"/>
              <w:bottom w:val="nil"/>
              <w:right w:val="nil"/>
            </w:tcBorders>
            <w:shd w:val="clear" w:color="auto" w:fill="auto"/>
            <w:noWrap/>
            <w:vAlign w:val="bottom"/>
            <w:hideMark/>
          </w:tcPr>
          <w:p w14:paraId="1AD3C3E1"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2 032 862</w:t>
            </w:r>
          </w:p>
        </w:tc>
        <w:tc>
          <w:tcPr>
            <w:tcW w:w="470" w:type="pct"/>
            <w:tcBorders>
              <w:top w:val="nil"/>
              <w:left w:val="nil"/>
              <w:bottom w:val="nil"/>
              <w:right w:val="nil"/>
            </w:tcBorders>
            <w:shd w:val="clear" w:color="auto" w:fill="auto"/>
            <w:noWrap/>
            <w:vAlign w:val="bottom"/>
            <w:hideMark/>
          </w:tcPr>
          <w:p w14:paraId="490E3F72"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2 609 161</w:t>
            </w:r>
          </w:p>
        </w:tc>
        <w:tc>
          <w:tcPr>
            <w:tcW w:w="468" w:type="pct"/>
            <w:tcBorders>
              <w:top w:val="nil"/>
              <w:left w:val="nil"/>
              <w:bottom w:val="nil"/>
              <w:right w:val="nil"/>
            </w:tcBorders>
            <w:shd w:val="clear" w:color="auto" w:fill="auto"/>
            <w:noWrap/>
            <w:vAlign w:val="bottom"/>
            <w:hideMark/>
          </w:tcPr>
          <w:p w14:paraId="42A4C571"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2 761 374</w:t>
            </w:r>
          </w:p>
        </w:tc>
        <w:tc>
          <w:tcPr>
            <w:tcW w:w="468" w:type="pct"/>
            <w:tcBorders>
              <w:top w:val="nil"/>
              <w:left w:val="nil"/>
              <w:bottom w:val="nil"/>
              <w:right w:val="nil"/>
            </w:tcBorders>
            <w:shd w:val="clear" w:color="auto" w:fill="auto"/>
            <w:noWrap/>
            <w:vAlign w:val="bottom"/>
            <w:hideMark/>
          </w:tcPr>
          <w:p w14:paraId="46374F66"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2 911 042</w:t>
            </w:r>
          </w:p>
        </w:tc>
      </w:tr>
      <w:tr w:rsidR="00D6350B" w:rsidRPr="00DD531B" w14:paraId="675C2B66" w14:textId="77777777" w:rsidTr="005F5DA3">
        <w:trPr>
          <w:trHeight w:val="300"/>
        </w:trPr>
        <w:tc>
          <w:tcPr>
            <w:tcW w:w="1719" w:type="pct"/>
            <w:tcBorders>
              <w:top w:val="nil"/>
              <w:left w:val="nil"/>
              <w:bottom w:val="nil"/>
              <w:right w:val="nil"/>
            </w:tcBorders>
            <w:shd w:val="clear" w:color="auto" w:fill="auto"/>
            <w:noWrap/>
            <w:vAlign w:val="bottom"/>
            <w:hideMark/>
          </w:tcPr>
          <w:p w14:paraId="0B418C33"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bežné výdavky  600, v tom:</w:t>
            </w:r>
          </w:p>
        </w:tc>
        <w:tc>
          <w:tcPr>
            <w:tcW w:w="468" w:type="pct"/>
            <w:tcBorders>
              <w:top w:val="nil"/>
              <w:left w:val="nil"/>
              <w:bottom w:val="nil"/>
              <w:right w:val="nil"/>
            </w:tcBorders>
            <w:shd w:val="clear" w:color="auto" w:fill="auto"/>
            <w:noWrap/>
            <w:vAlign w:val="bottom"/>
            <w:hideMark/>
          </w:tcPr>
          <w:p w14:paraId="6CAC40AA"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1 186 380</w:t>
            </w:r>
          </w:p>
        </w:tc>
        <w:tc>
          <w:tcPr>
            <w:tcW w:w="470" w:type="pct"/>
            <w:tcBorders>
              <w:top w:val="nil"/>
              <w:left w:val="nil"/>
              <w:bottom w:val="nil"/>
              <w:right w:val="nil"/>
            </w:tcBorders>
            <w:shd w:val="clear" w:color="auto" w:fill="auto"/>
            <w:noWrap/>
            <w:vAlign w:val="bottom"/>
            <w:hideMark/>
          </w:tcPr>
          <w:p w14:paraId="2739A62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1 186 318</w:t>
            </w:r>
          </w:p>
        </w:tc>
        <w:tc>
          <w:tcPr>
            <w:tcW w:w="468" w:type="pct"/>
            <w:tcBorders>
              <w:top w:val="nil"/>
              <w:left w:val="nil"/>
              <w:bottom w:val="nil"/>
              <w:right w:val="nil"/>
            </w:tcBorders>
            <w:shd w:val="clear" w:color="auto" w:fill="auto"/>
            <w:noWrap/>
            <w:vAlign w:val="bottom"/>
            <w:hideMark/>
          </w:tcPr>
          <w:p w14:paraId="69A90641"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1 773 751</w:t>
            </w:r>
          </w:p>
        </w:tc>
        <w:tc>
          <w:tcPr>
            <w:tcW w:w="469" w:type="pct"/>
            <w:tcBorders>
              <w:top w:val="nil"/>
              <w:left w:val="nil"/>
              <w:bottom w:val="nil"/>
              <w:right w:val="nil"/>
            </w:tcBorders>
            <w:shd w:val="clear" w:color="auto" w:fill="auto"/>
            <w:noWrap/>
            <w:vAlign w:val="bottom"/>
            <w:hideMark/>
          </w:tcPr>
          <w:p w14:paraId="1461D9C3"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1 278 651</w:t>
            </w:r>
          </w:p>
        </w:tc>
        <w:tc>
          <w:tcPr>
            <w:tcW w:w="470" w:type="pct"/>
            <w:tcBorders>
              <w:top w:val="nil"/>
              <w:left w:val="nil"/>
              <w:bottom w:val="nil"/>
              <w:right w:val="nil"/>
            </w:tcBorders>
            <w:shd w:val="clear" w:color="auto" w:fill="auto"/>
            <w:noWrap/>
            <w:vAlign w:val="bottom"/>
            <w:hideMark/>
          </w:tcPr>
          <w:p w14:paraId="08EBC1C5"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1 689 262</w:t>
            </w:r>
          </w:p>
        </w:tc>
        <w:tc>
          <w:tcPr>
            <w:tcW w:w="468" w:type="pct"/>
            <w:tcBorders>
              <w:top w:val="nil"/>
              <w:left w:val="nil"/>
              <w:bottom w:val="nil"/>
              <w:right w:val="nil"/>
            </w:tcBorders>
            <w:shd w:val="clear" w:color="auto" w:fill="auto"/>
            <w:noWrap/>
            <w:vAlign w:val="bottom"/>
            <w:hideMark/>
          </w:tcPr>
          <w:p w14:paraId="57755152"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1 758 491</w:t>
            </w:r>
          </w:p>
        </w:tc>
        <w:tc>
          <w:tcPr>
            <w:tcW w:w="468" w:type="pct"/>
            <w:tcBorders>
              <w:top w:val="nil"/>
              <w:left w:val="nil"/>
              <w:bottom w:val="nil"/>
              <w:right w:val="nil"/>
            </w:tcBorders>
            <w:shd w:val="clear" w:color="auto" w:fill="auto"/>
            <w:noWrap/>
            <w:vAlign w:val="bottom"/>
            <w:hideMark/>
          </w:tcPr>
          <w:p w14:paraId="4ABD9DD1"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1 819 640</w:t>
            </w:r>
          </w:p>
        </w:tc>
      </w:tr>
      <w:tr w:rsidR="00D6350B" w:rsidRPr="00DD531B" w14:paraId="6BD34FB0" w14:textId="77777777" w:rsidTr="005F5DA3">
        <w:trPr>
          <w:trHeight w:val="300"/>
        </w:trPr>
        <w:tc>
          <w:tcPr>
            <w:tcW w:w="1719" w:type="pct"/>
            <w:tcBorders>
              <w:top w:val="nil"/>
              <w:left w:val="nil"/>
              <w:bottom w:val="nil"/>
              <w:right w:val="nil"/>
            </w:tcBorders>
            <w:shd w:val="clear" w:color="auto" w:fill="auto"/>
            <w:noWrap/>
            <w:vAlign w:val="bottom"/>
            <w:hideMark/>
          </w:tcPr>
          <w:p w14:paraId="55F9C50A"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610 mzdy</w:t>
            </w:r>
          </w:p>
        </w:tc>
        <w:tc>
          <w:tcPr>
            <w:tcW w:w="468" w:type="pct"/>
            <w:tcBorders>
              <w:top w:val="nil"/>
              <w:left w:val="nil"/>
              <w:bottom w:val="nil"/>
              <w:right w:val="nil"/>
            </w:tcBorders>
            <w:shd w:val="clear" w:color="auto" w:fill="auto"/>
            <w:noWrap/>
            <w:vAlign w:val="bottom"/>
            <w:hideMark/>
          </w:tcPr>
          <w:p w14:paraId="6A08FA6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445 699</w:t>
            </w:r>
          </w:p>
        </w:tc>
        <w:tc>
          <w:tcPr>
            <w:tcW w:w="470" w:type="pct"/>
            <w:tcBorders>
              <w:top w:val="nil"/>
              <w:left w:val="nil"/>
              <w:bottom w:val="nil"/>
              <w:right w:val="nil"/>
            </w:tcBorders>
            <w:shd w:val="clear" w:color="auto" w:fill="auto"/>
            <w:noWrap/>
            <w:vAlign w:val="bottom"/>
            <w:hideMark/>
          </w:tcPr>
          <w:p w14:paraId="757C3A14"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465 797</w:t>
            </w:r>
          </w:p>
        </w:tc>
        <w:tc>
          <w:tcPr>
            <w:tcW w:w="468" w:type="pct"/>
            <w:tcBorders>
              <w:top w:val="nil"/>
              <w:left w:val="nil"/>
              <w:bottom w:val="nil"/>
              <w:right w:val="nil"/>
            </w:tcBorders>
            <w:shd w:val="clear" w:color="auto" w:fill="auto"/>
            <w:noWrap/>
            <w:vAlign w:val="bottom"/>
            <w:hideMark/>
          </w:tcPr>
          <w:p w14:paraId="39CD1597"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474 418</w:t>
            </w:r>
          </w:p>
        </w:tc>
        <w:tc>
          <w:tcPr>
            <w:tcW w:w="469" w:type="pct"/>
            <w:tcBorders>
              <w:top w:val="nil"/>
              <w:left w:val="nil"/>
              <w:bottom w:val="nil"/>
              <w:right w:val="nil"/>
            </w:tcBorders>
            <w:shd w:val="clear" w:color="auto" w:fill="auto"/>
            <w:noWrap/>
            <w:vAlign w:val="bottom"/>
            <w:hideMark/>
          </w:tcPr>
          <w:p w14:paraId="0BC2134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499 705</w:t>
            </w:r>
          </w:p>
        </w:tc>
        <w:tc>
          <w:tcPr>
            <w:tcW w:w="470" w:type="pct"/>
            <w:tcBorders>
              <w:top w:val="nil"/>
              <w:left w:val="nil"/>
              <w:bottom w:val="nil"/>
              <w:right w:val="nil"/>
            </w:tcBorders>
            <w:shd w:val="clear" w:color="auto" w:fill="auto"/>
            <w:noWrap/>
            <w:vAlign w:val="bottom"/>
            <w:hideMark/>
          </w:tcPr>
          <w:p w14:paraId="2F6B5BD2"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506 394</w:t>
            </w:r>
          </w:p>
        </w:tc>
        <w:tc>
          <w:tcPr>
            <w:tcW w:w="468" w:type="pct"/>
            <w:tcBorders>
              <w:top w:val="nil"/>
              <w:left w:val="nil"/>
              <w:bottom w:val="nil"/>
              <w:right w:val="nil"/>
            </w:tcBorders>
            <w:shd w:val="clear" w:color="auto" w:fill="auto"/>
            <w:noWrap/>
            <w:vAlign w:val="bottom"/>
            <w:hideMark/>
          </w:tcPr>
          <w:p w14:paraId="44AE61E1"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506 394</w:t>
            </w:r>
          </w:p>
        </w:tc>
        <w:tc>
          <w:tcPr>
            <w:tcW w:w="468" w:type="pct"/>
            <w:tcBorders>
              <w:top w:val="nil"/>
              <w:left w:val="nil"/>
              <w:bottom w:val="nil"/>
              <w:right w:val="nil"/>
            </w:tcBorders>
            <w:shd w:val="clear" w:color="auto" w:fill="auto"/>
            <w:noWrap/>
            <w:vAlign w:val="bottom"/>
            <w:hideMark/>
          </w:tcPr>
          <w:p w14:paraId="70EDBF5D"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506 394</w:t>
            </w:r>
          </w:p>
        </w:tc>
      </w:tr>
      <w:tr w:rsidR="00D6350B" w:rsidRPr="00DD531B" w14:paraId="2AD88004" w14:textId="77777777" w:rsidTr="005F5DA3">
        <w:trPr>
          <w:trHeight w:val="300"/>
        </w:trPr>
        <w:tc>
          <w:tcPr>
            <w:tcW w:w="1719" w:type="pct"/>
            <w:tcBorders>
              <w:top w:val="nil"/>
              <w:left w:val="nil"/>
              <w:bottom w:val="nil"/>
              <w:right w:val="nil"/>
            </w:tcBorders>
            <w:shd w:val="clear" w:color="auto" w:fill="auto"/>
            <w:noWrap/>
            <w:vAlign w:val="bottom"/>
            <w:hideMark/>
          </w:tcPr>
          <w:p w14:paraId="24A50B59"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620 odvody</w:t>
            </w:r>
          </w:p>
        </w:tc>
        <w:tc>
          <w:tcPr>
            <w:tcW w:w="468" w:type="pct"/>
            <w:tcBorders>
              <w:top w:val="nil"/>
              <w:left w:val="nil"/>
              <w:bottom w:val="nil"/>
              <w:right w:val="nil"/>
            </w:tcBorders>
            <w:shd w:val="clear" w:color="auto" w:fill="auto"/>
            <w:noWrap/>
            <w:vAlign w:val="bottom"/>
            <w:hideMark/>
          </w:tcPr>
          <w:p w14:paraId="6AB12B46"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159 321</w:t>
            </w:r>
          </w:p>
        </w:tc>
        <w:tc>
          <w:tcPr>
            <w:tcW w:w="470" w:type="pct"/>
            <w:tcBorders>
              <w:top w:val="nil"/>
              <w:left w:val="nil"/>
              <w:bottom w:val="nil"/>
              <w:right w:val="nil"/>
            </w:tcBorders>
            <w:shd w:val="clear" w:color="auto" w:fill="auto"/>
            <w:noWrap/>
            <w:vAlign w:val="bottom"/>
            <w:hideMark/>
          </w:tcPr>
          <w:p w14:paraId="29D60362"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163 251</w:t>
            </w:r>
          </w:p>
        </w:tc>
        <w:tc>
          <w:tcPr>
            <w:tcW w:w="468" w:type="pct"/>
            <w:tcBorders>
              <w:top w:val="nil"/>
              <w:left w:val="nil"/>
              <w:bottom w:val="nil"/>
              <w:right w:val="nil"/>
            </w:tcBorders>
            <w:shd w:val="clear" w:color="auto" w:fill="auto"/>
            <w:noWrap/>
            <w:vAlign w:val="bottom"/>
            <w:hideMark/>
          </w:tcPr>
          <w:p w14:paraId="124C901C"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163 385</w:t>
            </w:r>
          </w:p>
        </w:tc>
        <w:tc>
          <w:tcPr>
            <w:tcW w:w="469" w:type="pct"/>
            <w:tcBorders>
              <w:top w:val="nil"/>
              <w:left w:val="nil"/>
              <w:bottom w:val="nil"/>
              <w:right w:val="nil"/>
            </w:tcBorders>
            <w:shd w:val="clear" w:color="auto" w:fill="auto"/>
            <w:noWrap/>
            <w:vAlign w:val="bottom"/>
            <w:hideMark/>
          </w:tcPr>
          <w:p w14:paraId="1E413CE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172 617</w:t>
            </w:r>
          </w:p>
        </w:tc>
        <w:tc>
          <w:tcPr>
            <w:tcW w:w="470" w:type="pct"/>
            <w:tcBorders>
              <w:top w:val="nil"/>
              <w:left w:val="nil"/>
              <w:bottom w:val="nil"/>
              <w:right w:val="nil"/>
            </w:tcBorders>
            <w:shd w:val="clear" w:color="auto" w:fill="auto"/>
            <w:noWrap/>
            <w:vAlign w:val="bottom"/>
            <w:hideMark/>
          </w:tcPr>
          <w:p w14:paraId="47CAC66F"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183 474</w:t>
            </w:r>
          </w:p>
        </w:tc>
        <w:tc>
          <w:tcPr>
            <w:tcW w:w="468" w:type="pct"/>
            <w:tcBorders>
              <w:top w:val="nil"/>
              <w:left w:val="nil"/>
              <w:bottom w:val="nil"/>
              <w:right w:val="nil"/>
            </w:tcBorders>
            <w:shd w:val="clear" w:color="auto" w:fill="auto"/>
            <w:noWrap/>
            <w:vAlign w:val="bottom"/>
            <w:hideMark/>
          </w:tcPr>
          <w:p w14:paraId="492B599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183 359</w:t>
            </w:r>
          </w:p>
        </w:tc>
        <w:tc>
          <w:tcPr>
            <w:tcW w:w="468" w:type="pct"/>
            <w:tcBorders>
              <w:top w:val="nil"/>
              <w:left w:val="nil"/>
              <w:bottom w:val="nil"/>
              <w:right w:val="nil"/>
            </w:tcBorders>
            <w:shd w:val="clear" w:color="auto" w:fill="auto"/>
            <w:noWrap/>
            <w:vAlign w:val="bottom"/>
            <w:hideMark/>
          </w:tcPr>
          <w:p w14:paraId="1F195B83"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183 834</w:t>
            </w:r>
          </w:p>
        </w:tc>
      </w:tr>
      <w:tr w:rsidR="00D6350B" w:rsidRPr="00DD531B" w14:paraId="7A398681" w14:textId="77777777" w:rsidTr="005F5DA3">
        <w:trPr>
          <w:trHeight w:val="300"/>
        </w:trPr>
        <w:tc>
          <w:tcPr>
            <w:tcW w:w="1719" w:type="pct"/>
            <w:tcBorders>
              <w:top w:val="nil"/>
              <w:left w:val="nil"/>
              <w:bottom w:val="nil"/>
              <w:right w:val="nil"/>
            </w:tcBorders>
            <w:shd w:val="clear" w:color="auto" w:fill="auto"/>
            <w:noWrap/>
            <w:vAlign w:val="bottom"/>
            <w:hideMark/>
          </w:tcPr>
          <w:p w14:paraId="4EB3E19C"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630 tovary a služby</w:t>
            </w:r>
          </w:p>
        </w:tc>
        <w:tc>
          <w:tcPr>
            <w:tcW w:w="468" w:type="pct"/>
            <w:tcBorders>
              <w:top w:val="nil"/>
              <w:left w:val="nil"/>
              <w:bottom w:val="nil"/>
              <w:right w:val="nil"/>
            </w:tcBorders>
            <w:shd w:val="clear" w:color="auto" w:fill="auto"/>
            <w:noWrap/>
            <w:vAlign w:val="bottom"/>
            <w:hideMark/>
          </w:tcPr>
          <w:p w14:paraId="65E2F470"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415 772</w:t>
            </w:r>
          </w:p>
        </w:tc>
        <w:tc>
          <w:tcPr>
            <w:tcW w:w="470" w:type="pct"/>
            <w:tcBorders>
              <w:top w:val="nil"/>
              <w:left w:val="nil"/>
              <w:bottom w:val="nil"/>
              <w:right w:val="nil"/>
            </w:tcBorders>
            <w:shd w:val="clear" w:color="auto" w:fill="auto"/>
            <w:noWrap/>
            <w:vAlign w:val="bottom"/>
            <w:hideMark/>
          </w:tcPr>
          <w:p w14:paraId="4EC85390"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364 013</w:t>
            </w:r>
          </w:p>
        </w:tc>
        <w:tc>
          <w:tcPr>
            <w:tcW w:w="468" w:type="pct"/>
            <w:tcBorders>
              <w:top w:val="nil"/>
              <w:left w:val="nil"/>
              <w:bottom w:val="nil"/>
              <w:right w:val="nil"/>
            </w:tcBorders>
            <w:shd w:val="clear" w:color="auto" w:fill="auto"/>
            <w:noWrap/>
            <w:vAlign w:val="bottom"/>
            <w:hideMark/>
          </w:tcPr>
          <w:p w14:paraId="763AA436"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930 019</w:t>
            </w:r>
          </w:p>
        </w:tc>
        <w:tc>
          <w:tcPr>
            <w:tcW w:w="469" w:type="pct"/>
            <w:tcBorders>
              <w:top w:val="nil"/>
              <w:left w:val="nil"/>
              <w:bottom w:val="nil"/>
              <w:right w:val="nil"/>
            </w:tcBorders>
            <w:shd w:val="clear" w:color="auto" w:fill="auto"/>
            <w:noWrap/>
            <w:vAlign w:val="bottom"/>
            <w:hideMark/>
          </w:tcPr>
          <w:p w14:paraId="42BA90D8"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367 366</w:t>
            </w:r>
          </w:p>
        </w:tc>
        <w:tc>
          <w:tcPr>
            <w:tcW w:w="470" w:type="pct"/>
            <w:tcBorders>
              <w:top w:val="nil"/>
              <w:left w:val="nil"/>
              <w:bottom w:val="nil"/>
              <w:right w:val="nil"/>
            </w:tcBorders>
            <w:shd w:val="clear" w:color="auto" w:fill="auto"/>
            <w:noWrap/>
            <w:vAlign w:val="bottom"/>
            <w:hideMark/>
          </w:tcPr>
          <w:p w14:paraId="0A539799"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774 451</w:t>
            </w:r>
          </w:p>
        </w:tc>
        <w:tc>
          <w:tcPr>
            <w:tcW w:w="468" w:type="pct"/>
            <w:tcBorders>
              <w:top w:val="nil"/>
              <w:left w:val="nil"/>
              <w:bottom w:val="nil"/>
              <w:right w:val="nil"/>
            </w:tcBorders>
            <w:shd w:val="clear" w:color="auto" w:fill="auto"/>
            <w:noWrap/>
            <w:vAlign w:val="bottom"/>
            <w:hideMark/>
          </w:tcPr>
          <w:p w14:paraId="43EB75FD"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838 323</w:t>
            </w:r>
          </w:p>
        </w:tc>
        <w:tc>
          <w:tcPr>
            <w:tcW w:w="468" w:type="pct"/>
            <w:tcBorders>
              <w:top w:val="nil"/>
              <w:left w:val="nil"/>
              <w:bottom w:val="nil"/>
              <w:right w:val="nil"/>
            </w:tcBorders>
            <w:shd w:val="clear" w:color="auto" w:fill="auto"/>
            <w:noWrap/>
            <w:vAlign w:val="bottom"/>
            <w:hideMark/>
          </w:tcPr>
          <w:p w14:paraId="3B1A4799"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889 585</w:t>
            </w:r>
          </w:p>
        </w:tc>
      </w:tr>
      <w:tr w:rsidR="00D6350B" w:rsidRPr="00DD531B" w14:paraId="385AA0BE" w14:textId="77777777" w:rsidTr="005F5DA3">
        <w:trPr>
          <w:trHeight w:val="300"/>
        </w:trPr>
        <w:tc>
          <w:tcPr>
            <w:tcW w:w="1719" w:type="pct"/>
            <w:tcBorders>
              <w:top w:val="nil"/>
              <w:left w:val="nil"/>
              <w:bottom w:val="nil"/>
              <w:right w:val="nil"/>
            </w:tcBorders>
            <w:shd w:val="clear" w:color="auto" w:fill="auto"/>
            <w:noWrap/>
            <w:vAlign w:val="bottom"/>
            <w:hideMark/>
          </w:tcPr>
          <w:p w14:paraId="0BE9FF79"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640 bežné transfery</w:t>
            </w:r>
          </w:p>
        </w:tc>
        <w:tc>
          <w:tcPr>
            <w:tcW w:w="468" w:type="pct"/>
            <w:tcBorders>
              <w:top w:val="nil"/>
              <w:left w:val="nil"/>
              <w:bottom w:val="nil"/>
              <w:right w:val="nil"/>
            </w:tcBorders>
            <w:shd w:val="clear" w:color="auto" w:fill="auto"/>
            <w:noWrap/>
            <w:vAlign w:val="bottom"/>
            <w:hideMark/>
          </w:tcPr>
          <w:p w14:paraId="2AFA7B22"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165 588</w:t>
            </w:r>
          </w:p>
        </w:tc>
        <w:tc>
          <w:tcPr>
            <w:tcW w:w="470" w:type="pct"/>
            <w:tcBorders>
              <w:top w:val="nil"/>
              <w:left w:val="nil"/>
              <w:bottom w:val="nil"/>
              <w:right w:val="nil"/>
            </w:tcBorders>
            <w:shd w:val="clear" w:color="auto" w:fill="auto"/>
            <w:noWrap/>
            <w:vAlign w:val="bottom"/>
            <w:hideMark/>
          </w:tcPr>
          <w:p w14:paraId="66528757"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193 258</w:t>
            </w:r>
          </w:p>
        </w:tc>
        <w:tc>
          <w:tcPr>
            <w:tcW w:w="468" w:type="pct"/>
            <w:tcBorders>
              <w:top w:val="nil"/>
              <w:left w:val="nil"/>
              <w:bottom w:val="nil"/>
              <w:right w:val="nil"/>
            </w:tcBorders>
            <w:shd w:val="clear" w:color="auto" w:fill="auto"/>
            <w:noWrap/>
            <w:vAlign w:val="bottom"/>
            <w:hideMark/>
          </w:tcPr>
          <w:p w14:paraId="071EF318"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205 930</w:t>
            </w:r>
          </w:p>
        </w:tc>
        <w:tc>
          <w:tcPr>
            <w:tcW w:w="469" w:type="pct"/>
            <w:tcBorders>
              <w:top w:val="nil"/>
              <w:left w:val="nil"/>
              <w:bottom w:val="nil"/>
              <w:right w:val="nil"/>
            </w:tcBorders>
            <w:shd w:val="clear" w:color="auto" w:fill="auto"/>
            <w:noWrap/>
            <w:vAlign w:val="bottom"/>
            <w:hideMark/>
          </w:tcPr>
          <w:p w14:paraId="49609511"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238 964</w:t>
            </w:r>
          </w:p>
        </w:tc>
        <w:tc>
          <w:tcPr>
            <w:tcW w:w="470" w:type="pct"/>
            <w:tcBorders>
              <w:top w:val="nil"/>
              <w:left w:val="nil"/>
              <w:bottom w:val="nil"/>
              <w:right w:val="nil"/>
            </w:tcBorders>
            <w:shd w:val="clear" w:color="auto" w:fill="auto"/>
            <w:noWrap/>
            <w:vAlign w:val="bottom"/>
            <w:hideMark/>
          </w:tcPr>
          <w:p w14:paraId="1943939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224 943</w:t>
            </w:r>
          </w:p>
        </w:tc>
        <w:tc>
          <w:tcPr>
            <w:tcW w:w="468" w:type="pct"/>
            <w:tcBorders>
              <w:top w:val="nil"/>
              <w:left w:val="nil"/>
              <w:bottom w:val="nil"/>
              <w:right w:val="nil"/>
            </w:tcBorders>
            <w:shd w:val="clear" w:color="auto" w:fill="auto"/>
            <w:noWrap/>
            <w:vAlign w:val="bottom"/>
            <w:hideMark/>
          </w:tcPr>
          <w:p w14:paraId="50826066"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230 415</w:t>
            </w:r>
          </w:p>
        </w:tc>
        <w:tc>
          <w:tcPr>
            <w:tcW w:w="468" w:type="pct"/>
            <w:tcBorders>
              <w:top w:val="nil"/>
              <w:left w:val="nil"/>
              <w:bottom w:val="nil"/>
              <w:right w:val="nil"/>
            </w:tcBorders>
            <w:shd w:val="clear" w:color="auto" w:fill="auto"/>
            <w:noWrap/>
            <w:vAlign w:val="bottom"/>
            <w:hideMark/>
          </w:tcPr>
          <w:p w14:paraId="34B900A6"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239 827</w:t>
            </w:r>
          </w:p>
        </w:tc>
      </w:tr>
      <w:tr w:rsidR="00D6350B" w:rsidRPr="00DD531B" w14:paraId="6D386B93" w14:textId="77777777" w:rsidTr="005F5DA3">
        <w:trPr>
          <w:trHeight w:val="300"/>
        </w:trPr>
        <w:tc>
          <w:tcPr>
            <w:tcW w:w="1719" w:type="pct"/>
            <w:tcBorders>
              <w:top w:val="nil"/>
              <w:left w:val="nil"/>
              <w:bottom w:val="nil"/>
              <w:right w:val="nil"/>
            </w:tcBorders>
            <w:shd w:val="clear" w:color="auto" w:fill="auto"/>
            <w:noWrap/>
            <w:vAlign w:val="bottom"/>
            <w:hideMark/>
          </w:tcPr>
          <w:p w14:paraId="07D57AF5"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kapitálové výdavky 700</w:t>
            </w:r>
          </w:p>
        </w:tc>
        <w:tc>
          <w:tcPr>
            <w:tcW w:w="468" w:type="pct"/>
            <w:tcBorders>
              <w:top w:val="nil"/>
              <w:left w:val="nil"/>
              <w:bottom w:val="nil"/>
              <w:right w:val="nil"/>
            </w:tcBorders>
            <w:shd w:val="clear" w:color="auto" w:fill="auto"/>
            <w:noWrap/>
            <w:vAlign w:val="bottom"/>
            <w:hideMark/>
          </w:tcPr>
          <w:p w14:paraId="23DACBF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477 312</w:t>
            </w:r>
          </w:p>
        </w:tc>
        <w:tc>
          <w:tcPr>
            <w:tcW w:w="470" w:type="pct"/>
            <w:tcBorders>
              <w:top w:val="nil"/>
              <w:left w:val="nil"/>
              <w:bottom w:val="nil"/>
              <w:right w:val="nil"/>
            </w:tcBorders>
            <w:shd w:val="clear" w:color="auto" w:fill="auto"/>
            <w:noWrap/>
            <w:vAlign w:val="bottom"/>
            <w:hideMark/>
          </w:tcPr>
          <w:p w14:paraId="1BD09196"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371 511</w:t>
            </w:r>
          </w:p>
        </w:tc>
        <w:tc>
          <w:tcPr>
            <w:tcW w:w="468" w:type="pct"/>
            <w:tcBorders>
              <w:top w:val="nil"/>
              <w:left w:val="nil"/>
              <w:bottom w:val="nil"/>
              <w:right w:val="nil"/>
            </w:tcBorders>
            <w:shd w:val="clear" w:color="auto" w:fill="auto"/>
            <w:noWrap/>
            <w:vAlign w:val="bottom"/>
            <w:hideMark/>
          </w:tcPr>
          <w:p w14:paraId="2B6DF7D1"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319 036</w:t>
            </w:r>
          </w:p>
        </w:tc>
        <w:tc>
          <w:tcPr>
            <w:tcW w:w="469" w:type="pct"/>
            <w:tcBorders>
              <w:top w:val="nil"/>
              <w:left w:val="nil"/>
              <w:bottom w:val="nil"/>
              <w:right w:val="nil"/>
            </w:tcBorders>
            <w:shd w:val="clear" w:color="auto" w:fill="auto"/>
            <w:noWrap/>
            <w:vAlign w:val="bottom"/>
            <w:hideMark/>
          </w:tcPr>
          <w:p w14:paraId="34C8DBFA"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754 211</w:t>
            </w:r>
          </w:p>
        </w:tc>
        <w:tc>
          <w:tcPr>
            <w:tcW w:w="470" w:type="pct"/>
            <w:tcBorders>
              <w:top w:val="nil"/>
              <w:left w:val="nil"/>
              <w:bottom w:val="nil"/>
              <w:right w:val="nil"/>
            </w:tcBorders>
            <w:shd w:val="clear" w:color="auto" w:fill="auto"/>
            <w:noWrap/>
            <w:vAlign w:val="bottom"/>
            <w:hideMark/>
          </w:tcPr>
          <w:p w14:paraId="18ABD180"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919 899</w:t>
            </w:r>
          </w:p>
        </w:tc>
        <w:tc>
          <w:tcPr>
            <w:tcW w:w="468" w:type="pct"/>
            <w:tcBorders>
              <w:top w:val="nil"/>
              <w:left w:val="nil"/>
              <w:bottom w:val="nil"/>
              <w:right w:val="nil"/>
            </w:tcBorders>
            <w:shd w:val="clear" w:color="auto" w:fill="auto"/>
            <w:noWrap/>
            <w:vAlign w:val="bottom"/>
            <w:hideMark/>
          </w:tcPr>
          <w:p w14:paraId="1290E083"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1 002 882</w:t>
            </w:r>
          </w:p>
        </w:tc>
        <w:tc>
          <w:tcPr>
            <w:tcW w:w="468" w:type="pct"/>
            <w:tcBorders>
              <w:top w:val="nil"/>
              <w:left w:val="nil"/>
              <w:bottom w:val="nil"/>
              <w:right w:val="nil"/>
            </w:tcBorders>
            <w:shd w:val="clear" w:color="auto" w:fill="auto"/>
            <w:noWrap/>
            <w:vAlign w:val="bottom"/>
            <w:hideMark/>
          </w:tcPr>
          <w:p w14:paraId="5B01C03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1 091 402</w:t>
            </w:r>
          </w:p>
        </w:tc>
      </w:tr>
      <w:tr w:rsidR="00D6350B" w:rsidRPr="00DD531B" w14:paraId="5F4FD992" w14:textId="77777777" w:rsidTr="005F5DA3">
        <w:trPr>
          <w:trHeight w:val="300"/>
        </w:trPr>
        <w:tc>
          <w:tcPr>
            <w:tcW w:w="1719" w:type="pct"/>
            <w:tcBorders>
              <w:top w:val="nil"/>
              <w:left w:val="nil"/>
              <w:bottom w:val="nil"/>
              <w:right w:val="nil"/>
            </w:tcBorders>
            <w:shd w:val="clear" w:color="auto" w:fill="auto"/>
            <w:noWrap/>
            <w:vAlign w:val="bottom"/>
            <w:hideMark/>
          </w:tcPr>
          <w:p w14:paraId="2883E5EF" w14:textId="77777777" w:rsidR="00DD531B" w:rsidRPr="00D6350B" w:rsidRDefault="00DD531B" w:rsidP="00DD531B">
            <w:pPr>
              <w:spacing w:after="0" w:line="240" w:lineRule="auto"/>
              <w:rPr>
                <w:rFonts w:ascii="Times New Roman" w:eastAsia="Times New Roman" w:hAnsi="Times New Roman" w:cs="Times New Roman"/>
                <w:b/>
                <w:bCs/>
                <w:color w:val="000000"/>
                <w:sz w:val="16"/>
                <w:szCs w:val="16"/>
                <w:lang w:eastAsia="sk-SK"/>
              </w:rPr>
            </w:pPr>
            <w:r w:rsidRPr="00D6350B">
              <w:rPr>
                <w:rFonts w:ascii="Times New Roman" w:eastAsia="Times New Roman" w:hAnsi="Times New Roman" w:cs="Times New Roman"/>
                <w:b/>
                <w:bCs/>
                <w:color w:val="000000"/>
                <w:sz w:val="16"/>
                <w:szCs w:val="16"/>
                <w:lang w:eastAsia="sk-SK"/>
              </w:rPr>
              <w:t>zdroj EÚ vrátane spolufinancovania zo ŠR, v tom:</w:t>
            </w:r>
          </w:p>
        </w:tc>
        <w:tc>
          <w:tcPr>
            <w:tcW w:w="468" w:type="pct"/>
            <w:tcBorders>
              <w:top w:val="nil"/>
              <w:left w:val="nil"/>
              <w:bottom w:val="nil"/>
              <w:right w:val="nil"/>
            </w:tcBorders>
            <w:shd w:val="clear" w:color="auto" w:fill="auto"/>
            <w:noWrap/>
            <w:vAlign w:val="bottom"/>
            <w:hideMark/>
          </w:tcPr>
          <w:p w14:paraId="6718BB4B"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492</w:t>
            </w:r>
          </w:p>
        </w:tc>
        <w:tc>
          <w:tcPr>
            <w:tcW w:w="470" w:type="pct"/>
            <w:tcBorders>
              <w:top w:val="nil"/>
              <w:left w:val="nil"/>
              <w:bottom w:val="nil"/>
              <w:right w:val="nil"/>
            </w:tcBorders>
            <w:shd w:val="clear" w:color="auto" w:fill="auto"/>
            <w:noWrap/>
            <w:vAlign w:val="bottom"/>
            <w:hideMark/>
          </w:tcPr>
          <w:p w14:paraId="3AD6124D"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574</w:t>
            </w:r>
          </w:p>
        </w:tc>
        <w:tc>
          <w:tcPr>
            <w:tcW w:w="468" w:type="pct"/>
            <w:tcBorders>
              <w:top w:val="nil"/>
              <w:left w:val="nil"/>
              <w:bottom w:val="nil"/>
              <w:right w:val="nil"/>
            </w:tcBorders>
            <w:shd w:val="clear" w:color="auto" w:fill="auto"/>
            <w:noWrap/>
            <w:vAlign w:val="bottom"/>
            <w:hideMark/>
          </w:tcPr>
          <w:p w14:paraId="4188D696"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0</w:t>
            </w:r>
          </w:p>
        </w:tc>
        <w:tc>
          <w:tcPr>
            <w:tcW w:w="469" w:type="pct"/>
            <w:tcBorders>
              <w:top w:val="nil"/>
              <w:left w:val="nil"/>
              <w:bottom w:val="nil"/>
              <w:right w:val="nil"/>
            </w:tcBorders>
            <w:shd w:val="clear" w:color="auto" w:fill="auto"/>
            <w:noWrap/>
            <w:vAlign w:val="bottom"/>
            <w:hideMark/>
          </w:tcPr>
          <w:p w14:paraId="399CFE53"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4 248</w:t>
            </w:r>
          </w:p>
        </w:tc>
        <w:tc>
          <w:tcPr>
            <w:tcW w:w="470" w:type="pct"/>
            <w:tcBorders>
              <w:top w:val="nil"/>
              <w:left w:val="nil"/>
              <w:bottom w:val="nil"/>
              <w:right w:val="nil"/>
            </w:tcBorders>
            <w:shd w:val="clear" w:color="auto" w:fill="auto"/>
            <w:noWrap/>
            <w:vAlign w:val="bottom"/>
            <w:hideMark/>
          </w:tcPr>
          <w:p w14:paraId="56D59B14"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0</w:t>
            </w:r>
          </w:p>
        </w:tc>
        <w:tc>
          <w:tcPr>
            <w:tcW w:w="468" w:type="pct"/>
            <w:tcBorders>
              <w:top w:val="nil"/>
              <w:left w:val="nil"/>
              <w:bottom w:val="nil"/>
              <w:right w:val="nil"/>
            </w:tcBorders>
            <w:shd w:val="clear" w:color="auto" w:fill="auto"/>
            <w:noWrap/>
            <w:vAlign w:val="bottom"/>
            <w:hideMark/>
          </w:tcPr>
          <w:p w14:paraId="5BAB41CE"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0</w:t>
            </w:r>
          </w:p>
        </w:tc>
        <w:tc>
          <w:tcPr>
            <w:tcW w:w="468" w:type="pct"/>
            <w:tcBorders>
              <w:top w:val="nil"/>
              <w:left w:val="nil"/>
              <w:bottom w:val="nil"/>
              <w:right w:val="nil"/>
            </w:tcBorders>
            <w:shd w:val="clear" w:color="auto" w:fill="auto"/>
            <w:noWrap/>
            <w:vAlign w:val="bottom"/>
            <w:hideMark/>
          </w:tcPr>
          <w:p w14:paraId="5408591F"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0</w:t>
            </w:r>
          </w:p>
        </w:tc>
      </w:tr>
      <w:tr w:rsidR="00D6350B" w:rsidRPr="00DD531B" w14:paraId="559FF45A" w14:textId="77777777" w:rsidTr="005F5DA3">
        <w:trPr>
          <w:trHeight w:val="300"/>
        </w:trPr>
        <w:tc>
          <w:tcPr>
            <w:tcW w:w="1719" w:type="pct"/>
            <w:tcBorders>
              <w:top w:val="nil"/>
              <w:left w:val="nil"/>
              <w:bottom w:val="nil"/>
              <w:right w:val="nil"/>
            </w:tcBorders>
            <w:shd w:val="clear" w:color="auto" w:fill="auto"/>
            <w:noWrap/>
            <w:vAlign w:val="bottom"/>
            <w:hideMark/>
          </w:tcPr>
          <w:p w14:paraId="155A91AE"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prostriedky EÚ</w:t>
            </w:r>
          </w:p>
        </w:tc>
        <w:tc>
          <w:tcPr>
            <w:tcW w:w="468" w:type="pct"/>
            <w:tcBorders>
              <w:top w:val="nil"/>
              <w:left w:val="nil"/>
              <w:bottom w:val="nil"/>
              <w:right w:val="nil"/>
            </w:tcBorders>
            <w:shd w:val="clear" w:color="auto" w:fill="auto"/>
            <w:noWrap/>
            <w:vAlign w:val="bottom"/>
            <w:hideMark/>
          </w:tcPr>
          <w:p w14:paraId="4E93794E"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443</w:t>
            </w:r>
          </w:p>
        </w:tc>
        <w:tc>
          <w:tcPr>
            <w:tcW w:w="470" w:type="pct"/>
            <w:tcBorders>
              <w:top w:val="nil"/>
              <w:left w:val="nil"/>
              <w:bottom w:val="nil"/>
              <w:right w:val="nil"/>
            </w:tcBorders>
            <w:shd w:val="clear" w:color="auto" w:fill="auto"/>
            <w:noWrap/>
            <w:vAlign w:val="bottom"/>
            <w:hideMark/>
          </w:tcPr>
          <w:p w14:paraId="0AA18EEA"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488</w:t>
            </w:r>
          </w:p>
        </w:tc>
        <w:tc>
          <w:tcPr>
            <w:tcW w:w="468" w:type="pct"/>
            <w:tcBorders>
              <w:top w:val="nil"/>
              <w:left w:val="nil"/>
              <w:bottom w:val="nil"/>
              <w:right w:val="nil"/>
            </w:tcBorders>
            <w:shd w:val="clear" w:color="auto" w:fill="auto"/>
            <w:noWrap/>
            <w:vAlign w:val="bottom"/>
            <w:hideMark/>
          </w:tcPr>
          <w:p w14:paraId="72F457DC"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69" w:type="pct"/>
            <w:tcBorders>
              <w:top w:val="nil"/>
              <w:left w:val="nil"/>
              <w:bottom w:val="nil"/>
              <w:right w:val="nil"/>
            </w:tcBorders>
            <w:shd w:val="clear" w:color="auto" w:fill="auto"/>
            <w:noWrap/>
            <w:vAlign w:val="bottom"/>
            <w:hideMark/>
          </w:tcPr>
          <w:p w14:paraId="22DB7D3F"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3 282</w:t>
            </w:r>
          </w:p>
        </w:tc>
        <w:tc>
          <w:tcPr>
            <w:tcW w:w="470" w:type="pct"/>
            <w:tcBorders>
              <w:top w:val="nil"/>
              <w:left w:val="nil"/>
              <w:bottom w:val="nil"/>
              <w:right w:val="nil"/>
            </w:tcBorders>
            <w:shd w:val="clear" w:color="auto" w:fill="auto"/>
            <w:noWrap/>
            <w:vAlign w:val="bottom"/>
            <w:hideMark/>
          </w:tcPr>
          <w:p w14:paraId="5960AA22"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6C6BC8C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7E0309E8"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r>
      <w:tr w:rsidR="00D6350B" w:rsidRPr="00DD531B" w14:paraId="49B7F830" w14:textId="77777777" w:rsidTr="005F5DA3">
        <w:trPr>
          <w:trHeight w:val="300"/>
        </w:trPr>
        <w:tc>
          <w:tcPr>
            <w:tcW w:w="1719" w:type="pct"/>
            <w:tcBorders>
              <w:top w:val="nil"/>
              <w:left w:val="nil"/>
              <w:bottom w:val="nil"/>
              <w:right w:val="nil"/>
            </w:tcBorders>
            <w:shd w:val="clear" w:color="auto" w:fill="auto"/>
            <w:noWrap/>
            <w:vAlign w:val="bottom"/>
            <w:hideMark/>
          </w:tcPr>
          <w:p w14:paraId="746E1043"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spolufinancovanie zo ŠR</w:t>
            </w:r>
          </w:p>
        </w:tc>
        <w:tc>
          <w:tcPr>
            <w:tcW w:w="468" w:type="pct"/>
            <w:tcBorders>
              <w:top w:val="nil"/>
              <w:left w:val="nil"/>
              <w:bottom w:val="nil"/>
              <w:right w:val="nil"/>
            </w:tcBorders>
            <w:shd w:val="clear" w:color="auto" w:fill="auto"/>
            <w:noWrap/>
            <w:vAlign w:val="bottom"/>
            <w:hideMark/>
          </w:tcPr>
          <w:p w14:paraId="3D72C5F0"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50</w:t>
            </w:r>
          </w:p>
        </w:tc>
        <w:tc>
          <w:tcPr>
            <w:tcW w:w="470" w:type="pct"/>
            <w:tcBorders>
              <w:top w:val="nil"/>
              <w:left w:val="nil"/>
              <w:bottom w:val="nil"/>
              <w:right w:val="nil"/>
            </w:tcBorders>
            <w:shd w:val="clear" w:color="auto" w:fill="auto"/>
            <w:noWrap/>
            <w:vAlign w:val="bottom"/>
            <w:hideMark/>
          </w:tcPr>
          <w:p w14:paraId="77205BB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86</w:t>
            </w:r>
          </w:p>
        </w:tc>
        <w:tc>
          <w:tcPr>
            <w:tcW w:w="468" w:type="pct"/>
            <w:tcBorders>
              <w:top w:val="nil"/>
              <w:left w:val="nil"/>
              <w:bottom w:val="nil"/>
              <w:right w:val="nil"/>
            </w:tcBorders>
            <w:shd w:val="clear" w:color="auto" w:fill="auto"/>
            <w:noWrap/>
            <w:vAlign w:val="bottom"/>
            <w:hideMark/>
          </w:tcPr>
          <w:p w14:paraId="2F6C0314"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69" w:type="pct"/>
            <w:tcBorders>
              <w:top w:val="nil"/>
              <w:left w:val="nil"/>
              <w:bottom w:val="nil"/>
              <w:right w:val="nil"/>
            </w:tcBorders>
            <w:shd w:val="clear" w:color="auto" w:fill="auto"/>
            <w:noWrap/>
            <w:vAlign w:val="bottom"/>
            <w:hideMark/>
          </w:tcPr>
          <w:p w14:paraId="5DBEF0B4"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965</w:t>
            </w:r>
          </w:p>
        </w:tc>
        <w:tc>
          <w:tcPr>
            <w:tcW w:w="470" w:type="pct"/>
            <w:tcBorders>
              <w:top w:val="nil"/>
              <w:left w:val="nil"/>
              <w:bottom w:val="nil"/>
              <w:right w:val="nil"/>
            </w:tcBorders>
            <w:shd w:val="clear" w:color="auto" w:fill="auto"/>
            <w:noWrap/>
            <w:vAlign w:val="bottom"/>
            <w:hideMark/>
          </w:tcPr>
          <w:p w14:paraId="01250C73"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055B5034"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1B2085C1"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r>
      <w:tr w:rsidR="00D6350B" w:rsidRPr="00DD531B" w14:paraId="7B15B911" w14:textId="77777777" w:rsidTr="005F5DA3">
        <w:trPr>
          <w:trHeight w:val="300"/>
        </w:trPr>
        <w:tc>
          <w:tcPr>
            <w:tcW w:w="1719" w:type="pct"/>
            <w:tcBorders>
              <w:top w:val="nil"/>
              <w:left w:val="nil"/>
              <w:bottom w:val="nil"/>
              <w:right w:val="nil"/>
            </w:tcBorders>
            <w:shd w:val="clear" w:color="auto" w:fill="auto"/>
            <w:noWrap/>
            <w:vAlign w:val="bottom"/>
            <w:hideMark/>
          </w:tcPr>
          <w:p w14:paraId="31B93765" w14:textId="77777777" w:rsidR="00DD531B" w:rsidRPr="00D6350B" w:rsidRDefault="00DD531B" w:rsidP="00DD531B">
            <w:pPr>
              <w:spacing w:after="0" w:line="240" w:lineRule="auto"/>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presun z minulých rokov § 8, v tom:</w:t>
            </w:r>
          </w:p>
        </w:tc>
        <w:tc>
          <w:tcPr>
            <w:tcW w:w="468" w:type="pct"/>
            <w:tcBorders>
              <w:top w:val="nil"/>
              <w:left w:val="nil"/>
              <w:bottom w:val="nil"/>
              <w:right w:val="nil"/>
            </w:tcBorders>
            <w:shd w:val="clear" w:color="auto" w:fill="auto"/>
            <w:noWrap/>
            <w:vAlign w:val="bottom"/>
            <w:hideMark/>
          </w:tcPr>
          <w:p w14:paraId="298EF9B4"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63 466</w:t>
            </w:r>
          </w:p>
        </w:tc>
        <w:tc>
          <w:tcPr>
            <w:tcW w:w="470" w:type="pct"/>
            <w:tcBorders>
              <w:top w:val="nil"/>
              <w:left w:val="nil"/>
              <w:bottom w:val="nil"/>
              <w:right w:val="nil"/>
            </w:tcBorders>
            <w:shd w:val="clear" w:color="auto" w:fill="auto"/>
            <w:noWrap/>
            <w:vAlign w:val="bottom"/>
            <w:hideMark/>
          </w:tcPr>
          <w:p w14:paraId="6D0E4A53"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406 328</w:t>
            </w:r>
          </w:p>
        </w:tc>
        <w:tc>
          <w:tcPr>
            <w:tcW w:w="468" w:type="pct"/>
            <w:tcBorders>
              <w:top w:val="nil"/>
              <w:left w:val="nil"/>
              <w:bottom w:val="nil"/>
              <w:right w:val="nil"/>
            </w:tcBorders>
            <w:shd w:val="clear" w:color="auto" w:fill="auto"/>
            <w:noWrap/>
            <w:vAlign w:val="bottom"/>
            <w:hideMark/>
          </w:tcPr>
          <w:p w14:paraId="58464D7C"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0</w:t>
            </w:r>
          </w:p>
        </w:tc>
        <w:tc>
          <w:tcPr>
            <w:tcW w:w="469" w:type="pct"/>
            <w:tcBorders>
              <w:top w:val="nil"/>
              <w:left w:val="nil"/>
              <w:bottom w:val="nil"/>
              <w:right w:val="nil"/>
            </w:tcBorders>
            <w:shd w:val="clear" w:color="auto" w:fill="auto"/>
            <w:noWrap/>
            <w:vAlign w:val="bottom"/>
            <w:hideMark/>
          </w:tcPr>
          <w:p w14:paraId="1C17674A"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29 048</w:t>
            </w:r>
          </w:p>
        </w:tc>
        <w:tc>
          <w:tcPr>
            <w:tcW w:w="470" w:type="pct"/>
            <w:tcBorders>
              <w:top w:val="nil"/>
              <w:left w:val="nil"/>
              <w:bottom w:val="nil"/>
              <w:right w:val="nil"/>
            </w:tcBorders>
            <w:shd w:val="clear" w:color="auto" w:fill="auto"/>
            <w:noWrap/>
            <w:vAlign w:val="bottom"/>
            <w:hideMark/>
          </w:tcPr>
          <w:p w14:paraId="48E2422C"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0</w:t>
            </w:r>
          </w:p>
        </w:tc>
        <w:tc>
          <w:tcPr>
            <w:tcW w:w="468" w:type="pct"/>
            <w:tcBorders>
              <w:top w:val="nil"/>
              <w:left w:val="nil"/>
              <w:bottom w:val="nil"/>
              <w:right w:val="nil"/>
            </w:tcBorders>
            <w:shd w:val="clear" w:color="auto" w:fill="auto"/>
            <w:noWrap/>
            <w:vAlign w:val="bottom"/>
            <w:hideMark/>
          </w:tcPr>
          <w:p w14:paraId="2B1165FB"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0</w:t>
            </w:r>
          </w:p>
        </w:tc>
        <w:tc>
          <w:tcPr>
            <w:tcW w:w="468" w:type="pct"/>
            <w:tcBorders>
              <w:top w:val="nil"/>
              <w:left w:val="nil"/>
              <w:bottom w:val="nil"/>
              <w:right w:val="nil"/>
            </w:tcBorders>
            <w:shd w:val="clear" w:color="auto" w:fill="auto"/>
            <w:noWrap/>
            <w:vAlign w:val="bottom"/>
            <w:hideMark/>
          </w:tcPr>
          <w:p w14:paraId="55821969"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0</w:t>
            </w:r>
          </w:p>
        </w:tc>
      </w:tr>
      <w:tr w:rsidR="00D6350B" w:rsidRPr="00DD531B" w14:paraId="53627AC2" w14:textId="77777777" w:rsidTr="005F5DA3">
        <w:trPr>
          <w:trHeight w:val="300"/>
        </w:trPr>
        <w:tc>
          <w:tcPr>
            <w:tcW w:w="1719" w:type="pct"/>
            <w:tcBorders>
              <w:top w:val="nil"/>
              <w:left w:val="nil"/>
              <w:bottom w:val="nil"/>
              <w:right w:val="nil"/>
            </w:tcBorders>
            <w:shd w:val="clear" w:color="auto" w:fill="auto"/>
            <w:noWrap/>
            <w:vAlign w:val="bottom"/>
            <w:hideMark/>
          </w:tcPr>
          <w:p w14:paraId="0B69BEE9"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štátny rozpočet</w:t>
            </w:r>
          </w:p>
        </w:tc>
        <w:tc>
          <w:tcPr>
            <w:tcW w:w="468" w:type="pct"/>
            <w:tcBorders>
              <w:top w:val="nil"/>
              <w:left w:val="nil"/>
              <w:bottom w:val="nil"/>
              <w:right w:val="nil"/>
            </w:tcBorders>
            <w:shd w:val="clear" w:color="auto" w:fill="auto"/>
            <w:noWrap/>
            <w:vAlign w:val="bottom"/>
            <w:hideMark/>
          </w:tcPr>
          <w:p w14:paraId="72CD9C53"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62 180</w:t>
            </w:r>
          </w:p>
        </w:tc>
        <w:tc>
          <w:tcPr>
            <w:tcW w:w="470" w:type="pct"/>
            <w:tcBorders>
              <w:top w:val="nil"/>
              <w:left w:val="nil"/>
              <w:bottom w:val="nil"/>
              <w:right w:val="nil"/>
            </w:tcBorders>
            <w:shd w:val="clear" w:color="auto" w:fill="auto"/>
            <w:noWrap/>
            <w:vAlign w:val="bottom"/>
            <w:hideMark/>
          </w:tcPr>
          <w:p w14:paraId="54F31862"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404 445</w:t>
            </w:r>
          </w:p>
        </w:tc>
        <w:tc>
          <w:tcPr>
            <w:tcW w:w="468" w:type="pct"/>
            <w:tcBorders>
              <w:top w:val="nil"/>
              <w:left w:val="nil"/>
              <w:bottom w:val="nil"/>
              <w:right w:val="nil"/>
            </w:tcBorders>
            <w:shd w:val="clear" w:color="auto" w:fill="auto"/>
            <w:noWrap/>
            <w:vAlign w:val="bottom"/>
            <w:hideMark/>
          </w:tcPr>
          <w:p w14:paraId="0CFB47BD"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69" w:type="pct"/>
            <w:tcBorders>
              <w:top w:val="nil"/>
              <w:left w:val="nil"/>
              <w:bottom w:val="nil"/>
              <w:right w:val="nil"/>
            </w:tcBorders>
            <w:shd w:val="clear" w:color="auto" w:fill="auto"/>
            <w:noWrap/>
            <w:vAlign w:val="bottom"/>
            <w:hideMark/>
          </w:tcPr>
          <w:p w14:paraId="1EFBD2DD"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26 207</w:t>
            </w:r>
          </w:p>
        </w:tc>
        <w:tc>
          <w:tcPr>
            <w:tcW w:w="470" w:type="pct"/>
            <w:tcBorders>
              <w:top w:val="nil"/>
              <w:left w:val="nil"/>
              <w:bottom w:val="nil"/>
              <w:right w:val="nil"/>
            </w:tcBorders>
            <w:shd w:val="clear" w:color="auto" w:fill="auto"/>
            <w:noWrap/>
            <w:vAlign w:val="bottom"/>
            <w:hideMark/>
          </w:tcPr>
          <w:p w14:paraId="3DD51A6A"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33631BD7"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7C2FDDF2"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r>
      <w:tr w:rsidR="00D6350B" w:rsidRPr="00DD531B" w14:paraId="5D302771" w14:textId="77777777" w:rsidTr="005F5DA3">
        <w:trPr>
          <w:trHeight w:val="300"/>
        </w:trPr>
        <w:tc>
          <w:tcPr>
            <w:tcW w:w="1719" w:type="pct"/>
            <w:tcBorders>
              <w:top w:val="nil"/>
              <w:left w:val="nil"/>
              <w:bottom w:val="nil"/>
              <w:right w:val="nil"/>
            </w:tcBorders>
            <w:shd w:val="clear" w:color="auto" w:fill="auto"/>
            <w:noWrap/>
            <w:vAlign w:val="bottom"/>
            <w:hideMark/>
          </w:tcPr>
          <w:p w14:paraId="040C4969"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prostriedky EÚ a spolufinancovanie zo ŠR</w:t>
            </w:r>
          </w:p>
        </w:tc>
        <w:tc>
          <w:tcPr>
            <w:tcW w:w="468" w:type="pct"/>
            <w:tcBorders>
              <w:top w:val="nil"/>
              <w:left w:val="nil"/>
              <w:bottom w:val="nil"/>
              <w:right w:val="nil"/>
            </w:tcBorders>
            <w:shd w:val="clear" w:color="auto" w:fill="auto"/>
            <w:noWrap/>
            <w:vAlign w:val="bottom"/>
            <w:hideMark/>
          </w:tcPr>
          <w:p w14:paraId="6668E7F5"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1 286</w:t>
            </w:r>
          </w:p>
        </w:tc>
        <w:tc>
          <w:tcPr>
            <w:tcW w:w="470" w:type="pct"/>
            <w:tcBorders>
              <w:top w:val="nil"/>
              <w:left w:val="nil"/>
              <w:bottom w:val="nil"/>
              <w:right w:val="nil"/>
            </w:tcBorders>
            <w:shd w:val="clear" w:color="auto" w:fill="auto"/>
            <w:noWrap/>
            <w:vAlign w:val="bottom"/>
            <w:hideMark/>
          </w:tcPr>
          <w:p w14:paraId="61977F4A"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1 883</w:t>
            </w:r>
          </w:p>
        </w:tc>
        <w:tc>
          <w:tcPr>
            <w:tcW w:w="468" w:type="pct"/>
            <w:tcBorders>
              <w:top w:val="nil"/>
              <w:left w:val="nil"/>
              <w:bottom w:val="nil"/>
              <w:right w:val="nil"/>
            </w:tcBorders>
            <w:shd w:val="clear" w:color="auto" w:fill="auto"/>
            <w:noWrap/>
            <w:vAlign w:val="bottom"/>
            <w:hideMark/>
          </w:tcPr>
          <w:p w14:paraId="0BFB1932"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69" w:type="pct"/>
            <w:tcBorders>
              <w:top w:val="nil"/>
              <w:left w:val="nil"/>
              <w:bottom w:val="nil"/>
              <w:right w:val="nil"/>
            </w:tcBorders>
            <w:shd w:val="clear" w:color="auto" w:fill="auto"/>
            <w:noWrap/>
            <w:vAlign w:val="bottom"/>
            <w:hideMark/>
          </w:tcPr>
          <w:p w14:paraId="3B024870"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2 827</w:t>
            </w:r>
          </w:p>
        </w:tc>
        <w:tc>
          <w:tcPr>
            <w:tcW w:w="470" w:type="pct"/>
            <w:tcBorders>
              <w:top w:val="nil"/>
              <w:left w:val="nil"/>
              <w:bottom w:val="nil"/>
              <w:right w:val="nil"/>
            </w:tcBorders>
            <w:shd w:val="clear" w:color="auto" w:fill="auto"/>
            <w:noWrap/>
            <w:vAlign w:val="bottom"/>
            <w:hideMark/>
          </w:tcPr>
          <w:p w14:paraId="61A1D025"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17BB0505"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7CBC41A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r>
      <w:tr w:rsidR="00D6350B" w:rsidRPr="00DD531B" w14:paraId="208E392F" w14:textId="77777777" w:rsidTr="005F5DA3">
        <w:trPr>
          <w:trHeight w:val="300"/>
        </w:trPr>
        <w:tc>
          <w:tcPr>
            <w:tcW w:w="1719" w:type="pct"/>
            <w:tcBorders>
              <w:top w:val="nil"/>
              <w:left w:val="nil"/>
              <w:bottom w:val="nil"/>
              <w:right w:val="nil"/>
            </w:tcBorders>
            <w:shd w:val="clear" w:color="auto" w:fill="auto"/>
            <w:noWrap/>
            <w:vAlign w:val="bottom"/>
            <w:hideMark/>
          </w:tcPr>
          <w:p w14:paraId="1B6610AA" w14:textId="77777777" w:rsidR="00DD531B" w:rsidRPr="00D6350B" w:rsidRDefault="00DD531B" w:rsidP="00DD531B">
            <w:pPr>
              <w:spacing w:after="0" w:line="240" w:lineRule="auto"/>
              <w:rPr>
                <w:rFonts w:ascii="Times New Roman" w:eastAsia="Times New Roman" w:hAnsi="Times New Roman" w:cs="Times New Roman"/>
                <w:color w:val="000000"/>
                <w:sz w:val="16"/>
                <w:szCs w:val="16"/>
                <w:lang w:eastAsia="sk-SK"/>
              </w:rPr>
            </w:pPr>
            <w:r w:rsidRPr="00D6350B">
              <w:rPr>
                <w:rFonts w:ascii="Times New Roman" w:eastAsia="Times New Roman" w:hAnsi="Times New Roman" w:cs="Times New Roman"/>
                <w:color w:val="000000"/>
                <w:sz w:val="16"/>
                <w:szCs w:val="16"/>
                <w:lang w:eastAsia="sk-SK"/>
              </w:rPr>
              <w:t>prostriedky POO a DPH k POO</w:t>
            </w:r>
          </w:p>
        </w:tc>
        <w:tc>
          <w:tcPr>
            <w:tcW w:w="468" w:type="pct"/>
            <w:tcBorders>
              <w:top w:val="nil"/>
              <w:left w:val="nil"/>
              <w:bottom w:val="nil"/>
              <w:right w:val="nil"/>
            </w:tcBorders>
            <w:shd w:val="clear" w:color="auto" w:fill="auto"/>
            <w:noWrap/>
            <w:vAlign w:val="bottom"/>
            <w:hideMark/>
          </w:tcPr>
          <w:p w14:paraId="359A11D7"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70" w:type="pct"/>
            <w:tcBorders>
              <w:top w:val="nil"/>
              <w:left w:val="nil"/>
              <w:bottom w:val="nil"/>
              <w:right w:val="nil"/>
            </w:tcBorders>
            <w:shd w:val="clear" w:color="auto" w:fill="auto"/>
            <w:noWrap/>
            <w:vAlign w:val="bottom"/>
            <w:hideMark/>
          </w:tcPr>
          <w:p w14:paraId="72AB34E7"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2D196CEB"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69" w:type="pct"/>
            <w:tcBorders>
              <w:top w:val="nil"/>
              <w:left w:val="nil"/>
              <w:bottom w:val="nil"/>
              <w:right w:val="nil"/>
            </w:tcBorders>
            <w:shd w:val="clear" w:color="auto" w:fill="auto"/>
            <w:noWrap/>
            <w:vAlign w:val="bottom"/>
            <w:hideMark/>
          </w:tcPr>
          <w:p w14:paraId="43743588"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14</w:t>
            </w:r>
          </w:p>
        </w:tc>
        <w:tc>
          <w:tcPr>
            <w:tcW w:w="470" w:type="pct"/>
            <w:tcBorders>
              <w:top w:val="nil"/>
              <w:left w:val="nil"/>
              <w:bottom w:val="nil"/>
              <w:right w:val="nil"/>
            </w:tcBorders>
            <w:shd w:val="clear" w:color="auto" w:fill="auto"/>
            <w:noWrap/>
            <w:vAlign w:val="bottom"/>
            <w:hideMark/>
          </w:tcPr>
          <w:p w14:paraId="5C368B28"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338554D3"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1D13ED95" w14:textId="77777777" w:rsidR="00DD531B" w:rsidRPr="00D6350B" w:rsidRDefault="00DD531B" w:rsidP="00DD531B">
            <w:pPr>
              <w:spacing w:after="0" w:line="240" w:lineRule="auto"/>
              <w:jc w:val="right"/>
              <w:rPr>
                <w:rFonts w:ascii="Times New Roman" w:eastAsia="Times New Roman" w:hAnsi="Times New Roman" w:cs="Times New Roman"/>
                <w:sz w:val="16"/>
                <w:szCs w:val="16"/>
                <w:lang w:eastAsia="sk-SK"/>
              </w:rPr>
            </w:pPr>
            <w:r w:rsidRPr="00D6350B">
              <w:rPr>
                <w:rFonts w:ascii="Times New Roman" w:eastAsia="Times New Roman" w:hAnsi="Times New Roman" w:cs="Times New Roman"/>
                <w:sz w:val="16"/>
                <w:szCs w:val="16"/>
                <w:lang w:eastAsia="sk-SK"/>
              </w:rPr>
              <w:t>0</w:t>
            </w:r>
          </w:p>
        </w:tc>
      </w:tr>
      <w:tr w:rsidR="00D6350B" w:rsidRPr="00DD531B" w14:paraId="4667444B" w14:textId="77777777" w:rsidTr="005F5DA3">
        <w:trPr>
          <w:trHeight w:val="300"/>
        </w:trPr>
        <w:tc>
          <w:tcPr>
            <w:tcW w:w="1719" w:type="pct"/>
            <w:tcBorders>
              <w:top w:val="nil"/>
              <w:left w:val="nil"/>
              <w:bottom w:val="single" w:sz="4" w:space="0" w:color="auto"/>
              <w:right w:val="nil"/>
            </w:tcBorders>
            <w:shd w:val="clear" w:color="auto" w:fill="auto"/>
            <w:noWrap/>
            <w:vAlign w:val="bottom"/>
            <w:hideMark/>
          </w:tcPr>
          <w:p w14:paraId="0B348191" w14:textId="77777777" w:rsidR="00DD531B" w:rsidRPr="00D6350B" w:rsidRDefault="00DD531B" w:rsidP="00DD531B">
            <w:pPr>
              <w:spacing w:after="0" w:line="240" w:lineRule="auto"/>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prostriedky podľa § 17 ods. 4 a § 22 ods. 4 zákona č. 523/2004 Z. z.</w:t>
            </w:r>
          </w:p>
        </w:tc>
        <w:tc>
          <w:tcPr>
            <w:tcW w:w="468" w:type="pct"/>
            <w:tcBorders>
              <w:top w:val="nil"/>
              <w:left w:val="nil"/>
              <w:bottom w:val="single" w:sz="4" w:space="0" w:color="auto"/>
              <w:right w:val="nil"/>
            </w:tcBorders>
            <w:shd w:val="clear" w:color="auto" w:fill="auto"/>
            <w:noWrap/>
            <w:vAlign w:val="bottom"/>
            <w:hideMark/>
          </w:tcPr>
          <w:p w14:paraId="785B41B5"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39</w:t>
            </w:r>
          </w:p>
        </w:tc>
        <w:tc>
          <w:tcPr>
            <w:tcW w:w="470" w:type="pct"/>
            <w:tcBorders>
              <w:top w:val="nil"/>
              <w:left w:val="nil"/>
              <w:bottom w:val="single" w:sz="4" w:space="0" w:color="auto"/>
              <w:right w:val="nil"/>
            </w:tcBorders>
            <w:shd w:val="clear" w:color="auto" w:fill="auto"/>
            <w:noWrap/>
            <w:vAlign w:val="bottom"/>
            <w:hideMark/>
          </w:tcPr>
          <w:p w14:paraId="5FF4B922"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49</w:t>
            </w:r>
          </w:p>
        </w:tc>
        <w:tc>
          <w:tcPr>
            <w:tcW w:w="468" w:type="pct"/>
            <w:tcBorders>
              <w:top w:val="nil"/>
              <w:left w:val="nil"/>
              <w:bottom w:val="single" w:sz="4" w:space="0" w:color="auto"/>
              <w:right w:val="nil"/>
            </w:tcBorders>
            <w:shd w:val="clear" w:color="auto" w:fill="auto"/>
            <w:noWrap/>
            <w:vAlign w:val="bottom"/>
            <w:hideMark/>
          </w:tcPr>
          <w:p w14:paraId="4A6F3B45"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47</w:t>
            </w:r>
          </w:p>
        </w:tc>
        <w:tc>
          <w:tcPr>
            <w:tcW w:w="469" w:type="pct"/>
            <w:tcBorders>
              <w:top w:val="nil"/>
              <w:left w:val="nil"/>
              <w:bottom w:val="single" w:sz="4" w:space="0" w:color="auto"/>
              <w:right w:val="nil"/>
            </w:tcBorders>
            <w:shd w:val="clear" w:color="auto" w:fill="auto"/>
            <w:noWrap/>
            <w:vAlign w:val="bottom"/>
            <w:hideMark/>
          </w:tcPr>
          <w:p w14:paraId="2841B1D1"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58</w:t>
            </w:r>
          </w:p>
        </w:tc>
        <w:tc>
          <w:tcPr>
            <w:tcW w:w="470" w:type="pct"/>
            <w:tcBorders>
              <w:top w:val="nil"/>
              <w:left w:val="nil"/>
              <w:bottom w:val="single" w:sz="4" w:space="0" w:color="auto"/>
              <w:right w:val="nil"/>
            </w:tcBorders>
            <w:shd w:val="clear" w:color="auto" w:fill="auto"/>
            <w:noWrap/>
            <w:vAlign w:val="bottom"/>
            <w:hideMark/>
          </w:tcPr>
          <w:p w14:paraId="7B4F5A0A"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47</w:t>
            </w:r>
          </w:p>
        </w:tc>
        <w:tc>
          <w:tcPr>
            <w:tcW w:w="468" w:type="pct"/>
            <w:tcBorders>
              <w:top w:val="nil"/>
              <w:left w:val="nil"/>
              <w:bottom w:val="single" w:sz="4" w:space="0" w:color="auto"/>
              <w:right w:val="nil"/>
            </w:tcBorders>
            <w:shd w:val="clear" w:color="auto" w:fill="auto"/>
            <w:noWrap/>
            <w:vAlign w:val="bottom"/>
            <w:hideMark/>
          </w:tcPr>
          <w:p w14:paraId="2E3E3DE6"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47</w:t>
            </w:r>
          </w:p>
        </w:tc>
        <w:tc>
          <w:tcPr>
            <w:tcW w:w="468" w:type="pct"/>
            <w:tcBorders>
              <w:top w:val="nil"/>
              <w:left w:val="nil"/>
              <w:bottom w:val="single" w:sz="4" w:space="0" w:color="auto"/>
              <w:right w:val="nil"/>
            </w:tcBorders>
            <w:shd w:val="clear" w:color="auto" w:fill="auto"/>
            <w:noWrap/>
            <w:vAlign w:val="bottom"/>
            <w:hideMark/>
          </w:tcPr>
          <w:p w14:paraId="24D97B98" w14:textId="77777777" w:rsidR="00DD531B" w:rsidRPr="00D6350B" w:rsidRDefault="00DD531B" w:rsidP="00DD531B">
            <w:pPr>
              <w:spacing w:after="0" w:line="240" w:lineRule="auto"/>
              <w:jc w:val="right"/>
              <w:rPr>
                <w:rFonts w:ascii="Times New Roman" w:eastAsia="Times New Roman" w:hAnsi="Times New Roman" w:cs="Times New Roman"/>
                <w:b/>
                <w:bCs/>
                <w:sz w:val="16"/>
                <w:szCs w:val="16"/>
                <w:lang w:eastAsia="sk-SK"/>
              </w:rPr>
            </w:pPr>
            <w:r w:rsidRPr="00D6350B">
              <w:rPr>
                <w:rFonts w:ascii="Times New Roman" w:eastAsia="Times New Roman" w:hAnsi="Times New Roman" w:cs="Times New Roman"/>
                <w:b/>
                <w:bCs/>
                <w:sz w:val="16"/>
                <w:szCs w:val="16"/>
                <w:lang w:eastAsia="sk-SK"/>
              </w:rPr>
              <w:t>47</w:t>
            </w:r>
          </w:p>
        </w:tc>
      </w:tr>
    </w:tbl>
    <w:p w14:paraId="02B3D56E" w14:textId="3A803CD8" w:rsidR="00DD531B" w:rsidRDefault="00DD531B" w:rsidP="00DD531B">
      <w:pPr>
        <w:spacing w:after="0"/>
        <w:rPr>
          <w:rFonts w:ascii="Times New Roman" w:eastAsia="Calibri" w:hAnsi="Times New Roman" w:cs="Times New Roman"/>
          <w:lang w:eastAsia="sk-SK"/>
        </w:rPr>
      </w:pPr>
    </w:p>
    <w:p w14:paraId="64AAECA1" w14:textId="09727530" w:rsidR="005F5DA3" w:rsidRDefault="005F5DA3" w:rsidP="00DD531B">
      <w:pPr>
        <w:spacing w:after="0"/>
        <w:rPr>
          <w:rFonts w:ascii="Times New Roman" w:eastAsia="Calibri" w:hAnsi="Times New Roman" w:cs="Times New Roman"/>
          <w:lang w:eastAsia="sk-SK"/>
        </w:rPr>
      </w:pPr>
    </w:p>
    <w:p w14:paraId="070679FF" w14:textId="5012F43D" w:rsidR="005F5DA3" w:rsidRDefault="005F5DA3" w:rsidP="00DD531B">
      <w:pPr>
        <w:spacing w:after="0"/>
        <w:rPr>
          <w:rFonts w:ascii="Times New Roman" w:eastAsia="Calibri" w:hAnsi="Times New Roman" w:cs="Times New Roman"/>
          <w:lang w:eastAsia="sk-SK"/>
        </w:rPr>
      </w:pPr>
    </w:p>
    <w:p w14:paraId="0230AAEB" w14:textId="7A0BAEC6" w:rsidR="005F5DA3" w:rsidRDefault="005F5DA3" w:rsidP="00DD531B">
      <w:pPr>
        <w:spacing w:after="0"/>
        <w:rPr>
          <w:rFonts w:ascii="Times New Roman" w:eastAsia="Calibri" w:hAnsi="Times New Roman" w:cs="Times New Roman"/>
          <w:lang w:eastAsia="sk-SK"/>
        </w:rPr>
      </w:pPr>
    </w:p>
    <w:p w14:paraId="2D3CD33A" w14:textId="4D763091" w:rsidR="005F5DA3" w:rsidRDefault="005F5DA3" w:rsidP="00DD531B">
      <w:pPr>
        <w:spacing w:after="0"/>
        <w:rPr>
          <w:rFonts w:ascii="Times New Roman" w:eastAsia="Calibri" w:hAnsi="Times New Roman" w:cs="Times New Roman"/>
          <w:lang w:eastAsia="sk-SK"/>
        </w:rPr>
      </w:pPr>
    </w:p>
    <w:p w14:paraId="4A32056A" w14:textId="47C8DFC7" w:rsidR="005F5DA3" w:rsidRDefault="005F5DA3" w:rsidP="00DD531B">
      <w:pPr>
        <w:spacing w:after="0"/>
        <w:rPr>
          <w:rFonts w:ascii="Times New Roman" w:eastAsia="Calibri" w:hAnsi="Times New Roman" w:cs="Times New Roman"/>
          <w:lang w:eastAsia="sk-SK"/>
        </w:rPr>
      </w:pPr>
    </w:p>
    <w:p w14:paraId="003DAB9D" w14:textId="77FE0B46" w:rsidR="005F5DA3" w:rsidRDefault="005F5DA3" w:rsidP="00DD531B">
      <w:pPr>
        <w:spacing w:after="0"/>
        <w:rPr>
          <w:rFonts w:ascii="Times New Roman" w:eastAsia="Calibri" w:hAnsi="Times New Roman" w:cs="Times New Roman"/>
          <w:lang w:eastAsia="sk-SK"/>
        </w:rPr>
      </w:pPr>
    </w:p>
    <w:p w14:paraId="68036B19" w14:textId="03BDECF7" w:rsidR="005F5DA3" w:rsidRDefault="005F5DA3" w:rsidP="00DD531B">
      <w:pPr>
        <w:spacing w:after="0"/>
        <w:rPr>
          <w:rFonts w:ascii="Times New Roman" w:eastAsia="Calibri" w:hAnsi="Times New Roman" w:cs="Times New Roman"/>
          <w:lang w:eastAsia="sk-SK"/>
        </w:rPr>
      </w:pPr>
    </w:p>
    <w:p w14:paraId="28387F6C" w14:textId="21FBE335" w:rsidR="005F5DA3" w:rsidRDefault="005F5DA3" w:rsidP="00DD531B">
      <w:pPr>
        <w:spacing w:after="0"/>
        <w:rPr>
          <w:rFonts w:ascii="Times New Roman" w:eastAsia="Calibri" w:hAnsi="Times New Roman" w:cs="Times New Roman"/>
          <w:lang w:eastAsia="sk-SK"/>
        </w:rPr>
      </w:pPr>
    </w:p>
    <w:p w14:paraId="57481AD4" w14:textId="4ABBDF19" w:rsidR="005F5DA3" w:rsidRDefault="005F5DA3" w:rsidP="00DD531B">
      <w:pPr>
        <w:spacing w:after="0"/>
        <w:rPr>
          <w:rFonts w:ascii="Times New Roman" w:eastAsia="Calibri" w:hAnsi="Times New Roman" w:cs="Times New Roman"/>
          <w:lang w:eastAsia="sk-SK"/>
        </w:rPr>
      </w:pPr>
    </w:p>
    <w:p w14:paraId="246A8E83" w14:textId="2794442B" w:rsidR="005F5DA3" w:rsidRDefault="005F5DA3" w:rsidP="00DD531B">
      <w:pPr>
        <w:spacing w:after="0"/>
        <w:rPr>
          <w:rFonts w:ascii="Times New Roman" w:eastAsia="Calibri" w:hAnsi="Times New Roman" w:cs="Times New Roman"/>
          <w:lang w:eastAsia="sk-SK"/>
        </w:rPr>
      </w:pPr>
    </w:p>
    <w:p w14:paraId="7E07EC80" w14:textId="564A4E3B" w:rsidR="005F5DA3" w:rsidRDefault="005F5DA3" w:rsidP="00DD531B">
      <w:pPr>
        <w:spacing w:after="0"/>
        <w:rPr>
          <w:rFonts w:ascii="Times New Roman" w:eastAsia="Calibri" w:hAnsi="Times New Roman" w:cs="Times New Roman"/>
          <w:lang w:eastAsia="sk-SK"/>
        </w:rPr>
      </w:pPr>
    </w:p>
    <w:p w14:paraId="7BA81787" w14:textId="6AEE80AA" w:rsidR="005F5DA3" w:rsidRDefault="005F5DA3" w:rsidP="00DD531B">
      <w:pPr>
        <w:spacing w:after="0"/>
        <w:rPr>
          <w:rFonts w:ascii="Times New Roman" w:eastAsia="Calibri" w:hAnsi="Times New Roman" w:cs="Times New Roman"/>
          <w:lang w:eastAsia="sk-SK"/>
        </w:rPr>
      </w:pPr>
    </w:p>
    <w:p w14:paraId="5ACAF10B" w14:textId="4B6C0E5A" w:rsidR="005F5DA3" w:rsidRDefault="005F5DA3" w:rsidP="00DD531B">
      <w:pPr>
        <w:spacing w:after="0"/>
        <w:rPr>
          <w:rFonts w:ascii="Times New Roman" w:eastAsia="Calibri" w:hAnsi="Times New Roman" w:cs="Times New Roman"/>
          <w:lang w:eastAsia="sk-SK"/>
        </w:rPr>
      </w:pPr>
    </w:p>
    <w:p w14:paraId="0B6F8125" w14:textId="17EE7483" w:rsidR="005F5DA3" w:rsidRDefault="005F5DA3" w:rsidP="00DD531B">
      <w:pPr>
        <w:spacing w:after="0"/>
        <w:rPr>
          <w:rFonts w:ascii="Times New Roman" w:eastAsia="Calibri" w:hAnsi="Times New Roman" w:cs="Times New Roman"/>
          <w:lang w:eastAsia="sk-SK"/>
        </w:rPr>
      </w:pPr>
    </w:p>
    <w:p w14:paraId="31F87B04" w14:textId="375679E3" w:rsidR="005F5DA3" w:rsidRDefault="005F5DA3" w:rsidP="00DD531B">
      <w:pPr>
        <w:spacing w:after="0"/>
        <w:rPr>
          <w:rFonts w:ascii="Times New Roman" w:eastAsia="Calibri" w:hAnsi="Times New Roman" w:cs="Times New Roman"/>
          <w:lang w:eastAsia="sk-SK"/>
        </w:rPr>
      </w:pPr>
    </w:p>
    <w:p w14:paraId="0B8ED69B" w14:textId="7DF21BC3" w:rsidR="005F5DA3" w:rsidRDefault="005F5DA3" w:rsidP="00DD531B">
      <w:pPr>
        <w:spacing w:after="0"/>
        <w:rPr>
          <w:rFonts w:ascii="Times New Roman" w:eastAsia="Calibri" w:hAnsi="Times New Roman" w:cs="Times New Roman"/>
          <w:lang w:eastAsia="sk-SK"/>
        </w:rPr>
      </w:pPr>
    </w:p>
    <w:p w14:paraId="4C1FF2E9" w14:textId="65E03048" w:rsidR="005F5DA3" w:rsidRDefault="005F5DA3" w:rsidP="00DD531B">
      <w:pPr>
        <w:spacing w:after="0"/>
        <w:rPr>
          <w:rFonts w:ascii="Times New Roman" w:eastAsia="Calibri" w:hAnsi="Times New Roman" w:cs="Times New Roman"/>
          <w:lang w:eastAsia="sk-SK"/>
        </w:rPr>
      </w:pPr>
    </w:p>
    <w:p w14:paraId="64A91784" w14:textId="22845208" w:rsidR="005F5DA3" w:rsidRDefault="005F5DA3" w:rsidP="00DD531B">
      <w:pPr>
        <w:spacing w:after="0"/>
        <w:rPr>
          <w:rFonts w:ascii="Times New Roman" w:eastAsia="Calibri" w:hAnsi="Times New Roman" w:cs="Times New Roman"/>
          <w:lang w:eastAsia="sk-SK"/>
        </w:rPr>
      </w:pPr>
    </w:p>
    <w:p w14:paraId="494BD386" w14:textId="77777777" w:rsidR="005F5DA3" w:rsidRPr="00DD531B" w:rsidRDefault="005F5DA3" w:rsidP="00DD531B">
      <w:pPr>
        <w:spacing w:after="0"/>
        <w:rPr>
          <w:rFonts w:ascii="Times New Roman" w:eastAsia="Calibri" w:hAnsi="Times New Roman" w:cs="Times New Roman"/>
          <w:lang w:eastAsia="sk-SK"/>
        </w:rPr>
      </w:pPr>
    </w:p>
    <w:p w14:paraId="480F8AD1" w14:textId="122D179F" w:rsidR="00DD531B" w:rsidRPr="005F5DA3" w:rsidRDefault="00DD531B" w:rsidP="00DD531B">
      <w:pPr>
        <w:keepNext/>
        <w:keepLines/>
        <w:spacing w:after="0"/>
        <w:outlineLvl w:val="1"/>
        <w:rPr>
          <w:rFonts w:ascii="Times New Roman" w:eastAsia="Times New Roman" w:hAnsi="Times New Roman" w:cs="Times New Roman"/>
          <w:color w:val="5B9BD5" w:themeColor="accent1"/>
          <w:sz w:val="24"/>
          <w:szCs w:val="24"/>
        </w:rPr>
      </w:pPr>
      <w:r w:rsidRPr="005F5DA3">
        <w:rPr>
          <w:rFonts w:ascii="Times New Roman" w:eastAsia="Times New Roman" w:hAnsi="Times New Roman" w:cs="Times New Roman"/>
          <w:b/>
          <w:color w:val="5B9BD5" w:themeColor="accent1"/>
          <w:sz w:val="24"/>
          <w:szCs w:val="24"/>
        </w:rPr>
        <w:lastRenderedPageBreak/>
        <w:t>Ministerstvo vnútra SR</w:t>
      </w:r>
    </w:p>
    <w:p w14:paraId="174D5410" w14:textId="77777777" w:rsidR="00DD531B" w:rsidRPr="005F5DA3" w:rsidRDefault="00DD531B" w:rsidP="00DD531B">
      <w:pPr>
        <w:rPr>
          <w:rFonts w:ascii="Times New Roman" w:eastAsia="Calibri" w:hAnsi="Times New Roman" w:cs="Times New Roman"/>
          <w:color w:val="5B9BD5" w:themeColor="accent1"/>
          <w:lang w:eastAsia="sk-SK"/>
        </w:rPr>
      </w:pPr>
    </w:p>
    <w:p w14:paraId="0C9EB605" w14:textId="083D733E" w:rsidR="00DD531B" w:rsidRPr="005F5DA3" w:rsidRDefault="005F5DA3"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05" w:name="_Toc153013075"/>
      <w:r>
        <w:rPr>
          <w:rFonts w:ascii="Times New Roman" w:eastAsia="Times New Roman" w:hAnsi="Times New Roman" w:cs="Times New Roman"/>
          <w:b/>
          <w:iCs/>
          <w:color w:val="5B9BD5" w:themeColor="accent1"/>
          <w:sz w:val="20"/>
          <w:szCs w:val="20"/>
          <w:lang w:eastAsia="sk-SK"/>
        </w:rPr>
        <w:t xml:space="preserve">Tabuľka </w:t>
      </w:r>
      <w:r w:rsidRPr="00DD531B">
        <w:rPr>
          <w:rFonts w:ascii="Times New Roman" w:hAnsi="Times New Roman" w:cs="Times New Roman"/>
          <w:b/>
          <w:color w:val="5B9BD5" w:themeColor="accent1"/>
          <w:sz w:val="20"/>
          <w:szCs w:val="20"/>
        </w:rPr>
        <w:fldChar w:fldCharType="begin"/>
      </w:r>
      <w:r w:rsidRPr="00DD531B">
        <w:rPr>
          <w:rFonts w:ascii="Times New Roman" w:hAnsi="Times New Roman" w:cs="Times New Roman"/>
          <w:b/>
          <w:color w:val="5B9BD5" w:themeColor="accent1"/>
          <w:sz w:val="20"/>
          <w:szCs w:val="20"/>
        </w:rPr>
        <w:instrText xml:space="preserve"> SEQ Tabuľka \* ARABIC </w:instrText>
      </w:r>
      <w:r w:rsidRPr="00DD531B">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77</w:t>
      </w:r>
      <w:r w:rsidRPr="00DD531B">
        <w:rPr>
          <w:rFonts w:ascii="Times New Roman" w:hAnsi="Times New Roman" w:cs="Times New Roman"/>
          <w:b/>
          <w:color w:val="5B9BD5" w:themeColor="accent1"/>
          <w:sz w:val="20"/>
          <w:szCs w:val="20"/>
        </w:rPr>
        <w:fldChar w:fldCharType="end"/>
      </w:r>
      <w:r>
        <w:rPr>
          <w:rFonts w:ascii="Times New Roman" w:hAnsi="Times New Roman" w:cs="Times New Roman"/>
          <w:b/>
          <w:color w:val="5B9BD5" w:themeColor="accent1"/>
          <w:sz w:val="20"/>
          <w:szCs w:val="20"/>
        </w:rPr>
        <w:t xml:space="preserve"> - </w:t>
      </w:r>
      <w:r w:rsidR="00DD531B" w:rsidRPr="005F5DA3">
        <w:rPr>
          <w:rFonts w:ascii="Times New Roman" w:eastAsia="Times New Roman" w:hAnsi="Times New Roman" w:cs="Times New Roman"/>
          <w:b/>
          <w:iCs/>
          <w:color w:val="5B9BD5" w:themeColor="accent1"/>
          <w:sz w:val="20"/>
          <w:szCs w:val="20"/>
          <w:lang w:eastAsia="sk-SK"/>
        </w:rPr>
        <w:t>Príjmy kapitoly MV SR</w:t>
      </w:r>
      <w:bookmarkEnd w:id="205"/>
    </w:p>
    <w:tbl>
      <w:tblPr>
        <w:tblW w:w="5000" w:type="pct"/>
        <w:tblLayout w:type="fixed"/>
        <w:tblCellMar>
          <w:left w:w="70" w:type="dxa"/>
          <w:right w:w="70" w:type="dxa"/>
        </w:tblCellMar>
        <w:tblLook w:val="04A0" w:firstRow="1" w:lastRow="0" w:firstColumn="1" w:lastColumn="0" w:noHBand="0" w:noVBand="1"/>
      </w:tblPr>
      <w:tblGrid>
        <w:gridCol w:w="3829"/>
        <w:gridCol w:w="853"/>
        <w:gridCol w:w="709"/>
        <w:gridCol w:w="706"/>
        <w:gridCol w:w="715"/>
        <w:gridCol w:w="709"/>
        <w:gridCol w:w="709"/>
        <w:gridCol w:w="842"/>
      </w:tblGrid>
      <w:tr w:rsidR="005F5DA3" w:rsidRPr="00DD531B" w14:paraId="71F8A6B1" w14:textId="77777777" w:rsidTr="005F5DA3">
        <w:trPr>
          <w:trHeight w:val="300"/>
        </w:trPr>
        <w:tc>
          <w:tcPr>
            <w:tcW w:w="2110" w:type="pct"/>
            <w:tcBorders>
              <w:top w:val="single" w:sz="4" w:space="0" w:color="auto"/>
              <w:left w:val="nil"/>
              <w:bottom w:val="single" w:sz="4" w:space="0" w:color="auto"/>
              <w:right w:val="nil"/>
            </w:tcBorders>
            <w:shd w:val="clear" w:color="auto" w:fill="auto"/>
            <w:noWrap/>
            <w:vAlign w:val="center"/>
            <w:hideMark/>
          </w:tcPr>
          <w:p w14:paraId="3FB986E1" w14:textId="77777777" w:rsidR="00DD531B" w:rsidRPr="005F5DA3" w:rsidRDefault="00DD531B" w:rsidP="00DD531B">
            <w:pPr>
              <w:spacing w:after="0" w:line="240" w:lineRule="auto"/>
              <w:rPr>
                <w:rFonts w:ascii="Times New Roman" w:eastAsia="Times New Roman" w:hAnsi="Times New Roman" w:cs="Times New Roman"/>
                <w:b/>
                <w:bCs/>
                <w:color w:val="000000"/>
                <w:sz w:val="16"/>
                <w:szCs w:val="16"/>
                <w:lang w:eastAsia="sk-SK"/>
              </w:rPr>
            </w:pPr>
            <w:r w:rsidRPr="005F5DA3">
              <w:rPr>
                <w:rFonts w:ascii="Times New Roman" w:eastAsia="Times New Roman" w:hAnsi="Times New Roman" w:cs="Times New Roman"/>
                <w:b/>
                <w:bCs/>
                <w:color w:val="000000"/>
                <w:sz w:val="16"/>
                <w:szCs w:val="16"/>
                <w:lang w:eastAsia="sk-SK"/>
              </w:rPr>
              <w:t>v tis. eur</w:t>
            </w:r>
          </w:p>
        </w:tc>
        <w:tc>
          <w:tcPr>
            <w:tcW w:w="470" w:type="pct"/>
            <w:tcBorders>
              <w:top w:val="single" w:sz="4" w:space="0" w:color="auto"/>
              <w:left w:val="nil"/>
              <w:bottom w:val="single" w:sz="4" w:space="0" w:color="auto"/>
              <w:right w:val="nil"/>
            </w:tcBorders>
            <w:shd w:val="clear" w:color="auto" w:fill="auto"/>
            <w:noWrap/>
            <w:vAlign w:val="center"/>
            <w:hideMark/>
          </w:tcPr>
          <w:p w14:paraId="4B782DE5" w14:textId="77777777" w:rsidR="00DD531B" w:rsidRPr="005F5DA3" w:rsidRDefault="00DD531B" w:rsidP="005F5DA3">
            <w:pPr>
              <w:spacing w:after="0" w:line="240" w:lineRule="auto"/>
              <w:jc w:val="right"/>
              <w:rPr>
                <w:rFonts w:ascii="Times New Roman" w:eastAsia="Times New Roman" w:hAnsi="Times New Roman" w:cs="Times New Roman"/>
                <w:b/>
                <w:bCs/>
                <w:sz w:val="16"/>
                <w:szCs w:val="16"/>
                <w:lang w:eastAsia="sk-SK"/>
              </w:rPr>
            </w:pPr>
            <w:r w:rsidRPr="005F5DA3">
              <w:rPr>
                <w:rFonts w:ascii="Times New Roman" w:eastAsia="Times New Roman" w:hAnsi="Times New Roman" w:cs="Times New Roman"/>
                <w:b/>
                <w:bCs/>
                <w:sz w:val="16"/>
                <w:szCs w:val="16"/>
                <w:lang w:eastAsia="sk-SK"/>
              </w:rPr>
              <w:t>2021 S</w:t>
            </w:r>
          </w:p>
        </w:tc>
        <w:tc>
          <w:tcPr>
            <w:tcW w:w="391" w:type="pct"/>
            <w:tcBorders>
              <w:top w:val="single" w:sz="4" w:space="0" w:color="auto"/>
              <w:left w:val="nil"/>
              <w:bottom w:val="single" w:sz="4" w:space="0" w:color="auto"/>
              <w:right w:val="nil"/>
            </w:tcBorders>
            <w:shd w:val="clear" w:color="auto" w:fill="auto"/>
            <w:noWrap/>
            <w:vAlign w:val="center"/>
            <w:hideMark/>
          </w:tcPr>
          <w:p w14:paraId="5C8580F5" w14:textId="77777777" w:rsidR="00DD531B" w:rsidRPr="005F5DA3" w:rsidRDefault="00DD531B" w:rsidP="005F5DA3">
            <w:pPr>
              <w:spacing w:after="0" w:line="240" w:lineRule="auto"/>
              <w:jc w:val="right"/>
              <w:rPr>
                <w:rFonts w:ascii="Times New Roman" w:eastAsia="Times New Roman" w:hAnsi="Times New Roman" w:cs="Times New Roman"/>
                <w:b/>
                <w:bCs/>
                <w:sz w:val="16"/>
                <w:szCs w:val="16"/>
                <w:lang w:eastAsia="sk-SK"/>
              </w:rPr>
            </w:pPr>
            <w:r w:rsidRPr="005F5DA3">
              <w:rPr>
                <w:rFonts w:ascii="Times New Roman" w:eastAsia="Times New Roman" w:hAnsi="Times New Roman" w:cs="Times New Roman"/>
                <w:b/>
                <w:bCs/>
                <w:sz w:val="16"/>
                <w:szCs w:val="16"/>
                <w:lang w:eastAsia="sk-SK"/>
              </w:rPr>
              <w:t>2022 S</w:t>
            </w:r>
          </w:p>
        </w:tc>
        <w:tc>
          <w:tcPr>
            <w:tcW w:w="389" w:type="pct"/>
            <w:tcBorders>
              <w:top w:val="single" w:sz="4" w:space="0" w:color="auto"/>
              <w:left w:val="nil"/>
              <w:bottom w:val="single" w:sz="4" w:space="0" w:color="auto"/>
              <w:right w:val="nil"/>
            </w:tcBorders>
            <w:shd w:val="clear" w:color="auto" w:fill="auto"/>
            <w:noWrap/>
            <w:vAlign w:val="center"/>
            <w:hideMark/>
          </w:tcPr>
          <w:p w14:paraId="08B11DE2" w14:textId="77777777" w:rsidR="00DD531B" w:rsidRPr="005F5DA3" w:rsidRDefault="00DD531B" w:rsidP="005F5DA3">
            <w:pPr>
              <w:spacing w:after="0" w:line="240" w:lineRule="auto"/>
              <w:jc w:val="right"/>
              <w:rPr>
                <w:rFonts w:ascii="Times New Roman" w:eastAsia="Times New Roman" w:hAnsi="Times New Roman" w:cs="Times New Roman"/>
                <w:b/>
                <w:bCs/>
                <w:sz w:val="16"/>
                <w:szCs w:val="16"/>
                <w:lang w:eastAsia="sk-SK"/>
              </w:rPr>
            </w:pPr>
            <w:r w:rsidRPr="005F5DA3">
              <w:rPr>
                <w:rFonts w:ascii="Times New Roman" w:eastAsia="Times New Roman" w:hAnsi="Times New Roman" w:cs="Times New Roman"/>
                <w:b/>
                <w:bCs/>
                <w:sz w:val="16"/>
                <w:szCs w:val="16"/>
                <w:lang w:eastAsia="sk-SK"/>
              </w:rPr>
              <w:t>2023 R</w:t>
            </w:r>
          </w:p>
        </w:tc>
        <w:tc>
          <w:tcPr>
            <w:tcW w:w="394" w:type="pct"/>
            <w:tcBorders>
              <w:top w:val="single" w:sz="4" w:space="0" w:color="auto"/>
              <w:left w:val="nil"/>
              <w:bottom w:val="single" w:sz="4" w:space="0" w:color="auto"/>
              <w:right w:val="nil"/>
            </w:tcBorders>
            <w:shd w:val="clear" w:color="auto" w:fill="auto"/>
            <w:noWrap/>
            <w:vAlign w:val="center"/>
            <w:hideMark/>
          </w:tcPr>
          <w:p w14:paraId="0DD429A4" w14:textId="77777777" w:rsidR="00DD531B" w:rsidRPr="005F5DA3" w:rsidRDefault="00DD531B" w:rsidP="005F5DA3">
            <w:pPr>
              <w:spacing w:after="0" w:line="240" w:lineRule="auto"/>
              <w:jc w:val="right"/>
              <w:rPr>
                <w:rFonts w:ascii="Times New Roman" w:eastAsia="Times New Roman" w:hAnsi="Times New Roman" w:cs="Times New Roman"/>
                <w:b/>
                <w:bCs/>
                <w:sz w:val="16"/>
                <w:szCs w:val="16"/>
                <w:lang w:eastAsia="sk-SK"/>
              </w:rPr>
            </w:pPr>
            <w:r w:rsidRPr="005F5DA3">
              <w:rPr>
                <w:rFonts w:ascii="Times New Roman" w:eastAsia="Times New Roman" w:hAnsi="Times New Roman" w:cs="Times New Roman"/>
                <w:b/>
                <w:bCs/>
                <w:sz w:val="16"/>
                <w:szCs w:val="16"/>
                <w:lang w:eastAsia="sk-SK"/>
              </w:rPr>
              <w:t>2023 OS</w:t>
            </w:r>
          </w:p>
        </w:tc>
        <w:tc>
          <w:tcPr>
            <w:tcW w:w="391" w:type="pct"/>
            <w:tcBorders>
              <w:top w:val="single" w:sz="4" w:space="0" w:color="auto"/>
              <w:left w:val="nil"/>
              <w:bottom w:val="single" w:sz="4" w:space="0" w:color="auto"/>
              <w:right w:val="nil"/>
            </w:tcBorders>
            <w:shd w:val="clear" w:color="auto" w:fill="auto"/>
            <w:noWrap/>
            <w:vAlign w:val="center"/>
            <w:hideMark/>
          </w:tcPr>
          <w:p w14:paraId="1F4E3772" w14:textId="77777777" w:rsidR="00DD531B" w:rsidRPr="005F5DA3" w:rsidRDefault="00DD531B" w:rsidP="005F5DA3">
            <w:pPr>
              <w:spacing w:after="0" w:line="240" w:lineRule="auto"/>
              <w:jc w:val="right"/>
              <w:rPr>
                <w:rFonts w:ascii="Times New Roman" w:eastAsia="Times New Roman" w:hAnsi="Times New Roman" w:cs="Times New Roman"/>
                <w:b/>
                <w:bCs/>
                <w:sz w:val="16"/>
                <w:szCs w:val="16"/>
                <w:lang w:eastAsia="sk-SK"/>
              </w:rPr>
            </w:pPr>
            <w:r w:rsidRPr="005F5DA3">
              <w:rPr>
                <w:rFonts w:ascii="Times New Roman" w:eastAsia="Times New Roman" w:hAnsi="Times New Roman" w:cs="Times New Roman"/>
                <w:b/>
                <w:bCs/>
                <w:sz w:val="16"/>
                <w:szCs w:val="16"/>
                <w:lang w:eastAsia="sk-SK"/>
              </w:rPr>
              <w:t>2024 N</w:t>
            </w:r>
          </w:p>
        </w:tc>
        <w:tc>
          <w:tcPr>
            <w:tcW w:w="391" w:type="pct"/>
            <w:tcBorders>
              <w:top w:val="single" w:sz="4" w:space="0" w:color="auto"/>
              <w:left w:val="nil"/>
              <w:bottom w:val="single" w:sz="4" w:space="0" w:color="auto"/>
              <w:right w:val="nil"/>
            </w:tcBorders>
            <w:shd w:val="clear" w:color="auto" w:fill="auto"/>
            <w:noWrap/>
            <w:vAlign w:val="center"/>
            <w:hideMark/>
          </w:tcPr>
          <w:p w14:paraId="16B1D31A" w14:textId="77777777" w:rsidR="00DD531B" w:rsidRPr="005F5DA3" w:rsidRDefault="00DD531B" w:rsidP="005F5DA3">
            <w:pPr>
              <w:spacing w:after="0" w:line="240" w:lineRule="auto"/>
              <w:jc w:val="right"/>
              <w:rPr>
                <w:rFonts w:ascii="Times New Roman" w:eastAsia="Times New Roman" w:hAnsi="Times New Roman" w:cs="Times New Roman"/>
                <w:b/>
                <w:bCs/>
                <w:sz w:val="16"/>
                <w:szCs w:val="16"/>
                <w:lang w:eastAsia="sk-SK"/>
              </w:rPr>
            </w:pPr>
            <w:r w:rsidRPr="005F5DA3">
              <w:rPr>
                <w:rFonts w:ascii="Times New Roman" w:eastAsia="Times New Roman" w:hAnsi="Times New Roman" w:cs="Times New Roman"/>
                <w:b/>
                <w:bCs/>
                <w:sz w:val="16"/>
                <w:szCs w:val="16"/>
                <w:lang w:eastAsia="sk-SK"/>
              </w:rPr>
              <w:t>2025 N</w:t>
            </w:r>
          </w:p>
        </w:tc>
        <w:tc>
          <w:tcPr>
            <w:tcW w:w="465" w:type="pct"/>
            <w:tcBorders>
              <w:top w:val="single" w:sz="4" w:space="0" w:color="auto"/>
              <w:left w:val="nil"/>
              <w:bottom w:val="single" w:sz="4" w:space="0" w:color="auto"/>
              <w:right w:val="nil"/>
            </w:tcBorders>
            <w:shd w:val="clear" w:color="auto" w:fill="auto"/>
            <w:noWrap/>
            <w:vAlign w:val="center"/>
            <w:hideMark/>
          </w:tcPr>
          <w:p w14:paraId="3EFC593F" w14:textId="77777777" w:rsidR="00DD531B" w:rsidRPr="005F5DA3" w:rsidRDefault="00DD531B" w:rsidP="005F5DA3">
            <w:pPr>
              <w:spacing w:after="0" w:line="240" w:lineRule="auto"/>
              <w:jc w:val="right"/>
              <w:rPr>
                <w:rFonts w:ascii="Times New Roman" w:eastAsia="Times New Roman" w:hAnsi="Times New Roman" w:cs="Times New Roman"/>
                <w:b/>
                <w:bCs/>
                <w:sz w:val="16"/>
                <w:szCs w:val="16"/>
                <w:lang w:eastAsia="sk-SK"/>
              </w:rPr>
            </w:pPr>
            <w:r w:rsidRPr="005F5DA3">
              <w:rPr>
                <w:rFonts w:ascii="Times New Roman" w:eastAsia="Times New Roman" w:hAnsi="Times New Roman" w:cs="Times New Roman"/>
                <w:b/>
                <w:bCs/>
                <w:sz w:val="16"/>
                <w:szCs w:val="16"/>
                <w:lang w:eastAsia="sk-SK"/>
              </w:rPr>
              <w:t>2026 N</w:t>
            </w:r>
          </w:p>
        </w:tc>
      </w:tr>
      <w:tr w:rsidR="005F5DA3" w:rsidRPr="00DD531B" w14:paraId="52D677C9" w14:textId="77777777" w:rsidTr="005F5DA3">
        <w:trPr>
          <w:trHeight w:val="300"/>
        </w:trPr>
        <w:tc>
          <w:tcPr>
            <w:tcW w:w="2110" w:type="pct"/>
            <w:tcBorders>
              <w:top w:val="nil"/>
              <w:left w:val="nil"/>
              <w:bottom w:val="nil"/>
              <w:right w:val="nil"/>
            </w:tcBorders>
            <w:shd w:val="clear" w:color="auto" w:fill="auto"/>
            <w:noWrap/>
            <w:vAlign w:val="bottom"/>
            <w:hideMark/>
          </w:tcPr>
          <w:p w14:paraId="6B1FC836" w14:textId="77777777" w:rsidR="00DD531B" w:rsidRPr="005F5DA3" w:rsidRDefault="00DD531B" w:rsidP="00DD531B">
            <w:pPr>
              <w:spacing w:after="0" w:line="240" w:lineRule="auto"/>
              <w:rPr>
                <w:rFonts w:ascii="Times New Roman" w:eastAsia="Times New Roman" w:hAnsi="Times New Roman" w:cs="Times New Roman"/>
                <w:b/>
                <w:bCs/>
                <w:color w:val="000000"/>
                <w:sz w:val="16"/>
                <w:szCs w:val="16"/>
                <w:lang w:eastAsia="sk-SK"/>
              </w:rPr>
            </w:pPr>
            <w:r w:rsidRPr="005F5DA3">
              <w:rPr>
                <w:rFonts w:ascii="Times New Roman" w:eastAsia="Times New Roman" w:hAnsi="Times New Roman" w:cs="Times New Roman"/>
                <w:b/>
                <w:bCs/>
                <w:color w:val="000000"/>
                <w:sz w:val="16"/>
                <w:szCs w:val="16"/>
                <w:lang w:eastAsia="sk-SK"/>
              </w:rPr>
              <w:t>Príjmy kapitoly spolu</w:t>
            </w:r>
          </w:p>
        </w:tc>
        <w:tc>
          <w:tcPr>
            <w:tcW w:w="470" w:type="pct"/>
            <w:tcBorders>
              <w:top w:val="nil"/>
              <w:left w:val="nil"/>
              <w:bottom w:val="nil"/>
              <w:right w:val="nil"/>
            </w:tcBorders>
            <w:shd w:val="clear" w:color="auto" w:fill="auto"/>
            <w:noWrap/>
            <w:vAlign w:val="bottom"/>
            <w:hideMark/>
          </w:tcPr>
          <w:p w14:paraId="3D50BFD2" w14:textId="77777777" w:rsidR="00DD531B" w:rsidRPr="005F5DA3"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5F5DA3">
              <w:rPr>
                <w:rFonts w:ascii="Times New Roman" w:eastAsia="Times New Roman" w:hAnsi="Times New Roman" w:cs="Times New Roman"/>
                <w:b/>
                <w:bCs/>
                <w:color w:val="000000"/>
                <w:sz w:val="16"/>
                <w:szCs w:val="16"/>
                <w:lang w:eastAsia="sk-SK"/>
              </w:rPr>
              <w:t>203 680</w:t>
            </w:r>
          </w:p>
        </w:tc>
        <w:tc>
          <w:tcPr>
            <w:tcW w:w="391" w:type="pct"/>
            <w:tcBorders>
              <w:top w:val="nil"/>
              <w:left w:val="nil"/>
              <w:bottom w:val="nil"/>
              <w:right w:val="nil"/>
            </w:tcBorders>
            <w:shd w:val="clear" w:color="auto" w:fill="auto"/>
            <w:noWrap/>
            <w:vAlign w:val="bottom"/>
            <w:hideMark/>
          </w:tcPr>
          <w:p w14:paraId="5DDBAD09" w14:textId="77777777" w:rsidR="00DD531B" w:rsidRPr="005F5DA3"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5F5DA3">
              <w:rPr>
                <w:rFonts w:ascii="Times New Roman" w:eastAsia="Times New Roman" w:hAnsi="Times New Roman" w:cs="Times New Roman"/>
                <w:b/>
                <w:bCs/>
                <w:color w:val="000000"/>
                <w:sz w:val="16"/>
                <w:szCs w:val="16"/>
                <w:lang w:eastAsia="sk-SK"/>
              </w:rPr>
              <w:t>209 128</w:t>
            </w:r>
          </w:p>
        </w:tc>
        <w:tc>
          <w:tcPr>
            <w:tcW w:w="389" w:type="pct"/>
            <w:tcBorders>
              <w:top w:val="nil"/>
              <w:left w:val="nil"/>
              <w:bottom w:val="nil"/>
              <w:right w:val="nil"/>
            </w:tcBorders>
            <w:shd w:val="clear" w:color="auto" w:fill="auto"/>
            <w:noWrap/>
            <w:vAlign w:val="bottom"/>
            <w:hideMark/>
          </w:tcPr>
          <w:p w14:paraId="4F8A12A0" w14:textId="77777777" w:rsidR="00DD531B" w:rsidRPr="005F5DA3"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5F5DA3">
              <w:rPr>
                <w:rFonts w:ascii="Times New Roman" w:eastAsia="Times New Roman" w:hAnsi="Times New Roman" w:cs="Times New Roman"/>
                <w:b/>
                <w:bCs/>
                <w:color w:val="000000"/>
                <w:sz w:val="16"/>
                <w:szCs w:val="16"/>
                <w:lang w:eastAsia="sk-SK"/>
              </w:rPr>
              <w:t>254 103</w:t>
            </w:r>
          </w:p>
        </w:tc>
        <w:tc>
          <w:tcPr>
            <w:tcW w:w="394" w:type="pct"/>
            <w:tcBorders>
              <w:top w:val="nil"/>
              <w:left w:val="nil"/>
              <w:bottom w:val="nil"/>
              <w:right w:val="nil"/>
            </w:tcBorders>
            <w:shd w:val="clear" w:color="auto" w:fill="auto"/>
            <w:noWrap/>
            <w:vAlign w:val="bottom"/>
            <w:hideMark/>
          </w:tcPr>
          <w:p w14:paraId="7EF97497" w14:textId="77777777" w:rsidR="00DD531B" w:rsidRPr="005F5DA3"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5F5DA3">
              <w:rPr>
                <w:rFonts w:ascii="Times New Roman" w:eastAsia="Times New Roman" w:hAnsi="Times New Roman" w:cs="Times New Roman"/>
                <w:b/>
                <w:bCs/>
                <w:color w:val="000000"/>
                <w:sz w:val="16"/>
                <w:szCs w:val="16"/>
                <w:lang w:eastAsia="sk-SK"/>
              </w:rPr>
              <w:t>257 681</w:t>
            </w:r>
          </w:p>
        </w:tc>
        <w:tc>
          <w:tcPr>
            <w:tcW w:w="391" w:type="pct"/>
            <w:tcBorders>
              <w:top w:val="nil"/>
              <w:left w:val="nil"/>
              <w:bottom w:val="nil"/>
              <w:right w:val="nil"/>
            </w:tcBorders>
            <w:shd w:val="clear" w:color="auto" w:fill="auto"/>
            <w:noWrap/>
            <w:vAlign w:val="bottom"/>
            <w:hideMark/>
          </w:tcPr>
          <w:p w14:paraId="42FAB759" w14:textId="77777777" w:rsidR="00DD531B" w:rsidRPr="005F5DA3"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5F5DA3">
              <w:rPr>
                <w:rFonts w:ascii="Times New Roman" w:eastAsia="Times New Roman" w:hAnsi="Times New Roman" w:cs="Times New Roman"/>
                <w:b/>
                <w:bCs/>
                <w:color w:val="000000"/>
                <w:sz w:val="16"/>
                <w:szCs w:val="16"/>
                <w:lang w:eastAsia="sk-SK"/>
              </w:rPr>
              <w:t>72 802</w:t>
            </w:r>
          </w:p>
        </w:tc>
        <w:tc>
          <w:tcPr>
            <w:tcW w:w="391" w:type="pct"/>
            <w:tcBorders>
              <w:top w:val="nil"/>
              <w:left w:val="nil"/>
              <w:bottom w:val="nil"/>
              <w:right w:val="nil"/>
            </w:tcBorders>
            <w:shd w:val="clear" w:color="auto" w:fill="auto"/>
            <w:noWrap/>
            <w:vAlign w:val="bottom"/>
            <w:hideMark/>
          </w:tcPr>
          <w:p w14:paraId="275899CA" w14:textId="77777777" w:rsidR="00DD531B" w:rsidRPr="005F5DA3"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5F5DA3">
              <w:rPr>
                <w:rFonts w:ascii="Times New Roman" w:eastAsia="Times New Roman" w:hAnsi="Times New Roman" w:cs="Times New Roman"/>
                <w:b/>
                <w:bCs/>
                <w:color w:val="000000"/>
                <w:sz w:val="16"/>
                <w:szCs w:val="16"/>
                <w:lang w:eastAsia="sk-SK"/>
              </w:rPr>
              <w:t>78 970</w:t>
            </w:r>
          </w:p>
        </w:tc>
        <w:tc>
          <w:tcPr>
            <w:tcW w:w="465" w:type="pct"/>
            <w:tcBorders>
              <w:top w:val="nil"/>
              <w:left w:val="nil"/>
              <w:bottom w:val="nil"/>
              <w:right w:val="nil"/>
            </w:tcBorders>
            <w:shd w:val="clear" w:color="auto" w:fill="auto"/>
            <w:noWrap/>
            <w:vAlign w:val="bottom"/>
            <w:hideMark/>
          </w:tcPr>
          <w:p w14:paraId="0D10A6AA" w14:textId="77777777" w:rsidR="00DD531B" w:rsidRPr="005F5DA3"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5F5DA3">
              <w:rPr>
                <w:rFonts w:ascii="Times New Roman" w:eastAsia="Times New Roman" w:hAnsi="Times New Roman" w:cs="Times New Roman"/>
                <w:b/>
                <w:bCs/>
                <w:color w:val="000000"/>
                <w:sz w:val="16"/>
                <w:szCs w:val="16"/>
                <w:lang w:eastAsia="sk-SK"/>
              </w:rPr>
              <w:t>104 658</w:t>
            </w:r>
          </w:p>
        </w:tc>
      </w:tr>
      <w:tr w:rsidR="005F5DA3" w:rsidRPr="00DD531B" w14:paraId="3C507163" w14:textId="77777777" w:rsidTr="005F5DA3">
        <w:trPr>
          <w:trHeight w:val="300"/>
        </w:trPr>
        <w:tc>
          <w:tcPr>
            <w:tcW w:w="2110" w:type="pct"/>
            <w:tcBorders>
              <w:top w:val="nil"/>
              <w:left w:val="nil"/>
              <w:bottom w:val="nil"/>
              <w:right w:val="nil"/>
            </w:tcBorders>
            <w:shd w:val="clear" w:color="auto" w:fill="auto"/>
            <w:noWrap/>
            <w:vAlign w:val="bottom"/>
            <w:hideMark/>
          </w:tcPr>
          <w:p w14:paraId="08BE446C" w14:textId="77777777" w:rsidR="00DD531B" w:rsidRPr="005F5DA3" w:rsidRDefault="00DD531B" w:rsidP="00DD531B">
            <w:pPr>
              <w:spacing w:after="0" w:line="240" w:lineRule="auto"/>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nedaňové príjmy</w:t>
            </w:r>
          </w:p>
        </w:tc>
        <w:tc>
          <w:tcPr>
            <w:tcW w:w="470" w:type="pct"/>
            <w:tcBorders>
              <w:top w:val="nil"/>
              <w:left w:val="nil"/>
              <w:bottom w:val="nil"/>
              <w:right w:val="nil"/>
            </w:tcBorders>
            <w:shd w:val="clear" w:color="auto" w:fill="auto"/>
            <w:noWrap/>
            <w:vAlign w:val="bottom"/>
            <w:hideMark/>
          </w:tcPr>
          <w:p w14:paraId="06539404"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59 506</w:t>
            </w:r>
          </w:p>
        </w:tc>
        <w:tc>
          <w:tcPr>
            <w:tcW w:w="391" w:type="pct"/>
            <w:tcBorders>
              <w:top w:val="nil"/>
              <w:left w:val="nil"/>
              <w:bottom w:val="nil"/>
              <w:right w:val="nil"/>
            </w:tcBorders>
            <w:shd w:val="clear" w:color="auto" w:fill="auto"/>
            <w:noWrap/>
            <w:vAlign w:val="bottom"/>
            <w:hideMark/>
          </w:tcPr>
          <w:p w14:paraId="4F621A72"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76 141</w:t>
            </w:r>
          </w:p>
        </w:tc>
        <w:tc>
          <w:tcPr>
            <w:tcW w:w="389" w:type="pct"/>
            <w:tcBorders>
              <w:top w:val="nil"/>
              <w:left w:val="nil"/>
              <w:bottom w:val="nil"/>
              <w:right w:val="nil"/>
            </w:tcBorders>
            <w:shd w:val="clear" w:color="auto" w:fill="auto"/>
            <w:noWrap/>
            <w:vAlign w:val="bottom"/>
            <w:hideMark/>
          </w:tcPr>
          <w:p w14:paraId="019D5BB6"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60 000</w:t>
            </w:r>
          </w:p>
        </w:tc>
        <w:tc>
          <w:tcPr>
            <w:tcW w:w="394" w:type="pct"/>
            <w:tcBorders>
              <w:top w:val="nil"/>
              <w:left w:val="nil"/>
              <w:bottom w:val="nil"/>
              <w:right w:val="nil"/>
            </w:tcBorders>
            <w:shd w:val="clear" w:color="auto" w:fill="auto"/>
            <w:noWrap/>
            <w:vAlign w:val="bottom"/>
            <w:hideMark/>
          </w:tcPr>
          <w:p w14:paraId="0CD415DC"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76 226</w:t>
            </w:r>
          </w:p>
        </w:tc>
        <w:tc>
          <w:tcPr>
            <w:tcW w:w="391" w:type="pct"/>
            <w:tcBorders>
              <w:top w:val="nil"/>
              <w:left w:val="nil"/>
              <w:bottom w:val="nil"/>
              <w:right w:val="nil"/>
            </w:tcBorders>
            <w:shd w:val="clear" w:color="auto" w:fill="auto"/>
            <w:noWrap/>
            <w:vAlign w:val="bottom"/>
            <w:hideMark/>
          </w:tcPr>
          <w:p w14:paraId="3F574A00"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61 448</w:t>
            </w:r>
          </w:p>
        </w:tc>
        <w:tc>
          <w:tcPr>
            <w:tcW w:w="391" w:type="pct"/>
            <w:tcBorders>
              <w:top w:val="nil"/>
              <w:left w:val="nil"/>
              <w:bottom w:val="nil"/>
              <w:right w:val="nil"/>
            </w:tcBorders>
            <w:shd w:val="clear" w:color="auto" w:fill="auto"/>
            <w:noWrap/>
            <w:vAlign w:val="bottom"/>
            <w:hideMark/>
          </w:tcPr>
          <w:p w14:paraId="12BEC65F"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60 463</w:t>
            </w:r>
          </w:p>
        </w:tc>
        <w:tc>
          <w:tcPr>
            <w:tcW w:w="465" w:type="pct"/>
            <w:tcBorders>
              <w:top w:val="nil"/>
              <w:left w:val="nil"/>
              <w:bottom w:val="nil"/>
              <w:right w:val="nil"/>
            </w:tcBorders>
            <w:shd w:val="clear" w:color="auto" w:fill="auto"/>
            <w:noWrap/>
            <w:vAlign w:val="bottom"/>
            <w:hideMark/>
          </w:tcPr>
          <w:p w14:paraId="3BCCD692"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60 478</w:t>
            </w:r>
          </w:p>
        </w:tc>
      </w:tr>
      <w:tr w:rsidR="005F5DA3" w:rsidRPr="00DD531B" w14:paraId="55D5B306" w14:textId="77777777" w:rsidTr="005F5DA3">
        <w:trPr>
          <w:trHeight w:val="300"/>
        </w:trPr>
        <w:tc>
          <w:tcPr>
            <w:tcW w:w="2110" w:type="pct"/>
            <w:tcBorders>
              <w:top w:val="nil"/>
              <w:left w:val="nil"/>
              <w:bottom w:val="nil"/>
              <w:right w:val="nil"/>
            </w:tcBorders>
            <w:shd w:val="clear" w:color="auto" w:fill="auto"/>
            <w:noWrap/>
            <w:vAlign w:val="bottom"/>
            <w:hideMark/>
          </w:tcPr>
          <w:p w14:paraId="751AAE57" w14:textId="77777777" w:rsidR="00DD531B" w:rsidRPr="005F5DA3" w:rsidRDefault="00DD531B" w:rsidP="00DD531B">
            <w:pPr>
              <w:spacing w:after="0" w:line="240" w:lineRule="auto"/>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granty a transfery, v tom:</w:t>
            </w:r>
          </w:p>
        </w:tc>
        <w:tc>
          <w:tcPr>
            <w:tcW w:w="470" w:type="pct"/>
            <w:tcBorders>
              <w:top w:val="nil"/>
              <w:left w:val="nil"/>
              <w:bottom w:val="nil"/>
              <w:right w:val="nil"/>
            </w:tcBorders>
            <w:shd w:val="clear" w:color="auto" w:fill="auto"/>
            <w:noWrap/>
            <w:vAlign w:val="bottom"/>
            <w:hideMark/>
          </w:tcPr>
          <w:p w14:paraId="1B9F3578"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142 672</w:t>
            </w:r>
          </w:p>
        </w:tc>
        <w:tc>
          <w:tcPr>
            <w:tcW w:w="391" w:type="pct"/>
            <w:tcBorders>
              <w:top w:val="nil"/>
              <w:left w:val="nil"/>
              <w:bottom w:val="nil"/>
              <w:right w:val="nil"/>
            </w:tcBorders>
            <w:shd w:val="clear" w:color="auto" w:fill="auto"/>
            <w:noWrap/>
            <w:vAlign w:val="bottom"/>
            <w:hideMark/>
          </w:tcPr>
          <w:p w14:paraId="45D30BCB"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131 794</w:t>
            </w:r>
          </w:p>
        </w:tc>
        <w:tc>
          <w:tcPr>
            <w:tcW w:w="389" w:type="pct"/>
            <w:tcBorders>
              <w:top w:val="nil"/>
              <w:left w:val="nil"/>
              <w:bottom w:val="nil"/>
              <w:right w:val="nil"/>
            </w:tcBorders>
            <w:shd w:val="clear" w:color="auto" w:fill="auto"/>
            <w:noWrap/>
            <w:vAlign w:val="bottom"/>
            <w:hideMark/>
          </w:tcPr>
          <w:p w14:paraId="4C78445C"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192 082</w:t>
            </w:r>
          </w:p>
        </w:tc>
        <w:tc>
          <w:tcPr>
            <w:tcW w:w="394" w:type="pct"/>
            <w:tcBorders>
              <w:top w:val="nil"/>
              <w:left w:val="nil"/>
              <w:bottom w:val="nil"/>
              <w:right w:val="nil"/>
            </w:tcBorders>
            <w:shd w:val="clear" w:color="auto" w:fill="auto"/>
            <w:noWrap/>
            <w:vAlign w:val="bottom"/>
            <w:hideMark/>
          </w:tcPr>
          <w:p w14:paraId="3CE3608D"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181 456</w:t>
            </w:r>
          </w:p>
        </w:tc>
        <w:tc>
          <w:tcPr>
            <w:tcW w:w="391" w:type="pct"/>
            <w:tcBorders>
              <w:top w:val="nil"/>
              <w:left w:val="nil"/>
              <w:bottom w:val="nil"/>
              <w:right w:val="nil"/>
            </w:tcBorders>
            <w:shd w:val="clear" w:color="auto" w:fill="auto"/>
            <w:noWrap/>
            <w:vAlign w:val="bottom"/>
            <w:hideMark/>
          </w:tcPr>
          <w:p w14:paraId="79FBE6F9"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9 333</w:t>
            </w:r>
          </w:p>
        </w:tc>
        <w:tc>
          <w:tcPr>
            <w:tcW w:w="391" w:type="pct"/>
            <w:tcBorders>
              <w:top w:val="nil"/>
              <w:left w:val="nil"/>
              <w:bottom w:val="nil"/>
              <w:right w:val="nil"/>
            </w:tcBorders>
            <w:shd w:val="clear" w:color="auto" w:fill="auto"/>
            <w:noWrap/>
            <w:vAlign w:val="bottom"/>
            <w:hideMark/>
          </w:tcPr>
          <w:p w14:paraId="4FD8D1EC"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16 486</w:t>
            </w:r>
          </w:p>
        </w:tc>
        <w:tc>
          <w:tcPr>
            <w:tcW w:w="465" w:type="pct"/>
            <w:tcBorders>
              <w:top w:val="nil"/>
              <w:left w:val="nil"/>
              <w:bottom w:val="nil"/>
              <w:right w:val="nil"/>
            </w:tcBorders>
            <w:shd w:val="clear" w:color="auto" w:fill="auto"/>
            <w:noWrap/>
            <w:vAlign w:val="bottom"/>
            <w:hideMark/>
          </w:tcPr>
          <w:p w14:paraId="4BFA2120"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42 159</w:t>
            </w:r>
          </w:p>
        </w:tc>
      </w:tr>
      <w:tr w:rsidR="005F5DA3" w:rsidRPr="00DD531B" w14:paraId="0AA41221" w14:textId="77777777" w:rsidTr="005F5DA3">
        <w:trPr>
          <w:trHeight w:val="300"/>
        </w:trPr>
        <w:tc>
          <w:tcPr>
            <w:tcW w:w="2110" w:type="pct"/>
            <w:tcBorders>
              <w:top w:val="nil"/>
              <w:left w:val="nil"/>
              <w:bottom w:val="nil"/>
              <w:right w:val="nil"/>
            </w:tcBorders>
            <w:shd w:val="clear" w:color="auto" w:fill="auto"/>
            <w:noWrap/>
            <w:vAlign w:val="bottom"/>
            <w:hideMark/>
          </w:tcPr>
          <w:p w14:paraId="0241C453" w14:textId="77777777" w:rsidR="00DD531B" w:rsidRPr="005F5DA3" w:rsidRDefault="00DD531B" w:rsidP="00DD531B">
            <w:pPr>
              <w:spacing w:after="0" w:line="240" w:lineRule="auto"/>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prostriedky EÚ</w:t>
            </w:r>
          </w:p>
        </w:tc>
        <w:tc>
          <w:tcPr>
            <w:tcW w:w="470" w:type="pct"/>
            <w:tcBorders>
              <w:top w:val="nil"/>
              <w:left w:val="nil"/>
              <w:bottom w:val="nil"/>
              <w:right w:val="nil"/>
            </w:tcBorders>
            <w:shd w:val="clear" w:color="auto" w:fill="auto"/>
            <w:noWrap/>
            <w:vAlign w:val="bottom"/>
            <w:hideMark/>
          </w:tcPr>
          <w:p w14:paraId="30156125"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142 672</w:t>
            </w:r>
          </w:p>
        </w:tc>
        <w:tc>
          <w:tcPr>
            <w:tcW w:w="391" w:type="pct"/>
            <w:tcBorders>
              <w:top w:val="nil"/>
              <w:left w:val="nil"/>
              <w:bottom w:val="nil"/>
              <w:right w:val="nil"/>
            </w:tcBorders>
            <w:shd w:val="clear" w:color="auto" w:fill="auto"/>
            <w:noWrap/>
            <w:vAlign w:val="bottom"/>
            <w:hideMark/>
          </w:tcPr>
          <w:p w14:paraId="3F3C9CBD"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131 794</w:t>
            </w:r>
          </w:p>
        </w:tc>
        <w:tc>
          <w:tcPr>
            <w:tcW w:w="389" w:type="pct"/>
            <w:tcBorders>
              <w:top w:val="nil"/>
              <w:left w:val="nil"/>
              <w:bottom w:val="nil"/>
              <w:right w:val="nil"/>
            </w:tcBorders>
            <w:shd w:val="clear" w:color="auto" w:fill="auto"/>
            <w:noWrap/>
            <w:vAlign w:val="bottom"/>
            <w:hideMark/>
          </w:tcPr>
          <w:p w14:paraId="1355D667"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192 082</w:t>
            </w:r>
          </w:p>
        </w:tc>
        <w:tc>
          <w:tcPr>
            <w:tcW w:w="394" w:type="pct"/>
            <w:tcBorders>
              <w:top w:val="nil"/>
              <w:left w:val="nil"/>
              <w:bottom w:val="nil"/>
              <w:right w:val="nil"/>
            </w:tcBorders>
            <w:shd w:val="clear" w:color="auto" w:fill="auto"/>
            <w:noWrap/>
            <w:vAlign w:val="bottom"/>
            <w:hideMark/>
          </w:tcPr>
          <w:p w14:paraId="5F0EFBCB"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181 456</w:t>
            </w:r>
          </w:p>
        </w:tc>
        <w:tc>
          <w:tcPr>
            <w:tcW w:w="391" w:type="pct"/>
            <w:tcBorders>
              <w:top w:val="nil"/>
              <w:left w:val="nil"/>
              <w:bottom w:val="nil"/>
              <w:right w:val="nil"/>
            </w:tcBorders>
            <w:shd w:val="clear" w:color="auto" w:fill="auto"/>
            <w:noWrap/>
            <w:vAlign w:val="bottom"/>
            <w:hideMark/>
          </w:tcPr>
          <w:p w14:paraId="5CDE746F"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9 333</w:t>
            </w:r>
          </w:p>
        </w:tc>
        <w:tc>
          <w:tcPr>
            <w:tcW w:w="391" w:type="pct"/>
            <w:tcBorders>
              <w:top w:val="nil"/>
              <w:left w:val="nil"/>
              <w:bottom w:val="nil"/>
              <w:right w:val="nil"/>
            </w:tcBorders>
            <w:shd w:val="clear" w:color="auto" w:fill="auto"/>
            <w:noWrap/>
            <w:vAlign w:val="bottom"/>
            <w:hideMark/>
          </w:tcPr>
          <w:p w14:paraId="5D25B06C"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16 486</w:t>
            </w:r>
          </w:p>
        </w:tc>
        <w:tc>
          <w:tcPr>
            <w:tcW w:w="465" w:type="pct"/>
            <w:tcBorders>
              <w:top w:val="nil"/>
              <w:left w:val="nil"/>
              <w:bottom w:val="nil"/>
              <w:right w:val="nil"/>
            </w:tcBorders>
            <w:shd w:val="clear" w:color="auto" w:fill="auto"/>
            <w:noWrap/>
            <w:vAlign w:val="bottom"/>
            <w:hideMark/>
          </w:tcPr>
          <w:p w14:paraId="09EE00DF"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42 159</w:t>
            </w:r>
          </w:p>
        </w:tc>
      </w:tr>
      <w:tr w:rsidR="005F5DA3" w:rsidRPr="00DD531B" w14:paraId="0035E82E" w14:textId="77777777" w:rsidTr="005F5DA3">
        <w:trPr>
          <w:trHeight w:val="300"/>
        </w:trPr>
        <w:tc>
          <w:tcPr>
            <w:tcW w:w="2110" w:type="pct"/>
            <w:tcBorders>
              <w:top w:val="nil"/>
              <w:left w:val="nil"/>
              <w:bottom w:val="single" w:sz="4" w:space="0" w:color="auto"/>
              <w:right w:val="nil"/>
            </w:tcBorders>
            <w:shd w:val="clear" w:color="auto" w:fill="auto"/>
            <w:noWrap/>
            <w:vAlign w:val="bottom"/>
            <w:hideMark/>
          </w:tcPr>
          <w:p w14:paraId="5358286B" w14:textId="53387D6B" w:rsidR="00DD531B" w:rsidRPr="005F5DA3" w:rsidRDefault="00DD531B" w:rsidP="00DD531B">
            <w:pPr>
              <w:spacing w:after="0" w:line="240" w:lineRule="auto"/>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 xml:space="preserve">prostriedky podľa § 17 ods. 4 a § 22 ods. 4 zákona </w:t>
            </w:r>
            <w:r w:rsidR="005F5DA3">
              <w:rPr>
                <w:rFonts w:ascii="Times New Roman" w:eastAsia="Times New Roman" w:hAnsi="Times New Roman" w:cs="Times New Roman"/>
                <w:sz w:val="16"/>
                <w:szCs w:val="16"/>
                <w:lang w:eastAsia="sk-SK"/>
              </w:rPr>
              <w:br/>
            </w:r>
            <w:r w:rsidRPr="005F5DA3">
              <w:rPr>
                <w:rFonts w:ascii="Times New Roman" w:eastAsia="Times New Roman" w:hAnsi="Times New Roman" w:cs="Times New Roman"/>
                <w:sz w:val="16"/>
                <w:szCs w:val="16"/>
                <w:lang w:eastAsia="sk-SK"/>
              </w:rPr>
              <w:t>č. 523/2004 Z. z.</w:t>
            </w:r>
          </w:p>
        </w:tc>
        <w:tc>
          <w:tcPr>
            <w:tcW w:w="470" w:type="pct"/>
            <w:tcBorders>
              <w:top w:val="nil"/>
              <w:left w:val="nil"/>
              <w:bottom w:val="single" w:sz="4" w:space="0" w:color="auto"/>
              <w:right w:val="nil"/>
            </w:tcBorders>
            <w:shd w:val="clear" w:color="auto" w:fill="auto"/>
            <w:noWrap/>
            <w:vAlign w:val="bottom"/>
            <w:hideMark/>
          </w:tcPr>
          <w:p w14:paraId="7813860E"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1 502</w:t>
            </w:r>
          </w:p>
        </w:tc>
        <w:tc>
          <w:tcPr>
            <w:tcW w:w="391" w:type="pct"/>
            <w:tcBorders>
              <w:top w:val="nil"/>
              <w:left w:val="nil"/>
              <w:bottom w:val="single" w:sz="4" w:space="0" w:color="auto"/>
              <w:right w:val="nil"/>
            </w:tcBorders>
            <w:shd w:val="clear" w:color="auto" w:fill="auto"/>
            <w:noWrap/>
            <w:vAlign w:val="bottom"/>
            <w:hideMark/>
          </w:tcPr>
          <w:p w14:paraId="200ACA96"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1 193</w:t>
            </w:r>
          </w:p>
        </w:tc>
        <w:tc>
          <w:tcPr>
            <w:tcW w:w="389" w:type="pct"/>
            <w:tcBorders>
              <w:top w:val="nil"/>
              <w:left w:val="nil"/>
              <w:bottom w:val="single" w:sz="4" w:space="0" w:color="auto"/>
              <w:right w:val="nil"/>
            </w:tcBorders>
            <w:shd w:val="clear" w:color="auto" w:fill="auto"/>
            <w:noWrap/>
            <w:vAlign w:val="bottom"/>
            <w:hideMark/>
          </w:tcPr>
          <w:p w14:paraId="590AADF0"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2 021</w:t>
            </w:r>
          </w:p>
        </w:tc>
        <w:tc>
          <w:tcPr>
            <w:tcW w:w="394" w:type="pct"/>
            <w:tcBorders>
              <w:top w:val="nil"/>
              <w:left w:val="nil"/>
              <w:bottom w:val="single" w:sz="4" w:space="0" w:color="auto"/>
              <w:right w:val="nil"/>
            </w:tcBorders>
            <w:shd w:val="clear" w:color="auto" w:fill="auto"/>
            <w:noWrap/>
            <w:vAlign w:val="bottom"/>
            <w:hideMark/>
          </w:tcPr>
          <w:p w14:paraId="09BFBB0A"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0</w:t>
            </w:r>
          </w:p>
        </w:tc>
        <w:tc>
          <w:tcPr>
            <w:tcW w:w="391" w:type="pct"/>
            <w:tcBorders>
              <w:top w:val="nil"/>
              <w:left w:val="nil"/>
              <w:bottom w:val="single" w:sz="4" w:space="0" w:color="auto"/>
              <w:right w:val="nil"/>
            </w:tcBorders>
            <w:shd w:val="clear" w:color="auto" w:fill="auto"/>
            <w:noWrap/>
            <w:vAlign w:val="bottom"/>
            <w:hideMark/>
          </w:tcPr>
          <w:p w14:paraId="1B7722DC"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2 021</w:t>
            </w:r>
          </w:p>
        </w:tc>
        <w:tc>
          <w:tcPr>
            <w:tcW w:w="391" w:type="pct"/>
            <w:tcBorders>
              <w:top w:val="nil"/>
              <w:left w:val="nil"/>
              <w:bottom w:val="single" w:sz="4" w:space="0" w:color="auto"/>
              <w:right w:val="nil"/>
            </w:tcBorders>
            <w:shd w:val="clear" w:color="auto" w:fill="auto"/>
            <w:noWrap/>
            <w:vAlign w:val="bottom"/>
            <w:hideMark/>
          </w:tcPr>
          <w:p w14:paraId="44811C8D"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2 021</w:t>
            </w:r>
          </w:p>
        </w:tc>
        <w:tc>
          <w:tcPr>
            <w:tcW w:w="465" w:type="pct"/>
            <w:tcBorders>
              <w:top w:val="nil"/>
              <w:left w:val="nil"/>
              <w:bottom w:val="single" w:sz="4" w:space="0" w:color="auto"/>
              <w:right w:val="nil"/>
            </w:tcBorders>
            <w:shd w:val="clear" w:color="auto" w:fill="auto"/>
            <w:noWrap/>
            <w:vAlign w:val="bottom"/>
            <w:hideMark/>
          </w:tcPr>
          <w:p w14:paraId="283123C4" w14:textId="77777777" w:rsidR="00DD531B" w:rsidRPr="005F5DA3" w:rsidRDefault="00DD531B" w:rsidP="00DD531B">
            <w:pPr>
              <w:spacing w:after="0" w:line="240" w:lineRule="auto"/>
              <w:jc w:val="right"/>
              <w:rPr>
                <w:rFonts w:ascii="Times New Roman" w:eastAsia="Times New Roman" w:hAnsi="Times New Roman" w:cs="Times New Roman"/>
                <w:sz w:val="16"/>
                <w:szCs w:val="16"/>
                <w:lang w:eastAsia="sk-SK"/>
              </w:rPr>
            </w:pPr>
            <w:r w:rsidRPr="005F5DA3">
              <w:rPr>
                <w:rFonts w:ascii="Times New Roman" w:eastAsia="Times New Roman" w:hAnsi="Times New Roman" w:cs="Times New Roman"/>
                <w:sz w:val="16"/>
                <w:szCs w:val="16"/>
                <w:lang w:eastAsia="sk-SK"/>
              </w:rPr>
              <w:t>2 021</w:t>
            </w:r>
          </w:p>
        </w:tc>
      </w:tr>
    </w:tbl>
    <w:p w14:paraId="2F18D540" w14:textId="77777777" w:rsidR="00DD531B" w:rsidRPr="00DD531B" w:rsidRDefault="00DD531B" w:rsidP="00DD531B">
      <w:pPr>
        <w:keepNext/>
        <w:keepLines/>
        <w:spacing w:before="40" w:after="0"/>
        <w:outlineLvl w:val="3"/>
        <w:rPr>
          <w:rFonts w:ascii="Times New Roman" w:eastAsia="Calibri" w:hAnsi="Times New Roman" w:cs="Times New Roman"/>
          <w:lang w:eastAsia="sk-SK"/>
        </w:rPr>
      </w:pPr>
    </w:p>
    <w:p w14:paraId="66B9B5FE" w14:textId="61424114" w:rsidR="00DD531B" w:rsidRPr="005F5DA3" w:rsidRDefault="005F5DA3"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06" w:name="_Toc153013076"/>
      <w:r w:rsidRPr="005F5DA3">
        <w:rPr>
          <w:rFonts w:ascii="Times New Roman" w:eastAsia="Times New Roman" w:hAnsi="Times New Roman" w:cs="Times New Roman"/>
          <w:b/>
          <w:iCs/>
          <w:color w:val="5B9BD5" w:themeColor="accent1"/>
          <w:sz w:val="20"/>
          <w:szCs w:val="20"/>
          <w:lang w:eastAsia="sk-SK"/>
        </w:rPr>
        <w:t xml:space="preserve">Tabuľka </w:t>
      </w:r>
      <w:r w:rsidRPr="005F5DA3">
        <w:rPr>
          <w:rFonts w:ascii="Times New Roman" w:hAnsi="Times New Roman" w:cs="Times New Roman"/>
          <w:b/>
          <w:color w:val="5B9BD5" w:themeColor="accent1"/>
          <w:sz w:val="20"/>
          <w:szCs w:val="20"/>
        </w:rPr>
        <w:fldChar w:fldCharType="begin"/>
      </w:r>
      <w:r w:rsidRPr="005F5DA3">
        <w:rPr>
          <w:rFonts w:ascii="Times New Roman" w:hAnsi="Times New Roman" w:cs="Times New Roman"/>
          <w:b/>
          <w:color w:val="5B9BD5" w:themeColor="accent1"/>
          <w:sz w:val="20"/>
          <w:szCs w:val="20"/>
        </w:rPr>
        <w:instrText xml:space="preserve"> SEQ Tabuľka \* ARABIC </w:instrText>
      </w:r>
      <w:r w:rsidRPr="005F5DA3">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78</w:t>
      </w:r>
      <w:r w:rsidRPr="005F5DA3">
        <w:rPr>
          <w:rFonts w:ascii="Times New Roman" w:hAnsi="Times New Roman" w:cs="Times New Roman"/>
          <w:b/>
          <w:color w:val="5B9BD5" w:themeColor="accent1"/>
          <w:sz w:val="20"/>
          <w:szCs w:val="20"/>
        </w:rPr>
        <w:fldChar w:fldCharType="end"/>
      </w:r>
      <w:r w:rsidRPr="005F5DA3">
        <w:rPr>
          <w:rFonts w:ascii="Times New Roman" w:hAnsi="Times New Roman" w:cs="Times New Roman"/>
          <w:b/>
          <w:color w:val="5B9BD5" w:themeColor="accent1"/>
          <w:sz w:val="20"/>
          <w:szCs w:val="20"/>
        </w:rPr>
        <w:t xml:space="preserve"> - </w:t>
      </w:r>
      <w:r w:rsidR="00DD531B" w:rsidRPr="005F5DA3">
        <w:rPr>
          <w:rFonts w:ascii="Times New Roman" w:eastAsia="Times New Roman" w:hAnsi="Times New Roman" w:cs="Times New Roman"/>
          <w:b/>
          <w:iCs/>
          <w:color w:val="5B9BD5" w:themeColor="accent1"/>
          <w:sz w:val="20"/>
          <w:szCs w:val="20"/>
          <w:lang w:eastAsia="sk-SK"/>
        </w:rPr>
        <w:t>Výdavky kapitoly MV SR</w:t>
      </w:r>
      <w:bookmarkEnd w:id="206"/>
    </w:p>
    <w:tbl>
      <w:tblPr>
        <w:tblW w:w="5000" w:type="pct"/>
        <w:tblLayout w:type="fixed"/>
        <w:tblCellMar>
          <w:left w:w="70" w:type="dxa"/>
          <w:right w:w="70" w:type="dxa"/>
        </w:tblCellMar>
        <w:tblLook w:val="04A0" w:firstRow="1" w:lastRow="0" w:firstColumn="1" w:lastColumn="0" w:noHBand="0" w:noVBand="1"/>
      </w:tblPr>
      <w:tblGrid>
        <w:gridCol w:w="3119"/>
        <w:gridCol w:w="851"/>
        <w:gridCol w:w="849"/>
        <w:gridCol w:w="893"/>
        <w:gridCol w:w="809"/>
        <w:gridCol w:w="851"/>
        <w:gridCol w:w="853"/>
        <w:gridCol w:w="847"/>
      </w:tblGrid>
      <w:tr w:rsidR="00C56B90" w:rsidRPr="00DD531B" w14:paraId="1AFE3553" w14:textId="77777777" w:rsidTr="00C56B90">
        <w:trPr>
          <w:trHeight w:val="300"/>
        </w:trPr>
        <w:tc>
          <w:tcPr>
            <w:tcW w:w="1719" w:type="pct"/>
            <w:tcBorders>
              <w:top w:val="single" w:sz="4" w:space="0" w:color="auto"/>
              <w:left w:val="nil"/>
              <w:bottom w:val="single" w:sz="4" w:space="0" w:color="auto"/>
              <w:right w:val="nil"/>
            </w:tcBorders>
            <w:shd w:val="clear" w:color="auto" w:fill="auto"/>
            <w:noWrap/>
            <w:vAlign w:val="center"/>
            <w:hideMark/>
          </w:tcPr>
          <w:p w14:paraId="7D87ACE8" w14:textId="77777777" w:rsidR="00DD531B" w:rsidRPr="00C56B90" w:rsidRDefault="00DD531B" w:rsidP="00DD531B">
            <w:pPr>
              <w:spacing w:after="0" w:line="240" w:lineRule="auto"/>
              <w:rPr>
                <w:rFonts w:ascii="Times New Roman" w:eastAsia="Times New Roman" w:hAnsi="Times New Roman" w:cs="Times New Roman"/>
                <w:b/>
                <w:bCs/>
                <w:color w:val="000000"/>
                <w:sz w:val="16"/>
                <w:szCs w:val="16"/>
                <w:lang w:eastAsia="sk-SK"/>
              </w:rPr>
            </w:pPr>
            <w:r w:rsidRPr="00C56B90">
              <w:rPr>
                <w:rFonts w:ascii="Times New Roman" w:eastAsia="Times New Roman" w:hAnsi="Times New Roman" w:cs="Times New Roman"/>
                <w:b/>
                <w:bCs/>
                <w:color w:val="000000"/>
                <w:sz w:val="16"/>
                <w:szCs w:val="16"/>
                <w:lang w:eastAsia="sk-SK"/>
              </w:rPr>
              <w:t>v tis. eur</w:t>
            </w:r>
          </w:p>
        </w:tc>
        <w:tc>
          <w:tcPr>
            <w:tcW w:w="469" w:type="pct"/>
            <w:tcBorders>
              <w:top w:val="single" w:sz="4" w:space="0" w:color="auto"/>
              <w:left w:val="nil"/>
              <w:bottom w:val="single" w:sz="4" w:space="0" w:color="auto"/>
              <w:right w:val="nil"/>
            </w:tcBorders>
            <w:shd w:val="clear" w:color="auto" w:fill="auto"/>
            <w:noWrap/>
            <w:vAlign w:val="center"/>
            <w:hideMark/>
          </w:tcPr>
          <w:p w14:paraId="5901461A" w14:textId="77777777" w:rsidR="00DD531B" w:rsidRPr="00C56B90" w:rsidRDefault="00DD531B" w:rsidP="005F5DA3">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2021 S</w:t>
            </w:r>
          </w:p>
        </w:tc>
        <w:tc>
          <w:tcPr>
            <w:tcW w:w="468" w:type="pct"/>
            <w:tcBorders>
              <w:top w:val="single" w:sz="4" w:space="0" w:color="auto"/>
              <w:left w:val="nil"/>
              <w:bottom w:val="single" w:sz="4" w:space="0" w:color="auto"/>
              <w:right w:val="nil"/>
            </w:tcBorders>
            <w:shd w:val="clear" w:color="auto" w:fill="auto"/>
            <w:noWrap/>
            <w:vAlign w:val="center"/>
            <w:hideMark/>
          </w:tcPr>
          <w:p w14:paraId="20EB3D2C" w14:textId="77777777" w:rsidR="00DD531B" w:rsidRPr="00C56B90" w:rsidRDefault="00DD531B" w:rsidP="005F5DA3">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2022 S</w:t>
            </w:r>
          </w:p>
        </w:tc>
        <w:tc>
          <w:tcPr>
            <w:tcW w:w="492" w:type="pct"/>
            <w:tcBorders>
              <w:top w:val="single" w:sz="4" w:space="0" w:color="auto"/>
              <w:left w:val="nil"/>
              <w:bottom w:val="single" w:sz="4" w:space="0" w:color="auto"/>
              <w:right w:val="nil"/>
            </w:tcBorders>
            <w:shd w:val="clear" w:color="auto" w:fill="auto"/>
            <w:noWrap/>
            <w:vAlign w:val="center"/>
            <w:hideMark/>
          </w:tcPr>
          <w:p w14:paraId="7B967FC5" w14:textId="77777777" w:rsidR="00DD531B" w:rsidRPr="00C56B90" w:rsidRDefault="00DD531B" w:rsidP="005F5DA3">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2023 R</w:t>
            </w:r>
          </w:p>
        </w:tc>
        <w:tc>
          <w:tcPr>
            <w:tcW w:w="446" w:type="pct"/>
            <w:tcBorders>
              <w:top w:val="single" w:sz="4" w:space="0" w:color="auto"/>
              <w:left w:val="nil"/>
              <w:bottom w:val="single" w:sz="4" w:space="0" w:color="auto"/>
              <w:right w:val="nil"/>
            </w:tcBorders>
            <w:shd w:val="clear" w:color="auto" w:fill="auto"/>
            <w:noWrap/>
            <w:vAlign w:val="center"/>
            <w:hideMark/>
          </w:tcPr>
          <w:p w14:paraId="57B0B102" w14:textId="77777777" w:rsidR="00DD531B" w:rsidRPr="00C56B90" w:rsidRDefault="00DD531B" w:rsidP="005F5DA3">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2023 OS</w:t>
            </w:r>
          </w:p>
        </w:tc>
        <w:tc>
          <w:tcPr>
            <w:tcW w:w="469" w:type="pct"/>
            <w:tcBorders>
              <w:top w:val="single" w:sz="4" w:space="0" w:color="auto"/>
              <w:left w:val="nil"/>
              <w:bottom w:val="single" w:sz="4" w:space="0" w:color="auto"/>
              <w:right w:val="nil"/>
            </w:tcBorders>
            <w:shd w:val="clear" w:color="auto" w:fill="auto"/>
            <w:noWrap/>
            <w:vAlign w:val="center"/>
            <w:hideMark/>
          </w:tcPr>
          <w:p w14:paraId="30839117" w14:textId="77777777" w:rsidR="00DD531B" w:rsidRPr="00C56B90" w:rsidRDefault="00DD531B" w:rsidP="005F5DA3">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2024 N</w:t>
            </w:r>
          </w:p>
        </w:tc>
        <w:tc>
          <w:tcPr>
            <w:tcW w:w="470" w:type="pct"/>
            <w:tcBorders>
              <w:top w:val="single" w:sz="4" w:space="0" w:color="auto"/>
              <w:left w:val="nil"/>
              <w:bottom w:val="single" w:sz="4" w:space="0" w:color="auto"/>
              <w:right w:val="nil"/>
            </w:tcBorders>
            <w:shd w:val="clear" w:color="auto" w:fill="auto"/>
            <w:noWrap/>
            <w:vAlign w:val="center"/>
            <w:hideMark/>
          </w:tcPr>
          <w:p w14:paraId="4261E065" w14:textId="77777777" w:rsidR="00DD531B" w:rsidRPr="00C56B90" w:rsidRDefault="00DD531B" w:rsidP="005F5DA3">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2025 N</w:t>
            </w:r>
          </w:p>
        </w:tc>
        <w:tc>
          <w:tcPr>
            <w:tcW w:w="467" w:type="pct"/>
            <w:tcBorders>
              <w:top w:val="single" w:sz="4" w:space="0" w:color="auto"/>
              <w:left w:val="nil"/>
              <w:bottom w:val="single" w:sz="4" w:space="0" w:color="auto"/>
              <w:right w:val="nil"/>
            </w:tcBorders>
            <w:shd w:val="clear" w:color="auto" w:fill="auto"/>
            <w:noWrap/>
            <w:vAlign w:val="center"/>
            <w:hideMark/>
          </w:tcPr>
          <w:p w14:paraId="3FEA4FA5" w14:textId="77777777" w:rsidR="00DD531B" w:rsidRPr="00C56B90" w:rsidRDefault="00DD531B" w:rsidP="005F5DA3">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2026 N</w:t>
            </w:r>
          </w:p>
        </w:tc>
      </w:tr>
      <w:tr w:rsidR="00C56B90" w:rsidRPr="00DD531B" w14:paraId="5F24D9C3" w14:textId="77777777" w:rsidTr="00C56B90">
        <w:trPr>
          <w:trHeight w:val="300"/>
        </w:trPr>
        <w:tc>
          <w:tcPr>
            <w:tcW w:w="1719" w:type="pct"/>
            <w:tcBorders>
              <w:top w:val="nil"/>
              <w:left w:val="nil"/>
              <w:bottom w:val="nil"/>
              <w:right w:val="nil"/>
            </w:tcBorders>
            <w:shd w:val="clear" w:color="auto" w:fill="auto"/>
            <w:noWrap/>
            <w:vAlign w:val="center"/>
            <w:hideMark/>
          </w:tcPr>
          <w:p w14:paraId="25507677" w14:textId="77777777" w:rsidR="00DD531B" w:rsidRPr="00C56B90" w:rsidRDefault="00DD531B" w:rsidP="00DD531B">
            <w:pPr>
              <w:spacing w:after="0" w:line="240" w:lineRule="auto"/>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Výdavky kapitoly spolu</w:t>
            </w:r>
          </w:p>
        </w:tc>
        <w:tc>
          <w:tcPr>
            <w:tcW w:w="469" w:type="pct"/>
            <w:tcBorders>
              <w:top w:val="nil"/>
              <w:left w:val="nil"/>
              <w:bottom w:val="nil"/>
              <w:right w:val="nil"/>
            </w:tcBorders>
            <w:shd w:val="clear" w:color="auto" w:fill="auto"/>
            <w:noWrap/>
            <w:vAlign w:val="center"/>
            <w:hideMark/>
          </w:tcPr>
          <w:p w14:paraId="1ADD6762"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1 735 409</w:t>
            </w:r>
          </w:p>
        </w:tc>
        <w:tc>
          <w:tcPr>
            <w:tcW w:w="468" w:type="pct"/>
            <w:tcBorders>
              <w:top w:val="nil"/>
              <w:left w:val="nil"/>
              <w:bottom w:val="nil"/>
              <w:right w:val="nil"/>
            </w:tcBorders>
            <w:shd w:val="clear" w:color="auto" w:fill="auto"/>
            <w:noWrap/>
            <w:vAlign w:val="center"/>
            <w:hideMark/>
          </w:tcPr>
          <w:p w14:paraId="3AD3DE43"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1 856 878</w:t>
            </w:r>
          </w:p>
        </w:tc>
        <w:tc>
          <w:tcPr>
            <w:tcW w:w="492" w:type="pct"/>
            <w:tcBorders>
              <w:top w:val="nil"/>
              <w:left w:val="nil"/>
              <w:bottom w:val="nil"/>
              <w:right w:val="nil"/>
            </w:tcBorders>
            <w:shd w:val="clear" w:color="auto" w:fill="auto"/>
            <w:noWrap/>
            <w:vAlign w:val="center"/>
            <w:hideMark/>
          </w:tcPr>
          <w:p w14:paraId="6D028B00"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1 873 006</w:t>
            </w:r>
          </w:p>
        </w:tc>
        <w:tc>
          <w:tcPr>
            <w:tcW w:w="446" w:type="pct"/>
            <w:tcBorders>
              <w:top w:val="nil"/>
              <w:left w:val="nil"/>
              <w:bottom w:val="nil"/>
              <w:right w:val="nil"/>
            </w:tcBorders>
            <w:shd w:val="clear" w:color="auto" w:fill="auto"/>
            <w:noWrap/>
            <w:vAlign w:val="center"/>
            <w:hideMark/>
          </w:tcPr>
          <w:p w14:paraId="159B76F7"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2 147 418</w:t>
            </w:r>
          </w:p>
        </w:tc>
        <w:tc>
          <w:tcPr>
            <w:tcW w:w="469" w:type="pct"/>
            <w:tcBorders>
              <w:top w:val="nil"/>
              <w:left w:val="nil"/>
              <w:bottom w:val="nil"/>
              <w:right w:val="nil"/>
            </w:tcBorders>
            <w:shd w:val="clear" w:color="auto" w:fill="auto"/>
            <w:noWrap/>
            <w:vAlign w:val="center"/>
            <w:hideMark/>
          </w:tcPr>
          <w:p w14:paraId="082F8DDE"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1 865 465</w:t>
            </w:r>
          </w:p>
        </w:tc>
        <w:tc>
          <w:tcPr>
            <w:tcW w:w="470" w:type="pct"/>
            <w:tcBorders>
              <w:top w:val="nil"/>
              <w:left w:val="nil"/>
              <w:bottom w:val="nil"/>
              <w:right w:val="nil"/>
            </w:tcBorders>
            <w:shd w:val="clear" w:color="auto" w:fill="auto"/>
            <w:noWrap/>
            <w:vAlign w:val="center"/>
            <w:hideMark/>
          </w:tcPr>
          <w:p w14:paraId="2362309A"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1 816 617</w:t>
            </w:r>
          </w:p>
        </w:tc>
        <w:tc>
          <w:tcPr>
            <w:tcW w:w="467" w:type="pct"/>
            <w:tcBorders>
              <w:top w:val="nil"/>
              <w:left w:val="nil"/>
              <w:bottom w:val="nil"/>
              <w:right w:val="nil"/>
            </w:tcBorders>
            <w:shd w:val="clear" w:color="auto" w:fill="auto"/>
            <w:noWrap/>
            <w:vAlign w:val="center"/>
            <w:hideMark/>
          </w:tcPr>
          <w:p w14:paraId="08EF4B35"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1 836 814</w:t>
            </w:r>
          </w:p>
        </w:tc>
      </w:tr>
      <w:tr w:rsidR="00C56B90" w:rsidRPr="00DD531B" w14:paraId="217053C2" w14:textId="77777777" w:rsidTr="00C56B90">
        <w:trPr>
          <w:trHeight w:val="300"/>
        </w:trPr>
        <w:tc>
          <w:tcPr>
            <w:tcW w:w="1719" w:type="pct"/>
            <w:tcBorders>
              <w:top w:val="nil"/>
              <w:left w:val="nil"/>
              <w:bottom w:val="nil"/>
              <w:right w:val="nil"/>
            </w:tcBorders>
            <w:shd w:val="clear" w:color="auto" w:fill="auto"/>
            <w:noWrap/>
            <w:vAlign w:val="bottom"/>
            <w:hideMark/>
          </w:tcPr>
          <w:p w14:paraId="23C2FFCF" w14:textId="77777777" w:rsidR="00DD531B" w:rsidRPr="00C56B90" w:rsidRDefault="00DD531B" w:rsidP="00DD531B">
            <w:pPr>
              <w:spacing w:after="0" w:line="240" w:lineRule="auto"/>
              <w:rPr>
                <w:rFonts w:ascii="Times New Roman" w:eastAsia="Times New Roman" w:hAnsi="Times New Roman" w:cs="Times New Roman"/>
                <w:b/>
                <w:bCs/>
                <w:color w:val="000000"/>
                <w:sz w:val="16"/>
                <w:szCs w:val="16"/>
                <w:lang w:eastAsia="sk-SK"/>
              </w:rPr>
            </w:pPr>
            <w:r w:rsidRPr="00C56B90">
              <w:rPr>
                <w:rFonts w:ascii="Times New Roman" w:eastAsia="Times New Roman" w:hAnsi="Times New Roman" w:cs="Times New Roman"/>
                <w:b/>
                <w:bCs/>
                <w:color w:val="000000"/>
                <w:sz w:val="16"/>
                <w:szCs w:val="16"/>
                <w:lang w:eastAsia="sk-SK"/>
              </w:rPr>
              <w:t>rozpočtové zdroje kapitoly</w:t>
            </w:r>
          </w:p>
        </w:tc>
        <w:tc>
          <w:tcPr>
            <w:tcW w:w="469" w:type="pct"/>
            <w:tcBorders>
              <w:top w:val="nil"/>
              <w:left w:val="nil"/>
              <w:bottom w:val="nil"/>
              <w:right w:val="nil"/>
            </w:tcBorders>
            <w:shd w:val="clear" w:color="auto" w:fill="auto"/>
            <w:noWrap/>
            <w:vAlign w:val="bottom"/>
            <w:hideMark/>
          </w:tcPr>
          <w:p w14:paraId="0ADC663E"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1 606 603</w:t>
            </w:r>
          </w:p>
        </w:tc>
        <w:tc>
          <w:tcPr>
            <w:tcW w:w="468" w:type="pct"/>
            <w:tcBorders>
              <w:top w:val="nil"/>
              <w:left w:val="nil"/>
              <w:bottom w:val="nil"/>
              <w:right w:val="nil"/>
            </w:tcBorders>
            <w:shd w:val="clear" w:color="auto" w:fill="auto"/>
            <w:noWrap/>
            <w:vAlign w:val="bottom"/>
            <w:hideMark/>
          </w:tcPr>
          <w:p w14:paraId="444B1B49"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1 662 129</w:t>
            </w:r>
          </w:p>
        </w:tc>
        <w:tc>
          <w:tcPr>
            <w:tcW w:w="492" w:type="pct"/>
            <w:tcBorders>
              <w:top w:val="nil"/>
              <w:left w:val="nil"/>
              <w:bottom w:val="nil"/>
              <w:right w:val="nil"/>
            </w:tcBorders>
            <w:shd w:val="clear" w:color="auto" w:fill="auto"/>
            <w:noWrap/>
            <w:vAlign w:val="bottom"/>
            <w:hideMark/>
          </w:tcPr>
          <w:p w14:paraId="1062934B"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1 579 045</w:t>
            </w:r>
          </w:p>
        </w:tc>
        <w:tc>
          <w:tcPr>
            <w:tcW w:w="446" w:type="pct"/>
            <w:tcBorders>
              <w:top w:val="nil"/>
              <w:left w:val="nil"/>
              <w:bottom w:val="nil"/>
              <w:right w:val="nil"/>
            </w:tcBorders>
            <w:shd w:val="clear" w:color="auto" w:fill="auto"/>
            <w:noWrap/>
            <w:vAlign w:val="bottom"/>
            <w:hideMark/>
          </w:tcPr>
          <w:p w14:paraId="30B95A92"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1 743 328</w:t>
            </w:r>
          </w:p>
        </w:tc>
        <w:tc>
          <w:tcPr>
            <w:tcW w:w="469" w:type="pct"/>
            <w:tcBorders>
              <w:top w:val="nil"/>
              <w:left w:val="nil"/>
              <w:bottom w:val="nil"/>
              <w:right w:val="nil"/>
            </w:tcBorders>
            <w:shd w:val="clear" w:color="auto" w:fill="auto"/>
            <w:noWrap/>
            <w:vAlign w:val="bottom"/>
            <w:hideMark/>
          </w:tcPr>
          <w:p w14:paraId="51D460F7"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1 819 294</w:t>
            </w:r>
          </w:p>
        </w:tc>
        <w:tc>
          <w:tcPr>
            <w:tcW w:w="470" w:type="pct"/>
            <w:tcBorders>
              <w:top w:val="nil"/>
              <w:left w:val="nil"/>
              <w:bottom w:val="nil"/>
              <w:right w:val="nil"/>
            </w:tcBorders>
            <w:shd w:val="clear" w:color="auto" w:fill="auto"/>
            <w:noWrap/>
            <w:vAlign w:val="bottom"/>
            <w:hideMark/>
          </w:tcPr>
          <w:p w14:paraId="5B98B9F9"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1 773 656</w:t>
            </w:r>
          </w:p>
        </w:tc>
        <w:tc>
          <w:tcPr>
            <w:tcW w:w="467" w:type="pct"/>
            <w:tcBorders>
              <w:top w:val="nil"/>
              <w:left w:val="nil"/>
              <w:bottom w:val="nil"/>
              <w:right w:val="nil"/>
            </w:tcBorders>
            <w:shd w:val="clear" w:color="auto" w:fill="auto"/>
            <w:noWrap/>
            <w:vAlign w:val="bottom"/>
            <w:hideMark/>
          </w:tcPr>
          <w:p w14:paraId="0D2361EC"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1 774 509</w:t>
            </w:r>
          </w:p>
        </w:tc>
      </w:tr>
      <w:tr w:rsidR="00C56B90" w:rsidRPr="00DD531B" w14:paraId="1720C095" w14:textId="77777777" w:rsidTr="00C56B90">
        <w:trPr>
          <w:trHeight w:val="300"/>
        </w:trPr>
        <w:tc>
          <w:tcPr>
            <w:tcW w:w="1719" w:type="pct"/>
            <w:tcBorders>
              <w:top w:val="nil"/>
              <w:left w:val="nil"/>
              <w:bottom w:val="nil"/>
              <w:right w:val="nil"/>
            </w:tcBorders>
            <w:shd w:val="clear" w:color="auto" w:fill="auto"/>
            <w:noWrap/>
            <w:vAlign w:val="bottom"/>
            <w:hideMark/>
          </w:tcPr>
          <w:p w14:paraId="6D49F5B7" w14:textId="77777777" w:rsidR="00DD531B" w:rsidRPr="00C56B90" w:rsidRDefault="00DD531B" w:rsidP="00DD531B">
            <w:pPr>
              <w:spacing w:after="0" w:line="240" w:lineRule="auto"/>
              <w:rPr>
                <w:rFonts w:ascii="Times New Roman" w:eastAsia="Times New Roman" w:hAnsi="Times New Roman" w:cs="Times New Roman"/>
                <w:color w:val="000000"/>
                <w:sz w:val="16"/>
                <w:szCs w:val="16"/>
                <w:lang w:eastAsia="sk-SK"/>
              </w:rPr>
            </w:pPr>
            <w:r w:rsidRPr="00C56B90">
              <w:rPr>
                <w:rFonts w:ascii="Times New Roman" w:eastAsia="Times New Roman" w:hAnsi="Times New Roman" w:cs="Times New Roman"/>
                <w:color w:val="000000"/>
                <w:sz w:val="16"/>
                <w:szCs w:val="16"/>
                <w:lang w:eastAsia="sk-SK"/>
              </w:rPr>
              <w:t>bežné výdavky  600, v tom:</w:t>
            </w:r>
          </w:p>
        </w:tc>
        <w:tc>
          <w:tcPr>
            <w:tcW w:w="469" w:type="pct"/>
            <w:tcBorders>
              <w:top w:val="nil"/>
              <w:left w:val="nil"/>
              <w:bottom w:val="nil"/>
              <w:right w:val="nil"/>
            </w:tcBorders>
            <w:shd w:val="clear" w:color="auto" w:fill="auto"/>
            <w:noWrap/>
            <w:vAlign w:val="bottom"/>
            <w:hideMark/>
          </w:tcPr>
          <w:p w14:paraId="49646F2E"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1 598 210</w:t>
            </w:r>
          </w:p>
        </w:tc>
        <w:tc>
          <w:tcPr>
            <w:tcW w:w="468" w:type="pct"/>
            <w:tcBorders>
              <w:top w:val="nil"/>
              <w:left w:val="nil"/>
              <w:bottom w:val="nil"/>
              <w:right w:val="nil"/>
            </w:tcBorders>
            <w:shd w:val="clear" w:color="auto" w:fill="auto"/>
            <w:noWrap/>
            <w:vAlign w:val="bottom"/>
            <w:hideMark/>
          </w:tcPr>
          <w:p w14:paraId="2D0A21BC"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1 620 842</w:t>
            </w:r>
          </w:p>
        </w:tc>
        <w:tc>
          <w:tcPr>
            <w:tcW w:w="492" w:type="pct"/>
            <w:tcBorders>
              <w:top w:val="nil"/>
              <w:left w:val="nil"/>
              <w:bottom w:val="nil"/>
              <w:right w:val="nil"/>
            </w:tcBorders>
            <w:shd w:val="clear" w:color="auto" w:fill="auto"/>
            <w:noWrap/>
            <w:vAlign w:val="bottom"/>
            <w:hideMark/>
          </w:tcPr>
          <w:p w14:paraId="78BD03F5"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1 569 774</w:t>
            </w:r>
          </w:p>
        </w:tc>
        <w:tc>
          <w:tcPr>
            <w:tcW w:w="446" w:type="pct"/>
            <w:tcBorders>
              <w:top w:val="nil"/>
              <w:left w:val="nil"/>
              <w:bottom w:val="nil"/>
              <w:right w:val="nil"/>
            </w:tcBorders>
            <w:shd w:val="clear" w:color="auto" w:fill="auto"/>
            <w:noWrap/>
            <w:vAlign w:val="bottom"/>
            <w:hideMark/>
          </w:tcPr>
          <w:p w14:paraId="064DC5F8"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1 696 893</w:t>
            </w:r>
          </w:p>
        </w:tc>
        <w:tc>
          <w:tcPr>
            <w:tcW w:w="469" w:type="pct"/>
            <w:tcBorders>
              <w:top w:val="nil"/>
              <w:left w:val="nil"/>
              <w:bottom w:val="nil"/>
              <w:right w:val="nil"/>
            </w:tcBorders>
            <w:shd w:val="clear" w:color="auto" w:fill="auto"/>
            <w:noWrap/>
            <w:vAlign w:val="bottom"/>
            <w:hideMark/>
          </w:tcPr>
          <w:p w14:paraId="70B06739"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1 743 698</w:t>
            </w:r>
          </w:p>
        </w:tc>
        <w:tc>
          <w:tcPr>
            <w:tcW w:w="470" w:type="pct"/>
            <w:tcBorders>
              <w:top w:val="nil"/>
              <w:left w:val="nil"/>
              <w:bottom w:val="nil"/>
              <w:right w:val="nil"/>
            </w:tcBorders>
            <w:shd w:val="clear" w:color="auto" w:fill="auto"/>
            <w:noWrap/>
            <w:vAlign w:val="bottom"/>
            <w:hideMark/>
          </w:tcPr>
          <w:p w14:paraId="3A74F563"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1 695 748</w:t>
            </w:r>
          </w:p>
        </w:tc>
        <w:tc>
          <w:tcPr>
            <w:tcW w:w="467" w:type="pct"/>
            <w:tcBorders>
              <w:top w:val="nil"/>
              <w:left w:val="nil"/>
              <w:bottom w:val="nil"/>
              <w:right w:val="nil"/>
            </w:tcBorders>
            <w:shd w:val="clear" w:color="auto" w:fill="auto"/>
            <w:noWrap/>
            <w:vAlign w:val="bottom"/>
            <w:hideMark/>
          </w:tcPr>
          <w:p w14:paraId="33F69E39"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1 715 796</w:t>
            </w:r>
          </w:p>
        </w:tc>
      </w:tr>
      <w:tr w:rsidR="00C56B90" w:rsidRPr="00DD531B" w14:paraId="0ACCB9C6" w14:textId="77777777" w:rsidTr="00C56B90">
        <w:trPr>
          <w:trHeight w:val="300"/>
        </w:trPr>
        <w:tc>
          <w:tcPr>
            <w:tcW w:w="1719" w:type="pct"/>
            <w:tcBorders>
              <w:top w:val="nil"/>
              <w:left w:val="nil"/>
              <w:bottom w:val="nil"/>
              <w:right w:val="nil"/>
            </w:tcBorders>
            <w:shd w:val="clear" w:color="auto" w:fill="auto"/>
            <w:noWrap/>
            <w:vAlign w:val="bottom"/>
            <w:hideMark/>
          </w:tcPr>
          <w:p w14:paraId="5E88DFBB" w14:textId="77777777" w:rsidR="00DD531B" w:rsidRPr="00C56B90" w:rsidRDefault="00DD531B" w:rsidP="00DD531B">
            <w:pPr>
              <w:spacing w:after="0" w:line="240" w:lineRule="auto"/>
              <w:rPr>
                <w:rFonts w:ascii="Times New Roman" w:eastAsia="Times New Roman" w:hAnsi="Times New Roman" w:cs="Times New Roman"/>
                <w:color w:val="000000"/>
                <w:sz w:val="16"/>
                <w:szCs w:val="16"/>
                <w:lang w:eastAsia="sk-SK"/>
              </w:rPr>
            </w:pPr>
            <w:r w:rsidRPr="00C56B90">
              <w:rPr>
                <w:rFonts w:ascii="Times New Roman" w:eastAsia="Times New Roman" w:hAnsi="Times New Roman" w:cs="Times New Roman"/>
                <w:color w:val="000000"/>
                <w:sz w:val="16"/>
                <w:szCs w:val="16"/>
                <w:lang w:eastAsia="sk-SK"/>
              </w:rPr>
              <w:t>610 mzdy</w:t>
            </w:r>
          </w:p>
        </w:tc>
        <w:tc>
          <w:tcPr>
            <w:tcW w:w="469" w:type="pct"/>
            <w:tcBorders>
              <w:top w:val="nil"/>
              <w:left w:val="nil"/>
              <w:bottom w:val="nil"/>
              <w:right w:val="nil"/>
            </w:tcBorders>
            <w:shd w:val="clear" w:color="auto" w:fill="auto"/>
            <w:noWrap/>
            <w:vAlign w:val="bottom"/>
            <w:hideMark/>
          </w:tcPr>
          <w:p w14:paraId="43FBED56"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774 197</w:t>
            </w:r>
          </w:p>
        </w:tc>
        <w:tc>
          <w:tcPr>
            <w:tcW w:w="468" w:type="pct"/>
            <w:tcBorders>
              <w:top w:val="nil"/>
              <w:left w:val="nil"/>
              <w:bottom w:val="nil"/>
              <w:right w:val="nil"/>
            </w:tcBorders>
            <w:shd w:val="clear" w:color="auto" w:fill="auto"/>
            <w:noWrap/>
            <w:vAlign w:val="bottom"/>
            <w:hideMark/>
          </w:tcPr>
          <w:p w14:paraId="32CCE55E"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760 417</w:t>
            </w:r>
          </w:p>
        </w:tc>
        <w:tc>
          <w:tcPr>
            <w:tcW w:w="492" w:type="pct"/>
            <w:tcBorders>
              <w:top w:val="nil"/>
              <w:left w:val="nil"/>
              <w:bottom w:val="nil"/>
              <w:right w:val="nil"/>
            </w:tcBorders>
            <w:shd w:val="clear" w:color="auto" w:fill="auto"/>
            <w:noWrap/>
            <w:vAlign w:val="bottom"/>
            <w:hideMark/>
          </w:tcPr>
          <w:p w14:paraId="79881AEA"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838 591</w:t>
            </w:r>
          </w:p>
        </w:tc>
        <w:tc>
          <w:tcPr>
            <w:tcW w:w="446" w:type="pct"/>
            <w:tcBorders>
              <w:top w:val="nil"/>
              <w:left w:val="nil"/>
              <w:bottom w:val="nil"/>
              <w:right w:val="nil"/>
            </w:tcBorders>
            <w:shd w:val="clear" w:color="auto" w:fill="auto"/>
            <w:noWrap/>
            <w:vAlign w:val="bottom"/>
            <w:hideMark/>
          </w:tcPr>
          <w:p w14:paraId="757D860E"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854 877</w:t>
            </w:r>
          </w:p>
        </w:tc>
        <w:tc>
          <w:tcPr>
            <w:tcW w:w="469" w:type="pct"/>
            <w:tcBorders>
              <w:top w:val="nil"/>
              <w:left w:val="nil"/>
              <w:bottom w:val="nil"/>
              <w:right w:val="nil"/>
            </w:tcBorders>
            <w:shd w:val="clear" w:color="auto" w:fill="auto"/>
            <w:noWrap/>
            <w:vAlign w:val="bottom"/>
            <w:hideMark/>
          </w:tcPr>
          <w:p w14:paraId="6B8CBB72"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906 620</w:t>
            </w:r>
          </w:p>
        </w:tc>
        <w:tc>
          <w:tcPr>
            <w:tcW w:w="470" w:type="pct"/>
            <w:tcBorders>
              <w:top w:val="nil"/>
              <w:left w:val="nil"/>
              <w:bottom w:val="nil"/>
              <w:right w:val="nil"/>
            </w:tcBorders>
            <w:shd w:val="clear" w:color="auto" w:fill="auto"/>
            <w:noWrap/>
            <w:vAlign w:val="bottom"/>
            <w:hideMark/>
          </w:tcPr>
          <w:p w14:paraId="11000811"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902 161</w:t>
            </w:r>
          </w:p>
        </w:tc>
        <w:tc>
          <w:tcPr>
            <w:tcW w:w="467" w:type="pct"/>
            <w:tcBorders>
              <w:top w:val="nil"/>
              <w:left w:val="nil"/>
              <w:bottom w:val="nil"/>
              <w:right w:val="nil"/>
            </w:tcBorders>
            <w:shd w:val="clear" w:color="auto" w:fill="auto"/>
            <w:noWrap/>
            <w:vAlign w:val="bottom"/>
            <w:hideMark/>
          </w:tcPr>
          <w:p w14:paraId="49422D32"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903 808</w:t>
            </w:r>
          </w:p>
        </w:tc>
      </w:tr>
      <w:tr w:rsidR="00C56B90" w:rsidRPr="00DD531B" w14:paraId="6B924E3E" w14:textId="77777777" w:rsidTr="00C56B90">
        <w:trPr>
          <w:trHeight w:val="300"/>
        </w:trPr>
        <w:tc>
          <w:tcPr>
            <w:tcW w:w="1719" w:type="pct"/>
            <w:tcBorders>
              <w:top w:val="nil"/>
              <w:left w:val="nil"/>
              <w:bottom w:val="nil"/>
              <w:right w:val="nil"/>
            </w:tcBorders>
            <w:shd w:val="clear" w:color="auto" w:fill="auto"/>
            <w:noWrap/>
            <w:vAlign w:val="bottom"/>
            <w:hideMark/>
          </w:tcPr>
          <w:p w14:paraId="6AFF95E7" w14:textId="77777777" w:rsidR="00DD531B" w:rsidRPr="00C56B90" w:rsidRDefault="00DD531B" w:rsidP="00DD531B">
            <w:pPr>
              <w:spacing w:after="0" w:line="240" w:lineRule="auto"/>
              <w:rPr>
                <w:rFonts w:ascii="Times New Roman" w:eastAsia="Times New Roman" w:hAnsi="Times New Roman" w:cs="Times New Roman"/>
                <w:color w:val="000000"/>
                <w:sz w:val="16"/>
                <w:szCs w:val="16"/>
                <w:lang w:eastAsia="sk-SK"/>
              </w:rPr>
            </w:pPr>
            <w:r w:rsidRPr="00C56B90">
              <w:rPr>
                <w:rFonts w:ascii="Times New Roman" w:eastAsia="Times New Roman" w:hAnsi="Times New Roman" w:cs="Times New Roman"/>
                <w:color w:val="000000"/>
                <w:sz w:val="16"/>
                <w:szCs w:val="16"/>
                <w:lang w:eastAsia="sk-SK"/>
              </w:rPr>
              <w:t>620 odvody</w:t>
            </w:r>
          </w:p>
        </w:tc>
        <w:tc>
          <w:tcPr>
            <w:tcW w:w="469" w:type="pct"/>
            <w:tcBorders>
              <w:top w:val="nil"/>
              <w:left w:val="nil"/>
              <w:bottom w:val="nil"/>
              <w:right w:val="nil"/>
            </w:tcBorders>
            <w:shd w:val="clear" w:color="auto" w:fill="auto"/>
            <w:noWrap/>
            <w:vAlign w:val="bottom"/>
            <w:hideMark/>
          </w:tcPr>
          <w:p w14:paraId="6A26A8DD"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282 038</w:t>
            </w:r>
          </w:p>
        </w:tc>
        <w:tc>
          <w:tcPr>
            <w:tcW w:w="468" w:type="pct"/>
            <w:tcBorders>
              <w:top w:val="nil"/>
              <w:left w:val="nil"/>
              <w:bottom w:val="nil"/>
              <w:right w:val="nil"/>
            </w:tcBorders>
            <w:shd w:val="clear" w:color="auto" w:fill="auto"/>
            <w:noWrap/>
            <w:vAlign w:val="bottom"/>
            <w:hideMark/>
          </w:tcPr>
          <w:p w14:paraId="6829207E"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280 027</w:t>
            </w:r>
          </w:p>
        </w:tc>
        <w:tc>
          <w:tcPr>
            <w:tcW w:w="492" w:type="pct"/>
            <w:tcBorders>
              <w:top w:val="nil"/>
              <w:left w:val="nil"/>
              <w:bottom w:val="nil"/>
              <w:right w:val="nil"/>
            </w:tcBorders>
            <w:shd w:val="clear" w:color="auto" w:fill="auto"/>
            <w:noWrap/>
            <w:vAlign w:val="bottom"/>
            <w:hideMark/>
          </w:tcPr>
          <w:p w14:paraId="0CD0656E"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293 420</w:t>
            </w:r>
          </w:p>
        </w:tc>
        <w:tc>
          <w:tcPr>
            <w:tcW w:w="446" w:type="pct"/>
            <w:tcBorders>
              <w:top w:val="nil"/>
              <w:left w:val="nil"/>
              <w:bottom w:val="nil"/>
              <w:right w:val="nil"/>
            </w:tcBorders>
            <w:shd w:val="clear" w:color="auto" w:fill="auto"/>
            <w:noWrap/>
            <w:vAlign w:val="bottom"/>
            <w:hideMark/>
          </w:tcPr>
          <w:p w14:paraId="31CFF6C4"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300 897</w:t>
            </w:r>
          </w:p>
        </w:tc>
        <w:tc>
          <w:tcPr>
            <w:tcW w:w="469" w:type="pct"/>
            <w:tcBorders>
              <w:top w:val="nil"/>
              <w:left w:val="nil"/>
              <w:bottom w:val="nil"/>
              <w:right w:val="nil"/>
            </w:tcBorders>
            <w:shd w:val="clear" w:color="auto" w:fill="auto"/>
            <w:noWrap/>
            <w:vAlign w:val="bottom"/>
            <w:hideMark/>
          </w:tcPr>
          <w:p w14:paraId="123A93D3"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317 903</w:t>
            </w:r>
          </w:p>
        </w:tc>
        <w:tc>
          <w:tcPr>
            <w:tcW w:w="470" w:type="pct"/>
            <w:tcBorders>
              <w:top w:val="nil"/>
              <w:left w:val="nil"/>
              <w:bottom w:val="nil"/>
              <w:right w:val="nil"/>
            </w:tcBorders>
            <w:shd w:val="clear" w:color="auto" w:fill="auto"/>
            <w:noWrap/>
            <w:vAlign w:val="bottom"/>
            <w:hideMark/>
          </w:tcPr>
          <w:p w14:paraId="6C45B83A"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316 344</w:t>
            </w:r>
          </w:p>
        </w:tc>
        <w:tc>
          <w:tcPr>
            <w:tcW w:w="467" w:type="pct"/>
            <w:tcBorders>
              <w:top w:val="nil"/>
              <w:left w:val="nil"/>
              <w:bottom w:val="nil"/>
              <w:right w:val="nil"/>
            </w:tcBorders>
            <w:shd w:val="clear" w:color="auto" w:fill="auto"/>
            <w:noWrap/>
            <w:vAlign w:val="bottom"/>
            <w:hideMark/>
          </w:tcPr>
          <w:p w14:paraId="49B97A36"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316 920</w:t>
            </w:r>
          </w:p>
        </w:tc>
      </w:tr>
      <w:tr w:rsidR="00C56B90" w:rsidRPr="00DD531B" w14:paraId="69ECA0EC" w14:textId="77777777" w:rsidTr="00C56B90">
        <w:trPr>
          <w:trHeight w:val="300"/>
        </w:trPr>
        <w:tc>
          <w:tcPr>
            <w:tcW w:w="1719" w:type="pct"/>
            <w:tcBorders>
              <w:top w:val="nil"/>
              <w:left w:val="nil"/>
              <w:bottom w:val="nil"/>
              <w:right w:val="nil"/>
            </w:tcBorders>
            <w:shd w:val="clear" w:color="auto" w:fill="auto"/>
            <w:noWrap/>
            <w:vAlign w:val="bottom"/>
            <w:hideMark/>
          </w:tcPr>
          <w:p w14:paraId="66D09E8D" w14:textId="77777777" w:rsidR="00DD531B" w:rsidRPr="00C56B90" w:rsidRDefault="00DD531B" w:rsidP="00DD531B">
            <w:pPr>
              <w:spacing w:after="0" w:line="240" w:lineRule="auto"/>
              <w:rPr>
                <w:rFonts w:ascii="Times New Roman" w:eastAsia="Times New Roman" w:hAnsi="Times New Roman" w:cs="Times New Roman"/>
                <w:color w:val="000000"/>
                <w:sz w:val="16"/>
                <w:szCs w:val="16"/>
                <w:lang w:eastAsia="sk-SK"/>
              </w:rPr>
            </w:pPr>
            <w:r w:rsidRPr="00C56B90">
              <w:rPr>
                <w:rFonts w:ascii="Times New Roman" w:eastAsia="Times New Roman" w:hAnsi="Times New Roman" w:cs="Times New Roman"/>
                <w:color w:val="000000"/>
                <w:sz w:val="16"/>
                <w:szCs w:val="16"/>
                <w:lang w:eastAsia="sk-SK"/>
              </w:rPr>
              <w:t>630 tovary a služby</w:t>
            </w:r>
          </w:p>
        </w:tc>
        <w:tc>
          <w:tcPr>
            <w:tcW w:w="469" w:type="pct"/>
            <w:tcBorders>
              <w:top w:val="nil"/>
              <w:left w:val="nil"/>
              <w:bottom w:val="nil"/>
              <w:right w:val="nil"/>
            </w:tcBorders>
            <w:shd w:val="clear" w:color="auto" w:fill="auto"/>
            <w:noWrap/>
            <w:vAlign w:val="bottom"/>
            <w:hideMark/>
          </w:tcPr>
          <w:p w14:paraId="6C5F7524"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309 854</w:t>
            </w:r>
          </w:p>
        </w:tc>
        <w:tc>
          <w:tcPr>
            <w:tcW w:w="468" w:type="pct"/>
            <w:tcBorders>
              <w:top w:val="nil"/>
              <w:left w:val="nil"/>
              <w:bottom w:val="nil"/>
              <w:right w:val="nil"/>
            </w:tcBorders>
            <w:shd w:val="clear" w:color="auto" w:fill="auto"/>
            <w:noWrap/>
            <w:vAlign w:val="bottom"/>
            <w:hideMark/>
          </w:tcPr>
          <w:p w14:paraId="251DD1D4"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396 134</w:t>
            </w:r>
          </w:p>
        </w:tc>
        <w:tc>
          <w:tcPr>
            <w:tcW w:w="492" w:type="pct"/>
            <w:tcBorders>
              <w:top w:val="nil"/>
              <w:left w:val="nil"/>
              <w:bottom w:val="nil"/>
              <w:right w:val="nil"/>
            </w:tcBorders>
            <w:shd w:val="clear" w:color="auto" w:fill="auto"/>
            <w:noWrap/>
            <w:vAlign w:val="bottom"/>
            <w:hideMark/>
          </w:tcPr>
          <w:p w14:paraId="04076D4A"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351 937</w:t>
            </w:r>
          </w:p>
        </w:tc>
        <w:tc>
          <w:tcPr>
            <w:tcW w:w="446" w:type="pct"/>
            <w:tcBorders>
              <w:top w:val="nil"/>
              <w:left w:val="nil"/>
              <w:bottom w:val="nil"/>
              <w:right w:val="nil"/>
            </w:tcBorders>
            <w:shd w:val="clear" w:color="auto" w:fill="auto"/>
            <w:noWrap/>
            <w:vAlign w:val="bottom"/>
            <w:hideMark/>
          </w:tcPr>
          <w:p w14:paraId="2BF856FF"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420 408</w:t>
            </w:r>
          </w:p>
        </w:tc>
        <w:tc>
          <w:tcPr>
            <w:tcW w:w="469" w:type="pct"/>
            <w:tcBorders>
              <w:top w:val="nil"/>
              <w:left w:val="nil"/>
              <w:bottom w:val="nil"/>
              <w:right w:val="nil"/>
            </w:tcBorders>
            <w:shd w:val="clear" w:color="auto" w:fill="auto"/>
            <w:noWrap/>
            <w:vAlign w:val="bottom"/>
            <w:hideMark/>
          </w:tcPr>
          <w:p w14:paraId="712E476E"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403 365</w:t>
            </w:r>
          </w:p>
        </w:tc>
        <w:tc>
          <w:tcPr>
            <w:tcW w:w="470" w:type="pct"/>
            <w:tcBorders>
              <w:top w:val="nil"/>
              <w:left w:val="nil"/>
              <w:bottom w:val="nil"/>
              <w:right w:val="nil"/>
            </w:tcBorders>
            <w:shd w:val="clear" w:color="auto" w:fill="auto"/>
            <w:noWrap/>
            <w:vAlign w:val="bottom"/>
            <w:hideMark/>
          </w:tcPr>
          <w:p w14:paraId="17773C27"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381 502</w:t>
            </w:r>
          </w:p>
        </w:tc>
        <w:tc>
          <w:tcPr>
            <w:tcW w:w="467" w:type="pct"/>
            <w:tcBorders>
              <w:top w:val="nil"/>
              <w:left w:val="nil"/>
              <w:bottom w:val="nil"/>
              <w:right w:val="nil"/>
            </w:tcBorders>
            <w:shd w:val="clear" w:color="auto" w:fill="auto"/>
            <w:noWrap/>
            <w:vAlign w:val="bottom"/>
            <w:hideMark/>
          </w:tcPr>
          <w:p w14:paraId="544B5AF1"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383 202</w:t>
            </w:r>
          </w:p>
        </w:tc>
      </w:tr>
      <w:tr w:rsidR="00C56B90" w:rsidRPr="00DD531B" w14:paraId="2D8728C9" w14:textId="77777777" w:rsidTr="00C56B90">
        <w:trPr>
          <w:trHeight w:val="300"/>
        </w:trPr>
        <w:tc>
          <w:tcPr>
            <w:tcW w:w="1719" w:type="pct"/>
            <w:tcBorders>
              <w:top w:val="nil"/>
              <w:left w:val="nil"/>
              <w:bottom w:val="nil"/>
              <w:right w:val="nil"/>
            </w:tcBorders>
            <w:shd w:val="clear" w:color="auto" w:fill="auto"/>
            <w:noWrap/>
            <w:vAlign w:val="bottom"/>
            <w:hideMark/>
          </w:tcPr>
          <w:p w14:paraId="35E6619D" w14:textId="77777777" w:rsidR="00DD531B" w:rsidRPr="00C56B90" w:rsidRDefault="00DD531B" w:rsidP="00DD531B">
            <w:pPr>
              <w:spacing w:after="0" w:line="240" w:lineRule="auto"/>
              <w:rPr>
                <w:rFonts w:ascii="Times New Roman" w:eastAsia="Times New Roman" w:hAnsi="Times New Roman" w:cs="Times New Roman"/>
                <w:color w:val="000000"/>
                <w:sz w:val="16"/>
                <w:szCs w:val="16"/>
                <w:lang w:eastAsia="sk-SK"/>
              </w:rPr>
            </w:pPr>
            <w:r w:rsidRPr="00C56B90">
              <w:rPr>
                <w:rFonts w:ascii="Times New Roman" w:eastAsia="Times New Roman" w:hAnsi="Times New Roman" w:cs="Times New Roman"/>
                <w:color w:val="000000"/>
                <w:sz w:val="16"/>
                <w:szCs w:val="16"/>
                <w:lang w:eastAsia="sk-SK"/>
              </w:rPr>
              <w:t>640 bežné transfery</w:t>
            </w:r>
          </w:p>
        </w:tc>
        <w:tc>
          <w:tcPr>
            <w:tcW w:w="469" w:type="pct"/>
            <w:tcBorders>
              <w:top w:val="nil"/>
              <w:left w:val="nil"/>
              <w:bottom w:val="nil"/>
              <w:right w:val="nil"/>
            </w:tcBorders>
            <w:shd w:val="clear" w:color="auto" w:fill="auto"/>
            <w:noWrap/>
            <w:vAlign w:val="bottom"/>
            <w:hideMark/>
          </w:tcPr>
          <w:p w14:paraId="623BA2BE"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232 120</w:t>
            </w:r>
          </w:p>
        </w:tc>
        <w:tc>
          <w:tcPr>
            <w:tcW w:w="468" w:type="pct"/>
            <w:tcBorders>
              <w:top w:val="nil"/>
              <w:left w:val="nil"/>
              <w:bottom w:val="nil"/>
              <w:right w:val="nil"/>
            </w:tcBorders>
            <w:shd w:val="clear" w:color="auto" w:fill="auto"/>
            <w:noWrap/>
            <w:vAlign w:val="bottom"/>
            <w:hideMark/>
          </w:tcPr>
          <w:p w14:paraId="24DF43A5"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184 264</w:t>
            </w:r>
          </w:p>
        </w:tc>
        <w:tc>
          <w:tcPr>
            <w:tcW w:w="492" w:type="pct"/>
            <w:tcBorders>
              <w:top w:val="nil"/>
              <w:left w:val="nil"/>
              <w:bottom w:val="nil"/>
              <w:right w:val="nil"/>
            </w:tcBorders>
            <w:shd w:val="clear" w:color="auto" w:fill="auto"/>
            <w:noWrap/>
            <w:vAlign w:val="bottom"/>
            <w:hideMark/>
          </w:tcPr>
          <w:p w14:paraId="2432C4A5"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85 826</w:t>
            </w:r>
          </w:p>
        </w:tc>
        <w:tc>
          <w:tcPr>
            <w:tcW w:w="446" w:type="pct"/>
            <w:tcBorders>
              <w:top w:val="nil"/>
              <w:left w:val="nil"/>
              <w:bottom w:val="nil"/>
              <w:right w:val="nil"/>
            </w:tcBorders>
            <w:shd w:val="clear" w:color="auto" w:fill="auto"/>
            <w:noWrap/>
            <w:vAlign w:val="bottom"/>
            <w:hideMark/>
          </w:tcPr>
          <w:p w14:paraId="4AAEAE28"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120 712</w:t>
            </w:r>
          </w:p>
        </w:tc>
        <w:tc>
          <w:tcPr>
            <w:tcW w:w="469" w:type="pct"/>
            <w:tcBorders>
              <w:top w:val="nil"/>
              <w:left w:val="nil"/>
              <w:bottom w:val="nil"/>
              <w:right w:val="nil"/>
            </w:tcBorders>
            <w:shd w:val="clear" w:color="auto" w:fill="auto"/>
            <w:noWrap/>
            <w:vAlign w:val="bottom"/>
            <w:hideMark/>
          </w:tcPr>
          <w:p w14:paraId="2A5C018F"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115 811</w:t>
            </w:r>
          </w:p>
        </w:tc>
        <w:tc>
          <w:tcPr>
            <w:tcW w:w="470" w:type="pct"/>
            <w:tcBorders>
              <w:top w:val="nil"/>
              <w:left w:val="nil"/>
              <w:bottom w:val="nil"/>
              <w:right w:val="nil"/>
            </w:tcBorders>
            <w:shd w:val="clear" w:color="auto" w:fill="auto"/>
            <w:noWrap/>
            <w:vAlign w:val="bottom"/>
            <w:hideMark/>
          </w:tcPr>
          <w:p w14:paraId="26B49A4D"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95 739</w:t>
            </w:r>
          </w:p>
        </w:tc>
        <w:tc>
          <w:tcPr>
            <w:tcW w:w="467" w:type="pct"/>
            <w:tcBorders>
              <w:top w:val="nil"/>
              <w:left w:val="nil"/>
              <w:bottom w:val="nil"/>
              <w:right w:val="nil"/>
            </w:tcBorders>
            <w:shd w:val="clear" w:color="auto" w:fill="auto"/>
            <w:noWrap/>
            <w:vAlign w:val="bottom"/>
            <w:hideMark/>
          </w:tcPr>
          <w:p w14:paraId="79903D28"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111 866</w:t>
            </w:r>
          </w:p>
        </w:tc>
      </w:tr>
      <w:tr w:rsidR="00C56B90" w:rsidRPr="00DD531B" w14:paraId="4F2384FD" w14:textId="77777777" w:rsidTr="00C56B90">
        <w:trPr>
          <w:trHeight w:val="300"/>
        </w:trPr>
        <w:tc>
          <w:tcPr>
            <w:tcW w:w="1719" w:type="pct"/>
            <w:tcBorders>
              <w:top w:val="nil"/>
              <w:left w:val="nil"/>
              <w:bottom w:val="nil"/>
              <w:right w:val="nil"/>
            </w:tcBorders>
            <w:shd w:val="clear" w:color="auto" w:fill="auto"/>
            <w:noWrap/>
            <w:vAlign w:val="bottom"/>
            <w:hideMark/>
          </w:tcPr>
          <w:p w14:paraId="3534673C" w14:textId="77777777" w:rsidR="00DD531B" w:rsidRPr="00C56B90" w:rsidRDefault="00DD531B" w:rsidP="00DD531B">
            <w:pPr>
              <w:spacing w:after="0" w:line="240" w:lineRule="auto"/>
              <w:rPr>
                <w:rFonts w:ascii="Times New Roman" w:eastAsia="Times New Roman" w:hAnsi="Times New Roman" w:cs="Times New Roman"/>
                <w:color w:val="000000"/>
                <w:sz w:val="16"/>
                <w:szCs w:val="16"/>
                <w:lang w:eastAsia="sk-SK"/>
              </w:rPr>
            </w:pPr>
            <w:r w:rsidRPr="00C56B90">
              <w:rPr>
                <w:rFonts w:ascii="Times New Roman" w:eastAsia="Times New Roman" w:hAnsi="Times New Roman" w:cs="Times New Roman"/>
                <w:color w:val="000000"/>
                <w:sz w:val="16"/>
                <w:szCs w:val="16"/>
                <w:lang w:eastAsia="sk-SK"/>
              </w:rPr>
              <w:t>kapitálové výdavky 700</w:t>
            </w:r>
          </w:p>
        </w:tc>
        <w:tc>
          <w:tcPr>
            <w:tcW w:w="469" w:type="pct"/>
            <w:tcBorders>
              <w:top w:val="nil"/>
              <w:left w:val="nil"/>
              <w:bottom w:val="nil"/>
              <w:right w:val="nil"/>
            </w:tcBorders>
            <w:shd w:val="clear" w:color="auto" w:fill="auto"/>
            <w:noWrap/>
            <w:vAlign w:val="bottom"/>
            <w:hideMark/>
          </w:tcPr>
          <w:p w14:paraId="366935D3"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8 394</w:t>
            </w:r>
          </w:p>
        </w:tc>
        <w:tc>
          <w:tcPr>
            <w:tcW w:w="468" w:type="pct"/>
            <w:tcBorders>
              <w:top w:val="nil"/>
              <w:left w:val="nil"/>
              <w:bottom w:val="nil"/>
              <w:right w:val="nil"/>
            </w:tcBorders>
            <w:shd w:val="clear" w:color="auto" w:fill="auto"/>
            <w:noWrap/>
            <w:vAlign w:val="bottom"/>
            <w:hideMark/>
          </w:tcPr>
          <w:p w14:paraId="7D42AEFF"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41 287</w:t>
            </w:r>
          </w:p>
        </w:tc>
        <w:tc>
          <w:tcPr>
            <w:tcW w:w="492" w:type="pct"/>
            <w:tcBorders>
              <w:top w:val="nil"/>
              <w:left w:val="nil"/>
              <w:bottom w:val="nil"/>
              <w:right w:val="nil"/>
            </w:tcBorders>
            <w:shd w:val="clear" w:color="auto" w:fill="auto"/>
            <w:noWrap/>
            <w:vAlign w:val="bottom"/>
            <w:hideMark/>
          </w:tcPr>
          <w:p w14:paraId="02407A8E"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9 271</w:t>
            </w:r>
          </w:p>
        </w:tc>
        <w:tc>
          <w:tcPr>
            <w:tcW w:w="446" w:type="pct"/>
            <w:tcBorders>
              <w:top w:val="nil"/>
              <w:left w:val="nil"/>
              <w:bottom w:val="nil"/>
              <w:right w:val="nil"/>
            </w:tcBorders>
            <w:shd w:val="clear" w:color="auto" w:fill="auto"/>
            <w:noWrap/>
            <w:vAlign w:val="bottom"/>
            <w:hideMark/>
          </w:tcPr>
          <w:p w14:paraId="7EAA4E42"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46 435</w:t>
            </w:r>
          </w:p>
        </w:tc>
        <w:tc>
          <w:tcPr>
            <w:tcW w:w="469" w:type="pct"/>
            <w:tcBorders>
              <w:top w:val="nil"/>
              <w:left w:val="nil"/>
              <w:bottom w:val="nil"/>
              <w:right w:val="nil"/>
            </w:tcBorders>
            <w:shd w:val="clear" w:color="auto" w:fill="auto"/>
            <w:noWrap/>
            <w:vAlign w:val="bottom"/>
            <w:hideMark/>
          </w:tcPr>
          <w:p w14:paraId="66892E6A"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75 596</w:t>
            </w:r>
          </w:p>
        </w:tc>
        <w:tc>
          <w:tcPr>
            <w:tcW w:w="470" w:type="pct"/>
            <w:tcBorders>
              <w:top w:val="nil"/>
              <w:left w:val="nil"/>
              <w:bottom w:val="nil"/>
              <w:right w:val="nil"/>
            </w:tcBorders>
            <w:shd w:val="clear" w:color="auto" w:fill="auto"/>
            <w:noWrap/>
            <w:vAlign w:val="bottom"/>
            <w:hideMark/>
          </w:tcPr>
          <w:p w14:paraId="37C693C4"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77 908</w:t>
            </w:r>
          </w:p>
        </w:tc>
        <w:tc>
          <w:tcPr>
            <w:tcW w:w="467" w:type="pct"/>
            <w:tcBorders>
              <w:top w:val="nil"/>
              <w:left w:val="nil"/>
              <w:bottom w:val="nil"/>
              <w:right w:val="nil"/>
            </w:tcBorders>
            <w:shd w:val="clear" w:color="auto" w:fill="auto"/>
            <w:noWrap/>
            <w:vAlign w:val="bottom"/>
            <w:hideMark/>
          </w:tcPr>
          <w:p w14:paraId="581F9853"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58 713</w:t>
            </w:r>
          </w:p>
        </w:tc>
      </w:tr>
      <w:tr w:rsidR="00C56B90" w:rsidRPr="00DD531B" w14:paraId="246590B8" w14:textId="77777777" w:rsidTr="00C56B90">
        <w:trPr>
          <w:trHeight w:val="300"/>
        </w:trPr>
        <w:tc>
          <w:tcPr>
            <w:tcW w:w="1719" w:type="pct"/>
            <w:tcBorders>
              <w:top w:val="nil"/>
              <w:left w:val="nil"/>
              <w:bottom w:val="nil"/>
              <w:right w:val="nil"/>
            </w:tcBorders>
            <w:shd w:val="clear" w:color="auto" w:fill="auto"/>
            <w:noWrap/>
            <w:vAlign w:val="bottom"/>
            <w:hideMark/>
          </w:tcPr>
          <w:p w14:paraId="20B1B9C6" w14:textId="77777777" w:rsidR="00DD531B" w:rsidRPr="00C56B90" w:rsidRDefault="00DD531B" w:rsidP="00DD531B">
            <w:pPr>
              <w:spacing w:after="0" w:line="240" w:lineRule="auto"/>
              <w:rPr>
                <w:rFonts w:ascii="Times New Roman" w:eastAsia="Times New Roman" w:hAnsi="Times New Roman" w:cs="Times New Roman"/>
                <w:b/>
                <w:bCs/>
                <w:color w:val="000000"/>
                <w:sz w:val="16"/>
                <w:szCs w:val="16"/>
                <w:lang w:eastAsia="sk-SK"/>
              </w:rPr>
            </w:pPr>
            <w:r w:rsidRPr="00C56B90">
              <w:rPr>
                <w:rFonts w:ascii="Times New Roman" w:eastAsia="Times New Roman" w:hAnsi="Times New Roman" w:cs="Times New Roman"/>
                <w:b/>
                <w:bCs/>
                <w:color w:val="000000"/>
                <w:sz w:val="16"/>
                <w:szCs w:val="16"/>
                <w:lang w:eastAsia="sk-SK"/>
              </w:rPr>
              <w:t>zdroj EÚ vrátane spolufinancovania zo ŠR, v tom:</w:t>
            </w:r>
          </w:p>
        </w:tc>
        <w:tc>
          <w:tcPr>
            <w:tcW w:w="469" w:type="pct"/>
            <w:tcBorders>
              <w:top w:val="nil"/>
              <w:left w:val="nil"/>
              <w:bottom w:val="nil"/>
              <w:right w:val="nil"/>
            </w:tcBorders>
            <w:shd w:val="clear" w:color="auto" w:fill="auto"/>
            <w:noWrap/>
            <w:vAlign w:val="bottom"/>
            <w:hideMark/>
          </w:tcPr>
          <w:p w14:paraId="5D30AEEE"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68 190</w:t>
            </w:r>
          </w:p>
        </w:tc>
        <w:tc>
          <w:tcPr>
            <w:tcW w:w="468" w:type="pct"/>
            <w:tcBorders>
              <w:top w:val="nil"/>
              <w:left w:val="nil"/>
              <w:bottom w:val="nil"/>
              <w:right w:val="nil"/>
            </w:tcBorders>
            <w:shd w:val="clear" w:color="auto" w:fill="auto"/>
            <w:noWrap/>
            <w:vAlign w:val="bottom"/>
            <w:hideMark/>
          </w:tcPr>
          <w:p w14:paraId="2FB3BDAC"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73 776</w:t>
            </w:r>
          </w:p>
        </w:tc>
        <w:tc>
          <w:tcPr>
            <w:tcW w:w="492" w:type="pct"/>
            <w:tcBorders>
              <w:top w:val="nil"/>
              <w:left w:val="nil"/>
              <w:bottom w:val="nil"/>
              <w:right w:val="nil"/>
            </w:tcBorders>
            <w:shd w:val="clear" w:color="auto" w:fill="auto"/>
            <w:noWrap/>
            <w:vAlign w:val="bottom"/>
            <w:hideMark/>
          </w:tcPr>
          <w:p w14:paraId="1D8047D4"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231 641</w:t>
            </w:r>
          </w:p>
        </w:tc>
        <w:tc>
          <w:tcPr>
            <w:tcW w:w="446" w:type="pct"/>
            <w:tcBorders>
              <w:top w:val="nil"/>
              <w:left w:val="nil"/>
              <w:bottom w:val="nil"/>
              <w:right w:val="nil"/>
            </w:tcBorders>
            <w:shd w:val="clear" w:color="auto" w:fill="auto"/>
            <w:noWrap/>
            <w:vAlign w:val="bottom"/>
            <w:hideMark/>
          </w:tcPr>
          <w:p w14:paraId="5D504969"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302 646</w:t>
            </w:r>
          </w:p>
        </w:tc>
        <w:tc>
          <w:tcPr>
            <w:tcW w:w="469" w:type="pct"/>
            <w:tcBorders>
              <w:top w:val="nil"/>
              <w:left w:val="nil"/>
              <w:bottom w:val="nil"/>
              <w:right w:val="nil"/>
            </w:tcBorders>
            <w:shd w:val="clear" w:color="auto" w:fill="auto"/>
            <w:noWrap/>
            <w:vAlign w:val="bottom"/>
            <w:hideMark/>
          </w:tcPr>
          <w:p w14:paraId="6C1D203A"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11 689</w:t>
            </w:r>
          </w:p>
        </w:tc>
        <w:tc>
          <w:tcPr>
            <w:tcW w:w="470" w:type="pct"/>
            <w:tcBorders>
              <w:top w:val="nil"/>
              <w:left w:val="nil"/>
              <w:bottom w:val="nil"/>
              <w:right w:val="nil"/>
            </w:tcBorders>
            <w:shd w:val="clear" w:color="auto" w:fill="auto"/>
            <w:noWrap/>
            <w:vAlign w:val="bottom"/>
            <w:hideMark/>
          </w:tcPr>
          <w:p w14:paraId="346A3E2B"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21 198</w:t>
            </w:r>
          </w:p>
        </w:tc>
        <w:tc>
          <w:tcPr>
            <w:tcW w:w="467" w:type="pct"/>
            <w:tcBorders>
              <w:top w:val="nil"/>
              <w:left w:val="nil"/>
              <w:bottom w:val="nil"/>
              <w:right w:val="nil"/>
            </w:tcBorders>
            <w:shd w:val="clear" w:color="auto" w:fill="auto"/>
            <w:noWrap/>
            <w:vAlign w:val="bottom"/>
            <w:hideMark/>
          </w:tcPr>
          <w:p w14:paraId="6ADFBD14"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52 395</w:t>
            </w:r>
          </w:p>
        </w:tc>
      </w:tr>
      <w:tr w:rsidR="00C56B90" w:rsidRPr="00DD531B" w14:paraId="30E4B311" w14:textId="77777777" w:rsidTr="00C56B90">
        <w:trPr>
          <w:trHeight w:val="300"/>
        </w:trPr>
        <w:tc>
          <w:tcPr>
            <w:tcW w:w="1719" w:type="pct"/>
            <w:tcBorders>
              <w:top w:val="nil"/>
              <w:left w:val="nil"/>
              <w:bottom w:val="nil"/>
              <w:right w:val="nil"/>
            </w:tcBorders>
            <w:shd w:val="clear" w:color="auto" w:fill="auto"/>
            <w:noWrap/>
            <w:vAlign w:val="bottom"/>
            <w:hideMark/>
          </w:tcPr>
          <w:p w14:paraId="676D9E69" w14:textId="77777777" w:rsidR="00DD531B" w:rsidRPr="00C56B90" w:rsidRDefault="00DD531B" w:rsidP="00DD531B">
            <w:pPr>
              <w:spacing w:after="0" w:line="240" w:lineRule="auto"/>
              <w:rPr>
                <w:rFonts w:ascii="Times New Roman" w:eastAsia="Times New Roman" w:hAnsi="Times New Roman" w:cs="Times New Roman"/>
                <w:color w:val="000000"/>
                <w:sz w:val="16"/>
                <w:szCs w:val="16"/>
                <w:lang w:eastAsia="sk-SK"/>
              </w:rPr>
            </w:pPr>
            <w:r w:rsidRPr="00C56B90">
              <w:rPr>
                <w:rFonts w:ascii="Times New Roman" w:eastAsia="Times New Roman" w:hAnsi="Times New Roman" w:cs="Times New Roman"/>
                <w:color w:val="000000"/>
                <w:sz w:val="16"/>
                <w:szCs w:val="16"/>
                <w:lang w:eastAsia="sk-SK"/>
              </w:rPr>
              <w:t>prostriedky EÚ</w:t>
            </w:r>
          </w:p>
        </w:tc>
        <w:tc>
          <w:tcPr>
            <w:tcW w:w="469" w:type="pct"/>
            <w:tcBorders>
              <w:top w:val="nil"/>
              <w:left w:val="nil"/>
              <w:bottom w:val="nil"/>
              <w:right w:val="nil"/>
            </w:tcBorders>
            <w:shd w:val="clear" w:color="auto" w:fill="auto"/>
            <w:noWrap/>
            <w:vAlign w:val="bottom"/>
            <w:hideMark/>
          </w:tcPr>
          <w:p w14:paraId="73630B7E"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63 884</w:t>
            </w:r>
          </w:p>
        </w:tc>
        <w:tc>
          <w:tcPr>
            <w:tcW w:w="468" w:type="pct"/>
            <w:tcBorders>
              <w:top w:val="nil"/>
              <w:left w:val="nil"/>
              <w:bottom w:val="nil"/>
              <w:right w:val="nil"/>
            </w:tcBorders>
            <w:shd w:val="clear" w:color="auto" w:fill="auto"/>
            <w:noWrap/>
            <w:vAlign w:val="bottom"/>
            <w:hideMark/>
          </w:tcPr>
          <w:p w14:paraId="39BCC973"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63 045</w:t>
            </w:r>
          </w:p>
        </w:tc>
        <w:tc>
          <w:tcPr>
            <w:tcW w:w="492" w:type="pct"/>
            <w:tcBorders>
              <w:top w:val="nil"/>
              <w:left w:val="nil"/>
              <w:bottom w:val="nil"/>
              <w:right w:val="nil"/>
            </w:tcBorders>
            <w:shd w:val="clear" w:color="auto" w:fill="auto"/>
            <w:noWrap/>
            <w:vAlign w:val="bottom"/>
            <w:hideMark/>
          </w:tcPr>
          <w:p w14:paraId="1A89112E"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192 082</w:t>
            </w:r>
          </w:p>
        </w:tc>
        <w:tc>
          <w:tcPr>
            <w:tcW w:w="446" w:type="pct"/>
            <w:tcBorders>
              <w:top w:val="nil"/>
              <w:left w:val="nil"/>
              <w:bottom w:val="nil"/>
              <w:right w:val="nil"/>
            </w:tcBorders>
            <w:shd w:val="clear" w:color="auto" w:fill="auto"/>
            <w:noWrap/>
            <w:vAlign w:val="bottom"/>
            <w:hideMark/>
          </w:tcPr>
          <w:p w14:paraId="1764C15E"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269 089</w:t>
            </w:r>
          </w:p>
        </w:tc>
        <w:tc>
          <w:tcPr>
            <w:tcW w:w="469" w:type="pct"/>
            <w:tcBorders>
              <w:top w:val="nil"/>
              <w:left w:val="nil"/>
              <w:bottom w:val="nil"/>
              <w:right w:val="nil"/>
            </w:tcBorders>
            <w:shd w:val="clear" w:color="auto" w:fill="auto"/>
            <w:noWrap/>
            <w:vAlign w:val="bottom"/>
            <w:hideMark/>
          </w:tcPr>
          <w:p w14:paraId="0F5AFAB5"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9 333</w:t>
            </w:r>
          </w:p>
        </w:tc>
        <w:tc>
          <w:tcPr>
            <w:tcW w:w="470" w:type="pct"/>
            <w:tcBorders>
              <w:top w:val="nil"/>
              <w:left w:val="nil"/>
              <w:bottom w:val="nil"/>
              <w:right w:val="nil"/>
            </w:tcBorders>
            <w:shd w:val="clear" w:color="auto" w:fill="auto"/>
            <w:noWrap/>
            <w:vAlign w:val="bottom"/>
            <w:hideMark/>
          </w:tcPr>
          <w:p w14:paraId="3050B724"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16 486</w:t>
            </w:r>
          </w:p>
        </w:tc>
        <w:tc>
          <w:tcPr>
            <w:tcW w:w="467" w:type="pct"/>
            <w:tcBorders>
              <w:top w:val="nil"/>
              <w:left w:val="nil"/>
              <w:bottom w:val="nil"/>
              <w:right w:val="nil"/>
            </w:tcBorders>
            <w:shd w:val="clear" w:color="auto" w:fill="auto"/>
            <w:noWrap/>
            <w:vAlign w:val="bottom"/>
            <w:hideMark/>
          </w:tcPr>
          <w:p w14:paraId="238E9B33"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42 159</w:t>
            </w:r>
          </w:p>
        </w:tc>
      </w:tr>
      <w:tr w:rsidR="00C56B90" w:rsidRPr="00DD531B" w14:paraId="77D556FC" w14:textId="77777777" w:rsidTr="00C56B90">
        <w:trPr>
          <w:trHeight w:val="300"/>
        </w:trPr>
        <w:tc>
          <w:tcPr>
            <w:tcW w:w="1719" w:type="pct"/>
            <w:tcBorders>
              <w:top w:val="nil"/>
              <w:left w:val="nil"/>
              <w:bottom w:val="nil"/>
              <w:right w:val="nil"/>
            </w:tcBorders>
            <w:shd w:val="clear" w:color="auto" w:fill="auto"/>
            <w:noWrap/>
            <w:vAlign w:val="bottom"/>
            <w:hideMark/>
          </w:tcPr>
          <w:p w14:paraId="50B66E37" w14:textId="77777777" w:rsidR="00DD531B" w:rsidRPr="00C56B90" w:rsidRDefault="00DD531B" w:rsidP="00DD531B">
            <w:pPr>
              <w:spacing w:after="0" w:line="240" w:lineRule="auto"/>
              <w:rPr>
                <w:rFonts w:ascii="Times New Roman" w:eastAsia="Times New Roman" w:hAnsi="Times New Roman" w:cs="Times New Roman"/>
                <w:color w:val="000000"/>
                <w:sz w:val="16"/>
                <w:szCs w:val="16"/>
                <w:lang w:eastAsia="sk-SK"/>
              </w:rPr>
            </w:pPr>
            <w:r w:rsidRPr="00C56B90">
              <w:rPr>
                <w:rFonts w:ascii="Times New Roman" w:eastAsia="Times New Roman" w:hAnsi="Times New Roman" w:cs="Times New Roman"/>
                <w:color w:val="000000"/>
                <w:sz w:val="16"/>
                <w:szCs w:val="16"/>
                <w:lang w:eastAsia="sk-SK"/>
              </w:rPr>
              <w:t>spolufinancovanie zo ŠR</w:t>
            </w:r>
          </w:p>
        </w:tc>
        <w:tc>
          <w:tcPr>
            <w:tcW w:w="469" w:type="pct"/>
            <w:tcBorders>
              <w:top w:val="nil"/>
              <w:left w:val="nil"/>
              <w:bottom w:val="nil"/>
              <w:right w:val="nil"/>
            </w:tcBorders>
            <w:shd w:val="clear" w:color="auto" w:fill="auto"/>
            <w:noWrap/>
            <w:vAlign w:val="bottom"/>
            <w:hideMark/>
          </w:tcPr>
          <w:p w14:paraId="01AF020F"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4 306</w:t>
            </w:r>
          </w:p>
        </w:tc>
        <w:tc>
          <w:tcPr>
            <w:tcW w:w="468" w:type="pct"/>
            <w:tcBorders>
              <w:top w:val="nil"/>
              <w:left w:val="nil"/>
              <w:bottom w:val="nil"/>
              <w:right w:val="nil"/>
            </w:tcBorders>
            <w:shd w:val="clear" w:color="auto" w:fill="auto"/>
            <w:noWrap/>
            <w:vAlign w:val="bottom"/>
            <w:hideMark/>
          </w:tcPr>
          <w:p w14:paraId="31EEB744"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10 730</w:t>
            </w:r>
          </w:p>
        </w:tc>
        <w:tc>
          <w:tcPr>
            <w:tcW w:w="492" w:type="pct"/>
            <w:tcBorders>
              <w:top w:val="nil"/>
              <w:left w:val="nil"/>
              <w:bottom w:val="nil"/>
              <w:right w:val="nil"/>
            </w:tcBorders>
            <w:shd w:val="clear" w:color="auto" w:fill="auto"/>
            <w:noWrap/>
            <w:vAlign w:val="bottom"/>
            <w:hideMark/>
          </w:tcPr>
          <w:p w14:paraId="2DF97FED"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39 558</w:t>
            </w:r>
          </w:p>
        </w:tc>
        <w:tc>
          <w:tcPr>
            <w:tcW w:w="446" w:type="pct"/>
            <w:tcBorders>
              <w:top w:val="nil"/>
              <w:left w:val="nil"/>
              <w:bottom w:val="nil"/>
              <w:right w:val="nil"/>
            </w:tcBorders>
            <w:shd w:val="clear" w:color="auto" w:fill="auto"/>
            <w:noWrap/>
            <w:vAlign w:val="bottom"/>
            <w:hideMark/>
          </w:tcPr>
          <w:p w14:paraId="57AD77DF"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33 557</w:t>
            </w:r>
          </w:p>
        </w:tc>
        <w:tc>
          <w:tcPr>
            <w:tcW w:w="469" w:type="pct"/>
            <w:tcBorders>
              <w:top w:val="nil"/>
              <w:left w:val="nil"/>
              <w:bottom w:val="nil"/>
              <w:right w:val="nil"/>
            </w:tcBorders>
            <w:shd w:val="clear" w:color="auto" w:fill="auto"/>
            <w:noWrap/>
            <w:vAlign w:val="bottom"/>
            <w:hideMark/>
          </w:tcPr>
          <w:p w14:paraId="34DC7882"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2 356</w:t>
            </w:r>
          </w:p>
        </w:tc>
        <w:tc>
          <w:tcPr>
            <w:tcW w:w="470" w:type="pct"/>
            <w:tcBorders>
              <w:top w:val="nil"/>
              <w:left w:val="nil"/>
              <w:bottom w:val="nil"/>
              <w:right w:val="nil"/>
            </w:tcBorders>
            <w:shd w:val="clear" w:color="auto" w:fill="auto"/>
            <w:noWrap/>
            <w:vAlign w:val="bottom"/>
            <w:hideMark/>
          </w:tcPr>
          <w:p w14:paraId="0907EC8B"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4 712</w:t>
            </w:r>
          </w:p>
        </w:tc>
        <w:tc>
          <w:tcPr>
            <w:tcW w:w="467" w:type="pct"/>
            <w:tcBorders>
              <w:top w:val="nil"/>
              <w:left w:val="nil"/>
              <w:bottom w:val="nil"/>
              <w:right w:val="nil"/>
            </w:tcBorders>
            <w:shd w:val="clear" w:color="auto" w:fill="auto"/>
            <w:noWrap/>
            <w:vAlign w:val="bottom"/>
            <w:hideMark/>
          </w:tcPr>
          <w:p w14:paraId="100A57C2"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10 237</w:t>
            </w:r>
          </w:p>
        </w:tc>
      </w:tr>
      <w:tr w:rsidR="00C56B90" w:rsidRPr="00DD531B" w14:paraId="4239FD83" w14:textId="77777777" w:rsidTr="00C56B90">
        <w:trPr>
          <w:trHeight w:val="300"/>
        </w:trPr>
        <w:tc>
          <w:tcPr>
            <w:tcW w:w="1719" w:type="pct"/>
            <w:tcBorders>
              <w:top w:val="nil"/>
              <w:left w:val="nil"/>
              <w:bottom w:val="nil"/>
              <w:right w:val="nil"/>
            </w:tcBorders>
            <w:shd w:val="clear" w:color="auto" w:fill="auto"/>
            <w:noWrap/>
            <w:vAlign w:val="center"/>
            <w:hideMark/>
          </w:tcPr>
          <w:p w14:paraId="4E76F383" w14:textId="77777777" w:rsidR="00DD531B" w:rsidRPr="00C56B90" w:rsidRDefault="00DD531B" w:rsidP="00DD531B">
            <w:pPr>
              <w:spacing w:after="0" w:line="240" w:lineRule="auto"/>
              <w:rPr>
                <w:rFonts w:ascii="Times New Roman" w:eastAsia="Times New Roman" w:hAnsi="Times New Roman" w:cs="Times New Roman"/>
                <w:b/>
                <w:bCs/>
                <w:color w:val="000000"/>
                <w:sz w:val="16"/>
                <w:szCs w:val="16"/>
                <w:lang w:eastAsia="sk-SK"/>
              </w:rPr>
            </w:pPr>
            <w:r w:rsidRPr="00C56B90">
              <w:rPr>
                <w:rFonts w:ascii="Times New Roman" w:eastAsia="Times New Roman" w:hAnsi="Times New Roman" w:cs="Times New Roman"/>
                <w:b/>
                <w:bCs/>
                <w:color w:val="000000"/>
                <w:sz w:val="16"/>
                <w:szCs w:val="16"/>
                <w:lang w:eastAsia="sk-SK"/>
              </w:rPr>
              <w:t>zdroj Plán obnovy a odolnosti , v tom:</w:t>
            </w:r>
          </w:p>
        </w:tc>
        <w:tc>
          <w:tcPr>
            <w:tcW w:w="469" w:type="pct"/>
            <w:tcBorders>
              <w:top w:val="nil"/>
              <w:left w:val="nil"/>
              <w:bottom w:val="nil"/>
              <w:right w:val="nil"/>
            </w:tcBorders>
            <w:shd w:val="clear" w:color="auto" w:fill="auto"/>
            <w:noWrap/>
            <w:vAlign w:val="bottom"/>
            <w:hideMark/>
          </w:tcPr>
          <w:p w14:paraId="4468CD12"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333</w:t>
            </w:r>
          </w:p>
        </w:tc>
        <w:tc>
          <w:tcPr>
            <w:tcW w:w="468" w:type="pct"/>
            <w:tcBorders>
              <w:top w:val="nil"/>
              <w:left w:val="nil"/>
              <w:bottom w:val="nil"/>
              <w:right w:val="nil"/>
            </w:tcBorders>
            <w:shd w:val="clear" w:color="auto" w:fill="auto"/>
            <w:noWrap/>
            <w:vAlign w:val="bottom"/>
            <w:hideMark/>
          </w:tcPr>
          <w:p w14:paraId="038FF546"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4 253</w:t>
            </w:r>
          </w:p>
        </w:tc>
        <w:tc>
          <w:tcPr>
            <w:tcW w:w="492" w:type="pct"/>
            <w:tcBorders>
              <w:top w:val="nil"/>
              <w:left w:val="nil"/>
              <w:bottom w:val="nil"/>
              <w:right w:val="nil"/>
            </w:tcBorders>
            <w:shd w:val="clear" w:color="auto" w:fill="auto"/>
            <w:noWrap/>
            <w:vAlign w:val="bottom"/>
            <w:hideMark/>
          </w:tcPr>
          <w:p w14:paraId="44C127B7"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60 300</w:t>
            </w:r>
          </w:p>
        </w:tc>
        <w:tc>
          <w:tcPr>
            <w:tcW w:w="446" w:type="pct"/>
            <w:tcBorders>
              <w:top w:val="nil"/>
              <w:left w:val="nil"/>
              <w:bottom w:val="nil"/>
              <w:right w:val="nil"/>
            </w:tcBorders>
            <w:shd w:val="clear" w:color="auto" w:fill="auto"/>
            <w:noWrap/>
            <w:vAlign w:val="bottom"/>
            <w:hideMark/>
          </w:tcPr>
          <w:p w14:paraId="411D748B"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46 999</w:t>
            </w:r>
          </w:p>
        </w:tc>
        <w:tc>
          <w:tcPr>
            <w:tcW w:w="469" w:type="pct"/>
            <w:tcBorders>
              <w:top w:val="nil"/>
              <w:left w:val="nil"/>
              <w:bottom w:val="nil"/>
              <w:right w:val="nil"/>
            </w:tcBorders>
            <w:shd w:val="clear" w:color="auto" w:fill="auto"/>
            <w:noWrap/>
            <w:vAlign w:val="bottom"/>
            <w:hideMark/>
          </w:tcPr>
          <w:p w14:paraId="220CC2E7"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32 462</w:t>
            </w:r>
          </w:p>
        </w:tc>
        <w:tc>
          <w:tcPr>
            <w:tcW w:w="470" w:type="pct"/>
            <w:tcBorders>
              <w:top w:val="nil"/>
              <w:left w:val="nil"/>
              <w:bottom w:val="nil"/>
              <w:right w:val="nil"/>
            </w:tcBorders>
            <w:shd w:val="clear" w:color="auto" w:fill="auto"/>
            <w:noWrap/>
            <w:vAlign w:val="bottom"/>
            <w:hideMark/>
          </w:tcPr>
          <w:p w14:paraId="5E9DD98E"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19 743</w:t>
            </w:r>
          </w:p>
        </w:tc>
        <w:tc>
          <w:tcPr>
            <w:tcW w:w="467" w:type="pct"/>
            <w:tcBorders>
              <w:top w:val="nil"/>
              <w:left w:val="nil"/>
              <w:bottom w:val="nil"/>
              <w:right w:val="nil"/>
            </w:tcBorders>
            <w:shd w:val="clear" w:color="auto" w:fill="auto"/>
            <w:noWrap/>
            <w:vAlign w:val="bottom"/>
            <w:hideMark/>
          </w:tcPr>
          <w:p w14:paraId="68AFFAEB"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7 889</w:t>
            </w:r>
          </w:p>
        </w:tc>
      </w:tr>
      <w:tr w:rsidR="00C56B90" w:rsidRPr="00DD531B" w14:paraId="3F79BC60" w14:textId="77777777" w:rsidTr="00C56B90">
        <w:trPr>
          <w:trHeight w:val="300"/>
        </w:trPr>
        <w:tc>
          <w:tcPr>
            <w:tcW w:w="1719" w:type="pct"/>
            <w:tcBorders>
              <w:top w:val="nil"/>
              <w:left w:val="nil"/>
              <w:bottom w:val="nil"/>
              <w:right w:val="nil"/>
            </w:tcBorders>
            <w:shd w:val="clear" w:color="auto" w:fill="auto"/>
            <w:noWrap/>
            <w:vAlign w:val="bottom"/>
            <w:hideMark/>
          </w:tcPr>
          <w:p w14:paraId="45BF52E5" w14:textId="77777777" w:rsidR="00DD531B" w:rsidRPr="00C56B90" w:rsidRDefault="00DD531B" w:rsidP="00DD531B">
            <w:pPr>
              <w:spacing w:after="0" w:line="240" w:lineRule="auto"/>
              <w:rPr>
                <w:rFonts w:ascii="Times New Roman" w:eastAsia="Times New Roman" w:hAnsi="Times New Roman" w:cs="Times New Roman"/>
                <w:color w:val="000000"/>
                <w:sz w:val="16"/>
                <w:szCs w:val="16"/>
                <w:lang w:eastAsia="sk-SK"/>
              </w:rPr>
            </w:pPr>
            <w:r w:rsidRPr="00C56B90">
              <w:rPr>
                <w:rFonts w:ascii="Times New Roman" w:eastAsia="Times New Roman" w:hAnsi="Times New Roman" w:cs="Times New Roman"/>
                <w:color w:val="000000"/>
                <w:sz w:val="16"/>
                <w:szCs w:val="16"/>
                <w:lang w:eastAsia="sk-SK"/>
              </w:rPr>
              <w:t>prostriedky POO</w:t>
            </w:r>
          </w:p>
        </w:tc>
        <w:tc>
          <w:tcPr>
            <w:tcW w:w="469" w:type="pct"/>
            <w:tcBorders>
              <w:top w:val="nil"/>
              <w:left w:val="nil"/>
              <w:bottom w:val="nil"/>
              <w:right w:val="nil"/>
            </w:tcBorders>
            <w:shd w:val="clear" w:color="auto" w:fill="auto"/>
            <w:noWrap/>
            <w:vAlign w:val="bottom"/>
            <w:hideMark/>
          </w:tcPr>
          <w:p w14:paraId="57DBFFE5" w14:textId="77777777" w:rsidR="00DD531B" w:rsidRPr="00C56B90"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C56B90">
              <w:rPr>
                <w:rFonts w:ascii="Times New Roman" w:eastAsia="Times New Roman" w:hAnsi="Times New Roman" w:cs="Times New Roman"/>
                <w:color w:val="000000"/>
                <w:sz w:val="16"/>
                <w:szCs w:val="16"/>
                <w:lang w:eastAsia="sk-SK"/>
              </w:rPr>
              <w:t>333</w:t>
            </w:r>
          </w:p>
        </w:tc>
        <w:tc>
          <w:tcPr>
            <w:tcW w:w="468" w:type="pct"/>
            <w:tcBorders>
              <w:top w:val="nil"/>
              <w:left w:val="nil"/>
              <w:bottom w:val="nil"/>
              <w:right w:val="nil"/>
            </w:tcBorders>
            <w:shd w:val="clear" w:color="auto" w:fill="auto"/>
            <w:noWrap/>
            <w:vAlign w:val="bottom"/>
            <w:hideMark/>
          </w:tcPr>
          <w:p w14:paraId="2DF4D2D4"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3 767</w:t>
            </w:r>
          </w:p>
        </w:tc>
        <w:tc>
          <w:tcPr>
            <w:tcW w:w="492" w:type="pct"/>
            <w:tcBorders>
              <w:top w:val="nil"/>
              <w:left w:val="nil"/>
              <w:bottom w:val="nil"/>
              <w:right w:val="nil"/>
            </w:tcBorders>
            <w:shd w:val="clear" w:color="auto" w:fill="auto"/>
            <w:noWrap/>
            <w:vAlign w:val="bottom"/>
            <w:hideMark/>
          </w:tcPr>
          <w:p w14:paraId="2448D24E"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50 611</w:t>
            </w:r>
          </w:p>
        </w:tc>
        <w:tc>
          <w:tcPr>
            <w:tcW w:w="446" w:type="pct"/>
            <w:tcBorders>
              <w:top w:val="nil"/>
              <w:left w:val="nil"/>
              <w:bottom w:val="nil"/>
              <w:right w:val="nil"/>
            </w:tcBorders>
            <w:shd w:val="clear" w:color="auto" w:fill="auto"/>
            <w:noWrap/>
            <w:vAlign w:val="bottom"/>
            <w:hideMark/>
          </w:tcPr>
          <w:p w14:paraId="18B8B229"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37 251</w:t>
            </w:r>
          </w:p>
        </w:tc>
        <w:tc>
          <w:tcPr>
            <w:tcW w:w="469" w:type="pct"/>
            <w:tcBorders>
              <w:top w:val="nil"/>
              <w:left w:val="nil"/>
              <w:bottom w:val="nil"/>
              <w:right w:val="nil"/>
            </w:tcBorders>
            <w:shd w:val="clear" w:color="auto" w:fill="auto"/>
            <w:noWrap/>
            <w:vAlign w:val="bottom"/>
            <w:hideMark/>
          </w:tcPr>
          <w:p w14:paraId="00978EBD"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27 141</w:t>
            </w:r>
          </w:p>
        </w:tc>
        <w:tc>
          <w:tcPr>
            <w:tcW w:w="470" w:type="pct"/>
            <w:tcBorders>
              <w:top w:val="nil"/>
              <w:left w:val="nil"/>
              <w:bottom w:val="nil"/>
              <w:right w:val="nil"/>
            </w:tcBorders>
            <w:shd w:val="clear" w:color="auto" w:fill="auto"/>
            <w:noWrap/>
            <w:vAlign w:val="bottom"/>
            <w:hideMark/>
          </w:tcPr>
          <w:p w14:paraId="514B92D8"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16 719</w:t>
            </w:r>
          </w:p>
        </w:tc>
        <w:tc>
          <w:tcPr>
            <w:tcW w:w="467" w:type="pct"/>
            <w:tcBorders>
              <w:top w:val="nil"/>
              <w:left w:val="nil"/>
              <w:bottom w:val="nil"/>
              <w:right w:val="nil"/>
            </w:tcBorders>
            <w:shd w:val="clear" w:color="auto" w:fill="auto"/>
            <w:noWrap/>
            <w:vAlign w:val="bottom"/>
            <w:hideMark/>
          </w:tcPr>
          <w:p w14:paraId="5B4D4C6C"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6 777</w:t>
            </w:r>
          </w:p>
        </w:tc>
      </w:tr>
      <w:tr w:rsidR="00C56B90" w:rsidRPr="00DD531B" w14:paraId="4E4A4B9A" w14:textId="77777777" w:rsidTr="00C56B90">
        <w:trPr>
          <w:trHeight w:val="300"/>
        </w:trPr>
        <w:tc>
          <w:tcPr>
            <w:tcW w:w="1719" w:type="pct"/>
            <w:tcBorders>
              <w:top w:val="nil"/>
              <w:left w:val="nil"/>
              <w:bottom w:val="nil"/>
              <w:right w:val="nil"/>
            </w:tcBorders>
            <w:shd w:val="clear" w:color="auto" w:fill="auto"/>
            <w:noWrap/>
            <w:vAlign w:val="bottom"/>
            <w:hideMark/>
          </w:tcPr>
          <w:p w14:paraId="3C3C935B" w14:textId="77777777" w:rsidR="00DD531B" w:rsidRPr="00C56B90" w:rsidRDefault="00DD531B" w:rsidP="00DD531B">
            <w:pPr>
              <w:spacing w:after="0" w:line="240" w:lineRule="auto"/>
              <w:rPr>
                <w:rFonts w:ascii="Times New Roman" w:eastAsia="Times New Roman" w:hAnsi="Times New Roman" w:cs="Times New Roman"/>
                <w:color w:val="000000"/>
                <w:sz w:val="16"/>
                <w:szCs w:val="16"/>
                <w:lang w:eastAsia="sk-SK"/>
              </w:rPr>
            </w:pPr>
            <w:r w:rsidRPr="00C56B90">
              <w:rPr>
                <w:rFonts w:ascii="Times New Roman" w:eastAsia="Times New Roman" w:hAnsi="Times New Roman" w:cs="Times New Roman"/>
                <w:color w:val="000000"/>
                <w:sz w:val="16"/>
                <w:szCs w:val="16"/>
                <w:lang w:eastAsia="sk-SK"/>
              </w:rPr>
              <w:t>DPH k POO</w:t>
            </w:r>
          </w:p>
        </w:tc>
        <w:tc>
          <w:tcPr>
            <w:tcW w:w="469" w:type="pct"/>
            <w:tcBorders>
              <w:top w:val="nil"/>
              <w:left w:val="nil"/>
              <w:bottom w:val="nil"/>
              <w:right w:val="nil"/>
            </w:tcBorders>
            <w:shd w:val="clear" w:color="auto" w:fill="auto"/>
            <w:noWrap/>
            <w:vAlign w:val="bottom"/>
            <w:hideMark/>
          </w:tcPr>
          <w:p w14:paraId="7AEDD3C9" w14:textId="77777777" w:rsidR="00DD531B" w:rsidRPr="00C56B90"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C56B90">
              <w:rPr>
                <w:rFonts w:ascii="Times New Roman" w:eastAsia="Times New Roman" w:hAnsi="Times New Roman" w:cs="Times New Roman"/>
                <w:color w:val="000000"/>
                <w:sz w:val="16"/>
                <w:szCs w:val="16"/>
                <w:lang w:eastAsia="sk-SK"/>
              </w:rPr>
              <w:t>0</w:t>
            </w:r>
          </w:p>
        </w:tc>
        <w:tc>
          <w:tcPr>
            <w:tcW w:w="468" w:type="pct"/>
            <w:tcBorders>
              <w:top w:val="nil"/>
              <w:left w:val="nil"/>
              <w:bottom w:val="nil"/>
              <w:right w:val="nil"/>
            </w:tcBorders>
            <w:shd w:val="clear" w:color="auto" w:fill="auto"/>
            <w:noWrap/>
            <w:vAlign w:val="bottom"/>
            <w:hideMark/>
          </w:tcPr>
          <w:p w14:paraId="10E2BC09"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486</w:t>
            </w:r>
          </w:p>
        </w:tc>
        <w:tc>
          <w:tcPr>
            <w:tcW w:w="492" w:type="pct"/>
            <w:tcBorders>
              <w:top w:val="nil"/>
              <w:left w:val="nil"/>
              <w:bottom w:val="nil"/>
              <w:right w:val="nil"/>
            </w:tcBorders>
            <w:shd w:val="clear" w:color="auto" w:fill="auto"/>
            <w:noWrap/>
            <w:vAlign w:val="bottom"/>
            <w:hideMark/>
          </w:tcPr>
          <w:p w14:paraId="65545C0A"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9 689</w:t>
            </w:r>
          </w:p>
        </w:tc>
        <w:tc>
          <w:tcPr>
            <w:tcW w:w="446" w:type="pct"/>
            <w:tcBorders>
              <w:top w:val="nil"/>
              <w:left w:val="nil"/>
              <w:bottom w:val="nil"/>
              <w:right w:val="nil"/>
            </w:tcBorders>
            <w:shd w:val="clear" w:color="auto" w:fill="auto"/>
            <w:noWrap/>
            <w:vAlign w:val="bottom"/>
            <w:hideMark/>
          </w:tcPr>
          <w:p w14:paraId="705BE35E"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9 748</w:t>
            </w:r>
          </w:p>
        </w:tc>
        <w:tc>
          <w:tcPr>
            <w:tcW w:w="469" w:type="pct"/>
            <w:tcBorders>
              <w:top w:val="nil"/>
              <w:left w:val="nil"/>
              <w:bottom w:val="nil"/>
              <w:right w:val="nil"/>
            </w:tcBorders>
            <w:shd w:val="clear" w:color="auto" w:fill="auto"/>
            <w:noWrap/>
            <w:vAlign w:val="bottom"/>
            <w:hideMark/>
          </w:tcPr>
          <w:p w14:paraId="102E7108"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5 321</w:t>
            </w:r>
          </w:p>
        </w:tc>
        <w:tc>
          <w:tcPr>
            <w:tcW w:w="470" w:type="pct"/>
            <w:tcBorders>
              <w:top w:val="nil"/>
              <w:left w:val="nil"/>
              <w:bottom w:val="nil"/>
              <w:right w:val="nil"/>
            </w:tcBorders>
            <w:shd w:val="clear" w:color="auto" w:fill="auto"/>
            <w:noWrap/>
            <w:vAlign w:val="bottom"/>
            <w:hideMark/>
          </w:tcPr>
          <w:p w14:paraId="60B2F853"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3 024</w:t>
            </w:r>
          </w:p>
        </w:tc>
        <w:tc>
          <w:tcPr>
            <w:tcW w:w="467" w:type="pct"/>
            <w:tcBorders>
              <w:top w:val="nil"/>
              <w:left w:val="nil"/>
              <w:bottom w:val="nil"/>
              <w:right w:val="nil"/>
            </w:tcBorders>
            <w:shd w:val="clear" w:color="auto" w:fill="auto"/>
            <w:noWrap/>
            <w:vAlign w:val="bottom"/>
            <w:hideMark/>
          </w:tcPr>
          <w:p w14:paraId="4CED7FBD"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1 112</w:t>
            </w:r>
          </w:p>
        </w:tc>
      </w:tr>
      <w:tr w:rsidR="00C56B90" w:rsidRPr="00DD531B" w14:paraId="49759D74" w14:textId="77777777" w:rsidTr="00C56B90">
        <w:trPr>
          <w:trHeight w:val="300"/>
        </w:trPr>
        <w:tc>
          <w:tcPr>
            <w:tcW w:w="1719" w:type="pct"/>
            <w:tcBorders>
              <w:top w:val="nil"/>
              <w:left w:val="nil"/>
              <w:bottom w:val="nil"/>
              <w:right w:val="nil"/>
            </w:tcBorders>
            <w:shd w:val="clear" w:color="auto" w:fill="auto"/>
            <w:noWrap/>
            <w:vAlign w:val="bottom"/>
            <w:hideMark/>
          </w:tcPr>
          <w:p w14:paraId="134339E6" w14:textId="77777777" w:rsidR="00DD531B" w:rsidRPr="00C56B90" w:rsidRDefault="00DD531B" w:rsidP="00DD531B">
            <w:pPr>
              <w:spacing w:after="0" w:line="240" w:lineRule="auto"/>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presun z minulých rokov § 8, v tom:</w:t>
            </w:r>
          </w:p>
        </w:tc>
        <w:tc>
          <w:tcPr>
            <w:tcW w:w="469" w:type="pct"/>
            <w:tcBorders>
              <w:top w:val="nil"/>
              <w:left w:val="nil"/>
              <w:bottom w:val="nil"/>
              <w:right w:val="nil"/>
            </w:tcBorders>
            <w:shd w:val="clear" w:color="auto" w:fill="auto"/>
            <w:noWrap/>
            <w:vAlign w:val="bottom"/>
            <w:hideMark/>
          </w:tcPr>
          <w:p w14:paraId="1510F610"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59 214</w:t>
            </w:r>
          </w:p>
        </w:tc>
        <w:tc>
          <w:tcPr>
            <w:tcW w:w="468" w:type="pct"/>
            <w:tcBorders>
              <w:top w:val="nil"/>
              <w:left w:val="nil"/>
              <w:bottom w:val="nil"/>
              <w:right w:val="nil"/>
            </w:tcBorders>
            <w:shd w:val="clear" w:color="auto" w:fill="auto"/>
            <w:noWrap/>
            <w:vAlign w:val="bottom"/>
            <w:hideMark/>
          </w:tcPr>
          <w:p w14:paraId="46BC7E8E"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115 528</w:t>
            </w:r>
          </w:p>
        </w:tc>
        <w:tc>
          <w:tcPr>
            <w:tcW w:w="492" w:type="pct"/>
            <w:tcBorders>
              <w:top w:val="nil"/>
              <w:left w:val="nil"/>
              <w:bottom w:val="nil"/>
              <w:right w:val="nil"/>
            </w:tcBorders>
            <w:shd w:val="clear" w:color="auto" w:fill="auto"/>
            <w:noWrap/>
            <w:vAlign w:val="bottom"/>
            <w:hideMark/>
          </w:tcPr>
          <w:p w14:paraId="484FF703"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0</w:t>
            </w:r>
          </w:p>
        </w:tc>
        <w:tc>
          <w:tcPr>
            <w:tcW w:w="446" w:type="pct"/>
            <w:tcBorders>
              <w:top w:val="nil"/>
              <w:left w:val="nil"/>
              <w:bottom w:val="nil"/>
              <w:right w:val="nil"/>
            </w:tcBorders>
            <w:shd w:val="clear" w:color="auto" w:fill="auto"/>
            <w:noWrap/>
            <w:vAlign w:val="bottom"/>
            <w:hideMark/>
          </w:tcPr>
          <w:p w14:paraId="3EC3F75F"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52 080</w:t>
            </w:r>
          </w:p>
        </w:tc>
        <w:tc>
          <w:tcPr>
            <w:tcW w:w="469" w:type="pct"/>
            <w:tcBorders>
              <w:top w:val="nil"/>
              <w:left w:val="nil"/>
              <w:bottom w:val="nil"/>
              <w:right w:val="nil"/>
            </w:tcBorders>
            <w:shd w:val="clear" w:color="auto" w:fill="auto"/>
            <w:noWrap/>
            <w:vAlign w:val="bottom"/>
            <w:hideMark/>
          </w:tcPr>
          <w:p w14:paraId="7EF5C3B6"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0</w:t>
            </w:r>
          </w:p>
        </w:tc>
        <w:tc>
          <w:tcPr>
            <w:tcW w:w="470" w:type="pct"/>
            <w:tcBorders>
              <w:top w:val="nil"/>
              <w:left w:val="nil"/>
              <w:bottom w:val="nil"/>
              <w:right w:val="nil"/>
            </w:tcBorders>
            <w:shd w:val="clear" w:color="auto" w:fill="auto"/>
            <w:noWrap/>
            <w:vAlign w:val="bottom"/>
            <w:hideMark/>
          </w:tcPr>
          <w:p w14:paraId="356212E8"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0</w:t>
            </w:r>
          </w:p>
        </w:tc>
        <w:tc>
          <w:tcPr>
            <w:tcW w:w="467" w:type="pct"/>
            <w:tcBorders>
              <w:top w:val="nil"/>
              <w:left w:val="nil"/>
              <w:bottom w:val="nil"/>
              <w:right w:val="nil"/>
            </w:tcBorders>
            <w:shd w:val="clear" w:color="auto" w:fill="auto"/>
            <w:noWrap/>
            <w:vAlign w:val="bottom"/>
            <w:hideMark/>
          </w:tcPr>
          <w:p w14:paraId="0E7C1671"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0</w:t>
            </w:r>
          </w:p>
        </w:tc>
      </w:tr>
      <w:tr w:rsidR="00C56B90" w:rsidRPr="00DD531B" w14:paraId="7FB71F19" w14:textId="77777777" w:rsidTr="00C56B90">
        <w:trPr>
          <w:trHeight w:val="300"/>
        </w:trPr>
        <w:tc>
          <w:tcPr>
            <w:tcW w:w="1719" w:type="pct"/>
            <w:tcBorders>
              <w:top w:val="nil"/>
              <w:left w:val="nil"/>
              <w:bottom w:val="nil"/>
              <w:right w:val="nil"/>
            </w:tcBorders>
            <w:shd w:val="clear" w:color="auto" w:fill="auto"/>
            <w:noWrap/>
            <w:vAlign w:val="bottom"/>
            <w:hideMark/>
          </w:tcPr>
          <w:p w14:paraId="40265204" w14:textId="77777777" w:rsidR="00DD531B" w:rsidRPr="00C56B90" w:rsidRDefault="00DD531B" w:rsidP="00DD531B">
            <w:pPr>
              <w:spacing w:after="0" w:line="240" w:lineRule="auto"/>
              <w:rPr>
                <w:rFonts w:ascii="Times New Roman" w:eastAsia="Times New Roman" w:hAnsi="Times New Roman" w:cs="Times New Roman"/>
                <w:color w:val="000000"/>
                <w:sz w:val="16"/>
                <w:szCs w:val="16"/>
                <w:lang w:eastAsia="sk-SK"/>
              </w:rPr>
            </w:pPr>
            <w:r w:rsidRPr="00C56B90">
              <w:rPr>
                <w:rFonts w:ascii="Times New Roman" w:eastAsia="Times New Roman" w:hAnsi="Times New Roman" w:cs="Times New Roman"/>
                <w:color w:val="000000"/>
                <w:sz w:val="16"/>
                <w:szCs w:val="16"/>
                <w:lang w:eastAsia="sk-SK"/>
              </w:rPr>
              <w:t>štátny rozpočet</w:t>
            </w:r>
          </w:p>
        </w:tc>
        <w:tc>
          <w:tcPr>
            <w:tcW w:w="469" w:type="pct"/>
            <w:tcBorders>
              <w:top w:val="nil"/>
              <w:left w:val="nil"/>
              <w:bottom w:val="nil"/>
              <w:right w:val="nil"/>
            </w:tcBorders>
            <w:shd w:val="clear" w:color="auto" w:fill="auto"/>
            <w:noWrap/>
            <w:vAlign w:val="bottom"/>
            <w:hideMark/>
          </w:tcPr>
          <w:p w14:paraId="19254C5B"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16 322</w:t>
            </w:r>
          </w:p>
        </w:tc>
        <w:tc>
          <w:tcPr>
            <w:tcW w:w="468" w:type="pct"/>
            <w:tcBorders>
              <w:top w:val="nil"/>
              <w:left w:val="nil"/>
              <w:bottom w:val="nil"/>
              <w:right w:val="nil"/>
            </w:tcBorders>
            <w:shd w:val="clear" w:color="auto" w:fill="auto"/>
            <w:noWrap/>
            <w:vAlign w:val="bottom"/>
            <w:hideMark/>
          </w:tcPr>
          <w:p w14:paraId="46EEFDEC"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37 535</w:t>
            </w:r>
          </w:p>
        </w:tc>
        <w:tc>
          <w:tcPr>
            <w:tcW w:w="492" w:type="pct"/>
            <w:tcBorders>
              <w:top w:val="nil"/>
              <w:left w:val="nil"/>
              <w:bottom w:val="nil"/>
              <w:right w:val="nil"/>
            </w:tcBorders>
            <w:shd w:val="clear" w:color="auto" w:fill="auto"/>
            <w:noWrap/>
            <w:vAlign w:val="bottom"/>
            <w:hideMark/>
          </w:tcPr>
          <w:p w14:paraId="59902FC8"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0B85FED3"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52 080</w:t>
            </w:r>
          </w:p>
        </w:tc>
        <w:tc>
          <w:tcPr>
            <w:tcW w:w="469" w:type="pct"/>
            <w:tcBorders>
              <w:top w:val="nil"/>
              <w:left w:val="nil"/>
              <w:bottom w:val="nil"/>
              <w:right w:val="nil"/>
            </w:tcBorders>
            <w:shd w:val="clear" w:color="auto" w:fill="auto"/>
            <w:noWrap/>
            <w:vAlign w:val="bottom"/>
            <w:hideMark/>
          </w:tcPr>
          <w:p w14:paraId="2E8D9F19"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0</w:t>
            </w:r>
          </w:p>
        </w:tc>
        <w:tc>
          <w:tcPr>
            <w:tcW w:w="470" w:type="pct"/>
            <w:tcBorders>
              <w:top w:val="nil"/>
              <w:left w:val="nil"/>
              <w:bottom w:val="nil"/>
              <w:right w:val="nil"/>
            </w:tcBorders>
            <w:shd w:val="clear" w:color="auto" w:fill="auto"/>
            <w:noWrap/>
            <w:vAlign w:val="bottom"/>
            <w:hideMark/>
          </w:tcPr>
          <w:p w14:paraId="0A1D4FA3"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0</w:t>
            </w:r>
          </w:p>
        </w:tc>
        <w:tc>
          <w:tcPr>
            <w:tcW w:w="467" w:type="pct"/>
            <w:tcBorders>
              <w:top w:val="nil"/>
              <w:left w:val="nil"/>
              <w:bottom w:val="nil"/>
              <w:right w:val="nil"/>
            </w:tcBorders>
            <w:shd w:val="clear" w:color="auto" w:fill="auto"/>
            <w:noWrap/>
            <w:vAlign w:val="bottom"/>
            <w:hideMark/>
          </w:tcPr>
          <w:p w14:paraId="2184D39E"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0</w:t>
            </w:r>
          </w:p>
        </w:tc>
      </w:tr>
      <w:tr w:rsidR="00C56B90" w:rsidRPr="00DD531B" w14:paraId="41F9882B" w14:textId="77777777" w:rsidTr="00C56B90">
        <w:trPr>
          <w:trHeight w:val="300"/>
        </w:trPr>
        <w:tc>
          <w:tcPr>
            <w:tcW w:w="1719" w:type="pct"/>
            <w:tcBorders>
              <w:top w:val="nil"/>
              <w:left w:val="nil"/>
              <w:bottom w:val="nil"/>
              <w:right w:val="nil"/>
            </w:tcBorders>
            <w:shd w:val="clear" w:color="auto" w:fill="auto"/>
            <w:noWrap/>
            <w:vAlign w:val="bottom"/>
            <w:hideMark/>
          </w:tcPr>
          <w:p w14:paraId="2F3105F5" w14:textId="77777777" w:rsidR="00DD531B" w:rsidRPr="00C56B90" w:rsidRDefault="00DD531B" w:rsidP="00DD531B">
            <w:pPr>
              <w:spacing w:after="0" w:line="240" w:lineRule="auto"/>
              <w:rPr>
                <w:rFonts w:ascii="Times New Roman" w:eastAsia="Times New Roman" w:hAnsi="Times New Roman" w:cs="Times New Roman"/>
                <w:color w:val="000000"/>
                <w:sz w:val="16"/>
                <w:szCs w:val="16"/>
                <w:lang w:eastAsia="sk-SK"/>
              </w:rPr>
            </w:pPr>
            <w:r w:rsidRPr="00C56B90">
              <w:rPr>
                <w:rFonts w:ascii="Times New Roman" w:eastAsia="Times New Roman" w:hAnsi="Times New Roman" w:cs="Times New Roman"/>
                <w:color w:val="000000"/>
                <w:sz w:val="16"/>
                <w:szCs w:val="16"/>
                <w:lang w:eastAsia="sk-SK"/>
              </w:rPr>
              <w:t>prostriedky EÚ a spolufinancovanie zo ŠR</w:t>
            </w:r>
          </w:p>
        </w:tc>
        <w:tc>
          <w:tcPr>
            <w:tcW w:w="469" w:type="pct"/>
            <w:tcBorders>
              <w:top w:val="nil"/>
              <w:left w:val="nil"/>
              <w:bottom w:val="nil"/>
              <w:right w:val="nil"/>
            </w:tcBorders>
            <w:shd w:val="clear" w:color="auto" w:fill="auto"/>
            <w:noWrap/>
            <w:vAlign w:val="bottom"/>
            <w:hideMark/>
          </w:tcPr>
          <w:p w14:paraId="06BE55DC"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42 892</w:t>
            </w:r>
          </w:p>
        </w:tc>
        <w:tc>
          <w:tcPr>
            <w:tcW w:w="468" w:type="pct"/>
            <w:tcBorders>
              <w:top w:val="nil"/>
              <w:left w:val="nil"/>
              <w:bottom w:val="nil"/>
              <w:right w:val="nil"/>
            </w:tcBorders>
            <w:shd w:val="clear" w:color="auto" w:fill="auto"/>
            <w:noWrap/>
            <w:vAlign w:val="bottom"/>
            <w:hideMark/>
          </w:tcPr>
          <w:p w14:paraId="4EF081D5"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76 435</w:t>
            </w:r>
          </w:p>
        </w:tc>
        <w:tc>
          <w:tcPr>
            <w:tcW w:w="492" w:type="pct"/>
            <w:tcBorders>
              <w:top w:val="nil"/>
              <w:left w:val="nil"/>
              <w:bottom w:val="nil"/>
              <w:right w:val="nil"/>
            </w:tcBorders>
            <w:shd w:val="clear" w:color="auto" w:fill="auto"/>
            <w:noWrap/>
            <w:vAlign w:val="bottom"/>
            <w:hideMark/>
          </w:tcPr>
          <w:p w14:paraId="7BB1A8F5"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69ABC460"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0</w:t>
            </w:r>
          </w:p>
        </w:tc>
        <w:tc>
          <w:tcPr>
            <w:tcW w:w="469" w:type="pct"/>
            <w:tcBorders>
              <w:top w:val="nil"/>
              <w:left w:val="nil"/>
              <w:bottom w:val="nil"/>
              <w:right w:val="nil"/>
            </w:tcBorders>
            <w:shd w:val="clear" w:color="auto" w:fill="auto"/>
            <w:noWrap/>
            <w:vAlign w:val="bottom"/>
            <w:hideMark/>
          </w:tcPr>
          <w:p w14:paraId="7D997D00"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0</w:t>
            </w:r>
          </w:p>
        </w:tc>
        <w:tc>
          <w:tcPr>
            <w:tcW w:w="470" w:type="pct"/>
            <w:tcBorders>
              <w:top w:val="nil"/>
              <w:left w:val="nil"/>
              <w:bottom w:val="nil"/>
              <w:right w:val="nil"/>
            </w:tcBorders>
            <w:shd w:val="clear" w:color="auto" w:fill="auto"/>
            <w:noWrap/>
            <w:vAlign w:val="bottom"/>
            <w:hideMark/>
          </w:tcPr>
          <w:p w14:paraId="045D58F2"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0</w:t>
            </w:r>
          </w:p>
        </w:tc>
        <w:tc>
          <w:tcPr>
            <w:tcW w:w="467" w:type="pct"/>
            <w:tcBorders>
              <w:top w:val="nil"/>
              <w:left w:val="nil"/>
              <w:bottom w:val="nil"/>
              <w:right w:val="nil"/>
            </w:tcBorders>
            <w:shd w:val="clear" w:color="auto" w:fill="auto"/>
            <w:noWrap/>
            <w:vAlign w:val="bottom"/>
            <w:hideMark/>
          </w:tcPr>
          <w:p w14:paraId="0C29FDC8"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0</w:t>
            </w:r>
          </w:p>
        </w:tc>
      </w:tr>
      <w:tr w:rsidR="00C56B90" w:rsidRPr="00DD531B" w14:paraId="2DF52808" w14:textId="77777777" w:rsidTr="00C56B90">
        <w:trPr>
          <w:trHeight w:val="300"/>
        </w:trPr>
        <w:tc>
          <w:tcPr>
            <w:tcW w:w="1719" w:type="pct"/>
            <w:tcBorders>
              <w:top w:val="nil"/>
              <w:left w:val="nil"/>
              <w:bottom w:val="nil"/>
              <w:right w:val="nil"/>
            </w:tcBorders>
            <w:shd w:val="clear" w:color="auto" w:fill="auto"/>
            <w:noWrap/>
            <w:vAlign w:val="bottom"/>
            <w:hideMark/>
          </w:tcPr>
          <w:p w14:paraId="1CE9C166" w14:textId="77777777" w:rsidR="00DD531B" w:rsidRPr="00C56B90" w:rsidRDefault="00DD531B" w:rsidP="00DD531B">
            <w:pPr>
              <w:spacing w:after="0" w:line="240" w:lineRule="auto"/>
              <w:rPr>
                <w:rFonts w:ascii="Times New Roman" w:eastAsia="Times New Roman" w:hAnsi="Times New Roman" w:cs="Times New Roman"/>
                <w:color w:val="000000"/>
                <w:sz w:val="16"/>
                <w:szCs w:val="16"/>
                <w:lang w:eastAsia="sk-SK"/>
              </w:rPr>
            </w:pPr>
            <w:r w:rsidRPr="00C56B90">
              <w:rPr>
                <w:rFonts w:ascii="Times New Roman" w:eastAsia="Times New Roman" w:hAnsi="Times New Roman" w:cs="Times New Roman"/>
                <w:color w:val="000000"/>
                <w:sz w:val="16"/>
                <w:szCs w:val="16"/>
                <w:lang w:eastAsia="sk-SK"/>
              </w:rPr>
              <w:t>prostriedky POO a DPH k POO</w:t>
            </w:r>
          </w:p>
        </w:tc>
        <w:tc>
          <w:tcPr>
            <w:tcW w:w="469" w:type="pct"/>
            <w:tcBorders>
              <w:top w:val="nil"/>
              <w:left w:val="nil"/>
              <w:bottom w:val="nil"/>
              <w:right w:val="nil"/>
            </w:tcBorders>
            <w:shd w:val="clear" w:color="auto" w:fill="auto"/>
            <w:noWrap/>
            <w:vAlign w:val="bottom"/>
            <w:hideMark/>
          </w:tcPr>
          <w:p w14:paraId="4EAD2F7C" w14:textId="77777777" w:rsidR="00DD531B" w:rsidRPr="00C56B90" w:rsidRDefault="00DD531B" w:rsidP="00DD531B">
            <w:pPr>
              <w:spacing w:after="0" w:line="240" w:lineRule="auto"/>
              <w:rPr>
                <w:rFonts w:ascii="Times New Roman" w:eastAsia="Times New Roman" w:hAnsi="Times New Roman" w:cs="Times New Roman"/>
                <w:color w:val="000000"/>
                <w:sz w:val="16"/>
                <w:szCs w:val="16"/>
                <w:lang w:eastAsia="sk-SK"/>
              </w:rPr>
            </w:pPr>
          </w:p>
        </w:tc>
        <w:tc>
          <w:tcPr>
            <w:tcW w:w="468" w:type="pct"/>
            <w:tcBorders>
              <w:top w:val="nil"/>
              <w:left w:val="nil"/>
              <w:bottom w:val="nil"/>
              <w:right w:val="nil"/>
            </w:tcBorders>
            <w:shd w:val="clear" w:color="auto" w:fill="auto"/>
            <w:noWrap/>
            <w:vAlign w:val="bottom"/>
            <w:hideMark/>
          </w:tcPr>
          <w:p w14:paraId="6503822F"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1 559</w:t>
            </w:r>
          </w:p>
        </w:tc>
        <w:tc>
          <w:tcPr>
            <w:tcW w:w="492" w:type="pct"/>
            <w:tcBorders>
              <w:top w:val="nil"/>
              <w:left w:val="nil"/>
              <w:bottom w:val="nil"/>
              <w:right w:val="nil"/>
            </w:tcBorders>
            <w:shd w:val="clear" w:color="auto" w:fill="auto"/>
            <w:noWrap/>
            <w:vAlign w:val="bottom"/>
            <w:hideMark/>
          </w:tcPr>
          <w:p w14:paraId="52A6329E"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4CF0C6AB"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0</w:t>
            </w:r>
          </w:p>
        </w:tc>
        <w:tc>
          <w:tcPr>
            <w:tcW w:w="469" w:type="pct"/>
            <w:tcBorders>
              <w:top w:val="nil"/>
              <w:left w:val="nil"/>
              <w:bottom w:val="nil"/>
              <w:right w:val="nil"/>
            </w:tcBorders>
            <w:shd w:val="clear" w:color="auto" w:fill="auto"/>
            <w:noWrap/>
            <w:vAlign w:val="bottom"/>
            <w:hideMark/>
          </w:tcPr>
          <w:p w14:paraId="4C025DD8"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0</w:t>
            </w:r>
          </w:p>
        </w:tc>
        <w:tc>
          <w:tcPr>
            <w:tcW w:w="470" w:type="pct"/>
            <w:tcBorders>
              <w:top w:val="nil"/>
              <w:left w:val="nil"/>
              <w:bottom w:val="nil"/>
              <w:right w:val="nil"/>
            </w:tcBorders>
            <w:shd w:val="clear" w:color="auto" w:fill="auto"/>
            <w:noWrap/>
            <w:vAlign w:val="bottom"/>
            <w:hideMark/>
          </w:tcPr>
          <w:p w14:paraId="11D70B80"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0</w:t>
            </w:r>
          </w:p>
        </w:tc>
        <w:tc>
          <w:tcPr>
            <w:tcW w:w="467" w:type="pct"/>
            <w:tcBorders>
              <w:top w:val="nil"/>
              <w:left w:val="nil"/>
              <w:bottom w:val="nil"/>
              <w:right w:val="nil"/>
            </w:tcBorders>
            <w:shd w:val="clear" w:color="auto" w:fill="auto"/>
            <w:noWrap/>
            <w:vAlign w:val="bottom"/>
            <w:hideMark/>
          </w:tcPr>
          <w:p w14:paraId="01E0F3C9" w14:textId="77777777" w:rsidR="00DD531B" w:rsidRPr="00C56B90" w:rsidRDefault="00DD531B" w:rsidP="00DD531B">
            <w:pPr>
              <w:spacing w:after="0" w:line="240" w:lineRule="auto"/>
              <w:jc w:val="right"/>
              <w:rPr>
                <w:rFonts w:ascii="Times New Roman" w:eastAsia="Times New Roman" w:hAnsi="Times New Roman" w:cs="Times New Roman"/>
                <w:sz w:val="16"/>
                <w:szCs w:val="16"/>
                <w:lang w:eastAsia="sk-SK"/>
              </w:rPr>
            </w:pPr>
            <w:r w:rsidRPr="00C56B90">
              <w:rPr>
                <w:rFonts w:ascii="Times New Roman" w:eastAsia="Times New Roman" w:hAnsi="Times New Roman" w:cs="Times New Roman"/>
                <w:sz w:val="16"/>
                <w:szCs w:val="16"/>
                <w:lang w:eastAsia="sk-SK"/>
              </w:rPr>
              <w:t>0</w:t>
            </w:r>
          </w:p>
        </w:tc>
      </w:tr>
      <w:tr w:rsidR="00C56B90" w:rsidRPr="00DD531B" w14:paraId="1D67C638" w14:textId="77777777" w:rsidTr="00C56B90">
        <w:trPr>
          <w:trHeight w:val="300"/>
        </w:trPr>
        <w:tc>
          <w:tcPr>
            <w:tcW w:w="1719" w:type="pct"/>
            <w:tcBorders>
              <w:top w:val="nil"/>
              <w:left w:val="nil"/>
              <w:bottom w:val="single" w:sz="4" w:space="0" w:color="auto"/>
              <w:right w:val="nil"/>
            </w:tcBorders>
            <w:shd w:val="clear" w:color="auto" w:fill="auto"/>
            <w:noWrap/>
            <w:vAlign w:val="bottom"/>
            <w:hideMark/>
          </w:tcPr>
          <w:p w14:paraId="310D95B9" w14:textId="77777777" w:rsidR="00DD531B" w:rsidRPr="00C56B90" w:rsidRDefault="00DD531B" w:rsidP="00DD531B">
            <w:pPr>
              <w:spacing w:after="0" w:line="240" w:lineRule="auto"/>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prostriedky podľa § 17 ods. 4 a § 22 ods. 4 zákona č. 523/2004 Z. z.</w:t>
            </w:r>
          </w:p>
        </w:tc>
        <w:tc>
          <w:tcPr>
            <w:tcW w:w="469" w:type="pct"/>
            <w:tcBorders>
              <w:top w:val="nil"/>
              <w:left w:val="nil"/>
              <w:bottom w:val="single" w:sz="4" w:space="0" w:color="auto"/>
              <w:right w:val="nil"/>
            </w:tcBorders>
            <w:shd w:val="clear" w:color="auto" w:fill="auto"/>
            <w:noWrap/>
            <w:vAlign w:val="bottom"/>
            <w:hideMark/>
          </w:tcPr>
          <w:p w14:paraId="7135AA61"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1 070</w:t>
            </w:r>
          </w:p>
        </w:tc>
        <w:tc>
          <w:tcPr>
            <w:tcW w:w="468" w:type="pct"/>
            <w:tcBorders>
              <w:top w:val="nil"/>
              <w:left w:val="nil"/>
              <w:bottom w:val="single" w:sz="4" w:space="0" w:color="auto"/>
              <w:right w:val="nil"/>
            </w:tcBorders>
            <w:shd w:val="clear" w:color="auto" w:fill="auto"/>
            <w:noWrap/>
            <w:vAlign w:val="bottom"/>
            <w:hideMark/>
          </w:tcPr>
          <w:p w14:paraId="32D632B7"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1 192</w:t>
            </w:r>
          </w:p>
        </w:tc>
        <w:tc>
          <w:tcPr>
            <w:tcW w:w="492" w:type="pct"/>
            <w:tcBorders>
              <w:top w:val="nil"/>
              <w:left w:val="nil"/>
              <w:bottom w:val="single" w:sz="4" w:space="0" w:color="auto"/>
              <w:right w:val="nil"/>
            </w:tcBorders>
            <w:shd w:val="clear" w:color="auto" w:fill="auto"/>
            <w:noWrap/>
            <w:vAlign w:val="bottom"/>
            <w:hideMark/>
          </w:tcPr>
          <w:p w14:paraId="5E646A79"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2 021</w:t>
            </w:r>
          </w:p>
        </w:tc>
        <w:tc>
          <w:tcPr>
            <w:tcW w:w="446" w:type="pct"/>
            <w:tcBorders>
              <w:top w:val="nil"/>
              <w:left w:val="nil"/>
              <w:bottom w:val="single" w:sz="4" w:space="0" w:color="auto"/>
              <w:right w:val="nil"/>
            </w:tcBorders>
            <w:shd w:val="clear" w:color="auto" w:fill="auto"/>
            <w:noWrap/>
            <w:vAlign w:val="bottom"/>
            <w:hideMark/>
          </w:tcPr>
          <w:p w14:paraId="4D55958C"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2 365</w:t>
            </w:r>
          </w:p>
        </w:tc>
        <w:tc>
          <w:tcPr>
            <w:tcW w:w="469" w:type="pct"/>
            <w:tcBorders>
              <w:top w:val="nil"/>
              <w:left w:val="nil"/>
              <w:bottom w:val="single" w:sz="4" w:space="0" w:color="auto"/>
              <w:right w:val="nil"/>
            </w:tcBorders>
            <w:shd w:val="clear" w:color="auto" w:fill="auto"/>
            <w:noWrap/>
            <w:vAlign w:val="bottom"/>
            <w:hideMark/>
          </w:tcPr>
          <w:p w14:paraId="675703C8"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2 021</w:t>
            </w:r>
          </w:p>
        </w:tc>
        <w:tc>
          <w:tcPr>
            <w:tcW w:w="470" w:type="pct"/>
            <w:tcBorders>
              <w:top w:val="nil"/>
              <w:left w:val="nil"/>
              <w:bottom w:val="single" w:sz="4" w:space="0" w:color="auto"/>
              <w:right w:val="nil"/>
            </w:tcBorders>
            <w:shd w:val="clear" w:color="auto" w:fill="auto"/>
            <w:noWrap/>
            <w:vAlign w:val="bottom"/>
            <w:hideMark/>
          </w:tcPr>
          <w:p w14:paraId="10390D64"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2 021</w:t>
            </w:r>
          </w:p>
        </w:tc>
        <w:tc>
          <w:tcPr>
            <w:tcW w:w="467" w:type="pct"/>
            <w:tcBorders>
              <w:top w:val="nil"/>
              <w:left w:val="nil"/>
              <w:bottom w:val="single" w:sz="4" w:space="0" w:color="auto"/>
              <w:right w:val="nil"/>
            </w:tcBorders>
            <w:shd w:val="clear" w:color="auto" w:fill="auto"/>
            <w:noWrap/>
            <w:vAlign w:val="bottom"/>
            <w:hideMark/>
          </w:tcPr>
          <w:p w14:paraId="77C360DC" w14:textId="77777777" w:rsidR="00DD531B" w:rsidRPr="00C56B90" w:rsidRDefault="00DD531B" w:rsidP="00DD531B">
            <w:pPr>
              <w:spacing w:after="0" w:line="240" w:lineRule="auto"/>
              <w:jc w:val="right"/>
              <w:rPr>
                <w:rFonts w:ascii="Times New Roman" w:eastAsia="Times New Roman" w:hAnsi="Times New Roman" w:cs="Times New Roman"/>
                <w:b/>
                <w:bCs/>
                <w:sz w:val="16"/>
                <w:szCs w:val="16"/>
                <w:lang w:eastAsia="sk-SK"/>
              </w:rPr>
            </w:pPr>
            <w:r w:rsidRPr="00C56B90">
              <w:rPr>
                <w:rFonts w:ascii="Times New Roman" w:eastAsia="Times New Roman" w:hAnsi="Times New Roman" w:cs="Times New Roman"/>
                <w:b/>
                <w:bCs/>
                <w:sz w:val="16"/>
                <w:szCs w:val="16"/>
                <w:lang w:eastAsia="sk-SK"/>
              </w:rPr>
              <w:t>2 021</w:t>
            </w:r>
          </w:p>
        </w:tc>
      </w:tr>
    </w:tbl>
    <w:p w14:paraId="7423A7FA" w14:textId="77777777" w:rsidR="00053B64" w:rsidRDefault="00053B64" w:rsidP="00DD531B">
      <w:pPr>
        <w:keepNext/>
        <w:keepLines/>
        <w:spacing w:before="40" w:after="0"/>
        <w:outlineLvl w:val="1"/>
        <w:rPr>
          <w:rFonts w:ascii="Times New Roman" w:eastAsia="Times New Roman" w:hAnsi="Times New Roman" w:cs="Times New Roman"/>
          <w:color w:val="2E74B5"/>
          <w:sz w:val="24"/>
          <w:szCs w:val="24"/>
        </w:rPr>
      </w:pPr>
    </w:p>
    <w:p w14:paraId="5C4308E2" w14:textId="77777777" w:rsidR="00053B64" w:rsidRDefault="00053B64" w:rsidP="00DD531B">
      <w:pPr>
        <w:keepNext/>
        <w:keepLines/>
        <w:spacing w:before="40" w:after="0"/>
        <w:outlineLvl w:val="1"/>
        <w:rPr>
          <w:rFonts w:ascii="Times New Roman" w:eastAsia="Times New Roman" w:hAnsi="Times New Roman" w:cs="Times New Roman"/>
          <w:color w:val="2E74B5"/>
          <w:sz w:val="24"/>
          <w:szCs w:val="24"/>
        </w:rPr>
      </w:pPr>
    </w:p>
    <w:p w14:paraId="182E93C4" w14:textId="78C55368" w:rsidR="00DD531B" w:rsidRDefault="00DD531B" w:rsidP="00DD531B">
      <w:pPr>
        <w:rPr>
          <w:rFonts w:ascii="Times New Roman" w:eastAsia="Calibri" w:hAnsi="Times New Roman" w:cs="Times New Roman"/>
        </w:rPr>
      </w:pPr>
    </w:p>
    <w:p w14:paraId="451DA7EE" w14:textId="0FFF51BC" w:rsidR="00053B64" w:rsidRDefault="00053B64" w:rsidP="00DD531B">
      <w:pPr>
        <w:rPr>
          <w:rFonts w:ascii="Times New Roman" w:eastAsia="Calibri" w:hAnsi="Times New Roman" w:cs="Times New Roman"/>
        </w:rPr>
      </w:pPr>
    </w:p>
    <w:p w14:paraId="50EF4893" w14:textId="5C56CF5D" w:rsidR="00053B64" w:rsidRDefault="00053B64" w:rsidP="00DD531B">
      <w:pPr>
        <w:rPr>
          <w:rFonts w:ascii="Times New Roman" w:eastAsia="Calibri" w:hAnsi="Times New Roman" w:cs="Times New Roman"/>
        </w:rPr>
      </w:pPr>
    </w:p>
    <w:p w14:paraId="095E0F49" w14:textId="6E75F15D" w:rsidR="00053B64" w:rsidRDefault="00053B64" w:rsidP="00DD531B">
      <w:pPr>
        <w:rPr>
          <w:rFonts w:ascii="Times New Roman" w:eastAsia="Calibri" w:hAnsi="Times New Roman" w:cs="Times New Roman"/>
        </w:rPr>
      </w:pPr>
    </w:p>
    <w:p w14:paraId="3DB97FFC" w14:textId="67703F35" w:rsidR="00053B64" w:rsidRDefault="00053B64" w:rsidP="00DD531B">
      <w:pPr>
        <w:rPr>
          <w:rFonts w:ascii="Times New Roman" w:eastAsia="Calibri" w:hAnsi="Times New Roman" w:cs="Times New Roman"/>
        </w:rPr>
      </w:pPr>
    </w:p>
    <w:p w14:paraId="5835B177" w14:textId="69D88D44" w:rsidR="00053B64" w:rsidRDefault="00053B64" w:rsidP="00DD531B">
      <w:pPr>
        <w:rPr>
          <w:rFonts w:ascii="Times New Roman" w:eastAsia="Calibri" w:hAnsi="Times New Roman" w:cs="Times New Roman"/>
        </w:rPr>
      </w:pPr>
    </w:p>
    <w:p w14:paraId="33B04B69" w14:textId="0EDEE8D5" w:rsidR="00053B64" w:rsidRDefault="00053B64" w:rsidP="00DD531B">
      <w:pPr>
        <w:rPr>
          <w:rFonts w:ascii="Times New Roman" w:eastAsia="Calibri" w:hAnsi="Times New Roman" w:cs="Times New Roman"/>
        </w:rPr>
      </w:pPr>
    </w:p>
    <w:p w14:paraId="1896E18A" w14:textId="566C00AB" w:rsidR="00053B64" w:rsidRDefault="00053B64" w:rsidP="00DD531B">
      <w:pPr>
        <w:rPr>
          <w:rFonts w:ascii="Times New Roman" w:eastAsia="Calibri" w:hAnsi="Times New Roman" w:cs="Times New Roman"/>
        </w:rPr>
      </w:pPr>
    </w:p>
    <w:p w14:paraId="08628188" w14:textId="51D6AEC2" w:rsidR="00053B64" w:rsidRDefault="00053B64" w:rsidP="00053B64">
      <w:pPr>
        <w:spacing w:after="0"/>
        <w:rPr>
          <w:rFonts w:ascii="Times New Roman" w:eastAsia="Calibri" w:hAnsi="Times New Roman" w:cs="Times New Roman"/>
          <w:b/>
          <w:color w:val="5B9BD5" w:themeColor="accent1"/>
          <w:sz w:val="24"/>
        </w:rPr>
      </w:pPr>
      <w:r w:rsidRPr="00053B64">
        <w:rPr>
          <w:rFonts w:ascii="Times New Roman" w:eastAsia="Calibri" w:hAnsi="Times New Roman" w:cs="Times New Roman"/>
          <w:b/>
          <w:color w:val="5B9BD5" w:themeColor="accent1"/>
          <w:sz w:val="24"/>
        </w:rPr>
        <w:lastRenderedPageBreak/>
        <w:t>Ministerstvo spravodlivosti SR</w:t>
      </w:r>
    </w:p>
    <w:p w14:paraId="33FB3486" w14:textId="77777777" w:rsidR="00053B64" w:rsidRPr="00053B64" w:rsidRDefault="00053B64" w:rsidP="00053B64">
      <w:pPr>
        <w:spacing w:after="0"/>
        <w:rPr>
          <w:rFonts w:ascii="Times New Roman" w:eastAsia="Calibri" w:hAnsi="Times New Roman" w:cs="Times New Roman"/>
          <w:b/>
          <w:color w:val="5B9BD5" w:themeColor="accent1"/>
          <w:sz w:val="24"/>
        </w:rPr>
      </w:pPr>
    </w:p>
    <w:p w14:paraId="4DE78FA2" w14:textId="2C6FBBD4" w:rsidR="00DD531B" w:rsidRPr="00053B64" w:rsidRDefault="00053B64" w:rsidP="00053B64">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07" w:name="_Toc153013077"/>
      <w:r w:rsidRPr="00053B64">
        <w:rPr>
          <w:rFonts w:ascii="Times New Roman" w:eastAsia="Times New Roman" w:hAnsi="Times New Roman" w:cs="Times New Roman"/>
          <w:b/>
          <w:iCs/>
          <w:color w:val="5B9BD5" w:themeColor="accent1"/>
          <w:sz w:val="20"/>
          <w:szCs w:val="20"/>
          <w:lang w:eastAsia="sk-SK"/>
        </w:rPr>
        <w:t xml:space="preserve">Tabuľka </w:t>
      </w:r>
      <w:r w:rsidRPr="00053B64">
        <w:rPr>
          <w:rFonts w:ascii="Times New Roman" w:hAnsi="Times New Roman" w:cs="Times New Roman"/>
          <w:b/>
          <w:color w:val="5B9BD5" w:themeColor="accent1"/>
          <w:sz w:val="20"/>
          <w:szCs w:val="20"/>
        </w:rPr>
        <w:fldChar w:fldCharType="begin"/>
      </w:r>
      <w:r w:rsidRPr="00053B64">
        <w:rPr>
          <w:rFonts w:ascii="Times New Roman" w:hAnsi="Times New Roman" w:cs="Times New Roman"/>
          <w:b/>
          <w:color w:val="5B9BD5" w:themeColor="accent1"/>
          <w:sz w:val="20"/>
          <w:szCs w:val="20"/>
        </w:rPr>
        <w:instrText xml:space="preserve"> SEQ Tabuľka \* ARABIC </w:instrText>
      </w:r>
      <w:r w:rsidRPr="00053B64">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79</w:t>
      </w:r>
      <w:r w:rsidRPr="00053B64">
        <w:rPr>
          <w:rFonts w:ascii="Times New Roman" w:hAnsi="Times New Roman" w:cs="Times New Roman"/>
          <w:b/>
          <w:color w:val="5B9BD5" w:themeColor="accent1"/>
          <w:sz w:val="20"/>
          <w:szCs w:val="20"/>
        </w:rPr>
        <w:fldChar w:fldCharType="end"/>
      </w:r>
      <w:r w:rsidRPr="00053B64">
        <w:rPr>
          <w:rFonts w:ascii="Times New Roman" w:eastAsia="Times New Roman" w:hAnsi="Times New Roman" w:cs="Times New Roman"/>
          <w:b/>
          <w:iCs/>
          <w:color w:val="5B9BD5" w:themeColor="accent1"/>
          <w:sz w:val="20"/>
          <w:szCs w:val="20"/>
          <w:lang w:eastAsia="sk-SK"/>
        </w:rPr>
        <w:t xml:space="preserve"> - </w:t>
      </w:r>
      <w:r w:rsidR="00DD531B" w:rsidRPr="00053B64">
        <w:rPr>
          <w:rFonts w:ascii="Times New Roman" w:eastAsia="Times New Roman" w:hAnsi="Times New Roman" w:cs="Times New Roman"/>
          <w:b/>
          <w:iCs/>
          <w:color w:val="5B9BD5" w:themeColor="accent1"/>
          <w:sz w:val="20"/>
          <w:szCs w:val="20"/>
          <w:lang w:eastAsia="sk-SK"/>
        </w:rPr>
        <w:t>Príjmy kapitoly MS SR</w:t>
      </w:r>
      <w:bookmarkEnd w:id="207"/>
    </w:p>
    <w:tbl>
      <w:tblPr>
        <w:tblW w:w="5000" w:type="pct"/>
        <w:tblCellMar>
          <w:left w:w="70" w:type="dxa"/>
          <w:right w:w="70" w:type="dxa"/>
        </w:tblCellMar>
        <w:tblLook w:val="04A0" w:firstRow="1" w:lastRow="0" w:firstColumn="1" w:lastColumn="0" w:noHBand="0" w:noVBand="1"/>
      </w:tblPr>
      <w:tblGrid>
        <w:gridCol w:w="4498"/>
        <w:gridCol w:w="653"/>
        <w:gridCol w:w="653"/>
        <w:gridCol w:w="654"/>
        <w:gridCol w:w="714"/>
        <w:gridCol w:w="616"/>
        <w:gridCol w:w="632"/>
        <w:gridCol w:w="652"/>
      </w:tblGrid>
      <w:tr w:rsidR="00DD531B" w:rsidRPr="00DD531B" w14:paraId="2556A9DE" w14:textId="77777777" w:rsidTr="001F24AE">
        <w:trPr>
          <w:trHeight w:val="300"/>
        </w:trPr>
        <w:tc>
          <w:tcPr>
            <w:tcW w:w="2117" w:type="pct"/>
            <w:tcBorders>
              <w:top w:val="single" w:sz="4" w:space="0" w:color="auto"/>
              <w:left w:val="nil"/>
              <w:bottom w:val="single" w:sz="4" w:space="0" w:color="auto"/>
              <w:right w:val="nil"/>
            </w:tcBorders>
            <w:shd w:val="clear" w:color="auto" w:fill="auto"/>
            <w:noWrap/>
            <w:vAlign w:val="center"/>
            <w:hideMark/>
          </w:tcPr>
          <w:p w14:paraId="477E2AFE" w14:textId="77777777" w:rsidR="00DD531B" w:rsidRPr="00053B64" w:rsidRDefault="00DD531B" w:rsidP="00DD531B">
            <w:pPr>
              <w:spacing w:after="0" w:line="240" w:lineRule="auto"/>
              <w:rPr>
                <w:rFonts w:ascii="Times New Roman" w:eastAsia="Times New Roman" w:hAnsi="Times New Roman" w:cs="Times New Roman"/>
                <w:b/>
                <w:bCs/>
                <w:color w:val="000000"/>
                <w:sz w:val="16"/>
                <w:szCs w:val="16"/>
                <w:lang w:eastAsia="sk-SK"/>
              </w:rPr>
            </w:pPr>
            <w:r w:rsidRPr="00053B64">
              <w:rPr>
                <w:rFonts w:ascii="Times New Roman" w:eastAsia="Times New Roman" w:hAnsi="Times New Roman" w:cs="Times New Roman"/>
                <w:b/>
                <w:bCs/>
                <w:color w:val="000000"/>
                <w:sz w:val="16"/>
                <w:szCs w:val="16"/>
                <w:lang w:eastAsia="sk-SK"/>
              </w:rPr>
              <w:t>v tis. eur</w:t>
            </w:r>
          </w:p>
        </w:tc>
        <w:tc>
          <w:tcPr>
            <w:tcW w:w="412" w:type="pct"/>
            <w:tcBorders>
              <w:top w:val="single" w:sz="4" w:space="0" w:color="auto"/>
              <w:left w:val="nil"/>
              <w:bottom w:val="single" w:sz="4" w:space="0" w:color="auto"/>
              <w:right w:val="nil"/>
            </w:tcBorders>
            <w:shd w:val="clear" w:color="auto" w:fill="auto"/>
            <w:noWrap/>
            <w:vAlign w:val="center"/>
            <w:hideMark/>
          </w:tcPr>
          <w:p w14:paraId="4E4436C0" w14:textId="77777777" w:rsidR="00DD531B" w:rsidRPr="00053B64" w:rsidRDefault="00DD531B" w:rsidP="00053B64">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2021 S</w:t>
            </w:r>
          </w:p>
        </w:tc>
        <w:tc>
          <w:tcPr>
            <w:tcW w:w="412" w:type="pct"/>
            <w:tcBorders>
              <w:top w:val="single" w:sz="4" w:space="0" w:color="auto"/>
              <w:left w:val="nil"/>
              <w:bottom w:val="single" w:sz="4" w:space="0" w:color="auto"/>
              <w:right w:val="nil"/>
            </w:tcBorders>
            <w:shd w:val="clear" w:color="auto" w:fill="auto"/>
            <w:noWrap/>
            <w:vAlign w:val="center"/>
            <w:hideMark/>
          </w:tcPr>
          <w:p w14:paraId="29F553D8" w14:textId="77777777" w:rsidR="00DD531B" w:rsidRPr="00053B64" w:rsidRDefault="00DD531B" w:rsidP="00053B64">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2022 S</w:t>
            </w:r>
          </w:p>
        </w:tc>
        <w:tc>
          <w:tcPr>
            <w:tcW w:w="412" w:type="pct"/>
            <w:tcBorders>
              <w:top w:val="single" w:sz="4" w:space="0" w:color="auto"/>
              <w:left w:val="nil"/>
              <w:bottom w:val="single" w:sz="4" w:space="0" w:color="auto"/>
              <w:right w:val="nil"/>
            </w:tcBorders>
            <w:shd w:val="clear" w:color="auto" w:fill="auto"/>
            <w:noWrap/>
            <w:vAlign w:val="center"/>
            <w:hideMark/>
          </w:tcPr>
          <w:p w14:paraId="439E551E" w14:textId="77777777" w:rsidR="00DD531B" w:rsidRPr="00053B64" w:rsidRDefault="00DD531B" w:rsidP="00053B64">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2023 R</w:t>
            </w:r>
          </w:p>
        </w:tc>
        <w:tc>
          <w:tcPr>
            <w:tcW w:w="412" w:type="pct"/>
            <w:tcBorders>
              <w:top w:val="single" w:sz="4" w:space="0" w:color="auto"/>
              <w:left w:val="nil"/>
              <w:bottom w:val="single" w:sz="4" w:space="0" w:color="auto"/>
              <w:right w:val="nil"/>
            </w:tcBorders>
            <w:shd w:val="clear" w:color="auto" w:fill="auto"/>
            <w:noWrap/>
            <w:vAlign w:val="center"/>
            <w:hideMark/>
          </w:tcPr>
          <w:p w14:paraId="2C343CF6" w14:textId="77777777" w:rsidR="00DD531B" w:rsidRPr="00053B64" w:rsidRDefault="00DD531B" w:rsidP="00053B64">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2023 OS</w:t>
            </w:r>
          </w:p>
        </w:tc>
        <w:tc>
          <w:tcPr>
            <w:tcW w:w="412" w:type="pct"/>
            <w:tcBorders>
              <w:top w:val="single" w:sz="4" w:space="0" w:color="auto"/>
              <w:left w:val="nil"/>
              <w:bottom w:val="single" w:sz="4" w:space="0" w:color="auto"/>
              <w:right w:val="nil"/>
            </w:tcBorders>
            <w:shd w:val="clear" w:color="auto" w:fill="auto"/>
            <w:noWrap/>
            <w:vAlign w:val="center"/>
            <w:hideMark/>
          </w:tcPr>
          <w:p w14:paraId="6B1373C5" w14:textId="77777777" w:rsidR="00DD531B" w:rsidRPr="00053B64" w:rsidRDefault="00DD531B" w:rsidP="00053B64">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2024 N</w:t>
            </w:r>
          </w:p>
        </w:tc>
        <w:tc>
          <w:tcPr>
            <w:tcW w:w="412" w:type="pct"/>
            <w:tcBorders>
              <w:top w:val="single" w:sz="4" w:space="0" w:color="auto"/>
              <w:left w:val="nil"/>
              <w:bottom w:val="single" w:sz="4" w:space="0" w:color="auto"/>
              <w:right w:val="nil"/>
            </w:tcBorders>
            <w:shd w:val="clear" w:color="auto" w:fill="auto"/>
            <w:noWrap/>
            <w:vAlign w:val="center"/>
            <w:hideMark/>
          </w:tcPr>
          <w:p w14:paraId="644D3491" w14:textId="77777777" w:rsidR="00DD531B" w:rsidRPr="00053B64" w:rsidRDefault="00DD531B" w:rsidP="00053B64">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2025 N</w:t>
            </w:r>
          </w:p>
        </w:tc>
        <w:tc>
          <w:tcPr>
            <w:tcW w:w="412" w:type="pct"/>
            <w:tcBorders>
              <w:top w:val="single" w:sz="4" w:space="0" w:color="auto"/>
              <w:left w:val="nil"/>
              <w:bottom w:val="single" w:sz="4" w:space="0" w:color="auto"/>
              <w:right w:val="nil"/>
            </w:tcBorders>
            <w:shd w:val="clear" w:color="auto" w:fill="auto"/>
            <w:noWrap/>
            <w:vAlign w:val="center"/>
            <w:hideMark/>
          </w:tcPr>
          <w:p w14:paraId="00E67D04" w14:textId="77777777" w:rsidR="00DD531B" w:rsidRPr="00053B64" w:rsidRDefault="00DD531B" w:rsidP="00053B64">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2026 N</w:t>
            </w:r>
          </w:p>
        </w:tc>
      </w:tr>
      <w:tr w:rsidR="00DD531B" w:rsidRPr="00DD531B" w14:paraId="588EBC5C" w14:textId="77777777" w:rsidTr="001F24AE">
        <w:trPr>
          <w:trHeight w:val="300"/>
        </w:trPr>
        <w:tc>
          <w:tcPr>
            <w:tcW w:w="2117" w:type="pct"/>
            <w:tcBorders>
              <w:top w:val="nil"/>
              <w:left w:val="nil"/>
              <w:bottom w:val="nil"/>
              <w:right w:val="nil"/>
            </w:tcBorders>
            <w:shd w:val="clear" w:color="auto" w:fill="auto"/>
            <w:noWrap/>
            <w:vAlign w:val="bottom"/>
            <w:hideMark/>
          </w:tcPr>
          <w:p w14:paraId="08BF71F6" w14:textId="77777777" w:rsidR="00DD531B" w:rsidRPr="00053B64" w:rsidRDefault="00DD531B" w:rsidP="00DD531B">
            <w:pPr>
              <w:spacing w:after="0" w:line="240" w:lineRule="auto"/>
              <w:rPr>
                <w:rFonts w:ascii="Times New Roman" w:eastAsia="Times New Roman" w:hAnsi="Times New Roman" w:cs="Times New Roman"/>
                <w:b/>
                <w:bCs/>
                <w:color w:val="000000"/>
                <w:sz w:val="16"/>
                <w:szCs w:val="16"/>
                <w:lang w:eastAsia="sk-SK"/>
              </w:rPr>
            </w:pPr>
            <w:r w:rsidRPr="00053B64">
              <w:rPr>
                <w:rFonts w:ascii="Times New Roman" w:eastAsia="Times New Roman" w:hAnsi="Times New Roman" w:cs="Times New Roman"/>
                <w:b/>
                <w:bCs/>
                <w:color w:val="000000"/>
                <w:sz w:val="16"/>
                <w:szCs w:val="16"/>
                <w:lang w:eastAsia="sk-SK"/>
              </w:rPr>
              <w:t>Príjmy kapitoly spolu</w:t>
            </w:r>
          </w:p>
        </w:tc>
        <w:tc>
          <w:tcPr>
            <w:tcW w:w="412" w:type="pct"/>
            <w:tcBorders>
              <w:top w:val="nil"/>
              <w:left w:val="nil"/>
              <w:bottom w:val="nil"/>
              <w:right w:val="nil"/>
            </w:tcBorders>
            <w:shd w:val="clear" w:color="auto" w:fill="auto"/>
            <w:noWrap/>
            <w:vAlign w:val="bottom"/>
            <w:hideMark/>
          </w:tcPr>
          <w:p w14:paraId="33838DD9" w14:textId="77777777" w:rsidR="00DD531B" w:rsidRPr="00053B6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053B64">
              <w:rPr>
                <w:rFonts w:ascii="Times New Roman" w:eastAsia="Times New Roman" w:hAnsi="Times New Roman" w:cs="Times New Roman"/>
                <w:b/>
                <w:bCs/>
                <w:color w:val="000000"/>
                <w:sz w:val="16"/>
                <w:szCs w:val="16"/>
                <w:lang w:eastAsia="sk-SK"/>
              </w:rPr>
              <w:t>34 989</w:t>
            </w:r>
          </w:p>
        </w:tc>
        <w:tc>
          <w:tcPr>
            <w:tcW w:w="412" w:type="pct"/>
            <w:tcBorders>
              <w:top w:val="nil"/>
              <w:left w:val="nil"/>
              <w:bottom w:val="nil"/>
              <w:right w:val="nil"/>
            </w:tcBorders>
            <w:shd w:val="clear" w:color="auto" w:fill="auto"/>
            <w:noWrap/>
            <w:vAlign w:val="bottom"/>
            <w:hideMark/>
          </w:tcPr>
          <w:p w14:paraId="58E584C0" w14:textId="77777777" w:rsidR="00DD531B" w:rsidRPr="00053B6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053B64">
              <w:rPr>
                <w:rFonts w:ascii="Times New Roman" w:eastAsia="Times New Roman" w:hAnsi="Times New Roman" w:cs="Times New Roman"/>
                <w:b/>
                <w:bCs/>
                <w:color w:val="000000"/>
                <w:sz w:val="16"/>
                <w:szCs w:val="16"/>
                <w:lang w:eastAsia="sk-SK"/>
              </w:rPr>
              <w:t>37 736</w:t>
            </w:r>
          </w:p>
        </w:tc>
        <w:tc>
          <w:tcPr>
            <w:tcW w:w="412" w:type="pct"/>
            <w:tcBorders>
              <w:top w:val="nil"/>
              <w:left w:val="nil"/>
              <w:bottom w:val="nil"/>
              <w:right w:val="nil"/>
            </w:tcBorders>
            <w:shd w:val="clear" w:color="auto" w:fill="auto"/>
            <w:noWrap/>
            <w:vAlign w:val="bottom"/>
            <w:hideMark/>
          </w:tcPr>
          <w:p w14:paraId="7822A3CF" w14:textId="77777777" w:rsidR="00DD531B" w:rsidRPr="00053B6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053B64">
              <w:rPr>
                <w:rFonts w:ascii="Times New Roman" w:eastAsia="Times New Roman" w:hAnsi="Times New Roman" w:cs="Times New Roman"/>
                <w:b/>
                <w:bCs/>
                <w:color w:val="000000"/>
                <w:sz w:val="16"/>
                <w:szCs w:val="16"/>
                <w:lang w:eastAsia="sk-SK"/>
              </w:rPr>
              <w:t>26 000</w:t>
            </w:r>
          </w:p>
        </w:tc>
        <w:tc>
          <w:tcPr>
            <w:tcW w:w="412" w:type="pct"/>
            <w:tcBorders>
              <w:top w:val="nil"/>
              <w:left w:val="nil"/>
              <w:bottom w:val="nil"/>
              <w:right w:val="nil"/>
            </w:tcBorders>
            <w:shd w:val="clear" w:color="auto" w:fill="auto"/>
            <w:noWrap/>
            <w:vAlign w:val="bottom"/>
            <w:hideMark/>
          </w:tcPr>
          <w:p w14:paraId="63F32D7D" w14:textId="77777777" w:rsidR="00DD531B" w:rsidRPr="00053B6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053B64">
              <w:rPr>
                <w:rFonts w:ascii="Times New Roman" w:eastAsia="Times New Roman" w:hAnsi="Times New Roman" w:cs="Times New Roman"/>
                <w:b/>
                <w:bCs/>
                <w:color w:val="000000"/>
                <w:sz w:val="16"/>
                <w:szCs w:val="16"/>
                <w:lang w:eastAsia="sk-SK"/>
              </w:rPr>
              <w:t>26 005</w:t>
            </w:r>
          </w:p>
        </w:tc>
        <w:tc>
          <w:tcPr>
            <w:tcW w:w="412" w:type="pct"/>
            <w:tcBorders>
              <w:top w:val="nil"/>
              <w:left w:val="nil"/>
              <w:bottom w:val="nil"/>
              <w:right w:val="nil"/>
            </w:tcBorders>
            <w:shd w:val="clear" w:color="auto" w:fill="auto"/>
            <w:noWrap/>
            <w:vAlign w:val="bottom"/>
            <w:hideMark/>
          </w:tcPr>
          <w:p w14:paraId="032506D4" w14:textId="77777777" w:rsidR="00DD531B" w:rsidRPr="00053B6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053B64">
              <w:rPr>
                <w:rFonts w:ascii="Times New Roman" w:eastAsia="Times New Roman" w:hAnsi="Times New Roman" w:cs="Times New Roman"/>
                <w:b/>
                <w:bCs/>
                <w:color w:val="000000"/>
                <w:sz w:val="16"/>
                <w:szCs w:val="16"/>
                <w:lang w:eastAsia="sk-SK"/>
              </w:rPr>
              <w:t>28 122</w:t>
            </w:r>
          </w:p>
        </w:tc>
        <w:tc>
          <w:tcPr>
            <w:tcW w:w="412" w:type="pct"/>
            <w:tcBorders>
              <w:top w:val="nil"/>
              <w:left w:val="nil"/>
              <w:bottom w:val="nil"/>
              <w:right w:val="nil"/>
            </w:tcBorders>
            <w:shd w:val="clear" w:color="auto" w:fill="auto"/>
            <w:noWrap/>
            <w:vAlign w:val="bottom"/>
            <w:hideMark/>
          </w:tcPr>
          <w:p w14:paraId="3E83B481" w14:textId="77777777" w:rsidR="00DD531B" w:rsidRPr="00053B6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053B64">
              <w:rPr>
                <w:rFonts w:ascii="Times New Roman" w:eastAsia="Times New Roman" w:hAnsi="Times New Roman" w:cs="Times New Roman"/>
                <w:b/>
                <w:bCs/>
                <w:color w:val="000000"/>
                <w:sz w:val="16"/>
                <w:szCs w:val="16"/>
                <w:lang w:eastAsia="sk-SK"/>
              </w:rPr>
              <w:t>28 122</w:t>
            </w:r>
          </w:p>
        </w:tc>
        <w:tc>
          <w:tcPr>
            <w:tcW w:w="412" w:type="pct"/>
            <w:tcBorders>
              <w:top w:val="nil"/>
              <w:left w:val="nil"/>
              <w:bottom w:val="nil"/>
              <w:right w:val="nil"/>
            </w:tcBorders>
            <w:shd w:val="clear" w:color="auto" w:fill="auto"/>
            <w:noWrap/>
            <w:vAlign w:val="bottom"/>
            <w:hideMark/>
          </w:tcPr>
          <w:p w14:paraId="5DB08943" w14:textId="77777777" w:rsidR="00DD531B" w:rsidRPr="00053B6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053B64">
              <w:rPr>
                <w:rFonts w:ascii="Times New Roman" w:eastAsia="Times New Roman" w:hAnsi="Times New Roman" w:cs="Times New Roman"/>
                <w:b/>
                <w:bCs/>
                <w:color w:val="000000"/>
                <w:sz w:val="16"/>
                <w:szCs w:val="16"/>
                <w:lang w:eastAsia="sk-SK"/>
              </w:rPr>
              <w:t>28 122</w:t>
            </w:r>
          </w:p>
        </w:tc>
      </w:tr>
      <w:tr w:rsidR="00DD531B" w:rsidRPr="00DD531B" w14:paraId="7BCF6825" w14:textId="77777777" w:rsidTr="001F24AE">
        <w:trPr>
          <w:trHeight w:val="300"/>
        </w:trPr>
        <w:tc>
          <w:tcPr>
            <w:tcW w:w="2117" w:type="pct"/>
            <w:tcBorders>
              <w:top w:val="nil"/>
              <w:left w:val="nil"/>
              <w:bottom w:val="nil"/>
              <w:right w:val="nil"/>
            </w:tcBorders>
            <w:shd w:val="clear" w:color="auto" w:fill="auto"/>
            <w:noWrap/>
            <w:vAlign w:val="bottom"/>
            <w:hideMark/>
          </w:tcPr>
          <w:p w14:paraId="76DCFA46" w14:textId="77777777" w:rsidR="00DD531B" w:rsidRPr="00053B64" w:rsidRDefault="00DD531B" w:rsidP="00DD531B">
            <w:pPr>
              <w:spacing w:after="0" w:line="240" w:lineRule="auto"/>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nedaňové príjmy</w:t>
            </w:r>
          </w:p>
        </w:tc>
        <w:tc>
          <w:tcPr>
            <w:tcW w:w="412" w:type="pct"/>
            <w:tcBorders>
              <w:top w:val="nil"/>
              <w:left w:val="nil"/>
              <w:bottom w:val="nil"/>
              <w:right w:val="nil"/>
            </w:tcBorders>
            <w:shd w:val="clear" w:color="auto" w:fill="auto"/>
            <w:noWrap/>
            <w:vAlign w:val="bottom"/>
            <w:hideMark/>
          </w:tcPr>
          <w:p w14:paraId="167A3C01"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34 980</w:t>
            </w:r>
          </w:p>
        </w:tc>
        <w:tc>
          <w:tcPr>
            <w:tcW w:w="412" w:type="pct"/>
            <w:tcBorders>
              <w:top w:val="nil"/>
              <w:left w:val="nil"/>
              <w:bottom w:val="nil"/>
              <w:right w:val="nil"/>
            </w:tcBorders>
            <w:shd w:val="clear" w:color="auto" w:fill="auto"/>
            <w:noWrap/>
            <w:vAlign w:val="bottom"/>
            <w:hideMark/>
          </w:tcPr>
          <w:p w14:paraId="6A5CAD7B"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37 727</w:t>
            </w:r>
          </w:p>
        </w:tc>
        <w:tc>
          <w:tcPr>
            <w:tcW w:w="412" w:type="pct"/>
            <w:tcBorders>
              <w:top w:val="nil"/>
              <w:left w:val="nil"/>
              <w:bottom w:val="nil"/>
              <w:right w:val="nil"/>
            </w:tcBorders>
            <w:shd w:val="clear" w:color="auto" w:fill="auto"/>
            <w:noWrap/>
            <w:vAlign w:val="bottom"/>
            <w:hideMark/>
          </w:tcPr>
          <w:p w14:paraId="00782D97"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26 000</w:t>
            </w:r>
          </w:p>
        </w:tc>
        <w:tc>
          <w:tcPr>
            <w:tcW w:w="412" w:type="pct"/>
            <w:tcBorders>
              <w:top w:val="nil"/>
              <w:left w:val="nil"/>
              <w:bottom w:val="nil"/>
              <w:right w:val="nil"/>
            </w:tcBorders>
            <w:shd w:val="clear" w:color="auto" w:fill="auto"/>
            <w:noWrap/>
            <w:vAlign w:val="bottom"/>
            <w:hideMark/>
          </w:tcPr>
          <w:p w14:paraId="1D79AE88"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26 000</w:t>
            </w:r>
          </w:p>
        </w:tc>
        <w:tc>
          <w:tcPr>
            <w:tcW w:w="412" w:type="pct"/>
            <w:tcBorders>
              <w:top w:val="nil"/>
              <w:left w:val="nil"/>
              <w:bottom w:val="nil"/>
              <w:right w:val="nil"/>
            </w:tcBorders>
            <w:shd w:val="clear" w:color="auto" w:fill="auto"/>
            <w:noWrap/>
            <w:vAlign w:val="bottom"/>
            <w:hideMark/>
          </w:tcPr>
          <w:p w14:paraId="6029657B"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28 122</w:t>
            </w:r>
          </w:p>
        </w:tc>
        <w:tc>
          <w:tcPr>
            <w:tcW w:w="412" w:type="pct"/>
            <w:tcBorders>
              <w:top w:val="nil"/>
              <w:left w:val="nil"/>
              <w:bottom w:val="nil"/>
              <w:right w:val="nil"/>
            </w:tcBorders>
            <w:shd w:val="clear" w:color="auto" w:fill="auto"/>
            <w:noWrap/>
            <w:vAlign w:val="bottom"/>
            <w:hideMark/>
          </w:tcPr>
          <w:p w14:paraId="2F270F5E"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28 122</w:t>
            </w:r>
          </w:p>
        </w:tc>
        <w:tc>
          <w:tcPr>
            <w:tcW w:w="412" w:type="pct"/>
            <w:tcBorders>
              <w:top w:val="nil"/>
              <w:left w:val="nil"/>
              <w:bottom w:val="nil"/>
              <w:right w:val="nil"/>
            </w:tcBorders>
            <w:shd w:val="clear" w:color="auto" w:fill="auto"/>
            <w:noWrap/>
            <w:vAlign w:val="bottom"/>
            <w:hideMark/>
          </w:tcPr>
          <w:p w14:paraId="088545B2"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28 122</w:t>
            </w:r>
          </w:p>
        </w:tc>
      </w:tr>
      <w:tr w:rsidR="00DD531B" w:rsidRPr="00DD531B" w14:paraId="0EAA707D" w14:textId="77777777" w:rsidTr="001F24AE">
        <w:trPr>
          <w:trHeight w:val="300"/>
        </w:trPr>
        <w:tc>
          <w:tcPr>
            <w:tcW w:w="2117" w:type="pct"/>
            <w:tcBorders>
              <w:top w:val="nil"/>
              <w:left w:val="nil"/>
              <w:bottom w:val="single" w:sz="4" w:space="0" w:color="auto"/>
              <w:right w:val="nil"/>
            </w:tcBorders>
            <w:shd w:val="clear" w:color="auto" w:fill="auto"/>
            <w:noWrap/>
            <w:vAlign w:val="bottom"/>
            <w:hideMark/>
          </w:tcPr>
          <w:p w14:paraId="5EDB5344" w14:textId="77777777" w:rsidR="00DD531B" w:rsidRPr="00053B64" w:rsidRDefault="00DD531B" w:rsidP="00DD531B">
            <w:pPr>
              <w:spacing w:after="0" w:line="240" w:lineRule="auto"/>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prostriedky podľa § 17 ods. 4 a § 22 ods. 4 zákona č. 523/2004 Z. z.</w:t>
            </w:r>
          </w:p>
        </w:tc>
        <w:tc>
          <w:tcPr>
            <w:tcW w:w="412" w:type="pct"/>
            <w:tcBorders>
              <w:top w:val="nil"/>
              <w:left w:val="nil"/>
              <w:bottom w:val="single" w:sz="4" w:space="0" w:color="auto"/>
              <w:right w:val="nil"/>
            </w:tcBorders>
            <w:shd w:val="clear" w:color="auto" w:fill="auto"/>
            <w:noWrap/>
            <w:vAlign w:val="bottom"/>
            <w:hideMark/>
          </w:tcPr>
          <w:p w14:paraId="1F165369"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9</w:t>
            </w:r>
          </w:p>
        </w:tc>
        <w:tc>
          <w:tcPr>
            <w:tcW w:w="412" w:type="pct"/>
            <w:tcBorders>
              <w:top w:val="nil"/>
              <w:left w:val="nil"/>
              <w:bottom w:val="single" w:sz="4" w:space="0" w:color="auto"/>
              <w:right w:val="nil"/>
            </w:tcBorders>
            <w:shd w:val="clear" w:color="auto" w:fill="auto"/>
            <w:noWrap/>
            <w:vAlign w:val="bottom"/>
            <w:hideMark/>
          </w:tcPr>
          <w:p w14:paraId="368AB8B7"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9</w:t>
            </w:r>
          </w:p>
        </w:tc>
        <w:tc>
          <w:tcPr>
            <w:tcW w:w="412" w:type="pct"/>
            <w:tcBorders>
              <w:top w:val="nil"/>
              <w:left w:val="nil"/>
              <w:bottom w:val="single" w:sz="4" w:space="0" w:color="auto"/>
              <w:right w:val="nil"/>
            </w:tcBorders>
            <w:shd w:val="clear" w:color="auto" w:fill="auto"/>
            <w:noWrap/>
            <w:vAlign w:val="bottom"/>
            <w:hideMark/>
          </w:tcPr>
          <w:p w14:paraId="02DD0898"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c>
          <w:tcPr>
            <w:tcW w:w="412" w:type="pct"/>
            <w:tcBorders>
              <w:top w:val="nil"/>
              <w:left w:val="nil"/>
              <w:bottom w:val="single" w:sz="4" w:space="0" w:color="auto"/>
              <w:right w:val="nil"/>
            </w:tcBorders>
            <w:shd w:val="clear" w:color="auto" w:fill="auto"/>
            <w:noWrap/>
            <w:vAlign w:val="bottom"/>
            <w:hideMark/>
          </w:tcPr>
          <w:p w14:paraId="749F66F6"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5</w:t>
            </w:r>
          </w:p>
        </w:tc>
        <w:tc>
          <w:tcPr>
            <w:tcW w:w="412" w:type="pct"/>
            <w:tcBorders>
              <w:top w:val="nil"/>
              <w:left w:val="nil"/>
              <w:bottom w:val="single" w:sz="4" w:space="0" w:color="auto"/>
              <w:right w:val="nil"/>
            </w:tcBorders>
            <w:shd w:val="clear" w:color="auto" w:fill="auto"/>
            <w:noWrap/>
            <w:vAlign w:val="bottom"/>
            <w:hideMark/>
          </w:tcPr>
          <w:p w14:paraId="223DF0F8"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c>
          <w:tcPr>
            <w:tcW w:w="412" w:type="pct"/>
            <w:tcBorders>
              <w:top w:val="nil"/>
              <w:left w:val="nil"/>
              <w:bottom w:val="single" w:sz="4" w:space="0" w:color="auto"/>
              <w:right w:val="nil"/>
            </w:tcBorders>
            <w:shd w:val="clear" w:color="auto" w:fill="auto"/>
            <w:noWrap/>
            <w:vAlign w:val="bottom"/>
            <w:hideMark/>
          </w:tcPr>
          <w:p w14:paraId="3D521F67"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c>
          <w:tcPr>
            <w:tcW w:w="412" w:type="pct"/>
            <w:tcBorders>
              <w:top w:val="nil"/>
              <w:left w:val="nil"/>
              <w:bottom w:val="single" w:sz="4" w:space="0" w:color="auto"/>
              <w:right w:val="nil"/>
            </w:tcBorders>
            <w:shd w:val="clear" w:color="auto" w:fill="auto"/>
            <w:noWrap/>
            <w:vAlign w:val="bottom"/>
            <w:hideMark/>
          </w:tcPr>
          <w:p w14:paraId="128B8CEF"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r>
    </w:tbl>
    <w:p w14:paraId="3BAA1FB6" w14:textId="77777777" w:rsidR="00DD531B" w:rsidRPr="00053B64" w:rsidRDefault="00DD531B" w:rsidP="00DD531B">
      <w:pPr>
        <w:rPr>
          <w:rFonts w:ascii="Times New Roman" w:eastAsia="Calibri" w:hAnsi="Times New Roman" w:cs="Times New Roman"/>
          <w:color w:val="5B9BD5" w:themeColor="accent1"/>
        </w:rPr>
      </w:pPr>
    </w:p>
    <w:p w14:paraId="088F5AB8" w14:textId="306E9C60" w:rsidR="00DD531B" w:rsidRPr="00053B64" w:rsidRDefault="00053B64"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08" w:name="_Toc153013078"/>
      <w:r w:rsidRPr="00053B64">
        <w:rPr>
          <w:rFonts w:ascii="Times New Roman" w:eastAsia="Times New Roman" w:hAnsi="Times New Roman" w:cs="Times New Roman"/>
          <w:b/>
          <w:iCs/>
          <w:color w:val="5B9BD5" w:themeColor="accent1"/>
          <w:sz w:val="20"/>
          <w:szCs w:val="20"/>
          <w:lang w:eastAsia="sk-SK"/>
        </w:rPr>
        <w:t xml:space="preserve">Tabuľka </w:t>
      </w:r>
      <w:r w:rsidRPr="00053B64">
        <w:rPr>
          <w:rFonts w:ascii="Times New Roman" w:hAnsi="Times New Roman" w:cs="Times New Roman"/>
          <w:b/>
          <w:color w:val="5B9BD5" w:themeColor="accent1"/>
          <w:sz w:val="20"/>
          <w:szCs w:val="20"/>
        </w:rPr>
        <w:fldChar w:fldCharType="begin"/>
      </w:r>
      <w:r w:rsidRPr="00053B64">
        <w:rPr>
          <w:rFonts w:ascii="Times New Roman" w:hAnsi="Times New Roman" w:cs="Times New Roman"/>
          <w:b/>
          <w:color w:val="5B9BD5" w:themeColor="accent1"/>
          <w:sz w:val="20"/>
          <w:szCs w:val="20"/>
        </w:rPr>
        <w:instrText xml:space="preserve"> SEQ Tabuľka \* ARABIC </w:instrText>
      </w:r>
      <w:r w:rsidRPr="00053B64">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80</w:t>
      </w:r>
      <w:r w:rsidRPr="00053B64">
        <w:rPr>
          <w:rFonts w:ascii="Times New Roman" w:hAnsi="Times New Roman" w:cs="Times New Roman"/>
          <w:b/>
          <w:color w:val="5B9BD5" w:themeColor="accent1"/>
          <w:sz w:val="20"/>
          <w:szCs w:val="20"/>
        </w:rPr>
        <w:fldChar w:fldCharType="end"/>
      </w:r>
      <w:r w:rsidRPr="00053B64">
        <w:rPr>
          <w:rFonts w:ascii="Times New Roman" w:hAnsi="Times New Roman" w:cs="Times New Roman"/>
          <w:b/>
          <w:color w:val="5B9BD5" w:themeColor="accent1"/>
          <w:sz w:val="20"/>
          <w:szCs w:val="20"/>
        </w:rPr>
        <w:t xml:space="preserve"> - </w:t>
      </w:r>
      <w:r w:rsidR="00DD531B" w:rsidRPr="00053B64">
        <w:rPr>
          <w:rFonts w:ascii="Times New Roman" w:eastAsia="Times New Roman" w:hAnsi="Times New Roman" w:cs="Times New Roman"/>
          <w:b/>
          <w:iCs/>
          <w:color w:val="5B9BD5" w:themeColor="accent1"/>
          <w:sz w:val="20"/>
          <w:szCs w:val="20"/>
          <w:lang w:eastAsia="sk-SK"/>
        </w:rPr>
        <w:t>Výdavky kapitoly MS SR</w:t>
      </w:r>
      <w:bookmarkEnd w:id="208"/>
    </w:p>
    <w:tbl>
      <w:tblPr>
        <w:tblW w:w="5000" w:type="pct"/>
        <w:tblLayout w:type="fixed"/>
        <w:tblCellMar>
          <w:left w:w="70" w:type="dxa"/>
          <w:right w:w="70" w:type="dxa"/>
        </w:tblCellMar>
        <w:tblLook w:val="04A0" w:firstRow="1" w:lastRow="0" w:firstColumn="1" w:lastColumn="0" w:noHBand="0" w:noVBand="1"/>
      </w:tblPr>
      <w:tblGrid>
        <w:gridCol w:w="3971"/>
        <w:gridCol w:w="717"/>
        <w:gridCol w:w="702"/>
        <w:gridCol w:w="709"/>
        <w:gridCol w:w="849"/>
        <w:gridCol w:w="709"/>
        <w:gridCol w:w="709"/>
        <w:gridCol w:w="706"/>
      </w:tblGrid>
      <w:tr w:rsidR="00DD531B" w:rsidRPr="00DD531B" w14:paraId="16CD022B" w14:textId="77777777" w:rsidTr="00463505">
        <w:trPr>
          <w:trHeight w:val="300"/>
        </w:trPr>
        <w:tc>
          <w:tcPr>
            <w:tcW w:w="2188" w:type="pct"/>
            <w:tcBorders>
              <w:top w:val="single" w:sz="4" w:space="0" w:color="auto"/>
              <w:left w:val="nil"/>
              <w:bottom w:val="single" w:sz="4" w:space="0" w:color="auto"/>
              <w:right w:val="nil"/>
            </w:tcBorders>
            <w:shd w:val="clear" w:color="auto" w:fill="auto"/>
            <w:noWrap/>
            <w:vAlign w:val="center"/>
            <w:hideMark/>
          </w:tcPr>
          <w:p w14:paraId="7E97F0E6" w14:textId="77777777" w:rsidR="00DD531B" w:rsidRPr="00053B64" w:rsidRDefault="00DD531B" w:rsidP="00DD531B">
            <w:pPr>
              <w:spacing w:after="0" w:line="240" w:lineRule="auto"/>
              <w:rPr>
                <w:rFonts w:ascii="Times New Roman" w:eastAsia="Times New Roman" w:hAnsi="Times New Roman" w:cs="Times New Roman"/>
                <w:b/>
                <w:bCs/>
                <w:color w:val="000000"/>
                <w:sz w:val="16"/>
                <w:szCs w:val="16"/>
                <w:lang w:eastAsia="sk-SK"/>
              </w:rPr>
            </w:pPr>
            <w:r w:rsidRPr="00053B64">
              <w:rPr>
                <w:rFonts w:ascii="Times New Roman" w:eastAsia="Times New Roman" w:hAnsi="Times New Roman" w:cs="Times New Roman"/>
                <w:b/>
                <w:bCs/>
                <w:color w:val="000000"/>
                <w:sz w:val="16"/>
                <w:szCs w:val="16"/>
                <w:lang w:eastAsia="sk-SK"/>
              </w:rPr>
              <w:t>v tis. eur</w:t>
            </w:r>
          </w:p>
        </w:tc>
        <w:tc>
          <w:tcPr>
            <w:tcW w:w="395" w:type="pct"/>
            <w:tcBorders>
              <w:top w:val="single" w:sz="4" w:space="0" w:color="auto"/>
              <w:left w:val="nil"/>
              <w:bottom w:val="single" w:sz="4" w:space="0" w:color="auto"/>
              <w:right w:val="nil"/>
            </w:tcBorders>
            <w:shd w:val="clear" w:color="auto" w:fill="auto"/>
            <w:noWrap/>
            <w:vAlign w:val="center"/>
            <w:hideMark/>
          </w:tcPr>
          <w:p w14:paraId="2601A044" w14:textId="77777777" w:rsidR="00DD531B" w:rsidRPr="00053B64" w:rsidRDefault="00DD531B" w:rsidP="00053B64">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2021 S</w:t>
            </w:r>
          </w:p>
        </w:tc>
        <w:tc>
          <w:tcPr>
            <w:tcW w:w="387" w:type="pct"/>
            <w:tcBorders>
              <w:top w:val="single" w:sz="4" w:space="0" w:color="auto"/>
              <w:left w:val="nil"/>
              <w:bottom w:val="single" w:sz="4" w:space="0" w:color="auto"/>
              <w:right w:val="nil"/>
            </w:tcBorders>
            <w:shd w:val="clear" w:color="auto" w:fill="auto"/>
            <w:noWrap/>
            <w:vAlign w:val="center"/>
            <w:hideMark/>
          </w:tcPr>
          <w:p w14:paraId="276E1C28" w14:textId="77777777" w:rsidR="00DD531B" w:rsidRPr="00053B64" w:rsidRDefault="00DD531B" w:rsidP="00053B64">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2022 S</w:t>
            </w:r>
          </w:p>
        </w:tc>
        <w:tc>
          <w:tcPr>
            <w:tcW w:w="391" w:type="pct"/>
            <w:tcBorders>
              <w:top w:val="single" w:sz="4" w:space="0" w:color="auto"/>
              <w:left w:val="nil"/>
              <w:bottom w:val="single" w:sz="4" w:space="0" w:color="auto"/>
              <w:right w:val="nil"/>
            </w:tcBorders>
            <w:shd w:val="clear" w:color="auto" w:fill="auto"/>
            <w:noWrap/>
            <w:vAlign w:val="center"/>
            <w:hideMark/>
          </w:tcPr>
          <w:p w14:paraId="463B0100" w14:textId="77777777" w:rsidR="00DD531B" w:rsidRPr="00053B64" w:rsidRDefault="00DD531B" w:rsidP="00053B64">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2023 R</w:t>
            </w:r>
          </w:p>
        </w:tc>
        <w:tc>
          <w:tcPr>
            <w:tcW w:w="468" w:type="pct"/>
            <w:tcBorders>
              <w:top w:val="single" w:sz="4" w:space="0" w:color="auto"/>
              <w:left w:val="nil"/>
              <w:bottom w:val="single" w:sz="4" w:space="0" w:color="auto"/>
              <w:right w:val="nil"/>
            </w:tcBorders>
            <w:shd w:val="clear" w:color="auto" w:fill="auto"/>
            <w:noWrap/>
            <w:vAlign w:val="center"/>
            <w:hideMark/>
          </w:tcPr>
          <w:p w14:paraId="60A22800" w14:textId="77777777" w:rsidR="00DD531B" w:rsidRPr="00053B64" w:rsidRDefault="00DD531B" w:rsidP="00053B64">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2023 OS</w:t>
            </w:r>
          </w:p>
        </w:tc>
        <w:tc>
          <w:tcPr>
            <w:tcW w:w="391" w:type="pct"/>
            <w:tcBorders>
              <w:top w:val="single" w:sz="4" w:space="0" w:color="auto"/>
              <w:left w:val="nil"/>
              <w:bottom w:val="single" w:sz="4" w:space="0" w:color="auto"/>
              <w:right w:val="nil"/>
            </w:tcBorders>
            <w:shd w:val="clear" w:color="auto" w:fill="auto"/>
            <w:noWrap/>
            <w:vAlign w:val="center"/>
            <w:hideMark/>
          </w:tcPr>
          <w:p w14:paraId="47E58162" w14:textId="77777777" w:rsidR="00DD531B" w:rsidRPr="00053B64" w:rsidRDefault="00DD531B" w:rsidP="00053B64">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2024 N</w:t>
            </w:r>
          </w:p>
        </w:tc>
        <w:tc>
          <w:tcPr>
            <w:tcW w:w="391" w:type="pct"/>
            <w:tcBorders>
              <w:top w:val="single" w:sz="4" w:space="0" w:color="auto"/>
              <w:left w:val="nil"/>
              <w:bottom w:val="single" w:sz="4" w:space="0" w:color="auto"/>
              <w:right w:val="nil"/>
            </w:tcBorders>
            <w:shd w:val="clear" w:color="auto" w:fill="auto"/>
            <w:noWrap/>
            <w:vAlign w:val="center"/>
            <w:hideMark/>
          </w:tcPr>
          <w:p w14:paraId="4AA17055" w14:textId="77777777" w:rsidR="00DD531B" w:rsidRPr="00053B64" w:rsidRDefault="00DD531B" w:rsidP="00053B64">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2025 N</w:t>
            </w:r>
          </w:p>
        </w:tc>
        <w:tc>
          <w:tcPr>
            <w:tcW w:w="390" w:type="pct"/>
            <w:tcBorders>
              <w:top w:val="single" w:sz="4" w:space="0" w:color="auto"/>
              <w:left w:val="nil"/>
              <w:bottom w:val="single" w:sz="4" w:space="0" w:color="auto"/>
              <w:right w:val="nil"/>
            </w:tcBorders>
            <w:shd w:val="clear" w:color="auto" w:fill="auto"/>
            <w:noWrap/>
            <w:vAlign w:val="center"/>
            <w:hideMark/>
          </w:tcPr>
          <w:p w14:paraId="2E5F3DA7" w14:textId="77777777" w:rsidR="00DD531B" w:rsidRPr="00053B64" w:rsidRDefault="00DD531B" w:rsidP="00053B64">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2026 N</w:t>
            </w:r>
          </w:p>
        </w:tc>
      </w:tr>
      <w:tr w:rsidR="00DD531B" w:rsidRPr="00DD531B" w14:paraId="4FD2E290" w14:textId="77777777" w:rsidTr="00463505">
        <w:trPr>
          <w:trHeight w:val="300"/>
        </w:trPr>
        <w:tc>
          <w:tcPr>
            <w:tcW w:w="2188" w:type="pct"/>
            <w:tcBorders>
              <w:top w:val="nil"/>
              <w:left w:val="nil"/>
              <w:bottom w:val="nil"/>
              <w:right w:val="nil"/>
            </w:tcBorders>
            <w:shd w:val="clear" w:color="auto" w:fill="auto"/>
            <w:noWrap/>
            <w:vAlign w:val="center"/>
            <w:hideMark/>
          </w:tcPr>
          <w:p w14:paraId="51D8DE92" w14:textId="77777777" w:rsidR="00DD531B" w:rsidRPr="00053B64" w:rsidRDefault="00DD531B" w:rsidP="00DD531B">
            <w:pPr>
              <w:spacing w:after="0" w:line="240" w:lineRule="auto"/>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Výdavky kapitoly spolu</w:t>
            </w:r>
          </w:p>
        </w:tc>
        <w:tc>
          <w:tcPr>
            <w:tcW w:w="395" w:type="pct"/>
            <w:tcBorders>
              <w:top w:val="nil"/>
              <w:left w:val="nil"/>
              <w:bottom w:val="nil"/>
              <w:right w:val="nil"/>
            </w:tcBorders>
            <w:shd w:val="clear" w:color="auto" w:fill="auto"/>
            <w:noWrap/>
            <w:vAlign w:val="center"/>
            <w:hideMark/>
          </w:tcPr>
          <w:p w14:paraId="07DF74AA"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534 006</w:t>
            </w:r>
          </w:p>
        </w:tc>
        <w:tc>
          <w:tcPr>
            <w:tcW w:w="387" w:type="pct"/>
            <w:tcBorders>
              <w:top w:val="nil"/>
              <w:left w:val="nil"/>
              <w:bottom w:val="nil"/>
              <w:right w:val="nil"/>
            </w:tcBorders>
            <w:shd w:val="clear" w:color="auto" w:fill="auto"/>
            <w:noWrap/>
            <w:vAlign w:val="center"/>
            <w:hideMark/>
          </w:tcPr>
          <w:p w14:paraId="228B4745"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556 262</w:t>
            </w:r>
          </w:p>
        </w:tc>
        <w:tc>
          <w:tcPr>
            <w:tcW w:w="391" w:type="pct"/>
            <w:tcBorders>
              <w:top w:val="nil"/>
              <w:left w:val="nil"/>
              <w:bottom w:val="nil"/>
              <w:right w:val="nil"/>
            </w:tcBorders>
            <w:shd w:val="clear" w:color="auto" w:fill="auto"/>
            <w:noWrap/>
            <w:vAlign w:val="center"/>
            <w:hideMark/>
          </w:tcPr>
          <w:p w14:paraId="5439EDAB"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806 263</w:t>
            </w:r>
          </w:p>
        </w:tc>
        <w:tc>
          <w:tcPr>
            <w:tcW w:w="468" w:type="pct"/>
            <w:tcBorders>
              <w:top w:val="nil"/>
              <w:left w:val="nil"/>
              <w:bottom w:val="nil"/>
              <w:right w:val="nil"/>
            </w:tcBorders>
            <w:shd w:val="clear" w:color="auto" w:fill="auto"/>
            <w:noWrap/>
            <w:vAlign w:val="center"/>
            <w:hideMark/>
          </w:tcPr>
          <w:p w14:paraId="4D5F9D86"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740 074</w:t>
            </w:r>
          </w:p>
        </w:tc>
        <w:tc>
          <w:tcPr>
            <w:tcW w:w="391" w:type="pct"/>
            <w:tcBorders>
              <w:top w:val="nil"/>
              <w:left w:val="nil"/>
              <w:bottom w:val="nil"/>
              <w:right w:val="nil"/>
            </w:tcBorders>
            <w:shd w:val="clear" w:color="auto" w:fill="auto"/>
            <w:noWrap/>
            <w:vAlign w:val="center"/>
            <w:hideMark/>
          </w:tcPr>
          <w:p w14:paraId="682B06CD"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659 563</w:t>
            </w:r>
          </w:p>
        </w:tc>
        <w:tc>
          <w:tcPr>
            <w:tcW w:w="391" w:type="pct"/>
            <w:tcBorders>
              <w:top w:val="nil"/>
              <w:left w:val="nil"/>
              <w:bottom w:val="nil"/>
              <w:right w:val="nil"/>
            </w:tcBorders>
            <w:shd w:val="clear" w:color="auto" w:fill="auto"/>
            <w:noWrap/>
            <w:vAlign w:val="center"/>
            <w:hideMark/>
          </w:tcPr>
          <w:p w14:paraId="55B0E09B"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655 748</w:t>
            </w:r>
          </w:p>
        </w:tc>
        <w:tc>
          <w:tcPr>
            <w:tcW w:w="390" w:type="pct"/>
            <w:tcBorders>
              <w:top w:val="nil"/>
              <w:left w:val="nil"/>
              <w:bottom w:val="nil"/>
              <w:right w:val="nil"/>
            </w:tcBorders>
            <w:shd w:val="clear" w:color="auto" w:fill="auto"/>
            <w:noWrap/>
            <w:vAlign w:val="center"/>
            <w:hideMark/>
          </w:tcPr>
          <w:p w14:paraId="7DA576FE"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643 903</w:t>
            </w:r>
          </w:p>
        </w:tc>
      </w:tr>
      <w:tr w:rsidR="00DD531B" w:rsidRPr="00DD531B" w14:paraId="64EF36A7" w14:textId="77777777" w:rsidTr="00463505">
        <w:trPr>
          <w:trHeight w:val="300"/>
        </w:trPr>
        <w:tc>
          <w:tcPr>
            <w:tcW w:w="2188" w:type="pct"/>
            <w:tcBorders>
              <w:top w:val="nil"/>
              <w:left w:val="nil"/>
              <w:bottom w:val="nil"/>
              <w:right w:val="nil"/>
            </w:tcBorders>
            <w:shd w:val="clear" w:color="auto" w:fill="auto"/>
            <w:noWrap/>
            <w:vAlign w:val="bottom"/>
            <w:hideMark/>
          </w:tcPr>
          <w:p w14:paraId="684A848E" w14:textId="77777777" w:rsidR="00DD531B" w:rsidRPr="00053B64" w:rsidRDefault="00DD531B" w:rsidP="00DD531B">
            <w:pPr>
              <w:spacing w:after="0" w:line="240" w:lineRule="auto"/>
              <w:rPr>
                <w:rFonts w:ascii="Times New Roman" w:eastAsia="Times New Roman" w:hAnsi="Times New Roman" w:cs="Times New Roman"/>
                <w:b/>
                <w:bCs/>
                <w:color w:val="000000"/>
                <w:sz w:val="16"/>
                <w:szCs w:val="16"/>
                <w:lang w:eastAsia="sk-SK"/>
              </w:rPr>
            </w:pPr>
            <w:r w:rsidRPr="00053B64">
              <w:rPr>
                <w:rFonts w:ascii="Times New Roman" w:eastAsia="Times New Roman" w:hAnsi="Times New Roman" w:cs="Times New Roman"/>
                <w:b/>
                <w:bCs/>
                <w:color w:val="000000"/>
                <w:sz w:val="16"/>
                <w:szCs w:val="16"/>
                <w:lang w:eastAsia="sk-SK"/>
              </w:rPr>
              <w:t>rozpočtové zdroje kapitoly</w:t>
            </w:r>
          </w:p>
        </w:tc>
        <w:tc>
          <w:tcPr>
            <w:tcW w:w="395" w:type="pct"/>
            <w:tcBorders>
              <w:top w:val="nil"/>
              <w:left w:val="nil"/>
              <w:bottom w:val="nil"/>
              <w:right w:val="nil"/>
            </w:tcBorders>
            <w:shd w:val="clear" w:color="auto" w:fill="auto"/>
            <w:noWrap/>
            <w:vAlign w:val="bottom"/>
            <w:hideMark/>
          </w:tcPr>
          <w:p w14:paraId="0DCC180D"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515 019</w:t>
            </w:r>
          </w:p>
        </w:tc>
        <w:tc>
          <w:tcPr>
            <w:tcW w:w="387" w:type="pct"/>
            <w:tcBorders>
              <w:top w:val="nil"/>
              <w:left w:val="nil"/>
              <w:bottom w:val="nil"/>
              <w:right w:val="nil"/>
            </w:tcBorders>
            <w:shd w:val="clear" w:color="auto" w:fill="auto"/>
            <w:noWrap/>
            <w:vAlign w:val="bottom"/>
            <w:hideMark/>
          </w:tcPr>
          <w:p w14:paraId="69C363BE"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532 582</w:t>
            </w:r>
          </w:p>
        </w:tc>
        <w:tc>
          <w:tcPr>
            <w:tcW w:w="391" w:type="pct"/>
            <w:tcBorders>
              <w:top w:val="nil"/>
              <w:left w:val="nil"/>
              <w:bottom w:val="nil"/>
              <w:right w:val="nil"/>
            </w:tcBorders>
            <w:shd w:val="clear" w:color="auto" w:fill="auto"/>
            <w:noWrap/>
            <w:vAlign w:val="bottom"/>
            <w:hideMark/>
          </w:tcPr>
          <w:p w14:paraId="07D652A2"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616 893</w:t>
            </w:r>
          </w:p>
        </w:tc>
        <w:tc>
          <w:tcPr>
            <w:tcW w:w="468" w:type="pct"/>
            <w:tcBorders>
              <w:top w:val="nil"/>
              <w:left w:val="nil"/>
              <w:bottom w:val="nil"/>
              <w:right w:val="nil"/>
            </w:tcBorders>
            <w:shd w:val="clear" w:color="auto" w:fill="auto"/>
            <w:noWrap/>
            <w:vAlign w:val="bottom"/>
            <w:hideMark/>
          </w:tcPr>
          <w:p w14:paraId="442CC5D3"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665 985</w:t>
            </w:r>
          </w:p>
        </w:tc>
        <w:tc>
          <w:tcPr>
            <w:tcW w:w="391" w:type="pct"/>
            <w:tcBorders>
              <w:top w:val="nil"/>
              <w:left w:val="nil"/>
              <w:bottom w:val="nil"/>
              <w:right w:val="nil"/>
            </w:tcBorders>
            <w:shd w:val="clear" w:color="auto" w:fill="auto"/>
            <w:noWrap/>
            <w:vAlign w:val="bottom"/>
            <w:hideMark/>
          </w:tcPr>
          <w:p w14:paraId="04AE199B"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646 385</w:t>
            </w:r>
          </w:p>
        </w:tc>
        <w:tc>
          <w:tcPr>
            <w:tcW w:w="391" w:type="pct"/>
            <w:tcBorders>
              <w:top w:val="nil"/>
              <w:left w:val="nil"/>
              <w:bottom w:val="nil"/>
              <w:right w:val="nil"/>
            </w:tcBorders>
            <w:shd w:val="clear" w:color="auto" w:fill="auto"/>
            <w:noWrap/>
            <w:vAlign w:val="bottom"/>
            <w:hideMark/>
          </w:tcPr>
          <w:p w14:paraId="2618FCA4"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649 648</w:t>
            </w:r>
          </w:p>
        </w:tc>
        <w:tc>
          <w:tcPr>
            <w:tcW w:w="390" w:type="pct"/>
            <w:tcBorders>
              <w:top w:val="nil"/>
              <w:left w:val="nil"/>
              <w:bottom w:val="nil"/>
              <w:right w:val="nil"/>
            </w:tcBorders>
            <w:shd w:val="clear" w:color="auto" w:fill="auto"/>
            <w:noWrap/>
            <w:vAlign w:val="bottom"/>
            <w:hideMark/>
          </w:tcPr>
          <w:p w14:paraId="27A0F54C"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642 418</w:t>
            </w:r>
          </w:p>
        </w:tc>
      </w:tr>
      <w:tr w:rsidR="00DD531B" w:rsidRPr="00DD531B" w14:paraId="12EA0963" w14:textId="77777777" w:rsidTr="00463505">
        <w:trPr>
          <w:trHeight w:val="300"/>
        </w:trPr>
        <w:tc>
          <w:tcPr>
            <w:tcW w:w="2188" w:type="pct"/>
            <w:tcBorders>
              <w:top w:val="nil"/>
              <w:left w:val="nil"/>
              <w:bottom w:val="nil"/>
              <w:right w:val="nil"/>
            </w:tcBorders>
            <w:shd w:val="clear" w:color="auto" w:fill="auto"/>
            <w:noWrap/>
            <w:vAlign w:val="bottom"/>
            <w:hideMark/>
          </w:tcPr>
          <w:p w14:paraId="4810A0E6" w14:textId="77777777" w:rsidR="00DD531B" w:rsidRPr="00053B64" w:rsidRDefault="00DD531B" w:rsidP="00DD531B">
            <w:pPr>
              <w:spacing w:after="0" w:line="240" w:lineRule="auto"/>
              <w:rPr>
                <w:rFonts w:ascii="Times New Roman" w:eastAsia="Times New Roman" w:hAnsi="Times New Roman" w:cs="Times New Roman"/>
                <w:color w:val="000000"/>
                <w:sz w:val="16"/>
                <w:szCs w:val="16"/>
                <w:lang w:eastAsia="sk-SK"/>
              </w:rPr>
            </w:pPr>
            <w:r w:rsidRPr="00053B64">
              <w:rPr>
                <w:rFonts w:ascii="Times New Roman" w:eastAsia="Times New Roman" w:hAnsi="Times New Roman" w:cs="Times New Roman"/>
                <w:color w:val="000000"/>
                <w:sz w:val="16"/>
                <w:szCs w:val="16"/>
                <w:lang w:eastAsia="sk-SK"/>
              </w:rPr>
              <w:t>bežné výdavky  600, v tom:</w:t>
            </w:r>
          </w:p>
        </w:tc>
        <w:tc>
          <w:tcPr>
            <w:tcW w:w="395" w:type="pct"/>
            <w:tcBorders>
              <w:top w:val="nil"/>
              <w:left w:val="nil"/>
              <w:bottom w:val="nil"/>
              <w:right w:val="nil"/>
            </w:tcBorders>
            <w:shd w:val="clear" w:color="auto" w:fill="auto"/>
            <w:noWrap/>
            <w:vAlign w:val="bottom"/>
            <w:hideMark/>
          </w:tcPr>
          <w:p w14:paraId="40F9778A"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508 536</w:t>
            </w:r>
          </w:p>
        </w:tc>
        <w:tc>
          <w:tcPr>
            <w:tcW w:w="387" w:type="pct"/>
            <w:tcBorders>
              <w:top w:val="nil"/>
              <w:left w:val="nil"/>
              <w:bottom w:val="nil"/>
              <w:right w:val="nil"/>
            </w:tcBorders>
            <w:shd w:val="clear" w:color="auto" w:fill="auto"/>
            <w:noWrap/>
            <w:vAlign w:val="bottom"/>
            <w:hideMark/>
          </w:tcPr>
          <w:p w14:paraId="3D6BB6C2"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528 804</w:t>
            </w:r>
          </w:p>
        </w:tc>
        <w:tc>
          <w:tcPr>
            <w:tcW w:w="391" w:type="pct"/>
            <w:tcBorders>
              <w:top w:val="nil"/>
              <w:left w:val="nil"/>
              <w:bottom w:val="nil"/>
              <w:right w:val="nil"/>
            </w:tcBorders>
            <w:shd w:val="clear" w:color="auto" w:fill="auto"/>
            <w:noWrap/>
            <w:vAlign w:val="bottom"/>
            <w:hideMark/>
          </w:tcPr>
          <w:p w14:paraId="684F1135"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605 827</w:t>
            </w:r>
          </w:p>
        </w:tc>
        <w:tc>
          <w:tcPr>
            <w:tcW w:w="468" w:type="pct"/>
            <w:tcBorders>
              <w:top w:val="nil"/>
              <w:left w:val="nil"/>
              <w:bottom w:val="nil"/>
              <w:right w:val="nil"/>
            </w:tcBorders>
            <w:shd w:val="clear" w:color="auto" w:fill="auto"/>
            <w:noWrap/>
            <w:vAlign w:val="bottom"/>
            <w:hideMark/>
          </w:tcPr>
          <w:p w14:paraId="3C540B33"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627 287</w:t>
            </w:r>
          </w:p>
        </w:tc>
        <w:tc>
          <w:tcPr>
            <w:tcW w:w="391" w:type="pct"/>
            <w:tcBorders>
              <w:top w:val="nil"/>
              <w:left w:val="nil"/>
              <w:bottom w:val="nil"/>
              <w:right w:val="nil"/>
            </w:tcBorders>
            <w:shd w:val="clear" w:color="auto" w:fill="auto"/>
            <w:noWrap/>
            <w:vAlign w:val="bottom"/>
            <w:hideMark/>
          </w:tcPr>
          <w:p w14:paraId="7F3E8169"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632 575</w:t>
            </w:r>
          </w:p>
        </w:tc>
        <w:tc>
          <w:tcPr>
            <w:tcW w:w="391" w:type="pct"/>
            <w:tcBorders>
              <w:top w:val="nil"/>
              <w:left w:val="nil"/>
              <w:bottom w:val="nil"/>
              <w:right w:val="nil"/>
            </w:tcBorders>
            <w:shd w:val="clear" w:color="auto" w:fill="auto"/>
            <w:noWrap/>
            <w:vAlign w:val="bottom"/>
            <w:hideMark/>
          </w:tcPr>
          <w:p w14:paraId="1BF789D7"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627 891</w:t>
            </w:r>
          </w:p>
        </w:tc>
        <w:tc>
          <w:tcPr>
            <w:tcW w:w="390" w:type="pct"/>
            <w:tcBorders>
              <w:top w:val="nil"/>
              <w:left w:val="nil"/>
              <w:bottom w:val="nil"/>
              <w:right w:val="nil"/>
            </w:tcBorders>
            <w:shd w:val="clear" w:color="auto" w:fill="auto"/>
            <w:noWrap/>
            <w:vAlign w:val="bottom"/>
            <w:hideMark/>
          </w:tcPr>
          <w:p w14:paraId="026FB7C7"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629 325</w:t>
            </w:r>
          </w:p>
        </w:tc>
      </w:tr>
      <w:tr w:rsidR="00DD531B" w:rsidRPr="00DD531B" w14:paraId="7395E6EE" w14:textId="77777777" w:rsidTr="00463505">
        <w:trPr>
          <w:trHeight w:val="300"/>
        </w:trPr>
        <w:tc>
          <w:tcPr>
            <w:tcW w:w="2188" w:type="pct"/>
            <w:tcBorders>
              <w:top w:val="nil"/>
              <w:left w:val="nil"/>
              <w:bottom w:val="nil"/>
              <w:right w:val="nil"/>
            </w:tcBorders>
            <w:shd w:val="clear" w:color="auto" w:fill="auto"/>
            <w:noWrap/>
            <w:vAlign w:val="bottom"/>
            <w:hideMark/>
          </w:tcPr>
          <w:p w14:paraId="3776E85E" w14:textId="77777777" w:rsidR="00DD531B" w:rsidRPr="00053B64" w:rsidRDefault="00DD531B" w:rsidP="00DD531B">
            <w:pPr>
              <w:spacing w:after="0" w:line="240" w:lineRule="auto"/>
              <w:rPr>
                <w:rFonts w:ascii="Times New Roman" w:eastAsia="Times New Roman" w:hAnsi="Times New Roman" w:cs="Times New Roman"/>
                <w:color w:val="000000"/>
                <w:sz w:val="16"/>
                <w:szCs w:val="16"/>
                <w:lang w:eastAsia="sk-SK"/>
              </w:rPr>
            </w:pPr>
            <w:r w:rsidRPr="00053B64">
              <w:rPr>
                <w:rFonts w:ascii="Times New Roman" w:eastAsia="Times New Roman" w:hAnsi="Times New Roman" w:cs="Times New Roman"/>
                <w:color w:val="000000"/>
                <w:sz w:val="16"/>
                <w:szCs w:val="16"/>
                <w:lang w:eastAsia="sk-SK"/>
              </w:rPr>
              <w:t>610 mzdy</w:t>
            </w:r>
          </w:p>
        </w:tc>
        <w:tc>
          <w:tcPr>
            <w:tcW w:w="395" w:type="pct"/>
            <w:tcBorders>
              <w:top w:val="nil"/>
              <w:left w:val="nil"/>
              <w:bottom w:val="nil"/>
              <w:right w:val="nil"/>
            </w:tcBorders>
            <w:shd w:val="clear" w:color="auto" w:fill="auto"/>
            <w:noWrap/>
            <w:vAlign w:val="bottom"/>
            <w:hideMark/>
          </w:tcPr>
          <w:p w14:paraId="67BD40FA"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273 127</w:t>
            </w:r>
          </w:p>
        </w:tc>
        <w:tc>
          <w:tcPr>
            <w:tcW w:w="387" w:type="pct"/>
            <w:tcBorders>
              <w:top w:val="nil"/>
              <w:left w:val="nil"/>
              <w:bottom w:val="nil"/>
              <w:right w:val="nil"/>
            </w:tcBorders>
            <w:shd w:val="clear" w:color="auto" w:fill="auto"/>
            <w:noWrap/>
            <w:vAlign w:val="bottom"/>
            <w:hideMark/>
          </w:tcPr>
          <w:p w14:paraId="6272A710"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280 929</w:t>
            </w:r>
          </w:p>
        </w:tc>
        <w:tc>
          <w:tcPr>
            <w:tcW w:w="391" w:type="pct"/>
            <w:tcBorders>
              <w:top w:val="nil"/>
              <w:left w:val="nil"/>
              <w:bottom w:val="nil"/>
              <w:right w:val="nil"/>
            </w:tcBorders>
            <w:shd w:val="clear" w:color="auto" w:fill="auto"/>
            <w:noWrap/>
            <w:vAlign w:val="bottom"/>
            <w:hideMark/>
          </w:tcPr>
          <w:p w14:paraId="637FEE65"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317 504</w:t>
            </w:r>
          </w:p>
        </w:tc>
        <w:tc>
          <w:tcPr>
            <w:tcW w:w="468" w:type="pct"/>
            <w:tcBorders>
              <w:top w:val="nil"/>
              <w:left w:val="nil"/>
              <w:bottom w:val="nil"/>
              <w:right w:val="nil"/>
            </w:tcBorders>
            <w:shd w:val="clear" w:color="auto" w:fill="auto"/>
            <w:noWrap/>
            <w:vAlign w:val="bottom"/>
            <w:hideMark/>
          </w:tcPr>
          <w:p w14:paraId="3DE993E0"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323 018</w:t>
            </w:r>
          </w:p>
        </w:tc>
        <w:tc>
          <w:tcPr>
            <w:tcW w:w="391" w:type="pct"/>
            <w:tcBorders>
              <w:top w:val="nil"/>
              <w:left w:val="nil"/>
              <w:bottom w:val="nil"/>
              <w:right w:val="nil"/>
            </w:tcBorders>
            <w:shd w:val="clear" w:color="auto" w:fill="auto"/>
            <w:noWrap/>
            <w:vAlign w:val="bottom"/>
            <w:hideMark/>
          </w:tcPr>
          <w:p w14:paraId="44DAC387"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333 364</w:t>
            </w:r>
          </w:p>
        </w:tc>
        <w:tc>
          <w:tcPr>
            <w:tcW w:w="391" w:type="pct"/>
            <w:tcBorders>
              <w:top w:val="nil"/>
              <w:left w:val="nil"/>
              <w:bottom w:val="nil"/>
              <w:right w:val="nil"/>
            </w:tcBorders>
            <w:shd w:val="clear" w:color="auto" w:fill="auto"/>
            <w:noWrap/>
            <w:vAlign w:val="bottom"/>
            <w:hideMark/>
          </w:tcPr>
          <w:p w14:paraId="178BF301"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333 364</w:t>
            </w:r>
          </w:p>
        </w:tc>
        <w:tc>
          <w:tcPr>
            <w:tcW w:w="390" w:type="pct"/>
            <w:tcBorders>
              <w:top w:val="nil"/>
              <w:left w:val="nil"/>
              <w:bottom w:val="nil"/>
              <w:right w:val="nil"/>
            </w:tcBorders>
            <w:shd w:val="clear" w:color="auto" w:fill="auto"/>
            <w:noWrap/>
            <w:vAlign w:val="bottom"/>
            <w:hideMark/>
          </w:tcPr>
          <w:p w14:paraId="6EF6227C"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333 545</w:t>
            </w:r>
          </w:p>
        </w:tc>
      </w:tr>
      <w:tr w:rsidR="00DD531B" w:rsidRPr="00DD531B" w14:paraId="61850272" w14:textId="77777777" w:rsidTr="00463505">
        <w:trPr>
          <w:trHeight w:val="300"/>
        </w:trPr>
        <w:tc>
          <w:tcPr>
            <w:tcW w:w="2188" w:type="pct"/>
            <w:tcBorders>
              <w:top w:val="nil"/>
              <w:left w:val="nil"/>
              <w:bottom w:val="nil"/>
              <w:right w:val="nil"/>
            </w:tcBorders>
            <w:shd w:val="clear" w:color="auto" w:fill="auto"/>
            <w:noWrap/>
            <w:vAlign w:val="bottom"/>
            <w:hideMark/>
          </w:tcPr>
          <w:p w14:paraId="58C92A47" w14:textId="77777777" w:rsidR="00DD531B" w:rsidRPr="00053B64" w:rsidRDefault="00DD531B" w:rsidP="00DD531B">
            <w:pPr>
              <w:spacing w:after="0" w:line="240" w:lineRule="auto"/>
              <w:rPr>
                <w:rFonts w:ascii="Times New Roman" w:eastAsia="Times New Roman" w:hAnsi="Times New Roman" w:cs="Times New Roman"/>
                <w:color w:val="000000"/>
                <w:sz w:val="16"/>
                <w:szCs w:val="16"/>
                <w:lang w:eastAsia="sk-SK"/>
              </w:rPr>
            </w:pPr>
            <w:r w:rsidRPr="00053B64">
              <w:rPr>
                <w:rFonts w:ascii="Times New Roman" w:eastAsia="Times New Roman" w:hAnsi="Times New Roman" w:cs="Times New Roman"/>
                <w:color w:val="000000"/>
                <w:sz w:val="16"/>
                <w:szCs w:val="16"/>
                <w:lang w:eastAsia="sk-SK"/>
              </w:rPr>
              <w:t>620 odvody</w:t>
            </w:r>
          </w:p>
        </w:tc>
        <w:tc>
          <w:tcPr>
            <w:tcW w:w="395" w:type="pct"/>
            <w:tcBorders>
              <w:top w:val="nil"/>
              <w:left w:val="nil"/>
              <w:bottom w:val="nil"/>
              <w:right w:val="nil"/>
            </w:tcBorders>
            <w:shd w:val="clear" w:color="auto" w:fill="auto"/>
            <w:noWrap/>
            <w:vAlign w:val="bottom"/>
            <w:hideMark/>
          </w:tcPr>
          <w:p w14:paraId="3867BC56"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100 485</w:t>
            </w:r>
          </w:p>
        </w:tc>
        <w:tc>
          <w:tcPr>
            <w:tcW w:w="387" w:type="pct"/>
            <w:tcBorders>
              <w:top w:val="nil"/>
              <w:left w:val="nil"/>
              <w:bottom w:val="nil"/>
              <w:right w:val="nil"/>
            </w:tcBorders>
            <w:shd w:val="clear" w:color="auto" w:fill="auto"/>
            <w:noWrap/>
            <w:vAlign w:val="bottom"/>
            <w:hideMark/>
          </w:tcPr>
          <w:p w14:paraId="7EB10136"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103 558</w:t>
            </w:r>
          </w:p>
        </w:tc>
        <w:tc>
          <w:tcPr>
            <w:tcW w:w="391" w:type="pct"/>
            <w:tcBorders>
              <w:top w:val="nil"/>
              <w:left w:val="nil"/>
              <w:bottom w:val="nil"/>
              <w:right w:val="nil"/>
            </w:tcBorders>
            <w:shd w:val="clear" w:color="auto" w:fill="auto"/>
            <w:noWrap/>
            <w:vAlign w:val="bottom"/>
            <w:hideMark/>
          </w:tcPr>
          <w:p w14:paraId="678869E1"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115 361</w:t>
            </w:r>
          </w:p>
        </w:tc>
        <w:tc>
          <w:tcPr>
            <w:tcW w:w="468" w:type="pct"/>
            <w:tcBorders>
              <w:top w:val="nil"/>
              <w:left w:val="nil"/>
              <w:bottom w:val="nil"/>
              <w:right w:val="nil"/>
            </w:tcBorders>
            <w:shd w:val="clear" w:color="auto" w:fill="auto"/>
            <w:noWrap/>
            <w:vAlign w:val="bottom"/>
            <w:hideMark/>
          </w:tcPr>
          <w:p w14:paraId="7752C0EA"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115 185</w:t>
            </w:r>
          </w:p>
        </w:tc>
        <w:tc>
          <w:tcPr>
            <w:tcW w:w="391" w:type="pct"/>
            <w:tcBorders>
              <w:top w:val="nil"/>
              <w:left w:val="nil"/>
              <w:bottom w:val="nil"/>
              <w:right w:val="nil"/>
            </w:tcBorders>
            <w:shd w:val="clear" w:color="auto" w:fill="auto"/>
            <w:noWrap/>
            <w:vAlign w:val="bottom"/>
            <w:hideMark/>
          </w:tcPr>
          <w:p w14:paraId="3CBFCB97"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123 929</w:t>
            </w:r>
          </w:p>
        </w:tc>
        <w:tc>
          <w:tcPr>
            <w:tcW w:w="391" w:type="pct"/>
            <w:tcBorders>
              <w:top w:val="nil"/>
              <w:left w:val="nil"/>
              <w:bottom w:val="nil"/>
              <w:right w:val="nil"/>
            </w:tcBorders>
            <w:shd w:val="clear" w:color="auto" w:fill="auto"/>
            <w:noWrap/>
            <w:vAlign w:val="bottom"/>
            <w:hideMark/>
          </w:tcPr>
          <w:p w14:paraId="24F23FFE"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123 929</w:t>
            </w:r>
          </w:p>
        </w:tc>
        <w:tc>
          <w:tcPr>
            <w:tcW w:w="390" w:type="pct"/>
            <w:tcBorders>
              <w:top w:val="nil"/>
              <w:left w:val="nil"/>
              <w:bottom w:val="nil"/>
              <w:right w:val="nil"/>
            </w:tcBorders>
            <w:shd w:val="clear" w:color="auto" w:fill="auto"/>
            <w:noWrap/>
            <w:vAlign w:val="bottom"/>
            <w:hideMark/>
          </w:tcPr>
          <w:p w14:paraId="7C8DA878"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123 992</w:t>
            </w:r>
          </w:p>
        </w:tc>
      </w:tr>
      <w:tr w:rsidR="00DD531B" w:rsidRPr="00DD531B" w14:paraId="4801B465" w14:textId="77777777" w:rsidTr="00463505">
        <w:trPr>
          <w:trHeight w:val="300"/>
        </w:trPr>
        <w:tc>
          <w:tcPr>
            <w:tcW w:w="2188" w:type="pct"/>
            <w:tcBorders>
              <w:top w:val="nil"/>
              <w:left w:val="nil"/>
              <w:bottom w:val="nil"/>
              <w:right w:val="nil"/>
            </w:tcBorders>
            <w:shd w:val="clear" w:color="auto" w:fill="auto"/>
            <w:noWrap/>
            <w:vAlign w:val="bottom"/>
            <w:hideMark/>
          </w:tcPr>
          <w:p w14:paraId="46BBBD2F" w14:textId="77777777" w:rsidR="00DD531B" w:rsidRPr="00053B64" w:rsidRDefault="00DD531B" w:rsidP="00DD531B">
            <w:pPr>
              <w:spacing w:after="0" w:line="240" w:lineRule="auto"/>
              <w:rPr>
                <w:rFonts w:ascii="Times New Roman" w:eastAsia="Times New Roman" w:hAnsi="Times New Roman" w:cs="Times New Roman"/>
                <w:color w:val="000000"/>
                <w:sz w:val="16"/>
                <w:szCs w:val="16"/>
                <w:lang w:eastAsia="sk-SK"/>
              </w:rPr>
            </w:pPr>
            <w:r w:rsidRPr="00053B64">
              <w:rPr>
                <w:rFonts w:ascii="Times New Roman" w:eastAsia="Times New Roman" w:hAnsi="Times New Roman" w:cs="Times New Roman"/>
                <w:color w:val="000000"/>
                <w:sz w:val="16"/>
                <w:szCs w:val="16"/>
                <w:lang w:eastAsia="sk-SK"/>
              </w:rPr>
              <w:t>630 tovary a služby</w:t>
            </w:r>
          </w:p>
        </w:tc>
        <w:tc>
          <w:tcPr>
            <w:tcW w:w="395" w:type="pct"/>
            <w:tcBorders>
              <w:top w:val="nil"/>
              <w:left w:val="nil"/>
              <w:bottom w:val="nil"/>
              <w:right w:val="nil"/>
            </w:tcBorders>
            <w:shd w:val="clear" w:color="auto" w:fill="auto"/>
            <w:noWrap/>
            <w:vAlign w:val="bottom"/>
            <w:hideMark/>
          </w:tcPr>
          <w:p w14:paraId="2B5591E3"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106 270</w:t>
            </w:r>
          </w:p>
        </w:tc>
        <w:tc>
          <w:tcPr>
            <w:tcW w:w="387" w:type="pct"/>
            <w:tcBorders>
              <w:top w:val="nil"/>
              <w:left w:val="nil"/>
              <w:bottom w:val="nil"/>
              <w:right w:val="nil"/>
            </w:tcBorders>
            <w:shd w:val="clear" w:color="auto" w:fill="auto"/>
            <w:noWrap/>
            <w:vAlign w:val="bottom"/>
            <w:hideMark/>
          </w:tcPr>
          <w:p w14:paraId="0CCA74D4"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112 127</w:t>
            </w:r>
          </w:p>
        </w:tc>
        <w:tc>
          <w:tcPr>
            <w:tcW w:w="391" w:type="pct"/>
            <w:tcBorders>
              <w:top w:val="nil"/>
              <w:left w:val="nil"/>
              <w:bottom w:val="nil"/>
              <w:right w:val="nil"/>
            </w:tcBorders>
            <w:shd w:val="clear" w:color="auto" w:fill="auto"/>
            <w:noWrap/>
            <w:vAlign w:val="bottom"/>
            <w:hideMark/>
          </w:tcPr>
          <w:p w14:paraId="4DF0A7CE"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148 819</w:t>
            </w:r>
          </w:p>
        </w:tc>
        <w:tc>
          <w:tcPr>
            <w:tcW w:w="468" w:type="pct"/>
            <w:tcBorders>
              <w:top w:val="nil"/>
              <w:left w:val="nil"/>
              <w:bottom w:val="nil"/>
              <w:right w:val="nil"/>
            </w:tcBorders>
            <w:shd w:val="clear" w:color="auto" w:fill="auto"/>
            <w:noWrap/>
            <w:vAlign w:val="bottom"/>
            <w:hideMark/>
          </w:tcPr>
          <w:p w14:paraId="24626BEB"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147 178</w:t>
            </w:r>
          </w:p>
        </w:tc>
        <w:tc>
          <w:tcPr>
            <w:tcW w:w="391" w:type="pct"/>
            <w:tcBorders>
              <w:top w:val="nil"/>
              <w:left w:val="nil"/>
              <w:bottom w:val="nil"/>
              <w:right w:val="nil"/>
            </w:tcBorders>
            <w:shd w:val="clear" w:color="auto" w:fill="auto"/>
            <w:noWrap/>
            <w:vAlign w:val="bottom"/>
            <w:hideMark/>
          </w:tcPr>
          <w:p w14:paraId="6ED2E74B"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139 195</w:t>
            </w:r>
          </w:p>
        </w:tc>
        <w:tc>
          <w:tcPr>
            <w:tcW w:w="391" w:type="pct"/>
            <w:tcBorders>
              <w:top w:val="nil"/>
              <w:left w:val="nil"/>
              <w:bottom w:val="nil"/>
              <w:right w:val="nil"/>
            </w:tcBorders>
            <w:shd w:val="clear" w:color="auto" w:fill="auto"/>
            <w:noWrap/>
            <w:vAlign w:val="bottom"/>
            <w:hideMark/>
          </w:tcPr>
          <w:p w14:paraId="2C0008AE"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134 511</w:t>
            </w:r>
          </w:p>
        </w:tc>
        <w:tc>
          <w:tcPr>
            <w:tcW w:w="390" w:type="pct"/>
            <w:tcBorders>
              <w:top w:val="nil"/>
              <w:left w:val="nil"/>
              <w:bottom w:val="nil"/>
              <w:right w:val="nil"/>
            </w:tcBorders>
            <w:shd w:val="clear" w:color="auto" w:fill="auto"/>
            <w:noWrap/>
            <w:vAlign w:val="bottom"/>
            <w:hideMark/>
          </w:tcPr>
          <w:p w14:paraId="1859CC5C"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135 700</w:t>
            </w:r>
          </w:p>
        </w:tc>
      </w:tr>
      <w:tr w:rsidR="00DD531B" w:rsidRPr="00DD531B" w14:paraId="262AAF75" w14:textId="77777777" w:rsidTr="00463505">
        <w:trPr>
          <w:trHeight w:val="300"/>
        </w:trPr>
        <w:tc>
          <w:tcPr>
            <w:tcW w:w="2188" w:type="pct"/>
            <w:tcBorders>
              <w:top w:val="nil"/>
              <w:left w:val="nil"/>
              <w:bottom w:val="nil"/>
              <w:right w:val="nil"/>
            </w:tcBorders>
            <w:shd w:val="clear" w:color="auto" w:fill="auto"/>
            <w:noWrap/>
            <w:vAlign w:val="bottom"/>
            <w:hideMark/>
          </w:tcPr>
          <w:p w14:paraId="047271C5" w14:textId="77777777" w:rsidR="00DD531B" w:rsidRPr="00053B64" w:rsidRDefault="00DD531B" w:rsidP="00DD531B">
            <w:pPr>
              <w:spacing w:after="0" w:line="240" w:lineRule="auto"/>
              <w:rPr>
                <w:rFonts w:ascii="Times New Roman" w:eastAsia="Times New Roman" w:hAnsi="Times New Roman" w:cs="Times New Roman"/>
                <w:color w:val="000000"/>
                <w:sz w:val="16"/>
                <w:szCs w:val="16"/>
                <w:lang w:eastAsia="sk-SK"/>
              </w:rPr>
            </w:pPr>
            <w:r w:rsidRPr="00053B64">
              <w:rPr>
                <w:rFonts w:ascii="Times New Roman" w:eastAsia="Times New Roman" w:hAnsi="Times New Roman" w:cs="Times New Roman"/>
                <w:color w:val="000000"/>
                <w:sz w:val="16"/>
                <w:szCs w:val="16"/>
                <w:lang w:eastAsia="sk-SK"/>
              </w:rPr>
              <w:t>640 bežné transfery</w:t>
            </w:r>
          </w:p>
        </w:tc>
        <w:tc>
          <w:tcPr>
            <w:tcW w:w="395" w:type="pct"/>
            <w:tcBorders>
              <w:top w:val="nil"/>
              <w:left w:val="nil"/>
              <w:bottom w:val="nil"/>
              <w:right w:val="nil"/>
            </w:tcBorders>
            <w:shd w:val="clear" w:color="auto" w:fill="auto"/>
            <w:noWrap/>
            <w:vAlign w:val="bottom"/>
            <w:hideMark/>
          </w:tcPr>
          <w:p w14:paraId="35833556"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28 653</w:t>
            </w:r>
          </w:p>
        </w:tc>
        <w:tc>
          <w:tcPr>
            <w:tcW w:w="387" w:type="pct"/>
            <w:tcBorders>
              <w:top w:val="nil"/>
              <w:left w:val="nil"/>
              <w:bottom w:val="nil"/>
              <w:right w:val="nil"/>
            </w:tcBorders>
            <w:shd w:val="clear" w:color="auto" w:fill="auto"/>
            <w:noWrap/>
            <w:vAlign w:val="bottom"/>
            <w:hideMark/>
          </w:tcPr>
          <w:p w14:paraId="05A1E283"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32 190</w:t>
            </w:r>
          </w:p>
        </w:tc>
        <w:tc>
          <w:tcPr>
            <w:tcW w:w="391" w:type="pct"/>
            <w:tcBorders>
              <w:top w:val="nil"/>
              <w:left w:val="nil"/>
              <w:bottom w:val="nil"/>
              <w:right w:val="nil"/>
            </w:tcBorders>
            <w:shd w:val="clear" w:color="auto" w:fill="auto"/>
            <w:noWrap/>
            <w:vAlign w:val="bottom"/>
            <w:hideMark/>
          </w:tcPr>
          <w:p w14:paraId="2E7B6CE5"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24 144</w:t>
            </w:r>
          </w:p>
        </w:tc>
        <w:tc>
          <w:tcPr>
            <w:tcW w:w="468" w:type="pct"/>
            <w:tcBorders>
              <w:top w:val="nil"/>
              <w:left w:val="nil"/>
              <w:bottom w:val="nil"/>
              <w:right w:val="nil"/>
            </w:tcBorders>
            <w:shd w:val="clear" w:color="auto" w:fill="auto"/>
            <w:noWrap/>
            <w:vAlign w:val="bottom"/>
            <w:hideMark/>
          </w:tcPr>
          <w:p w14:paraId="500D5499"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41 906</w:t>
            </w:r>
          </w:p>
        </w:tc>
        <w:tc>
          <w:tcPr>
            <w:tcW w:w="391" w:type="pct"/>
            <w:tcBorders>
              <w:top w:val="nil"/>
              <w:left w:val="nil"/>
              <w:bottom w:val="nil"/>
              <w:right w:val="nil"/>
            </w:tcBorders>
            <w:shd w:val="clear" w:color="auto" w:fill="auto"/>
            <w:noWrap/>
            <w:vAlign w:val="bottom"/>
            <w:hideMark/>
          </w:tcPr>
          <w:p w14:paraId="2A734F65"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36 087</w:t>
            </w:r>
          </w:p>
        </w:tc>
        <w:tc>
          <w:tcPr>
            <w:tcW w:w="391" w:type="pct"/>
            <w:tcBorders>
              <w:top w:val="nil"/>
              <w:left w:val="nil"/>
              <w:bottom w:val="nil"/>
              <w:right w:val="nil"/>
            </w:tcBorders>
            <w:shd w:val="clear" w:color="auto" w:fill="auto"/>
            <w:noWrap/>
            <w:vAlign w:val="bottom"/>
            <w:hideMark/>
          </w:tcPr>
          <w:p w14:paraId="24B9990E"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36 087</w:t>
            </w:r>
          </w:p>
        </w:tc>
        <w:tc>
          <w:tcPr>
            <w:tcW w:w="390" w:type="pct"/>
            <w:tcBorders>
              <w:top w:val="nil"/>
              <w:left w:val="nil"/>
              <w:bottom w:val="nil"/>
              <w:right w:val="nil"/>
            </w:tcBorders>
            <w:shd w:val="clear" w:color="auto" w:fill="auto"/>
            <w:noWrap/>
            <w:vAlign w:val="bottom"/>
            <w:hideMark/>
          </w:tcPr>
          <w:p w14:paraId="7F316CDF"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36 087</w:t>
            </w:r>
          </w:p>
        </w:tc>
      </w:tr>
      <w:tr w:rsidR="00DD531B" w:rsidRPr="00DD531B" w14:paraId="6F8E6AA5" w14:textId="77777777" w:rsidTr="00463505">
        <w:trPr>
          <w:trHeight w:val="300"/>
        </w:trPr>
        <w:tc>
          <w:tcPr>
            <w:tcW w:w="2188" w:type="pct"/>
            <w:tcBorders>
              <w:top w:val="nil"/>
              <w:left w:val="nil"/>
              <w:bottom w:val="nil"/>
              <w:right w:val="nil"/>
            </w:tcBorders>
            <w:shd w:val="clear" w:color="auto" w:fill="auto"/>
            <w:noWrap/>
            <w:vAlign w:val="bottom"/>
            <w:hideMark/>
          </w:tcPr>
          <w:p w14:paraId="4E99EC80" w14:textId="77777777" w:rsidR="00DD531B" w:rsidRPr="00053B64" w:rsidRDefault="00DD531B" w:rsidP="00DD531B">
            <w:pPr>
              <w:spacing w:after="0" w:line="240" w:lineRule="auto"/>
              <w:rPr>
                <w:rFonts w:ascii="Times New Roman" w:eastAsia="Times New Roman" w:hAnsi="Times New Roman" w:cs="Times New Roman"/>
                <w:color w:val="000000"/>
                <w:sz w:val="16"/>
                <w:szCs w:val="16"/>
                <w:lang w:eastAsia="sk-SK"/>
              </w:rPr>
            </w:pPr>
            <w:r w:rsidRPr="00053B64">
              <w:rPr>
                <w:rFonts w:ascii="Times New Roman" w:eastAsia="Times New Roman" w:hAnsi="Times New Roman" w:cs="Times New Roman"/>
                <w:color w:val="000000"/>
                <w:sz w:val="16"/>
                <w:szCs w:val="16"/>
                <w:lang w:eastAsia="sk-SK"/>
              </w:rPr>
              <w:t>kapitálové výdavky 700</w:t>
            </w:r>
          </w:p>
        </w:tc>
        <w:tc>
          <w:tcPr>
            <w:tcW w:w="395" w:type="pct"/>
            <w:tcBorders>
              <w:top w:val="nil"/>
              <w:left w:val="nil"/>
              <w:bottom w:val="nil"/>
              <w:right w:val="nil"/>
            </w:tcBorders>
            <w:shd w:val="clear" w:color="auto" w:fill="auto"/>
            <w:noWrap/>
            <w:vAlign w:val="bottom"/>
            <w:hideMark/>
          </w:tcPr>
          <w:p w14:paraId="0212D1E8"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6 483</w:t>
            </w:r>
          </w:p>
        </w:tc>
        <w:tc>
          <w:tcPr>
            <w:tcW w:w="387" w:type="pct"/>
            <w:tcBorders>
              <w:top w:val="nil"/>
              <w:left w:val="nil"/>
              <w:bottom w:val="nil"/>
              <w:right w:val="nil"/>
            </w:tcBorders>
            <w:shd w:val="clear" w:color="auto" w:fill="auto"/>
            <w:noWrap/>
            <w:vAlign w:val="bottom"/>
            <w:hideMark/>
          </w:tcPr>
          <w:p w14:paraId="270B57DF"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3 778</w:t>
            </w:r>
          </w:p>
        </w:tc>
        <w:tc>
          <w:tcPr>
            <w:tcW w:w="391" w:type="pct"/>
            <w:tcBorders>
              <w:top w:val="nil"/>
              <w:left w:val="nil"/>
              <w:bottom w:val="nil"/>
              <w:right w:val="nil"/>
            </w:tcBorders>
            <w:shd w:val="clear" w:color="auto" w:fill="auto"/>
            <w:noWrap/>
            <w:vAlign w:val="bottom"/>
            <w:hideMark/>
          </w:tcPr>
          <w:p w14:paraId="7936CE64"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11 066</w:t>
            </w:r>
          </w:p>
        </w:tc>
        <w:tc>
          <w:tcPr>
            <w:tcW w:w="468" w:type="pct"/>
            <w:tcBorders>
              <w:top w:val="nil"/>
              <w:left w:val="nil"/>
              <w:bottom w:val="nil"/>
              <w:right w:val="nil"/>
            </w:tcBorders>
            <w:shd w:val="clear" w:color="auto" w:fill="auto"/>
            <w:noWrap/>
            <w:vAlign w:val="bottom"/>
            <w:hideMark/>
          </w:tcPr>
          <w:p w14:paraId="4698D501"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38 698</w:t>
            </w:r>
          </w:p>
        </w:tc>
        <w:tc>
          <w:tcPr>
            <w:tcW w:w="391" w:type="pct"/>
            <w:tcBorders>
              <w:top w:val="nil"/>
              <w:left w:val="nil"/>
              <w:bottom w:val="nil"/>
              <w:right w:val="nil"/>
            </w:tcBorders>
            <w:shd w:val="clear" w:color="auto" w:fill="auto"/>
            <w:noWrap/>
            <w:vAlign w:val="bottom"/>
            <w:hideMark/>
          </w:tcPr>
          <w:p w14:paraId="703058CF"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13 810</w:t>
            </w:r>
          </w:p>
        </w:tc>
        <w:tc>
          <w:tcPr>
            <w:tcW w:w="391" w:type="pct"/>
            <w:tcBorders>
              <w:top w:val="nil"/>
              <w:left w:val="nil"/>
              <w:bottom w:val="nil"/>
              <w:right w:val="nil"/>
            </w:tcBorders>
            <w:shd w:val="clear" w:color="auto" w:fill="auto"/>
            <w:noWrap/>
            <w:vAlign w:val="bottom"/>
            <w:hideMark/>
          </w:tcPr>
          <w:p w14:paraId="09CBE80D"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21 757</w:t>
            </w:r>
          </w:p>
        </w:tc>
        <w:tc>
          <w:tcPr>
            <w:tcW w:w="390" w:type="pct"/>
            <w:tcBorders>
              <w:top w:val="nil"/>
              <w:left w:val="nil"/>
              <w:bottom w:val="nil"/>
              <w:right w:val="nil"/>
            </w:tcBorders>
            <w:shd w:val="clear" w:color="auto" w:fill="auto"/>
            <w:noWrap/>
            <w:vAlign w:val="bottom"/>
            <w:hideMark/>
          </w:tcPr>
          <w:p w14:paraId="6E91EF18"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13 094</w:t>
            </w:r>
          </w:p>
        </w:tc>
      </w:tr>
      <w:tr w:rsidR="00DD531B" w:rsidRPr="00DD531B" w14:paraId="77B2E2B6" w14:textId="77777777" w:rsidTr="00463505">
        <w:trPr>
          <w:trHeight w:val="300"/>
        </w:trPr>
        <w:tc>
          <w:tcPr>
            <w:tcW w:w="2188" w:type="pct"/>
            <w:tcBorders>
              <w:top w:val="nil"/>
              <w:left w:val="nil"/>
              <w:bottom w:val="nil"/>
              <w:right w:val="nil"/>
            </w:tcBorders>
            <w:shd w:val="clear" w:color="auto" w:fill="auto"/>
            <w:noWrap/>
            <w:vAlign w:val="bottom"/>
            <w:hideMark/>
          </w:tcPr>
          <w:p w14:paraId="459E30C1" w14:textId="77777777" w:rsidR="00DD531B" w:rsidRPr="00053B64" w:rsidRDefault="00DD531B" w:rsidP="00DD531B">
            <w:pPr>
              <w:spacing w:after="0" w:line="240" w:lineRule="auto"/>
              <w:rPr>
                <w:rFonts w:ascii="Times New Roman" w:eastAsia="Times New Roman" w:hAnsi="Times New Roman" w:cs="Times New Roman"/>
                <w:b/>
                <w:bCs/>
                <w:color w:val="000000"/>
                <w:sz w:val="16"/>
                <w:szCs w:val="16"/>
                <w:lang w:eastAsia="sk-SK"/>
              </w:rPr>
            </w:pPr>
            <w:r w:rsidRPr="00053B64">
              <w:rPr>
                <w:rFonts w:ascii="Times New Roman" w:eastAsia="Times New Roman" w:hAnsi="Times New Roman" w:cs="Times New Roman"/>
                <w:b/>
                <w:bCs/>
                <w:color w:val="000000"/>
                <w:sz w:val="16"/>
                <w:szCs w:val="16"/>
                <w:lang w:eastAsia="sk-SK"/>
              </w:rPr>
              <w:t>zdroj EÚ vrátane spolufinancovania zo ŠR, v tom:</w:t>
            </w:r>
          </w:p>
        </w:tc>
        <w:tc>
          <w:tcPr>
            <w:tcW w:w="395" w:type="pct"/>
            <w:tcBorders>
              <w:top w:val="nil"/>
              <w:left w:val="nil"/>
              <w:bottom w:val="nil"/>
              <w:right w:val="nil"/>
            </w:tcBorders>
            <w:shd w:val="clear" w:color="auto" w:fill="auto"/>
            <w:noWrap/>
            <w:vAlign w:val="bottom"/>
            <w:hideMark/>
          </w:tcPr>
          <w:p w14:paraId="60C13CD8"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5 986</w:t>
            </w:r>
          </w:p>
        </w:tc>
        <w:tc>
          <w:tcPr>
            <w:tcW w:w="387" w:type="pct"/>
            <w:tcBorders>
              <w:top w:val="nil"/>
              <w:left w:val="nil"/>
              <w:bottom w:val="nil"/>
              <w:right w:val="nil"/>
            </w:tcBorders>
            <w:shd w:val="clear" w:color="auto" w:fill="auto"/>
            <w:noWrap/>
            <w:vAlign w:val="bottom"/>
            <w:hideMark/>
          </w:tcPr>
          <w:p w14:paraId="70481769"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5 078</w:t>
            </w:r>
          </w:p>
        </w:tc>
        <w:tc>
          <w:tcPr>
            <w:tcW w:w="391" w:type="pct"/>
            <w:tcBorders>
              <w:top w:val="nil"/>
              <w:left w:val="nil"/>
              <w:bottom w:val="nil"/>
              <w:right w:val="nil"/>
            </w:tcBorders>
            <w:shd w:val="clear" w:color="auto" w:fill="auto"/>
            <w:noWrap/>
            <w:vAlign w:val="bottom"/>
            <w:hideMark/>
          </w:tcPr>
          <w:p w14:paraId="18B71B65"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0</w:t>
            </w:r>
          </w:p>
        </w:tc>
        <w:tc>
          <w:tcPr>
            <w:tcW w:w="468" w:type="pct"/>
            <w:tcBorders>
              <w:top w:val="nil"/>
              <w:left w:val="nil"/>
              <w:bottom w:val="nil"/>
              <w:right w:val="nil"/>
            </w:tcBorders>
            <w:shd w:val="clear" w:color="auto" w:fill="auto"/>
            <w:noWrap/>
            <w:vAlign w:val="bottom"/>
            <w:hideMark/>
          </w:tcPr>
          <w:p w14:paraId="43A2BC18"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7 554</w:t>
            </w:r>
          </w:p>
        </w:tc>
        <w:tc>
          <w:tcPr>
            <w:tcW w:w="391" w:type="pct"/>
            <w:tcBorders>
              <w:top w:val="nil"/>
              <w:left w:val="nil"/>
              <w:bottom w:val="nil"/>
              <w:right w:val="nil"/>
            </w:tcBorders>
            <w:shd w:val="clear" w:color="auto" w:fill="auto"/>
            <w:noWrap/>
            <w:vAlign w:val="bottom"/>
            <w:hideMark/>
          </w:tcPr>
          <w:p w14:paraId="5516CCB8"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0</w:t>
            </w:r>
          </w:p>
        </w:tc>
        <w:tc>
          <w:tcPr>
            <w:tcW w:w="391" w:type="pct"/>
            <w:tcBorders>
              <w:top w:val="nil"/>
              <w:left w:val="nil"/>
              <w:bottom w:val="nil"/>
              <w:right w:val="nil"/>
            </w:tcBorders>
            <w:shd w:val="clear" w:color="auto" w:fill="auto"/>
            <w:noWrap/>
            <w:vAlign w:val="bottom"/>
            <w:hideMark/>
          </w:tcPr>
          <w:p w14:paraId="66B88D2D"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0</w:t>
            </w:r>
          </w:p>
        </w:tc>
        <w:tc>
          <w:tcPr>
            <w:tcW w:w="390" w:type="pct"/>
            <w:tcBorders>
              <w:top w:val="nil"/>
              <w:left w:val="nil"/>
              <w:bottom w:val="nil"/>
              <w:right w:val="nil"/>
            </w:tcBorders>
            <w:shd w:val="clear" w:color="auto" w:fill="auto"/>
            <w:noWrap/>
            <w:vAlign w:val="bottom"/>
            <w:hideMark/>
          </w:tcPr>
          <w:p w14:paraId="510CEB7C"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0</w:t>
            </w:r>
          </w:p>
        </w:tc>
      </w:tr>
      <w:tr w:rsidR="00DD531B" w:rsidRPr="00DD531B" w14:paraId="095CB0AF" w14:textId="77777777" w:rsidTr="00463505">
        <w:trPr>
          <w:trHeight w:val="300"/>
        </w:trPr>
        <w:tc>
          <w:tcPr>
            <w:tcW w:w="2188" w:type="pct"/>
            <w:tcBorders>
              <w:top w:val="nil"/>
              <w:left w:val="nil"/>
              <w:bottom w:val="nil"/>
              <w:right w:val="nil"/>
            </w:tcBorders>
            <w:shd w:val="clear" w:color="auto" w:fill="auto"/>
            <w:noWrap/>
            <w:vAlign w:val="bottom"/>
            <w:hideMark/>
          </w:tcPr>
          <w:p w14:paraId="24B06B30" w14:textId="77777777" w:rsidR="00DD531B" w:rsidRPr="00053B64" w:rsidRDefault="00DD531B" w:rsidP="00DD531B">
            <w:pPr>
              <w:spacing w:after="0" w:line="240" w:lineRule="auto"/>
              <w:rPr>
                <w:rFonts w:ascii="Times New Roman" w:eastAsia="Times New Roman" w:hAnsi="Times New Roman" w:cs="Times New Roman"/>
                <w:color w:val="000000"/>
                <w:sz w:val="16"/>
                <w:szCs w:val="16"/>
                <w:lang w:eastAsia="sk-SK"/>
              </w:rPr>
            </w:pPr>
            <w:r w:rsidRPr="00053B64">
              <w:rPr>
                <w:rFonts w:ascii="Times New Roman" w:eastAsia="Times New Roman" w:hAnsi="Times New Roman" w:cs="Times New Roman"/>
                <w:color w:val="000000"/>
                <w:sz w:val="16"/>
                <w:szCs w:val="16"/>
                <w:lang w:eastAsia="sk-SK"/>
              </w:rPr>
              <w:t>prostriedky EÚ</w:t>
            </w:r>
          </w:p>
        </w:tc>
        <w:tc>
          <w:tcPr>
            <w:tcW w:w="395" w:type="pct"/>
            <w:tcBorders>
              <w:top w:val="nil"/>
              <w:left w:val="nil"/>
              <w:bottom w:val="nil"/>
              <w:right w:val="nil"/>
            </w:tcBorders>
            <w:shd w:val="clear" w:color="auto" w:fill="auto"/>
            <w:noWrap/>
            <w:vAlign w:val="bottom"/>
            <w:hideMark/>
          </w:tcPr>
          <w:p w14:paraId="1F0CC8B6"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4 813</w:t>
            </w:r>
          </w:p>
        </w:tc>
        <w:tc>
          <w:tcPr>
            <w:tcW w:w="387" w:type="pct"/>
            <w:tcBorders>
              <w:top w:val="nil"/>
              <w:left w:val="nil"/>
              <w:bottom w:val="nil"/>
              <w:right w:val="nil"/>
            </w:tcBorders>
            <w:shd w:val="clear" w:color="auto" w:fill="auto"/>
            <w:noWrap/>
            <w:vAlign w:val="bottom"/>
            <w:hideMark/>
          </w:tcPr>
          <w:p w14:paraId="487CB167"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4 521</w:t>
            </w:r>
          </w:p>
        </w:tc>
        <w:tc>
          <w:tcPr>
            <w:tcW w:w="391" w:type="pct"/>
            <w:tcBorders>
              <w:top w:val="nil"/>
              <w:left w:val="nil"/>
              <w:bottom w:val="nil"/>
              <w:right w:val="nil"/>
            </w:tcBorders>
            <w:shd w:val="clear" w:color="auto" w:fill="auto"/>
            <w:noWrap/>
            <w:vAlign w:val="bottom"/>
            <w:hideMark/>
          </w:tcPr>
          <w:p w14:paraId="72AE9A9A"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2F6DEC26"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4 972</w:t>
            </w:r>
          </w:p>
        </w:tc>
        <w:tc>
          <w:tcPr>
            <w:tcW w:w="391" w:type="pct"/>
            <w:tcBorders>
              <w:top w:val="nil"/>
              <w:left w:val="nil"/>
              <w:bottom w:val="nil"/>
              <w:right w:val="nil"/>
            </w:tcBorders>
            <w:shd w:val="clear" w:color="auto" w:fill="auto"/>
            <w:noWrap/>
            <w:vAlign w:val="bottom"/>
            <w:hideMark/>
          </w:tcPr>
          <w:p w14:paraId="27093E5B"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c>
          <w:tcPr>
            <w:tcW w:w="391" w:type="pct"/>
            <w:tcBorders>
              <w:top w:val="nil"/>
              <w:left w:val="nil"/>
              <w:bottom w:val="nil"/>
              <w:right w:val="nil"/>
            </w:tcBorders>
            <w:shd w:val="clear" w:color="auto" w:fill="auto"/>
            <w:noWrap/>
            <w:vAlign w:val="bottom"/>
            <w:hideMark/>
          </w:tcPr>
          <w:p w14:paraId="28A9E6A7"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c>
          <w:tcPr>
            <w:tcW w:w="390" w:type="pct"/>
            <w:tcBorders>
              <w:top w:val="nil"/>
              <w:left w:val="nil"/>
              <w:bottom w:val="nil"/>
              <w:right w:val="nil"/>
            </w:tcBorders>
            <w:shd w:val="clear" w:color="auto" w:fill="auto"/>
            <w:noWrap/>
            <w:vAlign w:val="bottom"/>
            <w:hideMark/>
          </w:tcPr>
          <w:p w14:paraId="190253FC"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r>
      <w:tr w:rsidR="00DD531B" w:rsidRPr="00DD531B" w14:paraId="43B9CFDA" w14:textId="77777777" w:rsidTr="00463505">
        <w:trPr>
          <w:trHeight w:val="300"/>
        </w:trPr>
        <w:tc>
          <w:tcPr>
            <w:tcW w:w="2188" w:type="pct"/>
            <w:tcBorders>
              <w:top w:val="nil"/>
              <w:left w:val="nil"/>
              <w:bottom w:val="nil"/>
              <w:right w:val="nil"/>
            </w:tcBorders>
            <w:shd w:val="clear" w:color="auto" w:fill="auto"/>
            <w:noWrap/>
            <w:vAlign w:val="bottom"/>
            <w:hideMark/>
          </w:tcPr>
          <w:p w14:paraId="43F2DDA6" w14:textId="77777777" w:rsidR="00DD531B" w:rsidRPr="00053B64" w:rsidRDefault="00DD531B" w:rsidP="00DD531B">
            <w:pPr>
              <w:spacing w:after="0" w:line="240" w:lineRule="auto"/>
              <w:rPr>
                <w:rFonts w:ascii="Times New Roman" w:eastAsia="Times New Roman" w:hAnsi="Times New Roman" w:cs="Times New Roman"/>
                <w:color w:val="000000"/>
                <w:sz w:val="16"/>
                <w:szCs w:val="16"/>
                <w:lang w:eastAsia="sk-SK"/>
              </w:rPr>
            </w:pPr>
            <w:r w:rsidRPr="00053B64">
              <w:rPr>
                <w:rFonts w:ascii="Times New Roman" w:eastAsia="Times New Roman" w:hAnsi="Times New Roman" w:cs="Times New Roman"/>
                <w:color w:val="000000"/>
                <w:sz w:val="16"/>
                <w:szCs w:val="16"/>
                <w:lang w:eastAsia="sk-SK"/>
              </w:rPr>
              <w:t>spolufinancovanie zo ŠR</w:t>
            </w:r>
          </w:p>
        </w:tc>
        <w:tc>
          <w:tcPr>
            <w:tcW w:w="395" w:type="pct"/>
            <w:tcBorders>
              <w:top w:val="nil"/>
              <w:left w:val="nil"/>
              <w:bottom w:val="nil"/>
              <w:right w:val="nil"/>
            </w:tcBorders>
            <w:shd w:val="clear" w:color="auto" w:fill="auto"/>
            <w:noWrap/>
            <w:vAlign w:val="bottom"/>
            <w:hideMark/>
          </w:tcPr>
          <w:p w14:paraId="572E0C5C"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1 173</w:t>
            </w:r>
          </w:p>
        </w:tc>
        <w:tc>
          <w:tcPr>
            <w:tcW w:w="387" w:type="pct"/>
            <w:tcBorders>
              <w:top w:val="nil"/>
              <w:left w:val="nil"/>
              <w:bottom w:val="nil"/>
              <w:right w:val="nil"/>
            </w:tcBorders>
            <w:shd w:val="clear" w:color="auto" w:fill="auto"/>
            <w:noWrap/>
            <w:vAlign w:val="bottom"/>
            <w:hideMark/>
          </w:tcPr>
          <w:p w14:paraId="1C9D0435"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558</w:t>
            </w:r>
          </w:p>
        </w:tc>
        <w:tc>
          <w:tcPr>
            <w:tcW w:w="391" w:type="pct"/>
            <w:tcBorders>
              <w:top w:val="nil"/>
              <w:left w:val="nil"/>
              <w:bottom w:val="nil"/>
              <w:right w:val="nil"/>
            </w:tcBorders>
            <w:shd w:val="clear" w:color="auto" w:fill="auto"/>
            <w:noWrap/>
            <w:vAlign w:val="bottom"/>
            <w:hideMark/>
          </w:tcPr>
          <w:p w14:paraId="4EB7367A"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65B1BC43"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2 581</w:t>
            </w:r>
          </w:p>
        </w:tc>
        <w:tc>
          <w:tcPr>
            <w:tcW w:w="391" w:type="pct"/>
            <w:tcBorders>
              <w:top w:val="nil"/>
              <w:left w:val="nil"/>
              <w:bottom w:val="nil"/>
              <w:right w:val="nil"/>
            </w:tcBorders>
            <w:shd w:val="clear" w:color="auto" w:fill="auto"/>
            <w:noWrap/>
            <w:vAlign w:val="bottom"/>
            <w:hideMark/>
          </w:tcPr>
          <w:p w14:paraId="6E903D4A"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c>
          <w:tcPr>
            <w:tcW w:w="391" w:type="pct"/>
            <w:tcBorders>
              <w:top w:val="nil"/>
              <w:left w:val="nil"/>
              <w:bottom w:val="nil"/>
              <w:right w:val="nil"/>
            </w:tcBorders>
            <w:shd w:val="clear" w:color="auto" w:fill="auto"/>
            <w:noWrap/>
            <w:vAlign w:val="bottom"/>
            <w:hideMark/>
          </w:tcPr>
          <w:p w14:paraId="2E8C2FC1"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c>
          <w:tcPr>
            <w:tcW w:w="390" w:type="pct"/>
            <w:tcBorders>
              <w:top w:val="nil"/>
              <w:left w:val="nil"/>
              <w:bottom w:val="nil"/>
              <w:right w:val="nil"/>
            </w:tcBorders>
            <w:shd w:val="clear" w:color="auto" w:fill="auto"/>
            <w:noWrap/>
            <w:vAlign w:val="bottom"/>
            <w:hideMark/>
          </w:tcPr>
          <w:p w14:paraId="5310B9EE"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r>
      <w:tr w:rsidR="00DD531B" w:rsidRPr="00DD531B" w14:paraId="479E42A6" w14:textId="77777777" w:rsidTr="00463505">
        <w:trPr>
          <w:trHeight w:val="300"/>
        </w:trPr>
        <w:tc>
          <w:tcPr>
            <w:tcW w:w="2188" w:type="pct"/>
            <w:tcBorders>
              <w:top w:val="nil"/>
              <w:left w:val="nil"/>
              <w:bottom w:val="nil"/>
              <w:right w:val="nil"/>
            </w:tcBorders>
            <w:shd w:val="clear" w:color="auto" w:fill="auto"/>
            <w:noWrap/>
            <w:vAlign w:val="center"/>
            <w:hideMark/>
          </w:tcPr>
          <w:p w14:paraId="4A67C9B8" w14:textId="77777777" w:rsidR="00DD531B" w:rsidRPr="00053B64" w:rsidRDefault="00DD531B" w:rsidP="00DD531B">
            <w:pPr>
              <w:spacing w:after="0" w:line="240" w:lineRule="auto"/>
              <w:rPr>
                <w:rFonts w:ascii="Times New Roman" w:eastAsia="Times New Roman" w:hAnsi="Times New Roman" w:cs="Times New Roman"/>
                <w:b/>
                <w:bCs/>
                <w:color w:val="000000"/>
                <w:sz w:val="16"/>
                <w:szCs w:val="16"/>
                <w:lang w:eastAsia="sk-SK"/>
              </w:rPr>
            </w:pPr>
            <w:r w:rsidRPr="00053B64">
              <w:rPr>
                <w:rFonts w:ascii="Times New Roman" w:eastAsia="Times New Roman" w:hAnsi="Times New Roman" w:cs="Times New Roman"/>
                <w:b/>
                <w:bCs/>
                <w:color w:val="000000"/>
                <w:sz w:val="16"/>
                <w:szCs w:val="16"/>
                <w:lang w:eastAsia="sk-SK"/>
              </w:rPr>
              <w:t>zdroj Plán obnovy a odolnosti , v tom:</w:t>
            </w:r>
          </w:p>
        </w:tc>
        <w:tc>
          <w:tcPr>
            <w:tcW w:w="395" w:type="pct"/>
            <w:tcBorders>
              <w:top w:val="nil"/>
              <w:left w:val="nil"/>
              <w:bottom w:val="nil"/>
              <w:right w:val="nil"/>
            </w:tcBorders>
            <w:shd w:val="clear" w:color="auto" w:fill="auto"/>
            <w:noWrap/>
            <w:vAlign w:val="bottom"/>
            <w:hideMark/>
          </w:tcPr>
          <w:p w14:paraId="0AB2646D"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0</w:t>
            </w:r>
          </w:p>
        </w:tc>
        <w:tc>
          <w:tcPr>
            <w:tcW w:w="387" w:type="pct"/>
            <w:tcBorders>
              <w:top w:val="nil"/>
              <w:left w:val="nil"/>
              <w:bottom w:val="nil"/>
              <w:right w:val="nil"/>
            </w:tcBorders>
            <w:shd w:val="clear" w:color="auto" w:fill="auto"/>
            <w:noWrap/>
            <w:vAlign w:val="bottom"/>
            <w:hideMark/>
          </w:tcPr>
          <w:p w14:paraId="78C34F22"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463</w:t>
            </w:r>
          </w:p>
        </w:tc>
        <w:tc>
          <w:tcPr>
            <w:tcW w:w="391" w:type="pct"/>
            <w:tcBorders>
              <w:top w:val="nil"/>
              <w:left w:val="nil"/>
              <w:bottom w:val="nil"/>
              <w:right w:val="nil"/>
            </w:tcBorders>
            <w:shd w:val="clear" w:color="auto" w:fill="auto"/>
            <w:noWrap/>
            <w:vAlign w:val="bottom"/>
            <w:hideMark/>
          </w:tcPr>
          <w:p w14:paraId="77BFCBA0"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189 370</w:t>
            </w:r>
          </w:p>
        </w:tc>
        <w:tc>
          <w:tcPr>
            <w:tcW w:w="468" w:type="pct"/>
            <w:tcBorders>
              <w:top w:val="nil"/>
              <w:left w:val="nil"/>
              <w:bottom w:val="nil"/>
              <w:right w:val="nil"/>
            </w:tcBorders>
            <w:shd w:val="clear" w:color="auto" w:fill="auto"/>
            <w:noWrap/>
            <w:vAlign w:val="bottom"/>
            <w:hideMark/>
          </w:tcPr>
          <w:p w14:paraId="13F3B822"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30 546</w:t>
            </w:r>
          </w:p>
        </w:tc>
        <w:tc>
          <w:tcPr>
            <w:tcW w:w="391" w:type="pct"/>
            <w:tcBorders>
              <w:top w:val="nil"/>
              <w:left w:val="nil"/>
              <w:bottom w:val="nil"/>
              <w:right w:val="nil"/>
            </w:tcBorders>
            <w:shd w:val="clear" w:color="auto" w:fill="auto"/>
            <w:noWrap/>
            <w:vAlign w:val="bottom"/>
            <w:hideMark/>
          </w:tcPr>
          <w:p w14:paraId="07EB9F56"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13 178</w:t>
            </w:r>
          </w:p>
        </w:tc>
        <w:tc>
          <w:tcPr>
            <w:tcW w:w="391" w:type="pct"/>
            <w:tcBorders>
              <w:top w:val="nil"/>
              <w:left w:val="nil"/>
              <w:bottom w:val="nil"/>
              <w:right w:val="nil"/>
            </w:tcBorders>
            <w:shd w:val="clear" w:color="auto" w:fill="auto"/>
            <w:noWrap/>
            <w:vAlign w:val="bottom"/>
            <w:hideMark/>
          </w:tcPr>
          <w:p w14:paraId="754C5572"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6 099</w:t>
            </w:r>
          </w:p>
        </w:tc>
        <w:tc>
          <w:tcPr>
            <w:tcW w:w="390" w:type="pct"/>
            <w:tcBorders>
              <w:top w:val="nil"/>
              <w:left w:val="nil"/>
              <w:bottom w:val="nil"/>
              <w:right w:val="nil"/>
            </w:tcBorders>
            <w:shd w:val="clear" w:color="auto" w:fill="auto"/>
            <w:noWrap/>
            <w:vAlign w:val="bottom"/>
            <w:hideMark/>
          </w:tcPr>
          <w:p w14:paraId="0C76E0E4"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1 484</w:t>
            </w:r>
          </w:p>
        </w:tc>
      </w:tr>
      <w:tr w:rsidR="00DD531B" w:rsidRPr="00DD531B" w14:paraId="6F4DCE39" w14:textId="77777777" w:rsidTr="00463505">
        <w:trPr>
          <w:trHeight w:val="300"/>
        </w:trPr>
        <w:tc>
          <w:tcPr>
            <w:tcW w:w="2188" w:type="pct"/>
            <w:tcBorders>
              <w:top w:val="nil"/>
              <w:left w:val="nil"/>
              <w:bottom w:val="nil"/>
              <w:right w:val="nil"/>
            </w:tcBorders>
            <w:shd w:val="clear" w:color="auto" w:fill="auto"/>
            <w:noWrap/>
            <w:vAlign w:val="bottom"/>
            <w:hideMark/>
          </w:tcPr>
          <w:p w14:paraId="1D6FC082" w14:textId="77777777" w:rsidR="00DD531B" w:rsidRPr="00053B64" w:rsidRDefault="00DD531B" w:rsidP="00DD531B">
            <w:pPr>
              <w:spacing w:after="0" w:line="240" w:lineRule="auto"/>
              <w:rPr>
                <w:rFonts w:ascii="Times New Roman" w:eastAsia="Times New Roman" w:hAnsi="Times New Roman" w:cs="Times New Roman"/>
                <w:color w:val="000000"/>
                <w:sz w:val="16"/>
                <w:szCs w:val="16"/>
                <w:lang w:eastAsia="sk-SK"/>
              </w:rPr>
            </w:pPr>
            <w:r w:rsidRPr="00053B64">
              <w:rPr>
                <w:rFonts w:ascii="Times New Roman" w:eastAsia="Times New Roman" w:hAnsi="Times New Roman" w:cs="Times New Roman"/>
                <w:color w:val="000000"/>
                <w:sz w:val="16"/>
                <w:szCs w:val="16"/>
                <w:lang w:eastAsia="sk-SK"/>
              </w:rPr>
              <w:t>prostriedky POO</w:t>
            </w:r>
          </w:p>
        </w:tc>
        <w:tc>
          <w:tcPr>
            <w:tcW w:w="395" w:type="pct"/>
            <w:tcBorders>
              <w:top w:val="nil"/>
              <w:left w:val="nil"/>
              <w:bottom w:val="nil"/>
              <w:right w:val="nil"/>
            </w:tcBorders>
            <w:shd w:val="clear" w:color="auto" w:fill="auto"/>
            <w:noWrap/>
            <w:vAlign w:val="bottom"/>
            <w:hideMark/>
          </w:tcPr>
          <w:p w14:paraId="63390BC6" w14:textId="77777777" w:rsidR="00DD531B" w:rsidRPr="00053B64"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053B64">
              <w:rPr>
                <w:rFonts w:ascii="Times New Roman" w:eastAsia="Times New Roman" w:hAnsi="Times New Roman" w:cs="Times New Roman"/>
                <w:color w:val="000000"/>
                <w:sz w:val="16"/>
                <w:szCs w:val="16"/>
                <w:lang w:eastAsia="sk-SK"/>
              </w:rPr>
              <w:t>0</w:t>
            </w:r>
          </w:p>
        </w:tc>
        <w:tc>
          <w:tcPr>
            <w:tcW w:w="387" w:type="pct"/>
            <w:tcBorders>
              <w:top w:val="nil"/>
              <w:left w:val="nil"/>
              <w:bottom w:val="nil"/>
              <w:right w:val="nil"/>
            </w:tcBorders>
            <w:shd w:val="clear" w:color="auto" w:fill="auto"/>
            <w:noWrap/>
            <w:vAlign w:val="bottom"/>
            <w:hideMark/>
          </w:tcPr>
          <w:p w14:paraId="1E858EE3"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463</w:t>
            </w:r>
          </w:p>
        </w:tc>
        <w:tc>
          <w:tcPr>
            <w:tcW w:w="391" w:type="pct"/>
            <w:tcBorders>
              <w:top w:val="nil"/>
              <w:left w:val="nil"/>
              <w:bottom w:val="nil"/>
              <w:right w:val="nil"/>
            </w:tcBorders>
            <w:shd w:val="clear" w:color="auto" w:fill="auto"/>
            <w:noWrap/>
            <w:vAlign w:val="bottom"/>
            <w:hideMark/>
          </w:tcPr>
          <w:p w14:paraId="04C759C8"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157 702</w:t>
            </w:r>
          </w:p>
        </w:tc>
        <w:tc>
          <w:tcPr>
            <w:tcW w:w="468" w:type="pct"/>
            <w:tcBorders>
              <w:top w:val="nil"/>
              <w:left w:val="nil"/>
              <w:bottom w:val="nil"/>
              <w:right w:val="nil"/>
            </w:tcBorders>
            <w:shd w:val="clear" w:color="auto" w:fill="auto"/>
            <w:noWrap/>
            <w:vAlign w:val="bottom"/>
            <w:hideMark/>
          </w:tcPr>
          <w:p w14:paraId="6ECC13C9"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28 176</w:t>
            </w:r>
          </w:p>
        </w:tc>
        <w:tc>
          <w:tcPr>
            <w:tcW w:w="391" w:type="pct"/>
            <w:tcBorders>
              <w:top w:val="nil"/>
              <w:left w:val="nil"/>
              <w:bottom w:val="nil"/>
              <w:right w:val="nil"/>
            </w:tcBorders>
            <w:shd w:val="clear" w:color="auto" w:fill="auto"/>
            <w:noWrap/>
            <w:vAlign w:val="bottom"/>
            <w:hideMark/>
          </w:tcPr>
          <w:p w14:paraId="262006D3"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11 293</w:t>
            </w:r>
          </w:p>
        </w:tc>
        <w:tc>
          <w:tcPr>
            <w:tcW w:w="391" w:type="pct"/>
            <w:tcBorders>
              <w:top w:val="nil"/>
              <w:left w:val="nil"/>
              <w:bottom w:val="nil"/>
              <w:right w:val="nil"/>
            </w:tcBorders>
            <w:shd w:val="clear" w:color="auto" w:fill="auto"/>
            <w:noWrap/>
            <w:vAlign w:val="bottom"/>
            <w:hideMark/>
          </w:tcPr>
          <w:p w14:paraId="35B2896C"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5 574</w:t>
            </w:r>
          </w:p>
        </w:tc>
        <w:tc>
          <w:tcPr>
            <w:tcW w:w="390" w:type="pct"/>
            <w:tcBorders>
              <w:top w:val="nil"/>
              <w:left w:val="nil"/>
              <w:bottom w:val="nil"/>
              <w:right w:val="nil"/>
            </w:tcBorders>
            <w:shd w:val="clear" w:color="auto" w:fill="auto"/>
            <w:noWrap/>
            <w:vAlign w:val="bottom"/>
            <w:hideMark/>
          </w:tcPr>
          <w:p w14:paraId="1D4EB3A0"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1 478</w:t>
            </w:r>
          </w:p>
        </w:tc>
      </w:tr>
      <w:tr w:rsidR="00DD531B" w:rsidRPr="00DD531B" w14:paraId="120C1E77" w14:textId="77777777" w:rsidTr="00463505">
        <w:trPr>
          <w:trHeight w:val="300"/>
        </w:trPr>
        <w:tc>
          <w:tcPr>
            <w:tcW w:w="2188" w:type="pct"/>
            <w:tcBorders>
              <w:top w:val="nil"/>
              <w:left w:val="nil"/>
              <w:bottom w:val="nil"/>
              <w:right w:val="nil"/>
            </w:tcBorders>
            <w:shd w:val="clear" w:color="auto" w:fill="auto"/>
            <w:noWrap/>
            <w:vAlign w:val="bottom"/>
            <w:hideMark/>
          </w:tcPr>
          <w:p w14:paraId="16ED5D64" w14:textId="77777777" w:rsidR="00DD531B" w:rsidRPr="00053B64" w:rsidRDefault="00DD531B" w:rsidP="00DD531B">
            <w:pPr>
              <w:spacing w:after="0" w:line="240" w:lineRule="auto"/>
              <w:rPr>
                <w:rFonts w:ascii="Times New Roman" w:eastAsia="Times New Roman" w:hAnsi="Times New Roman" w:cs="Times New Roman"/>
                <w:color w:val="000000"/>
                <w:sz w:val="16"/>
                <w:szCs w:val="16"/>
                <w:lang w:eastAsia="sk-SK"/>
              </w:rPr>
            </w:pPr>
            <w:r w:rsidRPr="00053B64">
              <w:rPr>
                <w:rFonts w:ascii="Times New Roman" w:eastAsia="Times New Roman" w:hAnsi="Times New Roman" w:cs="Times New Roman"/>
                <w:color w:val="000000"/>
                <w:sz w:val="16"/>
                <w:szCs w:val="16"/>
                <w:lang w:eastAsia="sk-SK"/>
              </w:rPr>
              <w:t>DPH k POO</w:t>
            </w:r>
          </w:p>
        </w:tc>
        <w:tc>
          <w:tcPr>
            <w:tcW w:w="395" w:type="pct"/>
            <w:tcBorders>
              <w:top w:val="nil"/>
              <w:left w:val="nil"/>
              <w:bottom w:val="nil"/>
              <w:right w:val="nil"/>
            </w:tcBorders>
            <w:shd w:val="clear" w:color="auto" w:fill="auto"/>
            <w:noWrap/>
            <w:vAlign w:val="bottom"/>
            <w:hideMark/>
          </w:tcPr>
          <w:p w14:paraId="2B248265" w14:textId="77777777" w:rsidR="00DD531B" w:rsidRPr="00053B64"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053B64">
              <w:rPr>
                <w:rFonts w:ascii="Times New Roman" w:eastAsia="Times New Roman" w:hAnsi="Times New Roman" w:cs="Times New Roman"/>
                <w:color w:val="000000"/>
                <w:sz w:val="16"/>
                <w:szCs w:val="16"/>
                <w:lang w:eastAsia="sk-SK"/>
              </w:rPr>
              <w:t>0</w:t>
            </w:r>
          </w:p>
        </w:tc>
        <w:tc>
          <w:tcPr>
            <w:tcW w:w="387" w:type="pct"/>
            <w:tcBorders>
              <w:top w:val="nil"/>
              <w:left w:val="nil"/>
              <w:bottom w:val="nil"/>
              <w:right w:val="nil"/>
            </w:tcBorders>
            <w:shd w:val="clear" w:color="auto" w:fill="auto"/>
            <w:noWrap/>
            <w:vAlign w:val="bottom"/>
            <w:hideMark/>
          </w:tcPr>
          <w:p w14:paraId="32AB37F5"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c>
          <w:tcPr>
            <w:tcW w:w="391" w:type="pct"/>
            <w:tcBorders>
              <w:top w:val="nil"/>
              <w:left w:val="nil"/>
              <w:bottom w:val="nil"/>
              <w:right w:val="nil"/>
            </w:tcBorders>
            <w:shd w:val="clear" w:color="auto" w:fill="auto"/>
            <w:noWrap/>
            <w:vAlign w:val="bottom"/>
            <w:hideMark/>
          </w:tcPr>
          <w:p w14:paraId="6D8E6E9E"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31 669</w:t>
            </w:r>
          </w:p>
        </w:tc>
        <w:tc>
          <w:tcPr>
            <w:tcW w:w="468" w:type="pct"/>
            <w:tcBorders>
              <w:top w:val="nil"/>
              <w:left w:val="nil"/>
              <w:bottom w:val="nil"/>
              <w:right w:val="nil"/>
            </w:tcBorders>
            <w:shd w:val="clear" w:color="auto" w:fill="auto"/>
            <w:noWrap/>
            <w:vAlign w:val="bottom"/>
            <w:hideMark/>
          </w:tcPr>
          <w:p w14:paraId="0C36A195"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2 370</w:t>
            </w:r>
          </w:p>
        </w:tc>
        <w:tc>
          <w:tcPr>
            <w:tcW w:w="391" w:type="pct"/>
            <w:tcBorders>
              <w:top w:val="nil"/>
              <w:left w:val="nil"/>
              <w:bottom w:val="nil"/>
              <w:right w:val="nil"/>
            </w:tcBorders>
            <w:shd w:val="clear" w:color="auto" w:fill="auto"/>
            <w:noWrap/>
            <w:vAlign w:val="bottom"/>
            <w:hideMark/>
          </w:tcPr>
          <w:p w14:paraId="26E1801C"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1 885</w:t>
            </w:r>
          </w:p>
        </w:tc>
        <w:tc>
          <w:tcPr>
            <w:tcW w:w="391" w:type="pct"/>
            <w:tcBorders>
              <w:top w:val="nil"/>
              <w:left w:val="nil"/>
              <w:bottom w:val="nil"/>
              <w:right w:val="nil"/>
            </w:tcBorders>
            <w:shd w:val="clear" w:color="auto" w:fill="auto"/>
            <w:noWrap/>
            <w:vAlign w:val="bottom"/>
            <w:hideMark/>
          </w:tcPr>
          <w:p w14:paraId="33FC87BE"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525</w:t>
            </w:r>
          </w:p>
        </w:tc>
        <w:tc>
          <w:tcPr>
            <w:tcW w:w="390" w:type="pct"/>
            <w:tcBorders>
              <w:top w:val="nil"/>
              <w:left w:val="nil"/>
              <w:bottom w:val="nil"/>
              <w:right w:val="nil"/>
            </w:tcBorders>
            <w:shd w:val="clear" w:color="auto" w:fill="auto"/>
            <w:noWrap/>
            <w:vAlign w:val="bottom"/>
            <w:hideMark/>
          </w:tcPr>
          <w:p w14:paraId="79F04821"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6</w:t>
            </w:r>
          </w:p>
        </w:tc>
      </w:tr>
      <w:tr w:rsidR="00DD531B" w:rsidRPr="00DD531B" w14:paraId="15EF80EB" w14:textId="77777777" w:rsidTr="00463505">
        <w:trPr>
          <w:trHeight w:val="300"/>
        </w:trPr>
        <w:tc>
          <w:tcPr>
            <w:tcW w:w="2188" w:type="pct"/>
            <w:tcBorders>
              <w:top w:val="nil"/>
              <w:left w:val="nil"/>
              <w:bottom w:val="nil"/>
              <w:right w:val="nil"/>
            </w:tcBorders>
            <w:shd w:val="clear" w:color="auto" w:fill="auto"/>
            <w:noWrap/>
            <w:vAlign w:val="bottom"/>
            <w:hideMark/>
          </w:tcPr>
          <w:p w14:paraId="75F97419" w14:textId="77777777" w:rsidR="00DD531B" w:rsidRPr="00053B64" w:rsidRDefault="00DD531B" w:rsidP="00DD531B">
            <w:pPr>
              <w:spacing w:after="0" w:line="240" w:lineRule="auto"/>
              <w:rPr>
                <w:rFonts w:ascii="Times New Roman" w:eastAsia="Times New Roman" w:hAnsi="Times New Roman" w:cs="Times New Roman"/>
                <w:color w:val="000000"/>
                <w:sz w:val="16"/>
                <w:szCs w:val="16"/>
                <w:lang w:eastAsia="sk-SK"/>
              </w:rPr>
            </w:pPr>
            <w:r w:rsidRPr="00053B64">
              <w:rPr>
                <w:rFonts w:ascii="Times New Roman" w:eastAsia="Times New Roman" w:hAnsi="Times New Roman" w:cs="Times New Roman"/>
                <w:color w:val="000000"/>
                <w:sz w:val="16"/>
                <w:szCs w:val="16"/>
                <w:lang w:eastAsia="sk-SK"/>
              </w:rPr>
              <w:t>neoprávnené výdavky k POO</w:t>
            </w:r>
          </w:p>
        </w:tc>
        <w:tc>
          <w:tcPr>
            <w:tcW w:w="395" w:type="pct"/>
            <w:tcBorders>
              <w:top w:val="nil"/>
              <w:left w:val="nil"/>
              <w:bottom w:val="nil"/>
              <w:right w:val="nil"/>
            </w:tcBorders>
            <w:shd w:val="clear" w:color="auto" w:fill="auto"/>
            <w:noWrap/>
            <w:vAlign w:val="bottom"/>
            <w:hideMark/>
          </w:tcPr>
          <w:p w14:paraId="7DE7DE1C" w14:textId="77777777" w:rsidR="00DD531B" w:rsidRPr="00053B64" w:rsidRDefault="00DD531B" w:rsidP="00DD531B">
            <w:pPr>
              <w:spacing w:after="0" w:line="240" w:lineRule="auto"/>
              <w:rPr>
                <w:rFonts w:ascii="Times New Roman" w:eastAsia="Times New Roman" w:hAnsi="Times New Roman" w:cs="Times New Roman"/>
                <w:color w:val="000000"/>
                <w:sz w:val="16"/>
                <w:szCs w:val="16"/>
                <w:lang w:eastAsia="sk-SK"/>
              </w:rPr>
            </w:pPr>
          </w:p>
        </w:tc>
        <w:tc>
          <w:tcPr>
            <w:tcW w:w="387" w:type="pct"/>
            <w:tcBorders>
              <w:top w:val="nil"/>
              <w:left w:val="nil"/>
              <w:bottom w:val="nil"/>
              <w:right w:val="nil"/>
            </w:tcBorders>
            <w:shd w:val="clear" w:color="auto" w:fill="auto"/>
            <w:noWrap/>
            <w:vAlign w:val="bottom"/>
            <w:hideMark/>
          </w:tcPr>
          <w:p w14:paraId="4340E244" w14:textId="77777777" w:rsidR="00DD531B" w:rsidRPr="00053B64" w:rsidRDefault="00DD531B" w:rsidP="00DD531B">
            <w:pPr>
              <w:spacing w:after="0" w:line="240" w:lineRule="auto"/>
              <w:rPr>
                <w:rFonts w:ascii="Times New Roman" w:eastAsia="Times New Roman" w:hAnsi="Times New Roman" w:cs="Times New Roman"/>
                <w:sz w:val="16"/>
                <w:szCs w:val="16"/>
                <w:lang w:eastAsia="sk-SK"/>
              </w:rPr>
            </w:pPr>
          </w:p>
        </w:tc>
        <w:tc>
          <w:tcPr>
            <w:tcW w:w="391" w:type="pct"/>
            <w:tcBorders>
              <w:top w:val="nil"/>
              <w:left w:val="nil"/>
              <w:bottom w:val="nil"/>
              <w:right w:val="nil"/>
            </w:tcBorders>
            <w:shd w:val="clear" w:color="auto" w:fill="auto"/>
            <w:noWrap/>
            <w:vAlign w:val="bottom"/>
            <w:hideMark/>
          </w:tcPr>
          <w:p w14:paraId="2B351B8D"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p>
        </w:tc>
        <w:tc>
          <w:tcPr>
            <w:tcW w:w="468" w:type="pct"/>
            <w:tcBorders>
              <w:top w:val="nil"/>
              <w:left w:val="nil"/>
              <w:bottom w:val="nil"/>
              <w:right w:val="nil"/>
            </w:tcBorders>
            <w:shd w:val="clear" w:color="auto" w:fill="auto"/>
            <w:noWrap/>
            <w:vAlign w:val="bottom"/>
            <w:hideMark/>
          </w:tcPr>
          <w:p w14:paraId="2F6EC9B0"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p>
        </w:tc>
        <w:tc>
          <w:tcPr>
            <w:tcW w:w="391" w:type="pct"/>
            <w:tcBorders>
              <w:top w:val="nil"/>
              <w:left w:val="nil"/>
              <w:bottom w:val="nil"/>
              <w:right w:val="nil"/>
            </w:tcBorders>
            <w:shd w:val="clear" w:color="auto" w:fill="auto"/>
            <w:noWrap/>
            <w:vAlign w:val="bottom"/>
            <w:hideMark/>
          </w:tcPr>
          <w:p w14:paraId="483C3A21"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p>
        </w:tc>
        <w:tc>
          <w:tcPr>
            <w:tcW w:w="391" w:type="pct"/>
            <w:tcBorders>
              <w:top w:val="nil"/>
              <w:left w:val="nil"/>
              <w:bottom w:val="nil"/>
              <w:right w:val="nil"/>
            </w:tcBorders>
            <w:shd w:val="clear" w:color="auto" w:fill="auto"/>
            <w:noWrap/>
            <w:vAlign w:val="bottom"/>
            <w:hideMark/>
          </w:tcPr>
          <w:p w14:paraId="498EF1FC"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p>
        </w:tc>
        <w:tc>
          <w:tcPr>
            <w:tcW w:w="390" w:type="pct"/>
            <w:tcBorders>
              <w:top w:val="nil"/>
              <w:left w:val="nil"/>
              <w:bottom w:val="nil"/>
              <w:right w:val="nil"/>
            </w:tcBorders>
            <w:shd w:val="clear" w:color="auto" w:fill="auto"/>
            <w:noWrap/>
            <w:vAlign w:val="bottom"/>
            <w:hideMark/>
          </w:tcPr>
          <w:p w14:paraId="0BE61CE7"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p>
        </w:tc>
      </w:tr>
      <w:tr w:rsidR="00DD531B" w:rsidRPr="00DD531B" w14:paraId="1B40618B" w14:textId="77777777" w:rsidTr="00463505">
        <w:trPr>
          <w:trHeight w:val="300"/>
        </w:trPr>
        <w:tc>
          <w:tcPr>
            <w:tcW w:w="2188" w:type="pct"/>
            <w:tcBorders>
              <w:top w:val="nil"/>
              <w:left w:val="nil"/>
              <w:bottom w:val="nil"/>
              <w:right w:val="nil"/>
            </w:tcBorders>
            <w:shd w:val="clear" w:color="auto" w:fill="auto"/>
            <w:noWrap/>
            <w:vAlign w:val="bottom"/>
            <w:hideMark/>
          </w:tcPr>
          <w:p w14:paraId="2031774A" w14:textId="77777777" w:rsidR="00DD531B" w:rsidRPr="00053B64" w:rsidRDefault="00DD531B" w:rsidP="00DD531B">
            <w:pPr>
              <w:spacing w:after="0" w:line="240" w:lineRule="auto"/>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presun z minulých rokov § 8, v tom:</w:t>
            </w:r>
          </w:p>
        </w:tc>
        <w:tc>
          <w:tcPr>
            <w:tcW w:w="395" w:type="pct"/>
            <w:tcBorders>
              <w:top w:val="nil"/>
              <w:left w:val="nil"/>
              <w:bottom w:val="nil"/>
              <w:right w:val="nil"/>
            </w:tcBorders>
            <w:shd w:val="clear" w:color="auto" w:fill="auto"/>
            <w:noWrap/>
            <w:vAlign w:val="bottom"/>
            <w:hideMark/>
          </w:tcPr>
          <w:p w14:paraId="24BA030A"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12 992</w:t>
            </w:r>
          </w:p>
        </w:tc>
        <w:tc>
          <w:tcPr>
            <w:tcW w:w="387" w:type="pct"/>
            <w:tcBorders>
              <w:top w:val="nil"/>
              <w:left w:val="nil"/>
              <w:bottom w:val="nil"/>
              <w:right w:val="nil"/>
            </w:tcBorders>
            <w:shd w:val="clear" w:color="auto" w:fill="auto"/>
            <w:noWrap/>
            <w:vAlign w:val="bottom"/>
            <w:hideMark/>
          </w:tcPr>
          <w:p w14:paraId="0F13501B"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18 134</w:t>
            </w:r>
          </w:p>
        </w:tc>
        <w:tc>
          <w:tcPr>
            <w:tcW w:w="391" w:type="pct"/>
            <w:tcBorders>
              <w:top w:val="nil"/>
              <w:left w:val="nil"/>
              <w:bottom w:val="nil"/>
              <w:right w:val="nil"/>
            </w:tcBorders>
            <w:shd w:val="clear" w:color="auto" w:fill="auto"/>
            <w:noWrap/>
            <w:vAlign w:val="bottom"/>
            <w:hideMark/>
          </w:tcPr>
          <w:p w14:paraId="72F4DB7F"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0</w:t>
            </w:r>
          </w:p>
        </w:tc>
        <w:tc>
          <w:tcPr>
            <w:tcW w:w="468" w:type="pct"/>
            <w:tcBorders>
              <w:top w:val="nil"/>
              <w:left w:val="nil"/>
              <w:bottom w:val="nil"/>
              <w:right w:val="nil"/>
            </w:tcBorders>
            <w:shd w:val="clear" w:color="auto" w:fill="auto"/>
            <w:noWrap/>
            <w:vAlign w:val="bottom"/>
            <w:hideMark/>
          </w:tcPr>
          <w:p w14:paraId="3695801D"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35 985</w:t>
            </w:r>
          </w:p>
        </w:tc>
        <w:tc>
          <w:tcPr>
            <w:tcW w:w="391" w:type="pct"/>
            <w:tcBorders>
              <w:top w:val="nil"/>
              <w:left w:val="nil"/>
              <w:bottom w:val="nil"/>
              <w:right w:val="nil"/>
            </w:tcBorders>
            <w:shd w:val="clear" w:color="auto" w:fill="auto"/>
            <w:noWrap/>
            <w:vAlign w:val="bottom"/>
            <w:hideMark/>
          </w:tcPr>
          <w:p w14:paraId="20609E72"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0</w:t>
            </w:r>
          </w:p>
        </w:tc>
        <w:tc>
          <w:tcPr>
            <w:tcW w:w="391" w:type="pct"/>
            <w:tcBorders>
              <w:top w:val="nil"/>
              <w:left w:val="nil"/>
              <w:bottom w:val="nil"/>
              <w:right w:val="nil"/>
            </w:tcBorders>
            <w:shd w:val="clear" w:color="auto" w:fill="auto"/>
            <w:noWrap/>
            <w:vAlign w:val="bottom"/>
            <w:hideMark/>
          </w:tcPr>
          <w:p w14:paraId="35AB40F3"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0</w:t>
            </w:r>
          </w:p>
        </w:tc>
        <w:tc>
          <w:tcPr>
            <w:tcW w:w="390" w:type="pct"/>
            <w:tcBorders>
              <w:top w:val="nil"/>
              <w:left w:val="nil"/>
              <w:bottom w:val="nil"/>
              <w:right w:val="nil"/>
            </w:tcBorders>
            <w:shd w:val="clear" w:color="auto" w:fill="auto"/>
            <w:noWrap/>
            <w:vAlign w:val="bottom"/>
            <w:hideMark/>
          </w:tcPr>
          <w:p w14:paraId="05E77356"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0</w:t>
            </w:r>
          </w:p>
        </w:tc>
      </w:tr>
      <w:tr w:rsidR="00DD531B" w:rsidRPr="00DD531B" w14:paraId="21E5F3A3" w14:textId="77777777" w:rsidTr="00463505">
        <w:trPr>
          <w:trHeight w:val="300"/>
        </w:trPr>
        <w:tc>
          <w:tcPr>
            <w:tcW w:w="2188" w:type="pct"/>
            <w:tcBorders>
              <w:top w:val="nil"/>
              <w:left w:val="nil"/>
              <w:bottom w:val="nil"/>
              <w:right w:val="nil"/>
            </w:tcBorders>
            <w:shd w:val="clear" w:color="auto" w:fill="auto"/>
            <w:noWrap/>
            <w:vAlign w:val="bottom"/>
            <w:hideMark/>
          </w:tcPr>
          <w:p w14:paraId="0FEAC6EC" w14:textId="77777777" w:rsidR="00DD531B" w:rsidRPr="00053B64" w:rsidRDefault="00DD531B" w:rsidP="00DD531B">
            <w:pPr>
              <w:spacing w:after="0" w:line="240" w:lineRule="auto"/>
              <w:rPr>
                <w:rFonts w:ascii="Times New Roman" w:eastAsia="Times New Roman" w:hAnsi="Times New Roman" w:cs="Times New Roman"/>
                <w:color w:val="000000"/>
                <w:sz w:val="16"/>
                <w:szCs w:val="16"/>
                <w:lang w:eastAsia="sk-SK"/>
              </w:rPr>
            </w:pPr>
            <w:r w:rsidRPr="00053B64">
              <w:rPr>
                <w:rFonts w:ascii="Times New Roman" w:eastAsia="Times New Roman" w:hAnsi="Times New Roman" w:cs="Times New Roman"/>
                <w:color w:val="000000"/>
                <w:sz w:val="16"/>
                <w:szCs w:val="16"/>
                <w:lang w:eastAsia="sk-SK"/>
              </w:rPr>
              <w:t>štátny rozpočet</w:t>
            </w:r>
          </w:p>
        </w:tc>
        <w:tc>
          <w:tcPr>
            <w:tcW w:w="395" w:type="pct"/>
            <w:tcBorders>
              <w:top w:val="nil"/>
              <w:left w:val="nil"/>
              <w:bottom w:val="nil"/>
              <w:right w:val="nil"/>
            </w:tcBorders>
            <w:shd w:val="clear" w:color="auto" w:fill="auto"/>
            <w:noWrap/>
            <w:vAlign w:val="bottom"/>
            <w:hideMark/>
          </w:tcPr>
          <w:p w14:paraId="3CDE12C4"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4 714</w:t>
            </w:r>
          </w:p>
        </w:tc>
        <w:tc>
          <w:tcPr>
            <w:tcW w:w="387" w:type="pct"/>
            <w:tcBorders>
              <w:top w:val="nil"/>
              <w:left w:val="nil"/>
              <w:bottom w:val="nil"/>
              <w:right w:val="nil"/>
            </w:tcBorders>
            <w:shd w:val="clear" w:color="auto" w:fill="auto"/>
            <w:noWrap/>
            <w:vAlign w:val="bottom"/>
            <w:hideMark/>
          </w:tcPr>
          <w:p w14:paraId="2E82CA89"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11 935</w:t>
            </w:r>
          </w:p>
        </w:tc>
        <w:tc>
          <w:tcPr>
            <w:tcW w:w="391" w:type="pct"/>
            <w:tcBorders>
              <w:top w:val="nil"/>
              <w:left w:val="nil"/>
              <w:bottom w:val="nil"/>
              <w:right w:val="nil"/>
            </w:tcBorders>
            <w:shd w:val="clear" w:color="auto" w:fill="auto"/>
            <w:noWrap/>
            <w:vAlign w:val="bottom"/>
            <w:hideMark/>
          </w:tcPr>
          <w:p w14:paraId="6AA0C1BC"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34352C94"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25 247</w:t>
            </w:r>
          </w:p>
        </w:tc>
        <w:tc>
          <w:tcPr>
            <w:tcW w:w="391" w:type="pct"/>
            <w:tcBorders>
              <w:top w:val="nil"/>
              <w:left w:val="nil"/>
              <w:bottom w:val="nil"/>
              <w:right w:val="nil"/>
            </w:tcBorders>
            <w:shd w:val="clear" w:color="auto" w:fill="auto"/>
            <w:noWrap/>
            <w:vAlign w:val="bottom"/>
            <w:hideMark/>
          </w:tcPr>
          <w:p w14:paraId="76FBF717"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c>
          <w:tcPr>
            <w:tcW w:w="391" w:type="pct"/>
            <w:tcBorders>
              <w:top w:val="nil"/>
              <w:left w:val="nil"/>
              <w:bottom w:val="nil"/>
              <w:right w:val="nil"/>
            </w:tcBorders>
            <w:shd w:val="clear" w:color="auto" w:fill="auto"/>
            <w:noWrap/>
            <w:vAlign w:val="bottom"/>
            <w:hideMark/>
          </w:tcPr>
          <w:p w14:paraId="3B431894"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c>
          <w:tcPr>
            <w:tcW w:w="390" w:type="pct"/>
            <w:tcBorders>
              <w:top w:val="nil"/>
              <w:left w:val="nil"/>
              <w:bottom w:val="nil"/>
              <w:right w:val="nil"/>
            </w:tcBorders>
            <w:shd w:val="clear" w:color="auto" w:fill="auto"/>
            <w:noWrap/>
            <w:vAlign w:val="bottom"/>
            <w:hideMark/>
          </w:tcPr>
          <w:p w14:paraId="1812BCE9"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r>
      <w:tr w:rsidR="00DD531B" w:rsidRPr="00DD531B" w14:paraId="1975F67D" w14:textId="77777777" w:rsidTr="00463505">
        <w:trPr>
          <w:trHeight w:val="300"/>
        </w:trPr>
        <w:tc>
          <w:tcPr>
            <w:tcW w:w="2188" w:type="pct"/>
            <w:tcBorders>
              <w:top w:val="nil"/>
              <w:left w:val="nil"/>
              <w:bottom w:val="nil"/>
              <w:right w:val="nil"/>
            </w:tcBorders>
            <w:shd w:val="clear" w:color="auto" w:fill="auto"/>
            <w:noWrap/>
            <w:vAlign w:val="bottom"/>
            <w:hideMark/>
          </w:tcPr>
          <w:p w14:paraId="0DC08883" w14:textId="77777777" w:rsidR="00DD531B" w:rsidRPr="00053B64" w:rsidRDefault="00DD531B" w:rsidP="00DD531B">
            <w:pPr>
              <w:spacing w:after="0" w:line="240" w:lineRule="auto"/>
              <w:rPr>
                <w:rFonts w:ascii="Times New Roman" w:eastAsia="Times New Roman" w:hAnsi="Times New Roman" w:cs="Times New Roman"/>
                <w:color w:val="000000"/>
                <w:sz w:val="16"/>
                <w:szCs w:val="16"/>
                <w:lang w:eastAsia="sk-SK"/>
              </w:rPr>
            </w:pPr>
            <w:r w:rsidRPr="00053B64">
              <w:rPr>
                <w:rFonts w:ascii="Times New Roman" w:eastAsia="Times New Roman" w:hAnsi="Times New Roman" w:cs="Times New Roman"/>
                <w:color w:val="000000"/>
                <w:sz w:val="16"/>
                <w:szCs w:val="16"/>
                <w:lang w:eastAsia="sk-SK"/>
              </w:rPr>
              <w:t>prostriedky EÚ a spolufinancovanie zo ŠR</w:t>
            </w:r>
          </w:p>
        </w:tc>
        <w:tc>
          <w:tcPr>
            <w:tcW w:w="395" w:type="pct"/>
            <w:tcBorders>
              <w:top w:val="nil"/>
              <w:left w:val="nil"/>
              <w:bottom w:val="nil"/>
              <w:right w:val="nil"/>
            </w:tcBorders>
            <w:shd w:val="clear" w:color="auto" w:fill="auto"/>
            <w:noWrap/>
            <w:vAlign w:val="bottom"/>
            <w:hideMark/>
          </w:tcPr>
          <w:p w14:paraId="2E41CA54"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8 278</w:t>
            </w:r>
          </w:p>
        </w:tc>
        <w:tc>
          <w:tcPr>
            <w:tcW w:w="387" w:type="pct"/>
            <w:tcBorders>
              <w:top w:val="nil"/>
              <w:left w:val="nil"/>
              <w:bottom w:val="nil"/>
              <w:right w:val="nil"/>
            </w:tcBorders>
            <w:shd w:val="clear" w:color="auto" w:fill="auto"/>
            <w:noWrap/>
            <w:vAlign w:val="bottom"/>
            <w:hideMark/>
          </w:tcPr>
          <w:p w14:paraId="2CFBCFF5"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6 126</w:t>
            </w:r>
          </w:p>
        </w:tc>
        <w:tc>
          <w:tcPr>
            <w:tcW w:w="391" w:type="pct"/>
            <w:tcBorders>
              <w:top w:val="nil"/>
              <w:left w:val="nil"/>
              <w:bottom w:val="nil"/>
              <w:right w:val="nil"/>
            </w:tcBorders>
            <w:shd w:val="clear" w:color="auto" w:fill="auto"/>
            <w:noWrap/>
            <w:vAlign w:val="bottom"/>
            <w:hideMark/>
          </w:tcPr>
          <w:p w14:paraId="5365C2DE"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01F1A8D3"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10 737</w:t>
            </w:r>
          </w:p>
        </w:tc>
        <w:tc>
          <w:tcPr>
            <w:tcW w:w="391" w:type="pct"/>
            <w:tcBorders>
              <w:top w:val="nil"/>
              <w:left w:val="nil"/>
              <w:bottom w:val="nil"/>
              <w:right w:val="nil"/>
            </w:tcBorders>
            <w:shd w:val="clear" w:color="auto" w:fill="auto"/>
            <w:noWrap/>
            <w:vAlign w:val="bottom"/>
            <w:hideMark/>
          </w:tcPr>
          <w:p w14:paraId="2EE668E4"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c>
          <w:tcPr>
            <w:tcW w:w="391" w:type="pct"/>
            <w:tcBorders>
              <w:top w:val="nil"/>
              <w:left w:val="nil"/>
              <w:bottom w:val="nil"/>
              <w:right w:val="nil"/>
            </w:tcBorders>
            <w:shd w:val="clear" w:color="auto" w:fill="auto"/>
            <w:noWrap/>
            <w:vAlign w:val="bottom"/>
            <w:hideMark/>
          </w:tcPr>
          <w:p w14:paraId="5852BC2F"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c>
          <w:tcPr>
            <w:tcW w:w="390" w:type="pct"/>
            <w:tcBorders>
              <w:top w:val="nil"/>
              <w:left w:val="nil"/>
              <w:bottom w:val="nil"/>
              <w:right w:val="nil"/>
            </w:tcBorders>
            <w:shd w:val="clear" w:color="auto" w:fill="auto"/>
            <w:noWrap/>
            <w:vAlign w:val="bottom"/>
            <w:hideMark/>
          </w:tcPr>
          <w:p w14:paraId="790A413F"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r>
      <w:tr w:rsidR="00DD531B" w:rsidRPr="00DD531B" w14:paraId="3D7617EF" w14:textId="77777777" w:rsidTr="00463505">
        <w:trPr>
          <w:trHeight w:val="300"/>
        </w:trPr>
        <w:tc>
          <w:tcPr>
            <w:tcW w:w="2188" w:type="pct"/>
            <w:tcBorders>
              <w:top w:val="nil"/>
              <w:left w:val="nil"/>
              <w:bottom w:val="nil"/>
              <w:right w:val="nil"/>
            </w:tcBorders>
            <w:shd w:val="clear" w:color="auto" w:fill="auto"/>
            <w:noWrap/>
            <w:vAlign w:val="bottom"/>
            <w:hideMark/>
          </w:tcPr>
          <w:p w14:paraId="5D7DE2C3" w14:textId="77777777" w:rsidR="00DD531B" w:rsidRPr="00053B64" w:rsidRDefault="00DD531B" w:rsidP="00DD531B">
            <w:pPr>
              <w:spacing w:after="0" w:line="240" w:lineRule="auto"/>
              <w:rPr>
                <w:rFonts w:ascii="Times New Roman" w:eastAsia="Times New Roman" w:hAnsi="Times New Roman" w:cs="Times New Roman"/>
                <w:color w:val="000000"/>
                <w:sz w:val="16"/>
                <w:szCs w:val="16"/>
                <w:lang w:eastAsia="sk-SK"/>
              </w:rPr>
            </w:pPr>
            <w:r w:rsidRPr="00053B64">
              <w:rPr>
                <w:rFonts w:ascii="Times New Roman" w:eastAsia="Times New Roman" w:hAnsi="Times New Roman" w:cs="Times New Roman"/>
                <w:color w:val="000000"/>
                <w:sz w:val="16"/>
                <w:szCs w:val="16"/>
                <w:lang w:eastAsia="sk-SK"/>
              </w:rPr>
              <w:t>prostriedky POO a DPH k POO</w:t>
            </w:r>
          </w:p>
        </w:tc>
        <w:tc>
          <w:tcPr>
            <w:tcW w:w="395" w:type="pct"/>
            <w:tcBorders>
              <w:top w:val="nil"/>
              <w:left w:val="nil"/>
              <w:bottom w:val="nil"/>
              <w:right w:val="nil"/>
            </w:tcBorders>
            <w:shd w:val="clear" w:color="auto" w:fill="auto"/>
            <w:noWrap/>
            <w:vAlign w:val="bottom"/>
            <w:hideMark/>
          </w:tcPr>
          <w:p w14:paraId="41714C60"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c>
          <w:tcPr>
            <w:tcW w:w="387" w:type="pct"/>
            <w:tcBorders>
              <w:top w:val="nil"/>
              <w:left w:val="nil"/>
              <w:bottom w:val="nil"/>
              <w:right w:val="nil"/>
            </w:tcBorders>
            <w:shd w:val="clear" w:color="auto" w:fill="auto"/>
            <w:noWrap/>
            <w:vAlign w:val="bottom"/>
            <w:hideMark/>
          </w:tcPr>
          <w:p w14:paraId="328BCA2E"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73</w:t>
            </w:r>
          </w:p>
        </w:tc>
        <w:tc>
          <w:tcPr>
            <w:tcW w:w="391" w:type="pct"/>
            <w:tcBorders>
              <w:top w:val="nil"/>
              <w:left w:val="nil"/>
              <w:bottom w:val="nil"/>
              <w:right w:val="nil"/>
            </w:tcBorders>
            <w:shd w:val="clear" w:color="auto" w:fill="auto"/>
            <w:noWrap/>
            <w:vAlign w:val="bottom"/>
            <w:hideMark/>
          </w:tcPr>
          <w:p w14:paraId="37D80F3E"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76CD90C4"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c>
          <w:tcPr>
            <w:tcW w:w="391" w:type="pct"/>
            <w:tcBorders>
              <w:top w:val="nil"/>
              <w:left w:val="nil"/>
              <w:bottom w:val="nil"/>
              <w:right w:val="nil"/>
            </w:tcBorders>
            <w:shd w:val="clear" w:color="auto" w:fill="auto"/>
            <w:noWrap/>
            <w:vAlign w:val="bottom"/>
            <w:hideMark/>
          </w:tcPr>
          <w:p w14:paraId="4737A7D6"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c>
          <w:tcPr>
            <w:tcW w:w="391" w:type="pct"/>
            <w:tcBorders>
              <w:top w:val="nil"/>
              <w:left w:val="nil"/>
              <w:bottom w:val="nil"/>
              <w:right w:val="nil"/>
            </w:tcBorders>
            <w:shd w:val="clear" w:color="auto" w:fill="auto"/>
            <w:noWrap/>
            <w:vAlign w:val="bottom"/>
            <w:hideMark/>
          </w:tcPr>
          <w:p w14:paraId="3D2EA7AA"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c>
          <w:tcPr>
            <w:tcW w:w="390" w:type="pct"/>
            <w:tcBorders>
              <w:top w:val="nil"/>
              <w:left w:val="nil"/>
              <w:bottom w:val="nil"/>
              <w:right w:val="nil"/>
            </w:tcBorders>
            <w:shd w:val="clear" w:color="auto" w:fill="auto"/>
            <w:noWrap/>
            <w:vAlign w:val="bottom"/>
            <w:hideMark/>
          </w:tcPr>
          <w:p w14:paraId="41E30651" w14:textId="77777777" w:rsidR="00DD531B" w:rsidRPr="00053B64" w:rsidRDefault="00DD531B" w:rsidP="00DD531B">
            <w:pPr>
              <w:spacing w:after="0" w:line="240" w:lineRule="auto"/>
              <w:jc w:val="right"/>
              <w:rPr>
                <w:rFonts w:ascii="Times New Roman" w:eastAsia="Times New Roman" w:hAnsi="Times New Roman" w:cs="Times New Roman"/>
                <w:sz w:val="16"/>
                <w:szCs w:val="16"/>
                <w:lang w:eastAsia="sk-SK"/>
              </w:rPr>
            </w:pPr>
            <w:r w:rsidRPr="00053B64">
              <w:rPr>
                <w:rFonts w:ascii="Times New Roman" w:eastAsia="Times New Roman" w:hAnsi="Times New Roman" w:cs="Times New Roman"/>
                <w:sz w:val="16"/>
                <w:szCs w:val="16"/>
                <w:lang w:eastAsia="sk-SK"/>
              </w:rPr>
              <w:t>0</w:t>
            </w:r>
          </w:p>
        </w:tc>
      </w:tr>
      <w:tr w:rsidR="00DD531B" w:rsidRPr="00DD531B" w14:paraId="24FE8261" w14:textId="77777777" w:rsidTr="00463505">
        <w:trPr>
          <w:trHeight w:val="300"/>
        </w:trPr>
        <w:tc>
          <w:tcPr>
            <w:tcW w:w="2188" w:type="pct"/>
            <w:tcBorders>
              <w:top w:val="nil"/>
              <w:left w:val="nil"/>
              <w:bottom w:val="single" w:sz="4" w:space="0" w:color="auto"/>
              <w:right w:val="nil"/>
            </w:tcBorders>
            <w:shd w:val="clear" w:color="auto" w:fill="auto"/>
            <w:noWrap/>
            <w:vAlign w:val="bottom"/>
            <w:hideMark/>
          </w:tcPr>
          <w:p w14:paraId="768102BD" w14:textId="242F9CDF" w:rsidR="00DD531B" w:rsidRPr="00053B64" w:rsidRDefault="00DD531B" w:rsidP="00DD531B">
            <w:pPr>
              <w:spacing w:after="0" w:line="240" w:lineRule="auto"/>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 xml:space="preserve">prostriedky podľa § 17 ods. 4 a § 22 ods. 4 zákona </w:t>
            </w:r>
            <w:r w:rsidR="000D4EA0">
              <w:rPr>
                <w:rFonts w:ascii="Times New Roman" w:eastAsia="Times New Roman" w:hAnsi="Times New Roman" w:cs="Times New Roman"/>
                <w:b/>
                <w:bCs/>
                <w:sz w:val="16"/>
                <w:szCs w:val="16"/>
                <w:lang w:eastAsia="sk-SK"/>
              </w:rPr>
              <w:br/>
            </w:r>
            <w:r w:rsidRPr="00053B64">
              <w:rPr>
                <w:rFonts w:ascii="Times New Roman" w:eastAsia="Times New Roman" w:hAnsi="Times New Roman" w:cs="Times New Roman"/>
                <w:b/>
                <w:bCs/>
                <w:sz w:val="16"/>
                <w:szCs w:val="16"/>
                <w:lang w:eastAsia="sk-SK"/>
              </w:rPr>
              <w:t>č. 523/2004 Z. z.</w:t>
            </w:r>
          </w:p>
        </w:tc>
        <w:tc>
          <w:tcPr>
            <w:tcW w:w="395" w:type="pct"/>
            <w:tcBorders>
              <w:top w:val="nil"/>
              <w:left w:val="nil"/>
              <w:bottom w:val="single" w:sz="4" w:space="0" w:color="auto"/>
              <w:right w:val="nil"/>
            </w:tcBorders>
            <w:shd w:val="clear" w:color="auto" w:fill="auto"/>
            <w:noWrap/>
            <w:vAlign w:val="bottom"/>
            <w:hideMark/>
          </w:tcPr>
          <w:p w14:paraId="4E530179"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9</w:t>
            </w:r>
          </w:p>
        </w:tc>
        <w:tc>
          <w:tcPr>
            <w:tcW w:w="387" w:type="pct"/>
            <w:tcBorders>
              <w:top w:val="nil"/>
              <w:left w:val="nil"/>
              <w:bottom w:val="single" w:sz="4" w:space="0" w:color="auto"/>
              <w:right w:val="nil"/>
            </w:tcBorders>
            <w:shd w:val="clear" w:color="auto" w:fill="auto"/>
            <w:noWrap/>
            <w:vAlign w:val="bottom"/>
            <w:hideMark/>
          </w:tcPr>
          <w:p w14:paraId="616C5FB0"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6</w:t>
            </w:r>
          </w:p>
        </w:tc>
        <w:tc>
          <w:tcPr>
            <w:tcW w:w="391" w:type="pct"/>
            <w:tcBorders>
              <w:top w:val="nil"/>
              <w:left w:val="nil"/>
              <w:bottom w:val="single" w:sz="4" w:space="0" w:color="auto"/>
              <w:right w:val="nil"/>
            </w:tcBorders>
            <w:shd w:val="clear" w:color="auto" w:fill="auto"/>
            <w:noWrap/>
            <w:vAlign w:val="bottom"/>
            <w:hideMark/>
          </w:tcPr>
          <w:p w14:paraId="159FCFE3"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0</w:t>
            </w:r>
          </w:p>
        </w:tc>
        <w:tc>
          <w:tcPr>
            <w:tcW w:w="468" w:type="pct"/>
            <w:tcBorders>
              <w:top w:val="nil"/>
              <w:left w:val="nil"/>
              <w:bottom w:val="single" w:sz="4" w:space="0" w:color="auto"/>
              <w:right w:val="nil"/>
            </w:tcBorders>
            <w:shd w:val="clear" w:color="auto" w:fill="auto"/>
            <w:noWrap/>
            <w:vAlign w:val="bottom"/>
            <w:hideMark/>
          </w:tcPr>
          <w:p w14:paraId="2EF6EEFD"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5</w:t>
            </w:r>
          </w:p>
        </w:tc>
        <w:tc>
          <w:tcPr>
            <w:tcW w:w="391" w:type="pct"/>
            <w:tcBorders>
              <w:top w:val="nil"/>
              <w:left w:val="nil"/>
              <w:bottom w:val="single" w:sz="4" w:space="0" w:color="auto"/>
              <w:right w:val="nil"/>
            </w:tcBorders>
            <w:shd w:val="clear" w:color="auto" w:fill="auto"/>
            <w:noWrap/>
            <w:vAlign w:val="bottom"/>
            <w:hideMark/>
          </w:tcPr>
          <w:p w14:paraId="523B2A3D"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0</w:t>
            </w:r>
          </w:p>
        </w:tc>
        <w:tc>
          <w:tcPr>
            <w:tcW w:w="391" w:type="pct"/>
            <w:tcBorders>
              <w:top w:val="nil"/>
              <w:left w:val="nil"/>
              <w:bottom w:val="single" w:sz="4" w:space="0" w:color="auto"/>
              <w:right w:val="nil"/>
            </w:tcBorders>
            <w:shd w:val="clear" w:color="auto" w:fill="auto"/>
            <w:noWrap/>
            <w:vAlign w:val="bottom"/>
            <w:hideMark/>
          </w:tcPr>
          <w:p w14:paraId="42D04731"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0</w:t>
            </w:r>
          </w:p>
        </w:tc>
        <w:tc>
          <w:tcPr>
            <w:tcW w:w="390" w:type="pct"/>
            <w:tcBorders>
              <w:top w:val="nil"/>
              <w:left w:val="nil"/>
              <w:bottom w:val="single" w:sz="4" w:space="0" w:color="auto"/>
              <w:right w:val="nil"/>
            </w:tcBorders>
            <w:shd w:val="clear" w:color="auto" w:fill="auto"/>
            <w:noWrap/>
            <w:vAlign w:val="bottom"/>
            <w:hideMark/>
          </w:tcPr>
          <w:p w14:paraId="4B480542" w14:textId="77777777" w:rsidR="00DD531B" w:rsidRPr="00053B64" w:rsidRDefault="00DD531B" w:rsidP="00DD531B">
            <w:pPr>
              <w:spacing w:after="0" w:line="240" w:lineRule="auto"/>
              <w:jc w:val="right"/>
              <w:rPr>
                <w:rFonts w:ascii="Times New Roman" w:eastAsia="Times New Roman" w:hAnsi="Times New Roman" w:cs="Times New Roman"/>
                <w:b/>
                <w:bCs/>
                <w:sz w:val="16"/>
                <w:szCs w:val="16"/>
                <w:lang w:eastAsia="sk-SK"/>
              </w:rPr>
            </w:pPr>
            <w:r w:rsidRPr="00053B64">
              <w:rPr>
                <w:rFonts w:ascii="Times New Roman" w:eastAsia="Times New Roman" w:hAnsi="Times New Roman" w:cs="Times New Roman"/>
                <w:b/>
                <w:bCs/>
                <w:sz w:val="16"/>
                <w:szCs w:val="16"/>
                <w:lang w:eastAsia="sk-SK"/>
              </w:rPr>
              <w:t>0</w:t>
            </w:r>
          </w:p>
        </w:tc>
      </w:tr>
    </w:tbl>
    <w:p w14:paraId="52DC8F11" w14:textId="28D7516A" w:rsidR="00DD531B" w:rsidRDefault="00DD531B" w:rsidP="00DD531B">
      <w:pPr>
        <w:rPr>
          <w:rFonts w:ascii="Times New Roman" w:eastAsia="Calibri" w:hAnsi="Times New Roman" w:cs="Times New Roman"/>
        </w:rPr>
      </w:pPr>
    </w:p>
    <w:p w14:paraId="675B114B" w14:textId="5583A6CC" w:rsidR="00463505" w:rsidRDefault="00463505" w:rsidP="00DD531B">
      <w:pPr>
        <w:rPr>
          <w:rFonts w:ascii="Times New Roman" w:eastAsia="Calibri" w:hAnsi="Times New Roman" w:cs="Times New Roman"/>
        </w:rPr>
      </w:pPr>
    </w:p>
    <w:p w14:paraId="36A2D513" w14:textId="00A3EA21" w:rsidR="00463505" w:rsidRDefault="00463505" w:rsidP="00DD531B">
      <w:pPr>
        <w:rPr>
          <w:rFonts w:ascii="Times New Roman" w:eastAsia="Calibri" w:hAnsi="Times New Roman" w:cs="Times New Roman"/>
        </w:rPr>
      </w:pPr>
    </w:p>
    <w:p w14:paraId="2B5991BD" w14:textId="7598EE61" w:rsidR="00463505" w:rsidRDefault="00463505" w:rsidP="00DD531B">
      <w:pPr>
        <w:rPr>
          <w:rFonts w:ascii="Times New Roman" w:eastAsia="Calibri" w:hAnsi="Times New Roman" w:cs="Times New Roman"/>
        </w:rPr>
      </w:pPr>
    </w:p>
    <w:p w14:paraId="06FDEA17" w14:textId="0C39954E" w:rsidR="00463505" w:rsidRDefault="00463505" w:rsidP="00DD531B">
      <w:pPr>
        <w:rPr>
          <w:rFonts w:ascii="Times New Roman" w:eastAsia="Calibri" w:hAnsi="Times New Roman" w:cs="Times New Roman"/>
        </w:rPr>
      </w:pPr>
    </w:p>
    <w:p w14:paraId="182199CB" w14:textId="5B7BB59B" w:rsidR="00463505" w:rsidRDefault="00463505" w:rsidP="00DD531B">
      <w:pPr>
        <w:rPr>
          <w:rFonts w:ascii="Times New Roman" w:eastAsia="Calibri" w:hAnsi="Times New Roman" w:cs="Times New Roman"/>
        </w:rPr>
      </w:pPr>
    </w:p>
    <w:p w14:paraId="33F2E75B" w14:textId="48727A12" w:rsidR="00463505" w:rsidRDefault="00463505" w:rsidP="00DD531B">
      <w:pPr>
        <w:rPr>
          <w:rFonts w:ascii="Times New Roman" w:eastAsia="Calibri" w:hAnsi="Times New Roman" w:cs="Times New Roman"/>
        </w:rPr>
      </w:pPr>
    </w:p>
    <w:p w14:paraId="6AC1EFE9" w14:textId="6E815B52" w:rsidR="00463505" w:rsidRDefault="00463505" w:rsidP="00DD531B">
      <w:pPr>
        <w:rPr>
          <w:rFonts w:ascii="Times New Roman" w:eastAsia="Calibri" w:hAnsi="Times New Roman" w:cs="Times New Roman"/>
        </w:rPr>
      </w:pPr>
    </w:p>
    <w:p w14:paraId="73995697" w14:textId="26B52F76" w:rsidR="00463505" w:rsidRDefault="00463505" w:rsidP="00DD531B">
      <w:pPr>
        <w:rPr>
          <w:rFonts w:ascii="Times New Roman" w:eastAsia="Calibri" w:hAnsi="Times New Roman" w:cs="Times New Roman"/>
        </w:rPr>
      </w:pPr>
    </w:p>
    <w:p w14:paraId="0FEA7CEA" w14:textId="77777777" w:rsidR="00463505" w:rsidRPr="00DD531B" w:rsidRDefault="00463505" w:rsidP="00DD531B">
      <w:pPr>
        <w:rPr>
          <w:rFonts w:ascii="Times New Roman" w:eastAsia="Calibri" w:hAnsi="Times New Roman" w:cs="Times New Roman"/>
        </w:rPr>
      </w:pPr>
    </w:p>
    <w:p w14:paraId="7269521E" w14:textId="67C9F96D" w:rsidR="00DD531B" w:rsidRPr="00463505" w:rsidRDefault="00DD531B" w:rsidP="00463505">
      <w:pPr>
        <w:keepNext/>
        <w:keepLines/>
        <w:spacing w:after="0"/>
        <w:outlineLvl w:val="1"/>
        <w:rPr>
          <w:rFonts w:ascii="Times New Roman" w:eastAsia="Times New Roman" w:hAnsi="Times New Roman" w:cs="Times New Roman"/>
          <w:b/>
          <w:color w:val="5B9BD5" w:themeColor="accent1"/>
          <w:sz w:val="24"/>
          <w:szCs w:val="24"/>
        </w:rPr>
      </w:pPr>
      <w:r w:rsidRPr="00463505">
        <w:rPr>
          <w:rFonts w:ascii="Times New Roman" w:eastAsia="Times New Roman" w:hAnsi="Times New Roman" w:cs="Times New Roman"/>
          <w:b/>
          <w:color w:val="5B9BD5" w:themeColor="accent1"/>
          <w:sz w:val="24"/>
          <w:szCs w:val="24"/>
        </w:rPr>
        <w:lastRenderedPageBreak/>
        <w:t>Ministerstvo financií SR</w:t>
      </w:r>
    </w:p>
    <w:p w14:paraId="4D804C06" w14:textId="77777777" w:rsidR="00DD531B" w:rsidRPr="00463505" w:rsidRDefault="00DD531B" w:rsidP="00463505">
      <w:pPr>
        <w:rPr>
          <w:rFonts w:ascii="Times New Roman" w:eastAsia="Calibri" w:hAnsi="Times New Roman" w:cs="Times New Roman"/>
          <w:color w:val="5B9BD5" w:themeColor="accent1"/>
        </w:rPr>
      </w:pPr>
    </w:p>
    <w:p w14:paraId="4DF15739" w14:textId="0C6B151B" w:rsidR="00DD531B" w:rsidRPr="00463505" w:rsidRDefault="00463505" w:rsidP="00463505">
      <w:pPr>
        <w:keepNext/>
        <w:keepLines/>
        <w:spacing w:after="0"/>
        <w:outlineLvl w:val="3"/>
        <w:rPr>
          <w:rFonts w:ascii="Times New Roman" w:eastAsia="Times New Roman" w:hAnsi="Times New Roman" w:cs="Times New Roman"/>
          <w:b/>
          <w:iCs/>
          <w:color w:val="5B9BD5" w:themeColor="accent1"/>
          <w:sz w:val="20"/>
          <w:szCs w:val="20"/>
          <w:lang w:eastAsia="sk-SK"/>
        </w:rPr>
      </w:pPr>
      <w:bookmarkStart w:id="209" w:name="_Toc153013079"/>
      <w:r w:rsidRPr="00463505">
        <w:rPr>
          <w:rFonts w:ascii="Times New Roman" w:eastAsia="Times New Roman" w:hAnsi="Times New Roman" w:cs="Times New Roman"/>
          <w:b/>
          <w:iCs/>
          <w:color w:val="5B9BD5" w:themeColor="accent1"/>
          <w:sz w:val="20"/>
          <w:szCs w:val="20"/>
          <w:lang w:eastAsia="sk-SK"/>
        </w:rPr>
        <w:t xml:space="preserve">Tabuľka </w:t>
      </w:r>
      <w:r w:rsidRPr="00463505">
        <w:rPr>
          <w:rFonts w:ascii="Times New Roman" w:hAnsi="Times New Roman" w:cs="Times New Roman"/>
          <w:b/>
          <w:color w:val="5B9BD5" w:themeColor="accent1"/>
          <w:sz w:val="20"/>
          <w:szCs w:val="20"/>
        </w:rPr>
        <w:fldChar w:fldCharType="begin"/>
      </w:r>
      <w:r w:rsidRPr="00463505">
        <w:rPr>
          <w:rFonts w:ascii="Times New Roman" w:hAnsi="Times New Roman" w:cs="Times New Roman"/>
          <w:b/>
          <w:color w:val="5B9BD5" w:themeColor="accent1"/>
          <w:sz w:val="20"/>
          <w:szCs w:val="20"/>
        </w:rPr>
        <w:instrText xml:space="preserve"> SEQ Tabuľka \* ARABIC </w:instrText>
      </w:r>
      <w:r w:rsidRPr="00463505">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81</w:t>
      </w:r>
      <w:r w:rsidRPr="00463505">
        <w:rPr>
          <w:rFonts w:ascii="Times New Roman" w:hAnsi="Times New Roman" w:cs="Times New Roman"/>
          <w:b/>
          <w:color w:val="5B9BD5" w:themeColor="accent1"/>
          <w:sz w:val="20"/>
          <w:szCs w:val="20"/>
        </w:rPr>
        <w:fldChar w:fldCharType="end"/>
      </w:r>
      <w:r w:rsidRPr="00463505">
        <w:rPr>
          <w:rFonts w:ascii="Times New Roman" w:hAnsi="Times New Roman" w:cs="Times New Roman"/>
          <w:b/>
          <w:color w:val="5B9BD5" w:themeColor="accent1"/>
          <w:sz w:val="20"/>
          <w:szCs w:val="20"/>
        </w:rPr>
        <w:t xml:space="preserve"> - </w:t>
      </w:r>
      <w:r w:rsidR="00DD531B" w:rsidRPr="00463505">
        <w:rPr>
          <w:rFonts w:ascii="Times New Roman" w:eastAsia="Times New Roman" w:hAnsi="Times New Roman" w:cs="Times New Roman"/>
          <w:b/>
          <w:iCs/>
          <w:color w:val="5B9BD5" w:themeColor="accent1"/>
          <w:sz w:val="20"/>
          <w:szCs w:val="20"/>
          <w:lang w:eastAsia="sk-SK"/>
        </w:rPr>
        <w:t>Príjmy kapitoly MF SR</w:t>
      </w:r>
      <w:bookmarkEnd w:id="209"/>
    </w:p>
    <w:tbl>
      <w:tblPr>
        <w:tblW w:w="5000" w:type="pct"/>
        <w:tblCellMar>
          <w:left w:w="70" w:type="dxa"/>
          <w:right w:w="70" w:type="dxa"/>
        </w:tblCellMar>
        <w:tblLook w:val="04A0" w:firstRow="1" w:lastRow="0" w:firstColumn="1" w:lastColumn="0" w:noHBand="0" w:noVBand="1"/>
      </w:tblPr>
      <w:tblGrid>
        <w:gridCol w:w="4684"/>
        <w:gridCol w:w="605"/>
        <w:gridCol w:w="605"/>
        <w:gridCol w:w="616"/>
        <w:gridCol w:w="714"/>
        <w:gridCol w:w="616"/>
        <w:gridCol w:w="616"/>
        <w:gridCol w:w="616"/>
      </w:tblGrid>
      <w:tr w:rsidR="00DD531B" w:rsidRPr="00DD531B" w14:paraId="17E58696" w14:textId="77777777" w:rsidTr="001F24AE">
        <w:trPr>
          <w:trHeight w:val="300"/>
        </w:trPr>
        <w:tc>
          <w:tcPr>
            <w:tcW w:w="2588" w:type="pct"/>
            <w:tcBorders>
              <w:top w:val="single" w:sz="4" w:space="0" w:color="auto"/>
              <w:left w:val="nil"/>
              <w:bottom w:val="single" w:sz="4" w:space="0" w:color="auto"/>
              <w:right w:val="nil"/>
            </w:tcBorders>
            <w:shd w:val="clear" w:color="auto" w:fill="auto"/>
            <w:noWrap/>
            <w:vAlign w:val="center"/>
            <w:hideMark/>
          </w:tcPr>
          <w:p w14:paraId="3EAC05C4" w14:textId="77777777" w:rsidR="00DD531B" w:rsidRPr="00463505" w:rsidRDefault="00DD531B" w:rsidP="00DD531B">
            <w:pPr>
              <w:spacing w:after="0" w:line="240" w:lineRule="auto"/>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v tis. eur</w:t>
            </w:r>
          </w:p>
        </w:tc>
        <w:tc>
          <w:tcPr>
            <w:tcW w:w="340" w:type="pct"/>
            <w:tcBorders>
              <w:top w:val="single" w:sz="4" w:space="0" w:color="auto"/>
              <w:left w:val="nil"/>
              <w:bottom w:val="single" w:sz="4" w:space="0" w:color="auto"/>
              <w:right w:val="nil"/>
            </w:tcBorders>
            <w:shd w:val="clear" w:color="auto" w:fill="auto"/>
            <w:noWrap/>
            <w:vAlign w:val="center"/>
            <w:hideMark/>
          </w:tcPr>
          <w:p w14:paraId="686604CC"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2021 S</w:t>
            </w:r>
          </w:p>
        </w:tc>
        <w:tc>
          <w:tcPr>
            <w:tcW w:w="340" w:type="pct"/>
            <w:tcBorders>
              <w:top w:val="single" w:sz="4" w:space="0" w:color="auto"/>
              <w:left w:val="nil"/>
              <w:bottom w:val="single" w:sz="4" w:space="0" w:color="auto"/>
              <w:right w:val="nil"/>
            </w:tcBorders>
            <w:shd w:val="clear" w:color="auto" w:fill="auto"/>
            <w:noWrap/>
            <w:vAlign w:val="center"/>
            <w:hideMark/>
          </w:tcPr>
          <w:p w14:paraId="2CD2E2B9"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2022 S</w:t>
            </w:r>
          </w:p>
        </w:tc>
        <w:tc>
          <w:tcPr>
            <w:tcW w:w="340" w:type="pct"/>
            <w:tcBorders>
              <w:top w:val="single" w:sz="4" w:space="0" w:color="auto"/>
              <w:left w:val="nil"/>
              <w:bottom w:val="single" w:sz="4" w:space="0" w:color="auto"/>
              <w:right w:val="nil"/>
            </w:tcBorders>
            <w:shd w:val="clear" w:color="auto" w:fill="auto"/>
            <w:noWrap/>
            <w:vAlign w:val="center"/>
            <w:hideMark/>
          </w:tcPr>
          <w:p w14:paraId="31509A2A"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2023 R</w:t>
            </w:r>
          </w:p>
        </w:tc>
        <w:tc>
          <w:tcPr>
            <w:tcW w:w="370" w:type="pct"/>
            <w:tcBorders>
              <w:top w:val="single" w:sz="4" w:space="0" w:color="auto"/>
              <w:left w:val="nil"/>
              <w:bottom w:val="single" w:sz="4" w:space="0" w:color="auto"/>
              <w:right w:val="nil"/>
            </w:tcBorders>
            <w:shd w:val="clear" w:color="auto" w:fill="auto"/>
            <w:noWrap/>
            <w:vAlign w:val="center"/>
            <w:hideMark/>
          </w:tcPr>
          <w:p w14:paraId="7C37179E"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2023 OS</w:t>
            </w:r>
          </w:p>
        </w:tc>
        <w:tc>
          <w:tcPr>
            <w:tcW w:w="340" w:type="pct"/>
            <w:tcBorders>
              <w:top w:val="single" w:sz="4" w:space="0" w:color="auto"/>
              <w:left w:val="nil"/>
              <w:bottom w:val="single" w:sz="4" w:space="0" w:color="auto"/>
              <w:right w:val="nil"/>
            </w:tcBorders>
            <w:shd w:val="clear" w:color="auto" w:fill="auto"/>
            <w:noWrap/>
            <w:vAlign w:val="center"/>
            <w:hideMark/>
          </w:tcPr>
          <w:p w14:paraId="68920AD9"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2024 N</w:t>
            </w:r>
          </w:p>
        </w:tc>
        <w:tc>
          <w:tcPr>
            <w:tcW w:w="340" w:type="pct"/>
            <w:tcBorders>
              <w:top w:val="single" w:sz="4" w:space="0" w:color="auto"/>
              <w:left w:val="nil"/>
              <w:bottom w:val="single" w:sz="4" w:space="0" w:color="auto"/>
              <w:right w:val="nil"/>
            </w:tcBorders>
            <w:shd w:val="clear" w:color="auto" w:fill="auto"/>
            <w:noWrap/>
            <w:vAlign w:val="center"/>
            <w:hideMark/>
          </w:tcPr>
          <w:p w14:paraId="45B709D0"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2025 N</w:t>
            </w:r>
          </w:p>
        </w:tc>
        <w:tc>
          <w:tcPr>
            <w:tcW w:w="340" w:type="pct"/>
            <w:tcBorders>
              <w:top w:val="single" w:sz="4" w:space="0" w:color="auto"/>
              <w:left w:val="nil"/>
              <w:bottom w:val="single" w:sz="4" w:space="0" w:color="auto"/>
              <w:right w:val="nil"/>
            </w:tcBorders>
            <w:shd w:val="clear" w:color="auto" w:fill="auto"/>
            <w:noWrap/>
            <w:vAlign w:val="center"/>
            <w:hideMark/>
          </w:tcPr>
          <w:p w14:paraId="1A004862"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2026 N</w:t>
            </w:r>
          </w:p>
        </w:tc>
      </w:tr>
      <w:tr w:rsidR="00DD531B" w:rsidRPr="00DD531B" w14:paraId="7FC00848" w14:textId="77777777" w:rsidTr="001F24AE">
        <w:trPr>
          <w:trHeight w:val="300"/>
        </w:trPr>
        <w:tc>
          <w:tcPr>
            <w:tcW w:w="2588" w:type="pct"/>
            <w:tcBorders>
              <w:top w:val="nil"/>
              <w:left w:val="nil"/>
              <w:bottom w:val="nil"/>
              <w:right w:val="nil"/>
            </w:tcBorders>
            <w:shd w:val="clear" w:color="auto" w:fill="auto"/>
            <w:noWrap/>
            <w:vAlign w:val="bottom"/>
            <w:hideMark/>
          </w:tcPr>
          <w:p w14:paraId="5B68D7B2" w14:textId="77777777" w:rsidR="00DD531B" w:rsidRPr="00463505" w:rsidRDefault="00DD531B" w:rsidP="00DD531B">
            <w:pPr>
              <w:spacing w:after="0" w:line="240" w:lineRule="auto"/>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Príjmy kapitoly spolu</w:t>
            </w:r>
          </w:p>
        </w:tc>
        <w:tc>
          <w:tcPr>
            <w:tcW w:w="340" w:type="pct"/>
            <w:tcBorders>
              <w:top w:val="nil"/>
              <w:left w:val="nil"/>
              <w:bottom w:val="nil"/>
              <w:right w:val="nil"/>
            </w:tcBorders>
            <w:shd w:val="clear" w:color="auto" w:fill="auto"/>
            <w:noWrap/>
            <w:vAlign w:val="bottom"/>
            <w:hideMark/>
          </w:tcPr>
          <w:p w14:paraId="6027B223"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41 966</w:t>
            </w:r>
          </w:p>
        </w:tc>
        <w:tc>
          <w:tcPr>
            <w:tcW w:w="340" w:type="pct"/>
            <w:tcBorders>
              <w:top w:val="nil"/>
              <w:left w:val="nil"/>
              <w:bottom w:val="nil"/>
              <w:right w:val="nil"/>
            </w:tcBorders>
            <w:shd w:val="clear" w:color="auto" w:fill="auto"/>
            <w:noWrap/>
            <w:vAlign w:val="bottom"/>
            <w:hideMark/>
          </w:tcPr>
          <w:p w14:paraId="6DE9C6D3"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19 998</w:t>
            </w:r>
          </w:p>
        </w:tc>
        <w:tc>
          <w:tcPr>
            <w:tcW w:w="340" w:type="pct"/>
            <w:tcBorders>
              <w:top w:val="nil"/>
              <w:left w:val="nil"/>
              <w:bottom w:val="nil"/>
              <w:right w:val="nil"/>
            </w:tcBorders>
            <w:shd w:val="clear" w:color="auto" w:fill="auto"/>
            <w:noWrap/>
            <w:vAlign w:val="bottom"/>
            <w:hideMark/>
          </w:tcPr>
          <w:p w14:paraId="3C7D6BE3"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73 209</w:t>
            </w:r>
          </w:p>
        </w:tc>
        <w:tc>
          <w:tcPr>
            <w:tcW w:w="370" w:type="pct"/>
            <w:tcBorders>
              <w:top w:val="nil"/>
              <w:left w:val="nil"/>
              <w:bottom w:val="nil"/>
              <w:right w:val="nil"/>
            </w:tcBorders>
            <w:shd w:val="clear" w:color="auto" w:fill="auto"/>
            <w:noWrap/>
            <w:vAlign w:val="bottom"/>
            <w:hideMark/>
          </w:tcPr>
          <w:p w14:paraId="32A0B836"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144 174</w:t>
            </w:r>
          </w:p>
        </w:tc>
        <w:tc>
          <w:tcPr>
            <w:tcW w:w="340" w:type="pct"/>
            <w:tcBorders>
              <w:top w:val="nil"/>
              <w:left w:val="nil"/>
              <w:bottom w:val="nil"/>
              <w:right w:val="nil"/>
            </w:tcBorders>
            <w:shd w:val="clear" w:color="auto" w:fill="auto"/>
            <w:noWrap/>
            <w:vAlign w:val="bottom"/>
            <w:hideMark/>
          </w:tcPr>
          <w:p w14:paraId="5AC7B3CD"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69 010</w:t>
            </w:r>
          </w:p>
        </w:tc>
        <w:tc>
          <w:tcPr>
            <w:tcW w:w="340" w:type="pct"/>
            <w:tcBorders>
              <w:top w:val="nil"/>
              <w:left w:val="nil"/>
              <w:bottom w:val="nil"/>
              <w:right w:val="nil"/>
            </w:tcBorders>
            <w:shd w:val="clear" w:color="auto" w:fill="auto"/>
            <w:noWrap/>
            <w:vAlign w:val="bottom"/>
            <w:hideMark/>
          </w:tcPr>
          <w:p w14:paraId="3A49A48D"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56 830</w:t>
            </w:r>
          </w:p>
        </w:tc>
        <w:tc>
          <w:tcPr>
            <w:tcW w:w="340" w:type="pct"/>
            <w:tcBorders>
              <w:top w:val="nil"/>
              <w:left w:val="nil"/>
              <w:bottom w:val="nil"/>
              <w:right w:val="nil"/>
            </w:tcBorders>
            <w:shd w:val="clear" w:color="auto" w:fill="auto"/>
            <w:noWrap/>
            <w:vAlign w:val="bottom"/>
            <w:hideMark/>
          </w:tcPr>
          <w:p w14:paraId="363A9056"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42 680</w:t>
            </w:r>
          </w:p>
        </w:tc>
      </w:tr>
      <w:tr w:rsidR="00DD531B" w:rsidRPr="00DD531B" w14:paraId="427C79BC" w14:textId="77777777" w:rsidTr="001F24AE">
        <w:trPr>
          <w:trHeight w:val="300"/>
        </w:trPr>
        <w:tc>
          <w:tcPr>
            <w:tcW w:w="2588" w:type="pct"/>
            <w:tcBorders>
              <w:top w:val="nil"/>
              <w:left w:val="nil"/>
              <w:bottom w:val="nil"/>
              <w:right w:val="nil"/>
            </w:tcBorders>
            <w:shd w:val="clear" w:color="auto" w:fill="auto"/>
            <w:noWrap/>
            <w:vAlign w:val="bottom"/>
            <w:hideMark/>
          </w:tcPr>
          <w:p w14:paraId="050AB895" w14:textId="77777777" w:rsidR="00DD531B" w:rsidRPr="00463505" w:rsidRDefault="00DD531B" w:rsidP="00DD531B">
            <w:pPr>
              <w:spacing w:after="0" w:line="240" w:lineRule="auto"/>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nedaňové príjmy, v tom:</w:t>
            </w:r>
          </w:p>
        </w:tc>
        <w:tc>
          <w:tcPr>
            <w:tcW w:w="340" w:type="pct"/>
            <w:tcBorders>
              <w:top w:val="nil"/>
              <w:left w:val="nil"/>
              <w:bottom w:val="nil"/>
              <w:right w:val="nil"/>
            </w:tcBorders>
            <w:shd w:val="clear" w:color="auto" w:fill="auto"/>
            <w:noWrap/>
            <w:vAlign w:val="bottom"/>
            <w:hideMark/>
          </w:tcPr>
          <w:p w14:paraId="0757DA83"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41 897</w:t>
            </w:r>
          </w:p>
        </w:tc>
        <w:tc>
          <w:tcPr>
            <w:tcW w:w="340" w:type="pct"/>
            <w:tcBorders>
              <w:top w:val="nil"/>
              <w:left w:val="nil"/>
              <w:bottom w:val="nil"/>
              <w:right w:val="nil"/>
            </w:tcBorders>
            <w:shd w:val="clear" w:color="auto" w:fill="auto"/>
            <w:noWrap/>
            <w:vAlign w:val="bottom"/>
            <w:hideMark/>
          </w:tcPr>
          <w:p w14:paraId="506697C6"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19 938</w:t>
            </w:r>
          </w:p>
        </w:tc>
        <w:tc>
          <w:tcPr>
            <w:tcW w:w="340" w:type="pct"/>
            <w:tcBorders>
              <w:top w:val="nil"/>
              <w:left w:val="nil"/>
              <w:bottom w:val="nil"/>
              <w:right w:val="nil"/>
            </w:tcBorders>
            <w:shd w:val="clear" w:color="auto" w:fill="auto"/>
            <w:noWrap/>
            <w:vAlign w:val="bottom"/>
            <w:hideMark/>
          </w:tcPr>
          <w:p w14:paraId="0AD96C03"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73 209</w:t>
            </w:r>
          </w:p>
        </w:tc>
        <w:tc>
          <w:tcPr>
            <w:tcW w:w="370" w:type="pct"/>
            <w:tcBorders>
              <w:top w:val="nil"/>
              <w:left w:val="nil"/>
              <w:bottom w:val="nil"/>
              <w:right w:val="nil"/>
            </w:tcBorders>
            <w:shd w:val="clear" w:color="auto" w:fill="auto"/>
            <w:noWrap/>
            <w:vAlign w:val="bottom"/>
            <w:hideMark/>
          </w:tcPr>
          <w:p w14:paraId="521163D7"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144 101</w:t>
            </w:r>
          </w:p>
        </w:tc>
        <w:tc>
          <w:tcPr>
            <w:tcW w:w="340" w:type="pct"/>
            <w:tcBorders>
              <w:top w:val="nil"/>
              <w:left w:val="nil"/>
              <w:bottom w:val="nil"/>
              <w:right w:val="nil"/>
            </w:tcBorders>
            <w:shd w:val="clear" w:color="auto" w:fill="auto"/>
            <w:noWrap/>
            <w:vAlign w:val="bottom"/>
            <w:hideMark/>
          </w:tcPr>
          <w:p w14:paraId="00300427"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69 010</w:t>
            </w:r>
          </w:p>
        </w:tc>
        <w:tc>
          <w:tcPr>
            <w:tcW w:w="340" w:type="pct"/>
            <w:tcBorders>
              <w:top w:val="nil"/>
              <w:left w:val="nil"/>
              <w:bottom w:val="nil"/>
              <w:right w:val="nil"/>
            </w:tcBorders>
            <w:shd w:val="clear" w:color="auto" w:fill="auto"/>
            <w:noWrap/>
            <w:vAlign w:val="bottom"/>
            <w:hideMark/>
          </w:tcPr>
          <w:p w14:paraId="4D1C05DD"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56 830</w:t>
            </w:r>
          </w:p>
        </w:tc>
        <w:tc>
          <w:tcPr>
            <w:tcW w:w="340" w:type="pct"/>
            <w:tcBorders>
              <w:top w:val="nil"/>
              <w:left w:val="nil"/>
              <w:bottom w:val="nil"/>
              <w:right w:val="nil"/>
            </w:tcBorders>
            <w:shd w:val="clear" w:color="auto" w:fill="auto"/>
            <w:noWrap/>
            <w:vAlign w:val="bottom"/>
            <w:hideMark/>
          </w:tcPr>
          <w:p w14:paraId="4719C3E1"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42 680</w:t>
            </w:r>
          </w:p>
        </w:tc>
      </w:tr>
      <w:tr w:rsidR="00DD531B" w:rsidRPr="00DD531B" w14:paraId="405570B8" w14:textId="77777777" w:rsidTr="001F24AE">
        <w:trPr>
          <w:trHeight w:val="300"/>
        </w:trPr>
        <w:tc>
          <w:tcPr>
            <w:tcW w:w="2588" w:type="pct"/>
            <w:tcBorders>
              <w:top w:val="nil"/>
              <w:left w:val="nil"/>
              <w:bottom w:val="nil"/>
              <w:right w:val="nil"/>
            </w:tcBorders>
            <w:shd w:val="clear" w:color="auto" w:fill="auto"/>
            <w:noWrap/>
            <w:vAlign w:val="bottom"/>
            <w:hideMark/>
          </w:tcPr>
          <w:p w14:paraId="3C5709D3" w14:textId="77777777" w:rsidR="00DD531B" w:rsidRPr="00463505" w:rsidRDefault="00DD531B" w:rsidP="00DD531B">
            <w:pPr>
              <w:spacing w:after="0" w:line="240" w:lineRule="auto"/>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dividendy</w:t>
            </w:r>
          </w:p>
        </w:tc>
        <w:tc>
          <w:tcPr>
            <w:tcW w:w="340" w:type="pct"/>
            <w:tcBorders>
              <w:top w:val="nil"/>
              <w:left w:val="nil"/>
              <w:bottom w:val="nil"/>
              <w:right w:val="nil"/>
            </w:tcBorders>
            <w:shd w:val="clear" w:color="auto" w:fill="auto"/>
            <w:noWrap/>
            <w:vAlign w:val="bottom"/>
            <w:hideMark/>
          </w:tcPr>
          <w:p w14:paraId="7220A609"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32 410</w:t>
            </w:r>
          </w:p>
        </w:tc>
        <w:tc>
          <w:tcPr>
            <w:tcW w:w="340" w:type="pct"/>
            <w:tcBorders>
              <w:top w:val="nil"/>
              <w:left w:val="nil"/>
              <w:bottom w:val="nil"/>
              <w:right w:val="nil"/>
            </w:tcBorders>
            <w:shd w:val="clear" w:color="auto" w:fill="auto"/>
            <w:noWrap/>
            <w:vAlign w:val="bottom"/>
            <w:hideMark/>
          </w:tcPr>
          <w:p w14:paraId="698EA4EC"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7 000</w:t>
            </w:r>
          </w:p>
        </w:tc>
        <w:tc>
          <w:tcPr>
            <w:tcW w:w="340" w:type="pct"/>
            <w:tcBorders>
              <w:top w:val="nil"/>
              <w:left w:val="nil"/>
              <w:bottom w:val="nil"/>
              <w:right w:val="nil"/>
            </w:tcBorders>
            <w:shd w:val="clear" w:color="auto" w:fill="auto"/>
            <w:noWrap/>
            <w:vAlign w:val="bottom"/>
            <w:hideMark/>
          </w:tcPr>
          <w:p w14:paraId="2059E31A"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65 707</w:t>
            </w:r>
          </w:p>
        </w:tc>
        <w:tc>
          <w:tcPr>
            <w:tcW w:w="370" w:type="pct"/>
            <w:tcBorders>
              <w:top w:val="nil"/>
              <w:left w:val="nil"/>
              <w:bottom w:val="nil"/>
              <w:right w:val="nil"/>
            </w:tcBorders>
            <w:shd w:val="clear" w:color="auto" w:fill="auto"/>
            <w:noWrap/>
            <w:vAlign w:val="bottom"/>
            <w:hideMark/>
          </w:tcPr>
          <w:p w14:paraId="336A2F78"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133 263</w:t>
            </w:r>
          </w:p>
        </w:tc>
        <w:tc>
          <w:tcPr>
            <w:tcW w:w="340" w:type="pct"/>
            <w:tcBorders>
              <w:top w:val="nil"/>
              <w:left w:val="nil"/>
              <w:bottom w:val="nil"/>
              <w:right w:val="nil"/>
            </w:tcBorders>
            <w:shd w:val="clear" w:color="auto" w:fill="auto"/>
            <w:noWrap/>
            <w:vAlign w:val="bottom"/>
            <w:hideMark/>
          </w:tcPr>
          <w:p w14:paraId="0BABCBF7"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61 725</w:t>
            </w:r>
          </w:p>
        </w:tc>
        <w:tc>
          <w:tcPr>
            <w:tcW w:w="340" w:type="pct"/>
            <w:tcBorders>
              <w:top w:val="nil"/>
              <w:left w:val="nil"/>
              <w:bottom w:val="nil"/>
              <w:right w:val="nil"/>
            </w:tcBorders>
            <w:shd w:val="clear" w:color="auto" w:fill="auto"/>
            <w:noWrap/>
            <w:vAlign w:val="bottom"/>
            <w:hideMark/>
          </w:tcPr>
          <w:p w14:paraId="58BC6D24"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49 550</w:t>
            </w:r>
          </w:p>
        </w:tc>
        <w:tc>
          <w:tcPr>
            <w:tcW w:w="340" w:type="pct"/>
            <w:tcBorders>
              <w:top w:val="nil"/>
              <w:left w:val="nil"/>
              <w:bottom w:val="nil"/>
              <w:right w:val="nil"/>
            </w:tcBorders>
            <w:shd w:val="clear" w:color="auto" w:fill="auto"/>
            <w:noWrap/>
            <w:vAlign w:val="bottom"/>
            <w:hideMark/>
          </w:tcPr>
          <w:p w14:paraId="4FB3D093"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35 400</w:t>
            </w:r>
          </w:p>
        </w:tc>
      </w:tr>
      <w:tr w:rsidR="00DD531B" w:rsidRPr="00DD531B" w14:paraId="758728E5" w14:textId="77777777" w:rsidTr="001F24AE">
        <w:trPr>
          <w:trHeight w:val="300"/>
        </w:trPr>
        <w:tc>
          <w:tcPr>
            <w:tcW w:w="2588" w:type="pct"/>
            <w:tcBorders>
              <w:top w:val="nil"/>
              <w:left w:val="nil"/>
              <w:bottom w:val="single" w:sz="4" w:space="0" w:color="auto"/>
              <w:right w:val="nil"/>
            </w:tcBorders>
            <w:shd w:val="clear" w:color="auto" w:fill="auto"/>
            <w:vAlign w:val="bottom"/>
            <w:hideMark/>
          </w:tcPr>
          <w:p w14:paraId="28D20A1A" w14:textId="77777777" w:rsidR="00DD531B" w:rsidRPr="00463505" w:rsidRDefault="00DD531B" w:rsidP="00DD531B">
            <w:pPr>
              <w:spacing w:after="0" w:line="240" w:lineRule="auto"/>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prostriedky podľa § 17 ods. 4 a § 22 ods. 4 zákona č. 523/2004 Z. z.</w:t>
            </w:r>
          </w:p>
        </w:tc>
        <w:tc>
          <w:tcPr>
            <w:tcW w:w="340" w:type="pct"/>
            <w:tcBorders>
              <w:top w:val="nil"/>
              <w:left w:val="nil"/>
              <w:bottom w:val="single" w:sz="4" w:space="0" w:color="auto"/>
              <w:right w:val="nil"/>
            </w:tcBorders>
            <w:shd w:val="clear" w:color="auto" w:fill="auto"/>
            <w:noWrap/>
            <w:vAlign w:val="bottom"/>
            <w:hideMark/>
          </w:tcPr>
          <w:p w14:paraId="1CDA5752"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69</w:t>
            </w:r>
          </w:p>
        </w:tc>
        <w:tc>
          <w:tcPr>
            <w:tcW w:w="340" w:type="pct"/>
            <w:tcBorders>
              <w:top w:val="nil"/>
              <w:left w:val="nil"/>
              <w:bottom w:val="single" w:sz="4" w:space="0" w:color="auto"/>
              <w:right w:val="nil"/>
            </w:tcBorders>
            <w:shd w:val="clear" w:color="auto" w:fill="auto"/>
            <w:noWrap/>
            <w:vAlign w:val="bottom"/>
            <w:hideMark/>
          </w:tcPr>
          <w:p w14:paraId="7F54B063"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60</w:t>
            </w:r>
          </w:p>
        </w:tc>
        <w:tc>
          <w:tcPr>
            <w:tcW w:w="340" w:type="pct"/>
            <w:tcBorders>
              <w:top w:val="nil"/>
              <w:left w:val="nil"/>
              <w:bottom w:val="single" w:sz="4" w:space="0" w:color="auto"/>
              <w:right w:val="nil"/>
            </w:tcBorders>
            <w:shd w:val="clear" w:color="auto" w:fill="auto"/>
            <w:noWrap/>
            <w:vAlign w:val="bottom"/>
            <w:hideMark/>
          </w:tcPr>
          <w:p w14:paraId="6EFFD0BB"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0</w:t>
            </w:r>
          </w:p>
        </w:tc>
        <w:tc>
          <w:tcPr>
            <w:tcW w:w="370" w:type="pct"/>
            <w:tcBorders>
              <w:top w:val="nil"/>
              <w:left w:val="nil"/>
              <w:bottom w:val="single" w:sz="4" w:space="0" w:color="auto"/>
              <w:right w:val="nil"/>
            </w:tcBorders>
            <w:shd w:val="clear" w:color="auto" w:fill="auto"/>
            <w:noWrap/>
            <w:vAlign w:val="bottom"/>
            <w:hideMark/>
          </w:tcPr>
          <w:p w14:paraId="66F77F0E"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73</w:t>
            </w:r>
          </w:p>
        </w:tc>
        <w:tc>
          <w:tcPr>
            <w:tcW w:w="340" w:type="pct"/>
            <w:tcBorders>
              <w:top w:val="nil"/>
              <w:left w:val="nil"/>
              <w:bottom w:val="single" w:sz="4" w:space="0" w:color="auto"/>
              <w:right w:val="nil"/>
            </w:tcBorders>
            <w:shd w:val="clear" w:color="auto" w:fill="auto"/>
            <w:noWrap/>
            <w:vAlign w:val="bottom"/>
            <w:hideMark/>
          </w:tcPr>
          <w:p w14:paraId="3FD2364B"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0</w:t>
            </w:r>
          </w:p>
        </w:tc>
        <w:tc>
          <w:tcPr>
            <w:tcW w:w="340" w:type="pct"/>
            <w:tcBorders>
              <w:top w:val="nil"/>
              <w:left w:val="nil"/>
              <w:bottom w:val="single" w:sz="4" w:space="0" w:color="auto"/>
              <w:right w:val="nil"/>
            </w:tcBorders>
            <w:shd w:val="clear" w:color="auto" w:fill="auto"/>
            <w:noWrap/>
            <w:vAlign w:val="bottom"/>
            <w:hideMark/>
          </w:tcPr>
          <w:p w14:paraId="7E79BEE6"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0</w:t>
            </w:r>
          </w:p>
        </w:tc>
        <w:tc>
          <w:tcPr>
            <w:tcW w:w="340" w:type="pct"/>
            <w:tcBorders>
              <w:top w:val="nil"/>
              <w:left w:val="nil"/>
              <w:bottom w:val="single" w:sz="4" w:space="0" w:color="auto"/>
              <w:right w:val="nil"/>
            </w:tcBorders>
            <w:shd w:val="clear" w:color="auto" w:fill="auto"/>
            <w:noWrap/>
            <w:vAlign w:val="bottom"/>
            <w:hideMark/>
          </w:tcPr>
          <w:p w14:paraId="1F9D6DBA"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0</w:t>
            </w:r>
          </w:p>
        </w:tc>
      </w:tr>
    </w:tbl>
    <w:p w14:paraId="5D38DF76" w14:textId="77777777" w:rsidR="00DD531B" w:rsidRPr="00DD531B" w:rsidRDefault="00DD531B" w:rsidP="00DD531B">
      <w:pPr>
        <w:rPr>
          <w:rFonts w:ascii="Times New Roman" w:eastAsia="Calibri" w:hAnsi="Times New Roman" w:cs="Times New Roman"/>
        </w:rPr>
      </w:pPr>
    </w:p>
    <w:p w14:paraId="69E19EE3" w14:textId="2F31894E" w:rsidR="00DD531B" w:rsidRPr="00463505" w:rsidRDefault="00463505"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10" w:name="_Toc153013080"/>
      <w:r w:rsidRPr="00463505">
        <w:rPr>
          <w:rFonts w:ascii="Times New Roman" w:eastAsia="Times New Roman" w:hAnsi="Times New Roman" w:cs="Times New Roman"/>
          <w:b/>
          <w:iCs/>
          <w:color w:val="5B9BD5" w:themeColor="accent1"/>
          <w:sz w:val="20"/>
          <w:szCs w:val="20"/>
          <w:lang w:eastAsia="sk-SK"/>
        </w:rPr>
        <w:t xml:space="preserve">Tabuľka </w:t>
      </w:r>
      <w:r w:rsidRPr="00463505">
        <w:rPr>
          <w:rFonts w:ascii="Times New Roman" w:hAnsi="Times New Roman" w:cs="Times New Roman"/>
          <w:b/>
          <w:color w:val="5B9BD5" w:themeColor="accent1"/>
          <w:sz w:val="20"/>
          <w:szCs w:val="20"/>
        </w:rPr>
        <w:fldChar w:fldCharType="begin"/>
      </w:r>
      <w:r w:rsidRPr="00463505">
        <w:rPr>
          <w:rFonts w:ascii="Times New Roman" w:hAnsi="Times New Roman" w:cs="Times New Roman"/>
          <w:b/>
          <w:color w:val="5B9BD5" w:themeColor="accent1"/>
          <w:sz w:val="20"/>
          <w:szCs w:val="20"/>
        </w:rPr>
        <w:instrText xml:space="preserve"> SEQ Tabuľka \* ARABIC </w:instrText>
      </w:r>
      <w:r w:rsidRPr="00463505">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82</w:t>
      </w:r>
      <w:r w:rsidRPr="00463505">
        <w:rPr>
          <w:rFonts w:ascii="Times New Roman" w:hAnsi="Times New Roman" w:cs="Times New Roman"/>
          <w:b/>
          <w:color w:val="5B9BD5" w:themeColor="accent1"/>
          <w:sz w:val="20"/>
          <w:szCs w:val="20"/>
        </w:rPr>
        <w:fldChar w:fldCharType="end"/>
      </w:r>
      <w:r w:rsidRPr="00463505">
        <w:rPr>
          <w:rFonts w:ascii="Times New Roman" w:hAnsi="Times New Roman" w:cs="Times New Roman"/>
          <w:b/>
          <w:color w:val="5B9BD5" w:themeColor="accent1"/>
          <w:sz w:val="20"/>
          <w:szCs w:val="20"/>
        </w:rPr>
        <w:t xml:space="preserve"> - </w:t>
      </w:r>
      <w:r w:rsidR="00DD531B" w:rsidRPr="00463505">
        <w:rPr>
          <w:rFonts w:ascii="Times New Roman" w:eastAsia="Times New Roman" w:hAnsi="Times New Roman" w:cs="Times New Roman"/>
          <w:b/>
          <w:iCs/>
          <w:color w:val="5B9BD5" w:themeColor="accent1"/>
          <w:sz w:val="20"/>
          <w:szCs w:val="20"/>
          <w:lang w:eastAsia="sk-SK"/>
        </w:rPr>
        <w:t>Výdavky kapitoly MF SR</w:t>
      </w:r>
      <w:bookmarkEnd w:id="210"/>
    </w:p>
    <w:tbl>
      <w:tblPr>
        <w:tblW w:w="5000" w:type="pct"/>
        <w:tblLayout w:type="fixed"/>
        <w:tblCellMar>
          <w:left w:w="70" w:type="dxa"/>
          <w:right w:w="70" w:type="dxa"/>
        </w:tblCellMar>
        <w:tblLook w:val="04A0" w:firstRow="1" w:lastRow="0" w:firstColumn="1" w:lastColumn="0" w:noHBand="0" w:noVBand="1"/>
      </w:tblPr>
      <w:tblGrid>
        <w:gridCol w:w="3971"/>
        <w:gridCol w:w="717"/>
        <w:gridCol w:w="702"/>
        <w:gridCol w:w="709"/>
        <w:gridCol w:w="849"/>
        <w:gridCol w:w="709"/>
        <w:gridCol w:w="709"/>
        <w:gridCol w:w="706"/>
      </w:tblGrid>
      <w:tr w:rsidR="00DD531B" w:rsidRPr="00DD531B" w14:paraId="3D867DC3" w14:textId="77777777" w:rsidTr="00463505">
        <w:trPr>
          <w:trHeight w:val="300"/>
        </w:trPr>
        <w:tc>
          <w:tcPr>
            <w:tcW w:w="2188" w:type="pct"/>
            <w:tcBorders>
              <w:top w:val="single" w:sz="4" w:space="0" w:color="auto"/>
              <w:left w:val="nil"/>
              <w:bottom w:val="single" w:sz="4" w:space="0" w:color="auto"/>
              <w:right w:val="nil"/>
            </w:tcBorders>
            <w:shd w:val="clear" w:color="auto" w:fill="auto"/>
            <w:noWrap/>
            <w:vAlign w:val="center"/>
            <w:hideMark/>
          </w:tcPr>
          <w:p w14:paraId="0F994F52" w14:textId="77777777" w:rsidR="00DD531B" w:rsidRPr="00463505" w:rsidRDefault="00DD531B" w:rsidP="00DD531B">
            <w:pPr>
              <w:spacing w:after="0" w:line="240" w:lineRule="auto"/>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v tis. eur</w:t>
            </w:r>
          </w:p>
        </w:tc>
        <w:tc>
          <w:tcPr>
            <w:tcW w:w="395" w:type="pct"/>
            <w:tcBorders>
              <w:top w:val="single" w:sz="4" w:space="0" w:color="auto"/>
              <w:left w:val="nil"/>
              <w:bottom w:val="single" w:sz="4" w:space="0" w:color="auto"/>
              <w:right w:val="nil"/>
            </w:tcBorders>
            <w:shd w:val="clear" w:color="auto" w:fill="auto"/>
            <w:noWrap/>
            <w:vAlign w:val="center"/>
            <w:hideMark/>
          </w:tcPr>
          <w:p w14:paraId="0784C300"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2021 S</w:t>
            </w:r>
          </w:p>
        </w:tc>
        <w:tc>
          <w:tcPr>
            <w:tcW w:w="387" w:type="pct"/>
            <w:tcBorders>
              <w:top w:val="single" w:sz="4" w:space="0" w:color="auto"/>
              <w:left w:val="nil"/>
              <w:bottom w:val="single" w:sz="4" w:space="0" w:color="auto"/>
              <w:right w:val="nil"/>
            </w:tcBorders>
            <w:shd w:val="clear" w:color="auto" w:fill="auto"/>
            <w:noWrap/>
            <w:vAlign w:val="center"/>
            <w:hideMark/>
          </w:tcPr>
          <w:p w14:paraId="0B39920C"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2022 S</w:t>
            </w:r>
          </w:p>
        </w:tc>
        <w:tc>
          <w:tcPr>
            <w:tcW w:w="391" w:type="pct"/>
            <w:tcBorders>
              <w:top w:val="single" w:sz="4" w:space="0" w:color="auto"/>
              <w:left w:val="nil"/>
              <w:bottom w:val="single" w:sz="4" w:space="0" w:color="auto"/>
              <w:right w:val="nil"/>
            </w:tcBorders>
            <w:shd w:val="clear" w:color="auto" w:fill="auto"/>
            <w:noWrap/>
            <w:vAlign w:val="center"/>
            <w:hideMark/>
          </w:tcPr>
          <w:p w14:paraId="3AA48EEE"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2023 R</w:t>
            </w:r>
          </w:p>
        </w:tc>
        <w:tc>
          <w:tcPr>
            <w:tcW w:w="468" w:type="pct"/>
            <w:tcBorders>
              <w:top w:val="single" w:sz="4" w:space="0" w:color="auto"/>
              <w:left w:val="nil"/>
              <w:bottom w:val="single" w:sz="4" w:space="0" w:color="auto"/>
              <w:right w:val="nil"/>
            </w:tcBorders>
            <w:shd w:val="clear" w:color="auto" w:fill="auto"/>
            <w:noWrap/>
            <w:vAlign w:val="center"/>
            <w:hideMark/>
          </w:tcPr>
          <w:p w14:paraId="560C1F9E"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2023 OS</w:t>
            </w:r>
          </w:p>
        </w:tc>
        <w:tc>
          <w:tcPr>
            <w:tcW w:w="391" w:type="pct"/>
            <w:tcBorders>
              <w:top w:val="single" w:sz="4" w:space="0" w:color="auto"/>
              <w:left w:val="nil"/>
              <w:bottom w:val="single" w:sz="4" w:space="0" w:color="auto"/>
              <w:right w:val="nil"/>
            </w:tcBorders>
            <w:shd w:val="clear" w:color="auto" w:fill="auto"/>
            <w:noWrap/>
            <w:vAlign w:val="center"/>
            <w:hideMark/>
          </w:tcPr>
          <w:p w14:paraId="2A25E477"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2024 N</w:t>
            </w:r>
          </w:p>
        </w:tc>
        <w:tc>
          <w:tcPr>
            <w:tcW w:w="391" w:type="pct"/>
            <w:tcBorders>
              <w:top w:val="single" w:sz="4" w:space="0" w:color="auto"/>
              <w:left w:val="nil"/>
              <w:bottom w:val="single" w:sz="4" w:space="0" w:color="auto"/>
              <w:right w:val="nil"/>
            </w:tcBorders>
            <w:shd w:val="clear" w:color="auto" w:fill="auto"/>
            <w:noWrap/>
            <w:vAlign w:val="center"/>
            <w:hideMark/>
          </w:tcPr>
          <w:p w14:paraId="0ABA6A92"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2025 N</w:t>
            </w:r>
          </w:p>
        </w:tc>
        <w:tc>
          <w:tcPr>
            <w:tcW w:w="390" w:type="pct"/>
            <w:tcBorders>
              <w:top w:val="single" w:sz="4" w:space="0" w:color="auto"/>
              <w:left w:val="nil"/>
              <w:bottom w:val="single" w:sz="4" w:space="0" w:color="auto"/>
              <w:right w:val="nil"/>
            </w:tcBorders>
            <w:shd w:val="clear" w:color="auto" w:fill="auto"/>
            <w:noWrap/>
            <w:vAlign w:val="center"/>
            <w:hideMark/>
          </w:tcPr>
          <w:p w14:paraId="2C972581"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2026 N</w:t>
            </w:r>
          </w:p>
        </w:tc>
      </w:tr>
      <w:tr w:rsidR="00DD531B" w:rsidRPr="00DD531B" w14:paraId="7C065B25" w14:textId="77777777" w:rsidTr="00463505">
        <w:trPr>
          <w:trHeight w:val="300"/>
        </w:trPr>
        <w:tc>
          <w:tcPr>
            <w:tcW w:w="2188" w:type="pct"/>
            <w:tcBorders>
              <w:top w:val="nil"/>
              <w:left w:val="nil"/>
              <w:bottom w:val="nil"/>
              <w:right w:val="nil"/>
            </w:tcBorders>
            <w:shd w:val="clear" w:color="auto" w:fill="auto"/>
            <w:noWrap/>
            <w:vAlign w:val="center"/>
            <w:hideMark/>
          </w:tcPr>
          <w:p w14:paraId="6B9368A5" w14:textId="77777777" w:rsidR="00DD531B" w:rsidRPr="00463505" w:rsidRDefault="00DD531B" w:rsidP="00DD531B">
            <w:pPr>
              <w:spacing w:after="0" w:line="240" w:lineRule="auto"/>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Výdavky kapitoly spolu</w:t>
            </w:r>
          </w:p>
        </w:tc>
        <w:tc>
          <w:tcPr>
            <w:tcW w:w="395" w:type="pct"/>
            <w:tcBorders>
              <w:top w:val="nil"/>
              <w:left w:val="nil"/>
              <w:bottom w:val="nil"/>
              <w:right w:val="nil"/>
            </w:tcBorders>
            <w:shd w:val="clear" w:color="auto" w:fill="auto"/>
            <w:noWrap/>
            <w:vAlign w:val="bottom"/>
            <w:hideMark/>
          </w:tcPr>
          <w:p w14:paraId="112274BC"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804 719</w:t>
            </w:r>
          </w:p>
        </w:tc>
        <w:tc>
          <w:tcPr>
            <w:tcW w:w="387" w:type="pct"/>
            <w:tcBorders>
              <w:top w:val="nil"/>
              <w:left w:val="nil"/>
              <w:bottom w:val="nil"/>
              <w:right w:val="nil"/>
            </w:tcBorders>
            <w:shd w:val="clear" w:color="auto" w:fill="auto"/>
            <w:noWrap/>
            <w:vAlign w:val="bottom"/>
            <w:hideMark/>
          </w:tcPr>
          <w:p w14:paraId="71E50E43"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603 729</w:t>
            </w:r>
          </w:p>
        </w:tc>
        <w:tc>
          <w:tcPr>
            <w:tcW w:w="391" w:type="pct"/>
            <w:tcBorders>
              <w:top w:val="nil"/>
              <w:left w:val="nil"/>
              <w:bottom w:val="nil"/>
              <w:right w:val="nil"/>
            </w:tcBorders>
            <w:shd w:val="clear" w:color="auto" w:fill="auto"/>
            <w:noWrap/>
            <w:vAlign w:val="bottom"/>
            <w:hideMark/>
          </w:tcPr>
          <w:p w14:paraId="7B61027E"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615 582</w:t>
            </w:r>
          </w:p>
        </w:tc>
        <w:tc>
          <w:tcPr>
            <w:tcW w:w="468" w:type="pct"/>
            <w:tcBorders>
              <w:top w:val="nil"/>
              <w:left w:val="nil"/>
              <w:bottom w:val="nil"/>
              <w:right w:val="nil"/>
            </w:tcBorders>
            <w:shd w:val="clear" w:color="auto" w:fill="auto"/>
            <w:noWrap/>
            <w:vAlign w:val="bottom"/>
            <w:hideMark/>
          </w:tcPr>
          <w:p w14:paraId="53A99A2D"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714 110</w:t>
            </w:r>
          </w:p>
        </w:tc>
        <w:tc>
          <w:tcPr>
            <w:tcW w:w="391" w:type="pct"/>
            <w:tcBorders>
              <w:top w:val="nil"/>
              <w:left w:val="nil"/>
              <w:bottom w:val="nil"/>
              <w:right w:val="nil"/>
            </w:tcBorders>
            <w:shd w:val="clear" w:color="auto" w:fill="auto"/>
            <w:noWrap/>
            <w:vAlign w:val="bottom"/>
            <w:hideMark/>
          </w:tcPr>
          <w:p w14:paraId="2C8C9AAC"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684 324</w:t>
            </w:r>
          </w:p>
        </w:tc>
        <w:tc>
          <w:tcPr>
            <w:tcW w:w="391" w:type="pct"/>
            <w:tcBorders>
              <w:top w:val="nil"/>
              <w:left w:val="nil"/>
              <w:bottom w:val="nil"/>
              <w:right w:val="nil"/>
            </w:tcBorders>
            <w:shd w:val="clear" w:color="auto" w:fill="auto"/>
            <w:noWrap/>
            <w:vAlign w:val="bottom"/>
            <w:hideMark/>
          </w:tcPr>
          <w:p w14:paraId="291688A9"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693 273</w:t>
            </w:r>
          </w:p>
        </w:tc>
        <w:tc>
          <w:tcPr>
            <w:tcW w:w="390" w:type="pct"/>
            <w:tcBorders>
              <w:top w:val="nil"/>
              <w:left w:val="nil"/>
              <w:bottom w:val="nil"/>
              <w:right w:val="nil"/>
            </w:tcBorders>
            <w:shd w:val="clear" w:color="auto" w:fill="auto"/>
            <w:noWrap/>
            <w:vAlign w:val="bottom"/>
            <w:hideMark/>
          </w:tcPr>
          <w:p w14:paraId="60857C81"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677 953</w:t>
            </w:r>
          </w:p>
        </w:tc>
      </w:tr>
      <w:tr w:rsidR="00DD531B" w:rsidRPr="00DD531B" w14:paraId="029A2516" w14:textId="77777777" w:rsidTr="00463505">
        <w:trPr>
          <w:trHeight w:val="300"/>
        </w:trPr>
        <w:tc>
          <w:tcPr>
            <w:tcW w:w="2188" w:type="pct"/>
            <w:tcBorders>
              <w:top w:val="nil"/>
              <w:left w:val="nil"/>
              <w:bottom w:val="nil"/>
              <w:right w:val="nil"/>
            </w:tcBorders>
            <w:shd w:val="clear" w:color="auto" w:fill="auto"/>
            <w:noWrap/>
            <w:vAlign w:val="bottom"/>
            <w:hideMark/>
          </w:tcPr>
          <w:p w14:paraId="1AE38511" w14:textId="77777777" w:rsidR="00DD531B" w:rsidRPr="00463505" w:rsidRDefault="00DD531B" w:rsidP="00DD531B">
            <w:pPr>
              <w:spacing w:after="0" w:line="240" w:lineRule="auto"/>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rozpočtové zdroje kapitoly</w:t>
            </w:r>
          </w:p>
        </w:tc>
        <w:tc>
          <w:tcPr>
            <w:tcW w:w="395" w:type="pct"/>
            <w:tcBorders>
              <w:top w:val="nil"/>
              <w:left w:val="nil"/>
              <w:bottom w:val="nil"/>
              <w:right w:val="nil"/>
            </w:tcBorders>
            <w:shd w:val="clear" w:color="auto" w:fill="auto"/>
            <w:noWrap/>
            <w:vAlign w:val="bottom"/>
            <w:hideMark/>
          </w:tcPr>
          <w:p w14:paraId="2574A2F0"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747 966</w:t>
            </w:r>
          </w:p>
        </w:tc>
        <w:tc>
          <w:tcPr>
            <w:tcW w:w="387" w:type="pct"/>
            <w:tcBorders>
              <w:top w:val="nil"/>
              <w:left w:val="nil"/>
              <w:bottom w:val="nil"/>
              <w:right w:val="nil"/>
            </w:tcBorders>
            <w:shd w:val="clear" w:color="auto" w:fill="auto"/>
            <w:noWrap/>
            <w:vAlign w:val="bottom"/>
            <w:hideMark/>
          </w:tcPr>
          <w:p w14:paraId="069B88CA"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510 600</w:t>
            </w:r>
          </w:p>
        </w:tc>
        <w:tc>
          <w:tcPr>
            <w:tcW w:w="391" w:type="pct"/>
            <w:tcBorders>
              <w:top w:val="nil"/>
              <w:left w:val="nil"/>
              <w:bottom w:val="nil"/>
              <w:right w:val="nil"/>
            </w:tcBorders>
            <w:shd w:val="clear" w:color="auto" w:fill="auto"/>
            <w:noWrap/>
            <w:vAlign w:val="bottom"/>
            <w:hideMark/>
          </w:tcPr>
          <w:p w14:paraId="17DB5852"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615 582</w:t>
            </w:r>
          </w:p>
        </w:tc>
        <w:tc>
          <w:tcPr>
            <w:tcW w:w="468" w:type="pct"/>
            <w:tcBorders>
              <w:top w:val="nil"/>
              <w:left w:val="nil"/>
              <w:bottom w:val="nil"/>
              <w:right w:val="nil"/>
            </w:tcBorders>
            <w:shd w:val="clear" w:color="auto" w:fill="auto"/>
            <w:noWrap/>
            <w:vAlign w:val="bottom"/>
            <w:hideMark/>
          </w:tcPr>
          <w:p w14:paraId="54D7F856"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640 138</w:t>
            </w:r>
          </w:p>
        </w:tc>
        <w:tc>
          <w:tcPr>
            <w:tcW w:w="391" w:type="pct"/>
            <w:tcBorders>
              <w:top w:val="nil"/>
              <w:left w:val="nil"/>
              <w:bottom w:val="nil"/>
              <w:right w:val="nil"/>
            </w:tcBorders>
            <w:shd w:val="clear" w:color="auto" w:fill="auto"/>
            <w:noWrap/>
            <w:vAlign w:val="bottom"/>
            <w:hideMark/>
          </w:tcPr>
          <w:p w14:paraId="7C5EDE12"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682 765</w:t>
            </w:r>
          </w:p>
        </w:tc>
        <w:tc>
          <w:tcPr>
            <w:tcW w:w="391" w:type="pct"/>
            <w:tcBorders>
              <w:top w:val="nil"/>
              <w:left w:val="nil"/>
              <w:bottom w:val="nil"/>
              <w:right w:val="nil"/>
            </w:tcBorders>
            <w:shd w:val="clear" w:color="auto" w:fill="auto"/>
            <w:noWrap/>
            <w:vAlign w:val="bottom"/>
            <w:hideMark/>
          </w:tcPr>
          <w:p w14:paraId="5E7A48C8"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691 723</w:t>
            </w:r>
          </w:p>
        </w:tc>
        <w:tc>
          <w:tcPr>
            <w:tcW w:w="390" w:type="pct"/>
            <w:tcBorders>
              <w:top w:val="nil"/>
              <w:left w:val="nil"/>
              <w:bottom w:val="nil"/>
              <w:right w:val="nil"/>
            </w:tcBorders>
            <w:shd w:val="clear" w:color="auto" w:fill="auto"/>
            <w:noWrap/>
            <w:vAlign w:val="bottom"/>
            <w:hideMark/>
          </w:tcPr>
          <w:p w14:paraId="1446FE65"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676 363</w:t>
            </w:r>
          </w:p>
        </w:tc>
      </w:tr>
      <w:tr w:rsidR="00DD531B" w:rsidRPr="00DD531B" w14:paraId="20A02A19" w14:textId="77777777" w:rsidTr="00463505">
        <w:trPr>
          <w:trHeight w:val="300"/>
        </w:trPr>
        <w:tc>
          <w:tcPr>
            <w:tcW w:w="2188" w:type="pct"/>
            <w:tcBorders>
              <w:top w:val="nil"/>
              <w:left w:val="nil"/>
              <w:bottom w:val="nil"/>
              <w:right w:val="nil"/>
            </w:tcBorders>
            <w:shd w:val="clear" w:color="auto" w:fill="auto"/>
            <w:noWrap/>
            <w:vAlign w:val="bottom"/>
            <w:hideMark/>
          </w:tcPr>
          <w:p w14:paraId="6E8D7FE7"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bežné výdavky  600, v tom:</w:t>
            </w:r>
          </w:p>
        </w:tc>
        <w:tc>
          <w:tcPr>
            <w:tcW w:w="395" w:type="pct"/>
            <w:tcBorders>
              <w:top w:val="nil"/>
              <w:left w:val="nil"/>
              <w:bottom w:val="nil"/>
              <w:right w:val="nil"/>
            </w:tcBorders>
            <w:shd w:val="clear" w:color="auto" w:fill="auto"/>
            <w:noWrap/>
            <w:vAlign w:val="bottom"/>
            <w:hideMark/>
          </w:tcPr>
          <w:p w14:paraId="4570A2A0"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739 065</w:t>
            </w:r>
          </w:p>
        </w:tc>
        <w:tc>
          <w:tcPr>
            <w:tcW w:w="387" w:type="pct"/>
            <w:tcBorders>
              <w:top w:val="nil"/>
              <w:left w:val="nil"/>
              <w:bottom w:val="nil"/>
              <w:right w:val="nil"/>
            </w:tcBorders>
            <w:shd w:val="clear" w:color="auto" w:fill="auto"/>
            <w:noWrap/>
            <w:vAlign w:val="bottom"/>
            <w:hideMark/>
          </w:tcPr>
          <w:p w14:paraId="0D1BBFA7"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497 031</w:t>
            </w:r>
          </w:p>
        </w:tc>
        <w:tc>
          <w:tcPr>
            <w:tcW w:w="391" w:type="pct"/>
            <w:tcBorders>
              <w:top w:val="nil"/>
              <w:left w:val="nil"/>
              <w:bottom w:val="nil"/>
              <w:right w:val="nil"/>
            </w:tcBorders>
            <w:shd w:val="clear" w:color="auto" w:fill="auto"/>
            <w:noWrap/>
            <w:vAlign w:val="bottom"/>
            <w:hideMark/>
          </w:tcPr>
          <w:p w14:paraId="7C940FE1"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589 452</w:t>
            </w:r>
          </w:p>
        </w:tc>
        <w:tc>
          <w:tcPr>
            <w:tcW w:w="468" w:type="pct"/>
            <w:tcBorders>
              <w:top w:val="nil"/>
              <w:left w:val="nil"/>
              <w:bottom w:val="nil"/>
              <w:right w:val="nil"/>
            </w:tcBorders>
            <w:shd w:val="clear" w:color="auto" w:fill="auto"/>
            <w:noWrap/>
            <w:vAlign w:val="bottom"/>
            <w:hideMark/>
          </w:tcPr>
          <w:p w14:paraId="57321D01"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609 128</w:t>
            </w:r>
          </w:p>
        </w:tc>
        <w:tc>
          <w:tcPr>
            <w:tcW w:w="391" w:type="pct"/>
            <w:tcBorders>
              <w:top w:val="nil"/>
              <w:left w:val="nil"/>
              <w:bottom w:val="nil"/>
              <w:right w:val="nil"/>
            </w:tcBorders>
            <w:shd w:val="clear" w:color="auto" w:fill="auto"/>
            <w:noWrap/>
            <w:vAlign w:val="bottom"/>
            <w:hideMark/>
          </w:tcPr>
          <w:p w14:paraId="388F895A"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616 334</w:t>
            </w:r>
          </w:p>
        </w:tc>
        <w:tc>
          <w:tcPr>
            <w:tcW w:w="391" w:type="pct"/>
            <w:tcBorders>
              <w:top w:val="nil"/>
              <w:left w:val="nil"/>
              <w:bottom w:val="nil"/>
              <w:right w:val="nil"/>
            </w:tcBorders>
            <w:shd w:val="clear" w:color="auto" w:fill="auto"/>
            <w:noWrap/>
            <w:vAlign w:val="bottom"/>
            <w:hideMark/>
          </w:tcPr>
          <w:p w14:paraId="7595214D"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617 914</w:t>
            </w:r>
          </w:p>
        </w:tc>
        <w:tc>
          <w:tcPr>
            <w:tcW w:w="390" w:type="pct"/>
            <w:tcBorders>
              <w:top w:val="nil"/>
              <w:left w:val="nil"/>
              <w:bottom w:val="nil"/>
              <w:right w:val="nil"/>
            </w:tcBorders>
            <w:shd w:val="clear" w:color="auto" w:fill="auto"/>
            <w:noWrap/>
            <w:vAlign w:val="bottom"/>
            <w:hideMark/>
          </w:tcPr>
          <w:p w14:paraId="752B7E7B"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619 592</w:t>
            </w:r>
          </w:p>
        </w:tc>
      </w:tr>
      <w:tr w:rsidR="00DD531B" w:rsidRPr="00DD531B" w14:paraId="237CB0BA" w14:textId="77777777" w:rsidTr="00463505">
        <w:trPr>
          <w:trHeight w:val="300"/>
        </w:trPr>
        <w:tc>
          <w:tcPr>
            <w:tcW w:w="2188" w:type="pct"/>
            <w:tcBorders>
              <w:top w:val="nil"/>
              <w:left w:val="nil"/>
              <w:bottom w:val="nil"/>
              <w:right w:val="nil"/>
            </w:tcBorders>
            <w:shd w:val="clear" w:color="auto" w:fill="auto"/>
            <w:noWrap/>
            <w:vAlign w:val="bottom"/>
            <w:hideMark/>
          </w:tcPr>
          <w:p w14:paraId="3B7BCCD6"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610 mzdy</w:t>
            </w:r>
          </w:p>
        </w:tc>
        <w:tc>
          <w:tcPr>
            <w:tcW w:w="395" w:type="pct"/>
            <w:tcBorders>
              <w:top w:val="nil"/>
              <w:left w:val="nil"/>
              <w:bottom w:val="nil"/>
              <w:right w:val="nil"/>
            </w:tcBorders>
            <w:shd w:val="clear" w:color="auto" w:fill="auto"/>
            <w:noWrap/>
            <w:vAlign w:val="bottom"/>
            <w:hideMark/>
          </w:tcPr>
          <w:p w14:paraId="176DF9B9"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216 017</w:t>
            </w:r>
          </w:p>
        </w:tc>
        <w:tc>
          <w:tcPr>
            <w:tcW w:w="387" w:type="pct"/>
            <w:tcBorders>
              <w:top w:val="nil"/>
              <w:left w:val="nil"/>
              <w:bottom w:val="nil"/>
              <w:right w:val="nil"/>
            </w:tcBorders>
            <w:shd w:val="clear" w:color="auto" w:fill="auto"/>
            <w:noWrap/>
            <w:vAlign w:val="bottom"/>
            <w:hideMark/>
          </w:tcPr>
          <w:p w14:paraId="7111E8B9"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225 147</w:t>
            </w:r>
          </w:p>
        </w:tc>
        <w:tc>
          <w:tcPr>
            <w:tcW w:w="391" w:type="pct"/>
            <w:tcBorders>
              <w:top w:val="nil"/>
              <w:left w:val="nil"/>
              <w:bottom w:val="nil"/>
              <w:right w:val="nil"/>
            </w:tcBorders>
            <w:shd w:val="clear" w:color="auto" w:fill="auto"/>
            <w:noWrap/>
            <w:vAlign w:val="bottom"/>
            <w:hideMark/>
          </w:tcPr>
          <w:p w14:paraId="5719FC17"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256 280</w:t>
            </w:r>
          </w:p>
        </w:tc>
        <w:tc>
          <w:tcPr>
            <w:tcW w:w="468" w:type="pct"/>
            <w:tcBorders>
              <w:top w:val="nil"/>
              <w:left w:val="nil"/>
              <w:bottom w:val="nil"/>
              <w:right w:val="nil"/>
            </w:tcBorders>
            <w:shd w:val="clear" w:color="auto" w:fill="auto"/>
            <w:noWrap/>
            <w:vAlign w:val="bottom"/>
            <w:hideMark/>
          </w:tcPr>
          <w:p w14:paraId="1AE8D400"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258 626</w:t>
            </w:r>
          </w:p>
        </w:tc>
        <w:tc>
          <w:tcPr>
            <w:tcW w:w="391" w:type="pct"/>
            <w:tcBorders>
              <w:top w:val="nil"/>
              <w:left w:val="nil"/>
              <w:bottom w:val="nil"/>
              <w:right w:val="nil"/>
            </w:tcBorders>
            <w:shd w:val="clear" w:color="auto" w:fill="auto"/>
            <w:noWrap/>
            <w:vAlign w:val="bottom"/>
            <w:hideMark/>
          </w:tcPr>
          <w:p w14:paraId="7119CF13"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279 622</w:t>
            </w:r>
          </w:p>
        </w:tc>
        <w:tc>
          <w:tcPr>
            <w:tcW w:w="391" w:type="pct"/>
            <w:tcBorders>
              <w:top w:val="nil"/>
              <w:left w:val="nil"/>
              <w:bottom w:val="nil"/>
              <w:right w:val="nil"/>
            </w:tcBorders>
            <w:shd w:val="clear" w:color="auto" w:fill="auto"/>
            <w:noWrap/>
            <w:vAlign w:val="bottom"/>
            <w:hideMark/>
          </w:tcPr>
          <w:p w14:paraId="062A0C42"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280 062</w:t>
            </w:r>
          </w:p>
        </w:tc>
        <w:tc>
          <w:tcPr>
            <w:tcW w:w="390" w:type="pct"/>
            <w:tcBorders>
              <w:top w:val="nil"/>
              <w:left w:val="nil"/>
              <w:bottom w:val="nil"/>
              <w:right w:val="nil"/>
            </w:tcBorders>
            <w:shd w:val="clear" w:color="auto" w:fill="auto"/>
            <w:noWrap/>
            <w:vAlign w:val="bottom"/>
            <w:hideMark/>
          </w:tcPr>
          <w:p w14:paraId="1624F94D"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280 062</w:t>
            </w:r>
          </w:p>
        </w:tc>
      </w:tr>
      <w:tr w:rsidR="00DD531B" w:rsidRPr="00DD531B" w14:paraId="34855C95" w14:textId="77777777" w:rsidTr="00463505">
        <w:trPr>
          <w:trHeight w:val="300"/>
        </w:trPr>
        <w:tc>
          <w:tcPr>
            <w:tcW w:w="2188" w:type="pct"/>
            <w:tcBorders>
              <w:top w:val="nil"/>
              <w:left w:val="nil"/>
              <w:bottom w:val="nil"/>
              <w:right w:val="nil"/>
            </w:tcBorders>
            <w:shd w:val="clear" w:color="auto" w:fill="auto"/>
            <w:noWrap/>
            <w:vAlign w:val="bottom"/>
            <w:hideMark/>
          </w:tcPr>
          <w:p w14:paraId="01949A6E"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620 odvody</w:t>
            </w:r>
          </w:p>
        </w:tc>
        <w:tc>
          <w:tcPr>
            <w:tcW w:w="395" w:type="pct"/>
            <w:tcBorders>
              <w:top w:val="nil"/>
              <w:left w:val="nil"/>
              <w:bottom w:val="nil"/>
              <w:right w:val="nil"/>
            </w:tcBorders>
            <w:shd w:val="clear" w:color="auto" w:fill="auto"/>
            <w:noWrap/>
            <w:vAlign w:val="bottom"/>
            <w:hideMark/>
          </w:tcPr>
          <w:p w14:paraId="3CF50CAF"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79 588</w:t>
            </w:r>
          </w:p>
        </w:tc>
        <w:tc>
          <w:tcPr>
            <w:tcW w:w="387" w:type="pct"/>
            <w:tcBorders>
              <w:top w:val="nil"/>
              <w:left w:val="nil"/>
              <w:bottom w:val="nil"/>
              <w:right w:val="nil"/>
            </w:tcBorders>
            <w:shd w:val="clear" w:color="auto" w:fill="auto"/>
            <w:noWrap/>
            <w:vAlign w:val="bottom"/>
            <w:hideMark/>
          </w:tcPr>
          <w:p w14:paraId="1FF45B30"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82 841</w:t>
            </w:r>
          </w:p>
        </w:tc>
        <w:tc>
          <w:tcPr>
            <w:tcW w:w="391" w:type="pct"/>
            <w:tcBorders>
              <w:top w:val="nil"/>
              <w:left w:val="nil"/>
              <w:bottom w:val="nil"/>
              <w:right w:val="nil"/>
            </w:tcBorders>
            <w:shd w:val="clear" w:color="auto" w:fill="auto"/>
            <w:noWrap/>
            <w:vAlign w:val="bottom"/>
            <w:hideMark/>
          </w:tcPr>
          <w:p w14:paraId="7C5AF58F"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93 988</w:t>
            </w:r>
          </w:p>
        </w:tc>
        <w:tc>
          <w:tcPr>
            <w:tcW w:w="468" w:type="pct"/>
            <w:tcBorders>
              <w:top w:val="nil"/>
              <w:left w:val="nil"/>
              <w:bottom w:val="nil"/>
              <w:right w:val="nil"/>
            </w:tcBorders>
            <w:shd w:val="clear" w:color="auto" w:fill="auto"/>
            <w:noWrap/>
            <w:vAlign w:val="bottom"/>
            <w:hideMark/>
          </w:tcPr>
          <w:p w14:paraId="488B66D6"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94 693</w:t>
            </w:r>
          </w:p>
        </w:tc>
        <w:tc>
          <w:tcPr>
            <w:tcW w:w="391" w:type="pct"/>
            <w:tcBorders>
              <w:top w:val="nil"/>
              <w:left w:val="nil"/>
              <w:bottom w:val="nil"/>
              <w:right w:val="nil"/>
            </w:tcBorders>
            <w:shd w:val="clear" w:color="auto" w:fill="auto"/>
            <w:noWrap/>
            <w:vAlign w:val="bottom"/>
            <w:hideMark/>
          </w:tcPr>
          <w:p w14:paraId="26F4EB32"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102 104</w:t>
            </w:r>
          </w:p>
        </w:tc>
        <w:tc>
          <w:tcPr>
            <w:tcW w:w="391" w:type="pct"/>
            <w:tcBorders>
              <w:top w:val="nil"/>
              <w:left w:val="nil"/>
              <w:bottom w:val="nil"/>
              <w:right w:val="nil"/>
            </w:tcBorders>
            <w:shd w:val="clear" w:color="auto" w:fill="auto"/>
            <w:noWrap/>
            <w:vAlign w:val="bottom"/>
            <w:hideMark/>
          </w:tcPr>
          <w:p w14:paraId="1CEFB3A2"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102 273</w:t>
            </w:r>
          </w:p>
        </w:tc>
        <w:tc>
          <w:tcPr>
            <w:tcW w:w="390" w:type="pct"/>
            <w:tcBorders>
              <w:top w:val="nil"/>
              <w:left w:val="nil"/>
              <w:bottom w:val="nil"/>
              <w:right w:val="nil"/>
            </w:tcBorders>
            <w:shd w:val="clear" w:color="auto" w:fill="auto"/>
            <w:noWrap/>
            <w:vAlign w:val="bottom"/>
            <w:hideMark/>
          </w:tcPr>
          <w:p w14:paraId="32CB18DB"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102 284</w:t>
            </w:r>
          </w:p>
        </w:tc>
      </w:tr>
      <w:tr w:rsidR="00DD531B" w:rsidRPr="00DD531B" w14:paraId="5DD7DFE2" w14:textId="77777777" w:rsidTr="00463505">
        <w:trPr>
          <w:trHeight w:val="300"/>
        </w:trPr>
        <w:tc>
          <w:tcPr>
            <w:tcW w:w="2188" w:type="pct"/>
            <w:tcBorders>
              <w:top w:val="nil"/>
              <w:left w:val="nil"/>
              <w:bottom w:val="nil"/>
              <w:right w:val="nil"/>
            </w:tcBorders>
            <w:shd w:val="clear" w:color="auto" w:fill="auto"/>
            <w:noWrap/>
            <w:vAlign w:val="bottom"/>
            <w:hideMark/>
          </w:tcPr>
          <w:p w14:paraId="7B3D7D7E"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630 tovary a služby</w:t>
            </w:r>
          </w:p>
        </w:tc>
        <w:tc>
          <w:tcPr>
            <w:tcW w:w="395" w:type="pct"/>
            <w:tcBorders>
              <w:top w:val="nil"/>
              <w:left w:val="nil"/>
              <w:bottom w:val="nil"/>
              <w:right w:val="nil"/>
            </w:tcBorders>
            <w:shd w:val="clear" w:color="auto" w:fill="auto"/>
            <w:noWrap/>
            <w:vAlign w:val="bottom"/>
            <w:hideMark/>
          </w:tcPr>
          <w:p w14:paraId="010441EA"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153 545</w:t>
            </w:r>
          </w:p>
        </w:tc>
        <w:tc>
          <w:tcPr>
            <w:tcW w:w="387" w:type="pct"/>
            <w:tcBorders>
              <w:top w:val="nil"/>
              <w:left w:val="nil"/>
              <w:bottom w:val="nil"/>
              <w:right w:val="nil"/>
            </w:tcBorders>
            <w:shd w:val="clear" w:color="auto" w:fill="auto"/>
            <w:noWrap/>
            <w:vAlign w:val="bottom"/>
            <w:hideMark/>
          </w:tcPr>
          <w:p w14:paraId="1B615A4B"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166 721</w:t>
            </w:r>
          </w:p>
        </w:tc>
        <w:tc>
          <w:tcPr>
            <w:tcW w:w="391" w:type="pct"/>
            <w:tcBorders>
              <w:top w:val="nil"/>
              <w:left w:val="nil"/>
              <w:bottom w:val="nil"/>
              <w:right w:val="nil"/>
            </w:tcBorders>
            <w:shd w:val="clear" w:color="auto" w:fill="auto"/>
            <w:noWrap/>
            <w:vAlign w:val="bottom"/>
            <w:hideMark/>
          </w:tcPr>
          <w:p w14:paraId="00D1B024"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202 626</w:t>
            </w:r>
          </w:p>
        </w:tc>
        <w:tc>
          <w:tcPr>
            <w:tcW w:w="468" w:type="pct"/>
            <w:tcBorders>
              <w:top w:val="nil"/>
              <w:left w:val="nil"/>
              <w:bottom w:val="nil"/>
              <w:right w:val="nil"/>
            </w:tcBorders>
            <w:shd w:val="clear" w:color="auto" w:fill="auto"/>
            <w:noWrap/>
            <w:vAlign w:val="bottom"/>
            <w:hideMark/>
          </w:tcPr>
          <w:p w14:paraId="075EF93C"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218 639</w:t>
            </w:r>
          </w:p>
        </w:tc>
        <w:tc>
          <w:tcPr>
            <w:tcW w:w="391" w:type="pct"/>
            <w:tcBorders>
              <w:top w:val="nil"/>
              <w:left w:val="nil"/>
              <w:bottom w:val="nil"/>
              <w:right w:val="nil"/>
            </w:tcBorders>
            <w:shd w:val="clear" w:color="auto" w:fill="auto"/>
            <w:noWrap/>
            <w:vAlign w:val="bottom"/>
            <w:hideMark/>
          </w:tcPr>
          <w:p w14:paraId="618C2BB4"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195 573</w:t>
            </w:r>
          </w:p>
        </w:tc>
        <w:tc>
          <w:tcPr>
            <w:tcW w:w="391" w:type="pct"/>
            <w:tcBorders>
              <w:top w:val="nil"/>
              <w:left w:val="nil"/>
              <w:bottom w:val="nil"/>
              <w:right w:val="nil"/>
            </w:tcBorders>
            <w:shd w:val="clear" w:color="auto" w:fill="auto"/>
            <w:noWrap/>
            <w:vAlign w:val="bottom"/>
            <w:hideMark/>
          </w:tcPr>
          <w:p w14:paraId="59758F3A"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196 389</w:t>
            </w:r>
          </w:p>
        </w:tc>
        <w:tc>
          <w:tcPr>
            <w:tcW w:w="390" w:type="pct"/>
            <w:tcBorders>
              <w:top w:val="nil"/>
              <w:left w:val="nil"/>
              <w:bottom w:val="nil"/>
              <w:right w:val="nil"/>
            </w:tcBorders>
            <w:shd w:val="clear" w:color="auto" w:fill="auto"/>
            <w:noWrap/>
            <w:vAlign w:val="bottom"/>
            <w:hideMark/>
          </w:tcPr>
          <w:p w14:paraId="0E04810F"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197 852</w:t>
            </w:r>
          </w:p>
        </w:tc>
      </w:tr>
      <w:tr w:rsidR="00DD531B" w:rsidRPr="00DD531B" w14:paraId="06A8ED73" w14:textId="77777777" w:rsidTr="00463505">
        <w:trPr>
          <w:trHeight w:val="300"/>
        </w:trPr>
        <w:tc>
          <w:tcPr>
            <w:tcW w:w="2188" w:type="pct"/>
            <w:tcBorders>
              <w:top w:val="nil"/>
              <w:left w:val="nil"/>
              <w:bottom w:val="nil"/>
              <w:right w:val="nil"/>
            </w:tcBorders>
            <w:shd w:val="clear" w:color="auto" w:fill="auto"/>
            <w:noWrap/>
            <w:vAlign w:val="bottom"/>
            <w:hideMark/>
          </w:tcPr>
          <w:p w14:paraId="3DB4CD39"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640 bežné transfery</w:t>
            </w:r>
          </w:p>
        </w:tc>
        <w:tc>
          <w:tcPr>
            <w:tcW w:w="395" w:type="pct"/>
            <w:tcBorders>
              <w:top w:val="nil"/>
              <w:left w:val="nil"/>
              <w:bottom w:val="nil"/>
              <w:right w:val="nil"/>
            </w:tcBorders>
            <w:shd w:val="clear" w:color="auto" w:fill="auto"/>
            <w:noWrap/>
            <w:vAlign w:val="bottom"/>
            <w:hideMark/>
          </w:tcPr>
          <w:p w14:paraId="5C31E1AA"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289 915</w:t>
            </w:r>
          </w:p>
        </w:tc>
        <w:tc>
          <w:tcPr>
            <w:tcW w:w="387" w:type="pct"/>
            <w:tcBorders>
              <w:top w:val="nil"/>
              <w:left w:val="nil"/>
              <w:bottom w:val="nil"/>
              <w:right w:val="nil"/>
            </w:tcBorders>
            <w:shd w:val="clear" w:color="auto" w:fill="auto"/>
            <w:noWrap/>
            <w:vAlign w:val="bottom"/>
            <w:hideMark/>
          </w:tcPr>
          <w:p w14:paraId="00AB2E6C"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22 323</w:t>
            </w:r>
          </w:p>
        </w:tc>
        <w:tc>
          <w:tcPr>
            <w:tcW w:w="391" w:type="pct"/>
            <w:tcBorders>
              <w:top w:val="nil"/>
              <w:left w:val="nil"/>
              <w:bottom w:val="nil"/>
              <w:right w:val="nil"/>
            </w:tcBorders>
            <w:shd w:val="clear" w:color="auto" w:fill="auto"/>
            <w:noWrap/>
            <w:vAlign w:val="bottom"/>
            <w:hideMark/>
          </w:tcPr>
          <w:p w14:paraId="42209BC8"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36 557</w:t>
            </w:r>
          </w:p>
        </w:tc>
        <w:tc>
          <w:tcPr>
            <w:tcW w:w="468" w:type="pct"/>
            <w:tcBorders>
              <w:top w:val="nil"/>
              <w:left w:val="nil"/>
              <w:bottom w:val="nil"/>
              <w:right w:val="nil"/>
            </w:tcBorders>
            <w:shd w:val="clear" w:color="auto" w:fill="auto"/>
            <w:noWrap/>
            <w:vAlign w:val="bottom"/>
            <w:hideMark/>
          </w:tcPr>
          <w:p w14:paraId="78052A7C"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37 171</w:t>
            </w:r>
          </w:p>
        </w:tc>
        <w:tc>
          <w:tcPr>
            <w:tcW w:w="391" w:type="pct"/>
            <w:tcBorders>
              <w:top w:val="nil"/>
              <w:left w:val="nil"/>
              <w:bottom w:val="nil"/>
              <w:right w:val="nil"/>
            </w:tcBorders>
            <w:shd w:val="clear" w:color="auto" w:fill="auto"/>
            <w:noWrap/>
            <w:vAlign w:val="bottom"/>
            <w:hideMark/>
          </w:tcPr>
          <w:p w14:paraId="793BD2C0"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39 035</w:t>
            </w:r>
          </w:p>
        </w:tc>
        <w:tc>
          <w:tcPr>
            <w:tcW w:w="391" w:type="pct"/>
            <w:tcBorders>
              <w:top w:val="nil"/>
              <w:left w:val="nil"/>
              <w:bottom w:val="nil"/>
              <w:right w:val="nil"/>
            </w:tcBorders>
            <w:shd w:val="clear" w:color="auto" w:fill="auto"/>
            <w:noWrap/>
            <w:vAlign w:val="bottom"/>
            <w:hideMark/>
          </w:tcPr>
          <w:p w14:paraId="07110BC3"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39 190</w:t>
            </w:r>
          </w:p>
        </w:tc>
        <w:tc>
          <w:tcPr>
            <w:tcW w:w="390" w:type="pct"/>
            <w:tcBorders>
              <w:top w:val="nil"/>
              <w:left w:val="nil"/>
              <w:bottom w:val="nil"/>
              <w:right w:val="nil"/>
            </w:tcBorders>
            <w:shd w:val="clear" w:color="auto" w:fill="auto"/>
            <w:noWrap/>
            <w:vAlign w:val="bottom"/>
            <w:hideMark/>
          </w:tcPr>
          <w:p w14:paraId="33FCDCA1"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39 394</w:t>
            </w:r>
          </w:p>
        </w:tc>
      </w:tr>
      <w:tr w:rsidR="00DD531B" w:rsidRPr="00DD531B" w14:paraId="6BC73B97" w14:textId="77777777" w:rsidTr="00463505">
        <w:trPr>
          <w:trHeight w:val="300"/>
        </w:trPr>
        <w:tc>
          <w:tcPr>
            <w:tcW w:w="2188" w:type="pct"/>
            <w:tcBorders>
              <w:top w:val="nil"/>
              <w:left w:val="nil"/>
              <w:bottom w:val="nil"/>
              <w:right w:val="nil"/>
            </w:tcBorders>
            <w:shd w:val="clear" w:color="auto" w:fill="auto"/>
            <w:noWrap/>
            <w:vAlign w:val="bottom"/>
            <w:hideMark/>
          </w:tcPr>
          <w:p w14:paraId="19AA09E7"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kapitálové výdavky 700</w:t>
            </w:r>
          </w:p>
        </w:tc>
        <w:tc>
          <w:tcPr>
            <w:tcW w:w="395" w:type="pct"/>
            <w:tcBorders>
              <w:top w:val="nil"/>
              <w:left w:val="nil"/>
              <w:bottom w:val="nil"/>
              <w:right w:val="nil"/>
            </w:tcBorders>
            <w:shd w:val="clear" w:color="auto" w:fill="auto"/>
            <w:noWrap/>
            <w:vAlign w:val="bottom"/>
            <w:hideMark/>
          </w:tcPr>
          <w:p w14:paraId="2B4AB471"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8 901</w:t>
            </w:r>
          </w:p>
        </w:tc>
        <w:tc>
          <w:tcPr>
            <w:tcW w:w="387" w:type="pct"/>
            <w:tcBorders>
              <w:top w:val="nil"/>
              <w:left w:val="nil"/>
              <w:bottom w:val="nil"/>
              <w:right w:val="nil"/>
            </w:tcBorders>
            <w:shd w:val="clear" w:color="auto" w:fill="auto"/>
            <w:noWrap/>
            <w:vAlign w:val="bottom"/>
            <w:hideMark/>
          </w:tcPr>
          <w:p w14:paraId="6BF91E80"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13 569</w:t>
            </w:r>
          </w:p>
        </w:tc>
        <w:tc>
          <w:tcPr>
            <w:tcW w:w="391" w:type="pct"/>
            <w:tcBorders>
              <w:top w:val="nil"/>
              <w:left w:val="nil"/>
              <w:bottom w:val="nil"/>
              <w:right w:val="nil"/>
            </w:tcBorders>
            <w:shd w:val="clear" w:color="auto" w:fill="auto"/>
            <w:noWrap/>
            <w:vAlign w:val="bottom"/>
            <w:hideMark/>
          </w:tcPr>
          <w:p w14:paraId="4F141154"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26 130</w:t>
            </w:r>
          </w:p>
        </w:tc>
        <w:tc>
          <w:tcPr>
            <w:tcW w:w="468" w:type="pct"/>
            <w:tcBorders>
              <w:top w:val="nil"/>
              <w:left w:val="nil"/>
              <w:bottom w:val="nil"/>
              <w:right w:val="nil"/>
            </w:tcBorders>
            <w:shd w:val="clear" w:color="auto" w:fill="auto"/>
            <w:noWrap/>
            <w:vAlign w:val="bottom"/>
            <w:hideMark/>
          </w:tcPr>
          <w:p w14:paraId="4FE9B508"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31 009</w:t>
            </w:r>
          </w:p>
        </w:tc>
        <w:tc>
          <w:tcPr>
            <w:tcW w:w="391" w:type="pct"/>
            <w:tcBorders>
              <w:top w:val="nil"/>
              <w:left w:val="nil"/>
              <w:bottom w:val="nil"/>
              <w:right w:val="nil"/>
            </w:tcBorders>
            <w:shd w:val="clear" w:color="auto" w:fill="auto"/>
            <w:noWrap/>
            <w:vAlign w:val="bottom"/>
            <w:hideMark/>
          </w:tcPr>
          <w:p w14:paraId="53D2D4DD"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66 431</w:t>
            </w:r>
          </w:p>
        </w:tc>
        <w:tc>
          <w:tcPr>
            <w:tcW w:w="391" w:type="pct"/>
            <w:tcBorders>
              <w:top w:val="nil"/>
              <w:left w:val="nil"/>
              <w:bottom w:val="nil"/>
              <w:right w:val="nil"/>
            </w:tcBorders>
            <w:shd w:val="clear" w:color="auto" w:fill="auto"/>
            <w:noWrap/>
            <w:vAlign w:val="bottom"/>
            <w:hideMark/>
          </w:tcPr>
          <w:p w14:paraId="5A3CFDC5"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73 809</w:t>
            </w:r>
          </w:p>
        </w:tc>
        <w:tc>
          <w:tcPr>
            <w:tcW w:w="390" w:type="pct"/>
            <w:tcBorders>
              <w:top w:val="nil"/>
              <w:left w:val="nil"/>
              <w:bottom w:val="nil"/>
              <w:right w:val="nil"/>
            </w:tcBorders>
            <w:shd w:val="clear" w:color="auto" w:fill="auto"/>
            <w:noWrap/>
            <w:vAlign w:val="bottom"/>
            <w:hideMark/>
          </w:tcPr>
          <w:p w14:paraId="70E06673"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56 770</w:t>
            </w:r>
          </w:p>
        </w:tc>
      </w:tr>
      <w:tr w:rsidR="00DD531B" w:rsidRPr="00DD531B" w14:paraId="3EC3397D" w14:textId="77777777" w:rsidTr="00463505">
        <w:trPr>
          <w:trHeight w:val="300"/>
        </w:trPr>
        <w:tc>
          <w:tcPr>
            <w:tcW w:w="2188" w:type="pct"/>
            <w:tcBorders>
              <w:top w:val="nil"/>
              <w:left w:val="nil"/>
              <w:bottom w:val="nil"/>
              <w:right w:val="nil"/>
            </w:tcBorders>
            <w:shd w:val="clear" w:color="auto" w:fill="auto"/>
            <w:vAlign w:val="bottom"/>
            <w:hideMark/>
          </w:tcPr>
          <w:p w14:paraId="55460CC3" w14:textId="77777777" w:rsidR="00DD531B" w:rsidRPr="00463505" w:rsidRDefault="00DD531B" w:rsidP="00DD531B">
            <w:pPr>
              <w:spacing w:after="0" w:line="240" w:lineRule="auto"/>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zdroj EÚ vrátane spolufinancovania zo ŠR, v tom:</w:t>
            </w:r>
          </w:p>
        </w:tc>
        <w:tc>
          <w:tcPr>
            <w:tcW w:w="395" w:type="pct"/>
            <w:tcBorders>
              <w:top w:val="nil"/>
              <w:left w:val="nil"/>
              <w:bottom w:val="nil"/>
              <w:right w:val="nil"/>
            </w:tcBorders>
            <w:shd w:val="clear" w:color="auto" w:fill="auto"/>
            <w:noWrap/>
            <w:vAlign w:val="bottom"/>
            <w:hideMark/>
          </w:tcPr>
          <w:p w14:paraId="7B6466E2"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3 438</w:t>
            </w:r>
          </w:p>
        </w:tc>
        <w:tc>
          <w:tcPr>
            <w:tcW w:w="387" w:type="pct"/>
            <w:tcBorders>
              <w:top w:val="nil"/>
              <w:left w:val="nil"/>
              <w:bottom w:val="nil"/>
              <w:right w:val="nil"/>
            </w:tcBorders>
            <w:shd w:val="clear" w:color="auto" w:fill="auto"/>
            <w:noWrap/>
            <w:vAlign w:val="bottom"/>
            <w:hideMark/>
          </w:tcPr>
          <w:p w14:paraId="55CBE855"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2 315</w:t>
            </w:r>
          </w:p>
        </w:tc>
        <w:tc>
          <w:tcPr>
            <w:tcW w:w="391" w:type="pct"/>
            <w:tcBorders>
              <w:top w:val="nil"/>
              <w:left w:val="nil"/>
              <w:bottom w:val="nil"/>
              <w:right w:val="nil"/>
            </w:tcBorders>
            <w:shd w:val="clear" w:color="auto" w:fill="auto"/>
            <w:noWrap/>
            <w:vAlign w:val="bottom"/>
            <w:hideMark/>
          </w:tcPr>
          <w:p w14:paraId="0A9CE504"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0</w:t>
            </w:r>
          </w:p>
        </w:tc>
        <w:tc>
          <w:tcPr>
            <w:tcW w:w="468" w:type="pct"/>
            <w:tcBorders>
              <w:top w:val="nil"/>
              <w:left w:val="nil"/>
              <w:bottom w:val="nil"/>
              <w:right w:val="nil"/>
            </w:tcBorders>
            <w:shd w:val="clear" w:color="auto" w:fill="auto"/>
            <w:noWrap/>
            <w:vAlign w:val="bottom"/>
            <w:hideMark/>
          </w:tcPr>
          <w:p w14:paraId="400A7FA7"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20 286</w:t>
            </w:r>
          </w:p>
        </w:tc>
        <w:tc>
          <w:tcPr>
            <w:tcW w:w="391" w:type="pct"/>
            <w:tcBorders>
              <w:top w:val="nil"/>
              <w:left w:val="nil"/>
              <w:bottom w:val="nil"/>
              <w:right w:val="nil"/>
            </w:tcBorders>
            <w:shd w:val="clear" w:color="auto" w:fill="auto"/>
            <w:noWrap/>
            <w:vAlign w:val="bottom"/>
            <w:hideMark/>
          </w:tcPr>
          <w:p w14:paraId="6DD00228"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0</w:t>
            </w:r>
          </w:p>
        </w:tc>
        <w:tc>
          <w:tcPr>
            <w:tcW w:w="391" w:type="pct"/>
            <w:tcBorders>
              <w:top w:val="nil"/>
              <w:left w:val="nil"/>
              <w:bottom w:val="nil"/>
              <w:right w:val="nil"/>
            </w:tcBorders>
            <w:shd w:val="clear" w:color="auto" w:fill="auto"/>
            <w:noWrap/>
            <w:vAlign w:val="bottom"/>
            <w:hideMark/>
          </w:tcPr>
          <w:p w14:paraId="5FEFA63A"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0</w:t>
            </w:r>
          </w:p>
        </w:tc>
        <w:tc>
          <w:tcPr>
            <w:tcW w:w="390" w:type="pct"/>
            <w:tcBorders>
              <w:top w:val="nil"/>
              <w:left w:val="nil"/>
              <w:bottom w:val="nil"/>
              <w:right w:val="nil"/>
            </w:tcBorders>
            <w:shd w:val="clear" w:color="auto" w:fill="auto"/>
            <w:noWrap/>
            <w:vAlign w:val="bottom"/>
            <w:hideMark/>
          </w:tcPr>
          <w:p w14:paraId="07C8D5EA"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0</w:t>
            </w:r>
          </w:p>
        </w:tc>
      </w:tr>
      <w:tr w:rsidR="00DD531B" w:rsidRPr="00DD531B" w14:paraId="6D3B8528" w14:textId="77777777" w:rsidTr="00463505">
        <w:trPr>
          <w:trHeight w:val="300"/>
        </w:trPr>
        <w:tc>
          <w:tcPr>
            <w:tcW w:w="2188" w:type="pct"/>
            <w:tcBorders>
              <w:top w:val="nil"/>
              <w:left w:val="nil"/>
              <w:bottom w:val="nil"/>
              <w:right w:val="nil"/>
            </w:tcBorders>
            <w:shd w:val="clear" w:color="auto" w:fill="auto"/>
            <w:noWrap/>
            <w:vAlign w:val="bottom"/>
            <w:hideMark/>
          </w:tcPr>
          <w:p w14:paraId="62815530"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prostriedky EÚ</w:t>
            </w:r>
          </w:p>
        </w:tc>
        <w:tc>
          <w:tcPr>
            <w:tcW w:w="395" w:type="pct"/>
            <w:tcBorders>
              <w:top w:val="nil"/>
              <w:left w:val="nil"/>
              <w:bottom w:val="nil"/>
              <w:right w:val="nil"/>
            </w:tcBorders>
            <w:shd w:val="clear" w:color="auto" w:fill="auto"/>
            <w:noWrap/>
            <w:vAlign w:val="bottom"/>
            <w:hideMark/>
          </w:tcPr>
          <w:p w14:paraId="16ADF80B"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2 898</w:t>
            </w:r>
          </w:p>
        </w:tc>
        <w:tc>
          <w:tcPr>
            <w:tcW w:w="387" w:type="pct"/>
            <w:tcBorders>
              <w:top w:val="nil"/>
              <w:left w:val="nil"/>
              <w:bottom w:val="nil"/>
              <w:right w:val="nil"/>
            </w:tcBorders>
            <w:shd w:val="clear" w:color="auto" w:fill="auto"/>
            <w:noWrap/>
            <w:vAlign w:val="bottom"/>
            <w:hideMark/>
          </w:tcPr>
          <w:p w14:paraId="2B117D2A"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1 948</w:t>
            </w:r>
          </w:p>
        </w:tc>
        <w:tc>
          <w:tcPr>
            <w:tcW w:w="391" w:type="pct"/>
            <w:tcBorders>
              <w:top w:val="nil"/>
              <w:left w:val="nil"/>
              <w:bottom w:val="nil"/>
              <w:right w:val="nil"/>
            </w:tcBorders>
            <w:shd w:val="clear" w:color="auto" w:fill="auto"/>
            <w:noWrap/>
            <w:vAlign w:val="bottom"/>
            <w:hideMark/>
          </w:tcPr>
          <w:p w14:paraId="58FB6C74"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0</w:t>
            </w:r>
          </w:p>
        </w:tc>
        <w:tc>
          <w:tcPr>
            <w:tcW w:w="468" w:type="pct"/>
            <w:tcBorders>
              <w:top w:val="nil"/>
              <w:left w:val="nil"/>
              <w:bottom w:val="nil"/>
              <w:right w:val="nil"/>
            </w:tcBorders>
            <w:shd w:val="clear" w:color="auto" w:fill="auto"/>
            <w:noWrap/>
            <w:vAlign w:val="bottom"/>
            <w:hideMark/>
          </w:tcPr>
          <w:p w14:paraId="407C80D2"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20 130</w:t>
            </w:r>
          </w:p>
        </w:tc>
        <w:tc>
          <w:tcPr>
            <w:tcW w:w="391" w:type="pct"/>
            <w:tcBorders>
              <w:top w:val="nil"/>
              <w:left w:val="nil"/>
              <w:bottom w:val="nil"/>
              <w:right w:val="nil"/>
            </w:tcBorders>
            <w:shd w:val="clear" w:color="auto" w:fill="auto"/>
            <w:noWrap/>
            <w:vAlign w:val="bottom"/>
            <w:hideMark/>
          </w:tcPr>
          <w:p w14:paraId="0366DA99"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0</w:t>
            </w:r>
          </w:p>
        </w:tc>
        <w:tc>
          <w:tcPr>
            <w:tcW w:w="391" w:type="pct"/>
            <w:tcBorders>
              <w:top w:val="nil"/>
              <w:left w:val="nil"/>
              <w:bottom w:val="nil"/>
              <w:right w:val="nil"/>
            </w:tcBorders>
            <w:shd w:val="clear" w:color="auto" w:fill="auto"/>
            <w:noWrap/>
            <w:vAlign w:val="bottom"/>
            <w:hideMark/>
          </w:tcPr>
          <w:p w14:paraId="1BDCDF0D"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0</w:t>
            </w:r>
          </w:p>
        </w:tc>
        <w:tc>
          <w:tcPr>
            <w:tcW w:w="390" w:type="pct"/>
            <w:tcBorders>
              <w:top w:val="nil"/>
              <w:left w:val="nil"/>
              <w:bottom w:val="nil"/>
              <w:right w:val="nil"/>
            </w:tcBorders>
            <w:shd w:val="clear" w:color="auto" w:fill="auto"/>
            <w:noWrap/>
            <w:vAlign w:val="bottom"/>
            <w:hideMark/>
          </w:tcPr>
          <w:p w14:paraId="0365A36F"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0</w:t>
            </w:r>
          </w:p>
        </w:tc>
      </w:tr>
      <w:tr w:rsidR="00DD531B" w:rsidRPr="00DD531B" w14:paraId="61C75448" w14:textId="77777777" w:rsidTr="00463505">
        <w:trPr>
          <w:trHeight w:val="300"/>
        </w:trPr>
        <w:tc>
          <w:tcPr>
            <w:tcW w:w="2188" w:type="pct"/>
            <w:tcBorders>
              <w:top w:val="nil"/>
              <w:left w:val="nil"/>
              <w:bottom w:val="nil"/>
              <w:right w:val="nil"/>
            </w:tcBorders>
            <w:shd w:val="clear" w:color="auto" w:fill="auto"/>
            <w:noWrap/>
            <w:vAlign w:val="bottom"/>
            <w:hideMark/>
          </w:tcPr>
          <w:p w14:paraId="1F703357"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spolufinancovanie zo ŠR</w:t>
            </w:r>
          </w:p>
        </w:tc>
        <w:tc>
          <w:tcPr>
            <w:tcW w:w="395" w:type="pct"/>
            <w:tcBorders>
              <w:top w:val="nil"/>
              <w:left w:val="nil"/>
              <w:bottom w:val="nil"/>
              <w:right w:val="nil"/>
            </w:tcBorders>
            <w:shd w:val="clear" w:color="auto" w:fill="auto"/>
            <w:noWrap/>
            <w:vAlign w:val="bottom"/>
            <w:hideMark/>
          </w:tcPr>
          <w:p w14:paraId="2E6E41FC"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540</w:t>
            </w:r>
          </w:p>
        </w:tc>
        <w:tc>
          <w:tcPr>
            <w:tcW w:w="387" w:type="pct"/>
            <w:tcBorders>
              <w:top w:val="nil"/>
              <w:left w:val="nil"/>
              <w:bottom w:val="nil"/>
              <w:right w:val="nil"/>
            </w:tcBorders>
            <w:shd w:val="clear" w:color="auto" w:fill="auto"/>
            <w:noWrap/>
            <w:vAlign w:val="bottom"/>
            <w:hideMark/>
          </w:tcPr>
          <w:p w14:paraId="56E62EEC"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367</w:t>
            </w:r>
          </w:p>
        </w:tc>
        <w:tc>
          <w:tcPr>
            <w:tcW w:w="391" w:type="pct"/>
            <w:tcBorders>
              <w:top w:val="nil"/>
              <w:left w:val="nil"/>
              <w:bottom w:val="nil"/>
              <w:right w:val="nil"/>
            </w:tcBorders>
            <w:shd w:val="clear" w:color="auto" w:fill="auto"/>
            <w:noWrap/>
            <w:vAlign w:val="bottom"/>
            <w:hideMark/>
          </w:tcPr>
          <w:p w14:paraId="57A2ED6C"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0</w:t>
            </w:r>
          </w:p>
        </w:tc>
        <w:tc>
          <w:tcPr>
            <w:tcW w:w="468" w:type="pct"/>
            <w:tcBorders>
              <w:top w:val="nil"/>
              <w:left w:val="nil"/>
              <w:bottom w:val="nil"/>
              <w:right w:val="nil"/>
            </w:tcBorders>
            <w:shd w:val="clear" w:color="auto" w:fill="auto"/>
            <w:noWrap/>
            <w:vAlign w:val="bottom"/>
            <w:hideMark/>
          </w:tcPr>
          <w:p w14:paraId="207B3256"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156</w:t>
            </w:r>
          </w:p>
        </w:tc>
        <w:tc>
          <w:tcPr>
            <w:tcW w:w="391" w:type="pct"/>
            <w:tcBorders>
              <w:top w:val="nil"/>
              <w:left w:val="nil"/>
              <w:bottom w:val="nil"/>
              <w:right w:val="nil"/>
            </w:tcBorders>
            <w:shd w:val="clear" w:color="auto" w:fill="auto"/>
            <w:noWrap/>
            <w:vAlign w:val="bottom"/>
            <w:hideMark/>
          </w:tcPr>
          <w:p w14:paraId="3146C883"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0</w:t>
            </w:r>
          </w:p>
        </w:tc>
        <w:tc>
          <w:tcPr>
            <w:tcW w:w="391" w:type="pct"/>
            <w:tcBorders>
              <w:top w:val="nil"/>
              <w:left w:val="nil"/>
              <w:bottom w:val="nil"/>
              <w:right w:val="nil"/>
            </w:tcBorders>
            <w:shd w:val="clear" w:color="auto" w:fill="auto"/>
            <w:noWrap/>
            <w:vAlign w:val="bottom"/>
            <w:hideMark/>
          </w:tcPr>
          <w:p w14:paraId="03871712"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0</w:t>
            </w:r>
          </w:p>
        </w:tc>
        <w:tc>
          <w:tcPr>
            <w:tcW w:w="390" w:type="pct"/>
            <w:tcBorders>
              <w:top w:val="nil"/>
              <w:left w:val="nil"/>
              <w:bottom w:val="nil"/>
              <w:right w:val="nil"/>
            </w:tcBorders>
            <w:shd w:val="clear" w:color="auto" w:fill="auto"/>
            <w:noWrap/>
            <w:vAlign w:val="bottom"/>
            <w:hideMark/>
          </w:tcPr>
          <w:p w14:paraId="708CB9F8"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0</w:t>
            </w:r>
          </w:p>
        </w:tc>
      </w:tr>
      <w:tr w:rsidR="00DD531B" w:rsidRPr="00DD531B" w14:paraId="331A92E7" w14:textId="77777777" w:rsidTr="00463505">
        <w:trPr>
          <w:trHeight w:val="300"/>
        </w:trPr>
        <w:tc>
          <w:tcPr>
            <w:tcW w:w="2188" w:type="pct"/>
            <w:tcBorders>
              <w:top w:val="nil"/>
              <w:left w:val="nil"/>
              <w:bottom w:val="nil"/>
              <w:right w:val="nil"/>
            </w:tcBorders>
            <w:shd w:val="clear" w:color="auto" w:fill="auto"/>
            <w:vAlign w:val="center"/>
            <w:hideMark/>
          </w:tcPr>
          <w:p w14:paraId="36F92B4B" w14:textId="77777777" w:rsidR="00DD531B" w:rsidRPr="00463505" w:rsidRDefault="00DD531B" w:rsidP="00DD531B">
            <w:pPr>
              <w:spacing w:after="0" w:line="240" w:lineRule="auto"/>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zdroj Plán obnovy a odolnosti , v tom:</w:t>
            </w:r>
          </w:p>
        </w:tc>
        <w:tc>
          <w:tcPr>
            <w:tcW w:w="395" w:type="pct"/>
            <w:tcBorders>
              <w:top w:val="nil"/>
              <w:left w:val="nil"/>
              <w:bottom w:val="nil"/>
              <w:right w:val="nil"/>
            </w:tcBorders>
            <w:shd w:val="clear" w:color="auto" w:fill="auto"/>
            <w:noWrap/>
            <w:vAlign w:val="bottom"/>
            <w:hideMark/>
          </w:tcPr>
          <w:p w14:paraId="0FFEAD9F"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0</w:t>
            </w:r>
          </w:p>
        </w:tc>
        <w:tc>
          <w:tcPr>
            <w:tcW w:w="387" w:type="pct"/>
            <w:tcBorders>
              <w:top w:val="nil"/>
              <w:left w:val="nil"/>
              <w:bottom w:val="nil"/>
              <w:right w:val="nil"/>
            </w:tcBorders>
            <w:shd w:val="clear" w:color="auto" w:fill="auto"/>
            <w:noWrap/>
            <w:vAlign w:val="bottom"/>
            <w:hideMark/>
          </w:tcPr>
          <w:p w14:paraId="38576A47"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0</w:t>
            </w:r>
          </w:p>
        </w:tc>
        <w:tc>
          <w:tcPr>
            <w:tcW w:w="391" w:type="pct"/>
            <w:tcBorders>
              <w:top w:val="nil"/>
              <w:left w:val="nil"/>
              <w:bottom w:val="nil"/>
              <w:right w:val="nil"/>
            </w:tcBorders>
            <w:shd w:val="clear" w:color="auto" w:fill="auto"/>
            <w:noWrap/>
            <w:vAlign w:val="bottom"/>
            <w:hideMark/>
          </w:tcPr>
          <w:p w14:paraId="0C950481"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0</w:t>
            </w:r>
          </w:p>
        </w:tc>
        <w:tc>
          <w:tcPr>
            <w:tcW w:w="468" w:type="pct"/>
            <w:tcBorders>
              <w:top w:val="nil"/>
              <w:left w:val="nil"/>
              <w:bottom w:val="nil"/>
              <w:right w:val="nil"/>
            </w:tcBorders>
            <w:shd w:val="clear" w:color="auto" w:fill="auto"/>
            <w:noWrap/>
            <w:vAlign w:val="bottom"/>
            <w:hideMark/>
          </w:tcPr>
          <w:p w14:paraId="4BDA931E"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0</w:t>
            </w:r>
          </w:p>
        </w:tc>
        <w:tc>
          <w:tcPr>
            <w:tcW w:w="391" w:type="pct"/>
            <w:tcBorders>
              <w:top w:val="nil"/>
              <w:left w:val="nil"/>
              <w:bottom w:val="nil"/>
              <w:right w:val="nil"/>
            </w:tcBorders>
            <w:shd w:val="clear" w:color="auto" w:fill="auto"/>
            <w:noWrap/>
            <w:vAlign w:val="bottom"/>
            <w:hideMark/>
          </w:tcPr>
          <w:p w14:paraId="1B4ABFF7"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1 559</w:t>
            </w:r>
          </w:p>
        </w:tc>
        <w:tc>
          <w:tcPr>
            <w:tcW w:w="391" w:type="pct"/>
            <w:tcBorders>
              <w:top w:val="nil"/>
              <w:left w:val="nil"/>
              <w:bottom w:val="nil"/>
              <w:right w:val="nil"/>
            </w:tcBorders>
            <w:shd w:val="clear" w:color="auto" w:fill="auto"/>
            <w:noWrap/>
            <w:vAlign w:val="bottom"/>
            <w:hideMark/>
          </w:tcPr>
          <w:p w14:paraId="1DB326F2"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1 550</w:t>
            </w:r>
          </w:p>
        </w:tc>
        <w:tc>
          <w:tcPr>
            <w:tcW w:w="390" w:type="pct"/>
            <w:tcBorders>
              <w:top w:val="nil"/>
              <w:left w:val="nil"/>
              <w:bottom w:val="nil"/>
              <w:right w:val="nil"/>
            </w:tcBorders>
            <w:shd w:val="clear" w:color="auto" w:fill="auto"/>
            <w:noWrap/>
            <w:vAlign w:val="bottom"/>
            <w:hideMark/>
          </w:tcPr>
          <w:p w14:paraId="7CE9DEF0"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1 591</w:t>
            </w:r>
          </w:p>
        </w:tc>
      </w:tr>
      <w:tr w:rsidR="00DD531B" w:rsidRPr="00DD531B" w14:paraId="7E05A1BE" w14:textId="77777777" w:rsidTr="00463505">
        <w:trPr>
          <w:trHeight w:val="300"/>
        </w:trPr>
        <w:tc>
          <w:tcPr>
            <w:tcW w:w="2188" w:type="pct"/>
            <w:tcBorders>
              <w:top w:val="nil"/>
              <w:left w:val="nil"/>
              <w:bottom w:val="nil"/>
              <w:right w:val="nil"/>
            </w:tcBorders>
            <w:shd w:val="clear" w:color="auto" w:fill="auto"/>
            <w:noWrap/>
            <w:vAlign w:val="bottom"/>
            <w:hideMark/>
          </w:tcPr>
          <w:p w14:paraId="1D82692F"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prostriedky POO</w:t>
            </w:r>
          </w:p>
        </w:tc>
        <w:tc>
          <w:tcPr>
            <w:tcW w:w="395" w:type="pct"/>
            <w:tcBorders>
              <w:top w:val="nil"/>
              <w:left w:val="nil"/>
              <w:bottom w:val="nil"/>
              <w:right w:val="nil"/>
            </w:tcBorders>
            <w:shd w:val="clear" w:color="auto" w:fill="auto"/>
            <w:noWrap/>
            <w:vAlign w:val="bottom"/>
            <w:hideMark/>
          </w:tcPr>
          <w:p w14:paraId="2F09EB92"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45 250</w:t>
            </w:r>
          </w:p>
        </w:tc>
        <w:tc>
          <w:tcPr>
            <w:tcW w:w="387" w:type="pct"/>
            <w:tcBorders>
              <w:top w:val="nil"/>
              <w:left w:val="nil"/>
              <w:bottom w:val="nil"/>
              <w:right w:val="nil"/>
            </w:tcBorders>
            <w:shd w:val="clear" w:color="auto" w:fill="auto"/>
            <w:noWrap/>
            <w:vAlign w:val="bottom"/>
            <w:hideMark/>
          </w:tcPr>
          <w:p w14:paraId="2A9EFC0F"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77 746</w:t>
            </w:r>
          </w:p>
        </w:tc>
        <w:tc>
          <w:tcPr>
            <w:tcW w:w="391" w:type="pct"/>
            <w:tcBorders>
              <w:top w:val="nil"/>
              <w:left w:val="nil"/>
              <w:bottom w:val="nil"/>
              <w:right w:val="nil"/>
            </w:tcBorders>
            <w:shd w:val="clear" w:color="auto" w:fill="auto"/>
            <w:noWrap/>
            <w:vAlign w:val="bottom"/>
            <w:hideMark/>
          </w:tcPr>
          <w:p w14:paraId="303891E2"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0</w:t>
            </w:r>
          </w:p>
        </w:tc>
        <w:tc>
          <w:tcPr>
            <w:tcW w:w="468" w:type="pct"/>
            <w:tcBorders>
              <w:top w:val="nil"/>
              <w:left w:val="nil"/>
              <w:bottom w:val="nil"/>
              <w:right w:val="nil"/>
            </w:tcBorders>
            <w:shd w:val="clear" w:color="auto" w:fill="auto"/>
            <w:noWrap/>
            <w:vAlign w:val="bottom"/>
            <w:hideMark/>
          </w:tcPr>
          <w:p w14:paraId="05415B0E"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5 443</w:t>
            </w:r>
          </w:p>
        </w:tc>
        <w:tc>
          <w:tcPr>
            <w:tcW w:w="391" w:type="pct"/>
            <w:tcBorders>
              <w:top w:val="nil"/>
              <w:left w:val="nil"/>
              <w:bottom w:val="nil"/>
              <w:right w:val="nil"/>
            </w:tcBorders>
            <w:shd w:val="clear" w:color="auto" w:fill="auto"/>
            <w:noWrap/>
            <w:vAlign w:val="bottom"/>
            <w:hideMark/>
          </w:tcPr>
          <w:p w14:paraId="374ED44B"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1 559</w:t>
            </w:r>
          </w:p>
        </w:tc>
        <w:tc>
          <w:tcPr>
            <w:tcW w:w="391" w:type="pct"/>
            <w:tcBorders>
              <w:top w:val="nil"/>
              <w:left w:val="nil"/>
              <w:bottom w:val="nil"/>
              <w:right w:val="nil"/>
            </w:tcBorders>
            <w:shd w:val="clear" w:color="auto" w:fill="auto"/>
            <w:noWrap/>
            <w:vAlign w:val="bottom"/>
            <w:hideMark/>
          </w:tcPr>
          <w:p w14:paraId="66332187"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1 550</w:t>
            </w:r>
          </w:p>
        </w:tc>
        <w:tc>
          <w:tcPr>
            <w:tcW w:w="390" w:type="pct"/>
            <w:tcBorders>
              <w:top w:val="nil"/>
              <w:left w:val="nil"/>
              <w:bottom w:val="nil"/>
              <w:right w:val="nil"/>
            </w:tcBorders>
            <w:shd w:val="clear" w:color="auto" w:fill="auto"/>
            <w:noWrap/>
            <w:vAlign w:val="bottom"/>
            <w:hideMark/>
          </w:tcPr>
          <w:p w14:paraId="529A218B"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1 591</w:t>
            </w:r>
          </w:p>
        </w:tc>
      </w:tr>
      <w:tr w:rsidR="00DD531B" w:rsidRPr="00DD531B" w14:paraId="40092AA9" w14:textId="77777777" w:rsidTr="00463505">
        <w:trPr>
          <w:trHeight w:val="300"/>
        </w:trPr>
        <w:tc>
          <w:tcPr>
            <w:tcW w:w="2188" w:type="pct"/>
            <w:tcBorders>
              <w:top w:val="nil"/>
              <w:left w:val="nil"/>
              <w:bottom w:val="nil"/>
              <w:right w:val="nil"/>
            </w:tcBorders>
            <w:shd w:val="clear" w:color="auto" w:fill="auto"/>
            <w:vAlign w:val="bottom"/>
            <w:hideMark/>
          </w:tcPr>
          <w:p w14:paraId="391AE478" w14:textId="77777777" w:rsidR="00DD531B" w:rsidRPr="00463505" w:rsidRDefault="00DD531B" w:rsidP="00DD531B">
            <w:pPr>
              <w:spacing w:after="0" w:line="240" w:lineRule="auto"/>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presun z minulých rokov § 8, v tom:</w:t>
            </w:r>
          </w:p>
        </w:tc>
        <w:tc>
          <w:tcPr>
            <w:tcW w:w="395" w:type="pct"/>
            <w:tcBorders>
              <w:top w:val="nil"/>
              <w:left w:val="nil"/>
              <w:bottom w:val="nil"/>
              <w:right w:val="nil"/>
            </w:tcBorders>
            <w:shd w:val="clear" w:color="auto" w:fill="auto"/>
            <w:noWrap/>
            <w:vAlign w:val="bottom"/>
            <w:hideMark/>
          </w:tcPr>
          <w:p w14:paraId="57BB9F8B"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53 314</w:t>
            </w:r>
          </w:p>
        </w:tc>
        <w:tc>
          <w:tcPr>
            <w:tcW w:w="387" w:type="pct"/>
            <w:tcBorders>
              <w:top w:val="nil"/>
              <w:left w:val="nil"/>
              <w:bottom w:val="nil"/>
              <w:right w:val="nil"/>
            </w:tcBorders>
            <w:shd w:val="clear" w:color="auto" w:fill="auto"/>
            <w:noWrap/>
            <w:vAlign w:val="bottom"/>
            <w:hideMark/>
          </w:tcPr>
          <w:p w14:paraId="53E46A11"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90 754</w:t>
            </w:r>
          </w:p>
        </w:tc>
        <w:tc>
          <w:tcPr>
            <w:tcW w:w="391" w:type="pct"/>
            <w:tcBorders>
              <w:top w:val="nil"/>
              <w:left w:val="nil"/>
              <w:bottom w:val="nil"/>
              <w:right w:val="nil"/>
            </w:tcBorders>
            <w:shd w:val="clear" w:color="auto" w:fill="auto"/>
            <w:noWrap/>
            <w:vAlign w:val="bottom"/>
            <w:hideMark/>
          </w:tcPr>
          <w:p w14:paraId="7CC5EE75"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0</w:t>
            </w:r>
          </w:p>
        </w:tc>
        <w:tc>
          <w:tcPr>
            <w:tcW w:w="468" w:type="pct"/>
            <w:tcBorders>
              <w:top w:val="nil"/>
              <w:left w:val="nil"/>
              <w:bottom w:val="nil"/>
              <w:right w:val="nil"/>
            </w:tcBorders>
            <w:shd w:val="clear" w:color="auto" w:fill="auto"/>
            <w:noWrap/>
            <w:vAlign w:val="bottom"/>
            <w:hideMark/>
          </w:tcPr>
          <w:p w14:paraId="5059E801"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53 685</w:t>
            </w:r>
          </w:p>
        </w:tc>
        <w:tc>
          <w:tcPr>
            <w:tcW w:w="391" w:type="pct"/>
            <w:tcBorders>
              <w:top w:val="nil"/>
              <w:left w:val="nil"/>
              <w:bottom w:val="nil"/>
              <w:right w:val="nil"/>
            </w:tcBorders>
            <w:shd w:val="clear" w:color="auto" w:fill="auto"/>
            <w:noWrap/>
            <w:vAlign w:val="bottom"/>
            <w:hideMark/>
          </w:tcPr>
          <w:p w14:paraId="24263E9D"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0</w:t>
            </w:r>
          </w:p>
        </w:tc>
        <w:tc>
          <w:tcPr>
            <w:tcW w:w="391" w:type="pct"/>
            <w:tcBorders>
              <w:top w:val="nil"/>
              <w:left w:val="nil"/>
              <w:bottom w:val="nil"/>
              <w:right w:val="nil"/>
            </w:tcBorders>
            <w:shd w:val="clear" w:color="auto" w:fill="auto"/>
            <w:noWrap/>
            <w:vAlign w:val="bottom"/>
            <w:hideMark/>
          </w:tcPr>
          <w:p w14:paraId="6A3CD51D"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0</w:t>
            </w:r>
          </w:p>
        </w:tc>
        <w:tc>
          <w:tcPr>
            <w:tcW w:w="390" w:type="pct"/>
            <w:tcBorders>
              <w:top w:val="nil"/>
              <w:left w:val="nil"/>
              <w:bottom w:val="nil"/>
              <w:right w:val="nil"/>
            </w:tcBorders>
            <w:shd w:val="clear" w:color="auto" w:fill="auto"/>
            <w:noWrap/>
            <w:vAlign w:val="bottom"/>
            <w:hideMark/>
          </w:tcPr>
          <w:p w14:paraId="3AC8AFB3"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0</w:t>
            </w:r>
          </w:p>
        </w:tc>
      </w:tr>
      <w:tr w:rsidR="00DD531B" w:rsidRPr="00DD531B" w14:paraId="5FA0297A" w14:textId="77777777" w:rsidTr="00463505">
        <w:trPr>
          <w:trHeight w:val="300"/>
        </w:trPr>
        <w:tc>
          <w:tcPr>
            <w:tcW w:w="2188" w:type="pct"/>
            <w:tcBorders>
              <w:top w:val="nil"/>
              <w:left w:val="nil"/>
              <w:bottom w:val="nil"/>
              <w:right w:val="nil"/>
            </w:tcBorders>
            <w:shd w:val="clear" w:color="auto" w:fill="auto"/>
            <w:noWrap/>
            <w:vAlign w:val="bottom"/>
            <w:hideMark/>
          </w:tcPr>
          <w:p w14:paraId="3AB67DEC"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štátny rozpočet</w:t>
            </w:r>
          </w:p>
        </w:tc>
        <w:tc>
          <w:tcPr>
            <w:tcW w:w="395" w:type="pct"/>
            <w:tcBorders>
              <w:top w:val="nil"/>
              <w:left w:val="nil"/>
              <w:bottom w:val="nil"/>
              <w:right w:val="nil"/>
            </w:tcBorders>
            <w:shd w:val="clear" w:color="auto" w:fill="auto"/>
            <w:noWrap/>
            <w:vAlign w:val="bottom"/>
            <w:hideMark/>
          </w:tcPr>
          <w:p w14:paraId="06098920"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45 250</w:t>
            </w:r>
          </w:p>
        </w:tc>
        <w:tc>
          <w:tcPr>
            <w:tcW w:w="387" w:type="pct"/>
            <w:tcBorders>
              <w:top w:val="nil"/>
              <w:left w:val="nil"/>
              <w:bottom w:val="nil"/>
              <w:right w:val="nil"/>
            </w:tcBorders>
            <w:shd w:val="clear" w:color="auto" w:fill="auto"/>
            <w:noWrap/>
            <w:vAlign w:val="bottom"/>
            <w:hideMark/>
          </w:tcPr>
          <w:p w14:paraId="36DE418E"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77 746</w:t>
            </w:r>
          </w:p>
        </w:tc>
        <w:tc>
          <w:tcPr>
            <w:tcW w:w="391" w:type="pct"/>
            <w:tcBorders>
              <w:top w:val="nil"/>
              <w:left w:val="nil"/>
              <w:bottom w:val="nil"/>
              <w:right w:val="nil"/>
            </w:tcBorders>
            <w:shd w:val="clear" w:color="auto" w:fill="auto"/>
            <w:noWrap/>
            <w:vAlign w:val="bottom"/>
            <w:hideMark/>
          </w:tcPr>
          <w:p w14:paraId="0785AF85"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0</w:t>
            </w:r>
          </w:p>
        </w:tc>
        <w:tc>
          <w:tcPr>
            <w:tcW w:w="468" w:type="pct"/>
            <w:tcBorders>
              <w:top w:val="nil"/>
              <w:left w:val="nil"/>
              <w:bottom w:val="nil"/>
              <w:right w:val="nil"/>
            </w:tcBorders>
            <w:shd w:val="clear" w:color="auto" w:fill="auto"/>
            <w:noWrap/>
            <w:vAlign w:val="bottom"/>
            <w:hideMark/>
          </w:tcPr>
          <w:p w14:paraId="2EAB2702"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5 443</w:t>
            </w:r>
          </w:p>
        </w:tc>
        <w:tc>
          <w:tcPr>
            <w:tcW w:w="391" w:type="pct"/>
            <w:tcBorders>
              <w:top w:val="nil"/>
              <w:left w:val="nil"/>
              <w:bottom w:val="nil"/>
              <w:right w:val="nil"/>
            </w:tcBorders>
            <w:shd w:val="clear" w:color="auto" w:fill="auto"/>
            <w:noWrap/>
            <w:vAlign w:val="bottom"/>
            <w:hideMark/>
          </w:tcPr>
          <w:p w14:paraId="77043936"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0</w:t>
            </w:r>
          </w:p>
        </w:tc>
        <w:tc>
          <w:tcPr>
            <w:tcW w:w="391" w:type="pct"/>
            <w:tcBorders>
              <w:top w:val="nil"/>
              <w:left w:val="nil"/>
              <w:bottom w:val="nil"/>
              <w:right w:val="nil"/>
            </w:tcBorders>
            <w:shd w:val="clear" w:color="auto" w:fill="auto"/>
            <w:noWrap/>
            <w:vAlign w:val="bottom"/>
            <w:hideMark/>
          </w:tcPr>
          <w:p w14:paraId="7813C360"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0</w:t>
            </w:r>
          </w:p>
        </w:tc>
        <w:tc>
          <w:tcPr>
            <w:tcW w:w="390" w:type="pct"/>
            <w:tcBorders>
              <w:top w:val="nil"/>
              <w:left w:val="nil"/>
              <w:bottom w:val="nil"/>
              <w:right w:val="nil"/>
            </w:tcBorders>
            <w:shd w:val="clear" w:color="auto" w:fill="auto"/>
            <w:noWrap/>
            <w:vAlign w:val="bottom"/>
            <w:hideMark/>
          </w:tcPr>
          <w:p w14:paraId="293B3655"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0</w:t>
            </w:r>
          </w:p>
        </w:tc>
      </w:tr>
      <w:tr w:rsidR="00DD531B" w:rsidRPr="00DD531B" w14:paraId="0BA2F068" w14:textId="77777777" w:rsidTr="00463505">
        <w:trPr>
          <w:trHeight w:val="300"/>
        </w:trPr>
        <w:tc>
          <w:tcPr>
            <w:tcW w:w="2188" w:type="pct"/>
            <w:tcBorders>
              <w:top w:val="nil"/>
              <w:left w:val="nil"/>
              <w:bottom w:val="nil"/>
              <w:right w:val="nil"/>
            </w:tcBorders>
            <w:shd w:val="clear" w:color="auto" w:fill="auto"/>
            <w:vAlign w:val="bottom"/>
            <w:hideMark/>
          </w:tcPr>
          <w:p w14:paraId="1E641BEB"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prostriedky EÚ a spolufinancovanie zo ŠR</w:t>
            </w:r>
          </w:p>
        </w:tc>
        <w:tc>
          <w:tcPr>
            <w:tcW w:w="395" w:type="pct"/>
            <w:tcBorders>
              <w:top w:val="nil"/>
              <w:left w:val="nil"/>
              <w:bottom w:val="nil"/>
              <w:right w:val="nil"/>
            </w:tcBorders>
            <w:shd w:val="clear" w:color="auto" w:fill="auto"/>
            <w:noWrap/>
            <w:vAlign w:val="bottom"/>
            <w:hideMark/>
          </w:tcPr>
          <w:p w14:paraId="018FBDBF"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8 064</w:t>
            </w:r>
          </w:p>
        </w:tc>
        <w:tc>
          <w:tcPr>
            <w:tcW w:w="387" w:type="pct"/>
            <w:tcBorders>
              <w:top w:val="nil"/>
              <w:left w:val="nil"/>
              <w:bottom w:val="nil"/>
              <w:right w:val="nil"/>
            </w:tcBorders>
            <w:shd w:val="clear" w:color="auto" w:fill="auto"/>
            <w:noWrap/>
            <w:vAlign w:val="bottom"/>
            <w:hideMark/>
          </w:tcPr>
          <w:p w14:paraId="026F04C8"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13 008</w:t>
            </w:r>
          </w:p>
        </w:tc>
        <w:tc>
          <w:tcPr>
            <w:tcW w:w="391" w:type="pct"/>
            <w:tcBorders>
              <w:top w:val="nil"/>
              <w:left w:val="nil"/>
              <w:bottom w:val="nil"/>
              <w:right w:val="nil"/>
            </w:tcBorders>
            <w:shd w:val="clear" w:color="auto" w:fill="auto"/>
            <w:noWrap/>
            <w:vAlign w:val="bottom"/>
            <w:hideMark/>
          </w:tcPr>
          <w:p w14:paraId="78172F91"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0</w:t>
            </w:r>
          </w:p>
        </w:tc>
        <w:tc>
          <w:tcPr>
            <w:tcW w:w="468" w:type="pct"/>
            <w:tcBorders>
              <w:top w:val="nil"/>
              <w:left w:val="nil"/>
              <w:bottom w:val="nil"/>
              <w:right w:val="nil"/>
            </w:tcBorders>
            <w:shd w:val="clear" w:color="auto" w:fill="auto"/>
            <w:noWrap/>
            <w:vAlign w:val="bottom"/>
            <w:hideMark/>
          </w:tcPr>
          <w:p w14:paraId="2C88BAE2"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48 242</w:t>
            </w:r>
          </w:p>
        </w:tc>
        <w:tc>
          <w:tcPr>
            <w:tcW w:w="391" w:type="pct"/>
            <w:tcBorders>
              <w:top w:val="nil"/>
              <w:left w:val="nil"/>
              <w:bottom w:val="nil"/>
              <w:right w:val="nil"/>
            </w:tcBorders>
            <w:shd w:val="clear" w:color="auto" w:fill="auto"/>
            <w:noWrap/>
            <w:vAlign w:val="bottom"/>
            <w:hideMark/>
          </w:tcPr>
          <w:p w14:paraId="14763C4E"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0</w:t>
            </w:r>
          </w:p>
        </w:tc>
        <w:tc>
          <w:tcPr>
            <w:tcW w:w="391" w:type="pct"/>
            <w:tcBorders>
              <w:top w:val="nil"/>
              <w:left w:val="nil"/>
              <w:bottom w:val="nil"/>
              <w:right w:val="nil"/>
            </w:tcBorders>
            <w:shd w:val="clear" w:color="auto" w:fill="auto"/>
            <w:noWrap/>
            <w:vAlign w:val="bottom"/>
            <w:hideMark/>
          </w:tcPr>
          <w:p w14:paraId="16F44BC3"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0</w:t>
            </w:r>
          </w:p>
        </w:tc>
        <w:tc>
          <w:tcPr>
            <w:tcW w:w="390" w:type="pct"/>
            <w:tcBorders>
              <w:top w:val="nil"/>
              <w:left w:val="nil"/>
              <w:bottom w:val="nil"/>
              <w:right w:val="nil"/>
            </w:tcBorders>
            <w:shd w:val="clear" w:color="auto" w:fill="auto"/>
            <w:noWrap/>
            <w:vAlign w:val="bottom"/>
            <w:hideMark/>
          </w:tcPr>
          <w:p w14:paraId="350B3FFF" w14:textId="77777777" w:rsidR="00DD531B" w:rsidRPr="00463505"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0</w:t>
            </w:r>
          </w:p>
        </w:tc>
      </w:tr>
      <w:tr w:rsidR="00DD531B" w:rsidRPr="00DD531B" w14:paraId="1AC9E7C2" w14:textId="77777777" w:rsidTr="00463505">
        <w:trPr>
          <w:trHeight w:val="300"/>
        </w:trPr>
        <w:tc>
          <w:tcPr>
            <w:tcW w:w="2188" w:type="pct"/>
            <w:tcBorders>
              <w:top w:val="nil"/>
              <w:left w:val="nil"/>
              <w:bottom w:val="single" w:sz="4" w:space="0" w:color="auto"/>
              <w:right w:val="nil"/>
            </w:tcBorders>
            <w:shd w:val="clear" w:color="auto" w:fill="auto"/>
            <w:noWrap/>
            <w:vAlign w:val="bottom"/>
            <w:hideMark/>
          </w:tcPr>
          <w:p w14:paraId="04ED864C" w14:textId="4B171FFE" w:rsidR="00DD531B" w:rsidRPr="00463505" w:rsidRDefault="00DD531B" w:rsidP="00DD531B">
            <w:pPr>
              <w:spacing w:after="0" w:line="240" w:lineRule="auto"/>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 xml:space="preserve">prostriedky podľa § 17 ods. 4 a § 22 ods. 4 zákona </w:t>
            </w:r>
            <w:r w:rsidR="000D4EA0">
              <w:rPr>
                <w:rFonts w:ascii="Times New Roman" w:eastAsia="Times New Roman" w:hAnsi="Times New Roman" w:cs="Times New Roman"/>
                <w:b/>
                <w:bCs/>
                <w:sz w:val="16"/>
                <w:szCs w:val="16"/>
                <w:lang w:eastAsia="sk-SK"/>
              </w:rPr>
              <w:br/>
            </w:r>
            <w:r w:rsidRPr="00463505">
              <w:rPr>
                <w:rFonts w:ascii="Times New Roman" w:eastAsia="Times New Roman" w:hAnsi="Times New Roman" w:cs="Times New Roman"/>
                <w:b/>
                <w:bCs/>
                <w:sz w:val="16"/>
                <w:szCs w:val="16"/>
                <w:lang w:eastAsia="sk-SK"/>
              </w:rPr>
              <w:t>č. 523/2004 Z. z.</w:t>
            </w:r>
          </w:p>
        </w:tc>
        <w:tc>
          <w:tcPr>
            <w:tcW w:w="395" w:type="pct"/>
            <w:tcBorders>
              <w:top w:val="nil"/>
              <w:left w:val="nil"/>
              <w:bottom w:val="single" w:sz="4" w:space="0" w:color="auto"/>
              <w:right w:val="nil"/>
            </w:tcBorders>
            <w:shd w:val="clear" w:color="auto" w:fill="auto"/>
            <w:noWrap/>
            <w:vAlign w:val="bottom"/>
            <w:hideMark/>
          </w:tcPr>
          <w:p w14:paraId="2745D426"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0</w:t>
            </w:r>
          </w:p>
        </w:tc>
        <w:tc>
          <w:tcPr>
            <w:tcW w:w="387" w:type="pct"/>
            <w:tcBorders>
              <w:top w:val="nil"/>
              <w:left w:val="nil"/>
              <w:bottom w:val="single" w:sz="4" w:space="0" w:color="auto"/>
              <w:right w:val="nil"/>
            </w:tcBorders>
            <w:shd w:val="clear" w:color="auto" w:fill="auto"/>
            <w:noWrap/>
            <w:vAlign w:val="bottom"/>
            <w:hideMark/>
          </w:tcPr>
          <w:p w14:paraId="3CE874AC"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60</w:t>
            </w:r>
          </w:p>
        </w:tc>
        <w:tc>
          <w:tcPr>
            <w:tcW w:w="391" w:type="pct"/>
            <w:tcBorders>
              <w:top w:val="nil"/>
              <w:left w:val="nil"/>
              <w:bottom w:val="single" w:sz="4" w:space="0" w:color="auto"/>
              <w:right w:val="nil"/>
            </w:tcBorders>
            <w:shd w:val="clear" w:color="auto" w:fill="auto"/>
            <w:noWrap/>
            <w:vAlign w:val="bottom"/>
            <w:hideMark/>
          </w:tcPr>
          <w:p w14:paraId="3CD0AD2C"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0</w:t>
            </w:r>
          </w:p>
        </w:tc>
        <w:tc>
          <w:tcPr>
            <w:tcW w:w="468" w:type="pct"/>
            <w:tcBorders>
              <w:top w:val="nil"/>
              <w:left w:val="nil"/>
              <w:bottom w:val="single" w:sz="4" w:space="0" w:color="auto"/>
              <w:right w:val="nil"/>
            </w:tcBorders>
            <w:shd w:val="clear" w:color="auto" w:fill="auto"/>
            <w:noWrap/>
            <w:vAlign w:val="bottom"/>
            <w:hideMark/>
          </w:tcPr>
          <w:p w14:paraId="2C903DCA"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1</w:t>
            </w:r>
          </w:p>
        </w:tc>
        <w:tc>
          <w:tcPr>
            <w:tcW w:w="391" w:type="pct"/>
            <w:tcBorders>
              <w:top w:val="nil"/>
              <w:left w:val="nil"/>
              <w:bottom w:val="single" w:sz="4" w:space="0" w:color="auto"/>
              <w:right w:val="nil"/>
            </w:tcBorders>
            <w:shd w:val="clear" w:color="auto" w:fill="auto"/>
            <w:noWrap/>
            <w:vAlign w:val="bottom"/>
            <w:hideMark/>
          </w:tcPr>
          <w:p w14:paraId="349F28D4"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0</w:t>
            </w:r>
          </w:p>
        </w:tc>
        <w:tc>
          <w:tcPr>
            <w:tcW w:w="391" w:type="pct"/>
            <w:tcBorders>
              <w:top w:val="nil"/>
              <w:left w:val="nil"/>
              <w:bottom w:val="single" w:sz="4" w:space="0" w:color="auto"/>
              <w:right w:val="nil"/>
            </w:tcBorders>
            <w:shd w:val="clear" w:color="auto" w:fill="auto"/>
            <w:noWrap/>
            <w:vAlign w:val="bottom"/>
            <w:hideMark/>
          </w:tcPr>
          <w:p w14:paraId="58EE1A91"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0</w:t>
            </w:r>
          </w:p>
        </w:tc>
        <w:tc>
          <w:tcPr>
            <w:tcW w:w="390" w:type="pct"/>
            <w:tcBorders>
              <w:top w:val="nil"/>
              <w:left w:val="nil"/>
              <w:bottom w:val="single" w:sz="4" w:space="0" w:color="auto"/>
              <w:right w:val="nil"/>
            </w:tcBorders>
            <w:shd w:val="clear" w:color="auto" w:fill="auto"/>
            <w:noWrap/>
            <w:vAlign w:val="bottom"/>
            <w:hideMark/>
          </w:tcPr>
          <w:p w14:paraId="417E0671" w14:textId="77777777" w:rsidR="00DD531B" w:rsidRPr="00463505" w:rsidRDefault="00DD531B" w:rsidP="00DD531B">
            <w:pPr>
              <w:spacing w:after="0" w:line="240" w:lineRule="auto"/>
              <w:jc w:val="right"/>
              <w:rPr>
                <w:rFonts w:ascii="Times New Roman" w:eastAsia="Times New Roman" w:hAnsi="Times New Roman" w:cs="Times New Roman"/>
                <w:b/>
                <w:color w:val="000000"/>
                <w:sz w:val="16"/>
                <w:szCs w:val="16"/>
                <w:lang w:eastAsia="sk-SK"/>
              </w:rPr>
            </w:pPr>
            <w:r w:rsidRPr="00463505">
              <w:rPr>
                <w:rFonts w:ascii="Times New Roman" w:eastAsia="Times New Roman" w:hAnsi="Times New Roman" w:cs="Times New Roman"/>
                <w:b/>
                <w:color w:val="000000"/>
                <w:sz w:val="16"/>
                <w:szCs w:val="16"/>
                <w:lang w:eastAsia="sk-SK"/>
              </w:rPr>
              <w:t>0</w:t>
            </w:r>
          </w:p>
        </w:tc>
      </w:tr>
    </w:tbl>
    <w:p w14:paraId="4ECCB4A0" w14:textId="72AC996C" w:rsidR="00DD531B" w:rsidRDefault="00DD531B" w:rsidP="00DD531B">
      <w:pPr>
        <w:rPr>
          <w:rFonts w:ascii="Times New Roman" w:eastAsia="Calibri" w:hAnsi="Times New Roman" w:cs="Times New Roman"/>
        </w:rPr>
      </w:pPr>
    </w:p>
    <w:p w14:paraId="6286B753" w14:textId="48295888" w:rsidR="00463505" w:rsidRDefault="00463505" w:rsidP="00DD531B">
      <w:pPr>
        <w:rPr>
          <w:rFonts w:ascii="Times New Roman" w:eastAsia="Calibri" w:hAnsi="Times New Roman" w:cs="Times New Roman"/>
        </w:rPr>
      </w:pPr>
    </w:p>
    <w:p w14:paraId="75362F59" w14:textId="0906912E" w:rsidR="00463505" w:rsidRDefault="00463505" w:rsidP="00DD531B">
      <w:pPr>
        <w:rPr>
          <w:rFonts w:ascii="Times New Roman" w:eastAsia="Calibri" w:hAnsi="Times New Roman" w:cs="Times New Roman"/>
        </w:rPr>
      </w:pPr>
    </w:p>
    <w:p w14:paraId="5BFC44F6" w14:textId="587AA856" w:rsidR="00463505" w:rsidRDefault="00463505" w:rsidP="00DD531B">
      <w:pPr>
        <w:rPr>
          <w:rFonts w:ascii="Times New Roman" w:eastAsia="Calibri" w:hAnsi="Times New Roman" w:cs="Times New Roman"/>
        </w:rPr>
      </w:pPr>
    </w:p>
    <w:p w14:paraId="7498BD49" w14:textId="3ADBAE45" w:rsidR="00463505" w:rsidRDefault="00463505" w:rsidP="00DD531B">
      <w:pPr>
        <w:rPr>
          <w:rFonts w:ascii="Times New Roman" w:eastAsia="Calibri" w:hAnsi="Times New Roman" w:cs="Times New Roman"/>
        </w:rPr>
      </w:pPr>
    </w:p>
    <w:p w14:paraId="18B9706D" w14:textId="66B071F4" w:rsidR="00463505" w:rsidRDefault="00463505" w:rsidP="00DD531B">
      <w:pPr>
        <w:rPr>
          <w:rFonts w:ascii="Times New Roman" w:eastAsia="Calibri" w:hAnsi="Times New Roman" w:cs="Times New Roman"/>
        </w:rPr>
      </w:pPr>
    </w:p>
    <w:p w14:paraId="1A108139" w14:textId="05996AD9" w:rsidR="00463505" w:rsidRDefault="00463505" w:rsidP="00DD531B">
      <w:pPr>
        <w:rPr>
          <w:rFonts w:ascii="Times New Roman" w:eastAsia="Calibri" w:hAnsi="Times New Roman" w:cs="Times New Roman"/>
        </w:rPr>
      </w:pPr>
    </w:p>
    <w:p w14:paraId="69A4BCB4" w14:textId="1DB05247" w:rsidR="00463505" w:rsidRDefault="00463505" w:rsidP="00DD531B">
      <w:pPr>
        <w:rPr>
          <w:rFonts w:ascii="Times New Roman" w:eastAsia="Calibri" w:hAnsi="Times New Roman" w:cs="Times New Roman"/>
        </w:rPr>
      </w:pPr>
    </w:p>
    <w:p w14:paraId="10512EFC" w14:textId="5DCFC848" w:rsidR="00463505" w:rsidRDefault="00463505" w:rsidP="00DD531B">
      <w:pPr>
        <w:rPr>
          <w:rFonts w:ascii="Times New Roman" w:eastAsia="Calibri" w:hAnsi="Times New Roman" w:cs="Times New Roman"/>
        </w:rPr>
      </w:pPr>
    </w:p>
    <w:p w14:paraId="0743488D" w14:textId="3B80485A" w:rsidR="00463505" w:rsidRDefault="00463505" w:rsidP="00DD531B">
      <w:pPr>
        <w:rPr>
          <w:rFonts w:ascii="Times New Roman" w:eastAsia="Calibri" w:hAnsi="Times New Roman" w:cs="Times New Roman"/>
        </w:rPr>
      </w:pPr>
    </w:p>
    <w:p w14:paraId="43646655" w14:textId="77777777" w:rsidR="00463505" w:rsidRPr="00DD531B" w:rsidRDefault="00463505" w:rsidP="00DD531B">
      <w:pPr>
        <w:rPr>
          <w:rFonts w:ascii="Times New Roman" w:eastAsia="Calibri" w:hAnsi="Times New Roman" w:cs="Times New Roman"/>
        </w:rPr>
      </w:pPr>
    </w:p>
    <w:p w14:paraId="1E3A2BFA" w14:textId="26CB5966" w:rsidR="00DD531B" w:rsidRPr="00463505" w:rsidRDefault="00DD531B" w:rsidP="00DD531B">
      <w:pPr>
        <w:keepNext/>
        <w:keepLines/>
        <w:spacing w:before="40" w:after="0"/>
        <w:outlineLvl w:val="1"/>
        <w:rPr>
          <w:rFonts w:ascii="Times New Roman" w:eastAsia="Times New Roman" w:hAnsi="Times New Roman" w:cs="Times New Roman"/>
          <w:b/>
          <w:color w:val="5B9BD5" w:themeColor="accent1"/>
          <w:sz w:val="24"/>
          <w:szCs w:val="24"/>
        </w:rPr>
      </w:pPr>
      <w:r w:rsidRPr="00463505">
        <w:rPr>
          <w:rFonts w:ascii="Times New Roman" w:eastAsia="Times New Roman" w:hAnsi="Times New Roman" w:cs="Times New Roman"/>
          <w:b/>
          <w:color w:val="5B9BD5" w:themeColor="accent1"/>
          <w:sz w:val="24"/>
          <w:szCs w:val="24"/>
        </w:rPr>
        <w:lastRenderedPageBreak/>
        <w:t>Ministerstvo životného prostredia SR</w:t>
      </w:r>
    </w:p>
    <w:p w14:paraId="38B5E518" w14:textId="77777777" w:rsidR="00DD531B" w:rsidRPr="00463505" w:rsidRDefault="00DD531B" w:rsidP="00DD531B">
      <w:pPr>
        <w:rPr>
          <w:rFonts w:ascii="Times New Roman" w:eastAsia="Calibri" w:hAnsi="Times New Roman" w:cs="Times New Roman"/>
          <w:color w:val="5B9BD5" w:themeColor="accent1"/>
        </w:rPr>
      </w:pPr>
    </w:p>
    <w:p w14:paraId="3522AA4D" w14:textId="6181FC60" w:rsidR="00DD531B" w:rsidRPr="00463505" w:rsidRDefault="00463505"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11" w:name="_Toc153013081"/>
      <w:r w:rsidRPr="00463505">
        <w:rPr>
          <w:rFonts w:ascii="Times New Roman" w:eastAsia="Times New Roman" w:hAnsi="Times New Roman" w:cs="Times New Roman"/>
          <w:b/>
          <w:iCs/>
          <w:color w:val="5B9BD5" w:themeColor="accent1"/>
          <w:sz w:val="20"/>
          <w:szCs w:val="20"/>
          <w:lang w:eastAsia="sk-SK"/>
        </w:rPr>
        <w:t xml:space="preserve">Tabuľka </w:t>
      </w:r>
      <w:r w:rsidRPr="00463505">
        <w:rPr>
          <w:rFonts w:ascii="Times New Roman" w:hAnsi="Times New Roman" w:cs="Times New Roman"/>
          <w:b/>
          <w:color w:val="5B9BD5" w:themeColor="accent1"/>
          <w:sz w:val="20"/>
          <w:szCs w:val="20"/>
        </w:rPr>
        <w:fldChar w:fldCharType="begin"/>
      </w:r>
      <w:r w:rsidRPr="00463505">
        <w:rPr>
          <w:rFonts w:ascii="Times New Roman" w:hAnsi="Times New Roman" w:cs="Times New Roman"/>
          <w:b/>
          <w:color w:val="5B9BD5" w:themeColor="accent1"/>
          <w:sz w:val="20"/>
          <w:szCs w:val="20"/>
        </w:rPr>
        <w:instrText xml:space="preserve"> SEQ Tabuľka \* ARABIC </w:instrText>
      </w:r>
      <w:r w:rsidRPr="00463505">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83</w:t>
      </w:r>
      <w:r w:rsidRPr="00463505">
        <w:rPr>
          <w:rFonts w:ascii="Times New Roman" w:hAnsi="Times New Roman" w:cs="Times New Roman"/>
          <w:b/>
          <w:color w:val="5B9BD5" w:themeColor="accent1"/>
          <w:sz w:val="20"/>
          <w:szCs w:val="20"/>
        </w:rPr>
        <w:fldChar w:fldCharType="end"/>
      </w:r>
      <w:r w:rsidRPr="00463505">
        <w:rPr>
          <w:rFonts w:ascii="Times New Roman" w:hAnsi="Times New Roman" w:cs="Times New Roman"/>
          <w:b/>
          <w:color w:val="5B9BD5" w:themeColor="accent1"/>
          <w:sz w:val="20"/>
          <w:szCs w:val="20"/>
        </w:rPr>
        <w:t xml:space="preserve"> - </w:t>
      </w:r>
      <w:r w:rsidR="00DD531B" w:rsidRPr="00463505">
        <w:rPr>
          <w:rFonts w:ascii="Times New Roman" w:eastAsia="Times New Roman" w:hAnsi="Times New Roman" w:cs="Times New Roman"/>
          <w:b/>
          <w:iCs/>
          <w:color w:val="5B9BD5" w:themeColor="accent1"/>
          <w:sz w:val="20"/>
          <w:szCs w:val="20"/>
          <w:lang w:eastAsia="sk-SK"/>
        </w:rPr>
        <w:t>Príjmy kapitoly MŽP SR</w:t>
      </w:r>
      <w:bookmarkEnd w:id="211"/>
    </w:p>
    <w:tbl>
      <w:tblPr>
        <w:tblW w:w="5000" w:type="pct"/>
        <w:tblLayout w:type="fixed"/>
        <w:tblCellMar>
          <w:left w:w="70" w:type="dxa"/>
          <w:right w:w="70" w:type="dxa"/>
        </w:tblCellMar>
        <w:tblLook w:val="04A0" w:firstRow="1" w:lastRow="0" w:firstColumn="1" w:lastColumn="0" w:noHBand="0" w:noVBand="1"/>
      </w:tblPr>
      <w:tblGrid>
        <w:gridCol w:w="3688"/>
        <w:gridCol w:w="711"/>
        <w:gridCol w:w="709"/>
        <w:gridCol w:w="853"/>
        <w:gridCol w:w="851"/>
        <w:gridCol w:w="709"/>
        <w:gridCol w:w="709"/>
        <w:gridCol w:w="842"/>
      </w:tblGrid>
      <w:tr w:rsidR="00463505" w:rsidRPr="00DD531B" w14:paraId="44166654" w14:textId="77777777" w:rsidTr="00463505">
        <w:trPr>
          <w:trHeight w:val="300"/>
        </w:trPr>
        <w:tc>
          <w:tcPr>
            <w:tcW w:w="2032" w:type="pct"/>
            <w:tcBorders>
              <w:top w:val="single" w:sz="4" w:space="0" w:color="auto"/>
              <w:left w:val="nil"/>
              <w:bottom w:val="single" w:sz="4" w:space="0" w:color="auto"/>
              <w:right w:val="nil"/>
            </w:tcBorders>
            <w:shd w:val="clear" w:color="auto" w:fill="auto"/>
            <w:noWrap/>
            <w:vAlign w:val="center"/>
            <w:hideMark/>
          </w:tcPr>
          <w:p w14:paraId="0DEC2AFC" w14:textId="77777777" w:rsidR="00DD531B" w:rsidRPr="00463505" w:rsidRDefault="00DD531B" w:rsidP="00DD531B">
            <w:pPr>
              <w:spacing w:after="0" w:line="240" w:lineRule="auto"/>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v  tis. eur</w:t>
            </w:r>
          </w:p>
        </w:tc>
        <w:tc>
          <w:tcPr>
            <w:tcW w:w="392" w:type="pct"/>
            <w:tcBorders>
              <w:top w:val="single" w:sz="4" w:space="0" w:color="auto"/>
              <w:left w:val="nil"/>
              <w:bottom w:val="single" w:sz="4" w:space="0" w:color="auto"/>
              <w:right w:val="nil"/>
            </w:tcBorders>
            <w:shd w:val="clear" w:color="auto" w:fill="auto"/>
            <w:noWrap/>
            <w:vAlign w:val="center"/>
            <w:hideMark/>
          </w:tcPr>
          <w:p w14:paraId="3839C550"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2021 S</w:t>
            </w:r>
          </w:p>
        </w:tc>
        <w:tc>
          <w:tcPr>
            <w:tcW w:w="391" w:type="pct"/>
            <w:tcBorders>
              <w:top w:val="single" w:sz="4" w:space="0" w:color="auto"/>
              <w:left w:val="nil"/>
              <w:bottom w:val="single" w:sz="4" w:space="0" w:color="auto"/>
              <w:right w:val="nil"/>
            </w:tcBorders>
            <w:shd w:val="clear" w:color="auto" w:fill="auto"/>
            <w:noWrap/>
            <w:vAlign w:val="center"/>
            <w:hideMark/>
          </w:tcPr>
          <w:p w14:paraId="1B5357A5"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2022 S</w:t>
            </w:r>
          </w:p>
        </w:tc>
        <w:tc>
          <w:tcPr>
            <w:tcW w:w="470" w:type="pct"/>
            <w:tcBorders>
              <w:top w:val="single" w:sz="4" w:space="0" w:color="auto"/>
              <w:left w:val="nil"/>
              <w:bottom w:val="single" w:sz="4" w:space="0" w:color="auto"/>
              <w:right w:val="nil"/>
            </w:tcBorders>
            <w:shd w:val="clear" w:color="auto" w:fill="auto"/>
            <w:noWrap/>
            <w:vAlign w:val="center"/>
            <w:hideMark/>
          </w:tcPr>
          <w:p w14:paraId="675616A7"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2023 R</w:t>
            </w:r>
          </w:p>
        </w:tc>
        <w:tc>
          <w:tcPr>
            <w:tcW w:w="469" w:type="pct"/>
            <w:tcBorders>
              <w:top w:val="single" w:sz="4" w:space="0" w:color="auto"/>
              <w:left w:val="nil"/>
              <w:bottom w:val="single" w:sz="4" w:space="0" w:color="auto"/>
              <w:right w:val="nil"/>
            </w:tcBorders>
            <w:shd w:val="clear" w:color="auto" w:fill="auto"/>
            <w:noWrap/>
            <w:vAlign w:val="center"/>
            <w:hideMark/>
          </w:tcPr>
          <w:p w14:paraId="6CAFE9F8"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2023 OS</w:t>
            </w:r>
          </w:p>
        </w:tc>
        <w:tc>
          <w:tcPr>
            <w:tcW w:w="391" w:type="pct"/>
            <w:tcBorders>
              <w:top w:val="single" w:sz="4" w:space="0" w:color="auto"/>
              <w:left w:val="nil"/>
              <w:bottom w:val="single" w:sz="4" w:space="0" w:color="auto"/>
              <w:right w:val="nil"/>
            </w:tcBorders>
            <w:shd w:val="clear" w:color="auto" w:fill="auto"/>
            <w:noWrap/>
            <w:vAlign w:val="center"/>
            <w:hideMark/>
          </w:tcPr>
          <w:p w14:paraId="33AFBF1D"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2024 N</w:t>
            </w:r>
          </w:p>
        </w:tc>
        <w:tc>
          <w:tcPr>
            <w:tcW w:w="391" w:type="pct"/>
            <w:tcBorders>
              <w:top w:val="single" w:sz="4" w:space="0" w:color="auto"/>
              <w:left w:val="nil"/>
              <w:bottom w:val="single" w:sz="4" w:space="0" w:color="auto"/>
              <w:right w:val="nil"/>
            </w:tcBorders>
            <w:shd w:val="clear" w:color="auto" w:fill="auto"/>
            <w:noWrap/>
            <w:vAlign w:val="center"/>
            <w:hideMark/>
          </w:tcPr>
          <w:p w14:paraId="7843844A"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2025 N</w:t>
            </w:r>
          </w:p>
        </w:tc>
        <w:tc>
          <w:tcPr>
            <w:tcW w:w="465" w:type="pct"/>
            <w:tcBorders>
              <w:top w:val="single" w:sz="4" w:space="0" w:color="auto"/>
              <w:left w:val="nil"/>
              <w:bottom w:val="single" w:sz="4" w:space="0" w:color="auto"/>
              <w:right w:val="nil"/>
            </w:tcBorders>
            <w:shd w:val="clear" w:color="auto" w:fill="auto"/>
            <w:noWrap/>
            <w:vAlign w:val="center"/>
            <w:hideMark/>
          </w:tcPr>
          <w:p w14:paraId="5136F308"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2026 N</w:t>
            </w:r>
          </w:p>
        </w:tc>
      </w:tr>
      <w:tr w:rsidR="00463505" w:rsidRPr="00DD531B" w14:paraId="5B21B6D7" w14:textId="77777777" w:rsidTr="00463505">
        <w:trPr>
          <w:trHeight w:val="300"/>
        </w:trPr>
        <w:tc>
          <w:tcPr>
            <w:tcW w:w="2032" w:type="pct"/>
            <w:tcBorders>
              <w:top w:val="nil"/>
              <w:left w:val="nil"/>
              <w:bottom w:val="nil"/>
              <w:right w:val="nil"/>
            </w:tcBorders>
            <w:shd w:val="clear" w:color="auto" w:fill="auto"/>
            <w:noWrap/>
            <w:vAlign w:val="bottom"/>
            <w:hideMark/>
          </w:tcPr>
          <w:p w14:paraId="2A6077FD" w14:textId="77777777" w:rsidR="00DD531B" w:rsidRPr="00463505" w:rsidRDefault="00DD531B" w:rsidP="00DD531B">
            <w:pPr>
              <w:spacing w:after="0" w:line="240" w:lineRule="auto"/>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Príjmy kapitoly spolu</w:t>
            </w:r>
          </w:p>
        </w:tc>
        <w:tc>
          <w:tcPr>
            <w:tcW w:w="392" w:type="pct"/>
            <w:tcBorders>
              <w:top w:val="nil"/>
              <w:left w:val="nil"/>
              <w:bottom w:val="nil"/>
              <w:right w:val="nil"/>
            </w:tcBorders>
            <w:shd w:val="clear" w:color="auto" w:fill="auto"/>
            <w:noWrap/>
            <w:vAlign w:val="bottom"/>
            <w:hideMark/>
          </w:tcPr>
          <w:p w14:paraId="51E7E5B9" w14:textId="77777777" w:rsidR="00DD531B" w:rsidRPr="00463505"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283 123</w:t>
            </w:r>
          </w:p>
        </w:tc>
        <w:tc>
          <w:tcPr>
            <w:tcW w:w="391" w:type="pct"/>
            <w:tcBorders>
              <w:top w:val="nil"/>
              <w:left w:val="nil"/>
              <w:bottom w:val="nil"/>
              <w:right w:val="nil"/>
            </w:tcBorders>
            <w:shd w:val="clear" w:color="auto" w:fill="auto"/>
            <w:noWrap/>
            <w:vAlign w:val="bottom"/>
            <w:hideMark/>
          </w:tcPr>
          <w:p w14:paraId="4864C89E" w14:textId="77777777" w:rsidR="00DD531B" w:rsidRPr="00463505"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308 445</w:t>
            </w:r>
          </w:p>
        </w:tc>
        <w:tc>
          <w:tcPr>
            <w:tcW w:w="470" w:type="pct"/>
            <w:tcBorders>
              <w:top w:val="nil"/>
              <w:left w:val="nil"/>
              <w:bottom w:val="nil"/>
              <w:right w:val="nil"/>
            </w:tcBorders>
            <w:shd w:val="clear" w:color="auto" w:fill="auto"/>
            <w:noWrap/>
            <w:vAlign w:val="bottom"/>
            <w:hideMark/>
          </w:tcPr>
          <w:p w14:paraId="5D712A24" w14:textId="77777777" w:rsidR="00DD531B" w:rsidRPr="00463505"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1 034 795</w:t>
            </w:r>
          </w:p>
        </w:tc>
        <w:tc>
          <w:tcPr>
            <w:tcW w:w="469" w:type="pct"/>
            <w:tcBorders>
              <w:top w:val="nil"/>
              <w:left w:val="nil"/>
              <w:bottom w:val="nil"/>
              <w:right w:val="nil"/>
            </w:tcBorders>
            <w:shd w:val="clear" w:color="auto" w:fill="auto"/>
            <w:noWrap/>
            <w:vAlign w:val="bottom"/>
            <w:hideMark/>
          </w:tcPr>
          <w:p w14:paraId="596A91A0" w14:textId="77777777" w:rsidR="00DD531B" w:rsidRPr="00463505"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600 481</w:t>
            </w:r>
          </w:p>
        </w:tc>
        <w:tc>
          <w:tcPr>
            <w:tcW w:w="391" w:type="pct"/>
            <w:tcBorders>
              <w:top w:val="nil"/>
              <w:left w:val="nil"/>
              <w:bottom w:val="nil"/>
              <w:right w:val="nil"/>
            </w:tcBorders>
            <w:shd w:val="clear" w:color="auto" w:fill="auto"/>
            <w:noWrap/>
            <w:vAlign w:val="bottom"/>
            <w:hideMark/>
          </w:tcPr>
          <w:p w14:paraId="68618C33" w14:textId="77777777" w:rsidR="00DD531B" w:rsidRPr="00463505"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163 650</w:t>
            </w:r>
          </w:p>
        </w:tc>
        <w:tc>
          <w:tcPr>
            <w:tcW w:w="391" w:type="pct"/>
            <w:tcBorders>
              <w:top w:val="nil"/>
              <w:left w:val="nil"/>
              <w:bottom w:val="nil"/>
              <w:right w:val="nil"/>
            </w:tcBorders>
            <w:shd w:val="clear" w:color="auto" w:fill="auto"/>
            <w:noWrap/>
            <w:vAlign w:val="bottom"/>
            <w:hideMark/>
          </w:tcPr>
          <w:p w14:paraId="014C8202" w14:textId="77777777" w:rsidR="00DD531B" w:rsidRPr="00463505"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196 685</w:t>
            </w:r>
          </w:p>
        </w:tc>
        <w:tc>
          <w:tcPr>
            <w:tcW w:w="465" w:type="pct"/>
            <w:tcBorders>
              <w:top w:val="nil"/>
              <w:left w:val="nil"/>
              <w:bottom w:val="nil"/>
              <w:right w:val="nil"/>
            </w:tcBorders>
            <w:shd w:val="clear" w:color="auto" w:fill="auto"/>
            <w:noWrap/>
            <w:vAlign w:val="bottom"/>
            <w:hideMark/>
          </w:tcPr>
          <w:p w14:paraId="6F243568" w14:textId="77777777" w:rsidR="00DD531B" w:rsidRPr="00463505"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272 385</w:t>
            </w:r>
          </w:p>
        </w:tc>
      </w:tr>
      <w:tr w:rsidR="00463505" w:rsidRPr="00DD531B" w14:paraId="2A1B7F13" w14:textId="77777777" w:rsidTr="00463505">
        <w:trPr>
          <w:trHeight w:val="300"/>
        </w:trPr>
        <w:tc>
          <w:tcPr>
            <w:tcW w:w="2032" w:type="pct"/>
            <w:tcBorders>
              <w:top w:val="nil"/>
              <w:left w:val="nil"/>
              <w:bottom w:val="nil"/>
              <w:right w:val="nil"/>
            </w:tcBorders>
            <w:shd w:val="clear" w:color="auto" w:fill="auto"/>
            <w:noWrap/>
            <w:vAlign w:val="bottom"/>
            <w:hideMark/>
          </w:tcPr>
          <w:p w14:paraId="3770363D" w14:textId="77777777" w:rsidR="00DD531B" w:rsidRPr="00463505" w:rsidRDefault="00DD531B" w:rsidP="00DD531B">
            <w:pPr>
              <w:spacing w:after="0" w:line="240" w:lineRule="auto"/>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nedaňové príjmy, v tom:</w:t>
            </w:r>
          </w:p>
        </w:tc>
        <w:tc>
          <w:tcPr>
            <w:tcW w:w="392" w:type="pct"/>
            <w:tcBorders>
              <w:top w:val="nil"/>
              <w:left w:val="nil"/>
              <w:bottom w:val="nil"/>
              <w:right w:val="nil"/>
            </w:tcBorders>
            <w:shd w:val="clear" w:color="auto" w:fill="auto"/>
            <w:noWrap/>
            <w:vAlign w:val="bottom"/>
            <w:hideMark/>
          </w:tcPr>
          <w:p w14:paraId="66DD9DB8"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3 639</w:t>
            </w:r>
          </w:p>
        </w:tc>
        <w:tc>
          <w:tcPr>
            <w:tcW w:w="391" w:type="pct"/>
            <w:tcBorders>
              <w:top w:val="nil"/>
              <w:left w:val="nil"/>
              <w:bottom w:val="nil"/>
              <w:right w:val="nil"/>
            </w:tcBorders>
            <w:shd w:val="clear" w:color="auto" w:fill="auto"/>
            <w:noWrap/>
            <w:vAlign w:val="bottom"/>
            <w:hideMark/>
          </w:tcPr>
          <w:p w14:paraId="5EF89AB2"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18 373</w:t>
            </w:r>
          </w:p>
        </w:tc>
        <w:tc>
          <w:tcPr>
            <w:tcW w:w="470" w:type="pct"/>
            <w:tcBorders>
              <w:top w:val="nil"/>
              <w:left w:val="nil"/>
              <w:bottom w:val="nil"/>
              <w:right w:val="nil"/>
            </w:tcBorders>
            <w:shd w:val="clear" w:color="auto" w:fill="auto"/>
            <w:noWrap/>
            <w:vAlign w:val="bottom"/>
            <w:hideMark/>
          </w:tcPr>
          <w:p w14:paraId="02538C5D"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150 518</w:t>
            </w:r>
          </w:p>
        </w:tc>
        <w:tc>
          <w:tcPr>
            <w:tcW w:w="469" w:type="pct"/>
            <w:tcBorders>
              <w:top w:val="nil"/>
              <w:left w:val="nil"/>
              <w:bottom w:val="nil"/>
              <w:right w:val="nil"/>
            </w:tcBorders>
            <w:shd w:val="clear" w:color="auto" w:fill="auto"/>
            <w:noWrap/>
            <w:vAlign w:val="bottom"/>
            <w:hideMark/>
          </w:tcPr>
          <w:p w14:paraId="5A3C7C43"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154 688</w:t>
            </w:r>
          </w:p>
        </w:tc>
        <w:tc>
          <w:tcPr>
            <w:tcW w:w="391" w:type="pct"/>
            <w:tcBorders>
              <w:top w:val="nil"/>
              <w:left w:val="nil"/>
              <w:bottom w:val="nil"/>
              <w:right w:val="nil"/>
            </w:tcBorders>
            <w:shd w:val="clear" w:color="auto" w:fill="auto"/>
            <w:noWrap/>
            <w:vAlign w:val="bottom"/>
            <w:hideMark/>
          </w:tcPr>
          <w:p w14:paraId="5D780430"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80 535</w:t>
            </w:r>
          </w:p>
        </w:tc>
        <w:tc>
          <w:tcPr>
            <w:tcW w:w="391" w:type="pct"/>
            <w:tcBorders>
              <w:top w:val="nil"/>
              <w:left w:val="nil"/>
              <w:bottom w:val="nil"/>
              <w:right w:val="nil"/>
            </w:tcBorders>
            <w:shd w:val="clear" w:color="auto" w:fill="auto"/>
            <w:noWrap/>
            <w:vAlign w:val="bottom"/>
            <w:hideMark/>
          </w:tcPr>
          <w:p w14:paraId="60457ADB"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40 536</w:t>
            </w:r>
          </w:p>
        </w:tc>
        <w:tc>
          <w:tcPr>
            <w:tcW w:w="465" w:type="pct"/>
            <w:tcBorders>
              <w:top w:val="nil"/>
              <w:left w:val="nil"/>
              <w:bottom w:val="nil"/>
              <w:right w:val="nil"/>
            </w:tcBorders>
            <w:shd w:val="clear" w:color="auto" w:fill="auto"/>
            <w:noWrap/>
            <w:vAlign w:val="bottom"/>
            <w:hideMark/>
          </w:tcPr>
          <w:p w14:paraId="64870018"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20 536</w:t>
            </w:r>
          </w:p>
        </w:tc>
      </w:tr>
      <w:tr w:rsidR="00463505" w:rsidRPr="00DD531B" w14:paraId="1C51900C" w14:textId="77777777" w:rsidTr="00463505">
        <w:trPr>
          <w:trHeight w:val="300"/>
        </w:trPr>
        <w:tc>
          <w:tcPr>
            <w:tcW w:w="2032" w:type="pct"/>
            <w:tcBorders>
              <w:top w:val="nil"/>
              <w:left w:val="nil"/>
              <w:bottom w:val="nil"/>
              <w:right w:val="nil"/>
            </w:tcBorders>
            <w:shd w:val="clear" w:color="auto" w:fill="auto"/>
            <w:noWrap/>
            <w:vAlign w:val="bottom"/>
            <w:hideMark/>
          </w:tcPr>
          <w:p w14:paraId="7BE6B405" w14:textId="77777777" w:rsidR="00DD531B" w:rsidRPr="00463505" w:rsidRDefault="00DD531B" w:rsidP="00DD531B">
            <w:pPr>
              <w:spacing w:after="0" w:line="240" w:lineRule="auto"/>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dividendy</w:t>
            </w:r>
          </w:p>
        </w:tc>
        <w:tc>
          <w:tcPr>
            <w:tcW w:w="392" w:type="pct"/>
            <w:tcBorders>
              <w:top w:val="nil"/>
              <w:left w:val="nil"/>
              <w:bottom w:val="nil"/>
              <w:right w:val="nil"/>
            </w:tcBorders>
            <w:shd w:val="clear" w:color="auto" w:fill="auto"/>
            <w:noWrap/>
            <w:vAlign w:val="bottom"/>
            <w:hideMark/>
          </w:tcPr>
          <w:p w14:paraId="5C9525E4"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200</w:t>
            </w:r>
          </w:p>
        </w:tc>
        <w:tc>
          <w:tcPr>
            <w:tcW w:w="391" w:type="pct"/>
            <w:tcBorders>
              <w:top w:val="nil"/>
              <w:left w:val="nil"/>
              <w:bottom w:val="nil"/>
              <w:right w:val="nil"/>
            </w:tcBorders>
            <w:shd w:val="clear" w:color="auto" w:fill="auto"/>
            <w:noWrap/>
            <w:vAlign w:val="bottom"/>
            <w:hideMark/>
          </w:tcPr>
          <w:p w14:paraId="60DB8241"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200</w:t>
            </w:r>
          </w:p>
        </w:tc>
        <w:tc>
          <w:tcPr>
            <w:tcW w:w="470" w:type="pct"/>
            <w:tcBorders>
              <w:top w:val="nil"/>
              <w:left w:val="nil"/>
              <w:bottom w:val="nil"/>
              <w:right w:val="nil"/>
            </w:tcBorders>
            <w:shd w:val="clear" w:color="auto" w:fill="auto"/>
            <w:noWrap/>
            <w:vAlign w:val="bottom"/>
            <w:hideMark/>
          </w:tcPr>
          <w:p w14:paraId="6020DD11"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150 000</w:t>
            </w:r>
          </w:p>
        </w:tc>
        <w:tc>
          <w:tcPr>
            <w:tcW w:w="469" w:type="pct"/>
            <w:tcBorders>
              <w:top w:val="nil"/>
              <w:left w:val="nil"/>
              <w:bottom w:val="nil"/>
              <w:right w:val="nil"/>
            </w:tcBorders>
            <w:shd w:val="clear" w:color="auto" w:fill="auto"/>
            <w:noWrap/>
            <w:vAlign w:val="bottom"/>
            <w:hideMark/>
          </w:tcPr>
          <w:p w14:paraId="67CDACC4"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150 000</w:t>
            </w:r>
          </w:p>
        </w:tc>
        <w:tc>
          <w:tcPr>
            <w:tcW w:w="391" w:type="pct"/>
            <w:tcBorders>
              <w:top w:val="nil"/>
              <w:left w:val="nil"/>
              <w:bottom w:val="nil"/>
              <w:right w:val="nil"/>
            </w:tcBorders>
            <w:shd w:val="clear" w:color="auto" w:fill="auto"/>
            <w:noWrap/>
            <w:vAlign w:val="bottom"/>
            <w:hideMark/>
          </w:tcPr>
          <w:p w14:paraId="5869C201"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80 000</w:t>
            </w:r>
          </w:p>
        </w:tc>
        <w:tc>
          <w:tcPr>
            <w:tcW w:w="391" w:type="pct"/>
            <w:tcBorders>
              <w:top w:val="nil"/>
              <w:left w:val="nil"/>
              <w:bottom w:val="nil"/>
              <w:right w:val="nil"/>
            </w:tcBorders>
            <w:shd w:val="clear" w:color="auto" w:fill="auto"/>
            <w:noWrap/>
            <w:vAlign w:val="bottom"/>
            <w:hideMark/>
          </w:tcPr>
          <w:p w14:paraId="6C44824B"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40 000</w:t>
            </w:r>
          </w:p>
        </w:tc>
        <w:tc>
          <w:tcPr>
            <w:tcW w:w="465" w:type="pct"/>
            <w:tcBorders>
              <w:top w:val="nil"/>
              <w:left w:val="nil"/>
              <w:bottom w:val="nil"/>
              <w:right w:val="nil"/>
            </w:tcBorders>
            <w:shd w:val="clear" w:color="auto" w:fill="auto"/>
            <w:noWrap/>
            <w:vAlign w:val="bottom"/>
            <w:hideMark/>
          </w:tcPr>
          <w:p w14:paraId="1B476099"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20 000</w:t>
            </w:r>
          </w:p>
        </w:tc>
      </w:tr>
      <w:tr w:rsidR="00463505" w:rsidRPr="00DD531B" w14:paraId="21A816DF" w14:textId="77777777" w:rsidTr="00463505">
        <w:trPr>
          <w:trHeight w:val="300"/>
        </w:trPr>
        <w:tc>
          <w:tcPr>
            <w:tcW w:w="2032" w:type="pct"/>
            <w:tcBorders>
              <w:top w:val="nil"/>
              <w:left w:val="nil"/>
              <w:bottom w:val="nil"/>
              <w:right w:val="nil"/>
            </w:tcBorders>
            <w:shd w:val="clear" w:color="auto" w:fill="auto"/>
            <w:noWrap/>
            <w:vAlign w:val="bottom"/>
            <w:hideMark/>
          </w:tcPr>
          <w:p w14:paraId="000FD443" w14:textId="77777777" w:rsidR="00DD531B" w:rsidRPr="00463505" w:rsidRDefault="00DD531B" w:rsidP="00DD531B">
            <w:pPr>
              <w:spacing w:after="0" w:line="240" w:lineRule="auto"/>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granty a transfery, v tom:</w:t>
            </w:r>
          </w:p>
        </w:tc>
        <w:tc>
          <w:tcPr>
            <w:tcW w:w="392" w:type="pct"/>
            <w:tcBorders>
              <w:top w:val="nil"/>
              <w:left w:val="nil"/>
              <w:bottom w:val="nil"/>
              <w:right w:val="nil"/>
            </w:tcBorders>
            <w:shd w:val="clear" w:color="auto" w:fill="auto"/>
            <w:noWrap/>
            <w:vAlign w:val="bottom"/>
            <w:hideMark/>
          </w:tcPr>
          <w:p w14:paraId="7A4EAEC8"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279 474</w:t>
            </w:r>
          </w:p>
        </w:tc>
        <w:tc>
          <w:tcPr>
            <w:tcW w:w="391" w:type="pct"/>
            <w:tcBorders>
              <w:top w:val="nil"/>
              <w:left w:val="nil"/>
              <w:bottom w:val="nil"/>
              <w:right w:val="nil"/>
            </w:tcBorders>
            <w:shd w:val="clear" w:color="auto" w:fill="auto"/>
            <w:noWrap/>
            <w:vAlign w:val="bottom"/>
            <w:hideMark/>
          </w:tcPr>
          <w:p w14:paraId="37942173"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290 065</w:t>
            </w:r>
          </w:p>
        </w:tc>
        <w:tc>
          <w:tcPr>
            <w:tcW w:w="470" w:type="pct"/>
            <w:tcBorders>
              <w:top w:val="nil"/>
              <w:left w:val="nil"/>
              <w:bottom w:val="nil"/>
              <w:right w:val="nil"/>
            </w:tcBorders>
            <w:shd w:val="clear" w:color="auto" w:fill="auto"/>
            <w:noWrap/>
            <w:vAlign w:val="bottom"/>
            <w:hideMark/>
          </w:tcPr>
          <w:p w14:paraId="48D40488"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884 270</w:t>
            </w:r>
          </w:p>
        </w:tc>
        <w:tc>
          <w:tcPr>
            <w:tcW w:w="469" w:type="pct"/>
            <w:tcBorders>
              <w:top w:val="nil"/>
              <w:left w:val="nil"/>
              <w:bottom w:val="nil"/>
              <w:right w:val="nil"/>
            </w:tcBorders>
            <w:shd w:val="clear" w:color="auto" w:fill="auto"/>
            <w:noWrap/>
            <w:vAlign w:val="bottom"/>
            <w:hideMark/>
          </w:tcPr>
          <w:p w14:paraId="08BEA163"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445 785</w:t>
            </w:r>
          </w:p>
        </w:tc>
        <w:tc>
          <w:tcPr>
            <w:tcW w:w="391" w:type="pct"/>
            <w:tcBorders>
              <w:top w:val="nil"/>
              <w:left w:val="nil"/>
              <w:bottom w:val="nil"/>
              <w:right w:val="nil"/>
            </w:tcBorders>
            <w:shd w:val="clear" w:color="auto" w:fill="auto"/>
            <w:noWrap/>
            <w:vAlign w:val="bottom"/>
            <w:hideMark/>
          </w:tcPr>
          <w:p w14:paraId="14420D7D"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83 108</w:t>
            </w:r>
          </w:p>
        </w:tc>
        <w:tc>
          <w:tcPr>
            <w:tcW w:w="391" w:type="pct"/>
            <w:tcBorders>
              <w:top w:val="nil"/>
              <w:left w:val="nil"/>
              <w:bottom w:val="nil"/>
              <w:right w:val="nil"/>
            </w:tcBorders>
            <w:shd w:val="clear" w:color="auto" w:fill="auto"/>
            <w:noWrap/>
            <w:vAlign w:val="bottom"/>
            <w:hideMark/>
          </w:tcPr>
          <w:p w14:paraId="450C2291"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156 142</w:t>
            </w:r>
          </w:p>
        </w:tc>
        <w:tc>
          <w:tcPr>
            <w:tcW w:w="465" w:type="pct"/>
            <w:tcBorders>
              <w:top w:val="nil"/>
              <w:left w:val="nil"/>
              <w:bottom w:val="nil"/>
              <w:right w:val="nil"/>
            </w:tcBorders>
            <w:shd w:val="clear" w:color="auto" w:fill="auto"/>
            <w:noWrap/>
            <w:vAlign w:val="bottom"/>
            <w:hideMark/>
          </w:tcPr>
          <w:p w14:paraId="7D96EA51"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251 842</w:t>
            </w:r>
          </w:p>
        </w:tc>
      </w:tr>
      <w:tr w:rsidR="00463505" w:rsidRPr="00DD531B" w14:paraId="3BD0BE3B" w14:textId="77777777" w:rsidTr="00463505">
        <w:trPr>
          <w:trHeight w:val="300"/>
        </w:trPr>
        <w:tc>
          <w:tcPr>
            <w:tcW w:w="2032" w:type="pct"/>
            <w:tcBorders>
              <w:top w:val="nil"/>
              <w:left w:val="nil"/>
              <w:bottom w:val="nil"/>
              <w:right w:val="nil"/>
            </w:tcBorders>
            <w:shd w:val="clear" w:color="auto" w:fill="auto"/>
            <w:noWrap/>
            <w:vAlign w:val="bottom"/>
            <w:hideMark/>
          </w:tcPr>
          <w:p w14:paraId="48821CC9" w14:textId="77777777" w:rsidR="00DD531B" w:rsidRPr="00463505" w:rsidRDefault="00DD531B" w:rsidP="00DD531B">
            <w:pPr>
              <w:spacing w:after="0" w:line="240" w:lineRule="auto"/>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prostriedky EÚ</w:t>
            </w:r>
          </w:p>
        </w:tc>
        <w:tc>
          <w:tcPr>
            <w:tcW w:w="392" w:type="pct"/>
            <w:tcBorders>
              <w:top w:val="nil"/>
              <w:left w:val="nil"/>
              <w:bottom w:val="nil"/>
              <w:right w:val="nil"/>
            </w:tcBorders>
            <w:shd w:val="clear" w:color="auto" w:fill="auto"/>
            <w:noWrap/>
            <w:vAlign w:val="bottom"/>
            <w:hideMark/>
          </w:tcPr>
          <w:p w14:paraId="42973891"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279 474</w:t>
            </w:r>
          </w:p>
        </w:tc>
        <w:tc>
          <w:tcPr>
            <w:tcW w:w="391" w:type="pct"/>
            <w:tcBorders>
              <w:top w:val="nil"/>
              <w:left w:val="nil"/>
              <w:bottom w:val="nil"/>
              <w:right w:val="nil"/>
            </w:tcBorders>
            <w:shd w:val="clear" w:color="auto" w:fill="auto"/>
            <w:noWrap/>
            <w:vAlign w:val="bottom"/>
            <w:hideMark/>
          </w:tcPr>
          <w:p w14:paraId="3E61DB95"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290 065</w:t>
            </w:r>
          </w:p>
        </w:tc>
        <w:tc>
          <w:tcPr>
            <w:tcW w:w="470" w:type="pct"/>
            <w:tcBorders>
              <w:top w:val="nil"/>
              <w:left w:val="nil"/>
              <w:bottom w:val="nil"/>
              <w:right w:val="nil"/>
            </w:tcBorders>
            <w:shd w:val="clear" w:color="auto" w:fill="auto"/>
            <w:noWrap/>
            <w:vAlign w:val="bottom"/>
            <w:hideMark/>
          </w:tcPr>
          <w:p w14:paraId="4B31B2DA"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884 270</w:t>
            </w:r>
          </w:p>
        </w:tc>
        <w:tc>
          <w:tcPr>
            <w:tcW w:w="469" w:type="pct"/>
            <w:tcBorders>
              <w:top w:val="nil"/>
              <w:left w:val="nil"/>
              <w:bottom w:val="nil"/>
              <w:right w:val="nil"/>
            </w:tcBorders>
            <w:shd w:val="clear" w:color="auto" w:fill="auto"/>
            <w:noWrap/>
            <w:vAlign w:val="bottom"/>
            <w:hideMark/>
          </w:tcPr>
          <w:p w14:paraId="4CA73939"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445 785</w:t>
            </w:r>
          </w:p>
        </w:tc>
        <w:tc>
          <w:tcPr>
            <w:tcW w:w="391" w:type="pct"/>
            <w:tcBorders>
              <w:top w:val="nil"/>
              <w:left w:val="nil"/>
              <w:bottom w:val="nil"/>
              <w:right w:val="nil"/>
            </w:tcBorders>
            <w:shd w:val="clear" w:color="auto" w:fill="auto"/>
            <w:noWrap/>
            <w:vAlign w:val="bottom"/>
            <w:hideMark/>
          </w:tcPr>
          <w:p w14:paraId="464B2C5A"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83 108</w:t>
            </w:r>
          </w:p>
        </w:tc>
        <w:tc>
          <w:tcPr>
            <w:tcW w:w="391" w:type="pct"/>
            <w:tcBorders>
              <w:top w:val="nil"/>
              <w:left w:val="nil"/>
              <w:bottom w:val="nil"/>
              <w:right w:val="nil"/>
            </w:tcBorders>
            <w:shd w:val="clear" w:color="auto" w:fill="auto"/>
            <w:noWrap/>
            <w:vAlign w:val="bottom"/>
            <w:hideMark/>
          </w:tcPr>
          <w:p w14:paraId="4CF16112"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156 142</w:t>
            </w:r>
          </w:p>
        </w:tc>
        <w:tc>
          <w:tcPr>
            <w:tcW w:w="465" w:type="pct"/>
            <w:tcBorders>
              <w:top w:val="nil"/>
              <w:left w:val="nil"/>
              <w:bottom w:val="nil"/>
              <w:right w:val="nil"/>
            </w:tcBorders>
            <w:shd w:val="clear" w:color="auto" w:fill="auto"/>
            <w:noWrap/>
            <w:vAlign w:val="bottom"/>
            <w:hideMark/>
          </w:tcPr>
          <w:p w14:paraId="6325CA5A"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251 842</w:t>
            </w:r>
          </w:p>
        </w:tc>
      </w:tr>
      <w:tr w:rsidR="00463505" w:rsidRPr="00DD531B" w14:paraId="4B7D7BB3" w14:textId="77777777" w:rsidTr="00463505">
        <w:trPr>
          <w:trHeight w:val="300"/>
        </w:trPr>
        <w:tc>
          <w:tcPr>
            <w:tcW w:w="2032" w:type="pct"/>
            <w:tcBorders>
              <w:top w:val="nil"/>
              <w:left w:val="nil"/>
              <w:bottom w:val="single" w:sz="4" w:space="0" w:color="auto"/>
              <w:right w:val="nil"/>
            </w:tcBorders>
            <w:shd w:val="clear" w:color="auto" w:fill="auto"/>
            <w:noWrap/>
            <w:vAlign w:val="bottom"/>
            <w:hideMark/>
          </w:tcPr>
          <w:p w14:paraId="521EA79D" w14:textId="77B26AD2" w:rsidR="00DD531B" w:rsidRPr="00463505" w:rsidRDefault="00DD531B" w:rsidP="00DD531B">
            <w:pPr>
              <w:spacing w:after="0" w:line="240" w:lineRule="auto"/>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 xml:space="preserve">prostriedky podľa § 17 ods. 4 a § 22 ods. 4 zákona </w:t>
            </w:r>
            <w:r w:rsidR="00463505">
              <w:rPr>
                <w:rFonts w:ascii="Times New Roman" w:eastAsia="Times New Roman" w:hAnsi="Times New Roman" w:cs="Times New Roman"/>
                <w:sz w:val="16"/>
                <w:szCs w:val="16"/>
                <w:lang w:eastAsia="sk-SK"/>
              </w:rPr>
              <w:br/>
            </w:r>
            <w:r w:rsidRPr="00463505">
              <w:rPr>
                <w:rFonts w:ascii="Times New Roman" w:eastAsia="Times New Roman" w:hAnsi="Times New Roman" w:cs="Times New Roman"/>
                <w:sz w:val="16"/>
                <w:szCs w:val="16"/>
                <w:lang w:eastAsia="sk-SK"/>
              </w:rPr>
              <w:t>č. 523/2004 Z. z.</w:t>
            </w:r>
          </w:p>
        </w:tc>
        <w:tc>
          <w:tcPr>
            <w:tcW w:w="392" w:type="pct"/>
            <w:tcBorders>
              <w:top w:val="nil"/>
              <w:left w:val="nil"/>
              <w:bottom w:val="single" w:sz="4" w:space="0" w:color="auto"/>
              <w:right w:val="nil"/>
            </w:tcBorders>
            <w:shd w:val="clear" w:color="auto" w:fill="auto"/>
            <w:noWrap/>
            <w:vAlign w:val="bottom"/>
            <w:hideMark/>
          </w:tcPr>
          <w:p w14:paraId="7D110521"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10</w:t>
            </w:r>
          </w:p>
        </w:tc>
        <w:tc>
          <w:tcPr>
            <w:tcW w:w="391" w:type="pct"/>
            <w:tcBorders>
              <w:top w:val="nil"/>
              <w:left w:val="nil"/>
              <w:bottom w:val="single" w:sz="4" w:space="0" w:color="auto"/>
              <w:right w:val="nil"/>
            </w:tcBorders>
            <w:shd w:val="clear" w:color="auto" w:fill="auto"/>
            <w:noWrap/>
            <w:vAlign w:val="bottom"/>
            <w:hideMark/>
          </w:tcPr>
          <w:p w14:paraId="10FEADB0"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8</w:t>
            </w:r>
          </w:p>
        </w:tc>
        <w:tc>
          <w:tcPr>
            <w:tcW w:w="470" w:type="pct"/>
            <w:tcBorders>
              <w:top w:val="nil"/>
              <w:left w:val="nil"/>
              <w:bottom w:val="single" w:sz="4" w:space="0" w:color="auto"/>
              <w:right w:val="nil"/>
            </w:tcBorders>
            <w:shd w:val="clear" w:color="auto" w:fill="auto"/>
            <w:noWrap/>
            <w:vAlign w:val="bottom"/>
            <w:hideMark/>
          </w:tcPr>
          <w:p w14:paraId="155A0598"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7</w:t>
            </w:r>
          </w:p>
        </w:tc>
        <w:tc>
          <w:tcPr>
            <w:tcW w:w="469" w:type="pct"/>
            <w:tcBorders>
              <w:top w:val="nil"/>
              <w:left w:val="nil"/>
              <w:bottom w:val="single" w:sz="4" w:space="0" w:color="auto"/>
              <w:right w:val="nil"/>
            </w:tcBorders>
            <w:shd w:val="clear" w:color="auto" w:fill="auto"/>
            <w:noWrap/>
            <w:vAlign w:val="bottom"/>
            <w:hideMark/>
          </w:tcPr>
          <w:p w14:paraId="399544BA"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7</w:t>
            </w:r>
          </w:p>
        </w:tc>
        <w:tc>
          <w:tcPr>
            <w:tcW w:w="391" w:type="pct"/>
            <w:tcBorders>
              <w:top w:val="nil"/>
              <w:left w:val="nil"/>
              <w:bottom w:val="single" w:sz="4" w:space="0" w:color="auto"/>
              <w:right w:val="nil"/>
            </w:tcBorders>
            <w:shd w:val="clear" w:color="auto" w:fill="auto"/>
            <w:noWrap/>
            <w:vAlign w:val="bottom"/>
            <w:hideMark/>
          </w:tcPr>
          <w:p w14:paraId="2E7A695D"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7</w:t>
            </w:r>
          </w:p>
        </w:tc>
        <w:tc>
          <w:tcPr>
            <w:tcW w:w="391" w:type="pct"/>
            <w:tcBorders>
              <w:top w:val="nil"/>
              <w:left w:val="nil"/>
              <w:bottom w:val="single" w:sz="4" w:space="0" w:color="auto"/>
              <w:right w:val="nil"/>
            </w:tcBorders>
            <w:shd w:val="clear" w:color="auto" w:fill="auto"/>
            <w:noWrap/>
            <w:vAlign w:val="bottom"/>
            <w:hideMark/>
          </w:tcPr>
          <w:p w14:paraId="2928EDCD"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7</w:t>
            </w:r>
          </w:p>
        </w:tc>
        <w:tc>
          <w:tcPr>
            <w:tcW w:w="465" w:type="pct"/>
            <w:tcBorders>
              <w:top w:val="nil"/>
              <w:left w:val="nil"/>
              <w:bottom w:val="single" w:sz="4" w:space="0" w:color="auto"/>
              <w:right w:val="nil"/>
            </w:tcBorders>
            <w:shd w:val="clear" w:color="auto" w:fill="auto"/>
            <w:noWrap/>
            <w:vAlign w:val="bottom"/>
            <w:hideMark/>
          </w:tcPr>
          <w:p w14:paraId="2237A339"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7</w:t>
            </w:r>
          </w:p>
        </w:tc>
      </w:tr>
    </w:tbl>
    <w:p w14:paraId="27FF727F" w14:textId="77777777" w:rsidR="00DD531B" w:rsidRPr="00DD531B" w:rsidRDefault="00DD531B" w:rsidP="00DD531B">
      <w:pPr>
        <w:rPr>
          <w:rFonts w:ascii="Times New Roman" w:eastAsia="Calibri" w:hAnsi="Times New Roman" w:cs="Times New Roman"/>
        </w:rPr>
      </w:pPr>
    </w:p>
    <w:p w14:paraId="0DD83E44" w14:textId="2217CB0D" w:rsidR="00DD531B" w:rsidRPr="00463505" w:rsidRDefault="00463505"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12" w:name="_Toc153013082"/>
      <w:r w:rsidRPr="00463505">
        <w:rPr>
          <w:rFonts w:ascii="Times New Roman" w:eastAsia="Times New Roman" w:hAnsi="Times New Roman" w:cs="Times New Roman"/>
          <w:b/>
          <w:iCs/>
          <w:color w:val="5B9BD5" w:themeColor="accent1"/>
          <w:sz w:val="20"/>
          <w:szCs w:val="20"/>
          <w:lang w:eastAsia="sk-SK"/>
        </w:rPr>
        <w:t xml:space="preserve">Tabuľka </w:t>
      </w:r>
      <w:r w:rsidRPr="00463505">
        <w:rPr>
          <w:rFonts w:ascii="Times New Roman" w:hAnsi="Times New Roman" w:cs="Times New Roman"/>
          <w:b/>
          <w:color w:val="5B9BD5" w:themeColor="accent1"/>
          <w:sz w:val="20"/>
          <w:szCs w:val="20"/>
        </w:rPr>
        <w:fldChar w:fldCharType="begin"/>
      </w:r>
      <w:r w:rsidRPr="00463505">
        <w:rPr>
          <w:rFonts w:ascii="Times New Roman" w:hAnsi="Times New Roman" w:cs="Times New Roman"/>
          <w:b/>
          <w:color w:val="5B9BD5" w:themeColor="accent1"/>
          <w:sz w:val="20"/>
          <w:szCs w:val="20"/>
        </w:rPr>
        <w:instrText xml:space="preserve"> SEQ Tabuľka \* ARABIC </w:instrText>
      </w:r>
      <w:r w:rsidRPr="00463505">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84</w:t>
      </w:r>
      <w:r w:rsidRPr="00463505">
        <w:rPr>
          <w:rFonts w:ascii="Times New Roman" w:hAnsi="Times New Roman" w:cs="Times New Roman"/>
          <w:b/>
          <w:color w:val="5B9BD5" w:themeColor="accent1"/>
          <w:sz w:val="20"/>
          <w:szCs w:val="20"/>
        </w:rPr>
        <w:fldChar w:fldCharType="end"/>
      </w:r>
      <w:r w:rsidRPr="00463505">
        <w:rPr>
          <w:rFonts w:ascii="Times New Roman" w:hAnsi="Times New Roman" w:cs="Times New Roman"/>
          <w:b/>
          <w:color w:val="5B9BD5" w:themeColor="accent1"/>
          <w:sz w:val="20"/>
          <w:szCs w:val="20"/>
        </w:rPr>
        <w:t xml:space="preserve"> - </w:t>
      </w:r>
      <w:r w:rsidR="00DD531B" w:rsidRPr="00463505">
        <w:rPr>
          <w:rFonts w:ascii="Times New Roman" w:eastAsia="Times New Roman" w:hAnsi="Times New Roman" w:cs="Times New Roman"/>
          <w:b/>
          <w:iCs/>
          <w:color w:val="5B9BD5" w:themeColor="accent1"/>
          <w:sz w:val="20"/>
          <w:szCs w:val="20"/>
          <w:lang w:eastAsia="sk-SK"/>
        </w:rPr>
        <w:t>Výdavky kapitoly MŽP SR</w:t>
      </w:r>
      <w:bookmarkEnd w:id="212"/>
    </w:p>
    <w:tbl>
      <w:tblPr>
        <w:tblW w:w="5000" w:type="pct"/>
        <w:tblLayout w:type="fixed"/>
        <w:tblCellMar>
          <w:left w:w="70" w:type="dxa"/>
          <w:right w:w="70" w:type="dxa"/>
        </w:tblCellMar>
        <w:tblLook w:val="04A0" w:firstRow="1" w:lastRow="0" w:firstColumn="1" w:lastColumn="0" w:noHBand="0" w:noVBand="1"/>
      </w:tblPr>
      <w:tblGrid>
        <w:gridCol w:w="3971"/>
        <w:gridCol w:w="710"/>
        <w:gridCol w:w="709"/>
        <w:gridCol w:w="709"/>
        <w:gridCol w:w="849"/>
        <w:gridCol w:w="709"/>
        <w:gridCol w:w="711"/>
        <w:gridCol w:w="704"/>
      </w:tblGrid>
      <w:tr w:rsidR="00DD531B" w:rsidRPr="00463505" w14:paraId="24F9929E" w14:textId="77777777" w:rsidTr="00463505">
        <w:trPr>
          <w:trHeight w:val="300"/>
        </w:trPr>
        <w:tc>
          <w:tcPr>
            <w:tcW w:w="2188" w:type="pct"/>
            <w:tcBorders>
              <w:top w:val="single" w:sz="4" w:space="0" w:color="auto"/>
              <w:left w:val="nil"/>
              <w:bottom w:val="single" w:sz="4" w:space="0" w:color="auto"/>
              <w:right w:val="nil"/>
            </w:tcBorders>
            <w:shd w:val="clear" w:color="auto" w:fill="auto"/>
            <w:noWrap/>
            <w:vAlign w:val="center"/>
            <w:hideMark/>
          </w:tcPr>
          <w:p w14:paraId="3BD97F29" w14:textId="77777777" w:rsidR="00DD531B" w:rsidRPr="00463505" w:rsidRDefault="00DD531B" w:rsidP="00DD531B">
            <w:pPr>
              <w:spacing w:after="0" w:line="240" w:lineRule="auto"/>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v  tis. eur</w:t>
            </w:r>
          </w:p>
        </w:tc>
        <w:tc>
          <w:tcPr>
            <w:tcW w:w="391" w:type="pct"/>
            <w:tcBorders>
              <w:top w:val="single" w:sz="4" w:space="0" w:color="auto"/>
              <w:left w:val="nil"/>
              <w:bottom w:val="single" w:sz="4" w:space="0" w:color="auto"/>
              <w:right w:val="nil"/>
            </w:tcBorders>
            <w:shd w:val="clear" w:color="auto" w:fill="auto"/>
            <w:noWrap/>
            <w:vAlign w:val="center"/>
            <w:hideMark/>
          </w:tcPr>
          <w:p w14:paraId="21F0142C"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2021 S</w:t>
            </w:r>
          </w:p>
        </w:tc>
        <w:tc>
          <w:tcPr>
            <w:tcW w:w="391" w:type="pct"/>
            <w:tcBorders>
              <w:top w:val="single" w:sz="4" w:space="0" w:color="auto"/>
              <w:left w:val="nil"/>
              <w:bottom w:val="single" w:sz="4" w:space="0" w:color="auto"/>
              <w:right w:val="nil"/>
            </w:tcBorders>
            <w:shd w:val="clear" w:color="auto" w:fill="auto"/>
            <w:noWrap/>
            <w:vAlign w:val="center"/>
            <w:hideMark/>
          </w:tcPr>
          <w:p w14:paraId="1242B261"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2022 S</w:t>
            </w:r>
          </w:p>
        </w:tc>
        <w:tc>
          <w:tcPr>
            <w:tcW w:w="391" w:type="pct"/>
            <w:tcBorders>
              <w:top w:val="single" w:sz="4" w:space="0" w:color="auto"/>
              <w:left w:val="nil"/>
              <w:bottom w:val="single" w:sz="4" w:space="0" w:color="auto"/>
              <w:right w:val="nil"/>
            </w:tcBorders>
            <w:shd w:val="clear" w:color="auto" w:fill="auto"/>
            <w:noWrap/>
            <w:vAlign w:val="center"/>
            <w:hideMark/>
          </w:tcPr>
          <w:p w14:paraId="23C1F746"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2023 R</w:t>
            </w:r>
          </w:p>
        </w:tc>
        <w:tc>
          <w:tcPr>
            <w:tcW w:w="468" w:type="pct"/>
            <w:tcBorders>
              <w:top w:val="single" w:sz="4" w:space="0" w:color="auto"/>
              <w:left w:val="nil"/>
              <w:bottom w:val="single" w:sz="4" w:space="0" w:color="auto"/>
              <w:right w:val="nil"/>
            </w:tcBorders>
            <w:shd w:val="clear" w:color="auto" w:fill="auto"/>
            <w:noWrap/>
            <w:vAlign w:val="center"/>
            <w:hideMark/>
          </w:tcPr>
          <w:p w14:paraId="63380F92"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2023 OS</w:t>
            </w:r>
          </w:p>
        </w:tc>
        <w:tc>
          <w:tcPr>
            <w:tcW w:w="391" w:type="pct"/>
            <w:tcBorders>
              <w:top w:val="single" w:sz="4" w:space="0" w:color="auto"/>
              <w:left w:val="nil"/>
              <w:bottom w:val="single" w:sz="4" w:space="0" w:color="auto"/>
              <w:right w:val="nil"/>
            </w:tcBorders>
            <w:shd w:val="clear" w:color="auto" w:fill="auto"/>
            <w:noWrap/>
            <w:vAlign w:val="center"/>
            <w:hideMark/>
          </w:tcPr>
          <w:p w14:paraId="78BA3764"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2024 N</w:t>
            </w:r>
          </w:p>
        </w:tc>
        <w:tc>
          <w:tcPr>
            <w:tcW w:w="392" w:type="pct"/>
            <w:tcBorders>
              <w:top w:val="single" w:sz="4" w:space="0" w:color="auto"/>
              <w:left w:val="nil"/>
              <w:bottom w:val="single" w:sz="4" w:space="0" w:color="auto"/>
              <w:right w:val="nil"/>
            </w:tcBorders>
            <w:shd w:val="clear" w:color="auto" w:fill="auto"/>
            <w:noWrap/>
            <w:vAlign w:val="center"/>
            <w:hideMark/>
          </w:tcPr>
          <w:p w14:paraId="1AEBF1FD"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2025 N</w:t>
            </w:r>
          </w:p>
        </w:tc>
        <w:tc>
          <w:tcPr>
            <w:tcW w:w="389" w:type="pct"/>
            <w:tcBorders>
              <w:top w:val="single" w:sz="4" w:space="0" w:color="auto"/>
              <w:left w:val="nil"/>
              <w:bottom w:val="single" w:sz="4" w:space="0" w:color="auto"/>
              <w:right w:val="nil"/>
            </w:tcBorders>
            <w:shd w:val="clear" w:color="auto" w:fill="auto"/>
            <w:noWrap/>
            <w:vAlign w:val="center"/>
            <w:hideMark/>
          </w:tcPr>
          <w:p w14:paraId="68AF37B9"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2026 N</w:t>
            </w:r>
          </w:p>
        </w:tc>
      </w:tr>
      <w:tr w:rsidR="00DD531B" w:rsidRPr="00463505" w14:paraId="43338989" w14:textId="77777777" w:rsidTr="00463505">
        <w:trPr>
          <w:trHeight w:val="300"/>
        </w:trPr>
        <w:tc>
          <w:tcPr>
            <w:tcW w:w="2188" w:type="pct"/>
            <w:tcBorders>
              <w:top w:val="nil"/>
              <w:left w:val="nil"/>
              <w:bottom w:val="nil"/>
              <w:right w:val="nil"/>
            </w:tcBorders>
            <w:shd w:val="clear" w:color="auto" w:fill="auto"/>
            <w:noWrap/>
            <w:vAlign w:val="center"/>
            <w:hideMark/>
          </w:tcPr>
          <w:p w14:paraId="157A8C25" w14:textId="77777777" w:rsidR="00DD531B" w:rsidRPr="00463505" w:rsidRDefault="00DD531B" w:rsidP="00DD531B">
            <w:pPr>
              <w:spacing w:after="0" w:line="240" w:lineRule="auto"/>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Výdavky kapitoly spolu</w:t>
            </w:r>
          </w:p>
        </w:tc>
        <w:tc>
          <w:tcPr>
            <w:tcW w:w="391" w:type="pct"/>
            <w:tcBorders>
              <w:top w:val="nil"/>
              <w:left w:val="nil"/>
              <w:bottom w:val="nil"/>
              <w:right w:val="nil"/>
            </w:tcBorders>
            <w:shd w:val="clear" w:color="auto" w:fill="auto"/>
            <w:noWrap/>
            <w:vAlign w:val="center"/>
            <w:hideMark/>
          </w:tcPr>
          <w:p w14:paraId="195F2BA1"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298 117</w:t>
            </w:r>
          </w:p>
        </w:tc>
        <w:tc>
          <w:tcPr>
            <w:tcW w:w="391" w:type="pct"/>
            <w:tcBorders>
              <w:top w:val="nil"/>
              <w:left w:val="nil"/>
              <w:bottom w:val="nil"/>
              <w:right w:val="nil"/>
            </w:tcBorders>
            <w:shd w:val="clear" w:color="auto" w:fill="auto"/>
            <w:noWrap/>
            <w:vAlign w:val="center"/>
            <w:hideMark/>
          </w:tcPr>
          <w:p w14:paraId="73197E33"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389 824</w:t>
            </w:r>
          </w:p>
        </w:tc>
        <w:tc>
          <w:tcPr>
            <w:tcW w:w="391" w:type="pct"/>
            <w:tcBorders>
              <w:top w:val="nil"/>
              <w:left w:val="nil"/>
              <w:bottom w:val="nil"/>
              <w:right w:val="nil"/>
            </w:tcBorders>
            <w:shd w:val="clear" w:color="auto" w:fill="auto"/>
            <w:noWrap/>
            <w:vAlign w:val="center"/>
            <w:hideMark/>
          </w:tcPr>
          <w:p w14:paraId="340B6C01"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1 681 143</w:t>
            </w:r>
          </w:p>
        </w:tc>
        <w:tc>
          <w:tcPr>
            <w:tcW w:w="468" w:type="pct"/>
            <w:tcBorders>
              <w:top w:val="nil"/>
              <w:left w:val="nil"/>
              <w:bottom w:val="nil"/>
              <w:right w:val="nil"/>
            </w:tcBorders>
            <w:shd w:val="clear" w:color="auto" w:fill="auto"/>
            <w:noWrap/>
            <w:vAlign w:val="center"/>
            <w:hideMark/>
          </w:tcPr>
          <w:p w14:paraId="353B3768"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838 472</w:t>
            </w:r>
          </w:p>
        </w:tc>
        <w:tc>
          <w:tcPr>
            <w:tcW w:w="391" w:type="pct"/>
            <w:tcBorders>
              <w:top w:val="nil"/>
              <w:left w:val="nil"/>
              <w:bottom w:val="nil"/>
              <w:right w:val="nil"/>
            </w:tcBorders>
            <w:shd w:val="clear" w:color="auto" w:fill="auto"/>
            <w:noWrap/>
            <w:vAlign w:val="center"/>
            <w:hideMark/>
          </w:tcPr>
          <w:p w14:paraId="3BC970D7"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445 730</w:t>
            </w:r>
          </w:p>
        </w:tc>
        <w:tc>
          <w:tcPr>
            <w:tcW w:w="392" w:type="pct"/>
            <w:tcBorders>
              <w:top w:val="nil"/>
              <w:left w:val="nil"/>
              <w:bottom w:val="nil"/>
              <w:right w:val="nil"/>
            </w:tcBorders>
            <w:shd w:val="clear" w:color="auto" w:fill="auto"/>
            <w:noWrap/>
            <w:vAlign w:val="center"/>
            <w:hideMark/>
          </w:tcPr>
          <w:p w14:paraId="39FABCB3"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360 039</w:t>
            </w:r>
          </w:p>
        </w:tc>
        <w:tc>
          <w:tcPr>
            <w:tcW w:w="389" w:type="pct"/>
            <w:tcBorders>
              <w:top w:val="nil"/>
              <w:left w:val="nil"/>
              <w:bottom w:val="nil"/>
              <w:right w:val="nil"/>
            </w:tcBorders>
            <w:shd w:val="clear" w:color="auto" w:fill="auto"/>
            <w:noWrap/>
            <w:vAlign w:val="center"/>
            <w:hideMark/>
          </w:tcPr>
          <w:p w14:paraId="6325FBA3"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426 668</w:t>
            </w:r>
          </w:p>
        </w:tc>
      </w:tr>
      <w:tr w:rsidR="00DD531B" w:rsidRPr="00463505" w14:paraId="32ACF51F" w14:textId="77777777" w:rsidTr="00463505">
        <w:trPr>
          <w:trHeight w:val="300"/>
        </w:trPr>
        <w:tc>
          <w:tcPr>
            <w:tcW w:w="2188" w:type="pct"/>
            <w:tcBorders>
              <w:top w:val="nil"/>
              <w:left w:val="nil"/>
              <w:bottom w:val="nil"/>
              <w:right w:val="nil"/>
            </w:tcBorders>
            <w:shd w:val="clear" w:color="auto" w:fill="auto"/>
            <w:noWrap/>
            <w:vAlign w:val="bottom"/>
            <w:hideMark/>
          </w:tcPr>
          <w:p w14:paraId="2B302722" w14:textId="77777777" w:rsidR="00DD531B" w:rsidRPr="00463505" w:rsidRDefault="00DD531B" w:rsidP="00DD531B">
            <w:pPr>
              <w:spacing w:after="0" w:line="240" w:lineRule="auto"/>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rozpočtové zdroje kapitoly</w:t>
            </w:r>
          </w:p>
        </w:tc>
        <w:tc>
          <w:tcPr>
            <w:tcW w:w="391" w:type="pct"/>
            <w:tcBorders>
              <w:top w:val="nil"/>
              <w:left w:val="nil"/>
              <w:bottom w:val="nil"/>
              <w:right w:val="nil"/>
            </w:tcBorders>
            <w:shd w:val="clear" w:color="auto" w:fill="auto"/>
            <w:noWrap/>
            <w:vAlign w:val="bottom"/>
            <w:hideMark/>
          </w:tcPr>
          <w:p w14:paraId="715A1F70"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83 954</w:t>
            </w:r>
          </w:p>
        </w:tc>
        <w:tc>
          <w:tcPr>
            <w:tcW w:w="391" w:type="pct"/>
            <w:tcBorders>
              <w:top w:val="nil"/>
              <w:left w:val="nil"/>
              <w:bottom w:val="nil"/>
              <w:right w:val="nil"/>
            </w:tcBorders>
            <w:shd w:val="clear" w:color="auto" w:fill="auto"/>
            <w:noWrap/>
            <w:vAlign w:val="bottom"/>
            <w:hideMark/>
          </w:tcPr>
          <w:p w14:paraId="2974EE98"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81 088</w:t>
            </w:r>
          </w:p>
        </w:tc>
        <w:tc>
          <w:tcPr>
            <w:tcW w:w="391" w:type="pct"/>
            <w:tcBorders>
              <w:top w:val="nil"/>
              <w:left w:val="nil"/>
              <w:bottom w:val="nil"/>
              <w:right w:val="nil"/>
            </w:tcBorders>
            <w:shd w:val="clear" w:color="auto" w:fill="auto"/>
            <w:noWrap/>
            <w:vAlign w:val="bottom"/>
            <w:hideMark/>
          </w:tcPr>
          <w:p w14:paraId="05F20E12"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71 147</w:t>
            </w:r>
          </w:p>
        </w:tc>
        <w:tc>
          <w:tcPr>
            <w:tcW w:w="468" w:type="pct"/>
            <w:tcBorders>
              <w:top w:val="nil"/>
              <w:left w:val="nil"/>
              <w:bottom w:val="nil"/>
              <w:right w:val="nil"/>
            </w:tcBorders>
            <w:shd w:val="clear" w:color="auto" w:fill="auto"/>
            <w:noWrap/>
            <w:vAlign w:val="bottom"/>
            <w:hideMark/>
          </w:tcPr>
          <w:p w14:paraId="32127BA4"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111 377</w:t>
            </w:r>
          </w:p>
        </w:tc>
        <w:tc>
          <w:tcPr>
            <w:tcW w:w="391" w:type="pct"/>
            <w:tcBorders>
              <w:top w:val="nil"/>
              <w:left w:val="nil"/>
              <w:bottom w:val="nil"/>
              <w:right w:val="nil"/>
            </w:tcBorders>
            <w:shd w:val="clear" w:color="auto" w:fill="auto"/>
            <w:noWrap/>
            <w:vAlign w:val="bottom"/>
            <w:hideMark/>
          </w:tcPr>
          <w:p w14:paraId="0A1E17C6"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93 271</w:t>
            </w:r>
          </w:p>
        </w:tc>
        <w:tc>
          <w:tcPr>
            <w:tcW w:w="392" w:type="pct"/>
            <w:tcBorders>
              <w:top w:val="nil"/>
              <w:left w:val="nil"/>
              <w:bottom w:val="nil"/>
              <w:right w:val="nil"/>
            </w:tcBorders>
            <w:shd w:val="clear" w:color="auto" w:fill="auto"/>
            <w:noWrap/>
            <w:vAlign w:val="bottom"/>
            <w:hideMark/>
          </w:tcPr>
          <w:p w14:paraId="3F82CE90"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92 162</w:t>
            </w:r>
          </w:p>
        </w:tc>
        <w:tc>
          <w:tcPr>
            <w:tcW w:w="389" w:type="pct"/>
            <w:tcBorders>
              <w:top w:val="nil"/>
              <w:left w:val="nil"/>
              <w:bottom w:val="nil"/>
              <w:right w:val="nil"/>
            </w:tcBorders>
            <w:shd w:val="clear" w:color="auto" w:fill="auto"/>
            <w:noWrap/>
            <w:vAlign w:val="bottom"/>
            <w:hideMark/>
          </w:tcPr>
          <w:p w14:paraId="183B36AB"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113 575</w:t>
            </w:r>
          </w:p>
        </w:tc>
      </w:tr>
      <w:tr w:rsidR="00DD531B" w:rsidRPr="00463505" w14:paraId="56B0AEE0" w14:textId="77777777" w:rsidTr="00463505">
        <w:trPr>
          <w:trHeight w:val="300"/>
        </w:trPr>
        <w:tc>
          <w:tcPr>
            <w:tcW w:w="2188" w:type="pct"/>
            <w:tcBorders>
              <w:top w:val="nil"/>
              <w:left w:val="nil"/>
              <w:bottom w:val="nil"/>
              <w:right w:val="nil"/>
            </w:tcBorders>
            <w:shd w:val="clear" w:color="auto" w:fill="auto"/>
            <w:noWrap/>
            <w:vAlign w:val="bottom"/>
            <w:hideMark/>
          </w:tcPr>
          <w:p w14:paraId="3044662D"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bežné výdavky  600, v tom:</w:t>
            </w:r>
          </w:p>
        </w:tc>
        <w:tc>
          <w:tcPr>
            <w:tcW w:w="391" w:type="pct"/>
            <w:tcBorders>
              <w:top w:val="nil"/>
              <w:left w:val="nil"/>
              <w:bottom w:val="nil"/>
              <w:right w:val="nil"/>
            </w:tcBorders>
            <w:shd w:val="clear" w:color="auto" w:fill="auto"/>
            <w:noWrap/>
            <w:vAlign w:val="bottom"/>
            <w:hideMark/>
          </w:tcPr>
          <w:p w14:paraId="4B10A3DD"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83 794</w:t>
            </w:r>
          </w:p>
        </w:tc>
        <w:tc>
          <w:tcPr>
            <w:tcW w:w="391" w:type="pct"/>
            <w:tcBorders>
              <w:top w:val="nil"/>
              <w:left w:val="nil"/>
              <w:bottom w:val="nil"/>
              <w:right w:val="nil"/>
            </w:tcBorders>
            <w:shd w:val="clear" w:color="auto" w:fill="auto"/>
            <w:noWrap/>
            <w:vAlign w:val="bottom"/>
            <w:hideMark/>
          </w:tcPr>
          <w:p w14:paraId="586B351E"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78 485</w:t>
            </w:r>
          </w:p>
        </w:tc>
        <w:tc>
          <w:tcPr>
            <w:tcW w:w="391" w:type="pct"/>
            <w:tcBorders>
              <w:top w:val="nil"/>
              <w:left w:val="nil"/>
              <w:bottom w:val="nil"/>
              <w:right w:val="nil"/>
            </w:tcBorders>
            <w:shd w:val="clear" w:color="auto" w:fill="auto"/>
            <w:noWrap/>
            <w:vAlign w:val="bottom"/>
            <w:hideMark/>
          </w:tcPr>
          <w:p w14:paraId="23E1A5F4"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70 204</w:t>
            </w:r>
          </w:p>
        </w:tc>
        <w:tc>
          <w:tcPr>
            <w:tcW w:w="468" w:type="pct"/>
            <w:tcBorders>
              <w:top w:val="nil"/>
              <w:left w:val="nil"/>
              <w:bottom w:val="nil"/>
              <w:right w:val="nil"/>
            </w:tcBorders>
            <w:shd w:val="clear" w:color="auto" w:fill="auto"/>
            <w:noWrap/>
            <w:vAlign w:val="bottom"/>
            <w:hideMark/>
          </w:tcPr>
          <w:p w14:paraId="22A84441"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110 455</w:t>
            </w:r>
          </w:p>
        </w:tc>
        <w:tc>
          <w:tcPr>
            <w:tcW w:w="391" w:type="pct"/>
            <w:tcBorders>
              <w:top w:val="nil"/>
              <w:left w:val="nil"/>
              <w:bottom w:val="nil"/>
              <w:right w:val="nil"/>
            </w:tcBorders>
            <w:shd w:val="clear" w:color="auto" w:fill="auto"/>
            <w:noWrap/>
            <w:vAlign w:val="bottom"/>
            <w:hideMark/>
          </w:tcPr>
          <w:p w14:paraId="2C4F3773"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79 196</w:t>
            </w:r>
          </w:p>
        </w:tc>
        <w:tc>
          <w:tcPr>
            <w:tcW w:w="392" w:type="pct"/>
            <w:tcBorders>
              <w:top w:val="nil"/>
              <w:left w:val="nil"/>
              <w:bottom w:val="nil"/>
              <w:right w:val="nil"/>
            </w:tcBorders>
            <w:shd w:val="clear" w:color="auto" w:fill="auto"/>
            <w:noWrap/>
            <w:vAlign w:val="bottom"/>
            <w:hideMark/>
          </w:tcPr>
          <w:p w14:paraId="760EF557"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82 604</w:t>
            </w:r>
          </w:p>
        </w:tc>
        <w:tc>
          <w:tcPr>
            <w:tcW w:w="389" w:type="pct"/>
            <w:tcBorders>
              <w:top w:val="nil"/>
              <w:left w:val="nil"/>
              <w:bottom w:val="nil"/>
              <w:right w:val="nil"/>
            </w:tcBorders>
            <w:shd w:val="clear" w:color="auto" w:fill="auto"/>
            <w:noWrap/>
            <w:vAlign w:val="bottom"/>
            <w:hideMark/>
          </w:tcPr>
          <w:p w14:paraId="36E6FE25"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76 822</w:t>
            </w:r>
          </w:p>
        </w:tc>
      </w:tr>
      <w:tr w:rsidR="00DD531B" w:rsidRPr="00463505" w14:paraId="7B630DA6" w14:textId="77777777" w:rsidTr="00463505">
        <w:trPr>
          <w:trHeight w:val="300"/>
        </w:trPr>
        <w:tc>
          <w:tcPr>
            <w:tcW w:w="2188" w:type="pct"/>
            <w:tcBorders>
              <w:top w:val="nil"/>
              <w:left w:val="nil"/>
              <w:bottom w:val="nil"/>
              <w:right w:val="nil"/>
            </w:tcBorders>
            <w:shd w:val="clear" w:color="auto" w:fill="auto"/>
            <w:noWrap/>
            <w:vAlign w:val="bottom"/>
            <w:hideMark/>
          </w:tcPr>
          <w:p w14:paraId="5331B49F"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610 mzdy</w:t>
            </w:r>
          </w:p>
        </w:tc>
        <w:tc>
          <w:tcPr>
            <w:tcW w:w="391" w:type="pct"/>
            <w:tcBorders>
              <w:top w:val="nil"/>
              <w:left w:val="nil"/>
              <w:bottom w:val="nil"/>
              <w:right w:val="nil"/>
            </w:tcBorders>
            <w:shd w:val="clear" w:color="auto" w:fill="auto"/>
            <w:noWrap/>
            <w:vAlign w:val="bottom"/>
            <w:hideMark/>
          </w:tcPr>
          <w:p w14:paraId="34EB0B28"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11 229</w:t>
            </w:r>
          </w:p>
        </w:tc>
        <w:tc>
          <w:tcPr>
            <w:tcW w:w="391" w:type="pct"/>
            <w:tcBorders>
              <w:top w:val="nil"/>
              <w:left w:val="nil"/>
              <w:bottom w:val="nil"/>
              <w:right w:val="nil"/>
            </w:tcBorders>
            <w:shd w:val="clear" w:color="auto" w:fill="auto"/>
            <w:noWrap/>
            <w:vAlign w:val="bottom"/>
            <w:hideMark/>
          </w:tcPr>
          <w:p w14:paraId="3817DDBD"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12 748</w:t>
            </w:r>
          </w:p>
        </w:tc>
        <w:tc>
          <w:tcPr>
            <w:tcW w:w="391" w:type="pct"/>
            <w:tcBorders>
              <w:top w:val="nil"/>
              <w:left w:val="nil"/>
              <w:bottom w:val="nil"/>
              <w:right w:val="nil"/>
            </w:tcBorders>
            <w:shd w:val="clear" w:color="auto" w:fill="auto"/>
            <w:noWrap/>
            <w:vAlign w:val="bottom"/>
            <w:hideMark/>
          </w:tcPr>
          <w:p w14:paraId="06A27E32"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12 165</w:t>
            </w:r>
          </w:p>
        </w:tc>
        <w:tc>
          <w:tcPr>
            <w:tcW w:w="468" w:type="pct"/>
            <w:tcBorders>
              <w:top w:val="nil"/>
              <w:left w:val="nil"/>
              <w:bottom w:val="nil"/>
              <w:right w:val="nil"/>
            </w:tcBorders>
            <w:shd w:val="clear" w:color="auto" w:fill="auto"/>
            <w:noWrap/>
            <w:vAlign w:val="bottom"/>
            <w:hideMark/>
          </w:tcPr>
          <w:p w14:paraId="22CFF22C"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16 830</w:t>
            </w:r>
          </w:p>
        </w:tc>
        <w:tc>
          <w:tcPr>
            <w:tcW w:w="391" w:type="pct"/>
            <w:tcBorders>
              <w:top w:val="nil"/>
              <w:left w:val="nil"/>
              <w:bottom w:val="nil"/>
              <w:right w:val="nil"/>
            </w:tcBorders>
            <w:shd w:val="clear" w:color="auto" w:fill="auto"/>
            <w:noWrap/>
            <w:vAlign w:val="bottom"/>
            <w:hideMark/>
          </w:tcPr>
          <w:p w14:paraId="1E8A49B1"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16 451</w:t>
            </w:r>
          </w:p>
        </w:tc>
        <w:tc>
          <w:tcPr>
            <w:tcW w:w="392" w:type="pct"/>
            <w:tcBorders>
              <w:top w:val="nil"/>
              <w:left w:val="nil"/>
              <w:bottom w:val="nil"/>
              <w:right w:val="nil"/>
            </w:tcBorders>
            <w:shd w:val="clear" w:color="auto" w:fill="auto"/>
            <w:noWrap/>
            <w:vAlign w:val="bottom"/>
            <w:hideMark/>
          </w:tcPr>
          <w:p w14:paraId="3A39DE9F"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16 452</w:t>
            </w:r>
          </w:p>
        </w:tc>
        <w:tc>
          <w:tcPr>
            <w:tcW w:w="389" w:type="pct"/>
            <w:tcBorders>
              <w:top w:val="nil"/>
              <w:left w:val="nil"/>
              <w:bottom w:val="nil"/>
              <w:right w:val="nil"/>
            </w:tcBorders>
            <w:shd w:val="clear" w:color="auto" w:fill="auto"/>
            <w:noWrap/>
            <w:vAlign w:val="bottom"/>
            <w:hideMark/>
          </w:tcPr>
          <w:p w14:paraId="591E5300"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16 357</w:t>
            </w:r>
          </w:p>
        </w:tc>
      </w:tr>
      <w:tr w:rsidR="00DD531B" w:rsidRPr="00463505" w14:paraId="7E53A7DF" w14:textId="77777777" w:rsidTr="00463505">
        <w:trPr>
          <w:trHeight w:val="300"/>
        </w:trPr>
        <w:tc>
          <w:tcPr>
            <w:tcW w:w="2188" w:type="pct"/>
            <w:tcBorders>
              <w:top w:val="nil"/>
              <w:left w:val="nil"/>
              <w:bottom w:val="nil"/>
              <w:right w:val="nil"/>
            </w:tcBorders>
            <w:shd w:val="clear" w:color="auto" w:fill="auto"/>
            <w:noWrap/>
            <w:vAlign w:val="bottom"/>
            <w:hideMark/>
          </w:tcPr>
          <w:p w14:paraId="220F93AA"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620 odvody</w:t>
            </w:r>
          </w:p>
        </w:tc>
        <w:tc>
          <w:tcPr>
            <w:tcW w:w="391" w:type="pct"/>
            <w:tcBorders>
              <w:top w:val="nil"/>
              <w:left w:val="nil"/>
              <w:bottom w:val="nil"/>
              <w:right w:val="nil"/>
            </w:tcBorders>
            <w:shd w:val="clear" w:color="auto" w:fill="auto"/>
            <w:noWrap/>
            <w:vAlign w:val="bottom"/>
            <w:hideMark/>
          </w:tcPr>
          <w:p w14:paraId="4AA0AC0F"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4 484</w:t>
            </w:r>
          </w:p>
        </w:tc>
        <w:tc>
          <w:tcPr>
            <w:tcW w:w="391" w:type="pct"/>
            <w:tcBorders>
              <w:top w:val="nil"/>
              <w:left w:val="nil"/>
              <w:bottom w:val="nil"/>
              <w:right w:val="nil"/>
            </w:tcBorders>
            <w:shd w:val="clear" w:color="auto" w:fill="auto"/>
            <w:noWrap/>
            <w:vAlign w:val="bottom"/>
            <w:hideMark/>
          </w:tcPr>
          <w:p w14:paraId="10F5AA59"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4 884</w:t>
            </w:r>
          </w:p>
        </w:tc>
        <w:tc>
          <w:tcPr>
            <w:tcW w:w="391" w:type="pct"/>
            <w:tcBorders>
              <w:top w:val="nil"/>
              <w:left w:val="nil"/>
              <w:bottom w:val="nil"/>
              <w:right w:val="nil"/>
            </w:tcBorders>
            <w:shd w:val="clear" w:color="auto" w:fill="auto"/>
            <w:noWrap/>
            <w:vAlign w:val="bottom"/>
            <w:hideMark/>
          </w:tcPr>
          <w:p w14:paraId="3B94C537"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4 405</w:t>
            </w:r>
          </w:p>
        </w:tc>
        <w:tc>
          <w:tcPr>
            <w:tcW w:w="468" w:type="pct"/>
            <w:tcBorders>
              <w:top w:val="nil"/>
              <w:left w:val="nil"/>
              <w:bottom w:val="nil"/>
              <w:right w:val="nil"/>
            </w:tcBorders>
            <w:shd w:val="clear" w:color="auto" w:fill="auto"/>
            <w:noWrap/>
            <w:vAlign w:val="bottom"/>
            <w:hideMark/>
          </w:tcPr>
          <w:p w14:paraId="555EA140"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6 096</w:t>
            </w:r>
          </w:p>
        </w:tc>
        <w:tc>
          <w:tcPr>
            <w:tcW w:w="391" w:type="pct"/>
            <w:tcBorders>
              <w:top w:val="nil"/>
              <w:left w:val="nil"/>
              <w:bottom w:val="nil"/>
              <w:right w:val="nil"/>
            </w:tcBorders>
            <w:shd w:val="clear" w:color="auto" w:fill="auto"/>
            <w:noWrap/>
            <w:vAlign w:val="bottom"/>
            <w:hideMark/>
          </w:tcPr>
          <w:p w14:paraId="2A5CFF06"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5 744</w:t>
            </w:r>
          </w:p>
        </w:tc>
        <w:tc>
          <w:tcPr>
            <w:tcW w:w="392" w:type="pct"/>
            <w:tcBorders>
              <w:top w:val="nil"/>
              <w:left w:val="nil"/>
              <w:bottom w:val="nil"/>
              <w:right w:val="nil"/>
            </w:tcBorders>
            <w:shd w:val="clear" w:color="auto" w:fill="auto"/>
            <w:noWrap/>
            <w:vAlign w:val="bottom"/>
            <w:hideMark/>
          </w:tcPr>
          <w:p w14:paraId="4CB05CCD"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5 744</w:t>
            </w:r>
          </w:p>
        </w:tc>
        <w:tc>
          <w:tcPr>
            <w:tcW w:w="389" w:type="pct"/>
            <w:tcBorders>
              <w:top w:val="nil"/>
              <w:left w:val="nil"/>
              <w:bottom w:val="nil"/>
              <w:right w:val="nil"/>
            </w:tcBorders>
            <w:shd w:val="clear" w:color="auto" w:fill="auto"/>
            <w:noWrap/>
            <w:vAlign w:val="bottom"/>
            <w:hideMark/>
          </w:tcPr>
          <w:p w14:paraId="24E4F339"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5 711</w:t>
            </w:r>
          </w:p>
        </w:tc>
      </w:tr>
      <w:tr w:rsidR="00DD531B" w:rsidRPr="00463505" w14:paraId="36C2E93C" w14:textId="77777777" w:rsidTr="00463505">
        <w:trPr>
          <w:trHeight w:val="300"/>
        </w:trPr>
        <w:tc>
          <w:tcPr>
            <w:tcW w:w="2188" w:type="pct"/>
            <w:tcBorders>
              <w:top w:val="nil"/>
              <w:left w:val="nil"/>
              <w:bottom w:val="nil"/>
              <w:right w:val="nil"/>
            </w:tcBorders>
            <w:shd w:val="clear" w:color="auto" w:fill="auto"/>
            <w:noWrap/>
            <w:vAlign w:val="bottom"/>
            <w:hideMark/>
          </w:tcPr>
          <w:p w14:paraId="6A5C11DE"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630 tovary a služby</w:t>
            </w:r>
          </w:p>
        </w:tc>
        <w:tc>
          <w:tcPr>
            <w:tcW w:w="391" w:type="pct"/>
            <w:tcBorders>
              <w:top w:val="nil"/>
              <w:left w:val="nil"/>
              <w:bottom w:val="nil"/>
              <w:right w:val="nil"/>
            </w:tcBorders>
            <w:shd w:val="clear" w:color="auto" w:fill="auto"/>
            <w:noWrap/>
            <w:vAlign w:val="bottom"/>
            <w:hideMark/>
          </w:tcPr>
          <w:p w14:paraId="6926553A"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16 626</w:t>
            </w:r>
          </w:p>
        </w:tc>
        <w:tc>
          <w:tcPr>
            <w:tcW w:w="391" w:type="pct"/>
            <w:tcBorders>
              <w:top w:val="nil"/>
              <w:left w:val="nil"/>
              <w:bottom w:val="nil"/>
              <w:right w:val="nil"/>
            </w:tcBorders>
            <w:shd w:val="clear" w:color="auto" w:fill="auto"/>
            <w:noWrap/>
            <w:vAlign w:val="bottom"/>
            <w:hideMark/>
          </w:tcPr>
          <w:p w14:paraId="7EA07B44"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6 891</w:t>
            </w:r>
          </w:p>
        </w:tc>
        <w:tc>
          <w:tcPr>
            <w:tcW w:w="391" w:type="pct"/>
            <w:tcBorders>
              <w:top w:val="nil"/>
              <w:left w:val="nil"/>
              <w:bottom w:val="nil"/>
              <w:right w:val="nil"/>
            </w:tcBorders>
            <w:shd w:val="clear" w:color="auto" w:fill="auto"/>
            <w:noWrap/>
            <w:vAlign w:val="bottom"/>
            <w:hideMark/>
          </w:tcPr>
          <w:p w14:paraId="6DA5E0CD"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11 534</w:t>
            </w:r>
          </w:p>
        </w:tc>
        <w:tc>
          <w:tcPr>
            <w:tcW w:w="468" w:type="pct"/>
            <w:tcBorders>
              <w:top w:val="nil"/>
              <w:left w:val="nil"/>
              <w:bottom w:val="nil"/>
              <w:right w:val="nil"/>
            </w:tcBorders>
            <w:shd w:val="clear" w:color="auto" w:fill="auto"/>
            <w:noWrap/>
            <w:vAlign w:val="bottom"/>
            <w:hideMark/>
          </w:tcPr>
          <w:p w14:paraId="0FAE177B"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7 564</w:t>
            </w:r>
          </w:p>
        </w:tc>
        <w:tc>
          <w:tcPr>
            <w:tcW w:w="391" w:type="pct"/>
            <w:tcBorders>
              <w:top w:val="nil"/>
              <w:left w:val="nil"/>
              <w:bottom w:val="nil"/>
              <w:right w:val="nil"/>
            </w:tcBorders>
            <w:shd w:val="clear" w:color="auto" w:fill="auto"/>
            <w:noWrap/>
            <w:vAlign w:val="bottom"/>
            <w:hideMark/>
          </w:tcPr>
          <w:p w14:paraId="24C778AA"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10 757</w:t>
            </w:r>
          </w:p>
        </w:tc>
        <w:tc>
          <w:tcPr>
            <w:tcW w:w="392" w:type="pct"/>
            <w:tcBorders>
              <w:top w:val="nil"/>
              <w:left w:val="nil"/>
              <w:bottom w:val="nil"/>
              <w:right w:val="nil"/>
            </w:tcBorders>
            <w:shd w:val="clear" w:color="auto" w:fill="auto"/>
            <w:noWrap/>
            <w:vAlign w:val="bottom"/>
            <w:hideMark/>
          </w:tcPr>
          <w:p w14:paraId="136CE754"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14 177</w:t>
            </w:r>
          </w:p>
        </w:tc>
        <w:tc>
          <w:tcPr>
            <w:tcW w:w="389" w:type="pct"/>
            <w:tcBorders>
              <w:top w:val="nil"/>
              <w:left w:val="nil"/>
              <w:bottom w:val="nil"/>
              <w:right w:val="nil"/>
            </w:tcBorders>
            <w:shd w:val="clear" w:color="auto" w:fill="auto"/>
            <w:noWrap/>
            <w:vAlign w:val="bottom"/>
            <w:hideMark/>
          </w:tcPr>
          <w:p w14:paraId="53F345A0"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9 152</w:t>
            </w:r>
          </w:p>
        </w:tc>
      </w:tr>
      <w:tr w:rsidR="00DD531B" w:rsidRPr="00463505" w14:paraId="76A2D048" w14:textId="77777777" w:rsidTr="00463505">
        <w:trPr>
          <w:trHeight w:val="300"/>
        </w:trPr>
        <w:tc>
          <w:tcPr>
            <w:tcW w:w="2188" w:type="pct"/>
            <w:tcBorders>
              <w:top w:val="nil"/>
              <w:left w:val="nil"/>
              <w:bottom w:val="nil"/>
              <w:right w:val="nil"/>
            </w:tcBorders>
            <w:shd w:val="clear" w:color="auto" w:fill="auto"/>
            <w:noWrap/>
            <w:vAlign w:val="bottom"/>
            <w:hideMark/>
          </w:tcPr>
          <w:p w14:paraId="6E7A8207"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640 bežné transfery</w:t>
            </w:r>
          </w:p>
        </w:tc>
        <w:tc>
          <w:tcPr>
            <w:tcW w:w="391" w:type="pct"/>
            <w:tcBorders>
              <w:top w:val="nil"/>
              <w:left w:val="nil"/>
              <w:bottom w:val="nil"/>
              <w:right w:val="nil"/>
            </w:tcBorders>
            <w:shd w:val="clear" w:color="auto" w:fill="auto"/>
            <w:noWrap/>
            <w:vAlign w:val="bottom"/>
            <w:hideMark/>
          </w:tcPr>
          <w:p w14:paraId="6CDB4193"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51 455</w:t>
            </w:r>
          </w:p>
        </w:tc>
        <w:tc>
          <w:tcPr>
            <w:tcW w:w="391" w:type="pct"/>
            <w:tcBorders>
              <w:top w:val="nil"/>
              <w:left w:val="nil"/>
              <w:bottom w:val="nil"/>
              <w:right w:val="nil"/>
            </w:tcBorders>
            <w:shd w:val="clear" w:color="auto" w:fill="auto"/>
            <w:noWrap/>
            <w:vAlign w:val="bottom"/>
            <w:hideMark/>
          </w:tcPr>
          <w:p w14:paraId="326F8822"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53 962</w:t>
            </w:r>
          </w:p>
        </w:tc>
        <w:tc>
          <w:tcPr>
            <w:tcW w:w="391" w:type="pct"/>
            <w:tcBorders>
              <w:top w:val="nil"/>
              <w:left w:val="nil"/>
              <w:bottom w:val="nil"/>
              <w:right w:val="nil"/>
            </w:tcBorders>
            <w:shd w:val="clear" w:color="auto" w:fill="auto"/>
            <w:noWrap/>
            <w:vAlign w:val="bottom"/>
            <w:hideMark/>
          </w:tcPr>
          <w:p w14:paraId="7BC65132"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42 100</w:t>
            </w:r>
          </w:p>
        </w:tc>
        <w:tc>
          <w:tcPr>
            <w:tcW w:w="468" w:type="pct"/>
            <w:tcBorders>
              <w:top w:val="nil"/>
              <w:left w:val="nil"/>
              <w:bottom w:val="nil"/>
              <w:right w:val="nil"/>
            </w:tcBorders>
            <w:shd w:val="clear" w:color="auto" w:fill="auto"/>
            <w:noWrap/>
            <w:vAlign w:val="bottom"/>
            <w:hideMark/>
          </w:tcPr>
          <w:p w14:paraId="0225EAFF"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79 966</w:t>
            </w:r>
          </w:p>
        </w:tc>
        <w:tc>
          <w:tcPr>
            <w:tcW w:w="391" w:type="pct"/>
            <w:tcBorders>
              <w:top w:val="nil"/>
              <w:left w:val="nil"/>
              <w:bottom w:val="nil"/>
              <w:right w:val="nil"/>
            </w:tcBorders>
            <w:shd w:val="clear" w:color="auto" w:fill="auto"/>
            <w:noWrap/>
            <w:vAlign w:val="bottom"/>
            <w:hideMark/>
          </w:tcPr>
          <w:p w14:paraId="03B4E79F"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46 244</w:t>
            </w:r>
          </w:p>
        </w:tc>
        <w:tc>
          <w:tcPr>
            <w:tcW w:w="392" w:type="pct"/>
            <w:tcBorders>
              <w:top w:val="nil"/>
              <w:left w:val="nil"/>
              <w:bottom w:val="nil"/>
              <w:right w:val="nil"/>
            </w:tcBorders>
            <w:shd w:val="clear" w:color="auto" w:fill="auto"/>
            <w:noWrap/>
            <w:vAlign w:val="bottom"/>
            <w:hideMark/>
          </w:tcPr>
          <w:p w14:paraId="4E266DF8"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46 231</w:t>
            </w:r>
          </w:p>
        </w:tc>
        <w:tc>
          <w:tcPr>
            <w:tcW w:w="389" w:type="pct"/>
            <w:tcBorders>
              <w:top w:val="nil"/>
              <w:left w:val="nil"/>
              <w:bottom w:val="nil"/>
              <w:right w:val="nil"/>
            </w:tcBorders>
            <w:shd w:val="clear" w:color="auto" w:fill="auto"/>
            <w:noWrap/>
            <w:vAlign w:val="bottom"/>
            <w:hideMark/>
          </w:tcPr>
          <w:p w14:paraId="33559E33"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45 602</w:t>
            </w:r>
          </w:p>
        </w:tc>
      </w:tr>
      <w:tr w:rsidR="00DD531B" w:rsidRPr="00463505" w14:paraId="63CEF102" w14:textId="77777777" w:rsidTr="00463505">
        <w:trPr>
          <w:trHeight w:val="300"/>
        </w:trPr>
        <w:tc>
          <w:tcPr>
            <w:tcW w:w="2188" w:type="pct"/>
            <w:tcBorders>
              <w:top w:val="nil"/>
              <w:left w:val="nil"/>
              <w:bottom w:val="nil"/>
              <w:right w:val="nil"/>
            </w:tcBorders>
            <w:shd w:val="clear" w:color="auto" w:fill="auto"/>
            <w:noWrap/>
            <w:vAlign w:val="bottom"/>
            <w:hideMark/>
          </w:tcPr>
          <w:p w14:paraId="5F1D5E7A"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kapitálové výdavky 700</w:t>
            </w:r>
          </w:p>
        </w:tc>
        <w:tc>
          <w:tcPr>
            <w:tcW w:w="391" w:type="pct"/>
            <w:tcBorders>
              <w:top w:val="nil"/>
              <w:left w:val="nil"/>
              <w:bottom w:val="nil"/>
              <w:right w:val="nil"/>
            </w:tcBorders>
            <w:shd w:val="clear" w:color="auto" w:fill="auto"/>
            <w:noWrap/>
            <w:vAlign w:val="bottom"/>
            <w:hideMark/>
          </w:tcPr>
          <w:p w14:paraId="04BE6622"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160</w:t>
            </w:r>
          </w:p>
        </w:tc>
        <w:tc>
          <w:tcPr>
            <w:tcW w:w="391" w:type="pct"/>
            <w:tcBorders>
              <w:top w:val="nil"/>
              <w:left w:val="nil"/>
              <w:bottom w:val="nil"/>
              <w:right w:val="nil"/>
            </w:tcBorders>
            <w:shd w:val="clear" w:color="auto" w:fill="auto"/>
            <w:noWrap/>
            <w:vAlign w:val="bottom"/>
            <w:hideMark/>
          </w:tcPr>
          <w:p w14:paraId="1760EAD7"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2 603</w:t>
            </w:r>
          </w:p>
        </w:tc>
        <w:tc>
          <w:tcPr>
            <w:tcW w:w="391" w:type="pct"/>
            <w:tcBorders>
              <w:top w:val="nil"/>
              <w:left w:val="nil"/>
              <w:bottom w:val="nil"/>
              <w:right w:val="nil"/>
            </w:tcBorders>
            <w:shd w:val="clear" w:color="auto" w:fill="auto"/>
            <w:noWrap/>
            <w:vAlign w:val="bottom"/>
            <w:hideMark/>
          </w:tcPr>
          <w:p w14:paraId="7C1DEE54"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942</w:t>
            </w:r>
          </w:p>
        </w:tc>
        <w:tc>
          <w:tcPr>
            <w:tcW w:w="468" w:type="pct"/>
            <w:tcBorders>
              <w:top w:val="nil"/>
              <w:left w:val="nil"/>
              <w:bottom w:val="nil"/>
              <w:right w:val="nil"/>
            </w:tcBorders>
            <w:shd w:val="clear" w:color="auto" w:fill="auto"/>
            <w:noWrap/>
            <w:vAlign w:val="bottom"/>
            <w:hideMark/>
          </w:tcPr>
          <w:p w14:paraId="234CFD82"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922</w:t>
            </w:r>
          </w:p>
        </w:tc>
        <w:tc>
          <w:tcPr>
            <w:tcW w:w="391" w:type="pct"/>
            <w:tcBorders>
              <w:top w:val="nil"/>
              <w:left w:val="nil"/>
              <w:bottom w:val="nil"/>
              <w:right w:val="nil"/>
            </w:tcBorders>
            <w:shd w:val="clear" w:color="auto" w:fill="auto"/>
            <w:noWrap/>
            <w:vAlign w:val="bottom"/>
            <w:hideMark/>
          </w:tcPr>
          <w:p w14:paraId="5BA63AC4"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14 075</w:t>
            </w:r>
          </w:p>
        </w:tc>
        <w:tc>
          <w:tcPr>
            <w:tcW w:w="392" w:type="pct"/>
            <w:tcBorders>
              <w:top w:val="nil"/>
              <w:left w:val="nil"/>
              <w:bottom w:val="nil"/>
              <w:right w:val="nil"/>
            </w:tcBorders>
            <w:shd w:val="clear" w:color="auto" w:fill="auto"/>
            <w:noWrap/>
            <w:vAlign w:val="bottom"/>
            <w:hideMark/>
          </w:tcPr>
          <w:p w14:paraId="1329698B"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9 559</w:t>
            </w:r>
          </w:p>
        </w:tc>
        <w:tc>
          <w:tcPr>
            <w:tcW w:w="389" w:type="pct"/>
            <w:tcBorders>
              <w:top w:val="nil"/>
              <w:left w:val="nil"/>
              <w:bottom w:val="nil"/>
              <w:right w:val="nil"/>
            </w:tcBorders>
            <w:shd w:val="clear" w:color="auto" w:fill="auto"/>
            <w:noWrap/>
            <w:vAlign w:val="bottom"/>
            <w:hideMark/>
          </w:tcPr>
          <w:p w14:paraId="36C2A208"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36 752</w:t>
            </w:r>
          </w:p>
        </w:tc>
      </w:tr>
      <w:tr w:rsidR="00DD531B" w:rsidRPr="00463505" w14:paraId="743EB4F0" w14:textId="77777777" w:rsidTr="00463505">
        <w:trPr>
          <w:trHeight w:val="300"/>
        </w:trPr>
        <w:tc>
          <w:tcPr>
            <w:tcW w:w="2188" w:type="pct"/>
            <w:tcBorders>
              <w:top w:val="nil"/>
              <w:left w:val="nil"/>
              <w:bottom w:val="nil"/>
              <w:right w:val="nil"/>
            </w:tcBorders>
            <w:shd w:val="clear" w:color="auto" w:fill="auto"/>
            <w:noWrap/>
            <w:vAlign w:val="bottom"/>
            <w:hideMark/>
          </w:tcPr>
          <w:p w14:paraId="1500CD58" w14:textId="77777777" w:rsidR="00DD531B" w:rsidRPr="00463505" w:rsidRDefault="00DD531B" w:rsidP="00DD531B">
            <w:pPr>
              <w:spacing w:after="0" w:line="240" w:lineRule="auto"/>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zdroj EÚ vrátane spolufinancovania zo ŠR, v tom:</w:t>
            </w:r>
          </w:p>
        </w:tc>
        <w:tc>
          <w:tcPr>
            <w:tcW w:w="391" w:type="pct"/>
            <w:tcBorders>
              <w:top w:val="nil"/>
              <w:left w:val="nil"/>
              <w:bottom w:val="nil"/>
              <w:right w:val="nil"/>
            </w:tcBorders>
            <w:shd w:val="clear" w:color="auto" w:fill="auto"/>
            <w:noWrap/>
            <w:vAlign w:val="bottom"/>
            <w:hideMark/>
          </w:tcPr>
          <w:p w14:paraId="5AD266DC"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87 681</w:t>
            </w:r>
          </w:p>
        </w:tc>
        <w:tc>
          <w:tcPr>
            <w:tcW w:w="391" w:type="pct"/>
            <w:tcBorders>
              <w:top w:val="nil"/>
              <w:left w:val="nil"/>
              <w:bottom w:val="nil"/>
              <w:right w:val="nil"/>
            </w:tcBorders>
            <w:shd w:val="clear" w:color="auto" w:fill="auto"/>
            <w:noWrap/>
            <w:vAlign w:val="bottom"/>
            <w:hideMark/>
          </w:tcPr>
          <w:p w14:paraId="54C0E11C"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138 674</w:t>
            </w:r>
          </w:p>
        </w:tc>
        <w:tc>
          <w:tcPr>
            <w:tcW w:w="391" w:type="pct"/>
            <w:tcBorders>
              <w:top w:val="nil"/>
              <w:left w:val="nil"/>
              <w:bottom w:val="nil"/>
              <w:right w:val="nil"/>
            </w:tcBorders>
            <w:shd w:val="clear" w:color="auto" w:fill="auto"/>
            <w:noWrap/>
            <w:vAlign w:val="bottom"/>
            <w:hideMark/>
          </w:tcPr>
          <w:p w14:paraId="0688CB30"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989 236</w:t>
            </w:r>
          </w:p>
        </w:tc>
        <w:tc>
          <w:tcPr>
            <w:tcW w:w="468" w:type="pct"/>
            <w:tcBorders>
              <w:top w:val="nil"/>
              <w:left w:val="nil"/>
              <w:bottom w:val="nil"/>
              <w:right w:val="nil"/>
            </w:tcBorders>
            <w:shd w:val="clear" w:color="auto" w:fill="auto"/>
            <w:noWrap/>
            <w:vAlign w:val="bottom"/>
            <w:hideMark/>
          </w:tcPr>
          <w:p w14:paraId="48E7A603"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299 185</w:t>
            </w:r>
          </w:p>
        </w:tc>
        <w:tc>
          <w:tcPr>
            <w:tcW w:w="391" w:type="pct"/>
            <w:tcBorders>
              <w:top w:val="nil"/>
              <w:left w:val="nil"/>
              <w:bottom w:val="nil"/>
              <w:right w:val="nil"/>
            </w:tcBorders>
            <w:shd w:val="clear" w:color="auto" w:fill="auto"/>
            <w:noWrap/>
            <w:vAlign w:val="bottom"/>
            <w:hideMark/>
          </w:tcPr>
          <w:p w14:paraId="79D8960E"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110 824</w:t>
            </w:r>
          </w:p>
        </w:tc>
        <w:tc>
          <w:tcPr>
            <w:tcW w:w="392" w:type="pct"/>
            <w:tcBorders>
              <w:top w:val="nil"/>
              <w:left w:val="nil"/>
              <w:bottom w:val="nil"/>
              <w:right w:val="nil"/>
            </w:tcBorders>
            <w:shd w:val="clear" w:color="auto" w:fill="auto"/>
            <w:noWrap/>
            <w:vAlign w:val="bottom"/>
            <w:hideMark/>
          </w:tcPr>
          <w:p w14:paraId="0501968B"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184 751</w:t>
            </w:r>
          </w:p>
        </w:tc>
        <w:tc>
          <w:tcPr>
            <w:tcW w:w="389" w:type="pct"/>
            <w:tcBorders>
              <w:top w:val="nil"/>
              <w:left w:val="nil"/>
              <w:bottom w:val="nil"/>
              <w:right w:val="nil"/>
            </w:tcBorders>
            <w:shd w:val="clear" w:color="auto" w:fill="auto"/>
            <w:noWrap/>
            <w:vAlign w:val="bottom"/>
            <w:hideMark/>
          </w:tcPr>
          <w:p w14:paraId="28F904ED"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291 053</w:t>
            </w:r>
          </w:p>
        </w:tc>
      </w:tr>
      <w:tr w:rsidR="00DD531B" w:rsidRPr="00463505" w14:paraId="46780F73" w14:textId="77777777" w:rsidTr="00463505">
        <w:trPr>
          <w:trHeight w:val="300"/>
        </w:trPr>
        <w:tc>
          <w:tcPr>
            <w:tcW w:w="2188" w:type="pct"/>
            <w:tcBorders>
              <w:top w:val="nil"/>
              <w:left w:val="nil"/>
              <w:bottom w:val="nil"/>
              <w:right w:val="nil"/>
            </w:tcBorders>
            <w:shd w:val="clear" w:color="auto" w:fill="auto"/>
            <w:noWrap/>
            <w:vAlign w:val="bottom"/>
            <w:hideMark/>
          </w:tcPr>
          <w:p w14:paraId="24B047E9"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prostriedky EÚ</w:t>
            </w:r>
          </w:p>
        </w:tc>
        <w:tc>
          <w:tcPr>
            <w:tcW w:w="391" w:type="pct"/>
            <w:tcBorders>
              <w:top w:val="nil"/>
              <w:left w:val="nil"/>
              <w:bottom w:val="nil"/>
              <w:right w:val="nil"/>
            </w:tcBorders>
            <w:shd w:val="clear" w:color="auto" w:fill="auto"/>
            <w:noWrap/>
            <w:vAlign w:val="bottom"/>
            <w:hideMark/>
          </w:tcPr>
          <w:p w14:paraId="19C37EB4"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80 812</w:t>
            </w:r>
          </w:p>
        </w:tc>
        <w:tc>
          <w:tcPr>
            <w:tcW w:w="391" w:type="pct"/>
            <w:tcBorders>
              <w:top w:val="nil"/>
              <w:left w:val="nil"/>
              <w:bottom w:val="nil"/>
              <w:right w:val="nil"/>
            </w:tcBorders>
            <w:shd w:val="clear" w:color="auto" w:fill="auto"/>
            <w:noWrap/>
            <w:vAlign w:val="bottom"/>
            <w:hideMark/>
          </w:tcPr>
          <w:p w14:paraId="7BE076AF"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123 472</w:t>
            </w:r>
          </w:p>
        </w:tc>
        <w:tc>
          <w:tcPr>
            <w:tcW w:w="391" w:type="pct"/>
            <w:tcBorders>
              <w:top w:val="nil"/>
              <w:left w:val="nil"/>
              <w:bottom w:val="nil"/>
              <w:right w:val="nil"/>
            </w:tcBorders>
            <w:shd w:val="clear" w:color="auto" w:fill="auto"/>
            <w:noWrap/>
            <w:vAlign w:val="bottom"/>
            <w:hideMark/>
          </w:tcPr>
          <w:p w14:paraId="6D3619B9"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884 270</w:t>
            </w:r>
          </w:p>
        </w:tc>
        <w:tc>
          <w:tcPr>
            <w:tcW w:w="468" w:type="pct"/>
            <w:tcBorders>
              <w:top w:val="nil"/>
              <w:left w:val="nil"/>
              <w:bottom w:val="nil"/>
              <w:right w:val="nil"/>
            </w:tcBorders>
            <w:shd w:val="clear" w:color="auto" w:fill="auto"/>
            <w:noWrap/>
            <w:vAlign w:val="bottom"/>
            <w:hideMark/>
          </w:tcPr>
          <w:p w14:paraId="4F85BBAD"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252 455</w:t>
            </w:r>
          </w:p>
        </w:tc>
        <w:tc>
          <w:tcPr>
            <w:tcW w:w="391" w:type="pct"/>
            <w:tcBorders>
              <w:top w:val="nil"/>
              <w:left w:val="nil"/>
              <w:bottom w:val="nil"/>
              <w:right w:val="nil"/>
            </w:tcBorders>
            <w:shd w:val="clear" w:color="auto" w:fill="auto"/>
            <w:noWrap/>
            <w:vAlign w:val="bottom"/>
            <w:hideMark/>
          </w:tcPr>
          <w:p w14:paraId="587DC439"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83 108</w:t>
            </w:r>
          </w:p>
        </w:tc>
        <w:tc>
          <w:tcPr>
            <w:tcW w:w="392" w:type="pct"/>
            <w:tcBorders>
              <w:top w:val="nil"/>
              <w:left w:val="nil"/>
              <w:bottom w:val="nil"/>
              <w:right w:val="nil"/>
            </w:tcBorders>
            <w:shd w:val="clear" w:color="auto" w:fill="auto"/>
            <w:noWrap/>
            <w:vAlign w:val="bottom"/>
            <w:hideMark/>
          </w:tcPr>
          <w:p w14:paraId="6BDD9985"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156 142</w:t>
            </w:r>
          </w:p>
        </w:tc>
        <w:tc>
          <w:tcPr>
            <w:tcW w:w="389" w:type="pct"/>
            <w:tcBorders>
              <w:top w:val="nil"/>
              <w:left w:val="nil"/>
              <w:bottom w:val="nil"/>
              <w:right w:val="nil"/>
            </w:tcBorders>
            <w:shd w:val="clear" w:color="auto" w:fill="auto"/>
            <w:noWrap/>
            <w:vAlign w:val="bottom"/>
            <w:hideMark/>
          </w:tcPr>
          <w:p w14:paraId="2F5762DA"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251 842</w:t>
            </w:r>
          </w:p>
        </w:tc>
      </w:tr>
      <w:tr w:rsidR="00DD531B" w:rsidRPr="00463505" w14:paraId="63BFB12F" w14:textId="77777777" w:rsidTr="00463505">
        <w:trPr>
          <w:trHeight w:val="300"/>
        </w:trPr>
        <w:tc>
          <w:tcPr>
            <w:tcW w:w="2188" w:type="pct"/>
            <w:tcBorders>
              <w:top w:val="nil"/>
              <w:left w:val="nil"/>
              <w:bottom w:val="nil"/>
              <w:right w:val="nil"/>
            </w:tcBorders>
            <w:shd w:val="clear" w:color="auto" w:fill="auto"/>
            <w:noWrap/>
            <w:vAlign w:val="bottom"/>
            <w:hideMark/>
          </w:tcPr>
          <w:p w14:paraId="06F588D8"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spolufinancovanie zo ŠR</w:t>
            </w:r>
          </w:p>
        </w:tc>
        <w:tc>
          <w:tcPr>
            <w:tcW w:w="391" w:type="pct"/>
            <w:tcBorders>
              <w:top w:val="nil"/>
              <w:left w:val="nil"/>
              <w:bottom w:val="nil"/>
              <w:right w:val="nil"/>
            </w:tcBorders>
            <w:shd w:val="clear" w:color="auto" w:fill="auto"/>
            <w:noWrap/>
            <w:vAlign w:val="bottom"/>
            <w:hideMark/>
          </w:tcPr>
          <w:p w14:paraId="148F86AF"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6 869</w:t>
            </w:r>
          </w:p>
        </w:tc>
        <w:tc>
          <w:tcPr>
            <w:tcW w:w="391" w:type="pct"/>
            <w:tcBorders>
              <w:top w:val="nil"/>
              <w:left w:val="nil"/>
              <w:bottom w:val="nil"/>
              <w:right w:val="nil"/>
            </w:tcBorders>
            <w:shd w:val="clear" w:color="auto" w:fill="auto"/>
            <w:noWrap/>
            <w:vAlign w:val="bottom"/>
            <w:hideMark/>
          </w:tcPr>
          <w:p w14:paraId="612EB499"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15 202</w:t>
            </w:r>
          </w:p>
        </w:tc>
        <w:tc>
          <w:tcPr>
            <w:tcW w:w="391" w:type="pct"/>
            <w:tcBorders>
              <w:top w:val="nil"/>
              <w:left w:val="nil"/>
              <w:bottom w:val="nil"/>
              <w:right w:val="nil"/>
            </w:tcBorders>
            <w:shd w:val="clear" w:color="auto" w:fill="auto"/>
            <w:noWrap/>
            <w:vAlign w:val="bottom"/>
            <w:hideMark/>
          </w:tcPr>
          <w:p w14:paraId="57D3474B"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104 966</w:t>
            </w:r>
          </w:p>
        </w:tc>
        <w:tc>
          <w:tcPr>
            <w:tcW w:w="468" w:type="pct"/>
            <w:tcBorders>
              <w:top w:val="nil"/>
              <w:left w:val="nil"/>
              <w:bottom w:val="nil"/>
              <w:right w:val="nil"/>
            </w:tcBorders>
            <w:shd w:val="clear" w:color="auto" w:fill="auto"/>
            <w:noWrap/>
            <w:vAlign w:val="bottom"/>
            <w:hideMark/>
          </w:tcPr>
          <w:p w14:paraId="5F62EFCC"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46 730</w:t>
            </w:r>
          </w:p>
        </w:tc>
        <w:tc>
          <w:tcPr>
            <w:tcW w:w="391" w:type="pct"/>
            <w:tcBorders>
              <w:top w:val="nil"/>
              <w:left w:val="nil"/>
              <w:bottom w:val="nil"/>
              <w:right w:val="nil"/>
            </w:tcBorders>
            <w:shd w:val="clear" w:color="auto" w:fill="auto"/>
            <w:noWrap/>
            <w:vAlign w:val="bottom"/>
            <w:hideMark/>
          </w:tcPr>
          <w:p w14:paraId="71963FFF"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27 716</w:t>
            </w:r>
          </w:p>
        </w:tc>
        <w:tc>
          <w:tcPr>
            <w:tcW w:w="392" w:type="pct"/>
            <w:tcBorders>
              <w:top w:val="nil"/>
              <w:left w:val="nil"/>
              <w:bottom w:val="nil"/>
              <w:right w:val="nil"/>
            </w:tcBorders>
            <w:shd w:val="clear" w:color="auto" w:fill="auto"/>
            <w:noWrap/>
            <w:vAlign w:val="bottom"/>
            <w:hideMark/>
          </w:tcPr>
          <w:p w14:paraId="2C220024"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28 609</w:t>
            </w:r>
          </w:p>
        </w:tc>
        <w:tc>
          <w:tcPr>
            <w:tcW w:w="389" w:type="pct"/>
            <w:tcBorders>
              <w:top w:val="nil"/>
              <w:left w:val="nil"/>
              <w:bottom w:val="nil"/>
              <w:right w:val="nil"/>
            </w:tcBorders>
            <w:shd w:val="clear" w:color="auto" w:fill="auto"/>
            <w:noWrap/>
            <w:vAlign w:val="bottom"/>
            <w:hideMark/>
          </w:tcPr>
          <w:p w14:paraId="2F6C2B23"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39 211</w:t>
            </w:r>
          </w:p>
        </w:tc>
      </w:tr>
      <w:tr w:rsidR="00DD531B" w:rsidRPr="00463505" w14:paraId="7B566099" w14:textId="77777777" w:rsidTr="00463505">
        <w:trPr>
          <w:trHeight w:val="300"/>
        </w:trPr>
        <w:tc>
          <w:tcPr>
            <w:tcW w:w="2188" w:type="pct"/>
            <w:tcBorders>
              <w:top w:val="nil"/>
              <w:left w:val="nil"/>
              <w:bottom w:val="nil"/>
              <w:right w:val="nil"/>
            </w:tcBorders>
            <w:shd w:val="clear" w:color="auto" w:fill="auto"/>
            <w:noWrap/>
            <w:vAlign w:val="center"/>
            <w:hideMark/>
          </w:tcPr>
          <w:p w14:paraId="4BFD3F40" w14:textId="77777777" w:rsidR="00DD531B" w:rsidRPr="00463505" w:rsidRDefault="00DD531B" w:rsidP="00DD531B">
            <w:pPr>
              <w:spacing w:after="0" w:line="240" w:lineRule="auto"/>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zdroj Plán obnovy a odolnosti , v tom:</w:t>
            </w:r>
          </w:p>
        </w:tc>
        <w:tc>
          <w:tcPr>
            <w:tcW w:w="391" w:type="pct"/>
            <w:tcBorders>
              <w:top w:val="nil"/>
              <w:left w:val="nil"/>
              <w:bottom w:val="nil"/>
              <w:right w:val="nil"/>
            </w:tcBorders>
            <w:shd w:val="clear" w:color="auto" w:fill="auto"/>
            <w:noWrap/>
            <w:vAlign w:val="bottom"/>
            <w:hideMark/>
          </w:tcPr>
          <w:p w14:paraId="4D7058A9"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674</w:t>
            </w:r>
          </w:p>
        </w:tc>
        <w:tc>
          <w:tcPr>
            <w:tcW w:w="391" w:type="pct"/>
            <w:tcBorders>
              <w:top w:val="nil"/>
              <w:left w:val="nil"/>
              <w:bottom w:val="nil"/>
              <w:right w:val="nil"/>
            </w:tcBorders>
            <w:shd w:val="clear" w:color="auto" w:fill="auto"/>
            <w:noWrap/>
            <w:vAlign w:val="bottom"/>
            <w:hideMark/>
          </w:tcPr>
          <w:p w14:paraId="6A062023"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4 107</w:t>
            </w:r>
          </w:p>
        </w:tc>
        <w:tc>
          <w:tcPr>
            <w:tcW w:w="391" w:type="pct"/>
            <w:tcBorders>
              <w:top w:val="nil"/>
              <w:left w:val="nil"/>
              <w:bottom w:val="nil"/>
              <w:right w:val="nil"/>
            </w:tcBorders>
            <w:shd w:val="clear" w:color="auto" w:fill="auto"/>
            <w:noWrap/>
            <w:vAlign w:val="bottom"/>
            <w:hideMark/>
          </w:tcPr>
          <w:p w14:paraId="080BC944"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620 754</w:t>
            </w:r>
          </w:p>
        </w:tc>
        <w:tc>
          <w:tcPr>
            <w:tcW w:w="468" w:type="pct"/>
            <w:tcBorders>
              <w:top w:val="nil"/>
              <w:left w:val="nil"/>
              <w:bottom w:val="nil"/>
              <w:right w:val="nil"/>
            </w:tcBorders>
            <w:shd w:val="clear" w:color="auto" w:fill="auto"/>
            <w:noWrap/>
            <w:vAlign w:val="bottom"/>
            <w:hideMark/>
          </w:tcPr>
          <w:p w14:paraId="4734F46B"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0</w:t>
            </w:r>
          </w:p>
        </w:tc>
        <w:tc>
          <w:tcPr>
            <w:tcW w:w="391" w:type="pct"/>
            <w:tcBorders>
              <w:top w:val="nil"/>
              <w:left w:val="nil"/>
              <w:bottom w:val="nil"/>
              <w:right w:val="nil"/>
            </w:tcBorders>
            <w:shd w:val="clear" w:color="auto" w:fill="auto"/>
            <w:noWrap/>
            <w:vAlign w:val="bottom"/>
            <w:hideMark/>
          </w:tcPr>
          <w:p w14:paraId="559187FC"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241 629</w:t>
            </w:r>
          </w:p>
        </w:tc>
        <w:tc>
          <w:tcPr>
            <w:tcW w:w="392" w:type="pct"/>
            <w:tcBorders>
              <w:top w:val="nil"/>
              <w:left w:val="nil"/>
              <w:bottom w:val="nil"/>
              <w:right w:val="nil"/>
            </w:tcBorders>
            <w:shd w:val="clear" w:color="auto" w:fill="auto"/>
            <w:noWrap/>
            <w:vAlign w:val="bottom"/>
            <w:hideMark/>
          </w:tcPr>
          <w:p w14:paraId="4B1AA397"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83 119</w:t>
            </w:r>
          </w:p>
        </w:tc>
        <w:tc>
          <w:tcPr>
            <w:tcW w:w="389" w:type="pct"/>
            <w:tcBorders>
              <w:top w:val="nil"/>
              <w:left w:val="nil"/>
              <w:bottom w:val="nil"/>
              <w:right w:val="nil"/>
            </w:tcBorders>
            <w:shd w:val="clear" w:color="auto" w:fill="auto"/>
            <w:noWrap/>
            <w:vAlign w:val="bottom"/>
            <w:hideMark/>
          </w:tcPr>
          <w:p w14:paraId="5802B7EA"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22 033</w:t>
            </w:r>
          </w:p>
        </w:tc>
      </w:tr>
      <w:tr w:rsidR="00DD531B" w:rsidRPr="00463505" w14:paraId="0060D5BA" w14:textId="77777777" w:rsidTr="00463505">
        <w:trPr>
          <w:trHeight w:val="300"/>
        </w:trPr>
        <w:tc>
          <w:tcPr>
            <w:tcW w:w="2188" w:type="pct"/>
            <w:tcBorders>
              <w:top w:val="nil"/>
              <w:left w:val="nil"/>
              <w:bottom w:val="nil"/>
              <w:right w:val="nil"/>
            </w:tcBorders>
            <w:shd w:val="clear" w:color="auto" w:fill="auto"/>
            <w:noWrap/>
            <w:vAlign w:val="bottom"/>
            <w:hideMark/>
          </w:tcPr>
          <w:p w14:paraId="3BC4D08F"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prostriedky POO</w:t>
            </w:r>
          </w:p>
        </w:tc>
        <w:tc>
          <w:tcPr>
            <w:tcW w:w="391" w:type="pct"/>
            <w:tcBorders>
              <w:top w:val="nil"/>
              <w:left w:val="nil"/>
              <w:bottom w:val="nil"/>
              <w:right w:val="nil"/>
            </w:tcBorders>
            <w:shd w:val="clear" w:color="auto" w:fill="auto"/>
            <w:noWrap/>
            <w:vAlign w:val="bottom"/>
            <w:hideMark/>
          </w:tcPr>
          <w:p w14:paraId="0881C4E9"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648</w:t>
            </w:r>
          </w:p>
        </w:tc>
        <w:tc>
          <w:tcPr>
            <w:tcW w:w="391" w:type="pct"/>
            <w:tcBorders>
              <w:top w:val="nil"/>
              <w:left w:val="nil"/>
              <w:bottom w:val="nil"/>
              <w:right w:val="nil"/>
            </w:tcBorders>
            <w:shd w:val="clear" w:color="auto" w:fill="auto"/>
            <w:noWrap/>
            <w:vAlign w:val="bottom"/>
            <w:hideMark/>
          </w:tcPr>
          <w:p w14:paraId="756BD2A4"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3 595</w:t>
            </w:r>
          </w:p>
        </w:tc>
        <w:tc>
          <w:tcPr>
            <w:tcW w:w="391" w:type="pct"/>
            <w:tcBorders>
              <w:top w:val="nil"/>
              <w:left w:val="nil"/>
              <w:bottom w:val="nil"/>
              <w:right w:val="nil"/>
            </w:tcBorders>
            <w:shd w:val="clear" w:color="auto" w:fill="auto"/>
            <w:noWrap/>
            <w:vAlign w:val="bottom"/>
            <w:hideMark/>
          </w:tcPr>
          <w:p w14:paraId="447CE007"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527 746</w:t>
            </w:r>
          </w:p>
        </w:tc>
        <w:tc>
          <w:tcPr>
            <w:tcW w:w="468" w:type="pct"/>
            <w:tcBorders>
              <w:top w:val="nil"/>
              <w:left w:val="nil"/>
              <w:bottom w:val="nil"/>
              <w:right w:val="nil"/>
            </w:tcBorders>
            <w:shd w:val="clear" w:color="auto" w:fill="auto"/>
            <w:noWrap/>
            <w:vAlign w:val="bottom"/>
            <w:hideMark/>
          </w:tcPr>
          <w:p w14:paraId="05AB4F87"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0</w:t>
            </w:r>
          </w:p>
        </w:tc>
        <w:tc>
          <w:tcPr>
            <w:tcW w:w="391" w:type="pct"/>
            <w:tcBorders>
              <w:top w:val="nil"/>
              <w:left w:val="nil"/>
              <w:bottom w:val="nil"/>
              <w:right w:val="nil"/>
            </w:tcBorders>
            <w:shd w:val="clear" w:color="auto" w:fill="auto"/>
            <w:noWrap/>
            <w:vAlign w:val="bottom"/>
            <w:hideMark/>
          </w:tcPr>
          <w:p w14:paraId="18169F80"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224 474</w:t>
            </w:r>
          </w:p>
        </w:tc>
        <w:tc>
          <w:tcPr>
            <w:tcW w:w="392" w:type="pct"/>
            <w:tcBorders>
              <w:top w:val="nil"/>
              <w:left w:val="nil"/>
              <w:bottom w:val="nil"/>
              <w:right w:val="nil"/>
            </w:tcBorders>
            <w:shd w:val="clear" w:color="auto" w:fill="auto"/>
            <w:noWrap/>
            <w:vAlign w:val="bottom"/>
            <w:hideMark/>
          </w:tcPr>
          <w:p w14:paraId="36F1A07B"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82 882</w:t>
            </w:r>
          </w:p>
        </w:tc>
        <w:tc>
          <w:tcPr>
            <w:tcW w:w="389" w:type="pct"/>
            <w:tcBorders>
              <w:top w:val="nil"/>
              <w:left w:val="nil"/>
              <w:bottom w:val="nil"/>
              <w:right w:val="nil"/>
            </w:tcBorders>
            <w:shd w:val="clear" w:color="auto" w:fill="auto"/>
            <w:noWrap/>
            <w:vAlign w:val="bottom"/>
            <w:hideMark/>
          </w:tcPr>
          <w:p w14:paraId="6EA66440"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22 020</w:t>
            </w:r>
          </w:p>
        </w:tc>
      </w:tr>
      <w:tr w:rsidR="00DD531B" w:rsidRPr="00463505" w14:paraId="3E75DE1B" w14:textId="77777777" w:rsidTr="00463505">
        <w:trPr>
          <w:trHeight w:val="300"/>
        </w:trPr>
        <w:tc>
          <w:tcPr>
            <w:tcW w:w="2188" w:type="pct"/>
            <w:tcBorders>
              <w:top w:val="nil"/>
              <w:left w:val="nil"/>
              <w:bottom w:val="nil"/>
              <w:right w:val="nil"/>
            </w:tcBorders>
            <w:shd w:val="clear" w:color="auto" w:fill="auto"/>
            <w:noWrap/>
            <w:vAlign w:val="bottom"/>
            <w:hideMark/>
          </w:tcPr>
          <w:p w14:paraId="1DF3F865"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DPH k POO</w:t>
            </w:r>
          </w:p>
        </w:tc>
        <w:tc>
          <w:tcPr>
            <w:tcW w:w="391" w:type="pct"/>
            <w:tcBorders>
              <w:top w:val="nil"/>
              <w:left w:val="nil"/>
              <w:bottom w:val="nil"/>
              <w:right w:val="nil"/>
            </w:tcBorders>
            <w:shd w:val="clear" w:color="auto" w:fill="auto"/>
            <w:noWrap/>
            <w:vAlign w:val="bottom"/>
            <w:hideMark/>
          </w:tcPr>
          <w:p w14:paraId="338CFA88"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26</w:t>
            </w:r>
          </w:p>
        </w:tc>
        <w:tc>
          <w:tcPr>
            <w:tcW w:w="391" w:type="pct"/>
            <w:tcBorders>
              <w:top w:val="nil"/>
              <w:left w:val="nil"/>
              <w:bottom w:val="nil"/>
              <w:right w:val="nil"/>
            </w:tcBorders>
            <w:shd w:val="clear" w:color="auto" w:fill="auto"/>
            <w:noWrap/>
            <w:vAlign w:val="bottom"/>
            <w:hideMark/>
          </w:tcPr>
          <w:p w14:paraId="42741257"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511</w:t>
            </w:r>
          </w:p>
        </w:tc>
        <w:tc>
          <w:tcPr>
            <w:tcW w:w="391" w:type="pct"/>
            <w:tcBorders>
              <w:top w:val="nil"/>
              <w:left w:val="nil"/>
              <w:bottom w:val="nil"/>
              <w:right w:val="nil"/>
            </w:tcBorders>
            <w:shd w:val="clear" w:color="auto" w:fill="auto"/>
            <w:noWrap/>
            <w:vAlign w:val="bottom"/>
            <w:hideMark/>
          </w:tcPr>
          <w:p w14:paraId="79F072C3"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93 008</w:t>
            </w:r>
          </w:p>
        </w:tc>
        <w:tc>
          <w:tcPr>
            <w:tcW w:w="468" w:type="pct"/>
            <w:tcBorders>
              <w:top w:val="nil"/>
              <w:left w:val="nil"/>
              <w:bottom w:val="nil"/>
              <w:right w:val="nil"/>
            </w:tcBorders>
            <w:shd w:val="clear" w:color="auto" w:fill="auto"/>
            <w:noWrap/>
            <w:vAlign w:val="bottom"/>
            <w:hideMark/>
          </w:tcPr>
          <w:p w14:paraId="186F96E8"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0</w:t>
            </w:r>
          </w:p>
        </w:tc>
        <w:tc>
          <w:tcPr>
            <w:tcW w:w="391" w:type="pct"/>
            <w:tcBorders>
              <w:top w:val="nil"/>
              <w:left w:val="nil"/>
              <w:bottom w:val="nil"/>
              <w:right w:val="nil"/>
            </w:tcBorders>
            <w:shd w:val="clear" w:color="auto" w:fill="auto"/>
            <w:noWrap/>
            <w:vAlign w:val="bottom"/>
            <w:hideMark/>
          </w:tcPr>
          <w:p w14:paraId="0BFD03B2"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17 155</w:t>
            </w:r>
          </w:p>
        </w:tc>
        <w:tc>
          <w:tcPr>
            <w:tcW w:w="392" w:type="pct"/>
            <w:tcBorders>
              <w:top w:val="nil"/>
              <w:left w:val="nil"/>
              <w:bottom w:val="nil"/>
              <w:right w:val="nil"/>
            </w:tcBorders>
            <w:shd w:val="clear" w:color="auto" w:fill="auto"/>
            <w:noWrap/>
            <w:vAlign w:val="bottom"/>
            <w:hideMark/>
          </w:tcPr>
          <w:p w14:paraId="04838D19"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237</w:t>
            </w:r>
          </w:p>
        </w:tc>
        <w:tc>
          <w:tcPr>
            <w:tcW w:w="389" w:type="pct"/>
            <w:tcBorders>
              <w:top w:val="nil"/>
              <w:left w:val="nil"/>
              <w:bottom w:val="nil"/>
              <w:right w:val="nil"/>
            </w:tcBorders>
            <w:shd w:val="clear" w:color="auto" w:fill="auto"/>
            <w:noWrap/>
            <w:vAlign w:val="bottom"/>
            <w:hideMark/>
          </w:tcPr>
          <w:p w14:paraId="45C8ABDC"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13</w:t>
            </w:r>
          </w:p>
        </w:tc>
      </w:tr>
      <w:tr w:rsidR="00DD531B" w:rsidRPr="00463505" w14:paraId="297FC9AA" w14:textId="77777777" w:rsidTr="00463505">
        <w:trPr>
          <w:trHeight w:val="300"/>
        </w:trPr>
        <w:tc>
          <w:tcPr>
            <w:tcW w:w="2188" w:type="pct"/>
            <w:tcBorders>
              <w:top w:val="nil"/>
              <w:left w:val="nil"/>
              <w:bottom w:val="nil"/>
              <w:right w:val="nil"/>
            </w:tcBorders>
            <w:shd w:val="clear" w:color="auto" w:fill="auto"/>
            <w:noWrap/>
            <w:vAlign w:val="bottom"/>
            <w:hideMark/>
          </w:tcPr>
          <w:p w14:paraId="4AD67AB7" w14:textId="77777777" w:rsidR="00DD531B" w:rsidRPr="00463505" w:rsidRDefault="00DD531B" w:rsidP="00DD531B">
            <w:pPr>
              <w:spacing w:after="0" w:line="240" w:lineRule="auto"/>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presun z minulých rokov § 8, v tom:</w:t>
            </w:r>
          </w:p>
        </w:tc>
        <w:tc>
          <w:tcPr>
            <w:tcW w:w="391" w:type="pct"/>
            <w:tcBorders>
              <w:top w:val="nil"/>
              <w:left w:val="nil"/>
              <w:bottom w:val="nil"/>
              <w:right w:val="nil"/>
            </w:tcBorders>
            <w:shd w:val="clear" w:color="auto" w:fill="auto"/>
            <w:noWrap/>
            <w:vAlign w:val="bottom"/>
            <w:hideMark/>
          </w:tcPr>
          <w:p w14:paraId="212E8E35"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125 801</w:t>
            </w:r>
          </w:p>
        </w:tc>
        <w:tc>
          <w:tcPr>
            <w:tcW w:w="391" w:type="pct"/>
            <w:tcBorders>
              <w:top w:val="nil"/>
              <w:left w:val="nil"/>
              <w:bottom w:val="nil"/>
              <w:right w:val="nil"/>
            </w:tcBorders>
            <w:shd w:val="clear" w:color="auto" w:fill="auto"/>
            <w:noWrap/>
            <w:vAlign w:val="bottom"/>
            <w:hideMark/>
          </w:tcPr>
          <w:p w14:paraId="121244EC"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165 952</w:t>
            </w:r>
          </w:p>
        </w:tc>
        <w:tc>
          <w:tcPr>
            <w:tcW w:w="391" w:type="pct"/>
            <w:tcBorders>
              <w:top w:val="nil"/>
              <w:left w:val="nil"/>
              <w:bottom w:val="nil"/>
              <w:right w:val="nil"/>
            </w:tcBorders>
            <w:shd w:val="clear" w:color="auto" w:fill="auto"/>
            <w:noWrap/>
            <w:vAlign w:val="bottom"/>
            <w:hideMark/>
          </w:tcPr>
          <w:p w14:paraId="61EAD804"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0</w:t>
            </w:r>
          </w:p>
        </w:tc>
        <w:tc>
          <w:tcPr>
            <w:tcW w:w="468" w:type="pct"/>
            <w:tcBorders>
              <w:top w:val="nil"/>
              <w:left w:val="nil"/>
              <w:bottom w:val="nil"/>
              <w:right w:val="nil"/>
            </w:tcBorders>
            <w:shd w:val="clear" w:color="auto" w:fill="auto"/>
            <w:noWrap/>
            <w:vAlign w:val="bottom"/>
            <w:hideMark/>
          </w:tcPr>
          <w:p w14:paraId="096DF9D5"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427 903</w:t>
            </w:r>
          </w:p>
        </w:tc>
        <w:tc>
          <w:tcPr>
            <w:tcW w:w="391" w:type="pct"/>
            <w:tcBorders>
              <w:top w:val="nil"/>
              <w:left w:val="nil"/>
              <w:bottom w:val="nil"/>
              <w:right w:val="nil"/>
            </w:tcBorders>
            <w:shd w:val="clear" w:color="auto" w:fill="auto"/>
            <w:noWrap/>
            <w:vAlign w:val="bottom"/>
            <w:hideMark/>
          </w:tcPr>
          <w:p w14:paraId="5B1614D4"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0</w:t>
            </w:r>
          </w:p>
        </w:tc>
        <w:tc>
          <w:tcPr>
            <w:tcW w:w="392" w:type="pct"/>
            <w:tcBorders>
              <w:top w:val="nil"/>
              <w:left w:val="nil"/>
              <w:bottom w:val="nil"/>
              <w:right w:val="nil"/>
            </w:tcBorders>
            <w:shd w:val="clear" w:color="auto" w:fill="auto"/>
            <w:noWrap/>
            <w:vAlign w:val="bottom"/>
            <w:hideMark/>
          </w:tcPr>
          <w:p w14:paraId="7929E88C"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0</w:t>
            </w:r>
          </w:p>
        </w:tc>
        <w:tc>
          <w:tcPr>
            <w:tcW w:w="389" w:type="pct"/>
            <w:tcBorders>
              <w:top w:val="nil"/>
              <w:left w:val="nil"/>
              <w:bottom w:val="nil"/>
              <w:right w:val="nil"/>
            </w:tcBorders>
            <w:shd w:val="clear" w:color="auto" w:fill="auto"/>
            <w:noWrap/>
            <w:vAlign w:val="bottom"/>
            <w:hideMark/>
          </w:tcPr>
          <w:p w14:paraId="57CB3367"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0</w:t>
            </w:r>
          </w:p>
        </w:tc>
      </w:tr>
      <w:tr w:rsidR="00DD531B" w:rsidRPr="00463505" w14:paraId="772E6948" w14:textId="77777777" w:rsidTr="00463505">
        <w:trPr>
          <w:trHeight w:val="300"/>
        </w:trPr>
        <w:tc>
          <w:tcPr>
            <w:tcW w:w="2188" w:type="pct"/>
            <w:tcBorders>
              <w:top w:val="nil"/>
              <w:left w:val="nil"/>
              <w:bottom w:val="nil"/>
              <w:right w:val="nil"/>
            </w:tcBorders>
            <w:shd w:val="clear" w:color="auto" w:fill="auto"/>
            <w:noWrap/>
            <w:vAlign w:val="bottom"/>
            <w:hideMark/>
          </w:tcPr>
          <w:p w14:paraId="26685108"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štátny rozpočet</w:t>
            </w:r>
          </w:p>
        </w:tc>
        <w:tc>
          <w:tcPr>
            <w:tcW w:w="391" w:type="pct"/>
            <w:tcBorders>
              <w:top w:val="nil"/>
              <w:left w:val="nil"/>
              <w:bottom w:val="nil"/>
              <w:right w:val="nil"/>
            </w:tcBorders>
            <w:shd w:val="clear" w:color="auto" w:fill="auto"/>
            <w:noWrap/>
            <w:vAlign w:val="bottom"/>
            <w:hideMark/>
          </w:tcPr>
          <w:p w14:paraId="0AF96452"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552</w:t>
            </w:r>
          </w:p>
        </w:tc>
        <w:tc>
          <w:tcPr>
            <w:tcW w:w="391" w:type="pct"/>
            <w:tcBorders>
              <w:top w:val="nil"/>
              <w:left w:val="nil"/>
              <w:bottom w:val="nil"/>
              <w:right w:val="nil"/>
            </w:tcBorders>
            <w:shd w:val="clear" w:color="auto" w:fill="auto"/>
            <w:noWrap/>
            <w:vAlign w:val="bottom"/>
            <w:hideMark/>
          </w:tcPr>
          <w:p w14:paraId="1C8A4B0C"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2 104</w:t>
            </w:r>
          </w:p>
        </w:tc>
        <w:tc>
          <w:tcPr>
            <w:tcW w:w="391" w:type="pct"/>
            <w:tcBorders>
              <w:top w:val="nil"/>
              <w:left w:val="nil"/>
              <w:bottom w:val="nil"/>
              <w:right w:val="nil"/>
            </w:tcBorders>
            <w:shd w:val="clear" w:color="auto" w:fill="auto"/>
            <w:noWrap/>
            <w:vAlign w:val="bottom"/>
            <w:hideMark/>
          </w:tcPr>
          <w:p w14:paraId="006DDA1D"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11553A58"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539</w:t>
            </w:r>
          </w:p>
        </w:tc>
        <w:tc>
          <w:tcPr>
            <w:tcW w:w="391" w:type="pct"/>
            <w:tcBorders>
              <w:top w:val="nil"/>
              <w:left w:val="nil"/>
              <w:bottom w:val="nil"/>
              <w:right w:val="nil"/>
            </w:tcBorders>
            <w:shd w:val="clear" w:color="auto" w:fill="auto"/>
            <w:noWrap/>
            <w:vAlign w:val="bottom"/>
            <w:hideMark/>
          </w:tcPr>
          <w:p w14:paraId="0DABF11A"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0</w:t>
            </w:r>
          </w:p>
        </w:tc>
        <w:tc>
          <w:tcPr>
            <w:tcW w:w="392" w:type="pct"/>
            <w:tcBorders>
              <w:top w:val="nil"/>
              <w:left w:val="nil"/>
              <w:bottom w:val="nil"/>
              <w:right w:val="nil"/>
            </w:tcBorders>
            <w:shd w:val="clear" w:color="auto" w:fill="auto"/>
            <w:noWrap/>
            <w:vAlign w:val="bottom"/>
            <w:hideMark/>
          </w:tcPr>
          <w:p w14:paraId="184D3B17"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0</w:t>
            </w:r>
          </w:p>
        </w:tc>
        <w:tc>
          <w:tcPr>
            <w:tcW w:w="389" w:type="pct"/>
            <w:tcBorders>
              <w:top w:val="nil"/>
              <w:left w:val="nil"/>
              <w:bottom w:val="nil"/>
              <w:right w:val="nil"/>
            </w:tcBorders>
            <w:shd w:val="clear" w:color="auto" w:fill="auto"/>
            <w:noWrap/>
            <w:vAlign w:val="bottom"/>
            <w:hideMark/>
          </w:tcPr>
          <w:p w14:paraId="65E0ABDF"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0</w:t>
            </w:r>
          </w:p>
        </w:tc>
      </w:tr>
      <w:tr w:rsidR="00DD531B" w:rsidRPr="00463505" w14:paraId="6CC3E594" w14:textId="77777777" w:rsidTr="00463505">
        <w:trPr>
          <w:trHeight w:val="300"/>
        </w:trPr>
        <w:tc>
          <w:tcPr>
            <w:tcW w:w="2188" w:type="pct"/>
            <w:tcBorders>
              <w:top w:val="nil"/>
              <w:left w:val="nil"/>
              <w:bottom w:val="nil"/>
              <w:right w:val="nil"/>
            </w:tcBorders>
            <w:shd w:val="clear" w:color="auto" w:fill="auto"/>
            <w:noWrap/>
            <w:vAlign w:val="bottom"/>
            <w:hideMark/>
          </w:tcPr>
          <w:p w14:paraId="4A89DA74"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prostriedky EÚ a spolufinancovanie zo ŠR</w:t>
            </w:r>
          </w:p>
        </w:tc>
        <w:tc>
          <w:tcPr>
            <w:tcW w:w="391" w:type="pct"/>
            <w:tcBorders>
              <w:top w:val="nil"/>
              <w:left w:val="nil"/>
              <w:bottom w:val="nil"/>
              <w:right w:val="nil"/>
            </w:tcBorders>
            <w:shd w:val="clear" w:color="auto" w:fill="auto"/>
            <w:noWrap/>
            <w:vAlign w:val="bottom"/>
            <w:hideMark/>
          </w:tcPr>
          <w:p w14:paraId="258E722D"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125 250</w:t>
            </w:r>
          </w:p>
        </w:tc>
        <w:tc>
          <w:tcPr>
            <w:tcW w:w="391" w:type="pct"/>
            <w:tcBorders>
              <w:top w:val="nil"/>
              <w:left w:val="nil"/>
              <w:bottom w:val="nil"/>
              <w:right w:val="nil"/>
            </w:tcBorders>
            <w:shd w:val="clear" w:color="auto" w:fill="auto"/>
            <w:noWrap/>
            <w:vAlign w:val="bottom"/>
            <w:hideMark/>
          </w:tcPr>
          <w:p w14:paraId="64BF009C"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163 593</w:t>
            </w:r>
          </w:p>
        </w:tc>
        <w:tc>
          <w:tcPr>
            <w:tcW w:w="391" w:type="pct"/>
            <w:tcBorders>
              <w:top w:val="nil"/>
              <w:left w:val="nil"/>
              <w:bottom w:val="nil"/>
              <w:right w:val="nil"/>
            </w:tcBorders>
            <w:shd w:val="clear" w:color="auto" w:fill="auto"/>
            <w:noWrap/>
            <w:vAlign w:val="bottom"/>
            <w:hideMark/>
          </w:tcPr>
          <w:p w14:paraId="0E875FD4"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7A7404DB"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235 433</w:t>
            </w:r>
          </w:p>
        </w:tc>
        <w:tc>
          <w:tcPr>
            <w:tcW w:w="391" w:type="pct"/>
            <w:tcBorders>
              <w:top w:val="nil"/>
              <w:left w:val="nil"/>
              <w:bottom w:val="nil"/>
              <w:right w:val="nil"/>
            </w:tcBorders>
            <w:shd w:val="clear" w:color="auto" w:fill="auto"/>
            <w:noWrap/>
            <w:vAlign w:val="bottom"/>
            <w:hideMark/>
          </w:tcPr>
          <w:p w14:paraId="4FEB3247"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0</w:t>
            </w:r>
          </w:p>
        </w:tc>
        <w:tc>
          <w:tcPr>
            <w:tcW w:w="392" w:type="pct"/>
            <w:tcBorders>
              <w:top w:val="nil"/>
              <w:left w:val="nil"/>
              <w:bottom w:val="nil"/>
              <w:right w:val="nil"/>
            </w:tcBorders>
            <w:shd w:val="clear" w:color="auto" w:fill="auto"/>
            <w:noWrap/>
            <w:vAlign w:val="bottom"/>
            <w:hideMark/>
          </w:tcPr>
          <w:p w14:paraId="0CF4BD37"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0</w:t>
            </w:r>
          </w:p>
        </w:tc>
        <w:tc>
          <w:tcPr>
            <w:tcW w:w="389" w:type="pct"/>
            <w:tcBorders>
              <w:top w:val="nil"/>
              <w:left w:val="nil"/>
              <w:bottom w:val="nil"/>
              <w:right w:val="nil"/>
            </w:tcBorders>
            <w:shd w:val="clear" w:color="auto" w:fill="auto"/>
            <w:noWrap/>
            <w:vAlign w:val="bottom"/>
            <w:hideMark/>
          </w:tcPr>
          <w:p w14:paraId="240B9E48"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0</w:t>
            </w:r>
          </w:p>
        </w:tc>
      </w:tr>
      <w:tr w:rsidR="00DD531B" w:rsidRPr="00463505" w14:paraId="50B56F23" w14:textId="77777777" w:rsidTr="00463505">
        <w:trPr>
          <w:trHeight w:val="300"/>
        </w:trPr>
        <w:tc>
          <w:tcPr>
            <w:tcW w:w="2188" w:type="pct"/>
            <w:tcBorders>
              <w:top w:val="nil"/>
              <w:left w:val="nil"/>
              <w:bottom w:val="nil"/>
              <w:right w:val="nil"/>
            </w:tcBorders>
            <w:shd w:val="clear" w:color="auto" w:fill="auto"/>
            <w:noWrap/>
            <w:vAlign w:val="bottom"/>
            <w:hideMark/>
          </w:tcPr>
          <w:p w14:paraId="324B4C29" w14:textId="77777777" w:rsidR="00DD531B" w:rsidRPr="00463505" w:rsidRDefault="00DD531B" w:rsidP="00DD531B">
            <w:pPr>
              <w:spacing w:after="0" w:line="240" w:lineRule="auto"/>
              <w:rPr>
                <w:rFonts w:ascii="Times New Roman" w:eastAsia="Times New Roman" w:hAnsi="Times New Roman" w:cs="Times New Roman"/>
                <w:color w:val="000000"/>
                <w:sz w:val="16"/>
                <w:szCs w:val="16"/>
                <w:lang w:eastAsia="sk-SK"/>
              </w:rPr>
            </w:pPr>
            <w:r w:rsidRPr="00463505">
              <w:rPr>
                <w:rFonts w:ascii="Times New Roman" w:eastAsia="Times New Roman" w:hAnsi="Times New Roman" w:cs="Times New Roman"/>
                <w:color w:val="000000"/>
                <w:sz w:val="16"/>
                <w:szCs w:val="16"/>
                <w:lang w:eastAsia="sk-SK"/>
              </w:rPr>
              <w:t>prostriedky POO a DPH k POO</w:t>
            </w:r>
          </w:p>
        </w:tc>
        <w:tc>
          <w:tcPr>
            <w:tcW w:w="391" w:type="pct"/>
            <w:tcBorders>
              <w:top w:val="nil"/>
              <w:left w:val="nil"/>
              <w:bottom w:val="nil"/>
              <w:right w:val="nil"/>
            </w:tcBorders>
            <w:shd w:val="clear" w:color="auto" w:fill="auto"/>
            <w:noWrap/>
            <w:vAlign w:val="bottom"/>
            <w:hideMark/>
          </w:tcPr>
          <w:p w14:paraId="0DB5A23B"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0</w:t>
            </w:r>
          </w:p>
        </w:tc>
        <w:tc>
          <w:tcPr>
            <w:tcW w:w="391" w:type="pct"/>
            <w:tcBorders>
              <w:top w:val="nil"/>
              <w:left w:val="nil"/>
              <w:bottom w:val="nil"/>
              <w:right w:val="nil"/>
            </w:tcBorders>
            <w:shd w:val="clear" w:color="auto" w:fill="auto"/>
            <w:noWrap/>
            <w:vAlign w:val="bottom"/>
            <w:hideMark/>
          </w:tcPr>
          <w:p w14:paraId="0C1D630A"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255</w:t>
            </w:r>
          </w:p>
        </w:tc>
        <w:tc>
          <w:tcPr>
            <w:tcW w:w="391" w:type="pct"/>
            <w:tcBorders>
              <w:top w:val="nil"/>
              <w:left w:val="nil"/>
              <w:bottom w:val="nil"/>
              <w:right w:val="nil"/>
            </w:tcBorders>
            <w:shd w:val="clear" w:color="auto" w:fill="auto"/>
            <w:noWrap/>
            <w:vAlign w:val="bottom"/>
            <w:hideMark/>
          </w:tcPr>
          <w:p w14:paraId="5E6D338C"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1E5F758D"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191 931</w:t>
            </w:r>
          </w:p>
        </w:tc>
        <w:tc>
          <w:tcPr>
            <w:tcW w:w="391" w:type="pct"/>
            <w:tcBorders>
              <w:top w:val="nil"/>
              <w:left w:val="nil"/>
              <w:bottom w:val="nil"/>
              <w:right w:val="nil"/>
            </w:tcBorders>
            <w:shd w:val="clear" w:color="auto" w:fill="auto"/>
            <w:noWrap/>
            <w:vAlign w:val="bottom"/>
            <w:hideMark/>
          </w:tcPr>
          <w:p w14:paraId="4F2D6715"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0</w:t>
            </w:r>
          </w:p>
        </w:tc>
        <w:tc>
          <w:tcPr>
            <w:tcW w:w="392" w:type="pct"/>
            <w:tcBorders>
              <w:top w:val="nil"/>
              <w:left w:val="nil"/>
              <w:bottom w:val="nil"/>
              <w:right w:val="nil"/>
            </w:tcBorders>
            <w:shd w:val="clear" w:color="auto" w:fill="auto"/>
            <w:noWrap/>
            <w:vAlign w:val="bottom"/>
            <w:hideMark/>
          </w:tcPr>
          <w:p w14:paraId="1BD867B3"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0</w:t>
            </w:r>
          </w:p>
        </w:tc>
        <w:tc>
          <w:tcPr>
            <w:tcW w:w="389" w:type="pct"/>
            <w:tcBorders>
              <w:top w:val="nil"/>
              <w:left w:val="nil"/>
              <w:bottom w:val="nil"/>
              <w:right w:val="nil"/>
            </w:tcBorders>
            <w:shd w:val="clear" w:color="auto" w:fill="auto"/>
            <w:noWrap/>
            <w:vAlign w:val="bottom"/>
            <w:hideMark/>
          </w:tcPr>
          <w:p w14:paraId="580EF40D"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0</w:t>
            </w:r>
          </w:p>
        </w:tc>
      </w:tr>
      <w:tr w:rsidR="00DD531B" w:rsidRPr="00463505" w14:paraId="7A6B9DF4" w14:textId="77777777" w:rsidTr="00463505">
        <w:trPr>
          <w:trHeight w:val="300"/>
        </w:trPr>
        <w:tc>
          <w:tcPr>
            <w:tcW w:w="2188" w:type="pct"/>
            <w:tcBorders>
              <w:top w:val="nil"/>
              <w:left w:val="nil"/>
              <w:bottom w:val="single" w:sz="4" w:space="0" w:color="auto"/>
              <w:right w:val="nil"/>
            </w:tcBorders>
            <w:shd w:val="clear" w:color="auto" w:fill="auto"/>
            <w:noWrap/>
            <w:vAlign w:val="bottom"/>
            <w:hideMark/>
          </w:tcPr>
          <w:p w14:paraId="5B757871" w14:textId="29B82BEA" w:rsidR="00DD531B" w:rsidRPr="00463505" w:rsidRDefault="00DD531B" w:rsidP="00DD531B">
            <w:pPr>
              <w:spacing w:after="0" w:line="240" w:lineRule="auto"/>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 xml:space="preserve">prostriedky podľa § 17 ods. 4 a § 22 ods. 4 zákona </w:t>
            </w:r>
            <w:r w:rsidR="00463505">
              <w:rPr>
                <w:rFonts w:ascii="Times New Roman" w:eastAsia="Times New Roman" w:hAnsi="Times New Roman" w:cs="Times New Roman"/>
                <w:b/>
                <w:bCs/>
                <w:sz w:val="16"/>
                <w:szCs w:val="16"/>
                <w:lang w:eastAsia="sk-SK"/>
              </w:rPr>
              <w:br/>
            </w:r>
            <w:r w:rsidRPr="00463505">
              <w:rPr>
                <w:rFonts w:ascii="Times New Roman" w:eastAsia="Times New Roman" w:hAnsi="Times New Roman" w:cs="Times New Roman"/>
                <w:b/>
                <w:bCs/>
                <w:sz w:val="16"/>
                <w:szCs w:val="16"/>
                <w:lang w:eastAsia="sk-SK"/>
              </w:rPr>
              <w:t>č. 523/2004 Z. z.</w:t>
            </w:r>
          </w:p>
        </w:tc>
        <w:tc>
          <w:tcPr>
            <w:tcW w:w="391" w:type="pct"/>
            <w:tcBorders>
              <w:top w:val="nil"/>
              <w:left w:val="nil"/>
              <w:bottom w:val="single" w:sz="4" w:space="0" w:color="auto"/>
              <w:right w:val="nil"/>
            </w:tcBorders>
            <w:shd w:val="clear" w:color="auto" w:fill="auto"/>
            <w:noWrap/>
            <w:vAlign w:val="bottom"/>
            <w:hideMark/>
          </w:tcPr>
          <w:p w14:paraId="449A6204"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6</w:t>
            </w:r>
          </w:p>
        </w:tc>
        <w:tc>
          <w:tcPr>
            <w:tcW w:w="391" w:type="pct"/>
            <w:tcBorders>
              <w:top w:val="nil"/>
              <w:left w:val="nil"/>
              <w:bottom w:val="single" w:sz="4" w:space="0" w:color="auto"/>
              <w:right w:val="nil"/>
            </w:tcBorders>
            <w:shd w:val="clear" w:color="auto" w:fill="auto"/>
            <w:noWrap/>
            <w:vAlign w:val="bottom"/>
            <w:hideMark/>
          </w:tcPr>
          <w:p w14:paraId="71AEFA8F"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4</w:t>
            </w:r>
          </w:p>
        </w:tc>
        <w:tc>
          <w:tcPr>
            <w:tcW w:w="391" w:type="pct"/>
            <w:tcBorders>
              <w:top w:val="nil"/>
              <w:left w:val="nil"/>
              <w:bottom w:val="single" w:sz="4" w:space="0" w:color="auto"/>
              <w:right w:val="nil"/>
            </w:tcBorders>
            <w:shd w:val="clear" w:color="auto" w:fill="auto"/>
            <w:noWrap/>
            <w:vAlign w:val="bottom"/>
            <w:hideMark/>
          </w:tcPr>
          <w:p w14:paraId="60CF283F"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7</w:t>
            </w:r>
          </w:p>
        </w:tc>
        <w:tc>
          <w:tcPr>
            <w:tcW w:w="468" w:type="pct"/>
            <w:tcBorders>
              <w:top w:val="nil"/>
              <w:left w:val="nil"/>
              <w:bottom w:val="single" w:sz="4" w:space="0" w:color="auto"/>
              <w:right w:val="nil"/>
            </w:tcBorders>
            <w:shd w:val="clear" w:color="auto" w:fill="auto"/>
            <w:noWrap/>
            <w:vAlign w:val="bottom"/>
            <w:hideMark/>
          </w:tcPr>
          <w:p w14:paraId="0647F319"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7</w:t>
            </w:r>
          </w:p>
        </w:tc>
        <w:tc>
          <w:tcPr>
            <w:tcW w:w="391" w:type="pct"/>
            <w:tcBorders>
              <w:top w:val="nil"/>
              <w:left w:val="nil"/>
              <w:bottom w:val="single" w:sz="4" w:space="0" w:color="auto"/>
              <w:right w:val="nil"/>
            </w:tcBorders>
            <w:shd w:val="clear" w:color="auto" w:fill="auto"/>
            <w:noWrap/>
            <w:vAlign w:val="bottom"/>
            <w:hideMark/>
          </w:tcPr>
          <w:p w14:paraId="1145C360"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7</w:t>
            </w:r>
          </w:p>
        </w:tc>
        <w:tc>
          <w:tcPr>
            <w:tcW w:w="392" w:type="pct"/>
            <w:tcBorders>
              <w:top w:val="nil"/>
              <w:left w:val="nil"/>
              <w:bottom w:val="single" w:sz="4" w:space="0" w:color="auto"/>
              <w:right w:val="nil"/>
            </w:tcBorders>
            <w:shd w:val="clear" w:color="auto" w:fill="auto"/>
            <w:noWrap/>
            <w:vAlign w:val="bottom"/>
            <w:hideMark/>
          </w:tcPr>
          <w:p w14:paraId="3C6503AE"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7</w:t>
            </w:r>
          </w:p>
        </w:tc>
        <w:tc>
          <w:tcPr>
            <w:tcW w:w="389" w:type="pct"/>
            <w:tcBorders>
              <w:top w:val="nil"/>
              <w:left w:val="nil"/>
              <w:bottom w:val="single" w:sz="4" w:space="0" w:color="auto"/>
              <w:right w:val="nil"/>
            </w:tcBorders>
            <w:shd w:val="clear" w:color="auto" w:fill="auto"/>
            <w:noWrap/>
            <w:vAlign w:val="bottom"/>
            <w:hideMark/>
          </w:tcPr>
          <w:p w14:paraId="0A4B00D5" w14:textId="77777777" w:rsidR="00DD531B" w:rsidRPr="00463505" w:rsidRDefault="00DD531B" w:rsidP="00DD531B">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7</w:t>
            </w:r>
          </w:p>
        </w:tc>
      </w:tr>
    </w:tbl>
    <w:p w14:paraId="0D978AC9" w14:textId="2B647E3A" w:rsidR="00DD531B" w:rsidRDefault="00DD531B" w:rsidP="00DD531B">
      <w:pPr>
        <w:rPr>
          <w:rFonts w:ascii="Times New Roman" w:eastAsia="Calibri" w:hAnsi="Times New Roman" w:cs="Times New Roman"/>
        </w:rPr>
      </w:pPr>
    </w:p>
    <w:p w14:paraId="494B5268" w14:textId="15D8167F" w:rsidR="00463505" w:rsidRDefault="00463505" w:rsidP="00DD531B">
      <w:pPr>
        <w:rPr>
          <w:rFonts w:ascii="Times New Roman" w:eastAsia="Calibri" w:hAnsi="Times New Roman" w:cs="Times New Roman"/>
        </w:rPr>
      </w:pPr>
    </w:p>
    <w:p w14:paraId="1DE3C887" w14:textId="7F5CFD7F" w:rsidR="00463505" w:rsidRDefault="00463505" w:rsidP="00DD531B">
      <w:pPr>
        <w:rPr>
          <w:rFonts w:ascii="Times New Roman" w:eastAsia="Calibri" w:hAnsi="Times New Roman" w:cs="Times New Roman"/>
        </w:rPr>
      </w:pPr>
    </w:p>
    <w:p w14:paraId="2D75F7C9" w14:textId="52F62EA6" w:rsidR="00463505" w:rsidRDefault="00463505" w:rsidP="00DD531B">
      <w:pPr>
        <w:rPr>
          <w:rFonts w:ascii="Times New Roman" w:eastAsia="Calibri" w:hAnsi="Times New Roman" w:cs="Times New Roman"/>
        </w:rPr>
      </w:pPr>
    </w:p>
    <w:p w14:paraId="49687EAE" w14:textId="557B406B" w:rsidR="00463505" w:rsidRDefault="00463505" w:rsidP="00DD531B">
      <w:pPr>
        <w:rPr>
          <w:rFonts w:ascii="Times New Roman" w:eastAsia="Calibri" w:hAnsi="Times New Roman" w:cs="Times New Roman"/>
        </w:rPr>
      </w:pPr>
    </w:p>
    <w:p w14:paraId="74633B95" w14:textId="58F07E79" w:rsidR="00463505" w:rsidRDefault="00463505" w:rsidP="00DD531B">
      <w:pPr>
        <w:rPr>
          <w:rFonts w:ascii="Times New Roman" w:eastAsia="Calibri" w:hAnsi="Times New Roman" w:cs="Times New Roman"/>
        </w:rPr>
      </w:pPr>
    </w:p>
    <w:p w14:paraId="1D30BB94" w14:textId="25786F3A" w:rsidR="00463505" w:rsidRDefault="00463505" w:rsidP="00DD531B">
      <w:pPr>
        <w:rPr>
          <w:rFonts w:ascii="Times New Roman" w:eastAsia="Calibri" w:hAnsi="Times New Roman" w:cs="Times New Roman"/>
        </w:rPr>
      </w:pPr>
    </w:p>
    <w:p w14:paraId="184FD4FF" w14:textId="77777777" w:rsidR="00463505" w:rsidRPr="00DD531B" w:rsidRDefault="00463505" w:rsidP="00DD531B">
      <w:pPr>
        <w:rPr>
          <w:rFonts w:ascii="Times New Roman" w:eastAsia="Calibri" w:hAnsi="Times New Roman" w:cs="Times New Roman"/>
        </w:rPr>
      </w:pPr>
    </w:p>
    <w:p w14:paraId="09B3FF4A" w14:textId="22B40B6A" w:rsidR="00DD531B" w:rsidRPr="00463505" w:rsidRDefault="00DD531B" w:rsidP="00DD531B">
      <w:pPr>
        <w:keepNext/>
        <w:keepLines/>
        <w:spacing w:before="40" w:after="0"/>
        <w:outlineLvl w:val="1"/>
        <w:rPr>
          <w:rFonts w:ascii="Times New Roman" w:eastAsia="Times New Roman" w:hAnsi="Times New Roman" w:cs="Times New Roman"/>
          <w:b/>
          <w:color w:val="5B9BD5" w:themeColor="accent1"/>
          <w:sz w:val="24"/>
          <w:szCs w:val="24"/>
        </w:rPr>
      </w:pPr>
      <w:r w:rsidRPr="00463505">
        <w:rPr>
          <w:rFonts w:ascii="Times New Roman" w:eastAsia="Times New Roman" w:hAnsi="Times New Roman" w:cs="Times New Roman"/>
          <w:b/>
          <w:color w:val="5B9BD5" w:themeColor="accent1"/>
          <w:sz w:val="24"/>
          <w:szCs w:val="24"/>
        </w:rPr>
        <w:lastRenderedPageBreak/>
        <w:t>Ministerstvo školstva, vedy, výskumu a športu SR</w:t>
      </w:r>
    </w:p>
    <w:p w14:paraId="59556B2F" w14:textId="77777777" w:rsidR="00DD531B" w:rsidRPr="00DD531B" w:rsidRDefault="00DD531B" w:rsidP="00DD531B">
      <w:pPr>
        <w:rPr>
          <w:rFonts w:ascii="Times New Roman" w:eastAsia="Calibri" w:hAnsi="Times New Roman" w:cs="Times New Roman"/>
        </w:rPr>
      </w:pPr>
    </w:p>
    <w:p w14:paraId="3CFDD7D8" w14:textId="572E741D" w:rsidR="00DD531B" w:rsidRPr="00463505" w:rsidRDefault="00463505"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13" w:name="_Toc153013083"/>
      <w:r w:rsidRPr="00463505">
        <w:rPr>
          <w:rFonts w:ascii="Times New Roman" w:eastAsia="Times New Roman" w:hAnsi="Times New Roman" w:cs="Times New Roman"/>
          <w:b/>
          <w:iCs/>
          <w:color w:val="5B9BD5" w:themeColor="accent1"/>
          <w:sz w:val="20"/>
          <w:szCs w:val="20"/>
          <w:lang w:eastAsia="sk-SK"/>
        </w:rPr>
        <w:t xml:space="preserve">Tabuľka </w:t>
      </w:r>
      <w:r w:rsidRPr="00463505">
        <w:rPr>
          <w:rFonts w:ascii="Times New Roman" w:hAnsi="Times New Roman" w:cs="Times New Roman"/>
          <w:b/>
          <w:color w:val="5B9BD5" w:themeColor="accent1"/>
          <w:sz w:val="20"/>
          <w:szCs w:val="20"/>
        </w:rPr>
        <w:fldChar w:fldCharType="begin"/>
      </w:r>
      <w:r w:rsidRPr="00463505">
        <w:rPr>
          <w:rFonts w:ascii="Times New Roman" w:hAnsi="Times New Roman" w:cs="Times New Roman"/>
          <w:b/>
          <w:color w:val="5B9BD5" w:themeColor="accent1"/>
          <w:sz w:val="20"/>
          <w:szCs w:val="20"/>
        </w:rPr>
        <w:instrText xml:space="preserve"> SEQ Tabuľka \* ARABIC </w:instrText>
      </w:r>
      <w:r w:rsidRPr="00463505">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85</w:t>
      </w:r>
      <w:r w:rsidRPr="00463505">
        <w:rPr>
          <w:rFonts w:ascii="Times New Roman" w:hAnsi="Times New Roman" w:cs="Times New Roman"/>
          <w:b/>
          <w:color w:val="5B9BD5" w:themeColor="accent1"/>
          <w:sz w:val="20"/>
          <w:szCs w:val="20"/>
        </w:rPr>
        <w:fldChar w:fldCharType="end"/>
      </w:r>
      <w:r w:rsidRPr="00463505">
        <w:rPr>
          <w:rFonts w:ascii="Times New Roman" w:hAnsi="Times New Roman" w:cs="Times New Roman"/>
          <w:b/>
          <w:color w:val="5B9BD5" w:themeColor="accent1"/>
          <w:sz w:val="20"/>
          <w:szCs w:val="20"/>
        </w:rPr>
        <w:t xml:space="preserve"> - </w:t>
      </w:r>
      <w:r w:rsidR="00DD531B" w:rsidRPr="00463505">
        <w:rPr>
          <w:rFonts w:ascii="Times New Roman" w:eastAsia="Times New Roman" w:hAnsi="Times New Roman" w:cs="Times New Roman"/>
          <w:b/>
          <w:iCs/>
          <w:color w:val="5B9BD5" w:themeColor="accent1"/>
          <w:sz w:val="20"/>
          <w:szCs w:val="20"/>
          <w:lang w:eastAsia="sk-SK"/>
        </w:rPr>
        <w:t>Príjmy kapitoly MŠVVŠ SR</w:t>
      </w:r>
      <w:bookmarkEnd w:id="213"/>
    </w:p>
    <w:tbl>
      <w:tblPr>
        <w:tblW w:w="5000" w:type="pct"/>
        <w:tblLayout w:type="fixed"/>
        <w:tblCellMar>
          <w:left w:w="70" w:type="dxa"/>
          <w:right w:w="70" w:type="dxa"/>
        </w:tblCellMar>
        <w:tblLook w:val="04A0" w:firstRow="1" w:lastRow="0" w:firstColumn="1" w:lastColumn="0" w:noHBand="0" w:noVBand="1"/>
      </w:tblPr>
      <w:tblGrid>
        <w:gridCol w:w="3828"/>
        <w:gridCol w:w="708"/>
        <w:gridCol w:w="728"/>
        <w:gridCol w:w="693"/>
        <w:gridCol w:w="851"/>
        <w:gridCol w:w="709"/>
        <w:gridCol w:w="709"/>
        <w:gridCol w:w="846"/>
      </w:tblGrid>
      <w:tr w:rsidR="005027A6" w:rsidRPr="00DD531B" w14:paraId="5462046B" w14:textId="77777777" w:rsidTr="005027A6">
        <w:trPr>
          <w:trHeight w:val="300"/>
        </w:trPr>
        <w:tc>
          <w:tcPr>
            <w:tcW w:w="2110" w:type="pct"/>
            <w:tcBorders>
              <w:top w:val="single" w:sz="4" w:space="0" w:color="auto"/>
              <w:left w:val="nil"/>
              <w:bottom w:val="single" w:sz="4" w:space="0" w:color="auto"/>
              <w:right w:val="nil"/>
            </w:tcBorders>
            <w:shd w:val="clear" w:color="auto" w:fill="auto"/>
            <w:noWrap/>
            <w:vAlign w:val="center"/>
            <w:hideMark/>
          </w:tcPr>
          <w:p w14:paraId="714E5747" w14:textId="77777777" w:rsidR="00DD531B" w:rsidRPr="00463505" w:rsidRDefault="00DD531B" w:rsidP="00DD531B">
            <w:pPr>
              <w:spacing w:after="0" w:line="240" w:lineRule="auto"/>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v tis. eur</w:t>
            </w:r>
          </w:p>
        </w:tc>
        <w:tc>
          <w:tcPr>
            <w:tcW w:w="390" w:type="pct"/>
            <w:tcBorders>
              <w:top w:val="single" w:sz="4" w:space="0" w:color="auto"/>
              <w:left w:val="nil"/>
              <w:bottom w:val="single" w:sz="4" w:space="0" w:color="auto"/>
              <w:right w:val="nil"/>
            </w:tcBorders>
            <w:shd w:val="clear" w:color="auto" w:fill="auto"/>
            <w:noWrap/>
            <w:vAlign w:val="center"/>
            <w:hideMark/>
          </w:tcPr>
          <w:p w14:paraId="65772884"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2021 S</w:t>
            </w:r>
          </w:p>
        </w:tc>
        <w:tc>
          <w:tcPr>
            <w:tcW w:w="401" w:type="pct"/>
            <w:tcBorders>
              <w:top w:val="single" w:sz="4" w:space="0" w:color="auto"/>
              <w:left w:val="nil"/>
              <w:bottom w:val="single" w:sz="4" w:space="0" w:color="auto"/>
              <w:right w:val="nil"/>
            </w:tcBorders>
            <w:shd w:val="clear" w:color="auto" w:fill="auto"/>
            <w:noWrap/>
            <w:vAlign w:val="center"/>
            <w:hideMark/>
          </w:tcPr>
          <w:p w14:paraId="275A352F"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2022 S</w:t>
            </w:r>
          </w:p>
        </w:tc>
        <w:tc>
          <w:tcPr>
            <w:tcW w:w="382" w:type="pct"/>
            <w:tcBorders>
              <w:top w:val="single" w:sz="4" w:space="0" w:color="auto"/>
              <w:left w:val="nil"/>
              <w:bottom w:val="single" w:sz="4" w:space="0" w:color="auto"/>
              <w:right w:val="nil"/>
            </w:tcBorders>
            <w:shd w:val="clear" w:color="auto" w:fill="auto"/>
            <w:noWrap/>
            <w:vAlign w:val="center"/>
            <w:hideMark/>
          </w:tcPr>
          <w:p w14:paraId="4AB70EC3"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2023 R</w:t>
            </w:r>
          </w:p>
        </w:tc>
        <w:tc>
          <w:tcPr>
            <w:tcW w:w="469" w:type="pct"/>
            <w:tcBorders>
              <w:top w:val="single" w:sz="4" w:space="0" w:color="auto"/>
              <w:left w:val="nil"/>
              <w:bottom w:val="single" w:sz="4" w:space="0" w:color="auto"/>
              <w:right w:val="nil"/>
            </w:tcBorders>
            <w:shd w:val="clear" w:color="auto" w:fill="auto"/>
            <w:noWrap/>
            <w:vAlign w:val="center"/>
            <w:hideMark/>
          </w:tcPr>
          <w:p w14:paraId="6BBE1BA4"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2023 OS</w:t>
            </w:r>
          </w:p>
        </w:tc>
        <w:tc>
          <w:tcPr>
            <w:tcW w:w="391" w:type="pct"/>
            <w:tcBorders>
              <w:top w:val="single" w:sz="4" w:space="0" w:color="auto"/>
              <w:left w:val="nil"/>
              <w:bottom w:val="single" w:sz="4" w:space="0" w:color="auto"/>
              <w:right w:val="nil"/>
            </w:tcBorders>
            <w:shd w:val="clear" w:color="auto" w:fill="auto"/>
            <w:noWrap/>
            <w:vAlign w:val="center"/>
            <w:hideMark/>
          </w:tcPr>
          <w:p w14:paraId="77374362"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2024 N</w:t>
            </w:r>
          </w:p>
        </w:tc>
        <w:tc>
          <w:tcPr>
            <w:tcW w:w="391" w:type="pct"/>
            <w:tcBorders>
              <w:top w:val="single" w:sz="4" w:space="0" w:color="auto"/>
              <w:left w:val="nil"/>
              <w:bottom w:val="single" w:sz="4" w:space="0" w:color="auto"/>
              <w:right w:val="nil"/>
            </w:tcBorders>
            <w:shd w:val="clear" w:color="auto" w:fill="auto"/>
            <w:noWrap/>
            <w:vAlign w:val="center"/>
            <w:hideMark/>
          </w:tcPr>
          <w:p w14:paraId="1E20FA85"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2025 N</w:t>
            </w:r>
          </w:p>
        </w:tc>
        <w:tc>
          <w:tcPr>
            <w:tcW w:w="467" w:type="pct"/>
            <w:tcBorders>
              <w:top w:val="single" w:sz="4" w:space="0" w:color="auto"/>
              <w:left w:val="nil"/>
              <w:bottom w:val="single" w:sz="4" w:space="0" w:color="auto"/>
              <w:right w:val="nil"/>
            </w:tcBorders>
            <w:shd w:val="clear" w:color="auto" w:fill="auto"/>
            <w:noWrap/>
            <w:vAlign w:val="center"/>
            <w:hideMark/>
          </w:tcPr>
          <w:p w14:paraId="723773CA" w14:textId="77777777" w:rsidR="00DD531B" w:rsidRPr="00463505" w:rsidRDefault="00DD531B" w:rsidP="00463505">
            <w:pPr>
              <w:spacing w:after="0" w:line="240" w:lineRule="auto"/>
              <w:jc w:val="right"/>
              <w:rPr>
                <w:rFonts w:ascii="Times New Roman" w:eastAsia="Times New Roman" w:hAnsi="Times New Roman" w:cs="Times New Roman"/>
                <w:b/>
                <w:bCs/>
                <w:sz w:val="16"/>
                <w:szCs w:val="16"/>
                <w:lang w:eastAsia="sk-SK"/>
              </w:rPr>
            </w:pPr>
            <w:r w:rsidRPr="00463505">
              <w:rPr>
                <w:rFonts w:ascii="Times New Roman" w:eastAsia="Times New Roman" w:hAnsi="Times New Roman" w:cs="Times New Roman"/>
                <w:b/>
                <w:bCs/>
                <w:sz w:val="16"/>
                <w:szCs w:val="16"/>
                <w:lang w:eastAsia="sk-SK"/>
              </w:rPr>
              <w:t>2026 N</w:t>
            </w:r>
          </w:p>
        </w:tc>
      </w:tr>
      <w:tr w:rsidR="005027A6" w:rsidRPr="00DD531B" w14:paraId="668D45B1" w14:textId="77777777" w:rsidTr="005027A6">
        <w:trPr>
          <w:trHeight w:val="300"/>
        </w:trPr>
        <w:tc>
          <w:tcPr>
            <w:tcW w:w="2110" w:type="pct"/>
            <w:tcBorders>
              <w:top w:val="nil"/>
              <w:left w:val="nil"/>
              <w:bottom w:val="nil"/>
              <w:right w:val="nil"/>
            </w:tcBorders>
            <w:shd w:val="clear" w:color="auto" w:fill="auto"/>
            <w:noWrap/>
            <w:vAlign w:val="bottom"/>
            <w:hideMark/>
          </w:tcPr>
          <w:p w14:paraId="4F505669" w14:textId="77777777" w:rsidR="00DD531B" w:rsidRPr="00463505" w:rsidRDefault="00DD531B" w:rsidP="00DD531B">
            <w:pPr>
              <w:spacing w:after="0" w:line="240" w:lineRule="auto"/>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Príjmy kapitoly spolu</w:t>
            </w:r>
          </w:p>
        </w:tc>
        <w:tc>
          <w:tcPr>
            <w:tcW w:w="390" w:type="pct"/>
            <w:tcBorders>
              <w:top w:val="nil"/>
              <w:left w:val="nil"/>
              <w:bottom w:val="nil"/>
              <w:right w:val="nil"/>
            </w:tcBorders>
            <w:shd w:val="clear" w:color="auto" w:fill="auto"/>
            <w:noWrap/>
            <w:vAlign w:val="bottom"/>
            <w:hideMark/>
          </w:tcPr>
          <w:p w14:paraId="580FD64E" w14:textId="77777777" w:rsidR="00DD531B" w:rsidRPr="00463505"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145 354</w:t>
            </w:r>
          </w:p>
        </w:tc>
        <w:tc>
          <w:tcPr>
            <w:tcW w:w="401" w:type="pct"/>
            <w:tcBorders>
              <w:top w:val="nil"/>
              <w:left w:val="nil"/>
              <w:bottom w:val="nil"/>
              <w:right w:val="nil"/>
            </w:tcBorders>
            <w:shd w:val="clear" w:color="auto" w:fill="auto"/>
            <w:noWrap/>
            <w:vAlign w:val="bottom"/>
            <w:hideMark/>
          </w:tcPr>
          <w:p w14:paraId="729D5835" w14:textId="77777777" w:rsidR="00DD531B" w:rsidRPr="00463505"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181 174</w:t>
            </w:r>
          </w:p>
        </w:tc>
        <w:tc>
          <w:tcPr>
            <w:tcW w:w="382" w:type="pct"/>
            <w:tcBorders>
              <w:top w:val="nil"/>
              <w:left w:val="nil"/>
              <w:bottom w:val="nil"/>
              <w:right w:val="nil"/>
            </w:tcBorders>
            <w:shd w:val="clear" w:color="auto" w:fill="auto"/>
            <w:noWrap/>
            <w:vAlign w:val="bottom"/>
            <w:hideMark/>
          </w:tcPr>
          <w:p w14:paraId="194DDC59" w14:textId="77777777" w:rsidR="00DD531B" w:rsidRPr="00463505"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253 697</w:t>
            </w:r>
          </w:p>
        </w:tc>
        <w:tc>
          <w:tcPr>
            <w:tcW w:w="469" w:type="pct"/>
            <w:tcBorders>
              <w:top w:val="nil"/>
              <w:left w:val="nil"/>
              <w:bottom w:val="nil"/>
              <w:right w:val="nil"/>
            </w:tcBorders>
            <w:shd w:val="clear" w:color="auto" w:fill="auto"/>
            <w:noWrap/>
            <w:vAlign w:val="bottom"/>
            <w:hideMark/>
          </w:tcPr>
          <w:p w14:paraId="5B0AF5CE" w14:textId="77777777" w:rsidR="00DD531B" w:rsidRPr="00463505"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294 199</w:t>
            </w:r>
          </w:p>
        </w:tc>
        <w:tc>
          <w:tcPr>
            <w:tcW w:w="391" w:type="pct"/>
            <w:tcBorders>
              <w:top w:val="nil"/>
              <w:left w:val="nil"/>
              <w:bottom w:val="nil"/>
              <w:right w:val="nil"/>
            </w:tcBorders>
            <w:shd w:val="clear" w:color="auto" w:fill="auto"/>
            <w:noWrap/>
            <w:vAlign w:val="bottom"/>
            <w:hideMark/>
          </w:tcPr>
          <w:p w14:paraId="4E84D7DF" w14:textId="77777777" w:rsidR="00DD531B" w:rsidRPr="00463505"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109 973</w:t>
            </w:r>
          </w:p>
        </w:tc>
        <w:tc>
          <w:tcPr>
            <w:tcW w:w="391" w:type="pct"/>
            <w:tcBorders>
              <w:top w:val="nil"/>
              <w:left w:val="nil"/>
              <w:bottom w:val="nil"/>
              <w:right w:val="nil"/>
            </w:tcBorders>
            <w:shd w:val="clear" w:color="auto" w:fill="auto"/>
            <w:noWrap/>
            <w:vAlign w:val="bottom"/>
            <w:hideMark/>
          </w:tcPr>
          <w:p w14:paraId="595A5F66" w14:textId="77777777" w:rsidR="00DD531B" w:rsidRPr="00463505"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225 488</w:t>
            </w:r>
          </w:p>
        </w:tc>
        <w:tc>
          <w:tcPr>
            <w:tcW w:w="467" w:type="pct"/>
            <w:tcBorders>
              <w:top w:val="nil"/>
              <w:left w:val="nil"/>
              <w:bottom w:val="nil"/>
              <w:right w:val="nil"/>
            </w:tcBorders>
            <w:shd w:val="clear" w:color="auto" w:fill="auto"/>
            <w:noWrap/>
            <w:vAlign w:val="bottom"/>
            <w:hideMark/>
          </w:tcPr>
          <w:p w14:paraId="7B0AC0A4" w14:textId="77777777" w:rsidR="00DD531B" w:rsidRPr="00463505"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63505">
              <w:rPr>
                <w:rFonts w:ascii="Times New Roman" w:eastAsia="Times New Roman" w:hAnsi="Times New Roman" w:cs="Times New Roman"/>
                <w:b/>
                <w:bCs/>
                <w:color w:val="000000"/>
                <w:sz w:val="16"/>
                <w:szCs w:val="16"/>
                <w:lang w:eastAsia="sk-SK"/>
              </w:rPr>
              <w:t>263 180</w:t>
            </w:r>
          </w:p>
        </w:tc>
      </w:tr>
      <w:tr w:rsidR="005027A6" w:rsidRPr="00DD531B" w14:paraId="68B609F4" w14:textId="77777777" w:rsidTr="005027A6">
        <w:trPr>
          <w:trHeight w:val="300"/>
        </w:trPr>
        <w:tc>
          <w:tcPr>
            <w:tcW w:w="2110" w:type="pct"/>
            <w:tcBorders>
              <w:top w:val="nil"/>
              <w:left w:val="nil"/>
              <w:bottom w:val="nil"/>
              <w:right w:val="nil"/>
            </w:tcBorders>
            <w:shd w:val="clear" w:color="auto" w:fill="auto"/>
            <w:noWrap/>
            <w:vAlign w:val="bottom"/>
            <w:hideMark/>
          </w:tcPr>
          <w:p w14:paraId="54B789B7" w14:textId="77777777" w:rsidR="00DD531B" w:rsidRPr="00463505" w:rsidRDefault="00DD531B" w:rsidP="00DD531B">
            <w:pPr>
              <w:spacing w:after="0" w:line="240" w:lineRule="auto"/>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nedaňové príjmy</w:t>
            </w:r>
          </w:p>
        </w:tc>
        <w:tc>
          <w:tcPr>
            <w:tcW w:w="390" w:type="pct"/>
            <w:tcBorders>
              <w:top w:val="nil"/>
              <w:left w:val="nil"/>
              <w:bottom w:val="nil"/>
              <w:right w:val="nil"/>
            </w:tcBorders>
            <w:shd w:val="clear" w:color="auto" w:fill="auto"/>
            <w:noWrap/>
            <w:vAlign w:val="bottom"/>
            <w:hideMark/>
          </w:tcPr>
          <w:p w14:paraId="202B1955"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18 945</w:t>
            </w:r>
          </w:p>
        </w:tc>
        <w:tc>
          <w:tcPr>
            <w:tcW w:w="401" w:type="pct"/>
            <w:tcBorders>
              <w:top w:val="nil"/>
              <w:left w:val="nil"/>
              <w:bottom w:val="nil"/>
              <w:right w:val="nil"/>
            </w:tcBorders>
            <w:shd w:val="clear" w:color="auto" w:fill="auto"/>
            <w:noWrap/>
            <w:vAlign w:val="bottom"/>
            <w:hideMark/>
          </w:tcPr>
          <w:p w14:paraId="3077A247"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7 092</w:t>
            </w:r>
          </w:p>
        </w:tc>
        <w:tc>
          <w:tcPr>
            <w:tcW w:w="382" w:type="pct"/>
            <w:tcBorders>
              <w:top w:val="nil"/>
              <w:left w:val="nil"/>
              <w:bottom w:val="nil"/>
              <w:right w:val="nil"/>
            </w:tcBorders>
            <w:shd w:val="clear" w:color="auto" w:fill="auto"/>
            <w:noWrap/>
            <w:vAlign w:val="bottom"/>
            <w:hideMark/>
          </w:tcPr>
          <w:p w14:paraId="789953CF"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2 000</w:t>
            </w:r>
          </w:p>
        </w:tc>
        <w:tc>
          <w:tcPr>
            <w:tcW w:w="469" w:type="pct"/>
            <w:tcBorders>
              <w:top w:val="nil"/>
              <w:left w:val="nil"/>
              <w:bottom w:val="nil"/>
              <w:right w:val="nil"/>
            </w:tcBorders>
            <w:shd w:val="clear" w:color="auto" w:fill="auto"/>
            <w:noWrap/>
            <w:vAlign w:val="bottom"/>
            <w:hideMark/>
          </w:tcPr>
          <w:p w14:paraId="2D311A1F"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15 034</w:t>
            </w:r>
          </w:p>
        </w:tc>
        <w:tc>
          <w:tcPr>
            <w:tcW w:w="391" w:type="pct"/>
            <w:tcBorders>
              <w:top w:val="nil"/>
              <w:left w:val="nil"/>
              <w:bottom w:val="nil"/>
              <w:right w:val="nil"/>
            </w:tcBorders>
            <w:shd w:val="clear" w:color="auto" w:fill="auto"/>
            <w:noWrap/>
            <w:vAlign w:val="bottom"/>
            <w:hideMark/>
          </w:tcPr>
          <w:p w14:paraId="4FC3DCB8"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1 000</w:t>
            </w:r>
          </w:p>
        </w:tc>
        <w:tc>
          <w:tcPr>
            <w:tcW w:w="391" w:type="pct"/>
            <w:tcBorders>
              <w:top w:val="nil"/>
              <w:left w:val="nil"/>
              <w:bottom w:val="nil"/>
              <w:right w:val="nil"/>
            </w:tcBorders>
            <w:shd w:val="clear" w:color="auto" w:fill="auto"/>
            <w:noWrap/>
            <w:vAlign w:val="bottom"/>
            <w:hideMark/>
          </w:tcPr>
          <w:p w14:paraId="27F7674C"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1 000</w:t>
            </w:r>
          </w:p>
        </w:tc>
        <w:tc>
          <w:tcPr>
            <w:tcW w:w="467" w:type="pct"/>
            <w:tcBorders>
              <w:top w:val="nil"/>
              <w:left w:val="nil"/>
              <w:bottom w:val="nil"/>
              <w:right w:val="nil"/>
            </w:tcBorders>
            <w:shd w:val="clear" w:color="auto" w:fill="auto"/>
            <w:noWrap/>
            <w:vAlign w:val="bottom"/>
            <w:hideMark/>
          </w:tcPr>
          <w:p w14:paraId="59428A07"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1 000</w:t>
            </w:r>
          </w:p>
        </w:tc>
      </w:tr>
      <w:tr w:rsidR="005027A6" w:rsidRPr="00DD531B" w14:paraId="4E702EB9" w14:textId="77777777" w:rsidTr="005027A6">
        <w:trPr>
          <w:trHeight w:val="300"/>
        </w:trPr>
        <w:tc>
          <w:tcPr>
            <w:tcW w:w="2110" w:type="pct"/>
            <w:tcBorders>
              <w:top w:val="nil"/>
              <w:left w:val="nil"/>
              <w:bottom w:val="nil"/>
              <w:right w:val="nil"/>
            </w:tcBorders>
            <w:shd w:val="clear" w:color="auto" w:fill="auto"/>
            <w:noWrap/>
            <w:vAlign w:val="bottom"/>
            <w:hideMark/>
          </w:tcPr>
          <w:p w14:paraId="2AA8C68F" w14:textId="77777777" w:rsidR="00DD531B" w:rsidRPr="00463505" w:rsidRDefault="00DD531B" w:rsidP="00DD531B">
            <w:pPr>
              <w:spacing w:after="0" w:line="240" w:lineRule="auto"/>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granty a transfery, v tom:</w:t>
            </w:r>
          </w:p>
        </w:tc>
        <w:tc>
          <w:tcPr>
            <w:tcW w:w="390" w:type="pct"/>
            <w:tcBorders>
              <w:top w:val="nil"/>
              <w:left w:val="nil"/>
              <w:bottom w:val="nil"/>
              <w:right w:val="nil"/>
            </w:tcBorders>
            <w:shd w:val="clear" w:color="auto" w:fill="auto"/>
            <w:noWrap/>
            <w:vAlign w:val="bottom"/>
            <w:hideMark/>
          </w:tcPr>
          <w:p w14:paraId="27D62B86"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126 410</w:t>
            </w:r>
          </w:p>
        </w:tc>
        <w:tc>
          <w:tcPr>
            <w:tcW w:w="401" w:type="pct"/>
            <w:tcBorders>
              <w:top w:val="nil"/>
              <w:left w:val="nil"/>
              <w:bottom w:val="nil"/>
              <w:right w:val="nil"/>
            </w:tcBorders>
            <w:shd w:val="clear" w:color="auto" w:fill="auto"/>
            <w:noWrap/>
            <w:vAlign w:val="bottom"/>
            <w:hideMark/>
          </w:tcPr>
          <w:p w14:paraId="5E5089C5"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173 509</w:t>
            </w:r>
          </w:p>
        </w:tc>
        <w:tc>
          <w:tcPr>
            <w:tcW w:w="382" w:type="pct"/>
            <w:tcBorders>
              <w:top w:val="nil"/>
              <w:left w:val="nil"/>
              <w:bottom w:val="nil"/>
              <w:right w:val="nil"/>
            </w:tcBorders>
            <w:shd w:val="clear" w:color="auto" w:fill="auto"/>
            <w:noWrap/>
            <w:vAlign w:val="bottom"/>
            <w:hideMark/>
          </w:tcPr>
          <w:p w14:paraId="52C23F74"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251 208</w:t>
            </w:r>
          </w:p>
        </w:tc>
        <w:tc>
          <w:tcPr>
            <w:tcW w:w="469" w:type="pct"/>
            <w:tcBorders>
              <w:top w:val="nil"/>
              <w:left w:val="nil"/>
              <w:bottom w:val="nil"/>
              <w:right w:val="nil"/>
            </w:tcBorders>
            <w:shd w:val="clear" w:color="auto" w:fill="auto"/>
            <w:noWrap/>
            <w:vAlign w:val="bottom"/>
            <w:hideMark/>
          </w:tcPr>
          <w:p w14:paraId="01092CC5"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278 482</w:t>
            </w:r>
          </w:p>
        </w:tc>
        <w:tc>
          <w:tcPr>
            <w:tcW w:w="391" w:type="pct"/>
            <w:tcBorders>
              <w:top w:val="nil"/>
              <w:left w:val="nil"/>
              <w:bottom w:val="nil"/>
              <w:right w:val="nil"/>
            </w:tcBorders>
            <w:shd w:val="clear" w:color="auto" w:fill="auto"/>
            <w:noWrap/>
            <w:vAlign w:val="bottom"/>
            <w:hideMark/>
          </w:tcPr>
          <w:p w14:paraId="58073D0F"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108 484</w:t>
            </w:r>
          </w:p>
        </w:tc>
        <w:tc>
          <w:tcPr>
            <w:tcW w:w="391" w:type="pct"/>
            <w:tcBorders>
              <w:top w:val="nil"/>
              <w:left w:val="nil"/>
              <w:bottom w:val="nil"/>
              <w:right w:val="nil"/>
            </w:tcBorders>
            <w:shd w:val="clear" w:color="auto" w:fill="auto"/>
            <w:noWrap/>
            <w:vAlign w:val="bottom"/>
            <w:hideMark/>
          </w:tcPr>
          <w:p w14:paraId="28BE4AD5"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223 999</w:t>
            </w:r>
          </w:p>
        </w:tc>
        <w:tc>
          <w:tcPr>
            <w:tcW w:w="467" w:type="pct"/>
            <w:tcBorders>
              <w:top w:val="nil"/>
              <w:left w:val="nil"/>
              <w:bottom w:val="nil"/>
              <w:right w:val="nil"/>
            </w:tcBorders>
            <w:shd w:val="clear" w:color="auto" w:fill="auto"/>
            <w:noWrap/>
            <w:vAlign w:val="bottom"/>
            <w:hideMark/>
          </w:tcPr>
          <w:p w14:paraId="27499F47"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261 691</w:t>
            </w:r>
          </w:p>
        </w:tc>
      </w:tr>
      <w:tr w:rsidR="005027A6" w:rsidRPr="00DD531B" w14:paraId="79902E27" w14:textId="77777777" w:rsidTr="005027A6">
        <w:trPr>
          <w:trHeight w:val="300"/>
        </w:trPr>
        <w:tc>
          <w:tcPr>
            <w:tcW w:w="2110" w:type="pct"/>
            <w:tcBorders>
              <w:top w:val="nil"/>
              <w:left w:val="nil"/>
              <w:bottom w:val="nil"/>
              <w:right w:val="nil"/>
            </w:tcBorders>
            <w:shd w:val="clear" w:color="auto" w:fill="auto"/>
            <w:noWrap/>
            <w:vAlign w:val="bottom"/>
            <w:hideMark/>
          </w:tcPr>
          <w:p w14:paraId="40BD576F" w14:textId="77777777" w:rsidR="00DD531B" w:rsidRPr="00463505" w:rsidRDefault="00DD531B" w:rsidP="00DD531B">
            <w:pPr>
              <w:spacing w:after="0" w:line="240" w:lineRule="auto"/>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prostriedky EÚ</w:t>
            </w:r>
          </w:p>
        </w:tc>
        <w:tc>
          <w:tcPr>
            <w:tcW w:w="390" w:type="pct"/>
            <w:tcBorders>
              <w:top w:val="nil"/>
              <w:left w:val="nil"/>
              <w:bottom w:val="nil"/>
              <w:right w:val="nil"/>
            </w:tcBorders>
            <w:shd w:val="clear" w:color="auto" w:fill="auto"/>
            <w:noWrap/>
            <w:vAlign w:val="bottom"/>
            <w:hideMark/>
          </w:tcPr>
          <w:p w14:paraId="3AD00A34"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126 410</w:t>
            </w:r>
          </w:p>
        </w:tc>
        <w:tc>
          <w:tcPr>
            <w:tcW w:w="401" w:type="pct"/>
            <w:tcBorders>
              <w:top w:val="nil"/>
              <w:left w:val="nil"/>
              <w:bottom w:val="nil"/>
              <w:right w:val="nil"/>
            </w:tcBorders>
            <w:shd w:val="clear" w:color="auto" w:fill="auto"/>
            <w:noWrap/>
            <w:vAlign w:val="bottom"/>
            <w:hideMark/>
          </w:tcPr>
          <w:p w14:paraId="5A242E4D"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173 509</w:t>
            </w:r>
          </w:p>
        </w:tc>
        <w:tc>
          <w:tcPr>
            <w:tcW w:w="382" w:type="pct"/>
            <w:tcBorders>
              <w:top w:val="nil"/>
              <w:left w:val="nil"/>
              <w:bottom w:val="nil"/>
              <w:right w:val="nil"/>
            </w:tcBorders>
            <w:shd w:val="clear" w:color="auto" w:fill="auto"/>
            <w:noWrap/>
            <w:vAlign w:val="bottom"/>
            <w:hideMark/>
          </w:tcPr>
          <w:p w14:paraId="39112FC4"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251 208</w:t>
            </w:r>
          </w:p>
        </w:tc>
        <w:tc>
          <w:tcPr>
            <w:tcW w:w="469" w:type="pct"/>
            <w:tcBorders>
              <w:top w:val="nil"/>
              <w:left w:val="nil"/>
              <w:bottom w:val="nil"/>
              <w:right w:val="nil"/>
            </w:tcBorders>
            <w:shd w:val="clear" w:color="auto" w:fill="auto"/>
            <w:noWrap/>
            <w:vAlign w:val="bottom"/>
            <w:hideMark/>
          </w:tcPr>
          <w:p w14:paraId="63624C57"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278 482</w:t>
            </w:r>
          </w:p>
        </w:tc>
        <w:tc>
          <w:tcPr>
            <w:tcW w:w="391" w:type="pct"/>
            <w:tcBorders>
              <w:top w:val="nil"/>
              <w:left w:val="nil"/>
              <w:bottom w:val="nil"/>
              <w:right w:val="nil"/>
            </w:tcBorders>
            <w:shd w:val="clear" w:color="auto" w:fill="auto"/>
            <w:noWrap/>
            <w:vAlign w:val="bottom"/>
            <w:hideMark/>
          </w:tcPr>
          <w:p w14:paraId="4D179326"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108 484</w:t>
            </w:r>
          </w:p>
        </w:tc>
        <w:tc>
          <w:tcPr>
            <w:tcW w:w="391" w:type="pct"/>
            <w:tcBorders>
              <w:top w:val="nil"/>
              <w:left w:val="nil"/>
              <w:bottom w:val="nil"/>
              <w:right w:val="nil"/>
            </w:tcBorders>
            <w:shd w:val="clear" w:color="auto" w:fill="auto"/>
            <w:noWrap/>
            <w:vAlign w:val="bottom"/>
            <w:hideMark/>
          </w:tcPr>
          <w:p w14:paraId="1C750813"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223 999</w:t>
            </w:r>
          </w:p>
        </w:tc>
        <w:tc>
          <w:tcPr>
            <w:tcW w:w="467" w:type="pct"/>
            <w:tcBorders>
              <w:top w:val="nil"/>
              <w:left w:val="nil"/>
              <w:bottom w:val="nil"/>
              <w:right w:val="nil"/>
            </w:tcBorders>
            <w:shd w:val="clear" w:color="auto" w:fill="auto"/>
            <w:noWrap/>
            <w:vAlign w:val="bottom"/>
            <w:hideMark/>
          </w:tcPr>
          <w:p w14:paraId="50C390A0"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261 691</w:t>
            </w:r>
          </w:p>
        </w:tc>
      </w:tr>
      <w:tr w:rsidR="005027A6" w:rsidRPr="00DD531B" w14:paraId="56680C98" w14:textId="77777777" w:rsidTr="005027A6">
        <w:trPr>
          <w:trHeight w:val="300"/>
        </w:trPr>
        <w:tc>
          <w:tcPr>
            <w:tcW w:w="2110" w:type="pct"/>
            <w:tcBorders>
              <w:top w:val="nil"/>
              <w:left w:val="nil"/>
              <w:bottom w:val="single" w:sz="4" w:space="0" w:color="auto"/>
              <w:right w:val="nil"/>
            </w:tcBorders>
            <w:shd w:val="clear" w:color="auto" w:fill="auto"/>
            <w:noWrap/>
            <w:vAlign w:val="bottom"/>
            <w:hideMark/>
          </w:tcPr>
          <w:p w14:paraId="2B477AD1" w14:textId="77777777" w:rsidR="00DD531B" w:rsidRPr="00463505" w:rsidRDefault="00DD531B" w:rsidP="00DD531B">
            <w:pPr>
              <w:spacing w:after="0" w:line="240" w:lineRule="auto"/>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prostriedky podľa § 17 ods. 4 a § 22 ods. 4 zákona č. 523/2004 Z. z.</w:t>
            </w:r>
          </w:p>
        </w:tc>
        <w:tc>
          <w:tcPr>
            <w:tcW w:w="390" w:type="pct"/>
            <w:tcBorders>
              <w:top w:val="nil"/>
              <w:left w:val="nil"/>
              <w:bottom w:val="single" w:sz="4" w:space="0" w:color="auto"/>
              <w:right w:val="nil"/>
            </w:tcBorders>
            <w:shd w:val="clear" w:color="auto" w:fill="auto"/>
            <w:noWrap/>
            <w:vAlign w:val="bottom"/>
            <w:hideMark/>
          </w:tcPr>
          <w:p w14:paraId="703F6616"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0</w:t>
            </w:r>
          </w:p>
        </w:tc>
        <w:tc>
          <w:tcPr>
            <w:tcW w:w="401" w:type="pct"/>
            <w:tcBorders>
              <w:top w:val="nil"/>
              <w:left w:val="nil"/>
              <w:bottom w:val="single" w:sz="4" w:space="0" w:color="auto"/>
              <w:right w:val="nil"/>
            </w:tcBorders>
            <w:shd w:val="clear" w:color="auto" w:fill="auto"/>
            <w:noWrap/>
            <w:vAlign w:val="bottom"/>
            <w:hideMark/>
          </w:tcPr>
          <w:p w14:paraId="4B3C42BE"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572</w:t>
            </w:r>
          </w:p>
        </w:tc>
        <w:tc>
          <w:tcPr>
            <w:tcW w:w="382" w:type="pct"/>
            <w:tcBorders>
              <w:top w:val="nil"/>
              <w:left w:val="nil"/>
              <w:bottom w:val="single" w:sz="4" w:space="0" w:color="auto"/>
              <w:right w:val="nil"/>
            </w:tcBorders>
            <w:shd w:val="clear" w:color="auto" w:fill="auto"/>
            <w:noWrap/>
            <w:vAlign w:val="bottom"/>
            <w:hideMark/>
          </w:tcPr>
          <w:p w14:paraId="61D94A77"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489</w:t>
            </w:r>
          </w:p>
        </w:tc>
        <w:tc>
          <w:tcPr>
            <w:tcW w:w="469" w:type="pct"/>
            <w:tcBorders>
              <w:top w:val="nil"/>
              <w:left w:val="nil"/>
              <w:bottom w:val="single" w:sz="4" w:space="0" w:color="auto"/>
              <w:right w:val="nil"/>
            </w:tcBorders>
            <w:shd w:val="clear" w:color="auto" w:fill="auto"/>
            <w:noWrap/>
            <w:vAlign w:val="bottom"/>
            <w:hideMark/>
          </w:tcPr>
          <w:p w14:paraId="680A9018"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682</w:t>
            </w:r>
          </w:p>
        </w:tc>
        <w:tc>
          <w:tcPr>
            <w:tcW w:w="391" w:type="pct"/>
            <w:tcBorders>
              <w:top w:val="nil"/>
              <w:left w:val="nil"/>
              <w:bottom w:val="single" w:sz="4" w:space="0" w:color="auto"/>
              <w:right w:val="nil"/>
            </w:tcBorders>
            <w:shd w:val="clear" w:color="auto" w:fill="auto"/>
            <w:noWrap/>
            <w:vAlign w:val="bottom"/>
            <w:hideMark/>
          </w:tcPr>
          <w:p w14:paraId="7846D2E4"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489</w:t>
            </w:r>
          </w:p>
        </w:tc>
        <w:tc>
          <w:tcPr>
            <w:tcW w:w="391" w:type="pct"/>
            <w:tcBorders>
              <w:top w:val="nil"/>
              <w:left w:val="nil"/>
              <w:bottom w:val="single" w:sz="4" w:space="0" w:color="auto"/>
              <w:right w:val="nil"/>
            </w:tcBorders>
            <w:shd w:val="clear" w:color="auto" w:fill="auto"/>
            <w:noWrap/>
            <w:vAlign w:val="bottom"/>
            <w:hideMark/>
          </w:tcPr>
          <w:p w14:paraId="50155D6D"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489</w:t>
            </w:r>
          </w:p>
        </w:tc>
        <w:tc>
          <w:tcPr>
            <w:tcW w:w="467" w:type="pct"/>
            <w:tcBorders>
              <w:top w:val="nil"/>
              <w:left w:val="nil"/>
              <w:bottom w:val="single" w:sz="4" w:space="0" w:color="auto"/>
              <w:right w:val="nil"/>
            </w:tcBorders>
            <w:shd w:val="clear" w:color="auto" w:fill="auto"/>
            <w:noWrap/>
            <w:vAlign w:val="bottom"/>
            <w:hideMark/>
          </w:tcPr>
          <w:p w14:paraId="5EAE0E50" w14:textId="77777777" w:rsidR="00DD531B" w:rsidRPr="00463505" w:rsidRDefault="00DD531B" w:rsidP="00DD531B">
            <w:pPr>
              <w:spacing w:after="0" w:line="240" w:lineRule="auto"/>
              <w:jc w:val="right"/>
              <w:rPr>
                <w:rFonts w:ascii="Times New Roman" w:eastAsia="Times New Roman" w:hAnsi="Times New Roman" w:cs="Times New Roman"/>
                <w:sz w:val="16"/>
                <w:szCs w:val="16"/>
                <w:lang w:eastAsia="sk-SK"/>
              </w:rPr>
            </w:pPr>
            <w:r w:rsidRPr="00463505">
              <w:rPr>
                <w:rFonts w:ascii="Times New Roman" w:eastAsia="Times New Roman" w:hAnsi="Times New Roman" w:cs="Times New Roman"/>
                <w:sz w:val="16"/>
                <w:szCs w:val="16"/>
                <w:lang w:eastAsia="sk-SK"/>
              </w:rPr>
              <w:t>489</w:t>
            </w:r>
          </w:p>
        </w:tc>
      </w:tr>
    </w:tbl>
    <w:p w14:paraId="70B814E2" w14:textId="77777777" w:rsidR="00DD531B" w:rsidRPr="00DD531B" w:rsidRDefault="00DD531B" w:rsidP="00DD531B">
      <w:pPr>
        <w:rPr>
          <w:rFonts w:ascii="Times New Roman" w:eastAsia="Calibri" w:hAnsi="Times New Roman" w:cs="Times New Roman"/>
        </w:rPr>
      </w:pPr>
    </w:p>
    <w:p w14:paraId="610610FE" w14:textId="6692C409" w:rsidR="00DD531B" w:rsidRPr="00DD531B" w:rsidRDefault="005027A6" w:rsidP="00DD531B">
      <w:pPr>
        <w:keepNext/>
        <w:keepLines/>
        <w:spacing w:before="40" w:after="0"/>
        <w:outlineLvl w:val="3"/>
        <w:rPr>
          <w:rFonts w:ascii="Times New Roman" w:eastAsia="Times New Roman" w:hAnsi="Times New Roman" w:cs="Times New Roman"/>
          <w:b/>
          <w:iCs/>
          <w:color w:val="2E74B5"/>
          <w:sz w:val="20"/>
          <w:szCs w:val="20"/>
          <w:lang w:eastAsia="sk-SK"/>
        </w:rPr>
      </w:pPr>
      <w:bookmarkStart w:id="214" w:name="_Toc153013084"/>
      <w:r w:rsidRPr="005027A6">
        <w:rPr>
          <w:rFonts w:ascii="Times New Roman" w:eastAsia="Times New Roman" w:hAnsi="Times New Roman" w:cs="Times New Roman"/>
          <w:b/>
          <w:iCs/>
          <w:color w:val="5B9BD5" w:themeColor="accent1"/>
          <w:sz w:val="20"/>
          <w:szCs w:val="20"/>
          <w:lang w:eastAsia="sk-SK"/>
        </w:rPr>
        <w:t xml:space="preserve">Tabuľka </w:t>
      </w:r>
      <w:r w:rsidRPr="005027A6">
        <w:rPr>
          <w:rFonts w:ascii="Times New Roman" w:hAnsi="Times New Roman" w:cs="Times New Roman"/>
          <w:b/>
          <w:color w:val="5B9BD5" w:themeColor="accent1"/>
          <w:sz w:val="20"/>
          <w:szCs w:val="20"/>
        </w:rPr>
        <w:fldChar w:fldCharType="begin"/>
      </w:r>
      <w:r w:rsidRPr="005027A6">
        <w:rPr>
          <w:rFonts w:ascii="Times New Roman" w:hAnsi="Times New Roman" w:cs="Times New Roman"/>
          <w:b/>
          <w:color w:val="5B9BD5" w:themeColor="accent1"/>
          <w:sz w:val="20"/>
          <w:szCs w:val="20"/>
        </w:rPr>
        <w:instrText xml:space="preserve"> SEQ Tabuľka \* ARABIC </w:instrText>
      </w:r>
      <w:r w:rsidRPr="005027A6">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86</w:t>
      </w:r>
      <w:r w:rsidRPr="005027A6">
        <w:rPr>
          <w:rFonts w:ascii="Times New Roman" w:hAnsi="Times New Roman" w:cs="Times New Roman"/>
          <w:b/>
          <w:color w:val="5B9BD5" w:themeColor="accent1"/>
          <w:sz w:val="20"/>
          <w:szCs w:val="20"/>
        </w:rPr>
        <w:fldChar w:fldCharType="end"/>
      </w:r>
      <w:r w:rsidRPr="005027A6">
        <w:rPr>
          <w:rFonts w:ascii="Times New Roman" w:hAnsi="Times New Roman" w:cs="Times New Roman"/>
          <w:b/>
          <w:color w:val="5B9BD5" w:themeColor="accent1"/>
          <w:sz w:val="20"/>
          <w:szCs w:val="20"/>
        </w:rPr>
        <w:t xml:space="preserve"> - </w:t>
      </w:r>
      <w:r w:rsidR="00DD531B" w:rsidRPr="005027A6">
        <w:rPr>
          <w:rFonts w:ascii="Times New Roman" w:eastAsia="Times New Roman" w:hAnsi="Times New Roman" w:cs="Times New Roman"/>
          <w:b/>
          <w:iCs/>
          <w:color w:val="5B9BD5" w:themeColor="accent1"/>
          <w:sz w:val="20"/>
          <w:szCs w:val="20"/>
          <w:lang w:eastAsia="sk-SK"/>
        </w:rPr>
        <w:t>Výdavky kapitoly MŠVVŠ SR</w:t>
      </w:r>
      <w:bookmarkEnd w:id="214"/>
    </w:p>
    <w:tbl>
      <w:tblPr>
        <w:tblW w:w="5000" w:type="pct"/>
        <w:tblLayout w:type="fixed"/>
        <w:tblCellMar>
          <w:left w:w="70" w:type="dxa"/>
          <w:right w:w="70" w:type="dxa"/>
        </w:tblCellMar>
        <w:tblLook w:val="04A0" w:firstRow="1" w:lastRow="0" w:firstColumn="1" w:lastColumn="0" w:noHBand="0" w:noVBand="1"/>
      </w:tblPr>
      <w:tblGrid>
        <w:gridCol w:w="3120"/>
        <w:gridCol w:w="849"/>
        <w:gridCol w:w="851"/>
        <w:gridCol w:w="893"/>
        <w:gridCol w:w="809"/>
        <w:gridCol w:w="851"/>
        <w:gridCol w:w="853"/>
        <w:gridCol w:w="846"/>
      </w:tblGrid>
      <w:tr w:rsidR="005027A6" w:rsidRPr="00DD531B" w14:paraId="458CB6B9" w14:textId="77777777" w:rsidTr="005027A6">
        <w:trPr>
          <w:trHeight w:val="300"/>
        </w:trPr>
        <w:tc>
          <w:tcPr>
            <w:tcW w:w="1719" w:type="pct"/>
            <w:tcBorders>
              <w:top w:val="single" w:sz="4" w:space="0" w:color="auto"/>
              <w:left w:val="nil"/>
              <w:bottom w:val="single" w:sz="4" w:space="0" w:color="auto"/>
              <w:right w:val="nil"/>
            </w:tcBorders>
            <w:shd w:val="clear" w:color="auto" w:fill="auto"/>
            <w:noWrap/>
            <w:vAlign w:val="center"/>
            <w:hideMark/>
          </w:tcPr>
          <w:p w14:paraId="40C6D9E2" w14:textId="77777777" w:rsidR="00DD531B" w:rsidRPr="005027A6" w:rsidRDefault="00DD531B" w:rsidP="00DD531B">
            <w:pPr>
              <w:spacing w:after="0" w:line="240" w:lineRule="auto"/>
              <w:rPr>
                <w:rFonts w:ascii="Times New Roman" w:eastAsia="Times New Roman" w:hAnsi="Times New Roman" w:cs="Times New Roman"/>
                <w:b/>
                <w:bCs/>
                <w:color w:val="000000"/>
                <w:sz w:val="16"/>
                <w:szCs w:val="16"/>
                <w:lang w:eastAsia="sk-SK"/>
              </w:rPr>
            </w:pPr>
            <w:r w:rsidRPr="005027A6">
              <w:rPr>
                <w:rFonts w:ascii="Times New Roman" w:eastAsia="Times New Roman" w:hAnsi="Times New Roman" w:cs="Times New Roman"/>
                <w:b/>
                <w:bCs/>
                <w:color w:val="000000"/>
                <w:sz w:val="16"/>
                <w:szCs w:val="16"/>
                <w:lang w:eastAsia="sk-SK"/>
              </w:rPr>
              <w:t xml:space="preserve">v tis. eur </w:t>
            </w:r>
          </w:p>
        </w:tc>
        <w:tc>
          <w:tcPr>
            <w:tcW w:w="468" w:type="pct"/>
            <w:tcBorders>
              <w:top w:val="single" w:sz="4" w:space="0" w:color="auto"/>
              <w:left w:val="nil"/>
              <w:bottom w:val="single" w:sz="4" w:space="0" w:color="auto"/>
              <w:right w:val="nil"/>
            </w:tcBorders>
            <w:shd w:val="clear" w:color="auto" w:fill="auto"/>
            <w:noWrap/>
            <w:vAlign w:val="center"/>
            <w:hideMark/>
          </w:tcPr>
          <w:p w14:paraId="27A18560" w14:textId="77777777" w:rsidR="00DD531B" w:rsidRPr="005027A6" w:rsidRDefault="00DD531B" w:rsidP="005027A6">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2021 S</w:t>
            </w:r>
          </w:p>
        </w:tc>
        <w:tc>
          <w:tcPr>
            <w:tcW w:w="469" w:type="pct"/>
            <w:tcBorders>
              <w:top w:val="single" w:sz="4" w:space="0" w:color="auto"/>
              <w:left w:val="nil"/>
              <w:bottom w:val="single" w:sz="4" w:space="0" w:color="auto"/>
              <w:right w:val="nil"/>
            </w:tcBorders>
            <w:shd w:val="clear" w:color="auto" w:fill="auto"/>
            <w:noWrap/>
            <w:vAlign w:val="center"/>
            <w:hideMark/>
          </w:tcPr>
          <w:p w14:paraId="7A867848" w14:textId="77777777" w:rsidR="00DD531B" w:rsidRPr="005027A6" w:rsidRDefault="00DD531B" w:rsidP="005027A6">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2022 S</w:t>
            </w:r>
          </w:p>
        </w:tc>
        <w:tc>
          <w:tcPr>
            <w:tcW w:w="492" w:type="pct"/>
            <w:tcBorders>
              <w:top w:val="single" w:sz="4" w:space="0" w:color="auto"/>
              <w:left w:val="nil"/>
              <w:bottom w:val="single" w:sz="4" w:space="0" w:color="auto"/>
              <w:right w:val="nil"/>
            </w:tcBorders>
            <w:shd w:val="clear" w:color="auto" w:fill="auto"/>
            <w:noWrap/>
            <w:vAlign w:val="center"/>
            <w:hideMark/>
          </w:tcPr>
          <w:p w14:paraId="13C15C24" w14:textId="77777777" w:rsidR="00DD531B" w:rsidRPr="005027A6" w:rsidRDefault="00DD531B" w:rsidP="005027A6">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2023 R</w:t>
            </w:r>
          </w:p>
        </w:tc>
        <w:tc>
          <w:tcPr>
            <w:tcW w:w="446" w:type="pct"/>
            <w:tcBorders>
              <w:top w:val="single" w:sz="4" w:space="0" w:color="auto"/>
              <w:left w:val="nil"/>
              <w:bottom w:val="single" w:sz="4" w:space="0" w:color="auto"/>
              <w:right w:val="nil"/>
            </w:tcBorders>
            <w:shd w:val="clear" w:color="auto" w:fill="auto"/>
            <w:noWrap/>
            <w:vAlign w:val="center"/>
            <w:hideMark/>
          </w:tcPr>
          <w:p w14:paraId="7BF89FD3" w14:textId="77777777" w:rsidR="00DD531B" w:rsidRPr="005027A6" w:rsidRDefault="00DD531B" w:rsidP="005027A6">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2023 OS</w:t>
            </w:r>
          </w:p>
        </w:tc>
        <w:tc>
          <w:tcPr>
            <w:tcW w:w="469" w:type="pct"/>
            <w:tcBorders>
              <w:top w:val="single" w:sz="4" w:space="0" w:color="auto"/>
              <w:left w:val="nil"/>
              <w:bottom w:val="single" w:sz="4" w:space="0" w:color="auto"/>
              <w:right w:val="nil"/>
            </w:tcBorders>
            <w:shd w:val="clear" w:color="auto" w:fill="auto"/>
            <w:noWrap/>
            <w:vAlign w:val="center"/>
            <w:hideMark/>
          </w:tcPr>
          <w:p w14:paraId="0C185E30" w14:textId="77777777" w:rsidR="00DD531B" w:rsidRPr="005027A6" w:rsidRDefault="00DD531B" w:rsidP="005027A6">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2024 N</w:t>
            </w:r>
          </w:p>
        </w:tc>
        <w:tc>
          <w:tcPr>
            <w:tcW w:w="470" w:type="pct"/>
            <w:tcBorders>
              <w:top w:val="single" w:sz="4" w:space="0" w:color="auto"/>
              <w:left w:val="nil"/>
              <w:bottom w:val="single" w:sz="4" w:space="0" w:color="auto"/>
              <w:right w:val="nil"/>
            </w:tcBorders>
            <w:shd w:val="clear" w:color="auto" w:fill="auto"/>
            <w:noWrap/>
            <w:vAlign w:val="center"/>
            <w:hideMark/>
          </w:tcPr>
          <w:p w14:paraId="1DE206B8" w14:textId="77777777" w:rsidR="00DD531B" w:rsidRPr="005027A6" w:rsidRDefault="00DD531B" w:rsidP="005027A6">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2025 N</w:t>
            </w:r>
          </w:p>
        </w:tc>
        <w:tc>
          <w:tcPr>
            <w:tcW w:w="466" w:type="pct"/>
            <w:tcBorders>
              <w:top w:val="single" w:sz="4" w:space="0" w:color="auto"/>
              <w:left w:val="nil"/>
              <w:bottom w:val="single" w:sz="4" w:space="0" w:color="auto"/>
              <w:right w:val="nil"/>
            </w:tcBorders>
            <w:shd w:val="clear" w:color="auto" w:fill="auto"/>
            <w:noWrap/>
            <w:vAlign w:val="center"/>
            <w:hideMark/>
          </w:tcPr>
          <w:p w14:paraId="03288BED" w14:textId="77777777" w:rsidR="00DD531B" w:rsidRPr="005027A6" w:rsidRDefault="00DD531B" w:rsidP="005027A6">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2026 N</w:t>
            </w:r>
          </w:p>
        </w:tc>
      </w:tr>
      <w:tr w:rsidR="005027A6" w:rsidRPr="00DD531B" w14:paraId="7D4FBACB" w14:textId="77777777" w:rsidTr="005027A6">
        <w:trPr>
          <w:trHeight w:val="300"/>
        </w:trPr>
        <w:tc>
          <w:tcPr>
            <w:tcW w:w="1719" w:type="pct"/>
            <w:tcBorders>
              <w:top w:val="nil"/>
              <w:left w:val="nil"/>
              <w:bottom w:val="nil"/>
              <w:right w:val="nil"/>
            </w:tcBorders>
            <w:shd w:val="clear" w:color="auto" w:fill="auto"/>
            <w:noWrap/>
            <w:vAlign w:val="center"/>
            <w:hideMark/>
          </w:tcPr>
          <w:p w14:paraId="424AB6D1" w14:textId="77777777" w:rsidR="00DD531B" w:rsidRPr="005027A6" w:rsidRDefault="00DD531B" w:rsidP="00DD531B">
            <w:pPr>
              <w:spacing w:after="0" w:line="240" w:lineRule="auto"/>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Výdavky kapitoly spolu</w:t>
            </w:r>
          </w:p>
        </w:tc>
        <w:tc>
          <w:tcPr>
            <w:tcW w:w="468" w:type="pct"/>
            <w:tcBorders>
              <w:top w:val="nil"/>
              <w:left w:val="nil"/>
              <w:bottom w:val="nil"/>
              <w:right w:val="nil"/>
            </w:tcBorders>
            <w:shd w:val="clear" w:color="auto" w:fill="auto"/>
            <w:noWrap/>
            <w:vAlign w:val="center"/>
            <w:hideMark/>
          </w:tcPr>
          <w:p w14:paraId="47545813"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1 690 989</w:t>
            </w:r>
          </w:p>
        </w:tc>
        <w:tc>
          <w:tcPr>
            <w:tcW w:w="469" w:type="pct"/>
            <w:tcBorders>
              <w:top w:val="nil"/>
              <w:left w:val="nil"/>
              <w:bottom w:val="nil"/>
              <w:right w:val="nil"/>
            </w:tcBorders>
            <w:shd w:val="clear" w:color="auto" w:fill="auto"/>
            <w:noWrap/>
            <w:vAlign w:val="center"/>
            <w:hideMark/>
          </w:tcPr>
          <w:p w14:paraId="09C3BD2D"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3 464 352</w:t>
            </w:r>
          </w:p>
        </w:tc>
        <w:tc>
          <w:tcPr>
            <w:tcW w:w="492" w:type="pct"/>
            <w:tcBorders>
              <w:top w:val="nil"/>
              <w:left w:val="nil"/>
              <w:bottom w:val="nil"/>
              <w:right w:val="nil"/>
            </w:tcBorders>
            <w:shd w:val="clear" w:color="auto" w:fill="auto"/>
            <w:noWrap/>
            <w:vAlign w:val="center"/>
            <w:hideMark/>
          </w:tcPr>
          <w:p w14:paraId="353D2CE2"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4 031 072</w:t>
            </w:r>
          </w:p>
        </w:tc>
        <w:tc>
          <w:tcPr>
            <w:tcW w:w="446" w:type="pct"/>
            <w:tcBorders>
              <w:top w:val="nil"/>
              <w:left w:val="nil"/>
              <w:bottom w:val="nil"/>
              <w:right w:val="nil"/>
            </w:tcBorders>
            <w:shd w:val="clear" w:color="auto" w:fill="auto"/>
            <w:noWrap/>
            <w:vAlign w:val="center"/>
            <w:hideMark/>
          </w:tcPr>
          <w:p w14:paraId="06EFA329"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4 079 849</w:t>
            </w:r>
          </w:p>
        </w:tc>
        <w:tc>
          <w:tcPr>
            <w:tcW w:w="469" w:type="pct"/>
            <w:tcBorders>
              <w:top w:val="nil"/>
              <w:left w:val="nil"/>
              <w:bottom w:val="nil"/>
              <w:right w:val="nil"/>
            </w:tcBorders>
            <w:shd w:val="clear" w:color="auto" w:fill="auto"/>
            <w:noWrap/>
            <w:vAlign w:val="center"/>
            <w:hideMark/>
          </w:tcPr>
          <w:p w14:paraId="32531331"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4 287 473</w:t>
            </w:r>
          </w:p>
        </w:tc>
        <w:tc>
          <w:tcPr>
            <w:tcW w:w="470" w:type="pct"/>
            <w:tcBorders>
              <w:top w:val="nil"/>
              <w:left w:val="nil"/>
              <w:bottom w:val="nil"/>
              <w:right w:val="nil"/>
            </w:tcBorders>
            <w:shd w:val="clear" w:color="auto" w:fill="auto"/>
            <w:noWrap/>
            <w:vAlign w:val="center"/>
            <w:hideMark/>
          </w:tcPr>
          <w:p w14:paraId="38141A97"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4 623 244</w:t>
            </w:r>
          </w:p>
        </w:tc>
        <w:tc>
          <w:tcPr>
            <w:tcW w:w="466" w:type="pct"/>
            <w:tcBorders>
              <w:top w:val="nil"/>
              <w:left w:val="nil"/>
              <w:bottom w:val="nil"/>
              <w:right w:val="nil"/>
            </w:tcBorders>
            <w:shd w:val="clear" w:color="auto" w:fill="auto"/>
            <w:noWrap/>
            <w:vAlign w:val="center"/>
            <w:hideMark/>
          </w:tcPr>
          <w:p w14:paraId="764CD9E2"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4 724 352</w:t>
            </w:r>
          </w:p>
        </w:tc>
      </w:tr>
      <w:tr w:rsidR="005027A6" w:rsidRPr="00DD531B" w14:paraId="661CA728" w14:textId="77777777" w:rsidTr="005027A6">
        <w:trPr>
          <w:trHeight w:val="300"/>
        </w:trPr>
        <w:tc>
          <w:tcPr>
            <w:tcW w:w="1719" w:type="pct"/>
            <w:tcBorders>
              <w:top w:val="nil"/>
              <w:left w:val="nil"/>
              <w:bottom w:val="nil"/>
              <w:right w:val="nil"/>
            </w:tcBorders>
            <w:shd w:val="clear" w:color="auto" w:fill="auto"/>
            <w:noWrap/>
            <w:vAlign w:val="bottom"/>
            <w:hideMark/>
          </w:tcPr>
          <w:p w14:paraId="76BDFC26" w14:textId="77777777" w:rsidR="00DD531B" w:rsidRPr="005027A6" w:rsidRDefault="00DD531B" w:rsidP="00DD531B">
            <w:pPr>
              <w:spacing w:after="0" w:line="240" w:lineRule="auto"/>
              <w:rPr>
                <w:rFonts w:ascii="Times New Roman" w:eastAsia="Times New Roman" w:hAnsi="Times New Roman" w:cs="Times New Roman"/>
                <w:b/>
                <w:bCs/>
                <w:color w:val="000000"/>
                <w:sz w:val="16"/>
                <w:szCs w:val="16"/>
                <w:lang w:eastAsia="sk-SK"/>
              </w:rPr>
            </w:pPr>
            <w:r w:rsidRPr="005027A6">
              <w:rPr>
                <w:rFonts w:ascii="Times New Roman" w:eastAsia="Times New Roman" w:hAnsi="Times New Roman" w:cs="Times New Roman"/>
                <w:b/>
                <w:bCs/>
                <w:color w:val="000000"/>
                <w:sz w:val="16"/>
                <w:szCs w:val="16"/>
                <w:lang w:eastAsia="sk-SK"/>
              </w:rPr>
              <w:t>rozpočtové zdroje kapitoly</w:t>
            </w:r>
          </w:p>
        </w:tc>
        <w:tc>
          <w:tcPr>
            <w:tcW w:w="468" w:type="pct"/>
            <w:tcBorders>
              <w:top w:val="nil"/>
              <w:left w:val="nil"/>
              <w:bottom w:val="nil"/>
              <w:right w:val="nil"/>
            </w:tcBorders>
            <w:shd w:val="clear" w:color="auto" w:fill="auto"/>
            <w:noWrap/>
            <w:vAlign w:val="bottom"/>
            <w:hideMark/>
          </w:tcPr>
          <w:p w14:paraId="717F2820"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1 468 788</w:t>
            </w:r>
          </w:p>
        </w:tc>
        <w:tc>
          <w:tcPr>
            <w:tcW w:w="469" w:type="pct"/>
            <w:tcBorders>
              <w:top w:val="nil"/>
              <w:left w:val="nil"/>
              <w:bottom w:val="nil"/>
              <w:right w:val="nil"/>
            </w:tcBorders>
            <w:shd w:val="clear" w:color="auto" w:fill="auto"/>
            <w:noWrap/>
            <w:vAlign w:val="bottom"/>
            <w:hideMark/>
          </w:tcPr>
          <w:p w14:paraId="36334A3D"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3 183 722</w:t>
            </w:r>
          </w:p>
        </w:tc>
        <w:tc>
          <w:tcPr>
            <w:tcW w:w="492" w:type="pct"/>
            <w:tcBorders>
              <w:top w:val="nil"/>
              <w:left w:val="nil"/>
              <w:bottom w:val="nil"/>
              <w:right w:val="nil"/>
            </w:tcBorders>
            <w:shd w:val="clear" w:color="auto" w:fill="auto"/>
            <w:noWrap/>
            <w:vAlign w:val="bottom"/>
            <w:hideMark/>
          </w:tcPr>
          <w:p w14:paraId="68B3CE50"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3 360 236</w:t>
            </w:r>
          </w:p>
        </w:tc>
        <w:tc>
          <w:tcPr>
            <w:tcW w:w="446" w:type="pct"/>
            <w:tcBorders>
              <w:top w:val="nil"/>
              <w:left w:val="nil"/>
              <w:bottom w:val="nil"/>
              <w:right w:val="nil"/>
            </w:tcBorders>
            <w:shd w:val="clear" w:color="auto" w:fill="auto"/>
            <w:noWrap/>
            <w:vAlign w:val="bottom"/>
            <w:hideMark/>
          </w:tcPr>
          <w:p w14:paraId="54FED031"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3 600 223</w:t>
            </w:r>
          </w:p>
        </w:tc>
        <w:tc>
          <w:tcPr>
            <w:tcW w:w="469" w:type="pct"/>
            <w:tcBorders>
              <w:top w:val="nil"/>
              <w:left w:val="nil"/>
              <w:bottom w:val="nil"/>
              <w:right w:val="nil"/>
            </w:tcBorders>
            <w:shd w:val="clear" w:color="auto" w:fill="auto"/>
            <w:noWrap/>
            <w:vAlign w:val="bottom"/>
            <w:hideMark/>
          </w:tcPr>
          <w:p w14:paraId="4E85CEAD"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4 029 374</w:t>
            </w:r>
          </w:p>
        </w:tc>
        <w:tc>
          <w:tcPr>
            <w:tcW w:w="470" w:type="pct"/>
            <w:tcBorders>
              <w:top w:val="nil"/>
              <w:left w:val="nil"/>
              <w:bottom w:val="nil"/>
              <w:right w:val="nil"/>
            </w:tcBorders>
            <w:shd w:val="clear" w:color="auto" w:fill="auto"/>
            <w:noWrap/>
            <w:vAlign w:val="bottom"/>
            <w:hideMark/>
          </w:tcPr>
          <w:p w14:paraId="7E56ABBE"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4 252 841</w:t>
            </w:r>
          </w:p>
        </w:tc>
        <w:tc>
          <w:tcPr>
            <w:tcW w:w="466" w:type="pct"/>
            <w:tcBorders>
              <w:top w:val="nil"/>
              <w:left w:val="nil"/>
              <w:bottom w:val="nil"/>
              <w:right w:val="nil"/>
            </w:tcBorders>
            <w:shd w:val="clear" w:color="auto" w:fill="auto"/>
            <w:noWrap/>
            <w:vAlign w:val="bottom"/>
            <w:hideMark/>
          </w:tcPr>
          <w:p w14:paraId="5E07A39D"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4 391 677</w:t>
            </w:r>
          </w:p>
        </w:tc>
      </w:tr>
      <w:tr w:rsidR="005027A6" w:rsidRPr="00DD531B" w14:paraId="611D2E30" w14:textId="77777777" w:rsidTr="005027A6">
        <w:trPr>
          <w:trHeight w:val="300"/>
        </w:trPr>
        <w:tc>
          <w:tcPr>
            <w:tcW w:w="1719" w:type="pct"/>
            <w:tcBorders>
              <w:top w:val="nil"/>
              <w:left w:val="nil"/>
              <w:bottom w:val="nil"/>
              <w:right w:val="nil"/>
            </w:tcBorders>
            <w:shd w:val="clear" w:color="auto" w:fill="auto"/>
            <w:noWrap/>
            <w:vAlign w:val="bottom"/>
            <w:hideMark/>
          </w:tcPr>
          <w:p w14:paraId="7445A3A9" w14:textId="77777777" w:rsidR="00DD531B" w:rsidRPr="005027A6" w:rsidRDefault="00DD531B" w:rsidP="00DD531B">
            <w:pPr>
              <w:spacing w:after="0" w:line="240" w:lineRule="auto"/>
              <w:rPr>
                <w:rFonts w:ascii="Times New Roman" w:eastAsia="Times New Roman" w:hAnsi="Times New Roman" w:cs="Times New Roman"/>
                <w:color w:val="000000"/>
                <w:sz w:val="16"/>
                <w:szCs w:val="16"/>
                <w:lang w:eastAsia="sk-SK"/>
              </w:rPr>
            </w:pPr>
            <w:r w:rsidRPr="005027A6">
              <w:rPr>
                <w:rFonts w:ascii="Times New Roman" w:eastAsia="Times New Roman" w:hAnsi="Times New Roman" w:cs="Times New Roman"/>
                <w:color w:val="000000"/>
                <w:sz w:val="16"/>
                <w:szCs w:val="16"/>
                <w:lang w:eastAsia="sk-SK"/>
              </w:rPr>
              <w:t>bežné výdavky  600, v tom:</w:t>
            </w:r>
          </w:p>
        </w:tc>
        <w:tc>
          <w:tcPr>
            <w:tcW w:w="468" w:type="pct"/>
            <w:tcBorders>
              <w:top w:val="nil"/>
              <w:left w:val="nil"/>
              <w:bottom w:val="nil"/>
              <w:right w:val="nil"/>
            </w:tcBorders>
            <w:shd w:val="clear" w:color="auto" w:fill="auto"/>
            <w:noWrap/>
            <w:vAlign w:val="bottom"/>
            <w:hideMark/>
          </w:tcPr>
          <w:p w14:paraId="2EA48D72"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1 428 997</w:t>
            </w:r>
          </w:p>
        </w:tc>
        <w:tc>
          <w:tcPr>
            <w:tcW w:w="469" w:type="pct"/>
            <w:tcBorders>
              <w:top w:val="nil"/>
              <w:left w:val="nil"/>
              <w:bottom w:val="nil"/>
              <w:right w:val="nil"/>
            </w:tcBorders>
            <w:shd w:val="clear" w:color="auto" w:fill="auto"/>
            <w:noWrap/>
            <w:vAlign w:val="bottom"/>
            <w:hideMark/>
          </w:tcPr>
          <w:p w14:paraId="79D31C69"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3 152 355</w:t>
            </w:r>
          </w:p>
        </w:tc>
        <w:tc>
          <w:tcPr>
            <w:tcW w:w="492" w:type="pct"/>
            <w:tcBorders>
              <w:top w:val="nil"/>
              <w:left w:val="nil"/>
              <w:bottom w:val="nil"/>
              <w:right w:val="nil"/>
            </w:tcBorders>
            <w:shd w:val="clear" w:color="auto" w:fill="auto"/>
            <w:noWrap/>
            <w:vAlign w:val="bottom"/>
            <w:hideMark/>
          </w:tcPr>
          <w:p w14:paraId="32F5EBB8"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3 343 610</w:t>
            </w:r>
          </w:p>
        </w:tc>
        <w:tc>
          <w:tcPr>
            <w:tcW w:w="446" w:type="pct"/>
            <w:tcBorders>
              <w:top w:val="nil"/>
              <w:left w:val="nil"/>
              <w:bottom w:val="nil"/>
              <w:right w:val="nil"/>
            </w:tcBorders>
            <w:shd w:val="clear" w:color="auto" w:fill="auto"/>
            <w:noWrap/>
            <w:vAlign w:val="bottom"/>
            <w:hideMark/>
          </w:tcPr>
          <w:p w14:paraId="1F60CA30"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3 569 841</w:t>
            </w:r>
          </w:p>
        </w:tc>
        <w:tc>
          <w:tcPr>
            <w:tcW w:w="469" w:type="pct"/>
            <w:tcBorders>
              <w:top w:val="nil"/>
              <w:left w:val="nil"/>
              <w:bottom w:val="nil"/>
              <w:right w:val="nil"/>
            </w:tcBorders>
            <w:shd w:val="clear" w:color="auto" w:fill="auto"/>
            <w:noWrap/>
            <w:vAlign w:val="bottom"/>
            <w:hideMark/>
          </w:tcPr>
          <w:p w14:paraId="5F394CD5"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4 012 618</w:t>
            </w:r>
          </w:p>
        </w:tc>
        <w:tc>
          <w:tcPr>
            <w:tcW w:w="470" w:type="pct"/>
            <w:tcBorders>
              <w:top w:val="nil"/>
              <w:left w:val="nil"/>
              <w:bottom w:val="nil"/>
              <w:right w:val="nil"/>
            </w:tcBorders>
            <w:shd w:val="clear" w:color="auto" w:fill="auto"/>
            <w:noWrap/>
            <w:vAlign w:val="bottom"/>
            <w:hideMark/>
          </w:tcPr>
          <w:p w14:paraId="34456677"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4 207 506</w:t>
            </w:r>
          </w:p>
        </w:tc>
        <w:tc>
          <w:tcPr>
            <w:tcW w:w="466" w:type="pct"/>
            <w:tcBorders>
              <w:top w:val="nil"/>
              <w:left w:val="nil"/>
              <w:bottom w:val="nil"/>
              <w:right w:val="nil"/>
            </w:tcBorders>
            <w:shd w:val="clear" w:color="auto" w:fill="auto"/>
            <w:noWrap/>
            <w:vAlign w:val="bottom"/>
            <w:hideMark/>
          </w:tcPr>
          <w:p w14:paraId="6578A9F6"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4 354 770</w:t>
            </w:r>
          </w:p>
        </w:tc>
      </w:tr>
      <w:tr w:rsidR="005027A6" w:rsidRPr="00DD531B" w14:paraId="31C3E50F" w14:textId="77777777" w:rsidTr="005027A6">
        <w:trPr>
          <w:trHeight w:val="300"/>
        </w:trPr>
        <w:tc>
          <w:tcPr>
            <w:tcW w:w="1719" w:type="pct"/>
            <w:tcBorders>
              <w:top w:val="nil"/>
              <w:left w:val="nil"/>
              <w:bottom w:val="nil"/>
              <w:right w:val="nil"/>
            </w:tcBorders>
            <w:shd w:val="clear" w:color="auto" w:fill="auto"/>
            <w:noWrap/>
            <w:vAlign w:val="bottom"/>
            <w:hideMark/>
          </w:tcPr>
          <w:p w14:paraId="3781CFE3" w14:textId="77777777" w:rsidR="00DD531B" w:rsidRPr="005027A6" w:rsidRDefault="00DD531B" w:rsidP="00DD531B">
            <w:pPr>
              <w:spacing w:after="0" w:line="240" w:lineRule="auto"/>
              <w:rPr>
                <w:rFonts w:ascii="Times New Roman" w:eastAsia="Times New Roman" w:hAnsi="Times New Roman" w:cs="Times New Roman"/>
                <w:color w:val="000000"/>
                <w:sz w:val="16"/>
                <w:szCs w:val="16"/>
                <w:lang w:eastAsia="sk-SK"/>
              </w:rPr>
            </w:pPr>
            <w:r w:rsidRPr="005027A6">
              <w:rPr>
                <w:rFonts w:ascii="Times New Roman" w:eastAsia="Times New Roman" w:hAnsi="Times New Roman" w:cs="Times New Roman"/>
                <w:color w:val="000000"/>
                <w:sz w:val="16"/>
                <w:szCs w:val="16"/>
                <w:lang w:eastAsia="sk-SK"/>
              </w:rPr>
              <w:t>610 mzdy</w:t>
            </w:r>
          </w:p>
        </w:tc>
        <w:tc>
          <w:tcPr>
            <w:tcW w:w="468" w:type="pct"/>
            <w:tcBorders>
              <w:top w:val="nil"/>
              <w:left w:val="nil"/>
              <w:bottom w:val="nil"/>
              <w:right w:val="nil"/>
            </w:tcBorders>
            <w:shd w:val="clear" w:color="auto" w:fill="auto"/>
            <w:noWrap/>
            <w:vAlign w:val="bottom"/>
            <w:hideMark/>
          </w:tcPr>
          <w:p w14:paraId="0A111940"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23 892</w:t>
            </w:r>
          </w:p>
        </w:tc>
        <w:tc>
          <w:tcPr>
            <w:tcW w:w="469" w:type="pct"/>
            <w:tcBorders>
              <w:top w:val="nil"/>
              <w:left w:val="nil"/>
              <w:bottom w:val="nil"/>
              <w:right w:val="nil"/>
            </w:tcBorders>
            <w:shd w:val="clear" w:color="auto" w:fill="auto"/>
            <w:noWrap/>
            <w:vAlign w:val="bottom"/>
            <w:hideMark/>
          </w:tcPr>
          <w:p w14:paraId="4D02614C"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200 882</w:t>
            </w:r>
          </w:p>
        </w:tc>
        <w:tc>
          <w:tcPr>
            <w:tcW w:w="492" w:type="pct"/>
            <w:tcBorders>
              <w:top w:val="nil"/>
              <w:left w:val="nil"/>
              <w:bottom w:val="nil"/>
              <w:right w:val="nil"/>
            </w:tcBorders>
            <w:shd w:val="clear" w:color="auto" w:fill="auto"/>
            <w:noWrap/>
            <w:vAlign w:val="bottom"/>
            <w:hideMark/>
          </w:tcPr>
          <w:p w14:paraId="6F5B9186"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224 451</w:t>
            </w:r>
          </w:p>
        </w:tc>
        <w:tc>
          <w:tcPr>
            <w:tcW w:w="446" w:type="pct"/>
            <w:tcBorders>
              <w:top w:val="nil"/>
              <w:left w:val="nil"/>
              <w:bottom w:val="nil"/>
              <w:right w:val="nil"/>
            </w:tcBorders>
            <w:shd w:val="clear" w:color="auto" w:fill="auto"/>
            <w:noWrap/>
            <w:vAlign w:val="bottom"/>
            <w:hideMark/>
          </w:tcPr>
          <w:p w14:paraId="26EAB79E"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224 613</w:t>
            </w:r>
          </w:p>
        </w:tc>
        <w:tc>
          <w:tcPr>
            <w:tcW w:w="469" w:type="pct"/>
            <w:tcBorders>
              <w:top w:val="nil"/>
              <w:left w:val="nil"/>
              <w:bottom w:val="nil"/>
              <w:right w:val="nil"/>
            </w:tcBorders>
            <w:shd w:val="clear" w:color="auto" w:fill="auto"/>
            <w:noWrap/>
            <w:vAlign w:val="bottom"/>
            <w:hideMark/>
          </w:tcPr>
          <w:p w14:paraId="1592FEA5"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247 838</w:t>
            </w:r>
          </w:p>
        </w:tc>
        <w:tc>
          <w:tcPr>
            <w:tcW w:w="470" w:type="pct"/>
            <w:tcBorders>
              <w:top w:val="nil"/>
              <w:left w:val="nil"/>
              <w:bottom w:val="nil"/>
              <w:right w:val="nil"/>
            </w:tcBorders>
            <w:shd w:val="clear" w:color="auto" w:fill="auto"/>
            <w:noWrap/>
            <w:vAlign w:val="bottom"/>
            <w:hideMark/>
          </w:tcPr>
          <w:p w14:paraId="433FB60A"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255 385</w:t>
            </w:r>
          </w:p>
        </w:tc>
        <w:tc>
          <w:tcPr>
            <w:tcW w:w="466" w:type="pct"/>
            <w:tcBorders>
              <w:top w:val="nil"/>
              <w:left w:val="nil"/>
              <w:bottom w:val="nil"/>
              <w:right w:val="nil"/>
            </w:tcBorders>
            <w:shd w:val="clear" w:color="auto" w:fill="auto"/>
            <w:noWrap/>
            <w:vAlign w:val="bottom"/>
            <w:hideMark/>
          </w:tcPr>
          <w:p w14:paraId="7E377D03"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258 816</w:t>
            </w:r>
          </w:p>
        </w:tc>
      </w:tr>
      <w:tr w:rsidR="005027A6" w:rsidRPr="00DD531B" w14:paraId="0B7AE0EC" w14:textId="77777777" w:rsidTr="005027A6">
        <w:trPr>
          <w:trHeight w:val="300"/>
        </w:trPr>
        <w:tc>
          <w:tcPr>
            <w:tcW w:w="1719" w:type="pct"/>
            <w:tcBorders>
              <w:top w:val="nil"/>
              <w:left w:val="nil"/>
              <w:bottom w:val="nil"/>
              <w:right w:val="nil"/>
            </w:tcBorders>
            <w:shd w:val="clear" w:color="auto" w:fill="auto"/>
            <w:noWrap/>
            <w:vAlign w:val="bottom"/>
            <w:hideMark/>
          </w:tcPr>
          <w:p w14:paraId="43374BC9" w14:textId="77777777" w:rsidR="00DD531B" w:rsidRPr="005027A6" w:rsidRDefault="00DD531B" w:rsidP="00DD531B">
            <w:pPr>
              <w:spacing w:after="0" w:line="240" w:lineRule="auto"/>
              <w:rPr>
                <w:rFonts w:ascii="Times New Roman" w:eastAsia="Times New Roman" w:hAnsi="Times New Roman" w:cs="Times New Roman"/>
                <w:color w:val="000000"/>
                <w:sz w:val="16"/>
                <w:szCs w:val="16"/>
                <w:lang w:eastAsia="sk-SK"/>
              </w:rPr>
            </w:pPr>
            <w:r w:rsidRPr="005027A6">
              <w:rPr>
                <w:rFonts w:ascii="Times New Roman" w:eastAsia="Times New Roman" w:hAnsi="Times New Roman" w:cs="Times New Roman"/>
                <w:color w:val="000000"/>
                <w:sz w:val="16"/>
                <w:szCs w:val="16"/>
                <w:lang w:eastAsia="sk-SK"/>
              </w:rPr>
              <w:t>620 odvody</w:t>
            </w:r>
          </w:p>
        </w:tc>
        <w:tc>
          <w:tcPr>
            <w:tcW w:w="468" w:type="pct"/>
            <w:tcBorders>
              <w:top w:val="nil"/>
              <w:left w:val="nil"/>
              <w:bottom w:val="nil"/>
              <w:right w:val="nil"/>
            </w:tcBorders>
            <w:shd w:val="clear" w:color="auto" w:fill="auto"/>
            <w:noWrap/>
            <w:vAlign w:val="bottom"/>
            <w:hideMark/>
          </w:tcPr>
          <w:p w14:paraId="3B6347F8"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9 550</w:t>
            </w:r>
          </w:p>
        </w:tc>
        <w:tc>
          <w:tcPr>
            <w:tcW w:w="469" w:type="pct"/>
            <w:tcBorders>
              <w:top w:val="nil"/>
              <w:left w:val="nil"/>
              <w:bottom w:val="nil"/>
              <w:right w:val="nil"/>
            </w:tcBorders>
            <w:shd w:val="clear" w:color="auto" w:fill="auto"/>
            <w:noWrap/>
            <w:vAlign w:val="bottom"/>
            <w:hideMark/>
          </w:tcPr>
          <w:p w14:paraId="6ACCC8C9"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72 850</w:t>
            </w:r>
          </w:p>
        </w:tc>
        <w:tc>
          <w:tcPr>
            <w:tcW w:w="492" w:type="pct"/>
            <w:tcBorders>
              <w:top w:val="nil"/>
              <w:left w:val="nil"/>
              <w:bottom w:val="nil"/>
              <w:right w:val="nil"/>
            </w:tcBorders>
            <w:shd w:val="clear" w:color="auto" w:fill="auto"/>
            <w:noWrap/>
            <w:vAlign w:val="bottom"/>
            <w:hideMark/>
          </w:tcPr>
          <w:p w14:paraId="4D3FC31A"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78 749</w:t>
            </w:r>
          </w:p>
        </w:tc>
        <w:tc>
          <w:tcPr>
            <w:tcW w:w="446" w:type="pct"/>
            <w:tcBorders>
              <w:top w:val="nil"/>
              <w:left w:val="nil"/>
              <w:bottom w:val="nil"/>
              <w:right w:val="nil"/>
            </w:tcBorders>
            <w:shd w:val="clear" w:color="auto" w:fill="auto"/>
            <w:noWrap/>
            <w:vAlign w:val="bottom"/>
            <w:hideMark/>
          </w:tcPr>
          <w:p w14:paraId="222C8E7E"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78 793</w:t>
            </w:r>
          </w:p>
        </w:tc>
        <w:tc>
          <w:tcPr>
            <w:tcW w:w="469" w:type="pct"/>
            <w:tcBorders>
              <w:top w:val="nil"/>
              <w:left w:val="nil"/>
              <w:bottom w:val="nil"/>
              <w:right w:val="nil"/>
            </w:tcBorders>
            <w:shd w:val="clear" w:color="auto" w:fill="auto"/>
            <w:noWrap/>
            <w:vAlign w:val="bottom"/>
            <w:hideMark/>
          </w:tcPr>
          <w:p w14:paraId="22634DA5"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86 923</w:t>
            </w:r>
          </w:p>
        </w:tc>
        <w:tc>
          <w:tcPr>
            <w:tcW w:w="470" w:type="pct"/>
            <w:tcBorders>
              <w:top w:val="nil"/>
              <w:left w:val="nil"/>
              <w:bottom w:val="nil"/>
              <w:right w:val="nil"/>
            </w:tcBorders>
            <w:shd w:val="clear" w:color="auto" w:fill="auto"/>
            <w:noWrap/>
            <w:vAlign w:val="bottom"/>
            <w:hideMark/>
          </w:tcPr>
          <w:p w14:paraId="56A66C8F"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89 563</w:t>
            </w:r>
          </w:p>
        </w:tc>
        <w:tc>
          <w:tcPr>
            <w:tcW w:w="466" w:type="pct"/>
            <w:tcBorders>
              <w:top w:val="nil"/>
              <w:left w:val="nil"/>
              <w:bottom w:val="nil"/>
              <w:right w:val="nil"/>
            </w:tcBorders>
            <w:shd w:val="clear" w:color="auto" w:fill="auto"/>
            <w:noWrap/>
            <w:vAlign w:val="bottom"/>
            <w:hideMark/>
          </w:tcPr>
          <w:p w14:paraId="499F9DF0"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90 762</w:t>
            </w:r>
          </w:p>
        </w:tc>
      </w:tr>
      <w:tr w:rsidR="005027A6" w:rsidRPr="00DD531B" w14:paraId="10196DD6" w14:textId="77777777" w:rsidTr="005027A6">
        <w:trPr>
          <w:trHeight w:val="300"/>
        </w:trPr>
        <w:tc>
          <w:tcPr>
            <w:tcW w:w="1719" w:type="pct"/>
            <w:tcBorders>
              <w:top w:val="nil"/>
              <w:left w:val="nil"/>
              <w:bottom w:val="nil"/>
              <w:right w:val="nil"/>
            </w:tcBorders>
            <w:shd w:val="clear" w:color="auto" w:fill="auto"/>
            <w:noWrap/>
            <w:vAlign w:val="bottom"/>
            <w:hideMark/>
          </w:tcPr>
          <w:p w14:paraId="04138452" w14:textId="77777777" w:rsidR="00DD531B" w:rsidRPr="005027A6" w:rsidRDefault="00DD531B" w:rsidP="00DD531B">
            <w:pPr>
              <w:spacing w:after="0" w:line="240" w:lineRule="auto"/>
              <w:rPr>
                <w:rFonts w:ascii="Times New Roman" w:eastAsia="Times New Roman" w:hAnsi="Times New Roman" w:cs="Times New Roman"/>
                <w:color w:val="000000"/>
                <w:sz w:val="16"/>
                <w:szCs w:val="16"/>
                <w:lang w:eastAsia="sk-SK"/>
              </w:rPr>
            </w:pPr>
            <w:r w:rsidRPr="005027A6">
              <w:rPr>
                <w:rFonts w:ascii="Times New Roman" w:eastAsia="Times New Roman" w:hAnsi="Times New Roman" w:cs="Times New Roman"/>
                <w:color w:val="000000"/>
                <w:sz w:val="16"/>
                <w:szCs w:val="16"/>
                <w:lang w:eastAsia="sk-SK"/>
              </w:rPr>
              <w:t>630 tovary a služby</w:t>
            </w:r>
          </w:p>
        </w:tc>
        <w:tc>
          <w:tcPr>
            <w:tcW w:w="468" w:type="pct"/>
            <w:tcBorders>
              <w:top w:val="nil"/>
              <w:left w:val="nil"/>
              <w:bottom w:val="nil"/>
              <w:right w:val="nil"/>
            </w:tcBorders>
            <w:shd w:val="clear" w:color="auto" w:fill="auto"/>
            <w:noWrap/>
            <w:vAlign w:val="bottom"/>
            <w:hideMark/>
          </w:tcPr>
          <w:p w14:paraId="7BC7F54F"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35 935</w:t>
            </w:r>
          </w:p>
        </w:tc>
        <w:tc>
          <w:tcPr>
            <w:tcW w:w="469" w:type="pct"/>
            <w:tcBorders>
              <w:top w:val="nil"/>
              <w:left w:val="nil"/>
              <w:bottom w:val="nil"/>
              <w:right w:val="nil"/>
            </w:tcBorders>
            <w:shd w:val="clear" w:color="auto" w:fill="auto"/>
            <w:noWrap/>
            <w:vAlign w:val="bottom"/>
            <w:hideMark/>
          </w:tcPr>
          <w:p w14:paraId="411AC864"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60 520</w:t>
            </w:r>
          </w:p>
        </w:tc>
        <w:tc>
          <w:tcPr>
            <w:tcW w:w="492" w:type="pct"/>
            <w:tcBorders>
              <w:top w:val="nil"/>
              <w:left w:val="nil"/>
              <w:bottom w:val="nil"/>
              <w:right w:val="nil"/>
            </w:tcBorders>
            <w:shd w:val="clear" w:color="auto" w:fill="auto"/>
            <w:noWrap/>
            <w:vAlign w:val="bottom"/>
            <w:hideMark/>
          </w:tcPr>
          <w:p w14:paraId="3B86855C"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54 817</w:t>
            </w:r>
          </w:p>
        </w:tc>
        <w:tc>
          <w:tcPr>
            <w:tcW w:w="446" w:type="pct"/>
            <w:tcBorders>
              <w:top w:val="nil"/>
              <w:left w:val="nil"/>
              <w:bottom w:val="nil"/>
              <w:right w:val="nil"/>
            </w:tcBorders>
            <w:shd w:val="clear" w:color="auto" w:fill="auto"/>
            <w:noWrap/>
            <w:vAlign w:val="bottom"/>
            <w:hideMark/>
          </w:tcPr>
          <w:p w14:paraId="32B6FCE1"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74 011</w:t>
            </w:r>
          </w:p>
        </w:tc>
        <w:tc>
          <w:tcPr>
            <w:tcW w:w="469" w:type="pct"/>
            <w:tcBorders>
              <w:top w:val="nil"/>
              <w:left w:val="nil"/>
              <w:bottom w:val="nil"/>
              <w:right w:val="nil"/>
            </w:tcBorders>
            <w:shd w:val="clear" w:color="auto" w:fill="auto"/>
            <w:noWrap/>
            <w:vAlign w:val="bottom"/>
            <w:hideMark/>
          </w:tcPr>
          <w:p w14:paraId="31101124"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66 164</w:t>
            </w:r>
          </w:p>
        </w:tc>
        <w:tc>
          <w:tcPr>
            <w:tcW w:w="470" w:type="pct"/>
            <w:tcBorders>
              <w:top w:val="nil"/>
              <w:left w:val="nil"/>
              <w:bottom w:val="nil"/>
              <w:right w:val="nil"/>
            </w:tcBorders>
            <w:shd w:val="clear" w:color="auto" w:fill="auto"/>
            <w:noWrap/>
            <w:vAlign w:val="bottom"/>
            <w:hideMark/>
          </w:tcPr>
          <w:p w14:paraId="506E5DE8"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69 254</w:t>
            </w:r>
          </w:p>
        </w:tc>
        <w:tc>
          <w:tcPr>
            <w:tcW w:w="466" w:type="pct"/>
            <w:tcBorders>
              <w:top w:val="nil"/>
              <w:left w:val="nil"/>
              <w:bottom w:val="nil"/>
              <w:right w:val="nil"/>
            </w:tcBorders>
            <w:shd w:val="clear" w:color="auto" w:fill="auto"/>
            <w:noWrap/>
            <w:vAlign w:val="bottom"/>
            <w:hideMark/>
          </w:tcPr>
          <w:p w14:paraId="3515603A"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69 254</w:t>
            </w:r>
          </w:p>
        </w:tc>
      </w:tr>
      <w:tr w:rsidR="005027A6" w:rsidRPr="00DD531B" w14:paraId="404106FD" w14:textId="77777777" w:rsidTr="005027A6">
        <w:trPr>
          <w:trHeight w:val="300"/>
        </w:trPr>
        <w:tc>
          <w:tcPr>
            <w:tcW w:w="1719" w:type="pct"/>
            <w:tcBorders>
              <w:top w:val="nil"/>
              <w:left w:val="nil"/>
              <w:bottom w:val="nil"/>
              <w:right w:val="nil"/>
            </w:tcBorders>
            <w:shd w:val="clear" w:color="auto" w:fill="auto"/>
            <w:noWrap/>
            <w:vAlign w:val="bottom"/>
            <w:hideMark/>
          </w:tcPr>
          <w:p w14:paraId="3A975946" w14:textId="77777777" w:rsidR="00DD531B" w:rsidRPr="005027A6" w:rsidRDefault="00DD531B" w:rsidP="00DD531B">
            <w:pPr>
              <w:spacing w:after="0" w:line="240" w:lineRule="auto"/>
              <w:rPr>
                <w:rFonts w:ascii="Times New Roman" w:eastAsia="Times New Roman" w:hAnsi="Times New Roman" w:cs="Times New Roman"/>
                <w:color w:val="000000"/>
                <w:sz w:val="16"/>
                <w:szCs w:val="16"/>
                <w:lang w:eastAsia="sk-SK"/>
              </w:rPr>
            </w:pPr>
            <w:r w:rsidRPr="005027A6">
              <w:rPr>
                <w:rFonts w:ascii="Times New Roman" w:eastAsia="Times New Roman" w:hAnsi="Times New Roman" w:cs="Times New Roman"/>
                <w:color w:val="000000"/>
                <w:sz w:val="16"/>
                <w:szCs w:val="16"/>
                <w:lang w:eastAsia="sk-SK"/>
              </w:rPr>
              <w:t>640 bežné transfery</w:t>
            </w:r>
          </w:p>
        </w:tc>
        <w:tc>
          <w:tcPr>
            <w:tcW w:w="468" w:type="pct"/>
            <w:tcBorders>
              <w:top w:val="nil"/>
              <w:left w:val="nil"/>
              <w:bottom w:val="nil"/>
              <w:right w:val="nil"/>
            </w:tcBorders>
            <w:shd w:val="clear" w:color="auto" w:fill="auto"/>
            <w:noWrap/>
            <w:vAlign w:val="bottom"/>
            <w:hideMark/>
          </w:tcPr>
          <w:p w14:paraId="5B48A48D"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1 359 620</w:t>
            </w:r>
          </w:p>
        </w:tc>
        <w:tc>
          <w:tcPr>
            <w:tcW w:w="469" w:type="pct"/>
            <w:tcBorders>
              <w:top w:val="nil"/>
              <w:left w:val="nil"/>
              <w:bottom w:val="nil"/>
              <w:right w:val="nil"/>
            </w:tcBorders>
            <w:shd w:val="clear" w:color="auto" w:fill="auto"/>
            <w:noWrap/>
            <w:vAlign w:val="bottom"/>
            <w:hideMark/>
          </w:tcPr>
          <w:p w14:paraId="0CDD9210"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2 818 103</w:t>
            </w:r>
          </w:p>
        </w:tc>
        <w:tc>
          <w:tcPr>
            <w:tcW w:w="492" w:type="pct"/>
            <w:tcBorders>
              <w:top w:val="nil"/>
              <w:left w:val="nil"/>
              <w:bottom w:val="nil"/>
              <w:right w:val="nil"/>
            </w:tcBorders>
            <w:shd w:val="clear" w:color="auto" w:fill="auto"/>
            <w:noWrap/>
            <w:vAlign w:val="bottom"/>
            <w:hideMark/>
          </w:tcPr>
          <w:p w14:paraId="2B392550"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2 985 593</w:t>
            </w:r>
          </w:p>
        </w:tc>
        <w:tc>
          <w:tcPr>
            <w:tcW w:w="446" w:type="pct"/>
            <w:tcBorders>
              <w:top w:val="nil"/>
              <w:left w:val="nil"/>
              <w:bottom w:val="nil"/>
              <w:right w:val="nil"/>
            </w:tcBorders>
            <w:shd w:val="clear" w:color="auto" w:fill="auto"/>
            <w:noWrap/>
            <w:vAlign w:val="bottom"/>
            <w:hideMark/>
          </w:tcPr>
          <w:p w14:paraId="4A593C10"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3 192 425</w:t>
            </w:r>
          </w:p>
        </w:tc>
        <w:tc>
          <w:tcPr>
            <w:tcW w:w="469" w:type="pct"/>
            <w:tcBorders>
              <w:top w:val="nil"/>
              <w:left w:val="nil"/>
              <w:bottom w:val="nil"/>
              <w:right w:val="nil"/>
            </w:tcBorders>
            <w:shd w:val="clear" w:color="auto" w:fill="auto"/>
            <w:noWrap/>
            <w:vAlign w:val="bottom"/>
            <w:hideMark/>
          </w:tcPr>
          <w:p w14:paraId="5C620F06"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3 611 693</w:t>
            </w:r>
          </w:p>
        </w:tc>
        <w:tc>
          <w:tcPr>
            <w:tcW w:w="470" w:type="pct"/>
            <w:tcBorders>
              <w:top w:val="nil"/>
              <w:left w:val="nil"/>
              <w:bottom w:val="nil"/>
              <w:right w:val="nil"/>
            </w:tcBorders>
            <w:shd w:val="clear" w:color="auto" w:fill="auto"/>
            <w:noWrap/>
            <w:vAlign w:val="bottom"/>
            <w:hideMark/>
          </w:tcPr>
          <w:p w14:paraId="38E73185"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3 793 304</w:t>
            </w:r>
          </w:p>
        </w:tc>
        <w:tc>
          <w:tcPr>
            <w:tcW w:w="466" w:type="pct"/>
            <w:tcBorders>
              <w:top w:val="nil"/>
              <w:left w:val="nil"/>
              <w:bottom w:val="nil"/>
              <w:right w:val="nil"/>
            </w:tcBorders>
            <w:shd w:val="clear" w:color="auto" w:fill="auto"/>
            <w:noWrap/>
            <w:vAlign w:val="bottom"/>
            <w:hideMark/>
          </w:tcPr>
          <w:p w14:paraId="18639B14"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3 935 938</w:t>
            </w:r>
          </w:p>
        </w:tc>
      </w:tr>
      <w:tr w:rsidR="005027A6" w:rsidRPr="00DD531B" w14:paraId="3C0E0DF2" w14:textId="77777777" w:rsidTr="005027A6">
        <w:trPr>
          <w:trHeight w:val="300"/>
        </w:trPr>
        <w:tc>
          <w:tcPr>
            <w:tcW w:w="1719" w:type="pct"/>
            <w:tcBorders>
              <w:top w:val="nil"/>
              <w:left w:val="nil"/>
              <w:bottom w:val="nil"/>
              <w:right w:val="nil"/>
            </w:tcBorders>
            <w:shd w:val="clear" w:color="auto" w:fill="auto"/>
            <w:noWrap/>
            <w:vAlign w:val="bottom"/>
            <w:hideMark/>
          </w:tcPr>
          <w:p w14:paraId="19B5DEA5" w14:textId="77777777" w:rsidR="00DD531B" w:rsidRPr="005027A6" w:rsidRDefault="00DD531B" w:rsidP="00DD531B">
            <w:pPr>
              <w:spacing w:after="0" w:line="240" w:lineRule="auto"/>
              <w:rPr>
                <w:rFonts w:ascii="Times New Roman" w:eastAsia="Times New Roman" w:hAnsi="Times New Roman" w:cs="Times New Roman"/>
                <w:color w:val="000000"/>
                <w:sz w:val="16"/>
                <w:szCs w:val="16"/>
                <w:lang w:eastAsia="sk-SK"/>
              </w:rPr>
            </w:pPr>
            <w:r w:rsidRPr="005027A6">
              <w:rPr>
                <w:rFonts w:ascii="Times New Roman" w:eastAsia="Times New Roman" w:hAnsi="Times New Roman" w:cs="Times New Roman"/>
                <w:color w:val="000000"/>
                <w:sz w:val="16"/>
                <w:szCs w:val="16"/>
                <w:lang w:eastAsia="sk-SK"/>
              </w:rPr>
              <w:t>kapitálové výdavky 700</w:t>
            </w:r>
          </w:p>
        </w:tc>
        <w:tc>
          <w:tcPr>
            <w:tcW w:w="468" w:type="pct"/>
            <w:tcBorders>
              <w:top w:val="nil"/>
              <w:left w:val="nil"/>
              <w:bottom w:val="nil"/>
              <w:right w:val="nil"/>
            </w:tcBorders>
            <w:shd w:val="clear" w:color="auto" w:fill="auto"/>
            <w:noWrap/>
            <w:vAlign w:val="bottom"/>
            <w:hideMark/>
          </w:tcPr>
          <w:p w14:paraId="712B2566"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39 791</w:t>
            </w:r>
          </w:p>
        </w:tc>
        <w:tc>
          <w:tcPr>
            <w:tcW w:w="469" w:type="pct"/>
            <w:tcBorders>
              <w:top w:val="nil"/>
              <w:left w:val="nil"/>
              <w:bottom w:val="nil"/>
              <w:right w:val="nil"/>
            </w:tcBorders>
            <w:shd w:val="clear" w:color="auto" w:fill="auto"/>
            <w:noWrap/>
            <w:vAlign w:val="bottom"/>
            <w:hideMark/>
          </w:tcPr>
          <w:p w14:paraId="1F46A282"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31 367</w:t>
            </w:r>
          </w:p>
        </w:tc>
        <w:tc>
          <w:tcPr>
            <w:tcW w:w="492" w:type="pct"/>
            <w:tcBorders>
              <w:top w:val="nil"/>
              <w:left w:val="nil"/>
              <w:bottom w:val="nil"/>
              <w:right w:val="nil"/>
            </w:tcBorders>
            <w:shd w:val="clear" w:color="auto" w:fill="auto"/>
            <w:noWrap/>
            <w:vAlign w:val="bottom"/>
            <w:hideMark/>
          </w:tcPr>
          <w:p w14:paraId="73D510CB"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16 626</w:t>
            </w:r>
          </w:p>
        </w:tc>
        <w:tc>
          <w:tcPr>
            <w:tcW w:w="446" w:type="pct"/>
            <w:tcBorders>
              <w:top w:val="nil"/>
              <w:left w:val="nil"/>
              <w:bottom w:val="nil"/>
              <w:right w:val="nil"/>
            </w:tcBorders>
            <w:shd w:val="clear" w:color="auto" w:fill="auto"/>
            <w:noWrap/>
            <w:vAlign w:val="bottom"/>
            <w:hideMark/>
          </w:tcPr>
          <w:p w14:paraId="4FF22518"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30 382</w:t>
            </w:r>
          </w:p>
        </w:tc>
        <w:tc>
          <w:tcPr>
            <w:tcW w:w="469" w:type="pct"/>
            <w:tcBorders>
              <w:top w:val="nil"/>
              <w:left w:val="nil"/>
              <w:bottom w:val="nil"/>
              <w:right w:val="nil"/>
            </w:tcBorders>
            <w:shd w:val="clear" w:color="auto" w:fill="auto"/>
            <w:noWrap/>
            <w:vAlign w:val="bottom"/>
            <w:hideMark/>
          </w:tcPr>
          <w:p w14:paraId="1785F28C"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16 756</w:t>
            </w:r>
          </w:p>
        </w:tc>
        <w:tc>
          <w:tcPr>
            <w:tcW w:w="470" w:type="pct"/>
            <w:tcBorders>
              <w:top w:val="nil"/>
              <w:left w:val="nil"/>
              <w:bottom w:val="nil"/>
              <w:right w:val="nil"/>
            </w:tcBorders>
            <w:shd w:val="clear" w:color="auto" w:fill="auto"/>
            <w:noWrap/>
            <w:vAlign w:val="bottom"/>
            <w:hideMark/>
          </w:tcPr>
          <w:p w14:paraId="08B69CC2"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45 335</w:t>
            </w:r>
          </w:p>
        </w:tc>
        <w:tc>
          <w:tcPr>
            <w:tcW w:w="466" w:type="pct"/>
            <w:tcBorders>
              <w:top w:val="nil"/>
              <w:left w:val="nil"/>
              <w:bottom w:val="nil"/>
              <w:right w:val="nil"/>
            </w:tcBorders>
            <w:shd w:val="clear" w:color="auto" w:fill="auto"/>
            <w:noWrap/>
            <w:vAlign w:val="bottom"/>
            <w:hideMark/>
          </w:tcPr>
          <w:p w14:paraId="60A88548"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36 907</w:t>
            </w:r>
          </w:p>
        </w:tc>
      </w:tr>
      <w:tr w:rsidR="005027A6" w:rsidRPr="00DD531B" w14:paraId="526C2DF7" w14:textId="77777777" w:rsidTr="005027A6">
        <w:trPr>
          <w:trHeight w:val="300"/>
        </w:trPr>
        <w:tc>
          <w:tcPr>
            <w:tcW w:w="1719" w:type="pct"/>
            <w:tcBorders>
              <w:top w:val="nil"/>
              <w:left w:val="nil"/>
              <w:bottom w:val="nil"/>
              <w:right w:val="nil"/>
            </w:tcBorders>
            <w:shd w:val="clear" w:color="auto" w:fill="auto"/>
            <w:noWrap/>
            <w:vAlign w:val="bottom"/>
            <w:hideMark/>
          </w:tcPr>
          <w:p w14:paraId="0239E13F" w14:textId="77777777" w:rsidR="00DD531B" w:rsidRPr="005027A6" w:rsidRDefault="00DD531B" w:rsidP="00DD531B">
            <w:pPr>
              <w:spacing w:after="0" w:line="240" w:lineRule="auto"/>
              <w:rPr>
                <w:rFonts w:ascii="Times New Roman" w:eastAsia="Times New Roman" w:hAnsi="Times New Roman" w:cs="Times New Roman"/>
                <w:b/>
                <w:bCs/>
                <w:color w:val="000000"/>
                <w:sz w:val="16"/>
                <w:szCs w:val="16"/>
                <w:lang w:eastAsia="sk-SK"/>
              </w:rPr>
            </w:pPr>
            <w:r w:rsidRPr="005027A6">
              <w:rPr>
                <w:rFonts w:ascii="Times New Roman" w:eastAsia="Times New Roman" w:hAnsi="Times New Roman" w:cs="Times New Roman"/>
                <w:b/>
                <w:bCs/>
                <w:color w:val="000000"/>
                <w:sz w:val="16"/>
                <w:szCs w:val="16"/>
                <w:lang w:eastAsia="sk-SK"/>
              </w:rPr>
              <w:t>zdroj EÚ vrátane spolufinancovania zo ŠR, v tom:</w:t>
            </w:r>
          </w:p>
        </w:tc>
        <w:tc>
          <w:tcPr>
            <w:tcW w:w="468" w:type="pct"/>
            <w:tcBorders>
              <w:top w:val="nil"/>
              <w:left w:val="nil"/>
              <w:bottom w:val="nil"/>
              <w:right w:val="nil"/>
            </w:tcBorders>
            <w:shd w:val="clear" w:color="auto" w:fill="auto"/>
            <w:noWrap/>
            <w:vAlign w:val="bottom"/>
            <w:hideMark/>
          </w:tcPr>
          <w:p w14:paraId="0182E9AF"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72 410</w:t>
            </w:r>
          </w:p>
        </w:tc>
        <w:tc>
          <w:tcPr>
            <w:tcW w:w="469" w:type="pct"/>
            <w:tcBorders>
              <w:top w:val="nil"/>
              <w:left w:val="nil"/>
              <w:bottom w:val="nil"/>
              <w:right w:val="nil"/>
            </w:tcBorders>
            <w:shd w:val="clear" w:color="auto" w:fill="auto"/>
            <w:noWrap/>
            <w:vAlign w:val="bottom"/>
            <w:hideMark/>
          </w:tcPr>
          <w:p w14:paraId="164B901B"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142 321</w:t>
            </w:r>
          </w:p>
        </w:tc>
        <w:tc>
          <w:tcPr>
            <w:tcW w:w="492" w:type="pct"/>
            <w:tcBorders>
              <w:top w:val="nil"/>
              <w:left w:val="nil"/>
              <w:bottom w:val="nil"/>
              <w:right w:val="nil"/>
            </w:tcBorders>
            <w:shd w:val="clear" w:color="auto" w:fill="auto"/>
            <w:noWrap/>
            <w:vAlign w:val="bottom"/>
            <w:hideMark/>
          </w:tcPr>
          <w:p w14:paraId="6BE428C0"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308 976</w:t>
            </w:r>
          </w:p>
        </w:tc>
        <w:tc>
          <w:tcPr>
            <w:tcW w:w="446" w:type="pct"/>
            <w:tcBorders>
              <w:top w:val="nil"/>
              <w:left w:val="nil"/>
              <w:bottom w:val="nil"/>
              <w:right w:val="nil"/>
            </w:tcBorders>
            <w:shd w:val="clear" w:color="auto" w:fill="auto"/>
            <w:noWrap/>
            <w:vAlign w:val="bottom"/>
            <w:hideMark/>
          </w:tcPr>
          <w:p w14:paraId="2AFC4FBC"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317 900</w:t>
            </w:r>
          </w:p>
        </w:tc>
        <w:tc>
          <w:tcPr>
            <w:tcW w:w="469" w:type="pct"/>
            <w:tcBorders>
              <w:top w:val="nil"/>
              <w:left w:val="nil"/>
              <w:bottom w:val="nil"/>
              <w:right w:val="nil"/>
            </w:tcBorders>
            <w:shd w:val="clear" w:color="auto" w:fill="auto"/>
            <w:noWrap/>
            <w:vAlign w:val="bottom"/>
            <w:hideMark/>
          </w:tcPr>
          <w:p w14:paraId="2C8BA043"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120 396</w:t>
            </w:r>
          </w:p>
        </w:tc>
        <w:tc>
          <w:tcPr>
            <w:tcW w:w="470" w:type="pct"/>
            <w:tcBorders>
              <w:top w:val="nil"/>
              <w:left w:val="nil"/>
              <w:bottom w:val="nil"/>
              <w:right w:val="nil"/>
            </w:tcBorders>
            <w:shd w:val="clear" w:color="auto" w:fill="auto"/>
            <w:noWrap/>
            <w:vAlign w:val="bottom"/>
            <w:hideMark/>
          </w:tcPr>
          <w:p w14:paraId="038FF054"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257 902</w:t>
            </w:r>
          </w:p>
        </w:tc>
        <w:tc>
          <w:tcPr>
            <w:tcW w:w="466" w:type="pct"/>
            <w:tcBorders>
              <w:top w:val="nil"/>
              <w:left w:val="nil"/>
              <w:bottom w:val="nil"/>
              <w:right w:val="nil"/>
            </w:tcBorders>
            <w:shd w:val="clear" w:color="auto" w:fill="auto"/>
            <w:noWrap/>
            <w:vAlign w:val="bottom"/>
            <w:hideMark/>
          </w:tcPr>
          <w:p w14:paraId="44036CA7"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300 563</w:t>
            </w:r>
          </w:p>
        </w:tc>
      </w:tr>
      <w:tr w:rsidR="005027A6" w:rsidRPr="00DD531B" w14:paraId="4A86C1CC" w14:textId="77777777" w:rsidTr="005027A6">
        <w:trPr>
          <w:trHeight w:val="300"/>
        </w:trPr>
        <w:tc>
          <w:tcPr>
            <w:tcW w:w="1719" w:type="pct"/>
            <w:tcBorders>
              <w:top w:val="nil"/>
              <w:left w:val="nil"/>
              <w:bottom w:val="nil"/>
              <w:right w:val="nil"/>
            </w:tcBorders>
            <w:shd w:val="clear" w:color="auto" w:fill="auto"/>
            <w:noWrap/>
            <w:vAlign w:val="bottom"/>
            <w:hideMark/>
          </w:tcPr>
          <w:p w14:paraId="1B2C3AC5" w14:textId="77777777" w:rsidR="00DD531B" w:rsidRPr="005027A6" w:rsidRDefault="00DD531B" w:rsidP="00DD531B">
            <w:pPr>
              <w:spacing w:after="0" w:line="240" w:lineRule="auto"/>
              <w:rPr>
                <w:rFonts w:ascii="Times New Roman" w:eastAsia="Times New Roman" w:hAnsi="Times New Roman" w:cs="Times New Roman"/>
                <w:color w:val="000000"/>
                <w:sz w:val="16"/>
                <w:szCs w:val="16"/>
                <w:lang w:eastAsia="sk-SK"/>
              </w:rPr>
            </w:pPr>
            <w:r w:rsidRPr="005027A6">
              <w:rPr>
                <w:rFonts w:ascii="Times New Roman" w:eastAsia="Times New Roman" w:hAnsi="Times New Roman" w:cs="Times New Roman"/>
                <w:color w:val="000000"/>
                <w:sz w:val="16"/>
                <w:szCs w:val="16"/>
                <w:lang w:eastAsia="sk-SK"/>
              </w:rPr>
              <w:t>prostriedky EÚ</w:t>
            </w:r>
          </w:p>
        </w:tc>
        <w:tc>
          <w:tcPr>
            <w:tcW w:w="468" w:type="pct"/>
            <w:tcBorders>
              <w:top w:val="nil"/>
              <w:left w:val="nil"/>
              <w:bottom w:val="nil"/>
              <w:right w:val="nil"/>
            </w:tcBorders>
            <w:shd w:val="clear" w:color="auto" w:fill="auto"/>
            <w:noWrap/>
            <w:vAlign w:val="bottom"/>
            <w:hideMark/>
          </w:tcPr>
          <w:p w14:paraId="0AD74979"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40 305</w:t>
            </w:r>
          </w:p>
        </w:tc>
        <w:tc>
          <w:tcPr>
            <w:tcW w:w="469" w:type="pct"/>
            <w:tcBorders>
              <w:top w:val="nil"/>
              <w:left w:val="nil"/>
              <w:bottom w:val="nil"/>
              <w:right w:val="nil"/>
            </w:tcBorders>
            <w:shd w:val="clear" w:color="auto" w:fill="auto"/>
            <w:noWrap/>
            <w:vAlign w:val="bottom"/>
            <w:hideMark/>
          </w:tcPr>
          <w:p w14:paraId="002A5963"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108 551</w:t>
            </w:r>
          </w:p>
        </w:tc>
        <w:tc>
          <w:tcPr>
            <w:tcW w:w="492" w:type="pct"/>
            <w:tcBorders>
              <w:top w:val="nil"/>
              <w:left w:val="nil"/>
              <w:bottom w:val="nil"/>
              <w:right w:val="nil"/>
            </w:tcBorders>
            <w:shd w:val="clear" w:color="auto" w:fill="auto"/>
            <w:noWrap/>
            <w:vAlign w:val="bottom"/>
            <w:hideMark/>
          </w:tcPr>
          <w:p w14:paraId="73B3E7CE"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251 208</w:t>
            </w:r>
          </w:p>
        </w:tc>
        <w:tc>
          <w:tcPr>
            <w:tcW w:w="446" w:type="pct"/>
            <w:tcBorders>
              <w:top w:val="nil"/>
              <w:left w:val="nil"/>
              <w:bottom w:val="nil"/>
              <w:right w:val="nil"/>
            </w:tcBorders>
            <w:shd w:val="clear" w:color="auto" w:fill="auto"/>
            <w:noWrap/>
            <w:vAlign w:val="bottom"/>
            <w:hideMark/>
          </w:tcPr>
          <w:p w14:paraId="57D0B68F"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228 911</w:t>
            </w:r>
          </w:p>
        </w:tc>
        <w:tc>
          <w:tcPr>
            <w:tcW w:w="469" w:type="pct"/>
            <w:tcBorders>
              <w:top w:val="nil"/>
              <w:left w:val="nil"/>
              <w:bottom w:val="nil"/>
              <w:right w:val="nil"/>
            </w:tcBorders>
            <w:shd w:val="clear" w:color="auto" w:fill="auto"/>
            <w:noWrap/>
            <w:vAlign w:val="bottom"/>
            <w:hideMark/>
          </w:tcPr>
          <w:p w14:paraId="7CF86363"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108 484</w:t>
            </w:r>
          </w:p>
        </w:tc>
        <w:tc>
          <w:tcPr>
            <w:tcW w:w="470" w:type="pct"/>
            <w:tcBorders>
              <w:top w:val="nil"/>
              <w:left w:val="nil"/>
              <w:bottom w:val="nil"/>
              <w:right w:val="nil"/>
            </w:tcBorders>
            <w:shd w:val="clear" w:color="auto" w:fill="auto"/>
            <w:noWrap/>
            <w:vAlign w:val="bottom"/>
            <w:hideMark/>
          </w:tcPr>
          <w:p w14:paraId="6009CC31"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223 999</w:t>
            </w:r>
          </w:p>
        </w:tc>
        <w:tc>
          <w:tcPr>
            <w:tcW w:w="466" w:type="pct"/>
            <w:tcBorders>
              <w:top w:val="nil"/>
              <w:left w:val="nil"/>
              <w:bottom w:val="nil"/>
              <w:right w:val="nil"/>
            </w:tcBorders>
            <w:shd w:val="clear" w:color="auto" w:fill="auto"/>
            <w:noWrap/>
            <w:vAlign w:val="bottom"/>
            <w:hideMark/>
          </w:tcPr>
          <w:p w14:paraId="72EB5E1F"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261 691</w:t>
            </w:r>
          </w:p>
        </w:tc>
      </w:tr>
      <w:tr w:rsidR="005027A6" w:rsidRPr="00DD531B" w14:paraId="46C2A4B8" w14:textId="77777777" w:rsidTr="005027A6">
        <w:trPr>
          <w:trHeight w:val="300"/>
        </w:trPr>
        <w:tc>
          <w:tcPr>
            <w:tcW w:w="1719" w:type="pct"/>
            <w:tcBorders>
              <w:top w:val="nil"/>
              <w:left w:val="nil"/>
              <w:bottom w:val="nil"/>
              <w:right w:val="nil"/>
            </w:tcBorders>
            <w:shd w:val="clear" w:color="auto" w:fill="auto"/>
            <w:noWrap/>
            <w:vAlign w:val="bottom"/>
            <w:hideMark/>
          </w:tcPr>
          <w:p w14:paraId="2EC596BD" w14:textId="77777777" w:rsidR="00DD531B" w:rsidRPr="005027A6" w:rsidRDefault="00DD531B" w:rsidP="00DD531B">
            <w:pPr>
              <w:spacing w:after="0" w:line="240" w:lineRule="auto"/>
              <w:rPr>
                <w:rFonts w:ascii="Times New Roman" w:eastAsia="Times New Roman" w:hAnsi="Times New Roman" w:cs="Times New Roman"/>
                <w:color w:val="000000"/>
                <w:sz w:val="16"/>
                <w:szCs w:val="16"/>
                <w:lang w:eastAsia="sk-SK"/>
              </w:rPr>
            </w:pPr>
            <w:r w:rsidRPr="005027A6">
              <w:rPr>
                <w:rFonts w:ascii="Times New Roman" w:eastAsia="Times New Roman" w:hAnsi="Times New Roman" w:cs="Times New Roman"/>
                <w:color w:val="000000"/>
                <w:sz w:val="16"/>
                <w:szCs w:val="16"/>
                <w:lang w:eastAsia="sk-SK"/>
              </w:rPr>
              <w:t>spolufinancovanie zo ŠR</w:t>
            </w:r>
          </w:p>
        </w:tc>
        <w:tc>
          <w:tcPr>
            <w:tcW w:w="468" w:type="pct"/>
            <w:tcBorders>
              <w:top w:val="nil"/>
              <w:left w:val="nil"/>
              <w:bottom w:val="nil"/>
              <w:right w:val="nil"/>
            </w:tcBorders>
            <w:shd w:val="clear" w:color="auto" w:fill="auto"/>
            <w:noWrap/>
            <w:vAlign w:val="bottom"/>
            <w:hideMark/>
          </w:tcPr>
          <w:p w14:paraId="6D348C27"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32 105</w:t>
            </w:r>
          </w:p>
        </w:tc>
        <w:tc>
          <w:tcPr>
            <w:tcW w:w="469" w:type="pct"/>
            <w:tcBorders>
              <w:top w:val="nil"/>
              <w:left w:val="nil"/>
              <w:bottom w:val="nil"/>
              <w:right w:val="nil"/>
            </w:tcBorders>
            <w:shd w:val="clear" w:color="auto" w:fill="auto"/>
            <w:noWrap/>
            <w:vAlign w:val="bottom"/>
            <w:hideMark/>
          </w:tcPr>
          <w:p w14:paraId="13F1968D"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33 771</w:t>
            </w:r>
          </w:p>
        </w:tc>
        <w:tc>
          <w:tcPr>
            <w:tcW w:w="492" w:type="pct"/>
            <w:tcBorders>
              <w:top w:val="nil"/>
              <w:left w:val="nil"/>
              <w:bottom w:val="nil"/>
              <w:right w:val="nil"/>
            </w:tcBorders>
            <w:shd w:val="clear" w:color="auto" w:fill="auto"/>
            <w:noWrap/>
            <w:vAlign w:val="bottom"/>
            <w:hideMark/>
          </w:tcPr>
          <w:p w14:paraId="362965BB"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57 768</w:t>
            </w:r>
          </w:p>
        </w:tc>
        <w:tc>
          <w:tcPr>
            <w:tcW w:w="446" w:type="pct"/>
            <w:tcBorders>
              <w:top w:val="nil"/>
              <w:left w:val="nil"/>
              <w:bottom w:val="nil"/>
              <w:right w:val="nil"/>
            </w:tcBorders>
            <w:shd w:val="clear" w:color="auto" w:fill="auto"/>
            <w:noWrap/>
            <w:vAlign w:val="bottom"/>
            <w:hideMark/>
          </w:tcPr>
          <w:p w14:paraId="6D308DD9"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88 989</w:t>
            </w:r>
          </w:p>
        </w:tc>
        <w:tc>
          <w:tcPr>
            <w:tcW w:w="469" w:type="pct"/>
            <w:tcBorders>
              <w:top w:val="nil"/>
              <w:left w:val="nil"/>
              <w:bottom w:val="nil"/>
              <w:right w:val="nil"/>
            </w:tcBorders>
            <w:shd w:val="clear" w:color="auto" w:fill="auto"/>
            <w:noWrap/>
            <w:vAlign w:val="bottom"/>
            <w:hideMark/>
          </w:tcPr>
          <w:p w14:paraId="7ABEB2A4"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11 912</w:t>
            </w:r>
          </w:p>
        </w:tc>
        <w:tc>
          <w:tcPr>
            <w:tcW w:w="470" w:type="pct"/>
            <w:tcBorders>
              <w:top w:val="nil"/>
              <w:left w:val="nil"/>
              <w:bottom w:val="nil"/>
              <w:right w:val="nil"/>
            </w:tcBorders>
            <w:shd w:val="clear" w:color="auto" w:fill="auto"/>
            <w:noWrap/>
            <w:vAlign w:val="bottom"/>
            <w:hideMark/>
          </w:tcPr>
          <w:p w14:paraId="00D844AE"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33 902</w:t>
            </w:r>
          </w:p>
        </w:tc>
        <w:tc>
          <w:tcPr>
            <w:tcW w:w="466" w:type="pct"/>
            <w:tcBorders>
              <w:top w:val="nil"/>
              <w:left w:val="nil"/>
              <w:bottom w:val="nil"/>
              <w:right w:val="nil"/>
            </w:tcBorders>
            <w:shd w:val="clear" w:color="auto" w:fill="auto"/>
            <w:noWrap/>
            <w:vAlign w:val="bottom"/>
            <w:hideMark/>
          </w:tcPr>
          <w:p w14:paraId="03CF6782"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38 872</w:t>
            </w:r>
          </w:p>
        </w:tc>
      </w:tr>
      <w:tr w:rsidR="005027A6" w:rsidRPr="00DD531B" w14:paraId="4CFB8D18" w14:textId="77777777" w:rsidTr="005027A6">
        <w:trPr>
          <w:trHeight w:val="300"/>
        </w:trPr>
        <w:tc>
          <w:tcPr>
            <w:tcW w:w="1719" w:type="pct"/>
            <w:tcBorders>
              <w:top w:val="nil"/>
              <w:left w:val="nil"/>
              <w:bottom w:val="nil"/>
              <w:right w:val="nil"/>
            </w:tcBorders>
            <w:shd w:val="clear" w:color="auto" w:fill="auto"/>
            <w:noWrap/>
            <w:vAlign w:val="center"/>
            <w:hideMark/>
          </w:tcPr>
          <w:p w14:paraId="3435F88D" w14:textId="77777777" w:rsidR="00DD531B" w:rsidRPr="005027A6" w:rsidRDefault="00DD531B" w:rsidP="00DD531B">
            <w:pPr>
              <w:spacing w:after="0" w:line="240" w:lineRule="auto"/>
              <w:rPr>
                <w:rFonts w:ascii="Times New Roman" w:eastAsia="Times New Roman" w:hAnsi="Times New Roman" w:cs="Times New Roman"/>
                <w:b/>
                <w:bCs/>
                <w:color w:val="000000"/>
                <w:sz w:val="16"/>
                <w:szCs w:val="16"/>
                <w:lang w:eastAsia="sk-SK"/>
              </w:rPr>
            </w:pPr>
            <w:r w:rsidRPr="005027A6">
              <w:rPr>
                <w:rFonts w:ascii="Times New Roman" w:eastAsia="Times New Roman" w:hAnsi="Times New Roman" w:cs="Times New Roman"/>
                <w:b/>
                <w:bCs/>
                <w:color w:val="000000"/>
                <w:sz w:val="16"/>
                <w:szCs w:val="16"/>
                <w:lang w:eastAsia="sk-SK"/>
              </w:rPr>
              <w:t>zdroj Plán obnovy a odolnosti , v tom:</w:t>
            </w:r>
          </w:p>
        </w:tc>
        <w:tc>
          <w:tcPr>
            <w:tcW w:w="468" w:type="pct"/>
            <w:tcBorders>
              <w:top w:val="nil"/>
              <w:left w:val="nil"/>
              <w:bottom w:val="nil"/>
              <w:right w:val="nil"/>
            </w:tcBorders>
            <w:shd w:val="clear" w:color="auto" w:fill="auto"/>
            <w:noWrap/>
            <w:vAlign w:val="bottom"/>
            <w:hideMark/>
          </w:tcPr>
          <w:p w14:paraId="158CFB50"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2 212</w:t>
            </w:r>
          </w:p>
        </w:tc>
        <w:tc>
          <w:tcPr>
            <w:tcW w:w="469" w:type="pct"/>
            <w:tcBorders>
              <w:top w:val="nil"/>
              <w:left w:val="nil"/>
              <w:bottom w:val="nil"/>
              <w:right w:val="nil"/>
            </w:tcBorders>
            <w:shd w:val="clear" w:color="auto" w:fill="auto"/>
            <w:noWrap/>
            <w:vAlign w:val="bottom"/>
            <w:hideMark/>
          </w:tcPr>
          <w:p w14:paraId="5C91E77B"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21 323</w:t>
            </w:r>
          </w:p>
        </w:tc>
        <w:tc>
          <w:tcPr>
            <w:tcW w:w="492" w:type="pct"/>
            <w:tcBorders>
              <w:top w:val="nil"/>
              <w:left w:val="nil"/>
              <w:bottom w:val="nil"/>
              <w:right w:val="nil"/>
            </w:tcBorders>
            <w:shd w:val="clear" w:color="auto" w:fill="auto"/>
            <w:noWrap/>
            <w:vAlign w:val="bottom"/>
            <w:hideMark/>
          </w:tcPr>
          <w:p w14:paraId="646A3518"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361 371</w:t>
            </w:r>
          </w:p>
        </w:tc>
        <w:tc>
          <w:tcPr>
            <w:tcW w:w="446" w:type="pct"/>
            <w:tcBorders>
              <w:top w:val="nil"/>
              <w:left w:val="nil"/>
              <w:bottom w:val="nil"/>
              <w:right w:val="nil"/>
            </w:tcBorders>
            <w:shd w:val="clear" w:color="auto" w:fill="auto"/>
            <w:noWrap/>
            <w:vAlign w:val="bottom"/>
            <w:hideMark/>
          </w:tcPr>
          <w:p w14:paraId="5983CAA2"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23 323</w:t>
            </w:r>
          </w:p>
        </w:tc>
        <w:tc>
          <w:tcPr>
            <w:tcW w:w="469" w:type="pct"/>
            <w:tcBorders>
              <w:top w:val="nil"/>
              <w:left w:val="nil"/>
              <w:bottom w:val="nil"/>
              <w:right w:val="nil"/>
            </w:tcBorders>
            <w:shd w:val="clear" w:color="auto" w:fill="auto"/>
            <w:noWrap/>
            <w:vAlign w:val="bottom"/>
            <w:hideMark/>
          </w:tcPr>
          <w:p w14:paraId="30019ECA"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137 214</w:t>
            </w:r>
          </w:p>
        </w:tc>
        <w:tc>
          <w:tcPr>
            <w:tcW w:w="470" w:type="pct"/>
            <w:tcBorders>
              <w:top w:val="nil"/>
              <w:left w:val="nil"/>
              <w:bottom w:val="nil"/>
              <w:right w:val="nil"/>
            </w:tcBorders>
            <w:shd w:val="clear" w:color="auto" w:fill="auto"/>
            <w:noWrap/>
            <w:vAlign w:val="bottom"/>
            <w:hideMark/>
          </w:tcPr>
          <w:p w14:paraId="4935817A"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112 012</w:t>
            </w:r>
          </w:p>
        </w:tc>
        <w:tc>
          <w:tcPr>
            <w:tcW w:w="466" w:type="pct"/>
            <w:tcBorders>
              <w:top w:val="nil"/>
              <w:left w:val="nil"/>
              <w:bottom w:val="nil"/>
              <w:right w:val="nil"/>
            </w:tcBorders>
            <w:shd w:val="clear" w:color="auto" w:fill="auto"/>
            <w:noWrap/>
            <w:vAlign w:val="bottom"/>
            <w:hideMark/>
          </w:tcPr>
          <w:p w14:paraId="24B4F3D9"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31 622</w:t>
            </w:r>
          </w:p>
        </w:tc>
      </w:tr>
      <w:tr w:rsidR="005027A6" w:rsidRPr="00DD531B" w14:paraId="5768C79D" w14:textId="77777777" w:rsidTr="005027A6">
        <w:trPr>
          <w:trHeight w:val="300"/>
        </w:trPr>
        <w:tc>
          <w:tcPr>
            <w:tcW w:w="1719" w:type="pct"/>
            <w:tcBorders>
              <w:top w:val="nil"/>
              <w:left w:val="nil"/>
              <w:bottom w:val="nil"/>
              <w:right w:val="nil"/>
            </w:tcBorders>
            <w:shd w:val="clear" w:color="auto" w:fill="auto"/>
            <w:noWrap/>
            <w:vAlign w:val="bottom"/>
            <w:hideMark/>
          </w:tcPr>
          <w:p w14:paraId="6960B393" w14:textId="77777777" w:rsidR="00DD531B" w:rsidRPr="005027A6" w:rsidRDefault="00DD531B" w:rsidP="00DD531B">
            <w:pPr>
              <w:spacing w:after="0" w:line="240" w:lineRule="auto"/>
              <w:rPr>
                <w:rFonts w:ascii="Times New Roman" w:eastAsia="Times New Roman" w:hAnsi="Times New Roman" w:cs="Times New Roman"/>
                <w:color w:val="000000"/>
                <w:sz w:val="16"/>
                <w:szCs w:val="16"/>
                <w:lang w:eastAsia="sk-SK"/>
              </w:rPr>
            </w:pPr>
            <w:r w:rsidRPr="005027A6">
              <w:rPr>
                <w:rFonts w:ascii="Times New Roman" w:eastAsia="Times New Roman" w:hAnsi="Times New Roman" w:cs="Times New Roman"/>
                <w:color w:val="000000"/>
                <w:sz w:val="16"/>
                <w:szCs w:val="16"/>
                <w:lang w:eastAsia="sk-SK"/>
              </w:rPr>
              <w:t>prostriedky POO</w:t>
            </w:r>
          </w:p>
        </w:tc>
        <w:tc>
          <w:tcPr>
            <w:tcW w:w="468" w:type="pct"/>
            <w:tcBorders>
              <w:top w:val="nil"/>
              <w:left w:val="nil"/>
              <w:bottom w:val="nil"/>
              <w:right w:val="nil"/>
            </w:tcBorders>
            <w:shd w:val="clear" w:color="auto" w:fill="auto"/>
            <w:noWrap/>
            <w:vAlign w:val="bottom"/>
            <w:hideMark/>
          </w:tcPr>
          <w:p w14:paraId="3DD5F0C9"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2 210</w:t>
            </w:r>
          </w:p>
        </w:tc>
        <w:tc>
          <w:tcPr>
            <w:tcW w:w="469" w:type="pct"/>
            <w:tcBorders>
              <w:top w:val="nil"/>
              <w:left w:val="nil"/>
              <w:bottom w:val="nil"/>
              <w:right w:val="nil"/>
            </w:tcBorders>
            <w:shd w:val="clear" w:color="auto" w:fill="auto"/>
            <w:noWrap/>
            <w:vAlign w:val="bottom"/>
            <w:hideMark/>
          </w:tcPr>
          <w:p w14:paraId="53831574"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20 679</w:t>
            </w:r>
          </w:p>
        </w:tc>
        <w:tc>
          <w:tcPr>
            <w:tcW w:w="492" w:type="pct"/>
            <w:tcBorders>
              <w:top w:val="nil"/>
              <w:left w:val="nil"/>
              <w:bottom w:val="nil"/>
              <w:right w:val="nil"/>
            </w:tcBorders>
            <w:shd w:val="clear" w:color="auto" w:fill="auto"/>
            <w:noWrap/>
            <w:vAlign w:val="bottom"/>
            <w:hideMark/>
          </w:tcPr>
          <w:p w14:paraId="66DAD316"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307 212</w:t>
            </w:r>
          </w:p>
        </w:tc>
        <w:tc>
          <w:tcPr>
            <w:tcW w:w="446" w:type="pct"/>
            <w:tcBorders>
              <w:top w:val="nil"/>
              <w:left w:val="nil"/>
              <w:bottom w:val="nil"/>
              <w:right w:val="nil"/>
            </w:tcBorders>
            <w:shd w:val="clear" w:color="auto" w:fill="auto"/>
            <w:noWrap/>
            <w:vAlign w:val="bottom"/>
            <w:hideMark/>
          </w:tcPr>
          <w:p w14:paraId="73E0EBEC"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22 760</w:t>
            </w:r>
          </w:p>
        </w:tc>
        <w:tc>
          <w:tcPr>
            <w:tcW w:w="469" w:type="pct"/>
            <w:tcBorders>
              <w:top w:val="nil"/>
              <w:left w:val="nil"/>
              <w:bottom w:val="nil"/>
              <w:right w:val="nil"/>
            </w:tcBorders>
            <w:shd w:val="clear" w:color="auto" w:fill="auto"/>
            <w:noWrap/>
            <w:vAlign w:val="bottom"/>
            <w:hideMark/>
          </w:tcPr>
          <w:p w14:paraId="16C7C362"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123 599</w:t>
            </w:r>
          </w:p>
        </w:tc>
        <w:tc>
          <w:tcPr>
            <w:tcW w:w="470" w:type="pct"/>
            <w:tcBorders>
              <w:top w:val="nil"/>
              <w:left w:val="nil"/>
              <w:bottom w:val="nil"/>
              <w:right w:val="nil"/>
            </w:tcBorders>
            <w:shd w:val="clear" w:color="auto" w:fill="auto"/>
            <w:noWrap/>
            <w:vAlign w:val="bottom"/>
            <w:hideMark/>
          </w:tcPr>
          <w:p w14:paraId="089F49D1"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99 609</w:t>
            </w:r>
          </w:p>
        </w:tc>
        <w:tc>
          <w:tcPr>
            <w:tcW w:w="466" w:type="pct"/>
            <w:tcBorders>
              <w:top w:val="nil"/>
              <w:left w:val="nil"/>
              <w:bottom w:val="nil"/>
              <w:right w:val="nil"/>
            </w:tcBorders>
            <w:shd w:val="clear" w:color="auto" w:fill="auto"/>
            <w:noWrap/>
            <w:vAlign w:val="bottom"/>
            <w:hideMark/>
          </w:tcPr>
          <w:p w14:paraId="61DF87C7"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28 368</w:t>
            </w:r>
          </w:p>
        </w:tc>
      </w:tr>
      <w:tr w:rsidR="005027A6" w:rsidRPr="00DD531B" w14:paraId="2DE0C192" w14:textId="77777777" w:rsidTr="005027A6">
        <w:trPr>
          <w:trHeight w:val="300"/>
        </w:trPr>
        <w:tc>
          <w:tcPr>
            <w:tcW w:w="1719" w:type="pct"/>
            <w:tcBorders>
              <w:top w:val="nil"/>
              <w:left w:val="nil"/>
              <w:bottom w:val="nil"/>
              <w:right w:val="nil"/>
            </w:tcBorders>
            <w:shd w:val="clear" w:color="auto" w:fill="auto"/>
            <w:noWrap/>
            <w:vAlign w:val="bottom"/>
            <w:hideMark/>
          </w:tcPr>
          <w:p w14:paraId="69BEC892" w14:textId="77777777" w:rsidR="00DD531B" w:rsidRPr="005027A6" w:rsidRDefault="00DD531B" w:rsidP="00DD531B">
            <w:pPr>
              <w:spacing w:after="0" w:line="240" w:lineRule="auto"/>
              <w:rPr>
                <w:rFonts w:ascii="Times New Roman" w:eastAsia="Times New Roman" w:hAnsi="Times New Roman" w:cs="Times New Roman"/>
                <w:color w:val="000000"/>
                <w:sz w:val="16"/>
                <w:szCs w:val="16"/>
                <w:lang w:eastAsia="sk-SK"/>
              </w:rPr>
            </w:pPr>
            <w:r w:rsidRPr="005027A6">
              <w:rPr>
                <w:rFonts w:ascii="Times New Roman" w:eastAsia="Times New Roman" w:hAnsi="Times New Roman" w:cs="Times New Roman"/>
                <w:color w:val="000000"/>
                <w:sz w:val="16"/>
                <w:szCs w:val="16"/>
                <w:lang w:eastAsia="sk-SK"/>
              </w:rPr>
              <w:t>DPH k POO</w:t>
            </w:r>
          </w:p>
        </w:tc>
        <w:tc>
          <w:tcPr>
            <w:tcW w:w="468" w:type="pct"/>
            <w:tcBorders>
              <w:top w:val="nil"/>
              <w:left w:val="nil"/>
              <w:bottom w:val="nil"/>
              <w:right w:val="nil"/>
            </w:tcBorders>
            <w:shd w:val="clear" w:color="auto" w:fill="auto"/>
            <w:noWrap/>
            <w:vAlign w:val="bottom"/>
            <w:hideMark/>
          </w:tcPr>
          <w:p w14:paraId="57217084"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2</w:t>
            </w:r>
          </w:p>
        </w:tc>
        <w:tc>
          <w:tcPr>
            <w:tcW w:w="469" w:type="pct"/>
            <w:tcBorders>
              <w:top w:val="nil"/>
              <w:left w:val="nil"/>
              <w:bottom w:val="nil"/>
              <w:right w:val="nil"/>
            </w:tcBorders>
            <w:shd w:val="clear" w:color="auto" w:fill="auto"/>
            <w:noWrap/>
            <w:vAlign w:val="bottom"/>
            <w:hideMark/>
          </w:tcPr>
          <w:p w14:paraId="38E64BE0"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644</w:t>
            </w:r>
          </w:p>
        </w:tc>
        <w:tc>
          <w:tcPr>
            <w:tcW w:w="492" w:type="pct"/>
            <w:tcBorders>
              <w:top w:val="nil"/>
              <w:left w:val="nil"/>
              <w:bottom w:val="nil"/>
              <w:right w:val="nil"/>
            </w:tcBorders>
            <w:shd w:val="clear" w:color="auto" w:fill="auto"/>
            <w:noWrap/>
            <w:vAlign w:val="bottom"/>
            <w:hideMark/>
          </w:tcPr>
          <w:p w14:paraId="75F994A2"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54 159</w:t>
            </w:r>
          </w:p>
        </w:tc>
        <w:tc>
          <w:tcPr>
            <w:tcW w:w="446" w:type="pct"/>
            <w:tcBorders>
              <w:top w:val="nil"/>
              <w:left w:val="nil"/>
              <w:bottom w:val="nil"/>
              <w:right w:val="nil"/>
            </w:tcBorders>
            <w:shd w:val="clear" w:color="auto" w:fill="auto"/>
            <w:noWrap/>
            <w:vAlign w:val="bottom"/>
            <w:hideMark/>
          </w:tcPr>
          <w:p w14:paraId="02C7F6E7"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563</w:t>
            </w:r>
          </w:p>
        </w:tc>
        <w:tc>
          <w:tcPr>
            <w:tcW w:w="469" w:type="pct"/>
            <w:tcBorders>
              <w:top w:val="nil"/>
              <w:left w:val="nil"/>
              <w:bottom w:val="nil"/>
              <w:right w:val="nil"/>
            </w:tcBorders>
            <w:shd w:val="clear" w:color="auto" w:fill="auto"/>
            <w:noWrap/>
            <w:vAlign w:val="bottom"/>
            <w:hideMark/>
          </w:tcPr>
          <w:p w14:paraId="4C57ACB2"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13 615</w:t>
            </w:r>
          </w:p>
        </w:tc>
        <w:tc>
          <w:tcPr>
            <w:tcW w:w="470" w:type="pct"/>
            <w:tcBorders>
              <w:top w:val="nil"/>
              <w:left w:val="nil"/>
              <w:bottom w:val="nil"/>
              <w:right w:val="nil"/>
            </w:tcBorders>
            <w:shd w:val="clear" w:color="auto" w:fill="auto"/>
            <w:noWrap/>
            <w:vAlign w:val="bottom"/>
            <w:hideMark/>
          </w:tcPr>
          <w:p w14:paraId="5A890C05"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12 404</w:t>
            </w:r>
          </w:p>
        </w:tc>
        <w:tc>
          <w:tcPr>
            <w:tcW w:w="466" w:type="pct"/>
            <w:tcBorders>
              <w:top w:val="nil"/>
              <w:left w:val="nil"/>
              <w:bottom w:val="nil"/>
              <w:right w:val="nil"/>
            </w:tcBorders>
            <w:shd w:val="clear" w:color="auto" w:fill="auto"/>
            <w:noWrap/>
            <w:vAlign w:val="bottom"/>
            <w:hideMark/>
          </w:tcPr>
          <w:p w14:paraId="569F071D"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3 254</w:t>
            </w:r>
          </w:p>
        </w:tc>
      </w:tr>
      <w:tr w:rsidR="005027A6" w:rsidRPr="00DD531B" w14:paraId="6880873F" w14:textId="77777777" w:rsidTr="005027A6">
        <w:trPr>
          <w:trHeight w:val="300"/>
        </w:trPr>
        <w:tc>
          <w:tcPr>
            <w:tcW w:w="1719" w:type="pct"/>
            <w:tcBorders>
              <w:top w:val="nil"/>
              <w:left w:val="nil"/>
              <w:bottom w:val="nil"/>
              <w:right w:val="nil"/>
            </w:tcBorders>
            <w:shd w:val="clear" w:color="auto" w:fill="auto"/>
            <w:noWrap/>
            <w:vAlign w:val="bottom"/>
            <w:hideMark/>
          </w:tcPr>
          <w:p w14:paraId="226ED64F" w14:textId="77777777" w:rsidR="00DD531B" w:rsidRPr="005027A6" w:rsidRDefault="00DD531B" w:rsidP="00DD531B">
            <w:pPr>
              <w:spacing w:after="0" w:line="240" w:lineRule="auto"/>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presun z minulých rokov § 8, v tom:</w:t>
            </w:r>
          </w:p>
        </w:tc>
        <w:tc>
          <w:tcPr>
            <w:tcW w:w="468" w:type="pct"/>
            <w:tcBorders>
              <w:top w:val="nil"/>
              <w:left w:val="nil"/>
              <w:bottom w:val="nil"/>
              <w:right w:val="nil"/>
            </w:tcBorders>
            <w:shd w:val="clear" w:color="auto" w:fill="auto"/>
            <w:noWrap/>
            <w:vAlign w:val="bottom"/>
            <w:hideMark/>
          </w:tcPr>
          <w:p w14:paraId="11204721"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147 578</w:t>
            </w:r>
          </w:p>
        </w:tc>
        <w:tc>
          <w:tcPr>
            <w:tcW w:w="469" w:type="pct"/>
            <w:tcBorders>
              <w:top w:val="nil"/>
              <w:left w:val="nil"/>
              <w:bottom w:val="nil"/>
              <w:right w:val="nil"/>
            </w:tcBorders>
            <w:shd w:val="clear" w:color="auto" w:fill="auto"/>
            <w:noWrap/>
            <w:vAlign w:val="bottom"/>
            <w:hideMark/>
          </w:tcPr>
          <w:p w14:paraId="1E5579D5"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116 437</w:t>
            </w:r>
          </w:p>
        </w:tc>
        <w:tc>
          <w:tcPr>
            <w:tcW w:w="492" w:type="pct"/>
            <w:tcBorders>
              <w:top w:val="nil"/>
              <w:left w:val="nil"/>
              <w:bottom w:val="nil"/>
              <w:right w:val="nil"/>
            </w:tcBorders>
            <w:shd w:val="clear" w:color="auto" w:fill="auto"/>
            <w:noWrap/>
            <w:vAlign w:val="bottom"/>
            <w:hideMark/>
          </w:tcPr>
          <w:p w14:paraId="502FA6BC"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0</w:t>
            </w:r>
          </w:p>
        </w:tc>
        <w:tc>
          <w:tcPr>
            <w:tcW w:w="446" w:type="pct"/>
            <w:tcBorders>
              <w:top w:val="nil"/>
              <w:left w:val="nil"/>
              <w:bottom w:val="nil"/>
              <w:right w:val="nil"/>
            </w:tcBorders>
            <w:shd w:val="clear" w:color="auto" w:fill="auto"/>
            <w:noWrap/>
            <w:vAlign w:val="bottom"/>
            <w:hideMark/>
          </w:tcPr>
          <w:p w14:paraId="4F1C69A4"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137 721</w:t>
            </w:r>
          </w:p>
        </w:tc>
        <w:tc>
          <w:tcPr>
            <w:tcW w:w="469" w:type="pct"/>
            <w:tcBorders>
              <w:top w:val="nil"/>
              <w:left w:val="nil"/>
              <w:bottom w:val="nil"/>
              <w:right w:val="nil"/>
            </w:tcBorders>
            <w:shd w:val="clear" w:color="auto" w:fill="auto"/>
            <w:noWrap/>
            <w:vAlign w:val="bottom"/>
            <w:hideMark/>
          </w:tcPr>
          <w:p w14:paraId="100D8F46"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0</w:t>
            </w:r>
          </w:p>
        </w:tc>
        <w:tc>
          <w:tcPr>
            <w:tcW w:w="470" w:type="pct"/>
            <w:tcBorders>
              <w:top w:val="nil"/>
              <w:left w:val="nil"/>
              <w:bottom w:val="nil"/>
              <w:right w:val="nil"/>
            </w:tcBorders>
            <w:shd w:val="clear" w:color="auto" w:fill="auto"/>
            <w:noWrap/>
            <w:vAlign w:val="bottom"/>
            <w:hideMark/>
          </w:tcPr>
          <w:p w14:paraId="733E29F9"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0</w:t>
            </w:r>
          </w:p>
        </w:tc>
        <w:tc>
          <w:tcPr>
            <w:tcW w:w="466" w:type="pct"/>
            <w:tcBorders>
              <w:top w:val="nil"/>
              <w:left w:val="nil"/>
              <w:bottom w:val="nil"/>
              <w:right w:val="nil"/>
            </w:tcBorders>
            <w:shd w:val="clear" w:color="auto" w:fill="auto"/>
            <w:noWrap/>
            <w:vAlign w:val="bottom"/>
            <w:hideMark/>
          </w:tcPr>
          <w:p w14:paraId="32DD227B"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0</w:t>
            </w:r>
          </w:p>
        </w:tc>
      </w:tr>
      <w:tr w:rsidR="005027A6" w:rsidRPr="00DD531B" w14:paraId="55C95A6D" w14:textId="77777777" w:rsidTr="005027A6">
        <w:trPr>
          <w:trHeight w:val="300"/>
        </w:trPr>
        <w:tc>
          <w:tcPr>
            <w:tcW w:w="1719" w:type="pct"/>
            <w:tcBorders>
              <w:top w:val="nil"/>
              <w:left w:val="nil"/>
              <w:bottom w:val="nil"/>
              <w:right w:val="nil"/>
            </w:tcBorders>
            <w:shd w:val="clear" w:color="auto" w:fill="auto"/>
            <w:noWrap/>
            <w:vAlign w:val="bottom"/>
            <w:hideMark/>
          </w:tcPr>
          <w:p w14:paraId="25D16F6E" w14:textId="77777777" w:rsidR="00DD531B" w:rsidRPr="005027A6" w:rsidRDefault="00DD531B" w:rsidP="00DD531B">
            <w:pPr>
              <w:spacing w:after="0" w:line="240" w:lineRule="auto"/>
              <w:rPr>
                <w:rFonts w:ascii="Times New Roman" w:eastAsia="Times New Roman" w:hAnsi="Times New Roman" w:cs="Times New Roman"/>
                <w:color w:val="000000"/>
                <w:sz w:val="16"/>
                <w:szCs w:val="16"/>
                <w:lang w:eastAsia="sk-SK"/>
              </w:rPr>
            </w:pPr>
            <w:r w:rsidRPr="005027A6">
              <w:rPr>
                <w:rFonts w:ascii="Times New Roman" w:eastAsia="Times New Roman" w:hAnsi="Times New Roman" w:cs="Times New Roman"/>
                <w:color w:val="000000"/>
                <w:sz w:val="16"/>
                <w:szCs w:val="16"/>
                <w:lang w:eastAsia="sk-SK"/>
              </w:rPr>
              <w:t>štátny rozpočet</w:t>
            </w:r>
          </w:p>
        </w:tc>
        <w:tc>
          <w:tcPr>
            <w:tcW w:w="468" w:type="pct"/>
            <w:tcBorders>
              <w:top w:val="nil"/>
              <w:left w:val="nil"/>
              <w:bottom w:val="nil"/>
              <w:right w:val="nil"/>
            </w:tcBorders>
            <w:shd w:val="clear" w:color="auto" w:fill="auto"/>
            <w:noWrap/>
            <w:vAlign w:val="bottom"/>
            <w:hideMark/>
          </w:tcPr>
          <w:p w14:paraId="6EAC85E1"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42 178</w:t>
            </w:r>
          </w:p>
        </w:tc>
        <w:tc>
          <w:tcPr>
            <w:tcW w:w="469" w:type="pct"/>
            <w:tcBorders>
              <w:top w:val="nil"/>
              <w:left w:val="nil"/>
              <w:bottom w:val="nil"/>
              <w:right w:val="nil"/>
            </w:tcBorders>
            <w:shd w:val="clear" w:color="auto" w:fill="auto"/>
            <w:noWrap/>
            <w:vAlign w:val="bottom"/>
            <w:hideMark/>
          </w:tcPr>
          <w:p w14:paraId="6B990E68"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4 882</w:t>
            </w:r>
          </w:p>
        </w:tc>
        <w:tc>
          <w:tcPr>
            <w:tcW w:w="492" w:type="pct"/>
            <w:tcBorders>
              <w:top w:val="nil"/>
              <w:left w:val="nil"/>
              <w:bottom w:val="nil"/>
              <w:right w:val="nil"/>
            </w:tcBorders>
            <w:shd w:val="clear" w:color="auto" w:fill="auto"/>
            <w:noWrap/>
            <w:vAlign w:val="bottom"/>
            <w:hideMark/>
          </w:tcPr>
          <w:p w14:paraId="69CAADC8"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1F79B131"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13 242</w:t>
            </w:r>
          </w:p>
        </w:tc>
        <w:tc>
          <w:tcPr>
            <w:tcW w:w="469" w:type="pct"/>
            <w:tcBorders>
              <w:top w:val="nil"/>
              <w:left w:val="nil"/>
              <w:bottom w:val="nil"/>
              <w:right w:val="nil"/>
            </w:tcBorders>
            <w:shd w:val="clear" w:color="auto" w:fill="auto"/>
            <w:noWrap/>
            <w:vAlign w:val="bottom"/>
            <w:hideMark/>
          </w:tcPr>
          <w:p w14:paraId="1A8F6EFB"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0</w:t>
            </w:r>
          </w:p>
        </w:tc>
        <w:tc>
          <w:tcPr>
            <w:tcW w:w="470" w:type="pct"/>
            <w:tcBorders>
              <w:top w:val="nil"/>
              <w:left w:val="nil"/>
              <w:bottom w:val="nil"/>
              <w:right w:val="nil"/>
            </w:tcBorders>
            <w:shd w:val="clear" w:color="auto" w:fill="auto"/>
            <w:noWrap/>
            <w:vAlign w:val="bottom"/>
            <w:hideMark/>
          </w:tcPr>
          <w:p w14:paraId="0BA16648"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0</w:t>
            </w:r>
          </w:p>
        </w:tc>
        <w:tc>
          <w:tcPr>
            <w:tcW w:w="466" w:type="pct"/>
            <w:tcBorders>
              <w:top w:val="nil"/>
              <w:left w:val="nil"/>
              <w:bottom w:val="nil"/>
              <w:right w:val="nil"/>
            </w:tcBorders>
            <w:shd w:val="clear" w:color="auto" w:fill="auto"/>
            <w:noWrap/>
            <w:vAlign w:val="bottom"/>
            <w:hideMark/>
          </w:tcPr>
          <w:p w14:paraId="49DD9C7E"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0</w:t>
            </w:r>
          </w:p>
        </w:tc>
      </w:tr>
      <w:tr w:rsidR="005027A6" w:rsidRPr="00DD531B" w14:paraId="1E5DA7AB" w14:textId="77777777" w:rsidTr="005027A6">
        <w:trPr>
          <w:trHeight w:val="300"/>
        </w:trPr>
        <w:tc>
          <w:tcPr>
            <w:tcW w:w="1719" w:type="pct"/>
            <w:tcBorders>
              <w:top w:val="nil"/>
              <w:left w:val="nil"/>
              <w:bottom w:val="nil"/>
              <w:right w:val="nil"/>
            </w:tcBorders>
            <w:shd w:val="clear" w:color="auto" w:fill="auto"/>
            <w:noWrap/>
            <w:vAlign w:val="bottom"/>
            <w:hideMark/>
          </w:tcPr>
          <w:p w14:paraId="289EDA78" w14:textId="77777777" w:rsidR="00DD531B" w:rsidRPr="005027A6" w:rsidRDefault="00DD531B" w:rsidP="00DD531B">
            <w:pPr>
              <w:spacing w:after="0" w:line="240" w:lineRule="auto"/>
              <w:rPr>
                <w:rFonts w:ascii="Times New Roman" w:eastAsia="Times New Roman" w:hAnsi="Times New Roman" w:cs="Times New Roman"/>
                <w:color w:val="000000"/>
                <w:sz w:val="16"/>
                <w:szCs w:val="16"/>
                <w:lang w:eastAsia="sk-SK"/>
              </w:rPr>
            </w:pPr>
            <w:r w:rsidRPr="005027A6">
              <w:rPr>
                <w:rFonts w:ascii="Times New Roman" w:eastAsia="Times New Roman" w:hAnsi="Times New Roman" w:cs="Times New Roman"/>
                <w:color w:val="000000"/>
                <w:sz w:val="16"/>
                <w:szCs w:val="16"/>
                <w:lang w:eastAsia="sk-SK"/>
              </w:rPr>
              <w:t>prostriedky EÚ a spolufinancovanie zo ŠR</w:t>
            </w:r>
          </w:p>
        </w:tc>
        <w:tc>
          <w:tcPr>
            <w:tcW w:w="468" w:type="pct"/>
            <w:tcBorders>
              <w:top w:val="nil"/>
              <w:left w:val="nil"/>
              <w:bottom w:val="nil"/>
              <w:right w:val="nil"/>
            </w:tcBorders>
            <w:shd w:val="clear" w:color="auto" w:fill="auto"/>
            <w:noWrap/>
            <w:vAlign w:val="bottom"/>
            <w:hideMark/>
          </w:tcPr>
          <w:p w14:paraId="71300362"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105 400</w:t>
            </w:r>
          </w:p>
        </w:tc>
        <w:tc>
          <w:tcPr>
            <w:tcW w:w="469" w:type="pct"/>
            <w:tcBorders>
              <w:top w:val="nil"/>
              <w:left w:val="nil"/>
              <w:bottom w:val="nil"/>
              <w:right w:val="nil"/>
            </w:tcBorders>
            <w:shd w:val="clear" w:color="auto" w:fill="auto"/>
            <w:noWrap/>
            <w:vAlign w:val="bottom"/>
            <w:hideMark/>
          </w:tcPr>
          <w:p w14:paraId="59FEC5FA"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106 442</w:t>
            </w:r>
          </w:p>
        </w:tc>
        <w:tc>
          <w:tcPr>
            <w:tcW w:w="492" w:type="pct"/>
            <w:tcBorders>
              <w:top w:val="nil"/>
              <w:left w:val="nil"/>
              <w:bottom w:val="nil"/>
              <w:right w:val="nil"/>
            </w:tcBorders>
            <w:shd w:val="clear" w:color="auto" w:fill="auto"/>
            <w:noWrap/>
            <w:vAlign w:val="bottom"/>
            <w:hideMark/>
          </w:tcPr>
          <w:p w14:paraId="1DFDFFEF"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34502DD2"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104 732</w:t>
            </w:r>
          </w:p>
        </w:tc>
        <w:tc>
          <w:tcPr>
            <w:tcW w:w="469" w:type="pct"/>
            <w:tcBorders>
              <w:top w:val="nil"/>
              <w:left w:val="nil"/>
              <w:bottom w:val="nil"/>
              <w:right w:val="nil"/>
            </w:tcBorders>
            <w:shd w:val="clear" w:color="auto" w:fill="auto"/>
            <w:noWrap/>
            <w:vAlign w:val="bottom"/>
            <w:hideMark/>
          </w:tcPr>
          <w:p w14:paraId="02FA9B66"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0</w:t>
            </w:r>
          </w:p>
        </w:tc>
        <w:tc>
          <w:tcPr>
            <w:tcW w:w="470" w:type="pct"/>
            <w:tcBorders>
              <w:top w:val="nil"/>
              <w:left w:val="nil"/>
              <w:bottom w:val="nil"/>
              <w:right w:val="nil"/>
            </w:tcBorders>
            <w:shd w:val="clear" w:color="auto" w:fill="auto"/>
            <w:noWrap/>
            <w:vAlign w:val="bottom"/>
            <w:hideMark/>
          </w:tcPr>
          <w:p w14:paraId="63283DD1"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0</w:t>
            </w:r>
          </w:p>
        </w:tc>
        <w:tc>
          <w:tcPr>
            <w:tcW w:w="466" w:type="pct"/>
            <w:tcBorders>
              <w:top w:val="nil"/>
              <w:left w:val="nil"/>
              <w:bottom w:val="nil"/>
              <w:right w:val="nil"/>
            </w:tcBorders>
            <w:shd w:val="clear" w:color="auto" w:fill="auto"/>
            <w:noWrap/>
            <w:vAlign w:val="bottom"/>
            <w:hideMark/>
          </w:tcPr>
          <w:p w14:paraId="19D869C0"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0</w:t>
            </w:r>
          </w:p>
        </w:tc>
      </w:tr>
      <w:tr w:rsidR="005027A6" w:rsidRPr="00DD531B" w14:paraId="1FF3AAE6" w14:textId="77777777" w:rsidTr="005027A6">
        <w:trPr>
          <w:trHeight w:val="300"/>
        </w:trPr>
        <w:tc>
          <w:tcPr>
            <w:tcW w:w="1719" w:type="pct"/>
            <w:tcBorders>
              <w:top w:val="nil"/>
              <w:left w:val="nil"/>
              <w:bottom w:val="nil"/>
              <w:right w:val="nil"/>
            </w:tcBorders>
            <w:shd w:val="clear" w:color="auto" w:fill="auto"/>
            <w:noWrap/>
            <w:vAlign w:val="bottom"/>
            <w:hideMark/>
          </w:tcPr>
          <w:p w14:paraId="09F61873" w14:textId="77777777" w:rsidR="00DD531B" w:rsidRPr="005027A6" w:rsidRDefault="00DD531B" w:rsidP="00DD531B">
            <w:pPr>
              <w:spacing w:after="0" w:line="240" w:lineRule="auto"/>
              <w:rPr>
                <w:rFonts w:ascii="Times New Roman" w:eastAsia="Times New Roman" w:hAnsi="Times New Roman" w:cs="Times New Roman"/>
                <w:color w:val="000000"/>
                <w:sz w:val="16"/>
                <w:szCs w:val="16"/>
                <w:lang w:eastAsia="sk-SK"/>
              </w:rPr>
            </w:pPr>
            <w:r w:rsidRPr="005027A6">
              <w:rPr>
                <w:rFonts w:ascii="Times New Roman" w:eastAsia="Times New Roman" w:hAnsi="Times New Roman" w:cs="Times New Roman"/>
                <w:color w:val="000000"/>
                <w:sz w:val="16"/>
                <w:szCs w:val="16"/>
                <w:lang w:eastAsia="sk-SK"/>
              </w:rPr>
              <w:t>prostriedky POO a DPH k POO</w:t>
            </w:r>
          </w:p>
        </w:tc>
        <w:tc>
          <w:tcPr>
            <w:tcW w:w="468" w:type="pct"/>
            <w:tcBorders>
              <w:top w:val="nil"/>
              <w:left w:val="nil"/>
              <w:bottom w:val="nil"/>
              <w:right w:val="nil"/>
            </w:tcBorders>
            <w:shd w:val="clear" w:color="auto" w:fill="auto"/>
            <w:noWrap/>
            <w:vAlign w:val="bottom"/>
            <w:hideMark/>
          </w:tcPr>
          <w:p w14:paraId="4114B8A3"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0</w:t>
            </w:r>
          </w:p>
        </w:tc>
        <w:tc>
          <w:tcPr>
            <w:tcW w:w="469" w:type="pct"/>
            <w:tcBorders>
              <w:top w:val="nil"/>
              <w:left w:val="nil"/>
              <w:bottom w:val="nil"/>
              <w:right w:val="nil"/>
            </w:tcBorders>
            <w:shd w:val="clear" w:color="auto" w:fill="auto"/>
            <w:noWrap/>
            <w:vAlign w:val="bottom"/>
            <w:hideMark/>
          </w:tcPr>
          <w:p w14:paraId="52FC1C48"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5 113</w:t>
            </w:r>
          </w:p>
        </w:tc>
        <w:tc>
          <w:tcPr>
            <w:tcW w:w="492" w:type="pct"/>
            <w:tcBorders>
              <w:top w:val="nil"/>
              <w:left w:val="nil"/>
              <w:bottom w:val="nil"/>
              <w:right w:val="nil"/>
            </w:tcBorders>
            <w:shd w:val="clear" w:color="auto" w:fill="auto"/>
            <w:noWrap/>
            <w:vAlign w:val="bottom"/>
            <w:hideMark/>
          </w:tcPr>
          <w:p w14:paraId="2CD5D28B"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21FAF6EA"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19 747</w:t>
            </w:r>
          </w:p>
        </w:tc>
        <w:tc>
          <w:tcPr>
            <w:tcW w:w="469" w:type="pct"/>
            <w:tcBorders>
              <w:top w:val="nil"/>
              <w:left w:val="nil"/>
              <w:bottom w:val="nil"/>
              <w:right w:val="nil"/>
            </w:tcBorders>
            <w:shd w:val="clear" w:color="auto" w:fill="auto"/>
            <w:noWrap/>
            <w:vAlign w:val="bottom"/>
            <w:hideMark/>
          </w:tcPr>
          <w:p w14:paraId="33DF2F5F"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0</w:t>
            </w:r>
          </w:p>
        </w:tc>
        <w:tc>
          <w:tcPr>
            <w:tcW w:w="470" w:type="pct"/>
            <w:tcBorders>
              <w:top w:val="nil"/>
              <w:left w:val="nil"/>
              <w:bottom w:val="nil"/>
              <w:right w:val="nil"/>
            </w:tcBorders>
            <w:shd w:val="clear" w:color="auto" w:fill="auto"/>
            <w:noWrap/>
            <w:vAlign w:val="bottom"/>
            <w:hideMark/>
          </w:tcPr>
          <w:p w14:paraId="14292A7A"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0</w:t>
            </w:r>
          </w:p>
        </w:tc>
        <w:tc>
          <w:tcPr>
            <w:tcW w:w="466" w:type="pct"/>
            <w:tcBorders>
              <w:top w:val="nil"/>
              <w:left w:val="nil"/>
              <w:bottom w:val="nil"/>
              <w:right w:val="nil"/>
            </w:tcBorders>
            <w:shd w:val="clear" w:color="auto" w:fill="auto"/>
            <w:noWrap/>
            <w:vAlign w:val="bottom"/>
            <w:hideMark/>
          </w:tcPr>
          <w:p w14:paraId="0A4F516E" w14:textId="77777777" w:rsidR="00DD531B" w:rsidRPr="005027A6" w:rsidRDefault="00DD531B" w:rsidP="00DD531B">
            <w:pPr>
              <w:spacing w:after="0" w:line="240" w:lineRule="auto"/>
              <w:jc w:val="right"/>
              <w:rPr>
                <w:rFonts w:ascii="Times New Roman" w:eastAsia="Times New Roman" w:hAnsi="Times New Roman" w:cs="Times New Roman"/>
                <w:sz w:val="16"/>
                <w:szCs w:val="16"/>
                <w:lang w:eastAsia="sk-SK"/>
              </w:rPr>
            </w:pPr>
            <w:r w:rsidRPr="005027A6">
              <w:rPr>
                <w:rFonts w:ascii="Times New Roman" w:eastAsia="Times New Roman" w:hAnsi="Times New Roman" w:cs="Times New Roman"/>
                <w:sz w:val="16"/>
                <w:szCs w:val="16"/>
                <w:lang w:eastAsia="sk-SK"/>
              </w:rPr>
              <w:t>0</w:t>
            </w:r>
          </w:p>
        </w:tc>
      </w:tr>
      <w:tr w:rsidR="005027A6" w:rsidRPr="00DD531B" w14:paraId="75C5AF51" w14:textId="77777777" w:rsidTr="005027A6">
        <w:trPr>
          <w:trHeight w:val="300"/>
        </w:trPr>
        <w:tc>
          <w:tcPr>
            <w:tcW w:w="1719" w:type="pct"/>
            <w:tcBorders>
              <w:top w:val="nil"/>
              <w:left w:val="nil"/>
              <w:bottom w:val="single" w:sz="4" w:space="0" w:color="auto"/>
              <w:right w:val="nil"/>
            </w:tcBorders>
            <w:shd w:val="clear" w:color="auto" w:fill="auto"/>
            <w:noWrap/>
            <w:vAlign w:val="bottom"/>
            <w:hideMark/>
          </w:tcPr>
          <w:p w14:paraId="61F00D66" w14:textId="77777777" w:rsidR="00DD531B" w:rsidRPr="005027A6" w:rsidRDefault="00DD531B" w:rsidP="00DD531B">
            <w:pPr>
              <w:spacing w:after="0" w:line="240" w:lineRule="auto"/>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prostriedky podľa § 17 ods. 4 a § 22 ods. 4 zákona č. 523/2004 Z. z.</w:t>
            </w:r>
          </w:p>
        </w:tc>
        <w:tc>
          <w:tcPr>
            <w:tcW w:w="468" w:type="pct"/>
            <w:tcBorders>
              <w:top w:val="nil"/>
              <w:left w:val="nil"/>
              <w:bottom w:val="single" w:sz="4" w:space="0" w:color="auto"/>
              <w:right w:val="nil"/>
            </w:tcBorders>
            <w:shd w:val="clear" w:color="auto" w:fill="auto"/>
            <w:noWrap/>
            <w:vAlign w:val="bottom"/>
            <w:hideMark/>
          </w:tcPr>
          <w:p w14:paraId="513EE5B5"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0</w:t>
            </w:r>
          </w:p>
        </w:tc>
        <w:tc>
          <w:tcPr>
            <w:tcW w:w="469" w:type="pct"/>
            <w:tcBorders>
              <w:top w:val="nil"/>
              <w:left w:val="nil"/>
              <w:bottom w:val="single" w:sz="4" w:space="0" w:color="auto"/>
              <w:right w:val="nil"/>
            </w:tcBorders>
            <w:shd w:val="clear" w:color="auto" w:fill="auto"/>
            <w:noWrap/>
            <w:vAlign w:val="bottom"/>
            <w:hideMark/>
          </w:tcPr>
          <w:p w14:paraId="74FF40EB"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548</w:t>
            </w:r>
          </w:p>
        </w:tc>
        <w:tc>
          <w:tcPr>
            <w:tcW w:w="492" w:type="pct"/>
            <w:tcBorders>
              <w:top w:val="nil"/>
              <w:left w:val="nil"/>
              <w:bottom w:val="single" w:sz="4" w:space="0" w:color="auto"/>
              <w:right w:val="nil"/>
            </w:tcBorders>
            <w:shd w:val="clear" w:color="auto" w:fill="auto"/>
            <w:noWrap/>
            <w:vAlign w:val="bottom"/>
            <w:hideMark/>
          </w:tcPr>
          <w:p w14:paraId="7F6A7459"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489</w:t>
            </w:r>
          </w:p>
        </w:tc>
        <w:tc>
          <w:tcPr>
            <w:tcW w:w="446" w:type="pct"/>
            <w:tcBorders>
              <w:top w:val="nil"/>
              <w:left w:val="nil"/>
              <w:bottom w:val="single" w:sz="4" w:space="0" w:color="auto"/>
              <w:right w:val="nil"/>
            </w:tcBorders>
            <w:shd w:val="clear" w:color="auto" w:fill="auto"/>
            <w:noWrap/>
            <w:vAlign w:val="bottom"/>
            <w:hideMark/>
          </w:tcPr>
          <w:p w14:paraId="31FE79A3"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682</w:t>
            </w:r>
          </w:p>
        </w:tc>
        <w:tc>
          <w:tcPr>
            <w:tcW w:w="469" w:type="pct"/>
            <w:tcBorders>
              <w:top w:val="nil"/>
              <w:left w:val="nil"/>
              <w:bottom w:val="single" w:sz="4" w:space="0" w:color="auto"/>
              <w:right w:val="nil"/>
            </w:tcBorders>
            <w:shd w:val="clear" w:color="auto" w:fill="auto"/>
            <w:noWrap/>
            <w:vAlign w:val="bottom"/>
            <w:hideMark/>
          </w:tcPr>
          <w:p w14:paraId="0A8D2D12"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489</w:t>
            </w:r>
          </w:p>
        </w:tc>
        <w:tc>
          <w:tcPr>
            <w:tcW w:w="470" w:type="pct"/>
            <w:tcBorders>
              <w:top w:val="nil"/>
              <w:left w:val="nil"/>
              <w:bottom w:val="single" w:sz="4" w:space="0" w:color="auto"/>
              <w:right w:val="nil"/>
            </w:tcBorders>
            <w:shd w:val="clear" w:color="auto" w:fill="auto"/>
            <w:noWrap/>
            <w:vAlign w:val="bottom"/>
            <w:hideMark/>
          </w:tcPr>
          <w:p w14:paraId="6506D09F"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489</w:t>
            </w:r>
          </w:p>
        </w:tc>
        <w:tc>
          <w:tcPr>
            <w:tcW w:w="466" w:type="pct"/>
            <w:tcBorders>
              <w:top w:val="nil"/>
              <w:left w:val="nil"/>
              <w:bottom w:val="single" w:sz="4" w:space="0" w:color="auto"/>
              <w:right w:val="nil"/>
            </w:tcBorders>
            <w:shd w:val="clear" w:color="auto" w:fill="auto"/>
            <w:noWrap/>
            <w:vAlign w:val="bottom"/>
            <w:hideMark/>
          </w:tcPr>
          <w:p w14:paraId="517E4FBC" w14:textId="77777777" w:rsidR="00DD531B" w:rsidRPr="005027A6" w:rsidRDefault="00DD531B" w:rsidP="00DD531B">
            <w:pPr>
              <w:spacing w:after="0" w:line="240" w:lineRule="auto"/>
              <w:jc w:val="right"/>
              <w:rPr>
                <w:rFonts w:ascii="Times New Roman" w:eastAsia="Times New Roman" w:hAnsi="Times New Roman" w:cs="Times New Roman"/>
                <w:b/>
                <w:bCs/>
                <w:sz w:val="16"/>
                <w:szCs w:val="16"/>
                <w:lang w:eastAsia="sk-SK"/>
              </w:rPr>
            </w:pPr>
            <w:r w:rsidRPr="005027A6">
              <w:rPr>
                <w:rFonts w:ascii="Times New Roman" w:eastAsia="Times New Roman" w:hAnsi="Times New Roman" w:cs="Times New Roman"/>
                <w:b/>
                <w:bCs/>
                <w:sz w:val="16"/>
                <w:szCs w:val="16"/>
                <w:lang w:eastAsia="sk-SK"/>
              </w:rPr>
              <w:t>489</w:t>
            </w:r>
          </w:p>
        </w:tc>
      </w:tr>
    </w:tbl>
    <w:p w14:paraId="3BE3B654" w14:textId="4EF890D3" w:rsidR="00DD531B" w:rsidRDefault="00DD531B" w:rsidP="00DD531B">
      <w:pPr>
        <w:rPr>
          <w:rFonts w:ascii="Times New Roman" w:eastAsia="Calibri" w:hAnsi="Times New Roman" w:cs="Times New Roman"/>
        </w:rPr>
      </w:pPr>
    </w:p>
    <w:p w14:paraId="30D8BCF4" w14:textId="43E33FEB" w:rsidR="005027A6" w:rsidRDefault="005027A6" w:rsidP="00DD531B">
      <w:pPr>
        <w:rPr>
          <w:rFonts w:ascii="Times New Roman" w:eastAsia="Calibri" w:hAnsi="Times New Roman" w:cs="Times New Roman"/>
        </w:rPr>
      </w:pPr>
    </w:p>
    <w:p w14:paraId="0017E228" w14:textId="537489AE" w:rsidR="005027A6" w:rsidRDefault="005027A6" w:rsidP="00DD531B">
      <w:pPr>
        <w:rPr>
          <w:rFonts w:ascii="Times New Roman" w:eastAsia="Calibri" w:hAnsi="Times New Roman" w:cs="Times New Roman"/>
        </w:rPr>
      </w:pPr>
    </w:p>
    <w:p w14:paraId="38D2A922" w14:textId="74799FA9" w:rsidR="005027A6" w:rsidRDefault="005027A6" w:rsidP="00DD531B">
      <w:pPr>
        <w:rPr>
          <w:rFonts w:ascii="Times New Roman" w:eastAsia="Calibri" w:hAnsi="Times New Roman" w:cs="Times New Roman"/>
        </w:rPr>
      </w:pPr>
    </w:p>
    <w:p w14:paraId="78EF1386" w14:textId="17F71D9D" w:rsidR="005027A6" w:rsidRDefault="005027A6" w:rsidP="00DD531B">
      <w:pPr>
        <w:rPr>
          <w:rFonts w:ascii="Times New Roman" w:eastAsia="Calibri" w:hAnsi="Times New Roman" w:cs="Times New Roman"/>
        </w:rPr>
      </w:pPr>
    </w:p>
    <w:p w14:paraId="7E37BC77" w14:textId="23D8D425" w:rsidR="005027A6" w:rsidRDefault="005027A6" w:rsidP="00DD531B">
      <w:pPr>
        <w:rPr>
          <w:rFonts w:ascii="Times New Roman" w:eastAsia="Calibri" w:hAnsi="Times New Roman" w:cs="Times New Roman"/>
        </w:rPr>
      </w:pPr>
    </w:p>
    <w:p w14:paraId="504F4AA2" w14:textId="090BAF94" w:rsidR="005027A6" w:rsidRDefault="005027A6" w:rsidP="00DD531B">
      <w:pPr>
        <w:rPr>
          <w:rFonts w:ascii="Times New Roman" w:eastAsia="Calibri" w:hAnsi="Times New Roman" w:cs="Times New Roman"/>
        </w:rPr>
      </w:pPr>
    </w:p>
    <w:p w14:paraId="205B7152" w14:textId="523A5EE1" w:rsidR="005027A6" w:rsidRDefault="005027A6" w:rsidP="00DD531B">
      <w:pPr>
        <w:rPr>
          <w:rFonts w:ascii="Times New Roman" w:eastAsia="Calibri" w:hAnsi="Times New Roman" w:cs="Times New Roman"/>
        </w:rPr>
      </w:pPr>
    </w:p>
    <w:p w14:paraId="2456CD62" w14:textId="77777777" w:rsidR="005027A6" w:rsidRPr="00DD531B" w:rsidRDefault="005027A6" w:rsidP="00DD531B">
      <w:pPr>
        <w:rPr>
          <w:rFonts w:ascii="Times New Roman" w:eastAsia="Calibri" w:hAnsi="Times New Roman" w:cs="Times New Roman"/>
        </w:rPr>
      </w:pPr>
    </w:p>
    <w:p w14:paraId="29D690C1" w14:textId="3769B5D2" w:rsidR="00DD531B" w:rsidRPr="00485571" w:rsidRDefault="00DD531B" w:rsidP="00DD531B">
      <w:pPr>
        <w:keepNext/>
        <w:keepLines/>
        <w:spacing w:before="40" w:after="0"/>
        <w:outlineLvl w:val="1"/>
        <w:rPr>
          <w:rFonts w:ascii="Times New Roman" w:eastAsia="Times New Roman" w:hAnsi="Times New Roman" w:cs="Times New Roman"/>
          <w:b/>
          <w:color w:val="5B9BD5" w:themeColor="accent1"/>
          <w:sz w:val="24"/>
          <w:szCs w:val="24"/>
        </w:rPr>
      </w:pPr>
      <w:r w:rsidRPr="00485571">
        <w:rPr>
          <w:rFonts w:ascii="Times New Roman" w:eastAsia="Times New Roman" w:hAnsi="Times New Roman" w:cs="Times New Roman"/>
          <w:b/>
          <w:color w:val="5B9BD5" w:themeColor="accent1"/>
          <w:sz w:val="24"/>
          <w:szCs w:val="24"/>
        </w:rPr>
        <w:lastRenderedPageBreak/>
        <w:t>Ministerstvo zdravotníctva SR</w:t>
      </w:r>
    </w:p>
    <w:p w14:paraId="277C0698" w14:textId="77777777" w:rsidR="00DD531B" w:rsidRPr="00DD531B" w:rsidRDefault="00DD531B" w:rsidP="00DD531B">
      <w:pPr>
        <w:rPr>
          <w:rFonts w:ascii="Times New Roman" w:eastAsia="Calibri" w:hAnsi="Times New Roman" w:cs="Times New Roman"/>
        </w:rPr>
      </w:pPr>
    </w:p>
    <w:p w14:paraId="5C15BDD3" w14:textId="609C942F" w:rsidR="00DD531B" w:rsidRPr="00485571" w:rsidRDefault="00485571"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15" w:name="_Toc153013085"/>
      <w:r w:rsidRPr="00485571">
        <w:rPr>
          <w:rFonts w:ascii="Times New Roman" w:eastAsia="Times New Roman" w:hAnsi="Times New Roman" w:cs="Times New Roman"/>
          <w:b/>
          <w:iCs/>
          <w:color w:val="5B9BD5" w:themeColor="accent1"/>
          <w:sz w:val="20"/>
          <w:szCs w:val="20"/>
          <w:lang w:eastAsia="sk-SK"/>
        </w:rPr>
        <w:t xml:space="preserve">Tabuľka </w:t>
      </w:r>
      <w:r w:rsidRPr="00485571">
        <w:rPr>
          <w:rFonts w:ascii="Times New Roman" w:hAnsi="Times New Roman" w:cs="Times New Roman"/>
          <w:b/>
          <w:color w:val="5B9BD5" w:themeColor="accent1"/>
          <w:sz w:val="20"/>
          <w:szCs w:val="20"/>
        </w:rPr>
        <w:fldChar w:fldCharType="begin"/>
      </w:r>
      <w:r w:rsidRPr="00485571">
        <w:rPr>
          <w:rFonts w:ascii="Times New Roman" w:hAnsi="Times New Roman" w:cs="Times New Roman"/>
          <w:b/>
          <w:color w:val="5B9BD5" w:themeColor="accent1"/>
          <w:sz w:val="20"/>
          <w:szCs w:val="20"/>
        </w:rPr>
        <w:instrText xml:space="preserve"> SEQ Tabuľka \* ARABIC </w:instrText>
      </w:r>
      <w:r w:rsidRPr="00485571">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87</w:t>
      </w:r>
      <w:r w:rsidRPr="00485571">
        <w:rPr>
          <w:rFonts w:ascii="Times New Roman" w:hAnsi="Times New Roman" w:cs="Times New Roman"/>
          <w:b/>
          <w:color w:val="5B9BD5" w:themeColor="accent1"/>
          <w:sz w:val="20"/>
          <w:szCs w:val="20"/>
        </w:rPr>
        <w:fldChar w:fldCharType="end"/>
      </w:r>
      <w:r w:rsidRPr="00485571">
        <w:rPr>
          <w:rFonts w:ascii="Times New Roman" w:hAnsi="Times New Roman" w:cs="Times New Roman"/>
          <w:b/>
          <w:color w:val="5B9BD5" w:themeColor="accent1"/>
          <w:sz w:val="20"/>
          <w:szCs w:val="20"/>
        </w:rPr>
        <w:t xml:space="preserve"> - </w:t>
      </w:r>
      <w:r w:rsidR="00DD531B" w:rsidRPr="00485571">
        <w:rPr>
          <w:rFonts w:ascii="Times New Roman" w:eastAsia="Times New Roman" w:hAnsi="Times New Roman" w:cs="Times New Roman"/>
          <w:b/>
          <w:iCs/>
          <w:color w:val="5B9BD5" w:themeColor="accent1"/>
          <w:sz w:val="20"/>
          <w:szCs w:val="20"/>
          <w:lang w:eastAsia="sk-SK"/>
        </w:rPr>
        <w:t>Príjmy kapitoly MZ SR</w:t>
      </w:r>
      <w:bookmarkEnd w:id="215"/>
    </w:p>
    <w:tbl>
      <w:tblPr>
        <w:tblW w:w="5000" w:type="pct"/>
        <w:tblCellMar>
          <w:left w:w="70" w:type="dxa"/>
          <w:right w:w="70" w:type="dxa"/>
        </w:tblCellMar>
        <w:tblLook w:val="04A0" w:firstRow="1" w:lastRow="0" w:firstColumn="1" w:lastColumn="0" w:noHBand="0" w:noVBand="1"/>
      </w:tblPr>
      <w:tblGrid>
        <w:gridCol w:w="4358"/>
        <w:gridCol w:w="667"/>
        <w:gridCol w:w="667"/>
        <w:gridCol w:w="667"/>
        <w:gridCol w:w="714"/>
        <w:gridCol w:w="667"/>
        <w:gridCol w:w="667"/>
        <w:gridCol w:w="665"/>
      </w:tblGrid>
      <w:tr w:rsidR="00DD531B" w:rsidRPr="00DD531B" w14:paraId="7F85C7DF" w14:textId="77777777" w:rsidTr="001F24AE">
        <w:trPr>
          <w:trHeight w:val="300"/>
        </w:trPr>
        <w:tc>
          <w:tcPr>
            <w:tcW w:w="2405" w:type="pct"/>
            <w:tcBorders>
              <w:top w:val="single" w:sz="4" w:space="0" w:color="auto"/>
              <w:left w:val="nil"/>
              <w:bottom w:val="single" w:sz="4" w:space="0" w:color="auto"/>
              <w:right w:val="nil"/>
            </w:tcBorders>
            <w:shd w:val="clear" w:color="auto" w:fill="auto"/>
            <w:noWrap/>
            <w:vAlign w:val="center"/>
            <w:hideMark/>
          </w:tcPr>
          <w:p w14:paraId="492021DE" w14:textId="77777777" w:rsidR="00DD531B" w:rsidRPr="00485571" w:rsidRDefault="00DD531B" w:rsidP="00DD531B">
            <w:pPr>
              <w:spacing w:after="0" w:line="240" w:lineRule="auto"/>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v tis. eur</w:t>
            </w:r>
          </w:p>
        </w:tc>
        <w:tc>
          <w:tcPr>
            <w:tcW w:w="371" w:type="pct"/>
            <w:tcBorders>
              <w:top w:val="single" w:sz="4" w:space="0" w:color="auto"/>
              <w:left w:val="nil"/>
              <w:bottom w:val="single" w:sz="4" w:space="0" w:color="auto"/>
              <w:right w:val="nil"/>
            </w:tcBorders>
            <w:shd w:val="clear" w:color="auto" w:fill="auto"/>
            <w:noWrap/>
            <w:vAlign w:val="center"/>
            <w:hideMark/>
          </w:tcPr>
          <w:p w14:paraId="70C00FCC" w14:textId="77777777" w:rsidR="00DD531B" w:rsidRPr="00485571" w:rsidRDefault="00DD531B"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2021 S</w:t>
            </w:r>
          </w:p>
        </w:tc>
        <w:tc>
          <w:tcPr>
            <w:tcW w:w="371" w:type="pct"/>
            <w:tcBorders>
              <w:top w:val="single" w:sz="4" w:space="0" w:color="auto"/>
              <w:left w:val="nil"/>
              <w:bottom w:val="single" w:sz="4" w:space="0" w:color="auto"/>
              <w:right w:val="nil"/>
            </w:tcBorders>
            <w:shd w:val="clear" w:color="auto" w:fill="auto"/>
            <w:noWrap/>
            <w:vAlign w:val="center"/>
            <w:hideMark/>
          </w:tcPr>
          <w:p w14:paraId="132AF043" w14:textId="77777777" w:rsidR="00DD531B" w:rsidRPr="00485571" w:rsidRDefault="00DD531B"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2022 S</w:t>
            </w:r>
          </w:p>
        </w:tc>
        <w:tc>
          <w:tcPr>
            <w:tcW w:w="371" w:type="pct"/>
            <w:tcBorders>
              <w:top w:val="single" w:sz="4" w:space="0" w:color="auto"/>
              <w:left w:val="nil"/>
              <w:bottom w:val="single" w:sz="4" w:space="0" w:color="auto"/>
              <w:right w:val="nil"/>
            </w:tcBorders>
            <w:shd w:val="clear" w:color="auto" w:fill="auto"/>
            <w:noWrap/>
            <w:vAlign w:val="center"/>
            <w:hideMark/>
          </w:tcPr>
          <w:p w14:paraId="714FE439" w14:textId="77777777" w:rsidR="00DD531B" w:rsidRPr="00485571" w:rsidRDefault="00DD531B"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2023 R</w:t>
            </w:r>
          </w:p>
        </w:tc>
        <w:tc>
          <w:tcPr>
            <w:tcW w:w="371" w:type="pct"/>
            <w:tcBorders>
              <w:top w:val="single" w:sz="4" w:space="0" w:color="auto"/>
              <w:left w:val="nil"/>
              <w:bottom w:val="single" w:sz="4" w:space="0" w:color="auto"/>
              <w:right w:val="nil"/>
            </w:tcBorders>
            <w:shd w:val="clear" w:color="auto" w:fill="auto"/>
            <w:noWrap/>
            <w:vAlign w:val="center"/>
            <w:hideMark/>
          </w:tcPr>
          <w:p w14:paraId="20F34D27" w14:textId="77777777" w:rsidR="00DD531B" w:rsidRPr="00485571" w:rsidRDefault="00DD531B"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2023 OS</w:t>
            </w:r>
          </w:p>
        </w:tc>
        <w:tc>
          <w:tcPr>
            <w:tcW w:w="371" w:type="pct"/>
            <w:tcBorders>
              <w:top w:val="single" w:sz="4" w:space="0" w:color="auto"/>
              <w:left w:val="nil"/>
              <w:bottom w:val="single" w:sz="4" w:space="0" w:color="auto"/>
              <w:right w:val="nil"/>
            </w:tcBorders>
            <w:shd w:val="clear" w:color="auto" w:fill="auto"/>
            <w:noWrap/>
            <w:vAlign w:val="center"/>
            <w:hideMark/>
          </w:tcPr>
          <w:p w14:paraId="30E3A11E" w14:textId="77777777" w:rsidR="00DD531B" w:rsidRPr="00485571" w:rsidRDefault="00DD531B"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2024 N</w:t>
            </w:r>
          </w:p>
        </w:tc>
        <w:tc>
          <w:tcPr>
            <w:tcW w:w="371" w:type="pct"/>
            <w:tcBorders>
              <w:top w:val="single" w:sz="4" w:space="0" w:color="auto"/>
              <w:left w:val="nil"/>
              <w:bottom w:val="single" w:sz="4" w:space="0" w:color="auto"/>
              <w:right w:val="nil"/>
            </w:tcBorders>
            <w:shd w:val="clear" w:color="auto" w:fill="auto"/>
            <w:noWrap/>
            <w:vAlign w:val="center"/>
            <w:hideMark/>
          </w:tcPr>
          <w:p w14:paraId="27A8CE79" w14:textId="77777777" w:rsidR="00DD531B" w:rsidRPr="00485571" w:rsidRDefault="00DD531B"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2025 N</w:t>
            </w:r>
          </w:p>
        </w:tc>
        <w:tc>
          <w:tcPr>
            <w:tcW w:w="371" w:type="pct"/>
            <w:tcBorders>
              <w:top w:val="single" w:sz="4" w:space="0" w:color="auto"/>
              <w:left w:val="nil"/>
              <w:bottom w:val="single" w:sz="4" w:space="0" w:color="auto"/>
              <w:right w:val="nil"/>
            </w:tcBorders>
            <w:shd w:val="clear" w:color="auto" w:fill="auto"/>
            <w:noWrap/>
            <w:vAlign w:val="center"/>
            <w:hideMark/>
          </w:tcPr>
          <w:p w14:paraId="1205B1E1" w14:textId="77777777" w:rsidR="00DD531B" w:rsidRPr="00485571" w:rsidRDefault="00DD531B"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2026 N</w:t>
            </w:r>
          </w:p>
        </w:tc>
      </w:tr>
      <w:tr w:rsidR="00DD531B" w:rsidRPr="00DD531B" w14:paraId="3BE88BD1" w14:textId="77777777" w:rsidTr="001F24AE">
        <w:trPr>
          <w:trHeight w:val="300"/>
        </w:trPr>
        <w:tc>
          <w:tcPr>
            <w:tcW w:w="2405" w:type="pct"/>
            <w:tcBorders>
              <w:top w:val="nil"/>
              <w:left w:val="nil"/>
              <w:bottom w:val="nil"/>
              <w:right w:val="nil"/>
            </w:tcBorders>
            <w:shd w:val="clear" w:color="auto" w:fill="auto"/>
            <w:noWrap/>
            <w:vAlign w:val="bottom"/>
            <w:hideMark/>
          </w:tcPr>
          <w:p w14:paraId="4A51AC9F" w14:textId="77777777" w:rsidR="00DD531B" w:rsidRPr="00485571" w:rsidRDefault="00DD531B" w:rsidP="00DD531B">
            <w:pPr>
              <w:spacing w:after="0" w:line="240" w:lineRule="auto"/>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Príjmy kapitoly spolu</w:t>
            </w:r>
          </w:p>
        </w:tc>
        <w:tc>
          <w:tcPr>
            <w:tcW w:w="371" w:type="pct"/>
            <w:tcBorders>
              <w:top w:val="nil"/>
              <w:left w:val="nil"/>
              <w:bottom w:val="nil"/>
              <w:right w:val="nil"/>
            </w:tcBorders>
            <w:shd w:val="clear" w:color="auto" w:fill="auto"/>
            <w:noWrap/>
            <w:vAlign w:val="bottom"/>
            <w:hideMark/>
          </w:tcPr>
          <w:p w14:paraId="3A583E48" w14:textId="77777777" w:rsidR="00DD531B" w:rsidRPr="00485571"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42 684</w:t>
            </w:r>
          </w:p>
        </w:tc>
        <w:tc>
          <w:tcPr>
            <w:tcW w:w="371" w:type="pct"/>
            <w:tcBorders>
              <w:top w:val="nil"/>
              <w:left w:val="nil"/>
              <w:bottom w:val="nil"/>
              <w:right w:val="nil"/>
            </w:tcBorders>
            <w:shd w:val="clear" w:color="auto" w:fill="auto"/>
            <w:noWrap/>
            <w:vAlign w:val="bottom"/>
            <w:hideMark/>
          </w:tcPr>
          <w:p w14:paraId="665A26EC" w14:textId="77777777" w:rsidR="00DD531B" w:rsidRPr="00485571"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47 130</w:t>
            </w:r>
          </w:p>
        </w:tc>
        <w:tc>
          <w:tcPr>
            <w:tcW w:w="371" w:type="pct"/>
            <w:tcBorders>
              <w:top w:val="nil"/>
              <w:left w:val="nil"/>
              <w:bottom w:val="nil"/>
              <w:right w:val="nil"/>
            </w:tcBorders>
            <w:shd w:val="clear" w:color="auto" w:fill="auto"/>
            <w:noWrap/>
            <w:vAlign w:val="bottom"/>
            <w:hideMark/>
          </w:tcPr>
          <w:p w14:paraId="2B94129D" w14:textId="77777777" w:rsidR="00DD531B" w:rsidRPr="00485571"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46 615</w:t>
            </w:r>
          </w:p>
        </w:tc>
        <w:tc>
          <w:tcPr>
            <w:tcW w:w="371" w:type="pct"/>
            <w:tcBorders>
              <w:top w:val="nil"/>
              <w:left w:val="nil"/>
              <w:bottom w:val="nil"/>
              <w:right w:val="nil"/>
            </w:tcBorders>
            <w:shd w:val="clear" w:color="auto" w:fill="auto"/>
            <w:noWrap/>
            <w:vAlign w:val="bottom"/>
            <w:hideMark/>
          </w:tcPr>
          <w:p w14:paraId="6A9AD392" w14:textId="77777777" w:rsidR="00DD531B" w:rsidRPr="00485571"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6 665</w:t>
            </w:r>
          </w:p>
        </w:tc>
        <w:tc>
          <w:tcPr>
            <w:tcW w:w="371" w:type="pct"/>
            <w:tcBorders>
              <w:top w:val="nil"/>
              <w:left w:val="nil"/>
              <w:bottom w:val="nil"/>
              <w:right w:val="nil"/>
            </w:tcBorders>
            <w:shd w:val="clear" w:color="auto" w:fill="auto"/>
            <w:noWrap/>
            <w:vAlign w:val="bottom"/>
            <w:hideMark/>
          </w:tcPr>
          <w:p w14:paraId="50B36D44" w14:textId="77777777" w:rsidR="00DD531B" w:rsidRPr="00485571"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67 287</w:t>
            </w:r>
          </w:p>
        </w:tc>
        <w:tc>
          <w:tcPr>
            <w:tcW w:w="371" w:type="pct"/>
            <w:tcBorders>
              <w:top w:val="nil"/>
              <w:left w:val="nil"/>
              <w:bottom w:val="nil"/>
              <w:right w:val="nil"/>
            </w:tcBorders>
            <w:shd w:val="clear" w:color="auto" w:fill="auto"/>
            <w:noWrap/>
            <w:vAlign w:val="bottom"/>
            <w:hideMark/>
          </w:tcPr>
          <w:p w14:paraId="0E73B2C2" w14:textId="77777777" w:rsidR="00DD531B" w:rsidRPr="00485571"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71 711</w:t>
            </w:r>
          </w:p>
        </w:tc>
        <w:tc>
          <w:tcPr>
            <w:tcW w:w="371" w:type="pct"/>
            <w:tcBorders>
              <w:top w:val="nil"/>
              <w:left w:val="nil"/>
              <w:bottom w:val="nil"/>
              <w:right w:val="nil"/>
            </w:tcBorders>
            <w:shd w:val="clear" w:color="auto" w:fill="auto"/>
            <w:noWrap/>
            <w:vAlign w:val="bottom"/>
            <w:hideMark/>
          </w:tcPr>
          <w:p w14:paraId="079D62EB" w14:textId="77777777" w:rsidR="00DD531B" w:rsidRPr="00485571"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77 538</w:t>
            </w:r>
          </w:p>
        </w:tc>
      </w:tr>
      <w:tr w:rsidR="00DD531B" w:rsidRPr="00DD531B" w14:paraId="75DA95D3" w14:textId="77777777" w:rsidTr="001F24AE">
        <w:trPr>
          <w:trHeight w:val="300"/>
        </w:trPr>
        <w:tc>
          <w:tcPr>
            <w:tcW w:w="2405" w:type="pct"/>
            <w:tcBorders>
              <w:top w:val="nil"/>
              <w:left w:val="nil"/>
              <w:bottom w:val="nil"/>
              <w:right w:val="nil"/>
            </w:tcBorders>
            <w:shd w:val="clear" w:color="auto" w:fill="auto"/>
            <w:noWrap/>
            <w:vAlign w:val="bottom"/>
            <w:hideMark/>
          </w:tcPr>
          <w:p w14:paraId="63489E7A" w14:textId="77777777" w:rsidR="00DD531B" w:rsidRPr="00485571" w:rsidRDefault="00DD531B" w:rsidP="00DD531B">
            <w:pPr>
              <w:spacing w:after="0" w:line="240" w:lineRule="auto"/>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nedaňové príjmy</w:t>
            </w:r>
          </w:p>
        </w:tc>
        <w:tc>
          <w:tcPr>
            <w:tcW w:w="371" w:type="pct"/>
            <w:tcBorders>
              <w:top w:val="nil"/>
              <w:left w:val="nil"/>
              <w:bottom w:val="nil"/>
              <w:right w:val="nil"/>
            </w:tcBorders>
            <w:shd w:val="clear" w:color="auto" w:fill="auto"/>
            <w:noWrap/>
            <w:vAlign w:val="bottom"/>
            <w:hideMark/>
          </w:tcPr>
          <w:p w14:paraId="73F48815"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3 816</w:t>
            </w:r>
          </w:p>
        </w:tc>
        <w:tc>
          <w:tcPr>
            <w:tcW w:w="371" w:type="pct"/>
            <w:tcBorders>
              <w:top w:val="nil"/>
              <w:left w:val="nil"/>
              <w:bottom w:val="nil"/>
              <w:right w:val="nil"/>
            </w:tcBorders>
            <w:shd w:val="clear" w:color="auto" w:fill="auto"/>
            <w:noWrap/>
            <w:vAlign w:val="bottom"/>
            <w:hideMark/>
          </w:tcPr>
          <w:p w14:paraId="07157EB3"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7 320</w:t>
            </w:r>
          </w:p>
        </w:tc>
        <w:tc>
          <w:tcPr>
            <w:tcW w:w="371" w:type="pct"/>
            <w:tcBorders>
              <w:top w:val="nil"/>
              <w:left w:val="nil"/>
              <w:bottom w:val="nil"/>
              <w:right w:val="nil"/>
            </w:tcBorders>
            <w:shd w:val="clear" w:color="auto" w:fill="auto"/>
            <w:noWrap/>
            <w:vAlign w:val="bottom"/>
            <w:hideMark/>
          </w:tcPr>
          <w:p w14:paraId="5EAA503F"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3 000</w:t>
            </w:r>
          </w:p>
        </w:tc>
        <w:tc>
          <w:tcPr>
            <w:tcW w:w="371" w:type="pct"/>
            <w:tcBorders>
              <w:top w:val="nil"/>
              <w:left w:val="nil"/>
              <w:bottom w:val="nil"/>
              <w:right w:val="nil"/>
            </w:tcBorders>
            <w:shd w:val="clear" w:color="auto" w:fill="auto"/>
            <w:noWrap/>
            <w:vAlign w:val="bottom"/>
            <w:hideMark/>
          </w:tcPr>
          <w:p w14:paraId="46D57C12"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6 661</w:t>
            </w:r>
          </w:p>
        </w:tc>
        <w:tc>
          <w:tcPr>
            <w:tcW w:w="371" w:type="pct"/>
            <w:tcBorders>
              <w:top w:val="nil"/>
              <w:left w:val="nil"/>
              <w:bottom w:val="nil"/>
              <w:right w:val="nil"/>
            </w:tcBorders>
            <w:shd w:val="clear" w:color="auto" w:fill="auto"/>
            <w:noWrap/>
            <w:vAlign w:val="bottom"/>
            <w:hideMark/>
          </w:tcPr>
          <w:p w14:paraId="070589B2"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3 000</w:t>
            </w:r>
          </w:p>
        </w:tc>
        <w:tc>
          <w:tcPr>
            <w:tcW w:w="371" w:type="pct"/>
            <w:tcBorders>
              <w:top w:val="nil"/>
              <w:left w:val="nil"/>
              <w:bottom w:val="nil"/>
              <w:right w:val="nil"/>
            </w:tcBorders>
            <w:shd w:val="clear" w:color="auto" w:fill="auto"/>
            <w:noWrap/>
            <w:vAlign w:val="bottom"/>
            <w:hideMark/>
          </w:tcPr>
          <w:p w14:paraId="7A802C41"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3 000</w:t>
            </w:r>
          </w:p>
        </w:tc>
        <w:tc>
          <w:tcPr>
            <w:tcW w:w="371" w:type="pct"/>
            <w:tcBorders>
              <w:top w:val="nil"/>
              <w:left w:val="nil"/>
              <w:bottom w:val="nil"/>
              <w:right w:val="nil"/>
            </w:tcBorders>
            <w:shd w:val="clear" w:color="auto" w:fill="auto"/>
            <w:noWrap/>
            <w:vAlign w:val="bottom"/>
            <w:hideMark/>
          </w:tcPr>
          <w:p w14:paraId="222EBB77"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3 000</w:t>
            </w:r>
          </w:p>
        </w:tc>
      </w:tr>
      <w:tr w:rsidR="00DD531B" w:rsidRPr="00DD531B" w14:paraId="67D2C10F" w14:textId="77777777" w:rsidTr="001F24AE">
        <w:trPr>
          <w:trHeight w:val="300"/>
        </w:trPr>
        <w:tc>
          <w:tcPr>
            <w:tcW w:w="2405" w:type="pct"/>
            <w:tcBorders>
              <w:top w:val="nil"/>
              <w:left w:val="nil"/>
              <w:bottom w:val="nil"/>
              <w:right w:val="nil"/>
            </w:tcBorders>
            <w:shd w:val="clear" w:color="auto" w:fill="auto"/>
            <w:noWrap/>
            <w:vAlign w:val="bottom"/>
            <w:hideMark/>
          </w:tcPr>
          <w:p w14:paraId="5DB2B86F" w14:textId="77777777" w:rsidR="00DD531B" w:rsidRPr="00485571" w:rsidRDefault="00DD531B" w:rsidP="00DD531B">
            <w:pPr>
              <w:spacing w:after="0" w:line="240" w:lineRule="auto"/>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granty a transfery, v tom:</w:t>
            </w:r>
          </w:p>
        </w:tc>
        <w:tc>
          <w:tcPr>
            <w:tcW w:w="371" w:type="pct"/>
            <w:tcBorders>
              <w:top w:val="nil"/>
              <w:left w:val="nil"/>
              <w:bottom w:val="nil"/>
              <w:right w:val="nil"/>
            </w:tcBorders>
            <w:shd w:val="clear" w:color="auto" w:fill="auto"/>
            <w:noWrap/>
            <w:vAlign w:val="bottom"/>
            <w:hideMark/>
          </w:tcPr>
          <w:p w14:paraId="2C5A7309"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38 868</w:t>
            </w:r>
          </w:p>
        </w:tc>
        <w:tc>
          <w:tcPr>
            <w:tcW w:w="371" w:type="pct"/>
            <w:tcBorders>
              <w:top w:val="nil"/>
              <w:left w:val="nil"/>
              <w:bottom w:val="nil"/>
              <w:right w:val="nil"/>
            </w:tcBorders>
            <w:shd w:val="clear" w:color="auto" w:fill="auto"/>
            <w:noWrap/>
            <w:vAlign w:val="bottom"/>
            <w:hideMark/>
          </w:tcPr>
          <w:p w14:paraId="24FBEBA6"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39 810</w:t>
            </w:r>
          </w:p>
        </w:tc>
        <w:tc>
          <w:tcPr>
            <w:tcW w:w="371" w:type="pct"/>
            <w:tcBorders>
              <w:top w:val="nil"/>
              <w:left w:val="nil"/>
              <w:bottom w:val="nil"/>
              <w:right w:val="nil"/>
            </w:tcBorders>
            <w:shd w:val="clear" w:color="auto" w:fill="auto"/>
            <w:noWrap/>
            <w:vAlign w:val="bottom"/>
            <w:hideMark/>
          </w:tcPr>
          <w:p w14:paraId="6F8C0ECD"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43 615</w:t>
            </w:r>
          </w:p>
        </w:tc>
        <w:tc>
          <w:tcPr>
            <w:tcW w:w="371" w:type="pct"/>
            <w:tcBorders>
              <w:top w:val="nil"/>
              <w:left w:val="nil"/>
              <w:bottom w:val="nil"/>
              <w:right w:val="nil"/>
            </w:tcBorders>
            <w:shd w:val="clear" w:color="auto" w:fill="auto"/>
            <w:noWrap/>
            <w:vAlign w:val="bottom"/>
            <w:hideMark/>
          </w:tcPr>
          <w:p w14:paraId="6B20C3F5"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4</w:t>
            </w:r>
          </w:p>
        </w:tc>
        <w:tc>
          <w:tcPr>
            <w:tcW w:w="371" w:type="pct"/>
            <w:tcBorders>
              <w:top w:val="nil"/>
              <w:left w:val="nil"/>
              <w:bottom w:val="nil"/>
              <w:right w:val="nil"/>
            </w:tcBorders>
            <w:shd w:val="clear" w:color="auto" w:fill="auto"/>
            <w:noWrap/>
            <w:vAlign w:val="bottom"/>
            <w:hideMark/>
          </w:tcPr>
          <w:p w14:paraId="630A8703"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64 287</w:t>
            </w:r>
          </w:p>
        </w:tc>
        <w:tc>
          <w:tcPr>
            <w:tcW w:w="371" w:type="pct"/>
            <w:tcBorders>
              <w:top w:val="nil"/>
              <w:left w:val="nil"/>
              <w:bottom w:val="nil"/>
              <w:right w:val="nil"/>
            </w:tcBorders>
            <w:shd w:val="clear" w:color="auto" w:fill="auto"/>
            <w:noWrap/>
            <w:vAlign w:val="bottom"/>
            <w:hideMark/>
          </w:tcPr>
          <w:p w14:paraId="25EA656B"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68 711</w:t>
            </w:r>
          </w:p>
        </w:tc>
        <w:tc>
          <w:tcPr>
            <w:tcW w:w="371" w:type="pct"/>
            <w:tcBorders>
              <w:top w:val="nil"/>
              <w:left w:val="nil"/>
              <w:bottom w:val="nil"/>
              <w:right w:val="nil"/>
            </w:tcBorders>
            <w:shd w:val="clear" w:color="auto" w:fill="auto"/>
            <w:noWrap/>
            <w:vAlign w:val="bottom"/>
            <w:hideMark/>
          </w:tcPr>
          <w:p w14:paraId="2C417FDB"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74 538</w:t>
            </w:r>
          </w:p>
        </w:tc>
      </w:tr>
      <w:tr w:rsidR="00DD531B" w:rsidRPr="00DD531B" w14:paraId="7CA77FDB" w14:textId="77777777" w:rsidTr="001F24AE">
        <w:trPr>
          <w:trHeight w:val="300"/>
        </w:trPr>
        <w:tc>
          <w:tcPr>
            <w:tcW w:w="2405" w:type="pct"/>
            <w:tcBorders>
              <w:top w:val="nil"/>
              <w:left w:val="nil"/>
              <w:bottom w:val="single" w:sz="4" w:space="0" w:color="auto"/>
              <w:right w:val="nil"/>
            </w:tcBorders>
            <w:shd w:val="clear" w:color="auto" w:fill="auto"/>
            <w:noWrap/>
            <w:vAlign w:val="bottom"/>
            <w:hideMark/>
          </w:tcPr>
          <w:p w14:paraId="1B4547C0" w14:textId="77777777" w:rsidR="00DD531B" w:rsidRPr="00485571" w:rsidRDefault="00DD531B" w:rsidP="00DD531B">
            <w:pPr>
              <w:spacing w:after="0" w:line="240" w:lineRule="auto"/>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iné</w:t>
            </w:r>
          </w:p>
        </w:tc>
        <w:tc>
          <w:tcPr>
            <w:tcW w:w="371" w:type="pct"/>
            <w:tcBorders>
              <w:top w:val="nil"/>
              <w:left w:val="nil"/>
              <w:bottom w:val="single" w:sz="4" w:space="0" w:color="auto"/>
              <w:right w:val="nil"/>
            </w:tcBorders>
            <w:shd w:val="clear" w:color="auto" w:fill="auto"/>
            <w:noWrap/>
            <w:vAlign w:val="bottom"/>
            <w:hideMark/>
          </w:tcPr>
          <w:p w14:paraId="4BDE486C"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38 868</w:t>
            </w:r>
          </w:p>
        </w:tc>
        <w:tc>
          <w:tcPr>
            <w:tcW w:w="371" w:type="pct"/>
            <w:tcBorders>
              <w:top w:val="nil"/>
              <w:left w:val="nil"/>
              <w:bottom w:val="single" w:sz="4" w:space="0" w:color="auto"/>
              <w:right w:val="nil"/>
            </w:tcBorders>
            <w:shd w:val="clear" w:color="auto" w:fill="auto"/>
            <w:noWrap/>
            <w:vAlign w:val="bottom"/>
            <w:hideMark/>
          </w:tcPr>
          <w:p w14:paraId="298D2F80"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39 810</w:t>
            </w:r>
          </w:p>
        </w:tc>
        <w:tc>
          <w:tcPr>
            <w:tcW w:w="371" w:type="pct"/>
            <w:tcBorders>
              <w:top w:val="nil"/>
              <w:left w:val="nil"/>
              <w:bottom w:val="single" w:sz="4" w:space="0" w:color="auto"/>
              <w:right w:val="nil"/>
            </w:tcBorders>
            <w:shd w:val="clear" w:color="auto" w:fill="auto"/>
            <w:noWrap/>
            <w:vAlign w:val="bottom"/>
            <w:hideMark/>
          </w:tcPr>
          <w:p w14:paraId="28641A4B"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43 615</w:t>
            </w:r>
          </w:p>
        </w:tc>
        <w:tc>
          <w:tcPr>
            <w:tcW w:w="371" w:type="pct"/>
            <w:tcBorders>
              <w:top w:val="nil"/>
              <w:left w:val="nil"/>
              <w:bottom w:val="single" w:sz="4" w:space="0" w:color="auto"/>
              <w:right w:val="nil"/>
            </w:tcBorders>
            <w:shd w:val="clear" w:color="auto" w:fill="auto"/>
            <w:noWrap/>
            <w:vAlign w:val="bottom"/>
            <w:hideMark/>
          </w:tcPr>
          <w:p w14:paraId="23516C17"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4</w:t>
            </w:r>
          </w:p>
        </w:tc>
        <w:tc>
          <w:tcPr>
            <w:tcW w:w="371" w:type="pct"/>
            <w:tcBorders>
              <w:top w:val="nil"/>
              <w:left w:val="nil"/>
              <w:bottom w:val="single" w:sz="4" w:space="0" w:color="auto"/>
              <w:right w:val="nil"/>
            </w:tcBorders>
            <w:shd w:val="clear" w:color="auto" w:fill="auto"/>
            <w:noWrap/>
            <w:vAlign w:val="bottom"/>
            <w:hideMark/>
          </w:tcPr>
          <w:p w14:paraId="05AC74B8"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64 287</w:t>
            </w:r>
          </w:p>
        </w:tc>
        <w:tc>
          <w:tcPr>
            <w:tcW w:w="371" w:type="pct"/>
            <w:tcBorders>
              <w:top w:val="nil"/>
              <w:left w:val="nil"/>
              <w:bottom w:val="single" w:sz="4" w:space="0" w:color="auto"/>
              <w:right w:val="nil"/>
            </w:tcBorders>
            <w:shd w:val="clear" w:color="auto" w:fill="auto"/>
            <w:noWrap/>
            <w:vAlign w:val="bottom"/>
            <w:hideMark/>
          </w:tcPr>
          <w:p w14:paraId="44065976"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68 711</w:t>
            </w:r>
          </w:p>
        </w:tc>
        <w:tc>
          <w:tcPr>
            <w:tcW w:w="371" w:type="pct"/>
            <w:tcBorders>
              <w:top w:val="nil"/>
              <w:left w:val="nil"/>
              <w:bottom w:val="single" w:sz="4" w:space="0" w:color="auto"/>
              <w:right w:val="nil"/>
            </w:tcBorders>
            <w:shd w:val="clear" w:color="auto" w:fill="auto"/>
            <w:noWrap/>
            <w:vAlign w:val="bottom"/>
            <w:hideMark/>
          </w:tcPr>
          <w:p w14:paraId="42A2DA8F"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74 538</w:t>
            </w:r>
          </w:p>
        </w:tc>
      </w:tr>
    </w:tbl>
    <w:p w14:paraId="40E0E194" w14:textId="77777777" w:rsidR="00DD531B" w:rsidRPr="00DD531B" w:rsidRDefault="00DD531B" w:rsidP="00DD531B">
      <w:pPr>
        <w:rPr>
          <w:rFonts w:ascii="Times New Roman" w:eastAsia="Calibri" w:hAnsi="Times New Roman" w:cs="Times New Roman"/>
        </w:rPr>
      </w:pPr>
    </w:p>
    <w:p w14:paraId="0E3ACFB3" w14:textId="3B1A5AAE" w:rsidR="00DD531B" w:rsidRPr="00485571" w:rsidRDefault="00485571"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16" w:name="_Toc153013086"/>
      <w:r w:rsidRPr="00485571">
        <w:rPr>
          <w:rFonts w:ascii="Times New Roman" w:eastAsia="Times New Roman" w:hAnsi="Times New Roman" w:cs="Times New Roman"/>
          <w:b/>
          <w:iCs/>
          <w:color w:val="5B9BD5" w:themeColor="accent1"/>
          <w:sz w:val="20"/>
          <w:szCs w:val="20"/>
          <w:lang w:eastAsia="sk-SK"/>
        </w:rPr>
        <w:t xml:space="preserve">Tabuľka </w:t>
      </w:r>
      <w:r w:rsidRPr="00485571">
        <w:rPr>
          <w:rFonts w:ascii="Times New Roman" w:hAnsi="Times New Roman" w:cs="Times New Roman"/>
          <w:b/>
          <w:color w:val="5B9BD5" w:themeColor="accent1"/>
          <w:sz w:val="20"/>
          <w:szCs w:val="20"/>
        </w:rPr>
        <w:fldChar w:fldCharType="begin"/>
      </w:r>
      <w:r w:rsidRPr="00485571">
        <w:rPr>
          <w:rFonts w:ascii="Times New Roman" w:hAnsi="Times New Roman" w:cs="Times New Roman"/>
          <w:b/>
          <w:color w:val="5B9BD5" w:themeColor="accent1"/>
          <w:sz w:val="20"/>
          <w:szCs w:val="20"/>
        </w:rPr>
        <w:instrText xml:space="preserve"> SEQ Tabuľka \* ARABIC </w:instrText>
      </w:r>
      <w:r w:rsidRPr="00485571">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88</w:t>
      </w:r>
      <w:r w:rsidRPr="00485571">
        <w:rPr>
          <w:rFonts w:ascii="Times New Roman" w:hAnsi="Times New Roman" w:cs="Times New Roman"/>
          <w:b/>
          <w:color w:val="5B9BD5" w:themeColor="accent1"/>
          <w:sz w:val="20"/>
          <w:szCs w:val="20"/>
        </w:rPr>
        <w:fldChar w:fldCharType="end"/>
      </w:r>
      <w:r w:rsidRPr="00485571">
        <w:rPr>
          <w:rFonts w:ascii="Times New Roman" w:hAnsi="Times New Roman" w:cs="Times New Roman"/>
          <w:b/>
          <w:color w:val="5B9BD5" w:themeColor="accent1"/>
          <w:sz w:val="20"/>
          <w:szCs w:val="20"/>
        </w:rPr>
        <w:t xml:space="preserve"> - </w:t>
      </w:r>
      <w:r w:rsidR="00DD531B" w:rsidRPr="00485571">
        <w:rPr>
          <w:rFonts w:ascii="Times New Roman" w:eastAsia="Times New Roman" w:hAnsi="Times New Roman" w:cs="Times New Roman"/>
          <w:b/>
          <w:iCs/>
          <w:color w:val="5B9BD5" w:themeColor="accent1"/>
          <w:sz w:val="20"/>
          <w:szCs w:val="20"/>
          <w:lang w:eastAsia="sk-SK"/>
        </w:rPr>
        <w:t>Výdavky kapitoly MZ SR</w:t>
      </w:r>
      <w:bookmarkEnd w:id="216"/>
    </w:p>
    <w:tbl>
      <w:tblPr>
        <w:tblW w:w="5000" w:type="pct"/>
        <w:tblLayout w:type="fixed"/>
        <w:tblCellMar>
          <w:left w:w="70" w:type="dxa"/>
          <w:right w:w="70" w:type="dxa"/>
        </w:tblCellMar>
        <w:tblLook w:val="04A0" w:firstRow="1" w:lastRow="0" w:firstColumn="1" w:lastColumn="0" w:noHBand="0" w:noVBand="1"/>
      </w:tblPr>
      <w:tblGrid>
        <w:gridCol w:w="2836"/>
        <w:gridCol w:w="285"/>
        <w:gridCol w:w="849"/>
        <w:gridCol w:w="875"/>
        <w:gridCol w:w="827"/>
        <w:gridCol w:w="851"/>
        <w:gridCol w:w="849"/>
        <w:gridCol w:w="853"/>
        <w:gridCol w:w="847"/>
      </w:tblGrid>
      <w:tr w:rsidR="00485571" w:rsidRPr="00DD531B" w14:paraId="6FA58F67" w14:textId="77777777" w:rsidTr="00485571">
        <w:trPr>
          <w:trHeight w:val="300"/>
        </w:trPr>
        <w:tc>
          <w:tcPr>
            <w:tcW w:w="1563" w:type="pct"/>
            <w:tcBorders>
              <w:top w:val="single" w:sz="4" w:space="0" w:color="auto"/>
              <w:left w:val="nil"/>
              <w:bottom w:val="single" w:sz="4" w:space="0" w:color="auto"/>
              <w:right w:val="nil"/>
            </w:tcBorders>
            <w:shd w:val="clear" w:color="auto" w:fill="auto"/>
            <w:noWrap/>
            <w:vAlign w:val="center"/>
            <w:hideMark/>
          </w:tcPr>
          <w:p w14:paraId="013EACD8" w14:textId="77777777" w:rsidR="00485571" w:rsidRPr="00485571" w:rsidRDefault="00485571" w:rsidP="00DD531B">
            <w:pPr>
              <w:spacing w:after="0" w:line="240" w:lineRule="auto"/>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v tis. eur</w:t>
            </w:r>
          </w:p>
        </w:tc>
        <w:tc>
          <w:tcPr>
            <w:tcW w:w="157" w:type="pct"/>
            <w:tcBorders>
              <w:top w:val="single" w:sz="4" w:space="0" w:color="auto"/>
              <w:left w:val="nil"/>
              <w:bottom w:val="single" w:sz="4" w:space="0" w:color="auto"/>
              <w:right w:val="nil"/>
            </w:tcBorders>
          </w:tcPr>
          <w:p w14:paraId="1C30B5B2" w14:textId="77777777" w:rsidR="00485571" w:rsidRPr="00485571" w:rsidRDefault="00485571" w:rsidP="00485571">
            <w:pPr>
              <w:spacing w:after="0" w:line="240" w:lineRule="auto"/>
              <w:jc w:val="right"/>
              <w:rPr>
                <w:rFonts w:ascii="Times New Roman" w:eastAsia="Times New Roman" w:hAnsi="Times New Roman" w:cs="Times New Roman"/>
                <w:b/>
                <w:bCs/>
                <w:sz w:val="16"/>
                <w:szCs w:val="16"/>
                <w:lang w:eastAsia="sk-SK"/>
              </w:rPr>
            </w:pPr>
          </w:p>
        </w:tc>
        <w:tc>
          <w:tcPr>
            <w:tcW w:w="468" w:type="pct"/>
            <w:tcBorders>
              <w:top w:val="single" w:sz="4" w:space="0" w:color="auto"/>
              <w:left w:val="nil"/>
              <w:bottom w:val="single" w:sz="4" w:space="0" w:color="auto"/>
              <w:right w:val="nil"/>
            </w:tcBorders>
            <w:shd w:val="clear" w:color="auto" w:fill="auto"/>
            <w:noWrap/>
            <w:vAlign w:val="center"/>
            <w:hideMark/>
          </w:tcPr>
          <w:p w14:paraId="5C799164" w14:textId="270F976B" w:rsidR="00485571" w:rsidRPr="00485571" w:rsidRDefault="00485571"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2021 S</w:t>
            </w:r>
          </w:p>
        </w:tc>
        <w:tc>
          <w:tcPr>
            <w:tcW w:w="482" w:type="pct"/>
            <w:tcBorders>
              <w:top w:val="single" w:sz="4" w:space="0" w:color="auto"/>
              <w:left w:val="nil"/>
              <w:bottom w:val="single" w:sz="4" w:space="0" w:color="auto"/>
              <w:right w:val="nil"/>
            </w:tcBorders>
            <w:shd w:val="clear" w:color="auto" w:fill="auto"/>
            <w:noWrap/>
            <w:vAlign w:val="center"/>
            <w:hideMark/>
          </w:tcPr>
          <w:p w14:paraId="3ECB88A3" w14:textId="77777777" w:rsidR="00485571" w:rsidRPr="00485571" w:rsidRDefault="00485571"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2022 S</w:t>
            </w:r>
          </w:p>
        </w:tc>
        <w:tc>
          <w:tcPr>
            <w:tcW w:w="456" w:type="pct"/>
            <w:tcBorders>
              <w:top w:val="single" w:sz="4" w:space="0" w:color="auto"/>
              <w:left w:val="nil"/>
              <w:bottom w:val="single" w:sz="4" w:space="0" w:color="auto"/>
              <w:right w:val="nil"/>
            </w:tcBorders>
            <w:shd w:val="clear" w:color="auto" w:fill="auto"/>
            <w:noWrap/>
            <w:vAlign w:val="center"/>
            <w:hideMark/>
          </w:tcPr>
          <w:p w14:paraId="2145BC52" w14:textId="77777777" w:rsidR="00485571" w:rsidRPr="00485571" w:rsidRDefault="00485571"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2023 R</w:t>
            </w:r>
          </w:p>
        </w:tc>
        <w:tc>
          <w:tcPr>
            <w:tcW w:w="469" w:type="pct"/>
            <w:tcBorders>
              <w:top w:val="single" w:sz="4" w:space="0" w:color="auto"/>
              <w:left w:val="nil"/>
              <w:bottom w:val="single" w:sz="4" w:space="0" w:color="auto"/>
              <w:right w:val="nil"/>
            </w:tcBorders>
            <w:shd w:val="clear" w:color="auto" w:fill="auto"/>
            <w:noWrap/>
            <w:vAlign w:val="center"/>
            <w:hideMark/>
          </w:tcPr>
          <w:p w14:paraId="0B5646DF" w14:textId="77777777" w:rsidR="00485571" w:rsidRPr="00485571" w:rsidRDefault="00485571"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2023 OS</w:t>
            </w:r>
          </w:p>
        </w:tc>
        <w:tc>
          <w:tcPr>
            <w:tcW w:w="468" w:type="pct"/>
            <w:tcBorders>
              <w:top w:val="single" w:sz="4" w:space="0" w:color="auto"/>
              <w:left w:val="nil"/>
              <w:bottom w:val="single" w:sz="4" w:space="0" w:color="auto"/>
              <w:right w:val="nil"/>
            </w:tcBorders>
            <w:shd w:val="clear" w:color="auto" w:fill="auto"/>
            <w:noWrap/>
            <w:vAlign w:val="center"/>
            <w:hideMark/>
          </w:tcPr>
          <w:p w14:paraId="07E98B84" w14:textId="77777777" w:rsidR="00485571" w:rsidRPr="00485571" w:rsidRDefault="00485571"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2024 N</w:t>
            </w:r>
          </w:p>
        </w:tc>
        <w:tc>
          <w:tcPr>
            <w:tcW w:w="470" w:type="pct"/>
            <w:tcBorders>
              <w:top w:val="single" w:sz="4" w:space="0" w:color="auto"/>
              <w:left w:val="nil"/>
              <w:bottom w:val="single" w:sz="4" w:space="0" w:color="auto"/>
              <w:right w:val="nil"/>
            </w:tcBorders>
            <w:shd w:val="clear" w:color="auto" w:fill="auto"/>
            <w:noWrap/>
            <w:vAlign w:val="center"/>
            <w:hideMark/>
          </w:tcPr>
          <w:p w14:paraId="259A0AC4" w14:textId="77777777" w:rsidR="00485571" w:rsidRPr="00485571" w:rsidRDefault="00485571"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2025 N</w:t>
            </w:r>
          </w:p>
        </w:tc>
        <w:tc>
          <w:tcPr>
            <w:tcW w:w="468" w:type="pct"/>
            <w:tcBorders>
              <w:top w:val="single" w:sz="4" w:space="0" w:color="auto"/>
              <w:left w:val="nil"/>
              <w:bottom w:val="single" w:sz="4" w:space="0" w:color="auto"/>
              <w:right w:val="nil"/>
            </w:tcBorders>
            <w:shd w:val="clear" w:color="auto" w:fill="auto"/>
            <w:noWrap/>
            <w:vAlign w:val="center"/>
            <w:hideMark/>
          </w:tcPr>
          <w:p w14:paraId="219BC371" w14:textId="77777777" w:rsidR="00485571" w:rsidRPr="00485571" w:rsidRDefault="00485571"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2026 N</w:t>
            </w:r>
          </w:p>
        </w:tc>
      </w:tr>
      <w:tr w:rsidR="00485571" w:rsidRPr="00DD531B" w14:paraId="5BF46842" w14:textId="77777777" w:rsidTr="00485571">
        <w:trPr>
          <w:trHeight w:val="300"/>
        </w:trPr>
        <w:tc>
          <w:tcPr>
            <w:tcW w:w="1563" w:type="pct"/>
            <w:tcBorders>
              <w:top w:val="nil"/>
              <w:left w:val="nil"/>
              <w:bottom w:val="nil"/>
              <w:right w:val="nil"/>
            </w:tcBorders>
            <w:shd w:val="clear" w:color="auto" w:fill="auto"/>
            <w:noWrap/>
            <w:vAlign w:val="center"/>
            <w:hideMark/>
          </w:tcPr>
          <w:p w14:paraId="3D7B5BF4" w14:textId="77777777" w:rsidR="00485571" w:rsidRPr="00485571" w:rsidRDefault="00485571" w:rsidP="00DD531B">
            <w:pPr>
              <w:spacing w:after="0" w:line="240" w:lineRule="auto"/>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Výdavky kapitoly spolu</w:t>
            </w:r>
          </w:p>
        </w:tc>
        <w:tc>
          <w:tcPr>
            <w:tcW w:w="157" w:type="pct"/>
            <w:tcBorders>
              <w:top w:val="nil"/>
              <w:left w:val="nil"/>
              <w:bottom w:val="nil"/>
              <w:right w:val="nil"/>
            </w:tcBorders>
          </w:tcPr>
          <w:p w14:paraId="75849C78"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p>
        </w:tc>
        <w:tc>
          <w:tcPr>
            <w:tcW w:w="468" w:type="pct"/>
            <w:tcBorders>
              <w:top w:val="nil"/>
              <w:left w:val="nil"/>
              <w:bottom w:val="nil"/>
              <w:right w:val="nil"/>
            </w:tcBorders>
            <w:shd w:val="clear" w:color="auto" w:fill="auto"/>
            <w:noWrap/>
            <w:vAlign w:val="center"/>
            <w:hideMark/>
          </w:tcPr>
          <w:p w14:paraId="40836B18" w14:textId="13B72EA1"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2 291 186</w:t>
            </w:r>
          </w:p>
        </w:tc>
        <w:tc>
          <w:tcPr>
            <w:tcW w:w="482" w:type="pct"/>
            <w:tcBorders>
              <w:top w:val="nil"/>
              <w:left w:val="nil"/>
              <w:bottom w:val="nil"/>
              <w:right w:val="nil"/>
            </w:tcBorders>
            <w:shd w:val="clear" w:color="auto" w:fill="auto"/>
            <w:noWrap/>
            <w:vAlign w:val="center"/>
            <w:hideMark/>
          </w:tcPr>
          <w:p w14:paraId="0CB04E31"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2 228 867</w:t>
            </w:r>
          </w:p>
        </w:tc>
        <w:tc>
          <w:tcPr>
            <w:tcW w:w="456" w:type="pct"/>
            <w:tcBorders>
              <w:top w:val="nil"/>
              <w:left w:val="nil"/>
              <w:bottom w:val="nil"/>
              <w:right w:val="nil"/>
            </w:tcBorders>
            <w:shd w:val="clear" w:color="auto" w:fill="auto"/>
            <w:noWrap/>
            <w:vAlign w:val="center"/>
            <w:hideMark/>
          </w:tcPr>
          <w:p w14:paraId="62B45270"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2 550 276</w:t>
            </w:r>
          </w:p>
        </w:tc>
        <w:tc>
          <w:tcPr>
            <w:tcW w:w="469" w:type="pct"/>
            <w:tcBorders>
              <w:top w:val="nil"/>
              <w:left w:val="nil"/>
              <w:bottom w:val="nil"/>
              <w:right w:val="nil"/>
            </w:tcBorders>
            <w:shd w:val="clear" w:color="auto" w:fill="auto"/>
            <w:noWrap/>
            <w:vAlign w:val="center"/>
            <w:hideMark/>
          </w:tcPr>
          <w:p w14:paraId="3ACB8C12"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2 481 549</w:t>
            </w:r>
          </w:p>
        </w:tc>
        <w:tc>
          <w:tcPr>
            <w:tcW w:w="468" w:type="pct"/>
            <w:tcBorders>
              <w:top w:val="nil"/>
              <w:left w:val="nil"/>
              <w:bottom w:val="nil"/>
              <w:right w:val="nil"/>
            </w:tcBorders>
            <w:shd w:val="clear" w:color="auto" w:fill="auto"/>
            <w:noWrap/>
            <w:vAlign w:val="center"/>
            <w:hideMark/>
          </w:tcPr>
          <w:p w14:paraId="2DC97245"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2 669 180</w:t>
            </w:r>
          </w:p>
        </w:tc>
        <w:tc>
          <w:tcPr>
            <w:tcW w:w="470" w:type="pct"/>
            <w:tcBorders>
              <w:top w:val="nil"/>
              <w:left w:val="nil"/>
              <w:bottom w:val="nil"/>
              <w:right w:val="nil"/>
            </w:tcBorders>
            <w:shd w:val="clear" w:color="auto" w:fill="auto"/>
            <w:noWrap/>
            <w:vAlign w:val="center"/>
            <w:hideMark/>
          </w:tcPr>
          <w:p w14:paraId="243191D7"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2 877 194</w:t>
            </w:r>
          </w:p>
        </w:tc>
        <w:tc>
          <w:tcPr>
            <w:tcW w:w="468" w:type="pct"/>
            <w:tcBorders>
              <w:top w:val="nil"/>
              <w:left w:val="nil"/>
              <w:bottom w:val="nil"/>
              <w:right w:val="nil"/>
            </w:tcBorders>
            <w:shd w:val="clear" w:color="auto" w:fill="auto"/>
            <w:noWrap/>
            <w:vAlign w:val="center"/>
            <w:hideMark/>
          </w:tcPr>
          <w:p w14:paraId="1CB4B79B"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3 267 566</w:t>
            </w:r>
          </w:p>
        </w:tc>
      </w:tr>
      <w:tr w:rsidR="00485571" w:rsidRPr="00DD531B" w14:paraId="10101F5E" w14:textId="77777777" w:rsidTr="00485571">
        <w:trPr>
          <w:trHeight w:val="300"/>
        </w:trPr>
        <w:tc>
          <w:tcPr>
            <w:tcW w:w="1563" w:type="pct"/>
            <w:tcBorders>
              <w:top w:val="nil"/>
              <w:left w:val="nil"/>
              <w:bottom w:val="nil"/>
              <w:right w:val="nil"/>
            </w:tcBorders>
            <w:shd w:val="clear" w:color="auto" w:fill="auto"/>
            <w:noWrap/>
            <w:vAlign w:val="bottom"/>
            <w:hideMark/>
          </w:tcPr>
          <w:p w14:paraId="4A509999" w14:textId="77777777" w:rsidR="00485571" w:rsidRPr="00485571" w:rsidRDefault="00485571" w:rsidP="00DD531B">
            <w:pPr>
              <w:spacing w:after="0" w:line="240" w:lineRule="auto"/>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rozpočtové zdroje kapitoly</w:t>
            </w:r>
          </w:p>
        </w:tc>
        <w:tc>
          <w:tcPr>
            <w:tcW w:w="157" w:type="pct"/>
            <w:tcBorders>
              <w:top w:val="nil"/>
              <w:left w:val="nil"/>
              <w:bottom w:val="nil"/>
              <w:right w:val="nil"/>
            </w:tcBorders>
          </w:tcPr>
          <w:p w14:paraId="1CF965E1"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p>
        </w:tc>
        <w:tc>
          <w:tcPr>
            <w:tcW w:w="468" w:type="pct"/>
            <w:tcBorders>
              <w:top w:val="nil"/>
              <w:left w:val="nil"/>
              <w:bottom w:val="nil"/>
              <w:right w:val="nil"/>
            </w:tcBorders>
            <w:shd w:val="clear" w:color="auto" w:fill="auto"/>
            <w:noWrap/>
            <w:vAlign w:val="bottom"/>
            <w:hideMark/>
          </w:tcPr>
          <w:p w14:paraId="11215275" w14:textId="7B739A75"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2 179 389</w:t>
            </w:r>
          </w:p>
        </w:tc>
        <w:tc>
          <w:tcPr>
            <w:tcW w:w="482" w:type="pct"/>
            <w:tcBorders>
              <w:top w:val="nil"/>
              <w:left w:val="nil"/>
              <w:bottom w:val="nil"/>
              <w:right w:val="nil"/>
            </w:tcBorders>
            <w:shd w:val="clear" w:color="auto" w:fill="auto"/>
            <w:noWrap/>
            <w:vAlign w:val="bottom"/>
            <w:hideMark/>
          </w:tcPr>
          <w:p w14:paraId="46651E1B"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2 208 813</w:t>
            </w:r>
          </w:p>
        </w:tc>
        <w:tc>
          <w:tcPr>
            <w:tcW w:w="456" w:type="pct"/>
            <w:tcBorders>
              <w:top w:val="nil"/>
              <w:left w:val="nil"/>
              <w:bottom w:val="nil"/>
              <w:right w:val="nil"/>
            </w:tcBorders>
            <w:shd w:val="clear" w:color="auto" w:fill="auto"/>
            <w:noWrap/>
            <w:vAlign w:val="bottom"/>
            <w:hideMark/>
          </w:tcPr>
          <w:p w14:paraId="3040D637"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2 098 506</w:t>
            </w:r>
          </w:p>
        </w:tc>
        <w:tc>
          <w:tcPr>
            <w:tcW w:w="469" w:type="pct"/>
            <w:tcBorders>
              <w:top w:val="nil"/>
              <w:left w:val="nil"/>
              <w:bottom w:val="nil"/>
              <w:right w:val="nil"/>
            </w:tcBorders>
            <w:shd w:val="clear" w:color="auto" w:fill="auto"/>
            <w:noWrap/>
            <w:vAlign w:val="bottom"/>
            <w:hideMark/>
          </w:tcPr>
          <w:p w14:paraId="4266BEBE"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2 437 538</w:t>
            </w:r>
          </w:p>
        </w:tc>
        <w:tc>
          <w:tcPr>
            <w:tcW w:w="468" w:type="pct"/>
            <w:tcBorders>
              <w:top w:val="nil"/>
              <w:left w:val="nil"/>
              <w:bottom w:val="nil"/>
              <w:right w:val="nil"/>
            </w:tcBorders>
            <w:shd w:val="clear" w:color="auto" w:fill="auto"/>
            <w:noWrap/>
            <w:vAlign w:val="bottom"/>
            <w:hideMark/>
          </w:tcPr>
          <w:p w14:paraId="7AB052CA"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2 396 312</w:t>
            </w:r>
          </w:p>
        </w:tc>
        <w:tc>
          <w:tcPr>
            <w:tcW w:w="470" w:type="pct"/>
            <w:tcBorders>
              <w:top w:val="nil"/>
              <w:left w:val="nil"/>
              <w:bottom w:val="nil"/>
              <w:right w:val="nil"/>
            </w:tcBorders>
            <w:shd w:val="clear" w:color="auto" w:fill="auto"/>
            <w:noWrap/>
            <w:vAlign w:val="bottom"/>
            <w:hideMark/>
          </w:tcPr>
          <w:p w14:paraId="5965126E"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2 619 944</w:t>
            </w:r>
          </w:p>
        </w:tc>
        <w:tc>
          <w:tcPr>
            <w:tcW w:w="468" w:type="pct"/>
            <w:tcBorders>
              <w:top w:val="nil"/>
              <w:left w:val="nil"/>
              <w:bottom w:val="nil"/>
              <w:right w:val="nil"/>
            </w:tcBorders>
            <w:shd w:val="clear" w:color="auto" w:fill="auto"/>
            <w:noWrap/>
            <w:vAlign w:val="bottom"/>
            <w:hideMark/>
          </w:tcPr>
          <w:p w14:paraId="1580FA54"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3 039 672</w:t>
            </w:r>
          </w:p>
        </w:tc>
      </w:tr>
      <w:tr w:rsidR="00485571" w:rsidRPr="00DD531B" w14:paraId="24A7C119" w14:textId="77777777" w:rsidTr="00485571">
        <w:trPr>
          <w:trHeight w:val="300"/>
        </w:trPr>
        <w:tc>
          <w:tcPr>
            <w:tcW w:w="1563" w:type="pct"/>
            <w:tcBorders>
              <w:top w:val="nil"/>
              <w:left w:val="nil"/>
              <w:bottom w:val="nil"/>
              <w:right w:val="nil"/>
            </w:tcBorders>
            <w:shd w:val="clear" w:color="auto" w:fill="auto"/>
            <w:noWrap/>
            <w:vAlign w:val="bottom"/>
            <w:hideMark/>
          </w:tcPr>
          <w:p w14:paraId="55900B20" w14:textId="77777777" w:rsidR="00485571" w:rsidRPr="00485571" w:rsidRDefault="00485571"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bežné výdavky  600, v tom:</w:t>
            </w:r>
          </w:p>
        </w:tc>
        <w:tc>
          <w:tcPr>
            <w:tcW w:w="157" w:type="pct"/>
            <w:tcBorders>
              <w:top w:val="nil"/>
              <w:left w:val="nil"/>
              <w:bottom w:val="nil"/>
              <w:right w:val="nil"/>
            </w:tcBorders>
          </w:tcPr>
          <w:p w14:paraId="1AE46842"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p>
        </w:tc>
        <w:tc>
          <w:tcPr>
            <w:tcW w:w="468" w:type="pct"/>
            <w:tcBorders>
              <w:top w:val="nil"/>
              <w:left w:val="nil"/>
              <w:bottom w:val="nil"/>
              <w:right w:val="nil"/>
            </w:tcBorders>
            <w:shd w:val="clear" w:color="auto" w:fill="auto"/>
            <w:noWrap/>
            <w:vAlign w:val="bottom"/>
            <w:hideMark/>
          </w:tcPr>
          <w:p w14:paraId="1207AA63" w14:textId="26C62775"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2 103 747</w:t>
            </w:r>
          </w:p>
        </w:tc>
        <w:tc>
          <w:tcPr>
            <w:tcW w:w="482" w:type="pct"/>
            <w:tcBorders>
              <w:top w:val="nil"/>
              <w:left w:val="nil"/>
              <w:bottom w:val="nil"/>
              <w:right w:val="nil"/>
            </w:tcBorders>
            <w:shd w:val="clear" w:color="auto" w:fill="auto"/>
            <w:noWrap/>
            <w:vAlign w:val="bottom"/>
            <w:hideMark/>
          </w:tcPr>
          <w:p w14:paraId="4B2050AF"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2 160 091</w:t>
            </w:r>
          </w:p>
        </w:tc>
        <w:tc>
          <w:tcPr>
            <w:tcW w:w="456" w:type="pct"/>
            <w:tcBorders>
              <w:top w:val="nil"/>
              <w:left w:val="nil"/>
              <w:bottom w:val="nil"/>
              <w:right w:val="nil"/>
            </w:tcBorders>
            <w:shd w:val="clear" w:color="auto" w:fill="auto"/>
            <w:noWrap/>
            <w:vAlign w:val="bottom"/>
            <w:hideMark/>
          </w:tcPr>
          <w:p w14:paraId="31C436AC"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2 098 482</w:t>
            </w:r>
          </w:p>
        </w:tc>
        <w:tc>
          <w:tcPr>
            <w:tcW w:w="469" w:type="pct"/>
            <w:tcBorders>
              <w:top w:val="nil"/>
              <w:left w:val="nil"/>
              <w:bottom w:val="nil"/>
              <w:right w:val="nil"/>
            </w:tcBorders>
            <w:shd w:val="clear" w:color="auto" w:fill="auto"/>
            <w:noWrap/>
            <w:vAlign w:val="bottom"/>
            <w:hideMark/>
          </w:tcPr>
          <w:p w14:paraId="4F7229F1"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2 433 693</w:t>
            </w:r>
          </w:p>
        </w:tc>
        <w:tc>
          <w:tcPr>
            <w:tcW w:w="468" w:type="pct"/>
            <w:tcBorders>
              <w:top w:val="nil"/>
              <w:left w:val="nil"/>
              <w:bottom w:val="nil"/>
              <w:right w:val="nil"/>
            </w:tcBorders>
            <w:shd w:val="clear" w:color="auto" w:fill="auto"/>
            <w:noWrap/>
            <w:vAlign w:val="bottom"/>
            <w:hideMark/>
          </w:tcPr>
          <w:p w14:paraId="69BFEB00"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2 319 808</w:t>
            </w:r>
          </w:p>
        </w:tc>
        <w:tc>
          <w:tcPr>
            <w:tcW w:w="470" w:type="pct"/>
            <w:tcBorders>
              <w:top w:val="nil"/>
              <w:left w:val="nil"/>
              <w:bottom w:val="nil"/>
              <w:right w:val="nil"/>
            </w:tcBorders>
            <w:shd w:val="clear" w:color="auto" w:fill="auto"/>
            <w:noWrap/>
            <w:vAlign w:val="bottom"/>
            <w:hideMark/>
          </w:tcPr>
          <w:p w14:paraId="02A740C9"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2 531 488</w:t>
            </w:r>
          </w:p>
        </w:tc>
        <w:tc>
          <w:tcPr>
            <w:tcW w:w="468" w:type="pct"/>
            <w:tcBorders>
              <w:top w:val="nil"/>
              <w:left w:val="nil"/>
              <w:bottom w:val="nil"/>
              <w:right w:val="nil"/>
            </w:tcBorders>
            <w:shd w:val="clear" w:color="auto" w:fill="auto"/>
            <w:noWrap/>
            <w:vAlign w:val="bottom"/>
            <w:hideMark/>
          </w:tcPr>
          <w:p w14:paraId="656D1411"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2 976 738</w:t>
            </w:r>
          </w:p>
        </w:tc>
      </w:tr>
      <w:tr w:rsidR="00485571" w:rsidRPr="00DD531B" w14:paraId="24D69546" w14:textId="77777777" w:rsidTr="00485571">
        <w:trPr>
          <w:trHeight w:val="300"/>
        </w:trPr>
        <w:tc>
          <w:tcPr>
            <w:tcW w:w="1563" w:type="pct"/>
            <w:tcBorders>
              <w:top w:val="nil"/>
              <w:left w:val="nil"/>
              <w:bottom w:val="nil"/>
              <w:right w:val="nil"/>
            </w:tcBorders>
            <w:shd w:val="clear" w:color="auto" w:fill="auto"/>
            <w:noWrap/>
            <w:vAlign w:val="bottom"/>
            <w:hideMark/>
          </w:tcPr>
          <w:p w14:paraId="52A79C4B" w14:textId="77777777" w:rsidR="00485571" w:rsidRPr="00485571" w:rsidRDefault="00485571"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610 mzdy</w:t>
            </w:r>
          </w:p>
        </w:tc>
        <w:tc>
          <w:tcPr>
            <w:tcW w:w="157" w:type="pct"/>
            <w:tcBorders>
              <w:top w:val="nil"/>
              <w:left w:val="nil"/>
              <w:bottom w:val="nil"/>
              <w:right w:val="nil"/>
            </w:tcBorders>
          </w:tcPr>
          <w:p w14:paraId="2222BF17"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p>
        </w:tc>
        <w:tc>
          <w:tcPr>
            <w:tcW w:w="468" w:type="pct"/>
            <w:tcBorders>
              <w:top w:val="nil"/>
              <w:left w:val="nil"/>
              <w:bottom w:val="nil"/>
              <w:right w:val="nil"/>
            </w:tcBorders>
            <w:shd w:val="clear" w:color="auto" w:fill="auto"/>
            <w:noWrap/>
            <w:vAlign w:val="bottom"/>
            <w:hideMark/>
          </w:tcPr>
          <w:p w14:paraId="0323DCA4" w14:textId="47805AA8"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58 768</w:t>
            </w:r>
          </w:p>
        </w:tc>
        <w:tc>
          <w:tcPr>
            <w:tcW w:w="482" w:type="pct"/>
            <w:tcBorders>
              <w:top w:val="nil"/>
              <w:left w:val="nil"/>
              <w:bottom w:val="nil"/>
              <w:right w:val="nil"/>
            </w:tcBorders>
            <w:shd w:val="clear" w:color="auto" w:fill="auto"/>
            <w:noWrap/>
            <w:vAlign w:val="bottom"/>
            <w:hideMark/>
          </w:tcPr>
          <w:p w14:paraId="11D42891"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58 909</w:t>
            </w:r>
          </w:p>
        </w:tc>
        <w:tc>
          <w:tcPr>
            <w:tcW w:w="456" w:type="pct"/>
            <w:tcBorders>
              <w:top w:val="nil"/>
              <w:left w:val="nil"/>
              <w:bottom w:val="nil"/>
              <w:right w:val="nil"/>
            </w:tcBorders>
            <w:shd w:val="clear" w:color="auto" w:fill="auto"/>
            <w:noWrap/>
            <w:vAlign w:val="bottom"/>
            <w:hideMark/>
          </w:tcPr>
          <w:p w14:paraId="132503DE"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65 853</w:t>
            </w:r>
          </w:p>
        </w:tc>
        <w:tc>
          <w:tcPr>
            <w:tcW w:w="469" w:type="pct"/>
            <w:tcBorders>
              <w:top w:val="nil"/>
              <w:left w:val="nil"/>
              <w:bottom w:val="nil"/>
              <w:right w:val="nil"/>
            </w:tcBorders>
            <w:shd w:val="clear" w:color="auto" w:fill="auto"/>
            <w:noWrap/>
            <w:vAlign w:val="bottom"/>
            <w:hideMark/>
          </w:tcPr>
          <w:p w14:paraId="0E12272E"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69 291</w:t>
            </w:r>
          </w:p>
        </w:tc>
        <w:tc>
          <w:tcPr>
            <w:tcW w:w="468" w:type="pct"/>
            <w:tcBorders>
              <w:top w:val="nil"/>
              <w:left w:val="nil"/>
              <w:bottom w:val="nil"/>
              <w:right w:val="nil"/>
            </w:tcBorders>
            <w:shd w:val="clear" w:color="auto" w:fill="auto"/>
            <w:noWrap/>
            <w:vAlign w:val="bottom"/>
            <w:hideMark/>
          </w:tcPr>
          <w:p w14:paraId="6975C6C8"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69 735</w:t>
            </w:r>
          </w:p>
        </w:tc>
        <w:tc>
          <w:tcPr>
            <w:tcW w:w="470" w:type="pct"/>
            <w:tcBorders>
              <w:top w:val="nil"/>
              <w:left w:val="nil"/>
              <w:bottom w:val="nil"/>
              <w:right w:val="nil"/>
            </w:tcBorders>
            <w:shd w:val="clear" w:color="auto" w:fill="auto"/>
            <w:noWrap/>
            <w:vAlign w:val="bottom"/>
            <w:hideMark/>
          </w:tcPr>
          <w:p w14:paraId="6657D3E6"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69 764</w:t>
            </w:r>
          </w:p>
        </w:tc>
        <w:tc>
          <w:tcPr>
            <w:tcW w:w="468" w:type="pct"/>
            <w:tcBorders>
              <w:top w:val="nil"/>
              <w:left w:val="nil"/>
              <w:bottom w:val="nil"/>
              <w:right w:val="nil"/>
            </w:tcBorders>
            <w:shd w:val="clear" w:color="auto" w:fill="auto"/>
            <w:noWrap/>
            <w:vAlign w:val="bottom"/>
            <w:hideMark/>
          </w:tcPr>
          <w:p w14:paraId="52691850"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69 764</w:t>
            </w:r>
          </w:p>
        </w:tc>
      </w:tr>
      <w:tr w:rsidR="00485571" w:rsidRPr="00DD531B" w14:paraId="37E327E1" w14:textId="77777777" w:rsidTr="00485571">
        <w:trPr>
          <w:trHeight w:val="300"/>
        </w:trPr>
        <w:tc>
          <w:tcPr>
            <w:tcW w:w="1563" w:type="pct"/>
            <w:tcBorders>
              <w:top w:val="nil"/>
              <w:left w:val="nil"/>
              <w:bottom w:val="nil"/>
              <w:right w:val="nil"/>
            </w:tcBorders>
            <w:shd w:val="clear" w:color="auto" w:fill="auto"/>
            <w:noWrap/>
            <w:vAlign w:val="bottom"/>
            <w:hideMark/>
          </w:tcPr>
          <w:p w14:paraId="57295A99" w14:textId="77777777" w:rsidR="00485571" w:rsidRPr="00485571" w:rsidRDefault="00485571"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620 odvody</w:t>
            </w:r>
          </w:p>
        </w:tc>
        <w:tc>
          <w:tcPr>
            <w:tcW w:w="157" w:type="pct"/>
            <w:tcBorders>
              <w:top w:val="nil"/>
              <w:left w:val="nil"/>
              <w:bottom w:val="nil"/>
              <w:right w:val="nil"/>
            </w:tcBorders>
          </w:tcPr>
          <w:p w14:paraId="4FC9ABE3"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p>
        </w:tc>
        <w:tc>
          <w:tcPr>
            <w:tcW w:w="468" w:type="pct"/>
            <w:tcBorders>
              <w:top w:val="nil"/>
              <w:left w:val="nil"/>
              <w:bottom w:val="nil"/>
              <w:right w:val="nil"/>
            </w:tcBorders>
            <w:shd w:val="clear" w:color="auto" w:fill="auto"/>
            <w:noWrap/>
            <w:vAlign w:val="bottom"/>
            <w:hideMark/>
          </w:tcPr>
          <w:p w14:paraId="688573F3" w14:textId="2A09A9F4"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21 000</w:t>
            </w:r>
          </w:p>
        </w:tc>
        <w:tc>
          <w:tcPr>
            <w:tcW w:w="482" w:type="pct"/>
            <w:tcBorders>
              <w:top w:val="nil"/>
              <w:left w:val="nil"/>
              <w:bottom w:val="nil"/>
              <w:right w:val="nil"/>
            </w:tcBorders>
            <w:shd w:val="clear" w:color="auto" w:fill="auto"/>
            <w:noWrap/>
            <w:vAlign w:val="bottom"/>
            <w:hideMark/>
          </w:tcPr>
          <w:p w14:paraId="62BE1F58"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21 167</w:t>
            </w:r>
          </w:p>
        </w:tc>
        <w:tc>
          <w:tcPr>
            <w:tcW w:w="456" w:type="pct"/>
            <w:tcBorders>
              <w:top w:val="nil"/>
              <w:left w:val="nil"/>
              <w:bottom w:val="nil"/>
              <w:right w:val="nil"/>
            </w:tcBorders>
            <w:shd w:val="clear" w:color="auto" w:fill="auto"/>
            <w:noWrap/>
            <w:vAlign w:val="bottom"/>
            <w:hideMark/>
          </w:tcPr>
          <w:p w14:paraId="32C56CA7"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23 591</w:t>
            </w:r>
          </w:p>
        </w:tc>
        <w:tc>
          <w:tcPr>
            <w:tcW w:w="469" w:type="pct"/>
            <w:tcBorders>
              <w:top w:val="nil"/>
              <w:left w:val="nil"/>
              <w:bottom w:val="nil"/>
              <w:right w:val="nil"/>
            </w:tcBorders>
            <w:shd w:val="clear" w:color="auto" w:fill="auto"/>
            <w:noWrap/>
            <w:vAlign w:val="bottom"/>
            <w:hideMark/>
          </w:tcPr>
          <w:p w14:paraId="5AE61BE8"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24 746</w:t>
            </w:r>
          </w:p>
        </w:tc>
        <w:tc>
          <w:tcPr>
            <w:tcW w:w="468" w:type="pct"/>
            <w:tcBorders>
              <w:top w:val="nil"/>
              <w:left w:val="nil"/>
              <w:bottom w:val="nil"/>
              <w:right w:val="nil"/>
            </w:tcBorders>
            <w:shd w:val="clear" w:color="auto" w:fill="auto"/>
            <w:noWrap/>
            <w:vAlign w:val="bottom"/>
            <w:hideMark/>
          </w:tcPr>
          <w:p w14:paraId="48C979EF"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25 298</w:t>
            </w:r>
          </w:p>
        </w:tc>
        <w:tc>
          <w:tcPr>
            <w:tcW w:w="470" w:type="pct"/>
            <w:tcBorders>
              <w:top w:val="nil"/>
              <w:left w:val="nil"/>
              <w:bottom w:val="nil"/>
              <w:right w:val="nil"/>
            </w:tcBorders>
            <w:shd w:val="clear" w:color="auto" w:fill="auto"/>
            <w:noWrap/>
            <w:vAlign w:val="bottom"/>
            <w:hideMark/>
          </w:tcPr>
          <w:p w14:paraId="745799D1"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24 959</w:t>
            </w:r>
          </w:p>
        </w:tc>
        <w:tc>
          <w:tcPr>
            <w:tcW w:w="468" w:type="pct"/>
            <w:tcBorders>
              <w:top w:val="nil"/>
              <w:left w:val="nil"/>
              <w:bottom w:val="nil"/>
              <w:right w:val="nil"/>
            </w:tcBorders>
            <w:shd w:val="clear" w:color="auto" w:fill="auto"/>
            <w:noWrap/>
            <w:vAlign w:val="bottom"/>
            <w:hideMark/>
          </w:tcPr>
          <w:p w14:paraId="5FB4D884"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24 959</w:t>
            </w:r>
          </w:p>
        </w:tc>
      </w:tr>
      <w:tr w:rsidR="00485571" w:rsidRPr="00DD531B" w14:paraId="4BB59E2C" w14:textId="77777777" w:rsidTr="00485571">
        <w:trPr>
          <w:trHeight w:val="300"/>
        </w:trPr>
        <w:tc>
          <w:tcPr>
            <w:tcW w:w="1563" w:type="pct"/>
            <w:tcBorders>
              <w:top w:val="nil"/>
              <w:left w:val="nil"/>
              <w:bottom w:val="nil"/>
              <w:right w:val="nil"/>
            </w:tcBorders>
            <w:shd w:val="clear" w:color="auto" w:fill="auto"/>
            <w:noWrap/>
            <w:vAlign w:val="bottom"/>
            <w:hideMark/>
          </w:tcPr>
          <w:p w14:paraId="207DBA1B" w14:textId="77777777" w:rsidR="00485571" w:rsidRPr="00485571" w:rsidRDefault="00485571"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630 tovary a služby</w:t>
            </w:r>
          </w:p>
        </w:tc>
        <w:tc>
          <w:tcPr>
            <w:tcW w:w="157" w:type="pct"/>
            <w:tcBorders>
              <w:top w:val="nil"/>
              <w:left w:val="nil"/>
              <w:bottom w:val="nil"/>
              <w:right w:val="nil"/>
            </w:tcBorders>
          </w:tcPr>
          <w:p w14:paraId="1094C963"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p>
        </w:tc>
        <w:tc>
          <w:tcPr>
            <w:tcW w:w="468" w:type="pct"/>
            <w:tcBorders>
              <w:top w:val="nil"/>
              <w:left w:val="nil"/>
              <w:bottom w:val="nil"/>
              <w:right w:val="nil"/>
            </w:tcBorders>
            <w:shd w:val="clear" w:color="auto" w:fill="auto"/>
            <w:noWrap/>
            <w:vAlign w:val="bottom"/>
            <w:hideMark/>
          </w:tcPr>
          <w:p w14:paraId="12596FB5" w14:textId="06D410CA"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279 813</w:t>
            </w:r>
          </w:p>
        </w:tc>
        <w:tc>
          <w:tcPr>
            <w:tcW w:w="482" w:type="pct"/>
            <w:tcBorders>
              <w:top w:val="nil"/>
              <w:left w:val="nil"/>
              <w:bottom w:val="nil"/>
              <w:right w:val="nil"/>
            </w:tcBorders>
            <w:shd w:val="clear" w:color="auto" w:fill="auto"/>
            <w:noWrap/>
            <w:vAlign w:val="bottom"/>
            <w:hideMark/>
          </w:tcPr>
          <w:p w14:paraId="0C1F3AB0"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307 875</w:t>
            </w:r>
          </w:p>
        </w:tc>
        <w:tc>
          <w:tcPr>
            <w:tcW w:w="456" w:type="pct"/>
            <w:tcBorders>
              <w:top w:val="nil"/>
              <w:left w:val="nil"/>
              <w:bottom w:val="nil"/>
              <w:right w:val="nil"/>
            </w:tcBorders>
            <w:shd w:val="clear" w:color="auto" w:fill="auto"/>
            <w:noWrap/>
            <w:vAlign w:val="bottom"/>
            <w:hideMark/>
          </w:tcPr>
          <w:p w14:paraId="251B33CD"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329 216</w:t>
            </w:r>
          </w:p>
        </w:tc>
        <w:tc>
          <w:tcPr>
            <w:tcW w:w="469" w:type="pct"/>
            <w:tcBorders>
              <w:top w:val="nil"/>
              <w:left w:val="nil"/>
              <w:bottom w:val="nil"/>
              <w:right w:val="nil"/>
            </w:tcBorders>
            <w:shd w:val="clear" w:color="auto" w:fill="auto"/>
            <w:noWrap/>
            <w:vAlign w:val="bottom"/>
            <w:hideMark/>
          </w:tcPr>
          <w:p w14:paraId="1F9F0C5A"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178 216</w:t>
            </w:r>
          </w:p>
        </w:tc>
        <w:tc>
          <w:tcPr>
            <w:tcW w:w="468" w:type="pct"/>
            <w:tcBorders>
              <w:top w:val="nil"/>
              <w:left w:val="nil"/>
              <w:bottom w:val="nil"/>
              <w:right w:val="nil"/>
            </w:tcBorders>
            <w:shd w:val="clear" w:color="auto" w:fill="auto"/>
            <w:noWrap/>
            <w:vAlign w:val="bottom"/>
            <w:hideMark/>
          </w:tcPr>
          <w:p w14:paraId="33A99A1C"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31 396</w:t>
            </w:r>
          </w:p>
        </w:tc>
        <w:tc>
          <w:tcPr>
            <w:tcW w:w="470" w:type="pct"/>
            <w:tcBorders>
              <w:top w:val="nil"/>
              <w:left w:val="nil"/>
              <w:bottom w:val="nil"/>
              <w:right w:val="nil"/>
            </w:tcBorders>
            <w:shd w:val="clear" w:color="auto" w:fill="auto"/>
            <w:noWrap/>
            <w:vAlign w:val="bottom"/>
            <w:hideMark/>
          </w:tcPr>
          <w:p w14:paraId="0C89ED9B"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31 660</w:t>
            </w:r>
          </w:p>
        </w:tc>
        <w:tc>
          <w:tcPr>
            <w:tcW w:w="468" w:type="pct"/>
            <w:tcBorders>
              <w:top w:val="nil"/>
              <w:left w:val="nil"/>
              <w:bottom w:val="nil"/>
              <w:right w:val="nil"/>
            </w:tcBorders>
            <w:shd w:val="clear" w:color="auto" w:fill="auto"/>
            <w:noWrap/>
            <w:vAlign w:val="bottom"/>
            <w:hideMark/>
          </w:tcPr>
          <w:p w14:paraId="226D0716"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31 660</w:t>
            </w:r>
          </w:p>
        </w:tc>
      </w:tr>
      <w:tr w:rsidR="00485571" w:rsidRPr="00DD531B" w14:paraId="4BF1424D" w14:textId="77777777" w:rsidTr="00485571">
        <w:trPr>
          <w:trHeight w:val="300"/>
        </w:trPr>
        <w:tc>
          <w:tcPr>
            <w:tcW w:w="1563" w:type="pct"/>
            <w:tcBorders>
              <w:top w:val="nil"/>
              <w:left w:val="nil"/>
              <w:bottom w:val="nil"/>
              <w:right w:val="nil"/>
            </w:tcBorders>
            <w:shd w:val="clear" w:color="auto" w:fill="auto"/>
            <w:noWrap/>
            <w:vAlign w:val="bottom"/>
            <w:hideMark/>
          </w:tcPr>
          <w:p w14:paraId="1181ED42" w14:textId="77777777" w:rsidR="00485571" w:rsidRPr="00485571" w:rsidRDefault="00485571"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640 bežné transfery</w:t>
            </w:r>
          </w:p>
        </w:tc>
        <w:tc>
          <w:tcPr>
            <w:tcW w:w="157" w:type="pct"/>
            <w:tcBorders>
              <w:top w:val="nil"/>
              <w:left w:val="nil"/>
              <w:bottom w:val="nil"/>
              <w:right w:val="nil"/>
            </w:tcBorders>
          </w:tcPr>
          <w:p w14:paraId="5F0192D7"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p>
        </w:tc>
        <w:tc>
          <w:tcPr>
            <w:tcW w:w="468" w:type="pct"/>
            <w:tcBorders>
              <w:top w:val="nil"/>
              <w:left w:val="nil"/>
              <w:bottom w:val="nil"/>
              <w:right w:val="nil"/>
            </w:tcBorders>
            <w:shd w:val="clear" w:color="auto" w:fill="auto"/>
            <w:noWrap/>
            <w:vAlign w:val="bottom"/>
            <w:hideMark/>
          </w:tcPr>
          <w:p w14:paraId="4077A656" w14:textId="36FE90B0"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1 744 166</w:t>
            </w:r>
          </w:p>
        </w:tc>
        <w:tc>
          <w:tcPr>
            <w:tcW w:w="482" w:type="pct"/>
            <w:tcBorders>
              <w:top w:val="nil"/>
              <w:left w:val="nil"/>
              <w:bottom w:val="nil"/>
              <w:right w:val="nil"/>
            </w:tcBorders>
            <w:shd w:val="clear" w:color="auto" w:fill="auto"/>
            <w:noWrap/>
            <w:vAlign w:val="bottom"/>
            <w:hideMark/>
          </w:tcPr>
          <w:p w14:paraId="49351545"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1 772 139</w:t>
            </w:r>
          </w:p>
        </w:tc>
        <w:tc>
          <w:tcPr>
            <w:tcW w:w="456" w:type="pct"/>
            <w:tcBorders>
              <w:top w:val="nil"/>
              <w:left w:val="nil"/>
              <w:bottom w:val="nil"/>
              <w:right w:val="nil"/>
            </w:tcBorders>
            <w:shd w:val="clear" w:color="auto" w:fill="auto"/>
            <w:noWrap/>
            <w:vAlign w:val="bottom"/>
            <w:hideMark/>
          </w:tcPr>
          <w:p w14:paraId="147DE4B7"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1 679 821</w:t>
            </w:r>
          </w:p>
        </w:tc>
        <w:tc>
          <w:tcPr>
            <w:tcW w:w="469" w:type="pct"/>
            <w:tcBorders>
              <w:top w:val="nil"/>
              <w:left w:val="nil"/>
              <w:bottom w:val="nil"/>
              <w:right w:val="nil"/>
            </w:tcBorders>
            <w:shd w:val="clear" w:color="auto" w:fill="auto"/>
            <w:noWrap/>
            <w:vAlign w:val="bottom"/>
            <w:hideMark/>
          </w:tcPr>
          <w:p w14:paraId="3CBC027E"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2 161 440</w:t>
            </w:r>
          </w:p>
        </w:tc>
        <w:tc>
          <w:tcPr>
            <w:tcW w:w="468" w:type="pct"/>
            <w:tcBorders>
              <w:top w:val="nil"/>
              <w:left w:val="nil"/>
              <w:bottom w:val="nil"/>
              <w:right w:val="nil"/>
            </w:tcBorders>
            <w:shd w:val="clear" w:color="auto" w:fill="auto"/>
            <w:noWrap/>
            <w:vAlign w:val="bottom"/>
            <w:hideMark/>
          </w:tcPr>
          <w:p w14:paraId="13B87697"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2 193 378</w:t>
            </w:r>
          </w:p>
        </w:tc>
        <w:tc>
          <w:tcPr>
            <w:tcW w:w="470" w:type="pct"/>
            <w:tcBorders>
              <w:top w:val="nil"/>
              <w:left w:val="nil"/>
              <w:bottom w:val="nil"/>
              <w:right w:val="nil"/>
            </w:tcBorders>
            <w:shd w:val="clear" w:color="auto" w:fill="auto"/>
            <w:noWrap/>
            <w:vAlign w:val="bottom"/>
            <w:hideMark/>
          </w:tcPr>
          <w:p w14:paraId="26AA3807"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2 405 105</w:t>
            </w:r>
          </w:p>
        </w:tc>
        <w:tc>
          <w:tcPr>
            <w:tcW w:w="468" w:type="pct"/>
            <w:tcBorders>
              <w:top w:val="nil"/>
              <w:left w:val="nil"/>
              <w:bottom w:val="nil"/>
              <w:right w:val="nil"/>
            </w:tcBorders>
            <w:shd w:val="clear" w:color="auto" w:fill="auto"/>
            <w:noWrap/>
            <w:vAlign w:val="bottom"/>
            <w:hideMark/>
          </w:tcPr>
          <w:p w14:paraId="6B342EB8"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2 850 355</w:t>
            </w:r>
          </w:p>
        </w:tc>
      </w:tr>
      <w:tr w:rsidR="00485571" w:rsidRPr="00DD531B" w14:paraId="01E9D501" w14:textId="77777777" w:rsidTr="00485571">
        <w:trPr>
          <w:trHeight w:val="300"/>
        </w:trPr>
        <w:tc>
          <w:tcPr>
            <w:tcW w:w="1563" w:type="pct"/>
            <w:tcBorders>
              <w:top w:val="nil"/>
              <w:left w:val="nil"/>
              <w:bottom w:val="nil"/>
              <w:right w:val="nil"/>
            </w:tcBorders>
            <w:shd w:val="clear" w:color="auto" w:fill="auto"/>
            <w:noWrap/>
            <w:vAlign w:val="bottom"/>
            <w:hideMark/>
          </w:tcPr>
          <w:p w14:paraId="01896EC0" w14:textId="77777777" w:rsidR="00485571" w:rsidRPr="00485571" w:rsidRDefault="00485571"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kapitálové výdavky 700</w:t>
            </w:r>
          </w:p>
        </w:tc>
        <w:tc>
          <w:tcPr>
            <w:tcW w:w="157" w:type="pct"/>
            <w:tcBorders>
              <w:top w:val="nil"/>
              <w:left w:val="nil"/>
              <w:bottom w:val="nil"/>
              <w:right w:val="nil"/>
            </w:tcBorders>
          </w:tcPr>
          <w:p w14:paraId="5E82B1E3"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p>
        </w:tc>
        <w:tc>
          <w:tcPr>
            <w:tcW w:w="468" w:type="pct"/>
            <w:tcBorders>
              <w:top w:val="nil"/>
              <w:left w:val="nil"/>
              <w:bottom w:val="nil"/>
              <w:right w:val="nil"/>
            </w:tcBorders>
            <w:shd w:val="clear" w:color="auto" w:fill="auto"/>
            <w:noWrap/>
            <w:vAlign w:val="bottom"/>
            <w:hideMark/>
          </w:tcPr>
          <w:p w14:paraId="106A6903" w14:textId="5A6B3951"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75 642</w:t>
            </w:r>
          </w:p>
        </w:tc>
        <w:tc>
          <w:tcPr>
            <w:tcW w:w="482" w:type="pct"/>
            <w:tcBorders>
              <w:top w:val="nil"/>
              <w:left w:val="nil"/>
              <w:bottom w:val="nil"/>
              <w:right w:val="nil"/>
            </w:tcBorders>
            <w:shd w:val="clear" w:color="auto" w:fill="auto"/>
            <w:noWrap/>
            <w:vAlign w:val="bottom"/>
            <w:hideMark/>
          </w:tcPr>
          <w:p w14:paraId="5D4B407A"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48 722</w:t>
            </w:r>
          </w:p>
        </w:tc>
        <w:tc>
          <w:tcPr>
            <w:tcW w:w="456" w:type="pct"/>
            <w:tcBorders>
              <w:top w:val="nil"/>
              <w:left w:val="nil"/>
              <w:bottom w:val="nil"/>
              <w:right w:val="nil"/>
            </w:tcBorders>
            <w:shd w:val="clear" w:color="auto" w:fill="auto"/>
            <w:noWrap/>
            <w:vAlign w:val="bottom"/>
            <w:hideMark/>
          </w:tcPr>
          <w:p w14:paraId="2AF569FE"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24</w:t>
            </w:r>
          </w:p>
        </w:tc>
        <w:tc>
          <w:tcPr>
            <w:tcW w:w="469" w:type="pct"/>
            <w:tcBorders>
              <w:top w:val="nil"/>
              <w:left w:val="nil"/>
              <w:bottom w:val="nil"/>
              <w:right w:val="nil"/>
            </w:tcBorders>
            <w:shd w:val="clear" w:color="auto" w:fill="auto"/>
            <w:noWrap/>
            <w:vAlign w:val="bottom"/>
            <w:hideMark/>
          </w:tcPr>
          <w:p w14:paraId="23EFF304"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3 845</w:t>
            </w:r>
          </w:p>
        </w:tc>
        <w:tc>
          <w:tcPr>
            <w:tcW w:w="468" w:type="pct"/>
            <w:tcBorders>
              <w:top w:val="nil"/>
              <w:left w:val="nil"/>
              <w:bottom w:val="nil"/>
              <w:right w:val="nil"/>
            </w:tcBorders>
            <w:shd w:val="clear" w:color="auto" w:fill="auto"/>
            <w:noWrap/>
            <w:vAlign w:val="bottom"/>
            <w:hideMark/>
          </w:tcPr>
          <w:p w14:paraId="474AADB4"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76 504</w:t>
            </w:r>
          </w:p>
        </w:tc>
        <w:tc>
          <w:tcPr>
            <w:tcW w:w="470" w:type="pct"/>
            <w:tcBorders>
              <w:top w:val="nil"/>
              <w:left w:val="nil"/>
              <w:bottom w:val="nil"/>
              <w:right w:val="nil"/>
            </w:tcBorders>
            <w:shd w:val="clear" w:color="auto" w:fill="auto"/>
            <w:noWrap/>
            <w:vAlign w:val="bottom"/>
            <w:hideMark/>
          </w:tcPr>
          <w:p w14:paraId="16F6B6A6"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88 456</w:t>
            </w:r>
          </w:p>
        </w:tc>
        <w:tc>
          <w:tcPr>
            <w:tcW w:w="468" w:type="pct"/>
            <w:tcBorders>
              <w:top w:val="nil"/>
              <w:left w:val="nil"/>
              <w:bottom w:val="nil"/>
              <w:right w:val="nil"/>
            </w:tcBorders>
            <w:shd w:val="clear" w:color="auto" w:fill="auto"/>
            <w:noWrap/>
            <w:vAlign w:val="bottom"/>
            <w:hideMark/>
          </w:tcPr>
          <w:p w14:paraId="11C9B322"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62 934</w:t>
            </w:r>
          </w:p>
        </w:tc>
      </w:tr>
      <w:tr w:rsidR="00485571" w:rsidRPr="00DD531B" w14:paraId="591846D7" w14:textId="77777777" w:rsidTr="00485571">
        <w:trPr>
          <w:trHeight w:val="300"/>
        </w:trPr>
        <w:tc>
          <w:tcPr>
            <w:tcW w:w="1563" w:type="pct"/>
            <w:tcBorders>
              <w:top w:val="nil"/>
              <w:left w:val="nil"/>
              <w:bottom w:val="nil"/>
              <w:right w:val="nil"/>
            </w:tcBorders>
            <w:shd w:val="clear" w:color="auto" w:fill="auto"/>
            <w:noWrap/>
            <w:vAlign w:val="bottom"/>
            <w:hideMark/>
          </w:tcPr>
          <w:p w14:paraId="029D3CF1" w14:textId="77777777" w:rsidR="00485571" w:rsidRPr="00485571" w:rsidRDefault="00485571" w:rsidP="00DD531B">
            <w:pPr>
              <w:spacing w:after="0" w:line="240" w:lineRule="auto"/>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zdroj EÚ vrátane spolufinancovania zo ŠR, v tom:</w:t>
            </w:r>
          </w:p>
        </w:tc>
        <w:tc>
          <w:tcPr>
            <w:tcW w:w="157" w:type="pct"/>
            <w:tcBorders>
              <w:top w:val="nil"/>
              <w:left w:val="nil"/>
              <w:bottom w:val="nil"/>
              <w:right w:val="nil"/>
            </w:tcBorders>
          </w:tcPr>
          <w:p w14:paraId="356AA6D0"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p>
        </w:tc>
        <w:tc>
          <w:tcPr>
            <w:tcW w:w="468" w:type="pct"/>
            <w:tcBorders>
              <w:top w:val="nil"/>
              <w:left w:val="nil"/>
              <w:bottom w:val="nil"/>
              <w:right w:val="nil"/>
            </w:tcBorders>
            <w:shd w:val="clear" w:color="auto" w:fill="auto"/>
            <w:noWrap/>
            <w:vAlign w:val="bottom"/>
            <w:hideMark/>
          </w:tcPr>
          <w:p w14:paraId="65379828" w14:textId="56EF4D05"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98 087</w:t>
            </w:r>
          </w:p>
        </w:tc>
        <w:tc>
          <w:tcPr>
            <w:tcW w:w="482" w:type="pct"/>
            <w:tcBorders>
              <w:top w:val="nil"/>
              <w:left w:val="nil"/>
              <w:bottom w:val="nil"/>
              <w:right w:val="nil"/>
            </w:tcBorders>
            <w:shd w:val="clear" w:color="auto" w:fill="auto"/>
            <w:noWrap/>
            <w:vAlign w:val="bottom"/>
            <w:hideMark/>
          </w:tcPr>
          <w:p w14:paraId="20D5269F"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7 490</w:t>
            </w:r>
          </w:p>
        </w:tc>
        <w:tc>
          <w:tcPr>
            <w:tcW w:w="456" w:type="pct"/>
            <w:tcBorders>
              <w:top w:val="nil"/>
              <w:left w:val="nil"/>
              <w:bottom w:val="nil"/>
              <w:right w:val="nil"/>
            </w:tcBorders>
            <w:shd w:val="clear" w:color="auto" w:fill="auto"/>
            <w:noWrap/>
            <w:vAlign w:val="bottom"/>
            <w:hideMark/>
          </w:tcPr>
          <w:p w14:paraId="2C3769C5"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469" w:type="pct"/>
            <w:tcBorders>
              <w:top w:val="nil"/>
              <w:left w:val="nil"/>
              <w:bottom w:val="nil"/>
              <w:right w:val="nil"/>
            </w:tcBorders>
            <w:shd w:val="clear" w:color="auto" w:fill="auto"/>
            <w:noWrap/>
            <w:vAlign w:val="bottom"/>
            <w:hideMark/>
          </w:tcPr>
          <w:p w14:paraId="64E17365"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18 529</w:t>
            </w:r>
          </w:p>
        </w:tc>
        <w:tc>
          <w:tcPr>
            <w:tcW w:w="468" w:type="pct"/>
            <w:tcBorders>
              <w:top w:val="nil"/>
              <w:left w:val="nil"/>
              <w:bottom w:val="nil"/>
              <w:right w:val="nil"/>
            </w:tcBorders>
            <w:shd w:val="clear" w:color="auto" w:fill="auto"/>
            <w:noWrap/>
            <w:vAlign w:val="bottom"/>
            <w:hideMark/>
          </w:tcPr>
          <w:p w14:paraId="3814D8D0"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470" w:type="pct"/>
            <w:tcBorders>
              <w:top w:val="nil"/>
              <w:left w:val="nil"/>
              <w:bottom w:val="nil"/>
              <w:right w:val="nil"/>
            </w:tcBorders>
            <w:shd w:val="clear" w:color="auto" w:fill="auto"/>
            <w:noWrap/>
            <w:vAlign w:val="bottom"/>
            <w:hideMark/>
          </w:tcPr>
          <w:p w14:paraId="12CE655A"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468" w:type="pct"/>
            <w:tcBorders>
              <w:top w:val="nil"/>
              <w:left w:val="nil"/>
              <w:bottom w:val="nil"/>
              <w:right w:val="nil"/>
            </w:tcBorders>
            <w:shd w:val="clear" w:color="auto" w:fill="auto"/>
            <w:noWrap/>
            <w:vAlign w:val="bottom"/>
            <w:hideMark/>
          </w:tcPr>
          <w:p w14:paraId="1312F39B"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r>
      <w:tr w:rsidR="00485571" w:rsidRPr="00DD531B" w14:paraId="6C95FCDB" w14:textId="77777777" w:rsidTr="00485571">
        <w:trPr>
          <w:trHeight w:val="300"/>
        </w:trPr>
        <w:tc>
          <w:tcPr>
            <w:tcW w:w="1563" w:type="pct"/>
            <w:tcBorders>
              <w:top w:val="nil"/>
              <w:left w:val="nil"/>
              <w:bottom w:val="nil"/>
              <w:right w:val="nil"/>
            </w:tcBorders>
            <w:shd w:val="clear" w:color="auto" w:fill="auto"/>
            <w:noWrap/>
            <w:vAlign w:val="bottom"/>
            <w:hideMark/>
          </w:tcPr>
          <w:p w14:paraId="13629587" w14:textId="77777777" w:rsidR="00485571" w:rsidRPr="00485571" w:rsidRDefault="00485571"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prostriedky EÚ</w:t>
            </w:r>
          </w:p>
        </w:tc>
        <w:tc>
          <w:tcPr>
            <w:tcW w:w="157" w:type="pct"/>
            <w:tcBorders>
              <w:top w:val="nil"/>
              <w:left w:val="nil"/>
              <w:bottom w:val="nil"/>
              <w:right w:val="nil"/>
            </w:tcBorders>
          </w:tcPr>
          <w:p w14:paraId="081CFF5F"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p>
        </w:tc>
        <w:tc>
          <w:tcPr>
            <w:tcW w:w="468" w:type="pct"/>
            <w:tcBorders>
              <w:top w:val="nil"/>
              <w:left w:val="nil"/>
              <w:bottom w:val="nil"/>
              <w:right w:val="nil"/>
            </w:tcBorders>
            <w:shd w:val="clear" w:color="auto" w:fill="auto"/>
            <w:noWrap/>
            <w:vAlign w:val="bottom"/>
            <w:hideMark/>
          </w:tcPr>
          <w:p w14:paraId="480F1357" w14:textId="578E45EA"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86 368</w:t>
            </w:r>
          </w:p>
        </w:tc>
        <w:tc>
          <w:tcPr>
            <w:tcW w:w="482" w:type="pct"/>
            <w:tcBorders>
              <w:top w:val="nil"/>
              <w:left w:val="nil"/>
              <w:bottom w:val="nil"/>
              <w:right w:val="nil"/>
            </w:tcBorders>
            <w:shd w:val="clear" w:color="auto" w:fill="auto"/>
            <w:noWrap/>
            <w:vAlign w:val="bottom"/>
            <w:hideMark/>
          </w:tcPr>
          <w:p w14:paraId="0565CC66"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5 594</w:t>
            </w:r>
          </w:p>
        </w:tc>
        <w:tc>
          <w:tcPr>
            <w:tcW w:w="456" w:type="pct"/>
            <w:tcBorders>
              <w:top w:val="nil"/>
              <w:left w:val="nil"/>
              <w:bottom w:val="nil"/>
              <w:right w:val="nil"/>
            </w:tcBorders>
            <w:shd w:val="clear" w:color="auto" w:fill="auto"/>
            <w:noWrap/>
            <w:vAlign w:val="bottom"/>
            <w:hideMark/>
          </w:tcPr>
          <w:p w14:paraId="2D5F05BA"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69" w:type="pct"/>
            <w:tcBorders>
              <w:top w:val="nil"/>
              <w:left w:val="nil"/>
              <w:bottom w:val="nil"/>
              <w:right w:val="nil"/>
            </w:tcBorders>
            <w:shd w:val="clear" w:color="auto" w:fill="auto"/>
            <w:noWrap/>
            <w:vAlign w:val="bottom"/>
            <w:hideMark/>
          </w:tcPr>
          <w:p w14:paraId="316B6B8A"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15 476</w:t>
            </w:r>
          </w:p>
        </w:tc>
        <w:tc>
          <w:tcPr>
            <w:tcW w:w="468" w:type="pct"/>
            <w:tcBorders>
              <w:top w:val="nil"/>
              <w:left w:val="nil"/>
              <w:bottom w:val="nil"/>
              <w:right w:val="nil"/>
            </w:tcBorders>
            <w:shd w:val="clear" w:color="auto" w:fill="auto"/>
            <w:noWrap/>
            <w:vAlign w:val="bottom"/>
            <w:hideMark/>
          </w:tcPr>
          <w:p w14:paraId="0109651A"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70" w:type="pct"/>
            <w:tcBorders>
              <w:top w:val="nil"/>
              <w:left w:val="nil"/>
              <w:bottom w:val="nil"/>
              <w:right w:val="nil"/>
            </w:tcBorders>
            <w:shd w:val="clear" w:color="auto" w:fill="auto"/>
            <w:noWrap/>
            <w:vAlign w:val="bottom"/>
            <w:hideMark/>
          </w:tcPr>
          <w:p w14:paraId="6078535C"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0322E41E"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r>
      <w:tr w:rsidR="00485571" w:rsidRPr="00DD531B" w14:paraId="6F0A6090" w14:textId="77777777" w:rsidTr="00485571">
        <w:trPr>
          <w:trHeight w:val="300"/>
        </w:trPr>
        <w:tc>
          <w:tcPr>
            <w:tcW w:w="1563" w:type="pct"/>
            <w:tcBorders>
              <w:top w:val="nil"/>
              <w:left w:val="nil"/>
              <w:bottom w:val="nil"/>
              <w:right w:val="nil"/>
            </w:tcBorders>
            <w:shd w:val="clear" w:color="auto" w:fill="auto"/>
            <w:noWrap/>
            <w:vAlign w:val="bottom"/>
            <w:hideMark/>
          </w:tcPr>
          <w:p w14:paraId="511252F9" w14:textId="77777777" w:rsidR="00485571" w:rsidRPr="00485571" w:rsidRDefault="00485571"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spolufinancovanie zo ŠR</w:t>
            </w:r>
          </w:p>
        </w:tc>
        <w:tc>
          <w:tcPr>
            <w:tcW w:w="157" w:type="pct"/>
            <w:tcBorders>
              <w:top w:val="nil"/>
              <w:left w:val="nil"/>
              <w:bottom w:val="nil"/>
              <w:right w:val="nil"/>
            </w:tcBorders>
          </w:tcPr>
          <w:p w14:paraId="7D59F01C"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p>
        </w:tc>
        <w:tc>
          <w:tcPr>
            <w:tcW w:w="468" w:type="pct"/>
            <w:tcBorders>
              <w:top w:val="nil"/>
              <w:left w:val="nil"/>
              <w:bottom w:val="nil"/>
              <w:right w:val="nil"/>
            </w:tcBorders>
            <w:shd w:val="clear" w:color="auto" w:fill="auto"/>
            <w:noWrap/>
            <w:vAlign w:val="bottom"/>
            <w:hideMark/>
          </w:tcPr>
          <w:p w14:paraId="4705FD23" w14:textId="5B7D9F6D"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11 719</w:t>
            </w:r>
          </w:p>
        </w:tc>
        <w:tc>
          <w:tcPr>
            <w:tcW w:w="482" w:type="pct"/>
            <w:tcBorders>
              <w:top w:val="nil"/>
              <w:left w:val="nil"/>
              <w:bottom w:val="nil"/>
              <w:right w:val="nil"/>
            </w:tcBorders>
            <w:shd w:val="clear" w:color="auto" w:fill="auto"/>
            <w:noWrap/>
            <w:vAlign w:val="bottom"/>
            <w:hideMark/>
          </w:tcPr>
          <w:p w14:paraId="4BCD0A05"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1 895</w:t>
            </w:r>
          </w:p>
        </w:tc>
        <w:tc>
          <w:tcPr>
            <w:tcW w:w="456" w:type="pct"/>
            <w:tcBorders>
              <w:top w:val="nil"/>
              <w:left w:val="nil"/>
              <w:bottom w:val="nil"/>
              <w:right w:val="nil"/>
            </w:tcBorders>
            <w:shd w:val="clear" w:color="auto" w:fill="auto"/>
            <w:noWrap/>
            <w:vAlign w:val="bottom"/>
            <w:hideMark/>
          </w:tcPr>
          <w:p w14:paraId="140647A6"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69" w:type="pct"/>
            <w:tcBorders>
              <w:top w:val="nil"/>
              <w:left w:val="nil"/>
              <w:bottom w:val="nil"/>
              <w:right w:val="nil"/>
            </w:tcBorders>
            <w:shd w:val="clear" w:color="auto" w:fill="auto"/>
            <w:noWrap/>
            <w:vAlign w:val="bottom"/>
            <w:hideMark/>
          </w:tcPr>
          <w:p w14:paraId="4FF75903"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3 053</w:t>
            </w:r>
          </w:p>
        </w:tc>
        <w:tc>
          <w:tcPr>
            <w:tcW w:w="468" w:type="pct"/>
            <w:tcBorders>
              <w:top w:val="nil"/>
              <w:left w:val="nil"/>
              <w:bottom w:val="nil"/>
              <w:right w:val="nil"/>
            </w:tcBorders>
            <w:shd w:val="clear" w:color="auto" w:fill="auto"/>
            <w:noWrap/>
            <w:vAlign w:val="bottom"/>
            <w:hideMark/>
          </w:tcPr>
          <w:p w14:paraId="5F1E9A49"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70" w:type="pct"/>
            <w:tcBorders>
              <w:top w:val="nil"/>
              <w:left w:val="nil"/>
              <w:bottom w:val="nil"/>
              <w:right w:val="nil"/>
            </w:tcBorders>
            <w:shd w:val="clear" w:color="auto" w:fill="auto"/>
            <w:noWrap/>
            <w:vAlign w:val="bottom"/>
            <w:hideMark/>
          </w:tcPr>
          <w:p w14:paraId="3411C653"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28F235E5"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r>
      <w:tr w:rsidR="00485571" w:rsidRPr="00DD531B" w14:paraId="3D08C0A6" w14:textId="77777777" w:rsidTr="00485571">
        <w:trPr>
          <w:trHeight w:val="300"/>
        </w:trPr>
        <w:tc>
          <w:tcPr>
            <w:tcW w:w="1563" w:type="pct"/>
            <w:tcBorders>
              <w:top w:val="nil"/>
              <w:left w:val="nil"/>
              <w:bottom w:val="nil"/>
              <w:right w:val="nil"/>
            </w:tcBorders>
            <w:shd w:val="clear" w:color="auto" w:fill="auto"/>
            <w:noWrap/>
            <w:vAlign w:val="center"/>
            <w:hideMark/>
          </w:tcPr>
          <w:p w14:paraId="7C27745D" w14:textId="77777777" w:rsidR="00485571" w:rsidRPr="00485571" w:rsidRDefault="00485571" w:rsidP="00DD531B">
            <w:pPr>
              <w:spacing w:after="0" w:line="240" w:lineRule="auto"/>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zdroj Plán obnovy a odolnosti , v tom:</w:t>
            </w:r>
          </w:p>
        </w:tc>
        <w:tc>
          <w:tcPr>
            <w:tcW w:w="157" w:type="pct"/>
            <w:tcBorders>
              <w:top w:val="nil"/>
              <w:left w:val="nil"/>
              <w:bottom w:val="nil"/>
              <w:right w:val="nil"/>
            </w:tcBorders>
          </w:tcPr>
          <w:p w14:paraId="6079C446"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p>
        </w:tc>
        <w:tc>
          <w:tcPr>
            <w:tcW w:w="468" w:type="pct"/>
            <w:tcBorders>
              <w:top w:val="nil"/>
              <w:left w:val="nil"/>
              <w:bottom w:val="nil"/>
              <w:right w:val="nil"/>
            </w:tcBorders>
            <w:shd w:val="clear" w:color="auto" w:fill="auto"/>
            <w:noWrap/>
            <w:vAlign w:val="bottom"/>
            <w:hideMark/>
          </w:tcPr>
          <w:p w14:paraId="10A7FDF6" w14:textId="7E5D685D"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482" w:type="pct"/>
            <w:tcBorders>
              <w:top w:val="nil"/>
              <w:left w:val="nil"/>
              <w:bottom w:val="nil"/>
              <w:right w:val="nil"/>
            </w:tcBorders>
            <w:shd w:val="clear" w:color="auto" w:fill="auto"/>
            <w:noWrap/>
            <w:vAlign w:val="bottom"/>
            <w:hideMark/>
          </w:tcPr>
          <w:p w14:paraId="17C688AE"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3 252</w:t>
            </w:r>
          </w:p>
        </w:tc>
        <w:tc>
          <w:tcPr>
            <w:tcW w:w="456" w:type="pct"/>
            <w:tcBorders>
              <w:top w:val="nil"/>
              <w:left w:val="nil"/>
              <w:bottom w:val="nil"/>
              <w:right w:val="nil"/>
            </w:tcBorders>
            <w:shd w:val="clear" w:color="auto" w:fill="auto"/>
            <w:noWrap/>
            <w:vAlign w:val="bottom"/>
            <w:hideMark/>
          </w:tcPr>
          <w:p w14:paraId="36764B89"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451 770</w:t>
            </w:r>
          </w:p>
        </w:tc>
        <w:tc>
          <w:tcPr>
            <w:tcW w:w="469" w:type="pct"/>
            <w:tcBorders>
              <w:top w:val="nil"/>
              <w:left w:val="nil"/>
              <w:bottom w:val="nil"/>
              <w:right w:val="nil"/>
            </w:tcBorders>
            <w:shd w:val="clear" w:color="auto" w:fill="auto"/>
            <w:noWrap/>
            <w:vAlign w:val="bottom"/>
            <w:hideMark/>
          </w:tcPr>
          <w:p w14:paraId="733C95D1"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17 361</w:t>
            </w:r>
          </w:p>
        </w:tc>
        <w:tc>
          <w:tcPr>
            <w:tcW w:w="468" w:type="pct"/>
            <w:tcBorders>
              <w:top w:val="nil"/>
              <w:left w:val="nil"/>
              <w:bottom w:val="nil"/>
              <w:right w:val="nil"/>
            </w:tcBorders>
            <w:shd w:val="clear" w:color="auto" w:fill="auto"/>
            <w:noWrap/>
            <w:vAlign w:val="bottom"/>
            <w:hideMark/>
          </w:tcPr>
          <w:p w14:paraId="764C64F7"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272 868</w:t>
            </w:r>
          </w:p>
        </w:tc>
        <w:tc>
          <w:tcPr>
            <w:tcW w:w="470" w:type="pct"/>
            <w:tcBorders>
              <w:top w:val="nil"/>
              <w:left w:val="nil"/>
              <w:bottom w:val="nil"/>
              <w:right w:val="nil"/>
            </w:tcBorders>
            <w:shd w:val="clear" w:color="auto" w:fill="auto"/>
            <w:noWrap/>
            <w:vAlign w:val="bottom"/>
            <w:hideMark/>
          </w:tcPr>
          <w:p w14:paraId="6BCA4340"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257 250</w:t>
            </w:r>
          </w:p>
        </w:tc>
        <w:tc>
          <w:tcPr>
            <w:tcW w:w="468" w:type="pct"/>
            <w:tcBorders>
              <w:top w:val="nil"/>
              <w:left w:val="nil"/>
              <w:bottom w:val="nil"/>
              <w:right w:val="nil"/>
            </w:tcBorders>
            <w:shd w:val="clear" w:color="auto" w:fill="auto"/>
            <w:noWrap/>
            <w:vAlign w:val="bottom"/>
            <w:hideMark/>
          </w:tcPr>
          <w:p w14:paraId="4982E144"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227 894</w:t>
            </w:r>
          </w:p>
        </w:tc>
      </w:tr>
      <w:tr w:rsidR="00485571" w:rsidRPr="00DD531B" w14:paraId="7D1DCFCE" w14:textId="77777777" w:rsidTr="00485571">
        <w:trPr>
          <w:trHeight w:val="300"/>
        </w:trPr>
        <w:tc>
          <w:tcPr>
            <w:tcW w:w="1563" w:type="pct"/>
            <w:tcBorders>
              <w:top w:val="nil"/>
              <w:left w:val="nil"/>
              <w:bottom w:val="nil"/>
              <w:right w:val="nil"/>
            </w:tcBorders>
            <w:shd w:val="clear" w:color="auto" w:fill="auto"/>
            <w:noWrap/>
            <w:vAlign w:val="bottom"/>
            <w:hideMark/>
          </w:tcPr>
          <w:p w14:paraId="13D37D12" w14:textId="77777777" w:rsidR="00485571" w:rsidRPr="00485571" w:rsidRDefault="00485571"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prostriedky POO</w:t>
            </w:r>
          </w:p>
        </w:tc>
        <w:tc>
          <w:tcPr>
            <w:tcW w:w="157" w:type="pct"/>
            <w:tcBorders>
              <w:top w:val="nil"/>
              <w:left w:val="nil"/>
              <w:bottom w:val="nil"/>
              <w:right w:val="nil"/>
            </w:tcBorders>
          </w:tcPr>
          <w:p w14:paraId="4E1D8175" w14:textId="77777777" w:rsidR="00485571" w:rsidRPr="00485571" w:rsidRDefault="00485571" w:rsidP="00DD531B">
            <w:pPr>
              <w:spacing w:after="0" w:line="240" w:lineRule="auto"/>
              <w:jc w:val="right"/>
              <w:rPr>
                <w:rFonts w:ascii="Times New Roman" w:eastAsia="Times New Roman" w:hAnsi="Times New Roman" w:cs="Times New Roman"/>
                <w:color w:val="000000"/>
                <w:sz w:val="16"/>
                <w:szCs w:val="16"/>
                <w:lang w:eastAsia="sk-SK"/>
              </w:rPr>
            </w:pPr>
          </w:p>
        </w:tc>
        <w:tc>
          <w:tcPr>
            <w:tcW w:w="468" w:type="pct"/>
            <w:tcBorders>
              <w:top w:val="nil"/>
              <w:left w:val="nil"/>
              <w:bottom w:val="nil"/>
              <w:right w:val="nil"/>
            </w:tcBorders>
            <w:shd w:val="clear" w:color="auto" w:fill="auto"/>
            <w:noWrap/>
            <w:vAlign w:val="bottom"/>
            <w:hideMark/>
          </w:tcPr>
          <w:p w14:paraId="3371CA12" w14:textId="3A6BA173" w:rsidR="00485571" w:rsidRPr="00485571" w:rsidRDefault="00485571"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0</w:t>
            </w:r>
          </w:p>
        </w:tc>
        <w:tc>
          <w:tcPr>
            <w:tcW w:w="482" w:type="pct"/>
            <w:tcBorders>
              <w:top w:val="nil"/>
              <w:left w:val="nil"/>
              <w:bottom w:val="nil"/>
              <w:right w:val="nil"/>
            </w:tcBorders>
            <w:shd w:val="clear" w:color="auto" w:fill="auto"/>
            <w:noWrap/>
            <w:vAlign w:val="bottom"/>
            <w:hideMark/>
          </w:tcPr>
          <w:p w14:paraId="2F61E6A9"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3 012</w:t>
            </w:r>
          </w:p>
        </w:tc>
        <w:tc>
          <w:tcPr>
            <w:tcW w:w="456" w:type="pct"/>
            <w:tcBorders>
              <w:top w:val="nil"/>
              <w:left w:val="nil"/>
              <w:bottom w:val="nil"/>
              <w:right w:val="nil"/>
            </w:tcBorders>
            <w:shd w:val="clear" w:color="auto" w:fill="auto"/>
            <w:noWrap/>
            <w:vAlign w:val="bottom"/>
            <w:hideMark/>
          </w:tcPr>
          <w:p w14:paraId="59DABE3B"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377 429</w:t>
            </w:r>
          </w:p>
        </w:tc>
        <w:tc>
          <w:tcPr>
            <w:tcW w:w="469" w:type="pct"/>
            <w:tcBorders>
              <w:top w:val="nil"/>
              <w:left w:val="nil"/>
              <w:bottom w:val="nil"/>
              <w:right w:val="nil"/>
            </w:tcBorders>
            <w:shd w:val="clear" w:color="auto" w:fill="auto"/>
            <w:noWrap/>
            <w:vAlign w:val="bottom"/>
            <w:hideMark/>
          </w:tcPr>
          <w:p w14:paraId="37C0B94C"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15 574</w:t>
            </w:r>
          </w:p>
        </w:tc>
        <w:tc>
          <w:tcPr>
            <w:tcW w:w="468" w:type="pct"/>
            <w:tcBorders>
              <w:top w:val="nil"/>
              <w:left w:val="nil"/>
              <w:bottom w:val="nil"/>
              <w:right w:val="nil"/>
            </w:tcBorders>
            <w:shd w:val="clear" w:color="auto" w:fill="auto"/>
            <w:noWrap/>
            <w:vAlign w:val="bottom"/>
            <w:hideMark/>
          </w:tcPr>
          <w:p w14:paraId="7791669B"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228 574</w:t>
            </w:r>
          </w:p>
        </w:tc>
        <w:tc>
          <w:tcPr>
            <w:tcW w:w="470" w:type="pct"/>
            <w:tcBorders>
              <w:top w:val="nil"/>
              <w:left w:val="nil"/>
              <w:bottom w:val="nil"/>
              <w:right w:val="nil"/>
            </w:tcBorders>
            <w:shd w:val="clear" w:color="auto" w:fill="auto"/>
            <w:noWrap/>
            <w:vAlign w:val="bottom"/>
            <w:hideMark/>
          </w:tcPr>
          <w:p w14:paraId="201A4BE3"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215 274</w:t>
            </w:r>
          </w:p>
        </w:tc>
        <w:tc>
          <w:tcPr>
            <w:tcW w:w="468" w:type="pct"/>
            <w:tcBorders>
              <w:top w:val="nil"/>
              <w:left w:val="nil"/>
              <w:bottom w:val="nil"/>
              <w:right w:val="nil"/>
            </w:tcBorders>
            <w:shd w:val="clear" w:color="auto" w:fill="auto"/>
            <w:noWrap/>
            <w:vAlign w:val="bottom"/>
            <w:hideMark/>
          </w:tcPr>
          <w:p w14:paraId="2BDDF572"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190 474</w:t>
            </w:r>
          </w:p>
        </w:tc>
      </w:tr>
      <w:tr w:rsidR="00485571" w:rsidRPr="00DD531B" w14:paraId="04DAA36D" w14:textId="77777777" w:rsidTr="00485571">
        <w:trPr>
          <w:trHeight w:val="300"/>
        </w:trPr>
        <w:tc>
          <w:tcPr>
            <w:tcW w:w="1563" w:type="pct"/>
            <w:tcBorders>
              <w:top w:val="nil"/>
              <w:left w:val="nil"/>
              <w:bottom w:val="nil"/>
              <w:right w:val="nil"/>
            </w:tcBorders>
            <w:shd w:val="clear" w:color="auto" w:fill="auto"/>
            <w:noWrap/>
            <w:vAlign w:val="bottom"/>
            <w:hideMark/>
          </w:tcPr>
          <w:p w14:paraId="7BBA1748" w14:textId="77777777" w:rsidR="00485571" w:rsidRPr="00485571" w:rsidRDefault="00485571"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DPH k POO</w:t>
            </w:r>
          </w:p>
        </w:tc>
        <w:tc>
          <w:tcPr>
            <w:tcW w:w="157" w:type="pct"/>
            <w:tcBorders>
              <w:top w:val="nil"/>
              <w:left w:val="nil"/>
              <w:bottom w:val="nil"/>
              <w:right w:val="nil"/>
            </w:tcBorders>
          </w:tcPr>
          <w:p w14:paraId="553097F7" w14:textId="77777777" w:rsidR="00485571" w:rsidRPr="00485571" w:rsidRDefault="00485571" w:rsidP="00DD531B">
            <w:pPr>
              <w:spacing w:after="0" w:line="240" w:lineRule="auto"/>
              <w:jc w:val="right"/>
              <w:rPr>
                <w:rFonts w:ascii="Times New Roman" w:eastAsia="Times New Roman" w:hAnsi="Times New Roman" w:cs="Times New Roman"/>
                <w:color w:val="000000"/>
                <w:sz w:val="16"/>
                <w:szCs w:val="16"/>
                <w:lang w:eastAsia="sk-SK"/>
              </w:rPr>
            </w:pPr>
          </w:p>
        </w:tc>
        <w:tc>
          <w:tcPr>
            <w:tcW w:w="468" w:type="pct"/>
            <w:tcBorders>
              <w:top w:val="nil"/>
              <w:left w:val="nil"/>
              <w:bottom w:val="nil"/>
              <w:right w:val="nil"/>
            </w:tcBorders>
            <w:shd w:val="clear" w:color="auto" w:fill="auto"/>
            <w:noWrap/>
            <w:vAlign w:val="bottom"/>
            <w:hideMark/>
          </w:tcPr>
          <w:p w14:paraId="2D1C1254" w14:textId="5CFC46AF" w:rsidR="00485571" w:rsidRPr="00485571" w:rsidRDefault="00485571"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0</w:t>
            </w:r>
          </w:p>
        </w:tc>
        <w:tc>
          <w:tcPr>
            <w:tcW w:w="482" w:type="pct"/>
            <w:tcBorders>
              <w:top w:val="nil"/>
              <w:left w:val="nil"/>
              <w:bottom w:val="nil"/>
              <w:right w:val="nil"/>
            </w:tcBorders>
            <w:shd w:val="clear" w:color="auto" w:fill="auto"/>
            <w:noWrap/>
            <w:vAlign w:val="bottom"/>
            <w:hideMark/>
          </w:tcPr>
          <w:p w14:paraId="28F7ED05"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240</w:t>
            </w:r>
          </w:p>
        </w:tc>
        <w:tc>
          <w:tcPr>
            <w:tcW w:w="456" w:type="pct"/>
            <w:tcBorders>
              <w:top w:val="nil"/>
              <w:left w:val="nil"/>
              <w:bottom w:val="nil"/>
              <w:right w:val="nil"/>
            </w:tcBorders>
            <w:shd w:val="clear" w:color="auto" w:fill="auto"/>
            <w:noWrap/>
            <w:vAlign w:val="bottom"/>
            <w:hideMark/>
          </w:tcPr>
          <w:p w14:paraId="4A4C9DC0"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74 341</w:t>
            </w:r>
          </w:p>
        </w:tc>
        <w:tc>
          <w:tcPr>
            <w:tcW w:w="469" w:type="pct"/>
            <w:tcBorders>
              <w:top w:val="nil"/>
              <w:left w:val="nil"/>
              <w:bottom w:val="nil"/>
              <w:right w:val="nil"/>
            </w:tcBorders>
            <w:shd w:val="clear" w:color="auto" w:fill="auto"/>
            <w:noWrap/>
            <w:vAlign w:val="bottom"/>
            <w:hideMark/>
          </w:tcPr>
          <w:p w14:paraId="784CACC8"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1 787</w:t>
            </w:r>
          </w:p>
        </w:tc>
        <w:tc>
          <w:tcPr>
            <w:tcW w:w="468" w:type="pct"/>
            <w:tcBorders>
              <w:top w:val="nil"/>
              <w:left w:val="nil"/>
              <w:bottom w:val="nil"/>
              <w:right w:val="nil"/>
            </w:tcBorders>
            <w:shd w:val="clear" w:color="auto" w:fill="auto"/>
            <w:noWrap/>
            <w:vAlign w:val="bottom"/>
            <w:hideMark/>
          </w:tcPr>
          <w:p w14:paraId="308D7349"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44 294</w:t>
            </w:r>
          </w:p>
        </w:tc>
        <w:tc>
          <w:tcPr>
            <w:tcW w:w="470" w:type="pct"/>
            <w:tcBorders>
              <w:top w:val="nil"/>
              <w:left w:val="nil"/>
              <w:bottom w:val="nil"/>
              <w:right w:val="nil"/>
            </w:tcBorders>
            <w:shd w:val="clear" w:color="auto" w:fill="auto"/>
            <w:noWrap/>
            <w:vAlign w:val="bottom"/>
            <w:hideMark/>
          </w:tcPr>
          <w:p w14:paraId="3D8C9076"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41 976</w:t>
            </w:r>
          </w:p>
        </w:tc>
        <w:tc>
          <w:tcPr>
            <w:tcW w:w="468" w:type="pct"/>
            <w:tcBorders>
              <w:top w:val="nil"/>
              <w:left w:val="nil"/>
              <w:bottom w:val="nil"/>
              <w:right w:val="nil"/>
            </w:tcBorders>
            <w:shd w:val="clear" w:color="auto" w:fill="auto"/>
            <w:noWrap/>
            <w:vAlign w:val="bottom"/>
            <w:hideMark/>
          </w:tcPr>
          <w:p w14:paraId="548EC9A5"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37 420</w:t>
            </w:r>
          </w:p>
        </w:tc>
      </w:tr>
      <w:tr w:rsidR="00485571" w:rsidRPr="00DD531B" w14:paraId="6A1519D7" w14:textId="77777777" w:rsidTr="00485571">
        <w:trPr>
          <w:trHeight w:val="300"/>
        </w:trPr>
        <w:tc>
          <w:tcPr>
            <w:tcW w:w="1563" w:type="pct"/>
            <w:tcBorders>
              <w:top w:val="nil"/>
              <w:left w:val="nil"/>
              <w:bottom w:val="nil"/>
              <w:right w:val="nil"/>
            </w:tcBorders>
            <w:shd w:val="clear" w:color="auto" w:fill="auto"/>
            <w:noWrap/>
            <w:vAlign w:val="bottom"/>
            <w:hideMark/>
          </w:tcPr>
          <w:p w14:paraId="52BC2FF7" w14:textId="77777777" w:rsidR="00485571" w:rsidRPr="00485571" w:rsidRDefault="00485571" w:rsidP="00DD531B">
            <w:pPr>
              <w:spacing w:after="0" w:line="240" w:lineRule="auto"/>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presun z minulých rokov § 8, v tom:</w:t>
            </w:r>
          </w:p>
        </w:tc>
        <w:tc>
          <w:tcPr>
            <w:tcW w:w="157" w:type="pct"/>
            <w:tcBorders>
              <w:top w:val="nil"/>
              <w:left w:val="nil"/>
              <w:bottom w:val="nil"/>
              <w:right w:val="nil"/>
            </w:tcBorders>
          </w:tcPr>
          <w:p w14:paraId="5155EC30"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p>
        </w:tc>
        <w:tc>
          <w:tcPr>
            <w:tcW w:w="468" w:type="pct"/>
            <w:tcBorders>
              <w:top w:val="nil"/>
              <w:left w:val="nil"/>
              <w:bottom w:val="nil"/>
              <w:right w:val="nil"/>
            </w:tcBorders>
            <w:shd w:val="clear" w:color="auto" w:fill="auto"/>
            <w:noWrap/>
            <w:vAlign w:val="bottom"/>
            <w:hideMark/>
          </w:tcPr>
          <w:p w14:paraId="1888E662" w14:textId="4442CA41"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13 345</w:t>
            </w:r>
          </w:p>
        </w:tc>
        <w:tc>
          <w:tcPr>
            <w:tcW w:w="482" w:type="pct"/>
            <w:tcBorders>
              <w:top w:val="nil"/>
              <w:left w:val="nil"/>
              <w:bottom w:val="nil"/>
              <w:right w:val="nil"/>
            </w:tcBorders>
            <w:shd w:val="clear" w:color="auto" w:fill="auto"/>
            <w:noWrap/>
            <w:vAlign w:val="bottom"/>
            <w:hideMark/>
          </w:tcPr>
          <w:p w14:paraId="56FAF44C"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8 959</w:t>
            </w:r>
          </w:p>
        </w:tc>
        <w:tc>
          <w:tcPr>
            <w:tcW w:w="456" w:type="pct"/>
            <w:tcBorders>
              <w:top w:val="nil"/>
              <w:left w:val="nil"/>
              <w:bottom w:val="nil"/>
              <w:right w:val="nil"/>
            </w:tcBorders>
            <w:shd w:val="clear" w:color="auto" w:fill="auto"/>
            <w:noWrap/>
            <w:vAlign w:val="bottom"/>
            <w:hideMark/>
          </w:tcPr>
          <w:p w14:paraId="747AF860"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469" w:type="pct"/>
            <w:tcBorders>
              <w:top w:val="nil"/>
              <w:left w:val="nil"/>
              <w:bottom w:val="nil"/>
              <w:right w:val="nil"/>
            </w:tcBorders>
            <w:shd w:val="clear" w:color="auto" w:fill="auto"/>
            <w:noWrap/>
            <w:vAlign w:val="bottom"/>
            <w:hideMark/>
          </w:tcPr>
          <w:p w14:paraId="2C9762E1"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8 121</w:t>
            </w:r>
          </w:p>
        </w:tc>
        <w:tc>
          <w:tcPr>
            <w:tcW w:w="468" w:type="pct"/>
            <w:tcBorders>
              <w:top w:val="nil"/>
              <w:left w:val="nil"/>
              <w:bottom w:val="nil"/>
              <w:right w:val="nil"/>
            </w:tcBorders>
            <w:shd w:val="clear" w:color="auto" w:fill="auto"/>
            <w:noWrap/>
            <w:vAlign w:val="bottom"/>
            <w:hideMark/>
          </w:tcPr>
          <w:p w14:paraId="46B909B6"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470" w:type="pct"/>
            <w:tcBorders>
              <w:top w:val="nil"/>
              <w:left w:val="nil"/>
              <w:bottom w:val="nil"/>
              <w:right w:val="nil"/>
            </w:tcBorders>
            <w:shd w:val="clear" w:color="auto" w:fill="auto"/>
            <w:noWrap/>
            <w:vAlign w:val="bottom"/>
            <w:hideMark/>
          </w:tcPr>
          <w:p w14:paraId="43B658E5"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468" w:type="pct"/>
            <w:tcBorders>
              <w:top w:val="nil"/>
              <w:left w:val="nil"/>
              <w:bottom w:val="nil"/>
              <w:right w:val="nil"/>
            </w:tcBorders>
            <w:shd w:val="clear" w:color="auto" w:fill="auto"/>
            <w:noWrap/>
            <w:vAlign w:val="bottom"/>
            <w:hideMark/>
          </w:tcPr>
          <w:p w14:paraId="457D117F"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r>
      <w:tr w:rsidR="00485571" w:rsidRPr="00DD531B" w14:paraId="5507E5AE" w14:textId="77777777" w:rsidTr="00485571">
        <w:trPr>
          <w:trHeight w:val="300"/>
        </w:trPr>
        <w:tc>
          <w:tcPr>
            <w:tcW w:w="1563" w:type="pct"/>
            <w:tcBorders>
              <w:top w:val="nil"/>
              <w:left w:val="nil"/>
              <w:bottom w:val="nil"/>
              <w:right w:val="nil"/>
            </w:tcBorders>
            <w:shd w:val="clear" w:color="auto" w:fill="auto"/>
            <w:noWrap/>
            <w:vAlign w:val="bottom"/>
            <w:hideMark/>
          </w:tcPr>
          <w:p w14:paraId="468D2BBD" w14:textId="77777777" w:rsidR="00485571" w:rsidRPr="00485571" w:rsidRDefault="00485571"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štátny rozpočet</w:t>
            </w:r>
          </w:p>
        </w:tc>
        <w:tc>
          <w:tcPr>
            <w:tcW w:w="157" w:type="pct"/>
            <w:tcBorders>
              <w:top w:val="nil"/>
              <w:left w:val="nil"/>
              <w:bottom w:val="nil"/>
              <w:right w:val="nil"/>
            </w:tcBorders>
          </w:tcPr>
          <w:p w14:paraId="4E5CD64E"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p>
        </w:tc>
        <w:tc>
          <w:tcPr>
            <w:tcW w:w="468" w:type="pct"/>
            <w:tcBorders>
              <w:top w:val="nil"/>
              <w:left w:val="nil"/>
              <w:bottom w:val="nil"/>
              <w:right w:val="nil"/>
            </w:tcBorders>
            <w:shd w:val="clear" w:color="auto" w:fill="auto"/>
            <w:noWrap/>
            <w:vAlign w:val="bottom"/>
            <w:hideMark/>
          </w:tcPr>
          <w:p w14:paraId="30D3DB4F" w14:textId="6852DFB3"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8 772</w:t>
            </w:r>
          </w:p>
        </w:tc>
        <w:tc>
          <w:tcPr>
            <w:tcW w:w="482" w:type="pct"/>
            <w:tcBorders>
              <w:top w:val="nil"/>
              <w:left w:val="nil"/>
              <w:bottom w:val="nil"/>
              <w:right w:val="nil"/>
            </w:tcBorders>
            <w:shd w:val="clear" w:color="auto" w:fill="auto"/>
            <w:noWrap/>
            <w:vAlign w:val="bottom"/>
            <w:hideMark/>
          </w:tcPr>
          <w:p w14:paraId="4A9143E2"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379</w:t>
            </w:r>
          </w:p>
        </w:tc>
        <w:tc>
          <w:tcPr>
            <w:tcW w:w="456" w:type="pct"/>
            <w:tcBorders>
              <w:top w:val="nil"/>
              <w:left w:val="nil"/>
              <w:bottom w:val="nil"/>
              <w:right w:val="nil"/>
            </w:tcBorders>
            <w:shd w:val="clear" w:color="auto" w:fill="auto"/>
            <w:noWrap/>
            <w:vAlign w:val="bottom"/>
            <w:hideMark/>
          </w:tcPr>
          <w:p w14:paraId="41E61B4E"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69" w:type="pct"/>
            <w:tcBorders>
              <w:top w:val="nil"/>
              <w:left w:val="nil"/>
              <w:bottom w:val="nil"/>
              <w:right w:val="nil"/>
            </w:tcBorders>
            <w:shd w:val="clear" w:color="auto" w:fill="auto"/>
            <w:noWrap/>
            <w:vAlign w:val="bottom"/>
            <w:hideMark/>
          </w:tcPr>
          <w:p w14:paraId="33B24FE3"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8 121</w:t>
            </w:r>
          </w:p>
        </w:tc>
        <w:tc>
          <w:tcPr>
            <w:tcW w:w="468" w:type="pct"/>
            <w:tcBorders>
              <w:top w:val="nil"/>
              <w:left w:val="nil"/>
              <w:bottom w:val="nil"/>
              <w:right w:val="nil"/>
            </w:tcBorders>
            <w:shd w:val="clear" w:color="auto" w:fill="auto"/>
            <w:noWrap/>
            <w:vAlign w:val="bottom"/>
            <w:hideMark/>
          </w:tcPr>
          <w:p w14:paraId="5AAF750E"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70" w:type="pct"/>
            <w:tcBorders>
              <w:top w:val="nil"/>
              <w:left w:val="nil"/>
              <w:bottom w:val="nil"/>
              <w:right w:val="nil"/>
            </w:tcBorders>
            <w:shd w:val="clear" w:color="auto" w:fill="auto"/>
            <w:noWrap/>
            <w:vAlign w:val="bottom"/>
            <w:hideMark/>
          </w:tcPr>
          <w:p w14:paraId="182A7FC4"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31744856"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r>
      <w:tr w:rsidR="00485571" w:rsidRPr="00DD531B" w14:paraId="56830BBC" w14:textId="77777777" w:rsidTr="00485571">
        <w:trPr>
          <w:trHeight w:val="300"/>
        </w:trPr>
        <w:tc>
          <w:tcPr>
            <w:tcW w:w="1563" w:type="pct"/>
            <w:tcBorders>
              <w:top w:val="nil"/>
              <w:left w:val="nil"/>
              <w:bottom w:val="nil"/>
              <w:right w:val="nil"/>
            </w:tcBorders>
            <w:shd w:val="clear" w:color="auto" w:fill="auto"/>
            <w:noWrap/>
            <w:vAlign w:val="bottom"/>
            <w:hideMark/>
          </w:tcPr>
          <w:p w14:paraId="2B032745" w14:textId="77777777" w:rsidR="00485571" w:rsidRPr="00485571" w:rsidRDefault="00485571"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prostriedky EÚ a spolufinancovanie zo ŠR</w:t>
            </w:r>
          </w:p>
        </w:tc>
        <w:tc>
          <w:tcPr>
            <w:tcW w:w="157" w:type="pct"/>
            <w:tcBorders>
              <w:top w:val="nil"/>
              <w:left w:val="nil"/>
              <w:bottom w:val="nil"/>
              <w:right w:val="nil"/>
            </w:tcBorders>
          </w:tcPr>
          <w:p w14:paraId="522DBA17"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p>
        </w:tc>
        <w:tc>
          <w:tcPr>
            <w:tcW w:w="468" w:type="pct"/>
            <w:tcBorders>
              <w:top w:val="nil"/>
              <w:left w:val="nil"/>
              <w:bottom w:val="nil"/>
              <w:right w:val="nil"/>
            </w:tcBorders>
            <w:shd w:val="clear" w:color="auto" w:fill="auto"/>
            <w:noWrap/>
            <w:vAlign w:val="bottom"/>
            <w:hideMark/>
          </w:tcPr>
          <w:p w14:paraId="33063A7D" w14:textId="5A9646FA"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4 573</w:t>
            </w:r>
          </w:p>
        </w:tc>
        <w:tc>
          <w:tcPr>
            <w:tcW w:w="482" w:type="pct"/>
            <w:tcBorders>
              <w:top w:val="nil"/>
              <w:left w:val="nil"/>
              <w:bottom w:val="nil"/>
              <w:right w:val="nil"/>
            </w:tcBorders>
            <w:shd w:val="clear" w:color="auto" w:fill="auto"/>
            <w:noWrap/>
            <w:vAlign w:val="bottom"/>
            <w:hideMark/>
          </w:tcPr>
          <w:p w14:paraId="10FE9EA3"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8 522</w:t>
            </w:r>
          </w:p>
        </w:tc>
        <w:tc>
          <w:tcPr>
            <w:tcW w:w="456" w:type="pct"/>
            <w:tcBorders>
              <w:top w:val="nil"/>
              <w:left w:val="nil"/>
              <w:bottom w:val="nil"/>
              <w:right w:val="nil"/>
            </w:tcBorders>
            <w:shd w:val="clear" w:color="auto" w:fill="auto"/>
            <w:noWrap/>
            <w:vAlign w:val="bottom"/>
            <w:hideMark/>
          </w:tcPr>
          <w:p w14:paraId="131882CC"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69" w:type="pct"/>
            <w:tcBorders>
              <w:top w:val="nil"/>
              <w:left w:val="nil"/>
              <w:bottom w:val="nil"/>
              <w:right w:val="nil"/>
            </w:tcBorders>
            <w:shd w:val="clear" w:color="auto" w:fill="auto"/>
            <w:noWrap/>
            <w:vAlign w:val="bottom"/>
            <w:hideMark/>
          </w:tcPr>
          <w:p w14:paraId="2E5E8CB3"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7C487887"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70" w:type="pct"/>
            <w:tcBorders>
              <w:top w:val="nil"/>
              <w:left w:val="nil"/>
              <w:bottom w:val="nil"/>
              <w:right w:val="nil"/>
            </w:tcBorders>
            <w:shd w:val="clear" w:color="auto" w:fill="auto"/>
            <w:noWrap/>
            <w:vAlign w:val="bottom"/>
            <w:hideMark/>
          </w:tcPr>
          <w:p w14:paraId="0344DA84"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037FBD05"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r>
      <w:tr w:rsidR="00485571" w:rsidRPr="00DD531B" w14:paraId="64F2E20F" w14:textId="77777777" w:rsidTr="00485571">
        <w:trPr>
          <w:trHeight w:val="300"/>
        </w:trPr>
        <w:tc>
          <w:tcPr>
            <w:tcW w:w="1563" w:type="pct"/>
            <w:tcBorders>
              <w:top w:val="nil"/>
              <w:left w:val="nil"/>
              <w:bottom w:val="nil"/>
              <w:right w:val="nil"/>
            </w:tcBorders>
            <w:shd w:val="clear" w:color="auto" w:fill="auto"/>
            <w:noWrap/>
            <w:vAlign w:val="bottom"/>
            <w:hideMark/>
          </w:tcPr>
          <w:p w14:paraId="7C660E7D" w14:textId="77777777" w:rsidR="00485571" w:rsidRPr="00485571" w:rsidRDefault="00485571"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prostriedky POO a DPH k POO</w:t>
            </w:r>
          </w:p>
        </w:tc>
        <w:tc>
          <w:tcPr>
            <w:tcW w:w="157" w:type="pct"/>
            <w:tcBorders>
              <w:top w:val="nil"/>
              <w:left w:val="nil"/>
              <w:bottom w:val="nil"/>
              <w:right w:val="nil"/>
            </w:tcBorders>
          </w:tcPr>
          <w:p w14:paraId="67D1C93C"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p>
        </w:tc>
        <w:tc>
          <w:tcPr>
            <w:tcW w:w="468" w:type="pct"/>
            <w:tcBorders>
              <w:top w:val="nil"/>
              <w:left w:val="nil"/>
              <w:bottom w:val="nil"/>
              <w:right w:val="nil"/>
            </w:tcBorders>
            <w:shd w:val="clear" w:color="auto" w:fill="auto"/>
            <w:noWrap/>
            <w:vAlign w:val="bottom"/>
            <w:hideMark/>
          </w:tcPr>
          <w:p w14:paraId="7246D535" w14:textId="3F48D2F5"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82" w:type="pct"/>
            <w:tcBorders>
              <w:top w:val="nil"/>
              <w:left w:val="nil"/>
              <w:bottom w:val="nil"/>
              <w:right w:val="nil"/>
            </w:tcBorders>
            <w:shd w:val="clear" w:color="auto" w:fill="auto"/>
            <w:noWrap/>
            <w:vAlign w:val="bottom"/>
            <w:hideMark/>
          </w:tcPr>
          <w:p w14:paraId="226E3F94"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58</w:t>
            </w:r>
          </w:p>
        </w:tc>
        <w:tc>
          <w:tcPr>
            <w:tcW w:w="456" w:type="pct"/>
            <w:tcBorders>
              <w:top w:val="nil"/>
              <w:left w:val="nil"/>
              <w:bottom w:val="nil"/>
              <w:right w:val="nil"/>
            </w:tcBorders>
            <w:shd w:val="clear" w:color="auto" w:fill="auto"/>
            <w:noWrap/>
            <w:vAlign w:val="bottom"/>
            <w:hideMark/>
          </w:tcPr>
          <w:p w14:paraId="7A89C4D6"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69" w:type="pct"/>
            <w:tcBorders>
              <w:top w:val="nil"/>
              <w:left w:val="nil"/>
              <w:bottom w:val="nil"/>
              <w:right w:val="nil"/>
            </w:tcBorders>
            <w:shd w:val="clear" w:color="auto" w:fill="auto"/>
            <w:noWrap/>
            <w:vAlign w:val="bottom"/>
            <w:hideMark/>
          </w:tcPr>
          <w:p w14:paraId="12514F2A"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5456B6D4"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70" w:type="pct"/>
            <w:tcBorders>
              <w:top w:val="nil"/>
              <w:left w:val="nil"/>
              <w:bottom w:val="nil"/>
              <w:right w:val="nil"/>
            </w:tcBorders>
            <w:shd w:val="clear" w:color="auto" w:fill="auto"/>
            <w:noWrap/>
            <w:vAlign w:val="bottom"/>
            <w:hideMark/>
          </w:tcPr>
          <w:p w14:paraId="1DB0C22D"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2116060D" w14:textId="77777777" w:rsidR="00485571" w:rsidRPr="00485571" w:rsidRDefault="00485571"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r>
      <w:tr w:rsidR="00485571" w:rsidRPr="00DD531B" w14:paraId="33424DBC" w14:textId="77777777" w:rsidTr="00485571">
        <w:trPr>
          <w:trHeight w:val="300"/>
        </w:trPr>
        <w:tc>
          <w:tcPr>
            <w:tcW w:w="1563" w:type="pct"/>
            <w:tcBorders>
              <w:top w:val="nil"/>
              <w:left w:val="nil"/>
              <w:bottom w:val="single" w:sz="4" w:space="0" w:color="auto"/>
              <w:right w:val="nil"/>
            </w:tcBorders>
            <w:shd w:val="clear" w:color="auto" w:fill="auto"/>
            <w:noWrap/>
            <w:vAlign w:val="bottom"/>
            <w:hideMark/>
          </w:tcPr>
          <w:p w14:paraId="54D74246" w14:textId="77777777" w:rsidR="00485571" w:rsidRPr="00485571" w:rsidRDefault="00485571" w:rsidP="00DD531B">
            <w:pPr>
              <w:spacing w:after="0" w:line="240" w:lineRule="auto"/>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prostriedky podľa § 17 ods. 4 a § 22 ods. 4 zákona č. 523/2004 Z. z.</w:t>
            </w:r>
          </w:p>
        </w:tc>
        <w:tc>
          <w:tcPr>
            <w:tcW w:w="157" w:type="pct"/>
            <w:tcBorders>
              <w:top w:val="nil"/>
              <w:left w:val="nil"/>
              <w:bottom w:val="single" w:sz="4" w:space="0" w:color="auto"/>
              <w:right w:val="nil"/>
            </w:tcBorders>
          </w:tcPr>
          <w:p w14:paraId="0CAFA42A"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p>
        </w:tc>
        <w:tc>
          <w:tcPr>
            <w:tcW w:w="468" w:type="pct"/>
            <w:tcBorders>
              <w:top w:val="nil"/>
              <w:left w:val="nil"/>
              <w:bottom w:val="single" w:sz="4" w:space="0" w:color="auto"/>
              <w:right w:val="nil"/>
            </w:tcBorders>
            <w:shd w:val="clear" w:color="auto" w:fill="auto"/>
            <w:noWrap/>
            <w:vAlign w:val="bottom"/>
            <w:hideMark/>
          </w:tcPr>
          <w:p w14:paraId="611655B0" w14:textId="7621E08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365</w:t>
            </w:r>
          </w:p>
        </w:tc>
        <w:tc>
          <w:tcPr>
            <w:tcW w:w="482" w:type="pct"/>
            <w:tcBorders>
              <w:top w:val="nil"/>
              <w:left w:val="nil"/>
              <w:bottom w:val="single" w:sz="4" w:space="0" w:color="auto"/>
              <w:right w:val="nil"/>
            </w:tcBorders>
            <w:shd w:val="clear" w:color="auto" w:fill="auto"/>
            <w:noWrap/>
            <w:vAlign w:val="bottom"/>
            <w:hideMark/>
          </w:tcPr>
          <w:p w14:paraId="30E22E1C"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353</w:t>
            </w:r>
          </w:p>
        </w:tc>
        <w:tc>
          <w:tcPr>
            <w:tcW w:w="456" w:type="pct"/>
            <w:tcBorders>
              <w:top w:val="nil"/>
              <w:left w:val="nil"/>
              <w:bottom w:val="single" w:sz="4" w:space="0" w:color="auto"/>
              <w:right w:val="nil"/>
            </w:tcBorders>
            <w:shd w:val="clear" w:color="auto" w:fill="auto"/>
            <w:noWrap/>
            <w:vAlign w:val="bottom"/>
            <w:hideMark/>
          </w:tcPr>
          <w:p w14:paraId="700FB499"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469" w:type="pct"/>
            <w:tcBorders>
              <w:top w:val="nil"/>
              <w:left w:val="nil"/>
              <w:bottom w:val="single" w:sz="4" w:space="0" w:color="auto"/>
              <w:right w:val="nil"/>
            </w:tcBorders>
            <w:shd w:val="clear" w:color="auto" w:fill="auto"/>
            <w:noWrap/>
            <w:vAlign w:val="bottom"/>
            <w:hideMark/>
          </w:tcPr>
          <w:p w14:paraId="259035EA"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468" w:type="pct"/>
            <w:tcBorders>
              <w:top w:val="nil"/>
              <w:left w:val="nil"/>
              <w:bottom w:val="single" w:sz="4" w:space="0" w:color="auto"/>
              <w:right w:val="nil"/>
            </w:tcBorders>
            <w:shd w:val="clear" w:color="auto" w:fill="auto"/>
            <w:noWrap/>
            <w:vAlign w:val="bottom"/>
            <w:hideMark/>
          </w:tcPr>
          <w:p w14:paraId="28710DE1"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470" w:type="pct"/>
            <w:tcBorders>
              <w:top w:val="nil"/>
              <w:left w:val="nil"/>
              <w:bottom w:val="single" w:sz="4" w:space="0" w:color="auto"/>
              <w:right w:val="nil"/>
            </w:tcBorders>
            <w:shd w:val="clear" w:color="auto" w:fill="auto"/>
            <w:noWrap/>
            <w:vAlign w:val="bottom"/>
            <w:hideMark/>
          </w:tcPr>
          <w:p w14:paraId="142E293D"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468" w:type="pct"/>
            <w:tcBorders>
              <w:top w:val="nil"/>
              <w:left w:val="nil"/>
              <w:bottom w:val="single" w:sz="4" w:space="0" w:color="auto"/>
              <w:right w:val="nil"/>
            </w:tcBorders>
            <w:shd w:val="clear" w:color="auto" w:fill="auto"/>
            <w:noWrap/>
            <w:vAlign w:val="bottom"/>
            <w:hideMark/>
          </w:tcPr>
          <w:p w14:paraId="49F0BAFD" w14:textId="77777777" w:rsidR="00485571" w:rsidRPr="00485571" w:rsidRDefault="00485571"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r>
    </w:tbl>
    <w:p w14:paraId="11ACE643" w14:textId="77777777" w:rsidR="00DD531B" w:rsidRPr="00DD531B" w:rsidRDefault="00DD531B" w:rsidP="00DD531B">
      <w:pPr>
        <w:spacing w:after="0"/>
        <w:rPr>
          <w:rFonts w:ascii="Times New Roman" w:eastAsia="Calibri" w:hAnsi="Times New Roman" w:cs="Times New Roman"/>
        </w:rPr>
      </w:pPr>
    </w:p>
    <w:p w14:paraId="310A5E53" w14:textId="40CACCBF" w:rsidR="00DD531B" w:rsidRDefault="00DD531B" w:rsidP="00DD531B">
      <w:pPr>
        <w:spacing w:after="0"/>
        <w:rPr>
          <w:rFonts w:ascii="Times New Roman" w:eastAsia="Calibri" w:hAnsi="Times New Roman" w:cs="Times New Roman"/>
        </w:rPr>
      </w:pPr>
    </w:p>
    <w:p w14:paraId="3F1D9A79" w14:textId="63E39957" w:rsidR="00485571" w:rsidRDefault="00485571" w:rsidP="00DD531B">
      <w:pPr>
        <w:spacing w:after="0"/>
        <w:rPr>
          <w:rFonts w:ascii="Times New Roman" w:eastAsia="Calibri" w:hAnsi="Times New Roman" w:cs="Times New Roman"/>
        </w:rPr>
      </w:pPr>
    </w:p>
    <w:p w14:paraId="2D7E8F86" w14:textId="3400B591" w:rsidR="00485571" w:rsidRDefault="00485571" w:rsidP="00DD531B">
      <w:pPr>
        <w:spacing w:after="0"/>
        <w:rPr>
          <w:rFonts w:ascii="Times New Roman" w:eastAsia="Calibri" w:hAnsi="Times New Roman" w:cs="Times New Roman"/>
        </w:rPr>
      </w:pPr>
    </w:p>
    <w:p w14:paraId="1A424196" w14:textId="30272325" w:rsidR="00485571" w:rsidRDefault="00485571" w:rsidP="00DD531B">
      <w:pPr>
        <w:spacing w:after="0"/>
        <w:rPr>
          <w:rFonts w:ascii="Times New Roman" w:eastAsia="Calibri" w:hAnsi="Times New Roman" w:cs="Times New Roman"/>
        </w:rPr>
      </w:pPr>
    </w:p>
    <w:p w14:paraId="687C04FA" w14:textId="3125AB81" w:rsidR="00485571" w:rsidRDefault="00485571" w:rsidP="00DD531B">
      <w:pPr>
        <w:spacing w:after="0"/>
        <w:rPr>
          <w:rFonts w:ascii="Times New Roman" w:eastAsia="Calibri" w:hAnsi="Times New Roman" w:cs="Times New Roman"/>
        </w:rPr>
      </w:pPr>
    </w:p>
    <w:p w14:paraId="0D313069" w14:textId="751C38AF" w:rsidR="00485571" w:rsidRDefault="00485571" w:rsidP="00DD531B">
      <w:pPr>
        <w:spacing w:after="0"/>
        <w:rPr>
          <w:rFonts w:ascii="Times New Roman" w:eastAsia="Calibri" w:hAnsi="Times New Roman" w:cs="Times New Roman"/>
        </w:rPr>
      </w:pPr>
    </w:p>
    <w:p w14:paraId="56B78E8E" w14:textId="632D0C8C" w:rsidR="00485571" w:rsidRDefault="00485571" w:rsidP="00DD531B">
      <w:pPr>
        <w:spacing w:after="0"/>
        <w:rPr>
          <w:rFonts w:ascii="Times New Roman" w:eastAsia="Calibri" w:hAnsi="Times New Roman" w:cs="Times New Roman"/>
        </w:rPr>
      </w:pPr>
    </w:p>
    <w:p w14:paraId="5247374B" w14:textId="51093069" w:rsidR="00485571" w:rsidRDefault="00485571" w:rsidP="00DD531B">
      <w:pPr>
        <w:spacing w:after="0"/>
        <w:rPr>
          <w:rFonts w:ascii="Times New Roman" w:eastAsia="Calibri" w:hAnsi="Times New Roman" w:cs="Times New Roman"/>
        </w:rPr>
      </w:pPr>
    </w:p>
    <w:p w14:paraId="6892FC8A" w14:textId="1B31EFD2" w:rsidR="00485571" w:rsidRDefault="00485571" w:rsidP="00DD531B">
      <w:pPr>
        <w:spacing w:after="0"/>
        <w:rPr>
          <w:rFonts w:ascii="Times New Roman" w:eastAsia="Calibri" w:hAnsi="Times New Roman" w:cs="Times New Roman"/>
        </w:rPr>
      </w:pPr>
    </w:p>
    <w:p w14:paraId="65CA0FC6" w14:textId="7E9B0E82" w:rsidR="00485571" w:rsidRDefault="00485571" w:rsidP="00DD531B">
      <w:pPr>
        <w:spacing w:after="0"/>
        <w:rPr>
          <w:rFonts w:ascii="Times New Roman" w:eastAsia="Calibri" w:hAnsi="Times New Roman" w:cs="Times New Roman"/>
        </w:rPr>
      </w:pPr>
    </w:p>
    <w:p w14:paraId="1D887D20" w14:textId="39C97D62" w:rsidR="00485571" w:rsidRDefault="00485571" w:rsidP="00DD531B">
      <w:pPr>
        <w:spacing w:after="0"/>
        <w:rPr>
          <w:rFonts w:ascii="Times New Roman" w:eastAsia="Calibri" w:hAnsi="Times New Roman" w:cs="Times New Roman"/>
        </w:rPr>
      </w:pPr>
    </w:p>
    <w:p w14:paraId="01DBEC60" w14:textId="4B248EF7" w:rsidR="00485571" w:rsidRDefault="00485571" w:rsidP="00DD531B">
      <w:pPr>
        <w:spacing w:after="0"/>
        <w:rPr>
          <w:rFonts w:ascii="Times New Roman" w:eastAsia="Calibri" w:hAnsi="Times New Roman" w:cs="Times New Roman"/>
        </w:rPr>
      </w:pPr>
    </w:p>
    <w:p w14:paraId="548D784A" w14:textId="5A5CDDE6" w:rsidR="00485571" w:rsidRDefault="00485571" w:rsidP="00DD531B">
      <w:pPr>
        <w:spacing w:after="0"/>
        <w:rPr>
          <w:rFonts w:ascii="Times New Roman" w:eastAsia="Calibri" w:hAnsi="Times New Roman" w:cs="Times New Roman"/>
        </w:rPr>
      </w:pPr>
    </w:p>
    <w:p w14:paraId="37B9AB07" w14:textId="77777777" w:rsidR="00485571" w:rsidRPr="00DD531B" w:rsidRDefault="00485571" w:rsidP="00DD531B">
      <w:pPr>
        <w:spacing w:after="0"/>
        <w:rPr>
          <w:rFonts w:ascii="Times New Roman" w:eastAsia="Calibri" w:hAnsi="Times New Roman" w:cs="Times New Roman"/>
        </w:rPr>
      </w:pPr>
    </w:p>
    <w:p w14:paraId="75D162A7" w14:textId="2DBAAA00" w:rsidR="00DD531B" w:rsidRPr="00485571" w:rsidRDefault="00DD531B" w:rsidP="00DD531B">
      <w:pPr>
        <w:keepNext/>
        <w:keepLines/>
        <w:spacing w:after="0"/>
        <w:outlineLvl w:val="1"/>
        <w:rPr>
          <w:rFonts w:ascii="Times New Roman" w:eastAsia="Times New Roman" w:hAnsi="Times New Roman" w:cs="Times New Roman"/>
          <w:b/>
          <w:color w:val="5B9BD5" w:themeColor="accent1"/>
          <w:sz w:val="24"/>
          <w:szCs w:val="24"/>
        </w:rPr>
      </w:pPr>
      <w:r w:rsidRPr="00485571">
        <w:rPr>
          <w:rFonts w:ascii="Times New Roman" w:eastAsia="Times New Roman" w:hAnsi="Times New Roman" w:cs="Times New Roman"/>
          <w:b/>
          <w:color w:val="5B9BD5" w:themeColor="accent1"/>
          <w:sz w:val="24"/>
          <w:szCs w:val="24"/>
        </w:rPr>
        <w:lastRenderedPageBreak/>
        <w:t>Ministerstvo práce, sociálnych vecí a rodiny SR</w:t>
      </w:r>
    </w:p>
    <w:p w14:paraId="7CC28BF6" w14:textId="77777777" w:rsidR="00DD531B" w:rsidRPr="00485571" w:rsidRDefault="00DD531B" w:rsidP="00DD531B">
      <w:pPr>
        <w:rPr>
          <w:rFonts w:ascii="Times New Roman" w:eastAsia="Calibri" w:hAnsi="Times New Roman" w:cs="Times New Roman"/>
          <w:color w:val="5B9BD5" w:themeColor="accent1"/>
        </w:rPr>
      </w:pPr>
    </w:p>
    <w:p w14:paraId="4E8060C4" w14:textId="060CDF54" w:rsidR="00DD531B" w:rsidRPr="00485571" w:rsidRDefault="00485571"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17" w:name="_Toc153013087"/>
      <w:r w:rsidRPr="00485571">
        <w:rPr>
          <w:rFonts w:ascii="Times New Roman" w:hAnsi="Times New Roman" w:cs="Times New Roman"/>
          <w:b/>
          <w:color w:val="5B9BD5" w:themeColor="accent1"/>
          <w:sz w:val="20"/>
          <w:szCs w:val="20"/>
        </w:rPr>
        <w:t xml:space="preserve">Tabuľka </w:t>
      </w:r>
      <w:r w:rsidRPr="00485571">
        <w:rPr>
          <w:rFonts w:ascii="Times New Roman" w:hAnsi="Times New Roman" w:cs="Times New Roman"/>
          <w:b/>
          <w:color w:val="5B9BD5" w:themeColor="accent1"/>
          <w:sz w:val="20"/>
          <w:szCs w:val="20"/>
        </w:rPr>
        <w:fldChar w:fldCharType="begin"/>
      </w:r>
      <w:r w:rsidRPr="00485571">
        <w:rPr>
          <w:rFonts w:ascii="Times New Roman" w:hAnsi="Times New Roman" w:cs="Times New Roman"/>
          <w:b/>
          <w:color w:val="5B9BD5" w:themeColor="accent1"/>
          <w:sz w:val="20"/>
          <w:szCs w:val="20"/>
        </w:rPr>
        <w:instrText xml:space="preserve"> SEQ Tabuľka \* ARABIC </w:instrText>
      </w:r>
      <w:r w:rsidRPr="00485571">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89</w:t>
      </w:r>
      <w:r w:rsidRPr="00485571">
        <w:rPr>
          <w:rFonts w:ascii="Times New Roman" w:hAnsi="Times New Roman" w:cs="Times New Roman"/>
          <w:b/>
          <w:color w:val="5B9BD5" w:themeColor="accent1"/>
          <w:sz w:val="20"/>
          <w:szCs w:val="20"/>
        </w:rPr>
        <w:fldChar w:fldCharType="end"/>
      </w:r>
      <w:r>
        <w:rPr>
          <w:rFonts w:ascii="Times New Roman" w:hAnsi="Times New Roman" w:cs="Times New Roman"/>
          <w:b/>
          <w:color w:val="5B9BD5" w:themeColor="accent1"/>
          <w:sz w:val="20"/>
          <w:szCs w:val="20"/>
        </w:rPr>
        <w:t xml:space="preserve"> </w:t>
      </w:r>
      <w:r w:rsidRPr="00485571">
        <w:rPr>
          <w:rFonts w:ascii="Times New Roman" w:hAnsi="Times New Roman" w:cs="Times New Roman"/>
          <w:b/>
          <w:color w:val="5B9BD5" w:themeColor="accent1"/>
          <w:sz w:val="20"/>
          <w:szCs w:val="20"/>
        </w:rPr>
        <w:t xml:space="preserve">- </w:t>
      </w:r>
      <w:r w:rsidR="00DD531B" w:rsidRPr="00485571">
        <w:rPr>
          <w:rFonts w:ascii="Times New Roman" w:eastAsia="Times New Roman" w:hAnsi="Times New Roman" w:cs="Times New Roman"/>
          <w:b/>
          <w:iCs/>
          <w:color w:val="5B9BD5" w:themeColor="accent1"/>
          <w:sz w:val="20"/>
          <w:szCs w:val="20"/>
          <w:lang w:eastAsia="sk-SK"/>
        </w:rPr>
        <w:t>Príjmy kapitoly MPSVR SR</w:t>
      </w:r>
      <w:bookmarkEnd w:id="217"/>
    </w:p>
    <w:tbl>
      <w:tblPr>
        <w:tblW w:w="5000" w:type="pct"/>
        <w:tblCellMar>
          <w:left w:w="70" w:type="dxa"/>
          <w:right w:w="70" w:type="dxa"/>
        </w:tblCellMar>
        <w:tblLook w:val="04A0" w:firstRow="1" w:lastRow="0" w:firstColumn="1" w:lastColumn="0" w:noHBand="0" w:noVBand="1"/>
      </w:tblPr>
      <w:tblGrid>
        <w:gridCol w:w="4364"/>
        <w:gridCol w:w="673"/>
        <w:gridCol w:w="673"/>
        <w:gridCol w:w="673"/>
        <w:gridCol w:w="673"/>
        <w:gridCol w:w="673"/>
        <w:gridCol w:w="673"/>
        <w:gridCol w:w="670"/>
      </w:tblGrid>
      <w:tr w:rsidR="00DD531B" w:rsidRPr="00DD531B" w14:paraId="13F9D864" w14:textId="77777777" w:rsidTr="001F24AE">
        <w:trPr>
          <w:trHeight w:val="300"/>
        </w:trPr>
        <w:tc>
          <w:tcPr>
            <w:tcW w:w="2405" w:type="pct"/>
            <w:tcBorders>
              <w:top w:val="single" w:sz="4" w:space="0" w:color="auto"/>
              <w:left w:val="nil"/>
              <w:bottom w:val="single" w:sz="4" w:space="0" w:color="auto"/>
              <w:right w:val="nil"/>
            </w:tcBorders>
            <w:shd w:val="clear" w:color="auto" w:fill="auto"/>
            <w:noWrap/>
            <w:vAlign w:val="center"/>
            <w:hideMark/>
          </w:tcPr>
          <w:p w14:paraId="2E0D178C" w14:textId="77777777" w:rsidR="00DD531B" w:rsidRPr="00DD531B" w:rsidRDefault="00DD531B" w:rsidP="00DD531B">
            <w:pPr>
              <w:spacing w:after="0" w:line="240" w:lineRule="auto"/>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v tis. eur</w:t>
            </w:r>
          </w:p>
        </w:tc>
        <w:tc>
          <w:tcPr>
            <w:tcW w:w="371" w:type="pct"/>
            <w:tcBorders>
              <w:top w:val="single" w:sz="4" w:space="0" w:color="auto"/>
              <w:left w:val="nil"/>
              <w:bottom w:val="single" w:sz="4" w:space="0" w:color="auto"/>
              <w:right w:val="nil"/>
            </w:tcBorders>
            <w:shd w:val="clear" w:color="auto" w:fill="auto"/>
            <w:noWrap/>
            <w:vAlign w:val="center"/>
            <w:hideMark/>
          </w:tcPr>
          <w:p w14:paraId="474D0F41" w14:textId="77777777" w:rsidR="00DD531B" w:rsidRPr="00DD531B" w:rsidRDefault="00DD531B" w:rsidP="00485571">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2021 S</w:t>
            </w:r>
          </w:p>
        </w:tc>
        <w:tc>
          <w:tcPr>
            <w:tcW w:w="371" w:type="pct"/>
            <w:tcBorders>
              <w:top w:val="single" w:sz="4" w:space="0" w:color="auto"/>
              <w:left w:val="nil"/>
              <w:bottom w:val="single" w:sz="4" w:space="0" w:color="auto"/>
              <w:right w:val="nil"/>
            </w:tcBorders>
            <w:shd w:val="clear" w:color="auto" w:fill="auto"/>
            <w:noWrap/>
            <w:vAlign w:val="center"/>
            <w:hideMark/>
          </w:tcPr>
          <w:p w14:paraId="724F0FB2" w14:textId="77777777" w:rsidR="00DD531B" w:rsidRPr="00DD531B" w:rsidRDefault="00DD531B" w:rsidP="00485571">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2022 S</w:t>
            </w:r>
          </w:p>
        </w:tc>
        <w:tc>
          <w:tcPr>
            <w:tcW w:w="371" w:type="pct"/>
            <w:tcBorders>
              <w:top w:val="single" w:sz="4" w:space="0" w:color="auto"/>
              <w:left w:val="nil"/>
              <w:bottom w:val="single" w:sz="4" w:space="0" w:color="auto"/>
              <w:right w:val="nil"/>
            </w:tcBorders>
            <w:shd w:val="clear" w:color="auto" w:fill="auto"/>
            <w:noWrap/>
            <w:vAlign w:val="center"/>
            <w:hideMark/>
          </w:tcPr>
          <w:p w14:paraId="5E1A0CC2" w14:textId="77777777" w:rsidR="00DD531B" w:rsidRPr="00DD531B" w:rsidRDefault="00DD531B" w:rsidP="00485571">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2023 R</w:t>
            </w:r>
          </w:p>
        </w:tc>
        <w:tc>
          <w:tcPr>
            <w:tcW w:w="371" w:type="pct"/>
            <w:tcBorders>
              <w:top w:val="single" w:sz="4" w:space="0" w:color="auto"/>
              <w:left w:val="nil"/>
              <w:bottom w:val="single" w:sz="4" w:space="0" w:color="auto"/>
              <w:right w:val="nil"/>
            </w:tcBorders>
            <w:shd w:val="clear" w:color="auto" w:fill="auto"/>
            <w:noWrap/>
            <w:vAlign w:val="center"/>
            <w:hideMark/>
          </w:tcPr>
          <w:p w14:paraId="28685A4D" w14:textId="77777777" w:rsidR="00DD531B" w:rsidRPr="00DD531B" w:rsidRDefault="00DD531B" w:rsidP="00485571">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2023 OS</w:t>
            </w:r>
          </w:p>
        </w:tc>
        <w:tc>
          <w:tcPr>
            <w:tcW w:w="371" w:type="pct"/>
            <w:tcBorders>
              <w:top w:val="single" w:sz="4" w:space="0" w:color="auto"/>
              <w:left w:val="nil"/>
              <w:bottom w:val="single" w:sz="4" w:space="0" w:color="auto"/>
              <w:right w:val="nil"/>
            </w:tcBorders>
            <w:shd w:val="clear" w:color="auto" w:fill="auto"/>
            <w:noWrap/>
            <w:vAlign w:val="center"/>
            <w:hideMark/>
          </w:tcPr>
          <w:p w14:paraId="465CFE0F" w14:textId="77777777" w:rsidR="00DD531B" w:rsidRPr="00DD531B" w:rsidRDefault="00DD531B" w:rsidP="00485571">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2024 N</w:t>
            </w:r>
          </w:p>
        </w:tc>
        <w:tc>
          <w:tcPr>
            <w:tcW w:w="371" w:type="pct"/>
            <w:tcBorders>
              <w:top w:val="single" w:sz="4" w:space="0" w:color="auto"/>
              <w:left w:val="nil"/>
              <w:bottom w:val="single" w:sz="4" w:space="0" w:color="auto"/>
              <w:right w:val="nil"/>
            </w:tcBorders>
            <w:shd w:val="clear" w:color="auto" w:fill="auto"/>
            <w:noWrap/>
            <w:vAlign w:val="center"/>
            <w:hideMark/>
          </w:tcPr>
          <w:p w14:paraId="788B673A" w14:textId="77777777" w:rsidR="00DD531B" w:rsidRPr="00DD531B" w:rsidRDefault="00DD531B" w:rsidP="00485571">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2025 N</w:t>
            </w:r>
          </w:p>
        </w:tc>
        <w:tc>
          <w:tcPr>
            <w:tcW w:w="371" w:type="pct"/>
            <w:tcBorders>
              <w:top w:val="single" w:sz="4" w:space="0" w:color="auto"/>
              <w:left w:val="nil"/>
              <w:bottom w:val="single" w:sz="4" w:space="0" w:color="auto"/>
              <w:right w:val="nil"/>
            </w:tcBorders>
            <w:shd w:val="clear" w:color="auto" w:fill="auto"/>
            <w:noWrap/>
            <w:vAlign w:val="center"/>
            <w:hideMark/>
          </w:tcPr>
          <w:p w14:paraId="17041DD9" w14:textId="77777777" w:rsidR="00DD531B" w:rsidRPr="00DD531B" w:rsidRDefault="00DD531B" w:rsidP="00485571">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2026 N</w:t>
            </w:r>
          </w:p>
        </w:tc>
      </w:tr>
      <w:tr w:rsidR="00DD531B" w:rsidRPr="00DD531B" w14:paraId="3A0462D5" w14:textId="77777777" w:rsidTr="001F24AE">
        <w:trPr>
          <w:trHeight w:val="300"/>
        </w:trPr>
        <w:tc>
          <w:tcPr>
            <w:tcW w:w="2405" w:type="pct"/>
            <w:tcBorders>
              <w:top w:val="nil"/>
              <w:left w:val="nil"/>
              <w:bottom w:val="nil"/>
              <w:right w:val="nil"/>
            </w:tcBorders>
            <w:shd w:val="clear" w:color="auto" w:fill="auto"/>
            <w:noWrap/>
            <w:vAlign w:val="bottom"/>
            <w:hideMark/>
          </w:tcPr>
          <w:p w14:paraId="72EF1D89" w14:textId="77777777" w:rsidR="00DD531B" w:rsidRPr="00DD531B" w:rsidRDefault="00DD531B" w:rsidP="00DD531B">
            <w:pPr>
              <w:spacing w:after="0" w:line="240" w:lineRule="auto"/>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Príjmy kapitoly spolu</w:t>
            </w:r>
          </w:p>
        </w:tc>
        <w:tc>
          <w:tcPr>
            <w:tcW w:w="371" w:type="pct"/>
            <w:tcBorders>
              <w:top w:val="nil"/>
              <w:left w:val="nil"/>
              <w:bottom w:val="nil"/>
              <w:right w:val="nil"/>
            </w:tcBorders>
            <w:shd w:val="clear" w:color="auto" w:fill="auto"/>
            <w:noWrap/>
            <w:vAlign w:val="bottom"/>
            <w:hideMark/>
          </w:tcPr>
          <w:p w14:paraId="5A4D0D39"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442 113</w:t>
            </w:r>
          </w:p>
        </w:tc>
        <w:tc>
          <w:tcPr>
            <w:tcW w:w="371" w:type="pct"/>
            <w:tcBorders>
              <w:top w:val="nil"/>
              <w:left w:val="nil"/>
              <w:bottom w:val="nil"/>
              <w:right w:val="nil"/>
            </w:tcBorders>
            <w:shd w:val="clear" w:color="auto" w:fill="auto"/>
            <w:noWrap/>
            <w:vAlign w:val="bottom"/>
            <w:hideMark/>
          </w:tcPr>
          <w:p w14:paraId="590138AB"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203 811</w:t>
            </w:r>
          </w:p>
        </w:tc>
        <w:tc>
          <w:tcPr>
            <w:tcW w:w="371" w:type="pct"/>
            <w:tcBorders>
              <w:top w:val="nil"/>
              <w:left w:val="nil"/>
              <w:bottom w:val="nil"/>
              <w:right w:val="nil"/>
            </w:tcBorders>
            <w:shd w:val="clear" w:color="auto" w:fill="auto"/>
            <w:noWrap/>
            <w:vAlign w:val="bottom"/>
            <w:hideMark/>
          </w:tcPr>
          <w:p w14:paraId="1EE7E6B8"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519 361</w:t>
            </w:r>
          </w:p>
        </w:tc>
        <w:tc>
          <w:tcPr>
            <w:tcW w:w="371" w:type="pct"/>
            <w:tcBorders>
              <w:top w:val="nil"/>
              <w:left w:val="nil"/>
              <w:bottom w:val="nil"/>
              <w:right w:val="nil"/>
            </w:tcBorders>
            <w:shd w:val="clear" w:color="auto" w:fill="auto"/>
            <w:noWrap/>
            <w:vAlign w:val="bottom"/>
            <w:hideMark/>
          </w:tcPr>
          <w:p w14:paraId="418AD837"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335 153</w:t>
            </w:r>
          </w:p>
        </w:tc>
        <w:tc>
          <w:tcPr>
            <w:tcW w:w="371" w:type="pct"/>
            <w:tcBorders>
              <w:top w:val="nil"/>
              <w:left w:val="nil"/>
              <w:bottom w:val="nil"/>
              <w:right w:val="nil"/>
            </w:tcBorders>
            <w:shd w:val="clear" w:color="auto" w:fill="auto"/>
            <w:noWrap/>
            <w:vAlign w:val="bottom"/>
            <w:hideMark/>
          </w:tcPr>
          <w:p w14:paraId="069598BD"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77 722</w:t>
            </w:r>
          </w:p>
        </w:tc>
        <w:tc>
          <w:tcPr>
            <w:tcW w:w="371" w:type="pct"/>
            <w:tcBorders>
              <w:top w:val="nil"/>
              <w:left w:val="nil"/>
              <w:bottom w:val="nil"/>
              <w:right w:val="nil"/>
            </w:tcBorders>
            <w:shd w:val="clear" w:color="auto" w:fill="auto"/>
            <w:noWrap/>
            <w:vAlign w:val="bottom"/>
            <w:hideMark/>
          </w:tcPr>
          <w:p w14:paraId="34114D92"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281 511</w:t>
            </w:r>
          </w:p>
        </w:tc>
        <w:tc>
          <w:tcPr>
            <w:tcW w:w="371" w:type="pct"/>
            <w:tcBorders>
              <w:top w:val="nil"/>
              <w:left w:val="nil"/>
              <w:bottom w:val="nil"/>
              <w:right w:val="nil"/>
            </w:tcBorders>
            <w:shd w:val="clear" w:color="auto" w:fill="auto"/>
            <w:noWrap/>
            <w:vAlign w:val="bottom"/>
            <w:hideMark/>
          </w:tcPr>
          <w:p w14:paraId="16D9BBC0"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299 872</w:t>
            </w:r>
          </w:p>
        </w:tc>
      </w:tr>
      <w:tr w:rsidR="00DD531B" w:rsidRPr="00DD531B" w14:paraId="20ECC72D" w14:textId="77777777" w:rsidTr="001F24AE">
        <w:trPr>
          <w:trHeight w:val="300"/>
        </w:trPr>
        <w:tc>
          <w:tcPr>
            <w:tcW w:w="2405" w:type="pct"/>
            <w:tcBorders>
              <w:top w:val="nil"/>
              <w:left w:val="nil"/>
              <w:bottom w:val="nil"/>
              <w:right w:val="nil"/>
            </w:tcBorders>
            <w:shd w:val="clear" w:color="auto" w:fill="auto"/>
            <w:noWrap/>
            <w:vAlign w:val="bottom"/>
            <w:hideMark/>
          </w:tcPr>
          <w:p w14:paraId="5550540D" w14:textId="77777777" w:rsidR="00DD531B" w:rsidRPr="00DD531B" w:rsidRDefault="00DD531B" w:rsidP="00DD531B">
            <w:pPr>
              <w:spacing w:after="0" w:line="240" w:lineRule="auto"/>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nedaňové príjmy</w:t>
            </w:r>
          </w:p>
        </w:tc>
        <w:tc>
          <w:tcPr>
            <w:tcW w:w="371" w:type="pct"/>
            <w:tcBorders>
              <w:top w:val="nil"/>
              <w:left w:val="nil"/>
              <w:bottom w:val="nil"/>
              <w:right w:val="nil"/>
            </w:tcBorders>
            <w:shd w:val="clear" w:color="auto" w:fill="auto"/>
            <w:noWrap/>
            <w:vAlign w:val="bottom"/>
            <w:hideMark/>
          </w:tcPr>
          <w:p w14:paraId="05B56C4A"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23 215</w:t>
            </w:r>
          </w:p>
        </w:tc>
        <w:tc>
          <w:tcPr>
            <w:tcW w:w="371" w:type="pct"/>
            <w:tcBorders>
              <w:top w:val="nil"/>
              <w:left w:val="nil"/>
              <w:bottom w:val="nil"/>
              <w:right w:val="nil"/>
            </w:tcBorders>
            <w:shd w:val="clear" w:color="auto" w:fill="auto"/>
            <w:noWrap/>
            <w:vAlign w:val="bottom"/>
            <w:hideMark/>
          </w:tcPr>
          <w:p w14:paraId="1C08062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21 043</w:t>
            </w:r>
          </w:p>
        </w:tc>
        <w:tc>
          <w:tcPr>
            <w:tcW w:w="371" w:type="pct"/>
            <w:tcBorders>
              <w:top w:val="nil"/>
              <w:left w:val="nil"/>
              <w:bottom w:val="nil"/>
              <w:right w:val="nil"/>
            </w:tcBorders>
            <w:shd w:val="clear" w:color="auto" w:fill="auto"/>
            <w:noWrap/>
            <w:vAlign w:val="bottom"/>
            <w:hideMark/>
          </w:tcPr>
          <w:p w14:paraId="7AE0297A"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16 000</w:t>
            </w:r>
          </w:p>
        </w:tc>
        <w:tc>
          <w:tcPr>
            <w:tcW w:w="371" w:type="pct"/>
            <w:tcBorders>
              <w:top w:val="nil"/>
              <w:left w:val="nil"/>
              <w:bottom w:val="nil"/>
              <w:right w:val="nil"/>
            </w:tcBorders>
            <w:shd w:val="clear" w:color="auto" w:fill="auto"/>
            <w:noWrap/>
            <w:vAlign w:val="bottom"/>
            <w:hideMark/>
          </w:tcPr>
          <w:p w14:paraId="04A4397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17 894</w:t>
            </w:r>
          </w:p>
        </w:tc>
        <w:tc>
          <w:tcPr>
            <w:tcW w:w="371" w:type="pct"/>
            <w:tcBorders>
              <w:top w:val="nil"/>
              <w:left w:val="nil"/>
              <w:bottom w:val="nil"/>
              <w:right w:val="nil"/>
            </w:tcBorders>
            <w:shd w:val="clear" w:color="auto" w:fill="auto"/>
            <w:noWrap/>
            <w:vAlign w:val="bottom"/>
            <w:hideMark/>
          </w:tcPr>
          <w:p w14:paraId="2B3C4AF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17 500</w:t>
            </w:r>
          </w:p>
        </w:tc>
        <w:tc>
          <w:tcPr>
            <w:tcW w:w="371" w:type="pct"/>
            <w:tcBorders>
              <w:top w:val="nil"/>
              <w:left w:val="nil"/>
              <w:bottom w:val="nil"/>
              <w:right w:val="nil"/>
            </w:tcBorders>
            <w:shd w:val="clear" w:color="auto" w:fill="auto"/>
            <w:noWrap/>
            <w:vAlign w:val="bottom"/>
            <w:hideMark/>
          </w:tcPr>
          <w:p w14:paraId="4313BD7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17 500</w:t>
            </w:r>
          </w:p>
        </w:tc>
        <w:tc>
          <w:tcPr>
            <w:tcW w:w="371" w:type="pct"/>
            <w:tcBorders>
              <w:top w:val="nil"/>
              <w:left w:val="nil"/>
              <w:bottom w:val="nil"/>
              <w:right w:val="nil"/>
            </w:tcBorders>
            <w:shd w:val="clear" w:color="auto" w:fill="auto"/>
            <w:noWrap/>
            <w:vAlign w:val="bottom"/>
            <w:hideMark/>
          </w:tcPr>
          <w:p w14:paraId="6757733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17 500</w:t>
            </w:r>
          </w:p>
        </w:tc>
      </w:tr>
      <w:tr w:rsidR="00DD531B" w:rsidRPr="00DD531B" w14:paraId="6604B21C" w14:textId="77777777" w:rsidTr="001F24AE">
        <w:trPr>
          <w:trHeight w:val="300"/>
        </w:trPr>
        <w:tc>
          <w:tcPr>
            <w:tcW w:w="2405" w:type="pct"/>
            <w:tcBorders>
              <w:top w:val="nil"/>
              <w:left w:val="nil"/>
              <w:bottom w:val="nil"/>
              <w:right w:val="nil"/>
            </w:tcBorders>
            <w:shd w:val="clear" w:color="auto" w:fill="auto"/>
            <w:noWrap/>
            <w:vAlign w:val="bottom"/>
            <w:hideMark/>
          </w:tcPr>
          <w:p w14:paraId="36A1BEEC" w14:textId="77777777" w:rsidR="00DD531B" w:rsidRPr="00DD531B" w:rsidRDefault="00DD531B" w:rsidP="00DD531B">
            <w:pPr>
              <w:spacing w:after="0" w:line="240" w:lineRule="auto"/>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granty a transfery, v tom:</w:t>
            </w:r>
          </w:p>
        </w:tc>
        <w:tc>
          <w:tcPr>
            <w:tcW w:w="371" w:type="pct"/>
            <w:tcBorders>
              <w:top w:val="nil"/>
              <w:left w:val="nil"/>
              <w:bottom w:val="nil"/>
              <w:right w:val="nil"/>
            </w:tcBorders>
            <w:shd w:val="clear" w:color="auto" w:fill="auto"/>
            <w:noWrap/>
            <w:vAlign w:val="bottom"/>
            <w:hideMark/>
          </w:tcPr>
          <w:p w14:paraId="762638B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418 831</w:t>
            </w:r>
          </w:p>
        </w:tc>
        <w:tc>
          <w:tcPr>
            <w:tcW w:w="371" w:type="pct"/>
            <w:tcBorders>
              <w:top w:val="nil"/>
              <w:left w:val="nil"/>
              <w:bottom w:val="nil"/>
              <w:right w:val="nil"/>
            </w:tcBorders>
            <w:shd w:val="clear" w:color="auto" w:fill="auto"/>
            <w:noWrap/>
            <w:vAlign w:val="bottom"/>
            <w:hideMark/>
          </w:tcPr>
          <w:p w14:paraId="335A2A7B"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182 671</w:t>
            </w:r>
          </w:p>
        </w:tc>
        <w:tc>
          <w:tcPr>
            <w:tcW w:w="371" w:type="pct"/>
            <w:tcBorders>
              <w:top w:val="nil"/>
              <w:left w:val="nil"/>
              <w:bottom w:val="nil"/>
              <w:right w:val="nil"/>
            </w:tcBorders>
            <w:shd w:val="clear" w:color="auto" w:fill="auto"/>
            <w:noWrap/>
            <w:vAlign w:val="bottom"/>
            <w:hideMark/>
          </w:tcPr>
          <w:p w14:paraId="251C897A"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503 246</w:t>
            </w:r>
          </w:p>
        </w:tc>
        <w:tc>
          <w:tcPr>
            <w:tcW w:w="371" w:type="pct"/>
            <w:tcBorders>
              <w:top w:val="nil"/>
              <w:left w:val="nil"/>
              <w:bottom w:val="nil"/>
              <w:right w:val="nil"/>
            </w:tcBorders>
            <w:shd w:val="clear" w:color="auto" w:fill="auto"/>
            <w:noWrap/>
            <w:vAlign w:val="bottom"/>
            <w:hideMark/>
          </w:tcPr>
          <w:p w14:paraId="52D2CA2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317 077</w:t>
            </w:r>
          </w:p>
        </w:tc>
        <w:tc>
          <w:tcPr>
            <w:tcW w:w="371" w:type="pct"/>
            <w:tcBorders>
              <w:top w:val="nil"/>
              <w:left w:val="nil"/>
              <w:bottom w:val="nil"/>
              <w:right w:val="nil"/>
            </w:tcBorders>
            <w:shd w:val="clear" w:color="auto" w:fill="auto"/>
            <w:noWrap/>
            <w:vAlign w:val="bottom"/>
            <w:hideMark/>
          </w:tcPr>
          <w:p w14:paraId="7BA2739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60 106</w:t>
            </w:r>
          </w:p>
        </w:tc>
        <w:tc>
          <w:tcPr>
            <w:tcW w:w="371" w:type="pct"/>
            <w:tcBorders>
              <w:top w:val="nil"/>
              <w:left w:val="nil"/>
              <w:bottom w:val="nil"/>
              <w:right w:val="nil"/>
            </w:tcBorders>
            <w:shd w:val="clear" w:color="auto" w:fill="auto"/>
            <w:noWrap/>
            <w:vAlign w:val="bottom"/>
            <w:hideMark/>
          </w:tcPr>
          <w:p w14:paraId="223A3D6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263 896</w:t>
            </w:r>
          </w:p>
        </w:tc>
        <w:tc>
          <w:tcPr>
            <w:tcW w:w="371" w:type="pct"/>
            <w:tcBorders>
              <w:top w:val="nil"/>
              <w:left w:val="nil"/>
              <w:bottom w:val="nil"/>
              <w:right w:val="nil"/>
            </w:tcBorders>
            <w:shd w:val="clear" w:color="auto" w:fill="auto"/>
            <w:noWrap/>
            <w:vAlign w:val="bottom"/>
            <w:hideMark/>
          </w:tcPr>
          <w:p w14:paraId="2F51891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282 256</w:t>
            </w:r>
          </w:p>
        </w:tc>
      </w:tr>
      <w:tr w:rsidR="00DD531B" w:rsidRPr="00DD531B" w14:paraId="12288189" w14:textId="77777777" w:rsidTr="001F24AE">
        <w:trPr>
          <w:trHeight w:val="300"/>
        </w:trPr>
        <w:tc>
          <w:tcPr>
            <w:tcW w:w="2405" w:type="pct"/>
            <w:tcBorders>
              <w:top w:val="nil"/>
              <w:left w:val="nil"/>
              <w:bottom w:val="nil"/>
              <w:right w:val="nil"/>
            </w:tcBorders>
            <w:shd w:val="clear" w:color="auto" w:fill="auto"/>
            <w:noWrap/>
            <w:vAlign w:val="bottom"/>
            <w:hideMark/>
          </w:tcPr>
          <w:p w14:paraId="5D31C0F3" w14:textId="77777777" w:rsidR="00DD531B" w:rsidRPr="00DD531B" w:rsidRDefault="00DD531B" w:rsidP="00DD531B">
            <w:pPr>
              <w:spacing w:after="0" w:line="240" w:lineRule="auto"/>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prostriedky EÚ</w:t>
            </w:r>
          </w:p>
        </w:tc>
        <w:tc>
          <w:tcPr>
            <w:tcW w:w="371" w:type="pct"/>
            <w:tcBorders>
              <w:top w:val="nil"/>
              <w:left w:val="nil"/>
              <w:bottom w:val="nil"/>
              <w:right w:val="nil"/>
            </w:tcBorders>
            <w:shd w:val="clear" w:color="auto" w:fill="auto"/>
            <w:noWrap/>
            <w:vAlign w:val="bottom"/>
            <w:hideMark/>
          </w:tcPr>
          <w:p w14:paraId="58C40FE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418 831</w:t>
            </w:r>
          </w:p>
        </w:tc>
        <w:tc>
          <w:tcPr>
            <w:tcW w:w="371" w:type="pct"/>
            <w:tcBorders>
              <w:top w:val="nil"/>
              <w:left w:val="nil"/>
              <w:bottom w:val="nil"/>
              <w:right w:val="nil"/>
            </w:tcBorders>
            <w:shd w:val="clear" w:color="auto" w:fill="auto"/>
            <w:noWrap/>
            <w:vAlign w:val="bottom"/>
            <w:hideMark/>
          </w:tcPr>
          <w:p w14:paraId="74A2104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182 671</w:t>
            </w:r>
          </w:p>
        </w:tc>
        <w:tc>
          <w:tcPr>
            <w:tcW w:w="371" w:type="pct"/>
            <w:tcBorders>
              <w:top w:val="nil"/>
              <w:left w:val="nil"/>
              <w:bottom w:val="nil"/>
              <w:right w:val="nil"/>
            </w:tcBorders>
            <w:shd w:val="clear" w:color="auto" w:fill="auto"/>
            <w:noWrap/>
            <w:vAlign w:val="bottom"/>
            <w:hideMark/>
          </w:tcPr>
          <w:p w14:paraId="0856DF4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503 246</w:t>
            </w:r>
          </w:p>
        </w:tc>
        <w:tc>
          <w:tcPr>
            <w:tcW w:w="371" w:type="pct"/>
            <w:tcBorders>
              <w:top w:val="nil"/>
              <w:left w:val="nil"/>
              <w:bottom w:val="nil"/>
              <w:right w:val="nil"/>
            </w:tcBorders>
            <w:shd w:val="clear" w:color="auto" w:fill="auto"/>
            <w:noWrap/>
            <w:vAlign w:val="bottom"/>
            <w:hideMark/>
          </w:tcPr>
          <w:p w14:paraId="07BFF02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317 077</w:t>
            </w:r>
          </w:p>
        </w:tc>
        <w:tc>
          <w:tcPr>
            <w:tcW w:w="371" w:type="pct"/>
            <w:tcBorders>
              <w:top w:val="nil"/>
              <w:left w:val="nil"/>
              <w:bottom w:val="nil"/>
              <w:right w:val="nil"/>
            </w:tcBorders>
            <w:shd w:val="clear" w:color="auto" w:fill="auto"/>
            <w:noWrap/>
            <w:vAlign w:val="bottom"/>
            <w:hideMark/>
          </w:tcPr>
          <w:p w14:paraId="696D91D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60 106</w:t>
            </w:r>
          </w:p>
        </w:tc>
        <w:tc>
          <w:tcPr>
            <w:tcW w:w="371" w:type="pct"/>
            <w:tcBorders>
              <w:top w:val="nil"/>
              <w:left w:val="nil"/>
              <w:bottom w:val="nil"/>
              <w:right w:val="nil"/>
            </w:tcBorders>
            <w:shd w:val="clear" w:color="auto" w:fill="auto"/>
            <w:noWrap/>
            <w:vAlign w:val="bottom"/>
            <w:hideMark/>
          </w:tcPr>
          <w:p w14:paraId="2B81A8D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263 896</w:t>
            </w:r>
          </w:p>
        </w:tc>
        <w:tc>
          <w:tcPr>
            <w:tcW w:w="371" w:type="pct"/>
            <w:tcBorders>
              <w:top w:val="nil"/>
              <w:left w:val="nil"/>
              <w:bottom w:val="nil"/>
              <w:right w:val="nil"/>
            </w:tcBorders>
            <w:shd w:val="clear" w:color="auto" w:fill="auto"/>
            <w:noWrap/>
            <w:vAlign w:val="bottom"/>
            <w:hideMark/>
          </w:tcPr>
          <w:p w14:paraId="283847D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282 256</w:t>
            </w:r>
          </w:p>
        </w:tc>
      </w:tr>
      <w:tr w:rsidR="00DD531B" w:rsidRPr="00DD531B" w14:paraId="01AD72EB" w14:textId="77777777" w:rsidTr="001F24AE">
        <w:trPr>
          <w:trHeight w:val="300"/>
        </w:trPr>
        <w:tc>
          <w:tcPr>
            <w:tcW w:w="2405" w:type="pct"/>
            <w:tcBorders>
              <w:top w:val="nil"/>
              <w:left w:val="nil"/>
              <w:bottom w:val="single" w:sz="4" w:space="0" w:color="auto"/>
              <w:right w:val="nil"/>
            </w:tcBorders>
            <w:shd w:val="clear" w:color="auto" w:fill="auto"/>
            <w:noWrap/>
            <w:vAlign w:val="bottom"/>
            <w:hideMark/>
          </w:tcPr>
          <w:p w14:paraId="36FE1F5D" w14:textId="77777777" w:rsidR="00DD531B" w:rsidRPr="00DD531B" w:rsidRDefault="00DD531B" w:rsidP="00DD531B">
            <w:pPr>
              <w:spacing w:after="0" w:line="240" w:lineRule="auto"/>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prostriedky podľa § 17 ods. 4 a § 22 ods. 4 zákona č. 523/2004 Z. z.</w:t>
            </w:r>
          </w:p>
        </w:tc>
        <w:tc>
          <w:tcPr>
            <w:tcW w:w="371" w:type="pct"/>
            <w:tcBorders>
              <w:top w:val="nil"/>
              <w:left w:val="nil"/>
              <w:bottom w:val="single" w:sz="4" w:space="0" w:color="auto"/>
              <w:right w:val="nil"/>
            </w:tcBorders>
            <w:shd w:val="clear" w:color="auto" w:fill="auto"/>
            <w:noWrap/>
            <w:vAlign w:val="bottom"/>
            <w:hideMark/>
          </w:tcPr>
          <w:p w14:paraId="4E060E4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66</w:t>
            </w:r>
          </w:p>
        </w:tc>
        <w:tc>
          <w:tcPr>
            <w:tcW w:w="371" w:type="pct"/>
            <w:tcBorders>
              <w:top w:val="nil"/>
              <w:left w:val="nil"/>
              <w:bottom w:val="single" w:sz="4" w:space="0" w:color="auto"/>
              <w:right w:val="nil"/>
            </w:tcBorders>
            <w:shd w:val="clear" w:color="auto" w:fill="auto"/>
            <w:noWrap/>
            <w:vAlign w:val="bottom"/>
            <w:hideMark/>
          </w:tcPr>
          <w:p w14:paraId="595E64F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97</w:t>
            </w:r>
          </w:p>
        </w:tc>
        <w:tc>
          <w:tcPr>
            <w:tcW w:w="371" w:type="pct"/>
            <w:tcBorders>
              <w:top w:val="nil"/>
              <w:left w:val="nil"/>
              <w:bottom w:val="single" w:sz="4" w:space="0" w:color="auto"/>
              <w:right w:val="nil"/>
            </w:tcBorders>
            <w:shd w:val="clear" w:color="auto" w:fill="auto"/>
            <w:noWrap/>
            <w:vAlign w:val="bottom"/>
            <w:hideMark/>
          </w:tcPr>
          <w:p w14:paraId="1553B01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115</w:t>
            </w:r>
          </w:p>
        </w:tc>
        <w:tc>
          <w:tcPr>
            <w:tcW w:w="371" w:type="pct"/>
            <w:tcBorders>
              <w:top w:val="nil"/>
              <w:left w:val="nil"/>
              <w:bottom w:val="single" w:sz="4" w:space="0" w:color="auto"/>
              <w:right w:val="nil"/>
            </w:tcBorders>
            <w:shd w:val="clear" w:color="auto" w:fill="auto"/>
            <w:noWrap/>
            <w:vAlign w:val="bottom"/>
            <w:hideMark/>
          </w:tcPr>
          <w:p w14:paraId="46975F3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182</w:t>
            </w:r>
          </w:p>
        </w:tc>
        <w:tc>
          <w:tcPr>
            <w:tcW w:w="371" w:type="pct"/>
            <w:tcBorders>
              <w:top w:val="nil"/>
              <w:left w:val="nil"/>
              <w:bottom w:val="single" w:sz="4" w:space="0" w:color="auto"/>
              <w:right w:val="nil"/>
            </w:tcBorders>
            <w:shd w:val="clear" w:color="auto" w:fill="auto"/>
            <w:noWrap/>
            <w:vAlign w:val="bottom"/>
            <w:hideMark/>
          </w:tcPr>
          <w:p w14:paraId="382B7F7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115</w:t>
            </w:r>
          </w:p>
        </w:tc>
        <w:tc>
          <w:tcPr>
            <w:tcW w:w="371" w:type="pct"/>
            <w:tcBorders>
              <w:top w:val="nil"/>
              <w:left w:val="nil"/>
              <w:bottom w:val="single" w:sz="4" w:space="0" w:color="auto"/>
              <w:right w:val="nil"/>
            </w:tcBorders>
            <w:shd w:val="clear" w:color="auto" w:fill="auto"/>
            <w:noWrap/>
            <w:vAlign w:val="bottom"/>
            <w:hideMark/>
          </w:tcPr>
          <w:p w14:paraId="77C4E51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115</w:t>
            </w:r>
          </w:p>
        </w:tc>
        <w:tc>
          <w:tcPr>
            <w:tcW w:w="371" w:type="pct"/>
            <w:tcBorders>
              <w:top w:val="nil"/>
              <w:left w:val="nil"/>
              <w:bottom w:val="single" w:sz="4" w:space="0" w:color="auto"/>
              <w:right w:val="nil"/>
            </w:tcBorders>
            <w:shd w:val="clear" w:color="auto" w:fill="auto"/>
            <w:noWrap/>
            <w:vAlign w:val="bottom"/>
            <w:hideMark/>
          </w:tcPr>
          <w:p w14:paraId="5794C74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115</w:t>
            </w:r>
          </w:p>
        </w:tc>
      </w:tr>
    </w:tbl>
    <w:p w14:paraId="761E5478" w14:textId="77777777" w:rsidR="00DD531B" w:rsidRPr="00DD531B" w:rsidRDefault="00DD531B" w:rsidP="00DD531B">
      <w:pPr>
        <w:rPr>
          <w:rFonts w:ascii="Times New Roman" w:eastAsia="Calibri" w:hAnsi="Times New Roman" w:cs="Times New Roman"/>
        </w:rPr>
      </w:pPr>
    </w:p>
    <w:p w14:paraId="049B7B28" w14:textId="4CBB8091" w:rsidR="00DD531B" w:rsidRPr="00485571" w:rsidRDefault="00485571"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18" w:name="_Toc153013088"/>
      <w:r w:rsidRPr="00485571">
        <w:rPr>
          <w:rFonts w:ascii="Times New Roman" w:eastAsia="Times New Roman" w:hAnsi="Times New Roman" w:cs="Times New Roman"/>
          <w:b/>
          <w:iCs/>
          <w:color w:val="5B9BD5" w:themeColor="accent1"/>
          <w:sz w:val="20"/>
          <w:szCs w:val="20"/>
          <w:lang w:eastAsia="sk-SK"/>
        </w:rPr>
        <w:t xml:space="preserve">Tabuľka </w:t>
      </w:r>
      <w:r w:rsidRPr="00485571">
        <w:rPr>
          <w:rFonts w:ascii="Times New Roman" w:hAnsi="Times New Roman" w:cs="Times New Roman"/>
          <w:b/>
          <w:color w:val="5B9BD5" w:themeColor="accent1"/>
          <w:sz w:val="20"/>
          <w:szCs w:val="20"/>
        </w:rPr>
        <w:fldChar w:fldCharType="begin"/>
      </w:r>
      <w:r w:rsidRPr="00485571">
        <w:rPr>
          <w:rFonts w:ascii="Times New Roman" w:hAnsi="Times New Roman" w:cs="Times New Roman"/>
          <w:b/>
          <w:color w:val="5B9BD5" w:themeColor="accent1"/>
          <w:sz w:val="20"/>
          <w:szCs w:val="20"/>
        </w:rPr>
        <w:instrText xml:space="preserve"> SEQ Tabuľka \* ARABIC </w:instrText>
      </w:r>
      <w:r w:rsidRPr="00485571">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90</w:t>
      </w:r>
      <w:r w:rsidRPr="00485571">
        <w:rPr>
          <w:rFonts w:ascii="Times New Roman" w:hAnsi="Times New Roman" w:cs="Times New Roman"/>
          <w:b/>
          <w:color w:val="5B9BD5" w:themeColor="accent1"/>
          <w:sz w:val="20"/>
          <w:szCs w:val="20"/>
        </w:rPr>
        <w:fldChar w:fldCharType="end"/>
      </w:r>
      <w:r w:rsidRPr="00485571">
        <w:rPr>
          <w:rFonts w:ascii="Times New Roman" w:hAnsi="Times New Roman" w:cs="Times New Roman"/>
          <w:b/>
          <w:color w:val="5B9BD5" w:themeColor="accent1"/>
          <w:sz w:val="20"/>
          <w:szCs w:val="20"/>
        </w:rPr>
        <w:t xml:space="preserve"> - </w:t>
      </w:r>
      <w:r w:rsidR="00DD531B" w:rsidRPr="00485571">
        <w:rPr>
          <w:rFonts w:ascii="Times New Roman" w:eastAsia="Times New Roman" w:hAnsi="Times New Roman" w:cs="Times New Roman"/>
          <w:b/>
          <w:iCs/>
          <w:color w:val="5B9BD5" w:themeColor="accent1"/>
          <w:sz w:val="20"/>
          <w:szCs w:val="20"/>
          <w:lang w:eastAsia="sk-SK"/>
        </w:rPr>
        <w:t>Výdavky kapitoly MPSVR SR</w:t>
      </w:r>
      <w:bookmarkEnd w:id="218"/>
    </w:p>
    <w:tbl>
      <w:tblPr>
        <w:tblW w:w="5000" w:type="pct"/>
        <w:tblCellMar>
          <w:left w:w="70" w:type="dxa"/>
          <w:right w:w="70" w:type="dxa"/>
        </w:tblCellMar>
        <w:tblLook w:val="04A0" w:firstRow="1" w:lastRow="0" w:firstColumn="1" w:lastColumn="0" w:noHBand="0" w:noVBand="1"/>
      </w:tblPr>
      <w:tblGrid>
        <w:gridCol w:w="4172"/>
        <w:gridCol w:w="700"/>
        <w:gridCol w:w="700"/>
        <w:gridCol w:w="700"/>
        <w:gridCol w:w="700"/>
        <w:gridCol w:w="700"/>
        <w:gridCol w:w="700"/>
        <w:gridCol w:w="700"/>
      </w:tblGrid>
      <w:tr w:rsidR="00DD531B" w:rsidRPr="00DD531B" w14:paraId="0CDFC99E" w14:textId="77777777" w:rsidTr="001F24AE">
        <w:trPr>
          <w:trHeight w:val="300"/>
        </w:trPr>
        <w:tc>
          <w:tcPr>
            <w:tcW w:w="2405" w:type="pct"/>
            <w:tcBorders>
              <w:top w:val="single" w:sz="4" w:space="0" w:color="auto"/>
              <w:left w:val="nil"/>
              <w:bottom w:val="single" w:sz="4" w:space="0" w:color="auto"/>
              <w:right w:val="nil"/>
            </w:tcBorders>
            <w:shd w:val="clear" w:color="auto" w:fill="auto"/>
            <w:noWrap/>
            <w:vAlign w:val="center"/>
            <w:hideMark/>
          </w:tcPr>
          <w:p w14:paraId="5BD065CD" w14:textId="77777777" w:rsidR="00DD531B" w:rsidRPr="00DD531B" w:rsidRDefault="00DD531B" w:rsidP="00DD531B">
            <w:pPr>
              <w:spacing w:after="0" w:line="240" w:lineRule="auto"/>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v tis. eur</w:t>
            </w:r>
          </w:p>
        </w:tc>
        <w:tc>
          <w:tcPr>
            <w:tcW w:w="371" w:type="pct"/>
            <w:tcBorders>
              <w:top w:val="single" w:sz="4" w:space="0" w:color="auto"/>
              <w:left w:val="nil"/>
              <w:bottom w:val="single" w:sz="4" w:space="0" w:color="auto"/>
              <w:right w:val="nil"/>
            </w:tcBorders>
            <w:shd w:val="clear" w:color="auto" w:fill="auto"/>
            <w:noWrap/>
            <w:vAlign w:val="center"/>
            <w:hideMark/>
          </w:tcPr>
          <w:p w14:paraId="64DE531F" w14:textId="77777777" w:rsidR="00DD531B" w:rsidRPr="00DD531B" w:rsidRDefault="00DD531B" w:rsidP="00485571">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2021 S</w:t>
            </w:r>
          </w:p>
        </w:tc>
        <w:tc>
          <w:tcPr>
            <w:tcW w:w="371" w:type="pct"/>
            <w:tcBorders>
              <w:top w:val="single" w:sz="4" w:space="0" w:color="auto"/>
              <w:left w:val="nil"/>
              <w:bottom w:val="single" w:sz="4" w:space="0" w:color="auto"/>
              <w:right w:val="nil"/>
            </w:tcBorders>
            <w:shd w:val="clear" w:color="auto" w:fill="auto"/>
            <w:noWrap/>
            <w:vAlign w:val="center"/>
            <w:hideMark/>
          </w:tcPr>
          <w:p w14:paraId="4027AA72" w14:textId="77777777" w:rsidR="00DD531B" w:rsidRPr="00DD531B" w:rsidRDefault="00DD531B" w:rsidP="00485571">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2022 S</w:t>
            </w:r>
          </w:p>
        </w:tc>
        <w:tc>
          <w:tcPr>
            <w:tcW w:w="371" w:type="pct"/>
            <w:tcBorders>
              <w:top w:val="single" w:sz="4" w:space="0" w:color="auto"/>
              <w:left w:val="nil"/>
              <w:bottom w:val="single" w:sz="4" w:space="0" w:color="auto"/>
              <w:right w:val="nil"/>
            </w:tcBorders>
            <w:shd w:val="clear" w:color="auto" w:fill="auto"/>
            <w:noWrap/>
            <w:vAlign w:val="center"/>
            <w:hideMark/>
          </w:tcPr>
          <w:p w14:paraId="4CC2BD9E" w14:textId="77777777" w:rsidR="00DD531B" w:rsidRPr="00DD531B" w:rsidRDefault="00DD531B" w:rsidP="00485571">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2023 R</w:t>
            </w:r>
          </w:p>
        </w:tc>
        <w:tc>
          <w:tcPr>
            <w:tcW w:w="371" w:type="pct"/>
            <w:tcBorders>
              <w:top w:val="single" w:sz="4" w:space="0" w:color="auto"/>
              <w:left w:val="nil"/>
              <w:bottom w:val="single" w:sz="4" w:space="0" w:color="auto"/>
              <w:right w:val="nil"/>
            </w:tcBorders>
            <w:shd w:val="clear" w:color="auto" w:fill="auto"/>
            <w:noWrap/>
            <w:vAlign w:val="center"/>
            <w:hideMark/>
          </w:tcPr>
          <w:p w14:paraId="65F126F2" w14:textId="77777777" w:rsidR="00DD531B" w:rsidRPr="00DD531B" w:rsidRDefault="00DD531B" w:rsidP="00485571">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2023 OS</w:t>
            </w:r>
          </w:p>
        </w:tc>
        <w:tc>
          <w:tcPr>
            <w:tcW w:w="371" w:type="pct"/>
            <w:tcBorders>
              <w:top w:val="single" w:sz="4" w:space="0" w:color="auto"/>
              <w:left w:val="nil"/>
              <w:bottom w:val="single" w:sz="4" w:space="0" w:color="auto"/>
              <w:right w:val="nil"/>
            </w:tcBorders>
            <w:shd w:val="clear" w:color="auto" w:fill="auto"/>
            <w:noWrap/>
            <w:vAlign w:val="center"/>
            <w:hideMark/>
          </w:tcPr>
          <w:p w14:paraId="6F6FF5DE" w14:textId="77777777" w:rsidR="00DD531B" w:rsidRPr="00DD531B" w:rsidRDefault="00DD531B" w:rsidP="00485571">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2024 N</w:t>
            </w:r>
          </w:p>
        </w:tc>
        <w:tc>
          <w:tcPr>
            <w:tcW w:w="371" w:type="pct"/>
            <w:tcBorders>
              <w:top w:val="single" w:sz="4" w:space="0" w:color="auto"/>
              <w:left w:val="nil"/>
              <w:bottom w:val="single" w:sz="4" w:space="0" w:color="auto"/>
              <w:right w:val="nil"/>
            </w:tcBorders>
            <w:shd w:val="clear" w:color="auto" w:fill="auto"/>
            <w:noWrap/>
            <w:vAlign w:val="center"/>
            <w:hideMark/>
          </w:tcPr>
          <w:p w14:paraId="35382B54" w14:textId="77777777" w:rsidR="00DD531B" w:rsidRPr="00DD531B" w:rsidRDefault="00DD531B" w:rsidP="00485571">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2025 N</w:t>
            </w:r>
          </w:p>
        </w:tc>
        <w:tc>
          <w:tcPr>
            <w:tcW w:w="371" w:type="pct"/>
            <w:tcBorders>
              <w:top w:val="single" w:sz="4" w:space="0" w:color="auto"/>
              <w:left w:val="nil"/>
              <w:bottom w:val="single" w:sz="4" w:space="0" w:color="auto"/>
              <w:right w:val="nil"/>
            </w:tcBorders>
            <w:shd w:val="clear" w:color="auto" w:fill="auto"/>
            <w:noWrap/>
            <w:vAlign w:val="center"/>
            <w:hideMark/>
          </w:tcPr>
          <w:p w14:paraId="46E2FBB9" w14:textId="77777777" w:rsidR="00DD531B" w:rsidRPr="00DD531B" w:rsidRDefault="00DD531B" w:rsidP="00485571">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2026 N</w:t>
            </w:r>
          </w:p>
        </w:tc>
      </w:tr>
      <w:tr w:rsidR="00DD531B" w:rsidRPr="00DD531B" w14:paraId="50850E96" w14:textId="77777777" w:rsidTr="001F24AE">
        <w:trPr>
          <w:trHeight w:val="300"/>
        </w:trPr>
        <w:tc>
          <w:tcPr>
            <w:tcW w:w="2405" w:type="pct"/>
            <w:tcBorders>
              <w:top w:val="nil"/>
              <w:left w:val="nil"/>
              <w:bottom w:val="nil"/>
              <w:right w:val="nil"/>
            </w:tcBorders>
            <w:shd w:val="clear" w:color="auto" w:fill="auto"/>
            <w:noWrap/>
            <w:vAlign w:val="center"/>
            <w:hideMark/>
          </w:tcPr>
          <w:p w14:paraId="00466AF9" w14:textId="77777777" w:rsidR="00DD531B" w:rsidRPr="00DD531B" w:rsidRDefault="00DD531B" w:rsidP="00DD531B">
            <w:pPr>
              <w:spacing w:after="0" w:line="240" w:lineRule="auto"/>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Výdavky kapitoly spolu</w:t>
            </w:r>
          </w:p>
        </w:tc>
        <w:tc>
          <w:tcPr>
            <w:tcW w:w="371" w:type="pct"/>
            <w:tcBorders>
              <w:top w:val="nil"/>
              <w:left w:val="nil"/>
              <w:bottom w:val="nil"/>
              <w:right w:val="nil"/>
            </w:tcBorders>
            <w:shd w:val="clear" w:color="auto" w:fill="auto"/>
            <w:noWrap/>
            <w:vAlign w:val="center"/>
            <w:hideMark/>
          </w:tcPr>
          <w:p w14:paraId="28828B41"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5 059 696</w:t>
            </w:r>
          </w:p>
        </w:tc>
        <w:tc>
          <w:tcPr>
            <w:tcW w:w="371" w:type="pct"/>
            <w:tcBorders>
              <w:top w:val="nil"/>
              <w:left w:val="nil"/>
              <w:bottom w:val="nil"/>
              <w:right w:val="nil"/>
            </w:tcBorders>
            <w:shd w:val="clear" w:color="auto" w:fill="auto"/>
            <w:noWrap/>
            <w:vAlign w:val="center"/>
            <w:hideMark/>
          </w:tcPr>
          <w:p w14:paraId="33250A51"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4 146 175</w:t>
            </w:r>
          </w:p>
        </w:tc>
        <w:tc>
          <w:tcPr>
            <w:tcW w:w="371" w:type="pct"/>
            <w:tcBorders>
              <w:top w:val="nil"/>
              <w:left w:val="nil"/>
              <w:bottom w:val="nil"/>
              <w:right w:val="nil"/>
            </w:tcBorders>
            <w:shd w:val="clear" w:color="auto" w:fill="auto"/>
            <w:noWrap/>
            <w:vAlign w:val="center"/>
            <w:hideMark/>
          </w:tcPr>
          <w:p w14:paraId="2F099527"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5 110 570</w:t>
            </w:r>
          </w:p>
        </w:tc>
        <w:tc>
          <w:tcPr>
            <w:tcW w:w="371" w:type="pct"/>
            <w:tcBorders>
              <w:top w:val="nil"/>
              <w:left w:val="nil"/>
              <w:bottom w:val="nil"/>
              <w:right w:val="nil"/>
            </w:tcBorders>
            <w:shd w:val="clear" w:color="auto" w:fill="auto"/>
            <w:noWrap/>
            <w:vAlign w:val="center"/>
            <w:hideMark/>
          </w:tcPr>
          <w:p w14:paraId="1DABB6D6"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5 026 250</w:t>
            </w:r>
          </w:p>
        </w:tc>
        <w:tc>
          <w:tcPr>
            <w:tcW w:w="371" w:type="pct"/>
            <w:tcBorders>
              <w:top w:val="nil"/>
              <w:left w:val="nil"/>
              <w:bottom w:val="nil"/>
              <w:right w:val="nil"/>
            </w:tcBorders>
            <w:shd w:val="clear" w:color="auto" w:fill="auto"/>
            <w:noWrap/>
            <w:vAlign w:val="center"/>
            <w:hideMark/>
          </w:tcPr>
          <w:p w14:paraId="5F91F606"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4 488 024</w:t>
            </w:r>
          </w:p>
        </w:tc>
        <w:tc>
          <w:tcPr>
            <w:tcW w:w="371" w:type="pct"/>
            <w:tcBorders>
              <w:top w:val="nil"/>
              <w:left w:val="nil"/>
              <w:bottom w:val="nil"/>
              <w:right w:val="nil"/>
            </w:tcBorders>
            <w:shd w:val="clear" w:color="auto" w:fill="auto"/>
            <w:noWrap/>
            <w:vAlign w:val="center"/>
            <w:hideMark/>
          </w:tcPr>
          <w:p w14:paraId="7D982C8D"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4 777 634</w:t>
            </w:r>
          </w:p>
        </w:tc>
        <w:tc>
          <w:tcPr>
            <w:tcW w:w="371" w:type="pct"/>
            <w:tcBorders>
              <w:top w:val="nil"/>
              <w:left w:val="nil"/>
              <w:bottom w:val="nil"/>
              <w:right w:val="nil"/>
            </w:tcBorders>
            <w:shd w:val="clear" w:color="auto" w:fill="auto"/>
            <w:noWrap/>
            <w:vAlign w:val="center"/>
            <w:hideMark/>
          </w:tcPr>
          <w:p w14:paraId="51F21E66"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4 842 550</w:t>
            </w:r>
          </w:p>
        </w:tc>
      </w:tr>
      <w:tr w:rsidR="00DD531B" w:rsidRPr="00DD531B" w14:paraId="2C3358A0" w14:textId="77777777" w:rsidTr="001F24AE">
        <w:trPr>
          <w:trHeight w:val="300"/>
        </w:trPr>
        <w:tc>
          <w:tcPr>
            <w:tcW w:w="2405" w:type="pct"/>
            <w:tcBorders>
              <w:top w:val="nil"/>
              <w:left w:val="nil"/>
              <w:bottom w:val="nil"/>
              <w:right w:val="nil"/>
            </w:tcBorders>
            <w:shd w:val="clear" w:color="auto" w:fill="auto"/>
            <w:noWrap/>
            <w:vAlign w:val="bottom"/>
            <w:hideMark/>
          </w:tcPr>
          <w:p w14:paraId="1B8D8109" w14:textId="77777777" w:rsidR="00DD531B" w:rsidRPr="00DD531B" w:rsidRDefault="00DD531B" w:rsidP="00DD531B">
            <w:pPr>
              <w:spacing w:after="0" w:line="240" w:lineRule="auto"/>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rozpočtové zdroje kapitoly</w:t>
            </w:r>
          </w:p>
        </w:tc>
        <w:tc>
          <w:tcPr>
            <w:tcW w:w="371" w:type="pct"/>
            <w:tcBorders>
              <w:top w:val="nil"/>
              <w:left w:val="nil"/>
              <w:bottom w:val="nil"/>
              <w:right w:val="nil"/>
            </w:tcBorders>
            <w:shd w:val="clear" w:color="auto" w:fill="auto"/>
            <w:noWrap/>
            <w:vAlign w:val="bottom"/>
            <w:hideMark/>
          </w:tcPr>
          <w:p w14:paraId="1E9C095E"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4 579 773</w:t>
            </w:r>
          </w:p>
        </w:tc>
        <w:tc>
          <w:tcPr>
            <w:tcW w:w="371" w:type="pct"/>
            <w:tcBorders>
              <w:top w:val="nil"/>
              <w:left w:val="nil"/>
              <w:bottom w:val="nil"/>
              <w:right w:val="nil"/>
            </w:tcBorders>
            <w:shd w:val="clear" w:color="auto" w:fill="auto"/>
            <w:noWrap/>
            <w:vAlign w:val="bottom"/>
            <w:hideMark/>
          </w:tcPr>
          <w:p w14:paraId="63201F7B"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3 920 799</w:t>
            </w:r>
          </w:p>
        </w:tc>
        <w:tc>
          <w:tcPr>
            <w:tcW w:w="371" w:type="pct"/>
            <w:tcBorders>
              <w:top w:val="nil"/>
              <w:left w:val="nil"/>
              <w:bottom w:val="nil"/>
              <w:right w:val="nil"/>
            </w:tcBorders>
            <w:shd w:val="clear" w:color="auto" w:fill="auto"/>
            <w:noWrap/>
            <w:vAlign w:val="bottom"/>
            <w:hideMark/>
          </w:tcPr>
          <w:p w14:paraId="6264A4B2"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4 462 870</w:t>
            </w:r>
          </w:p>
        </w:tc>
        <w:tc>
          <w:tcPr>
            <w:tcW w:w="371" w:type="pct"/>
            <w:tcBorders>
              <w:top w:val="nil"/>
              <w:left w:val="nil"/>
              <w:bottom w:val="nil"/>
              <w:right w:val="nil"/>
            </w:tcBorders>
            <w:shd w:val="clear" w:color="auto" w:fill="auto"/>
            <w:noWrap/>
            <w:vAlign w:val="bottom"/>
            <w:hideMark/>
          </w:tcPr>
          <w:p w14:paraId="4A0F39E6"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4 510 257</w:t>
            </w:r>
          </w:p>
        </w:tc>
        <w:tc>
          <w:tcPr>
            <w:tcW w:w="371" w:type="pct"/>
            <w:tcBorders>
              <w:top w:val="nil"/>
              <w:left w:val="nil"/>
              <w:bottom w:val="nil"/>
              <w:right w:val="nil"/>
            </w:tcBorders>
            <w:shd w:val="clear" w:color="auto" w:fill="auto"/>
            <w:noWrap/>
            <w:vAlign w:val="bottom"/>
            <w:hideMark/>
          </w:tcPr>
          <w:p w14:paraId="452D0259"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4 360 962</w:t>
            </w:r>
          </w:p>
        </w:tc>
        <w:tc>
          <w:tcPr>
            <w:tcW w:w="371" w:type="pct"/>
            <w:tcBorders>
              <w:top w:val="nil"/>
              <w:left w:val="nil"/>
              <w:bottom w:val="nil"/>
              <w:right w:val="nil"/>
            </w:tcBorders>
            <w:shd w:val="clear" w:color="auto" w:fill="auto"/>
            <w:noWrap/>
            <w:vAlign w:val="bottom"/>
            <w:hideMark/>
          </w:tcPr>
          <w:p w14:paraId="6ABFE958"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4 410 010</w:t>
            </w:r>
          </w:p>
        </w:tc>
        <w:tc>
          <w:tcPr>
            <w:tcW w:w="371" w:type="pct"/>
            <w:tcBorders>
              <w:top w:val="nil"/>
              <w:left w:val="nil"/>
              <w:bottom w:val="nil"/>
              <w:right w:val="nil"/>
            </w:tcBorders>
            <w:shd w:val="clear" w:color="auto" w:fill="auto"/>
            <w:noWrap/>
            <w:vAlign w:val="bottom"/>
            <w:hideMark/>
          </w:tcPr>
          <w:p w14:paraId="5F67CD14"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4 495 195</w:t>
            </w:r>
          </w:p>
        </w:tc>
      </w:tr>
      <w:tr w:rsidR="00DD531B" w:rsidRPr="00DD531B" w14:paraId="0D55416D" w14:textId="77777777" w:rsidTr="001F24AE">
        <w:trPr>
          <w:trHeight w:val="300"/>
        </w:trPr>
        <w:tc>
          <w:tcPr>
            <w:tcW w:w="2405" w:type="pct"/>
            <w:tcBorders>
              <w:top w:val="nil"/>
              <w:left w:val="nil"/>
              <w:bottom w:val="nil"/>
              <w:right w:val="nil"/>
            </w:tcBorders>
            <w:shd w:val="clear" w:color="auto" w:fill="auto"/>
            <w:noWrap/>
            <w:vAlign w:val="bottom"/>
            <w:hideMark/>
          </w:tcPr>
          <w:p w14:paraId="48DBBC3B"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bežné výdavky  600, v tom:</w:t>
            </w:r>
          </w:p>
        </w:tc>
        <w:tc>
          <w:tcPr>
            <w:tcW w:w="371" w:type="pct"/>
            <w:tcBorders>
              <w:top w:val="nil"/>
              <w:left w:val="nil"/>
              <w:bottom w:val="nil"/>
              <w:right w:val="nil"/>
            </w:tcBorders>
            <w:shd w:val="clear" w:color="auto" w:fill="auto"/>
            <w:noWrap/>
            <w:vAlign w:val="bottom"/>
            <w:hideMark/>
          </w:tcPr>
          <w:p w14:paraId="30D0EF9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4 570 520</w:t>
            </w:r>
          </w:p>
        </w:tc>
        <w:tc>
          <w:tcPr>
            <w:tcW w:w="371" w:type="pct"/>
            <w:tcBorders>
              <w:top w:val="nil"/>
              <w:left w:val="nil"/>
              <w:bottom w:val="nil"/>
              <w:right w:val="nil"/>
            </w:tcBorders>
            <w:shd w:val="clear" w:color="auto" w:fill="auto"/>
            <w:noWrap/>
            <w:vAlign w:val="bottom"/>
            <w:hideMark/>
          </w:tcPr>
          <w:p w14:paraId="5A832FC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3 667 864</w:t>
            </w:r>
          </w:p>
        </w:tc>
        <w:tc>
          <w:tcPr>
            <w:tcW w:w="371" w:type="pct"/>
            <w:tcBorders>
              <w:top w:val="nil"/>
              <w:left w:val="nil"/>
              <w:bottom w:val="nil"/>
              <w:right w:val="nil"/>
            </w:tcBorders>
            <w:shd w:val="clear" w:color="auto" w:fill="auto"/>
            <w:noWrap/>
            <w:vAlign w:val="bottom"/>
            <w:hideMark/>
          </w:tcPr>
          <w:p w14:paraId="75CC64D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4 458 952</w:t>
            </w:r>
          </w:p>
        </w:tc>
        <w:tc>
          <w:tcPr>
            <w:tcW w:w="371" w:type="pct"/>
            <w:tcBorders>
              <w:top w:val="nil"/>
              <w:left w:val="nil"/>
              <w:bottom w:val="nil"/>
              <w:right w:val="nil"/>
            </w:tcBorders>
            <w:shd w:val="clear" w:color="auto" w:fill="auto"/>
            <w:noWrap/>
            <w:vAlign w:val="bottom"/>
            <w:hideMark/>
          </w:tcPr>
          <w:p w14:paraId="3D4588D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4 500 984</w:t>
            </w:r>
          </w:p>
        </w:tc>
        <w:tc>
          <w:tcPr>
            <w:tcW w:w="371" w:type="pct"/>
            <w:tcBorders>
              <w:top w:val="nil"/>
              <w:left w:val="nil"/>
              <w:bottom w:val="nil"/>
              <w:right w:val="nil"/>
            </w:tcBorders>
            <w:shd w:val="clear" w:color="auto" w:fill="auto"/>
            <w:noWrap/>
            <w:vAlign w:val="bottom"/>
            <w:hideMark/>
          </w:tcPr>
          <w:p w14:paraId="2FA04A6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4 354 364</w:t>
            </w:r>
          </w:p>
        </w:tc>
        <w:tc>
          <w:tcPr>
            <w:tcW w:w="371" w:type="pct"/>
            <w:tcBorders>
              <w:top w:val="nil"/>
              <w:left w:val="nil"/>
              <w:bottom w:val="nil"/>
              <w:right w:val="nil"/>
            </w:tcBorders>
            <w:shd w:val="clear" w:color="auto" w:fill="auto"/>
            <w:noWrap/>
            <w:vAlign w:val="bottom"/>
            <w:hideMark/>
          </w:tcPr>
          <w:p w14:paraId="3352E2C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4 399 088</w:t>
            </w:r>
          </w:p>
        </w:tc>
        <w:tc>
          <w:tcPr>
            <w:tcW w:w="371" w:type="pct"/>
            <w:tcBorders>
              <w:top w:val="nil"/>
              <w:left w:val="nil"/>
              <w:bottom w:val="nil"/>
              <w:right w:val="nil"/>
            </w:tcBorders>
            <w:shd w:val="clear" w:color="auto" w:fill="auto"/>
            <w:noWrap/>
            <w:vAlign w:val="bottom"/>
            <w:hideMark/>
          </w:tcPr>
          <w:p w14:paraId="0DD3B1B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4 485 797</w:t>
            </w:r>
          </w:p>
        </w:tc>
      </w:tr>
      <w:tr w:rsidR="00DD531B" w:rsidRPr="00DD531B" w14:paraId="7AF5F017" w14:textId="77777777" w:rsidTr="001F24AE">
        <w:trPr>
          <w:trHeight w:val="300"/>
        </w:trPr>
        <w:tc>
          <w:tcPr>
            <w:tcW w:w="2405" w:type="pct"/>
            <w:tcBorders>
              <w:top w:val="nil"/>
              <w:left w:val="nil"/>
              <w:bottom w:val="nil"/>
              <w:right w:val="nil"/>
            </w:tcBorders>
            <w:shd w:val="clear" w:color="auto" w:fill="auto"/>
            <w:noWrap/>
            <w:vAlign w:val="bottom"/>
            <w:hideMark/>
          </w:tcPr>
          <w:p w14:paraId="1ABBAFD1"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610 mzdy</w:t>
            </w:r>
          </w:p>
        </w:tc>
        <w:tc>
          <w:tcPr>
            <w:tcW w:w="371" w:type="pct"/>
            <w:tcBorders>
              <w:top w:val="nil"/>
              <w:left w:val="nil"/>
              <w:bottom w:val="nil"/>
              <w:right w:val="nil"/>
            </w:tcBorders>
            <w:shd w:val="clear" w:color="auto" w:fill="auto"/>
            <w:noWrap/>
            <w:vAlign w:val="bottom"/>
            <w:hideMark/>
          </w:tcPr>
          <w:p w14:paraId="2D54A7C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187 572</w:t>
            </w:r>
          </w:p>
        </w:tc>
        <w:tc>
          <w:tcPr>
            <w:tcW w:w="371" w:type="pct"/>
            <w:tcBorders>
              <w:top w:val="nil"/>
              <w:left w:val="nil"/>
              <w:bottom w:val="nil"/>
              <w:right w:val="nil"/>
            </w:tcBorders>
            <w:shd w:val="clear" w:color="auto" w:fill="auto"/>
            <w:noWrap/>
            <w:vAlign w:val="bottom"/>
            <w:hideMark/>
          </w:tcPr>
          <w:p w14:paraId="23B4BE9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192 084</w:t>
            </w:r>
          </w:p>
        </w:tc>
        <w:tc>
          <w:tcPr>
            <w:tcW w:w="371" w:type="pct"/>
            <w:tcBorders>
              <w:top w:val="nil"/>
              <w:left w:val="nil"/>
              <w:bottom w:val="nil"/>
              <w:right w:val="nil"/>
            </w:tcBorders>
            <w:shd w:val="clear" w:color="auto" w:fill="auto"/>
            <w:noWrap/>
            <w:vAlign w:val="bottom"/>
            <w:hideMark/>
          </w:tcPr>
          <w:p w14:paraId="68000C5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200 825</w:t>
            </w:r>
          </w:p>
        </w:tc>
        <w:tc>
          <w:tcPr>
            <w:tcW w:w="371" w:type="pct"/>
            <w:tcBorders>
              <w:top w:val="nil"/>
              <w:left w:val="nil"/>
              <w:bottom w:val="nil"/>
              <w:right w:val="nil"/>
            </w:tcBorders>
            <w:shd w:val="clear" w:color="auto" w:fill="auto"/>
            <w:noWrap/>
            <w:vAlign w:val="bottom"/>
            <w:hideMark/>
          </w:tcPr>
          <w:p w14:paraId="64E5E72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216 857</w:t>
            </w:r>
          </w:p>
        </w:tc>
        <w:tc>
          <w:tcPr>
            <w:tcW w:w="371" w:type="pct"/>
            <w:tcBorders>
              <w:top w:val="nil"/>
              <w:left w:val="nil"/>
              <w:bottom w:val="nil"/>
              <w:right w:val="nil"/>
            </w:tcBorders>
            <w:shd w:val="clear" w:color="auto" w:fill="auto"/>
            <w:noWrap/>
            <w:vAlign w:val="bottom"/>
            <w:hideMark/>
          </w:tcPr>
          <w:p w14:paraId="62E2A26E"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234 864</w:t>
            </w:r>
          </w:p>
        </w:tc>
        <w:tc>
          <w:tcPr>
            <w:tcW w:w="371" w:type="pct"/>
            <w:tcBorders>
              <w:top w:val="nil"/>
              <w:left w:val="nil"/>
              <w:bottom w:val="nil"/>
              <w:right w:val="nil"/>
            </w:tcBorders>
            <w:shd w:val="clear" w:color="auto" w:fill="auto"/>
            <w:noWrap/>
            <w:vAlign w:val="bottom"/>
            <w:hideMark/>
          </w:tcPr>
          <w:p w14:paraId="2B7E442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234 905</w:t>
            </w:r>
          </w:p>
        </w:tc>
        <w:tc>
          <w:tcPr>
            <w:tcW w:w="371" w:type="pct"/>
            <w:tcBorders>
              <w:top w:val="nil"/>
              <w:left w:val="nil"/>
              <w:bottom w:val="nil"/>
              <w:right w:val="nil"/>
            </w:tcBorders>
            <w:shd w:val="clear" w:color="auto" w:fill="auto"/>
            <w:noWrap/>
            <w:vAlign w:val="bottom"/>
            <w:hideMark/>
          </w:tcPr>
          <w:p w14:paraId="260A79F8"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234 945</w:t>
            </w:r>
          </w:p>
        </w:tc>
      </w:tr>
      <w:tr w:rsidR="00DD531B" w:rsidRPr="00DD531B" w14:paraId="593B895A" w14:textId="77777777" w:rsidTr="001F24AE">
        <w:trPr>
          <w:trHeight w:val="300"/>
        </w:trPr>
        <w:tc>
          <w:tcPr>
            <w:tcW w:w="2405" w:type="pct"/>
            <w:tcBorders>
              <w:top w:val="nil"/>
              <w:left w:val="nil"/>
              <w:bottom w:val="nil"/>
              <w:right w:val="nil"/>
            </w:tcBorders>
            <w:shd w:val="clear" w:color="auto" w:fill="auto"/>
            <w:noWrap/>
            <w:vAlign w:val="bottom"/>
            <w:hideMark/>
          </w:tcPr>
          <w:p w14:paraId="480889C2"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620 odvody</w:t>
            </w:r>
          </w:p>
        </w:tc>
        <w:tc>
          <w:tcPr>
            <w:tcW w:w="371" w:type="pct"/>
            <w:tcBorders>
              <w:top w:val="nil"/>
              <w:left w:val="nil"/>
              <w:bottom w:val="nil"/>
              <w:right w:val="nil"/>
            </w:tcBorders>
            <w:shd w:val="clear" w:color="auto" w:fill="auto"/>
            <w:noWrap/>
            <w:vAlign w:val="bottom"/>
            <w:hideMark/>
          </w:tcPr>
          <w:p w14:paraId="0A99A46E"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69 182</w:t>
            </w:r>
          </w:p>
        </w:tc>
        <w:tc>
          <w:tcPr>
            <w:tcW w:w="371" w:type="pct"/>
            <w:tcBorders>
              <w:top w:val="nil"/>
              <w:left w:val="nil"/>
              <w:bottom w:val="nil"/>
              <w:right w:val="nil"/>
            </w:tcBorders>
            <w:shd w:val="clear" w:color="auto" w:fill="auto"/>
            <w:noWrap/>
            <w:vAlign w:val="bottom"/>
            <w:hideMark/>
          </w:tcPr>
          <w:p w14:paraId="4345D85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71 097</w:t>
            </w:r>
          </w:p>
        </w:tc>
        <w:tc>
          <w:tcPr>
            <w:tcW w:w="371" w:type="pct"/>
            <w:tcBorders>
              <w:top w:val="nil"/>
              <w:left w:val="nil"/>
              <w:bottom w:val="nil"/>
              <w:right w:val="nil"/>
            </w:tcBorders>
            <w:shd w:val="clear" w:color="auto" w:fill="auto"/>
            <w:noWrap/>
            <w:vAlign w:val="bottom"/>
            <w:hideMark/>
          </w:tcPr>
          <w:p w14:paraId="69896D4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72 995</w:t>
            </w:r>
          </w:p>
        </w:tc>
        <w:tc>
          <w:tcPr>
            <w:tcW w:w="371" w:type="pct"/>
            <w:tcBorders>
              <w:top w:val="nil"/>
              <w:left w:val="nil"/>
              <w:bottom w:val="nil"/>
              <w:right w:val="nil"/>
            </w:tcBorders>
            <w:shd w:val="clear" w:color="auto" w:fill="auto"/>
            <w:noWrap/>
            <w:vAlign w:val="bottom"/>
            <w:hideMark/>
          </w:tcPr>
          <w:p w14:paraId="5832174E"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79 260</w:t>
            </w:r>
          </w:p>
        </w:tc>
        <w:tc>
          <w:tcPr>
            <w:tcW w:w="371" w:type="pct"/>
            <w:tcBorders>
              <w:top w:val="nil"/>
              <w:left w:val="nil"/>
              <w:bottom w:val="nil"/>
              <w:right w:val="nil"/>
            </w:tcBorders>
            <w:shd w:val="clear" w:color="auto" w:fill="auto"/>
            <w:noWrap/>
            <w:vAlign w:val="bottom"/>
            <w:hideMark/>
          </w:tcPr>
          <w:p w14:paraId="14B4F55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85 999</w:t>
            </w:r>
          </w:p>
        </w:tc>
        <w:tc>
          <w:tcPr>
            <w:tcW w:w="371" w:type="pct"/>
            <w:tcBorders>
              <w:top w:val="nil"/>
              <w:left w:val="nil"/>
              <w:bottom w:val="nil"/>
              <w:right w:val="nil"/>
            </w:tcBorders>
            <w:shd w:val="clear" w:color="auto" w:fill="auto"/>
            <w:noWrap/>
            <w:vAlign w:val="bottom"/>
            <w:hideMark/>
          </w:tcPr>
          <w:p w14:paraId="7D35A51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86 014</w:t>
            </w:r>
          </w:p>
        </w:tc>
        <w:tc>
          <w:tcPr>
            <w:tcW w:w="371" w:type="pct"/>
            <w:tcBorders>
              <w:top w:val="nil"/>
              <w:left w:val="nil"/>
              <w:bottom w:val="nil"/>
              <w:right w:val="nil"/>
            </w:tcBorders>
            <w:shd w:val="clear" w:color="auto" w:fill="auto"/>
            <w:noWrap/>
            <w:vAlign w:val="bottom"/>
            <w:hideMark/>
          </w:tcPr>
          <w:p w14:paraId="0E0B0E98"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86 028</w:t>
            </w:r>
          </w:p>
        </w:tc>
      </w:tr>
      <w:tr w:rsidR="00DD531B" w:rsidRPr="00DD531B" w14:paraId="49C03C5E" w14:textId="77777777" w:rsidTr="001F24AE">
        <w:trPr>
          <w:trHeight w:val="300"/>
        </w:trPr>
        <w:tc>
          <w:tcPr>
            <w:tcW w:w="2405" w:type="pct"/>
            <w:tcBorders>
              <w:top w:val="nil"/>
              <w:left w:val="nil"/>
              <w:bottom w:val="nil"/>
              <w:right w:val="nil"/>
            </w:tcBorders>
            <w:shd w:val="clear" w:color="auto" w:fill="auto"/>
            <w:noWrap/>
            <w:vAlign w:val="bottom"/>
            <w:hideMark/>
          </w:tcPr>
          <w:p w14:paraId="5C111B02"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630 tovary a služby</w:t>
            </w:r>
          </w:p>
        </w:tc>
        <w:tc>
          <w:tcPr>
            <w:tcW w:w="371" w:type="pct"/>
            <w:tcBorders>
              <w:top w:val="nil"/>
              <w:left w:val="nil"/>
              <w:bottom w:val="nil"/>
              <w:right w:val="nil"/>
            </w:tcBorders>
            <w:shd w:val="clear" w:color="auto" w:fill="auto"/>
            <w:noWrap/>
            <w:vAlign w:val="bottom"/>
            <w:hideMark/>
          </w:tcPr>
          <w:p w14:paraId="1746095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77 419</w:t>
            </w:r>
          </w:p>
        </w:tc>
        <w:tc>
          <w:tcPr>
            <w:tcW w:w="371" w:type="pct"/>
            <w:tcBorders>
              <w:top w:val="nil"/>
              <w:left w:val="nil"/>
              <w:bottom w:val="nil"/>
              <w:right w:val="nil"/>
            </w:tcBorders>
            <w:shd w:val="clear" w:color="auto" w:fill="auto"/>
            <w:noWrap/>
            <w:vAlign w:val="bottom"/>
            <w:hideMark/>
          </w:tcPr>
          <w:p w14:paraId="74E16B3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78 180</w:t>
            </w:r>
          </w:p>
        </w:tc>
        <w:tc>
          <w:tcPr>
            <w:tcW w:w="371" w:type="pct"/>
            <w:tcBorders>
              <w:top w:val="nil"/>
              <w:left w:val="nil"/>
              <w:bottom w:val="nil"/>
              <w:right w:val="nil"/>
            </w:tcBorders>
            <w:shd w:val="clear" w:color="auto" w:fill="auto"/>
            <w:noWrap/>
            <w:vAlign w:val="bottom"/>
            <w:hideMark/>
          </w:tcPr>
          <w:p w14:paraId="06DA9BDC"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971 165</w:t>
            </w:r>
          </w:p>
        </w:tc>
        <w:tc>
          <w:tcPr>
            <w:tcW w:w="371" w:type="pct"/>
            <w:tcBorders>
              <w:top w:val="nil"/>
              <w:left w:val="nil"/>
              <w:bottom w:val="nil"/>
              <w:right w:val="nil"/>
            </w:tcBorders>
            <w:shd w:val="clear" w:color="auto" w:fill="auto"/>
            <w:noWrap/>
            <w:vAlign w:val="bottom"/>
            <w:hideMark/>
          </w:tcPr>
          <w:p w14:paraId="0B9A050A"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82 290</w:t>
            </w:r>
          </w:p>
        </w:tc>
        <w:tc>
          <w:tcPr>
            <w:tcW w:w="371" w:type="pct"/>
            <w:tcBorders>
              <w:top w:val="nil"/>
              <w:left w:val="nil"/>
              <w:bottom w:val="nil"/>
              <w:right w:val="nil"/>
            </w:tcBorders>
            <w:shd w:val="clear" w:color="auto" w:fill="auto"/>
            <w:noWrap/>
            <w:vAlign w:val="bottom"/>
            <w:hideMark/>
          </w:tcPr>
          <w:p w14:paraId="2EC01A5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81 662</w:t>
            </w:r>
          </w:p>
        </w:tc>
        <w:tc>
          <w:tcPr>
            <w:tcW w:w="371" w:type="pct"/>
            <w:tcBorders>
              <w:top w:val="nil"/>
              <w:left w:val="nil"/>
              <w:bottom w:val="nil"/>
              <w:right w:val="nil"/>
            </w:tcBorders>
            <w:shd w:val="clear" w:color="auto" w:fill="auto"/>
            <w:noWrap/>
            <w:vAlign w:val="bottom"/>
            <w:hideMark/>
          </w:tcPr>
          <w:p w14:paraId="1AC0317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77 561</w:t>
            </w:r>
          </w:p>
        </w:tc>
        <w:tc>
          <w:tcPr>
            <w:tcW w:w="371" w:type="pct"/>
            <w:tcBorders>
              <w:top w:val="nil"/>
              <w:left w:val="nil"/>
              <w:bottom w:val="nil"/>
              <w:right w:val="nil"/>
            </w:tcBorders>
            <w:shd w:val="clear" w:color="auto" w:fill="auto"/>
            <w:noWrap/>
            <w:vAlign w:val="bottom"/>
            <w:hideMark/>
          </w:tcPr>
          <w:p w14:paraId="5A354C6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77 402</w:t>
            </w:r>
          </w:p>
        </w:tc>
      </w:tr>
      <w:tr w:rsidR="00DD531B" w:rsidRPr="00DD531B" w14:paraId="05D78D39" w14:textId="77777777" w:rsidTr="001F24AE">
        <w:trPr>
          <w:trHeight w:val="300"/>
        </w:trPr>
        <w:tc>
          <w:tcPr>
            <w:tcW w:w="2405" w:type="pct"/>
            <w:tcBorders>
              <w:top w:val="nil"/>
              <w:left w:val="nil"/>
              <w:bottom w:val="nil"/>
              <w:right w:val="nil"/>
            </w:tcBorders>
            <w:shd w:val="clear" w:color="auto" w:fill="auto"/>
            <w:noWrap/>
            <w:vAlign w:val="bottom"/>
            <w:hideMark/>
          </w:tcPr>
          <w:p w14:paraId="6ED8CA25"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640 bežné transfery</w:t>
            </w:r>
          </w:p>
        </w:tc>
        <w:tc>
          <w:tcPr>
            <w:tcW w:w="371" w:type="pct"/>
            <w:tcBorders>
              <w:top w:val="nil"/>
              <w:left w:val="nil"/>
              <w:bottom w:val="nil"/>
              <w:right w:val="nil"/>
            </w:tcBorders>
            <w:shd w:val="clear" w:color="auto" w:fill="auto"/>
            <w:noWrap/>
            <w:vAlign w:val="bottom"/>
            <w:hideMark/>
          </w:tcPr>
          <w:p w14:paraId="0DCFF22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4 236 347</w:t>
            </w:r>
          </w:p>
        </w:tc>
        <w:tc>
          <w:tcPr>
            <w:tcW w:w="371" w:type="pct"/>
            <w:tcBorders>
              <w:top w:val="nil"/>
              <w:left w:val="nil"/>
              <w:bottom w:val="nil"/>
              <w:right w:val="nil"/>
            </w:tcBorders>
            <w:shd w:val="clear" w:color="auto" w:fill="auto"/>
            <w:noWrap/>
            <w:vAlign w:val="bottom"/>
            <w:hideMark/>
          </w:tcPr>
          <w:p w14:paraId="7D891CE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3 326 502</w:t>
            </w:r>
          </w:p>
        </w:tc>
        <w:tc>
          <w:tcPr>
            <w:tcW w:w="371" w:type="pct"/>
            <w:tcBorders>
              <w:top w:val="nil"/>
              <w:left w:val="nil"/>
              <w:bottom w:val="nil"/>
              <w:right w:val="nil"/>
            </w:tcBorders>
            <w:shd w:val="clear" w:color="auto" w:fill="auto"/>
            <w:noWrap/>
            <w:vAlign w:val="bottom"/>
            <w:hideMark/>
          </w:tcPr>
          <w:p w14:paraId="1027A5B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3 213 966</w:t>
            </w:r>
          </w:p>
        </w:tc>
        <w:tc>
          <w:tcPr>
            <w:tcW w:w="371" w:type="pct"/>
            <w:tcBorders>
              <w:top w:val="nil"/>
              <w:left w:val="nil"/>
              <w:bottom w:val="nil"/>
              <w:right w:val="nil"/>
            </w:tcBorders>
            <w:shd w:val="clear" w:color="auto" w:fill="auto"/>
            <w:noWrap/>
            <w:vAlign w:val="bottom"/>
            <w:hideMark/>
          </w:tcPr>
          <w:p w14:paraId="5C0DFE0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4 122 578</w:t>
            </w:r>
          </w:p>
        </w:tc>
        <w:tc>
          <w:tcPr>
            <w:tcW w:w="371" w:type="pct"/>
            <w:tcBorders>
              <w:top w:val="nil"/>
              <w:left w:val="nil"/>
              <w:bottom w:val="nil"/>
              <w:right w:val="nil"/>
            </w:tcBorders>
            <w:shd w:val="clear" w:color="auto" w:fill="auto"/>
            <w:noWrap/>
            <w:vAlign w:val="bottom"/>
            <w:hideMark/>
          </w:tcPr>
          <w:p w14:paraId="1FD73F7E"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3 951 839</w:t>
            </w:r>
          </w:p>
        </w:tc>
        <w:tc>
          <w:tcPr>
            <w:tcW w:w="371" w:type="pct"/>
            <w:tcBorders>
              <w:top w:val="nil"/>
              <w:left w:val="nil"/>
              <w:bottom w:val="nil"/>
              <w:right w:val="nil"/>
            </w:tcBorders>
            <w:shd w:val="clear" w:color="auto" w:fill="auto"/>
            <w:noWrap/>
            <w:vAlign w:val="bottom"/>
            <w:hideMark/>
          </w:tcPr>
          <w:p w14:paraId="1FAB7C4C"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4 000 610</w:t>
            </w:r>
          </w:p>
        </w:tc>
        <w:tc>
          <w:tcPr>
            <w:tcW w:w="371" w:type="pct"/>
            <w:tcBorders>
              <w:top w:val="nil"/>
              <w:left w:val="nil"/>
              <w:bottom w:val="nil"/>
              <w:right w:val="nil"/>
            </w:tcBorders>
            <w:shd w:val="clear" w:color="auto" w:fill="auto"/>
            <w:noWrap/>
            <w:vAlign w:val="bottom"/>
            <w:hideMark/>
          </w:tcPr>
          <w:p w14:paraId="10CC39F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4 087 422</w:t>
            </w:r>
          </w:p>
        </w:tc>
      </w:tr>
      <w:tr w:rsidR="00DD531B" w:rsidRPr="00DD531B" w14:paraId="48E89BBC" w14:textId="77777777" w:rsidTr="001F24AE">
        <w:trPr>
          <w:trHeight w:val="300"/>
        </w:trPr>
        <w:tc>
          <w:tcPr>
            <w:tcW w:w="2405" w:type="pct"/>
            <w:tcBorders>
              <w:top w:val="nil"/>
              <w:left w:val="nil"/>
              <w:bottom w:val="nil"/>
              <w:right w:val="nil"/>
            </w:tcBorders>
            <w:shd w:val="clear" w:color="auto" w:fill="auto"/>
            <w:noWrap/>
            <w:vAlign w:val="bottom"/>
            <w:hideMark/>
          </w:tcPr>
          <w:p w14:paraId="39517FCD"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kapitálové výdavky 700</w:t>
            </w:r>
          </w:p>
        </w:tc>
        <w:tc>
          <w:tcPr>
            <w:tcW w:w="371" w:type="pct"/>
            <w:tcBorders>
              <w:top w:val="nil"/>
              <w:left w:val="nil"/>
              <w:bottom w:val="nil"/>
              <w:right w:val="nil"/>
            </w:tcBorders>
            <w:shd w:val="clear" w:color="auto" w:fill="auto"/>
            <w:noWrap/>
            <w:vAlign w:val="bottom"/>
            <w:hideMark/>
          </w:tcPr>
          <w:p w14:paraId="06A0A8E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9 253</w:t>
            </w:r>
          </w:p>
        </w:tc>
        <w:tc>
          <w:tcPr>
            <w:tcW w:w="371" w:type="pct"/>
            <w:tcBorders>
              <w:top w:val="nil"/>
              <w:left w:val="nil"/>
              <w:bottom w:val="nil"/>
              <w:right w:val="nil"/>
            </w:tcBorders>
            <w:shd w:val="clear" w:color="auto" w:fill="auto"/>
            <w:noWrap/>
            <w:vAlign w:val="bottom"/>
            <w:hideMark/>
          </w:tcPr>
          <w:p w14:paraId="5C7B653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252 935</w:t>
            </w:r>
          </w:p>
        </w:tc>
        <w:tc>
          <w:tcPr>
            <w:tcW w:w="371" w:type="pct"/>
            <w:tcBorders>
              <w:top w:val="nil"/>
              <w:left w:val="nil"/>
              <w:bottom w:val="nil"/>
              <w:right w:val="nil"/>
            </w:tcBorders>
            <w:shd w:val="clear" w:color="auto" w:fill="auto"/>
            <w:noWrap/>
            <w:vAlign w:val="bottom"/>
            <w:hideMark/>
          </w:tcPr>
          <w:p w14:paraId="04E64ED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3 918</w:t>
            </w:r>
          </w:p>
        </w:tc>
        <w:tc>
          <w:tcPr>
            <w:tcW w:w="371" w:type="pct"/>
            <w:tcBorders>
              <w:top w:val="nil"/>
              <w:left w:val="nil"/>
              <w:bottom w:val="nil"/>
              <w:right w:val="nil"/>
            </w:tcBorders>
            <w:shd w:val="clear" w:color="auto" w:fill="auto"/>
            <w:noWrap/>
            <w:vAlign w:val="bottom"/>
            <w:hideMark/>
          </w:tcPr>
          <w:p w14:paraId="126B448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9 273</w:t>
            </w:r>
          </w:p>
        </w:tc>
        <w:tc>
          <w:tcPr>
            <w:tcW w:w="371" w:type="pct"/>
            <w:tcBorders>
              <w:top w:val="nil"/>
              <w:left w:val="nil"/>
              <w:bottom w:val="nil"/>
              <w:right w:val="nil"/>
            </w:tcBorders>
            <w:shd w:val="clear" w:color="auto" w:fill="auto"/>
            <w:noWrap/>
            <w:vAlign w:val="bottom"/>
            <w:hideMark/>
          </w:tcPr>
          <w:p w14:paraId="382FDDC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6 598</w:t>
            </w:r>
          </w:p>
        </w:tc>
        <w:tc>
          <w:tcPr>
            <w:tcW w:w="371" w:type="pct"/>
            <w:tcBorders>
              <w:top w:val="nil"/>
              <w:left w:val="nil"/>
              <w:bottom w:val="nil"/>
              <w:right w:val="nil"/>
            </w:tcBorders>
            <w:shd w:val="clear" w:color="auto" w:fill="auto"/>
            <w:noWrap/>
            <w:vAlign w:val="bottom"/>
            <w:hideMark/>
          </w:tcPr>
          <w:p w14:paraId="1F5B2D9A"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10 922</w:t>
            </w:r>
          </w:p>
        </w:tc>
        <w:tc>
          <w:tcPr>
            <w:tcW w:w="371" w:type="pct"/>
            <w:tcBorders>
              <w:top w:val="nil"/>
              <w:left w:val="nil"/>
              <w:bottom w:val="nil"/>
              <w:right w:val="nil"/>
            </w:tcBorders>
            <w:shd w:val="clear" w:color="auto" w:fill="auto"/>
            <w:noWrap/>
            <w:vAlign w:val="bottom"/>
            <w:hideMark/>
          </w:tcPr>
          <w:p w14:paraId="07F1236C"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9 398</w:t>
            </w:r>
          </w:p>
        </w:tc>
      </w:tr>
      <w:tr w:rsidR="00DD531B" w:rsidRPr="00DD531B" w14:paraId="16812BD8" w14:textId="77777777" w:rsidTr="001F24AE">
        <w:trPr>
          <w:trHeight w:val="300"/>
        </w:trPr>
        <w:tc>
          <w:tcPr>
            <w:tcW w:w="2405" w:type="pct"/>
            <w:tcBorders>
              <w:top w:val="nil"/>
              <w:left w:val="nil"/>
              <w:bottom w:val="nil"/>
              <w:right w:val="nil"/>
            </w:tcBorders>
            <w:shd w:val="clear" w:color="auto" w:fill="auto"/>
            <w:noWrap/>
            <w:vAlign w:val="bottom"/>
            <w:hideMark/>
          </w:tcPr>
          <w:p w14:paraId="1EAB494D" w14:textId="77777777" w:rsidR="00DD531B" w:rsidRPr="00DD531B" w:rsidRDefault="00DD531B" w:rsidP="00DD531B">
            <w:pPr>
              <w:spacing w:after="0" w:line="240" w:lineRule="auto"/>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zdroj EÚ vrátane spolufinancovania zo ŠR, v tom:</w:t>
            </w:r>
          </w:p>
        </w:tc>
        <w:tc>
          <w:tcPr>
            <w:tcW w:w="371" w:type="pct"/>
            <w:tcBorders>
              <w:top w:val="nil"/>
              <w:left w:val="nil"/>
              <w:bottom w:val="nil"/>
              <w:right w:val="nil"/>
            </w:tcBorders>
            <w:shd w:val="clear" w:color="auto" w:fill="auto"/>
            <w:noWrap/>
            <w:vAlign w:val="bottom"/>
            <w:hideMark/>
          </w:tcPr>
          <w:p w14:paraId="2C27C5D2"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479 856</w:t>
            </w:r>
          </w:p>
        </w:tc>
        <w:tc>
          <w:tcPr>
            <w:tcW w:w="371" w:type="pct"/>
            <w:tcBorders>
              <w:top w:val="nil"/>
              <w:left w:val="nil"/>
              <w:bottom w:val="nil"/>
              <w:right w:val="nil"/>
            </w:tcBorders>
            <w:shd w:val="clear" w:color="auto" w:fill="auto"/>
            <w:noWrap/>
            <w:vAlign w:val="bottom"/>
            <w:hideMark/>
          </w:tcPr>
          <w:p w14:paraId="0CDCE1A2"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225 131</w:t>
            </w:r>
          </w:p>
        </w:tc>
        <w:tc>
          <w:tcPr>
            <w:tcW w:w="371" w:type="pct"/>
            <w:tcBorders>
              <w:top w:val="nil"/>
              <w:left w:val="nil"/>
              <w:bottom w:val="nil"/>
              <w:right w:val="nil"/>
            </w:tcBorders>
            <w:shd w:val="clear" w:color="auto" w:fill="auto"/>
            <w:noWrap/>
            <w:vAlign w:val="bottom"/>
            <w:hideMark/>
          </w:tcPr>
          <w:p w14:paraId="10C8BD40"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579 512</w:t>
            </w:r>
          </w:p>
        </w:tc>
        <w:tc>
          <w:tcPr>
            <w:tcW w:w="371" w:type="pct"/>
            <w:tcBorders>
              <w:top w:val="nil"/>
              <w:left w:val="nil"/>
              <w:bottom w:val="nil"/>
              <w:right w:val="nil"/>
            </w:tcBorders>
            <w:shd w:val="clear" w:color="auto" w:fill="auto"/>
            <w:noWrap/>
            <w:vAlign w:val="bottom"/>
            <w:hideMark/>
          </w:tcPr>
          <w:p w14:paraId="0010F8FA"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227 322</w:t>
            </w:r>
          </w:p>
        </w:tc>
        <w:tc>
          <w:tcPr>
            <w:tcW w:w="371" w:type="pct"/>
            <w:tcBorders>
              <w:top w:val="nil"/>
              <w:left w:val="nil"/>
              <w:bottom w:val="nil"/>
              <w:right w:val="nil"/>
            </w:tcBorders>
            <w:shd w:val="clear" w:color="auto" w:fill="auto"/>
            <w:noWrap/>
            <w:vAlign w:val="bottom"/>
            <w:hideMark/>
          </w:tcPr>
          <w:p w14:paraId="262C2F31"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72 650</w:t>
            </w:r>
          </w:p>
        </w:tc>
        <w:tc>
          <w:tcPr>
            <w:tcW w:w="371" w:type="pct"/>
            <w:tcBorders>
              <w:top w:val="nil"/>
              <w:left w:val="nil"/>
              <w:bottom w:val="nil"/>
              <w:right w:val="nil"/>
            </w:tcBorders>
            <w:shd w:val="clear" w:color="auto" w:fill="auto"/>
            <w:noWrap/>
            <w:vAlign w:val="bottom"/>
            <w:hideMark/>
          </w:tcPr>
          <w:p w14:paraId="081B3044"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311 676</w:t>
            </w:r>
          </w:p>
        </w:tc>
        <w:tc>
          <w:tcPr>
            <w:tcW w:w="371" w:type="pct"/>
            <w:tcBorders>
              <w:top w:val="nil"/>
              <w:left w:val="nil"/>
              <w:bottom w:val="nil"/>
              <w:right w:val="nil"/>
            </w:tcBorders>
            <w:shd w:val="clear" w:color="auto" w:fill="auto"/>
            <w:noWrap/>
            <w:vAlign w:val="bottom"/>
            <w:hideMark/>
          </w:tcPr>
          <w:p w14:paraId="16174A11"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333 354</w:t>
            </w:r>
          </w:p>
        </w:tc>
      </w:tr>
      <w:tr w:rsidR="00DD531B" w:rsidRPr="00DD531B" w14:paraId="3D6D4C08" w14:textId="77777777" w:rsidTr="001F24AE">
        <w:trPr>
          <w:trHeight w:val="300"/>
        </w:trPr>
        <w:tc>
          <w:tcPr>
            <w:tcW w:w="2405" w:type="pct"/>
            <w:tcBorders>
              <w:top w:val="nil"/>
              <w:left w:val="nil"/>
              <w:bottom w:val="nil"/>
              <w:right w:val="nil"/>
            </w:tcBorders>
            <w:shd w:val="clear" w:color="auto" w:fill="auto"/>
            <w:noWrap/>
            <w:vAlign w:val="bottom"/>
            <w:hideMark/>
          </w:tcPr>
          <w:p w14:paraId="747BC3C0"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prostriedky EÚ</w:t>
            </w:r>
          </w:p>
        </w:tc>
        <w:tc>
          <w:tcPr>
            <w:tcW w:w="371" w:type="pct"/>
            <w:tcBorders>
              <w:top w:val="nil"/>
              <w:left w:val="nil"/>
              <w:bottom w:val="nil"/>
              <w:right w:val="nil"/>
            </w:tcBorders>
            <w:shd w:val="clear" w:color="auto" w:fill="auto"/>
            <w:noWrap/>
            <w:vAlign w:val="bottom"/>
            <w:hideMark/>
          </w:tcPr>
          <w:p w14:paraId="4B11852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418 212</w:t>
            </w:r>
          </w:p>
        </w:tc>
        <w:tc>
          <w:tcPr>
            <w:tcW w:w="371" w:type="pct"/>
            <w:tcBorders>
              <w:top w:val="nil"/>
              <w:left w:val="nil"/>
              <w:bottom w:val="nil"/>
              <w:right w:val="nil"/>
            </w:tcBorders>
            <w:shd w:val="clear" w:color="auto" w:fill="auto"/>
            <w:noWrap/>
            <w:vAlign w:val="bottom"/>
            <w:hideMark/>
          </w:tcPr>
          <w:p w14:paraId="7A2CF78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200 389</w:t>
            </w:r>
          </w:p>
        </w:tc>
        <w:tc>
          <w:tcPr>
            <w:tcW w:w="371" w:type="pct"/>
            <w:tcBorders>
              <w:top w:val="nil"/>
              <w:left w:val="nil"/>
              <w:bottom w:val="nil"/>
              <w:right w:val="nil"/>
            </w:tcBorders>
            <w:shd w:val="clear" w:color="auto" w:fill="auto"/>
            <w:noWrap/>
            <w:vAlign w:val="bottom"/>
            <w:hideMark/>
          </w:tcPr>
          <w:p w14:paraId="2A204318"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503 246</w:t>
            </w:r>
          </w:p>
        </w:tc>
        <w:tc>
          <w:tcPr>
            <w:tcW w:w="371" w:type="pct"/>
            <w:tcBorders>
              <w:top w:val="nil"/>
              <w:left w:val="nil"/>
              <w:bottom w:val="nil"/>
              <w:right w:val="nil"/>
            </w:tcBorders>
            <w:shd w:val="clear" w:color="auto" w:fill="auto"/>
            <w:noWrap/>
            <w:vAlign w:val="bottom"/>
            <w:hideMark/>
          </w:tcPr>
          <w:p w14:paraId="32BAB5C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202 042</w:t>
            </w:r>
          </w:p>
        </w:tc>
        <w:tc>
          <w:tcPr>
            <w:tcW w:w="371" w:type="pct"/>
            <w:tcBorders>
              <w:top w:val="nil"/>
              <w:left w:val="nil"/>
              <w:bottom w:val="nil"/>
              <w:right w:val="nil"/>
            </w:tcBorders>
            <w:shd w:val="clear" w:color="auto" w:fill="auto"/>
            <w:noWrap/>
            <w:vAlign w:val="bottom"/>
            <w:hideMark/>
          </w:tcPr>
          <w:p w14:paraId="3FDC66C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60 106</w:t>
            </w:r>
          </w:p>
        </w:tc>
        <w:tc>
          <w:tcPr>
            <w:tcW w:w="371" w:type="pct"/>
            <w:tcBorders>
              <w:top w:val="nil"/>
              <w:left w:val="nil"/>
              <w:bottom w:val="nil"/>
              <w:right w:val="nil"/>
            </w:tcBorders>
            <w:shd w:val="clear" w:color="auto" w:fill="auto"/>
            <w:noWrap/>
            <w:vAlign w:val="bottom"/>
            <w:hideMark/>
          </w:tcPr>
          <w:p w14:paraId="055F2E0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263 896</w:t>
            </w:r>
          </w:p>
        </w:tc>
        <w:tc>
          <w:tcPr>
            <w:tcW w:w="371" w:type="pct"/>
            <w:tcBorders>
              <w:top w:val="nil"/>
              <w:left w:val="nil"/>
              <w:bottom w:val="nil"/>
              <w:right w:val="nil"/>
            </w:tcBorders>
            <w:shd w:val="clear" w:color="auto" w:fill="auto"/>
            <w:noWrap/>
            <w:vAlign w:val="bottom"/>
            <w:hideMark/>
          </w:tcPr>
          <w:p w14:paraId="2F752DD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282 256</w:t>
            </w:r>
          </w:p>
        </w:tc>
      </w:tr>
      <w:tr w:rsidR="00DD531B" w:rsidRPr="00DD531B" w14:paraId="094B5837" w14:textId="77777777" w:rsidTr="001F24AE">
        <w:trPr>
          <w:trHeight w:val="300"/>
        </w:trPr>
        <w:tc>
          <w:tcPr>
            <w:tcW w:w="2405" w:type="pct"/>
            <w:tcBorders>
              <w:top w:val="nil"/>
              <w:left w:val="nil"/>
              <w:bottom w:val="nil"/>
              <w:right w:val="nil"/>
            </w:tcBorders>
            <w:shd w:val="clear" w:color="auto" w:fill="auto"/>
            <w:noWrap/>
            <w:vAlign w:val="bottom"/>
            <w:hideMark/>
          </w:tcPr>
          <w:p w14:paraId="250A9318"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spolufinancovanie zo ŠR</w:t>
            </w:r>
          </w:p>
        </w:tc>
        <w:tc>
          <w:tcPr>
            <w:tcW w:w="371" w:type="pct"/>
            <w:tcBorders>
              <w:top w:val="nil"/>
              <w:left w:val="nil"/>
              <w:bottom w:val="nil"/>
              <w:right w:val="nil"/>
            </w:tcBorders>
            <w:shd w:val="clear" w:color="auto" w:fill="auto"/>
            <w:noWrap/>
            <w:vAlign w:val="bottom"/>
            <w:hideMark/>
          </w:tcPr>
          <w:p w14:paraId="21B9BE7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61 645</w:t>
            </w:r>
          </w:p>
        </w:tc>
        <w:tc>
          <w:tcPr>
            <w:tcW w:w="371" w:type="pct"/>
            <w:tcBorders>
              <w:top w:val="nil"/>
              <w:left w:val="nil"/>
              <w:bottom w:val="nil"/>
              <w:right w:val="nil"/>
            </w:tcBorders>
            <w:shd w:val="clear" w:color="auto" w:fill="auto"/>
            <w:noWrap/>
            <w:vAlign w:val="bottom"/>
            <w:hideMark/>
          </w:tcPr>
          <w:p w14:paraId="6DCB836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24 742</w:t>
            </w:r>
          </w:p>
        </w:tc>
        <w:tc>
          <w:tcPr>
            <w:tcW w:w="371" w:type="pct"/>
            <w:tcBorders>
              <w:top w:val="nil"/>
              <w:left w:val="nil"/>
              <w:bottom w:val="nil"/>
              <w:right w:val="nil"/>
            </w:tcBorders>
            <w:shd w:val="clear" w:color="auto" w:fill="auto"/>
            <w:noWrap/>
            <w:vAlign w:val="bottom"/>
            <w:hideMark/>
          </w:tcPr>
          <w:p w14:paraId="337E34BB"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76 267</w:t>
            </w:r>
          </w:p>
        </w:tc>
        <w:tc>
          <w:tcPr>
            <w:tcW w:w="371" w:type="pct"/>
            <w:tcBorders>
              <w:top w:val="nil"/>
              <w:left w:val="nil"/>
              <w:bottom w:val="nil"/>
              <w:right w:val="nil"/>
            </w:tcBorders>
            <w:shd w:val="clear" w:color="auto" w:fill="auto"/>
            <w:noWrap/>
            <w:vAlign w:val="bottom"/>
            <w:hideMark/>
          </w:tcPr>
          <w:p w14:paraId="0BB9CA1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25 280</w:t>
            </w:r>
          </w:p>
        </w:tc>
        <w:tc>
          <w:tcPr>
            <w:tcW w:w="371" w:type="pct"/>
            <w:tcBorders>
              <w:top w:val="nil"/>
              <w:left w:val="nil"/>
              <w:bottom w:val="nil"/>
              <w:right w:val="nil"/>
            </w:tcBorders>
            <w:shd w:val="clear" w:color="auto" w:fill="auto"/>
            <w:noWrap/>
            <w:vAlign w:val="bottom"/>
            <w:hideMark/>
          </w:tcPr>
          <w:p w14:paraId="7189C9BC"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12 543</w:t>
            </w:r>
          </w:p>
        </w:tc>
        <w:tc>
          <w:tcPr>
            <w:tcW w:w="371" w:type="pct"/>
            <w:tcBorders>
              <w:top w:val="nil"/>
              <w:left w:val="nil"/>
              <w:bottom w:val="nil"/>
              <w:right w:val="nil"/>
            </w:tcBorders>
            <w:shd w:val="clear" w:color="auto" w:fill="auto"/>
            <w:noWrap/>
            <w:vAlign w:val="bottom"/>
            <w:hideMark/>
          </w:tcPr>
          <w:p w14:paraId="4E0D302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47 780</w:t>
            </w:r>
          </w:p>
        </w:tc>
        <w:tc>
          <w:tcPr>
            <w:tcW w:w="371" w:type="pct"/>
            <w:tcBorders>
              <w:top w:val="nil"/>
              <w:left w:val="nil"/>
              <w:bottom w:val="nil"/>
              <w:right w:val="nil"/>
            </w:tcBorders>
            <w:shd w:val="clear" w:color="auto" w:fill="auto"/>
            <w:noWrap/>
            <w:vAlign w:val="bottom"/>
            <w:hideMark/>
          </w:tcPr>
          <w:p w14:paraId="6AFD0F9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51 097</w:t>
            </w:r>
          </w:p>
        </w:tc>
      </w:tr>
      <w:tr w:rsidR="00DD531B" w:rsidRPr="00DD531B" w14:paraId="79997C17" w14:textId="77777777" w:rsidTr="001F24AE">
        <w:trPr>
          <w:trHeight w:val="300"/>
        </w:trPr>
        <w:tc>
          <w:tcPr>
            <w:tcW w:w="2405" w:type="pct"/>
            <w:tcBorders>
              <w:top w:val="nil"/>
              <w:left w:val="nil"/>
              <w:bottom w:val="nil"/>
              <w:right w:val="nil"/>
            </w:tcBorders>
            <w:shd w:val="clear" w:color="auto" w:fill="auto"/>
            <w:noWrap/>
            <w:vAlign w:val="center"/>
            <w:hideMark/>
          </w:tcPr>
          <w:p w14:paraId="2A83F958" w14:textId="77777777" w:rsidR="00DD531B" w:rsidRPr="00DD531B" w:rsidRDefault="00DD531B" w:rsidP="00DD531B">
            <w:pPr>
              <w:spacing w:after="0" w:line="240" w:lineRule="auto"/>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zdroj Plán obnovy a odolnosti , v tom:</w:t>
            </w:r>
          </w:p>
        </w:tc>
        <w:tc>
          <w:tcPr>
            <w:tcW w:w="371" w:type="pct"/>
            <w:tcBorders>
              <w:top w:val="nil"/>
              <w:left w:val="nil"/>
              <w:bottom w:val="nil"/>
              <w:right w:val="nil"/>
            </w:tcBorders>
            <w:shd w:val="clear" w:color="auto" w:fill="auto"/>
            <w:noWrap/>
            <w:vAlign w:val="bottom"/>
            <w:hideMark/>
          </w:tcPr>
          <w:p w14:paraId="240163C3"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0</w:t>
            </w:r>
          </w:p>
        </w:tc>
        <w:tc>
          <w:tcPr>
            <w:tcW w:w="371" w:type="pct"/>
            <w:tcBorders>
              <w:top w:val="nil"/>
              <w:left w:val="nil"/>
              <w:bottom w:val="nil"/>
              <w:right w:val="nil"/>
            </w:tcBorders>
            <w:shd w:val="clear" w:color="auto" w:fill="auto"/>
            <w:noWrap/>
            <w:vAlign w:val="bottom"/>
            <w:hideMark/>
          </w:tcPr>
          <w:p w14:paraId="645CEB8E"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166</w:t>
            </w:r>
          </w:p>
        </w:tc>
        <w:tc>
          <w:tcPr>
            <w:tcW w:w="371" w:type="pct"/>
            <w:tcBorders>
              <w:top w:val="nil"/>
              <w:left w:val="nil"/>
              <w:bottom w:val="nil"/>
              <w:right w:val="nil"/>
            </w:tcBorders>
            <w:shd w:val="clear" w:color="auto" w:fill="auto"/>
            <w:noWrap/>
            <w:vAlign w:val="bottom"/>
            <w:hideMark/>
          </w:tcPr>
          <w:p w14:paraId="5BC59DDF"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68 072</w:t>
            </w:r>
          </w:p>
        </w:tc>
        <w:tc>
          <w:tcPr>
            <w:tcW w:w="371" w:type="pct"/>
            <w:tcBorders>
              <w:top w:val="nil"/>
              <w:left w:val="nil"/>
              <w:bottom w:val="nil"/>
              <w:right w:val="nil"/>
            </w:tcBorders>
            <w:shd w:val="clear" w:color="auto" w:fill="auto"/>
            <w:noWrap/>
            <w:vAlign w:val="bottom"/>
            <w:hideMark/>
          </w:tcPr>
          <w:p w14:paraId="47465472"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3 935</w:t>
            </w:r>
          </w:p>
        </w:tc>
        <w:tc>
          <w:tcPr>
            <w:tcW w:w="371" w:type="pct"/>
            <w:tcBorders>
              <w:top w:val="nil"/>
              <w:left w:val="nil"/>
              <w:bottom w:val="nil"/>
              <w:right w:val="nil"/>
            </w:tcBorders>
            <w:shd w:val="clear" w:color="auto" w:fill="auto"/>
            <w:noWrap/>
            <w:vAlign w:val="bottom"/>
            <w:hideMark/>
          </w:tcPr>
          <w:p w14:paraId="70226A7C"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54 297</w:t>
            </w:r>
          </w:p>
        </w:tc>
        <w:tc>
          <w:tcPr>
            <w:tcW w:w="371" w:type="pct"/>
            <w:tcBorders>
              <w:top w:val="nil"/>
              <w:left w:val="nil"/>
              <w:bottom w:val="nil"/>
              <w:right w:val="nil"/>
            </w:tcBorders>
            <w:shd w:val="clear" w:color="auto" w:fill="auto"/>
            <w:noWrap/>
            <w:vAlign w:val="bottom"/>
            <w:hideMark/>
          </w:tcPr>
          <w:p w14:paraId="735C056A"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55 833</w:t>
            </w:r>
          </w:p>
        </w:tc>
        <w:tc>
          <w:tcPr>
            <w:tcW w:w="371" w:type="pct"/>
            <w:tcBorders>
              <w:top w:val="nil"/>
              <w:left w:val="nil"/>
              <w:bottom w:val="nil"/>
              <w:right w:val="nil"/>
            </w:tcBorders>
            <w:shd w:val="clear" w:color="auto" w:fill="auto"/>
            <w:noWrap/>
            <w:vAlign w:val="bottom"/>
            <w:hideMark/>
          </w:tcPr>
          <w:p w14:paraId="2C48A2C7"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13 886</w:t>
            </w:r>
          </w:p>
        </w:tc>
      </w:tr>
      <w:tr w:rsidR="00DD531B" w:rsidRPr="00DD531B" w14:paraId="5FA1FBA5" w14:textId="77777777" w:rsidTr="001F24AE">
        <w:trPr>
          <w:trHeight w:val="300"/>
        </w:trPr>
        <w:tc>
          <w:tcPr>
            <w:tcW w:w="2405" w:type="pct"/>
            <w:tcBorders>
              <w:top w:val="nil"/>
              <w:left w:val="nil"/>
              <w:bottom w:val="nil"/>
              <w:right w:val="nil"/>
            </w:tcBorders>
            <w:shd w:val="clear" w:color="auto" w:fill="auto"/>
            <w:noWrap/>
            <w:vAlign w:val="bottom"/>
            <w:hideMark/>
          </w:tcPr>
          <w:p w14:paraId="103A695B"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prostriedky POO</w:t>
            </w:r>
          </w:p>
        </w:tc>
        <w:tc>
          <w:tcPr>
            <w:tcW w:w="371" w:type="pct"/>
            <w:tcBorders>
              <w:top w:val="nil"/>
              <w:left w:val="nil"/>
              <w:bottom w:val="nil"/>
              <w:right w:val="nil"/>
            </w:tcBorders>
            <w:shd w:val="clear" w:color="auto" w:fill="auto"/>
            <w:noWrap/>
            <w:vAlign w:val="bottom"/>
            <w:hideMark/>
          </w:tcPr>
          <w:p w14:paraId="2BE88A39" w14:textId="77777777" w:rsidR="00DD531B" w:rsidRPr="00DD531B" w:rsidRDefault="00DD531B" w:rsidP="00DD531B">
            <w:pPr>
              <w:spacing w:after="0" w:line="240" w:lineRule="auto"/>
              <w:jc w:val="right"/>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0</w:t>
            </w:r>
          </w:p>
        </w:tc>
        <w:tc>
          <w:tcPr>
            <w:tcW w:w="371" w:type="pct"/>
            <w:tcBorders>
              <w:top w:val="nil"/>
              <w:left w:val="nil"/>
              <w:bottom w:val="nil"/>
              <w:right w:val="nil"/>
            </w:tcBorders>
            <w:shd w:val="clear" w:color="auto" w:fill="auto"/>
            <w:noWrap/>
            <w:vAlign w:val="bottom"/>
            <w:hideMark/>
          </w:tcPr>
          <w:p w14:paraId="130B6F1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138</w:t>
            </w:r>
          </w:p>
        </w:tc>
        <w:tc>
          <w:tcPr>
            <w:tcW w:w="371" w:type="pct"/>
            <w:tcBorders>
              <w:top w:val="nil"/>
              <w:left w:val="nil"/>
              <w:bottom w:val="nil"/>
              <w:right w:val="nil"/>
            </w:tcBorders>
            <w:shd w:val="clear" w:color="auto" w:fill="auto"/>
            <w:noWrap/>
            <w:vAlign w:val="bottom"/>
            <w:hideMark/>
          </w:tcPr>
          <w:p w14:paraId="38B1C30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57 070</w:t>
            </w:r>
          </w:p>
        </w:tc>
        <w:tc>
          <w:tcPr>
            <w:tcW w:w="371" w:type="pct"/>
            <w:tcBorders>
              <w:top w:val="nil"/>
              <w:left w:val="nil"/>
              <w:bottom w:val="nil"/>
              <w:right w:val="nil"/>
            </w:tcBorders>
            <w:shd w:val="clear" w:color="auto" w:fill="auto"/>
            <w:noWrap/>
            <w:vAlign w:val="bottom"/>
            <w:hideMark/>
          </w:tcPr>
          <w:p w14:paraId="1693150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3 832</w:t>
            </w:r>
          </w:p>
        </w:tc>
        <w:tc>
          <w:tcPr>
            <w:tcW w:w="371" w:type="pct"/>
            <w:tcBorders>
              <w:top w:val="nil"/>
              <w:left w:val="nil"/>
              <w:bottom w:val="nil"/>
              <w:right w:val="nil"/>
            </w:tcBorders>
            <w:shd w:val="clear" w:color="auto" w:fill="auto"/>
            <w:noWrap/>
            <w:vAlign w:val="bottom"/>
            <w:hideMark/>
          </w:tcPr>
          <w:p w14:paraId="239A2CD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44 297</w:t>
            </w:r>
          </w:p>
        </w:tc>
        <w:tc>
          <w:tcPr>
            <w:tcW w:w="371" w:type="pct"/>
            <w:tcBorders>
              <w:top w:val="nil"/>
              <w:left w:val="nil"/>
              <w:bottom w:val="nil"/>
              <w:right w:val="nil"/>
            </w:tcBorders>
            <w:shd w:val="clear" w:color="auto" w:fill="auto"/>
            <w:noWrap/>
            <w:vAlign w:val="bottom"/>
            <w:hideMark/>
          </w:tcPr>
          <w:p w14:paraId="6CB8287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45 833</w:t>
            </w:r>
          </w:p>
        </w:tc>
        <w:tc>
          <w:tcPr>
            <w:tcW w:w="371" w:type="pct"/>
            <w:tcBorders>
              <w:top w:val="nil"/>
              <w:left w:val="nil"/>
              <w:bottom w:val="nil"/>
              <w:right w:val="nil"/>
            </w:tcBorders>
            <w:shd w:val="clear" w:color="auto" w:fill="auto"/>
            <w:noWrap/>
            <w:vAlign w:val="bottom"/>
            <w:hideMark/>
          </w:tcPr>
          <w:p w14:paraId="6FF686E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10 886</w:t>
            </w:r>
          </w:p>
        </w:tc>
      </w:tr>
      <w:tr w:rsidR="00DD531B" w:rsidRPr="00DD531B" w14:paraId="0DC9185F" w14:textId="77777777" w:rsidTr="001F24AE">
        <w:trPr>
          <w:trHeight w:val="300"/>
        </w:trPr>
        <w:tc>
          <w:tcPr>
            <w:tcW w:w="2405" w:type="pct"/>
            <w:tcBorders>
              <w:top w:val="nil"/>
              <w:left w:val="nil"/>
              <w:bottom w:val="nil"/>
              <w:right w:val="nil"/>
            </w:tcBorders>
            <w:shd w:val="clear" w:color="auto" w:fill="auto"/>
            <w:noWrap/>
            <w:vAlign w:val="bottom"/>
            <w:hideMark/>
          </w:tcPr>
          <w:p w14:paraId="643FDDE7"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DPH k POO</w:t>
            </w:r>
          </w:p>
        </w:tc>
        <w:tc>
          <w:tcPr>
            <w:tcW w:w="371" w:type="pct"/>
            <w:tcBorders>
              <w:top w:val="nil"/>
              <w:left w:val="nil"/>
              <w:bottom w:val="nil"/>
              <w:right w:val="nil"/>
            </w:tcBorders>
            <w:shd w:val="clear" w:color="auto" w:fill="auto"/>
            <w:noWrap/>
            <w:vAlign w:val="bottom"/>
            <w:hideMark/>
          </w:tcPr>
          <w:p w14:paraId="0130D584" w14:textId="77777777" w:rsidR="00DD531B" w:rsidRPr="00DD531B" w:rsidRDefault="00DD531B" w:rsidP="00DD531B">
            <w:pPr>
              <w:spacing w:after="0" w:line="240" w:lineRule="auto"/>
              <w:jc w:val="right"/>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0</w:t>
            </w:r>
          </w:p>
        </w:tc>
        <w:tc>
          <w:tcPr>
            <w:tcW w:w="371" w:type="pct"/>
            <w:tcBorders>
              <w:top w:val="nil"/>
              <w:left w:val="nil"/>
              <w:bottom w:val="nil"/>
              <w:right w:val="nil"/>
            </w:tcBorders>
            <w:shd w:val="clear" w:color="auto" w:fill="auto"/>
            <w:noWrap/>
            <w:vAlign w:val="bottom"/>
            <w:hideMark/>
          </w:tcPr>
          <w:p w14:paraId="497BE05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28</w:t>
            </w:r>
          </w:p>
        </w:tc>
        <w:tc>
          <w:tcPr>
            <w:tcW w:w="371" w:type="pct"/>
            <w:tcBorders>
              <w:top w:val="nil"/>
              <w:left w:val="nil"/>
              <w:bottom w:val="nil"/>
              <w:right w:val="nil"/>
            </w:tcBorders>
            <w:shd w:val="clear" w:color="auto" w:fill="auto"/>
            <w:noWrap/>
            <w:vAlign w:val="bottom"/>
            <w:hideMark/>
          </w:tcPr>
          <w:p w14:paraId="3059B2E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11 002</w:t>
            </w:r>
          </w:p>
        </w:tc>
        <w:tc>
          <w:tcPr>
            <w:tcW w:w="371" w:type="pct"/>
            <w:tcBorders>
              <w:top w:val="nil"/>
              <w:left w:val="nil"/>
              <w:bottom w:val="nil"/>
              <w:right w:val="nil"/>
            </w:tcBorders>
            <w:shd w:val="clear" w:color="auto" w:fill="auto"/>
            <w:noWrap/>
            <w:vAlign w:val="bottom"/>
            <w:hideMark/>
          </w:tcPr>
          <w:p w14:paraId="7C31630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103</w:t>
            </w:r>
          </w:p>
        </w:tc>
        <w:tc>
          <w:tcPr>
            <w:tcW w:w="371" w:type="pct"/>
            <w:tcBorders>
              <w:top w:val="nil"/>
              <w:left w:val="nil"/>
              <w:bottom w:val="nil"/>
              <w:right w:val="nil"/>
            </w:tcBorders>
            <w:shd w:val="clear" w:color="auto" w:fill="auto"/>
            <w:noWrap/>
            <w:vAlign w:val="bottom"/>
            <w:hideMark/>
          </w:tcPr>
          <w:p w14:paraId="0DB0908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10 000</w:t>
            </w:r>
          </w:p>
        </w:tc>
        <w:tc>
          <w:tcPr>
            <w:tcW w:w="371" w:type="pct"/>
            <w:tcBorders>
              <w:top w:val="nil"/>
              <w:left w:val="nil"/>
              <w:bottom w:val="nil"/>
              <w:right w:val="nil"/>
            </w:tcBorders>
            <w:shd w:val="clear" w:color="auto" w:fill="auto"/>
            <w:noWrap/>
            <w:vAlign w:val="bottom"/>
            <w:hideMark/>
          </w:tcPr>
          <w:p w14:paraId="49A48F0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10 000</w:t>
            </w:r>
          </w:p>
        </w:tc>
        <w:tc>
          <w:tcPr>
            <w:tcW w:w="371" w:type="pct"/>
            <w:tcBorders>
              <w:top w:val="nil"/>
              <w:left w:val="nil"/>
              <w:bottom w:val="nil"/>
              <w:right w:val="nil"/>
            </w:tcBorders>
            <w:shd w:val="clear" w:color="auto" w:fill="auto"/>
            <w:noWrap/>
            <w:vAlign w:val="bottom"/>
            <w:hideMark/>
          </w:tcPr>
          <w:p w14:paraId="491034D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3 000</w:t>
            </w:r>
          </w:p>
        </w:tc>
      </w:tr>
      <w:tr w:rsidR="00DD531B" w:rsidRPr="00DD531B" w14:paraId="72A7BEAF" w14:textId="77777777" w:rsidTr="001F24AE">
        <w:trPr>
          <w:trHeight w:val="300"/>
        </w:trPr>
        <w:tc>
          <w:tcPr>
            <w:tcW w:w="2405" w:type="pct"/>
            <w:tcBorders>
              <w:top w:val="nil"/>
              <w:left w:val="nil"/>
              <w:bottom w:val="nil"/>
              <w:right w:val="nil"/>
            </w:tcBorders>
            <w:shd w:val="clear" w:color="auto" w:fill="auto"/>
            <w:noWrap/>
            <w:vAlign w:val="bottom"/>
            <w:hideMark/>
          </w:tcPr>
          <w:p w14:paraId="76B8A151" w14:textId="77777777" w:rsidR="00DD531B" w:rsidRPr="00DD531B" w:rsidRDefault="00DD531B" w:rsidP="00DD531B">
            <w:pPr>
              <w:spacing w:after="0" w:line="240" w:lineRule="auto"/>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presun z minulých rokov § 8, v tom:</w:t>
            </w:r>
          </w:p>
        </w:tc>
        <w:tc>
          <w:tcPr>
            <w:tcW w:w="371" w:type="pct"/>
            <w:tcBorders>
              <w:top w:val="nil"/>
              <w:left w:val="nil"/>
              <w:bottom w:val="nil"/>
              <w:right w:val="nil"/>
            </w:tcBorders>
            <w:shd w:val="clear" w:color="auto" w:fill="auto"/>
            <w:noWrap/>
            <w:vAlign w:val="bottom"/>
            <w:hideMark/>
          </w:tcPr>
          <w:p w14:paraId="24119218"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0</w:t>
            </w:r>
          </w:p>
        </w:tc>
        <w:tc>
          <w:tcPr>
            <w:tcW w:w="371" w:type="pct"/>
            <w:tcBorders>
              <w:top w:val="nil"/>
              <w:left w:val="nil"/>
              <w:bottom w:val="nil"/>
              <w:right w:val="nil"/>
            </w:tcBorders>
            <w:shd w:val="clear" w:color="auto" w:fill="auto"/>
            <w:noWrap/>
            <w:vAlign w:val="bottom"/>
            <w:hideMark/>
          </w:tcPr>
          <w:p w14:paraId="511E6B53"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0</w:t>
            </w:r>
          </w:p>
        </w:tc>
        <w:tc>
          <w:tcPr>
            <w:tcW w:w="371" w:type="pct"/>
            <w:tcBorders>
              <w:top w:val="nil"/>
              <w:left w:val="nil"/>
              <w:bottom w:val="nil"/>
              <w:right w:val="nil"/>
            </w:tcBorders>
            <w:shd w:val="clear" w:color="auto" w:fill="auto"/>
            <w:noWrap/>
            <w:vAlign w:val="bottom"/>
            <w:hideMark/>
          </w:tcPr>
          <w:p w14:paraId="1708295E"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0</w:t>
            </w:r>
          </w:p>
        </w:tc>
        <w:tc>
          <w:tcPr>
            <w:tcW w:w="371" w:type="pct"/>
            <w:tcBorders>
              <w:top w:val="nil"/>
              <w:left w:val="nil"/>
              <w:bottom w:val="nil"/>
              <w:right w:val="nil"/>
            </w:tcBorders>
            <w:shd w:val="clear" w:color="auto" w:fill="auto"/>
            <w:noWrap/>
            <w:vAlign w:val="bottom"/>
            <w:hideMark/>
          </w:tcPr>
          <w:p w14:paraId="2F27C94D"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284 554</w:t>
            </w:r>
          </w:p>
        </w:tc>
        <w:tc>
          <w:tcPr>
            <w:tcW w:w="371" w:type="pct"/>
            <w:tcBorders>
              <w:top w:val="nil"/>
              <w:left w:val="nil"/>
              <w:bottom w:val="nil"/>
              <w:right w:val="nil"/>
            </w:tcBorders>
            <w:shd w:val="clear" w:color="auto" w:fill="auto"/>
            <w:noWrap/>
            <w:vAlign w:val="bottom"/>
            <w:hideMark/>
          </w:tcPr>
          <w:p w14:paraId="246253C2"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0</w:t>
            </w:r>
          </w:p>
        </w:tc>
        <w:tc>
          <w:tcPr>
            <w:tcW w:w="371" w:type="pct"/>
            <w:tcBorders>
              <w:top w:val="nil"/>
              <w:left w:val="nil"/>
              <w:bottom w:val="nil"/>
              <w:right w:val="nil"/>
            </w:tcBorders>
            <w:shd w:val="clear" w:color="auto" w:fill="auto"/>
            <w:noWrap/>
            <w:vAlign w:val="bottom"/>
            <w:hideMark/>
          </w:tcPr>
          <w:p w14:paraId="6B340993"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0</w:t>
            </w:r>
          </w:p>
        </w:tc>
        <w:tc>
          <w:tcPr>
            <w:tcW w:w="371" w:type="pct"/>
            <w:tcBorders>
              <w:top w:val="nil"/>
              <w:left w:val="nil"/>
              <w:bottom w:val="nil"/>
              <w:right w:val="nil"/>
            </w:tcBorders>
            <w:shd w:val="clear" w:color="auto" w:fill="auto"/>
            <w:noWrap/>
            <w:vAlign w:val="bottom"/>
            <w:hideMark/>
          </w:tcPr>
          <w:p w14:paraId="46602CE9"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0</w:t>
            </w:r>
          </w:p>
        </w:tc>
      </w:tr>
      <w:tr w:rsidR="00DD531B" w:rsidRPr="00DD531B" w14:paraId="3C2EDF67" w14:textId="77777777" w:rsidTr="001F24AE">
        <w:trPr>
          <w:trHeight w:val="300"/>
        </w:trPr>
        <w:tc>
          <w:tcPr>
            <w:tcW w:w="2405" w:type="pct"/>
            <w:tcBorders>
              <w:top w:val="nil"/>
              <w:left w:val="nil"/>
              <w:bottom w:val="nil"/>
              <w:right w:val="nil"/>
            </w:tcBorders>
            <w:shd w:val="clear" w:color="auto" w:fill="auto"/>
            <w:noWrap/>
            <w:vAlign w:val="bottom"/>
            <w:hideMark/>
          </w:tcPr>
          <w:p w14:paraId="284B29D3"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štátny rozpočet</w:t>
            </w:r>
          </w:p>
        </w:tc>
        <w:tc>
          <w:tcPr>
            <w:tcW w:w="371" w:type="pct"/>
            <w:tcBorders>
              <w:top w:val="nil"/>
              <w:left w:val="nil"/>
              <w:bottom w:val="nil"/>
              <w:right w:val="nil"/>
            </w:tcBorders>
            <w:shd w:val="clear" w:color="auto" w:fill="auto"/>
            <w:noWrap/>
            <w:vAlign w:val="bottom"/>
            <w:hideMark/>
          </w:tcPr>
          <w:p w14:paraId="66904D0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71" w:type="pct"/>
            <w:tcBorders>
              <w:top w:val="nil"/>
              <w:left w:val="nil"/>
              <w:bottom w:val="nil"/>
              <w:right w:val="nil"/>
            </w:tcBorders>
            <w:shd w:val="clear" w:color="auto" w:fill="auto"/>
            <w:noWrap/>
            <w:vAlign w:val="bottom"/>
            <w:hideMark/>
          </w:tcPr>
          <w:p w14:paraId="48E718E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71" w:type="pct"/>
            <w:tcBorders>
              <w:top w:val="nil"/>
              <w:left w:val="nil"/>
              <w:bottom w:val="nil"/>
              <w:right w:val="nil"/>
            </w:tcBorders>
            <w:shd w:val="clear" w:color="auto" w:fill="auto"/>
            <w:noWrap/>
            <w:vAlign w:val="bottom"/>
            <w:hideMark/>
          </w:tcPr>
          <w:p w14:paraId="64B2FADB"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71" w:type="pct"/>
            <w:tcBorders>
              <w:top w:val="nil"/>
              <w:left w:val="nil"/>
              <w:bottom w:val="nil"/>
              <w:right w:val="nil"/>
            </w:tcBorders>
            <w:shd w:val="clear" w:color="auto" w:fill="auto"/>
            <w:noWrap/>
            <w:vAlign w:val="bottom"/>
            <w:hideMark/>
          </w:tcPr>
          <w:p w14:paraId="414E927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3 767</w:t>
            </w:r>
          </w:p>
        </w:tc>
        <w:tc>
          <w:tcPr>
            <w:tcW w:w="371" w:type="pct"/>
            <w:tcBorders>
              <w:top w:val="nil"/>
              <w:left w:val="nil"/>
              <w:bottom w:val="nil"/>
              <w:right w:val="nil"/>
            </w:tcBorders>
            <w:shd w:val="clear" w:color="auto" w:fill="auto"/>
            <w:noWrap/>
            <w:vAlign w:val="bottom"/>
            <w:hideMark/>
          </w:tcPr>
          <w:p w14:paraId="7E553F6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71" w:type="pct"/>
            <w:tcBorders>
              <w:top w:val="nil"/>
              <w:left w:val="nil"/>
              <w:bottom w:val="nil"/>
              <w:right w:val="nil"/>
            </w:tcBorders>
            <w:shd w:val="clear" w:color="auto" w:fill="auto"/>
            <w:noWrap/>
            <w:vAlign w:val="bottom"/>
            <w:hideMark/>
          </w:tcPr>
          <w:p w14:paraId="276D8B3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71" w:type="pct"/>
            <w:tcBorders>
              <w:top w:val="nil"/>
              <w:left w:val="nil"/>
              <w:bottom w:val="nil"/>
              <w:right w:val="nil"/>
            </w:tcBorders>
            <w:shd w:val="clear" w:color="auto" w:fill="auto"/>
            <w:noWrap/>
            <w:vAlign w:val="bottom"/>
            <w:hideMark/>
          </w:tcPr>
          <w:p w14:paraId="308367B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r>
      <w:tr w:rsidR="00DD531B" w:rsidRPr="00DD531B" w14:paraId="508E224B" w14:textId="77777777" w:rsidTr="001F24AE">
        <w:trPr>
          <w:trHeight w:val="300"/>
        </w:trPr>
        <w:tc>
          <w:tcPr>
            <w:tcW w:w="2405" w:type="pct"/>
            <w:tcBorders>
              <w:top w:val="nil"/>
              <w:left w:val="nil"/>
              <w:bottom w:val="nil"/>
              <w:right w:val="nil"/>
            </w:tcBorders>
            <w:shd w:val="clear" w:color="auto" w:fill="auto"/>
            <w:noWrap/>
            <w:vAlign w:val="bottom"/>
            <w:hideMark/>
          </w:tcPr>
          <w:p w14:paraId="6D3D38EC"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prostriedky EÚ a spolufinancovanie zo ŠR</w:t>
            </w:r>
          </w:p>
        </w:tc>
        <w:tc>
          <w:tcPr>
            <w:tcW w:w="371" w:type="pct"/>
            <w:tcBorders>
              <w:top w:val="nil"/>
              <w:left w:val="nil"/>
              <w:bottom w:val="nil"/>
              <w:right w:val="nil"/>
            </w:tcBorders>
            <w:shd w:val="clear" w:color="auto" w:fill="auto"/>
            <w:noWrap/>
            <w:vAlign w:val="bottom"/>
            <w:hideMark/>
          </w:tcPr>
          <w:p w14:paraId="60BDB30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71" w:type="pct"/>
            <w:tcBorders>
              <w:top w:val="nil"/>
              <w:left w:val="nil"/>
              <w:bottom w:val="nil"/>
              <w:right w:val="nil"/>
            </w:tcBorders>
            <w:shd w:val="clear" w:color="auto" w:fill="auto"/>
            <w:noWrap/>
            <w:vAlign w:val="bottom"/>
            <w:hideMark/>
          </w:tcPr>
          <w:p w14:paraId="68896EE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71" w:type="pct"/>
            <w:tcBorders>
              <w:top w:val="nil"/>
              <w:left w:val="nil"/>
              <w:bottom w:val="nil"/>
              <w:right w:val="nil"/>
            </w:tcBorders>
            <w:shd w:val="clear" w:color="auto" w:fill="auto"/>
            <w:noWrap/>
            <w:vAlign w:val="bottom"/>
            <w:hideMark/>
          </w:tcPr>
          <w:p w14:paraId="7B70749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71" w:type="pct"/>
            <w:tcBorders>
              <w:top w:val="nil"/>
              <w:left w:val="nil"/>
              <w:bottom w:val="nil"/>
              <w:right w:val="nil"/>
            </w:tcBorders>
            <w:shd w:val="clear" w:color="auto" w:fill="auto"/>
            <w:noWrap/>
            <w:vAlign w:val="bottom"/>
            <w:hideMark/>
          </w:tcPr>
          <w:p w14:paraId="2435116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248 397</w:t>
            </w:r>
          </w:p>
        </w:tc>
        <w:tc>
          <w:tcPr>
            <w:tcW w:w="371" w:type="pct"/>
            <w:tcBorders>
              <w:top w:val="nil"/>
              <w:left w:val="nil"/>
              <w:bottom w:val="nil"/>
              <w:right w:val="nil"/>
            </w:tcBorders>
            <w:shd w:val="clear" w:color="auto" w:fill="auto"/>
            <w:noWrap/>
            <w:vAlign w:val="bottom"/>
            <w:hideMark/>
          </w:tcPr>
          <w:p w14:paraId="22E8985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71" w:type="pct"/>
            <w:tcBorders>
              <w:top w:val="nil"/>
              <w:left w:val="nil"/>
              <w:bottom w:val="nil"/>
              <w:right w:val="nil"/>
            </w:tcBorders>
            <w:shd w:val="clear" w:color="auto" w:fill="auto"/>
            <w:noWrap/>
            <w:vAlign w:val="bottom"/>
            <w:hideMark/>
          </w:tcPr>
          <w:p w14:paraId="502852B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71" w:type="pct"/>
            <w:tcBorders>
              <w:top w:val="nil"/>
              <w:left w:val="nil"/>
              <w:bottom w:val="nil"/>
              <w:right w:val="nil"/>
            </w:tcBorders>
            <w:shd w:val="clear" w:color="auto" w:fill="auto"/>
            <w:noWrap/>
            <w:vAlign w:val="bottom"/>
            <w:hideMark/>
          </w:tcPr>
          <w:p w14:paraId="35F9F08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r>
      <w:tr w:rsidR="00DD531B" w:rsidRPr="00DD531B" w14:paraId="42A2B811" w14:textId="77777777" w:rsidTr="001F24AE">
        <w:trPr>
          <w:trHeight w:val="300"/>
        </w:trPr>
        <w:tc>
          <w:tcPr>
            <w:tcW w:w="2405" w:type="pct"/>
            <w:tcBorders>
              <w:top w:val="nil"/>
              <w:left w:val="nil"/>
              <w:bottom w:val="nil"/>
              <w:right w:val="nil"/>
            </w:tcBorders>
            <w:shd w:val="clear" w:color="auto" w:fill="auto"/>
            <w:noWrap/>
            <w:vAlign w:val="bottom"/>
            <w:hideMark/>
          </w:tcPr>
          <w:p w14:paraId="77C6859D"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prostriedky POO a DPH k POO</w:t>
            </w:r>
          </w:p>
        </w:tc>
        <w:tc>
          <w:tcPr>
            <w:tcW w:w="371" w:type="pct"/>
            <w:tcBorders>
              <w:top w:val="nil"/>
              <w:left w:val="nil"/>
              <w:bottom w:val="nil"/>
              <w:right w:val="nil"/>
            </w:tcBorders>
            <w:shd w:val="clear" w:color="auto" w:fill="auto"/>
            <w:noWrap/>
            <w:vAlign w:val="bottom"/>
            <w:hideMark/>
          </w:tcPr>
          <w:p w14:paraId="1600C73B"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71" w:type="pct"/>
            <w:tcBorders>
              <w:top w:val="nil"/>
              <w:left w:val="nil"/>
              <w:bottom w:val="nil"/>
              <w:right w:val="nil"/>
            </w:tcBorders>
            <w:shd w:val="clear" w:color="auto" w:fill="auto"/>
            <w:noWrap/>
            <w:vAlign w:val="bottom"/>
            <w:hideMark/>
          </w:tcPr>
          <w:p w14:paraId="36E7EB3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71" w:type="pct"/>
            <w:tcBorders>
              <w:top w:val="nil"/>
              <w:left w:val="nil"/>
              <w:bottom w:val="nil"/>
              <w:right w:val="nil"/>
            </w:tcBorders>
            <w:shd w:val="clear" w:color="auto" w:fill="auto"/>
            <w:noWrap/>
            <w:vAlign w:val="bottom"/>
            <w:hideMark/>
          </w:tcPr>
          <w:p w14:paraId="7A36789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71" w:type="pct"/>
            <w:tcBorders>
              <w:top w:val="nil"/>
              <w:left w:val="nil"/>
              <w:bottom w:val="nil"/>
              <w:right w:val="nil"/>
            </w:tcBorders>
            <w:shd w:val="clear" w:color="auto" w:fill="auto"/>
            <w:noWrap/>
            <w:vAlign w:val="bottom"/>
            <w:hideMark/>
          </w:tcPr>
          <w:p w14:paraId="16BCFEC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32 391</w:t>
            </w:r>
          </w:p>
        </w:tc>
        <w:tc>
          <w:tcPr>
            <w:tcW w:w="371" w:type="pct"/>
            <w:tcBorders>
              <w:top w:val="nil"/>
              <w:left w:val="nil"/>
              <w:bottom w:val="nil"/>
              <w:right w:val="nil"/>
            </w:tcBorders>
            <w:shd w:val="clear" w:color="auto" w:fill="auto"/>
            <w:noWrap/>
            <w:vAlign w:val="bottom"/>
            <w:hideMark/>
          </w:tcPr>
          <w:p w14:paraId="6B866AC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71" w:type="pct"/>
            <w:tcBorders>
              <w:top w:val="nil"/>
              <w:left w:val="nil"/>
              <w:bottom w:val="nil"/>
              <w:right w:val="nil"/>
            </w:tcBorders>
            <w:shd w:val="clear" w:color="auto" w:fill="auto"/>
            <w:noWrap/>
            <w:vAlign w:val="bottom"/>
            <w:hideMark/>
          </w:tcPr>
          <w:p w14:paraId="1EBC7D9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71" w:type="pct"/>
            <w:tcBorders>
              <w:top w:val="nil"/>
              <w:left w:val="nil"/>
              <w:bottom w:val="nil"/>
              <w:right w:val="nil"/>
            </w:tcBorders>
            <w:shd w:val="clear" w:color="auto" w:fill="auto"/>
            <w:noWrap/>
            <w:vAlign w:val="bottom"/>
            <w:hideMark/>
          </w:tcPr>
          <w:p w14:paraId="402ABD08"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r>
      <w:tr w:rsidR="00DD531B" w:rsidRPr="00DD531B" w14:paraId="18F38096" w14:textId="77777777" w:rsidTr="001F24AE">
        <w:trPr>
          <w:trHeight w:val="300"/>
        </w:trPr>
        <w:tc>
          <w:tcPr>
            <w:tcW w:w="2405" w:type="pct"/>
            <w:tcBorders>
              <w:top w:val="nil"/>
              <w:left w:val="nil"/>
              <w:bottom w:val="single" w:sz="4" w:space="0" w:color="auto"/>
              <w:right w:val="nil"/>
            </w:tcBorders>
            <w:shd w:val="clear" w:color="auto" w:fill="auto"/>
            <w:noWrap/>
            <w:vAlign w:val="bottom"/>
            <w:hideMark/>
          </w:tcPr>
          <w:p w14:paraId="777C4E0C" w14:textId="77777777" w:rsidR="00DD531B" w:rsidRPr="00DD531B" w:rsidRDefault="00DD531B" w:rsidP="00DD531B">
            <w:pPr>
              <w:spacing w:after="0" w:line="240" w:lineRule="auto"/>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prostriedky podľa § 17 ods. 4 a § 22 ods. 4 zákona č. 523/2004 Z. z.</w:t>
            </w:r>
          </w:p>
        </w:tc>
        <w:tc>
          <w:tcPr>
            <w:tcW w:w="371" w:type="pct"/>
            <w:tcBorders>
              <w:top w:val="nil"/>
              <w:left w:val="nil"/>
              <w:bottom w:val="single" w:sz="4" w:space="0" w:color="auto"/>
              <w:right w:val="nil"/>
            </w:tcBorders>
            <w:shd w:val="clear" w:color="auto" w:fill="auto"/>
            <w:noWrap/>
            <w:vAlign w:val="bottom"/>
            <w:hideMark/>
          </w:tcPr>
          <w:p w14:paraId="76CB1572"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67</w:t>
            </w:r>
          </w:p>
        </w:tc>
        <w:tc>
          <w:tcPr>
            <w:tcW w:w="371" w:type="pct"/>
            <w:tcBorders>
              <w:top w:val="nil"/>
              <w:left w:val="nil"/>
              <w:bottom w:val="single" w:sz="4" w:space="0" w:color="auto"/>
              <w:right w:val="nil"/>
            </w:tcBorders>
            <w:shd w:val="clear" w:color="auto" w:fill="auto"/>
            <w:noWrap/>
            <w:vAlign w:val="bottom"/>
            <w:hideMark/>
          </w:tcPr>
          <w:p w14:paraId="6802B69D"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80</w:t>
            </w:r>
          </w:p>
        </w:tc>
        <w:tc>
          <w:tcPr>
            <w:tcW w:w="371" w:type="pct"/>
            <w:tcBorders>
              <w:top w:val="nil"/>
              <w:left w:val="nil"/>
              <w:bottom w:val="single" w:sz="4" w:space="0" w:color="auto"/>
              <w:right w:val="nil"/>
            </w:tcBorders>
            <w:shd w:val="clear" w:color="auto" w:fill="auto"/>
            <w:noWrap/>
            <w:vAlign w:val="bottom"/>
            <w:hideMark/>
          </w:tcPr>
          <w:p w14:paraId="4B249D25"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115</w:t>
            </w:r>
          </w:p>
        </w:tc>
        <w:tc>
          <w:tcPr>
            <w:tcW w:w="371" w:type="pct"/>
            <w:tcBorders>
              <w:top w:val="nil"/>
              <w:left w:val="nil"/>
              <w:bottom w:val="single" w:sz="4" w:space="0" w:color="auto"/>
              <w:right w:val="nil"/>
            </w:tcBorders>
            <w:shd w:val="clear" w:color="auto" w:fill="auto"/>
            <w:noWrap/>
            <w:vAlign w:val="bottom"/>
            <w:hideMark/>
          </w:tcPr>
          <w:p w14:paraId="56AD74CC"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182</w:t>
            </w:r>
          </w:p>
        </w:tc>
        <w:tc>
          <w:tcPr>
            <w:tcW w:w="371" w:type="pct"/>
            <w:tcBorders>
              <w:top w:val="nil"/>
              <w:left w:val="nil"/>
              <w:bottom w:val="single" w:sz="4" w:space="0" w:color="auto"/>
              <w:right w:val="nil"/>
            </w:tcBorders>
            <w:shd w:val="clear" w:color="auto" w:fill="auto"/>
            <w:noWrap/>
            <w:vAlign w:val="bottom"/>
            <w:hideMark/>
          </w:tcPr>
          <w:p w14:paraId="5766A693"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115</w:t>
            </w:r>
          </w:p>
        </w:tc>
        <w:tc>
          <w:tcPr>
            <w:tcW w:w="371" w:type="pct"/>
            <w:tcBorders>
              <w:top w:val="nil"/>
              <w:left w:val="nil"/>
              <w:bottom w:val="single" w:sz="4" w:space="0" w:color="auto"/>
              <w:right w:val="nil"/>
            </w:tcBorders>
            <w:shd w:val="clear" w:color="auto" w:fill="auto"/>
            <w:noWrap/>
            <w:vAlign w:val="bottom"/>
            <w:hideMark/>
          </w:tcPr>
          <w:p w14:paraId="181147E5"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115</w:t>
            </w:r>
          </w:p>
        </w:tc>
        <w:tc>
          <w:tcPr>
            <w:tcW w:w="371" w:type="pct"/>
            <w:tcBorders>
              <w:top w:val="nil"/>
              <w:left w:val="nil"/>
              <w:bottom w:val="single" w:sz="4" w:space="0" w:color="auto"/>
              <w:right w:val="nil"/>
            </w:tcBorders>
            <w:shd w:val="clear" w:color="auto" w:fill="auto"/>
            <w:noWrap/>
            <w:vAlign w:val="bottom"/>
            <w:hideMark/>
          </w:tcPr>
          <w:p w14:paraId="69FFE4A5"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115</w:t>
            </w:r>
          </w:p>
        </w:tc>
      </w:tr>
    </w:tbl>
    <w:p w14:paraId="298635A0" w14:textId="54ED4FAF" w:rsidR="00DD531B" w:rsidRDefault="00DD531B" w:rsidP="00DD531B">
      <w:pPr>
        <w:rPr>
          <w:rFonts w:ascii="Times New Roman" w:eastAsia="Times New Roman" w:hAnsi="Times New Roman" w:cs="Times New Roman"/>
          <w:b/>
          <w:color w:val="2E74B5"/>
          <w:sz w:val="24"/>
          <w:szCs w:val="24"/>
        </w:rPr>
      </w:pPr>
    </w:p>
    <w:p w14:paraId="2F16DE64" w14:textId="3ED82F06" w:rsidR="00485571" w:rsidRDefault="00485571" w:rsidP="00DD531B">
      <w:pPr>
        <w:rPr>
          <w:rFonts w:ascii="Times New Roman" w:eastAsia="Times New Roman" w:hAnsi="Times New Roman" w:cs="Times New Roman"/>
          <w:b/>
          <w:color w:val="2E74B5"/>
          <w:sz w:val="24"/>
          <w:szCs w:val="24"/>
        </w:rPr>
      </w:pPr>
    </w:p>
    <w:p w14:paraId="0690D01A" w14:textId="115D97C0" w:rsidR="00485571" w:rsidRDefault="00485571" w:rsidP="00DD531B">
      <w:pPr>
        <w:rPr>
          <w:rFonts w:ascii="Times New Roman" w:eastAsia="Times New Roman" w:hAnsi="Times New Roman" w:cs="Times New Roman"/>
          <w:b/>
          <w:color w:val="2E74B5"/>
          <w:sz w:val="24"/>
          <w:szCs w:val="24"/>
        </w:rPr>
      </w:pPr>
    </w:p>
    <w:p w14:paraId="4E936156" w14:textId="754622EB" w:rsidR="00485571" w:rsidRDefault="00485571" w:rsidP="00DD531B">
      <w:pPr>
        <w:rPr>
          <w:rFonts w:ascii="Times New Roman" w:eastAsia="Times New Roman" w:hAnsi="Times New Roman" w:cs="Times New Roman"/>
          <w:b/>
          <w:color w:val="2E74B5"/>
          <w:sz w:val="24"/>
          <w:szCs w:val="24"/>
        </w:rPr>
      </w:pPr>
    </w:p>
    <w:p w14:paraId="1EB6757A" w14:textId="3FE0F59E" w:rsidR="00485571" w:rsidRDefault="00485571" w:rsidP="00DD531B">
      <w:pPr>
        <w:rPr>
          <w:rFonts w:ascii="Times New Roman" w:eastAsia="Times New Roman" w:hAnsi="Times New Roman" w:cs="Times New Roman"/>
          <w:b/>
          <w:color w:val="2E74B5"/>
          <w:sz w:val="24"/>
          <w:szCs w:val="24"/>
        </w:rPr>
      </w:pPr>
    </w:p>
    <w:p w14:paraId="343B7A9A" w14:textId="58700870" w:rsidR="00485571" w:rsidRDefault="00485571" w:rsidP="00DD531B">
      <w:pPr>
        <w:rPr>
          <w:rFonts w:ascii="Times New Roman" w:eastAsia="Times New Roman" w:hAnsi="Times New Roman" w:cs="Times New Roman"/>
          <w:b/>
          <w:color w:val="2E74B5"/>
          <w:sz w:val="24"/>
          <w:szCs w:val="24"/>
        </w:rPr>
      </w:pPr>
    </w:p>
    <w:p w14:paraId="5D008834" w14:textId="5FFC7F31" w:rsidR="00485571" w:rsidRDefault="00485571" w:rsidP="00DD531B">
      <w:pPr>
        <w:rPr>
          <w:rFonts w:ascii="Times New Roman" w:eastAsia="Times New Roman" w:hAnsi="Times New Roman" w:cs="Times New Roman"/>
          <w:b/>
          <w:color w:val="2E74B5"/>
          <w:sz w:val="24"/>
          <w:szCs w:val="24"/>
        </w:rPr>
      </w:pPr>
    </w:p>
    <w:p w14:paraId="74A8657F" w14:textId="560410F7" w:rsidR="00485571" w:rsidRDefault="00485571" w:rsidP="00DD531B">
      <w:pPr>
        <w:rPr>
          <w:rFonts w:ascii="Times New Roman" w:eastAsia="Times New Roman" w:hAnsi="Times New Roman" w:cs="Times New Roman"/>
          <w:b/>
          <w:color w:val="2E74B5"/>
          <w:sz w:val="24"/>
          <w:szCs w:val="24"/>
        </w:rPr>
      </w:pPr>
    </w:p>
    <w:p w14:paraId="750BC5C5" w14:textId="18922201" w:rsidR="00485571" w:rsidRDefault="00485571" w:rsidP="00DD531B">
      <w:pPr>
        <w:rPr>
          <w:rFonts w:ascii="Times New Roman" w:eastAsia="Times New Roman" w:hAnsi="Times New Roman" w:cs="Times New Roman"/>
          <w:b/>
          <w:color w:val="2E74B5"/>
          <w:sz w:val="24"/>
          <w:szCs w:val="24"/>
        </w:rPr>
      </w:pPr>
    </w:p>
    <w:p w14:paraId="392F3D6E" w14:textId="6274F3A1" w:rsidR="00485571" w:rsidRDefault="00485571" w:rsidP="00DD531B">
      <w:pPr>
        <w:rPr>
          <w:rFonts w:ascii="Times New Roman" w:eastAsia="Times New Roman" w:hAnsi="Times New Roman" w:cs="Times New Roman"/>
          <w:b/>
          <w:color w:val="2E74B5"/>
          <w:sz w:val="24"/>
          <w:szCs w:val="24"/>
        </w:rPr>
      </w:pPr>
    </w:p>
    <w:p w14:paraId="3BB3503D" w14:textId="49212C9A" w:rsidR="00485571" w:rsidRPr="00485571" w:rsidRDefault="00485571" w:rsidP="00485571">
      <w:pPr>
        <w:spacing w:after="0"/>
        <w:rPr>
          <w:rFonts w:ascii="Times New Roman" w:eastAsia="Calibri" w:hAnsi="Times New Roman" w:cs="Times New Roman"/>
          <w:color w:val="5B9BD5" w:themeColor="accent1"/>
        </w:rPr>
      </w:pPr>
      <w:r w:rsidRPr="00485571">
        <w:rPr>
          <w:rFonts w:ascii="Times New Roman" w:eastAsia="Times New Roman" w:hAnsi="Times New Roman" w:cs="Times New Roman"/>
          <w:b/>
          <w:color w:val="5B9BD5" w:themeColor="accent1"/>
          <w:sz w:val="24"/>
          <w:szCs w:val="24"/>
        </w:rPr>
        <w:lastRenderedPageBreak/>
        <w:t>Ministerstvo kultúry SR</w:t>
      </w:r>
    </w:p>
    <w:p w14:paraId="29711FA1" w14:textId="77777777" w:rsidR="00485571" w:rsidRDefault="00485571" w:rsidP="00485571">
      <w:pPr>
        <w:keepNext/>
        <w:keepLines/>
        <w:spacing w:before="40" w:after="0"/>
        <w:outlineLvl w:val="3"/>
        <w:rPr>
          <w:rFonts w:ascii="Times New Roman" w:eastAsia="Times New Roman" w:hAnsi="Times New Roman" w:cs="Times New Roman"/>
          <w:b/>
          <w:iCs/>
          <w:color w:val="2E74B5"/>
          <w:sz w:val="20"/>
          <w:szCs w:val="20"/>
          <w:lang w:eastAsia="sk-SK"/>
        </w:rPr>
      </w:pPr>
    </w:p>
    <w:p w14:paraId="1CC3F81E" w14:textId="1C56D930" w:rsidR="00DD531B" w:rsidRPr="00485571" w:rsidRDefault="00485571" w:rsidP="00485571">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19" w:name="_Toc153013089"/>
      <w:r w:rsidRPr="00485571">
        <w:rPr>
          <w:rFonts w:ascii="Times New Roman" w:eastAsia="Times New Roman" w:hAnsi="Times New Roman" w:cs="Times New Roman"/>
          <w:b/>
          <w:iCs/>
          <w:color w:val="5B9BD5" w:themeColor="accent1"/>
          <w:sz w:val="20"/>
          <w:szCs w:val="20"/>
          <w:lang w:eastAsia="sk-SK"/>
        </w:rPr>
        <w:t xml:space="preserve">Tabuľka </w:t>
      </w:r>
      <w:r w:rsidRPr="00485571">
        <w:rPr>
          <w:rFonts w:ascii="Times New Roman" w:hAnsi="Times New Roman" w:cs="Times New Roman"/>
          <w:b/>
          <w:color w:val="5B9BD5" w:themeColor="accent1"/>
          <w:sz w:val="20"/>
          <w:szCs w:val="20"/>
        </w:rPr>
        <w:fldChar w:fldCharType="begin"/>
      </w:r>
      <w:r w:rsidRPr="00485571">
        <w:rPr>
          <w:rFonts w:ascii="Times New Roman" w:hAnsi="Times New Roman" w:cs="Times New Roman"/>
          <w:b/>
          <w:color w:val="5B9BD5" w:themeColor="accent1"/>
          <w:sz w:val="20"/>
          <w:szCs w:val="20"/>
        </w:rPr>
        <w:instrText xml:space="preserve"> SEQ Tabuľka \* ARABIC </w:instrText>
      </w:r>
      <w:r w:rsidRPr="00485571">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91</w:t>
      </w:r>
      <w:r w:rsidRPr="00485571">
        <w:rPr>
          <w:rFonts w:ascii="Times New Roman" w:hAnsi="Times New Roman" w:cs="Times New Roman"/>
          <w:b/>
          <w:color w:val="5B9BD5" w:themeColor="accent1"/>
          <w:sz w:val="20"/>
          <w:szCs w:val="20"/>
        </w:rPr>
        <w:fldChar w:fldCharType="end"/>
      </w:r>
      <w:r w:rsidRPr="00485571">
        <w:rPr>
          <w:rFonts w:ascii="Times New Roman" w:hAnsi="Times New Roman" w:cs="Times New Roman"/>
          <w:b/>
          <w:color w:val="5B9BD5" w:themeColor="accent1"/>
          <w:sz w:val="20"/>
          <w:szCs w:val="20"/>
        </w:rPr>
        <w:t xml:space="preserve"> - </w:t>
      </w:r>
      <w:r w:rsidR="00DD531B" w:rsidRPr="00485571">
        <w:rPr>
          <w:rFonts w:ascii="Times New Roman" w:eastAsia="Times New Roman" w:hAnsi="Times New Roman" w:cs="Times New Roman"/>
          <w:b/>
          <w:iCs/>
          <w:color w:val="5B9BD5" w:themeColor="accent1"/>
          <w:sz w:val="20"/>
          <w:szCs w:val="20"/>
          <w:lang w:eastAsia="sk-SK"/>
        </w:rPr>
        <w:t>Príjmy kapitoly MK SR</w:t>
      </w:r>
      <w:bookmarkEnd w:id="219"/>
    </w:p>
    <w:tbl>
      <w:tblPr>
        <w:tblW w:w="5000" w:type="pct"/>
        <w:tblCellMar>
          <w:left w:w="70" w:type="dxa"/>
          <w:right w:w="70" w:type="dxa"/>
        </w:tblCellMar>
        <w:tblLook w:val="04A0" w:firstRow="1" w:lastRow="0" w:firstColumn="1" w:lastColumn="0" w:noHBand="0" w:noVBand="1"/>
      </w:tblPr>
      <w:tblGrid>
        <w:gridCol w:w="4684"/>
        <w:gridCol w:w="605"/>
        <w:gridCol w:w="605"/>
        <w:gridCol w:w="616"/>
        <w:gridCol w:w="714"/>
        <w:gridCol w:w="616"/>
        <w:gridCol w:w="616"/>
        <w:gridCol w:w="616"/>
      </w:tblGrid>
      <w:tr w:rsidR="00DD531B" w:rsidRPr="00DD531B" w14:paraId="64DF64FC" w14:textId="77777777" w:rsidTr="001F24AE">
        <w:trPr>
          <w:trHeight w:val="300"/>
        </w:trPr>
        <w:tc>
          <w:tcPr>
            <w:tcW w:w="2588" w:type="pct"/>
            <w:tcBorders>
              <w:top w:val="single" w:sz="4" w:space="0" w:color="auto"/>
              <w:left w:val="nil"/>
              <w:bottom w:val="single" w:sz="4" w:space="0" w:color="auto"/>
              <w:right w:val="nil"/>
            </w:tcBorders>
            <w:shd w:val="clear" w:color="auto" w:fill="auto"/>
            <w:noWrap/>
            <w:vAlign w:val="center"/>
            <w:hideMark/>
          </w:tcPr>
          <w:p w14:paraId="25126B32" w14:textId="77777777" w:rsidR="00DD531B" w:rsidRPr="00485571" w:rsidRDefault="00DD531B" w:rsidP="00DD531B">
            <w:pPr>
              <w:spacing w:after="0" w:line="240" w:lineRule="auto"/>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v tis. eur</w:t>
            </w:r>
          </w:p>
        </w:tc>
        <w:tc>
          <w:tcPr>
            <w:tcW w:w="340" w:type="pct"/>
            <w:tcBorders>
              <w:top w:val="single" w:sz="4" w:space="0" w:color="auto"/>
              <w:left w:val="nil"/>
              <w:bottom w:val="single" w:sz="4" w:space="0" w:color="auto"/>
              <w:right w:val="nil"/>
            </w:tcBorders>
            <w:shd w:val="clear" w:color="auto" w:fill="auto"/>
            <w:noWrap/>
            <w:vAlign w:val="center"/>
            <w:hideMark/>
          </w:tcPr>
          <w:p w14:paraId="4EA71DE7" w14:textId="77777777" w:rsidR="00DD531B" w:rsidRPr="00485571" w:rsidRDefault="00DD531B"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2021 S</w:t>
            </w:r>
          </w:p>
        </w:tc>
        <w:tc>
          <w:tcPr>
            <w:tcW w:w="340" w:type="pct"/>
            <w:tcBorders>
              <w:top w:val="single" w:sz="4" w:space="0" w:color="auto"/>
              <w:left w:val="nil"/>
              <w:bottom w:val="single" w:sz="4" w:space="0" w:color="auto"/>
              <w:right w:val="nil"/>
            </w:tcBorders>
            <w:shd w:val="clear" w:color="auto" w:fill="auto"/>
            <w:noWrap/>
            <w:vAlign w:val="center"/>
            <w:hideMark/>
          </w:tcPr>
          <w:p w14:paraId="7C32FE5B" w14:textId="77777777" w:rsidR="00DD531B" w:rsidRPr="00485571" w:rsidRDefault="00DD531B"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2022 S</w:t>
            </w:r>
          </w:p>
        </w:tc>
        <w:tc>
          <w:tcPr>
            <w:tcW w:w="340" w:type="pct"/>
            <w:tcBorders>
              <w:top w:val="single" w:sz="4" w:space="0" w:color="auto"/>
              <w:left w:val="nil"/>
              <w:bottom w:val="single" w:sz="4" w:space="0" w:color="auto"/>
              <w:right w:val="nil"/>
            </w:tcBorders>
            <w:shd w:val="clear" w:color="auto" w:fill="auto"/>
            <w:noWrap/>
            <w:vAlign w:val="center"/>
            <w:hideMark/>
          </w:tcPr>
          <w:p w14:paraId="4B54E849" w14:textId="77777777" w:rsidR="00DD531B" w:rsidRPr="00485571" w:rsidRDefault="00DD531B"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2023 R</w:t>
            </w:r>
          </w:p>
        </w:tc>
        <w:tc>
          <w:tcPr>
            <w:tcW w:w="370" w:type="pct"/>
            <w:tcBorders>
              <w:top w:val="single" w:sz="4" w:space="0" w:color="auto"/>
              <w:left w:val="nil"/>
              <w:bottom w:val="single" w:sz="4" w:space="0" w:color="auto"/>
              <w:right w:val="nil"/>
            </w:tcBorders>
            <w:shd w:val="clear" w:color="auto" w:fill="auto"/>
            <w:noWrap/>
            <w:vAlign w:val="center"/>
            <w:hideMark/>
          </w:tcPr>
          <w:p w14:paraId="136022D9" w14:textId="77777777" w:rsidR="00DD531B" w:rsidRPr="00485571" w:rsidRDefault="00DD531B"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2023 OS</w:t>
            </w:r>
          </w:p>
        </w:tc>
        <w:tc>
          <w:tcPr>
            <w:tcW w:w="340" w:type="pct"/>
            <w:tcBorders>
              <w:top w:val="single" w:sz="4" w:space="0" w:color="auto"/>
              <w:left w:val="nil"/>
              <w:bottom w:val="single" w:sz="4" w:space="0" w:color="auto"/>
              <w:right w:val="nil"/>
            </w:tcBorders>
            <w:shd w:val="clear" w:color="auto" w:fill="auto"/>
            <w:noWrap/>
            <w:vAlign w:val="center"/>
            <w:hideMark/>
          </w:tcPr>
          <w:p w14:paraId="6A2588A4" w14:textId="77777777" w:rsidR="00DD531B" w:rsidRPr="00485571" w:rsidRDefault="00DD531B"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2024 N</w:t>
            </w:r>
          </w:p>
        </w:tc>
        <w:tc>
          <w:tcPr>
            <w:tcW w:w="340" w:type="pct"/>
            <w:tcBorders>
              <w:top w:val="single" w:sz="4" w:space="0" w:color="auto"/>
              <w:left w:val="nil"/>
              <w:bottom w:val="single" w:sz="4" w:space="0" w:color="auto"/>
              <w:right w:val="nil"/>
            </w:tcBorders>
            <w:shd w:val="clear" w:color="auto" w:fill="auto"/>
            <w:noWrap/>
            <w:vAlign w:val="center"/>
            <w:hideMark/>
          </w:tcPr>
          <w:p w14:paraId="3CF7E30E" w14:textId="77777777" w:rsidR="00DD531B" w:rsidRPr="00485571" w:rsidRDefault="00DD531B"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2025 N</w:t>
            </w:r>
          </w:p>
        </w:tc>
        <w:tc>
          <w:tcPr>
            <w:tcW w:w="340" w:type="pct"/>
            <w:tcBorders>
              <w:top w:val="single" w:sz="4" w:space="0" w:color="auto"/>
              <w:left w:val="nil"/>
              <w:bottom w:val="single" w:sz="4" w:space="0" w:color="auto"/>
              <w:right w:val="nil"/>
            </w:tcBorders>
            <w:shd w:val="clear" w:color="auto" w:fill="auto"/>
            <w:noWrap/>
            <w:vAlign w:val="center"/>
            <w:hideMark/>
          </w:tcPr>
          <w:p w14:paraId="0CCE6402" w14:textId="77777777" w:rsidR="00DD531B" w:rsidRPr="00485571" w:rsidRDefault="00DD531B"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2026 N</w:t>
            </w:r>
          </w:p>
        </w:tc>
      </w:tr>
      <w:tr w:rsidR="00DD531B" w:rsidRPr="00DD531B" w14:paraId="373C6ACF" w14:textId="77777777" w:rsidTr="001F24AE">
        <w:trPr>
          <w:trHeight w:val="300"/>
        </w:trPr>
        <w:tc>
          <w:tcPr>
            <w:tcW w:w="2588" w:type="pct"/>
            <w:tcBorders>
              <w:top w:val="nil"/>
              <w:left w:val="nil"/>
              <w:bottom w:val="nil"/>
              <w:right w:val="nil"/>
            </w:tcBorders>
            <w:shd w:val="clear" w:color="auto" w:fill="auto"/>
            <w:noWrap/>
            <w:vAlign w:val="bottom"/>
            <w:hideMark/>
          </w:tcPr>
          <w:p w14:paraId="69320397" w14:textId="77777777" w:rsidR="00DD531B" w:rsidRPr="00485571" w:rsidRDefault="00DD531B" w:rsidP="00DD531B">
            <w:pPr>
              <w:spacing w:after="0" w:line="240" w:lineRule="auto"/>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Príjmy kapitoly spolu</w:t>
            </w:r>
          </w:p>
        </w:tc>
        <w:tc>
          <w:tcPr>
            <w:tcW w:w="340" w:type="pct"/>
            <w:tcBorders>
              <w:top w:val="nil"/>
              <w:left w:val="nil"/>
              <w:bottom w:val="nil"/>
              <w:right w:val="nil"/>
            </w:tcBorders>
            <w:shd w:val="clear" w:color="auto" w:fill="auto"/>
            <w:noWrap/>
            <w:vAlign w:val="bottom"/>
            <w:hideMark/>
          </w:tcPr>
          <w:p w14:paraId="3EC0B536" w14:textId="77777777" w:rsidR="00DD531B" w:rsidRPr="00485571"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626</w:t>
            </w:r>
          </w:p>
        </w:tc>
        <w:tc>
          <w:tcPr>
            <w:tcW w:w="340" w:type="pct"/>
            <w:tcBorders>
              <w:top w:val="nil"/>
              <w:left w:val="nil"/>
              <w:bottom w:val="nil"/>
              <w:right w:val="nil"/>
            </w:tcBorders>
            <w:shd w:val="clear" w:color="auto" w:fill="auto"/>
            <w:noWrap/>
            <w:vAlign w:val="bottom"/>
            <w:hideMark/>
          </w:tcPr>
          <w:p w14:paraId="01F4AE0A" w14:textId="77777777" w:rsidR="00DD531B" w:rsidRPr="00485571"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1 523</w:t>
            </w:r>
          </w:p>
        </w:tc>
        <w:tc>
          <w:tcPr>
            <w:tcW w:w="340" w:type="pct"/>
            <w:tcBorders>
              <w:top w:val="nil"/>
              <w:left w:val="nil"/>
              <w:bottom w:val="nil"/>
              <w:right w:val="nil"/>
            </w:tcBorders>
            <w:shd w:val="clear" w:color="auto" w:fill="auto"/>
            <w:noWrap/>
            <w:vAlign w:val="bottom"/>
            <w:hideMark/>
          </w:tcPr>
          <w:p w14:paraId="22C56BCF" w14:textId="77777777" w:rsidR="00DD531B" w:rsidRPr="00485571"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1 000</w:t>
            </w:r>
          </w:p>
        </w:tc>
        <w:tc>
          <w:tcPr>
            <w:tcW w:w="370" w:type="pct"/>
            <w:tcBorders>
              <w:top w:val="nil"/>
              <w:left w:val="nil"/>
              <w:bottom w:val="nil"/>
              <w:right w:val="nil"/>
            </w:tcBorders>
            <w:shd w:val="clear" w:color="auto" w:fill="auto"/>
            <w:noWrap/>
            <w:vAlign w:val="bottom"/>
            <w:hideMark/>
          </w:tcPr>
          <w:p w14:paraId="0AC5A432" w14:textId="77777777" w:rsidR="00DD531B" w:rsidRPr="00485571"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1 311</w:t>
            </w:r>
          </w:p>
        </w:tc>
        <w:tc>
          <w:tcPr>
            <w:tcW w:w="340" w:type="pct"/>
            <w:tcBorders>
              <w:top w:val="nil"/>
              <w:left w:val="nil"/>
              <w:bottom w:val="nil"/>
              <w:right w:val="nil"/>
            </w:tcBorders>
            <w:shd w:val="clear" w:color="auto" w:fill="auto"/>
            <w:noWrap/>
            <w:vAlign w:val="bottom"/>
            <w:hideMark/>
          </w:tcPr>
          <w:p w14:paraId="5B38BAEC" w14:textId="77777777" w:rsidR="00DD531B" w:rsidRPr="00485571"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1 200</w:t>
            </w:r>
          </w:p>
        </w:tc>
        <w:tc>
          <w:tcPr>
            <w:tcW w:w="340" w:type="pct"/>
            <w:tcBorders>
              <w:top w:val="nil"/>
              <w:left w:val="nil"/>
              <w:bottom w:val="nil"/>
              <w:right w:val="nil"/>
            </w:tcBorders>
            <w:shd w:val="clear" w:color="auto" w:fill="auto"/>
            <w:noWrap/>
            <w:vAlign w:val="bottom"/>
            <w:hideMark/>
          </w:tcPr>
          <w:p w14:paraId="2A67E8BF" w14:textId="77777777" w:rsidR="00DD531B" w:rsidRPr="00485571"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1 200</w:t>
            </w:r>
          </w:p>
        </w:tc>
        <w:tc>
          <w:tcPr>
            <w:tcW w:w="340" w:type="pct"/>
            <w:tcBorders>
              <w:top w:val="nil"/>
              <w:left w:val="nil"/>
              <w:bottom w:val="nil"/>
              <w:right w:val="nil"/>
            </w:tcBorders>
            <w:shd w:val="clear" w:color="auto" w:fill="auto"/>
            <w:noWrap/>
            <w:vAlign w:val="bottom"/>
            <w:hideMark/>
          </w:tcPr>
          <w:p w14:paraId="6F58A846" w14:textId="77777777" w:rsidR="00DD531B" w:rsidRPr="00485571"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1 200</w:t>
            </w:r>
          </w:p>
        </w:tc>
      </w:tr>
      <w:tr w:rsidR="00DD531B" w:rsidRPr="00DD531B" w14:paraId="12799841" w14:textId="77777777" w:rsidTr="001F24AE">
        <w:trPr>
          <w:trHeight w:val="300"/>
        </w:trPr>
        <w:tc>
          <w:tcPr>
            <w:tcW w:w="2588" w:type="pct"/>
            <w:tcBorders>
              <w:top w:val="nil"/>
              <w:left w:val="nil"/>
              <w:bottom w:val="nil"/>
              <w:right w:val="nil"/>
            </w:tcBorders>
            <w:shd w:val="clear" w:color="auto" w:fill="auto"/>
            <w:noWrap/>
            <w:vAlign w:val="bottom"/>
            <w:hideMark/>
          </w:tcPr>
          <w:p w14:paraId="23DA57E6" w14:textId="77777777" w:rsidR="00DD531B" w:rsidRPr="00485571" w:rsidRDefault="00DD531B" w:rsidP="00DD531B">
            <w:pPr>
              <w:spacing w:after="0" w:line="240" w:lineRule="auto"/>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nedaňové príjmy</w:t>
            </w:r>
          </w:p>
        </w:tc>
        <w:tc>
          <w:tcPr>
            <w:tcW w:w="340" w:type="pct"/>
            <w:tcBorders>
              <w:top w:val="nil"/>
              <w:left w:val="nil"/>
              <w:bottom w:val="nil"/>
              <w:right w:val="nil"/>
            </w:tcBorders>
            <w:shd w:val="clear" w:color="auto" w:fill="auto"/>
            <w:noWrap/>
            <w:vAlign w:val="bottom"/>
            <w:hideMark/>
          </w:tcPr>
          <w:p w14:paraId="0A6ADE16"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624</w:t>
            </w:r>
          </w:p>
        </w:tc>
        <w:tc>
          <w:tcPr>
            <w:tcW w:w="340" w:type="pct"/>
            <w:tcBorders>
              <w:top w:val="nil"/>
              <w:left w:val="nil"/>
              <w:bottom w:val="nil"/>
              <w:right w:val="nil"/>
            </w:tcBorders>
            <w:shd w:val="clear" w:color="auto" w:fill="auto"/>
            <w:noWrap/>
            <w:vAlign w:val="bottom"/>
            <w:hideMark/>
          </w:tcPr>
          <w:p w14:paraId="40D6A911"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1 514</w:t>
            </w:r>
          </w:p>
        </w:tc>
        <w:tc>
          <w:tcPr>
            <w:tcW w:w="340" w:type="pct"/>
            <w:tcBorders>
              <w:top w:val="nil"/>
              <w:left w:val="nil"/>
              <w:bottom w:val="nil"/>
              <w:right w:val="nil"/>
            </w:tcBorders>
            <w:shd w:val="clear" w:color="auto" w:fill="auto"/>
            <w:noWrap/>
            <w:vAlign w:val="bottom"/>
            <w:hideMark/>
          </w:tcPr>
          <w:p w14:paraId="0620B810"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1 000</w:t>
            </w:r>
          </w:p>
        </w:tc>
        <w:tc>
          <w:tcPr>
            <w:tcW w:w="370" w:type="pct"/>
            <w:tcBorders>
              <w:top w:val="nil"/>
              <w:left w:val="nil"/>
              <w:bottom w:val="nil"/>
              <w:right w:val="nil"/>
            </w:tcBorders>
            <w:shd w:val="clear" w:color="auto" w:fill="auto"/>
            <w:noWrap/>
            <w:vAlign w:val="bottom"/>
            <w:hideMark/>
          </w:tcPr>
          <w:p w14:paraId="3041EAD8"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1 309</w:t>
            </w:r>
          </w:p>
        </w:tc>
        <w:tc>
          <w:tcPr>
            <w:tcW w:w="340" w:type="pct"/>
            <w:tcBorders>
              <w:top w:val="nil"/>
              <w:left w:val="nil"/>
              <w:bottom w:val="nil"/>
              <w:right w:val="nil"/>
            </w:tcBorders>
            <w:shd w:val="clear" w:color="auto" w:fill="auto"/>
            <w:noWrap/>
            <w:vAlign w:val="bottom"/>
            <w:hideMark/>
          </w:tcPr>
          <w:p w14:paraId="6BDB40AD"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1 200</w:t>
            </w:r>
          </w:p>
        </w:tc>
        <w:tc>
          <w:tcPr>
            <w:tcW w:w="340" w:type="pct"/>
            <w:tcBorders>
              <w:top w:val="nil"/>
              <w:left w:val="nil"/>
              <w:bottom w:val="nil"/>
              <w:right w:val="nil"/>
            </w:tcBorders>
            <w:shd w:val="clear" w:color="auto" w:fill="auto"/>
            <w:noWrap/>
            <w:vAlign w:val="bottom"/>
            <w:hideMark/>
          </w:tcPr>
          <w:p w14:paraId="554D0F61"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1 200</w:t>
            </w:r>
          </w:p>
        </w:tc>
        <w:tc>
          <w:tcPr>
            <w:tcW w:w="340" w:type="pct"/>
            <w:tcBorders>
              <w:top w:val="nil"/>
              <w:left w:val="nil"/>
              <w:bottom w:val="nil"/>
              <w:right w:val="nil"/>
            </w:tcBorders>
            <w:shd w:val="clear" w:color="auto" w:fill="auto"/>
            <w:noWrap/>
            <w:vAlign w:val="bottom"/>
            <w:hideMark/>
          </w:tcPr>
          <w:p w14:paraId="0853D0B0"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1 200</w:t>
            </w:r>
          </w:p>
        </w:tc>
      </w:tr>
      <w:tr w:rsidR="00DD531B" w:rsidRPr="00DD531B" w14:paraId="0BB406BF" w14:textId="77777777" w:rsidTr="001F24AE">
        <w:trPr>
          <w:trHeight w:val="300"/>
        </w:trPr>
        <w:tc>
          <w:tcPr>
            <w:tcW w:w="2588" w:type="pct"/>
            <w:tcBorders>
              <w:top w:val="nil"/>
              <w:left w:val="nil"/>
              <w:bottom w:val="single" w:sz="4" w:space="0" w:color="auto"/>
              <w:right w:val="nil"/>
            </w:tcBorders>
            <w:shd w:val="clear" w:color="auto" w:fill="auto"/>
            <w:noWrap/>
            <w:vAlign w:val="bottom"/>
            <w:hideMark/>
          </w:tcPr>
          <w:p w14:paraId="5DD29E73" w14:textId="77777777" w:rsidR="00DD531B" w:rsidRPr="00485571" w:rsidRDefault="00DD531B" w:rsidP="00DD531B">
            <w:pPr>
              <w:spacing w:after="0" w:line="240" w:lineRule="auto"/>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prostriedky podľa § 17 ods. 4 a § 22 ods. 4 zákona č. 523/2004 Z. z.</w:t>
            </w:r>
          </w:p>
        </w:tc>
        <w:tc>
          <w:tcPr>
            <w:tcW w:w="340" w:type="pct"/>
            <w:tcBorders>
              <w:top w:val="nil"/>
              <w:left w:val="nil"/>
              <w:bottom w:val="single" w:sz="4" w:space="0" w:color="auto"/>
              <w:right w:val="nil"/>
            </w:tcBorders>
            <w:shd w:val="clear" w:color="auto" w:fill="auto"/>
            <w:noWrap/>
            <w:vAlign w:val="bottom"/>
            <w:hideMark/>
          </w:tcPr>
          <w:p w14:paraId="74157B64"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w:t>
            </w:r>
          </w:p>
        </w:tc>
        <w:tc>
          <w:tcPr>
            <w:tcW w:w="340" w:type="pct"/>
            <w:tcBorders>
              <w:top w:val="nil"/>
              <w:left w:val="nil"/>
              <w:bottom w:val="single" w:sz="4" w:space="0" w:color="auto"/>
              <w:right w:val="nil"/>
            </w:tcBorders>
            <w:shd w:val="clear" w:color="auto" w:fill="auto"/>
            <w:noWrap/>
            <w:vAlign w:val="bottom"/>
            <w:hideMark/>
          </w:tcPr>
          <w:p w14:paraId="772B8E75"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9</w:t>
            </w:r>
          </w:p>
        </w:tc>
        <w:tc>
          <w:tcPr>
            <w:tcW w:w="340" w:type="pct"/>
            <w:tcBorders>
              <w:top w:val="nil"/>
              <w:left w:val="nil"/>
              <w:bottom w:val="single" w:sz="4" w:space="0" w:color="auto"/>
              <w:right w:val="nil"/>
            </w:tcBorders>
            <w:shd w:val="clear" w:color="auto" w:fill="auto"/>
            <w:noWrap/>
            <w:vAlign w:val="bottom"/>
            <w:hideMark/>
          </w:tcPr>
          <w:p w14:paraId="5D050454"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370" w:type="pct"/>
            <w:tcBorders>
              <w:top w:val="nil"/>
              <w:left w:val="nil"/>
              <w:bottom w:val="single" w:sz="4" w:space="0" w:color="auto"/>
              <w:right w:val="nil"/>
            </w:tcBorders>
            <w:shd w:val="clear" w:color="auto" w:fill="auto"/>
            <w:noWrap/>
            <w:vAlign w:val="bottom"/>
            <w:hideMark/>
          </w:tcPr>
          <w:p w14:paraId="24840506"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w:t>
            </w:r>
          </w:p>
        </w:tc>
        <w:tc>
          <w:tcPr>
            <w:tcW w:w="340" w:type="pct"/>
            <w:tcBorders>
              <w:top w:val="nil"/>
              <w:left w:val="nil"/>
              <w:bottom w:val="single" w:sz="4" w:space="0" w:color="auto"/>
              <w:right w:val="nil"/>
            </w:tcBorders>
            <w:shd w:val="clear" w:color="auto" w:fill="auto"/>
            <w:noWrap/>
            <w:vAlign w:val="bottom"/>
            <w:hideMark/>
          </w:tcPr>
          <w:p w14:paraId="77C19057"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340" w:type="pct"/>
            <w:tcBorders>
              <w:top w:val="nil"/>
              <w:left w:val="nil"/>
              <w:bottom w:val="single" w:sz="4" w:space="0" w:color="auto"/>
              <w:right w:val="nil"/>
            </w:tcBorders>
            <w:shd w:val="clear" w:color="auto" w:fill="auto"/>
            <w:noWrap/>
            <w:vAlign w:val="bottom"/>
            <w:hideMark/>
          </w:tcPr>
          <w:p w14:paraId="57CB5FA7"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340" w:type="pct"/>
            <w:tcBorders>
              <w:top w:val="nil"/>
              <w:left w:val="nil"/>
              <w:bottom w:val="single" w:sz="4" w:space="0" w:color="auto"/>
              <w:right w:val="nil"/>
            </w:tcBorders>
            <w:shd w:val="clear" w:color="auto" w:fill="auto"/>
            <w:noWrap/>
            <w:vAlign w:val="bottom"/>
            <w:hideMark/>
          </w:tcPr>
          <w:p w14:paraId="302161DC"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r>
    </w:tbl>
    <w:p w14:paraId="14738E5A" w14:textId="77777777" w:rsidR="00DD531B" w:rsidRPr="00DD531B" w:rsidRDefault="00DD531B" w:rsidP="00DD531B">
      <w:pPr>
        <w:rPr>
          <w:rFonts w:ascii="Times New Roman" w:eastAsia="Calibri" w:hAnsi="Times New Roman" w:cs="Times New Roman"/>
        </w:rPr>
      </w:pPr>
    </w:p>
    <w:p w14:paraId="3028D8AE" w14:textId="0DB39823" w:rsidR="00DD531B" w:rsidRPr="00485571" w:rsidRDefault="00485571"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20" w:name="_Toc153013090"/>
      <w:r w:rsidRPr="00485571">
        <w:rPr>
          <w:rFonts w:ascii="Times New Roman" w:eastAsia="Times New Roman" w:hAnsi="Times New Roman" w:cs="Times New Roman"/>
          <w:b/>
          <w:iCs/>
          <w:color w:val="5B9BD5" w:themeColor="accent1"/>
          <w:sz w:val="20"/>
          <w:szCs w:val="20"/>
          <w:lang w:eastAsia="sk-SK"/>
        </w:rPr>
        <w:t xml:space="preserve">Tabuľka </w:t>
      </w:r>
      <w:r w:rsidRPr="00485571">
        <w:rPr>
          <w:rFonts w:ascii="Times New Roman" w:hAnsi="Times New Roman" w:cs="Times New Roman"/>
          <w:b/>
          <w:color w:val="5B9BD5" w:themeColor="accent1"/>
          <w:sz w:val="20"/>
          <w:szCs w:val="20"/>
        </w:rPr>
        <w:fldChar w:fldCharType="begin"/>
      </w:r>
      <w:r w:rsidRPr="00485571">
        <w:rPr>
          <w:rFonts w:ascii="Times New Roman" w:hAnsi="Times New Roman" w:cs="Times New Roman"/>
          <w:b/>
          <w:color w:val="5B9BD5" w:themeColor="accent1"/>
          <w:sz w:val="20"/>
          <w:szCs w:val="20"/>
        </w:rPr>
        <w:instrText xml:space="preserve"> SEQ Tabuľka \* ARABIC </w:instrText>
      </w:r>
      <w:r w:rsidRPr="00485571">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92</w:t>
      </w:r>
      <w:r w:rsidRPr="00485571">
        <w:rPr>
          <w:rFonts w:ascii="Times New Roman" w:hAnsi="Times New Roman" w:cs="Times New Roman"/>
          <w:b/>
          <w:color w:val="5B9BD5" w:themeColor="accent1"/>
          <w:sz w:val="20"/>
          <w:szCs w:val="20"/>
        </w:rPr>
        <w:fldChar w:fldCharType="end"/>
      </w:r>
      <w:r w:rsidRPr="00485571">
        <w:rPr>
          <w:rFonts w:ascii="Times New Roman" w:hAnsi="Times New Roman" w:cs="Times New Roman"/>
          <w:b/>
          <w:color w:val="5B9BD5" w:themeColor="accent1"/>
          <w:sz w:val="20"/>
          <w:szCs w:val="20"/>
        </w:rPr>
        <w:t xml:space="preserve"> - </w:t>
      </w:r>
      <w:r w:rsidR="00DD531B" w:rsidRPr="00485571">
        <w:rPr>
          <w:rFonts w:ascii="Times New Roman" w:eastAsia="Times New Roman" w:hAnsi="Times New Roman" w:cs="Times New Roman"/>
          <w:b/>
          <w:iCs/>
          <w:color w:val="5B9BD5" w:themeColor="accent1"/>
          <w:sz w:val="20"/>
          <w:szCs w:val="20"/>
          <w:lang w:eastAsia="sk-SK"/>
        </w:rPr>
        <w:t>Výdavky kapitoly MK SR</w:t>
      </w:r>
      <w:bookmarkEnd w:id="220"/>
    </w:p>
    <w:tbl>
      <w:tblPr>
        <w:tblW w:w="5000" w:type="pct"/>
        <w:tblLayout w:type="fixed"/>
        <w:tblCellMar>
          <w:left w:w="70" w:type="dxa"/>
          <w:right w:w="70" w:type="dxa"/>
        </w:tblCellMar>
        <w:tblLook w:val="04A0" w:firstRow="1" w:lastRow="0" w:firstColumn="1" w:lastColumn="0" w:noHBand="0" w:noVBand="1"/>
      </w:tblPr>
      <w:tblGrid>
        <w:gridCol w:w="3971"/>
        <w:gridCol w:w="717"/>
        <w:gridCol w:w="702"/>
        <w:gridCol w:w="709"/>
        <w:gridCol w:w="849"/>
        <w:gridCol w:w="709"/>
        <w:gridCol w:w="709"/>
        <w:gridCol w:w="706"/>
      </w:tblGrid>
      <w:tr w:rsidR="00DD531B" w:rsidRPr="00DD531B" w14:paraId="71A781BC" w14:textId="77777777" w:rsidTr="00661122">
        <w:trPr>
          <w:trHeight w:val="300"/>
        </w:trPr>
        <w:tc>
          <w:tcPr>
            <w:tcW w:w="2188" w:type="pct"/>
            <w:tcBorders>
              <w:top w:val="single" w:sz="4" w:space="0" w:color="auto"/>
              <w:left w:val="nil"/>
              <w:bottom w:val="single" w:sz="4" w:space="0" w:color="auto"/>
              <w:right w:val="nil"/>
            </w:tcBorders>
            <w:shd w:val="clear" w:color="auto" w:fill="auto"/>
            <w:noWrap/>
            <w:vAlign w:val="center"/>
            <w:hideMark/>
          </w:tcPr>
          <w:p w14:paraId="2A0D57B7" w14:textId="77777777" w:rsidR="00DD531B" w:rsidRPr="00485571" w:rsidRDefault="00DD531B" w:rsidP="00DD531B">
            <w:pPr>
              <w:spacing w:after="0" w:line="240" w:lineRule="auto"/>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v tis. eur</w:t>
            </w:r>
          </w:p>
        </w:tc>
        <w:tc>
          <w:tcPr>
            <w:tcW w:w="395" w:type="pct"/>
            <w:tcBorders>
              <w:top w:val="single" w:sz="4" w:space="0" w:color="auto"/>
              <w:left w:val="nil"/>
              <w:bottom w:val="single" w:sz="4" w:space="0" w:color="auto"/>
              <w:right w:val="nil"/>
            </w:tcBorders>
            <w:shd w:val="clear" w:color="auto" w:fill="auto"/>
            <w:noWrap/>
            <w:vAlign w:val="center"/>
            <w:hideMark/>
          </w:tcPr>
          <w:p w14:paraId="5CEACC6A" w14:textId="77777777" w:rsidR="00DD531B" w:rsidRPr="00485571" w:rsidRDefault="00DD531B"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2021 S</w:t>
            </w:r>
          </w:p>
        </w:tc>
        <w:tc>
          <w:tcPr>
            <w:tcW w:w="387" w:type="pct"/>
            <w:tcBorders>
              <w:top w:val="single" w:sz="4" w:space="0" w:color="auto"/>
              <w:left w:val="nil"/>
              <w:bottom w:val="single" w:sz="4" w:space="0" w:color="auto"/>
              <w:right w:val="nil"/>
            </w:tcBorders>
            <w:shd w:val="clear" w:color="auto" w:fill="auto"/>
            <w:noWrap/>
            <w:vAlign w:val="center"/>
            <w:hideMark/>
          </w:tcPr>
          <w:p w14:paraId="36B0DC8B" w14:textId="77777777" w:rsidR="00DD531B" w:rsidRPr="00485571" w:rsidRDefault="00DD531B"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2022 S</w:t>
            </w:r>
          </w:p>
        </w:tc>
        <w:tc>
          <w:tcPr>
            <w:tcW w:w="391" w:type="pct"/>
            <w:tcBorders>
              <w:top w:val="single" w:sz="4" w:space="0" w:color="auto"/>
              <w:left w:val="nil"/>
              <w:bottom w:val="single" w:sz="4" w:space="0" w:color="auto"/>
              <w:right w:val="nil"/>
            </w:tcBorders>
            <w:shd w:val="clear" w:color="auto" w:fill="auto"/>
            <w:noWrap/>
            <w:vAlign w:val="center"/>
            <w:hideMark/>
          </w:tcPr>
          <w:p w14:paraId="3A0998C3" w14:textId="77777777" w:rsidR="00DD531B" w:rsidRPr="00485571" w:rsidRDefault="00DD531B"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2023 R</w:t>
            </w:r>
          </w:p>
        </w:tc>
        <w:tc>
          <w:tcPr>
            <w:tcW w:w="468" w:type="pct"/>
            <w:tcBorders>
              <w:top w:val="single" w:sz="4" w:space="0" w:color="auto"/>
              <w:left w:val="nil"/>
              <w:bottom w:val="single" w:sz="4" w:space="0" w:color="auto"/>
              <w:right w:val="nil"/>
            </w:tcBorders>
            <w:shd w:val="clear" w:color="auto" w:fill="auto"/>
            <w:noWrap/>
            <w:vAlign w:val="center"/>
            <w:hideMark/>
          </w:tcPr>
          <w:p w14:paraId="1D3649A2" w14:textId="77777777" w:rsidR="00DD531B" w:rsidRPr="00485571" w:rsidRDefault="00DD531B"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2023 OS</w:t>
            </w:r>
          </w:p>
        </w:tc>
        <w:tc>
          <w:tcPr>
            <w:tcW w:w="391" w:type="pct"/>
            <w:tcBorders>
              <w:top w:val="single" w:sz="4" w:space="0" w:color="auto"/>
              <w:left w:val="nil"/>
              <w:bottom w:val="single" w:sz="4" w:space="0" w:color="auto"/>
              <w:right w:val="nil"/>
            </w:tcBorders>
            <w:shd w:val="clear" w:color="auto" w:fill="auto"/>
            <w:noWrap/>
            <w:vAlign w:val="center"/>
            <w:hideMark/>
          </w:tcPr>
          <w:p w14:paraId="46B388B1" w14:textId="77777777" w:rsidR="00DD531B" w:rsidRPr="00485571" w:rsidRDefault="00DD531B"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2024 N</w:t>
            </w:r>
          </w:p>
        </w:tc>
        <w:tc>
          <w:tcPr>
            <w:tcW w:w="391" w:type="pct"/>
            <w:tcBorders>
              <w:top w:val="single" w:sz="4" w:space="0" w:color="auto"/>
              <w:left w:val="nil"/>
              <w:bottom w:val="single" w:sz="4" w:space="0" w:color="auto"/>
              <w:right w:val="nil"/>
            </w:tcBorders>
            <w:shd w:val="clear" w:color="auto" w:fill="auto"/>
            <w:noWrap/>
            <w:vAlign w:val="center"/>
            <w:hideMark/>
          </w:tcPr>
          <w:p w14:paraId="708FDB05" w14:textId="77777777" w:rsidR="00DD531B" w:rsidRPr="00485571" w:rsidRDefault="00DD531B"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2025 N</w:t>
            </w:r>
          </w:p>
        </w:tc>
        <w:tc>
          <w:tcPr>
            <w:tcW w:w="390" w:type="pct"/>
            <w:tcBorders>
              <w:top w:val="single" w:sz="4" w:space="0" w:color="auto"/>
              <w:left w:val="nil"/>
              <w:bottom w:val="single" w:sz="4" w:space="0" w:color="auto"/>
              <w:right w:val="nil"/>
            </w:tcBorders>
            <w:shd w:val="clear" w:color="auto" w:fill="auto"/>
            <w:noWrap/>
            <w:vAlign w:val="center"/>
            <w:hideMark/>
          </w:tcPr>
          <w:p w14:paraId="59D23E29" w14:textId="77777777" w:rsidR="00DD531B" w:rsidRPr="00485571" w:rsidRDefault="00DD531B" w:rsidP="00485571">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2026 N</w:t>
            </w:r>
          </w:p>
        </w:tc>
      </w:tr>
      <w:tr w:rsidR="00DD531B" w:rsidRPr="00DD531B" w14:paraId="3C9AEB0B" w14:textId="77777777" w:rsidTr="00661122">
        <w:trPr>
          <w:trHeight w:val="300"/>
        </w:trPr>
        <w:tc>
          <w:tcPr>
            <w:tcW w:w="2188" w:type="pct"/>
            <w:tcBorders>
              <w:top w:val="nil"/>
              <w:left w:val="nil"/>
              <w:bottom w:val="nil"/>
              <w:right w:val="nil"/>
            </w:tcBorders>
            <w:shd w:val="clear" w:color="auto" w:fill="auto"/>
            <w:noWrap/>
            <w:vAlign w:val="center"/>
            <w:hideMark/>
          </w:tcPr>
          <w:p w14:paraId="4228F724" w14:textId="77777777" w:rsidR="00DD531B" w:rsidRPr="00485571" w:rsidRDefault="00DD531B" w:rsidP="00DD531B">
            <w:pPr>
              <w:spacing w:after="0" w:line="240" w:lineRule="auto"/>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Výdavky kapitoly spolu</w:t>
            </w:r>
          </w:p>
        </w:tc>
        <w:tc>
          <w:tcPr>
            <w:tcW w:w="395" w:type="pct"/>
            <w:tcBorders>
              <w:top w:val="nil"/>
              <w:left w:val="nil"/>
              <w:bottom w:val="nil"/>
              <w:right w:val="nil"/>
            </w:tcBorders>
            <w:shd w:val="clear" w:color="auto" w:fill="auto"/>
            <w:noWrap/>
            <w:vAlign w:val="center"/>
            <w:hideMark/>
          </w:tcPr>
          <w:p w14:paraId="389E0502"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342 074</w:t>
            </w:r>
          </w:p>
        </w:tc>
        <w:tc>
          <w:tcPr>
            <w:tcW w:w="387" w:type="pct"/>
            <w:tcBorders>
              <w:top w:val="nil"/>
              <w:left w:val="nil"/>
              <w:bottom w:val="nil"/>
              <w:right w:val="nil"/>
            </w:tcBorders>
            <w:shd w:val="clear" w:color="auto" w:fill="auto"/>
            <w:noWrap/>
            <w:vAlign w:val="center"/>
            <w:hideMark/>
          </w:tcPr>
          <w:p w14:paraId="2132EAE8"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365 946</w:t>
            </w:r>
          </w:p>
        </w:tc>
        <w:tc>
          <w:tcPr>
            <w:tcW w:w="391" w:type="pct"/>
            <w:tcBorders>
              <w:top w:val="nil"/>
              <w:left w:val="nil"/>
              <w:bottom w:val="nil"/>
              <w:right w:val="nil"/>
            </w:tcBorders>
            <w:shd w:val="clear" w:color="auto" w:fill="auto"/>
            <w:noWrap/>
            <w:vAlign w:val="center"/>
            <w:hideMark/>
          </w:tcPr>
          <w:p w14:paraId="396A7D34"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334 746</w:t>
            </w:r>
          </w:p>
        </w:tc>
        <w:tc>
          <w:tcPr>
            <w:tcW w:w="468" w:type="pct"/>
            <w:tcBorders>
              <w:top w:val="nil"/>
              <w:left w:val="nil"/>
              <w:bottom w:val="nil"/>
              <w:right w:val="nil"/>
            </w:tcBorders>
            <w:shd w:val="clear" w:color="auto" w:fill="auto"/>
            <w:noWrap/>
            <w:vAlign w:val="center"/>
            <w:hideMark/>
          </w:tcPr>
          <w:p w14:paraId="45521333"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442 724</w:t>
            </w:r>
          </w:p>
        </w:tc>
        <w:tc>
          <w:tcPr>
            <w:tcW w:w="391" w:type="pct"/>
            <w:tcBorders>
              <w:top w:val="nil"/>
              <w:left w:val="nil"/>
              <w:bottom w:val="nil"/>
              <w:right w:val="nil"/>
            </w:tcBorders>
            <w:shd w:val="clear" w:color="auto" w:fill="auto"/>
            <w:noWrap/>
            <w:vAlign w:val="center"/>
            <w:hideMark/>
          </w:tcPr>
          <w:p w14:paraId="78B76729"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443 146</w:t>
            </w:r>
          </w:p>
        </w:tc>
        <w:tc>
          <w:tcPr>
            <w:tcW w:w="391" w:type="pct"/>
            <w:tcBorders>
              <w:top w:val="nil"/>
              <w:left w:val="nil"/>
              <w:bottom w:val="nil"/>
              <w:right w:val="nil"/>
            </w:tcBorders>
            <w:shd w:val="clear" w:color="auto" w:fill="auto"/>
            <w:noWrap/>
            <w:vAlign w:val="center"/>
            <w:hideMark/>
          </w:tcPr>
          <w:p w14:paraId="2EFD95B8"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474 166</w:t>
            </w:r>
          </w:p>
        </w:tc>
        <w:tc>
          <w:tcPr>
            <w:tcW w:w="390" w:type="pct"/>
            <w:tcBorders>
              <w:top w:val="nil"/>
              <w:left w:val="nil"/>
              <w:bottom w:val="nil"/>
              <w:right w:val="nil"/>
            </w:tcBorders>
            <w:shd w:val="clear" w:color="auto" w:fill="auto"/>
            <w:noWrap/>
            <w:vAlign w:val="center"/>
            <w:hideMark/>
          </w:tcPr>
          <w:p w14:paraId="51657734"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481 011</w:t>
            </w:r>
          </w:p>
        </w:tc>
      </w:tr>
      <w:tr w:rsidR="00DD531B" w:rsidRPr="00DD531B" w14:paraId="6D8336C5" w14:textId="77777777" w:rsidTr="00661122">
        <w:trPr>
          <w:trHeight w:val="300"/>
        </w:trPr>
        <w:tc>
          <w:tcPr>
            <w:tcW w:w="2188" w:type="pct"/>
            <w:tcBorders>
              <w:top w:val="nil"/>
              <w:left w:val="nil"/>
              <w:bottom w:val="nil"/>
              <w:right w:val="nil"/>
            </w:tcBorders>
            <w:shd w:val="clear" w:color="auto" w:fill="auto"/>
            <w:noWrap/>
            <w:vAlign w:val="bottom"/>
            <w:hideMark/>
          </w:tcPr>
          <w:p w14:paraId="1E37E714" w14:textId="77777777" w:rsidR="00DD531B" w:rsidRPr="00485571" w:rsidRDefault="00DD531B" w:rsidP="00DD531B">
            <w:pPr>
              <w:spacing w:after="0" w:line="240" w:lineRule="auto"/>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rozpočtové zdroje kapitoly</w:t>
            </w:r>
          </w:p>
        </w:tc>
        <w:tc>
          <w:tcPr>
            <w:tcW w:w="395" w:type="pct"/>
            <w:tcBorders>
              <w:top w:val="nil"/>
              <w:left w:val="nil"/>
              <w:bottom w:val="nil"/>
              <w:right w:val="nil"/>
            </w:tcBorders>
            <w:shd w:val="clear" w:color="auto" w:fill="auto"/>
            <w:noWrap/>
            <w:vAlign w:val="bottom"/>
            <w:hideMark/>
          </w:tcPr>
          <w:p w14:paraId="61A8BB30"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339 995</w:t>
            </w:r>
          </w:p>
        </w:tc>
        <w:tc>
          <w:tcPr>
            <w:tcW w:w="387" w:type="pct"/>
            <w:tcBorders>
              <w:top w:val="nil"/>
              <w:left w:val="nil"/>
              <w:bottom w:val="nil"/>
              <w:right w:val="nil"/>
            </w:tcBorders>
            <w:shd w:val="clear" w:color="auto" w:fill="auto"/>
            <w:noWrap/>
            <w:vAlign w:val="bottom"/>
            <w:hideMark/>
          </w:tcPr>
          <w:p w14:paraId="212200DF"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360 692</w:t>
            </w:r>
          </w:p>
        </w:tc>
        <w:tc>
          <w:tcPr>
            <w:tcW w:w="391" w:type="pct"/>
            <w:tcBorders>
              <w:top w:val="nil"/>
              <w:left w:val="nil"/>
              <w:bottom w:val="nil"/>
              <w:right w:val="nil"/>
            </w:tcBorders>
            <w:shd w:val="clear" w:color="auto" w:fill="auto"/>
            <w:noWrap/>
            <w:vAlign w:val="bottom"/>
            <w:hideMark/>
          </w:tcPr>
          <w:p w14:paraId="30883C16"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331 466</w:t>
            </w:r>
          </w:p>
        </w:tc>
        <w:tc>
          <w:tcPr>
            <w:tcW w:w="468" w:type="pct"/>
            <w:tcBorders>
              <w:top w:val="nil"/>
              <w:left w:val="nil"/>
              <w:bottom w:val="nil"/>
              <w:right w:val="nil"/>
            </w:tcBorders>
            <w:shd w:val="clear" w:color="auto" w:fill="auto"/>
            <w:noWrap/>
            <w:vAlign w:val="bottom"/>
            <w:hideMark/>
          </w:tcPr>
          <w:p w14:paraId="7575DFFF"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431 727</w:t>
            </w:r>
          </w:p>
        </w:tc>
        <w:tc>
          <w:tcPr>
            <w:tcW w:w="391" w:type="pct"/>
            <w:tcBorders>
              <w:top w:val="nil"/>
              <w:left w:val="nil"/>
              <w:bottom w:val="nil"/>
              <w:right w:val="nil"/>
            </w:tcBorders>
            <w:shd w:val="clear" w:color="auto" w:fill="auto"/>
            <w:noWrap/>
            <w:vAlign w:val="bottom"/>
            <w:hideMark/>
          </w:tcPr>
          <w:p w14:paraId="461F28D5"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443 146</w:t>
            </w:r>
          </w:p>
        </w:tc>
        <w:tc>
          <w:tcPr>
            <w:tcW w:w="391" w:type="pct"/>
            <w:tcBorders>
              <w:top w:val="nil"/>
              <w:left w:val="nil"/>
              <w:bottom w:val="nil"/>
              <w:right w:val="nil"/>
            </w:tcBorders>
            <w:shd w:val="clear" w:color="auto" w:fill="auto"/>
            <w:noWrap/>
            <w:vAlign w:val="bottom"/>
            <w:hideMark/>
          </w:tcPr>
          <w:p w14:paraId="346E3C23"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474 166</w:t>
            </w:r>
          </w:p>
        </w:tc>
        <w:tc>
          <w:tcPr>
            <w:tcW w:w="390" w:type="pct"/>
            <w:tcBorders>
              <w:top w:val="nil"/>
              <w:left w:val="nil"/>
              <w:bottom w:val="nil"/>
              <w:right w:val="nil"/>
            </w:tcBorders>
            <w:shd w:val="clear" w:color="auto" w:fill="auto"/>
            <w:noWrap/>
            <w:vAlign w:val="bottom"/>
            <w:hideMark/>
          </w:tcPr>
          <w:p w14:paraId="0405CC82"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481 011</w:t>
            </w:r>
          </w:p>
        </w:tc>
      </w:tr>
      <w:tr w:rsidR="00DD531B" w:rsidRPr="00DD531B" w14:paraId="290127D0" w14:textId="77777777" w:rsidTr="00661122">
        <w:trPr>
          <w:trHeight w:val="300"/>
        </w:trPr>
        <w:tc>
          <w:tcPr>
            <w:tcW w:w="2188" w:type="pct"/>
            <w:tcBorders>
              <w:top w:val="nil"/>
              <w:left w:val="nil"/>
              <w:bottom w:val="nil"/>
              <w:right w:val="nil"/>
            </w:tcBorders>
            <w:shd w:val="clear" w:color="auto" w:fill="auto"/>
            <w:noWrap/>
            <w:vAlign w:val="bottom"/>
            <w:hideMark/>
          </w:tcPr>
          <w:p w14:paraId="5DD90F76" w14:textId="77777777" w:rsidR="00DD531B" w:rsidRPr="00485571" w:rsidRDefault="00DD531B"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bežné výdavky  600, v tom:</w:t>
            </w:r>
          </w:p>
        </w:tc>
        <w:tc>
          <w:tcPr>
            <w:tcW w:w="395" w:type="pct"/>
            <w:tcBorders>
              <w:top w:val="nil"/>
              <w:left w:val="nil"/>
              <w:bottom w:val="nil"/>
              <w:right w:val="nil"/>
            </w:tcBorders>
            <w:shd w:val="clear" w:color="auto" w:fill="auto"/>
            <w:noWrap/>
            <w:vAlign w:val="bottom"/>
            <w:hideMark/>
          </w:tcPr>
          <w:p w14:paraId="6B331149"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313 540</w:t>
            </w:r>
          </w:p>
        </w:tc>
        <w:tc>
          <w:tcPr>
            <w:tcW w:w="387" w:type="pct"/>
            <w:tcBorders>
              <w:top w:val="nil"/>
              <w:left w:val="nil"/>
              <w:bottom w:val="nil"/>
              <w:right w:val="nil"/>
            </w:tcBorders>
            <w:shd w:val="clear" w:color="auto" w:fill="auto"/>
            <w:noWrap/>
            <w:vAlign w:val="bottom"/>
            <w:hideMark/>
          </w:tcPr>
          <w:p w14:paraId="212AFB2F"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301 474</w:t>
            </w:r>
          </w:p>
        </w:tc>
        <w:tc>
          <w:tcPr>
            <w:tcW w:w="391" w:type="pct"/>
            <w:tcBorders>
              <w:top w:val="nil"/>
              <w:left w:val="nil"/>
              <w:bottom w:val="nil"/>
              <w:right w:val="nil"/>
            </w:tcBorders>
            <w:shd w:val="clear" w:color="auto" w:fill="auto"/>
            <w:noWrap/>
            <w:vAlign w:val="bottom"/>
            <w:hideMark/>
          </w:tcPr>
          <w:p w14:paraId="08F2EFA7"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305 334</w:t>
            </w:r>
          </w:p>
        </w:tc>
        <w:tc>
          <w:tcPr>
            <w:tcW w:w="468" w:type="pct"/>
            <w:tcBorders>
              <w:top w:val="nil"/>
              <w:left w:val="nil"/>
              <w:bottom w:val="nil"/>
              <w:right w:val="nil"/>
            </w:tcBorders>
            <w:shd w:val="clear" w:color="auto" w:fill="auto"/>
            <w:noWrap/>
            <w:vAlign w:val="bottom"/>
            <w:hideMark/>
          </w:tcPr>
          <w:p w14:paraId="6AE08845"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385 501</w:t>
            </w:r>
          </w:p>
        </w:tc>
        <w:tc>
          <w:tcPr>
            <w:tcW w:w="391" w:type="pct"/>
            <w:tcBorders>
              <w:top w:val="nil"/>
              <w:left w:val="nil"/>
              <w:bottom w:val="nil"/>
              <w:right w:val="nil"/>
            </w:tcBorders>
            <w:shd w:val="clear" w:color="auto" w:fill="auto"/>
            <w:noWrap/>
            <w:vAlign w:val="bottom"/>
            <w:hideMark/>
          </w:tcPr>
          <w:p w14:paraId="42D8BE85"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407 083</w:t>
            </w:r>
          </w:p>
        </w:tc>
        <w:tc>
          <w:tcPr>
            <w:tcW w:w="391" w:type="pct"/>
            <w:tcBorders>
              <w:top w:val="nil"/>
              <w:left w:val="nil"/>
              <w:bottom w:val="nil"/>
              <w:right w:val="nil"/>
            </w:tcBorders>
            <w:shd w:val="clear" w:color="auto" w:fill="auto"/>
            <w:noWrap/>
            <w:vAlign w:val="bottom"/>
            <w:hideMark/>
          </w:tcPr>
          <w:p w14:paraId="1011CD1C"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421 920</w:t>
            </w:r>
          </w:p>
        </w:tc>
        <w:tc>
          <w:tcPr>
            <w:tcW w:w="390" w:type="pct"/>
            <w:tcBorders>
              <w:top w:val="nil"/>
              <w:left w:val="nil"/>
              <w:bottom w:val="nil"/>
              <w:right w:val="nil"/>
            </w:tcBorders>
            <w:shd w:val="clear" w:color="auto" w:fill="auto"/>
            <w:noWrap/>
            <w:vAlign w:val="bottom"/>
            <w:hideMark/>
          </w:tcPr>
          <w:p w14:paraId="15F66804"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438 076</w:t>
            </w:r>
          </w:p>
        </w:tc>
      </w:tr>
      <w:tr w:rsidR="00DD531B" w:rsidRPr="00DD531B" w14:paraId="41C2C519" w14:textId="77777777" w:rsidTr="00661122">
        <w:trPr>
          <w:trHeight w:val="300"/>
        </w:trPr>
        <w:tc>
          <w:tcPr>
            <w:tcW w:w="2188" w:type="pct"/>
            <w:tcBorders>
              <w:top w:val="nil"/>
              <w:left w:val="nil"/>
              <w:bottom w:val="nil"/>
              <w:right w:val="nil"/>
            </w:tcBorders>
            <w:shd w:val="clear" w:color="auto" w:fill="auto"/>
            <w:noWrap/>
            <w:vAlign w:val="bottom"/>
            <w:hideMark/>
          </w:tcPr>
          <w:p w14:paraId="2C611F8B" w14:textId="77777777" w:rsidR="00DD531B" w:rsidRPr="00485571" w:rsidRDefault="00DD531B"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610 mzdy</w:t>
            </w:r>
          </w:p>
        </w:tc>
        <w:tc>
          <w:tcPr>
            <w:tcW w:w="395" w:type="pct"/>
            <w:tcBorders>
              <w:top w:val="nil"/>
              <w:left w:val="nil"/>
              <w:bottom w:val="nil"/>
              <w:right w:val="nil"/>
            </w:tcBorders>
            <w:shd w:val="clear" w:color="auto" w:fill="auto"/>
            <w:noWrap/>
            <w:vAlign w:val="bottom"/>
            <w:hideMark/>
          </w:tcPr>
          <w:p w14:paraId="2503EE31"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17 394</w:t>
            </w:r>
          </w:p>
        </w:tc>
        <w:tc>
          <w:tcPr>
            <w:tcW w:w="387" w:type="pct"/>
            <w:tcBorders>
              <w:top w:val="nil"/>
              <w:left w:val="nil"/>
              <w:bottom w:val="nil"/>
              <w:right w:val="nil"/>
            </w:tcBorders>
            <w:shd w:val="clear" w:color="auto" w:fill="auto"/>
            <w:noWrap/>
            <w:vAlign w:val="bottom"/>
            <w:hideMark/>
          </w:tcPr>
          <w:p w14:paraId="22D58759"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17 576</w:t>
            </w:r>
          </w:p>
        </w:tc>
        <w:tc>
          <w:tcPr>
            <w:tcW w:w="391" w:type="pct"/>
            <w:tcBorders>
              <w:top w:val="nil"/>
              <w:left w:val="nil"/>
              <w:bottom w:val="nil"/>
              <w:right w:val="nil"/>
            </w:tcBorders>
            <w:shd w:val="clear" w:color="auto" w:fill="auto"/>
            <w:noWrap/>
            <w:vAlign w:val="bottom"/>
            <w:hideMark/>
          </w:tcPr>
          <w:p w14:paraId="74B627FD"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19 111</w:t>
            </w:r>
          </w:p>
        </w:tc>
        <w:tc>
          <w:tcPr>
            <w:tcW w:w="468" w:type="pct"/>
            <w:tcBorders>
              <w:top w:val="nil"/>
              <w:left w:val="nil"/>
              <w:bottom w:val="nil"/>
              <w:right w:val="nil"/>
            </w:tcBorders>
            <w:shd w:val="clear" w:color="auto" w:fill="auto"/>
            <w:noWrap/>
            <w:vAlign w:val="bottom"/>
            <w:hideMark/>
          </w:tcPr>
          <w:p w14:paraId="0B28F9C4"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19 754</w:t>
            </w:r>
          </w:p>
        </w:tc>
        <w:tc>
          <w:tcPr>
            <w:tcW w:w="391" w:type="pct"/>
            <w:tcBorders>
              <w:top w:val="nil"/>
              <w:left w:val="nil"/>
              <w:bottom w:val="nil"/>
              <w:right w:val="nil"/>
            </w:tcBorders>
            <w:shd w:val="clear" w:color="auto" w:fill="auto"/>
            <w:noWrap/>
            <w:vAlign w:val="bottom"/>
            <w:hideMark/>
          </w:tcPr>
          <w:p w14:paraId="3E029A90"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20 816</w:t>
            </w:r>
          </w:p>
        </w:tc>
        <w:tc>
          <w:tcPr>
            <w:tcW w:w="391" w:type="pct"/>
            <w:tcBorders>
              <w:top w:val="nil"/>
              <w:left w:val="nil"/>
              <w:bottom w:val="nil"/>
              <w:right w:val="nil"/>
            </w:tcBorders>
            <w:shd w:val="clear" w:color="auto" w:fill="auto"/>
            <w:noWrap/>
            <w:vAlign w:val="bottom"/>
            <w:hideMark/>
          </w:tcPr>
          <w:p w14:paraId="04F04F4C"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20 387</w:t>
            </w:r>
          </w:p>
        </w:tc>
        <w:tc>
          <w:tcPr>
            <w:tcW w:w="390" w:type="pct"/>
            <w:tcBorders>
              <w:top w:val="nil"/>
              <w:left w:val="nil"/>
              <w:bottom w:val="nil"/>
              <w:right w:val="nil"/>
            </w:tcBorders>
            <w:shd w:val="clear" w:color="auto" w:fill="auto"/>
            <w:noWrap/>
            <w:vAlign w:val="bottom"/>
            <w:hideMark/>
          </w:tcPr>
          <w:p w14:paraId="121EC6F1"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20 387</w:t>
            </w:r>
          </w:p>
        </w:tc>
      </w:tr>
      <w:tr w:rsidR="00DD531B" w:rsidRPr="00DD531B" w14:paraId="4DBA759A" w14:textId="77777777" w:rsidTr="00661122">
        <w:trPr>
          <w:trHeight w:val="300"/>
        </w:trPr>
        <w:tc>
          <w:tcPr>
            <w:tcW w:w="2188" w:type="pct"/>
            <w:tcBorders>
              <w:top w:val="nil"/>
              <w:left w:val="nil"/>
              <w:bottom w:val="nil"/>
              <w:right w:val="nil"/>
            </w:tcBorders>
            <w:shd w:val="clear" w:color="auto" w:fill="auto"/>
            <w:noWrap/>
            <w:vAlign w:val="bottom"/>
            <w:hideMark/>
          </w:tcPr>
          <w:p w14:paraId="681016BD" w14:textId="77777777" w:rsidR="00DD531B" w:rsidRPr="00485571" w:rsidRDefault="00DD531B"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620 odvody</w:t>
            </w:r>
          </w:p>
        </w:tc>
        <w:tc>
          <w:tcPr>
            <w:tcW w:w="395" w:type="pct"/>
            <w:tcBorders>
              <w:top w:val="nil"/>
              <w:left w:val="nil"/>
              <w:bottom w:val="nil"/>
              <w:right w:val="nil"/>
            </w:tcBorders>
            <w:shd w:val="clear" w:color="auto" w:fill="auto"/>
            <w:noWrap/>
            <w:vAlign w:val="bottom"/>
            <w:hideMark/>
          </w:tcPr>
          <w:p w14:paraId="4C453583"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6 335</w:t>
            </w:r>
          </w:p>
        </w:tc>
        <w:tc>
          <w:tcPr>
            <w:tcW w:w="387" w:type="pct"/>
            <w:tcBorders>
              <w:top w:val="nil"/>
              <w:left w:val="nil"/>
              <w:bottom w:val="nil"/>
              <w:right w:val="nil"/>
            </w:tcBorders>
            <w:shd w:val="clear" w:color="auto" w:fill="auto"/>
            <w:noWrap/>
            <w:vAlign w:val="bottom"/>
            <w:hideMark/>
          </w:tcPr>
          <w:p w14:paraId="1622CF2A"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6 470</w:t>
            </w:r>
          </w:p>
        </w:tc>
        <w:tc>
          <w:tcPr>
            <w:tcW w:w="391" w:type="pct"/>
            <w:tcBorders>
              <w:top w:val="nil"/>
              <w:left w:val="nil"/>
              <w:bottom w:val="nil"/>
              <w:right w:val="nil"/>
            </w:tcBorders>
            <w:shd w:val="clear" w:color="auto" w:fill="auto"/>
            <w:noWrap/>
            <w:vAlign w:val="bottom"/>
            <w:hideMark/>
          </w:tcPr>
          <w:p w14:paraId="5072394D"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6 829</w:t>
            </w:r>
          </w:p>
        </w:tc>
        <w:tc>
          <w:tcPr>
            <w:tcW w:w="468" w:type="pct"/>
            <w:tcBorders>
              <w:top w:val="nil"/>
              <w:left w:val="nil"/>
              <w:bottom w:val="nil"/>
              <w:right w:val="nil"/>
            </w:tcBorders>
            <w:shd w:val="clear" w:color="auto" w:fill="auto"/>
            <w:noWrap/>
            <w:vAlign w:val="bottom"/>
            <w:hideMark/>
          </w:tcPr>
          <w:p w14:paraId="490D1DE8"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7 287</w:t>
            </w:r>
          </w:p>
        </w:tc>
        <w:tc>
          <w:tcPr>
            <w:tcW w:w="391" w:type="pct"/>
            <w:tcBorders>
              <w:top w:val="nil"/>
              <w:left w:val="nil"/>
              <w:bottom w:val="nil"/>
              <w:right w:val="nil"/>
            </w:tcBorders>
            <w:shd w:val="clear" w:color="auto" w:fill="auto"/>
            <w:noWrap/>
            <w:vAlign w:val="bottom"/>
            <w:hideMark/>
          </w:tcPr>
          <w:p w14:paraId="17412C71"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7 653</w:t>
            </w:r>
          </w:p>
        </w:tc>
        <w:tc>
          <w:tcPr>
            <w:tcW w:w="391" w:type="pct"/>
            <w:tcBorders>
              <w:top w:val="nil"/>
              <w:left w:val="nil"/>
              <w:bottom w:val="nil"/>
              <w:right w:val="nil"/>
            </w:tcBorders>
            <w:shd w:val="clear" w:color="auto" w:fill="auto"/>
            <w:noWrap/>
            <w:vAlign w:val="bottom"/>
            <w:hideMark/>
          </w:tcPr>
          <w:p w14:paraId="3A52B8C1"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7 494</w:t>
            </w:r>
          </w:p>
        </w:tc>
        <w:tc>
          <w:tcPr>
            <w:tcW w:w="390" w:type="pct"/>
            <w:tcBorders>
              <w:top w:val="nil"/>
              <w:left w:val="nil"/>
              <w:bottom w:val="nil"/>
              <w:right w:val="nil"/>
            </w:tcBorders>
            <w:shd w:val="clear" w:color="auto" w:fill="auto"/>
            <w:noWrap/>
            <w:vAlign w:val="bottom"/>
            <w:hideMark/>
          </w:tcPr>
          <w:p w14:paraId="12868574"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7 494</w:t>
            </w:r>
          </w:p>
        </w:tc>
      </w:tr>
      <w:tr w:rsidR="00DD531B" w:rsidRPr="00DD531B" w14:paraId="6011FEE8" w14:textId="77777777" w:rsidTr="00661122">
        <w:trPr>
          <w:trHeight w:val="300"/>
        </w:trPr>
        <w:tc>
          <w:tcPr>
            <w:tcW w:w="2188" w:type="pct"/>
            <w:tcBorders>
              <w:top w:val="nil"/>
              <w:left w:val="nil"/>
              <w:bottom w:val="nil"/>
              <w:right w:val="nil"/>
            </w:tcBorders>
            <w:shd w:val="clear" w:color="auto" w:fill="auto"/>
            <w:noWrap/>
            <w:vAlign w:val="bottom"/>
            <w:hideMark/>
          </w:tcPr>
          <w:p w14:paraId="053E7336" w14:textId="77777777" w:rsidR="00DD531B" w:rsidRPr="00485571" w:rsidRDefault="00DD531B"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630 tovary a služby</w:t>
            </w:r>
          </w:p>
        </w:tc>
        <w:tc>
          <w:tcPr>
            <w:tcW w:w="395" w:type="pct"/>
            <w:tcBorders>
              <w:top w:val="nil"/>
              <w:left w:val="nil"/>
              <w:bottom w:val="nil"/>
              <w:right w:val="nil"/>
            </w:tcBorders>
            <w:shd w:val="clear" w:color="auto" w:fill="auto"/>
            <w:noWrap/>
            <w:vAlign w:val="bottom"/>
            <w:hideMark/>
          </w:tcPr>
          <w:p w14:paraId="47D67F10"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17 714</w:t>
            </w:r>
          </w:p>
        </w:tc>
        <w:tc>
          <w:tcPr>
            <w:tcW w:w="387" w:type="pct"/>
            <w:tcBorders>
              <w:top w:val="nil"/>
              <w:left w:val="nil"/>
              <w:bottom w:val="nil"/>
              <w:right w:val="nil"/>
            </w:tcBorders>
            <w:shd w:val="clear" w:color="auto" w:fill="auto"/>
            <w:noWrap/>
            <w:vAlign w:val="bottom"/>
            <w:hideMark/>
          </w:tcPr>
          <w:p w14:paraId="0AD5553E"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17 205</w:t>
            </w:r>
          </w:p>
        </w:tc>
        <w:tc>
          <w:tcPr>
            <w:tcW w:w="391" w:type="pct"/>
            <w:tcBorders>
              <w:top w:val="nil"/>
              <w:left w:val="nil"/>
              <w:bottom w:val="nil"/>
              <w:right w:val="nil"/>
            </w:tcBorders>
            <w:shd w:val="clear" w:color="auto" w:fill="auto"/>
            <w:noWrap/>
            <w:vAlign w:val="bottom"/>
            <w:hideMark/>
          </w:tcPr>
          <w:p w14:paraId="3533E97D"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17 702</w:t>
            </w:r>
          </w:p>
        </w:tc>
        <w:tc>
          <w:tcPr>
            <w:tcW w:w="468" w:type="pct"/>
            <w:tcBorders>
              <w:top w:val="nil"/>
              <w:left w:val="nil"/>
              <w:bottom w:val="nil"/>
              <w:right w:val="nil"/>
            </w:tcBorders>
            <w:shd w:val="clear" w:color="auto" w:fill="auto"/>
            <w:noWrap/>
            <w:vAlign w:val="bottom"/>
            <w:hideMark/>
          </w:tcPr>
          <w:p w14:paraId="23914291"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16 830</w:t>
            </w:r>
          </w:p>
        </w:tc>
        <w:tc>
          <w:tcPr>
            <w:tcW w:w="391" w:type="pct"/>
            <w:tcBorders>
              <w:top w:val="nil"/>
              <w:left w:val="nil"/>
              <w:bottom w:val="nil"/>
              <w:right w:val="nil"/>
            </w:tcBorders>
            <w:shd w:val="clear" w:color="auto" w:fill="auto"/>
            <w:noWrap/>
            <w:vAlign w:val="bottom"/>
            <w:hideMark/>
          </w:tcPr>
          <w:p w14:paraId="16B38C92"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17 423</w:t>
            </w:r>
          </w:p>
        </w:tc>
        <w:tc>
          <w:tcPr>
            <w:tcW w:w="391" w:type="pct"/>
            <w:tcBorders>
              <w:top w:val="nil"/>
              <w:left w:val="nil"/>
              <w:bottom w:val="nil"/>
              <w:right w:val="nil"/>
            </w:tcBorders>
            <w:shd w:val="clear" w:color="auto" w:fill="auto"/>
            <w:noWrap/>
            <w:vAlign w:val="bottom"/>
            <w:hideMark/>
          </w:tcPr>
          <w:p w14:paraId="012472FE"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16 935</w:t>
            </w:r>
          </w:p>
        </w:tc>
        <w:tc>
          <w:tcPr>
            <w:tcW w:w="390" w:type="pct"/>
            <w:tcBorders>
              <w:top w:val="nil"/>
              <w:left w:val="nil"/>
              <w:bottom w:val="nil"/>
              <w:right w:val="nil"/>
            </w:tcBorders>
            <w:shd w:val="clear" w:color="auto" w:fill="auto"/>
            <w:noWrap/>
            <w:vAlign w:val="bottom"/>
            <w:hideMark/>
          </w:tcPr>
          <w:p w14:paraId="6E5C255B"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16 945</w:t>
            </w:r>
          </w:p>
        </w:tc>
      </w:tr>
      <w:tr w:rsidR="00DD531B" w:rsidRPr="00DD531B" w14:paraId="0B4A9AC5" w14:textId="77777777" w:rsidTr="00661122">
        <w:trPr>
          <w:trHeight w:val="300"/>
        </w:trPr>
        <w:tc>
          <w:tcPr>
            <w:tcW w:w="2188" w:type="pct"/>
            <w:tcBorders>
              <w:top w:val="nil"/>
              <w:left w:val="nil"/>
              <w:bottom w:val="nil"/>
              <w:right w:val="nil"/>
            </w:tcBorders>
            <w:shd w:val="clear" w:color="auto" w:fill="auto"/>
            <w:noWrap/>
            <w:vAlign w:val="bottom"/>
            <w:hideMark/>
          </w:tcPr>
          <w:p w14:paraId="2D6CF069" w14:textId="77777777" w:rsidR="00DD531B" w:rsidRPr="00485571" w:rsidRDefault="00DD531B"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640 bežné transfery</w:t>
            </w:r>
          </w:p>
        </w:tc>
        <w:tc>
          <w:tcPr>
            <w:tcW w:w="395" w:type="pct"/>
            <w:tcBorders>
              <w:top w:val="nil"/>
              <w:left w:val="nil"/>
              <w:bottom w:val="nil"/>
              <w:right w:val="nil"/>
            </w:tcBorders>
            <w:shd w:val="clear" w:color="auto" w:fill="auto"/>
            <w:noWrap/>
            <w:vAlign w:val="bottom"/>
            <w:hideMark/>
          </w:tcPr>
          <w:p w14:paraId="474FB5B9"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272 097</w:t>
            </w:r>
          </w:p>
        </w:tc>
        <w:tc>
          <w:tcPr>
            <w:tcW w:w="387" w:type="pct"/>
            <w:tcBorders>
              <w:top w:val="nil"/>
              <w:left w:val="nil"/>
              <w:bottom w:val="nil"/>
              <w:right w:val="nil"/>
            </w:tcBorders>
            <w:shd w:val="clear" w:color="auto" w:fill="auto"/>
            <w:noWrap/>
            <w:vAlign w:val="bottom"/>
            <w:hideMark/>
          </w:tcPr>
          <w:p w14:paraId="57FB6248"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260 223</w:t>
            </w:r>
          </w:p>
        </w:tc>
        <w:tc>
          <w:tcPr>
            <w:tcW w:w="391" w:type="pct"/>
            <w:tcBorders>
              <w:top w:val="nil"/>
              <w:left w:val="nil"/>
              <w:bottom w:val="nil"/>
              <w:right w:val="nil"/>
            </w:tcBorders>
            <w:shd w:val="clear" w:color="auto" w:fill="auto"/>
            <w:noWrap/>
            <w:vAlign w:val="bottom"/>
            <w:hideMark/>
          </w:tcPr>
          <w:p w14:paraId="61F64975"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261 692</w:t>
            </w:r>
          </w:p>
        </w:tc>
        <w:tc>
          <w:tcPr>
            <w:tcW w:w="468" w:type="pct"/>
            <w:tcBorders>
              <w:top w:val="nil"/>
              <w:left w:val="nil"/>
              <w:bottom w:val="nil"/>
              <w:right w:val="nil"/>
            </w:tcBorders>
            <w:shd w:val="clear" w:color="auto" w:fill="auto"/>
            <w:noWrap/>
            <w:vAlign w:val="bottom"/>
            <w:hideMark/>
          </w:tcPr>
          <w:p w14:paraId="406CFD86"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341 630</w:t>
            </w:r>
          </w:p>
        </w:tc>
        <w:tc>
          <w:tcPr>
            <w:tcW w:w="391" w:type="pct"/>
            <w:tcBorders>
              <w:top w:val="nil"/>
              <w:left w:val="nil"/>
              <w:bottom w:val="nil"/>
              <w:right w:val="nil"/>
            </w:tcBorders>
            <w:shd w:val="clear" w:color="auto" w:fill="auto"/>
            <w:noWrap/>
            <w:vAlign w:val="bottom"/>
            <w:hideMark/>
          </w:tcPr>
          <w:p w14:paraId="3046C65D"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361 191</w:t>
            </w:r>
          </w:p>
        </w:tc>
        <w:tc>
          <w:tcPr>
            <w:tcW w:w="391" w:type="pct"/>
            <w:tcBorders>
              <w:top w:val="nil"/>
              <w:left w:val="nil"/>
              <w:bottom w:val="nil"/>
              <w:right w:val="nil"/>
            </w:tcBorders>
            <w:shd w:val="clear" w:color="auto" w:fill="auto"/>
            <w:noWrap/>
            <w:vAlign w:val="bottom"/>
            <w:hideMark/>
          </w:tcPr>
          <w:p w14:paraId="2634989B"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377 104</w:t>
            </w:r>
          </w:p>
        </w:tc>
        <w:tc>
          <w:tcPr>
            <w:tcW w:w="390" w:type="pct"/>
            <w:tcBorders>
              <w:top w:val="nil"/>
              <w:left w:val="nil"/>
              <w:bottom w:val="nil"/>
              <w:right w:val="nil"/>
            </w:tcBorders>
            <w:shd w:val="clear" w:color="auto" w:fill="auto"/>
            <w:noWrap/>
            <w:vAlign w:val="bottom"/>
            <w:hideMark/>
          </w:tcPr>
          <w:p w14:paraId="4ACF3C56"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393 250</w:t>
            </w:r>
          </w:p>
        </w:tc>
      </w:tr>
      <w:tr w:rsidR="00DD531B" w:rsidRPr="00DD531B" w14:paraId="622F3C20" w14:textId="77777777" w:rsidTr="00661122">
        <w:trPr>
          <w:trHeight w:val="300"/>
        </w:trPr>
        <w:tc>
          <w:tcPr>
            <w:tcW w:w="2188" w:type="pct"/>
            <w:tcBorders>
              <w:top w:val="nil"/>
              <w:left w:val="nil"/>
              <w:bottom w:val="nil"/>
              <w:right w:val="nil"/>
            </w:tcBorders>
            <w:shd w:val="clear" w:color="auto" w:fill="auto"/>
            <w:noWrap/>
            <w:vAlign w:val="bottom"/>
            <w:hideMark/>
          </w:tcPr>
          <w:p w14:paraId="48201DC8" w14:textId="77777777" w:rsidR="00DD531B" w:rsidRPr="00485571" w:rsidRDefault="00DD531B"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kapitálové výdavky 700</w:t>
            </w:r>
          </w:p>
        </w:tc>
        <w:tc>
          <w:tcPr>
            <w:tcW w:w="395" w:type="pct"/>
            <w:tcBorders>
              <w:top w:val="nil"/>
              <w:left w:val="nil"/>
              <w:bottom w:val="nil"/>
              <w:right w:val="nil"/>
            </w:tcBorders>
            <w:shd w:val="clear" w:color="auto" w:fill="auto"/>
            <w:noWrap/>
            <w:vAlign w:val="bottom"/>
            <w:hideMark/>
          </w:tcPr>
          <w:p w14:paraId="13234D90"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26 455</w:t>
            </w:r>
          </w:p>
        </w:tc>
        <w:tc>
          <w:tcPr>
            <w:tcW w:w="387" w:type="pct"/>
            <w:tcBorders>
              <w:top w:val="nil"/>
              <w:left w:val="nil"/>
              <w:bottom w:val="nil"/>
              <w:right w:val="nil"/>
            </w:tcBorders>
            <w:shd w:val="clear" w:color="auto" w:fill="auto"/>
            <w:noWrap/>
            <w:vAlign w:val="bottom"/>
            <w:hideMark/>
          </w:tcPr>
          <w:p w14:paraId="4C6340DD"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59 218</w:t>
            </w:r>
          </w:p>
        </w:tc>
        <w:tc>
          <w:tcPr>
            <w:tcW w:w="391" w:type="pct"/>
            <w:tcBorders>
              <w:top w:val="nil"/>
              <w:left w:val="nil"/>
              <w:bottom w:val="nil"/>
              <w:right w:val="nil"/>
            </w:tcBorders>
            <w:shd w:val="clear" w:color="auto" w:fill="auto"/>
            <w:noWrap/>
            <w:vAlign w:val="bottom"/>
            <w:hideMark/>
          </w:tcPr>
          <w:p w14:paraId="16BC36EE"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26 132</w:t>
            </w:r>
          </w:p>
        </w:tc>
        <w:tc>
          <w:tcPr>
            <w:tcW w:w="468" w:type="pct"/>
            <w:tcBorders>
              <w:top w:val="nil"/>
              <w:left w:val="nil"/>
              <w:bottom w:val="nil"/>
              <w:right w:val="nil"/>
            </w:tcBorders>
            <w:shd w:val="clear" w:color="auto" w:fill="auto"/>
            <w:noWrap/>
            <w:vAlign w:val="bottom"/>
            <w:hideMark/>
          </w:tcPr>
          <w:p w14:paraId="4D93F75E"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46 226</w:t>
            </w:r>
          </w:p>
        </w:tc>
        <w:tc>
          <w:tcPr>
            <w:tcW w:w="391" w:type="pct"/>
            <w:tcBorders>
              <w:top w:val="nil"/>
              <w:left w:val="nil"/>
              <w:bottom w:val="nil"/>
              <w:right w:val="nil"/>
            </w:tcBorders>
            <w:shd w:val="clear" w:color="auto" w:fill="auto"/>
            <w:noWrap/>
            <w:vAlign w:val="bottom"/>
            <w:hideMark/>
          </w:tcPr>
          <w:p w14:paraId="40859FC0"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36 063</w:t>
            </w:r>
          </w:p>
        </w:tc>
        <w:tc>
          <w:tcPr>
            <w:tcW w:w="391" w:type="pct"/>
            <w:tcBorders>
              <w:top w:val="nil"/>
              <w:left w:val="nil"/>
              <w:bottom w:val="nil"/>
              <w:right w:val="nil"/>
            </w:tcBorders>
            <w:shd w:val="clear" w:color="auto" w:fill="auto"/>
            <w:noWrap/>
            <w:vAlign w:val="bottom"/>
            <w:hideMark/>
          </w:tcPr>
          <w:p w14:paraId="614E50FB"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52 246</w:t>
            </w:r>
          </w:p>
        </w:tc>
        <w:tc>
          <w:tcPr>
            <w:tcW w:w="390" w:type="pct"/>
            <w:tcBorders>
              <w:top w:val="nil"/>
              <w:left w:val="nil"/>
              <w:bottom w:val="nil"/>
              <w:right w:val="nil"/>
            </w:tcBorders>
            <w:shd w:val="clear" w:color="auto" w:fill="auto"/>
            <w:noWrap/>
            <w:vAlign w:val="bottom"/>
            <w:hideMark/>
          </w:tcPr>
          <w:p w14:paraId="14858AEC"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42 935</w:t>
            </w:r>
          </w:p>
        </w:tc>
      </w:tr>
      <w:tr w:rsidR="00DD531B" w:rsidRPr="00DD531B" w14:paraId="75DCC2D1" w14:textId="77777777" w:rsidTr="00661122">
        <w:trPr>
          <w:trHeight w:val="300"/>
        </w:trPr>
        <w:tc>
          <w:tcPr>
            <w:tcW w:w="2188" w:type="pct"/>
            <w:tcBorders>
              <w:top w:val="nil"/>
              <w:left w:val="nil"/>
              <w:bottom w:val="nil"/>
              <w:right w:val="nil"/>
            </w:tcBorders>
            <w:shd w:val="clear" w:color="auto" w:fill="auto"/>
            <w:noWrap/>
            <w:vAlign w:val="bottom"/>
            <w:hideMark/>
          </w:tcPr>
          <w:p w14:paraId="492280E6" w14:textId="77777777" w:rsidR="00DD531B" w:rsidRPr="00485571" w:rsidRDefault="00DD531B" w:rsidP="00DD531B">
            <w:pPr>
              <w:spacing w:after="0" w:line="240" w:lineRule="auto"/>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zdroj EÚ vrátane spolufinancovania zo ŠR, v tom:</w:t>
            </w:r>
          </w:p>
        </w:tc>
        <w:tc>
          <w:tcPr>
            <w:tcW w:w="395" w:type="pct"/>
            <w:tcBorders>
              <w:top w:val="nil"/>
              <w:left w:val="nil"/>
              <w:bottom w:val="nil"/>
              <w:right w:val="nil"/>
            </w:tcBorders>
            <w:shd w:val="clear" w:color="auto" w:fill="auto"/>
            <w:noWrap/>
            <w:vAlign w:val="bottom"/>
            <w:hideMark/>
          </w:tcPr>
          <w:p w14:paraId="4BB7D943"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2 077</w:t>
            </w:r>
          </w:p>
        </w:tc>
        <w:tc>
          <w:tcPr>
            <w:tcW w:w="387" w:type="pct"/>
            <w:tcBorders>
              <w:top w:val="nil"/>
              <w:left w:val="nil"/>
              <w:bottom w:val="nil"/>
              <w:right w:val="nil"/>
            </w:tcBorders>
            <w:shd w:val="clear" w:color="auto" w:fill="auto"/>
            <w:noWrap/>
            <w:vAlign w:val="bottom"/>
            <w:hideMark/>
          </w:tcPr>
          <w:p w14:paraId="6716B3C8"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3 673</w:t>
            </w:r>
          </w:p>
        </w:tc>
        <w:tc>
          <w:tcPr>
            <w:tcW w:w="391" w:type="pct"/>
            <w:tcBorders>
              <w:top w:val="nil"/>
              <w:left w:val="nil"/>
              <w:bottom w:val="nil"/>
              <w:right w:val="nil"/>
            </w:tcBorders>
            <w:shd w:val="clear" w:color="auto" w:fill="auto"/>
            <w:noWrap/>
            <w:vAlign w:val="bottom"/>
            <w:hideMark/>
          </w:tcPr>
          <w:p w14:paraId="6CFBF4B1"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468" w:type="pct"/>
            <w:tcBorders>
              <w:top w:val="nil"/>
              <w:left w:val="nil"/>
              <w:bottom w:val="nil"/>
              <w:right w:val="nil"/>
            </w:tcBorders>
            <w:shd w:val="clear" w:color="auto" w:fill="auto"/>
            <w:noWrap/>
            <w:vAlign w:val="bottom"/>
            <w:hideMark/>
          </w:tcPr>
          <w:p w14:paraId="18E71FDE"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5 769</w:t>
            </w:r>
          </w:p>
        </w:tc>
        <w:tc>
          <w:tcPr>
            <w:tcW w:w="391" w:type="pct"/>
            <w:tcBorders>
              <w:top w:val="nil"/>
              <w:left w:val="nil"/>
              <w:bottom w:val="nil"/>
              <w:right w:val="nil"/>
            </w:tcBorders>
            <w:shd w:val="clear" w:color="auto" w:fill="auto"/>
            <w:noWrap/>
            <w:vAlign w:val="bottom"/>
            <w:hideMark/>
          </w:tcPr>
          <w:p w14:paraId="75BE3AF9"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391" w:type="pct"/>
            <w:tcBorders>
              <w:top w:val="nil"/>
              <w:left w:val="nil"/>
              <w:bottom w:val="nil"/>
              <w:right w:val="nil"/>
            </w:tcBorders>
            <w:shd w:val="clear" w:color="auto" w:fill="auto"/>
            <w:noWrap/>
            <w:vAlign w:val="bottom"/>
            <w:hideMark/>
          </w:tcPr>
          <w:p w14:paraId="1DE94C8F"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390" w:type="pct"/>
            <w:tcBorders>
              <w:top w:val="nil"/>
              <w:left w:val="nil"/>
              <w:bottom w:val="nil"/>
              <w:right w:val="nil"/>
            </w:tcBorders>
            <w:shd w:val="clear" w:color="auto" w:fill="auto"/>
            <w:noWrap/>
            <w:vAlign w:val="bottom"/>
            <w:hideMark/>
          </w:tcPr>
          <w:p w14:paraId="1A2AC538"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r>
      <w:tr w:rsidR="00DD531B" w:rsidRPr="00DD531B" w14:paraId="4C3E2079" w14:textId="77777777" w:rsidTr="00661122">
        <w:trPr>
          <w:trHeight w:val="300"/>
        </w:trPr>
        <w:tc>
          <w:tcPr>
            <w:tcW w:w="2188" w:type="pct"/>
            <w:tcBorders>
              <w:top w:val="nil"/>
              <w:left w:val="nil"/>
              <w:bottom w:val="nil"/>
              <w:right w:val="nil"/>
            </w:tcBorders>
            <w:shd w:val="clear" w:color="auto" w:fill="auto"/>
            <w:noWrap/>
            <w:vAlign w:val="bottom"/>
            <w:hideMark/>
          </w:tcPr>
          <w:p w14:paraId="312AC516" w14:textId="77777777" w:rsidR="00DD531B" w:rsidRPr="00485571" w:rsidRDefault="00DD531B"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prostriedky EÚ</w:t>
            </w:r>
          </w:p>
        </w:tc>
        <w:tc>
          <w:tcPr>
            <w:tcW w:w="395" w:type="pct"/>
            <w:tcBorders>
              <w:top w:val="nil"/>
              <w:left w:val="nil"/>
              <w:bottom w:val="nil"/>
              <w:right w:val="nil"/>
            </w:tcBorders>
            <w:shd w:val="clear" w:color="auto" w:fill="auto"/>
            <w:noWrap/>
            <w:vAlign w:val="bottom"/>
            <w:hideMark/>
          </w:tcPr>
          <w:p w14:paraId="50D7ABE4"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1 572</w:t>
            </w:r>
          </w:p>
        </w:tc>
        <w:tc>
          <w:tcPr>
            <w:tcW w:w="387" w:type="pct"/>
            <w:tcBorders>
              <w:top w:val="nil"/>
              <w:left w:val="nil"/>
              <w:bottom w:val="nil"/>
              <w:right w:val="nil"/>
            </w:tcBorders>
            <w:shd w:val="clear" w:color="auto" w:fill="auto"/>
            <w:noWrap/>
            <w:vAlign w:val="bottom"/>
            <w:hideMark/>
          </w:tcPr>
          <w:p w14:paraId="7CEA2DEE"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2 986</w:t>
            </w:r>
          </w:p>
        </w:tc>
        <w:tc>
          <w:tcPr>
            <w:tcW w:w="391" w:type="pct"/>
            <w:tcBorders>
              <w:top w:val="nil"/>
              <w:left w:val="nil"/>
              <w:bottom w:val="nil"/>
              <w:right w:val="nil"/>
            </w:tcBorders>
            <w:shd w:val="clear" w:color="auto" w:fill="auto"/>
            <w:noWrap/>
            <w:vAlign w:val="bottom"/>
            <w:hideMark/>
          </w:tcPr>
          <w:p w14:paraId="3EF0F713"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3D43783B"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4 930</w:t>
            </w:r>
          </w:p>
        </w:tc>
        <w:tc>
          <w:tcPr>
            <w:tcW w:w="391" w:type="pct"/>
            <w:tcBorders>
              <w:top w:val="nil"/>
              <w:left w:val="nil"/>
              <w:bottom w:val="nil"/>
              <w:right w:val="nil"/>
            </w:tcBorders>
            <w:shd w:val="clear" w:color="auto" w:fill="auto"/>
            <w:noWrap/>
            <w:vAlign w:val="bottom"/>
            <w:hideMark/>
          </w:tcPr>
          <w:p w14:paraId="60685197"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391" w:type="pct"/>
            <w:tcBorders>
              <w:top w:val="nil"/>
              <w:left w:val="nil"/>
              <w:bottom w:val="nil"/>
              <w:right w:val="nil"/>
            </w:tcBorders>
            <w:shd w:val="clear" w:color="auto" w:fill="auto"/>
            <w:noWrap/>
            <w:vAlign w:val="bottom"/>
            <w:hideMark/>
          </w:tcPr>
          <w:p w14:paraId="1D0EE5C0"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390" w:type="pct"/>
            <w:tcBorders>
              <w:top w:val="nil"/>
              <w:left w:val="nil"/>
              <w:bottom w:val="nil"/>
              <w:right w:val="nil"/>
            </w:tcBorders>
            <w:shd w:val="clear" w:color="auto" w:fill="auto"/>
            <w:noWrap/>
            <w:vAlign w:val="bottom"/>
            <w:hideMark/>
          </w:tcPr>
          <w:p w14:paraId="5F90ACB2"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r>
      <w:tr w:rsidR="00DD531B" w:rsidRPr="00DD531B" w14:paraId="769CA3E6" w14:textId="77777777" w:rsidTr="00661122">
        <w:trPr>
          <w:trHeight w:val="300"/>
        </w:trPr>
        <w:tc>
          <w:tcPr>
            <w:tcW w:w="2188" w:type="pct"/>
            <w:tcBorders>
              <w:top w:val="nil"/>
              <w:left w:val="nil"/>
              <w:bottom w:val="nil"/>
              <w:right w:val="nil"/>
            </w:tcBorders>
            <w:shd w:val="clear" w:color="auto" w:fill="auto"/>
            <w:noWrap/>
            <w:vAlign w:val="bottom"/>
            <w:hideMark/>
          </w:tcPr>
          <w:p w14:paraId="0670ACCF" w14:textId="77777777" w:rsidR="00DD531B" w:rsidRPr="00485571" w:rsidRDefault="00DD531B"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spolufinancovanie zo ŠR</w:t>
            </w:r>
          </w:p>
        </w:tc>
        <w:tc>
          <w:tcPr>
            <w:tcW w:w="395" w:type="pct"/>
            <w:tcBorders>
              <w:top w:val="nil"/>
              <w:left w:val="nil"/>
              <w:bottom w:val="nil"/>
              <w:right w:val="nil"/>
            </w:tcBorders>
            <w:shd w:val="clear" w:color="auto" w:fill="auto"/>
            <w:noWrap/>
            <w:vAlign w:val="bottom"/>
            <w:hideMark/>
          </w:tcPr>
          <w:p w14:paraId="2BA2356D"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505</w:t>
            </w:r>
          </w:p>
        </w:tc>
        <w:tc>
          <w:tcPr>
            <w:tcW w:w="387" w:type="pct"/>
            <w:tcBorders>
              <w:top w:val="nil"/>
              <w:left w:val="nil"/>
              <w:bottom w:val="nil"/>
              <w:right w:val="nil"/>
            </w:tcBorders>
            <w:shd w:val="clear" w:color="auto" w:fill="auto"/>
            <w:noWrap/>
            <w:vAlign w:val="bottom"/>
            <w:hideMark/>
          </w:tcPr>
          <w:p w14:paraId="08E8613B"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687</w:t>
            </w:r>
          </w:p>
        </w:tc>
        <w:tc>
          <w:tcPr>
            <w:tcW w:w="391" w:type="pct"/>
            <w:tcBorders>
              <w:top w:val="nil"/>
              <w:left w:val="nil"/>
              <w:bottom w:val="nil"/>
              <w:right w:val="nil"/>
            </w:tcBorders>
            <w:shd w:val="clear" w:color="auto" w:fill="auto"/>
            <w:noWrap/>
            <w:vAlign w:val="bottom"/>
            <w:hideMark/>
          </w:tcPr>
          <w:p w14:paraId="55E6C49D"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11118D03"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839</w:t>
            </w:r>
          </w:p>
        </w:tc>
        <w:tc>
          <w:tcPr>
            <w:tcW w:w="391" w:type="pct"/>
            <w:tcBorders>
              <w:top w:val="nil"/>
              <w:left w:val="nil"/>
              <w:bottom w:val="nil"/>
              <w:right w:val="nil"/>
            </w:tcBorders>
            <w:shd w:val="clear" w:color="auto" w:fill="auto"/>
            <w:noWrap/>
            <w:vAlign w:val="bottom"/>
            <w:hideMark/>
          </w:tcPr>
          <w:p w14:paraId="695B54A0"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391" w:type="pct"/>
            <w:tcBorders>
              <w:top w:val="nil"/>
              <w:left w:val="nil"/>
              <w:bottom w:val="nil"/>
              <w:right w:val="nil"/>
            </w:tcBorders>
            <w:shd w:val="clear" w:color="auto" w:fill="auto"/>
            <w:noWrap/>
            <w:vAlign w:val="bottom"/>
            <w:hideMark/>
          </w:tcPr>
          <w:p w14:paraId="6FCA623A"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390" w:type="pct"/>
            <w:tcBorders>
              <w:top w:val="nil"/>
              <w:left w:val="nil"/>
              <w:bottom w:val="nil"/>
              <w:right w:val="nil"/>
            </w:tcBorders>
            <w:shd w:val="clear" w:color="auto" w:fill="auto"/>
            <w:noWrap/>
            <w:vAlign w:val="bottom"/>
            <w:hideMark/>
          </w:tcPr>
          <w:p w14:paraId="42273EAF"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r>
      <w:tr w:rsidR="00DD531B" w:rsidRPr="00DD531B" w14:paraId="022219FF" w14:textId="77777777" w:rsidTr="00661122">
        <w:trPr>
          <w:trHeight w:val="300"/>
        </w:trPr>
        <w:tc>
          <w:tcPr>
            <w:tcW w:w="2188" w:type="pct"/>
            <w:tcBorders>
              <w:top w:val="nil"/>
              <w:left w:val="nil"/>
              <w:bottom w:val="nil"/>
              <w:right w:val="nil"/>
            </w:tcBorders>
            <w:shd w:val="clear" w:color="auto" w:fill="auto"/>
            <w:noWrap/>
            <w:vAlign w:val="center"/>
            <w:hideMark/>
          </w:tcPr>
          <w:p w14:paraId="7248B712" w14:textId="77777777" w:rsidR="00DD531B" w:rsidRPr="00485571" w:rsidRDefault="00DD531B" w:rsidP="00DD531B">
            <w:pPr>
              <w:spacing w:after="0" w:line="240" w:lineRule="auto"/>
              <w:rPr>
                <w:rFonts w:ascii="Times New Roman" w:eastAsia="Times New Roman" w:hAnsi="Times New Roman" w:cs="Times New Roman"/>
                <w:b/>
                <w:bCs/>
                <w:color w:val="000000"/>
                <w:sz w:val="16"/>
                <w:szCs w:val="16"/>
                <w:lang w:eastAsia="sk-SK"/>
              </w:rPr>
            </w:pPr>
            <w:r w:rsidRPr="00485571">
              <w:rPr>
                <w:rFonts w:ascii="Times New Roman" w:eastAsia="Times New Roman" w:hAnsi="Times New Roman" w:cs="Times New Roman"/>
                <w:b/>
                <w:bCs/>
                <w:color w:val="000000"/>
                <w:sz w:val="16"/>
                <w:szCs w:val="16"/>
                <w:lang w:eastAsia="sk-SK"/>
              </w:rPr>
              <w:t>zdroj Plán obnovy a odolnosti , v tom:</w:t>
            </w:r>
          </w:p>
        </w:tc>
        <w:tc>
          <w:tcPr>
            <w:tcW w:w="395" w:type="pct"/>
            <w:tcBorders>
              <w:top w:val="nil"/>
              <w:left w:val="nil"/>
              <w:bottom w:val="nil"/>
              <w:right w:val="nil"/>
            </w:tcBorders>
            <w:shd w:val="clear" w:color="auto" w:fill="auto"/>
            <w:noWrap/>
            <w:vAlign w:val="bottom"/>
            <w:hideMark/>
          </w:tcPr>
          <w:p w14:paraId="6AA42BF1"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387" w:type="pct"/>
            <w:tcBorders>
              <w:top w:val="nil"/>
              <w:left w:val="nil"/>
              <w:bottom w:val="nil"/>
              <w:right w:val="nil"/>
            </w:tcBorders>
            <w:shd w:val="clear" w:color="auto" w:fill="auto"/>
            <w:noWrap/>
            <w:vAlign w:val="bottom"/>
            <w:hideMark/>
          </w:tcPr>
          <w:p w14:paraId="3736A6E0"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1 572</w:t>
            </w:r>
          </w:p>
        </w:tc>
        <w:tc>
          <w:tcPr>
            <w:tcW w:w="391" w:type="pct"/>
            <w:tcBorders>
              <w:top w:val="nil"/>
              <w:left w:val="nil"/>
              <w:bottom w:val="nil"/>
              <w:right w:val="nil"/>
            </w:tcBorders>
            <w:shd w:val="clear" w:color="auto" w:fill="auto"/>
            <w:noWrap/>
            <w:vAlign w:val="bottom"/>
            <w:hideMark/>
          </w:tcPr>
          <w:p w14:paraId="46ACAF8C"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3 280</w:t>
            </w:r>
          </w:p>
        </w:tc>
        <w:tc>
          <w:tcPr>
            <w:tcW w:w="468" w:type="pct"/>
            <w:tcBorders>
              <w:top w:val="nil"/>
              <w:left w:val="nil"/>
              <w:bottom w:val="nil"/>
              <w:right w:val="nil"/>
            </w:tcBorders>
            <w:shd w:val="clear" w:color="auto" w:fill="auto"/>
            <w:noWrap/>
            <w:vAlign w:val="bottom"/>
            <w:hideMark/>
          </w:tcPr>
          <w:p w14:paraId="69D77555"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1 066</w:t>
            </w:r>
          </w:p>
        </w:tc>
        <w:tc>
          <w:tcPr>
            <w:tcW w:w="391" w:type="pct"/>
            <w:tcBorders>
              <w:top w:val="nil"/>
              <w:left w:val="nil"/>
              <w:bottom w:val="nil"/>
              <w:right w:val="nil"/>
            </w:tcBorders>
            <w:shd w:val="clear" w:color="auto" w:fill="auto"/>
            <w:noWrap/>
            <w:vAlign w:val="bottom"/>
            <w:hideMark/>
          </w:tcPr>
          <w:p w14:paraId="09BD382A"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391" w:type="pct"/>
            <w:tcBorders>
              <w:top w:val="nil"/>
              <w:left w:val="nil"/>
              <w:bottom w:val="nil"/>
              <w:right w:val="nil"/>
            </w:tcBorders>
            <w:shd w:val="clear" w:color="auto" w:fill="auto"/>
            <w:noWrap/>
            <w:vAlign w:val="bottom"/>
            <w:hideMark/>
          </w:tcPr>
          <w:p w14:paraId="3B206785"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390" w:type="pct"/>
            <w:tcBorders>
              <w:top w:val="nil"/>
              <w:left w:val="nil"/>
              <w:bottom w:val="nil"/>
              <w:right w:val="nil"/>
            </w:tcBorders>
            <w:shd w:val="clear" w:color="auto" w:fill="auto"/>
            <w:noWrap/>
            <w:vAlign w:val="bottom"/>
            <w:hideMark/>
          </w:tcPr>
          <w:p w14:paraId="65301EFF"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r>
      <w:tr w:rsidR="00DD531B" w:rsidRPr="00DD531B" w14:paraId="7EA52701" w14:textId="77777777" w:rsidTr="00661122">
        <w:trPr>
          <w:trHeight w:val="300"/>
        </w:trPr>
        <w:tc>
          <w:tcPr>
            <w:tcW w:w="2188" w:type="pct"/>
            <w:tcBorders>
              <w:top w:val="nil"/>
              <w:left w:val="nil"/>
              <w:bottom w:val="nil"/>
              <w:right w:val="nil"/>
            </w:tcBorders>
            <w:shd w:val="clear" w:color="auto" w:fill="auto"/>
            <w:noWrap/>
            <w:vAlign w:val="bottom"/>
            <w:hideMark/>
          </w:tcPr>
          <w:p w14:paraId="714BFAB0" w14:textId="77777777" w:rsidR="00DD531B" w:rsidRPr="00485571" w:rsidRDefault="00DD531B"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prostriedky POO</w:t>
            </w:r>
          </w:p>
        </w:tc>
        <w:tc>
          <w:tcPr>
            <w:tcW w:w="395" w:type="pct"/>
            <w:tcBorders>
              <w:top w:val="nil"/>
              <w:left w:val="nil"/>
              <w:bottom w:val="nil"/>
              <w:right w:val="nil"/>
            </w:tcBorders>
            <w:shd w:val="clear" w:color="auto" w:fill="auto"/>
            <w:noWrap/>
            <w:vAlign w:val="bottom"/>
            <w:hideMark/>
          </w:tcPr>
          <w:p w14:paraId="0ADD34D8" w14:textId="77777777" w:rsidR="00DD531B" w:rsidRPr="00485571"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0</w:t>
            </w:r>
          </w:p>
        </w:tc>
        <w:tc>
          <w:tcPr>
            <w:tcW w:w="387" w:type="pct"/>
            <w:tcBorders>
              <w:top w:val="nil"/>
              <w:left w:val="nil"/>
              <w:bottom w:val="nil"/>
              <w:right w:val="nil"/>
            </w:tcBorders>
            <w:shd w:val="clear" w:color="auto" w:fill="auto"/>
            <w:noWrap/>
            <w:vAlign w:val="bottom"/>
            <w:hideMark/>
          </w:tcPr>
          <w:p w14:paraId="6340F318" w14:textId="77777777" w:rsidR="00DD531B" w:rsidRPr="00485571"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1522</w:t>
            </w:r>
          </w:p>
        </w:tc>
        <w:tc>
          <w:tcPr>
            <w:tcW w:w="391" w:type="pct"/>
            <w:tcBorders>
              <w:top w:val="nil"/>
              <w:left w:val="nil"/>
              <w:bottom w:val="nil"/>
              <w:right w:val="nil"/>
            </w:tcBorders>
            <w:shd w:val="clear" w:color="auto" w:fill="auto"/>
            <w:noWrap/>
            <w:vAlign w:val="bottom"/>
            <w:hideMark/>
          </w:tcPr>
          <w:p w14:paraId="4DBADB80" w14:textId="77777777" w:rsidR="00DD531B" w:rsidRPr="00485571"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3199</w:t>
            </w:r>
          </w:p>
        </w:tc>
        <w:tc>
          <w:tcPr>
            <w:tcW w:w="468" w:type="pct"/>
            <w:tcBorders>
              <w:top w:val="nil"/>
              <w:left w:val="nil"/>
              <w:bottom w:val="nil"/>
              <w:right w:val="nil"/>
            </w:tcBorders>
            <w:shd w:val="clear" w:color="auto" w:fill="auto"/>
            <w:noWrap/>
            <w:vAlign w:val="bottom"/>
            <w:hideMark/>
          </w:tcPr>
          <w:p w14:paraId="14839A0A" w14:textId="77777777" w:rsidR="00DD531B" w:rsidRPr="00485571"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1046</w:t>
            </w:r>
          </w:p>
        </w:tc>
        <w:tc>
          <w:tcPr>
            <w:tcW w:w="391" w:type="pct"/>
            <w:tcBorders>
              <w:top w:val="nil"/>
              <w:left w:val="nil"/>
              <w:bottom w:val="nil"/>
              <w:right w:val="nil"/>
            </w:tcBorders>
            <w:shd w:val="clear" w:color="auto" w:fill="auto"/>
            <w:noWrap/>
            <w:vAlign w:val="bottom"/>
            <w:hideMark/>
          </w:tcPr>
          <w:p w14:paraId="17B931A0" w14:textId="77777777" w:rsidR="00DD531B" w:rsidRPr="00485571"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0</w:t>
            </w:r>
          </w:p>
        </w:tc>
        <w:tc>
          <w:tcPr>
            <w:tcW w:w="391" w:type="pct"/>
            <w:tcBorders>
              <w:top w:val="nil"/>
              <w:left w:val="nil"/>
              <w:bottom w:val="nil"/>
              <w:right w:val="nil"/>
            </w:tcBorders>
            <w:shd w:val="clear" w:color="auto" w:fill="auto"/>
            <w:noWrap/>
            <w:vAlign w:val="bottom"/>
            <w:hideMark/>
          </w:tcPr>
          <w:p w14:paraId="36B17F3F" w14:textId="77777777" w:rsidR="00DD531B" w:rsidRPr="00485571"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0</w:t>
            </w:r>
          </w:p>
        </w:tc>
        <w:tc>
          <w:tcPr>
            <w:tcW w:w="390" w:type="pct"/>
            <w:tcBorders>
              <w:top w:val="nil"/>
              <w:left w:val="nil"/>
              <w:bottom w:val="nil"/>
              <w:right w:val="nil"/>
            </w:tcBorders>
            <w:shd w:val="clear" w:color="auto" w:fill="auto"/>
            <w:noWrap/>
            <w:vAlign w:val="bottom"/>
            <w:hideMark/>
          </w:tcPr>
          <w:p w14:paraId="526B6F99" w14:textId="77777777" w:rsidR="00DD531B" w:rsidRPr="00485571"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0</w:t>
            </w:r>
          </w:p>
        </w:tc>
      </w:tr>
      <w:tr w:rsidR="00DD531B" w:rsidRPr="00DD531B" w14:paraId="2A6DE521" w14:textId="77777777" w:rsidTr="00661122">
        <w:trPr>
          <w:trHeight w:val="300"/>
        </w:trPr>
        <w:tc>
          <w:tcPr>
            <w:tcW w:w="2188" w:type="pct"/>
            <w:tcBorders>
              <w:top w:val="nil"/>
              <w:left w:val="nil"/>
              <w:bottom w:val="nil"/>
              <w:right w:val="nil"/>
            </w:tcBorders>
            <w:shd w:val="clear" w:color="auto" w:fill="auto"/>
            <w:noWrap/>
            <w:vAlign w:val="bottom"/>
            <w:hideMark/>
          </w:tcPr>
          <w:p w14:paraId="20D65D2F" w14:textId="77777777" w:rsidR="00DD531B" w:rsidRPr="00485571" w:rsidRDefault="00DD531B"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DPH k POO</w:t>
            </w:r>
          </w:p>
        </w:tc>
        <w:tc>
          <w:tcPr>
            <w:tcW w:w="395" w:type="pct"/>
            <w:tcBorders>
              <w:top w:val="nil"/>
              <w:left w:val="nil"/>
              <w:bottom w:val="nil"/>
              <w:right w:val="nil"/>
            </w:tcBorders>
            <w:shd w:val="clear" w:color="auto" w:fill="auto"/>
            <w:noWrap/>
            <w:vAlign w:val="bottom"/>
            <w:hideMark/>
          </w:tcPr>
          <w:p w14:paraId="5AC18573" w14:textId="77777777" w:rsidR="00DD531B" w:rsidRPr="00485571"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0</w:t>
            </w:r>
          </w:p>
        </w:tc>
        <w:tc>
          <w:tcPr>
            <w:tcW w:w="387" w:type="pct"/>
            <w:tcBorders>
              <w:top w:val="nil"/>
              <w:left w:val="nil"/>
              <w:bottom w:val="nil"/>
              <w:right w:val="nil"/>
            </w:tcBorders>
            <w:shd w:val="clear" w:color="auto" w:fill="auto"/>
            <w:noWrap/>
            <w:vAlign w:val="bottom"/>
            <w:hideMark/>
          </w:tcPr>
          <w:p w14:paraId="4D298184" w14:textId="77777777" w:rsidR="00DD531B" w:rsidRPr="00485571"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50</w:t>
            </w:r>
          </w:p>
        </w:tc>
        <w:tc>
          <w:tcPr>
            <w:tcW w:w="391" w:type="pct"/>
            <w:tcBorders>
              <w:top w:val="nil"/>
              <w:left w:val="nil"/>
              <w:bottom w:val="nil"/>
              <w:right w:val="nil"/>
            </w:tcBorders>
            <w:shd w:val="clear" w:color="auto" w:fill="auto"/>
            <w:noWrap/>
            <w:vAlign w:val="bottom"/>
            <w:hideMark/>
          </w:tcPr>
          <w:p w14:paraId="4C5A7EA4" w14:textId="77777777" w:rsidR="00DD531B" w:rsidRPr="00485571"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81</w:t>
            </w:r>
          </w:p>
        </w:tc>
        <w:tc>
          <w:tcPr>
            <w:tcW w:w="468" w:type="pct"/>
            <w:tcBorders>
              <w:top w:val="nil"/>
              <w:left w:val="nil"/>
              <w:bottom w:val="nil"/>
              <w:right w:val="nil"/>
            </w:tcBorders>
            <w:shd w:val="clear" w:color="auto" w:fill="auto"/>
            <w:noWrap/>
            <w:vAlign w:val="bottom"/>
            <w:hideMark/>
          </w:tcPr>
          <w:p w14:paraId="46B943AD" w14:textId="77777777" w:rsidR="00DD531B" w:rsidRPr="00485571"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20</w:t>
            </w:r>
          </w:p>
        </w:tc>
        <w:tc>
          <w:tcPr>
            <w:tcW w:w="391" w:type="pct"/>
            <w:tcBorders>
              <w:top w:val="nil"/>
              <w:left w:val="nil"/>
              <w:bottom w:val="nil"/>
              <w:right w:val="nil"/>
            </w:tcBorders>
            <w:shd w:val="clear" w:color="auto" w:fill="auto"/>
            <w:noWrap/>
            <w:vAlign w:val="bottom"/>
            <w:hideMark/>
          </w:tcPr>
          <w:p w14:paraId="4C66257B" w14:textId="77777777" w:rsidR="00DD531B" w:rsidRPr="00485571"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0</w:t>
            </w:r>
          </w:p>
        </w:tc>
        <w:tc>
          <w:tcPr>
            <w:tcW w:w="391" w:type="pct"/>
            <w:tcBorders>
              <w:top w:val="nil"/>
              <w:left w:val="nil"/>
              <w:bottom w:val="nil"/>
              <w:right w:val="nil"/>
            </w:tcBorders>
            <w:shd w:val="clear" w:color="auto" w:fill="auto"/>
            <w:noWrap/>
            <w:vAlign w:val="bottom"/>
            <w:hideMark/>
          </w:tcPr>
          <w:p w14:paraId="05B8AD2A" w14:textId="77777777" w:rsidR="00DD531B" w:rsidRPr="00485571"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0</w:t>
            </w:r>
          </w:p>
        </w:tc>
        <w:tc>
          <w:tcPr>
            <w:tcW w:w="390" w:type="pct"/>
            <w:tcBorders>
              <w:top w:val="nil"/>
              <w:left w:val="nil"/>
              <w:bottom w:val="nil"/>
              <w:right w:val="nil"/>
            </w:tcBorders>
            <w:shd w:val="clear" w:color="auto" w:fill="auto"/>
            <w:noWrap/>
            <w:vAlign w:val="bottom"/>
            <w:hideMark/>
          </w:tcPr>
          <w:p w14:paraId="18D7D0B1" w14:textId="77777777" w:rsidR="00DD531B" w:rsidRPr="00485571"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0</w:t>
            </w:r>
          </w:p>
        </w:tc>
      </w:tr>
      <w:tr w:rsidR="00DD531B" w:rsidRPr="00DD531B" w14:paraId="05B78C5F" w14:textId="77777777" w:rsidTr="00661122">
        <w:trPr>
          <w:trHeight w:val="300"/>
        </w:trPr>
        <w:tc>
          <w:tcPr>
            <w:tcW w:w="2188" w:type="pct"/>
            <w:tcBorders>
              <w:top w:val="nil"/>
              <w:left w:val="nil"/>
              <w:bottom w:val="nil"/>
              <w:right w:val="nil"/>
            </w:tcBorders>
            <w:shd w:val="clear" w:color="auto" w:fill="auto"/>
            <w:noWrap/>
            <w:vAlign w:val="bottom"/>
            <w:hideMark/>
          </w:tcPr>
          <w:p w14:paraId="54FBD9C3" w14:textId="77777777" w:rsidR="00DD531B" w:rsidRPr="00485571" w:rsidRDefault="00DD531B"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neoprávnené výdavky k POO</w:t>
            </w:r>
          </w:p>
        </w:tc>
        <w:tc>
          <w:tcPr>
            <w:tcW w:w="395" w:type="pct"/>
            <w:tcBorders>
              <w:top w:val="nil"/>
              <w:left w:val="nil"/>
              <w:bottom w:val="nil"/>
              <w:right w:val="nil"/>
            </w:tcBorders>
            <w:shd w:val="clear" w:color="auto" w:fill="auto"/>
            <w:noWrap/>
            <w:vAlign w:val="bottom"/>
            <w:hideMark/>
          </w:tcPr>
          <w:p w14:paraId="5CDDDF36" w14:textId="77777777" w:rsidR="00DD531B" w:rsidRPr="00485571"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0</w:t>
            </w:r>
          </w:p>
        </w:tc>
        <w:tc>
          <w:tcPr>
            <w:tcW w:w="387" w:type="pct"/>
            <w:tcBorders>
              <w:top w:val="nil"/>
              <w:left w:val="nil"/>
              <w:bottom w:val="nil"/>
              <w:right w:val="nil"/>
            </w:tcBorders>
            <w:shd w:val="clear" w:color="auto" w:fill="auto"/>
            <w:noWrap/>
            <w:vAlign w:val="bottom"/>
            <w:hideMark/>
          </w:tcPr>
          <w:p w14:paraId="46C8FE7F" w14:textId="77777777" w:rsidR="00DD531B" w:rsidRPr="00485571"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0</w:t>
            </w:r>
          </w:p>
        </w:tc>
        <w:tc>
          <w:tcPr>
            <w:tcW w:w="391" w:type="pct"/>
            <w:tcBorders>
              <w:top w:val="nil"/>
              <w:left w:val="nil"/>
              <w:bottom w:val="nil"/>
              <w:right w:val="nil"/>
            </w:tcBorders>
            <w:shd w:val="clear" w:color="auto" w:fill="auto"/>
            <w:noWrap/>
            <w:vAlign w:val="bottom"/>
            <w:hideMark/>
          </w:tcPr>
          <w:p w14:paraId="27D82CD9" w14:textId="77777777" w:rsidR="00DD531B" w:rsidRPr="00485571"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0</w:t>
            </w:r>
          </w:p>
        </w:tc>
        <w:tc>
          <w:tcPr>
            <w:tcW w:w="468" w:type="pct"/>
            <w:tcBorders>
              <w:top w:val="nil"/>
              <w:left w:val="nil"/>
              <w:bottom w:val="nil"/>
              <w:right w:val="nil"/>
            </w:tcBorders>
            <w:shd w:val="clear" w:color="auto" w:fill="auto"/>
            <w:noWrap/>
            <w:vAlign w:val="bottom"/>
            <w:hideMark/>
          </w:tcPr>
          <w:p w14:paraId="2B3D4B16" w14:textId="77777777" w:rsidR="00DD531B" w:rsidRPr="00485571"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0</w:t>
            </w:r>
          </w:p>
        </w:tc>
        <w:tc>
          <w:tcPr>
            <w:tcW w:w="391" w:type="pct"/>
            <w:tcBorders>
              <w:top w:val="nil"/>
              <w:left w:val="nil"/>
              <w:bottom w:val="nil"/>
              <w:right w:val="nil"/>
            </w:tcBorders>
            <w:shd w:val="clear" w:color="auto" w:fill="auto"/>
            <w:noWrap/>
            <w:vAlign w:val="bottom"/>
            <w:hideMark/>
          </w:tcPr>
          <w:p w14:paraId="6976650E" w14:textId="77777777" w:rsidR="00DD531B" w:rsidRPr="00485571"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0</w:t>
            </w:r>
          </w:p>
        </w:tc>
        <w:tc>
          <w:tcPr>
            <w:tcW w:w="391" w:type="pct"/>
            <w:tcBorders>
              <w:top w:val="nil"/>
              <w:left w:val="nil"/>
              <w:bottom w:val="nil"/>
              <w:right w:val="nil"/>
            </w:tcBorders>
            <w:shd w:val="clear" w:color="auto" w:fill="auto"/>
            <w:noWrap/>
            <w:vAlign w:val="bottom"/>
            <w:hideMark/>
          </w:tcPr>
          <w:p w14:paraId="7E0FB0A9" w14:textId="77777777" w:rsidR="00DD531B" w:rsidRPr="00485571"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0</w:t>
            </w:r>
          </w:p>
        </w:tc>
        <w:tc>
          <w:tcPr>
            <w:tcW w:w="390" w:type="pct"/>
            <w:tcBorders>
              <w:top w:val="nil"/>
              <w:left w:val="nil"/>
              <w:bottom w:val="nil"/>
              <w:right w:val="nil"/>
            </w:tcBorders>
            <w:shd w:val="clear" w:color="auto" w:fill="auto"/>
            <w:noWrap/>
            <w:vAlign w:val="bottom"/>
            <w:hideMark/>
          </w:tcPr>
          <w:p w14:paraId="3AF936C9" w14:textId="77777777" w:rsidR="00DD531B" w:rsidRPr="00485571"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0</w:t>
            </w:r>
          </w:p>
        </w:tc>
      </w:tr>
      <w:tr w:rsidR="00DD531B" w:rsidRPr="00DD531B" w14:paraId="78F6DBE5" w14:textId="77777777" w:rsidTr="00661122">
        <w:trPr>
          <w:trHeight w:val="300"/>
        </w:trPr>
        <w:tc>
          <w:tcPr>
            <w:tcW w:w="2188" w:type="pct"/>
            <w:tcBorders>
              <w:top w:val="nil"/>
              <w:left w:val="nil"/>
              <w:bottom w:val="nil"/>
              <w:right w:val="nil"/>
            </w:tcBorders>
            <w:shd w:val="clear" w:color="auto" w:fill="auto"/>
            <w:noWrap/>
            <w:vAlign w:val="bottom"/>
            <w:hideMark/>
          </w:tcPr>
          <w:p w14:paraId="6D90D9B2" w14:textId="77777777" w:rsidR="00DD531B" w:rsidRPr="00485571" w:rsidRDefault="00DD531B" w:rsidP="00DD531B">
            <w:pPr>
              <w:spacing w:after="0" w:line="240" w:lineRule="auto"/>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presun z minulých rokov § 8, v tom:</w:t>
            </w:r>
          </w:p>
        </w:tc>
        <w:tc>
          <w:tcPr>
            <w:tcW w:w="395" w:type="pct"/>
            <w:tcBorders>
              <w:top w:val="nil"/>
              <w:left w:val="nil"/>
              <w:bottom w:val="nil"/>
              <w:right w:val="nil"/>
            </w:tcBorders>
            <w:shd w:val="clear" w:color="auto" w:fill="auto"/>
            <w:noWrap/>
            <w:vAlign w:val="bottom"/>
            <w:hideMark/>
          </w:tcPr>
          <w:p w14:paraId="68FC82EA"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387" w:type="pct"/>
            <w:tcBorders>
              <w:top w:val="nil"/>
              <w:left w:val="nil"/>
              <w:bottom w:val="nil"/>
              <w:right w:val="nil"/>
            </w:tcBorders>
            <w:shd w:val="clear" w:color="auto" w:fill="auto"/>
            <w:noWrap/>
            <w:vAlign w:val="bottom"/>
            <w:hideMark/>
          </w:tcPr>
          <w:p w14:paraId="3A373196"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391" w:type="pct"/>
            <w:tcBorders>
              <w:top w:val="nil"/>
              <w:left w:val="nil"/>
              <w:bottom w:val="nil"/>
              <w:right w:val="nil"/>
            </w:tcBorders>
            <w:shd w:val="clear" w:color="auto" w:fill="auto"/>
            <w:noWrap/>
            <w:vAlign w:val="bottom"/>
            <w:hideMark/>
          </w:tcPr>
          <w:p w14:paraId="72761484"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468" w:type="pct"/>
            <w:tcBorders>
              <w:top w:val="nil"/>
              <w:left w:val="nil"/>
              <w:bottom w:val="nil"/>
              <w:right w:val="nil"/>
            </w:tcBorders>
            <w:shd w:val="clear" w:color="auto" w:fill="auto"/>
            <w:noWrap/>
            <w:vAlign w:val="bottom"/>
            <w:hideMark/>
          </w:tcPr>
          <w:p w14:paraId="36FE01AB"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4 160</w:t>
            </w:r>
          </w:p>
        </w:tc>
        <w:tc>
          <w:tcPr>
            <w:tcW w:w="391" w:type="pct"/>
            <w:tcBorders>
              <w:top w:val="nil"/>
              <w:left w:val="nil"/>
              <w:bottom w:val="nil"/>
              <w:right w:val="nil"/>
            </w:tcBorders>
            <w:shd w:val="clear" w:color="auto" w:fill="auto"/>
            <w:noWrap/>
            <w:vAlign w:val="bottom"/>
            <w:hideMark/>
          </w:tcPr>
          <w:p w14:paraId="4992BE62"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391" w:type="pct"/>
            <w:tcBorders>
              <w:top w:val="nil"/>
              <w:left w:val="nil"/>
              <w:bottom w:val="nil"/>
              <w:right w:val="nil"/>
            </w:tcBorders>
            <w:shd w:val="clear" w:color="auto" w:fill="auto"/>
            <w:noWrap/>
            <w:vAlign w:val="bottom"/>
            <w:hideMark/>
          </w:tcPr>
          <w:p w14:paraId="1D9E9776"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390" w:type="pct"/>
            <w:tcBorders>
              <w:top w:val="nil"/>
              <w:left w:val="nil"/>
              <w:bottom w:val="nil"/>
              <w:right w:val="nil"/>
            </w:tcBorders>
            <w:shd w:val="clear" w:color="auto" w:fill="auto"/>
            <w:noWrap/>
            <w:vAlign w:val="bottom"/>
            <w:hideMark/>
          </w:tcPr>
          <w:p w14:paraId="682545E2"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r>
      <w:tr w:rsidR="00DD531B" w:rsidRPr="00DD531B" w14:paraId="01514BA2" w14:textId="77777777" w:rsidTr="00661122">
        <w:trPr>
          <w:trHeight w:val="300"/>
        </w:trPr>
        <w:tc>
          <w:tcPr>
            <w:tcW w:w="2188" w:type="pct"/>
            <w:tcBorders>
              <w:top w:val="nil"/>
              <w:left w:val="nil"/>
              <w:bottom w:val="nil"/>
              <w:right w:val="nil"/>
            </w:tcBorders>
            <w:shd w:val="clear" w:color="auto" w:fill="auto"/>
            <w:noWrap/>
            <w:vAlign w:val="bottom"/>
            <w:hideMark/>
          </w:tcPr>
          <w:p w14:paraId="315ED681" w14:textId="77777777" w:rsidR="00DD531B" w:rsidRPr="00485571" w:rsidRDefault="00DD531B"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štátny rozpočet</w:t>
            </w:r>
          </w:p>
        </w:tc>
        <w:tc>
          <w:tcPr>
            <w:tcW w:w="395" w:type="pct"/>
            <w:tcBorders>
              <w:top w:val="nil"/>
              <w:left w:val="nil"/>
              <w:bottom w:val="nil"/>
              <w:right w:val="nil"/>
            </w:tcBorders>
            <w:shd w:val="clear" w:color="auto" w:fill="auto"/>
            <w:noWrap/>
            <w:vAlign w:val="bottom"/>
            <w:hideMark/>
          </w:tcPr>
          <w:p w14:paraId="1E57E583"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387" w:type="pct"/>
            <w:tcBorders>
              <w:top w:val="nil"/>
              <w:left w:val="nil"/>
              <w:bottom w:val="nil"/>
              <w:right w:val="nil"/>
            </w:tcBorders>
            <w:shd w:val="clear" w:color="auto" w:fill="auto"/>
            <w:noWrap/>
            <w:vAlign w:val="bottom"/>
            <w:hideMark/>
          </w:tcPr>
          <w:p w14:paraId="2D0C937B"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391" w:type="pct"/>
            <w:tcBorders>
              <w:top w:val="nil"/>
              <w:left w:val="nil"/>
              <w:bottom w:val="nil"/>
              <w:right w:val="nil"/>
            </w:tcBorders>
            <w:shd w:val="clear" w:color="auto" w:fill="auto"/>
            <w:noWrap/>
            <w:vAlign w:val="bottom"/>
            <w:hideMark/>
          </w:tcPr>
          <w:p w14:paraId="568294B2"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6A8F67A6"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854</w:t>
            </w:r>
          </w:p>
        </w:tc>
        <w:tc>
          <w:tcPr>
            <w:tcW w:w="391" w:type="pct"/>
            <w:tcBorders>
              <w:top w:val="nil"/>
              <w:left w:val="nil"/>
              <w:bottom w:val="nil"/>
              <w:right w:val="nil"/>
            </w:tcBorders>
            <w:shd w:val="clear" w:color="auto" w:fill="auto"/>
            <w:noWrap/>
            <w:vAlign w:val="bottom"/>
            <w:hideMark/>
          </w:tcPr>
          <w:p w14:paraId="1A88363B"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391" w:type="pct"/>
            <w:tcBorders>
              <w:top w:val="nil"/>
              <w:left w:val="nil"/>
              <w:bottom w:val="nil"/>
              <w:right w:val="nil"/>
            </w:tcBorders>
            <w:shd w:val="clear" w:color="auto" w:fill="auto"/>
            <w:noWrap/>
            <w:vAlign w:val="bottom"/>
            <w:hideMark/>
          </w:tcPr>
          <w:p w14:paraId="769530A0"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390" w:type="pct"/>
            <w:tcBorders>
              <w:top w:val="nil"/>
              <w:left w:val="nil"/>
              <w:bottom w:val="nil"/>
              <w:right w:val="nil"/>
            </w:tcBorders>
            <w:shd w:val="clear" w:color="auto" w:fill="auto"/>
            <w:noWrap/>
            <w:vAlign w:val="bottom"/>
            <w:hideMark/>
          </w:tcPr>
          <w:p w14:paraId="547756FF"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r>
      <w:tr w:rsidR="00DD531B" w:rsidRPr="00DD531B" w14:paraId="0AF27F3D" w14:textId="77777777" w:rsidTr="00661122">
        <w:trPr>
          <w:trHeight w:val="300"/>
        </w:trPr>
        <w:tc>
          <w:tcPr>
            <w:tcW w:w="2188" w:type="pct"/>
            <w:tcBorders>
              <w:top w:val="nil"/>
              <w:left w:val="nil"/>
              <w:bottom w:val="nil"/>
              <w:right w:val="nil"/>
            </w:tcBorders>
            <w:shd w:val="clear" w:color="auto" w:fill="auto"/>
            <w:noWrap/>
            <w:vAlign w:val="bottom"/>
            <w:hideMark/>
          </w:tcPr>
          <w:p w14:paraId="26CF34E9" w14:textId="77777777" w:rsidR="00DD531B" w:rsidRPr="00485571" w:rsidRDefault="00DD531B"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prostriedky EÚ a spolufinancovanie zo ŠR</w:t>
            </w:r>
          </w:p>
        </w:tc>
        <w:tc>
          <w:tcPr>
            <w:tcW w:w="395" w:type="pct"/>
            <w:tcBorders>
              <w:top w:val="nil"/>
              <w:left w:val="nil"/>
              <w:bottom w:val="nil"/>
              <w:right w:val="nil"/>
            </w:tcBorders>
            <w:shd w:val="clear" w:color="auto" w:fill="auto"/>
            <w:noWrap/>
            <w:vAlign w:val="bottom"/>
            <w:hideMark/>
          </w:tcPr>
          <w:p w14:paraId="762D84D1"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387" w:type="pct"/>
            <w:tcBorders>
              <w:top w:val="nil"/>
              <w:left w:val="nil"/>
              <w:bottom w:val="nil"/>
              <w:right w:val="nil"/>
            </w:tcBorders>
            <w:shd w:val="clear" w:color="auto" w:fill="auto"/>
            <w:noWrap/>
            <w:vAlign w:val="bottom"/>
            <w:hideMark/>
          </w:tcPr>
          <w:p w14:paraId="4B4D37C7"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391" w:type="pct"/>
            <w:tcBorders>
              <w:top w:val="nil"/>
              <w:left w:val="nil"/>
              <w:bottom w:val="nil"/>
              <w:right w:val="nil"/>
            </w:tcBorders>
            <w:shd w:val="clear" w:color="auto" w:fill="auto"/>
            <w:noWrap/>
            <w:vAlign w:val="bottom"/>
            <w:hideMark/>
          </w:tcPr>
          <w:p w14:paraId="6C61BA76"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7C3B33A7"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1 593</w:t>
            </w:r>
          </w:p>
        </w:tc>
        <w:tc>
          <w:tcPr>
            <w:tcW w:w="391" w:type="pct"/>
            <w:tcBorders>
              <w:top w:val="nil"/>
              <w:left w:val="nil"/>
              <w:bottom w:val="nil"/>
              <w:right w:val="nil"/>
            </w:tcBorders>
            <w:shd w:val="clear" w:color="auto" w:fill="auto"/>
            <w:noWrap/>
            <w:vAlign w:val="bottom"/>
            <w:hideMark/>
          </w:tcPr>
          <w:p w14:paraId="0639985D"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391" w:type="pct"/>
            <w:tcBorders>
              <w:top w:val="nil"/>
              <w:left w:val="nil"/>
              <w:bottom w:val="nil"/>
              <w:right w:val="nil"/>
            </w:tcBorders>
            <w:shd w:val="clear" w:color="auto" w:fill="auto"/>
            <w:noWrap/>
            <w:vAlign w:val="bottom"/>
            <w:hideMark/>
          </w:tcPr>
          <w:p w14:paraId="6A96E3A7"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390" w:type="pct"/>
            <w:tcBorders>
              <w:top w:val="nil"/>
              <w:left w:val="nil"/>
              <w:bottom w:val="nil"/>
              <w:right w:val="nil"/>
            </w:tcBorders>
            <w:shd w:val="clear" w:color="auto" w:fill="auto"/>
            <w:noWrap/>
            <w:vAlign w:val="bottom"/>
            <w:hideMark/>
          </w:tcPr>
          <w:p w14:paraId="39A85C87"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r>
      <w:tr w:rsidR="00DD531B" w:rsidRPr="00DD531B" w14:paraId="735FE091" w14:textId="77777777" w:rsidTr="00661122">
        <w:trPr>
          <w:trHeight w:val="300"/>
        </w:trPr>
        <w:tc>
          <w:tcPr>
            <w:tcW w:w="2188" w:type="pct"/>
            <w:tcBorders>
              <w:top w:val="nil"/>
              <w:left w:val="nil"/>
              <w:bottom w:val="nil"/>
              <w:right w:val="nil"/>
            </w:tcBorders>
            <w:shd w:val="clear" w:color="auto" w:fill="auto"/>
            <w:noWrap/>
            <w:vAlign w:val="bottom"/>
            <w:hideMark/>
          </w:tcPr>
          <w:p w14:paraId="1407F29F" w14:textId="77777777" w:rsidR="00DD531B" w:rsidRPr="00485571" w:rsidRDefault="00DD531B" w:rsidP="00DD531B">
            <w:pPr>
              <w:spacing w:after="0" w:line="240" w:lineRule="auto"/>
              <w:rPr>
                <w:rFonts w:ascii="Times New Roman" w:eastAsia="Times New Roman" w:hAnsi="Times New Roman" w:cs="Times New Roman"/>
                <w:color w:val="000000"/>
                <w:sz w:val="16"/>
                <w:szCs w:val="16"/>
                <w:lang w:eastAsia="sk-SK"/>
              </w:rPr>
            </w:pPr>
            <w:r w:rsidRPr="00485571">
              <w:rPr>
                <w:rFonts w:ascii="Times New Roman" w:eastAsia="Times New Roman" w:hAnsi="Times New Roman" w:cs="Times New Roman"/>
                <w:color w:val="000000"/>
                <w:sz w:val="16"/>
                <w:szCs w:val="16"/>
                <w:lang w:eastAsia="sk-SK"/>
              </w:rPr>
              <w:t>prostriedky POO a DPH k POO</w:t>
            </w:r>
          </w:p>
        </w:tc>
        <w:tc>
          <w:tcPr>
            <w:tcW w:w="395" w:type="pct"/>
            <w:tcBorders>
              <w:top w:val="nil"/>
              <w:left w:val="nil"/>
              <w:bottom w:val="nil"/>
              <w:right w:val="nil"/>
            </w:tcBorders>
            <w:shd w:val="clear" w:color="auto" w:fill="auto"/>
            <w:noWrap/>
            <w:vAlign w:val="bottom"/>
            <w:hideMark/>
          </w:tcPr>
          <w:p w14:paraId="0FF37EBA"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387" w:type="pct"/>
            <w:tcBorders>
              <w:top w:val="nil"/>
              <w:left w:val="nil"/>
              <w:bottom w:val="nil"/>
              <w:right w:val="nil"/>
            </w:tcBorders>
            <w:shd w:val="clear" w:color="auto" w:fill="auto"/>
            <w:noWrap/>
            <w:vAlign w:val="bottom"/>
            <w:hideMark/>
          </w:tcPr>
          <w:p w14:paraId="0B516B8F"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391" w:type="pct"/>
            <w:tcBorders>
              <w:top w:val="nil"/>
              <w:left w:val="nil"/>
              <w:bottom w:val="nil"/>
              <w:right w:val="nil"/>
            </w:tcBorders>
            <w:shd w:val="clear" w:color="auto" w:fill="auto"/>
            <w:noWrap/>
            <w:vAlign w:val="bottom"/>
            <w:hideMark/>
          </w:tcPr>
          <w:p w14:paraId="4D97F316"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59557E4A"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1 713</w:t>
            </w:r>
          </w:p>
        </w:tc>
        <w:tc>
          <w:tcPr>
            <w:tcW w:w="391" w:type="pct"/>
            <w:tcBorders>
              <w:top w:val="nil"/>
              <w:left w:val="nil"/>
              <w:bottom w:val="nil"/>
              <w:right w:val="nil"/>
            </w:tcBorders>
            <w:shd w:val="clear" w:color="auto" w:fill="auto"/>
            <w:noWrap/>
            <w:vAlign w:val="bottom"/>
            <w:hideMark/>
          </w:tcPr>
          <w:p w14:paraId="3FDABAEB"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391" w:type="pct"/>
            <w:tcBorders>
              <w:top w:val="nil"/>
              <w:left w:val="nil"/>
              <w:bottom w:val="nil"/>
              <w:right w:val="nil"/>
            </w:tcBorders>
            <w:shd w:val="clear" w:color="auto" w:fill="auto"/>
            <w:noWrap/>
            <w:vAlign w:val="bottom"/>
            <w:hideMark/>
          </w:tcPr>
          <w:p w14:paraId="4541A1A3"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c>
          <w:tcPr>
            <w:tcW w:w="390" w:type="pct"/>
            <w:tcBorders>
              <w:top w:val="nil"/>
              <w:left w:val="nil"/>
              <w:bottom w:val="nil"/>
              <w:right w:val="nil"/>
            </w:tcBorders>
            <w:shd w:val="clear" w:color="auto" w:fill="auto"/>
            <w:noWrap/>
            <w:vAlign w:val="bottom"/>
            <w:hideMark/>
          </w:tcPr>
          <w:p w14:paraId="01E2C302" w14:textId="77777777" w:rsidR="00DD531B" w:rsidRPr="00485571" w:rsidRDefault="00DD531B" w:rsidP="00DD531B">
            <w:pPr>
              <w:spacing w:after="0" w:line="240" w:lineRule="auto"/>
              <w:jc w:val="right"/>
              <w:rPr>
                <w:rFonts w:ascii="Times New Roman" w:eastAsia="Times New Roman" w:hAnsi="Times New Roman" w:cs="Times New Roman"/>
                <w:sz w:val="16"/>
                <w:szCs w:val="16"/>
                <w:lang w:eastAsia="sk-SK"/>
              </w:rPr>
            </w:pPr>
            <w:r w:rsidRPr="00485571">
              <w:rPr>
                <w:rFonts w:ascii="Times New Roman" w:eastAsia="Times New Roman" w:hAnsi="Times New Roman" w:cs="Times New Roman"/>
                <w:sz w:val="16"/>
                <w:szCs w:val="16"/>
                <w:lang w:eastAsia="sk-SK"/>
              </w:rPr>
              <w:t>0</w:t>
            </w:r>
          </w:p>
        </w:tc>
      </w:tr>
      <w:tr w:rsidR="00DD531B" w:rsidRPr="00DD531B" w14:paraId="2C0C7FE3" w14:textId="77777777" w:rsidTr="00661122">
        <w:trPr>
          <w:trHeight w:val="300"/>
        </w:trPr>
        <w:tc>
          <w:tcPr>
            <w:tcW w:w="2188" w:type="pct"/>
            <w:tcBorders>
              <w:top w:val="nil"/>
              <w:left w:val="nil"/>
              <w:bottom w:val="single" w:sz="4" w:space="0" w:color="auto"/>
              <w:right w:val="nil"/>
            </w:tcBorders>
            <w:shd w:val="clear" w:color="auto" w:fill="auto"/>
            <w:noWrap/>
            <w:vAlign w:val="bottom"/>
            <w:hideMark/>
          </w:tcPr>
          <w:p w14:paraId="40370766" w14:textId="676FFEAC" w:rsidR="00DD531B" w:rsidRPr="00485571" w:rsidRDefault="00DD531B" w:rsidP="00DD531B">
            <w:pPr>
              <w:spacing w:after="0" w:line="240" w:lineRule="auto"/>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 xml:space="preserve">prostriedky podľa § 17 ods. 4 a § 22 ods. 4 zákona </w:t>
            </w:r>
            <w:r w:rsidR="00661122">
              <w:rPr>
                <w:rFonts w:ascii="Times New Roman" w:eastAsia="Times New Roman" w:hAnsi="Times New Roman" w:cs="Times New Roman"/>
                <w:b/>
                <w:bCs/>
                <w:sz w:val="16"/>
                <w:szCs w:val="16"/>
                <w:lang w:eastAsia="sk-SK"/>
              </w:rPr>
              <w:br/>
            </w:r>
            <w:r w:rsidRPr="00485571">
              <w:rPr>
                <w:rFonts w:ascii="Times New Roman" w:eastAsia="Times New Roman" w:hAnsi="Times New Roman" w:cs="Times New Roman"/>
                <w:b/>
                <w:bCs/>
                <w:sz w:val="16"/>
                <w:szCs w:val="16"/>
                <w:lang w:eastAsia="sk-SK"/>
              </w:rPr>
              <w:t>č. 523/2004 Z. z.</w:t>
            </w:r>
          </w:p>
        </w:tc>
        <w:tc>
          <w:tcPr>
            <w:tcW w:w="395" w:type="pct"/>
            <w:tcBorders>
              <w:top w:val="nil"/>
              <w:left w:val="nil"/>
              <w:bottom w:val="single" w:sz="4" w:space="0" w:color="auto"/>
              <w:right w:val="nil"/>
            </w:tcBorders>
            <w:shd w:val="clear" w:color="auto" w:fill="auto"/>
            <w:noWrap/>
            <w:vAlign w:val="bottom"/>
            <w:hideMark/>
          </w:tcPr>
          <w:p w14:paraId="1A23B40A"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w:t>
            </w:r>
          </w:p>
        </w:tc>
        <w:tc>
          <w:tcPr>
            <w:tcW w:w="387" w:type="pct"/>
            <w:tcBorders>
              <w:top w:val="nil"/>
              <w:left w:val="nil"/>
              <w:bottom w:val="single" w:sz="4" w:space="0" w:color="auto"/>
              <w:right w:val="nil"/>
            </w:tcBorders>
            <w:shd w:val="clear" w:color="auto" w:fill="auto"/>
            <w:noWrap/>
            <w:vAlign w:val="bottom"/>
            <w:hideMark/>
          </w:tcPr>
          <w:p w14:paraId="66BEB142"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9</w:t>
            </w:r>
          </w:p>
        </w:tc>
        <w:tc>
          <w:tcPr>
            <w:tcW w:w="391" w:type="pct"/>
            <w:tcBorders>
              <w:top w:val="nil"/>
              <w:left w:val="nil"/>
              <w:bottom w:val="single" w:sz="4" w:space="0" w:color="auto"/>
              <w:right w:val="nil"/>
            </w:tcBorders>
            <w:shd w:val="clear" w:color="auto" w:fill="auto"/>
            <w:noWrap/>
            <w:vAlign w:val="bottom"/>
            <w:hideMark/>
          </w:tcPr>
          <w:p w14:paraId="3CA311B6"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468" w:type="pct"/>
            <w:tcBorders>
              <w:top w:val="nil"/>
              <w:left w:val="nil"/>
              <w:bottom w:val="single" w:sz="4" w:space="0" w:color="auto"/>
              <w:right w:val="nil"/>
            </w:tcBorders>
            <w:shd w:val="clear" w:color="auto" w:fill="auto"/>
            <w:noWrap/>
            <w:vAlign w:val="bottom"/>
            <w:hideMark/>
          </w:tcPr>
          <w:p w14:paraId="56EB39B3"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2</w:t>
            </w:r>
          </w:p>
        </w:tc>
        <w:tc>
          <w:tcPr>
            <w:tcW w:w="391" w:type="pct"/>
            <w:tcBorders>
              <w:top w:val="nil"/>
              <w:left w:val="nil"/>
              <w:bottom w:val="single" w:sz="4" w:space="0" w:color="auto"/>
              <w:right w:val="nil"/>
            </w:tcBorders>
            <w:shd w:val="clear" w:color="auto" w:fill="auto"/>
            <w:noWrap/>
            <w:vAlign w:val="bottom"/>
            <w:hideMark/>
          </w:tcPr>
          <w:p w14:paraId="191165EA"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391" w:type="pct"/>
            <w:tcBorders>
              <w:top w:val="nil"/>
              <w:left w:val="nil"/>
              <w:bottom w:val="single" w:sz="4" w:space="0" w:color="auto"/>
              <w:right w:val="nil"/>
            </w:tcBorders>
            <w:shd w:val="clear" w:color="auto" w:fill="auto"/>
            <w:noWrap/>
            <w:vAlign w:val="bottom"/>
            <w:hideMark/>
          </w:tcPr>
          <w:p w14:paraId="4B7F8C56"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c>
          <w:tcPr>
            <w:tcW w:w="390" w:type="pct"/>
            <w:tcBorders>
              <w:top w:val="nil"/>
              <w:left w:val="nil"/>
              <w:bottom w:val="single" w:sz="4" w:space="0" w:color="auto"/>
              <w:right w:val="nil"/>
            </w:tcBorders>
            <w:shd w:val="clear" w:color="auto" w:fill="auto"/>
            <w:noWrap/>
            <w:vAlign w:val="bottom"/>
            <w:hideMark/>
          </w:tcPr>
          <w:p w14:paraId="7737A045" w14:textId="77777777" w:rsidR="00DD531B" w:rsidRPr="00485571" w:rsidRDefault="00DD531B" w:rsidP="00DD531B">
            <w:pPr>
              <w:spacing w:after="0" w:line="240" w:lineRule="auto"/>
              <w:jc w:val="right"/>
              <w:rPr>
                <w:rFonts w:ascii="Times New Roman" w:eastAsia="Times New Roman" w:hAnsi="Times New Roman" w:cs="Times New Roman"/>
                <w:b/>
                <w:bCs/>
                <w:sz w:val="16"/>
                <w:szCs w:val="16"/>
                <w:lang w:eastAsia="sk-SK"/>
              </w:rPr>
            </w:pPr>
            <w:r w:rsidRPr="00485571">
              <w:rPr>
                <w:rFonts w:ascii="Times New Roman" w:eastAsia="Times New Roman" w:hAnsi="Times New Roman" w:cs="Times New Roman"/>
                <w:b/>
                <w:bCs/>
                <w:sz w:val="16"/>
                <w:szCs w:val="16"/>
                <w:lang w:eastAsia="sk-SK"/>
              </w:rPr>
              <w:t>0</w:t>
            </w:r>
          </w:p>
        </w:tc>
      </w:tr>
    </w:tbl>
    <w:p w14:paraId="7692F503" w14:textId="15EC0472" w:rsidR="00DD531B" w:rsidRDefault="00DD531B" w:rsidP="00DD531B">
      <w:pPr>
        <w:rPr>
          <w:rFonts w:ascii="Times New Roman" w:eastAsia="Calibri" w:hAnsi="Times New Roman" w:cs="Times New Roman"/>
        </w:rPr>
      </w:pPr>
    </w:p>
    <w:p w14:paraId="1A73523F" w14:textId="4E2E3649" w:rsidR="00661122" w:rsidRDefault="00661122" w:rsidP="00DD531B">
      <w:pPr>
        <w:rPr>
          <w:rFonts w:ascii="Times New Roman" w:eastAsia="Calibri" w:hAnsi="Times New Roman" w:cs="Times New Roman"/>
        </w:rPr>
      </w:pPr>
    </w:p>
    <w:p w14:paraId="5DE55D45" w14:textId="6FA3B1D8" w:rsidR="00661122" w:rsidRDefault="00661122" w:rsidP="00DD531B">
      <w:pPr>
        <w:rPr>
          <w:rFonts w:ascii="Times New Roman" w:eastAsia="Calibri" w:hAnsi="Times New Roman" w:cs="Times New Roman"/>
        </w:rPr>
      </w:pPr>
    </w:p>
    <w:p w14:paraId="75EAAD64" w14:textId="70F78215" w:rsidR="00661122" w:rsidRDefault="00661122" w:rsidP="00DD531B">
      <w:pPr>
        <w:rPr>
          <w:rFonts w:ascii="Times New Roman" w:eastAsia="Calibri" w:hAnsi="Times New Roman" w:cs="Times New Roman"/>
        </w:rPr>
      </w:pPr>
    </w:p>
    <w:p w14:paraId="62465650" w14:textId="7C098A00" w:rsidR="00661122" w:rsidRDefault="00661122" w:rsidP="00DD531B">
      <w:pPr>
        <w:rPr>
          <w:rFonts w:ascii="Times New Roman" w:eastAsia="Calibri" w:hAnsi="Times New Roman" w:cs="Times New Roman"/>
        </w:rPr>
      </w:pPr>
    </w:p>
    <w:p w14:paraId="15001D7C" w14:textId="4C0F9413" w:rsidR="00661122" w:rsidRDefault="00661122" w:rsidP="00DD531B">
      <w:pPr>
        <w:rPr>
          <w:rFonts w:ascii="Times New Roman" w:eastAsia="Calibri" w:hAnsi="Times New Roman" w:cs="Times New Roman"/>
        </w:rPr>
      </w:pPr>
    </w:p>
    <w:p w14:paraId="0CB08AE7" w14:textId="5731F2B0" w:rsidR="00661122" w:rsidRDefault="00661122" w:rsidP="00DD531B">
      <w:pPr>
        <w:rPr>
          <w:rFonts w:ascii="Times New Roman" w:eastAsia="Calibri" w:hAnsi="Times New Roman" w:cs="Times New Roman"/>
        </w:rPr>
      </w:pPr>
    </w:p>
    <w:p w14:paraId="32383D1A" w14:textId="042F3CF1" w:rsidR="00661122" w:rsidRDefault="00661122" w:rsidP="00DD531B">
      <w:pPr>
        <w:rPr>
          <w:rFonts w:ascii="Times New Roman" w:eastAsia="Calibri" w:hAnsi="Times New Roman" w:cs="Times New Roman"/>
        </w:rPr>
      </w:pPr>
    </w:p>
    <w:p w14:paraId="2341AEF0" w14:textId="3FD26FE0" w:rsidR="00661122" w:rsidRDefault="00661122" w:rsidP="00DD531B">
      <w:pPr>
        <w:rPr>
          <w:rFonts w:ascii="Times New Roman" w:eastAsia="Calibri" w:hAnsi="Times New Roman" w:cs="Times New Roman"/>
        </w:rPr>
      </w:pPr>
    </w:p>
    <w:p w14:paraId="071ABDB1" w14:textId="77777777" w:rsidR="00661122" w:rsidRPr="00DD531B" w:rsidRDefault="00661122" w:rsidP="00DD531B">
      <w:pPr>
        <w:rPr>
          <w:rFonts w:ascii="Times New Roman" w:eastAsia="Calibri" w:hAnsi="Times New Roman" w:cs="Times New Roman"/>
        </w:rPr>
      </w:pPr>
    </w:p>
    <w:p w14:paraId="7ECE7437" w14:textId="4563E84E" w:rsidR="00DD531B" w:rsidRPr="00661122" w:rsidRDefault="00DD531B" w:rsidP="00DD531B">
      <w:pPr>
        <w:keepNext/>
        <w:keepLines/>
        <w:spacing w:after="0"/>
        <w:outlineLvl w:val="1"/>
        <w:rPr>
          <w:rFonts w:ascii="Times New Roman" w:eastAsia="Times New Roman" w:hAnsi="Times New Roman" w:cs="Times New Roman"/>
          <w:b/>
          <w:color w:val="5B9BD5" w:themeColor="accent1"/>
          <w:sz w:val="24"/>
          <w:szCs w:val="24"/>
        </w:rPr>
      </w:pPr>
      <w:r w:rsidRPr="00661122">
        <w:rPr>
          <w:rFonts w:ascii="Times New Roman" w:eastAsia="Times New Roman" w:hAnsi="Times New Roman" w:cs="Times New Roman"/>
          <w:b/>
          <w:color w:val="5B9BD5" w:themeColor="accent1"/>
          <w:sz w:val="24"/>
          <w:szCs w:val="24"/>
        </w:rPr>
        <w:lastRenderedPageBreak/>
        <w:t>Ministerstvo hospodárstva SR</w:t>
      </w:r>
    </w:p>
    <w:p w14:paraId="514D5332" w14:textId="77777777" w:rsidR="00DD531B" w:rsidRPr="00661122" w:rsidRDefault="00DD531B" w:rsidP="00DD531B">
      <w:pPr>
        <w:rPr>
          <w:rFonts w:ascii="Times New Roman" w:eastAsia="Calibri" w:hAnsi="Times New Roman" w:cs="Times New Roman"/>
          <w:color w:val="5B9BD5" w:themeColor="accent1"/>
        </w:rPr>
      </w:pPr>
    </w:p>
    <w:p w14:paraId="1E7D90B0" w14:textId="44582468" w:rsidR="00DD531B" w:rsidRPr="00661122" w:rsidRDefault="00661122"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21" w:name="_Toc153013091"/>
      <w:r>
        <w:rPr>
          <w:rFonts w:ascii="Times New Roman" w:eastAsia="Times New Roman" w:hAnsi="Times New Roman" w:cs="Times New Roman"/>
          <w:b/>
          <w:iCs/>
          <w:color w:val="5B9BD5" w:themeColor="accent1"/>
          <w:sz w:val="20"/>
          <w:szCs w:val="20"/>
          <w:lang w:eastAsia="sk-SK"/>
        </w:rPr>
        <w:t xml:space="preserve">Tabuľka </w:t>
      </w:r>
      <w:r w:rsidRPr="005F5DA3">
        <w:rPr>
          <w:rFonts w:ascii="Times New Roman" w:hAnsi="Times New Roman" w:cs="Times New Roman"/>
          <w:b/>
          <w:color w:val="5B9BD5" w:themeColor="accent1"/>
          <w:sz w:val="20"/>
          <w:szCs w:val="20"/>
        </w:rPr>
        <w:fldChar w:fldCharType="begin"/>
      </w:r>
      <w:r w:rsidRPr="005F5DA3">
        <w:rPr>
          <w:rFonts w:ascii="Times New Roman" w:hAnsi="Times New Roman" w:cs="Times New Roman"/>
          <w:b/>
          <w:color w:val="5B9BD5" w:themeColor="accent1"/>
          <w:sz w:val="20"/>
          <w:szCs w:val="20"/>
        </w:rPr>
        <w:instrText xml:space="preserve"> SEQ Tabuľka \* ARABIC </w:instrText>
      </w:r>
      <w:r w:rsidRPr="005F5DA3">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93</w:t>
      </w:r>
      <w:r w:rsidRPr="005F5DA3">
        <w:rPr>
          <w:rFonts w:ascii="Times New Roman" w:hAnsi="Times New Roman" w:cs="Times New Roman"/>
          <w:b/>
          <w:color w:val="5B9BD5" w:themeColor="accent1"/>
          <w:sz w:val="20"/>
          <w:szCs w:val="20"/>
        </w:rPr>
        <w:fldChar w:fldCharType="end"/>
      </w:r>
      <w:r>
        <w:rPr>
          <w:rFonts w:ascii="Times New Roman" w:hAnsi="Times New Roman" w:cs="Times New Roman"/>
          <w:b/>
          <w:color w:val="5B9BD5" w:themeColor="accent1"/>
          <w:sz w:val="20"/>
          <w:szCs w:val="20"/>
        </w:rPr>
        <w:t xml:space="preserve"> - </w:t>
      </w:r>
      <w:r w:rsidR="00DD531B" w:rsidRPr="00661122">
        <w:rPr>
          <w:rFonts w:ascii="Times New Roman" w:eastAsia="Times New Roman" w:hAnsi="Times New Roman" w:cs="Times New Roman"/>
          <w:b/>
          <w:iCs/>
          <w:color w:val="5B9BD5" w:themeColor="accent1"/>
          <w:sz w:val="20"/>
          <w:szCs w:val="20"/>
          <w:lang w:eastAsia="sk-SK"/>
        </w:rPr>
        <w:t>Príjmy kapitoly MH SR</w:t>
      </w:r>
      <w:bookmarkEnd w:id="221"/>
    </w:p>
    <w:tbl>
      <w:tblPr>
        <w:tblW w:w="5000" w:type="pct"/>
        <w:tblCellMar>
          <w:left w:w="70" w:type="dxa"/>
          <w:right w:w="70" w:type="dxa"/>
        </w:tblCellMar>
        <w:tblLook w:val="04A0" w:firstRow="1" w:lastRow="0" w:firstColumn="1" w:lastColumn="0" w:noHBand="0" w:noVBand="1"/>
      </w:tblPr>
      <w:tblGrid>
        <w:gridCol w:w="3755"/>
        <w:gridCol w:w="660"/>
        <w:gridCol w:w="660"/>
        <w:gridCol w:w="756"/>
        <w:gridCol w:w="1053"/>
        <w:gridCol w:w="868"/>
        <w:gridCol w:w="660"/>
        <w:gridCol w:w="660"/>
      </w:tblGrid>
      <w:tr w:rsidR="00DD531B" w:rsidRPr="00DD531B" w14:paraId="12397070" w14:textId="77777777" w:rsidTr="001F24AE">
        <w:trPr>
          <w:trHeight w:val="300"/>
        </w:trPr>
        <w:tc>
          <w:tcPr>
            <w:tcW w:w="2074" w:type="pct"/>
            <w:tcBorders>
              <w:top w:val="single" w:sz="4" w:space="0" w:color="auto"/>
              <w:left w:val="nil"/>
              <w:bottom w:val="single" w:sz="4" w:space="0" w:color="auto"/>
              <w:right w:val="nil"/>
            </w:tcBorders>
            <w:shd w:val="clear" w:color="auto" w:fill="auto"/>
            <w:noWrap/>
            <w:vAlign w:val="center"/>
            <w:hideMark/>
          </w:tcPr>
          <w:p w14:paraId="52247C83" w14:textId="77777777" w:rsidR="00DD531B" w:rsidRPr="00661122" w:rsidRDefault="00DD531B" w:rsidP="00DD531B">
            <w:pPr>
              <w:spacing w:after="0" w:line="240" w:lineRule="auto"/>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v tis. eur</w:t>
            </w:r>
          </w:p>
        </w:tc>
        <w:tc>
          <w:tcPr>
            <w:tcW w:w="359" w:type="pct"/>
            <w:tcBorders>
              <w:top w:val="single" w:sz="4" w:space="0" w:color="auto"/>
              <w:left w:val="nil"/>
              <w:bottom w:val="single" w:sz="4" w:space="0" w:color="auto"/>
              <w:right w:val="nil"/>
            </w:tcBorders>
            <w:shd w:val="clear" w:color="auto" w:fill="auto"/>
            <w:noWrap/>
            <w:vAlign w:val="center"/>
            <w:hideMark/>
          </w:tcPr>
          <w:p w14:paraId="5CC99FDB"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2021 S</w:t>
            </w:r>
          </w:p>
        </w:tc>
        <w:tc>
          <w:tcPr>
            <w:tcW w:w="359" w:type="pct"/>
            <w:tcBorders>
              <w:top w:val="single" w:sz="4" w:space="0" w:color="auto"/>
              <w:left w:val="nil"/>
              <w:bottom w:val="single" w:sz="4" w:space="0" w:color="auto"/>
              <w:right w:val="nil"/>
            </w:tcBorders>
            <w:shd w:val="clear" w:color="auto" w:fill="auto"/>
            <w:noWrap/>
            <w:vAlign w:val="center"/>
            <w:hideMark/>
          </w:tcPr>
          <w:p w14:paraId="3E066E79"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2022 S</w:t>
            </w:r>
          </w:p>
        </w:tc>
        <w:tc>
          <w:tcPr>
            <w:tcW w:w="421" w:type="pct"/>
            <w:tcBorders>
              <w:top w:val="single" w:sz="4" w:space="0" w:color="auto"/>
              <w:left w:val="nil"/>
              <w:bottom w:val="single" w:sz="4" w:space="0" w:color="auto"/>
              <w:right w:val="nil"/>
            </w:tcBorders>
            <w:shd w:val="clear" w:color="auto" w:fill="auto"/>
            <w:noWrap/>
            <w:vAlign w:val="center"/>
            <w:hideMark/>
          </w:tcPr>
          <w:p w14:paraId="17C8F09A"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2023 R</w:t>
            </w:r>
          </w:p>
        </w:tc>
        <w:tc>
          <w:tcPr>
            <w:tcW w:w="585" w:type="pct"/>
            <w:tcBorders>
              <w:top w:val="single" w:sz="4" w:space="0" w:color="auto"/>
              <w:left w:val="nil"/>
              <w:bottom w:val="single" w:sz="4" w:space="0" w:color="auto"/>
              <w:right w:val="nil"/>
            </w:tcBorders>
            <w:shd w:val="clear" w:color="auto" w:fill="auto"/>
            <w:noWrap/>
            <w:vAlign w:val="center"/>
            <w:hideMark/>
          </w:tcPr>
          <w:p w14:paraId="12C2F2DA"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2023 OS</w:t>
            </w:r>
          </w:p>
        </w:tc>
        <w:tc>
          <w:tcPr>
            <w:tcW w:w="483" w:type="pct"/>
            <w:tcBorders>
              <w:top w:val="single" w:sz="4" w:space="0" w:color="auto"/>
              <w:left w:val="nil"/>
              <w:bottom w:val="single" w:sz="4" w:space="0" w:color="auto"/>
              <w:right w:val="nil"/>
            </w:tcBorders>
            <w:shd w:val="clear" w:color="auto" w:fill="auto"/>
            <w:noWrap/>
            <w:vAlign w:val="center"/>
            <w:hideMark/>
          </w:tcPr>
          <w:p w14:paraId="5BEB63CB"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2024 N</w:t>
            </w:r>
          </w:p>
        </w:tc>
        <w:tc>
          <w:tcPr>
            <w:tcW w:w="359" w:type="pct"/>
            <w:tcBorders>
              <w:top w:val="single" w:sz="4" w:space="0" w:color="auto"/>
              <w:left w:val="nil"/>
              <w:bottom w:val="single" w:sz="4" w:space="0" w:color="auto"/>
              <w:right w:val="nil"/>
            </w:tcBorders>
            <w:shd w:val="clear" w:color="auto" w:fill="auto"/>
            <w:noWrap/>
            <w:vAlign w:val="center"/>
            <w:hideMark/>
          </w:tcPr>
          <w:p w14:paraId="70605156"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2025 N</w:t>
            </w:r>
          </w:p>
        </w:tc>
        <w:tc>
          <w:tcPr>
            <w:tcW w:w="359" w:type="pct"/>
            <w:tcBorders>
              <w:top w:val="single" w:sz="4" w:space="0" w:color="auto"/>
              <w:left w:val="nil"/>
              <w:bottom w:val="single" w:sz="4" w:space="0" w:color="auto"/>
              <w:right w:val="nil"/>
            </w:tcBorders>
            <w:shd w:val="clear" w:color="auto" w:fill="auto"/>
            <w:noWrap/>
            <w:vAlign w:val="center"/>
            <w:hideMark/>
          </w:tcPr>
          <w:p w14:paraId="3A1D5457"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2026 N</w:t>
            </w:r>
          </w:p>
        </w:tc>
      </w:tr>
      <w:tr w:rsidR="00DD531B" w:rsidRPr="00DD531B" w14:paraId="61FF6063" w14:textId="77777777" w:rsidTr="001F24AE">
        <w:trPr>
          <w:trHeight w:val="300"/>
        </w:trPr>
        <w:tc>
          <w:tcPr>
            <w:tcW w:w="2074" w:type="pct"/>
            <w:tcBorders>
              <w:top w:val="nil"/>
              <w:left w:val="nil"/>
              <w:bottom w:val="nil"/>
              <w:right w:val="nil"/>
            </w:tcBorders>
            <w:shd w:val="clear" w:color="auto" w:fill="auto"/>
            <w:noWrap/>
            <w:vAlign w:val="bottom"/>
            <w:hideMark/>
          </w:tcPr>
          <w:p w14:paraId="409B4291" w14:textId="77777777" w:rsidR="00DD531B" w:rsidRPr="00661122" w:rsidRDefault="00DD531B" w:rsidP="00DD531B">
            <w:pPr>
              <w:spacing w:after="0" w:line="240" w:lineRule="auto"/>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Príjmy kapitoly spolu</w:t>
            </w:r>
          </w:p>
        </w:tc>
        <w:tc>
          <w:tcPr>
            <w:tcW w:w="359" w:type="pct"/>
            <w:tcBorders>
              <w:top w:val="nil"/>
              <w:left w:val="nil"/>
              <w:bottom w:val="nil"/>
              <w:right w:val="nil"/>
            </w:tcBorders>
            <w:shd w:val="clear" w:color="auto" w:fill="auto"/>
            <w:noWrap/>
            <w:vAlign w:val="bottom"/>
            <w:hideMark/>
          </w:tcPr>
          <w:p w14:paraId="1F559243"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367 799</w:t>
            </w:r>
          </w:p>
        </w:tc>
        <w:tc>
          <w:tcPr>
            <w:tcW w:w="359" w:type="pct"/>
            <w:tcBorders>
              <w:top w:val="nil"/>
              <w:left w:val="nil"/>
              <w:bottom w:val="nil"/>
              <w:right w:val="nil"/>
            </w:tcBorders>
            <w:shd w:val="clear" w:color="auto" w:fill="auto"/>
            <w:noWrap/>
            <w:vAlign w:val="bottom"/>
            <w:hideMark/>
          </w:tcPr>
          <w:p w14:paraId="30D8E929"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293 057</w:t>
            </w:r>
          </w:p>
        </w:tc>
        <w:tc>
          <w:tcPr>
            <w:tcW w:w="421" w:type="pct"/>
            <w:tcBorders>
              <w:top w:val="nil"/>
              <w:left w:val="nil"/>
              <w:bottom w:val="nil"/>
              <w:right w:val="nil"/>
            </w:tcBorders>
            <w:shd w:val="clear" w:color="auto" w:fill="auto"/>
            <w:noWrap/>
            <w:vAlign w:val="bottom"/>
            <w:hideMark/>
          </w:tcPr>
          <w:p w14:paraId="0C75950D"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545 863</w:t>
            </w:r>
          </w:p>
        </w:tc>
        <w:tc>
          <w:tcPr>
            <w:tcW w:w="585" w:type="pct"/>
            <w:tcBorders>
              <w:top w:val="nil"/>
              <w:left w:val="nil"/>
              <w:bottom w:val="nil"/>
              <w:right w:val="nil"/>
            </w:tcBorders>
            <w:shd w:val="clear" w:color="auto" w:fill="auto"/>
            <w:noWrap/>
            <w:vAlign w:val="bottom"/>
            <w:hideMark/>
          </w:tcPr>
          <w:p w14:paraId="15E3CE52"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402 108</w:t>
            </w:r>
          </w:p>
        </w:tc>
        <w:tc>
          <w:tcPr>
            <w:tcW w:w="483" w:type="pct"/>
            <w:tcBorders>
              <w:top w:val="nil"/>
              <w:left w:val="nil"/>
              <w:bottom w:val="nil"/>
              <w:right w:val="nil"/>
            </w:tcBorders>
            <w:shd w:val="clear" w:color="auto" w:fill="auto"/>
            <w:noWrap/>
            <w:vAlign w:val="bottom"/>
            <w:hideMark/>
          </w:tcPr>
          <w:p w14:paraId="5F6ED4E9"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150 842</w:t>
            </w:r>
          </w:p>
        </w:tc>
        <w:tc>
          <w:tcPr>
            <w:tcW w:w="359" w:type="pct"/>
            <w:tcBorders>
              <w:top w:val="nil"/>
              <w:left w:val="nil"/>
              <w:bottom w:val="nil"/>
              <w:right w:val="nil"/>
            </w:tcBorders>
            <w:shd w:val="clear" w:color="auto" w:fill="auto"/>
            <w:noWrap/>
            <w:vAlign w:val="bottom"/>
            <w:hideMark/>
          </w:tcPr>
          <w:p w14:paraId="39EAE688"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310 037</w:t>
            </w:r>
          </w:p>
        </w:tc>
        <w:tc>
          <w:tcPr>
            <w:tcW w:w="359" w:type="pct"/>
            <w:tcBorders>
              <w:top w:val="nil"/>
              <w:left w:val="nil"/>
              <w:bottom w:val="nil"/>
              <w:right w:val="nil"/>
            </w:tcBorders>
            <w:shd w:val="clear" w:color="auto" w:fill="auto"/>
            <w:noWrap/>
            <w:vAlign w:val="bottom"/>
            <w:hideMark/>
          </w:tcPr>
          <w:p w14:paraId="039ABADD"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458 080</w:t>
            </w:r>
          </w:p>
        </w:tc>
      </w:tr>
      <w:tr w:rsidR="00DD531B" w:rsidRPr="00DD531B" w14:paraId="640BE17F" w14:textId="77777777" w:rsidTr="001F24AE">
        <w:trPr>
          <w:trHeight w:val="300"/>
        </w:trPr>
        <w:tc>
          <w:tcPr>
            <w:tcW w:w="2074" w:type="pct"/>
            <w:tcBorders>
              <w:top w:val="nil"/>
              <w:left w:val="nil"/>
              <w:bottom w:val="nil"/>
              <w:right w:val="nil"/>
            </w:tcBorders>
            <w:shd w:val="clear" w:color="auto" w:fill="auto"/>
            <w:noWrap/>
            <w:vAlign w:val="bottom"/>
            <w:hideMark/>
          </w:tcPr>
          <w:p w14:paraId="1D21A755" w14:textId="77777777" w:rsidR="00DD531B" w:rsidRPr="00661122" w:rsidRDefault="00DD531B" w:rsidP="00DD531B">
            <w:pPr>
              <w:spacing w:after="0" w:line="240" w:lineRule="auto"/>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nedaňové príjmy, v tom:</w:t>
            </w:r>
          </w:p>
        </w:tc>
        <w:tc>
          <w:tcPr>
            <w:tcW w:w="359" w:type="pct"/>
            <w:tcBorders>
              <w:top w:val="nil"/>
              <w:left w:val="nil"/>
              <w:bottom w:val="nil"/>
              <w:right w:val="nil"/>
            </w:tcBorders>
            <w:shd w:val="clear" w:color="auto" w:fill="auto"/>
            <w:noWrap/>
            <w:vAlign w:val="bottom"/>
            <w:hideMark/>
          </w:tcPr>
          <w:p w14:paraId="2F1D3AE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83 993</w:t>
            </w:r>
          </w:p>
        </w:tc>
        <w:tc>
          <w:tcPr>
            <w:tcW w:w="359" w:type="pct"/>
            <w:tcBorders>
              <w:top w:val="nil"/>
              <w:left w:val="nil"/>
              <w:bottom w:val="nil"/>
              <w:right w:val="nil"/>
            </w:tcBorders>
            <w:shd w:val="clear" w:color="auto" w:fill="auto"/>
            <w:noWrap/>
            <w:vAlign w:val="bottom"/>
            <w:hideMark/>
          </w:tcPr>
          <w:p w14:paraId="0F696D4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81 531</w:t>
            </w:r>
          </w:p>
        </w:tc>
        <w:tc>
          <w:tcPr>
            <w:tcW w:w="421" w:type="pct"/>
            <w:tcBorders>
              <w:top w:val="nil"/>
              <w:left w:val="nil"/>
              <w:bottom w:val="nil"/>
              <w:right w:val="nil"/>
            </w:tcBorders>
            <w:shd w:val="clear" w:color="auto" w:fill="auto"/>
            <w:noWrap/>
            <w:vAlign w:val="bottom"/>
            <w:hideMark/>
          </w:tcPr>
          <w:p w14:paraId="5A925A4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83 285</w:t>
            </w:r>
          </w:p>
        </w:tc>
        <w:tc>
          <w:tcPr>
            <w:tcW w:w="585" w:type="pct"/>
            <w:tcBorders>
              <w:top w:val="nil"/>
              <w:left w:val="nil"/>
              <w:bottom w:val="nil"/>
              <w:right w:val="nil"/>
            </w:tcBorders>
            <w:shd w:val="clear" w:color="auto" w:fill="auto"/>
            <w:noWrap/>
            <w:vAlign w:val="bottom"/>
            <w:hideMark/>
          </w:tcPr>
          <w:p w14:paraId="3B9EC1BE"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80 791</w:t>
            </w:r>
          </w:p>
        </w:tc>
        <w:tc>
          <w:tcPr>
            <w:tcW w:w="483" w:type="pct"/>
            <w:tcBorders>
              <w:top w:val="nil"/>
              <w:left w:val="nil"/>
              <w:bottom w:val="nil"/>
              <w:right w:val="nil"/>
            </w:tcBorders>
            <w:shd w:val="clear" w:color="auto" w:fill="auto"/>
            <w:noWrap/>
            <w:vAlign w:val="bottom"/>
            <w:hideMark/>
          </w:tcPr>
          <w:p w14:paraId="547B6F5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78 737</w:t>
            </w:r>
          </w:p>
        </w:tc>
        <w:tc>
          <w:tcPr>
            <w:tcW w:w="359" w:type="pct"/>
            <w:tcBorders>
              <w:top w:val="nil"/>
              <w:left w:val="nil"/>
              <w:bottom w:val="nil"/>
              <w:right w:val="nil"/>
            </w:tcBorders>
            <w:shd w:val="clear" w:color="auto" w:fill="auto"/>
            <w:noWrap/>
            <w:vAlign w:val="bottom"/>
            <w:hideMark/>
          </w:tcPr>
          <w:p w14:paraId="1E6B23D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78 497</w:t>
            </w:r>
          </w:p>
        </w:tc>
        <w:tc>
          <w:tcPr>
            <w:tcW w:w="359" w:type="pct"/>
            <w:tcBorders>
              <w:top w:val="nil"/>
              <w:left w:val="nil"/>
              <w:bottom w:val="nil"/>
              <w:right w:val="nil"/>
            </w:tcBorders>
            <w:shd w:val="clear" w:color="auto" w:fill="auto"/>
            <w:noWrap/>
            <w:vAlign w:val="bottom"/>
            <w:hideMark/>
          </w:tcPr>
          <w:p w14:paraId="0F4BA52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78 197</w:t>
            </w:r>
          </w:p>
        </w:tc>
      </w:tr>
      <w:tr w:rsidR="00DD531B" w:rsidRPr="00DD531B" w14:paraId="773C4125" w14:textId="77777777" w:rsidTr="001F24AE">
        <w:trPr>
          <w:trHeight w:val="300"/>
        </w:trPr>
        <w:tc>
          <w:tcPr>
            <w:tcW w:w="2074" w:type="pct"/>
            <w:tcBorders>
              <w:top w:val="nil"/>
              <w:left w:val="nil"/>
              <w:bottom w:val="nil"/>
              <w:right w:val="nil"/>
            </w:tcBorders>
            <w:shd w:val="clear" w:color="auto" w:fill="auto"/>
            <w:noWrap/>
            <w:vAlign w:val="bottom"/>
            <w:hideMark/>
          </w:tcPr>
          <w:p w14:paraId="36D6A98B" w14:textId="77777777" w:rsidR="00DD531B" w:rsidRPr="00661122" w:rsidRDefault="00DD531B" w:rsidP="00DD531B">
            <w:pPr>
              <w:spacing w:after="0" w:line="240" w:lineRule="auto"/>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dividendy</w:t>
            </w:r>
          </w:p>
        </w:tc>
        <w:tc>
          <w:tcPr>
            <w:tcW w:w="359" w:type="pct"/>
            <w:tcBorders>
              <w:top w:val="nil"/>
              <w:left w:val="nil"/>
              <w:bottom w:val="nil"/>
              <w:right w:val="nil"/>
            </w:tcBorders>
            <w:shd w:val="clear" w:color="auto" w:fill="auto"/>
            <w:noWrap/>
            <w:vAlign w:val="bottom"/>
            <w:hideMark/>
          </w:tcPr>
          <w:p w14:paraId="6432FC41"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5 000</w:t>
            </w:r>
          </w:p>
        </w:tc>
        <w:tc>
          <w:tcPr>
            <w:tcW w:w="359" w:type="pct"/>
            <w:tcBorders>
              <w:top w:val="nil"/>
              <w:left w:val="nil"/>
              <w:bottom w:val="nil"/>
              <w:right w:val="nil"/>
            </w:tcBorders>
            <w:shd w:val="clear" w:color="auto" w:fill="auto"/>
            <w:noWrap/>
            <w:vAlign w:val="bottom"/>
            <w:hideMark/>
          </w:tcPr>
          <w:p w14:paraId="130443C0"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4 500</w:t>
            </w:r>
          </w:p>
        </w:tc>
        <w:tc>
          <w:tcPr>
            <w:tcW w:w="421" w:type="pct"/>
            <w:tcBorders>
              <w:top w:val="nil"/>
              <w:left w:val="nil"/>
              <w:bottom w:val="nil"/>
              <w:right w:val="nil"/>
            </w:tcBorders>
            <w:shd w:val="clear" w:color="auto" w:fill="auto"/>
            <w:noWrap/>
            <w:vAlign w:val="bottom"/>
            <w:hideMark/>
          </w:tcPr>
          <w:p w14:paraId="25A7D313"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4 500</w:t>
            </w:r>
          </w:p>
        </w:tc>
        <w:tc>
          <w:tcPr>
            <w:tcW w:w="585" w:type="pct"/>
            <w:tcBorders>
              <w:top w:val="nil"/>
              <w:left w:val="nil"/>
              <w:bottom w:val="nil"/>
              <w:right w:val="nil"/>
            </w:tcBorders>
            <w:shd w:val="clear" w:color="auto" w:fill="auto"/>
            <w:noWrap/>
            <w:vAlign w:val="bottom"/>
            <w:hideMark/>
          </w:tcPr>
          <w:p w14:paraId="32594DD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1 990</w:t>
            </w:r>
          </w:p>
        </w:tc>
        <w:tc>
          <w:tcPr>
            <w:tcW w:w="483" w:type="pct"/>
            <w:tcBorders>
              <w:top w:val="nil"/>
              <w:left w:val="nil"/>
              <w:bottom w:val="nil"/>
              <w:right w:val="nil"/>
            </w:tcBorders>
            <w:shd w:val="clear" w:color="auto" w:fill="auto"/>
            <w:noWrap/>
            <w:vAlign w:val="bottom"/>
            <w:hideMark/>
          </w:tcPr>
          <w:p w14:paraId="270B9443"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403</w:t>
            </w:r>
          </w:p>
        </w:tc>
        <w:tc>
          <w:tcPr>
            <w:tcW w:w="359" w:type="pct"/>
            <w:tcBorders>
              <w:top w:val="nil"/>
              <w:left w:val="nil"/>
              <w:bottom w:val="nil"/>
              <w:right w:val="nil"/>
            </w:tcBorders>
            <w:shd w:val="clear" w:color="auto" w:fill="auto"/>
            <w:noWrap/>
            <w:vAlign w:val="bottom"/>
            <w:hideMark/>
          </w:tcPr>
          <w:p w14:paraId="02438471"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59" w:type="pct"/>
            <w:tcBorders>
              <w:top w:val="nil"/>
              <w:left w:val="nil"/>
              <w:bottom w:val="nil"/>
              <w:right w:val="nil"/>
            </w:tcBorders>
            <w:shd w:val="clear" w:color="auto" w:fill="auto"/>
            <w:noWrap/>
            <w:vAlign w:val="bottom"/>
            <w:hideMark/>
          </w:tcPr>
          <w:p w14:paraId="733C9C12"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r>
      <w:tr w:rsidR="00DD531B" w:rsidRPr="00DD531B" w14:paraId="62797835" w14:textId="77777777" w:rsidTr="001F24AE">
        <w:trPr>
          <w:trHeight w:val="300"/>
        </w:trPr>
        <w:tc>
          <w:tcPr>
            <w:tcW w:w="2074" w:type="pct"/>
            <w:tcBorders>
              <w:top w:val="nil"/>
              <w:left w:val="nil"/>
              <w:bottom w:val="nil"/>
              <w:right w:val="nil"/>
            </w:tcBorders>
            <w:shd w:val="clear" w:color="auto" w:fill="auto"/>
            <w:noWrap/>
            <w:vAlign w:val="bottom"/>
            <w:hideMark/>
          </w:tcPr>
          <w:p w14:paraId="5D9C1ADB" w14:textId="77777777" w:rsidR="00DD531B" w:rsidRPr="00661122" w:rsidRDefault="00DD531B" w:rsidP="00DD531B">
            <w:pPr>
              <w:spacing w:after="0" w:line="240" w:lineRule="auto"/>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granty a transfery, v tom:</w:t>
            </w:r>
          </w:p>
        </w:tc>
        <w:tc>
          <w:tcPr>
            <w:tcW w:w="359" w:type="pct"/>
            <w:tcBorders>
              <w:top w:val="nil"/>
              <w:left w:val="nil"/>
              <w:bottom w:val="nil"/>
              <w:right w:val="nil"/>
            </w:tcBorders>
            <w:shd w:val="clear" w:color="auto" w:fill="auto"/>
            <w:noWrap/>
            <w:vAlign w:val="bottom"/>
            <w:hideMark/>
          </w:tcPr>
          <w:p w14:paraId="48BF2B7C"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283 806</w:t>
            </w:r>
          </w:p>
        </w:tc>
        <w:tc>
          <w:tcPr>
            <w:tcW w:w="359" w:type="pct"/>
            <w:tcBorders>
              <w:top w:val="nil"/>
              <w:left w:val="nil"/>
              <w:bottom w:val="nil"/>
              <w:right w:val="nil"/>
            </w:tcBorders>
            <w:shd w:val="clear" w:color="auto" w:fill="auto"/>
            <w:noWrap/>
            <w:vAlign w:val="bottom"/>
            <w:hideMark/>
          </w:tcPr>
          <w:p w14:paraId="68F40B6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211 526</w:t>
            </w:r>
          </w:p>
        </w:tc>
        <w:tc>
          <w:tcPr>
            <w:tcW w:w="421" w:type="pct"/>
            <w:tcBorders>
              <w:top w:val="nil"/>
              <w:left w:val="nil"/>
              <w:bottom w:val="nil"/>
              <w:right w:val="nil"/>
            </w:tcBorders>
            <w:shd w:val="clear" w:color="auto" w:fill="auto"/>
            <w:noWrap/>
            <w:vAlign w:val="bottom"/>
            <w:hideMark/>
          </w:tcPr>
          <w:p w14:paraId="7566B36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462 577</w:t>
            </w:r>
          </w:p>
        </w:tc>
        <w:tc>
          <w:tcPr>
            <w:tcW w:w="585" w:type="pct"/>
            <w:tcBorders>
              <w:top w:val="nil"/>
              <w:left w:val="nil"/>
              <w:bottom w:val="nil"/>
              <w:right w:val="nil"/>
            </w:tcBorders>
            <w:shd w:val="clear" w:color="auto" w:fill="auto"/>
            <w:noWrap/>
            <w:vAlign w:val="bottom"/>
            <w:hideMark/>
          </w:tcPr>
          <w:p w14:paraId="7FFD64B5"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321 317</w:t>
            </w:r>
          </w:p>
        </w:tc>
        <w:tc>
          <w:tcPr>
            <w:tcW w:w="483" w:type="pct"/>
            <w:tcBorders>
              <w:top w:val="nil"/>
              <w:left w:val="nil"/>
              <w:bottom w:val="nil"/>
              <w:right w:val="nil"/>
            </w:tcBorders>
            <w:shd w:val="clear" w:color="auto" w:fill="auto"/>
            <w:noWrap/>
            <w:vAlign w:val="bottom"/>
            <w:hideMark/>
          </w:tcPr>
          <w:p w14:paraId="370D8258"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72 105</w:t>
            </w:r>
          </w:p>
        </w:tc>
        <w:tc>
          <w:tcPr>
            <w:tcW w:w="359" w:type="pct"/>
            <w:tcBorders>
              <w:top w:val="nil"/>
              <w:left w:val="nil"/>
              <w:bottom w:val="nil"/>
              <w:right w:val="nil"/>
            </w:tcBorders>
            <w:shd w:val="clear" w:color="auto" w:fill="auto"/>
            <w:noWrap/>
            <w:vAlign w:val="bottom"/>
            <w:hideMark/>
          </w:tcPr>
          <w:p w14:paraId="1C4E36EC"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231 540</w:t>
            </w:r>
          </w:p>
        </w:tc>
        <w:tc>
          <w:tcPr>
            <w:tcW w:w="359" w:type="pct"/>
            <w:tcBorders>
              <w:top w:val="nil"/>
              <w:left w:val="nil"/>
              <w:bottom w:val="nil"/>
              <w:right w:val="nil"/>
            </w:tcBorders>
            <w:shd w:val="clear" w:color="auto" w:fill="auto"/>
            <w:noWrap/>
            <w:vAlign w:val="bottom"/>
            <w:hideMark/>
          </w:tcPr>
          <w:p w14:paraId="7F9DC41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379 882</w:t>
            </w:r>
          </w:p>
        </w:tc>
      </w:tr>
      <w:tr w:rsidR="00DD531B" w:rsidRPr="00DD531B" w14:paraId="3ED1D304" w14:textId="77777777" w:rsidTr="001F24AE">
        <w:trPr>
          <w:trHeight w:val="300"/>
        </w:trPr>
        <w:tc>
          <w:tcPr>
            <w:tcW w:w="2074" w:type="pct"/>
            <w:tcBorders>
              <w:top w:val="nil"/>
              <w:left w:val="nil"/>
              <w:bottom w:val="nil"/>
              <w:right w:val="nil"/>
            </w:tcBorders>
            <w:shd w:val="clear" w:color="auto" w:fill="auto"/>
            <w:noWrap/>
            <w:vAlign w:val="bottom"/>
            <w:hideMark/>
          </w:tcPr>
          <w:p w14:paraId="690563D7" w14:textId="77777777" w:rsidR="00DD531B" w:rsidRPr="00661122" w:rsidRDefault="00DD531B" w:rsidP="00DD531B">
            <w:pPr>
              <w:spacing w:after="0" w:line="240" w:lineRule="auto"/>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prostriedky EÚ</w:t>
            </w:r>
          </w:p>
        </w:tc>
        <w:tc>
          <w:tcPr>
            <w:tcW w:w="359" w:type="pct"/>
            <w:tcBorders>
              <w:top w:val="nil"/>
              <w:left w:val="nil"/>
              <w:bottom w:val="nil"/>
              <w:right w:val="nil"/>
            </w:tcBorders>
            <w:shd w:val="clear" w:color="auto" w:fill="auto"/>
            <w:noWrap/>
            <w:vAlign w:val="bottom"/>
            <w:hideMark/>
          </w:tcPr>
          <w:p w14:paraId="0ED4201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283 806</w:t>
            </w:r>
          </w:p>
        </w:tc>
        <w:tc>
          <w:tcPr>
            <w:tcW w:w="359" w:type="pct"/>
            <w:tcBorders>
              <w:top w:val="nil"/>
              <w:left w:val="nil"/>
              <w:bottom w:val="nil"/>
              <w:right w:val="nil"/>
            </w:tcBorders>
            <w:shd w:val="clear" w:color="auto" w:fill="auto"/>
            <w:noWrap/>
            <w:vAlign w:val="bottom"/>
            <w:hideMark/>
          </w:tcPr>
          <w:p w14:paraId="7AE0359F"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211 525</w:t>
            </w:r>
          </w:p>
        </w:tc>
        <w:tc>
          <w:tcPr>
            <w:tcW w:w="421" w:type="pct"/>
            <w:tcBorders>
              <w:top w:val="nil"/>
              <w:left w:val="nil"/>
              <w:bottom w:val="nil"/>
              <w:right w:val="nil"/>
            </w:tcBorders>
            <w:shd w:val="clear" w:color="auto" w:fill="auto"/>
            <w:noWrap/>
            <w:vAlign w:val="bottom"/>
            <w:hideMark/>
          </w:tcPr>
          <w:p w14:paraId="06760D1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462 577</w:t>
            </w:r>
          </w:p>
        </w:tc>
        <w:tc>
          <w:tcPr>
            <w:tcW w:w="585" w:type="pct"/>
            <w:tcBorders>
              <w:top w:val="nil"/>
              <w:left w:val="nil"/>
              <w:bottom w:val="nil"/>
              <w:right w:val="nil"/>
            </w:tcBorders>
            <w:shd w:val="clear" w:color="auto" w:fill="auto"/>
            <w:noWrap/>
            <w:vAlign w:val="bottom"/>
            <w:hideMark/>
          </w:tcPr>
          <w:p w14:paraId="79E14721"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321 317</w:t>
            </w:r>
          </w:p>
        </w:tc>
        <w:tc>
          <w:tcPr>
            <w:tcW w:w="483" w:type="pct"/>
            <w:tcBorders>
              <w:top w:val="nil"/>
              <w:left w:val="nil"/>
              <w:bottom w:val="nil"/>
              <w:right w:val="nil"/>
            </w:tcBorders>
            <w:shd w:val="clear" w:color="auto" w:fill="auto"/>
            <w:noWrap/>
            <w:vAlign w:val="bottom"/>
            <w:hideMark/>
          </w:tcPr>
          <w:p w14:paraId="5272AF0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72 105</w:t>
            </w:r>
          </w:p>
        </w:tc>
        <w:tc>
          <w:tcPr>
            <w:tcW w:w="359" w:type="pct"/>
            <w:tcBorders>
              <w:top w:val="nil"/>
              <w:left w:val="nil"/>
              <w:bottom w:val="nil"/>
              <w:right w:val="nil"/>
            </w:tcBorders>
            <w:shd w:val="clear" w:color="auto" w:fill="auto"/>
            <w:noWrap/>
            <w:vAlign w:val="bottom"/>
            <w:hideMark/>
          </w:tcPr>
          <w:p w14:paraId="14B18B11"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231 540</w:t>
            </w:r>
          </w:p>
        </w:tc>
        <w:tc>
          <w:tcPr>
            <w:tcW w:w="359" w:type="pct"/>
            <w:tcBorders>
              <w:top w:val="nil"/>
              <w:left w:val="nil"/>
              <w:bottom w:val="nil"/>
              <w:right w:val="nil"/>
            </w:tcBorders>
            <w:shd w:val="clear" w:color="auto" w:fill="auto"/>
            <w:noWrap/>
            <w:vAlign w:val="bottom"/>
            <w:hideMark/>
          </w:tcPr>
          <w:p w14:paraId="7A30D7C0"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379 882</w:t>
            </w:r>
          </w:p>
        </w:tc>
      </w:tr>
      <w:tr w:rsidR="00DD531B" w:rsidRPr="00DD531B" w14:paraId="3853410F" w14:textId="77777777" w:rsidTr="001F24AE">
        <w:trPr>
          <w:trHeight w:val="300"/>
        </w:trPr>
        <w:tc>
          <w:tcPr>
            <w:tcW w:w="2074" w:type="pct"/>
            <w:tcBorders>
              <w:top w:val="nil"/>
              <w:left w:val="nil"/>
              <w:bottom w:val="single" w:sz="4" w:space="0" w:color="auto"/>
              <w:right w:val="nil"/>
            </w:tcBorders>
            <w:shd w:val="clear" w:color="auto" w:fill="auto"/>
            <w:noWrap/>
            <w:vAlign w:val="bottom"/>
            <w:hideMark/>
          </w:tcPr>
          <w:p w14:paraId="12991A72" w14:textId="77777777" w:rsidR="00DD531B" w:rsidRPr="00661122" w:rsidRDefault="00DD531B" w:rsidP="00DD531B">
            <w:pPr>
              <w:spacing w:after="0" w:line="240" w:lineRule="auto"/>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iné</w:t>
            </w:r>
          </w:p>
        </w:tc>
        <w:tc>
          <w:tcPr>
            <w:tcW w:w="359" w:type="pct"/>
            <w:tcBorders>
              <w:top w:val="nil"/>
              <w:left w:val="nil"/>
              <w:bottom w:val="single" w:sz="4" w:space="0" w:color="auto"/>
              <w:right w:val="nil"/>
            </w:tcBorders>
            <w:shd w:val="clear" w:color="auto" w:fill="auto"/>
            <w:noWrap/>
            <w:vAlign w:val="bottom"/>
            <w:hideMark/>
          </w:tcPr>
          <w:p w14:paraId="169840A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59" w:type="pct"/>
            <w:tcBorders>
              <w:top w:val="nil"/>
              <w:left w:val="nil"/>
              <w:bottom w:val="single" w:sz="4" w:space="0" w:color="auto"/>
              <w:right w:val="nil"/>
            </w:tcBorders>
            <w:shd w:val="clear" w:color="auto" w:fill="auto"/>
            <w:noWrap/>
            <w:vAlign w:val="bottom"/>
            <w:hideMark/>
          </w:tcPr>
          <w:p w14:paraId="69F5648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w:t>
            </w:r>
          </w:p>
        </w:tc>
        <w:tc>
          <w:tcPr>
            <w:tcW w:w="421" w:type="pct"/>
            <w:tcBorders>
              <w:top w:val="nil"/>
              <w:left w:val="nil"/>
              <w:bottom w:val="single" w:sz="4" w:space="0" w:color="auto"/>
              <w:right w:val="nil"/>
            </w:tcBorders>
            <w:shd w:val="clear" w:color="auto" w:fill="auto"/>
            <w:noWrap/>
            <w:vAlign w:val="bottom"/>
            <w:hideMark/>
          </w:tcPr>
          <w:p w14:paraId="061EF77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585" w:type="pct"/>
            <w:tcBorders>
              <w:top w:val="nil"/>
              <w:left w:val="nil"/>
              <w:bottom w:val="single" w:sz="4" w:space="0" w:color="auto"/>
              <w:right w:val="nil"/>
            </w:tcBorders>
            <w:shd w:val="clear" w:color="auto" w:fill="auto"/>
            <w:noWrap/>
            <w:vAlign w:val="bottom"/>
            <w:hideMark/>
          </w:tcPr>
          <w:p w14:paraId="6D08A1A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483" w:type="pct"/>
            <w:tcBorders>
              <w:top w:val="nil"/>
              <w:left w:val="nil"/>
              <w:bottom w:val="single" w:sz="4" w:space="0" w:color="auto"/>
              <w:right w:val="nil"/>
            </w:tcBorders>
            <w:shd w:val="clear" w:color="auto" w:fill="auto"/>
            <w:noWrap/>
            <w:vAlign w:val="bottom"/>
            <w:hideMark/>
          </w:tcPr>
          <w:p w14:paraId="7F2EE63F"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59" w:type="pct"/>
            <w:tcBorders>
              <w:top w:val="nil"/>
              <w:left w:val="nil"/>
              <w:bottom w:val="single" w:sz="4" w:space="0" w:color="auto"/>
              <w:right w:val="nil"/>
            </w:tcBorders>
            <w:shd w:val="clear" w:color="auto" w:fill="auto"/>
            <w:noWrap/>
            <w:vAlign w:val="bottom"/>
            <w:hideMark/>
          </w:tcPr>
          <w:p w14:paraId="454409E1"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59" w:type="pct"/>
            <w:tcBorders>
              <w:top w:val="nil"/>
              <w:left w:val="nil"/>
              <w:bottom w:val="single" w:sz="4" w:space="0" w:color="auto"/>
              <w:right w:val="nil"/>
            </w:tcBorders>
            <w:shd w:val="clear" w:color="auto" w:fill="auto"/>
            <w:noWrap/>
            <w:vAlign w:val="bottom"/>
            <w:hideMark/>
          </w:tcPr>
          <w:p w14:paraId="5E3BD47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r>
    </w:tbl>
    <w:p w14:paraId="6CF3B623" w14:textId="77777777" w:rsidR="00DD531B" w:rsidRPr="00DD531B" w:rsidRDefault="00DD531B" w:rsidP="00DD531B">
      <w:pPr>
        <w:rPr>
          <w:rFonts w:ascii="Times New Roman" w:eastAsia="Calibri" w:hAnsi="Times New Roman" w:cs="Times New Roman"/>
        </w:rPr>
      </w:pPr>
    </w:p>
    <w:p w14:paraId="5C9F46D0" w14:textId="5AA451BF" w:rsidR="00DD531B" w:rsidRPr="00661122" w:rsidRDefault="00661122"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22" w:name="_Toc153013092"/>
      <w:r w:rsidRPr="00661122">
        <w:rPr>
          <w:rFonts w:ascii="Times New Roman" w:eastAsia="Times New Roman" w:hAnsi="Times New Roman" w:cs="Times New Roman"/>
          <w:b/>
          <w:iCs/>
          <w:color w:val="5B9BD5" w:themeColor="accent1"/>
          <w:sz w:val="20"/>
          <w:szCs w:val="20"/>
          <w:lang w:eastAsia="sk-SK"/>
        </w:rPr>
        <w:t xml:space="preserve">Tabuľka </w:t>
      </w:r>
      <w:r w:rsidRPr="00661122">
        <w:rPr>
          <w:rFonts w:ascii="Times New Roman" w:hAnsi="Times New Roman" w:cs="Times New Roman"/>
          <w:b/>
          <w:color w:val="5B9BD5" w:themeColor="accent1"/>
          <w:sz w:val="20"/>
          <w:szCs w:val="20"/>
        </w:rPr>
        <w:fldChar w:fldCharType="begin"/>
      </w:r>
      <w:r w:rsidRPr="00661122">
        <w:rPr>
          <w:rFonts w:ascii="Times New Roman" w:hAnsi="Times New Roman" w:cs="Times New Roman"/>
          <w:b/>
          <w:color w:val="5B9BD5" w:themeColor="accent1"/>
          <w:sz w:val="20"/>
          <w:szCs w:val="20"/>
        </w:rPr>
        <w:instrText xml:space="preserve"> SEQ Tabuľka \* ARABIC </w:instrText>
      </w:r>
      <w:r w:rsidRPr="00661122">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94</w:t>
      </w:r>
      <w:r w:rsidRPr="00661122">
        <w:rPr>
          <w:rFonts w:ascii="Times New Roman" w:hAnsi="Times New Roman" w:cs="Times New Roman"/>
          <w:b/>
          <w:color w:val="5B9BD5" w:themeColor="accent1"/>
          <w:sz w:val="20"/>
          <w:szCs w:val="20"/>
        </w:rPr>
        <w:fldChar w:fldCharType="end"/>
      </w:r>
      <w:r w:rsidRPr="00661122">
        <w:rPr>
          <w:rFonts w:ascii="Times New Roman" w:hAnsi="Times New Roman" w:cs="Times New Roman"/>
          <w:b/>
          <w:color w:val="5B9BD5" w:themeColor="accent1"/>
          <w:sz w:val="20"/>
          <w:szCs w:val="20"/>
        </w:rPr>
        <w:t xml:space="preserve"> </w:t>
      </w:r>
      <w:r w:rsidRPr="00661122">
        <w:rPr>
          <w:rFonts w:ascii="Times New Roman" w:eastAsia="Times New Roman" w:hAnsi="Times New Roman" w:cs="Times New Roman"/>
          <w:b/>
          <w:iCs/>
          <w:color w:val="5B9BD5" w:themeColor="accent1"/>
          <w:sz w:val="20"/>
          <w:szCs w:val="20"/>
          <w:lang w:eastAsia="sk-SK"/>
        </w:rPr>
        <w:t xml:space="preserve">- </w:t>
      </w:r>
      <w:r w:rsidR="00DD531B" w:rsidRPr="00661122">
        <w:rPr>
          <w:rFonts w:ascii="Times New Roman" w:eastAsia="Times New Roman" w:hAnsi="Times New Roman" w:cs="Times New Roman"/>
          <w:b/>
          <w:iCs/>
          <w:color w:val="5B9BD5" w:themeColor="accent1"/>
          <w:sz w:val="20"/>
          <w:szCs w:val="20"/>
          <w:lang w:eastAsia="sk-SK"/>
        </w:rPr>
        <w:t>Výdavky kapitoly MH SR</w:t>
      </w:r>
      <w:bookmarkEnd w:id="222"/>
    </w:p>
    <w:tbl>
      <w:tblPr>
        <w:tblW w:w="5000" w:type="pct"/>
        <w:tblCellMar>
          <w:left w:w="70" w:type="dxa"/>
          <w:right w:w="70" w:type="dxa"/>
        </w:tblCellMar>
        <w:tblLook w:val="04A0" w:firstRow="1" w:lastRow="0" w:firstColumn="1" w:lastColumn="0" w:noHBand="0" w:noVBand="1"/>
      </w:tblPr>
      <w:tblGrid>
        <w:gridCol w:w="3747"/>
        <w:gridCol w:w="660"/>
        <w:gridCol w:w="660"/>
        <w:gridCol w:w="780"/>
        <w:gridCol w:w="1045"/>
        <w:gridCol w:w="860"/>
        <w:gridCol w:w="660"/>
        <w:gridCol w:w="660"/>
      </w:tblGrid>
      <w:tr w:rsidR="00DD531B" w:rsidRPr="00661122" w14:paraId="362A9B2D" w14:textId="77777777" w:rsidTr="001F24AE">
        <w:trPr>
          <w:trHeight w:val="300"/>
        </w:trPr>
        <w:tc>
          <w:tcPr>
            <w:tcW w:w="2074" w:type="pct"/>
            <w:tcBorders>
              <w:top w:val="single" w:sz="4" w:space="0" w:color="auto"/>
              <w:left w:val="nil"/>
              <w:bottom w:val="single" w:sz="4" w:space="0" w:color="auto"/>
              <w:right w:val="nil"/>
            </w:tcBorders>
            <w:shd w:val="clear" w:color="auto" w:fill="auto"/>
            <w:noWrap/>
            <w:vAlign w:val="center"/>
            <w:hideMark/>
          </w:tcPr>
          <w:p w14:paraId="656C7B31" w14:textId="77777777" w:rsidR="00DD531B" w:rsidRPr="00661122" w:rsidRDefault="00DD531B" w:rsidP="00DD531B">
            <w:pPr>
              <w:spacing w:after="0" w:line="240" w:lineRule="auto"/>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v tis. eur</w:t>
            </w:r>
          </w:p>
        </w:tc>
        <w:tc>
          <w:tcPr>
            <w:tcW w:w="359" w:type="pct"/>
            <w:tcBorders>
              <w:top w:val="single" w:sz="4" w:space="0" w:color="auto"/>
              <w:left w:val="nil"/>
              <w:bottom w:val="single" w:sz="4" w:space="0" w:color="auto"/>
              <w:right w:val="nil"/>
            </w:tcBorders>
            <w:shd w:val="clear" w:color="auto" w:fill="auto"/>
            <w:noWrap/>
            <w:vAlign w:val="center"/>
            <w:hideMark/>
          </w:tcPr>
          <w:p w14:paraId="0DBEFAA5"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2021 S</w:t>
            </w:r>
          </w:p>
        </w:tc>
        <w:tc>
          <w:tcPr>
            <w:tcW w:w="359" w:type="pct"/>
            <w:tcBorders>
              <w:top w:val="single" w:sz="4" w:space="0" w:color="auto"/>
              <w:left w:val="nil"/>
              <w:bottom w:val="single" w:sz="4" w:space="0" w:color="auto"/>
              <w:right w:val="nil"/>
            </w:tcBorders>
            <w:shd w:val="clear" w:color="auto" w:fill="auto"/>
            <w:noWrap/>
            <w:vAlign w:val="center"/>
            <w:hideMark/>
          </w:tcPr>
          <w:p w14:paraId="72A2385F"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2022 S</w:t>
            </w:r>
          </w:p>
        </w:tc>
        <w:tc>
          <w:tcPr>
            <w:tcW w:w="421" w:type="pct"/>
            <w:tcBorders>
              <w:top w:val="single" w:sz="4" w:space="0" w:color="auto"/>
              <w:left w:val="nil"/>
              <w:bottom w:val="single" w:sz="4" w:space="0" w:color="auto"/>
              <w:right w:val="nil"/>
            </w:tcBorders>
            <w:shd w:val="clear" w:color="auto" w:fill="auto"/>
            <w:noWrap/>
            <w:vAlign w:val="center"/>
            <w:hideMark/>
          </w:tcPr>
          <w:p w14:paraId="545989B3"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2023 R</w:t>
            </w:r>
          </w:p>
        </w:tc>
        <w:tc>
          <w:tcPr>
            <w:tcW w:w="585" w:type="pct"/>
            <w:tcBorders>
              <w:top w:val="single" w:sz="4" w:space="0" w:color="auto"/>
              <w:left w:val="nil"/>
              <w:bottom w:val="single" w:sz="4" w:space="0" w:color="auto"/>
              <w:right w:val="nil"/>
            </w:tcBorders>
            <w:shd w:val="clear" w:color="auto" w:fill="auto"/>
            <w:noWrap/>
            <w:vAlign w:val="center"/>
            <w:hideMark/>
          </w:tcPr>
          <w:p w14:paraId="0A04752B"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2023 OS</w:t>
            </w:r>
          </w:p>
        </w:tc>
        <w:tc>
          <w:tcPr>
            <w:tcW w:w="483" w:type="pct"/>
            <w:tcBorders>
              <w:top w:val="single" w:sz="4" w:space="0" w:color="auto"/>
              <w:left w:val="nil"/>
              <w:bottom w:val="single" w:sz="4" w:space="0" w:color="auto"/>
              <w:right w:val="nil"/>
            </w:tcBorders>
            <w:shd w:val="clear" w:color="auto" w:fill="auto"/>
            <w:noWrap/>
            <w:vAlign w:val="center"/>
            <w:hideMark/>
          </w:tcPr>
          <w:p w14:paraId="680F9DA1"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2024 N</w:t>
            </w:r>
          </w:p>
        </w:tc>
        <w:tc>
          <w:tcPr>
            <w:tcW w:w="359" w:type="pct"/>
            <w:tcBorders>
              <w:top w:val="single" w:sz="4" w:space="0" w:color="auto"/>
              <w:left w:val="nil"/>
              <w:bottom w:val="single" w:sz="4" w:space="0" w:color="auto"/>
              <w:right w:val="nil"/>
            </w:tcBorders>
            <w:shd w:val="clear" w:color="auto" w:fill="auto"/>
            <w:noWrap/>
            <w:vAlign w:val="center"/>
            <w:hideMark/>
          </w:tcPr>
          <w:p w14:paraId="3A1F0D5E"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2025 N</w:t>
            </w:r>
          </w:p>
        </w:tc>
        <w:tc>
          <w:tcPr>
            <w:tcW w:w="359" w:type="pct"/>
            <w:tcBorders>
              <w:top w:val="single" w:sz="4" w:space="0" w:color="auto"/>
              <w:left w:val="nil"/>
              <w:bottom w:val="single" w:sz="4" w:space="0" w:color="auto"/>
              <w:right w:val="nil"/>
            </w:tcBorders>
            <w:shd w:val="clear" w:color="auto" w:fill="auto"/>
            <w:noWrap/>
            <w:vAlign w:val="center"/>
            <w:hideMark/>
          </w:tcPr>
          <w:p w14:paraId="5450ADDB"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2026 N</w:t>
            </w:r>
          </w:p>
        </w:tc>
      </w:tr>
      <w:tr w:rsidR="00DD531B" w:rsidRPr="00661122" w14:paraId="2E033260" w14:textId="77777777" w:rsidTr="001F24AE">
        <w:trPr>
          <w:trHeight w:val="300"/>
        </w:trPr>
        <w:tc>
          <w:tcPr>
            <w:tcW w:w="2074" w:type="pct"/>
            <w:tcBorders>
              <w:top w:val="nil"/>
              <w:left w:val="nil"/>
              <w:bottom w:val="nil"/>
              <w:right w:val="nil"/>
            </w:tcBorders>
            <w:shd w:val="clear" w:color="auto" w:fill="auto"/>
            <w:noWrap/>
            <w:vAlign w:val="center"/>
            <w:hideMark/>
          </w:tcPr>
          <w:p w14:paraId="1B8FE76A" w14:textId="77777777" w:rsidR="00DD531B" w:rsidRPr="00661122" w:rsidRDefault="00DD531B" w:rsidP="00DD531B">
            <w:pPr>
              <w:spacing w:after="0" w:line="240" w:lineRule="auto"/>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Výdavky kapitoly spolu</w:t>
            </w:r>
          </w:p>
        </w:tc>
        <w:tc>
          <w:tcPr>
            <w:tcW w:w="359" w:type="pct"/>
            <w:tcBorders>
              <w:top w:val="nil"/>
              <w:left w:val="nil"/>
              <w:bottom w:val="nil"/>
              <w:right w:val="nil"/>
            </w:tcBorders>
            <w:shd w:val="clear" w:color="auto" w:fill="auto"/>
            <w:noWrap/>
            <w:vAlign w:val="center"/>
            <w:hideMark/>
          </w:tcPr>
          <w:p w14:paraId="7AAD8DB8"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729 265</w:t>
            </w:r>
          </w:p>
        </w:tc>
        <w:tc>
          <w:tcPr>
            <w:tcW w:w="359" w:type="pct"/>
            <w:tcBorders>
              <w:top w:val="nil"/>
              <w:left w:val="nil"/>
              <w:bottom w:val="nil"/>
              <w:right w:val="nil"/>
            </w:tcBorders>
            <w:shd w:val="clear" w:color="auto" w:fill="auto"/>
            <w:noWrap/>
            <w:vAlign w:val="center"/>
            <w:hideMark/>
          </w:tcPr>
          <w:p w14:paraId="6F22BF3B"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635 328</w:t>
            </w:r>
          </w:p>
        </w:tc>
        <w:tc>
          <w:tcPr>
            <w:tcW w:w="421" w:type="pct"/>
            <w:tcBorders>
              <w:top w:val="nil"/>
              <w:left w:val="nil"/>
              <w:bottom w:val="nil"/>
              <w:right w:val="nil"/>
            </w:tcBorders>
            <w:shd w:val="clear" w:color="auto" w:fill="auto"/>
            <w:noWrap/>
            <w:vAlign w:val="center"/>
            <w:hideMark/>
          </w:tcPr>
          <w:p w14:paraId="230F3026"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2 249 042</w:t>
            </w:r>
          </w:p>
        </w:tc>
        <w:tc>
          <w:tcPr>
            <w:tcW w:w="585" w:type="pct"/>
            <w:tcBorders>
              <w:top w:val="nil"/>
              <w:left w:val="nil"/>
              <w:bottom w:val="nil"/>
              <w:right w:val="nil"/>
            </w:tcBorders>
            <w:shd w:val="clear" w:color="auto" w:fill="auto"/>
            <w:noWrap/>
            <w:vAlign w:val="center"/>
            <w:hideMark/>
          </w:tcPr>
          <w:p w14:paraId="18B6E312"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3 461 287</w:t>
            </w:r>
          </w:p>
        </w:tc>
        <w:tc>
          <w:tcPr>
            <w:tcW w:w="483" w:type="pct"/>
            <w:tcBorders>
              <w:top w:val="nil"/>
              <w:left w:val="nil"/>
              <w:bottom w:val="nil"/>
              <w:right w:val="nil"/>
            </w:tcBorders>
            <w:shd w:val="clear" w:color="auto" w:fill="auto"/>
            <w:noWrap/>
            <w:vAlign w:val="center"/>
            <w:hideMark/>
          </w:tcPr>
          <w:p w14:paraId="3B31E508"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412 425</w:t>
            </w:r>
          </w:p>
        </w:tc>
        <w:tc>
          <w:tcPr>
            <w:tcW w:w="359" w:type="pct"/>
            <w:tcBorders>
              <w:top w:val="nil"/>
              <w:left w:val="nil"/>
              <w:bottom w:val="nil"/>
              <w:right w:val="nil"/>
            </w:tcBorders>
            <w:shd w:val="clear" w:color="auto" w:fill="auto"/>
            <w:noWrap/>
            <w:vAlign w:val="center"/>
            <w:hideMark/>
          </w:tcPr>
          <w:p w14:paraId="042C464B"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562 856</w:t>
            </w:r>
          </w:p>
        </w:tc>
        <w:tc>
          <w:tcPr>
            <w:tcW w:w="359" w:type="pct"/>
            <w:tcBorders>
              <w:top w:val="nil"/>
              <w:left w:val="nil"/>
              <w:bottom w:val="nil"/>
              <w:right w:val="nil"/>
            </w:tcBorders>
            <w:shd w:val="clear" w:color="auto" w:fill="auto"/>
            <w:noWrap/>
            <w:vAlign w:val="center"/>
            <w:hideMark/>
          </w:tcPr>
          <w:p w14:paraId="31914B51"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755 868</w:t>
            </w:r>
          </w:p>
        </w:tc>
      </w:tr>
      <w:tr w:rsidR="00DD531B" w:rsidRPr="00661122" w14:paraId="08B28A7F" w14:textId="77777777" w:rsidTr="001F24AE">
        <w:trPr>
          <w:trHeight w:val="300"/>
        </w:trPr>
        <w:tc>
          <w:tcPr>
            <w:tcW w:w="2074" w:type="pct"/>
            <w:tcBorders>
              <w:top w:val="nil"/>
              <w:left w:val="nil"/>
              <w:bottom w:val="nil"/>
              <w:right w:val="nil"/>
            </w:tcBorders>
            <w:shd w:val="clear" w:color="auto" w:fill="auto"/>
            <w:noWrap/>
            <w:vAlign w:val="bottom"/>
            <w:hideMark/>
          </w:tcPr>
          <w:p w14:paraId="4BB05F72" w14:textId="77777777" w:rsidR="00DD531B" w:rsidRPr="00661122" w:rsidRDefault="00DD531B" w:rsidP="00DD531B">
            <w:pPr>
              <w:spacing w:after="0" w:line="240" w:lineRule="auto"/>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rozpočtové zdroje kapitoly</w:t>
            </w:r>
          </w:p>
        </w:tc>
        <w:tc>
          <w:tcPr>
            <w:tcW w:w="359" w:type="pct"/>
            <w:tcBorders>
              <w:top w:val="nil"/>
              <w:left w:val="nil"/>
              <w:bottom w:val="nil"/>
              <w:right w:val="nil"/>
            </w:tcBorders>
            <w:shd w:val="clear" w:color="auto" w:fill="auto"/>
            <w:noWrap/>
            <w:vAlign w:val="bottom"/>
            <w:hideMark/>
          </w:tcPr>
          <w:p w14:paraId="484A78B2"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321 086</w:t>
            </w:r>
          </w:p>
        </w:tc>
        <w:tc>
          <w:tcPr>
            <w:tcW w:w="359" w:type="pct"/>
            <w:tcBorders>
              <w:top w:val="nil"/>
              <w:left w:val="nil"/>
              <w:bottom w:val="nil"/>
              <w:right w:val="nil"/>
            </w:tcBorders>
            <w:shd w:val="clear" w:color="auto" w:fill="auto"/>
            <w:noWrap/>
            <w:vAlign w:val="bottom"/>
            <w:hideMark/>
          </w:tcPr>
          <w:p w14:paraId="6C052E29"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314 700</w:t>
            </w:r>
          </w:p>
        </w:tc>
        <w:tc>
          <w:tcPr>
            <w:tcW w:w="421" w:type="pct"/>
            <w:tcBorders>
              <w:top w:val="nil"/>
              <w:left w:val="nil"/>
              <w:bottom w:val="nil"/>
              <w:right w:val="nil"/>
            </w:tcBorders>
            <w:shd w:val="clear" w:color="auto" w:fill="auto"/>
            <w:noWrap/>
            <w:vAlign w:val="bottom"/>
            <w:hideMark/>
          </w:tcPr>
          <w:p w14:paraId="1DC8D182"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1 591 990</w:t>
            </w:r>
          </w:p>
        </w:tc>
        <w:tc>
          <w:tcPr>
            <w:tcW w:w="585" w:type="pct"/>
            <w:tcBorders>
              <w:top w:val="nil"/>
              <w:left w:val="nil"/>
              <w:bottom w:val="nil"/>
              <w:right w:val="nil"/>
            </w:tcBorders>
            <w:shd w:val="clear" w:color="auto" w:fill="auto"/>
            <w:noWrap/>
            <w:vAlign w:val="bottom"/>
            <w:hideMark/>
          </w:tcPr>
          <w:p w14:paraId="3C1A3062"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1 331 337</w:t>
            </w:r>
          </w:p>
        </w:tc>
        <w:tc>
          <w:tcPr>
            <w:tcW w:w="483" w:type="pct"/>
            <w:tcBorders>
              <w:top w:val="nil"/>
              <w:left w:val="nil"/>
              <w:bottom w:val="nil"/>
              <w:right w:val="nil"/>
            </w:tcBorders>
            <w:shd w:val="clear" w:color="auto" w:fill="auto"/>
            <w:noWrap/>
            <w:vAlign w:val="bottom"/>
            <w:hideMark/>
          </w:tcPr>
          <w:p w14:paraId="53BEF65E"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180 299</w:t>
            </w:r>
          </w:p>
        </w:tc>
        <w:tc>
          <w:tcPr>
            <w:tcW w:w="359" w:type="pct"/>
            <w:tcBorders>
              <w:top w:val="nil"/>
              <w:left w:val="nil"/>
              <w:bottom w:val="nil"/>
              <w:right w:val="nil"/>
            </w:tcBorders>
            <w:shd w:val="clear" w:color="auto" w:fill="auto"/>
            <w:noWrap/>
            <w:vAlign w:val="bottom"/>
            <w:hideMark/>
          </w:tcPr>
          <w:p w14:paraId="5FFE5B06"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211 636</w:t>
            </w:r>
          </w:p>
        </w:tc>
        <w:tc>
          <w:tcPr>
            <w:tcW w:w="359" w:type="pct"/>
            <w:tcBorders>
              <w:top w:val="nil"/>
              <w:left w:val="nil"/>
              <w:bottom w:val="nil"/>
              <w:right w:val="nil"/>
            </w:tcBorders>
            <w:shd w:val="clear" w:color="auto" w:fill="auto"/>
            <w:noWrap/>
            <w:vAlign w:val="bottom"/>
            <w:hideMark/>
          </w:tcPr>
          <w:p w14:paraId="3BF6DE14"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266 884</w:t>
            </w:r>
          </w:p>
        </w:tc>
      </w:tr>
      <w:tr w:rsidR="00DD531B" w:rsidRPr="00661122" w14:paraId="0A95FCB2" w14:textId="77777777" w:rsidTr="001F24AE">
        <w:trPr>
          <w:trHeight w:val="300"/>
        </w:trPr>
        <w:tc>
          <w:tcPr>
            <w:tcW w:w="2074" w:type="pct"/>
            <w:tcBorders>
              <w:top w:val="nil"/>
              <w:left w:val="nil"/>
              <w:bottom w:val="nil"/>
              <w:right w:val="nil"/>
            </w:tcBorders>
            <w:shd w:val="clear" w:color="auto" w:fill="auto"/>
            <w:noWrap/>
            <w:vAlign w:val="bottom"/>
            <w:hideMark/>
          </w:tcPr>
          <w:p w14:paraId="4477ECD3"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bežné výdavky  600, v tom:</w:t>
            </w:r>
          </w:p>
        </w:tc>
        <w:tc>
          <w:tcPr>
            <w:tcW w:w="359" w:type="pct"/>
            <w:tcBorders>
              <w:top w:val="nil"/>
              <w:left w:val="nil"/>
              <w:bottom w:val="nil"/>
              <w:right w:val="nil"/>
            </w:tcBorders>
            <w:shd w:val="clear" w:color="auto" w:fill="auto"/>
            <w:noWrap/>
            <w:vAlign w:val="bottom"/>
            <w:hideMark/>
          </w:tcPr>
          <w:p w14:paraId="47C5277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314 169</w:t>
            </w:r>
          </w:p>
        </w:tc>
        <w:tc>
          <w:tcPr>
            <w:tcW w:w="359" w:type="pct"/>
            <w:tcBorders>
              <w:top w:val="nil"/>
              <w:left w:val="nil"/>
              <w:bottom w:val="nil"/>
              <w:right w:val="nil"/>
            </w:tcBorders>
            <w:shd w:val="clear" w:color="auto" w:fill="auto"/>
            <w:noWrap/>
            <w:vAlign w:val="bottom"/>
            <w:hideMark/>
          </w:tcPr>
          <w:p w14:paraId="71876DF2"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304 340</w:t>
            </w:r>
          </w:p>
        </w:tc>
        <w:tc>
          <w:tcPr>
            <w:tcW w:w="421" w:type="pct"/>
            <w:tcBorders>
              <w:top w:val="nil"/>
              <w:left w:val="nil"/>
              <w:bottom w:val="nil"/>
              <w:right w:val="nil"/>
            </w:tcBorders>
            <w:shd w:val="clear" w:color="auto" w:fill="auto"/>
            <w:noWrap/>
            <w:vAlign w:val="bottom"/>
            <w:hideMark/>
          </w:tcPr>
          <w:p w14:paraId="7391D0D3"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1 543 702</w:t>
            </w:r>
          </w:p>
        </w:tc>
        <w:tc>
          <w:tcPr>
            <w:tcW w:w="585" w:type="pct"/>
            <w:tcBorders>
              <w:top w:val="nil"/>
              <w:left w:val="nil"/>
              <w:bottom w:val="nil"/>
              <w:right w:val="nil"/>
            </w:tcBorders>
            <w:shd w:val="clear" w:color="auto" w:fill="auto"/>
            <w:noWrap/>
            <w:vAlign w:val="bottom"/>
            <w:hideMark/>
          </w:tcPr>
          <w:p w14:paraId="3C052ED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1 291 503</w:t>
            </w:r>
          </w:p>
        </w:tc>
        <w:tc>
          <w:tcPr>
            <w:tcW w:w="483" w:type="pct"/>
            <w:tcBorders>
              <w:top w:val="nil"/>
              <w:left w:val="nil"/>
              <w:bottom w:val="nil"/>
              <w:right w:val="nil"/>
            </w:tcBorders>
            <w:shd w:val="clear" w:color="auto" w:fill="auto"/>
            <w:noWrap/>
            <w:vAlign w:val="bottom"/>
            <w:hideMark/>
          </w:tcPr>
          <w:p w14:paraId="2DE3594F"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125 278</w:t>
            </w:r>
          </w:p>
        </w:tc>
        <w:tc>
          <w:tcPr>
            <w:tcW w:w="359" w:type="pct"/>
            <w:tcBorders>
              <w:top w:val="nil"/>
              <w:left w:val="nil"/>
              <w:bottom w:val="nil"/>
              <w:right w:val="nil"/>
            </w:tcBorders>
            <w:shd w:val="clear" w:color="auto" w:fill="auto"/>
            <w:noWrap/>
            <w:vAlign w:val="bottom"/>
            <w:hideMark/>
          </w:tcPr>
          <w:p w14:paraId="05E5E5B3"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138 791</w:t>
            </w:r>
          </w:p>
        </w:tc>
        <w:tc>
          <w:tcPr>
            <w:tcW w:w="359" w:type="pct"/>
            <w:tcBorders>
              <w:top w:val="nil"/>
              <w:left w:val="nil"/>
              <w:bottom w:val="nil"/>
              <w:right w:val="nil"/>
            </w:tcBorders>
            <w:shd w:val="clear" w:color="auto" w:fill="auto"/>
            <w:noWrap/>
            <w:vAlign w:val="bottom"/>
            <w:hideMark/>
          </w:tcPr>
          <w:p w14:paraId="5FA9A7C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119 931</w:t>
            </w:r>
          </w:p>
        </w:tc>
      </w:tr>
      <w:tr w:rsidR="00DD531B" w:rsidRPr="00661122" w14:paraId="35E7FE75" w14:textId="77777777" w:rsidTr="001F24AE">
        <w:trPr>
          <w:trHeight w:val="300"/>
        </w:trPr>
        <w:tc>
          <w:tcPr>
            <w:tcW w:w="2074" w:type="pct"/>
            <w:tcBorders>
              <w:top w:val="nil"/>
              <w:left w:val="nil"/>
              <w:bottom w:val="nil"/>
              <w:right w:val="nil"/>
            </w:tcBorders>
            <w:shd w:val="clear" w:color="auto" w:fill="auto"/>
            <w:noWrap/>
            <w:vAlign w:val="bottom"/>
            <w:hideMark/>
          </w:tcPr>
          <w:p w14:paraId="370C011F"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610 mzdy</w:t>
            </w:r>
          </w:p>
        </w:tc>
        <w:tc>
          <w:tcPr>
            <w:tcW w:w="359" w:type="pct"/>
            <w:tcBorders>
              <w:top w:val="nil"/>
              <w:left w:val="nil"/>
              <w:bottom w:val="nil"/>
              <w:right w:val="nil"/>
            </w:tcBorders>
            <w:shd w:val="clear" w:color="auto" w:fill="auto"/>
            <w:noWrap/>
            <w:vAlign w:val="bottom"/>
            <w:hideMark/>
          </w:tcPr>
          <w:p w14:paraId="6293CE8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13 555</w:t>
            </w:r>
          </w:p>
        </w:tc>
        <w:tc>
          <w:tcPr>
            <w:tcW w:w="359" w:type="pct"/>
            <w:tcBorders>
              <w:top w:val="nil"/>
              <w:left w:val="nil"/>
              <w:bottom w:val="nil"/>
              <w:right w:val="nil"/>
            </w:tcBorders>
            <w:shd w:val="clear" w:color="auto" w:fill="auto"/>
            <w:noWrap/>
            <w:vAlign w:val="bottom"/>
            <w:hideMark/>
          </w:tcPr>
          <w:p w14:paraId="5B675A8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17 567</w:t>
            </w:r>
          </w:p>
        </w:tc>
        <w:tc>
          <w:tcPr>
            <w:tcW w:w="421" w:type="pct"/>
            <w:tcBorders>
              <w:top w:val="nil"/>
              <w:left w:val="nil"/>
              <w:bottom w:val="nil"/>
              <w:right w:val="nil"/>
            </w:tcBorders>
            <w:shd w:val="clear" w:color="auto" w:fill="auto"/>
            <w:noWrap/>
            <w:vAlign w:val="bottom"/>
            <w:hideMark/>
          </w:tcPr>
          <w:p w14:paraId="2708B11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15 592</w:t>
            </w:r>
          </w:p>
        </w:tc>
        <w:tc>
          <w:tcPr>
            <w:tcW w:w="585" w:type="pct"/>
            <w:tcBorders>
              <w:top w:val="nil"/>
              <w:left w:val="nil"/>
              <w:bottom w:val="nil"/>
              <w:right w:val="nil"/>
            </w:tcBorders>
            <w:shd w:val="clear" w:color="auto" w:fill="auto"/>
            <w:noWrap/>
            <w:vAlign w:val="bottom"/>
            <w:hideMark/>
          </w:tcPr>
          <w:p w14:paraId="137E236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20 290</w:t>
            </w:r>
          </w:p>
        </w:tc>
        <w:tc>
          <w:tcPr>
            <w:tcW w:w="483" w:type="pct"/>
            <w:tcBorders>
              <w:top w:val="nil"/>
              <w:left w:val="nil"/>
              <w:bottom w:val="nil"/>
              <w:right w:val="nil"/>
            </w:tcBorders>
            <w:shd w:val="clear" w:color="auto" w:fill="auto"/>
            <w:noWrap/>
            <w:vAlign w:val="bottom"/>
            <w:hideMark/>
          </w:tcPr>
          <w:p w14:paraId="69213022"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18 136</w:t>
            </w:r>
          </w:p>
        </w:tc>
        <w:tc>
          <w:tcPr>
            <w:tcW w:w="359" w:type="pct"/>
            <w:tcBorders>
              <w:top w:val="nil"/>
              <w:left w:val="nil"/>
              <w:bottom w:val="nil"/>
              <w:right w:val="nil"/>
            </w:tcBorders>
            <w:shd w:val="clear" w:color="auto" w:fill="auto"/>
            <w:noWrap/>
            <w:vAlign w:val="bottom"/>
            <w:hideMark/>
          </w:tcPr>
          <w:p w14:paraId="39408303"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17 031</w:t>
            </w:r>
          </w:p>
        </w:tc>
        <w:tc>
          <w:tcPr>
            <w:tcW w:w="359" w:type="pct"/>
            <w:tcBorders>
              <w:top w:val="nil"/>
              <w:left w:val="nil"/>
              <w:bottom w:val="nil"/>
              <w:right w:val="nil"/>
            </w:tcBorders>
            <w:shd w:val="clear" w:color="auto" w:fill="auto"/>
            <w:noWrap/>
            <w:vAlign w:val="bottom"/>
            <w:hideMark/>
          </w:tcPr>
          <w:p w14:paraId="7AEECAD3"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16 907</w:t>
            </w:r>
          </w:p>
        </w:tc>
      </w:tr>
      <w:tr w:rsidR="00DD531B" w:rsidRPr="00661122" w14:paraId="4E751E32" w14:textId="77777777" w:rsidTr="001F24AE">
        <w:trPr>
          <w:trHeight w:val="300"/>
        </w:trPr>
        <w:tc>
          <w:tcPr>
            <w:tcW w:w="2074" w:type="pct"/>
            <w:tcBorders>
              <w:top w:val="nil"/>
              <w:left w:val="nil"/>
              <w:bottom w:val="nil"/>
              <w:right w:val="nil"/>
            </w:tcBorders>
            <w:shd w:val="clear" w:color="auto" w:fill="auto"/>
            <w:noWrap/>
            <w:vAlign w:val="bottom"/>
            <w:hideMark/>
          </w:tcPr>
          <w:p w14:paraId="2019A772"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620 odvody</w:t>
            </w:r>
          </w:p>
        </w:tc>
        <w:tc>
          <w:tcPr>
            <w:tcW w:w="359" w:type="pct"/>
            <w:tcBorders>
              <w:top w:val="nil"/>
              <w:left w:val="nil"/>
              <w:bottom w:val="nil"/>
              <w:right w:val="nil"/>
            </w:tcBorders>
            <w:shd w:val="clear" w:color="auto" w:fill="auto"/>
            <w:noWrap/>
            <w:vAlign w:val="bottom"/>
            <w:hideMark/>
          </w:tcPr>
          <w:p w14:paraId="13398B32"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5 092</w:t>
            </w:r>
          </w:p>
        </w:tc>
        <w:tc>
          <w:tcPr>
            <w:tcW w:w="359" w:type="pct"/>
            <w:tcBorders>
              <w:top w:val="nil"/>
              <w:left w:val="nil"/>
              <w:bottom w:val="nil"/>
              <w:right w:val="nil"/>
            </w:tcBorders>
            <w:shd w:val="clear" w:color="auto" w:fill="auto"/>
            <w:noWrap/>
            <w:vAlign w:val="bottom"/>
            <w:hideMark/>
          </w:tcPr>
          <w:p w14:paraId="219DBB48"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6 529</w:t>
            </w:r>
          </w:p>
        </w:tc>
        <w:tc>
          <w:tcPr>
            <w:tcW w:w="421" w:type="pct"/>
            <w:tcBorders>
              <w:top w:val="nil"/>
              <w:left w:val="nil"/>
              <w:bottom w:val="nil"/>
              <w:right w:val="nil"/>
            </w:tcBorders>
            <w:shd w:val="clear" w:color="auto" w:fill="auto"/>
            <w:noWrap/>
            <w:vAlign w:val="bottom"/>
            <w:hideMark/>
          </w:tcPr>
          <w:p w14:paraId="3B2682E3"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5 671</w:t>
            </w:r>
          </w:p>
        </w:tc>
        <w:tc>
          <w:tcPr>
            <w:tcW w:w="585" w:type="pct"/>
            <w:tcBorders>
              <w:top w:val="nil"/>
              <w:left w:val="nil"/>
              <w:bottom w:val="nil"/>
              <w:right w:val="nil"/>
            </w:tcBorders>
            <w:shd w:val="clear" w:color="auto" w:fill="auto"/>
            <w:noWrap/>
            <w:vAlign w:val="bottom"/>
            <w:hideMark/>
          </w:tcPr>
          <w:p w14:paraId="4F780E1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7 389</w:t>
            </w:r>
          </w:p>
        </w:tc>
        <w:tc>
          <w:tcPr>
            <w:tcW w:w="483" w:type="pct"/>
            <w:tcBorders>
              <w:top w:val="nil"/>
              <w:left w:val="nil"/>
              <w:bottom w:val="nil"/>
              <w:right w:val="nil"/>
            </w:tcBorders>
            <w:shd w:val="clear" w:color="auto" w:fill="auto"/>
            <w:noWrap/>
            <w:vAlign w:val="bottom"/>
            <w:hideMark/>
          </w:tcPr>
          <w:p w14:paraId="4BC24B98"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6 696</w:t>
            </w:r>
          </w:p>
        </w:tc>
        <w:tc>
          <w:tcPr>
            <w:tcW w:w="359" w:type="pct"/>
            <w:tcBorders>
              <w:top w:val="nil"/>
              <w:left w:val="nil"/>
              <w:bottom w:val="nil"/>
              <w:right w:val="nil"/>
            </w:tcBorders>
            <w:shd w:val="clear" w:color="auto" w:fill="auto"/>
            <w:noWrap/>
            <w:vAlign w:val="bottom"/>
            <w:hideMark/>
          </w:tcPr>
          <w:p w14:paraId="77DAF6FC"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6 301</w:t>
            </w:r>
          </w:p>
        </w:tc>
        <w:tc>
          <w:tcPr>
            <w:tcW w:w="359" w:type="pct"/>
            <w:tcBorders>
              <w:top w:val="nil"/>
              <w:left w:val="nil"/>
              <w:bottom w:val="nil"/>
              <w:right w:val="nil"/>
            </w:tcBorders>
            <w:shd w:val="clear" w:color="auto" w:fill="auto"/>
            <w:noWrap/>
            <w:vAlign w:val="bottom"/>
            <w:hideMark/>
          </w:tcPr>
          <w:p w14:paraId="2642098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6 251</w:t>
            </w:r>
          </w:p>
        </w:tc>
      </w:tr>
      <w:tr w:rsidR="00DD531B" w:rsidRPr="00661122" w14:paraId="2317D5C2" w14:textId="77777777" w:rsidTr="001F24AE">
        <w:trPr>
          <w:trHeight w:val="300"/>
        </w:trPr>
        <w:tc>
          <w:tcPr>
            <w:tcW w:w="2074" w:type="pct"/>
            <w:tcBorders>
              <w:top w:val="nil"/>
              <w:left w:val="nil"/>
              <w:bottom w:val="nil"/>
              <w:right w:val="nil"/>
            </w:tcBorders>
            <w:shd w:val="clear" w:color="auto" w:fill="auto"/>
            <w:noWrap/>
            <w:vAlign w:val="bottom"/>
            <w:hideMark/>
          </w:tcPr>
          <w:p w14:paraId="7E1431F0"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630 tovary a služby</w:t>
            </w:r>
          </w:p>
        </w:tc>
        <w:tc>
          <w:tcPr>
            <w:tcW w:w="359" w:type="pct"/>
            <w:tcBorders>
              <w:top w:val="nil"/>
              <w:left w:val="nil"/>
              <w:bottom w:val="nil"/>
              <w:right w:val="nil"/>
            </w:tcBorders>
            <w:shd w:val="clear" w:color="auto" w:fill="auto"/>
            <w:noWrap/>
            <w:vAlign w:val="bottom"/>
            <w:hideMark/>
          </w:tcPr>
          <w:p w14:paraId="67CCB2D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60 290</w:t>
            </w:r>
          </w:p>
        </w:tc>
        <w:tc>
          <w:tcPr>
            <w:tcW w:w="359" w:type="pct"/>
            <w:tcBorders>
              <w:top w:val="nil"/>
              <w:left w:val="nil"/>
              <w:bottom w:val="nil"/>
              <w:right w:val="nil"/>
            </w:tcBorders>
            <w:shd w:val="clear" w:color="auto" w:fill="auto"/>
            <w:noWrap/>
            <w:vAlign w:val="bottom"/>
            <w:hideMark/>
          </w:tcPr>
          <w:p w14:paraId="32F6605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23 355</w:t>
            </w:r>
          </w:p>
        </w:tc>
        <w:tc>
          <w:tcPr>
            <w:tcW w:w="421" w:type="pct"/>
            <w:tcBorders>
              <w:top w:val="nil"/>
              <w:left w:val="nil"/>
              <w:bottom w:val="nil"/>
              <w:right w:val="nil"/>
            </w:tcBorders>
            <w:shd w:val="clear" w:color="auto" w:fill="auto"/>
            <w:noWrap/>
            <w:vAlign w:val="bottom"/>
            <w:hideMark/>
          </w:tcPr>
          <w:p w14:paraId="30DAA8D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1 413 337</w:t>
            </w:r>
          </w:p>
        </w:tc>
        <w:tc>
          <w:tcPr>
            <w:tcW w:w="585" w:type="pct"/>
            <w:tcBorders>
              <w:top w:val="nil"/>
              <w:left w:val="nil"/>
              <w:bottom w:val="nil"/>
              <w:right w:val="nil"/>
            </w:tcBorders>
            <w:shd w:val="clear" w:color="auto" w:fill="auto"/>
            <w:noWrap/>
            <w:vAlign w:val="bottom"/>
            <w:hideMark/>
          </w:tcPr>
          <w:p w14:paraId="4F8C4BFF"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16 926</w:t>
            </w:r>
          </w:p>
        </w:tc>
        <w:tc>
          <w:tcPr>
            <w:tcW w:w="483" w:type="pct"/>
            <w:tcBorders>
              <w:top w:val="nil"/>
              <w:left w:val="nil"/>
              <w:bottom w:val="nil"/>
              <w:right w:val="nil"/>
            </w:tcBorders>
            <w:shd w:val="clear" w:color="auto" w:fill="auto"/>
            <w:noWrap/>
            <w:vAlign w:val="bottom"/>
            <w:hideMark/>
          </w:tcPr>
          <w:p w14:paraId="544C5432"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13 933</w:t>
            </w:r>
          </w:p>
        </w:tc>
        <w:tc>
          <w:tcPr>
            <w:tcW w:w="359" w:type="pct"/>
            <w:tcBorders>
              <w:top w:val="nil"/>
              <w:left w:val="nil"/>
              <w:bottom w:val="nil"/>
              <w:right w:val="nil"/>
            </w:tcBorders>
            <w:shd w:val="clear" w:color="auto" w:fill="auto"/>
            <w:noWrap/>
            <w:vAlign w:val="bottom"/>
            <w:hideMark/>
          </w:tcPr>
          <w:p w14:paraId="0F46E4D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21 698</w:t>
            </w:r>
          </w:p>
        </w:tc>
        <w:tc>
          <w:tcPr>
            <w:tcW w:w="359" w:type="pct"/>
            <w:tcBorders>
              <w:top w:val="nil"/>
              <w:left w:val="nil"/>
              <w:bottom w:val="nil"/>
              <w:right w:val="nil"/>
            </w:tcBorders>
            <w:shd w:val="clear" w:color="auto" w:fill="auto"/>
            <w:noWrap/>
            <w:vAlign w:val="bottom"/>
            <w:hideMark/>
          </w:tcPr>
          <w:p w14:paraId="2DC614C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12 277</w:t>
            </w:r>
          </w:p>
        </w:tc>
      </w:tr>
      <w:tr w:rsidR="00DD531B" w:rsidRPr="00661122" w14:paraId="361F9E02" w14:textId="77777777" w:rsidTr="001F24AE">
        <w:trPr>
          <w:trHeight w:val="300"/>
        </w:trPr>
        <w:tc>
          <w:tcPr>
            <w:tcW w:w="2074" w:type="pct"/>
            <w:tcBorders>
              <w:top w:val="nil"/>
              <w:left w:val="nil"/>
              <w:bottom w:val="nil"/>
              <w:right w:val="nil"/>
            </w:tcBorders>
            <w:shd w:val="clear" w:color="auto" w:fill="auto"/>
            <w:noWrap/>
            <w:vAlign w:val="bottom"/>
            <w:hideMark/>
          </w:tcPr>
          <w:p w14:paraId="6470478B"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640 bežné transfery</w:t>
            </w:r>
          </w:p>
        </w:tc>
        <w:tc>
          <w:tcPr>
            <w:tcW w:w="359" w:type="pct"/>
            <w:tcBorders>
              <w:top w:val="nil"/>
              <w:left w:val="nil"/>
              <w:bottom w:val="nil"/>
              <w:right w:val="nil"/>
            </w:tcBorders>
            <w:shd w:val="clear" w:color="auto" w:fill="auto"/>
            <w:noWrap/>
            <w:vAlign w:val="bottom"/>
            <w:hideMark/>
          </w:tcPr>
          <w:p w14:paraId="4275980E"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235 232</w:t>
            </w:r>
          </w:p>
        </w:tc>
        <w:tc>
          <w:tcPr>
            <w:tcW w:w="359" w:type="pct"/>
            <w:tcBorders>
              <w:top w:val="nil"/>
              <w:left w:val="nil"/>
              <w:bottom w:val="nil"/>
              <w:right w:val="nil"/>
            </w:tcBorders>
            <w:shd w:val="clear" w:color="auto" w:fill="auto"/>
            <w:noWrap/>
            <w:vAlign w:val="bottom"/>
            <w:hideMark/>
          </w:tcPr>
          <w:p w14:paraId="345734E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256 889</w:t>
            </w:r>
          </w:p>
        </w:tc>
        <w:tc>
          <w:tcPr>
            <w:tcW w:w="421" w:type="pct"/>
            <w:tcBorders>
              <w:top w:val="nil"/>
              <w:left w:val="nil"/>
              <w:bottom w:val="nil"/>
              <w:right w:val="nil"/>
            </w:tcBorders>
            <w:shd w:val="clear" w:color="auto" w:fill="auto"/>
            <w:noWrap/>
            <w:vAlign w:val="bottom"/>
            <w:hideMark/>
          </w:tcPr>
          <w:p w14:paraId="1094E693"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109 101</w:t>
            </w:r>
          </w:p>
        </w:tc>
        <w:tc>
          <w:tcPr>
            <w:tcW w:w="585" w:type="pct"/>
            <w:tcBorders>
              <w:top w:val="nil"/>
              <w:left w:val="nil"/>
              <w:bottom w:val="nil"/>
              <w:right w:val="nil"/>
            </w:tcBorders>
            <w:shd w:val="clear" w:color="auto" w:fill="auto"/>
            <w:noWrap/>
            <w:vAlign w:val="bottom"/>
            <w:hideMark/>
          </w:tcPr>
          <w:p w14:paraId="3B5E3D6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1 246 899</w:t>
            </w:r>
          </w:p>
        </w:tc>
        <w:tc>
          <w:tcPr>
            <w:tcW w:w="483" w:type="pct"/>
            <w:tcBorders>
              <w:top w:val="nil"/>
              <w:left w:val="nil"/>
              <w:bottom w:val="nil"/>
              <w:right w:val="nil"/>
            </w:tcBorders>
            <w:shd w:val="clear" w:color="auto" w:fill="auto"/>
            <w:noWrap/>
            <w:vAlign w:val="bottom"/>
            <w:hideMark/>
          </w:tcPr>
          <w:p w14:paraId="2966E533"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86 512</w:t>
            </w:r>
          </w:p>
        </w:tc>
        <w:tc>
          <w:tcPr>
            <w:tcW w:w="359" w:type="pct"/>
            <w:tcBorders>
              <w:top w:val="nil"/>
              <w:left w:val="nil"/>
              <w:bottom w:val="nil"/>
              <w:right w:val="nil"/>
            </w:tcBorders>
            <w:shd w:val="clear" w:color="auto" w:fill="auto"/>
            <w:noWrap/>
            <w:vAlign w:val="bottom"/>
            <w:hideMark/>
          </w:tcPr>
          <w:p w14:paraId="6B739943"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93 762</w:t>
            </w:r>
          </w:p>
        </w:tc>
        <w:tc>
          <w:tcPr>
            <w:tcW w:w="359" w:type="pct"/>
            <w:tcBorders>
              <w:top w:val="nil"/>
              <w:left w:val="nil"/>
              <w:bottom w:val="nil"/>
              <w:right w:val="nil"/>
            </w:tcBorders>
            <w:shd w:val="clear" w:color="auto" w:fill="auto"/>
            <w:noWrap/>
            <w:vAlign w:val="bottom"/>
            <w:hideMark/>
          </w:tcPr>
          <w:p w14:paraId="4CCB80F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84 496</w:t>
            </w:r>
          </w:p>
        </w:tc>
      </w:tr>
      <w:tr w:rsidR="00DD531B" w:rsidRPr="00661122" w14:paraId="613B5DF8" w14:textId="77777777" w:rsidTr="001F24AE">
        <w:trPr>
          <w:trHeight w:val="300"/>
        </w:trPr>
        <w:tc>
          <w:tcPr>
            <w:tcW w:w="2074" w:type="pct"/>
            <w:tcBorders>
              <w:top w:val="nil"/>
              <w:left w:val="nil"/>
              <w:bottom w:val="nil"/>
              <w:right w:val="nil"/>
            </w:tcBorders>
            <w:shd w:val="clear" w:color="auto" w:fill="auto"/>
            <w:noWrap/>
            <w:vAlign w:val="bottom"/>
            <w:hideMark/>
          </w:tcPr>
          <w:p w14:paraId="75FD8C7D"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kapitálové výdavky 700</w:t>
            </w:r>
          </w:p>
        </w:tc>
        <w:tc>
          <w:tcPr>
            <w:tcW w:w="359" w:type="pct"/>
            <w:tcBorders>
              <w:top w:val="nil"/>
              <w:left w:val="nil"/>
              <w:bottom w:val="nil"/>
              <w:right w:val="nil"/>
            </w:tcBorders>
            <w:shd w:val="clear" w:color="auto" w:fill="auto"/>
            <w:noWrap/>
            <w:vAlign w:val="bottom"/>
            <w:hideMark/>
          </w:tcPr>
          <w:p w14:paraId="1B03887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6 918</w:t>
            </w:r>
          </w:p>
        </w:tc>
        <w:tc>
          <w:tcPr>
            <w:tcW w:w="359" w:type="pct"/>
            <w:tcBorders>
              <w:top w:val="nil"/>
              <w:left w:val="nil"/>
              <w:bottom w:val="nil"/>
              <w:right w:val="nil"/>
            </w:tcBorders>
            <w:shd w:val="clear" w:color="auto" w:fill="auto"/>
            <w:noWrap/>
            <w:vAlign w:val="bottom"/>
            <w:hideMark/>
          </w:tcPr>
          <w:p w14:paraId="71978DE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10 360</w:t>
            </w:r>
          </w:p>
        </w:tc>
        <w:tc>
          <w:tcPr>
            <w:tcW w:w="421" w:type="pct"/>
            <w:tcBorders>
              <w:top w:val="nil"/>
              <w:left w:val="nil"/>
              <w:bottom w:val="nil"/>
              <w:right w:val="nil"/>
            </w:tcBorders>
            <w:shd w:val="clear" w:color="auto" w:fill="auto"/>
            <w:noWrap/>
            <w:vAlign w:val="bottom"/>
            <w:hideMark/>
          </w:tcPr>
          <w:p w14:paraId="5E2BD21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48 289</w:t>
            </w:r>
          </w:p>
        </w:tc>
        <w:tc>
          <w:tcPr>
            <w:tcW w:w="585" w:type="pct"/>
            <w:tcBorders>
              <w:top w:val="nil"/>
              <w:left w:val="nil"/>
              <w:bottom w:val="nil"/>
              <w:right w:val="nil"/>
            </w:tcBorders>
            <w:shd w:val="clear" w:color="auto" w:fill="auto"/>
            <w:noWrap/>
            <w:vAlign w:val="bottom"/>
            <w:hideMark/>
          </w:tcPr>
          <w:p w14:paraId="5227FA9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39 834</w:t>
            </w:r>
          </w:p>
        </w:tc>
        <w:tc>
          <w:tcPr>
            <w:tcW w:w="483" w:type="pct"/>
            <w:tcBorders>
              <w:top w:val="nil"/>
              <w:left w:val="nil"/>
              <w:bottom w:val="nil"/>
              <w:right w:val="nil"/>
            </w:tcBorders>
            <w:shd w:val="clear" w:color="auto" w:fill="auto"/>
            <w:noWrap/>
            <w:vAlign w:val="bottom"/>
            <w:hideMark/>
          </w:tcPr>
          <w:p w14:paraId="62C5A08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55 021</w:t>
            </w:r>
          </w:p>
        </w:tc>
        <w:tc>
          <w:tcPr>
            <w:tcW w:w="359" w:type="pct"/>
            <w:tcBorders>
              <w:top w:val="nil"/>
              <w:left w:val="nil"/>
              <w:bottom w:val="nil"/>
              <w:right w:val="nil"/>
            </w:tcBorders>
            <w:shd w:val="clear" w:color="auto" w:fill="auto"/>
            <w:noWrap/>
            <w:vAlign w:val="bottom"/>
            <w:hideMark/>
          </w:tcPr>
          <w:p w14:paraId="52ACA99F"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72 845</w:t>
            </w:r>
          </w:p>
        </w:tc>
        <w:tc>
          <w:tcPr>
            <w:tcW w:w="359" w:type="pct"/>
            <w:tcBorders>
              <w:top w:val="nil"/>
              <w:left w:val="nil"/>
              <w:bottom w:val="nil"/>
              <w:right w:val="nil"/>
            </w:tcBorders>
            <w:shd w:val="clear" w:color="auto" w:fill="auto"/>
            <w:noWrap/>
            <w:vAlign w:val="bottom"/>
            <w:hideMark/>
          </w:tcPr>
          <w:p w14:paraId="44F40A4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146 953</w:t>
            </w:r>
          </w:p>
        </w:tc>
      </w:tr>
      <w:tr w:rsidR="00DD531B" w:rsidRPr="00661122" w14:paraId="74938251" w14:textId="77777777" w:rsidTr="001F24AE">
        <w:trPr>
          <w:trHeight w:val="300"/>
        </w:trPr>
        <w:tc>
          <w:tcPr>
            <w:tcW w:w="2074" w:type="pct"/>
            <w:tcBorders>
              <w:top w:val="nil"/>
              <w:left w:val="nil"/>
              <w:bottom w:val="nil"/>
              <w:right w:val="nil"/>
            </w:tcBorders>
            <w:shd w:val="clear" w:color="auto" w:fill="auto"/>
            <w:noWrap/>
            <w:vAlign w:val="bottom"/>
            <w:hideMark/>
          </w:tcPr>
          <w:p w14:paraId="3D90EFED" w14:textId="77777777" w:rsidR="00DD531B" w:rsidRPr="00661122" w:rsidRDefault="00DD531B" w:rsidP="00DD531B">
            <w:pPr>
              <w:spacing w:after="0" w:line="240" w:lineRule="auto"/>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zdroj EÚ vrátane spolufinancovania zo ŠR, v tom:</w:t>
            </w:r>
          </w:p>
        </w:tc>
        <w:tc>
          <w:tcPr>
            <w:tcW w:w="359" w:type="pct"/>
            <w:tcBorders>
              <w:top w:val="nil"/>
              <w:left w:val="nil"/>
              <w:bottom w:val="nil"/>
              <w:right w:val="nil"/>
            </w:tcBorders>
            <w:shd w:val="clear" w:color="auto" w:fill="auto"/>
            <w:noWrap/>
            <w:vAlign w:val="bottom"/>
            <w:hideMark/>
          </w:tcPr>
          <w:p w14:paraId="7C512219"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82 793</w:t>
            </w:r>
          </w:p>
        </w:tc>
        <w:tc>
          <w:tcPr>
            <w:tcW w:w="359" w:type="pct"/>
            <w:tcBorders>
              <w:top w:val="nil"/>
              <w:left w:val="nil"/>
              <w:bottom w:val="nil"/>
              <w:right w:val="nil"/>
            </w:tcBorders>
            <w:shd w:val="clear" w:color="auto" w:fill="auto"/>
            <w:noWrap/>
            <w:vAlign w:val="bottom"/>
            <w:hideMark/>
          </w:tcPr>
          <w:p w14:paraId="4F961277"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34 752</w:t>
            </w:r>
          </w:p>
        </w:tc>
        <w:tc>
          <w:tcPr>
            <w:tcW w:w="421" w:type="pct"/>
            <w:tcBorders>
              <w:top w:val="nil"/>
              <w:left w:val="nil"/>
              <w:bottom w:val="nil"/>
              <w:right w:val="nil"/>
            </w:tcBorders>
            <w:shd w:val="clear" w:color="auto" w:fill="auto"/>
            <w:noWrap/>
            <w:vAlign w:val="bottom"/>
            <w:hideMark/>
          </w:tcPr>
          <w:p w14:paraId="4B4F42F6"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513 778</w:t>
            </w:r>
          </w:p>
        </w:tc>
        <w:tc>
          <w:tcPr>
            <w:tcW w:w="585" w:type="pct"/>
            <w:tcBorders>
              <w:top w:val="nil"/>
              <w:left w:val="nil"/>
              <w:bottom w:val="nil"/>
              <w:right w:val="nil"/>
            </w:tcBorders>
            <w:shd w:val="clear" w:color="auto" w:fill="auto"/>
            <w:noWrap/>
            <w:vAlign w:val="bottom"/>
            <w:hideMark/>
          </w:tcPr>
          <w:p w14:paraId="3AC8A824"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764 549</w:t>
            </w:r>
          </w:p>
        </w:tc>
        <w:tc>
          <w:tcPr>
            <w:tcW w:w="483" w:type="pct"/>
            <w:tcBorders>
              <w:top w:val="nil"/>
              <w:left w:val="nil"/>
              <w:bottom w:val="nil"/>
              <w:right w:val="nil"/>
            </w:tcBorders>
            <w:shd w:val="clear" w:color="auto" w:fill="auto"/>
            <w:noWrap/>
            <w:vAlign w:val="bottom"/>
            <w:hideMark/>
          </w:tcPr>
          <w:p w14:paraId="3EE73F93"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128 568</w:t>
            </w:r>
          </w:p>
        </w:tc>
        <w:tc>
          <w:tcPr>
            <w:tcW w:w="359" w:type="pct"/>
            <w:tcBorders>
              <w:top w:val="nil"/>
              <w:left w:val="nil"/>
              <w:bottom w:val="nil"/>
              <w:right w:val="nil"/>
            </w:tcBorders>
            <w:shd w:val="clear" w:color="auto" w:fill="auto"/>
            <w:noWrap/>
            <w:vAlign w:val="bottom"/>
            <w:hideMark/>
          </w:tcPr>
          <w:p w14:paraId="487EC3B7"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302 526</w:t>
            </w:r>
          </w:p>
        </w:tc>
        <w:tc>
          <w:tcPr>
            <w:tcW w:w="359" w:type="pct"/>
            <w:tcBorders>
              <w:top w:val="nil"/>
              <w:left w:val="nil"/>
              <w:bottom w:val="nil"/>
              <w:right w:val="nil"/>
            </w:tcBorders>
            <w:shd w:val="clear" w:color="auto" w:fill="auto"/>
            <w:noWrap/>
            <w:vAlign w:val="bottom"/>
            <w:hideMark/>
          </w:tcPr>
          <w:p w14:paraId="4227311A"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487 390</w:t>
            </w:r>
          </w:p>
        </w:tc>
      </w:tr>
      <w:tr w:rsidR="00DD531B" w:rsidRPr="00661122" w14:paraId="4C7D07E7" w14:textId="77777777" w:rsidTr="001F24AE">
        <w:trPr>
          <w:trHeight w:val="300"/>
        </w:trPr>
        <w:tc>
          <w:tcPr>
            <w:tcW w:w="2074" w:type="pct"/>
            <w:tcBorders>
              <w:top w:val="nil"/>
              <w:left w:val="nil"/>
              <w:bottom w:val="nil"/>
              <w:right w:val="nil"/>
            </w:tcBorders>
            <w:shd w:val="clear" w:color="auto" w:fill="auto"/>
            <w:noWrap/>
            <w:vAlign w:val="bottom"/>
            <w:hideMark/>
          </w:tcPr>
          <w:p w14:paraId="59FB4F64"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prostriedky EÚ</w:t>
            </w:r>
          </w:p>
        </w:tc>
        <w:tc>
          <w:tcPr>
            <w:tcW w:w="359" w:type="pct"/>
            <w:tcBorders>
              <w:top w:val="nil"/>
              <w:left w:val="nil"/>
              <w:bottom w:val="nil"/>
              <w:right w:val="nil"/>
            </w:tcBorders>
            <w:shd w:val="clear" w:color="auto" w:fill="auto"/>
            <w:noWrap/>
            <w:vAlign w:val="bottom"/>
            <w:hideMark/>
          </w:tcPr>
          <w:p w14:paraId="192193CF"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73 310</w:t>
            </w:r>
          </w:p>
        </w:tc>
        <w:tc>
          <w:tcPr>
            <w:tcW w:w="359" w:type="pct"/>
            <w:tcBorders>
              <w:top w:val="nil"/>
              <w:left w:val="nil"/>
              <w:bottom w:val="nil"/>
              <w:right w:val="nil"/>
            </w:tcBorders>
            <w:shd w:val="clear" w:color="auto" w:fill="auto"/>
            <w:noWrap/>
            <w:vAlign w:val="bottom"/>
            <w:hideMark/>
          </w:tcPr>
          <w:p w14:paraId="383035EE"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32 626</w:t>
            </w:r>
          </w:p>
        </w:tc>
        <w:tc>
          <w:tcPr>
            <w:tcW w:w="421" w:type="pct"/>
            <w:tcBorders>
              <w:top w:val="nil"/>
              <w:left w:val="nil"/>
              <w:bottom w:val="nil"/>
              <w:right w:val="nil"/>
            </w:tcBorders>
            <w:shd w:val="clear" w:color="auto" w:fill="auto"/>
            <w:noWrap/>
            <w:vAlign w:val="bottom"/>
            <w:hideMark/>
          </w:tcPr>
          <w:p w14:paraId="2C91BB1C"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462 577</w:t>
            </w:r>
          </w:p>
        </w:tc>
        <w:tc>
          <w:tcPr>
            <w:tcW w:w="585" w:type="pct"/>
            <w:tcBorders>
              <w:top w:val="nil"/>
              <w:left w:val="nil"/>
              <w:bottom w:val="nil"/>
              <w:right w:val="nil"/>
            </w:tcBorders>
            <w:shd w:val="clear" w:color="auto" w:fill="auto"/>
            <w:noWrap/>
            <w:vAlign w:val="bottom"/>
            <w:hideMark/>
          </w:tcPr>
          <w:p w14:paraId="6DC3FE3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712 261</w:t>
            </w:r>
          </w:p>
        </w:tc>
        <w:tc>
          <w:tcPr>
            <w:tcW w:w="483" w:type="pct"/>
            <w:tcBorders>
              <w:top w:val="nil"/>
              <w:left w:val="nil"/>
              <w:bottom w:val="nil"/>
              <w:right w:val="nil"/>
            </w:tcBorders>
            <w:shd w:val="clear" w:color="auto" w:fill="auto"/>
            <w:noWrap/>
            <w:vAlign w:val="bottom"/>
            <w:hideMark/>
          </w:tcPr>
          <w:p w14:paraId="12FD0E3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72 105</w:t>
            </w:r>
          </w:p>
        </w:tc>
        <w:tc>
          <w:tcPr>
            <w:tcW w:w="359" w:type="pct"/>
            <w:tcBorders>
              <w:top w:val="nil"/>
              <w:left w:val="nil"/>
              <w:bottom w:val="nil"/>
              <w:right w:val="nil"/>
            </w:tcBorders>
            <w:shd w:val="clear" w:color="auto" w:fill="auto"/>
            <w:noWrap/>
            <w:vAlign w:val="bottom"/>
            <w:hideMark/>
          </w:tcPr>
          <w:p w14:paraId="1116A29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231 540</w:t>
            </w:r>
          </w:p>
        </w:tc>
        <w:tc>
          <w:tcPr>
            <w:tcW w:w="359" w:type="pct"/>
            <w:tcBorders>
              <w:top w:val="nil"/>
              <w:left w:val="nil"/>
              <w:bottom w:val="nil"/>
              <w:right w:val="nil"/>
            </w:tcBorders>
            <w:shd w:val="clear" w:color="auto" w:fill="auto"/>
            <w:noWrap/>
            <w:vAlign w:val="bottom"/>
            <w:hideMark/>
          </w:tcPr>
          <w:p w14:paraId="2C68D340"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379 882</w:t>
            </w:r>
          </w:p>
        </w:tc>
      </w:tr>
      <w:tr w:rsidR="00DD531B" w:rsidRPr="00661122" w14:paraId="405DF95F" w14:textId="77777777" w:rsidTr="001F24AE">
        <w:trPr>
          <w:trHeight w:val="300"/>
        </w:trPr>
        <w:tc>
          <w:tcPr>
            <w:tcW w:w="2074" w:type="pct"/>
            <w:tcBorders>
              <w:top w:val="nil"/>
              <w:left w:val="nil"/>
              <w:bottom w:val="nil"/>
              <w:right w:val="nil"/>
            </w:tcBorders>
            <w:shd w:val="clear" w:color="auto" w:fill="auto"/>
            <w:noWrap/>
            <w:vAlign w:val="bottom"/>
            <w:hideMark/>
          </w:tcPr>
          <w:p w14:paraId="73A517F5"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spolufinancovanie zo ŠR</w:t>
            </w:r>
          </w:p>
        </w:tc>
        <w:tc>
          <w:tcPr>
            <w:tcW w:w="359" w:type="pct"/>
            <w:tcBorders>
              <w:top w:val="nil"/>
              <w:left w:val="nil"/>
              <w:bottom w:val="nil"/>
              <w:right w:val="nil"/>
            </w:tcBorders>
            <w:shd w:val="clear" w:color="auto" w:fill="auto"/>
            <w:noWrap/>
            <w:vAlign w:val="bottom"/>
            <w:hideMark/>
          </w:tcPr>
          <w:p w14:paraId="1F95198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9 483</w:t>
            </w:r>
          </w:p>
        </w:tc>
        <w:tc>
          <w:tcPr>
            <w:tcW w:w="359" w:type="pct"/>
            <w:tcBorders>
              <w:top w:val="nil"/>
              <w:left w:val="nil"/>
              <w:bottom w:val="nil"/>
              <w:right w:val="nil"/>
            </w:tcBorders>
            <w:shd w:val="clear" w:color="auto" w:fill="auto"/>
            <w:noWrap/>
            <w:vAlign w:val="bottom"/>
            <w:hideMark/>
          </w:tcPr>
          <w:p w14:paraId="3602005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2 126</w:t>
            </w:r>
          </w:p>
        </w:tc>
        <w:tc>
          <w:tcPr>
            <w:tcW w:w="421" w:type="pct"/>
            <w:tcBorders>
              <w:top w:val="nil"/>
              <w:left w:val="nil"/>
              <w:bottom w:val="nil"/>
              <w:right w:val="nil"/>
            </w:tcBorders>
            <w:shd w:val="clear" w:color="auto" w:fill="auto"/>
            <w:noWrap/>
            <w:vAlign w:val="bottom"/>
            <w:hideMark/>
          </w:tcPr>
          <w:p w14:paraId="05D362A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51 200</w:t>
            </w:r>
          </w:p>
        </w:tc>
        <w:tc>
          <w:tcPr>
            <w:tcW w:w="585" w:type="pct"/>
            <w:tcBorders>
              <w:top w:val="nil"/>
              <w:left w:val="nil"/>
              <w:bottom w:val="nil"/>
              <w:right w:val="nil"/>
            </w:tcBorders>
            <w:shd w:val="clear" w:color="auto" w:fill="auto"/>
            <w:noWrap/>
            <w:vAlign w:val="bottom"/>
            <w:hideMark/>
          </w:tcPr>
          <w:p w14:paraId="197C1C6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52 287</w:t>
            </w:r>
          </w:p>
        </w:tc>
        <w:tc>
          <w:tcPr>
            <w:tcW w:w="483" w:type="pct"/>
            <w:tcBorders>
              <w:top w:val="nil"/>
              <w:left w:val="nil"/>
              <w:bottom w:val="nil"/>
              <w:right w:val="nil"/>
            </w:tcBorders>
            <w:shd w:val="clear" w:color="auto" w:fill="auto"/>
            <w:noWrap/>
            <w:vAlign w:val="bottom"/>
            <w:hideMark/>
          </w:tcPr>
          <w:p w14:paraId="495A4155"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56 463</w:t>
            </w:r>
          </w:p>
        </w:tc>
        <w:tc>
          <w:tcPr>
            <w:tcW w:w="359" w:type="pct"/>
            <w:tcBorders>
              <w:top w:val="nil"/>
              <w:left w:val="nil"/>
              <w:bottom w:val="nil"/>
              <w:right w:val="nil"/>
            </w:tcBorders>
            <w:shd w:val="clear" w:color="auto" w:fill="auto"/>
            <w:noWrap/>
            <w:vAlign w:val="bottom"/>
            <w:hideMark/>
          </w:tcPr>
          <w:p w14:paraId="2689304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70 986</w:t>
            </w:r>
          </w:p>
        </w:tc>
        <w:tc>
          <w:tcPr>
            <w:tcW w:w="359" w:type="pct"/>
            <w:tcBorders>
              <w:top w:val="nil"/>
              <w:left w:val="nil"/>
              <w:bottom w:val="nil"/>
              <w:right w:val="nil"/>
            </w:tcBorders>
            <w:shd w:val="clear" w:color="auto" w:fill="auto"/>
            <w:noWrap/>
            <w:vAlign w:val="bottom"/>
            <w:hideMark/>
          </w:tcPr>
          <w:p w14:paraId="780DB17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107 508</w:t>
            </w:r>
          </w:p>
        </w:tc>
      </w:tr>
      <w:tr w:rsidR="00DD531B" w:rsidRPr="00661122" w14:paraId="5190BE75" w14:textId="77777777" w:rsidTr="001F24AE">
        <w:trPr>
          <w:trHeight w:val="300"/>
        </w:trPr>
        <w:tc>
          <w:tcPr>
            <w:tcW w:w="2074" w:type="pct"/>
            <w:tcBorders>
              <w:top w:val="nil"/>
              <w:left w:val="nil"/>
              <w:bottom w:val="nil"/>
              <w:right w:val="nil"/>
            </w:tcBorders>
            <w:shd w:val="clear" w:color="auto" w:fill="auto"/>
            <w:noWrap/>
            <w:vAlign w:val="center"/>
            <w:hideMark/>
          </w:tcPr>
          <w:p w14:paraId="703494F0" w14:textId="77777777" w:rsidR="00DD531B" w:rsidRPr="00661122" w:rsidRDefault="00DD531B" w:rsidP="00DD531B">
            <w:pPr>
              <w:spacing w:after="0" w:line="240" w:lineRule="auto"/>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zdroj Plán obnovy a odolnosti , v tom:</w:t>
            </w:r>
          </w:p>
        </w:tc>
        <w:tc>
          <w:tcPr>
            <w:tcW w:w="359" w:type="pct"/>
            <w:tcBorders>
              <w:top w:val="nil"/>
              <w:left w:val="nil"/>
              <w:bottom w:val="nil"/>
              <w:right w:val="nil"/>
            </w:tcBorders>
            <w:shd w:val="clear" w:color="auto" w:fill="auto"/>
            <w:noWrap/>
            <w:vAlign w:val="bottom"/>
            <w:hideMark/>
          </w:tcPr>
          <w:p w14:paraId="2C42BCD1"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359" w:type="pct"/>
            <w:tcBorders>
              <w:top w:val="nil"/>
              <w:left w:val="nil"/>
              <w:bottom w:val="nil"/>
              <w:right w:val="nil"/>
            </w:tcBorders>
            <w:shd w:val="clear" w:color="auto" w:fill="auto"/>
            <w:noWrap/>
            <w:vAlign w:val="bottom"/>
            <w:hideMark/>
          </w:tcPr>
          <w:p w14:paraId="17525AB2"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270</w:t>
            </w:r>
          </w:p>
        </w:tc>
        <w:tc>
          <w:tcPr>
            <w:tcW w:w="421" w:type="pct"/>
            <w:tcBorders>
              <w:top w:val="nil"/>
              <w:left w:val="nil"/>
              <w:bottom w:val="nil"/>
              <w:right w:val="nil"/>
            </w:tcBorders>
            <w:shd w:val="clear" w:color="auto" w:fill="auto"/>
            <w:noWrap/>
            <w:vAlign w:val="bottom"/>
            <w:hideMark/>
          </w:tcPr>
          <w:p w14:paraId="4D6E1E0E"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143 274</w:t>
            </w:r>
          </w:p>
        </w:tc>
        <w:tc>
          <w:tcPr>
            <w:tcW w:w="585" w:type="pct"/>
            <w:tcBorders>
              <w:top w:val="nil"/>
              <w:left w:val="nil"/>
              <w:bottom w:val="nil"/>
              <w:right w:val="nil"/>
            </w:tcBorders>
            <w:shd w:val="clear" w:color="auto" w:fill="auto"/>
            <w:noWrap/>
            <w:vAlign w:val="bottom"/>
            <w:hideMark/>
          </w:tcPr>
          <w:p w14:paraId="1483CC31"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17 703</w:t>
            </w:r>
          </w:p>
        </w:tc>
        <w:tc>
          <w:tcPr>
            <w:tcW w:w="483" w:type="pct"/>
            <w:tcBorders>
              <w:top w:val="nil"/>
              <w:left w:val="nil"/>
              <w:bottom w:val="nil"/>
              <w:right w:val="nil"/>
            </w:tcBorders>
            <w:shd w:val="clear" w:color="auto" w:fill="auto"/>
            <w:noWrap/>
            <w:vAlign w:val="bottom"/>
            <w:hideMark/>
          </w:tcPr>
          <w:p w14:paraId="1F3D23C2"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103 558</w:t>
            </w:r>
          </w:p>
        </w:tc>
        <w:tc>
          <w:tcPr>
            <w:tcW w:w="359" w:type="pct"/>
            <w:tcBorders>
              <w:top w:val="nil"/>
              <w:left w:val="nil"/>
              <w:bottom w:val="nil"/>
              <w:right w:val="nil"/>
            </w:tcBorders>
            <w:shd w:val="clear" w:color="auto" w:fill="auto"/>
            <w:noWrap/>
            <w:vAlign w:val="bottom"/>
            <w:hideMark/>
          </w:tcPr>
          <w:p w14:paraId="0791868C"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48 693</w:t>
            </w:r>
          </w:p>
        </w:tc>
        <w:tc>
          <w:tcPr>
            <w:tcW w:w="359" w:type="pct"/>
            <w:tcBorders>
              <w:top w:val="nil"/>
              <w:left w:val="nil"/>
              <w:bottom w:val="nil"/>
              <w:right w:val="nil"/>
            </w:tcBorders>
            <w:shd w:val="clear" w:color="auto" w:fill="auto"/>
            <w:noWrap/>
            <w:vAlign w:val="bottom"/>
            <w:hideMark/>
          </w:tcPr>
          <w:p w14:paraId="74E35DC1"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1 594</w:t>
            </w:r>
          </w:p>
        </w:tc>
      </w:tr>
      <w:tr w:rsidR="00DD531B" w:rsidRPr="00661122" w14:paraId="6CC64D06" w14:textId="77777777" w:rsidTr="001F24AE">
        <w:trPr>
          <w:trHeight w:val="300"/>
        </w:trPr>
        <w:tc>
          <w:tcPr>
            <w:tcW w:w="2074" w:type="pct"/>
            <w:tcBorders>
              <w:top w:val="nil"/>
              <w:left w:val="nil"/>
              <w:bottom w:val="nil"/>
              <w:right w:val="nil"/>
            </w:tcBorders>
            <w:shd w:val="clear" w:color="auto" w:fill="auto"/>
            <w:noWrap/>
            <w:vAlign w:val="bottom"/>
            <w:hideMark/>
          </w:tcPr>
          <w:p w14:paraId="38E76665"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prostriedky POO</w:t>
            </w:r>
          </w:p>
        </w:tc>
        <w:tc>
          <w:tcPr>
            <w:tcW w:w="359" w:type="pct"/>
            <w:tcBorders>
              <w:top w:val="nil"/>
              <w:left w:val="nil"/>
              <w:bottom w:val="nil"/>
              <w:right w:val="nil"/>
            </w:tcBorders>
            <w:shd w:val="clear" w:color="auto" w:fill="auto"/>
            <w:noWrap/>
            <w:vAlign w:val="bottom"/>
            <w:hideMark/>
          </w:tcPr>
          <w:p w14:paraId="20500D01" w14:textId="77777777" w:rsidR="00DD531B" w:rsidRPr="00661122"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0</w:t>
            </w:r>
          </w:p>
        </w:tc>
        <w:tc>
          <w:tcPr>
            <w:tcW w:w="359" w:type="pct"/>
            <w:tcBorders>
              <w:top w:val="nil"/>
              <w:left w:val="nil"/>
              <w:bottom w:val="nil"/>
              <w:right w:val="nil"/>
            </w:tcBorders>
            <w:shd w:val="clear" w:color="auto" w:fill="auto"/>
            <w:noWrap/>
            <w:vAlign w:val="bottom"/>
            <w:hideMark/>
          </w:tcPr>
          <w:p w14:paraId="3A0FB0D0"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270</w:t>
            </w:r>
          </w:p>
        </w:tc>
        <w:tc>
          <w:tcPr>
            <w:tcW w:w="421" w:type="pct"/>
            <w:tcBorders>
              <w:top w:val="nil"/>
              <w:left w:val="nil"/>
              <w:bottom w:val="nil"/>
              <w:right w:val="nil"/>
            </w:tcBorders>
            <w:shd w:val="clear" w:color="auto" w:fill="auto"/>
            <w:noWrap/>
            <w:vAlign w:val="bottom"/>
            <w:hideMark/>
          </w:tcPr>
          <w:p w14:paraId="06FEE00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136 692</w:t>
            </w:r>
          </w:p>
        </w:tc>
        <w:tc>
          <w:tcPr>
            <w:tcW w:w="585" w:type="pct"/>
            <w:tcBorders>
              <w:top w:val="nil"/>
              <w:left w:val="nil"/>
              <w:bottom w:val="nil"/>
              <w:right w:val="nil"/>
            </w:tcBorders>
            <w:shd w:val="clear" w:color="auto" w:fill="auto"/>
            <w:noWrap/>
            <w:vAlign w:val="bottom"/>
            <w:hideMark/>
          </w:tcPr>
          <w:p w14:paraId="7AE606F2"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16 667</w:t>
            </w:r>
          </w:p>
        </w:tc>
        <w:tc>
          <w:tcPr>
            <w:tcW w:w="483" w:type="pct"/>
            <w:tcBorders>
              <w:top w:val="nil"/>
              <w:left w:val="nil"/>
              <w:bottom w:val="nil"/>
              <w:right w:val="nil"/>
            </w:tcBorders>
            <w:shd w:val="clear" w:color="auto" w:fill="auto"/>
            <w:noWrap/>
            <w:vAlign w:val="bottom"/>
            <w:hideMark/>
          </w:tcPr>
          <w:p w14:paraId="65A562E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97 669</w:t>
            </w:r>
          </w:p>
        </w:tc>
        <w:tc>
          <w:tcPr>
            <w:tcW w:w="359" w:type="pct"/>
            <w:tcBorders>
              <w:top w:val="nil"/>
              <w:left w:val="nil"/>
              <w:bottom w:val="nil"/>
              <w:right w:val="nil"/>
            </w:tcBorders>
            <w:shd w:val="clear" w:color="auto" w:fill="auto"/>
            <w:noWrap/>
            <w:vAlign w:val="bottom"/>
            <w:hideMark/>
          </w:tcPr>
          <w:p w14:paraId="14D034D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47 455</w:t>
            </w:r>
          </w:p>
        </w:tc>
        <w:tc>
          <w:tcPr>
            <w:tcW w:w="359" w:type="pct"/>
            <w:tcBorders>
              <w:top w:val="nil"/>
              <w:left w:val="nil"/>
              <w:bottom w:val="nil"/>
              <w:right w:val="nil"/>
            </w:tcBorders>
            <w:shd w:val="clear" w:color="auto" w:fill="auto"/>
            <w:noWrap/>
            <w:vAlign w:val="bottom"/>
            <w:hideMark/>
          </w:tcPr>
          <w:p w14:paraId="128754A1"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1 584</w:t>
            </w:r>
          </w:p>
        </w:tc>
      </w:tr>
      <w:tr w:rsidR="00DD531B" w:rsidRPr="00661122" w14:paraId="49FABCC3" w14:textId="77777777" w:rsidTr="001F24AE">
        <w:trPr>
          <w:trHeight w:val="300"/>
        </w:trPr>
        <w:tc>
          <w:tcPr>
            <w:tcW w:w="2074" w:type="pct"/>
            <w:tcBorders>
              <w:top w:val="nil"/>
              <w:left w:val="nil"/>
              <w:bottom w:val="nil"/>
              <w:right w:val="nil"/>
            </w:tcBorders>
            <w:shd w:val="clear" w:color="auto" w:fill="auto"/>
            <w:noWrap/>
            <w:vAlign w:val="bottom"/>
            <w:hideMark/>
          </w:tcPr>
          <w:p w14:paraId="0E85C34A"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DPH k POO</w:t>
            </w:r>
          </w:p>
        </w:tc>
        <w:tc>
          <w:tcPr>
            <w:tcW w:w="359" w:type="pct"/>
            <w:tcBorders>
              <w:top w:val="nil"/>
              <w:left w:val="nil"/>
              <w:bottom w:val="nil"/>
              <w:right w:val="nil"/>
            </w:tcBorders>
            <w:shd w:val="clear" w:color="auto" w:fill="auto"/>
            <w:noWrap/>
            <w:vAlign w:val="bottom"/>
            <w:hideMark/>
          </w:tcPr>
          <w:p w14:paraId="3CA194C5" w14:textId="77777777" w:rsidR="00DD531B" w:rsidRPr="00661122"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0</w:t>
            </w:r>
          </w:p>
        </w:tc>
        <w:tc>
          <w:tcPr>
            <w:tcW w:w="359" w:type="pct"/>
            <w:tcBorders>
              <w:top w:val="nil"/>
              <w:left w:val="nil"/>
              <w:bottom w:val="nil"/>
              <w:right w:val="nil"/>
            </w:tcBorders>
            <w:shd w:val="clear" w:color="auto" w:fill="auto"/>
            <w:noWrap/>
            <w:vAlign w:val="bottom"/>
            <w:hideMark/>
          </w:tcPr>
          <w:p w14:paraId="1DD52DD3"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421" w:type="pct"/>
            <w:tcBorders>
              <w:top w:val="nil"/>
              <w:left w:val="nil"/>
              <w:bottom w:val="nil"/>
              <w:right w:val="nil"/>
            </w:tcBorders>
            <w:shd w:val="clear" w:color="auto" w:fill="auto"/>
            <w:noWrap/>
            <w:vAlign w:val="bottom"/>
            <w:hideMark/>
          </w:tcPr>
          <w:p w14:paraId="164BAC7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6 582</w:t>
            </w:r>
          </w:p>
        </w:tc>
        <w:tc>
          <w:tcPr>
            <w:tcW w:w="585" w:type="pct"/>
            <w:tcBorders>
              <w:top w:val="nil"/>
              <w:left w:val="nil"/>
              <w:bottom w:val="nil"/>
              <w:right w:val="nil"/>
            </w:tcBorders>
            <w:shd w:val="clear" w:color="auto" w:fill="auto"/>
            <w:noWrap/>
            <w:vAlign w:val="bottom"/>
            <w:hideMark/>
          </w:tcPr>
          <w:p w14:paraId="7024A05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1 037</w:t>
            </w:r>
          </w:p>
        </w:tc>
        <w:tc>
          <w:tcPr>
            <w:tcW w:w="483" w:type="pct"/>
            <w:tcBorders>
              <w:top w:val="nil"/>
              <w:left w:val="nil"/>
              <w:bottom w:val="nil"/>
              <w:right w:val="nil"/>
            </w:tcBorders>
            <w:shd w:val="clear" w:color="auto" w:fill="auto"/>
            <w:noWrap/>
            <w:vAlign w:val="bottom"/>
            <w:hideMark/>
          </w:tcPr>
          <w:p w14:paraId="4827B8D1"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5 889</w:t>
            </w:r>
          </w:p>
        </w:tc>
        <w:tc>
          <w:tcPr>
            <w:tcW w:w="359" w:type="pct"/>
            <w:tcBorders>
              <w:top w:val="nil"/>
              <w:left w:val="nil"/>
              <w:bottom w:val="nil"/>
              <w:right w:val="nil"/>
            </w:tcBorders>
            <w:shd w:val="clear" w:color="auto" w:fill="auto"/>
            <w:noWrap/>
            <w:vAlign w:val="bottom"/>
            <w:hideMark/>
          </w:tcPr>
          <w:p w14:paraId="36E9FEF8"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1 238</w:t>
            </w:r>
          </w:p>
        </w:tc>
        <w:tc>
          <w:tcPr>
            <w:tcW w:w="359" w:type="pct"/>
            <w:tcBorders>
              <w:top w:val="nil"/>
              <w:left w:val="nil"/>
              <w:bottom w:val="nil"/>
              <w:right w:val="nil"/>
            </w:tcBorders>
            <w:shd w:val="clear" w:color="auto" w:fill="auto"/>
            <w:noWrap/>
            <w:vAlign w:val="bottom"/>
            <w:hideMark/>
          </w:tcPr>
          <w:p w14:paraId="49E7502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10</w:t>
            </w:r>
          </w:p>
        </w:tc>
      </w:tr>
      <w:tr w:rsidR="00DD531B" w:rsidRPr="00661122" w14:paraId="2C3C5660" w14:textId="77777777" w:rsidTr="001F24AE">
        <w:trPr>
          <w:trHeight w:val="300"/>
        </w:trPr>
        <w:tc>
          <w:tcPr>
            <w:tcW w:w="2074" w:type="pct"/>
            <w:tcBorders>
              <w:top w:val="nil"/>
              <w:left w:val="nil"/>
              <w:bottom w:val="nil"/>
              <w:right w:val="nil"/>
            </w:tcBorders>
            <w:shd w:val="clear" w:color="auto" w:fill="auto"/>
            <w:noWrap/>
            <w:vAlign w:val="bottom"/>
            <w:hideMark/>
          </w:tcPr>
          <w:p w14:paraId="33286174" w14:textId="77777777" w:rsidR="00DD531B" w:rsidRPr="00661122" w:rsidRDefault="00DD531B" w:rsidP="00DD531B">
            <w:pPr>
              <w:spacing w:after="0" w:line="240" w:lineRule="auto"/>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presun z minulých rokov § 8, v tom:</w:t>
            </w:r>
          </w:p>
        </w:tc>
        <w:tc>
          <w:tcPr>
            <w:tcW w:w="359" w:type="pct"/>
            <w:tcBorders>
              <w:top w:val="nil"/>
              <w:left w:val="nil"/>
              <w:bottom w:val="nil"/>
              <w:right w:val="nil"/>
            </w:tcBorders>
            <w:shd w:val="clear" w:color="auto" w:fill="auto"/>
            <w:noWrap/>
            <w:vAlign w:val="bottom"/>
            <w:hideMark/>
          </w:tcPr>
          <w:p w14:paraId="2F2F6619"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325 386</w:t>
            </w:r>
          </w:p>
        </w:tc>
        <w:tc>
          <w:tcPr>
            <w:tcW w:w="359" w:type="pct"/>
            <w:tcBorders>
              <w:top w:val="nil"/>
              <w:left w:val="nil"/>
              <w:bottom w:val="nil"/>
              <w:right w:val="nil"/>
            </w:tcBorders>
            <w:shd w:val="clear" w:color="auto" w:fill="auto"/>
            <w:noWrap/>
            <w:vAlign w:val="bottom"/>
            <w:hideMark/>
          </w:tcPr>
          <w:p w14:paraId="486CA772"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285 606</w:t>
            </w:r>
          </w:p>
        </w:tc>
        <w:tc>
          <w:tcPr>
            <w:tcW w:w="421" w:type="pct"/>
            <w:tcBorders>
              <w:top w:val="nil"/>
              <w:left w:val="nil"/>
              <w:bottom w:val="nil"/>
              <w:right w:val="nil"/>
            </w:tcBorders>
            <w:shd w:val="clear" w:color="auto" w:fill="auto"/>
            <w:noWrap/>
            <w:vAlign w:val="bottom"/>
            <w:hideMark/>
          </w:tcPr>
          <w:p w14:paraId="0B609C81"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585" w:type="pct"/>
            <w:tcBorders>
              <w:top w:val="nil"/>
              <w:left w:val="nil"/>
              <w:bottom w:val="nil"/>
              <w:right w:val="nil"/>
            </w:tcBorders>
            <w:shd w:val="clear" w:color="auto" w:fill="auto"/>
            <w:noWrap/>
            <w:vAlign w:val="bottom"/>
            <w:hideMark/>
          </w:tcPr>
          <w:p w14:paraId="1460BD69"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1 347 698</w:t>
            </w:r>
          </w:p>
        </w:tc>
        <w:tc>
          <w:tcPr>
            <w:tcW w:w="483" w:type="pct"/>
            <w:tcBorders>
              <w:top w:val="nil"/>
              <w:left w:val="nil"/>
              <w:bottom w:val="nil"/>
              <w:right w:val="nil"/>
            </w:tcBorders>
            <w:shd w:val="clear" w:color="auto" w:fill="auto"/>
            <w:noWrap/>
            <w:vAlign w:val="bottom"/>
            <w:hideMark/>
          </w:tcPr>
          <w:p w14:paraId="5E4F0FA1"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359" w:type="pct"/>
            <w:tcBorders>
              <w:top w:val="nil"/>
              <w:left w:val="nil"/>
              <w:bottom w:val="nil"/>
              <w:right w:val="nil"/>
            </w:tcBorders>
            <w:shd w:val="clear" w:color="auto" w:fill="auto"/>
            <w:noWrap/>
            <w:vAlign w:val="bottom"/>
            <w:hideMark/>
          </w:tcPr>
          <w:p w14:paraId="1A176CF5"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359" w:type="pct"/>
            <w:tcBorders>
              <w:top w:val="nil"/>
              <w:left w:val="nil"/>
              <w:bottom w:val="nil"/>
              <w:right w:val="nil"/>
            </w:tcBorders>
            <w:shd w:val="clear" w:color="auto" w:fill="auto"/>
            <w:noWrap/>
            <w:vAlign w:val="bottom"/>
            <w:hideMark/>
          </w:tcPr>
          <w:p w14:paraId="0FBBA1D6"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r>
      <w:tr w:rsidR="00DD531B" w:rsidRPr="00661122" w14:paraId="0640E056" w14:textId="77777777" w:rsidTr="001F24AE">
        <w:trPr>
          <w:trHeight w:val="300"/>
        </w:trPr>
        <w:tc>
          <w:tcPr>
            <w:tcW w:w="2074" w:type="pct"/>
            <w:tcBorders>
              <w:top w:val="nil"/>
              <w:left w:val="nil"/>
              <w:bottom w:val="nil"/>
              <w:right w:val="nil"/>
            </w:tcBorders>
            <w:shd w:val="clear" w:color="auto" w:fill="auto"/>
            <w:noWrap/>
            <w:vAlign w:val="bottom"/>
            <w:hideMark/>
          </w:tcPr>
          <w:p w14:paraId="21CA6D3B"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štátny rozpočet</w:t>
            </w:r>
          </w:p>
        </w:tc>
        <w:tc>
          <w:tcPr>
            <w:tcW w:w="359" w:type="pct"/>
            <w:tcBorders>
              <w:top w:val="nil"/>
              <w:left w:val="nil"/>
              <w:bottom w:val="nil"/>
              <w:right w:val="nil"/>
            </w:tcBorders>
            <w:shd w:val="clear" w:color="auto" w:fill="auto"/>
            <w:noWrap/>
            <w:vAlign w:val="bottom"/>
            <w:hideMark/>
          </w:tcPr>
          <w:p w14:paraId="6DCD276E"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48 912</w:t>
            </w:r>
          </w:p>
        </w:tc>
        <w:tc>
          <w:tcPr>
            <w:tcW w:w="359" w:type="pct"/>
            <w:tcBorders>
              <w:top w:val="nil"/>
              <w:left w:val="nil"/>
              <w:bottom w:val="nil"/>
              <w:right w:val="nil"/>
            </w:tcBorders>
            <w:shd w:val="clear" w:color="auto" w:fill="auto"/>
            <w:noWrap/>
            <w:vAlign w:val="bottom"/>
            <w:hideMark/>
          </w:tcPr>
          <w:p w14:paraId="726E8D3C"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34 119</w:t>
            </w:r>
          </w:p>
        </w:tc>
        <w:tc>
          <w:tcPr>
            <w:tcW w:w="421" w:type="pct"/>
            <w:tcBorders>
              <w:top w:val="nil"/>
              <w:left w:val="nil"/>
              <w:bottom w:val="nil"/>
              <w:right w:val="nil"/>
            </w:tcBorders>
            <w:shd w:val="clear" w:color="auto" w:fill="auto"/>
            <w:noWrap/>
            <w:vAlign w:val="bottom"/>
            <w:hideMark/>
          </w:tcPr>
          <w:p w14:paraId="162D34C1"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585" w:type="pct"/>
            <w:tcBorders>
              <w:top w:val="nil"/>
              <w:left w:val="nil"/>
              <w:bottom w:val="nil"/>
              <w:right w:val="nil"/>
            </w:tcBorders>
            <w:shd w:val="clear" w:color="auto" w:fill="auto"/>
            <w:noWrap/>
            <w:vAlign w:val="bottom"/>
            <w:hideMark/>
          </w:tcPr>
          <w:p w14:paraId="5F4D90A0"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1 153 866</w:t>
            </w:r>
          </w:p>
        </w:tc>
        <w:tc>
          <w:tcPr>
            <w:tcW w:w="483" w:type="pct"/>
            <w:tcBorders>
              <w:top w:val="nil"/>
              <w:left w:val="nil"/>
              <w:bottom w:val="nil"/>
              <w:right w:val="nil"/>
            </w:tcBorders>
            <w:shd w:val="clear" w:color="auto" w:fill="auto"/>
            <w:noWrap/>
            <w:vAlign w:val="bottom"/>
            <w:hideMark/>
          </w:tcPr>
          <w:p w14:paraId="3DB2330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59" w:type="pct"/>
            <w:tcBorders>
              <w:top w:val="nil"/>
              <w:left w:val="nil"/>
              <w:bottom w:val="nil"/>
              <w:right w:val="nil"/>
            </w:tcBorders>
            <w:shd w:val="clear" w:color="auto" w:fill="auto"/>
            <w:noWrap/>
            <w:vAlign w:val="bottom"/>
            <w:hideMark/>
          </w:tcPr>
          <w:p w14:paraId="785C5268"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59" w:type="pct"/>
            <w:tcBorders>
              <w:top w:val="nil"/>
              <w:left w:val="nil"/>
              <w:bottom w:val="nil"/>
              <w:right w:val="nil"/>
            </w:tcBorders>
            <w:shd w:val="clear" w:color="auto" w:fill="auto"/>
            <w:noWrap/>
            <w:vAlign w:val="bottom"/>
            <w:hideMark/>
          </w:tcPr>
          <w:p w14:paraId="08D248D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r>
      <w:tr w:rsidR="00DD531B" w:rsidRPr="00661122" w14:paraId="170B2367" w14:textId="77777777" w:rsidTr="001F24AE">
        <w:trPr>
          <w:trHeight w:val="300"/>
        </w:trPr>
        <w:tc>
          <w:tcPr>
            <w:tcW w:w="2074" w:type="pct"/>
            <w:tcBorders>
              <w:top w:val="nil"/>
              <w:left w:val="nil"/>
              <w:bottom w:val="nil"/>
              <w:right w:val="nil"/>
            </w:tcBorders>
            <w:shd w:val="clear" w:color="auto" w:fill="auto"/>
            <w:noWrap/>
            <w:vAlign w:val="bottom"/>
            <w:hideMark/>
          </w:tcPr>
          <w:p w14:paraId="01EAE544"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prostriedky EÚ a spolufinancovanie zo ŠR</w:t>
            </w:r>
          </w:p>
        </w:tc>
        <w:tc>
          <w:tcPr>
            <w:tcW w:w="359" w:type="pct"/>
            <w:tcBorders>
              <w:top w:val="nil"/>
              <w:left w:val="nil"/>
              <w:bottom w:val="nil"/>
              <w:right w:val="nil"/>
            </w:tcBorders>
            <w:shd w:val="clear" w:color="auto" w:fill="auto"/>
            <w:noWrap/>
            <w:vAlign w:val="bottom"/>
            <w:hideMark/>
          </w:tcPr>
          <w:p w14:paraId="2B6A00A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276 474</w:t>
            </w:r>
          </w:p>
        </w:tc>
        <w:tc>
          <w:tcPr>
            <w:tcW w:w="359" w:type="pct"/>
            <w:tcBorders>
              <w:top w:val="nil"/>
              <w:left w:val="nil"/>
              <w:bottom w:val="nil"/>
              <w:right w:val="nil"/>
            </w:tcBorders>
            <w:shd w:val="clear" w:color="auto" w:fill="auto"/>
            <w:noWrap/>
            <w:vAlign w:val="bottom"/>
            <w:hideMark/>
          </w:tcPr>
          <w:p w14:paraId="1CA7BAD3"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251 219</w:t>
            </w:r>
          </w:p>
        </w:tc>
        <w:tc>
          <w:tcPr>
            <w:tcW w:w="421" w:type="pct"/>
            <w:tcBorders>
              <w:top w:val="nil"/>
              <w:left w:val="nil"/>
              <w:bottom w:val="nil"/>
              <w:right w:val="nil"/>
            </w:tcBorders>
            <w:shd w:val="clear" w:color="auto" w:fill="auto"/>
            <w:noWrap/>
            <w:vAlign w:val="bottom"/>
            <w:hideMark/>
          </w:tcPr>
          <w:p w14:paraId="69B6E4F3"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585" w:type="pct"/>
            <w:tcBorders>
              <w:top w:val="nil"/>
              <w:left w:val="nil"/>
              <w:bottom w:val="nil"/>
              <w:right w:val="nil"/>
            </w:tcBorders>
            <w:shd w:val="clear" w:color="auto" w:fill="auto"/>
            <w:noWrap/>
            <w:vAlign w:val="bottom"/>
            <w:hideMark/>
          </w:tcPr>
          <w:p w14:paraId="287A363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191 013</w:t>
            </w:r>
          </w:p>
        </w:tc>
        <w:tc>
          <w:tcPr>
            <w:tcW w:w="483" w:type="pct"/>
            <w:tcBorders>
              <w:top w:val="nil"/>
              <w:left w:val="nil"/>
              <w:bottom w:val="nil"/>
              <w:right w:val="nil"/>
            </w:tcBorders>
            <w:shd w:val="clear" w:color="auto" w:fill="auto"/>
            <w:noWrap/>
            <w:vAlign w:val="bottom"/>
            <w:hideMark/>
          </w:tcPr>
          <w:p w14:paraId="737F949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59" w:type="pct"/>
            <w:tcBorders>
              <w:top w:val="nil"/>
              <w:left w:val="nil"/>
              <w:bottom w:val="nil"/>
              <w:right w:val="nil"/>
            </w:tcBorders>
            <w:shd w:val="clear" w:color="auto" w:fill="auto"/>
            <w:noWrap/>
            <w:vAlign w:val="bottom"/>
            <w:hideMark/>
          </w:tcPr>
          <w:p w14:paraId="0073EA7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59" w:type="pct"/>
            <w:tcBorders>
              <w:top w:val="nil"/>
              <w:left w:val="nil"/>
              <w:bottom w:val="nil"/>
              <w:right w:val="nil"/>
            </w:tcBorders>
            <w:shd w:val="clear" w:color="auto" w:fill="auto"/>
            <w:noWrap/>
            <w:vAlign w:val="bottom"/>
            <w:hideMark/>
          </w:tcPr>
          <w:p w14:paraId="79F715C5"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r>
      <w:tr w:rsidR="00DD531B" w:rsidRPr="00661122" w14:paraId="0657D69F" w14:textId="77777777" w:rsidTr="001F24AE">
        <w:trPr>
          <w:trHeight w:val="300"/>
        </w:trPr>
        <w:tc>
          <w:tcPr>
            <w:tcW w:w="2074" w:type="pct"/>
            <w:tcBorders>
              <w:top w:val="nil"/>
              <w:left w:val="nil"/>
              <w:bottom w:val="single" w:sz="4" w:space="0" w:color="auto"/>
              <w:right w:val="nil"/>
            </w:tcBorders>
            <w:shd w:val="clear" w:color="auto" w:fill="auto"/>
            <w:noWrap/>
            <w:vAlign w:val="bottom"/>
            <w:hideMark/>
          </w:tcPr>
          <w:p w14:paraId="2159D699"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prostriedky POO a DPH k POO</w:t>
            </w:r>
          </w:p>
        </w:tc>
        <w:tc>
          <w:tcPr>
            <w:tcW w:w="359" w:type="pct"/>
            <w:tcBorders>
              <w:top w:val="nil"/>
              <w:left w:val="nil"/>
              <w:bottom w:val="single" w:sz="4" w:space="0" w:color="auto"/>
              <w:right w:val="nil"/>
            </w:tcBorders>
            <w:shd w:val="clear" w:color="auto" w:fill="auto"/>
            <w:noWrap/>
            <w:vAlign w:val="bottom"/>
            <w:hideMark/>
          </w:tcPr>
          <w:p w14:paraId="0E8A7D8F"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59" w:type="pct"/>
            <w:tcBorders>
              <w:top w:val="nil"/>
              <w:left w:val="nil"/>
              <w:bottom w:val="single" w:sz="4" w:space="0" w:color="auto"/>
              <w:right w:val="nil"/>
            </w:tcBorders>
            <w:shd w:val="clear" w:color="auto" w:fill="auto"/>
            <w:noWrap/>
            <w:vAlign w:val="bottom"/>
            <w:hideMark/>
          </w:tcPr>
          <w:p w14:paraId="71FF7F7C"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268</w:t>
            </w:r>
          </w:p>
        </w:tc>
        <w:tc>
          <w:tcPr>
            <w:tcW w:w="421" w:type="pct"/>
            <w:tcBorders>
              <w:top w:val="nil"/>
              <w:left w:val="nil"/>
              <w:bottom w:val="single" w:sz="4" w:space="0" w:color="auto"/>
              <w:right w:val="nil"/>
            </w:tcBorders>
            <w:shd w:val="clear" w:color="auto" w:fill="auto"/>
            <w:noWrap/>
            <w:vAlign w:val="bottom"/>
            <w:hideMark/>
          </w:tcPr>
          <w:p w14:paraId="71CA9C2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585" w:type="pct"/>
            <w:tcBorders>
              <w:top w:val="nil"/>
              <w:left w:val="nil"/>
              <w:bottom w:val="single" w:sz="4" w:space="0" w:color="auto"/>
              <w:right w:val="nil"/>
            </w:tcBorders>
            <w:shd w:val="clear" w:color="auto" w:fill="auto"/>
            <w:noWrap/>
            <w:vAlign w:val="bottom"/>
            <w:hideMark/>
          </w:tcPr>
          <w:p w14:paraId="04D5516C"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2 819</w:t>
            </w:r>
          </w:p>
        </w:tc>
        <w:tc>
          <w:tcPr>
            <w:tcW w:w="483" w:type="pct"/>
            <w:tcBorders>
              <w:top w:val="nil"/>
              <w:left w:val="nil"/>
              <w:bottom w:val="single" w:sz="4" w:space="0" w:color="auto"/>
              <w:right w:val="nil"/>
            </w:tcBorders>
            <w:shd w:val="clear" w:color="auto" w:fill="auto"/>
            <w:noWrap/>
            <w:vAlign w:val="bottom"/>
            <w:hideMark/>
          </w:tcPr>
          <w:p w14:paraId="06A15A3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59" w:type="pct"/>
            <w:tcBorders>
              <w:top w:val="nil"/>
              <w:left w:val="nil"/>
              <w:bottom w:val="single" w:sz="4" w:space="0" w:color="auto"/>
              <w:right w:val="nil"/>
            </w:tcBorders>
            <w:shd w:val="clear" w:color="auto" w:fill="auto"/>
            <w:noWrap/>
            <w:vAlign w:val="bottom"/>
            <w:hideMark/>
          </w:tcPr>
          <w:p w14:paraId="770E38AE"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59" w:type="pct"/>
            <w:tcBorders>
              <w:top w:val="nil"/>
              <w:left w:val="nil"/>
              <w:bottom w:val="single" w:sz="4" w:space="0" w:color="auto"/>
              <w:right w:val="nil"/>
            </w:tcBorders>
            <w:shd w:val="clear" w:color="auto" w:fill="auto"/>
            <w:noWrap/>
            <w:vAlign w:val="bottom"/>
            <w:hideMark/>
          </w:tcPr>
          <w:p w14:paraId="77A1697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r>
    </w:tbl>
    <w:p w14:paraId="72D143E3" w14:textId="68397496" w:rsidR="00DD531B" w:rsidRDefault="00DD531B" w:rsidP="00DD531B">
      <w:pPr>
        <w:rPr>
          <w:rFonts w:ascii="Times New Roman" w:eastAsia="Calibri" w:hAnsi="Times New Roman" w:cs="Times New Roman"/>
          <w:sz w:val="16"/>
          <w:szCs w:val="16"/>
        </w:rPr>
      </w:pPr>
    </w:p>
    <w:p w14:paraId="7F3A9B2B" w14:textId="1C86E1A5" w:rsidR="00661122" w:rsidRDefault="00661122" w:rsidP="00DD531B">
      <w:pPr>
        <w:rPr>
          <w:rFonts w:ascii="Times New Roman" w:eastAsia="Calibri" w:hAnsi="Times New Roman" w:cs="Times New Roman"/>
          <w:sz w:val="16"/>
          <w:szCs w:val="16"/>
        </w:rPr>
      </w:pPr>
    </w:p>
    <w:p w14:paraId="7D8B40AB" w14:textId="4AA6B258" w:rsidR="00661122" w:rsidRDefault="00661122" w:rsidP="00DD531B">
      <w:pPr>
        <w:rPr>
          <w:rFonts w:ascii="Times New Roman" w:eastAsia="Calibri" w:hAnsi="Times New Roman" w:cs="Times New Roman"/>
          <w:sz w:val="16"/>
          <w:szCs w:val="16"/>
        </w:rPr>
      </w:pPr>
    </w:p>
    <w:p w14:paraId="7814C723" w14:textId="14594D9E" w:rsidR="00661122" w:rsidRDefault="00661122" w:rsidP="00DD531B">
      <w:pPr>
        <w:rPr>
          <w:rFonts w:ascii="Times New Roman" w:eastAsia="Calibri" w:hAnsi="Times New Roman" w:cs="Times New Roman"/>
          <w:sz w:val="16"/>
          <w:szCs w:val="16"/>
        </w:rPr>
      </w:pPr>
    </w:p>
    <w:p w14:paraId="4103639D" w14:textId="623EA7C6" w:rsidR="00661122" w:rsidRDefault="00661122" w:rsidP="00DD531B">
      <w:pPr>
        <w:rPr>
          <w:rFonts w:ascii="Times New Roman" w:eastAsia="Calibri" w:hAnsi="Times New Roman" w:cs="Times New Roman"/>
          <w:sz w:val="16"/>
          <w:szCs w:val="16"/>
        </w:rPr>
      </w:pPr>
    </w:p>
    <w:p w14:paraId="18B74BBF" w14:textId="3C324F98" w:rsidR="00661122" w:rsidRDefault="00661122" w:rsidP="00DD531B">
      <w:pPr>
        <w:rPr>
          <w:rFonts w:ascii="Times New Roman" w:eastAsia="Calibri" w:hAnsi="Times New Roman" w:cs="Times New Roman"/>
          <w:sz w:val="16"/>
          <w:szCs w:val="16"/>
        </w:rPr>
      </w:pPr>
    </w:p>
    <w:p w14:paraId="71244478" w14:textId="72B5A05E" w:rsidR="00661122" w:rsidRDefault="00661122" w:rsidP="00DD531B">
      <w:pPr>
        <w:rPr>
          <w:rFonts w:ascii="Times New Roman" w:eastAsia="Calibri" w:hAnsi="Times New Roman" w:cs="Times New Roman"/>
          <w:sz w:val="16"/>
          <w:szCs w:val="16"/>
        </w:rPr>
      </w:pPr>
    </w:p>
    <w:p w14:paraId="3CD623EB" w14:textId="57B9079C" w:rsidR="00661122" w:rsidRDefault="00661122" w:rsidP="00DD531B">
      <w:pPr>
        <w:rPr>
          <w:rFonts w:ascii="Times New Roman" w:eastAsia="Calibri" w:hAnsi="Times New Roman" w:cs="Times New Roman"/>
          <w:sz w:val="16"/>
          <w:szCs w:val="16"/>
        </w:rPr>
      </w:pPr>
    </w:p>
    <w:p w14:paraId="7065C821" w14:textId="3804C32E" w:rsidR="00661122" w:rsidRDefault="00661122" w:rsidP="00DD531B">
      <w:pPr>
        <w:rPr>
          <w:rFonts w:ascii="Times New Roman" w:eastAsia="Calibri" w:hAnsi="Times New Roman" w:cs="Times New Roman"/>
          <w:sz w:val="16"/>
          <w:szCs w:val="16"/>
        </w:rPr>
      </w:pPr>
    </w:p>
    <w:p w14:paraId="29C07A94" w14:textId="642915D5" w:rsidR="00661122" w:rsidRDefault="00661122" w:rsidP="00DD531B">
      <w:pPr>
        <w:rPr>
          <w:rFonts w:ascii="Times New Roman" w:eastAsia="Calibri" w:hAnsi="Times New Roman" w:cs="Times New Roman"/>
          <w:sz w:val="16"/>
          <w:szCs w:val="16"/>
        </w:rPr>
      </w:pPr>
    </w:p>
    <w:p w14:paraId="173774D5" w14:textId="77777777" w:rsidR="00661122" w:rsidRPr="00661122" w:rsidRDefault="00661122" w:rsidP="00DD531B">
      <w:pPr>
        <w:rPr>
          <w:rFonts w:ascii="Times New Roman" w:eastAsia="Calibri" w:hAnsi="Times New Roman" w:cs="Times New Roman"/>
          <w:sz w:val="16"/>
          <w:szCs w:val="16"/>
        </w:rPr>
      </w:pPr>
    </w:p>
    <w:p w14:paraId="61264928" w14:textId="51EB4F09" w:rsidR="00DD531B" w:rsidRPr="00661122" w:rsidRDefault="00DD531B" w:rsidP="00DD531B">
      <w:pPr>
        <w:keepNext/>
        <w:keepLines/>
        <w:spacing w:before="40" w:after="0"/>
        <w:outlineLvl w:val="1"/>
        <w:rPr>
          <w:rFonts w:ascii="Times New Roman" w:eastAsia="Times New Roman" w:hAnsi="Times New Roman" w:cs="Times New Roman"/>
          <w:b/>
          <w:color w:val="5B9BD5" w:themeColor="accent1"/>
          <w:sz w:val="24"/>
          <w:szCs w:val="24"/>
        </w:rPr>
      </w:pPr>
      <w:r w:rsidRPr="00661122">
        <w:rPr>
          <w:rFonts w:ascii="Times New Roman" w:eastAsia="Times New Roman" w:hAnsi="Times New Roman" w:cs="Times New Roman"/>
          <w:b/>
          <w:color w:val="5B9BD5" w:themeColor="accent1"/>
          <w:sz w:val="24"/>
          <w:szCs w:val="24"/>
        </w:rPr>
        <w:lastRenderedPageBreak/>
        <w:t>Ministerstvo pôdohospodárstva a rozvoja vidieka SR</w:t>
      </w:r>
    </w:p>
    <w:p w14:paraId="14D180BD" w14:textId="77777777" w:rsidR="00DD531B" w:rsidRPr="00661122" w:rsidRDefault="00DD531B" w:rsidP="00DD531B">
      <w:pPr>
        <w:rPr>
          <w:rFonts w:ascii="Times New Roman" w:eastAsia="Calibri" w:hAnsi="Times New Roman" w:cs="Times New Roman"/>
          <w:color w:val="5B9BD5" w:themeColor="accent1"/>
        </w:rPr>
      </w:pPr>
    </w:p>
    <w:p w14:paraId="44449A24" w14:textId="712285E1" w:rsidR="00DD531B" w:rsidRPr="00661122" w:rsidRDefault="00661122"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23" w:name="_Toc153013093"/>
      <w:r w:rsidRPr="00661122">
        <w:rPr>
          <w:rFonts w:ascii="Times New Roman" w:eastAsia="Times New Roman" w:hAnsi="Times New Roman" w:cs="Times New Roman"/>
          <w:b/>
          <w:iCs/>
          <w:color w:val="5B9BD5" w:themeColor="accent1"/>
          <w:sz w:val="20"/>
          <w:szCs w:val="20"/>
          <w:lang w:eastAsia="sk-SK"/>
        </w:rPr>
        <w:t xml:space="preserve">Tabuľka </w:t>
      </w:r>
      <w:r w:rsidRPr="00661122">
        <w:rPr>
          <w:rFonts w:ascii="Times New Roman" w:hAnsi="Times New Roman" w:cs="Times New Roman"/>
          <w:b/>
          <w:color w:val="5B9BD5" w:themeColor="accent1"/>
          <w:sz w:val="20"/>
          <w:szCs w:val="20"/>
        </w:rPr>
        <w:fldChar w:fldCharType="begin"/>
      </w:r>
      <w:r w:rsidRPr="00661122">
        <w:rPr>
          <w:rFonts w:ascii="Times New Roman" w:hAnsi="Times New Roman" w:cs="Times New Roman"/>
          <w:b/>
          <w:color w:val="5B9BD5" w:themeColor="accent1"/>
          <w:sz w:val="20"/>
          <w:szCs w:val="20"/>
        </w:rPr>
        <w:instrText xml:space="preserve"> SEQ Tabuľka \* ARABIC </w:instrText>
      </w:r>
      <w:r w:rsidRPr="00661122">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95</w:t>
      </w:r>
      <w:r w:rsidRPr="00661122">
        <w:rPr>
          <w:rFonts w:ascii="Times New Roman" w:hAnsi="Times New Roman" w:cs="Times New Roman"/>
          <w:b/>
          <w:color w:val="5B9BD5" w:themeColor="accent1"/>
          <w:sz w:val="20"/>
          <w:szCs w:val="20"/>
        </w:rPr>
        <w:fldChar w:fldCharType="end"/>
      </w:r>
      <w:r w:rsidRPr="00661122">
        <w:rPr>
          <w:rFonts w:ascii="Times New Roman" w:hAnsi="Times New Roman" w:cs="Times New Roman"/>
          <w:b/>
          <w:color w:val="5B9BD5" w:themeColor="accent1"/>
          <w:sz w:val="20"/>
          <w:szCs w:val="20"/>
        </w:rPr>
        <w:t xml:space="preserve"> - </w:t>
      </w:r>
      <w:r w:rsidR="00DD531B" w:rsidRPr="00661122">
        <w:rPr>
          <w:rFonts w:ascii="Times New Roman" w:eastAsia="Times New Roman" w:hAnsi="Times New Roman" w:cs="Times New Roman"/>
          <w:b/>
          <w:iCs/>
          <w:color w:val="5B9BD5" w:themeColor="accent1"/>
          <w:sz w:val="20"/>
          <w:szCs w:val="20"/>
          <w:lang w:eastAsia="sk-SK"/>
        </w:rPr>
        <w:t>Príjmy kapitoly MPRV SR</w:t>
      </w:r>
      <w:bookmarkEnd w:id="223"/>
    </w:p>
    <w:tbl>
      <w:tblPr>
        <w:tblW w:w="5000" w:type="pct"/>
        <w:tblCellMar>
          <w:left w:w="70" w:type="dxa"/>
          <w:right w:w="70" w:type="dxa"/>
        </w:tblCellMar>
        <w:tblLook w:val="04A0" w:firstRow="1" w:lastRow="0" w:firstColumn="1" w:lastColumn="0" w:noHBand="0" w:noVBand="1"/>
      </w:tblPr>
      <w:tblGrid>
        <w:gridCol w:w="4498"/>
        <w:gridCol w:w="589"/>
        <w:gridCol w:w="589"/>
        <w:gridCol w:w="660"/>
        <w:gridCol w:w="714"/>
        <w:gridCol w:w="660"/>
        <w:gridCol w:w="681"/>
        <w:gridCol w:w="681"/>
      </w:tblGrid>
      <w:tr w:rsidR="00DD531B" w:rsidRPr="00DD531B" w14:paraId="33CD78AA" w14:textId="77777777" w:rsidTr="001F24AE">
        <w:trPr>
          <w:trHeight w:val="300"/>
        </w:trPr>
        <w:tc>
          <w:tcPr>
            <w:tcW w:w="2486" w:type="pct"/>
            <w:tcBorders>
              <w:top w:val="single" w:sz="4" w:space="0" w:color="auto"/>
              <w:left w:val="nil"/>
              <w:bottom w:val="single" w:sz="4" w:space="0" w:color="auto"/>
              <w:right w:val="nil"/>
            </w:tcBorders>
            <w:shd w:val="clear" w:color="auto" w:fill="auto"/>
            <w:noWrap/>
            <w:vAlign w:val="center"/>
            <w:hideMark/>
          </w:tcPr>
          <w:p w14:paraId="16DA3BDC" w14:textId="77777777" w:rsidR="00DD531B" w:rsidRPr="00661122" w:rsidRDefault="00DD531B" w:rsidP="00DD531B">
            <w:pPr>
              <w:spacing w:after="0" w:line="240" w:lineRule="auto"/>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v eur</w:t>
            </w:r>
          </w:p>
        </w:tc>
        <w:tc>
          <w:tcPr>
            <w:tcW w:w="327" w:type="pct"/>
            <w:tcBorders>
              <w:top w:val="single" w:sz="4" w:space="0" w:color="auto"/>
              <w:left w:val="nil"/>
              <w:bottom w:val="single" w:sz="4" w:space="0" w:color="auto"/>
              <w:right w:val="nil"/>
            </w:tcBorders>
            <w:shd w:val="clear" w:color="auto" w:fill="auto"/>
            <w:noWrap/>
            <w:vAlign w:val="center"/>
            <w:hideMark/>
          </w:tcPr>
          <w:p w14:paraId="4D372629" w14:textId="77777777" w:rsidR="00DD531B" w:rsidRPr="00661122" w:rsidRDefault="00DD531B" w:rsidP="00DD531B">
            <w:pPr>
              <w:spacing w:after="0" w:line="240" w:lineRule="auto"/>
              <w:jc w:val="center"/>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2021 S</w:t>
            </w:r>
          </w:p>
        </w:tc>
        <w:tc>
          <w:tcPr>
            <w:tcW w:w="327" w:type="pct"/>
            <w:tcBorders>
              <w:top w:val="single" w:sz="4" w:space="0" w:color="auto"/>
              <w:left w:val="nil"/>
              <w:bottom w:val="single" w:sz="4" w:space="0" w:color="auto"/>
              <w:right w:val="nil"/>
            </w:tcBorders>
            <w:shd w:val="clear" w:color="auto" w:fill="auto"/>
            <w:noWrap/>
            <w:vAlign w:val="center"/>
            <w:hideMark/>
          </w:tcPr>
          <w:p w14:paraId="57BFD86C" w14:textId="77777777" w:rsidR="00DD531B" w:rsidRPr="00661122" w:rsidRDefault="00DD531B" w:rsidP="00DD531B">
            <w:pPr>
              <w:spacing w:after="0" w:line="240" w:lineRule="auto"/>
              <w:jc w:val="center"/>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2022 S</w:t>
            </w:r>
          </w:p>
        </w:tc>
        <w:tc>
          <w:tcPr>
            <w:tcW w:w="327" w:type="pct"/>
            <w:tcBorders>
              <w:top w:val="single" w:sz="4" w:space="0" w:color="auto"/>
              <w:left w:val="nil"/>
              <w:bottom w:val="single" w:sz="4" w:space="0" w:color="auto"/>
              <w:right w:val="nil"/>
            </w:tcBorders>
            <w:shd w:val="clear" w:color="auto" w:fill="auto"/>
            <w:noWrap/>
            <w:vAlign w:val="center"/>
            <w:hideMark/>
          </w:tcPr>
          <w:p w14:paraId="75DE85CA" w14:textId="77777777" w:rsidR="00DD531B" w:rsidRPr="00661122" w:rsidRDefault="00DD531B" w:rsidP="00DD531B">
            <w:pPr>
              <w:spacing w:after="0" w:line="240" w:lineRule="auto"/>
              <w:jc w:val="center"/>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2023 R</w:t>
            </w:r>
          </w:p>
        </w:tc>
        <w:tc>
          <w:tcPr>
            <w:tcW w:w="383" w:type="pct"/>
            <w:tcBorders>
              <w:top w:val="single" w:sz="4" w:space="0" w:color="auto"/>
              <w:left w:val="nil"/>
              <w:bottom w:val="single" w:sz="4" w:space="0" w:color="auto"/>
              <w:right w:val="nil"/>
            </w:tcBorders>
            <w:shd w:val="clear" w:color="auto" w:fill="auto"/>
            <w:noWrap/>
            <w:vAlign w:val="center"/>
            <w:hideMark/>
          </w:tcPr>
          <w:p w14:paraId="74BF9F6C" w14:textId="77777777" w:rsidR="00DD531B" w:rsidRPr="00661122" w:rsidRDefault="00DD531B" w:rsidP="00DD531B">
            <w:pPr>
              <w:spacing w:after="0" w:line="240" w:lineRule="auto"/>
              <w:jc w:val="center"/>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2023 OS</w:t>
            </w:r>
          </w:p>
        </w:tc>
        <w:tc>
          <w:tcPr>
            <w:tcW w:w="383" w:type="pct"/>
            <w:tcBorders>
              <w:top w:val="single" w:sz="4" w:space="0" w:color="auto"/>
              <w:left w:val="nil"/>
              <w:bottom w:val="single" w:sz="4" w:space="0" w:color="auto"/>
              <w:right w:val="nil"/>
            </w:tcBorders>
            <w:shd w:val="clear" w:color="auto" w:fill="auto"/>
            <w:noWrap/>
            <w:vAlign w:val="center"/>
            <w:hideMark/>
          </w:tcPr>
          <w:p w14:paraId="7653FAFA" w14:textId="77777777" w:rsidR="00DD531B" w:rsidRPr="00661122" w:rsidRDefault="00DD531B" w:rsidP="00DD531B">
            <w:pPr>
              <w:spacing w:after="0" w:line="240" w:lineRule="auto"/>
              <w:jc w:val="center"/>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2024 N</w:t>
            </w:r>
          </w:p>
        </w:tc>
        <w:tc>
          <w:tcPr>
            <w:tcW w:w="383" w:type="pct"/>
            <w:tcBorders>
              <w:top w:val="single" w:sz="4" w:space="0" w:color="auto"/>
              <w:left w:val="nil"/>
              <w:bottom w:val="single" w:sz="4" w:space="0" w:color="auto"/>
              <w:right w:val="nil"/>
            </w:tcBorders>
            <w:shd w:val="clear" w:color="auto" w:fill="auto"/>
            <w:noWrap/>
            <w:vAlign w:val="center"/>
            <w:hideMark/>
          </w:tcPr>
          <w:p w14:paraId="0ED035B2" w14:textId="77777777" w:rsidR="00DD531B" w:rsidRPr="00661122" w:rsidRDefault="00DD531B" w:rsidP="00DD531B">
            <w:pPr>
              <w:spacing w:after="0" w:line="240" w:lineRule="auto"/>
              <w:jc w:val="center"/>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2025 N</w:t>
            </w:r>
          </w:p>
        </w:tc>
        <w:tc>
          <w:tcPr>
            <w:tcW w:w="383" w:type="pct"/>
            <w:tcBorders>
              <w:top w:val="single" w:sz="4" w:space="0" w:color="auto"/>
              <w:left w:val="nil"/>
              <w:bottom w:val="single" w:sz="4" w:space="0" w:color="auto"/>
              <w:right w:val="nil"/>
            </w:tcBorders>
            <w:shd w:val="clear" w:color="auto" w:fill="auto"/>
            <w:noWrap/>
            <w:vAlign w:val="center"/>
            <w:hideMark/>
          </w:tcPr>
          <w:p w14:paraId="64A89E4A" w14:textId="77777777" w:rsidR="00DD531B" w:rsidRPr="00661122" w:rsidRDefault="00DD531B" w:rsidP="00DD531B">
            <w:pPr>
              <w:spacing w:after="0" w:line="240" w:lineRule="auto"/>
              <w:jc w:val="center"/>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2026 N</w:t>
            </w:r>
          </w:p>
        </w:tc>
      </w:tr>
      <w:tr w:rsidR="00DD531B" w:rsidRPr="00DD531B" w14:paraId="481F50F9" w14:textId="77777777" w:rsidTr="001F24AE">
        <w:trPr>
          <w:trHeight w:val="300"/>
        </w:trPr>
        <w:tc>
          <w:tcPr>
            <w:tcW w:w="2486" w:type="pct"/>
            <w:tcBorders>
              <w:top w:val="nil"/>
              <w:left w:val="nil"/>
              <w:bottom w:val="nil"/>
              <w:right w:val="nil"/>
            </w:tcBorders>
            <w:shd w:val="clear" w:color="auto" w:fill="auto"/>
            <w:noWrap/>
            <w:vAlign w:val="bottom"/>
            <w:hideMark/>
          </w:tcPr>
          <w:p w14:paraId="6C9AEE4B" w14:textId="77777777" w:rsidR="00DD531B" w:rsidRPr="00661122" w:rsidRDefault="00DD531B" w:rsidP="00DD531B">
            <w:pPr>
              <w:spacing w:after="0" w:line="240" w:lineRule="auto"/>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Príjmy kapitoly spolu</w:t>
            </w:r>
          </w:p>
        </w:tc>
        <w:tc>
          <w:tcPr>
            <w:tcW w:w="327" w:type="pct"/>
            <w:tcBorders>
              <w:top w:val="nil"/>
              <w:left w:val="nil"/>
              <w:bottom w:val="nil"/>
              <w:right w:val="nil"/>
            </w:tcBorders>
            <w:shd w:val="clear" w:color="auto" w:fill="auto"/>
            <w:noWrap/>
            <w:vAlign w:val="bottom"/>
            <w:hideMark/>
          </w:tcPr>
          <w:p w14:paraId="0EB4999A"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7 830</w:t>
            </w:r>
          </w:p>
        </w:tc>
        <w:tc>
          <w:tcPr>
            <w:tcW w:w="327" w:type="pct"/>
            <w:tcBorders>
              <w:top w:val="nil"/>
              <w:left w:val="nil"/>
              <w:bottom w:val="nil"/>
              <w:right w:val="nil"/>
            </w:tcBorders>
            <w:shd w:val="clear" w:color="auto" w:fill="auto"/>
            <w:noWrap/>
            <w:vAlign w:val="bottom"/>
            <w:hideMark/>
          </w:tcPr>
          <w:p w14:paraId="41756137"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8 183</w:t>
            </w:r>
          </w:p>
        </w:tc>
        <w:tc>
          <w:tcPr>
            <w:tcW w:w="327" w:type="pct"/>
            <w:tcBorders>
              <w:top w:val="nil"/>
              <w:left w:val="nil"/>
              <w:bottom w:val="nil"/>
              <w:right w:val="nil"/>
            </w:tcBorders>
            <w:shd w:val="clear" w:color="auto" w:fill="auto"/>
            <w:noWrap/>
            <w:vAlign w:val="bottom"/>
            <w:hideMark/>
          </w:tcPr>
          <w:p w14:paraId="4F1F64A1"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644 474</w:t>
            </w:r>
          </w:p>
        </w:tc>
        <w:tc>
          <w:tcPr>
            <w:tcW w:w="383" w:type="pct"/>
            <w:tcBorders>
              <w:top w:val="nil"/>
              <w:left w:val="nil"/>
              <w:bottom w:val="nil"/>
              <w:right w:val="nil"/>
            </w:tcBorders>
            <w:shd w:val="clear" w:color="auto" w:fill="auto"/>
            <w:noWrap/>
            <w:vAlign w:val="bottom"/>
            <w:hideMark/>
          </w:tcPr>
          <w:p w14:paraId="026452AD"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907 271</w:t>
            </w:r>
          </w:p>
        </w:tc>
        <w:tc>
          <w:tcPr>
            <w:tcW w:w="383" w:type="pct"/>
            <w:tcBorders>
              <w:top w:val="nil"/>
              <w:left w:val="nil"/>
              <w:bottom w:val="nil"/>
              <w:right w:val="nil"/>
            </w:tcBorders>
            <w:shd w:val="clear" w:color="auto" w:fill="auto"/>
            <w:noWrap/>
            <w:vAlign w:val="bottom"/>
            <w:hideMark/>
          </w:tcPr>
          <w:p w14:paraId="5DC476AF"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769 256</w:t>
            </w:r>
          </w:p>
        </w:tc>
        <w:tc>
          <w:tcPr>
            <w:tcW w:w="383" w:type="pct"/>
            <w:tcBorders>
              <w:top w:val="nil"/>
              <w:left w:val="nil"/>
              <w:bottom w:val="nil"/>
              <w:right w:val="nil"/>
            </w:tcBorders>
            <w:shd w:val="clear" w:color="auto" w:fill="auto"/>
            <w:noWrap/>
            <w:vAlign w:val="bottom"/>
            <w:hideMark/>
          </w:tcPr>
          <w:p w14:paraId="550A0E7D"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714 019</w:t>
            </w:r>
          </w:p>
        </w:tc>
        <w:tc>
          <w:tcPr>
            <w:tcW w:w="383" w:type="pct"/>
            <w:tcBorders>
              <w:top w:val="nil"/>
              <w:left w:val="nil"/>
              <w:bottom w:val="nil"/>
              <w:right w:val="nil"/>
            </w:tcBorders>
            <w:shd w:val="clear" w:color="auto" w:fill="auto"/>
            <w:noWrap/>
            <w:vAlign w:val="bottom"/>
            <w:hideMark/>
          </w:tcPr>
          <w:p w14:paraId="7DDAA600"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717 847</w:t>
            </w:r>
          </w:p>
        </w:tc>
      </w:tr>
      <w:tr w:rsidR="00DD531B" w:rsidRPr="00DD531B" w14:paraId="380071F7" w14:textId="77777777" w:rsidTr="001F24AE">
        <w:trPr>
          <w:trHeight w:val="300"/>
        </w:trPr>
        <w:tc>
          <w:tcPr>
            <w:tcW w:w="2486" w:type="pct"/>
            <w:tcBorders>
              <w:top w:val="nil"/>
              <w:left w:val="nil"/>
              <w:bottom w:val="nil"/>
              <w:right w:val="nil"/>
            </w:tcBorders>
            <w:shd w:val="clear" w:color="auto" w:fill="auto"/>
            <w:noWrap/>
            <w:vAlign w:val="bottom"/>
            <w:hideMark/>
          </w:tcPr>
          <w:p w14:paraId="74724DC6" w14:textId="77777777" w:rsidR="00DD531B" w:rsidRPr="00661122" w:rsidRDefault="00DD531B" w:rsidP="00DD531B">
            <w:pPr>
              <w:spacing w:after="0" w:line="240" w:lineRule="auto"/>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nedaňové príjmy</w:t>
            </w:r>
          </w:p>
        </w:tc>
        <w:tc>
          <w:tcPr>
            <w:tcW w:w="327" w:type="pct"/>
            <w:tcBorders>
              <w:top w:val="nil"/>
              <w:left w:val="nil"/>
              <w:bottom w:val="nil"/>
              <w:right w:val="nil"/>
            </w:tcBorders>
            <w:shd w:val="clear" w:color="auto" w:fill="auto"/>
            <w:noWrap/>
            <w:vAlign w:val="bottom"/>
            <w:hideMark/>
          </w:tcPr>
          <w:p w14:paraId="601EA5A8"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7 798</w:t>
            </w:r>
          </w:p>
        </w:tc>
        <w:tc>
          <w:tcPr>
            <w:tcW w:w="327" w:type="pct"/>
            <w:tcBorders>
              <w:top w:val="nil"/>
              <w:left w:val="nil"/>
              <w:bottom w:val="nil"/>
              <w:right w:val="nil"/>
            </w:tcBorders>
            <w:shd w:val="clear" w:color="auto" w:fill="auto"/>
            <w:noWrap/>
            <w:vAlign w:val="bottom"/>
            <w:hideMark/>
          </w:tcPr>
          <w:p w14:paraId="12C5FA45"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8 170</w:t>
            </w:r>
          </w:p>
        </w:tc>
        <w:tc>
          <w:tcPr>
            <w:tcW w:w="327" w:type="pct"/>
            <w:tcBorders>
              <w:top w:val="nil"/>
              <w:left w:val="nil"/>
              <w:bottom w:val="nil"/>
              <w:right w:val="nil"/>
            </w:tcBorders>
            <w:shd w:val="clear" w:color="auto" w:fill="auto"/>
            <w:noWrap/>
            <w:vAlign w:val="bottom"/>
            <w:hideMark/>
          </w:tcPr>
          <w:p w14:paraId="501EF38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8 300</w:t>
            </w:r>
          </w:p>
        </w:tc>
        <w:tc>
          <w:tcPr>
            <w:tcW w:w="383" w:type="pct"/>
            <w:tcBorders>
              <w:top w:val="nil"/>
              <w:left w:val="nil"/>
              <w:bottom w:val="nil"/>
              <w:right w:val="nil"/>
            </w:tcBorders>
            <w:shd w:val="clear" w:color="auto" w:fill="auto"/>
            <w:noWrap/>
            <w:vAlign w:val="bottom"/>
            <w:hideMark/>
          </w:tcPr>
          <w:p w14:paraId="4E720A7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9 455</w:t>
            </w:r>
          </w:p>
        </w:tc>
        <w:tc>
          <w:tcPr>
            <w:tcW w:w="383" w:type="pct"/>
            <w:tcBorders>
              <w:top w:val="nil"/>
              <w:left w:val="nil"/>
              <w:bottom w:val="nil"/>
              <w:right w:val="nil"/>
            </w:tcBorders>
            <w:shd w:val="clear" w:color="auto" w:fill="auto"/>
            <w:noWrap/>
            <w:vAlign w:val="bottom"/>
            <w:hideMark/>
          </w:tcPr>
          <w:p w14:paraId="08085173"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10 779</w:t>
            </w:r>
          </w:p>
        </w:tc>
        <w:tc>
          <w:tcPr>
            <w:tcW w:w="383" w:type="pct"/>
            <w:tcBorders>
              <w:top w:val="nil"/>
              <w:left w:val="nil"/>
              <w:bottom w:val="nil"/>
              <w:right w:val="nil"/>
            </w:tcBorders>
            <w:shd w:val="clear" w:color="auto" w:fill="auto"/>
            <w:noWrap/>
            <w:vAlign w:val="bottom"/>
            <w:hideMark/>
          </w:tcPr>
          <w:p w14:paraId="42295091"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8 300</w:t>
            </w:r>
          </w:p>
        </w:tc>
        <w:tc>
          <w:tcPr>
            <w:tcW w:w="383" w:type="pct"/>
            <w:tcBorders>
              <w:top w:val="nil"/>
              <w:left w:val="nil"/>
              <w:bottom w:val="nil"/>
              <w:right w:val="nil"/>
            </w:tcBorders>
            <w:shd w:val="clear" w:color="auto" w:fill="auto"/>
            <w:noWrap/>
            <w:vAlign w:val="bottom"/>
            <w:hideMark/>
          </w:tcPr>
          <w:p w14:paraId="46048F7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8 300</w:t>
            </w:r>
          </w:p>
        </w:tc>
      </w:tr>
      <w:tr w:rsidR="00DD531B" w:rsidRPr="00DD531B" w14:paraId="171C8479" w14:textId="77777777" w:rsidTr="001F24AE">
        <w:trPr>
          <w:trHeight w:val="300"/>
        </w:trPr>
        <w:tc>
          <w:tcPr>
            <w:tcW w:w="2486" w:type="pct"/>
            <w:tcBorders>
              <w:top w:val="nil"/>
              <w:left w:val="nil"/>
              <w:bottom w:val="nil"/>
              <w:right w:val="nil"/>
            </w:tcBorders>
            <w:shd w:val="clear" w:color="auto" w:fill="auto"/>
            <w:noWrap/>
            <w:vAlign w:val="bottom"/>
            <w:hideMark/>
          </w:tcPr>
          <w:p w14:paraId="0420F13E" w14:textId="77777777" w:rsidR="00DD531B" w:rsidRPr="00661122" w:rsidRDefault="00DD531B" w:rsidP="00DD531B">
            <w:pPr>
              <w:spacing w:after="0" w:line="240" w:lineRule="auto"/>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granty a transfery, v tom:</w:t>
            </w:r>
          </w:p>
        </w:tc>
        <w:tc>
          <w:tcPr>
            <w:tcW w:w="327" w:type="pct"/>
            <w:tcBorders>
              <w:top w:val="nil"/>
              <w:left w:val="nil"/>
              <w:bottom w:val="nil"/>
              <w:right w:val="nil"/>
            </w:tcBorders>
            <w:shd w:val="clear" w:color="auto" w:fill="auto"/>
            <w:noWrap/>
            <w:vAlign w:val="bottom"/>
            <w:hideMark/>
          </w:tcPr>
          <w:p w14:paraId="7ED38933"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27" w:type="pct"/>
            <w:tcBorders>
              <w:top w:val="nil"/>
              <w:left w:val="nil"/>
              <w:bottom w:val="nil"/>
              <w:right w:val="nil"/>
            </w:tcBorders>
            <w:shd w:val="clear" w:color="auto" w:fill="auto"/>
            <w:noWrap/>
            <w:vAlign w:val="bottom"/>
            <w:hideMark/>
          </w:tcPr>
          <w:p w14:paraId="144353C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27" w:type="pct"/>
            <w:tcBorders>
              <w:top w:val="nil"/>
              <w:left w:val="nil"/>
              <w:bottom w:val="nil"/>
              <w:right w:val="nil"/>
            </w:tcBorders>
            <w:shd w:val="clear" w:color="auto" w:fill="auto"/>
            <w:noWrap/>
            <w:vAlign w:val="bottom"/>
            <w:hideMark/>
          </w:tcPr>
          <w:p w14:paraId="75F1C2A5"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636 174</w:t>
            </w:r>
          </w:p>
        </w:tc>
        <w:tc>
          <w:tcPr>
            <w:tcW w:w="383" w:type="pct"/>
            <w:tcBorders>
              <w:top w:val="nil"/>
              <w:left w:val="nil"/>
              <w:bottom w:val="nil"/>
              <w:right w:val="nil"/>
            </w:tcBorders>
            <w:shd w:val="clear" w:color="auto" w:fill="auto"/>
            <w:noWrap/>
            <w:vAlign w:val="bottom"/>
            <w:hideMark/>
          </w:tcPr>
          <w:p w14:paraId="56C52D7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897 808</w:t>
            </w:r>
          </w:p>
        </w:tc>
        <w:tc>
          <w:tcPr>
            <w:tcW w:w="383" w:type="pct"/>
            <w:tcBorders>
              <w:top w:val="nil"/>
              <w:left w:val="nil"/>
              <w:bottom w:val="nil"/>
              <w:right w:val="nil"/>
            </w:tcBorders>
            <w:shd w:val="clear" w:color="auto" w:fill="auto"/>
            <w:noWrap/>
            <w:vAlign w:val="bottom"/>
            <w:hideMark/>
          </w:tcPr>
          <w:p w14:paraId="656E6CC5"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758 477</w:t>
            </w:r>
          </w:p>
        </w:tc>
        <w:tc>
          <w:tcPr>
            <w:tcW w:w="383" w:type="pct"/>
            <w:tcBorders>
              <w:top w:val="nil"/>
              <w:left w:val="nil"/>
              <w:bottom w:val="nil"/>
              <w:right w:val="nil"/>
            </w:tcBorders>
            <w:shd w:val="clear" w:color="auto" w:fill="auto"/>
            <w:noWrap/>
            <w:vAlign w:val="bottom"/>
            <w:hideMark/>
          </w:tcPr>
          <w:p w14:paraId="584FBE65"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705 719</w:t>
            </w:r>
          </w:p>
        </w:tc>
        <w:tc>
          <w:tcPr>
            <w:tcW w:w="383" w:type="pct"/>
            <w:tcBorders>
              <w:top w:val="nil"/>
              <w:left w:val="nil"/>
              <w:bottom w:val="nil"/>
              <w:right w:val="nil"/>
            </w:tcBorders>
            <w:shd w:val="clear" w:color="auto" w:fill="auto"/>
            <w:noWrap/>
            <w:vAlign w:val="bottom"/>
            <w:hideMark/>
          </w:tcPr>
          <w:p w14:paraId="06481A10"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709 547</w:t>
            </w:r>
          </w:p>
        </w:tc>
      </w:tr>
      <w:tr w:rsidR="00DD531B" w:rsidRPr="00DD531B" w14:paraId="74DB6C53" w14:textId="77777777" w:rsidTr="001F24AE">
        <w:trPr>
          <w:trHeight w:val="300"/>
        </w:trPr>
        <w:tc>
          <w:tcPr>
            <w:tcW w:w="2486" w:type="pct"/>
            <w:tcBorders>
              <w:top w:val="nil"/>
              <w:left w:val="nil"/>
              <w:bottom w:val="nil"/>
              <w:right w:val="nil"/>
            </w:tcBorders>
            <w:shd w:val="clear" w:color="auto" w:fill="auto"/>
            <w:noWrap/>
            <w:vAlign w:val="bottom"/>
            <w:hideMark/>
          </w:tcPr>
          <w:p w14:paraId="3C12D353" w14:textId="77777777" w:rsidR="00DD531B" w:rsidRPr="00661122" w:rsidRDefault="00DD531B" w:rsidP="00DD531B">
            <w:pPr>
              <w:spacing w:after="0" w:line="240" w:lineRule="auto"/>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prostriedky EÚ</w:t>
            </w:r>
          </w:p>
        </w:tc>
        <w:tc>
          <w:tcPr>
            <w:tcW w:w="327" w:type="pct"/>
            <w:tcBorders>
              <w:top w:val="nil"/>
              <w:left w:val="nil"/>
              <w:bottom w:val="nil"/>
              <w:right w:val="nil"/>
            </w:tcBorders>
            <w:shd w:val="clear" w:color="auto" w:fill="auto"/>
            <w:noWrap/>
            <w:vAlign w:val="bottom"/>
            <w:hideMark/>
          </w:tcPr>
          <w:p w14:paraId="3941E7E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27" w:type="pct"/>
            <w:tcBorders>
              <w:top w:val="nil"/>
              <w:left w:val="nil"/>
              <w:bottom w:val="nil"/>
              <w:right w:val="nil"/>
            </w:tcBorders>
            <w:shd w:val="clear" w:color="auto" w:fill="auto"/>
            <w:noWrap/>
            <w:vAlign w:val="bottom"/>
            <w:hideMark/>
          </w:tcPr>
          <w:p w14:paraId="306B4198"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27" w:type="pct"/>
            <w:tcBorders>
              <w:top w:val="nil"/>
              <w:left w:val="nil"/>
              <w:bottom w:val="nil"/>
              <w:right w:val="nil"/>
            </w:tcBorders>
            <w:shd w:val="clear" w:color="auto" w:fill="auto"/>
            <w:noWrap/>
            <w:vAlign w:val="bottom"/>
            <w:hideMark/>
          </w:tcPr>
          <w:p w14:paraId="1DC03D8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634 674</w:t>
            </w:r>
          </w:p>
        </w:tc>
        <w:tc>
          <w:tcPr>
            <w:tcW w:w="383" w:type="pct"/>
            <w:tcBorders>
              <w:top w:val="nil"/>
              <w:left w:val="nil"/>
              <w:bottom w:val="nil"/>
              <w:right w:val="nil"/>
            </w:tcBorders>
            <w:shd w:val="clear" w:color="auto" w:fill="auto"/>
            <w:noWrap/>
            <w:vAlign w:val="bottom"/>
            <w:hideMark/>
          </w:tcPr>
          <w:p w14:paraId="7305780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897 808</w:t>
            </w:r>
          </w:p>
        </w:tc>
        <w:tc>
          <w:tcPr>
            <w:tcW w:w="383" w:type="pct"/>
            <w:tcBorders>
              <w:top w:val="nil"/>
              <w:left w:val="nil"/>
              <w:bottom w:val="nil"/>
              <w:right w:val="nil"/>
            </w:tcBorders>
            <w:shd w:val="clear" w:color="auto" w:fill="auto"/>
            <w:noWrap/>
            <w:vAlign w:val="bottom"/>
            <w:hideMark/>
          </w:tcPr>
          <w:p w14:paraId="33DA746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756 977</w:t>
            </w:r>
          </w:p>
        </w:tc>
        <w:tc>
          <w:tcPr>
            <w:tcW w:w="383" w:type="pct"/>
            <w:tcBorders>
              <w:top w:val="nil"/>
              <w:left w:val="nil"/>
              <w:bottom w:val="nil"/>
              <w:right w:val="nil"/>
            </w:tcBorders>
            <w:shd w:val="clear" w:color="auto" w:fill="auto"/>
            <w:noWrap/>
            <w:vAlign w:val="bottom"/>
            <w:hideMark/>
          </w:tcPr>
          <w:p w14:paraId="5EB0F89F"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704 219</w:t>
            </w:r>
          </w:p>
        </w:tc>
        <w:tc>
          <w:tcPr>
            <w:tcW w:w="383" w:type="pct"/>
            <w:tcBorders>
              <w:top w:val="nil"/>
              <w:left w:val="nil"/>
              <w:bottom w:val="nil"/>
              <w:right w:val="nil"/>
            </w:tcBorders>
            <w:shd w:val="clear" w:color="auto" w:fill="auto"/>
            <w:noWrap/>
            <w:vAlign w:val="bottom"/>
            <w:hideMark/>
          </w:tcPr>
          <w:p w14:paraId="463EDE1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708 047</w:t>
            </w:r>
          </w:p>
        </w:tc>
      </w:tr>
      <w:tr w:rsidR="00DD531B" w:rsidRPr="00DD531B" w14:paraId="3DFA3602" w14:textId="77777777" w:rsidTr="001F24AE">
        <w:trPr>
          <w:trHeight w:val="300"/>
        </w:trPr>
        <w:tc>
          <w:tcPr>
            <w:tcW w:w="2486" w:type="pct"/>
            <w:tcBorders>
              <w:top w:val="nil"/>
              <w:left w:val="nil"/>
              <w:bottom w:val="nil"/>
              <w:right w:val="nil"/>
            </w:tcBorders>
            <w:shd w:val="clear" w:color="auto" w:fill="auto"/>
            <w:noWrap/>
            <w:vAlign w:val="bottom"/>
            <w:hideMark/>
          </w:tcPr>
          <w:p w14:paraId="20D7A709" w14:textId="77777777" w:rsidR="00DD531B" w:rsidRPr="00661122" w:rsidRDefault="00DD531B" w:rsidP="00DD531B">
            <w:pPr>
              <w:spacing w:after="0" w:line="240" w:lineRule="auto"/>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iné</w:t>
            </w:r>
          </w:p>
        </w:tc>
        <w:tc>
          <w:tcPr>
            <w:tcW w:w="327" w:type="pct"/>
            <w:tcBorders>
              <w:top w:val="nil"/>
              <w:left w:val="nil"/>
              <w:bottom w:val="nil"/>
              <w:right w:val="nil"/>
            </w:tcBorders>
            <w:shd w:val="clear" w:color="auto" w:fill="auto"/>
            <w:noWrap/>
            <w:vAlign w:val="bottom"/>
            <w:hideMark/>
          </w:tcPr>
          <w:p w14:paraId="0C2FD9E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27" w:type="pct"/>
            <w:tcBorders>
              <w:top w:val="nil"/>
              <w:left w:val="nil"/>
              <w:bottom w:val="nil"/>
              <w:right w:val="nil"/>
            </w:tcBorders>
            <w:shd w:val="clear" w:color="auto" w:fill="auto"/>
            <w:noWrap/>
            <w:vAlign w:val="bottom"/>
            <w:hideMark/>
          </w:tcPr>
          <w:p w14:paraId="22C7B11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27" w:type="pct"/>
            <w:tcBorders>
              <w:top w:val="nil"/>
              <w:left w:val="nil"/>
              <w:bottom w:val="nil"/>
              <w:right w:val="nil"/>
            </w:tcBorders>
            <w:shd w:val="clear" w:color="auto" w:fill="auto"/>
            <w:noWrap/>
            <w:vAlign w:val="bottom"/>
            <w:hideMark/>
          </w:tcPr>
          <w:p w14:paraId="61E172F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1 500</w:t>
            </w:r>
          </w:p>
        </w:tc>
        <w:tc>
          <w:tcPr>
            <w:tcW w:w="383" w:type="pct"/>
            <w:tcBorders>
              <w:top w:val="nil"/>
              <w:left w:val="nil"/>
              <w:bottom w:val="nil"/>
              <w:right w:val="nil"/>
            </w:tcBorders>
            <w:shd w:val="clear" w:color="auto" w:fill="auto"/>
            <w:noWrap/>
            <w:vAlign w:val="bottom"/>
            <w:hideMark/>
          </w:tcPr>
          <w:p w14:paraId="2104E6C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83" w:type="pct"/>
            <w:tcBorders>
              <w:top w:val="nil"/>
              <w:left w:val="nil"/>
              <w:bottom w:val="nil"/>
              <w:right w:val="nil"/>
            </w:tcBorders>
            <w:shd w:val="clear" w:color="auto" w:fill="auto"/>
            <w:noWrap/>
            <w:vAlign w:val="bottom"/>
            <w:hideMark/>
          </w:tcPr>
          <w:p w14:paraId="5416CAE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1 500</w:t>
            </w:r>
          </w:p>
        </w:tc>
        <w:tc>
          <w:tcPr>
            <w:tcW w:w="383" w:type="pct"/>
            <w:tcBorders>
              <w:top w:val="nil"/>
              <w:left w:val="nil"/>
              <w:bottom w:val="nil"/>
              <w:right w:val="nil"/>
            </w:tcBorders>
            <w:shd w:val="clear" w:color="auto" w:fill="auto"/>
            <w:noWrap/>
            <w:vAlign w:val="bottom"/>
            <w:hideMark/>
          </w:tcPr>
          <w:p w14:paraId="0972822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1 500</w:t>
            </w:r>
          </w:p>
        </w:tc>
        <w:tc>
          <w:tcPr>
            <w:tcW w:w="383" w:type="pct"/>
            <w:tcBorders>
              <w:top w:val="nil"/>
              <w:left w:val="nil"/>
              <w:bottom w:val="nil"/>
              <w:right w:val="nil"/>
            </w:tcBorders>
            <w:shd w:val="clear" w:color="auto" w:fill="auto"/>
            <w:noWrap/>
            <w:vAlign w:val="bottom"/>
            <w:hideMark/>
          </w:tcPr>
          <w:p w14:paraId="08F8705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1 500</w:t>
            </w:r>
          </w:p>
        </w:tc>
      </w:tr>
      <w:tr w:rsidR="00DD531B" w:rsidRPr="00DD531B" w14:paraId="5AC0FE80" w14:textId="77777777" w:rsidTr="001F24AE">
        <w:trPr>
          <w:trHeight w:val="300"/>
        </w:trPr>
        <w:tc>
          <w:tcPr>
            <w:tcW w:w="2486" w:type="pct"/>
            <w:tcBorders>
              <w:top w:val="nil"/>
              <w:left w:val="nil"/>
              <w:bottom w:val="single" w:sz="4" w:space="0" w:color="auto"/>
              <w:right w:val="nil"/>
            </w:tcBorders>
            <w:shd w:val="clear" w:color="auto" w:fill="auto"/>
            <w:noWrap/>
            <w:vAlign w:val="bottom"/>
            <w:hideMark/>
          </w:tcPr>
          <w:p w14:paraId="42F6CF5B" w14:textId="77777777" w:rsidR="00DD531B" w:rsidRPr="00661122" w:rsidRDefault="00DD531B" w:rsidP="00DD531B">
            <w:pPr>
              <w:spacing w:after="0" w:line="240" w:lineRule="auto"/>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prostriedky podľa § 17 ods. 4 a § 22 ods. 4 zákona č. 523/2004 Z. z.</w:t>
            </w:r>
          </w:p>
        </w:tc>
        <w:tc>
          <w:tcPr>
            <w:tcW w:w="327" w:type="pct"/>
            <w:tcBorders>
              <w:top w:val="nil"/>
              <w:left w:val="nil"/>
              <w:bottom w:val="single" w:sz="4" w:space="0" w:color="auto"/>
              <w:right w:val="nil"/>
            </w:tcBorders>
            <w:shd w:val="clear" w:color="auto" w:fill="auto"/>
            <w:noWrap/>
            <w:vAlign w:val="bottom"/>
            <w:hideMark/>
          </w:tcPr>
          <w:p w14:paraId="117DADB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32</w:t>
            </w:r>
          </w:p>
        </w:tc>
        <w:tc>
          <w:tcPr>
            <w:tcW w:w="327" w:type="pct"/>
            <w:tcBorders>
              <w:top w:val="nil"/>
              <w:left w:val="nil"/>
              <w:bottom w:val="single" w:sz="4" w:space="0" w:color="auto"/>
              <w:right w:val="nil"/>
            </w:tcBorders>
            <w:shd w:val="clear" w:color="auto" w:fill="auto"/>
            <w:noWrap/>
            <w:vAlign w:val="bottom"/>
            <w:hideMark/>
          </w:tcPr>
          <w:p w14:paraId="1D7E7FF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13</w:t>
            </w:r>
          </w:p>
        </w:tc>
        <w:tc>
          <w:tcPr>
            <w:tcW w:w="327" w:type="pct"/>
            <w:tcBorders>
              <w:top w:val="nil"/>
              <w:left w:val="nil"/>
              <w:bottom w:val="single" w:sz="4" w:space="0" w:color="auto"/>
              <w:right w:val="nil"/>
            </w:tcBorders>
            <w:shd w:val="clear" w:color="auto" w:fill="auto"/>
            <w:noWrap/>
            <w:vAlign w:val="bottom"/>
            <w:hideMark/>
          </w:tcPr>
          <w:p w14:paraId="190077A2"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83" w:type="pct"/>
            <w:tcBorders>
              <w:top w:val="nil"/>
              <w:left w:val="nil"/>
              <w:bottom w:val="single" w:sz="4" w:space="0" w:color="auto"/>
              <w:right w:val="nil"/>
            </w:tcBorders>
            <w:shd w:val="clear" w:color="auto" w:fill="auto"/>
            <w:noWrap/>
            <w:vAlign w:val="bottom"/>
            <w:hideMark/>
          </w:tcPr>
          <w:p w14:paraId="41FA453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8</w:t>
            </w:r>
          </w:p>
        </w:tc>
        <w:tc>
          <w:tcPr>
            <w:tcW w:w="383" w:type="pct"/>
            <w:tcBorders>
              <w:top w:val="nil"/>
              <w:left w:val="nil"/>
              <w:bottom w:val="single" w:sz="4" w:space="0" w:color="auto"/>
              <w:right w:val="nil"/>
            </w:tcBorders>
            <w:shd w:val="clear" w:color="auto" w:fill="auto"/>
            <w:noWrap/>
            <w:vAlign w:val="bottom"/>
            <w:hideMark/>
          </w:tcPr>
          <w:p w14:paraId="393E0DC5"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83" w:type="pct"/>
            <w:tcBorders>
              <w:top w:val="nil"/>
              <w:left w:val="nil"/>
              <w:bottom w:val="single" w:sz="4" w:space="0" w:color="auto"/>
              <w:right w:val="nil"/>
            </w:tcBorders>
            <w:shd w:val="clear" w:color="auto" w:fill="auto"/>
            <w:noWrap/>
            <w:vAlign w:val="bottom"/>
            <w:hideMark/>
          </w:tcPr>
          <w:p w14:paraId="1CA320A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83" w:type="pct"/>
            <w:tcBorders>
              <w:top w:val="nil"/>
              <w:left w:val="nil"/>
              <w:bottom w:val="single" w:sz="4" w:space="0" w:color="auto"/>
              <w:right w:val="nil"/>
            </w:tcBorders>
            <w:shd w:val="clear" w:color="auto" w:fill="auto"/>
            <w:noWrap/>
            <w:vAlign w:val="bottom"/>
            <w:hideMark/>
          </w:tcPr>
          <w:p w14:paraId="3928513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r>
    </w:tbl>
    <w:p w14:paraId="38F06BF0" w14:textId="77777777" w:rsidR="00DD531B" w:rsidRPr="00DD531B" w:rsidRDefault="00DD531B" w:rsidP="00DD531B">
      <w:pPr>
        <w:rPr>
          <w:rFonts w:ascii="Times New Roman" w:eastAsia="Calibri" w:hAnsi="Times New Roman" w:cs="Times New Roman"/>
        </w:rPr>
      </w:pPr>
    </w:p>
    <w:p w14:paraId="7A699E31" w14:textId="0D543B87" w:rsidR="00DD531B" w:rsidRPr="00661122" w:rsidRDefault="00661122"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24" w:name="_Toc153013094"/>
      <w:r w:rsidRPr="00661122">
        <w:rPr>
          <w:rFonts w:ascii="Times New Roman" w:eastAsia="Times New Roman" w:hAnsi="Times New Roman" w:cs="Times New Roman"/>
          <w:b/>
          <w:iCs/>
          <w:color w:val="5B9BD5" w:themeColor="accent1"/>
          <w:sz w:val="20"/>
          <w:szCs w:val="20"/>
          <w:lang w:eastAsia="sk-SK"/>
        </w:rPr>
        <w:t xml:space="preserve">Tabuľka </w:t>
      </w:r>
      <w:r w:rsidRPr="00661122">
        <w:rPr>
          <w:rFonts w:ascii="Times New Roman" w:hAnsi="Times New Roman" w:cs="Times New Roman"/>
          <w:b/>
          <w:color w:val="5B9BD5" w:themeColor="accent1"/>
          <w:sz w:val="20"/>
          <w:szCs w:val="20"/>
        </w:rPr>
        <w:fldChar w:fldCharType="begin"/>
      </w:r>
      <w:r w:rsidRPr="00661122">
        <w:rPr>
          <w:rFonts w:ascii="Times New Roman" w:hAnsi="Times New Roman" w:cs="Times New Roman"/>
          <w:b/>
          <w:color w:val="5B9BD5" w:themeColor="accent1"/>
          <w:sz w:val="20"/>
          <w:szCs w:val="20"/>
        </w:rPr>
        <w:instrText xml:space="preserve"> SEQ Tabuľka \* ARABIC </w:instrText>
      </w:r>
      <w:r w:rsidRPr="00661122">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96</w:t>
      </w:r>
      <w:r w:rsidRPr="00661122">
        <w:rPr>
          <w:rFonts w:ascii="Times New Roman" w:hAnsi="Times New Roman" w:cs="Times New Roman"/>
          <w:b/>
          <w:color w:val="5B9BD5" w:themeColor="accent1"/>
          <w:sz w:val="20"/>
          <w:szCs w:val="20"/>
        </w:rPr>
        <w:fldChar w:fldCharType="end"/>
      </w:r>
      <w:r w:rsidRPr="00661122">
        <w:rPr>
          <w:rFonts w:ascii="Times New Roman" w:hAnsi="Times New Roman" w:cs="Times New Roman"/>
          <w:b/>
          <w:color w:val="5B9BD5" w:themeColor="accent1"/>
          <w:sz w:val="20"/>
          <w:szCs w:val="20"/>
        </w:rPr>
        <w:t xml:space="preserve"> - </w:t>
      </w:r>
      <w:r w:rsidR="00DD531B" w:rsidRPr="00661122">
        <w:rPr>
          <w:rFonts w:ascii="Times New Roman" w:eastAsia="Times New Roman" w:hAnsi="Times New Roman" w:cs="Times New Roman"/>
          <w:b/>
          <w:iCs/>
          <w:color w:val="5B9BD5" w:themeColor="accent1"/>
          <w:sz w:val="20"/>
          <w:szCs w:val="20"/>
          <w:lang w:eastAsia="sk-SK"/>
        </w:rPr>
        <w:t>Výdavky kapitoly MPRV SR</w:t>
      </w:r>
      <w:bookmarkEnd w:id="224"/>
    </w:p>
    <w:tbl>
      <w:tblPr>
        <w:tblW w:w="5000" w:type="pct"/>
        <w:tblLayout w:type="fixed"/>
        <w:tblCellMar>
          <w:left w:w="70" w:type="dxa"/>
          <w:right w:w="70" w:type="dxa"/>
        </w:tblCellMar>
        <w:tblLook w:val="04A0" w:firstRow="1" w:lastRow="0" w:firstColumn="1" w:lastColumn="0" w:noHBand="0" w:noVBand="1"/>
      </w:tblPr>
      <w:tblGrid>
        <w:gridCol w:w="3544"/>
        <w:gridCol w:w="709"/>
        <w:gridCol w:w="709"/>
        <w:gridCol w:w="744"/>
        <w:gridCol w:w="815"/>
        <w:gridCol w:w="851"/>
        <w:gridCol w:w="851"/>
        <w:gridCol w:w="849"/>
      </w:tblGrid>
      <w:tr w:rsidR="00661122" w:rsidRPr="00DD531B" w14:paraId="01882686" w14:textId="77777777" w:rsidTr="00661122">
        <w:trPr>
          <w:trHeight w:val="300"/>
        </w:trPr>
        <w:tc>
          <w:tcPr>
            <w:tcW w:w="1953" w:type="pct"/>
            <w:tcBorders>
              <w:top w:val="single" w:sz="4" w:space="0" w:color="auto"/>
              <w:left w:val="nil"/>
              <w:bottom w:val="single" w:sz="4" w:space="0" w:color="auto"/>
              <w:right w:val="nil"/>
            </w:tcBorders>
            <w:shd w:val="clear" w:color="auto" w:fill="auto"/>
            <w:noWrap/>
            <w:vAlign w:val="center"/>
            <w:hideMark/>
          </w:tcPr>
          <w:p w14:paraId="40E6ACFF" w14:textId="77777777" w:rsidR="00DD531B" w:rsidRPr="00661122" w:rsidRDefault="00DD531B" w:rsidP="00DD531B">
            <w:pPr>
              <w:spacing w:after="0" w:line="240" w:lineRule="auto"/>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v eur</w:t>
            </w:r>
          </w:p>
        </w:tc>
        <w:tc>
          <w:tcPr>
            <w:tcW w:w="391" w:type="pct"/>
            <w:tcBorders>
              <w:top w:val="single" w:sz="4" w:space="0" w:color="auto"/>
              <w:left w:val="nil"/>
              <w:bottom w:val="single" w:sz="4" w:space="0" w:color="auto"/>
              <w:right w:val="nil"/>
            </w:tcBorders>
            <w:shd w:val="clear" w:color="auto" w:fill="auto"/>
            <w:noWrap/>
            <w:vAlign w:val="center"/>
            <w:hideMark/>
          </w:tcPr>
          <w:p w14:paraId="6C877B64"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2021 S</w:t>
            </w:r>
          </w:p>
        </w:tc>
        <w:tc>
          <w:tcPr>
            <w:tcW w:w="391" w:type="pct"/>
            <w:tcBorders>
              <w:top w:val="single" w:sz="4" w:space="0" w:color="auto"/>
              <w:left w:val="nil"/>
              <w:bottom w:val="single" w:sz="4" w:space="0" w:color="auto"/>
              <w:right w:val="nil"/>
            </w:tcBorders>
            <w:shd w:val="clear" w:color="auto" w:fill="auto"/>
            <w:noWrap/>
            <w:vAlign w:val="center"/>
            <w:hideMark/>
          </w:tcPr>
          <w:p w14:paraId="2495937B"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2022 S</w:t>
            </w:r>
          </w:p>
        </w:tc>
        <w:tc>
          <w:tcPr>
            <w:tcW w:w="410" w:type="pct"/>
            <w:tcBorders>
              <w:top w:val="single" w:sz="4" w:space="0" w:color="auto"/>
              <w:left w:val="nil"/>
              <w:bottom w:val="single" w:sz="4" w:space="0" w:color="auto"/>
              <w:right w:val="nil"/>
            </w:tcBorders>
            <w:shd w:val="clear" w:color="auto" w:fill="auto"/>
            <w:noWrap/>
            <w:vAlign w:val="center"/>
            <w:hideMark/>
          </w:tcPr>
          <w:p w14:paraId="19479BBF"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2023 R</w:t>
            </w:r>
          </w:p>
        </w:tc>
        <w:tc>
          <w:tcPr>
            <w:tcW w:w="449" w:type="pct"/>
            <w:tcBorders>
              <w:top w:val="single" w:sz="4" w:space="0" w:color="auto"/>
              <w:left w:val="nil"/>
              <w:bottom w:val="single" w:sz="4" w:space="0" w:color="auto"/>
              <w:right w:val="nil"/>
            </w:tcBorders>
            <w:shd w:val="clear" w:color="auto" w:fill="auto"/>
            <w:noWrap/>
            <w:vAlign w:val="center"/>
            <w:hideMark/>
          </w:tcPr>
          <w:p w14:paraId="6B2E9B7E"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2023 OS</w:t>
            </w:r>
          </w:p>
        </w:tc>
        <w:tc>
          <w:tcPr>
            <w:tcW w:w="469" w:type="pct"/>
            <w:tcBorders>
              <w:top w:val="single" w:sz="4" w:space="0" w:color="auto"/>
              <w:left w:val="nil"/>
              <w:bottom w:val="single" w:sz="4" w:space="0" w:color="auto"/>
              <w:right w:val="nil"/>
            </w:tcBorders>
            <w:shd w:val="clear" w:color="auto" w:fill="auto"/>
            <w:noWrap/>
            <w:vAlign w:val="center"/>
            <w:hideMark/>
          </w:tcPr>
          <w:p w14:paraId="761017F2"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2024 N</w:t>
            </w:r>
          </w:p>
        </w:tc>
        <w:tc>
          <w:tcPr>
            <w:tcW w:w="469" w:type="pct"/>
            <w:tcBorders>
              <w:top w:val="single" w:sz="4" w:space="0" w:color="auto"/>
              <w:left w:val="nil"/>
              <w:bottom w:val="single" w:sz="4" w:space="0" w:color="auto"/>
              <w:right w:val="nil"/>
            </w:tcBorders>
            <w:shd w:val="clear" w:color="auto" w:fill="auto"/>
            <w:noWrap/>
            <w:vAlign w:val="center"/>
            <w:hideMark/>
          </w:tcPr>
          <w:p w14:paraId="6273A3C3"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2025 N</w:t>
            </w:r>
          </w:p>
        </w:tc>
        <w:tc>
          <w:tcPr>
            <w:tcW w:w="468" w:type="pct"/>
            <w:tcBorders>
              <w:top w:val="single" w:sz="4" w:space="0" w:color="auto"/>
              <w:left w:val="nil"/>
              <w:bottom w:val="single" w:sz="4" w:space="0" w:color="auto"/>
              <w:right w:val="nil"/>
            </w:tcBorders>
            <w:shd w:val="clear" w:color="auto" w:fill="auto"/>
            <w:noWrap/>
            <w:vAlign w:val="center"/>
            <w:hideMark/>
          </w:tcPr>
          <w:p w14:paraId="095E4BA1"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2026 N</w:t>
            </w:r>
          </w:p>
        </w:tc>
      </w:tr>
      <w:tr w:rsidR="00661122" w:rsidRPr="00DD531B" w14:paraId="602D8F12" w14:textId="77777777" w:rsidTr="00661122">
        <w:trPr>
          <w:trHeight w:val="300"/>
        </w:trPr>
        <w:tc>
          <w:tcPr>
            <w:tcW w:w="1953" w:type="pct"/>
            <w:tcBorders>
              <w:top w:val="nil"/>
              <w:left w:val="nil"/>
              <w:bottom w:val="nil"/>
              <w:right w:val="nil"/>
            </w:tcBorders>
            <w:shd w:val="clear" w:color="auto" w:fill="auto"/>
            <w:noWrap/>
            <w:vAlign w:val="center"/>
            <w:hideMark/>
          </w:tcPr>
          <w:p w14:paraId="5F3A9DA6" w14:textId="77777777" w:rsidR="00DD531B" w:rsidRPr="00661122" w:rsidRDefault="00DD531B" w:rsidP="00DD531B">
            <w:pPr>
              <w:spacing w:after="0" w:line="240" w:lineRule="auto"/>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Výdavky kapitoly spolu</w:t>
            </w:r>
          </w:p>
        </w:tc>
        <w:tc>
          <w:tcPr>
            <w:tcW w:w="391" w:type="pct"/>
            <w:tcBorders>
              <w:top w:val="nil"/>
              <w:left w:val="nil"/>
              <w:bottom w:val="nil"/>
              <w:right w:val="nil"/>
            </w:tcBorders>
            <w:shd w:val="clear" w:color="auto" w:fill="auto"/>
            <w:noWrap/>
            <w:vAlign w:val="center"/>
            <w:hideMark/>
          </w:tcPr>
          <w:p w14:paraId="66BEC145"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785 420</w:t>
            </w:r>
          </w:p>
        </w:tc>
        <w:tc>
          <w:tcPr>
            <w:tcW w:w="391" w:type="pct"/>
            <w:tcBorders>
              <w:top w:val="nil"/>
              <w:left w:val="nil"/>
              <w:bottom w:val="nil"/>
              <w:right w:val="nil"/>
            </w:tcBorders>
            <w:shd w:val="clear" w:color="auto" w:fill="auto"/>
            <w:noWrap/>
            <w:vAlign w:val="center"/>
            <w:hideMark/>
          </w:tcPr>
          <w:p w14:paraId="3F0962D0"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765 529</w:t>
            </w:r>
          </w:p>
        </w:tc>
        <w:tc>
          <w:tcPr>
            <w:tcW w:w="410" w:type="pct"/>
            <w:tcBorders>
              <w:top w:val="nil"/>
              <w:left w:val="nil"/>
              <w:bottom w:val="nil"/>
              <w:right w:val="nil"/>
            </w:tcBorders>
            <w:shd w:val="clear" w:color="auto" w:fill="auto"/>
            <w:noWrap/>
            <w:vAlign w:val="center"/>
            <w:hideMark/>
          </w:tcPr>
          <w:p w14:paraId="66208ADF"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953 734</w:t>
            </w:r>
          </w:p>
        </w:tc>
        <w:tc>
          <w:tcPr>
            <w:tcW w:w="449" w:type="pct"/>
            <w:tcBorders>
              <w:top w:val="nil"/>
              <w:left w:val="nil"/>
              <w:bottom w:val="nil"/>
              <w:right w:val="nil"/>
            </w:tcBorders>
            <w:shd w:val="clear" w:color="auto" w:fill="auto"/>
            <w:noWrap/>
            <w:vAlign w:val="center"/>
            <w:hideMark/>
          </w:tcPr>
          <w:p w14:paraId="097C6787"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1 300 631</w:t>
            </w:r>
          </w:p>
        </w:tc>
        <w:tc>
          <w:tcPr>
            <w:tcW w:w="469" w:type="pct"/>
            <w:tcBorders>
              <w:top w:val="nil"/>
              <w:left w:val="nil"/>
              <w:bottom w:val="nil"/>
              <w:right w:val="nil"/>
            </w:tcBorders>
            <w:shd w:val="clear" w:color="auto" w:fill="auto"/>
            <w:noWrap/>
            <w:vAlign w:val="center"/>
            <w:hideMark/>
          </w:tcPr>
          <w:p w14:paraId="049C69B5"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1 168 300</w:t>
            </w:r>
          </w:p>
        </w:tc>
        <w:tc>
          <w:tcPr>
            <w:tcW w:w="469" w:type="pct"/>
            <w:tcBorders>
              <w:top w:val="nil"/>
              <w:left w:val="nil"/>
              <w:bottom w:val="nil"/>
              <w:right w:val="nil"/>
            </w:tcBorders>
            <w:shd w:val="clear" w:color="auto" w:fill="auto"/>
            <w:noWrap/>
            <w:vAlign w:val="center"/>
            <w:hideMark/>
          </w:tcPr>
          <w:p w14:paraId="7F8FF90D"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1 161 680</w:t>
            </w:r>
          </w:p>
        </w:tc>
        <w:tc>
          <w:tcPr>
            <w:tcW w:w="468" w:type="pct"/>
            <w:tcBorders>
              <w:top w:val="nil"/>
              <w:left w:val="nil"/>
              <w:bottom w:val="nil"/>
              <w:right w:val="nil"/>
            </w:tcBorders>
            <w:shd w:val="clear" w:color="auto" w:fill="auto"/>
            <w:noWrap/>
            <w:vAlign w:val="center"/>
            <w:hideMark/>
          </w:tcPr>
          <w:p w14:paraId="51525FAF"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1 162 545</w:t>
            </w:r>
          </w:p>
        </w:tc>
      </w:tr>
      <w:tr w:rsidR="00661122" w:rsidRPr="00DD531B" w14:paraId="501D9E18" w14:textId="77777777" w:rsidTr="00661122">
        <w:trPr>
          <w:trHeight w:val="300"/>
        </w:trPr>
        <w:tc>
          <w:tcPr>
            <w:tcW w:w="1953" w:type="pct"/>
            <w:tcBorders>
              <w:top w:val="nil"/>
              <w:left w:val="nil"/>
              <w:bottom w:val="nil"/>
              <w:right w:val="nil"/>
            </w:tcBorders>
            <w:shd w:val="clear" w:color="auto" w:fill="auto"/>
            <w:noWrap/>
            <w:vAlign w:val="bottom"/>
            <w:hideMark/>
          </w:tcPr>
          <w:p w14:paraId="4ED67EDA" w14:textId="77777777" w:rsidR="00DD531B" w:rsidRPr="00661122" w:rsidRDefault="00DD531B" w:rsidP="00DD531B">
            <w:pPr>
              <w:spacing w:after="0" w:line="240" w:lineRule="auto"/>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rozpočtové zdroje kapitoly</w:t>
            </w:r>
          </w:p>
        </w:tc>
        <w:tc>
          <w:tcPr>
            <w:tcW w:w="391" w:type="pct"/>
            <w:tcBorders>
              <w:top w:val="nil"/>
              <w:left w:val="nil"/>
              <w:bottom w:val="nil"/>
              <w:right w:val="nil"/>
            </w:tcBorders>
            <w:shd w:val="clear" w:color="auto" w:fill="auto"/>
            <w:noWrap/>
            <w:vAlign w:val="bottom"/>
            <w:hideMark/>
          </w:tcPr>
          <w:p w14:paraId="15CD5ED1"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210 221</w:t>
            </w:r>
          </w:p>
        </w:tc>
        <w:tc>
          <w:tcPr>
            <w:tcW w:w="391" w:type="pct"/>
            <w:tcBorders>
              <w:top w:val="nil"/>
              <w:left w:val="nil"/>
              <w:bottom w:val="nil"/>
              <w:right w:val="nil"/>
            </w:tcBorders>
            <w:shd w:val="clear" w:color="auto" w:fill="auto"/>
            <w:noWrap/>
            <w:vAlign w:val="bottom"/>
            <w:hideMark/>
          </w:tcPr>
          <w:p w14:paraId="02BB47CE"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256 939</w:t>
            </w:r>
          </w:p>
        </w:tc>
        <w:tc>
          <w:tcPr>
            <w:tcW w:w="410" w:type="pct"/>
            <w:tcBorders>
              <w:top w:val="nil"/>
              <w:left w:val="nil"/>
              <w:bottom w:val="nil"/>
              <w:right w:val="nil"/>
            </w:tcBorders>
            <w:shd w:val="clear" w:color="auto" w:fill="auto"/>
            <w:noWrap/>
            <w:vAlign w:val="bottom"/>
            <w:hideMark/>
          </w:tcPr>
          <w:p w14:paraId="65BE4F13"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195 917</w:t>
            </w:r>
          </w:p>
        </w:tc>
        <w:tc>
          <w:tcPr>
            <w:tcW w:w="449" w:type="pct"/>
            <w:tcBorders>
              <w:top w:val="nil"/>
              <w:left w:val="nil"/>
              <w:bottom w:val="nil"/>
              <w:right w:val="nil"/>
            </w:tcBorders>
            <w:shd w:val="clear" w:color="auto" w:fill="auto"/>
            <w:noWrap/>
            <w:vAlign w:val="bottom"/>
            <w:hideMark/>
          </w:tcPr>
          <w:p w14:paraId="50EC704F"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208 981</w:t>
            </w:r>
          </w:p>
        </w:tc>
        <w:tc>
          <w:tcPr>
            <w:tcW w:w="469" w:type="pct"/>
            <w:tcBorders>
              <w:top w:val="nil"/>
              <w:left w:val="nil"/>
              <w:bottom w:val="nil"/>
              <w:right w:val="nil"/>
            </w:tcBorders>
            <w:shd w:val="clear" w:color="auto" w:fill="auto"/>
            <w:noWrap/>
            <w:vAlign w:val="bottom"/>
            <w:hideMark/>
          </w:tcPr>
          <w:p w14:paraId="199D6077"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232 120</w:t>
            </w:r>
          </w:p>
        </w:tc>
        <w:tc>
          <w:tcPr>
            <w:tcW w:w="469" w:type="pct"/>
            <w:tcBorders>
              <w:top w:val="nil"/>
              <w:left w:val="nil"/>
              <w:bottom w:val="nil"/>
              <w:right w:val="nil"/>
            </w:tcBorders>
            <w:shd w:val="clear" w:color="auto" w:fill="auto"/>
            <w:noWrap/>
            <w:vAlign w:val="bottom"/>
            <w:hideMark/>
          </w:tcPr>
          <w:p w14:paraId="458A7FEF"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250 994</w:t>
            </w:r>
          </w:p>
        </w:tc>
        <w:tc>
          <w:tcPr>
            <w:tcW w:w="468" w:type="pct"/>
            <w:tcBorders>
              <w:top w:val="nil"/>
              <w:left w:val="nil"/>
              <w:bottom w:val="nil"/>
              <w:right w:val="nil"/>
            </w:tcBorders>
            <w:shd w:val="clear" w:color="auto" w:fill="auto"/>
            <w:noWrap/>
            <w:vAlign w:val="bottom"/>
            <w:hideMark/>
          </w:tcPr>
          <w:p w14:paraId="6D5AD155"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249 902</w:t>
            </w:r>
          </w:p>
        </w:tc>
      </w:tr>
      <w:tr w:rsidR="00661122" w:rsidRPr="00DD531B" w14:paraId="243AF2AA" w14:textId="77777777" w:rsidTr="00661122">
        <w:trPr>
          <w:trHeight w:val="300"/>
        </w:trPr>
        <w:tc>
          <w:tcPr>
            <w:tcW w:w="1953" w:type="pct"/>
            <w:tcBorders>
              <w:top w:val="nil"/>
              <w:left w:val="nil"/>
              <w:bottom w:val="nil"/>
              <w:right w:val="nil"/>
            </w:tcBorders>
            <w:shd w:val="clear" w:color="auto" w:fill="auto"/>
            <w:noWrap/>
            <w:vAlign w:val="bottom"/>
            <w:hideMark/>
          </w:tcPr>
          <w:p w14:paraId="1B46CE12"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bežné výdavky  600, v tom:</w:t>
            </w:r>
          </w:p>
        </w:tc>
        <w:tc>
          <w:tcPr>
            <w:tcW w:w="391" w:type="pct"/>
            <w:tcBorders>
              <w:top w:val="nil"/>
              <w:left w:val="nil"/>
              <w:bottom w:val="nil"/>
              <w:right w:val="nil"/>
            </w:tcBorders>
            <w:shd w:val="clear" w:color="auto" w:fill="auto"/>
            <w:noWrap/>
            <w:vAlign w:val="bottom"/>
            <w:hideMark/>
          </w:tcPr>
          <w:p w14:paraId="065C49B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206 022</w:t>
            </w:r>
          </w:p>
        </w:tc>
        <w:tc>
          <w:tcPr>
            <w:tcW w:w="391" w:type="pct"/>
            <w:tcBorders>
              <w:top w:val="nil"/>
              <w:left w:val="nil"/>
              <w:bottom w:val="nil"/>
              <w:right w:val="nil"/>
            </w:tcBorders>
            <w:shd w:val="clear" w:color="auto" w:fill="auto"/>
            <w:noWrap/>
            <w:vAlign w:val="bottom"/>
            <w:hideMark/>
          </w:tcPr>
          <w:p w14:paraId="1D853F7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253 445</w:t>
            </w:r>
          </w:p>
        </w:tc>
        <w:tc>
          <w:tcPr>
            <w:tcW w:w="410" w:type="pct"/>
            <w:tcBorders>
              <w:top w:val="nil"/>
              <w:left w:val="nil"/>
              <w:bottom w:val="nil"/>
              <w:right w:val="nil"/>
            </w:tcBorders>
            <w:shd w:val="clear" w:color="auto" w:fill="auto"/>
            <w:noWrap/>
            <w:vAlign w:val="bottom"/>
            <w:hideMark/>
          </w:tcPr>
          <w:p w14:paraId="1BE05202"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191 899</w:t>
            </w:r>
          </w:p>
        </w:tc>
        <w:tc>
          <w:tcPr>
            <w:tcW w:w="449" w:type="pct"/>
            <w:tcBorders>
              <w:top w:val="nil"/>
              <w:left w:val="nil"/>
              <w:bottom w:val="nil"/>
              <w:right w:val="nil"/>
            </w:tcBorders>
            <w:shd w:val="clear" w:color="auto" w:fill="auto"/>
            <w:noWrap/>
            <w:vAlign w:val="bottom"/>
            <w:hideMark/>
          </w:tcPr>
          <w:p w14:paraId="07B6DCC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205 131</w:t>
            </w:r>
          </w:p>
        </w:tc>
        <w:tc>
          <w:tcPr>
            <w:tcW w:w="469" w:type="pct"/>
            <w:tcBorders>
              <w:top w:val="nil"/>
              <w:left w:val="nil"/>
              <w:bottom w:val="nil"/>
              <w:right w:val="nil"/>
            </w:tcBorders>
            <w:shd w:val="clear" w:color="auto" w:fill="auto"/>
            <w:noWrap/>
            <w:vAlign w:val="bottom"/>
            <w:hideMark/>
          </w:tcPr>
          <w:p w14:paraId="0D40DE7E"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225 171</w:t>
            </w:r>
          </w:p>
        </w:tc>
        <w:tc>
          <w:tcPr>
            <w:tcW w:w="469" w:type="pct"/>
            <w:tcBorders>
              <w:top w:val="nil"/>
              <w:left w:val="nil"/>
              <w:bottom w:val="nil"/>
              <w:right w:val="nil"/>
            </w:tcBorders>
            <w:shd w:val="clear" w:color="auto" w:fill="auto"/>
            <w:noWrap/>
            <w:vAlign w:val="bottom"/>
            <w:hideMark/>
          </w:tcPr>
          <w:p w14:paraId="0CA4489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242 096</w:t>
            </w:r>
          </w:p>
        </w:tc>
        <w:tc>
          <w:tcPr>
            <w:tcW w:w="468" w:type="pct"/>
            <w:tcBorders>
              <w:top w:val="nil"/>
              <w:left w:val="nil"/>
              <w:bottom w:val="nil"/>
              <w:right w:val="nil"/>
            </w:tcBorders>
            <w:shd w:val="clear" w:color="auto" w:fill="auto"/>
            <w:noWrap/>
            <w:vAlign w:val="bottom"/>
            <w:hideMark/>
          </w:tcPr>
          <w:p w14:paraId="158180E8"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242 412</w:t>
            </w:r>
          </w:p>
        </w:tc>
      </w:tr>
      <w:tr w:rsidR="00661122" w:rsidRPr="00DD531B" w14:paraId="04782E14" w14:textId="77777777" w:rsidTr="00661122">
        <w:trPr>
          <w:trHeight w:val="300"/>
        </w:trPr>
        <w:tc>
          <w:tcPr>
            <w:tcW w:w="1953" w:type="pct"/>
            <w:tcBorders>
              <w:top w:val="nil"/>
              <w:left w:val="nil"/>
              <w:bottom w:val="nil"/>
              <w:right w:val="nil"/>
            </w:tcBorders>
            <w:shd w:val="clear" w:color="auto" w:fill="auto"/>
            <w:noWrap/>
            <w:vAlign w:val="bottom"/>
            <w:hideMark/>
          </w:tcPr>
          <w:p w14:paraId="047C27F2"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610 mzdy</w:t>
            </w:r>
          </w:p>
        </w:tc>
        <w:tc>
          <w:tcPr>
            <w:tcW w:w="391" w:type="pct"/>
            <w:tcBorders>
              <w:top w:val="nil"/>
              <w:left w:val="nil"/>
              <w:bottom w:val="nil"/>
              <w:right w:val="nil"/>
            </w:tcBorders>
            <w:shd w:val="clear" w:color="auto" w:fill="auto"/>
            <w:noWrap/>
            <w:vAlign w:val="bottom"/>
            <w:hideMark/>
          </w:tcPr>
          <w:p w14:paraId="2A152DA1"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41 742</w:t>
            </w:r>
          </w:p>
        </w:tc>
        <w:tc>
          <w:tcPr>
            <w:tcW w:w="391" w:type="pct"/>
            <w:tcBorders>
              <w:top w:val="nil"/>
              <w:left w:val="nil"/>
              <w:bottom w:val="nil"/>
              <w:right w:val="nil"/>
            </w:tcBorders>
            <w:shd w:val="clear" w:color="auto" w:fill="auto"/>
            <w:noWrap/>
            <w:vAlign w:val="bottom"/>
            <w:hideMark/>
          </w:tcPr>
          <w:p w14:paraId="0984549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44 534</w:t>
            </w:r>
          </w:p>
        </w:tc>
        <w:tc>
          <w:tcPr>
            <w:tcW w:w="410" w:type="pct"/>
            <w:tcBorders>
              <w:top w:val="nil"/>
              <w:left w:val="nil"/>
              <w:bottom w:val="nil"/>
              <w:right w:val="nil"/>
            </w:tcBorders>
            <w:shd w:val="clear" w:color="auto" w:fill="auto"/>
            <w:noWrap/>
            <w:vAlign w:val="bottom"/>
            <w:hideMark/>
          </w:tcPr>
          <w:p w14:paraId="34AE6CF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44 918</w:t>
            </w:r>
          </w:p>
        </w:tc>
        <w:tc>
          <w:tcPr>
            <w:tcW w:w="449" w:type="pct"/>
            <w:tcBorders>
              <w:top w:val="nil"/>
              <w:left w:val="nil"/>
              <w:bottom w:val="nil"/>
              <w:right w:val="nil"/>
            </w:tcBorders>
            <w:shd w:val="clear" w:color="auto" w:fill="auto"/>
            <w:noWrap/>
            <w:vAlign w:val="bottom"/>
            <w:hideMark/>
          </w:tcPr>
          <w:p w14:paraId="229805F8"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51 729</w:t>
            </w:r>
          </w:p>
        </w:tc>
        <w:tc>
          <w:tcPr>
            <w:tcW w:w="469" w:type="pct"/>
            <w:tcBorders>
              <w:top w:val="nil"/>
              <w:left w:val="nil"/>
              <w:bottom w:val="nil"/>
              <w:right w:val="nil"/>
            </w:tcBorders>
            <w:shd w:val="clear" w:color="auto" w:fill="auto"/>
            <w:noWrap/>
            <w:vAlign w:val="bottom"/>
            <w:hideMark/>
          </w:tcPr>
          <w:p w14:paraId="3D29CFB0"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52 874</w:t>
            </w:r>
          </w:p>
        </w:tc>
        <w:tc>
          <w:tcPr>
            <w:tcW w:w="469" w:type="pct"/>
            <w:tcBorders>
              <w:top w:val="nil"/>
              <w:left w:val="nil"/>
              <w:bottom w:val="nil"/>
              <w:right w:val="nil"/>
            </w:tcBorders>
            <w:shd w:val="clear" w:color="auto" w:fill="auto"/>
            <w:noWrap/>
            <w:vAlign w:val="bottom"/>
            <w:hideMark/>
          </w:tcPr>
          <w:p w14:paraId="08116F8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49 608</w:t>
            </w:r>
          </w:p>
        </w:tc>
        <w:tc>
          <w:tcPr>
            <w:tcW w:w="468" w:type="pct"/>
            <w:tcBorders>
              <w:top w:val="nil"/>
              <w:left w:val="nil"/>
              <w:bottom w:val="nil"/>
              <w:right w:val="nil"/>
            </w:tcBorders>
            <w:shd w:val="clear" w:color="auto" w:fill="auto"/>
            <w:noWrap/>
            <w:vAlign w:val="bottom"/>
            <w:hideMark/>
          </w:tcPr>
          <w:p w14:paraId="1FF13B2F"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49 608</w:t>
            </w:r>
          </w:p>
        </w:tc>
      </w:tr>
      <w:tr w:rsidR="00661122" w:rsidRPr="00DD531B" w14:paraId="283C9BF2" w14:textId="77777777" w:rsidTr="00661122">
        <w:trPr>
          <w:trHeight w:val="300"/>
        </w:trPr>
        <w:tc>
          <w:tcPr>
            <w:tcW w:w="1953" w:type="pct"/>
            <w:tcBorders>
              <w:top w:val="nil"/>
              <w:left w:val="nil"/>
              <w:bottom w:val="nil"/>
              <w:right w:val="nil"/>
            </w:tcBorders>
            <w:shd w:val="clear" w:color="auto" w:fill="auto"/>
            <w:noWrap/>
            <w:vAlign w:val="bottom"/>
            <w:hideMark/>
          </w:tcPr>
          <w:p w14:paraId="118C6AFE"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620 odvody</w:t>
            </w:r>
          </w:p>
        </w:tc>
        <w:tc>
          <w:tcPr>
            <w:tcW w:w="391" w:type="pct"/>
            <w:tcBorders>
              <w:top w:val="nil"/>
              <w:left w:val="nil"/>
              <w:bottom w:val="nil"/>
              <w:right w:val="nil"/>
            </w:tcBorders>
            <w:shd w:val="clear" w:color="auto" w:fill="auto"/>
            <w:noWrap/>
            <w:vAlign w:val="bottom"/>
            <w:hideMark/>
          </w:tcPr>
          <w:p w14:paraId="52F14ED1"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16 553</w:t>
            </w:r>
          </w:p>
        </w:tc>
        <w:tc>
          <w:tcPr>
            <w:tcW w:w="391" w:type="pct"/>
            <w:tcBorders>
              <w:top w:val="nil"/>
              <w:left w:val="nil"/>
              <w:bottom w:val="nil"/>
              <w:right w:val="nil"/>
            </w:tcBorders>
            <w:shd w:val="clear" w:color="auto" w:fill="auto"/>
            <w:noWrap/>
            <w:vAlign w:val="bottom"/>
            <w:hideMark/>
          </w:tcPr>
          <w:p w14:paraId="0E6978C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17 231</w:t>
            </w:r>
          </w:p>
        </w:tc>
        <w:tc>
          <w:tcPr>
            <w:tcW w:w="410" w:type="pct"/>
            <w:tcBorders>
              <w:top w:val="nil"/>
              <w:left w:val="nil"/>
              <w:bottom w:val="nil"/>
              <w:right w:val="nil"/>
            </w:tcBorders>
            <w:shd w:val="clear" w:color="auto" w:fill="auto"/>
            <w:noWrap/>
            <w:vAlign w:val="bottom"/>
            <w:hideMark/>
          </w:tcPr>
          <w:p w14:paraId="7F4B1D6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16 532</w:t>
            </w:r>
          </w:p>
        </w:tc>
        <w:tc>
          <w:tcPr>
            <w:tcW w:w="449" w:type="pct"/>
            <w:tcBorders>
              <w:top w:val="nil"/>
              <w:left w:val="nil"/>
              <w:bottom w:val="nil"/>
              <w:right w:val="nil"/>
            </w:tcBorders>
            <w:shd w:val="clear" w:color="auto" w:fill="auto"/>
            <w:noWrap/>
            <w:vAlign w:val="bottom"/>
            <w:hideMark/>
          </w:tcPr>
          <w:p w14:paraId="7FB380E2"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17 591</w:t>
            </w:r>
          </w:p>
        </w:tc>
        <w:tc>
          <w:tcPr>
            <w:tcW w:w="469" w:type="pct"/>
            <w:tcBorders>
              <w:top w:val="nil"/>
              <w:left w:val="nil"/>
              <w:bottom w:val="nil"/>
              <w:right w:val="nil"/>
            </w:tcBorders>
            <w:shd w:val="clear" w:color="auto" w:fill="auto"/>
            <w:noWrap/>
            <w:vAlign w:val="bottom"/>
            <w:hideMark/>
          </w:tcPr>
          <w:p w14:paraId="24644C2C"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18 747</w:t>
            </w:r>
          </w:p>
        </w:tc>
        <w:tc>
          <w:tcPr>
            <w:tcW w:w="469" w:type="pct"/>
            <w:tcBorders>
              <w:top w:val="nil"/>
              <w:left w:val="nil"/>
              <w:bottom w:val="nil"/>
              <w:right w:val="nil"/>
            </w:tcBorders>
            <w:shd w:val="clear" w:color="auto" w:fill="auto"/>
            <w:noWrap/>
            <w:vAlign w:val="bottom"/>
            <w:hideMark/>
          </w:tcPr>
          <w:p w14:paraId="36CB0761"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17 725</w:t>
            </w:r>
          </w:p>
        </w:tc>
        <w:tc>
          <w:tcPr>
            <w:tcW w:w="468" w:type="pct"/>
            <w:tcBorders>
              <w:top w:val="nil"/>
              <w:left w:val="nil"/>
              <w:bottom w:val="nil"/>
              <w:right w:val="nil"/>
            </w:tcBorders>
            <w:shd w:val="clear" w:color="auto" w:fill="auto"/>
            <w:noWrap/>
            <w:vAlign w:val="bottom"/>
            <w:hideMark/>
          </w:tcPr>
          <w:p w14:paraId="25E6F473"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17 727</w:t>
            </w:r>
          </w:p>
        </w:tc>
      </w:tr>
      <w:tr w:rsidR="00661122" w:rsidRPr="00DD531B" w14:paraId="3D2384DC" w14:textId="77777777" w:rsidTr="00661122">
        <w:trPr>
          <w:trHeight w:val="300"/>
        </w:trPr>
        <w:tc>
          <w:tcPr>
            <w:tcW w:w="1953" w:type="pct"/>
            <w:tcBorders>
              <w:top w:val="nil"/>
              <w:left w:val="nil"/>
              <w:bottom w:val="nil"/>
              <w:right w:val="nil"/>
            </w:tcBorders>
            <w:shd w:val="clear" w:color="auto" w:fill="auto"/>
            <w:noWrap/>
            <w:vAlign w:val="bottom"/>
            <w:hideMark/>
          </w:tcPr>
          <w:p w14:paraId="38376749"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630 tovary a služby</w:t>
            </w:r>
          </w:p>
        </w:tc>
        <w:tc>
          <w:tcPr>
            <w:tcW w:w="391" w:type="pct"/>
            <w:tcBorders>
              <w:top w:val="nil"/>
              <w:left w:val="nil"/>
              <w:bottom w:val="nil"/>
              <w:right w:val="nil"/>
            </w:tcBorders>
            <w:shd w:val="clear" w:color="auto" w:fill="auto"/>
            <w:noWrap/>
            <w:vAlign w:val="bottom"/>
            <w:hideMark/>
          </w:tcPr>
          <w:p w14:paraId="4082233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31 270</w:t>
            </w:r>
          </w:p>
        </w:tc>
        <w:tc>
          <w:tcPr>
            <w:tcW w:w="391" w:type="pct"/>
            <w:tcBorders>
              <w:top w:val="nil"/>
              <w:left w:val="nil"/>
              <w:bottom w:val="nil"/>
              <w:right w:val="nil"/>
            </w:tcBorders>
            <w:shd w:val="clear" w:color="auto" w:fill="auto"/>
            <w:noWrap/>
            <w:vAlign w:val="bottom"/>
            <w:hideMark/>
          </w:tcPr>
          <w:p w14:paraId="5B8E3B6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32 741</w:t>
            </w:r>
          </w:p>
        </w:tc>
        <w:tc>
          <w:tcPr>
            <w:tcW w:w="410" w:type="pct"/>
            <w:tcBorders>
              <w:top w:val="nil"/>
              <w:left w:val="nil"/>
              <w:bottom w:val="nil"/>
              <w:right w:val="nil"/>
            </w:tcBorders>
            <w:shd w:val="clear" w:color="auto" w:fill="auto"/>
            <w:noWrap/>
            <w:vAlign w:val="bottom"/>
            <w:hideMark/>
          </w:tcPr>
          <w:p w14:paraId="7A894491"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39 842</w:t>
            </w:r>
          </w:p>
        </w:tc>
        <w:tc>
          <w:tcPr>
            <w:tcW w:w="449" w:type="pct"/>
            <w:tcBorders>
              <w:top w:val="nil"/>
              <w:left w:val="nil"/>
              <w:bottom w:val="nil"/>
              <w:right w:val="nil"/>
            </w:tcBorders>
            <w:shd w:val="clear" w:color="auto" w:fill="auto"/>
            <w:noWrap/>
            <w:vAlign w:val="bottom"/>
            <w:hideMark/>
          </w:tcPr>
          <w:p w14:paraId="7F185553"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46 233</w:t>
            </w:r>
          </w:p>
        </w:tc>
        <w:tc>
          <w:tcPr>
            <w:tcW w:w="469" w:type="pct"/>
            <w:tcBorders>
              <w:top w:val="nil"/>
              <w:left w:val="nil"/>
              <w:bottom w:val="nil"/>
              <w:right w:val="nil"/>
            </w:tcBorders>
            <w:shd w:val="clear" w:color="auto" w:fill="auto"/>
            <w:noWrap/>
            <w:vAlign w:val="bottom"/>
            <w:hideMark/>
          </w:tcPr>
          <w:p w14:paraId="638E4BA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53 992</w:t>
            </w:r>
          </w:p>
        </w:tc>
        <w:tc>
          <w:tcPr>
            <w:tcW w:w="469" w:type="pct"/>
            <w:tcBorders>
              <w:top w:val="nil"/>
              <w:left w:val="nil"/>
              <w:bottom w:val="nil"/>
              <w:right w:val="nil"/>
            </w:tcBorders>
            <w:shd w:val="clear" w:color="auto" w:fill="auto"/>
            <w:noWrap/>
            <w:vAlign w:val="bottom"/>
            <w:hideMark/>
          </w:tcPr>
          <w:p w14:paraId="64F96BA2"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87 031</w:t>
            </w:r>
          </w:p>
        </w:tc>
        <w:tc>
          <w:tcPr>
            <w:tcW w:w="468" w:type="pct"/>
            <w:tcBorders>
              <w:top w:val="nil"/>
              <w:left w:val="nil"/>
              <w:bottom w:val="nil"/>
              <w:right w:val="nil"/>
            </w:tcBorders>
            <w:shd w:val="clear" w:color="auto" w:fill="auto"/>
            <w:noWrap/>
            <w:vAlign w:val="bottom"/>
            <w:hideMark/>
          </w:tcPr>
          <w:p w14:paraId="4FA30C81"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87 033</w:t>
            </w:r>
          </w:p>
        </w:tc>
      </w:tr>
      <w:tr w:rsidR="00661122" w:rsidRPr="00DD531B" w14:paraId="45AA9130" w14:textId="77777777" w:rsidTr="00661122">
        <w:trPr>
          <w:trHeight w:val="300"/>
        </w:trPr>
        <w:tc>
          <w:tcPr>
            <w:tcW w:w="1953" w:type="pct"/>
            <w:tcBorders>
              <w:top w:val="nil"/>
              <w:left w:val="nil"/>
              <w:bottom w:val="nil"/>
              <w:right w:val="nil"/>
            </w:tcBorders>
            <w:shd w:val="clear" w:color="auto" w:fill="auto"/>
            <w:noWrap/>
            <w:vAlign w:val="bottom"/>
            <w:hideMark/>
          </w:tcPr>
          <w:p w14:paraId="16ACB727"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640 bežné transfery</w:t>
            </w:r>
          </w:p>
        </w:tc>
        <w:tc>
          <w:tcPr>
            <w:tcW w:w="391" w:type="pct"/>
            <w:tcBorders>
              <w:top w:val="nil"/>
              <w:left w:val="nil"/>
              <w:bottom w:val="nil"/>
              <w:right w:val="nil"/>
            </w:tcBorders>
            <w:shd w:val="clear" w:color="auto" w:fill="auto"/>
            <w:noWrap/>
            <w:vAlign w:val="bottom"/>
            <w:hideMark/>
          </w:tcPr>
          <w:p w14:paraId="7AFB14B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116 457</w:t>
            </w:r>
          </w:p>
        </w:tc>
        <w:tc>
          <w:tcPr>
            <w:tcW w:w="391" w:type="pct"/>
            <w:tcBorders>
              <w:top w:val="nil"/>
              <w:left w:val="nil"/>
              <w:bottom w:val="nil"/>
              <w:right w:val="nil"/>
            </w:tcBorders>
            <w:shd w:val="clear" w:color="auto" w:fill="auto"/>
            <w:noWrap/>
            <w:vAlign w:val="bottom"/>
            <w:hideMark/>
          </w:tcPr>
          <w:p w14:paraId="0D57214E"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158 938</w:t>
            </w:r>
          </w:p>
        </w:tc>
        <w:tc>
          <w:tcPr>
            <w:tcW w:w="410" w:type="pct"/>
            <w:tcBorders>
              <w:top w:val="nil"/>
              <w:left w:val="nil"/>
              <w:bottom w:val="nil"/>
              <w:right w:val="nil"/>
            </w:tcBorders>
            <w:shd w:val="clear" w:color="auto" w:fill="auto"/>
            <w:noWrap/>
            <w:vAlign w:val="bottom"/>
            <w:hideMark/>
          </w:tcPr>
          <w:p w14:paraId="62A5590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90 607</w:t>
            </w:r>
          </w:p>
        </w:tc>
        <w:tc>
          <w:tcPr>
            <w:tcW w:w="449" w:type="pct"/>
            <w:tcBorders>
              <w:top w:val="nil"/>
              <w:left w:val="nil"/>
              <w:bottom w:val="nil"/>
              <w:right w:val="nil"/>
            </w:tcBorders>
            <w:shd w:val="clear" w:color="auto" w:fill="auto"/>
            <w:noWrap/>
            <w:vAlign w:val="bottom"/>
            <w:hideMark/>
          </w:tcPr>
          <w:p w14:paraId="7C54EAAE"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89 578</w:t>
            </w:r>
          </w:p>
        </w:tc>
        <w:tc>
          <w:tcPr>
            <w:tcW w:w="469" w:type="pct"/>
            <w:tcBorders>
              <w:top w:val="nil"/>
              <w:left w:val="nil"/>
              <w:bottom w:val="nil"/>
              <w:right w:val="nil"/>
            </w:tcBorders>
            <w:shd w:val="clear" w:color="auto" w:fill="auto"/>
            <w:noWrap/>
            <w:vAlign w:val="bottom"/>
            <w:hideMark/>
          </w:tcPr>
          <w:p w14:paraId="60BC1B8E"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99 559</w:t>
            </w:r>
          </w:p>
        </w:tc>
        <w:tc>
          <w:tcPr>
            <w:tcW w:w="469" w:type="pct"/>
            <w:tcBorders>
              <w:top w:val="nil"/>
              <w:left w:val="nil"/>
              <w:bottom w:val="nil"/>
              <w:right w:val="nil"/>
            </w:tcBorders>
            <w:shd w:val="clear" w:color="auto" w:fill="auto"/>
            <w:noWrap/>
            <w:vAlign w:val="bottom"/>
            <w:hideMark/>
          </w:tcPr>
          <w:p w14:paraId="2B7A0AA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87 732</w:t>
            </w:r>
          </w:p>
        </w:tc>
        <w:tc>
          <w:tcPr>
            <w:tcW w:w="468" w:type="pct"/>
            <w:tcBorders>
              <w:top w:val="nil"/>
              <w:left w:val="nil"/>
              <w:bottom w:val="nil"/>
              <w:right w:val="nil"/>
            </w:tcBorders>
            <w:shd w:val="clear" w:color="auto" w:fill="auto"/>
            <w:noWrap/>
            <w:vAlign w:val="bottom"/>
            <w:hideMark/>
          </w:tcPr>
          <w:p w14:paraId="03F76A02"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88 044</w:t>
            </w:r>
          </w:p>
        </w:tc>
      </w:tr>
      <w:tr w:rsidR="00661122" w:rsidRPr="00DD531B" w14:paraId="46A28726" w14:textId="77777777" w:rsidTr="00661122">
        <w:trPr>
          <w:trHeight w:val="300"/>
        </w:trPr>
        <w:tc>
          <w:tcPr>
            <w:tcW w:w="1953" w:type="pct"/>
            <w:tcBorders>
              <w:top w:val="nil"/>
              <w:left w:val="nil"/>
              <w:bottom w:val="nil"/>
              <w:right w:val="nil"/>
            </w:tcBorders>
            <w:shd w:val="clear" w:color="auto" w:fill="auto"/>
            <w:noWrap/>
            <w:vAlign w:val="bottom"/>
            <w:hideMark/>
          </w:tcPr>
          <w:p w14:paraId="3B90BCB3"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kapitálové výdavky 700</w:t>
            </w:r>
          </w:p>
        </w:tc>
        <w:tc>
          <w:tcPr>
            <w:tcW w:w="391" w:type="pct"/>
            <w:tcBorders>
              <w:top w:val="nil"/>
              <w:left w:val="nil"/>
              <w:bottom w:val="nil"/>
              <w:right w:val="nil"/>
            </w:tcBorders>
            <w:shd w:val="clear" w:color="auto" w:fill="auto"/>
            <w:noWrap/>
            <w:vAlign w:val="bottom"/>
            <w:hideMark/>
          </w:tcPr>
          <w:p w14:paraId="3AA3E5D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4 199</w:t>
            </w:r>
          </w:p>
        </w:tc>
        <w:tc>
          <w:tcPr>
            <w:tcW w:w="391" w:type="pct"/>
            <w:tcBorders>
              <w:top w:val="nil"/>
              <w:left w:val="nil"/>
              <w:bottom w:val="nil"/>
              <w:right w:val="nil"/>
            </w:tcBorders>
            <w:shd w:val="clear" w:color="auto" w:fill="auto"/>
            <w:noWrap/>
            <w:vAlign w:val="bottom"/>
            <w:hideMark/>
          </w:tcPr>
          <w:p w14:paraId="3CB50F2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3 494</w:t>
            </w:r>
          </w:p>
        </w:tc>
        <w:tc>
          <w:tcPr>
            <w:tcW w:w="410" w:type="pct"/>
            <w:tcBorders>
              <w:top w:val="nil"/>
              <w:left w:val="nil"/>
              <w:bottom w:val="nil"/>
              <w:right w:val="nil"/>
            </w:tcBorders>
            <w:shd w:val="clear" w:color="auto" w:fill="auto"/>
            <w:noWrap/>
            <w:vAlign w:val="bottom"/>
            <w:hideMark/>
          </w:tcPr>
          <w:p w14:paraId="0913C8F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4 018</w:t>
            </w:r>
          </w:p>
        </w:tc>
        <w:tc>
          <w:tcPr>
            <w:tcW w:w="449" w:type="pct"/>
            <w:tcBorders>
              <w:top w:val="nil"/>
              <w:left w:val="nil"/>
              <w:bottom w:val="nil"/>
              <w:right w:val="nil"/>
            </w:tcBorders>
            <w:shd w:val="clear" w:color="auto" w:fill="auto"/>
            <w:noWrap/>
            <w:vAlign w:val="bottom"/>
            <w:hideMark/>
          </w:tcPr>
          <w:p w14:paraId="5710F46F"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3 850</w:t>
            </w:r>
          </w:p>
        </w:tc>
        <w:tc>
          <w:tcPr>
            <w:tcW w:w="469" w:type="pct"/>
            <w:tcBorders>
              <w:top w:val="nil"/>
              <w:left w:val="nil"/>
              <w:bottom w:val="nil"/>
              <w:right w:val="nil"/>
            </w:tcBorders>
            <w:shd w:val="clear" w:color="auto" w:fill="auto"/>
            <w:noWrap/>
            <w:vAlign w:val="bottom"/>
            <w:hideMark/>
          </w:tcPr>
          <w:p w14:paraId="407E1E3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6 949</w:t>
            </w:r>
          </w:p>
        </w:tc>
        <w:tc>
          <w:tcPr>
            <w:tcW w:w="469" w:type="pct"/>
            <w:tcBorders>
              <w:top w:val="nil"/>
              <w:left w:val="nil"/>
              <w:bottom w:val="nil"/>
              <w:right w:val="nil"/>
            </w:tcBorders>
            <w:shd w:val="clear" w:color="auto" w:fill="auto"/>
            <w:noWrap/>
            <w:vAlign w:val="bottom"/>
            <w:hideMark/>
          </w:tcPr>
          <w:p w14:paraId="415A004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8 898</w:t>
            </w:r>
          </w:p>
        </w:tc>
        <w:tc>
          <w:tcPr>
            <w:tcW w:w="468" w:type="pct"/>
            <w:tcBorders>
              <w:top w:val="nil"/>
              <w:left w:val="nil"/>
              <w:bottom w:val="nil"/>
              <w:right w:val="nil"/>
            </w:tcBorders>
            <w:shd w:val="clear" w:color="auto" w:fill="auto"/>
            <w:noWrap/>
            <w:vAlign w:val="bottom"/>
            <w:hideMark/>
          </w:tcPr>
          <w:p w14:paraId="34CA0EB2"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7 490</w:t>
            </w:r>
          </w:p>
        </w:tc>
      </w:tr>
      <w:tr w:rsidR="00661122" w:rsidRPr="00DD531B" w14:paraId="2009B42D" w14:textId="77777777" w:rsidTr="00661122">
        <w:trPr>
          <w:trHeight w:val="300"/>
        </w:trPr>
        <w:tc>
          <w:tcPr>
            <w:tcW w:w="1953" w:type="pct"/>
            <w:tcBorders>
              <w:top w:val="nil"/>
              <w:left w:val="nil"/>
              <w:bottom w:val="nil"/>
              <w:right w:val="nil"/>
            </w:tcBorders>
            <w:shd w:val="clear" w:color="auto" w:fill="auto"/>
            <w:noWrap/>
            <w:vAlign w:val="bottom"/>
            <w:hideMark/>
          </w:tcPr>
          <w:p w14:paraId="64279764" w14:textId="77777777" w:rsidR="00DD531B" w:rsidRPr="00661122" w:rsidRDefault="00DD531B" w:rsidP="00DD531B">
            <w:pPr>
              <w:spacing w:after="0" w:line="240" w:lineRule="auto"/>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zdroj EÚ vrátane spolufinancovania zo ŠR, v tom:</w:t>
            </w:r>
          </w:p>
        </w:tc>
        <w:tc>
          <w:tcPr>
            <w:tcW w:w="391" w:type="pct"/>
            <w:tcBorders>
              <w:top w:val="nil"/>
              <w:left w:val="nil"/>
              <w:bottom w:val="nil"/>
              <w:right w:val="nil"/>
            </w:tcBorders>
            <w:shd w:val="clear" w:color="auto" w:fill="auto"/>
            <w:noWrap/>
            <w:vAlign w:val="bottom"/>
            <w:hideMark/>
          </w:tcPr>
          <w:p w14:paraId="5DE7C852"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310 947</w:t>
            </w:r>
          </w:p>
        </w:tc>
        <w:tc>
          <w:tcPr>
            <w:tcW w:w="391" w:type="pct"/>
            <w:tcBorders>
              <w:top w:val="nil"/>
              <w:left w:val="nil"/>
              <w:bottom w:val="nil"/>
              <w:right w:val="nil"/>
            </w:tcBorders>
            <w:shd w:val="clear" w:color="auto" w:fill="auto"/>
            <w:noWrap/>
            <w:vAlign w:val="bottom"/>
            <w:hideMark/>
          </w:tcPr>
          <w:p w14:paraId="1FFCC855"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193 790</w:t>
            </w:r>
          </w:p>
        </w:tc>
        <w:tc>
          <w:tcPr>
            <w:tcW w:w="410" w:type="pct"/>
            <w:tcBorders>
              <w:top w:val="nil"/>
              <w:left w:val="nil"/>
              <w:bottom w:val="nil"/>
              <w:right w:val="nil"/>
            </w:tcBorders>
            <w:shd w:val="clear" w:color="auto" w:fill="auto"/>
            <w:noWrap/>
            <w:vAlign w:val="bottom"/>
            <w:hideMark/>
          </w:tcPr>
          <w:p w14:paraId="3F9E36DA"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757 817</w:t>
            </w:r>
          </w:p>
        </w:tc>
        <w:tc>
          <w:tcPr>
            <w:tcW w:w="449" w:type="pct"/>
            <w:tcBorders>
              <w:top w:val="nil"/>
              <w:left w:val="nil"/>
              <w:bottom w:val="nil"/>
              <w:right w:val="nil"/>
            </w:tcBorders>
            <w:shd w:val="clear" w:color="auto" w:fill="auto"/>
            <w:noWrap/>
            <w:vAlign w:val="bottom"/>
            <w:hideMark/>
          </w:tcPr>
          <w:p w14:paraId="33AB1819"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700 053</w:t>
            </w:r>
          </w:p>
        </w:tc>
        <w:tc>
          <w:tcPr>
            <w:tcW w:w="469" w:type="pct"/>
            <w:tcBorders>
              <w:top w:val="nil"/>
              <w:left w:val="nil"/>
              <w:bottom w:val="nil"/>
              <w:right w:val="nil"/>
            </w:tcBorders>
            <w:shd w:val="clear" w:color="auto" w:fill="auto"/>
            <w:noWrap/>
            <w:vAlign w:val="bottom"/>
            <w:hideMark/>
          </w:tcPr>
          <w:p w14:paraId="45C834D3"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936 180</w:t>
            </w:r>
          </w:p>
        </w:tc>
        <w:tc>
          <w:tcPr>
            <w:tcW w:w="469" w:type="pct"/>
            <w:tcBorders>
              <w:top w:val="nil"/>
              <w:left w:val="nil"/>
              <w:bottom w:val="nil"/>
              <w:right w:val="nil"/>
            </w:tcBorders>
            <w:shd w:val="clear" w:color="auto" w:fill="auto"/>
            <w:noWrap/>
            <w:vAlign w:val="bottom"/>
            <w:hideMark/>
          </w:tcPr>
          <w:p w14:paraId="2C9F4FE8"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910 686</w:t>
            </w:r>
          </w:p>
        </w:tc>
        <w:tc>
          <w:tcPr>
            <w:tcW w:w="468" w:type="pct"/>
            <w:tcBorders>
              <w:top w:val="nil"/>
              <w:left w:val="nil"/>
              <w:bottom w:val="nil"/>
              <w:right w:val="nil"/>
            </w:tcBorders>
            <w:shd w:val="clear" w:color="auto" w:fill="auto"/>
            <w:noWrap/>
            <w:vAlign w:val="bottom"/>
            <w:hideMark/>
          </w:tcPr>
          <w:p w14:paraId="76C9352B"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912 643</w:t>
            </w:r>
          </w:p>
        </w:tc>
      </w:tr>
      <w:tr w:rsidR="00661122" w:rsidRPr="00DD531B" w14:paraId="4A314E55" w14:textId="77777777" w:rsidTr="00661122">
        <w:trPr>
          <w:trHeight w:val="300"/>
        </w:trPr>
        <w:tc>
          <w:tcPr>
            <w:tcW w:w="1953" w:type="pct"/>
            <w:tcBorders>
              <w:top w:val="nil"/>
              <w:left w:val="nil"/>
              <w:bottom w:val="nil"/>
              <w:right w:val="nil"/>
            </w:tcBorders>
            <w:shd w:val="clear" w:color="auto" w:fill="auto"/>
            <w:noWrap/>
            <w:vAlign w:val="bottom"/>
            <w:hideMark/>
          </w:tcPr>
          <w:p w14:paraId="2F51D813"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prostriedky EÚ</w:t>
            </w:r>
          </w:p>
        </w:tc>
        <w:tc>
          <w:tcPr>
            <w:tcW w:w="391" w:type="pct"/>
            <w:tcBorders>
              <w:top w:val="nil"/>
              <w:left w:val="nil"/>
              <w:bottom w:val="nil"/>
              <w:right w:val="nil"/>
            </w:tcBorders>
            <w:shd w:val="clear" w:color="auto" w:fill="auto"/>
            <w:noWrap/>
            <w:vAlign w:val="bottom"/>
            <w:hideMark/>
          </w:tcPr>
          <w:p w14:paraId="71DB0D71"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281 895</w:t>
            </w:r>
          </w:p>
        </w:tc>
        <w:tc>
          <w:tcPr>
            <w:tcW w:w="391" w:type="pct"/>
            <w:tcBorders>
              <w:top w:val="nil"/>
              <w:left w:val="nil"/>
              <w:bottom w:val="nil"/>
              <w:right w:val="nil"/>
            </w:tcBorders>
            <w:shd w:val="clear" w:color="auto" w:fill="auto"/>
            <w:noWrap/>
            <w:vAlign w:val="bottom"/>
            <w:hideMark/>
          </w:tcPr>
          <w:p w14:paraId="7B9F9F42"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156 712</w:t>
            </w:r>
          </w:p>
        </w:tc>
        <w:tc>
          <w:tcPr>
            <w:tcW w:w="410" w:type="pct"/>
            <w:tcBorders>
              <w:top w:val="nil"/>
              <w:left w:val="nil"/>
              <w:bottom w:val="nil"/>
              <w:right w:val="nil"/>
            </w:tcBorders>
            <w:shd w:val="clear" w:color="auto" w:fill="auto"/>
            <w:noWrap/>
            <w:vAlign w:val="bottom"/>
            <w:hideMark/>
          </w:tcPr>
          <w:p w14:paraId="35ADA6E1"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634 674</w:t>
            </w:r>
          </w:p>
        </w:tc>
        <w:tc>
          <w:tcPr>
            <w:tcW w:w="449" w:type="pct"/>
            <w:tcBorders>
              <w:top w:val="nil"/>
              <w:left w:val="nil"/>
              <w:bottom w:val="nil"/>
              <w:right w:val="nil"/>
            </w:tcBorders>
            <w:shd w:val="clear" w:color="auto" w:fill="auto"/>
            <w:noWrap/>
            <w:vAlign w:val="bottom"/>
            <w:hideMark/>
          </w:tcPr>
          <w:p w14:paraId="61E7E1F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579 341</w:t>
            </w:r>
          </w:p>
        </w:tc>
        <w:tc>
          <w:tcPr>
            <w:tcW w:w="469" w:type="pct"/>
            <w:tcBorders>
              <w:top w:val="nil"/>
              <w:left w:val="nil"/>
              <w:bottom w:val="nil"/>
              <w:right w:val="nil"/>
            </w:tcBorders>
            <w:shd w:val="clear" w:color="auto" w:fill="auto"/>
            <w:noWrap/>
            <w:vAlign w:val="bottom"/>
            <w:hideMark/>
          </w:tcPr>
          <w:p w14:paraId="17D4FE4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756 977</w:t>
            </w:r>
          </w:p>
        </w:tc>
        <w:tc>
          <w:tcPr>
            <w:tcW w:w="469" w:type="pct"/>
            <w:tcBorders>
              <w:top w:val="nil"/>
              <w:left w:val="nil"/>
              <w:bottom w:val="nil"/>
              <w:right w:val="nil"/>
            </w:tcBorders>
            <w:shd w:val="clear" w:color="auto" w:fill="auto"/>
            <w:noWrap/>
            <w:vAlign w:val="bottom"/>
            <w:hideMark/>
          </w:tcPr>
          <w:p w14:paraId="612C989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704 219</w:t>
            </w:r>
          </w:p>
        </w:tc>
        <w:tc>
          <w:tcPr>
            <w:tcW w:w="468" w:type="pct"/>
            <w:tcBorders>
              <w:top w:val="nil"/>
              <w:left w:val="nil"/>
              <w:bottom w:val="nil"/>
              <w:right w:val="nil"/>
            </w:tcBorders>
            <w:shd w:val="clear" w:color="auto" w:fill="auto"/>
            <w:noWrap/>
            <w:vAlign w:val="bottom"/>
            <w:hideMark/>
          </w:tcPr>
          <w:p w14:paraId="06E63FFC"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708 047</w:t>
            </w:r>
          </w:p>
        </w:tc>
      </w:tr>
      <w:tr w:rsidR="00661122" w:rsidRPr="00DD531B" w14:paraId="147C3F72" w14:textId="77777777" w:rsidTr="00661122">
        <w:trPr>
          <w:trHeight w:val="300"/>
        </w:trPr>
        <w:tc>
          <w:tcPr>
            <w:tcW w:w="1953" w:type="pct"/>
            <w:tcBorders>
              <w:top w:val="nil"/>
              <w:left w:val="nil"/>
              <w:bottom w:val="nil"/>
              <w:right w:val="nil"/>
            </w:tcBorders>
            <w:shd w:val="clear" w:color="auto" w:fill="auto"/>
            <w:noWrap/>
            <w:vAlign w:val="bottom"/>
            <w:hideMark/>
          </w:tcPr>
          <w:p w14:paraId="6096FE06"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spolufinancovanie zo ŠR</w:t>
            </w:r>
          </w:p>
        </w:tc>
        <w:tc>
          <w:tcPr>
            <w:tcW w:w="391" w:type="pct"/>
            <w:tcBorders>
              <w:top w:val="nil"/>
              <w:left w:val="nil"/>
              <w:bottom w:val="nil"/>
              <w:right w:val="nil"/>
            </w:tcBorders>
            <w:shd w:val="clear" w:color="auto" w:fill="auto"/>
            <w:noWrap/>
            <w:vAlign w:val="bottom"/>
            <w:hideMark/>
          </w:tcPr>
          <w:p w14:paraId="1B9C22A5"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29 052</w:t>
            </w:r>
          </w:p>
        </w:tc>
        <w:tc>
          <w:tcPr>
            <w:tcW w:w="391" w:type="pct"/>
            <w:tcBorders>
              <w:top w:val="nil"/>
              <w:left w:val="nil"/>
              <w:bottom w:val="nil"/>
              <w:right w:val="nil"/>
            </w:tcBorders>
            <w:shd w:val="clear" w:color="auto" w:fill="auto"/>
            <w:noWrap/>
            <w:vAlign w:val="bottom"/>
            <w:hideMark/>
          </w:tcPr>
          <w:p w14:paraId="4FE9CE1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37 078</w:t>
            </w:r>
          </w:p>
        </w:tc>
        <w:tc>
          <w:tcPr>
            <w:tcW w:w="410" w:type="pct"/>
            <w:tcBorders>
              <w:top w:val="nil"/>
              <w:left w:val="nil"/>
              <w:bottom w:val="nil"/>
              <w:right w:val="nil"/>
            </w:tcBorders>
            <w:shd w:val="clear" w:color="auto" w:fill="auto"/>
            <w:noWrap/>
            <w:vAlign w:val="bottom"/>
            <w:hideMark/>
          </w:tcPr>
          <w:p w14:paraId="5793FA08"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123 143</w:t>
            </w:r>
          </w:p>
        </w:tc>
        <w:tc>
          <w:tcPr>
            <w:tcW w:w="449" w:type="pct"/>
            <w:tcBorders>
              <w:top w:val="nil"/>
              <w:left w:val="nil"/>
              <w:bottom w:val="nil"/>
              <w:right w:val="nil"/>
            </w:tcBorders>
            <w:shd w:val="clear" w:color="auto" w:fill="auto"/>
            <w:noWrap/>
            <w:vAlign w:val="bottom"/>
            <w:hideMark/>
          </w:tcPr>
          <w:p w14:paraId="62EBEF2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120 713</w:t>
            </w:r>
          </w:p>
        </w:tc>
        <w:tc>
          <w:tcPr>
            <w:tcW w:w="469" w:type="pct"/>
            <w:tcBorders>
              <w:top w:val="nil"/>
              <w:left w:val="nil"/>
              <w:bottom w:val="nil"/>
              <w:right w:val="nil"/>
            </w:tcBorders>
            <w:shd w:val="clear" w:color="auto" w:fill="auto"/>
            <w:noWrap/>
            <w:vAlign w:val="bottom"/>
            <w:hideMark/>
          </w:tcPr>
          <w:p w14:paraId="10429AB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179 203</w:t>
            </w:r>
          </w:p>
        </w:tc>
        <w:tc>
          <w:tcPr>
            <w:tcW w:w="469" w:type="pct"/>
            <w:tcBorders>
              <w:top w:val="nil"/>
              <w:left w:val="nil"/>
              <w:bottom w:val="nil"/>
              <w:right w:val="nil"/>
            </w:tcBorders>
            <w:shd w:val="clear" w:color="auto" w:fill="auto"/>
            <w:noWrap/>
            <w:vAlign w:val="bottom"/>
            <w:hideMark/>
          </w:tcPr>
          <w:p w14:paraId="663709E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206 467</w:t>
            </w:r>
          </w:p>
        </w:tc>
        <w:tc>
          <w:tcPr>
            <w:tcW w:w="468" w:type="pct"/>
            <w:tcBorders>
              <w:top w:val="nil"/>
              <w:left w:val="nil"/>
              <w:bottom w:val="nil"/>
              <w:right w:val="nil"/>
            </w:tcBorders>
            <w:shd w:val="clear" w:color="auto" w:fill="auto"/>
            <w:noWrap/>
            <w:vAlign w:val="bottom"/>
            <w:hideMark/>
          </w:tcPr>
          <w:p w14:paraId="688369BC"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204 596</w:t>
            </w:r>
          </w:p>
        </w:tc>
      </w:tr>
      <w:tr w:rsidR="00661122" w:rsidRPr="00DD531B" w14:paraId="6B0C5056" w14:textId="77777777" w:rsidTr="00661122">
        <w:trPr>
          <w:trHeight w:val="300"/>
        </w:trPr>
        <w:tc>
          <w:tcPr>
            <w:tcW w:w="1953" w:type="pct"/>
            <w:tcBorders>
              <w:top w:val="nil"/>
              <w:left w:val="nil"/>
              <w:bottom w:val="nil"/>
              <w:right w:val="nil"/>
            </w:tcBorders>
            <w:shd w:val="clear" w:color="auto" w:fill="auto"/>
            <w:noWrap/>
            <w:vAlign w:val="bottom"/>
            <w:hideMark/>
          </w:tcPr>
          <w:p w14:paraId="7D9AAC56" w14:textId="77777777" w:rsidR="00DD531B" w:rsidRPr="00661122" w:rsidRDefault="00DD531B" w:rsidP="00DD531B">
            <w:pPr>
              <w:spacing w:after="0" w:line="240" w:lineRule="auto"/>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presun z minulých rokov § 8, v tom:</w:t>
            </w:r>
          </w:p>
        </w:tc>
        <w:tc>
          <w:tcPr>
            <w:tcW w:w="391" w:type="pct"/>
            <w:tcBorders>
              <w:top w:val="nil"/>
              <w:left w:val="nil"/>
              <w:bottom w:val="nil"/>
              <w:right w:val="nil"/>
            </w:tcBorders>
            <w:shd w:val="clear" w:color="auto" w:fill="auto"/>
            <w:noWrap/>
            <w:vAlign w:val="bottom"/>
            <w:hideMark/>
          </w:tcPr>
          <w:p w14:paraId="31D25ABA"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264 220</w:t>
            </w:r>
          </w:p>
        </w:tc>
        <w:tc>
          <w:tcPr>
            <w:tcW w:w="391" w:type="pct"/>
            <w:tcBorders>
              <w:top w:val="nil"/>
              <w:left w:val="nil"/>
              <w:bottom w:val="nil"/>
              <w:right w:val="nil"/>
            </w:tcBorders>
            <w:shd w:val="clear" w:color="auto" w:fill="auto"/>
            <w:noWrap/>
            <w:vAlign w:val="bottom"/>
            <w:hideMark/>
          </w:tcPr>
          <w:p w14:paraId="6DEF523B"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314 787</w:t>
            </w:r>
          </w:p>
        </w:tc>
        <w:tc>
          <w:tcPr>
            <w:tcW w:w="410" w:type="pct"/>
            <w:tcBorders>
              <w:top w:val="nil"/>
              <w:left w:val="nil"/>
              <w:bottom w:val="nil"/>
              <w:right w:val="nil"/>
            </w:tcBorders>
            <w:shd w:val="clear" w:color="auto" w:fill="auto"/>
            <w:noWrap/>
            <w:vAlign w:val="bottom"/>
            <w:hideMark/>
          </w:tcPr>
          <w:p w14:paraId="11329846"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449" w:type="pct"/>
            <w:tcBorders>
              <w:top w:val="nil"/>
              <w:left w:val="nil"/>
              <w:bottom w:val="nil"/>
              <w:right w:val="nil"/>
            </w:tcBorders>
            <w:shd w:val="clear" w:color="auto" w:fill="auto"/>
            <w:noWrap/>
            <w:vAlign w:val="bottom"/>
            <w:hideMark/>
          </w:tcPr>
          <w:p w14:paraId="5D086C33"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391 589</w:t>
            </w:r>
          </w:p>
        </w:tc>
        <w:tc>
          <w:tcPr>
            <w:tcW w:w="469" w:type="pct"/>
            <w:tcBorders>
              <w:top w:val="nil"/>
              <w:left w:val="nil"/>
              <w:bottom w:val="nil"/>
              <w:right w:val="nil"/>
            </w:tcBorders>
            <w:shd w:val="clear" w:color="auto" w:fill="auto"/>
            <w:noWrap/>
            <w:vAlign w:val="bottom"/>
            <w:hideMark/>
          </w:tcPr>
          <w:p w14:paraId="272BD844"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469" w:type="pct"/>
            <w:tcBorders>
              <w:top w:val="nil"/>
              <w:left w:val="nil"/>
              <w:bottom w:val="nil"/>
              <w:right w:val="nil"/>
            </w:tcBorders>
            <w:shd w:val="clear" w:color="auto" w:fill="auto"/>
            <w:noWrap/>
            <w:vAlign w:val="bottom"/>
            <w:hideMark/>
          </w:tcPr>
          <w:p w14:paraId="58146638"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468" w:type="pct"/>
            <w:tcBorders>
              <w:top w:val="nil"/>
              <w:left w:val="nil"/>
              <w:bottom w:val="nil"/>
              <w:right w:val="nil"/>
            </w:tcBorders>
            <w:shd w:val="clear" w:color="auto" w:fill="auto"/>
            <w:noWrap/>
            <w:vAlign w:val="bottom"/>
            <w:hideMark/>
          </w:tcPr>
          <w:p w14:paraId="21A2510E"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r>
      <w:tr w:rsidR="00661122" w:rsidRPr="00DD531B" w14:paraId="159BDA2E" w14:textId="77777777" w:rsidTr="00661122">
        <w:trPr>
          <w:trHeight w:val="300"/>
        </w:trPr>
        <w:tc>
          <w:tcPr>
            <w:tcW w:w="1953" w:type="pct"/>
            <w:tcBorders>
              <w:top w:val="nil"/>
              <w:left w:val="nil"/>
              <w:bottom w:val="nil"/>
              <w:right w:val="nil"/>
            </w:tcBorders>
            <w:shd w:val="clear" w:color="auto" w:fill="auto"/>
            <w:noWrap/>
            <w:vAlign w:val="bottom"/>
            <w:hideMark/>
          </w:tcPr>
          <w:p w14:paraId="5272F3AB"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štátny rozpočet</w:t>
            </w:r>
          </w:p>
        </w:tc>
        <w:tc>
          <w:tcPr>
            <w:tcW w:w="391" w:type="pct"/>
            <w:tcBorders>
              <w:top w:val="nil"/>
              <w:left w:val="nil"/>
              <w:bottom w:val="nil"/>
              <w:right w:val="nil"/>
            </w:tcBorders>
            <w:shd w:val="clear" w:color="auto" w:fill="auto"/>
            <w:noWrap/>
            <w:vAlign w:val="bottom"/>
            <w:hideMark/>
          </w:tcPr>
          <w:p w14:paraId="1EFACDD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2 574</w:t>
            </w:r>
          </w:p>
        </w:tc>
        <w:tc>
          <w:tcPr>
            <w:tcW w:w="391" w:type="pct"/>
            <w:tcBorders>
              <w:top w:val="nil"/>
              <w:left w:val="nil"/>
              <w:bottom w:val="nil"/>
              <w:right w:val="nil"/>
            </w:tcBorders>
            <w:shd w:val="clear" w:color="auto" w:fill="auto"/>
            <w:noWrap/>
            <w:vAlign w:val="bottom"/>
            <w:hideMark/>
          </w:tcPr>
          <w:p w14:paraId="16B7D8CC"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10 278</w:t>
            </w:r>
          </w:p>
        </w:tc>
        <w:tc>
          <w:tcPr>
            <w:tcW w:w="410" w:type="pct"/>
            <w:tcBorders>
              <w:top w:val="nil"/>
              <w:left w:val="nil"/>
              <w:bottom w:val="nil"/>
              <w:right w:val="nil"/>
            </w:tcBorders>
            <w:shd w:val="clear" w:color="auto" w:fill="auto"/>
            <w:noWrap/>
            <w:vAlign w:val="bottom"/>
            <w:hideMark/>
          </w:tcPr>
          <w:p w14:paraId="2604D138"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449" w:type="pct"/>
            <w:tcBorders>
              <w:top w:val="nil"/>
              <w:left w:val="nil"/>
              <w:bottom w:val="nil"/>
              <w:right w:val="nil"/>
            </w:tcBorders>
            <w:shd w:val="clear" w:color="auto" w:fill="auto"/>
            <w:noWrap/>
            <w:vAlign w:val="bottom"/>
            <w:hideMark/>
          </w:tcPr>
          <w:p w14:paraId="21DB1348"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5 908</w:t>
            </w:r>
          </w:p>
        </w:tc>
        <w:tc>
          <w:tcPr>
            <w:tcW w:w="469" w:type="pct"/>
            <w:tcBorders>
              <w:top w:val="nil"/>
              <w:left w:val="nil"/>
              <w:bottom w:val="nil"/>
              <w:right w:val="nil"/>
            </w:tcBorders>
            <w:shd w:val="clear" w:color="auto" w:fill="auto"/>
            <w:noWrap/>
            <w:vAlign w:val="bottom"/>
            <w:hideMark/>
          </w:tcPr>
          <w:p w14:paraId="6C7F8500"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469" w:type="pct"/>
            <w:tcBorders>
              <w:top w:val="nil"/>
              <w:left w:val="nil"/>
              <w:bottom w:val="nil"/>
              <w:right w:val="nil"/>
            </w:tcBorders>
            <w:shd w:val="clear" w:color="auto" w:fill="auto"/>
            <w:noWrap/>
            <w:vAlign w:val="bottom"/>
            <w:hideMark/>
          </w:tcPr>
          <w:p w14:paraId="731E34A7"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468" w:type="pct"/>
            <w:tcBorders>
              <w:top w:val="nil"/>
              <w:left w:val="nil"/>
              <w:bottom w:val="nil"/>
              <w:right w:val="nil"/>
            </w:tcBorders>
            <w:shd w:val="clear" w:color="auto" w:fill="auto"/>
            <w:noWrap/>
            <w:vAlign w:val="bottom"/>
            <w:hideMark/>
          </w:tcPr>
          <w:p w14:paraId="68D6DAFC"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r>
      <w:tr w:rsidR="00661122" w:rsidRPr="00DD531B" w14:paraId="6879648C" w14:textId="77777777" w:rsidTr="00661122">
        <w:trPr>
          <w:trHeight w:val="300"/>
        </w:trPr>
        <w:tc>
          <w:tcPr>
            <w:tcW w:w="1953" w:type="pct"/>
            <w:tcBorders>
              <w:top w:val="nil"/>
              <w:left w:val="nil"/>
              <w:bottom w:val="nil"/>
              <w:right w:val="nil"/>
            </w:tcBorders>
            <w:shd w:val="clear" w:color="auto" w:fill="auto"/>
            <w:noWrap/>
            <w:vAlign w:val="bottom"/>
            <w:hideMark/>
          </w:tcPr>
          <w:p w14:paraId="170DC804"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prostriedky EÚ a spolufinancovanie zo ŠR</w:t>
            </w:r>
          </w:p>
        </w:tc>
        <w:tc>
          <w:tcPr>
            <w:tcW w:w="391" w:type="pct"/>
            <w:tcBorders>
              <w:top w:val="nil"/>
              <w:left w:val="nil"/>
              <w:bottom w:val="nil"/>
              <w:right w:val="nil"/>
            </w:tcBorders>
            <w:shd w:val="clear" w:color="auto" w:fill="auto"/>
            <w:noWrap/>
            <w:vAlign w:val="bottom"/>
            <w:hideMark/>
          </w:tcPr>
          <w:p w14:paraId="06BF08D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261 646</w:t>
            </w:r>
          </w:p>
        </w:tc>
        <w:tc>
          <w:tcPr>
            <w:tcW w:w="391" w:type="pct"/>
            <w:tcBorders>
              <w:top w:val="nil"/>
              <w:left w:val="nil"/>
              <w:bottom w:val="nil"/>
              <w:right w:val="nil"/>
            </w:tcBorders>
            <w:shd w:val="clear" w:color="auto" w:fill="auto"/>
            <w:noWrap/>
            <w:vAlign w:val="bottom"/>
            <w:hideMark/>
          </w:tcPr>
          <w:p w14:paraId="69C3BDB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304 509</w:t>
            </w:r>
          </w:p>
        </w:tc>
        <w:tc>
          <w:tcPr>
            <w:tcW w:w="410" w:type="pct"/>
            <w:tcBorders>
              <w:top w:val="nil"/>
              <w:left w:val="nil"/>
              <w:bottom w:val="nil"/>
              <w:right w:val="nil"/>
            </w:tcBorders>
            <w:shd w:val="clear" w:color="auto" w:fill="auto"/>
            <w:noWrap/>
            <w:vAlign w:val="bottom"/>
            <w:hideMark/>
          </w:tcPr>
          <w:p w14:paraId="155298A9"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449" w:type="pct"/>
            <w:tcBorders>
              <w:top w:val="nil"/>
              <w:left w:val="nil"/>
              <w:bottom w:val="nil"/>
              <w:right w:val="nil"/>
            </w:tcBorders>
            <w:shd w:val="clear" w:color="auto" w:fill="auto"/>
            <w:noWrap/>
            <w:vAlign w:val="bottom"/>
            <w:hideMark/>
          </w:tcPr>
          <w:p w14:paraId="1CB74A30"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385 681</w:t>
            </w:r>
          </w:p>
        </w:tc>
        <w:tc>
          <w:tcPr>
            <w:tcW w:w="469" w:type="pct"/>
            <w:tcBorders>
              <w:top w:val="nil"/>
              <w:left w:val="nil"/>
              <w:bottom w:val="nil"/>
              <w:right w:val="nil"/>
            </w:tcBorders>
            <w:shd w:val="clear" w:color="auto" w:fill="auto"/>
            <w:noWrap/>
            <w:vAlign w:val="bottom"/>
            <w:hideMark/>
          </w:tcPr>
          <w:p w14:paraId="3EA5CF28"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469" w:type="pct"/>
            <w:tcBorders>
              <w:top w:val="nil"/>
              <w:left w:val="nil"/>
              <w:bottom w:val="nil"/>
              <w:right w:val="nil"/>
            </w:tcBorders>
            <w:shd w:val="clear" w:color="auto" w:fill="auto"/>
            <w:noWrap/>
            <w:vAlign w:val="bottom"/>
            <w:hideMark/>
          </w:tcPr>
          <w:p w14:paraId="7A090273"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468" w:type="pct"/>
            <w:tcBorders>
              <w:top w:val="nil"/>
              <w:left w:val="nil"/>
              <w:bottom w:val="nil"/>
              <w:right w:val="nil"/>
            </w:tcBorders>
            <w:shd w:val="clear" w:color="auto" w:fill="auto"/>
            <w:noWrap/>
            <w:vAlign w:val="bottom"/>
            <w:hideMark/>
          </w:tcPr>
          <w:p w14:paraId="46AFFC93"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r>
      <w:tr w:rsidR="00661122" w:rsidRPr="00DD531B" w14:paraId="67201EA3" w14:textId="77777777" w:rsidTr="00661122">
        <w:trPr>
          <w:trHeight w:val="300"/>
        </w:trPr>
        <w:tc>
          <w:tcPr>
            <w:tcW w:w="1953" w:type="pct"/>
            <w:tcBorders>
              <w:top w:val="nil"/>
              <w:left w:val="nil"/>
              <w:bottom w:val="single" w:sz="4" w:space="0" w:color="auto"/>
              <w:right w:val="nil"/>
            </w:tcBorders>
            <w:shd w:val="clear" w:color="auto" w:fill="auto"/>
            <w:noWrap/>
            <w:vAlign w:val="bottom"/>
            <w:hideMark/>
          </w:tcPr>
          <w:p w14:paraId="14134433" w14:textId="77777777" w:rsidR="00DD531B" w:rsidRPr="00661122" w:rsidRDefault="00DD531B" w:rsidP="00DD531B">
            <w:pPr>
              <w:spacing w:after="0" w:line="240" w:lineRule="auto"/>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prostriedky podľa § 17 ods. 4 a § 22 ods. 4 zákona č. 523/2004 Z. z.</w:t>
            </w:r>
          </w:p>
        </w:tc>
        <w:tc>
          <w:tcPr>
            <w:tcW w:w="391" w:type="pct"/>
            <w:tcBorders>
              <w:top w:val="nil"/>
              <w:left w:val="nil"/>
              <w:bottom w:val="single" w:sz="4" w:space="0" w:color="auto"/>
              <w:right w:val="nil"/>
            </w:tcBorders>
            <w:shd w:val="clear" w:color="auto" w:fill="auto"/>
            <w:noWrap/>
            <w:vAlign w:val="bottom"/>
            <w:hideMark/>
          </w:tcPr>
          <w:p w14:paraId="422C1D3D"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32</w:t>
            </w:r>
          </w:p>
        </w:tc>
        <w:tc>
          <w:tcPr>
            <w:tcW w:w="391" w:type="pct"/>
            <w:tcBorders>
              <w:top w:val="nil"/>
              <w:left w:val="nil"/>
              <w:bottom w:val="single" w:sz="4" w:space="0" w:color="auto"/>
              <w:right w:val="nil"/>
            </w:tcBorders>
            <w:shd w:val="clear" w:color="auto" w:fill="auto"/>
            <w:noWrap/>
            <w:vAlign w:val="bottom"/>
            <w:hideMark/>
          </w:tcPr>
          <w:p w14:paraId="316A764B"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13</w:t>
            </w:r>
          </w:p>
        </w:tc>
        <w:tc>
          <w:tcPr>
            <w:tcW w:w="410" w:type="pct"/>
            <w:tcBorders>
              <w:top w:val="nil"/>
              <w:left w:val="nil"/>
              <w:bottom w:val="single" w:sz="4" w:space="0" w:color="auto"/>
              <w:right w:val="nil"/>
            </w:tcBorders>
            <w:shd w:val="clear" w:color="auto" w:fill="auto"/>
            <w:noWrap/>
            <w:vAlign w:val="bottom"/>
            <w:hideMark/>
          </w:tcPr>
          <w:p w14:paraId="5C48D983"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449" w:type="pct"/>
            <w:tcBorders>
              <w:top w:val="nil"/>
              <w:left w:val="nil"/>
              <w:bottom w:val="single" w:sz="4" w:space="0" w:color="auto"/>
              <w:right w:val="nil"/>
            </w:tcBorders>
            <w:shd w:val="clear" w:color="auto" w:fill="auto"/>
            <w:noWrap/>
            <w:vAlign w:val="bottom"/>
            <w:hideMark/>
          </w:tcPr>
          <w:p w14:paraId="71CD4E41"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8</w:t>
            </w:r>
          </w:p>
        </w:tc>
        <w:tc>
          <w:tcPr>
            <w:tcW w:w="469" w:type="pct"/>
            <w:tcBorders>
              <w:top w:val="nil"/>
              <w:left w:val="nil"/>
              <w:bottom w:val="single" w:sz="4" w:space="0" w:color="auto"/>
              <w:right w:val="nil"/>
            </w:tcBorders>
            <w:shd w:val="clear" w:color="auto" w:fill="auto"/>
            <w:noWrap/>
            <w:vAlign w:val="bottom"/>
            <w:hideMark/>
          </w:tcPr>
          <w:p w14:paraId="6C400161"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469" w:type="pct"/>
            <w:tcBorders>
              <w:top w:val="nil"/>
              <w:left w:val="nil"/>
              <w:bottom w:val="single" w:sz="4" w:space="0" w:color="auto"/>
              <w:right w:val="nil"/>
            </w:tcBorders>
            <w:shd w:val="clear" w:color="auto" w:fill="auto"/>
            <w:noWrap/>
            <w:vAlign w:val="bottom"/>
            <w:hideMark/>
          </w:tcPr>
          <w:p w14:paraId="6E81EA7C"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468" w:type="pct"/>
            <w:tcBorders>
              <w:top w:val="nil"/>
              <w:left w:val="nil"/>
              <w:bottom w:val="single" w:sz="4" w:space="0" w:color="auto"/>
              <w:right w:val="nil"/>
            </w:tcBorders>
            <w:shd w:val="clear" w:color="auto" w:fill="auto"/>
            <w:noWrap/>
            <w:vAlign w:val="bottom"/>
            <w:hideMark/>
          </w:tcPr>
          <w:p w14:paraId="090D87D1"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r>
    </w:tbl>
    <w:p w14:paraId="56443884" w14:textId="10B657CD" w:rsidR="00DD531B" w:rsidRDefault="00DD531B" w:rsidP="00DD531B">
      <w:pPr>
        <w:rPr>
          <w:rFonts w:ascii="Times New Roman" w:eastAsia="Calibri" w:hAnsi="Times New Roman" w:cs="Times New Roman"/>
        </w:rPr>
      </w:pPr>
    </w:p>
    <w:p w14:paraId="3E530440" w14:textId="45CFC5F0" w:rsidR="00661122" w:rsidRDefault="00661122" w:rsidP="00DD531B">
      <w:pPr>
        <w:rPr>
          <w:rFonts w:ascii="Times New Roman" w:eastAsia="Calibri" w:hAnsi="Times New Roman" w:cs="Times New Roman"/>
        </w:rPr>
      </w:pPr>
    </w:p>
    <w:p w14:paraId="4EE968FF" w14:textId="397737F4" w:rsidR="00661122" w:rsidRDefault="00661122" w:rsidP="00DD531B">
      <w:pPr>
        <w:rPr>
          <w:rFonts w:ascii="Times New Roman" w:eastAsia="Calibri" w:hAnsi="Times New Roman" w:cs="Times New Roman"/>
        </w:rPr>
      </w:pPr>
    </w:p>
    <w:p w14:paraId="2DAA6F12" w14:textId="0BD6BC17" w:rsidR="00661122" w:rsidRDefault="00661122" w:rsidP="00DD531B">
      <w:pPr>
        <w:rPr>
          <w:rFonts w:ascii="Times New Roman" w:eastAsia="Calibri" w:hAnsi="Times New Roman" w:cs="Times New Roman"/>
        </w:rPr>
      </w:pPr>
    </w:p>
    <w:p w14:paraId="47FA64DE" w14:textId="3ACBC030" w:rsidR="00661122" w:rsidRDefault="00661122" w:rsidP="00DD531B">
      <w:pPr>
        <w:rPr>
          <w:rFonts w:ascii="Times New Roman" w:eastAsia="Calibri" w:hAnsi="Times New Roman" w:cs="Times New Roman"/>
        </w:rPr>
      </w:pPr>
    </w:p>
    <w:p w14:paraId="3598C954" w14:textId="19476207" w:rsidR="00661122" w:rsidRDefault="00661122" w:rsidP="00DD531B">
      <w:pPr>
        <w:rPr>
          <w:rFonts w:ascii="Times New Roman" w:eastAsia="Calibri" w:hAnsi="Times New Roman" w:cs="Times New Roman"/>
        </w:rPr>
      </w:pPr>
    </w:p>
    <w:p w14:paraId="62885BE4" w14:textId="76DBF92D" w:rsidR="00661122" w:rsidRDefault="00661122" w:rsidP="00DD531B">
      <w:pPr>
        <w:rPr>
          <w:rFonts w:ascii="Times New Roman" w:eastAsia="Calibri" w:hAnsi="Times New Roman" w:cs="Times New Roman"/>
        </w:rPr>
      </w:pPr>
    </w:p>
    <w:p w14:paraId="6FF31CC5" w14:textId="52139E48" w:rsidR="00661122" w:rsidRDefault="00661122" w:rsidP="00DD531B">
      <w:pPr>
        <w:rPr>
          <w:rFonts w:ascii="Times New Roman" w:eastAsia="Calibri" w:hAnsi="Times New Roman" w:cs="Times New Roman"/>
        </w:rPr>
      </w:pPr>
    </w:p>
    <w:p w14:paraId="55AC227F" w14:textId="79A4BF8E" w:rsidR="00661122" w:rsidRDefault="00661122" w:rsidP="00DD531B">
      <w:pPr>
        <w:rPr>
          <w:rFonts w:ascii="Times New Roman" w:eastAsia="Calibri" w:hAnsi="Times New Roman" w:cs="Times New Roman"/>
        </w:rPr>
      </w:pPr>
    </w:p>
    <w:p w14:paraId="4055A997" w14:textId="7D2660D9" w:rsidR="00661122" w:rsidRDefault="00661122" w:rsidP="00DD531B">
      <w:pPr>
        <w:rPr>
          <w:rFonts w:ascii="Times New Roman" w:eastAsia="Calibri" w:hAnsi="Times New Roman" w:cs="Times New Roman"/>
        </w:rPr>
      </w:pPr>
    </w:p>
    <w:p w14:paraId="445E5393" w14:textId="77777777" w:rsidR="00661122" w:rsidRPr="00DD531B" w:rsidRDefault="00661122" w:rsidP="00DD531B">
      <w:pPr>
        <w:rPr>
          <w:rFonts w:ascii="Times New Roman" w:eastAsia="Calibri" w:hAnsi="Times New Roman" w:cs="Times New Roman"/>
        </w:rPr>
      </w:pPr>
    </w:p>
    <w:p w14:paraId="12390FF9" w14:textId="7BFAE6BD" w:rsidR="00DD531B" w:rsidRPr="00661122" w:rsidRDefault="00DD531B" w:rsidP="00DD531B">
      <w:pPr>
        <w:keepNext/>
        <w:keepLines/>
        <w:spacing w:before="40" w:after="0"/>
        <w:outlineLvl w:val="1"/>
        <w:rPr>
          <w:rFonts w:ascii="Times New Roman" w:eastAsia="Times New Roman" w:hAnsi="Times New Roman" w:cs="Times New Roman"/>
          <w:b/>
          <w:color w:val="5B9BD5" w:themeColor="accent1"/>
          <w:sz w:val="24"/>
          <w:szCs w:val="24"/>
        </w:rPr>
      </w:pPr>
      <w:r w:rsidRPr="00661122">
        <w:rPr>
          <w:rFonts w:ascii="Times New Roman" w:eastAsia="Times New Roman" w:hAnsi="Times New Roman" w:cs="Times New Roman"/>
          <w:b/>
          <w:color w:val="5B9BD5" w:themeColor="accent1"/>
          <w:sz w:val="24"/>
          <w:szCs w:val="24"/>
        </w:rPr>
        <w:lastRenderedPageBreak/>
        <w:t>Ministerstvo dopravy SR</w:t>
      </w:r>
    </w:p>
    <w:p w14:paraId="32268C23" w14:textId="77777777" w:rsidR="00DD531B" w:rsidRPr="00661122" w:rsidRDefault="00DD531B" w:rsidP="00DD531B">
      <w:pPr>
        <w:rPr>
          <w:rFonts w:ascii="Times New Roman" w:eastAsia="Calibri" w:hAnsi="Times New Roman" w:cs="Times New Roman"/>
          <w:color w:val="5B9BD5" w:themeColor="accent1"/>
        </w:rPr>
      </w:pPr>
    </w:p>
    <w:p w14:paraId="0BDAFBE6" w14:textId="7ACF8D12" w:rsidR="00DD531B" w:rsidRPr="00661122" w:rsidRDefault="00661122"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25" w:name="_Toc153013095"/>
      <w:r w:rsidRPr="00661122">
        <w:rPr>
          <w:rFonts w:ascii="Times New Roman" w:eastAsia="Times New Roman" w:hAnsi="Times New Roman" w:cs="Times New Roman"/>
          <w:b/>
          <w:iCs/>
          <w:color w:val="5B9BD5" w:themeColor="accent1"/>
          <w:sz w:val="20"/>
          <w:szCs w:val="20"/>
          <w:lang w:eastAsia="sk-SK"/>
        </w:rPr>
        <w:t xml:space="preserve">Tabuľka </w:t>
      </w:r>
      <w:r w:rsidRPr="00661122">
        <w:rPr>
          <w:rFonts w:ascii="Times New Roman" w:hAnsi="Times New Roman" w:cs="Times New Roman"/>
          <w:b/>
          <w:color w:val="5B9BD5" w:themeColor="accent1"/>
          <w:sz w:val="20"/>
          <w:szCs w:val="20"/>
        </w:rPr>
        <w:fldChar w:fldCharType="begin"/>
      </w:r>
      <w:r w:rsidRPr="00661122">
        <w:rPr>
          <w:rFonts w:ascii="Times New Roman" w:hAnsi="Times New Roman" w:cs="Times New Roman"/>
          <w:b/>
          <w:color w:val="5B9BD5" w:themeColor="accent1"/>
          <w:sz w:val="20"/>
          <w:szCs w:val="20"/>
        </w:rPr>
        <w:instrText xml:space="preserve"> SEQ Tabuľka \* ARABIC </w:instrText>
      </w:r>
      <w:r w:rsidRPr="00661122">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97</w:t>
      </w:r>
      <w:r w:rsidRPr="00661122">
        <w:rPr>
          <w:rFonts w:ascii="Times New Roman" w:hAnsi="Times New Roman" w:cs="Times New Roman"/>
          <w:b/>
          <w:color w:val="5B9BD5" w:themeColor="accent1"/>
          <w:sz w:val="20"/>
          <w:szCs w:val="20"/>
        </w:rPr>
        <w:fldChar w:fldCharType="end"/>
      </w:r>
      <w:r w:rsidRPr="00661122">
        <w:rPr>
          <w:rFonts w:ascii="Times New Roman" w:hAnsi="Times New Roman" w:cs="Times New Roman"/>
          <w:b/>
          <w:color w:val="5B9BD5" w:themeColor="accent1"/>
          <w:sz w:val="20"/>
          <w:szCs w:val="20"/>
        </w:rPr>
        <w:t xml:space="preserve"> - </w:t>
      </w:r>
      <w:r w:rsidR="00DD531B" w:rsidRPr="00661122">
        <w:rPr>
          <w:rFonts w:ascii="Times New Roman" w:eastAsia="Times New Roman" w:hAnsi="Times New Roman" w:cs="Times New Roman"/>
          <w:b/>
          <w:iCs/>
          <w:color w:val="5B9BD5" w:themeColor="accent1"/>
          <w:sz w:val="20"/>
          <w:szCs w:val="20"/>
          <w:lang w:eastAsia="sk-SK"/>
        </w:rPr>
        <w:t>Príjmy kapitoly MD SR</w:t>
      </w:r>
      <w:bookmarkEnd w:id="225"/>
    </w:p>
    <w:tbl>
      <w:tblPr>
        <w:tblW w:w="5000" w:type="pct"/>
        <w:tblCellMar>
          <w:left w:w="70" w:type="dxa"/>
          <w:right w:w="70" w:type="dxa"/>
        </w:tblCellMar>
        <w:tblLook w:val="04A0" w:firstRow="1" w:lastRow="0" w:firstColumn="1" w:lastColumn="0" w:noHBand="0" w:noVBand="1"/>
      </w:tblPr>
      <w:tblGrid>
        <w:gridCol w:w="3967"/>
        <w:gridCol w:w="730"/>
        <w:gridCol w:w="730"/>
        <w:gridCol w:w="729"/>
        <w:gridCol w:w="729"/>
        <w:gridCol w:w="729"/>
        <w:gridCol w:w="729"/>
        <w:gridCol w:w="729"/>
      </w:tblGrid>
      <w:tr w:rsidR="00DD531B" w:rsidRPr="00DD531B" w14:paraId="390F14C2" w14:textId="77777777" w:rsidTr="001F24AE">
        <w:trPr>
          <w:trHeight w:val="300"/>
        </w:trPr>
        <w:tc>
          <w:tcPr>
            <w:tcW w:w="2186" w:type="pct"/>
            <w:tcBorders>
              <w:top w:val="single" w:sz="4" w:space="0" w:color="auto"/>
              <w:left w:val="nil"/>
              <w:bottom w:val="single" w:sz="4" w:space="0" w:color="auto"/>
              <w:right w:val="nil"/>
            </w:tcBorders>
            <w:shd w:val="clear" w:color="auto" w:fill="auto"/>
            <w:noWrap/>
            <w:vAlign w:val="center"/>
            <w:hideMark/>
          </w:tcPr>
          <w:p w14:paraId="6AFE7095" w14:textId="77777777" w:rsidR="00DD531B" w:rsidRPr="00DD531B" w:rsidRDefault="00DD531B" w:rsidP="00DD531B">
            <w:pPr>
              <w:spacing w:after="0" w:line="240" w:lineRule="auto"/>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v tis. eur</w:t>
            </w:r>
          </w:p>
        </w:tc>
        <w:tc>
          <w:tcPr>
            <w:tcW w:w="402" w:type="pct"/>
            <w:tcBorders>
              <w:top w:val="single" w:sz="4" w:space="0" w:color="auto"/>
              <w:left w:val="nil"/>
              <w:bottom w:val="single" w:sz="4" w:space="0" w:color="auto"/>
              <w:right w:val="nil"/>
            </w:tcBorders>
            <w:shd w:val="clear" w:color="auto" w:fill="auto"/>
            <w:noWrap/>
            <w:vAlign w:val="center"/>
            <w:hideMark/>
          </w:tcPr>
          <w:p w14:paraId="3E31EFA7" w14:textId="77777777" w:rsidR="00DD531B" w:rsidRPr="00DD531B" w:rsidRDefault="00DD531B" w:rsidP="00661122">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2021 S</w:t>
            </w:r>
          </w:p>
        </w:tc>
        <w:tc>
          <w:tcPr>
            <w:tcW w:w="402" w:type="pct"/>
            <w:tcBorders>
              <w:top w:val="single" w:sz="4" w:space="0" w:color="auto"/>
              <w:left w:val="nil"/>
              <w:bottom w:val="single" w:sz="4" w:space="0" w:color="auto"/>
              <w:right w:val="nil"/>
            </w:tcBorders>
            <w:shd w:val="clear" w:color="auto" w:fill="auto"/>
            <w:noWrap/>
            <w:vAlign w:val="center"/>
            <w:hideMark/>
          </w:tcPr>
          <w:p w14:paraId="1CC3A652" w14:textId="77777777" w:rsidR="00DD531B" w:rsidRPr="00DD531B" w:rsidRDefault="00DD531B" w:rsidP="00661122">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2022 S</w:t>
            </w:r>
          </w:p>
        </w:tc>
        <w:tc>
          <w:tcPr>
            <w:tcW w:w="402" w:type="pct"/>
            <w:tcBorders>
              <w:top w:val="single" w:sz="4" w:space="0" w:color="auto"/>
              <w:left w:val="nil"/>
              <w:bottom w:val="single" w:sz="4" w:space="0" w:color="auto"/>
              <w:right w:val="nil"/>
            </w:tcBorders>
            <w:shd w:val="clear" w:color="auto" w:fill="auto"/>
            <w:noWrap/>
            <w:vAlign w:val="center"/>
            <w:hideMark/>
          </w:tcPr>
          <w:p w14:paraId="18D06AAA" w14:textId="77777777" w:rsidR="00DD531B" w:rsidRPr="00DD531B" w:rsidRDefault="00DD531B" w:rsidP="00661122">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2023 R</w:t>
            </w:r>
          </w:p>
        </w:tc>
        <w:tc>
          <w:tcPr>
            <w:tcW w:w="402" w:type="pct"/>
            <w:tcBorders>
              <w:top w:val="single" w:sz="4" w:space="0" w:color="auto"/>
              <w:left w:val="nil"/>
              <w:bottom w:val="single" w:sz="4" w:space="0" w:color="auto"/>
              <w:right w:val="nil"/>
            </w:tcBorders>
            <w:shd w:val="clear" w:color="auto" w:fill="auto"/>
            <w:noWrap/>
            <w:vAlign w:val="center"/>
            <w:hideMark/>
          </w:tcPr>
          <w:p w14:paraId="0E98AB31" w14:textId="77777777" w:rsidR="00DD531B" w:rsidRPr="00DD531B" w:rsidRDefault="00DD531B" w:rsidP="00661122">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2023 OS</w:t>
            </w:r>
          </w:p>
        </w:tc>
        <w:tc>
          <w:tcPr>
            <w:tcW w:w="402" w:type="pct"/>
            <w:tcBorders>
              <w:top w:val="single" w:sz="4" w:space="0" w:color="auto"/>
              <w:left w:val="nil"/>
              <w:bottom w:val="single" w:sz="4" w:space="0" w:color="auto"/>
              <w:right w:val="nil"/>
            </w:tcBorders>
            <w:shd w:val="clear" w:color="auto" w:fill="auto"/>
            <w:noWrap/>
            <w:vAlign w:val="center"/>
            <w:hideMark/>
          </w:tcPr>
          <w:p w14:paraId="11EC2975" w14:textId="77777777" w:rsidR="00DD531B" w:rsidRPr="00DD531B" w:rsidRDefault="00DD531B" w:rsidP="00661122">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2024 N</w:t>
            </w:r>
          </w:p>
        </w:tc>
        <w:tc>
          <w:tcPr>
            <w:tcW w:w="402" w:type="pct"/>
            <w:tcBorders>
              <w:top w:val="single" w:sz="4" w:space="0" w:color="auto"/>
              <w:left w:val="nil"/>
              <w:bottom w:val="single" w:sz="4" w:space="0" w:color="auto"/>
              <w:right w:val="nil"/>
            </w:tcBorders>
            <w:shd w:val="clear" w:color="auto" w:fill="auto"/>
            <w:noWrap/>
            <w:vAlign w:val="center"/>
            <w:hideMark/>
          </w:tcPr>
          <w:p w14:paraId="2BFF18E4" w14:textId="77777777" w:rsidR="00DD531B" w:rsidRPr="00DD531B" w:rsidRDefault="00DD531B" w:rsidP="00661122">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2025 N</w:t>
            </w:r>
          </w:p>
        </w:tc>
        <w:tc>
          <w:tcPr>
            <w:tcW w:w="402" w:type="pct"/>
            <w:tcBorders>
              <w:top w:val="single" w:sz="4" w:space="0" w:color="auto"/>
              <w:left w:val="nil"/>
              <w:bottom w:val="single" w:sz="4" w:space="0" w:color="auto"/>
              <w:right w:val="nil"/>
            </w:tcBorders>
            <w:shd w:val="clear" w:color="auto" w:fill="auto"/>
            <w:noWrap/>
            <w:vAlign w:val="center"/>
            <w:hideMark/>
          </w:tcPr>
          <w:p w14:paraId="746A9CD2" w14:textId="77777777" w:rsidR="00DD531B" w:rsidRPr="00DD531B" w:rsidRDefault="00DD531B" w:rsidP="00661122">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2026 N</w:t>
            </w:r>
          </w:p>
        </w:tc>
      </w:tr>
      <w:tr w:rsidR="00DD531B" w:rsidRPr="00DD531B" w14:paraId="44B51F1A" w14:textId="77777777" w:rsidTr="001F24AE">
        <w:trPr>
          <w:trHeight w:val="300"/>
        </w:trPr>
        <w:tc>
          <w:tcPr>
            <w:tcW w:w="2186" w:type="pct"/>
            <w:tcBorders>
              <w:top w:val="nil"/>
              <w:left w:val="nil"/>
              <w:bottom w:val="nil"/>
              <w:right w:val="nil"/>
            </w:tcBorders>
            <w:shd w:val="clear" w:color="auto" w:fill="auto"/>
            <w:noWrap/>
            <w:vAlign w:val="bottom"/>
            <w:hideMark/>
          </w:tcPr>
          <w:p w14:paraId="129C22AF" w14:textId="77777777" w:rsidR="00DD531B" w:rsidRPr="00DD531B" w:rsidRDefault="00DD531B" w:rsidP="00DD531B">
            <w:pPr>
              <w:spacing w:after="0" w:line="240" w:lineRule="auto"/>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Príjmy kapitoly spolu</w:t>
            </w:r>
          </w:p>
        </w:tc>
        <w:tc>
          <w:tcPr>
            <w:tcW w:w="402" w:type="pct"/>
            <w:tcBorders>
              <w:top w:val="nil"/>
              <w:left w:val="nil"/>
              <w:bottom w:val="nil"/>
              <w:right w:val="nil"/>
            </w:tcBorders>
            <w:shd w:val="clear" w:color="auto" w:fill="auto"/>
            <w:noWrap/>
            <w:vAlign w:val="bottom"/>
            <w:hideMark/>
          </w:tcPr>
          <w:p w14:paraId="0AEB3CA3"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295 269</w:t>
            </w:r>
          </w:p>
        </w:tc>
        <w:tc>
          <w:tcPr>
            <w:tcW w:w="402" w:type="pct"/>
            <w:tcBorders>
              <w:top w:val="nil"/>
              <w:left w:val="nil"/>
              <w:bottom w:val="nil"/>
              <w:right w:val="nil"/>
            </w:tcBorders>
            <w:shd w:val="clear" w:color="auto" w:fill="auto"/>
            <w:noWrap/>
            <w:vAlign w:val="bottom"/>
            <w:hideMark/>
          </w:tcPr>
          <w:p w14:paraId="7D82015E"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591 889</w:t>
            </w:r>
          </w:p>
        </w:tc>
        <w:tc>
          <w:tcPr>
            <w:tcW w:w="402" w:type="pct"/>
            <w:tcBorders>
              <w:top w:val="nil"/>
              <w:left w:val="nil"/>
              <w:bottom w:val="nil"/>
              <w:right w:val="nil"/>
            </w:tcBorders>
            <w:shd w:val="clear" w:color="auto" w:fill="auto"/>
            <w:noWrap/>
            <w:vAlign w:val="bottom"/>
            <w:hideMark/>
          </w:tcPr>
          <w:p w14:paraId="7F7B7046"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935 793</w:t>
            </w:r>
          </w:p>
        </w:tc>
        <w:tc>
          <w:tcPr>
            <w:tcW w:w="402" w:type="pct"/>
            <w:tcBorders>
              <w:top w:val="nil"/>
              <w:left w:val="nil"/>
              <w:bottom w:val="nil"/>
              <w:right w:val="nil"/>
            </w:tcBorders>
            <w:shd w:val="clear" w:color="auto" w:fill="auto"/>
            <w:noWrap/>
            <w:vAlign w:val="bottom"/>
            <w:hideMark/>
          </w:tcPr>
          <w:p w14:paraId="3D8F3AD2"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1 341 025</w:t>
            </w:r>
          </w:p>
        </w:tc>
        <w:tc>
          <w:tcPr>
            <w:tcW w:w="402" w:type="pct"/>
            <w:tcBorders>
              <w:top w:val="nil"/>
              <w:left w:val="nil"/>
              <w:bottom w:val="nil"/>
              <w:right w:val="nil"/>
            </w:tcBorders>
            <w:shd w:val="clear" w:color="auto" w:fill="auto"/>
            <w:noWrap/>
            <w:vAlign w:val="bottom"/>
            <w:hideMark/>
          </w:tcPr>
          <w:p w14:paraId="3AD05AD6"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94 559</w:t>
            </w:r>
          </w:p>
        </w:tc>
        <w:tc>
          <w:tcPr>
            <w:tcW w:w="402" w:type="pct"/>
            <w:tcBorders>
              <w:top w:val="nil"/>
              <w:left w:val="nil"/>
              <w:bottom w:val="nil"/>
              <w:right w:val="nil"/>
            </w:tcBorders>
            <w:shd w:val="clear" w:color="auto" w:fill="auto"/>
            <w:noWrap/>
            <w:vAlign w:val="bottom"/>
            <w:hideMark/>
          </w:tcPr>
          <w:p w14:paraId="6639A7B2"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343 174</w:t>
            </w:r>
          </w:p>
        </w:tc>
        <w:tc>
          <w:tcPr>
            <w:tcW w:w="402" w:type="pct"/>
            <w:tcBorders>
              <w:top w:val="nil"/>
              <w:left w:val="nil"/>
              <w:bottom w:val="nil"/>
              <w:right w:val="nil"/>
            </w:tcBorders>
            <w:shd w:val="clear" w:color="auto" w:fill="auto"/>
            <w:noWrap/>
            <w:vAlign w:val="bottom"/>
            <w:hideMark/>
          </w:tcPr>
          <w:p w14:paraId="4CE33D57"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523 869</w:t>
            </w:r>
          </w:p>
        </w:tc>
      </w:tr>
      <w:tr w:rsidR="00DD531B" w:rsidRPr="00DD531B" w14:paraId="61D079F7" w14:textId="77777777" w:rsidTr="001F24AE">
        <w:trPr>
          <w:trHeight w:val="300"/>
        </w:trPr>
        <w:tc>
          <w:tcPr>
            <w:tcW w:w="2186" w:type="pct"/>
            <w:tcBorders>
              <w:top w:val="nil"/>
              <w:left w:val="nil"/>
              <w:bottom w:val="nil"/>
              <w:right w:val="nil"/>
            </w:tcBorders>
            <w:shd w:val="clear" w:color="auto" w:fill="auto"/>
            <w:noWrap/>
            <w:vAlign w:val="bottom"/>
            <w:hideMark/>
          </w:tcPr>
          <w:p w14:paraId="737702E2" w14:textId="77777777" w:rsidR="00DD531B" w:rsidRPr="00DD531B" w:rsidRDefault="00DD531B" w:rsidP="00DD531B">
            <w:pPr>
              <w:spacing w:after="0" w:line="240" w:lineRule="auto"/>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nedaňové príjmy, v tom:</w:t>
            </w:r>
          </w:p>
        </w:tc>
        <w:tc>
          <w:tcPr>
            <w:tcW w:w="402" w:type="pct"/>
            <w:tcBorders>
              <w:top w:val="nil"/>
              <w:left w:val="nil"/>
              <w:bottom w:val="nil"/>
              <w:right w:val="nil"/>
            </w:tcBorders>
            <w:shd w:val="clear" w:color="auto" w:fill="auto"/>
            <w:noWrap/>
            <w:vAlign w:val="bottom"/>
            <w:hideMark/>
          </w:tcPr>
          <w:p w14:paraId="37B67B28"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58 950</w:t>
            </w:r>
          </w:p>
        </w:tc>
        <w:tc>
          <w:tcPr>
            <w:tcW w:w="402" w:type="pct"/>
            <w:tcBorders>
              <w:top w:val="nil"/>
              <w:left w:val="nil"/>
              <w:bottom w:val="nil"/>
              <w:right w:val="nil"/>
            </w:tcBorders>
            <w:shd w:val="clear" w:color="auto" w:fill="auto"/>
            <w:noWrap/>
            <w:vAlign w:val="bottom"/>
            <w:hideMark/>
          </w:tcPr>
          <w:p w14:paraId="6E9F8C7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107 688</w:t>
            </w:r>
          </w:p>
        </w:tc>
        <w:tc>
          <w:tcPr>
            <w:tcW w:w="402" w:type="pct"/>
            <w:tcBorders>
              <w:top w:val="nil"/>
              <w:left w:val="nil"/>
              <w:bottom w:val="nil"/>
              <w:right w:val="nil"/>
            </w:tcBorders>
            <w:shd w:val="clear" w:color="auto" w:fill="auto"/>
            <w:noWrap/>
            <w:vAlign w:val="bottom"/>
            <w:hideMark/>
          </w:tcPr>
          <w:p w14:paraId="79DC906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25 530</w:t>
            </w:r>
          </w:p>
        </w:tc>
        <w:tc>
          <w:tcPr>
            <w:tcW w:w="402" w:type="pct"/>
            <w:tcBorders>
              <w:top w:val="nil"/>
              <w:left w:val="nil"/>
              <w:bottom w:val="nil"/>
              <w:right w:val="nil"/>
            </w:tcBorders>
            <w:shd w:val="clear" w:color="auto" w:fill="auto"/>
            <w:noWrap/>
            <w:vAlign w:val="bottom"/>
            <w:hideMark/>
          </w:tcPr>
          <w:p w14:paraId="1D9C1A2E"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57 491</w:t>
            </w:r>
          </w:p>
        </w:tc>
        <w:tc>
          <w:tcPr>
            <w:tcW w:w="402" w:type="pct"/>
            <w:tcBorders>
              <w:top w:val="nil"/>
              <w:left w:val="nil"/>
              <w:bottom w:val="nil"/>
              <w:right w:val="nil"/>
            </w:tcBorders>
            <w:shd w:val="clear" w:color="auto" w:fill="auto"/>
            <w:noWrap/>
            <w:vAlign w:val="bottom"/>
            <w:hideMark/>
          </w:tcPr>
          <w:p w14:paraId="08A5261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24 364</w:t>
            </w:r>
          </w:p>
        </w:tc>
        <w:tc>
          <w:tcPr>
            <w:tcW w:w="402" w:type="pct"/>
            <w:tcBorders>
              <w:top w:val="nil"/>
              <w:left w:val="nil"/>
              <w:bottom w:val="nil"/>
              <w:right w:val="nil"/>
            </w:tcBorders>
            <w:shd w:val="clear" w:color="auto" w:fill="auto"/>
            <w:noWrap/>
            <w:vAlign w:val="bottom"/>
            <w:hideMark/>
          </w:tcPr>
          <w:p w14:paraId="42B1F50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54 638</w:t>
            </w:r>
          </w:p>
        </w:tc>
        <w:tc>
          <w:tcPr>
            <w:tcW w:w="402" w:type="pct"/>
            <w:tcBorders>
              <w:top w:val="nil"/>
              <w:left w:val="nil"/>
              <w:bottom w:val="nil"/>
              <w:right w:val="nil"/>
            </w:tcBorders>
            <w:shd w:val="clear" w:color="auto" w:fill="auto"/>
            <w:noWrap/>
            <w:vAlign w:val="bottom"/>
            <w:hideMark/>
          </w:tcPr>
          <w:p w14:paraId="4010DBE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54 747</w:t>
            </w:r>
          </w:p>
        </w:tc>
      </w:tr>
      <w:tr w:rsidR="00DD531B" w:rsidRPr="00DD531B" w14:paraId="6159EF21" w14:textId="77777777" w:rsidTr="001F24AE">
        <w:trPr>
          <w:trHeight w:val="300"/>
        </w:trPr>
        <w:tc>
          <w:tcPr>
            <w:tcW w:w="2186" w:type="pct"/>
            <w:tcBorders>
              <w:top w:val="nil"/>
              <w:left w:val="nil"/>
              <w:bottom w:val="nil"/>
              <w:right w:val="nil"/>
            </w:tcBorders>
            <w:shd w:val="clear" w:color="auto" w:fill="auto"/>
            <w:noWrap/>
            <w:vAlign w:val="bottom"/>
            <w:hideMark/>
          </w:tcPr>
          <w:p w14:paraId="15E3E528" w14:textId="77777777" w:rsidR="00DD531B" w:rsidRPr="00DD531B" w:rsidRDefault="00DD531B" w:rsidP="00DD531B">
            <w:pPr>
              <w:spacing w:after="0" w:line="240" w:lineRule="auto"/>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dividendy</w:t>
            </w:r>
          </w:p>
        </w:tc>
        <w:tc>
          <w:tcPr>
            <w:tcW w:w="402" w:type="pct"/>
            <w:tcBorders>
              <w:top w:val="nil"/>
              <w:left w:val="nil"/>
              <w:bottom w:val="nil"/>
              <w:right w:val="nil"/>
            </w:tcBorders>
            <w:shd w:val="clear" w:color="auto" w:fill="auto"/>
            <w:noWrap/>
            <w:vAlign w:val="bottom"/>
            <w:hideMark/>
          </w:tcPr>
          <w:p w14:paraId="62DADCA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02" w:type="pct"/>
            <w:tcBorders>
              <w:top w:val="nil"/>
              <w:left w:val="nil"/>
              <w:bottom w:val="nil"/>
              <w:right w:val="nil"/>
            </w:tcBorders>
            <w:shd w:val="clear" w:color="auto" w:fill="auto"/>
            <w:noWrap/>
            <w:vAlign w:val="bottom"/>
            <w:hideMark/>
          </w:tcPr>
          <w:p w14:paraId="014F406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02" w:type="pct"/>
            <w:tcBorders>
              <w:top w:val="nil"/>
              <w:left w:val="nil"/>
              <w:bottom w:val="nil"/>
              <w:right w:val="nil"/>
            </w:tcBorders>
            <w:shd w:val="clear" w:color="auto" w:fill="auto"/>
            <w:noWrap/>
            <w:vAlign w:val="bottom"/>
            <w:hideMark/>
          </w:tcPr>
          <w:p w14:paraId="58661AB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02" w:type="pct"/>
            <w:tcBorders>
              <w:top w:val="nil"/>
              <w:left w:val="nil"/>
              <w:bottom w:val="nil"/>
              <w:right w:val="nil"/>
            </w:tcBorders>
            <w:shd w:val="clear" w:color="auto" w:fill="auto"/>
            <w:noWrap/>
            <w:vAlign w:val="bottom"/>
            <w:hideMark/>
          </w:tcPr>
          <w:p w14:paraId="601C996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418</w:t>
            </w:r>
          </w:p>
        </w:tc>
        <w:tc>
          <w:tcPr>
            <w:tcW w:w="402" w:type="pct"/>
            <w:tcBorders>
              <w:top w:val="nil"/>
              <w:left w:val="nil"/>
              <w:bottom w:val="nil"/>
              <w:right w:val="nil"/>
            </w:tcBorders>
            <w:shd w:val="clear" w:color="auto" w:fill="auto"/>
            <w:noWrap/>
            <w:vAlign w:val="bottom"/>
            <w:hideMark/>
          </w:tcPr>
          <w:p w14:paraId="4435FA6E"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34</w:t>
            </w:r>
          </w:p>
        </w:tc>
        <w:tc>
          <w:tcPr>
            <w:tcW w:w="402" w:type="pct"/>
            <w:tcBorders>
              <w:top w:val="nil"/>
              <w:left w:val="nil"/>
              <w:bottom w:val="nil"/>
              <w:right w:val="nil"/>
            </w:tcBorders>
            <w:shd w:val="clear" w:color="auto" w:fill="auto"/>
            <w:noWrap/>
            <w:vAlign w:val="bottom"/>
            <w:hideMark/>
          </w:tcPr>
          <w:p w14:paraId="65D52B0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356</w:t>
            </w:r>
          </w:p>
        </w:tc>
        <w:tc>
          <w:tcPr>
            <w:tcW w:w="402" w:type="pct"/>
            <w:tcBorders>
              <w:top w:val="nil"/>
              <w:left w:val="nil"/>
              <w:bottom w:val="nil"/>
              <w:right w:val="nil"/>
            </w:tcBorders>
            <w:shd w:val="clear" w:color="auto" w:fill="auto"/>
            <w:noWrap/>
            <w:vAlign w:val="bottom"/>
            <w:hideMark/>
          </w:tcPr>
          <w:p w14:paraId="3DE04F9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465</w:t>
            </w:r>
          </w:p>
        </w:tc>
      </w:tr>
      <w:tr w:rsidR="00DD531B" w:rsidRPr="00DD531B" w14:paraId="2A8263A0" w14:textId="77777777" w:rsidTr="001F24AE">
        <w:trPr>
          <w:trHeight w:val="300"/>
        </w:trPr>
        <w:tc>
          <w:tcPr>
            <w:tcW w:w="2186" w:type="pct"/>
            <w:tcBorders>
              <w:top w:val="nil"/>
              <w:left w:val="nil"/>
              <w:bottom w:val="nil"/>
              <w:right w:val="nil"/>
            </w:tcBorders>
            <w:shd w:val="clear" w:color="auto" w:fill="auto"/>
            <w:noWrap/>
            <w:vAlign w:val="bottom"/>
            <w:hideMark/>
          </w:tcPr>
          <w:p w14:paraId="5237A352" w14:textId="77777777" w:rsidR="00DD531B" w:rsidRPr="00DD531B" w:rsidRDefault="00DD531B" w:rsidP="00DD531B">
            <w:pPr>
              <w:spacing w:after="0" w:line="240" w:lineRule="auto"/>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granty a transfery, v tom:</w:t>
            </w:r>
          </w:p>
        </w:tc>
        <w:tc>
          <w:tcPr>
            <w:tcW w:w="402" w:type="pct"/>
            <w:tcBorders>
              <w:top w:val="nil"/>
              <w:left w:val="nil"/>
              <w:bottom w:val="nil"/>
              <w:right w:val="nil"/>
            </w:tcBorders>
            <w:shd w:val="clear" w:color="auto" w:fill="auto"/>
            <w:noWrap/>
            <w:vAlign w:val="bottom"/>
            <w:hideMark/>
          </w:tcPr>
          <w:p w14:paraId="3B8174EE"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236 195</w:t>
            </w:r>
          </w:p>
        </w:tc>
        <w:tc>
          <w:tcPr>
            <w:tcW w:w="402" w:type="pct"/>
            <w:tcBorders>
              <w:top w:val="nil"/>
              <w:left w:val="nil"/>
              <w:bottom w:val="nil"/>
              <w:right w:val="nil"/>
            </w:tcBorders>
            <w:shd w:val="clear" w:color="auto" w:fill="auto"/>
            <w:noWrap/>
            <w:vAlign w:val="bottom"/>
            <w:hideMark/>
          </w:tcPr>
          <w:p w14:paraId="706F96C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483 991</w:t>
            </w:r>
          </w:p>
        </w:tc>
        <w:tc>
          <w:tcPr>
            <w:tcW w:w="402" w:type="pct"/>
            <w:tcBorders>
              <w:top w:val="nil"/>
              <w:left w:val="nil"/>
              <w:bottom w:val="nil"/>
              <w:right w:val="nil"/>
            </w:tcBorders>
            <w:shd w:val="clear" w:color="auto" w:fill="auto"/>
            <w:noWrap/>
            <w:vAlign w:val="bottom"/>
            <w:hideMark/>
          </w:tcPr>
          <w:p w14:paraId="03F7C1E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910 163</w:t>
            </w:r>
          </w:p>
        </w:tc>
        <w:tc>
          <w:tcPr>
            <w:tcW w:w="402" w:type="pct"/>
            <w:tcBorders>
              <w:top w:val="nil"/>
              <w:left w:val="nil"/>
              <w:bottom w:val="nil"/>
              <w:right w:val="nil"/>
            </w:tcBorders>
            <w:shd w:val="clear" w:color="auto" w:fill="auto"/>
            <w:noWrap/>
            <w:vAlign w:val="bottom"/>
            <w:hideMark/>
          </w:tcPr>
          <w:p w14:paraId="52D6BFEA"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1 283 428</w:t>
            </w:r>
          </w:p>
        </w:tc>
        <w:tc>
          <w:tcPr>
            <w:tcW w:w="402" w:type="pct"/>
            <w:tcBorders>
              <w:top w:val="nil"/>
              <w:left w:val="nil"/>
              <w:bottom w:val="nil"/>
              <w:right w:val="nil"/>
            </w:tcBorders>
            <w:shd w:val="clear" w:color="auto" w:fill="auto"/>
            <w:noWrap/>
            <w:vAlign w:val="bottom"/>
            <w:hideMark/>
          </w:tcPr>
          <w:p w14:paraId="138D5DA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70 095</w:t>
            </w:r>
          </w:p>
        </w:tc>
        <w:tc>
          <w:tcPr>
            <w:tcW w:w="402" w:type="pct"/>
            <w:tcBorders>
              <w:top w:val="nil"/>
              <w:left w:val="nil"/>
              <w:bottom w:val="nil"/>
              <w:right w:val="nil"/>
            </w:tcBorders>
            <w:shd w:val="clear" w:color="auto" w:fill="auto"/>
            <w:noWrap/>
            <w:vAlign w:val="bottom"/>
            <w:hideMark/>
          </w:tcPr>
          <w:p w14:paraId="314ED438"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288 436</w:t>
            </w:r>
          </w:p>
        </w:tc>
        <w:tc>
          <w:tcPr>
            <w:tcW w:w="402" w:type="pct"/>
            <w:tcBorders>
              <w:top w:val="nil"/>
              <w:left w:val="nil"/>
              <w:bottom w:val="nil"/>
              <w:right w:val="nil"/>
            </w:tcBorders>
            <w:shd w:val="clear" w:color="auto" w:fill="auto"/>
            <w:noWrap/>
            <w:vAlign w:val="bottom"/>
            <w:hideMark/>
          </w:tcPr>
          <w:p w14:paraId="3830282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469 122</w:t>
            </w:r>
          </w:p>
        </w:tc>
      </w:tr>
      <w:tr w:rsidR="00DD531B" w:rsidRPr="00DD531B" w14:paraId="798F67FB" w14:textId="77777777" w:rsidTr="001F24AE">
        <w:trPr>
          <w:trHeight w:val="300"/>
        </w:trPr>
        <w:tc>
          <w:tcPr>
            <w:tcW w:w="2186" w:type="pct"/>
            <w:tcBorders>
              <w:top w:val="nil"/>
              <w:left w:val="nil"/>
              <w:bottom w:val="nil"/>
              <w:right w:val="nil"/>
            </w:tcBorders>
            <w:shd w:val="clear" w:color="auto" w:fill="auto"/>
            <w:noWrap/>
            <w:vAlign w:val="bottom"/>
            <w:hideMark/>
          </w:tcPr>
          <w:p w14:paraId="6734AEB7" w14:textId="77777777" w:rsidR="00DD531B" w:rsidRPr="00DD531B" w:rsidRDefault="00DD531B" w:rsidP="00DD531B">
            <w:pPr>
              <w:spacing w:after="0" w:line="240" w:lineRule="auto"/>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prostriedky EÚ</w:t>
            </w:r>
          </w:p>
        </w:tc>
        <w:tc>
          <w:tcPr>
            <w:tcW w:w="402" w:type="pct"/>
            <w:tcBorders>
              <w:top w:val="nil"/>
              <w:left w:val="nil"/>
              <w:bottom w:val="nil"/>
              <w:right w:val="nil"/>
            </w:tcBorders>
            <w:shd w:val="clear" w:color="auto" w:fill="auto"/>
            <w:noWrap/>
            <w:vAlign w:val="bottom"/>
            <w:hideMark/>
          </w:tcPr>
          <w:p w14:paraId="6B1F8828"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236 195</w:t>
            </w:r>
          </w:p>
        </w:tc>
        <w:tc>
          <w:tcPr>
            <w:tcW w:w="402" w:type="pct"/>
            <w:tcBorders>
              <w:top w:val="nil"/>
              <w:left w:val="nil"/>
              <w:bottom w:val="nil"/>
              <w:right w:val="nil"/>
            </w:tcBorders>
            <w:shd w:val="clear" w:color="auto" w:fill="auto"/>
            <w:noWrap/>
            <w:vAlign w:val="bottom"/>
            <w:hideMark/>
          </w:tcPr>
          <w:p w14:paraId="33B7530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483 991</w:t>
            </w:r>
          </w:p>
        </w:tc>
        <w:tc>
          <w:tcPr>
            <w:tcW w:w="402" w:type="pct"/>
            <w:tcBorders>
              <w:top w:val="nil"/>
              <w:left w:val="nil"/>
              <w:bottom w:val="nil"/>
              <w:right w:val="nil"/>
            </w:tcBorders>
            <w:shd w:val="clear" w:color="auto" w:fill="auto"/>
            <w:noWrap/>
            <w:vAlign w:val="bottom"/>
            <w:hideMark/>
          </w:tcPr>
          <w:p w14:paraId="1AF90DFC"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910 163</w:t>
            </w:r>
          </w:p>
        </w:tc>
        <w:tc>
          <w:tcPr>
            <w:tcW w:w="402" w:type="pct"/>
            <w:tcBorders>
              <w:top w:val="nil"/>
              <w:left w:val="nil"/>
              <w:bottom w:val="nil"/>
              <w:right w:val="nil"/>
            </w:tcBorders>
            <w:shd w:val="clear" w:color="auto" w:fill="auto"/>
            <w:noWrap/>
            <w:vAlign w:val="bottom"/>
            <w:hideMark/>
          </w:tcPr>
          <w:p w14:paraId="5F9A393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1 283 428</w:t>
            </w:r>
          </w:p>
        </w:tc>
        <w:tc>
          <w:tcPr>
            <w:tcW w:w="402" w:type="pct"/>
            <w:tcBorders>
              <w:top w:val="nil"/>
              <w:left w:val="nil"/>
              <w:bottom w:val="nil"/>
              <w:right w:val="nil"/>
            </w:tcBorders>
            <w:shd w:val="clear" w:color="auto" w:fill="auto"/>
            <w:noWrap/>
            <w:vAlign w:val="bottom"/>
            <w:hideMark/>
          </w:tcPr>
          <w:p w14:paraId="3A92B7F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70 095</w:t>
            </w:r>
          </w:p>
        </w:tc>
        <w:tc>
          <w:tcPr>
            <w:tcW w:w="402" w:type="pct"/>
            <w:tcBorders>
              <w:top w:val="nil"/>
              <w:left w:val="nil"/>
              <w:bottom w:val="nil"/>
              <w:right w:val="nil"/>
            </w:tcBorders>
            <w:shd w:val="clear" w:color="auto" w:fill="auto"/>
            <w:noWrap/>
            <w:vAlign w:val="bottom"/>
            <w:hideMark/>
          </w:tcPr>
          <w:p w14:paraId="29A7902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288 436</w:t>
            </w:r>
          </w:p>
        </w:tc>
        <w:tc>
          <w:tcPr>
            <w:tcW w:w="402" w:type="pct"/>
            <w:tcBorders>
              <w:top w:val="nil"/>
              <w:left w:val="nil"/>
              <w:bottom w:val="nil"/>
              <w:right w:val="nil"/>
            </w:tcBorders>
            <w:shd w:val="clear" w:color="auto" w:fill="auto"/>
            <w:noWrap/>
            <w:vAlign w:val="bottom"/>
            <w:hideMark/>
          </w:tcPr>
          <w:p w14:paraId="1C5164A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469 122</w:t>
            </w:r>
          </w:p>
        </w:tc>
      </w:tr>
      <w:tr w:rsidR="00DD531B" w:rsidRPr="00DD531B" w14:paraId="2B378FAF" w14:textId="77777777" w:rsidTr="001F24AE">
        <w:trPr>
          <w:trHeight w:val="300"/>
        </w:trPr>
        <w:tc>
          <w:tcPr>
            <w:tcW w:w="2186" w:type="pct"/>
            <w:tcBorders>
              <w:top w:val="nil"/>
              <w:left w:val="nil"/>
              <w:bottom w:val="single" w:sz="4" w:space="0" w:color="auto"/>
              <w:right w:val="nil"/>
            </w:tcBorders>
            <w:shd w:val="clear" w:color="auto" w:fill="auto"/>
            <w:noWrap/>
            <w:vAlign w:val="bottom"/>
            <w:hideMark/>
          </w:tcPr>
          <w:p w14:paraId="0D94F80E" w14:textId="77777777" w:rsidR="00DD531B" w:rsidRPr="00DD531B" w:rsidRDefault="00DD531B" w:rsidP="00DD531B">
            <w:pPr>
              <w:spacing w:after="0" w:line="240" w:lineRule="auto"/>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prostriedky podľa § 17 ods. 4 a § 22 ods. 4 zákona č. 523/2004 Z. z.</w:t>
            </w:r>
          </w:p>
        </w:tc>
        <w:tc>
          <w:tcPr>
            <w:tcW w:w="402" w:type="pct"/>
            <w:tcBorders>
              <w:top w:val="nil"/>
              <w:left w:val="nil"/>
              <w:bottom w:val="single" w:sz="4" w:space="0" w:color="auto"/>
              <w:right w:val="nil"/>
            </w:tcBorders>
            <w:shd w:val="clear" w:color="auto" w:fill="auto"/>
            <w:noWrap/>
            <w:vAlign w:val="bottom"/>
            <w:hideMark/>
          </w:tcPr>
          <w:p w14:paraId="26FCEBE8"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124</w:t>
            </w:r>
          </w:p>
        </w:tc>
        <w:tc>
          <w:tcPr>
            <w:tcW w:w="402" w:type="pct"/>
            <w:tcBorders>
              <w:top w:val="nil"/>
              <w:left w:val="nil"/>
              <w:bottom w:val="single" w:sz="4" w:space="0" w:color="auto"/>
              <w:right w:val="nil"/>
            </w:tcBorders>
            <w:shd w:val="clear" w:color="auto" w:fill="auto"/>
            <w:noWrap/>
            <w:vAlign w:val="bottom"/>
            <w:hideMark/>
          </w:tcPr>
          <w:p w14:paraId="4FF2ED4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211</w:t>
            </w:r>
          </w:p>
        </w:tc>
        <w:tc>
          <w:tcPr>
            <w:tcW w:w="402" w:type="pct"/>
            <w:tcBorders>
              <w:top w:val="nil"/>
              <w:left w:val="nil"/>
              <w:bottom w:val="single" w:sz="4" w:space="0" w:color="auto"/>
              <w:right w:val="nil"/>
            </w:tcBorders>
            <w:shd w:val="clear" w:color="auto" w:fill="auto"/>
            <w:noWrap/>
            <w:vAlign w:val="bottom"/>
            <w:hideMark/>
          </w:tcPr>
          <w:p w14:paraId="3586DB3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100</w:t>
            </w:r>
          </w:p>
        </w:tc>
        <w:tc>
          <w:tcPr>
            <w:tcW w:w="402" w:type="pct"/>
            <w:tcBorders>
              <w:top w:val="nil"/>
              <w:left w:val="nil"/>
              <w:bottom w:val="single" w:sz="4" w:space="0" w:color="auto"/>
              <w:right w:val="nil"/>
            </w:tcBorders>
            <w:shd w:val="clear" w:color="auto" w:fill="auto"/>
            <w:noWrap/>
            <w:vAlign w:val="bottom"/>
            <w:hideMark/>
          </w:tcPr>
          <w:p w14:paraId="1194E64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106</w:t>
            </w:r>
          </w:p>
        </w:tc>
        <w:tc>
          <w:tcPr>
            <w:tcW w:w="402" w:type="pct"/>
            <w:tcBorders>
              <w:top w:val="nil"/>
              <w:left w:val="nil"/>
              <w:bottom w:val="single" w:sz="4" w:space="0" w:color="auto"/>
              <w:right w:val="nil"/>
            </w:tcBorders>
            <w:shd w:val="clear" w:color="auto" w:fill="auto"/>
            <w:noWrap/>
            <w:vAlign w:val="bottom"/>
            <w:hideMark/>
          </w:tcPr>
          <w:p w14:paraId="18534A6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100</w:t>
            </w:r>
          </w:p>
        </w:tc>
        <w:tc>
          <w:tcPr>
            <w:tcW w:w="402" w:type="pct"/>
            <w:tcBorders>
              <w:top w:val="nil"/>
              <w:left w:val="nil"/>
              <w:bottom w:val="single" w:sz="4" w:space="0" w:color="auto"/>
              <w:right w:val="nil"/>
            </w:tcBorders>
            <w:shd w:val="clear" w:color="auto" w:fill="auto"/>
            <w:noWrap/>
            <w:vAlign w:val="bottom"/>
            <w:hideMark/>
          </w:tcPr>
          <w:p w14:paraId="4E5AEB2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100</w:t>
            </w:r>
          </w:p>
        </w:tc>
        <w:tc>
          <w:tcPr>
            <w:tcW w:w="402" w:type="pct"/>
            <w:tcBorders>
              <w:top w:val="nil"/>
              <w:left w:val="nil"/>
              <w:bottom w:val="single" w:sz="4" w:space="0" w:color="auto"/>
              <w:right w:val="nil"/>
            </w:tcBorders>
            <w:shd w:val="clear" w:color="auto" w:fill="auto"/>
            <w:noWrap/>
            <w:vAlign w:val="bottom"/>
            <w:hideMark/>
          </w:tcPr>
          <w:p w14:paraId="10FBE97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r>
    </w:tbl>
    <w:p w14:paraId="0D8FFB2D" w14:textId="77777777" w:rsidR="00DD531B" w:rsidRPr="00DD531B" w:rsidRDefault="00DD531B" w:rsidP="00DD531B">
      <w:pPr>
        <w:rPr>
          <w:rFonts w:ascii="Times New Roman" w:eastAsia="Calibri" w:hAnsi="Times New Roman" w:cs="Times New Roman"/>
        </w:rPr>
      </w:pPr>
    </w:p>
    <w:p w14:paraId="67A3B594" w14:textId="57D4F397" w:rsidR="00DD531B" w:rsidRPr="00661122" w:rsidRDefault="00661122"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26" w:name="_Toc153013096"/>
      <w:r w:rsidRPr="00661122">
        <w:rPr>
          <w:rFonts w:ascii="Times New Roman" w:eastAsia="Times New Roman" w:hAnsi="Times New Roman" w:cs="Times New Roman"/>
          <w:b/>
          <w:iCs/>
          <w:color w:val="5B9BD5" w:themeColor="accent1"/>
          <w:sz w:val="20"/>
          <w:szCs w:val="20"/>
          <w:lang w:eastAsia="sk-SK"/>
        </w:rPr>
        <w:t xml:space="preserve">Tabuľka </w:t>
      </w:r>
      <w:r w:rsidRPr="00661122">
        <w:rPr>
          <w:rFonts w:ascii="Times New Roman" w:hAnsi="Times New Roman" w:cs="Times New Roman"/>
          <w:b/>
          <w:color w:val="5B9BD5" w:themeColor="accent1"/>
          <w:sz w:val="20"/>
          <w:szCs w:val="20"/>
        </w:rPr>
        <w:fldChar w:fldCharType="begin"/>
      </w:r>
      <w:r w:rsidRPr="00661122">
        <w:rPr>
          <w:rFonts w:ascii="Times New Roman" w:hAnsi="Times New Roman" w:cs="Times New Roman"/>
          <w:b/>
          <w:color w:val="5B9BD5" w:themeColor="accent1"/>
          <w:sz w:val="20"/>
          <w:szCs w:val="20"/>
        </w:rPr>
        <w:instrText xml:space="preserve"> SEQ Tabuľka \* ARABIC </w:instrText>
      </w:r>
      <w:r w:rsidRPr="00661122">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98</w:t>
      </w:r>
      <w:r w:rsidRPr="00661122">
        <w:rPr>
          <w:rFonts w:ascii="Times New Roman" w:hAnsi="Times New Roman" w:cs="Times New Roman"/>
          <w:b/>
          <w:color w:val="5B9BD5" w:themeColor="accent1"/>
          <w:sz w:val="20"/>
          <w:szCs w:val="20"/>
        </w:rPr>
        <w:fldChar w:fldCharType="end"/>
      </w:r>
      <w:r w:rsidRPr="00661122">
        <w:rPr>
          <w:rFonts w:ascii="Times New Roman" w:hAnsi="Times New Roman" w:cs="Times New Roman"/>
          <w:b/>
          <w:color w:val="5B9BD5" w:themeColor="accent1"/>
          <w:sz w:val="20"/>
          <w:szCs w:val="20"/>
        </w:rPr>
        <w:t xml:space="preserve"> - </w:t>
      </w:r>
      <w:r w:rsidR="00DD531B" w:rsidRPr="00661122">
        <w:rPr>
          <w:rFonts w:ascii="Times New Roman" w:eastAsia="Times New Roman" w:hAnsi="Times New Roman" w:cs="Times New Roman"/>
          <w:b/>
          <w:iCs/>
          <w:color w:val="5B9BD5" w:themeColor="accent1"/>
          <w:sz w:val="20"/>
          <w:szCs w:val="20"/>
          <w:lang w:eastAsia="sk-SK"/>
        </w:rPr>
        <w:t>Výdavky kapitoly MD SR</w:t>
      </w:r>
      <w:bookmarkEnd w:id="226"/>
    </w:p>
    <w:tbl>
      <w:tblPr>
        <w:tblW w:w="5000" w:type="pct"/>
        <w:tblCellMar>
          <w:left w:w="70" w:type="dxa"/>
          <w:right w:w="70" w:type="dxa"/>
        </w:tblCellMar>
        <w:tblLook w:val="04A0" w:firstRow="1" w:lastRow="0" w:firstColumn="1" w:lastColumn="0" w:noHBand="0" w:noVBand="1"/>
      </w:tblPr>
      <w:tblGrid>
        <w:gridCol w:w="4111"/>
        <w:gridCol w:w="709"/>
        <w:gridCol w:w="709"/>
        <w:gridCol w:w="709"/>
        <w:gridCol w:w="709"/>
        <w:gridCol w:w="709"/>
        <w:gridCol w:w="709"/>
        <w:gridCol w:w="707"/>
      </w:tblGrid>
      <w:tr w:rsidR="00DD531B" w:rsidRPr="00DD531B" w14:paraId="080CA64D" w14:textId="77777777" w:rsidTr="001F24AE">
        <w:trPr>
          <w:trHeight w:val="300"/>
        </w:trPr>
        <w:tc>
          <w:tcPr>
            <w:tcW w:w="2216" w:type="pct"/>
            <w:tcBorders>
              <w:top w:val="single" w:sz="4" w:space="0" w:color="auto"/>
              <w:left w:val="nil"/>
              <w:bottom w:val="single" w:sz="4" w:space="0" w:color="auto"/>
              <w:right w:val="nil"/>
            </w:tcBorders>
            <w:shd w:val="clear" w:color="auto" w:fill="auto"/>
            <w:noWrap/>
            <w:vAlign w:val="center"/>
            <w:hideMark/>
          </w:tcPr>
          <w:p w14:paraId="0E79CC81" w14:textId="77777777" w:rsidR="00DD531B" w:rsidRPr="00DD531B" w:rsidRDefault="00DD531B" w:rsidP="00DD531B">
            <w:pPr>
              <w:spacing w:after="0" w:line="240" w:lineRule="auto"/>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v tis. eur</w:t>
            </w:r>
          </w:p>
        </w:tc>
        <w:tc>
          <w:tcPr>
            <w:tcW w:w="398" w:type="pct"/>
            <w:tcBorders>
              <w:top w:val="single" w:sz="4" w:space="0" w:color="auto"/>
              <w:left w:val="nil"/>
              <w:bottom w:val="single" w:sz="4" w:space="0" w:color="auto"/>
              <w:right w:val="nil"/>
            </w:tcBorders>
            <w:shd w:val="clear" w:color="auto" w:fill="auto"/>
            <w:noWrap/>
            <w:vAlign w:val="center"/>
            <w:hideMark/>
          </w:tcPr>
          <w:p w14:paraId="71A72D41" w14:textId="77777777" w:rsidR="00DD531B" w:rsidRPr="00DD531B" w:rsidRDefault="00DD531B" w:rsidP="00661122">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2021 S</w:t>
            </w:r>
          </w:p>
        </w:tc>
        <w:tc>
          <w:tcPr>
            <w:tcW w:w="398" w:type="pct"/>
            <w:tcBorders>
              <w:top w:val="single" w:sz="4" w:space="0" w:color="auto"/>
              <w:left w:val="nil"/>
              <w:bottom w:val="single" w:sz="4" w:space="0" w:color="auto"/>
              <w:right w:val="nil"/>
            </w:tcBorders>
            <w:shd w:val="clear" w:color="auto" w:fill="auto"/>
            <w:noWrap/>
            <w:vAlign w:val="center"/>
            <w:hideMark/>
          </w:tcPr>
          <w:p w14:paraId="357FFFE3" w14:textId="77777777" w:rsidR="00DD531B" w:rsidRPr="00DD531B" w:rsidRDefault="00DD531B" w:rsidP="00661122">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2022 S</w:t>
            </w:r>
          </w:p>
        </w:tc>
        <w:tc>
          <w:tcPr>
            <w:tcW w:w="398" w:type="pct"/>
            <w:tcBorders>
              <w:top w:val="single" w:sz="4" w:space="0" w:color="auto"/>
              <w:left w:val="nil"/>
              <w:bottom w:val="single" w:sz="4" w:space="0" w:color="auto"/>
              <w:right w:val="nil"/>
            </w:tcBorders>
            <w:shd w:val="clear" w:color="auto" w:fill="auto"/>
            <w:noWrap/>
            <w:vAlign w:val="center"/>
            <w:hideMark/>
          </w:tcPr>
          <w:p w14:paraId="0A888940" w14:textId="77777777" w:rsidR="00DD531B" w:rsidRPr="00DD531B" w:rsidRDefault="00DD531B" w:rsidP="00661122">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2023 R</w:t>
            </w:r>
          </w:p>
        </w:tc>
        <w:tc>
          <w:tcPr>
            <w:tcW w:w="398" w:type="pct"/>
            <w:tcBorders>
              <w:top w:val="single" w:sz="4" w:space="0" w:color="auto"/>
              <w:left w:val="nil"/>
              <w:bottom w:val="single" w:sz="4" w:space="0" w:color="auto"/>
              <w:right w:val="nil"/>
            </w:tcBorders>
            <w:shd w:val="clear" w:color="auto" w:fill="auto"/>
            <w:noWrap/>
            <w:vAlign w:val="center"/>
            <w:hideMark/>
          </w:tcPr>
          <w:p w14:paraId="3306114D" w14:textId="77777777" w:rsidR="00DD531B" w:rsidRPr="00DD531B" w:rsidRDefault="00DD531B" w:rsidP="00661122">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2023 OS</w:t>
            </w:r>
          </w:p>
        </w:tc>
        <w:tc>
          <w:tcPr>
            <w:tcW w:w="398" w:type="pct"/>
            <w:tcBorders>
              <w:top w:val="single" w:sz="4" w:space="0" w:color="auto"/>
              <w:left w:val="nil"/>
              <w:bottom w:val="single" w:sz="4" w:space="0" w:color="auto"/>
              <w:right w:val="nil"/>
            </w:tcBorders>
            <w:shd w:val="clear" w:color="auto" w:fill="auto"/>
            <w:noWrap/>
            <w:vAlign w:val="center"/>
            <w:hideMark/>
          </w:tcPr>
          <w:p w14:paraId="0AD28188" w14:textId="77777777" w:rsidR="00DD531B" w:rsidRPr="00DD531B" w:rsidRDefault="00DD531B" w:rsidP="00661122">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2024 N</w:t>
            </w:r>
          </w:p>
        </w:tc>
        <w:tc>
          <w:tcPr>
            <w:tcW w:w="398" w:type="pct"/>
            <w:tcBorders>
              <w:top w:val="single" w:sz="4" w:space="0" w:color="auto"/>
              <w:left w:val="nil"/>
              <w:bottom w:val="single" w:sz="4" w:space="0" w:color="auto"/>
              <w:right w:val="nil"/>
            </w:tcBorders>
            <w:shd w:val="clear" w:color="auto" w:fill="auto"/>
            <w:noWrap/>
            <w:vAlign w:val="center"/>
            <w:hideMark/>
          </w:tcPr>
          <w:p w14:paraId="48BFE79E" w14:textId="77777777" w:rsidR="00DD531B" w:rsidRPr="00DD531B" w:rsidRDefault="00DD531B" w:rsidP="00661122">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2025 N</w:t>
            </w:r>
          </w:p>
        </w:tc>
        <w:tc>
          <w:tcPr>
            <w:tcW w:w="398" w:type="pct"/>
            <w:tcBorders>
              <w:top w:val="single" w:sz="4" w:space="0" w:color="auto"/>
              <w:left w:val="nil"/>
              <w:bottom w:val="single" w:sz="4" w:space="0" w:color="auto"/>
              <w:right w:val="nil"/>
            </w:tcBorders>
            <w:shd w:val="clear" w:color="auto" w:fill="auto"/>
            <w:noWrap/>
            <w:vAlign w:val="center"/>
            <w:hideMark/>
          </w:tcPr>
          <w:p w14:paraId="05256E7F" w14:textId="77777777" w:rsidR="00DD531B" w:rsidRPr="00DD531B" w:rsidRDefault="00DD531B" w:rsidP="00661122">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2026 N</w:t>
            </w:r>
          </w:p>
        </w:tc>
      </w:tr>
      <w:tr w:rsidR="00DD531B" w:rsidRPr="00DD531B" w14:paraId="4B9FAA8C" w14:textId="77777777" w:rsidTr="001F24AE">
        <w:trPr>
          <w:trHeight w:val="300"/>
        </w:trPr>
        <w:tc>
          <w:tcPr>
            <w:tcW w:w="2216" w:type="pct"/>
            <w:tcBorders>
              <w:top w:val="nil"/>
              <w:left w:val="nil"/>
              <w:bottom w:val="nil"/>
              <w:right w:val="nil"/>
            </w:tcBorders>
            <w:shd w:val="clear" w:color="auto" w:fill="auto"/>
            <w:noWrap/>
            <w:vAlign w:val="center"/>
            <w:hideMark/>
          </w:tcPr>
          <w:p w14:paraId="6854993C" w14:textId="77777777" w:rsidR="00DD531B" w:rsidRPr="00DD531B" w:rsidRDefault="00DD531B" w:rsidP="00DD531B">
            <w:pPr>
              <w:spacing w:after="0" w:line="240" w:lineRule="auto"/>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Výdavky kapitoly spolu</w:t>
            </w:r>
          </w:p>
        </w:tc>
        <w:tc>
          <w:tcPr>
            <w:tcW w:w="398" w:type="pct"/>
            <w:tcBorders>
              <w:top w:val="nil"/>
              <w:left w:val="nil"/>
              <w:bottom w:val="nil"/>
              <w:right w:val="nil"/>
            </w:tcBorders>
            <w:shd w:val="clear" w:color="auto" w:fill="auto"/>
            <w:noWrap/>
            <w:vAlign w:val="center"/>
            <w:hideMark/>
          </w:tcPr>
          <w:p w14:paraId="108774A8"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2 421 000</w:t>
            </w:r>
          </w:p>
        </w:tc>
        <w:tc>
          <w:tcPr>
            <w:tcW w:w="398" w:type="pct"/>
            <w:tcBorders>
              <w:top w:val="nil"/>
              <w:left w:val="nil"/>
              <w:bottom w:val="nil"/>
              <w:right w:val="nil"/>
            </w:tcBorders>
            <w:shd w:val="clear" w:color="auto" w:fill="auto"/>
            <w:noWrap/>
            <w:vAlign w:val="center"/>
            <w:hideMark/>
          </w:tcPr>
          <w:p w14:paraId="37930D0D"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2 151 090</w:t>
            </w:r>
          </w:p>
        </w:tc>
        <w:tc>
          <w:tcPr>
            <w:tcW w:w="398" w:type="pct"/>
            <w:tcBorders>
              <w:top w:val="nil"/>
              <w:left w:val="nil"/>
              <w:bottom w:val="nil"/>
              <w:right w:val="nil"/>
            </w:tcBorders>
            <w:shd w:val="clear" w:color="auto" w:fill="auto"/>
            <w:noWrap/>
            <w:vAlign w:val="center"/>
            <w:hideMark/>
          </w:tcPr>
          <w:p w14:paraId="1F687228"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2 834 974</w:t>
            </w:r>
          </w:p>
        </w:tc>
        <w:tc>
          <w:tcPr>
            <w:tcW w:w="398" w:type="pct"/>
            <w:tcBorders>
              <w:top w:val="nil"/>
              <w:left w:val="nil"/>
              <w:bottom w:val="nil"/>
              <w:right w:val="nil"/>
            </w:tcBorders>
            <w:shd w:val="clear" w:color="auto" w:fill="auto"/>
            <w:noWrap/>
            <w:vAlign w:val="center"/>
            <w:hideMark/>
          </w:tcPr>
          <w:p w14:paraId="04F0387C"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2 860 520</w:t>
            </w:r>
          </w:p>
        </w:tc>
        <w:tc>
          <w:tcPr>
            <w:tcW w:w="398" w:type="pct"/>
            <w:tcBorders>
              <w:top w:val="nil"/>
              <w:left w:val="nil"/>
              <w:bottom w:val="nil"/>
              <w:right w:val="nil"/>
            </w:tcBorders>
            <w:shd w:val="clear" w:color="auto" w:fill="auto"/>
            <w:noWrap/>
            <w:vAlign w:val="center"/>
            <w:hideMark/>
          </w:tcPr>
          <w:p w14:paraId="0EB39942"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2 230 537</w:t>
            </w:r>
          </w:p>
        </w:tc>
        <w:tc>
          <w:tcPr>
            <w:tcW w:w="398" w:type="pct"/>
            <w:tcBorders>
              <w:top w:val="nil"/>
              <w:left w:val="nil"/>
              <w:bottom w:val="nil"/>
              <w:right w:val="nil"/>
            </w:tcBorders>
            <w:shd w:val="clear" w:color="auto" w:fill="auto"/>
            <w:noWrap/>
            <w:vAlign w:val="center"/>
            <w:hideMark/>
          </w:tcPr>
          <w:p w14:paraId="1B0B32E6"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2 669 774</w:t>
            </w:r>
          </w:p>
        </w:tc>
        <w:tc>
          <w:tcPr>
            <w:tcW w:w="398" w:type="pct"/>
            <w:tcBorders>
              <w:top w:val="nil"/>
              <w:left w:val="nil"/>
              <w:bottom w:val="nil"/>
              <w:right w:val="nil"/>
            </w:tcBorders>
            <w:shd w:val="clear" w:color="auto" w:fill="auto"/>
            <w:noWrap/>
            <w:vAlign w:val="center"/>
            <w:hideMark/>
          </w:tcPr>
          <w:p w14:paraId="17AC64B1"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2 509 833</w:t>
            </w:r>
          </w:p>
        </w:tc>
      </w:tr>
      <w:tr w:rsidR="00DD531B" w:rsidRPr="00DD531B" w14:paraId="5CB46D66" w14:textId="77777777" w:rsidTr="001F24AE">
        <w:trPr>
          <w:trHeight w:val="300"/>
        </w:trPr>
        <w:tc>
          <w:tcPr>
            <w:tcW w:w="2216" w:type="pct"/>
            <w:tcBorders>
              <w:top w:val="nil"/>
              <w:left w:val="nil"/>
              <w:bottom w:val="nil"/>
              <w:right w:val="nil"/>
            </w:tcBorders>
            <w:shd w:val="clear" w:color="auto" w:fill="auto"/>
            <w:noWrap/>
            <w:vAlign w:val="bottom"/>
            <w:hideMark/>
          </w:tcPr>
          <w:p w14:paraId="475EAB4E" w14:textId="77777777" w:rsidR="00DD531B" w:rsidRPr="00DD531B" w:rsidRDefault="00DD531B" w:rsidP="00DD531B">
            <w:pPr>
              <w:spacing w:after="0" w:line="240" w:lineRule="auto"/>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rozpočtové zdroje kapitoly</w:t>
            </w:r>
          </w:p>
        </w:tc>
        <w:tc>
          <w:tcPr>
            <w:tcW w:w="398" w:type="pct"/>
            <w:tcBorders>
              <w:top w:val="nil"/>
              <w:left w:val="nil"/>
              <w:bottom w:val="nil"/>
              <w:right w:val="nil"/>
            </w:tcBorders>
            <w:shd w:val="clear" w:color="auto" w:fill="auto"/>
            <w:noWrap/>
            <w:vAlign w:val="bottom"/>
            <w:hideMark/>
          </w:tcPr>
          <w:p w14:paraId="15DE9F23"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1 973 519</w:t>
            </w:r>
          </w:p>
        </w:tc>
        <w:tc>
          <w:tcPr>
            <w:tcW w:w="398" w:type="pct"/>
            <w:tcBorders>
              <w:top w:val="nil"/>
              <w:left w:val="nil"/>
              <w:bottom w:val="nil"/>
              <w:right w:val="nil"/>
            </w:tcBorders>
            <w:shd w:val="clear" w:color="auto" w:fill="auto"/>
            <w:noWrap/>
            <w:vAlign w:val="bottom"/>
            <w:hideMark/>
          </w:tcPr>
          <w:p w14:paraId="188BC65A"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1 569 402</w:t>
            </w:r>
          </w:p>
        </w:tc>
        <w:tc>
          <w:tcPr>
            <w:tcW w:w="398" w:type="pct"/>
            <w:tcBorders>
              <w:top w:val="nil"/>
              <w:left w:val="nil"/>
              <w:bottom w:val="nil"/>
              <w:right w:val="nil"/>
            </w:tcBorders>
            <w:shd w:val="clear" w:color="auto" w:fill="auto"/>
            <w:noWrap/>
            <w:vAlign w:val="bottom"/>
            <w:hideMark/>
          </w:tcPr>
          <w:p w14:paraId="45452CDB"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1 656 618</w:t>
            </w:r>
          </w:p>
        </w:tc>
        <w:tc>
          <w:tcPr>
            <w:tcW w:w="398" w:type="pct"/>
            <w:tcBorders>
              <w:top w:val="nil"/>
              <w:left w:val="nil"/>
              <w:bottom w:val="nil"/>
              <w:right w:val="nil"/>
            </w:tcBorders>
            <w:shd w:val="clear" w:color="auto" w:fill="auto"/>
            <w:noWrap/>
            <w:vAlign w:val="bottom"/>
            <w:hideMark/>
          </w:tcPr>
          <w:p w14:paraId="09D6B650"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1 794 627</w:t>
            </w:r>
          </w:p>
        </w:tc>
        <w:tc>
          <w:tcPr>
            <w:tcW w:w="398" w:type="pct"/>
            <w:tcBorders>
              <w:top w:val="nil"/>
              <w:left w:val="nil"/>
              <w:bottom w:val="nil"/>
              <w:right w:val="nil"/>
            </w:tcBorders>
            <w:shd w:val="clear" w:color="auto" w:fill="auto"/>
            <w:noWrap/>
            <w:vAlign w:val="bottom"/>
            <w:hideMark/>
          </w:tcPr>
          <w:p w14:paraId="0D1CCBFE"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1 973 762</w:t>
            </w:r>
          </w:p>
        </w:tc>
        <w:tc>
          <w:tcPr>
            <w:tcW w:w="398" w:type="pct"/>
            <w:tcBorders>
              <w:top w:val="nil"/>
              <w:left w:val="nil"/>
              <w:bottom w:val="nil"/>
              <w:right w:val="nil"/>
            </w:tcBorders>
            <w:shd w:val="clear" w:color="auto" w:fill="auto"/>
            <w:noWrap/>
            <w:vAlign w:val="bottom"/>
            <w:hideMark/>
          </w:tcPr>
          <w:p w14:paraId="24CA9A34"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1 890 381</w:t>
            </w:r>
          </w:p>
        </w:tc>
        <w:tc>
          <w:tcPr>
            <w:tcW w:w="398" w:type="pct"/>
            <w:tcBorders>
              <w:top w:val="nil"/>
              <w:left w:val="nil"/>
              <w:bottom w:val="nil"/>
              <w:right w:val="nil"/>
            </w:tcBorders>
            <w:shd w:val="clear" w:color="auto" w:fill="auto"/>
            <w:noWrap/>
            <w:vAlign w:val="bottom"/>
            <w:hideMark/>
          </w:tcPr>
          <w:p w14:paraId="0B8A88F2"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1 832 078</w:t>
            </w:r>
          </w:p>
        </w:tc>
      </w:tr>
      <w:tr w:rsidR="00DD531B" w:rsidRPr="00DD531B" w14:paraId="6D14E84F" w14:textId="77777777" w:rsidTr="001F24AE">
        <w:trPr>
          <w:trHeight w:val="300"/>
        </w:trPr>
        <w:tc>
          <w:tcPr>
            <w:tcW w:w="2216" w:type="pct"/>
            <w:tcBorders>
              <w:top w:val="nil"/>
              <w:left w:val="nil"/>
              <w:bottom w:val="nil"/>
              <w:right w:val="nil"/>
            </w:tcBorders>
            <w:shd w:val="clear" w:color="auto" w:fill="auto"/>
            <w:noWrap/>
            <w:vAlign w:val="bottom"/>
            <w:hideMark/>
          </w:tcPr>
          <w:p w14:paraId="10D5D8D2"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bežné výdavky  600, v tom:</w:t>
            </w:r>
          </w:p>
        </w:tc>
        <w:tc>
          <w:tcPr>
            <w:tcW w:w="398" w:type="pct"/>
            <w:tcBorders>
              <w:top w:val="nil"/>
              <w:left w:val="nil"/>
              <w:bottom w:val="nil"/>
              <w:right w:val="nil"/>
            </w:tcBorders>
            <w:shd w:val="clear" w:color="auto" w:fill="auto"/>
            <w:noWrap/>
            <w:vAlign w:val="bottom"/>
            <w:hideMark/>
          </w:tcPr>
          <w:p w14:paraId="76EB9FF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1 464 926</w:t>
            </w:r>
          </w:p>
        </w:tc>
        <w:tc>
          <w:tcPr>
            <w:tcW w:w="398" w:type="pct"/>
            <w:tcBorders>
              <w:top w:val="nil"/>
              <w:left w:val="nil"/>
              <w:bottom w:val="nil"/>
              <w:right w:val="nil"/>
            </w:tcBorders>
            <w:shd w:val="clear" w:color="auto" w:fill="auto"/>
            <w:noWrap/>
            <w:vAlign w:val="bottom"/>
            <w:hideMark/>
          </w:tcPr>
          <w:p w14:paraId="4863CE78"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1 205 585</w:t>
            </w:r>
          </w:p>
        </w:tc>
        <w:tc>
          <w:tcPr>
            <w:tcW w:w="398" w:type="pct"/>
            <w:tcBorders>
              <w:top w:val="nil"/>
              <w:left w:val="nil"/>
              <w:bottom w:val="nil"/>
              <w:right w:val="nil"/>
            </w:tcBorders>
            <w:shd w:val="clear" w:color="auto" w:fill="auto"/>
            <w:noWrap/>
            <w:vAlign w:val="bottom"/>
            <w:hideMark/>
          </w:tcPr>
          <w:p w14:paraId="37F4BD6B"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1 187 887</w:t>
            </w:r>
          </w:p>
        </w:tc>
        <w:tc>
          <w:tcPr>
            <w:tcW w:w="398" w:type="pct"/>
            <w:tcBorders>
              <w:top w:val="nil"/>
              <w:left w:val="nil"/>
              <w:bottom w:val="nil"/>
              <w:right w:val="nil"/>
            </w:tcBorders>
            <w:shd w:val="clear" w:color="auto" w:fill="auto"/>
            <w:noWrap/>
            <w:vAlign w:val="bottom"/>
            <w:hideMark/>
          </w:tcPr>
          <w:p w14:paraId="431373F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1 335 836</w:t>
            </w:r>
          </w:p>
        </w:tc>
        <w:tc>
          <w:tcPr>
            <w:tcW w:w="398" w:type="pct"/>
            <w:tcBorders>
              <w:top w:val="nil"/>
              <w:left w:val="nil"/>
              <w:bottom w:val="nil"/>
              <w:right w:val="nil"/>
            </w:tcBorders>
            <w:shd w:val="clear" w:color="auto" w:fill="auto"/>
            <w:noWrap/>
            <w:vAlign w:val="bottom"/>
            <w:hideMark/>
          </w:tcPr>
          <w:p w14:paraId="5C545FC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1 384 981</w:t>
            </w:r>
          </w:p>
        </w:tc>
        <w:tc>
          <w:tcPr>
            <w:tcW w:w="398" w:type="pct"/>
            <w:tcBorders>
              <w:top w:val="nil"/>
              <w:left w:val="nil"/>
              <w:bottom w:val="nil"/>
              <w:right w:val="nil"/>
            </w:tcBorders>
            <w:shd w:val="clear" w:color="auto" w:fill="auto"/>
            <w:noWrap/>
            <w:vAlign w:val="bottom"/>
            <w:hideMark/>
          </w:tcPr>
          <w:p w14:paraId="2BEB7D6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1 425 883</w:t>
            </w:r>
          </w:p>
        </w:tc>
        <w:tc>
          <w:tcPr>
            <w:tcW w:w="398" w:type="pct"/>
            <w:tcBorders>
              <w:top w:val="nil"/>
              <w:left w:val="nil"/>
              <w:bottom w:val="nil"/>
              <w:right w:val="nil"/>
            </w:tcBorders>
            <w:shd w:val="clear" w:color="auto" w:fill="auto"/>
            <w:noWrap/>
            <w:vAlign w:val="bottom"/>
            <w:hideMark/>
          </w:tcPr>
          <w:p w14:paraId="0437D5E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1 445 665</w:t>
            </w:r>
          </w:p>
        </w:tc>
      </w:tr>
      <w:tr w:rsidR="00DD531B" w:rsidRPr="00DD531B" w14:paraId="43625811" w14:textId="77777777" w:rsidTr="001F24AE">
        <w:trPr>
          <w:trHeight w:val="300"/>
        </w:trPr>
        <w:tc>
          <w:tcPr>
            <w:tcW w:w="2216" w:type="pct"/>
            <w:tcBorders>
              <w:top w:val="nil"/>
              <w:left w:val="nil"/>
              <w:bottom w:val="nil"/>
              <w:right w:val="nil"/>
            </w:tcBorders>
            <w:shd w:val="clear" w:color="auto" w:fill="auto"/>
            <w:noWrap/>
            <w:vAlign w:val="bottom"/>
            <w:hideMark/>
          </w:tcPr>
          <w:p w14:paraId="56211B27"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610 mzdy</w:t>
            </w:r>
          </w:p>
        </w:tc>
        <w:tc>
          <w:tcPr>
            <w:tcW w:w="398" w:type="pct"/>
            <w:tcBorders>
              <w:top w:val="nil"/>
              <w:left w:val="nil"/>
              <w:bottom w:val="nil"/>
              <w:right w:val="nil"/>
            </w:tcBorders>
            <w:shd w:val="clear" w:color="auto" w:fill="auto"/>
            <w:noWrap/>
            <w:vAlign w:val="bottom"/>
            <w:hideMark/>
          </w:tcPr>
          <w:p w14:paraId="4F1B9C2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26 284</w:t>
            </w:r>
          </w:p>
        </w:tc>
        <w:tc>
          <w:tcPr>
            <w:tcW w:w="398" w:type="pct"/>
            <w:tcBorders>
              <w:top w:val="nil"/>
              <w:left w:val="nil"/>
              <w:bottom w:val="nil"/>
              <w:right w:val="nil"/>
            </w:tcBorders>
            <w:shd w:val="clear" w:color="auto" w:fill="auto"/>
            <w:noWrap/>
            <w:vAlign w:val="bottom"/>
            <w:hideMark/>
          </w:tcPr>
          <w:p w14:paraId="71418C9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28 240</w:t>
            </w:r>
          </w:p>
        </w:tc>
        <w:tc>
          <w:tcPr>
            <w:tcW w:w="398" w:type="pct"/>
            <w:tcBorders>
              <w:top w:val="nil"/>
              <w:left w:val="nil"/>
              <w:bottom w:val="nil"/>
              <w:right w:val="nil"/>
            </w:tcBorders>
            <w:shd w:val="clear" w:color="auto" w:fill="auto"/>
            <w:noWrap/>
            <w:vAlign w:val="bottom"/>
            <w:hideMark/>
          </w:tcPr>
          <w:p w14:paraId="7ABB0DDC"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34 913</w:t>
            </w:r>
          </w:p>
        </w:tc>
        <w:tc>
          <w:tcPr>
            <w:tcW w:w="398" w:type="pct"/>
            <w:tcBorders>
              <w:top w:val="nil"/>
              <w:left w:val="nil"/>
              <w:bottom w:val="nil"/>
              <w:right w:val="nil"/>
            </w:tcBorders>
            <w:shd w:val="clear" w:color="auto" w:fill="auto"/>
            <w:noWrap/>
            <w:vAlign w:val="bottom"/>
            <w:hideMark/>
          </w:tcPr>
          <w:p w14:paraId="750FBA1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33 371</w:t>
            </w:r>
          </w:p>
        </w:tc>
        <w:tc>
          <w:tcPr>
            <w:tcW w:w="398" w:type="pct"/>
            <w:tcBorders>
              <w:top w:val="nil"/>
              <w:left w:val="nil"/>
              <w:bottom w:val="nil"/>
              <w:right w:val="nil"/>
            </w:tcBorders>
            <w:shd w:val="clear" w:color="auto" w:fill="auto"/>
            <w:noWrap/>
            <w:vAlign w:val="bottom"/>
            <w:hideMark/>
          </w:tcPr>
          <w:p w14:paraId="7763DADA"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36 373</w:t>
            </w:r>
          </w:p>
        </w:tc>
        <w:tc>
          <w:tcPr>
            <w:tcW w:w="398" w:type="pct"/>
            <w:tcBorders>
              <w:top w:val="nil"/>
              <w:left w:val="nil"/>
              <w:bottom w:val="nil"/>
              <w:right w:val="nil"/>
            </w:tcBorders>
            <w:shd w:val="clear" w:color="auto" w:fill="auto"/>
            <w:noWrap/>
            <w:vAlign w:val="bottom"/>
            <w:hideMark/>
          </w:tcPr>
          <w:p w14:paraId="4CCFC1D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36 553</w:t>
            </w:r>
          </w:p>
        </w:tc>
        <w:tc>
          <w:tcPr>
            <w:tcW w:w="398" w:type="pct"/>
            <w:tcBorders>
              <w:top w:val="nil"/>
              <w:left w:val="nil"/>
              <w:bottom w:val="nil"/>
              <w:right w:val="nil"/>
            </w:tcBorders>
            <w:shd w:val="clear" w:color="auto" w:fill="auto"/>
            <w:noWrap/>
            <w:vAlign w:val="bottom"/>
            <w:hideMark/>
          </w:tcPr>
          <w:p w14:paraId="594B936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36 553</w:t>
            </w:r>
          </w:p>
        </w:tc>
      </w:tr>
      <w:tr w:rsidR="00DD531B" w:rsidRPr="00DD531B" w14:paraId="53FE2815" w14:textId="77777777" w:rsidTr="001F24AE">
        <w:trPr>
          <w:trHeight w:val="300"/>
        </w:trPr>
        <w:tc>
          <w:tcPr>
            <w:tcW w:w="2216" w:type="pct"/>
            <w:tcBorders>
              <w:top w:val="nil"/>
              <w:left w:val="nil"/>
              <w:bottom w:val="nil"/>
              <w:right w:val="nil"/>
            </w:tcBorders>
            <w:shd w:val="clear" w:color="auto" w:fill="auto"/>
            <w:noWrap/>
            <w:vAlign w:val="bottom"/>
            <w:hideMark/>
          </w:tcPr>
          <w:p w14:paraId="2ED95DDE"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620 odvody</w:t>
            </w:r>
          </w:p>
        </w:tc>
        <w:tc>
          <w:tcPr>
            <w:tcW w:w="398" w:type="pct"/>
            <w:tcBorders>
              <w:top w:val="nil"/>
              <w:left w:val="nil"/>
              <w:bottom w:val="nil"/>
              <w:right w:val="nil"/>
            </w:tcBorders>
            <w:shd w:val="clear" w:color="auto" w:fill="auto"/>
            <w:noWrap/>
            <w:vAlign w:val="bottom"/>
            <w:hideMark/>
          </w:tcPr>
          <w:p w14:paraId="63F2D16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10 259</w:t>
            </w:r>
          </w:p>
        </w:tc>
        <w:tc>
          <w:tcPr>
            <w:tcW w:w="398" w:type="pct"/>
            <w:tcBorders>
              <w:top w:val="nil"/>
              <w:left w:val="nil"/>
              <w:bottom w:val="nil"/>
              <w:right w:val="nil"/>
            </w:tcBorders>
            <w:shd w:val="clear" w:color="auto" w:fill="auto"/>
            <w:noWrap/>
            <w:vAlign w:val="bottom"/>
            <w:hideMark/>
          </w:tcPr>
          <w:p w14:paraId="75577E3B"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10 601</w:t>
            </w:r>
          </w:p>
        </w:tc>
        <w:tc>
          <w:tcPr>
            <w:tcW w:w="398" w:type="pct"/>
            <w:tcBorders>
              <w:top w:val="nil"/>
              <w:left w:val="nil"/>
              <w:bottom w:val="nil"/>
              <w:right w:val="nil"/>
            </w:tcBorders>
            <w:shd w:val="clear" w:color="auto" w:fill="auto"/>
            <w:noWrap/>
            <w:vAlign w:val="bottom"/>
            <w:hideMark/>
          </w:tcPr>
          <w:p w14:paraId="3892914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12 766</w:t>
            </w:r>
          </w:p>
        </w:tc>
        <w:tc>
          <w:tcPr>
            <w:tcW w:w="398" w:type="pct"/>
            <w:tcBorders>
              <w:top w:val="nil"/>
              <w:left w:val="nil"/>
              <w:bottom w:val="nil"/>
              <w:right w:val="nil"/>
            </w:tcBorders>
            <w:shd w:val="clear" w:color="auto" w:fill="auto"/>
            <w:noWrap/>
            <w:vAlign w:val="bottom"/>
            <w:hideMark/>
          </w:tcPr>
          <w:p w14:paraId="69DBFD6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12 756</w:t>
            </w:r>
          </w:p>
        </w:tc>
        <w:tc>
          <w:tcPr>
            <w:tcW w:w="398" w:type="pct"/>
            <w:tcBorders>
              <w:top w:val="nil"/>
              <w:left w:val="nil"/>
              <w:bottom w:val="nil"/>
              <w:right w:val="nil"/>
            </w:tcBorders>
            <w:shd w:val="clear" w:color="auto" w:fill="auto"/>
            <w:noWrap/>
            <w:vAlign w:val="bottom"/>
            <w:hideMark/>
          </w:tcPr>
          <w:p w14:paraId="379428A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13 275</w:t>
            </w:r>
          </w:p>
        </w:tc>
        <w:tc>
          <w:tcPr>
            <w:tcW w:w="398" w:type="pct"/>
            <w:tcBorders>
              <w:top w:val="nil"/>
              <w:left w:val="nil"/>
              <w:bottom w:val="nil"/>
              <w:right w:val="nil"/>
            </w:tcBorders>
            <w:shd w:val="clear" w:color="auto" w:fill="auto"/>
            <w:noWrap/>
            <w:vAlign w:val="bottom"/>
            <w:hideMark/>
          </w:tcPr>
          <w:p w14:paraId="49E7CA1C"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13 341</w:t>
            </w:r>
          </w:p>
        </w:tc>
        <w:tc>
          <w:tcPr>
            <w:tcW w:w="398" w:type="pct"/>
            <w:tcBorders>
              <w:top w:val="nil"/>
              <w:left w:val="nil"/>
              <w:bottom w:val="nil"/>
              <w:right w:val="nil"/>
            </w:tcBorders>
            <w:shd w:val="clear" w:color="auto" w:fill="auto"/>
            <w:noWrap/>
            <w:vAlign w:val="bottom"/>
            <w:hideMark/>
          </w:tcPr>
          <w:p w14:paraId="5C41664B"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13 341</w:t>
            </w:r>
          </w:p>
        </w:tc>
      </w:tr>
      <w:tr w:rsidR="00DD531B" w:rsidRPr="00DD531B" w14:paraId="00057383" w14:textId="77777777" w:rsidTr="001F24AE">
        <w:trPr>
          <w:trHeight w:val="300"/>
        </w:trPr>
        <w:tc>
          <w:tcPr>
            <w:tcW w:w="2216" w:type="pct"/>
            <w:tcBorders>
              <w:top w:val="nil"/>
              <w:left w:val="nil"/>
              <w:bottom w:val="nil"/>
              <w:right w:val="nil"/>
            </w:tcBorders>
            <w:shd w:val="clear" w:color="auto" w:fill="auto"/>
            <w:noWrap/>
            <w:vAlign w:val="bottom"/>
            <w:hideMark/>
          </w:tcPr>
          <w:p w14:paraId="5854897D"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630 tovary a služby</w:t>
            </w:r>
          </w:p>
        </w:tc>
        <w:tc>
          <w:tcPr>
            <w:tcW w:w="398" w:type="pct"/>
            <w:tcBorders>
              <w:top w:val="nil"/>
              <w:left w:val="nil"/>
              <w:bottom w:val="nil"/>
              <w:right w:val="nil"/>
            </w:tcBorders>
            <w:shd w:val="clear" w:color="auto" w:fill="auto"/>
            <w:noWrap/>
            <w:vAlign w:val="bottom"/>
            <w:hideMark/>
          </w:tcPr>
          <w:p w14:paraId="3E2B74C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365 564</w:t>
            </w:r>
          </w:p>
        </w:tc>
        <w:tc>
          <w:tcPr>
            <w:tcW w:w="398" w:type="pct"/>
            <w:tcBorders>
              <w:top w:val="nil"/>
              <w:left w:val="nil"/>
              <w:bottom w:val="nil"/>
              <w:right w:val="nil"/>
            </w:tcBorders>
            <w:shd w:val="clear" w:color="auto" w:fill="auto"/>
            <w:noWrap/>
            <w:vAlign w:val="bottom"/>
            <w:hideMark/>
          </w:tcPr>
          <w:p w14:paraId="242BAD2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302 166</w:t>
            </w:r>
          </w:p>
        </w:tc>
        <w:tc>
          <w:tcPr>
            <w:tcW w:w="398" w:type="pct"/>
            <w:tcBorders>
              <w:top w:val="nil"/>
              <w:left w:val="nil"/>
              <w:bottom w:val="nil"/>
              <w:right w:val="nil"/>
            </w:tcBorders>
            <w:shd w:val="clear" w:color="auto" w:fill="auto"/>
            <w:noWrap/>
            <w:vAlign w:val="bottom"/>
            <w:hideMark/>
          </w:tcPr>
          <w:p w14:paraId="3A9E166B"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354 749</w:t>
            </w:r>
          </w:p>
        </w:tc>
        <w:tc>
          <w:tcPr>
            <w:tcW w:w="398" w:type="pct"/>
            <w:tcBorders>
              <w:top w:val="nil"/>
              <w:left w:val="nil"/>
              <w:bottom w:val="nil"/>
              <w:right w:val="nil"/>
            </w:tcBorders>
            <w:shd w:val="clear" w:color="auto" w:fill="auto"/>
            <w:noWrap/>
            <w:vAlign w:val="bottom"/>
            <w:hideMark/>
          </w:tcPr>
          <w:p w14:paraId="5DCEE6A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330 403</w:t>
            </w:r>
          </w:p>
        </w:tc>
        <w:tc>
          <w:tcPr>
            <w:tcW w:w="398" w:type="pct"/>
            <w:tcBorders>
              <w:top w:val="nil"/>
              <w:left w:val="nil"/>
              <w:bottom w:val="nil"/>
              <w:right w:val="nil"/>
            </w:tcBorders>
            <w:shd w:val="clear" w:color="auto" w:fill="auto"/>
            <w:noWrap/>
            <w:vAlign w:val="bottom"/>
            <w:hideMark/>
          </w:tcPr>
          <w:p w14:paraId="65728D9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339 438</w:t>
            </w:r>
          </w:p>
        </w:tc>
        <w:tc>
          <w:tcPr>
            <w:tcW w:w="398" w:type="pct"/>
            <w:tcBorders>
              <w:top w:val="nil"/>
              <w:left w:val="nil"/>
              <w:bottom w:val="nil"/>
              <w:right w:val="nil"/>
            </w:tcBorders>
            <w:shd w:val="clear" w:color="auto" w:fill="auto"/>
            <w:noWrap/>
            <w:vAlign w:val="bottom"/>
            <w:hideMark/>
          </w:tcPr>
          <w:p w14:paraId="76AE072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340 858</w:t>
            </w:r>
          </w:p>
        </w:tc>
        <w:tc>
          <w:tcPr>
            <w:tcW w:w="398" w:type="pct"/>
            <w:tcBorders>
              <w:top w:val="nil"/>
              <w:left w:val="nil"/>
              <w:bottom w:val="nil"/>
              <w:right w:val="nil"/>
            </w:tcBorders>
            <w:shd w:val="clear" w:color="auto" w:fill="auto"/>
            <w:noWrap/>
            <w:vAlign w:val="bottom"/>
            <w:hideMark/>
          </w:tcPr>
          <w:p w14:paraId="0D548F2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341 882</w:t>
            </w:r>
          </w:p>
        </w:tc>
      </w:tr>
      <w:tr w:rsidR="00DD531B" w:rsidRPr="00DD531B" w14:paraId="39364175" w14:textId="77777777" w:rsidTr="001F24AE">
        <w:trPr>
          <w:trHeight w:val="300"/>
        </w:trPr>
        <w:tc>
          <w:tcPr>
            <w:tcW w:w="2216" w:type="pct"/>
            <w:tcBorders>
              <w:top w:val="nil"/>
              <w:left w:val="nil"/>
              <w:bottom w:val="nil"/>
              <w:right w:val="nil"/>
            </w:tcBorders>
            <w:shd w:val="clear" w:color="auto" w:fill="auto"/>
            <w:noWrap/>
            <w:vAlign w:val="bottom"/>
            <w:hideMark/>
          </w:tcPr>
          <w:p w14:paraId="6C2D2AF9"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640 bežné transfery</w:t>
            </w:r>
          </w:p>
        </w:tc>
        <w:tc>
          <w:tcPr>
            <w:tcW w:w="398" w:type="pct"/>
            <w:tcBorders>
              <w:top w:val="nil"/>
              <w:left w:val="nil"/>
              <w:bottom w:val="nil"/>
              <w:right w:val="nil"/>
            </w:tcBorders>
            <w:shd w:val="clear" w:color="auto" w:fill="auto"/>
            <w:noWrap/>
            <w:vAlign w:val="bottom"/>
            <w:hideMark/>
          </w:tcPr>
          <w:p w14:paraId="1BD6901E"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1 062 820</w:t>
            </w:r>
          </w:p>
        </w:tc>
        <w:tc>
          <w:tcPr>
            <w:tcW w:w="398" w:type="pct"/>
            <w:tcBorders>
              <w:top w:val="nil"/>
              <w:left w:val="nil"/>
              <w:bottom w:val="nil"/>
              <w:right w:val="nil"/>
            </w:tcBorders>
            <w:shd w:val="clear" w:color="auto" w:fill="auto"/>
            <w:noWrap/>
            <w:vAlign w:val="bottom"/>
            <w:hideMark/>
          </w:tcPr>
          <w:p w14:paraId="1163815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864 578</w:t>
            </w:r>
          </w:p>
        </w:tc>
        <w:tc>
          <w:tcPr>
            <w:tcW w:w="398" w:type="pct"/>
            <w:tcBorders>
              <w:top w:val="nil"/>
              <w:left w:val="nil"/>
              <w:bottom w:val="nil"/>
              <w:right w:val="nil"/>
            </w:tcBorders>
            <w:shd w:val="clear" w:color="auto" w:fill="auto"/>
            <w:noWrap/>
            <w:vAlign w:val="bottom"/>
            <w:hideMark/>
          </w:tcPr>
          <w:p w14:paraId="3165305C"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785 459</w:t>
            </w:r>
          </w:p>
        </w:tc>
        <w:tc>
          <w:tcPr>
            <w:tcW w:w="398" w:type="pct"/>
            <w:tcBorders>
              <w:top w:val="nil"/>
              <w:left w:val="nil"/>
              <w:bottom w:val="nil"/>
              <w:right w:val="nil"/>
            </w:tcBorders>
            <w:shd w:val="clear" w:color="auto" w:fill="auto"/>
            <w:noWrap/>
            <w:vAlign w:val="bottom"/>
            <w:hideMark/>
          </w:tcPr>
          <w:p w14:paraId="11FCFFC8"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959 305</w:t>
            </w:r>
          </w:p>
        </w:tc>
        <w:tc>
          <w:tcPr>
            <w:tcW w:w="398" w:type="pct"/>
            <w:tcBorders>
              <w:top w:val="nil"/>
              <w:left w:val="nil"/>
              <w:bottom w:val="nil"/>
              <w:right w:val="nil"/>
            </w:tcBorders>
            <w:shd w:val="clear" w:color="auto" w:fill="auto"/>
            <w:noWrap/>
            <w:vAlign w:val="bottom"/>
            <w:hideMark/>
          </w:tcPr>
          <w:p w14:paraId="31ED64A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995 894</w:t>
            </w:r>
          </w:p>
        </w:tc>
        <w:tc>
          <w:tcPr>
            <w:tcW w:w="398" w:type="pct"/>
            <w:tcBorders>
              <w:top w:val="nil"/>
              <w:left w:val="nil"/>
              <w:bottom w:val="nil"/>
              <w:right w:val="nil"/>
            </w:tcBorders>
            <w:shd w:val="clear" w:color="auto" w:fill="auto"/>
            <w:noWrap/>
            <w:vAlign w:val="bottom"/>
            <w:hideMark/>
          </w:tcPr>
          <w:p w14:paraId="7B3A97E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1 035 131</w:t>
            </w:r>
          </w:p>
        </w:tc>
        <w:tc>
          <w:tcPr>
            <w:tcW w:w="398" w:type="pct"/>
            <w:tcBorders>
              <w:top w:val="nil"/>
              <w:left w:val="nil"/>
              <w:bottom w:val="nil"/>
              <w:right w:val="nil"/>
            </w:tcBorders>
            <w:shd w:val="clear" w:color="auto" w:fill="auto"/>
            <w:noWrap/>
            <w:vAlign w:val="bottom"/>
            <w:hideMark/>
          </w:tcPr>
          <w:p w14:paraId="11E27F3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1 053 889</w:t>
            </w:r>
          </w:p>
        </w:tc>
      </w:tr>
      <w:tr w:rsidR="00DD531B" w:rsidRPr="00DD531B" w14:paraId="57EADBDF" w14:textId="77777777" w:rsidTr="001F24AE">
        <w:trPr>
          <w:trHeight w:val="300"/>
        </w:trPr>
        <w:tc>
          <w:tcPr>
            <w:tcW w:w="2216" w:type="pct"/>
            <w:tcBorders>
              <w:top w:val="nil"/>
              <w:left w:val="nil"/>
              <w:bottom w:val="nil"/>
              <w:right w:val="nil"/>
            </w:tcBorders>
            <w:shd w:val="clear" w:color="auto" w:fill="auto"/>
            <w:noWrap/>
            <w:vAlign w:val="bottom"/>
            <w:hideMark/>
          </w:tcPr>
          <w:p w14:paraId="717A0A5B"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kapitálové výdavky 700</w:t>
            </w:r>
          </w:p>
        </w:tc>
        <w:tc>
          <w:tcPr>
            <w:tcW w:w="398" w:type="pct"/>
            <w:tcBorders>
              <w:top w:val="nil"/>
              <w:left w:val="nil"/>
              <w:bottom w:val="nil"/>
              <w:right w:val="nil"/>
            </w:tcBorders>
            <w:shd w:val="clear" w:color="auto" w:fill="auto"/>
            <w:noWrap/>
            <w:vAlign w:val="bottom"/>
            <w:hideMark/>
          </w:tcPr>
          <w:p w14:paraId="71EC31A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508 592</w:t>
            </w:r>
          </w:p>
        </w:tc>
        <w:tc>
          <w:tcPr>
            <w:tcW w:w="398" w:type="pct"/>
            <w:tcBorders>
              <w:top w:val="nil"/>
              <w:left w:val="nil"/>
              <w:bottom w:val="nil"/>
              <w:right w:val="nil"/>
            </w:tcBorders>
            <w:shd w:val="clear" w:color="auto" w:fill="auto"/>
            <w:noWrap/>
            <w:vAlign w:val="bottom"/>
            <w:hideMark/>
          </w:tcPr>
          <w:p w14:paraId="0D38CEF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363 817</w:t>
            </w:r>
          </w:p>
        </w:tc>
        <w:tc>
          <w:tcPr>
            <w:tcW w:w="398" w:type="pct"/>
            <w:tcBorders>
              <w:top w:val="nil"/>
              <w:left w:val="nil"/>
              <w:bottom w:val="nil"/>
              <w:right w:val="nil"/>
            </w:tcBorders>
            <w:shd w:val="clear" w:color="auto" w:fill="auto"/>
            <w:noWrap/>
            <w:vAlign w:val="bottom"/>
            <w:hideMark/>
          </w:tcPr>
          <w:p w14:paraId="5768E61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468 731</w:t>
            </w:r>
          </w:p>
        </w:tc>
        <w:tc>
          <w:tcPr>
            <w:tcW w:w="398" w:type="pct"/>
            <w:tcBorders>
              <w:top w:val="nil"/>
              <w:left w:val="nil"/>
              <w:bottom w:val="nil"/>
              <w:right w:val="nil"/>
            </w:tcBorders>
            <w:shd w:val="clear" w:color="auto" w:fill="auto"/>
            <w:noWrap/>
            <w:vAlign w:val="bottom"/>
            <w:hideMark/>
          </w:tcPr>
          <w:p w14:paraId="6E4F228B"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458 791</w:t>
            </w:r>
          </w:p>
        </w:tc>
        <w:tc>
          <w:tcPr>
            <w:tcW w:w="398" w:type="pct"/>
            <w:tcBorders>
              <w:top w:val="nil"/>
              <w:left w:val="nil"/>
              <w:bottom w:val="nil"/>
              <w:right w:val="nil"/>
            </w:tcBorders>
            <w:shd w:val="clear" w:color="auto" w:fill="auto"/>
            <w:noWrap/>
            <w:vAlign w:val="bottom"/>
            <w:hideMark/>
          </w:tcPr>
          <w:p w14:paraId="6CED1ED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588 782</w:t>
            </w:r>
          </w:p>
        </w:tc>
        <w:tc>
          <w:tcPr>
            <w:tcW w:w="398" w:type="pct"/>
            <w:tcBorders>
              <w:top w:val="nil"/>
              <w:left w:val="nil"/>
              <w:bottom w:val="nil"/>
              <w:right w:val="nil"/>
            </w:tcBorders>
            <w:shd w:val="clear" w:color="auto" w:fill="auto"/>
            <w:noWrap/>
            <w:vAlign w:val="bottom"/>
            <w:hideMark/>
          </w:tcPr>
          <w:p w14:paraId="5FC3F63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464 499</w:t>
            </w:r>
          </w:p>
        </w:tc>
        <w:tc>
          <w:tcPr>
            <w:tcW w:w="398" w:type="pct"/>
            <w:tcBorders>
              <w:top w:val="nil"/>
              <w:left w:val="nil"/>
              <w:bottom w:val="nil"/>
              <w:right w:val="nil"/>
            </w:tcBorders>
            <w:shd w:val="clear" w:color="auto" w:fill="auto"/>
            <w:noWrap/>
            <w:vAlign w:val="bottom"/>
            <w:hideMark/>
          </w:tcPr>
          <w:p w14:paraId="7BC88D8A"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386 413</w:t>
            </w:r>
          </w:p>
        </w:tc>
      </w:tr>
      <w:tr w:rsidR="00DD531B" w:rsidRPr="00DD531B" w14:paraId="6EBAF086" w14:textId="77777777" w:rsidTr="001F24AE">
        <w:trPr>
          <w:trHeight w:val="300"/>
        </w:trPr>
        <w:tc>
          <w:tcPr>
            <w:tcW w:w="2216" w:type="pct"/>
            <w:tcBorders>
              <w:top w:val="nil"/>
              <w:left w:val="nil"/>
              <w:bottom w:val="nil"/>
              <w:right w:val="nil"/>
            </w:tcBorders>
            <w:shd w:val="clear" w:color="auto" w:fill="auto"/>
            <w:noWrap/>
            <w:vAlign w:val="bottom"/>
            <w:hideMark/>
          </w:tcPr>
          <w:p w14:paraId="6801D3D9" w14:textId="77777777" w:rsidR="00DD531B" w:rsidRPr="00DD531B" w:rsidRDefault="00DD531B" w:rsidP="00DD531B">
            <w:pPr>
              <w:spacing w:after="0" w:line="240" w:lineRule="auto"/>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zdroj EÚ vrátane spolufinancovania zo ŠR, v tom:</w:t>
            </w:r>
          </w:p>
        </w:tc>
        <w:tc>
          <w:tcPr>
            <w:tcW w:w="398" w:type="pct"/>
            <w:tcBorders>
              <w:top w:val="nil"/>
              <w:left w:val="nil"/>
              <w:bottom w:val="nil"/>
              <w:right w:val="nil"/>
            </w:tcBorders>
            <w:shd w:val="clear" w:color="auto" w:fill="auto"/>
            <w:noWrap/>
            <w:vAlign w:val="bottom"/>
            <w:hideMark/>
          </w:tcPr>
          <w:p w14:paraId="292923DE"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160 827</w:t>
            </w:r>
          </w:p>
        </w:tc>
        <w:tc>
          <w:tcPr>
            <w:tcW w:w="398" w:type="pct"/>
            <w:tcBorders>
              <w:top w:val="nil"/>
              <w:left w:val="nil"/>
              <w:bottom w:val="nil"/>
              <w:right w:val="nil"/>
            </w:tcBorders>
            <w:shd w:val="clear" w:color="auto" w:fill="auto"/>
            <w:noWrap/>
            <w:vAlign w:val="bottom"/>
            <w:hideMark/>
          </w:tcPr>
          <w:p w14:paraId="2A51D50A"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171 814</w:t>
            </w:r>
          </w:p>
        </w:tc>
        <w:tc>
          <w:tcPr>
            <w:tcW w:w="398" w:type="pct"/>
            <w:tcBorders>
              <w:top w:val="nil"/>
              <w:left w:val="nil"/>
              <w:bottom w:val="nil"/>
              <w:right w:val="nil"/>
            </w:tcBorders>
            <w:shd w:val="clear" w:color="auto" w:fill="auto"/>
            <w:noWrap/>
            <w:vAlign w:val="bottom"/>
            <w:hideMark/>
          </w:tcPr>
          <w:p w14:paraId="2066AEDC"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1 026 215</w:t>
            </w:r>
          </w:p>
        </w:tc>
        <w:tc>
          <w:tcPr>
            <w:tcW w:w="398" w:type="pct"/>
            <w:tcBorders>
              <w:top w:val="nil"/>
              <w:left w:val="nil"/>
              <w:bottom w:val="nil"/>
              <w:right w:val="nil"/>
            </w:tcBorders>
            <w:shd w:val="clear" w:color="auto" w:fill="auto"/>
            <w:noWrap/>
            <w:vAlign w:val="bottom"/>
            <w:hideMark/>
          </w:tcPr>
          <w:p w14:paraId="1E4EF9AD"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111 944</w:t>
            </w:r>
          </w:p>
        </w:tc>
        <w:tc>
          <w:tcPr>
            <w:tcW w:w="398" w:type="pct"/>
            <w:tcBorders>
              <w:top w:val="nil"/>
              <w:left w:val="nil"/>
              <w:bottom w:val="nil"/>
              <w:right w:val="nil"/>
            </w:tcBorders>
            <w:shd w:val="clear" w:color="auto" w:fill="auto"/>
            <w:noWrap/>
            <w:vAlign w:val="bottom"/>
            <w:hideMark/>
          </w:tcPr>
          <w:p w14:paraId="56CD2DD3"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78 546</w:t>
            </w:r>
          </w:p>
        </w:tc>
        <w:tc>
          <w:tcPr>
            <w:tcW w:w="398" w:type="pct"/>
            <w:tcBorders>
              <w:top w:val="nil"/>
              <w:left w:val="nil"/>
              <w:bottom w:val="nil"/>
              <w:right w:val="nil"/>
            </w:tcBorders>
            <w:shd w:val="clear" w:color="auto" w:fill="auto"/>
            <w:noWrap/>
            <w:vAlign w:val="bottom"/>
            <w:hideMark/>
          </w:tcPr>
          <w:p w14:paraId="1863D88A"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346 673</w:t>
            </w:r>
          </w:p>
        </w:tc>
        <w:tc>
          <w:tcPr>
            <w:tcW w:w="398" w:type="pct"/>
            <w:tcBorders>
              <w:top w:val="nil"/>
              <w:left w:val="nil"/>
              <w:bottom w:val="nil"/>
              <w:right w:val="nil"/>
            </w:tcBorders>
            <w:shd w:val="clear" w:color="auto" w:fill="auto"/>
            <w:noWrap/>
            <w:vAlign w:val="bottom"/>
            <w:hideMark/>
          </w:tcPr>
          <w:p w14:paraId="4976D44A"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532 921</w:t>
            </w:r>
          </w:p>
        </w:tc>
      </w:tr>
      <w:tr w:rsidR="00DD531B" w:rsidRPr="00DD531B" w14:paraId="3E734A3B" w14:textId="77777777" w:rsidTr="001F24AE">
        <w:trPr>
          <w:trHeight w:val="300"/>
        </w:trPr>
        <w:tc>
          <w:tcPr>
            <w:tcW w:w="2216" w:type="pct"/>
            <w:tcBorders>
              <w:top w:val="nil"/>
              <w:left w:val="nil"/>
              <w:bottom w:val="nil"/>
              <w:right w:val="nil"/>
            </w:tcBorders>
            <w:shd w:val="clear" w:color="auto" w:fill="auto"/>
            <w:noWrap/>
            <w:vAlign w:val="bottom"/>
            <w:hideMark/>
          </w:tcPr>
          <w:p w14:paraId="14AA3620"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prostriedky EÚ</w:t>
            </w:r>
          </w:p>
        </w:tc>
        <w:tc>
          <w:tcPr>
            <w:tcW w:w="398" w:type="pct"/>
            <w:tcBorders>
              <w:top w:val="nil"/>
              <w:left w:val="nil"/>
              <w:bottom w:val="nil"/>
              <w:right w:val="nil"/>
            </w:tcBorders>
            <w:shd w:val="clear" w:color="auto" w:fill="auto"/>
            <w:noWrap/>
            <w:vAlign w:val="bottom"/>
            <w:hideMark/>
          </w:tcPr>
          <w:p w14:paraId="60EB1D6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137 952</w:t>
            </w:r>
          </w:p>
        </w:tc>
        <w:tc>
          <w:tcPr>
            <w:tcW w:w="398" w:type="pct"/>
            <w:tcBorders>
              <w:top w:val="nil"/>
              <w:left w:val="nil"/>
              <w:bottom w:val="nil"/>
              <w:right w:val="nil"/>
            </w:tcBorders>
            <w:shd w:val="clear" w:color="auto" w:fill="auto"/>
            <w:noWrap/>
            <w:vAlign w:val="bottom"/>
            <w:hideMark/>
          </w:tcPr>
          <w:p w14:paraId="36D3BF9A"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148 760</w:t>
            </w:r>
          </w:p>
        </w:tc>
        <w:tc>
          <w:tcPr>
            <w:tcW w:w="398" w:type="pct"/>
            <w:tcBorders>
              <w:top w:val="nil"/>
              <w:left w:val="nil"/>
              <w:bottom w:val="nil"/>
              <w:right w:val="nil"/>
            </w:tcBorders>
            <w:shd w:val="clear" w:color="auto" w:fill="auto"/>
            <w:noWrap/>
            <w:vAlign w:val="bottom"/>
            <w:hideMark/>
          </w:tcPr>
          <w:p w14:paraId="746A3FD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910 163</w:t>
            </w:r>
          </w:p>
        </w:tc>
        <w:tc>
          <w:tcPr>
            <w:tcW w:w="398" w:type="pct"/>
            <w:tcBorders>
              <w:top w:val="nil"/>
              <w:left w:val="nil"/>
              <w:bottom w:val="nil"/>
              <w:right w:val="nil"/>
            </w:tcBorders>
            <w:shd w:val="clear" w:color="auto" w:fill="auto"/>
            <w:noWrap/>
            <w:vAlign w:val="bottom"/>
            <w:hideMark/>
          </w:tcPr>
          <w:p w14:paraId="2B205DEC"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92 432</w:t>
            </w:r>
          </w:p>
        </w:tc>
        <w:tc>
          <w:tcPr>
            <w:tcW w:w="398" w:type="pct"/>
            <w:tcBorders>
              <w:top w:val="nil"/>
              <w:left w:val="nil"/>
              <w:bottom w:val="nil"/>
              <w:right w:val="nil"/>
            </w:tcBorders>
            <w:shd w:val="clear" w:color="auto" w:fill="auto"/>
            <w:noWrap/>
            <w:vAlign w:val="bottom"/>
            <w:hideMark/>
          </w:tcPr>
          <w:p w14:paraId="13BFE46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70 095</w:t>
            </w:r>
          </w:p>
        </w:tc>
        <w:tc>
          <w:tcPr>
            <w:tcW w:w="398" w:type="pct"/>
            <w:tcBorders>
              <w:top w:val="nil"/>
              <w:left w:val="nil"/>
              <w:bottom w:val="nil"/>
              <w:right w:val="nil"/>
            </w:tcBorders>
            <w:shd w:val="clear" w:color="auto" w:fill="auto"/>
            <w:noWrap/>
            <w:vAlign w:val="bottom"/>
            <w:hideMark/>
          </w:tcPr>
          <w:p w14:paraId="43AA09B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288 436</w:t>
            </w:r>
          </w:p>
        </w:tc>
        <w:tc>
          <w:tcPr>
            <w:tcW w:w="398" w:type="pct"/>
            <w:tcBorders>
              <w:top w:val="nil"/>
              <w:left w:val="nil"/>
              <w:bottom w:val="nil"/>
              <w:right w:val="nil"/>
            </w:tcBorders>
            <w:shd w:val="clear" w:color="auto" w:fill="auto"/>
            <w:noWrap/>
            <w:vAlign w:val="bottom"/>
            <w:hideMark/>
          </w:tcPr>
          <w:p w14:paraId="6D43006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469 122</w:t>
            </w:r>
          </w:p>
        </w:tc>
      </w:tr>
      <w:tr w:rsidR="00DD531B" w:rsidRPr="00DD531B" w14:paraId="3B67AC15" w14:textId="77777777" w:rsidTr="001F24AE">
        <w:trPr>
          <w:trHeight w:val="300"/>
        </w:trPr>
        <w:tc>
          <w:tcPr>
            <w:tcW w:w="2216" w:type="pct"/>
            <w:tcBorders>
              <w:top w:val="nil"/>
              <w:left w:val="nil"/>
              <w:bottom w:val="nil"/>
              <w:right w:val="nil"/>
            </w:tcBorders>
            <w:shd w:val="clear" w:color="auto" w:fill="auto"/>
            <w:noWrap/>
            <w:vAlign w:val="bottom"/>
            <w:hideMark/>
          </w:tcPr>
          <w:p w14:paraId="67F398F7"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spolufinancovanie zo ŠR</w:t>
            </w:r>
          </w:p>
        </w:tc>
        <w:tc>
          <w:tcPr>
            <w:tcW w:w="398" w:type="pct"/>
            <w:tcBorders>
              <w:top w:val="nil"/>
              <w:left w:val="nil"/>
              <w:bottom w:val="nil"/>
              <w:right w:val="nil"/>
            </w:tcBorders>
            <w:shd w:val="clear" w:color="auto" w:fill="auto"/>
            <w:noWrap/>
            <w:vAlign w:val="bottom"/>
            <w:hideMark/>
          </w:tcPr>
          <w:p w14:paraId="07402C4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22 876</w:t>
            </w:r>
          </w:p>
        </w:tc>
        <w:tc>
          <w:tcPr>
            <w:tcW w:w="398" w:type="pct"/>
            <w:tcBorders>
              <w:top w:val="nil"/>
              <w:left w:val="nil"/>
              <w:bottom w:val="nil"/>
              <w:right w:val="nil"/>
            </w:tcBorders>
            <w:shd w:val="clear" w:color="auto" w:fill="auto"/>
            <w:noWrap/>
            <w:vAlign w:val="bottom"/>
            <w:hideMark/>
          </w:tcPr>
          <w:p w14:paraId="43EF4C8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23 054</w:t>
            </w:r>
          </w:p>
        </w:tc>
        <w:tc>
          <w:tcPr>
            <w:tcW w:w="398" w:type="pct"/>
            <w:tcBorders>
              <w:top w:val="nil"/>
              <w:left w:val="nil"/>
              <w:bottom w:val="nil"/>
              <w:right w:val="nil"/>
            </w:tcBorders>
            <w:shd w:val="clear" w:color="auto" w:fill="auto"/>
            <w:noWrap/>
            <w:vAlign w:val="bottom"/>
            <w:hideMark/>
          </w:tcPr>
          <w:p w14:paraId="4E579B6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116 052</w:t>
            </w:r>
          </w:p>
        </w:tc>
        <w:tc>
          <w:tcPr>
            <w:tcW w:w="398" w:type="pct"/>
            <w:tcBorders>
              <w:top w:val="nil"/>
              <w:left w:val="nil"/>
              <w:bottom w:val="nil"/>
              <w:right w:val="nil"/>
            </w:tcBorders>
            <w:shd w:val="clear" w:color="auto" w:fill="auto"/>
            <w:noWrap/>
            <w:vAlign w:val="bottom"/>
            <w:hideMark/>
          </w:tcPr>
          <w:p w14:paraId="11F0A4E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19 512</w:t>
            </w:r>
          </w:p>
        </w:tc>
        <w:tc>
          <w:tcPr>
            <w:tcW w:w="398" w:type="pct"/>
            <w:tcBorders>
              <w:top w:val="nil"/>
              <w:left w:val="nil"/>
              <w:bottom w:val="nil"/>
              <w:right w:val="nil"/>
            </w:tcBorders>
            <w:shd w:val="clear" w:color="auto" w:fill="auto"/>
            <w:noWrap/>
            <w:vAlign w:val="bottom"/>
            <w:hideMark/>
          </w:tcPr>
          <w:p w14:paraId="57F291B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8 451</w:t>
            </w:r>
          </w:p>
        </w:tc>
        <w:tc>
          <w:tcPr>
            <w:tcW w:w="398" w:type="pct"/>
            <w:tcBorders>
              <w:top w:val="nil"/>
              <w:left w:val="nil"/>
              <w:bottom w:val="nil"/>
              <w:right w:val="nil"/>
            </w:tcBorders>
            <w:shd w:val="clear" w:color="auto" w:fill="auto"/>
            <w:noWrap/>
            <w:vAlign w:val="bottom"/>
            <w:hideMark/>
          </w:tcPr>
          <w:p w14:paraId="0FCC55D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58 237</w:t>
            </w:r>
          </w:p>
        </w:tc>
        <w:tc>
          <w:tcPr>
            <w:tcW w:w="398" w:type="pct"/>
            <w:tcBorders>
              <w:top w:val="nil"/>
              <w:left w:val="nil"/>
              <w:bottom w:val="nil"/>
              <w:right w:val="nil"/>
            </w:tcBorders>
            <w:shd w:val="clear" w:color="auto" w:fill="auto"/>
            <w:noWrap/>
            <w:vAlign w:val="bottom"/>
            <w:hideMark/>
          </w:tcPr>
          <w:p w14:paraId="2D05324E"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63 799</w:t>
            </w:r>
          </w:p>
        </w:tc>
      </w:tr>
      <w:tr w:rsidR="00DD531B" w:rsidRPr="00DD531B" w14:paraId="06B0C34F" w14:textId="77777777" w:rsidTr="001F24AE">
        <w:trPr>
          <w:trHeight w:val="300"/>
        </w:trPr>
        <w:tc>
          <w:tcPr>
            <w:tcW w:w="2216" w:type="pct"/>
            <w:tcBorders>
              <w:top w:val="nil"/>
              <w:left w:val="nil"/>
              <w:bottom w:val="nil"/>
              <w:right w:val="nil"/>
            </w:tcBorders>
            <w:shd w:val="clear" w:color="auto" w:fill="auto"/>
            <w:noWrap/>
            <w:vAlign w:val="center"/>
            <w:hideMark/>
          </w:tcPr>
          <w:p w14:paraId="134181FD" w14:textId="77777777" w:rsidR="00DD531B" w:rsidRPr="00DD531B" w:rsidRDefault="00DD531B" w:rsidP="00DD531B">
            <w:pPr>
              <w:spacing w:after="0" w:line="240" w:lineRule="auto"/>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zdroj Plán obnovy a odolnosti , v tom:</w:t>
            </w:r>
          </w:p>
        </w:tc>
        <w:tc>
          <w:tcPr>
            <w:tcW w:w="398" w:type="pct"/>
            <w:tcBorders>
              <w:top w:val="nil"/>
              <w:left w:val="nil"/>
              <w:bottom w:val="nil"/>
              <w:right w:val="nil"/>
            </w:tcBorders>
            <w:shd w:val="clear" w:color="auto" w:fill="auto"/>
            <w:noWrap/>
            <w:vAlign w:val="bottom"/>
            <w:hideMark/>
          </w:tcPr>
          <w:p w14:paraId="53249103"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0</w:t>
            </w:r>
          </w:p>
        </w:tc>
        <w:tc>
          <w:tcPr>
            <w:tcW w:w="398" w:type="pct"/>
            <w:tcBorders>
              <w:top w:val="nil"/>
              <w:left w:val="nil"/>
              <w:bottom w:val="nil"/>
              <w:right w:val="nil"/>
            </w:tcBorders>
            <w:shd w:val="clear" w:color="auto" w:fill="auto"/>
            <w:noWrap/>
            <w:vAlign w:val="bottom"/>
            <w:hideMark/>
          </w:tcPr>
          <w:p w14:paraId="3CDC1295"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0</w:t>
            </w:r>
          </w:p>
        </w:tc>
        <w:tc>
          <w:tcPr>
            <w:tcW w:w="398" w:type="pct"/>
            <w:tcBorders>
              <w:top w:val="nil"/>
              <w:left w:val="nil"/>
              <w:bottom w:val="nil"/>
              <w:right w:val="nil"/>
            </w:tcBorders>
            <w:shd w:val="clear" w:color="auto" w:fill="auto"/>
            <w:noWrap/>
            <w:vAlign w:val="bottom"/>
            <w:hideMark/>
          </w:tcPr>
          <w:p w14:paraId="61C1A695"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152 040</w:t>
            </w:r>
          </w:p>
        </w:tc>
        <w:tc>
          <w:tcPr>
            <w:tcW w:w="398" w:type="pct"/>
            <w:tcBorders>
              <w:top w:val="nil"/>
              <w:left w:val="nil"/>
              <w:bottom w:val="nil"/>
              <w:right w:val="nil"/>
            </w:tcBorders>
            <w:shd w:val="clear" w:color="auto" w:fill="auto"/>
            <w:noWrap/>
            <w:vAlign w:val="bottom"/>
            <w:hideMark/>
          </w:tcPr>
          <w:p w14:paraId="5D2094C5"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0</w:t>
            </w:r>
          </w:p>
        </w:tc>
        <w:tc>
          <w:tcPr>
            <w:tcW w:w="398" w:type="pct"/>
            <w:tcBorders>
              <w:top w:val="nil"/>
              <w:left w:val="nil"/>
              <w:bottom w:val="nil"/>
              <w:right w:val="nil"/>
            </w:tcBorders>
            <w:shd w:val="clear" w:color="auto" w:fill="auto"/>
            <w:noWrap/>
            <w:vAlign w:val="bottom"/>
            <w:hideMark/>
          </w:tcPr>
          <w:p w14:paraId="45F81FF5"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178 129</w:t>
            </w:r>
          </w:p>
        </w:tc>
        <w:tc>
          <w:tcPr>
            <w:tcW w:w="398" w:type="pct"/>
            <w:tcBorders>
              <w:top w:val="nil"/>
              <w:left w:val="nil"/>
              <w:bottom w:val="nil"/>
              <w:right w:val="nil"/>
            </w:tcBorders>
            <w:shd w:val="clear" w:color="auto" w:fill="auto"/>
            <w:noWrap/>
            <w:vAlign w:val="bottom"/>
            <w:hideMark/>
          </w:tcPr>
          <w:p w14:paraId="5AEEE467"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432 620</w:t>
            </w:r>
          </w:p>
        </w:tc>
        <w:tc>
          <w:tcPr>
            <w:tcW w:w="398" w:type="pct"/>
            <w:tcBorders>
              <w:top w:val="nil"/>
              <w:left w:val="nil"/>
              <w:bottom w:val="nil"/>
              <w:right w:val="nil"/>
            </w:tcBorders>
            <w:shd w:val="clear" w:color="auto" w:fill="auto"/>
            <w:noWrap/>
            <w:vAlign w:val="bottom"/>
            <w:hideMark/>
          </w:tcPr>
          <w:p w14:paraId="19BD1A90"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144 833</w:t>
            </w:r>
          </w:p>
        </w:tc>
      </w:tr>
      <w:tr w:rsidR="00DD531B" w:rsidRPr="00DD531B" w14:paraId="77F44CA1" w14:textId="77777777" w:rsidTr="001F24AE">
        <w:trPr>
          <w:trHeight w:val="300"/>
        </w:trPr>
        <w:tc>
          <w:tcPr>
            <w:tcW w:w="2216" w:type="pct"/>
            <w:tcBorders>
              <w:top w:val="nil"/>
              <w:left w:val="nil"/>
              <w:bottom w:val="nil"/>
              <w:right w:val="nil"/>
            </w:tcBorders>
            <w:shd w:val="clear" w:color="auto" w:fill="auto"/>
            <w:noWrap/>
            <w:vAlign w:val="bottom"/>
            <w:hideMark/>
          </w:tcPr>
          <w:p w14:paraId="46415BA1"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prostriedky POO</w:t>
            </w:r>
          </w:p>
        </w:tc>
        <w:tc>
          <w:tcPr>
            <w:tcW w:w="398" w:type="pct"/>
            <w:tcBorders>
              <w:top w:val="nil"/>
              <w:left w:val="nil"/>
              <w:bottom w:val="nil"/>
              <w:right w:val="nil"/>
            </w:tcBorders>
            <w:shd w:val="clear" w:color="auto" w:fill="auto"/>
            <w:noWrap/>
            <w:vAlign w:val="bottom"/>
            <w:hideMark/>
          </w:tcPr>
          <w:p w14:paraId="5465169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98" w:type="pct"/>
            <w:tcBorders>
              <w:top w:val="nil"/>
              <w:left w:val="nil"/>
              <w:bottom w:val="nil"/>
              <w:right w:val="nil"/>
            </w:tcBorders>
            <w:shd w:val="clear" w:color="auto" w:fill="auto"/>
            <w:noWrap/>
            <w:vAlign w:val="bottom"/>
            <w:hideMark/>
          </w:tcPr>
          <w:p w14:paraId="4520764C"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98" w:type="pct"/>
            <w:tcBorders>
              <w:top w:val="nil"/>
              <w:left w:val="nil"/>
              <w:bottom w:val="nil"/>
              <w:right w:val="nil"/>
            </w:tcBorders>
            <w:shd w:val="clear" w:color="auto" w:fill="auto"/>
            <w:noWrap/>
            <w:vAlign w:val="bottom"/>
            <w:hideMark/>
          </w:tcPr>
          <w:p w14:paraId="09671A7A"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146 591</w:t>
            </w:r>
          </w:p>
        </w:tc>
        <w:tc>
          <w:tcPr>
            <w:tcW w:w="398" w:type="pct"/>
            <w:tcBorders>
              <w:top w:val="nil"/>
              <w:left w:val="nil"/>
              <w:bottom w:val="nil"/>
              <w:right w:val="nil"/>
            </w:tcBorders>
            <w:shd w:val="clear" w:color="auto" w:fill="auto"/>
            <w:noWrap/>
            <w:vAlign w:val="bottom"/>
            <w:hideMark/>
          </w:tcPr>
          <w:p w14:paraId="536F7E2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98" w:type="pct"/>
            <w:tcBorders>
              <w:top w:val="nil"/>
              <w:left w:val="nil"/>
              <w:bottom w:val="nil"/>
              <w:right w:val="nil"/>
            </w:tcBorders>
            <w:shd w:val="clear" w:color="auto" w:fill="auto"/>
            <w:noWrap/>
            <w:vAlign w:val="bottom"/>
            <w:hideMark/>
          </w:tcPr>
          <w:p w14:paraId="7746A09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164 267</w:t>
            </w:r>
          </w:p>
        </w:tc>
        <w:tc>
          <w:tcPr>
            <w:tcW w:w="398" w:type="pct"/>
            <w:tcBorders>
              <w:top w:val="nil"/>
              <w:left w:val="nil"/>
              <w:bottom w:val="nil"/>
              <w:right w:val="nil"/>
            </w:tcBorders>
            <w:shd w:val="clear" w:color="auto" w:fill="auto"/>
            <w:noWrap/>
            <w:vAlign w:val="bottom"/>
            <w:hideMark/>
          </w:tcPr>
          <w:p w14:paraId="6B8B8A3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411 129</w:t>
            </w:r>
          </w:p>
        </w:tc>
        <w:tc>
          <w:tcPr>
            <w:tcW w:w="398" w:type="pct"/>
            <w:tcBorders>
              <w:top w:val="nil"/>
              <w:left w:val="nil"/>
              <w:bottom w:val="nil"/>
              <w:right w:val="nil"/>
            </w:tcBorders>
            <w:shd w:val="clear" w:color="auto" w:fill="auto"/>
            <w:noWrap/>
            <w:vAlign w:val="bottom"/>
            <w:hideMark/>
          </w:tcPr>
          <w:p w14:paraId="63420CDC"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142 470</w:t>
            </w:r>
          </w:p>
        </w:tc>
      </w:tr>
      <w:tr w:rsidR="00DD531B" w:rsidRPr="00DD531B" w14:paraId="3716A2C3" w14:textId="77777777" w:rsidTr="001F24AE">
        <w:trPr>
          <w:trHeight w:val="300"/>
        </w:trPr>
        <w:tc>
          <w:tcPr>
            <w:tcW w:w="2216" w:type="pct"/>
            <w:tcBorders>
              <w:top w:val="nil"/>
              <w:left w:val="nil"/>
              <w:bottom w:val="nil"/>
              <w:right w:val="nil"/>
            </w:tcBorders>
            <w:shd w:val="clear" w:color="auto" w:fill="auto"/>
            <w:noWrap/>
            <w:vAlign w:val="bottom"/>
            <w:hideMark/>
          </w:tcPr>
          <w:p w14:paraId="722CAE3A"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DPH k POO</w:t>
            </w:r>
          </w:p>
        </w:tc>
        <w:tc>
          <w:tcPr>
            <w:tcW w:w="398" w:type="pct"/>
            <w:tcBorders>
              <w:top w:val="nil"/>
              <w:left w:val="nil"/>
              <w:bottom w:val="nil"/>
              <w:right w:val="nil"/>
            </w:tcBorders>
            <w:shd w:val="clear" w:color="auto" w:fill="auto"/>
            <w:noWrap/>
            <w:vAlign w:val="bottom"/>
            <w:hideMark/>
          </w:tcPr>
          <w:p w14:paraId="3724DD1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98" w:type="pct"/>
            <w:tcBorders>
              <w:top w:val="nil"/>
              <w:left w:val="nil"/>
              <w:bottom w:val="nil"/>
              <w:right w:val="nil"/>
            </w:tcBorders>
            <w:shd w:val="clear" w:color="auto" w:fill="auto"/>
            <w:noWrap/>
            <w:vAlign w:val="bottom"/>
            <w:hideMark/>
          </w:tcPr>
          <w:p w14:paraId="1C424BC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98" w:type="pct"/>
            <w:tcBorders>
              <w:top w:val="nil"/>
              <w:left w:val="nil"/>
              <w:bottom w:val="nil"/>
              <w:right w:val="nil"/>
            </w:tcBorders>
            <w:shd w:val="clear" w:color="auto" w:fill="auto"/>
            <w:noWrap/>
            <w:vAlign w:val="bottom"/>
            <w:hideMark/>
          </w:tcPr>
          <w:p w14:paraId="36616F9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5 449</w:t>
            </w:r>
          </w:p>
        </w:tc>
        <w:tc>
          <w:tcPr>
            <w:tcW w:w="398" w:type="pct"/>
            <w:tcBorders>
              <w:top w:val="nil"/>
              <w:left w:val="nil"/>
              <w:bottom w:val="nil"/>
              <w:right w:val="nil"/>
            </w:tcBorders>
            <w:shd w:val="clear" w:color="auto" w:fill="auto"/>
            <w:noWrap/>
            <w:vAlign w:val="bottom"/>
            <w:hideMark/>
          </w:tcPr>
          <w:p w14:paraId="53023E48"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98" w:type="pct"/>
            <w:tcBorders>
              <w:top w:val="nil"/>
              <w:left w:val="nil"/>
              <w:bottom w:val="nil"/>
              <w:right w:val="nil"/>
            </w:tcBorders>
            <w:shd w:val="clear" w:color="auto" w:fill="auto"/>
            <w:noWrap/>
            <w:vAlign w:val="bottom"/>
            <w:hideMark/>
          </w:tcPr>
          <w:p w14:paraId="181C2EDE"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13 862</w:t>
            </w:r>
          </w:p>
        </w:tc>
        <w:tc>
          <w:tcPr>
            <w:tcW w:w="398" w:type="pct"/>
            <w:tcBorders>
              <w:top w:val="nil"/>
              <w:left w:val="nil"/>
              <w:bottom w:val="nil"/>
              <w:right w:val="nil"/>
            </w:tcBorders>
            <w:shd w:val="clear" w:color="auto" w:fill="auto"/>
            <w:noWrap/>
            <w:vAlign w:val="bottom"/>
            <w:hideMark/>
          </w:tcPr>
          <w:p w14:paraId="0C3EC4E8"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21 491</w:t>
            </w:r>
          </w:p>
        </w:tc>
        <w:tc>
          <w:tcPr>
            <w:tcW w:w="398" w:type="pct"/>
            <w:tcBorders>
              <w:top w:val="nil"/>
              <w:left w:val="nil"/>
              <w:bottom w:val="nil"/>
              <w:right w:val="nil"/>
            </w:tcBorders>
            <w:shd w:val="clear" w:color="auto" w:fill="auto"/>
            <w:noWrap/>
            <w:vAlign w:val="bottom"/>
            <w:hideMark/>
          </w:tcPr>
          <w:p w14:paraId="5F14ABFB"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2 364</w:t>
            </w:r>
          </w:p>
        </w:tc>
      </w:tr>
      <w:tr w:rsidR="00DD531B" w:rsidRPr="00DD531B" w14:paraId="1505AE95" w14:textId="77777777" w:rsidTr="001F24AE">
        <w:trPr>
          <w:trHeight w:val="300"/>
        </w:trPr>
        <w:tc>
          <w:tcPr>
            <w:tcW w:w="2216" w:type="pct"/>
            <w:tcBorders>
              <w:top w:val="nil"/>
              <w:left w:val="nil"/>
              <w:bottom w:val="nil"/>
              <w:right w:val="nil"/>
            </w:tcBorders>
            <w:shd w:val="clear" w:color="auto" w:fill="auto"/>
            <w:noWrap/>
            <w:vAlign w:val="bottom"/>
            <w:hideMark/>
          </w:tcPr>
          <w:p w14:paraId="7A6EDFDD" w14:textId="77777777" w:rsidR="00DD531B" w:rsidRPr="00DD531B" w:rsidRDefault="00DD531B" w:rsidP="00DD531B">
            <w:pPr>
              <w:spacing w:after="0" w:line="240" w:lineRule="auto"/>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presun z minulých rokov § 8, v tom:</w:t>
            </w:r>
          </w:p>
        </w:tc>
        <w:tc>
          <w:tcPr>
            <w:tcW w:w="398" w:type="pct"/>
            <w:tcBorders>
              <w:top w:val="nil"/>
              <w:left w:val="nil"/>
              <w:bottom w:val="nil"/>
              <w:right w:val="nil"/>
            </w:tcBorders>
            <w:shd w:val="clear" w:color="auto" w:fill="auto"/>
            <w:noWrap/>
            <w:vAlign w:val="bottom"/>
            <w:hideMark/>
          </w:tcPr>
          <w:p w14:paraId="0A8F1700"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286 529</w:t>
            </w:r>
          </w:p>
        </w:tc>
        <w:tc>
          <w:tcPr>
            <w:tcW w:w="398" w:type="pct"/>
            <w:tcBorders>
              <w:top w:val="nil"/>
              <w:left w:val="nil"/>
              <w:bottom w:val="nil"/>
              <w:right w:val="nil"/>
            </w:tcBorders>
            <w:shd w:val="clear" w:color="auto" w:fill="auto"/>
            <w:noWrap/>
            <w:vAlign w:val="bottom"/>
            <w:hideMark/>
          </w:tcPr>
          <w:p w14:paraId="2E721C44"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409 663</w:t>
            </w:r>
          </w:p>
        </w:tc>
        <w:tc>
          <w:tcPr>
            <w:tcW w:w="398" w:type="pct"/>
            <w:tcBorders>
              <w:top w:val="nil"/>
              <w:left w:val="nil"/>
              <w:bottom w:val="nil"/>
              <w:right w:val="nil"/>
            </w:tcBorders>
            <w:shd w:val="clear" w:color="auto" w:fill="auto"/>
            <w:noWrap/>
            <w:vAlign w:val="bottom"/>
            <w:hideMark/>
          </w:tcPr>
          <w:p w14:paraId="6AB31832"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0</w:t>
            </w:r>
          </w:p>
        </w:tc>
        <w:tc>
          <w:tcPr>
            <w:tcW w:w="398" w:type="pct"/>
            <w:tcBorders>
              <w:top w:val="nil"/>
              <w:left w:val="nil"/>
              <w:bottom w:val="nil"/>
              <w:right w:val="nil"/>
            </w:tcBorders>
            <w:shd w:val="clear" w:color="auto" w:fill="auto"/>
            <w:noWrap/>
            <w:vAlign w:val="bottom"/>
            <w:hideMark/>
          </w:tcPr>
          <w:p w14:paraId="73B4188B"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953 843</w:t>
            </w:r>
          </w:p>
        </w:tc>
        <w:tc>
          <w:tcPr>
            <w:tcW w:w="398" w:type="pct"/>
            <w:tcBorders>
              <w:top w:val="nil"/>
              <w:left w:val="nil"/>
              <w:bottom w:val="nil"/>
              <w:right w:val="nil"/>
            </w:tcBorders>
            <w:shd w:val="clear" w:color="auto" w:fill="auto"/>
            <w:noWrap/>
            <w:vAlign w:val="bottom"/>
            <w:hideMark/>
          </w:tcPr>
          <w:p w14:paraId="5F1E794A"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0</w:t>
            </w:r>
          </w:p>
        </w:tc>
        <w:tc>
          <w:tcPr>
            <w:tcW w:w="398" w:type="pct"/>
            <w:tcBorders>
              <w:top w:val="nil"/>
              <w:left w:val="nil"/>
              <w:bottom w:val="nil"/>
              <w:right w:val="nil"/>
            </w:tcBorders>
            <w:shd w:val="clear" w:color="auto" w:fill="auto"/>
            <w:noWrap/>
            <w:vAlign w:val="bottom"/>
            <w:hideMark/>
          </w:tcPr>
          <w:p w14:paraId="2F200232"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0</w:t>
            </w:r>
          </w:p>
        </w:tc>
        <w:tc>
          <w:tcPr>
            <w:tcW w:w="398" w:type="pct"/>
            <w:tcBorders>
              <w:top w:val="nil"/>
              <w:left w:val="nil"/>
              <w:bottom w:val="nil"/>
              <w:right w:val="nil"/>
            </w:tcBorders>
            <w:shd w:val="clear" w:color="auto" w:fill="auto"/>
            <w:noWrap/>
            <w:vAlign w:val="bottom"/>
            <w:hideMark/>
          </w:tcPr>
          <w:p w14:paraId="7A010ABB"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0</w:t>
            </w:r>
          </w:p>
        </w:tc>
      </w:tr>
      <w:tr w:rsidR="00DD531B" w:rsidRPr="00DD531B" w14:paraId="7A794EF7" w14:textId="77777777" w:rsidTr="001F24AE">
        <w:trPr>
          <w:trHeight w:val="300"/>
        </w:trPr>
        <w:tc>
          <w:tcPr>
            <w:tcW w:w="2216" w:type="pct"/>
            <w:tcBorders>
              <w:top w:val="nil"/>
              <w:left w:val="nil"/>
              <w:bottom w:val="nil"/>
              <w:right w:val="nil"/>
            </w:tcBorders>
            <w:shd w:val="clear" w:color="auto" w:fill="auto"/>
            <w:noWrap/>
            <w:vAlign w:val="bottom"/>
            <w:hideMark/>
          </w:tcPr>
          <w:p w14:paraId="16074D58"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štátny rozpočet</w:t>
            </w:r>
          </w:p>
        </w:tc>
        <w:tc>
          <w:tcPr>
            <w:tcW w:w="398" w:type="pct"/>
            <w:tcBorders>
              <w:top w:val="nil"/>
              <w:left w:val="nil"/>
              <w:bottom w:val="nil"/>
              <w:right w:val="nil"/>
            </w:tcBorders>
            <w:shd w:val="clear" w:color="auto" w:fill="auto"/>
            <w:noWrap/>
            <w:vAlign w:val="bottom"/>
            <w:hideMark/>
          </w:tcPr>
          <w:p w14:paraId="312ED9D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86 181</w:t>
            </w:r>
          </w:p>
        </w:tc>
        <w:tc>
          <w:tcPr>
            <w:tcW w:w="398" w:type="pct"/>
            <w:tcBorders>
              <w:top w:val="nil"/>
              <w:left w:val="nil"/>
              <w:bottom w:val="nil"/>
              <w:right w:val="nil"/>
            </w:tcBorders>
            <w:shd w:val="clear" w:color="auto" w:fill="auto"/>
            <w:noWrap/>
            <w:vAlign w:val="bottom"/>
            <w:hideMark/>
          </w:tcPr>
          <w:p w14:paraId="6D67379C"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141 209</w:t>
            </w:r>
          </w:p>
        </w:tc>
        <w:tc>
          <w:tcPr>
            <w:tcW w:w="398" w:type="pct"/>
            <w:tcBorders>
              <w:top w:val="nil"/>
              <w:left w:val="nil"/>
              <w:bottom w:val="nil"/>
              <w:right w:val="nil"/>
            </w:tcBorders>
            <w:shd w:val="clear" w:color="auto" w:fill="auto"/>
            <w:noWrap/>
            <w:vAlign w:val="bottom"/>
            <w:hideMark/>
          </w:tcPr>
          <w:p w14:paraId="2BCD523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98" w:type="pct"/>
            <w:tcBorders>
              <w:top w:val="nil"/>
              <w:left w:val="nil"/>
              <w:bottom w:val="nil"/>
              <w:right w:val="nil"/>
            </w:tcBorders>
            <w:shd w:val="clear" w:color="auto" w:fill="auto"/>
            <w:noWrap/>
            <w:vAlign w:val="bottom"/>
            <w:hideMark/>
          </w:tcPr>
          <w:p w14:paraId="7ED7A2E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89 304</w:t>
            </w:r>
          </w:p>
        </w:tc>
        <w:tc>
          <w:tcPr>
            <w:tcW w:w="398" w:type="pct"/>
            <w:tcBorders>
              <w:top w:val="nil"/>
              <w:left w:val="nil"/>
              <w:bottom w:val="nil"/>
              <w:right w:val="nil"/>
            </w:tcBorders>
            <w:shd w:val="clear" w:color="auto" w:fill="auto"/>
            <w:noWrap/>
            <w:vAlign w:val="bottom"/>
            <w:hideMark/>
          </w:tcPr>
          <w:p w14:paraId="3190739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98" w:type="pct"/>
            <w:tcBorders>
              <w:top w:val="nil"/>
              <w:left w:val="nil"/>
              <w:bottom w:val="nil"/>
              <w:right w:val="nil"/>
            </w:tcBorders>
            <w:shd w:val="clear" w:color="auto" w:fill="auto"/>
            <w:noWrap/>
            <w:vAlign w:val="bottom"/>
            <w:hideMark/>
          </w:tcPr>
          <w:p w14:paraId="0DAF70C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98" w:type="pct"/>
            <w:tcBorders>
              <w:top w:val="nil"/>
              <w:left w:val="nil"/>
              <w:bottom w:val="nil"/>
              <w:right w:val="nil"/>
            </w:tcBorders>
            <w:shd w:val="clear" w:color="auto" w:fill="auto"/>
            <w:noWrap/>
            <w:vAlign w:val="bottom"/>
            <w:hideMark/>
          </w:tcPr>
          <w:p w14:paraId="1E854A1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r>
      <w:tr w:rsidR="00DD531B" w:rsidRPr="00DD531B" w14:paraId="70E0E352" w14:textId="77777777" w:rsidTr="001F24AE">
        <w:trPr>
          <w:trHeight w:val="300"/>
        </w:trPr>
        <w:tc>
          <w:tcPr>
            <w:tcW w:w="2216" w:type="pct"/>
            <w:tcBorders>
              <w:top w:val="nil"/>
              <w:left w:val="nil"/>
              <w:bottom w:val="nil"/>
              <w:right w:val="nil"/>
            </w:tcBorders>
            <w:shd w:val="clear" w:color="auto" w:fill="auto"/>
            <w:noWrap/>
            <w:vAlign w:val="bottom"/>
            <w:hideMark/>
          </w:tcPr>
          <w:p w14:paraId="1AD7536B"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prostriedky EÚ a spolufinancovanie zo ŠR</w:t>
            </w:r>
          </w:p>
        </w:tc>
        <w:tc>
          <w:tcPr>
            <w:tcW w:w="398" w:type="pct"/>
            <w:tcBorders>
              <w:top w:val="nil"/>
              <w:left w:val="nil"/>
              <w:bottom w:val="nil"/>
              <w:right w:val="nil"/>
            </w:tcBorders>
            <w:shd w:val="clear" w:color="auto" w:fill="auto"/>
            <w:noWrap/>
            <w:vAlign w:val="bottom"/>
            <w:hideMark/>
          </w:tcPr>
          <w:p w14:paraId="51A7E2B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200 348</w:t>
            </w:r>
          </w:p>
        </w:tc>
        <w:tc>
          <w:tcPr>
            <w:tcW w:w="398" w:type="pct"/>
            <w:tcBorders>
              <w:top w:val="nil"/>
              <w:left w:val="nil"/>
              <w:bottom w:val="nil"/>
              <w:right w:val="nil"/>
            </w:tcBorders>
            <w:shd w:val="clear" w:color="auto" w:fill="auto"/>
            <w:noWrap/>
            <w:vAlign w:val="bottom"/>
            <w:hideMark/>
          </w:tcPr>
          <w:p w14:paraId="30B2A00A"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268 454</w:t>
            </w:r>
          </w:p>
        </w:tc>
        <w:tc>
          <w:tcPr>
            <w:tcW w:w="398" w:type="pct"/>
            <w:tcBorders>
              <w:top w:val="nil"/>
              <w:left w:val="nil"/>
              <w:bottom w:val="nil"/>
              <w:right w:val="nil"/>
            </w:tcBorders>
            <w:shd w:val="clear" w:color="auto" w:fill="auto"/>
            <w:noWrap/>
            <w:vAlign w:val="bottom"/>
            <w:hideMark/>
          </w:tcPr>
          <w:p w14:paraId="4FB273A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98" w:type="pct"/>
            <w:tcBorders>
              <w:top w:val="nil"/>
              <w:left w:val="nil"/>
              <w:bottom w:val="nil"/>
              <w:right w:val="nil"/>
            </w:tcBorders>
            <w:shd w:val="clear" w:color="auto" w:fill="auto"/>
            <w:noWrap/>
            <w:vAlign w:val="bottom"/>
            <w:hideMark/>
          </w:tcPr>
          <w:p w14:paraId="0C0AB2B8"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856 837</w:t>
            </w:r>
          </w:p>
        </w:tc>
        <w:tc>
          <w:tcPr>
            <w:tcW w:w="398" w:type="pct"/>
            <w:tcBorders>
              <w:top w:val="nil"/>
              <w:left w:val="nil"/>
              <w:bottom w:val="nil"/>
              <w:right w:val="nil"/>
            </w:tcBorders>
            <w:shd w:val="clear" w:color="auto" w:fill="auto"/>
            <w:noWrap/>
            <w:vAlign w:val="bottom"/>
            <w:hideMark/>
          </w:tcPr>
          <w:p w14:paraId="1176FE6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98" w:type="pct"/>
            <w:tcBorders>
              <w:top w:val="nil"/>
              <w:left w:val="nil"/>
              <w:bottom w:val="nil"/>
              <w:right w:val="nil"/>
            </w:tcBorders>
            <w:shd w:val="clear" w:color="auto" w:fill="auto"/>
            <w:noWrap/>
            <w:vAlign w:val="bottom"/>
            <w:hideMark/>
          </w:tcPr>
          <w:p w14:paraId="1D0AB32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98" w:type="pct"/>
            <w:tcBorders>
              <w:top w:val="nil"/>
              <w:left w:val="nil"/>
              <w:bottom w:val="nil"/>
              <w:right w:val="nil"/>
            </w:tcBorders>
            <w:shd w:val="clear" w:color="auto" w:fill="auto"/>
            <w:noWrap/>
            <w:vAlign w:val="bottom"/>
            <w:hideMark/>
          </w:tcPr>
          <w:p w14:paraId="3E878AB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r>
      <w:tr w:rsidR="00DD531B" w:rsidRPr="00DD531B" w14:paraId="424AA1F0" w14:textId="77777777" w:rsidTr="001F24AE">
        <w:trPr>
          <w:trHeight w:val="300"/>
        </w:trPr>
        <w:tc>
          <w:tcPr>
            <w:tcW w:w="2216" w:type="pct"/>
            <w:tcBorders>
              <w:top w:val="nil"/>
              <w:left w:val="nil"/>
              <w:bottom w:val="nil"/>
              <w:right w:val="nil"/>
            </w:tcBorders>
            <w:shd w:val="clear" w:color="auto" w:fill="auto"/>
            <w:noWrap/>
            <w:vAlign w:val="bottom"/>
            <w:hideMark/>
          </w:tcPr>
          <w:p w14:paraId="7E7DA903"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prostriedky POO a DPH k POO</w:t>
            </w:r>
          </w:p>
        </w:tc>
        <w:tc>
          <w:tcPr>
            <w:tcW w:w="398" w:type="pct"/>
            <w:tcBorders>
              <w:top w:val="nil"/>
              <w:left w:val="nil"/>
              <w:bottom w:val="nil"/>
              <w:right w:val="nil"/>
            </w:tcBorders>
            <w:shd w:val="clear" w:color="auto" w:fill="auto"/>
            <w:noWrap/>
            <w:vAlign w:val="bottom"/>
            <w:hideMark/>
          </w:tcPr>
          <w:p w14:paraId="35C9CB68"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98" w:type="pct"/>
            <w:tcBorders>
              <w:top w:val="nil"/>
              <w:left w:val="nil"/>
              <w:bottom w:val="nil"/>
              <w:right w:val="nil"/>
            </w:tcBorders>
            <w:shd w:val="clear" w:color="auto" w:fill="auto"/>
            <w:noWrap/>
            <w:vAlign w:val="bottom"/>
            <w:hideMark/>
          </w:tcPr>
          <w:p w14:paraId="198D1D3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98" w:type="pct"/>
            <w:tcBorders>
              <w:top w:val="nil"/>
              <w:left w:val="nil"/>
              <w:bottom w:val="nil"/>
              <w:right w:val="nil"/>
            </w:tcBorders>
            <w:shd w:val="clear" w:color="auto" w:fill="auto"/>
            <w:noWrap/>
            <w:vAlign w:val="bottom"/>
            <w:hideMark/>
          </w:tcPr>
          <w:p w14:paraId="55A7797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98" w:type="pct"/>
            <w:tcBorders>
              <w:top w:val="nil"/>
              <w:left w:val="nil"/>
              <w:bottom w:val="nil"/>
              <w:right w:val="nil"/>
            </w:tcBorders>
            <w:shd w:val="clear" w:color="auto" w:fill="auto"/>
            <w:noWrap/>
            <w:vAlign w:val="bottom"/>
            <w:hideMark/>
          </w:tcPr>
          <w:p w14:paraId="14EA941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7 703</w:t>
            </w:r>
          </w:p>
        </w:tc>
        <w:tc>
          <w:tcPr>
            <w:tcW w:w="398" w:type="pct"/>
            <w:tcBorders>
              <w:top w:val="nil"/>
              <w:left w:val="nil"/>
              <w:bottom w:val="nil"/>
              <w:right w:val="nil"/>
            </w:tcBorders>
            <w:shd w:val="clear" w:color="auto" w:fill="auto"/>
            <w:noWrap/>
            <w:vAlign w:val="bottom"/>
            <w:hideMark/>
          </w:tcPr>
          <w:p w14:paraId="063FADAB"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98" w:type="pct"/>
            <w:tcBorders>
              <w:top w:val="nil"/>
              <w:left w:val="nil"/>
              <w:bottom w:val="nil"/>
              <w:right w:val="nil"/>
            </w:tcBorders>
            <w:shd w:val="clear" w:color="auto" w:fill="auto"/>
            <w:noWrap/>
            <w:vAlign w:val="bottom"/>
            <w:hideMark/>
          </w:tcPr>
          <w:p w14:paraId="53F629E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398" w:type="pct"/>
            <w:tcBorders>
              <w:top w:val="nil"/>
              <w:left w:val="nil"/>
              <w:bottom w:val="nil"/>
              <w:right w:val="nil"/>
            </w:tcBorders>
            <w:shd w:val="clear" w:color="auto" w:fill="auto"/>
            <w:noWrap/>
            <w:vAlign w:val="bottom"/>
            <w:hideMark/>
          </w:tcPr>
          <w:p w14:paraId="25B23FE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r>
      <w:tr w:rsidR="00DD531B" w:rsidRPr="00DD531B" w14:paraId="63EF587F" w14:textId="77777777" w:rsidTr="001F24AE">
        <w:trPr>
          <w:trHeight w:val="300"/>
        </w:trPr>
        <w:tc>
          <w:tcPr>
            <w:tcW w:w="2216" w:type="pct"/>
            <w:tcBorders>
              <w:top w:val="nil"/>
              <w:left w:val="nil"/>
              <w:bottom w:val="single" w:sz="4" w:space="0" w:color="auto"/>
              <w:right w:val="nil"/>
            </w:tcBorders>
            <w:shd w:val="clear" w:color="auto" w:fill="auto"/>
            <w:noWrap/>
            <w:vAlign w:val="bottom"/>
            <w:hideMark/>
          </w:tcPr>
          <w:p w14:paraId="44335B4A" w14:textId="77777777" w:rsidR="00DD531B" w:rsidRPr="00DD531B" w:rsidRDefault="00DD531B" w:rsidP="00DD531B">
            <w:pPr>
              <w:spacing w:after="0" w:line="240" w:lineRule="auto"/>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prostriedky podľa § 17 ods. 4 a § 22 ods. 4 zákona č. 523/2004 Z. z.</w:t>
            </w:r>
          </w:p>
        </w:tc>
        <w:tc>
          <w:tcPr>
            <w:tcW w:w="398" w:type="pct"/>
            <w:tcBorders>
              <w:top w:val="nil"/>
              <w:left w:val="nil"/>
              <w:bottom w:val="single" w:sz="4" w:space="0" w:color="auto"/>
              <w:right w:val="nil"/>
            </w:tcBorders>
            <w:shd w:val="clear" w:color="auto" w:fill="auto"/>
            <w:noWrap/>
            <w:vAlign w:val="bottom"/>
            <w:hideMark/>
          </w:tcPr>
          <w:p w14:paraId="0141FD54"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124</w:t>
            </w:r>
          </w:p>
        </w:tc>
        <w:tc>
          <w:tcPr>
            <w:tcW w:w="398" w:type="pct"/>
            <w:tcBorders>
              <w:top w:val="nil"/>
              <w:left w:val="nil"/>
              <w:bottom w:val="single" w:sz="4" w:space="0" w:color="auto"/>
              <w:right w:val="nil"/>
            </w:tcBorders>
            <w:shd w:val="clear" w:color="auto" w:fill="auto"/>
            <w:noWrap/>
            <w:vAlign w:val="bottom"/>
            <w:hideMark/>
          </w:tcPr>
          <w:p w14:paraId="5BA03204"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211</w:t>
            </w:r>
          </w:p>
        </w:tc>
        <w:tc>
          <w:tcPr>
            <w:tcW w:w="398" w:type="pct"/>
            <w:tcBorders>
              <w:top w:val="nil"/>
              <w:left w:val="nil"/>
              <w:bottom w:val="single" w:sz="4" w:space="0" w:color="auto"/>
              <w:right w:val="nil"/>
            </w:tcBorders>
            <w:shd w:val="clear" w:color="auto" w:fill="auto"/>
            <w:noWrap/>
            <w:vAlign w:val="bottom"/>
            <w:hideMark/>
          </w:tcPr>
          <w:p w14:paraId="2BABADA1"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100</w:t>
            </w:r>
          </w:p>
        </w:tc>
        <w:tc>
          <w:tcPr>
            <w:tcW w:w="398" w:type="pct"/>
            <w:tcBorders>
              <w:top w:val="nil"/>
              <w:left w:val="nil"/>
              <w:bottom w:val="single" w:sz="4" w:space="0" w:color="auto"/>
              <w:right w:val="nil"/>
            </w:tcBorders>
            <w:shd w:val="clear" w:color="auto" w:fill="auto"/>
            <w:noWrap/>
            <w:vAlign w:val="bottom"/>
            <w:hideMark/>
          </w:tcPr>
          <w:p w14:paraId="7430C730"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106</w:t>
            </w:r>
          </w:p>
        </w:tc>
        <w:tc>
          <w:tcPr>
            <w:tcW w:w="398" w:type="pct"/>
            <w:tcBorders>
              <w:top w:val="nil"/>
              <w:left w:val="nil"/>
              <w:bottom w:val="single" w:sz="4" w:space="0" w:color="auto"/>
              <w:right w:val="nil"/>
            </w:tcBorders>
            <w:shd w:val="clear" w:color="auto" w:fill="auto"/>
            <w:noWrap/>
            <w:vAlign w:val="bottom"/>
            <w:hideMark/>
          </w:tcPr>
          <w:p w14:paraId="0E566424"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100</w:t>
            </w:r>
          </w:p>
        </w:tc>
        <w:tc>
          <w:tcPr>
            <w:tcW w:w="398" w:type="pct"/>
            <w:tcBorders>
              <w:top w:val="nil"/>
              <w:left w:val="nil"/>
              <w:bottom w:val="single" w:sz="4" w:space="0" w:color="auto"/>
              <w:right w:val="nil"/>
            </w:tcBorders>
            <w:shd w:val="clear" w:color="auto" w:fill="auto"/>
            <w:noWrap/>
            <w:vAlign w:val="bottom"/>
            <w:hideMark/>
          </w:tcPr>
          <w:p w14:paraId="234C7B8B"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100</w:t>
            </w:r>
          </w:p>
        </w:tc>
        <w:tc>
          <w:tcPr>
            <w:tcW w:w="398" w:type="pct"/>
            <w:tcBorders>
              <w:top w:val="nil"/>
              <w:left w:val="nil"/>
              <w:bottom w:val="single" w:sz="4" w:space="0" w:color="auto"/>
              <w:right w:val="nil"/>
            </w:tcBorders>
            <w:shd w:val="clear" w:color="auto" w:fill="auto"/>
            <w:noWrap/>
            <w:vAlign w:val="bottom"/>
            <w:hideMark/>
          </w:tcPr>
          <w:p w14:paraId="482C3B64"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0</w:t>
            </w:r>
          </w:p>
        </w:tc>
      </w:tr>
    </w:tbl>
    <w:p w14:paraId="7022F2ED" w14:textId="2084B260" w:rsidR="00DD531B" w:rsidRDefault="00DD531B" w:rsidP="00DD531B">
      <w:pPr>
        <w:rPr>
          <w:rFonts w:ascii="Times New Roman" w:eastAsia="Calibri" w:hAnsi="Times New Roman" w:cs="Times New Roman"/>
        </w:rPr>
      </w:pPr>
    </w:p>
    <w:p w14:paraId="1DBBCE71" w14:textId="535A4D66" w:rsidR="00661122" w:rsidRDefault="00661122" w:rsidP="00DD531B">
      <w:pPr>
        <w:rPr>
          <w:rFonts w:ascii="Times New Roman" w:eastAsia="Calibri" w:hAnsi="Times New Roman" w:cs="Times New Roman"/>
        </w:rPr>
      </w:pPr>
    </w:p>
    <w:p w14:paraId="4A5823FC" w14:textId="4DD9DA75" w:rsidR="00661122" w:rsidRDefault="00661122" w:rsidP="00DD531B">
      <w:pPr>
        <w:rPr>
          <w:rFonts w:ascii="Times New Roman" w:eastAsia="Calibri" w:hAnsi="Times New Roman" w:cs="Times New Roman"/>
        </w:rPr>
      </w:pPr>
    </w:p>
    <w:p w14:paraId="399EA5F4" w14:textId="47C596FC" w:rsidR="00661122" w:rsidRDefault="00661122" w:rsidP="00DD531B">
      <w:pPr>
        <w:rPr>
          <w:rFonts w:ascii="Times New Roman" w:eastAsia="Calibri" w:hAnsi="Times New Roman" w:cs="Times New Roman"/>
        </w:rPr>
      </w:pPr>
    </w:p>
    <w:p w14:paraId="023E2309" w14:textId="2DC4D14B" w:rsidR="00661122" w:rsidRDefault="00661122" w:rsidP="00DD531B">
      <w:pPr>
        <w:rPr>
          <w:rFonts w:ascii="Times New Roman" w:eastAsia="Calibri" w:hAnsi="Times New Roman" w:cs="Times New Roman"/>
        </w:rPr>
      </w:pPr>
    </w:p>
    <w:p w14:paraId="729DECEE" w14:textId="2B3676FC" w:rsidR="00661122" w:rsidRDefault="00661122" w:rsidP="00DD531B">
      <w:pPr>
        <w:rPr>
          <w:rFonts w:ascii="Times New Roman" w:eastAsia="Calibri" w:hAnsi="Times New Roman" w:cs="Times New Roman"/>
        </w:rPr>
      </w:pPr>
    </w:p>
    <w:p w14:paraId="637F74A4" w14:textId="180CBA94" w:rsidR="00661122" w:rsidRDefault="00661122" w:rsidP="00DD531B">
      <w:pPr>
        <w:rPr>
          <w:rFonts w:ascii="Times New Roman" w:eastAsia="Calibri" w:hAnsi="Times New Roman" w:cs="Times New Roman"/>
        </w:rPr>
      </w:pPr>
    </w:p>
    <w:p w14:paraId="3B5E7364" w14:textId="029D5182" w:rsidR="00661122" w:rsidRDefault="00661122" w:rsidP="00DD531B">
      <w:pPr>
        <w:rPr>
          <w:rFonts w:ascii="Times New Roman" w:eastAsia="Calibri" w:hAnsi="Times New Roman" w:cs="Times New Roman"/>
        </w:rPr>
      </w:pPr>
    </w:p>
    <w:p w14:paraId="684CA6A4" w14:textId="77777777" w:rsidR="00661122" w:rsidRPr="00DD531B" w:rsidRDefault="00661122" w:rsidP="00DD531B">
      <w:pPr>
        <w:rPr>
          <w:rFonts w:ascii="Times New Roman" w:eastAsia="Calibri" w:hAnsi="Times New Roman" w:cs="Times New Roman"/>
        </w:rPr>
      </w:pPr>
    </w:p>
    <w:p w14:paraId="07CE526E" w14:textId="77B73565" w:rsidR="00DD531B" w:rsidRPr="00661122" w:rsidRDefault="00DD531B" w:rsidP="00DD531B">
      <w:pPr>
        <w:keepNext/>
        <w:keepLines/>
        <w:spacing w:before="40" w:after="0"/>
        <w:outlineLvl w:val="1"/>
        <w:rPr>
          <w:rFonts w:ascii="Times New Roman" w:eastAsia="Times New Roman" w:hAnsi="Times New Roman" w:cs="Times New Roman"/>
          <w:b/>
          <w:color w:val="5B9BD5" w:themeColor="accent1"/>
          <w:sz w:val="24"/>
          <w:szCs w:val="24"/>
        </w:rPr>
      </w:pPr>
      <w:r w:rsidRPr="00661122">
        <w:rPr>
          <w:rFonts w:ascii="Times New Roman" w:eastAsia="Times New Roman" w:hAnsi="Times New Roman" w:cs="Times New Roman"/>
          <w:b/>
          <w:color w:val="5B9BD5" w:themeColor="accent1"/>
          <w:sz w:val="24"/>
          <w:szCs w:val="24"/>
        </w:rPr>
        <w:lastRenderedPageBreak/>
        <w:t>Úrad geodézie, kartografie a katastra SR</w:t>
      </w:r>
    </w:p>
    <w:p w14:paraId="113D01D5" w14:textId="77777777" w:rsidR="00DD531B" w:rsidRPr="00661122" w:rsidRDefault="00DD531B" w:rsidP="00DD531B">
      <w:pPr>
        <w:rPr>
          <w:rFonts w:ascii="Times New Roman" w:eastAsia="Calibri" w:hAnsi="Times New Roman" w:cs="Times New Roman"/>
          <w:color w:val="5B9BD5" w:themeColor="accent1"/>
        </w:rPr>
      </w:pPr>
    </w:p>
    <w:p w14:paraId="6C7C00DF" w14:textId="09D19221" w:rsidR="00DD531B" w:rsidRPr="00661122" w:rsidRDefault="00661122"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27" w:name="_Toc153013097"/>
      <w:r w:rsidRPr="00661122">
        <w:rPr>
          <w:rFonts w:ascii="Times New Roman" w:eastAsia="Times New Roman" w:hAnsi="Times New Roman" w:cs="Times New Roman"/>
          <w:b/>
          <w:iCs/>
          <w:color w:val="5B9BD5" w:themeColor="accent1"/>
          <w:sz w:val="20"/>
          <w:szCs w:val="20"/>
          <w:lang w:eastAsia="sk-SK"/>
        </w:rPr>
        <w:t xml:space="preserve">Tabuľka </w:t>
      </w:r>
      <w:r w:rsidRPr="00661122">
        <w:rPr>
          <w:rFonts w:ascii="Times New Roman" w:hAnsi="Times New Roman" w:cs="Times New Roman"/>
          <w:b/>
          <w:color w:val="5B9BD5" w:themeColor="accent1"/>
          <w:sz w:val="20"/>
          <w:szCs w:val="20"/>
        </w:rPr>
        <w:fldChar w:fldCharType="begin"/>
      </w:r>
      <w:r w:rsidRPr="00661122">
        <w:rPr>
          <w:rFonts w:ascii="Times New Roman" w:hAnsi="Times New Roman" w:cs="Times New Roman"/>
          <w:b/>
          <w:color w:val="5B9BD5" w:themeColor="accent1"/>
          <w:sz w:val="20"/>
          <w:szCs w:val="20"/>
        </w:rPr>
        <w:instrText xml:space="preserve"> SEQ Tabuľka \* ARABIC </w:instrText>
      </w:r>
      <w:r w:rsidRPr="00661122">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99</w:t>
      </w:r>
      <w:r w:rsidRPr="00661122">
        <w:rPr>
          <w:rFonts w:ascii="Times New Roman" w:hAnsi="Times New Roman" w:cs="Times New Roman"/>
          <w:b/>
          <w:color w:val="5B9BD5" w:themeColor="accent1"/>
          <w:sz w:val="20"/>
          <w:szCs w:val="20"/>
        </w:rPr>
        <w:fldChar w:fldCharType="end"/>
      </w:r>
      <w:r w:rsidRPr="00661122">
        <w:rPr>
          <w:rFonts w:ascii="Times New Roman" w:hAnsi="Times New Roman" w:cs="Times New Roman"/>
          <w:b/>
          <w:color w:val="5B9BD5" w:themeColor="accent1"/>
          <w:sz w:val="20"/>
          <w:szCs w:val="20"/>
        </w:rPr>
        <w:t xml:space="preserve"> - </w:t>
      </w:r>
      <w:r w:rsidR="00DD531B" w:rsidRPr="00661122">
        <w:rPr>
          <w:rFonts w:ascii="Times New Roman" w:eastAsia="Times New Roman" w:hAnsi="Times New Roman" w:cs="Times New Roman"/>
          <w:b/>
          <w:iCs/>
          <w:color w:val="5B9BD5" w:themeColor="accent1"/>
          <w:sz w:val="20"/>
          <w:szCs w:val="20"/>
          <w:lang w:eastAsia="sk-SK"/>
        </w:rPr>
        <w:t>Príjmy kapitoly ÚGKK SR</w:t>
      </w:r>
      <w:bookmarkEnd w:id="227"/>
    </w:p>
    <w:tbl>
      <w:tblPr>
        <w:tblW w:w="5000" w:type="pct"/>
        <w:tblCellMar>
          <w:left w:w="70" w:type="dxa"/>
          <w:right w:w="70" w:type="dxa"/>
        </w:tblCellMar>
        <w:tblLook w:val="04A0" w:firstRow="1" w:lastRow="0" w:firstColumn="1" w:lastColumn="0" w:noHBand="0" w:noVBand="1"/>
      </w:tblPr>
      <w:tblGrid>
        <w:gridCol w:w="4263"/>
        <w:gridCol w:w="654"/>
        <w:gridCol w:w="653"/>
        <w:gridCol w:w="675"/>
        <w:gridCol w:w="802"/>
        <w:gridCol w:w="675"/>
        <w:gridCol w:w="675"/>
        <w:gridCol w:w="675"/>
      </w:tblGrid>
      <w:tr w:rsidR="00DD531B" w:rsidRPr="00661122" w14:paraId="6686478A" w14:textId="77777777" w:rsidTr="001F24AE">
        <w:trPr>
          <w:trHeight w:val="300"/>
        </w:trPr>
        <w:tc>
          <w:tcPr>
            <w:tcW w:w="2349" w:type="pct"/>
            <w:tcBorders>
              <w:top w:val="single" w:sz="4" w:space="0" w:color="auto"/>
              <w:left w:val="nil"/>
              <w:bottom w:val="single" w:sz="4" w:space="0" w:color="auto"/>
              <w:right w:val="nil"/>
            </w:tcBorders>
            <w:shd w:val="clear" w:color="auto" w:fill="auto"/>
            <w:noWrap/>
            <w:vAlign w:val="center"/>
            <w:hideMark/>
          </w:tcPr>
          <w:p w14:paraId="6C3A6990" w14:textId="77777777" w:rsidR="00DD531B" w:rsidRPr="00661122" w:rsidRDefault="00DD531B" w:rsidP="00DD531B">
            <w:pPr>
              <w:spacing w:after="0" w:line="240" w:lineRule="auto"/>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v tis. eur</w:t>
            </w:r>
          </w:p>
        </w:tc>
        <w:tc>
          <w:tcPr>
            <w:tcW w:w="360" w:type="pct"/>
            <w:tcBorders>
              <w:top w:val="single" w:sz="4" w:space="0" w:color="auto"/>
              <w:left w:val="nil"/>
              <w:bottom w:val="single" w:sz="4" w:space="0" w:color="auto"/>
              <w:right w:val="nil"/>
            </w:tcBorders>
            <w:shd w:val="clear" w:color="auto" w:fill="auto"/>
            <w:noWrap/>
            <w:vAlign w:val="center"/>
            <w:hideMark/>
          </w:tcPr>
          <w:p w14:paraId="17F0B193"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2021 S</w:t>
            </w:r>
          </w:p>
        </w:tc>
        <w:tc>
          <w:tcPr>
            <w:tcW w:w="360" w:type="pct"/>
            <w:tcBorders>
              <w:top w:val="single" w:sz="4" w:space="0" w:color="auto"/>
              <w:left w:val="nil"/>
              <w:bottom w:val="single" w:sz="4" w:space="0" w:color="auto"/>
              <w:right w:val="nil"/>
            </w:tcBorders>
            <w:shd w:val="clear" w:color="auto" w:fill="auto"/>
            <w:noWrap/>
            <w:vAlign w:val="center"/>
            <w:hideMark/>
          </w:tcPr>
          <w:p w14:paraId="07D91C6A"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2022 S</w:t>
            </w:r>
          </w:p>
        </w:tc>
        <w:tc>
          <w:tcPr>
            <w:tcW w:w="372" w:type="pct"/>
            <w:tcBorders>
              <w:top w:val="single" w:sz="4" w:space="0" w:color="auto"/>
              <w:left w:val="nil"/>
              <w:bottom w:val="single" w:sz="4" w:space="0" w:color="auto"/>
              <w:right w:val="nil"/>
            </w:tcBorders>
            <w:shd w:val="clear" w:color="auto" w:fill="auto"/>
            <w:noWrap/>
            <w:vAlign w:val="center"/>
            <w:hideMark/>
          </w:tcPr>
          <w:p w14:paraId="2F23B0FA"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2023 R</w:t>
            </w:r>
          </w:p>
        </w:tc>
        <w:tc>
          <w:tcPr>
            <w:tcW w:w="442" w:type="pct"/>
            <w:tcBorders>
              <w:top w:val="single" w:sz="4" w:space="0" w:color="auto"/>
              <w:left w:val="nil"/>
              <w:bottom w:val="single" w:sz="4" w:space="0" w:color="auto"/>
              <w:right w:val="nil"/>
            </w:tcBorders>
            <w:shd w:val="clear" w:color="auto" w:fill="auto"/>
            <w:noWrap/>
            <w:vAlign w:val="center"/>
            <w:hideMark/>
          </w:tcPr>
          <w:p w14:paraId="07492F94"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2023 OS</w:t>
            </w:r>
          </w:p>
        </w:tc>
        <w:tc>
          <w:tcPr>
            <w:tcW w:w="372" w:type="pct"/>
            <w:tcBorders>
              <w:top w:val="single" w:sz="4" w:space="0" w:color="auto"/>
              <w:left w:val="nil"/>
              <w:bottom w:val="single" w:sz="4" w:space="0" w:color="auto"/>
              <w:right w:val="nil"/>
            </w:tcBorders>
            <w:shd w:val="clear" w:color="auto" w:fill="auto"/>
            <w:noWrap/>
            <w:vAlign w:val="center"/>
            <w:hideMark/>
          </w:tcPr>
          <w:p w14:paraId="1DB3028E"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2024 N</w:t>
            </w:r>
          </w:p>
        </w:tc>
        <w:tc>
          <w:tcPr>
            <w:tcW w:w="372" w:type="pct"/>
            <w:tcBorders>
              <w:top w:val="single" w:sz="4" w:space="0" w:color="auto"/>
              <w:left w:val="nil"/>
              <w:bottom w:val="single" w:sz="4" w:space="0" w:color="auto"/>
              <w:right w:val="nil"/>
            </w:tcBorders>
            <w:shd w:val="clear" w:color="auto" w:fill="auto"/>
            <w:noWrap/>
            <w:vAlign w:val="center"/>
            <w:hideMark/>
          </w:tcPr>
          <w:p w14:paraId="7775C77E"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2025 N</w:t>
            </w:r>
          </w:p>
        </w:tc>
        <w:tc>
          <w:tcPr>
            <w:tcW w:w="372" w:type="pct"/>
            <w:tcBorders>
              <w:top w:val="single" w:sz="4" w:space="0" w:color="auto"/>
              <w:left w:val="nil"/>
              <w:bottom w:val="single" w:sz="4" w:space="0" w:color="auto"/>
              <w:right w:val="nil"/>
            </w:tcBorders>
            <w:shd w:val="clear" w:color="auto" w:fill="auto"/>
            <w:noWrap/>
            <w:vAlign w:val="center"/>
            <w:hideMark/>
          </w:tcPr>
          <w:p w14:paraId="7C7318AB"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2026 N</w:t>
            </w:r>
          </w:p>
        </w:tc>
      </w:tr>
      <w:tr w:rsidR="00DD531B" w:rsidRPr="00661122" w14:paraId="3F069874" w14:textId="77777777" w:rsidTr="001F24AE">
        <w:trPr>
          <w:trHeight w:val="300"/>
        </w:trPr>
        <w:tc>
          <w:tcPr>
            <w:tcW w:w="2349" w:type="pct"/>
            <w:tcBorders>
              <w:top w:val="nil"/>
              <w:left w:val="nil"/>
              <w:bottom w:val="nil"/>
              <w:right w:val="nil"/>
            </w:tcBorders>
            <w:shd w:val="clear" w:color="auto" w:fill="auto"/>
            <w:noWrap/>
            <w:vAlign w:val="bottom"/>
            <w:hideMark/>
          </w:tcPr>
          <w:p w14:paraId="487356DE" w14:textId="77777777" w:rsidR="00DD531B" w:rsidRPr="00661122" w:rsidRDefault="00DD531B" w:rsidP="00DD531B">
            <w:pPr>
              <w:spacing w:after="0" w:line="240" w:lineRule="auto"/>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Príjmy kapitoly spolu</w:t>
            </w:r>
          </w:p>
        </w:tc>
        <w:tc>
          <w:tcPr>
            <w:tcW w:w="360" w:type="pct"/>
            <w:tcBorders>
              <w:top w:val="nil"/>
              <w:left w:val="nil"/>
              <w:bottom w:val="nil"/>
              <w:right w:val="nil"/>
            </w:tcBorders>
            <w:shd w:val="clear" w:color="auto" w:fill="auto"/>
            <w:noWrap/>
            <w:vAlign w:val="bottom"/>
            <w:hideMark/>
          </w:tcPr>
          <w:p w14:paraId="0BD86568"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1 523</w:t>
            </w:r>
          </w:p>
        </w:tc>
        <w:tc>
          <w:tcPr>
            <w:tcW w:w="360" w:type="pct"/>
            <w:tcBorders>
              <w:top w:val="nil"/>
              <w:left w:val="nil"/>
              <w:bottom w:val="nil"/>
              <w:right w:val="nil"/>
            </w:tcBorders>
            <w:shd w:val="clear" w:color="auto" w:fill="auto"/>
            <w:noWrap/>
            <w:vAlign w:val="bottom"/>
            <w:hideMark/>
          </w:tcPr>
          <w:p w14:paraId="07B709B2"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245</w:t>
            </w:r>
          </w:p>
        </w:tc>
        <w:tc>
          <w:tcPr>
            <w:tcW w:w="372" w:type="pct"/>
            <w:tcBorders>
              <w:top w:val="nil"/>
              <w:left w:val="nil"/>
              <w:bottom w:val="nil"/>
              <w:right w:val="nil"/>
            </w:tcBorders>
            <w:shd w:val="clear" w:color="auto" w:fill="auto"/>
            <w:noWrap/>
            <w:vAlign w:val="bottom"/>
            <w:hideMark/>
          </w:tcPr>
          <w:p w14:paraId="13FBAD03"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230</w:t>
            </w:r>
          </w:p>
        </w:tc>
        <w:tc>
          <w:tcPr>
            <w:tcW w:w="442" w:type="pct"/>
            <w:tcBorders>
              <w:top w:val="nil"/>
              <w:left w:val="nil"/>
              <w:bottom w:val="nil"/>
              <w:right w:val="nil"/>
            </w:tcBorders>
            <w:shd w:val="clear" w:color="auto" w:fill="auto"/>
            <w:noWrap/>
            <w:vAlign w:val="bottom"/>
            <w:hideMark/>
          </w:tcPr>
          <w:p w14:paraId="3928FA2C"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362</w:t>
            </w:r>
          </w:p>
        </w:tc>
        <w:tc>
          <w:tcPr>
            <w:tcW w:w="372" w:type="pct"/>
            <w:tcBorders>
              <w:top w:val="nil"/>
              <w:left w:val="nil"/>
              <w:bottom w:val="nil"/>
              <w:right w:val="nil"/>
            </w:tcBorders>
            <w:shd w:val="clear" w:color="auto" w:fill="auto"/>
            <w:noWrap/>
            <w:vAlign w:val="bottom"/>
            <w:hideMark/>
          </w:tcPr>
          <w:p w14:paraId="741238A8"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230</w:t>
            </w:r>
          </w:p>
        </w:tc>
        <w:tc>
          <w:tcPr>
            <w:tcW w:w="372" w:type="pct"/>
            <w:tcBorders>
              <w:top w:val="nil"/>
              <w:left w:val="nil"/>
              <w:bottom w:val="nil"/>
              <w:right w:val="nil"/>
            </w:tcBorders>
            <w:shd w:val="clear" w:color="auto" w:fill="auto"/>
            <w:noWrap/>
            <w:vAlign w:val="bottom"/>
            <w:hideMark/>
          </w:tcPr>
          <w:p w14:paraId="7A147A97"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230</w:t>
            </w:r>
          </w:p>
        </w:tc>
        <w:tc>
          <w:tcPr>
            <w:tcW w:w="372" w:type="pct"/>
            <w:tcBorders>
              <w:top w:val="nil"/>
              <w:left w:val="nil"/>
              <w:bottom w:val="nil"/>
              <w:right w:val="nil"/>
            </w:tcBorders>
            <w:shd w:val="clear" w:color="auto" w:fill="auto"/>
            <w:noWrap/>
            <w:vAlign w:val="bottom"/>
            <w:hideMark/>
          </w:tcPr>
          <w:p w14:paraId="7EAFF2E8"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230</w:t>
            </w:r>
          </w:p>
        </w:tc>
      </w:tr>
      <w:tr w:rsidR="00DD531B" w:rsidRPr="00661122" w14:paraId="4E3F3966" w14:textId="77777777" w:rsidTr="001F24AE">
        <w:trPr>
          <w:trHeight w:val="300"/>
        </w:trPr>
        <w:tc>
          <w:tcPr>
            <w:tcW w:w="2349" w:type="pct"/>
            <w:tcBorders>
              <w:top w:val="nil"/>
              <w:left w:val="nil"/>
              <w:bottom w:val="single" w:sz="4" w:space="0" w:color="auto"/>
              <w:right w:val="nil"/>
            </w:tcBorders>
            <w:shd w:val="clear" w:color="auto" w:fill="auto"/>
            <w:noWrap/>
            <w:vAlign w:val="bottom"/>
            <w:hideMark/>
          </w:tcPr>
          <w:p w14:paraId="7B1382D0" w14:textId="77777777" w:rsidR="00DD531B" w:rsidRPr="00661122" w:rsidRDefault="00DD531B" w:rsidP="00DD531B">
            <w:pPr>
              <w:spacing w:after="0" w:line="240" w:lineRule="auto"/>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nedaňové príjmy</w:t>
            </w:r>
          </w:p>
        </w:tc>
        <w:tc>
          <w:tcPr>
            <w:tcW w:w="360" w:type="pct"/>
            <w:tcBorders>
              <w:top w:val="nil"/>
              <w:left w:val="nil"/>
              <w:bottom w:val="single" w:sz="4" w:space="0" w:color="auto"/>
              <w:right w:val="nil"/>
            </w:tcBorders>
            <w:shd w:val="clear" w:color="auto" w:fill="auto"/>
            <w:noWrap/>
            <w:vAlign w:val="bottom"/>
            <w:hideMark/>
          </w:tcPr>
          <w:p w14:paraId="368E5C40"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1 523</w:t>
            </w:r>
          </w:p>
        </w:tc>
        <w:tc>
          <w:tcPr>
            <w:tcW w:w="360" w:type="pct"/>
            <w:tcBorders>
              <w:top w:val="nil"/>
              <w:left w:val="nil"/>
              <w:bottom w:val="single" w:sz="4" w:space="0" w:color="auto"/>
              <w:right w:val="nil"/>
            </w:tcBorders>
            <w:shd w:val="clear" w:color="auto" w:fill="auto"/>
            <w:noWrap/>
            <w:vAlign w:val="bottom"/>
            <w:hideMark/>
          </w:tcPr>
          <w:p w14:paraId="0E75D24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245</w:t>
            </w:r>
          </w:p>
        </w:tc>
        <w:tc>
          <w:tcPr>
            <w:tcW w:w="372" w:type="pct"/>
            <w:tcBorders>
              <w:top w:val="nil"/>
              <w:left w:val="nil"/>
              <w:bottom w:val="single" w:sz="4" w:space="0" w:color="auto"/>
              <w:right w:val="nil"/>
            </w:tcBorders>
            <w:shd w:val="clear" w:color="auto" w:fill="auto"/>
            <w:noWrap/>
            <w:vAlign w:val="bottom"/>
            <w:hideMark/>
          </w:tcPr>
          <w:p w14:paraId="59119FA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230</w:t>
            </w:r>
          </w:p>
        </w:tc>
        <w:tc>
          <w:tcPr>
            <w:tcW w:w="442" w:type="pct"/>
            <w:tcBorders>
              <w:top w:val="nil"/>
              <w:left w:val="nil"/>
              <w:bottom w:val="single" w:sz="4" w:space="0" w:color="auto"/>
              <w:right w:val="nil"/>
            </w:tcBorders>
            <w:shd w:val="clear" w:color="auto" w:fill="auto"/>
            <w:noWrap/>
            <w:vAlign w:val="bottom"/>
            <w:hideMark/>
          </w:tcPr>
          <w:p w14:paraId="14268EAE"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362</w:t>
            </w:r>
          </w:p>
        </w:tc>
        <w:tc>
          <w:tcPr>
            <w:tcW w:w="372" w:type="pct"/>
            <w:tcBorders>
              <w:top w:val="nil"/>
              <w:left w:val="nil"/>
              <w:bottom w:val="single" w:sz="4" w:space="0" w:color="auto"/>
              <w:right w:val="nil"/>
            </w:tcBorders>
            <w:shd w:val="clear" w:color="auto" w:fill="auto"/>
            <w:noWrap/>
            <w:vAlign w:val="bottom"/>
            <w:hideMark/>
          </w:tcPr>
          <w:p w14:paraId="263C67D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230</w:t>
            </w:r>
          </w:p>
        </w:tc>
        <w:tc>
          <w:tcPr>
            <w:tcW w:w="372" w:type="pct"/>
            <w:tcBorders>
              <w:top w:val="nil"/>
              <w:left w:val="nil"/>
              <w:bottom w:val="single" w:sz="4" w:space="0" w:color="auto"/>
              <w:right w:val="nil"/>
            </w:tcBorders>
            <w:shd w:val="clear" w:color="auto" w:fill="auto"/>
            <w:noWrap/>
            <w:vAlign w:val="bottom"/>
            <w:hideMark/>
          </w:tcPr>
          <w:p w14:paraId="7668EA5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230</w:t>
            </w:r>
          </w:p>
        </w:tc>
        <w:tc>
          <w:tcPr>
            <w:tcW w:w="372" w:type="pct"/>
            <w:tcBorders>
              <w:top w:val="nil"/>
              <w:left w:val="nil"/>
              <w:bottom w:val="single" w:sz="4" w:space="0" w:color="auto"/>
              <w:right w:val="nil"/>
            </w:tcBorders>
            <w:shd w:val="clear" w:color="auto" w:fill="auto"/>
            <w:noWrap/>
            <w:vAlign w:val="bottom"/>
            <w:hideMark/>
          </w:tcPr>
          <w:p w14:paraId="31F2E4C5"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230</w:t>
            </w:r>
          </w:p>
        </w:tc>
      </w:tr>
    </w:tbl>
    <w:p w14:paraId="6A89E41B" w14:textId="77777777" w:rsidR="00DD531B" w:rsidRPr="00661122" w:rsidRDefault="00DD531B" w:rsidP="00DD531B">
      <w:pPr>
        <w:rPr>
          <w:rFonts w:ascii="Times New Roman" w:eastAsia="Calibri" w:hAnsi="Times New Roman" w:cs="Times New Roman"/>
          <w:color w:val="5B9BD5" w:themeColor="accent1"/>
          <w:sz w:val="16"/>
          <w:szCs w:val="16"/>
        </w:rPr>
      </w:pPr>
    </w:p>
    <w:p w14:paraId="4700C8C8" w14:textId="60F2F383" w:rsidR="00DD531B" w:rsidRPr="00661122" w:rsidRDefault="00661122"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28" w:name="_Toc153013098"/>
      <w:r w:rsidRPr="00661122">
        <w:rPr>
          <w:rFonts w:ascii="Times New Roman" w:eastAsia="Times New Roman" w:hAnsi="Times New Roman" w:cs="Times New Roman"/>
          <w:b/>
          <w:iCs/>
          <w:color w:val="5B9BD5" w:themeColor="accent1"/>
          <w:sz w:val="20"/>
          <w:szCs w:val="20"/>
          <w:lang w:eastAsia="sk-SK"/>
        </w:rPr>
        <w:t xml:space="preserve">Tabuľka </w:t>
      </w:r>
      <w:r w:rsidRPr="00661122">
        <w:rPr>
          <w:rFonts w:ascii="Times New Roman" w:hAnsi="Times New Roman" w:cs="Times New Roman"/>
          <w:b/>
          <w:color w:val="5B9BD5" w:themeColor="accent1"/>
          <w:sz w:val="20"/>
          <w:szCs w:val="20"/>
        </w:rPr>
        <w:fldChar w:fldCharType="begin"/>
      </w:r>
      <w:r w:rsidRPr="00661122">
        <w:rPr>
          <w:rFonts w:ascii="Times New Roman" w:hAnsi="Times New Roman" w:cs="Times New Roman"/>
          <w:b/>
          <w:color w:val="5B9BD5" w:themeColor="accent1"/>
          <w:sz w:val="20"/>
          <w:szCs w:val="20"/>
        </w:rPr>
        <w:instrText xml:space="preserve"> SEQ Tabuľka \* ARABIC </w:instrText>
      </w:r>
      <w:r w:rsidRPr="00661122">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100</w:t>
      </w:r>
      <w:r w:rsidRPr="00661122">
        <w:rPr>
          <w:rFonts w:ascii="Times New Roman" w:hAnsi="Times New Roman" w:cs="Times New Roman"/>
          <w:b/>
          <w:color w:val="5B9BD5" w:themeColor="accent1"/>
          <w:sz w:val="20"/>
          <w:szCs w:val="20"/>
        </w:rPr>
        <w:fldChar w:fldCharType="end"/>
      </w:r>
      <w:r w:rsidRPr="00661122">
        <w:rPr>
          <w:rFonts w:ascii="Times New Roman" w:hAnsi="Times New Roman" w:cs="Times New Roman"/>
          <w:b/>
          <w:color w:val="5B9BD5" w:themeColor="accent1"/>
          <w:sz w:val="20"/>
          <w:szCs w:val="20"/>
        </w:rPr>
        <w:t xml:space="preserve"> - </w:t>
      </w:r>
      <w:r w:rsidR="00DD531B" w:rsidRPr="00661122">
        <w:rPr>
          <w:rFonts w:ascii="Times New Roman" w:eastAsia="Times New Roman" w:hAnsi="Times New Roman" w:cs="Times New Roman"/>
          <w:b/>
          <w:iCs/>
          <w:color w:val="5B9BD5" w:themeColor="accent1"/>
          <w:sz w:val="20"/>
          <w:szCs w:val="20"/>
          <w:lang w:eastAsia="sk-SK"/>
        </w:rPr>
        <w:t>Výdavky kapitoly ÚGKK SR</w:t>
      </w:r>
      <w:bookmarkEnd w:id="228"/>
    </w:p>
    <w:tbl>
      <w:tblPr>
        <w:tblW w:w="5000" w:type="pct"/>
        <w:tblCellMar>
          <w:left w:w="70" w:type="dxa"/>
          <w:right w:w="70" w:type="dxa"/>
        </w:tblCellMar>
        <w:tblLook w:val="04A0" w:firstRow="1" w:lastRow="0" w:firstColumn="1" w:lastColumn="0" w:noHBand="0" w:noVBand="1"/>
      </w:tblPr>
      <w:tblGrid>
        <w:gridCol w:w="4263"/>
        <w:gridCol w:w="654"/>
        <w:gridCol w:w="653"/>
        <w:gridCol w:w="675"/>
        <w:gridCol w:w="802"/>
        <w:gridCol w:w="675"/>
        <w:gridCol w:w="675"/>
        <w:gridCol w:w="675"/>
      </w:tblGrid>
      <w:tr w:rsidR="00DD531B" w:rsidRPr="00DD531B" w14:paraId="3FC4E2C4" w14:textId="77777777" w:rsidTr="001F24AE">
        <w:trPr>
          <w:trHeight w:val="300"/>
        </w:trPr>
        <w:tc>
          <w:tcPr>
            <w:tcW w:w="2349" w:type="pct"/>
            <w:tcBorders>
              <w:top w:val="single" w:sz="4" w:space="0" w:color="auto"/>
              <w:left w:val="nil"/>
              <w:bottom w:val="single" w:sz="4" w:space="0" w:color="auto"/>
              <w:right w:val="nil"/>
            </w:tcBorders>
            <w:shd w:val="clear" w:color="auto" w:fill="auto"/>
            <w:noWrap/>
            <w:vAlign w:val="center"/>
            <w:hideMark/>
          </w:tcPr>
          <w:p w14:paraId="04238CDB" w14:textId="77777777" w:rsidR="00DD531B" w:rsidRPr="00661122" w:rsidRDefault="00DD531B" w:rsidP="00DD531B">
            <w:pPr>
              <w:spacing w:after="0" w:line="240" w:lineRule="auto"/>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v tis. eur</w:t>
            </w:r>
          </w:p>
        </w:tc>
        <w:tc>
          <w:tcPr>
            <w:tcW w:w="360" w:type="pct"/>
            <w:tcBorders>
              <w:top w:val="single" w:sz="4" w:space="0" w:color="auto"/>
              <w:left w:val="nil"/>
              <w:bottom w:val="single" w:sz="4" w:space="0" w:color="auto"/>
              <w:right w:val="nil"/>
            </w:tcBorders>
            <w:shd w:val="clear" w:color="auto" w:fill="auto"/>
            <w:noWrap/>
            <w:vAlign w:val="center"/>
            <w:hideMark/>
          </w:tcPr>
          <w:p w14:paraId="62DF6C1F"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2021 S</w:t>
            </w:r>
          </w:p>
        </w:tc>
        <w:tc>
          <w:tcPr>
            <w:tcW w:w="360" w:type="pct"/>
            <w:tcBorders>
              <w:top w:val="single" w:sz="4" w:space="0" w:color="auto"/>
              <w:left w:val="nil"/>
              <w:bottom w:val="single" w:sz="4" w:space="0" w:color="auto"/>
              <w:right w:val="nil"/>
            </w:tcBorders>
            <w:shd w:val="clear" w:color="auto" w:fill="auto"/>
            <w:noWrap/>
            <w:vAlign w:val="center"/>
            <w:hideMark/>
          </w:tcPr>
          <w:p w14:paraId="3043D4CD"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2022 S</w:t>
            </w:r>
          </w:p>
        </w:tc>
        <w:tc>
          <w:tcPr>
            <w:tcW w:w="372" w:type="pct"/>
            <w:tcBorders>
              <w:top w:val="single" w:sz="4" w:space="0" w:color="auto"/>
              <w:left w:val="nil"/>
              <w:bottom w:val="single" w:sz="4" w:space="0" w:color="auto"/>
              <w:right w:val="nil"/>
            </w:tcBorders>
            <w:shd w:val="clear" w:color="auto" w:fill="auto"/>
            <w:noWrap/>
            <w:vAlign w:val="center"/>
            <w:hideMark/>
          </w:tcPr>
          <w:p w14:paraId="354799C2"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2023 R</w:t>
            </w:r>
          </w:p>
        </w:tc>
        <w:tc>
          <w:tcPr>
            <w:tcW w:w="442" w:type="pct"/>
            <w:tcBorders>
              <w:top w:val="single" w:sz="4" w:space="0" w:color="auto"/>
              <w:left w:val="nil"/>
              <w:bottom w:val="single" w:sz="4" w:space="0" w:color="auto"/>
              <w:right w:val="nil"/>
            </w:tcBorders>
            <w:shd w:val="clear" w:color="auto" w:fill="auto"/>
            <w:noWrap/>
            <w:vAlign w:val="center"/>
            <w:hideMark/>
          </w:tcPr>
          <w:p w14:paraId="16E286CA"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2023 OS</w:t>
            </w:r>
          </w:p>
        </w:tc>
        <w:tc>
          <w:tcPr>
            <w:tcW w:w="372" w:type="pct"/>
            <w:tcBorders>
              <w:top w:val="single" w:sz="4" w:space="0" w:color="auto"/>
              <w:left w:val="nil"/>
              <w:bottom w:val="single" w:sz="4" w:space="0" w:color="auto"/>
              <w:right w:val="nil"/>
            </w:tcBorders>
            <w:shd w:val="clear" w:color="auto" w:fill="auto"/>
            <w:noWrap/>
            <w:vAlign w:val="center"/>
            <w:hideMark/>
          </w:tcPr>
          <w:p w14:paraId="0B59A8A9"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2024 N</w:t>
            </w:r>
          </w:p>
        </w:tc>
        <w:tc>
          <w:tcPr>
            <w:tcW w:w="372" w:type="pct"/>
            <w:tcBorders>
              <w:top w:val="single" w:sz="4" w:space="0" w:color="auto"/>
              <w:left w:val="nil"/>
              <w:bottom w:val="single" w:sz="4" w:space="0" w:color="auto"/>
              <w:right w:val="nil"/>
            </w:tcBorders>
            <w:shd w:val="clear" w:color="auto" w:fill="auto"/>
            <w:noWrap/>
            <w:vAlign w:val="center"/>
            <w:hideMark/>
          </w:tcPr>
          <w:p w14:paraId="09A8147E"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2025 N</w:t>
            </w:r>
          </w:p>
        </w:tc>
        <w:tc>
          <w:tcPr>
            <w:tcW w:w="372" w:type="pct"/>
            <w:tcBorders>
              <w:top w:val="single" w:sz="4" w:space="0" w:color="auto"/>
              <w:left w:val="nil"/>
              <w:bottom w:val="single" w:sz="4" w:space="0" w:color="auto"/>
              <w:right w:val="nil"/>
            </w:tcBorders>
            <w:shd w:val="clear" w:color="auto" w:fill="auto"/>
            <w:noWrap/>
            <w:vAlign w:val="center"/>
            <w:hideMark/>
          </w:tcPr>
          <w:p w14:paraId="1026E8FD"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2026 N</w:t>
            </w:r>
          </w:p>
        </w:tc>
      </w:tr>
      <w:tr w:rsidR="00DD531B" w:rsidRPr="00DD531B" w14:paraId="3C8521FC" w14:textId="77777777" w:rsidTr="001F24AE">
        <w:trPr>
          <w:trHeight w:val="300"/>
        </w:trPr>
        <w:tc>
          <w:tcPr>
            <w:tcW w:w="2349" w:type="pct"/>
            <w:tcBorders>
              <w:top w:val="nil"/>
              <w:left w:val="nil"/>
              <w:bottom w:val="nil"/>
              <w:right w:val="nil"/>
            </w:tcBorders>
            <w:shd w:val="clear" w:color="auto" w:fill="auto"/>
            <w:noWrap/>
            <w:vAlign w:val="center"/>
            <w:hideMark/>
          </w:tcPr>
          <w:p w14:paraId="7F3C3D29" w14:textId="77777777" w:rsidR="00DD531B" w:rsidRPr="00661122" w:rsidRDefault="00DD531B" w:rsidP="00DD531B">
            <w:pPr>
              <w:spacing w:after="0" w:line="240" w:lineRule="auto"/>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Výdavky kapitoly spolu</w:t>
            </w:r>
          </w:p>
        </w:tc>
        <w:tc>
          <w:tcPr>
            <w:tcW w:w="360" w:type="pct"/>
            <w:tcBorders>
              <w:top w:val="nil"/>
              <w:left w:val="nil"/>
              <w:bottom w:val="nil"/>
              <w:right w:val="nil"/>
            </w:tcBorders>
            <w:shd w:val="clear" w:color="auto" w:fill="auto"/>
            <w:noWrap/>
            <w:vAlign w:val="center"/>
            <w:hideMark/>
          </w:tcPr>
          <w:p w14:paraId="4503446E"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20 830</w:t>
            </w:r>
          </w:p>
        </w:tc>
        <w:tc>
          <w:tcPr>
            <w:tcW w:w="360" w:type="pct"/>
            <w:tcBorders>
              <w:top w:val="nil"/>
              <w:left w:val="nil"/>
              <w:bottom w:val="nil"/>
              <w:right w:val="nil"/>
            </w:tcBorders>
            <w:shd w:val="clear" w:color="auto" w:fill="auto"/>
            <w:noWrap/>
            <w:vAlign w:val="center"/>
            <w:hideMark/>
          </w:tcPr>
          <w:p w14:paraId="29651797"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21 396</w:t>
            </w:r>
          </w:p>
        </w:tc>
        <w:tc>
          <w:tcPr>
            <w:tcW w:w="372" w:type="pct"/>
            <w:tcBorders>
              <w:top w:val="nil"/>
              <w:left w:val="nil"/>
              <w:bottom w:val="nil"/>
              <w:right w:val="nil"/>
            </w:tcBorders>
            <w:shd w:val="clear" w:color="auto" w:fill="auto"/>
            <w:noWrap/>
            <w:vAlign w:val="center"/>
            <w:hideMark/>
          </w:tcPr>
          <w:p w14:paraId="2646B75A"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20 601</w:t>
            </w:r>
          </w:p>
        </w:tc>
        <w:tc>
          <w:tcPr>
            <w:tcW w:w="442" w:type="pct"/>
            <w:tcBorders>
              <w:top w:val="nil"/>
              <w:left w:val="nil"/>
              <w:bottom w:val="nil"/>
              <w:right w:val="nil"/>
            </w:tcBorders>
            <w:shd w:val="clear" w:color="auto" w:fill="auto"/>
            <w:noWrap/>
            <w:vAlign w:val="center"/>
            <w:hideMark/>
          </w:tcPr>
          <w:p w14:paraId="01F4B3B8"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29 097</w:t>
            </w:r>
          </w:p>
        </w:tc>
        <w:tc>
          <w:tcPr>
            <w:tcW w:w="372" w:type="pct"/>
            <w:tcBorders>
              <w:top w:val="nil"/>
              <w:left w:val="nil"/>
              <w:bottom w:val="nil"/>
              <w:right w:val="nil"/>
            </w:tcBorders>
            <w:shd w:val="clear" w:color="auto" w:fill="auto"/>
            <w:noWrap/>
            <w:vAlign w:val="center"/>
            <w:hideMark/>
          </w:tcPr>
          <w:p w14:paraId="239F39EA"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21 058</w:t>
            </w:r>
          </w:p>
        </w:tc>
        <w:tc>
          <w:tcPr>
            <w:tcW w:w="372" w:type="pct"/>
            <w:tcBorders>
              <w:top w:val="nil"/>
              <w:left w:val="nil"/>
              <w:bottom w:val="nil"/>
              <w:right w:val="nil"/>
            </w:tcBorders>
            <w:shd w:val="clear" w:color="auto" w:fill="auto"/>
            <w:noWrap/>
            <w:vAlign w:val="center"/>
            <w:hideMark/>
          </w:tcPr>
          <w:p w14:paraId="2E7D95F6"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22 727</w:t>
            </w:r>
          </w:p>
        </w:tc>
        <w:tc>
          <w:tcPr>
            <w:tcW w:w="372" w:type="pct"/>
            <w:tcBorders>
              <w:top w:val="nil"/>
              <w:left w:val="nil"/>
              <w:bottom w:val="nil"/>
              <w:right w:val="nil"/>
            </w:tcBorders>
            <w:shd w:val="clear" w:color="auto" w:fill="auto"/>
            <w:noWrap/>
            <w:vAlign w:val="center"/>
            <w:hideMark/>
          </w:tcPr>
          <w:p w14:paraId="22EEC194"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22 139</w:t>
            </w:r>
          </w:p>
        </w:tc>
      </w:tr>
      <w:tr w:rsidR="00DD531B" w:rsidRPr="00DD531B" w14:paraId="6F2BC004" w14:textId="77777777" w:rsidTr="001F24AE">
        <w:trPr>
          <w:trHeight w:val="300"/>
        </w:trPr>
        <w:tc>
          <w:tcPr>
            <w:tcW w:w="2349" w:type="pct"/>
            <w:tcBorders>
              <w:top w:val="nil"/>
              <w:left w:val="nil"/>
              <w:bottom w:val="nil"/>
              <w:right w:val="nil"/>
            </w:tcBorders>
            <w:shd w:val="clear" w:color="auto" w:fill="auto"/>
            <w:noWrap/>
            <w:vAlign w:val="bottom"/>
            <w:hideMark/>
          </w:tcPr>
          <w:p w14:paraId="5A758481" w14:textId="77777777" w:rsidR="00DD531B" w:rsidRPr="00661122" w:rsidRDefault="00DD531B" w:rsidP="00DD531B">
            <w:pPr>
              <w:spacing w:after="0" w:line="240" w:lineRule="auto"/>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rozpočtové zdroje kapitoly</w:t>
            </w:r>
          </w:p>
        </w:tc>
        <w:tc>
          <w:tcPr>
            <w:tcW w:w="360" w:type="pct"/>
            <w:tcBorders>
              <w:top w:val="nil"/>
              <w:left w:val="nil"/>
              <w:bottom w:val="nil"/>
              <w:right w:val="nil"/>
            </w:tcBorders>
            <w:shd w:val="clear" w:color="auto" w:fill="auto"/>
            <w:noWrap/>
            <w:vAlign w:val="bottom"/>
            <w:hideMark/>
          </w:tcPr>
          <w:p w14:paraId="69693F66"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15 775</w:t>
            </w:r>
          </w:p>
        </w:tc>
        <w:tc>
          <w:tcPr>
            <w:tcW w:w="360" w:type="pct"/>
            <w:tcBorders>
              <w:top w:val="nil"/>
              <w:left w:val="nil"/>
              <w:bottom w:val="nil"/>
              <w:right w:val="nil"/>
            </w:tcBorders>
            <w:shd w:val="clear" w:color="auto" w:fill="auto"/>
            <w:noWrap/>
            <w:vAlign w:val="bottom"/>
            <w:hideMark/>
          </w:tcPr>
          <w:p w14:paraId="05B21389"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16 305</w:t>
            </w:r>
          </w:p>
        </w:tc>
        <w:tc>
          <w:tcPr>
            <w:tcW w:w="372" w:type="pct"/>
            <w:tcBorders>
              <w:top w:val="nil"/>
              <w:left w:val="nil"/>
              <w:bottom w:val="nil"/>
              <w:right w:val="nil"/>
            </w:tcBorders>
            <w:shd w:val="clear" w:color="auto" w:fill="auto"/>
            <w:noWrap/>
            <w:vAlign w:val="bottom"/>
            <w:hideMark/>
          </w:tcPr>
          <w:p w14:paraId="1BA41C54"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20 601</w:t>
            </w:r>
          </w:p>
        </w:tc>
        <w:tc>
          <w:tcPr>
            <w:tcW w:w="442" w:type="pct"/>
            <w:tcBorders>
              <w:top w:val="nil"/>
              <w:left w:val="nil"/>
              <w:bottom w:val="nil"/>
              <w:right w:val="nil"/>
            </w:tcBorders>
            <w:shd w:val="clear" w:color="auto" w:fill="auto"/>
            <w:noWrap/>
            <w:vAlign w:val="bottom"/>
            <w:hideMark/>
          </w:tcPr>
          <w:p w14:paraId="01DF86C8"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25 458</w:t>
            </w:r>
          </w:p>
        </w:tc>
        <w:tc>
          <w:tcPr>
            <w:tcW w:w="372" w:type="pct"/>
            <w:tcBorders>
              <w:top w:val="nil"/>
              <w:left w:val="nil"/>
              <w:bottom w:val="nil"/>
              <w:right w:val="nil"/>
            </w:tcBorders>
            <w:shd w:val="clear" w:color="auto" w:fill="auto"/>
            <w:noWrap/>
            <w:vAlign w:val="bottom"/>
            <w:hideMark/>
          </w:tcPr>
          <w:p w14:paraId="774245F9"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21 058</w:t>
            </w:r>
          </w:p>
        </w:tc>
        <w:tc>
          <w:tcPr>
            <w:tcW w:w="372" w:type="pct"/>
            <w:tcBorders>
              <w:top w:val="nil"/>
              <w:left w:val="nil"/>
              <w:bottom w:val="nil"/>
              <w:right w:val="nil"/>
            </w:tcBorders>
            <w:shd w:val="clear" w:color="auto" w:fill="auto"/>
            <w:noWrap/>
            <w:vAlign w:val="bottom"/>
            <w:hideMark/>
          </w:tcPr>
          <w:p w14:paraId="44835ED0"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22 727</w:t>
            </w:r>
          </w:p>
        </w:tc>
        <w:tc>
          <w:tcPr>
            <w:tcW w:w="372" w:type="pct"/>
            <w:tcBorders>
              <w:top w:val="nil"/>
              <w:left w:val="nil"/>
              <w:bottom w:val="nil"/>
              <w:right w:val="nil"/>
            </w:tcBorders>
            <w:shd w:val="clear" w:color="auto" w:fill="auto"/>
            <w:noWrap/>
            <w:vAlign w:val="bottom"/>
            <w:hideMark/>
          </w:tcPr>
          <w:p w14:paraId="7ED93DFB"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22 139</w:t>
            </w:r>
          </w:p>
        </w:tc>
      </w:tr>
      <w:tr w:rsidR="00DD531B" w:rsidRPr="00DD531B" w14:paraId="5EAD4F47" w14:textId="77777777" w:rsidTr="001F24AE">
        <w:trPr>
          <w:trHeight w:val="300"/>
        </w:trPr>
        <w:tc>
          <w:tcPr>
            <w:tcW w:w="2349" w:type="pct"/>
            <w:tcBorders>
              <w:top w:val="nil"/>
              <w:left w:val="nil"/>
              <w:bottom w:val="nil"/>
              <w:right w:val="nil"/>
            </w:tcBorders>
            <w:shd w:val="clear" w:color="auto" w:fill="auto"/>
            <w:noWrap/>
            <w:vAlign w:val="bottom"/>
            <w:hideMark/>
          </w:tcPr>
          <w:p w14:paraId="7C7240C7"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bežné výdavky  600, v tom:</w:t>
            </w:r>
          </w:p>
        </w:tc>
        <w:tc>
          <w:tcPr>
            <w:tcW w:w="360" w:type="pct"/>
            <w:tcBorders>
              <w:top w:val="nil"/>
              <w:left w:val="nil"/>
              <w:bottom w:val="nil"/>
              <w:right w:val="nil"/>
            </w:tcBorders>
            <w:shd w:val="clear" w:color="auto" w:fill="auto"/>
            <w:noWrap/>
            <w:vAlign w:val="bottom"/>
            <w:hideMark/>
          </w:tcPr>
          <w:p w14:paraId="462BFEB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14 762</w:t>
            </w:r>
          </w:p>
        </w:tc>
        <w:tc>
          <w:tcPr>
            <w:tcW w:w="360" w:type="pct"/>
            <w:tcBorders>
              <w:top w:val="nil"/>
              <w:left w:val="nil"/>
              <w:bottom w:val="nil"/>
              <w:right w:val="nil"/>
            </w:tcBorders>
            <w:shd w:val="clear" w:color="auto" w:fill="auto"/>
            <w:noWrap/>
            <w:vAlign w:val="bottom"/>
            <w:hideMark/>
          </w:tcPr>
          <w:p w14:paraId="20D7860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15 022</w:t>
            </w:r>
          </w:p>
        </w:tc>
        <w:tc>
          <w:tcPr>
            <w:tcW w:w="372" w:type="pct"/>
            <w:tcBorders>
              <w:top w:val="nil"/>
              <w:left w:val="nil"/>
              <w:bottom w:val="nil"/>
              <w:right w:val="nil"/>
            </w:tcBorders>
            <w:shd w:val="clear" w:color="auto" w:fill="auto"/>
            <w:noWrap/>
            <w:vAlign w:val="bottom"/>
            <w:hideMark/>
          </w:tcPr>
          <w:p w14:paraId="073D825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18 601</w:t>
            </w:r>
          </w:p>
        </w:tc>
        <w:tc>
          <w:tcPr>
            <w:tcW w:w="442" w:type="pct"/>
            <w:tcBorders>
              <w:top w:val="nil"/>
              <w:left w:val="nil"/>
              <w:bottom w:val="nil"/>
              <w:right w:val="nil"/>
            </w:tcBorders>
            <w:shd w:val="clear" w:color="auto" w:fill="auto"/>
            <w:noWrap/>
            <w:vAlign w:val="bottom"/>
            <w:hideMark/>
          </w:tcPr>
          <w:p w14:paraId="5DBD8470"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22 468</w:t>
            </w:r>
          </w:p>
        </w:tc>
        <w:tc>
          <w:tcPr>
            <w:tcW w:w="372" w:type="pct"/>
            <w:tcBorders>
              <w:top w:val="nil"/>
              <w:left w:val="nil"/>
              <w:bottom w:val="nil"/>
              <w:right w:val="nil"/>
            </w:tcBorders>
            <w:shd w:val="clear" w:color="auto" w:fill="auto"/>
            <w:noWrap/>
            <w:vAlign w:val="bottom"/>
            <w:hideMark/>
          </w:tcPr>
          <w:p w14:paraId="4A8EB82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18 389</w:t>
            </w:r>
          </w:p>
        </w:tc>
        <w:tc>
          <w:tcPr>
            <w:tcW w:w="372" w:type="pct"/>
            <w:tcBorders>
              <w:top w:val="nil"/>
              <w:left w:val="nil"/>
              <w:bottom w:val="nil"/>
              <w:right w:val="nil"/>
            </w:tcBorders>
            <w:shd w:val="clear" w:color="auto" w:fill="auto"/>
            <w:noWrap/>
            <w:vAlign w:val="bottom"/>
            <w:hideMark/>
          </w:tcPr>
          <w:p w14:paraId="603C30A5"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18 689</w:t>
            </w:r>
          </w:p>
        </w:tc>
        <w:tc>
          <w:tcPr>
            <w:tcW w:w="372" w:type="pct"/>
            <w:tcBorders>
              <w:top w:val="nil"/>
              <w:left w:val="nil"/>
              <w:bottom w:val="nil"/>
              <w:right w:val="nil"/>
            </w:tcBorders>
            <w:shd w:val="clear" w:color="auto" w:fill="auto"/>
            <w:noWrap/>
            <w:vAlign w:val="bottom"/>
            <w:hideMark/>
          </w:tcPr>
          <w:p w14:paraId="002320C8"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18 689</w:t>
            </w:r>
          </w:p>
        </w:tc>
      </w:tr>
      <w:tr w:rsidR="00DD531B" w:rsidRPr="00DD531B" w14:paraId="76CAE22B" w14:textId="77777777" w:rsidTr="001F24AE">
        <w:trPr>
          <w:trHeight w:val="300"/>
        </w:trPr>
        <w:tc>
          <w:tcPr>
            <w:tcW w:w="2349" w:type="pct"/>
            <w:tcBorders>
              <w:top w:val="nil"/>
              <w:left w:val="nil"/>
              <w:bottom w:val="nil"/>
              <w:right w:val="nil"/>
            </w:tcBorders>
            <w:shd w:val="clear" w:color="auto" w:fill="auto"/>
            <w:noWrap/>
            <w:vAlign w:val="bottom"/>
            <w:hideMark/>
          </w:tcPr>
          <w:p w14:paraId="39C74098"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610 mzdy</w:t>
            </w:r>
          </w:p>
        </w:tc>
        <w:tc>
          <w:tcPr>
            <w:tcW w:w="360" w:type="pct"/>
            <w:tcBorders>
              <w:top w:val="nil"/>
              <w:left w:val="nil"/>
              <w:bottom w:val="nil"/>
              <w:right w:val="nil"/>
            </w:tcBorders>
            <w:shd w:val="clear" w:color="auto" w:fill="auto"/>
            <w:noWrap/>
            <w:vAlign w:val="bottom"/>
            <w:hideMark/>
          </w:tcPr>
          <w:p w14:paraId="2C05DB5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4 142</w:t>
            </w:r>
          </w:p>
        </w:tc>
        <w:tc>
          <w:tcPr>
            <w:tcW w:w="360" w:type="pct"/>
            <w:tcBorders>
              <w:top w:val="nil"/>
              <w:left w:val="nil"/>
              <w:bottom w:val="nil"/>
              <w:right w:val="nil"/>
            </w:tcBorders>
            <w:shd w:val="clear" w:color="auto" w:fill="auto"/>
            <w:noWrap/>
            <w:vAlign w:val="bottom"/>
            <w:hideMark/>
          </w:tcPr>
          <w:p w14:paraId="77BD57F2"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4 461</w:t>
            </w:r>
          </w:p>
        </w:tc>
        <w:tc>
          <w:tcPr>
            <w:tcW w:w="372" w:type="pct"/>
            <w:tcBorders>
              <w:top w:val="nil"/>
              <w:left w:val="nil"/>
              <w:bottom w:val="nil"/>
              <w:right w:val="nil"/>
            </w:tcBorders>
            <w:shd w:val="clear" w:color="auto" w:fill="auto"/>
            <w:noWrap/>
            <w:vAlign w:val="bottom"/>
            <w:hideMark/>
          </w:tcPr>
          <w:p w14:paraId="35E3E4F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4 993</w:t>
            </w:r>
          </w:p>
        </w:tc>
        <w:tc>
          <w:tcPr>
            <w:tcW w:w="442" w:type="pct"/>
            <w:tcBorders>
              <w:top w:val="nil"/>
              <w:left w:val="nil"/>
              <w:bottom w:val="nil"/>
              <w:right w:val="nil"/>
            </w:tcBorders>
            <w:shd w:val="clear" w:color="auto" w:fill="auto"/>
            <w:noWrap/>
            <w:vAlign w:val="bottom"/>
            <w:hideMark/>
          </w:tcPr>
          <w:p w14:paraId="02D38990"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5 092</w:t>
            </w:r>
          </w:p>
        </w:tc>
        <w:tc>
          <w:tcPr>
            <w:tcW w:w="372" w:type="pct"/>
            <w:tcBorders>
              <w:top w:val="nil"/>
              <w:left w:val="nil"/>
              <w:bottom w:val="nil"/>
              <w:right w:val="nil"/>
            </w:tcBorders>
            <w:shd w:val="clear" w:color="auto" w:fill="auto"/>
            <w:noWrap/>
            <w:vAlign w:val="bottom"/>
            <w:hideMark/>
          </w:tcPr>
          <w:p w14:paraId="085104C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5 428</w:t>
            </w:r>
          </w:p>
        </w:tc>
        <w:tc>
          <w:tcPr>
            <w:tcW w:w="372" w:type="pct"/>
            <w:tcBorders>
              <w:top w:val="nil"/>
              <w:left w:val="nil"/>
              <w:bottom w:val="nil"/>
              <w:right w:val="nil"/>
            </w:tcBorders>
            <w:shd w:val="clear" w:color="auto" w:fill="auto"/>
            <w:noWrap/>
            <w:vAlign w:val="bottom"/>
            <w:hideMark/>
          </w:tcPr>
          <w:p w14:paraId="2730E0E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5 428</w:t>
            </w:r>
          </w:p>
        </w:tc>
        <w:tc>
          <w:tcPr>
            <w:tcW w:w="372" w:type="pct"/>
            <w:tcBorders>
              <w:top w:val="nil"/>
              <w:left w:val="nil"/>
              <w:bottom w:val="nil"/>
              <w:right w:val="nil"/>
            </w:tcBorders>
            <w:shd w:val="clear" w:color="auto" w:fill="auto"/>
            <w:noWrap/>
            <w:vAlign w:val="bottom"/>
            <w:hideMark/>
          </w:tcPr>
          <w:p w14:paraId="19308E2C"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5 428</w:t>
            </w:r>
          </w:p>
        </w:tc>
      </w:tr>
      <w:tr w:rsidR="00DD531B" w:rsidRPr="00DD531B" w14:paraId="14B65903" w14:textId="77777777" w:rsidTr="001F24AE">
        <w:trPr>
          <w:trHeight w:val="300"/>
        </w:trPr>
        <w:tc>
          <w:tcPr>
            <w:tcW w:w="2349" w:type="pct"/>
            <w:tcBorders>
              <w:top w:val="nil"/>
              <w:left w:val="nil"/>
              <w:bottom w:val="nil"/>
              <w:right w:val="nil"/>
            </w:tcBorders>
            <w:shd w:val="clear" w:color="auto" w:fill="auto"/>
            <w:noWrap/>
            <w:vAlign w:val="bottom"/>
            <w:hideMark/>
          </w:tcPr>
          <w:p w14:paraId="60538C4F"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620 odvody</w:t>
            </w:r>
          </w:p>
        </w:tc>
        <w:tc>
          <w:tcPr>
            <w:tcW w:w="360" w:type="pct"/>
            <w:tcBorders>
              <w:top w:val="nil"/>
              <w:left w:val="nil"/>
              <w:bottom w:val="nil"/>
              <w:right w:val="nil"/>
            </w:tcBorders>
            <w:shd w:val="clear" w:color="auto" w:fill="auto"/>
            <w:noWrap/>
            <w:vAlign w:val="bottom"/>
            <w:hideMark/>
          </w:tcPr>
          <w:p w14:paraId="003A9E8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1 590</w:t>
            </w:r>
          </w:p>
        </w:tc>
        <w:tc>
          <w:tcPr>
            <w:tcW w:w="360" w:type="pct"/>
            <w:tcBorders>
              <w:top w:val="nil"/>
              <w:left w:val="nil"/>
              <w:bottom w:val="nil"/>
              <w:right w:val="nil"/>
            </w:tcBorders>
            <w:shd w:val="clear" w:color="auto" w:fill="auto"/>
            <w:noWrap/>
            <w:vAlign w:val="bottom"/>
            <w:hideMark/>
          </w:tcPr>
          <w:p w14:paraId="63E03CC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1 693</w:t>
            </w:r>
          </w:p>
        </w:tc>
        <w:tc>
          <w:tcPr>
            <w:tcW w:w="372" w:type="pct"/>
            <w:tcBorders>
              <w:top w:val="nil"/>
              <w:left w:val="nil"/>
              <w:bottom w:val="nil"/>
              <w:right w:val="nil"/>
            </w:tcBorders>
            <w:shd w:val="clear" w:color="auto" w:fill="auto"/>
            <w:noWrap/>
            <w:vAlign w:val="bottom"/>
            <w:hideMark/>
          </w:tcPr>
          <w:p w14:paraId="2C880CF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1 901</w:t>
            </w:r>
          </w:p>
        </w:tc>
        <w:tc>
          <w:tcPr>
            <w:tcW w:w="442" w:type="pct"/>
            <w:tcBorders>
              <w:top w:val="nil"/>
              <w:left w:val="nil"/>
              <w:bottom w:val="nil"/>
              <w:right w:val="nil"/>
            </w:tcBorders>
            <w:shd w:val="clear" w:color="auto" w:fill="auto"/>
            <w:noWrap/>
            <w:vAlign w:val="bottom"/>
            <w:hideMark/>
          </w:tcPr>
          <w:p w14:paraId="7A670958"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1 936</w:t>
            </w:r>
          </w:p>
        </w:tc>
        <w:tc>
          <w:tcPr>
            <w:tcW w:w="372" w:type="pct"/>
            <w:tcBorders>
              <w:top w:val="nil"/>
              <w:left w:val="nil"/>
              <w:bottom w:val="nil"/>
              <w:right w:val="nil"/>
            </w:tcBorders>
            <w:shd w:val="clear" w:color="auto" w:fill="auto"/>
            <w:noWrap/>
            <w:vAlign w:val="bottom"/>
            <w:hideMark/>
          </w:tcPr>
          <w:p w14:paraId="5DDE611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2 065</w:t>
            </w:r>
          </w:p>
        </w:tc>
        <w:tc>
          <w:tcPr>
            <w:tcW w:w="372" w:type="pct"/>
            <w:tcBorders>
              <w:top w:val="nil"/>
              <w:left w:val="nil"/>
              <w:bottom w:val="nil"/>
              <w:right w:val="nil"/>
            </w:tcBorders>
            <w:shd w:val="clear" w:color="auto" w:fill="auto"/>
            <w:noWrap/>
            <w:vAlign w:val="bottom"/>
            <w:hideMark/>
          </w:tcPr>
          <w:p w14:paraId="373F8D6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2 065</w:t>
            </w:r>
          </w:p>
        </w:tc>
        <w:tc>
          <w:tcPr>
            <w:tcW w:w="372" w:type="pct"/>
            <w:tcBorders>
              <w:top w:val="nil"/>
              <w:left w:val="nil"/>
              <w:bottom w:val="nil"/>
              <w:right w:val="nil"/>
            </w:tcBorders>
            <w:shd w:val="clear" w:color="auto" w:fill="auto"/>
            <w:noWrap/>
            <w:vAlign w:val="bottom"/>
            <w:hideMark/>
          </w:tcPr>
          <w:p w14:paraId="1C200D9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2 065</w:t>
            </w:r>
          </w:p>
        </w:tc>
      </w:tr>
      <w:tr w:rsidR="00DD531B" w:rsidRPr="00DD531B" w14:paraId="6221DEB6" w14:textId="77777777" w:rsidTr="001F24AE">
        <w:trPr>
          <w:trHeight w:val="300"/>
        </w:trPr>
        <w:tc>
          <w:tcPr>
            <w:tcW w:w="2349" w:type="pct"/>
            <w:tcBorders>
              <w:top w:val="nil"/>
              <w:left w:val="nil"/>
              <w:bottom w:val="nil"/>
              <w:right w:val="nil"/>
            </w:tcBorders>
            <w:shd w:val="clear" w:color="auto" w:fill="auto"/>
            <w:noWrap/>
            <w:vAlign w:val="bottom"/>
            <w:hideMark/>
          </w:tcPr>
          <w:p w14:paraId="328184EF"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630 tovary a služby</w:t>
            </w:r>
          </w:p>
        </w:tc>
        <w:tc>
          <w:tcPr>
            <w:tcW w:w="360" w:type="pct"/>
            <w:tcBorders>
              <w:top w:val="nil"/>
              <w:left w:val="nil"/>
              <w:bottom w:val="nil"/>
              <w:right w:val="nil"/>
            </w:tcBorders>
            <w:shd w:val="clear" w:color="auto" w:fill="auto"/>
            <w:noWrap/>
            <w:vAlign w:val="bottom"/>
            <w:hideMark/>
          </w:tcPr>
          <w:p w14:paraId="2DD58B2F"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8 388</w:t>
            </w:r>
          </w:p>
        </w:tc>
        <w:tc>
          <w:tcPr>
            <w:tcW w:w="360" w:type="pct"/>
            <w:tcBorders>
              <w:top w:val="nil"/>
              <w:left w:val="nil"/>
              <w:bottom w:val="nil"/>
              <w:right w:val="nil"/>
            </w:tcBorders>
            <w:shd w:val="clear" w:color="auto" w:fill="auto"/>
            <w:noWrap/>
            <w:vAlign w:val="bottom"/>
            <w:hideMark/>
          </w:tcPr>
          <w:p w14:paraId="7449530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8 345</w:t>
            </w:r>
          </w:p>
        </w:tc>
        <w:tc>
          <w:tcPr>
            <w:tcW w:w="372" w:type="pct"/>
            <w:tcBorders>
              <w:top w:val="nil"/>
              <w:left w:val="nil"/>
              <w:bottom w:val="nil"/>
              <w:right w:val="nil"/>
            </w:tcBorders>
            <w:shd w:val="clear" w:color="auto" w:fill="auto"/>
            <w:noWrap/>
            <w:vAlign w:val="bottom"/>
            <w:hideMark/>
          </w:tcPr>
          <w:p w14:paraId="3C0416C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11 020</w:t>
            </w:r>
          </w:p>
        </w:tc>
        <w:tc>
          <w:tcPr>
            <w:tcW w:w="442" w:type="pct"/>
            <w:tcBorders>
              <w:top w:val="nil"/>
              <w:left w:val="nil"/>
              <w:bottom w:val="nil"/>
              <w:right w:val="nil"/>
            </w:tcBorders>
            <w:shd w:val="clear" w:color="auto" w:fill="auto"/>
            <w:noWrap/>
            <w:vAlign w:val="bottom"/>
            <w:hideMark/>
          </w:tcPr>
          <w:p w14:paraId="03EAB048"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14 752</w:t>
            </w:r>
          </w:p>
        </w:tc>
        <w:tc>
          <w:tcPr>
            <w:tcW w:w="372" w:type="pct"/>
            <w:tcBorders>
              <w:top w:val="nil"/>
              <w:left w:val="nil"/>
              <w:bottom w:val="nil"/>
              <w:right w:val="nil"/>
            </w:tcBorders>
            <w:shd w:val="clear" w:color="auto" w:fill="auto"/>
            <w:noWrap/>
            <w:vAlign w:val="bottom"/>
            <w:hideMark/>
          </w:tcPr>
          <w:p w14:paraId="5D79616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10 192</w:t>
            </w:r>
          </w:p>
        </w:tc>
        <w:tc>
          <w:tcPr>
            <w:tcW w:w="372" w:type="pct"/>
            <w:tcBorders>
              <w:top w:val="nil"/>
              <w:left w:val="nil"/>
              <w:bottom w:val="nil"/>
              <w:right w:val="nil"/>
            </w:tcBorders>
            <w:shd w:val="clear" w:color="auto" w:fill="auto"/>
            <w:noWrap/>
            <w:vAlign w:val="bottom"/>
            <w:hideMark/>
          </w:tcPr>
          <w:p w14:paraId="149B269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10 492</w:t>
            </w:r>
          </w:p>
        </w:tc>
        <w:tc>
          <w:tcPr>
            <w:tcW w:w="372" w:type="pct"/>
            <w:tcBorders>
              <w:top w:val="nil"/>
              <w:left w:val="nil"/>
              <w:bottom w:val="nil"/>
              <w:right w:val="nil"/>
            </w:tcBorders>
            <w:shd w:val="clear" w:color="auto" w:fill="auto"/>
            <w:noWrap/>
            <w:vAlign w:val="bottom"/>
            <w:hideMark/>
          </w:tcPr>
          <w:p w14:paraId="1F24CEE5"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10 492</w:t>
            </w:r>
          </w:p>
        </w:tc>
      </w:tr>
      <w:tr w:rsidR="00DD531B" w:rsidRPr="00DD531B" w14:paraId="3B71C3D8" w14:textId="77777777" w:rsidTr="001F24AE">
        <w:trPr>
          <w:trHeight w:val="300"/>
        </w:trPr>
        <w:tc>
          <w:tcPr>
            <w:tcW w:w="2349" w:type="pct"/>
            <w:tcBorders>
              <w:top w:val="nil"/>
              <w:left w:val="nil"/>
              <w:bottom w:val="nil"/>
              <w:right w:val="nil"/>
            </w:tcBorders>
            <w:shd w:val="clear" w:color="auto" w:fill="auto"/>
            <w:noWrap/>
            <w:vAlign w:val="bottom"/>
            <w:hideMark/>
          </w:tcPr>
          <w:p w14:paraId="4869DCCF"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640 bežné transfery</w:t>
            </w:r>
          </w:p>
        </w:tc>
        <w:tc>
          <w:tcPr>
            <w:tcW w:w="360" w:type="pct"/>
            <w:tcBorders>
              <w:top w:val="nil"/>
              <w:left w:val="nil"/>
              <w:bottom w:val="nil"/>
              <w:right w:val="nil"/>
            </w:tcBorders>
            <w:shd w:val="clear" w:color="auto" w:fill="auto"/>
            <w:noWrap/>
            <w:vAlign w:val="bottom"/>
            <w:hideMark/>
          </w:tcPr>
          <w:p w14:paraId="2048D23C"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642</w:t>
            </w:r>
          </w:p>
        </w:tc>
        <w:tc>
          <w:tcPr>
            <w:tcW w:w="360" w:type="pct"/>
            <w:tcBorders>
              <w:top w:val="nil"/>
              <w:left w:val="nil"/>
              <w:bottom w:val="nil"/>
              <w:right w:val="nil"/>
            </w:tcBorders>
            <w:shd w:val="clear" w:color="auto" w:fill="auto"/>
            <w:noWrap/>
            <w:vAlign w:val="bottom"/>
            <w:hideMark/>
          </w:tcPr>
          <w:p w14:paraId="24B603E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523</w:t>
            </w:r>
          </w:p>
        </w:tc>
        <w:tc>
          <w:tcPr>
            <w:tcW w:w="372" w:type="pct"/>
            <w:tcBorders>
              <w:top w:val="nil"/>
              <w:left w:val="nil"/>
              <w:bottom w:val="nil"/>
              <w:right w:val="nil"/>
            </w:tcBorders>
            <w:shd w:val="clear" w:color="auto" w:fill="auto"/>
            <w:noWrap/>
            <w:vAlign w:val="bottom"/>
            <w:hideMark/>
          </w:tcPr>
          <w:p w14:paraId="75C00F3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687</w:t>
            </w:r>
          </w:p>
        </w:tc>
        <w:tc>
          <w:tcPr>
            <w:tcW w:w="442" w:type="pct"/>
            <w:tcBorders>
              <w:top w:val="nil"/>
              <w:left w:val="nil"/>
              <w:bottom w:val="nil"/>
              <w:right w:val="nil"/>
            </w:tcBorders>
            <w:shd w:val="clear" w:color="auto" w:fill="auto"/>
            <w:noWrap/>
            <w:vAlign w:val="bottom"/>
            <w:hideMark/>
          </w:tcPr>
          <w:p w14:paraId="64151642"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687</w:t>
            </w:r>
          </w:p>
        </w:tc>
        <w:tc>
          <w:tcPr>
            <w:tcW w:w="372" w:type="pct"/>
            <w:tcBorders>
              <w:top w:val="nil"/>
              <w:left w:val="nil"/>
              <w:bottom w:val="nil"/>
              <w:right w:val="nil"/>
            </w:tcBorders>
            <w:shd w:val="clear" w:color="auto" w:fill="auto"/>
            <w:noWrap/>
            <w:vAlign w:val="bottom"/>
            <w:hideMark/>
          </w:tcPr>
          <w:p w14:paraId="1803DB4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704</w:t>
            </w:r>
          </w:p>
        </w:tc>
        <w:tc>
          <w:tcPr>
            <w:tcW w:w="372" w:type="pct"/>
            <w:tcBorders>
              <w:top w:val="nil"/>
              <w:left w:val="nil"/>
              <w:bottom w:val="nil"/>
              <w:right w:val="nil"/>
            </w:tcBorders>
            <w:shd w:val="clear" w:color="auto" w:fill="auto"/>
            <w:noWrap/>
            <w:vAlign w:val="bottom"/>
            <w:hideMark/>
          </w:tcPr>
          <w:p w14:paraId="67005C4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704</w:t>
            </w:r>
          </w:p>
        </w:tc>
        <w:tc>
          <w:tcPr>
            <w:tcW w:w="372" w:type="pct"/>
            <w:tcBorders>
              <w:top w:val="nil"/>
              <w:left w:val="nil"/>
              <w:bottom w:val="nil"/>
              <w:right w:val="nil"/>
            </w:tcBorders>
            <w:shd w:val="clear" w:color="auto" w:fill="auto"/>
            <w:noWrap/>
            <w:vAlign w:val="bottom"/>
            <w:hideMark/>
          </w:tcPr>
          <w:p w14:paraId="13E10B0E"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704</w:t>
            </w:r>
          </w:p>
        </w:tc>
      </w:tr>
      <w:tr w:rsidR="00DD531B" w:rsidRPr="00DD531B" w14:paraId="3B67FE1C" w14:textId="77777777" w:rsidTr="001F24AE">
        <w:trPr>
          <w:trHeight w:val="300"/>
        </w:trPr>
        <w:tc>
          <w:tcPr>
            <w:tcW w:w="2349" w:type="pct"/>
            <w:tcBorders>
              <w:top w:val="nil"/>
              <w:left w:val="nil"/>
              <w:bottom w:val="nil"/>
              <w:right w:val="nil"/>
            </w:tcBorders>
            <w:shd w:val="clear" w:color="auto" w:fill="auto"/>
            <w:noWrap/>
            <w:vAlign w:val="bottom"/>
            <w:hideMark/>
          </w:tcPr>
          <w:p w14:paraId="1673124F"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kapitálové výdavky 700</w:t>
            </w:r>
          </w:p>
        </w:tc>
        <w:tc>
          <w:tcPr>
            <w:tcW w:w="360" w:type="pct"/>
            <w:tcBorders>
              <w:top w:val="nil"/>
              <w:left w:val="nil"/>
              <w:bottom w:val="nil"/>
              <w:right w:val="nil"/>
            </w:tcBorders>
            <w:shd w:val="clear" w:color="auto" w:fill="auto"/>
            <w:noWrap/>
            <w:vAlign w:val="bottom"/>
            <w:hideMark/>
          </w:tcPr>
          <w:p w14:paraId="57921632"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1 013</w:t>
            </w:r>
          </w:p>
        </w:tc>
        <w:tc>
          <w:tcPr>
            <w:tcW w:w="360" w:type="pct"/>
            <w:tcBorders>
              <w:top w:val="nil"/>
              <w:left w:val="nil"/>
              <w:bottom w:val="nil"/>
              <w:right w:val="nil"/>
            </w:tcBorders>
            <w:shd w:val="clear" w:color="auto" w:fill="auto"/>
            <w:noWrap/>
            <w:vAlign w:val="bottom"/>
            <w:hideMark/>
          </w:tcPr>
          <w:p w14:paraId="1A6A7088"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1 283</w:t>
            </w:r>
          </w:p>
        </w:tc>
        <w:tc>
          <w:tcPr>
            <w:tcW w:w="372" w:type="pct"/>
            <w:tcBorders>
              <w:top w:val="nil"/>
              <w:left w:val="nil"/>
              <w:bottom w:val="nil"/>
              <w:right w:val="nil"/>
            </w:tcBorders>
            <w:shd w:val="clear" w:color="auto" w:fill="auto"/>
            <w:noWrap/>
            <w:vAlign w:val="bottom"/>
            <w:hideMark/>
          </w:tcPr>
          <w:p w14:paraId="006BC842"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2 000</w:t>
            </w:r>
          </w:p>
        </w:tc>
        <w:tc>
          <w:tcPr>
            <w:tcW w:w="442" w:type="pct"/>
            <w:tcBorders>
              <w:top w:val="nil"/>
              <w:left w:val="nil"/>
              <w:bottom w:val="nil"/>
              <w:right w:val="nil"/>
            </w:tcBorders>
            <w:shd w:val="clear" w:color="auto" w:fill="auto"/>
            <w:noWrap/>
            <w:vAlign w:val="bottom"/>
            <w:hideMark/>
          </w:tcPr>
          <w:p w14:paraId="41EE3DF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2 990</w:t>
            </w:r>
          </w:p>
        </w:tc>
        <w:tc>
          <w:tcPr>
            <w:tcW w:w="372" w:type="pct"/>
            <w:tcBorders>
              <w:top w:val="nil"/>
              <w:left w:val="nil"/>
              <w:bottom w:val="nil"/>
              <w:right w:val="nil"/>
            </w:tcBorders>
            <w:shd w:val="clear" w:color="auto" w:fill="auto"/>
            <w:noWrap/>
            <w:vAlign w:val="bottom"/>
            <w:hideMark/>
          </w:tcPr>
          <w:p w14:paraId="6BCB996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2 669</w:t>
            </w:r>
          </w:p>
        </w:tc>
        <w:tc>
          <w:tcPr>
            <w:tcW w:w="372" w:type="pct"/>
            <w:tcBorders>
              <w:top w:val="nil"/>
              <w:left w:val="nil"/>
              <w:bottom w:val="nil"/>
              <w:right w:val="nil"/>
            </w:tcBorders>
            <w:shd w:val="clear" w:color="auto" w:fill="auto"/>
            <w:noWrap/>
            <w:vAlign w:val="bottom"/>
            <w:hideMark/>
          </w:tcPr>
          <w:p w14:paraId="7CC8C89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4 038</w:t>
            </w:r>
          </w:p>
        </w:tc>
        <w:tc>
          <w:tcPr>
            <w:tcW w:w="372" w:type="pct"/>
            <w:tcBorders>
              <w:top w:val="nil"/>
              <w:left w:val="nil"/>
              <w:bottom w:val="nil"/>
              <w:right w:val="nil"/>
            </w:tcBorders>
            <w:shd w:val="clear" w:color="auto" w:fill="auto"/>
            <w:noWrap/>
            <w:vAlign w:val="bottom"/>
            <w:hideMark/>
          </w:tcPr>
          <w:p w14:paraId="3DC4A12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3 450</w:t>
            </w:r>
          </w:p>
        </w:tc>
      </w:tr>
      <w:tr w:rsidR="00DD531B" w:rsidRPr="00DD531B" w14:paraId="55232AB0" w14:textId="77777777" w:rsidTr="001F24AE">
        <w:trPr>
          <w:trHeight w:val="300"/>
        </w:trPr>
        <w:tc>
          <w:tcPr>
            <w:tcW w:w="2349" w:type="pct"/>
            <w:tcBorders>
              <w:top w:val="nil"/>
              <w:left w:val="nil"/>
              <w:bottom w:val="nil"/>
              <w:right w:val="nil"/>
            </w:tcBorders>
            <w:shd w:val="clear" w:color="auto" w:fill="auto"/>
            <w:noWrap/>
            <w:vAlign w:val="bottom"/>
            <w:hideMark/>
          </w:tcPr>
          <w:p w14:paraId="1F8C4BF2" w14:textId="77777777" w:rsidR="00DD531B" w:rsidRPr="00661122" w:rsidRDefault="00DD531B" w:rsidP="00DD531B">
            <w:pPr>
              <w:spacing w:after="0" w:line="240" w:lineRule="auto"/>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zdroj EÚ vrátane spolufinancovania zo ŠR, v tom:</w:t>
            </w:r>
          </w:p>
        </w:tc>
        <w:tc>
          <w:tcPr>
            <w:tcW w:w="360" w:type="pct"/>
            <w:tcBorders>
              <w:top w:val="nil"/>
              <w:left w:val="nil"/>
              <w:bottom w:val="nil"/>
              <w:right w:val="nil"/>
            </w:tcBorders>
            <w:shd w:val="clear" w:color="auto" w:fill="auto"/>
            <w:noWrap/>
            <w:vAlign w:val="bottom"/>
            <w:hideMark/>
          </w:tcPr>
          <w:p w14:paraId="644A393C"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360" w:type="pct"/>
            <w:tcBorders>
              <w:top w:val="nil"/>
              <w:left w:val="nil"/>
              <w:bottom w:val="nil"/>
              <w:right w:val="nil"/>
            </w:tcBorders>
            <w:shd w:val="clear" w:color="auto" w:fill="auto"/>
            <w:noWrap/>
            <w:vAlign w:val="bottom"/>
            <w:hideMark/>
          </w:tcPr>
          <w:p w14:paraId="0E82A717"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4550CD3C"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442" w:type="pct"/>
            <w:tcBorders>
              <w:top w:val="nil"/>
              <w:left w:val="nil"/>
              <w:bottom w:val="nil"/>
              <w:right w:val="nil"/>
            </w:tcBorders>
            <w:shd w:val="clear" w:color="auto" w:fill="auto"/>
            <w:noWrap/>
            <w:vAlign w:val="bottom"/>
            <w:hideMark/>
          </w:tcPr>
          <w:p w14:paraId="47DE5342"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666</w:t>
            </w:r>
          </w:p>
        </w:tc>
        <w:tc>
          <w:tcPr>
            <w:tcW w:w="372" w:type="pct"/>
            <w:tcBorders>
              <w:top w:val="nil"/>
              <w:left w:val="nil"/>
              <w:bottom w:val="nil"/>
              <w:right w:val="nil"/>
            </w:tcBorders>
            <w:shd w:val="clear" w:color="auto" w:fill="auto"/>
            <w:noWrap/>
            <w:vAlign w:val="bottom"/>
            <w:hideMark/>
          </w:tcPr>
          <w:p w14:paraId="372CEA5C"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5127AE07"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7A4C1DE1"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r>
      <w:tr w:rsidR="00DD531B" w:rsidRPr="00DD531B" w14:paraId="2465618D" w14:textId="77777777" w:rsidTr="001F24AE">
        <w:trPr>
          <w:trHeight w:val="300"/>
        </w:trPr>
        <w:tc>
          <w:tcPr>
            <w:tcW w:w="2349" w:type="pct"/>
            <w:tcBorders>
              <w:top w:val="nil"/>
              <w:left w:val="nil"/>
              <w:bottom w:val="nil"/>
              <w:right w:val="nil"/>
            </w:tcBorders>
            <w:shd w:val="clear" w:color="auto" w:fill="auto"/>
            <w:noWrap/>
            <w:vAlign w:val="bottom"/>
            <w:hideMark/>
          </w:tcPr>
          <w:p w14:paraId="412975C8"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prostriedky EÚ</w:t>
            </w:r>
          </w:p>
        </w:tc>
        <w:tc>
          <w:tcPr>
            <w:tcW w:w="360" w:type="pct"/>
            <w:tcBorders>
              <w:top w:val="nil"/>
              <w:left w:val="nil"/>
              <w:bottom w:val="nil"/>
              <w:right w:val="nil"/>
            </w:tcBorders>
            <w:shd w:val="clear" w:color="auto" w:fill="auto"/>
            <w:noWrap/>
            <w:vAlign w:val="bottom"/>
            <w:hideMark/>
          </w:tcPr>
          <w:p w14:paraId="6E985D4F"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60" w:type="pct"/>
            <w:tcBorders>
              <w:top w:val="nil"/>
              <w:left w:val="nil"/>
              <w:bottom w:val="nil"/>
              <w:right w:val="nil"/>
            </w:tcBorders>
            <w:shd w:val="clear" w:color="auto" w:fill="auto"/>
            <w:noWrap/>
            <w:vAlign w:val="bottom"/>
            <w:hideMark/>
          </w:tcPr>
          <w:p w14:paraId="66408FD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55DC0E5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442" w:type="pct"/>
            <w:tcBorders>
              <w:top w:val="nil"/>
              <w:left w:val="nil"/>
              <w:bottom w:val="nil"/>
              <w:right w:val="nil"/>
            </w:tcBorders>
            <w:shd w:val="clear" w:color="auto" w:fill="auto"/>
            <w:noWrap/>
            <w:vAlign w:val="bottom"/>
            <w:hideMark/>
          </w:tcPr>
          <w:p w14:paraId="761EFF83"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501</w:t>
            </w:r>
          </w:p>
        </w:tc>
        <w:tc>
          <w:tcPr>
            <w:tcW w:w="372" w:type="pct"/>
            <w:tcBorders>
              <w:top w:val="nil"/>
              <w:left w:val="nil"/>
              <w:bottom w:val="nil"/>
              <w:right w:val="nil"/>
            </w:tcBorders>
            <w:shd w:val="clear" w:color="auto" w:fill="auto"/>
            <w:noWrap/>
            <w:vAlign w:val="bottom"/>
            <w:hideMark/>
          </w:tcPr>
          <w:p w14:paraId="1E3D319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2CA5129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53C76B1F"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r>
      <w:tr w:rsidR="00DD531B" w:rsidRPr="00DD531B" w14:paraId="7D99753D" w14:textId="77777777" w:rsidTr="001F24AE">
        <w:trPr>
          <w:trHeight w:val="300"/>
        </w:trPr>
        <w:tc>
          <w:tcPr>
            <w:tcW w:w="2349" w:type="pct"/>
            <w:tcBorders>
              <w:top w:val="nil"/>
              <w:left w:val="nil"/>
              <w:bottom w:val="nil"/>
              <w:right w:val="nil"/>
            </w:tcBorders>
            <w:shd w:val="clear" w:color="auto" w:fill="auto"/>
            <w:noWrap/>
            <w:vAlign w:val="bottom"/>
            <w:hideMark/>
          </w:tcPr>
          <w:p w14:paraId="605C172B"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spolufinancovanie zo ŠR</w:t>
            </w:r>
          </w:p>
        </w:tc>
        <w:tc>
          <w:tcPr>
            <w:tcW w:w="360" w:type="pct"/>
            <w:tcBorders>
              <w:top w:val="nil"/>
              <w:left w:val="nil"/>
              <w:bottom w:val="nil"/>
              <w:right w:val="nil"/>
            </w:tcBorders>
            <w:shd w:val="clear" w:color="auto" w:fill="auto"/>
            <w:noWrap/>
            <w:vAlign w:val="bottom"/>
            <w:hideMark/>
          </w:tcPr>
          <w:p w14:paraId="47F1A842"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60" w:type="pct"/>
            <w:tcBorders>
              <w:top w:val="nil"/>
              <w:left w:val="nil"/>
              <w:bottom w:val="nil"/>
              <w:right w:val="nil"/>
            </w:tcBorders>
            <w:shd w:val="clear" w:color="auto" w:fill="auto"/>
            <w:noWrap/>
            <w:vAlign w:val="bottom"/>
            <w:hideMark/>
          </w:tcPr>
          <w:p w14:paraId="1CD0CB70"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11194AE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442" w:type="pct"/>
            <w:tcBorders>
              <w:top w:val="nil"/>
              <w:left w:val="nil"/>
              <w:bottom w:val="nil"/>
              <w:right w:val="nil"/>
            </w:tcBorders>
            <w:shd w:val="clear" w:color="auto" w:fill="auto"/>
            <w:noWrap/>
            <w:vAlign w:val="bottom"/>
            <w:hideMark/>
          </w:tcPr>
          <w:p w14:paraId="125B30C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165</w:t>
            </w:r>
          </w:p>
        </w:tc>
        <w:tc>
          <w:tcPr>
            <w:tcW w:w="372" w:type="pct"/>
            <w:tcBorders>
              <w:top w:val="nil"/>
              <w:left w:val="nil"/>
              <w:bottom w:val="nil"/>
              <w:right w:val="nil"/>
            </w:tcBorders>
            <w:shd w:val="clear" w:color="auto" w:fill="auto"/>
            <w:noWrap/>
            <w:vAlign w:val="bottom"/>
            <w:hideMark/>
          </w:tcPr>
          <w:p w14:paraId="4F6ADFE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521BFE00"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16EC2D7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r>
      <w:tr w:rsidR="00DD531B" w:rsidRPr="00DD531B" w14:paraId="42F6E23F" w14:textId="77777777" w:rsidTr="001F24AE">
        <w:trPr>
          <w:trHeight w:val="300"/>
        </w:trPr>
        <w:tc>
          <w:tcPr>
            <w:tcW w:w="2349" w:type="pct"/>
            <w:tcBorders>
              <w:top w:val="nil"/>
              <w:left w:val="nil"/>
              <w:bottom w:val="nil"/>
              <w:right w:val="nil"/>
            </w:tcBorders>
            <w:shd w:val="clear" w:color="auto" w:fill="auto"/>
            <w:noWrap/>
            <w:vAlign w:val="bottom"/>
            <w:hideMark/>
          </w:tcPr>
          <w:p w14:paraId="03338FCA" w14:textId="77777777" w:rsidR="00DD531B" w:rsidRPr="00661122" w:rsidRDefault="00DD531B" w:rsidP="00DD531B">
            <w:pPr>
              <w:spacing w:after="0" w:line="240" w:lineRule="auto"/>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presun z minulých rokov § 8, v tom:</w:t>
            </w:r>
          </w:p>
        </w:tc>
        <w:tc>
          <w:tcPr>
            <w:tcW w:w="360" w:type="pct"/>
            <w:tcBorders>
              <w:top w:val="nil"/>
              <w:left w:val="nil"/>
              <w:bottom w:val="nil"/>
              <w:right w:val="nil"/>
            </w:tcBorders>
            <w:shd w:val="clear" w:color="auto" w:fill="auto"/>
            <w:noWrap/>
            <w:vAlign w:val="bottom"/>
            <w:hideMark/>
          </w:tcPr>
          <w:p w14:paraId="6C1FD7C7"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5 056</w:t>
            </w:r>
          </w:p>
        </w:tc>
        <w:tc>
          <w:tcPr>
            <w:tcW w:w="360" w:type="pct"/>
            <w:tcBorders>
              <w:top w:val="nil"/>
              <w:left w:val="nil"/>
              <w:bottom w:val="nil"/>
              <w:right w:val="nil"/>
            </w:tcBorders>
            <w:shd w:val="clear" w:color="auto" w:fill="auto"/>
            <w:noWrap/>
            <w:vAlign w:val="bottom"/>
            <w:hideMark/>
          </w:tcPr>
          <w:p w14:paraId="1CA5CB42"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5 092</w:t>
            </w:r>
          </w:p>
        </w:tc>
        <w:tc>
          <w:tcPr>
            <w:tcW w:w="372" w:type="pct"/>
            <w:tcBorders>
              <w:top w:val="nil"/>
              <w:left w:val="nil"/>
              <w:bottom w:val="nil"/>
              <w:right w:val="nil"/>
            </w:tcBorders>
            <w:shd w:val="clear" w:color="auto" w:fill="auto"/>
            <w:noWrap/>
            <w:vAlign w:val="bottom"/>
            <w:hideMark/>
          </w:tcPr>
          <w:p w14:paraId="1F7364FE"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442" w:type="pct"/>
            <w:tcBorders>
              <w:top w:val="nil"/>
              <w:left w:val="nil"/>
              <w:bottom w:val="nil"/>
              <w:right w:val="nil"/>
            </w:tcBorders>
            <w:shd w:val="clear" w:color="auto" w:fill="auto"/>
            <w:noWrap/>
            <w:vAlign w:val="bottom"/>
            <w:hideMark/>
          </w:tcPr>
          <w:p w14:paraId="28F618BA"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2 973</w:t>
            </w:r>
          </w:p>
        </w:tc>
        <w:tc>
          <w:tcPr>
            <w:tcW w:w="372" w:type="pct"/>
            <w:tcBorders>
              <w:top w:val="nil"/>
              <w:left w:val="nil"/>
              <w:bottom w:val="nil"/>
              <w:right w:val="nil"/>
            </w:tcBorders>
            <w:shd w:val="clear" w:color="auto" w:fill="auto"/>
            <w:noWrap/>
            <w:vAlign w:val="bottom"/>
            <w:hideMark/>
          </w:tcPr>
          <w:p w14:paraId="041F50BF"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40695334"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23A9C4FD"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r>
      <w:tr w:rsidR="00DD531B" w:rsidRPr="00DD531B" w14:paraId="05A510FD" w14:textId="77777777" w:rsidTr="001F24AE">
        <w:trPr>
          <w:trHeight w:val="300"/>
        </w:trPr>
        <w:tc>
          <w:tcPr>
            <w:tcW w:w="2349" w:type="pct"/>
            <w:tcBorders>
              <w:top w:val="nil"/>
              <w:left w:val="nil"/>
              <w:bottom w:val="single" w:sz="4" w:space="0" w:color="auto"/>
              <w:right w:val="nil"/>
            </w:tcBorders>
            <w:shd w:val="clear" w:color="auto" w:fill="auto"/>
            <w:noWrap/>
            <w:vAlign w:val="bottom"/>
            <w:hideMark/>
          </w:tcPr>
          <w:p w14:paraId="1452578B"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štátny rozpočet</w:t>
            </w:r>
          </w:p>
        </w:tc>
        <w:tc>
          <w:tcPr>
            <w:tcW w:w="360" w:type="pct"/>
            <w:tcBorders>
              <w:top w:val="nil"/>
              <w:left w:val="nil"/>
              <w:bottom w:val="single" w:sz="4" w:space="0" w:color="auto"/>
              <w:right w:val="nil"/>
            </w:tcBorders>
            <w:shd w:val="clear" w:color="auto" w:fill="auto"/>
            <w:noWrap/>
            <w:vAlign w:val="bottom"/>
            <w:hideMark/>
          </w:tcPr>
          <w:p w14:paraId="35F51C01"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5 056</w:t>
            </w:r>
          </w:p>
        </w:tc>
        <w:tc>
          <w:tcPr>
            <w:tcW w:w="360" w:type="pct"/>
            <w:tcBorders>
              <w:top w:val="nil"/>
              <w:left w:val="nil"/>
              <w:bottom w:val="single" w:sz="4" w:space="0" w:color="auto"/>
              <w:right w:val="nil"/>
            </w:tcBorders>
            <w:shd w:val="clear" w:color="auto" w:fill="auto"/>
            <w:noWrap/>
            <w:vAlign w:val="bottom"/>
            <w:hideMark/>
          </w:tcPr>
          <w:p w14:paraId="1740282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5 092</w:t>
            </w:r>
          </w:p>
        </w:tc>
        <w:tc>
          <w:tcPr>
            <w:tcW w:w="372" w:type="pct"/>
            <w:tcBorders>
              <w:top w:val="nil"/>
              <w:left w:val="nil"/>
              <w:bottom w:val="single" w:sz="4" w:space="0" w:color="auto"/>
              <w:right w:val="nil"/>
            </w:tcBorders>
            <w:shd w:val="clear" w:color="auto" w:fill="auto"/>
            <w:noWrap/>
            <w:vAlign w:val="bottom"/>
            <w:hideMark/>
          </w:tcPr>
          <w:p w14:paraId="13515F8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442" w:type="pct"/>
            <w:tcBorders>
              <w:top w:val="nil"/>
              <w:left w:val="nil"/>
              <w:bottom w:val="single" w:sz="4" w:space="0" w:color="auto"/>
              <w:right w:val="nil"/>
            </w:tcBorders>
            <w:shd w:val="clear" w:color="auto" w:fill="auto"/>
            <w:noWrap/>
            <w:vAlign w:val="bottom"/>
            <w:hideMark/>
          </w:tcPr>
          <w:p w14:paraId="33CB4F9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2 973</w:t>
            </w:r>
          </w:p>
        </w:tc>
        <w:tc>
          <w:tcPr>
            <w:tcW w:w="372" w:type="pct"/>
            <w:tcBorders>
              <w:top w:val="nil"/>
              <w:left w:val="nil"/>
              <w:bottom w:val="single" w:sz="4" w:space="0" w:color="auto"/>
              <w:right w:val="nil"/>
            </w:tcBorders>
            <w:shd w:val="clear" w:color="auto" w:fill="auto"/>
            <w:noWrap/>
            <w:vAlign w:val="bottom"/>
            <w:hideMark/>
          </w:tcPr>
          <w:p w14:paraId="19B9CDA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72" w:type="pct"/>
            <w:tcBorders>
              <w:top w:val="nil"/>
              <w:left w:val="nil"/>
              <w:bottom w:val="single" w:sz="4" w:space="0" w:color="auto"/>
              <w:right w:val="nil"/>
            </w:tcBorders>
            <w:shd w:val="clear" w:color="auto" w:fill="auto"/>
            <w:noWrap/>
            <w:vAlign w:val="bottom"/>
            <w:hideMark/>
          </w:tcPr>
          <w:p w14:paraId="0813E33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372" w:type="pct"/>
            <w:tcBorders>
              <w:top w:val="nil"/>
              <w:left w:val="nil"/>
              <w:bottom w:val="single" w:sz="4" w:space="0" w:color="auto"/>
              <w:right w:val="nil"/>
            </w:tcBorders>
            <w:shd w:val="clear" w:color="auto" w:fill="auto"/>
            <w:noWrap/>
            <w:vAlign w:val="bottom"/>
            <w:hideMark/>
          </w:tcPr>
          <w:p w14:paraId="7E00F432"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r>
    </w:tbl>
    <w:p w14:paraId="28895FE7" w14:textId="77777777" w:rsidR="00DD531B" w:rsidRPr="00DD531B" w:rsidRDefault="00DD531B" w:rsidP="00DD531B">
      <w:pPr>
        <w:rPr>
          <w:rFonts w:ascii="Times New Roman" w:eastAsia="Calibri" w:hAnsi="Times New Roman" w:cs="Times New Roman"/>
        </w:rPr>
      </w:pPr>
    </w:p>
    <w:p w14:paraId="3930D7EB" w14:textId="0649E4BC" w:rsidR="00DD531B" w:rsidRPr="00661122" w:rsidRDefault="00DD531B" w:rsidP="00DD531B">
      <w:pPr>
        <w:keepNext/>
        <w:keepLines/>
        <w:spacing w:before="40" w:after="0"/>
        <w:outlineLvl w:val="1"/>
        <w:rPr>
          <w:rFonts w:ascii="Times New Roman" w:eastAsia="Times New Roman" w:hAnsi="Times New Roman" w:cs="Times New Roman"/>
          <w:b/>
          <w:color w:val="5B9BD5" w:themeColor="accent1"/>
          <w:sz w:val="24"/>
          <w:szCs w:val="24"/>
        </w:rPr>
      </w:pPr>
      <w:r w:rsidRPr="00661122">
        <w:rPr>
          <w:rFonts w:ascii="Times New Roman" w:eastAsia="Times New Roman" w:hAnsi="Times New Roman" w:cs="Times New Roman"/>
          <w:b/>
          <w:color w:val="5B9BD5" w:themeColor="accent1"/>
          <w:sz w:val="24"/>
          <w:szCs w:val="24"/>
        </w:rPr>
        <w:t>Štatistický úrad SR</w:t>
      </w:r>
    </w:p>
    <w:p w14:paraId="21D81249" w14:textId="77777777" w:rsidR="00DD531B" w:rsidRPr="00DD531B" w:rsidRDefault="00DD531B" w:rsidP="00DD531B">
      <w:pPr>
        <w:rPr>
          <w:rFonts w:ascii="Times New Roman" w:eastAsia="Calibri" w:hAnsi="Times New Roman" w:cs="Times New Roman"/>
        </w:rPr>
      </w:pPr>
    </w:p>
    <w:p w14:paraId="79425208" w14:textId="74019616" w:rsidR="00DD531B" w:rsidRPr="00661122" w:rsidRDefault="00661122"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29" w:name="_Toc153013099"/>
      <w:r w:rsidRPr="00661122">
        <w:rPr>
          <w:rFonts w:ascii="Times New Roman" w:eastAsia="Times New Roman" w:hAnsi="Times New Roman" w:cs="Times New Roman"/>
          <w:b/>
          <w:iCs/>
          <w:color w:val="5B9BD5" w:themeColor="accent1"/>
          <w:sz w:val="20"/>
          <w:szCs w:val="20"/>
          <w:lang w:eastAsia="sk-SK"/>
        </w:rPr>
        <w:t xml:space="preserve">Tabuľka </w:t>
      </w:r>
      <w:r w:rsidRPr="00661122">
        <w:rPr>
          <w:rFonts w:ascii="Times New Roman" w:hAnsi="Times New Roman" w:cs="Times New Roman"/>
          <w:b/>
          <w:color w:val="5B9BD5" w:themeColor="accent1"/>
          <w:sz w:val="20"/>
          <w:szCs w:val="20"/>
        </w:rPr>
        <w:fldChar w:fldCharType="begin"/>
      </w:r>
      <w:r w:rsidRPr="00661122">
        <w:rPr>
          <w:rFonts w:ascii="Times New Roman" w:hAnsi="Times New Roman" w:cs="Times New Roman"/>
          <w:b/>
          <w:color w:val="5B9BD5" w:themeColor="accent1"/>
          <w:sz w:val="20"/>
          <w:szCs w:val="20"/>
        </w:rPr>
        <w:instrText xml:space="preserve"> SEQ Tabuľka \* ARABIC </w:instrText>
      </w:r>
      <w:r w:rsidRPr="00661122">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101</w:t>
      </w:r>
      <w:r w:rsidRPr="00661122">
        <w:rPr>
          <w:rFonts w:ascii="Times New Roman" w:hAnsi="Times New Roman" w:cs="Times New Roman"/>
          <w:b/>
          <w:color w:val="5B9BD5" w:themeColor="accent1"/>
          <w:sz w:val="20"/>
          <w:szCs w:val="20"/>
        </w:rPr>
        <w:fldChar w:fldCharType="end"/>
      </w:r>
      <w:r w:rsidRPr="00661122">
        <w:rPr>
          <w:rFonts w:ascii="Times New Roman" w:hAnsi="Times New Roman" w:cs="Times New Roman"/>
          <w:b/>
          <w:color w:val="5B9BD5" w:themeColor="accent1"/>
          <w:sz w:val="20"/>
          <w:szCs w:val="20"/>
        </w:rPr>
        <w:t xml:space="preserve"> - </w:t>
      </w:r>
      <w:r w:rsidR="00DD531B" w:rsidRPr="00661122">
        <w:rPr>
          <w:rFonts w:ascii="Times New Roman" w:eastAsia="Times New Roman" w:hAnsi="Times New Roman" w:cs="Times New Roman"/>
          <w:b/>
          <w:iCs/>
          <w:color w:val="5B9BD5" w:themeColor="accent1"/>
          <w:sz w:val="20"/>
          <w:szCs w:val="20"/>
          <w:lang w:eastAsia="sk-SK"/>
        </w:rPr>
        <w:t>Príjmy kapitoly ŠÚ SR</w:t>
      </w:r>
      <w:bookmarkEnd w:id="229"/>
    </w:p>
    <w:tbl>
      <w:tblPr>
        <w:tblW w:w="5000" w:type="pct"/>
        <w:tblCellMar>
          <w:left w:w="70" w:type="dxa"/>
          <w:right w:w="70" w:type="dxa"/>
        </w:tblCellMar>
        <w:tblLook w:val="04A0" w:firstRow="1" w:lastRow="0" w:firstColumn="1" w:lastColumn="0" w:noHBand="0" w:noVBand="1"/>
      </w:tblPr>
      <w:tblGrid>
        <w:gridCol w:w="3862"/>
        <w:gridCol w:w="709"/>
        <w:gridCol w:w="708"/>
        <w:gridCol w:w="731"/>
        <w:gridCol w:w="869"/>
        <w:gridCol w:w="731"/>
        <w:gridCol w:w="731"/>
        <w:gridCol w:w="731"/>
      </w:tblGrid>
      <w:tr w:rsidR="00DD531B" w:rsidRPr="00DD531B" w14:paraId="6D511530" w14:textId="77777777" w:rsidTr="001F24AE">
        <w:trPr>
          <w:trHeight w:val="300"/>
        </w:trPr>
        <w:tc>
          <w:tcPr>
            <w:tcW w:w="2128" w:type="pct"/>
            <w:tcBorders>
              <w:top w:val="single" w:sz="4" w:space="0" w:color="auto"/>
              <w:left w:val="nil"/>
              <w:bottom w:val="single" w:sz="4" w:space="0" w:color="auto"/>
              <w:right w:val="nil"/>
            </w:tcBorders>
            <w:shd w:val="clear" w:color="auto" w:fill="auto"/>
            <w:noWrap/>
            <w:vAlign w:val="center"/>
            <w:hideMark/>
          </w:tcPr>
          <w:p w14:paraId="0052031B" w14:textId="77777777" w:rsidR="00DD531B" w:rsidRPr="00661122" w:rsidRDefault="00DD531B" w:rsidP="00DD531B">
            <w:pPr>
              <w:spacing w:after="0" w:line="240" w:lineRule="auto"/>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v tis. eur</w:t>
            </w:r>
          </w:p>
        </w:tc>
        <w:tc>
          <w:tcPr>
            <w:tcW w:w="390" w:type="pct"/>
            <w:tcBorders>
              <w:top w:val="single" w:sz="4" w:space="0" w:color="auto"/>
              <w:left w:val="nil"/>
              <w:bottom w:val="single" w:sz="4" w:space="0" w:color="auto"/>
              <w:right w:val="nil"/>
            </w:tcBorders>
            <w:shd w:val="clear" w:color="auto" w:fill="auto"/>
            <w:noWrap/>
            <w:vAlign w:val="center"/>
            <w:hideMark/>
          </w:tcPr>
          <w:p w14:paraId="654DE292"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2021 S</w:t>
            </w:r>
          </w:p>
        </w:tc>
        <w:tc>
          <w:tcPr>
            <w:tcW w:w="390" w:type="pct"/>
            <w:tcBorders>
              <w:top w:val="single" w:sz="4" w:space="0" w:color="auto"/>
              <w:left w:val="nil"/>
              <w:bottom w:val="single" w:sz="4" w:space="0" w:color="auto"/>
              <w:right w:val="nil"/>
            </w:tcBorders>
            <w:shd w:val="clear" w:color="auto" w:fill="auto"/>
            <w:noWrap/>
            <w:vAlign w:val="center"/>
            <w:hideMark/>
          </w:tcPr>
          <w:p w14:paraId="77F9EAFB"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2022 S</w:t>
            </w:r>
          </w:p>
        </w:tc>
        <w:tc>
          <w:tcPr>
            <w:tcW w:w="403" w:type="pct"/>
            <w:tcBorders>
              <w:top w:val="single" w:sz="4" w:space="0" w:color="auto"/>
              <w:left w:val="nil"/>
              <w:bottom w:val="single" w:sz="4" w:space="0" w:color="auto"/>
              <w:right w:val="nil"/>
            </w:tcBorders>
            <w:shd w:val="clear" w:color="auto" w:fill="auto"/>
            <w:noWrap/>
            <w:vAlign w:val="center"/>
            <w:hideMark/>
          </w:tcPr>
          <w:p w14:paraId="49B895A5"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2023 R</w:t>
            </w:r>
          </w:p>
        </w:tc>
        <w:tc>
          <w:tcPr>
            <w:tcW w:w="479" w:type="pct"/>
            <w:tcBorders>
              <w:top w:val="single" w:sz="4" w:space="0" w:color="auto"/>
              <w:left w:val="nil"/>
              <w:bottom w:val="single" w:sz="4" w:space="0" w:color="auto"/>
              <w:right w:val="nil"/>
            </w:tcBorders>
            <w:shd w:val="clear" w:color="auto" w:fill="auto"/>
            <w:noWrap/>
            <w:vAlign w:val="center"/>
            <w:hideMark/>
          </w:tcPr>
          <w:p w14:paraId="4951BB86"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2023 OS</w:t>
            </w:r>
          </w:p>
        </w:tc>
        <w:tc>
          <w:tcPr>
            <w:tcW w:w="403" w:type="pct"/>
            <w:tcBorders>
              <w:top w:val="single" w:sz="4" w:space="0" w:color="auto"/>
              <w:left w:val="nil"/>
              <w:bottom w:val="single" w:sz="4" w:space="0" w:color="auto"/>
              <w:right w:val="nil"/>
            </w:tcBorders>
            <w:shd w:val="clear" w:color="auto" w:fill="auto"/>
            <w:noWrap/>
            <w:vAlign w:val="center"/>
            <w:hideMark/>
          </w:tcPr>
          <w:p w14:paraId="5F93E2B0"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2024 N</w:t>
            </w:r>
          </w:p>
        </w:tc>
        <w:tc>
          <w:tcPr>
            <w:tcW w:w="403" w:type="pct"/>
            <w:tcBorders>
              <w:top w:val="single" w:sz="4" w:space="0" w:color="auto"/>
              <w:left w:val="nil"/>
              <w:bottom w:val="single" w:sz="4" w:space="0" w:color="auto"/>
              <w:right w:val="nil"/>
            </w:tcBorders>
            <w:shd w:val="clear" w:color="auto" w:fill="auto"/>
            <w:noWrap/>
            <w:vAlign w:val="center"/>
            <w:hideMark/>
          </w:tcPr>
          <w:p w14:paraId="476C6011"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2025 N</w:t>
            </w:r>
          </w:p>
        </w:tc>
        <w:tc>
          <w:tcPr>
            <w:tcW w:w="403" w:type="pct"/>
            <w:tcBorders>
              <w:top w:val="single" w:sz="4" w:space="0" w:color="auto"/>
              <w:left w:val="nil"/>
              <w:bottom w:val="single" w:sz="4" w:space="0" w:color="auto"/>
              <w:right w:val="nil"/>
            </w:tcBorders>
            <w:shd w:val="clear" w:color="auto" w:fill="auto"/>
            <w:noWrap/>
            <w:vAlign w:val="center"/>
            <w:hideMark/>
          </w:tcPr>
          <w:p w14:paraId="23AE35C2"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2026 N</w:t>
            </w:r>
          </w:p>
        </w:tc>
      </w:tr>
      <w:tr w:rsidR="00DD531B" w:rsidRPr="00DD531B" w14:paraId="0DB3C60A" w14:textId="77777777" w:rsidTr="001F24AE">
        <w:trPr>
          <w:trHeight w:val="300"/>
        </w:trPr>
        <w:tc>
          <w:tcPr>
            <w:tcW w:w="2128" w:type="pct"/>
            <w:tcBorders>
              <w:top w:val="nil"/>
              <w:left w:val="nil"/>
              <w:bottom w:val="nil"/>
              <w:right w:val="nil"/>
            </w:tcBorders>
            <w:shd w:val="clear" w:color="auto" w:fill="auto"/>
            <w:noWrap/>
            <w:vAlign w:val="bottom"/>
            <w:hideMark/>
          </w:tcPr>
          <w:p w14:paraId="5AA6B7BD" w14:textId="77777777" w:rsidR="00DD531B" w:rsidRPr="00661122" w:rsidRDefault="00DD531B" w:rsidP="00DD531B">
            <w:pPr>
              <w:spacing w:after="0" w:line="240" w:lineRule="auto"/>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Príjmy kapitoly spolu</w:t>
            </w:r>
          </w:p>
        </w:tc>
        <w:tc>
          <w:tcPr>
            <w:tcW w:w="390" w:type="pct"/>
            <w:tcBorders>
              <w:top w:val="nil"/>
              <w:left w:val="nil"/>
              <w:bottom w:val="nil"/>
              <w:right w:val="nil"/>
            </w:tcBorders>
            <w:shd w:val="clear" w:color="auto" w:fill="auto"/>
            <w:noWrap/>
            <w:vAlign w:val="bottom"/>
            <w:hideMark/>
          </w:tcPr>
          <w:p w14:paraId="48E3BDAD"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82</w:t>
            </w:r>
          </w:p>
        </w:tc>
        <w:tc>
          <w:tcPr>
            <w:tcW w:w="390" w:type="pct"/>
            <w:tcBorders>
              <w:top w:val="nil"/>
              <w:left w:val="nil"/>
              <w:bottom w:val="nil"/>
              <w:right w:val="nil"/>
            </w:tcBorders>
            <w:shd w:val="clear" w:color="auto" w:fill="auto"/>
            <w:noWrap/>
            <w:vAlign w:val="bottom"/>
            <w:hideMark/>
          </w:tcPr>
          <w:p w14:paraId="63F084E4"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392</w:t>
            </w:r>
          </w:p>
        </w:tc>
        <w:tc>
          <w:tcPr>
            <w:tcW w:w="403" w:type="pct"/>
            <w:tcBorders>
              <w:top w:val="nil"/>
              <w:left w:val="nil"/>
              <w:bottom w:val="nil"/>
              <w:right w:val="nil"/>
            </w:tcBorders>
            <w:shd w:val="clear" w:color="auto" w:fill="auto"/>
            <w:noWrap/>
            <w:vAlign w:val="bottom"/>
            <w:hideMark/>
          </w:tcPr>
          <w:p w14:paraId="1D270003"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90</w:t>
            </w:r>
          </w:p>
        </w:tc>
        <w:tc>
          <w:tcPr>
            <w:tcW w:w="479" w:type="pct"/>
            <w:tcBorders>
              <w:top w:val="nil"/>
              <w:left w:val="nil"/>
              <w:bottom w:val="nil"/>
              <w:right w:val="nil"/>
            </w:tcBorders>
            <w:shd w:val="clear" w:color="auto" w:fill="auto"/>
            <w:noWrap/>
            <w:vAlign w:val="bottom"/>
            <w:hideMark/>
          </w:tcPr>
          <w:p w14:paraId="7C383D1E"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90</w:t>
            </w:r>
          </w:p>
        </w:tc>
        <w:tc>
          <w:tcPr>
            <w:tcW w:w="403" w:type="pct"/>
            <w:tcBorders>
              <w:top w:val="nil"/>
              <w:left w:val="nil"/>
              <w:bottom w:val="nil"/>
              <w:right w:val="nil"/>
            </w:tcBorders>
            <w:shd w:val="clear" w:color="auto" w:fill="auto"/>
            <w:noWrap/>
            <w:vAlign w:val="bottom"/>
            <w:hideMark/>
          </w:tcPr>
          <w:p w14:paraId="148D936C"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90</w:t>
            </w:r>
          </w:p>
        </w:tc>
        <w:tc>
          <w:tcPr>
            <w:tcW w:w="403" w:type="pct"/>
            <w:tcBorders>
              <w:top w:val="nil"/>
              <w:left w:val="nil"/>
              <w:bottom w:val="nil"/>
              <w:right w:val="nil"/>
            </w:tcBorders>
            <w:shd w:val="clear" w:color="auto" w:fill="auto"/>
            <w:noWrap/>
            <w:vAlign w:val="bottom"/>
            <w:hideMark/>
          </w:tcPr>
          <w:p w14:paraId="165D62E4"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90</w:t>
            </w:r>
          </w:p>
        </w:tc>
        <w:tc>
          <w:tcPr>
            <w:tcW w:w="403" w:type="pct"/>
            <w:tcBorders>
              <w:top w:val="nil"/>
              <w:left w:val="nil"/>
              <w:bottom w:val="nil"/>
              <w:right w:val="nil"/>
            </w:tcBorders>
            <w:shd w:val="clear" w:color="auto" w:fill="auto"/>
            <w:noWrap/>
            <w:vAlign w:val="bottom"/>
            <w:hideMark/>
          </w:tcPr>
          <w:p w14:paraId="17A77157" w14:textId="77777777" w:rsidR="00DD531B" w:rsidRPr="00661122"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90</w:t>
            </w:r>
          </w:p>
        </w:tc>
      </w:tr>
      <w:tr w:rsidR="00DD531B" w:rsidRPr="00DD531B" w14:paraId="6874C125" w14:textId="77777777" w:rsidTr="001F24AE">
        <w:trPr>
          <w:trHeight w:val="300"/>
        </w:trPr>
        <w:tc>
          <w:tcPr>
            <w:tcW w:w="2128" w:type="pct"/>
            <w:tcBorders>
              <w:top w:val="nil"/>
              <w:left w:val="nil"/>
              <w:bottom w:val="single" w:sz="4" w:space="0" w:color="auto"/>
              <w:right w:val="nil"/>
            </w:tcBorders>
            <w:shd w:val="clear" w:color="auto" w:fill="auto"/>
            <w:noWrap/>
            <w:vAlign w:val="bottom"/>
            <w:hideMark/>
          </w:tcPr>
          <w:p w14:paraId="44C12049" w14:textId="77777777" w:rsidR="00DD531B" w:rsidRPr="00661122" w:rsidRDefault="00DD531B" w:rsidP="00DD531B">
            <w:pPr>
              <w:spacing w:after="0" w:line="240" w:lineRule="auto"/>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nedaňové príjmy</w:t>
            </w:r>
          </w:p>
        </w:tc>
        <w:tc>
          <w:tcPr>
            <w:tcW w:w="390" w:type="pct"/>
            <w:tcBorders>
              <w:top w:val="nil"/>
              <w:left w:val="nil"/>
              <w:bottom w:val="single" w:sz="4" w:space="0" w:color="auto"/>
              <w:right w:val="nil"/>
            </w:tcBorders>
            <w:shd w:val="clear" w:color="auto" w:fill="auto"/>
            <w:noWrap/>
            <w:vAlign w:val="bottom"/>
            <w:hideMark/>
          </w:tcPr>
          <w:p w14:paraId="4000624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82</w:t>
            </w:r>
          </w:p>
        </w:tc>
        <w:tc>
          <w:tcPr>
            <w:tcW w:w="390" w:type="pct"/>
            <w:tcBorders>
              <w:top w:val="nil"/>
              <w:left w:val="nil"/>
              <w:bottom w:val="single" w:sz="4" w:space="0" w:color="auto"/>
              <w:right w:val="nil"/>
            </w:tcBorders>
            <w:shd w:val="clear" w:color="auto" w:fill="auto"/>
            <w:noWrap/>
            <w:vAlign w:val="bottom"/>
            <w:hideMark/>
          </w:tcPr>
          <w:p w14:paraId="69C6AB0F"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392</w:t>
            </w:r>
          </w:p>
        </w:tc>
        <w:tc>
          <w:tcPr>
            <w:tcW w:w="403" w:type="pct"/>
            <w:tcBorders>
              <w:top w:val="nil"/>
              <w:left w:val="nil"/>
              <w:bottom w:val="single" w:sz="4" w:space="0" w:color="auto"/>
              <w:right w:val="nil"/>
            </w:tcBorders>
            <w:shd w:val="clear" w:color="auto" w:fill="auto"/>
            <w:noWrap/>
            <w:vAlign w:val="bottom"/>
            <w:hideMark/>
          </w:tcPr>
          <w:p w14:paraId="059D4EEC"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90</w:t>
            </w:r>
          </w:p>
        </w:tc>
        <w:tc>
          <w:tcPr>
            <w:tcW w:w="479" w:type="pct"/>
            <w:tcBorders>
              <w:top w:val="nil"/>
              <w:left w:val="nil"/>
              <w:bottom w:val="single" w:sz="4" w:space="0" w:color="auto"/>
              <w:right w:val="nil"/>
            </w:tcBorders>
            <w:shd w:val="clear" w:color="auto" w:fill="auto"/>
            <w:noWrap/>
            <w:vAlign w:val="bottom"/>
            <w:hideMark/>
          </w:tcPr>
          <w:p w14:paraId="7EE9597F"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90</w:t>
            </w:r>
          </w:p>
        </w:tc>
        <w:tc>
          <w:tcPr>
            <w:tcW w:w="403" w:type="pct"/>
            <w:tcBorders>
              <w:top w:val="nil"/>
              <w:left w:val="nil"/>
              <w:bottom w:val="single" w:sz="4" w:space="0" w:color="auto"/>
              <w:right w:val="nil"/>
            </w:tcBorders>
            <w:shd w:val="clear" w:color="auto" w:fill="auto"/>
            <w:noWrap/>
            <w:vAlign w:val="bottom"/>
            <w:hideMark/>
          </w:tcPr>
          <w:p w14:paraId="591B4BF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90</w:t>
            </w:r>
          </w:p>
        </w:tc>
        <w:tc>
          <w:tcPr>
            <w:tcW w:w="403" w:type="pct"/>
            <w:tcBorders>
              <w:top w:val="nil"/>
              <w:left w:val="nil"/>
              <w:bottom w:val="single" w:sz="4" w:space="0" w:color="auto"/>
              <w:right w:val="nil"/>
            </w:tcBorders>
            <w:shd w:val="clear" w:color="auto" w:fill="auto"/>
            <w:noWrap/>
            <w:vAlign w:val="bottom"/>
            <w:hideMark/>
          </w:tcPr>
          <w:p w14:paraId="073DC25C"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90</w:t>
            </w:r>
          </w:p>
        </w:tc>
        <w:tc>
          <w:tcPr>
            <w:tcW w:w="403" w:type="pct"/>
            <w:tcBorders>
              <w:top w:val="nil"/>
              <w:left w:val="nil"/>
              <w:bottom w:val="single" w:sz="4" w:space="0" w:color="auto"/>
              <w:right w:val="nil"/>
            </w:tcBorders>
            <w:shd w:val="clear" w:color="auto" w:fill="auto"/>
            <w:noWrap/>
            <w:vAlign w:val="bottom"/>
            <w:hideMark/>
          </w:tcPr>
          <w:p w14:paraId="6755FA6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90</w:t>
            </w:r>
          </w:p>
        </w:tc>
      </w:tr>
    </w:tbl>
    <w:p w14:paraId="6222A652" w14:textId="77777777" w:rsidR="00DD531B" w:rsidRPr="00DD531B" w:rsidRDefault="00DD531B" w:rsidP="00DD531B">
      <w:pPr>
        <w:rPr>
          <w:rFonts w:ascii="Times New Roman" w:eastAsia="Calibri" w:hAnsi="Times New Roman" w:cs="Times New Roman"/>
        </w:rPr>
      </w:pPr>
    </w:p>
    <w:p w14:paraId="6653779F" w14:textId="339DE2E7" w:rsidR="00DD531B" w:rsidRPr="00661122" w:rsidRDefault="00661122"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30" w:name="_Toc153013100"/>
      <w:r w:rsidRPr="00661122">
        <w:rPr>
          <w:rFonts w:ascii="Times New Roman" w:eastAsia="Times New Roman" w:hAnsi="Times New Roman" w:cs="Times New Roman"/>
          <w:b/>
          <w:iCs/>
          <w:color w:val="5B9BD5" w:themeColor="accent1"/>
          <w:sz w:val="20"/>
          <w:szCs w:val="20"/>
          <w:lang w:eastAsia="sk-SK"/>
        </w:rPr>
        <w:t xml:space="preserve">Tabuľka </w:t>
      </w:r>
      <w:r w:rsidRPr="00661122">
        <w:rPr>
          <w:rFonts w:ascii="Times New Roman" w:hAnsi="Times New Roman" w:cs="Times New Roman"/>
          <w:b/>
          <w:color w:val="5B9BD5" w:themeColor="accent1"/>
          <w:sz w:val="20"/>
          <w:szCs w:val="20"/>
        </w:rPr>
        <w:fldChar w:fldCharType="begin"/>
      </w:r>
      <w:r w:rsidRPr="00661122">
        <w:rPr>
          <w:rFonts w:ascii="Times New Roman" w:hAnsi="Times New Roman" w:cs="Times New Roman"/>
          <w:b/>
          <w:color w:val="5B9BD5" w:themeColor="accent1"/>
          <w:sz w:val="20"/>
          <w:szCs w:val="20"/>
        </w:rPr>
        <w:instrText xml:space="preserve"> SEQ Tabuľka \* ARABIC </w:instrText>
      </w:r>
      <w:r w:rsidRPr="00661122">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102</w:t>
      </w:r>
      <w:r w:rsidRPr="00661122">
        <w:rPr>
          <w:rFonts w:ascii="Times New Roman" w:hAnsi="Times New Roman" w:cs="Times New Roman"/>
          <w:b/>
          <w:color w:val="5B9BD5" w:themeColor="accent1"/>
          <w:sz w:val="20"/>
          <w:szCs w:val="20"/>
        </w:rPr>
        <w:fldChar w:fldCharType="end"/>
      </w:r>
      <w:r w:rsidRPr="00661122">
        <w:rPr>
          <w:rFonts w:ascii="Times New Roman" w:hAnsi="Times New Roman" w:cs="Times New Roman"/>
          <w:b/>
          <w:color w:val="5B9BD5" w:themeColor="accent1"/>
          <w:sz w:val="20"/>
          <w:szCs w:val="20"/>
        </w:rPr>
        <w:t xml:space="preserve"> - </w:t>
      </w:r>
      <w:r w:rsidR="00DD531B" w:rsidRPr="00661122">
        <w:rPr>
          <w:rFonts w:ascii="Times New Roman" w:eastAsia="Times New Roman" w:hAnsi="Times New Roman" w:cs="Times New Roman"/>
          <w:b/>
          <w:iCs/>
          <w:color w:val="5B9BD5" w:themeColor="accent1"/>
          <w:sz w:val="20"/>
          <w:szCs w:val="20"/>
          <w:lang w:eastAsia="sk-SK"/>
        </w:rPr>
        <w:t>Výdavky kapitoly ŠÚ SR</w:t>
      </w:r>
      <w:bookmarkEnd w:id="230"/>
    </w:p>
    <w:tbl>
      <w:tblPr>
        <w:tblW w:w="5000" w:type="pct"/>
        <w:tblCellMar>
          <w:left w:w="70" w:type="dxa"/>
          <w:right w:w="70" w:type="dxa"/>
        </w:tblCellMar>
        <w:tblLook w:val="04A0" w:firstRow="1" w:lastRow="0" w:firstColumn="1" w:lastColumn="0" w:noHBand="0" w:noVBand="1"/>
      </w:tblPr>
      <w:tblGrid>
        <w:gridCol w:w="3862"/>
        <w:gridCol w:w="709"/>
        <w:gridCol w:w="708"/>
        <w:gridCol w:w="731"/>
        <w:gridCol w:w="869"/>
        <w:gridCol w:w="731"/>
        <w:gridCol w:w="731"/>
        <w:gridCol w:w="731"/>
      </w:tblGrid>
      <w:tr w:rsidR="00DD531B" w:rsidRPr="00DD531B" w14:paraId="5F47EEBA" w14:textId="77777777" w:rsidTr="001F24AE">
        <w:trPr>
          <w:trHeight w:val="300"/>
        </w:trPr>
        <w:tc>
          <w:tcPr>
            <w:tcW w:w="2128" w:type="pct"/>
            <w:tcBorders>
              <w:top w:val="single" w:sz="4" w:space="0" w:color="auto"/>
              <w:left w:val="nil"/>
              <w:bottom w:val="single" w:sz="4" w:space="0" w:color="auto"/>
              <w:right w:val="nil"/>
            </w:tcBorders>
            <w:shd w:val="clear" w:color="auto" w:fill="auto"/>
            <w:noWrap/>
            <w:vAlign w:val="center"/>
            <w:hideMark/>
          </w:tcPr>
          <w:p w14:paraId="2B20F4D1" w14:textId="77777777" w:rsidR="00DD531B" w:rsidRPr="00661122" w:rsidRDefault="00DD531B" w:rsidP="00DD531B">
            <w:pPr>
              <w:spacing w:after="0" w:line="240" w:lineRule="auto"/>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v tis. eur</w:t>
            </w:r>
          </w:p>
        </w:tc>
        <w:tc>
          <w:tcPr>
            <w:tcW w:w="390" w:type="pct"/>
            <w:tcBorders>
              <w:top w:val="single" w:sz="4" w:space="0" w:color="auto"/>
              <w:left w:val="nil"/>
              <w:bottom w:val="single" w:sz="4" w:space="0" w:color="auto"/>
              <w:right w:val="nil"/>
            </w:tcBorders>
            <w:shd w:val="clear" w:color="auto" w:fill="auto"/>
            <w:noWrap/>
            <w:vAlign w:val="center"/>
            <w:hideMark/>
          </w:tcPr>
          <w:p w14:paraId="2A5CB88A"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2021 S</w:t>
            </w:r>
          </w:p>
        </w:tc>
        <w:tc>
          <w:tcPr>
            <w:tcW w:w="390" w:type="pct"/>
            <w:tcBorders>
              <w:top w:val="single" w:sz="4" w:space="0" w:color="auto"/>
              <w:left w:val="nil"/>
              <w:bottom w:val="single" w:sz="4" w:space="0" w:color="auto"/>
              <w:right w:val="nil"/>
            </w:tcBorders>
            <w:shd w:val="clear" w:color="auto" w:fill="auto"/>
            <w:noWrap/>
            <w:vAlign w:val="center"/>
            <w:hideMark/>
          </w:tcPr>
          <w:p w14:paraId="42204BF7"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2022 S</w:t>
            </w:r>
          </w:p>
        </w:tc>
        <w:tc>
          <w:tcPr>
            <w:tcW w:w="403" w:type="pct"/>
            <w:tcBorders>
              <w:top w:val="single" w:sz="4" w:space="0" w:color="auto"/>
              <w:left w:val="nil"/>
              <w:bottom w:val="single" w:sz="4" w:space="0" w:color="auto"/>
              <w:right w:val="nil"/>
            </w:tcBorders>
            <w:shd w:val="clear" w:color="auto" w:fill="auto"/>
            <w:noWrap/>
            <w:vAlign w:val="center"/>
            <w:hideMark/>
          </w:tcPr>
          <w:p w14:paraId="6C0F27A8"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2023 R</w:t>
            </w:r>
          </w:p>
        </w:tc>
        <w:tc>
          <w:tcPr>
            <w:tcW w:w="479" w:type="pct"/>
            <w:tcBorders>
              <w:top w:val="single" w:sz="4" w:space="0" w:color="auto"/>
              <w:left w:val="nil"/>
              <w:bottom w:val="single" w:sz="4" w:space="0" w:color="auto"/>
              <w:right w:val="nil"/>
            </w:tcBorders>
            <w:shd w:val="clear" w:color="auto" w:fill="auto"/>
            <w:noWrap/>
            <w:vAlign w:val="center"/>
            <w:hideMark/>
          </w:tcPr>
          <w:p w14:paraId="1C714B93"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2023 OS</w:t>
            </w:r>
          </w:p>
        </w:tc>
        <w:tc>
          <w:tcPr>
            <w:tcW w:w="403" w:type="pct"/>
            <w:tcBorders>
              <w:top w:val="single" w:sz="4" w:space="0" w:color="auto"/>
              <w:left w:val="nil"/>
              <w:bottom w:val="single" w:sz="4" w:space="0" w:color="auto"/>
              <w:right w:val="nil"/>
            </w:tcBorders>
            <w:shd w:val="clear" w:color="auto" w:fill="auto"/>
            <w:noWrap/>
            <w:vAlign w:val="center"/>
            <w:hideMark/>
          </w:tcPr>
          <w:p w14:paraId="416CFD7A"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2024 N</w:t>
            </w:r>
          </w:p>
        </w:tc>
        <w:tc>
          <w:tcPr>
            <w:tcW w:w="403" w:type="pct"/>
            <w:tcBorders>
              <w:top w:val="single" w:sz="4" w:space="0" w:color="auto"/>
              <w:left w:val="nil"/>
              <w:bottom w:val="single" w:sz="4" w:space="0" w:color="auto"/>
              <w:right w:val="nil"/>
            </w:tcBorders>
            <w:shd w:val="clear" w:color="auto" w:fill="auto"/>
            <w:noWrap/>
            <w:vAlign w:val="center"/>
            <w:hideMark/>
          </w:tcPr>
          <w:p w14:paraId="0D44F835"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2025 N</w:t>
            </w:r>
          </w:p>
        </w:tc>
        <w:tc>
          <w:tcPr>
            <w:tcW w:w="403" w:type="pct"/>
            <w:tcBorders>
              <w:top w:val="single" w:sz="4" w:space="0" w:color="auto"/>
              <w:left w:val="nil"/>
              <w:bottom w:val="single" w:sz="4" w:space="0" w:color="auto"/>
              <w:right w:val="nil"/>
            </w:tcBorders>
            <w:shd w:val="clear" w:color="auto" w:fill="auto"/>
            <w:noWrap/>
            <w:vAlign w:val="center"/>
            <w:hideMark/>
          </w:tcPr>
          <w:p w14:paraId="29F2B64A" w14:textId="77777777" w:rsidR="00DD531B" w:rsidRPr="00661122" w:rsidRDefault="00DD531B" w:rsidP="00661122">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2026 N</w:t>
            </w:r>
          </w:p>
        </w:tc>
      </w:tr>
      <w:tr w:rsidR="00DD531B" w:rsidRPr="00DD531B" w14:paraId="7E02945C" w14:textId="77777777" w:rsidTr="001F24AE">
        <w:trPr>
          <w:trHeight w:val="300"/>
        </w:trPr>
        <w:tc>
          <w:tcPr>
            <w:tcW w:w="2128" w:type="pct"/>
            <w:tcBorders>
              <w:top w:val="nil"/>
              <w:left w:val="nil"/>
              <w:bottom w:val="nil"/>
              <w:right w:val="nil"/>
            </w:tcBorders>
            <w:shd w:val="clear" w:color="auto" w:fill="auto"/>
            <w:noWrap/>
            <w:vAlign w:val="center"/>
            <w:hideMark/>
          </w:tcPr>
          <w:p w14:paraId="659E3819" w14:textId="77777777" w:rsidR="00DD531B" w:rsidRPr="00661122" w:rsidRDefault="00DD531B" w:rsidP="00DD531B">
            <w:pPr>
              <w:spacing w:after="0" w:line="240" w:lineRule="auto"/>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Výdavky kapitoly spolu</w:t>
            </w:r>
          </w:p>
        </w:tc>
        <w:tc>
          <w:tcPr>
            <w:tcW w:w="390" w:type="pct"/>
            <w:tcBorders>
              <w:top w:val="nil"/>
              <w:left w:val="nil"/>
              <w:bottom w:val="nil"/>
              <w:right w:val="nil"/>
            </w:tcBorders>
            <w:shd w:val="clear" w:color="auto" w:fill="auto"/>
            <w:noWrap/>
            <w:vAlign w:val="center"/>
            <w:hideMark/>
          </w:tcPr>
          <w:p w14:paraId="01DB11D2"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53 632</w:t>
            </w:r>
          </w:p>
        </w:tc>
        <w:tc>
          <w:tcPr>
            <w:tcW w:w="390" w:type="pct"/>
            <w:tcBorders>
              <w:top w:val="nil"/>
              <w:left w:val="nil"/>
              <w:bottom w:val="nil"/>
              <w:right w:val="nil"/>
            </w:tcBorders>
            <w:shd w:val="clear" w:color="auto" w:fill="auto"/>
            <w:noWrap/>
            <w:vAlign w:val="center"/>
            <w:hideMark/>
          </w:tcPr>
          <w:p w14:paraId="4C4746A2"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44 880</w:t>
            </w:r>
          </w:p>
        </w:tc>
        <w:tc>
          <w:tcPr>
            <w:tcW w:w="403" w:type="pct"/>
            <w:tcBorders>
              <w:top w:val="nil"/>
              <w:left w:val="nil"/>
              <w:bottom w:val="nil"/>
              <w:right w:val="nil"/>
            </w:tcBorders>
            <w:shd w:val="clear" w:color="auto" w:fill="auto"/>
            <w:noWrap/>
            <w:vAlign w:val="center"/>
            <w:hideMark/>
          </w:tcPr>
          <w:p w14:paraId="656D882C"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34 113</w:t>
            </w:r>
          </w:p>
        </w:tc>
        <w:tc>
          <w:tcPr>
            <w:tcW w:w="479" w:type="pct"/>
            <w:tcBorders>
              <w:top w:val="nil"/>
              <w:left w:val="nil"/>
              <w:bottom w:val="nil"/>
              <w:right w:val="nil"/>
            </w:tcBorders>
            <w:shd w:val="clear" w:color="auto" w:fill="auto"/>
            <w:noWrap/>
            <w:vAlign w:val="center"/>
            <w:hideMark/>
          </w:tcPr>
          <w:p w14:paraId="360DF03A"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45 413</w:t>
            </w:r>
          </w:p>
        </w:tc>
        <w:tc>
          <w:tcPr>
            <w:tcW w:w="403" w:type="pct"/>
            <w:tcBorders>
              <w:top w:val="nil"/>
              <w:left w:val="nil"/>
              <w:bottom w:val="nil"/>
              <w:right w:val="nil"/>
            </w:tcBorders>
            <w:shd w:val="clear" w:color="auto" w:fill="auto"/>
            <w:noWrap/>
            <w:vAlign w:val="center"/>
            <w:hideMark/>
          </w:tcPr>
          <w:p w14:paraId="4FC5BEA8"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43 045</w:t>
            </w:r>
          </w:p>
        </w:tc>
        <w:tc>
          <w:tcPr>
            <w:tcW w:w="403" w:type="pct"/>
            <w:tcBorders>
              <w:top w:val="nil"/>
              <w:left w:val="nil"/>
              <w:bottom w:val="nil"/>
              <w:right w:val="nil"/>
            </w:tcBorders>
            <w:shd w:val="clear" w:color="auto" w:fill="auto"/>
            <w:noWrap/>
            <w:vAlign w:val="center"/>
            <w:hideMark/>
          </w:tcPr>
          <w:p w14:paraId="703007D9"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36 180</w:t>
            </w:r>
          </w:p>
        </w:tc>
        <w:tc>
          <w:tcPr>
            <w:tcW w:w="403" w:type="pct"/>
            <w:tcBorders>
              <w:top w:val="nil"/>
              <w:left w:val="nil"/>
              <w:bottom w:val="nil"/>
              <w:right w:val="nil"/>
            </w:tcBorders>
            <w:shd w:val="clear" w:color="auto" w:fill="auto"/>
            <w:noWrap/>
            <w:vAlign w:val="center"/>
            <w:hideMark/>
          </w:tcPr>
          <w:p w14:paraId="7DAA0158"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38 728</w:t>
            </w:r>
          </w:p>
        </w:tc>
      </w:tr>
      <w:tr w:rsidR="00DD531B" w:rsidRPr="00DD531B" w14:paraId="4CF26343" w14:textId="77777777" w:rsidTr="001F24AE">
        <w:trPr>
          <w:trHeight w:val="300"/>
        </w:trPr>
        <w:tc>
          <w:tcPr>
            <w:tcW w:w="2128" w:type="pct"/>
            <w:tcBorders>
              <w:top w:val="nil"/>
              <w:left w:val="nil"/>
              <w:bottom w:val="nil"/>
              <w:right w:val="nil"/>
            </w:tcBorders>
            <w:shd w:val="clear" w:color="auto" w:fill="auto"/>
            <w:noWrap/>
            <w:vAlign w:val="bottom"/>
            <w:hideMark/>
          </w:tcPr>
          <w:p w14:paraId="44029651" w14:textId="77777777" w:rsidR="00DD531B" w:rsidRPr="00661122" w:rsidRDefault="00DD531B" w:rsidP="00DD531B">
            <w:pPr>
              <w:spacing w:after="0" w:line="240" w:lineRule="auto"/>
              <w:rPr>
                <w:rFonts w:ascii="Times New Roman" w:eastAsia="Times New Roman" w:hAnsi="Times New Roman" w:cs="Times New Roman"/>
                <w:b/>
                <w:bCs/>
                <w:color w:val="000000"/>
                <w:sz w:val="16"/>
                <w:szCs w:val="16"/>
                <w:lang w:eastAsia="sk-SK"/>
              </w:rPr>
            </w:pPr>
            <w:r w:rsidRPr="00661122">
              <w:rPr>
                <w:rFonts w:ascii="Times New Roman" w:eastAsia="Times New Roman" w:hAnsi="Times New Roman" w:cs="Times New Roman"/>
                <w:b/>
                <w:bCs/>
                <w:color w:val="000000"/>
                <w:sz w:val="16"/>
                <w:szCs w:val="16"/>
                <w:lang w:eastAsia="sk-SK"/>
              </w:rPr>
              <w:t>rozpočtové zdroje kapitoly</w:t>
            </w:r>
          </w:p>
        </w:tc>
        <w:tc>
          <w:tcPr>
            <w:tcW w:w="390" w:type="pct"/>
            <w:tcBorders>
              <w:top w:val="nil"/>
              <w:left w:val="nil"/>
              <w:bottom w:val="nil"/>
              <w:right w:val="nil"/>
            </w:tcBorders>
            <w:shd w:val="clear" w:color="auto" w:fill="auto"/>
            <w:noWrap/>
            <w:vAlign w:val="bottom"/>
            <w:hideMark/>
          </w:tcPr>
          <w:p w14:paraId="324D75DF"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49 067</w:t>
            </w:r>
          </w:p>
        </w:tc>
        <w:tc>
          <w:tcPr>
            <w:tcW w:w="390" w:type="pct"/>
            <w:tcBorders>
              <w:top w:val="nil"/>
              <w:left w:val="nil"/>
              <w:bottom w:val="nil"/>
              <w:right w:val="nil"/>
            </w:tcBorders>
            <w:shd w:val="clear" w:color="auto" w:fill="auto"/>
            <w:noWrap/>
            <w:vAlign w:val="bottom"/>
            <w:hideMark/>
          </w:tcPr>
          <w:p w14:paraId="60AFBAAF"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39 444</w:t>
            </w:r>
          </w:p>
        </w:tc>
        <w:tc>
          <w:tcPr>
            <w:tcW w:w="403" w:type="pct"/>
            <w:tcBorders>
              <w:top w:val="nil"/>
              <w:left w:val="nil"/>
              <w:bottom w:val="nil"/>
              <w:right w:val="nil"/>
            </w:tcBorders>
            <w:shd w:val="clear" w:color="auto" w:fill="auto"/>
            <w:noWrap/>
            <w:vAlign w:val="bottom"/>
            <w:hideMark/>
          </w:tcPr>
          <w:p w14:paraId="5099C123"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34 113</w:t>
            </w:r>
          </w:p>
        </w:tc>
        <w:tc>
          <w:tcPr>
            <w:tcW w:w="479" w:type="pct"/>
            <w:tcBorders>
              <w:top w:val="nil"/>
              <w:left w:val="nil"/>
              <w:bottom w:val="nil"/>
              <w:right w:val="nil"/>
            </w:tcBorders>
            <w:shd w:val="clear" w:color="auto" w:fill="auto"/>
            <w:noWrap/>
            <w:vAlign w:val="bottom"/>
            <w:hideMark/>
          </w:tcPr>
          <w:p w14:paraId="35933554"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40 235</w:t>
            </w:r>
          </w:p>
        </w:tc>
        <w:tc>
          <w:tcPr>
            <w:tcW w:w="403" w:type="pct"/>
            <w:tcBorders>
              <w:top w:val="nil"/>
              <w:left w:val="nil"/>
              <w:bottom w:val="nil"/>
              <w:right w:val="nil"/>
            </w:tcBorders>
            <w:shd w:val="clear" w:color="auto" w:fill="auto"/>
            <w:noWrap/>
            <w:vAlign w:val="bottom"/>
            <w:hideMark/>
          </w:tcPr>
          <w:p w14:paraId="6B71BAA5"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43 045</w:t>
            </w:r>
          </w:p>
        </w:tc>
        <w:tc>
          <w:tcPr>
            <w:tcW w:w="403" w:type="pct"/>
            <w:tcBorders>
              <w:top w:val="nil"/>
              <w:left w:val="nil"/>
              <w:bottom w:val="nil"/>
              <w:right w:val="nil"/>
            </w:tcBorders>
            <w:shd w:val="clear" w:color="auto" w:fill="auto"/>
            <w:noWrap/>
            <w:vAlign w:val="bottom"/>
            <w:hideMark/>
          </w:tcPr>
          <w:p w14:paraId="051231B3"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36 180</w:t>
            </w:r>
          </w:p>
        </w:tc>
        <w:tc>
          <w:tcPr>
            <w:tcW w:w="403" w:type="pct"/>
            <w:tcBorders>
              <w:top w:val="nil"/>
              <w:left w:val="nil"/>
              <w:bottom w:val="nil"/>
              <w:right w:val="nil"/>
            </w:tcBorders>
            <w:shd w:val="clear" w:color="auto" w:fill="auto"/>
            <w:noWrap/>
            <w:vAlign w:val="bottom"/>
            <w:hideMark/>
          </w:tcPr>
          <w:p w14:paraId="260946EB"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38 728</w:t>
            </w:r>
          </w:p>
        </w:tc>
      </w:tr>
      <w:tr w:rsidR="00DD531B" w:rsidRPr="00DD531B" w14:paraId="65EBF061" w14:textId="77777777" w:rsidTr="001F24AE">
        <w:trPr>
          <w:trHeight w:val="300"/>
        </w:trPr>
        <w:tc>
          <w:tcPr>
            <w:tcW w:w="2128" w:type="pct"/>
            <w:tcBorders>
              <w:top w:val="nil"/>
              <w:left w:val="nil"/>
              <w:bottom w:val="nil"/>
              <w:right w:val="nil"/>
            </w:tcBorders>
            <w:shd w:val="clear" w:color="auto" w:fill="auto"/>
            <w:noWrap/>
            <w:vAlign w:val="bottom"/>
            <w:hideMark/>
          </w:tcPr>
          <w:p w14:paraId="09D6DC88"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bežné výdavky  600, v tom:</w:t>
            </w:r>
          </w:p>
        </w:tc>
        <w:tc>
          <w:tcPr>
            <w:tcW w:w="390" w:type="pct"/>
            <w:tcBorders>
              <w:top w:val="nil"/>
              <w:left w:val="nil"/>
              <w:bottom w:val="nil"/>
              <w:right w:val="nil"/>
            </w:tcBorders>
            <w:shd w:val="clear" w:color="auto" w:fill="auto"/>
            <w:noWrap/>
            <w:vAlign w:val="bottom"/>
            <w:hideMark/>
          </w:tcPr>
          <w:p w14:paraId="12D7030F"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47 042</w:t>
            </w:r>
          </w:p>
        </w:tc>
        <w:tc>
          <w:tcPr>
            <w:tcW w:w="390" w:type="pct"/>
            <w:tcBorders>
              <w:top w:val="nil"/>
              <w:left w:val="nil"/>
              <w:bottom w:val="nil"/>
              <w:right w:val="nil"/>
            </w:tcBorders>
            <w:shd w:val="clear" w:color="auto" w:fill="auto"/>
            <w:noWrap/>
            <w:vAlign w:val="bottom"/>
            <w:hideMark/>
          </w:tcPr>
          <w:p w14:paraId="5D9D0C05"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36 374</w:t>
            </w:r>
          </w:p>
        </w:tc>
        <w:tc>
          <w:tcPr>
            <w:tcW w:w="403" w:type="pct"/>
            <w:tcBorders>
              <w:top w:val="nil"/>
              <w:left w:val="nil"/>
              <w:bottom w:val="nil"/>
              <w:right w:val="nil"/>
            </w:tcBorders>
            <w:shd w:val="clear" w:color="auto" w:fill="auto"/>
            <w:noWrap/>
            <w:vAlign w:val="bottom"/>
            <w:hideMark/>
          </w:tcPr>
          <w:p w14:paraId="6CE31725"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33 403</w:t>
            </w:r>
          </w:p>
        </w:tc>
        <w:tc>
          <w:tcPr>
            <w:tcW w:w="479" w:type="pct"/>
            <w:tcBorders>
              <w:top w:val="nil"/>
              <w:left w:val="nil"/>
              <w:bottom w:val="nil"/>
              <w:right w:val="nil"/>
            </w:tcBorders>
            <w:shd w:val="clear" w:color="auto" w:fill="auto"/>
            <w:noWrap/>
            <w:vAlign w:val="bottom"/>
            <w:hideMark/>
          </w:tcPr>
          <w:p w14:paraId="5EFBE5E5"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38 725</w:t>
            </w:r>
          </w:p>
        </w:tc>
        <w:tc>
          <w:tcPr>
            <w:tcW w:w="403" w:type="pct"/>
            <w:tcBorders>
              <w:top w:val="nil"/>
              <w:left w:val="nil"/>
              <w:bottom w:val="nil"/>
              <w:right w:val="nil"/>
            </w:tcBorders>
            <w:shd w:val="clear" w:color="auto" w:fill="auto"/>
            <w:noWrap/>
            <w:vAlign w:val="bottom"/>
            <w:hideMark/>
          </w:tcPr>
          <w:p w14:paraId="00AF5AFC"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40 887</w:t>
            </w:r>
          </w:p>
        </w:tc>
        <w:tc>
          <w:tcPr>
            <w:tcW w:w="403" w:type="pct"/>
            <w:tcBorders>
              <w:top w:val="nil"/>
              <w:left w:val="nil"/>
              <w:bottom w:val="nil"/>
              <w:right w:val="nil"/>
            </w:tcBorders>
            <w:shd w:val="clear" w:color="auto" w:fill="auto"/>
            <w:noWrap/>
            <w:vAlign w:val="bottom"/>
            <w:hideMark/>
          </w:tcPr>
          <w:p w14:paraId="62423263"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34 049</w:t>
            </w:r>
          </w:p>
        </w:tc>
        <w:tc>
          <w:tcPr>
            <w:tcW w:w="403" w:type="pct"/>
            <w:tcBorders>
              <w:top w:val="nil"/>
              <w:left w:val="nil"/>
              <w:bottom w:val="nil"/>
              <w:right w:val="nil"/>
            </w:tcBorders>
            <w:shd w:val="clear" w:color="auto" w:fill="auto"/>
            <w:noWrap/>
            <w:vAlign w:val="bottom"/>
            <w:hideMark/>
          </w:tcPr>
          <w:p w14:paraId="2093ECB0"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36 756</w:t>
            </w:r>
          </w:p>
        </w:tc>
      </w:tr>
      <w:tr w:rsidR="00DD531B" w:rsidRPr="00DD531B" w14:paraId="2A3EFC9E" w14:textId="77777777" w:rsidTr="001F24AE">
        <w:trPr>
          <w:trHeight w:val="300"/>
        </w:trPr>
        <w:tc>
          <w:tcPr>
            <w:tcW w:w="2128" w:type="pct"/>
            <w:tcBorders>
              <w:top w:val="nil"/>
              <w:left w:val="nil"/>
              <w:bottom w:val="nil"/>
              <w:right w:val="nil"/>
            </w:tcBorders>
            <w:shd w:val="clear" w:color="auto" w:fill="auto"/>
            <w:noWrap/>
            <w:vAlign w:val="bottom"/>
            <w:hideMark/>
          </w:tcPr>
          <w:p w14:paraId="2771AE47"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610 mzdy</w:t>
            </w:r>
          </w:p>
        </w:tc>
        <w:tc>
          <w:tcPr>
            <w:tcW w:w="390" w:type="pct"/>
            <w:tcBorders>
              <w:top w:val="nil"/>
              <w:left w:val="nil"/>
              <w:bottom w:val="nil"/>
              <w:right w:val="nil"/>
            </w:tcBorders>
            <w:shd w:val="clear" w:color="auto" w:fill="auto"/>
            <w:noWrap/>
            <w:vAlign w:val="bottom"/>
            <w:hideMark/>
          </w:tcPr>
          <w:p w14:paraId="4F37A8FE"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13 246</w:t>
            </w:r>
          </w:p>
        </w:tc>
        <w:tc>
          <w:tcPr>
            <w:tcW w:w="390" w:type="pct"/>
            <w:tcBorders>
              <w:top w:val="nil"/>
              <w:left w:val="nil"/>
              <w:bottom w:val="nil"/>
              <w:right w:val="nil"/>
            </w:tcBorders>
            <w:shd w:val="clear" w:color="auto" w:fill="auto"/>
            <w:noWrap/>
            <w:vAlign w:val="bottom"/>
            <w:hideMark/>
          </w:tcPr>
          <w:p w14:paraId="255AF1E4"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14 938</w:t>
            </w:r>
          </w:p>
        </w:tc>
        <w:tc>
          <w:tcPr>
            <w:tcW w:w="403" w:type="pct"/>
            <w:tcBorders>
              <w:top w:val="nil"/>
              <w:left w:val="nil"/>
              <w:bottom w:val="nil"/>
              <w:right w:val="nil"/>
            </w:tcBorders>
            <w:shd w:val="clear" w:color="auto" w:fill="auto"/>
            <w:noWrap/>
            <w:vAlign w:val="bottom"/>
            <w:hideMark/>
          </w:tcPr>
          <w:p w14:paraId="2CFE749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14 710</w:t>
            </w:r>
          </w:p>
        </w:tc>
        <w:tc>
          <w:tcPr>
            <w:tcW w:w="479" w:type="pct"/>
            <w:tcBorders>
              <w:top w:val="nil"/>
              <w:left w:val="nil"/>
              <w:bottom w:val="nil"/>
              <w:right w:val="nil"/>
            </w:tcBorders>
            <w:shd w:val="clear" w:color="auto" w:fill="auto"/>
            <w:noWrap/>
            <w:vAlign w:val="bottom"/>
            <w:hideMark/>
          </w:tcPr>
          <w:p w14:paraId="38CBD0F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16 278</w:t>
            </w:r>
          </w:p>
        </w:tc>
        <w:tc>
          <w:tcPr>
            <w:tcW w:w="403" w:type="pct"/>
            <w:tcBorders>
              <w:top w:val="nil"/>
              <w:left w:val="nil"/>
              <w:bottom w:val="nil"/>
              <w:right w:val="nil"/>
            </w:tcBorders>
            <w:shd w:val="clear" w:color="auto" w:fill="auto"/>
            <w:noWrap/>
            <w:vAlign w:val="bottom"/>
            <w:hideMark/>
          </w:tcPr>
          <w:p w14:paraId="7E1CAD8E"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17 357</w:t>
            </w:r>
          </w:p>
        </w:tc>
        <w:tc>
          <w:tcPr>
            <w:tcW w:w="403" w:type="pct"/>
            <w:tcBorders>
              <w:top w:val="nil"/>
              <w:left w:val="nil"/>
              <w:bottom w:val="nil"/>
              <w:right w:val="nil"/>
            </w:tcBorders>
            <w:shd w:val="clear" w:color="auto" w:fill="auto"/>
            <w:noWrap/>
            <w:vAlign w:val="bottom"/>
            <w:hideMark/>
          </w:tcPr>
          <w:p w14:paraId="2D3B1D45"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15 392</w:t>
            </w:r>
          </w:p>
        </w:tc>
        <w:tc>
          <w:tcPr>
            <w:tcW w:w="403" w:type="pct"/>
            <w:tcBorders>
              <w:top w:val="nil"/>
              <w:left w:val="nil"/>
              <w:bottom w:val="nil"/>
              <w:right w:val="nil"/>
            </w:tcBorders>
            <w:shd w:val="clear" w:color="auto" w:fill="auto"/>
            <w:noWrap/>
            <w:vAlign w:val="bottom"/>
            <w:hideMark/>
          </w:tcPr>
          <w:p w14:paraId="4FDE9D22"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16 348</w:t>
            </w:r>
          </w:p>
        </w:tc>
      </w:tr>
      <w:tr w:rsidR="00DD531B" w:rsidRPr="00DD531B" w14:paraId="0370EF60" w14:textId="77777777" w:rsidTr="001F24AE">
        <w:trPr>
          <w:trHeight w:val="300"/>
        </w:trPr>
        <w:tc>
          <w:tcPr>
            <w:tcW w:w="2128" w:type="pct"/>
            <w:tcBorders>
              <w:top w:val="nil"/>
              <w:left w:val="nil"/>
              <w:bottom w:val="nil"/>
              <w:right w:val="nil"/>
            </w:tcBorders>
            <w:shd w:val="clear" w:color="auto" w:fill="auto"/>
            <w:noWrap/>
            <w:vAlign w:val="bottom"/>
            <w:hideMark/>
          </w:tcPr>
          <w:p w14:paraId="4D6DF604"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620 odvody</w:t>
            </w:r>
          </w:p>
        </w:tc>
        <w:tc>
          <w:tcPr>
            <w:tcW w:w="390" w:type="pct"/>
            <w:tcBorders>
              <w:top w:val="nil"/>
              <w:left w:val="nil"/>
              <w:bottom w:val="nil"/>
              <w:right w:val="nil"/>
            </w:tcBorders>
            <w:shd w:val="clear" w:color="auto" w:fill="auto"/>
            <w:noWrap/>
            <w:vAlign w:val="bottom"/>
            <w:hideMark/>
          </w:tcPr>
          <w:p w14:paraId="0E83CF4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4 617</w:t>
            </w:r>
          </w:p>
        </w:tc>
        <w:tc>
          <w:tcPr>
            <w:tcW w:w="390" w:type="pct"/>
            <w:tcBorders>
              <w:top w:val="nil"/>
              <w:left w:val="nil"/>
              <w:bottom w:val="nil"/>
              <w:right w:val="nil"/>
            </w:tcBorders>
            <w:shd w:val="clear" w:color="auto" w:fill="auto"/>
            <w:noWrap/>
            <w:vAlign w:val="bottom"/>
            <w:hideMark/>
          </w:tcPr>
          <w:p w14:paraId="71B35F68"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5 964</w:t>
            </w:r>
          </w:p>
        </w:tc>
        <w:tc>
          <w:tcPr>
            <w:tcW w:w="403" w:type="pct"/>
            <w:tcBorders>
              <w:top w:val="nil"/>
              <w:left w:val="nil"/>
              <w:bottom w:val="nil"/>
              <w:right w:val="nil"/>
            </w:tcBorders>
            <w:shd w:val="clear" w:color="auto" w:fill="auto"/>
            <w:noWrap/>
            <w:vAlign w:val="bottom"/>
            <w:hideMark/>
          </w:tcPr>
          <w:p w14:paraId="096014B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5 169</w:t>
            </w:r>
          </w:p>
        </w:tc>
        <w:tc>
          <w:tcPr>
            <w:tcW w:w="479" w:type="pct"/>
            <w:tcBorders>
              <w:top w:val="nil"/>
              <w:left w:val="nil"/>
              <w:bottom w:val="nil"/>
              <w:right w:val="nil"/>
            </w:tcBorders>
            <w:shd w:val="clear" w:color="auto" w:fill="auto"/>
            <w:noWrap/>
            <w:vAlign w:val="bottom"/>
            <w:hideMark/>
          </w:tcPr>
          <w:p w14:paraId="460774B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5 729</w:t>
            </w:r>
          </w:p>
        </w:tc>
        <w:tc>
          <w:tcPr>
            <w:tcW w:w="403" w:type="pct"/>
            <w:tcBorders>
              <w:top w:val="nil"/>
              <w:left w:val="nil"/>
              <w:bottom w:val="nil"/>
              <w:right w:val="nil"/>
            </w:tcBorders>
            <w:shd w:val="clear" w:color="auto" w:fill="auto"/>
            <w:noWrap/>
            <w:vAlign w:val="bottom"/>
            <w:hideMark/>
          </w:tcPr>
          <w:p w14:paraId="271662B5"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6 149</w:t>
            </w:r>
          </w:p>
        </w:tc>
        <w:tc>
          <w:tcPr>
            <w:tcW w:w="403" w:type="pct"/>
            <w:tcBorders>
              <w:top w:val="nil"/>
              <w:left w:val="nil"/>
              <w:bottom w:val="nil"/>
              <w:right w:val="nil"/>
            </w:tcBorders>
            <w:shd w:val="clear" w:color="auto" w:fill="auto"/>
            <w:noWrap/>
            <w:vAlign w:val="bottom"/>
            <w:hideMark/>
          </w:tcPr>
          <w:p w14:paraId="20D590BF"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5 462</w:t>
            </w:r>
          </w:p>
        </w:tc>
        <w:tc>
          <w:tcPr>
            <w:tcW w:w="403" w:type="pct"/>
            <w:tcBorders>
              <w:top w:val="nil"/>
              <w:left w:val="nil"/>
              <w:bottom w:val="nil"/>
              <w:right w:val="nil"/>
            </w:tcBorders>
            <w:shd w:val="clear" w:color="auto" w:fill="auto"/>
            <w:noWrap/>
            <w:vAlign w:val="bottom"/>
            <w:hideMark/>
          </w:tcPr>
          <w:p w14:paraId="3C1EC4CE"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5 796</w:t>
            </w:r>
          </w:p>
        </w:tc>
      </w:tr>
      <w:tr w:rsidR="00DD531B" w:rsidRPr="00DD531B" w14:paraId="1ABF6890" w14:textId="77777777" w:rsidTr="001F24AE">
        <w:trPr>
          <w:trHeight w:val="300"/>
        </w:trPr>
        <w:tc>
          <w:tcPr>
            <w:tcW w:w="2128" w:type="pct"/>
            <w:tcBorders>
              <w:top w:val="nil"/>
              <w:left w:val="nil"/>
              <w:bottom w:val="nil"/>
              <w:right w:val="nil"/>
            </w:tcBorders>
            <w:shd w:val="clear" w:color="auto" w:fill="auto"/>
            <w:noWrap/>
            <w:vAlign w:val="bottom"/>
            <w:hideMark/>
          </w:tcPr>
          <w:p w14:paraId="1E9BF5DE"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630 tovary a služby</w:t>
            </w:r>
          </w:p>
        </w:tc>
        <w:tc>
          <w:tcPr>
            <w:tcW w:w="390" w:type="pct"/>
            <w:tcBorders>
              <w:top w:val="nil"/>
              <w:left w:val="nil"/>
              <w:bottom w:val="nil"/>
              <w:right w:val="nil"/>
            </w:tcBorders>
            <w:shd w:val="clear" w:color="auto" w:fill="auto"/>
            <w:noWrap/>
            <w:vAlign w:val="bottom"/>
            <w:hideMark/>
          </w:tcPr>
          <w:p w14:paraId="6033FDC5"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15 560</w:t>
            </w:r>
          </w:p>
        </w:tc>
        <w:tc>
          <w:tcPr>
            <w:tcW w:w="390" w:type="pct"/>
            <w:tcBorders>
              <w:top w:val="nil"/>
              <w:left w:val="nil"/>
              <w:bottom w:val="nil"/>
              <w:right w:val="nil"/>
            </w:tcBorders>
            <w:shd w:val="clear" w:color="auto" w:fill="auto"/>
            <w:noWrap/>
            <w:vAlign w:val="bottom"/>
            <w:hideMark/>
          </w:tcPr>
          <w:p w14:paraId="459B4A4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14 157</w:t>
            </w:r>
          </w:p>
        </w:tc>
        <w:tc>
          <w:tcPr>
            <w:tcW w:w="403" w:type="pct"/>
            <w:tcBorders>
              <w:top w:val="nil"/>
              <w:left w:val="nil"/>
              <w:bottom w:val="nil"/>
              <w:right w:val="nil"/>
            </w:tcBorders>
            <w:shd w:val="clear" w:color="auto" w:fill="auto"/>
            <w:noWrap/>
            <w:vAlign w:val="bottom"/>
            <w:hideMark/>
          </w:tcPr>
          <w:p w14:paraId="717D6C38"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12 459</w:t>
            </w:r>
          </w:p>
        </w:tc>
        <w:tc>
          <w:tcPr>
            <w:tcW w:w="479" w:type="pct"/>
            <w:tcBorders>
              <w:top w:val="nil"/>
              <w:left w:val="nil"/>
              <w:bottom w:val="nil"/>
              <w:right w:val="nil"/>
            </w:tcBorders>
            <w:shd w:val="clear" w:color="auto" w:fill="auto"/>
            <w:noWrap/>
            <w:vAlign w:val="bottom"/>
            <w:hideMark/>
          </w:tcPr>
          <w:p w14:paraId="73AD85C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15 714</w:t>
            </w:r>
          </w:p>
        </w:tc>
        <w:tc>
          <w:tcPr>
            <w:tcW w:w="403" w:type="pct"/>
            <w:tcBorders>
              <w:top w:val="nil"/>
              <w:left w:val="nil"/>
              <w:bottom w:val="nil"/>
              <w:right w:val="nil"/>
            </w:tcBorders>
            <w:shd w:val="clear" w:color="auto" w:fill="auto"/>
            <w:noWrap/>
            <w:vAlign w:val="bottom"/>
            <w:hideMark/>
          </w:tcPr>
          <w:p w14:paraId="62F2BAD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16 192</w:t>
            </w:r>
          </w:p>
        </w:tc>
        <w:tc>
          <w:tcPr>
            <w:tcW w:w="403" w:type="pct"/>
            <w:tcBorders>
              <w:top w:val="nil"/>
              <w:left w:val="nil"/>
              <w:bottom w:val="nil"/>
              <w:right w:val="nil"/>
            </w:tcBorders>
            <w:shd w:val="clear" w:color="auto" w:fill="auto"/>
            <w:noWrap/>
            <w:vAlign w:val="bottom"/>
            <w:hideMark/>
          </w:tcPr>
          <w:p w14:paraId="14F70BA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12 006</w:t>
            </w:r>
          </w:p>
        </w:tc>
        <w:tc>
          <w:tcPr>
            <w:tcW w:w="403" w:type="pct"/>
            <w:tcBorders>
              <w:top w:val="nil"/>
              <w:left w:val="nil"/>
              <w:bottom w:val="nil"/>
              <w:right w:val="nil"/>
            </w:tcBorders>
            <w:shd w:val="clear" w:color="auto" w:fill="auto"/>
            <w:noWrap/>
            <w:vAlign w:val="bottom"/>
            <w:hideMark/>
          </w:tcPr>
          <w:p w14:paraId="6486999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13 422</w:t>
            </w:r>
          </w:p>
        </w:tc>
      </w:tr>
      <w:tr w:rsidR="00DD531B" w:rsidRPr="00DD531B" w14:paraId="73F6803D" w14:textId="77777777" w:rsidTr="001F24AE">
        <w:trPr>
          <w:trHeight w:val="300"/>
        </w:trPr>
        <w:tc>
          <w:tcPr>
            <w:tcW w:w="2128" w:type="pct"/>
            <w:tcBorders>
              <w:top w:val="nil"/>
              <w:left w:val="nil"/>
              <w:bottom w:val="nil"/>
              <w:right w:val="nil"/>
            </w:tcBorders>
            <w:shd w:val="clear" w:color="auto" w:fill="auto"/>
            <w:noWrap/>
            <w:vAlign w:val="bottom"/>
            <w:hideMark/>
          </w:tcPr>
          <w:p w14:paraId="3C1B17F5"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640 bežné transfery</w:t>
            </w:r>
          </w:p>
        </w:tc>
        <w:tc>
          <w:tcPr>
            <w:tcW w:w="390" w:type="pct"/>
            <w:tcBorders>
              <w:top w:val="nil"/>
              <w:left w:val="nil"/>
              <w:bottom w:val="nil"/>
              <w:right w:val="nil"/>
            </w:tcBorders>
            <w:shd w:val="clear" w:color="auto" w:fill="auto"/>
            <w:noWrap/>
            <w:vAlign w:val="bottom"/>
            <w:hideMark/>
          </w:tcPr>
          <w:p w14:paraId="7672DBF5"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13 619</w:t>
            </w:r>
          </w:p>
        </w:tc>
        <w:tc>
          <w:tcPr>
            <w:tcW w:w="390" w:type="pct"/>
            <w:tcBorders>
              <w:top w:val="nil"/>
              <w:left w:val="nil"/>
              <w:bottom w:val="nil"/>
              <w:right w:val="nil"/>
            </w:tcBorders>
            <w:shd w:val="clear" w:color="auto" w:fill="auto"/>
            <w:noWrap/>
            <w:vAlign w:val="bottom"/>
            <w:hideMark/>
          </w:tcPr>
          <w:p w14:paraId="2F6D2A8F"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1 315</w:t>
            </w:r>
          </w:p>
        </w:tc>
        <w:tc>
          <w:tcPr>
            <w:tcW w:w="403" w:type="pct"/>
            <w:tcBorders>
              <w:top w:val="nil"/>
              <w:left w:val="nil"/>
              <w:bottom w:val="nil"/>
              <w:right w:val="nil"/>
            </w:tcBorders>
            <w:shd w:val="clear" w:color="auto" w:fill="auto"/>
            <w:noWrap/>
            <w:vAlign w:val="bottom"/>
            <w:hideMark/>
          </w:tcPr>
          <w:p w14:paraId="0A0680CD"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1 065</w:t>
            </w:r>
          </w:p>
        </w:tc>
        <w:tc>
          <w:tcPr>
            <w:tcW w:w="479" w:type="pct"/>
            <w:tcBorders>
              <w:top w:val="nil"/>
              <w:left w:val="nil"/>
              <w:bottom w:val="nil"/>
              <w:right w:val="nil"/>
            </w:tcBorders>
            <w:shd w:val="clear" w:color="auto" w:fill="auto"/>
            <w:noWrap/>
            <w:vAlign w:val="bottom"/>
            <w:hideMark/>
          </w:tcPr>
          <w:p w14:paraId="3687EB93"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1 005</w:t>
            </w:r>
          </w:p>
        </w:tc>
        <w:tc>
          <w:tcPr>
            <w:tcW w:w="403" w:type="pct"/>
            <w:tcBorders>
              <w:top w:val="nil"/>
              <w:left w:val="nil"/>
              <w:bottom w:val="nil"/>
              <w:right w:val="nil"/>
            </w:tcBorders>
            <w:shd w:val="clear" w:color="auto" w:fill="auto"/>
            <w:noWrap/>
            <w:vAlign w:val="bottom"/>
            <w:hideMark/>
          </w:tcPr>
          <w:p w14:paraId="17653B9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1 189</w:t>
            </w:r>
          </w:p>
        </w:tc>
        <w:tc>
          <w:tcPr>
            <w:tcW w:w="403" w:type="pct"/>
            <w:tcBorders>
              <w:top w:val="nil"/>
              <w:left w:val="nil"/>
              <w:bottom w:val="nil"/>
              <w:right w:val="nil"/>
            </w:tcBorders>
            <w:shd w:val="clear" w:color="auto" w:fill="auto"/>
            <w:noWrap/>
            <w:vAlign w:val="bottom"/>
            <w:hideMark/>
          </w:tcPr>
          <w:p w14:paraId="21AC243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1 189</w:t>
            </w:r>
          </w:p>
        </w:tc>
        <w:tc>
          <w:tcPr>
            <w:tcW w:w="403" w:type="pct"/>
            <w:tcBorders>
              <w:top w:val="nil"/>
              <w:left w:val="nil"/>
              <w:bottom w:val="nil"/>
              <w:right w:val="nil"/>
            </w:tcBorders>
            <w:shd w:val="clear" w:color="auto" w:fill="auto"/>
            <w:noWrap/>
            <w:vAlign w:val="bottom"/>
            <w:hideMark/>
          </w:tcPr>
          <w:p w14:paraId="63F61E55"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1 189</w:t>
            </w:r>
          </w:p>
        </w:tc>
      </w:tr>
      <w:tr w:rsidR="00DD531B" w:rsidRPr="00DD531B" w14:paraId="65D8B1C9" w14:textId="77777777" w:rsidTr="001F24AE">
        <w:trPr>
          <w:trHeight w:val="300"/>
        </w:trPr>
        <w:tc>
          <w:tcPr>
            <w:tcW w:w="2128" w:type="pct"/>
            <w:tcBorders>
              <w:top w:val="nil"/>
              <w:left w:val="nil"/>
              <w:bottom w:val="nil"/>
              <w:right w:val="nil"/>
            </w:tcBorders>
            <w:shd w:val="clear" w:color="auto" w:fill="auto"/>
            <w:noWrap/>
            <w:vAlign w:val="bottom"/>
            <w:hideMark/>
          </w:tcPr>
          <w:p w14:paraId="52A28A70"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kapitálové výdavky 700</w:t>
            </w:r>
          </w:p>
        </w:tc>
        <w:tc>
          <w:tcPr>
            <w:tcW w:w="390" w:type="pct"/>
            <w:tcBorders>
              <w:top w:val="nil"/>
              <w:left w:val="nil"/>
              <w:bottom w:val="nil"/>
              <w:right w:val="nil"/>
            </w:tcBorders>
            <w:shd w:val="clear" w:color="auto" w:fill="auto"/>
            <w:noWrap/>
            <w:vAlign w:val="bottom"/>
            <w:hideMark/>
          </w:tcPr>
          <w:p w14:paraId="40A5C24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2 024</w:t>
            </w:r>
          </w:p>
        </w:tc>
        <w:tc>
          <w:tcPr>
            <w:tcW w:w="390" w:type="pct"/>
            <w:tcBorders>
              <w:top w:val="nil"/>
              <w:left w:val="nil"/>
              <w:bottom w:val="nil"/>
              <w:right w:val="nil"/>
            </w:tcBorders>
            <w:shd w:val="clear" w:color="auto" w:fill="auto"/>
            <w:noWrap/>
            <w:vAlign w:val="bottom"/>
            <w:hideMark/>
          </w:tcPr>
          <w:p w14:paraId="321B049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3 070</w:t>
            </w:r>
          </w:p>
        </w:tc>
        <w:tc>
          <w:tcPr>
            <w:tcW w:w="403" w:type="pct"/>
            <w:tcBorders>
              <w:top w:val="nil"/>
              <w:left w:val="nil"/>
              <w:bottom w:val="nil"/>
              <w:right w:val="nil"/>
            </w:tcBorders>
            <w:shd w:val="clear" w:color="auto" w:fill="auto"/>
            <w:noWrap/>
            <w:vAlign w:val="bottom"/>
            <w:hideMark/>
          </w:tcPr>
          <w:p w14:paraId="518C1D2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710</w:t>
            </w:r>
          </w:p>
        </w:tc>
        <w:tc>
          <w:tcPr>
            <w:tcW w:w="479" w:type="pct"/>
            <w:tcBorders>
              <w:top w:val="nil"/>
              <w:left w:val="nil"/>
              <w:bottom w:val="nil"/>
              <w:right w:val="nil"/>
            </w:tcBorders>
            <w:shd w:val="clear" w:color="auto" w:fill="auto"/>
            <w:noWrap/>
            <w:vAlign w:val="bottom"/>
            <w:hideMark/>
          </w:tcPr>
          <w:p w14:paraId="07472428"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1 510</w:t>
            </w:r>
          </w:p>
        </w:tc>
        <w:tc>
          <w:tcPr>
            <w:tcW w:w="403" w:type="pct"/>
            <w:tcBorders>
              <w:top w:val="nil"/>
              <w:left w:val="nil"/>
              <w:bottom w:val="nil"/>
              <w:right w:val="nil"/>
            </w:tcBorders>
            <w:shd w:val="clear" w:color="auto" w:fill="auto"/>
            <w:noWrap/>
            <w:vAlign w:val="bottom"/>
            <w:hideMark/>
          </w:tcPr>
          <w:p w14:paraId="4F42D4D8"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2 158</w:t>
            </w:r>
          </w:p>
        </w:tc>
        <w:tc>
          <w:tcPr>
            <w:tcW w:w="403" w:type="pct"/>
            <w:tcBorders>
              <w:top w:val="nil"/>
              <w:left w:val="nil"/>
              <w:bottom w:val="nil"/>
              <w:right w:val="nil"/>
            </w:tcBorders>
            <w:shd w:val="clear" w:color="auto" w:fill="auto"/>
            <w:noWrap/>
            <w:vAlign w:val="bottom"/>
            <w:hideMark/>
          </w:tcPr>
          <w:p w14:paraId="51EC32C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2 131</w:t>
            </w:r>
          </w:p>
        </w:tc>
        <w:tc>
          <w:tcPr>
            <w:tcW w:w="403" w:type="pct"/>
            <w:tcBorders>
              <w:top w:val="nil"/>
              <w:left w:val="nil"/>
              <w:bottom w:val="nil"/>
              <w:right w:val="nil"/>
            </w:tcBorders>
            <w:shd w:val="clear" w:color="auto" w:fill="auto"/>
            <w:noWrap/>
            <w:vAlign w:val="bottom"/>
            <w:hideMark/>
          </w:tcPr>
          <w:p w14:paraId="6D6564C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1 972</w:t>
            </w:r>
          </w:p>
        </w:tc>
      </w:tr>
      <w:tr w:rsidR="00DD531B" w:rsidRPr="00DD531B" w14:paraId="23112C13" w14:textId="77777777" w:rsidTr="001F24AE">
        <w:trPr>
          <w:trHeight w:val="300"/>
        </w:trPr>
        <w:tc>
          <w:tcPr>
            <w:tcW w:w="2128" w:type="pct"/>
            <w:tcBorders>
              <w:top w:val="nil"/>
              <w:left w:val="nil"/>
              <w:bottom w:val="nil"/>
              <w:right w:val="nil"/>
            </w:tcBorders>
            <w:shd w:val="clear" w:color="auto" w:fill="auto"/>
            <w:noWrap/>
            <w:vAlign w:val="bottom"/>
            <w:hideMark/>
          </w:tcPr>
          <w:p w14:paraId="4529578B" w14:textId="77777777" w:rsidR="00DD531B" w:rsidRPr="00661122" w:rsidRDefault="00DD531B" w:rsidP="00DD531B">
            <w:pPr>
              <w:spacing w:after="0" w:line="240" w:lineRule="auto"/>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presun z minulých rokov § 8, v tom:</w:t>
            </w:r>
          </w:p>
        </w:tc>
        <w:tc>
          <w:tcPr>
            <w:tcW w:w="390" w:type="pct"/>
            <w:tcBorders>
              <w:top w:val="nil"/>
              <w:left w:val="nil"/>
              <w:bottom w:val="nil"/>
              <w:right w:val="nil"/>
            </w:tcBorders>
            <w:shd w:val="clear" w:color="auto" w:fill="auto"/>
            <w:noWrap/>
            <w:vAlign w:val="bottom"/>
            <w:hideMark/>
          </w:tcPr>
          <w:p w14:paraId="5E103C12"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4 565</w:t>
            </w:r>
          </w:p>
        </w:tc>
        <w:tc>
          <w:tcPr>
            <w:tcW w:w="390" w:type="pct"/>
            <w:tcBorders>
              <w:top w:val="nil"/>
              <w:left w:val="nil"/>
              <w:bottom w:val="nil"/>
              <w:right w:val="nil"/>
            </w:tcBorders>
            <w:shd w:val="clear" w:color="auto" w:fill="auto"/>
            <w:noWrap/>
            <w:vAlign w:val="bottom"/>
            <w:hideMark/>
          </w:tcPr>
          <w:p w14:paraId="2FDD70CE"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5 436</w:t>
            </w:r>
          </w:p>
        </w:tc>
        <w:tc>
          <w:tcPr>
            <w:tcW w:w="403" w:type="pct"/>
            <w:tcBorders>
              <w:top w:val="nil"/>
              <w:left w:val="nil"/>
              <w:bottom w:val="nil"/>
              <w:right w:val="nil"/>
            </w:tcBorders>
            <w:shd w:val="clear" w:color="auto" w:fill="auto"/>
            <w:noWrap/>
            <w:vAlign w:val="bottom"/>
            <w:hideMark/>
          </w:tcPr>
          <w:p w14:paraId="5D3D68C0"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479" w:type="pct"/>
            <w:tcBorders>
              <w:top w:val="nil"/>
              <w:left w:val="nil"/>
              <w:bottom w:val="nil"/>
              <w:right w:val="nil"/>
            </w:tcBorders>
            <w:shd w:val="clear" w:color="auto" w:fill="auto"/>
            <w:noWrap/>
            <w:vAlign w:val="bottom"/>
            <w:hideMark/>
          </w:tcPr>
          <w:p w14:paraId="17E86665"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5 178</w:t>
            </w:r>
          </w:p>
        </w:tc>
        <w:tc>
          <w:tcPr>
            <w:tcW w:w="403" w:type="pct"/>
            <w:tcBorders>
              <w:top w:val="nil"/>
              <w:left w:val="nil"/>
              <w:bottom w:val="nil"/>
              <w:right w:val="nil"/>
            </w:tcBorders>
            <w:shd w:val="clear" w:color="auto" w:fill="auto"/>
            <w:noWrap/>
            <w:vAlign w:val="bottom"/>
            <w:hideMark/>
          </w:tcPr>
          <w:p w14:paraId="49ACDF99"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403" w:type="pct"/>
            <w:tcBorders>
              <w:top w:val="nil"/>
              <w:left w:val="nil"/>
              <w:bottom w:val="nil"/>
              <w:right w:val="nil"/>
            </w:tcBorders>
            <w:shd w:val="clear" w:color="auto" w:fill="auto"/>
            <w:noWrap/>
            <w:vAlign w:val="bottom"/>
            <w:hideMark/>
          </w:tcPr>
          <w:p w14:paraId="080ABF30"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c>
          <w:tcPr>
            <w:tcW w:w="403" w:type="pct"/>
            <w:tcBorders>
              <w:top w:val="nil"/>
              <w:left w:val="nil"/>
              <w:bottom w:val="nil"/>
              <w:right w:val="nil"/>
            </w:tcBorders>
            <w:shd w:val="clear" w:color="auto" w:fill="auto"/>
            <w:noWrap/>
            <w:vAlign w:val="bottom"/>
            <w:hideMark/>
          </w:tcPr>
          <w:p w14:paraId="1F55364F" w14:textId="77777777" w:rsidR="00DD531B" w:rsidRPr="00661122" w:rsidRDefault="00DD531B" w:rsidP="00DD531B">
            <w:pPr>
              <w:spacing w:after="0" w:line="240" w:lineRule="auto"/>
              <w:jc w:val="right"/>
              <w:rPr>
                <w:rFonts w:ascii="Times New Roman" w:eastAsia="Times New Roman" w:hAnsi="Times New Roman" w:cs="Times New Roman"/>
                <w:b/>
                <w:bCs/>
                <w:sz w:val="16"/>
                <w:szCs w:val="16"/>
                <w:lang w:eastAsia="sk-SK"/>
              </w:rPr>
            </w:pPr>
            <w:r w:rsidRPr="00661122">
              <w:rPr>
                <w:rFonts w:ascii="Times New Roman" w:eastAsia="Times New Roman" w:hAnsi="Times New Roman" w:cs="Times New Roman"/>
                <w:b/>
                <w:bCs/>
                <w:sz w:val="16"/>
                <w:szCs w:val="16"/>
                <w:lang w:eastAsia="sk-SK"/>
              </w:rPr>
              <w:t>0</w:t>
            </w:r>
          </w:p>
        </w:tc>
      </w:tr>
      <w:tr w:rsidR="00DD531B" w:rsidRPr="00DD531B" w14:paraId="26AE335F" w14:textId="77777777" w:rsidTr="001F24AE">
        <w:trPr>
          <w:trHeight w:val="300"/>
        </w:trPr>
        <w:tc>
          <w:tcPr>
            <w:tcW w:w="2128" w:type="pct"/>
            <w:tcBorders>
              <w:top w:val="nil"/>
              <w:left w:val="nil"/>
              <w:bottom w:val="nil"/>
              <w:right w:val="nil"/>
            </w:tcBorders>
            <w:shd w:val="clear" w:color="auto" w:fill="auto"/>
            <w:noWrap/>
            <w:vAlign w:val="bottom"/>
            <w:hideMark/>
          </w:tcPr>
          <w:p w14:paraId="64D4914B"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štátny rozpočet</w:t>
            </w:r>
          </w:p>
        </w:tc>
        <w:tc>
          <w:tcPr>
            <w:tcW w:w="390" w:type="pct"/>
            <w:tcBorders>
              <w:top w:val="nil"/>
              <w:left w:val="nil"/>
              <w:bottom w:val="nil"/>
              <w:right w:val="nil"/>
            </w:tcBorders>
            <w:shd w:val="clear" w:color="auto" w:fill="auto"/>
            <w:noWrap/>
            <w:vAlign w:val="bottom"/>
            <w:hideMark/>
          </w:tcPr>
          <w:p w14:paraId="49D6D385"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303</w:t>
            </w:r>
          </w:p>
        </w:tc>
        <w:tc>
          <w:tcPr>
            <w:tcW w:w="390" w:type="pct"/>
            <w:tcBorders>
              <w:top w:val="nil"/>
              <w:left w:val="nil"/>
              <w:bottom w:val="nil"/>
              <w:right w:val="nil"/>
            </w:tcBorders>
            <w:shd w:val="clear" w:color="auto" w:fill="auto"/>
            <w:noWrap/>
            <w:vAlign w:val="bottom"/>
            <w:hideMark/>
          </w:tcPr>
          <w:p w14:paraId="517D770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426</w:t>
            </w:r>
          </w:p>
        </w:tc>
        <w:tc>
          <w:tcPr>
            <w:tcW w:w="403" w:type="pct"/>
            <w:tcBorders>
              <w:top w:val="nil"/>
              <w:left w:val="nil"/>
              <w:bottom w:val="nil"/>
              <w:right w:val="nil"/>
            </w:tcBorders>
            <w:shd w:val="clear" w:color="auto" w:fill="auto"/>
            <w:noWrap/>
            <w:vAlign w:val="bottom"/>
            <w:hideMark/>
          </w:tcPr>
          <w:p w14:paraId="554BF59F"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479" w:type="pct"/>
            <w:tcBorders>
              <w:top w:val="nil"/>
              <w:left w:val="nil"/>
              <w:bottom w:val="nil"/>
              <w:right w:val="nil"/>
            </w:tcBorders>
            <w:shd w:val="clear" w:color="auto" w:fill="auto"/>
            <w:noWrap/>
            <w:vAlign w:val="bottom"/>
            <w:hideMark/>
          </w:tcPr>
          <w:p w14:paraId="5E1AC9CC"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2 702</w:t>
            </w:r>
          </w:p>
        </w:tc>
        <w:tc>
          <w:tcPr>
            <w:tcW w:w="403" w:type="pct"/>
            <w:tcBorders>
              <w:top w:val="nil"/>
              <w:left w:val="nil"/>
              <w:bottom w:val="nil"/>
              <w:right w:val="nil"/>
            </w:tcBorders>
            <w:shd w:val="clear" w:color="auto" w:fill="auto"/>
            <w:noWrap/>
            <w:vAlign w:val="bottom"/>
            <w:hideMark/>
          </w:tcPr>
          <w:p w14:paraId="44BC8CAC"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403" w:type="pct"/>
            <w:tcBorders>
              <w:top w:val="nil"/>
              <w:left w:val="nil"/>
              <w:bottom w:val="nil"/>
              <w:right w:val="nil"/>
            </w:tcBorders>
            <w:shd w:val="clear" w:color="auto" w:fill="auto"/>
            <w:noWrap/>
            <w:vAlign w:val="bottom"/>
            <w:hideMark/>
          </w:tcPr>
          <w:p w14:paraId="106D7C1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403" w:type="pct"/>
            <w:tcBorders>
              <w:top w:val="nil"/>
              <w:left w:val="nil"/>
              <w:bottom w:val="nil"/>
              <w:right w:val="nil"/>
            </w:tcBorders>
            <w:shd w:val="clear" w:color="auto" w:fill="auto"/>
            <w:noWrap/>
            <w:vAlign w:val="bottom"/>
            <w:hideMark/>
          </w:tcPr>
          <w:p w14:paraId="533EAE36"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r>
      <w:tr w:rsidR="00DD531B" w:rsidRPr="00DD531B" w14:paraId="5D46534D" w14:textId="77777777" w:rsidTr="001F24AE">
        <w:trPr>
          <w:trHeight w:val="300"/>
        </w:trPr>
        <w:tc>
          <w:tcPr>
            <w:tcW w:w="2128" w:type="pct"/>
            <w:tcBorders>
              <w:top w:val="nil"/>
              <w:left w:val="nil"/>
              <w:bottom w:val="single" w:sz="4" w:space="0" w:color="auto"/>
              <w:right w:val="nil"/>
            </w:tcBorders>
            <w:shd w:val="clear" w:color="auto" w:fill="auto"/>
            <w:noWrap/>
            <w:vAlign w:val="bottom"/>
            <w:hideMark/>
          </w:tcPr>
          <w:p w14:paraId="03F5909E" w14:textId="77777777" w:rsidR="00DD531B" w:rsidRPr="00661122" w:rsidRDefault="00DD531B" w:rsidP="00DD531B">
            <w:pPr>
              <w:spacing w:after="0" w:line="240" w:lineRule="auto"/>
              <w:rPr>
                <w:rFonts w:ascii="Times New Roman" w:eastAsia="Times New Roman" w:hAnsi="Times New Roman" w:cs="Times New Roman"/>
                <w:color w:val="000000"/>
                <w:sz w:val="16"/>
                <w:szCs w:val="16"/>
                <w:lang w:eastAsia="sk-SK"/>
              </w:rPr>
            </w:pPr>
            <w:r w:rsidRPr="00661122">
              <w:rPr>
                <w:rFonts w:ascii="Times New Roman" w:eastAsia="Times New Roman" w:hAnsi="Times New Roman" w:cs="Times New Roman"/>
                <w:color w:val="000000"/>
                <w:sz w:val="16"/>
                <w:szCs w:val="16"/>
                <w:lang w:eastAsia="sk-SK"/>
              </w:rPr>
              <w:t>prostriedky EÚ a spolufinancovanie zo ŠR</w:t>
            </w:r>
          </w:p>
        </w:tc>
        <w:tc>
          <w:tcPr>
            <w:tcW w:w="390" w:type="pct"/>
            <w:tcBorders>
              <w:top w:val="nil"/>
              <w:left w:val="nil"/>
              <w:bottom w:val="single" w:sz="4" w:space="0" w:color="auto"/>
              <w:right w:val="nil"/>
            </w:tcBorders>
            <w:shd w:val="clear" w:color="auto" w:fill="auto"/>
            <w:noWrap/>
            <w:vAlign w:val="bottom"/>
            <w:hideMark/>
          </w:tcPr>
          <w:p w14:paraId="7EB9AD59"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4 262</w:t>
            </w:r>
          </w:p>
        </w:tc>
        <w:tc>
          <w:tcPr>
            <w:tcW w:w="390" w:type="pct"/>
            <w:tcBorders>
              <w:top w:val="nil"/>
              <w:left w:val="nil"/>
              <w:bottom w:val="single" w:sz="4" w:space="0" w:color="auto"/>
              <w:right w:val="nil"/>
            </w:tcBorders>
            <w:shd w:val="clear" w:color="auto" w:fill="auto"/>
            <w:noWrap/>
            <w:vAlign w:val="bottom"/>
            <w:hideMark/>
          </w:tcPr>
          <w:p w14:paraId="343C3920"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5 010</w:t>
            </w:r>
          </w:p>
        </w:tc>
        <w:tc>
          <w:tcPr>
            <w:tcW w:w="403" w:type="pct"/>
            <w:tcBorders>
              <w:top w:val="nil"/>
              <w:left w:val="nil"/>
              <w:bottom w:val="single" w:sz="4" w:space="0" w:color="auto"/>
              <w:right w:val="nil"/>
            </w:tcBorders>
            <w:shd w:val="clear" w:color="auto" w:fill="auto"/>
            <w:noWrap/>
            <w:vAlign w:val="bottom"/>
            <w:hideMark/>
          </w:tcPr>
          <w:p w14:paraId="05685BF7"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479" w:type="pct"/>
            <w:tcBorders>
              <w:top w:val="nil"/>
              <w:left w:val="nil"/>
              <w:bottom w:val="single" w:sz="4" w:space="0" w:color="auto"/>
              <w:right w:val="nil"/>
            </w:tcBorders>
            <w:shd w:val="clear" w:color="auto" w:fill="auto"/>
            <w:noWrap/>
            <w:vAlign w:val="bottom"/>
            <w:hideMark/>
          </w:tcPr>
          <w:p w14:paraId="0F9CD652"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2 476</w:t>
            </w:r>
          </w:p>
        </w:tc>
        <w:tc>
          <w:tcPr>
            <w:tcW w:w="403" w:type="pct"/>
            <w:tcBorders>
              <w:top w:val="nil"/>
              <w:left w:val="nil"/>
              <w:bottom w:val="single" w:sz="4" w:space="0" w:color="auto"/>
              <w:right w:val="nil"/>
            </w:tcBorders>
            <w:shd w:val="clear" w:color="auto" w:fill="auto"/>
            <w:noWrap/>
            <w:vAlign w:val="bottom"/>
            <w:hideMark/>
          </w:tcPr>
          <w:p w14:paraId="0ED6B520"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403" w:type="pct"/>
            <w:tcBorders>
              <w:top w:val="nil"/>
              <w:left w:val="nil"/>
              <w:bottom w:val="single" w:sz="4" w:space="0" w:color="auto"/>
              <w:right w:val="nil"/>
            </w:tcBorders>
            <w:shd w:val="clear" w:color="auto" w:fill="auto"/>
            <w:noWrap/>
            <w:vAlign w:val="bottom"/>
            <w:hideMark/>
          </w:tcPr>
          <w:p w14:paraId="5DEF3BFA"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c>
          <w:tcPr>
            <w:tcW w:w="403" w:type="pct"/>
            <w:tcBorders>
              <w:top w:val="nil"/>
              <w:left w:val="nil"/>
              <w:bottom w:val="single" w:sz="4" w:space="0" w:color="auto"/>
              <w:right w:val="nil"/>
            </w:tcBorders>
            <w:shd w:val="clear" w:color="auto" w:fill="auto"/>
            <w:noWrap/>
            <w:vAlign w:val="bottom"/>
            <w:hideMark/>
          </w:tcPr>
          <w:p w14:paraId="3DDCDE3B" w14:textId="77777777" w:rsidR="00DD531B" w:rsidRPr="00661122" w:rsidRDefault="00DD531B" w:rsidP="00DD531B">
            <w:pPr>
              <w:spacing w:after="0" w:line="240" w:lineRule="auto"/>
              <w:jc w:val="right"/>
              <w:rPr>
                <w:rFonts w:ascii="Times New Roman" w:eastAsia="Times New Roman" w:hAnsi="Times New Roman" w:cs="Times New Roman"/>
                <w:sz w:val="16"/>
                <w:szCs w:val="16"/>
                <w:lang w:eastAsia="sk-SK"/>
              </w:rPr>
            </w:pPr>
            <w:r w:rsidRPr="00661122">
              <w:rPr>
                <w:rFonts w:ascii="Times New Roman" w:eastAsia="Times New Roman" w:hAnsi="Times New Roman" w:cs="Times New Roman"/>
                <w:sz w:val="16"/>
                <w:szCs w:val="16"/>
                <w:lang w:eastAsia="sk-SK"/>
              </w:rPr>
              <w:t>0</w:t>
            </w:r>
          </w:p>
        </w:tc>
      </w:tr>
    </w:tbl>
    <w:p w14:paraId="2723D4A2" w14:textId="3653DC28" w:rsidR="00DD531B" w:rsidRPr="00730A6E" w:rsidRDefault="00DD531B" w:rsidP="00DD531B">
      <w:pPr>
        <w:keepNext/>
        <w:keepLines/>
        <w:spacing w:after="0"/>
        <w:outlineLvl w:val="1"/>
        <w:rPr>
          <w:rFonts w:ascii="Times New Roman" w:eastAsia="Times New Roman" w:hAnsi="Times New Roman" w:cs="Times New Roman"/>
          <w:b/>
          <w:color w:val="5B9BD5" w:themeColor="accent1"/>
          <w:sz w:val="24"/>
          <w:szCs w:val="24"/>
        </w:rPr>
      </w:pPr>
      <w:r w:rsidRPr="00730A6E">
        <w:rPr>
          <w:rFonts w:ascii="Times New Roman" w:eastAsia="Times New Roman" w:hAnsi="Times New Roman" w:cs="Times New Roman"/>
          <w:b/>
          <w:color w:val="5B9BD5" w:themeColor="accent1"/>
          <w:sz w:val="24"/>
          <w:szCs w:val="24"/>
        </w:rPr>
        <w:lastRenderedPageBreak/>
        <w:t>Úrad pre verejné obstarávanie</w:t>
      </w:r>
    </w:p>
    <w:p w14:paraId="24A10539" w14:textId="77777777" w:rsidR="00DD531B" w:rsidRPr="00730A6E" w:rsidRDefault="00DD531B" w:rsidP="00DD531B">
      <w:pPr>
        <w:rPr>
          <w:rFonts w:ascii="Times New Roman" w:eastAsia="Calibri" w:hAnsi="Times New Roman" w:cs="Times New Roman"/>
          <w:color w:val="5B9BD5" w:themeColor="accent1"/>
        </w:rPr>
      </w:pPr>
    </w:p>
    <w:p w14:paraId="5052224A" w14:textId="47AEA4EC" w:rsidR="00DD531B" w:rsidRPr="00730A6E" w:rsidRDefault="00730A6E"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31" w:name="_Toc153013101"/>
      <w:r w:rsidRPr="00730A6E">
        <w:rPr>
          <w:rFonts w:ascii="Times New Roman" w:eastAsia="Times New Roman" w:hAnsi="Times New Roman" w:cs="Times New Roman"/>
          <w:b/>
          <w:iCs/>
          <w:color w:val="5B9BD5" w:themeColor="accent1"/>
          <w:sz w:val="20"/>
          <w:szCs w:val="20"/>
          <w:lang w:eastAsia="sk-SK"/>
        </w:rPr>
        <w:t xml:space="preserve">Tabuľka </w:t>
      </w:r>
      <w:r w:rsidRPr="00730A6E">
        <w:rPr>
          <w:rFonts w:ascii="Times New Roman" w:hAnsi="Times New Roman" w:cs="Times New Roman"/>
          <w:b/>
          <w:color w:val="5B9BD5" w:themeColor="accent1"/>
          <w:sz w:val="20"/>
          <w:szCs w:val="20"/>
        </w:rPr>
        <w:fldChar w:fldCharType="begin"/>
      </w:r>
      <w:r w:rsidRPr="00730A6E">
        <w:rPr>
          <w:rFonts w:ascii="Times New Roman" w:hAnsi="Times New Roman" w:cs="Times New Roman"/>
          <w:b/>
          <w:color w:val="5B9BD5" w:themeColor="accent1"/>
          <w:sz w:val="20"/>
          <w:szCs w:val="20"/>
        </w:rPr>
        <w:instrText xml:space="preserve"> SEQ Tabuľka \* ARABIC </w:instrText>
      </w:r>
      <w:r w:rsidRPr="00730A6E">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103</w:t>
      </w:r>
      <w:r w:rsidRPr="00730A6E">
        <w:rPr>
          <w:rFonts w:ascii="Times New Roman" w:hAnsi="Times New Roman" w:cs="Times New Roman"/>
          <w:b/>
          <w:color w:val="5B9BD5" w:themeColor="accent1"/>
          <w:sz w:val="20"/>
          <w:szCs w:val="20"/>
        </w:rPr>
        <w:fldChar w:fldCharType="end"/>
      </w:r>
      <w:r w:rsidRPr="00730A6E">
        <w:rPr>
          <w:rFonts w:ascii="Times New Roman" w:hAnsi="Times New Roman" w:cs="Times New Roman"/>
          <w:b/>
          <w:color w:val="5B9BD5" w:themeColor="accent1"/>
          <w:sz w:val="20"/>
          <w:szCs w:val="20"/>
        </w:rPr>
        <w:t xml:space="preserve"> - </w:t>
      </w:r>
      <w:r w:rsidR="00DD531B" w:rsidRPr="00730A6E">
        <w:rPr>
          <w:rFonts w:ascii="Times New Roman" w:eastAsia="Times New Roman" w:hAnsi="Times New Roman" w:cs="Times New Roman"/>
          <w:b/>
          <w:iCs/>
          <w:color w:val="5B9BD5" w:themeColor="accent1"/>
          <w:sz w:val="20"/>
          <w:szCs w:val="20"/>
          <w:lang w:eastAsia="sk-SK"/>
        </w:rPr>
        <w:t>Príjmy kapitoly ÚVO SR</w:t>
      </w:r>
      <w:bookmarkEnd w:id="231"/>
    </w:p>
    <w:tbl>
      <w:tblPr>
        <w:tblW w:w="5000" w:type="pct"/>
        <w:tblCellMar>
          <w:left w:w="70" w:type="dxa"/>
          <w:right w:w="70" w:type="dxa"/>
        </w:tblCellMar>
        <w:tblLook w:val="04A0" w:firstRow="1" w:lastRow="0" w:firstColumn="1" w:lastColumn="0" w:noHBand="0" w:noVBand="1"/>
      </w:tblPr>
      <w:tblGrid>
        <w:gridCol w:w="4263"/>
        <w:gridCol w:w="654"/>
        <w:gridCol w:w="653"/>
        <w:gridCol w:w="675"/>
        <w:gridCol w:w="802"/>
        <w:gridCol w:w="675"/>
        <w:gridCol w:w="675"/>
        <w:gridCol w:w="675"/>
      </w:tblGrid>
      <w:tr w:rsidR="00DD531B" w:rsidRPr="00DD531B" w14:paraId="586953DB" w14:textId="77777777" w:rsidTr="001F24AE">
        <w:trPr>
          <w:trHeight w:val="300"/>
        </w:trPr>
        <w:tc>
          <w:tcPr>
            <w:tcW w:w="2349" w:type="pct"/>
            <w:tcBorders>
              <w:top w:val="single" w:sz="4" w:space="0" w:color="auto"/>
              <w:left w:val="nil"/>
              <w:bottom w:val="single" w:sz="4" w:space="0" w:color="auto"/>
              <w:right w:val="nil"/>
            </w:tcBorders>
            <w:shd w:val="clear" w:color="auto" w:fill="auto"/>
            <w:noWrap/>
            <w:vAlign w:val="center"/>
            <w:hideMark/>
          </w:tcPr>
          <w:p w14:paraId="79FA4EC4" w14:textId="77777777" w:rsidR="00DD531B" w:rsidRPr="00730A6E" w:rsidRDefault="00DD531B" w:rsidP="00DD531B">
            <w:pPr>
              <w:spacing w:after="0" w:line="240" w:lineRule="auto"/>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v tis. eur</w:t>
            </w:r>
          </w:p>
        </w:tc>
        <w:tc>
          <w:tcPr>
            <w:tcW w:w="360" w:type="pct"/>
            <w:tcBorders>
              <w:top w:val="single" w:sz="4" w:space="0" w:color="auto"/>
              <w:left w:val="nil"/>
              <w:bottom w:val="single" w:sz="4" w:space="0" w:color="auto"/>
              <w:right w:val="nil"/>
            </w:tcBorders>
            <w:shd w:val="clear" w:color="auto" w:fill="auto"/>
            <w:noWrap/>
            <w:vAlign w:val="center"/>
            <w:hideMark/>
          </w:tcPr>
          <w:p w14:paraId="12ACA5E6"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2021 S</w:t>
            </w:r>
          </w:p>
        </w:tc>
        <w:tc>
          <w:tcPr>
            <w:tcW w:w="360" w:type="pct"/>
            <w:tcBorders>
              <w:top w:val="single" w:sz="4" w:space="0" w:color="auto"/>
              <w:left w:val="nil"/>
              <w:bottom w:val="single" w:sz="4" w:space="0" w:color="auto"/>
              <w:right w:val="nil"/>
            </w:tcBorders>
            <w:shd w:val="clear" w:color="auto" w:fill="auto"/>
            <w:noWrap/>
            <w:vAlign w:val="center"/>
            <w:hideMark/>
          </w:tcPr>
          <w:p w14:paraId="0465233A"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2022 S</w:t>
            </w:r>
          </w:p>
        </w:tc>
        <w:tc>
          <w:tcPr>
            <w:tcW w:w="372" w:type="pct"/>
            <w:tcBorders>
              <w:top w:val="single" w:sz="4" w:space="0" w:color="auto"/>
              <w:left w:val="nil"/>
              <w:bottom w:val="single" w:sz="4" w:space="0" w:color="auto"/>
              <w:right w:val="nil"/>
            </w:tcBorders>
            <w:shd w:val="clear" w:color="auto" w:fill="auto"/>
            <w:noWrap/>
            <w:vAlign w:val="center"/>
            <w:hideMark/>
          </w:tcPr>
          <w:p w14:paraId="3705242A"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2023 R</w:t>
            </w:r>
          </w:p>
        </w:tc>
        <w:tc>
          <w:tcPr>
            <w:tcW w:w="442" w:type="pct"/>
            <w:tcBorders>
              <w:top w:val="single" w:sz="4" w:space="0" w:color="auto"/>
              <w:left w:val="nil"/>
              <w:bottom w:val="single" w:sz="4" w:space="0" w:color="auto"/>
              <w:right w:val="nil"/>
            </w:tcBorders>
            <w:shd w:val="clear" w:color="auto" w:fill="auto"/>
            <w:noWrap/>
            <w:vAlign w:val="center"/>
            <w:hideMark/>
          </w:tcPr>
          <w:p w14:paraId="5B492CA8"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2023 OS</w:t>
            </w:r>
          </w:p>
        </w:tc>
        <w:tc>
          <w:tcPr>
            <w:tcW w:w="372" w:type="pct"/>
            <w:tcBorders>
              <w:top w:val="single" w:sz="4" w:space="0" w:color="auto"/>
              <w:left w:val="nil"/>
              <w:bottom w:val="single" w:sz="4" w:space="0" w:color="auto"/>
              <w:right w:val="nil"/>
            </w:tcBorders>
            <w:shd w:val="clear" w:color="auto" w:fill="auto"/>
            <w:noWrap/>
            <w:vAlign w:val="center"/>
            <w:hideMark/>
          </w:tcPr>
          <w:p w14:paraId="21431B39"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2024 N</w:t>
            </w:r>
          </w:p>
        </w:tc>
        <w:tc>
          <w:tcPr>
            <w:tcW w:w="372" w:type="pct"/>
            <w:tcBorders>
              <w:top w:val="single" w:sz="4" w:space="0" w:color="auto"/>
              <w:left w:val="nil"/>
              <w:bottom w:val="single" w:sz="4" w:space="0" w:color="auto"/>
              <w:right w:val="nil"/>
            </w:tcBorders>
            <w:shd w:val="clear" w:color="auto" w:fill="auto"/>
            <w:noWrap/>
            <w:vAlign w:val="center"/>
            <w:hideMark/>
          </w:tcPr>
          <w:p w14:paraId="26782CA8"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2025 N</w:t>
            </w:r>
          </w:p>
        </w:tc>
        <w:tc>
          <w:tcPr>
            <w:tcW w:w="372" w:type="pct"/>
            <w:tcBorders>
              <w:top w:val="single" w:sz="4" w:space="0" w:color="auto"/>
              <w:left w:val="nil"/>
              <w:bottom w:val="single" w:sz="4" w:space="0" w:color="auto"/>
              <w:right w:val="nil"/>
            </w:tcBorders>
            <w:shd w:val="clear" w:color="auto" w:fill="auto"/>
            <w:noWrap/>
            <w:vAlign w:val="center"/>
            <w:hideMark/>
          </w:tcPr>
          <w:p w14:paraId="6B55DF6D"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2026 N</w:t>
            </w:r>
          </w:p>
        </w:tc>
      </w:tr>
      <w:tr w:rsidR="00DD531B" w:rsidRPr="00DD531B" w14:paraId="4F8C7724" w14:textId="77777777" w:rsidTr="001F24AE">
        <w:trPr>
          <w:trHeight w:val="300"/>
        </w:trPr>
        <w:tc>
          <w:tcPr>
            <w:tcW w:w="2349" w:type="pct"/>
            <w:tcBorders>
              <w:top w:val="nil"/>
              <w:left w:val="nil"/>
              <w:bottom w:val="nil"/>
              <w:right w:val="nil"/>
            </w:tcBorders>
            <w:shd w:val="clear" w:color="auto" w:fill="auto"/>
            <w:noWrap/>
            <w:vAlign w:val="bottom"/>
            <w:hideMark/>
          </w:tcPr>
          <w:p w14:paraId="5BC2CAC1" w14:textId="77777777" w:rsidR="00DD531B" w:rsidRPr="00730A6E" w:rsidRDefault="00DD531B" w:rsidP="00DD531B">
            <w:pPr>
              <w:spacing w:after="0" w:line="240" w:lineRule="auto"/>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Príjmy kapitoly spolu</w:t>
            </w:r>
          </w:p>
        </w:tc>
        <w:tc>
          <w:tcPr>
            <w:tcW w:w="360" w:type="pct"/>
            <w:tcBorders>
              <w:top w:val="nil"/>
              <w:left w:val="nil"/>
              <w:bottom w:val="nil"/>
              <w:right w:val="nil"/>
            </w:tcBorders>
            <w:shd w:val="clear" w:color="auto" w:fill="auto"/>
            <w:noWrap/>
            <w:vAlign w:val="bottom"/>
            <w:hideMark/>
          </w:tcPr>
          <w:p w14:paraId="5AE931EB" w14:textId="77777777" w:rsidR="00DD531B" w:rsidRPr="00730A6E"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4 870</w:t>
            </w:r>
          </w:p>
        </w:tc>
        <w:tc>
          <w:tcPr>
            <w:tcW w:w="360" w:type="pct"/>
            <w:tcBorders>
              <w:top w:val="nil"/>
              <w:left w:val="nil"/>
              <w:bottom w:val="nil"/>
              <w:right w:val="nil"/>
            </w:tcBorders>
            <w:shd w:val="clear" w:color="auto" w:fill="auto"/>
            <w:noWrap/>
            <w:vAlign w:val="bottom"/>
            <w:hideMark/>
          </w:tcPr>
          <w:p w14:paraId="3F2CDC1D" w14:textId="77777777" w:rsidR="00DD531B" w:rsidRPr="00730A6E"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2 785</w:t>
            </w:r>
          </w:p>
        </w:tc>
        <w:tc>
          <w:tcPr>
            <w:tcW w:w="372" w:type="pct"/>
            <w:tcBorders>
              <w:top w:val="nil"/>
              <w:left w:val="nil"/>
              <w:bottom w:val="nil"/>
              <w:right w:val="nil"/>
            </w:tcBorders>
            <w:shd w:val="clear" w:color="auto" w:fill="auto"/>
            <w:noWrap/>
            <w:vAlign w:val="bottom"/>
            <w:hideMark/>
          </w:tcPr>
          <w:p w14:paraId="370512E9" w14:textId="77777777" w:rsidR="00DD531B" w:rsidRPr="00730A6E"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1 000</w:t>
            </w:r>
          </w:p>
        </w:tc>
        <w:tc>
          <w:tcPr>
            <w:tcW w:w="442" w:type="pct"/>
            <w:tcBorders>
              <w:top w:val="nil"/>
              <w:left w:val="nil"/>
              <w:bottom w:val="nil"/>
              <w:right w:val="nil"/>
            </w:tcBorders>
            <w:shd w:val="clear" w:color="auto" w:fill="auto"/>
            <w:noWrap/>
            <w:vAlign w:val="bottom"/>
            <w:hideMark/>
          </w:tcPr>
          <w:p w14:paraId="58B34E55" w14:textId="77777777" w:rsidR="00DD531B" w:rsidRPr="00730A6E"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2 015</w:t>
            </w:r>
          </w:p>
        </w:tc>
        <w:tc>
          <w:tcPr>
            <w:tcW w:w="372" w:type="pct"/>
            <w:tcBorders>
              <w:top w:val="nil"/>
              <w:left w:val="nil"/>
              <w:bottom w:val="nil"/>
              <w:right w:val="nil"/>
            </w:tcBorders>
            <w:shd w:val="clear" w:color="auto" w:fill="auto"/>
            <w:noWrap/>
            <w:vAlign w:val="bottom"/>
            <w:hideMark/>
          </w:tcPr>
          <w:p w14:paraId="71D0FCFA" w14:textId="77777777" w:rsidR="00DD531B" w:rsidRPr="00730A6E"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1 000</w:t>
            </w:r>
          </w:p>
        </w:tc>
        <w:tc>
          <w:tcPr>
            <w:tcW w:w="372" w:type="pct"/>
            <w:tcBorders>
              <w:top w:val="nil"/>
              <w:left w:val="nil"/>
              <w:bottom w:val="nil"/>
              <w:right w:val="nil"/>
            </w:tcBorders>
            <w:shd w:val="clear" w:color="auto" w:fill="auto"/>
            <w:noWrap/>
            <w:vAlign w:val="bottom"/>
            <w:hideMark/>
          </w:tcPr>
          <w:p w14:paraId="7985E473" w14:textId="77777777" w:rsidR="00DD531B" w:rsidRPr="00730A6E"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1 000</w:t>
            </w:r>
          </w:p>
        </w:tc>
        <w:tc>
          <w:tcPr>
            <w:tcW w:w="372" w:type="pct"/>
            <w:tcBorders>
              <w:top w:val="nil"/>
              <w:left w:val="nil"/>
              <w:bottom w:val="nil"/>
              <w:right w:val="nil"/>
            </w:tcBorders>
            <w:shd w:val="clear" w:color="auto" w:fill="auto"/>
            <w:noWrap/>
            <w:vAlign w:val="bottom"/>
            <w:hideMark/>
          </w:tcPr>
          <w:p w14:paraId="209A03B2" w14:textId="77777777" w:rsidR="00DD531B" w:rsidRPr="00730A6E"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1 000</w:t>
            </w:r>
          </w:p>
        </w:tc>
      </w:tr>
      <w:tr w:rsidR="00DD531B" w:rsidRPr="00DD531B" w14:paraId="709681A8" w14:textId="77777777" w:rsidTr="001F24AE">
        <w:trPr>
          <w:trHeight w:val="300"/>
        </w:trPr>
        <w:tc>
          <w:tcPr>
            <w:tcW w:w="2349" w:type="pct"/>
            <w:tcBorders>
              <w:top w:val="nil"/>
              <w:left w:val="nil"/>
              <w:bottom w:val="single" w:sz="4" w:space="0" w:color="auto"/>
              <w:right w:val="nil"/>
            </w:tcBorders>
            <w:shd w:val="clear" w:color="auto" w:fill="auto"/>
            <w:noWrap/>
            <w:vAlign w:val="bottom"/>
            <w:hideMark/>
          </w:tcPr>
          <w:p w14:paraId="5AC371C0" w14:textId="77777777" w:rsidR="00DD531B" w:rsidRPr="00730A6E" w:rsidRDefault="00DD531B" w:rsidP="00DD531B">
            <w:pPr>
              <w:spacing w:after="0" w:line="240" w:lineRule="auto"/>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nedaňové príjmy</w:t>
            </w:r>
          </w:p>
        </w:tc>
        <w:tc>
          <w:tcPr>
            <w:tcW w:w="360" w:type="pct"/>
            <w:tcBorders>
              <w:top w:val="nil"/>
              <w:left w:val="nil"/>
              <w:bottom w:val="single" w:sz="4" w:space="0" w:color="auto"/>
              <w:right w:val="nil"/>
            </w:tcBorders>
            <w:shd w:val="clear" w:color="auto" w:fill="auto"/>
            <w:noWrap/>
            <w:vAlign w:val="bottom"/>
            <w:hideMark/>
          </w:tcPr>
          <w:p w14:paraId="16EFAC24"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4 870</w:t>
            </w:r>
          </w:p>
        </w:tc>
        <w:tc>
          <w:tcPr>
            <w:tcW w:w="360" w:type="pct"/>
            <w:tcBorders>
              <w:top w:val="nil"/>
              <w:left w:val="nil"/>
              <w:bottom w:val="single" w:sz="4" w:space="0" w:color="auto"/>
              <w:right w:val="nil"/>
            </w:tcBorders>
            <w:shd w:val="clear" w:color="auto" w:fill="auto"/>
            <w:noWrap/>
            <w:vAlign w:val="bottom"/>
            <w:hideMark/>
          </w:tcPr>
          <w:p w14:paraId="03ABAF4F"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2 785</w:t>
            </w:r>
          </w:p>
        </w:tc>
        <w:tc>
          <w:tcPr>
            <w:tcW w:w="372" w:type="pct"/>
            <w:tcBorders>
              <w:top w:val="nil"/>
              <w:left w:val="nil"/>
              <w:bottom w:val="single" w:sz="4" w:space="0" w:color="auto"/>
              <w:right w:val="nil"/>
            </w:tcBorders>
            <w:shd w:val="clear" w:color="auto" w:fill="auto"/>
            <w:noWrap/>
            <w:vAlign w:val="bottom"/>
            <w:hideMark/>
          </w:tcPr>
          <w:p w14:paraId="6C710F16"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1 000</w:t>
            </w:r>
          </w:p>
        </w:tc>
        <w:tc>
          <w:tcPr>
            <w:tcW w:w="442" w:type="pct"/>
            <w:tcBorders>
              <w:top w:val="nil"/>
              <w:left w:val="nil"/>
              <w:bottom w:val="single" w:sz="4" w:space="0" w:color="auto"/>
              <w:right w:val="nil"/>
            </w:tcBorders>
            <w:shd w:val="clear" w:color="auto" w:fill="auto"/>
            <w:noWrap/>
            <w:vAlign w:val="bottom"/>
            <w:hideMark/>
          </w:tcPr>
          <w:p w14:paraId="485CB155"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2 015</w:t>
            </w:r>
          </w:p>
        </w:tc>
        <w:tc>
          <w:tcPr>
            <w:tcW w:w="372" w:type="pct"/>
            <w:tcBorders>
              <w:top w:val="nil"/>
              <w:left w:val="nil"/>
              <w:bottom w:val="single" w:sz="4" w:space="0" w:color="auto"/>
              <w:right w:val="nil"/>
            </w:tcBorders>
            <w:shd w:val="clear" w:color="auto" w:fill="auto"/>
            <w:noWrap/>
            <w:vAlign w:val="bottom"/>
            <w:hideMark/>
          </w:tcPr>
          <w:p w14:paraId="270BEAEA"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1 000</w:t>
            </w:r>
          </w:p>
        </w:tc>
        <w:tc>
          <w:tcPr>
            <w:tcW w:w="372" w:type="pct"/>
            <w:tcBorders>
              <w:top w:val="nil"/>
              <w:left w:val="nil"/>
              <w:bottom w:val="single" w:sz="4" w:space="0" w:color="auto"/>
              <w:right w:val="nil"/>
            </w:tcBorders>
            <w:shd w:val="clear" w:color="auto" w:fill="auto"/>
            <w:noWrap/>
            <w:vAlign w:val="bottom"/>
            <w:hideMark/>
          </w:tcPr>
          <w:p w14:paraId="0F3FCF1B"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1 000</w:t>
            </w:r>
          </w:p>
        </w:tc>
        <w:tc>
          <w:tcPr>
            <w:tcW w:w="372" w:type="pct"/>
            <w:tcBorders>
              <w:top w:val="nil"/>
              <w:left w:val="nil"/>
              <w:bottom w:val="single" w:sz="4" w:space="0" w:color="auto"/>
              <w:right w:val="nil"/>
            </w:tcBorders>
            <w:shd w:val="clear" w:color="auto" w:fill="auto"/>
            <w:noWrap/>
            <w:vAlign w:val="bottom"/>
            <w:hideMark/>
          </w:tcPr>
          <w:p w14:paraId="1DF8E5D9"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1 000</w:t>
            </w:r>
          </w:p>
        </w:tc>
      </w:tr>
    </w:tbl>
    <w:p w14:paraId="58F90357" w14:textId="77777777" w:rsidR="00DD531B" w:rsidRPr="00DD531B" w:rsidRDefault="00DD531B" w:rsidP="00DD531B">
      <w:pPr>
        <w:rPr>
          <w:rFonts w:ascii="Times New Roman" w:eastAsia="Calibri" w:hAnsi="Times New Roman" w:cs="Times New Roman"/>
        </w:rPr>
      </w:pPr>
    </w:p>
    <w:p w14:paraId="6401FD71" w14:textId="7992E08F" w:rsidR="00DD531B" w:rsidRPr="00730A6E" w:rsidRDefault="00730A6E"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32" w:name="_Toc153013102"/>
      <w:r w:rsidRPr="00730A6E">
        <w:rPr>
          <w:rFonts w:ascii="Times New Roman" w:eastAsia="Times New Roman" w:hAnsi="Times New Roman" w:cs="Times New Roman"/>
          <w:b/>
          <w:iCs/>
          <w:color w:val="5B9BD5" w:themeColor="accent1"/>
          <w:sz w:val="20"/>
          <w:szCs w:val="20"/>
          <w:lang w:eastAsia="sk-SK"/>
        </w:rPr>
        <w:t xml:space="preserve">Tabuľka </w:t>
      </w:r>
      <w:r w:rsidRPr="00730A6E">
        <w:rPr>
          <w:rFonts w:ascii="Times New Roman" w:hAnsi="Times New Roman" w:cs="Times New Roman"/>
          <w:b/>
          <w:color w:val="5B9BD5" w:themeColor="accent1"/>
          <w:sz w:val="20"/>
          <w:szCs w:val="20"/>
        </w:rPr>
        <w:fldChar w:fldCharType="begin"/>
      </w:r>
      <w:r w:rsidRPr="00730A6E">
        <w:rPr>
          <w:rFonts w:ascii="Times New Roman" w:hAnsi="Times New Roman" w:cs="Times New Roman"/>
          <w:b/>
          <w:color w:val="5B9BD5" w:themeColor="accent1"/>
          <w:sz w:val="20"/>
          <w:szCs w:val="20"/>
        </w:rPr>
        <w:instrText xml:space="preserve"> SEQ Tabuľka \* ARABIC </w:instrText>
      </w:r>
      <w:r w:rsidRPr="00730A6E">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104</w:t>
      </w:r>
      <w:r w:rsidRPr="00730A6E">
        <w:rPr>
          <w:rFonts w:ascii="Times New Roman" w:hAnsi="Times New Roman" w:cs="Times New Roman"/>
          <w:b/>
          <w:color w:val="5B9BD5" w:themeColor="accent1"/>
          <w:sz w:val="20"/>
          <w:szCs w:val="20"/>
        </w:rPr>
        <w:fldChar w:fldCharType="end"/>
      </w:r>
      <w:r w:rsidRPr="00730A6E">
        <w:rPr>
          <w:rFonts w:ascii="Times New Roman" w:hAnsi="Times New Roman" w:cs="Times New Roman"/>
          <w:b/>
          <w:color w:val="5B9BD5" w:themeColor="accent1"/>
          <w:sz w:val="20"/>
          <w:szCs w:val="20"/>
        </w:rPr>
        <w:t xml:space="preserve"> - </w:t>
      </w:r>
      <w:r w:rsidR="00DD531B" w:rsidRPr="00730A6E">
        <w:rPr>
          <w:rFonts w:ascii="Times New Roman" w:eastAsia="Times New Roman" w:hAnsi="Times New Roman" w:cs="Times New Roman"/>
          <w:b/>
          <w:iCs/>
          <w:color w:val="5B9BD5" w:themeColor="accent1"/>
          <w:sz w:val="20"/>
          <w:szCs w:val="20"/>
          <w:lang w:eastAsia="sk-SK"/>
        </w:rPr>
        <w:t>Výdavky kapitoly ÚVO SR</w:t>
      </w:r>
      <w:bookmarkEnd w:id="232"/>
    </w:p>
    <w:tbl>
      <w:tblPr>
        <w:tblW w:w="5000" w:type="pct"/>
        <w:tblCellMar>
          <w:left w:w="70" w:type="dxa"/>
          <w:right w:w="70" w:type="dxa"/>
        </w:tblCellMar>
        <w:tblLook w:val="04A0" w:firstRow="1" w:lastRow="0" w:firstColumn="1" w:lastColumn="0" w:noHBand="0" w:noVBand="1"/>
      </w:tblPr>
      <w:tblGrid>
        <w:gridCol w:w="4263"/>
        <w:gridCol w:w="654"/>
        <w:gridCol w:w="653"/>
        <w:gridCol w:w="675"/>
        <w:gridCol w:w="802"/>
        <w:gridCol w:w="675"/>
        <w:gridCol w:w="675"/>
        <w:gridCol w:w="675"/>
      </w:tblGrid>
      <w:tr w:rsidR="00DD531B" w:rsidRPr="00DD531B" w14:paraId="4487415B" w14:textId="77777777" w:rsidTr="001F24AE">
        <w:trPr>
          <w:trHeight w:val="300"/>
        </w:trPr>
        <w:tc>
          <w:tcPr>
            <w:tcW w:w="2349" w:type="pct"/>
            <w:tcBorders>
              <w:top w:val="single" w:sz="4" w:space="0" w:color="auto"/>
              <w:left w:val="nil"/>
              <w:bottom w:val="single" w:sz="4" w:space="0" w:color="auto"/>
              <w:right w:val="nil"/>
            </w:tcBorders>
            <w:shd w:val="clear" w:color="auto" w:fill="auto"/>
            <w:noWrap/>
            <w:vAlign w:val="center"/>
            <w:hideMark/>
          </w:tcPr>
          <w:p w14:paraId="3B64B3EA" w14:textId="77777777" w:rsidR="00DD531B" w:rsidRPr="00730A6E" w:rsidRDefault="00DD531B" w:rsidP="00DD531B">
            <w:pPr>
              <w:spacing w:after="0" w:line="240" w:lineRule="auto"/>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v tis. eur</w:t>
            </w:r>
          </w:p>
        </w:tc>
        <w:tc>
          <w:tcPr>
            <w:tcW w:w="360" w:type="pct"/>
            <w:tcBorders>
              <w:top w:val="single" w:sz="4" w:space="0" w:color="auto"/>
              <w:left w:val="nil"/>
              <w:bottom w:val="single" w:sz="4" w:space="0" w:color="auto"/>
              <w:right w:val="nil"/>
            </w:tcBorders>
            <w:shd w:val="clear" w:color="auto" w:fill="auto"/>
            <w:noWrap/>
            <w:vAlign w:val="center"/>
            <w:hideMark/>
          </w:tcPr>
          <w:p w14:paraId="2156E603"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2021 S</w:t>
            </w:r>
          </w:p>
        </w:tc>
        <w:tc>
          <w:tcPr>
            <w:tcW w:w="360" w:type="pct"/>
            <w:tcBorders>
              <w:top w:val="single" w:sz="4" w:space="0" w:color="auto"/>
              <w:left w:val="nil"/>
              <w:bottom w:val="single" w:sz="4" w:space="0" w:color="auto"/>
              <w:right w:val="nil"/>
            </w:tcBorders>
            <w:shd w:val="clear" w:color="auto" w:fill="auto"/>
            <w:noWrap/>
            <w:vAlign w:val="center"/>
            <w:hideMark/>
          </w:tcPr>
          <w:p w14:paraId="1DC2B7F1"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2022 S</w:t>
            </w:r>
          </w:p>
        </w:tc>
        <w:tc>
          <w:tcPr>
            <w:tcW w:w="372" w:type="pct"/>
            <w:tcBorders>
              <w:top w:val="single" w:sz="4" w:space="0" w:color="auto"/>
              <w:left w:val="nil"/>
              <w:bottom w:val="single" w:sz="4" w:space="0" w:color="auto"/>
              <w:right w:val="nil"/>
            </w:tcBorders>
            <w:shd w:val="clear" w:color="auto" w:fill="auto"/>
            <w:noWrap/>
            <w:vAlign w:val="center"/>
            <w:hideMark/>
          </w:tcPr>
          <w:p w14:paraId="52174A87"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2023 R</w:t>
            </w:r>
          </w:p>
        </w:tc>
        <w:tc>
          <w:tcPr>
            <w:tcW w:w="442" w:type="pct"/>
            <w:tcBorders>
              <w:top w:val="single" w:sz="4" w:space="0" w:color="auto"/>
              <w:left w:val="nil"/>
              <w:bottom w:val="single" w:sz="4" w:space="0" w:color="auto"/>
              <w:right w:val="nil"/>
            </w:tcBorders>
            <w:shd w:val="clear" w:color="auto" w:fill="auto"/>
            <w:noWrap/>
            <w:vAlign w:val="center"/>
            <w:hideMark/>
          </w:tcPr>
          <w:p w14:paraId="6292FCCD"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2023 OS</w:t>
            </w:r>
          </w:p>
        </w:tc>
        <w:tc>
          <w:tcPr>
            <w:tcW w:w="372" w:type="pct"/>
            <w:tcBorders>
              <w:top w:val="single" w:sz="4" w:space="0" w:color="auto"/>
              <w:left w:val="nil"/>
              <w:bottom w:val="single" w:sz="4" w:space="0" w:color="auto"/>
              <w:right w:val="nil"/>
            </w:tcBorders>
            <w:shd w:val="clear" w:color="auto" w:fill="auto"/>
            <w:noWrap/>
            <w:vAlign w:val="center"/>
            <w:hideMark/>
          </w:tcPr>
          <w:p w14:paraId="3BF9238F"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2024 N</w:t>
            </w:r>
          </w:p>
        </w:tc>
        <w:tc>
          <w:tcPr>
            <w:tcW w:w="372" w:type="pct"/>
            <w:tcBorders>
              <w:top w:val="single" w:sz="4" w:space="0" w:color="auto"/>
              <w:left w:val="nil"/>
              <w:bottom w:val="single" w:sz="4" w:space="0" w:color="auto"/>
              <w:right w:val="nil"/>
            </w:tcBorders>
            <w:shd w:val="clear" w:color="auto" w:fill="auto"/>
            <w:noWrap/>
            <w:vAlign w:val="center"/>
            <w:hideMark/>
          </w:tcPr>
          <w:p w14:paraId="5FD5EBAE"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2025 N</w:t>
            </w:r>
          </w:p>
        </w:tc>
        <w:tc>
          <w:tcPr>
            <w:tcW w:w="372" w:type="pct"/>
            <w:tcBorders>
              <w:top w:val="single" w:sz="4" w:space="0" w:color="auto"/>
              <w:left w:val="nil"/>
              <w:bottom w:val="single" w:sz="4" w:space="0" w:color="auto"/>
              <w:right w:val="nil"/>
            </w:tcBorders>
            <w:shd w:val="clear" w:color="auto" w:fill="auto"/>
            <w:noWrap/>
            <w:vAlign w:val="center"/>
            <w:hideMark/>
          </w:tcPr>
          <w:p w14:paraId="2CBF5E09"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2026 N</w:t>
            </w:r>
          </w:p>
        </w:tc>
      </w:tr>
      <w:tr w:rsidR="00DD531B" w:rsidRPr="00DD531B" w14:paraId="7F2544A4" w14:textId="77777777" w:rsidTr="001F24AE">
        <w:trPr>
          <w:trHeight w:val="300"/>
        </w:trPr>
        <w:tc>
          <w:tcPr>
            <w:tcW w:w="2349" w:type="pct"/>
            <w:tcBorders>
              <w:top w:val="nil"/>
              <w:left w:val="nil"/>
              <w:bottom w:val="nil"/>
              <w:right w:val="nil"/>
            </w:tcBorders>
            <w:shd w:val="clear" w:color="auto" w:fill="auto"/>
            <w:noWrap/>
            <w:vAlign w:val="center"/>
            <w:hideMark/>
          </w:tcPr>
          <w:p w14:paraId="13E321D8" w14:textId="77777777" w:rsidR="00DD531B" w:rsidRPr="00730A6E" w:rsidRDefault="00DD531B" w:rsidP="00DD531B">
            <w:pPr>
              <w:spacing w:after="0" w:line="240" w:lineRule="auto"/>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Výdavky kapitoly spolu</w:t>
            </w:r>
          </w:p>
        </w:tc>
        <w:tc>
          <w:tcPr>
            <w:tcW w:w="360" w:type="pct"/>
            <w:tcBorders>
              <w:top w:val="nil"/>
              <w:left w:val="nil"/>
              <w:bottom w:val="nil"/>
              <w:right w:val="nil"/>
            </w:tcBorders>
            <w:shd w:val="clear" w:color="auto" w:fill="auto"/>
            <w:noWrap/>
            <w:vAlign w:val="center"/>
            <w:hideMark/>
          </w:tcPr>
          <w:p w14:paraId="0B961086"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11 657</w:t>
            </w:r>
          </w:p>
        </w:tc>
        <w:tc>
          <w:tcPr>
            <w:tcW w:w="360" w:type="pct"/>
            <w:tcBorders>
              <w:top w:val="nil"/>
              <w:left w:val="nil"/>
              <w:bottom w:val="nil"/>
              <w:right w:val="nil"/>
            </w:tcBorders>
            <w:shd w:val="clear" w:color="auto" w:fill="auto"/>
            <w:noWrap/>
            <w:vAlign w:val="center"/>
            <w:hideMark/>
          </w:tcPr>
          <w:p w14:paraId="170488DF"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13 433</w:t>
            </w:r>
          </w:p>
        </w:tc>
        <w:tc>
          <w:tcPr>
            <w:tcW w:w="372" w:type="pct"/>
            <w:tcBorders>
              <w:top w:val="nil"/>
              <w:left w:val="nil"/>
              <w:bottom w:val="nil"/>
              <w:right w:val="nil"/>
            </w:tcBorders>
            <w:shd w:val="clear" w:color="auto" w:fill="auto"/>
            <w:noWrap/>
            <w:vAlign w:val="center"/>
            <w:hideMark/>
          </w:tcPr>
          <w:p w14:paraId="2403A296"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15 592</w:t>
            </w:r>
          </w:p>
        </w:tc>
        <w:tc>
          <w:tcPr>
            <w:tcW w:w="442" w:type="pct"/>
            <w:tcBorders>
              <w:top w:val="nil"/>
              <w:left w:val="nil"/>
              <w:bottom w:val="nil"/>
              <w:right w:val="nil"/>
            </w:tcBorders>
            <w:shd w:val="clear" w:color="auto" w:fill="auto"/>
            <w:noWrap/>
            <w:vAlign w:val="center"/>
            <w:hideMark/>
          </w:tcPr>
          <w:p w14:paraId="3A812A96"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18 970</w:t>
            </w:r>
          </w:p>
        </w:tc>
        <w:tc>
          <w:tcPr>
            <w:tcW w:w="372" w:type="pct"/>
            <w:tcBorders>
              <w:top w:val="nil"/>
              <w:left w:val="nil"/>
              <w:bottom w:val="nil"/>
              <w:right w:val="nil"/>
            </w:tcBorders>
            <w:shd w:val="clear" w:color="auto" w:fill="auto"/>
            <w:noWrap/>
            <w:vAlign w:val="center"/>
            <w:hideMark/>
          </w:tcPr>
          <w:p w14:paraId="084B8B05"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17 292</w:t>
            </w:r>
          </w:p>
        </w:tc>
        <w:tc>
          <w:tcPr>
            <w:tcW w:w="372" w:type="pct"/>
            <w:tcBorders>
              <w:top w:val="nil"/>
              <w:left w:val="nil"/>
              <w:bottom w:val="nil"/>
              <w:right w:val="nil"/>
            </w:tcBorders>
            <w:shd w:val="clear" w:color="auto" w:fill="auto"/>
            <w:noWrap/>
            <w:vAlign w:val="center"/>
            <w:hideMark/>
          </w:tcPr>
          <w:p w14:paraId="55210014"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18 468</w:t>
            </w:r>
          </w:p>
        </w:tc>
        <w:tc>
          <w:tcPr>
            <w:tcW w:w="372" w:type="pct"/>
            <w:tcBorders>
              <w:top w:val="nil"/>
              <w:left w:val="nil"/>
              <w:bottom w:val="nil"/>
              <w:right w:val="nil"/>
            </w:tcBorders>
            <w:shd w:val="clear" w:color="auto" w:fill="auto"/>
            <w:noWrap/>
            <w:vAlign w:val="center"/>
            <w:hideMark/>
          </w:tcPr>
          <w:p w14:paraId="6E0CE11F"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17 933</w:t>
            </w:r>
          </w:p>
        </w:tc>
      </w:tr>
      <w:tr w:rsidR="00DD531B" w:rsidRPr="00DD531B" w14:paraId="2CE7BE4A" w14:textId="77777777" w:rsidTr="001F24AE">
        <w:trPr>
          <w:trHeight w:val="300"/>
        </w:trPr>
        <w:tc>
          <w:tcPr>
            <w:tcW w:w="2349" w:type="pct"/>
            <w:tcBorders>
              <w:top w:val="nil"/>
              <w:left w:val="nil"/>
              <w:bottom w:val="nil"/>
              <w:right w:val="nil"/>
            </w:tcBorders>
            <w:shd w:val="clear" w:color="auto" w:fill="auto"/>
            <w:noWrap/>
            <w:vAlign w:val="bottom"/>
            <w:hideMark/>
          </w:tcPr>
          <w:p w14:paraId="53C73473" w14:textId="77777777" w:rsidR="00DD531B" w:rsidRPr="00730A6E" w:rsidRDefault="00DD531B" w:rsidP="00DD531B">
            <w:pPr>
              <w:spacing w:after="0" w:line="240" w:lineRule="auto"/>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rozpočtové zdroje kapitoly</w:t>
            </w:r>
          </w:p>
        </w:tc>
        <w:tc>
          <w:tcPr>
            <w:tcW w:w="360" w:type="pct"/>
            <w:tcBorders>
              <w:top w:val="nil"/>
              <w:left w:val="nil"/>
              <w:bottom w:val="nil"/>
              <w:right w:val="nil"/>
            </w:tcBorders>
            <w:shd w:val="clear" w:color="auto" w:fill="auto"/>
            <w:noWrap/>
            <w:vAlign w:val="bottom"/>
            <w:hideMark/>
          </w:tcPr>
          <w:p w14:paraId="1C33F6C6"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9 762</w:t>
            </w:r>
          </w:p>
        </w:tc>
        <w:tc>
          <w:tcPr>
            <w:tcW w:w="360" w:type="pct"/>
            <w:tcBorders>
              <w:top w:val="nil"/>
              <w:left w:val="nil"/>
              <w:bottom w:val="nil"/>
              <w:right w:val="nil"/>
            </w:tcBorders>
            <w:shd w:val="clear" w:color="auto" w:fill="auto"/>
            <w:noWrap/>
            <w:vAlign w:val="bottom"/>
            <w:hideMark/>
          </w:tcPr>
          <w:p w14:paraId="108EB8FD"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10 829</w:t>
            </w:r>
          </w:p>
        </w:tc>
        <w:tc>
          <w:tcPr>
            <w:tcW w:w="372" w:type="pct"/>
            <w:tcBorders>
              <w:top w:val="nil"/>
              <w:left w:val="nil"/>
              <w:bottom w:val="nil"/>
              <w:right w:val="nil"/>
            </w:tcBorders>
            <w:shd w:val="clear" w:color="auto" w:fill="auto"/>
            <w:noWrap/>
            <w:vAlign w:val="bottom"/>
            <w:hideMark/>
          </w:tcPr>
          <w:p w14:paraId="4E5B7815"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15 117</w:t>
            </w:r>
          </w:p>
        </w:tc>
        <w:tc>
          <w:tcPr>
            <w:tcW w:w="442" w:type="pct"/>
            <w:tcBorders>
              <w:top w:val="nil"/>
              <w:left w:val="nil"/>
              <w:bottom w:val="nil"/>
              <w:right w:val="nil"/>
            </w:tcBorders>
            <w:shd w:val="clear" w:color="auto" w:fill="auto"/>
            <w:noWrap/>
            <w:vAlign w:val="bottom"/>
            <w:hideMark/>
          </w:tcPr>
          <w:p w14:paraId="261AA3FC"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16 042</w:t>
            </w:r>
          </w:p>
        </w:tc>
        <w:tc>
          <w:tcPr>
            <w:tcW w:w="372" w:type="pct"/>
            <w:tcBorders>
              <w:top w:val="nil"/>
              <w:left w:val="nil"/>
              <w:bottom w:val="nil"/>
              <w:right w:val="nil"/>
            </w:tcBorders>
            <w:shd w:val="clear" w:color="auto" w:fill="auto"/>
            <w:noWrap/>
            <w:vAlign w:val="bottom"/>
            <w:hideMark/>
          </w:tcPr>
          <w:p w14:paraId="6711B2AB"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16 826</w:t>
            </w:r>
          </w:p>
        </w:tc>
        <w:tc>
          <w:tcPr>
            <w:tcW w:w="372" w:type="pct"/>
            <w:tcBorders>
              <w:top w:val="nil"/>
              <w:left w:val="nil"/>
              <w:bottom w:val="nil"/>
              <w:right w:val="nil"/>
            </w:tcBorders>
            <w:shd w:val="clear" w:color="auto" w:fill="auto"/>
            <w:noWrap/>
            <w:vAlign w:val="bottom"/>
            <w:hideMark/>
          </w:tcPr>
          <w:p w14:paraId="2D0025D6"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18 003</w:t>
            </w:r>
          </w:p>
        </w:tc>
        <w:tc>
          <w:tcPr>
            <w:tcW w:w="372" w:type="pct"/>
            <w:tcBorders>
              <w:top w:val="nil"/>
              <w:left w:val="nil"/>
              <w:bottom w:val="nil"/>
              <w:right w:val="nil"/>
            </w:tcBorders>
            <w:shd w:val="clear" w:color="auto" w:fill="auto"/>
            <w:noWrap/>
            <w:vAlign w:val="bottom"/>
            <w:hideMark/>
          </w:tcPr>
          <w:p w14:paraId="79B842CD"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17 688</w:t>
            </w:r>
          </w:p>
        </w:tc>
      </w:tr>
      <w:tr w:rsidR="00DD531B" w:rsidRPr="00DD531B" w14:paraId="4BA134B6" w14:textId="77777777" w:rsidTr="001F24AE">
        <w:trPr>
          <w:trHeight w:val="300"/>
        </w:trPr>
        <w:tc>
          <w:tcPr>
            <w:tcW w:w="2349" w:type="pct"/>
            <w:tcBorders>
              <w:top w:val="nil"/>
              <w:left w:val="nil"/>
              <w:bottom w:val="nil"/>
              <w:right w:val="nil"/>
            </w:tcBorders>
            <w:shd w:val="clear" w:color="auto" w:fill="auto"/>
            <w:noWrap/>
            <w:vAlign w:val="bottom"/>
            <w:hideMark/>
          </w:tcPr>
          <w:p w14:paraId="517BF4A0" w14:textId="77777777" w:rsidR="00DD531B" w:rsidRPr="00730A6E" w:rsidRDefault="00DD531B" w:rsidP="00DD531B">
            <w:pPr>
              <w:spacing w:after="0" w:line="240" w:lineRule="auto"/>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bežné výdavky  600, v tom:</w:t>
            </w:r>
          </w:p>
        </w:tc>
        <w:tc>
          <w:tcPr>
            <w:tcW w:w="360" w:type="pct"/>
            <w:tcBorders>
              <w:top w:val="nil"/>
              <w:left w:val="nil"/>
              <w:bottom w:val="nil"/>
              <w:right w:val="nil"/>
            </w:tcBorders>
            <w:shd w:val="clear" w:color="auto" w:fill="auto"/>
            <w:noWrap/>
            <w:vAlign w:val="bottom"/>
            <w:hideMark/>
          </w:tcPr>
          <w:p w14:paraId="1B646C81"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9 754</w:t>
            </w:r>
          </w:p>
        </w:tc>
        <w:tc>
          <w:tcPr>
            <w:tcW w:w="360" w:type="pct"/>
            <w:tcBorders>
              <w:top w:val="nil"/>
              <w:left w:val="nil"/>
              <w:bottom w:val="nil"/>
              <w:right w:val="nil"/>
            </w:tcBorders>
            <w:shd w:val="clear" w:color="auto" w:fill="auto"/>
            <w:noWrap/>
            <w:vAlign w:val="bottom"/>
            <w:hideMark/>
          </w:tcPr>
          <w:p w14:paraId="76A34430"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10 829</w:t>
            </w:r>
          </w:p>
        </w:tc>
        <w:tc>
          <w:tcPr>
            <w:tcW w:w="372" w:type="pct"/>
            <w:tcBorders>
              <w:top w:val="nil"/>
              <w:left w:val="nil"/>
              <w:bottom w:val="nil"/>
              <w:right w:val="nil"/>
            </w:tcBorders>
            <w:shd w:val="clear" w:color="auto" w:fill="auto"/>
            <w:noWrap/>
            <w:vAlign w:val="bottom"/>
            <w:hideMark/>
          </w:tcPr>
          <w:p w14:paraId="707BCF89"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15 047</w:t>
            </w:r>
          </w:p>
        </w:tc>
        <w:tc>
          <w:tcPr>
            <w:tcW w:w="442" w:type="pct"/>
            <w:tcBorders>
              <w:top w:val="nil"/>
              <w:left w:val="nil"/>
              <w:bottom w:val="nil"/>
              <w:right w:val="nil"/>
            </w:tcBorders>
            <w:shd w:val="clear" w:color="auto" w:fill="auto"/>
            <w:noWrap/>
            <w:vAlign w:val="bottom"/>
            <w:hideMark/>
          </w:tcPr>
          <w:p w14:paraId="58D59C66"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15 972</w:t>
            </w:r>
          </w:p>
        </w:tc>
        <w:tc>
          <w:tcPr>
            <w:tcW w:w="372" w:type="pct"/>
            <w:tcBorders>
              <w:top w:val="nil"/>
              <w:left w:val="nil"/>
              <w:bottom w:val="nil"/>
              <w:right w:val="nil"/>
            </w:tcBorders>
            <w:shd w:val="clear" w:color="auto" w:fill="auto"/>
            <w:noWrap/>
            <w:vAlign w:val="bottom"/>
            <w:hideMark/>
          </w:tcPr>
          <w:p w14:paraId="15DDE8F9"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16 336</w:t>
            </w:r>
          </w:p>
        </w:tc>
        <w:tc>
          <w:tcPr>
            <w:tcW w:w="372" w:type="pct"/>
            <w:tcBorders>
              <w:top w:val="nil"/>
              <w:left w:val="nil"/>
              <w:bottom w:val="nil"/>
              <w:right w:val="nil"/>
            </w:tcBorders>
            <w:shd w:val="clear" w:color="auto" w:fill="auto"/>
            <w:noWrap/>
            <w:vAlign w:val="bottom"/>
            <w:hideMark/>
          </w:tcPr>
          <w:p w14:paraId="7D3F4BDB"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16 823</w:t>
            </w:r>
          </w:p>
        </w:tc>
        <w:tc>
          <w:tcPr>
            <w:tcW w:w="372" w:type="pct"/>
            <w:tcBorders>
              <w:top w:val="nil"/>
              <w:left w:val="nil"/>
              <w:bottom w:val="nil"/>
              <w:right w:val="nil"/>
            </w:tcBorders>
            <w:shd w:val="clear" w:color="auto" w:fill="auto"/>
            <w:noWrap/>
            <w:vAlign w:val="bottom"/>
            <w:hideMark/>
          </w:tcPr>
          <w:p w14:paraId="004E01A1"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16 787</w:t>
            </w:r>
          </w:p>
        </w:tc>
      </w:tr>
      <w:tr w:rsidR="00DD531B" w:rsidRPr="00DD531B" w14:paraId="466112C5" w14:textId="77777777" w:rsidTr="001F24AE">
        <w:trPr>
          <w:trHeight w:val="300"/>
        </w:trPr>
        <w:tc>
          <w:tcPr>
            <w:tcW w:w="2349" w:type="pct"/>
            <w:tcBorders>
              <w:top w:val="nil"/>
              <w:left w:val="nil"/>
              <w:bottom w:val="nil"/>
              <w:right w:val="nil"/>
            </w:tcBorders>
            <w:shd w:val="clear" w:color="auto" w:fill="auto"/>
            <w:noWrap/>
            <w:vAlign w:val="bottom"/>
            <w:hideMark/>
          </w:tcPr>
          <w:p w14:paraId="026FFEF1" w14:textId="77777777" w:rsidR="00DD531B" w:rsidRPr="00730A6E" w:rsidRDefault="00DD531B" w:rsidP="00DD531B">
            <w:pPr>
              <w:spacing w:after="0" w:line="240" w:lineRule="auto"/>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610 mzdy</w:t>
            </w:r>
          </w:p>
        </w:tc>
        <w:tc>
          <w:tcPr>
            <w:tcW w:w="360" w:type="pct"/>
            <w:tcBorders>
              <w:top w:val="nil"/>
              <w:left w:val="nil"/>
              <w:bottom w:val="nil"/>
              <w:right w:val="nil"/>
            </w:tcBorders>
            <w:shd w:val="clear" w:color="auto" w:fill="auto"/>
            <w:noWrap/>
            <w:vAlign w:val="bottom"/>
            <w:hideMark/>
          </w:tcPr>
          <w:p w14:paraId="1D9416BB"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5 529</w:t>
            </w:r>
          </w:p>
        </w:tc>
        <w:tc>
          <w:tcPr>
            <w:tcW w:w="360" w:type="pct"/>
            <w:tcBorders>
              <w:top w:val="nil"/>
              <w:left w:val="nil"/>
              <w:bottom w:val="nil"/>
              <w:right w:val="nil"/>
            </w:tcBorders>
            <w:shd w:val="clear" w:color="auto" w:fill="auto"/>
            <w:noWrap/>
            <w:vAlign w:val="bottom"/>
            <w:hideMark/>
          </w:tcPr>
          <w:p w14:paraId="5538B9BC"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6 044</w:t>
            </w:r>
          </w:p>
        </w:tc>
        <w:tc>
          <w:tcPr>
            <w:tcW w:w="372" w:type="pct"/>
            <w:tcBorders>
              <w:top w:val="nil"/>
              <w:left w:val="nil"/>
              <w:bottom w:val="nil"/>
              <w:right w:val="nil"/>
            </w:tcBorders>
            <w:shd w:val="clear" w:color="auto" w:fill="auto"/>
            <w:noWrap/>
            <w:vAlign w:val="bottom"/>
            <w:hideMark/>
          </w:tcPr>
          <w:p w14:paraId="7C3A3BCF"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8 395</w:t>
            </w:r>
          </w:p>
        </w:tc>
        <w:tc>
          <w:tcPr>
            <w:tcW w:w="442" w:type="pct"/>
            <w:tcBorders>
              <w:top w:val="nil"/>
              <w:left w:val="nil"/>
              <w:bottom w:val="nil"/>
              <w:right w:val="nil"/>
            </w:tcBorders>
            <w:shd w:val="clear" w:color="auto" w:fill="auto"/>
            <w:noWrap/>
            <w:vAlign w:val="bottom"/>
            <w:hideMark/>
          </w:tcPr>
          <w:p w14:paraId="61155E39"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8 777</w:t>
            </w:r>
          </w:p>
        </w:tc>
        <w:tc>
          <w:tcPr>
            <w:tcW w:w="372" w:type="pct"/>
            <w:tcBorders>
              <w:top w:val="nil"/>
              <w:left w:val="nil"/>
              <w:bottom w:val="nil"/>
              <w:right w:val="nil"/>
            </w:tcBorders>
            <w:shd w:val="clear" w:color="auto" w:fill="auto"/>
            <w:noWrap/>
            <w:vAlign w:val="bottom"/>
            <w:hideMark/>
          </w:tcPr>
          <w:p w14:paraId="0BCC8B73"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8 685</w:t>
            </w:r>
          </w:p>
        </w:tc>
        <w:tc>
          <w:tcPr>
            <w:tcW w:w="372" w:type="pct"/>
            <w:tcBorders>
              <w:top w:val="nil"/>
              <w:left w:val="nil"/>
              <w:bottom w:val="nil"/>
              <w:right w:val="nil"/>
            </w:tcBorders>
            <w:shd w:val="clear" w:color="auto" w:fill="auto"/>
            <w:noWrap/>
            <w:vAlign w:val="bottom"/>
            <w:hideMark/>
          </w:tcPr>
          <w:p w14:paraId="410E6CFB"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8 685</w:t>
            </w:r>
          </w:p>
        </w:tc>
        <w:tc>
          <w:tcPr>
            <w:tcW w:w="372" w:type="pct"/>
            <w:tcBorders>
              <w:top w:val="nil"/>
              <w:left w:val="nil"/>
              <w:bottom w:val="nil"/>
              <w:right w:val="nil"/>
            </w:tcBorders>
            <w:shd w:val="clear" w:color="auto" w:fill="auto"/>
            <w:noWrap/>
            <w:vAlign w:val="bottom"/>
            <w:hideMark/>
          </w:tcPr>
          <w:p w14:paraId="6177A77B"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8 685</w:t>
            </w:r>
          </w:p>
        </w:tc>
      </w:tr>
      <w:tr w:rsidR="00DD531B" w:rsidRPr="00DD531B" w14:paraId="7656DF59" w14:textId="77777777" w:rsidTr="001F24AE">
        <w:trPr>
          <w:trHeight w:val="300"/>
        </w:trPr>
        <w:tc>
          <w:tcPr>
            <w:tcW w:w="2349" w:type="pct"/>
            <w:tcBorders>
              <w:top w:val="nil"/>
              <w:left w:val="nil"/>
              <w:bottom w:val="nil"/>
              <w:right w:val="nil"/>
            </w:tcBorders>
            <w:shd w:val="clear" w:color="auto" w:fill="auto"/>
            <w:noWrap/>
            <w:vAlign w:val="bottom"/>
            <w:hideMark/>
          </w:tcPr>
          <w:p w14:paraId="1519D76D" w14:textId="77777777" w:rsidR="00DD531B" w:rsidRPr="00730A6E" w:rsidRDefault="00DD531B" w:rsidP="00DD531B">
            <w:pPr>
              <w:spacing w:after="0" w:line="240" w:lineRule="auto"/>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620 odvody</w:t>
            </w:r>
          </w:p>
        </w:tc>
        <w:tc>
          <w:tcPr>
            <w:tcW w:w="360" w:type="pct"/>
            <w:tcBorders>
              <w:top w:val="nil"/>
              <w:left w:val="nil"/>
              <w:bottom w:val="nil"/>
              <w:right w:val="nil"/>
            </w:tcBorders>
            <w:shd w:val="clear" w:color="auto" w:fill="auto"/>
            <w:noWrap/>
            <w:vAlign w:val="bottom"/>
            <w:hideMark/>
          </w:tcPr>
          <w:p w14:paraId="1B6A2B7E"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2 004</w:t>
            </w:r>
          </w:p>
        </w:tc>
        <w:tc>
          <w:tcPr>
            <w:tcW w:w="360" w:type="pct"/>
            <w:tcBorders>
              <w:top w:val="nil"/>
              <w:left w:val="nil"/>
              <w:bottom w:val="nil"/>
              <w:right w:val="nil"/>
            </w:tcBorders>
            <w:shd w:val="clear" w:color="auto" w:fill="auto"/>
            <w:noWrap/>
            <w:vAlign w:val="bottom"/>
            <w:hideMark/>
          </w:tcPr>
          <w:p w14:paraId="531351C5"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2 195</w:t>
            </w:r>
          </w:p>
        </w:tc>
        <w:tc>
          <w:tcPr>
            <w:tcW w:w="372" w:type="pct"/>
            <w:tcBorders>
              <w:top w:val="nil"/>
              <w:left w:val="nil"/>
              <w:bottom w:val="nil"/>
              <w:right w:val="nil"/>
            </w:tcBorders>
            <w:shd w:val="clear" w:color="auto" w:fill="auto"/>
            <w:noWrap/>
            <w:vAlign w:val="bottom"/>
            <w:hideMark/>
          </w:tcPr>
          <w:p w14:paraId="2734D9F8"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2 926</w:t>
            </w:r>
          </w:p>
        </w:tc>
        <w:tc>
          <w:tcPr>
            <w:tcW w:w="442" w:type="pct"/>
            <w:tcBorders>
              <w:top w:val="nil"/>
              <w:left w:val="nil"/>
              <w:bottom w:val="nil"/>
              <w:right w:val="nil"/>
            </w:tcBorders>
            <w:shd w:val="clear" w:color="auto" w:fill="auto"/>
            <w:noWrap/>
            <w:vAlign w:val="bottom"/>
            <w:hideMark/>
          </w:tcPr>
          <w:p w14:paraId="319ACC0C"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3 060</w:t>
            </w:r>
          </w:p>
        </w:tc>
        <w:tc>
          <w:tcPr>
            <w:tcW w:w="372" w:type="pct"/>
            <w:tcBorders>
              <w:top w:val="nil"/>
              <w:left w:val="nil"/>
              <w:bottom w:val="nil"/>
              <w:right w:val="nil"/>
            </w:tcBorders>
            <w:shd w:val="clear" w:color="auto" w:fill="auto"/>
            <w:noWrap/>
            <w:vAlign w:val="bottom"/>
            <w:hideMark/>
          </w:tcPr>
          <w:p w14:paraId="1A92B0BE"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3 029</w:t>
            </w:r>
          </w:p>
        </w:tc>
        <w:tc>
          <w:tcPr>
            <w:tcW w:w="372" w:type="pct"/>
            <w:tcBorders>
              <w:top w:val="nil"/>
              <w:left w:val="nil"/>
              <w:bottom w:val="nil"/>
              <w:right w:val="nil"/>
            </w:tcBorders>
            <w:shd w:val="clear" w:color="auto" w:fill="auto"/>
            <w:noWrap/>
            <w:vAlign w:val="bottom"/>
            <w:hideMark/>
          </w:tcPr>
          <w:p w14:paraId="08932E56"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3 029</w:t>
            </w:r>
          </w:p>
        </w:tc>
        <w:tc>
          <w:tcPr>
            <w:tcW w:w="372" w:type="pct"/>
            <w:tcBorders>
              <w:top w:val="nil"/>
              <w:left w:val="nil"/>
              <w:bottom w:val="nil"/>
              <w:right w:val="nil"/>
            </w:tcBorders>
            <w:shd w:val="clear" w:color="auto" w:fill="auto"/>
            <w:noWrap/>
            <w:vAlign w:val="bottom"/>
            <w:hideMark/>
          </w:tcPr>
          <w:p w14:paraId="11654D65"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3 031</w:t>
            </w:r>
          </w:p>
        </w:tc>
      </w:tr>
      <w:tr w:rsidR="00DD531B" w:rsidRPr="00DD531B" w14:paraId="2E44A55D" w14:textId="77777777" w:rsidTr="001F24AE">
        <w:trPr>
          <w:trHeight w:val="300"/>
        </w:trPr>
        <w:tc>
          <w:tcPr>
            <w:tcW w:w="2349" w:type="pct"/>
            <w:tcBorders>
              <w:top w:val="nil"/>
              <w:left w:val="nil"/>
              <w:bottom w:val="nil"/>
              <w:right w:val="nil"/>
            </w:tcBorders>
            <w:shd w:val="clear" w:color="auto" w:fill="auto"/>
            <w:noWrap/>
            <w:vAlign w:val="bottom"/>
            <w:hideMark/>
          </w:tcPr>
          <w:p w14:paraId="7DC35A5B" w14:textId="77777777" w:rsidR="00DD531B" w:rsidRPr="00730A6E" w:rsidRDefault="00DD531B" w:rsidP="00DD531B">
            <w:pPr>
              <w:spacing w:after="0" w:line="240" w:lineRule="auto"/>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630 tovary a služby</w:t>
            </w:r>
          </w:p>
        </w:tc>
        <w:tc>
          <w:tcPr>
            <w:tcW w:w="360" w:type="pct"/>
            <w:tcBorders>
              <w:top w:val="nil"/>
              <w:left w:val="nil"/>
              <w:bottom w:val="nil"/>
              <w:right w:val="nil"/>
            </w:tcBorders>
            <w:shd w:val="clear" w:color="auto" w:fill="auto"/>
            <w:noWrap/>
            <w:vAlign w:val="bottom"/>
            <w:hideMark/>
          </w:tcPr>
          <w:p w14:paraId="4A6E4D2B"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2 178</w:t>
            </w:r>
          </w:p>
        </w:tc>
        <w:tc>
          <w:tcPr>
            <w:tcW w:w="360" w:type="pct"/>
            <w:tcBorders>
              <w:top w:val="nil"/>
              <w:left w:val="nil"/>
              <w:bottom w:val="nil"/>
              <w:right w:val="nil"/>
            </w:tcBorders>
            <w:shd w:val="clear" w:color="auto" w:fill="auto"/>
            <w:noWrap/>
            <w:vAlign w:val="bottom"/>
            <w:hideMark/>
          </w:tcPr>
          <w:p w14:paraId="04934B0F"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2 361</w:t>
            </w:r>
          </w:p>
        </w:tc>
        <w:tc>
          <w:tcPr>
            <w:tcW w:w="372" w:type="pct"/>
            <w:tcBorders>
              <w:top w:val="nil"/>
              <w:left w:val="nil"/>
              <w:bottom w:val="nil"/>
              <w:right w:val="nil"/>
            </w:tcBorders>
            <w:shd w:val="clear" w:color="auto" w:fill="auto"/>
            <w:noWrap/>
            <w:vAlign w:val="bottom"/>
            <w:hideMark/>
          </w:tcPr>
          <w:p w14:paraId="21B32929"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3 533</w:t>
            </w:r>
          </w:p>
        </w:tc>
        <w:tc>
          <w:tcPr>
            <w:tcW w:w="442" w:type="pct"/>
            <w:tcBorders>
              <w:top w:val="nil"/>
              <w:left w:val="nil"/>
              <w:bottom w:val="nil"/>
              <w:right w:val="nil"/>
            </w:tcBorders>
            <w:shd w:val="clear" w:color="auto" w:fill="auto"/>
            <w:noWrap/>
            <w:vAlign w:val="bottom"/>
            <w:hideMark/>
          </w:tcPr>
          <w:p w14:paraId="713ED1E6"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3 697</w:t>
            </w:r>
          </w:p>
        </w:tc>
        <w:tc>
          <w:tcPr>
            <w:tcW w:w="372" w:type="pct"/>
            <w:tcBorders>
              <w:top w:val="nil"/>
              <w:left w:val="nil"/>
              <w:bottom w:val="nil"/>
              <w:right w:val="nil"/>
            </w:tcBorders>
            <w:shd w:val="clear" w:color="auto" w:fill="auto"/>
            <w:noWrap/>
            <w:vAlign w:val="bottom"/>
            <w:hideMark/>
          </w:tcPr>
          <w:p w14:paraId="120753C0"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4 376</w:t>
            </w:r>
          </w:p>
        </w:tc>
        <w:tc>
          <w:tcPr>
            <w:tcW w:w="372" w:type="pct"/>
            <w:tcBorders>
              <w:top w:val="nil"/>
              <w:left w:val="nil"/>
              <w:bottom w:val="nil"/>
              <w:right w:val="nil"/>
            </w:tcBorders>
            <w:shd w:val="clear" w:color="auto" w:fill="auto"/>
            <w:noWrap/>
            <w:vAlign w:val="bottom"/>
            <w:hideMark/>
          </w:tcPr>
          <w:p w14:paraId="3E24B581"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4 862</w:t>
            </w:r>
          </w:p>
        </w:tc>
        <w:tc>
          <w:tcPr>
            <w:tcW w:w="372" w:type="pct"/>
            <w:tcBorders>
              <w:top w:val="nil"/>
              <w:left w:val="nil"/>
              <w:bottom w:val="nil"/>
              <w:right w:val="nil"/>
            </w:tcBorders>
            <w:shd w:val="clear" w:color="auto" w:fill="auto"/>
            <w:noWrap/>
            <w:vAlign w:val="bottom"/>
            <w:hideMark/>
          </w:tcPr>
          <w:p w14:paraId="2153FE04"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4 823</w:t>
            </w:r>
          </w:p>
        </w:tc>
      </w:tr>
      <w:tr w:rsidR="00DD531B" w:rsidRPr="00DD531B" w14:paraId="3769FCE4" w14:textId="77777777" w:rsidTr="001F24AE">
        <w:trPr>
          <w:trHeight w:val="300"/>
        </w:trPr>
        <w:tc>
          <w:tcPr>
            <w:tcW w:w="2349" w:type="pct"/>
            <w:tcBorders>
              <w:top w:val="nil"/>
              <w:left w:val="nil"/>
              <w:bottom w:val="nil"/>
              <w:right w:val="nil"/>
            </w:tcBorders>
            <w:shd w:val="clear" w:color="auto" w:fill="auto"/>
            <w:noWrap/>
            <w:vAlign w:val="bottom"/>
            <w:hideMark/>
          </w:tcPr>
          <w:p w14:paraId="1A88A652" w14:textId="77777777" w:rsidR="00DD531B" w:rsidRPr="00730A6E" w:rsidRDefault="00DD531B" w:rsidP="00DD531B">
            <w:pPr>
              <w:spacing w:after="0" w:line="240" w:lineRule="auto"/>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640 bežné transfery</w:t>
            </w:r>
          </w:p>
        </w:tc>
        <w:tc>
          <w:tcPr>
            <w:tcW w:w="360" w:type="pct"/>
            <w:tcBorders>
              <w:top w:val="nil"/>
              <w:left w:val="nil"/>
              <w:bottom w:val="nil"/>
              <w:right w:val="nil"/>
            </w:tcBorders>
            <w:shd w:val="clear" w:color="auto" w:fill="auto"/>
            <w:noWrap/>
            <w:vAlign w:val="bottom"/>
            <w:hideMark/>
          </w:tcPr>
          <w:p w14:paraId="076160D9"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43</w:t>
            </w:r>
          </w:p>
        </w:tc>
        <w:tc>
          <w:tcPr>
            <w:tcW w:w="360" w:type="pct"/>
            <w:tcBorders>
              <w:top w:val="nil"/>
              <w:left w:val="nil"/>
              <w:bottom w:val="nil"/>
              <w:right w:val="nil"/>
            </w:tcBorders>
            <w:shd w:val="clear" w:color="auto" w:fill="auto"/>
            <w:noWrap/>
            <w:vAlign w:val="bottom"/>
            <w:hideMark/>
          </w:tcPr>
          <w:p w14:paraId="3DCD1C21"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228</w:t>
            </w:r>
          </w:p>
        </w:tc>
        <w:tc>
          <w:tcPr>
            <w:tcW w:w="372" w:type="pct"/>
            <w:tcBorders>
              <w:top w:val="nil"/>
              <w:left w:val="nil"/>
              <w:bottom w:val="nil"/>
              <w:right w:val="nil"/>
            </w:tcBorders>
            <w:shd w:val="clear" w:color="auto" w:fill="auto"/>
            <w:noWrap/>
            <w:vAlign w:val="bottom"/>
            <w:hideMark/>
          </w:tcPr>
          <w:p w14:paraId="00BCF9C8"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193</w:t>
            </w:r>
          </w:p>
        </w:tc>
        <w:tc>
          <w:tcPr>
            <w:tcW w:w="442" w:type="pct"/>
            <w:tcBorders>
              <w:top w:val="nil"/>
              <w:left w:val="nil"/>
              <w:bottom w:val="nil"/>
              <w:right w:val="nil"/>
            </w:tcBorders>
            <w:shd w:val="clear" w:color="auto" w:fill="auto"/>
            <w:noWrap/>
            <w:vAlign w:val="bottom"/>
            <w:hideMark/>
          </w:tcPr>
          <w:p w14:paraId="6CC70E53"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438</w:t>
            </w:r>
          </w:p>
        </w:tc>
        <w:tc>
          <w:tcPr>
            <w:tcW w:w="372" w:type="pct"/>
            <w:tcBorders>
              <w:top w:val="nil"/>
              <w:left w:val="nil"/>
              <w:bottom w:val="nil"/>
              <w:right w:val="nil"/>
            </w:tcBorders>
            <w:shd w:val="clear" w:color="auto" w:fill="auto"/>
            <w:noWrap/>
            <w:vAlign w:val="bottom"/>
            <w:hideMark/>
          </w:tcPr>
          <w:p w14:paraId="2B7D677D"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247</w:t>
            </w:r>
          </w:p>
        </w:tc>
        <w:tc>
          <w:tcPr>
            <w:tcW w:w="372" w:type="pct"/>
            <w:tcBorders>
              <w:top w:val="nil"/>
              <w:left w:val="nil"/>
              <w:bottom w:val="nil"/>
              <w:right w:val="nil"/>
            </w:tcBorders>
            <w:shd w:val="clear" w:color="auto" w:fill="auto"/>
            <w:noWrap/>
            <w:vAlign w:val="bottom"/>
            <w:hideMark/>
          </w:tcPr>
          <w:p w14:paraId="04F7E3A1"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247</w:t>
            </w:r>
          </w:p>
        </w:tc>
        <w:tc>
          <w:tcPr>
            <w:tcW w:w="372" w:type="pct"/>
            <w:tcBorders>
              <w:top w:val="nil"/>
              <w:left w:val="nil"/>
              <w:bottom w:val="nil"/>
              <w:right w:val="nil"/>
            </w:tcBorders>
            <w:shd w:val="clear" w:color="auto" w:fill="auto"/>
            <w:noWrap/>
            <w:vAlign w:val="bottom"/>
            <w:hideMark/>
          </w:tcPr>
          <w:p w14:paraId="34E45A53"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248</w:t>
            </w:r>
          </w:p>
        </w:tc>
      </w:tr>
      <w:tr w:rsidR="00DD531B" w:rsidRPr="00DD531B" w14:paraId="3449858F" w14:textId="77777777" w:rsidTr="001F24AE">
        <w:trPr>
          <w:trHeight w:val="300"/>
        </w:trPr>
        <w:tc>
          <w:tcPr>
            <w:tcW w:w="2349" w:type="pct"/>
            <w:tcBorders>
              <w:top w:val="nil"/>
              <w:left w:val="nil"/>
              <w:bottom w:val="nil"/>
              <w:right w:val="nil"/>
            </w:tcBorders>
            <w:shd w:val="clear" w:color="auto" w:fill="auto"/>
            <w:noWrap/>
            <w:vAlign w:val="bottom"/>
            <w:hideMark/>
          </w:tcPr>
          <w:p w14:paraId="78178F64" w14:textId="77777777" w:rsidR="00DD531B" w:rsidRPr="00730A6E" w:rsidRDefault="00DD531B" w:rsidP="00DD531B">
            <w:pPr>
              <w:spacing w:after="0" w:line="240" w:lineRule="auto"/>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kapitálové výdavky 700</w:t>
            </w:r>
          </w:p>
        </w:tc>
        <w:tc>
          <w:tcPr>
            <w:tcW w:w="360" w:type="pct"/>
            <w:tcBorders>
              <w:top w:val="nil"/>
              <w:left w:val="nil"/>
              <w:bottom w:val="nil"/>
              <w:right w:val="nil"/>
            </w:tcBorders>
            <w:shd w:val="clear" w:color="auto" w:fill="auto"/>
            <w:noWrap/>
            <w:vAlign w:val="bottom"/>
            <w:hideMark/>
          </w:tcPr>
          <w:p w14:paraId="3AE4E3FE"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8</w:t>
            </w:r>
          </w:p>
        </w:tc>
        <w:tc>
          <w:tcPr>
            <w:tcW w:w="360" w:type="pct"/>
            <w:tcBorders>
              <w:top w:val="nil"/>
              <w:left w:val="nil"/>
              <w:bottom w:val="nil"/>
              <w:right w:val="nil"/>
            </w:tcBorders>
            <w:shd w:val="clear" w:color="auto" w:fill="auto"/>
            <w:noWrap/>
            <w:vAlign w:val="bottom"/>
            <w:hideMark/>
          </w:tcPr>
          <w:p w14:paraId="7A0B5A11"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208B335E"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70</w:t>
            </w:r>
          </w:p>
        </w:tc>
        <w:tc>
          <w:tcPr>
            <w:tcW w:w="442" w:type="pct"/>
            <w:tcBorders>
              <w:top w:val="nil"/>
              <w:left w:val="nil"/>
              <w:bottom w:val="nil"/>
              <w:right w:val="nil"/>
            </w:tcBorders>
            <w:shd w:val="clear" w:color="auto" w:fill="auto"/>
            <w:noWrap/>
            <w:vAlign w:val="bottom"/>
            <w:hideMark/>
          </w:tcPr>
          <w:p w14:paraId="173E53ED"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70</w:t>
            </w:r>
          </w:p>
        </w:tc>
        <w:tc>
          <w:tcPr>
            <w:tcW w:w="372" w:type="pct"/>
            <w:tcBorders>
              <w:top w:val="nil"/>
              <w:left w:val="nil"/>
              <w:bottom w:val="nil"/>
              <w:right w:val="nil"/>
            </w:tcBorders>
            <w:shd w:val="clear" w:color="auto" w:fill="auto"/>
            <w:noWrap/>
            <w:vAlign w:val="bottom"/>
            <w:hideMark/>
          </w:tcPr>
          <w:p w14:paraId="4D26561B"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490</w:t>
            </w:r>
          </w:p>
        </w:tc>
        <w:tc>
          <w:tcPr>
            <w:tcW w:w="372" w:type="pct"/>
            <w:tcBorders>
              <w:top w:val="nil"/>
              <w:left w:val="nil"/>
              <w:bottom w:val="nil"/>
              <w:right w:val="nil"/>
            </w:tcBorders>
            <w:shd w:val="clear" w:color="auto" w:fill="auto"/>
            <w:noWrap/>
            <w:vAlign w:val="bottom"/>
            <w:hideMark/>
          </w:tcPr>
          <w:p w14:paraId="52C22DB0"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1 179</w:t>
            </w:r>
          </w:p>
        </w:tc>
        <w:tc>
          <w:tcPr>
            <w:tcW w:w="372" w:type="pct"/>
            <w:tcBorders>
              <w:top w:val="nil"/>
              <w:left w:val="nil"/>
              <w:bottom w:val="nil"/>
              <w:right w:val="nil"/>
            </w:tcBorders>
            <w:shd w:val="clear" w:color="auto" w:fill="auto"/>
            <w:noWrap/>
            <w:vAlign w:val="bottom"/>
            <w:hideMark/>
          </w:tcPr>
          <w:p w14:paraId="7E5F97A5"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901</w:t>
            </w:r>
          </w:p>
        </w:tc>
      </w:tr>
      <w:tr w:rsidR="00DD531B" w:rsidRPr="00DD531B" w14:paraId="5DB7E2A7" w14:textId="77777777" w:rsidTr="001F24AE">
        <w:trPr>
          <w:trHeight w:val="300"/>
        </w:trPr>
        <w:tc>
          <w:tcPr>
            <w:tcW w:w="2349" w:type="pct"/>
            <w:tcBorders>
              <w:top w:val="nil"/>
              <w:left w:val="nil"/>
              <w:bottom w:val="nil"/>
              <w:right w:val="nil"/>
            </w:tcBorders>
            <w:shd w:val="clear" w:color="auto" w:fill="auto"/>
            <w:vAlign w:val="bottom"/>
            <w:hideMark/>
          </w:tcPr>
          <w:p w14:paraId="03959918" w14:textId="77777777" w:rsidR="00DD531B" w:rsidRPr="00730A6E" w:rsidRDefault="00DD531B" w:rsidP="00DD531B">
            <w:pPr>
              <w:spacing w:after="0" w:line="240" w:lineRule="auto"/>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zdroj EÚ vrátane spolufinancovania zo ŠR, v tom:</w:t>
            </w:r>
          </w:p>
        </w:tc>
        <w:tc>
          <w:tcPr>
            <w:tcW w:w="360" w:type="pct"/>
            <w:tcBorders>
              <w:top w:val="nil"/>
              <w:left w:val="nil"/>
              <w:bottom w:val="nil"/>
              <w:right w:val="nil"/>
            </w:tcBorders>
            <w:shd w:val="clear" w:color="auto" w:fill="auto"/>
            <w:noWrap/>
            <w:vAlign w:val="bottom"/>
            <w:hideMark/>
          </w:tcPr>
          <w:p w14:paraId="1D1ECE8A"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1 093</w:t>
            </w:r>
          </w:p>
        </w:tc>
        <w:tc>
          <w:tcPr>
            <w:tcW w:w="360" w:type="pct"/>
            <w:tcBorders>
              <w:top w:val="nil"/>
              <w:left w:val="nil"/>
              <w:bottom w:val="nil"/>
              <w:right w:val="nil"/>
            </w:tcBorders>
            <w:shd w:val="clear" w:color="auto" w:fill="auto"/>
            <w:noWrap/>
            <w:vAlign w:val="bottom"/>
            <w:hideMark/>
          </w:tcPr>
          <w:p w14:paraId="41E64D0A"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3B26485B"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c>
          <w:tcPr>
            <w:tcW w:w="442" w:type="pct"/>
            <w:tcBorders>
              <w:top w:val="nil"/>
              <w:left w:val="nil"/>
              <w:bottom w:val="nil"/>
              <w:right w:val="nil"/>
            </w:tcBorders>
            <w:shd w:val="clear" w:color="auto" w:fill="auto"/>
            <w:noWrap/>
            <w:vAlign w:val="bottom"/>
            <w:hideMark/>
          </w:tcPr>
          <w:p w14:paraId="46B2AF16"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193</w:t>
            </w:r>
          </w:p>
        </w:tc>
        <w:tc>
          <w:tcPr>
            <w:tcW w:w="372" w:type="pct"/>
            <w:tcBorders>
              <w:top w:val="nil"/>
              <w:left w:val="nil"/>
              <w:bottom w:val="nil"/>
              <w:right w:val="nil"/>
            </w:tcBorders>
            <w:shd w:val="clear" w:color="auto" w:fill="auto"/>
            <w:noWrap/>
            <w:vAlign w:val="bottom"/>
            <w:hideMark/>
          </w:tcPr>
          <w:p w14:paraId="4FF3CBA3"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56D81497"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3A9ABFAB"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r>
      <w:tr w:rsidR="00DD531B" w:rsidRPr="00DD531B" w14:paraId="397EBD14" w14:textId="77777777" w:rsidTr="001F24AE">
        <w:trPr>
          <w:trHeight w:val="300"/>
        </w:trPr>
        <w:tc>
          <w:tcPr>
            <w:tcW w:w="2349" w:type="pct"/>
            <w:tcBorders>
              <w:top w:val="nil"/>
              <w:left w:val="nil"/>
              <w:bottom w:val="nil"/>
              <w:right w:val="nil"/>
            </w:tcBorders>
            <w:shd w:val="clear" w:color="auto" w:fill="auto"/>
            <w:noWrap/>
            <w:vAlign w:val="bottom"/>
            <w:hideMark/>
          </w:tcPr>
          <w:p w14:paraId="727F1135" w14:textId="77777777" w:rsidR="00DD531B" w:rsidRPr="00730A6E" w:rsidRDefault="00DD531B" w:rsidP="00DD531B">
            <w:pPr>
              <w:spacing w:after="0" w:line="240" w:lineRule="auto"/>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prostriedky EÚ</w:t>
            </w:r>
          </w:p>
        </w:tc>
        <w:tc>
          <w:tcPr>
            <w:tcW w:w="360" w:type="pct"/>
            <w:tcBorders>
              <w:top w:val="nil"/>
              <w:left w:val="nil"/>
              <w:bottom w:val="nil"/>
              <w:right w:val="nil"/>
            </w:tcBorders>
            <w:shd w:val="clear" w:color="auto" w:fill="auto"/>
            <w:noWrap/>
            <w:vAlign w:val="bottom"/>
            <w:hideMark/>
          </w:tcPr>
          <w:p w14:paraId="0FC417B7"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941</w:t>
            </w:r>
          </w:p>
        </w:tc>
        <w:tc>
          <w:tcPr>
            <w:tcW w:w="360" w:type="pct"/>
            <w:tcBorders>
              <w:top w:val="nil"/>
              <w:left w:val="nil"/>
              <w:bottom w:val="nil"/>
              <w:right w:val="nil"/>
            </w:tcBorders>
            <w:shd w:val="clear" w:color="auto" w:fill="auto"/>
            <w:noWrap/>
            <w:vAlign w:val="bottom"/>
            <w:hideMark/>
          </w:tcPr>
          <w:p w14:paraId="70CE8BE3"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3ED97D73"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442" w:type="pct"/>
            <w:tcBorders>
              <w:top w:val="nil"/>
              <w:left w:val="nil"/>
              <w:bottom w:val="nil"/>
              <w:right w:val="nil"/>
            </w:tcBorders>
            <w:shd w:val="clear" w:color="auto" w:fill="auto"/>
            <w:noWrap/>
            <w:vAlign w:val="bottom"/>
            <w:hideMark/>
          </w:tcPr>
          <w:p w14:paraId="38AE7387"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134</w:t>
            </w:r>
          </w:p>
        </w:tc>
        <w:tc>
          <w:tcPr>
            <w:tcW w:w="372" w:type="pct"/>
            <w:tcBorders>
              <w:top w:val="nil"/>
              <w:left w:val="nil"/>
              <w:bottom w:val="nil"/>
              <w:right w:val="nil"/>
            </w:tcBorders>
            <w:shd w:val="clear" w:color="auto" w:fill="auto"/>
            <w:noWrap/>
            <w:vAlign w:val="bottom"/>
            <w:hideMark/>
          </w:tcPr>
          <w:p w14:paraId="1792D837"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777D651B"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209CC6AE"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r>
      <w:tr w:rsidR="00DD531B" w:rsidRPr="00DD531B" w14:paraId="23FE83DC" w14:textId="77777777" w:rsidTr="001F24AE">
        <w:trPr>
          <w:trHeight w:val="300"/>
        </w:trPr>
        <w:tc>
          <w:tcPr>
            <w:tcW w:w="2349" w:type="pct"/>
            <w:tcBorders>
              <w:top w:val="nil"/>
              <w:left w:val="nil"/>
              <w:bottom w:val="nil"/>
              <w:right w:val="nil"/>
            </w:tcBorders>
            <w:shd w:val="clear" w:color="auto" w:fill="auto"/>
            <w:noWrap/>
            <w:vAlign w:val="bottom"/>
            <w:hideMark/>
          </w:tcPr>
          <w:p w14:paraId="4E288720" w14:textId="77777777" w:rsidR="00DD531B" w:rsidRPr="00730A6E" w:rsidRDefault="00DD531B" w:rsidP="00DD531B">
            <w:pPr>
              <w:spacing w:after="0" w:line="240" w:lineRule="auto"/>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spolufinancovanie zo ŠR</w:t>
            </w:r>
          </w:p>
        </w:tc>
        <w:tc>
          <w:tcPr>
            <w:tcW w:w="360" w:type="pct"/>
            <w:tcBorders>
              <w:top w:val="nil"/>
              <w:left w:val="nil"/>
              <w:bottom w:val="nil"/>
              <w:right w:val="nil"/>
            </w:tcBorders>
            <w:shd w:val="clear" w:color="auto" w:fill="auto"/>
            <w:noWrap/>
            <w:vAlign w:val="bottom"/>
            <w:hideMark/>
          </w:tcPr>
          <w:p w14:paraId="03D4AED2"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152</w:t>
            </w:r>
          </w:p>
        </w:tc>
        <w:tc>
          <w:tcPr>
            <w:tcW w:w="360" w:type="pct"/>
            <w:tcBorders>
              <w:top w:val="nil"/>
              <w:left w:val="nil"/>
              <w:bottom w:val="nil"/>
              <w:right w:val="nil"/>
            </w:tcBorders>
            <w:shd w:val="clear" w:color="auto" w:fill="auto"/>
            <w:noWrap/>
            <w:vAlign w:val="bottom"/>
            <w:hideMark/>
          </w:tcPr>
          <w:p w14:paraId="114359C0"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5FD6DBB6"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442" w:type="pct"/>
            <w:tcBorders>
              <w:top w:val="nil"/>
              <w:left w:val="nil"/>
              <w:bottom w:val="nil"/>
              <w:right w:val="nil"/>
            </w:tcBorders>
            <w:shd w:val="clear" w:color="auto" w:fill="auto"/>
            <w:noWrap/>
            <w:vAlign w:val="bottom"/>
            <w:hideMark/>
          </w:tcPr>
          <w:p w14:paraId="50B7C176"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59</w:t>
            </w:r>
          </w:p>
        </w:tc>
        <w:tc>
          <w:tcPr>
            <w:tcW w:w="372" w:type="pct"/>
            <w:tcBorders>
              <w:top w:val="nil"/>
              <w:left w:val="nil"/>
              <w:bottom w:val="nil"/>
              <w:right w:val="nil"/>
            </w:tcBorders>
            <w:shd w:val="clear" w:color="auto" w:fill="auto"/>
            <w:noWrap/>
            <w:vAlign w:val="bottom"/>
            <w:hideMark/>
          </w:tcPr>
          <w:p w14:paraId="3485BEBC"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09F2F73C"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49037078"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r>
      <w:tr w:rsidR="00DD531B" w:rsidRPr="00DD531B" w14:paraId="759C9DE3" w14:textId="77777777" w:rsidTr="001F24AE">
        <w:trPr>
          <w:trHeight w:val="300"/>
        </w:trPr>
        <w:tc>
          <w:tcPr>
            <w:tcW w:w="2349" w:type="pct"/>
            <w:tcBorders>
              <w:top w:val="nil"/>
              <w:left w:val="nil"/>
              <w:bottom w:val="nil"/>
              <w:right w:val="nil"/>
            </w:tcBorders>
            <w:shd w:val="clear" w:color="auto" w:fill="auto"/>
            <w:vAlign w:val="center"/>
            <w:hideMark/>
          </w:tcPr>
          <w:p w14:paraId="761567B5" w14:textId="77777777" w:rsidR="00DD531B" w:rsidRPr="00730A6E" w:rsidRDefault="00DD531B" w:rsidP="00DD531B">
            <w:pPr>
              <w:spacing w:after="0" w:line="240" w:lineRule="auto"/>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zdroj Plán obnovy a odolnosti , v tom:</w:t>
            </w:r>
          </w:p>
        </w:tc>
        <w:tc>
          <w:tcPr>
            <w:tcW w:w="360" w:type="pct"/>
            <w:tcBorders>
              <w:top w:val="nil"/>
              <w:left w:val="nil"/>
              <w:bottom w:val="nil"/>
              <w:right w:val="nil"/>
            </w:tcBorders>
            <w:shd w:val="clear" w:color="auto" w:fill="auto"/>
            <w:noWrap/>
            <w:vAlign w:val="bottom"/>
            <w:hideMark/>
          </w:tcPr>
          <w:p w14:paraId="2E389453"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c>
          <w:tcPr>
            <w:tcW w:w="360" w:type="pct"/>
            <w:tcBorders>
              <w:top w:val="nil"/>
              <w:left w:val="nil"/>
              <w:bottom w:val="nil"/>
              <w:right w:val="nil"/>
            </w:tcBorders>
            <w:shd w:val="clear" w:color="auto" w:fill="auto"/>
            <w:noWrap/>
            <w:vAlign w:val="bottom"/>
            <w:hideMark/>
          </w:tcPr>
          <w:p w14:paraId="4B9EFA82"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16</w:t>
            </w:r>
          </w:p>
        </w:tc>
        <w:tc>
          <w:tcPr>
            <w:tcW w:w="372" w:type="pct"/>
            <w:tcBorders>
              <w:top w:val="nil"/>
              <w:left w:val="nil"/>
              <w:bottom w:val="nil"/>
              <w:right w:val="nil"/>
            </w:tcBorders>
            <w:shd w:val="clear" w:color="auto" w:fill="auto"/>
            <w:noWrap/>
            <w:vAlign w:val="bottom"/>
            <w:hideMark/>
          </w:tcPr>
          <w:p w14:paraId="2CFD3C92"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475</w:t>
            </w:r>
          </w:p>
        </w:tc>
        <w:tc>
          <w:tcPr>
            <w:tcW w:w="442" w:type="pct"/>
            <w:tcBorders>
              <w:top w:val="nil"/>
              <w:left w:val="nil"/>
              <w:bottom w:val="nil"/>
              <w:right w:val="nil"/>
            </w:tcBorders>
            <w:shd w:val="clear" w:color="auto" w:fill="auto"/>
            <w:noWrap/>
            <w:vAlign w:val="bottom"/>
            <w:hideMark/>
          </w:tcPr>
          <w:p w14:paraId="0A0983BC"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475</w:t>
            </w:r>
          </w:p>
        </w:tc>
        <w:tc>
          <w:tcPr>
            <w:tcW w:w="372" w:type="pct"/>
            <w:tcBorders>
              <w:top w:val="nil"/>
              <w:left w:val="nil"/>
              <w:bottom w:val="nil"/>
              <w:right w:val="nil"/>
            </w:tcBorders>
            <w:shd w:val="clear" w:color="auto" w:fill="auto"/>
            <w:noWrap/>
            <w:vAlign w:val="bottom"/>
            <w:hideMark/>
          </w:tcPr>
          <w:p w14:paraId="2A0F7CD8"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466</w:t>
            </w:r>
          </w:p>
        </w:tc>
        <w:tc>
          <w:tcPr>
            <w:tcW w:w="372" w:type="pct"/>
            <w:tcBorders>
              <w:top w:val="nil"/>
              <w:left w:val="nil"/>
              <w:bottom w:val="nil"/>
              <w:right w:val="nil"/>
            </w:tcBorders>
            <w:shd w:val="clear" w:color="auto" w:fill="auto"/>
            <w:noWrap/>
            <w:vAlign w:val="bottom"/>
            <w:hideMark/>
          </w:tcPr>
          <w:p w14:paraId="2F353121"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466</w:t>
            </w:r>
          </w:p>
        </w:tc>
        <w:tc>
          <w:tcPr>
            <w:tcW w:w="372" w:type="pct"/>
            <w:tcBorders>
              <w:top w:val="nil"/>
              <w:left w:val="nil"/>
              <w:bottom w:val="nil"/>
              <w:right w:val="nil"/>
            </w:tcBorders>
            <w:shd w:val="clear" w:color="auto" w:fill="auto"/>
            <w:noWrap/>
            <w:vAlign w:val="bottom"/>
            <w:hideMark/>
          </w:tcPr>
          <w:p w14:paraId="26AA7D7B"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245</w:t>
            </w:r>
          </w:p>
        </w:tc>
      </w:tr>
      <w:tr w:rsidR="00DD531B" w:rsidRPr="00DD531B" w14:paraId="0D574E8D" w14:textId="77777777" w:rsidTr="001F24AE">
        <w:trPr>
          <w:trHeight w:val="300"/>
        </w:trPr>
        <w:tc>
          <w:tcPr>
            <w:tcW w:w="2349" w:type="pct"/>
            <w:tcBorders>
              <w:top w:val="nil"/>
              <w:left w:val="nil"/>
              <w:bottom w:val="nil"/>
              <w:right w:val="nil"/>
            </w:tcBorders>
            <w:shd w:val="clear" w:color="auto" w:fill="auto"/>
            <w:noWrap/>
            <w:vAlign w:val="bottom"/>
            <w:hideMark/>
          </w:tcPr>
          <w:p w14:paraId="1462153D" w14:textId="77777777" w:rsidR="00DD531B" w:rsidRPr="00730A6E" w:rsidRDefault="00DD531B" w:rsidP="00DD531B">
            <w:pPr>
              <w:spacing w:after="0" w:line="240" w:lineRule="auto"/>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prostriedky POO</w:t>
            </w:r>
          </w:p>
        </w:tc>
        <w:tc>
          <w:tcPr>
            <w:tcW w:w="360" w:type="pct"/>
            <w:tcBorders>
              <w:top w:val="nil"/>
              <w:left w:val="nil"/>
              <w:bottom w:val="nil"/>
              <w:right w:val="nil"/>
            </w:tcBorders>
            <w:shd w:val="clear" w:color="auto" w:fill="auto"/>
            <w:noWrap/>
            <w:vAlign w:val="bottom"/>
            <w:hideMark/>
          </w:tcPr>
          <w:p w14:paraId="11D57DBC" w14:textId="77777777" w:rsidR="00DD531B" w:rsidRPr="00730A6E"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0</w:t>
            </w:r>
          </w:p>
        </w:tc>
        <w:tc>
          <w:tcPr>
            <w:tcW w:w="360" w:type="pct"/>
            <w:tcBorders>
              <w:top w:val="nil"/>
              <w:left w:val="nil"/>
              <w:bottom w:val="nil"/>
              <w:right w:val="nil"/>
            </w:tcBorders>
            <w:shd w:val="clear" w:color="auto" w:fill="auto"/>
            <w:noWrap/>
            <w:vAlign w:val="bottom"/>
            <w:hideMark/>
          </w:tcPr>
          <w:p w14:paraId="46454E18"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16</w:t>
            </w:r>
          </w:p>
        </w:tc>
        <w:tc>
          <w:tcPr>
            <w:tcW w:w="372" w:type="pct"/>
            <w:tcBorders>
              <w:top w:val="nil"/>
              <w:left w:val="nil"/>
              <w:bottom w:val="nil"/>
              <w:right w:val="nil"/>
            </w:tcBorders>
            <w:shd w:val="clear" w:color="auto" w:fill="auto"/>
            <w:noWrap/>
            <w:vAlign w:val="bottom"/>
            <w:hideMark/>
          </w:tcPr>
          <w:p w14:paraId="6BD1BC6B"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454</w:t>
            </w:r>
          </w:p>
        </w:tc>
        <w:tc>
          <w:tcPr>
            <w:tcW w:w="442" w:type="pct"/>
            <w:tcBorders>
              <w:top w:val="nil"/>
              <w:left w:val="nil"/>
              <w:bottom w:val="nil"/>
              <w:right w:val="nil"/>
            </w:tcBorders>
            <w:shd w:val="clear" w:color="auto" w:fill="auto"/>
            <w:noWrap/>
            <w:vAlign w:val="bottom"/>
            <w:hideMark/>
          </w:tcPr>
          <w:p w14:paraId="68363C92"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454</w:t>
            </w:r>
          </w:p>
        </w:tc>
        <w:tc>
          <w:tcPr>
            <w:tcW w:w="372" w:type="pct"/>
            <w:tcBorders>
              <w:top w:val="nil"/>
              <w:left w:val="nil"/>
              <w:bottom w:val="nil"/>
              <w:right w:val="nil"/>
            </w:tcBorders>
            <w:shd w:val="clear" w:color="auto" w:fill="auto"/>
            <w:noWrap/>
            <w:vAlign w:val="bottom"/>
            <w:hideMark/>
          </w:tcPr>
          <w:p w14:paraId="03BE95DE"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445</w:t>
            </w:r>
          </w:p>
        </w:tc>
        <w:tc>
          <w:tcPr>
            <w:tcW w:w="372" w:type="pct"/>
            <w:tcBorders>
              <w:top w:val="nil"/>
              <w:left w:val="nil"/>
              <w:bottom w:val="nil"/>
              <w:right w:val="nil"/>
            </w:tcBorders>
            <w:shd w:val="clear" w:color="auto" w:fill="auto"/>
            <w:noWrap/>
            <w:vAlign w:val="bottom"/>
            <w:hideMark/>
          </w:tcPr>
          <w:p w14:paraId="41881D8C"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445</w:t>
            </w:r>
          </w:p>
        </w:tc>
        <w:tc>
          <w:tcPr>
            <w:tcW w:w="372" w:type="pct"/>
            <w:tcBorders>
              <w:top w:val="nil"/>
              <w:left w:val="nil"/>
              <w:bottom w:val="nil"/>
              <w:right w:val="nil"/>
            </w:tcBorders>
            <w:shd w:val="clear" w:color="auto" w:fill="auto"/>
            <w:noWrap/>
            <w:vAlign w:val="bottom"/>
            <w:hideMark/>
          </w:tcPr>
          <w:p w14:paraId="1DE24AAB"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233</w:t>
            </w:r>
          </w:p>
        </w:tc>
      </w:tr>
      <w:tr w:rsidR="00DD531B" w:rsidRPr="00DD531B" w14:paraId="2FC252B2" w14:textId="77777777" w:rsidTr="001F24AE">
        <w:trPr>
          <w:trHeight w:val="300"/>
        </w:trPr>
        <w:tc>
          <w:tcPr>
            <w:tcW w:w="2349" w:type="pct"/>
            <w:tcBorders>
              <w:top w:val="nil"/>
              <w:left w:val="nil"/>
              <w:bottom w:val="nil"/>
              <w:right w:val="nil"/>
            </w:tcBorders>
            <w:shd w:val="clear" w:color="auto" w:fill="auto"/>
            <w:noWrap/>
            <w:vAlign w:val="bottom"/>
            <w:hideMark/>
          </w:tcPr>
          <w:p w14:paraId="696D3530" w14:textId="77777777" w:rsidR="00DD531B" w:rsidRPr="00730A6E" w:rsidRDefault="00DD531B" w:rsidP="00DD531B">
            <w:pPr>
              <w:spacing w:after="0" w:line="240" w:lineRule="auto"/>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DPH k POO</w:t>
            </w:r>
          </w:p>
        </w:tc>
        <w:tc>
          <w:tcPr>
            <w:tcW w:w="360" w:type="pct"/>
            <w:tcBorders>
              <w:top w:val="nil"/>
              <w:left w:val="nil"/>
              <w:bottom w:val="nil"/>
              <w:right w:val="nil"/>
            </w:tcBorders>
            <w:shd w:val="clear" w:color="auto" w:fill="auto"/>
            <w:noWrap/>
            <w:vAlign w:val="bottom"/>
            <w:hideMark/>
          </w:tcPr>
          <w:p w14:paraId="1D9E5499" w14:textId="77777777" w:rsidR="00DD531B" w:rsidRPr="00730A6E" w:rsidRDefault="00DD531B" w:rsidP="00DD531B">
            <w:pPr>
              <w:spacing w:after="0" w:line="240" w:lineRule="auto"/>
              <w:jc w:val="right"/>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0</w:t>
            </w:r>
          </w:p>
        </w:tc>
        <w:tc>
          <w:tcPr>
            <w:tcW w:w="360" w:type="pct"/>
            <w:tcBorders>
              <w:top w:val="nil"/>
              <w:left w:val="nil"/>
              <w:bottom w:val="nil"/>
              <w:right w:val="nil"/>
            </w:tcBorders>
            <w:shd w:val="clear" w:color="auto" w:fill="auto"/>
            <w:noWrap/>
            <w:vAlign w:val="bottom"/>
            <w:hideMark/>
          </w:tcPr>
          <w:p w14:paraId="5E20231C"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11EFC57D"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21</w:t>
            </w:r>
          </w:p>
        </w:tc>
        <w:tc>
          <w:tcPr>
            <w:tcW w:w="442" w:type="pct"/>
            <w:tcBorders>
              <w:top w:val="nil"/>
              <w:left w:val="nil"/>
              <w:bottom w:val="nil"/>
              <w:right w:val="nil"/>
            </w:tcBorders>
            <w:shd w:val="clear" w:color="auto" w:fill="auto"/>
            <w:noWrap/>
            <w:vAlign w:val="bottom"/>
            <w:hideMark/>
          </w:tcPr>
          <w:p w14:paraId="3677F77F"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21</w:t>
            </w:r>
          </w:p>
        </w:tc>
        <w:tc>
          <w:tcPr>
            <w:tcW w:w="372" w:type="pct"/>
            <w:tcBorders>
              <w:top w:val="nil"/>
              <w:left w:val="nil"/>
              <w:bottom w:val="nil"/>
              <w:right w:val="nil"/>
            </w:tcBorders>
            <w:shd w:val="clear" w:color="auto" w:fill="auto"/>
            <w:noWrap/>
            <w:vAlign w:val="bottom"/>
            <w:hideMark/>
          </w:tcPr>
          <w:p w14:paraId="335E879F"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21</w:t>
            </w:r>
          </w:p>
        </w:tc>
        <w:tc>
          <w:tcPr>
            <w:tcW w:w="372" w:type="pct"/>
            <w:tcBorders>
              <w:top w:val="nil"/>
              <w:left w:val="nil"/>
              <w:bottom w:val="nil"/>
              <w:right w:val="nil"/>
            </w:tcBorders>
            <w:shd w:val="clear" w:color="auto" w:fill="auto"/>
            <w:noWrap/>
            <w:vAlign w:val="bottom"/>
            <w:hideMark/>
          </w:tcPr>
          <w:p w14:paraId="4C85B959"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21</w:t>
            </w:r>
          </w:p>
        </w:tc>
        <w:tc>
          <w:tcPr>
            <w:tcW w:w="372" w:type="pct"/>
            <w:tcBorders>
              <w:top w:val="nil"/>
              <w:left w:val="nil"/>
              <w:bottom w:val="nil"/>
              <w:right w:val="nil"/>
            </w:tcBorders>
            <w:shd w:val="clear" w:color="auto" w:fill="auto"/>
            <w:noWrap/>
            <w:vAlign w:val="bottom"/>
            <w:hideMark/>
          </w:tcPr>
          <w:p w14:paraId="41247C53"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12</w:t>
            </w:r>
          </w:p>
        </w:tc>
      </w:tr>
      <w:tr w:rsidR="00DD531B" w:rsidRPr="00DD531B" w14:paraId="77B3FCC7" w14:textId="77777777" w:rsidTr="001F24AE">
        <w:trPr>
          <w:trHeight w:val="300"/>
        </w:trPr>
        <w:tc>
          <w:tcPr>
            <w:tcW w:w="2349" w:type="pct"/>
            <w:tcBorders>
              <w:top w:val="nil"/>
              <w:left w:val="nil"/>
              <w:bottom w:val="nil"/>
              <w:right w:val="nil"/>
            </w:tcBorders>
            <w:shd w:val="clear" w:color="auto" w:fill="auto"/>
            <w:vAlign w:val="bottom"/>
            <w:hideMark/>
          </w:tcPr>
          <w:p w14:paraId="4CEB48A3" w14:textId="77777777" w:rsidR="00DD531B" w:rsidRPr="00730A6E" w:rsidRDefault="00DD531B" w:rsidP="00DD531B">
            <w:pPr>
              <w:spacing w:after="0" w:line="240" w:lineRule="auto"/>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presun z minulých rokov § 8, v tom:</w:t>
            </w:r>
          </w:p>
        </w:tc>
        <w:tc>
          <w:tcPr>
            <w:tcW w:w="360" w:type="pct"/>
            <w:tcBorders>
              <w:top w:val="nil"/>
              <w:left w:val="nil"/>
              <w:bottom w:val="nil"/>
              <w:right w:val="nil"/>
            </w:tcBorders>
            <w:shd w:val="clear" w:color="auto" w:fill="auto"/>
            <w:noWrap/>
            <w:vAlign w:val="bottom"/>
            <w:hideMark/>
          </w:tcPr>
          <w:p w14:paraId="794E641C"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801</w:t>
            </w:r>
          </w:p>
        </w:tc>
        <w:tc>
          <w:tcPr>
            <w:tcW w:w="360" w:type="pct"/>
            <w:tcBorders>
              <w:top w:val="nil"/>
              <w:left w:val="nil"/>
              <w:bottom w:val="nil"/>
              <w:right w:val="nil"/>
            </w:tcBorders>
            <w:shd w:val="clear" w:color="auto" w:fill="auto"/>
            <w:noWrap/>
            <w:vAlign w:val="bottom"/>
            <w:hideMark/>
          </w:tcPr>
          <w:p w14:paraId="4F6390A4"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2 589</w:t>
            </w:r>
          </w:p>
        </w:tc>
        <w:tc>
          <w:tcPr>
            <w:tcW w:w="372" w:type="pct"/>
            <w:tcBorders>
              <w:top w:val="nil"/>
              <w:left w:val="nil"/>
              <w:bottom w:val="nil"/>
              <w:right w:val="nil"/>
            </w:tcBorders>
            <w:shd w:val="clear" w:color="auto" w:fill="auto"/>
            <w:noWrap/>
            <w:vAlign w:val="bottom"/>
            <w:hideMark/>
          </w:tcPr>
          <w:p w14:paraId="39B0B0D4"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c>
          <w:tcPr>
            <w:tcW w:w="442" w:type="pct"/>
            <w:tcBorders>
              <w:top w:val="nil"/>
              <w:left w:val="nil"/>
              <w:bottom w:val="nil"/>
              <w:right w:val="nil"/>
            </w:tcBorders>
            <w:shd w:val="clear" w:color="auto" w:fill="auto"/>
            <w:noWrap/>
            <w:vAlign w:val="bottom"/>
            <w:hideMark/>
          </w:tcPr>
          <w:p w14:paraId="4A7C9945"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2 259</w:t>
            </w:r>
          </w:p>
        </w:tc>
        <w:tc>
          <w:tcPr>
            <w:tcW w:w="372" w:type="pct"/>
            <w:tcBorders>
              <w:top w:val="nil"/>
              <w:left w:val="nil"/>
              <w:bottom w:val="nil"/>
              <w:right w:val="nil"/>
            </w:tcBorders>
            <w:shd w:val="clear" w:color="auto" w:fill="auto"/>
            <w:noWrap/>
            <w:vAlign w:val="bottom"/>
            <w:hideMark/>
          </w:tcPr>
          <w:p w14:paraId="2910C742"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03B8E4A1"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6727AA0F"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r>
      <w:tr w:rsidR="00DD531B" w:rsidRPr="00DD531B" w14:paraId="30AC0D3E" w14:textId="77777777" w:rsidTr="001F24AE">
        <w:trPr>
          <w:trHeight w:val="300"/>
        </w:trPr>
        <w:tc>
          <w:tcPr>
            <w:tcW w:w="2349" w:type="pct"/>
            <w:tcBorders>
              <w:top w:val="nil"/>
              <w:left w:val="nil"/>
              <w:bottom w:val="nil"/>
              <w:right w:val="nil"/>
            </w:tcBorders>
            <w:shd w:val="clear" w:color="auto" w:fill="auto"/>
            <w:noWrap/>
            <w:vAlign w:val="bottom"/>
            <w:hideMark/>
          </w:tcPr>
          <w:p w14:paraId="4EF55DBF" w14:textId="77777777" w:rsidR="00DD531B" w:rsidRPr="00730A6E" w:rsidRDefault="00DD531B" w:rsidP="00DD531B">
            <w:pPr>
              <w:spacing w:after="0" w:line="240" w:lineRule="auto"/>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štátny rozpočet</w:t>
            </w:r>
          </w:p>
        </w:tc>
        <w:tc>
          <w:tcPr>
            <w:tcW w:w="360" w:type="pct"/>
            <w:tcBorders>
              <w:top w:val="nil"/>
              <w:left w:val="nil"/>
              <w:bottom w:val="nil"/>
              <w:right w:val="nil"/>
            </w:tcBorders>
            <w:shd w:val="clear" w:color="auto" w:fill="auto"/>
            <w:noWrap/>
            <w:vAlign w:val="bottom"/>
            <w:hideMark/>
          </w:tcPr>
          <w:p w14:paraId="361A412D"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186</w:t>
            </w:r>
          </w:p>
        </w:tc>
        <w:tc>
          <w:tcPr>
            <w:tcW w:w="360" w:type="pct"/>
            <w:tcBorders>
              <w:top w:val="nil"/>
              <w:left w:val="nil"/>
              <w:bottom w:val="nil"/>
              <w:right w:val="nil"/>
            </w:tcBorders>
            <w:shd w:val="clear" w:color="auto" w:fill="auto"/>
            <w:noWrap/>
            <w:vAlign w:val="bottom"/>
            <w:hideMark/>
          </w:tcPr>
          <w:p w14:paraId="28433E8E"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1 163</w:t>
            </w:r>
          </w:p>
        </w:tc>
        <w:tc>
          <w:tcPr>
            <w:tcW w:w="372" w:type="pct"/>
            <w:tcBorders>
              <w:top w:val="nil"/>
              <w:left w:val="nil"/>
              <w:bottom w:val="nil"/>
              <w:right w:val="nil"/>
            </w:tcBorders>
            <w:shd w:val="clear" w:color="auto" w:fill="auto"/>
            <w:noWrap/>
            <w:vAlign w:val="bottom"/>
            <w:hideMark/>
          </w:tcPr>
          <w:p w14:paraId="36C393F2"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442" w:type="pct"/>
            <w:tcBorders>
              <w:top w:val="nil"/>
              <w:left w:val="nil"/>
              <w:bottom w:val="nil"/>
              <w:right w:val="nil"/>
            </w:tcBorders>
            <w:shd w:val="clear" w:color="auto" w:fill="auto"/>
            <w:noWrap/>
            <w:vAlign w:val="bottom"/>
            <w:hideMark/>
          </w:tcPr>
          <w:p w14:paraId="080F73E6"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536</w:t>
            </w:r>
          </w:p>
        </w:tc>
        <w:tc>
          <w:tcPr>
            <w:tcW w:w="372" w:type="pct"/>
            <w:tcBorders>
              <w:top w:val="nil"/>
              <w:left w:val="nil"/>
              <w:bottom w:val="nil"/>
              <w:right w:val="nil"/>
            </w:tcBorders>
            <w:shd w:val="clear" w:color="auto" w:fill="auto"/>
            <w:noWrap/>
            <w:vAlign w:val="bottom"/>
            <w:hideMark/>
          </w:tcPr>
          <w:p w14:paraId="53DDEEE2"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04223404"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2F321DC0"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r>
      <w:tr w:rsidR="00DD531B" w:rsidRPr="00DD531B" w14:paraId="58A24508" w14:textId="77777777" w:rsidTr="001F24AE">
        <w:trPr>
          <w:trHeight w:val="300"/>
        </w:trPr>
        <w:tc>
          <w:tcPr>
            <w:tcW w:w="2349" w:type="pct"/>
            <w:tcBorders>
              <w:top w:val="nil"/>
              <w:left w:val="nil"/>
              <w:bottom w:val="nil"/>
              <w:right w:val="nil"/>
            </w:tcBorders>
            <w:shd w:val="clear" w:color="auto" w:fill="auto"/>
            <w:vAlign w:val="bottom"/>
            <w:hideMark/>
          </w:tcPr>
          <w:p w14:paraId="5384C9BB" w14:textId="77777777" w:rsidR="00DD531B" w:rsidRPr="00730A6E" w:rsidRDefault="00DD531B" w:rsidP="00DD531B">
            <w:pPr>
              <w:spacing w:after="0" w:line="240" w:lineRule="auto"/>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prostriedky EÚ a spolufinancovanie zo ŠR</w:t>
            </w:r>
          </w:p>
        </w:tc>
        <w:tc>
          <w:tcPr>
            <w:tcW w:w="360" w:type="pct"/>
            <w:tcBorders>
              <w:top w:val="nil"/>
              <w:left w:val="nil"/>
              <w:bottom w:val="nil"/>
              <w:right w:val="nil"/>
            </w:tcBorders>
            <w:shd w:val="clear" w:color="auto" w:fill="auto"/>
            <w:noWrap/>
            <w:vAlign w:val="bottom"/>
            <w:hideMark/>
          </w:tcPr>
          <w:p w14:paraId="283BEC58"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615</w:t>
            </w:r>
          </w:p>
        </w:tc>
        <w:tc>
          <w:tcPr>
            <w:tcW w:w="360" w:type="pct"/>
            <w:tcBorders>
              <w:top w:val="nil"/>
              <w:left w:val="nil"/>
              <w:bottom w:val="nil"/>
              <w:right w:val="nil"/>
            </w:tcBorders>
            <w:shd w:val="clear" w:color="auto" w:fill="auto"/>
            <w:noWrap/>
            <w:vAlign w:val="bottom"/>
            <w:hideMark/>
          </w:tcPr>
          <w:p w14:paraId="1DE6A48B"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1 412</w:t>
            </w:r>
          </w:p>
        </w:tc>
        <w:tc>
          <w:tcPr>
            <w:tcW w:w="372" w:type="pct"/>
            <w:tcBorders>
              <w:top w:val="nil"/>
              <w:left w:val="nil"/>
              <w:bottom w:val="nil"/>
              <w:right w:val="nil"/>
            </w:tcBorders>
            <w:shd w:val="clear" w:color="auto" w:fill="auto"/>
            <w:noWrap/>
            <w:vAlign w:val="bottom"/>
            <w:hideMark/>
          </w:tcPr>
          <w:p w14:paraId="3443214B"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442" w:type="pct"/>
            <w:tcBorders>
              <w:top w:val="nil"/>
              <w:left w:val="nil"/>
              <w:bottom w:val="nil"/>
              <w:right w:val="nil"/>
            </w:tcBorders>
            <w:shd w:val="clear" w:color="auto" w:fill="auto"/>
            <w:noWrap/>
            <w:vAlign w:val="bottom"/>
            <w:hideMark/>
          </w:tcPr>
          <w:p w14:paraId="0E6107F3"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1 296</w:t>
            </w:r>
          </w:p>
        </w:tc>
        <w:tc>
          <w:tcPr>
            <w:tcW w:w="372" w:type="pct"/>
            <w:tcBorders>
              <w:top w:val="nil"/>
              <w:left w:val="nil"/>
              <w:bottom w:val="nil"/>
              <w:right w:val="nil"/>
            </w:tcBorders>
            <w:shd w:val="clear" w:color="auto" w:fill="auto"/>
            <w:noWrap/>
            <w:vAlign w:val="bottom"/>
            <w:hideMark/>
          </w:tcPr>
          <w:p w14:paraId="3B7AB69E"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6DBC8DDB"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759B0F2E"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r>
      <w:tr w:rsidR="00DD531B" w:rsidRPr="00DD531B" w14:paraId="6AA7FE2D" w14:textId="77777777" w:rsidTr="001F24AE">
        <w:trPr>
          <w:trHeight w:val="300"/>
        </w:trPr>
        <w:tc>
          <w:tcPr>
            <w:tcW w:w="2349" w:type="pct"/>
            <w:tcBorders>
              <w:top w:val="nil"/>
              <w:left w:val="nil"/>
              <w:bottom w:val="single" w:sz="4" w:space="0" w:color="auto"/>
              <w:right w:val="nil"/>
            </w:tcBorders>
            <w:shd w:val="clear" w:color="auto" w:fill="auto"/>
            <w:noWrap/>
            <w:vAlign w:val="bottom"/>
            <w:hideMark/>
          </w:tcPr>
          <w:p w14:paraId="643F1E58" w14:textId="77777777" w:rsidR="00DD531B" w:rsidRPr="00730A6E" w:rsidRDefault="00DD531B" w:rsidP="00DD531B">
            <w:pPr>
              <w:spacing w:after="0" w:line="240" w:lineRule="auto"/>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prostriedky POO a DPH k POO</w:t>
            </w:r>
          </w:p>
        </w:tc>
        <w:tc>
          <w:tcPr>
            <w:tcW w:w="360" w:type="pct"/>
            <w:tcBorders>
              <w:top w:val="nil"/>
              <w:left w:val="nil"/>
              <w:bottom w:val="single" w:sz="4" w:space="0" w:color="auto"/>
              <w:right w:val="nil"/>
            </w:tcBorders>
            <w:shd w:val="clear" w:color="auto" w:fill="auto"/>
            <w:noWrap/>
            <w:vAlign w:val="bottom"/>
            <w:hideMark/>
          </w:tcPr>
          <w:p w14:paraId="647BF906"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360" w:type="pct"/>
            <w:tcBorders>
              <w:top w:val="nil"/>
              <w:left w:val="nil"/>
              <w:bottom w:val="single" w:sz="4" w:space="0" w:color="auto"/>
              <w:right w:val="nil"/>
            </w:tcBorders>
            <w:shd w:val="clear" w:color="auto" w:fill="auto"/>
            <w:noWrap/>
            <w:vAlign w:val="bottom"/>
            <w:hideMark/>
          </w:tcPr>
          <w:p w14:paraId="030D39F8"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13</w:t>
            </w:r>
          </w:p>
        </w:tc>
        <w:tc>
          <w:tcPr>
            <w:tcW w:w="372" w:type="pct"/>
            <w:tcBorders>
              <w:top w:val="nil"/>
              <w:left w:val="nil"/>
              <w:bottom w:val="single" w:sz="4" w:space="0" w:color="auto"/>
              <w:right w:val="nil"/>
            </w:tcBorders>
            <w:shd w:val="clear" w:color="auto" w:fill="auto"/>
            <w:noWrap/>
            <w:vAlign w:val="bottom"/>
            <w:hideMark/>
          </w:tcPr>
          <w:p w14:paraId="2D7589F4"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442" w:type="pct"/>
            <w:tcBorders>
              <w:top w:val="nil"/>
              <w:left w:val="nil"/>
              <w:bottom w:val="single" w:sz="4" w:space="0" w:color="auto"/>
              <w:right w:val="nil"/>
            </w:tcBorders>
            <w:shd w:val="clear" w:color="auto" w:fill="auto"/>
            <w:noWrap/>
            <w:vAlign w:val="bottom"/>
            <w:hideMark/>
          </w:tcPr>
          <w:p w14:paraId="113A2B97"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428</w:t>
            </w:r>
          </w:p>
        </w:tc>
        <w:tc>
          <w:tcPr>
            <w:tcW w:w="372" w:type="pct"/>
            <w:tcBorders>
              <w:top w:val="nil"/>
              <w:left w:val="nil"/>
              <w:bottom w:val="single" w:sz="4" w:space="0" w:color="auto"/>
              <w:right w:val="nil"/>
            </w:tcBorders>
            <w:shd w:val="clear" w:color="auto" w:fill="auto"/>
            <w:noWrap/>
            <w:vAlign w:val="bottom"/>
            <w:hideMark/>
          </w:tcPr>
          <w:p w14:paraId="7FA6F114"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c>
          <w:tcPr>
            <w:tcW w:w="372" w:type="pct"/>
            <w:tcBorders>
              <w:top w:val="nil"/>
              <w:left w:val="nil"/>
              <w:bottom w:val="single" w:sz="4" w:space="0" w:color="auto"/>
              <w:right w:val="nil"/>
            </w:tcBorders>
            <w:shd w:val="clear" w:color="auto" w:fill="auto"/>
            <w:noWrap/>
            <w:vAlign w:val="bottom"/>
            <w:hideMark/>
          </w:tcPr>
          <w:p w14:paraId="427B996E"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c>
          <w:tcPr>
            <w:tcW w:w="372" w:type="pct"/>
            <w:tcBorders>
              <w:top w:val="nil"/>
              <w:left w:val="nil"/>
              <w:bottom w:val="single" w:sz="4" w:space="0" w:color="auto"/>
              <w:right w:val="nil"/>
            </w:tcBorders>
            <w:shd w:val="clear" w:color="auto" w:fill="auto"/>
            <w:noWrap/>
            <w:vAlign w:val="bottom"/>
            <w:hideMark/>
          </w:tcPr>
          <w:p w14:paraId="1AB9F2E5"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r>
    </w:tbl>
    <w:p w14:paraId="49CEED06" w14:textId="5A8FC424" w:rsidR="00DD531B" w:rsidRDefault="00DD531B" w:rsidP="00DD531B">
      <w:pPr>
        <w:rPr>
          <w:rFonts w:ascii="Times New Roman" w:eastAsia="Calibri" w:hAnsi="Times New Roman" w:cs="Times New Roman"/>
        </w:rPr>
      </w:pPr>
    </w:p>
    <w:p w14:paraId="58647683" w14:textId="777CADEE" w:rsidR="00730A6E" w:rsidRDefault="00730A6E" w:rsidP="00DD531B">
      <w:pPr>
        <w:rPr>
          <w:rFonts w:ascii="Times New Roman" w:eastAsia="Calibri" w:hAnsi="Times New Roman" w:cs="Times New Roman"/>
        </w:rPr>
      </w:pPr>
    </w:p>
    <w:p w14:paraId="052973EF" w14:textId="4DDA0248" w:rsidR="00730A6E" w:rsidRDefault="00730A6E" w:rsidP="00DD531B">
      <w:pPr>
        <w:rPr>
          <w:rFonts w:ascii="Times New Roman" w:eastAsia="Calibri" w:hAnsi="Times New Roman" w:cs="Times New Roman"/>
        </w:rPr>
      </w:pPr>
    </w:p>
    <w:p w14:paraId="3F9661E4" w14:textId="51E88806" w:rsidR="00730A6E" w:rsidRDefault="00730A6E" w:rsidP="00DD531B">
      <w:pPr>
        <w:rPr>
          <w:rFonts w:ascii="Times New Roman" w:eastAsia="Calibri" w:hAnsi="Times New Roman" w:cs="Times New Roman"/>
        </w:rPr>
      </w:pPr>
    </w:p>
    <w:p w14:paraId="60B722C6" w14:textId="36BEDDB7" w:rsidR="00730A6E" w:rsidRDefault="00730A6E" w:rsidP="00DD531B">
      <w:pPr>
        <w:rPr>
          <w:rFonts w:ascii="Times New Roman" w:eastAsia="Calibri" w:hAnsi="Times New Roman" w:cs="Times New Roman"/>
        </w:rPr>
      </w:pPr>
    </w:p>
    <w:p w14:paraId="534C8953" w14:textId="11C63D18" w:rsidR="00730A6E" w:rsidRDefault="00730A6E" w:rsidP="00DD531B">
      <w:pPr>
        <w:rPr>
          <w:rFonts w:ascii="Times New Roman" w:eastAsia="Calibri" w:hAnsi="Times New Roman" w:cs="Times New Roman"/>
        </w:rPr>
      </w:pPr>
    </w:p>
    <w:p w14:paraId="7D227A97" w14:textId="18B0C481" w:rsidR="00730A6E" w:rsidRDefault="00730A6E" w:rsidP="00DD531B">
      <w:pPr>
        <w:rPr>
          <w:rFonts w:ascii="Times New Roman" w:eastAsia="Calibri" w:hAnsi="Times New Roman" w:cs="Times New Roman"/>
        </w:rPr>
      </w:pPr>
    </w:p>
    <w:p w14:paraId="506F4ACD" w14:textId="7BE096B0" w:rsidR="00730A6E" w:rsidRDefault="00730A6E" w:rsidP="00DD531B">
      <w:pPr>
        <w:rPr>
          <w:rFonts w:ascii="Times New Roman" w:eastAsia="Calibri" w:hAnsi="Times New Roman" w:cs="Times New Roman"/>
        </w:rPr>
      </w:pPr>
    </w:p>
    <w:p w14:paraId="7201E867" w14:textId="47AD62DA" w:rsidR="00730A6E" w:rsidRDefault="00730A6E" w:rsidP="00DD531B">
      <w:pPr>
        <w:rPr>
          <w:rFonts w:ascii="Times New Roman" w:eastAsia="Calibri" w:hAnsi="Times New Roman" w:cs="Times New Roman"/>
        </w:rPr>
      </w:pPr>
    </w:p>
    <w:p w14:paraId="60123823" w14:textId="4E77C0D9" w:rsidR="00730A6E" w:rsidRPr="00DD531B" w:rsidRDefault="00730A6E" w:rsidP="00DD531B">
      <w:pPr>
        <w:rPr>
          <w:rFonts w:ascii="Times New Roman" w:eastAsia="Calibri" w:hAnsi="Times New Roman" w:cs="Times New Roman"/>
        </w:rPr>
      </w:pPr>
    </w:p>
    <w:p w14:paraId="101E5989" w14:textId="77777777" w:rsidR="00730A6E" w:rsidRDefault="00730A6E" w:rsidP="00DD531B">
      <w:pPr>
        <w:keepNext/>
        <w:keepLines/>
        <w:spacing w:before="40" w:after="0"/>
        <w:outlineLvl w:val="1"/>
        <w:rPr>
          <w:rFonts w:ascii="Times New Roman" w:eastAsia="Times New Roman" w:hAnsi="Times New Roman" w:cs="Times New Roman"/>
          <w:color w:val="2E74B5"/>
          <w:sz w:val="24"/>
          <w:szCs w:val="24"/>
        </w:rPr>
      </w:pPr>
    </w:p>
    <w:p w14:paraId="61AEA33A" w14:textId="77777777" w:rsidR="00730A6E" w:rsidRDefault="00730A6E" w:rsidP="00DD531B">
      <w:pPr>
        <w:keepNext/>
        <w:keepLines/>
        <w:spacing w:before="40" w:after="0"/>
        <w:outlineLvl w:val="1"/>
        <w:rPr>
          <w:rFonts w:ascii="Times New Roman" w:eastAsia="Times New Roman" w:hAnsi="Times New Roman" w:cs="Times New Roman"/>
          <w:color w:val="2E74B5"/>
          <w:sz w:val="24"/>
          <w:szCs w:val="24"/>
        </w:rPr>
      </w:pPr>
    </w:p>
    <w:p w14:paraId="76045F9C" w14:textId="77777777" w:rsidR="00730A6E" w:rsidRDefault="00730A6E" w:rsidP="00DD531B">
      <w:pPr>
        <w:keepNext/>
        <w:keepLines/>
        <w:spacing w:before="40" w:after="0"/>
        <w:outlineLvl w:val="1"/>
        <w:rPr>
          <w:rFonts w:ascii="Times New Roman" w:eastAsia="Times New Roman" w:hAnsi="Times New Roman" w:cs="Times New Roman"/>
          <w:color w:val="2E74B5"/>
          <w:sz w:val="24"/>
          <w:szCs w:val="24"/>
        </w:rPr>
      </w:pPr>
    </w:p>
    <w:p w14:paraId="039056EB" w14:textId="77777777" w:rsidR="00DD531B" w:rsidRPr="00DD531B" w:rsidRDefault="00DD531B" w:rsidP="00DD531B">
      <w:pPr>
        <w:rPr>
          <w:rFonts w:ascii="Times New Roman" w:eastAsia="Calibri" w:hAnsi="Times New Roman" w:cs="Times New Roman"/>
        </w:rPr>
      </w:pPr>
    </w:p>
    <w:p w14:paraId="7936F633" w14:textId="19AAD6F2" w:rsidR="00730A6E" w:rsidRPr="00730A6E" w:rsidRDefault="00730A6E" w:rsidP="00DD531B">
      <w:pPr>
        <w:keepNext/>
        <w:keepLines/>
        <w:spacing w:before="40" w:after="0"/>
        <w:outlineLvl w:val="3"/>
        <w:rPr>
          <w:rFonts w:ascii="Times New Roman" w:eastAsia="Times New Roman" w:hAnsi="Times New Roman" w:cs="Times New Roman"/>
          <w:b/>
          <w:iCs/>
          <w:color w:val="5B9BD5" w:themeColor="accent1"/>
          <w:sz w:val="24"/>
          <w:szCs w:val="24"/>
          <w:lang w:eastAsia="sk-SK"/>
        </w:rPr>
      </w:pPr>
      <w:r w:rsidRPr="00730A6E">
        <w:rPr>
          <w:rFonts w:ascii="Times New Roman" w:eastAsia="Times New Roman" w:hAnsi="Times New Roman" w:cs="Times New Roman"/>
          <w:b/>
          <w:iCs/>
          <w:color w:val="5B9BD5" w:themeColor="accent1"/>
          <w:sz w:val="24"/>
          <w:szCs w:val="24"/>
          <w:lang w:eastAsia="sk-SK"/>
        </w:rPr>
        <w:lastRenderedPageBreak/>
        <w:t xml:space="preserve">Úrad pre reguláciu sieťových odvetví SR </w:t>
      </w:r>
    </w:p>
    <w:p w14:paraId="7BF19F45" w14:textId="77777777" w:rsidR="00730A6E" w:rsidRPr="00730A6E" w:rsidRDefault="00730A6E"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p>
    <w:p w14:paraId="53631AAF" w14:textId="56A36F53" w:rsidR="00DD531B" w:rsidRPr="00730A6E" w:rsidRDefault="00730A6E"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33" w:name="_Toc153013103"/>
      <w:r w:rsidRPr="00730A6E">
        <w:rPr>
          <w:rFonts w:ascii="Times New Roman" w:eastAsia="Times New Roman" w:hAnsi="Times New Roman" w:cs="Times New Roman"/>
          <w:b/>
          <w:iCs/>
          <w:color w:val="5B9BD5" w:themeColor="accent1"/>
          <w:sz w:val="20"/>
          <w:szCs w:val="20"/>
          <w:lang w:eastAsia="sk-SK"/>
        </w:rPr>
        <w:t xml:space="preserve">Tabuľka </w:t>
      </w:r>
      <w:r w:rsidRPr="00730A6E">
        <w:rPr>
          <w:rFonts w:ascii="Times New Roman" w:hAnsi="Times New Roman" w:cs="Times New Roman"/>
          <w:b/>
          <w:color w:val="5B9BD5" w:themeColor="accent1"/>
          <w:sz w:val="20"/>
          <w:szCs w:val="20"/>
        </w:rPr>
        <w:fldChar w:fldCharType="begin"/>
      </w:r>
      <w:r w:rsidRPr="00730A6E">
        <w:rPr>
          <w:rFonts w:ascii="Times New Roman" w:hAnsi="Times New Roman" w:cs="Times New Roman"/>
          <w:b/>
          <w:color w:val="5B9BD5" w:themeColor="accent1"/>
          <w:sz w:val="20"/>
          <w:szCs w:val="20"/>
        </w:rPr>
        <w:instrText xml:space="preserve"> SEQ Tabuľka \* ARABIC </w:instrText>
      </w:r>
      <w:r w:rsidRPr="00730A6E">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105</w:t>
      </w:r>
      <w:r w:rsidRPr="00730A6E">
        <w:rPr>
          <w:rFonts w:ascii="Times New Roman" w:hAnsi="Times New Roman" w:cs="Times New Roman"/>
          <w:b/>
          <w:color w:val="5B9BD5" w:themeColor="accent1"/>
          <w:sz w:val="20"/>
          <w:szCs w:val="20"/>
        </w:rPr>
        <w:fldChar w:fldCharType="end"/>
      </w:r>
      <w:r w:rsidRPr="00730A6E">
        <w:rPr>
          <w:rFonts w:ascii="Times New Roman" w:hAnsi="Times New Roman" w:cs="Times New Roman"/>
          <w:b/>
          <w:color w:val="5B9BD5" w:themeColor="accent1"/>
          <w:sz w:val="20"/>
          <w:szCs w:val="20"/>
        </w:rPr>
        <w:t xml:space="preserve"> - </w:t>
      </w:r>
      <w:r w:rsidR="00DD531B" w:rsidRPr="00730A6E">
        <w:rPr>
          <w:rFonts w:ascii="Times New Roman" w:eastAsia="Times New Roman" w:hAnsi="Times New Roman" w:cs="Times New Roman"/>
          <w:b/>
          <w:iCs/>
          <w:color w:val="5B9BD5" w:themeColor="accent1"/>
          <w:sz w:val="20"/>
          <w:szCs w:val="20"/>
          <w:lang w:eastAsia="sk-SK"/>
        </w:rPr>
        <w:t>Príjmy kapitoly ÚRSO SR</w:t>
      </w:r>
      <w:bookmarkEnd w:id="233"/>
    </w:p>
    <w:tbl>
      <w:tblPr>
        <w:tblW w:w="5000" w:type="pct"/>
        <w:tblCellMar>
          <w:left w:w="70" w:type="dxa"/>
          <w:right w:w="70" w:type="dxa"/>
        </w:tblCellMar>
        <w:tblLook w:val="04A0" w:firstRow="1" w:lastRow="0" w:firstColumn="1" w:lastColumn="0" w:noHBand="0" w:noVBand="1"/>
      </w:tblPr>
      <w:tblGrid>
        <w:gridCol w:w="3750"/>
        <w:gridCol w:w="761"/>
        <w:gridCol w:w="761"/>
        <w:gridCol w:w="760"/>
        <w:gridCol w:w="760"/>
        <w:gridCol w:w="760"/>
        <w:gridCol w:w="760"/>
        <w:gridCol w:w="760"/>
      </w:tblGrid>
      <w:tr w:rsidR="00DD531B" w:rsidRPr="00DD531B" w14:paraId="019728C9" w14:textId="77777777" w:rsidTr="001F24AE">
        <w:trPr>
          <w:trHeight w:val="300"/>
        </w:trPr>
        <w:tc>
          <w:tcPr>
            <w:tcW w:w="2065" w:type="pct"/>
            <w:tcBorders>
              <w:top w:val="single" w:sz="4" w:space="0" w:color="auto"/>
              <w:left w:val="nil"/>
              <w:bottom w:val="single" w:sz="4" w:space="0" w:color="auto"/>
              <w:right w:val="nil"/>
            </w:tcBorders>
            <w:shd w:val="clear" w:color="auto" w:fill="auto"/>
            <w:noWrap/>
            <w:vAlign w:val="center"/>
            <w:hideMark/>
          </w:tcPr>
          <w:p w14:paraId="1C0396F3" w14:textId="77777777" w:rsidR="00DD531B" w:rsidRPr="00730A6E" w:rsidRDefault="00DD531B" w:rsidP="00DD531B">
            <w:pPr>
              <w:spacing w:after="0" w:line="240" w:lineRule="auto"/>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v  tis. eur</w:t>
            </w:r>
          </w:p>
        </w:tc>
        <w:tc>
          <w:tcPr>
            <w:tcW w:w="419" w:type="pct"/>
            <w:tcBorders>
              <w:top w:val="single" w:sz="4" w:space="0" w:color="auto"/>
              <w:left w:val="nil"/>
              <w:bottom w:val="single" w:sz="4" w:space="0" w:color="auto"/>
              <w:right w:val="nil"/>
            </w:tcBorders>
            <w:shd w:val="clear" w:color="auto" w:fill="auto"/>
            <w:noWrap/>
            <w:vAlign w:val="center"/>
            <w:hideMark/>
          </w:tcPr>
          <w:p w14:paraId="50C2A6EB"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2021 S</w:t>
            </w:r>
          </w:p>
        </w:tc>
        <w:tc>
          <w:tcPr>
            <w:tcW w:w="419" w:type="pct"/>
            <w:tcBorders>
              <w:top w:val="single" w:sz="4" w:space="0" w:color="auto"/>
              <w:left w:val="nil"/>
              <w:bottom w:val="single" w:sz="4" w:space="0" w:color="auto"/>
              <w:right w:val="nil"/>
            </w:tcBorders>
            <w:shd w:val="clear" w:color="auto" w:fill="auto"/>
            <w:noWrap/>
            <w:vAlign w:val="center"/>
            <w:hideMark/>
          </w:tcPr>
          <w:p w14:paraId="568A5984"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2022 S</w:t>
            </w:r>
          </w:p>
        </w:tc>
        <w:tc>
          <w:tcPr>
            <w:tcW w:w="419" w:type="pct"/>
            <w:tcBorders>
              <w:top w:val="single" w:sz="4" w:space="0" w:color="auto"/>
              <w:left w:val="nil"/>
              <w:bottom w:val="single" w:sz="4" w:space="0" w:color="auto"/>
              <w:right w:val="nil"/>
            </w:tcBorders>
            <w:shd w:val="clear" w:color="auto" w:fill="auto"/>
            <w:noWrap/>
            <w:vAlign w:val="center"/>
            <w:hideMark/>
          </w:tcPr>
          <w:p w14:paraId="1498F61F"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2023 R</w:t>
            </w:r>
          </w:p>
        </w:tc>
        <w:tc>
          <w:tcPr>
            <w:tcW w:w="419" w:type="pct"/>
            <w:tcBorders>
              <w:top w:val="single" w:sz="4" w:space="0" w:color="auto"/>
              <w:left w:val="nil"/>
              <w:bottom w:val="single" w:sz="4" w:space="0" w:color="auto"/>
              <w:right w:val="nil"/>
            </w:tcBorders>
            <w:shd w:val="clear" w:color="auto" w:fill="auto"/>
            <w:noWrap/>
            <w:vAlign w:val="center"/>
            <w:hideMark/>
          </w:tcPr>
          <w:p w14:paraId="4B26BC95"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2023 OS</w:t>
            </w:r>
          </w:p>
        </w:tc>
        <w:tc>
          <w:tcPr>
            <w:tcW w:w="419" w:type="pct"/>
            <w:tcBorders>
              <w:top w:val="single" w:sz="4" w:space="0" w:color="auto"/>
              <w:left w:val="nil"/>
              <w:bottom w:val="single" w:sz="4" w:space="0" w:color="auto"/>
              <w:right w:val="nil"/>
            </w:tcBorders>
            <w:shd w:val="clear" w:color="auto" w:fill="auto"/>
            <w:noWrap/>
            <w:vAlign w:val="center"/>
            <w:hideMark/>
          </w:tcPr>
          <w:p w14:paraId="281D783F"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2024 N</w:t>
            </w:r>
          </w:p>
        </w:tc>
        <w:tc>
          <w:tcPr>
            <w:tcW w:w="419" w:type="pct"/>
            <w:tcBorders>
              <w:top w:val="single" w:sz="4" w:space="0" w:color="auto"/>
              <w:left w:val="nil"/>
              <w:bottom w:val="single" w:sz="4" w:space="0" w:color="auto"/>
              <w:right w:val="nil"/>
            </w:tcBorders>
            <w:shd w:val="clear" w:color="auto" w:fill="auto"/>
            <w:noWrap/>
            <w:vAlign w:val="center"/>
            <w:hideMark/>
          </w:tcPr>
          <w:p w14:paraId="0D9AD3BE"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2025 N</w:t>
            </w:r>
          </w:p>
        </w:tc>
        <w:tc>
          <w:tcPr>
            <w:tcW w:w="419" w:type="pct"/>
            <w:tcBorders>
              <w:top w:val="single" w:sz="4" w:space="0" w:color="auto"/>
              <w:left w:val="nil"/>
              <w:bottom w:val="single" w:sz="4" w:space="0" w:color="auto"/>
              <w:right w:val="nil"/>
            </w:tcBorders>
            <w:shd w:val="clear" w:color="auto" w:fill="auto"/>
            <w:noWrap/>
            <w:vAlign w:val="center"/>
            <w:hideMark/>
          </w:tcPr>
          <w:p w14:paraId="07B9E51C"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2026 N</w:t>
            </w:r>
          </w:p>
        </w:tc>
      </w:tr>
      <w:tr w:rsidR="00DD531B" w:rsidRPr="00DD531B" w14:paraId="52A2B98B" w14:textId="77777777" w:rsidTr="001F24AE">
        <w:trPr>
          <w:trHeight w:val="300"/>
        </w:trPr>
        <w:tc>
          <w:tcPr>
            <w:tcW w:w="2065" w:type="pct"/>
            <w:tcBorders>
              <w:top w:val="nil"/>
              <w:left w:val="nil"/>
              <w:bottom w:val="nil"/>
              <w:right w:val="nil"/>
            </w:tcBorders>
            <w:shd w:val="clear" w:color="auto" w:fill="auto"/>
            <w:noWrap/>
            <w:vAlign w:val="bottom"/>
            <w:hideMark/>
          </w:tcPr>
          <w:p w14:paraId="1F0450AF" w14:textId="77777777" w:rsidR="00DD531B" w:rsidRPr="00730A6E" w:rsidRDefault="00DD531B" w:rsidP="00DD531B">
            <w:pPr>
              <w:spacing w:after="0" w:line="240" w:lineRule="auto"/>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Príjmy kapitoly spolu</w:t>
            </w:r>
          </w:p>
        </w:tc>
        <w:tc>
          <w:tcPr>
            <w:tcW w:w="419" w:type="pct"/>
            <w:tcBorders>
              <w:top w:val="nil"/>
              <w:left w:val="nil"/>
              <w:bottom w:val="nil"/>
              <w:right w:val="nil"/>
            </w:tcBorders>
            <w:shd w:val="clear" w:color="auto" w:fill="auto"/>
            <w:noWrap/>
            <w:vAlign w:val="bottom"/>
            <w:hideMark/>
          </w:tcPr>
          <w:p w14:paraId="0397FCC1" w14:textId="77777777" w:rsidR="00DD531B" w:rsidRPr="00730A6E"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224</w:t>
            </w:r>
          </w:p>
        </w:tc>
        <w:tc>
          <w:tcPr>
            <w:tcW w:w="419" w:type="pct"/>
            <w:tcBorders>
              <w:top w:val="nil"/>
              <w:left w:val="nil"/>
              <w:bottom w:val="nil"/>
              <w:right w:val="nil"/>
            </w:tcBorders>
            <w:shd w:val="clear" w:color="auto" w:fill="auto"/>
            <w:noWrap/>
            <w:vAlign w:val="bottom"/>
            <w:hideMark/>
          </w:tcPr>
          <w:p w14:paraId="78C83969" w14:textId="77777777" w:rsidR="00DD531B" w:rsidRPr="00730A6E"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303</w:t>
            </w:r>
          </w:p>
        </w:tc>
        <w:tc>
          <w:tcPr>
            <w:tcW w:w="419" w:type="pct"/>
            <w:tcBorders>
              <w:top w:val="nil"/>
              <w:left w:val="nil"/>
              <w:bottom w:val="nil"/>
              <w:right w:val="nil"/>
            </w:tcBorders>
            <w:shd w:val="clear" w:color="auto" w:fill="auto"/>
            <w:noWrap/>
            <w:vAlign w:val="bottom"/>
            <w:hideMark/>
          </w:tcPr>
          <w:p w14:paraId="344F69AB" w14:textId="77777777" w:rsidR="00DD531B" w:rsidRPr="00730A6E"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300</w:t>
            </w:r>
          </w:p>
        </w:tc>
        <w:tc>
          <w:tcPr>
            <w:tcW w:w="419" w:type="pct"/>
            <w:tcBorders>
              <w:top w:val="nil"/>
              <w:left w:val="nil"/>
              <w:bottom w:val="nil"/>
              <w:right w:val="nil"/>
            </w:tcBorders>
            <w:shd w:val="clear" w:color="auto" w:fill="auto"/>
            <w:noWrap/>
            <w:vAlign w:val="bottom"/>
            <w:hideMark/>
          </w:tcPr>
          <w:p w14:paraId="6595925F" w14:textId="77777777" w:rsidR="00DD531B" w:rsidRPr="00730A6E"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385</w:t>
            </w:r>
          </w:p>
        </w:tc>
        <w:tc>
          <w:tcPr>
            <w:tcW w:w="419" w:type="pct"/>
            <w:tcBorders>
              <w:top w:val="nil"/>
              <w:left w:val="nil"/>
              <w:bottom w:val="nil"/>
              <w:right w:val="nil"/>
            </w:tcBorders>
            <w:shd w:val="clear" w:color="auto" w:fill="auto"/>
            <w:noWrap/>
            <w:vAlign w:val="bottom"/>
            <w:hideMark/>
          </w:tcPr>
          <w:p w14:paraId="361D2AC4" w14:textId="77777777" w:rsidR="00DD531B" w:rsidRPr="00730A6E"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300</w:t>
            </w:r>
          </w:p>
        </w:tc>
        <w:tc>
          <w:tcPr>
            <w:tcW w:w="419" w:type="pct"/>
            <w:tcBorders>
              <w:top w:val="nil"/>
              <w:left w:val="nil"/>
              <w:bottom w:val="nil"/>
              <w:right w:val="nil"/>
            </w:tcBorders>
            <w:shd w:val="clear" w:color="auto" w:fill="auto"/>
            <w:noWrap/>
            <w:vAlign w:val="bottom"/>
            <w:hideMark/>
          </w:tcPr>
          <w:p w14:paraId="17FE7C65" w14:textId="77777777" w:rsidR="00DD531B" w:rsidRPr="00730A6E"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300</w:t>
            </w:r>
          </w:p>
        </w:tc>
        <w:tc>
          <w:tcPr>
            <w:tcW w:w="419" w:type="pct"/>
            <w:tcBorders>
              <w:top w:val="nil"/>
              <w:left w:val="nil"/>
              <w:bottom w:val="nil"/>
              <w:right w:val="nil"/>
            </w:tcBorders>
            <w:shd w:val="clear" w:color="auto" w:fill="auto"/>
            <w:noWrap/>
            <w:vAlign w:val="bottom"/>
            <w:hideMark/>
          </w:tcPr>
          <w:p w14:paraId="18F6E458" w14:textId="77777777" w:rsidR="00DD531B" w:rsidRPr="00730A6E"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300</w:t>
            </w:r>
          </w:p>
        </w:tc>
      </w:tr>
      <w:tr w:rsidR="00DD531B" w:rsidRPr="00DD531B" w14:paraId="6D505AD8" w14:textId="77777777" w:rsidTr="001F24AE">
        <w:trPr>
          <w:trHeight w:val="300"/>
        </w:trPr>
        <w:tc>
          <w:tcPr>
            <w:tcW w:w="2065" w:type="pct"/>
            <w:tcBorders>
              <w:top w:val="nil"/>
              <w:left w:val="nil"/>
              <w:bottom w:val="single" w:sz="4" w:space="0" w:color="auto"/>
              <w:right w:val="nil"/>
            </w:tcBorders>
            <w:shd w:val="clear" w:color="auto" w:fill="auto"/>
            <w:noWrap/>
            <w:vAlign w:val="bottom"/>
            <w:hideMark/>
          </w:tcPr>
          <w:p w14:paraId="47B4DE77" w14:textId="77777777" w:rsidR="00DD531B" w:rsidRPr="00730A6E" w:rsidRDefault="00DD531B" w:rsidP="00DD531B">
            <w:pPr>
              <w:spacing w:after="0" w:line="240" w:lineRule="auto"/>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nedaňové príjmy</w:t>
            </w:r>
          </w:p>
        </w:tc>
        <w:tc>
          <w:tcPr>
            <w:tcW w:w="419" w:type="pct"/>
            <w:tcBorders>
              <w:top w:val="nil"/>
              <w:left w:val="nil"/>
              <w:bottom w:val="single" w:sz="4" w:space="0" w:color="auto"/>
              <w:right w:val="nil"/>
            </w:tcBorders>
            <w:shd w:val="clear" w:color="auto" w:fill="auto"/>
            <w:noWrap/>
            <w:vAlign w:val="bottom"/>
            <w:hideMark/>
          </w:tcPr>
          <w:p w14:paraId="00C75453"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224</w:t>
            </w:r>
          </w:p>
        </w:tc>
        <w:tc>
          <w:tcPr>
            <w:tcW w:w="419" w:type="pct"/>
            <w:tcBorders>
              <w:top w:val="nil"/>
              <w:left w:val="nil"/>
              <w:bottom w:val="single" w:sz="4" w:space="0" w:color="auto"/>
              <w:right w:val="nil"/>
            </w:tcBorders>
            <w:shd w:val="clear" w:color="auto" w:fill="auto"/>
            <w:noWrap/>
            <w:vAlign w:val="bottom"/>
            <w:hideMark/>
          </w:tcPr>
          <w:p w14:paraId="79FAA680"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303</w:t>
            </w:r>
          </w:p>
        </w:tc>
        <w:tc>
          <w:tcPr>
            <w:tcW w:w="419" w:type="pct"/>
            <w:tcBorders>
              <w:top w:val="nil"/>
              <w:left w:val="nil"/>
              <w:bottom w:val="single" w:sz="4" w:space="0" w:color="auto"/>
              <w:right w:val="nil"/>
            </w:tcBorders>
            <w:shd w:val="clear" w:color="auto" w:fill="auto"/>
            <w:noWrap/>
            <w:vAlign w:val="bottom"/>
            <w:hideMark/>
          </w:tcPr>
          <w:p w14:paraId="1FD27F1A"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300</w:t>
            </w:r>
          </w:p>
        </w:tc>
        <w:tc>
          <w:tcPr>
            <w:tcW w:w="419" w:type="pct"/>
            <w:tcBorders>
              <w:top w:val="nil"/>
              <w:left w:val="nil"/>
              <w:bottom w:val="single" w:sz="4" w:space="0" w:color="auto"/>
              <w:right w:val="nil"/>
            </w:tcBorders>
            <w:shd w:val="clear" w:color="auto" w:fill="auto"/>
            <w:noWrap/>
            <w:vAlign w:val="bottom"/>
            <w:hideMark/>
          </w:tcPr>
          <w:p w14:paraId="6962DE89"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385</w:t>
            </w:r>
          </w:p>
        </w:tc>
        <w:tc>
          <w:tcPr>
            <w:tcW w:w="419" w:type="pct"/>
            <w:tcBorders>
              <w:top w:val="nil"/>
              <w:left w:val="nil"/>
              <w:bottom w:val="single" w:sz="4" w:space="0" w:color="auto"/>
              <w:right w:val="nil"/>
            </w:tcBorders>
            <w:shd w:val="clear" w:color="auto" w:fill="auto"/>
            <w:noWrap/>
            <w:vAlign w:val="bottom"/>
            <w:hideMark/>
          </w:tcPr>
          <w:p w14:paraId="110022A9"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300</w:t>
            </w:r>
          </w:p>
        </w:tc>
        <w:tc>
          <w:tcPr>
            <w:tcW w:w="419" w:type="pct"/>
            <w:tcBorders>
              <w:top w:val="nil"/>
              <w:left w:val="nil"/>
              <w:bottom w:val="single" w:sz="4" w:space="0" w:color="auto"/>
              <w:right w:val="nil"/>
            </w:tcBorders>
            <w:shd w:val="clear" w:color="auto" w:fill="auto"/>
            <w:noWrap/>
            <w:vAlign w:val="bottom"/>
            <w:hideMark/>
          </w:tcPr>
          <w:p w14:paraId="4D3E6EA8"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300</w:t>
            </w:r>
          </w:p>
        </w:tc>
        <w:tc>
          <w:tcPr>
            <w:tcW w:w="419" w:type="pct"/>
            <w:tcBorders>
              <w:top w:val="nil"/>
              <w:left w:val="nil"/>
              <w:bottom w:val="single" w:sz="4" w:space="0" w:color="auto"/>
              <w:right w:val="nil"/>
            </w:tcBorders>
            <w:shd w:val="clear" w:color="auto" w:fill="auto"/>
            <w:noWrap/>
            <w:vAlign w:val="bottom"/>
            <w:hideMark/>
          </w:tcPr>
          <w:p w14:paraId="6F2804E3"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300</w:t>
            </w:r>
          </w:p>
        </w:tc>
      </w:tr>
    </w:tbl>
    <w:p w14:paraId="3EB9FD57" w14:textId="77777777" w:rsidR="00DD531B" w:rsidRPr="00DD531B" w:rsidRDefault="00DD531B" w:rsidP="00DD531B">
      <w:pPr>
        <w:rPr>
          <w:rFonts w:ascii="Times New Roman" w:eastAsia="Calibri" w:hAnsi="Times New Roman" w:cs="Times New Roman"/>
        </w:rPr>
      </w:pPr>
    </w:p>
    <w:p w14:paraId="0038C99A" w14:textId="2E4156C9" w:rsidR="00DD531B" w:rsidRPr="00DD531B" w:rsidRDefault="00730A6E" w:rsidP="00DD531B">
      <w:pPr>
        <w:keepNext/>
        <w:keepLines/>
        <w:spacing w:before="40" w:after="0"/>
        <w:outlineLvl w:val="3"/>
        <w:rPr>
          <w:rFonts w:ascii="Times New Roman" w:eastAsia="Times New Roman" w:hAnsi="Times New Roman" w:cs="Times New Roman"/>
          <w:b/>
          <w:iCs/>
          <w:color w:val="2E74B5"/>
          <w:sz w:val="20"/>
          <w:szCs w:val="20"/>
          <w:lang w:eastAsia="sk-SK"/>
        </w:rPr>
      </w:pPr>
      <w:bookmarkStart w:id="234" w:name="_Toc153013104"/>
      <w:r w:rsidRPr="00730A6E">
        <w:rPr>
          <w:rFonts w:ascii="Times New Roman" w:eastAsia="Times New Roman" w:hAnsi="Times New Roman" w:cs="Times New Roman"/>
          <w:b/>
          <w:iCs/>
          <w:color w:val="5B9BD5" w:themeColor="accent1"/>
          <w:sz w:val="20"/>
          <w:szCs w:val="20"/>
          <w:lang w:eastAsia="sk-SK"/>
        </w:rPr>
        <w:t xml:space="preserve">Tabuľka </w:t>
      </w:r>
      <w:r w:rsidRPr="00730A6E">
        <w:rPr>
          <w:rFonts w:ascii="Times New Roman" w:hAnsi="Times New Roman" w:cs="Times New Roman"/>
          <w:b/>
          <w:color w:val="5B9BD5" w:themeColor="accent1"/>
          <w:sz w:val="20"/>
          <w:szCs w:val="20"/>
        </w:rPr>
        <w:fldChar w:fldCharType="begin"/>
      </w:r>
      <w:r w:rsidRPr="00730A6E">
        <w:rPr>
          <w:rFonts w:ascii="Times New Roman" w:hAnsi="Times New Roman" w:cs="Times New Roman"/>
          <w:b/>
          <w:color w:val="5B9BD5" w:themeColor="accent1"/>
          <w:sz w:val="20"/>
          <w:szCs w:val="20"/>
        </w:rPr>
        <w:instrText xml:space="preserve"> SEQ Tabuľka \* ARABIC </w:instrText>
      </w:r>
      <w:r w:rsidRPr="00730A6E">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106</w:t>
      </w:r>
      <w:r w:rsidRPr="00730A6E">
        <w:rPr>
          <w:rFonts w:ascii="Times New Roman" w:hAnsi="Times New Roman" w:cs="Times New Roman"/>
          <w:b/>
          <w:color w:val="5B9BD5" w:themeColor="accent1"/>
          <w:sz w:val="20"/>
          <w:szCs w:val="20"/>
        </w:rPr>
        <w:fldChar w:fldCharType="end"/>
      </w:r>
      <w:r w:rsidRPr="00730A6E">
        <w:rPr>
          <w:rFonts w:ascii="Times New Roman" w:hAnsi="Times New Roman" w:cs="Times New Roman"/>
          <w:b/>
          <w:color w:val="5B9BD5" w:themeColor="accent1"/>
          <w:sz w:val="20"/>
          <w:szCs w:val="20"/>
        </w:rPr>
        <w:t xml:space="preserve"> - </w:t>
      </w:r>
      <w:r w:rsidR="00DD531B" w:rsidRPr="00730A6E">
        <w:rPr>
          <w:rFonts w:ascii="Times New Roman" w:eastAsia="Times New Roman" w:hAnsi="Times New Roman" w:cs="Times New Roman"/>
          <w:b/>
          <w:iCs/>
          <w:color w:val="5B9BD5" w:themeColor="accent1"/>
          <w:sz w:val="20"/>
          <w:szCs w:val="20"/>
          <w:lang w:eastAsia="sk-SK"/>
        </w:rPr>
        <w:t>Výdavky kapitoly ÚRSO SR</w:t>
      </w:r>
      <w:bookmarkEnd w:id="234"/>
    </w:p>
    <w:tbl>
      <w:tblPr>
        <w:tblW w:w="5000" w:type="pct"/>
        <w:tblCellMar>
          <w:left w:w="70" w:type="dxa"/>
          <w:right w:w="70" w:type="dxa"/>
        </w:tblCellMar>
        <w:tblLook w:val="04A0" w:firstRow="1" w:lastRow="0" w:firstColumn="1" w:lastColumn="0" w:noHBand="0" w:noVBand="1"/>
      </w:tblPr>
      <w:tblGrid>
        <w:gridCol w:w="3572"/>
        <w:gridCol w:w="785"/>
        <w:gridCol w:w="785"/>
        <w:gridCol w:w="786"/>
        <w:gridCol w:w="786"/>
        <w:gridCol w:w="786"/>
        <w:gridCol w:w="786"/>
        <w:gridCol w:w="786"/>
      </w:tblGrid>
      <w:tr w:rsidR="00DD531B" w:rsidRPr="00DD531B" w14:paraId="00939BEF" w14:textId="77777777" w:rsidTr="001F24AE">
        <w:trPr>
          <w:trHeight w:val="300"/>
        </w:trPr>
        <w:tc>
          <w:tcPr>
            <w:tcW w:w="1877" w:type="pct"/>
            <w:tcBorders>
              <w:top w:val="single" w:sz="4" w:space="0" w:color="auto"/>
              <w:left w:val="nil"/>
              <w:bottom w:val="single" w:sz="4" w:space="0" w:color="auto"/>
              <w:right w:val="nil"/>
            </w:tcBorders>
            <w:shd w:val="clear" w:color="auto" w:fill="auto"/>
            <w:noWrap/>
            <w:vAlign w:val="center"/>
            <w:hideMark/>
          </w:tcPr>
          <w:p w14:paraId="1D9AC801" w14:textId="77777777" w:rsidR="00DD531B" w:rsidRPr="00730A6E" w:rsidRDefault="00DD531B" w:rsidP="00DD531B">
            <w:pPr>
              <w:spacing w:after="0" w:line="240" w:lineRule="auto"/>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v tis. eur</w:t>
            </w:r>
          </w:p>
        </w:tc>
        <w:tc>
          <w:tcPr>
            <w:tcW w:w="446" w:type="pct"/>
            <w:tcBorders>
              <w:top w:val="single" w:sz="4" w:space="0" w:color="auto"/>
              <w:left w:val="nil"/>
              <w:bottom w:val="single" w:sz="4" w:space="0" w:color="auto"/>
              <w:right w:val="nil"/>
            </w:tcBorders>
            <w:shd w:val="clear" w:color="auto" w:fill="auto"/>
            <w:noWrap/>
            <w:vAlign w:val="center"/>
            <w:hideMark/>
          </w:tcPr>
          <w:p w14:paraId="55F78489"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2021 S</w:t>
            </w:r>
          </w:p>
        </w:tc>
        <w:tc>
          <w:tcPr>
            <w:tcW w:w="446" w:type="pct"/>
            <w:tcBorders>
              <w:top w:val="single" w:sz="4" w:space="0" w:color="auto"/>
              <w:left w:val="nil"/>
              <w:bottom w:val="single" w:sz="4" w:space="0" w:color="auto"/>
              <w:right w:val="nil"/>
            </w:tcBorders>
            <w:shd w:val="clear" w:color="auto" w:fill="auto"/>
            <w:noWrap/>
            <w:vAlign w:val="center"/>
            <w:hideMark/>
          </w:tcPr>
          <w:p w14:paraId="13A47083"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2022 S</w:t>
            </w:r>
          </w:p>
        </w:tc>
        <w:tc>
          <w:tcPr>
            <w:tcW w:w="446" w:type="pct"/>
            <w:tcBorders>
              <w:top w:val="single" w:sz="4" w:space="0" w:color="auto"/>
              <w:left w:val="nil"/>
              <w:bottom w:val="single" w:sz="4" w:space="0" w:color="auto"/>
              <w:right w:val="nil"/>
            </w:tcBorders>
            <w:shd w:val="clear" w:color="auto" w:fill="auto"/>
            <w:noWrap/>
            <w:vAlign w:val="center"/>
            <w:hideMark/>
          </w:tcPr>
          <w:p w14:paraId="267D04EB"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2023 R</w:t>
            </w:r>
          </w:p>
        </w:tc>
        <w:tc>
          <w:tcPr>
            <w:tcW w:w="446" w:type="pct"/>
            <w:tcBorders>
              <w:top w:val="single" w:sz="4" w:space="0" w:color="auto"/>
              <w:left w:val="nil"/>
              <w:bottom w:val="single" w:sz="4" w:space="0" w:color="auto"/>
              <w:right w:val="nil"/>
            </w:tcBorders>
            <w:shd w:val="clear" w:color="auto" w:fill="auto"/>
            <w:noWrap/>
            <w:vAlign w:val="center"/>
            <w:hideMark/>
          </w:tcPr>
          <w:p w14:paraId="25326F1C"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2023 OS</w:t>
            </w:r>
          </w:p>
        </w:tc>
        <w:tc>
          <w:tcPr>
            <w:tcW w:w="446" w:type="pct"/>
            <w:tcBorders>
              <w:top w:val="single" w:sz="4" w:space="0" w:color="auto"/>
              <w:left w:val="nil"/>
              <w:bottom w:val="single" w:sz="4" w:space="0" w:color="auto"/>
              <w:right w:val="nil"/>
            </w:tcBorders>
            <w:shd w:val="clear" w:color="auto" w:fill="auto"/>
            <w:noWrap/>
            <w:vAlign w:val="center"/>
            <w:hideMark/>
          </w:tcPr>
          <w:p w14:paraId="1ADD4071"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2024 N</w:t>
            </w:r>
          </w:p>
        </w:tc>
        <w:tc>
          <w:tcPr>
            <w:tcW w:w="446" w:type="pct"/>
            <w:tcBorders>
              <w:top w:val="single" w:sz="4" w:space="0" w:color="auto"/>
              <w:left w:val="nil"/>
              <w:bottom w:val="single" w:sz="4" w:space="0" w:color="auto"/>
              <w:right w:val="nil"/>
            </w:tcBorders>
            <w:shd w:val="clear" w:color="auto" w:fill="auto"/>
            <w:noWrap/>
            <w:vAlign w:val="center"/>
            <w:hideMark/>
          </w:tcPr>
          <w:p w14:paraId="34FDFC87"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2025 N</w:t>
            </w:r>
          </w:p>
        </w:tc>
        <w:tc>
          <w:tcPr>
            <w:tcW w:w="446" w:type="pct"/>
            <w:tcBorders>
              <w:top w:val="single" w:sz="4" w:space="0" w:color="auto"/>
              <w:left w:val="nil"/>
              <w:bottom w:val="single" w:sz="4" w:space="0" w:color="auto"/>
              <w:right w:val="nil"/>
            </w:tcBorders>
            <w:shd w:val="clear" w:color="auto" w:fill="auto"/>
            <w:noWrap/>
            <w:vAlign w:val="center"/>
            <w:hideMark/>
          </w:tcPr>
          <w:p w14:paraId="0ECD99D8"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2026 N</w:t>
            </w:r>
          </w:p>
        </w:tc>
      </w:tr>
      <w:tr w:rsidR="00DD531B" w:rsidRPr="00DD531B" w14:paraId="5D6CF696" w14:textId="77777777" w:rsidTr="001F24AE">
        <w:trPr>
          <w:trHeight w:val="300"/>
        </w:trPr>
        <w:tc>
          <w:tcPr>
            <w:tcW w:w="1877" w:type="pct"/>
            <w:tcBorders>
              <w:top w:val="nil"/>
              <w:left w:val="nil"/>
              <w:bottom w:val="nil"/>
              <w:right w:val="nil"/>
            </w:tcBorders>
            <w:shd w:val="clear" w:color="auto" w:fill="auto"/>
            <w:noWrap/>
            <w:vAlign w:val="center"/>
            <w:hideMark/>
          </w:tcPr>
          <w:p w14:paraId="39D1D699" w14:textId="77777777" w:rsidR="00DD531B" w:rsidRPr="00730A6E" w:rsidRDefault="00DD531B" w:rsidP="00DD531B">
            <w:pPr>
              <w:spacing w:after="0" w:line="240" w:lineRule="auto"/>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Výdavky kapitoly spolu</w:t>
            </w:r>
          </w:p>
        </w:tc>
        <w:tc>
          <w:tcPr>
            <w:tcW w:w="446" w:type="pct"/>
            <w:tcBorders>
              <w:top w:val="nil"/>
              <w:left w:val="nil"/>
              <w:bottom w:val="nil"/>
              <w:right w:val="nil"/>
            </w:tcBorders>
            <w:shd w:val="clear" w:color="auto" w:fill="auto"/>
            <w:noWrap/>
            <w:vAlign w:val="center"/>
            <w:hideMark/>
          </w:tcPr>
          <w:p w14:paraId="42227CF5"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4 579</w:t>
            </w:r>
          </w:p>
        </w:tc>
        <w:tc>
          <w:tcPr>
            <w:tcW w:w="446" w:type="pct"/>
            <w:tcBorders>
              <w:top w:val="nil"/>
              <w:left w:val="nil"/>
              <w:bottom w:val="nil"/>
              <w:right w:val="nil"/>
            </w:tcBorders>
            <w:shd w:val="clear" w:color="auto" w:fill="auto"/>
            <w:noWrap/>
            <w:vAlign w:val="center"/>
            <w:hideMark/>
          </w:tcPr>
          <w:p w14:paraId="40208BFC"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5 274</w:t>
            </w:r>
          </w:p>
        </w:tc>
        <w:tc>
          <w:tcPr>
            <w:tcW w:w="446" w:type="pct"/>
            <w:tcBorders>
              <w:top w:val="nil"/>
              <w:left w:val="nil"/>
              <w:bottom w:val="nil"/>
              <w:right w:val="nil"/>
            </w:tcBorders>
            <w:shd w:val="clear" w:color="auto" w:fill="auto"/>
            <w:noWrap/>
            <w:vAlign w:val="center"/>
            <w:hideMark/>
          </w:tcPr>
          <w:p w14:paraId="3BA7193D"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5 614</w:t>
            </w:r>
          </w:p>
        </w:tc>
        <w:tc>
          <w:tcPr>
            <w:tcW w:w="446" w:type="pct"/>
            <w:tcBorders>
              <w:top w:val="nil"/>
              <w:left w:val="nil"/>
              <w:bottom w:val="nil"/>
              <w:right w:val="nil"/>
            </w:tcBorders>
            <w:shd w:val="clear" w:color="auto" w:fill="auto"/>
            <w:noWrap/>
            <w:vAlign w:val="center"/>
            <w:hideMark/>
          </w:tcPr>
          <w:p w14:paraId="14801912"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5 672</w:t>
            </w:r>
          </w:p>
        </w:tc>
        <w:tc>
          <w:tcPr>
            <w:tcW w:w="446" w:type="pct"/>
            <w:tcBorders>
              <w:top w:val="nil"/>
              <w:left w:val="nil"/>
              <w:bottom w:val="nil"/>
              <w:right w:val="nil"/>
            </w:tcBorders>
            <w:shd w:val="clear" w:color="auto" w:fill="auto"/>
            <w:noWrap/>
            <w:vAlign w:val="center"/>
            <w:hideMark/>
          </w:tcPr>
          <w:p w14:paraId="114E8E33"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6 159</w:t>
            </w:r>
          </w:p>
        </w:tc>
        <w:tc>
          <w:tcPr>
            <w:tcW w:w="446" w:type="pct"/>
            <w:tcBorders>
              <w:top w:val="nil"/>
              <w:left w:val="nil"/>
              <w:bottom w:val="nil"/>
              <w:right w:val="nil"/>
            </w:tcBorders>
            <w:shd w:val="clear" w:color="auto" w:fill="auto"/>
            <w:noWrap/>
            <w:vAlign w:val="center"/>
            <w:hideMark/>
          </w:tcPr>
          <w:p w14:paraId="0DB1F905"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6 129</w:t>
            </w:r>
          </w:p>
        </w:tc>
        <w:tc>
          <w:tcPr>
            <w:tcW w:w="446" w:type="pct"/>
            <w:tcBorders>
              <w:top w:val="nil"/>
              <w:left w:val="nil"/>
              <w:bottom w:val="nil"/>
              <w:right w:val="nil"/>
            </w:tcBorders>
            <w:shd w:val="clear" w:color="auto" w:fill="auto"/>
            <w:noWrap/>
            <w:vAlign w:val="center"/>
            <w:hideMark/>
          </w:tcPr>
          <w:p w14:paraId="7FAAFB05"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6 118</w:t>
            </w:r>
          </w:p>
        </w:tc>
      </w:tr>
      <w:tr w:rsidR="00DD531B" w:rsidRPr="00DD531B" w14:paraId="45E8AE22" w14:textId="77777777" w:rsidTr="001F24AE">
        <w:trPr>
          <w:trHeight w:val="300"/>
        </w:trPr>
        <w:tc>
          <w:tcPr>
            <w:tcW w:w="1877" w:type="pct"/>
            <w:tcBorders>
              <w:top w:val="nil"/>
              <w:left w:val="nil"/>
              <w:bottom w:val="nil"/>
              <w:right w:val="nil"/>
            </w:tcBorders>
            <w:shd w:val="clear" w:color="auto" w:fill="auto"/>
            <w:noWrap/>
            <w:vAlign w:val="bottom"/>
            <w:hideMark/>
          </w:tcPr>
          <w:p w14:paraId="383CB76D" w14:textId="77777777" w:rsidR="00DD531B" w:rsidRPr="00730A6E" w:rsidRDefault="00DD531B" w:rsidP="00DD531B">
            <w:pPr>
              <w:spacing w:after="0" w:line="240" w:lineRule="auto"/>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rozpočtové zdroje kapitoly</w:t>
            </w:r>
          </w:p>
        </w:tc>
        <w:tc>
          <w:tcPr>
            <w:tcW w:w="446" w:type="pct"/>
            <w:tcBorders>
              <w:top w:val="nil"/>
              <w:left w:val="nil"/>
              <w:bottom w:val="nil"/>
              <w:right w:val="nil"/>
            </w:tcBorders>
            <w:shd w:val="clear" w:color="auto" w:fill="auto"/>
            <w:noWrap/>
            <w:vAlign w:val="bottom"/>
            <w:hideMark/>
          </w:tcPr>
          <w:p w14:paraId="0C55AFC3"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4 579</w:t>
            </w:r>
          </w:p>
        </w:tc>
        <w:tc>
          <w:tcPr>
            <w:tcW w:w="446" w:type="pct"/>
            <w:tcBorders>
              <w:top w:val="nil"/>
              <w:left w:val="nil"/>
              <w:bottom w:val="nil"/>
              <w:right w:val="nil"/>
            </w:tcBorders>
            <w:shd w:val="clear" w:color="auto" w:fill="auto"/>
            <w:noWrap/>
            <w:vAlign w:val="bottom"/>
            <w:hideMark/>
          </w:tcPr>
          <w:p w14:paraId="4E44732D"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5 264</w:t>
            </w:r>
          </w:p>
        </w:tc>
        <w:tc>
          <w:tcPr>
            <w:tcW w:w="446" w:type="pct"/>
            <w:tcBorders>
              <w:top w:val="nil"/>
              <w:left w:val="nil"/>
              <w:bottom w:val="nil"/>
              <w:right w:val="nil"/>
            </w:tcBorders>
            <w:shd w:val="clear" w:color="auto" w:fill="auto"/>
            <w:noWrap/>
            <w:vAlign w:val="bottom"/>
            <w:hideMark/>
          </w:tcPr>
          <w:p w14:paraId="33036D0D"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5 614</w:t>
            </w:r>
          </w:p>
        </w:tc>
        <w:tc>
          <w:tcPr>
            <w:tcW w:w="446" w:type="pct"/>
            <w:tcBorders>
              <w:top w:val="nil"/>
              <w:left w:val="nil"/>
              <w:bottom w:val="nil"/>
              <w:right w:val="nil"/>
            </w:tcBorders>
            <w:shd w:val="clear" w:color="auto" w:fill="auto"/>
            <w:noWrap/>
            <w:vAlign w:val="bottom"/>
            <w:hideMark/>
          </w:tcPr>
          <w:p w14:paraId="257B4E30"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5 654</w:t>
            </w:r>
          </w:p>
        </w:tc>
        <w:tc>
          <w:tcPr>
            <w:tcW w:w="446" w:type="pct"/>
            <w:tcBorders>
              <w:top w:val="nil"/>
              <w:left w:val="nil"/>
              <w:bottom w:val="nil"/>
              <w:right w:val="nil"/>
            </w:tcBorders>
            <w:shd w:val="clear" w:color="auto" w:fill="auto"/>
            <w:noWrap/>
            <w:vAlign w:val="bottom"/>
            <w:hideMark/>
          </w:tcPr>
          <w:p w14:paraId="06733F56"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6 159</w:t>
            </w:r>
          </w:p>
        </w:tc>
        <w:tc>
          <w:tcPr>
            <w:tcW w:w="446" w:type="pct"/>
            <w:tcBorders>
              <w:top w:val="nil"/>
              <w:left w:val="nil"/>
              <w:bottom w:val="nil"/>
              <w:right w:val="nil"/>
            </w:tcBorders>
            <w:shd w:val="clear" w:color="auto" w:fill="auto"/>
            <w:noWrap/>
            <w:vAlign w:val="bottom"/>
            <w:hideMark/>
          </w:tcPr>
          <w:p w14:paraId="0E518D0E"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6 129</w:t>
            </w:r>
          </w:p>
        </w:tc>
        <w:tc>
          <w:tcPr>
            <w:tcW w:w="446" w:type="pct"/>
            <w:tcBorders>
              <w:top w:val="nil"/>
              <w:left w:val="nil"/>
              <w:bottom w:val="nil"/>
              <w:right w:val="nil"/>
            </w:tcBorders>
            <w:shd w:val="clear" w:color="auto" w:fill="auto"/>
            <w:noWrap/>
            <w:vAlign w:val="bottom"/>
            <w:hideMark/>
          </w:tcPr>
          <w:p w14:paraId="699CF826"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6 118</w:t>
            </w:r>
          </w:p>
        </w:tc>
      </w:tr>
      <w:tr w:rsidR="00DD531B" w:rsidRPr="00DD531B" w14:paraId="0EEB06CE" w14:textId="77777777" w:rsidTr="001F24AE">
        <w:trPr>
          <w:trHeight w:val="300"/>
        </w:trPr>
        <w:tc>
          <w:tcPr>
            <w:tcW w:w="1877" w:type="pct"/>
            <w:tcBorders>
              <w:top w:val="nil"/>
              <w:left w:val="nil"/>
              <w:bottom w:val="nil"/>
              <w:right w:val="nil"/>
            </w:tcBorders>
            <w:shd w:val="clear" w:color="auto" w:fill="auto"/>
            <w:noWrap/>
            <w:vAlign w:val="bottom"/>
            <w:hideMark/>
          </w:tcPr>
          <w:p w14:paraId="0A6D3083" w14:textId="77777777" w:rsidR="00DD531B" w:rsidRPr="00730A6E" w:rsidRDefault="00DD531B" w:rsidP="00DD531B">
            <w:pPr>
              <w:spacing w:after="0" w:line="240" w:lineRule="auto"/>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bežné výdavky  600, v tom:</w:t>
            </w:r>
          </w:p>
        </w:tc>
        <w:tc>
          <w:tcPr>
            <w:tcW w:w="446" w:type="pct"/>
            <w:tcBorders>
              <w:top w:val="nil"/>
              <w:left w:val="nil"/>
              <w:bottom w:val="nil"/>
              <w:right w:val="nil"/>
            </w:tcBorders>
            <w:shd w:val="clear" w:color="auto" w:fill="auto"/>
            <w:noWrap/>
            <w:vAlign w:val="bottom"/>
            <w:hideMark/>
          </w:tcPr>
          <w:p w14:paraId="19EAC31F"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4 560</w:t>
            </w:r>
          </w:p>
        </w:tc>
        <w:tc>
          <w:tcPr>
            <w:tcW w:w="446" w:type="pct"/>
            <w:tcBorders>
              <w:top w:val="nil"/>
              <w:left w:val="nil"/>
              <w:bottom w:val="nil"/>
              <w:right w:val="nil"/>
            </w:tcBorders>
            <w:shd w:val="clear" w:color="auto" w:fill="auto"/>
            <w:noWrap/>
            <w:vAlign w:val="bottom"/>
            <w:hideMark/>
          </w:tcPr>
          <w:p w14:paraId="5E4C3235"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5 264</w:t>
            </w:r>
          </w:p>
        </w:tc>
        <w:tc>
          <w:tcPr>
            <w:tcW w:w="446" w:type="pct"/>
            <w:tcBorders>
              <w:top w:val="nil"/>
              <w:left w:val="nil"/>
              <w:bottom w:val="nil"/>
              <w:right w:val="nil"/>
            </w:tcBorders>
            <w:shd w:val="clear" w:color="auto" w:fill="auto"/>
            <w:noWrap/>
            <w:vAlign w:val="bottom"/>
            <w:hideMark/>
          </w:tcPr>
          <w:p w14:paraId="2C2F1311"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5 586</w:t>
            </w:r>
          </w:p>
        </w:tc>
        <w:tc>
          <w:tcPr>
            <w:tcW w:w="446" w:type="pct"/>
            <w:tcBorders>
              <w:top w:val="nil"/>
              <w:left w:val="nil"/>
              <w:bottom w:val="nil"/>
              <w:right w:val="nil"/>
            </w:tcBorders>
            <w:shd w:val="clear" w:color="auto" w:fill="auto"/>
            <w:noWrap/>
            <w:vAlign w:val="bottom"/>
            <w:hideMark/>
          </w:tcPr>
          <w:p w14:paraId="24FB37AA"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5 643</w:t>
            </w:r>
          </w:p>
        </w:tc>
        <w:tc>
          <w:tcPr>
            <w:tcW w:w="446" w:type="pct"/>
            <w:tcBorders>
              <w:top w:val="nil"/>
              <w:left w:val="nil"/>
              <w:bottom w:val="nil"/>
              <w:right w:val="nil"/>
            </w:tcBorders>
            <w:shd w:val="clear" w:color="auto" w:fill="auto"/>
            <w:noWrap/>
            <w:vAlign w:val="bottom"/>
            <w:hideMark/>
          </w:tcPr>
          <w:p w14:paraId="549328FB"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6 124</w:t>
            </w:r>
          </w:p>
        </w:tc>
        <w:tc>
          <w:tcPr>
            <w:tcW w:w="446" w:type="pct"/>
            <w:tcBorders>
              <w:top w:val="nil"/>
              <w:left w:val="nil"/>
              <w:bottom w:val="nil"/>
              <w:right w:val="nil"/>
            </w:tcBorders>
            <w:shd w:val="clear" w:color="auto" w:fill="auto"/>
            <w:noWrap/>
            <w:vAlign w:val="bottom"/>
            <w:hideMark/>
          </w:tcPr>
          <w:p w14:paraId="2C98162D"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6 061</w:t>
            </w:r>
          </w:p>
        </w:tc>
        <w:tc>
          <w:tcPr>
            <w:tcW w:w="446" w:type="pct"/>
            <w:tcBorders>
              <w:top w:val="nil"/>
              <w:left w:val="nil"/>
              <w:bottom w:val="nil"/>
              <w:right w:val="nil"/>
            </w:tcBorders>
            <w:shd w:val="clear" w:color="auto" w:fill="auto"/>
            <w:noWrap/>
            <w:vAlign w:val="bottom"/>
            <w:hideMark/>
          </w:tcPr>
          <w:p w14:paraId="619792E3"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6 062</w:t>
            </w:r>
          </w:p>
        </w:tc>
      </w:tr>
      <w:tr w:rsidR="00DD531B" w:rsidRPr="00DD531B" w14:paraId="070C2842" w14:textId="77777777" w:rsidTr="001F24AE">
        <w:trPr>
          <w:trHeight w:val="300"/>
        </w:trPr>
        <w:tc>
          <w:tcPr>
            <w:tcW w:w="1877" w:type="pct"/>
            <w:tcBorders>
              <w:top w:val="nil"/>
              <w:left w:val="nil"/>
              <w:bottom w:val="nil"/>
              <w:right w:val="nil"/>
            </w:tcBorders>
            <w:shd w:val="clear" w:color="auto" w:fill="auto"/>
            <w:noWrap/>
            <w:vAlign w:val="bottom"/>
            <w:hideMark/>
          </w:tcPr>
          <w:p w14:paraId="6970B55F" w14:textId="77777777" w:rsidR="00DD531B" w:rsidRPr="00730A6E" w:rsidRDefault="00DD531B" w:rsidP="00DD531B">
            <w:pPr>
              <w:spacing w:after="0" w:line="240" w:lineRule="auto"/>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610 mzdy</w:t>
            </w:r>
          </w:p>
        </w:tc>
        <w:tc>
          <w:tcPr>
            <w:tcW w:w="446" w:type="pct"/>
            <w:tcBorders>
              <w:top w:val="nil"/>
              <w:left w:val="nil"/>
              <w:bottom w:val="nil"/>
              <w:right w:val="nil"/>
            </w:tcBorders>
            <w:shd w:val="clear" w:color="auto" w:fill="auto"/>
            <w:noWrap/>
            <w:vAlign w:val="bottom"/>
            <w:hideMark/>
          </w:tcPr>
          <w:p w14:paraId="23EAE19E"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2 595</w:t>
            </w:r>
          </w:p>
        </w:tc>
        <w:tc>
          <w:tcPr>
            <w:tcW w:w="446" w:type="pct"/>
            <w:tcBorders>
              <w:top w:val="nil"/>
              <w:left w:val="nil"/>
              <w:bottom w:val="nil"/>
              <w:right w:val="nil"/>
            </w:tcBorders>
            <w:shd w:val="clear" w:color="auto" w:fill="auto"/>
            <w:noWrap/>
            <w:vAlign w:val="bottom"/>
            <w:hideMark/>
          </w:tcPr>
          <w:p w14:paraId="04DE37A7"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2 695</w:t>
            </w:r>
          </w:p>
        </w:tc>
        <w:tc>
          <w:tcPr>
            <w:tcW w:w="446" w:type="pct"/>
            <w:tcBorders>
              <w:top w:val="nil"/>
              <w:left w:val="nil"/>
              <w:bottom w:val="nil"/>
              <w:right w:val="nil"/>
            </w:tcBorders>
            <w:shd w:val="clear" w:color="auto" w:fill="auto"/>
            <w:noWrap/>
            <w:vAlign w:val="bottom"/>
            <w:hideMark/>
          </w:tcPr>
          <w:p w14:paraId="5C09BF8F"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2 810</w:t>
            </w:r>
          </w:p>
        </w:tc>
        <w:tc>
          <w:tcPr>
            <w:tcW w:w="446" w:type="pct"/>
            <w:tcBorders>
              <w:top w:val="nil"/>
              <w:left w:val="nil"/>
              <w:bottom w:val="nil"/>
              <w:right w:val="nil"/>
            </w:tcBorders>
            <w:shd w:val="clear" w:color="auto" w:fill="auto"/>
            <w:noWrap/>
            <w:vAlign w:val="bottom"/>
            <w:hideMark/>
          </w:tcPr>
          <w:p w14:paraId="7D06AC22"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2 810</w:t>
            </w:r>
          </w:p>
        </w:tc>
        <w:tc>
          <w:tcPr>
            <w:tcW w:w="446" w:type="pct"/>
            <w:tcBorders>
              <w:top w:val="nil"/>
              <w:left w:val="nil"/>
              <w:bottom w:val="nil"/>
              <w:right w:val="nil"/>
            </w:tcBorders>
            <w:shd w:val="clear" w:color="auto" w:fill="auto"/>
            <w:noWrap/>
            <w:vAlign w:val="bottom"/>
            <w:hideMark/>
          </w:tcPr>
          <w:p w14:paraId="040696BB"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3 095</w:t>
            </w:r>
          </w:p>
        </w:tc>
        <w:tc>
          <w:tcPr>
            <w:tcW w:w="446" w:type="pct"/>
            <w:tcBorders>
              <w:top w:val="nil"/>
              <w:left w:val="nil"/>
              <w:bottom w:val="nil"/>
              <w:right w:val="nil"/>
            </w:tcBorders>
            <w:shd w:val="clear" w:color="auto" w:fill="auto"/>
            <w:noWrap/>
            <w:vAlign w:val="bottom"/>
            <w:hideMark/>
          </w:tcPr>
          <w:p w14:paraId="0BD13983"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3 095</w:t>
            </w:r>
          </w:p>
        </w:tc>
        <w:tc>
          <w:tcPr>
            <w:tcW w:w="446" w:type="pct"/>
            <w:tcBorders>
              <w:top w:val="nil"/>
              <w:left w:val="nil"/>
              <w:bottom w:val="nil"/>
              <w:right w:val="nil"/>
            </w:tcBorders>
            <w:shd w:val="clear" w:color="auto" w:fill="auto"/>
            <w:noWrap/>
            <w:vAlign w:val="bottom"/>
            <w:hideMark/>
          </w:tcPr>
          <w:p w14:paraId="74980531"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3 096</w:t>
            </w:r>
          </w:p>
        </w:tc>
      </w:tr>
      <w:tr w:rsidR="00DD531B" w:rsidRPr="00DD531B" w14:paraId="45F8DB35" w14:textId="77777777" w:rsidTr="001F24AE">
        <w:trPr>
          <w:trHeight w:val="300"/>
        </w:trPr>
        <w:tc>
          <w:tcPr>
            <w:tcW w:w="1877" w:type="pct"/>
            <w:tcBorders>
              <w:top w:val="nil"/>
              <w:left w:val="nil"/>
              <w:bottom w:val="nil"/>
              <w:right w:val="nil"/>
            </w:tcBorders>
            <w:shd w:val="clear" w:color="auto" w:fill="auto"/>
            <w:noWrap/>
            <w:vAlign w:val="bottom"/>
            <w:hideMark/>
          </w:tcPr>
          <w:p w14:paraId="78711E66" w14:textId="77777777" w:rsidR="00DD531B" w:rsidRPr="00730A6E" w:rsidRDefault="00DD531B" w:rsidP="00DD531B">
            <w:pPr>
              <w:spacing w:after="0" w:line="240" w:lineRule="auto"/>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620 odvody</w:t>
            </w:r>
          </w:p>
        </w:tc>
        <w:tc>
          <w:tcPr>
            <w:tcW w:w="446" w:type="pct"/>
            <w:tcBorders>
              <w:top w:val="nil"/>
              <w:left w:val="nil"/>
              <w:bottom w:val="nil"/>
              <w:right w:val="nil"/>
            </w:tcBorders>
            <w:shd w:val="clear" w:color="auto" w:fill="auto"/>
            <w:noWrap/>
            <w:vAlign w:val="bottom"/>
            <w:hideMark/>
          </w:tcPr>
          <w:p w14:paraId="26A838A0"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1 077</w:t>
            </w:r>
          </w:p>
        </w:tc>
        <w:tc>
          <w:tcPr>
            <w:tcW w:w="446" w:type="pct"/>
            <w:tcBorders>
              <w:top w:val="nil"/>
              <w:left w:val="nil"/>
              <w:bottom w:val="nil"/>
              <w:right w:val="nil"/>
            </w:tcBorders>
            <w:shd w:val="clear" w:color="auto" w:fill="auto"/>
            <w:noWrap/>
            <w:vAlign w:val="bottom"/>
            <w:hideMark/>
          </w:tcPr>
          <w:p w14:paraId="1E91187C"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1 132</w:t>
            </w:r>
          </w:p>
        </w:tc>
        <w:tc>
          <w:tcPr>
            <w:tcW w:w="446" w:type="pct"/>
            <w:tcBorders>
              <w:top w:val="nil"/>
              <w:left w:val="nil"/>
              <w:bottom w:val="nil"/>
              <w:right w:val="nil"/>
            </w:tcBorders>
            <w:shd w:val="clear" w:color="auto" w:fill="auto"/>
            <w:noWrap/>
            <w:vAlign w:val="bottom"/>
            <w:hideMark/>
          </w:tcPr>
          <w:p w14:paraId="3F651607"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1 124</w:t>
            </w:r>
          </w:p>
        </w:tc>
        <w:tc>
          <w:tcPr>
            <w:tcW w:w="446" w:type="pct"/>
            <w:tcBorders>
              <w:top w:val="nil"/>
              <w:left w:val="nil"/>
              <w:bottom w:val="nil"/>
              <w:right w:val="nil"/>
            </w:tcBorders>
            <w:shd w:val="clear" w:color="auto" w:fill="auto"/>
            <w:noWrap/>
            <w:vAlign w:val="bottom"/>
            <w:hideMark/>
          </w:tcPr>
          <w:p w14:paraId="240AE13D"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1 124</w:t>
            </w:r>
          </w:p>
        </w:tc>
        <w:tc>
          <w:tcPr>
            <w:tcW w:w="446" w:type="pct"/>
            <w:tcBorders>
              <w:top w:val="nil"/>
              <w:left w:val="nil"/>
              <w:bottom w:val="nil"/>
              <w:right w:val="nil"/>
            </w:tcBorders>
            <w:shd w:val="clear" w:color="auto" w:fill="auto"/>
            <w:noWrap/>
            <w:vAlign w:val="bottom"/>
            <w:hideMark/>
          </w:tcPr>
          <w:p w14:paraId="506F9AB4"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1 254</w:t>
            </w:r>
          </w:p>
        </w:tc>
        <w:tc>
          <w:tcPr>
            <w:tcW w:w="446" w:type="pct"/>
            <w:tcBorders>
              <w:top w:val="nil"/>
              <w:left w:val="nil"/>
              <w:bottom w:val="nil"/>
              <w:right w:val="nil"/>
            </w:tcBorders>
            <w:shd w:val="clear" w:color="auto" w:fill="auto"/>
            <w:noWrap/>
            <w:vAlign w:val="bottom"/>
            <w:hideMark/>
          </w:tcPr>
          <w:p w14:paraId="648ED869"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1 255</w:t>
            </w:r>
          </w:p>
        </w:tc>
        <w:tc>
          <w:tcPr>
            <w:tcW w:w="446" w:type="pct"/>
            <w:tcBorders>
              <w:top w:val="nil"/>
              <w:left w:val="nil"/>
              <w:bottom w:val="nil"/>
              <w:right w:val="nil"/>
            </w:tcBorders>
            <w:shd w:val="clear" w:color="auto" w:fill="auto"/>
            <w:noWrap/>
            <w:vAlign w:val="bottom"/>
            <w:hideMark/>
          </w:tcPr>
          <w:p w14:paraId="571118FF"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1 255</w:t>
            </w:r>
          </w:p>
        </w:tc>
      </w:tr>
      <w:tr w:rsidR="00DD531B" w:rsidRPr="00DD531B" w14:paraId="32191767" w14:textId="77777777" w:rsidTr="001F24AE">
        <w:trPr>
          <w:trHeight w:val="300"/>
        </w:trPr>
        <w:tc>
          <w:tcPr>
            <w:tcW w:w="1877" w:type="pct"/>
            <w:tcBorders>
              <w:top w:val="nil"/>
              <w:left w:val="nil"/>
              <w:bottom w:val="nil"/>
              <w:right w:val="nil"/>
            </w:tcBorders>
            <w:shd w:val="clear" w:color="auto" w:fill="auto"/>
            <w:noWrap/>
            <w:vAlign w:val="bottom"/>
            <w:hideMark/>
          </w:tcPr>
          <w:p w14:paraId="76FE61A8" w14:textId="77777777" w:rsidR="00DD531B" w:rsidRPr="00730A6E" w:rsidRDefault="00DD531B" w:rsidP="00DD531B">
            <w:pPr>
              <w:spacing w:after="0" w:line="240" w:lineRule="auto"/>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630 tovary a služby</w:t>
            </w:r>
          </w:p>
        </w:tc>
        <w:tc>
          <w:tcPr>
            <w:tcW w:w="446" w:type="pct"/>
            <w:tcBorders>
              <w:top w:val="nil"/>
              <w:left w:val="nil"/>
              <w:bottom w:val="nil"/>
              <w:right w:val="nil"/>
            </w:tcBorders>
            <w:shd w:val="clear" w:color="auto" w:fill="auto"/>
            <w:noWrap/>
            <w:vAlign w:val="bottom"/>
            <w:hideMark/>
          </w:tcPr>
          <w:p w14:paraId="17F56F55"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778</w:t>
            </w:r>
          </w:p>
        </w:tc>
        <w:tc>
          <w:tcPr>
            <w:tcW w:w="446" w:type="pct"/>
            <w:tcBorders>
              <w:top w:val="nil"/>
              <w:left w:val="nil"/>
              <w:bottom w:val="nil"/>
              <w:right w:val="nil"/>
            </w:tcBorders>
            <w:shd w:val="clear" w:color="auto" w:fill="auto"/>
            <w:noWrap/>
            <w:vAlign w:val="bottom"/>
            <w:hideMark/>
          </w:tcPr>
          <w:p w14:paraId="3DBCC8C0"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1 314</w:t>
            </w:r>
          </w:p>
        </w:tc>
        <w:tc>
          <w:tcPr>
            <w:tcW w:w="446" w:type="pct"/>
            <w:tcBorders>
              <w:top w:val="nil"/>
              <w:left w:val="nil"/>
              <w:bottom w:val="nil"/>
              <w:right w:val="nil"/>
            </w:tcBorders>
            <w:shd w:val="clear" w:color="auto" w:fill="auto"/>
            <w:noWrap/>
            <w:vAlign w:val="bottom"/>
            <w:hideMark/>
          </w:tcPr>
          <w:p w14:paraId="0E6E426C"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1 480</w:t>
            </w:r>
          </w:p>
        </w:tc>
        <w:tc>
          <w:tcPr>
            <w:tcW w:w="446" w:type="pct"/>
            <w:tcBorders>
              <w:top w:val="nil"/>
              <w:left w:val="nil"/>
              <w:bottom w:val="nil"/>
              <w:right w:val="nil"/>
            </w:tcBorders>
            <w:shd w:val="clear" w:color="auto" w:fill="auto"/>
            <w:noWrap/>
            <w:vAlign w:val="bottom"/>
            <w:hideMark/>
          </w:tcPr>
          <w:p w14:paraId="36F6E674"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1 537</w:t>
            </w:r>
          </w:p>
        </w:tc>
        <w:tc>
          <w:tcPr>
            <w:tcW w:w="446" w:type="pct"/>
            <w:tcBorders>
              <w:top w:val="nil"/>
              <w:left w:val="nil"/>
              <w:bottom w:val="nil"/>
              <w:right w:val="nil"/>
            </w:tcBorders>
            <w:shd w:val="clear" w:color="auto" w:fill="auto"/>
            <w:noWrap/>
            <w:vAlign w:val="bottom"/>
            <w:hideMark/>
          </w:tcPr>
          <w:p w14:paraId="38F3B2FA"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1 604</w:t>
            </w:r>
          </w:p>
        </w:tc>
        <w:tc>
          <w:tcPr>
            <w:tcW w:w="446" w:type="pct"/>
            <w:tcBorders>
              <w:top w:val="nil"/>
              <w:left w:val="nil"/>
              <w:bottom w:val="nil"/>
              <w:right w:val="nil"/>
            </w:tcBorders>
            <w:shd w:val="clear" w:color="auto" w:fill="auto"/>
            <w:noWrap/>
            <w:vAlign w:val="bottom"/>
            <w:hideMark/>
          </w:tcPr>
          <w:p w14:paraId="7825FB8E"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1 540</w:t>
            </w:r>
          </w:p>
        </w:tc>
        <w:tc>
          <w:tcPr>
            <w:tcW w:w="446" w:type="pct"/>
            <w:tcBorders>
              <w:top w:val="nil"/>
              <w:left w:val="nil"/>
              <w:bottom w:val="nil"/>
              <w:right w:val="nil"/>
            </w:tcBorders>
            <w:shd w:val="clear" w:color="auto" w:fill="auto"/>
            <w:noWrap/>
            <w:vAlign w:val="bottom"/>
            <w:hideMark/>
          </w:tcPr>
          <w:p w14:paraId="64307583"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1 540</w:t>
            </w:r>
          </w:p>
        </w:tc>
      </w:tr>
      <w:tr w:rsidR="00DD531B" w:rsidRPr="00DD531B" w14:paraId="171D11F1" w14:textId="77777777" w:rsidTr="001F24AE">
        <w:trPr>
          <w:trHeight w:val="300"/>
        </w:trPr>
        <w:tc>
          <w:tcPr>
            <w:tcW w:w="1877" w:type="pct"/>
            <w:tcBorders>
              <w:top w:val="nil"/>
              <w:left w:val="nil"/>
              <w:bottom w:val="nil"/>
              <w:right w:val="nil"/>
            </w:tcBorders>
            <w:shd w:val="clear" w:color="auto" w:fill="auto"/>
            <w:noWrap/>
            <w:vAlign w:val="bottom"/>
            <w:hideMark/>
          </w:tcPr>
          <w:p w14:paraId="07A3AB14" w14:textId="77777777" w:rsidR="00DD531B" w:rsidRPr="00730A6E" w:rsidRDefault="00DD531B" w:rsidP="00DD531B">
            <w:pPr>
              <w:spacing w:after="0" w:line="240" w:lineRule="auto"/>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640 bežné transfery</w:t>
            </w:r>
          </w:p>
        </w:tc>
        <w:tc>
          <w:tcPr>
            <w:tcW w:w="446" w:type="pct"/>
            <w:tcBorders>
              <w:top w:val="nil"/>
              <w:left w:val="nil"/>
              <w:bottom w:val="nil"/>
              <w:right w:val="nil"/>
            </w:tcBorders>
            <w:shd w:val="clear" w:color="auto" w:fill="auto"/>
            <w:noWrap/>
            <w:vAlign w:val="bottom"/>
            <w:hideMark/>
          </w:tcPr>
          <w:p w14:paraId="2CE6DDE2"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111</w:t>
            </w:r>
          </w:p>
        </w:tc>
        <w:tc>
          <w:tcPr>
            <w:tcW w:w="446" w:type="pct"/>
            <w:tcBorders>
              <w:top w:val="nil"/>
              <w:left w:val="nil"/>
              <w:bottom w:val="nil"/>
              <w:right w:val="nil"/>
            </w:tcBorders>
            <w:shd w:val="clear" w:color="auto" w:fill="auto"/>
            <w:noWrap/>
            <w:vAlign w:val="bottom"/>
            <w:hideMark/>
          </w:tcPr>
          <w:p w14:paraId="2FDAE2BF"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123</w:t>
            </w:r>
          </w:p>
        </w:tc>
        <w:tc>
          <w:tcPr>
            <w:tcW w:w="446" w:type="pct"/>
            <w:tcBorders>
              <w:top w:val="nil"/>
              <w:left w:val="nil"/>
              <w:bottom w:val="nil"/>
              <w:right w:val="nil"/>
            </w:tcBorders>
            <w:shd w:val="clear" w:color="auto" w:fill="auto"/>
            <w:noWrap/>
            <w:vAlign w:val="bottom"/>
            <w:hideMark/>
          </w:tcPr>
          <w:p w14:paraId="7B398356"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172</w:t>
            </w:r>
          </w:p>
        </w:tc>
        <w:tc>
          <w:tcPr>
            <w:tcW w:w="446" w:type="pct"/>
            <w:tcBorders>
              <w:top w:val="nil"/>
              <w:left w:val="nil"/>
              <w:bottom w:val="nil"/>
              <w:right w:val="nil"/>
            </w:tcBorders>
            <w:shd w:val="clear" w:color="auto" w:fill="auto"/>
            <w:noWrap/>
            <w:vAlign w:val="bottom"/>
            <w:hideMark/>
          </w:tcPr>
          <w:p w14:paraId="68708528"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172</w:t>
            </w:r>
          </w:p>
        </w:tc>
        <w:tc>
          <w:tcPr>
            <w:tcW w:w="446" w:type="pct"/>
            <w:tcBorders>
              <w:top w:val="nil"/>
              <w:left w:val="nil"/>
              <w:bottom w:val="nil"/>
              <w:right w:val="nil"/>
            </w:tcBorders>
            <w:shd w:val="clear" w:color="auto" w:fill="auto"/>
            <w:noWrap/>
            <w:vAlign w:val="bottom"/>
            <w:hideMark/>
          </w:tcPr>
          <w:p w14:paraId="3FB146BE"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171</w:t>
            </w:r>
          </w:p>
        </w:tc>
        <w:tc>
          <w:tcPr>
            <w:tcW w:w="446" w:type="pct"/>
            <w:tcBorders>
              <w:top w:val="nil"/>
              <w:left w:val="nil"/>
              <w:bottom w:val="nil"/>
              <w:right w:val="nil"/>
            </w:tcBorders>
            <w:shd w:val="clear" w:color="auto" w:fill="auto"/>
            <w:noWrap/>
            <w:vAlign w:val="bottom"/>
            <w:hideMark/>
          </w:tcPr>
          <w:p w14:paraId="0EF3C07E"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171</w:t>
            </w:r>
          </w:p>
        </w:tc>
        <w:tc>
          <w:tcPr>
            <w:tcW w:w="446" w:type="pct"/>
            <w:tcBorders>
              <w:top w:val="nil"/>
              <w:left w:val="nil"/>
              <w:bottom w:val="nil"/>
              <w:right w:val="nil"/>
            </w:tcBorders>
            <w:shd w:val="clear" w:color="auto" w:fill="auto"/>
            <w:noWrap/>
            <w:vAlign w:val="bottom"/>
            <w:hideMark/>
          </w:tcPr>
          <w:p w14:paraId="382C509B"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171</w:t>
            </w:r>
          </w:p>
        </w:tc>
      </w:tr>
      <w:tr w:rsidR="00DD531B" w:rsidRPr="00DD531B" w14:paraId="5B4E73B4" w14:textId="77777777" w:rsidTr="001F24AE">
        <w:trPr>
          <w:trHeight w:val="300"/>
        </w:trPr>
        <w:tc>
          <w:tcPr>
            <w:tcW w:w="1877" w:type="pct"/>
            <w:tcBorders>
              <w:top w:val="nil"/>
              <w:left w:val="nil"/>
              <w:bottom w:val="nil"/>
              <w:right w:val="nil"/>
            </w:tcBorders>
            <w:shd w:val="clear" w:color="auto" w:fill="auto"/>
            <w:noWrap/>
            <w:vAlign w:val="bottom"/>
            <w:hideMark/>
          </w:tcPr>
          <w:p w14:paraId="514616E7" w14:textId="77777777" w:rsidR="00DD531B" w:rsidRPr="00730A6E" w:rsidRDefault="00DD531B" w:rsidP="00DD531B">
            <w:pPr>
              <w:spacing w:after="0" w:line="240" w:lineRule="auto"/>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kapitálové výdavky 700</w:t>
            </w:r>
          </w:p>
        </w:tc>
        <w:tc>
          <w:tcPr>
            <w:tcW w:w="446" w:type="pct"/>
            <w:tcBorders>
              <w:top w:val="nil"/>
              <w:left w:val="nil"/>
              <w:bottom w:val="nil"/>
              <w:right w:val="nil"/>
            </w:tcBorders>
            <w:shd w:val="clear" w:color="auto" w:fill="auto"/>
            <w:noWrap/>
            <w:vAlign w:val="bottom"/>
            <w:hideMark/>
          </w:tcPr>
          <w:p w14:paraId="08E97948"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19</w:t>
            </w:r>
          </w:p>
        </w:tc>
        <w:tc>
          <w:tcPr>
            <w:tcW w:w="446" w:type="pct"/>
            <w:tcBorders>
              <w:top w:val="nil"/>
              <w:left w:val="nil"/>
              <w:bottom w:val="nil"/>
              <w:right w:val="nil"/>
            </w:tcBorders>
            <w:shd w:val="clear" w:color="auto" w:fill="auto"/>
            <w:noWrap/>
            <w:vAlign w:val="bottom"/>
            <w:hideMark/>
          </w:tcPr>
          <w:p w14:paraId="7FDE7F11"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15BDAD0F"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29</w:t>
            </w:r>
          </w:p>
        </w:tc>
        <w:tc>
          <w:tcPr>
            <w:tcW w:w="446" w:type="pct"/>
            <w:tcBorders>
              <w:top w:val="nil"/>
              <w:left w:val="nil"/>
              <w:bottom w:val="nil"/>
              <w:right w:val="nil"/>
            </w:tcBorders>
            <w:shd w:val="clear" w:color="auto" w:fill="auto"/>
            <w:noWrap/>
            <w:vAlign w:val="bottom"/>
            <w:hideMark/>
          </w:tcPr>
          <w:p w14:paraId="28A4D1EC"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10</w:t>
            </w:r>
          </w:p>
        </w:tc>
        <w:tc>
          <w:tcPr>
            <w:tcW w:w="446" w:type="pct"/>
            <w:tcBorders>
              <w:top w:val="nil"/>
              <w:left w:val="nil"/>
              <w:bottom w:val="nil"/>
              <w:right w:val="nil"/>
            </w:tcBorders>
            <w:shd w:val="clear" w:color="auto" w:fill="auto"/>
            <w:noWrap/>
            <w:vAlign w:val="bottom"/>
            <w:hideMark/>
          </w:tcPr>
          <w:p w14:paraId="56160A6C"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36</w:t>
            </w:r>
          </w:p>
        </w:tc>
        <w:tc>
          <w:tcPr>
            <w:tcW w:w="446" w:type="pct"/>
            <w:tcBorders>
              <w:top w:val="nil"/>
              <w:left w:val="nil"/>
              <w:bottom w:val="nil"/>
              <w:right w:val="nil"/>
            </w:tcBorders>
            <w:shd w:val="clear" w:color="auto" w:fill="auto"/>
            <w:noWrap/>
            <w:vAlign w:val="bottom"/>
            <w:hideMark/>
          </w:tcPr>
          <w:p w14:paraId="269ABA36"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68</w:t>
            </w:r>
          </w:p>
        </w:tc>
        <w:tc>
          <w:tcPr>
            <w:tcW w:w="446" w:type="pct"/>
            <w:tcBorders>
              <w:top w:val="nil"/>
              <w:left w:val="nil"/>
              <w:bottom w:val="nil"/>
              <w:right w:val="nil"/>
            </w:tcBorders>
            <w:shd w:val="clear" w:color="auto" w:fill="auto"/>
            <w:noWrap/>
            <w:vAlign w:val="bottom"/>
            <w:hideMark/>
          </w:tcPr>
          <w:p w14:paraId="18E66F74"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57</w:t>
            </w:r>
          </w:p>
        </w:tc>
      </w:tr>
      <w:tr w:rsidR="00DD531B" w:rsidRPr="00DD531B" w14:paraId="07830420" w14:textId="77777777" w:rsidTr="001F24AE">
        <w:trPr>
          <w:trHeight w:val="300"/>
        </w:trPr>
        <w:tc>
          <w:tcPr>
            <w:tcW w:w="1877" w:type="pct"/>
            <w:tcBorders>
              <w:top w:val="nil"/>
              <w:left w:val="nil"/>
              <w:bottom w:val="nil"/>
              <w:right w:val="nil"/>
            </w:tcBorders>
            <w:shd w:val="clear" w:color="auto" w:fill="auto"/>
            <w:noWrap/>
            <w:vAlign w:val="bottom"/>
            <w:hideMark/>
          </w:tcPr>
          <w:p w14:paraId="6BB9B3ED" w14:textId="77777777" w:rsidR="00DD531B" w:rsidRPr="00730A6E" w:rsidRDefault="00DD531B" w:rsidP="00DD531B">
            <w:pPr>
              <w:spacing w:after="0" w:line="240" w:lineRule="auto"/>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zdroj EÚ vrátane spolufinancovania zo ŠR, v tom:</w:t>
            </w:r>
          </w:p>
        </w:tc>
        <w:tc>
          <w:tcPr>
            <w:tcW w:w="446" w:type="pct"/>
            <w:tcBorders>
              <w:top w:val="nil"/>
              <w:left w:val="nil"/>
              <w:bottom w:val="nil"/>
              <w:right w:val="nil"/>
            </w:tcBorders>
            <w:shd w:val="clear" w:color="auto" w:fill="auto"/>
            <w:noWrap/>
            <w:vAlign w:val="bottom"/>
            <w:hideMark/>
          </w:tcPr>
          <w:p w14:paraId="4E388EBF"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c>
          <w:tcPr>
            <w:tcW w:w="446" w:type="pct"/>
            <w:tcBorders>
              <w:top w:val="nil"/>
              <w:left w:val="nil"/>
              <w:bottom w:val="nil"/>
              <w:right w:val="nil"/>
            </w:tcBorders>
            <w:shd w:val="clear" w:color="auto" w:fill="auto"/>
            <w:noWrap/>
            <w:vAlign w:val="bottom"/>
            <w:hideMark/>
          </w:tcPr>
          <w:p w14:paraId="6AC914C5"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11</w:t>
            </w:r>
          </w:p>
        </w:tc>
        <w:tc>
          <w:tcPr>
            <w:tcW w:w="446" w:type="pct"/>
            <w:tcBorders>
              <w:top w:val="nil"/>
              <w:left w:val="nil"/>
              <w:bottom w:val="nil"/>
              <w:right w:val="nil"/>
            </w:tcBorders>
            <w:shd w:val="clear" w:color="auto" w:fill="auto"/>
            <w:noWrap/>
            <w:vAlign w:val="bottom"/>
            <w:hideMark/>
          </w:tcPr>
          <w:p w14:paraId="3F2EAC2C"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c>
          <w:tcPr>
            <w:tcW w:w="446" w:type="pct"/>
            <w:tcBorders>
              <w:top w:val="nil"/>
              <w:left w:val="nil"/>
              <w:bottom w:val="nil"/>
              <w:right w:val="nil"/>
            </w:tcBorders>
            <w:shd w:val="clear" w:color="auto" w:fill="auto"/>
            <w:noWrap/>
            <w:vAlign w:val="bottom"/>
            <w:hideMark/>
          </w:tcPr>
          <w:p w14:paraId="7C8FEF52"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18</w:t>
            </w:r>
          </w:p>
        </w:tc>
        <w:tc>
          <w:tcPr>
            <w:tcW w:w="446" w:type="pct"/>
            <w:tcBorders>
              <w:top w:val="nil"/>
              <w:left w:val="nil"/>
              <w:bottom w:val="nil"/>
              <w:right w:val="nil"/>
            </w:tcBorders>
            <w:shd w:val="clear" w:color="auto" w:fill="auto"/>
            <w:noWrap/>
            <w:vAlign w:val="bottom"/>
            <w:hideMark/>
          </w:tcPr>
          <w:p w14:paraId="38DD06BD"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c>
          <w:tcPr>
            <w:tcW w:w="446" w:type="pct"/>
            <w:tcBorders>
              <w:top w:val="nil"/>
              <w:left w:val="nil"/>
              <w:bottom w:val="nil"/>
              <w:right w:val="nil"/>
            </w:tcBorders>
            <w:shd w:val="clear" w:color="auto" w:fill="auto"/>
            <w:noWrap/>
            <w:vAlign w:val="bottom"/>
            <w:hideMark/>
          </w:tcPr>
          <w:p w14:paraId="12585482"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c>
          <w:tcPr>
            <w:tcW w:w="446" w:type="pct"/>
            <w:tcBorders>
              <w:top w:val="nil"/>
              <w:left w:val="nil"/>
              <w:bottom w:val="nil"/>
              <w:right w:val="nil"/>
            </w:tcBorders>
            <w:shd w:val="clear" w:color="auto" w:fill="auto"/>
            <w:noWrap/>
            <w:vAlign w:val="bottom"/>
            <w:hideMark/>
          </w:tcPr>
          <w:p w14:paraId="61AEBC84" w14:textId="77777777" w:rsidR="00DD531B" w:rsidRPr="00730A6E" w:rsidRDefault="00DD531B" w:rsidP="00DD531B">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0</w:t>
            </w:r>
          </w:p>
        </w:tc>
      </w:tr>
      <w:tr w:rsidR="00DD531B" w:rsidRPr="00DD531B" w14:paraId="1711FE79" w14:textId="77777777" w:rsidTr="001F24AE">
        <w:trPr>
          <w:trHeight w:val="300"/>
        </w:trPr>
        <w:tc>
          <w:tcPr>
            <w:tcW w:w="1877" w:type="pct"/>
            <w:tcBorders>
              <w:top w:val="nil"/>
              <w:left w:val="nil"/>
              <w:bottom w:val="nil"/>
              <w:right w:val="nil"/>
            </w:tcBorders>
            <w:shd w:val="clear" w:color="auto" w:fill="auto"/>
            <w:noWrap/>
            <w:vAlign w:val="bottom"/>
            <w:hideMark/>
          </w:tcPr>
          <w:p w14:paraId="4841EFE1" w14:textId="77777777" w:rsidR="00DD531B" w:rsidRPr="00730A6E" w:rsidRDefault="00DD531B" w:rsidP="00DD531B">
            <w:pPr>
              <w:spacing w:after="0" w:line="240" w:lineRule="auto"/>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prostriedky EÚ</w:t>
            </w:r>
          </w:p>
        </w:tc>
        <w:tc>
          <w:tcPr>
            <w:tcW w:w="446" w:type="pct"/>
            <w:tcBorders>
              <w:top w:val="nil"/>
              <w:left w:val="nil"/>
              <w:bottom w:val="nil"/>
              <w:right w:val="nil"/>
            </w:tcBorders>
            <w:shd w:val="clear" w:color="auto" w:fill="auto"/>
            <w:noWrap/>
            <w:vAlign w:val="bottom"/>
            <w:hideMark/>
          </w:tcPr>
          <w:p w14:paraId="249C63AE"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1EA8D4FE"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8</w:t>
            </w:r>
          </w:p>
        </w:tc>
        <w:tc>
          <w:tcPr>
            <w:tcW w:w="446" w:type="pct"/>
            <w:tcBorders>
              <w:top w:val="nil"/>
              <w:left w:val="nil"/>
              <w:bottom w:val="nil"/>
              <w:right w:val="nil"/>
            </w:tcBorders>
            <w:shd w:val="clear" w:color="auto" w:fill="auto"/>
            <w:noWrap/>
            <w:vAlign w:val="bottom"/>
            <w:hideMark/>
          </w:tcPr>
          <w:p w14:paraId="4DFFD263"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6A37100E"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13</w:t>
            </w:r>
          </w:p>
        </w:tc>
        <w:tc>
          <w:tcPr>
            <w:tcW w:w="446" w:type="pct"/>
            <w:tcBorders>
              <w:top w:val="nil"/>
              <w:left w:val="nil"/>
              <w:bottom w:val="nil"/>
              <w:right w:val="nil"/>
            </w:tcBorders>
            <w:shd w:val="clear" w:color="auto" w:fill="auto"/>
            <w:noWrap/>
            <w:vAlign w:val="bottom"/>
            <w:hideMark/>
          </w:tcPr>
          <w:p w14:paraId="5D6FDF19"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27CE9F25"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446" w:type="pct"/>
            <w:tcBorders>
              <w:top w:val="nil"/>
              <w:left w:val="nil"/>
              <w:bottom w:val="nil"/>
              <w:right w:val="nil"/>
            </w:tcBorders>
            <w:shd w:val="clear" w:color="auto" w:fill="auto"/>
            <w:noWrap/>
            <w:vAlign w:val="bottom"/>
            <w:hideMark/>
          </w:tcPr>
          <w:p w14:paraId="3CBC18D9"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r>
      <w:tr w:rsidR="00DD531B" w:rsidRPr="00DD531B" w14:paraId="7464FA41" w14:textId="77777777" w:rsidTr="001F24AE">
        <w:trPr>
          <w:trHeight w:val="300"/>
        </w:trPr>
        <w:tc>
          <w:tcPr>
            <w:tcW w:w="1877" w:type="pct"/>
            <w:tcBorders>
              <w:top w:val="nil"/>
              <w:left w:val="nil"/>
              <w:bottom w:val="single" w:sz="4" w:space="0" w:color="auto"/>
              <w:right w:val="nil"/>
            </w:tcBorders>
            <w:shd w:val="clear" w:color="auto" w:fill="auto"/>
            <w:noWrap/>
            <w:vAlign w:val="bottom"/>
            <w:hideMark/>
          </w:tcPr>
          <w:p w14:paraId="285C1FEE" w14:textId="77777777" w:rsidR="00DD531B" w:rsidRPr="00730A6E" w:rsidRDefault="00DD531B" w:rsidP="00DD531B">
            <w:pPr>
              <w:spacing w:after="0" w:line="240" w:lineRule="auto"/>
              <w:rPr>
                <w:rFonts w:ascii="Times New Roman" w:eastAsia="Times New Roman" w:hAnsi="Times New Roman" w:cs="Times New Roman"/>
                <w:color w:val="000000"/>
                <w:sz w:val="16"/>
                <w:szCs w:val="16"/>
                <w:lang w:eastAsia="sk-SK"/>
              </w:rPr>
            </w:pPr>
            <w:r w:rsidRPr="00730A6E">
              <w:rPr>
                <w:rFonts w:ascii="Times New Roman" w:eastAsia="Times New Roman" w:hAnsi="Times New Roman" w:cs="Times New Roman"/>
                <w:color w:val="000000"/>
                <w:sz w:val="16"/>
                <w:szCs w:val="16"/>
                <w:lang w:eastAsia="sk-SK"/>
              </w:rPr>
              <w:t>spolufinancovanie zo ŠR</w:t>
            </w:r>
          </w:p>
        </w:tc>
        <w:tc>
          <w:tcPr>
            <w:tcW w:w="446" w:type="pct"/>
            <w:tcBorders>
              <w:top w:val="nil"/>
              <w:left w:val="nil"/>
              <w:bottom w:val="single" w:sz="4" w:space="0" w:color="auto"/>
              <w:right w:val="nil"/>
            </w:tcBorders>
            <w:shd w:val="clear" w:color="auto" w:fill="auto"/>
            <w:noWrap/>
            <w:vAlign w:val="bottom"/>
            <w:hideMark/>
          </w:tcPr>
          <w:p w14:paraId="7141BB3C"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446" w:type="pct"/>
            <w:tcBorders>
              <w:top w:val="nil"/>
              <w:left w:val="nil"/>
              <w:bottom w:val="single" w:sz="4" w:space="0" w:color="auto"/>
              <w:right w:val="nil"/>
            </w:tcBorders>
            <w:shd w:val="clear" w:color="auto" w:fill="auto"/>
            <w:noWrap/>
            <w:vAlign w:val="bottom"/>
            <w:hideMark/>
          </w:tcPr>
          <w:p w14:paraId="01B8DB78"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3</w:t>
            </w:r>
          </w:p>
        </w:tc>
        <w:tc>
          <w:tcPr>
            <w:tcW w:w="446" w:type="pct"/>
            <w:tcBorders>
              <w:top w:val="nil"/>
              <w:left w:val="nil"/>
              <w:bottom w:val="single" w:sz="4" w:space="0" w:color="auto"/>
              <w:right w:val="nil"/>
            </w:tcBorders>
            <w:shd w:val="clear" w:color="auto" w:fill="auto"/>
            <w:noWrap/>
            <w:vAlign w:val="bottom"/>
            <w:hideMark/>
          </w:tcPr>
          <w:p w14:paraId="2BC84903"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446" w:type="pct"/>
            <w:tcBorders>
              <w:top w:val="nil"/>
              <w:left w:val="nil"/>
              <w:bottom w:val="single" w:sz="4" w:space="0" w:color="auto"/>
              <w:right w:val="nil"/>
            </w:tcBorders>
            <w:shd w:val="clear" w:color="auto" w:fill="auto"/>
            <w:noWrap/>
            <w:vAlign w:val="bottom"/>
            <w:hideMark/>
          </w:tcPr>
          <w:p w14:paraId="3DA5B755"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4</w:t>
            </w:r>
          </w:p>
        </w:tc>
        <w:tc>
          <w:tcPr>
            <w:tcW w:w="446" w:type="pct"/>
            <w:tcBorders>
              <w:top w:val="nil"/>
              <w:left w:val="nil"/>
              <w:bottom w:val="single" w:sz="4" w:space="0" w:color="auto"/>
              <w:right w:val="nil"/>
            </w:tcBorders>
            <w:shd w:val="clear" w:color="auto" w:fill="auto"/>
            <w:noWrap/>
            <w:vAlign w:val="bottom"/>
            <w:hideMark/>
          </w:tcPr>
          <w:p w14:paraId="19770E0D"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446" w:type="pct"/>
            <w:tcBorders>
              <w:top w:val="nil"/>
              <w:left w:val="nil"/>
              <w:bottom w:val="single" w:sz="4" w:space="0" w:color="auto"/>
              <w:right w:val="nil"/>
            </w:tcBorders>
            <w:shd w:val="clear" w:color="auto" w:fill="auto"/>
            <w:noWrap/>
            <w:vAlign w:val="bottom"/>
            <w:hideMark/>
          </w:tcPr>
          <w:p w14:paraId="0762B7DB"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c>
          <w:tcPr>
            <w:tcW w:w="446" w:type="pct"/>
            <w:tcBorders>
              <w:top w:val="nil"/>
              <w:left w:val="nil"/>
              <w:bottom w:val="single" w:sz="4" w:space="0" w:color="auto"/>
              <w:right w:val="nil"/>
            </w:tcBorders>
            <w:shd w:val="clear" w:color="auto" w:fill="auto"/>
            <w:noWrap/>
            <w:vAlign w:val="bottom"/>
            <w:hideMark/>
          </w:tcPr>
          <w:p w14:paraId="713409B3"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0</w:t>
            </w:r>
          </w:p>
        </w:tc>
      </w:tr>
    </w:tbl>
    <w:p w14:paraId="60E194E9" w14:textId="77777777" w:rsidR="00DD531B" w:rsidRPr="00DD531B" w:rsidRDefault="00DD531B" w:rsidP="00DD531B">
      <w:pPr>
        <w:rPr>
          <w:rFonts w:ascii="Times New Roman" w:eastAsia="Calibri" w:hAnsi="Times New Roman" w:cs="Times New Roman"/>
        </w:rPr>
      </w:pPr>
    </w:p>
    <w:p w14:paraId="491A8DE1" w14:textId="7D6EF7C2" w:rsidR="00DD531B" w:rsidRPr="00730A6E" w:rsidRDefault="00DD531B" w:rsidP="00DD531B">
      <w:pPr>
        <w:keepNext/>
        <w:keepLines/>
        <w:spacing w:before="40" w:after="0"/>
        <w:outlineLvl w:val="1"/>
        <w:rPr>
          <w:rFonts w:ascii="Times New Roman" w:eastAsia="Times New Roman" w:hAnsi="Times New Roman" w:cs="Times New Roman"/>
          <w:b/>
          <w:color w:val="5B9BD5" w:themeColor="accent1"/>
          <w:sz w:val="24"/>
          <w:szCs w:val="24"/>
        </w:rPr>
      </w:pPr>
      <w:r w:rsidRPr="00730A6E">
        <w:rPr>
          <w:rFonts w:ascii="Times New Roman" w:eastAsia="Times New Roman" w:hAnsi="Times New Roman" w:cs="Times New Roman"/>
          <w:b/>
          <w:color w:val="5B9BD5" w:themeColor="accent1"/>
          <w:sz w:val="24"/>
          <w:szCs w:val="24"/>
        </w:rPr>
        <w:t>Úrad jadrového dozoru SR</w:t>
      </w:r>
    </w:p>
    <w:p w14:paraId="1AC1C569" w14:textId="77777777" w:rsidR="00DD531B" w:rsidRPr="00730A6E" w:rsidRDefault="00DD531B" w:rsidP="00DD531B">
      <w:pPr>
        <w:rPr>
          <w:rFonts w:ascii="Times New Roman" w:eastAsia="Calibri" w:hAnsi="Times New Roman" w:cs="Times New Roman"/>
          <w:color w:val="5B9BD5" w:themeColor="accent1"/>
        </w:rPr>
      </w:pPr>
    </w:p>
    <w:p w14:paraId="16BF0A5D" w14:textId="05FF1823" w:rsidR="00DD531B" w:rsidRPr="00730A6E" w:rsidRDefault="00730A6E"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35" w:name="_Toc153013105"/>
      <w:r>
        <w:rPr>
          <w:rFonts w:ascii="Times New Roman" w:eastAsia="Times New Roman" w:hAnsi="Times New Roman" w:cs="Times New Roman"/>
          <w:b/>
          <w:iCs/>
          <w:color w:val="5B9BD5" w:themeColor="accent1"/>
          <w:sz w:val="20"/>
          <w:szCs w:val="20"/>
          <w:lang w:eastAsia="sk-SK"/>
        </w:rPr>
        <w:t xml:space="preserve">Tabuľka </w:t>
      </w:r>
      <w:r w:rsidRPr="005F5DA3">
        <w:rPr>
          <w:rFonts w:ascii="Times New Roman" w:hAnsi="Times New Roman" w:cs="Times New Roman"/>
          <w:b/>
          <w:color w:val="5B9BD5" w:themeColor="accent1"/>
          <w:sz w:val="20"/>
          <w:szCs w:val="20"/>
        </w:rPr>
        <w:fldChar w:fldCharType="begin"/>
      </w:r>
      <w:r w:rsidRPr="005F5DA3">
        <w:rPr>
          <w:rFonts w:ascii="Times New Roman" w:hAnsi="Times New Roman" w:cs="Times New Roman"/>
          <w:b/>
          <w:color w:val="5B9BD5" w:themeColor="accent1"/>
          <w:sz w:val="20"/>
          <w:szCs w:val="20"/>
        </w:rPr>
        <w:instrText xml:space="preserve"> SEQ Tabuľka \* ARABIC </w:instrText>
      </w:r>
      <w:r w:rsidRPr="005F5DA3">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107</w:t>
      </w:r>
      <w:r w:rsidRPr="005F5DA3">
        <w:rPr>
          <w:rFonts w:ascii="Times New Roman" w:hAnsi="Times New Roman" w:cs="Times New Roman"/>
          <w:b/>
          <w:color w:val="5B9BD5" w:themeColor="accent1"/>
          <w:sz w:val="20"/>
          <w:szCs w:val="20"/>
        </w:rPr>
        <w:fldChar w:fldCharType="end"/>
      </w:r>
      <w:r>
        <w:rPr>
          <w:rFonts w:ascii="Times New Roman" w:hAnsi="Times New Roman" w:cs="Times New Roman"/>
          <w:b/>
          <w:color w:val="5B9BD5" w:themeColor="accent1"/>
          <w:sz w:val="20"/>
          <w:szCs w:val="20"/>
        </w:rPr>
        <w:t xml:space="preserve"> - </w:t>
      </w:r>
      <w:r w:rsidR="00DD531B" w:rsidRPr="00730A6E">
        <w:rPr>
          <w:rFonts w:ascii="Times New Roman" w:eastAsia="Times New Roman" w:hAnsi="Times New Roman" w:cs="Times New Roman"/>
          <w:b/>
          <w:iCs/>
          <w:color w:val="5B9BD5" w:themeColor="accent1"/>
          <w:sz w:val="20"/>
          <w:szCs w:val="20"/>
          <w:lang w:eastAsia="sk-SK"/>
        </w:rPr>
        <w:t>Príjmy kapitoly ÚJD SR</w:t>
      </w:r>
      <w:bookmarkEnd w:id="235"/>
    </w:p>
    <w:tbl>
      <w:tblPr>
        <w:tblW w:w="5000" w:type="pct"/>
        <w:tblCellMar>
          <w:left w:w="70" w:type="dxa"/>
          <w:right w:w="70" w:type="dxa"/>
        </w:tblCellMar>
        <w:tblLook w:val="04A0" w:firstRow="1" w:lastRow="0" w:firstColumn="1" w:lastColumn="0" w:noHBand="0" w:noVBand="1"/>
      </w:tblPr>
      <w:tblGrid>
        <w:gridCol w:w="4263"/>
        <w:gridCol w:w="654"/>
        <w:gridCol w:w="653"/>
        <w:gridCol w:w="675"/>
        <w:gridCol w:w="802"/>
        <w:gridCol w:w="675"/>
        <w:gridCol w:w="675"/>
        <w:gridCol w:w="675"/>
      </w:tblGrid>
      <w:tr w:rsidR="00DD531B" w:rsidRPr="00730A6E" w14:paraId="4C72E01E" w14:textId="77777777" w:rsidTr="001F24AE">
        <w:trPr>
          <w:trHeight w:val="300"/>
        </w:trPr>
        <w:tc>
          <w:tcPr>
            <w:tcW w:w="2349" w:type="pct"/>
            <w:tcBorders>
              <w:top w:val="single" w:sz="4" w:space="0" w:color="auto"/>
              <w:left w:val="nil"/>
              <w:bottom w:val="single" w:sz="4" w:space="0" w:color="auto"/>
              <w:right w:val="nil"/>
            </w:tcBorders>
            <w:shd w:val="clear" w:color="auto" w:fill="auto"/>
            <w:noWrap/>
            <w:vAlign w:val="center"/>
            <w:hideMark/>
          </w:tcPr>
          <w:p w14:paraId="39FD549F" w14:textId="77777777" w:rsidR="00DD531B" w:rsidRPr="00730A6E" w:rsidRDefault="00DD531B" w:rsidP="00DD531B">
            <w:pPr>
              <w:spacing w:after="0" w:line="240" w:lineRule="auto"/>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v tis. eur</w:t>
            </w:r>
          </w:p>
        </w:tc>
        <w:tc>
          <w:tcPr>
            <w:tcW w:w="360" w:type="pct"/>
            <w:tcBorders>
              <w:top w:val="single" w:sz="4" w:space="0" w:color="auto"/>
              <w:left w:val="nil"/>
              <w:bottom w:val="single" w:sz="4" w:space="0" w:color="auto"/>
              <w:right w:val="nil"/>
            </w:tcBorders>
            <w:shd w:val="clear" w:color="auto" w:fill="auto"/>
            <w:noWrap/>
            <w:vAlign w:val="center"/>
            <w:hideMark/>
          </w:tcPr>
          <w:p w14:paraId="46A43280"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2021 S</w:t>
            </w:r>
          </w:p>
        </w:tc>
        <w:tc>
          <w:tcPr>
            <w:tcW w:w="360" w:type="pct"/>
            <w:tcBorders>
              <w:top w:val="single" w:sz="4" w:space="0" w:color="auto"/>
              <w:left w:val="nil"/>
              <w:bottom w:val="single" w:sz="4" w:space="0" w:color="auto"/>
              <w:right w:val="nil"/>
            </w:tcBorders>
            <w:shd w:val="clear" w:color="auto" w:fill="auto"/>
            <w:noWrap/>
            <w:vAlign w:val="center"/>
            <w:hideMark/>
          </w:tcPr>
          <w:p w14:paraId="24323111"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2022 S</w:t>
            </w:r>
          </w:p>
        </w:tc>
        <w:tc>
          <w:tcPr>
            <w:tcW w:w="372" w:type="pct"/>
            <w:tcBorders>
              <w:top w:val="single" w:sz="4" w:space="0" w:color="auto"/>
              <w:left w:val="nil"/>
              <w:bottom w:val="single" w:sz="4" w:space="0" w:color="auto"/>
              <w:right w:val="nil"/>
            </w:tcBorders>
            <w:shd w:val="clear" w:color="auto" w:fill="auto"/>
            <w:noWrap/>
            <w:vAlign w:val="center"/>
            <w:hideMark/>
          </w:tcPr>
          <w:p w14:paraId="3491277A"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2023 R</w:t>
            </w:r>
          </w:p>
        </w:tc>
        <w:tc>
          <w:tcPr>
            <w:tcW w:w="442" w:type="pct"/>
            <w:tcBorders>
              <w:top w:val="single" w:sz="4" w:space="0" w:color="auto"/>
              <w:left w:val="nil"/>
              <w:bottom w:val="single" w:sz="4" w:space="0" w:color="auto"/>
              <w:right w:val="nil"/>
            </w:tcBorders>
            <w:shd w:val="clear" w:color="auto" w:fill="auto"/>
            <w:noWrap/>
            <w:vAlign w:val="center"/>
            <w:hideMark/>
          </w:tcPr>
          <w:p w14:paraId="3FA4460B"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2023 OS</w:t>
            </w:r>
          </w:p>
        </w:tc>
        <w:tc>
          <w:tcPr>
            <w:tcW w:w="372" w:type="pct"/>
            <w:tcBorders>
              <w:top w:val="single" w:sz="4" w:space="0" w:color="auto"/>
              <w:left w:val="nil"/>
              <w:bottom w:val="single" w:sz="4" w:space="0" w:color="auto"/>
              <w:right w:val="nil"/>
            </w:tcBorders>
            <w:shd w:val="clear" w:color="auto" w:fill="auto"/>
            <w:noWrap/>
            <w:vAlign w:val="center"/>
            <w:hideMark/>
          </w:tcPr>
          <w:p w14:paraId="1C1FDBDB"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2024 N</w:t>
            </w:r>
          </w:p>
        </w:tc>
        <w:tc>
          <w:tcPr>
            <w:tcW w:w="372" w:type="pct"/>
            <w:tcBorders>
              <w:top w:val="single" w:sz="4" w:space="0" w:color="auto"/>
              <w:left w:val="nil"/>
              <w:bottom w:val="single" w:sz="4" w:space="0" w:color="auto"/>
              <w:right w:val="nil"/>
            </w:tcBorders>
            <w:shd w:val="clear" w:color="auto" w:fill="auto"/>
            <w:noWrap/>
            <w:vAlign w:val="center"/>
            <w:hideMark/>
          </w:tcPr>
          <w:p w14:paraId="0D421B75"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2025 N</w:t>
            </w:r>
          </w:p>
        </w:tc>
        <w:tc>
          <w:tcPr>
            <w:tcW w:w="372" w:type="pct"/>
            <w:tcBorders>
              <w:top w:val="single" w:sz="4" w:space="0" w:color="auto"/>
              <w:left w:val="nil"/>
              <w:bottom w:val="single" w:sz="4" w:space="0" w:color="auto"/>
              <w:right w:val="nil"/>
            </w:tcBorders>
            <w:shd w:val="clear" w:color="auto" w:fill="auto"/>
            <w:noWrap/>
            <w:vAlign w:val="center"/>
            <w:hideMark/>
          </w:tcPr>
          <w:p w14:paraId="3C240223" w14:textId="77777777" w:rsidR="00DD531B" w:rsidRPr="00730A6E" w:rsidRDefault="00DD531B" w:rsidP="00730A6E">
            <w:pPr>
              <w:spacing w:after="0" w:line="240" w:lineRule="auto"/>
              <w:jc w:val="right"/>
              <w:rPr>
                <w:rFonts w:ascii="Times New Roman" w:eastAsia="Times New Roman" w:hAnsi="Times New Roman" w:cs="Times New Roman"/>
                <w:b/>
                <w:bCs/>
                <w:sz w:val="16"/>
                <w:szCs w:val="16"/>
                <w:lang w:eastAsia="sk-SK"/>
              </w:rPr>
            </w:pPr>
            <w:r w:rsidRPr="00730A6E">
              <w:rPr>
                <w:rFonts w:ascii="Times New Roman" w:eastAsia="Times New Roman" w:hAnsi="Times New Roman" w:cs="Times New Roman"/>
                <w:b/>
                <w:bCs/>
                <w:sz w:val="16"/>
                <w:szCs w:val="16"/>
                <w:lang w:eastAsia="sk-SK"/>
              </w:rPr>
              <w:t>2026 N</w:t>
            </w:r>
          </w:p>
        </w:tc>
      </w:tr>
      <w:tr w:rsidR="00DD531B" w:rsidRPr="00730A6E" w14:paraId="5CC4C946" w14:textId="77777777" w:rsidTr="001F24AE">
        <w:trPr>
          <w:trHeight w:val="300"/>
        </w:trPr>
        <w:tc>
          <w:tcPr>
            <w:tcW w:w="2349" w:type="pct"/>
            <w:tcBorders>
              <w:top w:val="nil"/>
              <w:left w:val="nil"/>
              <w:bottom w:val="nil"/>
              <w:right w:val="nil"/>
            </w:tcBorders>
            <w:shd w:val="clear" w:color="auto" w:fill="auto"/>
            <w:noWrap/>
            <w:vAlign w:val="bottom"/>
            <w:hideMark/>
          </w:tcPr>
          <w:p w14:paraId="6E0CABD9" w14:textId="77777777" w:rsidR="00DD531B" w:rsidRPr="00730A6E" w:rsidRDefault="00DD531B" w:rsidP="00DD531B">
            <w:pPr>
              <w:spacing w:after="0" w:line="240" w:lineRule="auto"/>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Príjmy kapitoly spolu</w:t>
            </w:r>
          </w:p>
        </w:tc>
        <w:tc>
          <w:tcPr>
            <w:tcW w:w="360" w:type="pct"/>
            <w:tcBorders>
              <w:top w:val="nil"/>
              <w:left w:val="nil"/>
              <w:bottom w:val="nil"/>
              <w:right w:val="nil"/>
            </w:tcBorders>
            <w:shd w:val="clear" w:color="auto" w:fill="auto"/>
            <w:noWrap/>
            <w:vAlign w:val="bottom"/>
            <w:hideMark/>
          </w:tcPr>
          <w:p w14:paraId="77299293" w14:textId="77777777" w:rsidR="00DD531B" w:rsidRPr="00730A6E"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9 406</w:t>
            </w:r>
          </w:p>
        </w:tc>
        <w:tc>
          <w:tcPr>
            <w:tcW w:w="360" w:type="pct"/>
            <w:tcBorders>
              <w:top w:val="nil"/>
              <w:left w:val="nil"/>
              <w:bottom w:val="nil"/>
              <w:right w:val="nil"/>
            </w:tcBorders>
            <w:shd w:val="clear" w:color="auto" w:fill="auto"/>
            <w:noWrap/>
            <w:vAlign w:val="bottom"/>
            <w:hideMark/>
          </w:tcPr>
          <w:p w14:paraId="10E8FD3A" w14:textId="77777777" w:rsidR="00DD531B" w:rsidRPr="00730A6E"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9 206</w:t>
            </w:r>
          </w:p>
        </w:tc>
        <w:tc>
          <w:tcPr>
            <w:tcW w:w="372" w:type="pct"/>
            <w:tcBorders>
              <w:top w:val="nil"/>
              <w:left w:val="nil"/>
              <w:bottom w:val="nil"/>
              <w:right w:val="nil"/>
            </w:tcBorders>
            <w:shd w:val="clear" w:color="auto" w:fill="auto"/>
            <w:noWrap/>
            <w:vAlign w:val="bottom"/>
            <w:hideMark/>
          </w:tcPr>
          <w:p w14:paraId="55475C3B" w14:textId="77777777" w:rsidR="00DD531B" w:rsidRPr="00730A6E"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9 946</w:t>
            </w:r>
          </w:p>
        </w:tc>
        <w:tc>
          <w:tcPr>
            <w:tcW w:w="442" w:type="pct"/>
            <w:tcBorders>
              <w:top w:val="nil"/>
              <w:left w:val="nil"/>
              <w:bottom w:val="nil"/>
              <w:right w:val="nil"/>
            </w:tcBorders>
            <w:shd w:val="clear" w:color="auto" w:fill="auto"/>
            <w:noWrap/>
            <w:vAlign w:val="bottom"/>
            <w:hideMark/>
          </w:tcPr>
          <w:p w14:paraId="2DAA2C2F" w14:textId="77777777" w:rsidR="00DD531B" w:rsidRPr="00730A6E"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10 044</w:t>
            </w:r>
          </w:p>
        </w:tc>
        <w:tc>
          <w:tcPr>
            <w:tcW w:w="372" w:type="pct"/>
            <w:tcBorders>
              <w:top w:val="nil"/>
              <w:left w:val="nil"/>
              <w:bottom w:val="nil"/>
              <w:right w:val="nil"/>
            </w:tcBorders>
            <w:shd w:val="clear" w:color="auto" w:fill="auto"/>
            <w:noWrap/>
            <w:vAlign w:val="bottom"/>
            <w:hideMark/>
          </w:tcPr>
          <w:p w14:paraId="746DDE5D" w14:textId="77777777" w:rsidR="00DD531B" w:rsidRPr="00730A6E"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8 539</w:t>
            </w:r>
          </w:p>
        </w:tc>
        <w:tc>
          <w:tcPr>
            <w:tcW w:w="372" w:type="pct"/>
            <w:tcBorders>
              <w:top w:val="nil"/>
              <w:left w:val="nil"/>
              <w:bottom w:val="nil"/>
              <w:right w:val="nil"/>
            </w:tcBorders>
            <w:shd w:val="clear" w:color="auto" w:fill="auto"/>
            <w:noWrap/>
            <w:vAlign w:val="bottom"/>
            <w:hideMark/>
          </w:tcPr>
          <w:p w14:paraId="35F88714" w14:textId="77777777" w:rsidR="00DD531B" w:rsidRPr="00730A6E"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8 540</w:t>
            </w:r>
          </w:p>
        </w:tc>
        <w:tc>
          <w:tcPr>
            <w:tcW w:w="372" w:type="pct"/>
            <w:tcBorders>
              <w:top w:val="nil"/>
              <w:left w:val="nil"/>
              <w:bottom w:val="nil"/>
              <w:right w:val="nil"/>
            </w:tcBorders>
            <w:shd w:val="clear" w:color="auto" w:fill="auto"/>
            <w:noWrap/>
            <w:vAlign w:val="bottom"/>
            <w:hideMark/>
          </w:tcPr>
          <w:p w14:paraId="1A62D652" w14:textId="77777777" w:rsidR="00DD531B" w:rsidRPr="00730A6E"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730A6E">
              <w:rPr>
                <w:rFonts w:ascii="Times New Roman" w:eastAsia="Times New Roman" w:hAnsi="Times New Roman" w:cs="Times New Roman"/>
                <w:b/>
                <w:bCs/>
                <w:color w:val="000000"/>
                <w:sz w:val="16"/>
                <w:szCs w:val="16"/>
                <w:lang w:eastAsia="sk-SK"/>
              </w:rPr>
              <w:t>8 027</w:t>
            </w:r>
          </w:p>
        </w:tc>
      </w:tr>
      <w:tr w:rsidR="00DD531B" w:rsidRPr="00730A6E" w14:paraId="1DDB61A7" w14:textId="77777777" w:rsidTr="001F24AE">
        <w:trPr>
          <w:trHeight w:val="300"/>
        </w:trPr>
        <w:tc>
          <w:tcPr>
            <w:tcW w:w="2349" w:type="pct"/>
            <w:tcBorders>
              <w:top w:val="nil"/>
              <w:left w:val="nil"/>
              <w:bottom w:val="single" w:sz="4" w:space="0" w:color="auto"/>
              <w:right w:val="nil"/>
            </w:tcBorders>
            <w:shd w:val="clear" w:color="auto" w:fill="auto"/>
            <w:noWrap/>
            <w:vAlign w:val="bottom"/>
            <w:hideMark/>
          </w:tcPr>
          <w:p w14:paraId="046A7932" w14:textId="77777777" w:rsidR="00DD531B" w:rsidRPr="00730A6E" w:rsidRDefault="00DD531B" w:rsidP="00DD531B">
            <w:pPr>
              <w:spacing w:after="0" w:line="240" w:lineRule="auto"/>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nedaňové príjmy</w:t>
            </w:r>
          </w:p>
        </w:tc>
        <w:tc>
          <w:tcPr>
            <w:tcW w:w="360" w:type="pct"/>
            <w:tcBorders>
              <w:top w:val="nil"/>
              <w:left w:val="nil"/>
              <w:bottom w:val="single" w:sz="4" w:space="0" w:color="auto"/>
              <w:right w:val="nil"/>
            </w:tcBorders>
            <w:shd w:val="clear" w:color="auto" w:fill="auto"/>
            <w:noWrap/>
            <w:vAlign w:val="bottom"/>
            <w:hideMark/>
          </w:tcPr>
          <w:p w14:paraId="03B822D3"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9 406</w:t>
            </w:r>
          </w:p>
        </w:tc>
        <w:tc>
          <w:tcPr>
            <w:tcW w:w="360" w:type="pct"/>
            <w:tcBorders>
              <w:top w:val="nil"/>
              <w:left w:val="nil"/>
              <w:bottom w:val="single" w:sz="4" w:space="0" w:color="auto"/>
              <w:right w:val="nil"/>
            </w:tcBorders>
            <w:shd w:val="clear" w:color="auto" w:fill="auto"/>
            <w:noWrap/>
            <w:vAlign w:val="bottom"/>
            <w:hideMark/>
          </w:tcPr>
          <w:p w14:paraId="4A1C99D8"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9 206</w:t>
            </w:r>
          </w:p>
        </w:tc>
        <w:tc>
          <w:tcPr>
            <w:tcW w:w="372" w:type="pct"/>
            <w:tcBorders>
              <w:top w:val="nil"/>
              <w:left w:val="nil"/>
              <w:bottom w:val="single" w:sz="4" w:space="0" w:color="auto"/>
              <w:right w:val="nil"/>
            </w:tcBorders>
            <w:shd w:val="clear" w:color="auto" w:fill="auto"/>
            <w:noWrap/>
            <w:vAlign w:val="bottom"/>
            <w:hideMark/>
          </w:tcPr>
          <w:p w14:paraId="4646DF37"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9 946</w:t>
            </w:r>
          </w:p>
        </w:tc>
        <w:tc>
          <w:tcPr>
            <w:tcW w:w="442" w:type="pct"/>
            <w:tcBorders>
              <w:top w:val="nil"/>
              <w:left w:val="nil"/>
              <w:bottom w:val="single" w:sz="4" w:space="0" w:color="auto"/>
              <w:right w:val="nil"/>
            </w:tcBorders>
            <w:shd w:val="clear" w:color="auto" w:fill="auto"/>
            <w:noWrap/>
            <w:vAlign w:val="bottom"/>
            <w:hideMark/>
          </w:tcPr>
          <w:p w14:paraId="27EE2277"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10 044</w:t>
            </w:r>
          </w:p>
        </w:tc>
        <w:tc>
          <w:tcPr>
            <w:tcW w:w="372" w:type="pct"/>
            <w:tcBorders>
              <w:top w:val="nil"/>
              <w:left w:val="nil"/>
              <w:bottom w:val="single" w:sz="4" w:space="0" w:color="auto"/>
              <w:right w:val="nil"/>
            </w:tcBorders>
            <w:shd w:val="clear" w:color="auto" w:fill="auto"/>
            <w:noWrap/>
            <w:vAlign w:val="bottom"/>
            <w:hideMark/>
          </w:tcPr>
          <w:p w14:paraId="75ACEEC4"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8 539</w:t>
            </w:r>
          </w:p>
        </w:tc>
        <w:tc>
          <w:tcPr>
            <w:tcW w:w="372" w:type="pct"/>
            <w:tcBorders>
              <w:top w:val="nil"/>
              <w:left w:val="nil"/>
              <w:bottom w:val="single" w:sz="4" w:space="0" w:color="auto"/>
              <w:right w:val="nil"/>
            </w:tcBorders>
            <w:shd w:val="clear" w:color="auto" w:fill="auto"/>
            <w:noWrap/>
            <w:vAlign w:val="bottom"/>
            <w:hideMark/>
          </w:tcPr>
          <w:p w14:paraId="0650D69C"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8 540</w:t>
            </w:r>
          </w:p>
        </w:tc>
        <w:tc>
          <w:tcPr>
            <w:tcW w:w="372" w:type="pct"/>
            <w:tcBorders>
              <w:top w:val="nil"/>
              <w:left w:val="nil"/>
              <w:bottom w:val="single" w:sz="4" w:space="0" w:color="auto"/>
              <w:right w:val="nil"/>
            </w:tcBorders>
            <w:shd w:val="clear" w:color="auto" w:fill="auto"/>
            <w:noWrap/>
            <w:vAlign w:val="bottom"/>
            <w:hideMark/>
          </w:tcPr>
          <w:p w14:paraId="6645C675" w14:textId="77777777" w:rsidR="00DD531B" w:rsidRPr="00730A6E" w:rsidRDefault="00DD531B" w:rsidP="00DD531B">
            <w:pPr>
              <w:spacing w:after="0" w:line="240" w:lineRule="auto"/>
              <w:jc w:val="right"/>
              <w:rPr>
                <w:rFonts w:ascii="Times New Roman" w:eastAsia="Times New Roman" w:hAnsi="Times New Roman" w:cs="Times New Roman"/>
                <w:sz w:val="16"/>
                <w:szCs w:val="16"/>
                <w:lang w:eastAsia="sk-SK"/>
              </w:rPr>
            </w:pPr>
            <w:r w:rsidRPr="00730A6E">
              <w:rPr>
                <w:rFonts w:ascii="Times New Roman" w:eastAsia="Times New Roman" w:hAnsi="Times New Roman" w:cs="Times New Roman"/>
                <w:sz w:val="16"/>
                <w:szCs w:val="16"/>
                <w:lang w:eastAsia="sk-SK"/>
              </w:rPr>
              <w:t>8 027</w:t>
            </w:r>
          </w:p>
        </w:tc>
      </w:tr>
    </w:tbl>
    <w:p w14:paraId="043E13C5" w14:textId="77777777" w:rsidR="00DD531B" w:rsidRPr="00730A6E" w:rsidRDefault="00DD531B" w:rsidP="00DD531B">
      <w:pPr>
        <w:rPr>
          <w:rFonts w:ascii="Times New Roman" w:eastAsia="Calibri" w:hAnsi="Times New Roman" w:cs="Times New Roman"/>
          <w:sz w:val="16"/>
          <w:szCs w:val="16"/>
        </w:rPr>
      </w:pPr>
    </w:p>
    <w:p w14:paraId="5C8926B6" w14:textId="5B15D7E1" w:rsidR="00DD531B" w:rsidRPr="00170734" w:rsidRDefault="00170734"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36" w:name="_Toc153013106"/>
      <w:r w:rsidRPr="00170734">
        <w:rPr>
          <w:rFonts w:ascii="Times New Roman" w:eastAsia="Times New Roman" w:hAnsi="Times New Roman" w:cs="Times New Roman"/>
          <w:b/>
          <w:iCs/>
          <w:color w:val="5B9BD5" w:themeColor="accent1"/>
          <w:sz w:val="20"/>
          <w:szCs w:val="20"/>
          <w:lang w:eastAsia="sk-SK"/>
        </w:rPr>
        <w:t xml:space="preserve">Tabuľka </w:t>
      </w:r>
      <w:r w:rsidRPr="00170734">
        <w:rPr>
          <w:rFonts w:ascii="Times New Roman" w:hAnsi="Times New Roman" w:cs="Times New Roman"/>
          <w:b/>
          <w:color w:val="5B9BD5" w:themeColor="accent1"/>
          <w:sz w:val="20"/>
          <w:szCs w:val="20"/>
        </w:rPr>
        <w:fldChar w:fldCharType="begin"/>
      </w:r>
      <w:r w:rsidRPr="00170734">
        <w:rPr>
          <w:rFonts w:ascii="Times New Roman" w:hAnsi="Times New Roman" w:cs="Times New Roman"/>
          <w:b/>
          <w:color w:val="5B9BD5" w:themeColor="accent1"/>
          <w:sz w:val="20"/>
          <w:szCs w:val="20"/>
        </w:rPr>
        <w:instrText xml:space="preserve"> SEQ Tabuľka \* ARABIC </w:instrText>
      </w:r>
      <w:r w:rsidRPr="00170734">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108</w:t>
      </w:r>
      <w:r w:rsidRPr="00170734">
        <w:rPr>
          <w:rFonts w:ascii="Times New Roman" w:hAnsi="Times New Roman" w:cs="Times New Roman"/>
          <w:b/>
          <w:color w:val="5B9BD5" w:themeColor="accent1"/>
          <w:sz w:val="20"/>
          <w:szCs w:val="20"/>
        </w:rPr>
        <w:fldChar w:fldCharType="end"/>
      </w:r>
      <w:r w:rsidRPr="00170734">
        <w:rPr>
          <w:rFonts w:ascii="Times New Roman" w:hAnsi="Times New Roman" w:cs="Times New Roman"/>
          <w:b/>
          <w:color w:val="5B9BD5" w:themeColor="accent1"/>
          <w:sz w:val="20"/>
          <w:szCs w:val="20"/>
        </w:rPr>
        <w:t xml:space="preserve"> - </w:t>
      </w:r>
      <w:r w:rsidR="00DD531B" w:rsidRPr="00170734">
        <w:rPr>
          <w:rFonts w:ascii="Times New Roman" w:eastAsia="Times New Roman" w:hAnsi="Times New Roman" w:cs="Times New Roman"/>
          <w:b/>
          <w:iCs/>
          <w:color w:val="5B9BD5" w:themeColor="accent1"/>
          <w:sz w:val="20"/>
          <w:szCs w:val="20"/>
          <w:lang w:eastAsia="sk-SK"/>
        </w:rPr>
        <w:t>Výdavky kapitoly ÚJD SR</w:t>
      </w:r>
      <w:bookmarkEnd w:id="236"/>
    </w:p>
    <w:tbl>
      <w:tblPr>
        <w:tblW w:w="5000" w:type="pct"/>
        <w:tblCellMar>
          <w:left w:w="70" w:type="dxa"/>
          <w:right w:w="70" w:type="dxa"/>
        </w:tblCellMar>
        <w:tblLook w:val="04A0" w:firstRow="1" w:lastRow="0" w:firstColumn="1" w:lastColumn="0" w:noHBand="0" w:noVBand="1"/>
      </w:tblPr>
      <w:tblGrid>
        <w:gridCol w:w="4263"/>
        <w:gridCol w:w="654"/>
        <w:gridCol w:w="653"/>
        <w:gridCol w:w="675"/>
        <w:gridCol w:w="802"/>
        <w:gridCol w:w="675"/>
        <w:gridCol w:w="675"/>
        <w:gridCol w:w="675"/>
      </w:tblGrid>
      <w:tr w:rsidR="00DD531B" w:rsidRPr="00DD531B" w14:paraId="77C96C23" w14:textId="77777777" w:rsidTr="001F24AE">
        <w:trPr>
          <w:trHeight w:val="300"/>
        </w:trPr>
        <w:tc>
          <w:tcPr>
            <w:tcW w:w="2349" w:type="pct"/>
            <w:tcBorders>
              <w:top w:val="single" w:sz="4" w:space="0" w:color="auto"/>
              <w:left w:val="nil"/>
              <w:bottom w:val="single" w:sz="4" w:space="0" w:color="auto"/>
              <w:right w:val="nil"/>
            </w:tcBorders>
            <w:shd w:val="clear" w:color="auto" w:fill="auto"/>
            <w:noWrap/>
            <w:vAlign w:val="center"/>
            <w:hideMark/>
          </w:tcPr>
          <w:p w14:paraId="149EEC29"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v tis. eur</w:t>
            </w:r>
          </w:p>
        </w:tc>
        <w:tc>
          <w:tcPr>
            <w:tcW w:w="360" w:type="pct"/>
            <w:tcBorders>
              <w:top w:val="single" w:sz="4" w:space="0" w:color="auto"/>
              <w:left w:val="nil"/>
              <w:bottom w:val="single" w:sz="4" w:space="0" w:color="auto"/>
              <w:right w:val="nil"/>
            </w:tcBorders>
            <w:shd w:val="clear" w:color="auto" w:fill="auto"/>
            <w:noWrap/>
            <w:vAlign w:val="center"/>
            <w:hideMark/>
          </w:tcPr>
          <w:p w14:paraId="2FD6A4C8"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2021 S</w:t>
            </w:r>
          </w:p>
        </w:tc>
        <w:tc>
          <w:tcPr>
            <w:tcW w:w="360" w:type="pct"/>
            <w:tcBorders>
              <w:top w:val="single" w:sz="4" w:space="0" w:color="auto"/>
              <w:left w:val="nil"/>
              <w:bottom w:val="single" w:sz="4" w:space="0" w:color="auto"/>
              <w:right w:val="nil"/>
            </w:tcBorders>
            <w:shd w:val="clear" w:color="auto" w:fill="auto"/>
            <w:noWrap/>
            <w:vAlign w:val="center"/>
            <w:hideMark/>
          </w:tcPr>
          <w:p w14:paraId="587C55DC"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2022 S</w:t>
            </w:r>
          </w:p>
        </w:tc>
        <w:tc>
          <w:tcPr>
            <w:tcW w:w="372" w:type="pct"/>
            <w:tcBorders>
              <w:top w:val="single" w:sz="4" w:space="0" w:color="auto"/>
              <w:left w:val="nil"/>
              <w:bottom w:val="single" w:sz="4" w:space="0" w:color="auto"/>
              <w:right w:val="nil"/>
            </w:tcBorders>
            <w:shd w:val="clear" w:color="auto" w:fill="auto"/>
            <w:noWrap/>
            <w:vAlign w:val="center"/>
            <w:hideMark/>
          </w:tcPr>
          <w:p w14:paraId="34F6C485"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2023 R</w:t>
            </w:r>
          </w:p>
        </w:tc>
        <w:tc>
          <w:tcPr>
            <w:tcW w:w="442" w:type="pct"/>
            <w:tcBorders>
              <w:top w:val="single" w:sz="4" w:space="0" w:color="auto"/>
              <w:left w:val="nil"/>
              <w:bottom w:val="single" w:sz="4" w:space="0" w:color="auto"/>
              <w:right w:val="nil"/>
            </w:tcBorders>
            <w:shd w:val="clear" w:color="auto" w:fill="auto"/>
            <w:noWrap/>
            <w:vAlign w:val="center"/>
            <w:hideMark/>
          </w:tcPr>
          <w:p w14:paraId="79DDF5DC"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2023 OS</w:t>
            </w:r>
          </w:p>
        </w:tc>
        <w:tc>
          <w:tcPr>
            <w:tcW w:w="372" w:type="pct"/>
            <w:tcBorders>
              <w:top w:val="single" w:sz="4" w:space="0" w:color="auto"/>
              <w:left w:val="nil"/>
              <w:bottom w:val="single" w:sz="4" w:space="0" w:color="auto"/>
              <w:right w:val="nil"/>
            </w:tcBorders>
            <w:shd w:val="clear" w:color="auto" w:fill="auto"/>
            <w:noWrap/>
            <w:vAlign w:val="center"/>
            <w:hideMark/>
          </w:tcPr>
          <w:p w14:paraId="532DE711"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2024 N</w:t>
            </w:r>
          </w:p>
        </w:tc>
        <w:tc>
          <w:tcPr>
            <w:tcW w:w="372" w:type="pct"/>
            <w:tcBorders>
              <w:top w:val="single" w:sz="4" w:space="0" w:color="auto"/>
              <w:left w:val="nil"/>
              <w:bottom w:val="single" w:sz="4" w:space="0" w:color="auto"/>
              <w:right w:val="nil"/>
            </w:tcBorders>
            <w:shd w:val="clear" w:color="auto" w:fill="auto"/>
            <w:noWrap/>
            <w:vAlign w:val="center"/>
            <w:hideMark/>
          </w:tcPr>
          <w:p w14:paraId="2306519E"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2025 N</w:t>
            </w:r>
          </w:p>
        </w:tc>
        <w:tc>
          <w:tcPr>
            <w:tcW w:w="372" w:type="pct"/>
            <w:tcBorders>
              <w:top w:val="single" w:sz="4" w:space="0" w:color="auto"/>
              <w:left w:val="nil"/>
              <w:bottom w:val="single" w:sz="4" w:space="0" w:color="auto"/>
              <w:right w:val="nil"/>
            </w:tcBorders>
            <w:shd w:val="clear" w:color="auto" w:fill="auto"/>
            <w:noWrap/>
            <w:vAlign w:val="center"/>
            <w:hideMark/>
          </w:tcPr>
          <w:p w14:paraId="4475D717"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2026 N</w:t>
            </w:r>
          </w:p>
        </w:tc>
      </w:tr>
      <w:tr w:rsidR="00DD531B" w:rsidRPr="00DD531B" w14:paraId="06D8A549" w14:textId="77777777" w:rsidTr="001F24AE">
        <w:trPr>
          <w:trHeight w:val="300"/>
        </w:trPr>
        <w:tc>
          <w:tcPr>
            <w:tcW w:w="2349" w:type="pct"/>
            <w:tcBorders>
              <w:top w:val="nil"/>
              <w:left w:val="nil"/>
              <w:bottom w:val="nil"/>
              <w:right w:val="nil"/>
            </w:tcBorders>
            <w:shd w:val="clear" w:color="auto" w:fill="auto"/>
            <w:noWrap/>
            <w:vAlign w:val="center"/>
            <w:hideMark/>
          </w:tcPr>
          <w:p w14:paraId="0546724E" w14:textId="77777777" w:rsidR="00DD531B" w:rsidRPr="00170734" w:rsidRDefault="00DD531B" w:rsidP="00DD531B">
            <w:pPr>
              <w:spacing w:after="0" w:line="240" w:lineRule="auto"/>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Výdavky kapitoly spolu</w:t>
            </w:r>
          </w:p>
        </w:tc>
        <w:tc>
          <w:tcPr>
            <w:tcW w:w="360" w:type="pct"/>
            <w:tcBorders>
              <w:top w:val="nil"/>
              <w:left w:val="nil"/>
              <w:bottom w:val="nil"/>
              <w:right w:val="nil"/>
            </w:tcBorders>
            <w:shd w:val="clear" w:color="auto" w:fill="auto"/>
            <w:noWrap/>
            <w:vAlign w:val="center"/>
            <w:hideMark/>
          </w:tcPr>
          <w:p w14:paraId="7A9BC9EA"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7 994</w:t>
            </w:r>
          </w:p>
        </w:tc>
        <w:tc>
          <w:tcPr>
            <w:tcW w:w="360" w:type="pct"/>
            <w:tcBorders>
              <w:top w:val="nil"/>
              <w:left w:val="nil"/>
              <w:bottom w:val="nil"/>
              <w:right w:val="nil"/>
            </w:tcBorders>
            <w:shd w:val="clear" w:color="auto" w:fill="auto"/>
            <w:noWrap/>
            <w:vAlign w:val="center"/>
            <w:hideMark/>
          </w:tcPr>
          <w:p w14:paraId="459DFCF6"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9 065</w:t>
            </w:r>
          </w:p>
        </w:tc>
        <w:tc>
          <w:tcPr>
            <w:tcW w:w="372" w:type="pct"/>
            <w:tcBorders>
              <w:top w:val="nil"/>
              <w:left w:val="nil"/>
              <w:bottom w:val="nil"/>
              <w:right w:val="nil"/>
            </w:tcBorders>
            <w:shd w:val="clear" w:color="auto" w:fill="auto"/>
            <w:noWrap/>
            <w:vAlign w:val="center"/>
            <w:hideMark/>
          </w:tcPr>
          <w:p w14:paraId="58FE3305"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11 794</w:t>
            </w:r>
          </w:p>
        </w:tc>
        <w:tc>
          <w:tcPr>
            <w:tcW w:w="442" w:type="pct"/>
            <w:tcBorders>
              <w:top w:val="nil"/>
              <w:left w:val="nil"/>
              <w:bottom w:val="nil"/>
              <w:right w:val="nil"/>
            </w:tcBorders>
            <w:shd w:val="clear" w:color="auto" w:fill="auto"/>
            <w:noWrap/>
            <w:vAlign w:val="center"/>
            <w:hideMark/>
          </w:tcPr>
          <w:p w14:paraId="2AF835DD"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12 638</w:t>
            </w:r>
          </w:p>
        </w:tc>
        <w:tc>
          <w:tcPr>
            <w:tcW w:w="372" w:type="pct"/>
            <w:tcBorders>
              <w:top w:val="nil"/>
              <w:left w:val="nil"/>
              <w:bottom w:val="nil"/>
              <w:right w:val="nil"/>
            </w:tcBorders>
            <w:shd w:val="clear" w:color="auto" w:fill="auto"/>
            <w:noWrap/>
            <w:vAlign w:val="center"/>
            <w:hideMark/>
          </w:tcPr>
          <w:p w14:paraId="0F371A1B"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10 962</w:t>
            </w:r>
          </w:p>
        </w:tc>
        <w:tc>
          <w:tcPr>
            <w:tcW w:w="372" w:type="pct"/>
            <w:tcBorders>
              <w:top w:val="nil"/>
              <w:left w:val="nil"/>
              <w:bottom w:val="nil"/>
              <w:right w:val="nil"/>
            </w:tcBorders>
            <w:shd w:val="clear" w:color="auto" w:fill="auto"/>
            <w:noWrap/>
            <w:vAlign w:val="center"/>
            <w:hideMark/>
          </w:tcPr>
          <w:p w14:paraId="4FF147D6"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11 022</w:t>
            </w:r>
          </w:p>
        </w:tc>
        <w:tc>
          <w:tcPr>
            <w:tcW w:w="372" w:type="pct"/>
            <w:tcBorders>
              <w:top w:val="nil"/>
              <w:left w:val="nil"/>
              <w:bottom w:val="nil"/>
              <w:right w:val="nil"/>
            </w:tcBorders>
            <w:shd w:val="clear" w:color="auto" w:fill="auto"/>
            <w:noWrap/>
            <w:vAlign w:val="center"/>
            <w:hideMark/>
          </w:tcPr>
          <w:p w14:paraId="765DC843"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11 022</w:t>
            </w:r>
          </w:p>
        </w:tc>
      </w:tr>
      <w:tr w:rsidR="00DD531B" w:rsidRPr="00DD531B" w14:paraId="0E7D3017" w14:textId="77777777" w:rsidTr="001F24AE">
        <w:trPr>
          <w:trHeight w:val="300"/>
        </w:trPr>
        <w:tc>
          <w:tcPr>
            <w:tcW w:w="2349" w:type="pct"/>
            <w:tcBorders>
              <w:top w:val="nil"/>
              <w:left w:val="nil"/>
              <w:bottom w:val="nil"/>
              <w:right w:val="nil"/>
            </w:tcBorders>
            <w:shd w:val="clear" w:color="auto" w:fill="auto"/>
            <w:noWrap/>
            <w:vAlign w:val="bottom"/>
            <w:hideMark/>
          </w:tcPr>
          <w:p w14:paraId="40498735"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rozpočtové zdroje kapitoly</w:t>
            </w:r>
          </w:p>
        </w:tc>
        <w:tc>
          <w:tcPr>
            <w:tcW w:w="360" w:type="pct"/>
            <w:tcBorders>
              <w:top w:val="nil"/>
              <w:left w:val="nil"/>
              <w:bottom w:val="nil"/>
              <w:right w:val="nil"/>
            </w:tcBorders>
            <w:shd w:val="clear" w:color="auto" w:fill="auto"/>
            <w:noWrap/>
            <w:vAlign w:val="bottom"/>
            <w:hideMark/>
          </w:tcPr>
          <w:p w14:paraId="5FD4E41A"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7 981</w:t>
            </w:r>
          </w:p>
        </w:tc>
        <w:tc>
          <w:tcPr>
            <w:tcW w:w="360" w:type="pct"/>
            <w:tcBorders>
              <w:top w:val="nil"/>
              <w:left w:val="nil"/>
              <w:bottom w:val="nil"/>
              <w:right w:val="nil"/>
            </w:tcBorders>
            <w:shd w:val="clear" w:color="auto" w:fill="auto"/>
            <w:noWrap/>
            <w:vAlign w:val="bottom"/>
            <w:hideMark/>
          </w:tcPr>
          <w:p w14:paraId="053FB036"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8 935</w:t>
            </w:r>
          </w:p>
        </w:tc>
        <w:tc>
          <w:tcPr>
            <w:tcW w:w="372" w:type="pct"/>
            <w:tcBorders>
              <w:top w:val="nil"/>
              <w:left w:val="nil"/>
              <w:bottom w:val="nil"/>
              <w:right w:val="nil"/>
            </w:tcBorders>
            <w:shd w:val="clear" w:color="auto" w:fill="auto"/>
            <w:noWrap/>
            <w:vAlign w:val="bottom"/>
            <w:hideMark/>
          </w:tcPr>
          <w:p w14:paraId="7757B745"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11 794</w:t>
            </w:r>
          </w:p>
        </w:tc>
        <w:tc>
          <w:tcPr>
            <w:tcW w:w="442" w:type="pct"/>
            <w:tcBorders>
              <w:top w:val="nil"/>
              <w:left w:val="nil"/>
              <w:bottom w:val="nil"/>
              <w:right w:val="nil"/>
            </w:tcBorders>
            <w:shd w:val="clear" w:color="auto" w:fill="auto"/>
            <w:noWrap/>
            <w:vAlign w:val="bottom"/>
            <w:hideMark/>
          </w:tcPr>
          <w:p w14:paraId="7B1EBFFC"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11 346</w:t>
            </w:r>
          </w:p>
        </w:tc>
        <w:tc>
          <w:tcPr>
            <w:tcW w:w="372" w:type="pct"/>
            <w:tcBorders>
              <w:top w:val="nil"/>
              <w:left w:val="nil"/>
              <w:bottom w:val="nil"/>
              <w:right w:val="nil"/>
            </w:tcBorders>
            <w:shd w:val="clear" w:color="auto" w:fill="auto"/>
            <w:noWrap/>
            <w:vAlign w:val="bottom"/>
            <w:hideMark/>
          </w:tcPr>
          <w:p w14:paraId="65B8125E"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10 962</w:t>
            </w:r>
          </w:p>
        </w:tc>
        <w:tc>
          <w:tcPr>
            <w:tcW w:w="372" w:type="pct"/>
            <w:tcBorders>
              <w:top w:val="nil"/>
              <w:left w:val="nil"/>
              <w:bottom w:val="nil"/>
              <w:right w:val="nil"/>
            </w:tcBorders>
            <w:shd w:val="clear" w:color="auto" w:fill="auto"/>
            <w:noWrap/>
            <w:vAlign w:val="bottom"/>
            <w:hideMark/>
          </w:tcPr>
          <w:p w14:paraId="61A588AC"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11 022</w:t>
            </w:r>
          </w:p>
        </w:tc>
        <w:tc>
          <w:tcPr>
            <w:tcW w:w="372" w:type="pct"/>
            <w:tcBorders>
              <w:top w:val="nil"/>
              <w:left w:val="nil"/>
              <w:bottom w:val="nil"/>
              <w:right w:val="nil"/>
            </w:tcBorders>
            <w:shd w:val="clear" w:color="auto" w:fill="auto"/>
            <w:noWrap/>
            <w:vAlign w:val="bottom"/>
            <w:hideMark/>
          </w:tcPr>
          <w:p w14:paraId="2679173C"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11 022</w:t>
            </w:r>
          </w:p>
        </w:tc>
      </w:tr>
      <w:tr w:rsidR="00DD531B" w:rsidRPr="00DD531B" w14:paraId="09DBB12B" w14:textId="77777777" w:rsidTr="001F24AE">
        <w:trPr>
          <w:trHeight w:val="300"/>
        </w:trPr>
        <w:tc>
          <w:tcPr>
            <w:tcW w:w="2349" w:type="pct"/>
            <w:tcBorders>
              <w:top w:val="nil"/>
              <w:left w:val="nil"/>
              <w:bottom w:val="nil"/>
              <w:right w:val="nil"/>
            </w:tcBorders>
            <w:shd w:val="clear" w:color="auto" w:fill="auto"/>
            <w:noWrap/>
            <w:vAlign w:val="bottom"/>
            <w:hideMark/>
          </w:tcPr>
          <w:p w14:paraId="73AAAD48"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bežné výdavky  600, v tom:</w:t>
            </w:r>
          </w:p>
        </w:tc>
        <w:tc>
          <w:tcPr>
            <w:tcW w:w="360" w:type="pct"/>
            <w:tcBorders>
              <w:top w:val="nil"/>
              <w:left w:val="nil"/>
              <w:bottom w:val="nil"/>
              <w:right w:val="nil"/>
            </w:tcBorders>
            <w:shd w:val="clear" w:color="auto" w:fill="auto"/>
            <w:noWrap/>
            <w:vAlign w:val="bottom"/>
            <w:hideMark/>
          </w:tcPr>
          <w:p w14:paraId="75C6959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7 864</w:t>
            </w:r>
          </w:p>
        </w:tc>
        <w:tc>
          <w:tcPr>
            <w:tcW w:w="360" w:type="pct"/>
            <w:tcBorders>
              <w:top w:val="nil"/>
              <w:left w:val="nil"/>
              <w:bottom w:val="nil"/>
              <w:right w:val="nil"/>
            </w:tcBorders>
            <w:shd w:val="clear" w:color="auto" w:fill="auto"/>
            <w:noWrap/>
            <w:vAlign w:val="bottom"/>
            <w:hideMark/>
          </w:tcPr>
          <w:p w14:paraId="5E64E9F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8 909</w:t>
            </w:r>
          </w:p>
        </w:tc>
        <w:tc>
          <w:tcPr>
            <w:tcW w:w="372" w:type="pct"/>
            <w:tcBorders>
              <w:top w:val="nil"/>
              <w:left w:val="nil"/>
              <w:bottom w:val="nil"/>
              <w:right w:val="nil"/>
            </w:tcBorders>
            <w:shd w:val="clear" w:color="auto" w:fill="auto"/>
            <w:noWrap/>
            <w:vAlign w:val="bottom"/>
            <w:hideMark/>
          </w:tcPr>
          <w:p w14:paraId="6070802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11 461</w:t>
            </w:r>
          </w:p>
        </w:tc>
        <w:tc>
          <w:tcPr>
            <w:tcW w:w="442" w:type="pct"/>
            <w:tcBorders>
              <w:top w:val="nil"/>
              <w:left w:val="nil"/>
              <w:bottom w:val="nil"/>
              <w:right w:val="nil"/>
            </w:tcBorders>
            <w:shd w:val="clear" w:color="auto" w:fill="auto"/>
            <w:noWrap/>
            <w:vAlign w:val="bottom"/>
            <w:hideMark/>
          </w:tcPr>
          <w:p w14:paraId="56F1F0D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11 257</w:t>
            </w:r>
          </w:p>
        </w:tc>
        <w:tc>
          <w:tcPr>
            <w:tcW w:w="372" w:type="pct"/>
            <w:tcBorders>
              <w:top w:val="nil"/>
              <w:left w:val="nil"/>
              <w:bottom w:val="nil"/>
              <w:right w:val="nil"/>
            </w:tcBorders>
            <w:shd w:val="clear" w:color="auto" w:fill="auto"/>
            <w:noWrap/>
            <w:vAlign w:val="bottom"/>
            <w:hideMark/>
          </w:tcPr>
          <w:p w14:paraId="1AB19F0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10 525</w:t>
            </w:r>
          </w:p>
        </w:tc>
        <w:tc>
          <w:tcPr>
            <w:tcW w:w="372" w:type="pct"/>
            <w:tcBorders>
              <w:top w:val="nil"/>
              <w:left w:val="nil"/>
              <w:bottom w:val="nil"/>
              <w:right w:val="nil"/>
            </w:tcBorders>
            <w:shd w:val="clear" w:color="auto" w:fill="auto"/>
            <w:noWrap/>
            <w:vAlign w:val="bottom"/>
            <w:hideMark/>
          </w:tcPr>
          <w:p w14:paraId="2B2DD1F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10 638</w:t>
            </w:r>
          </w:p>
        </w:tc>
        <w:tc>
          <w:tcPr>
            <w:tcW w:w="372" w:type="pct"/>
            <w:tcBorders>
              <w:top w:val="nil"/>
              <w:left w:val="nil"/>
              <w:bottom w:val="nil"/>
              <w:right w:val="nil"/>
            </w:tcBorders>
            <w:shd w:val="clear" w:color="auto" w:fill="auto"/>
            <w:noWrap/>
            <w:vAlign w:val="bottom"/>
            <w:hideMark/>
          </w:tcPr>
          <w:p w14:paraId="17DCBA1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10 628</w:t>
            </w:r>
          </w:p>
        </w:tc>
      </w:tr>
      <w:tr w:rsidR="00DD531B" w:rsidRPr="00DD531B" w14:paraId="2F0A795F" w14:textId="77777777" w:rsidTr="001F24AE">
        <w:trPr>
          <w:trHeight w:val="300"/>
        </w:trPr>
        <w:tc>
          <w:tcPr>
            <w:tcW w:w="2349" w:type="pct"/>
            <w:tcBorders>
              <w:top w:val="nil"/>
              <w:left w:val="nil"/>
              <w:bottom w:val="nil"/>
              <w:right w:val="nil"/>
            </w:tcBorders>
            <w:shd w:val="clear" w:color="auto" w:fill="auto"/>
            <w:noWrap/>
            <w:vAlign w:val="bottom"/>
            <w:hideMark/>
          </w:tcPr>
          <w:p w14:paraId="4C28638F"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610 mzdy</w:t>
            </w:r>
          </w:p>
        </w:tc>
        <w:tc>
          <w:tcPr>
            <w:tcW w:w="360" w:type="pct"/>
            <w:tcBorders>
              <w:top w:val="nil"/>
              <w:left w:val="nil"/>
              <w:bottom w:val="nil"/>
              <w:right w:val="nil"/>
            </w:tcBorders>
            <w:shd w:val="clear" w:color="auto" w:fill="auto"/>
            <w:noWrap/>
            <w:vAlign w:val="bottom"/>
            <w:hideMark/>
          </w:tcPr>
          <w:p w14:paraId="448053D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3 778</w:t>
            </w:r>
          </w:p>
        </w:tc>
        <w:tc>
          <w:tcPr>
            <w:tcW w:w="360" w:type="pct"/>
            <w:tcBorders>
              <w:top w:val="nil"/>
              <w:left w:val="nil"/>
              <w:bottom w:val="nil"/>
              <w:right w:val="nil"/>
            </w:tcBorders>
            <w:shd w:val="clear" w:color="auto" w:fill="auto"/>
            <w:noWrap/>
            <w:vAlign w:val="bottom"/>
            <w:hideMark/>
          </w:tcPr>
          <w:p w14:paraId="0A1D58B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3 926</w:t>
            </w:r>
          </w:p>
        </w:tc>
        <w:tc>
          <w:tcPr>
            <w:tcW w:w="372" w:type="pct"/>
            <w:tcBorders>
              <w:top w:val="nil"/>
              <w:left w:val="nil"/>
              <w:bottom w:val="nil"/>
              <w:right w:val="nil"/>
            </w:tcBorders>
            <w:shd w:val="clear" w:color="auto" w:fill="auto"/>
            <w:noWrap/>
            <w:vAlign w:val="bottom"/>
            <w:hideMark/>
          </w:tcPr>
          <w:p w14:paraId="22E136C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5 044</w:t>
            </w:r>
          </w:p>
        </w:tc>
        <w:tc>
          <w:tcPr>
            <w:tcW w:w="442" w:type="pct"/>
            <w:tcBorders>
              <w:top w:val="nil"/>
              <w:left w:val="nil"/>
              <w:bottom w:val="nil"/>
              <w:right w:val="nil"/>
            </w:tcBorders>
            <w:shd w:val="clear" w:color="auto" w:fill="auto"/>
            <w:noWrap/>
            <w:vAlign w:val="bottom"/>
            <w:hideMark/>
          </w:tcPr>
          <w:p w14:paraId="34FE4E8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4 972</w:t>
            </w:r>
          </w:p>
        </w:tc>
        <w:tc>
          <w:tcPr>
            <w:tcW w:w="372" w:type="pct"/>
            <w:tcBorders>
              <w:top w:val="nil"/>
              <w:left w:val="nil"/>
              <w:bottom w:val="nil"/>
              <w:right w:val="nil"/>
            </w:tcBorders>
            <w:shd w:val="clear" w:color="auto" w:fill="auto"/>
            <w:noWrap/>
            <w:vAlign w:val="bottom"/>
            <w:hideMark/>
          </w:tcPr>
          <w:p w14:paraId="1B173E4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5 243</w:t>
            </w:r>
          </w:p>
        </w:tc>
        <w:tc>
          <w:tcPr>
            <w:tcW w:w="372" w:type="pct"/>
            <w:tcBorders>
              <w:top w:val="nil"/>
              <w:left w:val="nil"/>
              <w:bottom w:val="nil"/>
              <w:right w:val="nil"/>
            </w:tcBorders>
            <w:shd w:val="clear" w:color="auto" w:fill="auto"/>
            <w:noWrap/>
            <w:vAlign w:val="bottom"/>
            <w:hideMark/>
          </w:tcPr>
          <w:p w14:paraId="65BDDEB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5 243</w:t>
            </w:r>
          </w:p>
        </w:tc>
        <w:tc>
          <w:tcPr>
            <w:tcW w:w="372" w:type="pct"/>
            <w:tcBorders>
              <w:top w:val="nil"/>
              <w:left w:val="nil"/>
              <w:bottom w:val="nil"/>
              <w:right w:val="nil"/>
            </w:tcBorders>
            <w:shd w:val="clear" w:color="auto" w:fill="auto"/>
            <w:noWrap/>
            <w:vAlign w:val="bottom"/>
            <w:hideMark/>
          </w:tcPr>
          <w:p w14:paraId="4016356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5 243</w:t>
            </w:r>
          </w:p>
        </w:tc>
      </w:tr>
      <w:tr w:rsidR="00DD531B" w:rsidRPr="00DD531B" w14:paraId="30330B75" w14:textId="77777777" w:rsidTr="001F24AE">
        <w:trPr>
          <w:trHeight w:val="300"/>
        </w:trPr>
        <w:tc>
          <w:tcPr>
            <w:tcW w:w="2349" w:type="pct"/>
            <w:tcBorders>
              <w:top w:val="nil"/>
              <w:left w:val="nil"/>
              <w:bottom w:val="nil"/>
              <w:right w:val="nil"/>
            </w:tcBorders>
            <w:shd w:val="clear" w:color="auto" w:fill="auto"/>
            <w:noWrap/>
            <w:vAlign w:val="bottom"/>
            <w:hideMark/>
          </w:tcPr>
          <w:p w14:paraId="3FDEEEA7"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620 odvody</w:t>
            </w:r>
          </w:p>
        </w:tc>
        <w:tc>
          <w:tcPr>
            <w:tcW w:w="360" w:type="pct"/>
            <w:tcBorders>
              <w:top w:val="nil"/>
              <w:left w:val="nil"/>
              <w:bottom w:val="nil"/>
              <w:right w:val="nil"/>
            </w:tcBorders>
            <w:shd w:val="clear" w:color="auto" w:fill="auto"/>
            <w:noWrap/>
            <w:vAlign w:val="bottom"/>
            <w:hideMark/>
          </w:tcPr>
          <w:p w14:paraId="66765EE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1 479</w:t>
            </w:r>
          </w:p>
        </w:tc>
        <w:tc>
          <w:tcPr>
            <w:tcW w:w="360" w:type="pct"/>
            <w:tcBorders>
              <w:top w:val="nil"/>
              <w:left w:val="nil"/>
              <w:bottom w:val="nil"/>
              <w:right w:val="nil"/>
            </w:tcBorders>
            <w:shd w:val="clear" w:color="auto" w:fill="auto"/>
            <w:noWrap/>
            <w:vAlign w:val="bottom"/>
            <w:hideMark/>
          </w:tcPr>
          <w:p w14:paraId="66237C6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1 552</w:t>
            </w:r>
          </w:p>
        </w:tc>
        <w:tc>
          <w:tcPr>
            <w:tcW w:w="372" w:type="pct"/>
            <w:tcBorders>
              <w:top w:val="nil"/>
              <w:left w:val="nil"/>
              <w:bottom w:val="nil"/>
              <w:right w:val="nil"/>
            </w:tcBorders>
            <w:shd w:val="clear" w:color="auto" w:fill="auto"/>
            <w:noWrap/>
            <w:vAlign w:val="bottom"/>
            <w:hideMark/>
          </w:tcPr>
          <w:p w14:paraId="7A68C6B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1 946</w:t>
            </w:r>
          </w:p>
        </w:tc>
        <w:tc>
          <w:tcPr>
            <w:tcW w:w="442" w:type="pct"/>
            <w:tcBorders>
              <w:top w:val="nil"/>
              <w:left w:val="nil"/>
              <w:bottom w:val="nil"/>
              <w:right w:val="nil"/>
            </w:tcBorders>
            <w:shd w:val="clear" w:color="auto" w:fill="auto"/>
            <w:noWrap/>
            <w:vAlign w:val="bottom"/>
            <w:hideMark/>
          </w:tcPr>
          <w:p w14:paraId="209B92DA"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1 946</w:t>
            </w:r>
          </w:p>
        </w:tc>
        <w:tc>
          <w:tcPr>
            <w:tcW w:w="372" w:type="pct"/>
            <w:tcBorders>
              <w:top w:val="nil"/>
              <w:left w:val="nil"/>
              <w:bottom w:val="nil"/>
              <w:right w:val="nil"/>
            </w:tcBorders>
            <w:shd w:val="clear" w:color="auto" w:fill="auto"/>
            <w:noWrap/>
            <w:vAlign w:val="bottom"/>
            <w:hideMark/>
          </w:tcPr>
          <w:p w14:paraId="0B5D762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2 014</w:t>
            </w:r>
          </w:p>
        </w:tc>
        <w:tc>
          <w:tcPr>
            <w:tcW w:w="372" w:type="pct"/>
            <w:tcBorders>
              <w:top w:val="nil"/>
              <w:left w:val="nil"/>
              <w:bottom w:val="nil"/>
              <w:right w:val="nil"/>
            </w:tcBorders>
            <w:shd w:val="clear" w:color="auto" w:fill="auto"/>
            <w:noWrap/>
            <w:vAlign w:val="bottom"/>
            <w:hideMark/>
          </w:tcPr>
          <w:p w14:paraId="1B8AC8E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2 014</w:t>
            </w:r>
          </w:p>
        </w:tc>
        <w:tc>
          <w:tcPr>
            <w:tcW w:w="372" w:type="pct"/>
            <w:tcBorders>
              <w:top w:val="nil"/>
              <w:left w:val="nil"/>
              <w:bottom w:val="nil"/>
              <w:right w:val="nil"/>
            </w:tcBorders>
            <w:shd w:val="clear" w:color="auto" w:fill="auto"/>
            <w:noWrap/>
            <w:vAlign w:val="bottom"/>
            <w:hideMark/>
          </w:tcPr>
          <w:p w14:paraId="36492C3E"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2 014</w:t>
            </w:r>
          </w:p>
        </w:tc>
      </w:tr>
      <w:tr w:rsidR="00DD531B" w:rsidRPr="00DD531B" w14:paraId="5C7F8172" w14:textId="77777777" w:rsidTr="001F24AE">
        <w:trPr>
          <w:trHeight w:val="300"/>
        </w:trPr>
        <w:tc>
          <w:tcPr>
            <w:tcW w:w="2349" w:type="pct"/>
            <w:tcBorders>
              <w:top w:val="nil"/>
              <w:left w:val="nil"/>
              <w:bottom w:val="nil"/>
              <w:right w:val="nil"/>
            </w:tcBorders>
            <w:shd w:val="clear" w:color="auto" w:fill="auto"/>
            <w:noWrap/>
            <w:vAlign w:val="bottom"/>
            <w:hideMark/>
          </w:tcPr>
          <w:p w14:paraId="314B658A"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630 tovary a služby</w:t>
            </w:r>
          </w:p>
        </w:tc>
        <w:tc>
          <w:tcPr>
            <w:tcW w:w="360" w:type="pct"/>
            <w:tcBorders>
              <w:top w:val="nil"/>
              <w:left w:val="nil"/>
              <w:bottom w:val="nil"/>
              <w:right w:val="nil"/>
            </w:tcBorders>
            <w:shd w:val="clear" w:color="auto" w:fill="auto"/>
            <w:noWrap/>
            <w:vAlign w:val="bottom"/>
            <w:hideMark/>
          </w:tcPr>
          <w:p w14:paraId="3483376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1 542</w:t>
            </w:r>
          </w:p>
        </w:tc>
        <w:tc>
          <w:tcPr>
            <w:tcW w:w="360" w:type="pct"/>
            <w:tcBorders>
              <w:top w:val="nil"/>
              <w:left w:val="nil"/>
              <w:bottom w:val="nil"/>
              <w:right w:val="nil"/>
            </w:tcBorders>
            <w:shd w:val="clear" w:color="auto" w:fill="auto"/>
            <w:noWrap/>
            <w:vAlign w:val="bottom"/>
            <w:hideMark/>
          </w:tcPr>
          <w:p w14:paraId="28F11CD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2 365</w:t>
            </w:r>
          </w:p>
        </w:tc>
        <w:tc>
          <w:tcPr>
            <w:tcW w:w="372" w:type="pct"/>
            <w:tcBorders>
              <w:top w:val="nil"/>
              <w:left w:val="nil"/>
              <w:bottom w:val="nil"/>
              <w:right w:val="nil"/>
            </w:tcBorders>
            <w:shd w:val="clear" w:color="auto" w:fill="auto"/>
            <w:noWrap/>
            <w:vAlign w:val="bottom"/>
            <w:hideMark/>
          </w:tcPr>
          <w:p w14:paraId="44EC6DA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3 223</w:t>
            </w:r>
          </w:p>
        </w:tc>
        <w:tc>
          <w:tcPr>
            <w:tcW w:w="442" w:type="pct"/>
            <w:tcBorders>
              <w:top w:val="nil"/>
              <w:left w:val="nil"/>
              <w:bottom w:val="nil"/>
              <w:right w:val="nil"/>
            </w:tcBorders>
            <w:shd w:val="clear" w:color="auto" w:fill="auto"/>
            <w:noWrap/>
            <w:vAlign w:val="bottom"/>
            <w:hideMark/>
          </w:tcPr>
          <w:p w14:paraId="3D384C3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3 135</w:t>
            </w:r>
          </w:p>
        </w:tc>
        <w:tc>
          <w:tcPr>
            <w:tcW w:w="372" w:type="pct"/>
            <w:tcBorders>
              <w:top w:val="nil"/>
              <w:left w:val="nil"/>
              <w:bottom w:val="nil"/>
              <w:right w:val="nil"/>
            </w:tcBorders>
            <w:shd w:val="clear" w:color="auto" w:fill="auto"/>
            <w:noWrap/>
            <w:vAlign w:val="bottom"/>
            <w:hideMark/>
          </w:tcPr>
          <w:p w14:paraId="33D0563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2 017</w:t>
            </w:r>
          </w:p>
        </w:tc>
        <w:tc>
          <w:tcPr>
            <w:tcW w:w="372" w:type="pct"/>
            <w:tcBorders>
              <w:top w:val="nil"/>
              <w:left w:val="nil"/>
              <w:bottom w:val="nil"/>
              <w:right w:val="nil"/>
            </w:tcBorders>
            <w:shd w:val="clear" w:color="auto" w:fill="auto"/>
            <w:noWrap/>
            <w:vAlign w:val="bottom"/>
            <w:hideMark/>
          </w:tcPr>
          <w:p w14:paraId="5A89127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2 078</w:t>
            </w:r>
          </w:p>
        </w:tc>
        <w:tc>
          <w:tcPr>
            <w:tcW w:w="372" w:type="pct"/>
            <w:tcBorders>
              <w:top w:val="nil"/>
              <w:left w:val="nil"/>
              <w:bottom w:val="nil"/>
              <w:right w:val="nil"/>
            </w:tcBorders>
            <w:shd w:val="clear" w:color="auto" w:fill="auto"/>
            <w:noWrap/>
            <w:vAlign w:val="bottom"/>
            <w:hideMark/>
          </w:tcPr>
          <w:p w14:paraId="5797255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2 068</w:t>
            </w:r>
          </w:p>
        </w:tc>
      </w:tr>
      <w:tr w:rsidR="00DD531B" w:rsidRPr="00DD531B" w14:paraId="71880595" w14:textId="77777777" w:rsidTr="001F24AE">
        <w:trPr>
          <w:trHeight w:val="300"/>
        </w:trPr>
        <w:tc>
          <w:tcPr>
            <w:tcW w:w="2349" w:type="pct"/>
            <w:tcBorders>
              <w:top w:val="nil"/>
              <w:left w:val="nil"/>
              <w:bottom w:val="nil"/>
              <w:right w:val="nil"/>
            </w:tcBorders>
            <w:shd w:val="clear" w:color="auto" w:fill="auto"/>
            <w:noWrap/>
            <w:vAlign w:val="bottom"/>
            <w:hideMark/>
          </w:tcPr>
          <w:p w14:paraId="2295D745"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640 bežné transfery</w:t>
            </w:r>
          </w:p>
        </w:tc>
        <w:tc>
          <w:tcPr>
            <w:tcW w:w="360" w:type="pct"/>
            <w:tcBorders>
              <w:top w:val="nil"/>
              <w:left w:val="nil"/>
              <w:bottom w:val="nil"/>
              <w:right w:val="nil"/>
            </w:tcBorders>
            <w:shd w:val="clear" w:color="auto" w:fill="auto"/>
            <w:noWrap/>
            <w:vAlign w:val="bottom"/>
            <w:hideMark/>
          </w:tcPr>
          <w:p w14:paraId="6970384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1 065</w:t>
            </w:r>
          </w:p>
        </w:tc>
        <w:tc>
          <w:tcPr>
            <w:tcW w:w="360" w:type="pct"/>
            <w:tcBorders>
              <w:top w:val="nil"/>
              <w:left w:val="nil"/>
              <w:bottom w:val="nil"/>
              <w:right w:val="nil"/>
            </w:tcBorders>
            <w:shd w:val="clear" w:color="auto" w:fill="auto"/>
            <w:noWrap/>
            <w:vAlign w:val="bottom"/>
            <w:hideMark/>
          </w:tcPr>
          <w:p w14:paraId="112BB6D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1 066</w:t>
            </w:r>
          </w:p>
        </w:tc>
        <w:tc>
          <w:tcPr>
            <w:tcW w:w="372" w:type="pct"/>
            <w:tcBorders>
              <w:top w:val="nil"/>
              <w:left w:val="nil"/>
              <w:bottom w:val="nil"/>
              <w:right w:val="nil"/>
            </w:tcBorders>
            <w:shd w:val="clear" w:color="auto" w:fill="auto"/>
            <w:noWrap/>
            <w:vAlign w:val="bottom"/>
            <w:hideMark/>
          </w:tcPr>
          <w:p w14:paraId="55120EA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1 248</w:t>
            </w:r>
          </w:p>
        </w:tc>
        <w:tc>
          <w:tcPr>
            <w:tcW w:w="442" w:type="pct"/>
            <w:tcBorders>
              <w:top w:val="nil"/>
              <w:left w:val="nil"/>
              <w:bottom w:val="nil"/>
              <w:right w:val="nil"/>
            </w:tcBorders>
            <w:shd w:val="clear" w:color="auto" w:fill="auto"/>
            <w:noWrap/>
            <w:vAlign w:val="bottom"/>
            <w:hideMark/>
          </w:tcPr>
          <w:p w14:paraId="30C9E20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1 204</w:t>
            </w:r>
          </w:p>
        </w:tc>
        <w:tc>
          <w:tcPr>
            <w:tcW w:w="372" w:type="pct"/>
            <w:tcBorders>
              <w:top w:val="nil"/>
              <w:left w:val="nil"/>
              <w:bottom w:val="nil"/>
              <w:right w:val="nil"/>
            </w:tcBorders>
            <w:shd w:val="clear" w:color="auto" w:fill="auto"/>
            <w:noWrap/>
            <w:vAlign w:val="bottom"/>
            <w:hideMark/>
          </w:tcPr>
          <w:p w14:paraId="4BF0346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1 251</w:t>
            </w:r>
          </w:p>
        </w:tc>
        <w:tc>
          <w:tcPr>
            <w:tcW w:w="372" w:type="pct"/>
            <w:tcBorders>
              <w:top w:val="nil"/>
              <w:left w:val="nil"/>
              <w:bottom w:val="nil"/>
              <w:right w:val="nil"/>
            </w:tcBorders>
            <w:shd w:val="clear" w:color="auto" w:fill="auto"/>
            <w:noWrap/>
            <w:vAlign w:val="bottom"/>
            <w:hideMark/>
          </w:tcPr>
          <w:p w14:paraId="5918214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1 304</w:t>
            </w:r>
          </w:p>
        </w:tc>
        <w:tc>
          <w:tcPr>
            <w:tcW w:w="372" w:type="pct"/>
            <w:tcBorders>
              <w:top w:val="nil"/>
              <w:left w:val="nil"/>
              <w:bottom w:val="nil"/>
              <w:right w:val="nil"/>
            </w:tcBorders>
            <w:shd w:val="clear" w:color="auto" w:fill="auto"/>
            <w:noWrap/>
            <w:vAlign w:val="bottom"/>
            <w:hideMark/>
          </w:tcPr>
          <w:p w14:paraId="0DC2497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1 304</w:t>
            </w:r>
          </w:p>
        </w:tc>
      </w:tr>
      <w:tr w:rsidR="00DD531B" w:rsidRPr="00DD531B" w14:paraId="3B9646D0" w14:textId="77777777" w:rsidTr="001F24AE">
        <w:trPr>
          <w:trHeight w:val="300"/>
        </w:trPr>
        <w:tc>
          <w:tcPr>
            <w:tcW w:w="2349" w:type="pct"/>
            <w:tcBorders>
              <w:top w:val="nil"/>
              <w:left w:val="nil"/>
              <w:bottom w:val="nil"/>
              <w:right w:val="nil"/>
            </w:tcBorders>
            <w:shd w:val="clear" w:color="auto" w:fill="auto"/>
            <w:noWrap/>
            <w:vAlign w:val="bottom"/>
            <w:hideMark/>
          </w:tcPr>
          <w:p w14:paraId="0A4B124E"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kapitálové výdavky 700</w:t>
            </w:r>
          </w:p>
        </w:tc>
        <w:tc>
          <w:tcPr>
            <w:tcW w:w="360" w:type="pct"/>
            <w:tcBorders>
              <w:top w:val="nil"/>
              <w:left w:val="nil"/>
              <w:bottom w:val="nil"/>
              <w:right w:val="nil"/>
            </w:tcBorders>
            <w:shd w:val="clear" w:color="auto" w:fill="auto"/>
            <w:noWrap/>
            <w:vAlign w:val="bottom"/>
            <w:hideMark/>
          </w:tcPr>
          <w:p w14:paraId="7D09E07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117</w:t>
            </w:r>
          </w:p>
        </w:tc>
        <w:tc>
          <w:tcPr>
            <w:tcW w:w="360" w:type="pct"/>
            <w:tcBorders>
              <w:top w:val="nil"/>
              <w:left w:val="nil"/>
              <w:bottom w:val="nil"/>
              <w:right w:val="nil"/>
            </w:tcBorders>
            <w:shd w:val="clear" w:color="auto" w:fill="auto"/>
            <w:noWrap/>
            <w:vAlign w:val="bottom"/>
            <w:hideMark/>
          </w:tcPr>
          <w:p w14:paraId="7EF56D4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26</w:t>
            </w:r>
          </w:p>
        </w:tc>
        <w:tc>
          <w:tcPr>
            <w:tcW w:w="372" w:type="pct"/>
            <w:tcBorders>
              <w:top w:val="nil"/>
              <w:left w:val="nil"/>
              <w:bottom w:val="nil"/>
              <w:right w:val="nil"/>
            </w:tcBorders>
            <w:shd w:val="clear" w:color="auto" w:fill="auto"/>
            <w:noWrap/>
            <w:vAlign w:val="bottom"/>
            <w:hideMark/>
          </w:tcPr>
          <w:p w14:paraId="286D34A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333</w:t>
            </w:r>
          </w:p>
        </w:tc>
        <w:tc>
          <w:tcPr>
            <w:tcW w:w="442" w:type="pct"/>
            <w:tcBorders>
              <w:top w:val="nil"/>
              <w:left w:val="nil"/>
              <w:bottom w:val="nil"/>
              <w:right w:val="nil"/>
            </w:tcBorders>
            <w:shd w:val="clear" w:color="auto" w:fill="auto"/>
            <w:noWrap/>
            <w:vAlign w:val="bottom"/>
            <w:hideMark/>
          </w:tcPr>
          <w:p w14:paraId="00899CA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89</w:t>
            </w:r>
          </w:p>
        </w:tc>
        <w:tc>
          <w:tcPr>
            <w:tcW w:w="372" w:type="pct"/>
            <w:tcBorders>
              <w:top w:val="nil"/>
              <w:left w:val="nil"/>
              <w:bottom w:val="nil"/>
              <w:right w:val="nil"/>
            </w:tcBorders>
            <w:shd w:val="clear" w:color="auto" w:fill="auto"/>
            <w:noWrap/>
            <w:vAlign w:val="bottom"/>
            <w:hideMark/>
          </w:tcPr>
          <w:p w14:paraId="3A4B45B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437</w:t>
            </w:r>
          </w:p>
        </w:tc>
        <w:tc>
          <w:tcPr>
            <w:tcW w:w="372" w:type="pct"/>
            <w:tcBorders>
              <w:top w:val="nil"/>
              <w:left w:val="nil"/>
              <w:bottom w:val="nil"/>
              <w:right w:val="nil"/>
            </w:tcBorders>
            <w:shd w:val="clear" w:color="auto" w:fill="auto"/>
            <w:noWrap/>
            <w:vAlign w:val="bottom"/>
            <w:hideMark/>
          </w:tcPr>
          <w:p w14:paraId="74BDC31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385</w:t>
            </w:r>
          </w:p>
        </w:tc>
        <w:tc>
          <w:tcPr>
            <w:tcW w:w="372" w:type="pct"/>
            <w:tcBorders>
              <w:top w:val="nil"/>
              <w:left w:val="nil"/>
              <w:bottom w:val="nil"/>
              <w:right w:val="nil"/>
            </w:tcBorders>
            <w:shd w:val="clear" w:color="auto" w:fill="auto"/>
            <w:noWrap/>
            <w:vAlign w:val="bottom"/>
            <w:hideMark/>
          </w:tcPr>
          <w:p w14:paraId="2EF301B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395</w:t>
            </w:r>
          </w:p>
        </w:tc>
      </w:tr>
      <w:tr w:rsidR="00DD531B" w:rsidRPr="00DD531B" w14:paraId="1E0BF63F" w14:textId="77777777" w:rsidTr="001F24AE">
        <w:trPr>
          <w:trHeight w:val="300"/>
        </w:trPr>
        <w:tc>
          <w:tcPr>
            <w:tcW w:w="2349" w:type="pct"/>
            <w:tcBorders>
              <w:top w:val="nil"/>
              <w:left w:val="nil"/>
              <w:bottom w:val="nil"/>
              <w:right w:val="nil"/>
            </w:tcBorders>
            <w:shd w:val="clear" w:color="auto" w:fill="auto"/>
            <w:noWrap/>
            <w:vAlign w:val="bottom"/>
            <w:hideMark/>
          </w:tcPr>
          <w:p w14:paraId="0F277846"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zdroj EÚ vrátane spolufinancovania zo ŠR, v tom:</w:t>
            </w:r>
          </w:p>
        </w:tc>
        <w:tc>
          <w:tcPr>
            <w:tcW w:w="360" w:type="pct"/>
            <w:tcBorders>
              <w:top w:val="nil"/>
              <w:left w:val="nil"/>
              <w:bottom w:val="nil"/>
              <w:right w:val="nil"/>
            </w:tcBorders>
            <w:shd w:val="clear" w:color="auto" w:fill="auto"/>
            <w:noWrap/>
            <w:vAlign w:val="bottom"/>
            <w:hideMark/>
          </w:tcPr>
          <w:p w14:paraId="783DDFAE"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60" w:type="pct"/>
            <w:tcBorders>
              <w:top w:val="nil"/>
              <w:left w:val="nil"/>
              <w:bottom w:val="nil"/>
              <w:right w:val="nil"/>
            </w:tcBorders>
            <w:shd w:val="clear" w:color="auto" w:fill="auto"/>
            <w:noWrap/>
            <w:vAlign w:val="bottom"/>
            <w:hideMark/>
          </w:tcPr>
          <w:p w14:paraId="78BB16A3"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3C6051F1"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442" w:type="pct"/>
            <w:tcBorders>
              <w:top w:val="nil"/>
              <w:left w:val="nil"/>
              <w:bottom w:val="nil"/>
              <w:right w:val="nil"/>
            </w:tcBorders>
            <w:shd w:val="clear" w:color="auto" w:fill="auto"/>
            <w:noWrap/>
            <w:vAlign w:val="bottom"/>
            <w:hideMark/>
          </w:tcPr>
          <w:p w14:paraId="56346596"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95</w:t>
            </w:r>
          </w:p>
        </w:tc>
        <w:tc>
          <w:tcPr>
            <w:tcW w:w="372" w:type="pct"/>
            <w:tcBorders>
              <w:top w:val="nil"/>
              <w:left w:val="nil"/>
              <w:bottom w:val="nil"/>
              <w:right w:val="nil"/>
            </w:tcBorders>
            <w:shd w:val="clear" w:color="auto" w:fill="auto"/>
            <w:noWrap/>
            <w:vAlign w:val="bottom"/>
            <w:hideMark/>
          </w:tcPr>
          <w:p w14:paraId="332A1FEF"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7217D1A3"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16D254CD"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r>
      <w:tr w:rsidR="00DD531B" w:rsidRPr="00DD531B" w14:paraId="786B695B" w14:textId="77777777" w:rsidTr="001F24AE">
        <w:trPr>
          <w:trHeight w:val="300"/>
        </w:trPr>
        <w:tc>
          <w:tcPr>
            <w:tcW w:w="2349" w:type="pct"/>
            <w:tcBorders>
              <w:top w:val="nil"/>
              <w:left w:val="nil"/>
              <w:bottom w:val="nil"/>
              <w:right w:val="nil"/>
            </w:tcBorders>
            <w:shd w:val="clear" w:color="auto" w:fill="auto"/>
            <w:noWrap/>
            <w:vAlign w:val="bottom"/>
            <w:hideMark/>
          </w:tcPr>
          <w:p w14:paraId="4BF28416"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prostriedky EÚ</w:t>
            </w:r>
          </w:p>
        </w:tc>
        <w:tc>
          <w:tcPr>
            <w:tcW w:w="360" w:type="pct"/>
            <w:tcBorders>
              <w:top w:val="nil"/>
              <w:left w:val="nil"/>
              <w:bottom w:val="nil"/>
              <w:right w:val="nil"/>
            </w:tcBorders>
            <w:shd w:val="clear" w:color="auto" w:fill="auto"/>
            <w:noWrap/>
            <w:vAlign w:val="bottom"/>
            <w:hideMark/>
          </w:tcPr>
          <w:p w14:paraId="31C2187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60" w:type="pct"/>
            <w:tcBorders>
              <w:top w:val="nil"/>
              <w:left w:val="nil"/>
              <w:bottom w:val="nil"/>
              <w:right w:val="nil"/>
            </w:tcBorders>
            <w:shd w:val="clear" w:color="auto" w:fill="auto"/>
            <w:noWrap/>
            <w:vAlign w:val="bottom"/>
            <w:hideMark/>
          </w:tcPr>
          <w:p w14:paraId="7E32146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6244A41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42" w:type="pct"/>
            <w:tcBorders>
              <w:top w:val="nil"/>
              <w:left w:val="nil"/>
              <w:bottom w:val="nil"/>
              <w:right w:val="nil"/>
            </w:tcBorders>
            <w:shd w:val="clear" w:color="auto" w:fill="auto"/>
            <w:noWrap/>
            <w:vAlign w:val="bottom"/>
            <w:hideMark/>
          </w:tcPr>
          <w:p w14:paraId="7E57812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95</w:t>
            </w:r>
          </w:p>
        </w:tc>
        <w:tc>
          <w:tcPr>
            <w:tcW w:w="372" w:type="pct"/>
            <w:tcBorders>
              <w:top w:val="nil"/>
              <w:left w:val="nil"/>
              <w:bottom w:val="nil"/>
              <w:right w:val="nil"/>
            </w:tcBorders>
            <w:shd w:val="clear" w:color="auto" w:fill="auto"/>
            <w:noWrap/>
            <w:vAlign w:val="bottom"/>
            <w:hideMark/>
          </w:tcPr>
          <w:p w14:paraId="7E03D3D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73E200E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404A2B4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r w:rsidR="00DD531B" w:rsidRPr="00DD531B" w14:paraId="5F32C071" w14:textId="77777777" w:rsidTr="001F24AE">
        <w:trPr>
          <w:trHeight w:val="300"/>
        </w:trPr>
        <w:tc>
          <w:tcPr>
            <w:tcW w:w="2349" w:type="pct"/>
            <w:tcBorders>
              <w:top w:val="nil"/>
              <w:left w:val="nil"/>
              <w:bottom w:val="nil"/>
              <w:right w:val="nil"/>
            </w:tcBorders>
            <w:shd w:val="clear" w:color="auto" w:fill="auto"/>
            <w:noWrap/>
            <w:vAlign w:val="bottom"/>
            <w:hideMark/>
          </w:tcPr>
          <w:p w14:paraId="4BB5C018" w14:textId="77777777" w:rsidR="00DD531B" w:rsidRPr="00170734" w:rsidRDefault="00DD531B" w:rsidP="00DD531B">
            <w:pPr>
              <w:spacing w:after="0" w:line="240" w:lineRule="auto"/>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presun z minulých rokov § 8, v tom:</w:t>
            </w:r>
          </w:p>
        </w:tc>
        <w:tc>
          <w:tcPr>
            <w:tcW w:w="360" w:type="pct"/>
            <w:tcBorders>
              <w:top w:val="nil"/>
              <w:left w:val="nil"/>
              <w:bottom w:val="nil"/>
              <w:right w:val="nil"/>
            </w:tcBorders>
            <w:shd w:val="clear" w:color="auto" w:fill="auto"/>
            <w:noWrap/>
            <w:vAlign w:val="bottom"/>
            <w:hideMark/>
          </w:tcPr>
          <w:p w14:paraId="16973243"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14</w:t>
            </w:r>
          </w:p>
        </w:tc>
        <w:tc>
          <w:tcPr>
            <w:tcW w:w="360" w:type="pct"/>
            <w:tcBorders>
              <w:top w:val="nil"/>
              <w:left w:val="nil"/>
              <w:bottom w:val="nil"/>
              <w:right w:val="nil"/>
            </w:tcBorders>
            <w:shd w:val="clear" w:color="auto" w:fill="auto"/>
            <w:noWrap/>
            <w:vAlign w:val="bottom"/>
            <w:hideMark/>
          </w:tcPr>
          <w:p w14:paraId="416FEA23"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131</w:t>
            </w:r>
          </w:p>
        </w:tc>
        <w:tc>
          <w:tcPr>
            <w:tcW w:w="372" w:type="pct"/>
            <w:tcBorders>
              <w:top w:val="nil"/>
              <w:left w:val="nil"/>
              <w:bottom w:val="nil"/>
              <w:right w:val="nil"/>
            </w:tcBorders>
            <w:shd w:val="clear" w:color="auto" w:fill="auto"/>
            <w:noWrap/>
            <w:vAlign w:val="bottom"/>
            <w:hideMark/>
          </w:tcPr>
          <w:p w14:paraId="7D762A96"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442" w:type="pct"/>
            <w:tcBorders>
              <w:top w:val="nil"/>
              <w:left w:val="nil"/>
              <w:bottom w:val="nil"/>
              <w:right w:val="nil"/>
            </w:tcBorders>
            <w:shd w:val="clear" w:color="auto" w:fill="auto"/>
            <w:noWrap/>
            <w:vAlign w:val="bottom"/>
            <w:hideMark/>
          </w:tcPr>
          <w:p w14:paraId="394CAF95"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1 196</w:t>
            </w:r>
          </w:p>
        </w:tc>
        <w:tc>
          <w:tcPr>
            <w:tcW w:w="372" w:type="pct"/>
            <w:tcBorders>
              <w:top w:val="nil"/>
              <w:left w:val="nil"/>
              <w:bottom w:val="nil"/>
              <w:right w:val="nil"/>
            </w:tcBorders>
            <w:shd w:val="clear" w:color="auto" w:fill="auto"/>
            <w:noWrap/>
            <w:vAlign w:val="bottom"/>
            <w:hideMark/>
          </w:tcPr>
          <w:p w14:paraId="4DF8C0F8"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5B0FBBC4"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05A32799"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r>
      <w:tr w:rsidR="00DD531B" w:rsidRPr="00DD531B" w14:paraId="2071E618" w14:textId="77777777" w:rsidTr="001F24AE">
        <w:trPr>
          <w:trHeight w:val="300"/>
        </w:trPr>
        <w:tc>
          <w:tcPr>
            <w:tcW w:w="2349" w:type="pct"/>
            <w:tcBorders>
              <w:top w:val="nil"/>
              <w:left w:val="nil"/>
              <w:bottom w:val="nil"/>
              <w:right w:val="nil"/>
            </w:tcBorders>
            <w:shd w:val="clear" w:color="auto" w:fill="auto"/>
            <w:noWrap/>
            <w:vAlign w:val="bottom"/>
            <w:hideMark/>
          </w:tcPr>
          <w:p w14:paraId="390DA12B"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štátny rozpočet</w:t>
            </w:r>
          </w:p>
        </w:tc>
        <w:tc>
          <w:tcPr>
            <w:tcW w:w="360" w:type="pct"/>
            <w:tcBorders>
              <w:top w:val="nil"/>
              <w:left w:val="nil"/>
              <w:bottom w:val="nil"/>
              <w:right w:val="nil"/>
            </w:tcBorders>
            <w:shd w:val="clear" w:color="auto" w:fill="auto"/>
            <w:noWrap/>
            <w:vAlign w:val="bottom"/>
            <w:hideMark/>
          </w:tcPr>
          <w:p w14:paraId="5AECBA9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14</w:t>
            </w:r>
          </w:p>
        </w:tc>
        <w:tc>
          <w:tcPr>
            <w:tcW w:w="360" w:type="pct"/>
            <w:tcBorders>
              <w:top w:val="nil"/>
              <w:left w:val="nil"/>
              <w:bottom w:val="nil"/>
              <w:right w:val="nil"/>
            </w:tcBorders>
            <w:shd w:val="clear" w:color="auto" w:fill="auto"/>
            <w:noWrap/>
            <w:vAlign w:val="bottom"/>
            <w:hideMark/>
          </w:tcPr>
          <w:p w14:paraId="46BF607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131</w:t>
            </w:r>
          </w:p>
        </w:tc>
        <w:tc>
          <w:tcPr>
            <w:tcW w:w="372" w:type="pct"/>
            <w:tcBorders>
              <w:top w:val="nil"/>
              <w:left w:val="nil"/>
              <w:bottom w:val="nil"/>
              <w:right w:val="nil"/>
            </w:tcBorders>
            <w:shd w:val="clear" w:color="auto" w:fill="auto"/>
            <w:noWrap/>
            <w:vAlign w:val="bottom"/>
            <w:hideMark/>
          </w:tcPr>
          <w:p w14:paraId="36E489C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42" w:type="pct"/>
            <w:tcBorders>
              <w:top w:val="nil"/>
              <w:left w:val="nil"/>
              <w:bottom w:val="nil"/>
              <w:right w:val="nil"/>
            </w:tcBorders>
            <w:shd w:val="clear" w:color="auto" w:fill="auto"/>
            <w:noWrap/>
            <w:vAlign w:val="bottom"/>
            <w:hideMark/>
          </w:tcPr>
          <w:p w14:paraId="7885606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2FCFCDC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5215D8B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2B275EF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r w:rsidR="00DD531B" w:rsidRPr="00DD531B" w14:paraId="79F297A6" w14:textId="77777777" w:rsidTr="001F24AE">
        <w:trPr>
          <w:trHeight w:val="300"/>
        </w:trPr>
        <w:tc>
          <w:tcPr>
            <w:tcW w:w="2349" w:type="pct"/>
            <w:tcBorders>
              <w:top w:val="nil"/>
              <w:left w:val="nil"/>
              <w:bottom w:val="single" w:sz="4" w:space="0" w:color="auto"/>
              <w:right w:val="nil"/>
            </w:tcBorders>
            <w:shd w:val="clear" w:color="auto" w:fill="auto"/>
            <w:noWrap/>
            <w:vAlign w:val="bottom"/>
            <w:hideMark/>
          </w:tcPr>
          <w:p w14:paraId="4C94F671"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prostriedky EÚ a spolufinancovanie zo ŠR</w:t>
            </w:r>
          </w:p>
        </w:tc>
        <w:tc>
          <w:tcPr>
            <w:tcW w:w="360" w:type="pct"/>
            <w:tcBorders>
              <w:top w:val="nil"/>
              <w:left w:val="nil"/>
              <w:bottom w:val="single" w:sz="4" w:space="0" w:color="auto"/>
              <w:right w:val="nil"/>
            </w:tcBorders>
            <w:shd w:val="clear" w:color="auto" w:fill="auto"/>
            <w:noWrap/>
            <w:vAlign w:val="bottom"/>
            <w:hideMark/>
          </w:tcPr>
          <w:p w14:paraId="09BF311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60" w:type="pct"/>
            <w:tcBorders>
              <w:top w:val="nil"/>
              <w:left w:val="nil"/>
              <w:bottom w:val="single" w:sz="4" w:space="0" w:color="auto"/>
              <w:right w:val="nil"/>
            </w:tcBorders>
            <w:shd w:val="clear" w:color="auto" w:fill="auto"/>
            <w:noWrap/>
            <w:vAlign w:val="bottom"/>
            <w:hideMark/>
          </w:tcPr>
          <w:p w14:paraId="06CAB8EA"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single" w:sz="4" w:space="0" w:color="auto"/>
              <w:right w:val="nil"/>
            </w:tcBorders>
            <w:shd w:val="clear" w:color="auto" w:fill="auto"/>
            <w:noWrap/>
            <w:vAlign w:val="bottom"/>
            <w:hideMark/>
          </w:tcPr>
          <w:p w14:paraId="2A24AB0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42" w:type="pct"/>
            <w:tcBorders>
              <w:top w:val="nil"/>
              <w:left w:val="nil"/>
              <w:bottom w:val="single" w:sz="4" w:space="0" w:color="auto"/>
              <w:right w:val="nil"/>
            </w:tcBorders>
            <w:shd w:val="clear" w:color="auto" w:fill="auto"/>
            <w:noWrap/>
            <w:vAlign w:val="bottom"/>
            <w:hideMark/>
          </w:tcPr>
          <w:p w14:paraId="5BC1B9A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1 196</w:t>
            </w:r>
          </w:p>
        </w:tc>
        <w:tc>
          <w:tcPr>
            <w:tcW w:w="372" w:type="pct"/>
            <w:tcBorders>
              <w:top w:val="nil"/>
              <w:left w:val="nil"/>
              <w:bottom w:val="single" w:sz="4" w:space="0" w:color="auto"/>
              <w:right w:val="nil"/>
            </w:tcBorders>
            <w:shd w:val="clear" w:color="auto" w:fill="auto"/>
            <w:noWrap/>
            <w:vAlign w:val="bottom"/>
            <w:hideMark/>
          </w:tcPr>
          <w:p w14:paraId="31FB350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single" w:sz="4" w:space="0" w:color="auto"/>
              <w:right w:val="nil"/>
            </w:tcBorders>
            <w:shd w:val="clear" w:color="auto" w:fill="auto"/>
            <w:noWrap/>
            <w:vAlign w:val="bottom"/>
            <w:hideMark/>
          </w:tcPr>
          <w:p w14:paraId="0D2DF15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single" w:sz="4" w:space="0" w:color="auto"/>
              <w:right w:val="nil"/>
            </w:tcBorders>
            <w:shd w:val="clear" w:color="auto" w:fill="auto"/>
            <w:noWrap/>
            <w:vAlign w:val="bottom"/>
            <w:hideMark/>
          </w:tcPr>
          <w:p w14:paraId="3691298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bl>
    <w:p w14:paraId="6AB0AE51" w14:textId="77777777" w:rsidR="00DD531B" w:rsidRPr="00DD531B" w:rsidRDefault="00DD531B" w:rsidP="00DD531B">
      <w:pPr>
        <w:rPr>
          <w:rFonts w:ascii="Times New Roman" w:eastAsia="Calibri" w:hAnsi="Times New Roman" w:cs="Times New Roman"/>
        </w:rPr>
      </w:pPr>
    </w:p>
    <w:p w14:paraId="171C52BD" w14:textId="16C047CB" w:rsidR="00DD531B" w:rsidRPr="00170734" w:rsidRDefault="00DD531B" w:rsidP="00DD531B">
      <w:pPr>
        <w:keepNext/>
        <w:keepLines/>
        <w:spacing w:before="40" w:after="0"/>
        <w:outlineLvl w:val="1"/>
        <w:rPr>
          <w:rFonts w:ascii="Times New Roman" w:eastAsia="Times New Roman" w:hAnsi="Times New Roman" w:cs="Times New Roman"/>
          <w:b/>
          <w:color w:val="5B9BD5" w:themeColor="accent1"/>
          <w:sz w:val="24"/>
          <w:szCs w:val="24"/>
        </w:rPr>
      </w:pPr>
      <w:r w:rsidRPr="00170734">
        <w:rPr>
          <w:rFonts w:ascii="Times New Roman" w:eastAsia="Times New Roman" w:hAnsi="Times New Roman" w:cs="Times New Roman"/>
          <w:b/>
          <w:color w:val="5B9BD5" w:themeColor="accent1"/>
          <w:sz w:val="24"/>
          <w:szCs w:val="24"/>
        </w:rPr>
        <w:lastRenderedPageBreak/>
        <w:t>Úrad priemyselného vlastníctva SR</w:t>
      </w:r>
    </w:p>
    <w:p w14:paraId="349ED30F" w14:textId="77777777" w:rsidR="00DD531B" w:rsidRPr="00170734" w:rsidRDefault="00DD531B" w:rsidP="00DD531B">
      <w:pPr>
        <w:spacing w:before="40"/>
        <w:rPr>
          <w:rFonts w:ascii="Times New Roman" w:eastAsia="Calibri" w:hAnsi="Times New Roman" w:cs="Times New Roman"/>
          <w:color w:val="5B9BD5" w:themeColor="accent1"/>
        </w:rPr>
      </w:pPr>
    </w:p>
    <w:p w14:paraId="4C13BB58" w14:textId="65C12634" w:rsidR="00DD531B" w:rsidRPr="00170734" w:rsidRDefault="00170734"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37" w:name="_Toc153013107"/>
      <w:r>
        <w:rPr>
          <w:rFonts w:ascii="Times New Roman" w:eastAsia="Times New Roman" w:hAnsi="Times New Roman" w:cs="Times New Roman"/>
          <w:b/>
          <w:iCs/>
          <w:color w:val="5B9BD5" w:themeColor="accent1"/>
          <w:sz w:val="20"/>
          <w:szCs w:val="20"/>
          <w:lang w:eastAsia="sk-SK"/>
        </w:rPr>
        <w:t xml:space="preserve">Tabuľka </w:t>
      </w:r>
      <w:r w:rsidRPr="005F5DA3">
        <w:rPr>
          <w:rFonts w:ascii="Times New Roman" w:hAnsi="Times New Roman" w:cs="Times New Roman"/>
          <w:b/>
          <w:color w:val="5B9BD5" w:themeColor="accent1"/>
          <w:sz w:val="20"/>
          <w:szCs w:val="20"/>
        </w:rPr>
        <w:fldChar w:fldCharType="begin"/>
      </w:r>
      <w:r w:rsidRPr="005F5DA3">
        <w:rPr>
          <w:rFonts w:ascii="Times New Roman" w:hAnsi="Times New Roman" w:cs="Times New Roman"/>
          <w:b/>
          <w:color w:val="5B9BD5" w:themeColor="accent1"/>
          <w:sz w:val="20"/>
          <w:szCs w:val="20"/>
        </w:rPr>
        <w:instrText xml:space="preserve"> SEQ Tabuľka \* ARABIC </w:instrText>
      </w:r>
      <w:r w:rsidRPr="005F5DA3">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109</w:t>
      </w:r>
      <w:r w:rsidRPr="005F5DA3">
        <w:rPr>
          <w:rFonts w:ascii="Times New Roman" w:hAnsi="Times New Roman" w:cs="Times New Roman"/>
          <w:b/>
          <w:color w:val="5B9BD5" w:themeColor="accent1"/>
          <w:sz w:val="20"/>
          <w:szCs w:val="20"/>
        </w:rPr>
        <w:fldChar w:fldCharType="end"/>
      </w:r>
      <w:r>
        <w:rPr>
          <w:rFonts w:ascii="Times New Roman" w:hAnsi="Times New Roman" w:cs="Times New Roman"/>
          <w:b/>
          <w:color w:val="5B9BD5" w:themeColor="accent1"/>
          <w:sz w:val="20"/>
          <w:szCs w:val="20"/>
        </w:rPr>
        <w:t xml:space="preserve"> - </w:t>
      </w:r>
      <w:r w:rsidR="00DD531B" w:rsidRPr="00170734">
        <w:rPr>
          <w:rFonts w:ascii="Times New Roman" w:eastAsia="Times New Roman" w:hAnsi="Times New Roman" w:cs="Times New Roman"/>
          <w:b/>
          <w:iCs/>
          <w:color w:val="5B9BD5" w:themeColor="accent1"/>
          <w:sz w:val="20"/>
          <w:szCs w:val="20"/>
          <w:lang w:eastAsia="sk-SK"/>
        </w:rPr>
        <w:t>Príjmy kapitoly ÚPV SR</w:t>
      </w:r>
      <w:bookmarkEnd w:id="237"/>
    </w:p>
    <w:tbl>
      <w:tblPr>
        <w:tblW w:w="5000" w:type="pct"/>
        <w:tblCellMar>
          <w:left w:w="70" w:type="dxa"/>
          <w:right w:w="70" w:type="dxa"/>
        </w:tblCellMar>
        <w:tblLook w:val="04A0" w:firstRow="1" w:lastRow="0" w:firstColumn="1" w:lastColumn="0" w:noHBand="0" w:noVBand="1"/>
      </w:tblPr>
      <w:tblGrid>
        <w:gridCol w:w="3750"/>
        <w:gridCol w:w="761"/>
        <w:gridCol w:w="761"/>
        <w:gridCol w:w="760"/>
        <w:gridCol w:w="760"/>
        <w:gridCol w:w="760"/>
        <w:gridCol w:w="760"/>
        <w:gridCol w:w="760"/>
      </w:tblGrid>
      <w:tr w:rsidR="00DD531B" w:rsidRPr="00DD531B" w14:paraId="43F2716E" w14:textId="77777777" w:rsidTr="001F24AE">
        <w:trPr>
          <w:trHeight w:val="300"/>
        </w:trPr>
        <w:tc>
          <w:tcPr>
            <w:tcW w:w="2065" w:type="pct"/>
            <w:tcBorders>
              <w:top w:val="single" w:sz="4" w:space="0" w:color="auto"/>
              <w:left w:val="nil"/>
              <w:bottom w:val="single" w:sz="4" w:space="0" w:color="auto"/>
              <w:right w:val="nil"/>
            </w:tcBorders>
            <w:shd w:val="clear" w:color="auto" w:fill="auto"/>
            <w:noWrap/>
            <w:vAlign w:val="center"/>
            <w:hideMark/>
          </w:tcPr>
          <w:p w14:paraId="2C06F117"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v  tis. eur</w:t>
            </w:r>
          </w:p>
        </w:tc>
        <w:tc>
          <w:tcPr>
            <w:tcW w:w="419" w:type="pct"/>
            <w:tcBorders>
              <w:top w:val="single" w:sz="4" w:space="0" w:color="auto"/>
              <w:left w:val="nil"/>
              <w:bottom w:val="single" w:sz="4" w:space="0" w:color="auto"/>
              <w:right w:val="nil"/>
            </w:tcBorders>
            <w:shd w:val="clear" w:color="auto" w:fill="auto"/>
            <w:noWrap/>
            <w:vAlign w:val="center"/>
            <w:hideMark/>
          </w:tcPr>
          <w:p w14:paraId="215BDC32"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2021 S</w:t>
            </w:r>
          </w:p>
        </w:tc>
        <w:tc>
          <w:tcPr>
            <w:tcW w:w="419" w:type="pct"/>
            <w:tcBorders>
              <w:top w:val="single" w:sz="4" w:space="0" w:color="auto"/>
              <w:left w:val="nil"/>
              <w:bottom w:val="single" w:sz="4" w:space="0" w:color="auto"/>
              <w:right w:val="nil"/>
            </w:tcBorders>
            <w:shd w:val="clear" w:color="auto" w:fill="auto"/>
            <w:noWrap/>
            <w:vAlign w:val="center"/>
            <w:hideMark/>
          </w:tcPr>
          <w:p w14:paraId="5C1B1FA9"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2022 S</w:t>
            </w:r>
          </w:p>
        </w:tc>
        <w:tc>
          <w:tcPr>
            <w:tcW w:w="419" w:type="pct"/>
            <w:tcBorders>
              <w:top w:val="single" w:sz="4" w:space="0" w:color="auto"/>
              <w:left w:val="nil"/>
              <w:bottom w:val="single" w:sz="4" w:space="0" w:color="auto"/>
              <w:right w:val="nil"/>
            </w:tcBorders>
            <w:shd w:val="clear" w:color="auto" w:fill="auto"/>
            <w:noWrap/>
            <w:vAlign w:val="center"/>
            <w:hideMark/>
          </w:tcPr>
          <w:p w14:paraId="179A8AC3"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2023 R</w:t>
            </w:r>
          </w:p>
        </w:tc>
        <w:tc>
          <w:tcPr>
            <w:tcW w:w="419" w:type="pct"/>
            <w:tcBorders>
              <w:top w:val="single" w:sz="4" w:space="0" w:color="auto"/>
              <w:left w:val="nil"/>
              <w:bottom w:val="single" w:sz="4" w:space="0" w:color="auto"/>
              <w:right w:val="nil"/>
            </w:tcBorders>
            <w:shd w:val="clear" w:color="auto" w:fill="auto"/>
            <w:noWrap/>
            <w:vAlign w:val="center"/>
            <w:hideMark/>
          </w:tcPr>
          <w:p w14:paraId="1ECA11B1"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2023 OS</w:t>
            </w:r>
          </w:p>
        </w:tc>
        <w:tc>
          <w:tcPr>
            <w:tcW w:w="419" w:type="pct"/>
            <w:tcBorders>
              <w:top w:val="single" w:sz="4" w:space="0" w:color="auto"/>
              <w:left w:val="nil"/>
              <w:bottom w:val="single" w:sz="4" w:space="0" w:color="auto"/>
              <w:right w:val="nil"/>
            </w:tcBorders>
            <w:shd w:val="clear" w:color="auto" w:fill="auto"/>
            <w:noWrap/>
            <w:vAlign w:val="center"/>
            <w:hideMark/>
          </w:tcPr>
          <w:p w14:paraId="49156547"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2024 N</w:t>
            </w:r>
          </w:p>
        </w:tc>
        <w:tc>
          <w:tcPr>
            <w:tcW w:w="419" w:type="pct"/>
            <w:tcBorders>
              <w:top w:val="single" w:sz="4" w:space="0" w:color="auto"/>
              <w:left w:val="nil"/>
              <w:bottom w:val="single" w:sz="4" w:space="0" w:color="auto"/>
              <w:right w:val="nil"/>
            </w:tcBorders>
            <w:shd w:val="clear" w:color="auto" w:fill="auto"/>
            <w:noWrap/>
            <w:vAlign w:val="center"/>
            <w:hideMark/>
          </w:tcPr>
          <w:p w14:paraId="54DB348D"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2025 N</w:t>
            </w:r>
          </w:p>
        </w:tc>
        <w:tc>
          <w:tcPr>
            <w:tcW w:w="419" w:type="pct"/>
            <w:tcBorders>
              <w:top w:val="single" w:sz="4" w:space="0" w:color="auto"/>
              <w:left w:val="nil"/>
              <w:bottom w:val="single" w:sz="4" w:space="0" w:color="auto"/>
              <w:right w:val="nil"/>
            </w:tcBorders>
            <w:shd w:val="clear" w:color="auto" w:fill="auto"/>
            <w:noWrap/>
            <w:vAlign w:val="center"/>
            <w:hideMark/>
          </w:tcPr>
          <w:p w14:paraId="787BE44E"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2026 N</w:t>
            </w:r>
          </w:p>
        </w:tc>
      </w:tr>
      <w:tr w:rsidR="00DD531B" w:rsidRPr="00DD531B" w14:paraId="3E1EA8BD" w14:textId="77777777" w:rsidTr="001F24AE">
        <w:trPr>
          <w:trHeight w:val="300"/>
        </w:trPr>
        <w:tc>
          <w:tcPr>
            <w:tcW w:w="2065" w:type="pct"/>
            <w:tcBorders>
              <w:top w:val="nil"/>
              <w:left w:val="nil"/>
              <w:bottom w:val="nil"/>
              <w:right w:val="nil"/>
            </w:tcBorders>
            <w:shd w:val="clear" w:color="auto" w:fill="auto"/>
            <w:noWrap/>
            <w:vAlign w:val="bottom"/>
            <w:hideMark/>
          </w:tcPr>
          <w:p w14:paraId="46F674C8"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Príjmy kapitoly spolu</w:t>
            </w:r>
          </w:p>
        </w:tc>
        <w:tc>
          <w:tcPr>
            <w:tcW w:w="419" w:type="pct"/>
            <w:tcBorders>
              <w:top w:val="nil"/>
              <w:left w:val="nil"/>
              <w:bottom w:val="nil"/>
              <w:right w:val="nil"/>
            </w:tcBorders>
            <w:shd w:val="clear" w:color="auto" w:fill="auto"/>
            <w:noWrap/>
            <w:vAlign w:val="bottom"/>
            <w:hideMark/>
          </w:tcPr>
          <w:p w14:paraId="77EB051A"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3 876</w:t>
            </w:r>
          </w:p>
        </w:tc>
        <w:tc>
          <w:tcPr>
            <w:tcW w:w="419" w:type="pct"/>
            <w:tcBorders>
              <w:top w:val="nil"/>
              <w:left w:val="nil"/>
              <w:bottom w:val="nil"/>
              <w:right w:val="nil"/>
            </w:tcBorders>
            <w:shd w:val="clear" w:color="auto" w:fill="auto"/>
            <w:noWrap/>
            <w:vAlign w:val="bottom"/>
            <w:hideMark/>
          </w:tcPr>
          <w:p w14:paraId="0E2FBE98"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3 981</w:t>
            </w:r>
          </w:p>
        </w:tc>
        <w:tc>
          <w:tcPr>
            <w:tcW w:w="419" w:type="pct"/>
            <w:tcBorders>
              <w:top w:val="nil"/>
              <w:left w:val="nil"/>
              <w:bottom w:val="nil"/>
              <w:right w:val="nil"/>
            </w:tcBorders>
            <w:shd w:val="clear" w:color="auto" w:fill="auto"/>
            <w:noWrap/>
            <w:vAlign w:val="bottom"/>
            <w:hideMark/>
          </w:tcPr>
          <w:p w14:paraId="58AF8257"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3 845</w:t>
            </w:r>
          </w:p>
        </w:tc>
        <w:tc>
          <w:tcPr>
            <w:tcW w:w="419" w:type="pct"/>
            <w:tcBorders>
              <w:top w:val="nil"/>
              <w:left w:val="nil"/>
              <w:bottom w:val="nil"/>
              <w:right w:val="nil"/>
            </w:tcBorders>
            <w:shd w:val="clear" w:color="auto" w:fill="auto"/>
            <w:noWrap/>
            <w:vAlign w:val="bottom"/>
            <w:hideMark/>
          </w:tcPr>
          <w:p w14:paraId="60283B7D"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4 018</w:t>
            </w:r>
          </w:p>
        </w:tc>
        <w:tc>
          <w:tcPr>
            <w:tcW w:w="419" w:type="pct"/>
            <w:tcBorders>
              <w:top w:val="nil"/>
              <w:left w:val="nil"/>
              <w:bottom w:val="nil"/>
              <w:right w:val="nil"/>
            </w:tcBorders>
            <w:shd w:val="clear" w:color="auto" w:fill="auto"/>
            <w:noWrap/>
            <w:vAlign w:val="bottom"/>
            <w:hideMark/>
          </w:tcPr>
          <w:p w14:paraId="027F1C3B"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3 535</w:t>
            </w:r>
          </w:p>
        </w:tc>
        <w:tc>
          <w:tcPr>
            <w:tcW w:w="419" w:type="pct"/>
            <w:tcBorders>
              <w:top w:val="nil"/>
              <w:left w:val="nil"/>
              <w:bottom w:val="nil"/>
              <w:right w:val="nil"/>
            </w:tcBorders>
            <w:shd w:val="clear" w:color="auto" w:fill="auto"/>
            <w:noWrap/>
            <w:vAlign w:val="bottom"/>
            <w:hideMark/>
          </w:tcPr>
          <w:p w14:paraId="616AB389"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3 845</w:t>
            </w:r>
          </w:p>
        </w:tc>
        <w:tc>
          <w:tcPr>
            <w:tcW w:w="419" w:type="pct"/>
            <w:tcBorders>
              <w:top w:val="nil"/>
              <w:left w:val="nil"/>
              <w:bottom w:val="nil"/>
              <w:right w:val="nil"/>
            </w:tcBorders>
            <w:shd w:val="clear" w:color="auto" w:fill="auto"/>
            <w:noWrap/>
            <w:vAlign w:val="bottom"/>
            <w:hideMark/>
          </w:tcPr>
          <w:p w14:paraId="55768023"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3 845</w:t>
            </w:r>
          </w:p>
        </w:tc>
      </w:tr>
      <w:tr w:rsidR="00DD531B" w:rsidRPr="00DD531B" w14:paraId="05B1A8B4" w14:textId="77777777" w:rsidTr="001F24AE">
        <w:trPr>
          <w:trHeight w:val="300"/>
        </w:trPr>
        <w:tc>
          <w:tcPr>
            <w:tcW w:w="2065" w:type="pct"/>
            <w:tcBorders>
              <w:top w:val="nil"/>
              <w:left w:val="nil"/>
              <w:bottom w:val="single" w:sz="4" w:space="0" w:color="auto"/>
              <w:right w:val="nil"/>
            </w:tcBorders>
            <w:shd w:val="clear" w:color="auto" w:fill="auto"/>
            <w:noWrap/>
            <w:vAlign w:val="bottom"/>
            <w:hideMark/>
          </w:tcPr>
          <w:p w14:paraId="393C3553" w14:textId="77777777" w:rsidR="00DD531B" w:rsidRPr="00170734" w:rsidRDefault="00DD531B" w:rsidP="00DD531B">
            <w:pPr>
              <w:spacing w:after="0" w:line="240" w:lineRule="auto"/>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nedaňové príjmy</w:t>
            </w:r>
          </w:p>
        </w:tc>
        <w:tc>
          <w:tcPr>
            <w:tcW w:w="419" w:type="pct"/>
            <w:tcBorders>
              <w:top w:val="nil"/>
              <w:left w:val="nil"/>
              <w:bottom w:val="single" w:sz="4" w:space="0" w:color="auto"/>
              <w:right w:val="nil"/>
            </w:tcBorders>
            <w:shd w:val="clear" w:color="auto" w:fill="auto"/>
            <w:noWrap/>
            <w:vAlign w:val="bottom"/>
            <w:hideMark/>
          </w:tcPr>
          <w:p w14:paraId="55D682C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3 876</w:t>
            </w:r>
          </w:p>
        </w:tc>
        <w:tc>
          <w:tcPr>
            <w:tcW w:w="419" w:type="pct"/>
            <w:tcBorders>
              <w:top w:val="nil"/>
              <w:left w:val="nil"/>
              <w:bottom w:val="single" w:sz="4" w:space="0" w:color="auto"/>
              <w:right w:val="nil"/>
            </w:tcBorders>
            <w:shd w:val="clear" w:color="auto" w:fill="auto"/>
            <w:noWrap/>
            <w:vAlign w:val="bottom"/>
            <w:hideMark/>
          </w:tcPr>
          <w:p w14:paraId="2162D22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3 981</w:t>
            </w:r>
          </w:p>
        </w:tc>
        <w:tc>
          <w:tcPr>
            <w:tcW w:w="419" w:type="pct"/>
            <w:tcBorders>
              <w:top w:val="nil"/>
              <w:left w:val="nil"/>
              <w:bottom w:val="single" w:sz="4" w:space="0" w:color="auto"/>
              <w:right w:val="nil"/>
            </w:tcBorders>
            <w:shd w:val="clear" w:color="auto" w:fill="auto"/>
            <w:noWrap/>
            <w:vAlign w:val="bottom"/>
            <w:hideMark/>
          </w:tcPr>
          <w:p w14:paraId="6725B45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3 845</w:t>
            </w:r>
          </w:p>
        </w:tc>
        <w:tc>
          <w:tcPr>
            <w:tcW w:w="419" w:type="pct"/>
            <w:tcBorders>
              <w:top w:val="nil"/>
              <w:left w:val="nil"/>
              <w:bottom w:val="single" w:sz="4" w:space="0" w:color="auto"/>
              <w:right w:val="nil"/>
            </w:tcBorders>
            <w:shd w:val="clear" w:color="auto" w:fill="auto"/>
            <w:noWrap/>
            <w:vAlign w:val="bottom"/>
            <w:hideMark/>
          </w:tcPr>
          <w:p w14:paraId="2C83EC4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4 018</w:t>
            </w:r>
          </w:p>
        </w:tc>
        <w:tc>
          <w:tcPr>
            <w:tcW w:w="419" w:type="pct"/>
            <w:tcBorders>
              <w:top w:val="nil"/>
              <w:left w:val="nil"/>
              <w:bottom w:val="single" w:sz="4" w:space="0" w:color="auto"/>
              <w:right w:val="nil"/>
            </w:tcBorders>
            <w:shd w:val="clear" w:color="auto" w:fill="auto"/>
            <w:noWrap/>
            <w:vAlign w:val="bottom"/>
            <w:hideMark/>
          </w:tcPr>
          <w:p w14:paraId="5C0B6F7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3 535</w:t>
            </w:r>
          </w:p>
        </w:tc>
        <w:tc>
          <w:tcPr>
            <w:tcW w:w="419" w:type="pct"/>
            <w:tcBorders>
              <w:top w:val="nil"/>
              <w:left w:val="nil"/>
              <w:bottom w:val="single" w:sz="4" w:space="0" w:color="auto"/>
              <w:right w:val="nil"/>
            </w:tcBorders>
            <w:shd w:val="clear" w:color="auto" w:fill="auto"/>
            <w:noWrap/>
            <w:vAlign w:val="bottom"/>
            <w:hideMark/>
          </w:tcPr>
          <w:p w14:paraId="3DC06A7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3 845</w:t>
            </w:r>
          </w:p>
        </w:tc>
        <w:tc>
          <w:tcPr>
            <w:tcW w:w="419" w:type="pct"/>
            <w:tcBorders>
              <w:top w:val="nil"/>
              <w:left w:val="nil"/>
              <w:bottom w:val="single" w:sz="4" w:space="0" w:color="auto"/>
              <w:right w:val="nil"/>
            </w:tcBorders>
            <w:shd w:val="clear" w:color="auto" w:fill="auto"/>
            <w:noWrap/>
            <w:vAlign w:val="bottom"/>
            <w:hideMark/>
          </w:tcPr>
          <w:p w14:paraId="19C06A1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3 845</w:t>
            </w:r>
          </w:p>
        </w:tc>
      </w:tr>
    </w:tbl>
    <w:p w14:paraId="0BA1C069" w14:textId="77777777" w:rsidR="00DD531B" w:rsidRPr="00170734" w:rsidRDefault="00DD531B" w:rsidP="00DD531B">
      <w:pPr>
        <w:rPr>
          <w:rFonts w:ascii="Times New Roman" w:eastAsia="Calibri" w:hAnsi="Times New Roman" w:cs="Times New Roman"/>
          <w:color w:val="5B9BD5" w:themeColor="accent1"/>
        </w:rPr>
      </w:pPr>
    </w:p>
    <w:p w14:paraId="575F2667" w14:textId="2B039FF6" w:rsidR="00DD531B" w:rsidRPr="00170734" w:rsidRDefault="00170734"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38" w:name="_Toc153013108"/>
      <w:r w:rsidRPr="00170734">
        <w:rPr>
          <w:rFonts w:ascii="Times New Roman" w:eastAsia="Times New Roman" w:hAnsi="Times New Roman" w:cs="Times New Roman"/>
          <w:b/>
          <w:iCs/>
          <w:color w:val="5B9BD5" w:themeColor="accent1"/>
          <w:sz w:val="20"/>
          <w:szCs w:val="20"/>
          <w:lang w:eastAsia="sk-SK"/>
        </w:rPr>
        <w:t xml:space="preserve">Tabuľka </w:t>
      </w:r>
      <w:r w:rsidRPr="00170734">
        <w:rPr>
          <w:rFonts w:ascii="Times New Roman" w:hAnsi="Times New Roman" w:cs="Times New Roman"/>
          <w:b/>
          <w:color w:val="5B9BD5" w:themeColor="accent1"/>
          <w:sz w:val="20"/>
          <w:szCs w:val="20"/>
        </w:rPr>
        <w:fldChar w:fldCharType="begin"/>
      </w:r>
      <w:r w:rsidRPr="00170734">
        <w:rPr>
          <w:rFonts w:ascii="Times New Roman" w:hAnsi="Times New Roman" w:cs="Times New Roman"/>
          <w:b/>
          <w:color w:val="5B9BD5" w:themeColor="accent1"/>
          <w:sz w:val="20"/>
          <w:szCs w:val="20"/>
        </w:rPr>
        <w:instrText xml:space="preserve"> SEQ Tabuľka \* ARABIC </w:instrText>
      </w:r>
      <w:r w:rsidRPr="00170734">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110</w:t>
      </w:r>
      <w:r w:rsidRPr="00170734">
        <w:rPr>
          <w:rFonts w:ascii="Times New Roman" w:hAnsi="Times New Roman" w:cs="Times New Roman"/>
          <w:b/>
          <w:color w:val="5B9BD5" w:themeColor="accent1"/>
          <w:sz w:val="20"/>
          <w:szCs w:val="20"/>
        </w:rPr>
        <w:fldChar w:fldCharType="end"/>
      </w:r>
      <w:r w:rsidRPr="00170734">
        <w:rPr>
          <w:rFonts w:ascii="Times New Roman" w:hAnsi="Times New Roman" w:cs="Times New Roman"/>
          <w:b/>
          <w:color w:val="5B9BD5" w:themeColor="accent1"/>
          <w:sz w:val="20"/>
          <w:szCs w:val="20"/>
        </w:rPr>
        <w:t xml:space="preserve"> - </w:t>
      </w:r>
      <w:r w:rsidR="00DD531B" w:rsidRPr="00170734">
        <w:rPr>
          <w:rFonts w:ascii="Times New Roman" w:eastAsia="Times New Roman" w:hAnsi="Times New Roman" w:cs="Times New Roman"/>
          <w:b/>
          <w:iCs/>
          <w:color w:val="5B9BD5" w:themeColor="accent1"/>
          <w:sz w:val="20"/>
          <w:szCs w:val="20"/>
          <w:lang w:eastAsia="sk-SK"/>
        </w:rPr>
        <w:t>Výdavky kapitoly ÚPV SR</w:t>
      </w:r>
      <w:bookmarkEnd w:id="238"/>
    </w:p>
    <w:tbl>
      <w:tblPr>
        <w:tblW w:w="5000" w:type="pct"/>
        <w:tblCellMar>
          <w:left w:w="70" w:type="dxa"/>
          <w:right w:w="70" w:type="dxa"/>
        </w:tblCellMar>
        <w:tblLook w:val="04A0" w:firstRow="1" w:lastRow="0" w:firstColumn="1" w:lastColumn="0" w:noHBand="0" w:noVBand="1"/>
      </w:tblPr>
      <w:tblGrid>
        <w:gridCol w:w="3750"/>
        <w:gridCol w:w="761"/>
        <w:gridCol w:w="761"/>
        <w:gridCol w:w="760"/>
        <w:gridCol w:w="760"/>
        <w:gridCol w:w="760"/>
        <w:gridCol w:w="760"/>
        <w:gridCol w:w="760"/>
      </w:tblGrid>
      <w:tr w:rsidR="00DD531B" w:rsidRPr="00DD531B" w14:paraId="41823F25" w14:textId="77777777" w:rsidTr="001F24AE">
        <w:trPr>
          <w:trHeight w:val="300"/>
        </w:trPr>
        <w:tc>
          <w:tcPr>
            <w:tcW w:w="2065" w:type="pct"/>
            <w:tcBorders>
              <w:top w:val="single" w:sz="4" w:space="0" w:color="auto"/>
              <w:left w:val="nil"/>
              <w:bottom w:val="single" w:sz="4" w:space="0" w:color="auto"/>
              <w:right w:val="nil"/>
            </w:tcBorders>
            <w:shd w:val="clear" w:color="auto" w:fill="auto"/>
            <w:noWrap/>
            <w:vAlign w:val="center"/>
            <w:hideMark/>
          </w:tcPr>
          <w:p w14:paraId="78512856"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v  tis. eur</w:t>
            </w:r>
          </w:p>
        </w:tc>
        <w:tc>
          <w:tcPr>
            <w:tcW w:w="419" w:type="pct"/>
            <w:tcBorders>
              <w:top w:val="single" w:sz="4" w:space="0" w:color="auto"/>
              <w:left w:val="nil"/>
              <w:bottom w:val="single" w:sz="4" w:space="0" w:color="auto"/>
              <w:right w:val="nil"/>
            </w:tcBorders>
            <w:shd w:val="clear" w:color="auto" w:fill="auto"/>
            <w:noWrap/>
            <w:vAlign w:val="center"/>
            <w:hideMark/>
          </w:tcPr>
          <w:p w14:paraId="5C857329"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2021 S</w:t>
            </w:r>
          </w:p>
        </w:tc>
        <w:tc>
          <w:tcPr>
            <w:tcW w:w="419" w:type="pct"/>
            <w:tcBorders>
              <w:top w:val="single" w:sz="4" w:space="0" w:color="auto"/>
              <w:left w:val="nil"/>
              <w:bottom w:val="single" w:sz="4" w:space="0" w:color="auto"/>
              <w:right w:val="nil"/>
            </w:tcBorders>
            <w:shd w:val="clear" w:color="auto" w:fill="auto"/>
            <w:noWrap/>
            <w:vAlign w:val="center"/>
            <w:hideMark/>
          </w:tcPr>
          <w:p w14:paraId="069FD8EB"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2022 S</w:t>
            </w:r>
          </w:p>
        </w:tc>
        <w:tc>
          <w:tcPr>
            <w:tcW w:w="419" w:type="pct"/>
            <w:tcBorders>
              <w:top w:val="single" w:sz="4" w:space="0" w:color="auto"/>
              <w:left w:val="nil"/>
              <w:bottom w:val="single" w:sz="4" w:space="0" w:color="auto"/>
              <w:right w:val="nil"/>
            </w:tcBorders>
            <w:shd w:val="clear" w:color="auto" w:fill="auto"/>
            <w:noWrap/>
            <w:vAlign w:val="center"/>
            <w:hideMark/>
          </w:tcPr>
          <w:p w14:paraId="3D516DDD"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2023 R</w:t>
            </w:r>
          </w:p>
        </w:tc>
        <w:tc>
          <w:tcPr>
            <w:tcW w:w="419" w:type="pct"/>
            <w:tcBorders>
              <w:top w:val="single" w:sz="4" w:space="0" w:color="auto"/>
              <w:left w:val="nil"/>
              <w:bottom w:val="single" w:sz="4" w:space="0" w:color="auto"/>
              <w:right w:val="nil"/>
            </w:tcBorders>
            <w:shd w:val="clear" w:color="auto" w:fill="auto"/>
            <w:noWrap/>
            <w:vAlign w:val="center"/>
            <w:hideMark/>
          </w:tcPr>
          <w:p w14:paraId="77F07D7D"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2023 OS</w:t>
            </w:r>
          </w:p>
        </w:tc>
        <w:tc>
          <w:tcPr>
            <w:tcW w:w="419" w:type="pct"/>
            <w:tcBorders>
              <w:top w:val="single" w:sz="4" w:space="0" w:color="auto"/>
              <w:left w:val="nil"/>
              <w:bottom w:val="single" w:sz="4" w:space="0" w:color="auto"/>
              <w:right w:val="nil"/>
            </w:tcBorders>
            <w:shd w:val="clear" w:color="auto" w:fill="auto"/>
            <w:noWrap/>
            <w:vAlign w:val="center"/>
            <w:hideMark/>
          </w:tcPr>
          <w:p w14:paraId="600B2C2E"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2024 N</w:t>
            </w:r>
          </w:p>
        </w:tc>
        <w:tc>
          <w:tcPr>
            <w:tcW w:w="419" w:type="pct"/>
            <w:tcBorders>
              <w:top w:val="single" w:sz="4" w:space="0" w:color="auto"/>
              <w:left w:val="nil"/>
              <w:bottom w:val="single" w:sz="4" w:space="0" w:color="auto"/>
              <w:right w:val="nil"/>
            </w:tcBorders>
            <w:shd w:val="clear" w:color="auto" w:fill="auto"/>
            <w:noWrap/>
            <w:vAlign w:val="center"/>
            <w:hideMark/>
          </w:tcPr>
          <w:p w14:paraId="27AABFA6"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2025 N</w:t>
            </w:r>
          </w:p>
        </w:tc>
        <w:tc>
          <w:tcPr>
            <w:tcW w:w="419" w:type="pct"/>
            <w:tcBorders>
              <w:top w:val="single" w:sz="4" w:space="0" w:color="auto"/>
              <w:left w:val="nil"/>
              <w:bottom w:val="single" w:sz="4" w:space="0" w:color="auto"/>
              <w:right w:val="nil"/>
            </w:tcBorders>
            <w:shd w:val="clear" w:color="auto" w:fill="auto"/>
            <w:noWrap/>
            <w:vAlign w:val="center"/>
            <w:hideMark/>
          </w:tcPr>
          <w:p w14:paraId="5C86FC19"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2026 N</w:t>
            </w:r>
          </w:p>
        </w:tc>
      </w:tr>
      <w:tr w:rsidR="00DD531B" w:rsidRPr="00DD531B" w14:paraId="4A3C0A4E" w14:textId="77777777" w:rsidTr="001F24AE">
        <w:trPr>
          <w:trHeight w:val="300"/>
        </w:trPr>
        <w:tc>
          <w:tcPr>
            <w:tcW w:w="2065" w:type="pct"/>
            <w:tcBorders>
              <w:top w:val="nil"/>
              <w:left w:val="nil"/>
              <w:bottom w:val="nil"/>
              <w:right w:val="nil"/>
            </w:tcBorders>
            <w:shd w:val="clear" w:color="auto" w:fill="auto"/>
            <w:noWrap/>
            <w:vAlign w:val="center"/>
            <w:hideMark/>
          </w:tcPr>
          <w:p w14:paraId="3CBD5625" w14:textId="77777777" w:rsidR="00DD531B" w:rsidRPr="00170734" w:rsidRDefault="00DD531B" w:rsidP="00DD531B">
            <w:pPr>
              <w:spacing w:after="0" w:line="240" w:lineRule="auto"/>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Výdavky kapitoly spolu</w:t>
            </w:r>
          </w:p>
        </w:tc>
        <w:tc>
          <w:tcPr>
            <w:tcW w:w="419" w:type="pct"/>
            <w:tcBorders>
              <w:top w:val="nil"/>
              <w:left w:val="nil"/>
              <w:bottom w:val="nil"/>
              <w:right w:val="nil"/>
            </w:tcBorders>
            <w:shd w:val="clear" w:color="auto" w:fill="auto"/>
            <w:noWrap/>
            <w:vAlign w:val="center"/>
            <w:hideMark/>
          </w:tcPr>
          <w:p w14:paraId="469E8BE7"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4 744</w:t>
            </w:r>
          </w:p>
        </w:tc>
        <w:tc>
          <w:tcPr>
            <w:tcW w:w="419" w:type="pct"/>
            <w:tcBorders>
              <w:top w:val="nil"/>
              <w:left w:val="nil"/>
              <w:bottom w:val="nil"/>
              <w:right w:val="nil"/>
            </w:tcBorders>
            <w:shd w:val="clear" w:color="auto" w:fill="auto"/>
            <w:noWrap/>
            <w:vAlign w:val="center"/>
            <w:hideMark/>
          </w:tcPr>
          <w:p w14:paraId="4B69FB2D"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6 050</w:t>
            </w:r>
          </w:p>
        </w:tc>
        <w:tc>
          <w:tcPr>
            <w:tcW w:w="419" w:type="pct"/>
            <w:tcBorders>
              <w:top w:val="nil"/>
              <w:left w:val="nil"/>
              <w:bottom w:val="nil"/>
              <w:right w:val="nil"/>
            </w:tcBorders>
            <w:shd w:val="clear" w:color="auto" w:fill="auto"/>
            <w:noWrap/>
            <w:vAlign w:val="center"/>
            <w:hideMark/>
          </w:tcPr>
          <w:p w14:paraId="3BD5DA85"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4 752</w:t>
            </w:r>
          </w:p>
        </w:tc>
        <w:tc>
          <w:tcPr>
            <w:tcW w:w="419" w:type="pct"/>
            <w:tcBorders>
              <w:top w:val="nil"/>
              <w:left w:val="nil"/>
              <w:bottom w:val="nil"/>
              <w:right w:val="nil"/>
            </w:tcBorders>
            <w:shd w:val="clear" w:color="auto" w:fill="auto"/>
            <w:noWrap/>
            <w:vAlign w:val="center"/>
            <w:hideMark/>
          </w:tcPr>
          <w:p w14:paraId="162CECBF"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5 919</w:t>
            </w:r>
          </w:p>
        </w:tc>
        <w:tc>
          <w:tcPr>
            <w:tcW w:w="419" w:type="pct"/>
            <w:tcBorders>
              <w:top w:val="nil"/>
              <w:left w:val="nil"/>
              <w:bottom w:val="nil"/>
              <w:right w:val="nil"/>
            </w:tcBorders>
            <w:shd w:val="clear" w:color="auto" w:fill="auto"/>
            <w:noWrap/>
            <w:vAlign w:val="center"/>
            <w:hideMark/>
          </w:tcPr>
          <w:p w14:paraId="5483195A"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5 499</w:t>
            </w:r>
          </w:p>
        </w:tc>
        <w:tc>
          <w:tcPr>
            <w:tcW w:w="419" w:type="pct"/>
            <w:tcBorders>
              <w:top w:val="nil"/>
              <w:left w:val="nil"/>
              <w:bottom w:val="nil"/>
              <w:right w:val="nil"/>
            </w:tcBorders>
            <w:shd w:val="clear" w:color="auto" w:fill="auto"/>
            <w:noWrap/>
            <w:vAlign w:val="center"/>
            <w:hideMark/>
          </w:tcPr>
          <w:p w14:paraId="447073DA"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5 770</w:t>
            </w:r>
          </w:p>
        </w:tc>
        <w:tc>
          <w:tcPr>
            <w:tcW w:w="419" w:type="pct"/>
            <w:tcBorders>
              <w:top w:val="nil"/>
              <w:left w:val="nil"/>
              <w:bottom w:val="nil"/>
              <w:right w:val="nil"/>
            </w:tcBorders>
            <w:shd w:val="clear" w:color="auto" w:fill="auto"/>
            <w:noWrap/>
            <w:vAlign w:val="center"/>
            <w:hideMark/>
          </w:tcPr>
          <w:p w14:paraId="29194A17"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5 586</w:t>
            </w:r>
          </w:p>
        </w:tc>
      </w:tr>
      <w:tr w:rsidR="00DD531B" w:rsidRPr="00DD531B" w14:paraId="4A7A7BAD" w14:textId="77777777" w:rsidTr="001F24AE">
        <w:trPr>
          <w:trHeight w:val="300"/>
        </w:trPr>
        <w:tc>
          <w:tcPr>
            <w:tcW w:w="2065" w:type="pct"/>
            <w:tcBorders>
              <w:top w:val="nil"/>
              <w:left w:val="nil"/>
              <w:bottom w:val="nil"/>
              <w:right w:val="nil"/>
            </w:tcBorders>
            <w:shd w:val="clear" w:color="auto" w:fill="auto"/>
            <w:noWrap/>
            <w:vAlign w:val="bottom"/>
            <w:hideMark/>
          </w:tcPr>
          <w:p w14:paraId="7C6423C8"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rozpočtové zdroje kapitoly</w:t>
            </w:r>
          </w:p>
        </w:tc>
        <w:tc>
          <w:tcPr>
            <w:tcW w:w="419" w:type="pct"/>
            <w:tcBorders>
              <w:top w:val="nil"/>
              <w:left w:val="nil"/>
              <w:bottom w:val="nil"/>
              <w:right w:val="nil"/>
            </w:tcBorders>
            <w:shd w:val="clear" w:color="auto" w:fill="auto"/>
            <w:noWrap/>
            <w:vAlign w:val="bottom"/>
            <w:hideMark/>
          </w:tcPr>
          <w:p w14:paraId="28BD9A81"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4 653</w:t>
            </w:r>
          </w:p>
        </w:tc>
        <w:tc>
          <w:tcPr>
            <w:tcW w:w="419" w:type="pct"/>
            <w:tcBorders>
              <w:top w:val="nil"/>
              <w:left w:val="nil"/>
              <w:bottom w:val="nil"/>
              <w:right w:val="nil"/>
            </w:tcBorders>
            <w:shd w:val="clear" w:color="auto" w:fill="auto"/>
            <w:noWrap/>
            <w:vAlign w:val="bottom"/>
            <w:hideMark/>
          </w:tcPr>
          <w:p w14:paraId="0CDD219B"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4 341</w:t>
            </w:r>
          </w:p>
        </w:tc>
        <w:tc>
          <w:tcPr>
            <w:tcW w:w="419" w:type="pct"/>
            <w:tcBorders>
              <w:top w:val="nil"/>
              <w:left w:val="nil"/>
              <w:bottom w:val="nil"/>
              <w:right w:val="nil"/>
            </w:tcBorders>
            <w:shd w:val="clear" w:color="auto" w:fill="auto"/>
            <w:noWrap/>
            <w:vAlign w:val="bottom"/>
            <w:hideMark/>
          </w:tcPr>
          <w:p w14:paraId="1A5EE983"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4 752</w:t>
            </w:r>
          </w:p>
        </w:tc>
        <w:tc>
          <w:tcPr>
            <w:tcW w:w="419" w:type="pct"/>
            <w:tcBorders>
              <w:top w:val="nil"/>
              <w:left w:val="nil"/>
              <w:bottom w:val="nil"/>
              <w:right w:val="nil"/>
            </w:tcBorders>
            <w:shd w:val="clear" w:color="auto" w:fill="auto"/>
            <w:noWrap/>
            <w:vAlign w:val="bottom"/>
            <w:hideMark/>
          </w:tcPr>
          <w:p w14:paraId="463114E4"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5 094</w:t>
            </w:r>
          </w:p>
        </w:tc>
        <w:tc>
          <w:tcPr>
            <w:tcW w:w="419" w:type="pct"/>
            <w:tcBorders>
              <w:top w:val="nil"/>
              <w:left w:val="nil"/>
              <w:bottom w:val="nil"/>
              <w:right w:val="nil"/>
            </w:tcBorders>
            <w:shd w:val="clear" w:color="auto" w:fill="auto"/>
            <w:noWrap/>
            <w:vAlign w:val="bottom"/>
            <w:hideMark/>
          </w:tcPr>
          <w:p w14:paraId="63FB418C"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5 499</w:t>
            </w:r>
          </w:p>
        </w:tc>
        <w:tc>
          <w:tcPr>
            <w:tcW w:w="419" w:type="pct"/>
            <w:tcBorders>
              <w:top w:val="nil"/>
              <w:left w:val="nil"/>
              <w:bottom w:val="nil"/>
              <w:right w:val="nil"/>
            </w:tcBorders>
            <w:shd w:val="clear" w:color="auto" w:fill="auto"/>
            <w:noWrap/>
            <w:vAlign w:val="bottom"/>
            <w:hideMark/>
          </w:tcPr>
          <w:p w14:paraId="390E8614"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5 770</w:t>
            </w:r>
          </w:p>
        </w:tc>
        <w:tc>
          <w:tcPr>
            <w:tcW w:w="419" w:type="pct"/>
            <w:tcBorders>
              <w:top w:val="nil"/>
              <w:left w:val="nil"/>
              <w:bottom w:val="nil"/>
              <w:right w:val="nil"/>
            </w:tcBorders>
            <w:shd w:val="clear" w:color="auto" w:fill="auto"/>
            <w:noWrap/>
            <w:vAlign w:val="bottom"/>
            <w:hideMark/>
          </w:tcPr>
          <w:p w14:paraId="7D3A8E85"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5 586</w:t>
            </w:r>
          </w:p>
        </w:tc>
      </w:tr>
      <w:tr w:rsidR="00DD531B" w:rsidRPr="00DD531B" w14:paraId="116FF786" w14:textId="77777777" w:rsidTr="001F24AE">
        <w:trPr>
          <w:trHeight w:val="300"/>
        </w:trPr>
        <w:tc>
          <w:tcPr>
            <w:tcW w:w="2065" w:type="pct"/>
            <w:tcBorders>
              <w:top w:val="nil"/>
              <w:left w:val="nil"/>
              <w:bottom w:val="nil"/>
              <w:right w:val="nil"/>
            </w:tcBorders>
            <w:shd w:val="clear" w:color="auto" w:fill="auto"/>
            <w:noWrap/>
            <w:vAlign w:val="bottom"/>
            <w:hideMark/>
          </w:tcPr>
          <w:p w14:paraId="57E78353"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bežné výdavky  600, v tom:</w:t>
            </w:r>
          </w:p>
        </w:tc>
        <w:tc>
          <w:tcPr>
            <w:tcW w:w="419" w:type="pct"/>
            <w:tcBorders>
              <w:top w:val="nil"/>
              <w:left w:val="nil"/>
              <w:bottom w:val="nil"/>
              <w:right w:val="nil"/>
            </w:tcBorders>
            <w:shd w:val="clear" w:color="auto" w:fill="auto"/>
            <w:noWrap/>
            <w:vAlign w:val="bottom"/>
            <w:hideMark/>
          </w:tcPr>
          <w:p w14:paraId="67A5DB1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3 889</w:t>
            </w:r>
          </w:p>
        </w:tc>
        <w:tc>
          <w:tcPr>
            <w:tcW w:w="419" w:type="pct"/>
            <w:tcBorders>
              <w:top w:val="nil"/>
              <w:left w:val="nil"/>
              <w:bottom w:val="nil"/>
              <w:right w:val="nil"/>
            </w:tcBorders>
            <w:shd w:val="clear" w:color="auto" w:fill="auto"/>
            <w:noWrap/>
            <w:vAlign w:val="bottom"/>
            <w:hideMark/>
          </w:tcPr>
          <w:p w14:paraId="60D22C2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4 243</w:t>
            </w:r>
          </w:p>
        </w:tc>
        <w:tc>
          <w:tcPr>
            <w:tcW w:w="419" w:type="pct"/>
            <w:tcBorders>
              <w:top w:val="nil"/>
              <w:left w:val="nil"/>
              <w:bottom w:val="nil"/>
              <w:right w:val="nil"/>
            </w:tcBorders>
            <w:shd w:val="clear" w:color="auto" w:fill="auto"/>
            <w:noWrap/>
            <w:vAlign w:val="bottom"/>
            <w:hideMark/>
          </w:tcPr>
          <w:p w14:paraId="79F50CF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4 722</w:t>
            </w:r>
          </w:p>
        </w:tc>
        <w:tc>
          <w:tcPr>
            <w:tcW w:w="419" w:type="pct"/>
            <w:tcBorders>
              <w:top w:val="nil"/>
              <w:left w:val="nil"/>
              <w:bottom w:val="nil"/>
              <w:right w:val="nil"/>
            </w:tcBorders>
            <w:shd w:val="clear" w:color="auto" w:fill="auto"/>
            <w:noWrap/>
            <w:vAlign w:val="bottom"/>
            <w:hideMark/>
          </w:tcPr>
          <w:p w14:paraId="48FE508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5 018</w:t>
            </w:r>
          </w:p>
        </w:tc>
        <w:tc>
          <w:tcPr>
            <w:tcW w:w="419" w:type="pct"/>
            <w:tcBorders>
              <w:top w:val="nil"/>
              <w:left w:val="nil"/>
              <w:bottom w:val="nil"/>
              <w:right w:val="nil"/>
            </w:tcBorders>
            <w:shd w:val="clear" w:color="auto" w:fill="auto"/>
            <w:noWrap/>
            <w:vAlign w:val="bottom"/>
            <w:hideMark/>
          </w:tcPr>
          <w:p w14:paraId="5F64B9F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5 252</w:t>
            </w:r>
          </w:p>
        </w:tc>
        <w:tc>
          <w:tcPr>
            <w:tcW w:w="419" w:type="pct"/>
            <w:tcBorders>
              <w:top w:val="nil"/>
              <w:left w:val="nil"/>
              <w:bottom w:val="nil"/>
              <w:right w:val="nil"/>
            </w:tcBorders>
            <w:shd w:val="clear" w:color="auto" w:fill="auto"/>
            <w:noWrap/>
            <w:vAlign w:val="bottom"/>
            <w:hideMark/>
          </w:tcPr>
          <w:p w14:paraId="3640026A"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5 104</w:t>
            </w:r>
          </w:p>
        </w:tc>
        <w:tc>
          <w:tcPr>
            <w:tcW w:w="419" w:type="pct"/>
            <w:tcBorders>
              <w:top w:val="nil"/>
              <w:left w:val="nil"/>
              <w:bottom w:val="nil"/>
              <w:right w:val="nil"/>
            </w:tcBorders>
            <w:shd w:val="clear" w:color="auto" w:fill="auto"/>
            <w:noWrap/>
            <w:vAlign w:val="bottom"/>
            <w:hideMark/>
          </w:tcPr>
          <w:p w14:paraId="50A97EB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5 104</w:t>
            </w:r>
          </w:p>
        </w:tc>
      </w:tr>
      <w:tr w:rsidR="00DD531B" w:rsidRPr="00DD531B" w14:paraId="0E79CDB3" w14:textId="77777777" w:rsidTr="001F24AE">
        <w:trPr>
          <w:trHeight w:val="300"/>
        </w:trPr>
        <w:tc>
          <w:tcPr>
            <w:tcW w:w="2065" w:type="pct"/>
            <w:tcBorders>
              <w:top w:val="nil"/>
              <w:left w:val="nil"/>
              <w:bottom w:val="nil"/>
              <w:right w:val="nil"/>
            </w:tcBorders>
            <w:shd w:val="clear" w:color="auto" w:fill="auto"/>
            <w:noWrap/>
            <w:vAlign w:val="bottom"/>
            <w:hideMark/>
          </w:tcPr>
          <w:p w14:paraId="0F778183"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610 mzdy</w:t>
            </w:r>
          </w:p>
        </w:tc>
        <w:tc>
          <w:tcPr>
            <w:tcW w:w="419" w:type="pct"/>
            <w:tcBorders>
              <w:top w:val="nil"/>
              <w:left w:val="nil"/>
              <w:bottom w:val="nil"/>
              <w:right w:val="nil"/>
            </w:tcBorders>
            <w:shd w:val="clear" w:color="auto" w:fill="auto"/>
            <w:noWrap/>
            <w:vAlign w:val="bottom"/>
            <w:hideMark/>
          </w:tcPr>
          <w:p w14:paraId="76B02A0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2 070</w:t>
            </w:r>
          </w:p>
        </w:tc>
        <w:tc>
          <w:tcPr>
            <w:tcW w:w="419" w:type="pct"/>
            <w:tcBorders>
              <w:top w:val="nil"/>
              <w:left w:val="nil"/>
              <w:bottom w:val="nil"/>
              <w:right w:val="nil"/>
            </w:tcBorders>
            <w:shd w:val="clear" w:color="auto" w:fill="auto"/>
            <w:noWrap/>
            <w:vAlign w:val="bottom"/>
            <w:hideMark/>
          </w:tcPr>
          <w:p w14:paraId="5F49F5A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2 284</w:t>
            </w:r>
          </w:p>
        </w:tc>
        <w:tc>
          <w:tcPr>
            <w:tcW w:w="419" w:type="pct"/>
            <w:tcBorders>
              <w:top w:val="nil"/>
              <w:left w:val="nil"/>
              <w:bottom w:val="nil"/>
              <w:right w:val="nil"/>
            </w:tcBorders>
            <w:shd w:val="clear" w:color="auto" w:fill="auto"/>
            <w:noWrap/>
            <w:vAlign w:val="bottom"/>
            <w:hideMark/>
          </w:tcPr>
          <w:p w14:paraId="336326F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2 698</w:t>
            </w:r>
          </w:p>
        </w:tc>
        <w:tc>
          <w:tcPr>
            <w:tcW w:w="419" w:type="pct"/>
            <w:tcBorders>
              <w:top w:val="nil"/>
              <w:left w:val="nil"/>
              <w:bottom w:val="nil"/>
              <w:right w:val="nil"/>
            </w:tcBorders>
            <w:shd w:val="clear" w:color="auto" w:fill="auto"/>
            <w:noWrap/>
            <w:vAlign w:val="bottom"/>
            <w:hideMark/>
          </w:tcPr>
          <w:p w14:paraId="7DDBD81A"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2 698</w:t>
            </w:r>
          </w:p>
        </w:tc>
        <w:tc>
          <w:tcPr>
            <w:tcW w:w="419" w:type="pct"/>
            <w:tcBorders>
              <w:top w:val="nil"/>
              <w:left w:val="nil"/>
              <w:bottom w:val="nil"/>
              <w:right w:val="nil"/>
            </w:tcBorders>
            <w:shd w:val="clear" w:color="auto" w:fill="auto"/>
            <w:noWrap/>
            <w:vAlign w:val="bottom"/>
            <w:hideMark/>
          </w:tcPr>
          <w:p w14:paraId="75FE6AF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3 099</w:t>
            </w:r>
          </w:p>
        </w:tc>
        <w:tc>
          <w:tcPr>
            <w:tcW w:w="419" w:type="pct"/>
            <w:tcBorders>
              <w:top w:val="nil"/>
              <w:left w:val="nil"/>
              <w:bottom w:val="nil"/>
              <w:right w:val="nil"/>
            </w:tcBorders>
            <w:shd w:val="clear" w:color="auto" w:fill="auto"/>
            <w:noWrap/>
            <w:vAlign w:val="bottom"/>
            <w:hideMark/>
          </w:tcPr>
          <w:p w14:paraId="3C5B240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3 099</w:t>
            </w:r>
          </w:p>
        </w:tc>
        <w:tc>
          <w:tcPr>
            <w:tcW w:w="419" w:type="pct"/>
            <w:tcBorders>
              <w:top w:val="nil"/>
              <w:left w:val="nil"/>
              <w:bottom w:val="nil"/>
              <w:right w:val="nil"/>
            </w:tcBorders>
            <w:shd w:val="clear" w:color="auto" w:fill="auto"/>
            <w:noWrap/>
            <w:vAlign w:val="bottom"/>
            <w:hideMark/>
          </w:tcPr>
          <w:p w14:paraId="0F8222B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3 099</w:t>
            </w:r>
          </w:p>
        </w:tc>
      </w:tr>
      <w:tr w:rsidR="00DD531B" w:rsidRPr="00DD531B" w14:paraId="29E090A6" w14:textId="77777777" w:rsidTr="001F24AE">
        <w:trPr>
          <w:trHeight w:val="300"/>
        </w:trPr>
        <w:tc>
          <w:tcPr>
            <w:tcW w:w="2065" w:type="pct"/>
            <w:tcBorders>
              <w:top w:val="nil"/>
              <w:left w:val="nil"/>
              <w:bottom w:val="nil"/>
              <w:right w:val="nil"/>
            </w:tcBorders>
            <w:shd w:val="clear" w:color="auto" w:fill="auto"/>
            <w:noWrap/>
            <w:vAlign w:val="bottom"/>
            <w:hideMark/>
          </w:tcPr>
          <w:p w14:paraId="71D506FE"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620 odvody</w:t>
            </w:r>
          </w:p>
        </w:tc>
        <w:tc>
          <w:tcPr>
            <w:tcW w:w="419" w:type="pct"/>
            <w:tcBorders>
              <w:top w:val="nil"/>
              <w:left w:val="nil"/>
              <w:bottom w:val="nil"/>
              <w:right w:val="nil"/>
            </w:tcBorders>
            <w:shd w:val="clear" w:color="auto" w:fill="auto"/>
            <w:noWrap/>
            <w:vAlign w:val="bottom"/>
            <w:hideMark/>
          </w:tcPr>
          <w:p w14:paraId="147A3C9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812</w:t>
            </w:r>
          </w:p>
        </w:tc>
        <w:tc>
          <w:tcPr>
            <w:tcW w:w="419" w:type="pct"/>
            <w:tcBorders>
              <w:top w:val="nil"/>
              <w:left w:val="nil"/>
              <w:bottom w:val="nil"/>
              <w:right w:val="nil"/>
            </w:tcBorders>
            <w:shd w:val="clear" w:color="auto" w:fill="auto"/>
            <w:noWrap/>
            <w:vAlign w:val="bottom"/>
            <w:hideMark/>
          </w:tcPr>
          <w:p w14:paraId="3073C36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762</w:t>
            </w:r>
          </w:p>
        </w:tc>
        <w:tc>
          <w:tcPr>
            <w:tcW w:w="419" w:type="pct"/>
            <w:tcBorders>
              <w:top w:val="nil"/>
              <w:left w:val="nil"/>
              <w:bottom w:val="nil"/>
              <w:right w:val="nil"/>
            </w:tcBorders>
            <w:shd w:val="clear" w:color="auto" w:fill="auto"/>
            <w:noWrap/>
            <w:vAlign w:val="bottom"/>
            <w:hideMark/>
          </w:tcPr>
          <w:p w14:paraId="641B152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942</w:t>
            </w:r>
          </w:p>
        </w:tc>
        <w:tc>
          <w:tcPr>
            <w:tcW w:w="419" w:type="pct"/>
            <w:tcBorders>
              <w:top w:val="nil"/>
              <w:left w:val="nil"/>
              <w:bottom w:val="nil"/>
              <w:right w:val="nil"/>
            </w:tcBorders>
            <w:shd w:val="clear" w:color="auto" w:fill="auto"/>
            <w:noWrap/>
            <w:vAlign w:val="bottom"/>
            <w:hideMark/>
          </w:tcPr>
          <w:p w14:paraId="7E06C2B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942</w:t>
            </w:r>
          </w:p>
        </w:tc>
        <w:tc>
          <w:tcPr>
            <w:tcW w:w="419" w:type="pct"/>
            <w:tcBorders>
              <w:top w:val="nil"/>
              <w:left w:val="nil"/>
              <w:bottom w:val="nil"/>
              <w:right w:val="nil"/>
            </w:tcBorders>
            <w:shd w:val="clear" w:color="auto" w:fill="auto"/>
            <w:noWrap/>
            <w:vAlign w:val="bottom"/>
            <w:hideMark/>
          </w:tcPr>
          <w:p w14:paraId="6467FE7A"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1 139</w:t>
            </w:r>
          </w:p>
        </w:tc>
        <w:tc>
          <w:tcPr>
            <w:tcW w:w="419" w:type="pct"/>
            <w:tcBorders>
              <w:top w:val="nil"/>
              <w:left w:val="nil"/>
              <w:bottom w:val="nil"/>
              <w:right w:val="nil"/>
            </w:tcBorders>
            <w:shd w:val="clear" w:color="auto" w:fill="auto"/>
            <w:noWrap/>
            <w:vAlign w:val="bottom"/>
            <w:hideMark/>
          </w:tcPr>
          <w:p w14:paraId="049A8A0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1 085</w:t>
            </w:r>
          </w:p>
        </w:tc>
        <w:tc>
          <w:tcPr>
            <w:tcW w:w="419" w:type="pct"/>
            <w:tcBorders>
              <w:top w:val="nil"/>
              <w:left w:val="nil"/>
              <w:bottom w:val="nil"/>
              <w:right w:val="nil"/>
            </w:tcBorders>
            <w:shd w:val="clear" w:color="auto" w:fill="auto"/>
            <w:noWrap/>
            <w:vAlign w:val="bottom"/>
            <w:hideMark/>
          </w:tcPr>
          <w:p w14:paraId="37AE041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1 085</w:t>
            </w:r>
          </w:p>
        </w:tc>
      </w:tr>
      <w:tr w:rsidR="00DD531B" w:rsidRPr="00DD531B" w14:paraId="32BAEFAF" w14:textId="77777777" w:rsidTr="001F24AE">
        <w:trPr>
          <w:trHeight w:val="300"/>
        </w:trPr>
        <w:tc>
          <w:tcPr>
            <w:tcW w:w="2065" w:type="pct"/>
            <w:tcBorders>
              <w:top w:val="nil"/>
              <w:left w:val="nil"/>
              <w:bottom w:val="nil"/>
              <w:right w:val="nil"/>
            </w:tcBorders>
            <w:shd w:val="clear" w:color="auto" w:fill="auto"/>
            <w:noWrap/>
            <w:vAlign w:val="bottom"/>
            <w:hideMark/>
          </w:tcPr>
          <w:p w14:paraId="2719E80E"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630 tovary a služby</w:t>
            </w:r>
          </w:p>
        </w:tc>
        <w:tc>
          <w:tcPr>
            <w:tcW w:w="419" w:type="pct"/>
            <w:tcBorders>
              <w:top w:val="nil"/>
              <w:left w:val="nil"/>
              <w:bottom w:val="nil"/>
              <w:right w:val="nil"/>
            </w:tcBorders>
            <w:shd w:val="clear" w:color="auto" w:fill="auto"/>
            <w:noWrap/>
            <w:vAlign w:val="bottom"/>
            <w:hideMark/>
          </w:tcPr>
          <w:p w14:paraId="27E819F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831</w:t>
            </w:r>
          </w:p>
        </w:tc>
        <w:tc>
          <w:tcPr>
            <w:tcW w:w="419" w:type="pct"/>
            <w:tcBorders>
              <w:top w:val="nil"/>
              <w:left w:val="nil"/>
              <w:bottom w:val="nil"/>
              <w:right w:val="nil"/>
            </w:tcBorders>
            <w:shd w:val="clear" w:color="auto" w:fill="auto"/>
            <w:noWrap/>
            <w:vAlign w:val="bottom"/>
            <w:hideMark/>
          </w:tcPr>
          <w:p w14:paraId="0E38A0A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970</w:t>
            </w:r>
          </w:p>
        </w:tc>
        <w:tc>
          <w:tcPr>
            <w:tcW w:w="419" w:type="pct"/>
            <w:tcBorders>
              <w:top w:val="nil"/>
              <w:left w:val="nil"/>
              <w:bottom w:val="nil"/>
              <w:right w:val="nil"/>
            </w:tcBorders>
            <w:shd w:val="clear" w:color="auto" w:fill="auto"/>
            <w:noWrap/>
            <w:vAlign w:val="bottom"/>
            <w:hideMark/>
          </w:tcPr>
          <w:p w14:paraId="2D78CA1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890</w:t>
            </w:r>
          </w:p>
        </w:tc>
        <w:tc>
          <w:tcPr>
            <w:tcW w:w="419" w:type="pct"/>
            <w:tcBorders>
              <w:top w:val="nil"/>
              <w:left w:val="nil"/>
              <w:bottom w:val="nil"/>
              <w:right w:val="nil"/>
            </w:tcBorders>
            <w:shd w:val="clear" w:color="auto" w:fill="auto"/>
            <w:noWrap/>
            <w:vAlign w:val="bottom"/>
            <w:hideMark/>
          </w:tcPr>
          <w:p w14:paraId="0DECB10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1 065</w:t>
            </w:r>
          </w:p>
        </w:tc>
        <w:tc>
          <w:tcPr>
            <w:tcW w:w="419" w:type="pct"/>
            <w:tcBorders>
              <w:top w:val="nil"/>
              <w:left w:val="nil"/>
              <w:bottom w:val="nil"/>
              <w:right w:val="nil"/>
            </w:tcBorders>
            <w:shd w:val="clear" w:color="auto" w:fill="auto"/>
            <w:noWrap/>
            <w:vAlign w:val="bottom"/>
            <w:hideMark/>
          </w:tcPr>
          <w:p w14:paraId="4C4F9AD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716</w:t>
            </w:r>
          </w:p>
        </w:tc>
        <w:tc>
          <w:tcPr>
            <w:tcW w:w="419" w:type="pct"/>
            <w:tcBorders>
              <w:top w:val="nil"/>
              <w:left w:val="nil"/>
              <w:bottom w:val="nil"/>
              <w:right w:val="nil"/>
            </w:tcBorders>
            <w:shd w:val="clear" w:color="auto" w:fill="auto"/>
            <w:noWrap/>
            <w:vAlign w:val="bottom"/>
            <w:hideMark/>
          </w:tcPr>
          <w:p w14:paraId="24F38F9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716</w:t>
            </w:r>
          </w:p>
        </w:tc>
        <w:tc>
          <w:tcPr>
            <w:tcW w:w="419" w:type="pct"/>
            <w:tcBorders>
              <w:top w:val="nil"/>
              <w:left w:val="nil"/>
              <w:bottom w:val="nil"/>
              <w:right w:val="nil"/>
            </w:tcBorders>
            <w:shd w:val="clear" w:color="auto" w:fill="auto"/>
            <w:noWrap/>
            <w:vAlign w:val="bottom"/>
            <w:hideMark/>
          </w:tcPr>
          <w:p w14:paraId="2ED8156E"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716</w:t>
            </w:r>
          </w:p>
        </w:tc>
      </w:tr>
      <w:tr w:rsidR="00DD531B" w:rsidRPr="00DD531B" w14:paraId="00F38D7C" w14:textId="77777777" w:rsidTr="001F24AE">
        <w:trPr>
          <w:trHeight w:val="300"/>
        </w:trPr>
        <w:tc>
          <w:tcPr>
            <w:tcW w:w="2065" w:type="pct"/>
            <w:tcBorders>
              <w:top w:val="nil"/>
              <w:left w:val="nil"/>
              <w:bottom w:val="nil"/>
              <w:right w:val="nil"/>
            </w:tcBorders>
            <w:shd w:val="clear" w:color="auto" w:fill="auto"/>
            <w:noWrap/>
            <w:vAlign w:val="bottom"/>
            <w:hideMark/>
          </w:tcPr>
          <w:p w14:paraId="4889D46E"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640 bežné transfery</w:t>
            </w:r>
          </w:p>
        </w:tc>
        <w:tc>
          <w:tcPr>
            <w:tcW w:w="419" w:type="pct"/>
            <w:tcBorders>
              <w:top w:val="nil"/>
              <w:left w:val="nil"/>
              <w:bottom w:val="nil"/>
              <w:right w:val="nil"/>
            </w:tcBorders>
            <w:shd w:val="clear" w:color="auto" w:fill="auto"/>
            <w:noWrap/>
            <w:vAlign w:val="bottom"/>
            <w:hideMark/>
          </w:tcPr>
          <w:p w14:paraId="6AA7613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176</w:t>
            </w:r>
          </w:p>
        </w:tc>
        <w:tc>
          <w:tcPr>
            <w:tcW w:w="419" w:type="pct"/>
            <w:tcBorders>
              <w:top w:val="nil"/>
              <w:left w:val="nil"/>
              <w:bottom w:val="nil"/>
              <w:right w:val="nil"/>
            </w:tcBorders>
            <w:shd w:val="clear" w:color="auto" w:fill="auto"/>
            <w:noWrap/>
            <w:vAlign w:val="bottom"/>
            <w:hideMark/>
          </w:tcPr>
          <w:p w14:paraId="3249725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227</w:t>
            </w:r>
          </w:p>
        </w:tc>
        <w:tc>
          <w:tcPr>
            <w:tcW w:w="419" w:type="pct"/>
            <w:tcBorders>
              <w:top w:val="nil"/>
              <w:left w:val="nil"/>
              <w:bottom w:val="nil"/>
              <w:right w:val="nil"/>
            </w:tcBorders>
            <w:shd w:val="clear" w:color="auto" w:fill="auto"/>
            <w:noWrap/>
            <w:vAlign w:val="bottom"/>
            <w:hideMark/>
          </w:tcPr>
          <w:p w14:paraId="46B45B0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193</w:t>
            </w:r>
          </w:p>
        </w:tc>
        <w:tc>
          <w:tcPr>
            <w:tcW w:w="419" w:type="pct"/>
            <w:tcBorders>
              <w:top w:val="nil"/>
              <w:left w:val="nil"/>
              <w:bottom w:val="nil"/>
              <w:right w:val="nil"/>
            </w:tcBorders>
            <w:shd w:val="clear" w:color="auto" w:fill="auto"/>
            <w:noWrap/>
            <w:vAlign w:val="bottom"/>
            <w:hideMark/>
          </w:tcPr>
          <w:p w14:paraId="101428AE"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313</w:t>
            </w:r>
          </w:p>
        </w:tc>
        <w:tc>
          <w:tcPr>
            <w:tcW w:w="419" w:type="pct"/>
            <w:tcBorders>
              <w:top w:val="nil"/>
              <w:left w:val="nil"/>
              <w:bottom w:val="nil"/>
              <w:right w:val="nil"/>
            </w:tcBorders>
            <w:shd w:val="clear" w:color="auto" w:fill="auto"/>
            <w:noWrap/>
            <w:vAlign w:val="bottom"/>
            <w:hideMark/>
          </w:tcPr>
          <w:p w14:paraId="7069639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298</w:t>
            </w:r>
          </w:p>
        </w:tc>
        <w:tc>
          <w:tcPr>
            <w:tcW w:w="419" w:type="pct"/>
            <w:tcBorders>
              <w:top w:val="nil"/>
              <w:left w:val="nil"/>
              <w:bottom w:val="nil"/>
              <w:right w:val="nil"/>
            </w:tcBorders>
            <w:shd w:val="clear" w:color="auto" w:fill="auto"/>
            <w:noWrap/>
            <w:vAlign w:val="bottom"/>
            <w:hideMark/>
          </w:tcPr>
          <w:p w14:paraId="161E838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204</w:t>
            </w:r>
          </w:p>
        </w:tc>
        <w:tc>
          <w:tcPr>
            <w:tcW w:w="419" w:type="pct"/>
            <w:tcBorders>
              <w:top w:val="nil"/>
              <w:left w:val="nil"/>
              <w:bottom w:val="nil"/>
              <w:right w:val="nil"/>
            </w:tcBorders>
            <w:shd w:val="clear" w:color="auto" w:fill="auto"/>
            <w:noWrap/>
            <w:vAlign w:val="bottom"/>
            <w:hideMark/>
          </w:tcPr>
          <w:p w14:paraId="2BA8ACA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204</w:t>
            </w:r>
          </w:p>
        </w:tc>
      </w:tr>
      <w:tr w:rsidR="00DD531B" w:rsidRPr="00DD531B" w14:paraId="69D35201" w14:textId="77777777" w:rsidTr="001F24AE">
        <w:trPr>
          <w:trHeight w:val="300"/>
        </w:trPr>
        <w:tc>
          <w:tcPr>
            <w:tcW w:w="2065" w:type="pct"/>
            <w:tcBorders>
              <w:top w:val="nil"/>
              <w:left w:val="nil"/>
              <w:bottom w:val="nil"/>
              <w:right w:val="nil"/>
            </w:tcBorders>
            <w:shd w:val="clear" w:color="auto" w:fill="auto"/>
            <w:noWrap/>
            <w:vAlign w:val="bottom"/>
            <w:hideMark/>
          </w:tcPr>
          <w:p w14:paraId="1A877E3A"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kapitálové výdavky 700</w:t>
            </w:r>
          </w:p>
        </w:tc>
        <w:tc>
          <w:tcPr>
            <w:tcW w:w="419" w:type="pct"/>
            <w:tcBorders>
              <w:top w:val="nil"/>
              <w:left w:val="nil"/>
              <w:bottom w:val="nil"/>
              <w:right w:val="nil"/>
            </w:tcBorders>
            <w:shd w:val="clear" w:color="auto" w:fill="auto"/>
            <w:noWrap/>
            <w:vAlign w:val="bottom"/>
            <w:hideMark/>
          </w:tcPr>
          <w:p w14:paraId="5B02490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764</w:t>
            </w:r>
          </w:p>
        </w:tc>
        <w:tc>
          <w:tcPr>
            <w:tcW w:w="419" w:type="pct"/>
            <w:tcBorders>
              <w:top w:val="nil"/>
              <w:left w:val="nil"/>
              <w:bottom w:val="nil"/>
              <w:right w:val="nil"/>
            </w:tcBorders>
            <w:shd w:val="clear" w:color="auto" w:fill="auto"/>
            <w:noWrap/>
            <w:vAlign w:val="bottom"/>
            <w:hideMark/>
          </w:tcPr>
          <w:p w14:paraId="01B9056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98</w:t>
            </w:r>
          </w:p>
        </w:tc>
        <w:tc>
          <w:tcPr>
            <w:tcW w:w="419" w:type="pct"/>
            <w:tcBorders>
              <w:top w:val="nil"/>
              <w:left w:val="nil"/>
              <w:bottom w:val="nil"/>
              <w:right w:val="nil"/>
            </w:tcBorders>
            <w:shd w:val="clear" w:color="auto" w:fill="auto"/>
            <w:noWrap/>
            <w:vAlign w:val="bottom"/>
            <w:hideMark/>
          </w:tcPr>
          <w:p w14:paraId="3210E67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30</w:t>
            </w:r>
          </w:p>
        </w:tc>
        <w:tc>
          <w:tcPr>
            <w:tcW w:w="419" w:type="pct"/>
            <w:tcBorders>
              <w:top w:val="nil"/>
              <w:left w:val="nil"/>
              <w:bottom w:val="nil"/>
              <w:right w:val="nil"/>
            </w:tcBorders>
            <w:shd w:val="clear" w:color="auto" w:fill="auto"/>
            <w:noWrap/>
            <w:vAlign w:val="bottom"/>
            <w:hideMark/>
          </w:tcPr>
          <w:p w14:paraId="4D66E10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75</w:t>
            </w:r>
          </w:p>
        </w:tc>
        <w:tc>
          <w:tcPr>
            <w:tcW w:w="419" w:type="pct"/>
            <w:tcBorders>
              <w:top w:val="nil"/>
              <w:left w:val="nil"/>
              <w:bottom w:val="nil"/>
              <w:right w:val="nil"/>
            </w:tcBorders>
            <w:shd w:val="clear" w:color="auto" w:fill="auto"/>
            <w:noWrap/>
            <w:vAlign w:val="bottom"/>
            <w:hideMark/>
          </w:tcPr>
          <w:p w14:paraId="7ED3293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247</w:t>
            </w:r>
          </w:p>
        </w:tc>
        <w:tc>
          <w:tcPr>
            <w:tcW w:w="419" w:type="pct"/>
            <w:tcBorders>
              <w:top w:val="nil"/>
              <w:left w:val="nil"/>
              <w:bottom w:val="nil"/>
              <w:right w:val="nil"/>
            </w:tcBorders>
            <w:shd w:val="clear" w:color="auto" w:fill="auto"/>
            <w:noWrap/>
            <w:vAlign w:val="bottom"/>
            <w:hideMark/>
          </w:tcPr>
          <w:p w14:paraId="05E24B1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665</w:t>
            </w:r>
          </w:p>
        </w:tc>
        <w:tc>
          <w:tcPr>
            <w:tcW w:w="419" w:type="pct"/>
            <w:tcBorders>
              <w:top w:val="nil"/>
              <w:left w:val="nil"/>
              <w:bottom w:val="nil"/>
              <w:right w:val="nil"/>
            </w:tcBorders>
            <w:shd w:val="clear" w:color="auto" w:fill="auto"/>
            <w:noWrap/>
            <w:vAlign w:val="bottom"/>
            <w:hideMark/>
          </w:tcPr>
          <w:p w14:paraId="5566F50A"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482</w:t>
            </w:r>
          </w:p>
        </w:tc>
      </w:tr>
      <w:tr w:rsidR="00DD531B" w:rsidRPr="00DD531B" w14:paraId="32F7180A" w14:textId="77777777" w:rsidTr="001F24AE">
        <w:trPr>
          <w:trHeight w:val="300"/>
        </w:trPr>
        <w:tc>
          <w:tcPr>
            <w:tcW w:w="2065" w:type="pct"/>
            <w:tcBorders>
              <w:top w:val="nil"/>
              <w:left w:val="nil"/>
              <w:bottom w:val="nil"/>
              <w:right w:val="nil"/>
            </w:tcBorders>
            <w:shd w:val="clear" w:color="auto" w:fill="auto"/>
            <w:noWrap/>
            <w:vAlign w:val="bottom"/>
            <w:hideMark/>
          </w:tcPr>
          <w:p w14:paraId="6AFDD43E"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zdroj EÚ vrátane spolufinancovania zo ŠR, v tom:</w:t>
            </w:r>
          </w:p>
        </w:tc>
        <w:tc>
          <w:tcPr>
            <w:tcW w:w="419" w:type="pct"/>
            <w:tcBorders>
              <w:top w:val="nil"/>
              <w:left w:val="nil"/>
              <w:bottom w:val="nil"/>
              <w:right w:val="nil"/>
            </w:tcBorders>
            <w:shd w:val="clear" w:color="auto" w:fill="auto"/>
            <w:noWrap/>
            <w:vAlign w:val="bottom"/>
            <w:hideMark/>
          </w:tcPr>
          <w:p w14:paraId="26C42D3C"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91</w:t>
            </w:r>
          </w:p>
        </w:tc>
        <w:tc>
          <w:tcPr>
            <w:tcW w:w="419" w:type="pct"/>
            <w:tcBorders>
              <w:top w:val="nil"/>
              <w:left w:val="nil"/>
              <w:bottom w:val="nil"/>
              <w:right w:val="nil"/>
            </w:tcBorders>
            <w:shd w:val="clear" w:color="auto" w:fill="auto"/>
            <w:noWrap/>
            <w:vAlign w:val="bottom"/>
            <w:hideMark/>
          </w:tcPr>
          <w:p w14:paraId="4F08210D"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419" w:type="pct"/>
            <w:tcBorders>
              <w:top w:val="nil"/>
              <w:left w:val="nil"/>
              <w:bottom w:val="nil"/>
              <w:right w:val="nil"/>
            </w:tcBorders>
            <w:shd w:val="clear" w:color="auto" w:fill="auto"/>
            <w:noWrap/>
            <w:vAlign w:val="bottom"/>
            <w:hideMark/>
          </w:tcPr>
          <w:p w14:paraId="05E8C9CA"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419" w:type="pct"/>
            <w:tcBorders>
              <w:top w:val="nil"/>
              <w:left w:val="nil"/>
              <w:bottom w:val="nil"/>
              <w:right w:val="nil"/>
            </w:tcBorders>
            <w:shd w:val="clear" w:color="auto" w:fill="auto"/>
            <w:noWrap/>
            <w:vAlign w:val="bottom"/>
            <w:hideMark/>
          </w:tcPr>
          <w:p w14:paraId="4E920A99"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193</w:t>
            </w:r>
          </w:p>
        </w:tc>
        <w:tc>
          <w:tcPr>
            <w:tcW w:w="419" w:type="pct"/>
            <w:tcBorders>
              <w:top w:val="nil"/>
              <w:left w:val="nil"/>
              <w:bottom w:val="nil"/>
              <w:right w:val="nil"/>
            </w:tcBorders>
            <w:shd w:val="clear" w:color="auto" w:fill="auto"/>
            <w:noWrap/>
            <w:vAlign w:val="bottom"/>
            <w:hideMark/>
          </w:tcPr>
          <w:p w14:paraId="53AD5C9C"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419" w:type="pct"/>
            <w:tcBorders>
              <w:top w:val="nil"/>
              <w:left w:val="nil"/>
              <w:bottom w:val="nil"/>
              <w:right w:val="nil"/>
            </w:tcBorders>
            <w:shd w:val="clear" w:color="auto" w:fill="auto"/>
            <w:noWrap/>
            <w:vAlign w:val="bottom"/>
            <w:hideMark/>
          </w:tcPr>
          <w:p w14:paraId="3CC69C05"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419" w:type="pct"/>
            <w:tcBorders>
              <w:top w:val="nil"/>
              <w:left w:val="nil"/>
              <w:bottom w:val="nil"/>
              <w:right w:val="nil"/>
            </w:tcBorders>
            <w:shd w:val="clear" w:color="auto" w:fill="auto"/>
            <w:noWrap/>
            <w:vAlign w:val="bottom"/>
            <w:hideMark/>
          </w:tcPr>
          <w:p w14:paraId="2A5C535E"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r>
      <w:tr w:rsidR="00DD531B" w:rsidRPr="00DD531B" w14:paraId="4C0EF4DE" w14:textId="77777777" w:rsidTr="001F24AE">
        <w:trPr>
          <w:trHeight w:val="300"/>
        </w:trPr>
        <w:tc>
          <w:tcPr>
            <w:tcW w:w="2065" w:type="pct"/>
            <w:tcBorders>
              <w:top w:val="nil"/>
              <w:left w:val="nil"/>
              <w:bottom w:val="nil"/>
              <w:right w:val="nil"/>
            </w:tcBorders>
            <w:shd w:val="clear" w:color="auto" w:fill="auto"/>
            <w:noWrap/>
            <w:vAlign w:val="bottom"/>
            <w:hideMark/>
          </w:tcPr>
          <w:p w14:paraId="4C61F7C5"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prostriedky EÚ</w:t>
            </w:r>
          </w:p>
        </w:tc>
        <w:tc>
          <w:tcPr>
            <w:tcW w:w="419" w:type="pct"/>
            <w:tcBorders>
              <w:top w:val="nil"/>
              <w:left w:val="nil"/>
              <w:bottom w:val="nil"/>
              <w:right w:val="nil"/>
            </w:tcBorders>
            <w:shd w:val="clear" w:color="auto" w:fill="auto"/>
            <w:noWrap/>
            <w:vAlign w:val="bottom"/>
            <w:hideMark/>
          </w:tcPr>
          <w:p w14:paraId="656B2CF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64</w:t>
            </w:r>
          </w:p>
        </w:tc>
        <w:tc>
          <w:tcPr>
            <w:tcW w:w="419" w:type="pct"/>
            <w:tcBorders>
              <w:top w:val="nil"/>
              <w:left w:val="nil"/>
              <w:bottom w:val="nil"/>
              <w:right w:val="nil"/>
            </w:tcBorders>
            <w:shd w:val="clear" w:color="auto" w:fill="auto"/>
            <w:noWrap/>
            <w:vAlign w:val="bottom"/>
            <w:hideMark/>
          </w:tcPr>
          <w:p w14:paraId="5BA9B96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19" w:type="pct"/>
            <w:tcBorders>
              <w:top w:val="nil"/>
              <w:left w:val="nil"/>
              <w:bottom w:val="nil"/>
              <w:right w:val="nil"/>
            </w:tcBorders>
            <w:shd w:val="clear" w:color="auto" w:fill="auto"/>
            <w:noWrap/>
            <w:vAlign w:val="bottom"/>
            <w:hideMark/>
          </w:tcPr>
          <w:p w14:paraId="1939A56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19" w:type="pct"/>
            <w:tcBorders>
              <w:top w:val="nil"/>
              <w:left w:val="nil"/>
              <w:bottom w:val="nil"/>
              <w:right w:val="nil"/>
            </w:tcBorders>
            <w:shd w:val="clear" w:color="auto" w:fill="auto"/>
            <w:noWrap/>
            <w:vAlign w:val="bottom"/>
            <w:hideMark/>
          </w:tcPr>
          <w:p w14:paraId="538BB1E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193</w:t>
            </w:r>
          </w:p>
        </w:tc>
        <w:tc>
          <w:tcPr>
            <w:tcW w:w="419" w:type="pct"/>
            <w:tcBorders>
              <w:top w:val="nil"/>
              <w:left w:val="nil"/>
              <w:bottom w:val="nil"/>
              <w:right w:val="nil"/>
            </w:tcBorders>
            <w:shd w:val="clear" w:color="auto" w:fill="auto"/>
            <w:noWrap/>
            <w:vAlign w:val="bottom"/>
            <w:hideMark/>
          </w:tcPr>
          <w:p w14:paraId="3135591E"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19" w:type="pct"/>
            <w:tcBorders>
              <w:top w:val="nil"/>
              <w:left w:val="nil"/>
              <w:bottom w:val="nil"/>
              <w:right w:val="nil"/>
            </w:tcBorders>
            <w:shd w:val="clear" w:color="auto" w:fill="auto"/>
            <w:noWrap/>
            <w:vAlign w:val="bottom"/>
            <w:hideMark/>
          </w:tcPr>
          <w:p w14:paraId="66A8981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19" w:type="pct"/>
            <w:tcBorders>
              <w:top w:val="nil"/>
              <w:left w:val="nil"/>
              <w:bottom w:val="nil"/>
              <w:right w:val="nil"/>
            </w:tcBorders>
            <w:shd w:val="clear" w:color="auto" w:fill="auto"/>
            <w:noWrap/>
            <w:vAlign w:val="bottom"/>
            <w:hideMark/>
          </w:tcPr>
          <w:p w14:paraId="6CDF42B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r w:rsidR="00DD531B" w:rsidRPr="00DD531B" w14:paraId="0B579A4A" w14:textId="77777777" w:rsidTr="001F24AE">
        <w:trPr>
          <w:trHeight w:val="300"/>
        </w:trPr>
        <w:tc>
          <w:tcPr>
            <w:tcW w:w="2065" w:type="pct"/>
            <w:tcBorders>
              <w:top w:val="nil"/>
              <w:left w:val="nil"/>
              <w:bottom w:val="nil"/>
              <w:right w:val="nil"/>
            </w:tcBorders>
            <w:shd w:val="clear" w:color="auto" w:fill="auto"/>
            <w:noWrap/>
            <w:vAlign w:val="bottom"/>
            <w:hideMark/>
          </w:tcPr>
          <w:p w14:paraId="74D4BDB0"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spolufinancovanie zo ŠR</w:t>
            </w:r>
          </w:p>
        </w:tc>
        <w:tc>
          <w:tcPr>
            <w:tcW w:w="419" w:type="pct"/>
            <w:tcBorders>
              <w:top w:val="nil"/>
              <w:left w:val="nil"/>
              <w:bottom w:val="nil"/>
              <w:right w:val="nil"/>
            </w:tcBorders>
            <w:shd w:val="clear" w:color="auto" w:fill="auto"/>
            <w:noWrap/>
            <w:vAlign w:val="bottom"/>
            <w:hideMark/>
          </w:tcPr>
          <w:p w14:paraId="207E0F5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27</w:t>
            </w:r>
          </w:p>
        </w:tc>
        <w:tc>
          <w:tcPr>
            <w:tcW w:w="419" w:type="pct"/>
            <w:tcBorders>
              <w:top w:val="nil"/>
              <w:left w:val="nil"/>
              <w:bottom w:val="nil"/>
              <w:right w:val="nil"/>
            </w:tcBorders>
            <w:shd w:val="clear" w:color="auto" w:fill="auto"/>
            <w:noWrap/>
            <w:vAlign w:val="bottom"/>
            <w:hideMark/>
          </w:tcPr>
          <w:p w14:paraId="1F20112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19" w:type="pct"/>
            <w:tcBorders>
              <w:top w:val="nil"/>
              <w:left w:val="nil"/>
              <w:bottom w:val="nil"/>
              <w:right w:val="nil"/>
            </w:tcBorders>
            <w:shd w:val="clear" w:color="auto" w:fill="auto"/>
            <w:noWrap/>
            <w:vAlign w:val="bottom"/>
            <w:hideMark/>
          </w:tcPr>
          <w:p w14:paraId="2C3F62C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19" w:type="pct"/>
            <w:tcBorders>
              <w:top w:val="nil"/>
              <w:left w:val="nil"/>
              <w:bottom w:val="nil"/>
              <w:right w:val="nil"/>
            </w:tcBorders>
            <w:shd w:val="clear" w:color="auto" w:fill="auto"/>
            <w:noWrap/>
            <w:vAlign w:val="bottom"/>
            <w:hideMark/>
          </w:tcPr>
          <w:p w14:paraId="16BE5DE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19" w:type="pct"/>
            <w:tcBorders>
              <w:top w:val="nil"/>
              <w:left w:val="nil"/>
              <w:bottom w:val="nil"/>
              <w:right w:val="nil"/>
            </w:tcBorders>
            <w:shd w:val="clear" w:color="auto" w:fill="auto"/>
            <w:noWrap/>
            <w:vAlign w:val="bottom"/>
            <w:hideMark/>
          </w:tcPr>
          <w:p w14:paraId="2025B51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19" w:type="pct"/>
            <w:tcBorders>
              <w:top w:val="nil"/>
              <w:left w:val="nil"/>
              <w:bottom w:val="nil"/>
              <w:right w:val="nil"/>
            </w:tcBorders>
            <w:shd w:val="clear" w:color="auto" w:fill="auto"/>
            <w:noWrap/>
            <w:vAlign w:val="bottom"/>
            <w:hideMark/>
          </w:tcPr>
          <w:p w14:paraId="61A23B4E"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19" w:type="pct"/>
            <w:tcBorders>
              <w:top w:val="nil"/>
              <w:left w:val="nil"/>
              <w:bottom w:val="nil"/>
              <w:right w:val="nil"/>
            </w:tcBorders>
            <w:shd w:val="clear" w:color="auto" w:fill="auto"/>
            <w:noWrap/>
            <w:vAlign w:val="bottom"/>
            <w:hideMark/>
          </w:tcPr>
          <w:p w14:paraId="27C9FF6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r w:rsidR="00DD531B" w:rsidRPr="00DD531B" w14:paraId="50CE4DDB" w14:textId="77777777" w:rsidTr="001F24AE">
        <w:trPr>
          <w:trHeight w:val="300"/>
        </w:trPr>
        <w:tc>
          <w:tcPr>
            <w:tcW w:w="2065" w:type="pct"/>
            <w:tcBorders>
              <w:top w:val="nil"/>
              <w:left w:val="nil"/>
              <w:bottom w:val="nil"/>
              <w:right w:val="nil"/>
            </w:tcBorders>
            <w:shd w:val="clear" w:color="auto" w:fill="auto"/>
            <w:noWrap/>
            <w:vAlign w:val="bottom"/>
            <w:hideMark/>
          </w:tcPr>
          <w:p w14:paraId="3AC6BF22" w14:textId="77777777" w:rsidR="00DD531B" w:rsidRPr="00170734" w:rsidRDefault="00DD531B" w:rsidP="00DD531B">
            <w:pPr>
              <w:spacing w:after="0" w:line="240" w:lineRule="auto"/>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presun z minulých rokov § 8, v tom:</w:t>
            </w:r>
          </w:p>
        </w:tc>
        <w:tc>
          <w:tcPr>
            <w:tcW w:w="419" w:type="pct"/>
            <w:tcBorders>
              <w:top w:val="nil"/>
              <w:left w:val="nil"/>
              <w:bottom w:val="nil"/>
              <w:right w:val="nil"/>
            </w:tcBorders>
            <w:shd w:val="clear" w:color="auto" w:fill="auto"/>
            <w:noWrap/>
            <w:vAlign w:val="bottom"/>
            <w:hideMark/>
          </w:tcPr>
          <w:p w14:paraId="759F424E"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419" w:type="pct"/>
            <w:tcBorders>
              <w:top w:val="nil"/>
              <w:left w:val="nil"/>
              <w:bottom w:val="nil"/>
              <w:right w:val="nil"/>
            </w:tcBorders>
            <w:shd w:val="clear" w:color="auto" w:fill="auto"/>
            <w:noWrap/>
            <w:vAlign w:val="bottom"/>
            <w:hideMark/>
          </w:tcPr>
          <w:p w14:paraId="79BFAB0F"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1 709</w:t>
            </w:r>
          </w:p>
        </w:tc>
        <w:tc>
          <w:tcPr>
            <w:tcW w:w="419" w:type="pct"/>
            <w:tcBorders>
              <w:top w:val="nil"/>
              <w:left w:val="nil"/>
              <w:bottom w:val="nil"/>
              <w:right w:val="nil"/>
            </w:tcBorders>
            <w:shd w:val="clear" w:color="auto" w:fill="auto"/>
            <w:noWrap/>
            <w:vAlign w:val="bottom"/>
            <w:hideMark/>
          </w:tcPr>
          <w:p w14:paraId="4912610D"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419" w:type="pct"/>
            <w:tcBorders>
              <w:top w:val="nil"/>
              <w:left w:val="nil"/>
              <w:bottom w:val="nil"/>
              <w:right w:val="nil"/>
            </w:tcBorders>
            <w:shd w:val="clear" w:color="auto" w:fill="auto"/>
            <w:noWrap/>
            <w:vAlign w:val="bottom"/>
            <w:hideMark/>
          </w:tcPr>
          <w:p w14:paraId="6121FA46"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632</w:t>
            </w:r>
          </w:p>
        </w:tc>
        <w:tc>
          <w:tcPr>
            <w:tcW w:w="419" w:type="pct"/>
            <w:tcBorders>
              <w:top w:val="nil"/>
              <w:left w:val="nil"/>
              <w:bottom w:val="nil"/>
              <w:right w:val="nil"/>
            </w:tcBorders>
            <w:shd w:val="clear" w:color="auto" w:fill="auto"/>
            <w:noWrap/>
            <w:vAlign w:val="bottom"/>
            <w:hideMark/>
          </w:tcPr>
          <w:p w14:paraId="6F8B455D"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419" w:type="pct"/>
            <w:tcBorders>
              <w:top w:val="nil"/>
              <w:left w:val="nil"/>
              <w:bottom w:val="nil"/>
              <w:right w:val="nil"/>
            </w:tcBorders>
            <w:shd w:val="clear" w:color="auto" w:fill="auto"/>
            <w:noWrap/>
            <w:vAlign w:val="bottom"/>
            <w:hideMark/>
          </w:tcPr>
          <w:p w14:paraId="4CF0FD3E"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419" w:type="pct"/>
            <w:tcBorders>
              <w:top w:val="nil"/>
              <w:left w:val="nil"/>
              <w:bottom w:val="nil"/>
              <w:right w:val="nil"/>
            </w:tcBorders>
            <w:shd w:val="clear" w:color="auto" w:fill="auto"/>
            <w:noWrap/>
            <w:vAlign w:val="bottom"/>
            <w:hideMark/>
          </w:tcPr>
          <w:p w14:paraId="5430021F"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r>
      <w:tr w:rsidR="00DD531B" w:rsidRPr="00DD531B" w14:paraId="3B9028F8" w14:textId="77777777" w:rsidTr="001F24AE">
        <w:trPr>
          <w:trHeight w:val="300"/>
        </w:trPr>
        <w:tc>
          <w:tcPr>
            <w:tcW w:w="2065" w:type="pct"/>
            <w:tcBorders>
              <w:top w:val="nil"/>
              <w:left w:val="nil"/>
              <w:bottom w:val="nil"/>
              <w:right w:val="nil"/>
            </w:tcBorders>
            <w:shd w:val="clear" w:color="auto" w:fill="auto"/>
            <w:noWrap/>
            <w:vAlign w:val="bottom"/>
            <w:hideMark/>
          </w:tcPr>
          <w:p w14:paraId="158DA84C"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štátny rozpočet</w:t>
            </w:r>
          </w:p>
        </w:tc>
        <w:tc>
          <w:tcPr>
            <w:tcW w:w="419" w:type="pct"/>
            <w:tcBorders>
              <w:top w:val="nil"/>
              <w:left w:val="nil"/>
              <w:bottom w:val="nil"/>
              <w:right w:val="nil"/>
            </w:tcBorders>
            <w:shd w:val="clear" w:color="auto" w:fill="auto"/>
            <w:noWrap/>
            <w:vAlign w:val="bottom"/>
            <w:hideMark/>
          </w:tcPr>
          <w:p w14:paraId="767E280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19" w:type="pct"/>
            <w:tcBorders>
              <w:top w:val="nil"/>
              <w:left w:val="nil"/>
              <w:bottom w:val="nil"/>
              <w:right w:val="nil"/>
            </w:tcBorders>
            <w:shd w:val="clear" w:color="auto" w:fill="auto"/>
            <w:noWrap/>
            <w:vAlign w:val="bottom"/>
            <w:hideMark/>
          </w:tcPr>
          <w:p w14:paraId="60D1714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574</w:t>
            </w:r>
          </w:p>
        </w:tc>
        <w:tc>
          <w:tcPr>
            <w:tcW w:w="419" w:type="pct"/>
            <w:tcBorders>
              <w:top w:val="nil"/>
              <w:left w:val="nil"/>
              <w:bottom w:val="nil"/>
              <w:right w:val="nil"/>
            </w:tcBorders>
            <w:shd w:val="clear" w:color="auto" w:fill="auto"/>
            <w:noWrap/>
            <w:vAlign w:val="bottom"/>
            <w:hideMark/>
          </w:tcPr>
          <w:p w14:paraId="5DF36C3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19" w:type="pct"/>
            <w:tcBorders>
              <w:top w:val="nil"/>
              <w:left w:val="nil"/>
              <w:bottom w:val="nil"/>
              <w:right w:val="nil"/>
            </w:tcBorders>
            <w:shd w:val="clear" w:color="auto" w:fill="auto"/>
            <w:noWrap/>
            <w:vAlign w:val="bottom"/>
            <w:hideMark/>
          </w:tcPr>
          <w:p w14:paraId="5E8B2F0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227</w:t>
            </w:r>
          </w:p>
        </w:tc>
        <w:tc>
          <w:tcPr>
            <w:tcW w:w="419" w:type="pct"/>
            <w:tcBorders>
              <w:top w:val="nil"/>
              <w:left w:val="nil"/>
              <w:bottom w:val="nil"/>
              <w:right w:val="nil"/>
            </w:tcBorders>
            <w:shd w:val="clear" w:color="auto" w:fill="auto"/>
            <w:noWrap/>
            <w:vAlign w:val="bottom"/>
            <w:hideMark/>
          </w:tcPr>
          <w:p w14:paraId="1C98107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19" w:type="pct"/>
            <w:tcBorders>
              <w:top w:val="nil"/>
              <w:left w:val="nil"/>
              <w:bottom w:val="nil"/>
              <w:right w:val="nil"/>
            </w:tcBorders>
            <w:shd w:val="clear" w:color="auto" w:fill="auto"/>
            <w:noWrap/>
            <w:vAlign w:val="bottom"/>
            <w:hideMark/>
          </w:tcPr>
          <w:p w14:paraId="10BC4E7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19" w:type="pct"/>
            <w:tcBorders>
              <w:top w:val="nil"/>
              <w:left w:val="nil"/>
              <w:bottom w:val="nil"/>
              <w:right w:val="nil"/>
            </w:tcBorders>
            <w:shd w:val="clear" w:color="auto" w:fill="auto"/>
            <w:noWrap/>
            <w:vAlign w:val="bottom"/>
            <w:hideMark/>
          </w:tcPr>
          <w:p w14:paraId="231A1B2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r w:rsidR="00DD531B" w:rsidRPr="00DD531B" w14:paraId="016B42F5" w14:textId="77777777" w:rsidTr="001F24AE">
        <w:trPr>
          <w:trHeight w:val="300"/>
        </w:trPr>
        <w:tc>
          <w:tcPr>
            <w:tcW w:w="2065" w:type="pct"/>
            <w:tcBorders>
              <w:top w:val="nil"/>
              <w:left w:val="nil"/>
              <w:bottom w:val="single" w:sz="4" w:space="0" w:color="auto"/>
              <w:right w:val="nil"/>
            </w:tcBorders>
            <w:shd w:val="clear" w:color="auto" w:fill="auto"/>
            <w:noWrap/>
            <w:vAlign w:val="bottom"/>
            <w:hideMark/>
          </w:tcPr>
          <w:p w14:paraId="2480735C"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prostriedky EÚ a spolufinancovanie zo ŠR</w:t>
            </w:r>
          </w:p>
        </w:tc>
        <w:tc>
          <w:tcPr>
            <w:tcW w:w="419" w:type="pct"/>
            <w:tcBorders>
              <w:top w:val="nil"/>
              <w:left w:val="nil"/>
              <w:bottom w:val="single" w:sz="4" w:space="0" w:color="auto"/>
              <w:right w:val="nil"/>
            </w:tcBorders>
            <w:shd w:val="clear" w:color="auto" w:fill="auto"/>
            <w:noWrap/>
            <w:vAlign w:val="bottom"/>
            <w:hideMark/>
          </w:tcPr>
          <w:p w14:paraId="6ED64BEA"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19" w:type="pct"/>
            <w:tcBorders>
              <w:top w:val="nil"/>
              <w:left w:val="nil"/>
              <w:bottom w:val="single" w:sz="4" w:space="0" w:color="auto"/>
              <w:right w:val="nil"/>
            </w:tcBorders>
            <w:shd w:val="clear" w:color="auto" w:fill="auto"/>
            <w:noWrap/>
            <w:vAlign w:val="bottom"/>
            <w:hideMark/>
          </w:tcPr>
          <w:p w14:paraId="2E2B326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1 135</w:t>
            </w:r>
          </w:p>
        </w:tc>
        <w:tc>
          <w:tcPr>
            <w:tcW w:w="419" w:type="pct"/>
            <w:tcBorders>
              <w:top w:val="nil"/>
              <w:left w:val="nil"/>
              <w:bottom w:val="single" w:sz="4" w:space="0" w:color="auto"/>
              <w:right w:val="nil"/>
            </w:tcBorders>
            <w:shd w:val="clear" w:color="auto" w:fill="auto"/>
            <w:noWrap/>
            <w:vAlign w:val="bottom"/>
            <w:hideMark/>
          </w:tcPr>
          <w:p w14:paraId="4A38ECD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19" w:type="pct"/>
            <w:tcBorders>
              <w:top w:val="nil"/>
              <w:left w:val="nil"/>
              <w:bottom w:val="single" w:sz="4" w:space="0" w:color="auto"/>
              <w:right w:val="nil"/>
            </w:tcBorders>
            <w:shd w:val="clear" w:color="auto" w:fill="auto"/>
            <w:noWrap/>
            <w:vAlign w:val="bottom"/>
            <w:hideMark/>
          </w:tcPr>
          <w:p w14:paraId="04E2A4AA"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405</w:t>
            </w:r>
          </w:p>
        </w:tc>
        <w:tc>
          <w:tcPr>
            <w:tcW w:w="419" w:type="pct"/>
            <w:tcBorders>
              <w:top w:val="nil"/>
              <w:left w:val="nil"/>
              <w:bottom w:val="single" w:sz="4" w:space="0" w:color="auto"/>
              <w:right w:val="nil"/>
            </w:tcBorders>
            <w:shd w:val="clear" w:color="auto" w:fill="auto"/>
            <w:noWrap/>
            <w:vAlign w:val="bottom"/>
            <w:hideMark/>
          </w:tcPr>
          <w:p w14:paraId="05D3B5D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19" w:type="pct"/>
            <w:tcBorders>
              <w:top w:val="nil"/>
              <w:left w:val="nil"/>
              <w:bottom w:val="single" w:sz="4" w:space="0" w:color="auto"/>
              <w:right w:val="nil"/>
            </w:tcBorders>
            <w:shd w:val="clear" w:color="auto" w:fill="auto"/>
            <w:noWrap/>
            <w:vAlign w:val="bottom"/>
            <w:hideMark/>
          </w:tcPr>
          <w:p w14:paraId="25F4002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19" w:type="pct"/>
            <w:tcBorders>
              <w:top w:val="nil"/>
              <w:left w:val="nil"/>
              <w:bottom w:val="single" w:sz="4" w:space="0" w:color="auto"/>
              <w:right w:val="nil"/>
            </w:tcBorders>
            <w:shd w:val="clear" w:color="auto" w:fill="auto"/>
            <w:noWrap/>
            <w:vAlign w:val="bottom"/>
            <w:hideMark/>
          </w:tcPr>
          <w:p w14:paraId="1CB5B19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bl>
    <w:p w14:paraId="0AF45499" w14:textId="351C006F" w:rsidR="00DD531B" w:rsidRDefault="00DD531B" w:rsidP="00DD531B">
      <w:pPr>
        <w:rPr>
          <w:rFonts w:ascii="Times New Roman" w:eastAsia="Calibri" w:hAnsi="Times New Roman" w:cs="Times New Roman"/>
        </w:rPr>
      </w:pPr>
    </w:p>
    <w:p w14:paraId="0E49604B" w14:textId="5976CE11" w:rsidR="00170734" w:rsidRDefault="00170734" w:rsidP="00DD531B">
      <w:pPr>
        <w:rPr>
          <w:rFonts w:ascii="Times New Roman" w:eastAsia="Calibri" w:hAnsi="Times New Roman" w:cs="Times New Roman"/>
        </w:rPr>
      </w:pPr>
    </w:p>
    <w:p w14:paraId="3DCC4B9A" w14:textId="1EA22F90" w:rsidR="00170734" w:rsidRDefault="00170734" w:rsidP="00DD531B">
      <w:pPr>
        <w:rPr>
          <w:rFonts w:ascii="Times New Roman" w:eastAsia="Calibri" w:hAnsi="Times New Roman" w:cs="Times New Roman"/>
        </w:rPr>
      </w:pPr>
    </w:p>
    <w:p w14:paraId="4F075A6A" w14:textId="2850AF41" w:rsidR="00170734" w:rsidRDefault="00170734" w:rsidP="00DD531B">
      <w:pPr>
        <w:rPr>
          <w:rFonts w:ascii="Times New Roman" w:eastAsia="Calibri" w:hAnsi="Times New Roman" w:cs="Times New Roman"/>
        </w:rPr>
      </w:pPr>
    </w:p>
    <w:p w14:paraId="3A602489" w14:textId="3246E789" w:rsidR="00170734" w:rsidRDefault="00170734" w:rsidP="00DD531B">
      <w:pPr>
        <w:rPr>
          <w:rFonts w:ascii="Times New Roman" w:eastAsia="Calibri" w:hAnsi="Times New Roman" w:cs="Times New Roman"/>
        </w:rPr>
      </w:pPr>
    </w:p>
    <w:p w14:paraId="652D3B86" w14:textId="5D63EC9A" w:rsidR="00170734" w:rsidRDefault="00170734" w:rsidP="00DD531B">
      <w:pPr>
        <w:rPr>
          <w:rFonts w:ascii="Times New Roman" w:eastAsia="Calibri" w:hAnsi="Times New Roman" w:cs="Times New Roman"/>
        </w:rPr>
      </w:pPr>
    </w:p>
    <w:p w14:paraId="5D78C5BB" w14:textId="5B91D6C6" w:rsidR="00170734" w:rsidRDefault="00170734" w:rsidP="00DD531B">
      <w:pPr>
        <w:rPr>
          <w:rFonts w:ascii="Times New Roman" w:eastAsia="Calibri" w:hAnsi="Times New Roman" w:cs="Times New Roman"/>
        </w:rPr>
      </w:pPr>
    </w:p>
    <w:p w14:paraId="04E957DA" w14:textId="6FB27759" w:rsidR="00170734" w:rsidRDefault="00170734" w:rsidP="00DD531B">
      <w:pPr>
        <w:rPr>
          <w:rFonts w:ascii="Times New Roman" w:eastAsia="Calibri" w:hAnsi="Times New Roman" w:cs="Times New Roman"/>
        </w:rPr>
      </w:pPr>
    </w:p>
    <w:p w14:paraId="2C998339" w14:textId="4D5C2B27" w:rsidR="00170734" w:rsidRDefault="00170734" w:rsidP="00DD531B">
      <w:pPr>
        <w:rPr>
          <w:rFonts w:ascii="Times New Roman" w:eastAsia="Calibri" w:hAnsi="Times New Roman" w:cs="Times New Roman"/>
        </w:rPr>
      </w:pPr>
    </w:p>
    <w:p w14:paraId="63F04A09" w14:textId="3F9BAF23" w:rsidR="00170734" w:rsidRDefault="00170734" w:rsidP="00DD531B">
      <w:pPr>
        <w:rPr>
          <w:rFonts w:ascii="Times New Roman" w:eastAsia="Calibri" w:hAnsi="Times New Roman" w:cs="Times New Roman"/>
        </w:rPr>
      </w:pPr>
    </w:p>
    <w:p w14:paraId="529AB332" w14:textId="3030DDF2" w:rsidR="00170734" w:rsidRDefault="00170734" w:rsidP="00DD531B">
      <w:pPr>
        <w:rPr>
          <w:rFonts w:ascii="Times New Roman" w:eastAsia="Calibri" w:hAnsi="Times New Roman" w:cs="Times New Roman"/>
        </w:rPr>
      </w:pPr>
    </w:p>
    <w:p w14:paraId="5DBF5704" w14:textId="4976FAD2" w:rsidR="00170734" w:rsidRDefault="00170734" w:rsidP="00DD531B">
      <w:pPr>
        <w:rPr>
          <w:rFonts w:ascii="Times New Roman" w:eastAsia="Calibri" w:hAnsi="Times New Roman" w:cs="Times New Roman"/>
        </w:rPr>
      </w:pPr>
    </w:p>
    <w:p w14:paraId="74812E77" w14:textId="1A7E163E" w:rsidR="00170734" w:rsidRDefault="00170734" w:rsidP="00DD531B">
      <w:pPr>
        <w:rPr>
          <w:rFonts w:ascii="Times New Roman" w:eastAsia="Calibri" w:hAnsi="Times New Roman" w:cs="Times New Roman"/>
        </w:rPr>
      </w:pPr>
    </w:p>
    <w:p w14:paraId="7227FA7F" w14:textId="796E693B" w:rsidR="00170734" w:rsidRDefault="00170734" w:rsidP="00DD531B">
      <w:pPr>
        <w:rPr>
          <w:rFonts w:ascii="Times New Roman" w:eastAsia="Calibri" w:hAnsi="Times New Roman" w:cs="Times New Roman"/>
        </w:rPr>
      </w:pPr>
    </w:p>
    <w:p w14:paraId="1BC80016" w14:textId="77777777" w:rsidR="00170734" w:rsidRPr="00DD531B" w:rsidRDefault="00170734" w:rsidP="00DD531B">
      <w:pPr>
        <w:rPr>
          <w:rFonts w:ascii="Times New Roman" w:eastAsia="Calibri" w:hAnsi="Times New Roman" w:cs="Times New Roman"/>
        </w:rPr>
      </w:pPr>
    </w:p>
    <w:p w14:paraId="5A5E2FC6" w14:textId="411A600E" w:rsidR="00DD531B" w:rsidRPr="00170734" w:rsidRDefault="00DD531B" w:rsidP="00DD531B">
      <w:pPr>
        <w:keepNext/>
        <w:keepLines/>
        <w:spacing w:before="40" w:after="0"/>
        <w:outlineLvl w:val="1"/>
        <w:rPr>
          <w:rFonts w:ascii="Times New Roman" w:eastAsia="Times New Roman" w:hAnsi="Times New Roman" w:cs="Times New Roman"/>
          <w:b/>
          <w:color w:val="5B9BD5" w:themeColor="accent1"/>
          <w:sz w:val="24"/>
          <w:szCs w:val="24"/>
        </w:rPr>
      </w:pPr>
      <w:r w:rsidRPr="00170734">
        <w:rPr>
          <w:rFonts w:ascii="Times New Roman" w:eastAsia="Times New Roman" w:hAnsi="Times New Roman" w:cs="Times New Roman"/>
          <w:b/>
          <w:color w:val="5B9BD5" w:themeColor="accent1"/>
          <w:sz w:val="24"/>
          <w:szCs w:val="24"/>
        </w:rPr>
        <w:lastRenderedPageBreak/>
        <w:t>Úrad pre normalizáciu, metrológiu a skúšobníctvo SR</w:t>
      </w:r>
    </w:p>
    <w:p w14:paraId="6A5B9B20" w14:textId="77777777" w:rsidR="00DD531B" w:rsidRPr="00170734" w:rsidRDefault="00DD531B" w:rsidP="00DD531B">
      <w:pPr>
        <w:rPr>
          <w:rFonts w:ascii="Times New Roman" w:eastAsia="Calibri" w:hAnsi="Times New Roman" w:cs="Times New Roman"/>
          <w:color w:val="5B9BD5" w:themeColor="accent1"/>
        </w:rPr>
      </w:pPr>
    </w:p>
    <w:p w14:paraId="575B1B33" w14:textId="78E4072D" w:rsidR="00DD531B" w:rsidRPr="00170734" w:rsidRDefault="00170734"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39" w:name="_Toc153013109"/>
      <w:r>
        <w:rPr>
          <w:rFonts w:ascii="Times New Roman" w:eastAsia="Times New Roman" w:hAnsi="Times New Roman" w:cs="Times New Roman"/>
          <w:b/>
          <w:iCs/>
          <w:color w:val="5B9BD5" w:themeColor="accent1"/>
          <w:sz w:val="20"/>
          <w:szCs w:val="20"/>
          <w:lang w:eastAsia="sk-SK"/>
        </w:rPr>
        <w:t xml:space="preserve">Tabuľka </w:t>
      </w:r>
      <w:r w:rsidRPr="005F5DA3">
        <w:rPr>
          <w:rFonts w:ascii="Times New Roman" w:hAnsi="Times New Roman" w:cs="Times New Roman"/>
          <w:b/>
          <w:color w:val="5B9BD5" w:themeColor="accent1"/>
          <w:sz w:val="20"/>
          <w:szCs w:val="20"/>
        </w:rPr>
        <w:fldChar w:fldCharType="begin"/>
      </w:r>
      <w:r w:rsidRPr="005F5DA3">
        <w:rPr>
          <w:rFonts w:ascii="Times New Roman" w:hAnsi="Times New Roman" w:cs="Times New Roman"/>
          <w:b/>
          <w:color w:val="5B9BD5" w:themeColor="accent1"/>
          <w:sz w:val="20"/>
          <w:szCs w:val="20"/>
        </w:rPr>
        <w:instrText xml:space="preserve"> SEQ Tabuľka \* ARABIC </w:instrText>
      </w:r>
      <w:r w:rsidRPr="005F5DA3">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111</w:t>
      </w:r>
      <w:r w:rsidRPr="005F5DA3">
        <w:rPr>
          <w:rFonts w:ascii="Times New Roman" w:hAnsi="Times New Roman" w:cs="Times New Roman"/>
          <w:b/>
          <w:color w:val="5B9BD5" w:themeColor="accent1"/>
          <w:sz w:val="20"/>
          <w:szCs w:val="20"/>
        </w:rPr>
        <w:fldChar w:fldCharType="end"/>
      </w:r>
      <w:r>
        <w:rPr>
          <w:rFonts w:ascii="Times New Roman" w:hAnsi="Times New Roman" w:cs="Times New Roman"/>
          <w:b/>
          <w:color w:val="5B9BD5" w:themeColor="accent1"/>
          <w:sz w:val="20"/>
          <w:szCs w:val="20"/>
        </w:rPr>
        <w:t xml:space="preserve"> - </w:t>
      </w:r>
      <w:r w:rsidR="00DD531B" w:rsidRPr="00170734">
        <w:rPr>
          <w:rFonts w:ascii="Times New Roman" w:eastAsia="Times New Roman" w:hAnsi="Times New Roman" w:cs="Times New Roman"/>
          <w:b/>
          <w:iCs/>
          <w:color w:val="5B9BD5" w:themeColor="accent1"/>
          <w:sz w:val="20"/>
          <w:szCs w:val="20"/>
          <w:lang w:eastAsia="sk-SK"/>
        </w:rPr>
        <w:t>Príjmy kapitoly ÚNMS SR</w:t>
      </w:r>
      <w:bookmarkEnd w:id="239"/>
    </w:p>
    <w:tbl>
      <w:tblPr>
        <w:tblW w:w="5000" w:type="pct"/>
        <w:tblCellMar>
          <w:left w:w="70" w:type="dxa"/>
          <w:right w:w="70" w:type="dxa"/>
        </w:tblCellMar>
        <w:tblLook w:val="04A0" w:firstRow="1" w:lastRow="0" w:firstColumn="1" w:lastColumn="0" w:noHBand="0" w:noVBand="1"/>
      </w:tblPr>
      <w:tblGrid>
        <w:gridCol w:w="4716"/>
        <w:gridCol w:w="589"/>
        <w:gridCol w:w="589"/>
        <w:gridCol w:w="616"/>
        <w:gridCol w:w="714"/>
        <w:gridCol w:w="616"/>
        <w:gridCol w:w="616"/>
        <w:gridCol w:w="616"/>
      </w:tblGrid>
      <w:tr w:rsidR="00DD531B" w:rsidRPr="00DD531B" w14:paraId="635B4F4A" w14:textId="77777777" w:rsidTr="001F24AE">
        <w:trPr>
          <w:trHeight w:val="300"/>
        </w:trPr>
        <w:tc>
          <w:tcPr>
            <w:tcW w:w="2692" w:type="pct"/>
            <w:tcBorders>
              <w:top w:val="single" w:sz="4" w:space="0" w:color="auto"/>
              <w:left w:val="nil"/>
              <w:bottom w:val="single" w:sz="4" w:space="0" w:color="auto"/>
              <w:right w:val="nil"/>
            </w:tcBorders>
            <w:shd w:val="clear" w:color="auto" w:fill="auto"/>
            <w:noWrap/>
            <w:vAlign w:val="bottom"/>
            <w:hideMark/>
          </w:tcPr>
          <w:p w14:paraId="5D2F680A"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v tis. eur</w:t>
            </w:r>
          </w:p>
        </w:tc>
        <w:tc>
          <w:tcPr>
            <w:tcW w:w="314" w:type="pct"/>
            <w:tcBorders>
              <w:top w:val="single" w:sz="4" w:space="0" w:color="auto"/>
              <w:left w:val="nil"/>
              <w:bottom w:val="single" w:sz="4" w:space="0" w:color="auto"/>
              <w:right w:val="nil"/>
            </w:tcBorders>
            <w:shd w:val="clear" w:color="auto" w:fill="auto"/>
            <w:noWrap/>
            <w:vAlign w:val="bottom"/>
            <w:hideMark/>
          </w:tcPr>
          <w:p w14:paraId="7EB732C7"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2021 S</w:t>
            </w:r>
          </w:p>
        </w:tc>
        <w:tc>
          <w:tcPr>
            <w:tcW w:w="314" w:type="pct"/>
            <w:tcBorders>
              <w:top w:val="single" w:sz="4" w:space="0" w:color="auto"/>
              <w:left w:val="nil"/>
              <w:bottom w:val="single" w:sz="4" w:space="0" w:color="auto"/>
              <w:right w:val="nil"/>
            </w:tcBorders>
            <w:shd w:val="clear" w:color="auto" w:fill="auto"/>
            <w:noWrap/>
            <w:vAlign w:val="bottom"/>
            <w:hideMark/>
          </w:tcPr>
          <w:p w14:paraId="5523F2C1"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2022 S</w:t>
            </w:r>
          </w:p>
        </w:tc>
        <w:tc>
          <w:tcPr>
            <w:tcW w:w="324" w:type="pct"/>
            <w:tcBorders>
              <w:top w:val="single" w:sz="4" w:space="0" w:color="auto"/>
              <w:left w:val="nil"/>
              <w:bottom w:val="single" w:sz="4" w:space="0" w:color="auto"/>
              <w:right w:val="nil"/>
            </w:tcBorders>
            <w:shd w:val="clear" w:color="auto" w:fill="auto"/>
            <w:noWrap/>
            <w:vAlign w:val="bottom"/>
            <w:hideMark/>
          </w:tcPr>
          <w:p w14:paraId="5F24B6B2"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2023 R</w:t>
            </w:r>
          </w:p>
        </w:tc>
        <w:tc>
          <w:tcPr>
            <w:tcW w:w="385" w:type="pct"/>
            <w:tcBorders>
              <w:top w:val="single" w:sz="4" w:space="0" w:color="auto"/>
              <w:left w:val="nil"/>
              <w:bottom w:val="single" w:sz="4" w:space="0" w:color="auto"/>
              <w:right w:val="nil"/>
            </w:tcBorders>
            <w:shd w:val="clear" w:color="auto" w:fill="auto"/>
            <w:noWrap/>
            <w:vAlign w:val="bottom"/>
            <w:hideMark/>
          </w:tcPr>
          <w:p w14:paraId="1E81A9AD"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2023 OS</w:t>
            </w:r>
          </w:p>
        </w:tc>
        <w:tc>
          <w:tcPr>
            <w:tcW w:w="324" w:type="pct"/>
            <w:tcBorders>
              <w:top w:val="single" w:sz="4" w:space="0" w:color="auto"/>
              <w:left w:val="nil"/>
              <w:bottom w:val="single" w:sz="4" w:space="0" w:color="auto"/>
              <w:right w:val="nil"/>
            </w:tcBorders>
            <w:shd w:val="clear" w:color="auto" w:fill="auto"/>
            <w:noWrap/>
            <w:vAlign w:val="bottom"/>
            <w:hideMark/>
          </w:tcPr>
          <w:p w14:paraId="6F57119C"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2024 N</w:t>
            </w:r>
          </w:p>
        </w:tc>
        <w:tc>
          <w:tcPr>
            <w:tcW w:w="324" w:type="pct"/>
            <w:tcBorders>
              <w:top w:val="single" w:sz="4" w:space="0" w:color="auto"/>
              <w:left w:val="nil"/>
              <w:bottom w:val="single" w:sz="4" w:space="0" w:color="auto"/>
              <w:right w:val="nil"/>
            </w:tcBorders>
            <w:shd w:val="clear" w:color="auto" w:fill="auto"/>
            <w:noWrap/>
            <w:vAlign w:val="bottom"/>
            <w:hideMark/>
          </w:tcPr>
          <w:p w14:paraId="7A4B7D9D"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2025 N</w:t>
            </w:r>
          </w:p>
        </w:tc>
        <w:tc>
          <w:tcPr>
            <w:tcW w:w="324" w:type="pct"/>
            <w:tcBorders>
              <w:top w:val="single" w:sz="4" w:space="0" w:color="auto"/>
              <w:left w:val="nil"/>
              <w:bottom w:val="single" w:sz="4" w:space="0" w:color="auto"/>
              <w:right w:val="nil"/>
            </w:tcBorders>
            <w:shd w:val="clear" w:color="auto" w:fill="auto"/>
            <w:noWrap/>
            <w:vAlign w:val="bottom"/>
            <w:hideMark/>
          </w:tcPr>
          <w:p w14:paraId="3D1ED843"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2026 N</w:t>
            </w:r>
          </w:p>
        </w:tc>
      </w:tr>
      <w:tr w:rsidR="00DD531B" w:rsidRPr="00DD531B" w14:paraId="35E0A584" w14:textId="77777777" w:rsidTr="001F24AE">
        <w:trPr>
          <w:trHeight w:val="300"/>
        </w:trPr>
        <w:tc>
          <w:tcPr>
            <w:tcW w:w="2692" w:type="pct"/>
            <w:tcBorders>
              <w:top w:val="nil"/>
              <w:left w:val="nil"/>
              <w:bottom w:val="nil"/>
              <w:right w:val="nil"/>
            </w:tcBorders>
            <w:shd w:val="clear" w:color="auto" w:fill="auto"/>
            <w:noWrap/>
            <w:vAlign w:val="bottom"/>
            <w:hideMark/>
          </w:tcPr>
          <w:p w14:paraId="40FDB8A1"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Príjmy kapitoly spolu</w:t>
            </w:r>
          </w:p>
        </w:tc>
        <w:tc>
          <w:tcPr>
            <w:tcW w:w="314" w:type="pct"/>
            <w:tcBorders>
              <w:top w:val="nil"/>
              <w:left w:val="nil"/>
              <w:bottom w:val="nil"/>
              <w:right w:val="nil"/>
            </w:tcBorders>
            <w:shd w:val="clear" w:color="auto" w:fill="auto"/>
            <w:noWrap/>
            <w:vAlign w:val="bottom"/>
            <w:hideMark/>
          </w:tcPr>
          <w:p w14:paraId="60A0BDCC"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1 102</w:t>
            </w:r>
          </w:p>
        </w:tc>
        <w:tc>
          <w:tcPr>
            <w:tcW w:w="314" w:type="pct"/>
            <w:tcBorders>
              <w:top w:val="nil"/>
              <w:left w:val="nil"/>
              <w:bottom w:val="nil"/>
              <w:right w:val="nil"/>
            </w:tcBorders>
            <w:shd w:val="clear" w:color="auto" w:fill="auto"/>
            <w:noWrap/>
            <w:vAlign w:val="bottom"/>
            <w:hideMark/>
          </w:tcPr>
          <w:p w14:paraId="119E15A0"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1 170</w:t>
            </w:r>
          </w:p>
        </w:tc>
        <w:tc>
          <w:tcPr>
            <w:tcW w:w="324" w:type="pct"/>
            <w:tcBorders>
              <w:top w:val="nil"/>
              <w:left w:val="nil"/>
              <w:bottom w:val="nil"/>
              <w:right w:val="nil"/>
            </w:tcBorders>
            <w:shd w:val="clear" w:color="auto" w:fill="auto"/>
            <w:noWrap/>
            <w:vAlign w:val="bottom"/>
            <w:hideMark/>
          </w:tcPr>
          <w:p w14:paraId="78B05EC8"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1 000</w:t>
            </w:r>
          </w:p>
        </w:tc>
        <w:tc>
          <w:tcPr>
            <w:tcW w:w="385" w:type="pct"/>
            <w:tcBorders>
              <w:top w:val="nil"/>
              <w:left w:val="nil"/>
              <w:bottom w:val="nil"/>
              <w:right w:val="nil"/>
            </w:tcBorders>
            <w:shd w:val="clear" w:color="auto" w:fill="auto"/>
            <w:noWrap/>
            <w:vAlign w:val="bottom"/>
            <w:hideMark/>
          </w:tcPr>
          <w:p w14:paraId="21311FAF"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1 060</w:t>
            </w:r>
          </w:p>
        </w:tc>
        <w:tc>
          <w:tcPr>
            <w:tcW w:w="324" w:type="pct"/>
            <w:tcBorders>
              <w:top w:val="nil"/>
              <w:left w:val="nil"/>
              <w:bottom w:val="nil"/>
              <w:right w:val="nil"/>
            </w:tcBorders>
            <w:shd w:val="clear" w:color="auto" w:fill="auto"/>
            <w:noWrap/>
            <w:vAlign w:val="bottom"/>
            <w:hideMark/>
          </w:tcPr>
          <w:p w14:paraId="74994E51"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1 000</w:t>
            </w:r>
          </w:p>
        </w:tc>
        <w:tc>
          <w:tcPr>
            <w:tcW w:w="324" w:type="pct"/>
            <w:tcBorders>
              <w:top w:val="nil"/>
              <w:left w:val="nil"/>
              <w:bottom w:val="nil"/>
              <w:right w:val="nil"/>
            </w:tcBorders>
            <w:shd w:val="clear" w:color="auto" w:fill="auto"/>
            <w:noWrap/>
            <w:vAlign w:val="bottom"/>
            <w:hideMark/>
          </w:tcPr>
          <w:p w14:paraId="385E8026"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1 000</w:t>
            </w:r>
          </w:p>
        </w:tc>
        <w:tc>
          <w:tcPr>
            <w:tcW w:w="324" w:type="pct"/>
            <w:tcBorders>
              <w:top w:val="nil"/>
              <w:left w:val="nil"/>
              <w:bottom w:val="nil"/>
              <w:right w:val="nil"/>
            </w:tcBorders>
            <w:shd w:val="clear" w:color="auto" w:fill="auto"/>
            <w:noWrap/>
            <w:vAlign w:val="bottom"/>
            <w:hideMark/>
          </w:tcPr>
          <w:p w14:paraId="1C66FC10"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1 000</w:t>
            </w:r>
          </w:p>
        </w:tc>
      </w:tr>
      <w:tr w:rsidR="00DD531B" w:rsidRPr="00DD531B" w14:paraId="56345F62" w14:textId="77777777" w:rsidTr="001F24AE">
        <w:trPr>
          <w:trHeight w:val="300"/>
        </w:trPr>
        <w:tc>
          <w:tcPr>
            <w:tcW w:w="2692" w:type="pct"/>
            <w:tcBorders>
              <w:top w:val="nil"/>
              <w:left w:val="nil"/>
              <w:bottom w:val="nil"/>
              <w:right w:val="nil"/>
            </w:tcBorders>
            <w:shd w:val="clear" w:color="auto" w:fill="auto"/>
            <w:noWrap/>
            <w:vAlign w:val="bottom"/>
            <w:hideMark/>
          </w:tcPr>
          <w:p w14:paraId="063A792C" w14:textId="77777777" w:rsidR="00DD531B" w:rsidRPr="00170734" w:rsidRDefault="00DD531B" w:rsidP="00DD531B">
            <w:pPr>
              <w:spacing w:after="0" w:line="240" w:lineRule="auto"/>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nedaňové príjmy</w:t>
            </w:r>
          </w:p>
        </w:tc>
        <w:tc>
          <w:tcPr>
            <w:tcW w:w="314" w:type="pct"/>
            <w:tcBorders>
              <w:top w:val="nil"/>
              <w:left w:val="nil"/>
              <w:bottom w:val="nil"/>
              <w:right w:val="nil"/>
            </w:tcBorders>
            <w:shd w:val="clear" w:color="auto" w:fill="auto"/>
            <w:noWrap/>
            <w:vAlign w:val="bottom"/>
            <w:hideMark/>
          </w:tcPr>
          <w:p w14:paraId="0C4733A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1 095</w:t>
            </w:r>
          </w:p>
        </w:tc>
        <w:tc>
          <w:tcPr>
            <w:tcW w:w="314" w:type="pct"/>
            <w:tcBorders>
              <w:top w:val="nil"/>
              <w:left w:val="nil"/>
              <w:bottom w:val="nil"/>
              <w:right w:val="nil"/>
            </w:tcBorders>
            <w:shd w:val="clear" w:color="auto" w:fill="auto"/>
            <w:noWrap/>
            <w:vAlign w:val="bottom"/>
            <w:hideMark/>
          </w:tcPr>
          <w:p w14:paraId="229536A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1 163</w:t>
            </w:r>
          </w:p>
        </w:tc>
        <w:tc>
          <w:tcPr>
            <w:tcW w:w="324" w:type="pct"/>
            <w:tcBorders>
              <w:top w:val="nil"/>
              <w:left w:val="nil"/>
              <w:bottom w:val="nil"/>
              <w:right w:val="nil"/>
            </w:tcBorders>
            <w:shd w:val="clear" w:color="auto" w:fill="auto"/>
            <w:noWrap/>
            <w:vAlign w:val="bottom"/>
            <w:hideMark/>
          </w:tcPr>
          <w:p w14:paraId="515E8C3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1 000</w:t>
            </w:r>
          </w:p>
        </w:tc>
        <w:tc>
          <w:tcPr>
            <w:tcW w:w="385" w:type="pct"/>
            <w:tcBorders>
              <w:top w:val="nil"/>
              <w:left w:val="nil"/>
              <w:bottom w:val="nil"/>
              <w:right w:val="nil"/>
            </w:tcBorders>
            <w:shd w:val="clear" w:color="auto" w:fill="auto"/>
            <w:noWrap/>
            <w:vAlign w:val="bottom"/>
            <w:hideMark/>
          </w:tcPr>
          <w:p w14:paraId="33361B3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1 060</w:t>
            </w:r>
          </w:p>
        </w:tc>
        <w:tc>
          <w:tcPr>
            <w:tcW w:w="324" w:type="pct"/>
            <w:tcBorders>
              <w:top w:val="nil"/>
              <w:left w:val="nil"/>
              <w:bottom w:val="nil"/>
              <w:right w:val="nil"/>
            </w:tcBorders>
            <w:shd w:val="clear" w:color="auto" w:fill="auto"/>
            <w:noWrap/>
            <w:vAlign w:val="bottom"/>
            <w:hideMark/>
          </w:tcPr>
          <w:p w14:paraId="3DBF8CF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1 000</w:t>
            </w:r>
          </w:p>
        </w:tc>
        <w:tc>
          <w:tcPr>
            <w:tcW w:w="324" w:type="pct"/>
            <w:tcBorders>
              <w:top w:val="nil"/>
              <w:left w:val="nil"/>
              <w:bottom w:val="nil"/>
              <w:right w:val="nil"/>
            </w:tcBorders>
            <w:shd w:val="clear" w:color="auto" w:fill="auto"/>
            <w:noWrap/>
            <w:vAlign w:val="bottom"/>
            <w:hideMark/>
          </w:tcPr>
          <w:p w14:paraId="788E993E"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1 000</w:t>
            </w:r>
          </w:p>
        </w:tc>
        <w:tc>
          <w:tcPr>
            <w:tcW w:w="324" w:type="pct"/>
            <w:tcBorders>
              <w:top w:val="nil"/>
              <w:left w:val="nil"/>
              <w:bottom w:val="nil"/>
              <w:right w:val="nil"/>
            </w:tcBorders>
            <w:shd w:val="clear" w:color="auto" w:fill="auto"/>
            <w:noWrap/>
            <w:vAlign w:val="bottom"/>
            <w:hideMark/>
          </w:tcPr>
          <w:p w14:paraId="1199D95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1 000</w:t>
            </w:r>
          </w:p>
        </w:tc>
      </w:tr>
      <w:tr w:rsidR="00DD531B" w:rsidRPr="00DD531B" w14:paraId="3E2B8EDE" w14:textId="77777777" w:rsidTr="001F24AE">
        <w:trPr>
          <w:trHeight w:val="300"/>
        </w:trPr>
        <w:tc>
          <w:tcPr>
            <w:tcW w:w="2692" w:type="pct"/>
            <w:tcBorders>
              <w:top w:val="nil"/>
              <w:left w:val="nil"/>
              <w:bottom w:val="single" w:sz="4" w:space="0" w:color="auto"/>
              <w:right w:val="nil"/>
            </w:tcBorders>
            <w:shd w:val="clear" w:color="auto" w:fill="auto"/>
            <w:noWrap/>
            <w:vAlign w:val="bottom"/>
            <w:hideMark/>
          </w:tcPr>
          <w:p w14:paraId="323C1EF3" w14:textId="77777777" w:rsidR="00DD531B" w:rsidRPr="00170734" w:rsidRDefault="00DD531B" w:rsidP="00DD531B">
            <w:pPr>
              <w:spacing w:after="0" w:line="240" w:lineRule="auto"/>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prostriedky podľa § 17 ods. 4 a § 22 ods. 4 zákona č. 523/2004 Z. z.</w:t>
            </w:r>
          </w:p>
        </w:tc>
        <w:tc>
          <w:tcPr>
            <w:tcW w:w="314" w:type="pct"/>
            <w:tcBorders>
              <w:top w:val="nil"/>
              <w:left w:val="nil"/>
              <w:bottom w:val="single" w:sz="4" w:space="0" w:color="auto"/>
              <w:right w:val="nil"/>
            </w:tcBorders>
            <w:shd w:val="clear" w:color="auto" w:fill="auto"/>
            <w:noWrap/>
            <w:vAlign w:val="bottom"/>
            <w:hideMark/>
          </w:tcPr>
          <w:p w14:paraId="477C1CC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w:t>
            </w:r>
          </w:p>
        </w:tc>
        <w:tc>
          <w:tcPr>
            <w:tcW w:w="314" w:type="pct"/>
            <w:tcBorders>
              <w:top w:val="nil"/>
              <w:left w:val="nil"/>
              <w:bottom w:val="single" w:sz="4" w:space="0" w:color="auto"/>
              <w:right w:val="nil"/>
            </w:tcBorders>
            <w:shd w:val="clear" w:color="auto" w:fill="auto"/>
            <w:noWrap/>
            <w:vAlign w:val="bottom"/>
            <w:hideMark/>
          </w:tcPr>
          <w:p w14:paraId="7F68E99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w:t>
            </w:r>
          </w:p>
        </w:tc>
        <w:tc>
          <w:tcPr>
            <w:tcW w:w="324" w:type="pct"/>
            <w:tcBorders>
              <w:top w:val="nil"/>
              <w:left w:val="nil"/>
              <w:bottom w:val="single" w:sz="4" w:space="0" w:color="auto"/>
              <w:right w:val="nil"/>
            </w:tcBorders>
            <w:shd w:val="clear" w:color="auto" w:fill="auto"/>
            <w:noWrap/>
            <w:vAlign w:val="bottom"/>
            <w:hideMark/>
          </w:tcPr>
          <w:p w14:paraId="76D623E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85" w:type="pct"/>
            <w:tcBorders>
              <w:top w:val="nil"/>
              <w:left w:val="nil"/>
              <w:bottom w:val="single" w:sz="4" w:space="0" w:color="auto"/>
              <w:right w:val="nil"/>
            </w:tcBorders>
            <w:shd w:val="clear" w:color="auto" w:fill="auto"/>
            <w:noWrap/>
            <w:vAlign w:val="bottom"/>
            <w:hideMark/>
          </w:tcPr>
          <w:p w14:paraId="102BBA2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24" w:type="pct"/>
            <w:tcBorders>
              <w:top w:val="nil"/>
              <w:left w:val="nil"/>
              <w:bottom w:val="single" w:sz="4" w:space="0" w:color="auto"/>
              <w:right w:val="nil"/>
            </w:tcBorders>
            <w:shd w:val="clear" w:color="auto" w:fill="auto"/>
            <w:noWrap/>
            <w:vAlign w:val="bottom"/>
            <w:hideMark/>
          </w:tcPr>
          <w:p w14:paraId="7891E37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24" w:type="pct"/>
            <w:tcBorders>
              <w:top w:val="nil"/>
              <w:left w:val="nil"/>
              <w:bottom w:val="single" w:sz="4" w:space="0" w:color="auto"/>
              <w:right w:val="nil"/>
            </w:tcBorders>
            <w:shd w:val="clear" w:color="auto" w:fill="auto"/>
            <w:noWrap/>
            <w:vAlign w:val="bottom"/>
            <w:hideMark/>
          </w:tcPr>
          <w:p w14:paraId="0FCFBF3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24" w:type="pct"/>
            <w:tcBorders>
              <w:top w:val="nil"/>
              <w:left w:val="nil"/>
              <w:bottom w:val="single" w:sz="4" w:space="0" w:color="auto"/>
              <w:right w:val="nil"/>
            </w:tcBorders>
            <w:shd w:val="clear" w:color="auto" w:fill="auto"/>
            <w:noWrap/>
            <w:vAlign w:val="bottom"/>
            <w:hideMark/>
          </w:tcPr>
          <w:p w14:paraId="2FE6A3E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bl>
    <w:p w14:paraId="2814B756" w14:textId="77777777" w:rsidR="00DD531B" w:rsidRPr="00170734" w:rsidRDefault="00DD531B" w:rsidP="00DD531B">
      <w:pPr>
        <w:rPr>
          <w:rFonts w:ascii="Times New Roman" w:eastAsia="Calibri" w:hAnsi="Times New Roman" w:cs="Times New Roman"/>
          <w:color w:val="5B9BD5" w:themeColor="accent1"/>
        </w:rPr>
      </w:pPr>
    </w:p>
    <w:p w14:paraId="3DCA2C2B" w14:textId="195E15CE" w:rsidR="00DD531B" w:rsidRPr="00170734" w:rsidRDefault="00170734"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40" w:name="_Toc153013110"/>
      <w:r w:rsidRPr="00170734">
        <w:rPr>
          <w:rFonts w:ascii="Times New Roman" w:eastAsia="Times New Roman" w:hAnsi="Times New Roman" w:cs="Times New Roman"/>
          <w:b/>
          <w:iCs/>
          <w:color w:val="5B9BD5" w:themeColor="accent1"/>
          <w:sz w:val="20"/>
          <w:szCs w:val="20"/>
          <w:lang w:eastAsia="sk-SK"/>
        </w:rPr>
        <w:t xml:space="preserve">Tabuľka </w:t>
      </w:r>
      <w:r w:rsidRPr="00170734">
        <w:rPr>
          <w:rFonts w:ascii="Times New Roman" w:hAnsi="Times New Roman" w:cs="Times New Roman"/>
          <w:b/>
          <w:color w:val="5B9BD5" w:themeColor="accent1"/>
          <w:sz w:val="20"/>
          <w:szCs w:val="20"/>
        </w:rPr>
        <w:fldChar w:fldCharType="begin"/>
      </w:r>
      <w:r w:rsidRPr="00170734">
        <w:rPr>
          <w:rFonts w:ascii="Times New Roman" w:hAnsi="Times New Roman" w:cs="Times New Roman"/>
          <w:b/>
          <w:color w:val="5B9BD5" w:themeColor="accent1"/>
          <w:sz w:val="20"/>
          <w:szCs w:val="20"/>
        </w:rPr>
        <w:instrText xml:space="preserve"> SEQ Tabuľka \* ARABIC </w:instrText>
      </w:r>
      <w:r w:rsidRPr="00170734">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112</w:t>
      </w:r>
      <w:r w:rsidRPr="00170734">
        <w:rPr>
          <w:rFonts w:ascii="Times New Roman" w:hAnsi="Times New Roman" w:cs="Times New Roman"/>
          <w:b/>
          <w:color w:val="5B9BD5" w:themeColor="accent1"/>
          <w:sz w:val="20"/>
          <w:szCs w:val="20"/>
        </w:rPr>
        <w:fldChar w:fldCharType="end"/>
      </w:r>
      <w:r w:rsidRPr="00170734">
        <w:rPr>
          <w:rFonts w:ascii="Times New Roman" w:hAnsi="Times New Roman" w:cs="Times New Roman"/>
          <w:b/>
          <w:color w:val="5B9BD5" w:themeColor="accent1"/>
          <w:sz w:val="20"/>
          <w:szCs w:val="20"/>
        </w:rPr>
        <w:t xml:space="preserve"> - </w:t>
      </w:r>
      <w:r w:rsidR="00DD531B" w:rsidRPr="00170734">
        <w:rPr>
          <w:rFonts w:ascii="Times New Roman" w:eastAsia="Times New Roman" w:hAnsi="Times New Roman" w:cs="Times New Roman"/>
          <w:b/>
          <w:iCs/>
          <w:color w:val="5B9BD5" w:themeColor="accent1"/>
          <w:sz w:val="20"/>
          <w:szCs w:val="20"/>
          <w:lang w:eastAsia="sk-SK"/>
        </w:rPr>
        <w:t>Výdavky kapitoly ÚNMS SR</w:t>
      </w:r>
      <w:bookmarkEnd w:id="240"/>
    </w:p>
    <w:tbl>
      <w:tblPr>
        <w:tblW w:w="5000" w:type="pct"/>
        <w:tblCellMar>
          <w:left w:w="70" w:type="dxa"/>
          <w:right w:w="70" w:type="dxa"/>
        </w:tblCellMar>
        <w:tblLook w:val="04A0" w:firstRow="1" w:lastRow="0" w:firstColumn="1" w:lastColumn="0" w:noHBand="0" w:noVBand="1"/>
      </w:tblPr>
      <w:tblGrid>
        <w:gridCol w:w="4716"/>
        <w:gridCol w:w="589"/>
        <w:gridCol w:w="589"/>
        <w:gridCol w:w="616"/>
        <w:gridCol w:w="714"/>
        <w:gridCol w:w="616"/>
        <w:gridCol w:w="616"/>
        <w:gridCol w:w="616"/>
      </w:tblGrid>
      <w:tr w:rsidR="00DD531B" w:rsidRPr="00DD531B" w14:paraId="4B4E0F36" w14:textId="77777777" w:rsidTr="001F24AE">
        <w:trPr>
          <w:trHeight w:val="300"/>
        </w:trPr>
        <w:tc>
          <w:tcPr>
            <w:tcW w:w="2692" w:type="pct"/>
            <w:tcBorders>
              <w:top w:val="single" w:sz="4" w:space="0" w:color="auto"/>
              <w:left w:val="nil"/>
              <w:bottom w:val="single" w:sz="4" w:space="0" w:color="auto"/>
              <w:right w:val="nil"/>
            </w:tcBorders>
            <w:shd w:val="clear" w:color="auto" w:fill="auto"/>
            <w:noWrap/>
            <w:vAlign w:val="bottom"/>
            <w:hideMark/>
          </w:tcPr>
          <w:p w14:paraId="100D43DE"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v tis. eur</w:t>
            </w:r>
          </w:p>
        </w:tc>
        <w:tc>
          <w:tcPr>
            <w:tcW w:w="314" w:type="pct"/>
            <w:tcBorders>
              <w:top w:val="single" w:sz="4" w:space="0" w:color="auto"/>
              <w:left w:val="nil"/>
              <w:bottom w:val="single" w:sz="4" w:space="0" w:color="auto"/>
              <w:right w:val="nil"/>
            </w:tcBorders>
            <w:shd w:val="clear" w:color="auto" w:fill="auto"/>
            <w:noWrap/>
            <w:vAlign w:val="bottom"/>
            <w:hideMark/>
          </w:tcPr>
          <w:p w14:paraId="67F151BF"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2021 S</w:t>
            </w:r>
          </w:p>
        </w:tc>
        <w:tc>
          <w:tcPr>
            <w:tcW w:w="314" w:type="pct"/>
            <w:tcBorders>
              <w:top w:val="single" w:sz="4" w:space="0" w:color="auto"/>
              <w:left w:val="nil"/>
              <w:bottom w:val="single" w:sz="4" w:space="0" w:color="auto"/>
              <w:right w:val="nil"/>
            </w:tcBorders>
            <w:shd w:val="clear" w:color="auto" w:fill="auto"/>
            <w:noWrap/>
            <w:vAlign w:val="bottom"/>
            <w:hideMark/>
          </w:tcPr>
          <w:p w14:paraId="2FD9EBC6"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2022 S</w:t>
            </w:r>
          </w:p>
        </w:tc>
        <w:tc>
          <w:tcPr>
            <w:tcW w:w="324" w:type="pct"/>
            <w:tcBorders>
              <w:top w:val="single" w:sz="4" w:space="0" w:color="auto"/>
              <w:left w:val="nil"/>
              <w:bottom w:val="single" w:sz="4" w:space="0" w:color="auto"/>
              <w:right w:val="nil"/>
            </w:tcBorders>
            <w:shd w:val="clear" w:color="auto" w:fill="auto"/>
            <w:noWrap/>
            <w:vAlign w:val="bottom"/>
            <w:hideMark/>
          </w:tcPr>
          <w:p w14:paraId="5636C72C"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2023 R</w:t>
            </w:r>
          </w:p>
        </w:tc>
        <w:tc>
          <w:tcPr>
            <w:tcW w:w="385" w:type="pct"/>
            <w:tcBorders>
              <w:top w:val="single" w:sz="4" w:space="0" w:color="auto"/>
              <w:left w:val="nil"/>
              <w:bottom w:val="single" w:sz="4" w:space="0" w:color="auto"/>
              <w:right w:val="nil"/>
            </w:tcBorders>
            <w:shd w:val="clear" w:color="auto" w:fill="auto"/>
            <w:noWrap/>
            <w:vAlign w:val="bottom"/>
            <w:hideMark/>
          </w:tcPr>
          <w:p w14:paraId="0E83BE53"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2023 OS</w:t>
            </w:r>
          </w:p>
        </w:tc>
        <w:tc>
          <w:tcPr>
            <w:tcW w:w="324" w:type="pct"/>
            <w:tcBorders>
              <w:top w:val="single" w:sz="4" w:space="0" w:color="auto"/>
              <w:left w:val="nil"/>
              <w:bottom w:val="single" w:sz="4" w:space="0" w:color="auto"/>
              <w:right w:val="nil"/>
            </w:tcBorders>
            <w:shd w:val="clear" w:color="auto" w:fill="auto"/>
            <w:noWrap/>
            <w:vAlign w:val="bottom"/>
            <w:hideMark/>
          </w:tcPr>
          <w:p w14:paraId="6F2939BC"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2024 N</w:t>
            </w:r>
          </w:p>
        </w:tc>
        <w:tc>
          <w:tcPr>
            <w:tcW w:w="324" w:type="pct"/>
            <w:tcBorders>
              <w:top w:val="single" w:sz="4" w:space="0" w:color="auto"/>
              <w:left w:val="nil"/>
              <w:bottom w:val="single" w:sz="4" w:space="0" w:color="auto"/>
              <w:right w:val="nil"/>
            </w:tcBorders>
            <w:shd w:val="clear" w:color="auto" w:fill="auto"/>
            <w:noWrap/>
            <w:vAlign w:val="bottom"/>
            <w:hideMark/>
          </w:tcPr>
          <w:p w14:paraId="1B98DB5C"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2025 N</w:t>
            </w:r>
          </w:p>
        </w:tc>
        <w:tc>
          <w:tcPr>
            <w:tcW w:w="324" w:type="pct"/>
            <w:tcBorders>
              <w:top w:val="single" w:sz="4" w:space="0" w:color="auto"/>
              <w:left w:val="nil"/>
              <w:bottom w:val="single" w:sz="4" w:space="0" w:color="auto"/>
              <w:right w:val="nil"/>
            </w:tcBorders>
            <w:shd w:val="clear" w:color="auto" w:fill="auto"/>
            <w:noWrap/>
            <w:vAlign w:val="bottom"/>
            <w:hideMark/>
          </w:tcPr>
          <w:p w14:paraId="522407DA"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2026 N</w:t>
            </w:r>
          </w:p>
        </w:tc>
      </w:tr>
      <w:tr w:rsidR="00DD531B" w:rsidRPr="00DD531B" w14:paraId="311F64A4" w14:textId="77777777" w:rsidTr="001F24AE">
        <w:trPr>
          <w:trHeight w:val="300"/>
        </w:trPr>
        <w:tc>
          <w:tcPr>
            <w:tcW w:w="2692" w:type="pct"/>
            <w:tcBorders>
              <w:top w:val="nil"/>
              <w:left w:val="nil"/>
              <w:bottom w:val="nil"/>
              <w:right w:val="nil"/>
            </w:tcBorders>
            <w:shd w:val="clear" w:color="auto" w:fill="auto"/>
            <w:noWrap/>
            <w:vAlign w:val="center"/>
            <w:hideMark/>
          </w:tcPr>
          <w:p w14:paraId="0CAA5C5E" w14:textId="77777777" w:rsidR="00DD531B" w:rsidRPr="00170734" w:rsidRDefault="00DD531B" w:rsidP="00DD531B">
            <w:pPr>
              <w:spacing w:after="0" w:line="240" w:lineRule="auto"/>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Výdavky kapitoly spolu</w:t>
            </w:r>
          </w:p>
        </w:tc>
        <w:tc>
          <w:tcPr>
            <w:tcW w:w="314" w:type="pct"/>
            <w:tcBorders>
              <w:top w:val="nil"/>
              <w:left w:val="nil"/>
              <w:bottom w:val="nil"/>
              <w:right w:val="nil"/>
            </w:tcBorders>
            <w:shd w:val="clear" w:color="auto" w:fill="auto"/>
            <w:noWrap/>
            <w:vAlign w:val="center"/>
            <w:hideMark/>
          </w:tcPr>
          <w:p w14:paraId="7EA63C24"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6 652</w:t>
            </w:r>
          </w:p>
        </w:tc>
        <w:tc>
          <w:tcPr>
            <w:tcW w:w="314" w:type="pct"/>
            <w:tcBorders>
              <w:top w:val="nil"/>
              <w:left w:val="nil"/>
              <w:bottom w:val="nil"/>
              <w:right w:val="nil"/>
            </w:tcBorders>
            <w:shd w:val="clear" w:color="auto" w:fill="auto"/>
            <w:noWrap/>
            <w:vAlign w:val="center"/>
            <w:hideMark/>
          </w:tcPr>
          <w:p w14:paraId="4A5E218C"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8 042</w:t>
            </w:r>
          </w:p>
        </w:tc>
        <w:tc>
          <w:tcPr>
            <w:tcW w:w="324" w:type="pct"/>
            <w:tcBorders>
              <w:top w:val="nil"/>
              <w:left w:val="nil"/>
              <w:bottom w:val="nil"/>
              <w:right w:val="nil"/>
            </w:tcBorders>
            <w:shd w:val="clear" w:color="auto" w:fill="auto"/>
            <w:noWrap/>
            <w:vAlign w:val="center"/>
            <w:hideMark/>
          </w:tcPr>
          <w:p w14:paraId="1839C410"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8 550</w:t>
            </w:r>
          </w:p>
        </w:tc>
        <w:tc>
          <w:tcPr>
            <w:tcW w:w="385" w:type="pct"/>
            <w:tcBorders>
              <w:top w:val="nil"/>
              <w:left w:val="nil"/>
              <w:bottom w:val="nil"/>
              <w:right w:val="nil"/>
            </w:tcBorders>
            <w:shd w:val="clear" w:color="auto" w:fill="auto"/>
            <w:noWrap/>
            <w:vAlign w:val="center"/>
            <w:hideMark/>
          </w:tcPr>
          <w:p w14:paraId="7B23693C"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9 652</w:t>
            </w:r>
          </w:p>
        </w:tc>
        <w:tc>
          <w:tcPr>
            <w:tcW w:w="324" w:type="pct"/>
            <w:tcBorders>
              <w:top w:val="nil"/>
              <w:left w:val="nil"/>
              <w:bottom w:val="nil"/>
              <w:right w:val="nil"/>
            </w:tcBorders>
            <w:shd w:val="clear" w:color="auto" w:fill="auto"/>
            <w:noWrap/>
            <w:vAlign w:val="center"/>
            <w:hideMark/>
          </w:tcPr>
          <w:p w14:paraId="18891152"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9 613</w:t>
            </w:r>
          </w:p>
        </w:tc>
        <w:tc>
          <w:tcPr>
            <w:tcW w:w="324" w:type="pct"/>
            <w:tcBorders>
              <w:top w:val="nil"/>
              <w:left w:val="nil"/>
              <w:bottom w:val="nil"/>
              <w:right w:val="nil"/>
            </w:tcBorders>
            <w:shd w:val="clear" w:color="auto" w:fill="auto"/>
            <w:noWrap/>
            <w:vAlign w:val="center"/>
            <w:hideMark/>
          </w:tcPr>
          <w:p w14:paraId="5D6A2744"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9 521</w:t>
            </w:r>
          </w:p>
        </w:tc>
        <w:tc>
          <w:tcPr>
            <w:tcW w:w="324" w:type="pct"/>
            <w:tcBorders>
              <w:top w:val="nil"/>
              <w:left w:val="nil"/>
              <w:bottom w:val="nil"/>
              <w:right w:val="nil"/>
            </w:tcBorders>
            <w:shd w:val="clear" w:color="auto" w:fill="auto"/>
            <w:noWrap/>
            <w:vAlign w:val="center"/>
            <w:hideMark/>
          </w:tcPr>
          <w:p w14:paraId="4C71498C"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9 521</w:t>
            </w:r>
          </w:p>
        </w:tc>
      </w:tr>
      <w:tr w:rsidR="00DD531B" w:rsidRPr="00DD531B" w14:paraId="40E82E0F" w14:textId="77777777" w:rsidTr="001F24AE">
        <w:trPr>
          <w:trHeight w:val="300"/>
        </w:trPr>
        <w:tc>
          <w:tcPr>
            <w:tcW w:w="2692" w:type="pct"/>
            <w:tcBorders>
              <w:top w:val="nil"/>
              <w:left w:val="nil"/>
              <w:bottom w:val="nil"/>
              <w:right w:val="nil"/>
            </w:tcBorders>
            <w:shd w:val="clear" w:color="auto" w:fill="auto"/>
            <w:noWrap/>
            <w:vAlign w:val="bottom"/>
            <w:hideMark/>
          </w:tcPr>
          <w:p w14:paraId="1C64A6D2"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rozpočtové zdroje kapitoly</w:t>
            </w:r>
          </w:p>
        </w:tc>
        <w:tc>
          <w:tcPr>
            <w:tcW w:w="314" w:type="pct"/>
            <w:tcBorders>
              <w:top w:val="nil"/>
              <w:left w:val="nil"/>
              <w:bottom w:val="nil"/>
              <w:right w:val="nil"/>
            </w:tcBorders>
            <w:shd w:val="clear" w:color="auto" w:fill="auto"/>
            <w:noWrap/>
            <w:vAlign w:val="bottom"/>
            <w:hideMark/>
          </w:tcPr>
          <w:p w14:paraId="5C608574"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6 124</w:t>
            </w:r>
          </w:p>
        </w:tc>
        <w:tc>
          <w:tcPr>
            <w:tcW w:w="314" w:type="pct"/>
            <w:tcBorders>
              <w:top w:val="nil"/>
              <w:left w:val="nil"/>
              <w:bottom w:val="nil"/>
              <w:right w:val="nil"/>
            </w:tcBorders>
            <w:shd w:val="clear" w:color="auto" w:fill="auto"/>
            <w:noWrap/>
            <w:vAlign w:val="bottom"/>
            <w:hideMark/>
          </w:tcPr>
          <w:p w14:paraId="7DEC91B2"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7 537</w:t>
            </w:r>
          </w:p>
        </w:tc>
        <w:tc>
          <w:tcPr>
            <w:tcW w:w="324" w:type="pct"/>
            <w:tcBorders>
              <w:top w:val="nil"/>
              <w:left w:val="nil"/>
              <w:bottom w:val="nil"/>
              <w:right w:val="nil"/>
            </w:tcBorders>
            <w:shd w:val="clear" w:color="auto" w:fill="auto"/>
            <w:noWrap/>
            <w:vAlign w:val="bottom"/>
            <w:hideMark/>
          </w:tcPr>
          <w:p w14:paraId="779E62B4"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8 550</w:t>
            </w:r>
          </w:p>
        </w:tc>
        <w:tc>
          <w:tcPr>
            <w:tcW w:w="385" w:type="pct"/>
            <w:tcBorders>
              <w:top w:val="nil"/>
              <w:left w:val="nil"/>
              <w:bottom w:val="nil"/>
              <w:right w:val="nil"/>
            </w:tcBorders>
            <w:shd w:val="clear" w:color="auto" w:fill="auto"/>
            <w:noWrap/>
            <w:vAlign w:val="bottom"/>
            <w:hideMark/>
          </w:tcPr>
          <w:p w14:paraId="123D9C23"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8 647</w:t>
            </w:r>
          </w:p>
        </w:tc>
        <w:tc>
          <w:tcPr>
            <w:tcW w:w="324" w:type="pct"/>
            <w:tcBorders>
              <w:top w:val="nil"/>
              <w:left w:val="nil"/>
              <w:bottom w:val="nil"/>
              <w:right w:val="nil"/>
            </w:tcBorders>
            <w:shd w:val="clear" w:color="auto" w:fill="auto"/>
            <w:noWrap/>
            <w:vAlign w:val="bottom"/>
            <w:hideMark/>
          </w:tcPr>
          <w:p w14:paraId="609BB139"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9 613</w:t>
            </w:r>
          </w:p>
        </w:tc>
        <w:tc>
          <w:tcPr>
            <w:tcW w:w="324" w:type="pct"/>
            <w:tcBorders>
              <w:top w:val="nil"/>
              <w:left w:val="nil"/>
              <w:bottom w:val="nil"/>
              <w:right w:val="nil"/>
            </w:tcBorders>
            <w:shd w:val="clear" w:color="auto" w:fill="auto"/>
            <w:noWrap/>
            <w:vAlign w:val="bottom"/>
            <w:hideMark/>
          </w:tcPr>
          <w:p w14:paraId="4FEAAEA0"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9 521</w:t>
            </w:r>
          </w:p>
        </w:tc>
        <w:tc>
          <w:tcPr>
            <w:tcW w:w="324" w:type="pct"/>
            <w:tcBorders>
              <w:top w:val="nil"/>
              <w:left w:val="nil"/>
              <w:bottom w:val="nil"/>
              <w:right w:val="nil"/>
            </w:tcBorders>
            <w:shd w:val="clear" w:color="auto" w:fill="auto"/>
            <w:noWrap/>
            <w:vAlign w:val="bottom"/>
            <w:hideMark/>
          </w:tcPr>
          <w:p w14:paraId="7939FE92"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9 521</w:t>
            </w:r>
          </w:p>
        </w:tc>
      </w:tr>
      <w:tr w:rsidR="00DD531B" w:rsidRPr="00DD531B" w14:paraId="12CBC8D0" w14:textId="77777777" w:rsidTr="001F24AE">
        <w:trPr>
          <w:trHeight w:val="300"/>
        </w:trPr>
        <w:tc>
          <w:tcPr>
            <w:tcW w:w="2692" w:type="pct"/>
            <w:tcBorders>
              <w:top w:val="nil"/>
              <w:left w:val="nil"/>
              <w:bottom w:val="nil"/>
              <w:right w:val="nil"/>
            </w:tcBorders>
            <w:shd w:val="clear" w:color="auto" w:fill="auto"/>
            <w:noWrap/>
            <w:vAlign w:val="bottom"/>
            <w:hideMark/>
          </w:tcPr>
          <w:p w14:paraId="263BDB94"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bežné výdavky  600, v tom:</w:t>
            </w:r>
          </w:p>
        </w:tc>
        <w:tc>
          <w:tcPr>
            <w:tcW w:w="314" w:type="pct"/>
            <w:tcBorders>
              <w:top w:val="nil"/>
              <w:left w:val="nil"/>
              <w:bottom w:val="nil"/>
              <w:right w:val="nil"/>
            </w:tcBorders>
            <w:shd w:val="clear" w:color="auto" w:fill="auto"/>
            <w:noWrap/>
            <w:vAlign w:val="bottom"/>
            <w:hideMark/>
          </w:tcPr>
          <w:p w14:paraId="6163865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5 721</w:t>
            </w:r>
          </w:p>
        </w:tc>
        <w:tc>
          <w:tcPr>
            <w:tcW w:w="314" w:type="pct"/>
            <w:tcBorders>
              <w:top w:val="nil"/>
              <w:left w:val="nil"/>
              <w:bottom w:val="nil"/>
              <w:right w:val="nil"/>
            </w:tcBorders>
            <w:shd w:val="clear" w:color="auto" w:fill="auto"/>
            <w:noWrap/>
            <w:vAlign w:val="bottom"/>
            <w:hideMark/>
          </w:tcPr>
          <w:p w14:paraId="4225C60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5 968</w:t>
            </w:r>
          </w:p>
        </w:tc>
        <w:tc>
          <w:tcPr>
            <w:tcW w:w="324" w:type="pct"/>
            <w:tcBorders>
              <w:top w:val="nil"/>
              <w:left w:val="nil"/>
              <w:bottom w:val="nil"/>
              <w:right w:val="nil"/>
            </w:tcBorders>
            <w:shd w:val="clear" w:color="auto" w:fill="auto"/>
            <w:noWrap/>
            <w:vAlign w:val="bottom"/>
            <w:hideMark/>
          </w:tcPr>
          <w:p w14:paraId="3E2B794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7 016</w:t>
            </w:r>
          </w:p>
        </w:tc>
        <w:tc>
          <w:tcPr>
            <w:tcW w:w="385" w:type="pct"/>
            <w:tcBorders>
              <w:top w:val="nil"/>
              <w:left w:val="nil"/>
              <w:bottom w:val="nil"/>
              <w:right w:val="nil"/>
            </w:tcBorders>
            <w:shd w:val="clear" w:color="auto" w:fill="auto"/>
            <w:noWrap/>
            <w:vAlign w:val="bottom"/>
            <w:hideMark/>
          </w:tcPr>
          <w:p w14:paraId="24D948A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7 352</w:t>
            </w:r>
          </w:p>
        </w:tc>
        <w:tc>
          <w:tcPr>
            <w:tcW w:w="324" w:type="pct"/>
            <w:tcBorders>
              <w:top w:val="nil"/>
              <w:left w:val="nil"/>
              <w:bottom w:val="nil"/>
              <w:right w:val="nil"/>
            </w:tcBorders>
            <w:shd w:val="clear" w:color="auto" w:fill="auto"/>
            <w:noWrap/>
            <w:vAlign w:val="bottom"/>
            <w:hideMark/>
          </w:tcPr>
          <w:p w14:paraId="3EC4112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8 233</w:t>
            </w:r>
          </w:p>
        </w:tc>
        <w:tc>
          <w:tcPr>
            <w:tcW w:w="324" w:type="pct"/>
            <w:tcBorders>
              <w:top w:val="nil"/>
              <w:left w:val="nil"/>
              <w:bottom w:val="nil"/>
              <w:right w:val="nil"/>
            </w:tcBorders>
            <w:shd w:val="clear" w:color="auto" w:fill="auto"/>
            <w:noWrap/>
            <w:vAlign w:val="bottom"/>
            <w:hideMark/>
          </w:tcPr>
          <w:p w14:paraId="02D37FC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8 141</w:t>
            </w:r>
          </w:p>
        </w:tc>
        <w:tc>
          <w:tcPr>
            <w:tcW w:w="324" w:type="pct"/>
            <w:tcBorders>
              <w:top w:val="nil"/>
              <w:left w:val="nil"/>
              <w:bottom w:val="nil"/>
              <w:right w:val="nil"/>
            </w:tcBorders>
            <w:shd w:val="clear" w:color="auto" w:fill="auto"/>
            <w:noWrap/>
            <w:vAlign w:val="bottom"/>
            <w:hideMark/>
          </w:tcPr>
          <w:p w14:paraId="06DACBDE"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8 141</w:t>
            </w:r>
          </w:p>
        </w:tc>
      </w:tr>
      <w:tr w:rsidR="00DD531B" w:rsidRPr="00DD531B" w14:paraId="67434DC6" w14:textId="77777777" w:rsidTr="001F24AE">
        <w:trPr>
          <w:trHeight w:val="300"/>
        </w:trPr>
        <w:tc>
          <w:tcPr>
            <w:tcW w:w="2692" w:type="pct"/>
            <w:tcBorders>
              <w:top w:val="nil"/>
              <w:left w:val="nil"/>
              <w:bottom w:val="nil"/>
              <w:right w:val="nil"/>
            </w:tcBorders>
            <w:shd w:val="clear" w:color="auto" w:fill="auto"/>
            <w:noWrap/>
            <w:vAlign w:val="bottom"/>
            <w:hideMark/>
          </w:tcPr>
          <w:p w14:paraId="2EE390C5"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610 mzdy</w:t>
            </w:r>
          </w:p>
        </w:tc>
        <w:tc>
          <w:tcPr>
            <w:tcW w:w="314" w:type="pct"/>
            <w:tcBorders>
              <w:top w:val="nil"/>
              <w:left w:val="nil"/>
              <w:bottom w:val="nil"/>
              <w:right w:val="nil"/>
            </w:tcBorders>
            <w:shd w:val="clear" w:color="auto" w:fill="auto"/>
            <w:noWrap/>
            <w:vAlign w:val="bottom"/>
            <w:hideMark/>
          </w:tcPr>
          <w:p w14:paraId="6B35AF8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2 460</w:t>
            </w:r>
          </w:p>
        </w:tc>
        <w:tc>
          <w:tcPr>
            <w:tcW w:w="314" w:type="pct"/>
            <w:tcBorders>
              <w:top w:val="nil"/>
              <w:left w:val="nil"/>
              <w:bottom w:val="nil"/>
              <w:right w:val="nil"/>
            </w:tcBorders>
            <w:shd w:val="clear" w:color="auto" w:fill="auto"/>
            <w:noWrap/>
            <w:vAlign w:val="bottom"/>
            <w:hideMark/>
          </w:tcPr>
          <w:p w14:paraId="059B4A4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2 516</w:t>
            </w:r>
          </w:p>
        </w:tc>
        <w:tc>
          <w:tcPr>
            <w:tcW w:w="324" w:type="pct"/>
            <w:tcBorders>
              <w:top w:val="nil"/>
              <w:left w:val="nil"/>
              <w:bottom w:val="nil"/>
              <w:right w:val="nil"/>
            </w:tcBorders>
            <w:shd w:val="clear" w:color="auto" w:fill="auto"/>
            <w:noWrap/>
            <w:vAlign w:val="bottom"/>
            <w:hideMark/>
          </w:tcPr>
          <w:p w14:paraId="317CAC6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2 862</w:t>
            </w:r>
          </w:p>
        </w:tc>
        <w:tc>
          <w:tcPr>
            <w:tcW w:w="385" w:type="pct"/>
            <w:tcBorders>
              <w:top w:val="nil"/>
              <w:left w:val="nil"/>
              <w:bottom w:val="nil"/>
              <w:right w:val="nil"/>
            </w:tcBorders>
            <w:shd w:val="clear" w:color="auto" w:fill="auto"/>
            <w:noWrap/>
            <w:vAlign w:val="bottom"/>
            <w:hideMark/>
          </w:tcPr>
          <w:p w14:paraId="16EED0E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2 862</w:t>
            </w:r>
          </w:p>
        </w:tc>
        <w:tc>
          <w:tcPr>
            <w:tcW w:w="324" w:type="pct"/>
            <w:tcBorders>
              <w:top w:val="nil"/>
              <w:left w:val="nil"/>
              <w:bottom w:val="nil"/>
              <w:right w:val="nil"/>
            </w:tcBorders>
            <w:shd w:val="clear" w:color="auto" w:fill="auto"/>
            <w:noWrap/>
            <w:vAlign w:val="bottom"/>
            <w:hideMark/>
          </w:tcPr>
          <w:p w14:paraId="62CFD29A"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3 185</w:t>
            </w:r>
          </w:p>
        </w:tc>
        <w:tc>
          <w:tcPr>
            <w:tcW w:w="324" w:type="pct"/>
            <w:tcBorders>
              <w:top w:val="nil"/>
              <w:left w:val="nil"/>
              <w:bottom w:val="nil"/>
              <w:right w:val="nil"/>
            </w:tcBorders>
            <w:shd w:val="clear" w:color="auto" w:fill="auto"/>
            <w:noWrap/>
            <w:vAlign w:val="bottom"/>
            <w:hideMark/>
          </w:tcPr>
          <w:p w14:paraId="59CF44B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3 185</w:t>
            </w:r>
          </w:p>
        </w:tc>
        <w:tc>
          <w:tcPr>
            <w:tcW w:w="324" w:type="pct"/>
            <w:tcBorders>
              <w:top w:val="nil"/>
              <w:left w:val="nil"/>
              <w:bottom w:val="nil"/>
              <w:right w:val="nil"/>
            </w:tcBorders>
            <w:shd w:val="clear" w:color="auto" w:fill="auto"/>
            <w:noWrap/>
            <w:vAlign w:val="bottom"/>
            <w:hideMark/>
          </w:tcPr>
          <w:p w14:paraId="7F8D355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3 185</w:t>
            </w:r>
          </w:p>
        </w:tc>
      </w:tr>
      <w:tr w:rsidR="00DD531B" w:rsidRPr="00DD531B" w14:paraId="33CF5B89" w14:textId="77777777" w:rsidTr="001F24AE">
        <w:trPr>
          <w:trHeight w:val="300"/>
        </w:trPr>
        <w:tc>
          <w:tcPr>
            <w:tcW w:w="2692" w:type="pct"/>
            <w:tcBorders>
              <w:top w:val="nil"/>
              <w:left w:val="nil"/>
              <w:bottom w:val="nil"/>
              <w:right w:val="nil"/>
            </w:tcBorders>
            <w:shd w:val="clear" w:color="auto" w:fill="auto"/>
            <w:noWrap/>
            <w:vAlign w:val="bottom"/>
            <w:hideMark/>
          </w:tcPr>
          <w:p w14:paraId="1C0B8DC2"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620 odvody</w:t>
            </w:r>
          </w:p>
        </w:tc>
        <w:tc>
          <w:tcPr>
            <w:tcW w:w="314" w:type="pct"/>
            <w:tcBorders>
              <w:top w:val="nil"/>
              <w:left w:val="nil"/>
              <w:bottom w:val="nil"/>
              <w:right w:val="nil"/>
            </w:tcBorders>
            <w:shd w:val="clear" w:color="auto" w:fill="auto"/>
            <w:noWrap/>
            <w:vAlign w:val="bottom"/>
            <w:hideMark/>
          </w:tcPr>
          <w:p w14:paraId="024A036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904</w:t>
            </w:r>
          </w:p>
        </w:tc>
        <w:tc>
          <w:tcPr>
            <w:tcW w:w="314" w:type="pct"/>
            <w:tcBorders>
              <w:top w:val="nil"/>
              <w:left w:val="nil"/>
              <w:bottom w:val="nil"/>
              <w:right w:val="nil"/>
            </w:tcBorders>
            <w:shd w:val="clear" w:color="auto" w:fill="auto"/>
            <w:noWrap/>
            <w:vAlign w:val="bottom"/>
            <w:hideMark/>
          </w:tcPr>
          <w:p w14:paraId="6C7040AE"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946</w:t>
            </w:r>
          </w:p>
        </w:tc>
        <w:tc>
          <w:tcPr>
            <w:tcW w:w="324" w:type="pct"/>
            <w:tcBorders>
              <w:top w:val="nil"/>
              <w:left w:val="nil"/>
              <w:bottom w:val="nil"/>
              <w:right w:val="nil"/>
            </w:tcBorders>
            <w:shd w:val="clear" w:color="auto" w:fill="auto"/>
            <w:noWrap/>
            <w:vAlign w:val="bottom"/>
            <w:hideMark/>
          </w:tcPr>
          <w:p w14:paraId="296E460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1 126</w:t>
            </w:r>
          </w:p>
        </w:tc>
        <w:tc>
          <w:tcPr>
            <w:tcW w:w="385" w:type="pct"/>
            <w:tcBorders>
              <w:top w:val="nil"/>
              <w:left w:val="nil"/>
              <w:bottom w:val="nil"/>
              <w:right w:val="nil"/>
            </w:tcBorders>
            <w:shd w:val="clear" w:color="auto" w:fill="auto"/>
            <w:noWrap/>
            <w:vAlign w:val="bottom"/>
            <w:hideMark/>
          </w:tcPr>
          <w:p w14:paraId="0680696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1 121</w:t>
            </w:r>
          </w:p>
        </w:tc>
        <w:tc>
          <w:tcPr>
            <w:tcW w:w="324" w:type="pct"/>
            <w:tcBorders>
              <w:top w:val="nil"/>
              <w:left w:val="nil"/>
              <w:bottom w:val="nil"/>
              <w:right w:val="nil"/>
            </w:tcBorders>
            <w:shd w:val="clear" w:color="auto" w:fill="auto"/>
            <w:noWrap/>
            <w:vAlign w:val="bottom"/>
            <w:hideMark/>
          </w:tcPr>
          <w:p w14:paraId="07589AD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1 238</w:t>
            </w:r>
          </w:p>
        </w:tc>
        <w:tc>
          <w:tcPr>
            <w:tcW w:w="324" w:type="pct"/>
            <w:tcBorders>
              <w:top w:val="nil"/>
              <w:left w:val="nil"/>
              <w:bottom w:val="nil"/>
              <w:right w:val="nil"/>
            </w:tcBorders>
            <w:shd w:val="clear" w:color="auto" w:fill="auto"/>
            <w:noWrap/>
            <w:vAlign w:val="bottom"/>
            <w:hideMark/>
          </w:tcPr>
          <w:p w14:paraId="6D38FEB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1 238</w:t>
            </w:r>
          </w:p>
        </w:tc>
        <w:tc>
          <w:tcPr>
            <w:tcW w:w="324" w:type="pct"/>
            <w:tcBorders>
              <w:top w:val="nil"/>
              <w:left w:val="nil"/>
              <w:bottom w:val="nil"/>
              <w:right w:val="nil"/>
            </w:tcBorders>
            <w:shd w:val="clear" w:color="auto" w:fill="auto"/>
            <w:noWrap/>
            <w:vAlign w:val="bottom"/>
            <w:hideMark/>
          </w:tcPr>
          <w:p w14:paraId="3E8FF5A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1 238</w:t>
            </w:r>
          </w:p>
        </w:tc>
      </w:tr>
      <w:tr w:rsidR="00DD531B" w:rsidRPr="00DD531B" w14:paraId="39727F1F" w14:textId="77777777" w:rsidTr="001F24AE">
        <w:trPr>
          <w:trHeight w:val="300"/>
        </w:trPr>
        <w:tc>
          <w:tcPr>
            <w:tcW w:w="2692" w:type="pct"/>
            <w:tcBorders>
              <w:top w:val="nil"/>
              <w:left w:val="nil"/>
              <w:bottom w:val="nil"/>
              <w:right w:val="nil"/>
            </w:tcBorders>
            <w:shd w:val="clear" w:color="auto" w:fill="auto"/>
            <w:noWrap/>
            <w:vAlign w:val="bottom"/>
            <w:hideMark/>
          </w:tcPr>
          <w:p w14:paraId="34F77122"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630 tovary a služby</w:t>
            </w:r>
          </w:p>
        </w:tc>
        <w:tc>
          <w:tcPr>
            <w:tcW w:w="314" w:type="pct"/>
            <w:tcBorders>
              <w:top w:val="nil"/>
              <w:left w:val="nil"/>
              <w:bottom w:val="nil"/>
              <w:right w:val="nil"/>
            </w:tcBorders>
            <w:shd w:val="clear" w:color="auto" w:fill="auto"/>
            <w:noWrap/>
            <w:vAlign w:val="bottom"/>
            <w:hideMark/>
          </w:tcPr>
          <w:p w14:paraId="13BC017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957</w:t>
            </w:r>
          </w:p>
        </w:tc>
        <w:tc>
          <w:tcPr>
            <w:tcW w:w="314" w:type="pct"/>
            <w:tcBorders>
              <w:top w:val="nil"/>
              <w:left w:val="nil"/>
              <w:bottom w:val="nil"/>
              <w:right w:val="nil"/>
            </w:tcBorders>
            <w:shd w:val="clear" w:color="auto" w:fill="auto"/>
            <w:noWrap/>
            <w:vAlign w:val="bottom"/>
            <w:hideMark/>
          </w:tcPr>
          <w:p w14:paraId="2E90089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999</w:t>
            </w:r>
          </w:p>
        </w:tc>
        <w:tc>
          <w:tcPr>
            <w:tcW w:w="324" w:type="pct"/>
            <w:tcBorders>
              <w:top w:val="nil"/>
              <w:left w:val="nil"/>
              <w:bottom w:val="nil"/>
              <w:right w:val="nil"/>
            </w:tcBorders>
            <w:shd w:val="clear" w:color="auto" w:fill="auto"/>
            <w:noWrap/>
            <w:vAlign w:val="bottom"/>
            <w:hideMark/>
          </w:tcPr>
          <w:p w14:paraId="66A6801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1 323</w:t>
            </w:r>
          </w:p>
        </w:tc>
        <w:tc>
          <w:tcPr>
            <w:tcW w:w="385" w:type="pct"/>
            <w:tcBorders>
              <w:top w:val="nil"/>
              <w:left w:val="nil"/>
              <w:bottom w:val="nil"/>
              <w:right w:val="nil"/>
            </w:tcBorders>
            <w:shd w:val="clear" w:color="auto" w:fill="auto"/>
            <w:noWrap/>
            <w:vAlign w:val="bottom"/>
            <w:hideMark/>
          </w:tcPr>
          <w:p w14:paraId="1C8BE5A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1 657</w:t>
            </w:r>
          </w:p>
        </w:tc>
        <w:tc>
          <w:tcPr>
            <w:tcW w:w="324" w:type="pct"/>
            <w:tcBorders>
              <w:top w:val="nil"/>
              <w:left w:val="nil"/>
              <w:bottom w:val="nil"/>
              <w:right w:val="nil"/>
            </w:tcBorders>
            <w:shd w:val="clear" w:color="auto" w:fill="auto"/>
            <w:noWrap/>
            <w:vAlign w:val="bottom"/>
            <w:hideMark/>
          </w:tcPr>
          <w:p w14:paraId="3DF599C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1 860</w:t>
            </w:r>
          </w:p>
        </w:tc>
        <w:tc>
          <w:tcPr>
            <w:tcW w:w="324" w:type="pct"/>
            <w:tcBorders>
              <w:top w:val="nil"/>
              <w:left w:val="nil"/>
              <w:bottom w:val="nil"/>
              <w:right w:val="nil"/>
            </w:tcBorders>
            <w:shd w:val="clear" w:color="auto" w:fill="auto"/>
            <w:noWrap/>
            <w:vAlign w:val="bottom"/>
            <w:hideMark/>
          </w:tcPr>
          <w:p w14:paraId="1219089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1 768</w:t>
            </w:r>
          </w:p>
        </w:tc>
        <w:tc>
          <w:tcPr>
            <w:tcW w:w="324" w:type="pct"/>
            <w:tcBorders>
              <w:top w:val="nil"/>
              <w:left w:val="nil"/>
              <w:bottom w:val="nil"/>
              <w:right w:val="nil"/>
            </w:tcBorders>
            <w:shd w:val="clear" w:color="auto" w:fill="auto"/>
            <w:noWrap/>
            <w:vAlign w:val="bottom"/>
            <w:hideMark/>
          </w:tcPr>
          <w:p w14:paraId="656A48AA"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1 768</w:t>
            </w:r>
          </w:p>
        </w:tc>
      </w:tr>
      <w:tr w:rsidR="00DD531B" w:rsidRPr="00DD531B" w14:paraId="5D1510E0" w14:textId="77777777" w:rsidTr="001F24AE">
        <w:trPr>
          <w:trHeight w:val="300"/>
        </w:trPr>
        <w:tc>
          <w:tcPr>
            <w:tcW w:w="2692" w:type="pct"/>
            <w:tcBorders>
              <w:top w:val="nil"/>
              <w:left w:val="nil"/>
              <w:bottom w:val="nil"/>
              <w:right w:val="nil"/>
            </w:tcBorders>
            <w:shd w:val="clear" w:color="auto" w:fill="auto"/>
            <w:noWrap/>
            <w:vAlign w:val="bottom"/>
            <w:hideMark/>
          </w:tcPr>
          <w:p w14:paraId="7883882C"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640 bežné transfery</w:t>
            </w:r>
          </w:p>
        </w:tc>
        <w:tc>
          <w:tcPr>
            <w:tcW w:w="314" w:type="pct"/>
            <w:tcBorders>
              <w:top w:val="nil"/>
              <w:left w:val="nil"/>
              <w:bottom w:val="nil"/>
              <w:right w:val="nil"/>
            </w:tcBorders>
            <w:shd w:val="clear" w:color="auto" w:fill="auto"/>
            <w:noWrap/>
            <w:vAlign w:val="bottom"/>
            <w:hideMark/>
          </w:tcPr>
          <w:p w14:paraId="690BFDD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1 399</w:t>
            </w:r>
          </w:p>
        </w:tc>
        <w:tc>
          <w:tcPr>
            <w:tcW w:w="314" w:type="pct"/>
            <w:tcBorders>
              <w:top w:val="nil"/>
              <w:left w:val="nil"/>
              <w:bottom w:val="nil"/>
              <w:right w:val="nil"/>
            </w:tcBorders>
            <w:shd w:val="clear" w:color="auto" w:fill="auto"/>
            <w:noWrap/>
            <w:vAlign w:val="bottom"/>
            <w:hideMark/>
          </w:tcPr>
          <w:p w14:paraId="0C16E71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1 506</w:t>
            </w:r>
          </w:p>
        </w:tc>
        <w:tc>
          <w:tcPr>
            <w:tcW w:w="324" w:type="pct"/>
            <w:tcBorders>
              <w:top w:val="nil"/>
              <w:left w:val="nil"/>
              <w:bottom w:val="nil"/>
              <w:right w:val="nil"/>
            </w:tcBorders>
            <w:shd w:val="clear" w:color="auto" w:fill="auto"/>
            <w:noWrap/>
            <w:vAlign w:val="bottom"/>
            <w:hideMark/>
          </w:tcPr>
          <w:p w14:paraId="65AD4FF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1 705</w:t>
            </w:r>
          </w:p>
        </w:tc>
        <w:tc>
          <w:tcPr>
            <w:tcW w:w="385" w:type="pct"/>
            <w:tcBorders>
              <w:top w:val="nil"/>
              <w:left w:val="nil"/>
              <w:bottom w:val="nil"/>
              <w:right w:val="nil"/>
            </w:tcBorders>
            <w:shd w:val="clear" w:color="auto" w:fill="auto"/>
            <w:noWrap/>
            <w:vAlign w:val="bottom"/>
            <w:hideMark/>
          </w:tcPr>
          <w:p w14:paraId="44E1064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1 711</w:t>
            </w:r>
          </w:p>
        </w:tc>
        <w:tc>
          <w:tcPr>
            <w:tcW w:w="324" w:type="pct"/>
            <w:tcBorders>
              <w:top w:val="nil"/>
              <w:left w:val="nil"/>
              <w:bottom w:val="nil"/>
              <w:right w:val="nil"/>
            </w:tcBorders>
            <w:shd w:val="clear" w:color="auto" w:fill="auto"/>
            <w:noWrap/>
            <w:vAlign w:val="bottom"/>
            <w:hideMark/>
          </w:tcPr>
          <w:p w14:paraId="07B9B17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1 949</w:t>
            </w:r>
          </w:p>
        </w:tc>
        <w:tc>
          <w:tcPr>
            <w:tcW w:w="324" w:type="pct"/>
            <w:tcBorders>
              <w:top w:val="nil"/>
              <w:left w:val="nil"/>
              <w:bottom w:val="nil"/>
              <w:right w:val="nil"/>
            </w:tcBorders>
            <w:shd w:val="clear" w:color="auto" w:fill="auto"/>
            <w:noWrap/>
            <w:vAlign w:val="bottom"/>
            <w:hideMark/>
          </w:tcPr>
          <w:p w14:paraId="79D9475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1 949</w:t>
            </w:r>
          </w:p>
        </w:tc>
        <w:tc>
          <w:tcPr>
            <w:tcW w:w="324" w:type="pct"/>
            <w:tcBorders>
              <w:top w:val="nil"/>
              <w:left w:val="nil"/>
              <w:bottom w:val="nil"/>
              <w:right w:val="nil"/>
            </w:tcBorders>
            <w:shd w:val="clear" w:color="auto" w:fill="auto"/>
            <w:noWrap/>
            <w:vAlign w:val="bottom"/>
            <w:hideMark/>
          </w:tcPr>
          <w:p w14:paraId="1F92C82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1 949</w:t>
            </w:r>
          </w:p>
        </w:tc>
      </w:tr>
      <w:tr w:rsidR="00DD531B" w:rsidRPr="00DD531B" w14:paraId="6A96E7A6" w14:textId="77777777" w:rsidTr="001F24AE">
        <w:trPr>
          <w:trHeight w:val="300"/>
        </w:trPr>
        <w:tc>
          <w:tcPr>
            <w:tcW w:w="2692" w:type="pct"/>
            <w:tcBorders>
              <w:top w:val="nil"/>
              <w:left w:val="nil"/>
              <w:bottom w:val="nil"/>
              <w:right w:val="nil"/>
            </w:tcBorders>
            <w:shd w:val="clear" w:color="auto" w:fill="auto"/>
            <w:noWrap/>
            <w:vAlign w:val="bottom"/>
            <w:hideMark/>
          </w:tcPr>
          <w:p w14:paraId="0C354EA0"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kapitálové výdavky 700</w:t>
            </w:r>
          </w:p>
        </w:tc>
        <w:tc>
          <w:tcPr>
            <w:tcW w:w="314" w:type="pct"/>
            <w:tcBorders>
              <w:top w:val="nil"/>
              <w:left w:val="nil"/>
              <w:bottom w:val="nil"/>
              <w:right w:val="nil"/>
            </w:tcBorders>
            <w:shd w:val="clear" w:color="auto" w:fill="auto"/>
            <w:noWrap/>
            <w:vAlign w:val="bottom"/>
            <w:hideMark/>
          </w:tcPr>
          <w:p w14:paraId="7415FD2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403</w:t>
            </w:r>
          </w:p>
        </w:tc>
        <w:tc>
          <w:tcPr>
            <w:tcW w:w="314" w:type="pct"/>
            <w:tcBorders>
              <w:top w:val="nil"/>
              <w:left w:val="nil"/>
              <w:bottom w:val="nil"/>
              <w:right w:val="nil"/>
            </w:tcBorders>
            <w:shd w:val="clear" w:color="auto" w:fill="auto"/>
            <w:noWrap/>
            <w:vAlign w:val="bottom"/>
            <w:hideMark/>
          </w:tcPr>
          <w:p w14:paraId="0A9DC7BE"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1 569</w:t>
            </w:r>
          </w:p>
        </w:tc>
        <w:tc>
          <w:tcPr>
            <w:tcW w:w="324" w:type="pct"/>
            <w:tcBorders>
              <w:top w:val="nil"/>
              <w:left w:val="nil"/>
              <w:bottom w:val="nil"/>
              <w:right w:val="nil"/>
            </w:tcBorders>
            <w:shd w:val="clear" w:color="auto" w:fill="auto"/>
            <w:noWrap/>
            <w:vAlign w:val="bottom"/>
            <w:hideMark/>
          </w:tcPr>
          <w:p w14:paraId="6204803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1 534</w:t>
            </w:r>
          </w:p>
        </w:tc>
        <w:tc>
          <w:tcPr>
            <w:tcW w:w="385" w:type="pct"/>
            <w:tcBorders>
              <w:top w:val="nil"/>
              <w:left w:val="nil"/>
              <w:bottom w:val="nil"/>
              <w:right w:val="nil"/>
            </w:tcBorders>
            <w:shd w:val="clear" w:color="auto" w:fill="auto"/>
            <w:noWrap/>
            <w:vAlign w:val="bottom"/>
            <w:hideMark/>
          </w:tcPr>
          <w:p w14:paraId="61B6AC2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1 294</w:t>
            </w:r>
          </w:p>
        </w:tc>
        <w:tc>
          <w:tcPr>
            <w:tcW w:w="324" w:type="pct"/>
            <w:tcBorders>
              <w:top w:val="nil"/>
              <w:left w:val="nil"/>
              <w:bottom w:val="nil"/>
              <w:right w:val="nil"/>
            </w:tcBorders>
            <w:shd w:val="clear" w:color="auto" w:fill="auto"/>
            <w:noWrap/>
            <w:vAlign w:val="bottom"/>
            <w:hideMark/>
          </w:tcPr>
          <w:p w14:paraId="37F7DBB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1 380</w:t>
            </w:r>
          </w:p>
        </w:tc>
        <w:tc>
          <w:tcPr>
            <w:tcW w:w="324" w:type="pct"/>
            <w:tcBorders>
              <w:top w:val="nil"/>
              <w:left w:val="nil"/>
              <w:bottom w:val="nil"/>
              <w:right w:val="nil"/>
            </w:tcBorders>
            <w:shd w:val="clear" w:color="auto" w:fill="auto"/>
            <w:noWrap/>
            <w:vAlign w:val="bottom"/>
            <w:hideMark/>
          </w:tcPr>
          <w:p w14:paraId="3AB3E89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1 380</w:t>
            </w:r>
          </w:p>
        </w:tc>
        <w:tc>
          <w:tcPr>
            <w:tcW w:w="324" w:type="pct"/>
            <w:tcBorders>
              <w:top w:val="nil"/>
              <w:left w:val="nil"/>
              <w:bottom w:val="nil"/>
              <w:right w:val="nil"/>
            </w:tcBorders>
            <w:shd w:val="clear" w:color="auto" w:fill="auto"/>
            <w:noWrap/>
            <w:vAlign w:val="bottom"/>
            <w:hideMark/>
          </w:tcPr>
          <w:p w14:paraId="22EFF50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1 380</w:t>
            </w:r>
          </w:p>
        </w:tc>
      </w:tr>
      <w:tr w:rsidR="00DD531B" w:rsidRPr="00DD531B" w14:paraId="34471BB1" w14:textId="77777777" w:rsidTr="001F24AE">
        <w:trPr>
          <w:trHeight w:val="300"/>
        </w:trPr>
        <w:tc>
          <w:tcPr>
            <w:tcW w:w="2692" w:type="pct"/>
            <w:tcBorders>
              <w:top w:val="nil"/>
              <w:left w:val="nil"/>
              <w:bottom w:val="nil"/>
              <w:right w:val="nil"/>
            </w:tcBorders>
            <w:shd w:val="clear" w:color="auto" w:fill="auto"/>
            <w:noWrap/>
            <w:vAlign w:val="bottom"/>
            <w:hideMark/>
          </w:tcPr>
          <w:p w14:paraId="3A41C5AA"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zdroj EÚ vrátane spolufinancovania zo ŠR, v tom:</w:t>
            </w:r>
          </w:p>
        </w:tc>
        <w:tc>
          <w:tcPr>
            <w:tcW w:w="314" w:type="pct"/>
            <w:tcBorders>
              <w:top w:val="nil"/>
              <w:left w:val="nil"/>
              <w:bottom w:val="nil"/>
              <w:right w:val="nil"/>
            </w:tcBorders>
            <w:shd w:val="clear" w:color="auto" w:fill="auto"/>
            <w:noWrap/>
            <w:vAlign w:val="bottom"/>
            <w:hideMark/>
          </w:tcPr>
          <w:p w14:paraId="0848D5FD"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282</w:t>
            </w:r>
          </w:p>
        </w:tc>
        <w:tc>
          <w:tcPr>
            <w:tcW w:w="314" w:type="pct"/>
            <w:tcBorders>
              <w:top w:val="nil"/>
              <w:left w:val="nil"/>
              <w:bottom w:val="nil"/>
              <w:right w:val="nil"/>
            </w:tcBorders>
            <w:shd w:val="clear" w:color="auto" w:fill="auto"/>
            <w:noWrap/>
            <w:vAlign w:val="bottom"/>
            <w:hideMark/>
          </w:tcPr>
          <w:p w14:paraId="6D460C78"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117</w:t>
            </w:r>
          </w:p>
        </w:tc>
        <w:tc>
          <w:tcPr>
            <w:tcW w:w="324" w:type="pct"/>
            <w:tcBorders>
              <w:top w:val="nil"/>
              <w:left w:val="nil"/>
              <w:bottom w:val="nil"/>
              <w:right w:val="nil"/>
            </w:tcBorders>
            <w:shd w:val="clear" w:color="auto" w:fill="auto"/>
            <w:noWrap/>
            <w:vAlign w:val="bottom"/>
            <w:hideMark/>
          </w:tcPr>
          <w:p w14:paraId="33595553"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85" w:type="pct"/>
            <w:tcBorders>
              <w:top w:val="nil"/>
              <w:left w:val="nil"/>
              <w:bottom w:val="nil"/>
              <w:right w:val="nil"/>
            </w:tcBorders>
            <w:shd w:val="clear" w:color="auto" w:fill="auto"/>
            <w:noWrap/>
            <w:vAlign w:val="bottom"/>
            <w:hideMark/>
          </w:tcPr>
          <w:p w14:paraId="052B2334"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560</w:t>
            </w:r>
          </w:p>
        </w:tc>
        <w:tc>
          <w:tcPr>
            <w:tcW w:w="324" w:type="pct"/>
            <w:tcBorders>
              <w:top w:val="nil"/>
              <w:left w:val="nil"/>
              <w:bottom w:val="nil"/>
              <w:right w:val="nil"/>
            </w:tcBorders>
            <w:shd w:val="clear" w:color="auto" w:fill="auto"/>
            <w:noWrap/>
            <w:vAlign w:val="bottom"/>
            <w:hideMark/>
          </w:tcPr>
          <w:p w14:paraId="62F23165"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24" w:type="pct"/>
            <w:tcBorders>
              <w:top w:val="nil"/>
              <w:left w:val="nil"/>
              <w:bottom w:val="nil"/>
              <w:right w:val="nil"/>
            </w:tcBorders>
            <w:shd w:val="clear" w:color="auto" w:fill="auto"/>
            <w:noWrap/>
            <w:vAlign w:val="bottom"/>
            <w:hideMark/>
          </w:tcPr>
          <w:p w14:paraId="005DCFAE"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24" w:type="pct"/>
            <w:tcBorders>
              <w:top w:val="nil"/>
              <w:left w:val="nil"/>
              <w:bottom w:val="nil"/>
              <w:right w:val="nil"/>
            </w:tcBorders>
            <w:shd w:val="clear" w:color="auto" w:fill="auto"/>
            <w:noWrap/>
            <w:vAlign w:val="bottom"/>
            <w:hideMark/>
          </w:tcPr>
          <w:p w14:paraId="29F4ED7A"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r>
      <w:tr w:rsidR="00DD531B" w:rsidRPr="00DD531B" w14:paraId="023E2873" w14:textId="77777777" w:rsidTr="001F24AE">
        <w:trPr>
          <w:trHeight w:val="300"/>
        </w:trPr>
        <w:tc>
          <w:tcPr>
            <w:tcW w:w="2692" w:type="pct"/>
            <w:tcBorders>
              <w:top w:val="nil"/>
              <w:left w:val="nil"/>
              <w:bottom w:val="nil"/>
              <w:right w:val="nil"/>
            </w:tcBorders>
            <w:shd w:val="clear" w:color="auto" w:fill="auto"/>
            <w:noWrap/>
            <w:vAlign w:val="bottom"/>
            <w:hideMark/>
          </w:tcPr>
          <w:p w14:paraId="26FE2A45"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prostriedky EÚ</w:t>
            </w:r>
          </w:p>
        </w:tc>
        <w:tc>
          <w:tcPr>
            <w:tcW w:w="314" w:type="pct"/>
            <w:tcBorders>
              <w:top w:val="nil"/>
              <w:left w:val="nil"/>
              <w:bottom w:val="nil"/>
              <w:right w:val="nil"/>
            </w:tcBorders>
            <w:shd w:val="clear" w:color="auto" w:fill="auto"/>
            <w:noWrap/>
            <w:vAlign w:val="bottom"/>
            <w:hideMark/>
          </w:tcPr>
          <w:p w14:paraId="7FA8722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232</w:t>
            </w:r>
          </w:p>
        </w:tc>
        <w:tc>
          <w:tcPr>
            <w:tcW w:w="314" w:type="pct"/>
            <w:tcBorders>
              <w:top w:val="nil"/>
              <w:left w:val="nil"/>
              <w:bottom w:val="nil"/>
              <w:right w:val="nil"/>
            </w:tcBorders>
            <w:shd w:val="clear" w:color="auto" w:fill="auto"/>
            <w:noWrap/>
            <w:vAlign w:val="bottom"/>
            <w:hideMark/>
          </w:tcPr>
          <w:p w14:paraId="7C30413E"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117</w:t>
            </w:r>
          </w:p>
        </w:tc>
        <w:tc>
          <w:tcPr>
            <w:tcW w:w="324" w:type="pct"/>
            <w:tcBorders>
              <w:top w:val="nil"/>
              <w:left w:val="nil"/>
              <w:bottom w:val="nil"/>
              <w:right w:val="nil"/>
            </w:tcBorders>
            <w:shd w:val="clear" w:color="auto" w:fill="auto"/>
            <w:noWrap/>
            <w:vAlign w:val="bottom"/>
            <w:hideMark/>
          </w:tcPr>
          <w:p w14:paraId="6243EA1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85" w:type="pct"/>
            <w:tcBorders>
              <w:top w:val="nil"/>
              <w:left w:val="nil"/>
              <w:bottom w:val="nil"/>
              <w:right w:val="nil"/>
            </w:tcBorders>
            <w:shd w:val="clear" w:color="auto" w:fill="auto"/>
            <w:noWrap/>
            <w:vAlign w:val="bottom"/>
            <w:hideMark/>
          </w:tcPr>
          <w:p w14:paraId="6279982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388</w:t>
            </w:r>
          </w:p>
        </w:tc>
        <w:tc>
          <w:tcPr>
            <w:tcW w:w="324" w:type="pct"/>
            <w:tcBorders>
              <w:top w:val="nil"/>
              <w:left w:val="nil"/>
              <w:bottom w:val="nil"/>
              <w:right w:val="nil"/>
            </w:tcBorders>
            <w:shd w:val="clear" w:color="auto" w:fill="auto"/>
            <w:noWrap/>
            <w:vAlign w:val="bottom"/>
            <w:hideMark/>
          </w:tcPr>
          <w:p w14:paraId="6DCFEC4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24" w:type="pct"/>
            <w:tcBorders>
              <w:top w:val="nil"/>
              <w:left w:val="nil"/>
              <w:bottom w:val="nil"/>
              <w:right w:val="nil"/>
            </w:tcBorders>
            <w:shd w:val="clear" w:color="auto" w:fill="auto"/>
            <w:noWrap/>
            <w:vAlign w:val="bottom"/>
            <w:hideMark/>
          </w:tcPr>
          <w:p w14:paraId="5CA8829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24" w:type="pct"/>
            <w:tcBorders>
              <w:top w:val="nil"/>
              <w:left w:val="nil"/>
              <w:bottom w:val="nil"/>
              <w:right w:val="nil"/>
            </w:tcBorders>
            <w:shd w:val="clear" w:color="auto" w:fill="auto"/>
            <w:noWrap/>
            <w:vAlign w:val="bottom"/>
            <w:hideMark/>
          </w:tcPr>
          <w:p w14:paraId="47A78FA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r w:rsidR="00DD531B" w:rsidRPr="00DD531B" w14:paraId="725E6482" w14:textId="77777777" w:rsidTr="001F24AE">
        <w:trPr>
          <w:trHeight w:val="300"/>
        </w:trPr>
        <w:tc>
          <w:tcPr>
            <w:tcW w:w="2692" w:type="pct"/>
            <w:tcBorders>
              <w:top w:val="nil"/>
              <w:left w:val="nil"/>
              <w:bottom w:val="nil"/>
              <w:right w:val="nil"/>
            </w:tcBorders>
            <w:shd w:val="clear" w:color="auto" w:fill="auto"/>
            <w:noWrap/>
            <w:vAlign w:val="bottom"/>
            <w:hideMark/>
          </w:tcPr>
          <w:p w14:paraId="25A27B27"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spolufinancovanie zo ŠR</w:t>
            </w:r>
          </w:p>
        </w:tc>
        <w:tc>
          <w:tcPr>
            <w:tcW w:w="314" w:type="pct"/>
            <w:tcBorders>
              <w:top w:val="nil"/>
              <w:left w:val="nil"/>
              <w:bottom w:val="nil"/>
              <w:right w:val="nil"/>
            </w:tcBorders>
            <w:shd w:val="clear" w:color="auto" w:fill="auto"/>
            <w:noWrap/>
            <w:vAlign w:val="bottom"/>
            <w:hideMark/>
          </w:tcPr>
          <w:p w14:paraId="655B439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50</w:t>
            </w:r>
          </w:p>
        </w:tc>
        <w:tc>
          <w:tcPr>
            <w:tcW w:w="314" w:type="pct"/>
            <w:tcBorders>
              <w:top w:val="nil"/>
              <w:left w:val="nil"/>
              <w:bottom w:val="nil"/>
              <w:right w:val="nil"/>
            </w:tcBorders>
            <w:shd w:val="clear" w:color="auto" w:fill="auto"/>
            <w:noWrap/>
            <w:vAlign w:val="bottom"/>
            <w:hideMark/>
          </w:tcPr>
          <w:p w14:paraId="793BC53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24" w:type="pct"/>
            <w:tcBorders>
              <w:top w:val="nil"/>
              <w:left w:val="nil"/>
              <w:bottom w:val="nil"/>
              <w:right w:val="nil"/>
            </w:tcBorders>
            <w:shd w:val="clear" w:color="auto" w:fill="auto"/>
            <w:noWrap/>
            <w:vAlign w:val="bottom"/>
            <w:hideMark/>
          </w:tcPr>
          <w:p w14:paraId="050A1AB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85" w:type="pct"/>
            <w:tcBorders>
              <w:top w:val="nil"/>
              <w:left w:val="nil"/>
              <w:bottom w:val="nil"/>
              <w:right w:val="nil"/>
            </w:tcBorders>
            <w:shd w:val="clear" w:color="auto" w:fill="auto"/>
            <w:noWrap/>
            <w:vAlign w:val="bottom"/>
            <w:hideMark/>
          </w:tcPr>
          <w:p w14:paraId="6FAF8D7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172</w:t>
            </w:r>
          </w:p>
        </w:tc>
        <w:tc>
          <w:tcPr>
            <w:tcW w:w="324" w:type="pct"/>
            <w:tcBorders>
              <w:top w:val="nil"/>
              <w:left w:val="nil"/>
              <w:bottom w:val="nil"/>
              <w:right w:val="nil"/>
            </w:tcBorders>
            <w:shd w:val="clear" w:color="auto" w:fill="auto"/>
            <w:noWrap/>
            <w:vAlign w:val="bottom"/>
            <w:hideMark/>
          </w:tcPr>
          <w:p w14:paraId="3CD2BD7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24" w:type="pct"/>
            <w:tcBorders>
              <w:top w:val="nil"/>
              <w:left w:val="nil"/>
              <w:bottom w:val="nil"/>
              <w:right w:val="nil"/>
            </w:tcBorders>
            <w:shd w:val="clear" w:color="auto" w:fill="auto"/>
            <w:noWrap/>
            <w:vAlign w:val="bottom"/>
            <w:hideMark/>
          </w:tcPr>
          <w:p w14:paraId="7BBA35F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24" w:type="pct"/>
            <w:tcBorders>
              <w:top w:val="nil"/>
              <w:left w:val="nil"/>
              <w:bottom w:val="nil"/>
              <w:right w:val="nil"/>
            </w:tcBorders>
            <w:shd w:val="clear" w:color="auto" w:fill="auto"/>
            <w:noWrap/>
            <w:vAlign w:val="bottom"/>
            <w:hideMark/>
          </w:tcPr>
          <w:p w14:paraId="31B470F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r w:rsidR="00DD531B" w:rsidRPr="00DD531B" w14:paraId="42BBCA5C" w14:textId="77777777" w:rsidTr="001F24AE">
        <w:trPr>
          <w:trHeight w:val="300"/>
        </w:trPr>
        <w:tc>
          <w:tcPr>
            <w:tcW w:w="2692" w:type="pct"/>
            <w:tcBorders>
              <w:top w:val="nil"/>
              <w:left w:val="nil"/>
              <w:bottom w:val="nil"/>
              <w:right w:val="nil"/>
            </w:tcBorders>
            <w:shd w:val="clear" w:color="auto" w:fill="auto"/>
            <w:noWrap/>
            <w:vAlign w:val="bottom"/>
            <w:hideMark/>
          </w:tcPr>
          <w:p w14:paraId="2A42B295" w14:textId="77777777" w:rsidR="00DD531B" w:rsidRPr="00170734" w:rsidRDefault="00DD531B" w:rsidP="00DD531B">
            <w:pPr>
              <w:spacing w:after="0" w:line="240" w:lineRule="auto"/>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presun z minulých rokov § 8, v tom:</w:t>
            </w:r>
          </w:p>
        </w:tc>
        <w:tc>
          <w:tcPr>
            <w:tcW w:w="314" w:type="pct"/>
            <w:tcBorders>
              <w:top w:val="nil"/>
              <w:left w:val="nil"/>
              <w:bottom w:val="nil"/>
              <w:right w:val="nil"/>
            </w:tcBorders>
            <w:shd w:val="clear" w:color="auto" w:fill="auto"/>
            <w:noWrap/>
            <w:vAlign w:val="bottom"/>
            <w:hideMark/>
          </w:tcPr>
          <w:p w14:paraId="5BC9D292"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239</w:t>
            </w:r>
          </w:p>
        </w:tc>
        <w:tc>
          <w:tcPr>
            <w:tcW w:w="314" w:type="pct"/>
            <w:tcBorders>
              <w:top w:val="nil"/>
              <w:left w:val="nil"/>
              <w:bottom w:val="nil"/>
              <w:right w:val="nil"/>
            </w:tcBorders>
            <w:shd w:val="clear" w:color="auto" w:fill="auto"/>
            <w:noWrap/>
            <w:vAlign w:val="bottom"/>
            <w:hideMark/>
          </w:tcPr>
          <w:p w14:paraId="68A02013"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381</w:t>
            </w:r>
          </w:p>
        </w:tc>
        <w:tc>
          <w:tcPr>
            <w:tcW w:w="324" w:type="pct"/>
            <w:tcBorders>
              <w:top w:val="nil"/>
              <w:left w:val="nil"/>
              <w:bottom w:val="nil"/>
              <w:right w:val="nil"/>
            </w:tcBorders>
            <w:shd w:val="clear" w:color="auto" w:fill="auto"/>
            <w:noWrap/>
            <w:vAlign w:val="bottom"/>
            <w:hideMark/>
          </w:tcPr>
          <w:p w14:paraId="61FB6E77"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85" w:type="pct"/>
            <w:tcBorders>
              <w:top w:val="nil"/>
              <w:left w:val="nil"/>
              <w:bottom w:val="nil"/>
              <w:right w:val="nil"/>
            </w:tcBorders>
            <w:shd w:val="clear" w:color="auto" w:fill="auto"/>
            <w:noWrap/>
            <w:vAlign w:val="bottom"/>
            <w:hideMark/>
          </w:tcPr>
          <w:p w14:paraId="05C9A4D9"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445</w:t>
            </w:r>
          </w:p>
        </w:tc>
        <w:tc>
          <w:tcPr>
            <w:tcW w:w="324" w:type="pct"/>
            <w:tcBorders>
              <w:top w:val="nil"/>
              <w:left w:val="nil"/>
              <w:bottom w:val="nil"/>
              <w:right w:val="nil"/>
            </w:tcBorders>
            <w:shd w:val="clear" w:color="auto" w:fill="auto"/>
            <w:noWrap/>
            <w:vAlign w:val="bottom"/>
            <w:hideMark/>
          </w:tcPr>
          <w:p w14:paraId="23C5D59A"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24" w:type="pct"/>
            <w:tcBorders>
              <w:top w:val="nil"/>
              <w:left w:val="nil"/>
              <w:bottom w:val="nil"/>
              <w:right w:val="nil"/>
            </w:tcBorders>
            <w:shd w:val="clear" w:color="auto" w:fill="auto"/>
            <w:noWrap/>
            <w:vAlign w:val="bottom"/>
            <w:hideMark/>
          </w:tcPr>
          <w:p w14:paraId="77A03455"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24" w:type="pct"/>
            <w:tcBorders>
              <w:top w:val="nil"/>
              <w:left w:val="nil"/>
              <w:bottom w:val="nil"/>
              <w:right w:val="nil"/>
            </w:tcBorders>
            <w:shd w:val="clear" w:color="auto" w:fill="auto"/>
            <w:noWrap/>
            <w:vAlign w:val="bottom"/>
            <w:hideMark/>
          </w:tcPr>
          <w:p w14:paraId="58049458"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r>
      <w:tr w:rsidR="00DD531B" w:rsidRPr="00DD531B" w14:paraId="0CF166C6" w14:textId="77777777" w:rsidTr="001F24AE">
        <w:trPr>
          <w:trHeight w:val="300"/>
        </w:trPr>
        <w:tc>
          <w:tcPr>
            <w:tcW w:w="2692" w:type="pct"/>
            <w:tcBorders>
              <w:top w:val="nil"/>
              <w:left w:val="nil"/>
              <w:bottom w:val="nil"/>
              <w:right w:val="nil"/>
            </w:tcBorders>
            <w:shd w:val="clear" w:color="auto" w:fill="auto"/>
            <w:noWrap/>
            <w:vAlign w:val="bottom"/>
            <w:hideMark/>
          </w:tcPr>
          <w:p w14:paraId="394F15D2"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štátny rozpočet</w:t>
            </w:r>
          </w:p>
        </w:tc>
        <w:tc>
          <w:tcPr>
            <w:tcW w:w="314" w:type="pct"/>
            <w:tcBorders>
              <w:top w:val="nil"/>
              <w:left w:val="nil"/>
              <w:bottom w:val="nil"/>
              <w:right w:val="nil"/>
            </w:tcBorders>
            <w:shd w:val="clear" w:color="auto" w:fill="auto"/>
            <w:noWrap/>
            <w:vAlign w:val="bottom"/>
            <w:hideMark/>
          </w:tcPr>
          <w:p w14:paraId="2A04F06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239</w:t>
            </w:r>
          </w:p>
        </w:tc>
        <w:tc>
          <w:tcPr>
            <w:tcW w:w="314" w:type="pct"/>
            <w:tcBorders>
              <w:top w:val="nil"/>
              <w:left w:val="nil"/>
              <w:bottom w:val="nil"/>
              <w:right w:val="nil"/>
            </w:tcBorders>
            <w:shd w:val="clear" w:color="auto" w:fill="auto"/>
            <w:noWrap/>
            <w:vAlign w:val="bottom"/>
            <w:hideMark/>
          </w:tcPr>
          <w:p w14:paraId="1A888F5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381</w:t>
            </w:r>
          </w:p>
        </w:tc>
        <w:tc>
          <w:tcPr>
            <w:tcW w:w="324" w:type="pct"/>
            <w:tcBorders>
              <w:top w:val="nil"/>
              <w:left w:val="nil"/>
              <w:bottom w:val="nil"/>
              <w:right w:val="nil"/>
            </w:tcBorders>
            <w:shd w:val="clear" w:color="auto" w:fill="auto"/>
            <w:noWrap/>
            <w:vAlign w:val="bottom"/>
            <w:hideMark/>
          </w:tcPr>
          <w:p w14:paraId="03EEEAB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85" w:type="pct"/>
            <w:tcBorders>
              <w:top w:val="nil"/>
              <w:left w:val="nil"/>
              <w:bottom w:val="nil"/>
              <w:right w:val="nil"/>
            </w:tcBorders>
            <w:shd w:val="clear" w:color="auto" w:fill="auto"/>
            <w:noWrap/>
            <w:vAlign w:val="bottom"/>
            <w:hideMark/>
          </w:tcPr>
          <w:p w14:paraId="7FAF7BF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445</w:t>
            </w:r>
          </w:p>
        </w:tc>
        <w:tc>
          <w:tcPr>
            <w:tcW w:w="324" w:type="pct"/>
            <w:tcBorders>
              <w:top w:val="nil"/>
              <w:left w:val="nil"/>
              <w:bottom w:val="nil"/>
              <w:right w:val="nil"/>
            </w:tcBorders>
            <w:shd w:val="clear" w:color="auto" w:fill="auto"/>
            <w:noWrap/>
            <w:vAlign w:val="bottom"/>
            <w:hideMark/>
          </w:tcPr>
          <w:p w14:paraId="0A32CA5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24" w:type="pct"/>
            <w:tcBorders>
              <w:top w:val="nil"/>
              <w:left w:val="nil"/>
              <w:bottom w:val="nil"/>
              <w:right w:val="nil"/>
            </w:tcBorders>
            <w:shd w:val="clear" w:color="auto" w:fill="auto"/>
            <w:noWrap/>
            <w:vAlign w:val="bottom"/>
            <w:hideMark/>
          </w:tcPr>
          <w:p w14:paraId="5989DDF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24" w:type="pct"/>
            <w:tcBorders>
              <w:top w:val="nil"/>
              <w:left w:val="nil"/>
              <w:bottom w:val="nil"/>
              <w:right w:val="nil"/>
            </w:tcBorders>
            <w:shd w:val="clear" w:color="auto" w:fill="auto"/>
            <w:noWrap/>
            <w:vAlign w:val="bottom"/>
            <w:hideMark/>
          </w:tcPr>
          <w:p w14:paraId="191670C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r w:rsidR="00DD531B" w:rsidRPr="00DD531B" w14:paraId="4B849355" w14:textId="77777777" w:rsidTr="001F24AE">
        <w:trPr>
          <w:trHeight w:val="300"/>
        </w:trPr>
        <w:tc>
          <w:tcPr>
            <w:tcW w:w="2692" w:type="pct"/>
            <w:tcBorders>
              <w:top w:val="nil"/>
              <w:left w:val="nil"/>
              <w:bottom w:val="single" w:sz="4" w:space="0" w:color="auto"/>
              <w:right w:val="nil"/>
            </w:tcBorders>
            <w:shd w:val="clear" w:color="auto" w:fill="auto"/>
            <w:noWrap/>
            <w:vAlign w:val="bottom"/>
            <w:hideMark/>
          </w:tcPr>
          <w:p w14:paraId="240083A9" w14:textId="77777777" w:rsidR="00DD531B" w:rsidRPr="00170734" w:rsidRDefault="00DD531B" w:rsidP="00DD531B">
            <w:pPr>
              <w:spacing w:after="0" w:line="240" w:lineRule="auto"/>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prostriedky podľa § 17 ods. 4 a § 22 ods. 4 zákona č. 523/2004 Z. z.</w:t>
            </w:r>
          </w:p>
        </w:tc>
        <w:tc>
          <w:tcPr>
            <w:tcW w:w="314" w:type="pct"/>
            <w:tcBorders>
              <w:top w:val="nil"/>
              <w:left w:val="nil"/>
              <w:bottom w:val="single" w:sz="4" w:space="0" w:color="auto"/>
              <w:right w:val="nil"/>
            </w:tcBorders>
            <w:shd w:val="clear" w:color="auto" w:fill="auto"/>
            <w:noWrap/>
            <w:vAlign w:val="bottom"/>
            <w:hideMark/>
          </w:tcPr>
          <w:p w14:paraId="42C7BA0B"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7</w:t>
            </w:r>
          </w:p>
        </w:tc>
        <w:tc>
          <w:tcPr>
            <w:tcW w:w="314" w:type="pct"/>
            <w:tcBorders>
              <w:top w:val="nil"/>
              <w:left w:val="nil"/>
              <w:bottom w:val="single" w:sz="4" w:space="0" w:color="auto"/>
              <w:right w:val="nil"/>
            </w:tcBorders>
            <w:shd w:val="clear" w:color="auto" w:fill="auto"/>
            <w:noWrap/>
            <w:vAlign w:val="bottom"/>
            <w:hideMark/>
          </w:tcPr>
          <w:p w14:paraId="03391510"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7</w:t>
            </w:r>
          </w:p>
        </w:tc>
        <w:tc>
          <w:tcPr>
            <w:tcW w:w="324" w:type="pct"/>
            <w:tcBorders>
              <w:top w:val="nil"/>
              <w:left w:val="nil"/>
              <w:bottom w:val="single" w:sz="4" w:space="0" w:color="auto"/>
              <w:right w:val="nil"/>
            </w:tcBorders>
            <w:shd w:val="clear" w:color="auto" w:fill="auto"/>
            <w:noWrap/>
            <w:vAlign w:val="bottom"/>
            <w:hideMark/>
          </w:tcPr>
          <w:p w14:paraId="3FE9AADA"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85" w:type="pct"/>
            <w:tcBorders>
              <w:top w:val="nil"/>
              <w:left w:val="nil"/>
              <w:bottom w:val="single" w:sz="4" w:space="0" w:color="auto"/>
              <w:right w:val="nil"/>
            </w:tcBorders>
            <w:shd w:val="clear" w:color="auto" w:fill="auto"/>
            <w:noWrap/>
            <w:vAlign w:val="bottom"/>
            <w:hideMark/>
          </w:tcPr>
          <w:p w14:paraId="024C5534"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24" w:type="pct"/>
            <w:tcBorders>
              <w:top w:val="nil"/>
              <w:left w:val="nil"/>
              <w:bottom w:val="single" w:sz="4" w:space="0" w:color="auto"/>
              <w:right w:val="nil"/>
            </w:tcBorders>
            <w:shd w:val="clear" w:color="auto" w:fill="auto"/>
            <w:noWrap/>
            <w:vAlign w:val="bottom"/>
            <w:hideMark/>
          </w:tcPr>
          <w:p w14:paraId="456D5480"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24" w:type="pct"/>
            <w:tcBorders>
              <w:top w:val="nil"/>
              <w:left w:val="nil"/>
              <w:bottom w:val="single" w:sz="4" w:space="0" w:color="auto"/>
              <w:right w:val="nil"/>
            </w:tcBorders>
            <w:shd w:val="clear" w:color="auto" w:fill="auto"/>
            <w:noWrap/>
            <w:vAlign w:val="bottom"/>
            <w:hideMark/>
          </w:tcPr>
          <w:p w14:paraId="0E4F9D94"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24" w:type="pct"/>
            <w:tcBorders>
              <w:top w:val="nil"/>
              <w:left w:val="nil"/>
              <w:bottom w:val="single" w:sz="4" w:space="0" w:color="auto"/>
              <w:right w:val="nil"/>
            </w:tcBorders>
            <w:shd w:val="clear" w:color="auto" w:fill="auto"/>
            <w:noWrap/>
            <w:vAlign w:val="bottom"/>
            <w:hideMark/>
          </w:tcPr>
          <w:p w14:paraId="1F5CF08A"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r>
    </w:tbl>
    <w:p w14:paraId="3814FC5F" w14:textId="0F02E732" w:rsidR="00DD531B" w:rsidRDefault="00DD531B" w:rsidP="00DD531B">
      <w:pPr>
        <w:rPr>
          <w:rFonts w:ascii="Times New Roman" w:eastAsia="Calibri" w:hAnsi="Times New Roman" w:cs="Times New Roman"/>
        </w:rPr>
      </w:pPr>
    </w:p>
    <w:p w14:paraId="7D6C31EA" w14:textId="49345E5E" w:rsidR="00170734" w:rsidRDefault="00170734" w:rsidP="00DD531B">
      <w:pPr>
        <w:rPr>
          <w:rFonts w:ascii="Times New Roman" w:eastAsia="Calibri" w:hAnsi="Times New Roman" w:cs="Times New Roman"/>
        </w:rPr>
      </w:pPr>
    </w:p>
    <w:p w14:paraId="7915183B" w14:textId="369345AD" w:rsidR="00170734" w:rsidRDefault="00170734" w:rsidP="00DD531B">
      <w:pPr>
        <w:rPr>
          <w:rFonts w:ascii="Times New Roman" w:eastAsia="Calibri" w:hAnsi="Times New Roman" w:cs="Times New Roman"/>
        </w:rPr>
      </w:pPr>
    </w:p>
    <w:p w14:paraId="4AE4D3DE" w14:textId="6E5B3FF3" w:rsidR="00170734" w:rsidRDefault="00170734" w:rsidP="00DD531B">
      <w:pPr>
        <w:rPr>
          <w:rFonts w:ascii="Times New Roman" w:eastAsia="Calibri" w:hAnsi="Times New Roman" w:cs="Times New Roman"/>
        </w:rPr>
      </w:pPr>
    </w:p>
    <w:p w14:paraId="3DB146A9" w14:textId="70EC8571" w:rsidR="00170734" w:rsidRDefault="00170734" w:rsidP="00DD531B">
      <w:pPr>
        <w:rPr>
          <w:rFonts w:ascii="Times New Roman" w:eastAsia="Calibri" w:hAnsi="Times New Roman" w:cs="Times New Roman"/>
        </w:rPr>
      </w:pPr>
    </w:p>
    <w:p w14:paraId="3CC83204" w14:textId="4789B0F8" w:rsidR="00170734" w:rsidRDefault="00170734" w:rsidP="00DD531B">
      <w:pPr>
        <w:rPr>
          <w:rFonts w:ascii="Times New Roman" w:eastAsia="Calibri" w:hAnsi="Times New Roman" w:cs="Times New Roman"/>
        </w:rPr>
      </w:pPr>
    </w:p>
    <w:p w14:paraId="0856E879" w14:textId="36917C4F" w:rsidR="00170734" w:rsidRDefault="00170734" w:rsidP="00DD531B">
      <w:pPr>
        <w:rPr>
          <w:rFonts w:ascii="Times New Roman" w:eastAsia="Calibri" w:hAnsi="Times New Roman" w:cs="Times New Roman"/>
        </w:rPr>
      </w:pPr>
    </w:p>
    <w:p w14:paraId="065AA35E" w14:textId="7FFA009A" w:rsidR="00170734" w:rsidRDefault="00170734" w:rsidP="00DD531B">
      <w:pPr>
        <w:rPr>
          <w:rFonts w:ascii="Times New Roman" w:eastAsia="Calibri" w:hAnsi="Times New Roman" w:cs="Times New Roman"/>
        </w:rPr>
      </w:pPr>
    </w:p>
    <w:p w14:paraId="34F601B7" w14:textId="5E80D172" w:rsidR="00170734" w:rsidRDefault="00170734" w:rsidP="00DD531B">
      <w:pPr>
        <w:rPr>
          <w:rFonts w:ascii="Times New Roman" w:eastAsia="Calibri" w:hAnsi="Times New Roman" w:cs="Times New Roman"/>
        </w:rPr>
      </w:pPr>
    </w:p>
    <w:p w14:paraId="0EEFD9B5" w14:textId="21C397F6" w:rsidR="00170734" w:rsidRDefault="00170734" w:rsidP="00DD531B">
      <w:pPr>
        <w:rPr>
          <w:rFonts w:ascii="Times New Roman" w:eastAsia="Calibri" w:hAnsi="Times New Roman" w:cs="Times New Roman"/>
        </w:rPr>
      </w:pPr>
    </w:p>
    <w:p w14:paraId="67A97C53" w14:textId="477DFAA9" w:rsidR="00170734" w:rsidRDefault="00170734" w:rsidP="00DD531B">
      <w:pPr>
        <w:rPr>
          <w:rFonts w:ascii="Times New Roman" w:eastAsia="Calibri" w:hAnsi="Times New Roman" w:cs="Times New Roman"/>
        </w:rPr>
      </w:pPr>
    </w:p>
    <w:p w14:paraId="4705F7BE" w14:textId="748ACCB9" w:rsidR="00170734" w:rsidRDefault="00170734" w:rsidP="00DD531B">
      <w:pPr>
        <w:rPr>
          <w:rFonts w:ascii="Times New Roman" w:eastAsia="Calibri" w:hAnsi="Times New Roman" w:cs="Times New Roman"/>
        </w:rPr>
      </w:pPr>
    </w:p>
    <w:p w14:paraId="0BDCCB26" w14:textId="6D4358EF" w:rsidR="00170734" w:rsidRDefault="00170734" w:rsidP="00DD531B">
      <w:pPr>
        <w:rPr>
          <w:rFonts w:ascii="Times New Roman" w:eastAsia="Calibri" w:hAnsi="Times New Roman" w:cs="Times New Roman"/>
        </w:rPr>
      </w:pPr>
    </w:p>
    <w:p w14:paraId="4BB7CA86" w14:textId="77777777" w:rsidR="00170734" w:rsidRPr="00DD531B" w:rsidRDefault="00170734" w:rsidP="00DD531B">
      <w:pPr>
        <w:rPr>
          <w:rFonts w:ascii="Times New Roman" w:eastAsia="Calibri" w:hAnsi="Times New Roman" w:cs="Times New Roman"/>
        </w:rPr>
      </w:pPr>
    </w:p>
    <w:p w14:paraId="18228FD9" w14:textId="6D346FDB" w:rsidR="00DD531B" w:rsidRPr="00170734" w:rsidRDefault="00DD531B" w:rsidP="00DD531B">
      <w:pPr>
        <w:keepNext/>
        <w:keepLines/>
        <w:spacing w:before="40" w:after="0"/>
        <w:outlineLvl w:val="1"/>
        <w:rPr>
          <w:rFonts w:ascii="Times New Roman" w:eastAsia="Times New Roman" w:hAnsi="Times New Roman" w:cs="Times New Roman"/>
          <w:b/>
          <w:color w:val="5B9BD5" w:themeColor="accent1"/>
          <w:sz w:val="24"/>
          <w:szCs w:val="24"/>
        </w:rPr>
      </w:pPr>
      <w:r w:rsidRPr="00170734">
        <w:rPr>
          <w:rFonts w:ascii="Times New Roman" w:eastAsia="Times New Roman" w:hAnsi="Times New Roman" w:cs="Times New Roman"/>
          <w:b/>
          <w:color w:val="5B9BD5" w:themeColor="accent1"/>
          <w:sz w:val="24"/>
          <w:szCs w:val="24"/>
        </w:rPr>
        <w:lastRenderedPageBreak/>
        <w:t>Protimonopolný úrad SR</w:t>
      </w:r>
    </w:p>
    <w:p w14:paraId="00F52851" w14:textId="77777777" w:rsidR="00DD531B" w:rsidRPr="00170734" w:rsidRDefault="00DD531B" w:rsidP="00DD531B">
      <w:pPr>
        <w:spacing w:before="40"/>
        <w:rPr>
          <w:rFonts w:ascii="Times New Roman" w:eastAsia="Calibri" w:hAnsi="Times New Roman" w:cs="Times New Roman"/>
          <w:color w:val="5B9BD5" w:themeColor="accent1"/>
        </w:rPr>
      </w:pPr>
    </w:p>
    <w:p w14:paraId="58184C8B" w14:textId="166F96EB" w:rsidR="00DD531B" w:rsidRPr="00170734" w:rsidRDefault="00170734"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41" w:name="_Toc153013111"/>
      <w:r w:rsidRPr="00170734">
        <w:rPr>
          <w:rFonts w:ascii="Times New Roman" w:eastAsia="Times New Roman" w:hAnsi="Times New Roman" w:cs="Times New Roman"/>
          <w:b/>
          <w:iCs/>
          <w:color w:val="5B9BD5" w:themeColor="accent1"/>
          <w:sz w:val="20"/>
          <w:szCs w:val="20"/>
          <w:lang w:eastAsia="sk-SK"/>
        </w:rPr>
        <w:t xml:space="preserve">Tabuľka </w:t>
      </w:r>
      <w:r w:rsidRPr="00170734">
        <w:rPr>
          <w:rFonts w:ascii="Times New Roman" w:hAnsi="Times New Roman" w:cs="Times New Roman"/>
          <w:b/>
          <w:color w:val="5B9BD5" w:themeColor="accent1"/>
          <w:sz w:val="20"/>
          <w:szCs w:val="20"/>
        </w:rPr>
        <w:fldChar w:fldCharType="begin"/>
      </w:r>
      <w:r w:rsidRPr="00170734">
        <w:rPr>
          <w:rFonts w:ascii="Times New Roman" w:hAnsi="Times New Roman" w:cs="Times New Roman"/>
          <w:b/>
          <w:color w:val="5B9BD5" w:themeColor="accent1"/>
          <w:sz w:val="20"/>
          <w:szCs w:val="20"/>
        </w:rPr>
        <w:instrText xml:space="preserve"> SEQ Tabuľka \* ARABIC </w:instrText>
      </w:r>
      <w:r w:rsidRPr="00170734">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113</w:t>
      </w:r>
      <w:r w:rsidRPr="00170734">
        <w:rPr>
          <w:rFonts w:ascii="Times New Roman" w:hAnsi="Times New Roman" w:cs="Times New Roman"/>
          <w:b/>
          <w:color w:val="5B9BD5" w:themeColor="accent1"/>
          <w:sz w:val="20"/>
          <w:szCs w:val="20"/>
        </w:rPr>
        <w:fldChar w:fldCharType="end"/>
      </w:r>
      <w:r w:rsidRPr="00170734">
        <w:rPr>
          <w:rFonts w:ascii="Times New Roman" w:hAnsi="Times New Roman" w:cs="Times New Roman"/>
          <w:b/>
          <w:color w:val="5B9BD5" w:themeColor="accent1"/>
          <w:sz w:val="20"/>
          <w:szCs w:val="20"/>
        </w:rPr>
        <w:t xml:space="preserve"> - </w:t>
      </w:r>
      <w:r w:rsidR="00DD531B" w:rsidRPr="00170734">
        <w:rPr>
          <w:rFonts w:ascii="Times New Roman" w:eastAsia="Times New Roman" w:hAnsi="Times New Roman" w:cs="Times New Roman"/>
          <w:b/>
          <w:iCs/>
          <w:color w:val="5B9BD5" w:themeColor="accent1"/>
          <w:sz w:val="20"/>
          <w:szCs w:val="20"/>
          <w:lang w:eastAsia="sk-SK"/>
        </w:rPr>
        <w:t>Príjmy kapitoly PMÚ SR</w:t>
      </w:r>
      <w:bookmarkEnd w:id="241"/>
    </w:p>
    <w:tbl>
      <w:tblPr>
        <w:tblW w:w="5000" w:type="pct"/>
        <w:tblCellMar>
          <w:left w:w="70" w:type="dxa"/>
          <w:right w:w="70" w:type="dxa"/>
        </w:tblCellMar>
        <w:tblLook w:val="04A0" w:firstRow="1" w:lastRow="0" w:firstColumn="1" w:lastColumn="0" w:noHBand="0" w:noVBand="1"/>
      </w:tblPr>
      <w:tblGrid>
        <w:gridCol w:w="4263"/>
        <w:gridCol w:w="654"/>
        <w:gridCol w:w="653"/>
        <w:gridCol w:w="675"/>
        <w:gridCol w:w="802"/>
        <w:gridCol w:w="675"/>
        <w:gridCol w:w="675"/>
        <w:gridCol w:w="675"/>
      </w:tblGrid>
      <w:tr w:rsidR="00DD531B" w:rsidRPr="00DD531B" w14:paraId="6C2F5398" w14:textId="77777777" w:rsidTr="001F24AE">
        <w:trPr>
          <w:trHeight w:val="300"/>
        </w:trPr>
        <w:tc>
          <w:tcPr>
            <w:tcW w:w="2349" w:type="pct"/>
            <w:tcBorders>
              <w:top w:val="single" w:sz="4" w:space="0" w:color="auto"/>
              <w:left w:val="nil"/>
              <w:bottom w:val="single" w:sz="4" w:space="0" w:color="auto"/>
              <w:right w:val="nil"/>
            </w:tcBorders>
            <w:shd w:val="clear" w:color="auto" w:fill="auto"/>
            <w:noWrap/>
            <w:vAlign w:val="center"/>
            <w:hideMark/>
          </w:tcPr>
          <w:p w14:paraId="373D5547"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v tis. eur</w:t>
            </w:r>
          </w:p>
        </w:tc>
        <w:tc>
          <w:tcPr>
            <w:tcW w:w="360" w:type="pct"/>
            <w:tcBorders>
              <w:top w:val="single" w:sz="4" w:space="0" w:color="auto"/>
              <w:left w:val="nil"/>
              <w:bottom w:val="single" w:sz="4" w:space="0" w:color="auto"/>
              <w:right w:val="nil"/>
            </w:tcBorders>
            <w:shd w:val="clear" w:color="auto" w:fill="auto"/>
            <w:noWrap/>
            <w:vAlign w:val="center"/>
            <w:hideMark/>
          </w:tcPr>
          <w:p w14:paraId="46FD4F7F"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2021 S</w:t>
            </w:r>
          </w:p>
        </w:tc>
        <w:tc>
          <w:tcPr>
            <w:tcW w:w="360" w:type="pct"/>
            <w:tcBorders>
              <w:top w:val="single" w:sz="4" w:space="0" w:color="auto"/>
              <w:left w:val="nil"/>
              <w:bottom w:val="single" w:sz="4" w:space="0" w:color="auto"/>
              <w:right w:val="nil"/>
            </w:tcBorders>
            <w:shd w:val="clear" w:color="auto" w:fill="auto"/>
            <w:noWrap/>
            <w:vAlign w:val="center"/>
            <w:hideMark/>
          </w:tcPr>
          <w:p w14:paraId="7EDF98A5"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2022 S</w:t>
            </w:r>
          </w:p>
        </w:tc>
        <w:tc>
          <w:tcPr>
            <w:tcW w:w="372" w:type="pct"/>
            <w:tcBorders>
              <w:top w:val="single" w:sz="4" w:space="0" w:color="auto"/>
              <w:left w:val="nil"/>
              <w:bottom w:val="single" w:sz="4" w:space="0" w:color="auto"/>
              <w:right w:val="nil"/>
            </w:tcBorders>
            <w:shd w:val="clear" w:color="auto" w:fill="auto"/>
            <w:noWrap/>
            <w:vAlign w:val="center"/>
            <w:hideMark/>
          </w:tcPr>
          <w:p w14:paraId="62EFE627"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2023 R</w:t>
            </w:r>
          </w:p>
        </w:tc>
        <w:tc>
          <w:tcPr>
            <w:tcW w:w="442" w:type="pct"/>
            <w:tcBorders>
              <w:top w:val="single" w:sz="4" w:space="0" w:color="auto"/>
              <w:left w:val="nil"/>
              <w:bottom w:val="single" w:sz="4" w:space="0" w:color="auto"/>
              <w:right w:val="nil"/>
            </w:tcBorders>
            <w:shd w:val="clear" w:color="auto" w:fill="auto"/>
            <w:noWrap/>
            <w:vAlign w:val="center"/>
            <w:hideMark/>
          </w:tcPr>
          <w:p w14:paraId="285D5BE2"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2023 OS</w:t>
            </w:r>
          </w:p>
        </w:tc>
        <w:tc>
          <w:tcPr>
            <w:tcW w:w="372" w:type="pct"/>
            <w:tcBorders>
              <w:top w:val="single" w:sz="4" w:space="0" w:color="auto"/>
              <w:left w:val="nil"/>
              <w:bottom w:val="single" w:sz="4" w:space="0" w:color="auto"/>
              <w:right w:val="nil"/>
            </w:tcBorders>
            <w:shd w:val="clear" w:color="auto" w:fill="auto"/>
            <w:noWrap/>
            <w:vAlign w:val="center"/>
            <w:hideMark/>
          </w:tcPr>
          <w:p w14:paraId="209AAE4B"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2024 N</w:t>
            </w:r>
          </w:p>
        </w:tc>
        <w:tc>
          <w:tcPr>
            <w:tcW w:w="372" w:type="pct"/>
            <w:tcBorders>
              <w:top w:val="single" w:sz="4" w:space="0" w:color="auto"/>
              <w:left w:val="nil"/>
              <w:bottom w:val="single" w:sz="4" w:space="0" w:color="auto"/>
              <w:right w:val="nil"/>
            </w:tcBorders>
            <w:shd w:val="clear" w:color="auto" w:fill="auto"/>
            <w:noWrap/>
            <w:vAlign w:val="center"/>
            <w:hideMark/>
          </w:tcPr>
          <w:p w14:paraId="691D27C5"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2025 N</w:t>
            </w:r>
          </w:p>
        </w:tc>
        <w:tc>
          <w:tcPr>
            <w:tcW w:w="372" w:type="pct"/>
            <w:tcBorders>
              <w:top w:val="single" w:sz="4" w:space="0" w:color="auto"/>
              <w:left w:val="nil"/>
              <w:bottom w:val="single" w:sz="4" w:space="0" w:color="auto"/>
              <w:right w:val="nil"/>
            </w:tcBorders>
            <w:shd w:val="clear" w:color="auto" w:fill="auto"/>
            <w:noWrap/>
            <w:vAlign w:val="center"/>
            <w:hideMark/>
          </w:tcPr>
          <w:p w14:paraId="1E8B9712"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2026 N</w:t>
            </w:r>
          </w:p>
        </w:tc>
      </w:tr>
      <w:tr w:rsidR="00DD531B" w:rsidRPr="00DD531B" w14:paraId="5019A388" w14:textId="77777777" w:rsidTr="001F24AE">
        <w:trPr>
          <w:trHeight w:val="300"/>
        </w:trPr>
        <w:tc>
          <w:tcPr>
            <w:tcW w:w="2349" w:type="pct"/>
            <w:tcBorders>
              <w:top w:val="nil"/>
              <w:left w:val="nil"/>
              <w:bottom w:val="nil"/>
              <w:right w:val="nil"/>
            </w:tcBorders>
            <w:shd w:val="clear" w:color="auto" w:fill="auto"/>
            <w:noWrap/>
            <w:vAlign w:val="bottom"/>
            <w:hideMark/>
          </w:tcPr>
          <w:p w14:paraId="6EA6E80D"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Príjmy kapitoly spolu</w:t>
            </w:r>
          </w:p>
        </w:tc>
        <w:tc>
          <w:tcPr>
            <w:tcW w:w="360" w:type="pct"/>
            <w:tcBorders>
              <w:top w:val="nil"/>
              <w:left w:val="nil"/>
              <w:bottom w:val="nil"/>
              <w:right w:val="nil"/>
            </w:tcBorders>
            <w:shd w:val="clear" w:color="auto" w:fill="auto"/>
            <w:noWrap/>
            <w:vAlign w:val="bottom"/>
            <w:hideMark/>
          </w:tcPr>
          <w:p w14:paraId="1421220D"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237</w:t>
            </w:r>
          </w:p>
        </w:tc>
        <w:tc>
          <w:tcPr>
            <w:tcW w:w="360" w:type="pct"/>
            <w:tcBorders>
              <w:top w:val="nil"/>
              <w:left w:val="nil"/>
              <w:bottom w:val="nil"/>
              <w:right w:val="nil"/>
            </w:tcBorders>
            <w:shd w:val="clear" w:color="auto" w:fill="auto"/>
            <w:noWrap/>
            <w:vAlign w:val="bottom"/>
            <w:hideMark/>
          </w:tcPr>
          <w:p w14:paraId="562412C8"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1 412</w:t>
            </w:r>
          </w:p>
        </w:tc>
        <w:tc>
          <w:tcPr>
            <w:tcW w:w="372" w:type="pct"/>
            <w:tcBorders>
              <w:top w:val="nil"/>
              <w:left w:val="nil"/>
              <w:bottom w:val="nil"/>
              <w:right w:val="nil"/>
            </w:tcBorders>
            <w:shd w:val="clear" w:color="auto" w:fill="auto"/>
            <w:noWrap/>
            <w:vAlign w:val="bottom"/>
            <w:hideMark/>
          </w:tcPr>
          <w:p w14:paraId="40F15620"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1 000</w:t>
            </w:r>
          </w:p>
        </w:tc>
        <w:tc>
          <w:tcPr>
            <w:tcW w:w="442" w:type="pct"/>
            <w:tcBorders>
              <w:top w:val="nil"/>
              <w:left w:val="nil"/>
              <w:bottom w:val="nil"/>
              <w:right w:val="nil"/>
            </w:tcBorders>
            <w:shd w:val="clear" w:color="auto" w:fill="auto"/>
            <w:noWrap/>
            <w:vAlign w:val="bottom"/>
            <w:hideMark/>
          </w:tcPr>
          <w:p w14:paraId="0581F0CE"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1 209</w:t>
            </w:r>
          </w:p>
        </w:tc>
        <w:tc>
          <w:tcPr>
            <w:tcW w:w="372" w:type="pct"/>
            <w:tcBorders>
              <w:top w:val="nil"/>
              <w:left w:val="nil"/>
              <w:bottom w:val="nil"/>
              <w:right w:val="nil"/>
            </w:tcBorders>
            <w:shd w:val="clear" w:color="auto" w:fill="auto"/>
            <w:noWrap/>
            <w:vAlign w:val="bottom"/>
            <w:hideMark/>
          </w:tcPr>
          <w:p w14:paraId="64FFC6E1"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1 000</w:t>
            </w:r>
          </w:p>
        </w:tc>
        <w:tc>
          <w:tcPr>
            <w:tcW w:w="372" w:type="pct"/>
            <w:tcBorders>
              <w:top w:val="nil"/>
              <w:left w:val="nil"/>
              <w:bottom w:val="nil"/>
              <w:right w:val="nil"/>
            </w:tcBorders>
            <w:shd w:val="clear" w:color="auto" w:fill="auto"/>
            <w:noWrap/>
            <w:vAlign w:val="bottom"/>
            <w:hideMark/>
          </w:tcPr>
          <w:p w14:paraId="437DA0D8"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1 000</w:t>
            </w:r>
          </w:p>
        </w:tc>
        <w:tc>
          <w:tcPr>
            <w:tcW w:w="372" w:type="pct"/>
            <w:tcBorders>
              <w:top w:val="nil"/>
              <w:left w:val="nil"/>
              <w:bottom w:val="nil"/>
              <w:right w:val="nil"/>
            </w:tcBorders>
            <w:shd w:val="clear" w:color="auto" w:fill="auto"/>
            <w:noWrap/>
            <w:vAlign w:val="bottom"/>
            <w:hideMark/>
          </w:tcPr>
          <w:p w14:paraId="45906904"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1 000</w:t>
            </w:r>
          </w:p>
        </w:tc>
      </w:tr>
      <w:tr w:rsidR="00DD531B" w:rsidRPr="00DD531B" w14:paraId="48EF44E3" w14:textId="77777777" w:rsidTr="001F24AE">
        <w:trPr>
          <w:trHeight w:val="300"/>
        </w:trPr>
        <w:tc>
          <w:tcPr>
            <w:tcW w:w="2349" w:type="pct"/>
            <w:tcBorders>
              <w:top w:val="nil"/>
              <w:left w:val="nil"/>
              <w:bottom w:val="single" w:sz="4" w:space="0" w:color="auto"/>
              <w:right w:val="nil"/>
            </w:tcBorders>
            <w:shd w:val="clear" w:color="auto" w:fill="auto"/>
            <w:noWrap/>
            <w:vAlign w:val="bottom"/>
            <w:hideMark/>
          </w:tcPr>
          <w:p w14:paraId="02A37386" w14:textId="77777777" w:rsidR="00DD531B" w:rsidRPr="00170734" w:rsidRDefault="00DD531B" w:rsidP="00DD531B">
            <w:pPr>
              <w:spacing w:after="0" w:line="240" w:lineRule="auto"/>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nedaňové príjmy</w:t>
            </w:r>
          </w:p>
        </w:tc>
        <w:tc>
          <w:tcPr>
            <w:tcW w:w="360" w:type="pct"/>
            <w:tcBorders>
              <w:top w:val="nil"/>
              <w:left w:val="nil"/>
              <w:bottom w:val="single" w:sz="4" w:space="0" w:color="auto"/>
              <w:right w:val="nil"/>
            </w:tcBorders>
            <w:shd w:val="clear" w:color="auto" w:fill="auto"/>
            <w:noWrap/>
            <w:vAlign w:val="bottom"/>
            <w:hideMark/>
          </w:tcPr>
          <w:p w14:paraId="53938A5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237</w:t>
            </w:r>
          </w:p>
        </w:tc>
        <w:tc>
          <w:tcPr>
            <w:tcW w:w="360" w:type="pct"/>
            <w:tcBorders>
              <w:top w:val="nil"/>
              <w:left w:val="nil"/>
              <w:bottom w:val="single" w:sz="4" w:space="0" w:color="auto"/>
              <w:right w:val="nil"/>
            </w:tcBorders>
            <w:shd w:val="clear" w:color="auto" w:fill="auto"/>
            <w:noWrap/>
            <w:vAlign w:val="bottom"/>
            <w:hideMark/>
          </w:tcPr>
          <w:p w14:paraId="5E2FCB7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1 412</w:t>
            </w:r>
          </w:p>
        </w:tc>
        <w:tc>
          <w:tcPr>
            <w:tcW w:w="372" w:type="pct"/>
            <w:tcBorders>
              <w:top w:val="nil"/>
              <w:left w:val="nil"/>
              <w:bottom w:val="single" w:sz="4" w:space="0" w:color="auto"/>
              <w:right w:val="nil"/>
            </w:tcBorders>
            <w:shd w:val="clear" w:color="auto" w:fill="auto"/>
            <w:noWrap/>
            <w:vAlign w:val="bottom"/>
            <w:hideMark/>
          </w:tcPr>
          <w:p w14:paraId="6A9E194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1 000</w:t>
            </w:r>
          </w:p>
        </w:tc>
        <w:tc>
          <w:tcPr>
            <w:tcW w:w="442" w:type="pct"/>
            <w:tcBorders>
              <w:top w:val="nil"/>
              <w:left w:val="nil"/>
              <w:bottom w:val="single" w:sz="4" w:space="0" w:color="auto"/>
              <w:right w:val="nil"/>
            </w:tcBorders>
            <w:shd w:val="clear" w:color="auto" w:fill="auto"/>
            <w:noWrap/>
            <w:vAlign w:val="bottom"/>
            <w:hideMark/>
          </w:tcPr>
          <w:p w14:paraId="4E3CB2B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1 209</w:t>
            </w:r>
          </w:p>
        </w:tc>
        <w:tc>
          <w:tcPr>
            <w:tcW w:w="372" w:type="pct"/>
            <w:tcBorders>
              <w:top w:val="nil"/>
              <w:left w:val="nil"/>
              <w:bottom w:val="single" w:sz="4" w:space="0" w:color="auto"/>
              <w:right w:val="nil"/>
            </w:tcBorders>
            <w:shd w:val="clear" w:color="auto" w:fill="auto"/>
            <w:noWrap/>
            <w:vAlign w:val="bottom"/>
            <w:hideMark/>
          </w:tcPr>
          <w:p w14:paraId="09A06B2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1 000</w:t>
            </w:r>
          </w:p>
        </w:tc>
        <w:tc>
          <w:tcPr>
            <w:tcW w:w="372" w:type="pct"/>
            <w:tcBorders>
              <w:top w:val="nil"/>
              <w:left w:val="nil"/>
              <w:bottom w:val="single" w:sz="4" w:space="0" w:color="auto"/>
              <w:right w:val="nil"/>
            </w:tcBorders>
            <w:shd w:val="clear" w:color="auto" w:fill="auto"/>
            <w:noWrap/>
            <w:vAlign w:val="bottom"/>
            <w:hideMark/>
          </w:tcPr>
          <w:p w14:paraId="6A3C514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1 000</w:t>
            </w:r>
          </w:p>
        </w:tc>
        <w:tc>
          <w:tcPr>
            <w:tcW w:w="372" w:type="pct"/>
            <w:tcBorders>
              <w:top w:val="nil"/>
              <w:left w:val="nil"/>
              <w:bottom w:val="single" w:sz="4" w:space="0" w:color="auto"/>
              <w:right w:val="nil"/>
            </w:tcBorders>
            <w:shd w:val="clear" w:color="auto" w:fill="auto"/>
            <w:noWrap/>
            <w:vAlign w:val="bottom"/>
            <w:hideMark/>
          </w:tcPr>
          <w:p w14:paraId="2706BF8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1 000</w:t>
            </w:r>
          </w:p>
        </w:tc>
      </w:tr>
    </w:tbl>
    <w:p w14:paraId="1E3288F1" w14:textId="77777777" w:rsidR="00DD531B" w:rsidRPr="00DD531B" w:rsidRDefault="00DD531B" w:rsidP="00DD531B">
      <w:pPr>
        <w:rPr>
          <w:rFonts w:ascii="Times New Roman" w:eastAsia="Calibri" w:hAnsi="Times New Roman" w:cs="Times New Roman"/>
        </w:rPr>
      </w:pPr>
    </w:p>
    <w:p w14:paraId="13BC3C2D" w14:textId="7F74DFB8" w:rsidR="00DD531B" w:rsidRPr="00170734" w:rsidRDefault="00170734"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42" w:name="_Toc153013112"/>
      <w:r w:rsidRPr="00170734">
        <w:rPr>
          <w:rFonts w:ascii="Times New Roman" w:eastAsia="Times New Roman" w:hAnsi="Times New Roman" w:cs="Times New Roman"/>
          <w:b/>
          <w:iCs/>
          <w:color w:val="5B9BD5" w:themeColor="accent1"/>
          <w:sz w:val="20"/>
          <w:szCs w:val="20"/>
          <w:lang w:eastAsia="sk-SK"/>
        </w:rPr>
        <w:t xml:space="preserve">Tabuľka </w:t>
      </w:r>
      <w:r w:rsidRPr="00170734">
        <w:rPr>
          <w:rFonts w:ascii="Times New Roman" w:hAnsi="Times New Roman" w:cs="Times New Roman"/>
          <w:b/>
          <w:color w:val="5B9BD5" w:themeColor="accent1"/>
          <w:sz w:val="20"/>
          <w:szCs w:val="20"/>
        </w:rPr>
        <w:fldChar w:fldCharType="begin"/>
      </w:r>
      <w:r w:rsidRPr="00170734">
        <w:rPr>
          <w:rFonts w:ascii="Times New Roman" w:hAnsi="Times New Roman" w:cs="Times New Roman"/>
          <w:b/>
          <w:color w:val="5B9BD5" w:themeColor="accent1"/>
          <w:sz w:val="20"/>
          <w:szCs w:val="20"/>
        </w:rPr>
        <w:instrText xml:space="preserve"> SEQ Tabuľka \* ARABIC </w:instrText>
      </w:r>
      <w:r w:rsidRPr="00170734">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114</w:t>
      </w:r>
      <w:r w:rsidRPr="00170734">
        <w:rPr>
          <w:rFonts w:ascii="Times New Roman" w:hAnsi="Times New Roman" w:cs="Times New Roman"/>
          <w:b/>
          <w:color w:val="5B9BD5" w:themeColor="accent1"/>
          <w:sz w:val="20"/>
          <w:szCs w:val="20"/>
        </w:rPr>
        <w:fldChar w:fldCharType="end"/>
      </w:r>
      <w:r w:rsidRPr="00170734">
        <w:rPr>
          <w:rFonts w:ascii="Times New Roman" w:hAnsi="Times New Roman" w:cs="Times New Roman"/>
          <w:b/>
          <w:color w:val="5B9BD5" w:themeColor="accent1"/>
          <w:sz w:val="20"/>
          <w:szCs w:val="20"/>
        </w:rPr>
        <w:t xml:space="preserve"> - </w:t>
      </w:r>
      <w:r w:rsidR="00DD531B" w:rsidRPr="00170734">
        <w:rPr>
          <w:rFonts w:ascii="Times New Roman" w:eastAsia="Times New Roman" w:hAnsi="Times New Roman" w:cs="Times New Roman"/>
          <w:b/>
          <w:iCs/>
          <w:color w:val="5B9BD5" w:themeColor="accent1"/>
          <w:sz w:val="20"/>
          <w:szCs w:val="20"/>
          <w:lang w:eastAsia="sk-SK"/>
        </w:rPr>
        <w:t>Výdavky kapitoly PMÚ SR</w:t>
      </w:r>
      <w:bookmarkEnd w:id="242"/>
    </w:p>
    <w:tbl>
      <w:tblPr>
        <w:tblW w:w="5000" w:type="pct"/>
        <w:tblCellMar>
          <w:left w:w="70" w:type="dxa"/>
          <w:right w:w="70" w:type="dxa"/>
        </w:tblCellMar>
        <w:tblLook w:val="04A0" w:firstRow="1" w:lastRow="0" w:firstColumn="1" w:lastColumn="0" w:noHBand="0" w:noVBand="1"/>
      </w:tblPr>
      <w:tblGrid>
        <w:gridCol w:w="4263"/>
        <w:gridCol w:w="654"/>
        <w:gridCol w:w="653"/>
        <w:gridCol w:w="675"/>
        <w:gridCol w:w="802"/>
        <w:gridCol w:w="675"/>
        <w:gridCol w:w="675"/>
        <w:gridCol w:w="675"/>
      </w:tblGrid>
      <w:tr w:rsidR="00DD531B" w:rsidRPr="00DD531B" w14:paraId="3C84A0CE" w14:textId="77777777" w:rsidTr="001F24AE">
        <w:trPr>
          <w:trHeight w:val="300"/>
        </w:trPr>
        <w:tc>
          <w:tcPr>
            <w:tcW w:w="2349" w:type="pct"/>
            <w:tcBorders>
              <w:top w:val="single" w:sz="4" w:space="0" w:color="auto"/>
              <w:left w:val="nil"/>
              <w:bottom w:val="single" w:sz="4" w:space="0" w:color="auto"/>
              <w:right w:val="nil"/>
            </w:tcBorders>
            <w:shd w:val="clear" w:color="auto" w:fill="auto"/>
            <w:noWrap/>
            <w:vAlign w:val="center"/>
            <w:hideMark/>
          </w:tcPr>
          <w:p w14:paraId="375D4DC9"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v tis. eur</w:t>
            </w:r>
          </w:p>
        </w:tc>
        <w:tc>
          <w:tcPr>
            <w:tcW w:w="360" w:type="pct"/>
            <w:tcBorders>
              <w:top w:val="single" w:sz="4" w:space="0" w:color="auto"/>
              <w:left w:val="nil"/>
              <w:bottom w:val="single" w:sz="4" w:space="0" w:color="auto"/>
              <w:right w:val="nil"/>
            </w:tcBorders>
            <w:shd w:val="clear" w:color="auto" w:fill="auto"/>
            <w:noWrap/>
            <w:vAlign w:val="center"/>
            <w:hideMark/>
          </w:tcPr>
          <w:p w14:paraId="117DDDC8"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2021 S</w:t>
            </w:r>
          </w:p>
        </w:tc>
        <w:tc>
          <w:tcPr>
            <w:tcW w:w="360" w:type="pct"/>
            <w:tcBorders>
              <w:top w:val="single" w:sz="4" w:space="0" w:color="auto"/>
              <w:left w:val="nil"/>
              <w:bottom w:val="single" w:sz="4" w:space="0" w:color="auto"/>
              <w:right w:val="nil"/>
            </w:tcBorders>
            <w:shd w:val="clear" w:color="auto" w:fill="auto"/>
            <w:noWrap/>
            <w:vAlign w:val="center"/>
            <w:hideMark/>
          </w:tcPr>
          <w:p w14:paraId="24B1F941"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2022 S</w:t>
            </w:r>
          </w:p>
        </w:tc>
        <w:tc>
          <w:tcPr>
            <w:tcW w:w="372" w:type="pct"/>
            <w:tcBorders>
              <w:top w:val="single" w:sz="4" w:space="0" w:color="auto"/>
              <w:left w:val="nil"/>
              <w:bottom w:val="single" w:sz="4" w:space="0" w:color="auto"/>
              <w:right w:val="nil"/>
            </w:tcBorders>
            <w:shd w:val="clear" w:color="auto" w:fill="auto"/>
            <w:noWrap/>
            <w:vAlign w:val="center"/>
            <w:hideMark/>
          </w:tcPr>
          <w:p w14:paraId="5AB403E9"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2023 R</w:t>
            </w:r>
          </w:p>
        </w:tc>
        <w:tc>
          <w:tcPr>
            <w:tcW w:w="442" w:type="pct"/>
            <w:tcBorders>
              <w:top w:val="single" w:sz="4" w:space="0" w:color="auto"/>
              <w:left w:val="nil"/>
              <w:bottom w:val="single" w:sz="4" w:space="0" w:color="auto"/>
              <w:right w:val="nil"/>
            </w:tcBorders>
            <w:shd w:val="clear" w:color="auto" w:fill="auto"/>
            <w:noWrap/>
            <w:vAlign w:val="center"/>
            <w:hideMark/>
          </w:tcPr>
          <w:p w14:paraId="4706DE8E"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2023 OS</w:t>
            </w:r>
          </w:p>
        </w:tc>
        <w:tc>
          <w:tcPr>
            <w:tcW w:w="372" w:type="pct"/>
            <w:tcBorders>
              <w:top w:val="single" w:sz="4" w:space="0" w:color="auto"/>
              <w:left w:val="nil"/>
              <w:bottom w:val="single" w:sz="4" w:space="0" w:color="auto"/>
              <w:right w:val="nil"/>
            </w:tcBorders>
            <w:shd w:val="clear" w:color="auto" w:fill="auto"/>
            <w:noWrap/>
            <w:vAlign w:val="center"/>
            <w:hideMark/>
          </w:tcPr>
          <w:p w14:paraId="6D94D06A"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2024 N</w:t>
            </w:r>
          </w:p>
        </w:tc>
        <w:tc>
          <w:tcPr>
            <w:tcW w:w="372" w:type="pct"/>
            <w:tcBorders>
              <w:top w:val="single" w:sz="4" w:space="0" w:color="auto"/>
              <w:left w:val="nil"/>
              <w:bottom w:val="single" w:sz="4" w:space="0" w:color="auto"/>
              <w:right w:val="nil"/>
            </w:tcBorders>
            <w:shd w:val="clear" w:color="auto" w:fill="auto"/>
            <w:noWrap/>
            <w:vAlign w:val="center"/>
            <w:hideMark/>
          </w:tcPr>
          <w:p w14:paraId="010C62C1"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2025 N</w:t>
            </w:r>
          </w:p>
        </w:tc>
        <w:tc>
          <w:tcPr>
            <w:tcW w:w="372" w:type="pct"/>
            <w:tcBorders>
              <w:top w:val="single" w:sz="4" w:space="0" w:color="auto"/>
              <w:left w:val="nil"/>
              <w:bottom w:val="single" w:sz="4" w:space="0" w:color="auto"/>
              <w:right w:val="nil"/>
            </w:tcBorders>
            <w:shd w:val="clear" w:color="auto" w:fill="auto"/>
            <w:noWrap/>
            <w:vAlign w:val="center"/>
            <w:hideMark/>
          </w:tcPr>
          <w:p w14:paraId="53353D7C"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2026 N</w:t>
            </w:r>
          </w:p>
        </w:tc>
      </w:tr>
      <w:tr w:rsidR="00DD531B" w:rsidRPr="00DD531B" w14:paraId="2BBDAA3C" w14:textId="77777777" w:rsidTr="001F24AE">
        <w:trPr>
          <w:trHeight w:val="300"/>
        </w:trPr>
        <w:tc>
          <w:tcPr>
            <w:tcW w:w="2349" w:type="pct"/>
            <w:tcBorders>
              <w:top w:val="nil"/>
              <w:left w:val="nil"/>
              <w:bottom w:val="nil"/>
              <w:right w:val="nil"/>
            </w:tcBorders>
            <w:shd w:val="clear" w:color="auto" w:fill="auto"/>
            <w:noWrap/>
            <w:vAlign w:val="center"/>
            <w:hideMark/>
          </w:tcPr>
          <w:p w14:paraId="4719CD36" w14:textId="77777777" w:rsidR="00DD531B" w:rsidRPr="00170734" w:rsidRDefault="00DD531B" w:rsidP="00DD531B">
            <w:pPr>
              <w:spacing w:after="0" w:line="240" w:lineRule="auto"/>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Výdavky kapitoly spolu</w:t>
            </w:r>
          </w:p>
        </w:tc>
        <w:tc>
          <w:tcPr>
            <w:tcW w:w="360" w:type="pct"/>
            <w:tcBorders>
              <w:top w:val="nil"/>
              <w:left w:val="nil"/>
              <w:bottom w:val="nil"/>
              <w:right w:val="nil"/>
            </w:tcBorders>
            <w:shd w:val="clear" w:color="auto" w:fill="auto"/>
            <w:noWrap/>
            <w:vAlign w:val="center"/>
            <w:hideMark/>
          </w:tcPr>
          <w:p w14:paraId="43E26A4E"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3 316</w:t>
            </w:r>
          </w:p>
        </w:tc>
        <w:tc>
          <w:tcPr>
            <w:tcW w:w="360" w:type="pct"/>
            <w:tcBorders>
              <w:top w:val="nil"/>
              <w:left w:val="nil"/>
              <w:bottom w:val="nil"/>
              <w:right w:val="nil"/>
            </w:tcBorders>
            <w:shd w:val="clear" w:color="auto" w:fill="auto"/>
            <w:noWrap/>
            <w:vAlign w:val="center"/>
            <w:hideMark/>
          </w:tcPr>
          <w:p w14:paraId="60151C6F"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3 372</w:t>
            </w:r>
          </w:p>
        </w:tc>
        <w:tc>
          <w:tcPr>
            <w:tcW w:w="372" w:type="pct"/>
            <w:tcBorders>
              <w:top w:val="nil"/>
              <w:left w:val="nil"/>
              <w:bottom w:val="nil"/>
              <w:right w:val="nil"/>
            </w:tcBorders>
            <w:shd w:val="clear" w:color="auto" w:fill="auto"/>
            <w:noWrap/>
            <w:vAlign w:val="center"/>
            <w:hideMark/>
          </w:tcPr>
          <w:p w14:paraId="24F0AFF5"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3 291</w:t>
            </w:r>
          </w:p>
        </w:tc>
        <w:tc>
          <w:tcPr>
            <w:tcW w:w="442" w:type="pct"/>
            <w:tcBorders>
              <w:top w:val="nil"/>
              <w:left w:val="nil"/>
              <w:bottom w:val="nil"/>
              <w:right w:val="nil"/>
            </w:tcBorders>
            <w:shd w:val="clear" w:color="auto" w:fill="auto"/>
            <w:noWrap/>
            <w:vAlign w:val="center"/>
            <w:hideMark/>
          </w:tcPr>
          <w:p w14:paraId="409B177B"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3 581</w:t>
            </w:r>
          </w:p>
        </w:tc>
        <w:tc>
          <w:tcPr>
            <w:tcW w:w="372" w:type="pct"/>
            <w:tcBorders>
              <w:top w:val="nil"/>
              <w:left w:val="nil"/>
              <w:bottom w:val="nil"/>
              <w:right w:val="nil"/>
            </w:tcBorders>
            <w:shd w:val="clear" w:color="auto" w:fill="auto"/>
            <w:noWrap/>
            <w:vAlign w:val="center"/>
            <w:hideMark/>
          </w:tcPr>
          <w:p w14:paraId="18E09C7B"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4 088</w:t>
            </w:r>
          </w:p>
        </w:tc>
        <w:tc>
          <w:tcPr>
            <w:tcW w:w="372" w:type="pct"/>
            <w:tcBorders>
              <w:top w:val="nil"/>
              <w:left w:val="nil"/>
              <w:bottom w:val="nil"/>
              <w:right w:val="nil"/>
            </w:tcBorders>
            <w:shd w:val="clear" w:color="auto" w:fill="auto"/>
            <w:noWrap/>
            <w:vAlign w:val="center"/>
            <w:hideMark/>
          </w:tcPr>
          <w:p w14:paraId="7BDFE981"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4 022</w:t>
            </w:r>
          </w:p>
        </w:tc>
        <w:tc>
          <w:tcPr>
            <w:tcW w:w="372" w:type="pct"/>
            <w:tcBorders>
              <w:top w:val="nil"/>
              <w:left w:val="nil"/>
              <w:bottom w:val="nil"/>
              <w:right w:val="nil"/>
            </w:tcBorders>
            <w:shd w:val="clear" w:color="auto" w:fill="auto"/>
            <w:noWrap/>
            <w:vAlign w:val="center"/>
            <w:hideMark/>
          </w:tcPr>
          <w:p w14:paraId="580DFD5C"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4 014</w:t>
            </w:r>
          </w:p>
        </w:tc>
      </w:tr>
      <w:tr w:rsidR="00DD531B" w:rsidRPr="00DD531B" w14:paraId="4084178E" w14:textId="77777777" w:rsidTr="001F24AE">
        <w:trPr>
          <w:trHeight w:val="300"/>
        </w:trPr>
        <w:tc>
          <w:tcPr>
            <w:tcW w:w="2349" w:type="pct"/>
            <w:tcBorders>
              <w:top w:val="nil"/>
              <w:left w:val="nil"/>
              <w:bottom w:val="nil"/>
              <w:right w:val="nil"/>
            </w:tcBorders>
            <w:shd w:val="clear" w:color="auto" w:fill="auto"/>
            <w:noWrap/>
            <w:vAlign w:val="bottom"/>
            <w:hideMark/>
          </w:tcPr>
          <w:p w14:paraId="26388449"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rozpočtové zdroje kapitoly</w:t>
            </w:r>
          </w:p>
        </w:tc>
        <w:tc>
          <w:tcPr>
            <w:tcW w:w="360" w:type="pct"/>
            <w:tcBorders>
              <w:top w:val="nil"/>
              <w:left w:val="nil"/>
              <w:bottom w:val="nil"/>
              <w:right w:val="nil"/>
            </w:tcBorders>
            <w:shd w:val="clear" w:color="auto" w:fill="auto"/>
            <w:noWrap/>
            <w:vAlign w:val="bottom"/>
            <w:hideMark/>
          </w:tcPr>
          <w:p w14:paraId="613798BE"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2 946</w:t>
            </w:r>
          </w:p>
        </w:tc>
        <w:tc>
          <w:tcPr>
            <w:tcW w:w="360" w:type="pct"/>
            <w:tcBorders>
              <w:top w:val="nil"/>
              <w:left w:val="nil"/>
              <w:bottom w:val="nil"/>
              <w:right w:val="nil"/>
            </w:tcBorders>
            <w:shd w:val="clear" w:color="auto" w:fill="auto"/>
            <w:noWrap/>
            <w:vAlign w:val="bottom"/>
            <w:hideMark/>
          </w:tcPr>
          <w:p w14:paraId="2CEBA204"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2 994</w:t>
            </w:r>
          </w:p>
        </w:tc>
        <w:tc>
          <w:tcPr>
            <w:tcW w:w="372" w:type="pct"/>
            <w:tcBorders>
              <w:top w:val="nil"/>
              <w:left w:val="nil"/>
              <w:bottom w:val="nil"/>
              <w:right w:val="nil"/>
            </w:tcBorders>
            <w:shd w:val="clear" w:color="auto" w:fill="auto"/>
            <w:noWrap/>
            <w:vAlign w:val="bottom"/>
            <w:hideMark/>
          </w:tcPr>
          <w:p w14:paraId="66B349FE"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3 291</w:t>
            </w:r>
          </w:p>
        </w:tc>
        <w:tc>
          <w:tcPr>
            <w:tcW w:w="442" w:type="pct"/>
            <w:tcBorders>
              <w:top w:val="nil"/>
              <w:left w:val="nil"/>
              <w:bottom w:val="nil"/>
              <w:right w:val="nil"/>
            </w:tcBorders>
            <w:shd w:val="clear" w:color="auto" w:fill="auto"/>
            <w:noWrap/>
            <w:vAlign w:val="bottom"/>
            <w:hideMark/>
          </w:tcPr>
          <w:p w14:paraId="072A8D9D"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3 439</w:t>
            </w:r>
          </w:p>
        </w:tc>
        <w:tc>
          <w:tcPr>
            <w:tcW w:w="372" w:type="pct"/>
            <w:tcBorders>
              <w:top w:val="nil"/>
              <w:left w:val="nil"/>
              <w:bottom w:val="nil"/>
              <w:right w:val="nil"/>
            </w:tcBorders>
            <w:shd w:val="clear" w:color="auto" w:fill="auto"/>
            <w:noWrap/>
            <w:vAlign w:val="bottom"/>
            <w:hideMark/>
          </w:tcPr>
          <w:p w14:paraId="06876893"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4 088</w:t>
            </w:r>
          </w:p>
        </w:tc>
        <w:tc>
          <w:tcPr>
            <w:tcW w:w="372" w:type="pct"/>
            <w:tcBorders>
              <w:top w:val="nil"/>
              <w:left w:val="nil"/>
              <w:bottom w:val="nil"/>
              <w:right w:val="nil"/>
            </w:tcBorders>
            <w:shd w:val="clear" w:color="auto" w:fill="auto"/>
            <w:noWrap/>
            <w:vAlign w:val="bottom"/>
            <w:hideMark/>
          </w:tcPr>
          <w:p w14:paraId="13C38D25"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4 022</w:t>
            </w:r>
          </w:p>
        </w:tc>
        <w:tc>
          <w:tcPr>
            <w:tcW w:w="372" w:type="pct"/>
            <w:tcBorders>
              <w:top w:val="nil"/>
              <w:left w:val="nil"/>
              <w:bottom w:val="nil"/>
              <w:right w:val="nil"/>
            </w:tcBorders>
            <w:shd w:val="clear" w:color="auto" w:fill="auto"/>
            <w:noWrap/>
            <w:vAlign w:val="bottom"/>
            <w:hideMark/>
          </w:tcPr>
          <w:p w14:paraId="500A91B1"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4 014</w:t>
            </w:r>
          </w:p>
        </w:tc>
      </w:tr>
      <w:tr w:rsidR="00DD531B" w:rsidRPr="00DD531B" w14:paraId="7E4A257B" w14:textId="77777777" w:rsidTr="001F24AE">
        <w:trPr>
          <w:trHeight w:val="300"/>
        </w:trPr>
        <w:tc>
          <w:tcPr>
            <w:tcW w:w="2349" w:type="pct"/>
            <w:tcBorders>
              <w:top w:val="nil"/>
              <w:left w:val="nil"/>
              <w:bottom w:val="nil"/>
              <w:right w:val="nil"/>
            </w:tcBorders>
            <w:shd w:val="clear" w:color="auto" w:fill="auto"/>
            <w:noWrap/>
            <w:vAlign w:val="bottom"/>
            <w:hideMark/>
          </w:tcPr>
          <w:p w14:paraId="26887DC7"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bežné výdavky  600, v tom:</w:t>
            </w:r>
          </w:p>
        </w:tc>
        <w:tc>
          <w:tcPr>
            <w:tcW w:w="360" w:type="pct"/>
            <w:tcBorders>
              <w:top w:val="nil"/>
              <w:left w:val="nil"/>
              <w:bottom w:val="nil"/>
              <w:right w:val="nil"/>
            </w:tcBorders>
            <w:shd w:val="clear" w:color="auto" w:fill="auto"/>
            <w:noWrap/>
            <w:vAlign w:val="bottom"/>
            <w:hideMark/>
          </w:tcPr>
          <w:p w14:paraId="5D4DF0F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2 933</w:t>
            </w:r>
          </w:p>
        </w:tc>
        <w:tc>
          <w:tcPr>
            <w:tcW w:w="360" w:type="pct"/>
            <w:tcBorders>
              <w:top w:val="nil"/>
              <w:left w:val="nil"/>
              <w:bottom w:val="nil"/>
              <w:right w:val="nil"/>
            </w:tcBorders>
            <w:shd w:val="clear" w:color="auto" w:fill="auto"/>
            <w:noWrap/>
            <w:vAlign w:val="bottom"/>
            <w:hideMark/>
          </w:tcPr>
          <w:p w14:paraId="1221297E"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2 971</w:t>
            </w:r>
          </w:p>
        </w:tc>
        <w:tc>
          <w:tcPr>
            <w:tcW w:w="372" w:type="pct"/>
            <w:tcBorders>
              <w:top w:val="nil"/>
              <w:left w:val="nil"/>
              <w:bottom w:val="nil"/>
              <w:right w:val="nil"/>
            </w:tcBorders>
            <w:shd w:val="clear" w:color="auto" w:fill="auto"/>
            <w:noWrap/>
            <w:vAlign w:val="bottom"/>
            <w:hideMark/>
          </w:tcPr>
          <w:p w14:paraId="1D41756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3 266</w:t>
            </w:r>
          </w:p>
        </w:tc>
        <w:tc>
          <w:tcPr>
            <w:tcW w:w="442" w:type="pct"/>
            <w:tcBorders>
              <w:top w:val="nil"/>
              <w:left w:val="nil"/>
              <w:bottom w:val="nil"/>
              <w:right w:val="nil"/>
            </w:tcBorders>
            <w:shd w:val="clear" w:color="auto" w:fill="auto"/>
            <w:noWrap/>
            <w:vAlign w:val="bottom"/>
            <w:hideMark/>
          </w:tcPr>
          <w:p w14:paraId="7340E35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3 417</w:t>
            </w:r>
          </w:p>
        </w:tc>
        <w:tc>
          <w:tcPr>
            <w:tcW w:w="372" w:type="pct"/>
            <w:tcBorders>
              <w:top w:val="nil"/>
              <w:left w:val="nil"/>
              <w:bottom w:val="nil"/>
              <w:right w:val="nil"/>
            </w:tcBorders>
            <w:shd w:val="clear" w:color="auto" w:fill="auto"/>
            <w:noWrap/>
            <w:vAlign w:val="bottom"/>
            <w:hideMark/>
          </w:tcPr>
          <w:p w14:paraId="1B5DE63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4 058</w:t>
            </w:r>
          </w:p>
        </w:tc>
        <w:tc>
          <w:tcPr>
            <w:tcW w:w="372" w:type="pct"/>
            <w:tcBorders>
              <w:top w:val="nil"/>
              <w:left w:val="nil"/>
              <w:bottom w:val="nil"/>
              <w:right w:val="nil"/>
            </w:tcBorders>
            <w:shd w:val="clear" w:color="auto" w:fill="auto"/>
            <w:noWrap/>
            <w:vAlign w:val="bottom"/>
            <w:hideMark/>
          </w:tcPr>
          <w:p w14:paraId="7C5641A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3 969</w:t>
            </w:r>
          </w:p>
        </w:tc>
        <w:tc>
          <w:tcPr>
            <w:tcW w:w="372" w:type="pct"/>
            <w:tcBorders>
              <w:top w:val="nil"/>
              <w:left w:val="nil"/>
              <w:bottom w:val="nil"/>
              <w:right w:val="nil"/>
            </w:tcBorders>
            <w:shd w:val="clear" w:color="auto" w:fill="auto"/>
            <w:noWrap/>
            <w:vAlign w:val="bottom"/>
            <w:hideMark/>
          </w:tcPr>
          <w:p w14:paraId="14222DF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3 969</w:t>
            </w:r>
          </w:p>
        </w:tc>
      </w:tr>
      <w:tr w:rsidR="00DD531B" w:rsidRPr="00DD531B" w14:paraId="51FC8771" w14:textId="77777777" w:rsidTr="001F24AE">
        <w:trPr>
          <w:trHeight w:val="300"/>
        </w:trPr>
        <w:tc>
          <w:tcPr>
            <w:tcW w:w="2349" w:type="pct"/>
            <w:tcBorders>
              <w:top w:val="nil"/>
              <w:left w:val="nil"/>
              <w:bottom w:val="nil"/>
              <w:right w:val="nil"/>
            </w:tcBorders>
            <w:shd w:val="clear" w:color="auto" w:fill="auto"/>
            <w:noWrap/>
            <w:vAlign w:val="bottom"/>
            <w:hideMark/>
          </w:tcPr>
          <w:p w14:paraId="7D8CEE32"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610 mzdy</w:t>
            </w:r>
          </w:p>
        </w:tc>
        <w:tc>
          <w:tcPr>
            <w:tcW w:w="360" w:type="pct"/>
            <w:tcBorders>
              <w:top w:val="nil"/>
              <w:left w:val="nil"/>
              <w:bottom w:val="nil"/>
              <w:right w:val="nil"/>
            </w:tcBorders>
            <w:shd w:val="clear" w:color="auto" w:fill="auto"/>
            <w:noWrap/>
            <w:vAlign w:val="bottom"/>
            <w:hideMark/>
          </w:tcPr>
          <w:p w14:paraId="229AE09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1 679</w:t>
            </w:r>
          </w:p>
        </w:tc>
        <w:tc>
          <w:tcPr>
            <w:tcW w:w="360" w:type="pct"/>
            <w:tcBorders>
              <w:top w:val="nil"/>
              <w:left w:val="nil"/>
              <w:bottom w:val="nil"/>
              <w:right w:val="nil"/>
            </w:tcBorders>
            <w:shd w:val="clear" w:color="auto" w:fill="auto"/>
            <w:noWrap/>
            <w:vAlign w:val="bottom"/>
            <w:hideMark/>
          </w:tcPr>
          <w:p w14:paraId="2AA6AE0A"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1 691</w:t>
            </w:r>
          </w:p>
        </w:tc>
        <w:tc>
          <w:tcPr>
            <w:tcW w:w="372" w:type="pct"/>
            <w:tcBorders>
              <w:top w:val="nil"/>
              <w:left w:val="nil"/>
              <w:bottom w:val="nil"/>
              <w:right w:val="nil"/>
            </w:tcBorders>
            <w:shd w:val="clear" w:color="auto" w:fill="auto"/>
            <w:noWrap/>
            <w:vAlign w:val="bottom"/>
            <w:hideMark/>
          </w:tcPr>
          <w:p w14:paraId="576F7D6A"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1 883</w:t>
            </w:r>
          </w:p>
        </w:tc>
        <w:tc>
          <w:tcPr>
            <w:tcW w:w="442" w:type="pct"/>
            <w:tcBorders>
              <w:top w:val="nil"/>
              <w:left w:val="nil"/>
              <w:bottom w:val="nil"/>
              <w:right w:val="nil"/>
            </w:tcBorders>
            <w:shd w:val="clear" w:color="auto" w:fill="auto"/>
            <w:noWrap/>
            <w:vAlign w:val="bottom"/>
            <w:hideMark/>
          </w:tcPr>
          <w:p w14:paraId="6B2B25C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1 909</w:t>
            </w:r>
          </w:p>
        </w:tc>
        <w:tc>
          <w:tcPr>
            <w:tcW w:w="372" w:type="pct"/>
            <w:tcBorders>
              <w:top w:val="nil"/>
              <w:left w:val="nil"/>
              <w:bottom w:val="nil"/>
              <w:right w:val="nil"/>
            </w:tcBorders>
            <w:shd w:val="clear" w:color="auto" w:fill="auto"/>
            <w:noWrap/>
            <w:vAlign w:val="bottom"/>
            <w:hideMark/>
          </w:tcPr>
          <w:p w14:paraId="7155D83A"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2 350</w:t>
            </w:r>
          </w:p>
        </w:tc>
        <w:tc>
          <w:tcPr>
            <w:tcW w:w="372" w:type="pct"/>
            <w:tcBorders>
              <w:top w:val="nil"/>
              <w:left w:val="nil"/>
              <w:bottom w:val="nil"/>
              <w:right w:val="nil"/>
            </w:tcBorders>
            <w:shd w:val="clear" w:color="auto" w:fill="auto"/>
            <w:noWrap/>
            <w:vAlign w:val="bottom"/>
            <w:hideMark/>
          </w:tcPr>
          <w:p w14:paraId="0555101A"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2 350</w:t>
            </w:r>
          </w:p>
        </w:tc>
        <w:tc>
          <w:tcPr>
            <w:tcW w:w="372" w:type="pct"/>
            <w:tcBorders>
              <w:top w:val="nil"/>
              <w:left w:val="nil"/>
              <w:bottom w:val="nil"/>
              <w:right w:val="nil"/>
            </w:tcBorders>
            <w:shd w:val="clear" w:color="auto" w:fill="auto"/>
            <w:noWrap/>
            <w:vAlign w:val="bottom"/>
            <w:hideMark/>
          </w:tcPr>
          <w:p w14:paraId="2B575FA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2 350</w:t>
            </w:r>
          </w:p>
        </w:tc>
      </w:tr>
      <w:tr w:rsidR="00DD531B" w:rsidRPr="00DD531B" w14:paraId="1F563AE0" w14:textId="77777777" w:rsidTr="001F24AE">
        <w:trPr>
          <w:trHeight w:val="300"/>
        </w:trPr>
        <w:tc>
          <w:tcPr>
            <w:tcW w:w="2349" w:type="pct"/>
            <w:tcBorders>
              <w:top w:val="nil"/>
              <w:left w:val="nil"/>
              <w:bottom w:val="nil"/>
              <w:right w:val="nil"/>
            </w:tcBorders>
            <w:shd w:val="clear" w:color="auto" w:fill="auto"/>
            <w:noWrap/>
            <w:vAlign w:val="bottom"/>
            <w:hideMark/>
          </w:tcPr>
          <w:p w14:paraId="5FE4DFBA"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620 odvody</w:t>
            </w:r>
          </w:p>
        </w:tc>
        <w:tc>
          <w:tcPr>
            <w:tcW w:w="360" w:type="pct"/>
            <w:tcBorders>
              <w:top w:val="nil"/>
              <w:left w:val="nil"/>
              <w:bottom w:val="nil"/>
              <w:right w:val="nil"/>
            </w:tcBorders>
            <w:shd w:val="clear" w:color="auto" w:fill="auto"/>
            <w:noWrap/>
            <w:vAlign w:val="bottom"/>
            <w:hideMark/>
          </w:tcPr>
          <w:p w14:paraId="6A67CF1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657</w:t>
            </w:r>
          </w:p>
        </w:tc>
        <w:tc>
          <w:tcPr>
            <w:tcW w:w="360" w:type="pct"/>
            <w:tcBorders>
              <w:top w:val="nil"/>
              <w:left w:val="nil"/>
              <w:bottom w:val="nil"/>
              <w:right w:val="nil"/>
            </w:tcBorders>
            <w:shd w:val="clear" w:color="auto" w:fill="auto"/>
            <w:noWrap/>
            <w:vAlign w:val="bottom"/>
            <w:hideMark/>
          </w:tcPr>
          <w:p w14:paraId="2B7F999E"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648</w:t>
            </w:r>
          </w:p>
        </w:tc>
        <w:tc>
          <w:tcPr>
            <w:tcW w:w="372" w:type="pct"/>
            <w:tcBorders>
              <w:top w:val="nil"/>
              <w:left w:val="nil"/>
              <w:bottom w:val="nil"/>
              <w:right w:val="nil"/>
            </w:tcBorders>
            <w:shd w:val="clear" w:color="auto" w:fill="auto"/>
            <w:noWrap/>
            <w:vAlign w:val="bottom"/>
            <w:hideMark/>
          </w:tcPr>
          <w:p w14:paraId="5934FF1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680</w:t>
            </w:r>
          </w:p>
        </w:tc>
        <w:tc>
          <w:tcPr>
            <w:tcW w:w="442" w:type="pct"/>
            <w:tcBorders>
              <w:top w:val="nil"/>
              <w:left w:val="nil"/>
              <w:bottom w:val="nil"/>
              <w:right w:val="nil"/>
            </w:tcBorders>
            <w:shd w:val="clear" w:color="auto" w:fill="auto"/>
            <w:noWrap/>
            <w:vAlign w:val="bottom"/>
            <w:hideMark/>
          </w:tcPr>
          <w:p w14:paraId="612AF42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689</w:t>
            </w:r>
          </w:p>
        </w:tc>
        <w:tc>
          <w:tcPr>
            <w:tcW w:w="372" w:type="pct"/>
            <w:tcBorders>
              <w:top w:val="nil"/>
              <w:left w:val="nil"/>
              <w:bottom w:val="nil"/>
              <w:right w:val="nil"/>
            </w:tcBorders>
            <w:shd w:val="clear" w:color="auto" w:fill="auto"/>
            <w:noWrap/>
            <w:vAlign w:val="bottom"/>
            <w:hideMark/>
          </w:tcPr>
          <w:p w14:paraId="47E4DA4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839</w:t>
            </w:r>
          </w:p>
        </w:tc>
        <w:tc>
          <w:tcPr>
            <w:tcW w:w="372" w:type="pct"/>
            <w:tcBorders>
              <w:top w:val="nil"/>
              <w:left w:val="nil"/>
              <w:bottom w:val="nil"/>
              <w:right w:val="nil"/>
            </w:tcBorders>
            <w:shd w:val="clear" w:color="auto" w:fill="auto"/>
            <w:noWrap/>
            <w:vAlign w:val="bottom"/>
            <w:hideMark/>
          </w:tcPr>
          <w:p w14:paraId="319791E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839</w:t>
            </w:r>
          </w:p>
        </w:tc>
        <w:tc>
          <w:tcPr>
            <w:tcW w:w="372" w:type="pct"/>
            <w:tcBorders>
              <w:top w:val="nil"/>
              <w:left w:val="nil"/>
              <w:bottom w:val="nil"/>
              <w:right w:val="nil"/>
            </w:tcBorders>
            <w:shd w:val="clear" w:color="auto" w:fill="auto"/>
            <w:noWrap/>
            <w:vAlign w:val="bottom"/>
            <w:hideMark/>
          </w:tcPr>
          <w:p w14:paraId="1EC5A4F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839</w:t>
            </w:r>
          </w:p>
        </w:tc>
      </w:tr>
      <w:tr w:rsidR="00DD531B" w:rsidRPr="00DD531B" w14:paraId="1EC365EB" w14:textId="77777777" w:rsidTr="001F24AE">
        <w:trPr>
          <w:trHeight w:val="300"/>
        </w:trPr>
        <w:tc>
          <w:tcPr>
            <w:tcW w:w="2349" w:type="pct"/>
            <w:tcBorders>
              <w:top w:val="nil"/>
              <w:left w:val="nil"/>
              <w:bottom w:val="nil"/>
              <w:right w:val="nil"/>
            </w:tcBorders>
            <w:shd w:val="clear" w:color="auto" w:fill="auto"/>
            <w:noWrap/>
            <w:vAlign w:val="bottom"/>
            <w:hideMark/>
          </w:tcPr>
          <w:p w14:paraId="4A1D5E1E"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630 tovary a služby</w:t>
            </w:r>
          </w:p>
        </w:tc>
        <w:tc>
          <w:tcPr>
            <w:tcW w:w="360" w:type="pct"/>
            <w:tcBorders>
              <w:top w:val="nil"/>
              <w:left w:val="nil"/>
              <w:bottom w:val="nil"/>
              <w:right w:val="nil"/>
            </w:tcBorders>
            <w:shd w:val="clear" w:color="auto" w:fill="auto"/>
            <w:noWrap/>
            <w:vAlign w:val="bottom"/>
            <w:hideMark/>
          </w:tcPr>
          <w:p w14:paraId="63B08E5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585</w:t>
            </w:r>
          </w:p>
        </w:tc>
        <w:tc>
          <w:tcPr>
            <w:tcW w:w="360" w:type="pct"/>
            <w:tcBorders>
              <w:top w:val="nil"/>
              <w:left w:val="nil"/>
              <w:bottom w:val="nil"/>
              <w:right w:val="nil"/>
            </w:tcBorders>
            <w:shd w:val="clear" w:color="auto" w:fill="auto"/>
            <w:noWrap/>
            <w:vAlign w:val="bottom"/>
            <w:hideMark/>
          </w:tcPr>
          <w:p w14:paraId="0750CF7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567</w:t>
            </w:r>
          </w:p>
        </w:tc>
        <w:tc>
          <w:tcPr>
            <w:tcW w:w="372" w:type="pct"/>
            <w:tcBorders>
              <w:top w:val="nil"/>
              <w:left w:val="nil"/>
              <w:bottom w:val="nil"/>
              <w:right w:val="nil"/>
            </w:tcBorders>
            <w:shd w:val="clear" w:color="auto" w:fill="auto"/>
            <w:noWrap/>
            <w:vAlign w:val="bottom"/>
            <w:hideMark/>
          </w:tcPr>
          <w:p w14:paraId="4232A18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677</w:t>
            </w:r>
          </w:p>
        </w:tc>
        <w:tc>
          <w:tcPr>
            <w:tcW w:w="442" w:type="pct"/>
            <w:tcBorders>
              <w:top w:val="nil"/>
              <w:left w:val="nil"/>
              <w:bottom w:val="nil"/>
              <w:right w:val="nil"/>
            </w:tcBorders>
            <w:shd w:val="clear" w:color="auto" w:fill="auto"/>
            <w:noWrap/>
            <w:vAlign w:val="bottom"/>
            <w:hideMark/>
          </w:tcPr>
          <w:p w14:paraId="2B6B877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657</w:t>
            </w:r>
          </w:p>
        </w:tc>
        <w:tc>
          <w:tcPr>
            <w:tcW w:w="372" w:type="pct"/>
            <w:tcBorders>
              <w:top w:val="nil"/>
              <w:left w:val="nil"/>
              <w:bottom w:val="nil"/>
              <w:right w:val="nil"/>
            </w:tcBorders>
            <w:shd w:val="clear" w:color="auto" w:fill="auto"/>
            <w:noWrap/>
            <w:vAlign w:val="bottom"/>
            <w:hideMark/>
          </w:tcPr>
          <w:p w14:paraId="5738CEC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843</w:t>
            </w:r>
          </w:p>
        </w:tc>
        <w:tc>
          <w:tcPr>
            <w:tcW w:w="372" w:type="pct"/>
            <w:tcBorders>
              <w:top w:val="nil"/>
              <w:left w:val="nil"/>
              <w:bottom w:val="nil"/>
              <w:right w:val="nil"/>
            </w:tcBorders>
            <w:shd w:val="clear" w:color="auto" w:fill="auto"/>
            <w:noWrap/>
            <w:vAlign w:val="bottom"/>
            <w:hideMark/>
          </w:tcPr>
          <w:p w14:paraId="3960728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754</w:t>
            </w:r>
          </w:p>
        </w:tc>
        <w:tc>
          <w:tcPr>
            <w:tcW w:w="372" w:type="pct"/>
            <w:tcBorders>
              <w:top w:val="nil"/>
              <w:left w:val="nil"/>
              <w:bottom w:val="nil"/>
              <w:right w:val="nil"/>
            </w:tcBorders>
            <w:shd w:val="clear" w:color="auto" w:fill="auto"/>
            <w:noWrap/>
            <w:vAlign w:val="bottom"/>
            <w:hideMark/>
          </w:tcPr>
          <w:p w14:paraId="441618D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754</w:t>
            </w:r>
          </w:p>
        </w:tc>
      </w:tr>
      <w:tr w:rsidR="00DD531B" w:rsidRPr="00DD531B" w14:paraId="794E512A" w14:textId="77777777" w:rsidTr="001F24AE">
        <w:trPr>
          <w:trHeight w:val="300"/>
        </w:trPr>
        <w:tc>
          <w:tcPr>
            <w:tcW w:w="2349" w:type="pct"/>
            <w:tcBorders>
              <w:top w:val="nil"/>
              <w:left w:val="nil"/>
              <w:bottom w:val="nil"/>
              <w:right w:val="nil"/>
            </w:tcBorders>
            <w:shd w:val="clear" w:color="auto" w:fill="auto"/>
            <w:noWrap/>
            <w:vAlign w:val="bottom"/>
            <w:hideMark/>
          </w:tcPr>
          <w:p w14:paraId="4929A73C"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640 bežné transfery</w:t>
            </w:r>
          </w:p>
        </w:tc>
        <w:tc>
          <w:tcPr>
            <w:tcW w:w="360" w:type="pct"/>
            <w:tcBorders>
              <w:top w:val="nil"/>
              <w:left w:val="nil"/>
              <w:bottom w:val="nil"/>
              <w:right w:val="nil"/>
            </w:tcBorders>
            <w:shd w:val="clear" w:color="auto" w:fill="auto"/>
            <w:noWrap/>
            <w:vAlign w:val="bottom"/>
            <w:hideMark/>
          </w:tcPr>
          <w:p w14:paraId="5E0191D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12</w:t>
            </w:r>
          </w:p>
        </w:tc>
        <w:tc>
          <w:tcPr>
            <w:tcW w:w="360" w:type="pct"/>
            <w:tcBorders>
              <w:top w:val="nil"/>
              <w:left w:val="nil"/>
              <w:bottom w:val="nil"/>
              <w:right w:val="nil"/>
            </w:tcBorders>
            <w:shd w:val="clear" w:color="auto" w:fill="auto"/>
            <w:noWrap/>
            <w:vAlign w:val="bottom"/>
            <w:hideMark/>
          </w:tcPr>
          <w:p w14:paraId="7D44FEA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65</w:t>
            </w:r>
          </w:p>
        </w:tc>
        <w:tc>
          <w:tcPr>
            <w:tcW w:w="372" w:type="pct"/>
            <w:tcBorders>
              <w:top w:val="nil"/>
              <w:left w:val="nil"/>
              <w:bottom w:val="nil"/>
              <w:right w:val="nil"/>
            </w:tcBorders>
            <w:shd w:val="clear" w:color="auto" w:fill="auto"/>
            <w:noWrap/>
            <w:vAlign w:val="bottom"/>
            <w:hideMark/>
          </w:tcPr>
          <w:p w14:paraId="5AE96DA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26</w:t>
            </w:r>
          </w:p>
        </w:tc>
        <w:tc>
          <w:tcPr>
            <w:tcW w:w="442" w:type="pct"/>
            <w:tcBorders>
              <w:top w:val="nil"/>
              <w:left w:val="nil"/>
              <w:bottom w:val="nil"/>
              <w:right w:val="nil"/>
            </w:tcBorders>
            <w:shd w:val="clear" w:color="auto" w:fill="auto"/>
            <w:noWrap/>
            <w:vAlign w:val="bottom"/>
            <w:hideMark/>
          </w:tcPr>
          <w:p w14:paraId="4820B9F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162</w:t>
            </w:r>
          </w:p>
        </w:tc>
        <w:tc>
          <w:tcPr>
            <w:tcW w:w="372" w:type="pct"/>
            <w:tcBorders>
              <w:top w:val="nil"/>
              <w:left w:val="nil"/>
              <w:bottom w:val="nil"/>
              <w:right w:val="nil"/>
            </w:tcBorders>
            <w:shd w:val="clear" w:color="auto" w:fill="auto"/>
            <w:noWrap/>
            <w:vAlign w:val="bottom"/>
            <w:hideMark/>
          </w:tcPr>
          <w:p w14:paraId="2A8A52AE"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26</w:t>
            </w:r>
          </w:p>
        </w:tc>
        <w:tc>
          <w:tcPr>
            <w:tcW w:w="372" w:type="pct"/>
            <w:tcBorders>
              <w:top w:val="nil"/>
              <w:left w:val="nil"/>
              <w:bottom w:val="nil"/>
              <w:right w:val="nil"/>
            </w:tcBorders>
            <w:shd w:val="clear" w:color="auto" w:fill="auto"/>
            <w:noWrap/>
            <w:vAlign w:val="bottom"/>
            <w:hideMark/>
          </w:tcPr>
          <w:p w14:paraId="1792A7E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26</w:t>
            </w:r>
          </w:p>
        </w:tc>
        <w:tc>
          <w:tcPr>
            <w:tcW w:w="372" w:type="pct"/>
            <w:tcBorders>
              <w:top w:val="nil"/>
              <w:left w:val="nil"/>
              <w:bottom w:val="nil"/>
              <w:right w:val="nil"/>
            </w:tcBorders>
            <w:shd w:val="clear" w:color="auto" w:fill="auto"/>
            <w:noWrap/>
            <w:vAlign w:val="bottom"/>
            <w:hideMark/>
          </w:tcPr>
          <w:p w14:paraId="7040998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26</w:t>
            </w:r>
          </w:p>
        </w:tc>
      </w:tr>
      <w:tr w:rsidR="00DD531B" w:rsidRPr="00DD531B" w14:paraId="29A9E954" w14:textId="77777777" w:rsidTr="001F24AE">
        <w:trPr>
          <w:trHeight w:val="300"/>
        </w:trPr>
        <w:tc>
          <w:tcPr>
            <w:tcW w:w="2349" w:type="pct"/>
            <w:tcBorders>
              <w:top w:val="nil"/>
              <w:left w:val="nil"/>
              <w:bottom w:val="nil"/>
              <w:right w:val="nil"/>
            </w:tcBorders>
            <w:shd w:val="clear" w:color="auto" w:fill="auto"/>
            <w:noWrap/>
            <w:vAlign w:val="bottom"/>
            <w:hideMark/>
          </w:tcPr>
          <w:p w14:paraId="4C8CADF8"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kapitálové výdavky 700</w:t>
            </w:r>
          </w:p>
        </w:tc>
        <w:tc>
          <w:tcPr>
            <w:tcW w:w="360" w:type="pct"/>
            <w:tcBorders>
              <w:top w:val="nil"/>
              <w:left w:val="nil"/>
              <w:bottom w:val="nil"/>
              <w:right w:val="nil"/>
            </w:tcBorders>
            <w:shd w:val="clear" w:color="auto" w:fill="auto"/>
            <w:noWrap/>
            <w:vAlign w:val="bottom"/>
            <w:hideMark/>
          </w:tcPr>
          <w:p w14:paraId="4BFAEAB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13</w:t>
            </w:r>
          </w:p>
        </w:tc>
        <w:tc>
          <w:tcPr>
            <w:tcW w:w="360" w:type="pct"/>
            <w:tcBorders>
              <w:top w:val="nil"/>
              <w:left w:val="nil"/>
              <w:bottom w:val="nil"/>
              <w:right w:val="nil"/>
            </w:tcBorders>
            <w:shd w:val="clear" w:color="auto" w:fill="auto"/>
            <w:noWrap/>
            <w:vAlign w:val="bottom"/>
            <w:hideMark/>
          </w:tcPr>
          <w:p w14:paraId="740B76B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23</w:t>
            </w:r>
          </w:p>
        </w:tc>
        <w:tc>
          <w:tcPr>
            <w:tcW w:w="372" w:type="pct"/>
            <w:tcBorders>
              <w:top w:val="nil"/>
              <w:left w:val="nil"/>
              <w:bottom w:val="nil"/>
              <w:right w:val="nil"/>
            </w:tcBorders>
            <w:shd w:val="clear" w:color="auto" w:fill="auto"/>
            <w:noWrap/>
            <w:vAlign w:val="bottom"/>
            <w:hideMark/>
          </w:tcPr>
          <w:p w14:paraId="76D5936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25</w:t>
            </w:r>
          </w:p>
        </w:tc>
        <w:tc>
          <w:tcPr>
            <w:tcW w:w="442" w:type="pct"/>
            <w:tcBorders>
              <w:top w:val="nil"/>
              <w:left w:val="nil"/>
              <w:bottom w:val="nil"/>
              <w:right w:val="nil"/>
            </w:tcBorders>
            <w:shd w:val="clear" w:color="auto" w:fill="auto"/>
            <w:noWrap/>
            <w:vAlign w:val="bottom"/>
            <w:hideMark/>
          </w:tcPr>
          <w:p w14:paraId="7A84E9A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22</w:t>
            </w:r>
          </w:p>
        </w:tc>
        <w:tc>
          <w:tcPr>
            <w:tcW w:w="372" w:type="pct"/>
            <w:tcBorders>
              <w:top w:val="nil"/>
              <w:left w:val="nil"/>
              <w:bottom w:val="nil"/>
              <w:right w:val="nil"/>
            </w:tcBorders>
            <w:shd w:val="clear" w:color="auto" w:fill="auto"/>
            <w:noWrap/>
            <w:vAlign w:val="bottom"/>
            <w:hideMark/>
          </w:tcPr>
          <w:p w14:paraId="580482A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30</w:t>
            </w:r>
          </w:p>
        </w:tc>
        <w:tc>
          <w:tcPr>
            <w:tcW w:w="372" w:type="pct"/>
            <w:tcBorders>
              <w:top w:val="nil"/>
              <w:left w:val="nil"/>
              <w:bottom w:val="nil"/>
              <w:right w:val="nil"/>
            </w:tcBorders>
            <w:shd w:val="clear" w:color="auto" w:fill="auto"/>
            <w:noWrap/>
            <w:vAlign w:val="bottom"/>
            <w:hideMark/>
          </w:tcPr>
          <w:p w14:paraId="401562E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53</w:t>
            </w:r>
          </w:p>
        </w:tc>
        <w:tc>
          <w:tcPr>
            <w:tcW w:w="372" w:type="pct"/>
            <w:tcBorders>
              <w:top w:val="nil"/>
              <w:left w:val="nil"/>
              <w:bottom w:val="nil"/>
              <w:right w:val="nil"/>
            </w:tcBorders>
            <w:shd w:val="clear" w:color="auto" w:fill="auto"/>
            <w:noWrap/>
            <w:vAlign w:val="bottom"/>
            <w:hideMark/>
          </w:tcPr>
          <w:p w14:paraId="0F7F81F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45</w:t>
            </w:r>
          </w:p>
        </w:tc>
      </w:tr>
      <w:tr w:rsidR="00DD531B" w:rsidRPr="00DD531B" w14:paraId="236526A6" w14:textId="77777777" w:rsidTr="001F24AE">
        <w:trPr>
          <w:trHeight w:val="300"/>
        </w:trPr>
        <w:tc>
          <w:tcPr>
            <w:tcW w:w="2349" w:type="pct"/>
            <w:tcBorders>
              <w:top w:val="nil"/>
              <w:left w:val="nil"/>
              <w:bottom w:val="nil"/>
              <w:right w:val="nil"/>
            </w:tcBorders>
            <w:shd w:val="clear" w:color="auto" w:fill="auto"/>
            <w:noWrap/>
            <w:vAlign w:val="bottom"/>
            <w:hideMark/>
          </w:tcPr>
          <w:p w14:paraId="7668F402"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zdroj EÚ vrátane spolufinancovania zo ŠR, v tom:</w:t>
            </w:r>
          </w:p>
        </w:tc>
        <w:tc>
          <w:tcPr>
            <w:tcW w:w="360" w:type="pct"/>
            <w:tcBorders>
              <w:top w:val="nil"/>
              <w:left w:val="nil"/>
              <w:bottom w:val="nil"/>
              <w:right w:val="nil"/>
            </w:tcBorders>
            <w:shd w:val="clear" w:color="auto" w:fill="auto"/>
            <w:noWrap/>
            <w:vAlign w:val="bottom"/>
            <w:hideMark/>
          </w:tcPr>
          <w:p w14:paraId="3365EF48"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194</w:t>
            </w:r>
          </w:p>
        </w:tc>
        <w:tc>
          <w:tcPr>
            <w:tcW w:w="360" w:type="pct"/>
            <w:tcBorders>
              <w:top w:val="nil"/>
              <w:left w:val="nil"/>
              <w:bottom w:val="nil"/>
              <w:right w:val="nil"/>
            </w:tcBorders>
            <w:shd w:val="clear" w:color="auto" w:fill="auto"/>
            <w:noWrap/>
            <w:vAlign w:val="bottom"/>
            <w:hideMark/>
          </w:tcPr>
          <w:p w14:paraId="68996F0D"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173</w:t>
            </w:r>
          </w:p>
        </w:tc>
        <w:tc>
          <w:tcPr>
            <w:tcW w:w="372" w:type="pct"/>
            <w:tcBorders>
              <w:top w:val="nil"/>
              <w:left w:val="nil"/>
              <w:bottom w:val="nil"/>
              <w:right w:val="nil"/>
            </w:tcBorders>
            <w:shd w:val="clear" w:color="auto" w:fill="auto"/>
            <w:noWrap/>
            <w:vAlign w:val="bottom"/>
            <w:hideMark/>
          </w:tcPr>
          <w:p w14:paraId="61463404"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442" w:type="pct"/>
            <w:tcBorders>
              <w:top w:val="nil"/>
              <w:left w:val="nil"/>
              <w:bottom w:val="nil"/>
              <w:right w:val="nil"/>
            </w:tcBorders>
            <w:shd w:val="clear" w:color="auto" w:fill="auto"/>
            <w:noWrap/>
            <w:vAlign w:val="bottom"/>
            <w:hideMark/>
          </w:tcPr>
          <w:p w14:paraId="5D4665AD"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w:t>
            </w:r>
          </w:p>
        </w:tc>
        <w:tc>
          <w:tcPr>
            <w:tcW w:w="372" w:type="pct"/>
            <w:tcBorders>
              <w:top w:val="nil"/>
              <w:left w:val="nil"/>
              <w:bottom w:val="nil"/>
              <w:right w:val="nil"/>
            </w:tcBorders>
            <w:shd w:val="clear" w:color="auto" w:fill="auto"/>
            <w:noWrap/>
            <w:vAlign w:val="bottom"/>
            <w:hideMark/>
          </w:tcPr>
          <w:p w14:paraId="70B79116"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4D45E0C4"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0CCCAF13"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r>
      <w:tr w:rsidR="00DD531B" w:rsidRPr="00DD531B" w14:paraId="0BC989AB" w14:textId="77777777" w:rsidTr="001F24AE">
        <w:trPr>
          <w:trHeight w:val="300"/>
        </w:trPr>
        <w:tc>
          <w:tcPr>
            <w:tcW w:w="2349" w:type="pct"/>
            <w:tcBorders>
              <w:top w:val="nil"/>
              <w:left w:val="nil"/>
              <w:bottom w:val="nil"/>
              <w:right w:val="nil"/>
            </w:tcBorders>
            <w:shd w:val="clear" w:color="auto" w:fill="auto"/>
            <w:noWrap/>
            <w:vAlign w:val="bottom"/>
            <w:hideMark/>
          </w:tcPr>
          <w:p w14:paraId="7A88715D"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prostriedky EÚ</w:t>
            </w:r>
          </w:p>
        </w:tc>
        <w:tc>
          <w:tcPr>
            <w:tcW w:w="360" w:type="pct"/>
            <w:tcBorders>
              <w:top w:val="nil"/>
              <w:left w:val="nil"/>
              <w:bottom w:val="nil"/>
              <w:right w:val="nil"/>
            </w:tcBorders>
            <w:shd w:val="clear" w:color="auto" w:fill="auto"/>
            <w:noWrap/>
            <w:vAlign w:val="bottom"/>
            <w:hideMark/>
          </w:tcPr>
          <w:p w14:paraId="5F71EC6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159</w:t>
            </w:r>
          </w:p>
        </w:tc>
        <w:tc>
          <w:tcPr>
            <w:tcW w:w="360" w:type="pct"/>
            <w:tcBorders>
              <w:top w:val="nil"/>
              <w:left w:val="nil"/>
              <w:bottom w:val="nil"/>
              <w:right w:val="nil"/>
            </w:tcBorders>
            <w:shd w:val="clear" w:color="auto" w:fill="auto"/>
            <w:noWrap/>
            <w:vAlign w:val="bottom"/>
            <w:hideMark/>
          </w:tcPr>
          <w:p w14:paraId="3088045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142</w:t>
            </w:r>
          </w:p>
        </w:tc>
        <w:tc>
          <w:tcPr>
            <w:tcW w:w="372" w:type="pct"/>
            <w:tcBorders>
              <w:top w:val="nil"/>
              <w:left w:val="nil"/>
              <w:bottom w:val="nil"/>
              <w:right w:val="nil"/>
            </w:tcBorders>
            <w:shd w:val="clear" w:color="auto" w:fill="auto"/>
            <w:noWrap/>
            <w:vAlign w:val="bottom"/>
            <w:hideMark/>
          </w:tcPr>
          <w:p w14:paraId="6D1A4E6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42" w:type="pct"/>
            <w:tcBorders>
              <w:top w:val="nil"/>
              <w:left w:val="nil"/>
              <w:bottom w:val="nil"/>
              <w:right w:val="nil"/>
            </w:tcBorders>
            <w:shd w:val="clear" w:color="auto" w:fill="auto"/>
            <w:noWrap/>
            <w:vAlign w:val="bottom"/>
            <w:hideMark/>
          </w:tcPr>
          <w:p w14:paraId="253F6B8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w:t>
            </w:r>
          </w:p>
        </w:tc>
        <w:tc>
          <w:tcPr>
            <w:tcW w:w="372" w:type="pct"/>
            <w:tcBorders>
              <w:top w:val="nil"/>
              <w:left w:val="nil"/>
              <w:bottom w:val="nil"/>
              <w:right w:val="nil"/>
            </w:tcBorders>
            <w:shd w:val="clear" w:color="auto" w:fill="auto"/>
            <w:noWrap/>
            <w:vAlign w:val="bottom"/>
            <w:hideMark/>
          </w:tcPr>
          <w:p w14:paraId="0D0C582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2D9FC38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651C5A8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r w:rsidR="00DD531B" w:rsidRPr="00DD531B" w14:paraId="0B25BD6B" w14:textId="77777777" w:rsidTr="001F24AE">
        <w:trPr>
          <w:trHeight w:val="300"/>
        </w:trPr>
        <w:tc>
          <w:tcPr>
            <w:tcW w:w="2349" w:type="pct"/>
            <w:tcBorders>
              <w:top w:val="nil"/>
              <w:left w:val="nil"/>
              <w:bottom w:val="nil"/>
              <w:right w:val="nil"/>
            </w:tcBorders>
            <w:shd w:val="clear" w:color="auto" w:fill="auto"/>
            <w:noWrap/>
            <w:vAlign w:val="bottom"/>
            <w:hideMark/>
          </w:tcPr>
          <w:p w14:paraId="4DB3276F"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spolufinancovanie zo ŠR</w:t>
            </w:r>
          </w:p>
        </w:tc>
        <w:tc>
          <w:tcPr>
            <w:tcW w:w="360" w:type="pct"/>
            <w:tcBorders>
              <w:top w:val="nil"/>
              <w:left w:val="nil"/>
              <w:bottom w:val="nil"/>
              <w:right w:val="nil"/>
            </w:tcBorders>
            <w:shd w:val="clear" w:color="auto" w:fill="auto"/>
            <w:noWrap/>
            <w:vAlign w:val="bottom"/>
            <w:hideMark/>
          </w:tcPr>
          <w:p w14:paraId="6CFC9DA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34</w:t>
            </w:r>
          </w:p>
        </w:tc>
        <w:tc>
          <w:tcPr>
            <w:tcW w:w="360" w:type="pct"/>
            <w:tcBorders>
              <w:top w:val="nil"/>
              <w:left w:val="nil"/>
              <w:bottom w:val="nil"/>
              <w:right w:val="nil"/>
            </w:tcBorders>
            <w:shd w:val="clear" w:color="auto" w:fill="auto"/>
            <w:noWrap/>
            <w:vAlign w:val="bottom"/>
            <w:hideMark/>
          </w:tcPr>
          <w:p w14:paraId="3238B85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31</w:t>
            </w:r>
          </w:p>
        </w:tc>
        <w:tc>
          <w:tcPr>
            <w:tcW w:w="372" w:type="pct"/>
            <w:tcBorders>
              <w:top w:val="nil"/>
              <w:left w:val="nil"/>
              <w:bottom w:val="nil"/>
              <w:right w:val="nil"/>
            </w:tcBorders>
            <w:shd w:val="clear" w:color="auto" w:fill="auto"/>
            <w:noWrap/>
            <w:vAlign w:val="bottom"/>
            <w:hideMark/>
          </w:tcPr>
          <w:p w14:paraId="450546D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42" w:type="pct"/>
            <w:tcBorders>
              <w:top w:val="nil"/>
              <w:left w:val="nil"/>
              <w:bottom w:val="nil"/>
              <w:right w:val="nil"/>
            </w:tcBorders>
            <w:shd w:val="clear" w:color="auto" w:fill="auto"/>
            <w:noWrap/>
            <w:vAlign w:val="bottom"/>
            <w:hideMark/>
          </w:tcPr>
          <w:p w14:paraId="767A658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5096400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2F22AE0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607BDEF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r w:rsidR="00DD531B" w:rsidRPr="00DD531B" w14:paraId="5F28E1FB" w14:textId="77777777" w:rsidTr="001F24AE">
        <w:trPr>
          <w:trHeight w:val="300"/>
        </w:trPr>
        <w:tc>
          <w:tcPr>
            <w:tcW w:w="2349" w:type="pct"/>
            <w:tcBorders>
              <w:top w:val="nil"/>
              <w:left w:val="nil"/>
              <w:bottom w:val="nil"/>
              <w:right w:val="nil"/>
            </w:tcBorders>
            <w:shd w:val="clear" w:color="auto" w:fill="auto"/>
            <w:noWrap/>
            <w:vAlign w:val="bottom"/>
            <w:hideMark/>
          </w:tcPr>
          <w:p w14:paraId="41E065DF" w14:textId="77777777" w:rsidR="00DD531B" w:rsidRPr="00170734" w:rsidRDefault="00DD531B" w:rsidP="00DD531B">
            <w:pPr>
              <w:spacing w:after="0" w:line="240" w:lineRule="auto"/>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presun z minulých rokov § 8, v tom:</w:t>
            </w:r>
          </w:p>
        </w:tc>
        <w:tc>
          <w:tcPr>
            <w:tcW w:w="360" w:type="pct"/>
            <w:tcBorders>
              <w:top w:val="nil"/>
              <w:left w:val="nil"/>
              <w:bottom w:val="nil"/>
              <w:right w:val="nil"/>
            </w:tcBorders>
            <w:shd w:val="clear" w:color="auto" w:fill="auto"/>
            <w:noWrap/>
            <w:vAlign w:val="bottom"/>
            <w:hideMark/>
          </w:tcPr>
          <w:p w14:paraId="58B0F819"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177</w:t>
            </w:r>
          </w:p>
        </w:tc>
        <w:tc>
          <w:tcPr>
            <w:tcW w:w="360" w:type="pct"/>
            <w:tcBorders>
              <w:top w:val="nil"/>
              <w:left w:val="nil"/>
              <w:bottom w:val="nil"/>
              <w:right w:val="nil"/>
            </w:tcBorders>
            <w:shd w:val="clear" w:color="auto" w:fill="auto"/>
            <w:noWrap/>
            <w:vAlign w:val="bottom"/>
            <w:hideMark/>
          </w:tcPr>
          <w:p w14:paraId="182AB9FD"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206</w:t>
            </w:r>
          </w:p>
        </w:tc>
        <w:tc>
          <w:tcPr>
            <w:tcW w:w="372" w:type="pct"/>
            <w:tcBorders>
              <w:top w:val="nil"/>
              <w:left w:val="nil"/>
              <w:bottom w:val="nil"/>
              <w:right w:val="nil"/>
            </w:tcBorders>
            <w:shd w:val="clear" w:color="auto" w:fill="auto"/>
            <w:noWrap/>
            <w:vAlign w:val="bottom"/>
            <w:hideMark/>
          </w:tcPr>
          <w:p w14:paraId="3A2DEFC2"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442" w:type="pct"/>
            <w:tcBorders>
              <w:top w:val="nil"/>
              <w:left w:val="nil"/>
              <w:bottom w:val="nil"/>
              <w:right w:val="nil"/>
            </w:tcBorders>
            <w:shd w:val="clear" w:color="auto" w:fill="auto"/>
            <w:noWrap/>
            <w:vAlign w:val="bottom"/>
            <w:hideMark/>
          </w:tcPr>
          <w:p w14:paraId="0F53BEF2"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140</w:t>
            </w:r>
          </w:p>
        </w:tc>
        <w:tc>
          <w:tcPr>
            <w:tcW w:w="372" w:type="pct"/>
            <w:tcBorders>
              <w:top w:val="nil"/>
              <w:left w:val="nil"/>
              <w:bottom w:val="nil"/>
              <w:right w:val="nil"/>
            </w:tcBorders>
            <w:shd w:val="clear" w:color="auto" w:fill="auto"/>
            <w:noWrap/>
            <w:vAlign w:val="bottom"/>
            <w:hideMark/>
          </w:tcPr>
          <w:p w14:paraId="1AD0F8BF"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5DE37F04"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7B8CAF2A"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r>
      <w:tr w:rsidR="00DD531B" w:rsidRPr="00DD531B" w14:paraId="395F0DE3" w14:textId="77777777" w:rsidTr="001F24AE">
        <w:trPr>
          <w:trHeight w:val="300"/>
        </w:trPr>
        <w:tc>
          <w:tcPr>
            <w:tcW w:w="2349" w:type="pct"/>
            <w:tcBorders>
              <w:top w:val="nil"/>
              <w:left w:val="nil"/>
              <w:bottom w:val="nil"/>
              <w:right w:val="nil"/>
            </w:tcBorders>
            <w:shd w:val="clear" w:color="auto" w:fill="auto"/>
            <w:noWrap/>
            <w:vAlign w:val="bottom"/>
            <w:hideMark/>
          </w:tcPr>
          <w:p w14:paraId="3E72409C"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štátny rozpočet</w:t>
            </w:r>
          </w:p>
        </w:tc>
        <w:tc>
          <w:tcPr>
            <w:tcW w:w="360" w:type="pct"/>
            <w:tcBorders>
              <w:top w:val="nil"/>
              <w:left w:val="nil"/>
              <w:bottom w:val="nil"/>
              <w:right w:val="nil"/>
            </w:tcBorders>
            <w:shd w:val="clear" w:color="auto" w:fill="auto"/>
            <w:noWrap/>
            <w:vAlign w:val="bottom"/>
            <w:hideMark/>
          </w:tcPr>
          <w:p w14:paraId="4025862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26</w:t>
            </w:r>
          </w:p>
        </w:tc>
        <w:tc>
          <w:tcPr>
            <w:tcW w:w="360" w:type="pct"/>
            <w:tcBorders>
              <w:top w:val="nil"/>
              <w:left w:val="nil"/>
              <w:bottom w:val="nil"/>
              <w:right w:val="nil"/>
            </w:tcBorders>
            <w:shd w:val="clear" w:color="auto" w:fill="auto"/>
            <w:noWrap/>
            <w:vAlign w:val="bottom"/>
            <w:hideMark/>
          </w:tcPr>
          <w:p w14:paraId="7A97513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41</w:t>
            </w:r>
          </w:p>
        </w:tc>
        <w:tc>
          <w:tcPr>
            <w:tcW w:w="372" w:type="pct"/>
            <w:tcBorders>
              <w:top w:val="nil"/>
              <w:left w:val="nil"/>
              <w:bottom w:val="nil"/>
              <w:right w:val="nil"/>
            </w:tcBorders>
            <w:shd w:val="clear" w:color="auto" w:fill="auto"/>
            <w:noWrap/>
            <w:vAlign w:val="bottom"/>
            <w:hideMark/>
          </w:tcPr>
          <w:p w14:paraId="1A1391C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42" w:type="pct"/>
            <w:tcBorders>
              <w:top w:val="nil"/>
              <w:left w:val="nil"/>
              <w:bottom w:val="nil"/>
              <w:right w:val="nil"/>
            </w:tcBorders>
            <w:shd w:val="clear" w:color="auto" w:fill="auto"/>
            <w:noWrap/>
            <w:vAlign w:val="bottom"/>
            <w:hideMark/>
          </w:tcPr>
          <w:p w14:paraId="7BCC879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w:t>
            </w:r>
          </w:p>
        </w:tc>
        <w:tc>
          <w:tcPr>
            <w:tcW w:w="372" w:type="pct"/>
            <w:tcBorders>
              <w:top w:val="nil"/>
              <w:left w:val="nil"/>
              <w:bottom w:val="nil"/>
              <w:right w:val="nil"/>
            </w:tcBorders>
            <w:shd w:val="clear" w:color="auto" w:fill="auto"/>
            <w:noWrap/>
            <w:vAlign w:val="bottom"/>
            <w:hideMark/>
          </w:tcPr>
          <w:p w14:paraId="707A6ED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23FB16E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72AB86C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r w:rsidR="00DD531B" w:rsidRPr="00DD531B" w14:paraId="7B257B61" w14:textId="77777777" w:rsidTr="001F24AE">
        <w:trPr>
          <w:trHeight w:val="300"/>
        </w:trPr>
        <w:tc>
          <w:tcPr>
            <w:tcW w:w="2349" w:type="pct"/>
            <w:tcBorders>
              <w:top w:val="nil"/>
              <w:left w:val="nil"/>
              <w:bottom w:val="single" w:sz="4" w:space="0" w:color="auto"/>
              <w:right w:val="nil"/>
            </w:tcBorders>
            <w:shd w:val="clear" w:color="auto" w:fill="auto"/>
            <w:noWrap/>
            <w:vAlign w:val="bottom"/>
            <w:hideMark/>
          </w:tcPr>
          <w:p w14:paraId="0EA485ED"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prostriedky EÚ a spolufinancovanie zo ŠR</w:t>
            </w:r>
          </w:p>
        </w:tc>
        <w:tc>
          <w:tcPr>
            <w:tcW w:w="360" w:type="pct"/>
            <w:tcBorders>
              <w:top w:val="nil"/>
              <w:left w:val="nil"/>
              <w:bottom w:val="single" w:sz="4" w:space="0" w:color="auto"/>
              <w:right w:val="nil"/>
            </w:tcBorders>
            <w:shd w:val="clear" w:color="auto" w:fill="auto"/>
            <w:noWrap/>
            <w:vAlign w:val="bottom"/>
            <w:hideMark/>
          </w:tcPr>
          <w:p w14:paraId="58B27B0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151</w:t>
            </w:r>
          </w:p>
        </w:tc>
        <w:tc>
          <w:tcPr>
            <w:tcW w:w="360" w:type="pct"/>
            <w:tcBorders>
              <w:top w:val="nil"/>
              <w:left w:val="nil"/>
              <w:bottom w:val="single" w:sz="4" w:space="0" w:color="auto"/>
              <w:right w:val="nil"/>
            </w:tcBorders>
            <w:shd w:val="clear" w:color="auto" w:fill="auto"/>
            <w:noWrap/>
            <w:vAlign w:val="bottom"/>
            <w:hideMark/>
          </w:tcPr>
          <w:p w14:paraId="5225F87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165</w:t>
            </w:r>
          </w:p>
        </w:tc>
        <w:tc>
          <w:tcPr>
            <w:tcW w:w="372" w:type="pct"/>
            <w:tcBorders>
              <w:top w:val="nil"/>
              <w:left w:val="nil"/>
              <w:bottom w:val="single" w:sz="4" w:space="0" w:color="auto"/>
              <w:right w:val="nil"/>
            </w:tcBorders>
            <w:shd w:val="clear" w:color="auto" w:fill="auto"/>
            <w:noWrap/>
            <w:vAlign w:val="bottom"/>
            <w:hideMark/>
          </w:tcPr>
          <w:p w14:paraId="15BA711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42" w:type="pct"/>
            <w:tcBorders>
              <w:top w:val="nil"/>
              <w:left w:val="nil"/>
              <w:bottom w:val="single" w:sz="4" w:space="0" w:color="auto"/>
              <w:right w:val="nil"/>
            </w:tcBorders>
            <w:shd w:val="clear" w:color="auto" w:fill="auto"/>
            <w:noWrap/>
            <w:vAlign w:val="bottom"/>
            <w:hideMark/>
          </w:tcPr>
          <w:p w14:paraId="2C9109C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133</w:t>
            </w:r>
          </w:p>
        </w:tc>
        <w:tc>
          <w:tcPr>
            <w:tcW w:w="372" w:type="pct"/>
            <w:tcBorders>
              <w:top w:val="nil"/>
              <w:left w:val="nil"/>
              <w:bottom w:val="single" w:sz="4" w:space="0" w:color="auto"/>
              <w:right w:val="nil"/>
            </w:tcBorders>
            <w:shd w:val="clear" w:color="auto" w:fill="auto"/>
            <w:noWrap/>
            <w:vAlign w:val="bottom"/>
            <w:hideMark/>
          </w:tcPr>
          <w:p w14:paraId="5330ADE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single" w:sz="4" w:space="0" w:color="auto"/>
              <w:right w:val="nil"/>
            </w:tcBorders>
            <w:shd w:val="clear" w:color="auto" w:fill="auto"/>
            <w:noWrap/>
            <w:vAlign w:val="bottom"/>
            <w:hideMark/>
          </w:tcPr>
          <w:p w14:paraId="0D8D0B0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single" w:sz="4" w:space="0" w:color="auto"/>
              <w:right w:val="nil"/>
            </w:tcBorders>
            <w:shd w:val="clear" w:color="auto" w:fill="auto"/>
            <w:noWrap/>
            <w:vAlign w:val="bottom"/>
            <w:hideMark/>
          </w:tcPr>
          <w:p w14:paraId="76ECF2A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bl>
    <w:p w14:paraId="67FB378A" w14:textId="2C7AC60C" w:rsidR="00DD531B" w:rsidRDefault="00DD531B" w:rsidP="00DD531B">
      <w:pPr>
        <w:rPr>
          <w:rFonts w:ascii="Times New Roman" w:eastAsia="Calibri" w:hAnsi="Times New Roman" w:cs="Times New Roman"/>
        </w:rPr>
      </w:pPr>
    </w:p>
    <w:p w14:paraId="7D0C91B9" w14:textId="75A73C7C" w:rsidR="00170734" w:rsidRDefault="00170734" w:rsidP="00DD531B">
      <w:pPr>
        <w:rPr>
          <w:rFonts w:ascii="Times New Roman" w:eastAsia="Calibri" w:hAnsi="Times New Roman" w:cs="Times New Roman"/>
        </w:rPr>
      </w:pPr>
    </w:p>
    <w:p w14:paraId="2BC84E85" w14:textId="1683DA4B" w:rsidR="00170734" w:rsidRDefault="00170734" w:rsidP="00DD531B">
      <w:pPr>
        <w:rPr>
          <w:rFonts w:ascii="Times New Roman" w:eastAsia="Calibri" w:hAnsi="Times New Roman" w:cs="Times New Roman"/>
        </w:rPr>
      </w:pPr>
    </w:p>
    <w:p w14:paraId="5B5A3C32" w14:textId="30D6AB79" w:rsidR="00170734" w:rsidRDefault="00170734" w:rsidP="00DD531B">
      <w:pPr>
        <w:rPr>
          <w:rFonts w:ascii="Times New Roman" w:eastAsia="Calibri" w:hAnsi="Times New Roman" w:cs="Times New Roman"/>
        </w:rPr>
      </w:pPr>
    </w:p>
    <w:p w14:paraId="367D1A7F" w14:textId="3BA63D38" w:rsidR="00170734" w:rsidRDefault="00170734" w:rsidP="00DD531B">
      <w:pPr>
        <w:rPr>
          <w:rFonts w:ascii="Times New Roman" w:eastAsia="Calibri" w:hAnsi="Times New Roman" w:cs="Times New Roman"/>
        </w:rPr>
      </w:pPr>
    </w:p>
    <w:p w14:paraId="738754C9" w14:textId="32E74500" w:rsidR="00170734" w:rsidRDefault="00170734" w:rsidP="00DD531B">
      <w:pPr>
        <w:rPr>
          <w:rFonts w:ascii="Times New Roman" w:eastAsia="Calibri" w:hAnsi="Times New Roman" w:cs="Times New Roman"/>
        </w:rPr>
      </w:pPr>
    </w:p>
    <w:p w14:paraId="6D4ECFCA" w14:textId="53EAED0D" w:rsidR="00170734" w:rsidRDefault="00170734" w:rsidP="00DD531B">
      <w:pPr>
        <w:rPr>
          <w:rFonts w:ascii="Times New Roman" w:eastAsia="Calibri" w:hAnsi="Times New Roman" w:cs="Times New Roman"/>
        </w:rPr>
      </w:pPr>
    </w:p>
    <w:p w14:paraId="7694E602" w14:textId="2D238608" w:rsidR="00170734" w:rsidRDefault="00170734" w:rsidP="00DD531B">
      <w:pPr>
        <w:rPr>
          <w:rFonts w:ascii="Times New Roman" w:eastAsia="Calibri" w:hAnsi="Times New Roman" w:cs="Times New Roman"/>
        </w:rPr>
      </w:pPr>
    </w:p>
    <w:p w14:paraId="46D9BB6B" w14:textId="55500C4C" w:rsidR="00170734" w:rsidRDefault="00170734" w:rsidP="00DD531B">
      <w:pPr>
        <w:rPr>
          <w:rFonts w:ascii="Times New Roman" w:eastAsia="Calibri" w:hAnsi="Times New Roman" w:cs="Times New Roman"/>
        </w:rPr>
      </w:pPr>
    </w:p>
    <w:p w14:paraId="7AF4A5E2" w14:textId="18621B7A" w:rsidR="00170734" w:rsidRDefault="00170734" w:rsidP="00DD531B">
      <w:pPr>
        <w:rPr>
          <w:rFonts w:ascii="Times New Roman" w:eastAsia="Calibri" w:hAnsi="Times New Roman" w:cs="Times New Roman"/>
        </w:rPr>
      </w:pPr>
    </w:p>
    <w:p w14:paraId="06C4C9FA" w14:textId="030FA97B" w:rsidR="00170734" w:rsidRDefault="00170734" w:rsidP="00DD531B">
      <w:pPr>
        <w:rPr>
          <w:rFonts w:ascii="Times New Roman" w:eastAsia="Calibri" w:hAnsi="Times New Roman" w:cs="Times New Roman"/>
        </w:rPr>
      </w:pPr>
    </w:p>
    <w:p w14:paraId="0AE5758E" w14:textId="308FC4C1" w:rsidR="00170734" w:rsidRDefault="00170734" w:rsidP="00DD531B">
      <w:pPr>
        <w:rPr>
          <w:rFonts w:ascii="Times New Roman" w:eastAsia="Calibri" w:hAnsi="Times New Roman" w:cs="Times New Roman"/>
        </w:rPr>
      </w:pPr>
    </w:p>
    <w:p w14:paraId="167BFD7A" w14:textId="2F25B470" w:rsidR="00170734" w:rsidRDefault="00170734" w:rsidP="00DD531B">
      <w:pPr>
        <w:rPr>
          <w:rFonts w:ascii="Times New Roman" w:eastAsia="Calibri" w:hAnsi="Times New Roman" w:cs="Times New Roman"/>
        </w:rPr>
      </w:pPr>
    </w:p>
    <w:p w14:paraId="54880913" w14:textId="13E058C6" w:rsidR="00170734" w:rsidRDefault="00170734" w:rsidP="00DD531B">
      <w:pPr>
        <w:rPr>
          <w:rFonts w:ascii="Times New Roman" w:eastAsia="Calibri" w:hAnsi="Times New Roman" w:cs="Times New Roman"/>
        </w:rPr>
      </w:pPr>
    </w:p>
    <w:p w14:paraId="20BA53D0" w14:textId="77777777" w:rsidR="00170734" w:rsidRPr="00DD531B" w:rsidRDefault="00170734" w:rsidP="00DD531B">
      <w:pPr>
        <w:rPr>
          <w:rFonts w:ascii="Times New Roman" w:eastAsia="Calibri" w:hAnsi="Times New Roman" w:cs="Times New Roman"/>
        </w:rPr>
      </w:pPr>
    </w:p>
    <w:p w14:paraId="18C433C8" w14:textId="77777777" w:rsidR="00DD531B" w:rsidRPr="00DD531B" w:rsidRDefault="00DD531B" w:rsidP="00DD531B">
      <w:pPr>
        <w:rPr>
          <w:rFonts w:ascii="Times New Roman" w:eastAsia="Calibri" w:hAnsi="Times New Roman" w:cs="Times New Roman"/>
        </w:rPr>
      </w:pPr>
    </w:p>
    <w:p w14:paraId="221AA134" w14:textId="25576C7C" w:rsidR="00170734" w:rsidRPr="00170734" w:rsidRDefault="00170734"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r w:rsidRPr="00170734">
        <w:rPr>
          <w:rFonts w:ascii="Times New Roman" w:eastAsia="Times New Roman" w:hAnsi="Times New Roman" w:cs="Times New Roman"/>
          <w:b/>
          <w:iCs/>
          <w:color w:val="5B9BD5" w:themeColor="accent1"/>
          <w:sz w:val="24"/>
          <w:szCs w:val="24"/>
          <w:lang w:eastAsia="sk-SK"/>
        </w:rPr>
        <w:lastRenderedPageBreak/>
        <w:t>Národný bezpečnostný úrad</w:t>
      </w:r>
      <w:r w:rsidRPr="00170734">
        <w:rPr>
          <w:rFonts w:ascii="Times New Roman" w:eastAsia="Times New Roman" w:hAnsi="Times New Roman" w:cs="Times New Roman"/>
          <w:b/>
          <w:iCs/>
          <w:color w:val="5B9BD5" w:themeColor="accent1"/>
          <w:sz w:val="20"/>
          <w:szCs w:val="20"/>
          <w:lang w:eastAsia="sk-SK"/>
        </w:rPr>
        <w:t xml:space="preserve"> </w:t>
      </w:r>
    </w:p>
    <w:p w14:paraId="747AC6C7" w14:textId="77777777" w:rsidR="00170734" w:rsidRPr="00170734" w:rsidRDefault="00170734"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p>
    <w:p w14:paraId="3A034544" w14:textId="3F571A31" w:rsidR="00DD531B" w:rsidRPr="00170734" w:rsidRDefault="00170734"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43" w:name="_Toc153013113"/>
      <w:r w:rsidRPr="00170734">
        <w:rPr>
          <w:rFonts w:ascii="Times New Roman" w:eastAsia="Times New Roman" w:hAnsi="Times New Roman" w:cs="Times New Roman"/>
          <w:b/>
          <w:iCs/>
          <w:color w:val="5B9BD5" w:themeColor="accent1"/>
          <w:sz w:val="20"/>
          <w:szCs w:val="20"/>
          <w:lang w:eastAsia="sk-SK"/>
        </w:rPr>
        <w:t xml:space="preserve">Tabuľka </w:t>
      </w:r>
      <w:r w:rsidRPr="00170734">
        <w:rPr>
          <w:rFonts w:ascii="Times New Roman" w:hAnsi="Times New Roman" w:cs="Times New Roman"/>
          <w:b/>
          <w:color w:val="5B9BD5" w:themeColor="accent1"/>
          <w:sz w:val="20"/>
          <w:szCs w:val="20"/>
        </w:rPr>
        <w:fldChar w:fldCharType="begin"/>
      </w:r>
      <w:r w:rsidRPr="00170734">
        <w:rPr>
          <w:rFonts w:ascii="Times New Roman" w:hAnsi="Times New Roman" w:cs="Times New Roman"/>
          <w:b/>
          <w:color w:val="5B9BD5" w:themeColor="accent1"/>
          <w:sz w:val="20"/>
          <w:szCs w:val="20"/>
        </w:rPr>
        <w:instrText xml:space="preserve"> SEQ Tabuľka \* ARABIC </w:instrText>
      </w:r>
      <w:r w:rsidRPr="00170734">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115</w:t>
      </w:r>
      <w:r w:rsidRPr="00170734">
        <w:rPr>
          <w:rFonts w:ascii="Times New Roman" w:hAnsi="Times New Roman" w:cs="Times New Roman"/>
          <w:b/>
          <w:color w:val="5B9BD5" w:themeColor="accent1"/>
          <w:sz w:val="20"/>
          <w:szCs w:val="20"/>
        </w:rPr>
        <w:fldChar w:fldCharType="end"/>
      </w:r>
      <w:r w:rsidRPr="00170734">
        <w:rPr>
          <w:rFonts w:ascii="Times New Roman" w:hAnsi="Times New Roman" w:cs="Times New Roman"/>
          <w:b/>
          <w:color w:val="5B9BD5" w:themeColor="accent1"/>
          <w:sz w:val="20"/>
          <w:szCs w:val="20"/>
        </w:rPr>
        <w:t xml:space="preserve"> - </w:t>
      </w:r>
      <w:r w:rsidR="00DD531B" w:rsidRPr="00170734">
        <w:rPr>
          <w:rFonts w:ascii="Times New Roman" w:eastAsia="Times New Roman" w:hAnsi="Times New Roman" w:cs="Times New Roman"/>
          <w:b/>
          <w:iCs/>
          <w:color w:val="5B9BD5" w:themeColor="accent1"/>
          <w:sz w:val="20"/>
          <w:szCs w:val="20"/>
          <w:lang w:eastAsia="sk-SK"/>
        </w:rPr>
        <w:t>Príjmy kapitoly NBÚ</w:t>
      </w:r>
      <w:bookmarkEnd w:id="243"/>
    </w:p>
    <w:tbl>
      <w:tblPr>
        <w:tblW w:w="5000" w:type="pct"/>
        <w:tblCellMar>
          <w:left w:w="70" w:type="dxa"/>
          <w:right w:w="70" w:type="dxa"/>
        </w:tblCellMar>
        <w:tblLook w:val="04A0" w:firstRow="1" w:lastRow="0" w:firstColumn="1" w:lastColumn="0" w:noHBand="0" w:noVBand="1"/>
      </w:tblPr>
      <w:tblGrid>
        <w:gridCol w:w="4716"/>
        <w:gridCol w:w="589"/>
        <w:gridCol w:w="589"/>
        <w:gridCol w:w="616"/>
        <w:gridCol w:w="714"/>
        <w:gridCol w:w="616"/>
        <w:gridCol w:w="616"/>
        <w:gridCol w:w="616"/>
      </w:tblGrid>
      <w:tr w:rsidR="00DD531B" w:rsidRPr="00DD531B" w14:paraId="6BCD8711" w14:textId="77777777" w:rsidTr="001F24AE">
        <w:trPr>
          <w:trHeight w:val="300"/>
        </w:trPr>
        <w:tc>
          <w:tcPr>
            <w:tcW w:w="2692" w:type="pct"/>
            <w:tcBorders>
              <w:top w:val="single" w:sz="4" w:space="0" w:color="auto"/>
              <w:left w:val="nil"/>
              <w:bottom w:val="single" w:sz="4" w:space="0" w:color="auto"/>
              <w:right w:val="nil"/>
            </w:tcBorders>
            <w:shd w:val="clear" w:color="auto" w:fill="auto"/>
            <w:noWrap/>
            <w:vAlign w:val="center"/>
            <w:hideMark/>
          </w:tcPr>
          <w:p w14:paraId="2A8511BA"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v tis. eur</w:t>
            </w:r>
          </w:p>
        </w:tc>
        <w:tc>
          <w:tcPr>
            <w:tcW w:w="314" w:type="pct"/>
            <w:tcBorders>
              <w:top w:val="single" w:sz="4" w:space="0" w:color="auto"/>
              <w:left w:val="nil"/>
              <w:bottom w:val="single" w:sz="4" w:space="0" w:color="auto"/>
              <w:right w:val="nil"/>
            </w:tcBorders>
            <w:shd w:val="clear" w:color="auto" w:fill="auto"/>
            <w:noWrap/>
            <w:vAlign w:val="center"/>
            <w:hideMark/>
          </w:tcPr>
          <w:p w14:paraId="4E05E61C"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2021 S</w:t>
            </w:r>
          </w:p>
        </w:tc>
        <w:tc>
          <w:tcPr>
            <w:tcW w:w="314" w:type="pct"/>
            <w:tcBorders>
              <w:top w:val="single" w:sz="4" w:space="0" w:color="auto"/>
              <w:left w:val="nil"/>
              <w:bottom w:val="single" w:sz="4" w:space="0" w:color="auto"/>
              <w:right w:val="nil"/>
            </w:tcBorders>
            <w:shd w:val="clear" w:color="auto" w:fill="auto"/>
            <w:noWrap/>
            <w:vAlign w:val="center"/>
            <w:hideMark/>
          </w:tcPr>
          <w:p w14:paraId="53599C55"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2022 S</w:t>
            </w:r>
          </w:p>
        </w:tc>
        <w:tc>
          <w:tcPr>
            <w:tcW w:w="324" w:type="pct"/>
            <w:tcBorders>
              <w:top w:val="single" w:sz="4" w:space="0" w:color="auto"/>
              <w:left w:val="nil"/>
              <w:bottom w:val="single" w:sz="4" w:space="0" w:color="auto"/>
              <w:right w:val="nil"/>
            </w:tcBorders>
            <w:shd w:val="clear" w:color="auto" w:fill="auto"/>
            <w:noWrap/>
            <w:vAlign w:val="center"/>
            <w:hideMark/>
          </w:tcPr>
          <w:p w14:paraId="2FCF52C1"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2023 R</w:t>
            </w:r>
          </w:p>
        </w:tc>
        <w:tc>
          <w:tcPr>
            <w:tcW w:w="385" w:type="pct"/>
            <w:tcBorders>
              <w:top w:val="single" w:sz="4" w:space="0" w:color="auto"/>
              <w:left w:val="nil"/>
              <w:bottom w:val="single" w:sz="4" w:space="0" w:color="auto"/>
              <w:right w:val="nil"/>
            </w:tcBorders>
            <w:shd w:val="clear" w:color="auto" w:fill="auto"/>
            <w:noWrap/>
            <w:vAlign w:val="center"/>
            <w:hideMark/>
          </w:tcPr>
          <w:p w14:paraId="3FA682D7"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2023 OS</w:t>
            </w:r>
          </w:p>
        </w:tc>
        <w:tc>
          <w:tcPr>
            <w:tcW w:w="324" w:type="pct"/>
            <w:tcBorders>
              <w:top w:val="single" w:sz="4" w:space="0" w:color="auto"/>
              <w:left w:val="nil"/>
              <w:bottom w:val="single" w:sz="4" w:space="0" w:color="auto"/>
              <w:right w:val="nil"/>
            </w:tcBorders>
            <w:shd w:val="clear" w:color="auto" w:fill="auto"/>
            <w:noWrap/>
            <w:vAlign w:val="center"/>
            <w:hideMark/>
          </w:tcPr>
          <w:p w14:paraId="71F64BF1"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2024 N</w:t>
            </w:r>
          </w:p>
        </w:tc>
        <w:tc>
          <w:tcPr>
            <w:tcW w:w="324" w:type="pct"/>
            <w:tcBorders>
              <w:top w:val="single" w:sz="4" w:space="0" w:color="auto"/>
              <w:left w:val="nil"/>
              <w:bottom w:val="single" w:sz="4" w:space="0" w:color="auto"/>
              <w:right w:val="nil"/>
            </w:tcBorders>
            <w:shd w:val="clear" w:color="auto" w:fill="auto"/>
            <w:noWrap/>
            <w:vAlign w:val="center"/>
            <w:hideMark/>
          </w:tcPr>
          <w:p w14:paraId="10CC5497"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2025 N</w:t>
            </w:r>
          </w:p>
        </w:tc>
        <w:tc>
          <w:tcPr>
            <w:tcW w:w="324" w:type="pct"/>
            <w:tcBorders>
              <w:top w:val="single" w:sz="4" w:space="0" w:color="auto"/>
              <w:left w:val="nil"/>
              <w:bottom w:val="single" w:sz="4" w:space="0" w:color="auto"/>
              <w:right w:val="nil"/>
            </w:tcBorders>
            <w:shd w:val="clear" w:color="auto" w:fill="auto"/>
            <w:noWrap/>
            <w:vAlign w:val="center"/>
            <w:hideMark/>
          </w:tcPr>
          <w:p w14:paraId="09D5D809"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2026 N</w:t>
            </w:r>
          </w:p>
        </w:tc>
      </w:tr>
      <w:tr w:rsidR="00DD531B" w:rsidRPr="00DD531B" w14:paraId="4C049E14" w14:textId="77777777" w:rsidTr="001F24AE">
        <w:trPr>
          <w:trHeight w:val="300"/>
        </w:trPr>
        <w:tc>
          <w:tcPr>
            <w:tcW w:w="2692" w:type="pct"/>
            <w:tcBorders>
              <w:top w:val="nil"/>
              <w:left w:val="nil"/>
              <w:bottom w:val="nil"/>
              <w:right w:val="nil"/>
            </w:tcBorders>
            <w:shd w:val="clear" w:color="auto" w:fill="auto"/>
            <w:noWrap/>
            <w:vAlign w:val="bottom"/>
            <w:hideMark/>
          </w:tcPr>
          <w:p w14:paraId="46C3810D"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Príjmy kapitoly spolu</w:t>
            </w:r>
          </w:p>
        </w:tc>
        <w:tc>
          <w:tcPr>
            <w:tcW w:w="314" w:type="pct"/>
            <w:tcBorders>
              <w:top w:val="nil"/>
              <w:left w:val="nil"/>
              <w:bottom w:val="nil"/>
              <w:right w:val="nil"/>
            </w:tcBorders>
            <w:shd w:val="clear" w:color="auto" w:fill="auto"/>
            <w:noWrap/>
            <w:vAlign w:val="bottom"/>
            <w:hideMark/>
          </w:tcPr>
          <w:p w14:paraId="553A9C86"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21</w:t>
            </w:r>
          </w:p>
        </w:tc>
        <w:tc>
          <w:tcPr>
            <w:tcW w:w="314" w:type="pct"/>
            <w:tcBorders>
              <w:top w:val="nil"/>
              <w:left w:val="nil"/>
              <w:bottom w:val="nil"/>
              <w:right w:val="nil"/>
            </w:tcBorders>
            <w:shd w:val="clear" w:color="auto" w:fill="auto"/>
            <w:noWrap/>
            <w:vAlign w:val="bottom"/>
            <w:hideMark/>
          </w:tcPr>
          <w:p w14:paraId="4493A17D"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41</w:t>
            </w:r>
          </w:p>
        </w:tc>
        <w:tc>
          <w:tcPr>
            <w:tcW w:w="324" w:type="pct"/>
            <w:tcBorders>
              <w:top w:val="nil"/>
              <w:left w:val="nil"/>
              <w:bottom w:val="nil"/>
              <w:right w:val="nil"/>
            </w:tcBorders>
            <w:shd w:val="clear" w:color="auto" w:fill="auto"/>
            <w:noWrap/>
            <w:vAlign w:val="bottom"/>
            <w:hideMark/>
          </w:tcPr>
          <w:p w14:paraId="6EA705F5"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22</w:t>
            </w:r>
          </w:p>
        </w:tc>
        <w:tc>
          <w:tcPr>
            <w:tcW w:w="385" w:type="pct"/>
            <w:tcBorders>
              <w:top w:val="nil"/>
              <w:left w:val="nil"/>
              <w:bottom w:val="nil"/>
              <w:right w:val="nil"/>
            </w:tcBorders>
            <w:shd w:val="clear" w:color="auto" w:fill="auto"/>
            <w:noWrap/>
            <w:vAlign w:val="bottom"/>
            <w:hideMark/>
          </w:tcPr>
          <w:p w14:paraId="189C8822"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43</w:t>
            </w:r>
          </w:p>
        </w:tc>
        <w:tc>
          <w:tcPr>
            <w:tcW w:w="324" w:type="pct"/>
            <w:tcBorders>
              <w:top w:val="nil"/>
              <w:left w:val="nil"/>
              <w:bottom w:val="nil"/>
              <w:right w:val="nil"/>
            </w:tcBorders>
            <w:shd w:val="clear" w:color="auto" w:fill="auto"/>
            <w:noWrap/>
            <w:vAlign w:val="bottom"/>
            <w:hideMark/>
          </w:tcPr>
          <w:p w14:paraId="481F4B34"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22</w:t>
            </w:r>
          </w:p>
        </w:tc>
        <w:tc>
          <w:tcPr>
            <w:tcW w:w="324" w:type="pct"/>
            <w:tcBorders>
              <w:top w:val="nil"/>
              <w:left w:val="nil"/>
              <w:bottom w:val="nil"/>
              <w:right w:val="nil"/>
            </w:tcBorders>
            <w:shd w:val="clear" w:color="auto" w:fill="auto"/>
            <w:noWrap/>
            <w:vAlign w:val="bottom"/>
            <w:hideMark/>
          </w:tcPr>
          <w:p w14:paraId="7394F556"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22</w:t>
            </w:r>
          </w:p>
        </w:tc>
        <w:tc>
          <w:tcPr>
            <w:tcW w:w="324" w:type="pct"/>
            <w:tcBorders>
              <w:top w:val="nil"/>
              <w:left w:val="nil"/>
              <w:bottom w:val="nil"/>
              <w:right w:val="nil"/>
            </w:tcBorders>
            <w:shd w:val="clear" w:color="auto" w:fill="auto"/>
            <w:noWrap/>
            <w:vAlign w:val="bottom"/>
            <w:hideMark/>
          </w:tcPr>
          <w:p w14:paraId="3494D037"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22</w:t>
            </w:r>
          </w:p>
        </w:tc>
      </w:tr>
      <w:tr w:rsidR="00DD531B" w:rsidRPr="00DD531B" w14:paraId="3691F7C8" w14:textId="77777777" w:rsidTr="001F24AE">
        <w:trPr>
          <w:trHeight w:val="300"/>
        </w:trPr>
        <w:tc>
          <w:tcPr>
            <w:tcW w:w="2692" w:type="pct"/>
            <w:tcBorders>
              <w:top w:val="nil"/>
              <w:left w:val="nil"/>
              <w:bottom w:val="nil"/>
              <w:right w:val="nil"/>
            </w:tcBorders>
            <w:shd w:val="clear" w:color="auto" w:fill="auto"/>
            <w:noWrap/>
            <w:vAlign w:val="bottom"/>
            <w:hideMark/>
          </w:tcPr>
          <w:p w14:paraId="683145C5" w14:textId="77777777" w:rsidR="00DD531B" w:rsidRPr="00170734" w:rsidRDefault="00DD531B" w:rsidP="00DD531B">
            <w:pPr>
              <w:spacing w:after="0" w:line="240" w:lineRule="auto"/>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nedaňové príjmy</w:t>
            </w:r>
          </w:p>
        </w:tc>
        <w:tc>
          <w:tcPr>
            <w:tcW w:w="314" w:type="pct"/>
            <w:tcBorders>
              <w:top w:val="nil"/>
              <w:left w:val="nil"/>
              <w:bottom w:val="nil"/>
              <w:right w:val="nil"/>
            </w:tcBorders>
            <w:shd w:val="clear" w:color="auto" w:fill="auto"/>
            <w:noWrap/>
            <w:vAlign w:val="bottom"/>
            <w:hideMark/>
          </w:tcPr>
          <w:p w14:paraId="454E94F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21</w:t>
            </w:r>
          </w:p>
        </w:tc>
        <w:tc>
          <w:tcPr>
            <w:tcW w:w="314" w:type="pct"/>
            <w:tcBorders>
              <w:top w:val="nil"/>
              <w:left w:val="nil"/>
              <w:bottom w:val="nil"/>
              <w:right w:val="nil"/>
            </w:tcBorders>
            <w:shd w:val="clear" w:color="auto" w:fill="auto"/>
            <w:noWrap/>
            <w:vAlign w:val="bottom"/>
            <w:hideMark/>
          </w:tcPr>
          <w:p w14:paraId="72B5D85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38</w:t>
            </w:r>
          </w:p>
        </w:tc>
        <w:tc>
          <w:tcPr>
            <w:tcW w:w="324" w:type="pct"/>
            <w:tcBorders>
              <w:top w:val="nil"/>
              <w:left w:val="nil"/>
              <w:bottom w:val="nil"/>
              <w:right w:val="nil"/>
            </w:tcBorders>
            <w:shd w:val="clear" w:color="auto" w:fill="auto"/>
            <w:noWrap/>
            <w:vAlign w:val="bottom"/>
            <w:hideMark/>
          </w:tcPr>
          <w:p w14:paraId="4539712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20</w:t>
            </w:r>
          </w:p>
        </w:tc>
        <w:tc>
          <w:tcPr>
            <w:tcW w:w="385" w:type="pct"/>
            <w:tcBorders>
              <w:top w:val="nil"/>
              <w:left w:val="nil"/>
              <w:bottom w:val="nil"/>
              <w:right w:val="nil"/>
            </w:tcBorders>
            <w:shd w:val="clear" w:color="auto" w:fill="auto"/>
            <w:noWrap/>
            <w:vAlign w:val="bottom"/>
            <w:hideMark/>
          </w:tcPr>
          <w:p w14:paraId="47B790A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31</w:t>
            </w:r>
          </w:p>
        </w:tc>
        <w:tc>
          <w:tcPr>
            <w:tcW w:w="324" w:type="pct"/>
            <w:tcBorders>
              <w:top w:val="nil"/>
              <w:left w:val="nil"/>
              <w:bottom w:val="nil"/>
              <w:right w:val="nil"/>
            </w:tcBorders>
            <w:shd w:val="clear" w:color="auto" w:fill="auto"/>
            <w:noWrap/>
            <w:vAlign w:val="bottom"/>
            <w:hideMark/>
          </w:tcPr>
          <w:p w14:paraId="6835578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20</w:t>
            </w:r>
          </w:p>
        </w:tc>
        <w:tc>
          <w:tcPr>
            <w:tcW w:w="324" w:type="pct"/>
            <w:tcBorders>
              <w:top w:val="nil"/>
              <w:left w:val="nil"/>
              <w:bottom w:val="nil"/>
              <w:right w:val="nil"/>
            </w:tcBorders>
            <w:shd w:val="clear" w:color="auto" w:fill="auto"/>
            <w:noWrap/>
            <w:vAlign w:val="bottom"/>
            <w:hideMark/>
          </w:tcPr>
          <w:p w14:paraId="616C598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20</w:t>
            </w:r>
          </w:p>
        </w:tc>
        <w:tc>
          <w:tcPr>
            <w:tcW w:w="324" w:type="pct"/>
            <w:tcBorders>
              <w:top w:val="nil"/>
              <w:left w:val="nil"/>
              <w:bottom w:val="nil"/>
              <w:right w:val="nil"/>
            </w:tcBorders>
            <w:shd w:val="clear" w:color="auto" w:fill="auto"/>
            <w:noWrap/>
            <w:vAlign w:val="bottom"/>
            <w:hideMark/>
          </w:tcPr>
          <w:p w14:paraId="14B31DF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20</w:t>
            </w:r>
          </w:p>
        </w:tc>
      </w:tr>
      <w:tr w:rsidR="00DD531B" w:rsidRPr="00DD531B" w14:paraId="75BC0B4F" w14:textId="77777777" w:rsidTr="001F24AE">
        <w:trPr>
          <w:trHeight w:val="300"/>
        </w:trPr>
        <w:tc>
          <w:tcPr>
            <w:tcW w:w="2692" w:type="pct"/>
            <w:tcBorders>
              <w:top w:val="nil"/>
              <w:left w:val="nil"/>
              <w:bottom w:val="single" w:sz="4" w:space="0" w:color="auto"/>
              <w:right w:val="nil"/>
            </w:tcBorders>
            <w:shd w:val="clear" w:color="auto" w:fill="auto"/>
            <w:noWrap/>
            <w:vAlign w:val="bottom"/>
            <w:hideMark/>
          </w:tcPr>
          <w:p w14:paraId="18DB8615" w14:textId="77777777" w:rsidR="00DD531B" w:rsidRPr="00170734" w:rsidRDefault="00DD531B" w:rsidP="00DD531B">
            <w:pPr>
              <w:spacing w:after="0" w:line="240" w:lineRule="auto"/>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prostriedky podľa § 17 ods. 4 a § 22 ods. 4 zákona č. 523/2004 Z. z.</w:t>
            </w:r>
          </w:p>
        </w:tc>
        <w:tc>
          <w:tcPr>
            <w:tcW w:w="314" w:type="pct"/>
            <w:tcBorders>
              <w:top w:val="nil"/>
              <w:left w:val="nil"/>
              <w:bottom w:val="single" w:sz="4" w:space="0" w:color="auto"/>
              <w:right w:val="nil"/>
            </w:tcBorders>
            <w:shd w:val="clear" w:color="auto" w:fill="auto"/>
            <w:noWrap/>
            <w:vAlign w:val="bottom"/>
            <w:hideMark/>
          </w:tcPr>
          <w:p w14:paraId="38B37F9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14" w:type="pct"/>
            <w:tcBorders>
              <w:top w:val="nil"/>
              <w:left w:val="nil"/>
              <w:bottom w:val="single" w:sz="4" w:space="0" w:color="auto"/>
              <w:right w:val="nil"/>
            </w:tcBorders>
            <w:shd w:val="clear" w:color="auto" w:fill="auto"/>
            <w:noWrap/>
            <w:vAlign w:val="bottom"/>
            <w:hideMark/>
          </w:tcPr>
          <w:p w14:paraId="5933756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w:t>
            </w:r>
          </w:p>
        </w:tc>
        <w:tc>
          <w:tcPr>
            <w:tcW w:w="324" w:type="pct"/>
            <w:tcBorders>
              <w:top w:val="nil"/>
              <w:left w:val="nil"/>
              <w:bottom w:val="single" w:sz="4" w:space="0" w:color="auto"/>
              <w:right w:val="nil"/>
            </w:tcBorders>
            <w:shd w:val="clear" w:color="auto" w:fill="auto"/>
            <w:noWrap/>
            <w:vAlign w:val="bottom"/>
            <w:hideMark/>
          </w:tcPr>
          <w:p w14:paraId="262C330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w:t>
            </w:r>
          </w:p>
        </w:tc>
        <w:tc>
          <w:tcPr>
            <w:tcW w:w="385" w:type="pct"/>
            <w:tcBorders>
              <w:top w:val="nil"/>
              <w:left w:val="nil"/>
              <w:bottom w:val="single" w:sz="4" w:space="0" w:color="auto"/>
              <w:right w:val="nil"/>
            </w:tcBorders>
            <w:shd w:val="clear" w:color="auto" w:fill="auto"/>
            <w:noWrap/>
            <w:vAlign w:val="bottom"/>
            <w:hideMark/>
          </w:tcPr>
          <w:p w14:paraId="08ADA2D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12</w:t>
            </w:r>
          </w:p>
        </w:tc>
        <w:tc>
          <w:tcPr>
            <w:tcW w:w="324" w:type="pct"/>
            <w:tcBorders>
              <w:top w:val="nil"/>
              <w:left w:val="nil"/>
              <w:bottom w:val="single" w:sz="4" w:space="0" w:color="auto"/>
              <w:right w:val="nil"/>
            </w:tcBorders>
            <w:shd w:val="clear" w:color="auto" w:fill="auto"/>
            <w:noWrap/>
            <w:vAlign w:val="bottom"/>
            <w:hideMark/>
          </w:tcPr>
          <w:p w14:paraId="084D57D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w:t>
            </w:r>
          </w:p>
        </w:tc>
        <w:tc>
          <w:tcPr>
            <w:tcW w:w="324" w:type="pct"/>
            <w:tcBorders>
              <w:top w:val="nil"/>
              <w:left w:val="nil"/>
              <w:bottom w:val="single" w:sz="4" w:space="0" w:color="auto"/>
              <w:right w:val="nil"/>
            </w:tcBorders>
            <w:shd w:val="clear" w:color="auto" w:fill="auto"/>
            <w:noWrap/>
            <w:vAlign w:val="bottom"/>
            <w:hideMark/>
          </w:tcPr>
          <w:p w14:paraId="1A2FBA5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w:t>
            </w:r>
          </w:p>
        </w:tc>
        <w:tc>
          <w:tcPr>
            <w:tcW w:w="324" w:type="pct"/>
            <w:tcBorders>
              <w:top w:val="nil"/>
              <w:left w:val="nil"/>
              <w:bottom w:val="single" w:sz="4" w:space="0" w:color="auto"/>
              <w:right w:val="nil"/>
            </w:tcBorders>
            <w:shd w:val="clear" w:color="auto" w:fill="auto"/>
            <w:noWrap/>
            <w:vAlign w:val="bottom"/>
            <w:hideMark/>
          </w:tcPr>
          <w:p w14:paraId="340D1A7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w:t>
            </w:r>
          </w:p>
        </w:tc>
      </w:tr>
    </w:tbl>
    <w:p w14:paraId="4A0AC09F" w14:textId="77777777" w:rsidR="00DD531B" w:rsidRPr="00DD531B" w:rsidRDefault="00DD531B" w:rsidP="00DD531B">
      <w:pPr>
        <w:rPr>
          <w:rFonts w:ascii="Times New Roman" w:eastAsia="Calibri" w:hAnsi="Times New Roman" w:cs="Times New Roman"/>
        </w:rPr>
      </w:pPr>
    </w:p>
    <w:p w14:paraId="198C7565" w14:textId="4B109C39" w:rsidR="00DD531B" w:rsidRPr="00170734" w:rsidRDefault="00170734"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44" w:name="_Toc153013114"/>
      <w:r w:rsidRPr="00170734">
        <w:rPr>
          <w:rFonts w:ascii="Times New Roman" w:eastAsia="Times New Roman" w:hAnsi="Times New Roman" w:cs="Times New Roman"/>
          <w:b/>
          <w:iCs/>
          <w:color w:val="5B9BD5" w:themeColor="accent1"/>
          <w:sz w:val="20"/>
          <w:szCs w:val="20"/>
          <w:lang w:eastAsia="sk-SK"/>
        </w:rPr>
        <w:t xml:space="preserve">Tabuľka </w:t>
      </w:r>
      <w:r w:rsidRPr="00170734">
        <w:rPr>
          <w:rFonts w:ascii="Times New Roman" w:hAnsi="Times New Roman" w:cs="Times New Roman"/>
          <w:b/>
          <w:color w:val="5B9BD5" w:themeColor="accent1"/>
          <w:sz w:val="20"/>
          <w:szCs w:val="20"/>
        </w:rPr>
        <w:fldChar w:fldCharType="begin"/>
      </w:r>
      <w:r w:rsidRPr="00170734">
        <w:rPr>
          <w:rFonts w:ascii="Times New Roman" w:hAnsi="Times New Roman" w:cs="Times New Roman"/>
          <w:b/>
          <w:color w:val="5B9BD5" w:themeColor="accent1"/>
          <w:sz w:val="20"/>
          <w:szCs w:val="20"/>
        </w:rPr>
        <w:instrText xml:space="preserve"> SEQ Tabuľka \* ARABIC </w:instrText>
      </w:r>
      <w:r w:rsidRPr="00170734">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116</w:t>
      </w:r>
      <w:r w:rsidRPr="00170734">
        <w:rPr>
          <w:rFonts w:ascii="Times New Roman" w:hAnsi="Times New Roman" w:cs="Times New Roman"/>
          <w:b/>
          <w:color w:val="5B9BD5" w:themeColor="accent1"/>
          <w:sz w:val="20"/>
          <w:szCs w:val="20"/>
        </w:rPr>
        <w:fldChar w:fldCharType="end"/>
      </w:r>
      <w:r w:rsidRPr="00170734">
        <w:rPr>
          <w:rFonts w:ascii="Times New Roman" w:hAnsi="Times New Roman" w:cs="Times New Roman"/>
          <w:b/>
          <w:color w:val="5B9BD5" w:themeColor="accent1"/>
          <w:sz w:val="20"/>
          <w:szCs w:val="20"/>
        </w:rPr>
        <w:t xml:space="preserve"> - </w:t>
      </w:r>
      <w:r w:rsidR="00DD531B" w:rsidRPr="00170734">
        <w:rPr>
          <w:rFonts w:ascii="Times New Roman" w:eastAsia="Times New Roman" w:hAnsi="Times New Roman" w:cs="Times New Roman"/>
          <w:b/>
          <w:iCs/>
          <w:color w:val="5B9BD5" w:themeColor="accent1"/>
          <w:sz w:val="20"/>
          <w:szCs w:val="20"/>
          <w:lang w:eastAsia="sk-SK"/>
        </w:rPr>
        <w:t>Výdavky kapitoly NBÚ</w:t>
      </w:r>
      <w:bookmarkEnd w:id="244"/>
    </w:p>
    <w:tbl>
      <w:tblPr>
        <w:tblW w:w="5000" w:type="pct"/>
        <w:tblCellMar>
          <w:left w:w="70" w:type="dxa"/>
          <w:right w:w="70" w:type="dxa"/>
        </w:tblCellMar>
        <w:tblLook w:val="04A0" w:firstRow="1" w:lastRow="0" w:firstColumn="1" w:lastColumn="0" w:noHBand="0" w:noVBand="1"/>
      </w:tblPr>
      <w:tblGrid>
        <w:gridCol w:w="4678"/>
        <w:gridCol w:w="596"/>
        <w:gridCol w:w="597"/>
        <w:gridCol w:w="617"/>
        <w:gridCol w:w="733"/>
        <w:gridCol w:w="617"/>
        <w:gridCol w:w="618"/>
        <w:gridCol w:w="616"/>
      </w:tblGrid>
      <w:tr w:rsidR="00DD531B" w:rsidRPr="00DD531B" w14:paraId="53D0118D" w14:textId="77777777" w:rsidTr="001F24AE">
        <w:trPr>
          <w:trHeight w:val="300"/>
        </w:trPr>
        <w:tc>
          <w:tcPr>
            <w:tcW w:w="2559" w:type="pct"/>
            <w:tcBorders>
              <w:top w:val="single" w:sz="4" w:space="0" w:color="auto"/>
              <w:left w:val="nil"/>
              <w:bottom w:val="single" w:sz="4" w:space="0" w:color="auto"/>
              <w:right w:val="nil"/>
            </w:tcBorders>
            <w:shd w:val="clear" w:color="auto" w:fill="auto"/>
            <w:noWrap/>
            <w:vAlign w:val="center"/>
            <w:hideMark/>
          </w:tcPr>
          <w:p w14:paraId="3C80712B"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v tis. eur</w:t>
            </w:r>
          </w:p>
        </w:tc>
        <w:tc>
          <w:tcPr>
            <w:tcW w:w="332" w:type="pct"/>
            <w:tcBorders>
              <w:top w:val="single" w:sz="4" w:space="0" w:color="auto"/>
              <w:left w:val="nil"/>
              <w:bottom w:val="single" w:sz="4" w:space="0" w:color="auto"/>
              <w:right w:val="nil"/>
            </w:tcBorders>
            <w:shd w:val="clear" w:color="auto" w:fill="auto"/>
            <w:noWrap/>
            <w:vAlign w:val="center"/>
            <w:hideMark/>
          </w:tcPr>
          <w:p w14:paraId="2682516B"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2021 S</w:t>
            </w:r>
          </w:p>
        </w:tc>
        <w:tc>
          <w:tcPr>
            <w:tcW w:w="332" w:type="pct"/>
            <w:tcBorders>
              <w:top w:val="single" w:sz="4" w:space="0" w:color="auto"/>
              <w:left w:val="nil"/>
              <w:bottom w:val="single" w:sz="4" w:space="0" w:color="auto"/>
              <w:right w:val="nil"/>
            </w:tcBorders>
            <w:shd w:val="clear" w:color="auto" w:fill="auto"/>
            <w:noWrap/>
            <w:vAlign w:val="center"/>
            <w:hideMark/>
          </w:tcPr>
          <w:p w14:paraId="707A44B1"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2022 S</w:t>
            </w:r>
          </w:p>
        </w:tc>
        <w:tc>
          <w:tcPr>
            <w:tcW w:w="343" w:type="pct"/>
            <w:tcBorders>
              <w:top w:val="single" w:sz="4" w:space="0" w:color="auto"/>
              <w:left w:val="nil"/>
              <w:bottom w:val="single" w:sz="4" w:space="0" w:color="auto"/>
              <w:right w:val="nil"/>
            </w:tcBorders>
            <w:shd w:val="clear" w:color="auto" w:fill="auto"/>
            <w:noWrap/>
            <w:vAlign w:val="center"/>
            <w:hideMark/>
          </w:tcPr>
          <w:p w14:paraId="1DAA3DCD"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2023 R</w:t>
            </w:r>
          </w:p>
        </w:tc>
        <w:tc>
          <w:tcPr>
            <w:tcW w:w="407" w:type="pct"/>
            <w:tcBorders>
              <w:top w:val="single" w:sz="4" w:space="0" w:color="auto"/>
              <w:left w:val="nil"/>
              <w:bottom w:val="single" w:sz="4" w:space="0" w:color="auto"/>
              <w:right w:val="nil"/>
            </w:tcBorders>
            <w:shd w:val="clear" w:color="auto" w:fill="auto"/>
            <w:noWrap/>
            <w:vAlign w:val="center"/>
            <w:hideMark/>
          </w:tcPr>
          <w:p w14:paraId="2711B2EC"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2023 OS</w:t>
            </w:r>
          </w:p>
        </w:tc>
        <w:tc>
          <w:tcPr>
            <w:tcW w:w="343" w:type="pct"/>
            <w:tcBorders>
              <w:top w:val="single" w:sz="4" w:space="0" w:color="auto"/>
              <w:left w:val="nil"/>
              <w:bottom w:val="single" w:sz="4" w:space="0" w:color="auto"/>
              <w:right w:val="nil"/>
            </w:tcBorders>
            <w:shd w:val="clear" w:color="auto" w:fill="auto"/>
            <w:noWrap/>
            <w:vAlign w:val="center"/>
            <w:hideMark/>
          </w:tcPr>
          <w:p w14:paraId="6D09CC37"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2024 N</w:t>
            </w:r>
          </w:p>
        </w:tc>
        <w:tc>
          <w:tcPr>
            <w:tcW w:w="343" w:type="pct"/>
            <w:tcBorders>
              <w:top w:val="single" w:sz="4" w:space="0" w:color="auto"/>
              <w:left w:val="nil"/>
              <w:bottom w:val="single" w:sz="4" w:space="0" w:color="auto"/>
              <w:right w:val="nil"/>
            </w:tcBorders>
            <w:shd w:val="clear" w:color="auto" w:fill="auto"/>
            <w:noWrap/>
            <w:vAlign w:val="center"/>
            <w:hideMark/>
          </w:tcPr>
          <w:p w14:paraId="2BEC5AEF"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2025 N</w:t>
            </w:r>
          </w:p>
        </w:tc>
        <w:tc>
          <w:tcPr>
            <w:tcW w:w="343" w:type="pct"/>
            <w:tcBorders>
              <w:top w:val="single" w:sz="4" w:space="0" w:color="auto"/>
              <w:left w:val="nil"/>
              <w:bottom w:val="single" w:sz="4" w:space="0" w:color="auto"/>
              <w:right w:val="nil"/>
            </w:tcBorders>
            <w:shd w:val="clear" w:color="auto" w:fill="auto"/>
            <w:noWrap/>
            <w:vAlign w:val="center"/>
            <w:hideMark/>
          </w:tcPr>
          <w:p w14:paraId="25694D88"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2026 N</w:t>
            </w:r>
          </w:p>
        </w:tc>
      </w:tr>
      <w:tr w:rsidR="00DD531B" w:rsidRPr="00DD531B" w14:paraId="4A64EFC8" w14:textId="77777777" w:rsidTr="001F24AE">
        <w:trPr>
          <w:trHeight w:val="300"/>
        </w:trPr>
        <w:tc>
          <w:tcPr>
            <w:tcW w:w="2559" w:type="pct"/>
            <w:tcBorders>
              <w:top w:val="nil"/>
              <w:left w:val="nil"/>
              <w:bottom w:val="nil"/>
              <w:right w:val="nil"/>
            </w:tcBorders>
            <w:shd w:val="clear" w:color="auto" w:fill="auto"/>
            <w:noWrap/>
            <w:vAlign w:val="center"/>
            <w:hideMark/>
          </w:tcPr>
          <w:p w14:paraId="703E426F" w14:textId="77777777" w:rsidR="00DD531B" w:rsidRPr="00170734" w:rsidRDefault="00DD531B" w:rsidP="00DD531B">
            <w:pPr>
              <w:spacing w:after="0" w:line="240" w:lineRule="auto"/>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Výdavky kapitoly spolu</w:t>
            </w:r>
          </w:p>
        </w:tc>
        <w:tc>
          <w:tcPr>
            <w:tcW w:w="332" w:type="pct"/>
            <w:tcBorders>
              <w:top w:val="nil"/>
              <w:left w:val="nil"/>
              <w:bottom w:val="nil"/>
              <w:right w:val="nil"/>
            </w:tcBorders>
            <w:shd w:val="clear" w:color="auto" w:fill="auto"/>
            <w:noWrap/>
            <w:vAlign w:val="center"/>
            <w:hideMark/>
          </w:tcPr>
          <w:p w14:paraId="1F8791F7"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12 636</w:t>
            </w:r>
          </w:p>
        </w:tc>
        <w:tc>
          <w:tcPr>
            <w:tcW w:w="332" w:type="pct"/>
            <w:tcBorders>
              <w:top w:val="nil"/>
              <w:left w:val="nil"/>
              <w:bottom w:val="nil"/>
              <w:right w:val="nil"/>
            </w:tcBorders>
            <w:shd w:val="clear" w:color="auto" w:fill="auto"/>
            <w:noWrap/>
            <w:vAlign w:val="center"/>
            <w:hideMark/>
          </w:tcPr>
          <w:p w14:paraId="2EF76B1A"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13 885</w:t>
            </w:r>
          </w:p>
        </w:tc>
        <w:tc>
          <w:tcPr>
            <w:tcW w:w="343" w:type="pct"/>
            <w:tcBorders>
              <w:top w:val="nil"/>
              <w:left w:val="nil"/>
              <w:bottom w:val="nil"/>
              <w:right w:val="nil"/>
            </w:tcBorders>
            <w:shd w:val="clear" w:color="auto" w:fill="auto"/>
            <w:noWrap/>
            <w:vAlign w:val="center"/>
            <w:hideMark/>
          </w:tcPr>
          <w:p w14:paraId="64D48B07"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14 612</w:t>
            </w:r>
          </w:p>
        </w:tc>
        <w:tc>
          <w:tcPr>
            <w:tcW w:w="407" w:type="pct"/>
            <w:tcBorders>
              <w:top w:val="nil"/>
              <w:left w:val="nil"/>
              <w:bottom w:val="nil"/>
              <w:right w:val="nil"/>
            </w:tcBorders>
            <w:shd w:val="clear" w:color="auto" w:fill="auto"/>
            <w:noWrap/>
            <w:vAlign w:val="center"/>
            <w:hideMark/>
          </w:tcPr>
          <w:p w14:paraId="48E6696E"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19 257</w:t>
            </w:r>
          </w:p>
        </w:tc>
        <w:tc>
          <w:tcPr>
            <w:tcW w:w="343" w:type="pct"/>
            <w:tcBorders>
              <w:top w:val="nil"/>
              <w:left w:val="nil"/>
              <w:bottom w:val="nil"/>
              <w:right w:val="nil"/>
            </w:tcBorders>
            <w:shd w:val="clear" w:color="auto" w:fill="auto"/>
            <w:noWrap/>
            <w:vAlign w:val="center"/>
            <w:hideMark/>
          </w:tcPr>
          <w:p w14:paraId="4A676B4A"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15 882</w:t>
            </w:r>
          </w:p>
        </w:tc>
        <w:tc>
          <w:tcPr>
            <w:tcW w:w="343" w:type="pct"/>
            <w:tcBorders>
              <w:top w:val="nil"/>
              <w:left w:val="nil"/>
              <w:bottom w:val="nil"/>
              <w:right w:val="nil"/>
            </w:tcBorders>
            <w:shd w:val="clear" w:color="auto" w:fill="auto"/>
            <w:noWrap/>
            <w:vAlign w:val="center"/>
            <w:hideMark/>
          </w:tcPr>
          <w:p w14:paraId="7C8BD6E9"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16 302</w:t>
            </w:r>
          </w:p>
        </w:tc>
        <w:tc>
          <w:tcPr>
            <w:tcW w:w="343" w:type="pct"/>
            <w:tcBorders>
              <w:top w:val="nil"/>
              <w:left w:val="nil"/>
              <w:bottom w:val="nil"/>
              <w:right w:val="nil"/>
            </w:tcBorders>
            <w:shd w:val="clear" w:color="auto" w:fill="auto"/>
            <w:noWrap/>
            <w:vAlign w:val="center"/>
            <w:hideMark/>
          </w:tcPr>
          <w:p w14:paraId="1BC0B177"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16 088</w:t>
            </w:r>
          </w:p>
        </w:tc>
      </w:tr>
      <w:tr w:rsidR="00DD531B" w:rsidRPr="00DD531B" w14:paraId="692D7BB8" w14:textId="77777777" w:rsidTr="001F24AE">
        <w:trPr>
          <w:trHeight w:val="300"/>
        </w:trPr>
        <w:tc>
          <w:tcPr>
            <w:tcW w:w="2559" w:type="pct"/>
            <w:tcBorders>
              <w:top w:val="nil"/>
              <w:left w:val="nil"/>
              <w:bottom w:val="nil"/>
              <w:right w:val="nil"/>
            </w:tcBorders>
            <w:shd w:val="clear" w:color="auto" w:fill="auto"/>
            <w:noWrap/>
            <w:vAlign w:val="bottom"/>
            <w:hideMark/>
          </w:tcPr>
          <w:p w14:paraId="1D4FA56C"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rozpočtové zdroje kapitoly</w:t>
            </w:r>
          </w:p>
        </w:tc>
        <w:tc>
          <w:tcPr>
            <w:tcW w:w="332" w:type="pct"/>
            <w:tcBorders>
              <w:top w:val="nil"/>
              <w:left w:val="nil"/>
              <w:bottom w:val="nil"/>
              <w:right w:val="nil"/>
            </w:tcBorders>
            <w:shd w:val="clear" w:color="auto" w:fill="auto"/>
            <w:noWrap/>
            <w:vAlign w:val="bottom"/>
            <w:hideMark/>
          </w:tcPr>
          <w:p w14:paraId="1389EAF1"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12 131</w:t>
            </w:r>
          </w:p>
        </w:tc>
        <w:tc>
          <w:tcPr>
            <w:tcW w:w="332" w:type="pct"/>
            <w:tcBorders>
              <w:top w:val="nil"/>
              <w:left w:val="nil"/>
              <w:bottom w:val="nil"/>
              <w:right w:val="nil"/>
            </w:tcBorders>
            <w:shd w:val="clear" w:color="auto" w:fill="auto"/>
            <w:noWrap/>
            <w:vAlign w:val="bottom"/>
            <w:hideMark/>
          </w:tcPr>
          <w:p w14:paraId="2D06D6B3"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13 066</w:t>
            </w:r>
          </w:p>
        </w:tc>
        <w:tc>
          <w:tcPr>
            <w:tcW w:w="343" w:type="pct"/>
            <w:tcBorders>
              <w:top w:val="nil"/>
              <w:left w:val="nil"/>
              <w:bottom w:val="nil"/>
              <w:right w:val="nil"/>
            </w:tcBorders>
            <w:shd w:val="clear" w:color="auto" w:fill="auto"/>
            <w:noWrap/>
            <w:vAlign w:val="bottom"/>
            <w:hideMark/>
          </w:tcPr>
          <w:p w14:paraId="7A675EE0"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14 610</w:t>
            </w:r>
          </w:p>
        </w:tc>
        <w:tc>
          <w:tcPr>
            <w:tcW w:w="407" w:type="pct"/>
            <w:tcBorders>
              <w:top w:val="nil"/>
              <w:left w:val="nil"/>
              <w:bottom w:val="nil"/>
              <w:right w:val="nil"/>
            </w:tcBorders>
            <w:shd w:val="clear" w:color="auto" w:fill="auto"/>
            <w:noWrap/>
            <w:vAlign w:val="bottom"/>
            <w:hideMark/>
          </w:tcPr>
          <w:p w14:paraId="6AAFAD03"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14 895</w:t>
            </w:r>
          </w:p>
        </w:tc>
        <w:tc>
          <w:tcPr>
            <w:tcW w:w="343" w:type="pct"/>
            <w:tcBorders>
              <w:top w:val="nil"/>
              <w:left w:val="nil"/>
              <w:bottom w:val="nil"/>
              <w:right w:val="nil"/>
            </w:tcBorders>
            <w:shd w:val="clear" w:color="auto" w:fill="auto"/>
            <w:noWrap/>
            <w:vAlign w:val="bottom"/>
            <w:hideMark/>
          </w:tcPr>
          <w:p w14:paraId="708D2CD2"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15 880</w:t>
            </w:r>
          </w:p>
        </w:tc>
        <w:tc>
          <w:tcPr>
            <w:tcW w:w="343" w:type="pct"/>
            <w:tcBorders>
              <w:top w:val="nil"/>
              <w:left w:val="nil"/>
              <w:bottom w:val="nil"/>
              <w:right w:val="nil"/>
            </w:tcBorders>
            <w:shd w:val="clear" w:color="auto" w:fill="auto"/>
            <w:noWrap/>
            <w:vAlign w:val="bottom"/>
            <w:hideMark/>
          </w:tcPr>
          <w:p w14:paraId="72FD613B"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16 300</w:t>
            </w:r>
          </w:p>
        </w:tc>
        <w:tc>
          <w:tcPr>
            <w:tcW w:w="343" w:type="pct"/>
            <w:tcBorders>
              <w:top w:val="nil"/>
              <w:left w:val="nil"/>
              <w:bottom w:val="nil"/>
              <w:right w:val="nil"/>
            </w:tcBorders>
            <w:shd w:val="clear" w:color="auto" w:fill="auto"/>
            <w:noWrap/>
            <w:vAlign w:val="bottom"/>
            <w:hideMark/>
          </w:tcPr>
          <w:p w14:paraId="7D8818D4"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16 086</w:t>
            </w:r>
          </w:p>
        </w:tc>
      </w:tr>
      <w:tr w:rsidR="00DD531B" w:rsidRPr="00DD531B" w14:paraId="1A46A550" w14:textId="77777777" w:rsidTr="001F24AE">
        <w:trPr>
          <w:trHeight w:val="300"/>
        </w:trPr>
        <w:tc>
          <w:tcPr>
            <w:tcW w:w="2559" w:type="pct"/>
            <w:tcBorders>
              <w:top w:val="nil"/>
              <w:left w:val="nil"/>
              <w:bottom w:val="nil"/>
              <w:right w:val="nil"/>
            </w:tcBorders>
            <w:shd w:val="clear" w:color="auto" w:fill="auto"/>
            <w:noWrap/>
            <w:vAlign w:val="bottom"/>
            <w:hideMark/>
          </w:tcPr>
          <w:p w14:paraId="10F021AE"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bežné výdavky  600, v tom:</w:t>
            </w:r>
          </w:p>
        </w:tc>
        <w:tc>
          <w:tcPr>
            <w:tcW w:w="332" w:type="pct"/>
            <w:tcBorders>
              <w:top w:val="nil"/>
              <w:left w:val="nil"/>
              <w:bottom w:val="nil"/>
              <w:right w:val="nil"/>
            </w:tcBorders>
            <w:shd w:val="clear" w:color="auto" w:fill="auto"/>
            <w:noWrap/>
            <w:vAlign w:val="bottom"/>
            <w:hideMark/>
          </w:tcPr>
          <w:p w14:paraId="6748CFE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12 112</w:t>
            </w:r>
          </w:p>
        </w:tc>
        <w:tc>
          <w:tcPr>
            <w:tcW w:w="332" w:type="pct"/>
            <w:tcBorders>
              <w:top w:val="nil"/>
              <w:left w:val="nil"/>
              <w:bottom w:val="nil"/>
              <w:right w:val="nil"/>
            </w:tcBorders>
            <w:shd w:val="clear" w:color="auto" w:fill="auto"/>
            <w:noWrap/>
            <w:vAlign w:val="bottom"/>
            <w:hideMark/>
          </w:tcPr>
          <w:p w14:paraId="6F5C938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12 793</w:t>
            </w:r>
          </w:p>
        </w:tc>
        <w:tc>
          <w:tcPr>
            <w:tcW w:w="343" w:type="pct"/>
            <w:tcBorders>
              <w:top w:val="nil"/>
              <w:left w:val="nil"/>
              <w:bottom w:val="nil"/>
              <w:right w:val="nil"/>
            </w:tcBorders>
            <w:shd w:val="clear" w:color="auto" w:fill="auto"/>
            <w:noWrap/>
            <w:vAlign w:val="bottom"/>
            <w:hideMark/>
          </w:tcPr>
          <w:p w14:paraId="4D948E3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14 110</w:t>
            </w:r>
          </w:p>
        </w:tc>
        <w:tc>
          <w:tcPr>
            <w:tcW w:w="407" w:type="pct"/>
            <w:tcBorders>
              <w:top w:val="nil"/>
              <w:left w:val="nil"/>
              <w:bottom w:val="nil"/>
              <w:right w:val="nil"/>
            </w:tcBorders>
            <w:shd w:val="clear" w:color="auto" w:fill="auto"/>
            <w:noWrap/>
            <w:vAlign w:val="bottom"/>
            <w:hideMark/>
          </w:tcPr>
          <w:p w14:paraId="57219F1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14 197</w:t>
            </w:r>
          </w:p>
        </w:tc>
        <w:tc>
          <w:tcPr>
            <w:tcW w:w="343" w:type="pct"/>
            <w:tcBorders>
              <w:top w:val="nil"/>
              <w:left w:val="nil"/>
              <w:bottom w:val="nil"/>
              <w:right w:val="nil"/>
            </w:tcBorders>
            <w:shd w:val="clear" w:color="auto" w:fill="auto"/>
            <w:noWrap/>
            <w:vAlign w:val="bottom"/>
            <w:hideMark/>
          </w:tcPr>
          <w:p w14:paraId="3FE1028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15 245</w:t>
            </w:r>
          </w:p>
        </w:tc>
        <w:tc>
          <w:tcPr>
            <w:tcW w:w="343" w:type="pct"/>
            <w:tcBorders>
              <w:top w:val="nil"/>
              <w:left w:val="nil"/>
              <w:bottom w:val="nil"/>
              <w:right w:val="nil"/>
            </w:tcBorders>
            <w:shd w:val="clear" w:color="auto" w:fill="auto"/>
            <w:noWrap/>
            <w:vAlign w:val="bottom"/>
            <w:hideMark/>
          </w:tcPr>
          <w:p w14:paraId="362AF8B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15 058</w:t>
            </w:r>
          </w:p>
        </w:tc>
        <w:tc>
          <w:tcPr>
            <w:tcW w:w="343" w:type="pct"/>
            <w:tcBorders>
              <w:top w:val="nil"/>
              <w:left w:val="nil"/>
              <w:bottom w:val="nil"/>
              <w:right w:val="nil"/>
            </w:tcBorders>
            <w:shd w:val="clear" w:color="auto" w:fill="auto"/>
            <w:noWrap/>
            <w:vAlign w:val="bottom"/>
            <w:hideMark/>
          </w:tcPr>
          <w:p w14:paraId="29937D9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15 058</w:t>
            </w:r>
          </w:p>
        </w:tc>
      </w:tr>
      <w:tr w:rsidR="00DD531B" w:rsidRPr="00DD531B" w14:paraId="17106556" w14:textId="77777777" w:rsidTr="001F24AE">
        <w:trPr>
          <w:trHeight w:val="300"/>
        </w:trPr>
        <w:tc>
          <w:tcPr>
            <w:tcW w:w="2559" w:type="pct"/>
            <w:tcBorders>
              <w:top w:val="nil"/>
              <w:left w:val="nil"/>
              <w:bottom w:val="nil"/>
              <w:right w:val="nil"/>
            </w:tcBorders>
            <w:shd w:val="clear" w:color="auto" w:fill="auto"/>
            <w:noWrap/>
            <w:vAlign w:val="bottom"/>
            <w:hideMark/>
          </w:tcPr>
          <w:p w14:paraId="2340A729"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610 mzdy</w:t>
            </w:r>
          </w:p>
        </w:tc>
        <w:tc>
          <w:tcPr>
            <w:tcW w:w="332" w:type="pct"/>
            <w:tcBorders>
              <w:top w:val="nil"/>
              <w:left w:val="nil"/>
              <w:bottom w:val="nil"/>
              <w:right w:val="nil"/>
            </w:tcBorders>
            <w:shd w:val="clear" w:color="auto" w:fill="auto"/>
            <w:noWrap/>
            <w:vAlign w:val="bottom"/>
            <w:hideMark/>
          </w:tcPr>
          <w:p w14:paraId="0259931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6 270</w:t>
            </w:r>
          </w:p>
        </w:tc>
        <w:tc>
          <w:tcPr>
            <w:tcW w:w="332" w:type="pct"/>
            <w:tcBorders>
              <w:top w:val="nil"/>
              <w:left w:val="nil"/>
              <w:bottom w:val="nil"/>
              <w:right w:val="nil"/>
            </w:tcBorders>
            <w:shd w:val="clear" w:color="auto" w:fill="auto"/>
            <w:noWrap/>
            <w:vAlign w:val="bottom"/>
            <w:hideMark/>
          </w:tcPr>
          <w:p w14:paraId="416D4A0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6 492</w:t>
            </w:r>
          </w:p>
        </w:tc>
        <w:tc>
          <w:tcPr>
            <w:tcW w:w="343" w:type="pct"/>
            <w:tcBorders>
              <w:top w:val="nil"/>
              <w:left w:val="nil"/>
              <w:bottom w:val="nil"/>
              <w:right w:val="nil"/>
            </w:tcBorders>
            <w:shd w:val="clear" w:color="auto" w:fill="auto"/>
            <w:noWrap/>
            <w:vAlign w:val="bottom"/>
            <w:hideMark/>
          </w:tcPr>
          <w:p w14:paraId="18BDB28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7 543</w:t>
            </w:r>
          </w:p>
        </w:tc>
        <w:tc>
          <w:tcPr>
            <w:tcW w:w="407" w:type="pct"/>
            <w:tcBorders>
              <w:top w:val="nil"/>
              <w:left w:val="nil"/>
              <w:bottom w:val="nil"/>
              <w:right w:val="nil"/>
            </w:tcBorders>
            <w:shd w:val="clear" w:color="auto" w:fill="auto"/>
            <w:noWrap/>
            <w:vAlign w:val="bottom"/>
            <w:hideMark/>
          </w:tcPr>
          <w:p w14:paraId="4075E60A"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7 548</w:t>
            </w:r>
          </w:p>
        </w:tc>
        <w:tc>
          <w:tcPr>
            <w:tcW w:w="343" w:type="pct"/>
            <w:tcBorders>
              <w:top w:val="nil"/>
              <w:left w:val="nil"/>
              <w:bottom w:val="nil"/>
              <w:right w:val="nil"/>
            </w:tcBorders>
            <w:shd w:val="clear" w:color="auto" w:fill="auto"/>
            <w:noWrap/>
            <w:vAlign w:val="bottom"/>
            <w:hideMark/>
          </w:tcPr>
          <w:p w14:paraId="0606EC0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8 030</w:t>
            </w:r>
          </w:p>
        </w:tc>
        <w:tc>
          <w:tcPr>
            <w:tcW w:w="343" w:type="pct"/>
            <w:tcBorders>
              <w:top w:val="nil"/>
              <w:left w:val="nil"/>
              <w:bottom w:val="nil"/>
              <w:right w:val="nil"/>
            </w:tcBorders>
            <w:shd w:val="clear" w:color="auto" w:fill="auto"/>
            <w:noWrap/>
            <w:vAlign w:val="bottom"/>
            <w:hideMark/>
          </w:tcPr>
          <w:p w14:paraId="529A36B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8 030</w:t>
            </w:r>
          </w:p>
        </w:tc>
        <w:tc>
          <w:tcPr>
            <w:tcW w:w="343" w:type="pct"/>
            <w:tcBorders>
              <w:top w:val="nil"/>
              <w:left w:val="nil"/>
              <w:bottom w:val="nil"/>
              <w:right w:val="nil"/>
            </w:tcBorders>
            <w:shd w:val="clear" w:color="auto" w:fill="auto"/>
            <w:noWrap/>
            <w:vAlign w:val="bottom"/>
            <w:hideMark/>
          </w:tcPr>
          <w:p w14:paraId="0132DB3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8 030</w:t>
            </w:r>
          </w:p>
        </w:tc>
      </w:tr>
      <w:tr w:rsidR="00DD531B" w:rsidRPr="00DD531B" w14:paraId="6CEFBD22" w14:textId="77777777" w:rsidTr="001F24AE">
        <w:trPr>
          <w:trHeight w:val="300"/>
        </w:trPr>
        <w:tc>
          <w:tcPr>
            <w:tcW w:w="2559" w:type="pct"/>
            <w:tcBorders>
              <w:top w:val="nil"/>
              <w:left w:val="nil"/>
              <w:bottom w:val="nil"/>
              <w:right w:val="nil"/>
            </w:tcBorders>
            <w:shd w:val="clear" w:color="auto" w:fill="auto"/>
            <w:noWrap/>
            <w:vAlign w:val="bottom"/>
            <w:hideMark/>
          </w:tcPr>
          <w:p w14:paraId="6B0C48FE"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620 odvody</w:t>
            </w:r>
          </w:p>
        </w:tc>
        <w:tc>
          <w:tcPr>
            <w:tcW w:w="332" w:type="pct"/>
            <w:tcBorders>
              <w:top w:val="nil"/>
              <w:left w:val="nil"/>
              <w:bottom w:val="nil"/>
              <w:right w:val="nil"/>
            </w:tcBorders>
            <w:shd w:val="clear" w:color="auto" w:fill="auto"/>
            <w:noWrap/>
            <w:vAlign w:val="bottom"/>
            <w:hideMark/>
          </w:tcPr>
          <w:p w14:paraId="515918D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2 358</w:t>
            </w:r>
          </w:p>
        </w:tc>
        <w:tc>
          <w:tcPr>
            <w:tcW w:w="332" w:type="pct"/>
            <w:tcBorders>
              <w:top w:val="nil"/>
              <w:left w:val="nil"/>
              <w:bottom w:val="nil"/>
              <w:right w:val="nil"/>
            </w:tcBorders>
            <w:shd w:val="clear" w:color="auto" w:fill="auto"/>
            <w:noWrap/>
            <w:vAlign w:val="bottom"/>
            <w:hideMark/>
          </w:tcPr>
          <w:p w14:paraId="6219F8BE"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2 456</w:t>
            </w:r>
          </w:p>
        </w:tc>
        <w:tc>
          <w:tcPr>
            <w:tcW w:w="343" w:type="pct"/>
            <w:tcBorders>
              <w:top w:val="nil"/>
              <w:left w:val="nil"/>
              <w:bottom w:val="nil"/>
              <w:right w:val="nil"/>
            </w:tcBorders>
            <w:shd w:val="clear" w:color="auto" w:fill="auto"/>
            <w:noWrap/>
            <w:vAlign w:val="bottom"/>
            <w:hideMark/>
          </w:tcPr>
          <w:p w14:paraId="196883A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2 753</w:t>
            </w:r>
          </w:p>
        </w:tc>
        <w:tc>
          <w:tcPr>
            <w:tcW w:w="407" w:type="pct"/>
            <w:tcBorders>
              <w:top w:val="nil"/>
              <w:left w:val="nil"/>
              <w:bottom w:val="nil"/>
              <w:right w:val="nil"/>
            </w:tcBorders>
            <w:shd w:val="clear" w:color="auto" w:fill="auto"/>
            <w:noWrap/>
            <w:vAlign w:val="bottom"/>
            <w:hideMark/>
          </w:tcPr>
          <w:p w14:paraId="598FE72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2 755</w:t>
            </w:r>
          </w:p>
        </w:tc>
        <w:tc>
          <w:tcPr>
            <w:tcW w:w="343" w:type="pct"/>
            <w:tcBorders>
              <w:top w:val="nil"/>
              <w:left w:val="nil"/>
              <w:bottom w:val="nil"/>
              <w:right w:val="nil"/>
            </w:tcBorders>
            <w:shd w:val="clear" w:color="auto" w:fill="auto"/>
            <w:noWrap/>
            <w:vAlign w:val="bottom"/>
            <w:hideMark/>
          </w:tcPr>
          <w:p w14:paraId="00A3873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2 929</w:t>
            </w:r>
          </w:p>
        </w:tc>
        <w:tc>
          <w:tcPr>
            <w:tcW w:w="343" w:type="pct"/>
            <w:tcBorders>
              <w:top w:val="nil"/>
              <w:left w:val="nil"/>
              <w:bottom w:val="nil"/>
              <w:right w:val="nil"/>
            </w:tcBorders>
            <w:shd w:val="clear" w:color="auto" w:fill="auto"/>
            <w:noWrap/>
            <w:vAlign w:val="bottom"/>
            <w:hideMark/>
          </w:tcPr>
          <w:p w14:paraId="1C86AD0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2 929</w:t>
            </w:r>
          </w:p>
        </w:tc>
        <w:tc>
          <w:tcPr>
            <w:tcW w:w="343" w:type="pct"/>
            <w:tcBorders>
              <w:top w:val="nil"/>
              <w:left w:val="nil"/>
              <w:bottom w:val="nil"/>
              <w:right w:val="nil"/>
            </w:tcBorders>
            <w:shd w:val="clear" w:color="auto" w:fill="auto"/>
            <w:noWrap/>
            <w:vAlign w:val="bottom"/>
            <w:hideMark/>
          </w:tcPr>
          <w:p w14:paraId="75A8EF4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2 929</w:t>
            </w:r>
          </w:p>
        </w:tc>
      </w:tr>
      <w:tr w:rsidR="00DD531B" w:rsidRPr="00DD531B" w14:paraId="740B8571" w14:textId="77777777" w:rsidTr="001F24AE">
        <w:trPr>
          <w:trHeight w:val="300"/>
        </w:trPr>
        <w:tc>
          <w:tcPr>
            <w:tcW w:w="2559" w:type="pct"/>
            <w:tcBorders>
              <w:top w:val="nil"/>
              <w:left w:val="nil"/>
              <w:bottom w:val="nil"/>
              <w:right w:val="nil"/>
            </w:tcBorders>
            <w:shd w:val="clear" w:color="auto" w:fill="auto"/>
            <w:noWrap/>
            <w:vAlign w:val="bottom"/>
            <w:hideMark/>
          </w:tcPr>
          <w:p w14:paraId="4437B737"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630 tovary a služby</w:t>
            </w:r>
          </w:p>
        </w:tc>
        <w:tc>
          <w:tcPr>
            <w:tcW w:w="332" w:type="pct"/>
            <w:tcBorders>
              <w:top w:val="nil"/>
              <w:left w:val="nil"/>
              <w:bottom w:val="nil"/>
              <w:right w:val="nil"/>
            </w:tcBorders>
            <w:shd w:val="clear" w:color="auto" w:fill="auto"/>
            <w:noWrap/>
            <w:vAlign w:val="bottom"/>
            <w:hideMark/>
          </w:tcPr>
          <w:p w14:paraId="287C882E"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1 873</w:t>
            </w:r>
          </w:p>
        </w:tc>
        <w:tc>
          <w:tcPr>
            <w:tcW w:w="332" w:type="pct"/>
            <w:tcBorders>
              <w:top w:val="nil"/>
              <w:left w:val="nil"/>
              <w:bottom w:val="nil"/>
              <w:right w:val="nil"/>
            </w:tcBorders>
            <w:shd w:val="clear" w:color="auto" w:fill="auto"/>
            <w:noWrap/>
            <w:vAlign w:val="bottom"/>
            <w:hideMark/>
          </w:tcPr>
          <w:p w14:paraId="4C81265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2 190</w:t>
            </w:r>
          </w:p>
        </w:tc>
        <w:tc>
          <w:tcPr>
            <w:tcW w:w="343" w:type="pct"/>
            <w:tcBorders>
              <w:top w:val="nil"/>
              <w:left w:val="nil"/>
              <w:bottom w:val="nil"/>
              <w:right w:val="nil"/>
            </w:tcBorders>
            <w:shd w:val="clear" w:color="auto" w:fill="auto"/>
            <w:noWrap/>
            <w:vAlign w:val="bottom"/>
            <w:hideMark/>
          </w:tcPr>
          <w:p w14:paraId="11A8214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2 950</w:t>
            </w:r>
          </w:p>
        </w:tc>
        <w:tc>
          <w:tcPr>
            <w:tcW w:w="407" w:type="pct"/>
            <w:tcBorders>
              <w:top w:val="nil"/>
              <w:left w:val="nil"/>
              <w:bottom w:val="nil"/>
              <w:right w:val="nil"/>
            </w:tcBorders>
            <w:shd w:val="clear" w:color="auto" w:fill="auto"/>
            <w:noWrap/>
            <w:vAlign w:val="bottom"/>
            <w:hideMark/>
          </w:tcPr>
          <w:p w14:paraId="7A11ACE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2 797</w:t>
            </w:r>
          </w:p>
        </w:tc>
        <w:tc>
          <w:tcPr>
            <w:tcW w:w="343" w:type="pct"/>
            <w:tcBorders>
              <w:top w:val="nil"/>
              <w:left w:val="nil"/>
              <w:bottom w:val="nil"/>
              <w:right w:val="nil"/>
            </w:tcBorders>
            <w:shd w:val="clear" w:color="auto" w:fill="auto"/>
            <w:noWrap/>
            <w:vAlign w:val="bottom"/>
            <w:hideMark/>
          </w:tcPr>
          <w:p w14:paraId="132333C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3 373</w:t>
            </w:r>
          </w:p>
        </w:tc>
        <w:tc>
          <w:tcPr>
            <w:tcW w:w="343" w:type="pct"/>
            <w:tcBorders>
              <w:top w:val="nil"/>
              <w:left w:val="nil"/>
              <w:bottom w:val="nil"/>
              <w:right w:val="nil"/>
            </w:tcBorders>
            <w:shd w:val="clear" w:color="auto" w:fill="auto"/>
            <w:noWrap/>
            <w:vAlign w:val="bottom"/>
            <w:hideMark/>
          </w:tcPr>
          <w:p w14:paraId="4884FCC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3 185</w:t>
            </w:r>
          </w:p>
        </w:tc>
        <w:tc>
          <w:tcPr>
            <w:tcW w:w="343" w:type="pct"/>
            <w:tcBorders>
              <w:top w:val="nil"/>
              <w:left w:val="nil"/>
              <w:bottom w:val="nil"/>
              <w:right w:val="nil"/>
            </w:tcBorders>
            <w:shd w:val="clear" w:color="auto" w:fill="auto"/>
            <w:noWrap/>
            <w:vAlign w:val="bottom"/>
            <w:hideMark/>
          </w:tcPr>
          <w:p w14:paraId="30E248B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3 185</w:t>
            </w:r>
          </w:p>
        </w:tc>
      </w:tr>
      <w:tr w:rsidR="00DD531B" w:rsidRPr="00DD531B" w14:paraId="2F6C8724" w14:textId="77777777" w:rsidTr="001F24AE">
        <w:trPr>
          <w:trHeight w:val="300"/>
        </w:trPr>
        <w:tc>
          <w:tcPr>
            <w:tcW w:w="2559" w:type="pct"/>
            <w:tcBorders>
              <w:top w:val="nil"/>
              <w:left w:val="nil"/>
              <w:bottom w:val="nil"/>
              <w:right w:val="nil"/>
            </w:tcBorders>
            <w:shd w:val="clear" w:color="auto" w:fill="auto"/>
            <w:noWrap/>
            <w:vAlign w:val="bottom"/>
            <w:hideMark/>
          </w:tcPr>
          <w:p w14:paraId="790B2367"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640 bežné transfery</w:t>
            </w:r>
          </w:p>
        </w:tc>
        <w:tc>
          <w:tcPr>
            <w:tcW w:w="332" w:type="pct"/>
            <w:tcBorders>
              <w:top w:val="nil"/>
              <w:left w:val="nil"/>
              <w:bottom w:val="nil"/>
              <w:right w:val="nil"/>
            </w:tcBorders>
            <w:shd w:val="clear" w:color="auto" w:fill="auto"/>
            <w:noWrap/>
            <w:vAlign w:val="bottom"/>
            <w:hideMark/>
          </w:tcPr>
          <w:p w14:paraId="3B5A213A"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1 611</w:t>
            </w:r>
          </w:p>
        </w:tc>
        <w:tc>
          <w:tcPr>
            <w:tcW w:w="332" w:type="pct"/>
            <w:tcBorders>
              <w:top w:val="nil"/>
              <w:left w:val="nil"/>
              <w:bottom w:val="nil"/>
              <w:right w:val="nil"/>
            </w:tcBorders>
            <w:shd w:val="clear" w:color="auto" w:fill="auto"/>
            <w:noWrap/>
            <w:vAlign w:val="bottom"/>
            <w:hideMark/>
          </w:tcPr>
          <w:p w14:paraId="0BB97CD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1 655</w:t>
            </w:r>
          </w:p>
        </w:tc>
        <w:tc>
          <w:tcPr>
            <w:tcW w:w="343" w:type="pct"/>
            <w:tcBorders>
              <w:top w:val="nil"/>
              <w:left w:val="nil"/>
              <w:bottom w:val="nil"/>
              <w:right w:val="nil"/>
            </w:tcBorders>
            <w:shd w:val="clear" w:color="auto" w:fill="auto"/>
            <w:noWrap/>
            <w:vAlign w:val="bottom"/>
            <w:hideMark/>
          </w:tcPr>
          <w:p w14:paraId="65F65A7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864</w:t>
            </w:r>
          </w:p>
        </w:tc>
        <w:tc>
          <w:tcPr>
            <w:tcW w:w="407" w:type="pct"/>
            <w:tcBorders>
              <w:top w:val="nil"/>
              <w:left w:val="nil"/>
              <w:bottom w:val="nil"/>
              <w:right w:val="nil"/>
            </w:tcBorders>
            <w:shd w:val="clear" w:color="auto" w:fill="auto"/>
            <w:noWrap/>
            <w:vAlign w:val="bottom"/>
            <w:hideMark/>
          </w:tcPr>
          <w:p w14:paraId="36F90FF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1 097</w:t>
            </w:r>
          </w:p>
        </w:tc>
        <w:tc>
          <w:tcPr>
            <w:tcW w:w="343" w:type="pct"/>
            <w:tcBorders>
              <w:top w:val="nil"/>
              <w:left w:val="nil"/>
              <w:bottom w:val="nil"/>
              <w:right w:val="nil"/>
            </w:tcBorders>
            <w:shd w:val="clear" w:color="auto" w:fill="auto"/>
            <w:noWrap/>
            <w:vAlign w:val="bottom"/>
            <w:hideMark/>
          </w:tcPr>
          <w:p w14:paraId="0BE78D2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914</w:t>
            </w:r>
          </w:p>
        </w:tc>
        <w:tc>
          <w:tcPr>
            <w:tcW w:w="343" w:type="pct"/>
            <w:tcBorders>
              <w:top w:val="nil"/>
              <w:left w:val="nil"/>
              <w:bottom w:val="nil"/>
              <w:right w:val="nil"/>
            </w:tcBorders>
            <w:shd w:val="clear" w:color="auto" w:fill="auto"/>
            <w:noWrap/>
            <w:vAlign w:val="bottom"/>
            <w:hideMark/>
          </w:tcPr>
          <w:p w14:paraId="4D1E804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914</w:t>
            </w:r>
          </w:p>
        </w:tc>
        <w:tc>
          <w:tcPr>
            <w:tcW w:w="343" w:type="pct"/>
            <w:tcBorders>
              <w:top w:val="nil"/>
              <w:left w:val="nil"/>
              <w:bottom w:val="nil"/>
              <w:right w:val="nil"/>
            </w:tcBorders>
            <w:shd w:val="clear" w:color="auto" w:fill="auto"/>
            <w:noWrap/>
            <w:vAlign w:val="bottom"/>
            <w:hideMark/>
          </w:tcPr>
          <w:p w14:paraId="262D358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914</w:t>
            </w:r>
          </w:p>
        </w:tc>
      </w:tr>
      <w:tr w:rsidR="00DD531B" w:rsidRPr="00DD531B" w14:paraId="09859F79" w14:textId="77777777" w:rsidTr="001F24AE">
        <w:trPr>
          <w:trHeight w:val="300"/>
        </w:trPr>
        <w:tc>
          <w:tcPr>
            <w:tcW w:w="2559" w:type="pct"/>
            <w:tcBorders>
              <w:top w:val="nil"/>
              <w:left w:val="nil"/>
              <w:bottom w:val="nil"/>
              <w:right w:val="nil"/>
            </w:tcBorders>
            <w:shd w:val="clear" w:color="auto" w:fill="auto"/>
            <w:noWrap/>
            <w:vAlign w:val="bottom"/>
            <w:hideMark/>
          </w:tcPr>
          <w:p w14:paraId="718941E6"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kapitálové výdavky 700</w:t>
            </w:r>
          </w:p>
        </w:tc>
        <w:tc>
          <w:tcPr>
            <w:tcW w:w="332" w:type="pct"/>
            <w:tcBorders>
              <w:top w:val="nil"/>
              <w:left w:val="nil"/>
              <w:bottom w:val="nil"/>
              <w:right w:val="nil"/>
            </w:tcBorders>
            <w:shd w:val="clear" w:color="auto" w:fill="auto"/>
            <w:noWrap/>
            <w:vAlign w:val="bottom"/>
            <w:hideMark/>
          </w:tcPr>
          <w:p w14:paraId="39B1FBE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19</w:t>
            </w:r>
          </w:p>
        </w:tc>
        <w:tc>
          <w:tcPr>
            <w:tcW w:w="332" w:type="pct"/>
            <w:tcBorders>
              <w:top w:val="nil"/>
              <w:left w:val="nil"/>
              <w:bottom w:val="nil"/>
              <w:right w:val="nil"/>
            </w:tcBorders>
            <w:shd w:val="clear" w:color="auto" w:fill="auto"/>
            <w:noWrap/>
            <w:vAlign w:val="bottom"/>
            <w:hideMark/>
          </w:tcPr>
          <w:p w14:paraId="7C18D32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273</w:t>
            </w:r>
          </w:p>
        </w:tc>
        <w:tc>
          <w:tcPr>
            <w:tcW w:w="343" w:type="pct"/>
            <w:tcBorders>
              <w:top w:val="nil"/>
              <w:left w:val="nil"/>
              <w:bottom w:val="nil"/>
              <w:right w:val="nil"/>
            </w:tcBorders>
            <w:shd w:val="clear" w:color="auto" w:fill="auto"/>
            <w:noWrap/>
            <w:vAlign w:val="bottom"/>
            <w:hideMark/>
          </w:tcPr>
          <w:p w14:paraId="5F699F5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500</w:t>
            </w:r>
          </w:p>
        </w:tc>
        <w:tc>
          <w:tcPr>
            <w:tcW w:w="407" w:type="pct"/>
            <w:tcBorders>
              <w:top w:val="nil"/>
              <w:left w:val="nil"/>
              <w:bottom w:val="nil"/>
              <w:right w:val="nil"/>
            </w:tcBorders>
            <w:shd w:val="clear" w:color="auto" w:fill="auto"/>
            <w:noWrap/>
            <w:vAlign w:val="bottom"/>
            <w:hideMark/>
          </w:tcPr>
          <w:p w14:paraId="72139A1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698</w:t>
            </w:r>
          </w:p>
        </w:tc>
        <w:tc>
          <w:tcPr>
            <w:tcW w:w="343" w:type="pct"/>
            <w:tcBorders>
              <w:top w:val="nil"/>
              <w:left w:val="nil"/>
              <w:bottom w:val="nil"/>
              <w:right w:val="nil"/>
            </w:tcBorders>
            <w:shd w:val="clear" w:color="auto" w:fill="auto"/>
            <w:noWrap/>
            <w:vAlign w:val="bottom"/>
            <w:hideMark/>
          </w:tcPr>
          <w:p w14:paraId="750C108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634</w:t>
            </w:r>
          </w:p>
        </w:tc>
        <w:tc>
          <w:tcPr>
            <w:tcW w:w="343" w:type="pct"/>
            <w:tcBorders>
              <w:top w:val="nil"/>
              <w:left w:val="nil"/>
              <w:bottom w:val="nil"/>
              <w:right w:val="nil"/>
            </w:tcBorders>
            <w:shd w:val="clear" w:color="auto" w:fill="auto"/>
            <w:noWrap/>
            <w:vAlign w:val="bottom"/>
            <w:hideMark/>
          </w:tcPr>
          <w:p w14:paraId="6AE28AF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1 242</w:t>
            </w:r>
          </w:p>
        </w:tc>
        <w:tc>
          <w:tcPr>
            <w:tcW w:w="343" w:type="pct"/>
            <w:tcBorders>
              <w:top w:val="nil"/>
              <w:left w:val="nil"/>
              <w:bottom w:val="nil"/>
              <w:right w:val="nil"/>
            </w:tcBorders>
            <w:shd w:val="clear" w:color="auto" w:fill="auto"/>
            <w:noWrap/>
            <w:vAlign w:val="bottom"/>
            <w:hideMark/>
          </w:tcPr>
          <w:p w14:paraId="0FFA1F0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1 028</w:t>
            </w:r>
          </w:p>
        </w:tc>
      </w:tr>
      <w:tr w:rsidR="00DD531B" w:rsidRPr="00DD531B" w14:paraId="488E86C6" w14:textId="77777777" w:rsidTr="001F24AE">
        <w:trPr>
          <w:trHeight w:val="300"/>
        </w:trPr>
        <w:tc>
          <w:tcPr>
            <w:tcW w:w="2559" w:type="pct"/>
            <w:tcBorders>
              <w:top w:val="nil"/>
              <w:left w:val="nil"/>
              <w:bottom w:val="nil"/>
              <w:right w:val="nil"/>
            </w:tcBorders>
            <w:shd w:val="clear" w:color="auto" w:fill="auto"/>
            <w:noWrap/>
            <w:vAlign w:val="bottom"/>
            <w:hideMark/>
          </w:tcPr>
          <w:p w14:paraId="66439A74"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zdroj EÚ vrátane spolufinancovania zo ŠR, v tom:</w:t>
            </w:r>
          </w:p>
        </w:tc>
        <w:tc>
          <w:tcPr>
            <w:tcW w:w="332" w:type="pct"/>
            <w:tcBorders>
              <w:top w:val="nil"/>
              <w:left w:val="nil"/>
              <w:bottom w:val="nil"/>
              <w:right w:val="nil"/>
            </w:tcBorders>
            <w:shd w:val="clear" w:color="auto" w:fill="auto"/>
            <w:noWrap/>
            <w:vAlign w:val="bottom"/>
            <w:hideMark/>
          </w:tcPr>
          <w:p w14:paraId="4A894881"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105</w:t>
            </w:r>
          </w:p>
        </w:tc>
        <w:tc>
          <w:tcPr>
            <w:tcW w:w="332" w:type="pct"/>
            <w:tcBorders>
              <w:top w:val="nil"/>
              <w:left w:val="nil"/>
              <w:bottom w:val="nil"/>
              <w:right w:val="nil"/>
            </w:tcBorders>
            <w:shd w:val="clear" w:color="auto" w:fill="auto"/>
            <w:noWrap/>
            <w:vAlign w:val="bottom"/>
            <w:hideMark/>
          </w:tcPr>
          <w:p w14:paraId="0FAF5A14"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43" w:type="pct"/>
            <w:tcBorders>
              <w:top w:val="nil"/>
              <w:left w:val="nil"/>
              <w:bottom w:val="nil"/>
              <w:right w:val="nil"/>
            </w:tcBorders>
            <w:shd w:val="clear" w:color="auto" w:fill="auto"/>
            <w:noWrap/>
            <w:vAlign w:val="bottom"/>
            <w:hideMark/>
          </w:tcPr>
          <w:p w14:paraId="551F633E"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407" w:type="pct"/>
            <w:tcBorders>
              <w:top w:val="nil"/>
              <w:left w:val="nil"/>
              <w:bottom w:val="nil"/>
              <w:right w:val="nil"/>
            </w:tcBorders>
            <w:shd w:val="clear" w:color="auto" w:fill="auto"/>
            <w:noWrap/>
            <w:vAlign w:val="bottom"/>
            <w:hideMark/>
          </w:tcPr>
          <w:p w14:paraId="302F2148"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1 917</w:t>
            </w:r>
          </w:p>
        </w:tc>
        <w:tc>
          <w:tcPr>
            <w:tcW w:w="343" w:type="pct"/>
            <w:tcBorders>
              <w:top w:val="nil"/>
              <w:left w:val="nil"/>
              <w:bottom w:val="nil"/>
              <w:right w:val="nil"/>
            </w:tcBorders>
            <w:shd w:val="clear" w:color="auto" w:fill="auto"/>
            <w:noWrap/>
            <w:vAlign w:val="bottom"/>
            <w:hideMark/>
          </w:tcPr>
          <w:p w14:paraId="1B1CA63E"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43" w:type="pct"/>
            <w:tcBorders>
              <w:top w:val="nil"/>
              <w:left w:val="nil"/>
              <w:bottom w:val="nil"/>
              <w:right w:val="nil"/>
            </w:tcBorders>
            <w:shd w:val="clear" w:color="auto" w:fill="auto"/>
            <w:noWrap/>
            <w:vAlign w:val="bottom"/>
            <w:hideMark/>
          </w:tcPr>
          <w:p w14:paraId="35225F42"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43" w:type="pct"/>
            <w:tcBorders>
              <w:top w:val="nil"/>
              <w:left w:val="nil"/>
              <w:bottom w:val="nil"/>
              <w:right w:val="nil"/>
            </w:tcBorders>
            <w:shd w:val="clear" w:color="auto" w:fill="auto"/>
            <w:noWrap/>
            <w:vAlign w:val="bottom"/>
            <w:hideMark/>
          </w:tcPr>
          <w:p w14:paraId="02AD2C70"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r>
      <w:tr w:rsidR="00DD531B" w:rsidRPr="00DD531B" w14:paraId="3B5B9718" w14:textId="77777777" w:rsidTr="001F24AE">
        <w:trPr>
          <w:trHeight w:val="300"/>
        </w:trPr>
        <w:tc>
          <w:tcPr>
            <w:tcW w:w="2559" w:type="pct"/>
            <w:tcBorders>
              <w:top w:val="nil"/>
              <w:left w:val="nil"/>
              <w:bottom w:val="nil"/>
              <w:right w:val="nil"/>
            </w:tcBorders>
            <w:shd w:val="clear" w:color="auto" w:fill="auto"/>
            <w:noWrap/>
            <w:vAlign w:val="bottom"/>
            <w:hideMark/>
          </w:tcPr>
          <w:p w14:paraId="1ED53BB7"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prostriedky EÚ</w:t>
            </w:r>
          </w:p>
        </w:tc>
        <w:tc>
          <w:tcPr>
            <w:tcW w:w="332" w:type="pct"/>
            <w:tcBorders>
              <w:top w:val="nil"/>
              <w:left w:val="nil"/>
              <w:bottom w:val="nil"/>
              <w:right w:val="nil"/>
            </w:tcBorders>
            <w:shd w:val="clear" w:color="auto" w:fill="auto"/>
            <w:noWrap/>
            <w:vAlign w:val="bottom"/>
            <w:hideMark/>
          </w:tcPr>
          <w:p w14:paraId="7560A78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92</w:t>
            </w:r>
          </w:p>
        </w:tc>
        <w:tc>
          <w:tcPr>
            <w:tcW w:w="332" w:type="pct"/>
            <w:tcBorders>
              <w:top w:val="nil"/>
              <w:left w:val="nil"/>
              <w:bottom w:val="nil"/>
              <w:right w:val="nil"/>
            </w:tcBorders>
            <w:shd w:val="clear" w:color="auto" w:fill="auto"/>
            <w:noWrap/>
            <w:vAlign w:val="bottom"/>
            <w:hideMark/>
          </w:tcPr>
          <w:p w14:paraId="1807F44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43" w:type="pct"/>
            <w:tcBorders>
              <w:top w:val="nil"/>
              <w:left w:val="nil"/>
              <w:bottom w:val="nil"/>
              <w:right w:val="nil"/>
            </w:tcBorders>
            <w:shd w:val="clear" w:color="auto" w:fill="auto"/>
            <w:noWrap/>
            <w:vAlign w:val="bottom"/>
            <w:hideMark/>
          </w:tcPr>
          <w:p w14:paraId="0432588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bottom"/>
            <w:hideMark/>
          </w:tcPr>
          <w:p w14:paraId="1A7AF0A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1 785</w:t>
            </w:r>
          </w:p>
        </w:tc>
        <w:tc>
          <w:tcPr>
            <w:tcW w:w="343" w:type="pct"/>
            <w:tcBorders>
              <w:top w:val="nil"/>
              <w:left w:val="nil"/>
              <w:bottom w:val="nil"/>
              <w:right w:val="nil"/>
            </w:tcBorders>
            <w:shd w:val="clear" w:color="auto" w:fill="auto"/>
            <w:noWrap/>
            <w:vAlign w:val="bottom"/>
            <w:hideMark/>
          </w:tcPr>
          <w:p w14:paraId="796E5C8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43" w:type="pct"/>
            <w:tcBorders>
              <w:top w:val="nil"/>
              <w:left w:val="nil"/>
              <w:bottom w:val="nil"/>
              <w:right w:val="nil"/>
            </w:tcBorders>
            <w:shd w:val="clear" w:color="auto" w:fill="auto"/>
            <w:noWrap/>
            <w:vAlign w:val="bottom"/>
            <w:hideMark/>
          </w:tcPr>
          <w:p w14:paraId="19E0938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43" w:type="pct"/>
            <w:tcBorders>
              <w:top w:val="nil"/>
              <w:left w:val="nil"/>
              <w:bottom w:val="nil"/>
              <w:right w:val="nil"/>
            </w:tcBorders>
            <w:shd w:val="clear" w:color="auto" w:fill="auto"/>
            <w:noWrap/>
            <w:vAlign w:val="bottom"/>
            <w:hideMark/>
          </w:tcPr>
          <w:p w14:paraId="5788EF9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r w:rsidR="00DD531B" w:rsidRPr="00DD531B" w14:paraId="5B1951E3" w14:textId="77777777" w:rsidTr="001F24AE">
        <w:trPr>
          <w:trHeight w:val="300"/>
        </w:trPr>
        <w:tc>
          <w:tcPr>
            <w:tcW w:w="2559" w:type="pct"/>
            <w:tcBorders>
              <w:top w:val="nil"/>
              <w:left w:val="nil"/>
              <w:bottom w:val="nil"/>
              <w:right w:val="nil"/>
            </w:tcBorders>
            <w:shd w:val="clear" w:color="auto" w:fill="auto"/>
            <w:noWrap/>
            <w:vAlign w:val="bottom"/>
            <w:hideMark/>
          </w:tcPr>
          <w:p w14:paraId="43C05281"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spolufinancovanie zo ŠR</w:t>
            </w:r>
          </w:p>
        </w:tc>
        <w:tc>
          <w:tcPr>
            <w:tcW w:w="332" w:type="pct"/>
            <w:tcBorders>
              <w:top w:val="nil"/>
              <w:left w:val="nil"/>
              <w:bottom w:val="nil"/>
              <w:right w:val="nil"/>
            </w:tcBorders>
            <w:shd w:val="clear" w:color="auto" w:fill="auto"/>
            <w:noWrap/>
            <w:vAlign w:val="bottom"/>
            <w:hideMark/>
          </w:tcPr>
          <w:p w14:paraId="4429F01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13</w:t>
            </w:r>
          </w:p>
        </w:tc>
        <w:tc>
          <w:tcPr>
            <w:tcW w:w="332" w:type="pct"/>
            <w:tcBorders>
              <w:top w:val="nil"/>
              <w:left w:val="nil"/>
              <w:bottom w:val="nil"/>
              <w:right w:val="nil"/>
            </w:tcBorders>
            <w:shd w:val="clear" w:color="auto" w:fill="auto"/>
            <w:noWrap/>
            <w:vAlign w:val="bottom"/>
            <w:hideMark/>
          </w:tcPr>
          <w:p w14:paraId="17EC51F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43" w:type="pct"/>
            <w:tcBorders>
              <w:top w:val="nil"/>
              <w:left w:val="nil"/>
              <w:bottom w:val="nil"/>
              <w:right w:val="nil"/>
            </w:tcBorders>
            <w:shd w:val="clear" w:color="auto" w:fill="auto"/>
            <w:noWrap/>
            <w:vAlign w:val="bottom"/>
            <w:hideMark/>
          </w:tcPr>
          <w:p w14:paraId="601024C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bottom"/>
            <w:hideMark/>
          </w:tcPr>
          <w:p w14:paraId="665FAFC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132</w:t>
            </w:r>
          </w:p>
        </w:tc>
        <w:tc>
          <w:tcPr>
            <w:tcW w:w="343" w:type="pct"/>
            <w:tcBorders>
              <w:top w:val="nil"/>
              <w:left w:val="nil"/>
              <w:bottom w:val="nil"/>
              <w:right w:val="nil"/>
            </w:tcBorders>
            <w:shd w:val="clear" w:color="auto" w:fill="auto"/>
            <w:noWrap/>
            <w:vAlign w:val="bottom"/>
            <w:hideMark/>
          </w:tcPr>
          <w:p w14:paraId="7FE8063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43" w:type="pct"/>
            <w:tcBorders>
              <w:top w:val="nil"/>
              <w:left w:val="nil"/>
              <w:bottom w:val="nil"/>
              <w:right w:val="nil"/>
            </w:tcBorders>
            <w:shd w:val="clear" w:color="auto" w:fill="auto"/>
            <w:noWrap/>
            <w:vAlign w:val="bottom"/>
            <w:hideMark/>
          </w:tcPr>
          <w:p w14:paraId="0343556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43" w:type="pct"/>
            <w:tcBorders>
              <w:top w:val="nil"/>
              <w:left w:val="nil"/>
              <w:bottom w:val="nil"/>
              <w:right w:val="nil"/>
            </w:tcBorders>
            <w:shd w:val="clear" w:color="auto" w:fill="auto"/>
            <w:noWrap/>
            <w:vAlign w:val="bottom"/>
            <w:hideMark/>
          </w:tcPr>
          <w:p w14:paraId="4930402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r w:rsidR="00DD531B" w:rsidRPr="00DD531B" w14:paraId="06301C3A" w14:textId="77777777" w:rsidTr="001F24AE">
        <w:trPr>
          <w:trHeight w:val="300"/>
        </w:trPr>
        <w:tc>
          <w:tcPr>
            <w:tcW w:w="2559" w:type="pct"/>
            <w:tcBorders>
              <w:top w:val="nil"/>
              <w:left w:val="nil"/>
              <w:bottom w:val="nil"/>
              <w:right w:val="nil"/>
            </w:tcBorders>
            <w:shd w:val="clear" w:color="auto" w:fill="auto"/>
            <w:noWrap/>
            <w:vAlign w:val="bottom"/>
            <w:hideMark/>
          </w:tcPr>
          <w:p w14:paraId="756753C5" w14:textId="77777777" w:rsidR="00DD531B" w:rsidRPr="00170734" w:rsidRDefault="00DD531B" w:rsidP="00DD531B">
            <w:pPr>
              <w:spacing w:after="0" w:line="240" w:lineRule="auto"/>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presun z minulých rokov § 8, v tom:</w:t>
            </w:r>
          </w:p>
        </w:tc>
        <w:tc>
          <w:tcPr>
            <w:tcW w:w="332" w:type="pct"/>
            <w:tcBorders>
              <w:top w:val="nil"/>
              <w:left w:val="nil"/>
              <w:bottom w:val="nil"/>
              <w:right w:val="nil"/>
            </w:tcBorders>
            <w:shd w:val="clear" w:color="auto" w:fill="auto"/>
            <w:noWrap/>
            <w:vAlign w:val="bottom"/>
            <w:hideMark/>
          </w:tcPr>
          <w:p w14:paraId="18059266"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400</w:t>
            </w:r>
          </w:p>
        </w:tc>
        <w:tc>
          <w:tcPr>
            <w:tcW w:w="332" w:type="pct"/>
            <w:tcBorders>
              <w:top w:val="nil"/>
              <w:left w:val="nil"/>
              <w:bottom w:val="nil"/>
              <w:right w:val="nil"/>
            </w:tcBorders>
            <w:shd w:val="clear" w:color="auto" w:fill="auto"/>
            <w:noWrap/>
            <w:vAlign w:val="bottom"/>
            <w:hideMark/>
          </w:tcPr>
          <w:p w14:paraId="28CE00D6"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817</w:t>
            </w:r>
          </w:p>
        </w:tc>
        <w:tc>
          <w:tcPr>
            <w:tcW w:w="343" w:type="pct"/>
            <w:tcBorders>
              <w:top w:val="nil"/>
              <w:left w:val="nil"/>
              <w:bottom w:val="nil"/>
              <w:right w:val="nil"/>
            </w:tcBorders>
            <w:shd w:val="clear" w:color="auto" w:fill="auto"/>
            <w:noWrap/>
            <w:vAlign w:val="bottom"/>
            <w:hideMark/>
          </w:tcPr>
          <w:p w14:paraId="0202EAE9"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407" w:type="pct"/>
            <w:tcBorders>
              <w:top w:val="nil"/>
              <w:left w:val="nil"/>
              <w:bottom w:val="nil"/>
              <w:right w:val="nil"/>
            </w:tcBorders>
            <w:shd w:val="clear" w:color="auto" w:fill="auto"/>
            <w:noWrap/>
            <w:vAlign w:val="bottom"/>
            <w:hideMark/>
          </w:tcPr>
          <w:p w14:paraId="44FAA5F7"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2 432</w:t>
            </w:r>
          </w:p>
        </w:tc>
        <w:tc>
          <w:tcPr>
            <w:tcW w:w="343" w:type="pct"/>
            <w:tcBorders>
              <w:top w:val="nil"/>
              <w:left w:val="nil"/>
              <w:bottom w:val="nil"/>
              <w:right w:val="nil"/>
            </w:tcBorders>
            <w:shd w:val="clear" w:color="auto" w:fill="auto"/>
            <w:noWrap/>
            <w:vAlign w:val="bottom"/>
            <w:hideMark/>
          </w:tcPr>
          <w:p w14:paraId="5EBDCCD9"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43" w:type="pct"/>
            <w:tcBorders>
              <w:top w:val="nil"/>
              <w:left w:val="nil"/>
              <w:bottom w:val="nil"/>
              <w:right w:val="nil"/>
            </w:tcBorders>
            <w:shd w:val="clear" w:color="auto" w:fill="auto"/>
            <w:noWrap/>
            <w:vAlign w:val="bottom"/>
            <w:hideMark/>
          </w:tcPr>
          <w:p w14:paraId="326882B1"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43" w:type="pct"/>
            <w:tcBorders>
              <w:top w:val="nil"/>
              <w:left w:val="nil"/>
              <w:bottom w:val="nil"/>
              <w:right w:val="nil"/>
            </w:tcBorders>
            <w:shd w:val="clear" w:color="auto" w:fill="auto"/>
            <w:noWrap/>
            <w:vAlign w:val="bottom"/>
            <w:hideMark/>
          </w:tcPr>
          <w:p w14:paraId="6E6A7C51"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r>
      <w:tr w:rsidR="00DD531B" w:rsidRPr="00DD531B" w14:paraId="1C64AF6A" w14:textId="77777777" w:rsidTr="001F24AE">
        <w:trPr>
          <w:trHeight w:val="300"/>
        </w:trPr>
        <w:tc>
          <w:tcPr>
            <w:tcW w:w="2559" w:type="pct"/>
            <w:tcBorders>
              <w:top w:val="nil"/>
              <w:left w:val="nil"/>
              <w:bottom w:val="nil"/>
              <w:right w:val="nil"/>
            </w:tcBorders>
            <w:shd w:val="clear" w:color="auto" w:fill="auto"/>
            <w:noWrap/>
            <w:vAlign w:val="bottom"/>
            <w:hideMark/>
          </w:tcPr>
          <w:p w14:paraId="7EB786A7"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štátny rozpočet</w:t>
            </w:r>
          </w:p>
        </w:tc>
        <w:tc>
          <w:tcPr>
            <w:tcW w:w="332" w:type="pct"/>
            <w:tcBorders>
              <w:top w:val="nil"/>
              <w:left w:val="nil"/>
              <w:bottom w:val="nil"/>
              <w:right w:val="nil"/>
            </w:tcBorders>
            <w:shd w:val="clear" w:color="auto" w:fill="auto"/>
            <w:noWrap/>
            <w:vAlign w:val="bottom"/>
            <w:hideMark/>
          </w:tcPr>
          <w:p w14:paraId="61B5AD9A"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235</w:t>
            </w:r>
          </w:p>
        </w:tc>
        <w:tc>
          <w:tcPr>
            <w:tcW w:w="332" w:type="pct"/>
            <w:tcBorders>
              <w:top w:val="nil"/>
              <w:left w:val="nil"/>
              <w:bottom w:val="nil"/>
              <w:right w:val="nil"/>
            </w:tcBorders>
            <w:shd w:val="clear" w:color="auto" w:fill="auto"/>
            <w:noWrap/>
            <w:vAlign w:val="bottom"/>
            <w:hideMark/>
          </w:tcPr>
          <w:p w14:paraId="11D1CD6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769</w:t>
            </w:r>
          </w:p>
        </w:tc>
        <w:tc>
          <w:tcPr>
            <w:tcW w:w="343" w:type="pct"/>
            <w:tcBorders>
              <w:top w:val="nil"/>
              <w:left w:val="nil"/>
              <w:bottom w:val="nil"/>
              <w:right w:val="nil"/>
            </w:tcBorders>
            <w:shd w:val="clear" w:color="auto" w:fill="auto"/>
            <w:noWrap/>
            <w:vAlign w:val="bottom"/>
            <w:hideMark/>
          </w:tcPr>
          <w:p w14:paraId="38C0D35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bottom"/>
            <w:hideMark/>
          </w:tcPr>
          <w:p w14:paraId="58776C1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43" w:type="pct"/>
            <w:tcBorders>
              <w:top w:val="nil"/>
              <w:left w:val="nil"/>
              <w:bottom w:val="nil"/>
              <w:right w:val="nil"/>
            </w:tcBorders>
            <w:shd w:val="clear" w:color="auto" w:fill="auto"/>
            <w:noWrap/>
            <w:vAlign w:val="bottom"/>
            <w:hideMark/>
          </w:tcPr>
          <w:p w14:paraId="7879B75E"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43" w:type="pct"/>
            <w:tcBorders>
              <w:top w:val="nil"/>
              <w:left w:val="nil"/>
              <w:bottom w:val="nil"/>
              <w:right w:val="nil"/>
            </w:tcBorders>
            <w:shd w:val="clear" w:color="auto" w:fill="auto"/>
            <w:noWrap/>
            <w:vAlign w:val="bottom"/>
            <w:hideMark/>
          </w:tcPr>
          <w:p w14:paraId="707C804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43" w:type="pct"/>
            <w:tcBorders>
              <w:top w:val="nil"/>
              <w:left w:val="nil"/>
              <w:bottom w:val="nil"/>
              <w:right w:val="nil"/>
            </w:tcBorders>
            <w:shd w:val="clear" w:color="auto" w:fill="auto"/>
            <w:noWrap/>
            <w:vAlign w:val="bottom"/>
            <w:hideMark/>
          </w:tcPr>
          <w:p w14:paraId="735198E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r w:rsidR="00DD531B" w:rsidRPr="00DD531B" w14:paraId="51DA824D" w14:textId="77777777" w:rsidTr="001F24AE">
        <w:trPr>
          <w:trHeight w:val="300"/>
        </w:trPr>
        <w:tc>
          <w:tcPr>
            <w:tcW w:w="2559" w:type="pct"/>
            <w:tcBorders>
              <w:top w:val="nil"/>
              <w:left w:val="nil"/>
              <w:bottom w:val="nil"/>
              <w:right w:val="nil"/>
            </w:tcBorders>
            <w:shd w:val="clear" w:color="auto" w:fill="auto"/>
            <w:noWrap/>
            <w:vAlign w:val="bottom"/>
            <w:hideMark/>
          </w:tcPr>
          <w:p w14:paraId="5DAA3DF6"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prostriedky EÚ a spolufinancovanie zo ŠR</w:t>
            </w:r>
          </w:p>
        </w:tc>
        <w:tc>
          <w:tcPr>
            <w:tcW w:w="332" w:type="pct"/>
            <w:tcBorders>
              <w:top w:val="nil"/>
              <w:left w:val="nil"/>
              <w:bottom w:val="nil"/>
              <w:right w:val="nil"/>
            </w:tcBorders>
            <w:shd w:val="clear" w:color="auto" w:fill="auto"/>
            <w:noWrap/>
            <w:vAlign w:val="bottom"/>
            <w:hideMark/>
          </w:tcPr>
          <w:p w14:paraId="6717F90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165</w:t>
            </w:r>
          </w:p>
        </w:tc>
        <w:tc>
          <w:tcPr>
            <w:tcW w:w="332" w:type="pct"/>
            <w:tcBorders>
              <w:top w:val="nil"/>
              <w:left w:val="nil"/>
              <w:bottom w:val="nil"/>
              <w:right w:val="nil"/>
            </w:tcBorders>
            <w:shd w:val="clear" w:color="auto" w:fill="auto"/>
            <w:noWrap/>
            <w:vAlign w:val="bottom"/>
            <w:hideMark/>
          </w:tcPr>
          <w:p w14:paraId="1DB8981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48</w:t>
            </w:r>
          </w:p>
        </w:tc>
        <w:tc>
          <w:tcPr>
            <w:tcW w:w="343" w:type="pct"/>
            <w:tcBorders>
              <w:top w:val="nil"/>
              <w:left w:val="nil"/>
              <w:bottom w:val="nil"/>
              <w:right w:val="nil"/>
            </w:tcBorders>
            <w:shd w:val="clear" w:color="auto" w:fill="auto"/>
            <w:noWrap/>
            <w:vAlign w:val="bottom"/>
            <w:hideMark/>
          </w:tcPr>
          <w:p w14:paraId="4DB0A14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bottom"/>
            <w:hideMark/>
          </w:tcPr>
          <w:p w14:paraId="0C28B7C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2 432</w:t>
            </w:r>
          </w:p>
        </w:tc>
        <w:tc>
          <w:tcPr>
            <w:tcW w:w="343" w:type="pct"/>
            <w:tcBorders>
              <w:top w:val="nil"/>
              <w:left w:val="nil"/>
              <w:bottom w:val="nil"/>
              <w:right w:val="nil"/>
            </w:tcBorders>
            <w:shd w:val="clear" w:color="auto" w:fill="auto"/>
            <w:noWrap/>
            <w:vAlign w:val="bottom"/>
            <w:hideMark/>
          </w:tcPr>
          <w:p w14:paraId="111E241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43" w:type="pct"/>
            <w:tcBorders>
              <w:top w:val="nil"/>
              <w:left w:val="nil"/>
              <w:bottom w:val="nil"/>
              <w:right w:val="nil"/>
            </w:tcBorders>
            <w:shd w:val="clear" w:color="auto" w:fill="auto"/>
            <w:noWrap/>
            <w:vAlign w:val="bottom"/>
            <w:hideMark/>
          </w:tcPr>
          <w:p w14:paraId="4C5BF41A"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43" w:type="pct"/>
            <w:tcBorders>
              <w:top w:val="nil"/>
              <w:left w:val="nil"/>
              <w:bottom w:val="nil"/>
              <w:right w:val="nil"/>
            </w:tcBorders>
            <w:shd w:val="clear" w:color="auto" w:fill="auto"/>
            <w:noWrap/>
            <w:vAlign w:val="bottom"/>
            <w:hideMark/>
          </w:tcPr>
          <w:p w14:paraId="7EB0708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r w:rsidR="00DD531B" w:rsidRPr="00DD531B" w14:paraId="166FBEAA" w14:textId="77777777" w:rsidTr="001F24AE">
        <w:trPr>
          <w:trHeight w:val="300"/>
        </w:trPr>
        <w:tc>
          <w:tcPr>
            <w:tcW w:w="2559" w:type="pct"/>
            <w:tcBorders>
              <w:top w:val="nil"/>
              <w:left w:val="nil"/>
              <w:bottom w:val="single" w:sz="4" w:space="0" w:color="auto"/>
              <w:right w:val="nil"/>
            </w:tcBorders>
            <w:shd w:val="clear" w:color="auto" w:fill="auto"/>
            <w:noWrap/>
            <w:vAlign w:val="bottom"/>
            <w:hideMark/>
          </w:tcPr>
          <w:p w14:paraId="46C59CEA" w14:textId="77777777" w:rsidR="00DD531B" w:rsidRPr="00170734" w:rsidRDefault="00DD531B" w:rsidP="00DD531B">
            <w:pPr>
              <w:spacing w:after="0" w:line="240" w:lineRule="auto"/>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prostriedky podľa § 17 ods. 4 a § 22 ods. 4 zákona č. 523/2004 Z. z.</w:t>
            </w:r>
          </w:p>
        </w:tc>
        <w:tc>
          <w:tcPr>
            <w:tcW w:w="332" w:type="pct"/>
            <w:tcBorders>
              <w:top w:val="nil"/>
              <w:left w:val="nil"/>
              <w:bottom w:val="single" w:sz="4" w:space="0" w:color="auto"/>
              <w:right w:val="nil"/>
            </w:tcBorders>
            <w:shd w:val="clear" w:color="auto" w:fill="auto"/>
            <w:noWrap/>
            <w:vAlign w:val="bottom"/>
            <w:hideMark/>
          </w:tcPr>
          <w:p w14:paraId="262187CA"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32" w:type="pct"/>
            <w:tcBorders>
              <w:top w:val="nil"/>
              <w:left w:val="nil"/>
              <w:bottom w:val="single" w:sz="4" w:space="0" w:color="auto"/>
              <w:right w:val="nil"/>
            </w:tcBorders>
            <w:shd w:val="clear" w:color="auto" w:fill="auto"/>
            <w:noWrap/>
            <w:vAlign w:val="bottom"/>
            <w:hideMark/>
          </w:tcPr>
          <w:p w14:paraId="6F630E7F"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3</w:t>
            </w:r>
          </w:p>
        </w:tc>
        <w:tc>
          <w:tcPr>
            <w:tcW w:w="343" w:type="pct"/>
            <w:tcBorders>
              <w:top w:val="nil"/>
              <w:left w:val="nil"/>
              <w:bottom w:val="single" w:sz="4" w:space="0" w:color="auto"/>
              <w:right w:val="nil"/>
            </w:tcBorders>
            <w:shd w:val="clear" w:color="auto" w:fill="auto"/>
            <w:noWrap/>
            <w:vAlign w:val="bottom"/>
            <w:hideMark/>
          </w:tcPr>
          <w:p w14:paraId="46300E3B"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w:t>
            </w:r>
          </w:p>
        </w:tc>
        <w:tc>
          <w:tcPr>
            <w:tcW w:w="407" w:type="pct"/>
            <w:tcBorders>
              <w:top w:val="nil"/>
              <w:left w:val="nil"/>
              <w:bottom w:val="single" w:sz="4" w:space="0" w:color="auto"/>
              <w:right w:val="nil"/>
            </w:tcBorders>
            <w:shd w:val="clear" w:color="auto" w:fill="auto"/>
            <w:noWrap/>
            <w:vAlign w:val="bottom"/>
            <w:hideMark/>
          </w:tcPr>
          <w:p w14:paraId="3C9EBD15"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12</w:t>
            </w:r>
          </w:p>
        </w:tc>
        <w:tc>
          <w:tcPr>
            <w:tcW w:w="343" w:type="pct"/>
            <w:tcBorders>
              <w:top w:val="nil"/>
              <w:left w:val="nil"/>
              <w:bottom w:val="single" w:sz="4" w:space="0" w:color="auto"/>
              <w:right w:val="nil"/>
            </w:tcBorders>
            <w:shd w:val="clear" w:color="auto" w:fill="auto"/>
            <w:noWrap/>
            <w:vAlign w:val="bottom"/>
            <w:hideMark/>
          </w:tcPr>
          <w:p w14:paraId="30C8ABB1"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w:t>
            </w:r>
          </w:p>
        </w:tc>
        <w:tc>
          <w:tcPr>
            <w:tcW w:w="343" w:type="pct"/>
            <w:tcBorders>
              <w:top w:val="nil"/>
              <w:left w:val="nil"/>
              <w:bottom w:val="single" w:sz="4" w:space="0" w:color="auto"/>
              <w:right w:val="nil"/>
            </w:tcBorders>
            <w:shd w:val="clear" w:color="auto" w:fill="auto"/>
            <w:noWrap/>
            <w:vAlign w:val="bottom"/>
            <w:hideMark/>
          </w:tcPr>
          <w:p w14:paraId="1D6F6FB5"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w:t>
            </w:r>
          </w:p>
        </w:tc>
        <w:tc>
          <w:tcPr>
            <w:tcW w:w="343" w:type="pct"/>
            <w:tcBorders>
              <w:top w:val="nil"/>
              <w:left w:val="nil"/>
              <w:bottom w:val="single" w:sz="4" w:space="0" w:color="auto"/>
              <w:right w:val="nil"/>
            </w:tcBorders>
            <w:shd w:val="clear" w:color="auto" w:fill="auto"/>
            <w:noWrap/>
            <w:vAlign w:val="bottom"/>
            <w:hideMark/>
          </w:tcPr>
          <w:p w14:paraId="571D3464"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w:t>
            </w:r>
          </w:p>
        </w:tc>
      </w:tr>
    </w:tbl>
    <w:p w14:paraId="57F24D88" w14:textId="1A1CCDC8" w:rsidR="00DD531B" w:rsidRDefault="00DD531B" w:rsidP="00DD531B">
      <w:pPr>
        <w:rPr>
          <w:rFonts w:ascii="Times New Roman" w:eastAsia="Calibri" w:hAnsi="Times New Roman" w:cs="Times New Roman"/>
          <w:b/>
          <w:lang w:eastAsia="sk-SK"/>
        </w:rPr>
      </w:pPr>
    </w:p>
    <w:p w14:paraId="5E0F37DD" w14:textId="7D1ED9C9" w:rsidR="00170734" w:rsidRDefault="00170734" w:rsidP="00DD531B">
      <w:pPr>
        <w:rPr>
          <w:rFonts w:ascii="Times New Roman" w:eastAsia="Calibri" w:hAnsi="Times New Roman" w:cs="Times New Roman"/>
          <w:b/>
          <w:lang w:eastAsia="sk-SK"/>
        </w:rPr>
      </w:pPr>
    </w:p>
    <w:p w14:paraId="2395EC22" w14:textId="38C002DC" w:rsidR="00170734" w:rsidRDefault="00170734" w:rsidP="00DD531B">
      <w:pPr>
        <w:rPr>
          <w:rFonts w:ascii="Times New Roman" w:eastAsia="Calibri" w:hAnsi="Times New Roman" w:cs="Times New Roman"/>
          <w:b/>
          <w:lang w:eastAsia="sk-SK"/>
        </w:rPr>
      </w:pPr>
    </w:p>
    <w:p w14:paraId="393A8D69" w14:textId="653D6A00" w:rsidR="00170734" w:rsidRDefault="00170734" w:rsidP="00DD531B">
      <w:pPr>
        <w:rPr>
          <w:rFonts w:ascii="Times New Roman" w:eastAsia="Calibri" w:hAnsi="Times New Roman" w:cs="Times New Roman"/>
          <w:b/>
          <w:lang w:eastAsia="sk-SK"/>
        </w:rPr>
      </w:pPr>
    </w:p>
    <w:p w14:paraId="00186EBA" w14:textId="25F997A4" w:rsidR="00170734" w:rsidRDefault="00170734" w:rsidP="00DD531B">
      <w:pPr>
        <w:rPr>
          <w:rFonts w:ascii="Times New Roman" w:eastAsia="Calibri" w:hAnsi="Times New Roman" w:cs="Times New Roman"/>
          <w:b/>
          <w:lang w:eastAsia="sk-SK"/>
        </w:rPr>
      </w:pPr>
    </w:p>
    <w:p w14:paraId="733B2D37" w14:textId="05EE3B06" w:rsidR="00170734" w:rsidRDefault="00170734" w:rsidP="00DD531B">
      <w:pPr>
        <w:rPr>
          <w:rFonts w:ascii="Times New Roman" w:eastAsia="Calibri" w:hAnsi="Times New Roman" w:cs="Times New Roman"/>
          <w:b/>
          <w:lang w:eastAsia="sk-SK"/>
        </w:rPr>
      </w:pPr>
    </w:p>
    <w:p w14:paraId="1F5B0F8D" w14:textId="2EC0B4F8" w:rsidR="00170734" w:rsidRDefault="00170734" w:rsidP="00DD531B">
      <w:pPr>
        <w:rPr>
          <w:rFonts w:ascii="Times New Roman" w:eastAsia="Calibri" w:hAnsi="Times New Roman" w:cs="Times New Roman"/>
          <w:b/>
          <w:lang w:eastAsia="sk-SK"/>
        </w:rPr>
      </w:pPr>
    </w:p>
    <w:p w14:paraId="31EB4D7C" w14:textId="51A7CE33" w:rsidR="00170734" w:rsidRDefault="00170734" w:rsidP="00DD531B">
      <w:pPr>
        <w:rPr>
          <w:rFonts w:ascii="Times New Roman" w:eastAsia="Calibri" w:hAnsi="Times New Roman" w:cs="Times New Roman"/>
          <w:b/>
          <w:lang w:eastAsia="sk-SK"/>
        </w:rPr>
      </w:pPr>
    </w:p>
    <w:p w14:paraId="2D9E4947" w14:textId="5BF6C3A9" w:rsidR="00170734" w:rsidRDefault="00170734" w:rsidP="00DD531B">
      <w:pPr>
        <w:rPr>
          <w:rFonts w:ascii="Times New Roman" w:eastAsia="Calibri" w:hAnsi="Times New Roman" w:cs="Times New Roman"/>
          <w:b/>
          <w:lang w:eastAsia="sk-SK"/>
        </w:rPr>
      </w:pPr>
    </w:p>
    <w:p w14:paraId="24BD0AD4" w14:textId="5B9295E5" w:rsidR="00170734" w:rsidRDefault="00170734" w:rsidP="00DD531B">
      <w:pPr>
        <w:rPr>
          <w:rFonts w:ascii="Times New Roman" w:eastAsia="Calibri" w:hAnsi="Times New Roman" w:cs="Times New Roman"/>
          <w:b/>
          <w:lang w:eastAsia="sk-SK"/>
        </w:rPr>
      </w:pPr>
    </w:p>
    <w:p w14:paraId="218D54A6" w14:textId="11F4C47B" w:rsidR="00170734" w:rsidRDefault="00170734" w:rsidP="00DD531B">
      <w:pPr>
        <w:rPr>
          <w:rFonts w:ascii="Times New Roman" w:eastAsia="Calibri" w:hAnsi="Times New Roman" w:cs="Times New Roman"/>
          <w:b/>
          <w:lang w:eastAsia="sk-SK"/>
        </w:rPr>
      </w:pPr>
    </w:p>
    <w:p w14:paraId="76224E83" w14:textId="487B584B" w:rsidR="00170734" w:rsidRDefault="00170734" w:rsidP="00DD531B">
      <w:pPr>
        <w:rPr>
          <w:rFonts w:ascii="Times New Roman" w:eastAsia="Calibri" w:hAnsi="Times New Roman" w:cs="Times New Roman"/>
          <w:b/>
          <w:lang w:eastAsia="sk-SK"/>
        </w:rPr>
      </w:pPr>
    </w:p>
    <w:p w14:paraId="3EF6FE00" w14:textId="4AA31F1F" w:rsidR="00170734" w:rsidRDefault="00170734" w:rsidP="00DD531B">
      <w:pPr>
        <w:rPr>
          <w:rFonts w:ascii="Times New Roman" w:eastAsia="Calibri" w:hAnsi="Times New Roman" w:cs="Times New Roman"/>
          <w:b/>
          <w:lang w:eastAsia="sk-SK"/>
        </w:rPr>
      </w:pPr>
    </w:p>
    <w:p w14:paraId="6EEDC3AC" w14:textId="77777777" w:rsidR="00170734" w:rsidRPr="00DD531B" w:rsidRDefault="00170734" w:rsidP="00DD531B">
      <w:pPr>
        <w:rPr>
          <w:rFonts w:ascii="Times New Roman" w:eastAsia="Calibri" w:hAnsi="Times New Roman" w:cs="Times New Roman"/>
          <w:b/>
          <w:lang w:eastAsia="sk-SK"/>
        </w:rPr>
      </w:pPr>
    </w:p>
    <w:p w14:paraId="05954914" w14:textId="47F42729" w:rsidR="00DD531B" w:rsidRPr="00170734" w:rsidRDefault="00DD531B" w:rsidP="00DD531B">
      <w:pPr>
        <w:keepNext/>
        <w:keepLines/>
        <w:spacing w:before="40" w:after="0"/>
        <w:outlineLvl w:val="1"/>
        <w:rPr>
          <w:rFonts w:ascii="Times New Roman" w:eastAsia="Times New Roman" w:hAnsi="Times New Roman" w:cs="Times New Roman"/>
          <w:b/>
          <w:color w:val="5B9BD5" w:themeColor="accent1"/>
          <w:sz w:val="24"/>
          <w:szCs w:val="24"/>
        </w:rPr>
      </w:pPr>
      <w:r w:rsidRPr="00170734">
        <w:rPr>
          <w:rFonts w:ascii="Times New Roman" w:eastAsia="Times New Roman" w:hAnsi="Times New Roman" w:cs="Times New Roman"/>
          <w:b/>
          <w:color w:val="5B9BD5" w:themeColor="accent1"/>
          <w:sz w:val="24"/>
          <w:szCs w:val="24"/>
        </w:rPr>
        <w:lastRenderedPageBreak/>
        <w:t>Správa štátnych hmotných rezerv SR</w:t>
      </w:r>
    </w:p>
    <w:p w14:paraId="4B21429B" w14:textId="77777777" w:rsidR="00DD531B" w:rsidRPr="00170734" w:rsidRDefault="00DD531B" w:rsidP="00DD531B">
      <w:pPr>
        <w:rPr>
          <w:rFonts w:ascii="Times New Roman" w:eastAsia="Calibri" w:hAnsi="Times New Roman" w:cs="Times New Roman"/>
          <w:color w:val="5B9BD5" w:themeColor="accent1"/>
        </w:rPr>
      </w:pPr>
    </w:p>
    <w:p w14:paraId="560512F1" w14:textId="515D8984" w:rsidR="00DD531B" w:rsidRPr="00170734" w:rsidRDefault="00170734"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45" w:name="_Toc153013115"/>
      <w:r w:rsidRPr="00170734">
        <w:rPr>
          <w:rFonts w:ascii="Times New Roman" w:eastAsia="Times New Roman" w:hAnsi="Times New Roman" w:cs="Times New Roman"/>
          <w:b/>
          <w:iCs/>
          <w:color w:val="5B9BD5" w:themeColor="accent1"/>
          <w:sz w:val="20"/>
          <w:szCs w:val="20"/>
          <w:lang w:eastAsia="sk-SK"/>
        </w:rPr>
        <w:t xml:space="preserve">Tabuľka </w:t>
      </w:r>
      <w:r w:rsidRPr="00170734">
        <w:rPr>
          <w:rFonts w:ascii="Times New Roman" w:hAnsi="Times New Roman" w:cs="Times New Roman"/>
          <w:b/>
          <w:color w:val="5B9BD5" w:themeColor="accent1"/>
          <w:sz w:val="20"/>
          <w:szCs w:val="20"/>
        </w:rPr>
        <w:fldChar w:fldCharType="begin"/>
      </w:r>
      <w:r w:rsidRPr="00170734">
        <w:rPr>
          <w:rFonts w:ascii="Times New Roman" w:hAnsi="Times New Roman" w:cs="Times New Roman"/>
          <w:b/>
          <w:color w:val="5B9BD5" w:themeColor="accent1"/>
          <w:sz w:val="20"/>
          <w:szCs w:val="20"/>
        </w:rPr>
        <w:instrText xml:space="preserve"> SEQ Tabuľka \* ARABIC </w:instrText>
      </w:r>
      <w:r w:rsidRPr="00170734">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117</w:t>
      </w:r>
      <w:r w:rsidRPr="00170734">
        <w:rPr>
          <w:rFonts w:ascii="Times New Roman" w:hAnsi="Times New Roman" w:cs="Times New Roman"/>
          <w:b/>
          <w:color w:val="5B9BD5" w:themeColor="accent1"/>
          <w:sz w:val="20"/>
          <w:szCs w:val="20"/>
        </w:rPr>
        <w:fldChar w:fldCharType="end"/>
      </w:r>
      <w:r w:rsidRPr="00170734">
        <w:rPr>
          <w:rFonts w:ascii="Times New Roman" w:hAnsi="Times New Roman" w:cs="Times New Roman"/>
          <w:b/>
          <w:color w:val="5B9BD5" w:themeColor="accent1"/>
          <w:sz w:val="20"/>
          <w:szCs w:val="20"/>
        </w:rPr>
        <w:t xml:space="preserve"> - </w:t>
      </w:r>
      <w:r w:rsidR="00DD531B" w:rsidRPr="00170734">
        <w:rPr>
          <w:rFonts w:ascii="Times New Roman" w:eastAsia="Times New Roman" w:hAnsi="Times New Roman" w:cs="Times New Roman"/>
          <w:b/>
          <w:iCs/>
          <w:color w:val="5B9BD5" w:themeColor="accent1"/>
          <w:sz w:val="20"/>
          <w:szCs w:val="20"/>
          <w:lang w:eastAsia="sk-SK"/>
        </w:rPr>
        <w:t>Príjmy kapitoly SŠHR SR</w:t>
      </w:r>
      <w:bookmarkEnd w:id="245"/>
    </w:p>
    <w:tbl>
      <w:tblPr>
        <w:tblW w:w="5000" w:type="pct"/>
        <w:tblCellMar>
          <w:left w:w="70" w:type="dxa"/>
          <w:right w:w="70" w:type="dxa"/>
        </w:tblCellMar>
        <w:tblLook w:val="04A0" w:firstRow="1" w:lastRow="0" w:firstColumn="1" w:lastColumn="0" w:noHBand="0" w:noVBand="1"/>
      </w:tblPr>
      <w:tblGrid>
        <w:gridCol w:w="4263"/>
        <w:gridCol w:w="654"/>
        <w:gridCol w:w="653"/>
        <w:gridCol w:w="675"/>
        <w:gridCol w:w="802"/>
        <w:gridCol w:w="675"/>
        <w:gridCol w:w="675"/>
        <w:gridCol w:w="675"/>
      </w:tblGrid>
      <w:tr w:rsidR="00DD531B" w:rsidRPr="00170734" w14:paraId="5AAA8C10" w14:textId="77777777" w:rsidTr="001F24AE">
        <w:trPr>
          <w:trHeight w:val="300"/>
        </w:trPr>
        <w:tc>
          <w:tcPr>
            <w:tcW w:w="2349" w:type="pct"/>
            <w:tcBorders>
              <w:top w:val="single" w:sz="4" w:space="0" w:color="auto"/>
              <w:left w:val="nil"/>
              <w:bottom w:val="single" w:sz="4" w:space="0" w:color="auto"/>
              <w:right w:val="nil"/>
            </w:tcBorders>
            <w:shd w:val="clear" w:color="auto" w:fill="auto"/>
            <w:noWrap/>
            <w:vAlign w:val="center"/>
            <w:hideMark/>
          </w:tcPr>
          <w:p w14:paraId="1BB49134"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v tis. eur</w:t>
            </w:r>
          </w:p>
        </w:tc>
        <w:tc>
          <w:tcPr>
            <w:tcW w:w="360" w:type="pct"/>
            <w:tcBorders>
              <w:top w:val="single" w:sz="4" w:space="0" w:color="auto"/>
              <w:left w:val="nil"/>
              <w:bottom w:val="single" w:sz="4" w:space="0" w:color="auto"/>
              <w:right w:val="nil"/>
            </w:tcBorders>
            <w:shd w:val="clear" w:color="auto" w:fill="auto"/>
            <w:noWrap/>
            <w:vAlign w:val="center"/>
            <w:hideMark/>
          </w:tcPr>
          <w:p w14:paraId="79332FB6"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2021 S</w:t>
            </w:r>
          </w:p>
        </w:tc>
        <w:tc>
          <w:tcPr>
            <w:tcW w:w="360" w:type="pct"/>
            <w:tcBorders>
              <w:top w:val="single" w:sz="4" w:space="0" w:color="auto"/>
              <w:left w:val="nil"/>
              <w:bottom w:val="single" w:sz="4" w:space="0" w:color="auto"/>
              <w:right w:val="nil"/>
            </w:tcBorders>
            <w:shd w:val="clear" w:color="auto" w:fill="auto"/>
            <w:noWrap/>
            <w:vAlign w:val="center"/>
            <w:hideMark/>
          </w:tcPr>
          <w:p w14:paraId="3BBA3F52"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2022 S</w:t>
            </w:r>
          </w:p>
        </w:tc>
        <w:tc>
          <w:tcPr>
            <w:tcW w:w="372" w:type="pct"/>
            <w:tcBorders>
              <w:top w:val="single" w:sz="4" w:space="0" w:color="auto"/>
              <w:left w:val="nil"/>
              <w:bottom w:val="single" w:sz="4" w:space="0" w:color="auto"/>
              <w:right w:val="nil"/>
            </w:tcBorders>
            <w:shd w:val="clear" w:color="auto" w:fill="auto"/>
            <w:noWrap/>
            <w:vAlign w:val="center"/>
            <w:hideMark/>
          </w:tcPr>
          <w:p w14:paraId="731BFD56"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2023 R</w:t>
            </w:r>
          </w:p>
        </w:tc>
        <w:tc>
          <w:tcPr>
            <w:tcW w:w="442" w:type="pct"/>
            <w:tcBorders>
              <w:top w:val="single" w:sz="4" w:space="0" w:color="auto"/>
              <w:left w:val="nil"/>
              <w:bottom w:val="single" w:sz="4" w:space="0" w:color="auto"/>
              <w:right w:val="nil"/>
            </w:tcBorders>
            <w:shd w:val="clear" w:color="auto" w:fill="auto"/>
            <w:noWrap/>
            <w:vAlign w:val="center"/>
            <w:hideMark/>
          </w:tcPr>
          <w:p w14:paraId="13D2B033"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2023 OS</w:t>
            </w:r>
          </w:p>
        </w:tc>
        <w:tc>
          <w:tcPr>
            <w:tcW w:w="372" w:type="pct"/>
            <w:tcBorders>
              <w:top w:val="single" w:sz="4" w:space="0" w:color="auto"/>
              <w:left w:val="nil"/>
              <w:bottom w:val="single" w:sz="4" w:space="0" w:color="auto"/>
              <w:right w:val="nil"/>
            </w:tcBorders>
            <w:shd w:val="clear" w:color="auto" w:fill="auto"/>
            <w:noWrap/>
            <w:vAlign w:val="center"/>
            <w:hideMark/>
          </w:tcPr>
          <w:p w14:paraId="14BE53FF"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2024 N</w:t>
            </w:r>
          </w:p>
        </w:tc>
        <w:tc>
          <w:tcPr>
            <w:tcW w:w="372" w:type="pct"/>
            <w:tcBorders>
              <w:top w:val="single" w:sz="4" w:space="0" w:color="auto"/>
              <w:left w:val="nil"/>
              <w:bottom w:val="single" w:sz="4" w:space="0" w:color="auto"/>
              <w:right w:val="nil"/>
            </w:tcBorders>
            <w:shd w:val="clear" w:color="auto" w:fill="auto"/>
            <w:noWrap/>
            <w:vAlign w:val="center"/>
            <w:hideMark/>
          </w:tcPr>
          <w:p w14:paraId="64A90B57"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2025 N</w:t>
            </w:r>
          </w:p>
        </w:tc>
        <w:tc>
          <w:tcPr>
            <w:tcW w:w="372" w:type="pct"/>
            <w:tcBorders>
              <w:top w:val="single" w:sz="4" w:space="0" w:color="auto"/>
              <w:left w:val="nil"/>
              <w:bottom w:val="single" w:sz="4" w:space="0" w:color="auto"/>
              <w:right w:val="nil"/>
            </w:tcBorders>
            <w:shd w:val="clear" w:color="auto" w:fill="auto"/>
            <w:noWrap/>
            <w:vAlign w:val="center"/>
            <w:hideMark/>
          </w:tcPr>
          <w:p w14:paraId="4425012A"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2026 N</w:t>
            </w:r>
          </w:p>
        </w:tc>
      </w:tr>
      <w:tr w:rsidR="00DD531B" w:rsidRPr="00170734" w14:paraId="0CA2EE1E" w14:textId="77777777" w:rsidTr="001F24AE">
        <w:trPr>
          <w:trHeight w:val="300"/>
        </w:trPr>
        <w:tc>
          <w:tcPr>
            <w:tcW w:w="2349" w:type="pct"/>
            <w:tcBorders>
              <w:top w:val="nil"/>
              <w:left w:val="nil"/>
              <w:bottom w:val="nil"/>
              <w:right w:val="nil"/>
            </w:tcBorders>
            <w:shd w:val="clear" w:color="auto" w:fill="auto"/>
            <w:noWrap/>
            <w:vAlign w:val="bottom"/>
            <w:hideMark/>
          </w:tcPr>
          <w:p w14:paraId="5BCC198D"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Príjmy kapitoly spolu</w:t>
            </w:r>
          </w:p>
        </w:tc>
        <w:tc>
          <w:tcPr>
            <w:tcW w:w="360" w:type="pct"/>
            <w:tcBorders>
              <w:top w:val="nil"/>
              <w:left w:val="nil"/>
              <w:bottom w:val="nil"/>
              <w:right w:val="nil"/>
            </w:tcBorders>
            <w:shd w:val="clear" w:color="auto" w:fill="auto"/>
            <w:noWrap/>
            <w:vAlign w:val="bottom"/>
            <w:hideMark/>
          </w:tcPr>
          <w:p w14:paraId="3FFD2AF6"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510</w:t>
            </w:r>
          </w:p>
        </w:tc>
        <w:tc>
          <w:tcPr>
            <w:tcW w:w="360" w:type="pct"/>
            <w:tcBorders>
              <w:top w:val="nil"/>
              <w:left w:val="nil"/>
              <w:bottom w:val="nil"/>
              <w:right w:val="nil"/>
            </w:tcBorders>
            <w:shd w:val="clear" w:color="auto" w:fill="auto"/>
            <w:noWrap/>
            <w:vAlign w:val="bottom"/>
            <w:hideMark/>
          </w:tcPr>
          <w:p w14:paraId="6E65F90E"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2 040</w:t>
            </w:r>
          </w:p>
        </w:tc>
        <w:tc>
          <w:tcPr>
            <w:tcW w:w="372" w:type="pct"/>
            <w:tcBorders>
              <w:top w:val="nil"/>
              <w:left w:val="nil"/>
              <w:bottom w:val="nil"/>
              <w:right w:val="nil"/>
            </w:tcBorders>
            <w:shd w:val="clear" w:color="auto" w:fill="auto"/>
            <w:noWrap/>
            <w:vAlign w:val="bottom"/>
            <w:hideMark/>
          </w:tcPr>
          <w:p w14:paraId="5910782F"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600</w:t>
            </w:r>
          </w:p>
        </w:tc>
        <w:tc>
          <w:tcPr>
            <w:tcW w:w="442" w:type="pct"/>
            <w:tcBorders>
              <w:top w:val="nil"/>
              <w:left w:val="nil"/>
              <w:bottom w:val="nil"/>
              <w:right w:val="nil"/>
            </w:tcBorders>
            <w:shd w:val="clear" w:color="auto" w:fill="auto"/>
            <w:noWrap/>
            <w:vAlign w:val="bottom"/>
            <w:hideMark/>
          </w:tcPr>
          <w:p w14:paraId="67DF84B4"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724</w:t>
            </w:r>
          </w:p>
        </w:tc>
        <w:tc>
          <w:tcPr>
            <w:tcW w:w="372" w:type="pct"/>
            <w:tcBorders>
              <w:top w:val="nil"/>
              <w:left w:val="nil"/>
              <w:bottom w:val="nil"/>
              <w:right w:val="nil"/>
            </w:tcBorders>
            <w:shd w:val="clear" w:color="auto" w:fill="auto"/>
            <w:noWrap/>
            <w:vAlign w:val="bottom"/>
            <w:hideMark/>
          </w:tcPr>
          <w:p w14:paraId="04F2E13C"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709</w:t>
            </w:r>
          </w:p>
        </w:tc>
        <w:tc>
          <w:tcPr>
            <w:tcW w:w="372" w:type="pct"/>
            <w:tcBorders>
              <w:top w:val="nil"/>
              <w:left w:val="nil"/>
              <w:bottom w:val="nil"/>
              <w:right w:val="nil"/>
            </w:tcBorders>
            <w:shd w:val="clear" w:color="auto" w:fill="auto"/>
            <w:noWrap/>
            <w:vAlign w:val="bottom"/>
            <w:hideMark/>
          </w:tcPr>
          <w:p w14:paraId="74B7673A"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709</w:t>
            </w:r>
          </w:p>
        </w:tc>
        <w:tc>
          <w:tcPr>
            <w:tcW w:w="372" w:type="pct"/>
            <w:tcBorders>
              <w:top w:val="nil"/>
              <w:left w:val="nil"/>
              <w:bottom w:val="nil"/>
              <w:right w:val="nil"/>
            </w:tcBorders>
            <w:shd w:val="clear" w:color="auto" w:fill="auto"/>
            <w:noWrap/>
            <w:vAlign w:val="bottom"/>
            <w:hideMark/>
          </w:tcPr>
          <w:p w14:paraId="3B001142" w14:textId="77777777" w:rsidR="00DD531B" w:rsidRPr="00170734"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709</w:t>
            </w:r>
          </w:p>
        </w:tc>
      </w:tr>
      <w:tr w:rsidR="00DD531B" w:rsidRPr="00170734" w14:paraId="023799DF" w14:textId="77777777" w:rsidTr="001F24AE">
        <w:trPr>
          <w:trHeight w:val="300"/>
        </w:trPr>
        <w:tc>
          <w:tcPr>
            <w:tcW w:w="2349" w:type="pct"/>
            <w:tcBorders>
              <w:top w:val="nil"/>
              <w:left w:val="nil"/>
              <w:bottom w:val="nil"/>
              <w:right w:val="nil"/>
            </w:tcBorders>
            <w:shd w:val="clear" w:color="auto" w:fill="auto"/>
            <w:noWrap/>
            <w:vAlign w:val="bottom"/>
            <w:hideMark/>
          </w:tcPr>
          <w:p w14:paraId="61959FE8" w14:textId="77777777" w:rsidR="00DD531B" w:rsidRPr="00170734" w:rsidRDefault="00DD531B" w:rsidP="00DD531B">
            <w:pPr>
              <w:spacing w:after="0" w:line="240" w:lineRule="auto"/>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nedaňové príjmy, v tom:</w:t>
            </w:r>
          </w:p>
        </w:tc>
        <w:tc>
          <w:tcPr>
            <w:tcW w:w="360" w:type="pct"/>
            <w:tcBorders>
              <w:top w:val="nil"/>
              <w:left w:val="nil"/>
              <w:bottom w:val="nil"/>
              <w:right w:val="nil"/>
            </w:tcBorders>
            <w:shd w:val="clear" w:color="auto" w:fill="auto"/>
            <w:noWrap/>
            <w:vAlign w:val="bottom"/>
            <w:hideMark/>
          </w:tcPr>
          <w:p w14:paraId="44246B2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510</w:t>
            </w:r>
          </w:p>
        </w:tc>
        <w:tc>
          <w:tcPr>
            <w:tcW w:w="360" w:type="pct"/>
            <w:tcBorders>
              <w:top w:val="nil"/>
              <w:left w:val="nil"/>
              <w:bottom w:val="nil"/>
              <w:right w:val="nil"/>
            </w:tcBorders>
            <w:shd w:val="clear" w:color="auto" w:fill="auto"/>
            <w:noWrap/>
            <w:vAlign w:val="bottom"/>
            <w:hideMark/>
          </w:tcPr>
          <w:p w14:paraId="442FE29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2 040</w:t>
            </w:r>
          </w:p>
        </w:tc>
        <w:tc>
          <w:tcPr>
            <w:tcW w:w="372" w:type="pct"/>
            <w:tcBorders>
              <w:top w:val="nil"/>
              <w:left w:val="nil"/>
              <w:bottom w:val="nil"/>
              <w:right w:val="nil"/>
            </w:tcBorders>
            <w:shd w:val="clear" w:color="auto" w:fill="auto"/>
            <w:noWrap/>
            <w:vAlign w:val="bottom"/>
            <w:hideMark/>
          </w:tcPr>
          <w:p w14:paraId="7C151E8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600</w:t>
            </w:r>
          </w:p>
        </w:tc>
        <w:tc>
          <w:tcPr>
            <w:tcW w:w="442" w:type="pct"/>
            <w:tcBorders>
              <w:top w:val="nil"/>
              <w:left w:val="nil"/>
              <w:bottom w:val="nil"/>
              <w:right w:val="nil"/>
            </w:tcBorders>
            <w:shd w:val="clear" w:color="auto" w:fill="auto"/>
            <w:noWrap/>
            <w:vAlign w:val="bottom"/>
            <w:hideMark/>
          </w:tcPr>
          <w:p w14:paraId="5142546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724</w:t>
            </w:r>
          </w:p>
        </w:tc>
        <w:tc>
          <w:tcPr>
            <w:tcW w:w="372" w:type="pct"/>
            <w:tcBorders>
              <w:top w:val="nil"/>
              <w:left w:val="nil"/>
              <w:bottom w:val="nil"/>
              <w:right w:val="nil"/>
            </w:tcBorders>
            <w:shd w:val="clear" w:color="auto" w:fill="auto"/>
            <w:noWrap/>
            <w:vAlign w:val="bottom"/>
            <w:hideMark/>
          </w:tcPr>
          <w:p w14:paraId="78ABCD9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709</w:t>
            </w:r>
          </w:p>
        </w:tc>
        <w:tc>
          <w:tcPr>
            <w:tcW w:w="372" w:type="pct"/>
            <w:tcBorders>
              <w:top w:val="nil"/>
              <w:left w:val="nil"/>
              <w:bottom w:val="nil"/>
              <w:right w:val="nil"/>
            </w:tcBorders>
            <w:shd w:val="clear" w:color="auto" w:fill="auto"/>
            <w:noWrap/>
            <w:vAlign w:val="bottom"/>
            <w:hideMark/>
          </w:tcPr>
          <w:p w14:paraId="71FB67E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709</w:t>
            </w:r>
          </w:p>
        </w:tc>
        <w:tc>
          <w:tcPr>
            <w:tcW w:w="372" w:type="pct"/>
            <w:tcBorders>
              <w:top w:val="nil"/>
              <w:left w:val="nil"/>
              <w:bottom w:val="nil"/>
              <w:right w:val="nil"/>
            </w:tcBorders>
            <w:shd w:val="clear" w:color="auto" w:fill="auto"/>
            <w:noWrap/>
            <w:vAlign w:val="bottom"/>
            <w:hideMark/>
          </w:tcPr>
          <w:p w14:paraId="54CE1CE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709</w:t>
            </w:r>
          </w:p>
        </w:tc>
      </w:tr>
      <w:tr w:rsidR="00DD531B" w:rsidRPr="00170734" w14:paraId="7933CB44" w14:textId="77777777" w:rsidTr="001F24AE">
        <w:trPr>
          <w:trHeight w:val="300"/>
        </w:trPr>
        <w:tc>
          <w:tcPr>
            <w:tcW w:w="2349" w:type="pct"/>
            <w:tcBorders>
              <w:top w:val="nil"/>
              <w:left w:val="nil"/>
              <w:bottom w:val="single" w:sz="4" w:space="0" w:color="auto"/>
              <w:right w:val="nil"/>
            </w:tcBorders>
            <w:shd w:val="clear" w:color="auto" w:fill="auto"/>
            <w:noWrap/>
            <w:vAlign w:val="bottom"/>
            <w:hideMark/>
          </w:tcPr>
          <w:p w14:paraId="2A16AC39" w14:textId="77777777" w:rsidR="00DD531B" w:rsidRPr="00170734" w:rsidRDefault="00DD531B" w:rsidP="00DD531B">
            <w:pPr>
              <w:spacing w:after="0" w:line="240" w:lineRule="auto"/>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dividendy</w:t>
            </w:r>
          </w:p>
        </w:tc>
        <w:tc>
          <w:tcPr>
            <w:tcW w:w="360" w:type="pct"/>
            <w:tcBorders>
              <w:top w:val="nil"/>
              <w:left w:val="nil"/>
              <w:bottom w:val="single" w:sz="4" w:space="0" w:color="auto"/>
              <w:right w:val="nil"/>
            </w:tcBorders>
            <w:shd w:val="clear" w:color="auto" w:fill="auto"/>
            <w:noWrap/>
            <w:vAlign w:val="bottom"/>
            <w:hideMark/>
          </w:tcPr>
          <w:p w14:paraId="42D9C0A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60" w:type="pct"/>
            <w:tcBorders>
              <w:top w:val="nil"/>
              <w:left w:val="nil"/>
              <w:bottom w:val="single" w:sz="4" w:space="0" w:color="auto"/>
              <w:right w:val="nil"/>
            </w:tcBorders>
            <w:shd w:val="clear" w:color="auto" w:fill="auto"/>
            <w:noWrap/>
            <w:vAlign w:val="bottom"/>
            <w:hideMark/>
          </w:tcPr>
          <w:p w14:paraId="36BFBAA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single" w:sz="4" w:space="0" w:color="auto"/>
              <w:right w:val="nil"/>
            </w:tcBorders>
            <w:shd w:val="clear" w:color="auto" w:fill="auto"/>
            <w:noWrap/>
            <w:vAlign w:val="bottom"/>
            <w:hideMark/>
          </w:tcPr>
          <w:p w14:paraId="746779A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42" w:type="pct"/>
            <w:tcBorders>
              <w:top w:val="nil"/>
              <w:left w:val="nil"/>
              <w:bottom w:val="single" w:sz="4" w:space="0" w:color="auto"/>
              <w:right w:val="nil"/>
            </w:tcBorders>
            <w:shd w:val="clear" w:color="auto" w:fill="auto"/>
            <w:noWrap/>
            <w:vAlign w:val="bottom"/>
            <w:hideMark/>
          </w:tcPr>
          <w:p w14:paraId="40B3846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109</w:t>
            </w:r>
          </w:p>
        </w:tc>
        <w:tc>
          <w:tcPr>
            <w:tcW w:w="372" w:type="pct"/>
            <w:tcBorders>
              <w:top w:val="nil"/>
              <w:left w:val="nil"/>
              <w:bottom w:val="single" w:sz="4" w:space="0" w:color="auto"/>
              <w:right w:val="nil"/>
            </w:tcBorders>
            <w:shd w:val="clear" w:color="auto" w:fill="auto"/>
            <w:noWrap/>
            <w:vAlign w:val="bottom"/>
            <w:hideMark/>
          </w:tcPr>
          <w:p w14:paraId="41EAC02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109</w:t>
            </w:r>
          </w:p>
        </w:tc>
        <w:tc>
          <w:tcPr>
            <w:tcW w:w="372" w:type="pct"/>
            <w:tcBorders>
              <w:top w:val="nil"/>
              <w:left w:val="nil"/>
              <w:bottom w:val="single" w:sz="4" w:space="0" w:color="auto"/>
              <w:right w:val="nil"/>
            </w:tcBorders>
            <w:shd w:val="clear" w:color="auto" w:fill="auto"/>
            <w:noWrap/>
            <w:vAlign w:val="bottom"/>
            <w:hideMark/>
          </w:tcPr>
          <w:p w14:paraId="65D9769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109</w:t>
            </w:r>
          </w:p>
        </w:tc>
        <w:tc>
          <w:tcPr>
            <w:tcW w:w="372" w:type="pct"/>
            <w:tcBorders>
              <w:top w:val="nil"/>
              <w:left w:val="nil"/>
              <w:bottom w:val="single" w:sz="4" w:space="0" w:color="auto"/>
              <w:right w:val="nil"/>
            </w:tcBorders>
            <w:shd w:val="clear" w:color="auto" w:fill="auto"/>
            <w:noWrap/>
            <w:vAlign w:val="bottom"/>
            <w:hideMark/>
          </w:tcPr>
          <w:p w14:paraId="62A89A4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109</w:t>
            </w:r>
          </w:p>
        </w:tc>
      </w:tr>
    </w:tbl>
    <w:p w14:paraId="5309ED5B" w14:textId="77777777" w:rsidR="00DD531B" w:rsidRPr="00170734" w:rsidRDefault="00DD531B" w:rsidP="00DD531B">
      <w:pPr>
        <w:rPr>
          <w:rFonts w:ascii="Times New Roman" w:eastAsia="Calibri" w:hAnsi="Times New Roman" w:cs="Times New Roman"/>
          <w:color w:val="5B9BD5" w:themeColor="accent1"/>
          <w:sz w:val="16"/>
          <w:szCs w:val="16"/>
        </w:rPr>
      </w:pPr>
    </w:p>
    <w:p w14:paraId="3EE3AD6D" w14:textId="1E876EED" w:rsidR="00DD531B" w:rsidRPr="00170734" w:rsidRDefault="00170734"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46" w:name="_Toc153013116"/>
      <w:r w:rsidRPr="00170734">
        <w:rPr>
          <w:rFonts w:ascii="Times New Roman" w:eastAsia="Times New Roman" w:hAnsi="Times New Roman" w:cs="Times New Roman"/>
          <w:b/>
          <w:iCs/>
          <w:color w:val="5B9BD5" w:themeColor="accent1"/>
          <w:sz w:val="20"/>
          <w:szCs w:val="20"/>
          <w:lang w:eastAsia="sk-SK"/>
        </w:rPr>
        <w:t xml:space="preserve">Tabuľka </w:t>
      </w:r>
      <w:r w:rsidRPr="00170734">
        <w:rPr>
          <w:rFonts w:ascii="Times New Roman" w:hAnsi="Times New Roman" w:cs="Times New Roman"/>
          <w:b/>
          <w:color w:val="5B9BD5" w:themeColor="accent1"/>
          <w:sz w:val="20"/>
          <w:szCs w:val="20"/>
        </w:rPr>
        <w:fldChar w:fldCharType="begin"/>
      </w:r>
      <w:r w:rsidRPr="00170734">
        <w:rPr>
          <w:rFonts w:ascii="Times New Roman" w:hAnsi="Times New Roman" w:cs="Times New Roman"/>
          <w:b/>
          <w:color w:val="5B9BD5" w:themeColor="accent1"/>
          <w:sz w:val="20"/>
          <w:szCs w:val="20"/>
        </w:rPr>
        <w:instrText xml:space="preserve"> SEQ Tabuľka \* ARABIC </w:instrText>
      </w:r>
      <w:r w:rsidRPr="00170734">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118</w:t>
      </w:r>
      <w:r w:rsidRPr="00170734">
        <w:rPr>
          <w:rFonts w:ascii="Times New Roman" w:hAnsi="Times New Roman" w:cs="Times New Roman"/>
          <w:b/>
          <w:color w:val="5B9BD5" w:themeColor="accent1"/>
          <w:sz w:val="20"/>
          <w:szCs w:val="20"/>
        </w:rPr>
        <w:fldChar w:fldCharType="end"/>
      </w:r>
      <w:r w:rsidRPr="00170734">
        <w:rPr>
          <w:rFonts w:ascii="Times New Roman" w:hAnsi="Times New Roman" w:cs="Times New Roman"/>
          <w:b/>
          <w:color w:val="5B9BD5" w:themeColor="accent1"/>
          <w:sz w:val="20"/>
          <w:szCs w:val="20"/>
        </w:rPr>
        <w:t xml:space="preserve"> - </w:t>
      </w:r>
      <w:r w:rsidR="00DD531B" w:rsidRPr="00170734">
        <w:rPr>
          <w:rFonts w:ascii="Times New Roman" w:eastAsia="Times New Roman" w:hAnsi="Times New Roman" w:cs="Times New Roman"/>
          <w:b/>
          <w:iCs/>
          <w:color w:val="5B9BD5" w:themeColor="accent1"/>
          <w:sz w:val="20"/>
          <w:szCs w:val="20"/>
          <w:lang w:eastAsia="sk-SK"/>
        </w:rPr>
        <w:t>Výdavky kapitoly SŠHR SR</w:t>
      </w:r>
      <w:bookmarkEnd w:id="246"/>
    </w:p>
    <w:tbl>
      <w:tblPr>
        <w:tblW w:w="5000" w:type="pct"/>
        <w:tblCellMar>
          <w:left w:w="70" w:type="dxa"/>
          <w:right w:w="70" w:type="dxa"/>
        </w:tblCellMar>
        <w:tblLook w:val="04A0" w:firstRow="1" w:lastRow="0" w:firstColumn="1" w:lastColumn="0" w:noHBand="0" w:noVBand="1"/>
      </w:tblPr>
      <w:tblGrid>
        <w:gridCol w:w="4263"/>
        <w:gridCol w:w="654"/>
        <w:gridCol w:w="653"/>
        <w:gridCol w:w="675"/>
        <w:gridCol w:w="802"/>
        <w:gridCol w:w="675"/>
        <w:gridCol w:w="675"/>
        <w:gridCol w:w="675"/>
      </w:tblGrid>
      <w:tr w:rsidR="00DD531B" w:rsidRPr="00170734" w14:paraId="1339E343" w14:textId="77777777" w:rsidTr="001F24AE">
        <w:trPr>
          <w:trHeight w:val="300"/>
        </w:trPr>
        <w:tc>
          <w:tcPr>
            <w:tcW w:w="2349" w:type="pct"/>
            <w:tcBorders>
              <w:top w:val="single" w:sz="4" w:space="0" w:color="auto"/>
              <w:left w:val="nil"/>
              <w:bottom w:val="single" w:sz="4" w:space="0" w:color="auto"/>
              <w:right w:val="nil"/>
            </w:tcBorders>
            <w:shd w:val="clear" w:color="auto" w:fill="auto"/>
            <w:noWrap/>
            <w:vAlign w:val="center"/>
            <w:hideMark/>
          </w:tcPr>
          <w:p w14:paraId="3F81019E"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v tis. eur</w:t>
            </w:r>
          </w:p>
        </w:tc>
        <w:tc>
          <w:tcPr>
            <w:tcW w:w="360" w:type="pct"/>
            <w:tcBorders>
              <w:top w:val="single" w:sz="4" w:space="0" w:color="auto"/>
              <w:left w:val="nil"/>
              <w:bottom w:val="single" w:sz="4" w:space="0" w:color="auto"/>
              <w:right w:val="nil"/>
            </w:tcBorders>
            <w:shd w:val="clear" w:color="auto" w:fill="auto"/>
            <w:noWrap/>
            <w:vAlign w:val="center"/>
            <w:hideMark/>
          </w:tcPr>
          <w:p w14:paraId="5327EE21"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2021 S</w:t>
            </w:r>
          </w:p>
        </w:tc>
        <w:tc>
          <w:tcPr>
            <w:tcW w:w="360" w:type="pct"/>
            <w:tcBorders>
              <w:top w:val="single" w:sz="4" w:space="0" w:color="auto"/>
              <w:left w:val="nil"/>
              <w:bottom w:val="single" w:sz="4" w:space="0" w:color="auto"/>
              <w:right w:val="nil"/>
            </w:tcBorders>
            <w:shd w:val="clear" w:color="auto" w:fill="auto"/>
            <w:noWrap/>
            <w:vAlign w:val="center"/>
            <w:hideMark/>
          </w:tcPr>
          <w:p w14:paraId="3DE738C3"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2022 S</w:t>
            </w:r>
          </w:p>
        </w:tc>
        <w:tc>
          <w:tcPr>
            <w:tcW w:w="372" w:type="pct"/>
            <w:tcBorders>
              <w:top w:val="single" w:sz="4" w:space="0" w:color="auto"/>
              <w:left w:val="nil"/>
              <w:bottom w:val="single" w:sz="4" w:space="0" w:color="auto"/>
              <w:right w:val="nil"/>
            </w:tcBorders>
            <w:shd w:val="clear" w:color="auto" w:fill="auto"/>
            <w:noWrap/>
            <w:vAlign w:val="center"/>
            <w:hideMark/>
          </w:tcPr>
          <w:p w14:paraId="6A796355"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2023 R</w:t>
            </w:r>
          </w:p>
        </w:tc>
        <w:tc>
          <w:tcPr>
            <w:tcW w:w="442" w:type="pct"/>
            <w:tcBorders>
              <w:top w:val="single" w:sz="4" w:space="0" w:color="auto"/>
              <w:left w:val="nil"/>
              <w:bottom w:val="single" w:sz="4" w:space="0" w:color="auto"/>
              <w:right w:val="nil"/>
            </w:tcBorders>
            <w:shd w:val="clear" w:color="auto" w:fill="auto"/>
            <w:noWrap/>
            <w:vAlign w:val="center"/>
            <w:hideMark/>
          </w:tcPr>
          <w:p w14:paraId="4DE4B38E"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2023 OS</w:t>
            </w:r>
          </w:p>
        </w:tc>
        <w:tc>
          <w:tcPr>
            <w:tcW w:w="372" w:type="pct"/>
            <w:tcBorders>
              <w:top w:val="single" w:sz="4" w:space="0" w:color="auto"/>
              <w:left w:val="nil"/>
              <w:bottom w:val="single" w:sz="4" w:space="0" w:color="auto"/>
              <w:right w:val="nil"/>
            </w:tcBorders>
            <w:shd w:val="clear" w:color="auto" w:fill="auto"/>
            <w:noWrap/>
            <w:vAlign w:val="center"/>
            <w:hideMark/>
          </w:tcPr>
          <w:p w14:paraId="59C93C34"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2024 N</w:t>
            </w:r>
          </w:p>
        </w:tc>
        <w:tc>
          <w:tcPr>
            <w:tcW w:w="372" w:type="pct"/>
            <w:tcBorders>
              <w:top w:val="single" w:sz="4" w:space="0" w:color="auto"/>
              <w:left w:val="nil"/>
              <w:bottom w:val="single" w:sz="4" w:space="0" w:color="auto"/>
              <w:right w:val="nil"/>
            </w:tcBorders>
            <w:shd w:val="clear" w:color="auto" w:fill="auto"/>
            <w:noWrap/>
            <w:vAlign w:val="center"/>
            <w:hideMark/>
          </w:tcPr>
          <w:p w14:paraId="18178D21"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2025 N</w:t>
            </w:r>
          </w:p>
        </w:tc>
        <w:tc>
          <w:tcPr>
            <w:tcW w:w="372" w:type="pct"/>
            <w:tcBorders>
              <w:top w:val="single" w:sz="4" w:space="0" w:color="auto"/>
              <w:left w:val="nil"/>
              <w:bottom w:val="single" w:sz="4" w:space="0" w:color="auto"/>
              <w:right w:val="nil"/>
            </w:tcBorders>
            <w:shd w:val="clear" w:color="auto" w:fill="auto"/>
            <w:noWrap/>
            <w:vAlign w:val="center"/>
            <w:hideMark/>
          </w:tcPr>
          <w:p w14:paraId="5A8DF697" w14:textId="77777777" w:rsidR="00DD531B" w:rsidRPr="00170734" w:rsidRDefault="00DD531B" w:rsidP="00170734">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2026 N</w:t>
            </w:r>
          </w:p>
        </w:tc>
      </w:tr>
      <w:tr w:rsidR="00DD531B" w:rsidRPr="00170734" w14:paraId="236459CB" w14:textId="77777777" w:rsidTr="001F24AE">
        <w:trPr>
          <w:trHeight w:val="300"/>
        </w:trPr>
        <w:tc>
          <w:tcPr>
            <w:tcW w:w="2349" w:type="pct"/>
            <w:tcBorders>
              <w:top w:val="nil"/>
              <w:left w:val="nil"/>
              <w:bottom w:val="nil"/>
              <w:right w:val="nil"/>
            </w:tcBorders>
            <w:shd w:val="clear" w:color="auto" w:fill="auto"/>
            <w:noWrap/>
            <w:vAlign w:val="center"/>
            <w:hideMark/>
          </w:tcPr>
          <w:p w14:paraId="2ED0441A" w14:textId="77777777" w:rsidR="00DD531B" w:rsidRPr="00170734" w:rsidRDefault="00DD531B" w:rsidP="00DD531B">
            <w:pPr>
              <w:spacing w:after="0" w:line="240" w:lineRule="auto"/>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Výdavky kapitoly spolu</w:t>
            </w:r>
          </w:p>
        </w:tc>
        <w:tc>
          <w:tcPr>
            <w:tcW w:w="360" w:type="pct"/>
            <w:tcBorders>
              <w:top w:val="nil"/>
              <w:left w:val="nil"/>
              <w:bottom w:val="nil"/>
              <w:right w:val="nil"/>
            </w:tcBorders>
            <w:shd w:val="clear" w:color="auto" w:fill="auto"/>
            <w:noWrap/>
            <w:vAlign w:val="center"/>
            <w:hideMark/>
          </w:tcPr>
          <w:p w14:paraId="06D16D38"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62 773</w:t>
            </w:r>
          </w:p>
        </w:tc>
        <w:tc>
          <w:tcPr>
            <w:tcW w:w="360" w:type="pct"/>
            <w:tcBorders>
              <w:top w:val="nil"/>
              <w:left w:val="nil"/>
              <w:bottom w:val="nil"/>
              <w:right w:val="nil"/>
            </w:tcBorders>
            <w:shd w:val="clear" w:color="auto" w:fill="auto"/>
            <w:noWrap/>
            <w:vAlign w:val="center"/>
            <w:hideMark/>
          </w:tcPr>
          <w:p w14:paraId="2B57B3AB"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17 892</w:t>
            </w:r>
          </w:p>
        </w:tc>
        <w:tc>
          <w:tcPr>
            <w:tcW w:w="372" w:type="pct"/>
            <w:tcBorders>
              <w:top w:val="nil"/>
              <w:left w:val="nil"/>
              <w:bottom w:val="nil"/>
              <w:right w:val="nil"/>
            </w:tcBorders>
            <w:shd w:val="clear" w:color="auto" w:fill="auto"/>
            <w:noWrap/>
            <w:vAlign w:val="center"/>
            <w:hideMark/>
          </w:tcPr>
          <w:p w14:paraId="5E94750C"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9 109</w:t>
            </w:r>
          </w:p>
        </w:tc>
        <w:tc>
          <w:tcPr>
            <w:tcW w:w="442" w:type="pct"/>
            <w:tcBorders>
              <w:top w:val="nil"/>
              <w:left w:val="nil"/>
              <w:bottom w:val="nil"/>
              <w:right w:val="nil"/>
            </w:tcBorders>
            <w:shd w:val="clear" w:color="auto" w:fill="auto"/>
            <w:noWrap/>
            <w:vAlign w:val="center"/>
            <w:hideMark/>
          </w:tcPr>
          <w:p w14:paraId="005B239B"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18 877</w:t>
            </w:r>
          </w:p>
        </w:tc>
        <w:tc>
          <w:tcPr>
            <w:tcW w:w="372" w:type="pct"/>
            <w:tcBorders>
              <w:top w:val="nil"/>
              <w:left w:val="nil"/>
              <w:bottom w:val="nil"/>
              <w:right w:val="nil"/>
            </w:tcBorders>
            <w:shd w:val="clear" w:color="auto" w:fill="auto"/>
            <w:noWrap/>
            <w:vAlign w:val="center"/>
            <w:hideMark/>
          </w:tcPr>
          <w:p w14:paraId="4371A768"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11 357</w:t>
            </w:r>
          </w:p>
        </w:tc>
        <w:tc>
          <w:tcPr>
            <w:tcW w:w="372" w:type="pct"/>
            <w:tcBorders>
              <w:top w:val="nil"/>
              <w:left w:val="nil"/>
              <w:bottom w:val="nil"/>
              <w:right w:val="nil"/>
            </w:tcBorders>
            <w:shd w:val="clear" w:color="auto" w:fill="auto"/>
            <w:noWrap/>
            <w:vAlign w:val="center"/>
            <w:hideMark/>
          </w:tcPr>
          <w:p w14:paraId="7A30202A"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10 839</w:t>
            </w:r>
          </w:p>
        </w:tc>
        <w:tc>
          <w:tcPr>
            <w:tcW w:w="372" w:type="pct"/>
            <w:tcBorders>
              <w:top w:val="nil"/>
              <w:left w:val="nil"/>
              <w:bottom w:val="nil"/>
              <w:right w:val="nil"/>
            </w:tcBorders>
            <w:shd w:val="clear" w:color="auto" w:fill="auto"/>
            <w:noWrap/>
            <w:vAlign w:val="center"/>
            <w:hideMark/>
          </w:tcPr>
          <w:p w14:paraId="234EDC40"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12 165</w:t>
            </w:r>
          </w:p>
        </w:tc>
      </w:tr>
      <w:tr w:rsidR="00DD531B" w:rsidRPr="00170734" w14:paraId="55931833" w14:textId="77777777" w:rsidTr="001F24AE">
        <w:trPr>
          <w:trHeight w:val="300"/>
        </w:trPr>
        <w:tc>
          <w:tcPr>
            <w:tcW w:w="2349" w:type="pct"/>
            <w:tcBorders>
              <w:top w:val="nil"/>
              <w:left w:val="nil"/>
              <w:bottom w:val="nil"/>
              <w:right w:val="nil"/>
            </w:tcBorders>
            <w:shd w:val="clear" w:color="auto" w:fill="auto"/>
            <w:noWrap/>
            <w:vAlign w:val="bottom"/>
            <w:hideMark/>
          </w:tcPr>
          <w:p w14:paraId="5BD592B7"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rozpočtové zdroje kapitoly</w:t>
            </w:r>
          </w:p>
        </w:tc>
        <w:tc>
          <w:tcPr>
            <w:tcW w:w="360" w:type="pct"/>
            <w:tcBorders>
              <w:top w:val="nil"/>
              <w:left w:val="nil"/>
              <w:bottom w:val="nil"/>
              <w:right w:val="nil"/>
            </w:tcBorders>
            <w:shd w:val="clear" w:color="auto" w:fill="auto"/>
            <w:noWrap/>
            <w:vAlign w:val="bottom"/>
            <w:hideMark/>
          </w:tcPr>
          <w:p w14:paraId="2B6A6BBF"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36 384</w:t>
            </w:r>
          </w:p>
        </w:tc>
        <w:tc>
          <w:tcPr>
            <w:tcW w:w="360" w:type="pct"/>
            <w:tcBorders>
              <w:top w:val="nil"/>
              <w:left w:val="nil"/>
              <w:bottom w:val="nil"/>
              <w:right w:val="nil"/>
            </w:tcBorders>
            <w:shd w:val="clear" w:color="auto" w:fill="auto"/>
            <w:noWrap/>
            <w:vAlign w:val="bottom"/>
            <w:hideMark/>
          </w:tcPr>
          <w:p w14:paraId="2CB43C21"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8 408</w:t>
            </w:r>
          </w:p>
        </w:tc>
        <w:tc>
          <w:tcPr>
            <w:tcW w:w="372" w:type="pct"/>
            <w:tcBorders>
              <w:top w:val="nil"/>
              <w:left w:val="nil"/>
              <w:bottom w:val="nil"/>
              <w:right w:val="nil"/>
            </w:tcBorders>
            <w:shd w:val="clear" w:color="auto" w:fill="auto"/>
            <w:noWrap/>
            <w:vAlign w:val="bottom"/>
            <w:hideMark/>
          </w:tcPr>
          <w:p w14:paraId="19738B3E"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9 109</w:t>
            </w:r>
          </w:p>
        </w:tc>
        <w:tc>
          <w:tcPr>
            <w:tcW w:w="442" w:type="pct"/>
            <w:tcBorders>
              <w:top w:val="nil"/>
              <w:left w:val="nil"/>
              <w:bottom w:val="nil"/>
              <w:right w:val="nil"/>
            </w:tcBorders>
            <w:shd w:val="clear" w:color="auto" w:fill="auto"/>
            <w:noWrap/>
            <w:vAlign w:val="bottom"/>
            <w:hideMark/>
          </w:tcPr>
          <w:p w14:paraId="00B1876B"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10 066</w:t>
            </w:r>
          </w:p>
        </w:tc>
        <w:tc>
          <w:tcPr>
            <w:tcW w:w="372" w:type="pct"/>
            <w:tcBorders>
              <w:top w:val="nil"/>
              <w:left w:val="nil"/>
              <w:bottom w:val="nil"/>
              <w:right w:val="nil"/>
            </w:tcBorders>
            <w:shd w:val="clear" w:color="auto" w:fill="auto"/>
            <w:noWrap/>
            <w:vAlign w:val="bottom"/>
            <w:hideMark/>
          </w:tcPr>
          <w:p w14:paraId="35A4C8B2"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11 357</w:t>
            </w:r>
          </w:p>
        </w:tc>
        <w:tc>
          <w:tcPr>
            <w:tcW w:w="372" w:type="pct"/>
            <w:tcBorders>
              <w:top w:val="nil"/>
              <w:left w:val="nil"/>
              <w:bottom w:val="nil"/>
              <w:right w:val="nil"/>
            </w:tcBorders>
            <w:shd w:val="clear" w:color="auto" w:fill="auto"/>
            <w:noWrap/>
            <w:vAlign w:val="bottom"/>
            <w:hideMark/>
          </w:tcPr>
          <w:p w14:paraId="0DB430AE"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10 839</w:t>
            </w:r>
          </w:p>
        </w:tc>
        <w:tc>
          <w:tcPr>
            <w:tcW w:w="372" w:type="pct"/>
            <w:tcBorders>
              <w:top w:val="nil"/>
              <w:left w:val="nil"/>
              <w:bottom w:val="nil"/>
              <w:right w:val="nil"/>
            </w:tcBorders>
            <w:shd w:val="clear" w:color="auto" w:fill="auto"/>
            <w:noWrap/>
            <w:vAlign w:val="bottom"/>
            <w:hideMark/>
          </w:tcPr>
          <w:p w14:paraId="54BC443F"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12 165</w:t>
            </w:r>
          </w:p>
        </w:tc>
      </w:tr>
      <w:tr w:rsidR="00DD531B" w:rsidRPr="00170734" w14:paraId="458CB723" w14:textId="77777777" w:rsidTr="001F24AE">
        <w:trPr>
          <w:trHeight w:val="300"/>
        </w:trPr>
        <w:tc>
          <w:tcPr>
            <w:tcW w:w="2349" w:type="pct"/>
            <w:tcBorders>
              <w:top w:val="nil"/>
              <w:left w:val="nil"/>
              <w:bottom w:val="nil"/>
              <w:right w:val="nil"/>
            </w:tcBorders>
            <w:shd w:val="clear" w:color="auto" w:fill="auto"/>
            <w:noWrap/>
            <w:vAlign w:val="bottom"/>
            <w:hideMark/>
          </w:tcPr>
          <w:p w14:paraId="07144B46"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bežné výdavky  600, v tom:</w:t>
            </w:r>
          </w:p>
        </w:tc>
        <w:tc>
          <w:tcPr>
            <w:tcW w:w="360" w:type="pct"/>
            <w:tcBorders>
              <w:top w:val="nil"/>
              <w:left w:val="nil"/>
              <w:bottom w:val="nil"/>
              <w:right w:val="nil"/>
            </w:tcBorders>
            <w:shd w:val="clear" w:color="auto" w:fill="auto"/>
            <w:noWrap/>
            <w:vAlign w:val="bottom"/>
            <w:hideMark/>
          </w:tcPr>
          <w:p w14:paraId="309881B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8 544</w:t>
            </w:r>
          </w:p>
        </w:tc>
        <w:tc>
          <w:tcPr>
            <w:tcW w:w="360" w:type="pct"/>
            <w:tcBorders>
              <w:top w:val="nil"/>
              <w:left w:val="nil"/>
              <w:bottom w:val="nil"/>
              <w:right w:val="nil"/>
            </w:tcBorders>
            <w:shd w:val="clear" w:color="auto" w:fill="auto"/>
            <w:noWrap/>
            <w:vAlign w:val="bottom"/>
            <w:hideMark/>
          </w:tcPr>
          <w:p w14:paraId="65B60A2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8 318</w:t>
            </w:r>
          </w:p>
        </w:tc>
        <w:tc>
          <w:tcPr>
            <w:tcW w:w="372" w:type="pct"/>
            <w:tcBorders>
              <w:top w:val="nil"/>
              <w:left w:val="nil"/>
              <w:bottom w:val="nil"/>
              <w:right w:val="nil"/>
            </w:tcBorders>
            <w:shd w:val="clear" w:color="auto" w:fill="auto"/>
            <w:noWrap/>
            <w:vAlign w:val="bottom"/>
            <w:hideMark/>
          </w:tcPr>
          <w:p w14:paraId="13B1240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9 109</w:t>
            </w:r>
          </w:p>
        </w:tc>
        <w:tc>
          <w:tcPr>
            <w:tcW w:w="442" w:type="pct"/>
            <w:tcBorders>
              <w:top w:val="nil"/>
              <w:left w:val="nil"/>
              <w:bottom w:val="nil"/>
              <w:right w:val="nil"/>
            </w:tcBorders>
            <w:shd w:val="clear" w:color="auto" w:fill="auto"/>
            <w:noWrap/>
            <w:vAlign w:val="bottom"/>
            <w:hideMark/>
          </w:tcPr>
          <w:p w14:paraId="0DBF3B6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9 622</w:t>
            </w:r>
          </w:p>
        </w:tc>
        <w:tc>
          <w:tcPr>
            <w:tcW w:w="372" w:type="pct"/>
            <w:tcBorders>
              <w:top w:val="nil"/>
              <w:left w:val="nil"/>
              <w:bottom w:val="nil"/>
              <w:right w:val="nil"/>
            </w:tcBorders>
            <w:shd w:val="clear" w:color="auto" w:fill="auto"/>
            <w:noWrap/>
            <w:vAlign w:val="bottom"/>
            <w:hideMark/>
          </w:tcPr>
          <w:p w14:paraId="7C563CE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9 745</w:t>
            </w:r>
          </w:p>
        </w:tc>
        <w:tc>
          <w:tcPr>
            <w:tcW w:w="372" w:type="pct"/>
            <w:tcBorders>
              <w:top w:val="nil"/>
              <w:left w:val="nil"/>
              <w:bottom w:val="nil"/>
              <w:right w:val="nil"/>
            </w:tcBorders>
            <w:shd w:val="clear" w:color="auto" w:fill="auto"/>
            <w:noWrap/>
            <w:vAlign w:val="bottom"/>
            <w:hideMark/>
          </w:tcPr>
          <w:p w14:paraId="136C2286"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9 742</w:t>
            </w:r>
          </w:p>
        </w:tc>
        <w:tc>
          <w:tcPr>
            <w:tcW w:w="372" w:type="pct"/>
            <w:tcBorders>
              <w:top w:val="nil"/>
              <w:left w:val="nil"/>
              <w:bottom w:val="nil"/>
              <w:right w:val="nil"/>
            </w:tcBorders>
            <w:shd w:val="clear" w:color="auto" w:fill="auto"/>
            <w:noWrap/>
            <w:vAlign w:val="bottom"/>
            <w:hideMark/>
          </w:tcPr>
          <w:p w14:paraId="36751AAA"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9 942</w:t>
            </w:r>
          </w:p>
        </w:tc>
      </w:tr>
      <w:tr w:rsidR="00DD531B" w:rsidRPr="00170734" w14:paraId="71CB80A0" w14:textId="77777777" w:rsidTr="001F24AE">
        <w:trPr>
          <w:trHeight w:val="300"/>
        </w:trPr>
        <w:tc>
          <w:tcPr>
            <w:tcW w:w="2349" w:type="pct"/>
            <w:tcBorders>
              <w:top w:val="nil"/>
              <w:left w:val="nil"/>
              <w:bottom w:val="nil"/>
              <w:right w:val="nil"/>
            </w:tcBorders>
            <w:shd w:val="clear" w:color="auto" w:fill="auto"/>
            <w:noWrap/>
            <w:vAlign w:val="bottom"/>
            <w:hideMark/>
          </w:tcPr>
          <w:p w14:paraId="425A8937"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610 mzdy</w:t>
            </w:r>
          </w:p>
        </w:tc>
        <w:tc>
          <w:tcPr>
            <w:tcW w:w="360" w:type="pct"/>
            <w:tcBorders>
              <w:top w:val="nil"/>
              <w:left w:val="nil"/>
              <w:bottom w:val="nil"/>
              <w:right w:val="nil"/>
            </w:tcBorders>
            <w:shd w:val="clear" w:color="auto" w:fill="auto"/>
            <w:noWrap/>
            <w:vAlign w:val="bottom"/>
            <w:hideMark/>
          </w:tcPr>
          <w:p w14:paraId="264ED21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1 848</w:t>
            </w:r>
          </w:p>
        </w:tc>
        <w:tc>
          <w:tcPr>
            <w:tcW w:w="360" w:type="pct"/>
            <w:tcBorders>
              <w:top w:val="nil"/>
              <w:left w:val="nil"/>
              <w:bottom w:val="nil"/>
              <w:right w:val="nil"/>
            </w:tcBorders>
            <w:shd w:val="clear" w:color="auto" w:fill="auto"/>
            <w:noWrap/>
            <w:vAlign w:val="bottom"/>
            <w:hideMark/>
          </w:tcPr>
          <w:p w14:paraId="38DF287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1 727</w:t>
            </w:r>
          </w:p>
        </w:tc>
        <w:tc>
          <w:tcPr>
            <w:tcW w:w="372" w:type="pct"/>
            <w:tcBorders>
              <w:top w:val="nil"/>
              <w:left w:val="nil"/>
              <w:bottom w:val="nil"/>
              <w:right w:val="nil"/>
            </w:tcBorders>
            <w:shd w:val="clear" w:color="auto" w:fill="auto"/>
            <w:noWrap/>
            <w:vAlign w:val="bottom"/>
            <w:hideMark/>
          </w:tcPr>
          <w:p w14:paraId="641FD16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2 054</w:t>
            </w:r>
          </w:p>
        </w:tc>
        <w:tc>
          <w:tcPr>
            <w:tcW w:w="442" w:type="pct"/>
            <w:tcBorders>
              <w:top w:val="nil"/>
              <w:left w:val="nil"/>
              <w:bottom w:val="nil"/>
              <w:right w:val="nil"/>
            </w:tcBorders>
            <w:shd w:val="clear" w:color="auto" w:fill="auto"/>
            <w:noWrap/>
            <w:vAlign w:val="bottom"/>
            <w:hideMark/>
          </w:tcPr>
          <w:p w14:paraId="33B0CEB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2 054</w:t>
            </w:r>
          </w:p>
        </w:tc>
        <w:tc>
          <w:tcPr>
            <w:tcW w:w="372" w:type="pct"/>
            <w:tcBorders>
              <w:top w:val="nil"/>
              <w:left w:val="nil"/>
              <w:bottom w:val="nil"/>
              <w:right w:val="nil"/>
            </w:tcBorders>
            <w:shd w:val="clear" w:color="auto" w:fill="auto"/>
            <w:noWrap/>
            <w:vAlign w:val="bottom"/>
            <w:hideMark/>
          </w:tcPr>
          <w:p w14:paraId="20F6C66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2 180</w:t>
            </w:r>
          </w:p>
        </w:tc>
        <w:tc>
          <w:tcPr>
            <w:tcW w:w="372" w:type="pct"/>
            <w:tcBorders>
              <w:top w:val="nil"/>
              <w:left w:val="nil"/>
              <w:bottom w:val="nil"/>
              <w:right w:val="nil"/>
            </w:tcBorders>
            <w:shd w:val="clear" w:color="auto" w:fill="auto"/>
            <w:noWrap/>
            <w:vAlign w:val="bottom"/>
            <w:hideMark/>
          </w:tcPr>
          <w:p w14:paraId="36253BC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2 180</w:t>
            </w:r>
          </w:p>
        </w:tc>
        <w:tc>
          <w:tcPr>
            <w:tcW w:w="372" w:type="pct"/>
            <w:tcBorders>
              <w:top w:val="nil"/>
              <w:left w:val="nil"/>
              <w:bottom w:val="nil"/>
              <w:right w:val="nil"/>
            </w:tcBorders>
            <w:shd w:val="clear" w:color="auto" w:fill="auto"/>
            <w:noWrap/>
            <w:vAlign w:val="bottom"/>
            <w:hideMark/>
          </w:tcPr>
          <w:p w14:paraId="4D73E2AA"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2 180</w:t>
            </w:r>
          </w:p>
        </w:tc>
      </w:tr>
      <w:tr w:rsidR="00DD531B" w:rsidRPr="00170734" w14:paraId="14ED9124" w14:textId="77777777" w:rsidTr="001F24AE">
        <w:trPr>
          <w:trHeight w:val="300"/>
        </w:trPr>
        <w:tc>
          <w:tcPr>
            <w:tcW w:w="2349" w:type="pct"/>
            <w:tcBorders>
              <w:top w:val="nil"/>
              <w:left w:val="nil"/>
              <w:bottom w:val="nil"/>
              <w:right w:val="nil"/>
            </w:tcBorders>
            <w:shd w:val="clear" w:color="auto" w:fill="auto"/>
            <w:noWrap/>
            <w:vAlign w:val="bottom"/>
            <w:hideMark/>
          </w:tcPr>
          <w:p w14:paraId="27127768"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620 odvody</w:t>
            </w:r>
          </w:p>
        </w:tc>
        <w:tc>
          <w:tcPr>
            <w:tcW w:w="360" w:type="pct"/>
            <w:tcBorders>
              <w:top w:val="nil"/>
              <w:left w:val="nil"/>
              <w:bottom w:val="nil"/>
              <w:right w:val="nil"/>
            </w:tcBorders>
            <w:shd w:val="clear" w:color="auto" w:fill="auto"/>
            <w:noWrap/>
            <w:vAlign w:val="bottom"/>
            <w:hideMark/>
          </w:tcPr>
          <w:p w14:paraId="0A7B9F3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730</w:t>
            </w:r>
          </w:p>
        </w:tc>
        <w:tc>
          <w:tcPr>
            <w:tcW w:w="360" w:type="pct"/>
            <w:tcBorders>
              <w:top w:val="nil"/>
              <w:left w:val="nil"/>
              <w:bottom w:val="nil"/>
              <w:right w:val="nil"/>
            </w:tcBorders>
            <w:shd w:val="clear" w:color="auto" w:fill="auto"/>
            <w:noWrap/>
            <w:vAlign w:val="bottom"/>
            <w:hideMark/>
          </w:tcPr>
          <w:p w14:paraId="43987B17"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681</w:t>
            </w:r>
          </w:p>
        </w:tc>
        <w:tc>
          <w:tcPr>
            <w:tcW w:w="372" w:type="pct"/>
            <w:tcBorders>
              <w:top w:val="nil"/>
              <w:left w:val="nil"/>
              <w:bottom w:val="nil"/>
              <w:right w:val="nil"/>
            </w:tcBorders>
            <w:shd w:val="clear" w:color="auto" w:fill="auto"/>
            <w:noWrap/>
            <w:vAlign w:val="bottom"/>
            <w:hideMark/>
          </w:tcPr>
          <w:p w14:paraId="4BB7075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778</w:t>
            </w:r>
          </w:p>
        </w:tc>
        <w:tc>
          <w:tcPr>
            <w:tcW w:w="442" w:type="pct"/>
            <w:tcBorders>
              <w:top w:val="nil"/>
              <w:left w:val="nil"/>
              <w:bottom w:val="nil"/>
              <w:right w:val="nil"/>
            </w:tcBorders>
            <w:shd w:val="clear" w:color="auto" w:fill="auto"/>
            <w:noWrap/>
            <w:vAlign w:val="bottom"/>
            <w:hideMark/>
          </w:tcPr>
          <w:p w14:paraId="47A129E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767</w:t>
            </w:r>
          </w:p>
        </w:tc>
        <w:tc>
          <w:tcPr>
            <w:tcW w:w="372" w:type="pct"/>
            <w:tcBorders>
              <w:top w:val="nil"/>
              <w:left w:val="nil"/>
              <w:bottom w:val="nil"/>
              <w:right w:val="nil"/>
            </w:tcBorders>
            <w:shd w:val="clear" w:color="auto" w:fill="auto"/>
            <w:noWrap/>
            <w:vAlign w:val="bottom"/>
            <w:hideMark/>
          </w:tcPr>
          <w:p w14:paraId="0CD0B36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821</w:t>
            </w:r>
          </w:p>
        </w:tc>
        <w:tc>
          <w:tcPr>
            <w:tcW w:w="372" w:type="pct"/>
            <w:tcBorders>
              <w:top w:val="nil"/>
              <w:left w:val="nil"/>
              <w:bottom w:val="nil"/>
              <w:right w:val="nil"/>
            </w:tcBorders>
            <w:shd w:val="clear" w:color="auto" w:fill="auto"/>
            <w:noWrap/>
            <w:vAlign w:val="bottom"/>
            <w:hideMark/>
          </w:tcPr>
          <w:p w14:paraId="3D7FF46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821</w:t>
            </w:r>
          </w:p>
        </w:tc>
        <w:tc>
          <w:tcPr>
            <w:tcW w:w="372" w:type="pct"/>
            <w:tcBorders>
              <w:top w:val="nil"/>
              <w:left w:val="nil"/>
              <w:bottom w:val="nil"/>
              <w:right w:val="nil"/>
            </w:tcBorders>
            <w:shd w:val="clear" w:color="auto" w:fill="auto"/>
            <w:noWrap/>
            <w:vAlign w:val="bottom"/>
            <w:hideMark/>
          </w:tcPr>
          <w:p w14:paraId="70D0CA4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821</w:t>
            </w:r>
          </w:p>
        </w:tc>
      </w:tr>
      <w:tr w:rsidR="00DD531B" w:rsidRPr="00170734" w14:paraId="3D314934" w14:textId="77777777" w:rsidTr="001F24AE">
        <w:trPr>
          <w:trHeight w:val="300"/>
        </w:trPr>
        <w:tc>
          <w:tcPr>
            <w:tcW w:w="2349" w:type="pct"/>
            <w:tcBorders>
              <w:top w:val="nil"/>
              <w:left w:val="nil"/>
              <w:bottom w:val="nil"/>
              <w:right w:val="nil"/>
            </w:tcBorders>
            <w:shd w:val="clear" w:color="auto" w:fill="auto"/>
            <w:noWrap/>
            <w:vAlign w:val="bottom"/>
            <w:hideMark/>
          </w:tcPr>
          <w:p w14:paraId="78E5C926"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630 tovary a služby</w:t>
            </w:r>
          </w:p>
        </w:tc>
        <w:tc>
          <w:tcPr>
            <w:tcW w:w="360" w:type="pct"/>
            <w:tcBorders>
              <w:top w:val="nil"/>
              <w:left w:val="nil"/>
              <w:bottom w:val="nil"/>
              <w:right w:val="nil"/>
            </w:tcBorders>
            <w:shd w:val="clear" w:color="auto" w:fill="auto"/>
            <w:noWrap/>
            <w:vAlign w:val="bottom"/>
            <w:hideMark/>
          </w:tcPr>
          <w:p w14:paraId="2262A40D"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5 908</w:t>
            </w:r>
          </w:p>
        </w:tc>
        <w:tc>
          <w:tcPr>
            <w:tcW w:w="360" w:type="pct"/>
            <w:tcBorders>
              <w:top w:val="nil"/>
              <w:left w:val="nil"/>
              <w:bottom w:val="nil"/>
              <w:right w:val="nil"/>
            </w:tcBorders>
            <w:shd w:val="clear" w:color="auto" w:fill="auto"/>
            <w:noWrap/>
            <w:vAlign w:val="bottom"/>
            <w:hideMark/>
          </w:tcPr>
          <w:p w14:paraId="3D3C5A4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5 844</w:t>
            </w:r>
          </w:p>
        </w:tc>
        <w:tc>
          <w:tcPr>
            <w:tcW w:w="372" w:type="pct"/>
            <w:tcBorders>
              <w:top w:val="nil"/>
              <w:left w:val="nil"/>
              <w:bottom w:val="nil"/>
              <w:right w:val="nil"/>
            </w:tcBorders>
            <w:shd w:val="clear" w:color="auto" w:fill="auto"/>
            <w:noWrap/>
            <w:vAlign w:val="bottom"/>
            <w:hideMark/>
          </w:tcPr>
          <w:p w14:paraId="4F5FD0D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6 240</w:t>
            </w:r>
          </w:p>
        </w:tc>
        <w:tc>
          <w:tcPr>
            <w:tcW w:w="442" w:type="pct"/>
            <w:tcBorders>
              <w:top w:val="nil"/>
              <w:left w:val="nil"/>
              <w:bottom w:val="nil"/>
              <w:right w:val="nil"/>
            </w:tcBorders>
            <w:shd w:val="clear" w:color="auto" w:fill="auto"/>
            <w:noWrap/>
            <w:vAlign w:val="bottom"/>
            <w:hideMark/>
          </w:tcPr>
          <w:p w14:paraId="29DBEF1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6 649</w:t>
            </w:r>
          </w:p>
        </w:tc>
        <w:tc>
          <w:tcPr>
            <w:tcW w:w="372" w:type="pct"/>
            <w:tcBorders>
              <w:top w:val="nil"/>
              <w:left w:val="nil"/>
              <w:bottom w:val="nil"/>
              <w:right w:val="nil"/>
            </w:tcBorders>
            <w:shd w:val="clear" w:color="auto" w:fill="auto"/>
            <w:noWrap/>
            <w:vAlign w:val="bottom"/>
            <w:hideMark/>
          </w:tcPr>
          <w:p w14:paraId="75714D6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6 635</w:t>
            </w:r>
          </w:p>
        </w:tc>
        <w:tc>
          <w:tcPr>
            <w:tcW w:w="372" w:type="pct"/>
            <w:tcBorders>
              <w:top w:val="nil"/>
              <w:left w:val="nil"/>
              <w:bottom w:val="nil"/>
              <w:right w:val="nil"/>
            </w:tcBorders>
            <w:shd w:val="clear" w:color="auto" w:fill="auto"/>
            <w:noWrap/>
            <w:vAlign w:val="bottom"/>
            <w:hideMark/>
          </w:tcPr>
          <w:p w14:paraId="16B2694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6 632</w:t>
            </w:r>
          </w:p>
        </w:tc>
        <w:tc>
          <w:tcPr>
            <w:tcW w:w="372" w:type="pct"/>
            <w:tcBorders>
              <w:top w:val="nil"/>
              <w:left w:val="nil"/>
              <w:bottom w:val="nil"/>
              <w:right w:val="nil"/>
            </w:tcBorders>
            <w:shd w:val="clear" w:color="auto" w:fill="auto"/>
            <w:noWrap/>
            <w:vAlign w:val="bottom"/>
            <w:hideMark/>
          </w:tcPr>
          <w:p w14:paraId="557D2640"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6 832</w:t>
            </w:r>
          </w:p>
        </w:tc>
      </w:tr>
      <w:tr w:rsidR="00DD531B" w:rsidRPr="00170734" w14:paraId="5F11EF4A" w14:textId="77777777" w:rsidTr="001F24AE">
        <w:trPr>
          <w:trHeight w:val="300"/>
        </w:trPr>
        <w:tc>
          <w:tcPr>
            <w:tcW w:w="2349" w:type="pct"/>
            <w:tcBorders>
              <w:top w:val="nil"/>
              <w:left w:val="nil"/>
              <w:bottom w:val="nil"/>
              <w:right w:val="nil"/>
            </w:tcBorders>
            <w:shd w:val="clear" w:color="auto" w:fill="auto"/>
            <w:noWrap/>
            <w:vAlign w:val="bottom"/>
            <w:hideMark/>
          </w:tcPr>
          <w:p w14:paraId="26D23592"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640 bežné transfery</w:t>
            </w:r>
          </w:p>
        </w:tc>
        <w:tc>
          <w:tcPr>
            <w:tcW w:w="360" w:type="pct"/>
            <w:tcBorders>
              <w:top w:val="nil"/>
              <w:left w:val="nil"/>
              <w:bottom w:val="nil"/>
              <w:right w:val="nil"/>
            </w:tcBorders>
            <w:shd w:val="clear" w:color="auto" w:fill="auto"/>
            <w:noWrap/>
            <w:vAlign w:val="bottom"/>
            <w:hideMark/>
          </w:tcPr>
          <w:p w14:paraId="695DE82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58</w:t>
            </w:r>
          </w:p>
        </w:tc>
        <w:tc>
          <w:tcPr>
            <w:tcW w:w="360" w:type="pct"/>
            <w:tcBorders>
              <w:top w:val="nil"/>
              <w:left w:val="nil"/>
              <w:bottom w:val="nil"/>
              <w:right w:val="nil"/>
            </w:tcBorders>
            <w:shd w:val="clear" w:color="auto" w:fill="auto"/>
            <w:noWrap/>
            <w:vAlign w:val="bottom"/>
            <w:hideMark/>
          </w:tcPr>
          <w:p w14:paraId="52A0BA6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67</w:t>
            </w:r>
          </w:p>
        </w:tc>
        <w:tc>
          <w:tcPr>
            <w:tcW w:w="372" w:type="pct"/>
            <w:tcBorders>
              <w:top w:val="nil"/>
              <w:left w:val="nil"/>
              <w:bottom w:val="nil"/>
              <w:right w:val="nil"/>
            </w:tcBorders>
            <w:shd w:val="clear" w:color="auto" w:fill="auto"/>
            <w:noWrap/>
            <w:vAlign w:val="bottom"/>
            <w:hideMark/>
          </w:tcPr>
          <w:p w14:paraId="7B1CA44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37</w:t>
            </w:r>
          </w:p>
        </w:tc>
        <w:tc>
          <w:tcPr>
            <w:tcW w:w="442" w:type="pct"/>
            <w:tcBorders>
              <w:top w:val="nil"/>
              <w:left w:val="nil"/>
              <w:bottom w:val="nil"/>
              <w:right w:val="nil"/>
            </w:tcBorders>
            <w:shd w:val="clear" w:color="auto" w:fill="auto"/>
            <w:noWrap/>
            <w:vAlign w:val="bottom"/>
            <w:hideMark/>
          </w:tcPr>
          <w:p w14:paraId="14D789A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152</w:t>
            </w:r>
          </w:p>
        </w:tc>
        <w:tc>
          <w:tcPr>
            <w:tcW w:w="372" w:type="pct"/>
            <w:tcBorders>
              <w:top w:val="nil"/>
              <w:left w:val="nil"/>
              <w:bottom w:val="nil"/>
              <w:right w:val="nil"/>
            </w:tcBorders>
            <w:shd w:val="clear" w:color="auto" w:fill="auto"/>
            <w:noWrap/>
            <w:vAlign w:val="bottom"/>
            <w:hideMark/>
          </w:tcPr>
          <w:p w14:paraId="2BC9366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108</w:t>
            </w:r>
          </w:p>
        </w:tc>
        <w:tc>
          <w:tcPr>
            <w:tcW w:w="372" w:type="pct"/>
            <w:tcBorders>
              <w:top w:val="nil"/>
              <w:left w:val="nil"/>
              <w:bottom w:val="nil"/>
              <w:right w:val="nil"/>
            </w:tcBorders>
            <w:shd w:val="clear" w:color="auto" w:fill="auto"/>
            <w:noWrap/>
            <w:vAlign w:val="bottom"/>
            <w:hideMark/>
          </w:tcPr>
          <w:p w14:paraId="613983C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108</w:t>
            </w:r>
          </w:p>
        </w:tc>
        <w:tc>
          <w:tcPr>
            <w:tcW w:w="372" w:type="pct"/>
            <w:tcBorders>
              <w:top w:val="nil"/>
              <w:left w:val="nil"/>
              <w:bottom w:val="nil"/>
              <w:right w:val="nil"/>
            </w:tcBorders>
            <w:shd w:val="clear" w:color="auto" w:fill="auto"/>
            <w:noWrap/>
            <w:vAlign w:val="bottom"/>
            <w:hideMark/>
          </w:tcPr>
          <w:p w14:paraId="7681727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108</w:t>
            </w:r>
          </w:p>
        </w:tc>
      </w:tr>
      <w:tr w:rsidR="00DD531B" w:rsidRPr="00170734" w14:paraId="4C0EA142" w14:textId="77777777" w:rsidTr="001F24AE">
        <w:trPr>
          <w:trHeight w:val="300"/>
        </w:trPr>
        <w:tc>
          <w:tcPr>
            <w:tcW w:w="2349" w:type="pct"/>
            <w:tcBorders>
              <w:top w:val="nil"/>
              <w:left w:val="nil"/>
              <w:bottom w:val="nil"/>
              <w:right w:val="nil"/>
            </w:tcBorders>
            <w:shd w:val="clear" w:color="auto" w:fill="auto"/>
            <w:noWrap/>
            <w:vAlign w:val="bottom"/>
            <w:hideMark/>
          </w:tcPr>
          <w:p w14:paraId="4E15C79E"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kapitálové výdavky 700</w:t>
            </w:r>
          </w:p>
        </w:tc>
        <w:tc>
          <w:tcPr>
            <w:tcW w:w="360" w:type="pct"/>
            <w:tcBorders>
              <w:top w:val="nil"/>
              <w:left w:val="nil"/>
              <w:bottom w:val="nil"/>
              <w:right w:val="nil"/>
            </w:tcBorders>
            <w:shd w:val="clear" w:color="auto" w:fill="auto"/>
            <w:noWrap/>
            <w:vAlign w:val="bottom"/>
            <w:hideMark/>
          </w:tcPr>
          <w:p w14:paraId="3497DB2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27 840</w:t>
            </w:r>
          </w:p>
        </w:tc>
        <w:tc>
          <w:tcPr>
            <w:tcW w:w="360" w:type="pct"/>
            <w:tcBorders>
              <w:top w:val="nil"/>
              <w:left w:val="nil"/>
              <w:bottom w:val="nil"/>
              <w:right w:val="nil"/>
            </w:tcBorders>
            <w:shd w:val="clear" w:color="auto" w:fill="auto"/>
            <w:noWrap/>
            <w:vAlign w:val="bottom"/>
            <w:hideMark/>
          </w:tcPr>
          <w:p w14:paraId="40BF507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90</w:t>
            </w:r>
          </w:p>
        </w:tc>
        <w:tc>
          <w:tcPr>
            <w:tcW w:w="372" w:type="pct"/>
            <w:tcBorders>
              <w:top w:val="nil"/>
              <w:left w:val="nil"/>
              <w:bottom w:val="nil"/>
              <w:right w:val="nil"/>
            </w:tcBorders>
            <w:shd w:val="clear" w:color="auto" w:fill="auto"/>
            <w:noWrap/>
            <w:vAlign w:val="bottom"/>
            <w:hideMark/>
          </w:tcPr>
          <w:p w14:paraId="067DE0C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42" w:type="pct"/>
            <w:tcBorders>
              <w:top w:val="nil"/>
              <w:left w:val="nil"/>
              <w:bottom w:val="nil"/>
              <w:right w:val="nil"/>
            </w:tcBorders>
            <w:shd w:val="clear" w:color="auto" w:fill="auto"/>
            <w:noWrap/>
            <w:vAlign w:val="bottom"/>
            <w:hideMark/>
          </w:tcPr>
          <w:p w14:paraId="262446E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444</w:t>
            </w:r>
          </w:p>
        </w:tc>
        <w:tc>
          <w:tcPr>
            <w:tcW w:w="372" w:type="pct"/>
            <w:tcBorders>
              <w:top w:val="nil"/>
              <w:left w:val="nil"/>
              <w:bottom w:val="nil"/>
              <w:right w:val="nil"/>
            </w:tcBorders>
            <w:shd w:val="clear" w:color="auto" w:fill="auto"/>
            <w:noWrap/>
            <w:vAlign w:val="bottom"/>
            <w:hideMark/>
          </w:tcPr>
          <w:p w14:paraId="58C19A6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1 612</w:t>
            </w:r>
          </w:p>
        </w:tc>
        <w:tc>
          <w:tcPr>
            <w:tcW w:w="372" w:type="pct"/>
            <w:tcBorders>
              <w:top w:val="nil"/>
              <w:left w:val="nil"/>
              <w:bottom w:val="nil"/>
              <w:right w:val="nil"/>
            </w:tcBorders>
            <w:shd w:val="clear" w:color="auto" w:fill="auto"/>
            <w:noWrap/>
            <w:vAlign w:val="bottom"/>
            <w:hideMark/>
          </w:tcPr>
          <w:p w14:paraId="164D7D59"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1 097</w:t>
            </w:r>
          </w:p>
        </w:tc>
        <w:tc>
          <w:tcPr>
            <w:tcW w:w="372" w:type="pct"/>
            <w:tcBorders>
              <w:top w:val="nil"/>
              <w:left w:val="nil"/>
              <w:bottom w:val="nil"/>
              <w:right w:val="nil"/>
            </w:tcBorders>
            <w:shd w:val="clear" w:color="auto" w:fill="auto"/>
            <w:noWrap/>
            <w:vAlign w:val="bottom"/>
            <w:hideMark/>
          </w:tcPr>
          <w:p w14:paraId="35CE729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2 223</w:t>
            </w:r>
          </w:p>
        </w:tc>
      </w:tr>
      <w:tr w:rsidR="00DD531B" w:rsidRPr="00170734" w14:paraId="1398D3B9" w14:textId="77777777" w:rsidTr="001F24AE">
        <w:trPr>
          <w:trHeight w:val="300"/>
        </w:trPr>
        <w:tc>
          <w:tcPr>
            <w:tcW w:w="2349" w:type="pct"/>
            <w:tcBorders>
              <w:top w:val="nil"/>
              <w:left w:val="nil"/>
              <w:bottom w:val="nil"/>
              <w:right w:val="nil"/>
            </w:tcBorders>
            <w:shd w:val="clear" w:color="auto" w:fill="auto"/>
            <w:noWrap/>
            <w:vAlign w:val="bottom"/>
            <w:hideMark/>
          </w:tcPr>
          <w:p w14:paraId="684D46BA" w14:textId="77777777" w:rsidR="00DD531B" w:rsidRPr="00170734" w:rsidRDefault="00DD531B" w:rsidP="00DD531B">
            <w:pPr>
              <w:spacing w:after="0" w:line="240" w:lineRule="auto"/>
              <w:rPr>
                <w:rFonts w:ascii="Times New Roman" w:eastAsia="Times New Roman" w:hAnsi="Times New Roman" w:cs="Times New Roman"/>
                <w:b/>
                <w:bCs/>
                <w:color w:val="000000"/>
                <w:sz w:val="16"/>
                <w:szCs w:val="16"/>
                <w:lang w:eastAsia="sk-SK"/>
              </w:rPr>
            </w:pPr>
            <w:r w:rsidRPr="00170734">
              <w:rPr>
                <w:rFonts w:ascii="Times New Roman" w:eastAsia="Times New Roman" w:hAnsi="Times New Roman" w:cs="Times New Roman"/>
                <w:b/>
                <w:bCs/>
                <w:color w:val="000000"/>
                <w:sz w:val="16"/>
                <w:szCs w:val="16"/>
                <w:lang w:eastAsia="sk-SK"/>
              </w:rPr>
              <w:t>zdroj EÚ vrátane spolufinancovania zo ŠR, v tom:</w:t>
            </w:r>
          </w:p>
        </w:tc>
        <w:tc>
          <w:tcPr>
            <w:tcW w:w="360" w:type="pct"/>
            <w:tcBorders>
              <w:top w:val="nil"/>
              <w:left w:val="nil"/>
              <w:bottom w:val="nil"/>
              <w:right w:val="nil"/>
            </w:tcBorders>
            <w:shd w:val="clear" w:color="auto" w:fill="auto"/>
            <w:noWrap/>
            <w:vAlign w:val="bottom"/>
            <w:hideMark/>
          </w:tcPr>
          <w:p w14:paraId="779F4108"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22 689</w:t>
            </w:r>
          </w:p>
        </w:tc>
        <w:tc>
          <w:tcPr>
            <w:tcW w:w="360" w:type="pct"/>
            <w:tcBorders>
              <w:top w:val="nil"/>
              <w:left w:val="nil"/>
              <w:bottom w:val="nil"/>
              <w:right w:val="nil"/>
            </w:tcBorders>
            <w:shd w:val="clear" w:color="auto" w:fill="auto"/>
            <w:noWrap/>
            <w:vAlign w:val="bottom"/>
            <w:hideMark/>
          </w:tcPr>
          <w:p w14:paraId="338ECC97"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105</w:t>
            </w:r>
          </w:p>
        </w:tc>
        <w:tc>
          <w:tcPr>
            <w:tcW w:w="372" w:type="pct"/>
            <w:tcBorders>
              <w:top w:val="nil"/>
              <w:left w:val="nil"/>
              <w:bottom w:val="nil"/>
              <w:right w:val="nil"/>
            </w:tcBorders>
            <w:shd w:val="clear" w:color="auto" w:fill="auto"/>
            <w:noWrap/>
            <w:vAlign w:val="bottom"/>
            <w:hideMark/>
          </w:tcPr>
          <w:p w14:paraId="084B79ED"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442" w:type="pct"/>
            <w:tcBorders>
              <w:top w:val="nil"/>
              <w:left w:val="nil"/>
              <w:bottom w:val="nil"/>
              <w:right w:val="nil"/>
            </w:tcBorders>
            <w:shd w:val="clear" w:color="auto" w:fill="auto"/>
            <w:noWrap/>
            <w:vAlign w:val="bottom"/>
            <w:hideMark/>
          </w:tcPr>
          <w:p w14:paraId="52912DFF"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399</w:t>
            </w:r>
          </w:p>
        </w:tc>
        <w:tc>
          <w:tcPr>
            <w:tcW w:w="372" w:type="pct"/>
            <w:tcBorders>
              <w:top w:val="nil"/>
              <w:left w:val="nil"/>
              <w:bottom w:val="nil"/>
              <w:right w:val="nil"/>
            </w:tcBorders>
            <w:shd w:val="clear" w:color="auto" w:fill="auto"/>
            <w:noWrap/>
            <w:vAlign w:val="bottom"/>
            <w:hideMark/>
          </w:tcPr>
          <w:p w14:paraId="269E729E"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279FEF37"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3DA8E653"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r>
      <w:tr w:rsidR="00DD531B" w:rsidRPr="00170734" w14:paraId="4A0DAE91" w14:textId="77777777" w:rsidTr="001F24AE">
        <w:trPr>
          <w:trHeight w:val="300"/>
        </w:trPr>
        <w:tc>
          <w:tcPr>
            <w:tcW w:w="2349" w:type="pct"/>
            <w:tcBorders>
              <w:top w:val="nil"/>
              <w:left w:val="nil"/>
              <w:bottom w:val="nil"/>
              <w:right w:val="nil"/>
            </w:tcBorders>
            <w:shd w:val="clear" w:color="auto" w:fill="auto"/>
            <w:noWrap/>
            <w:vAlign w:val="bottom"/>
            <w:hideMark/>
          </w:tcPr>
          <w:p w14:paraId="68FF2451"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prostriedky EÚ</w:t>
            </w:r>
          </w:p>
        </w:tc>
        <w:tc>
          <w:tcPr>
            <w:tcW w:w="360" w:type="pct"/>
            <w:tcBorders>
              <w:top w:val="nil"/>
              <w:left w:val="nil"/>
              <w:bottom w:val="nil"/>
              <w:right w:val="nil"/>
            </w:tcBorders>
            <w:shd w:val="clear" w:color="auto" w:fill="auto"/>
            <w:noWrap/>
            <w:vAlign w:val="bottom"/>
            <w:hideMark/>
          </w:tcPr>
          <w:p w14:paraId="1F21158A"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20 283</w:t>
            </w:r>
          </w:p>
        </w:tc>
        <w:tc>
          <w:tcPr>
            <w:tcW w:w="360" w:type="pct"/>
            <w:tcBorders>
              <w:top w:val="nil"/>
              <w:left w:val="nil"/>
              <w:bottom w:val="nil"/>
              <w:right w:val="nil"/>
            </w:tcBorders>
            <w:shd w:val="clear" w:color="auto" w:fill="auto"/>
            <w:noWrap/>
            <w:vAlign w:val="bottom"/>
            <w:hideMark/>
          </w:tcPr>
          <w:p w14:paraId="5344080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105</w:t>
            </w:r>
          </w:p>
        </w:tc>
        <w:tc>
          <w:tcPr>
            <w:tcW w:w="372" w:type="pct"/>
            <w:tcBorders>
              <w:top w:val="nil"/>
              <w:left w:val="nil"/>
              <w:bottom w:val="nil"/>
              <w:right w:val="nil"/>
            </w:tcBorders>
            <w:shd w:val="clear" w:color="auto" w:fill="auto"/>
            <w:noWrap/>
            <w:vAlign w:val="bottom"/>
            <w:hideMark/>
          </w:tcPr>
          <w:p w14:paraId="73F3E30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42" w:type="pct"/>
            <w:tcBorders>
              <w:top w:val="nil"/>
              <w:left w:val="nil"/>
              <w:bottom w:val="nil"/>
              <w:right w:val="nil"/>
            </w:tcBorders>
            <w:shd w:val="clear" w:color="auto" w:fill="auto"/>
            <w:noWrap/>
            <w:vAlign w:val="bottom"/>
            <w:hideMark/>
          </w:tcPr>
          <w:p w14:paraId="6E598D7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277</w:t>
            </w:r>
          </w:p>
        </w:tc>
        <w:tc>
          <w:tcPr>
            <w:tcW w:w="372" w:type="pct"/>
            <w:tcBorders>
              <w:top w:val="nil"/>
              <w:left w:val="nil"/>
              <w:bottom w:val="nil"/>
              <w:right w:val="nil"/>
            </w:tcBorders>
            <w:shd w:val="clear" w:color="auto" w:fill="auto"/>
            <w:noWrap/>
            <w:vAlign w:val="bottom"/>
            <w:hideMark/>
          </w:tcPr>
          <w:p w14:paraId="7C95B75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16A6A69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12510A8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r w:rsidR="00DD531B" w:rsidRPr="00170734" w14:paraId="464F2842" w14:textId="77777777" w:rsidTr="001F24AE">
        <w:trPr>
          <w:trHeight w:val="300"/>
        </w:trPr>
        <w:tc>
          <w:tcPr>
            <w:tcW w:w="2349" w:type="pct"/>
            <w:tcBorders>
              <w:top w:val="nil"/>
              <w:left w:val="nil"/>
              <w:bottom w:val="nil"/>
              <w:right w:val="nil"/>
            </w:tcBorders>
            <w:shd w:val="clear" w:color="auto" w:fill="auto"/>
            <w:noWrap/>
            <w:vAlign w:val="bottom"/>
            <w:hideMark/>
          </w:tcPr>
          <w:p w14:paraId="09EEBC22"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spolufinancovanie zo ŠR</w:t>
            </w:r>
          </w:p>
        </w:tc>
        <w:tc>
          <w:tcPr>
            <w:tcW w:w="360" w:type="pct"/>
            <w:tcBorders>
              <w:top w:val="nil"/>
              <w:left w:val="nil"/>
              <w:bottom w:val="nil"/>
              <w:right w:val="nil"/>
            </w:tcBorders>
            <w:shd w:val="clear" w:color="auto" w:fill="auto"/>
            <w:noWrap/>
            <w:vAlign w:val="bottom"/>
            <w:hideMark/>
          </w:tcPr>
          <w:p w14:paraId="26B41475"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2 406</w:t>
            </w:r>
          </w:p>
        </w:tc>
        <w:tc>
          <w:tcPr>
            <w:tcW w:w="360" w:type="pct"/>
            <w:tcBorders>
              <w:top w:val="nil"/>
              <w:left w:val="nil"/>
              <w:bottom w:val="nil"/>
              <w:right w:val="nil"/>
            </w:tcBorders>
            <w:shd w:val="clear" w:color="auto" w:fill="auto"/>
            <w:noWrap/>
            <w:vAlign w:val="bottom"/>
            <w:hideMark/>
          </w:tcPr>
          <w:p w14:paraId="6581978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379E293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42" w:type="pct"/>
            <w:tcBorders>
              <w:top w:val="nil"/>
              <w:left w:val="nil"/>
              <w:bottom w:val="nil"/>
              <w:right w:val="nil"/>
            </w:tcBorders>
            <w:shd w:val="clear" w:color="auto" w:fill="auto"/>
            <w:noWrap/>
            <w:vAlign w:val="bottom"/>
            <w:hideMark/>
          </w:tcPr>
          <w:p w14:paraId="49A1399E"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122</w:t>
            </w:r>
          </w:p>
        </w:tc>
        <w:tc>
          <w:tcPr>
            <w:tcW w:w="372" w:type="pct"/>
            <w:tcBorders>
              <w:top w:val="nil"/>
              <w:left w:val="nil"/>
              <w:bottom w:val="nil"/>
              <w:right w:val="nil"/>
            </w:tcBorders>
            <w:shd w:val="clear" w:color="auto" w:fill="auto"/>
            <w:noWrap/>
            <w:vAlign w:val="bottom"/>
            <w:hideMark/>
          </w:tcPr>
          <w:p w14:paraId="492C332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3FB3F17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7543D4FF"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r w:rsidR="00DD531B" w:rsidRPr="00170734" w14:paraId="73F5D7C1" w14:textId="77777777" w:rsidTr="001F24AE">
        <w:trPr>
          <w:trHeight w:val="300"/>
        </w:trPr>
        <w:tc>
          <w:tcPr>
            <w:tcW w:w="2349" w:type="pct"/>
            <w:tcBorders>
              <w:top w:val="nil"/>
              <w:left w:val="nil"/>
              <w:bottom w:val="nil"/>
              <w:right w:val="nil"/>
            </w:tcBorders>
            <w:shd w:val="clear" w:color="auto" w:fill="auto"/>
            <w:noWrap/>
            <w:vAlign w:val="bottom"/>
            <w:hideMark/>
          </w:tcPr>
          <w:p w14:paraId="65C83BEC" w14:textId="77777777" w:rsidR="00DD531B" w:rsidRPr="00170734" w:rsidRDefault="00DD531B" w:rsidP="00DD531B">
            <w:pPr>
              <w:spacing w:after="0" w:line="240" w:lineRule="auto"/>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presun z minulých rokov § 8, v tom:</w:t>
            </w:r>
          </w:p>
        </w:tc>
        <w:tc>
          <w:tcPr>
            <w:tcW w:w="360" w:type="pct"/>
            <w:tcBorders>
              <w:top w:val="nil"/>
              <w:left w:val="nil"/>
              <w:bottom w:val="nil"/>
              <w:right w:val="nil"/>
            </w:tcBorders>
            <w:shd w:val="clear" w:color="auto" w:fill="auto"/>
            <w:noWrap/>
            <w:vAlign w:val="bottom"/>
            <w:hideMark/>
          </w:tcPr>
          <w:p w14:paraId="4DAFC5AB"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3 699</w:t>
            </w:r>
          </w:p>
        </w:tc>
        <w:tc>
          <w:tcPr>
            <w:tcW w:w="360" w:type="pct"/>
            <w:tcBorders>
              <w:top w:val="nil"/>
              <w:left w:val="nil"/>
              <w:bottom w:val="nil"/>
              <w:right w:val="nil"/>
            </w:tcBorders>
            <w:shd w:val="clear" w:color="auto" w:fill="auto"/>
            <w:noWrap/>
            <w:vAlign w:val="bottom"/>
            <w:hideMark/>
          </w:tcPr>
          <w:p w14:paraId="6B3F1167"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9 379</w:t>
            </w:r>
          </w:p>
        </w:tc>
        <w:tc>
          <w:tcPr>
            <w:tcW w:w="372" w:type="pct"/>
            <w:tcBorders>
              <w:top w:val="nil"/>
              <w:left w:val="nil"/>
              <w:bottom w:val="nil"/>
              <w:right w:val="nil"/>
            </w:tcBorders>
            <w:shd w:val="clear" w:color="auto" w:fill="auto"/>
            <w:noWrap/>
            <w:vAlign w:val="bottom"/>
            <w:hideMark/>
          </w:tcPr>
          <w:p w14:paraId="6D8B85EA"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442" w:type="pct"/>
            <w:tcBorders>
              <w:top w:val="nil"/>
              <w:left w:val="nil"/>
              <w:bottom w:val="nil"/>
              <w:right w:val="nil"/>
            </w:tcBorders>
            <w:shd w:val="clear" w:color="auto" w:fill="auto"/>
            <w:noWrap/>
            <w:vAlign w:val="bottom"/>
            <w:hideMark/>
          </w:tcPr>
          <w:p w14:paraId="1C9D589F"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8 411</w:t>
            </w:r>
          </w:p>
        </w:tc>
        <w:tc>
          <w:tcPr>
            <w:tcW w:w="372" w:type="pct"/>
            <w:tcBorders>
              <w:top w:val="nil"/>
              <w:left w:val="nil"/>
              <w:bottom w:val="nil"/>
              <w:right w:val="nil"/>
            </w:tcBorders>
            <w:shd w:val="clear" w:color="auto" w:fill="auto"/>
            <w:noWrap/>
            <w:vAlign w:val="bottom"/>
            <w:hideMark/>
          </w:tcPr>
          <w:p w14:paraId="5B5D93EB"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30007524"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c>
          <w:tcPr>
            <w:tcW w:w="372" w:type="pct"/>
            <w:tcBorders>
              <w:top w:val="nil"/>
              <w:left w:val="nil"/>
              <w:bottom w:val="nil"/>
              <w:right w:val="nil"/>
            </w:tcBorders>
            <w:shd w:val="clear" w:color="auto" w:fill="auto"/>
            <w:noWrap/>
            <w:vAlign w:val="bottom"/>
            <w:hideMark/>
          </w:tcPr>
          <w:p w14:paraId="1C9AA698" w14:textId="77777777" w:rsidR="00DD531B" w:rsidRPr="00170734" w:rsidRDefault="00DD531B" w:rsidP="00DD531B">
            <w:pPr>
              <w:spacing w:after="0" w:line="240" w:lineRule="auto"/>
              <w:jc w:val="right"/>
              <w:rPr>
                <w:rFonts w:ascii="Times New Roman" w:eastAsia="Times New Roman" w:hAnsi="Times New Roman" w:cs="Times New Roman"/>
                <w:b/>
                <w:bCs/>
                <w:sz w:val="16"/>
                <w:szCs w:val="16"/>
                <w:lang w:eastAsia="sk-SK"/>
              </w:rPr>
            </w:pPr>
            <w:r w:rsidRPr="00170734">
              <w:rPr>
                <w:rFonts w:ascii="Times New Roman" w:eastAsia="Times New Roman" w:hAnsi="Times New Roman" w:cs="Times New Roman"/>
                <w:b/>
                <w:bCs/>
                <w:sz w:val="16"/>
                <w:szCs w:val="16"/>
                <w:lang w:eastAsia="sk-SK"/>
              </w:rPr>
              <w:t>0</w:t>
            </w:r>
          </w:p>
        </w:tc>
      </w:tr>
      <w:tr w:rsidR="00DD531B" w:rsidRPr="00170734" w14:paraId="000163A5" w14:textId="77777777" w:rsidTr="001F24AE">
        <w:trPr>
          <w:trHeight w:val="300"/>
        </w:trPr>
        <w:tc>
          <w:tcPr>
            <w:tcW w:w="2349" w:type="pct"/>
            <w:tcBorders>
              <w:top w:val="nil"/>
              <w:left w:val="nil"/>
              <w:bottom w:val="nil"/>
              <w:right w:val="nil"/>
            </w:tcBorders>
            <w:shd w:val="clear" w:color="auto" w:fill="auto"/>
            <w:noWrap/>
            <w:vAlign w:val="bottom"/>
            <w:hideMark/>
          </w:tcPr>
          <w:p w14:paraId="3962EC58"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štátny rozpočet</w:t>
            </w:r>
          </w:p>
        </w:tc>
        <w:tc>
          <w:tcPr>
            <w:tcW w:w="360" w:type="pct"/>
            <w:tcBorders>
              <w:top w:val="nil"/>
              <w:left w:val="nil"/>
              <w:bottom w:val="nil"/>
              <w:right w:val="nil"/>
            </w:tcBorders>
            <w:shd w:val="clear" w:color="auto" w:fill="auto"/>
            <w:noWrap/>
            <w:vAlign w:val="bottom"/>
            <w:hideMark/>
          </w:tcPr>
          <w:p w14:paraId="2311AEBB"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206</w:t>
            </w:r>
          </w:p>
        </w:tc>
        <w:tc>
          <w:tcPr>
            <w:tcW w:w="360" w:type="pct"/>
            <w:tcBorders>
              <w:top w:val="nil"/>
              <w:left w:val="nil"/>
              <w:bottom w:val="nil"/>
              <w:right w:val="nil"/>
            </w:tcBorders>
            <w:shd w:val="clear" w:color="auto" w:fill="auto"/>
            <w:noWrap/>
            <w:vAlign w:val="bottom"/>
            <w:hideMark/>
          </w:tcPr>
          <w:p w14:paraId="78690FB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8 529</w:t>
            </w:r>
          </w:p>
        </w:tc>
        <w:tc>
          <w:tcPr>
            <w:tcW w:w="372" w:type="pct"/>
            <w:tcBorders>
              <w:top w:val="nil"/>
              <w:left w:val="nil"/>
              <w:bottom w:val="nil"/>
              <w:right w:val="nil"/>
            </w:tcBorders>
            <w:shd w:val="clear" w:color="auto" w:fill="auto"/>
            <w:noWrap/>
            <w:vAlign w:val="bottom"/>
            <w:hideMark/>
          </w:tcPr>
          <w:p w14:paraId="718C491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42" w:type="pct"/>
            <w:tcBorders>
              <w:top w:val="nil"/>
              <w:left w:val="nil"/>
              <w:bottom w:val="nil"/>
              <w:right w:val="nil"/>
            </w:tcBorders>
            <w:shd w:val="clear" w:color="auto" w:fill="auto"/>
            <w:noWrap/>
            <w:vAlign w:val="bottom"/>
            <w:hideMark/>
          </w:tcPr>
          <w:p w14:paraId="2DDC524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8 264</w:t>
            </w:r>
          </w:p>
        </w:tc>
        <w:tc>
          <w:tcPr>
            <w:tcW w:w="372" w:type="pct"/>
            <w:tcBorders>
              <w:top w:val="nil"/>
              <w:left w:val="nil"/>
              <w:bottom w:val="nil"/>
              <w:right w:val="nil"/>
            </w:tcBorders>
            <w:shd w:val="clear" w:color="auto" w:fill="auto"/>
            <w:noWrap/>
            <w:vAlign w:val="bottom"/>
            <w:hideMark/>
          </w:tcPr>
          <w:p w14:paraId="784CD7F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3706E43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nil"/>
              <w:right w:val="nil"/>
            </w:tcBorders>
            <w:shd w:val="clear" w:color="auto" w:fill="auto"/>
            <w:noWrap/>
            <w:vAlign w:val="bottom"/>
            <w:hideMark/>
          </w:tcPr>
          <w:p w14:paraId="1E6E13FC"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r w:rsidR="00DD531B" w:rsidRPr="00170734" w14:paraId="5D5B323D" w14:textId="77777777" w:rsidTr="001F24AE">
        <w:trPr>
          <w:trHeight w:val="300"/>
        </w:trPr>
        <w:tc>
          <w:tcPr>
            <w:tcW w:w="2349" w:type="pct"/>
            <w:tcBorders>
              <w:top w:val="nil"/>
              <w:left w:val="nil"/>
              <w:bottom w:val="single" w:sz="4" w:space="0" w:color="auto"/>
              <w:right w:val="nil"/>
            </w:tcBorders>
            <w:shd w:val="clear" w:color="auto" w:fill="auto"/>
            <w:noWrap/>
            <w:vAlign w:val="bottom"/>
            <w:hideMark/>
          </w:tcPr>
          <w:p w14:paraId="50587427" w14:textId="77777777" w:rsidR="00DD531B" w:rsidRPr="00170734" w:rsidRDefault="00DD531B" w:rsidP="00DD531B">
            <w:pPr>
              <w:spacing w:after="0" w:line="240" w:lineRule="auto"/>
              <w:rPr>
                <w:rFonts w:ascii="Times New Roman" w:eastAsia="Times New Roman" w:hAnsi="Times New Roman" w:cs="Times New Roman"/>
                <w:color w:val="000000"/>
                <w:sz w:val="16"/>
                <w:szCs w:val="16"/>
                <w:lang w:eastAsia="sk-SK"/>
              </w:rPr>
            </w:pPr>
            <w:r w:rsidRPr="00170734">
              <w:rPr>
                <w:rFonts w:ascii="Times New Roman" w:eastAsia="Times New Roman" w:hAnsi="Times New Roman" w:cs="Times New Roman"/>
                <w:color w:val="000000"/>
                <w:sz w:val="16"/>
                <w:szCs w:val="16"/>
                <w:lang w:eastAsia="sk-SK"/>
              </w:rPr>
              <w:t>prostriedky EÚ a spolufinancovanie zo ŠR</w:t>
            </w:r>
          </w:p>
        </w:tc>
        <w:tc>
          <w:tcPr>
            <w:tcW w:w="360" w:type="pct"/>
            <w:tcBorders>
              <w:top w:val="nil"/>
              <w:left w:val="nil"/>
              <w:bottom w:val="single" w:sz="4" w:space="0" w:color="auto"/>
              <w:right w:val="nil"/>
            </w:tcBorders>
            <w:shd w:val="clear" w:color="auto" w:fill="auto"/>
            <w:noWrap/>
            <w:vAlign w:val="bottom"/>
            <w:hideMark/>
          </w:tcPr>
          <w:p w14:paraId="6C6CD36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3 493</w:t>
            </w:r>
          </w:p>
        </w:tc>
        <w:tc>
          <w:tcPr>
            <w:tcW w:w="360" w:type="pct"/>
            <w:tcBorders>
              <w:top w:val="nil"/>
              <w:left w:val="nil"/>
              <w:bottom w:val="single" w:sz="4" w:space="0" w:color="auto"/>
              <w:right w:val="nil"/>
            </w:tcBorders>
            <w:shd w:val="clear" w:color="auto" w:fill="auto"/>
            <w:noWrap/>
            <w:vAlign w:val="bottom"/>
            <w:hideMark/>
          </w:tcPr>
          <w:p w14:paraId="25F64ECA"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849</w:t>
            </w:r>
          </w:p>
        </w:tc>
        <w:tc>
          <w:tcPr>
            <w:tcW w:w="372" w:type="pct"/>
            <w:tcBorders>
              <w:top w:val="nil"/>
              <w:left w:val="nil"/>
              <w:bottom w:val="single" w:sz="4" w:space="0" w:color="auto"/>
              <w:right w:val="nil"/>
            </w:tcBorders>
            <w:shd w:val="clear" w:color="auto" w:fill="auto"/>
            <w:noWrap/>
            <w:vAlign w:val="bottom"/>
            <w:hideMark/>
          </w:tcPr>
          <w:p w14:paraId="75395C58"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442" w:type="pct"/>
            <w:tcBorders>
              <w:top w:val="nil"/>
              <w:left w:val="nil"/>
              <w:bottom w:val="single" w:sz="4" w:space="0" w:color="auto"/>
              <w:right w:val="nil"/>
            </w:tcBorders>
            <w:shd w:val="clear" w:color="auto" w:fill="auto"/>
            <w:noWrap/>
            <w:vAlign w:val="bottom"/>
            <w:hideMark/>
          </w:tcPr>
          <w:p w14:paraId="34988851"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147</w:t>
            </w:r>
          </w:p>
        </w:tc>
        <w:tc>
          <w:tcPr>
            <w:tcW w:w="372" w:type="pct"/>
            <w:tcBorders>
              <w:top w:val="nil"/>
              <w:left w:val="nil"/>
              <w:bottom w:val="single" w:sz="4" w:space="0" w:color="auto"/>
              <w:right w:val="nil"/>
            </w:tcBorders>
            <w:shd w:val="clear" w:color="auto" w:fill="auto"/>
            <w:noWrap/>
            <w:vAlign w:val="bottom"/>
            <w:hideMark/>
          </w:tcPr>
          <w:p w14:paraId="5AB25813"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single" w:sz="4" w:space="0" w:color="auto"/>
              <w:right w:val="nil"/>
            </w:tcBorders>
            <w:shd w:val="clear" w:color="auto" w:fill="auto"/>
            <w:noWrap/>
            <w:vAlign w:val="bottom"/>
            <w:hideMark/>
          </w:tcPr>
          <w:p w14:paraId="06E9CA24"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c>
          <w:tcPr>
            <w:tcW w:w="372" w:type="pct"/>
            <w:tcBorders>
              <w:top w:val="nil"/>
              <w:left w:val="nil"/>
              <w:bottom w:val="single" w:sz="4" w:space="0" w:color="auto"/>
              <w:right w:val="nil"/>
            </w:tcBorders>
            <w:shd w:val="clear" w:color="auto" w:fill="auto"/>
            <w:noWrap/>
            <w:vAlign w:val="bottom"/>
            <w:hideMark/>
          </w:tcPr>
          <w:p w14:paraId="51FC7682" w14:textId="77777777" w:rsidR="00DD531B" w:rsidRPr="00170734" w:rsidRDefault="00DD531B" w:rsidP="00DD531B">
            <w:pPr>
              <w:spacing w:after="0" w:line="240" w:lineRule="auto"/>
              <w:jc w:val="right"/>
              <w:rPr>
                <w:rFonts w:ascii="Times New Roman" w:eastAsia="Times New Roman" w:hAnsi="Times New Roman" w:cs="Times New Roman"/>
                <w:sz w:val="16"/>
                <w:szCs w:val="16"/>
                <w:lang w:eastAsia="sk-SK"/>
              </w:rPr>
            </w:pPr>
            <w:r w:rsidRPr="00170734">
              <w:rPr>
                <w:rFonts w:ascii="Times New Roman" w:eastAsia="Times New Roman" w:hAnsi="Times New Roman" w:cs="Times New Roman"/>
                <w:sz w:val="16"/>
                <w:szCs w:val="16"/>
                <w:lang w:eastAsia="sk-SK"/>
              </w:rPr>
              <w:t>0</w:t>
            </w:r>
          </w:p>
        </w:tc>
      </w:tr>
    </w:tbl>
    <w:p w14:paraId="0EA34646" w14:textId="638776E1" w:rsidR="00DD531B" w:rsidRDefault="00DD531B" w:rsidP="00DD531B">
      <w:pPr>
        <w:rPr>
          <w:rFonts w:ascii="Times New Roman" w:eastAsia="Calibri" w:hAnsi="Times New Roman" w:cs="Times New Roman"/>
        </w:rPr>
      </w:pPr>
    </w:p>
    <w:p w14:paraId="5EE875CB" w14:textId="457EF02A" w:rsidR="00170734" w:rsidRDefault="00170734" w:rsidP="00DD531B">
      <w:pPr>
        <w:rPr>
          <w:rFonts w:ascii="Times New Roman" w:eastAsia="Calibri" w:hAnsi="Times New Roman" w:cs="Times New Roman"/>
        </w:rPr>
      </w:pPr>
    </w:p>
    <w:p w14:paraId="31D04729" w14:textId="0FB7AB7F" w:rsidR="00170734" w:rsidRDefault="00170734" w:rsidP="00DD531B">
      <w:pPr>
        <w:rPr>
          <w:rFonts w:ascii="Times New Roman" w:eastAsia="Calibri" w:hAnsi="Times New Roman" w:cs="Times New Roman"/>
        </w:rPr>
      </w:pPr>
    </w:p>
    <w:p w14:paraId="143AE3C2" w14:textId="64F031C6" w:rsidR="00170734" w:rsidRDefault="00170734" w:rsidP="00DD531B">
      <w:pPr>
        <w:rPr>
          <w:rFonts w:ascii="Times New Roman" w:eastAsia="Calibri" w:hAnsi="Times New Roman" w:cs="Times New Roman"/>
        </w:rPr>
      </w:pPr>
    </w:p>
    <w:p w14:paraId="6DB2638D" w14:textId="537BE349" w:rsidR="00170734" w:rsidRDefault="00170734" w:rsidP="00DD531B">
      <w:pPr>
        <w:rPr>
          <w:rFonts w:ascii="Times New Roman" w:eastAsia="Calibri" w:hAnsi="Times New Roman" w:cs="Times New Roman"/>
        </w:rPr>
      </w:pPr>
    </w:p>
    <w:p w14:paraId="52CB397E" w14:textId="10B03E1F" w:rsidR="00170734" w:rsidRDefault="00170734" w:rsidP="00DD531B">
      <w:pPr>
        <w:rPr>
          <w:rFonts w:ascii="Times New Roman" w:eastAsia="Calibri" w:hAnsi="Times New Roman" w:cs="Times New Roman"/>
        </w:rPr>
      </w:pPr>
    </w:p>
    <w:p w14:paraId="544BD73E" w14:textId="2D74D206" w:rsidR="00170734" w:rsidRDefault="00170734" w:rsidP="00DD531B">
      <w:pPr>
        <w:rPr>
          <w:rFonts w:ascii="Times New Roman" w:eastAsia="Calibri" w:hAnsi="Times New Roman" w:cs="Times New Roman"/>
        </w:rPr>
      </w:pPr>
    </w:p>
    <w:p w14:paraId="75A9EEBE" w14:textId="78A49AEF" w:rsidR="00170734" w:rsidRDefault="00170734" w:rsidP="00DD531B">
      <w:pPr>
        <w:rPr>
          <w:rFonts w:ascii="Times New Roman" w:eastAsia="Calibri" w:hAnsi="Times New Roman" w:cs="Times New Roman"/>
        </w:rPr>
      </w:pPr>
    </w:p>
    <w:p w14:paraId="5DD8C306" w14:textId="55D55C6C" w:rsidR="00170734" w:rsidRDefault="00170734" w:rsidP="00DD531B">
      <w:pPr>
        <w:rPr>
          <w:rFonts w:ascii="Times New Roman" w:eastAsia="Calibri" w:hAnsi="Times New Roman" w:cs="Times New Roman"/>
        </w:rPr>
      </w:pPr>
    </w:p>
    <w:p w14:paraId="75476C01" w14:textId="379B3ACC" w:rsidR="00170734" w:rsidRDefault="00170734" w:rsidP="00DD531B">
      <w:pPr>
        <w:rPr>
          <w:rFonts w:ascii="Times New Roman" w:eastAsia="Calibri" w:hAnsi="Times New Roman" w:cs="Times New Roman"/>
        </w:rPr>
      </w:pPr>
    </w:p>
    <w:p w14:paraId="592B81D9" w14:textId="2D199243" w:rsidR="00170734" w:rsidRDefault="00170734" w:rsidP="00DD531B">
      <w:pPr>
        <w:rPr>
          <w:rFonts w:ascii="Times New Roman" w:eastAsia="Calibri" w:hAnsi="Times New Roman" w:cs="Times New Roman"/>
        </w:rPr>
      </w:pPr>
    </w:p>
    <w:p w14:paraId="490CEEEE" w14:textId="0707F6F4" w:rsidR="00170734" w:rsidRDefault="00170734" w:rsidP="00DD531B">
      <w:pPr>
        <w:rPr>
          <w:rFonts w:ascii="Times New Roman" w:eastAsia="Calibri" w:hAnsi="Times New Roman" w:cs="Times New Roman"/>
        </w:rPr>
      </w:pPr>
    </w:p>
    <w:p w14:paraId="57999022" w14:textId="04DC7122" w:rsidR="00170734" w:rsidRDefault="00170734" w:rsidP="00DD531B">
      <w:pPr>
        <w:rPr>
          <w:rFonts w:ascii="Times New Roman" w:eastAsia="Calibri" w:hAnsi="Times New Roman" w:cs="Times New Roman"/>
        </w:rPr>
      </w:pPr>
    </w:p>
    <w:p w14:paraId="17ECE21F" w14:textId="77777777" w:rsidR="00170734" w:rsidRPr="00DD531B" w:rsidRDefault="00170734" w:rsidP="00DD531B">
      <w:pPr>
        <w:rPr>
          <w:rFonts w:ascii="Times New Roman" w:eastAsia="Calibri" w:hAnsi="Times New Roman" w:cs="Times New Roman"/>
        </w:rPr>
      </w:pPr>
    </w:p>
    <w:p w14:paraId="28CBA56D" w14:textId="348835A0" w:rsidR="00DD531B" w:rsidRPr="00170734" w:rsidRDefault="00DD531B" w:rsidP="00DD531B">
      <w:pPr>
        <w:keepNext/>
        <w:keepLines/>
        <w:spacing w:before="40" w:after="0"/>
        <w:outlineLvl w:val="1"/>
        <w:rPr>
          <w:rFonts w:ascii="Times New Roman" w:eastAsia="Times New Roman" w:hAnsi="Times New Roman" w:cs="Times New Roman"/>
          <w:b/>
          <w:color w:val="5B9BD5" w:themeColor="accent1"/>
          <w:sz w:val="24"/>
          <w:szCs w:val="24"/>
        </w:rPr>
      </w:pPr>
      <w:r w:rsidRPr="00170734">
        <w:rPr>
          <w:rFonts w:ascii="Times New Roman" w:eastAsia="Times New Roman" w:hAnsi="Times New Roman" w:cs="Times New Roman"/>
          <w:b/>
          <w:color w:val="5B9BD5" w:themeColor="accent1"/>
          <w:sz w:val="24"/>
          <w:szCs w:val="24"/>
        </w:rPr>
        <w:lastRenderedPageBreak/>
        <w:t>Všeobecná pokladničná správa</w:t>
      </w:r>
    </w:p>
    <w:p w14:paraId="279610B4" w14:textId="77777777" w:rsidR="00DD531B" w:rsidRPr="00170734" w:rsidRDefault="00DD531B" w:rsidP="00DD531B">
      <w:pPr>
        <w:rPr>
          <w:rFonts w:ascii="Times New Roman" w:eastAsia="Calibri" w:hAnsi="Times New Roman" w:cs="Times New Roman"/>
          <w:color w:val="5B9BD5" w:themeColor="accent1"/>
        </w:rPr>
      </w:pPr>
    </w:p>
    <w:p w14:paraId="430B9585" w14:textId="336C2C76" w:rsidR="00DD531B" w:rsidRPr="00170734" w:rsidRDefault="00170734"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47" w:name="_Toc153013117"/>
      <w:r w:rsidRPr="00170734">
        <w:rPr>
          <w:rFonts w:ascii="Times New Roman" w:eastAsia="Times New Roman" w:hAnsi="Times New Roman" w:cs="Times New Roman"/>
          <w:b/>
          <w:iCs/>
          <w:color w:val="5B9BD5" w:themeColor="accent1"/>
          <w:sz w:val="20"/>
          <w:szCs w:val="20"/>
          <w:lang w:eastAsia="sk-SK"/>
        </w:rPr>
        <w:t xml:space="preserve">Tabuľka </w:t>
      </w:r>
      <w:r w:rsidRPr="00170734">
        <w:rPr>
          <w:rFonts w:ascii="Times New Roman" w:hAnsi="Times New Roman" w:cs="Times New Roman"/>
          <w:b/>
          <w:color w:val="5B9BD5" w:themeColor="accent1"/>
          <w:sz w:val="20"/>
          <w:szCs w:val="20"/>
        </w:rPr>
        <w:fldChar w:fldCharType="begin"/>
      </w:r>
      <w:r w:rsidRPr="00170734">
        <w:rPr>
          <w:rFonts w:ascii="Times New Roman" w:hAnsi="Times New Roman" w:cs="Times New Roman"/>
          <w:b/>
          <w:color w:val="5B9BD5" w:themeColor="accent1"/>
          <w:sz w:val="20"/>
          <w:szCs w:val="20"/>
        </w:rPr>
        <w:instrText xml:space="preserve"> SEQ Tabuľka \* ARABIC </w:instrText>
      </w:r>
      <w:r w:rsidRPr="00170734">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119</w:t>
      </w:r>
      <w:r w:rsidRPr="00170734">
        <w:rPr>
          <w:rFonts w:ascii="Times New Roman" w:hAnsi="Times New Roman" w:cs="Times New Roman"/>
          <w:b/>
          <w:color w:val="5B9BD5" w:themeColor="accent1"/>
          <w:sz w:val="20"/>
          <w:szCs w:val="20"/>
        </w:rPr>
        <w:fldChar w:fldCharType="end"/>
      </w:r>
      <w:r w:rsidRPr="00170734">
        <w:rPr>
          <w:rFonts w:ascii="Times New Roman" w:hAnsi="Times New Roman" w:cs="Times New Roman"/>
          <w:b/>
          <w:color w:val="5B9BD5" w:themeColor="accent1"/>
          <w:sz w:val="20"/>
          <w:szCs w:val="20"/>
        </w:rPr>
        <w:t xml:space="preserve"> - </w:t>
      </w:r>
      <w:r w:rsidR="00DD531B" w:rsidRPr="00170734">
        <w:rPr>
          <w:rFonts w:ascii="Times New Roman" w:eastAsia="Times New Roman" w:hAnsi="Times New Roman" w:cs="Times New Roman"/>
          <w:b/>
          <w:iCs/>
          <w:color w:val="5B9BD5" w:themeColor="accent1"/>
          <w:sz w:val="20"/>
          <w:szCs w:val="20"/>
          <w:lang w:eastAsia="sk-SK"/>
        </w:rPr>
        <w:t>Príjmy kapitoly VPS</w:t>
      </w:r>
      <w:bookmarkEnd w:id="247"/>
    </w:p>
    <w:tbl>
      <w:tblPr>
        <w:tblW w:w="5000" w:type="pct"/>
        <w:tblCellMar>
          <w:left w:w="70" w:type="dxa"/>
          <w:right w:w="70" w:type="dxa"/>
        </w:tblCellMar>
        <w:tblLook w:val="04A0" w:firstRow="1" w:lastRow="0" w:firstColumn="1" w:lastColumn="0" w:noHBand="0" w:noVBand="1"/>
      </w:tblPr>
      <w:tblGrid>
        <w:gridCol w:w="3682"/>
        <w:gridCol w:w="770"/>
        <w:gridCol w:w="770"/>
        <w:gridCol w:w="770"/>
        <w:gridCol w:w="770"/>
        <w:gridCol w:w="770"/>
        <w:gridCol w:w="770"/>
        <w:gridCol w:w="770"/>
      </w:tblGrid>
      <w:tr w:rsidR="00DD531B" w:rsidRPr="00DD531B" w14:paraId="4461FC7D" w14:textId="77777777" w:rsidTr="001F24AE">
        <w:trPr>
          <w:trHeight w:val="300"/>
        </w:trPr>
        <w:tc>
          <w:tcPr>
            <w:tcW w:w="2104" w:type="pct"/>
            <w:tcBorders>
              <w:top w:val="single" w:sz="4" w:space="0" w:color="auto"/>
              <w:left w:val="nil"/>
              <w:bottom w:val="single" w:sz="4" w:space="0" w:color="auto"/>
              <w:right w:val="nil"/>
            </w:tcBorders>
            <w:shd w:val="clear" w:color="auto" w:fill="auto"/>
            <w:noWrap/>
            <w:vAlign w:val="center"/>
            <w:hideMark/>
          </w:tcPr>
          <w:p w14:paraId="2E73D7C6" w14:textId="77777777" w:rsidR="00DD531B" w:rsidRPr="00DD531B" w:rsidRDefault="00DD531B" w:rsidP="00DD531B">
            <w:pPr>
              <w:spacing w:after="0" w:line="240" w:lineRule="auto"/>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v tis. eur</w:t>
            </w:r>
          </w:p>
        </w:tc>
        <w:tc>
          <w:tcPr>
            <w:tcW w:w="414" w:type="pct"/>
            <w:tcBorders>
              <w:top w:val="single" w:sz="4" w:space="0" w:color="auto"/>
              <w:left w:val="nil"/>
              <w:bottom w:val="single" w:sz="4" w:space="0" w:color="auto"/>
              <w:right w:val="nil"/>
            </w:tcBorders>
            <w:shd w:val="clear" w:color="auto" w:fill="auto"/>
            <w:noWrap/>
            <w:vAlign w:val="center"/>
            <w:hideMark/>
          </w:tcPr>
          <w:p w14:paraId="2D299335" w14:textId="77777777" w:rsidR="00DD531B" w:rsidRPr="00DD531B" w:rsidRDefault="00DD531B" w:rsidP="00170734">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2021 S</w:t>
            </w:r>
          </w:p>
        </w:tc>
        <w:tc>
          <w:tcPr>
            <w:tcW w:w="414" w:type="pct"/>
            <w:tcBorders>
              <w:top w:val="single" w:sz="4" w:space="0" w:color="auto"/>
              <w:left w:val="nil"/>
              <w:bottom w:val="single" w:sz="4" w:space="0" w:color="auto"/>
              <w:right w:val="nil"/>
            </w:tcBorders>
            <w:shd w:val="clear" w:color="auto" w:fill="auto"/>
            <w:noWrap/>
            <w:vAlign w:val="center"/>
            <w:hideMark/>
          </w:tcPr>
          <w:p w14:paraId="2F012EA6" w14:textId="77777777" w:rsidR="00DD531B" w:rsidRPr="00DD531B" w:rsidRDefault="00DD531B" w:rsidP="00170734">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2022 S</w:t>
            </w:r>
          </w:p>
        </w:tc>
        <w:tc>
          <w:tcPr>
            <w:tcW w:w="414" w:type="pct"/>
            <w:tcBorders>
              <w:top w:val="single" w:sz="4" w:space="0" w:color="auto"/>
              <w:left w:val="nil"/>
              <w:bottom w:val="single" w:sz="4" w:space="0" w:color="auto"/>
              <w:right w:val="nil"/>
            </w:tcBorders>
            <w:shd w:val="clear" w:color="auto" w:fill="auto"/>
            <w:noWrap/>
            <w:vAlign w:val="center"/>
            <w:hideMark/>
          </w:tcPr>
          <w:p w14:paraId="5B675A57" w14:textId="77777777" w:rsidR="00DD531B" w:rsidRPr="00DD531B" w:rsidRDefault="00DD531B" w:rsidP="00170734">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2023 R</w:t>
            </w:r>
          </w:p>
        </w:tc>
        <w:tc>
          <w:tcPr>
            <w:tcW w:w="414" w:type="pct"/>
            <w:tcBorders>
              <w:top w:val="single" w:sz="4" w:space="0" w:color="auto"/>
              <w:left w:val="nil"/>
              <w:bottom w:val="single" w:sz="4" w:space="0" w:color="auto"/>
              <w:right w:val="nil"/>
            </w:tcBorders>
            <w:shd w:val="clear" w:color="auto" w:fill="auto"/>
            <w:noWrap/>
            <w:vAlign w:val="center"/>
            <w:hideMark/>
          </w:tcPr>
          <w:p w14:paraId="270192C0" w14:textId="77777777" w:rsidR="00DD531B" w:rsidRPr="00DD531B" w:rsidRDefault="00DD531B" w:rsidP="00170734">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2023 OS</w:t>
            </w:r>
          </w:p>
        </w:tc>
        <w:tc>
          <w:tcPr>
            <w:tcW w:w="414" w:type="pct"/>
            <w:tcBorders>
              <w:top w:val="single" w:sz="4" w:space="0" w:color="auto"/>
              <w:left w:val="nil"/>
              <w:bottom w:val="single" w:sz="4" w:space="0" w:color="auto"/>
              <w:right w:val="nil"/>
            </w:tcBorders>
            <w:shd w:val="clear" w:color="auto" w:fill="auto"/>
            <w:noWrap/>
            <w:vAlign w:val="center"/>
            <w:hideMark/>
          </w:tcPr>
          <w:p w14:paraId="02678CBF" w14:textId="77777777" w:rsidR="00DD531B" w:rsidRPr="00DD531B" w:rsidRDefault="00DD531B" w:rsidP="00170734">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2024 N</w:t>
            </w:r>
          </w:p>
        </w:tc>
        <w:tc>
          <w:tcPr>
            <w:tcW w:w="414" w:type="pct"/>
            <w:tcBorders>
              <w:top w:val="single" w:sz="4" w:space="0" w:color="auto"/>
              <w:left w:val="nil"/>
              <w:bottom w:val="single" w:sz="4" w:space="0" w:color="auto"/>
              <w:right w:val="nil"/>
            </w:tcBorders>
            <w:shd w:val="clear" w:color="auto" w:fill="auto"/>
            <w:noWrap/>
            <w:vAlign w:val="center"/>
            <w:hideMark/>
          </w:tcPr>
          <w:p w14:paraId="598F2951" w14:textId="77777777" w:rsidR="00DD531B" w:rsidRPr="00DD531B" w:rsidRDefault="00DD531B" w:rsidP="00170734">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2025 N</w:t>
            </w:r>
          </w:p>
        </w:tc>
        <w:tc>
          <w:tcPr>
            <w:tcW w:w="414" w:type="pct"/>
            <w:tcBorders>
              <w:top w:val="single" w:sz="4" w:space="0" w:color="auto"/>
              <w:left w:val="nil"/>
              <w:bottom w:val="single" w:sz="4" w:space="0" w:color="auto"/>
              <w:right w:val="nil"/>
            </w:tcBorders>
            <w:shd w:val="clear" w:color="auto" w:fill="auto"/>
            <w:noWrap/>
            <w:vAlign w:val="center"/>
            <w:hideMark/>
          </w:tcPr>
          <w:p w14:paraId="6430EF87" w14:textId="77777777" w:rsidR="00DD531B" w:rsidRPr="00DD531B" w:rsidRDefault="00DD531B" w:rsidP="00170734">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2026 N</w:t>
            </w:r>
          </w:p>
        </w:tc>
      </w:tr>
      <w:tr w:rsidR="00DD531B" w:rsidRPr="00DD531B" w14:paraId="782F1380" w14:textId="77777777" w:rsidTr="001F24AE">
        <w:trPr>
          <w:trHeight w:val="300"/>
        </w:trPr>
        <w:tc>
          <w:tcPr>
            <w:tcW w:w="2104" w:type="pct"/>
            <w:tcBorders>
              <w:top w:val="nil"/>
              <w:left w:val="nil"/>
              <w:bottom w:val="nil"/>
              <w:right w:val="nil"/>
            </w:tcBorders>
            <w:shd w:val="clear" w:color="auto" w:fill="auto"/>
            <w:noWrap/>
            <w:vAlign w:val="bottom"/>
            <w:hideMark/>
          </w:tcPr>
          <w:p w14:paraId="7E201735" w14:textId="77777777" w:rsidR="00DD531B" w:rsidRPr="00DD531B" w:rsidRDefault="00DD531B" w:rsidP="00DD531B">
            <w:pPr>
              <w:spacing w:after="0" w:line="240" w:lineRule="auto"/>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Príjmy kapitoly spolu</w:t>
            </w:r>
          </w:p>
        </w:tc>
        <w:tc>
          <w:tcPr>
            <w:tcW w:w="414" w:type="pct"/>
            <w:tcBorders>
              <w:top w:val="nil"/>
              <w:left w:val="nil"/>
              <w:bottom w:val="nil"/>
              <w:right w:val="nil"/>
            </w:tcBorders>
            <w:shd w:val="clear" w:color="auto" w:fill="auto"/>
            <w:noWrap/>
            <w:vAlign w:val="bottom"/>
            <w:hideMark/>
          </w:tcPr>
          <w:p w14:paraId="30273741"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14 499 831</w:t>
            </w:r>
          </w:p>
        </w:tc>
        <w:tc>
          <w:tcPr>
            <w:tcW w:w="414" w:type="pct"/>
            <w:tcBorders>
              <w:top w:val="nil"/>
              <w:left w:val="nil"/>
              <w:bottom w:val="nil"/>
              <w:right w:val="nil"/>
            </w:tcBorders>
            <w:shd w:val="clear" w:color="auto" w:fill="auto"/>
            <w:noWrap/>
            <w:vAlign w:val="bottom"/>
            <w:hideMark/>
          </w:tcPr>
          <w:p w14:paraId="6B7F7AC6"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16 366 444</w:t>
            </w:r>
          </w:p>
        </w:tc>
        <w:tc>
          <w:tcPr>
            <w:tcW w:w="414" w:type="pct"/>
            <w:tcBorders>
              <w:top w:val="nil"/>
              <w:left w:val="nil"/>
              <w:bottom w:val="nil"/>
              <w:right w:val="nil"/>
            </w:tcBorders>
            <w:shd w:val="clear" w:color="auto" w:fill="auto"/>
            <w:noWrap/>
            <w:vAlign w:val="bottom"/>
            <w:hideMark/>
          </w:tcPr>
          <w:p w14:paraId="1495E6AF"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20 848 118</w:t>
            </w:r>
          </w:p>
        </w:tc>
        <w:tc>
          <w:tcPr>
            <w:tcW w:w="414" w:type="pct"/>
            <w:tcBorders>
              <w:top w:val="nil"/>
              <w:left w:val="nil"/>
              <w:bottom w:val="nil"/>
              <w:right w:val="nil"/>
            </w:tcBorders>
            <w:shd w:val="clear" w:color="auto" w:fill="auto"/>
            <w:noWrap/>
            <w:vAlign w:val="bottom"/>
            <w:hideMark/>
          </w:tcPr>
          <w:p w14:paraId="55BF78A7"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18 853 455</w:t>
            </w:r>
          </w:p>
        </w:tc>
        <w:tc>
          <w:tcPr>
            <w:tcW w:w="414" w:type="pct"/>
            <w:tcBorders>
              <w:top w:val="nil"/>
              <w:left w:val="nil"/>
              <w:bottom w:val="nil"/>
              <w:right w:val="nil"/>
            </w:tcBorders>
            <w:shd w:val="clear" w:color="auto" w:fill="auto"/>
            <w:noWrap/>
            <w:vAlign w:val="bottom"/>
            <w:hideMark/>
          </w:tcPr>
          <w:p w14:paraId="2D847789"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20 975 100</w:t>
            </w:r>
          </w:p>
        </w:tc>
        <w:tc>
          <w:tcPr>
            <w:tcW w:w="414" w:type="pct"/>
            <w:tcBorders>
              <w:top w:val="nil"/>
              <w:left w:val="nil"/>
              <w:bottom w:val="nil"/>
              <w:right w:val="nil"/>
            </w:tcBorders>
            <w:shd w:val="clear" w:color="auto" w:fill="auto"/>
            <w:noWrap/>
            <w:vAlign w:val="bottom"/>
            <w:hideMark/>
          </w:tcPr>
          <w:p w14:paraId="4DEA8694"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21 640 033</w:t>
            </w:r>
          </w:p>
        </w:tc>
        <w:tc>
          <w:tcPr>
            <w:tcW w:w="414" w:type="pct"/>
            <w:tcBorders>
              <w:top w:val="nil"/>
              <w:left w:val="nil"/>
              <w:bottom w:val="nil"/>
              <w:right w:val="nil"/>
            </w:tcBorders>
            <w:shd w:val="clear" w:color="auto" w:fill="auto"/>
            <w:noWrap/>
            <w:vAlign w:val="bottom"/>
            <w:hideMark/>
          </w:tcPr>
          <w:p w14:paraId="3939C45E" w14:textId="77777777" w:rsidR="00DD531B" w:rsidRPr="00DD531B" w:rsidRDefault="00DD531B" w:rsidP="00DD531B">
            <w:pPr>
              <w:spacing w:after="0" w:line="240" w:lineRule="auto"/>
              <w:jc w:val="right"/>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21 183 229</w:t>
            </w:r>
          </w:p>
        </w:tc>
      </w:tr>
      <w:tr w:rsidR="00DD531B" w:rsidRPr="00DD531B" w14:paraId="7E5BC077" w14:textId="77777777" w:rsidTr="001F24AE">
        <w:trPr>
          <w:trHeight w:val="300"/>
        </w:trPr>
        <w:tc>
          <w:tcPr>
            <w:tcW w:w="2104" w:type="pct"/>
            <w:tcBorders>
              <w:top w:val="nil"/>
              <w:left w:val="nil"/>
              <w:bottom w:val="nil"/>
              <w:right w:val="nil"/>
            </w:tcBorders>
            <w:shd w:val="clear" w:color="auto" w:fill="auto"/>
            <w:noWrap/>
            <w:vAlign w:val="bottom"/>
            <w:hideMark/>
          </w:tcPr>
          <w:p w14:paraId="410C0F09" w14:textId="77777777" w:rsidR="00DD531B" w:rsidRPr="00DD531B" w:rsidRDefault="00DD531B" w:rsidP="00DD531B">
            <w:pPr>
              <w:spacing w:after="0" w:line="240" w:lineRule="auto"/>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daňové príjmy</w:t>
            </w:r>
          </w:p>
        </w:tc>
        <w:tc>
          <w:tcPr>
            <w:tcW w:w="414" w:type="pct"/>
            <w:tcBorders>
              <w:top w:val="nil"/>
              <w:left w:val="nil"/>
              <w:bottom w:val="nil"/>
              <w:right w:val="nil"/>
            </w:tcBorders>
            <w:shd w:val="clear" w:color="auto" w:fill="auto"/>
            <w:noWrap/>
            <w:vAlign w:val="bottom"/>
            <w:hideMark/>
          </w:tcPr>
          <w:p w14:paraId="06A997BA"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13 546 039</w:t>
            </w:r>
          </w:p>
        </w:tc>
        <w:tc>
          <w:tcPr>
            <w:tcW w:w="414" w:type="pct"/>
            <w:tcBorders>
              <w:top w:val="nil"/>
              <w:left w:val="nil"/>
              <w:bottom w:val="nil"/>
              <w:right w:val="nil"/>
            </w:tcBorders>
            <w:shd w:val="clear" w:color="auto" w:fill="auto"/>
            <w:noWrap/>
            <w:vAlign w:val="bottom"/>
            <w:hideMark/>
          </w:tcPr>
          <w:p w14:paraId="332E6AA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15 517 036</w:t>
            </w:r>
          </w:p>
        </w:tc>
        <w:tc>
          <w:tcPr>
            <w:tcW w:w="414" w:type="pct"/>
            <w:tcBorders>
              <w:top w:val="nil"/>
              <w:left w:val="nil"/>
              <w:bottom w:val="nil"/>
              <w:right w:val="nil"/>
            </w:tcBorders>
            <w:shd w:val="clear" w:color="auto" w:fill="auto"/>
            <w:noWrap/>
            <w:vAlign w:val="bottom"/>
            <w:hideMark/>
          </w:tcPr>
          <w:p w14:paraId="16BF39DB"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16 795 409</w:t>
            </w:r>
          </w:p>
        </w:tc>
        <w:tc>
          <w:tcPr>
            <w:tcW w:w="414" w:type="pct"/>
            <w:tcBorders>
              <w:top w:val="nil"/>
              <w:left w:val="nil"/>
              <w:bottom w:val="nil"/>
              <w:right w:val="nil"/>
            </w:tcBorders>
            <w:shd w:val="clear" w:color="auto" w:fill="auto"/>
            <w:noWrap/>
            <w:vAlign w:val="bottom"/>
            <w:hideMark/>
          </w:tcPr>
          <w:p w14:paraId="411B333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17 428 281</w:t>
            </w:r>
          </w:p>
        </w:tc>
        <w:tc>
          <w:tcPr>
            <w:tcW w:w="414" w:type="pct"/>
            <w:tcBorders>
              <w:top w:val="nil"/>
              <w:left w:val="nil"/>
              <w:bottom w:val="nil"/>
              <w:right w:val="nil"/>
            </w:tcBorders>
            <w:shd w:val="clear" w:color="auto" w:fill="auto"/>
            <w:noWrap/>
            <w:vAlign w:val="bottom"/>
            <w:hideMark/>
          </w:tcPr>
          <w:p w14:paraId="4B88A8B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18 633 856</w:t>
            </w:r>
          </w:p>
        </w:tc>
        <w:tc>
          <w:tcPr>
            <w:tcW w:w="414" w:type="pct"/>
            <w:tcBorders>
              <w:top w:val="nil"/>
              <w:left w:val="nil"/>
              <w:bottom w:val="nil"/>
              <w:right w:val="nil"/>
            </w:tcBorders>
            <w:shd w:val="clear" w:color="auto" w:fill="auto"/>
            <w:noWrap/>
            <w:vAlign w:val="bottom"/>
            <w:hideMark/>
          </w:tcPr>
          <w:p w14:paraId="54BD1EE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19 438 101</w:t>
            </w:r>
          </w:p>
        </w:tc>
        <w:tc>
          <w:tcPr>
            <w:tcW w:w="414" w:type="pct"/>
            <w:tcBorders>
              <w:top w:val="nil"/>
              <w:left w:val="nil"/>
              <w:bottom w:val="nil"/>
              <w:right w:val="nil"/>
            </w:tcBorders>
            <w:shd w:val="clear" w:color="auto" w:fill="auto"/>
            <w:noWrap/>
            <w:vAlign w:val="bottom"/>
            <w:hideMark/>
          </w:tcPr>
          <w:p w14:paraId="7656E35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19 593 020</w:t>
            </w:r>
          </w:p>
        </w:tc>
      </w:tr>
      <w:tr w:rsidR="00DD531B" w:rsidRPr="00DD531B" w14:paraId="313FE056" w14:textId="77777777" w:rsidTr="001F24AE">
        <w:trPr>
          <w:trHeight w:val="300"/>
        </w:trPr>
        <w:tc>
          <w:tcPr>
            <w:tcW w:w="2104" w:type="pct"/>
            <w:tcBorders>
              <w:top w:val="nil"/>
              <w:left w:val="nil"/>
              <w:bottom w:val="nil"/>
              <w:right w:val="nil"/>
            </w:tcBorders>
            <w:shd w:val="clear" w:color="auto" w:fill="auto"/>
            <w:noWrap/>
            <w:vAlign w:val="bottom"/>
            <w:hideMark/>
          </w:tcPr>
          <w:p w14:paraId="20F382DA" w14:textId="77777777" w:rsidR="00DD531B" w:rsidRPr="00DD531B" w:rsidRDefault="00DD531B" w:rsidP="00DD531B">
            <w:pPr>
              <w:spacing w:after="0" w:line="240" w:lineRule="auto"/>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nedaňové príjmy, v tom:</w:t>
            </w:r>
          </w:p>
        </w:tc>
        <w:tc>
          <w:tcPr>
            <w:tcW w:w="414" w:type="pct"/>
            <w:tcBorders>
              <w:top w:val="nil"/>
              <w:left w:val="nil"/>
              <w:bottom w:val="nil"/>
              <w:right w:val="nil"/>
            </w:tcBorders>
            <w:shd w:val="clear" w:color="auto" w:fill="auto"/>
            <w:noWrap/>
            <w:vAlign w:val="bottom"/>
            <w:hideMark/>
          </w:tcPr>
          <w:p w14:paraId="38EFB52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949 510</w:t>
            </w:r>
          </w:p>
        </w:tc>
        <w:tc>
          <w:tcPr>
            <w:tcW w:w="414" w:type="pct"/>
            <w:tcBorders>
              <w:top w:val="nil"/>
              <w:left w:val="nil"/>
              <w:bottom w:val="nil"/>
              <w:right w:val="nil"/>
            </w:tcBorders>
            <w:shd w:val="clear" w:color="auto" w:fill="auto"/>
            <w:noWrap/>
            <w:vAlign w:val="bottom"/>
            <w:hideMark/>
          </w:tcPr>
          <w:p w14:paraId="5F051F0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808 348</w:t>
            </w:r>
          </w:p>
        </w:tc>
        <w:tc>
          <w:tcPr>
            <w:tcW w:w="414" w:type="pct"/>
            <w:tcBorders>
              <w:top w:val="nil"/>
              <w:left w:val="nil"/>
              <w:bottom w:val="nil"/>
              <w:right w:val="nil"/>
            </w:tcBorders>
            <w:shd w:val="clear" w:color="auto" w:fill="auto"/>
            <w:noWrap/>
            <w:vAlign w:val="bottom"/>
            <w:hideMark/>
          </w:tcPr>
          <w:p w14:paraId="6283965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1 631 147</w:t>
            </w:r>
          </w:p>
        </w:tc>
        <w:tc>
          <w:tcPr>
            <w:tcW w:w="414" w:type="pct"/>
            <w:tcBorders>
              <w:top w:val="nil"/>
              <w:left w:val="nil"/>
              <w:bottom w:val="nil"/>
              <w:right w:val="nil"/>
            </w:tcBorders>
            <w:shd w:val="clear" w:color="auto" w:fill="auto"/>
            <w:noWrap/>
            <w:vAlign w:val="bottom"/>
            <w:hideMark/>
          </w:tcPr>
          <w:p w14:paraId="6D2CA40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1 012 690</w:t>
            </w:r>
          </w:p>
        </w:tc>
        <w:tc>
          <w:tcPr>
            <w:tcW w:w="414" w:type="pct"/>
            <w:tcBorders>
              <w:top w:val="nil"/>
              <w:left w:val="nil"/>
              <w:bottom w:val="nil"/>
              <w:right w:val="nil"/>
            </w:tcBorders>
            <w:shd w:val="clear" w:color="auto" w:fill="auto"/>
            <w:noWrap/>
            <w:vAlign w:val="bottom"/>
            <w:hideMark/>
          </w:tcPr>
          <w:p w14:paraId="649CD75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1 125 842</w:t>
            </w:r>
          </w:p>
        </w:tc>
        <w:tc>
          <w:tcPr>
            <w:tcW w:w="414" w:type="pct"/>
            <w:tcBorders>
              <w:top w:val="nil"/>
              <w:left w:val="nil"/>
              <w:bottom w:val="nil"/>
              <w:right w:val="nil"/>
            </w:tcBorders>
            <w:shd w:val="clear" w:color="auto" w:fill="auto"/>
            <w:noWrap/>
            <w:vAlign w:val="bottom"/>
            <w:hideMark/>
          </w:tcPr>
          <w:p w14:paraId="6FFDECC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1 022 302</w:t>
            </w:r>
          </w:p>
        </w:tc>
        <w:tc>
          <w:tcPr>
            <w:tcW w:w="414" w:type="pct"/>
            <w:tcBorders>
              <w:top w:val="nil"/>
              <w:left w:val="nil"/>
              <w:bottom w:val="nil"/>
              <w:right w:val="nil"/>
            </w:tcBorders>
            <w:shd w:val="clear" w:color="auto" w:fill="auto"/>
            <w:noWrap/>
            <w:vAlign w:val="bottom"/>
            <w:hideMark/>
          </w:tcPr>
          <w:p w14:paraId="7B70CB9B"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1 018 386</w:t>
            </w:r>
          </w:p>
        </w:tc>
      </w:tr>
      <w:tr w:rsidR="00DD531B" w:rsidRPr="00DD531B" w14:paraId="3A6BF803" w14:textId="77777777" w:rsidTr="001F24AE">
        <w:trPr>
          <w:trHeight w:val="300"/>
        </w:trPr>
        <w:tc>
          <w:tcPr>
            <w:tcW w:w="2104" w:type="pct"/>
            <w:tcBorders>
              <w:top w:val="nil"/>
              <w:left w:val="nil"/>
              <w:bottom w:val="nil"/>
              <w:right w:val="nil"/>
            </w:tcBorders>
            <w:shd w:val="clear" w:color="auto" w:fill="auto"/>
            <w:noWrap/>
            <w:vAlign w:val="bottom"/>
            <w:hideMark/>
          </w:tcPr>
          <w:p w14:paraId="7A8E13C9" w14:textId="77777777" w:rsidR="00DD531B" w:rsidRPr="00DD531B" w:rsidRDefault="00DD531B" w:rsidP="00DD531B">
            <w:pPr>
              <w:spacing w:after="0" w:line="240" w:lineRule="auto"/>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dividendy</w:t>
            </w:r>
          </w:p>
        </w:tc>
        <w:tc>
          <w:tcPr>
            <w:tcW w:w="414" w:type="pct"/>
            <w:tcBorders>
              <w:top w:val="nil"/>
              <w:left w:val="nil"/>
              <w:bottom w:val="nil"/>
              <w:right w:val="nil"/>
            </w:tcBorders>
            <w:shd w:val="clear" w:color="auto" w:fill="auto"/>
            <w:noWrap/>
            <w:vAlign w:val="bottom"/>
            <w:hideMark/>
          </w:tcPr>
          <w:p w14:paraId="379A105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442 445</w:t>
            </w:r>
          </w:p>
        </w:tc>
        <w:tc>
          <w:tcPr>
            <w:tcW w:w="414" w:type="pct"/>
            <w:tcBorders>
              <w:top w:val="nil"/>
              <w:left w:val="nil"/>
              <w:bottom w:val="nil"/>
              <w:right w:val="nil"/>
            </w:tcBorders>
            <w:shd w:val="clear" w:color="auto" w:fill="auto"/>
            <w:noWrap/>
            <w:vAlign w:val="bottom"/>
            <w:hideMark/>
          </w:tcPr>
          <w:p w14:paraId="2C71991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148 686</w:t>
            </w:r>
          </w:p>
        </w:tc>
        <w:tc>
          <w:tcPr>
            <w:tcW w:w="414" w:type="pct"/>
            <w:tcBorders>
              <w:top w:val="nil"/>
              <w:left w:val="nil"/>
              <w:bottom w:val="nil"/>
              <w:right w:val="nil"/>
            </w:tcBorders>
            <w:shd w:val="clear" w:color="auto" w:fill="auto"/>
            <w:noWrap/>
            <w:vAlign w:val="bottom"/>
            <w:hideMark/>
          </w:tcPr>
          <w:p w14:paraId="1D0A1B9C"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318 776</w:t>
            </w:r>
          </w:p>
        </w:tc>
        <w:tc>
          <w:tcPr>
            <w:tcW w:w="414" w:type="pct"/>
            <w:tcBorders>
              <w:top w:val="nil"/>
              <w:left w:val="nil"/>
              <w:bottom w:val="nil"/>
              <w:right w:val="nil"/>
            </w:tcBorders>
            <w:shd w:val="clear" w:color="auto" w:fill="auto"/>
            <w:noWrap/>
            <w:vAlign w:val="bottom"/>
            <w:hideMark/>
          </w:tcPr>
          <w:p w14:paraId="27D201D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306 585</w:t>
            </w:r>
          </w:p>
        </w:tc>
        <w:tc>
          <w:tcPr>
            <w:tcW w:w="414" w:type="pct"/>
            <w:tcBorders>
              <w:top w:val="nil"/>
              <w:left w:val="nil"/>
              <w:bottom w:val="nil"/>
              <w:right w:val="nil"/>
            </w:tcBorders>
            <w:shd w:val="clear" w:color="auto" w:fill="auto"/>
            <w:noWrap/>
            <w:vAlign w:val="bottom"/>
            <w:hideMark/>
          </w:tcPr>
          <w:p w14:paraId="3E9E857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374 196</w:t>
            </w:r>
          </w:p>
        </w:tc>
        <w:tc>
          <w:tcPr>
            <w:tcW w:w="414" w:type="pct"/>
            <w:tcBorders>
              <w:top w:val="nil"/>
              <w:left w:val="nil"/>
              <w:bottom w:val="nil"/>
              <w:right w:val="nil"/>
            </w:tcBorders>
            <w:shd w:val="clear" w:color="auto" w:fill="auto"/>
            <w:noWrap/>
            <w:vAlign w:val="bottom"/>
            <w:hideMark/>
          </w:tcPr>
          <w:p w14:paraId="62728AE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239 046</w:t>
            </w:r>
          </w:p>
        </w:tc>
        <w:tc>
          <w:tcPr>
            <w:tcW w:w="414" w:type="pct"/>
            <w:tcBorders>
              <w:top w:val="nil"/>
              <w:left w:val="nil"/>
              <w:bottom w:val="nil"/>
              <w:right w:val="nil"/>
            </w:tcBorders>
            <w:shd w:val="clear" w:color="auto" w:fill="auto"/>
            <w:noWrap/>
            <w:vAlign w:val="bottom"/>
            <w:hideMark/>
          </w:tcPr>
          <w:p w14:paraId="5F46CE7A"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206 761</w:t>
            </w:r>
          </w:p>
        </w:tc>
      </w:tr>
      <w:tr w:rsidR="00DD531B" w:rsidRPr="00DD531B" w14:paraId="64DC8606" w14:textId="77777777" w:rsidTr="001F24AE">
        <w:trPr>
          <w:trHeight w:val="300"/>
        </w:trPr>
        <w:tc>
          <w:tcPr>
            <w:tcW w:w="2104" w:type="pct"/>
            <w:tcBorders>
              <w:top w:val="nil"/>
              <w:left w:val="nil"/>
              <w:bottom w:val="nil"/>
              <w:right w:val="nil"/>
            </w:tcBorders>
            <w:shd w:val="clear" w:color="auto" w:fill="auto"/>
            <w:noWrap/>
            <w:vAlign w:val="bottom"/>
            <w:hideMark/>
          </w:tcPr>
          <w:p w14:paraId="5B164ED3" w14:textId="77777777" w:rsidR="00DD531B" w:rsidRPr="00DD531B" w:rsidRDefault="00DD531B" w:rsidP="00DD531B">
            <w:pPr>
              <w:spacing w:after="0" w:line="240" w:lineRule="auto"/>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granty a transfery, v tom:</w:t>
            </w:r>
          </w:p>
        </w:tc>
        <w:tc>
          <w:tcPr>
            <w:tcW w:w="414" w:type="pct"/>
            <w:tcBorders>
              <w:top w:val="nil"/>
              <w:left w:val="nil"/>
              <w:bottom w:val="nil"/>
              <w:right w:val="nil"/>
            </w:tcBorders>
            <w:shd w:val="clear" w:color="auto" w:fill="auto"/>
            <w:noWrap/>
            <w:vAlign w:val="bottom"/>
            <w:hideMark/>
          </w:tcPr>
          <w:p w14:paraId="01DAD64A"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4 283</w:t>
            </w:r>
          </w:p>
        </w:tc>
        <w:tc>
          <w:tcPr>
            <w:tcW w:w="414" w:type="pct"/>
            <w:tcBorders>
              <w:top w:val="nil"/>
              <w:left w:val="nil"/>
              <w:bottom w:val="nil"/>
              <w:right w:val="nil"/>
            </w:tcBorders>
            <w:shd w:val="clear" w:color="auto" w:fill="auto"/>
            <w:noWrap/>
            <w:vAlign w:val="bottom"/>
            <w:hideMark/>
          </w:tcPr>
          <w:p w14:paraId="435B7BF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41 061</w:t>
            </w:r>
          </w:p>
        </w:tc>
        <w:tc>
          <w:tcPr>
            <w:tcW w:w="414" w:type="pct"/>
            <w:tcBorders>
              <w:top w:val="nil"/>
              <w:left w:val="nil"/>
              <w:bottom w:val="nil"/>
              <w:right w:val="nil"/>
            </w:tcBorders>
            <w:shd w:val="clear" w:color="auto" w:fill="auto"/>
            <w:noWrap/>
            <w:vAlign w:val="bottom"/>
            <w:hideMark/>
          </w:tcPr>
          <w:p w14:paraId="27B0B87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2 421 562</w:t>
            </w:r>
          </w:p>
        </w:tc>
        <w:tc>
          <w:tcPr>
            <w:tcW w:w="414" w:type="pct"/>
            <w:tcBorders>
              <w:top w:val="nil"/>
              <w:left w:val="nil"/>
              <w:bottom w:val="nil"/>
              <w:right w:val="nil"/>
            </w:tcBorders>
            <w:shd w:val="clear" w:color="auto" w:fill="auto"/>
            <w:noWrap/>
            <w:vAlign w:val="bottom"/>
            <w:hideMark/>
          </w:tcPr>
          <w:p w14:paraId="41A0602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412 484</w:t>
            </w:r>
          </w:p>
        </w:tc>
        <w:tc>
          <w:tcPr>
            <w:tcW w:w="414" w:type="pct"/>
            <w:tcBorders>
              <w:top w:val="nil"/>
              <w:left w:val="nil"/>
              <w:bottom w:val="nil"/>
              <w:right w:val="nil"/>
            </w:tcBorders>
            <w:shd w:val="clear" w:color="auto" w:fill="auto"/>
            <w:noWrap/>
            <w:vAlign w:val="bottom"/>
            <w:hideMark/>
          </w:tcPr>
          <w:p w14:paraId="40958C3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1 215 402</w:t>
            </w:r>
          </w:p>
        </w:tc>
        <w:tc>
          <w:tcPr>
            <w:tcW w:w="414" w:type="pct"/>
            <w:tcBorders>
              <w:top w:val="nil"/>
              <w:left w:val="nil"/>
              <w:bottom w:val="nil"/>
              <w:right w:val="nil"/>
            </w:tcBorders>
            <w:shd w:val="clear" w:color="auto" w:fill="auto"/>
            <w:noWrap/>
            <w:vAlign w:val="bottom"/>
            <w:hideMark/>
          </w:tcPr>
          <w:p w14:paraId="4431D25B"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1 179 629</w:t>
            </w:r>
          </w:p>
        </w:tc>
        <w:tc>
          <w:tcPr>
            <w:tcW w:w="414" w:type="pct"/>
            <w:tcBorders>
              <w:top w:val="nil"/>
              <w:left w:val="nil"/>
              <w:bottom w:val="nil"/>
              <w:right w:val="nil"/>
            </w:tcBorders>
            <w:shd w:val="clear" w:color="auto" w:fill="auto"/>
            <w:noWrap/>
            <w:vAlign w:val="bottom"/>
            <w:hideMark/>
          </w:tcPr>
          <w:p w14:paraId="465FD0D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571 824</w:t>
            </w:r>
          </w:p>
        </w:tc>
      </w:tr>
      <w:tr w:rsidR="00DD531B" w:rsidRPr="00DD531B" w14:paraId="4E11496B" w14:textId="77777777" w:rsidTr="001F24AE">
        <w:trPr>
          <w:trHeight w:val="300"/>
        </w:trPr>
        <w:tc>
          <w:tcPr>
            <w:tcW w:w="2104" w:type="pct"/>
            <w:tcBorders>
              <w:top w:val="nil"/>
              <w:left w:val="nil"/>
              <w:bottom w:val="nil"/>
              <w:right w:val="nil"/>
            </w:tcBorders>
            <w:shd w:val="clear" w:color="auto" w:fill="auto"/>
            <w:noWrap/>
            <w:vAlign w:val="bottom"/>
            <w:hideMark/>
          </w:tcPr>
          <w:p w14:paraId="7B0E88EA" w14:textId="77777777" w:rsidR="00DD531B" w:rsidRPr="00DD531B" w:rsidRDefault="00DD531B" w:rsidP="00DD531B">
            <w:pPr>
              <w:spacing w:after="0" w:line="240" w:lineRule="auto"/>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prostriedky EÚ</w:t>
            </w:r>
          </w:p>
        </w:tc>
        <w:tc>
          <w:tcPr>
            <w:tcW w:w="414" w:type="pct"/>
            <w:tcBorders>
              <w:top w:val="nil"/>
              <w:left w:val="nil"/>
              <w:bottom w:val="nil"/>
              <w:right w:val="nil"/>
            </w:tcBorders>
            <w:shd w:val="clear" w:color="auto" w:fill="auto"/>
            <w:noWrap/>
            <w:vAlign w:val="bottom"/>
            <w:hideMark/>
          </w:tcPr>
          <w:p w14:paraId="77A7790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6EDC1E9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0D8FA27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410 311</w:t>
            </w:r>
          </w:p>
        </w:tc>
        <w:tc>
          <w:tcPr>
            <w:tcW w:w="414" w:type="pct"/>
            <w:tcBorders>
              <w:top w:val="nil"/>
              <w:left w:val="nil"/>
              <w:bottom w:val="nil"/>
              <w:right w:val="nil"/>
            </w:tcBorders>
            <w:shd w:val="clear" w:color="auto" w:fill="auto"/>
            <w:noWrap/>
            <w:vAlign w:val="bottom"/>
            <w:hideMark/>
          </w:tcPr>
          <w:p w14:paraId="5A57731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67E6E90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2085DFA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4AE1A8B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r>
      <w:tr w:rsidR="00DD531B" w:rsidRPr="00DD531B" w14:paraId="4CFA1356" w14:textId="77777777" w:rsidTr="001F24AE">
        <w:trPr>
          <w:trHeight w:val="300"/>
        </w:trPr>
        <w:tc>
          <w:tcPr>
            <w:tcW w:w="2104" w:type="pct"/>
            <w:tcBorders>
              <w:top w:val="nil"/>
              <w:left w:val="nil"/>
              <w:bottom w:val="single" w:sz="4" w:space="0" w:color="auto"/>
              <w:right w:val="nil"/>
            </w:tcBorders>
            <w:shd w:val="clear" w:color="auto" w:fill="auto"/>
            <w:noWrap/>
            <w:vAlign w:val="bottom"/>
            <w:hideMark/>
          </w:tcPr>
          <w:p w14:paraId="083A73C7" w14:textId="77777777" w:rsidR="00DD531B" w:rsidRPr="00DD531B" w:rsidRDefault="00DD531B" w:rsidP="00DD531B">
            <w:pPr>
              <w:spacing w:after="0" w:line="240" w:lineRule="auto"/>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prostriedky POO</w:t>
            </w:r>
          </w:p>
        </w:tc>
        <w:tc>
          <w:tcPr>
            <w:tcW w:w="414" w:type="pct"/>
            <w:tcBorders>
              <w:top w:val="nil"/>
              <w:left w:val="nil"/>
              <w:bottom w:val="single" w:sz="4" w:space="0" w:color="auto"/>
              <w:right w:val="nil"/>
            </w:tcBorders>
            <w:shd w:val="clear" w:color="auto" w:fill="auto"/>
            <w:noWrap/>
            <w:vAlign w:val="bottom"/>
            <w:hideMark/>
          </w:tcPr>
          <w:p w14:paraId="45784DF8"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4 283</w:t>
            </w:r>
          </w:p>
        </w:tc>
        <w:tc>
          <w:tcPr>
            <w:tcW w:w="414" w:type="pct"/>
            <w:tcBorders>
              <w:top w:val="nil"/>
              <w:left w:val="nil"/>
              <w:bottom w:val="single" w:sz="4" w:space="0" w:color="auto"/>
              <w:right w:val="nil"/>
            </w:tcBorders>
            <w:shd w:val="clear" w:color="auto" w:fill="auto"/>
            <w:noWrap/>
            <w:vAlign w:val="bottom"/>
            <w:hideMark/>
          </w:tcPr>
          <w:p w14:paraId="3353F12C"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41 061</w:t>
            </w:r>
          </w:p>
        </w:tc>
        <w:tc>
          <w:tcPr>
            <w:tcW w:w="414" w:type="pct"/>
            <w:tcBorders>
              <w:top w:val="nil"/>
              <w:left w:val="nil"/>
              <w:bottom w:val="single" w:sz="4" w:space="0" w:color="auto"/>
              <w:right w:val="nil"/>
            </w:tcBorders>
            <w:shd w:val="clear" w:color="auto" w:fill="auto"/>
            <w:noWrap/>
            <w:vAlign w:val="bottom"/>
            <w:hideMark/>
          </w:tcPr>
          <w:p w14:paraId="3657E2C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2 011 251</w:t>
            </w:r>
          </w:p>
        </w:tc>
        <w:tc>
          <w:tcPr>
            <w:tcW w:w="414" w:type="pct"/>
            <w:tcBorders>
              <w:top w:val="nil"/>
              <w:left w:val="nil"/>
              <w:bottom w:val="single" w:sz="4" w:space="0" w:color="auto"/>
              <w:right w:val="nil"/>
            </w:tcBorders>
            <w:shd w:val="clear" w:color="auto" w:fill="auto"/>
            <w:noWrap/>
            <w:vAlign w:val="bottom"/>
            <w:hideMark/>
          </w:tcPr>
          <w:p w14:paraId="64A4A6B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412 484</w:t>
            </w:r>
          </w:p>
        </w:tc>
        <w:tc>
          <w:tcPr>
            <w:tcW w:w="414" w:type="pct"/>
            <w:tcBorders>
              <w:top w:val="nil"/>
              <w:left w:val="nil"/>
              <w:bottom w:val="single" w:sz="4" w:space="0" w:color="auto"/>
              <w:right w:val="nil"/>
            </w:tcBorders>
            <w:shd w:val="clear" w:color="auto" w:fill="auto"/>
            <w:noWrap/>
            <w:vAlign w:val="bottom"/>
            <w:hideMark/>
          </w:tcPr>
          <w:p w14:paraId="1B9BB47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1 215 402</w:t>
            </w:r>
          </w:p>
        </w:tc>
        <w:tc>
          <w:tcPr>
            <w:tcW w:w="414" w:type="pct"/>
            <w:tcBorders>
              <w:top w:val="nil"/>
              <w:left w:val="nil"/>
              <w:bottom w:val="single" w:sz="4" w:space="0" w:color="auto"/>
              <w:right w:val="nil"/>
            </w:tcBorders>
            <w:shd w:val="clear" w:color="auto" w:fill="auto"/>
            <w:noWrap/>
            <w:vAlign w:val="bottom"/>
            <w:hideMark/>
          </w:tcPr>
          <w:p w14:paraId="3F65E1E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1 179 629</w:t>
            </w:r>
          </w:p>
        </w:tc>
        <w:tc>
          <w:tcPr>
            <w:tcW w:w="414" w:type="pct"/>
            <w:tcBorders>
              <w:top w:val="nil"/>
              <w:left w:val="nil"/>
              <w:bottom w:val="single" w:sz="4" w:space="0" w:color="auto"/>
              <w:right w:val="nil"/>
            </w:tcBorders>
            <w:shd w:val="clear" w:color="auto" w:fill="auto"/>
            <w:noWrap/>
            <w:vAlign w:val="bottom"/>
            <w:hideMark/>
          </w:tcPr>
          <w:p w14:paraId="429799F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571 824</w:t>
            </w:r>
          </w:p>
        </w:tc>
      </w:tr>
    </w:tbl>
    <w:p w14:paraId="30C4A116" w14:textId="77777777" w:rsidR="00DD531B" w:rsidRPr="00DD531B" w:rsidRDefault="00DD531B" w:rsidP="00DD531B">
      <w:pPr>
        <w:rPr>
          <w:rFonts w:ascii="Times New Roman" w:eastAsia="Calibri" w:hAnsi="Times New Roman" w:cs="Times New Roman"/>
        </w:rPr>
      </w:pPr>
    </w:p>
    <w:p w14:paraId="0264907A" w14:textId="3FEDAC09" w:rsidR="00DD531B" w:rsidRPr="00DD531B" w:rsidRDefault="00170734" w:rsidP="00DD531B">
      <w:pPr>
        <w:keepNext/>
        <w:keepLines/>
        <w:spacing w:before="40" w:after="0"/>
        <w:outlineLvl w:val="3"/>
        <w:rPr>
          <w:rFonts w:ascii="Times New Roman" w:eastAsia="Times New Roman" w:hAnsi="Times New Roman" w:cs="Times New Roman"/>
          <w:b/>
          <w:iCs/>
          <w:color w:val="2E74B5"/>
          <w:sz w:val="20"/>
          <w:szCs w:val="20"/>
          <w:lang w:eastAsia="sk-SK"/>
        </w:rPr>
      </w:pPr>
      <w:bookmarkStart w:id="248" w:name="_Toc153013118"/>
      <w:r w:rsidRPr="00170734">
        <w:rPr>
          <w:rFonts w:ascii="Times New Roman" w:eastAsia="Times New Roman" w:hAnsi="Times New Roman" w:cs="Times New Roman"/>
          <w:b/>
          <w:iCs/>
          <w:color w:val="5B9BD5" w:themeColor="accent1"/>
          <w:sz w:val="20"/>
          <w:szCs w:val="20"/>
          <w:lang w:eastAsia="sk-SK"/>
        </w:rPr>
        <w:t xml:space="preserve">Tabuľka </w:t>
      </w:r>
      <w:r w:rsidRPr="00170734">
        <w:rPr>
          <w:rFonts w:ascii="Times New Roman" w:hAnsi="Times New Roman" w:cs="Times New Roman"/>
          <w:b/>
          <w:color w:val="5B9BD5" w:themeColor="accent1"/>
          <w:sz w:val="20"/>
          <w:szCs w:val="20"/>
        </w:rPr>
        <w:fldChar w:fldCharType="begin"/>
      </w:r>
      <w:r w:rsidRPr="00170734">
        <w:rPr>
          <w:rFonts w:ascii="Times New Roman" w:hAnsi="Times New Roman" w:cs="Times New Roman"/>
          <w:b/>
          <w:color w:val="5B9BD5" w:themeColor="accent1"/>
          <w:sz w:val="20"/>
          <w:szCs w:val="20"/>
        </w:rPr>
        <w:instrText xml:space="preserve"> SEQ Tabuľka \* ARABIC </w:instrText>
      </w:r>
      <w:r w:rsidRPr="00170734">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120</w:t>
      </w:r>
      <w:r w:rsidRPr="00170734">
        <w:rPr>
          <w:rFonts w:ascii="Times New Roman" w:hAnsi="Times New Roman" w:cs="Times New Roman"/>
          <w:b/>
          <w:color w:val="5B9BD5" w:themeColor="accent1"/>
          <w:sz w:val="20"/>
          <w:szCs w:val="20"/>
        </w:rPr>
        <w:fldChar w:fldCharType="end"/>
      </w:r>
      <w:r w:rsidRPr="00170734">
        <w:rPr>
          <w:rFonts w:ascii="Times New Roman" w:hAnsi="Times New Roman" w:cs="Times New Roman"/>
          <w:b/>
          <w:color w:val="5B9BD5" w:themeColor="accent1"/>
          <w:sz w:val="20"/>
          <w:szCs w:val="20"/>
        </w:rPr>
        <w:t xml:space="preserve"> - </w:t>
      </w:r>
      <w:r w:rsidR="00DD531B" w:rsidRPr="00170734">
        <w:rPr>
          <w:rFonts w:ascii="Times New Roman" w:eastAsia="Times New Roman" w:hAnsi="Times New Roman" w:cs="Times New Roman"/>
          <w:b/>
          <w:iCs/>
          <w:color w:val="5B9BD5" w:themeColor="accent1"/>
          <w:sz w:val="20"/>
          <w:szCs w:val="20"/>
          <w:lang w:eastAsia="sk-SK"/>
        </w:rPr>
        <w:t>Výdavky kapitoly VPS</w:t>
      </w:r>
      <w:bookmarkEnd w:id="248"/>
    </w:p>
    <w:tbl>
      <w:tblPr>
        <w:tblW w:w="5000" w:type="pct"/>
        <w:tblCellMar>
          <w:left w:w="70" w:type="dxa"/>
          <w:right w:w="70" w:type="dxa"/>
        </w:tblCellMar>
        <w:tblLook w:val="04A0" w:firstRow="1" w:lastRow="0" w:firstColumn="1" w:lastColumn="0" w:noHBand="0" w:noVBand="1"/>
      </w:tblPr>
      <w:tblGrid>
        <w:gridCol w:w="3818"/>
        <w:gridCol w:w="751"/>
        <w:gridCol w:w="751"/>
        <w:gridCol w:w="751"/>
        <w:gridCol w:w="751"/>
        <w:gridCol w:w="751"/>
        <w:gridCol w:w="751"/>
        <w:gridCol w:w="748"/>
      </w:tblGrid>
      <w:tr w:rsidR="00DD531B" w:rsidRPr="00DD531B" w14:paraId="6E5F0D9F" w14:textId="77777777" w:rsidTr="001F24AE">
        <w:trPr>
          <w:trHeight w:val="300"/>
        </w:trPr>
        <w:tc>
          <w:tcPr>
            <w:tcW w:w="2104" w:type="pct"/>
            <w:tcBorders>
              <w:top w:val="single" w:sz="4" w:space="0" w:color="auto"/>
              <w:left w:val="nil"/>
              <w:bottom w:val="single" w:sz="4" w:space="0" w:color="auto"/>
              <w:right w:val="nil"/>
            </w:tcBorders>
            <w:shd w:val="clear" w:color="auto" w:fill="auto"/>
            <w:noWrap/>
            <w:vAlign w:val="center"/>
            <w:hideMark/>
          </w:tcPr>
          <w:p w14:paraId="670756BC" w14:textId="77777777" w:rsidR="00DD531B" w:rsidRPr="00DD531B" w:rsidRDefault="00DD531B" w:rsidP="00DD531B">
            <w:pPr>
              <w:spacing w:after="0" w:line="240" w:lineRule="auto"/>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v tis. eur</w:t>
            </w:r>
          </w:p>
        </w:tc>
        <w:tc>
          <w:tcPr>
            <w:tcW w:w="414" w:type="pct"/>
            <w:tcBorders>
              <w:top w:val="single" w:sz="4" w:space="0" w:color="auto"/>
              <w:left w:val="nil"/>
              <w:bottom w:val="single" w:sz="4" w:space="0" w:color="auto"/>
              <w:right w:val="nil"/>
            </w:tcBorders>
            <w:shd w:val="clear" w:color="auto" w:fill="auto"/>
            <w:noWrap/>
            <w:vAlign w:val="center"/>
            <w:hideMark/>
          </w:tcPr>
          <w:p w14:paraId="1F974FE7" w14:textId="77777777" w:rsidR="00DD531B" w:rsidRPr="00DD531B" w:rsidRDefault="00DD531B" w:rsidP="00170734">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2021 S</w:t>
            </w:r>
          </w:p>
        </w:tc>
        <w:tc>
          <w:tcPr>
            <w:tcW w:w="414" w:type="pct"/>
            <w:tcBorders>
              <w:top w:val="single" w:sz="4" w:space="0" w:color="auto"/>
              <w:left w:val="nil"/>
              <w:bottom w:val="single" w:sz="4" w:space="0" w:color="auto"/>
              <w:right w:val="nil"/>
            </w:tcBorders>
            <w:shd w:val="clear" w:color="auto" w:fill="auto"/>
            <w:noWrap/>
            <w:vAlign w:val="center"/>
            <w:hideMark/>
          </w:tcPr>
          <w:p w14:paraId="0AE12717" w14:textId="77777777" w:rsidR="00DD531B" w:rsidRPr="00DD531B" w:rsidRDefault="00DD531B" w:rsidP="00170734">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2022 S</w:t>
            </w:r>
          </w:p>
        </w:tc>
        <w:tc>
          <w:tcPr>
            <w:tcW w:w="414" w:type="pct"/>
            <w:tcBorders>
              <w:top w:val="single" w:sz="4" w:space="0" w:color="auto"/>
              <w:left w:val="nil"/>
              <w:bottom w:val="single" w:sz="4" w:space="0" w:color="auto"/>
              <w:right w:val="nil"/>
            </w:tcBorders>
            <w:shd w:val="clear" w:color="auto" w:fill="auto"/>
            <w:noWrap/>
            <w:vAlign w:val="center"/>
            <w:hideMark/>
          </w:tcPr>
          <w:p w14:paraId="7AA54C7B" w14:textId="77777777" w:rsidR="00DD531B" w:rsidRPr="00DD531B" w:rsidRDefault="00DD531B" w:rsidP="00170734">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2023 R</w:t>
            </w:r>
          </w:p>
        </w:tc>
        <w:tc>
          <w:tcPr>
            <w:tcW w:w="414" w:type="pct"/>
            <w:tcBorders>
              <w:top w:val="single" w:sz="4" w:space="0" w:color="auto"/>
              <w:left w:val="nil"/>
              <w:bottom w:val="single" w:sz="4" w:space="0" w:color="auto"/>
              <w:right w:val="nil"/>
            </w:tcBorders>
            <w:shd w:val="clear" w:color="auto" w:fill="auto"/>
            <w:noWrap/>
            <w:vAlign w:val="center"/>
            <w:hideMark/>
          </w:tcPr>
          <w:p w14:paraId="3274148E" w14:textId="77777777" w:rsidR="00DD531B" w:rsidRPr="00DD531B" w:rsidRDefault="00DD531B" w:rsidP="00170734">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2023 OS</w:t>
            </w:r>
          </w:p>
        </w:tc>
        <w:tc>
          <w:tcPr>
            <w:tcW w:w="414" w:type="pct"/>
            <w:tcBorders>
              <w:top w:val="single" w:sz="4" w:space="0" w:color="auto"/>
              <w:left w:val="nil"/>
              <w:bottom w:val="single" w:sz="4" w:space="0" w:color="auto"/>
              <w:right w:val="nil"/>
            </w:tcBorders>
            <w:shd w:val="clear" w:color="auto" w:fill="auto"/>
            <w:noWrap/>
            <w:vAlign w:val="center"/>
            <w:hideMark/>
          </w:tcPr>
          <w:p w14:paraId="2A454775" w14:textId="77777777" w:rsidR="00DD531B" w:rsidRPr="00DD531B" w:rsidRDefault="00DD531B" w:rsidP="00170734">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2024 N</w:t>
            </w:r>
          </w:p>
        </w:tc>
        <w:tc>
          <w:tcPr>
            <w:tcW w:w="414" w:type="pct"/>
            <w:tcBorders>
              <w:top w:val="single" w:sz="4" w:space="0" w:color="auto"/>
              <w:left w:val="nil"/>
              <w:bottom w:val="single" w:sz="4" w:space="0" w:color="auto"/>
              <w:right w:val="nil"/>
            </w:tcBorders>
            <w:shd w:val="clear" w:color="auto" w:fill="auto"/>
            <w:noWrap/>
            <w:vAlign w:val="center"/>
            <w:hideMark/>
          </w:tcPr>
          <w:p w14:paraId="3ED30C00" w14:textId="77777777" w:rsidR="00DD531B" w:rsidRPr="00DD531B" w:rsidRDefault="00DD531B" w:rsidP="00170734">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2025 N</w:t>
            </w:r>
          </w:p>
        </w:tc>
        <w:tc>
          <w:tcPr>
            <w:tcW w:w="414" w:type="pct"/>
            <w:tcBorders>
              <w:top w:val="single" w:sz="4" w:space="0" w:color="auto"/>
              <w:left w:val="nil"/>
              <w:bottom w:val="single" w:sz="4" w:space="0" w:color="auto"/>
              <w:right w:val="nil"/>
            </w:tcBorders>
            <w:shd w:val="clear" w:color="auto" w:fill="auto"/>
            <w:noWrap/>
            <w:vAlign w:val="center"/>
            <w:hideMark/>
          </w:tcPr>
          <w:p w14:paraId="41803431" w14:textId="77777777" w:rsidR="00DD531B" w:rsidRPr="00DD531B" w:rsidRDefault="00DD531B" w:rsidP="00170734">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2026 N</w:t>
            </w:r>
          </w:p>
        </w:tc>
      </w:tr>
      <w:tr w:rsidR="00DD531B" w:rsidRPr="00DD531B" w14:paraId="769CACC5" w14:textId="77777777" w:rsidTr="001F24AE">
        <w:trPr>
          <w:trHeight w:val="300"/>
        </w:trPr>
        <w:tc>
          <w:tcPr>
            <w:tcW w:w="2104" w:type="pct"/>
            <w:tcBorders>
              <w:top w:val="nil"/>
              <w:left w:val="nil"/>
              <w:bottom w:val="nil"/>
              <w:right w:val="nil"/>
            </w:tcBorders>
            <w:shd w:val="clear" w:color="auto" w:fill="auto"/>
            <w:noWrap/>
            <w:vAlign w:val="center"/>
            <w:hideMark/>
          </w:tcPr>
          <w:p w14:paraId="4F9A7416" w14:textId="77777777" w:rsidR="00DD531B" w:rsidRPr="00DD531B" w:rsidRDefault="00DD531B" w:rsidP="00DD531B">
            <w:pPr>
              <w:spacing w:after="0" w:line="240" w:lineRule="auto"/>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Výdavky kapitoly spolu</w:t>
            </w:r>
          </w:p>
        </w:tc>
        <w:tc>
          <w:tcPr>
            <w:tcW w:w="414" w:type="pct"/>
            <w:tcBorders>
              <w:top w:val="nil"/>
              <w:left w:val="nil"/>
              <w:bottom w:val="nil"/>
              <w:right w:val="nil"/>
            </w:tcBorders>
            <w:shd w:val="clear" w:color="auto" w:fill="auto"/>
            <w:noWrap/>
            <w:vAlign w:val="center"/>
            <w:hideMark/>
          </w:tcPr>
          <w:p w14:paraId="73645C69"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2 944 674</w:t>
            </w:r>
          </w:p>
        </w:tc>
        <w:tc>
          <w:tcPr>
            <w:tcW w:w="414" w:type="pct"/>
            <w:tcBorders>
              <w:top w:val="nil"/>
              <w:left w:val="nil"/>
              <w:bottom w:val="nil"/>
              <w:right w:val="nil"/>
            </w:tcBorders>
            <w:shd w:val="clear" w:color="auto" w:fill="auto"/>
            <w:noWrap/>
            <w:vAlign w:val="center"/>
            <w:hideMark/>
          </w:tcPr>
          <w:p w14:paraId="6C3A21FA"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3 154 818</w:t>
            </w:r>
          </w:p>
        </w:tc>
        <w:tc>
          <w:tcPr>
            <w:tcW w:w="414" w:type="pct"/>
            <w:tcBorders>
              <w:top w:val="nil"/>
              <w:left w:val="nil"/>
              <w:bottom w:val="nil"/>
              <w:right w:val="nil"/>
            </w:tcBorders>
            <w:shd w:val="clear" w:color="auto" w:fill="auto"/>
            <w:noWrap/>
            <w:vAlign w:val="center"/>
            <w:hideMark/>
          </w:tcPr>
          <w:p w14:paraId="0D365B26"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6 926 082</w:t>
            </w:r>
          </w:p>
        </w:tc>
        <w:tc>
          <w:tcPr>
            <w:tcW w:w="414" w:type="pct"/>
            <w:tcBorders>
              <w:top w:val="nil"/>
              <w:left w:val="nil"/>
              <w:bottom w:val="nil"/>
              <w:right w:val="nil"/>
            </w:tcBorders>
            <w:shd w:val="clear" w:color="auto" w:fill="auto"/>
            <w:noWrap/>
            <w:vAlign w:val="center"/>
            <w:hideMark/>
          </w:tcPr>
          <w:p w14:paraId="795386DC"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3 715 732</w:t>
            </w:r>
          </w:p>
        </w:tc>
        <w:tc>
          <w:tcPr>
            <w:tcW w:w="414" w:type="pct"/>
            <w:tcBorders>
              <w:top w:val="nil"/>
              <w:left w:val="nil"/>
              <w:bottom w:val="nil"/>
              <w:right w:val="nil"/>
            </w:tcBorders>
            <w:shd w:val="clear" w:color="auto" w:fill="auto"/>
            <w:noWrap/>
            <w:vAlign w:val="center"/>
            <w:hideMark/>
          </w:tcPr>
          <w:p w14:paraId="14699FC2"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6 882 154</w:t>
            </w:r>
          </w:p>
        </w:tc>
        <w:tc>
          <w:tcPr>
            <w:tcW w:w="414" w:type="pct"/>
            <w:tcBorders>
              <w:top w:val="nil"/>
              <w:left w:val="nil"/>
              <w:bottom w:val="nil"/>
              <w:right w:val="nil"/>
            </w:tcBorders>
            <w:shd w:val="clear" w:color="auto" w:fill="auto"/>
            <w:noWrap/>
            <w:vAlign w:val="center"/>
            <w:hideMark/>
          </w:tcPr>
          <w:p w14:paraId="33229671"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6 361 760</w:t>
            </w:r>
          </w:p>
        </w:tc>
        <w:tc>
          <w:tcPr>
            <w:tcW w:w="414" w:type="pct"/>
            <w:tcBorders>
              <w:top w:val="nil"/>
              <w:left w:val="nil"/>
              <w:bottom w:val="nil"/>
              <w:right w:val="nil"/>
            </w:tcBorders>
            <w:shd w:val="clear" w:color="auto" w:fill="auto"/>
            <w:noWrap/>
            <w:vAlign w:val="center"/>
            <w:hideMark/>
          </w:tcPr>
          <w:p w14:paraId="50F23308"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7 203 941</w:t>
            </w:r>
          </w:p>
        </w:tc>
      </w:tr>
      <w:tr w:rsidR="00DD531B" w:rsidRPr="00DD531B" w14:paraId="66650004" w14:textId="77777777" w:rsidTr="001F24AE">
        <w:trPr>
          <w:trHeight w:val="300"/>
        </w:trPr>
        <w:tc>
          <w:tcPr>
            <w:tcW w:w="2104" w:type="pct"/>
            <w:tcBorders>
              <w:top w:val="nil"/>
              <w:left w:val="nil"/>
              <w:bottom w:val="nil"/>
              <w:right w:val="nil"/>
            </w:tcBorders>
            <w:shd w:val="clear" w:color="auto" w:fill="auto"/>
            <w:noWrap/>
            <w:vAlign w:val="bottom"/>
            <w:hideMark/>
          </w:tcPr>
          <w:p w14:paraId="739CECDC" w14:textId="77777777" w:rsidR="00DD531B" w:rsidRPr="00DD531B" w:rsidRDefault="00DD531B" w:rsidP="00DD531B">
            <w:pPr>
              <w:spacing w:after="0" w:line="240" w:lineRule="auto"/>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rozpočtové zdroje kapitoly</w:t>
            </w:r>
          </w:p>
        </w:tc>
        <w:tc>
          <w:tcPr>
            <w:tcW w:w="414" w:type="pct"/>
            <w:tcBorders>
              <w:top w:val="nil"/>
              <w:left w:val="nil"/>
              <w:bottom w:val="nil"/>
              <w:right w:val="nil"/>
            </w:tcBorders>
            <w:shd w:val="clear" w:color="auto" w:fill="auto"/>
            <w:noWrap/>
            <w:vAlign w:val="bottom"/>
            <w:hideMark/>
          </w:tcPr>
          <w:p w14:paraId="6637B851"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2 920 549</w:t>
            </w:r>
          </w:p>
        </w:tc>
        <w:tc>
          <w:tcPr>
            <w:tcW w:w="414" w:type="pct"/>
            <w:tcBorders>
              <w:top w:val="nil"/>
              <w:left w:val="nil"/>
              <w:bottom w:val="nil"/>
              <w:right w:val="nil"/>
            </w:tcBorders>
            <w:shd w:val="clear" w:color="auto" w:fill="auto"/>
            <w:noWrap/>
            <w:vAlign w:val="bottom"/>
            <w:hideMark/>
          </w:tcPr>
          <w:p w14:paraId="02A6FA22"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3 062 600</w:t>
            </w:r>
          </w:p>
        </w:tc>
        <w:tc>
          <w:tcPr>
            <w:tcW w:w="414" w:type="pct"/>
            <w:tcBorders>
              <w:top w:val="nil"/>
              <w:left w:val="nil"/>
              <w:bottom w:val="nil"/>
              <w:right w:val="nil"/>
            </w:tcBorders>
            <w:shd w:val="clear" w:color="auto" w:fill="auto"/>
            <w:noWrap/>
            <w:vAlign w:val="bottom"/>
            <w:hideMark/>
          </w:tcPr>
          <w:p w14:paraId="5AD6A3BF"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6 428 148</w:t>
            </w:r>
          </w:p>
        </w:tc>
        <w:tc>
          <w:tcPr>
            <w:tcW w:w="414" w:type="pct"/>
            <w:tcBorders>
              <w:top w:val="nil"/>
              <w:left w:val="nil"/>
              <w:bottom w:val="nil"/>
              <w:right w:val="nil"/>
            </w:tcBorders>
            <w:shd w:val="clear" w:color="auto" w:fill="auto"/>
            <w:noWrap/>
            <w:vAlign w:val="bottom"/>
            <w:hideMark/>
          </w:tcPr>
          <w:p w14:paraId="7754B578"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3 697 017</w:t>
            </w:r>
          </w:p>
        </w:tc>
        <w:tc>
          <w:tcPr>
            <w:tcW w:w="414" w:type="pct"/>
            <w:tcBorders>
              <w:top w:val="nil"/>
              <w:left w:val="nil"/>
              <w:bottom w:val="nil"/>
              <w:right w:val="nil"/>
            </w:tcBorders>
            <w:shd w:val="clear" w:color="auto" w:fill="auto"/>
            <w:noWrap/>
            <w:vAlign w:val="bottom"/>
            <w:hideMark/>
          </w:tcPr>
          <w:p w14:paraId="07C2C0B2"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6 875 702</w:t>
            </w:r>
          </w:p>
        </w:tc>
        <w:tc>
          <w:tcPr>
            <w:tcW w:w="414" w:type="pct"/>
            <w:tcBorders>
              <w:top w:val="nil"/>
              <w:left w:val="nil"/>
              <w:bottom w:val="nil"/>
              <w:right w:val="nil"/>
            </w:tcBorders>
            <w:shd w:val="clear" w:color="auto" w:fill="auto"/>
            <w:noWrap/>
            <w:vAlign w:val="bottom"/>
            <w:hideMark/>
          </w:tcPr>
          <w:p w14:paraId="55672921"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6 355 205</w:t>
            </w:r>
          </w:p>
        </w:tc>
        <w:tc>
          <w:tcPr>
            <w:tcW w:w="414" w:type="pct"/>
            <w:tcBorders>
              <w:top w:val="nil"/>
              <w:left w:val="nil"/>
              <w:bottom w:val="nil"/>
              <w:right w:val="nil"/>
            </w:tcBorders>
            <w:shd w:val="clear" w:color="auto" w:fill="auto"/>
            <w:noWrap/>
            <w:vAlign w:val="bottom"/>
            <w:hideMark/>
          </w:tcPr>
          <w:p w14:paraId="71A1C73A"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7 195 698</w:t>
            </w:r>
          </w:p>
        </w:tc>
      </w:tr>
      <w:tr w:rsidR="00DD531B" w:rsidRPr="00DD531B" w14:paraId="5E03E86C" w14:textId="77777777" w:rsidTr="001F24AE">
        <w:trPr>
          <w:trHeight w:val="300"/>
        </w:trPr>
        <w:tc>
          <w:tcPr>
            <w:tcW w:w="2104" w:type="pct"/>
            <w:tcBorders>
              <w:top w:val="nil"/>
              <w:left w:val="nil"/>
              <w:bottom w:val="nil"/>
              <w:right w:val="nil"/>
            </w:tcBorders>
            <w:shd w:val="clear" w:color="auto" w:fill="auto"/>
            <w:noWrap/>
            <w:vAlign w:val="bottom"/>
            <w:hideMark/>
          </w:tcPr>
          <w:p w14:paraId="4BBE94B6"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bežné výdavky  600, v tom:</w:t>
            </w:r>
          </w:p>
        </w:tc>
        <w:tc>
          <w:tcPr>
            <w:tcW w:w="414" w:type="pct"/>
            <w:tcBorders>
              <w:top w:val="nil"/>
              <w:left w:val="nil"/>
              <w:bottom w:val="nil"/>
              <w:right w:val="nil"/>
            </w:tcBorders>
            <w:shd w:val="clear" w:color="auto" w:fill="auto"/>
            <w:noWrap/>
            <w:vAlign w:val="bottom"/>
            <w:hideMark/>
          </w:tcPr>
          <w:p w14:paraId="695BDC3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2 908 850</w:t>
            </w:r>
          </w:p>
        </w:tc>
        <w:tc>
          <w:tcPr>
            <w:tcW w:w="414" w:type="pct"/>
            <w:tcBorders>
              <w:top w:val="nil"/>
              <w:left w:val="nil"/>
              <w:bottom w:val="nil"/>
              <w:right w:val="nil"/>
            </w:tcBorders>
            <w:shd w:val="clear" w:color="auto" w:fill="auto"/>
            <w:noWrap/>
            <w:vAlign w:val="bottom"/>
            <w:hideMark/>
          </w:tcPr>
          <w:p w14:paraId="041CED0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3 061 678</w:t>
            </w:r>
          </w:p>
        </w:tc>
        <w:tc>
          <w:tcPr>
            <w:tcW w:w="414" w:type="pct"/>
            <w:tcBorders>
              <w:top w:val="nil"/>
              <w:left w:val="nil"/>
              <w:bottom w:val="nil"/>
              <w:right w:val="nil"/>
            </w:tcBorders>
            <w:shd w:val="clear" w:color="auto" w:fill="auto"/>
            <w:noWrap/>
            <w:vAlign w:val="bottom"/>
            <w:hideMark/>
          </w:tcPr>
          <w:p w14:paraId="64BCCE7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5 830 258</w:t>
            </w:r>
          </w:p>
        </w:tc>
        <w:tc>
          <w:tcPr>
            <w:tcW w:w="414" w:type="pct"/>
            <w:tcBorders>
              <w:top w:val="nil"/>
              <w:left w:val="nil"/>
              <w:bottom w:val="nil"/>
              <w:right w:val="nil"/>
            </w:tcBorders>
            <w:shd w:val="clear" w:color="auto" w:fill="auto"/>
            <w:noWrap/>
            <w:vAlign w:val="bottom"/>
            <w:hideMark/>
          </w:tcPr>
          <w:p w14:paraId="3A4AD28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3 593 074</w:t>
            </w:r>
          </w:p>
        </w:tc>
        <w:tc>
          <w:tcPr>
            <w:tcW w:w="414" w:type="pct"/>
            <w:tcBorders>
              <w:top w:val="nil"/>
              <w:left w:val="nil"/>
              <w:bottom w:val="nil"/>
              <w:right w:val="nil"/>
            </w:tcBorders>
            <w:shd w:val="clear" w:color="auto" w:fill="auto"/>
            <w:noWrap/>
            <w:vAlign w:val="bottom"/>
            <w:hideMark/>
          </w:tcPr>
          <w:p w14:paraId="637A55B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6 858 647</w:t>
            </w:r>
          </w:p>
        </w:tc>
        <w:tc>
          <w:tcPr>
            <w:tcW w:w="414" w:type="pct"/>
            <w:tcBorders>
              <w:top w:val="nil"/>
              <w:left w:val="nil"/>
              <w:bottom w:val="nil"/>
              <w:right w:val="nil"/>
            </w:tcBorders>
            <w:shd w:val="clear" w:color="auto" w:fill="auto"/>
            <w:noWrap/>
            <w:vAlign w:val="bottom"/>
            <w:hideMark/>
          </w:tcPr>
          <w:p w14:paraId="6736FF7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6 338 150</w:t>
            </w:r>
          </w:p>
        </w:tc>
        <w:tc>
          <w:tcPr>
            <w:tcW w:w="414" w:type="pct"/>
            <w:tcBorders>
              <w:top w:val="nil"/>
              <w:left w:val="nil"/>
              <w:bottom w:val="nil"/>
              <w:right w:val="nil"/>
            </w:tcBorders>
            <w:shd w:val="clear" w:color="auto" w:fill="auto"/>
            <w:noWrap/>
            <w:vAlign w:val="bottom"/>
            <w:hideMark/>
          </w:tcPr>
          <w:p w14:paraId="43F30B4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7 178 643</w:t>
            </w:r>
          </w:p>
        </w:tc>
      </w:tr>
      <w:tr w:rsidR="00DD531B" w:rsidRPr="00DD531B" w14:paraId="167B7B6B" w14:textId="77777777" w:rsidTr="001F24AE">
        <w:trPr>
          <w:trHeight w:val="300"/>
        </w:trPr>
        <w:tc>
          <w:tcPr>
            <w:tcW w:w="2104" w:type="pct"/>
            <w:tcBorders>
              <w:top w:val="nil"/>
              <w:left w:val="nil"/>
              <w:bottom w:val="nil"/>
              <w:right w:val="nil"/>
            </w:tcBorders>
            <w:shd w:val="clear" w:color="auto" w:fill="auto"/>
            <w:noWrap/>
            <w:vAlign w:val="bottom"/>
            <w:hideMark/>
          </w:tcPr>
          <w:p w14:paraId="56F86454"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610 mzdy</w:t>
            </w:r>
          </w:p>
        </w:tc>
        <w:tc>
          <w:tcPr>
            <w:tcW w:w="414" w:type="pct"/>
            <w:tcBorders>
              <w:top w:val="nil"/>
              <w:left w:val="nil"/>
              <w:bottom w:val="nil"/>
              <w:right w:val="nil"/>
            </w:tcBorders>
            <w:shd w:val="clear" w:color="auto" w:fill="auto"/>
            <w:noWrap/>
            <w:vAlign w:val="bottom"/>
            <w:hideMark/>
          </w:tcPr>
          <w:p w14:paraId="122DD65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2 949</w:t>
            </w:r>
          </w:p>
        </w:tc>
        <w:tc>
          <w:tcPr>
            <w:tcW w:w="414" w:type="pct"/>
            <w:tcBorders>
              <w:top w:val="nil"/>
              <w:left w:val="nil"/>
              <w:bottom w:val="nil"/>
              <w:right w:val="nil"/>
            </w:tcBorders>
            <w:shd w:val="clear" w:color="auto" w:fill="auto"/>
            <w:noWrap/>
            <w:vAlign w:val="bottom"/>
            <w:hideMark/>
          </w:tcPr>
          <w:p w14:paraId="038489B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3 304</w:t>
            </w:r>
          </w:p>
        </w:tc>
        <w:tc>
          <w:tcPr>
            <w:tcW w:w="414" w:type="pct"/>
            <w:tcBorders>
              <w:top w:val="nil"/>
              <w:left w:val="nil"/>
              <w:bottom w:val="nil"/>
              <w:right w:val="nil"/>
            </w:tcBorders>
            <w:shd w:val="clear" w:color="auto" w:fill="auto"/>
            <w:noWrap/>
            <w:vAlign w:val="bottom"/>
            <w:hideMark/>
          </w:tcPr>
          <w:p w14:paraId="0EA32D1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128 863</w:t>
            </w:r>
          </w:p>
        </w:tc>
        <w:tc>
          <w:tcPr>
            <w:tcW w:w="414" w:type="pct"/>
            <w:tcBorders>
              <w:top w:val="nil"/>
              <w:left w:val="nil"/>
              <w:bottom w:val="nil"/>
              <w:right w:val="nil"/>
            </w:tcBorders>
            <w:shd w:val="clear" w:color="auto" w:fill="auto"/>
            <w:noWrap/>
            <w:vAlign w:val="bottom"/>
            <w:hideMark/>
          </w:tcPr>
          <w:p w14:paraId="25055A0B"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25 938</w:t>
            </w:r>
          </w:p>
        </w:tc>
        <w:tc>
          <w:tcPr>
            <w:tcW w:w="414" w:type="pct"/>
            <w:tcBorders>
              <w:top w:val="nil"/>
              <w:left w:val="nil"/>
              <w:bottom w:val="nil"/>
              <w:right w:val="nil"/>
            </w:tcBorders>
            <w:shd w:val="clear" w:color="auto" w:fill="auto"/>
            <w:noWrap/>
            <w:vAlign w:val="bottom"/>
            <w:hideMark/>
          </w:tcPr>
          <w:p w14:paraId="595C228C"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54 691</w:t>
            </w:r>
          </w:p>
        </w:tc>
        <w:tc>
          <w:tcPr>
            <w:tcW w:w="414" w:type="pct"/>
            <w:tcBorders>
              <w:top w:val="nil"/>
              <w:left w:val="nil"/>
              <w:bottom w:val="nil"/>
              <w:right w:val="nil"/>
            </w:tcBorders>
            <w:shd w:val="clear" w:color="auto" w:fill="auto"/>
            <w:noWrap/>
            <w:vAlign w:val="bottom"/>
            <w:hideMark/>
          </w:tcPr>
          <w:p w14:paraId="3EA64ACC"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215 243</w:t>
            </w:r>
          </w:p>
        </w:tc>
        <w:tc>
          <w:tcPr>
            <w:tcW w:w="414" w:type="pct"/>
            <w:tcBorders>
              <w:top w:val="nil"/>
              <w:left w:val="nil"/>
              <w:bottom w:val="nil"/>
              <w:right w:val="nil"/>
            </w:tcBorders>
            <w:shd w:val="clear" w:color="auto" w:fill="auto"/>
            <w:noWrap/>
            <w:vAlign w:val="bottom"/>
            <w:hideMark/>
          </w:tcPr>
          <w:p w14:paraId="0C904A3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377 832</w:t>
            </w:r>
          </w:p>
        </w:tc>
      </w:tr>
      <w:tr w:rsidR="00DD531B" w:rsidRPr="00DD531B" w14:paraId="118286A2" w14:textId="77777777" w:rsidTr="001F24AE">
        <w:trPr>
          <w:trHeight w:val="300"/>
        </w:trPr>
        <w:tc>
          <w:tcPr>
            <w:tcW w:w="2104" w:type="pct"/>
            <w:tcBorders>
              <w:top w:val="nil"/>
              <w:left w:val="nil"/>
              <w:bottom w:val="nil"/>
              <w:right w:val="nil"/>
            </w:tcBorders>
            <w:shd w:val="clear" w:color="auto" w:fill="auto"/>
            <w:noWrap/>
            <w:vAlign w:val="bottom"/>
            <w:hideMark/>
          </w:tcPr>
          <w:p w14:paraId="1A3A7923"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620 odvody</w:t>
            </w:r>
          </w:p>
        </w:tc>
        <w:tc>
          <w:tcPr>
            <w:tcW w:w="414" w:type="pct"/>
            <w:tcBorders>
              <w:top w:val="nil"/>
              <w:left w:val="nil"/>
              <w:bottom w:val="nil"/>
              <w:right w:val="nil"/>
            </w:tcBorders>
            <w:shd w:val="clear" w:color="auto" w:fill="auto"/>
            <w:noWrap/>
            <w:vAlign w:val="bottom"/>
            <w:hideMark/>
          </w:tcPr>
          <w:p w14:paraId="5045EF3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1 136</w:t>
            </w:r>
          </w:p>
        </w:tc>
        <w:tc>
          <w:tcPr>
            <w:tcW w:w="414" w:type="pct"/>
            <w:tcBorders>
              <w:top w:val="nil"/>
              <w:left w:val="nil"/>
              <w:bottom w:val="nil"/>
              <w:right w:val="nil"/>
            </w:tcBorders>
            <w:shd w:val="clear" w:color="auto" w:fill="auto"/>
            <w:noWrap/>
            <w:vAlign w:val="bottom"/>
            <w:hideMark/>
          </w:tcPr>
          <w:p w14:paraId="25F6A6A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1 294</w:t>
            </w:r>
          </w:p>
        </w:tc>
        <w:tc>
          <w:tcPr>
            <w:tcW w:w="414" w:type="pct"/>
            <w:tcBorders>
              <w:top w:val="nil"/>
              <w:left w:val="nil"/>
              <w:bottom w:val="nil"/>
              <w:right w:val="nil"/>
            </w:tcBorders>
            <w:shd w:val="clear" w:color="auto" w:fill="auto"/>
            <w:noWrap/>
            <w:vAlign w:val="bottom"/>
            <w:hideMark/>
          </w:tcPr>
          <w:p w14:paraId="026381A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43 351</w:t>
            </w:r>
          </w:p>
        </w:tc>
        <w:tc>
          <w:tcPr>
            <w:tcW w:w="414" w:type="pct"/>
            <w:tcBorders>
              <w:top w:val="nil"/>
              <w:left w:val="nil"/>
              <w:bottom w:val="nil"/>
              <w:right w:val="nil"/>
            </w:tcBorders>
            <w:shd w:val="clear" w:color="auto" w:fill="auto"/>
            <w:noWrap/>
            <w:vAlign w:val="bottom"/>
            <w:hideMark/>
          </w:tcPr>
          <w:p w14:paraId="3E718D4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5 829</w:t>
            </w:r>
          </w:p>
        </w:tc>
        <w:tc>
          <w:tcPr>
            <w:tcW w:w="414" w:type="pct"/>
            <w:tcBorders>
              <w:top w:val="nil"/>
              <w:left w:val="nil"/>
              <w:bottom w:val="nil"/>
              <w:right w:val="nil"/>
            </w:tcBorders>
            <w:shd w:val="clear" w:color="auto" w:fill="auto"/>
            <w:noWrap/>
            <w:vAlign w:val="bottom"/>
            <w:hideMark/>
          </w:tcPr>
          <w:p w14:paraId="2544C93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69 416</w:t>
            </w:r>
          </w:p>
        </w:tc>
        <w:tc>
          <w:tcPr>
            <w:tcW w:w="414" w:type="pct"/>
            <w:tcBorders>
              <w:top w:val="nil"/>
              <w:left w:val="nil"/>
              <w:bottom w:val="nil"/>
              <w:right w:val="nil"/>
            </w:tcBorders>
            <w:shd w:val="clear" w:color="auto" w:fill="auto"/>
            <w:noWrap/>
            <w:vAlign w:val="bottom"/>
            <w:hideMark/>
          </w:tcPr>
          <w:p w14:paraId="5AE7075C"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126 702</w:t>
            </w:r>
          </w:p>
        </w:tc>
        <w:tc>
          <w:tcPr>
            <w:tcW w:w="414" w:type="pct"/>
            <w:tcBorders>
              <w:top w:val="nil"/>
              <w:left w:val="nil"/>
              <w:bottom w:val="nil"/>
              <w:right w:val="nil"/>
            </w:tcBorders>
            <w:shd w:val="clear" w:color="auto" w:fill="auto"/>
            <w:noWrap/>
            <w:vAlign w:val="bottom"/>
            <w:hideMark/>
          </w:tcPr>
          <w:p w14:paraId="6C1234DA"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183 708</w:t>
            </w:r>
          </w:p>
        </w:tc>
      </w:tr>
      <w:tr w:rsidR="00DD531B" w:rsidRPr="00DD531B" w14:paraId="7C4923A1" w14:textId="77777777" w:rsidTr="001F24AE">
        <w:trPr>
          <w:trHeight w:val="300"/>
        </w:trPr>
        <w:tc>
          <w:tcPr>
            <w:tcW w:w="2104" w:type="pct"/>
            <w:tcBorders>
              <w:top w:val="nil"/>
              <w:left w:val="nil"/>
              <w:bottom w:val="nil"/>
              <w:right w:val="nil"/>
            </w:tcBorders>
            <w:shd w:val="clear" w:color="auto" w:fill="auto"/>
            <w:noWrap/>
            <w:vAlign w:val="bottom"/>
            <w:hideMark/>
          </w:tcPr>
          <w:p w14:paraId="5773BD02"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630 tovary a služby</w:t>
            </w:r>
          </w:p>
        </w:tc>
        <w:tc>
          <w:tcPr>
            <w:tcW w:w="414" w:type="pct"/>
            <w:tcBorders>
              <w:top w:val="nil"/>
              <w:left w:val="nil"/>
              <w:bottom w:val="nil"/>
              <w:right w:val="nil"/>
            </w:tcBorders>
            <w:shd w:val="clear" w:color="auto" w:fill="auto"/>
            <w:noWrap/>
            <w:vAlign w:val="bottom"/>
            <w:hideMark/>
          </w:tcPr>
          <w:p w14:paraId="0E26CC7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2 745</w:t>
            </w:r>
          </w:p>
        </w:tc>
        <w:tc>
          <w:tcPr>
            <w:tcW w:w="414" w:type="pct"/>
            <w:tcBorders>
              <w:top w:val="nil"/>
              <w:left w:val="nil"/>
              <w:bottom w:val="nil"/>
              <w:right w:val="nil"/>
            </w:tcBorders>
            <w:shd w:val="clear" w:color="auto" w:fill="auto"/>
            <w:noWrap/>
            <w:vAlign w:val="bottom"/>
            <w:hideMark/>
          </w:tcPr>
          <w:p w14:paraId="017FE4A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5 954</w:t>
            </w:r>
          </w:p>
        </w:tc>
        <w:tc>
          <w:tcPr>
            <w:tcW w:w="414" w:type="pct"/>
            <w:tcBorders>
              <w:top w:val="nil"/>
              <w:left w:val="nil"/>
              <w:bottom w:val="nil"/>
              <w:right w:val="nil"/>
            </w:tcBorders>
            <w:shd w:val="clear" w:color="auto" w:fill="auto"/>
            <w:noWrap/>
            <w:vAlign w:val="bottom"/>
            <w:hideMark/>
          </w:tcPr>
          <w:p w14:paraId="22739D3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321 227</w:t>
            </w:r>
          </w:p>
        </w:tc>
        <w:tc>
          <w:tcPr>
            <w:tcW w:w="414" w:type="pct"/>
            <w:tcBorders>
              <w:top w:val="nil"/>
              <w:left w:val="nil"/>
              <w:bottom w:val="nil"/>
              <w:right w:val="nil"/>
            </w:tcBorders>
            <w:shd w:val="clear" w:color="auto" w:fill="auto"/>
            <w:noWrap/>
            <w:vAlign w:val="bottom"/>
            <w:hideMark/>
          </w:tcPr>
          <w:p w14:paraId="4862B91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109 198</w:t>
            </w:r>
          </w:p>
        </w:tc>
        <w:tc>
          <w:tcPr>
            <w:tcW w:w="414" w:type="pct"/>
            <w:tcBorders>
              <w:top w:val="nil"/>
              <w:left w:val="nil"/>
              <w:bottom w:val="nil"/>
              <w:right w:val="nil"/>
            </w:tcBorders>
            <w:shd w:val="clear" w:color="auto" w:fill="auto"/>
            <w:noWrap/>
            <w:vAlign w:val="bottom"/>
            <w:hideMark/>
          </w:tcPr>
          <w:p w14:paraId="0E64A87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600 136</w:t>
            </w:r>
          </w:p>
        </w:tc>
        <w:tc>
          <w:tcPr>
            <w:tcW w:w="414" w:type="pct"/>
            <w:tcBorders>
              <w:top w:val="nil"/>
              <w:left w:val="nil"/>
              <w:bottom w:val="nil"/>
              <w:right w:val="nil"/>
            </w:tcBorders>
            <w:shd w:val="clear" w:color="auto" w:fill="auto"/>
            <w:noWrap/>
            <w:vAlign w:val="bottom"/>
            <w:hideMark/>
          </w:tcPr>
          <w:p w14:paraId="469F1F3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302 612</w:t>
            </w:r>
          </w:p>
        </w:tc>
        <w:tc>
          <w:tcPr>
            <w:tcW w:w="414" w:type="pct"/>
            <w:tcBorders>
              <w:top w:val="nil"/>
              <w:left w:val="nil"/>
              <w:bottom w:val="nil"/>
              <w:right w:val="nil"/>
            </w:tcBorders>
            <w:shd w:val="clear" w:color="auto" w:fill="auto"/>
            <w:noWrap/>
            <w:vAlign w:val="bottom"/>
            <w:hideMark/>
          </w:tcPr>
          <w:p w14:paraId="617C655A"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302 996</w:t>
            </w:r>
          </w:p>
        </w:tc>
      </w:tr>
      <w:tr w:rsidR="00DD531B" w:rsidRPr="00DD531B" w14:paraId="06EB8DC7" w14:textId="77777777" w:rsidTr="001F24AE">
        <w:trPr>
          <w:trHeight w:val="300"/>
        </w:trPr>
        <w:tc>
          <w:tcPr>
            <w:tcW w:w="2104" w:type="pct"/>
            <w:tcBorders>
              <w:top w:val="nil"/>
              <w:left w:val="nil"/>
              <w:bottom w:val="nil"/>
              <w:right w:val="nil"/>
            </w:tcBorders>
            <w:shd w:val="clear" w:color="auto" w:fill="auto"/>
            <w:noWrap/>
            <w:vAlign w:val="bottom"/>
            <w:hideMark/>
          </w:tcPr>
          <w:p w14:paraId="1CE8D3F2"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640 bežné transfery</w:t>
            </w:r>
          </w:p>
        </w:tc>
        <w:tc>
          <w:tcPr>
            <w:tcW w:w="414" w:type="pct"/>
            <w:tcBorders>
              <w:top w:val="nil"/>
              <w:left w:val="nil"/>
              <w:bottom w:val="nil"/>
              <w:right w:val="nil"/>
            </w:tcBorders>
            <w:shd w:val="clear" w:color="auto" w:fill="auto"/>
            <w:noWrap/>
            <w:vAlign w:val="bottom"/>
            <w:hideMark/>
          </w:tcPr>
          <w:p w14:paraId="2B17B98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2 901 751</w:t>
            </w:r>
          </w:p>
        </w:tc>
        <w:tc>
          <w:tcPr>
            <w:tcW w:w="414" w:type="pct"/>
            <w:tcBorders>
              <w:top w:val="nil"/>
              <w:left w:val="nil"/>
              <w:bottom w:val="nil"/>
              <w:right w:val="nil"/>
            </w:tcBorders>
            <w:shd w:val="clear" w:color="auto" w:fill="auto"/>
            <w:noWrap/>
            <w:vAlign w:val="bottom"/>
            <w:hideMark/>
          </w:tcPr>
          <w:p w14:paraId="4834C52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3 050 857</w:t>
            </w:r>
          </w:p>
        </w:tc>
        <w:tc>
          <w:tcPr>
            <w:tcW w:w="414" w:type="pct"/>
            <w:tcBorders>
              <w:top w:val="nil"/>
              <w:left w:val="nil"/>
              <w:bottom w:val="nil"/>
              <w:right w:val="nil"/>
            </w:tcBorders>
            <w:shd w:val="clear" w:color="auto" w:fill="auto"/>
            <w:noWrap/>
            <w:vAlign w:val="bottom"/>
            <w:hideMark/>
          </w:tcPr>
          <w:p w14:paraId="2B7D79D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5 336 547</w:t>
            </w:r>
          </w:p>
        </w:tc>
        <w:tc>
          <w:tcPr>
            <w:tcW w:w="414" w:type="pct"/>
            <w:tcBorders>
              <w:top w:val="nil"/>
              <w:left w:val="nil"/>
              <w:bottom w:val="nil"/>
              <w:right w:val="nil"/>
            </w:tcBorders>
            <w:shd w:val="clear" w:color="auto" w:fill="auto"/>
            <w:noWrap/>
            <w:vAlign w:val="bottom"/>
            <w:hideMark/>
          </w:tcPr>
          <w:p w14:paraId="07B6DCF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3 451 851</w:t>
            </w:r>
          </w:p>
        </w:tc>
        <w:tc>
          <w:tcPr>
            <w:tcW w:w="414" w:type="pct"/>
            <w:tcBorders>
              <w:top w:val="nil"/>
              <w:left w:val="nil"/>
              <w:bottom w:val="nil"/>
              <w:right w:val="nil"/>
            </w:tcBorders>
            <w:shd w:val="clear" w:color="auto" w:fill="auto"/>
            <w:noWrap/>
            <w:vAlign w:val="bottom"/>
            <w:hideMark/>
          </w:tcPr>
          <w:p w14:paraId="0D4765EB"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6 134 204</w:t>
            </w:r>
          </w:p>
        </w:tc>
        <w:tc>
          <w:tcPr>
            <w:tcW w:w="414" w:type="pct"/>
            <w:tcBorders>
              <w:top w:val="nil"/>
              <w:left w:val="nil"/>
              <w:bottom w:val="nil"/>
              <w:right w:val="nil"/>
            </w:tcBorders>
            <w:shd w:val="clear" w:color="auto" w:fill="auto"/>
            <w:noWrap/>
            <w:vAlign w:val="bottom"/>
            <w:hideMark/>
          </w:tcPr>
          <w:p w14:paraId="071DA3B8"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5 693 393</w:t>
            </w:r>
          </w:p>
        </w:tc>
        <w:tc>
          <w:tcPr>
            <w:tcW w:w="414" w:type="pct"/>
            <w:tcBorders>
              <w:top w:val="nil"/>
              <w:left w:val="nil"/>
              <w:bottom w:val="nil"/>
              <w:right w:val="nil"/>
            </w:tcBorders>
            <w:shd w:val="clear" w:color="auto" w:fill="auto"/>
            <w:noWrap/>
            <w:vAlign w:val="bottom"/>
            <w:hideMark/>
          </w:tcPr>
          <w:p w14:paraId="171E77E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6 313 907</w:t>
            </w:r>
          </w:p>
        </w:tc>
      </w:tr>
      <w:tr w:rsidR="00DD531B" w:rsidRPr="00DD531B" w14:paraId="49587F07" w14:textId="77777777" w:rsidTr="001F24AE">
        <w:trPr>
          <w:trHeight w:val="300"/>
        </w:trPr>
        <w:tc>
          <w:tcPr>
            <w:tcW w:w="2104" w:type="pct"/>
            <w:tcBorders>
              <w:top w:val="nil"/>
              <w:left w:val="nil"/>
              <w:bottom w:val="nil"/>
              <w:right w:val="nil"/>
            </w:tcBorders>
            <w:shd w:val="clear" w:color="auto" w:fill="auto"/>
            <w:noWrap/>
            <w:vAlign w:val="bottom"/>
            <w:hideMark/>
          </w:tcPr>
          <w:p w14:paraId="15AAB422"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650 splácanie úrokov a ostatné platby súvisiace s úverom, ...</w:t>
            </w:r>
          </w:p>
        </w:tc>
        <w:tc>
          <w:tcPr>
            <w:tcW w:w="414" w:type="pct"/>
            <w:tcBorders>
              <w:top w:val="nil"/>
              <w:left w:val="nil"/>
              <w:bottom w:val="nil"/>
              <w:right w:val="nil"/>
            </w:tcBorders>
            <w:shd w:val="clear" w:color="auto" w:fill="auto"/>
            <w:noWrap/>
            <w:vAlign w:val="bottom"/>
            <w:hideMark/>
          </w:tcPr>
          <w:p w14:paraId="50CD2F9A"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270</w:t>
            </w:r>
          </w:p>
        </w:tc>
        <w:tc>
          <w:tcPr>
            <w:tcW w:w="414" w:type="pct"/>
            <w:tcBorders>
              <w:top w:val="nil"/>
              <w:left w:val="nil"/>
              <w:bottom w:val="nil"/>
              <w:right w:val="nil"/>
            </w:tcBorders>
            <w:shd w:val="clear" w:color="auto" w:fill="auto"/>
            <w:noWrap/>
            <w:vAlign w:val="bottom"/>
            <w:hideMark/>
          </w:tcPr>
          <w:p w14:paraId="6AA80A1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270</w:t>
            </w:r>
          </w:p>
        </w:tc>
        <w:tc>
          <w:tcPr>
            <w:tcW w:w="414" w:type="pct"/>
            <w:tcBorders>
              <w:top w:val="nil"/>
              <w:left w:val="nil"/>
              <w:bottom w:val="nil"/>
              <w:right w:val="nil"/>
            </w:tcBorders>
            <w:shd w:val="clear" w:color="auto" w:fill="auto"/>
            <w:noWrap/>
            <w:vAlign w:val="bottom"/>
            <w:hideMark/>
          </w:tcPr>
          <w:p w14:paraId="4B9760A8"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270</w:t>
            </w:r>
          </w:p>
        </w:tc>
        <w:tc>
          <w:tcPr>
            <w:tcW w:w="414" w:type="pct"/>
            <w:tcBorders>
              <w:top w:val="nil"/>
              <w:left w:val="nil"/>
              <w:bottom w:val="nil"/>
              <w:right w:val="nil"/>
            </w:tcBorders>
            <w:shd w:val="clear" w:color="auto" w:fill="auto"/>
            <w:noWrap/>
            <w:vAlign w:val="bottom"/>
            <w:hideMark/>
          </w:tcPr>
          <w:p w14:paraId="0963DA2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258</w:t>
            </w:r>
          </w:p>
        </w:tc>
        <w:tc>
          <w:tcPr>
            <w:tcW w:w="414" w:type="pct"/>
            <w:tcBorders>
              <w:top w:val="nil"/>
              <w:left w:val="nil"/>
              <w:bottom w:val="nil"/>
              <w:right w:val="nil"/>
            </w:tcBorders>
            <w:shd w:val="clear" w:color="auto" w:fill="auto"/>
            <w:noWrap/>
            <w:vAlign w:val="bottom"/>
            <w:hideMark/>
          </w:tcPr>
          <w:p w14:paraId="56B420AB"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200</w:t>
            </w:r>
          </w:p>
        </w:tc>
        <w:tc>
          <w:tcPr>
            <w:tcW w:w="414" w:type="pct"/>
            <w:tcBorders>
              <w:top w:val="nil"/>
              <w:left w:val="nil"/>
              <w:bottom w:val="nil"/>
              <w:right w:val="nil"/>
            </w:tcBorders>
            <w:shd w:val="clear" w:color="auto" w:fill="auto"/>
            <w:noWrap/>
            <w:vAlign w:val="bottom"/>
            <w:hideMark/>
          </w:tcPr>
          <w:p w14:paraId="5756238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200</w:t>
            </w:r>
          </w:p>
        </w:tc>
        <w:tc>
          <w:tcPr>
            <w:tcW w:w="414" w:type="pct"/>
            <w:tcBorders>
              <w:top w:val="nil"/>
              <w:left w:val="nil"/>
              <w:bottom w:val="nil"/>
              <w:right w:val="nil"/>
            </w:tcBorders>
            <w:shd w:val="clear" w:color="auto" w:fill="auto"/>
            <w:noWrap/>
            <w:vAlign w:val="bottom"/>
            <w:hideMark/>
          </w:tcPr>
          <w:p w14:paraId="1E9EB37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200</w:t>
            </w:r>
          </w:p>
        </w:tc>
      </w:tr>
      <w:tr w:rsidR="00DD531B" w:rsidRPr="00DD531B" w14:paraId="0F55960C" w14:textId="77777777" w:rsidTr="001F24AE">
        <w:trPr>
          <w:trHeight w:val="300"/>
        </w:trPr>
        <w:tc>
          <w:tcPr>
            <w:tcW w:w="2104" w:type="pct"/>
            <w:tcBorders>
              <w:top w:val="nil"/>
              <w:left w:val="nil"/>
              <w:bottom w:val="nil"/>
              <w:right w:val="nil"/>
            </w:tcBorders>
            <w:shd w:val="clear" w:color="auto" w:fill="auto"/>
            <w:noWrap/>
            <w:vAlign w:val="bottom"/>
            <w:hideMark/>
          </w:tcPr>
          <w:p w14:paraId="630E075B"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kapitálové výdavky 700</w:t>
            </w:r>
          </w:p>
        </w:tc>
        <w:tc>
          <w:tcPr>
            <w:tcW w:w="414" w:type="pct"/>
            <w:tcBorders>
              <w:top w:val="nil"/>
              <w:left w:val="nil"/>
              <w:bottom w:val="nil"/>
              <w:right w:val="nil"/>
            </w:tcBorders>
            <w:shd w:val="clear" w:color="auto" w:fill="auto"/>
            <w:noWrap/>
            <w:vAlign w:val="bottom"/>
            <w:hideMark/>
          </w:tcPr>
          <w:p w14:paraId="2C3D29C4"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11 699</w:t>
            </w:r>
          </w:p>
        </w:tc>
        <w:tc>
          <w:tcPr>
            <w:tcW w:w="414" w:type="pct"/>
            <w:tcBorders>
              <w:top w:val="nil"/>
              <w:left w:val="nil"/>
              <w:bottom w:val="nil"/>
              <w:right w:val="nil"/>
            </w:tcBorders>
            <w:shd w:val="clear" w:color="auto" w:fill="auto"/>
            <w:noWrap/>
            <w:vAlign w:val="bottom"/>
            <w:hideMark/>
          </w:tcPr>
          <w:p w14:paraId="417819C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922</w:t>
            </w:r>
          </w:p>
        </w:tc>
        <w:tc>
          <w:tcPr>
            <w:tcW w:w="414" w:type="pct"/>
            <w:tcBorders>
              <w:top w:val="nil"/>
              <w:left w:val="nil"/>
              <w:bottom w:val="nil"/>
              <w:right w:val="nil"/>
            </w:tcBorders>
            <w:shd w:val="clear" w:color="auto" w:fill="auto"/>
            <w:noWrap/>
            <w:vAlign w:val="bottom"/>
            <w:hideMark/>
          </w:tcPr>
          <w:p w14:paraId="3781850A"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597 890</w:t>
            </w:r>
          </w:p>
        </w:tc>
        <w:tc>
          <w:tcPr>
            <w:tcW w:w="414" w:type="pct"/>
            <w:tcBorders>
              <w:top w:val="nil"/>
              <w:left w:val="nil"/>
              <w:bottom w:val="nil"/>
              <w:right w:val="nil"/>
            </w:tcBorders>
            <w:shd w:val="clear" w:color="auto" w:fill="auto"/>
            <w:noWrap/>
            <w:vAlign w:val="bottom"/>
            <w:hideMark/>
          </w:tcPr>
          <w:p w14:paraId="7ED9AEB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103 942</w:t>
            </w:r>
          </w:p>
        </w:tc>
        <w:tc>
          <w:tcPr>
            <w:tcW w:w="414" w:type="pct"/>
            <w:tcBorders>
              <w:top w:val="nil"/>
              <w:left w:val="nil"/>
              <w:bottom w:val="nil"/>
              <w:right w:val="nil"/>
            </w:tcBorders>
            <w:shd w:val="clear" w:color="auto" w:fill="auto"/>
            <w:noWrap/>
            <w:vAlign w:val="bottom"/>
            <w:hideMark/>
          </w:tcPr>
          <w:p w14:paraId="00118E4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17 055</w:t>
            </w:r>
          </w:p>
        </w:tc>
        <w:tc>
          <w:tcPr>
            <w:tcW w:w="414" w:type="pct"/>
            <w:tcBorders>
              <w:top w:val="nil"/>
              <w:left w:val="nil"/>
              <w:bottom w:val="nil"/>
              <w:right w:val="nil"/>
            </w:tcBorders>
            <w:shd w:val="clear" w:color="auto" w:fill="auto"/>
            <w:noWrap/>
            <w:vAlign w:val="bottom"/>
            <w:hideMark/>
          </w:tcPr>
          <w:p w14:paraId="3C8B4EB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17 055</w:t>
            </w:r>
          </w:p>
        </w:tc>
        <w:tc>
          <w:tcPr>
            <w:tcW w:w="414" w:type="pct"/>
            <w:tcBorders>
              <w:top w:val="nil"/>
              <w:left w:val="nil"/>
              <w:bottom w:val="nil"/>
              <w:right w:val="nil"/>
            </w:tcBorders>
            <w:shd w:val="clear" w:color="auto" w:fill="auto"/>
            <w:noWrap/>
            <w:vAlign w:val="bottom"/>
            <w:hideMark/>
          </w:tcPr>
          <w:p w14:paraId="4757D36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17 055</w:t>
            </w:r>
          </w:p>
        </w:tc>
      </w:tr>
      <w:tr w:rsidR="00DD531B" w:rsidRPr="00DD531B" w14:paraId="42542882" w14:textId="77777777" w:rsidTr="001F24AE">
        <w:trPr>
          <w:trHeight w:val="300"/>
        </w:trPr>
        <w:tc>
          <w:tcPr>
            <w:tcW w:w="2104" w:type="pct"/>
            <w:tcBorders>
              <w:top w:val="nil"/>
              <w:left w:val="nil"/>
              <w:bottom w:val="nil"/>
              <w:right w:val="nil"/>
            </w:tcBorders>
            <w:shd w:val="clear" w:color="auto" w:fill="auto"/>
            <w:noWrap/>
            <w:vAlign w:val="bottom"/>
            <w:hideMark/>
          </w:tcPr>
          <w:p w14:paraId="616A015B" w14:textId="77777777" w:rsidR="00DD531B" w:rsidRPr="00DD531B" w:rsidRDefault="00DD531B" w:rsidP="00DD531B">
            <w:pPr>
              <w:spacing w:after="0" w:line="240" w:lineRule="auto"/>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zdroj EÚ vrátane spolufinancovania zo ŠR, v tom:</w:t>
            </w:r>
          </w:p>
        </w:tc>
        <w:tc>
          <w:tcPr>
            <w:tcW w:w="414" w:type="pct"/>
            <w:tcBorders>
              <w:top w:val="nil"/>
              <w:left w:val="nil"/>
              <w:bottom w:val="nil"/>
              <w:right w:val="nil"/>
            </w:tcBorders>
            <w:shd w:val="clear" w:color="auto" w:fill="auto"/>
            <w:noWrap/>
            <w:vAlign w:val="bottom"/>
            <w:hideMark/>
          </w:tcPr>
          <w:p w14:paraId="3AC2E656"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2 213</w:t>
            </w:r>
          </w:p>
        </w:tc>
        <w:tc>
          <w:tcPr>
            <w:tcW w:w="414" w:type="pct"/>
            <w:tcBorders>
              <w:top w:val="nil"/>
              <w:left w:val="nil"/>
              <w:bottom w:val="nil"/>
              <w:right w:val="nil"/>
            </w:tcBorders>
            <w:shd w:val="clear" w:color="auto" w:fill="auto"/>
            <w:noWrap/>
            <w:vAlign w:val="bottom"/>
            <w:hideMark/>
          </w:tcPr>
          <w:p w14:paraId="620B48C2"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2 373</w:t>
            </w:r>
          </w:p>
        </w:tc>
        <w:tc>
          <w:tcPr>
            <w:tcW w:w="414" w:type="pct"/>
            <w:tcBorders>
              <w:top w:val="nil"/>
              <w:left w:val="nil"/>
              <w:bottom w:val="nil"/>
              <w:right w:val="nil"/>
            </w:tcBorders>
            <w:shd w:val="clear" w:color="auto" w:fill="auto"/>
            <w:noWrap/>
            <w:vAlign w:val="bottom"/>
            <w:hideMark/>
          </w:tcPr>
          <w:p w14:paraId="65F31A4F"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497 934</w:t>
            </w:r>
          </w:p>
        </w:tc>
        <w:tc>
          <w:tcPr>
            <w:tcW w:w="414" w:type="pct"/>
            <w:tcBorders>
              <w:top w:val="nil"/>
              <w:left w:val="nil"/>
              <w:bottom w:val="nil"/>
              <w:right w:val="nil"/>
            </w:tcBorders>
            <w:shd w:val="clear" w:color="auto" w:fill="auto"/>
            <w:noWrap/>
            <w:vAlign w:val="bottom"/>
            <w:hideMark/>
          </w:tcPr>
          <w:p w14:paraId="3A452EC1"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1 684</w:t>
            </w:r>
          </w:p>
        </w:tc>
        <w:tc>
          <w:tcPr>
            <w:tcW w:w="414" w:type="pct"/>
            <w:tcBorders>
              <w:top w:val="nil"/>
              <w:left w:val="nil"/>
              <w:bottom w:val="nil"/>
              <w:right w:val="nil"/>
            </w:tcBorders>
            <w:shd w:val="clear" w:color="auto" w:fill="auto"/>
            <w:noWrap/>
            <w:vAlign w:val="bottom"/>
            <w:hideMark/>
          </w:tcPr>
          <w:p w14:paraId="0B1F64BA"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6 133</w:t>
            </w:r>
          </w:p>
        </w:tc>
        <w:tc>
          <w:tcPr>
            <w:tcW w:w="414" w:type="pct"/>
            <w:tcBorders>
              <w:top w:val="nil"/>
              <w:left w:val="nil"/>
              <w:bottom w:val="nil"/>
              <w:right w:val="nil"/>
            </w:tcBorders>
            <w:shd w:val="clear" w:color="auto" w:fill="auto"/>
            <w:noWrap/>
            <w:vAlign w:val="bottom"/>
            <w:hideMark/>
          </w:tcPr>
          <w:p w14:paraId="4E67F967"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5 554</w:t>
            </w:r>
          </w:p>
        </w:tc>
        <w:tc>
          <w:tcPr>
            <w:tcW w:w="414" w:type="pct"/>
            <w:tcBorders>
              <w:top w:val="nil"/>
              <w:left w:val="nil"/>
              <w:bottom w:val="nil"/>
              <w:right w:val="nil"/>
            </w:tcBorders>
            <w:shd w:val="clear" w:color="auto" w:fill="auto"/>
            <w:noWrap/>
            <w:vAlign w:val="bottom"/>
            <w:hideMark/>
          </w:tcPr>
          <w:p w14:paraId="05D7C95A"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7 173</w:t>
            </w:r>
          </w:p>
        </w:tc>
      </w:tr>
      <w:tr w:rsidR="00DD531B" w:rsidRPr="00DD531B" w14:paraId="5A987D33" w14:textId="77777777" w:rsidTr="001F24AE">
        <w:trPr>
          <w:trHeight w:val="300"/>
        </w:trPr>
        <w:tc>
          <w:tcPr>
            <w:tcW w:w="2104" w:type="pct"/>
            <w:tcBorders>
              <w:top w:val="nil"/>
              <w:left w:val="nil"/>
              <w:bottom w:val="nil"/>
              <w:right w:val="nil"/>
            </w:tcBorders>
            <w:shd w:val="clear" w:color="auto" w:fill="auto"/>
            <w:noWrap/>
            <w:vAlign w:val="bottom"/>
            <w:hideMark/>
          </w:tcPr>
          <w:p w14:paraId="31A2E083"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prostriedky EÚ</w:t>
            </w:r>
          </w:p>
        </w:tc>
        <w:tc>
          <w:tcPr>
            <w:tcW w:w="414" w:type="pct"/>
            <w:tcBorders>
              <w:top w:val="nil"/>
              <w:left w:val="nil"/>
              <w:bottom w:val="nil"/>
              <w:right w:val="nil"/>
            </w:tcBorders>
            <w:shd w:val="clear" w:color="auto" w:fill="auto"/>
            <w:noWrap/>
            <w:vAlign w:val="bottom"/>
            <w:hideMark/>
          </w:tcPr>
          <w:p w14:paraId="508BE0E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213FB33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23CA3E4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410 311</w:t>
            </w:r>
          </w:p>
        </w:tc>
        <w:tc>
          <w:tcPr>
            <w:tcW w:w="414" w:type="pct"/>
            <w:tcBorders>
              <w:top w:val="nil"/>
              <w:left w:val="nil"/>
              <w:bottom w:val="nil"/>
              <w:right w:val="nil"/>
            </w:tcBorders>
            <w:shd w:val="clear" w:color="auto" w:fill="auto"/>
            <w:noWrap/>
            <w:vAlign w:val="bottom"/>
            <w:hideMark/>
          </w:tcPr>
          <w:p w14:paraId="20C3538E"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00691F7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5BE7F60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6CD5A14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r>
      <w:tr w:rsidR="00DD531B" w:rsidRPr="00DD531B" w14:paraId="7592FAA4" w14:textId="77777777" w:rsidTr="001F24AE">
        <w:trPr>
          <w:trHeight w:val="300"/>
        </w:trPr>
        <w:tc>
          <w:tcPr>
            <w:tcW w:w="2104" w:type="pct"/>
            <w:tcBorders>
              <w:top w:val="nil"/>
              <w:left w:val="nil"/>
              <w:bottom w:val="nil"/>
              <w:right w:val="nil"/>
            </w:tcBorders>
            <w:shd w:val="clear" w:color="auto" w:fill="auto"/>
            <w:noWrap/>
            <w:vAlign w:val="bottom"/>
            <w:hideMark/>
          </w:tcPr>
          <w:p w14:paraId="27080317"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spolufinancovanie zo ŠR</w:t>
            </w:r>
          </w:p>
        </w:tc>
        <w:tc>
          <w:tcPr>
            <w:tcW w:w="414" w:type="pct"/>
            <w:tcBorders>
              <w:top w:val="nil"/>
              <w:left w:val="nil"/>
              <w:bottom w:val="nil"/>
              <w:right w:val="nil"/>
            </w:tcBorders>
            <w:shd w:val="clear" w:color="auto" w:fill="auto"/>
            <w:noWrap/>
            <w:vAlign w:val="bottom"/>
            <w:hideMark/>
          </w:tcPr>
          <w:p w14:paraId="796B62F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2 213</w:t>
            </w:r>
          </w:p>
        </w:tc>
        <w:tc>
          <w:tcPr>
            <w:tcW w:w="414" w:type="pct"/>
            <w:tcBorders>
              <w:top w:val="nil"/>
              <w:left w:val="nil"/>
              <w:bottom w:val="nil"/>
              <w:right w:val="nil"/>
            </w:tcBorders>
            <w:shd w:val="clear" w:color="auto" w:fill="auto"/>
            <w:noWrap/>
            <w:vAlign w:val="bottom"/>
            <w:hideMark/>
          </w:tcPr>
          <w:p w14:paraId="27C0A73A"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2 373</w:t>
            </w:r>
          </w:p>
        </w:tc>
        <w:tc>
          <w:tcPr>
            <w:tcW w:w="414" w:type="pct"/>
            <w:tcBorders>
              <w:top w:val="nil"/>
              <w:left w:val="nil"/>
              <w:bottom w:val="nil"/>
              <w:right w:val="nil"/>
            </w:tcBorders>
            <w:shd w:val="clear" w:color="auto" w:fill="auto"/>
            <w:noWrap/>
            <w:vAlign w:val="bottom"/>
            <w:hideMark/>
          </w:tcPr>
          <w:p w14:paraId="24DC1B8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87 623</w:t>
            </w:r>
          </w:p>
        </w:tc>
        <w:tc>
          <w:tcPr>
            <w:tcW w:w="414" w:type="pct"/>
            <w:tcBorders>
              <w:top w:val="nil"/>
              <w:left w:val="nil"/>
              <w:bottom w:val="nil"/>
              <w:right w:val="nil"/>
            </w:tcBorders>
            <w:shd w:val="clear" w:color="auto" w:fill="auto"/>
            <w:noWrap/>
            <w:vAlign w:val="bottom"/>
            <w:hideMark/>
          </w:tcPr>
          <w:p w14:paraId="2B192AD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1 684</w:t>
            </w:r>
          </w:p>
        </w:tc>
        <w:tc>
          <w:tcPr>
            <w:tcW w:w="414" w:type="pct"/>
            <w:tcBorders>
              <w:top w:val="nil"/>
              <w:left w:val="nil"/>
              <w:bottom w:val="nil"/>
              <w:right w:val="nil"/>
            </w:tcBorders>
            <w:shd w:val="clear" w:color="auto" w:fill="auto"/>
            <w:noWrap/>
            <w:vAlign w:val="bottom"/>
            <w:hideMark/>
          </w:tcPr>
          <w:p w14:paraId="7F8D4C4C"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6 133</w:t>
            </w:r>
          </w:p>
        </w:tc>
        <w:tc>
          <w:tcPr>
            <w:tcW w:w="414" w:type="pct"/>
            <w:tcBorders>
              <w:top w:val="nil"/>
              <w:left w:val="nil"/>
              <w:bottom w:val="nil"/>
              <w:right w:val="nil"/>
            </w:tcBorders>
            <w:shd w:val="clear" w:color="auto" w:fill="auto"/>
            <w:noWrap/>
            <w:vAlign w:val="bottom"/>
            <w:hideMark/>
          </w:tcPr>
          <w:p w14:paraId="6AB509C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5 554</w:t>
            </w:r>
          </w:p>
        </w:tc>
        <w:tc>
          <w:tcPr>
            <w:tcW w:w="414" w:type="pct"/>
            <w:tcBorders>
              <w:top w:val="nil"/>
              <w:left w:val="nil"/>
              <w:bottom w:val="nil"/>
              <w:right w:val="nil"/>
            </w:tcBorders>
            <w:shd w:val="clear" w:color="auto" w:fill="auto"/>
            <w:noWrap/>
            <w:vAlign w:val="bottom"/>
            <w:hideMark/>
          </w:tcPr>
          <w:p w14:paraId="3E44EF0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7 173</w:t>
            </w:r>
          </w:p>
        </w:tc>
      </w:tr>
      <w:tr w:rsidR="00DD531B" w:rsidRPr="00DD531B" w14:paraId="536F6888" w14:textId="77777777" w:rsidTr="001F24AE">
        <w:trPr>
          <w:trHeight w:val="300"/>
        </w:trPr>
        <w:tc>
          <w:tcPr>
            <w:tcW w:w="2104" w:type="pct"/>
            <w:tcBorders>
              <w:top w:val="nil"/>
              <w:left w:val="nil"/>
              <w:bottom w:val="nil"/>
              <w:right w:val="nil"/>
            </w:tcBorders>
            <w:shd w:val="clear" w:color="auto" w:fill="auto"/>
            <w:noWrap/>
            <w:vAlign w:val="center"/>
            <w:hideMark/>
          </w:tcPr>
          <w:p w14:paraId="22A665A2" w14:textId="77777777" w:rsidR="00DD531B" w:rsidRPr="00DD531B" w:rsidRDefault="00DD531B" w:rsidP="00DD531B">
            <w:pPr>
              <w:spacing w:after="0" w:line="240" w:lineRule="auto"/>
              <w:rPr>
                <w:rFonts w:ascii="Times New Roman" w:eastAsia="Times New Roman" w:hAnsi="Times New Roman" w:cs="Times New Roman"/>
                <w:b/>
                <w:bCs/>
                <w:color w:val="000000"/>
                <w:sz w:val="14"/>
                <w:szCs w:val="14"/>
                <w:lang w:eastAsia="sk-SK"/>
              </w:rPr>
            </w:pPr>
            <w:r w:rsidRPr="00DD531B">
              <w:rPr>
                <w:rFonts w:ascii="Times New Roman" w:eastAsia="Times New Roman" w:hAnsi="Times New Roman" w:cs="Times New Roman"/>
                <w:b/>
                <w:bCs/>
                <w:color w:val="000000"/>
                <w:sz w:val="14"/>
                <w:szCs w:val="14"/>
                <w:lang w:eastAsia="sk-SK"/>
              </w:rPr>
              <w:t>zdroj Plán obnovy a odolnosti , v tom:</w:t>
            </w:r>
          </w:p>
        </w:tc>
        <w:tc>
          <w:tcPr>
            <w:tcW w:w="414" w:type="pct"/>
            <w:tcBorders>
              <w:top w:val="nil"/>
              <w:left w:val="nil"/>
              <w:bottom w:val="nil"/>
              <w:right w:val="nil"/>
            </w:tcBorders>
            <w:shd w:val="clear" w:color="auto" w:fill="auto"/>
            <w:noWrap/>
            <w:vAlign w:val="bottom"/>
            <w:hideMark/>
          </w:tcPr>
          <w:p w14:paraId="6495BBA9"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0</w:t>
            </w:r>
          </w:p>
        </w:tc>
        <w:tc>
          <w:tcPr>
            <w:tcW w:w="414" w:type="pct"/>
            <w:tcBorders>
              <w:top w:val="nil"/>
              <w:left w:val="nil"/>
              <w:bottom w:val="nil"/>
              <w:right w:val="nil"/>
            </w:tcBorders>
            <w:shd w:val="clear" w:color="auto" w:fill="auto"/>
            <w:noWrap/>
            <w:vAlign w:val="bottom"/>
            <w:hideMark/>
          </w:tcPr>
          <w:p w14:paraId="5F4D2AFE"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1 283</w:t>
            </w:r>
          </w:p>
        </w:tc>
        <w:tc>
          <w:tcPr>
            <w:tcW w:w="414" w:type="pct"/>
            <w:tcBorders>
              <w:top w:val="nil"/>
              <w:left w:val="nil"/>
              <w:bottom w:val="nil"/>
              <w:right w:val="nil"/>
            </w:tcBorders>
            <w:shd w:val="clear" w:color="auto" w:fill="auto"/>
            <w:noWrap/>
            <w:vAlign w:val="bottom"/>
            <w:hideMark/>
          </w:tcPr>
          <w:p w14:paraId="2E7741FE"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0</w:t>
            </w:r>
          </w:p>
        </w:tc>
        <w:tc>
          <w:tcPr>
            <w:tcW w:w="414" w:type="pct"/>
            <w:tcBorders>
              <w:top w:val="nil"/>
              <w:left w:val="nil"/>
              <w:bottom w:val="nil"/>
              <w:right w:val="nil"/>
            </w:tcBorders>
            <w:shd w:val="clear" w:color="auto" w:fill="auto"/>
            <w:noWrap/>
            <w:vAlign w:val="bottom"/>
            <w:hideMark/>
          </w:tcPr>
          <w:p w14:paraId="302B8072"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0</w:t>
            </w:r>
          </w:p>
        </w:tc>
        <w:tc>
          <w:tcPr>
            <w:tcW w:w="414" w:type="pct"/>
            <w:tcBorders>
              <w:top w:val="nil"/>
              <w:left w:val="nil"/>
              <w:bottom w:val="nil"/>
              <w:right w:val="nil"/>
            </w:tcBorders>
            <w:shd w:val="clear" w:color="auto" w:fill="auto"/>
            <w:noWrap/>
            <w:vAlign w:val="bottom"/>
            <w:hideMark/>
          </w:tcPr>
          <w:p w14:paraId="0FEB60B8"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318</w:t>
            </w:r>
          </w:p>
        </w:tc>
        <w:tc>
          <w:tcPr>
            <w:tcW w:w="414" w:type="pct"/>
            <w:tcBorders>
              <w:top w:val="nil"/>
              <w:left w:val="nil"/>
              <w:bottom w:val="nil"/>
              <w:right w:val="nil"/>
            </w:tcBorders>
            <w:shd w:val="clear" w:color="auto" w:fill="auto"/>
            <w:noWrap/>
            <w:vAlign w:val="bottom"/>
            <w:hideMark/>
          </w:tcPr>
          <w:p w14:paraId="53EA3B60"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1 002</w:t>
            </w:r>
          </w:p>
        </w:tc>
        <w:tc>
          <w:tcPr>
            <w:tcW w:w="414" w:type="pct"/>
            <w:tcBorders>
              <w:top w:val="nil"/>
              <w:left w:val="nil"/>
              <w:bottom w:val="nil"/>
              <w:right w:val="nil"/>
            </w:tcBorders>
            <w:shd w:val="clear" w:color="auto" w:fill="auto"/>
            <w:noWrap/>
            <w:vAlign w:val="bottom"/>
            <w:hideMark/>
          </w:tcPr>
          <w:p w14:paraId="5BF4A51E"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1 071</w:t>
            </w:r>
          </w:p>
        </w:tc>
      </w:tr>
      <w:tr w:rsidR="00DD531B" w:rsidRPr="00DD531B" w14:paraId="224A258F" w14:textId="77777777" w:rsidTr="001F24AE">
        <w:trPr>
          <w:trHeight w:val="300"/>
        </w:trPr>
        <w:tc>
          <w:tcPr>
            <w:tcW w:w="2104" w:type="pct"/>
            <w:tcBorders>
              <w:top w:val="nil"/>
              <w:left w:val="nil"/>
              <w:bottom w:val="nil"/>
              <w:right w:val="nil"/>
            </w:tcBorders>
            <w:shd w:val="clear" w:color="auto" w:fill="auto"/>
            <w:noWrap/>
            <w:vAlign w:val="bottom"/>
            <w:hideMark/>
          </w:tcPr>
          <w:p w14:paraId="740A142D"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prostriedky POO</w:t>
            </w:r>
          </w:p>
        </w:tc>
        <w:tc>
          <w:tcPr>
            <w:tcW w:w="414" w:type="pct"/>
            <w:tcBorders>
              <w:top w:val="nil"/>
              <w:left w:val="nil"/>
              <w:bottom w:val="nil"/>
              <w:right w:val="nil"/>
            </w:tcBorders>
            <w:shd w:val="clear" w:color="auto" w:fill="auto"/>
            <w:noWrap/>
            <w:vAlign w:val="bottom"/>
            <w:hideMark/>
          </w:tcPr>
          <w:p w14:paraId="41B4FC55" w14:textId="77777777" w:rsidR="00DD531B" w:rsidRPr="00DD531B" w:rsidRDefault="00DD531B" w:rsidP="00DD531B">
            <w:pPr>
              <w:spacing w:after="0" w:line="240" w:lineRule="auto"/>
              <w:jc w:val="right"/>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0</w:t>
            </w:r>
          </w:p>
        </w:tc>
        <w:tc>
          <w:tcPr>
            <w:tcW w:w="414" w:type="pct"/>
            <w:tcBorders>
              <w:top w:val="nil"/>
              <w:left w:val="nil"/>
              <w:bottom w:val="nil"/>
              <w:right w:val="nil"/>
            </w:tcBorders>
            <w:shd w:val="clear" w:color="auto" w:fill="auto"/>
            <w:noWrap/>
            <w:vAlign w:val="bottom"/>
            <w:hideMark/>
          </w:tcPr>
          <w:p w14:paraId="574117A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1 273</w:t>
            </w:r>
          </w:p>
        </w:tc>
        <w:tc>
          <w:tcPr>
            <w:tcW w:w="414" w:type="pct"/>
            <w:tcBorders>
              <w:top w:val="nil"/>
              <w:left w:val="nil"/>
              <w:bottom w:val="nil"/>
              <w:right w:val="nil"/>
            </w:tcBorders>
            <w:shd w:val="clear" w:color="auto" w:fill="auto"/>
            <w:noWrap/>
            <w:vAlign w:val="bottom"/>
            <w:hideMark/>
          </w:tcPr>
          <w:p w14:paraId="773451A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2D2D6F8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431C4B4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2F800C2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5E5FF51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r>
      <w:tr w:rsidR="00DD531B" w:rsidRPr="00DD531B" w14:paraId="49B03A19" w14:textId="77777777" w:rsidTr="001F24AE">
        <w:trPr>
          <w:trHeight w:val="300"/>
        </w:trPr>
        <w:tc>
          <w:tcPr>
            <w:tcW w:w="2104" w:type="pct"/>
            <w:tcBorders>
              <w:top w:val="nil"/>
              <w:left w:val="nil"/>
              <w:bottom w:val="nil"/>
              <w:right w:val="nil"/>
            </w:tcBorders>
            <w:shd w:val="clear" w:color="auto" w:fill="auto"/>
            <w:noWrap/>
            <w:vAlign w:val="bottom"/>
            <w:hideMark/>
          </w:tcPr>
          <w:p w14:paraId="118FAD41"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DPH k POO</w:t>
            </w:r>
          </w:p>
        </w:tc>
        <w:tc>
          <w:tcPr>
            <w:tcW w:w="414" w:type="pct"/>
            <w:tcBorders>
              <w:top w:val="nil"/>
              <w:left w:val="nil"/>
              <w:bottom w:val="nil"/>
              <w:right w:val="nil"/>
            </w:tcBorders>
            <w:shd w:val="clear" w:color="auto" w:fill="auto"/>
            <w:noWrap/>
            <w:vAlign w:val="bottom"/>
            <w:hideMark/>
          </w:tcPr>
          <w:p w14:paraId="4FF642F8" w14:textId="77777777" w:rsidR="00DD531B" w:rsidRPr="00DD531B" w:rsidRDefault="00DD531B" w:rsidP="00DD531B">
            <w:pPr>
              <w:spacing w:after="0" w:line="240" w:lineRule="auto"/>
              <w:jc w:val="right"/>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0</w:t>
            </w:r>
          </w:p>
        </w:tc>
        <w:tc>
          <w:tcPr>
            <w:tcW w:w="414" w:type="pct"/>
            <w:tcBorders>
              <w:top w:val="nil"/>
              <w:left w:val="nil"/>
              <w:bottom w:val="nil"/>
              <w:right w:val="nil"/>
            </w:tcBorders>
            <w:shd w:val="clear" w:color="auto" w:fill="auto"/>
            <w:noWrap/>
            <w:vAlign w:val="bottom"/>
            <w:hideMark/>
          </w:tcPr>
          <w:p w14:paraId="3574125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9</w:t>
            </w:r>
          </w:p>
        </w:tc>
        <w:tc>
          <w:tcPr>
            <w:tcW w:w="414" w:type="pct"/>
            <w:tcBorders>
              <w:top w:val="nil"/>
              <w:left w:val="nil"/>
              <w:bottom w:val="nil"/>
              <w:right w:val="nil"/>
            </w:tcBorders>
            <w:shd w:val="clear" w:color="auto" w:fill="auto"/>
            <w:noWrap/>
            <w:vAlign w:val="bottom"/>
            <w:hideMark/>
          </w:tcPr>
          <w:p w14:paraId="40EF685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3B81E2CA"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00E6206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17769C30"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3C52A5D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r>
      <w:tr w:rsidR="00DD531B" w:rsidRPr="00DD531B" w14:paraId="3EB7B12A" w14:textId="77777777" w:rsidTr="001F24AE">
        <w:trPr>
          <w:trHeight w:val="300"/>
        </w:trPr>
        <w:tc>
          <w:tcPr>
            <w:tcW w:w="2104" w:type="pct"/>
            <w:tcBorders>
              <w:top w:val="nil"/>
              <w:left w:val="nil"/>
              <w:bottom w:val="nil"/>
              <w:right w:val="nil"/>
            </w:tcBorders>
            <w:shd w:val="clear" w:color="auto" w:fill="auto"/>
            <w:noWrap/>
            <w:vAlign w:val="bottom"/>
            <w:hideMark/>
          </w:tcPr>
          <w:p w14:paraId="08B1BA49"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neoprávnené výdavky k POO</w:t>
            </w:r>
          </w:p>
        </w:tc>
        <w:tc>
          <w:tcPr>
            <w:tcW w:w="414" w:type="pct"/>
            <w:tcBorders>
              <w:top w:val="nil"/>
              <w:left w:val="nil"/>
              <w:bottom w:val="nil"/>
              <w:right w:val="nil"/>
            </w:tcBorders>
            <w:shd w:val="clear" w:color="auto" w:fill="auto"/>
            <w:noWrap/>
            <w:vAlign w:val="bottom"/>
            <w:hideMark/>
          </w:tcPr>
          <w:p w14:paraId="254436E5" w14:textId="77777777" w:rsidR="00DD531B" w:rsidRPr="00DD531B" w:rsidRDefault="00DD531B" w:rsidP="00DD531B">
            <w:pPr>
              <w:spacing w:after="0" w:line="240" w:lineRule="auto"/>
              <w:jc w:val="right"/>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0</w:t>
            </w:r>
          </w:p>
        </w:tc>
        <w:tc>
          <w:tcPr>
            <w:tcW w:w="414" w:type="pct"/>
            <w:tcBorders>
              <w:top w:val="nil"/>
              <w:left w:val="nil"/>
              <w:bottom w:val="nil"/>
              <w:right w:val="nil"/>
            </w:tcBorders>
            <w:shd w:val="clear" w:color="auto" w:fill="auto"/>
            <w:noWrap/>
            <w:vAlign w:val="bottom"/>
            <w:hideMark/>
          </w:tcPr>
          <w:p w14:paraId="44FAC7C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63CE2BC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7772440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75A8154E"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318</w:t>
            </w:r>
          </w:p>
        </w:tc>
        <w:tc>
          <w:tcPr>
            <w:tcW w:w="414" w:type="pct"/>
            <w:tcBorders>
              <w:top w:val="nil"/>
              <w:left w:val="nil"/>
              <w:bottom w:val="nil"/>
              <w:right w:val="nil"/>
            </w:tcBorders>
            <w:shd w:val="clear" w:color="auto" w:fill="auto"/>
            <w:noWrap/>
            <w:vAlign w:val="bottom"/>
            <w:hideMark/>
          </w:tcPr>
          <w:p w14:paraId="4C465908"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1 002</w:t>
            </w:r>
          </w:p>
        </w:tc>
        <w:tc>
          <w:tcPr>
            <w:tcW w:w="414" w:type="pct"/>
            <w:tcBorders>
              <w:top w:val="nil"/>
              <w:left w:val="nil"/>
              <w:bottom w:val="nil"/>
              <w:right w:val="nil"/>
            </w:tcBorders>
            <w:shd w:val="clear" w:color="auto" w:fill="auto"/>
            <w:noWrap/>
            <w:vAlign w:val="bottom"/>
            <w:hideMark/>
          </w:tcPr>
          <w:p w14:paraId="41D25FF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1 071</w:t>
            </w:r>
          </w:p>
        </w:tc>
      </w:tr>
      <w:tr w:rsidR="00DD531B" w:rsidRPr="00DD531B" w14:paraId="65E0111F" w14:textId="77777777" w:rsidTr="001F24AE">
        <w:trPr>
          <w:trHeight w:val="300"/>
        </w:trPr>
        <w:tc>
          <w:tcPr>
            <w:tcW w:w="2104" w:type="pct"/>
            <w:tcBorders>
              <w:top w:val="nil"/>
              <w:left w:val="nil"/>
              <w:bottom w:val="nil"/>
              <w:right w:val="nil"/>
            </w:tcBorders>
            <w:shd w:val="clear" w:color="auto" w:fill="auto"/>
            <w:noWrap/>
            <w:vAlign w:val="bottom"/>
            <w:hideMark/>
          </w:tcPr>
          <w:p w14:paraId="28146177" w14:textId="77777777" w:rsidR="00DD531B" w:rsidRPr="00DD531B" w:rsidRDefault="00DD531B" w:rsidP="00DD531B">
            <w:pPr>
              <w:spacing w:after="0" w:line="240" w:lineRule="auto"/>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presun z minulých rokov § 8, v tom:</w:t>
            </w:r>
          </w:p>
        </w:tc>
        <w:tc>
          <w:tcPr>
            <w:tcW w:w="414" w:type="pct"/>
            <w:tcBorders>
              <w:top w:val="nil"/>
              <w:left w:val="nil"/>
              <w:bottom w:val="nil"/>
              <w:right w:val="nil"/>
            </w:tcBorders>
            <w:shd w:val="clear" w:color="auto" w:fill="auto"/>
            <w:noWrap/>
            <w:vAlign w:val="bottom"/>
            <w:hideMark/>
          </w:tcPr>
          <w:p w14:paraId="30EBD777"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21 911</w:t>
            </w:r>
          </w:p>
        </w:tc>
        <w:tc>
          <w:tcPr>
            <w:tcW w:w="414" w:type="pct"/>
            <w:tcBorders>
              <w:top w:val="nil"/>
              <w:left w:val="nil"/>
              <w:bottom w:val="nil"/>
              <w:right w:val="nil"/>
            </w:tcBorders>
            <w:shd w:val="clear" w:color="auto" w:fill="auto"/>
            <w:noWrap/>
            <w:vAlign w:val="bottom"/>
            <w:hideMark/>
          </w:tcPr>
          <w:p w14:paraId="62B5C3C6"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88 562</w:t>
            </w:r>
          </w:p>
        </w:tc>
        <w:tc>
          <w:tcPr>
            <w:tcW w:w="414" w:type="pct"/>
            <w:tcBorders>
              <w:top w:val="nil"/>
              <w:left w:val="nil"/>
              <w:bottom w:val="nil"/>
              <w:right w:val="nil"/>
            </w:tcBorders>
            <w:shd w:val="clear" w:color="auto" w:fill="auto"/>
            <w:noWrap/>
            <w:vAlign w:val="bottom"/>
            <w:hideMark/>
          </w:tcPr>
          <w:p w14:paraId="72247112"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0</w:t>
            </w:r>
          </w:p>
        </w:tc>
        <w:tc>
          <w:tcPr>
            <w:tcW w:w="414" w:type="pct"/>
            <w:tcBorders>
              <w:top w:val="nil"/>
              <w:left w:val="nil"/>
              <w:bottom w:val="nil"/>
              <w:right w:val="nil"/>
            </w:tcBorders>
            <w:shd w:val="clear" w:color="auto" w:fill="auto"/>
            <w:noWrap/>
            <w:vAlign w:val="bottom"/>
            <w:hideMark/>
          </w:tcPr>
          <w:p w14:paraId="7B12C030"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17 031</w:t>
            </w:r>
          </w:p>
        </w:tc>
        <w:tc>
          <w:tcPr>
            <w:tcW w:w="414" w:type="pct"/>
            <w:tcBorders>
              <w:top w:val="nil"/>
              <w:left w:val="nil"/>
              <w:bottom w:val="nil"/>
              <w:right w:val="nil"/>
            </w:tcBorders>
            <w:shd w:val="clear" w:color="auto" w:fill="auto"/>
            <w:noWrap/>
            <w:vAlign w:val="bottom"/>
            <w:hideMark/>
          </w:tcPr>
          <w:p w14:paraId="1963ECFF"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0</w:t>
            </w:r>
          </w:p>
        </w:tc>
        <w:tc>
          <w:tcPr>
            <w:tcW w:w="414" w:type="pct"/>
            <w:tcBorders>
              <w:top w:val="nil"/>
              <w:left w:val="nil"/>
              <w:bottom w:val="nil"/>
              <w:right w:val="nil"/>
            </w:tcBorders>
            <w:shd w:val="clear" w:color="auto" w:fill="auto"/>
            <w:noWrap/>
            <w:vAlign w:val="bottom"/>
            <w:hideMark/>
          </w:tcPr>
          <w:p w14:paraId="2987BA58"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0</w:t>
            </w:r>
          </w:p>
        </w:tc>
        <w:tc>
          <w:tcPr>
            <w:tcW w:w="414" w:type="pct"/>
            <w:tcBorders>
              <w:top w:val="nil"/>
              <w:left w:val="nil"/>
              <w:bottom w:val="nil"/>
              <w:right w:val="nil"/>
            </w:tcBorders>
            <w:shd w:val="clear" w:color="auto" w:fill="auto"/>
            <w:noWrap/>
            <w:vAlign w:val="bottom"/>
            <w:hideMark/>
          </w:tcPr>
          <w:p w14:paraId="5704954A" w14:textId="77777777" w:rsidR="00DD531B" w:rsidRPr="00DD531B" w:rsidRDefault="00DD531B" w:rsidP="00DD531B">
            <w:pPr>
              <w:spacing w:after="0" w:line="240" w:lineRule="auto"/>
              <w:jc w:val="right"/>
              <w:rPr>
                <w:rFonts w:ascii="Times New Roman" w:eastAsia="Times New Roman" w:hAnsi="Times New Roman" w:cs="Times New Roman"/>
                <w:b/>
                <w:bCs/>
                <w:sz w:val="14"/>
                <w:szCs w:val="14"/>
                <w:lang w:eastAsia="sk-SK"/>
              </w:rPr>
            </w:pPr>
            <w:r w:rsidRPr="00DD531B">
              <w:rPr>
                <w:rFonts w:ascii="Times New Roman" w:eastAsia="Times New Roman" w:hAnsi="Times New Roman" w:cs="Times New Roman"/>
                <w:b/>
                <w:bCs/>
                <w:sz w:val="14"/>
                <w:szCs w:val="14"/>
                <w:lang w:eastAsia="sk-SK"/>
              </w:rPr>
              <w:t>0</w:t>
            </w:r>
          </w:p>
        </w:tc>
      </w:tr>
      <w:tr w:rsidR="00DD531B" w:rsidRPr="00DD531B" w14:paraId="052ABA0B" w14:textId="77777777" w:rsidTr="001F24AE">
        <w:trPr>
          <w:trHeight w:val="300"/>
        </w:trPr>
        <w:tc>
          <w:tcPr>
            <w:tcW w:w="2104" w:type="pct"/>
            <w:tcBorders>
              <w:top w:val="nil"/>
              <w:left w:val="nil"/>
              <w:bottom w:val="nil"/>
              <w:right w:val="nil"/>
            </w:tcBorders>
            <w:shd w:val="clear" w:color="auto" w:fill="auto"/>
            <w:noWrap/>
            <w:vAlign w:val="bottom"/>
            <w:hideMark/>
          </w:tcPr>
          <w:p w14:paraId="5FFDB8E9"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štátny rozpočet</w:t>
            </w:r>
          </w:p>
        </w:tc>
        <w:tc>
          <w:tcPr>
            <w:tcW w:w="414" w:type="pct"/>
            <w:tcBorders>
              <w:top w:val="nil"/>
              <w:left w:val="nil"/>
              <w:bottom w:val="nil"/>
              <w:right w:val="nil"/>
            </w:tcBorders>
            <w:shd w:val="clear" w:color="auto" w:fill="auto"/>
            <w:noWrap/>
            <w:vAlign w:val="bottom"/>
            <w:hideMark/>
          </w:tcPr>
          <w:p w14:paraId="23ABBD0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21 911</w:t>
            </w:r>
          </w:p>
        </w:tc>
        <w:tc>
          <w:tcPr>
            <w:tcW w:w="414" w:type="pct"/>
            <w:tcBorders>
              <w:top w:val="nil"/>
              <w:left w:val="nil"/>
              <w:bottom w:val="nil"/>
              <w:right w:val="nil"/>
            </w:tcBorders>
            <w:shd w:val="clear" w:color="auto" w:fill="auto"/>
            <w:noWrap/>
            <w:vAlign w:val="bottom"/>
            <w:hideMark/>
          </w:tcPr>
          <w:p w14:paraId="0E7E9A98"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87 189</w:t>
            </w:r>
          </w:p>
        </w:tc>
        <w:tc>
          <w:tcPr>
            <w:tcW w:w="414" w:type="pct"/>
            <w:tcBorders>
              <w:top w:val="nil"/>
              <w:left w:val="nil"/>
              <w:bottom w:val="nil"/>
              <w:right w:val="nil"/>
            </w:tcBorders>
            <w:shd w:val="clear" w:color="auto" w:fill="auto"/>
            <w:noWrap/>
            <w:vAlign w:val="bottom"/>
            <w:hideMark/>
          </w:tcPr>
          <w:p w14:paraId="29FD7AC8"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7C5C220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17 005</w:t>
            </w:r>
          </w:p>
        </w:tc>
        <w:tc>
          <w:tcPr>
            <w:tcW w:w="414" w:type="pct"/>
            <w:tcBorders>
              <w:top w:val="nil"/>
              <w:left w:val="nil"/>
              <w:bottom w:val="nil"/>
              <w:right w:val="nil"/>
            </w:tcBorders>
            <w:shd w:val="clear" w:color="auto" w:fill="auto"/>
            <w:noWrap/>
            <w:vAlign w:val="bottom"/>
            <w:hideMark/>
          </w:tcPr>
          <w:p w14:paraId="7592121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7FCC514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5C56B35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r>
      <w:tr w:rsidR="00DD531B" w:rsidRPr="00DD531B" w14:paraId="0DD3090A" w14:textId="77777777" w:rsidTr="001F24AE">
        <w:trPr>
          <w:trHeight w:val="300"/>
        </w:trPr>
        <w:tc>
          <w:tcPr>
            <w:tcW w:w="2104" w:type="pct"/>
            <w:tcBorders>
              <w:top w:val="nil"/>
              <w:left w:val="nil"/>
              <w:bottom w:val="nil"/>
              <w:right w:val="nil"/>
            </w:tcBorders>
            <w:shd w:val="clear" w:color="auto" w:fill="auto"/>
            <w:noWrap/>
            <w:vAlign w:val="bottom"/>
            <w:hideMark/>
          </w:tcPr>
          <w:p w14:paraId="532FFCA1"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prostriedky EÚ a spolufinancovanie zo ŠR</w:t>
            </w:r>
          </w:p>
        </w:tc>
        <w:tc>
          <w:tcPr>
            <w:tcW w:w="414" w:type="pct"/>
            <w:tcBorders>
              <w:top w:val="nil"/>
              <w:left w:val="nil"/>
              <w:bottom w:val="nil"/>
              <w:right w:val="nil"/>
            </w:tcBorders>
            <w:shd w:val="clear" w:color="auto" w:fill="auto"/>
            <w:noWrap/>
            <w:vAlign w:val="bottom"/>
            <w:hideMark/>
          </w:tcPr>
          <w:p w14:paraId="72FB950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38907CD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590</w:t>
            </w:r>
          </w:p>
        </w:tc>
        <w:tc>
          <w:tcPr>
            <w:tcW w:w="414" w:type="pct"/>
            <w:tcBorders>
              <w:top w:val="nil"/>
              <w:left w:val="nil"/>
              <w:bottom w:val="nil"/>
              <w:right w:val="nil"/>
            </w:tcBorders>
            <w:shd w:val="clear" w:color="auto" w:fill="auto"/>
            <w:noWrap/>
            <w:vAlign w:val="bottom"/>
            <w:hideMark/>
          </w:tcPr>
          <w:p w14:paraId="1A121B8D"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43B7A2B9"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76EA7D61"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1CD8DAD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14:paraId="46503376"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r>
      <w:tr w:rsidR="00DD531B" w:rsidRPr="00DD531B" w14:paraId="5203A4A6" w14:textId="77777777" w:rsidTr="001F24AE">
        <w:trPr>
          <w:trHeight w:val="300"/>
        </w:trPr>
        <w:tc>
          <w:tcPr>
            <w:tcW w:w="2104" w:type="pct"/>
            <w:tcBorders>
              <w:top w:val="nil"/>
              <w:left w:val="nil"/>
              <w:bottom w:val="single" w:sz="4" w:space="0" w:color="auto"/>
              <w:right w:val="nil"/>
            </w:tcBorders>
            <w:shd w:val="clear" w:color="auto" w:fill="auto"/>
            <w:noWrap/>
            <w:vAlign w:val="bottom"/>
            <w:hideMark/>
          </w:tcPr>
          <w:p w14:paraId="740E8FEF" w14:textId="77777777" w:rsidR="00DD531B" w:rsidRPr="00DD531B" w:rsidRDefault="00DD531B" w:rsidP="00DD531B">
            <w:pPr>
              <w:spacing w:after="0" w:line="240" w:lineRule="auto"/>
              <w:rPr>
                <w:rFonts w:ascii="Times New Roman" w:eastAsia="Times New Roman" w:hAnsi="Times New Roman" w:cs="Times New Roman"/>
                <w:color w:val="000000"/>
                <w:sz w:val="14"/>
                <w:szCs w:val="14"/>
                <w:lang w:eastAsia="sk-SK"/>
              </w:rPr>
            </w:pPr>
            <w:r w:rsidRPr="00DD531B">
              <w:rPr>
                <w:rFonts w:ascii="Times New Roman" w:eastAsia="Times New Roman" w:hAnsi="Times New Roman" w:cs="Times New Roman"/>
                <w:color w:val="000000"/>
                <w:sz w:val="14"/>
                <w:szCs w:val="14"/>
                <w:lang w:eastAsia="sk-SK"/>
              </w:rPr>
              <w:t>prostriedky POO a DPH k POO</w:t>
            </w:r>
          </w:p>
        </w:tc>
        <w:tc>
          <w:tcPr>
            <w:tcW w:w="414" w:type="pct"/>
            <w:tcBorders>
              <w:top w:val="nil"/>
              <w:left w:val="nil"/>
              <w:bottom w:val="single" w:sz="4" w:space="0" w:color="auto"/>
              <w:right w:val="nil"/>
            </w:tcBorders>
            <w:shd w:val="clear" w:color="auto" w:fill="auto"/>
            <w:noWrap/>
            <w:vAlign w:val="bottom"/>
            <w:hideMark/>
          </w:tcPr>
          <w:p w14:paraId="6DB4B2B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single" w:sz="4" w:space="0" w:color="auto"/>
              <w:right w:val="nil"/>
            </w:tcBorders>
            <w:shd w:val="clear" w:color="auto" w:fill="auto"/>
            <w:noWrap/>
            <w:vAlign w:val="bottom"/>
            <w:hideMark/>
          </w:tcPr>
          <w:p w14:paraId="48391017"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782</w:t>
            </w:r>
          </w:p>
        </w:tc>
        <w:tc>
          <w:tcPr>
            <w:tcW w:w="414" w:type="pct"/>
            <w:tcBorders>
              <w:top w:val="nil"/>
              <w:left w:val="nil"/>
              <w:bottom w:val="single" w:sz="4" w:space="0" w:color="auto"/>
              <w:right w:val="nil"/>
            </w:tcBorders>
            <w:shd w:val="clear" w:color="auto" w:fill="auto"/>
            <w:noWrap/>
            <w:vAlign w:val="bottom"/>
            <w:hideMark/>
          </w:tcPr>
          <w:p w14:paraId="502B14B3"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single" w:sz="4" w:space="0" w:color="auto"/>
              <w:right w:val="nil"/>
            </w:tcBorders>
            <w:shd w:val="clear" w:color="auto" w:fill="auto"/>
            <w:noWrap/>
            <w:vAlign w:val="bottom"/>
            <w:hideMark/>
          </w:tcPr>
          <w:p w14:paraId="1FC608C5"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26</w:t>
            </w:r>
          </w:p>
        </w:tc>
        <w:tc>
          <w:tcPr>
            <w:tcW w:w="414" w:type="pct"/>
            <w:tcBorders>
              <w:top w:val="nil"/>
              <w:left w:val="nil"/>
              <w:bottom w:val="single" w:sz="4" w:space="0" w:color="auto"/>
              <w:right w:val="nil"/>
            </w:tcBorders>
            <w:shd w:val="clear" w:color="auto" w:fill="auto"/>
            <w:noWrap/>
            <w:vAlign w:val="bottom"/>
            <w:hideMark/>
          </w:tcPr>
          <w:p w14:paraId="0B4B3D12"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single" w:sz="4" w:space="0" w:color="auto"/>
              <w:right w:val="nil"/>
            </w:tcBorders>
            <w:shd w:val="clear" w:color="auto" w:fill="auto"/>
            <w:noWrap/>
            <w:vAlign w:val="bottom"/>
            <w:hideMark/>
          </w:tcPr>
          <w:p w14:paraId="6072844C"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c>
          <w:tcPr>
            <w:tcW w:w="414" w:type="pct"/>
            <w:tcBorders>
              <w:top w:val="nil"/>
              <w:left w:val="nil"/>
              <w:bottom w:val="single" w:sz="4" w:space="0" w:color="auto"/>
              <w:right w:val="nil"/>
            </w:tcBorders>
            <w:shd w:val="clear" w:color="auto" w:fill="auto"/>
            <w:noWrap/>
            <w:vAlign w:val="bottom"/>
            <w:hideMark/>
          </w:tcPr>
          <w:p w14:paraId="244A509F" w14:textId="77777777" w:rsidR="00DD531B" w:rsidRPr="00DD531B" w:rsidRDefault="00DD531B" w:rsidP="00DD531B">
            <w:pPr>
              <w:spacing w:after="0" w:line="240" w:lineRule="auto"/>
              <w:jc w:val="right"/>
              <w:rPr>
                <w:rFonts w:ascii="Times New Roman" w:eastAsia="Times New Roman" w:hAnsi="Times New Roman" w:cs="Times New Roman"/>
                <w:sz w:val="14"/>
                <w:szCs w:val="14"/>
                <w:lang w:eastAsia="sk-SK"/>
              </w:rPr>
            </w:pPr>
            <w:r w:rsidRPr="00DD531B">
              <w:rPr>
                <w:rFonts w:ascii="Times New Roman" w:eastAsia="Times New Roman" w:hAnsi="Times New Roman" w:cs="Times New Roman"/>
                <w:sz w:val="14"/>
                <w:szCs w:val="14"/>
                <w:lang w:eastAsia="sk-SK"/>
              </w:rPr>
              <w:t>0</w:t>
            </w:r>
          </w:p>
        </w:tc>
      </w:tr>
    </w:tbl>
    <w:p w14:paraId="70D059AE" w14:textId="3A0CA592" w:rsidR="00DD531B" w:rsidRDefault="00DD531B" w:rsidP="00DD531B">
      <w:pPr>
        <w:rPr>
          <w:rFonts w:ascii="Times New Roman" w:eastAsia="Calibri" w:hAnsi="Times New Roman" w:cs="Times New Roman"/>
        </w:rPr>
      </w:pPr>
    </w:p>
    <w:p w14:paraId="1238B732" w14:textId="491C618F" w:rsidR="00170734" w:rsidRDefault="00170734" w:rsidP="00DD531B">
      <w:pPr>
        <w:rPr>
          <w:rFonts w:ascii="Times New Roman" w:eastAsia="Calibri" w:hAnsi="Times New Roman" w:cs="Times New Roman"/>
        </w:rPr>
      </w:pPr>
    </w:p>
    <w:p w14:paraId="60D793C6" w14:textId="2B6615E5" w:rsidR="00170734" w:rsidRDefault="00170734" w:rsidP="00DD531B">
      <w:pPr>
        <w:rPr>
          <w:rFonts w:ascii="Times New Roman" w:eastAsia="Calibri" w:hAnsi="Times New Roman" w:cs="Times New Roman"/>
        </w:rPr>
      </w:pPr>
    </w:p>
    <w:p w14:paraId="0662B781" w14:textId="0167EA43" w:rsidR="00170734" w:rsidRDefault="00170734" w:rsidP="00DD531B">
      <w:pPr>
        <w:rPr>
          <w:rFonts w:ascii="Times New Roman" w:eastAsia="Calibri" w:hAnsi="Times New Roman" w:cs="Times New Roman"/>
        </w:rPr>
      </w:pPr>
    </w:p>
    <w:p w14:paraId="0A92B1E2" w14:textId="39CF7047" w:rsidR="00170734" w:rsidRDefault="00170734" w:rsidP="00DD531B">
      <w:pPr>
        <w:rPr>
          <w:rFonts w:ascii="Times New Roman" w:eastAsia="Calibri" w:hAnsi="Times New Roman" w:cs="Times New Roman"/>
        </w:rPr>
      </w:pPr>
    </w:p>
    <w:p w14:paraId="661327EF" w14:textId="501DD5BA" w:rsidR="00170734" w:rsidRDefault="00170734" w:rsidP="00DD531B">
      <w:pPr>
        <w:rPr>
          <w:rFonts w:ascii="Times New Roman" w:eastAsia="Calibri" w:hAnsi="Times New Roman" w:cs="Times New Roman"/>
        </w:rPr>
      </w:pPr>
    </w:p>
    <w:p w14:paraId="239D2AF8" w14:textId="77777777" w:rsidR="00170734" w:rsidRPr="00DD531B" w:rsidRDefault="00170734" w:rsidP="00DD531B">
      <w:pPr>
        <w:rPr>
          <w:rFonts w:ascii="Times New Roman" w:eastAsia="Calibri" w:hAnsi="Times New Roman" w:cs="Times New Roman"/>
        </w:rPr>
      </w:pPr>
    </w:p>
    <w:p w14:paraId="040D5F33" w14:textId="5E143E1A" w:rsidR="00DD531B" w:rsidRPr="00837309" w:rsidRDefault="00DD531B" w:rsidP="00DD531B">
      <w:pPr>
        <w:keepNext/>
        <w:keepLines/>
        <w:spacing w:before="40" w:after="0"/>
        <w:outlineLvl w:val="1"/>
        <w:rPr>
          <w:rFonts w:ascii="Times New Roman" w:eastAsia="Times New Roman" w:hAnsi="Times New Roman" w:cs="Times New Roman"/>
          <w:b/>
          <w:color w:val="5B9BD5" w:themeColor="accent1"/>
          <w:sz w:val="24"/>
          <w:szCs w:val="24"/>
        </w:rPr>
      </w:pPr>
      <w:r w:rsidRPr="00837309">
        <w:rPr>
          <w:rFonts w:ascii="Times New Roman" w:eastAsia="Times New Roman" w:hAnsi="Times New Roman" w:cs="Times New Roman"/>
          <w:b/>
          <w:color w:val="5B9BD5" w:themeColor="accent1"/>
          <w:sz w:val="24"/>
          <w:szCs w:val="24"/>
        </w:rPr>
        <w:lastRenderedPageBreak/>
        <w:t>Slovenská akadémia vied</w:t>
      </w:r>
    </w:p>
    <w:p w14:paraId="1009EC17" w14:textId="77777777" w:rsidR="00DD531B" w:rsidRPr="00DD531B" w:rsidRDefault="00DD531B" w:rsidP="00DD531B">
      <w:pPr>
        <w:rPr>
          <w:rFonts w:ascii="Times New Roman" w:eastAsia="Calibri" w:hAnsi="Times New Roman" w:cs="Times New Roman"/>
        </w:rPr>
      </w:pPr>
    </w:p>
    <w:p w14:paraId="67B2E98C" w14:textId="7E6C83DF" w:rsidR="00DD531B" w:rsidRPr="00837309" w:rsidRDefault="00170734"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49" w:name="_Toc153013119"/>
      <w:r w:rsidRPr="00837309">
        <w:rPr>
          <w:rFonts w:ascii="Times New Roman" w:eastAsia="Times New Roman" w:hAnsi="Times New Roman" w:cs="Times New Roman"/>
          <w:b/>
          <w:iCs/>
          <w:color w:val="5B9BD5" w:themeColor="accent1"/>
          <w:sz w:val="20"/>
          <w:szCs w:val="20"/>
          <w:lang w:eastAsia="sk-SK"/>
        </w:rPr>
        <w:t xml:space="preserve">Tabuľka </w:t>
      </w:r>
      <w:r w:rsidRPr="00837309">
        <w:rPr>
          <w:rFonts w:ascii="Times New Roman" w:hAnsi="Times New Roman" w:cs="Times New Roman"/>
          <w:b/>
          <w:color w:val="5B9BD5" w:themeColor="accent1"/>
          <w:sz w:val="20"/>
          <w:szCs w:val="20"/>
        </w:rPr>
        <w:fldChar w:fldCharType="begin"/>
      </w:r>
      <w:r w:rsidRPr="00837309">
        <w:rPr>
          <w:rFonts w:ascii="Times New Roman" w:hAnsi="Times New Roman" w:cs="Times New Roman"/>
          <w:b/>
          <w:color w:val="5B9BD5" w:themeColor="accent1"/>
          <w:sz w:val="20"/>
          <w:szCs w:val="20"/>
        </w:rPr>
        <w:instrText xml:space="preserve"> SEQ Tabuľka \* ARABIC </w:instrText>
      </w:r>
      <w:r w:rsidRPr="00837309">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121</w:t>
      </w:r>
      <w:r w:rsidRPr="00837309">
        <w:rPr>
          <w:rFonts w:ascii="Times New Roman" w:hAnsi="Times New Roman" w:cs="Times New Roman"/>
          <w:b/>
          <w:color w:val="5B9BD5" w:themeColor="accent1"/>
          <w:sz w:val="20"/>
          <w:szCs w:val="20"/>
        </w:rPr>
        <w:fldChar w:fldCharType="end"/>
      </w:r>
      <w:r w:rsidRPr="00837309">
        <w:rPr>
          <w:rFonts w:ascii="Times New Roman" w:hAnsi="Times New Roman" w:cs="Times New Roman"/>
          <w:b/>
          <w:color w:val="5B9BD5" w:themeColor="accent1"/>
          <w:sz w:val="20"/>
          <w:szCs w:val="20"/>
        </w:rPr>
        <w:t xml:space="preserve"> - </w:t>
      </w:r>
      <w:r w:rsidR="00DD531B" w:rsidRPr="00837309">
        <w:rPr>
          <w:rFonts w:ascii="Times New Roman" w:eastAsia="Times New Roman" w:hAnsi="Times New Roman" w:cs="Times New Roman"/>
          <w:b/>
          <w:iCs/>
          <w:color w:val="5B9BD5" w:themeColor="accent1"/>
          <w:sz w:val="20"/>
          <w:szCs w:val="20"/>
          <w:lang w:eastAsia="sk-SK"/>
        </w:rPr>
        <w:t>Príjmy kapitoly SAV</w:t>
      </w:r>
      <w:bookmarkEnd w:id="249"/>
    </w:p>
    <w:tbl>
      <w:tblPr>
        <w:tblW w:w="5000" w:type="pct"/>
        <w:tblCellMar>
          <w:left w:w="70" w:type="dxa"/>
          <w:right w:w="70" w:type="dxa"/>
        </w:tblCellMar>
        <w:tblLook w:val="04A0" w:firstRow="1" w:lastRow="0" w:firstColumn="1" w:lastColumn="0" w:noHBand="0" w:noVBand="1"/>
      </w:tblPr>
      <w:tblGrid>
        <w:gridCol w:w="4707"/>
        <w:gridCol w:w="589"/>
        <w:gridCol w:w="598"/>
        <w:gridCol w:w="616"/>
        <w:gridCol w:w="714"/>
        <w:gridCol w:w="616"/>
        <w:gridCol w:w="616"/>
        <w:gridCol w:w="616"/>
      </w:tblGrid>
      <w:tr w:rsidR="00DD531B" w:rsidRPr="00DD531B" w14:paraId="74E356A5" w14:textId="77777777" w:rsidTr="001F24AE">
        <w:trPr>
          <w:trHeight w:val="300"/>
        </w:trPr>
        <w:tc>
          <w:tcPr>
            <w:tcW w:w="2608" w:type="pct"/>
            <w:tcBorders>
              <w:top w:val="single" w:sz="4" w:space="0" w:color="auto"/>
              <w:left w:val="nil"/>
              <w:bottom w:val="single" w:sz="4" w:space="0" w:color="auto"/>
              <w:right w:val="nil"/>
            </w:tcBorders>
            <w:shd w:val="clear" w:color="auto" w:fill="auto"/>
            <w:noWrap/>
            <w:vAlign w:val="center"/>
            <w:hideMark/>
          </w:tcPr>
          <w:p w14:paraId="55B68CBB" w14:textId="77777777" w:rsidR="00DD531B" w:rsidRPr="00837309" w:rsidRDefault="00DD531B" w:rsidP="00DD531B">
            <w:pPr>
              <w:spacing w:after="0" w:line="240" w:lineRule="auto"/>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v tis. eur</w:t>
            </w:r>
          </w:p>
        </w:tc>
        <w:tc>
          <w:tcPr>
            <w:tcW w:w="304" w:type="pct"/>
            <w:tcBorders>
              <w:top w:val="single" w:sz="4" w:space="0" w:color="auto"/>
              <w:left w:val="nil"/>
              <w:bottom w:val="single" w:sz="4" w:space="0" w:color="auto"/>
              <w:right w:val="nil"/>
            </w:tcBorders>
            <w:shd w:val="clear" w:color="auto" w:fill="auto"/>
            <w:noWrap/>
            <w:vAlign w:val="center"/>
            <w:hideMark/>
          </w:tcPr>
          <w:p w14:paraId="5741B8D9"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2021 S</w:t>
            </w:r>
          </w:p>
        </w:tc>
        <w:tc>
          <w:tcPr>
            <w:tcW w:w="343" w:type="pct"/>
            <w:tcBorders>
              <w:top w:val="single" w:sz="4" w:space="0" w:color="auto"/>
              <w:left w:val="nil"/>
              <w:bottom w:val="single" w:sz="4" w:space="0" w:color="auto"/>
              <w:right w:val="nil"/>
            </w:tcBorders>
            <w:shd w:val="clear" w:color="auto" w:fill="auto"/>
            <w:noWrap/>
            <w:vAlign w:val="center"/>
            <w:hideMark/>
          </w:tcPr>
          <w:p w14:paraId="0F5D51A6"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2022 S</w:t>
            </w:r>
          </w:p>
        </w:tc>
        <w:tc>
          <w:tcPr>
            <w:tcW w:w="343" w:type="pct"/>
            <w:tcBorders>
              <w:top w:val="single" w:sz="4" w:space="0" w:color="auto"/>
              <w:left w:val="nil"/>
              <w:bottom w:val="single" w:sz="4" w:space="0" w:color="auto"/>
              <w:right w:val="nil"/>
            </w:tcBorders>
            <w:shd w:val="clear" w:color="auto" w:fill="auto"/>
            <w:noWrap/>
            <w:vAlign w:val="center"/>
            <w:hideMark/>
          </w:tcPr>
          <w:p w14:paraId="0A12079A"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2023 R</w:t>
            </w:r>
          </w:p>
        </w:tc>
        <w:tc>
          <w:tcPr>
            <w:tcW w:w="373" w:type="pct"/>
            <w:tcBorders>
              <w:top w:val="single" w:sz="4" w:space="0" w:color="auto"/>
              <w:left w:val="nil"/>
              <w:bottom w:val="single" w:sz="4" w:space="0" w:color="auto"/>
              <w:right w:val="nil"/>
            </w:tcBorders>
            <w:shd w:val="clear" w:color="auto" w:fill="auto"/>
            <w:noWrap/>
            <w:vAlign w:val="center"/>
            <w:hideMark/>
          </w:tcPr>
          <w:p w14:paraId="70BA5E8F"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2023 OS</w:t>
            </w:r>
          </w:p>
        </w:tc>
        <w:tc>
          <w:tcPr>
            <w:tcW w:w="343" w:type="pct"/>
            <w:tcBorders>
              <w:top w:val="single" w:sz="4" w:space="0" w:color="auto"/>
              <w:left w:val="nil"/>
              <w:bottom w:val="single" w:sz="4" w:space="0" w:color="auto"/>
              <w:right w:val="nil"/>
            </w:tcBorders>
            <w:shd w:val="clear" w:color="auto" w:fill="auto"/>
            <w:noWrap/>
            <w:vAlign w:val="center"/>
            <w:hideMark/>
          </w:tcPr>
          <w:p w14:paraId="38CA75F5"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2024 N</w:t>
            </w:r>
          </w:p>
        </w:tc>
        <w:tc>
          <w:tcPr>
            <w:tcW w:w="343" w:type="pct"/>
            <w:tcBorders>
              <w:top w:val="single" w:sz="4" w:space="0" w:color="auto"/>
              <w:left w:val="nil"/>
              <w:bottom w:val="single" w:sz="4" w:space="0" w:color="auto"/>
              <w:right w:val="nil"/>
            </w:tcBorders>
            <w:shd w:val="clear" w:color="auto" w:fill="auto"/>
            <w:noWrap/>
            <w:vAlign w:val="center"/>
            <w:hideMark/>
          </w:tcPr>
          <w:p w14:paraId="4A1C01F5"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2025 N</w:t>
            </w:r>
          </w:p>
        </w:tc>
        <w:tc>
          <w:tcPr>
            <w:tcW w:w="343" w:type="pct"/>
            <w:tcBorders>
              <w:top w:val="single" w:sz="4" w:space="0" w:color="auto"/>
              <w:left w:val="nil"/>
              <w:bottom w:val="single" w:sz="4" w:space="0" w:color="auto"/>
              <w:right w:val="nil"/>
            </w:tcBorders>
            <w:shd w:val="clear" w:color="auto" w:fill="auto"/>
            <w:noWrap/>
            <w:vAlign w:val="center"/>
            <w:hideMark/>
          </w:tcPr>
          <w:p w14:paraId="2F83F88F"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2026 N</w:t>
            </w:r>
          </w:p>
        </w:tc>
      </w:tr>
      <w:tr w:rsidR="00DD531B" w:rsidRPr="00DD531B" w14:paraId="08B90234" w14:textId="77777777" w:rsidTr="001F24AE">
        <w:trPr>
          <w:trHeight w:val="300"/>
        </w:trPr>
        <w:tc>
          <w:tcPr>
            <w:tcW w:w="2608" w:type="pct"/>
            <w:tcBorders>
              <w:top w:val="nil"/>
              <w:left w:val="nil"/>
              <w:bottom w:val="nil"/>
              <w:right w:val="nil"/>
            </w:tcBorders>
            <w:shd w:val="clear" w:color="auto" w:fill="auto"/>
            <w:noWrap/>
            <w:vAlign w:val="bottom"/>
            <w:hideMark/>
          </w:tcPr>
          <w:p w14:paraId="507FE9D5" w14:textId="77777777" w:rsidR="00DD531B" w:rsidRPr="00837309" w:rsidRDefault="00DD531B" w:rsidP="00DD531B">
            <w:pPr>
              <w:spacing w:after="0" w:line="240" w:lineRule="auto"/>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Príjmy kapitoly spolu</w:t>
            </w:r>
          </w:p>
        </w:tc>
        <w:tc>
          <w:tcPr>
            <w:tcW w:w="304" w:type="pct"/>
            <w:tcBorders>
              <w:top w:val="nil"/>
              <w:left w:val="nil"/>
              <w:bottom w:val="nil"/>
              <w:right w:val="nil"/>
            </w:tcBorders>
            <w:shd w:val="clear" w:color="auto" w:fill="auto"/>
            <w:noWrap/>
            <w:vAlign w:val="bottom"/>
            <w:hideMark/>
          </w:tcPr>
          <w:p w14:paraId="563A6DD0" w14:textId="77777777" w:rsidR="00DD531B" w:rsidRPr="00837309"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1 871</w:t>
            </w:r>
          </w:p>
        </w:tc>
        <w:tc>
          <w:tcPr>
            <w:tcW w:w="343" w:type="pct"/>
            <w:tcBorders>
              <w:top w:val="nil"/>
              <w:left w:val="nil"/>
              <w:bottom w:val="nil"/>
              <w:right w:val="nil"/>
            </w:tcBorders>
            <w:shd w:val="clear" w:color="auto" w:fill="auto"/>
            <w:noWrap/>
            <w:vAlign w:val="bottom"/>
            <w:hideMark/>
          </w:tcPr>
          <w:p w14:paraId="1A93B1D0" w14:textId="77777777" w:rsidR="00DD531B" w:rsidRPr="00837309"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359</w:t>
            </w:r>
          </w:p>
        </w:tc>
        <w:tc>
          <w:tcPr>
            <w:tcW w:w="343" w:type="pct"/>
            <w:tcBorders>
              <w:top w:val="nil"/>
              <w:left w:val="nil"/>
              <w:bottom w:val="nil"/>
              <w:right w:val="nil"/>
            </w:tcBorders>
            <w:shd w:val="clear" w:color="auto" w:fill="auto"/>
            <w:noWrap/>
            <w:vAlign w:val="bottom"/>
            <w:hideMark/>
          </w:tcPr>
          <w:p w14:paraId="2F192599" w14:textId="77777777" w:rsidR="00DD531B" w:rsidRPr="00837309"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10 500</w:t>
            </w:r>
          </w:p>
        </w:tc>
        <w:tc>
          <w:tcPr>
            <w:tcW w:w="373" w:type="pct"/>
            <w:tcBorders>
              <w:top w:val="nil"/>
              <w:left w:val="nil"/>
              <w:bottom w:val="nil"/>
              <w:right w:val="nil"/>
            </w:tcBorders>
            <w:shd w:val="clear" w:color="auto" w:fill="auto"/>
            <w:noWrap/>
            <w:vAlign w:val="bottom"/>
            <w:hideMark/>
          </w:tcPr>
          <w:p w14:paraId="72C4186D" w14:textId="77777777" w:rsidR="00DD531B" w:rsidRPr="00837309"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10 681</w:t>
            </w:r>
          </w:p>
        </w:tc>
        <w:tc>
          <w:tcPr>
            <w:tcW w:w="343" w:type="pct"/>
            <w:tcBorders>
              <w:top w:val="nil"/>
              <w:left w:val="nil"/>
              <w:bottom w:val="nil"/>
              <w:right w:val="nil"/>
            </w:tcBorders>
            <w:shd w:val="clear" w:color="auto" w:fill="auto"/>
            <w:noWrap/>
            <w:vAlign w:val="bottom"/>
            <w:hideMark/>
          </w:tcPr>
          <w:p w14:paraId="67E9F020" w14:textId="77777777" w:rsidR="00DD531B" w:rsidRPr="00837309"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8 000</w:t>
            </w:r>
          </w:p>
        </w:tc>
        <w:tc>
          <w:tcPr>
            <w:tcW w:w="343" w:type="pct"/>
            <w:tcBorders>
              <w:top w:val="nil"/>
              <w:left w:val="nil"/>
              <w:bottom w:val="nil"/>
              <w:right w:val="nil"/>
            </w:tcBorders>
            <w:shd w:val="clear" w:color="auto" w:fill="auto"/>
            <w:noWrap/>
            <w:vAlign w:val="bottom"/>
            <w:hideMark/>
          </w:tcPr>
          <w:p w14:paraId="14ADF66F" w14:textId="77777777" w:rsidR="00DD531B" w:rsidRPr="00837309"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500</w:t>
            </w:r>
          </w:p>
        </w:tc>
        <w:tc>
          <w:tcPr>
            <w:tcW w:w="343" w:type="pct"/>
            <w:tcBorders>
              <w:top w:val="nil"/>
              <w:left w:val="nil"/>
              <w:bottom w:val="nil"/>
              <w:right w:val="nil"/>
            </w:tcBorders>
            <w:shd w:val="clear" w:color="auto" w:fill="auto"/>
            <w:noWrap/>
            <w:vAlign w:val="bottom"/>
            <w:hideMark/>
          </w:tcPr>
          <w:p w14:paraId="70D3CEFF" w14:textId="77777777" w:rsidR="00DD531B" w:rsidRPr="00837309"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500</w:t>
            </w:r>
          </w:p>
        </w:tc>
      </w:tr>
      <w:tr w:rsidR="00DD531B" w:rsidRPr="00DD531B" w14:paraId="1207BBF3" w14:textId="77777777" w:rsidTr="001F24AE">
        <w:trPr>
          <w:trHeight w:val="300"/>
        </w:trPr>
        <w:tc>
          <w:tcPr>
            <w:tcW w:w="2608" w:type="pct"/>
            <w:tcBorders>
              <w:top w:val="nil"/>
              <w:left w:val="nil"/>
              <w:bottom w:val="nil"/>
              <w:right w:val="nil"/>
            </w:tcBorders>
            <w:shd w:val="clear" w:color="auto" w:fill="auto"/>
            <w:noWrap/>
            <w:vAlign w:val="bottom"/>
            <w:hideMark/>
          </w:tcPr>
          <w:p w14:paraId="3C963838" w14:textId="77777777" w:rsidR="00DD531B" w:rsidRPr="00837309" w:rsidRDefault="00DD531B" w:rsidP="00DD531B">
            <w:pPr>
              <w:spacing w:after="0" w:line="240" w:lineRule="auto"/>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nedaňové príjmy</w:t>
            </w:r>
          </w:p>
        </w:tc>
        <w:tc>
          <w:tcPr>
            <w:tcW w:w="304" w:type="pct"/>
            <w:tcBorders>
              <w:top w:val="nil"/>
              <w:left w:val="nil"/>
              <w:bottom w:val="nil"/>
              <w:right w:val="nil"/>
            </w:tcBorders>
            <w:shd w:val="clear" w:color="auto" w:fill="auto"/>
            <w:noWrap/>
            <w:vAlign w:val="bottom"/>
            <w:hideMark/>
          </w:tcPr>
          <w:p w14:paraId="69F78014"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1 871</w:t>
            </w:r>
          </w:p>
        </w:tc>
        <w:tc>
          <w:tcPr>
            <w:tcW w:w="343" w:type="pct"/>
            <w:tcBorders>
              <w:top w:val="nil"/>
              <w:left w:val="nil"/>
              <w:bottom w:val="nil"/>
              <w:right w:val="nil"/>
            </w:tcBorders>
            <w:shd w:val="clear" w:color="auto" w:fill="auto"/>
            <w:noWrap/>
            <w:vAlign w:val="bottom"/>
            <w:hideMark/>
          </w:tcPr>
          <w:p w14:paraId="56F960E5"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354</w:t>
            </w:r>
          </w:p>
        </w:tc>
        <w:tc>
          <w:tcPr>
            <w:tcW w:w="343" w:type="pct"/>
            <w:tcBorders>
              <w:top w:val="nil"/>
              <w:left w:val="nil"/>
              <w:bottom w:val="nil"/>
              <w:right w:val="nil"/>
            </w:tcBorders>
            <w:shd w:val="clear" w:color="auto" w:fill="auto"/>
            <w:noWrap/>
            <w:vAlign w:val="bottom"/>
            <w:hideMark/>
          </w:tcPr>
          <w:p w14:paraId="38072508"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10 500</w:t>
            </w:r>
          </w:p>
        </w:tc>
        <w:tc>
          <w:tcPr>
            <w:tcW w:w="373" w:type="pct"/>
            <w:tcBorders>
              <w:top w:val="nil"/>
              <w:left w:val="nil"/>
              <w:bottom w:val="nil"/>
              <w:right w:val="nil"/>
            </w:tcBorders>
            <w:shd w:val="clear" w:color="auto" w:fill="auto"/>
            <w:noWrap/>
            <w:vAlign w:val="bottom"/>
            <w:hideMark/>
          </w:tcPr>
          <w:p w14:paraId="052476B5"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10 681</w:t>
            </w:r>
          </w:p>
        </w:tc>
        <w:tc>
          <w:tcPr>
            <w:tcW w:w="343" w:type="pct"/>
            <w:tcBorders>
              <w:top w:val="nil"/>
              <w:left w:val="nil"/>
              <w:bottom w:val="nil"/>
              <w:right w:val="nil"/>
            </w:tcBorders>
            <w:shd w:val="clear" w:color="auto" w:fill="auto"/>
            <w:noWrap/>
            <w:vAlign w:val="bottom"/>
            <w:hideMark/>
          </w:tcPr>
          <w:p w14:paraId="62EAA637"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8 000</w:t>
            </w:r>
          </w:p>
        </w:tc>
        <w:tc>
          <w:tcPr>
            <w:tcW w:w="343" w:type="pct"/>
            <w:tcBorders>
              <w:top w:val="nil"/>
              <w:left w:val="nil"/>
              <w:bottom w:val="nil"/>
              <w:right w:val="nil"/>
            </w:tcBorders>
            <w:shd w:val="clear" w:color="auto" w:fill="auto"/>
            <w:noWrap/>
            <w:vAlign w:val="bottom"/>
            <w:hideMark/>
          </w:tcPr>
          <w:p w14:paraId="5EF7691D"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500</w:t>
            </w:r>
          </w:p>
        </w:tc>
        <w:tc>
          <w:tcPr>
            <w:tcW w:w="343" w:type="pct"/>
            <w:tcBorders>
              <w:top w:val="nil"/>
              <w:left w:val="nil"/>
              <w:bottom w:val="nil"/>
              <w:right w:val="nil"/>
            </w:tcBorders>
            <w:shd w:val="clear" w:color="auto" w:fill="auto"/>
            <w:noWrap/>
            <w:vAlign w:val="bottom"/>
            <w:hideMark/>
          </w:tcPr>
          <w:p w14:paraId="54887545"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500</w:t>
            </w:r>
          </w:p>
        </w:tc>
      </w:tr>
      <w:tr w:rsidR="00DD531B" w:rsidRPr="00DD531B" w14:paraId="1427D209" w14:textId="77777777" w:rsidTr="001F24AE">
        <w:trPr>
          <w:trHeight w:val="300"/>
        </w:trPr>
        <w:tc>
          <w:tcPr>
            <w:tcW w:w="2608" w:type="pct"/>
            <w:tcBorders>
              <w:top w:val="nil"/>
              <w:left w:val="nil"/>
              <w:bottom w:val="single" w:sz="4" w:space="0" w:color="auto"/>
              <w:right w:val="nil"/>
            </w:tcBorders>
            <w:shd w:val="clear" w:color="auto" w:fill="auto"/>
            <w:noWrap/>
            <w:vAlign w:val="bottom"/>
            <w:hideMark/>
          </w:tcPr>
          <w:p w14:paraId="4DC2119F" w14:textId="77777777" w:rsidR="00DD531B" w:rsidRPr="00837309" w:rsidRDefault="00DD531B" w:rsidP="00DD531B">
            <w:pPr>
              <w:spacing w:after="0" w:line="240" w:lineRule="auto"/>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prostriedky podľa § 17 ods. 4 a § 22 ods. 4 zákona č. 523/2004 Z. z.</w:t>
            </w:r>
          </w:p>
        </w:tc>
        <w:tc>
          <w:tcPr>
            <w:tcW w:w="304" w:type="pct"/>
            <w:tcBorders>
              <w:top w:val="nil"/>
              <w:left w:val="nil"/>
              <w:bottom w:val="single" w:sz="4" w:space="0" w:color="auto"/>
              <w:right w:val="nil"/>
            </w:tcBorders>
            <w:shd w:val="clear" w:color="auto" w:fill="auto"/>
            <w:noWrap/>
            <w:vAlign w:val="bottom"/>
            <w:hideMark/>
          </w:tcPr>
          <w:p w14:paraId="292AF161"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43" w:type="pct"/>
            <w:tcBorders>
              <w:top w:val="nil"/>
              <w:left w:val="nil"/>
              <w:bottom w:val="single" w:sz="4" w:space="0" w:color="auto"/>
              <w:right w:val="nil"/>
            </w:tcBorders>
            <w:shd w:val="clear" w:color="auto" w:fill="auto"/>
            <w:noWrap/>
            <w:vAlign w:val="bottom"/>
            <w:hideMark/>
          </w:tcPr>
          <w:p w14:paraId="6F7AF04D"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w:t>
            </w:r>
          </w:p>
        </w:tc>
        <w:tc>
          <w:tcPr>
            <w:tcW w:w="343" w:type="pct"/>
            <w:tcBorders>
              <w:top w:val="nil"/>
              <w:left w:val="nil"/>
              <w:bottom w:val="single" w:sz="4" w:space="0" w:color="auto"/>
              <w:right w:val="nil"/>
            </w:tcBorders>
            <w:shd w:val="clear" w:color="auto" w:fill="auto"/>
            <w:noWrap/>
            <w:vAlign w:val="bottom"/>
            <w:hideMark/>
          </w:tcPr>
          <w:p w14:paraId="5A61A08C"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73" w:type="pct"/>
            <w:tcBorders>
              <w:top w:val="nil"/>
              <w:left w:val="nil"/>
              <w:bottom w:val="single" w:sz="4" w:space="0" w:color="auto"/>
              <w:right w:val="nil"/>
            </w:tcBorders>
            <w:shd w:val="clear" w:color="auto" w:fill="auto"/>
            <w:noWrap/>
            <w:vAlign w:val="bottom"/>
            <w:hideMark/>
          </w:tcPr>
          <w:p w14:paraId="6E590E52"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43" w:type="pct"/>
            <w:tcBorders>
              <w:top w:val="nil"/>
              <w:left w:val="nil"/>
              <w:bottom w:val="single" w:sz="4" w:space="0" w:color="auto"/>
              <w:right w:val="nil"/>
            </w:tcBorders>
            <w:shd w:val="clear" w:color="auto" w:fill="auto"/>
            <w:noWrap/>
            <w:vAlign w:val="bottom"/>
            <w:hideMark/>
          </w:tcPr>
          <w:p w14:paraId="69875C78"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43" w:type="pct"/>
            <w:tcBorders>
              <w:top w:val="nil"/>
              <w:left w:val="nil"/>
              <w:bottom w:val="single" w:sz="4" w:space="0" w:color="auto"/>
              <w:right w:val="nil"/>
            </w:tcBorders>
            <w:shd w:val="clear" w:color="auto" w:fill="auto"/>
            <w:noWrap/>
            <w:vAlign w:val="bottom"/>
            <w:hideMark/>
          </w:tcPr>
          <w:p w14:paraId="08F34B07"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43" w:type="pct"/>
            <w:tcBorders>
              <w:top w:val="nil"/>
              <w:left w:val="nil"/>
              <w:bottom w:val="single" w:sz="4" w:space="0" w:color="auto"/>
              <w:right w:val="nil"/>
            </w:tcBorders>
            <w:shd w:val="clear" w:color="auto" w:fill="auto"/>
            <w:noWrap/>
            <w:vAlign w:val="bottom"/>
            <w:hideMark/>
          </w:tcPr>
          <w:p w14:paraId="78920070"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r>
    </w:tbl>
    <w:p w14:paraId="56B154CC" w14:textId="77777777" w:rsidR="00DD531B" w:rsidRPr="00837309" w:rsidRDefault="00DD531B" w:rsidP="00DD531B">
      <w:pPr>
        <w:rPr>
          <w:rFonts w:ascii="Times New Roman" w:eastAsia="Calibri" w:hAnsi="Times New Roman" w:cs="Times New Roman"/>
          <w:color w:val="5B9BD5" w:themeColor="accent1"/>
        </w:rPr>
      </w:pPr>
    </w:p>
    <w:p w14:paraId="6C0EF26B" w14:textId="01CA2BC3" w:rsidR="00DD531B" w:rsidRPr="00837309" w:rsidRDefault="00837309"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50" w:name="_Toc153013120"/>
      <w:r w:rsidRPr="00837309">
        <w:rPr>
          <w:rFonts w:ascii="Times New Roman" w:eastAsia="Times New Roman" w:hAnsi="Times New Roman" w:cs="Times New Roman"/>
          <w:b/>
          <w:iCs/>
          <w:color w:val="5B9BD5" w:themeColor="accent1"/>
          <w:sz w:val="20"/>
          <w:szCs w:val="20"/>
          <w:lang w:eastAsia="sk-SK"/>
        </w:rPr>
        <w:t xml:space="preserve">Tabuľka </w:t>
      </w:r>
      <w:r w:rsidRPr="00837309">
        <w:rPr>
          <w:rFonts w:ascii="Times New Roman" w:hAnsi="Times New Roman" w:cs="Times New Roman"/>
          <w:b/>
          <w:color w:val="5B9BD5" w:themeColor="accent1"/>
          <w:sz w:val="20"/>
          <w:szCs w:val="20"/>
        </w:rPr>
        <w:fldChar w:fldCharType="begin"/>
      </w:r>
      <w:r w:rsidRPr="00837309">
        <w:rPr>
          <w:rFonts w:ascii="Times New Roman" w:hAnsi="Times New Roman" w:cs="Times New Roman"/>
          <w:b/>
          <w:color w:val="5B9BD5" w:themeColor="accent1"/>
          <w:sz w:val="20"/>
          <w:szCs w:val="20"/>
        </w:rPr>
        <w:instrText xml:space="preserve"> SEQ Tabuľka \* ARABIC </w:instrText>
      </w:r>
      <w:r w:rsidRPr="00837309">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122</w:t>
      </w:r>
      <w:r w:rsidRPr="00837309">
        <w:rPr>
          <w:rFonts w:ascii="Times New Roman" w:hAnsi="Times New Roman" w:cs="Times New Roman"/>
          <w:b/>
          <w:color w:val="5B9BD5" w:themeColor="accent1"/>
          <w:sz w:val="20"/>
          <w:szCs w:val="20"/>
        </w:rPr>
        <w:fldChar w:fldCharType="end"/>
      </w:r>
      <w:r w:rsidRPr="00837309">
        <w:rPr>
          <w:rFonts w:ascii="Times New Roman" w:hAnsi="Times New Roman" w:cs="Times New Roman"/>
          <w:b/>
          <w:color w:val="5B9BD5" w:themeColor="accent1"/>
          <w:sz w:val="20"/>
          <w:szCs w:val="20"/>
        </w:rPr>
        <w:t xml:space="preserve"> - </w:t>
      </w:r>
      <w:r w:rsidR="00DD531B" w:rsidRPr="00837309">
        <w:rPr>
          <w:rFonts w:ascii="Times New Roman" w:eastAsia="Times New Roman" w:hAnsi="Times New Roman" w:cs="Times New Roman"/>
          <w:b/>
          <w:iCs/>
          <w:color w:val="5B9BD5" w:themeColor="accent1"/>
          <w:sz w:val="20"/>
          <w:szCs w:val="20"/>
          <w:lang w:eastAsia="sk-SK"/>
        </w:rPr>
        <w:t>Výdavky kapitoly SAV</w:t>
      </w:r>
      <w:bookmarkEnd w:id="250"/>
    </w:p>
    <w:tbl>
      <w:tblPr>
        <w:tblW w:w="5000" w:type="pct"/>
        <w:tblLayout w:type="fixed"/>
        <w:tblCellMar>
          <w:left w:w="70" w:type="dxa"/>
          <w:right w:w="70" w:type="dxa"/>
        </w:tblCellMar>
        <w:tblLook w:val="04A0" w:firstRow="1" w:lastRow="0" w:firstColumn="1" w:lastColumn="0" w:noHBand="0" w:noVBand="1"/>
      </w:tblPr>
      <w:tblGrid>
        <w:gridCol w:w="3971"/>
        <w:gridCol w:w="753"/>
        <w:gridCol w:w="666"/>
        <w:gridCol w:w="709"/>
        <w:gridCol w:w="849"/>
        <w:gridCol w:w="709"/>
        <w:gridCol w:w="711"/>
        <w:gridCol w:w="704"/>
      </w:tblGrid>
      <w:tr w:rsidR="00DD531B" w:rsidRPr="00837309" w14:paraId="1E6A473D" w14:textId="77777777" w:rsidTr="00837309">
        <w:trPr>
          <w:trHeight w:val="300"/>
        </w:trPr>
        <w:tc>
          <w:tcPr>
            <w:tcW w:w="2188" w:type="pct"/>
            <w:tcBorders>
              <w:top w:val="single" w:sz="4" w:space="0" w:color="auto"/>
              <w:left w:val="nil"/>
              <w:bottom w:val="single" w:sz="4" w:space="0" w:color="auto"/>
              <w:right w:val="nil"/>
            </w:tcBorders>
            <w:shd w:val="clear" w:color="auto" w:fill="auto"/>
            <w:noWrap/>
            <w:vAlign w:val="center"/>
            <w:hideMark/>
          </w:tcPr>
          <w:p w14:paraId="1476EAAF" w14:textId="77777777" w:rsidR="00DD531B" w:rsidRPr="00837309" w:rsidRDefault="00DD531B" w:rsidP="00DD531B">
            <w:pPr>
              <w:spacing w:after="0" w:line="240" w:lineRule="auto"/>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v tis. eur</w:t>
            </w:r>
          </w:p>
        </w:tc>
        <w:tc>
          <w:tcPr>
            <w:tcW w:w="415" w:type="pct"/>
            <w:tcBorders>
              <w:top w:val="single" w:sz="4" w:space="0" w:color="auto"/>
              <w:left w:val="nil"/>
              <w:bottom w:val="single" w:sz="4" w:space="0" w:color="auto"/>
              <w:right w:val="nil"/>
            </w:tcBorders>
            <w:shd w:val="clear" w:color="auto" w:fill="auto"/>
            <w:noWrap/>
            <w:vAlign w:val="center"/>
            <w:hideMark/>
          </w:tcPr>
          <w:p w14:paraId="31160023"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2021 S</w:t>
            </w:r>
          </w:p>
        </w:tc>
        <w:tc>
          <w:tcPr>
            <w:tcW w:w="367" w:type="pct"/>
            <w:tcBorders>
              <w:top w:val="single" w:sz="4" w:space="0" w:color="auto"/>
              <w:left w:val="nil"/>
              <w:bottom w:val="single" w:sz="4" w:space="0" w:color="auto"/>
              <w:right w:val="nil"/>
            </w:tcBorders>
            <w:shd w:val="clear" w:color="auto" w:fill="auto"/>
            <w:noWrap/>
            <w:vAlign w:val="center"/>
            <w:hideMark/>
          </w:tcPr>
          <w:p w14:paraId="340FF9E9"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2022 S</w:t>
            </w:r>
          </w:p>
        </w:tc>
        <w:tc>
          <w:tcPr>
            <w:tcW w:w="391" w:type="pct"/>
            <w:tcBorders>
              <w:top w:val="single" w:sz="4" w:space="0" w:color="auto"/>
              <w:left w:val="nil"/>
              <w:bottom w:val="single" w:sz="4" w:space="0" w:color="auto"/>
              <w:right w:val="nil"/>
            </w:tcBorders>
            <w:shd w:val="clear" w:color="auto" w:fill="auto"/>
            <w:noWrap/>
            <w:vAlign w:val="center"/>
            <w:hideMark/>
          </w:tcPr>
          <w:p w14:paraId="63F32626"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2023 R</w:t>
            </w:r>
          </w:p>
        </w:tc>
        <w:tc>
          <w:tcPr>
            <w:tcW w:w="468" w:type="pct"/>
            <w:tcBorders>
              <w:top w:val="single" w:sz="4" w:space="0" w:color="auto"/>
              <w:left w:val="nil"/>
              <w:bottom w:val="single" w:sz="4" w:space="0" w:color="auto"/>
              <w:right w:val="nil"/>
            </w:tcBorders>
            <w:shd w:val="clear" w:color="auto" w:fill="auto"/>
            <w:noWrap/>
            <w:vAlign w:val="center"/>
            <w:hideMark/>
          </w:tcPr>
          <w:p w14:paraId="020B7D17"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2023 OS</w:t>
            </w:r>
          </w:p>
        </w:tc>
        <w:tc>
          <w:tcPr>
            <w:tcW w:w="391" w:type="pct"/>
            <w:tcBorders>
              <w:top w:val="single" w:sz="4" w:space="0" w:color="auto"/>
              <w:left w:val="nil"/>
              <w:bottom w:val="single" w:sz="4" w:space="0" w:color="auto"/>
              <w:right w:val="nil"/>
            </w:tcBorders>
            <w:shd w:val="clear" w:color="auto" w:fill="auto"/>
            <w:noWrap/>
            <w:vAlign w:val="center"/>
            <w:hideMark/>
          </w:tcPr>
          <w:p w14:paraId="0DCA8372"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2024 N</w:t>
            </w:r>
          </w:p>
        </w:tc>
        <w:tc>
          <w:tcPr>
            <w:tcW w:w="392" w:type="pct"/>
            <w:tcBorders>
              <w:top w:val="single" w:sz="4" w:space="0" w:color="auto"/>
              <w:left w:val="nil"/>
              <w:bottom w:val="single" w:sz="4" w:space="0" w:color="auto"/>
              <w:right w:val="nil"/>
            </w:tcBorders>
            <w:shd w:val="clear" w:color="auto" w:fill="auto"/>
            <w:noWrap/>
            <w:vAlign w:val="center"/>
            <w:hideMark/>
          </w:tcPr>
          <w:p w14:paraId="2D2166B6"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2025 N</w:t>
            </w:r>
          </w:p>
        </w:tc>
        <w:tc>
          <w:tcPr>
            <w:tcW w:w="389" w:type="pct"/>
            <w:tcBorders>
              <w:top w:val="single" w:sz="4" w:space="0" w:color="auto"/>
              <w:left w:val="nil"/>
              <w:bottom w:val="single" w:sz="4" w:space="0" w:color="auto"/>
              <w:right w:val="nil"/>
            </w:tcBorders>
            <w:shd w:val="clear" w:color="auto" w:fill="auto"/>
            <w:noWrap/>
            <w:vAlign w:val="center"/>
            <w:hideMark/>
          </w:tcPr>
          <w:p w14:paraId="756E2ABB"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2026 N</w:t>
            </w:r>
          </w:p>
        </w:tc>
      </w:tr>
      <w:tr w:rsidR="00DD531B" w:rsidRPr="00DD531B" w14:paraId="01D2262C" w14:textId="77777777" w:rsidTr="00837309">
        <w:trPr>
          <w:trHeight w:val="300"/>
        </w:trPr>
        <w:tc>
          <w:tcPr>
            <w:tcW w:w="2188" w:type="pct"/>
            <w:tcBorders>
              <w:top w:val="nil"/>
              <w:left w:val="nil"/>
              <w:bottom w:val="nil"/>
              <w:right w:val="nil"/>
            </w:tcBorders>
            <w:shd w:val="clear" w:color="auto" w:fill="auto"/>
            <w:noWrap/>
            <w:vAlign w:val="center"/>
            <w:hideMark/>
          </w:tcPr>
          <w:p w14:paraId="6E3BBA03" w14:textId="77777777" w:rsidR="00DD531B" w:rsidRPr="00837309" w:rsidRDefault="00DD531B" w:rsidP="00DD531B">
            <w:pPr>
              <w:spacing w:after="0" w:line="240" w:lineRule="auto"/>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Výdavky kapitoly spolu</w:t>
            </w:r>
          </w:p>
        </w:tc>
        <w:tc>
          <w:tcPr>
            <w:tcW w:w="415" w:type="pct"/>
            <w:tcBorders>
              <w:top w:val="nil"/>
              <w:left w:val="nil"/>
              <w:bottom w:val="nil"/>
              <w:right w:val="nil"/>
            </w:tcBorders>
            <w:shd w:val="clear" w:color="auto" w:fill="auto"/>
            <w:noWrap/>
            <w:vAlign w:val="center"/>
            <w:hideMark/>
          </w:tcPr>
          <w:p w14:paraId="045BF08A"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89 442</w:t>
            </w:r>
          </w:p>
        </w:tc>
        <w:tc>
          <w:tcPr>
            <w:tcW w:w="367" w:type="pct"/>
            <w:tcBorders>
              <w:top w:val="nil"/>
              <w:left w:val="nil"/>
              <w:bottom w:val="nil"/>
              <w:right w:val="nil"/>
            </w:tcBorders>
            <w:shd w:val="clear" w:color="auto" w:fill="auto"/>
            <w:noWrap/>
            <w:vAlign w:val="center"/>
            <w:hideMark/>
          </w:tcPr>
          <w:p w14:paraId="5627A3E4"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107 369</w:t>
            </w:r>
          </w:p>
        </w:tc>
        <w:tc>
          <w:tcPr>
            <w:tcW w:w="391" w:type="pct"/>
            <w:tcBorders>
              <w:top w:val="nil"/>
              <w:left w:val="nil"/>
              <w:bottom w:val="nil"/>
              <w:right w:val="nil"/>
            </w:tcBorders>
            <w:shd w:val="clear" w:color="auto" w:fill="auto"/>
            <w:noWrap/>
            <w:vAlign w:val="center"/>
            <w:hideMark/>
          </w:tcPr>
          <w:p w14:paraId="49C73FCA"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113 744</w:t>
            </w:r>
          </w:p>
        </w:tc>
        <w:tc>
          <w:tcPr>
            <w:tcW w:w="468" w:type="pct"/>
            <w:tcBorders>
              <w:top w:val="nil"/>
              <w:left w:val="nil"/>
              <w:bottom w:val="nil"/>
              <w:right w:val="nil"/>
            </w:tcBorders>
            <w:shd w:val="clear" w:color="auto" w:fill="auto"/>
            <w:noWrap/>
            <w:vAlign w:val="center"/>
            <w:hideMark/>
          </w:tcPr>
          <w:p w14:paraId="7BE6F9AD"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125 603</w:t>
            </w:r>
          </w:p>
        </w:tc>
        <w:tc>
          <w:tcPr>
            <w:tcW w:w="391" w:type="pct"/>
            <w:tcBorders>
              <w:top w:val="nil"/>
              <w:left w:val="nil"/>
              <w:bottom w:val="nil"/>
              <w:right w:val="nil"/>
            </w:tcBorders>
            <w:shd w:val="clear" w:color="auto" w:fill="auto"/>
            <w:noWrap/>
            <w:vAlign w:val="center"/>
            <w:hideMark/>
          </w:tcPr>
          <w:p w14:paraId="6705651F"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125 655</w:t>
            </w:r>
          </w:p>
        </w:tc>
        <w:tc>
          <w:tcPr>
            <w:tcW w:w="392" w:type="pct"/>
            <w:tcBorders>
              <w:top w:val="nil"/>
              <w:left w:val="nil"/>
              <w:bottom w:val="nil"/>
              <w:right w:val="nil"/>
            </w:tcBorders>
            <w:shd w:val="clear" w:color="auto" w:fill="auto"/>
            <w:noWrap/>
            <w:vAlign w:val="center"/>
            <w:hideMark/>
          </w:tcPr>
          <w:p w14:paraId="55053917"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119 811</w:t>
            </w:r>
          </w:p>
        </w:tc>
        <w:tc>
          <w:tcPr>
            <w:tcW w:w="389" w:type="pct"/>
            <w:tcBorders>
              <w:top w:val="nil"/>
              <w:left w:val="nil"/>
              <w:bottom w:val="nil"/>
              <w:right w:val="nil"/>
            </w:tcBorders>
            <w:shd w:val="clear" w:color="auto" w:fill="auto"/>
            <w:noWrap/>
            <w:vAlign w:val="center"/>
            <w:hideMark/>
          </w:tcPr>
          <w:p w14:paraId="446C1799"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119 319</w:t>
            </w:r>
          </w:p>
        </w:tc>
      </w:tr>
      <w:tr w:rsidR="00DD531B" w:rsidRPr="00DD531B" w14:paraId="489DA299" w14:textId="77777777" w:rsidTr="00837309">
        <w:trPr>
          <w:trHeight w:val="300"/>
        </w:trPr>
        <w:tc>
          <w:tcPr>
            <w:tcW w:w="2188" w:type="pct"/>
            <w:tcBorders>
              <w:top w:val="nil"/>
              <w:left w:val="nil"/>
              <w:bottom w:val="nil"/>
              <w:right w:val="nil"/>
            </w:tcBorders>
            <w:shd w:val="clear" w:color="auto" w:fill="auto"/>
            <w:noWrap/>
            <w:vAlign w:val="bottom"/>
            <w:hideMark/>
          </w:tcPr>
          <w:p w14:paraId="760F1470" w14:textId="77777777" w:rsidR="00DD531B" w:rsidRPr="00837309" w:rsidRDefault="00DD531B" w:rsidP="00DD531B">
            <w:pPr>
              <w:spacing w:after="0" w:line="240" w:lineRule="auto"/>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rozpočtové zdroje kapitoly</w:t>
            </w:r>
          </w:p>
        </w:tc>
        <w:tc>
          <w:tcPr>
            <w:tcW w:w="415" w:type="pct"/>
            <w:tcBorders>
              <w:top w:val="nil"/>
              <w:left w:val="nil"/>
              <w:bottom w:val="nil"/>
              <w:right w:val="nil"/>
            </w:tcBorders>
            <w:shd w:val="clear" w:color="auto" w:fill="auto"/>
            <w:noWrap/>
            <w:vAlign w:val="bottom"/>
            <w:hideMark/>
          </w:tcPr>
          <w:p w14:paraId="3B8FFE35"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86 918</w:t>
            </w:r>
          </w:p>
        </w:tc>
        <w:tc>
          <w:tcPr>
            <w:tcW w:w="367" w:type="pct"/>
            <w:tcBorders>
              <w:top w:val="nil"/>
              <w:left w:val="nil"/>
              <w:bottom w:val="nil"/>
              <w:right w:val="nil"/>
            </w:tcBorders>
            <w:shd w:val="clear" w:color="auto" w:fill="auto"/>
            <w:noWrap/>
            <w:vAlign w:val="bottom"/>
            <w:hideMark/>
          </w:tcPr>
          <w:p w14:paraId="1E1808DA"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88 641</w:t>
            </w:r>
          </w:p>
        </w:tc>
        <w:tc>
          <w:tcPr>
            <w:tcW w:w="391" w:type="pct"/>
            <w:tcBorders>
              <w:top w:val="nil"/>
              <w:left w:val="nil"/>
              <w:bottom w:val="nil"/>
              <w:right w:val="nil"/>
            </w:tcBorders>
            <w:shd w:val="clear" w:color="auto" w:fill="auto"/>
            <w:noWrap/>
            <w:vAlign w:val="bottom"/>
            <w:hideMark/>
          </w:tcPr>
          <w:p w14:paraId="1B18659E"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113 744</w:t>
            </w:r>
          </w:p>
        </w:tc>
        <w:tc>
          <w:tcPr>
            <w:tcW w:w="468" w:type="pct"/>
            <w:tcBorders>
              <w:top w:val="nil"/>
              <w:left w:val="nil"/>
              <w:bottom w:val="nil"/>
              <w:right w:val="nil"/>
            </w:tcBorders>
            <w:shd w:val="clear" w:color="auto" w:fill="auto"/>
            <w:noWrap/>
            <w:vAlign w:val="bottom"/>
            <w:hideMark/>
          </w:tcPr>
          <w:p w14:paraId="11FF30BF"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117 308</w:t>
            </w:r>
          </w:p>
        </w:tc>
        <w:tc>
          <w:tcPr>
            <w:tcW w:w="391" w:type="pct"/>
            <w:tcBorders>
              <w:top w:val="nil"/>
              <w:left w:val="nil"/>
              <w:bottom w:val="nil"/>
              <w:right w:val="nil"/>
            </w:tcBorders>
            <w:shd w:val="clear" w:color="auto" w:fill="auto"/>
            <w:noWrap/>
            <w:vAlign w:val="bottom"/>
            <w:hideMark/>
          </w:tcPr>
          <w:p w14:paraId="05FDDAC5"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125 655</w:t>
            </w:r>
          </w:p>
        </w:tc>
        <w:tc>
          <w:tcPr>
            <w:tcW w:w="392" w:type="pct"/>
            <w:tcBorders>
              <w:top w:val="nil"/>
              <w:left w:val="nil"/>
              <w:bottom w:val="nil"/>
              <w:right w:val="nil"/>
            </w:tcBorders>
            <w:shd w:val="clear" w:color="auto" w:fill="auto"/>
            <w:noWrap/>
            <w:vAlign w:val="bottom"/>
            <w:hideMark/>
          </w:tcPr>
          <w:p w14:paraId="76BE60B3"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119 811</w:t>
            </w:r>
          </w:p>
        </w:tc>
        <w:tc>
          <w:tcPr>
            <w:tcW w:w="389" w:type="pct"/>
            <w:tcBorders>
              <w:top w:val="nil"/>
              <w:left w:val="nil"/>
              <w:bottom w:val="nil"/>
              <w:right w:val="nil"/>
            </w:tcBorders>
            <w:shd w:val="clear" w:color="auto" w:fill="auto"/>
            <w:noWrap/>
            <w:vAlign w:val="bottom"/>
            <w:hideMark/>
          </w:tcPr>
          <w:p w14:paraId="0090A885"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119 319</w:t>
            </w:r>
          </w:p>
        </w:tc>
      </w:tr>
      <w:tr w:rsidR="00DD531B" w:rsidRPr="00DD531B" w14:paraId="0421C0AD" w14:textId="77777777" w:rsidTr="00837309">
        <w:trPr>
          <w:trHeight w:val="300"/>
        </w:trPr>
        <w:tc>
          <w:tcPr>
            <w:tcW w:w="2188" w:type="pct"/>
            <w:tcBorders>
              <w:top w:val="nil"/>
              <w:left w:val="nil"/>
              <w:bottom w:val="nil"/>
              <w:right w:val="nil"/>
            </w:tcBorders>
            <w:shd w:val="clear" w:color="auto" w:fill="auto"/>
            <w:noWrap/>
            <w:vAlign w:val="bottom"/>
            <w:hideMark/>
          </w:tcPr>
          <w:p w14:paraId="6273AED5"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bežné výdavky  600, v tom:</w:t>
            </w:r>
          </w:p>
        </w:tc>
        <w:tc>
          <w:tcPr>
            <w:tcW w:w="415" w:type="pct"/>
            <w:tcBorders>
              <w:top w:val="nil"/>
              <w:left w:val="nil"/>
              <w:bottom w:val="nil"/>
              <w:right w:val="nil"/>
            </w:tcBorders>
            <w:shd w:val="clear" w:color="auto" w:fill="auto"/>
            <w:noWrap/>
            <w:vAlign w:val="bottom"/>
            <w:hideMark/>
          </w:tcPr>
          <w:p w14:paraId="0B071239"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84 877</w:t>
            </w:r>
          </w:p>
        </w:tc>
        <w:tc>
          <w:tcPr>
            <w:tcW w:w="367" w:type="pct"/>
            <w:tcBorders>
              <w:top w:val="nil"/>
              <w:left w:val="nil"/>
              <w:bottom w:val="nil"/>
              <w:right w:val="nil"/>
            </w:tcBorders>
            <w:shd w:val="clear" w:color="auto" w:fill="auto"/>
            <w:noWrap/>
            <w:vAlign w:val="bottom"/>
            <w:hideMark/>
          </w:tcPr>
          <w:p w14:paraId="2952DD50"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87 654</w:t>
            </w:r>
          </w:p>
        </w:tc>
        <w:tc>
          <w:tcPr>
            <w:tcW w:w="391" w:type="pct"/>
            <w:tcBorders>
              <w:top w:val="nil"/>
              <w:left w:val="nil"/>
              <w:bottom w:val="nil"/>
              <w:right w:val="nil"/>
            </w:tcBorders>
            <w:shd w:val="clear" w:color="auto" w:fill="auto"/>
            <w:noWrap/>
            <w:vAlign w:val="bottom"/>
            <w:hideMark/>
          </w:tcPr>
          <w:p w14:paraId="6B012046"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103 105</w:t>
            </w:r>
          </w:p>
        </w:tc>
        <w:tc>
          <w:tcPr>
            <w:tcW w:w="468" w:type="pct"/>
            <w:tcBorders>
              <w:top w:val="nil"/>
              <w:left w:val="nil"/>
              <w:bottom w:val="nil"/>
              <w:right w:val="nil"/>
            </w:tcBorders>
            <w:shd w:val="clear" w:color="auto" w:fill="auto"/>
            <w:noWrap/>
            <w:vAlign w:val="bottom"/>
            <w:hideMark/>
          </w:tcPr>
          <w:p w14:paraId="254011F2"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106 669</w:t>
            </w:r>
          </w:p>
        </w:tc>
        <w:tc>
          <w:tcPr>
            <w:tcW w:w="391" w:type="pct"/>
            <w:tcBorders>
              <w:top w:val="nil"/>
              <w:left w:val="nil"/>
              <w:bottom w:val="nil"/>
              <w:right w:val="nil"/>
            </w:tcBorders>
            <w:shd w:val="clear" w:color="auto" w:fill="auto"/>
            <w:noWrap/>
            <w:vAlign w:val="bottom"/>
            <w:hideMark/>
          </w:tcPr>
          <w:p w14:paraId="25FD35C6"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117 167</w:t>
            </w:r>
          </w:p>
        </w:tc>
        <w:tc>
          <w:tcPr>
            <w:tcW w:w="392" w:type="pct"/>
            <w:tcBorders>
              <w:top w:val="nil"/>
              <w:left w:val="nil"/>
              <w:bottom w:val="nil"/>
              <w:right w:val="nil"/>
            </w:tcBorders>
            <w:shd w:val="clear" w:color="auto" w:fill="auto"/>
            <w:noWrap/>
            <w:vAlign w:val="bottom"/>
            <w:hideMark/>
          </w:tcPr>
          <w:p w14:paraId="7E04C3FE"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117 247</w:t>
            </w:r>
          </w:p>
        </w:tc>
        <w:tc>
          <w:tcPr>
            <w:tcW w:w="389" w:type="pct"/>
            <w:tcBorders>
              <w:top w:val="nil"/>
              <w:left w:val="nil"/>
              <w:bottom w:val="nil"/>
              <w:right w:val="nil"/>
            </w:tcBorders>
            <w:shd w:val="clear" w:color="auto" w:fill="auto"/>
            <w:noWrap/>
            <w:vAlign w:val="bottom"/>
            <w:hideMark/>
          </w:tcPr>
          <w:p w14:paraId="17DFEA07"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117 310</w:t>
            </w:r>
          </w:p>
        </w:tc>
      </w:tr>
      <w:tr w:rsidR="00DD531B" w:rsidRPr="00DD531B" w14:paraId="2F4FA890" w14:textId="77777777" w:rsidTr="00837309">
        <w:trPr>
          <w:trHeight w:val="300"/>
        </w:trPr>
        <w:tc>
          <w:tcPr>
            <w:tcW w:w="2188" w:type="pct"/>
            <w:tcBorders>
              <w:top w:val="nil"/>
              <w:left w:val="nil"/>
              <w:bottom w:val="nil"/>
              <w:right w:val="nil"/>
            </w:tcBorders>
            <w:shd w:val="clear" w:color="auto" w:fill="auto"/>
            <w:noWrap/>
            <w:vAlign w:val="bottom"/>
            <w:hideMark/>
          </w:tcPr>
          <w:p w14:paraId="1DE94DD2"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610 mzdy</w:t>
            </w:r>
          </w:p>
        </w:tc>
        <w:tc>
          <w:tcPr>
            <w:tcW w:w="415" w:type="pct"/>
            <w:tcBorders>
              <w:top w:val="nil"/>
              <w:left w:val="nil"/>
              <w:bottom w:val="nil"/>
              <w:right w:val="nil"/>
            </w:tcBorders>
            <w:shd w:val="clear" w:color="auto" w:fill="auto"/>
            <w:noWrap/>
            <w:vAlign w:val="bottom"/>
            <w:hideMark/>
          </w:tcPr>
          <w:p w14:paraId="1A5B21C5"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15 315</w:t>
            </w:r>
          </w:p>
        </w:tc>
        <w:tc>
          <w:tcPr>
            <w:tcW w:w="367" w:type="pct"/>
            <w:tcBorders>
              <w:top w:val="nil"/>
              <w:left w:val="nil"/>
              <w:bottom w:val="nil"/>
              <w:right w:val="nil"/>
            </w:tcBorders>
            <w:shd w:val="clear" w:color="auto" w:fill="auto"/>
            <w:noWrap/>
            <w:vAlign w:val="bottom"/>
            <w:hideMark/>
          </w:tcPr>
          <w:p w14:paraId="352B4A0D"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3 139</w:t>
            </w:r>
          </w:p>
        </w:tc>
        <w:tc>
          <w:tcPr>
            <w:tcW w:w="391" w:type="pct"/>
            <w:tcBorders>
              <w:top w:val="nil"/>
              <w:left w:val="nil"/>
              <w:bottom w:val="nil"/>
              <w:right w:val="nil"/>
            </w:tcBorders>
            <w:shd w:val="clear" w:color="auto" w:fill="auto"/>
            <w:noWrap/>
            <w:vAlign w:val="bottom"/>
            <w:hideMark/>
          </w:tcPr>
          <w:p w14:paraId="58C49323"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3 528</w:t>
            </w:r>
          </w:p>
        </w:tc>
        <w:tc>
          <w:tcPr>
            <w:tcW w:w="468" w:type="pct"/>
            <w:tcBorders>
              <w:top w:val="nil"/>
              <w:left w:val="nil"/>
              <w:bottom w:val="nil"/>
              <w:right w:val="nil"/>
            </w:tcBorders>
            <w:shd w:val="clear" w:color="auto" w:fill="auto"/>
            <w:noWrap/>
            <w:vAlign w:val="bottom"/>
            <w:hideMark/>
          </w:tcPr>
          <w:p w14:paraId="084D8B52"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3 528</w:t>
            </w:r>
          </w:p>
        </w:tc>
        <w:tc>
          <w:tcPr>
            <w:tcW w:w="391" w:type="pct"/>
            <w:tcBorders>
              <w:top w:val="nil"/>
              <w:left w:val="nil"/>
              <w:bottom w:val="nil"/>
              <w:right w:val="nil"/>
            </w:tcBorders>
            <w:shd w:val="clear" w:color="auto" w:fill="auto"/>
            <w:noWrap/>
            <w:vAlign w:val="bottom"/>
            <w:hideMark/>
          </w:tcPr>
          <w:p w14:paraId="21E687F5"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3 764</w:t>
            </w:r>
          </w:p>
        </w:tc>
        <w:tc>
          <w:tcPr>
            <w:tcW w:w="392" w:type="pct"/>
            <w:tcBorders>
              <w:top w:val="nil"/>
              <w:left w:val="nil"/>
              <w:bottom w:val="nil"/>
              <w:right w:val="nil"/>
            </w:tcBorders>
            <w:shd w:val="clear" w:color="auto" w:fill="auto"/>
            <w:noWrap/>
            <w:vAlign w:val="bottom"/>
            <w:hideMark/>
          </w:tcPr>
          <w:p w14:paraId="23FA7A34"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3 764</w:t>
            </w:r>
          </w:p>
        </w:tc>
        <w:tc>
          <w:tcPr>
            <w:tcW w:w="389" w:type="pct"/>
            <w:tcBorders>
              <w:top w:val="nil"/>
              <w:left w:val="nil"/>
              <w:bottom w:val="nil"/>
              <w:right w:val="nil"/>
            </w:tcBorders>
            <w:shd w:val="clear" w:color="auto" w:fill="auto"/>
            <w:noWrap/>
            <w:vAlign w:val="bottom"/>
            <w:hideMark/>
          </w:tcPr>
          <w:p w14:paraId="5B2ED935"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3 764</w:t>
            </w:r>
          </w:p>
        </w:tc>
      </w:tr>
      <w:tr w:rsidR="00DD531B" w:rsidRPr="00DD531B" w14:paraId="7072A021" w14:textId="77777777" w:rsidTr="00837309">
        <w:trPr>
          <w:trHeight w:val="300"/>
        </w:trPr>
        <w:tc>
          <w:tcPr>
            <w:tcW w:w="2188" w:type="pct"/>
            <w:tcBorders>
              <w:top w:val="nil"/>
              <w:left w:val="nil"/>
              <w:bottom w:val="nil"/>
              <w:right w:val="nil"/>
            </w:tcBorders>
            <w:shd w:val="clear" w:color="auto" w:fill="auto"/>
            <w:noWrap/>
            <w:vAlign w:val="bottom"/>
            <w:hideMark/>
          </w:tcPr>
          <w:p w14:paraId="1E025BC7"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620 odvody</w:t>
            </w:r>
          </w:p>
        </w:tc>
        <w:tc>
          <w:tcPr>
            <w:tcW w:w="415" w:type="pct"/>
            <w:tcBorders>
              <w:top w:val="nil"/>
              <w:left w:val="nil"/>
              <w:bottom w:val="nil"/>
              <w:right w:val="nil"/>
            </w:tcBorders>
            <w:shd w:val="clear" w:color="auto" w:fill="auto"/>
            <w:noWrap/>
            <w:vAlign w:val="bottom"/>
            <w:hideMark/>
          </w:tcPr>
          <w:p w14:paraId="5B87B55C"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5 294</w:t>
            </w:r>
          </w:p>
        </w:tc>
        <w:tc>
          <w:tcPr>
            <w:tcW w:w="367" w:type="pct"/>
            <w:tcBorders>
              <w:top w:val="nil"/>
              <w:left w:val="nil"/>
              <w:bottom w:val="nil"/>
              <w:right w:val="nil"/>
            </w:tcBorders>
            <w:shd w:val="clear" w:color="auto" w:fill="auto"/>
            <w:noWrap/>
            <w:vAlign w:val="bottom"/>
            <w:hideMark/>
          </w:tcPr>
          <w:p w14:paraId="004582FC"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1 093</w:t>
            </w:r>
          </w:p>
        </w:tc>
        <w:tc>
          <w:tcPr>
            <w:tcW w:w="391" w:type="pct"/>
            <w:tcBorders>
              <w:top w:val="nil"/>
              <w:left w:val="nil"/>
              <w:bottom w:val="nil"/>
              <w:right w:val="nil"/>
            </w:tcBorders>
            <w:shd w:val="clear" w:color="auto" w:fill="auto"/>
            <w:noWrap/>
            <w:vAlign w:val="bottom"/>
            <w:hideMark/>
          </w:tcPr>
          <w:p w14:paraId="05BEBAFE"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1 233</w:t>
            </w:r>
          </w:p>
        </w:tc>
        <w:tc>
          <w:tcPr>
            <w:tcW w:w="468" w:type="pct"/>
            <w:tcBorders>
              <w:top w:val="nil"/>
              <w:left w:val="nil"/>
              <w:bottom w:val="nil"/>
              <w:right w:val="nil"/>
            </w:tcBorders>
            <w:shd w:val="clear" w:color="auto" w:fill="auto"/>
            <w:noWrap/>
            <w:vAlign w:val="bottom"/>
            <w:hideMark/>
          </w:tcPr>
          <w:p w14:paraId="011853A8"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1 233</w:t>
            </w:r>
          </w:p>
        </w:tc>
        <w:tc>
          <w:tcPr>
            <w:tcW w:w="391" w:type="pct"/>
            <w:tcBorders>
              <w:top w:val="nil"/>
              <w:left w:val="nil"/>
              <w:bottom w:val="nil"/>
              <w:right w:val="nil"/>
            </w:tcBorders>
            <w:shd w:val="clear" w:color="auto" w:fill="auto"/>
            <w:noWrap/>
            <w:vAlign w:val="bottom"/>
            <w:hideMark/>
          </w:tcPr>
          <w:p w14:paraId="1D4E0A6B"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1 316</w:t>
            </w:r>
          </w:p>
        </w:tc>
        <w:tc>
          <w:tcPr>
            <w:tcW w:w="392" w:type="pct"/>
            <w:tcBorders>
              <w:top w:val="nil"/>
              <w:left w:val="nil"/>
              <w:bottom w:val="nil"/>
              <w:right w:val="nil"/>
            </w:tcBorders>
            <w:shd w:val="clear" w:color="auto" w:fill="auto"/>
            <w:noWrap/>
            <w:vAlign w:val="bottom"/>
            <w:hideMark/>
          </w:tcPr>
          <w:p w14:paraId="55F268E1"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1 316</w:t>
            </w:r>
          </w:p>
        </w:tc>
        <w:tc>
          <w:tcPr>
            <w:tcW w:w="389" w:type="pct"/>
            <w:tcBorders>
              <w:top w:val="nil"/>
              <w:left w:val="nil"/>
              <w:bottom w:val="nil"/>
              <w:right w:val="nil"/>
            </w:tcBorders>
            <w:shd w:val="clear" w:color="auto" w:fill="auto"/>
            <w:noWrap/>
            <w:vAlign w:val="bottom"/>
            <w:hideMark/>
          </w:tcPr>
          <w:p w14:paraId="4FAE6557"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1 316</w:t>
            </w:r>
          </w:p>
        </w:tc>
      </w:tr>
      <w:tr w:rsidR="00DD531B" w:rsidRPr="00DD531B" w14:paraId="21BF3482" w14:textId="77777777" w:rsidTr="00837309">
        <w:trPr>
          <w:trHeight w:val="300"/>
        </w:trPr>
        <w:tc>
          <w:tcPr>
            <w:tcW w:w="2188" w:type="pct"/>
            <w:tcBorders>
              <w:top w:val="nil"/>
              <w:left w:val="nil"/>
              <w:bottom w:val="nil"/>
              <w:right w:val="nil"/>
            </w:tcBorders>
            <w:shd w:val="clear" w:color="auto" w:fill="auto"/>
            <w:noWrap/>
            <w:vAlign w:val="bottom"/>
            <w:hideMark/>
          </w:tcPr>
          <w:p w14:paraId="787616E8"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630 tovary a služby</w:t>
            </w:r>
          </w:p>
        </w:tc>
        <w:tc>
          <w:tcPr>
            <w:tcW w:w="415" w:type="pct"/>
            <w:tcBorders>
              <w:top w:val="nil"/>
              <w:left w:val="nil"/>
              <w:bottom w:val="nil"/>
              <w:right w:val="nil"/>
            </w:tcBorders>
            <w:shd w:val="clear" w:color="auto" w:fill="auto"/>
            <w:noWrap/>
            <w:vAlign w:val="bottom"/>
            <w:hideMark/>
          </w:tcPr>
          <w:p w14:paraId="6559CB79"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4 733</w:t>
            </w:r>
          </w:p>
        </w:tc>
        <w:tc>
          <w:tcPr>
            <w:tcW w:w="367" w:type="pct"/>
            <w:tcBorders>
              <w:top w:val="nil"/>
              <w:left w:val="nil"/>
              <w:bottom w:val="nil"/>
              <w:right w:val="nil"/>
            </w:tcBorders>
            <w:shd w:val="clear" w:color="auto" w:fill="auto"/>
            <w:noWrap/>
            <w:vAlign w:val="bottom"/>
            <w:hideMark/>
          </w:tcPr>
          <w:p w14:paraId="40DFD146"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1 855</w:t>
            </w:r>
          </w:p>
        </w:tc>
        <w:tc>
          <w:tcPr>
            <w:tcW w:w="391" w:type="pct"/>
            <w:tcBorders>
              <w:top w:val="nil"/>
              <w:left w:val="nil"/>
              <w:bottom w:val="nil"/>
              <w:right w:val="nil"/>
            </w:tcBorders>
            <w:shd w:val="clear" w:color="auto" w:fill="auto"/>
            <w:noWrap/>
            <w:vAlign w:val="bottom"/>
            <w:hideMark/>
          </w:tcPr>
          <w:p w14:paraId="656C4EFB"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9 346</w:t>
            </w:r>
          </w:p>
        </w:tc>
        <w:tc>
          <w:tcPr>
            <w:tcW w:w="468" w:type="pct"/>
            <w:tcBorders>
              <w:top w:val="nil"/>
              <w:left w:val="nil"/>
              <w:bottom w:val="nil"/>
              <w:right w:val="nil"/>
            </w:tcBorders>
            <w:shd w:val="clear" w:color="auto" w:fill="auto"/>
            <w:noWrap/>
            <w:vAlign w:val="bottom"/>
            <w:hideMark/>
          </w:tcPr>
          <w:p w14:paraId="071EEA40"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3 441</w:t>
            </w:r>
          </w:p>
        </w:tc>
        <w:tc>
          <w:tcPr>
            <w:tcW w:w="391" w:type="pct"/>
            <w:tcBorders>
              <w:top w:val="nil"/>
              <w:left w:val="nil"/>
              <w:bottom w:val="nil"/>
              <w:right w:val="nil"/>
            </w:tcBorders>
            <w:shd w:val="clear" w:color="auto" w:fill="auto"/>
            <w:noWrap/>
            <w:vAlign w:val="bottom"/>
            <w:hideMark/>
          </w:tcPr>
          <w:p w14:paraId="480D3E6A"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10 555</w:t>
            </w:r>
          </w:p>
        </w:tc>
        <w:tc>
          <w:tcPr>
            <w:tcW w:w="392" w:type="pct"/>
            <w:tcBorders>
              <w:top w:val="nil"/>
              <w:left w:val="nil"/>
              <w:bottom w:val="nil"/>
              <w:right w:val="nil"/>
            </w:tcBorders>
            <w:shd w:val="clear" w:color="auto" w:fill="auto"/>
            <w:noWrap/>
            <w:vAlign w:val="bottom"/>
            <w:hideMark/>
          </w:tcPr>
          <w:p w14:paraId="3F2045F2"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9 669</w:t>
            </w:r>
          </w:p>
        </w:tc>
        <w:tc>
          <w:tcPr>
            <w:tcW w:w="389" w:type="pct"/>
            <w:tcBorders>
              <w:top w:val="nil"/>
              <w:left w:val="nil"/>
              <w:bottom w:val="nil"/>
              <w:right w:val="nil"/>
            </w:tcBorders>
            <w:shd w:val="clear" w:color="auto" w:fill="auto"/>
            <w:noWrap/>
            <w:vAlign w:val="bottom"/>
            <w:hideMark/>
          </w:tcPr>
          <w:p w14:paraId="54281BCC"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5 477</w:t>
            </w:r>
          </w:p>
        </w:tc>
      </w:tr>
      <w:tr w:rsidR="00DD531B" w:rsidRPr="00DD531B" w14:paraId="6F9F1E55" w14:textId="77777777" w:rsidTr="00837309">
        <w:trPr>
          <w:trHeight w:val="300"/>
        </w:trPr>
        <w:tc>
          <w:tcPr>
            <w:tcW w:w="2188" w:type="pct"/>
            <w:tcBorders>
              <w:top w:val="nil"/>
              <w:left w:val="nil"/>
              <w:bottom w:val="nil"/>
              <w:right w:val="nil"/>
            </w:tcBorders>
            <w:shd w:val="clear" w:color="auto" w:fill="auto"/>
            <w:noWrap/>
            <w:vAlign w:val="bottom"/>
            <w:hideMark/>
          </w:tcPr>
          <w:p w14:paraId="3F4E1912"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640 bežné transfery</w:t>
            </w:r>
          </w:p>
        </w:tc>
        <w:tc>
          <w:tcPr>
            <w:tcW w:w="415" w:type="pct"/>
            <w:tcBorders>
              <w:top w:val="nil"/>
              <w:left w:val="nil"/>
              <w:bottom w:val="nil"/>
              <w:right w:val="nil"/>
            </w:tcBorders>
            <w:shd w:val="clear" w:color="auto" w:fill="auto"/>
            <w:noWrap/>
            <w:vAlign w:val="bottom"/>
            <w:hideMark/>
          </w:tcPr>
          <w:p w14:paraId="3224AA12"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59 536</w:t>
            </w:r>
          </w:p>
        </w:tc>
        <w:tc>
          <w:tcPr>
            <w:tcW w:w="367" w:type="pct"/>
            <w:tcBorders>
              <w:top w:val="nil"/>
              <w:left w:val="nil"/>
              <w:bottom w:val="nil"/>
              <w:right w:val="nil"/>
            </w:tcBorders>
            <w:shd w:val="clear" w:color="auto" w:fill="auto"/>
            <w:noWrap/>
            <w:vAlign w:val="bottom"/>
            <w:hideMark/>
          </w:tcPr>
          <w:p w14:paraId="439D48E9"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81 567</w:t>
            </w:r>
          </w:p>
        </w:tc>
        <w:tc>
          <w:tcPr>
            <w:tcW w:w="391" w:type="pct"/>
            <w:tcBorders>
              <w:top w:val="nil"/>
              <w:left w:val="nil"/>
              <w:bottom w:val="nil"/>
              <w:right w:val="nil"/>
            </w:tcBorders>
            <w:shd w:val="clear" w:color="auto" w:fill="auto"/>
            <w:noWrap/>
            <w:vAlign w:val="bottom"/>
            <w:hideMark/>
          </w:tcPr>
          <w:p w14:paraId="0402DA5B"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88 998</w:t>
            </w:r>
          </w:p>
        </w:tc>
        <w:tc>
          <w:tcPr>
            <w:tcW w:w="468" w:type="pct"/>
            <w:tcBorders>
              <w:top w:val="nil"/>
              <w:left w:val="nil"/>
              <w:bottom w:val="nil"/>
              <w:right w:val="nil"/>
            </w:tcBorders>
            <w:shd w:val="clear" w:color="auto" w:fill="auto"/>
            <w:noWrap/>
            <w:vAlign w:val="bottom"/>
            <w:hideMark/>
          </w:tcPr>
          <w:p w14:paraId="7C7F8203"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98 466</w:t>
            </w:r>
          </w:p>
        </w:tc>
        <w:tc>
          <w:tcPr>
            <w:tcW w:w="391" w:type="pct"/>
            <w:tcBorders>
              <w:top w:val="nil"/>
              <w:left w:val="nil"/>
              <w:bottom w:val="nil"/>
              <w:right w:val="nil"/>
            </w:tcBorders>
            <w:shd w:val="clear" w:color="auto" w:fill="auto"/>
            <w:noWrap/>
            <w:vAlign w:val="bottom"/>
            <w:hideMark/>
          </w:tcPr>
          <w:p w14:paraId="42ABACB1"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101 532</w:t>
            </w:r>
          </w:p>
        </w:tc>
        <w:tc>
          <w:tcPr>
            <w:tcW w:w="392" w:type="pct"/>
            <w:tcBorders>
              <w:top w:val="nil"/>
              <w:left w:val="nil"/>
              <w:bottom w:val="nil"/>
              <w:right w:val="nil"/>
            </w:tcBorders>
            <w:shd w:val="clear" w:color="auto" w:fill="auto"/>
            <w:noWrap/>
            <w:vAlign w:val="bottom"/>
            <w:hideMark/>
          </w:tcPr>
          <w:p w14:paraId="4F0CE907"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102 498</w:t>
            </w:r>
          </w:p>
        </w:tc>
        <w:tc>
          <w:tcPr>
            <w:tcW w:w="389" w:type="pct"/>
            <w:tcBorders>
              <w:top w:val="nil"/>
              <w:left w:val="nil"/>
              <w:bottom w:val="nil"/>
              <w:right w:val="nil"/>
            </w:tcBorders>
            <w:shd w:val="clear" w:color="auto" w:fill="auto"/>
            <w:noWrap/>
            <w:vAlign w:val="bottom"/>
            <w:hideMark/>
          </w:tcPr>
          <w:p w14:paraId="3D548C82"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106 753</w:t>
            </w:r>
          </w:p>
        </w:tc>
      </w:tr>
      <w:tr w:rsidR="00DD531B" w:rsidRPr="00DD531B" w14:paraId="60D0B31F" w14:textId="77777777" w:rsidTr="00837309">
        <w:trPr>
          <w:trHeight w:val="300"/>
        </w:trPr>
        <w:tc>
          <w:tcPr>
            <w:tcW w:w="2188" w:type="pct"/>
            <w:tcBorders>
              <w:top w:val="nil"/>
              <w:left w:val="nil"/>
              <w:bottom w:val="nil"/>
              <w:right w:val="nil"/>
            </w:tcBorders>
            <w:shd w:val="clear" w:color="auto" w:fill="auto"/>
            <w:noWrap/>
            <w:vAlign w:val="bottom"/>
            <w:hideMark/>
          </w:tcPr>
          <w:p w14:paraId="465B8B2E"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kapitálové výdavky 700</w:t>
            </w:r>
          </w:p>
        </w:tc>
        <w:tc>
          <w:tcPr>
            <w:tcW w:w="415" w:type="pct"/>
            <w:tcBorders>
              <w:top w:val="nil"/>
              <w:left w:val="nil"/>
              <w:bottom w:val="nil"/>
              <w:right w:val="nil"/>
            </w:tcBorders>
            <w:shd w:val="clear" w:color="auto" w:fill="auto"/>
            <w:noWrap/>
            <w:vAlign w:val="bottom"/>
            <w:hideMark/>
          </w:tcPr>
          <w:p w14:paraId="40F7378E"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2 041</w:t>
            </w:r>
          </w:p>
        </w:tc>
        <w:tc>
          <w:tcPr>
            <w:tcW w:w="367" w:type="pct"/>
            <w:tcBorders>
              <w:top w:val="nil"/>
              <w:left w:val="nil"/>
              <w:bottom w:val="nil"/>
              <w:right w:val="nil"/>
            </w:tcBorders>
            <w:shd w:val="clear" w:color="auto" w:fill="auto"/>
            <w:noWrap/>
            <w:vAlign w:val="bottom"/>
            <w:hideMark/>
          </w:tcPr>
          <w:p w14:paraId="671B263D"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987</w:t>
            </w:r>
          </w:p>
        </w:tc>
        <w:tc>
          <w:tcPr>
            <w:tcW w:w="391" w:type="pct"/>
            <w:tcBorders>
              <w:top w:val="nil"/>
              <w:left w:val="nil"/>
              <w:bottom w:val="nil"/>
              <w:right w:val="nil"/>
            </w:tcBorders>
            <w:shd w:val="clear" w:color="auto" w:fill="auto"/>
            <w:noWrap/>
            <w:vAlign w:val="bottom"/>
            <w:hideMark/>
          </w:tcPr>
          <w:p w14:paraId="1796E255"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10 640</w:t>
            </w:r>
          </w:p>
        </w:tc>
        <w:tc>
          <w:tcPr>
            <w:tcW w:w="468" w:type="pct"/>
            <w:tcBorders>
              <w:top w:val="nil"/>
              <w:left w:val="nil"/>
              <w:bottom w:val="nil"/>
              <w:right w:val="nil"/>
            </w:tcBorders>
            <w:shd w:val="clear" w:color="auto" w:fill="auto"/>
            <w:noWrap/>
            <w:vAlign w:val="bottom"/>
            <w:hideMark/>
          </w:tcPr>
          <w:p w14:paraId="12758723"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10 640</w:t>
            </w:r>
          </w:p>
        </w:tc>
        <w:tc>
          <w:tcPr>
            <w:tcW w:w="391" w:type="pct"/>
            <w:tcBorders>
              <w:top w:val="nil"/>
              <w:left w:val="nil"/>
              <w:bottom w:val="nil"/>
              <w:right w:val="nil"/>
            </w:tcBorders>
            <w:shd w:val="clear" w:color="auto" w:fill="auto"/>
            <w:noWrap/>
            <w:vAlign w:val="bottom"/>
            <w:hideMark/>
          </w:tcPr>
          <w:p w14:paraId="41CDFC4B"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8 489</w:t>
            </w:r>
          </w:p>
        </w:tc>
        <w:tc>
          <w:tcPr>
            <w:tcW w:w="392" w:type="pct"/>
            <w:tcBorders>
              <w:top w:val="nil"/>
              <w:left w:val="nil"/>
              <w:bottom w:val="nil"/>
              <w:right w:val="nil"/>
            </w:tcBorders>
            <w:shd w:val="clear" w:color="auto" w:fill="auto"/>
            <w:noWrap/>
            <w:vAlign w:val="bottom"/>
            <w:hideMark/>
          </w:tcPr>
          <w:p w14:paraId="16549407"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2 565</w:t>
            </w:r>
          </w:p>
        </w:tc>
        <w:tc>
          <w:tcPr>
            <w:tcW w:w="389" w:type="pct"/>
            <w:tcBorders>
              <w:top w:val="nil"/>
              <w:left w:val="nil"/>
              <w:bottom w:val="nil"/>
              <w:right w:val="nil"/>
            </w:tcBorders>
            <w:shd w:val="clear" w:color="auto" w:fill="auto"/>
            <w:noWrap/>
            <w:vAlign w:val="bottom"/>
            <w:hideMark/>
          </w:tcPr>
          <w:p w14:paraId="45BF8EA9"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2 009</w:t>
            </w:r>
          </w:p>
        </w:tc>
      </w:tr>
      <w:tr w:rsidR="00DD531B" w:rsidRPr="00DD531B" w14:paraId="5381628A" w14:textId="77777777" w:rsidTr="00837309">
        <w:trPr>
          <w:trHeight w:val="300"/>
        </w:trPr>
        <w:tc>
          <w:tcPr>
            <w:tcW w:w="2188" w:type="pct"/>
            <w:tcBorders>
              <w:top w:val="nil"/>
              <w:left w:val="nil"/>
              <w:bottom w:val="nil"/>
              <w:right w:val="nil"/>
            </w:tcBorders>
            <w:shd w:val="clear" w:color="auto" w:fill="auto"/>
            <w:noWrap/>
            <w:vAlign w:val="bottom"/>
            <w:hideMark/>
          </w:tcPr>
          <w:p w14:paraId="4174A246" w14:textId="77777777" w:rsidR="00DD531B" w:rsidRPr="00837309" w:rsidRDefault="00DD531B" w:rsidP="00DD531B">
            <w:pPr>
              <w:spacing w:after="0" w:line="240" w:lineRule="auto"/>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zdroj EÚ vrátane spolufinancovania zo ŠR, v tom:</w:t>
            </w:r>
          </w:p>
        </w:tc>
        <w:tc>
          <w:tcPr>
            <w:tcW w:w="415" w:type="pct"/>
            <w:tcBorders>
              <w:top w:val="nil"/>
              <w:left w:val="nil"/>
              <w:bottom w:val="nil"/>
              <w:right w:val="nil"/>
            </w:tcBorders>
            <w:shd w:val="clear" w:color="auto" w:fill="auto"/>
            <w:noWrap/>
            <w:vAlign w:val="bottom"/>
            <w:hideMark/>
          </w:tcPr>
          <w:p w14:paraId="3282347E"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529</w:t>
            </w:r>
          </w:p>
        </w:tc>
        <w:tc>
          <w:tcPr>
            <w:tcW w:w="367" w:type="pct"/>
            <w:tcBorders>
              <w:top w:val="nil"/>
              <w:left w:val="nil"/>
              <w:bottom w:val="nil"/>
              <w:right w:val="nil"/>
            </w:tcBorders>
            <w:shd w:val="clear" w:color="auto" w:fill="auto"/>
            <w:noWrap/>
            <w:vAlign w:val="bottom"/>
            <w:hideMark/>
          </w:tcPr>
          <w:p w14:paraId="4824902D"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5 690</w:t>
            </w:r>
          </w:p>
        </w:tc>
        <w:tc>
          <w:tcPr>
            <w:tcW w:w="391" w:type="pct"/>
            <w:tcBorders>
              <w:top w:val="nil"/>
              <w:left w:val="nil"/>
              <w:bottom w:val="nil"/>
              <w:right w:val="nil"/>
            </w:tcBorders>
            <w:shd w:val="clear" w:color="auto" w:fill="auto"/>
            <w:noWrap/>
            <w:vAlign w:val="bottom"/>
            <w:hideMark/>
          </w:tcPr>
          <w:p w14:paraId="3DBBF659"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468" w:type="pct"/>
            <w:tcBorders>
              <w:top w:val="nil"/>
              <w:left w:val="nil"/>
              <w:bottom w:val="nil"/>
              <w:right w:val="nil"/>
            </w:tcBorders>
            <w:shd w:val="clear" w:color="auto" w:fill="auto"/>
            <w:noWrap/>
            <w:vAlign w:val="bottom"/>
            <w:hideMark/>
          </w:tcPr>
          <w:p w14:paraId="6EE692AA"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1 272</w:t>
            </w:r>
          </w:p>
        </w:tc>
        <w:tc>
          <w:tcPr>
            <w:tcW w:w="391" w:type="pct"/>
            <w:tcBorders>
              <w:top w:val="nil"/>
              <w:left w:val="nil"/>
              <w:bottom w:val="nil"/>
              <w:right w:val="nil"/>
            </w:tcBorders>
            <w:shd w:val="clear" w:color="auto" w:fill="auto"/>
            <w:noWrap/>
            <w:vAlign w:val="bottom"/>
            <w:hideMark/>
          </w:tcPr>
          <w:p w14:paraId="1E9577E6"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392" w:type="pct"/>
            <w:tcBorders>
              <w:top w:val="nil"/>
              <w:left w:val="nil"/>
              <w:bottom w:val="nil"/>
              <w:right w:val="nil"/>
            </w:tcBorders>
            <w:shd w:val="clear" w:color="auto" w:fill="auto"/>
            <w:noWrap/>
            <w:vAlign w:val="bottom"/>
            <w:hideMark/>
          </w:tcPr>
          <w:p w14:paraId="67257B02"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389" w:type="pct"/>
            <w:tcBorders>
              <w:top w:val="nil"/>
              <w:left w:val="nil"/>
              <w:bottom w:val="nil"/>
              <w:right w:val="nil"/>
            </w:tcBorders>
            <w:shd w:val="clear" w:color="auto" w:fill="auto"/>
            <w:noWrap/>
            <w:vAlign w:val="bottom"/>
            <w:hideMark/>
          </w:tcPr>
          <w:p w14:paraId="23ECEE5E"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r>
      <w:tr w:rsidR="00DD531B" w:rsidRPr="00DD531B" w14:paraId="0C015B16" w14:textId="77777777" w:rsidTr="00837309">
        <w:trPr>
          <w:trHeight w:val="300"/>
        </w:trPr>
        <w:tc>
          <w:tcPr>
            <w:tcW w:w="2188" w:type="pct"/>
            <w:tcBorders>
              <w:top w:val="nil"/>
              <w:left w:val="nil"/>
              <w:bottom w:val="nil"/>
              <w:right w:val="nil"/>
            </w:tcBorders>
            <w:shd w:val="clear" w:color="auto" w:fill="auto"/>
            <w:noWrap/>
            <w:vAlign w:val="bottom"/>
            <w:hideMark/>
          </w:tcPr>
          <w:p w14:paraId="25AE3288"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prostriedky EÚ</w:t>
            </w:r>
          </w:p>
        </w:tc>
        <w:tc>
          <w:tcPr>
            <w:tcW w:w="415" w:type="pct"/>
            <w:tcBorders>
              <w:top w:val="nil"/>
              <w:left w:val="nil"/>
              <w:bottom w:val="nil"/>
              <w:right w:val="nil"/>
            </w:tcBorders>
            <w:shd w:val="clear" w:color="auto" w:fill="auto"/>
            <w:noWrap/>
            <w:vAlign w:val="bottom"/>
            <w:hideMark/>
          </w:tcPr>
          <w:p w14:paraId="26D5628D"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67" w:type="pct"/>
            <w:tcBorders>
              <w:top w:val="nil"/>
              <w:left w:val="nil"/>
              <w:bottom w:val="nil"/>
              <w:right w:val="nil"/>
            </w:tcBorders>
            <w:shd w:val="clear" w:color="auto" w:fill="auto"/>
            <w:noWrap/>
            <w:vAlign w:val="bottom"/>
            <w:hideMark/>
          </w:tcPr>
          <w:p w14:paraId="63327836"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2 580</w:t>
            </w:r>
          </w:p>
        </w:tc>
        <w:tc>
          <w:tcPr>
            <w:tcW w:w="391" w:type="pct"/>
            <w:tcBorders>
              <w:top w:val="nil"/>
              <w:left w:val="nil"/>
              <w:bottom w:val="nil"/>
              <w:right w:val="nil"/>
            </w:tcBorders>
            <w:shd w:val="clear" w:color="auto" w:fill="auto"/>
            <w:noWrap/>
            <w:vAlign w:val="bottom"/>
            <w:hideMark/>
          </w:tcPr>
          <w:p w14:paraId="223AAA47"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3FA32688"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637</w:t>
            </w:r>
          </w:p>
        </w:tc>
        <w:tc>
          <w:tcPr>
            <w:tcW w:w="391" w:type="pct"/>
            <w:tcBorders>
              <w:top w:val="nil"/>
              <w:left w:val="nil"/>
              <w:bottom w:val="nil"/>
              <w:right w:val="nil"/>
            </w:tcBorders>
            <w:shd w:val="clear" w:color="auto" w:fill="auto"/>
            <w:noWrap/>
            <w:vAlign w:val="bottom"/>
            <w:hideMark/>
          </w:tcPr>
          <w:p w14:paraId="710A06D8"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92" w:type="pct"/>
            <w:tcBorders>
              <w:top w:val="nil"/>
              <w:left w:val="nil"/>
              <w:bottom w:val="nil"/>
              <w:right w:val="nil"/>
            </w:tcBorders>
            <w:shd w:val="clear" w:color="auto" w:fill="auto"/>
            <w:noWrap/>
            <w:vAlign w:val="bottom"/>
            <w:hideMark/>
          </w:tcPr>
          <w:p w14:paraId="28B58BB3"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89" w:type="pct"/>
            <w:tcBorders>
              <w:top w:val="nil"/>
              <w:left w:val="nil"/>
              <w:bottom w:val="nil"/>
              <w:right w:val="nil"/>
            </w:tcBorders>
            <w:shd w:val="clear" w:color="auto" w:fill="auto"/>
            <w:noWrap/>
            <w:vAlign w:val="bottom"/>
            <w:hideMark/>
          </w:tcPr>
          <w:p w14:paraId="57BD15FC"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r>
      <w:tr w:rsidR="00DD531B" w:rsidRPr="00DD531B" w14:paraId="711C7D18" w14:textId="77777777" w:rsidTr="00837309">
        <w:trPr>
          <w:trHeight w:val="300"/>
        </w:trPr>
        <w:tc>
          <w:tcPr>
            <w:tcW w:w="2188" w:type="pct"/>
            <w:tcBorders>
              <w:top w:val="nil"/>
              <w:left w:val="nil"/>
              <w:bottom w:val="nil"/>
              <w:right w:val="nil"/>
            </w:tcBorders>
            <w:shd w:val="clear" w:color="auto" w:fill="auto"/>
            <w:noWrap/>
            <w:vAlign w:val="bottom"/>
            <w:hideMark/>
          </w:tcPr>
          <w:p w14:paraId="2B101C1B"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spolufinancovanie zo ŠR</w:t>
            </w:r>
          </w:p>
        </w:tc>
        <w:tc>
          <w:tcPr>
            <w:tcW w:w="415" w:type="pct"/>
            <w:tcBorders>
              <w:top w:val="nil"/>
              <w:left w:val="nil"/>
              <w:bottom w:val="nil"/>
              <w:right w:val="nil"/>
            </w:tcBorders>
            <w:shd w:val="clear" w:color="auto" w:fill="auto"/>
            <w:noWrap/>
            <w:vAlign w:val="bottom"/>
            <w:hideMark/>
          </w:tcPr>
          <w:p w14:paraId="24130BBB"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529</w:t>
            </w:r>
          </w:p>
        </w:tc>
        <w:tc>
          <w:tcPr>
            <w:tcW w:w="367" w:type="pct"/>
            <w:tcBorders>
              <w:top w:val="nil"/>
              <w:left w:val="nil"/>
              <w:bottom w:val="nil"/>
              <w:right w:val="nil"/>
            </w:tcBorders>
            <w:shd w:val="clear" w:color="auto" w:fill="auto"/>
            <w:noWrap/>
            <w:vAlign w:val="bottom"/>
            <w:hideMark/>
          </w:tcPr>
          <w:p w14:paraId="09B5C932"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3 110</w:t>
            </w:r>
          </w:p>
        </w:tc>
        <w:tc>
          <w:tcPr>
            <w:tcW w:w="391" w:type="pct"/>
            <w:tcBorders>
              <w:top w:val="nil"/>
              <w:left w:val="nil"/>
              <w:bottom w:val="nil"/>
              <w:right w:val="nil"/>
            </w:tcBorders>
            <w:shd w:val="clear" w:color="auto" w:fill="auto"/>
            <w:noWrap/>
            <w:vAlign w:val="bottom"/>
            <w:hideMark/>
          </w:tcPr>
          <w:p w14:paraId="1DF448DA"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3F9B83D3"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635</w:t>
            </w:r>
          </w:p>
        </w:tc>
        <w:tc>
          <w:tcPr>
            <w:tcW w:w="391" w:type="pct"/>
            <w:tcBorders>
              <w:top w:val="nil"/>
              <w:left w:val="nil"/>
              <w:bottom w:val="nil"/>
              <w:right w:val="nil"/>
            </w:tcBorders>
            <w:shd w:val="clear" w:color="auto" w:fill="auto"/>
            <w:noWrap/>
            <w:vAlign w:val="bottom"/>
            <w:hideMark/>
          </w:tcPr>
          <w:p w14:paraId="4C1D0B12"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92" w:type="pct"/>
            <w:tcBorders>
              <w:top w:val="nil"/>
              <w:left w:val="nil"/>
              <w:bottom w:val="nil"/>
              <w:right w:val="nil"/>
            </w:tcBorders>
            <w:shd w:val="clear" w:color="auto" w:fill="auto"/>
            <w:noWrap/>
            <w:vAlign w:val="bottom"/>
            <w:hideMark/>
          </w:tcPr>
          <w:p w14:paraId="113E8E14"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89" w:type="pct"/>
            <w:tcBorders>
              <w:top w:val="nil"/>
              <w:left w:val="nil"/>
              <w:bottom w:val="nil"/>
              <w:right w:val="nil"/>
            </w:tcBorders>
            <w:shd w:val="clear" w:color="auto" w:fill="auto"/>
            <w:noWrap/>
            <w:vAlign w:val="bottom"/>
            <w:hideMark/>
          </w:tcPr>
          <w:p w14:paraId="27DD5542"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r>
      <w:tr w:rsidR="00DD531B" w:rsidRPr="00DD531B" w14:paraId="45B8913A" w14:textId="77777777" w:rsidTr="00837309">
        <w:trPr>
          <w:trHeight w:val="300"/>
        </w:trPr>
        <w:tc>
          <w:tcPr>
            <w:tcW w:w="2188" w:type="pct"/>
            <w:tcBorders>
              <w:top w:val="nil"/>
              <w:left w:val="nil"/>
              <w:bottom w:val="nil"/>
              <w:right w:val="nil"/>
            </w:tcBorders>
            <w:shd w:val="clear" w:color="auto" w:fill="auto"/>
            <w:noWrap/>
            <w:vAlign w:val="bottom"/>
            <w:hideMark/>
          </w:tcPr>
          <w:p w14:paraId="6CF803CB" w14:textId="77777777" w:rsidR="00DD531B" w:rsidRPr="00837309" w:rsidRDefault="00DD531B" w:rsidP="00DD531B">
            <w:pPr>
              <w:spacing w:after="0" w:line="240" w:lineRule="auto"/>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presun z minulých rokov § 8, v tom:</w:t>
            </w:r>
          </w:p>
        </w:tc>
        <w:tc>
          <w:tcPr>
            <w:tcW w:w="415" w:type="pct"/>
            <w:tcBorders>
              <w:top w:val="nil"/>
              <w:left w:val="nil"/>
              <w:bottom w:val="nil"/>
              <w:right w:val="nil"/>
            </w:tcBorders>
            <w:shd w:val="clear" w:color="auto" w:fill="auto"/>
            <w:noWrap/>
            <w:vAlign w:val="bottom"/>
            <w:hideMark/>
          </w:tcPr>
          <w:p w14:paraId="01B6692D"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1 995</w:t>
            </w:r>
          </w:p>
        </w:tc>
        <w:tc>
          <w:tcPr>
            <w:tcW w:w="367" w:type="pct"/>
            <w:tcBorders>
              <w:top w:val="nil"/>
              <w:left w:val="nil"/>
              <w:bottom w:val="nil"/>
              <w:right w:val="nil"/>
            </w:tcBorders>
            <w:shd w:val="clear" w:color="auto" w:fill="auto"/>
            <w:noWrap/>
            <w:vAlign w:val="bottom"/>
            <w:hideMark/>
          </w:tcPr>
          <w:p w14:paraId="4DEDA283"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13 033</w:t>
            </w:r>
          </w:p>
        </w:tc>
        <w:tc>
          <w:tcPr>
            <w:tcW w:w="391" w:type="pct"/>
            <w:tcBorders>
              <w:top w:val="nil"/>
              <w:left w:val="nil"/>
              <w:bottom w:val="nil"/>
              <w:right w:val="nil"/>
            </w:tcBorders>
            <w:shd w:val="clear" w:color="auto" w:fill="auto"/>
            <w:noWrap/>
            <w:vAlign w:val="bottom"/>
            <w:hideMark/>
          </w:tcPr>
          <w:p w14:paraId="30805A27"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468" w:type="pct"/>
            <w:tcBorders>
              <w:top w:val="nil"/>
              <w:left w:val="nil"/>
              <w:bottom w:val="nil"/>
              <w:right w:val="nil"/>
            </w:tcBorders>
            <w:shd w:val="clear" w:color="auto" w:fill="auto"/>
            <w:noWrap/>
            <w:vAlign w:val="bottom"/>
            <w:hideMark/>
          </w:tcPr>
          <w:p w14:paraId="470F5D7D"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7 023</w:t>
            </w:r>
          </w:p>
        </w:tc>
        <w:tc>
          <w:tcPr>
            <w:tcW w:w="391" w:type="pct"/>
            <w:tcBorders>
              <w:top w:val="nil"/>
              <w:left w:val="nil"/>
              <w:bottom w:val="nil"/>
              <w:right w:val="nil"/>
            </w:tcBorders>
            <w:shd w:val="clear" w:color="auto" w:fill="auto"/>
            <w:noWrap/>
            <w:vAlign w:val="bottom"/>
            <w:hideMark/>
          </w:tcPr>
          <w:p w14:paraId="33825DA7"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392" w:type="pct"/>
            <w:tcBorders>
              <w:top w:val="nil"/>
              <w:left w:val="nil"/>
              <w:bottom w:val="nil"/>
              <w:right w:val="nil"/>
            </w:tcBorders>
            <w:shd w:val="clear" w:color="auto" w:fill="auto"/>
            <w:noWrap/>
            <w:vAlign w:val="bottom"/>
            <w:hideMark/>
          </w:tcPr>
          <w:p w14:paraId="2B4F8FF5"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389" w:type="pct"/>
            <w:tcBorders>
              <w:top w:val="nil"/>
              <w:left w:val="nil"/>
              <w:bottom w:val="nil"/>
              <w:right w:val="nil"/>
            </w:tcBorders>
            <w:shd w:val="clear" w:color="auto" w:fill="auto"/>
            <w:noWrap/>
            <w:vAlign w:val="bottom"/>
            <w:hideMark/>
          </w:tcPr>
          <w:p w14:paraId="26527E00"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r>
      <w:tr w:rsidR="00DD531B" w:rsidRPr="00DD531B" w14:paraId="263C47F4" w14:textId="77777777" w:rsidTr="00837309">
        <w:trPr>
          <w:trHeight w:val="300"/>
        </w:trPr>
        <w:tc>
          <w:tcPr>
            <w:tcW w:w="2188" w:type="pct"/>
            <w:tcBorders>
              <w:top w:val="nil"/>
              <w:left w:val="nil"/>
              <w:bottom w:val="nil"/>
              <w:right w:val="nil"/>
            </w:tcBorders>
            <w:shd w:val="clear" w:color="auto" w:fill="auto"/>
            <w:noWrap/>
            <w:vAlign w:val="bottom"/>
            <w:hideMark/>
          </w:tcPr>
          <w:p w14:paraId="54A845FF"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štátny rozpočet</w:t>
            </w:r>
          </w:p>
        </w:tc>
        <w:tc>
          <w:tcPr>
            <w:tcW w:w="415" w:type="pct"/>
            <w:tcBorders>
              <w:top w:val="nil"/>
              <w:left w:val="nil"/>
              <w:bottom w:val="nil"/>
              <w:right w:val="nil"/>
            </w:tcBorders>
            <w:shd w:val="clear" w:color="auto" w:fill="auto"/>
            <w:noWrap/>
            <w:vAlign w:val="bottom"/>
            <w:hideMark/>
          </w:tcPr>
          <w:p w14:paraId="56921F01"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1 027</w:t>
            </w:r>
          </w:p>
        </w:tc>
        <w:tc>
          <w:tcPr>
            <w:tcW w:w="367" w:type="pct"/>
            <w:tcBorders>
              <w:top w:val="nil"/>
              <w:left w:val="nil"/>
              <w:bottom w:val="nil"/>
              <w:right w:val="nil"/>
            </w:tcBorders>
            <w:shd w:val="clear" w:color="auto" w:fill="auto"/>
            <w:noWrap/>
            <w:vAlign w:val="bottom"/>
            <w:hideMark/>
          </w:tcPr>
          <w:p w14:paraId="3EBC3B43"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2 170</w:t>
            </w:r>
          </w:p>
        </w:tc>
        <w:tc>
          <w:tcPr>
            <w:tcW w:w="391" w:type="pct"/>
            <w:tcBorders>
              <w:top w:val="nil"/>
              <w:left w:val="nil"/>
              <w:bottom w:val="nil"/>
              <w:right w:val="nil"/>
            </w:tcBorders>
            <w:shd w:val="clear" w:color="auto" w:fill="auto"/>
            <w:noWrap/>
            <w:vAlign w:val="bottom"/>
            <w:hideMark/>
          </w:tcPr>
          <w:p w14:paraId="563A4145"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13E6DC4B"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1 248</w:t>
            </w:r>
          </w:p>
        </w:tc>
        <w:tc>
          <w:tcPr>
            <w:tcW w:w="391" w:type="pct"/>
            <w:tcBorders>
              <w:top w:val="nil"/>
              <w:left w:val="nil"/>
              <w:bottom w:val="nil"/>
              <w:right w:val="nil"/>
            </w:tcBorders>
            <w:shd w:val="clear" w:color="auto" w:fill="auto"/>
            <w:noWrap/>
            <w:vAlign w:val="bottom"/>
            <w:hideMark/>
          </w:tcPr>
          <w:p w14:paraId="1A9DF620"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92" w:type="pct"/>
            <w:tcBorders>
              <w:top w:val="nil"/>
              <w:left w:val="nil"/>
              <w:bottom w:val="nil"/>
              <w:right w:val="nil"/>
            </w:tcBorders>
            <w:shd w:val="clear" w:color="auto" w:fill="auto"/>
            <w:noWrap/>
            <w:vAlign w:val="bottom"/>
            <w:hideMark/>
          </w:tcPr>
          <w:p w14:paraId="38F7EB0A"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389" w:type="pct"/>
            <w:tcBorders>
              <w:top w:val="nil"/>
              <w:left w:val="nil"/>
              <w:bottom w:val="nil"/>
              <w:right w:val="nil"/>
            </w:tcBorders>
            <w:shd w:val="clear" w:color="auto" w:fill="auto"/>
            <w:noWrap/>
            <w:vAlign w:val="bottom"/>
            <w:hideMark/>
          </w:tcPr>
          <w:p w14:paraId="1A00A811"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r>
      <w:tr w:rsidR="00DD531B" w:rsidRPr="00DD531B" w14:paraId="2F096B47" w14:textId="77777777" w:rsidTr="00837309">
        <w:trPr>
          <w:trHeight w:val="300"/>
        </w:trPr>
        <w:tc>
          <w:tcPr>
            <w:tcW w:w="2188" w:type="pct"/>
            <w:tcBorders>
              <w:top w:val="nil"/>
              <w:left w:val="nil"/>
              <w:bottom w:val="nil"/>
              <w:right w:val="nil"/>
            </w:tcBorders>
            <w:shd w:val="clear" w:color="auto" w:fill="auto"/>
            <w:noWrap/>
            <w:vAlign w:val="bottom"/>
            <w:hideMark/>
          </w:tcPr>
          <w:p w14:paraId="71A122D2"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prostriedky EÚ a spolufinancovanie zo ŠR</w:t>
            </w:r>
          </w:p>
        </w:tc>
        <w:tc>
          <w:tcPr>
            <w:tcW w:w="415" w:type="pct"/>
            <w:tcBorders>
              <w:top w:val="nil"/>
              <w:left w:val="nil"/>
              <w:bottom w:val="nil"/>
              <w:right w:val="nil"/>
            </w:tcBorders>
            <w:shd w:val="clear" w:color="auto" w:fill="auto"/>
            <w:noWrap/>
            <w:vAlign w:val="bottom"/>
            <w:hideMark/>
          </w:tcPr>
          <w:p w14:paraId="4DC1C18F"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968</w:t>
            </w:r>
          </w:p>
        </w:tc>
        <w:tc>
          <w:tcPr>
            <w:tcW w:w="367" w:type="pct"/>
            <w:tcBorders>
              <w:top w:val="nil"/>
              <w:left w:val="nil"/>
              <w:bottom w:val="nil"/>
              <w:right w:val="nil"/>
            </w:tcBorders>
            <w:shd w:val="clear" w:color="auto" w:fill="auto"/>
            <w:noWrap/>
            <w:vAlign w:val="bottom"/>
            <w:hideMark/>
          </w:tcPr>
          <w:p w14:paraId="1D2B5AC0"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10 863</w:t>
            </w:r>
          </w:p>
        </w:tc>
        <w:tc>
          <w:tcPr>
            <w:tcW w:w="391" w:type="pct"/>
            <w:tcBorders>
              <w:top w:val="nil"/>
              <w:left w:val="nil"/>
              <w:bottom w:val="nil"/>
              <w:right w:val="nil"/>
            </w:tcBorders>
            <w:shd w:val="clear" w:color="auto" w:fill="auto"/>
            <w:noWrap/>
            <w:vAlign w:val="bottom"/>
            <w:hideMark/>
          </w:tcPr>
          <w:p w14:paraId="23453C63"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468" w:type="pct"/>
            <w:tcBorders>
              <w:top w:val="nil"/>
              <w:left w:val="nil"/>
              <w:bottom w:val="nil"/>
              <w:right w:val="nil"/>
            </w:tcBorders>
            <w:shd w:val="clear" w:color="auto" w:fill="auto"/>
            <w:noWrap/>
            <w:vAlign w:val="bottom"/>
            <w:hideMark/>
          </w:tcPr>
          <w:p w14:paraId="322A6421"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5 776</w:t>
            </w:r>
          </w:p>
        </w:tc>
        <w:tc>
          <w:tcPr>
            <w:tcW w:w="391" w:type="pct"/>
            <w:tcBorders>
              <w:top w:val="nil"/>
              <w:left w:val="nil"/>
              <w:bottom w:val="nil"/>
              <w:right w:val="nil"/>
            </w:tcBorders>
            <w:shd w:val="clear" w:color="auto" w:fill="auto"/>
            <w:noWrap/>
            <w:vAlign w:val="bottom"/>
            <w:hideMark/>
          </w:tcPr>
          <w:p w14:paraId="1F500861"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92" w:type="pct"/>
            <w:tcBorders>
              <w:top w:val="nil"/>
              <w:left w:val="nil"/>
              <w:bottom w:val="nil"/>
              <w:right w:val="nil"/>
            </w:tcBorders>
            <w:shd w:val="clear" w:color="auto" w:fill="auto"/>
            <w:noWrap/>
            <w:vAlign w:val="bottom"/>
            <w:hideMark/>
          </w:tcPr>
          <w:p w14:paraId="5C5E222A"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389" w:type="pct"/>
            <w:tcBorders>
              <w:top w:val="nil"/>
              <w:left w:val="nil"/>
              <w:bottom w:val="nil"/>
              <w:right w:val="nil"/>
            </w:tcBorders>
            <w:shd w:val="clear" w:color="auto" w:fill="auto"/>
            <w:noWrap/>
            <w:vAlign w:val="bottom"/>
            <w:hideMark/>
          </w:tcPr>
          <w:p w14:paraId="2251968D"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r>
      <w:tr w:rsidR="00DD531B" w:rsidRPr="00DD531B" w14:paraId="0F54FA04" w14:textId="77777777" w:rsidTr="00837309">
        <w:trPr>
          <w:trHeight w:val="300"/>
        </w:trPr>
        <w:tc>
          <w:tcPr>
            <w:tcW w:w="2188" w:type="pct"/>
            <w:tcBorders>
              <w:top w:val="nil"/>
              <w:left w:val="nil"/>
              <w:bottom w:val="single" w:sz="4" w:space="0" w:color="auto"/>
              <w:right w:val="nil"/>
            </w:tcBorders>
            <w:shd w:val="clear" w:color="auto" w:fill="auto"/>
            <w:noWrap/>
            <w:vAlign w:val="bottom"/>
            <w:hideMark/>
          </w:tcPr>
          <w:p w14:paraId="17654448" w14:textId="14BA77DB" w:rsidR="00DD531B" w:rsidRPr="00837309" w:rsidRDefault="00DD531B" w:rsidP="00DD531B">
            <w:pPr>
              <w:spacing w:after="0" w:line="240" w:lineRule="auto"/>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prostriedky podľa § 17 ods. 4 a § 22 ods. 4 zákona</w:t>
            </w:r>
            <w:r w:rsidR="00837309">
              <w:rPr>
                <w:rFonts w:ascii="Times New Roman" w:eastAsia="Times New Roman" w:hAnsi="Times New Roman" w:cs="Times New Roman"/>
                <w:b/>
                <w:bCs/>
                <w:sz w:val="16"/>
                <w:szCs w:val="16"/>
                <w:lang w:eastAsia="sk-SK"/>
              </w:rPr>
              <w:br/>
            </w:r>
            <w:r w:rsidRPr="00837309">
              <w:rPr>
                <w:rFonts w:ascii="Times New Roman" w:eastAsia="Times New Roman" w:hAnsi="Times New Roman" w:cs="Times New Roman"/>
                <w:b/>
                <w:bCs/>
                <w:sz w:val="16"/>
                <w:szCs w:val="16"/>
                <w:lang w:eastAsia="sk-SK"/>
              </w:rPr>
              <w:t>č. 523/2004 Z. z.</w:t>
            </w:r>
          </w:p>
        </w:tc>
        <w:tc>
          <w:tcPr>
            <w:tcW w:w="415" w:type="pct"/>
            <w:tcBorders>
              <w:top w:val="nil"/>
              <w:left w:val="nil"/>
              <w:bottom w:val="single" w:sz="4" w:space="0" w:color="auto"/>
              <w:right w:val="nil"/>
            </w:tcBorders>
            <w:shd w:val="clear" w:color="auto" w:fill="auto"/>
            <w:noWrap/>
            <w:vAlign w:val="bottom"/>
            <w:hideMark/>
          </w:tcPr>
          <w:p w14:paraId="22F94E8E"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367" w:type="pct"/>
            <w:tcBorders>
              <w:top w:val="nil"/>
              <w:left w:val="nil"/>
              <w:bottom w:val="single" w:sz="4" w:space="0" w:color="auto"/>
              <w:right w:val="nil"/>
            </w:tcBorders>
            <w:shd w:val="clear" w:color="auto" w:fill="auto"/>
            <w:noWrap/>
            <w:vAlign w:val="bottom"/>
            <w:hideMark/>
          </w:tcPr>
          <w:p w14:paraId="5147739A"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5</w:t>
            </w:r>
          </w:p>
        </w:tc>
        <w:tc>
          <w:tcPr>
            <w:tcW w:w="391" w:type="pct"/>
            <w:tcBorders>
              <w:top w:val="nil"/>
              <w:left w:val="nil"/>
              <w:bottom w:val="single" w:sz="4" w:space="0" w:color="auto"/>
              <w:right w:val="nil"/>
            </w:tcBorders>
            <w:shd w:val="clear" w:color="auto" w:fill="auto"/>
            <w:noWrap/>
            <w:vAlign w:val="bottom"/>
            <w:hideMark/>
          </w:tcPr>
          <w:p w14:paraId="3D2AC8DE"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468" w:type="pct"/>
            <w:tcBorders>
              <w:top w:val="nil"/>
              <w:left w:val="nil"/>
              <w:bottom w:val="single" w:sz="4" w:space="0" w:color="auto"/>
              <w:right w:val="nil"/>
            </w:tcBorders>
            <w:shd w:val="clear" w:color="auto" w:fill="auto"/>
            <w:noWrap/>
            <w:vAlign w:val="bottom"/>
            <w:hideMark/>
          </w:tcPr>
          <w:p w14:paraId="2D68B209"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391" w:type="pct"/>
            <w:tcBorders>
              <w:top w:val="nil"/>
              <w:left w:val="nil"/>
              <w:bottom w:val="single" w:sz="4" w:space="0" w:color="auto"/>
              <w:right w:val="nil"/>
            </w:tcBorders>
            <w:shd w:val="clear" w:color="auto" w:fill="auto"/>
            <w:noWrap/>
            <w:vAlign w:val="bottom"/>
            <w:hideMark/>
          </w:tcPr>
          <w:p w14:paraId="2482BE64"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392" w:type="pct"/>
            <w:tcBorders>
              <w:top w:val="nil"/>
              <w:left w:val="nil"/>
              <w:bottom w:val="single" w:sz="4" w:space="0" w:color="auto"/>
              <w:right w:val="nil"/>
            </w:tcBorders>
            <w:shd w:val="clear" w:color="auto" w:fill="auto"/>
            <w:noWrap/>
            <w:vAlign w:val="bottom"/>
            <w:hideMark/>
          </w:tcPr>
          <w:p w14:paraId="46CEC1DE"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389" w:type="pct"/>
            <w:tcBorders>
              <w:top w:val="nil"/>
              <w:left w:val="nil"/>
              <w:bottom w:val="single" w:sz="4" w:space="0" w:color="auto"/>
              <w:right w:val="nil"/>
            </w:tcBorders>
            <w:shd w:val="clear" w:color="auto" w:fill="auto"/>
            <w:noWrap/>
            <w:vAlign w:val="bottom"/>
            <w:hideMark/>
          </w:tcPr>
          <w:p w14:paraId="04F03CB1"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r>
    </w:tbl>
    <w:p w14:paraId="4A082945" w14:textId="12F65BFF" w:rsidR="00DD531B" w:rsidRDefault="00DD531B" w:rsidP="00DD531B">
      <w:pPr>
        <w:rPr>
          <w:rFonts w:ascii="Times New Roman" w:eastAsia="Calibri" w:hAnsi="Times New Roman" w:cs="Times New Roman"/>
        </w:rPr>
      </w:pPr>
    </w:p>
    <w:p w14:paraId="1033F871" w14:textId="0A74EE74" w:rsidR="00837309" w:rsidRDefault="00837309" w:rsidP="00DD531B">
      <w:pPr>
        <w:rPr>
          <w:rFonts w:ascii="Times New Roman" w:eastAsia="Calibri" w:hAnsi="Times New Roman" w:cs="Times New Roman"/>
        </w:rPr>
      </w:pPr>
    </w:p>
    <w:p w14:paraId="42EC9E93" w14:textId="71C6E24E" w:rsidR="00837309" w:rsidRDefault="00837309" w:rsidP="00DD531B">
      <w:pPr>
        <w:rPr>
          <w:rFonts w:ascii="Times New Roman" w:eastAsia="Calibri" w:hAnsi="Times New Roman" w:cs="Times New Roman"/>
        </w:rPr>
      </w:pPr>
    </w:p>
    <w:p w14:paraId="75E4C8E3" w14:textId="5BED9BD5" w:rsidR="00837309" w:rsidRDefault="00837309" w:rsidP="00DD531B">
      <w:pPr>
        <w:rPr>
          <w:rFonts w:ascii="Times New Roman" w:eastAsia="Calibri" w:hAnsi="Times New Roman" w:cs="Times New Roman"/>
        </w:rPr>
      </w:pPr>
    </w:p>
    <w:p w14:paraId="45802800" w14:textId="4520D5A3" w:rsidR="00837309" w:rsidRDefault="00837309" w:rsidP="00DD531B">
      <w:pPr>
        <w:rPr>
          <w:rFonts w:ascii="Times New Roman" w:eastAsia="Calibri" w:hAnsi="Times New Roman" w:cs="Times New Roman"/>
        </w:rPr>
      </w:pPr>
    </w:p>
    <w:p w14:paraId="17B0A296" w14:textId="7AED1825" w:rsidR="00837309" w:rsidRDefault="00837309" w:rsidP="00DD531B">
      <w:pPr>
        <w:rPr>
          <w:rFonts w:ascii="Times New Roman" w:eastAsia="Calibri" w:hAnsi="Times New Roman" w:cs="Times New Roman"/>
        </w:rPr>
      </w:pPr>
    </w:p>
    <w:p w14:paraId="74C43A5A" w14:textId="6447B63C" w:rsidR="00837309" w:rsidRDefault="00837309" w:rsidP="00DD531B">
      <w:pPr>
        <w:rPr>
          <w:rFonts w:ascii="Times New Roman" w:eastAsia="Calibri" w:hAnsi="Times New Roman" w:cs="Times New Roman"/>
        </w:rPr>
      </w:pPr>
    </w:p>
    <w:p w14:paraId="2E270B71" w14:textId="572DFB14" w:rsidR="00837309" w:rsidRDefault="00837309" w:rsidP="00DD531B">
      <w:pPr>
        <w:rPr>
          <w:rFonts w:ascii="Times New Roman" w:eastAsia="Calibri" w:hAnsi="Times New Roman" w:cs="Times New Roman"/>
        </w:rPr>
      </w:pPr>
    </w:p>
    <w:p w14:paraId="1A0624A8" w14:textId="7F35EBCF" w:rsidR="00837309" w:rsidRDefault="00837309" w:rsidP="00DD531B">
      <w:pPr>
        <w:rPr>
          <w:rFonts w:ascii="Times New Roman" w:eastAsia="Calibri" w:hAnsi="Times New Roman" w:cs="Times New Roman"/>
        </w:rPr>
      </w:pPr>
    </w:p>
    <w:p w14:paraId="52A450FF" w14:textId="3B059954" w:rsidR="00837309" w:rsidRDefault="00837309" w:rsidP="00DD531B">
      <w:pPr>
        <w:rPr>
          <w:rFonts w:ascii="Times New Roman" w:eastAsia="Calibri" w:hAnsi="Times New Roman" w:cs="Times New Roman"/>
        </w:rPr>
      </w:pPr>
    </w:p>
    <w:p w14:paraId="60D80966" w14:textId="66341C23" w:rsidR="00837309" w:rsidRDefault="00837309" w:rsidP="00DD531B">
      <w:pPr>
        <w:rPr>
          <w:rFonts w:ascii="Times New Roman" w:eastAsia="Calibri" w:hAnsi="Times New Roman" w:cs="Times New Roman"/>
        </w:rPr>
      </w:pPr>
    </w:p>
    <w:p w14:paraId="78285363" w14:textId="685C0441" w:rsidR="00837309" w:rsidRDefault="00837309" w:rsidP="00DD531B">
      <w:pPr>
        <w:rPr>
          <w:rFonts w:ascii="Times New Roman" w:eastAsia="Calibri" w:hAnsi="Times New Roman" w:cs="Times New Roman"/>
        </w:rPr>
      </w:pPr>
    </w:p>
    <w:p w14:paraId="2D1C162B" w14:textId="77777777" w:rsidR="00837309" w:rsidRPr="00DD531B" w:rsidRDefault="00837309" w:rsidP="00DD531B">
      <w:pPr>
        <w:rPr>
          <w:rFonts w:ascii="Times New Roman" w:eastAsia="Calibri" w:hAnsi="Times New Roman" w:cs="Times New Roman"/>
        </w:rPr>
      </w:pPr>
    </w:p>
    <w:p w14:paraId="36241049" w14:textId="57A4D9F4" w:rsidR="00DD531B" w:rsidRPr="00837309" w:rsidRDefault="00DD531B" w:rsidP="00DD531B">
      <w:pPr>
        <w:keepNext/>
        <w:keepLines/>
        <w:spacing w:before="40" w:after="0"/>
        <w:outlineLvl w:val="1"/>
        <w:rPr>
          <w:rFonts w:ascii="Times New Roman" w:eastAsia="Times New Roman" w:hAnsi="Times New Roman" w:cs="Times New Roman"/>
          <w:b/>
          <w:color w:val="5B9BD5" w:themeColor="accent1"/>
          <w:sz w:val="24"/>
          <w:szCs w:val="24"/>
        </w:rPr>
      </w:pPr>
      <w:r w:rsidRPr="00837309">
        <w:rPr>
          <w:rFonts w:ascii="Times New Roman" w:eastAsia="Times New Roman" w:hAnsi="Times New Roman" w:cs="Times New Roman"/>
          <w:b/>
          <w:color w:val="5B9BD5" w:themeColor="accent1"/>
          <w:sz w:val="24"/>
          <w:szCs w:val="24"/>
        </w:rPr>
        <w:lastRenderedPageBreak/>
        <w:t>Kancelária súdnej rady SR</w:t>
      </w:r>
    </w:p>
    <w:p w14:paraId="2091A0A8" w14:textId="77777777" w:rsidR="00DD531B" w:rsidRPr="00837309" w:rsidRDefault="00DD531B" w:rsidP="00DD531B">
      <w:pPr>
        <w:rPr>
          <w:rFonts w:ascii="Times New Roman" w:eastAsia="Calibri" w:hAnsi="Times New Roman" w:cs="Times New Roman"/>
          <w:color w:val="5B9BD5" w:themeColor="accent1"/>
        </w:rPr>
      </w:pPr>
    </w:p>
    <w:p w14:paraId="0DCD023C" w14:textId="297DF9E5" w:rsidR="00DD531B" w:rsidRPr="00837309" w:rsidRDefault="00837309"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51" w:name="_Toc153013121"/>
      <w:r w:rsidRPr="00837309">
        <w:rPr>
          <w:rFonts w:ascii="Times New Roman" w:eastAsia="Times New Roman" w:hAnsi="Times New Roman" w:cs="Times New Roman"/>
          <w:b/>
          <w:iCs/>
          <w:color w:val="5B9BD5" w:themeColor="accent1"/>
          <w:sz w:val="20"/>
          <w:szCs w:val="20"/>
          <w:lang w:eastAsia="sk-SK"/>
        </w:rPr>
        <w:t xml:space="preserve">Tabuľka </w:t>
      </w:r>
      <w:r w:rsidRPr="00837309">
        <w:rPr>
          <w:rFonts w:ascii="Times New Roman" w:hAnsi="Times New Roman" w:cs="Times New Roman"/>
          <w:b/>
          <w:color w:val="5B9BD5" w:themeColor="accent1"/>
          <w:sz w:val="20"/>
          <w:szCs w:val="20"/>
        </w:rPr>
        <w:fldChar w:fldCharType="begin"/>
      </w:r>
      <w:r w:rsidRPr="00837309">
        <w:rPr>
          <w:rFonts w:ascii="Times New Roman" w:hAnsi="Times New Roman" w:cs="Times New Roman"/>
          <w:b/>
          <w:color w:val="5B9BD5" w:themeColor="accent1"/>
          <w:sz w:val="20"/>
          <w:szCs w:val="20"/>
        </w:rPr>
        <w:instrText xml:space="preserve"> SEQ Tabuľka \* ARABIC </w:instrText>
      </w:r>
      <w:r w:rsidRPr="00837309">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123</w:t>
      </w:r>
      <w:r w:rsidRPr="00837309">
        <w:rPr>
          <w:rFonts w:ascii="Times New Roman" w:hAnsi="Times New Roman" w:cs="Times New Roman"/>
          <w:b/>
          <w:color w:val="5B9BD5" w:themeColor="accent1"/>
          <w:sz w:val="20"/>
          <w:szCs w:val="20"/>
        </w:rPr>
        <w:fldChar w:fldCharType="end"/>
      </w:r>
      <w:r w:rsidRPr="00837309">
        <w:rPr>
          <w:rFonts w:ascii="Times New Roman" w:hAnsi="Times New Roman" w:cs="Times New Roman"/>
          <w:b/>
          <w:color w:val="5B9BD5" w:themeColor="accent1"/>
          <w:sz w:val="20"/>
          <w:szCs w:val="20"/>
        </w:rPr>
        <w:t xml:space="preserve"> - </w:t>
      </w:r>
      <w:r w:rsidR="00DD531B" w:rsidRPr="00837309">
        <w:rPr>
          <w:rFonts w:ascii="Times New Roman" w:eastAsia="Times New Roman" w:hAnsi="Times New Roman" w:cs="Times New Roman"/>
          <w:b/>
          <w:iCs/>
          <w:color w:val="5B9BD5" w:themeColor="accent1"/>
          <w:sz w:val="20"/>
          <w:szCs w:val="20"/>
          <w:lang w:eastAsia="sk-SK"/>
        </w:rPr>
        <w:t>Výdavky kapitoly KSR SR</w:t>
      </w:r>
      <w:bookmarkEnd w:id="251"/>
    </w:p>
    <w:tbl>
      <w:tblPr>
        <w:tblW w:w="5000" w:type="pct"/>
        <w:tblCellMar>
          <w:left w:w="70" w:type="dxa"/>
          <w:right w:w="70" w:type="dxa"/>
        </w:tblCellMar>
        <w:tblLook w:val="04A0" w:firstRow="1" w:lastRow="0" w:firstColumn="1" w:lastColumn="0" w:noHBand="0" w:noVBand="1"/>
      </w:tblPr>
      <w:tblGrid>
        <w:gridCol w:w="3570"/>
        <w:gridCol w:w="748"/>
        <w:gridCol w:w="748"/>
        <w:gridCol w:w="773"/>
        <w:gridCol w:w="916"/>
        <w:gridCol w:w="773"/>
        <w:gridCol w:w="773"/>
        <w:gridCol w:w="771"/>
      </w:tblGrid>
      <w:tr w:rsidR="00DD531B" w:rsidRPr="00DD531B" w14:paraId="38A6734A" w14:textId="77777777" w:rsidTr="001F24AE">
        <w:trPr>
          <w:trHeight w:val="300"/>
        </w:trPr>
        <w:tc>
          <w:tcPr>
            <w:tcW w:w="1968" w:type="pct"/>
            <w:tcBorders>
              <w:top w:val="single" w:sz="4" w:space="0" w:color="auto"/>
              <w:left w:val="nil"/>
              <w:bottom w:val="single" w:sz="4" w:space="0" w:color="auto"/>
              <w:right w:val="nil"/>
            </w:tcBorders>
            <w:shd w:val="clear" w:color="auto" w:fill="auto"/>
            <w:noWrap/>
            <w:vAlign w:val="center"/>
            <w:hideMark/>
          </w:tcPr>
          <w:p w14:paraId="0CDB69ED" w14:textId="77777777" w:rsidR="00DD531B" w:rsidRPr="00837309" w:rsidRDefault="00DD531B" w:rsidP="00DD531B">
            <w:pPr>
              <w:spacing w:after="0" w:line="240" w:lineRule="auto"/>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v tis. eur</w:t>
            </w:r>
          </w:p>
        </w:tc>
        <w:tc>
          <w:tcPr>
            <w:tcW w:w="412" w:type="pct"/>
            <w:tcBorders>
              <w:top w:val="single" w:sz="4" w:space="0" w:color="auto"/>
              <w:left w:val="nil"/>
              <w:bottom w:val="single" w:sz="4" w:space="0" w:color="auto"/>
              <w:right w:val="nil"/>
            </w:tcBorders>
            <w:shd w:val="clear" w:color="auto" w:fill="auto"/>
            <w:noWrap/>
            <w:vAlign w:val="center"/>
            <w:hideMark/>
          </w:tcPr>
          <w:p w14:paraId="587B706E"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2021 S</w:t>
            </w:r>
          </w:p>
        </w:tc>
        <w:tc>
          <w:tcPr>
            <w:tcW w:w="412" w:type="pct"/>
            <w:tcBorders>
              <w:top w:val="single" w:sz="4" w:space="0" w:color="auto"/>
              <w:left w:val="nil"/>
              <w:bottom w:val="single" w:sz="4" w:space="0" w:color="auto"/>
              <w:right w:val="nil"/>
            </w:tcBorders>
            <w:shd w:val="clear" w:color="auto" w:fill="auto"/>
            <w:noWrap/>
            <w:vAlign w:val="center"/>
            <w:hideMark/>
          </w:tcPr>
          <w:p w14:paraId="129502CE"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2022 S</w:t>
            </w:r>
          </w:p>
        </w:tc>
        <w:tc>
          <w:tcPr>
            <w:tcW w:w="426" w:type="pct"/>
            <w:tcBorders>
              <w:top w:val="single" w:sz="4" w:space="0" w:color="auto"/>
              <w:left w:val="nil"/>
              <w:bottom w:val="single" w:sz="4" w:space="0" w:color="auto"/>
              <w:right w:val="nil"/>
            </w:tcBorders>
            <w:shd w:val="clear" w:color="auto" w:fill="auto"/>
            <w:noWrap/>
            <w:vAlign w:val="center"/>
            <w:hideMark/>
          </w:tcPr>
          <w:p w14:paraId="79996050"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2023 R</w:t>
            </w:r>
          </w:p>
        </w:tc>
        <w:tc>
          <w:tcPr>
            <w:tcW w:w="505" w:type="pct"/>
            <w:tcBorders>
              <w:top w:val="single" w:sz="4" w:space="0" w:color="auto"/>
              <w:left w:val="nil"/>
              <w:bottom w:val="single" w:sz="4" w:space="0" w:color="auto"/>
              <w:right w:val="nil"/>
            </w:tcBorders>
            <w:shd w:val="clear" w:color="auto" w:fill="auto"/>
            <w:noWrap/>
            <w:vAlign w:val="center"/>
            <w:hideMark/>
          </w:tcPr>
          <w:p w14:paraId="0C10E835"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2023 OS</w:t>
            </w:r>
          </w:p>
        </w:tc>
        <w:tc>
          <w:tcPr>
            <w:tcW w:w="426" w:type="pct"/>
            <w:tcBorders>
              <w:top w:val="single" w:sz="4" w:space="0" w:color="auto"/>
              <w:left w:val="nil"/>
              <w:bottom w:val="single" w:sz="4" w:space="0" w:color="auto"/>
              <w:right w:val="nil"/>
            </w:tcBorders>
            <w:shd w:val="clear" w:color="auto" w:fill="auto"/>
            <w:noWrap/>
            <w:vAlign w:val="center"/>
            <w:hideMark/>
          </w:tcPr>
          <w:p w14:paraId="7FA8F891"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2024 N</w:t>
            </w:r>
          </w:p>
        </w:tc>
        <w:tc>
          <w:tcPr>
            <w:tcW w:w="426" w:type="pct"/>
            <w:tcBorders>
              <w:top w:val="single" w:sz="4" w:space="0" w:color="auto"/>
              <w:left w:val="nil"/>
              <w:bottom w:val="single" w:sz="4" w:space="0" w:color="auto"/>
              <w:right w:val="nil"/>
            </w:tcBorders>
            <w:shd w:val="clear" w:color="auto" w:fill="auto"/>
            <w:noWrap/>
            <w:vAlign w:val="center"/>
            <w:hideMark/>
          </w:tcPr>
          <w:p w14:paraId="1054BF2D"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2025 N</w:t>
            </w:r>
          </w:p>
        </w:tc>
        <w:tc>
          <w:tcPr>
            <w:tcW w:w="426" w:type="pct"/>
            <w:tcBorders>
              <w:top w:val="single" w:sz="4" w:space="0" w:color="auto"/>
              <w:left w:val="nil"/>
              <w:bottom w:val="single" w:sz="4" w:space="0" w:color="auto"/>
              <w:right w:val="nil"/>
            </w:tcBorders>
            <w:shd w:val="clear" w:color="auto" w:fill="auto"/>
            <w:noWrap/>
            <w:vAlign w:val="center"/>
            <w:hideMark/>
          </w:tcPr>
          <w:p w14:paraId="1E36D56D"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2026 N</w:t>
            </w:r>
          </w:p>
        </w:tc>
      </w:tr>
      <w:tr w:rsidR="00DD531B" w:rsidRPr="00DD531B" w14:paraId="3907A694" w14:textId="77777777" w:rsidTr="001F24AE">
        <w:trPr>
          <w:trHeight w:val="300"/>
        </w:trPr>
        <w:tc>
          <w:tcPr>
            <w:tcW w:w="1968" w:type="pct"/>
            <w:tcBorders>
              <w:top w:val="nil"/>
              <w:left w:val="nil"/>
              <w:bottom w:val="nil"/>
              <w:right w:val="nil"/>
            </w:tcBorders>
            <w:shd w:val="clear" w:color="auto" w:fill="auto"/>
            <w:noWrap/>
            <w:vAlign w:val="center"/>
            <w:hideMark/>
          </w:tcPr>
          <w:p w14:paraId="64A1BCAA" w14:textId="77777777" w:rsidR="00DD531B" w:rsidRPr="00837309" w:rsidRDefault="00DD531B" w:rsidP="00DD531B">
            <w:pPr>
              <w:spacing w:after="0" w:line="240" w:lineRule="auto"/>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Výdavky kapitoly spolu</w:t>
            </w:r>
          </w:p>
        </w:tc>
        <w:tc>
          <w:tcPr>
            <w:tcW w:w="412" w:type="pct"/>
            <w:tcBorders>
              <w:top w:val="nil"/>
              <w:left w:val="nil"/>
              <w:bottom w:val="nil"/>
              <w:right w:val="nil"/>
            </w:tcBorders>
            <w:shd w:val="clear" w:color="auto" w:fill="auto"/>
            <w:noWrap/>
            <w:vAlign w:val="center"/>
            <w:hideMark/>
          </w:tcPr>
          <w:p w14:paraId="2BCFBD58"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2 171</w:t>
            </w:r>
          </w:p>
        </w:tc>
        <w:tc>
          <w:tcPr>
            <w:tcW w:w="412" w:type="pct"/>
            <w:tcBorders>
              <w:top w:val="nil"/>
              <w:left w:val="nil"/>
              <w:bottom w:val="nil"/>
              <w:right w:val="nil"/>
            </w:tcBorders>
            <w:shd w:val="clear" w:color="auto" w:fill="auto"/>
            <w:noWrap/>
            <w:vAlign w:val="center"/>
            <w:hideMark/>
          </w:tcPr>
          <w:p w14:paraId="5B9FAEE9"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2 361</w:t>
            </w:r>
          </w:p>
        </w:tc>
        <w:tc>
          <w:tcPr>
            <w:tcW w:w="426" w:type="pct"/>
            <w:tcBorders>
              <w:top w:val="nil"/>
              <w:left w:val="nil"/>
              <w:bottom w:val="nil"/>
              <w:right w:val="nil"/>
            </w:tcBorders>
            <w:shd w:val="clear" w:color="auto" w:fill="auto"/>
            <w:noWrap/>
            <w:vAlign w:val="center"/>
            <w:hideMark/>
          </w:tcPr>
          <w:p w14:paraId="18060799"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2 475</w:t>
            </w:r>
          </w:p>
        </w:tc>
        <w:tc>
          <w:tcPr>
            <w:tcW w:w="505" w:type="pct"/>
            <w:tcBorders>
              <w:top w:val="nil"/>
              <w:left w:val="nil"/>
              <w:bottom w:val="nil"/>
              <w:right w:val="nil"/>
            </w:tcBorders>
            <w:shd w:val="clear" w:color="auto" w:fill="auto"/>
            <w:noWrap/>
            <w:vAlign w:val="center"/>
            <w:hideMark/>
          </w:tcPr>
          <w:p w14:paraId="3A5E4216"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2 977</w:t>
            </w:r>
          </w:p>
        </w:tc>
        <w:tc>
          <w:tcPr>
            <w:tcW w:w="426" w:type="pct"/>
            <w:tcBorders>
              <w:top w:val="nil"/>
              <w:left w:val="nil"/>
              <w:bottom w:val="nil"/>
              <w:right w:val="nil"/>
            </w:tcBorders>
            <w:shd w:val="clear" w:color="auto" w:fill="auto"/>
            <w:noWrap/>
            <w:vAlign w:val="center"/>
            <w:hideMark/>
          </w:tcPr>
          <w:p w14:paraId="4D1A2719"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2 695</w:t>
            </w:r>
          </w:p>
        </w:tc>
        <w:tc>
          <w:tcPr>
            <w:tcW w:w="426" w:type="pct"/>
            <w:tcBorders>
              <w:top w:val="nil"/>
              <w:left w:val="nil"/>
              <w:bottom w:val="nil"/>
              <w:right w:val="nil"/>
            </w:tcBorders>
            <w:shd w:val="clear" w:color="auto" w:fill="auto"/>
            <w:noWrap/>
            <w:vAlign w:val="center"/>
            <w:hideMark/>
          </w:tcPr>
          <w:p w14:paraId="7F5AD381"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2 604</w:t>
            </w:r>
          </w:p>
        </w:tc>
        <w:tc>
          <w:tcPr>
            <w:tcW w:w="426" w:type="pct"/>
            <w:tcBorders>
              <w:top w:val="nil"/>
              <w:left w:val="nil"/>
              <w:bottom w:val="nil"/>
              <w:right w:val="nil"/>
            </w:tcBorders>
            <w:shd w:val="clear" w:color="auto" w:fill="auto"/>
            <w:noWrap/>
            <w:vAlign w:val="center"/>
            <w:hideMark/>
          </w:tcPr>
          <w:p w14:paraId="5A70EB81"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2 593</w:t>
            </w:r>
          </w:p>
        </w:tc>
      </w:tr>
      <w:tr w:rsidR="00DD531B" w:rsidRPr="00DD531B" w14:paraId="393B5648" w14:textId="77777777" w:rsidTr="001F24AE">
        <w:trPr>
          <w:trHeight w:val="300"/>
        </w:trPr>
        <w:tc>
          <w:tcPr>
            <w:tcW w:w="1968" w:type="pct"/>
            <w:tcBorders>
              <w:top w:val="nil"/>
              <w:left w:val="nil"/>
              <w:bottom w:val="nil"/>
              <w:right w:val="nil"/>
            </w:tcBorders>
            <w:shd w:val="clear" w:color="auto" w:fill="auto"/>
            <w:noWrap/>
            <w:vAlign w:val="bottom"/>
            <w:hideMark/>
          </w:tcPr>
          <w:p w14:paraId="758E5920" w14:textId="77777777" w:rsidR="00DD531B" w:rsidRPr="00837309" w:rsidRDefault="00DD531B" w:rsidP="00DD531B">
            <w:pPr>
              <w:spacing w:after="0" w:line="240" w:lineRule="auto"/>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rozpočtové zdroje kapitoly</w:t>
            </w:r>
          </w:p>
        </w:tc>
        <w:tc>
          <w:tcPr>
            <w:tcW w:w="412" w:type="pct"/>
            <w:tcBorders>
              <w:top w:val="nil"/>
              <w:left w:val="nil"/>
              <w:bottom w:val="nil"/>
              <w:right w:val="nil"/>
            </w:tcBorders>
            <w:shd w:val="clear" w:color="auto" w:fill="auto"/>
            <w:noWrap/>
            <w:vAlign w:val="bottom"/>
            <w:hideMark/>
          </w:tcPr>
          <w:p w14:paraId="70FE06E6"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2 167</w:t>
            </w:r>
          </w:p>
        </w:tc>
        <w:tc>
          <w:tcPr>
            <w:tcW w:w="412" w:type="pct"/>
            <w:tcBorders>
              <w:top w:val="nil"/>
              <w:left w:val="nil"/>
              <w:bottom w:val="nil"/>
              <w:right w:val="nil"/>
            </w:tcBorders>
            <w:shd w:val="clear" w:color="auto" w:fill="auto"/>
            <w:noWrap/>
            <w:vAlign w:val="bottom"/>
            <w:hideMark/>
          </w:tcPr>
          <w:p w14:paraId="5C5BA382"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2 320</w:t>
            </w:r>
          </w:p>
        </w:tc>
        <w:tc>
          <w:tcPr>
            <w:tcW w:w="426" w:type="pct"/>
            <w:tcBorders>
              <w:top w:val="nil"/>
              <w:left w:val="nil"/>
              <w:bottom w:val="nil"/>
              <w:right w:val="nil"/>
            </w:tcBorders>
            <w:shd w:val="clear" w:color="auto" w:fill="auto"/>
            <w:noWrap/>
            <w:vAlign w:val="bottom"/>
            <w:hideMark/>
          </w:tcPr>
          <w:p w14:paraId="429C991A"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2 475</w:t>
            </w:r>
          </w:p>
        </w:tc>
        <w:tc>
          <w:tcPr>
            <w:tcW w:w="505" w:type="pct"/>
            <w:tcBorders>
              <w:top w:val="nil"/>
              <w:left w:val="nil"/>
              <w:bottom w:val="nil"/>
              <w:right w:val="nil"/>
            </w:tcBorders>
            <w:shd w:val="clear" w:color="auto" w:fill="auto"/>
            <w:noWrap/>
            <w:vAlign w:val="bottom"/>
            <w:hideMark/>
          </w:tcPr>
          <w:p w14:paraId="0CAA6359"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2 879</w:t>
            </w:r>
          </w:p>
        </w:tc>
        <w:tc>
          <w:tcPr>
            <w:tcW w:w="426" w:type="pct"/>
            <w:tcBorders>
              <w:top w:val="nil"/>
              <w:left w:val="nil"/>
              <w:bottom w:val="nil"/>
              <w:right w:val="nil"/>
            </w:tcBorders>
            <w:shd w:val="clear" w:color="auto" w:fill="auto"/>
            <w:noWrap/>
            <w:vAlign w:val="bottom"/>
            <w:hideMark/>
          </w:tcPr>
          <w:p w14:paraId="7FB20C31"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2 695</w:t>
            </w:r>
          </w:p>
        </w:tc>
        <w:tc>
          <w:tcPr>
            <w:tcW w:w="426" w:type="pct"/>
            <w:tcBorders>
              <w:top w:val="nil"/>
              <w:left w:val="nil"/>
              <w:bottom w:val="nil"/>
              <w:right w:val="nil"/>
            </w:tcBorders>
            <w:shd w:val="clear" w:color="auto" w:fill="auto"/>
            <w:noWrap/>
            <w:vAlign w:val="bottom"/>
            <w:hideMark/>
          </w:tcPr>
          <w:p w14:paraId="6C8AC336"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2 604</w:t>
            </w:r>
          </w:p>
        </w:tc>
        <w:tc>
          <w:tcPr>
            <w:tcW w:w="426" w:type="pct"/>
            <w:tcBorders>
              <w:top w:val="nil"/>
              <w:left w:val="nil"/>
              <w:bottom w:val="nil"/>
              <w:right w:val="nil"/>
            </w:tcBorders>
            <w:shd w:val="clear" w:color="auto" w:fill="auto"/>
            <w:noWrap/>
            <w:vAlign w:val="bottom"/>
            <w:hideMark/>
          </w:tcPr>
          <w:p w14:paraId="226FE1EF"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2 593</w:t>
            </w:r>
          </w:p>
        </w:tc>
      </w:tr>
      <w:tr w:rsidR="00DD531B" w:rsidRPr="00DD531B" w14:paraId="69289EAF" w14:textId="77777777" w:rsidTr="001F24AE">
        <w:trPr>
          <w:trHeight w:val="300"/>
        </w:trPr>
        <w:tc>
          <w:tcPr>
            <w:tcW w:w="1968" w:type="pct"/>
            <w:tcBorders>
              <w:top w:val="nil"/>
              <w:left w:val="nil"/>
              <w:bottom w:val="nil"/>
              <w:right w:val="nil"/>
            </w:tcBorders>
            <w:shd w:val="clear" w:color="auto" w:fill="auto"/>
            <w:noWrap/>
            <w:vAlign w:val="bottom"/>
            <w:hideMark/>
          </w:tcPr>
          <w:p w14:paraId="3469D46F"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bežné výdavky  600, v tom:</w:t>
            </w:r>
          </w:p>
        </w:tc>
        <w:tc>
          <w:tcPr>
            <w:tcW w:w="412" w:type="pct"/>
            <w:tcBorders>
              <w:top w:val="nil"/>
              <w:left w:val="nil"/>
              <w:bottom w:val="nil"/>
              <w:right w:val="nil"/>
            </w:tcBorders>
            <w:shd w:val="clear" w:color="auto" w:fill="auto"/>
            <w:noWrap/>
            <w:vAlign w:val="bottom"/>
            <w:hideMark/>
          </w:tcPr>
          <w:p w14:paraId="5B077CB7"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2 167</w:t>
            </w:r>
          </w:p>
        </w:tc>
        <w:tc>
          <w:tcPr>
            <w:tcW w:w="412" w:type="pct"/>
            <w:tcBorders>
              <w:top w:val="nil"/>
              <w:left w:val="nil"/>
              <w:bottom w:val="nil"/>
              <w:right w:val="nil"/>
            </w:tcBorders>
            <w:shd w:val="clear" w:color="auto" w:fill="auto"/>
            <w:noWrap/>
            <w:vAlign w:val="bottom"/>
            <w:hideMark/>
          </w:tcPr>
          <w:p w14:paraId="494862E1"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2 320</w:t>
            </w:r>
          </w:p>
        </w:tc>
        <w:tc>
          <w:tcPr>
            <w:tcW w:w="426" w:type="pct"/>
            <w:tcBorders>
              <w:top w:val="nil"/>
              <w:left w:val="nil"/>
              <w:bottom w:val="nil"/>
              <w:right w:val="nil"/>
            </w:tcBorders>
            <w:shd w:val="clear" w:color="auto" w:fill="auto"/>
            <w:noWrap/>
            <w:vAlign w:val="bottom"/>
            <w:hideMark/>
          </w:tcPr>
          <w:p w14:paraId="790628E0"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2 469</w:t>
            </w:r>
          </w:p>
        </w:tc>
        <w:tc>
          <w:tcPr>
            <w:tcW w:w="505" w:type="pct"/>
            <w:tcBorders>
              <w:top w:val="nil"/>
              <w:left w:val="nil"/>
              <w:bottom w:val="nil"/>
              <w:right w:val="nil"/>
            </w:tcBorders>
            <w:shd w:val="clear" w:color="auto" w:fill="auto"/>
            <w:noWrap/>
            <w:vAlign w:val="bottom"/>
            <w:hideMark/>
          </w:tcPr>
          <w:p w14:paraId="7C5B2317"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2 565</w:t>
            </w:r>
          </w:p>
        </w:tc>
        <w:tc>
          <w:tcPr>
            <w:tcW w:w="426" w:type="pct"/>
            <w:tcBorders>
              <w:top w:val="nil"/>
              <w:left w:val="nil"/>
              <w:bottom w:val="nil"/>
              <w:right w:val="nil"/>
            </w:tcBorders>
            <w:shd w:val="clear" w:color="auto" w:fill="auto"/>
            <w:noWrap/>
            <w:vAlign w:val="bottom"/>
            <w:hideMark/>
          </w:tcPr>
          <w:p w14:paraId="4F5E242A"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2 612</w:t>
            </w:r>
          </w:p>
        </w:tc>
        <w:tc>
          <w:tcPr>
            <w:tcW w:w="426" w:type="pct"/>
            <w:tcBorders>
              <w:top w:val="nil"/>
              <w:left w:val="nil"/>
              <w:bottom w:val="nil"/>
              <w:right w:val="nil"/>
            </w:tcBorders>
            <w:shd w:val="clear" w:color="auto" w:fill="auto"/>
            <w:noWrap/>
            <w:vAlign w:val="bottom"/>
            <w:hideMark/>
          </w:tcPr>
          <w:p w14:paraId="699E2E01"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2 560</w:t>
            </w:r>
          </w:p>
        </w:tc>
        <w:tc>
          <w:tcPr>
            <w:tcW w:w="426" w:type="pct"/>
            <w:tcBorders>
              <w:top w:val="nil"/>
              <w:left w:val="nil"/>
              <w:bottom w:val="nil"/>
              <w:right w:val="nil"/>
            </w:tcBorders>
            <w:shd w:val="clear" w:color="auto" w:fill="auto"/>
            <w:noWrap/>
            <w:vAlign w:val="bottom"/>
            <w:hideMark/>
          </w:tcPr>
          <w:p w14:paraId="7457D8E4"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2 560</w:t>
            </w:r>
          </w:p>
        </w:tc>
      </w:tr>
      <w:tr w:rsidR="00DD531B" w:rsidRPr="00DD531B" w14:paraId="32F79203" w14:textId="77777777" w:rsidTr="001F24AE">
        <w:trPr>
          <w:trHeight w:val="300"/>
        </w:trPr>
        <w:tc>
          <w:tcPr>
            <w:tcW w:w="1968" w:type="pct"/>
            <w:tcBorders>
              <w:top w:val="nil"/>
              <w:left w:val="nil"/>
              <w:bottom w:val="nil"/>
              <w:right w:val="nil"/>
            </w:tcBorders>
            <w:shd w:val="clear" w:color="auto" w:fill="auto"/>
            <w:noWrap/>
            <w:vAlign w:val="bottom"/>
            <w:hideMark/>
          </w:tcPr>
          <w:p w14:paraId="565C8327"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610 mzdy</w:t>
            </w:r>
          </w:p>
        </w:tc>
        <w:tc>
          <w:tcPr>
            <w:tcW w:w="412" w:type="pct"/>
            <w:tcBorders>
              <w:top w:val="nil"/>
              <w:left w:val="nil"/>
              <w:bottom w:val="nil"/>
              <w:right w:val="nil"/>
            </w:tcBorders>
            <w:shd w:val="clear" w:color="auto" w:fill="auto"/>
            <w:noWrap/>
            <w:vAlign w:val="bottom"/>
            <w:hideMark/>
          </w:tcPr>
          <w:p w14:paraId="3620585E"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1 198</w:t>
            </w:r>
          </w:p>
        </w:tc>
        <w:tc>
          <w:tcPr>
            <w:tcW w:w="412" w:type="pct"/>
            <w:tcBorders>
              <w:top w:val="nil"/>
              <w:left w:val="nil"/>
              <w:bottom w:val="nil"/>
              <w:right w:val="nil"/>
            </w:tcBorders>
            <w:shd w:val="clear" w:color="auto" w:fill="auto"/>
            <w:noWrap/>
            <w:vAlign w:val="bottom"/>
            <w:hideMark/>
          </w:tcPr>
          <w:p w14:paraId="11EAE8E4"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1 239</w:t>
            </w:r>
          </w:p>
        </w:tc>
        <w:tc>
          <w:tcPr>
            <w:tcW w:w="426" w:type="pct"/>
            <w:tcBorders>
              <w:top w:val="nil"/>
              <w:left w:val="nil"/>
              <w:bottom w:val="nil"/>
              <w:right w:val="nil"/>
            </w:tcBorders>
            <w:shd w:val="clear" w:color="auto" w:fill="auto"/>
            <w:noWrap/>
            <w:vAlign w:val="bottom"/>
            <w:hideMark/>
          </w:tcPr>
          <w:p w14:paraId="7BF52507"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1 367</w:t>
            </w:r>
          </w:p>
        </w:tc>
        <w:tc>
          <w:tcPr>
            <w:tcW w:w="505" w:type="pct"/>
            <w:tcBorders>
              <w:top w:val="nil"/>
              <w:left w:val="nil"/>
              <w:bottom w:val="nil"/>
              <w:right w:val="nil"/>
            </w:tcBorders>
            <w:shd w:val="clear" w:color="auto" w:fill="auto"/>
            <w:noWrap/>
            <w:vAlign w:val="bottom"/>
            <w:hideMark/>
          </w:tcPr>
          <w:p w14:paraId="069A7236"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1 384</w:t>
            </w:r>
          </w:p>
        </w:tc>
        <w:tc>
          <w:tcPr>
            <w:tcW w:w="426" w:type="pct"/>
            <w:tcBorders>
              <w:top w:val="nil"/>
              <w:left w:val="nil"/>
              <w:bottom w:val="nil"/>
              <w:right w:val="nil"/>
            </w:tcBorders>
            <w:shd w:val="clear" w:color="auto" w:fill="auto"/>
            <w:noWrap/>
            <w:vAlign w:val="bottom"/>
            <w:hideMark/>
          </w:tcPr>
          <w:p w14:paraId="6E1C2E0C"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1 458</w:t>
            </w:r>
          </w:p>
        </w:tc>
        <w:tc>
          <w:tcPr>
            <w:tcW w:w="426" w:type="pct"/>
            <w:tcBorders>
              <w:top w:val="nil"/>
              <w:left w:val="nil"/>
              <w:bottom w:val="nil"/>
              <w:right w:val="nil"/>
            </w:tcBorders>
            <w:shd w:val="clear" w:color="auto" w:fill="auto"/>
            <w:noWrap/>
            <w:vAlign w:val="bottom"/>
            <w:hideMark/>
          </w:tcPr>
          <w:p w14:paraId="4A1F778C"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1 458</w:t>
            </w:r>
          </w:p>
        </w:tc>
        <w:tc>
          <w:tcPr>
            <w:tcW w:w="426" w:type="pct"/>
            <w:tcBorders>
              <w:top w:val="nil"/>
              <w:left w:val="nil"/>
              <w:bottom w:val="nil"/>
              <w:right w:val="nil"/>
            </w:tcBorders>
            <w:shd w:val="clear" w:color="auto" w:fill="auto"/>
            <w:noWrap/>
            <w:vAlign w:val="bottom"/>
            <w:hideMark/>
          </w:tcPr>
          <w:p w14:paraId="343A12FF"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1 458</w:t>
            </w:r>
          </w:p>
        </w:tc>
      </w:tr>
      <w:tr w:rsidR="00DD531B" w:rsidRPr="00DD531B" w14:paraId="6CC240BA" w14:textId="77777777" w:rsidTr="001F24AE">
        <w:trPr>
          <w:trHeight w:val="300"/>
        </w:trPr>
        <w:tc>
          <w:tcPr>
            <w:tcW w:w="1968" w:type="pct"/>
            <w:tcBorders>
              <w:top w:val="nil"/>
              <w:left w:val="nil"/>
              <w:bottom w:val="nil"/>
              <w:right w:val="nil"/>
            </w:tcBorders>
            <w:shd w:val="clear" w:color="auto" w:fill="auto"/>
            <w:noWrap/>
            <w:vAlign w:val="bottom"/>
            <w:hideMark/>
          </w:tcPr>
          <w:p w14:paraId="5EA93A9B"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620 odvody</w:t>
            </w:r>
          </w:p>
        </w:tc>
        <w:tc>
          <w:tcPr>
            <w:tcW w:w="412" w:type="pct"/>
            <w:tcBorders>
              <w:top w:val="nil"/>
              <w:left w:val="nil"/>
              <w:bottom w:val="nil"/>
              <w:right w:val="nil"/>
            </w:tcBorders>
            <w:shd w:val="clear" w:color="auto" w:fill="auto"/>
            <w:noWrap/>
            <w:vAlign w:val="bottom"/>
            <w:hideMark/>
          </w:tcPr>
          <w:p w14:paraId="1D3A2B05"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437</w:t>
            </w:r>
          </w:p>
        </w:tc>
        <w:tc>
          <w:tcPr>
            <w:tcW w:w="412" w:type="pct"/>
            <w:tcBorders>
              <w:top w:val="nil"/>
              <w:left w:val="nil"/>
              <w:bottom w:val="nil"/>
              <w:right w:val="nil"/>
            </w:tcBorders>
            <w:shd w:val="clear" w:color="auto" w:fill="auto"/>
            <w:noWrap/>
            <w:vAlign w:val="bottom"/>
            <w:hideMark/>
          </w:tcPr>
          <w:p w14:paraId="5B912912"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471</w:t>
            </w:r>
          </w:p>
        </w:tc>
        <w:tc>
          <w:tcPr>
            <w:tcW w:w="426" w:type="pct"/>
            <w:tcBorders>
              <w:top w:val="nil"/>
              <w:left w:val="nil"/>
              <w:bottom w:val="nil"/>
              <w:right w:val="nil"/>
            </w:tcBorders>
            <w:shd w:val="clear" w:color="auto" w:fill="auto"/>
            <w:noWrap/>
            <w:vAlign w:val="bottom"/>
            <w:hideMark/>
          </w:tcPr>
          <w:p w14:paraId="6AE1719A"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508</w:t>
            </w:r>
          </w:p>
        </w:tc>
        <w:tc>
          <w:tcPr>
            <w:tcW w:w="505" w:type="pct"/>
            <w:tcBorders>
              <w:top w:val="nil"/>
              <w:left w:val="nil"/>
              <w:bottom w:val="nil"/>
              <w:right w:val="nil"/>
            </w:tcBorders>
            <w:shd w:val="clear" w:color="auto" w:fill="auto"/>
            <w:noWrap/>
            <w:vAlign w:val="bottom"/>
            <w:hideMark/>
          </w:tcPr>
          <w:p w14:paraId="65D00785"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516</w:t>
            </w:r>
          </w:p>
        </w:tc>
        <w:tc>
          <w:tcPr>
            <w:tcW w:w="426" w:type="pct"/>
            <w:tcBorders>
              <w:top w:val="nil"/>
              <w:left w:val="nil"/>
              <w:bottom w:val="nil"/>
              <w:right w:val="nil"/>
            </w:tcBorders>
            <w:shd w:val="clear" w:color="auto" w:fill="auto"/>
            <w:noWrap/>
            <w:vAlign w:val="bottom"/>
            <w:hideMark/>
          </w:tcPr>
          <w:p w14:paraId="78BD6CC7"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543</w:t>
            </w:r>
          </w:p>
        </w:tc>
        <w:tc>
          <w:tcPr>
            <w:tcW w:w="426" w:type="pct"/>
            <w:tcBorders>
              <w:top w:val="nil"/>
              <w:left w:val="nil"/>
              <w:bottom w:val="nil"/>
              <w:right w:val="nil"/>
            </w:tcBorders>
            <w:shd w:val="clear" w:color="auto" w:fill="auto"/>
            <w:noWrap/>
            <w:vAlign w:val="bottom"/>
            <w:hideMark/>
          </w:tcPr>
          <w:p w14:paraId="16030AFA"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543</w:t>
            </w:r>
          </w:p>
        </w:tc>
        <w:tc>
          <w:tcPr>
            <w:tcW w:w="426" w:type="pct"/>
            <w:tcBorders>
              <w:top w:val="nil"/>
              <w:left w:val="nil"/>
              <w:bottom w:val="nil"/>
              <w:right w:val="nil"/>
            </w:tcBorders>
            <w:shd w:val="clear" w:color="auto" w:fill="auto"/>
            <w:noWrap/>
            <w:vAlign w:val="bottom"/>
            <w:hideMark/>
          </w:tcPr>
          <w:p w14:paraId="0DC8D5E4"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543</w:t>
            </w:r>
          </w:p>
        </w:tc>
      </w:tr>
      <w:tr w:rsidR="00DD531B" w:rsidRPr="00DD531B" w14:paraId="1EDC27E0" w14:textId="77777777" w:rsidTr="001F24AE">
        <w:trPr>
          <w:trHeight w:val="300"/>
        </w:trPr>
        <w:tc>
          <w:tcPr>
            <w:tcW w:w="1968" w:type="pct"/>
            <w:tcBorders>
              <w:top w:val="nil"/>
              <w:left w:val="nil"/>
              <w:bottom w:val="nil"/>
              <w:right w:val="nil"/>
            </w:tcBorders>
            <w:shd w:val="clear" w:color="auto" w:fill="auto"/>
            <w:noWrap/>
            <w:vAlign w:val="bottom"/>
            <w:hideMark/>
          </w:tcPr>
          <w:p w14:paraId="733A028C"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630 tovary a služby</w:t>
            </w:r>
          </w:p>
        </w:tc>
        <w:tc>
          <w:tcPr>
            <w:tcW w:w="412" w:type="pct"/>
            <w:tcBorders>
              <w:top w:val="nil"/>
              <w:left w:val="nil"/>
              <w:bottom w:val="nil"/>
              <w:right w:val="nil"/>
            </w:tcBorders>
            <w:shd w:val="clear" w:color="auto" w:fill="auto"/>
            <w:noWrap/>
            <w:vAlign w:val="bottom"/>
            <w:hideMark/>
          </w:tcPr>
          <w:p w14:paraId="1380B31E"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523</w:t>
            </w:r>
          </w:p>
        </w:tc>
        <w:tc>
          <w:tcPr>
            <w:tcW w:w="412" w:type="pct"/>
            <w:tcBorders>
              <w:top w:val="nil"/>
              <w:left w:val="nil"/>
              <w:bottom w:val="nil"/>
              <w:right w:val="nil"/>
            </w:tcBorders>
            <w:shd w:val="clear" w:color="auto" w:fill="auto"/>
            <w:noWrap/>
            <w:vAlign w:val="bottom"/>
            <w:hideMark/>
          </w:tcPr>
          <w:p w14:paraId="4B643BEC"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573</w:t>
            </w:r>
          </w:p>
        </w:tc>
        <w:tc>
          <w:tcPr>
            <w:tcW w:w="426" w:type="pct"/>
            <w:tcBorders>
              <w:top w:val="nil"/>
              <w:left w:val="nil"/>
              <w:bottom w:val="nil"/>
              <w:right w:val="nil"/>
            </w:tcBorders>
            <w:shd w:val="clear" w:color="auto" w:fill="auto"/>
            <w:noWrap/>
            <w:vAlign w:val="bottom"/>
            <w:hideMark/>
          </w:tcPr>
          <w:p w14:paraId="5F5BA526"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559</w:t>
            </w:r>
          </w:p>
        </w:tc>
        <w:tc>
          <w:tcPr>
            <w:tcW w:w="505" w:type="pct"/>
            <w:tcBorders>
              <w:top w:val="nil"/>
              <w:left w:val="nil"/>
              <w:bottom w:val="nil"/>
              <w:right w:val="nil"/>
            </w:tcBorders>
            <w:shd w:val="clear" w:color="auto" w:fill="auto"/>
            <w:noWrap/>
            <w:vAlign w:val="bottom"/>
            <w:hideMark/>
          </w:tcPr>
          <w:p w14:paraId="59DB8988"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610</w:t>
            </w:r>
          </w:p>
        </w:tc>
        <w:tc>
          <w:tcPr>
            <w:tcW w:w="426" w:type="pct"/>
            <w:tcBorders>
              <w:top w:val="nil"/>
              <w:left w:val="nil"/>
              <w:bottom w:val="nil"/>
              <w:right w:val="nil"/>
            </w:tcBorders>
            <w:shd w:val="clear" w:color="auto" w:fill="auto"/>
            <w:noWrap/>
            <w:vAlign w:val="bottom"/>
            <w:hideMark/>
          </w:tcPr>
          <w:p w14:paraId="5638015E"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542</w:t>
            </w:r>
          </w:p>
        </w:tc>
        <w:tc>
          <w:tcPr>
            <w:tcW w:w="426" w:type="pct"/>
            <w:tcBorders>
              <w:top w:val="nil"/>
              <w:left w:val="nil"/>
              <w:bottom w:val="nil"/>
              <w:right w:val="nil"/>
            </w:tcBorders>
            <w:shd w:val="clear" w:color="auto" w:fill="auto"/>
            <w:noWrap/>
            <w:vAlign w:val="bottom"/>
            <w:hideMark/>
          </w:tcPr>
          <w:p w14:paraId="3D99609F"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490</w:t>
            </w:r>
          </w:p>
        </w:tc>
        <w:tc>
          <w:tcPr>
            <w:tcW w:w="426" w:type="pct"/>
            <w:tcBorders>
              <w:top w:val="nil"/>
              <w:left w:val="nil"/>
              <w:bottom w:val="nil"/>
              <w:right w:val="nil"/>
            </w:tcBorders>
            <w:shd w:val="clear" w:color="auto" w:fill="auto"/>
            <w:noWrap/>
            <w:vAlign w:val="bottom"/>
            <w:hideMark/>
          </w:tcPr>
          <w:p w14:paraId="401C75B3"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490</w:t>
            </w:r>
          </w:p>
        </w:tc>
      </w:tr>
      <w:tr w:rsidR="00DD531B" w:rsidRPr="00DD531B" w14:paraId="6AD837FA" w14:textId="77777777" w:rsidTr="001F24AE">
        <w:trPr>
          <w:trHeight w:val="300"/>
        </w:trPr>
        <w:tc>
          <w:tcPr>
            <w:tcW w:w="1968" w:type="pct"/>
            <w:tcBorders>
              <w:top w:val="nil"/>
              <w:left w:val="nil"/>
              <w:bottom w:val="nil"/>
              <w:right w:val="nil"/>
            </w:tcBorders>
            <w:shd w:val="clear" w:color="auto" w:fill="auto"/>
            <w:noWrap/>
            <w:vAlign w:val="bottom"/>
            <w:hideMark/>
          </w:tcPr>
          <w:p w14:paraId="7EF279AA"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640 bežné transfery</w:t>
            </w:r>
          </w:p>
        </w:tc>
        <w:tc>
          <w:tcPr>
            <w:tcW w:w="412" w:type="pct"/>
            <w:tcBorders>
              <w:top w:val="nil"/>
              <w:left w:val="nil"/>
              <w:bottom w:val="nil"/>
              <w:right w:val="nil"/>
            </w:tcBorders>
            <w:shd w:val="clear" w:color="auto" w:fill="auto"/>
            <w:noWrap/>
            <w:vAlign w:val="bottom"/>
            <w:hideMark/>
          </w:tcPr>
          <w:p w14:paraId="37325EED"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9</w:t>
            </w:r>
          </w:p>
        </w:tc>
        <w:tc>
          <w:tcPr>
            <w:tcW w:w="412" w:type="pct"/>
            <w:tcBorders>
              <w:top w:val="nil"/>
              <w:left w:val="nil"/>
              <w:bottom w:val="nil"/>
              <w:right w:val="nil"/>
            </w:tcBorders>
            <w:shd w:val="clear" w:color="auto" w:fill="auto"/>
            <w:noWrap/>
            <w:vAlign w:val="bottom"/>
            <w:hideMark/>
          </w:tcPr>
          <w:p w14:paraId="227080CB"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38</w:t>
            </w:r>
          </w:p>
        </w:tc>
        <w:tc>
          <w:tcPr>
            <w:tcW w:w="426" w:type="pct"/>
            <w:tcBorders>
              <w:top w:val="nil"/>
              <w:left w:val="nil"/>
              <w:bottom w:val="nil"/>
              <w:right w:val="nil"/>
            </w:tcBorders>
            <w:shd w:val="clear" w:color="auto" w:fill="auto"/>
            <w:noWrap/>
            <w:vAlign w:val="bottom"/>
            <w:hideMark/>
          </w:tcPr>
          <w:p w14:paraId="5109A54A"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35</w:t>
            </w:r>
          </w:p>
        </w:tc>
        <w:tc>
          <w:tcPr>
            <w:tcW w:w="505" w:type="pct"/>
            <w:tcBorders>
              <w:top w:val="nil"/>
              <w:left w:val="nil"/>
              <w:bottom w:val="nil"/>
              <w:right w:val="nil"/>
            </w:tcBorders>
            <w:shd w:val="clear" w:color="auto" w:fill="auto"/>
            <w:noWrap/>
            <w:vAlign w:val="bottom"/>
            <w:hideMark/>
          </w:tcPr>
          <w:p w14:paraId="7A16F4E6"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55</w:t>
            </w:r>
          </w:p>
        </w:tc>
        <w:tc>
          <w:tcPr>
            <w:tcW w:w="426" w:type="pct"/>
            <w:tcBorders>
              <w:top w:val="nil"/>
              <w:left w:val="nil"/>
              <w:bottom w:val="nil"/>
              <w:right w:val="nil"/>
            </w:tcBorders>
            <w:shd w:val="clear" w:color="auto" w:fill="auto"/>
            <w:noWrap/>
            <w:vAlign w:val="bottom"/>
            <w:hideMark/>
          </w:tcPr>
          <w:p w14:paraId="5DBE26C5"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69</w:t>
            </w:r>
          </w:p>
        </w:tc>
        <w:tc>
          <w:tcPr>
            <w:tcW w:w="426" w:type="pct"/>
            <w:tcBorders>
              <w:top w:val="nil"/>
              <w:left w:val="nil"/>
              <w:bottom w:val="nil"/>
              <w:right w:val="nil"/>
            </w:tcBorders>
            <w:shd w:val="clear" w:color="auto" w:fill="auto"/>
            <w:noWrap/>
            <w:vAlign w:val="bottom"/>
            <w:hideMark/>
          </w:tcPr>
          <w:p w14:paraId="62E24049"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69</w:t>
            </w:r>
          </w:p>
        </w:tc>
        <w:tc>
          <w:tcPr>
            <w:tcW w:w="426" w:type="pct"/>
            <w:tcBorders>
              <w:top w:val="nil"/>
              <w:left w:val="nil"/>
              <w:bottom w:val="nil"/>
              <w:right w:val="nil"/>
            </w:tcBorders>
            <w:shd w:val="clear" w:color="auto" w:fill="auto"/>
            <w:noWrap/>
            <w:vAlign w:val="bottom"/>
            <w:hideMark/>
          </w:tcPr>
          <w:p w14:paraId="1CC91FDE"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69</w:t>
            </w:r>
          </w:p>
        </w:tc>
      </w:tr>
      <w:tr w:rsidR="00DD531B" w:rsidRPr="00DD531B" w14:paraId="0162ACEB" w14:textId="77777777" w:rsidTr="001F24AE">
        <w:trPr>
          <w:trHeight w:val="300"/>
        </w:trPr>
        <w:tc>
          <w:tcPr>
            <w:tcW w:w="1968" w:type="pct"/>
            <w:tcBorders>
              <w:top w:val="nil"/>
              <w:left w:val="nil"/>
              <w:bottom w:val="nil"/>
              <w:right w:val="nil"/>
            </w:tcBorders>
            <w:shd w:val="clear" w:color="auto" w:fill="auto"/>
            <w:noWrap/>
            <w:vAlign w:val="bottom"/>
            <w:hideMark/>
          </w:tcPr>
          <w:p w14:paraId="03E851BC"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kapitálové výdavky 700</w:t>
            </w:r>
          </w:p>
        </w:tc>
        <w:tc>
          <w:tcPr>
            <w:tcW w:w="412" w:type="pct"/>
            <w:tcBorders>
              <w:top w:val="nil"/>
              <w:left w:val="nil"/>
              <w:bottom w:val="nil"/>
              <w:right w:val="nil"/>
            </w:tcBorders>
            <w:shd w:val="clear" w:color="auto" w:fill="auto"/>
            <w:noWrap/>
            <w:vAlign w:val="bottom"/>
            <w:hideMark/>
          </w:tcPr>
          <w:p w14:paraId="02943998"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412" w:type="pct"/>
            <w:tcBorders>
              <w:top w:val="nil"/>
              <w:left w:val="nil"/>
              <w:bottom w:val="nil"/>
              <w:right w:val="nil"/>
            </w:tcBorders>
            <w:shd w:val="clear" w:color="auto" w:fill="auto"/>
            <w:noWrap/>
            <w:vAlign w:val="bottom"/>
            <w:hideMark/>
          </w:tcPr>
          <w:p w14:paraId="0B723AB6"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426" w:type="pct"/>
            <w:tcBorders>
              <w:top w:val="nil"/>
              <w:left w:val="nil"/>
              <w:bottom w:val="nil"/>
              <w:right w:val="nil"/>
            </w:tcBorders>
            <w:shd w:val="clear" w:color="auto" w:fill="auto"/>
            <w:noWrap/>
            <w:vAlign w:val="bottom"/>
            <w:hideMark/>
          </w:tcPr>
          <w:p w14:paraId="38431E54"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6</w:t>
            </w:r>
          </w:p>
        </w:tc>
        <w:tc>
          <w:tcPr>
            <w:tcW w:w="505" w:type="pct"/>
            <w:tcBorders>
              <w:top w:val="nil"/>
              <w:left w:val="nil"/>
              <w:bottom w:val="nil"/>
              <w:right w:val="nil"/>
            </w:tcBorders>
            <w:shd w:val="clear" w:color="auto" w:fill="auto"/>
            <w:noWrap/>
            <w:vAlign w:val="bottom"/>
            <w:hideMark/>
          </w:tcPr>
          <w:p w14:paraId="01EF4E8F"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314</w:t>
            </w:r>
          </w:p>
        </w:tc>
        <w:tc>
          <w:tcPr>
            <w:tcW w:w="426" w:type="pct"/>
            <w:tcBorders>
              <w:top w:val="nil"/>
              <w:left w:val="nil"/>
              <w:bottom w:val="nil"/>
              <w:right w:val="nil"/>
            </w:tcBorders>
            <w:shd w:val="clear" w:color="auto" w:fill="auto"/>
            <w:noWrap/>
            <w:vAlign w:val="bottom"/>
            <w:hideMark/>
          </w:tcPr>
          <w:p w14:paraId="54A5642B"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83</w:t>
            </w:r>
          </w:p>
        </w:tc>
        <w:tc>
          <w:tcPr>
            <w:tcW w:w="426" w:type="pct"/>
            <w:tcBorders>
              <w:top w:val="nil"/>
              <w:left w:val="nil"/>
              <w:bottom w:val="nil"/>
              <w:right w:val="nil"/>
            </w:tcBorders>
            <w:shd w:val="clear" w:color="auto" w:fill="auto"/>
            <w:noWrap/>
            <w:vAlign w:val="bottom"/>
            <w:hideMark/>
          </w:tcPr>
          <w:p w14:paraId="6800A382"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45</w:t>
            </w:r>
          </w:p>
        </w:tc>
        <w:tc>
          <w:tcPr>
            <w:tcW w:w="426" w:type="pct"/>
            <w:tcBorders>
              <w:top w:val="nil"/>
              <w:left w:val="nil"/>
              <w:bottom w:val="nil"/>
              <w:right w:val="nil"/>
            </w:tcBorders>
            <w:shd w:val="clear" w:color="auto" w:fill="auto"/>
            <w:noWrap/>
            <w:vAlign w:val="bottom"/>
            <w:hideMark/>
          </w:tcPr>
          <w:p w14:paraId="7B8D938E"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33</w:t>
            </w:r>
          </w:p>
        </w:tc>
      </w:tr>
      <w:tr w:rsidR="00DD531B" w:rsidRPr="00DD531B" w14:paraId="46ED48A7" w14:textId="77777777" w:rsidTr="001F24AE">
        <w:trPr>
          <w:trHeight w:val="300"/>
        </w:trPr>
        <w:tc>
          <w:tcPr>
            <w:tcW w:w="1968" w:type="pct"/>
            <w:tcBorders>
              <w:top w:val="nil"/>
              <w:left w:val="nil"/>
              <w:bottom w:val="nil"/>
              <w:right w:val="nil"/>
            </w:tcBorders>
            <w:shd w:val="clear" w:color="auto" w:fill="auto"/>
            <w:noWrap/>
            <w:vAlign w:val="bottom"/>
            <w:hideMark/>
          </w:tcPr>
          <w:p w14:paraId="41907070" w14:textId="77777777" w:rsidR="00DD531B" w:rsidRPr="00837309" w:rsidRDefault="00DD531B" w:rsidP="00DD531B">
            <w:pPr>
              <w:spacing w:after="0" w:line="240" w:lineRule="auto"/>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presun z minulých rokov § 8, v tom:</w:t>
            </w:r>
          </w:p>
        </w:tc>
        <w:tc>
          <w:tcPr>
            <w:tcW w:w="412" w:type="pct"/>
            <w:tcBorders>
              <w:top w:val="nil"/>
              <w:left w:val="nil"/>
              <w:bottom w:val="nil"/>
              <w:right w:val="nil"/>
            </w:tcBorders>
            <w:shd w:val="clear" w:color="auto" w:fill="auto"/>
            <w:noWrap/>
            <w:vAlign w:val="bottom"/>
            <w:hideMark/>
          </w:tcPr>
          <w:p w14:paraId="5D3653F3"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5</w:t>
            </w:r>
          </w:p>
        </w:tc>
        <w:tc>
          <w:tcPr>
            <w:tcW w:w="412" w:type="pct"/>
            <w:tcBorders>
              <w:top w:val="nil"/>
              <w:left w:val="nil"/>
              <w:bottom w:val="nil"/>
              <w:right w:val="nil"/>
            </w:tcBorders>
            <w:shd w:val="clear" w:color="auto" w:fill="auto"/>
            <w:noWrap/>
            <w:vAlign w:val="bottom"/>
            <w:hideMark/>
          </w:tcPr>
          <w:p w14:paraId="083F7FBA"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41</w:t>
            </w:r>
          </w:p>
        </w:tc>
        <w:tc>
          <w:tcPr>
            <w:tcW w:w="426" w:type="pct"/>
            <w:tcBorders>
              <w:top w:val="nil"/>
              <w:left w:val="nil"/>
              <w:bottom w:val="nil"/>
              <w:right w:val="nil"/>
            </w:tcBorders>
            <w:shd w:val="clear" w:color="auto" w:fill="auto"/>
            <w:noWrap/>
            <w:vAlign w:val="bottom"/>
            <w:hideMark/>
          </w:tcPr>
          <w:p w14:paraId="0713AC02"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505" w:type="pct"/>
            <w:tcBorders>
              <w:top w:val="nil"/>
              <w:left w:val="nil"/>
              <w:bottom w:val="nil"/>
              <w:right w:val="nil"/>
            </w:tcBorders>
            <w:shd w:val="clear" w:color="auto" w:fill="auto"/>
            <w:noWrap/>
            <w:vAlign w:val="bottom"/>
            <w:hideMark/>
          </w:tcPr>
          <w:p w14:paraId="18BA8D5D"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98</w:t>
            </w:r>
          </w:p>
        </w:tc>
        <w:tc>
          <w:tcPr>
            <w:tcW w:w="426" w:type="pct"/>
            <w:tcBorders>
              <w:top w:val="nil"/>
              <w:left w:val="nil"/>
              <w:bottom w:val="nil"/>
              <w:right w:val="nil"/>
            </w:tcBorders>
            <w:shd w:val="clear" w:color="auto" w:fill="auto"/>
            <w:noWrap/>
            <w:vAlign w:val="bottom"/>
            <w:hideMark/>
          </w:tcPr>
          <w:p w14:paraId="47CDEAF2"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426" w:type="pct"/>
            <w:tcBorders>
              <w:top w:val="nil"/>
              <w:left w:val="nil"/>
              <w:bottom w:val="nil"/>
              <w:right w:val="nil"/>
            </w:tcBorders>
            <w:shd w:val="clear" w:color="auto" w:fill="auto"/>
            <w:noWrap/>
            <w:vAlign w:val="bottom"/>
            <w:hideMark/>
          </w:tcPr>
          <w:p w14:paraId="41BB2EAA"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426" w:type="pct"/>
            <w:tcBorders>
              <w:top w:val="nil"/>
              <w:left w:val="nil"/>
              <w:bottom w:val="nil"/>
              <w:right w:val="nil"/>
            </w:tcBorders>
            <w:shd w:val="clear" w:color="auto" w:fill="auto"/>
            <w:noWrap/>
            <w:vAlign w:val="bottom"/>
            <w:hideMark/>
          </w:tcPr>
          <w:p w14:paraId="44FA070D"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r>
      <w:tr w:rsidR="00DD531B" w:rsidRPr="00DD531B" w14:paraId="1595C603" w14:textId="77777777" w:rsidTr="001F24AE">
        <w:trPr>
          <w:trHeight w:val="300"/>
        </w:trPr>
        <w:tc>
          <w:tcPr>
            <w:tcW w:w="1968" w:type="pct"/>
            <w:tcBorders>
              <w:top w:val="nil"/>
              <w:left w:val="nil"/>
              <w:bottom w:val="single" w:sz="4" w:space="0" w:color="auto"/>
              <w:right w:val="nil"/>
            </w:tcBorders>
            <w:shd w:val="clear" w:color="auto" w:fill="auto"/>
            <w:noWrap/>
            <w:vAlign w:val="bottom"/>
            <w:hideMark/>
          </w:tcPr>
          <w:p w14:paraId="1808FAB9"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štátny rozpočet</w:t>
            </w:r>
          </w:p>
        </w:tc>
        <w:tc>
          <w:tcPr>
            <w:tcW w:w="412" w:type="pct"/>
            <w:tcBorders>
              <w:top w:val="nil"/>
              <w:left w:val="nil"/>
              <w:bottom w:val="single" w:sz="4" w:space="0" w:color="auto"/>
              <w:right w:val="nil"/>
            </w:tcBorders>
            <w:shd w:val="clear" w:color="auto" w:fill="auto"/>
            <w:noWrap/>
            <w:vAlign w:val="bottom"/>
            <w:hideMark/>
          </w:tcPr>
          <w:p w14:paraId="2B874CB2"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w:t>
            </w:r>
          </w:p>
        </w:tc>
        <w:tc>
          <w:tcPr>
            <w:tcW w:w="412" w:type="pct"/>
            <w:tcBorders>
              <w:top w:val="nil"/>
              <w:left w:val="nil"/>
              <w:bottom w:val="single" w:sz="4" w:space="0" w:color="auto"/>
              <w:right w:val="nil"/>
            </w:tcBorders>
            <w:shd w:val="clear" w:color="auto" w:fill="auto"/>
            <w:noWrap/>
            <w:vAlign w:val="bottom"/>
            <w:hideMark/>
          </w:tcPr>
          <w:p w14:paraId="00961911"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41</w:t>
            </w:r>
          </w:p>
        </w:tc>
        <w:tc>
          <w:tcPr>
            <w:tcW w:w="426" w:type="pct"/>
            <w:tcBorders>
              <w:top w:val="nil"/>
              <w:left w:val="nil"/>
              <w:bottom w:val="single" w:sz="4" w:space="0" w:color="auto"/>
              <w:right w:val="nil"/>
            </w:tcBorders>
            <w:shd w:val="clear" w:color="auto" w:fill="auto"/>
            <w:noWrap/>
            <w:vAlign w:val="bottom"/>
            <w:hideMark/>
          </w:tcPr>
          <w:p w14:paraId="194C50D5"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505" w:type="pct"/>
            <w:tcBorders>
              <w:top w:val="nil"/>
              <w:left w:val="nil"/>
              <w:bottom w:val="single" w:sz="4" w:space="0" w:color="auto"/>
              <w:right w:val="nil"/>
            </w:tcBorders>
            <w:shd w:val="clear" w:color="auto" w:fill="auto"/>
            <w:noWrap/>
            <w:vAlign w:val="bottom"/>
            <w:hideMark/>
          </w:tcPr>
          <w:p w14:paraId="1FC5C2F0"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98</w:t>
            </w:r>
          </w:p>
        </w:tc>
        <w:tc>
          <w:tcPr>
            <w:tcW w:w="426" w:type="pct"/>
            <w:tcBorders>
              <w:top w:val="nil"/>
              <w:left w:val="nil"/>
              <w:bottom w:val="single" w:sz="4" w:space="0" w:color="auto"/>
              <w:right w:val="nil"/>
            </w:tcBorders>
            <w:shd w:val="clear" w:color="auto" w:fill="auto"/>
            <w:noWrap/>
            <w:vAlign w:val="bottom"/>
            <w:hideMark/>
          </w:tcPr>
          <w:p w14:paraId="00D44214"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426" w:type="pct"/>
            <w:tcBorders>
              <w:top w:val="nil"/>
              <w:left w:val="nil"/>
              <w:bottom w:val="single" w:sz="4" w:space="0" w:color="auto"/>
              <w:right w:val="nil"/>
            </w:tcBorders>
            <w:shd w:val="clear" w:color="auto" w:fill="auto"/>
            <w:noWrap/>
            <w:vAlign w:val="bottom"/>
            <w:hideMark/>
          </w:tcPr>
          <w:p w14:paraId="69F79CAB"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426" w:type="pct"/>
            <w:tcBorders>
              <w:top w:val="nil"/>
              <w:left w:val="nil"/>
              <w:bottom w:val="single" w:sz="4" w:space="0" w:color="auto"/>
              <w:right w:val="nil"/>
            </w:tcBorders>
            <w:shd w:val="clear" w:color="auto" w:fill="auto"/>
            <w:noWrap/>
            <w:vAlign w:val="bottom"/>
            <w:hideMark/>
          </w:tcPr>
          <w:p w14:paraId="5B42326F"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r>
    </w:tbl>
    <w:p w14:paraId="2DDA13F8" w14:textId="77777777" w:rsidR="00DD531B" w:rsidRPr="00837309" w:rsidRDefault="00DD531B" w:rsidP="00DD531B">
      <w:pPr>
        <w:rPr>
          <w:rFonts w:ascii="Times New Roman" w:eastAsia="Calibri" w:hAnsi="Times New Roman" w:cs="Times New Roman"/>
          <w:color w:val="5B9BD5" w:themeColor="accent1"/>
        </w:rPr>
      </w:pPr>
    </w:p>
    <w:p w14:paraId="223CD162" w14:textId="1D04B3EC" w:rsidR="00DD531B" w:rsidRPr="00837309" w:rsidRDefault="00DD531B" w:rsidP="00DD531B">
      <w:pPr>
        <w:keepNext/>
        <w:keepLines/>
        <w:spacing w:before="40" w:after="0"/>
        <w:outlineLvl w:val="1"/>
        <w:rPr>
          <w:rFonts w:ascii="Times New Roman" w:eastAsia="Times New Roman" w:hAnsi="Times New Roman" w:cs="Times New Roman"/>
          <w:b/>
          <w:color w:val="5B9BD5" w:themeColor="accent1"/>
          <w:sz w:val="24"/>
          <w:szCs w:val="24"/>
        </w:rPr>
      </w:pPr>
      <w:r w:rsidRPr="00837309">
        <w:rPr>
          <w:rFonts w:ascii="Times New Roman" w:eastAsia="Times New Roman" w:hAnsi="Times New Roman" w:cs="Times New Roman"/>
          <w:b/>
          <w:color w:val="5B9BD5" w:themeColor="accent1"/>
          <w:sz w:val="24"/>
          <w:szCs w:val="24"/>
        </w:rPr>
        <w:t>Kancelária najvyššieho správneho súdu SR</w:t>
      </w:r>
    </w:p>
    <w:p w14:paraId="12397099" w14:textId="77777777" w:rsidR="00DD531B" w:rsidRPr="00837309" w:rsidRDefault="00DD531B" w:rsidP="00DD531B">
      <w:pPr>
        <w:rPr>
          <w:rFonts w:ascii="Times New Roman" w:eastAsia="Calibri" w:hAnsi="Times New Roman" w:cs="Times New Roman"/>
          <w:color w:val="5B9BD5" w:themeColor="accent1"/>
        </w:rPr>
      </w:pPr>
    </w:p>
    <w:p w14:paraId="40A168CF" w14:textId="0D95A264" w:rsidR="00DD531B" w:rsidRPr="00837309" w:rsidRDefault="00837309"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52" w:name="_Toc153013122"/>
      <w:r>
        <w:rPr>
          <w:rFonts w:ascii="Times New Roman" w:eastAsia="Times New Roman" w:hAnsi="Times New Roman" w:cs="Times New Roman"/>
          <w:b/>
          <w:iCs/>
          <w:color w:val="5B9BD5" w:themeColor="accent1"/>
          <w:sz w:val="20"/>
          <w:szCs w:val="20"/>
          <w:lang w:eastAsia="sk-SK"/>
        </w:rPr>
        <w:t xml:space="preserve">Tabuľka </w:t>
      </w:r>
      <w:r w:rsidRPr="005F5DA3">
        <w:rPr>
          <w:rFonts w:ascii="Times New Roman" w:hAnsi="Times New Roman" w:cs="Times New Roman"/>
          <w:b/>
          <w:color w:val="5B9BD5" w:themeColor="accent1"/>
          <w:sz w:val="20"/>
          <w:szCs w:val="20"/>
        </w:rPr>
        <w:fldChar w:fldCharType="begin"/>
      </w:r>
      <w:r w:rsidRPr="005F5DA3">
        <w:rPr>
          <w:rFonts w:ascii="Times New Roman" w:hAnsi="Times New Roman" w:cs="Times New Roman"/>
          <w:b/>
          <w:color w:val="5B9BD5" w:themeColor="accent1"/>
          <w:sz w:val="20"/>
          <w:szCs w:val="20"/>
        </w:rPr>
        <w:instrText xml:space="preserve"> SEQ Tabuľka \* ARABIC </w:instrText>
      </w:r>
      <w:r w:rsidRPr="005F5DA3">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124</w:t>
      </w:r>
      <w:r w:rsidRPr="005F5DA3">
        <w:rPr>
          <w:rFonts w:ascii="Times New Roman" w:hAnsi="Times New Roman" w:cs="Times New Roman"/>
          <w:b/>
          <w:color w:val="5B9BD5" w:themeColor="accent1"/>
          <w:sz w:val="20"/>
          <w:szCs w:val="20"/>
        </w:rPr>
        <w:fldChar w:fldCharType="end"/>
      </w:r>
      <w:r>
        <w:rPr>
          <w:rFonts w:ascii="Times New Roman" w:hAnsi="Times New Roman" w:cs="Times New Roman"/>
          <w:b/>
          <w:color w:val="5B9BD5" w:themeColor="accent1"/>
          <w:sz w:val="20"/>
          <w:szCs w:val="20"/>
        </w:rPr>
        <w:t xml:space="preserve"> - </w:t>
      </w:r>
      <w:r w:rsidR="00DD531B" w:rsidRPr="00837309">
        <w:rPr>
          <w:rFonts w:ascii="Times New Roman" w:eastAsia="Times New Roman" w:hAnsi="Times New Roman" w:cs="Times New Roman"/>
          <w:b/>
          <w:iCs/>
          <w:color w:val="5B9BD5" w:themeColor="accent1"/>
          <w:sz w:val="20"/>
          <w:szCs w:val="20"/>
          <w:lang w:eastAsia="sk-SK"/>
        </w:rPr>
        <w:t>Príjmy kapitoly KNSS SR</w:t>
      </w:r>
      <w:bookmarkEnd w:id="252"/>
    </w:p>
    <w:tbl>
      <w:tblPr>
        <w:tblW w:w="5000" w:type="pct"/>
        <w:tblCellMar>
          <w:left w:w="70" w:type="dxa"/>
          <w:right w:w="70" w:type="dxa"/>
        </w:tblCellMar>
        <w:tblLook w:val="04A0" w:firstRow="1" w:lastRow="0" w:firstColumn="1" w:lastColumn="0" w:noHBand="0" w:noVBand="1"/>
      </w:tblPr>
      <w:tblGrid>
        <w:gridCol w:w="3570"/>
        <w:gridCol w:w="748"/>
        <w:gridCol w:w="748"/>
        <w:gridCol w:w="773"/>
        <w:gridCol w:w="916"/>
        <w:gridCol w:w="773"/>
        <w:gridCol w:w="773"/>
        <w:gridCol w:w="771"/>
      </w:tblGrid>
      <w:tr w:rsidR="00DD531B" w:rsidRPr="00DD531B" w14:paraId="5281065A" w14:textId="77777777" w:rsidTr="001F24AE">
        <w:trPr>
          <w:trHeight w:val="300"/>
        </w:trPr>
        <w:tc>
          <w:tcPr>
            <w:tcW w:w="1968" w:type="pct"/>
            <w:tcBorders>
              <w:top w:val="single" w:sz="4" w:space="0" w:color="auto"/>
              <w:left w:val="nil"/>
              <w:bottom w:val="single" w:sz="4" w:space="0" w:color="auto"/>
              <w:right w:val="nil"/>
            </w:tcBorders>
            <w:shd w:val="clear" w:color="auto" w:fill="auto"/>
            <w:noWrap/>
            <w:vAlign w:val="center"/>
            <w:hideMark/>
          </w:tcPr>
          <w:p w14:paraId="0B3EB521" w14:textId="77777777" w:rsidR="00DD531B" w:rsidRPr="00837309" w:rsidRDefault="00DD531B" w:rsidP="00DD531B">
            <w:pPr>
              <w:spacing w:after="0" w:line="240" w:lineRule="auto"/>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v tis. eur</w:t>
            </w:r>
          </w:p>
        </w:tc>
        <w:tc>
          <w:tcPr>
            <w:tcW w:w="412" w:type="pct"/>
            <w:tcBorders>
              <w:top w:val="single" w:sz="4" w:space="0" w:color="auto"/>
              <w:left w:val="nil"/>
              <w:bottom w:val="single" w:sz="4" w:space="0" w:color="auto"/>
              <w:right w:val="nil"/>
            </w:tcBorders>
            <w:shd w:val="clear" w:color="auto" w:fill="auto"/>
            <w:noWrap/>
            <w:vAlign w:val="center"/>
            <w:hideMark/>
          </w:tcPr>
          <w:p w14:paraId="7FB763FD"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2021 S</w:t>
            </w:r>
          </w:p>
        </w:tc>
        <w:tc>
          <w:tcPr>
            <w:tcW w:w="412" w:type="pct"/>
            <w:tcBorders>
              <w:top w:val="single" w:sz="4" w:space="0" w:color="auto"/>
              <w:left w:val="nil"/>
              <w:bottom w:val="single" w:sz="4" w:space="0" w:color="auto"/>
              <w:right w:val="nil"/>
            </w:tcBorders>
            <w:shd w:val="clear" w:color="auto" w:fill="auto"/>
            <w:noWrap/>
            <w:vAlign w:val="center"/>
            <w:hideMark/>
          </w:tcPr>
          <w:p w14:paraId="3983D92C"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2022 S</w:t>
            </w:r>
          </w:p>
        </w:tc>
        <w:tc>
          <w:tcPr>
            <w:tcW w:w="426" w:type="pct"/>
            <w:tcBorders>
              <w:top w:val="single" w:sz="4" w:space="0" w:color="auto"/>
              <w:left w:val="nil"/>
              <w:bottom w:val="single" w:sz="4" w:space="0" w:color="auto"/>
              <w:right w:val="nil"/>
            </w:tcBorders>
            <w:shd w:val="clear" w:color="auto" w:fill="auto"/>
            <w:noWrap/>
            <w:vAlign w:val="center"/>
            <w:hideMark/>
          </w:tcPr>
          <w:p w14:paraId="122F34FE"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2023 R</w:t>
            </w:r>
          </w:p>
        </w:tc>
        <w:tc>
          <w:tcPr>
            <w:tcW w:w="505" w:type="pct"/>
            <w:tcBorders>
              <w:top w:val="single" w:sz="4" w:space="0" w:color="auto"/>
              <w:left w:val="nil"/>
              <w:bottom w:val="single" w:sz="4" w:space="0" w:color="auto"/>
              <w:right w:val="nil"/>
            </w:tcBorders>
            <w:shd w:val="clear" w:color="auto" w:fill="auto"/>
            <w:noWrap/>
            <w:vAlign w:val="center"/>
            <w:hideMark/>
          </w:tcPr>
          <w:p w14:paraId="3810BD1B"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2023 OS</w:t>
            </w:r>
          </w:p>
        </w:tc>
        <w:tc>
          <w:tcPr>
            <w:tcW w:w="426" w:type="pct"/>
            <w:tcBorders>
              <w:top w:val="single" w:sz="4" w:space="0" w:color="auto"/>
              <w:left w:val="nil"/>
              <w:bottom w:val="single" w:sz="4" w:space="0" w:color="auto"/>
              <w:right w:val="nil"/>
            </w:tcBorders>
            <w:shd w:val="clear" w:color="auto" w:fill="auto"/>
            <w:noWrap/>
            <w:vAlign w:val="center"/>
            <w:hideMark/>
          </w:tcPr>
          <w:p w14:paraId="75337D90"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2024 N</w:t>
            </w:r>
          </w:p>
        </w:tc>
        <w:tc>
          <w:tcPr>
            <w:tcW w:w="426" w:type="pct"/>
            <w:tcBorders>
              <w:top w:val="single" w:sz="4" w:space="0" w:color="auto"/>
              <w:left w:val="nil"/>
              <w:bottom w:val="single" w:sz="4" w:space="0" w:color="auto"/>
              <w:right w:val="nil"/>
            </w:tcBorders>
            <w:shd w:val="clear" w:color="auto" w:fill="auto"/>
            <w:noWrap/>
            <w:vAlign w:val="center"/>
            <w:hideMark/>
          </w:tcPr>
          <w:p w14:paraId="5364E576"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2025 N</w:t>
            </w:r>
          </w:p>
        </w:tc>
        <w:tc>
          <w:tcPr>
            <w:tcW w:w="426" w:type="pct"/>
            <w:tcBorders>
              <w:top w:val="single" w:sz="4" w:space="0" w:color="auto"/>
              <w:left w:val="nil"/>
              <w:bottom w:val="single" w:sz="4" w:space="0" w:color="auto"/>
              <w:right w:val="nil"/>
            </w:tcBorders>
            <w:shd w:val="clear" w:color="auto" w:fill="auto"/>
            <w:noWrap/>
            <w:vAlign w:val="center"/>
            <w:hideMark/>
          </w:tcPr>
          <w:p w14:paraId="60C3CC49"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2026 N</w:t>
            </w:r>
          </w:p>
        </w:tc>
      </w:tr>
      <w:tr w:rsidR="00DD531B" w:rsidRPr="00DD531B" w14:paraId="7807A934" w14:textId="77777777" w:rsidTr="001F24AE">
        <w:trPr>
          <w:trHeight w:val="300"/>
        </w:trPr>
        <w:tc>
          <w:tcPr>
            <w:tcW w:w="1968" w:type="pct"/>
            <w:tcBorders>
              <w:top w:val="nil"/>
              <w:left w:val="nil"/>
              <w:bottom w:val="nil"/>
              <w:right w:val="nil"/>
            </w:tcBorders>
            <w:shd w:val="clear" w:color="auto" w:fill="auto"/>
            <w:noWrap/>
            <w:vAlign w:val="bottom"/>
            <w:hideMark/>
          </w:tcPr>
          <w:p w14:paraId="3ADD91DF" w14:textId="77777777" w:rsidR="00DD531B" w:rsidRPr="00837309" w:rsidRDefault="00DD531B" w:rsidP="00DD531B">
            <w:pPr>
              <w:spacing w:after="0" w:line="240" w:lineRule="auto"/>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Príjmy kapitoly spolu</w:t>
            </w:r>
          </w:p>
        </w:tc>
        <w:tc>
          <w:tcPr>
            <w:tcW w:w="412" w:type="pct"/>
            <w:tcBorders>
              <w:top w:val="nil"/>
              <w:left w:val="nil"/>
              <w:bottom w:val="nil"/>
              <w:right w:val="nil"/>
            </w:tcBorders>
            <w:shd w:val="clear" w:color="auto" w:fill="auto"/>
            <w:noWrap/>
            <w:vAlign w:val="bottom"/>
            <w:hideMark/>
          </w:tcPr>
          <w:p w14:paraId="6131F66B" w14:textId="77777777" w:rsidR="00DD531B" w:rsidRPr="00837309"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0</w:t>
            </w:r>
          </w:p>
        </w:tc>
        <w:tc>
          <w:tcPr>
            <w:tcW w:w="412" w:type="pct"/>
            <w:tcBorders>
              <w:top w:val="nil"/>
              <w:left w:val="nil"/>
              <w:bottom w:val="nil"/>
              <w:right w:val="nil"/>
            </w:tcBorders>
            <w:shd w:val="clear" w:color="auto" w:fill="auto"/>
            <w:noWrap/>
            <w:vAlign w:val="bottom"/>
            <w:hideMark/>
          </w:tcPr>
          <w:p w14:paraId="54C761FA" w14:textId="77777777" w:rsidR="00DD531B" w:rsidRPr="00837309"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11</w:t>
            </w:r>
          </w:p>
        </w:tc>
        <w:tc>
          <w:tcPr>
            <w:tcW w:w="426" w:type="pct"/>
            <w:tcBorders>
              <w:top w:val="nil"/>
              <w:left w:val="nil"/>
              <w:bottom w:val="nil"/>
              <w:right w:val="nil"/>
            </w:tcBorders>
            <w:shd w:val="clear" w:color="auto" w:fill="auto"/>
            <w:noWrap/>
            <w:vAlign w:val="bottom"/>
            <w:hideMark/>
          </w:tcPr>
          <w:p w14:paraId="00069E5F" w14:textId="77777777" w:rsidR="00DD531B" w:rsidRPr="00837309"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0</w:t>
            </w:r>
          </w:p>
        </w:tc>
        <w:tc>
          <w:tcPr>
            <w:tcW w:w="505" w:type="pct"/>
            <w:tcBorders>
              <w:top w:val="nil"/>
              <w:left w:val="nil"/>
              <w:bottom w:val="nil"/>
              <w:right w:val="nil"/>
            </w:tcBorders>
            <w:shd w:val="clear" w:color="auto" w:fill="auto"/>
            <w:noWrap/>
            <w:vAlign w:val="bottom"/>
            <w:hideMark/>
          </w:tcPr>
          <w:p w14:paraId="18F6613B" w14:textId="77777777" w:rsidR="00DD531B" w:rsidRPr="00837309"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0</w:t>
            </w:r>
          </w:p>
        </w:tc>
        <w:tc>
          <w:tcPr>
            <w:tcW w:w="426" w:type="pct"/>
            <w:tcBorders>
              <w:top w:val="nil"/>
              <w:left w:val="nil"/>
              <w:bottom w:val="nil"/>
              <w:right w:val="nil"/>
            </w:tcBorders>
            <w:shd w:val="clear" w:color="auto" w:fill="auto"/>
            <w:noWrap/>
            <w:vAlign w:val="bottom"/>
            <w:hideMark/>
          </w:tcPr>
          <w:p w14:paraId="3EFCC92F" w14:textId="77777777" w:rsidR="00DD531B" w:rsidRPr="00837309"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0</w:t>
            </w:r>
          </w:p>
        </w:tc>
        <w:tc>
          <w:tcPr>
            <w:tcW w:w="426" w:type="pct"/>
            <w:tcBorders>
              <w:top w:val="nil"/>
              <w:left w:val="nil"/>
              <w:bottom w:val="nil"/>
              <w:right w:val="nil"/>
            </w:tcBorders>
            <w:shd w:val="clear" w:color="auto" w:fill="auto"/>
            <w:noWrap/>
            <w:vAlign w:val="bottom"/>
            <w:hideMark/>
          </w:tcPr>
          <w:p w14:paraId="02BEF2C7" w14:textId="77777777" w:rsidR="00DD531B" w:rsidRPr="00837309"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0</w:t>
            </w:r>
          </w:p>
        </w:tc>
        <w:tc>
          <w:tcPr>
            <w:tcW w:w="426" w:type="pct"/>
            <w:tcBorders>
              <w:top w:val="nil"/>
              <w:left w:val="nil"/>
              <w:bottom w:val="nil"/>
              <w:right w:val="nil"/>
            </w:tcBorders>
            <w:shd w:val="clear" w:color="auto" w:fill="auto"/>
            <w:noWrap/>
            <w:vAlign w:val="bottom"/>
            <w:hideMark/>
          </w:tcPr>
          <w:p w14:paraId="7274705E" w14:textId="77777777" w:rsidR="00DD531B" w:rsidRPr="00837309"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0</w:t>
            </w:r>
          </w:p>
        </w:tc>
      </w:tr>
      <w:tr w:rsidR="00DD531B" w:rsidRPr="00DD531B" w14:paraId="4F12A6D3" w14:textId="77777777" w:rsidTr="001F24AE">
        <w:trPr>
          <w:trHeight w:val="300"/>
        </w:trPr>
        <w:tc>
          <w:tcPr>
            <w:tcW w:w="1968" w:type="pct"/>
            <w:tcBorders>
              <w:top w:val="nil"/>
              <w:left w:val="nil"/>
              <w:bottom w:val="single" w:sz="4" w:space="0" w:color="auto"/>
              <w:right w:val="nil"/>
            </w:tcBorders>
            <w:shd w:val="clear" w:color="auto" w:fill="auto"/>
            <w:noWrap/>
            <w:vAlign w:val="bottom"/>
            <w:hideMark/>
          </w:tcPr>
          <w:p w14:paraId="58F325C0" w14:textId="77777777" w:rsidR="00DD531B" w:rsidRPr="00837309" w:rsidRDefault="00DD531B" w:rsidP="00DD531B">
            <w:pPr>
              <w:spacing w:after="0" w:line="240" w:lineRule="auto"/>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nedaňové príjmy</w:t>
            </w:r>
          </w:p>
        </w:tc>
        <w:tc>
          <w:tcPr>
            <w:tcW w:w="412" w:type="pct"/>
            <w:tcBorders>
              <w:top w:val="nil"/>
              <w:left w:val="nil"/>
              <w:bottom w:val="single" w:sz="4" w:space="0" w:color="auto"/>
              <w:right w:val="nil"/>
            </w:tcBorders>
            <w:shd w:val="clear" w:color="auto" w:fill="auto"/>
            <w:noWrap/>
            <w:vAlign w:val="bottom"/>
            <w:hideMark/>
          </w:tcPr>
          <w:p w14:paraId="02FC2C51"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412" w:type="pct"/>
            <w:tcBorders>
              <w:top w:val="nil"/>
              <w:left w:val="nil"/>
              <w:bottom w:val="single" w:sz="4" w:space="0" w:color="auto"/>
              <w:right w:val="nil"/>
            </w:tcBorders>
            <w:shd w:val="clear" w:color="auto" w:fill="auto"/>
            <w:noWrap/>
            <w:vAlign w:val="bottom"/>
            <w:hideMark/>
          </w:tcPr>
          <w:p w14:paraId="1F3CD2AE"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11</w:t>
            </w:r>
          </w:p>
        </w:tc>
        <w:tc>
          <w:tcPr>
            <w:tcW w:w="426" w:type="pct"/>
            <w:tcBorders>
              <w:top w:val="nil"/>
              <w:left w:val="nil"/>
              <w:bottom w:val="single" w:sz="4" w:space="0" w:color="auto"/>
              <w:right w:val="nil"/>
            </w:tcBorders>
            <w:shd w:val="clear" w:color="auto" w:fill="auto"/>
            <w:noWrap/>
            <w:vAlign w:val="bottom"/>
            <w:hideMark/>
          </w:tcPr>
          <w:p w14:paraId="7B6B19FA"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505" w:type="pct"/>
            <w:tcBorders>
              <w:top w:val="nil"/>
              <w:left w:val="nil"/>
              <w:bottom w:val="single" w:sz="4" w:space="0" w:color="auto"/>
              <w:right w:val="nil"/>
            </w:tcBorders>
            <w:shd w:val="clear" w:color="auto" w:fill="auto"/>
            <w:noWrap/>
            <w:vAlign w:val="bottom"/>
            <w:hideMark/>
          </w:tcPr>
          <w:p w14:paraId="56D08893"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426" w:type="pct"/>
            <w:tcBorders>
              <w:top w:val="nil"/>
              <w:left w:val="nil"/>
              <w:bottom w:val="single" w:sz="4" w:space="0" w:color="auto"/>
              <w:right w:val="nil"/>
            </w:tcBorders>
            <w:shd w:val="clear" w:color="auto" w:fill="auto"/>
            <w:noWrap/>
            <w:vAlign w:val="bottom"/>
            <w:hideMark/>
          </w:tcPr>
          <w:p w14:paraId="191459E1"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426" w:type="pct"/>
            <w:tcBorders>
              <w:top w:val="nil"/>
              <w:left w:val="nil"/>
              <w:bottom w:val="single" w:sz="4" w:space="0" w:color="auto"/>
              <w:right w:val="nil"/>
            </w:tcBorders>
            <w:shd w:val="clear" w:color="auto" w:fill="auto"/>
            <w:noWrap/>
            <w:vAlign w:val="bottom"/>
            <w:hideMark/>
          </w:tcPr>
          <w:p w14:paraId="3CC8C47C"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426" w:type="pct"/>
            <w:tcBorders>
              <w:top w:val="nil"/>
              <w:left w:val="nil"/>
              <w:bottom w:val="single" w:sz="4" w:space="0" w:color="auto"/>
              <w:right w:val="nil"/>
            </w:tcBorders>
            <w:shd w:val="clear" w:color="auto" w:fill="auto"/>
            <w:noWrap/>
            <w:vAlign w:val="bottom"/>
            <w:hideMark/>
          </w:tcPr>
          <w:p w14:paraId="7D26A847"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r>
    </w:tbl>
    <w:p w14:paraId="1996D062" w14:textId="77777777" w:rsidR="00DD531B" w:rsidRPr="00DD531B" w:rsidRDefault="00DD531B" w:rsidP="00DD531B">
      <w:pPr>
        <w:rPr>
          <w:rFonts w:ascii="Times New Roman" w:eastAsia="Calibri" w:hAnsi="Times New Roman" w:cs="Times New Roman"/>
        </w:rPr>
      </w:pPr>
    </w:p>
    <w:p w14:paraId="49C51060" w14:textId="77743CF1" w:rsidR="00DD531B" w:rsidRPr="00837309" w:rsidRDefault="00837309"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53" w:name="_Toc153013123"/>
      <w:r w:rsidRPr="00837309">
        <w:rPr>
          <w:rFonts w:ascii="Times New Roman" w:eastAsia="Times New Roman" w:hAnsi="Times New Roman" w:cs="Times New Roman"/>
          <w:b/>
          <w:iCs/>
          <w:color w:val="5B9BD5" w:themeColor="accent1"/>
          <w:sz w:val="20"/>
          <w:szCs w:val="20"/>
          <w:lang w:eastAsia="sk-SK"/>
        </w:rPr>
        <w:t xml:space="preserve">Tabuľka </w:t>
      </w:r>
      <w:r w:rsidRPr="00837309">
        <w:rPr>
          <w:rFonts w:ascii="Times New Roman" w:hAnsi="Times New Roman" w:cs="Times New Roman"/>
          <w:b/>
          <w:color w:val="5B9BD5" w:themeColor="accent1"/>
          <w:sz w:val="20"/>
          <w:szCs w:val="20"/>
        </w:rPr>
        <w:fldChar w:fldCharType="begin"/>
      </w:r>
      <w:r w:rsidRPr="00837309">
        <w:rPr>
          <w:rFonts w:ascii="Times New Roman" w:hAnsi="Times New Roman" w:cs="Times New Roman"/>
          <w:b/>
          <w:color w:val="5B9BD5" w:themeColor="accent1"/>
          <w:sz w:val="20"/>
          <w:szCs w:val="20"/>
        </w:rPr>
        <w:instrText xml:space="preserve"> SEQ Tabuľka \* ARABIC </w:instrText>
      </w:r>
      <w:r w:rsidRPr="00837309">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125</w:t>
      </w:r>
      <w:r w:rsidRPr="00837309">
        <w:rPr>
          <w:rFonts w:ascii="Times New Roman" w:hAnsi="Times New Roman" w:cs="Times New Roman"/>
          <w:b/>
          <w:color w:val="5B9BD5" w:themeColor="accent1"/>
          <w:sz w:val="20"/>
          <w:szCs w:val="20"/>
        </w:rPr>
        <w:fldChar w:fldCharType="end"/>
      </w:r>
      <w:r w:rsidRPr="00837309">
        <w:rPr>
          <w:rFonts w:ascii="Times New Roman" w:hAnsi="Times New Roman" w:cs="Times New Roman"/>
          <w:b/>
          <w:color w:val="5B9BD5" w:themeColor="accent1"/>
          <w:sz w:val="20"/>
          <w:szCs w:val="20"/>
        </w:rPr>
        <w:t xml:space="preserve"> - </w:t>
      </w:r>
      <w:r w:rsidR="00DD531B" w:rsidRPr="00837309">
        <w:rPr>
          <w:rFonts w:ascii="Times New Roman" w:eastAsia="Times New Roman" w:hAnsi="Times New Roman" w:cs="Times New Roman"/>
          <w:b/>
          <w:iCs/>
          <w:color w:val="5B9BD5" w:themeColor="accent1"/>
          <w:sz w:val="20"/>
          <w:szCs w:val="20"/>
          <w:lang w:eastAsia="sk-SK"/>
        </w:rPr>
        <w:t>Výdavky kapitoly KNSS SR</w:t>
      </w:r>
      <w:bookmarkEnd w:id="253"/>
    </w:p>
    <w:tbl>
      <w:tblPr>
        <w:tblW w:w="5000" w:type="pct"/>
        <w:tblCellMar>
          <w:left w:w="70" w:type="dxa"/>
          <w:right w:w="70" w:type="dxa"/>
        </w:tblCellMar>
        <w:tblLook w:val="04A0" w:firstRow="1" w:lastRow="0" w:firstColumn="1" w:lastColumn="0" w:noHBand="0" w:noVBand="1"/>
      </w:tblPr>
      <w:tblGrid>
        <w:gridCol w:w="3570"/>
        <w:gridCol w:w="748"/>
        <w:gridCol w:w="748"/>
        <w:gridCol w:w="773"/>
        <w:gridCol w:w="916"/>
        <w:gridCol w:w="773"/>
        <w:gridCol w:w="773"/>
        <w:gridCol w:w="771"/>
      </w:tblGrid>
      <w:tr w:rsidR="00DD531B" w:rsidRPr="00DD531B" w14:paraId="2A6FE211" w14:textId="77777777" w:rsidTr="001F24AE">
        <w:trPr>
          <w:trHeight w:val="300"/>
        </w:trPr>
        <w:tc>
          <w:tcPr>
            <w:tcW w:w="1968" w:type="pct"/>
            <w:tcBorders>
              <w:top w:val="single" w:sz="4" w:space="0" w:color="auto"/>
              <w:left w:val="nil"/>
              <w:bottom w:val="single" w:sz="4" w:space="0" w:color="auto"/>
              <w:right w:val="nil"/>
            </w:tcBorders>
            <w:shd w:val="clear" w:color="auto" w:fill="auto"/>
            <w:noWrap/>
            <w:vAlign w:val="center"/>
            <w:hideMark/>
          </w:tcPr>
          <w:p w14:paraId="2812055F" w14:textId="77777777" w:rsidR="00DD531B" w:rsidRPr="00837309" w:rsidRDefault="00DD531B" w:rsidP="00DD531B">
            <w:pPr>
              <w:spacing w:after="0" w:line="240" w:lineRule="auto"/>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v tis. eur</w:t>
            </w:r>
          </w:p>
        </w:tc>
        <w:tc>
          <w:tcPr>
            <w:tcW w:w="412" w:type="pct"/>
            <w:tcBorders>
              <w:top w:val="single" w:sz="4" w:space="0" w:color="auto"/>
              <w:left w:val="nil"/>
              <w:bottom w:val="single" w:sz="4" w:space="0" w:color="auto"/>
              <w:right w:val="nil"/>
            </w:tcBorders>
            <w:shd w:val="clear" w:color="auto" w:fill="auto"/>
            <w:noWrap/>
            <w:vAlign w:val="center"/>
            <w:hideMark/>
          </w:tcPr>
          <w:p w14:paraId="5664E6D3"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2021 S</w:t>
            </w:r>
          </w:p>
        </w:tc>
        <w:tc>
          <w:tcPr>
            <w:tcW w:w="412" w:type="pct"/>
            <w:tcBorders>
              <w:top w:val="single" w:sz="4" w:space="0" w:color="auto"/>
              <w:left w:val="nil"/>
              <w:bottom w:val="single" w:sz="4" w:space="0" w:color="auto"/>
              <w:right w:val="nil"/>
            </w:tcBorders>
            <w:shd w:val="clear" w:color="auto" w:fill="auto"/>
            <w:noWrap/>
            <w:vAlign w:val="center"/>
            <w:hideMark/>
          </w:tcPr>
          <w:p w14:paraId="77F81A45"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2022 S</w:t>
            </w:r>
          </w:p>
        </w:tc>
        <w:tc>
          <w:tcPr>
            <w:tcW w:w="426" w:type="pct"/>
            <w:tcBorders>
              <w:top w:val="single" w:sz="4" w:space="0" w:color="auto"/>
              <w:left w:val="nil"/>
              <w:bottom w:val="single" w:sz="4" w:space="0" w:color="auto"/>
              <w:right w:val="nil"/>
            </w:tcBorders>
            <w:shd w:val="clear" w:color="auto" w:fill="auto"/>
            <w:noWrap/>
            <w:vAlign w:val="center"/>
            <w:hideMark/>
          </w:tcPr>
          <w:p w14:paraId="0414BF4F"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2023 R</w:t>
            </w:r>
          </w:p>
        </w:tc>
        <w:tc>
          <w:tcPr>
            <w:tcW w:w="505" w:type="pct"/>
            <w:tcBorders>
              <w:top w:val="single" w:sz="4" w:space="0" w:color="auto"/>
              <w:left w:val="nil"/>
              <w:bottom w:val="single" w:sz="4" w:space="0" w:color="auto"/>
              <w:right w:val="nil"/>
            </w:tcBorders>
            <w:shd w:val="clear" w:color="auto" w:fill="auto"/>
            <w:noWrap/>
            <w:vAlign w:val="center"/>
            <w:hideMark/>
          </w:tcPr>
          <w:p w14:paraId="2AFBDF17"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2023 OS</w:t>
            </w:r>
          </w:p>
        </w:tc>
        <w:tc>
          <w:tcPr>
            <w:tcW w:w="426" w:type="pct"/>
            <w:tcBorders>
              <w:top w:val="single" w:sz="4" w:space="0" w:color="auto"/>
              <w:left w:val="nil"/>
              <w:bottom w:val="single" w:sz="4" w:space="0" w:color="auto"/>
              <w:right w:val="nil"/>
            </w:tcBorders>
            <w:shd w:val="clear" w:color="auto" w:fill="auto"/>
            <w:noWrap/>
            <w:vAlign w:val="center"/>
            <w:hideMark/>
          </w:tcPr>
          <w:p w14:paraId="1BAA4156"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2024 N</w:t>
            </w:r>
          </w:p>
        </w:tc>
        <w:tc>
          <w:tcPr>
            <w:tcW w:w="426" w:type="pct"/>
            <w:tcBorders>
              <w:top w:val="single" w:sz="4" w:space="0" w:color="auto"/>
              <w:left w:val="nil"/>
              <w:bottom w:val="single" w:sz="4" w:space="0" w:color="auto"/>
              <w:right w:val="nil"/>
            </w:tcBorders>
            <w:shd w:val="clear" w:color="auto" w:fill="auto"/>
            <w:noWrap/>
            <w:vAlign w:val="center"/>
            <w:hideMark/>
          </w:tcPr>
          <w:p w14:paraId="6D993AC2"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2025 N</w:t>
            </w:r>
          </w:p>
        </w:tc>
        <w:tc>
          <w:tcPr>
            <w:tcW w:w="426" w:type="pct"/>
            <w:tcBorders>
              <w:top w:val="single" w:sz="4" w:space="0" w:color="auto"/>
              <w:left w:val="nil"/>
              <w:bottom w:val="single" w:sz="4" w:space="0" w:color="auto"/>
              <w:right w:val="nil"/>
            </w:tcBorders>
            <w:shd w:val="clear" w:color="auto" w:fill="auto"/>
            <w:noWrap/>
            <w:vAlign w:val="center"/>
            <w:hideMark/>
          </w:tcPr>
          <w:p w14:paraId="2A701F5C"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2026 N</w:t>
            </w:r>
          </w:p>
        </w:tc>
      </w:tr>
      <w:tr w:rsidR="00DD531B" w:rsidRPr="00DD531B" w14:paraId="04F84912" w14:textId="77777777" w:rsidTr="001F24AE">
        <w:trPr>
          <w:trHeight w:val="300"/>
        </w:trPr>
        <w:tc>
          <w:tcPr>
            <w:tcW w:w="1968" w:type="pct"/>
            <w:tcBorders>
              <w:top w:val="nil"/>
              <w:left w:val="nil"/>
              <w:bottom w:val="nil"/>
              <w:right w:val="nil"/>
            </w:tcBorders>
            <w:shd w:val="clear" w:color="auto" w:fill="auto"/>
            <w:noWrap/>
            <w:vAlign w:val="center"/>
            <w:hideMark/>
          </w:tcPr>
          <w:p w14:paraId="21407142" w14:textId="77777777" w:rsidR="00DD531B" w:rsidRPr="00837309" w:rsidRDefault="00DD531B" w:rsidP="00DD531B">
            <w:pPr>
              <w:spacing w:after="0" w:line="240" w:lineRule="auto"/>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Výdavky kapitoly spolu</w:t>
            </w:r>
          </w:p>
        </w:tc>
        <w:tc>
          <w:tcPr>
            <w:tcW w:w="412" w:type="pct"/>
            <w:tcBorders>
              <w:top w:val="nil"/>
              <w:left w:val="nil"/>
              <w:bottom w:val="nil"/>
              <w:right w:val="nil"/>
            </w:tcBorders>
            <w:shd w:val="clear" w:color="auto" w:fill="auto"/>
            <w:noWrap/>
            <w:vAlign w:val="center"/>
            <w:hideMark/>
          </w:tcPr>
          <w:p w14:paraId="4045A49A"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2 945</w:t>
            </w:r>
          </w:p>
        </w:tc>
        <w:tc>
          <w:tcPr>
            <w:tcW w:w="412" w:type="pct"/>
            <w:tcBorders>
              <w:top w:val="nil"/>
              <w:left w:val="nil"/>
              <w:bottom w:val="nil"/>
              <w:right w:val="nil"/>
            </w:tcBorders>
            <w:shd w:val="clear" w:color="auto" w:fill="auto"/>
            <w:noWrap/>
            <w:vAlign w:val="center"/>
            <w:hideMark/>
          </w:tcPr>
          <w:p w14:paraId="4AC8878E"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7 123</w:t>
            </w:r>
          </w:p>
        </w:tc>
        <w:tc>
          <w:tcPr>
            <w:tcW w:w="426" w:type="pct"/>
            <w:tcBorders>
              <w:top w:val="nil"/>
              <w:left w:val="nil"/>
              <w:bottom w:val="nil"/>
              <w:right w:val="nil"/>
            </w:tcBorders>
            <w:shd w:val="clear" w:color="auto" w:fill="auto"/>
            <w:noWrap/>
            <w:vAlign w:val="center"/>
            <w:hideMark/>
          </w:tcPr>
          <w:p w14:paraId="0A0523BD"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7 678</w:t>
            </w:r>
          </w:p>
        </w:tc>
        <w:tc>
          <w:tcPr>
            <w:tcW w:w="505" w:type="pct"/>
            <w:tcBorders>
              <w:top w:val="nil"/>
              <w:left w:val="nil"/>
              <w:bottom w:val="nil"/>
              <w:right w:val="nil"/>
            </w:tcBorders>
            <w:shd w:val="clear" w:color="auto" w:fill="auto"/>
            <w:noWrap/>
            <w:vAlign w:val="center"/>
            <w:hideMark/>
          </w:tcPr>
          <w:p w14:paraId="0238B247"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8 368</w:t>
            </w:r>
          </w:p>
        </w:tc>
        <w:tc>
          <w:tcPr>
            <w:tcW w:w="426" w:type="pct"/>
            <w:tcBorders>
              <w:top w:val="nil"/>
              <w:left w:val="nil"/>
              <w:bottom w:val="nil"/>
              <w:right w:val="nil"/>
            </w:tcBorders>
            <w:shd w:val="clear" w:color="auto" w:fill="auto"/>
            <w:noWrap/>
            <w:vAlign w:val="center"/>
            <w:hideMark/>
          </w:tcPr>
          <w:p w14:paraId="541BEC23"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8 039</w:t>
            </w:r>
          </w:p>
        </w:tc>
        <w:tc>
          <w:tcPr>
            <w:tcW w:w="426" w:type="pct"/>
            <w:tcBorders>
              <w:top w:val="nil"/>
              <w:left w:val="nil"/>
              <w:bottom w:val="nil"/>
              <w:right w:val="nil"/>
            </w:tcBorders>
            <w:shd w:val="clear" w:color="auto" w:fill="auto"/>
            <w:noWrap/>
            <w:vAlign w:val="center"/>
            <w:hideMark/>
          </w:tcPr>
          <w:p w14:paraId="4E3EEA36"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8 092</w:t>
            </w:r>
          </w:p>
        </w:tc>
        <w:tc>
          <w:tcPr>
            <w:tcW w:w="426" w:type="pct"/>
            <w:tcBorders>
              <w:top w:val="nil"/>
              <w:left w:val="nil"/>
              <w:bottom w:val="nil"/>
              <w:right w:val="nil"/>
            </w:tcBorders>
            <w:shd w:val="clear" w:color="auto" w:fill="auto"/>
            <w:noWrap/>
            <w:vAlign w:val="center"/>
            <w:hideMark/>
          </w:tcPr>
          <w:p w14:paraId="5EABEEE2"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8 092</w:t>
            </w:r>
          </w:p>
        </w:tc>
      </w:tr>
      <w:tr w:rsidR="00DD531B" w:rsidRPr="00DD531B" w14:paraId="427DFF73" w14:textId="77777777" w:rsidTr="001F24AE">
        <w:trPr>
          <w:trHeight w:val="300"/>
        </w:trPr>
        <w:tc>
          <w:tcPr>
            <w:tcW w:w="1968" w:type="pct"/>
            <w:tcBorders>
              <w:top w:val="nil"/>
              <w:left w:val="nil"/>
              <w:bottom w:val="nil"/>
              <w:right w:val="nil"/>
            </w:tcBorders>
            <w:shd w:val="clear" w:color="auto" w:fill="auto"/>
            <w:noWrap/>
            <w:vAlign w:val="bottom"/>
            <w:hideMark/>
          </w:tcPr>
          <w:p w14:paraId="4417D968" w14:textId="77777777" w:rsidR="00DD531B" w:rsidRPr="00837309" w:rsidRDefault="00DD531B" w:rsidP="00DD531B">
            <w:pPr>
              <w:spacing w:after="0" w:line="240" w:lineRule="auto"/>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rozpočtové zdroje kapitoly</w:t>
            </w:r>
          </w:p>
        </w:tc>
        <w:tc>
          <w:tcPr>
            <w:tcW w:w="412" w:type="pct"/>
            <w:tcBorders>
              <w:top w:val="nil"/>
              <w:left w:val="nil"/>
              <w:bottom w:val="nil"/>
              <w:right w:val="nil"/>
            </w:tcBorders>
            <w:shd w:val="clear" w:color="auto" w:fill="auto"/>
            <w:noWrap/>
            <w:vAlign w:val="bottom"/>
            <w:hideMark/>
          </w:tcPr>
          <w:p w14:paraId="61FC4884"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2 945</w:t>
            </w:r>
          </w:p>
        </w:tc>
        <w:tc>
          <w:tcPr>
            <w:tcW w:w="412" w:type="pct"/>
            <w:tcBorders>
              <w:top w:val="nil"/>
              <w:left w:val="nil"/>
              <w:bottom w:val="nil"/>
              <w:right w:val="nil"/>
            </w:tcBorders>
            <w:shd w:val="clear" w:color="auto" w:fill="auto"/>
            <w:noWrap/>
            <w:vAlign w:val="bottom"/>
            <w:hideMark/>
          </w:tcPr>
          <w:p w14:paraId="2676D2B6"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5 921</w:t>
            </w:r>
          </w:p>
        </w:tc>
        <w:tc>
          <w:tcPr>
            <w:tcW w:w="426" w:type="pct"/>
            <w:tcBorders>
              <w:top w:val="nil"/>
              <w:left w:val="nil"/>
              <w:bottom w:val="nil"/>
              <w:right w:val="nil"/>
            </w:tcBorders>
            <w:shd w:val="clear" w:color="auto" w:fill="auto"/>
            <w:noWrap/>
            <w:vAlign w:val="bottom"/>
            <w:hideMark/>
          </w:tcPr>
          <w:p w14:paraId="377E5307"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7 678</w:t>
            </w:r>
          </w:p>
        </w:tc>
        <w:tc>
          <w:tcPr>
            <w:tcW w:w="505" w:type="pct"/>
            <w:tcBorders>
              <w:top w:val="nil"/>
              <w:left w:val="nil"/>
              <w:bottom w:val="nil"/>
              <w:right w:val="nil"/>
            </w:tcBorders>
            <w:shd w:val="clear" w:color="auto" w:fill="auto"/>
            <w:noWrap/>
            <w:vAlign w:val="bottom"/>
            <w:hideMark/>
          </w:tcPr>
          <w:p w14:paraId="04441541"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7 763</w:t>
            </w:r>
          </w:p>
        </w:tc>
        <w:tc>
          <w:tcPr>
            <w:tcW w:w="426" w:type="pct"/>
            <w:tcBorders>
              <w:top w:val="nil"/>
              <w:left w:val="nil"/>
              <w:bottom w:val="nil"/>
              <w:right w:val="nil"/>
            </w:tcBorders>
            <w:shd w:val="clear" w:color="auto" w:fill="auto"/>
            <w:noWrap/>
            <w:vAlign w:val="bottom"/>
            <w:hideMark/>
          </w:tcPr>
          <w:p w14:paraId="42F00CB2"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8 039</w:t>
            </w:r>
          </w:p>
        </w:tc>
        <w:tc>
          <w:tcPr>
            <w:tcW w:w="426" w:type="pct"/>
            <w:tcBorders>
              <w:top w:val="nil"/>
              <w:left w:val="nil"/>
              <w:bottom w:val="nil"/>
              <w:right w:val="nil"/>
            </w:tcBorders>
            <w:shd w:val="clear" w:color="auto" w:fill="auto"/>
            <w:noWrap/>
            <w:vAlign w:val="bottom"/>
            <w:hideMark/>
          </w:tcPr>
          <w:p w14:paraId="0E23D758"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8 092</w:t>
            </w:r>
          </w:p>
        </w:tc>
        <w:tc>
          <w:tcPr>
            <w:tcW w:w="426" w:type="pct"/>
            <w:tcBorders>
              <w:top w:val="nil"/>
              <w:left w:val="nil"/>
              <w:bottom w:val="nil"/>
              <w:right w:val="nil"/>
            </w:tcBorders>
            <w:shd w:val="clear" w:color="auto" w:fill="auto"/>
            <w:noWrap/>
            <w:vAlign w:val="bottom"/>
            <w:hideMark/>
          </w:tcPr>
          <w:p w14:paraId="1008F3CF"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8 092</w:t>
            </w:r>
          </w:p>
        </w:tc>
      </w:tr>
      <w:tr w:rsidR="00DD531B" w:rsidRPr="00DD531B" w14:paraId="4337FF08" w14:textId="77777777" w:rsidTr="001F24AE">
        <w:trPr>
          <w:trHeight w:val="300"/>
        </w:trPr>
        <w:tc>
          <w:tcPr>
            <w:tcW w:w="1968" w:type="pct"/>
            <w:tcBorders>
              <w:top w:val="nil"/>
              <w:left w:val="nil"/>
              <w:bottom w:val="nil"/>
              <w:right w:val="nil"/>
            </w:tcBorders>
            <w:shd w:val="clear" w:color="auto" w:fill="auto"/>
            <w:noWrap/>
            <w:vAlign w:val="bottom"/>
            <w:hideMark/>
          </w:tcPr>
          <w:p w14:paraId="76BDC1E8"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bežné výdavky  600, v tom:</w:t>
            </w:r>
          </w:p>
        </w:tc>
        <w:tc>
          <w:tcPr>
            <w:tcW w:w="412" w:type="pct"/>
            <w:tcBorders>
              <w:top w:val="nil"/>
              <w:left w:val="nil"/>
              <w:bottom w:val="nil"/>
              <w:right w:val="nil"/>
            </w:tcBorders>
            <w:shd w:val="clear" w:color="auto" w:fill="auto"/>
            <w:noWrap/>
            <w:vAlign w:val="bottom"/>
            <w:hideMark/>
          </w:tcPr>
          <w:p w14:paraId="68C4C708"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2 873</w:t>
            </w:r>
          </w:p>
        </w:tc>
        <w:tc>
          <w:tcPr>
            <w:tcW w:w="412" w:type="pct"/>
            <w:tcBorders>
              <w:top w:val="nil"/>
              <w:left w:val="nil"/>
              <w:bottom w:val="nil"/>
              <w:right w:val="nil"/>
            </w:tcBorders>
            <w:shd w:val="clear" w:color="auto" w:fill="auto"/>
            <w:noWrap/>
            <w:vAlign w:val="bottom"/>
            <w:hideMark/>
          </w:tcPr>
          <w:p w14:paraId="60147185"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5 921</w:t>
            </w:r>
          </w:p>
        </w:tc>
        <w:tc>
          <w:tcPr>
            <w:tcW w:w="426" w:type="pct"/>
            <w:tcBorders>
              <w:top w:val="nil"/>
              <w:left w:val="nil"/>
              <w:bottom w:val="nil"/>
              <w:right w:val="nil"/>
            </w:tcBorders>
            <w:shd w:val="clear" w:color="auto" w:fill="auto"/>
            <w:noWrap/>
            <w:vAlign w:val="bottom"/>
            <w:hideMark/>
          </w:tcPr>
          <w:p w14:paraId="0B53DF93"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7 678</w:t>
            </w:r>
          </w:p>
        </w:tc>
        <w:tc>
          <w:tcPr>
            <w:tcW w:w="505" w:type="pct"/>
            <w:tcBorders>
              <w:top w:val="nil"/>
              <w:left w:val="nil"/>
              <w:bottom w:val="nil"/>
              <w:right w:val="nil"/>
            </w:tcBorders>
            <w:shd w:val="clear" w:color="auto" w:fill="auto"/>
            <w:noWrap/>
            <w:vAlign w:val="bottom"/>
            <w:hideMark/>
          </w:tcPr>
          <w:p w14:paraId="2BB4BF3A"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7 763</w:t>
            </w:r>
          </w:p>
        </w:tc>
        <w:tc>
          <w:tcPr>
            <w:tcW w:w="426" w:type="pct"/>
            <w:tcBorders>
              <w:top w:val="nil"/>
              <w:left w:val="nil"/>
              <w:bottom w:val="nil"/>
              <w:right w:val="nil"/>
            </w:tcBorders>
            <w:shd w:val="clear" w:color="auto" w:fill="auto"/>
            <w:noWrap/>
            <w:vAlign w:val="bottom"/>
            <w:hideMark/>
          </w:tcPr>
          <w:p w14:paraId="5018F015"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8 039</w:t>
            </w:r>
          </w:p>
        </w:tc>
        <w:tc>
          <w:tcPr>
            <w:tcW w:w="426" w:type="pct"/>
            <w:tcBorders>
              <w:top w:val="nil"/>
              <w:left w:val="nil"/>
              <w:bottom w:val="nil"/>
              <w:right w:val="nil"/>
            </w:tcBorders>
            <w:shd w:val="clear" w:color="auto" w:fill="auto"/>
            <w:noWrap/>
            <w:vAlign w:val="bottom"/>
            <w:hideMark/>
          </w:tcPr>
          <w:p w14:paraId="67BF3190"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8 092</w:t>
            </w:r>
          </w:p>
        </w:tc>
        <w:tc>
          <w:tcPr>
            <w:tcW w:w="426" w:type="pct"/>
            <w:tcBorders>
              <w:top w:val="nil"/>
              <w:left w:val="nil"/>
              <w:bottom w:val="nil"/>
              <w:right w:val="nil"/>
            </w:tcBorders>
            <w:shd w:val="clear" w:color="auto" w:fill="auto"/>
            <w:noWrap/>
            <w:vAlign w:val="bottom"/>
            <w:hideMark/>
          </w:tcPr>
          <w:p w14:paraId="2CDD5CA5"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8 092</w:t>
            </w:r>
          </w:p>
        </w:tc>
      </w:tr>
      <w:tr w:rsidR="00DD531B" w:rsidRPr="00DD531B" w14:paraId="3BF7D3F3" w14:textId="77777777" w:rsidTr="001F24AE">
        <w:trPr>
          <w:trHeight w:val="300"/>
        </w:trPr>
        <w:tc>
          <w:tcPr>
            <w:tcW w:w="1968" w:type="pct"/>
            <w:tcBorders>
              <w:top w:val="nil"/>
              <w:left w:val="nil"/>
              <w:bottom w:val="nil"/>
              <w:right w:val="nil"/>
            </w:tcBorders>
            <w:shd w:val="clear" w:color="auto" w:fill="auto"/>
            <w:noWrap/>
            <w:vAlign w:val="bottom"/>
            <w:hideMark/>
          </w:tcPr>
          <w:p w14:paraId="563FAE9F"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610 mzdy</w:t>
            </w:r>
          </w:p>
        </w:tc>
        <w:tc>
          <w:tcPr>
            <w:tcW w:w="412" w:type="pct"/>
            <w:tcBorders>
              <w:top w:val="nil"/>
              <w:left w:val="nil"/>
              <w:bottom w:val="nil"/>
              <w:right w:val="nil"/>
            </w:tcBorders>
            <w:shd w:val="clear" w:color="auto" w:fill="auto"/>
            <w:noWrap/>
            <w:vAlign w:val="bottom"/>
            <w:hideMark/>
          </w:tcPr>
          <w:p w14:paraId="641AE5FF"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1 249</w:t>
            </w:r>
          </w:p>
        </w:tc>
        <w:tc>
          <w:tcPr>
            <w:tcW w:w="412" w:type="pct"/>
            <w:tcBorders>
              <w:top w:val="nil"/>
              <w:left w:val="nil"/>
              <w:bottom w:val="nil"/>
              <w:right w:val="nil"/>
            </w:tcBorders>
            <w:shd w:val="clear" w:color="auto" w:fill="auto"/>
            <w:noWrap/>
            <w:vAlign w:val="bottom"/>
            <w:hideMark/>
          </w:tcPr>
          <w:p w14:paraId="76F6587A"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3 264</w:t>
            </w:r>
          </w:p>
        </w:tc>
        <w:tc>
          <w:tcPr>
            <w:tcW w:w="426" w:type="pct"/>
            <w:tcBorders>
              <w:top w:val="nil"/>
              <w:left w:val="nil"/>
              <w:bottom w:val="nil"/>
              <w:right w:val="nil"/>
            </w:tcBorders>
            <w:shd w:val="clear" w:color="auto" w:fill="auto"/>
            <w:noWrap/>
            <w:vAlign w:val="bottom"/>
            <w:hideMark/>
          </w:tcPr>
          <w:p w14:paraId="63AD2F4A"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3 962</w:t>
            </w:r>
          </w:p>
        </w:tc>
        <w:tc>
          <w:tcPr>
            <w:tcW w:w="505" w:type="pct"/>
            <w:tcBorders>
              <w:top w:val="nil"/>
              <w:left w:val="nil"/>
              <w:bottom w:val="nil"/>
              <w:right w:val="nil"/>
            </w:tcBorders>
            <w:shd w:val="clear" w:color="auto" w:fill="auto"/>
            <w:noWrap/>
            <w:vAlign w:val="bottom"/>
            <w:hideMark/>
          </w:tcPr>
          <w:p w14:paraId="05FC042D"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4 015</w:t>
            </w:r>
          </w:p>
        </w:tc>
        <w:tc>
          <w:tcPr>
            <w:tcW w:w="426" w:type="pct"/>
            <w:tcBorders>
              <w:top w:val="nil"/>
              <w:left w:val="nil"/>
              <w:bottom w:val="nil"/>
              <w:right w:val="nil"/>
            </w:tcBorders>
            <w:shd w:val="clear" w:color="auto" w:fill="auto"/>
            <w:noWrap/>
            <w:vAlign w:val="bottom"/>
            <w:hideMark/>
          </w:tcPr>
          <w:p w14:paraId="3038E11B"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4 247</w:t>
            </w:r>
          </w:p>
        </w:tc>
        <w:tc>
          <w:tcPr>
            <w:tcW w:w="426" w:type="pct"/>
            <w:tcBorders>
              <w:top w:val="nil"/>
              <w:left w:val="nil"/>
              <w:bottom w:val="nil"/>
              <w:right w:val="nil"/>
            </w:tcBorders>
            <w:shd w:val="clear" w:color="auto" w:fill="auto"/>
            <w:noWrap/>
            <w:vAlign w:val="bottom"/>
            <w:hideMark/>
          </w:tcPr>
          <w:p w14:paraId="1120897A"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4 247</w:t>
            </w:r>
          </w:p>
        </w:tc>
        <w:tc>
          <w:tcPr>
            <w:tcW w:w="426" w:type="pct"/>
            <w:tcBorders>
              <w:top w:val="nil"/>
              <w:left w:val="nil"/>
              <w:bottom w:val="nil"/>
              <w:right w:val="nil"/>
            </w:tcBorders>
            <w:shd w:val="clear" w:color="auto" w:fill="auto"/>
            <w:noWrap/>
            <w:vAlign w:val="bottom"/>
            <w:hideMark/>
          </w:tcPr>
          <w:p w14:paraId="2846B76F"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4 247</w:t>
            </w:r>
          </w:p>
        </w:tc>
      </w:tr>
      <w:tr w:rsidR="00DD531B" w:rsidRPr="00DD531B" w14:paraId="33B78CBE" w14:textId="77777777" w:rsidTr="001F24AE">
        <w:trPr>
          <w:trHeight w:val="300"/>
        </w:trPr>
        <w:tc>
          <w:tcPr>
            <w:tcW w:w="1968" w:type="pct"/>
            <w:tcBorders>
              <w:top w:val="nil"/>
              <w:left w:val="nil"/>
              <w:bottom w:val="nil"/>
              <w:right w:val="nil"/>
            </w:tcBorders>
            <w:shd w:val="clear" w:color="auto" w:fill="auto"/>
            <w:noWrap/>
            <w:vAlign w:val="bottom"/>
            <w:hideMark/>
          </w:tcPr>
          <w:p w14:paraId="2D8AD4B7"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620 odvody</w:t>
            </w:r>
          </w:p>
        </w:tc>
        <w:tc>
          <w:tcPr>
            <w:tcW w:w="412" w:type="pct"/>
            <w:tcBorders>
              <w:top w:val="nil"/>
              <w:left w:val="nil"/>
              <w:bottom w:val="nil"/>
              <w:right w:val="nil"/>
            </w:tcBorders>
            <w:shd w:val="clear" w:color="auto" w:fill="auto"/>
            <w:noWrap/>
            <w:vAlign w:val="bottom"/>
            <w:hideMark/>
          </w:tcPr>
          <w:p w14:paraId="420F363D"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414</w:t>
            </w:r>
          </w:p>
        </w:tc>
        <w:tc>
          <w:tcPr>
            <w:tcW w:w="412" w:type="pct"/>
            <w:tcBorders>
              <w:top w:val="nil"/>
              <w:left w:val="nil"/>
              <w:bottom w:val="nil"/>
              <w:right w:val="nil"/>
            </w:tcBorders>
            <w:shd w:val="clear" w:color="auto" w:fill="auto"/>
            <w:noWrap/>
            <w:vAlign w:val="bottom"/>
            <w:hideMark/>
          </w:tcPr>
          <w:p w14:paraId="5CA0A01E"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1 130</w:t>
            </w:r>
          </w:p>
        </w:tc>
        <w:tc>
          <w:tcPr>
            <w:tcW w:w="426" w:type="pct"/>
            <w:tcBorders>
              <w:top w:val="nil"/>
              <w:left w:val="nil"/>
              <w:bottom w:val="nil"/>
              <w:right w:val="nil"/>
            </w:tcBorders>
            <w:shd w:val="clear" w:color="auto" w:fill="auto"/>
            <w:noWrap/>
            <w:vAlign w:val="bottom"/>
            <w:hideMark/>
          </w:tcPr>
          <w:p w14:paraId="192B9690"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1 439</w:t>
            </w:r>
          </w:p>
        </w:tc>
        <w:tc>
          <w:tcPr>
            <w:tcW w:w="505" w:type="pct"/>
            <w:tcBorders>
              <w:top w:val="nil"/>
              <w:left w:val="nil"/>
              <w:bottom w:val="nil"/>
              <w:right w:val="nil"/>
            </w:tcBorders>
            <w:shd w:val="clear" w:color="auto" w:fill="auto"/>
            <w:noWrap/>
            <w:vAlign w:val="bottom"/>
            <w:hideMark/>
          </w:tcPr>
          <w:p w14:paraId="383BC8DC"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1 456</w:t>
            </w:r>
          </w:p>
        </w:tc>
        <w:tc>
          <w:tcPr>
            <w:tcW w:w="426" w:type="pct"/>
            <w:tcBorders>
              <w:top w:val="nil"/>
              <w:left w:val="nil"/>
              <w:bottom w:val="nil"/>
              <w:right w:val="nil"/>
            </w:tcBorders>
            <w:shd w:val="clear" w:color="auto" w:fill="auto"/>
            <w:noWrap/>
            <w:vAlign w:val="bottom"/>
            <w:hideMark/>
          </w:tcPr>
          <w:p w14:paraId="689582C0"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1 532</w:t>
            </w:r>
          </w:p>
        </w:tc>
        <w:tc>
          <w:tcPr>
            <w:tcW w:w="426" w:type="pct"/>
            <w:tcBorders>
              <w:top w:val="nil"/>
              <w:left w:val="nil"/>
              <w:bottom w:val="nil"/>
              <w:right w:val="nil"/>
            </w:tcBorders>
            <w:shd w:val="clear" w:color="auto" w:fill="auto"/>
            <w:noWrap/>
            <w:vAlign w:val="bottom"/>
            <w:hideMark/>
          </w:tcPr>
          <w:p w14:paraId="4AC5EFFE"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1 532</w:t>
            </w:r>
          </w:p>
        </w:tc>
        <w:tc>
          <w:tcPr>
            <w:tcW w:w="426" w:type="pct"/>
            <w:tcBorders>
              <w:top w:val="nil"/>
              <w:left w:val="nil"/>
              <w:bottom w:val="nil"/>
              <w:right w:val="nil"/>
            </w:tcBorders>
            <w:shd w:val="clear" w:color="auto" w:fill="auto"/>
            <w:noWrap/>
            <w:vAlign w:val="bottom"/>
            <w:hideMark/>
          </w:tcPr>
          <w:p w14:paraId="2694C0DC"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1 532</w:t>
            </w:r>
          </w:p>
        </w:tc>
      </w:tr>
      <w:tr w:rsidR="00DD531B" w:rsidRPr="00DD531B" w14:paraId="0B66C50B" w14:textId="77777777" w:rsidTr="001F24AE">
        <w:trPr>
          <w:trHeight w:val="300"/>
        </w:trPr>
        <w:tc>
          <w:tcPr>
            <w:tcW w:w="1968" w:type="pct"/>
            <w:tcBorders>
              <w:top w:val="nil"/>
              <w:left w:val="nil"/>
              <w:bottom w:val="nil"/>
              <w:right w:val="nil"/>
            </w:tcBorders>
            <w:shd w:val="clear" w:color="auto" w:fill="auto"/>
            <w:noWrap/>
            <w:vAlign w:val="bottom"/>
            <w:hideMark/>
          </w:tcPr>
          <w:p w14:paraId="239F202E"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630 tovary a služby</w:t>
            </w:r>
          </w:p>
        </w:tc>
        <w:tc>
          <w:tcPr>
            <w:tcW w:w="412" w:type="pct"/>
            <w:tcBorders>
              <w:top w:val="nil"/>
              <w:left w:val="nil"/>
              <w:bottom w:val="nil"/>
              <w:right w:val="nil"/>
            </w:tcBorders>
            <w:shd w:val="clear" w:color="auto" w:fill="auto"/>
            <w:noWrap/>
            <w:vAlign w:val="bottom"/>
            <w:hideMark/>
          </w:tcPr>
          <w:p w14:paraId="2AA23F4E"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1 182</w:t>
            </w:r>
          </w:p>
        </w:tc>
        <w:tc>
          <w:tcPr>
            <w:tcW w:w="412" w:type="pct"/>
            <w:tcBorders>
              <w:top w:val="nil"/>
              <w:left w:val="nil"/>
              <w:bottom w:val="nil"/>
              <w:right w:val="nil"/>
            </w:tcBorders>
            <w:shd w:val="clear" w:color="auto" w:fill="auto"/>
            <w:noWrap/>
            <w:vAlign w:val="bottom"/>
            <w:hideMark/>
          </w:tcPr>
          <w:p w14:paraId="2D636ED3"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1 463</w:t>
            </w:r>
          </w:p>
        </w:tc>
        <w:tc>
          <w:tcPr>
            <w:tcW w:w="426" w:type="pct"/>
            <w:tcBorders>
              <w:top w:val="nil"/>
              <w:left w:val="nil"/>
              <w:bottom w:val="nil"/>
              <w:right w:val="nil"/>
            </w:tcBorders>
            <w:shd w:val="clear" w:color="auto" w:fill="auto"/>
            <w:noWrap/>
            <w:vAlign w:val="bottom"/>
            <w:hideMark/>
          </w:tcPr>
          <w:p w14:paraId="5A9F662C"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2 227</w:t>
            </w:r>
          </w:p>
        </w:tc>
        <w:tc>
          <w:tcPr>
            <w:tcW w:w="505" w:type="pct"/>
            <w:tcBorders>
              <w:top w:val="nil"/>
              <w:left w:val="nil"/>
              <w:bottom w:val="nil"/>
              <w:right w:val="nil"/>
            </w:tcBorders>
            <w:shd w:val="clear" w:color="auto" w:fill="auto"/>
            <w:noWrap/>
            <w:vAlign w:val="bottom"/>
            <w:hideMark/>
          </w:tcPr>
          <w:p w14:paraId="301F97CD"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2 207</w:t>
            </w:r>
          </w:p>
        </w:tc>
        <w:tc>
          <w:tcPr>
            <w:tcW w:w="426" w:type="pct"/>
            <w:tcBorders>
              <w:top w:val="nil"/>
              <w:left w:val="nil"/>
              <w:bottom w:val="nil"/>
              <w:right w:val="nil"/>
            </w:tcBorders>
            <w:shd w:val="clear" w:color="auto" w:fill="auto"/>
            <w:noWrap/>
            <w:vAlign w:val="bottom"/>
            <w:hideMark/>
          </w:tcPr>
          <w:p w14:paraId="470F69F1"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2 210</w:t>
            </w:r>
          </w:p>
        </w:tc>
        <w:tc>
          <w:tcPr>
            <w:tcW w:w="426" w:type="pct"/>
            <w:tcBorders>
              <w:top w:val="nil"/>
              <w:left w:val="nil"/>
              <w:bottom w:val="nil"/>
              <w:right w:val="nil"/>
            </w:tcBorders>
            <w:shd w:val="clear" w:color="auto" w:fill="auto"/>
            <w:noWrap/>
            <w:vAlign w:val="bottom"/>
            <w:hideMark/>
          </w:tcPr>
          <w:p w14:paraId="35600D8E"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2 263</w:t>
            </w:r>
          </w:p>
        </w:tc>
        <w:tc>
          <w:tcPr>
            <w:tcW w:w="426" w:type="pct"/>
            <w:tcBorders>
              <w:top w:val="nil"/>
              <w:left w:val="nil"/>
              <w:bottom w:val="nil"/>
              <w:right w:val="nil"/>
            </w:tcBorders>
            <w:shd w:val="clear" w:color="auto" w:fill="auto"/>
            <w:noWrap/>
            <w:vAlign w:val="bottom"/>
            <w:hideMark/>
          </w:tcPr>
          <w:p w14:paraId="40F4D39B"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2 263</w:t>
            </w:r>
          </w:p>
        </w:tc>
      </w:tr>
      <w:tr w:rsidR="00DD531B" w:rsidRPr="00DD531B" w14:paraId="5DFBB1AB" w14:textId="77777777" w:rsidTr="001F24AE">
        <w:trPr>
          <w:trHeight w:val="300"/>
        </w:trPr>
        <w:tc>
          <w:tcPr>
            <w:tcW w:w="1968" w:type="pct"/>
            <w:tcBorders>
              <w:top w:val="nil"/>
              <w:left w:val="nil"/>
              <w:bottom w:val="nil"/>
              <w:right w:val="nil"/>
            </w:tcBorders>
            <w:shd w:val="clear" w:color="auto" w:fill="auto"/>
            <w:noWrap/>
            <w:vAlign w:val="bottom"/>
            <w:hideMark/>
          </w:tcPr>
          <w:p w14:paraId="00A1E169"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640 bežné transfery</w:t>
            </w:r>
          </w:p>
        </w:tc>
        <w:tc>
          <w:tcPr>
            <w:tcW w:w="412" w:type="pct"/>
            <w:tcBorders>
              <w:top w:val="nil"/>
              <w:left w:val="nil"/>
              <w:bottom w:val="nil"/>
              <w:right w:val="nil"/>
            </w:tcBorders>
            <w:shd w:val="clear" w:color="auto" w:fill="auto"/>
            <w:noWrap/>
            <w:vAlign w:val="bottom"/>
            <w:hideMark/>
          </w:tcPr>
          <w:p w14:paraId="5D512547"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27</w:t>
            </w:r>
          </w:p>
        </w:tc>
        <w:tc>
          <w:tcPr>
            <w:tcW w:w="412" w:type="pct"/>
            <w:tcBorders>
              <w:top w:val="nil"/>
              <w:left w:val="nil"/>
              <w:bottom w:val="nil"/>
              <w:right w:val="nil"/>
            </w:tcBorders>
            <w:shd w:val="clear" w:color="auto" w:fill="auto"/>
            <w:noWrap/>
            <w:vAlign w:val="bottom"/>
            <w:hideMark/>
          </w:tcPr>
          <w:p w14:paraId="0D0FEE1D"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65</w:t>
            </w:r>
          </w:p>
        </w:tc>
        <w:tc>
          <w:tcPr>
            <w:tcW w:w="426" w:type="pct"/>
            <w:tcBorders>
              <w:top w:val="nil"/>
              <w:left w:val="nil"/>
              <w:bottom w:val="nil"/>
              <w:right w:val="nil"/>
            </w:tcBorders>
            <w:shd w:val="clear" w:color="auto" w:fill="auto"/>
            <w:noWrap/>
            <w:vAlign w:val="bottom"/>
            <w:hideMark/>
          </w:tcPr>
          <w:p w14:paraId="372E7AE5"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50</w:t>
            </w:r>
          </w:p>
        </w:tc>
        <w:tc>
          <w:tcPr>
            <w:tcW w:w="505" w:type="pct"/>
            <w:tcBorders>
              <w:top w:val="nil"/>
              <w:left w:val="nil"/>
              <w:bottom w:val="nil"/>
              <w:right w:val="nil"/>
            </w:tcBorders>
            <w:shd w:val="clear" w:color="auto" w:fill="auto"/>
            <w:noWrap/>
            <w:vAlign w:val="bottom"/>
            <w:hideMark/>
          </w:tcPr>
          <w:p w14:paraId="0D2D6B0D"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84</w:t>
            </w:r>
          </w:p>
        </w:tc>
        <w:tc>
          <w:tcPr>
            <w:tcW w:w="426" w:type="pct"/>
            <w:tcBorders>
              <w:top w:val="nil"/>
              <w:left w:val="nil"/>
              <w:bottom w:val="nil"/>
              <w:right w:val="nil"/>
            </w:tcBorders>
            <w:shd w:val="clear" w:color="auto" w:fill="auto"/>
            <w:noWrap/>
            <w:vAlign w:val="bottom"/>
            <w:hideMark/>
          </w:tcPr>
          <w:p w14:paraId="22708C9E"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50</w:t>
            </w:r>
          </w:p>
        </w:tc>
        <w:tc>
          <w:tcPr>
            <w:tcW w:w="426" w:type="pct"/>
            <w:tcBorders>
              <w:top w:val="nil"/>
              <w:left w:val="nil"/>
              <w:bottom w:val="nil"/>
              <w:right w:val="nil"/>
            </w:tcBorders>
            <w:shd w:val="clear" w:color="auto" w:fill="auto"/>
            <w:noWrap/>
            <w:vAlign w:val="bottom"/>
            <w:hideMark/>
          </w:tcPr>
          <w:p w14:paraId="52CF5A65"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50</w:t>
            </w:r>
          </w:p>
        </w:tc>
        <w:tc>
          <w:tcPr>
            <w:tcW w:w="426" w:type="pct"/>
            <w:tcBorders>
              <w:top w:val="nil"/>
              <w:left w:val="nil"/>
              <w:bottom w:val="nil"/>
              <w:right w:val="nil"/>
            </w:tcBorders>
            <w:shd w:val="clear" w:color="auto" w:fill="auto"/>
            <w:noWrap/>
            <w:vAlign w:val="bottom"/>
            <w:hideMark/>
          </w:tcPr>
          <w:p w14:paraId="77CBBC17"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50</w:t>
            </w:r>
          </w:p>
        </w:tc>
      </w:tr>
      <w:tr w:rsidR="00DD531B" w:rsidRPr="00DD531B" w14:paraId="5AD38041" w14:textId="77777777" w:rsidTr="001F24AE">
        <w:trPr>
          <w:trHeight w:val="300"/>
        </w:trPr>
        <w:tc>
          <w:tcPr>
            <w:tcW w:w="1968" w:type="pct"/>
            <w:tcBorders>
              <w:top w:val="nil"/>
              <w:left w:val="nil"/>
              <w:bottom w:val="nil"/>
              <w:right w:val="nil"/>
            </w:tcBorders>
            <w:shd w:val="clear" w:color="auto" w:fill="auto"/>
            <w:noWrap/>
            <w:vAlign w:val="bottom"/>
            <w:hideMark/>
          </w:tcPr>
          <w:p w14:paraId="1BDBDBF1"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kapitálové výdavky 700</w:t>
            </w:r>
          </w:p>
        </w:tc>
        <w:tc>
          <w:tcPr>
            <w:tcW w:w="412" w:type="pct"/>
            <w:tcBorders>
              <w:top w:val="nil"/>
              <w:left w:val="nil"/>
              <w:bottom w:val="nil"/>
              <w:right w:val="nil"/>
            </w:tcBorders>
            <w:shd w:val="clear" w:color="auto" w:fill="auto"/>
            <w:noWrap/>
            <w:vAlign w:val="bottom"/>
            <w:hideMark/>
          </w:tcPr>
          <w:p w14:paraId="5C9178D4"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73</w:t>
            </w:r>
          </w:p>
        </w:tc>
        <w:tc>
          <w:tcPr>
            <w:tcW w:w="412" w:type="pct"/>
            <w:tcBorders>
              <w:top w:val="nil"/>
              <w:left w:val="nil"/>
              <w:bottom w:val="nil"/>
              <w:right w:val="nil"/>
            </w:tcBorders>
            <w:shd w:val="clear" w:color="auto" w:fill="auto"/>
            <w:noWrap/>
            <w:vAlign w:val="bottom"/>
            <w:hideMark/>
          </w:tcPr>
          <w:p w14:paraId="53D53368"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426" w:type="pct"/>
            <w:tcBorders>
              <w:top w:val="nil"/>
              <w:left w:val="nil"/>
              <w:bottom w:val="nil"/>
              <w:right w:val="nil"/>
            </w:tcBorders>
            <w:shd w:val="clear" w:color="auto" w:fill="auto"/>
            <w:noWrap/>
            <w:vAlign w:val="bottom"/>
            <w:hideMark/>
          </w:tcPr>
          <w:p w14:paraId="3522072E"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505" w:type="pct"/>
            <w:tcBorders>
              <w:top w:val="nil"/>
              <w:left w:val="nil"/>
              <w:bottom w:val="nil"/>
              <w:right w:val="nil"/>
            </w:tcBorders>
            <w:shd w:val="clear" w:color="auto" w:fill="auto"/>
            <w:noWrap/>
            <w:vAlign w:val="bottom"/>
            <w:hideMark/>
          </w:tcPr>
          <w:p w14:paraId="757A46D9"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426" w:type="pct"/>
            <w:tcBorders>
              <w:top w:val="nil"/>
              <w:left w:val="nil"/>
              <w:bottom w:val="nil"/>
              <w:right w:val="nil"/>
            </w:tcBorders>
            <w:shd w:val="clear" w:color="auto" w:fill="auto"/>
            <w:noWrap/>
            <w:vAlign w:val="bottom"/>
            <w:hideMark/>
          </w:tcPr>
          <w:p w14:paraId="6EFCFC8C"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426" w:type="pct"/>
            <w:tcBorders>
              <w:top w:val="nil"/>
              <w:left w:val="nil"/>
              <w:bottom w:val="nil"/>
              <w:right w:val="nil"/>
            </w:tcBorders>
            <w:shd w:val="clear" w:color="auto" w:fill="auto"/>
            <w:noWrap/>
            <w:vAlign w:val="bottom"/>
            <w:hideMark/>
          </w:tcPr>
          <w:p w14:paraId="7A7181AA"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426" w:type="pct"/>
            <w:tcBorders>
              <w:top w:val="nil"/>
              <w:left w:val="nil"/>
              <w:bottom w:val="nil"/>
              <w:right w:val="nil"/>
            </w:tcBorders>
            <w:shd w:val="clear" w:color="auto" w:fill="auto"/>
            <w:noWrap/>
            <w:vAlign w:val="bottom"/>
            <w:hideMark/>
          </w:tcPr>
          <w:p w14:paraId="6F884BDE"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r>
      <w:tr w:rsidR="00DD531B" w:rsidRPr="00DD531B" w14:paraId="0E29859D" w14:textId="77777777" w:rsidTr="001F24AE">
        <w:trPr>
          <w:trHeight w:val="300"/>
        </w:trPr>
        <w:tc>
          <w:tcPr>
            <w:tcW w:w="1968" w:type="pct"/>
            <w:tcBorders>
              <w:top w:val="nil"/>
              <w:left w:val="nil"/>
              <w:bottom w:val="nil"/>
              <w:right w:val="nil"/>
            </w:tcBorders>
            <w:shd w:val="clear" w:color="auto" w:fill="auto"/>
            <w:noWrap/>
            <w:vAlign w:val="bottom"/>
            <w:hideMark/>
          </w:tcPr>
          <w:p w14:paraId="7EEC1A25" w14:textId="77777777" w:rsidR="00DD531B" w:rsidRPr="00837309" w:rsidRDefault="00DD531B" w:rsidP="00DD531B">
            <w:pPr>
              <w:spacing w:after="0" w:line="240" w:lineRule="auto"/>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presun z minulých rokov § 8, v tom:</w:t>
            </w:r>
          </w:p>
        </w:tc>
        <w:tc>
          <w:tcPr>
            <w:tcW w:w="412" w:type="pct"/>
            <w:tcBorders>
              <w:top w:val="nil"/>
              <w:left w:val="nil"/>
              <w:bottom w:val="nil"/>
              <w:right w:val="nil"/>
            </w:tcBorders>
            <w:shd w:val="clear" w:color="auto" w:fill="auto"/>
            <w:noWrap/>
            <w:vAlign w:val="bottom"/>
            <w:hideMark/>
          </w:tcPr>
          <w:p w14:paraId="42B40A28"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412" w:type="pct"/>
            <w:tcBorders>
              <w:top w:val="nil"/>
              <w:left w:val="nil"/>
              <w:bottom w:val="nil"/>
              <w:right w:val="nil"/>
            </w:tcBorders>
            <w:shd w:val="clear" w:color="auto" w:fill="auto"/>
            <w:noWrap/>
            <w:vAlign w:val="bottom"/>
            <w:hideMark/>
          </w:tcPr>
          <w:p w14:paraId="0FF67F2B"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1 202</w:t>
            </w:r>
          </w:p>
        </w:tc>
        <w:tc>
          <w:tcPr>
            <w:tcW w:w="426" w:type="pct"/>
            <w:tcBorders>
              <w:top w:val="nil"/>
              <w:left w:val="nil"/>
              <w:bottom w:val="nil"/>
              <w:right w:val="nil"/>
            </w:tcBorders>
            <w:shd w:val="clear" w:color="auto" w:fill="auto"/>
            <w:noWrap/>
            <w:vAlign w:val="bottom"/>
            <w:hideMark/>
          </w:tcPr>
          <w:p w14:paraId="7E7957E7"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505" w:type="pct"/>
            <w:tcBorders>
              <w:top w:val="nil"/>
              <w:left w:val="nil"/>
              <w:bottom w:val="nil"/>
              <w:right w:val="nil"/>
            </w:tcBorders>
            <w:shd w:val="clear" w:color="auto" w:fill="auto"/>
            <w:noWrap/>
            <w:vAlign w:val="bottom"/>
            <w:hideMark/>
          </w:tcPr>
          <w:p w14:paraId="102E3D78"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605</w:t>
            </w:r>
          </w:p>
        </w:tc>
        <w:tc>
          <w:tcPr>
            <w:tcW w:w="426" w:type="pct"/>
            <w:tcBorders>
              <w:top w:val="nil"/>
              <w:left w:val="nil"/>
              <w:bottom w:val="nil"/>
              <w:right w:val="nil"/>
            </w:tcBorders>
            <w:shd w:val="clear" w:color="auto" w:fill="auto"/>
            <w:noWrap/>
            <w:vAlign w:val="bottom"/>
            <w:hideMark/>
          </w:tcPr>
          <w:p w14:paraId="58F8E482"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426" w:type="pct"/>
            <w:tcBorders>
              <w:top w:val="nil"/>
              <w:left w:val="nil"/>
              <w:bottom w:val="nil"/>
              <w:right w:val="nil"/>
            </w:tcBorders>
            <w:shd w:val="clear" w:color="auto" w:fill="auto"/>
            <w:noWrap/>
            <w:vAlign w:val="bottom"/>
            <w:hideMark/>
          </w:tcPr>
          <w:p w14:paraId="5F6326BE"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426" w:type="pct"/>
            <w:tcBorders>
              <w:top w:val="nil"/>
              <w:left w:val="nil"/>
              <w:bottom w:val="nil"/>
              <w:right w:val="nil"/>
            </w:tcBorders>
            <w:shd w:val="clear" w:color="auto" w:fill="auto"/>
            <w:noWrap/>
            <w:vAlign w:val="bottom"/>
            <w:hideMark/>
          </w:tcPr>
          <w:p w14:paraId="79D226DB"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r>
      <w:tr w:rsidR="00DD531B" w:rsidRPr="00DD531B" w14:paraId="148EFC5A" w14:textId="77777777" w:rsidTr="001F24AE">
        <w:trPr>
          <w:trHeight w:val="300"/>
        </w:trPr>
        <w:tc>
          <w:tcPr>
            <w:tcW w:w="1968" w:type="pct"/>
            <w:tcBorders>
              <w:top w:val="nil"/>
              <w:left w:val="nil"/>
              <w:bottom w:val="single" w:sz="4" w:space="0" w:color="auto"/>
              <w:right w:val="nil"/>
            </w:tcBorders>
            <w:shd w:val="clear" w:color="auto" w:fill="auto"/>
            <w:noWrap/>
            <w:vAlign w:val="bottom"/>
            <w:hideMark/>
          </w:tcPr>
          <w:p w14:paraId="69F79ACB"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štátny rozpočet</w:t>
            </w:r>
          </w:p>
        </w:tc>
        <w:tc>
          <w:tcPr>
            <w:tcW w:w="412" w:type="pct"/>
            <w:tcBorders>
              <w:top w:val="nil"/>
              <w:left w:val="nil"/>
              <w:bottom w:val="single" w:sz="4" w:space="0" w:color="auto"/>
              <w:right w:val="nil"/>
            </w:tcBorders>
            <w:shd w:val="clear" w:color="auto" w:fill="auto"/>
            <w:noWrap/>
            <w:vAlign w:val="bottom"/>
            <w:hideMark/>
          </w:tcPr>
          <w:p w14:paraId="5AFA57E1"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412" w:type="pct"/>
            <w:tcBorders>
              <w:top w:val="nil"/>
              <w:left w:val="nil"/>
              <w:bottom w:val="single" w:sz="4" w:space="0" w:color="auto"/>
              <w:right w:val="nil"/>
            </w:tcBorders>
            <w:shd w:val="clear" w:color="auto" w:fill="auto"/>
            <w:noWrap/>
            <w:vAlign w:val="bottom"/>
            <w:hideMark/>
          </w:tcPr>
          <w:p w14:paraId="510A2F6D"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1 202</w:t>
            </w:r>
          </w:p>
        </w:tc>
        <w:tc>
          <w:tcPr>
            <w:tcW w:w="426" w:type="pct"/>
            <w:tcBorders>
              <w:top w:val="nil"/>
              <w:left w:val="nil"/>
              <w:bottom w:val="single" w:sz="4" w:space="0" w:color="auto"/>
              <w:right w:val="nil"/>
            </w:tcBorders>
            <w:shd w:val="clear" w:color="auto" w:fill="auto"/>
            <w:noWrap/>
            <w:vAlign w:val="bottom"/>
            <w:hideMark/>
          </w:tcPr>
          <w:p w14:paraId="0ECA3687"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505" w:type="pct"/>
            <w:tcBorders>
              <w:top w:val="nil"/>
              <w:left w:val="nil"/>
              <w:bottom w:val="single" w:sz="4" w:space="0" w:color="auto"/>
              <w:right w:val="nil"/>
            </w:tcBorders>
            <w:shd w:val="clear" w:color="auto" w:fill="auto"/>
            <w:noWrap/>
            <w:vAlign w:val="bottom"/>
            <w:hideMark/>
          </w:tcPr>
          <w:p w14:paraId="7E9A88EB"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605</w:t>
            </w:r>
          </w:p>
        </w:tc>
        <w:tc>
          <w:tcPr>
            <w:tcW w:w="426" w:type="pct"/>
            <w:tcBorders>
              <w:top w:val="nil"/>
              <w:left w:val="nil"/>
              <w:bottom w:val="single" w:sz="4" w:space="0" w:color="auto"/>
              <w:right w:val="nil"/>
            </w:tcBorders>
            <w:shd w:val="clear" w:color="auto" w:fill="auto"/>
            <w:noWrap/>
            <w:vAlign w:val="bottom"/>
            <w:hideMark/>
          </w:tcPr>
          <w:p w14:paraId="0983A233"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426" w:type="pct"/>
            <w:tcBorders>
              <w:top w:val="nil"/>
              <w:left w:val="nil"/>
              <w:bottom w:val="single" w:sz="4" w:space="0" w:color="auto"/>
              <w:right w:val="nil"/>
            </w:tcBorders>
            <w:shd w:val="clear" w:color="auto" w:fill="auto"/>
            <w:noWrap/>
            <w:vAlign w:val="bottom"/>
            <w:hideMark/>
          </w:tcPr>
          <w:p w14:paraId="19F237B3"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426" w:type="pct"/>
            <w:tcBorders>
              <w:top w:val="nil"/>
              <w:left w:val="nil"/>
              <w:bottom w:val="single" w:sz="4" w:space="0" w:color="auto"/>
              <w:right w:val="nil"/>
            </w:tcBorders>
            <w:shd w:val="clear" w:color="auto" w:fill="auto"/>
            <w:noWrap/>
            <w:vAlign w:val="bottom"/>
            <w:hideMark/>
          </w:tcPr>
          <w:p w14:paraId="7C4F9834"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r>
    </w:tbl>
    <w:p w14:paraId="4C73CD1B" w14:textId="541FEBA4" w:rsidR="00DD531B" w:rsidRDefault="00DD531B" w:rsidP="00DD531B">
      <w:pPr>
        <w:rPr>
          <w:rFonts w:ascii="Times New Roman" w:eastAsia="Calibri" w:hAnsi="Times New Roman" w:cs="Times New Roman"/>
        </w:rPr>
      </w:pPr>
    </w:p>
    <w:p w14:paraId="679FD542" w14:textId="7FF37669" w:rsidR="00837309" w:rsidRDefault="00837309" w:rsidP="00DD531B">
      <w:pPr>
        <w:rPr>
          <w:rFonts w:ascii="Times New Roman" w:eastAsia="Calibri" w:hAnsi="Times New Roman" w:cs="Times New Roman"/>
        </w:rPr>
      </w:pPr>
    </w:p>
    <w:p w14:paraId="3A12A1D7" w14:textId="6CD77814" w:rsidR="00837309" w:rsidRDefault="00837309" w:rsidP="00DD531B">
      <w:pPr>
        <w:rPr>
          <w:rFonts w:ascii="Times New Roman" w:eastAsia="Calibri" w:hAnsi="Times New Roman" w:cs="Times New Roman"/>
        </w:rPr>
      </w:pPr>
    </w:p>
    <w:p w14:paraId="2126832A" w14:textId="3F50654E" w:rsidR="00837309" w:rsidRDefault="00837309" w:rsidP="00DD531B">
      <w:pPr>
        <w:rPr>
          <w:rFonts w:ascii="Times New Roman" w:eastAsia="Calibri" w:hAnsi="Times New Roman" w:cs="Times New Roman"/>
        </w:rPr>
      </w:pPr>
    </w:p>
    <w:p w14:paraId="0A4B3DA7" w14:textId="135BFCC0" w:rsidR="00837309" w:rsidRDefault="00837309" w:rsidP="00DD531B">
      <w:pPr>
        <w:rPr>
          <w:rFonts w:ascii="Times New Roman" w:eastAsia="Calibri" w:hAnsi="Times New Roman" w:cs="Times New Roman"/>
        </w:rPr>
      </w:pPr>
    </w:p>
    <w:p w14:paraId="4AFC1F60" w14:textId="455986EA" w:rsidR="00837309" w:rsidRDefault="00837309" w:rsidP="00DD531B">
      <w:pPr>
        <w:rPr>
          <w:rFonts w:ascii="Times New Roman" w:eastAsia="Calibri" w:hAnsi="Times New Roman" w:cs="Times New Roman"/>
        </w:rPr>
      </w:pPr>
    </w:p>
    <w:p w14:paraId="1699915B" w14:textId="77777777" w:rsidR="00837309" w:rsidRPr="00DD531B" w:rsidRDefault="00837309" w:rsidP="00DD531B">
      <w:pPr>
        <w:rPr>
          <w:rFonts w:ascii="Times New Roman" w:eastAsia="Calibri" w:hAnsi="Times New Roman" w:cs="Times New Roman"/>
        </w:rPr>
      </w:pPr>
    </w:p>
    <w:p w14:paraId="1190586F" w14:textId="20FCCDF8" w:rsidR="00DD531B" w:rsidRPr="00837309" w:rsidRDefault="00DD531B" w:rsidP="00DD531B">
      <w:pPr>
        <w:keepNext/>
        <w:keepLines/>
        <w:spacing w:before="40" w:after="0"/>
        <w:outlineLvl w:val="1"/>
        <w:rPr>
          <w:rFonts w:ascii="Times New Roman" w:eastAsia="Times New Roman" w:hAnsi="Times New Roman" w:cs="Times New Roman"/>
          <w:b/>
          <w:color w:val="5B9BD5" w:themeColor="accent1"/>
          <w:sz w:val="24"/>
          <w:szCs w:val="24"/>
        </w:rPr>
      </w:pPr>
      <w:r w:rsidRPr="00837309">
        <w:rPr>
          <w:rFonts w:ascii="Times New Roman" w:eastAsia="Times New Roman" w:hAnsi="Times New Roman" w:cs="Times New Roman"/>
          <w:b/>
          <w:color w:val="5B9BD5" w:themeColor="accent1"/>
          <w:sz w:val="24"/>
          <w:szCs w:val="24"/>
        </w:rPr>
        <w:lastRenderedPageBreak/>
        <w:t>Úrad pre územné plánovanie a výstavbu SR</w:t>
      </w:r>
    </w:p>
    <w:p w14:paraId="699D42B5" w14:textId="77777777" w:rsidR="00DD531B" w:rsidRPr="00837309" w:rsidRDefault="00DD531B" w:rsidP="00DD531B">
      <w:pPr>
        <w:rPr>
          <w:rFonts w:ascii="Times New Roman" w:eastAsia="Calibri" w:hAnsi="Times New Roman" w:cs="Times New Roman"/>
          <w:color w:val="5B9BD5" w:themeColor="accent1"/>
        </w:rPr>
      </w:pPr>
    </w:p>
    <w:p w14:paraId="51151649" w14:textId="66CB8035" w:rsidR="00DD531B" w:rsidRPr="00837309" w:rsidRDefault="00837309" w:rsidP="00DD531B">
      <w:pPr>
        <w:keepNext/>
        <w:keepLines/>
        <w:spacing w:before="40" w:after="0"/>
        <w:outlineLvl w:val="3"/>
        <w:rPr>
          <w:rFonts w:ascii="Times New Roman" w:eastAsia="Times New Roman" w:hAnsi="Times New Roman" w:cs="Times New Roman"/>
          <w:b/>
          <w:iCs/>
          <w:color w:val="5B9BD5" w:themeColor="accent1"/>
          <w:sz w:val="20"/>
          <w:szCs w:val="20"/>
          <w:lang w:eastAsia="sk-SK"/>
        </w:rPr>
      </w:pPr>
      <w:bookmarkStart w:id="254" w:name="_Toc153013124"/>
      <w:r>
        <w:rPr>
          <w:rFonts w:ascii="Times New Roman" w:eastAsia="Times New Roman" w:hAnsi="Times New Roman" w:cs="Times New Roman"/>
          <w:b/>
          <w:iCs/>
          <w:color w:val="5B9BD5" w:themeColor="accent1"/>
          <w:sz w:val="20"/>
          <w:szCs w:val="20"/>
          <w:lang w:eastAsia="sk-SK"/>
        </w:rPr>
        <w:t xml:space="preserve">Tabuľka </w:t>
      </w:r>
      <w:r w:rsidRPr="005F5DA3">
        <w:rPr>
          <w:rFonts w:ascii="Times New Roman" w:hAnsi="Times New Roman" w:cs="Times New Roman"/>
          <w:b/>
          <w:color w:val="5B9BD5" w:themeColor="accent1"/>
          <w:sz w:val="20"/>
          <w:szCs w:val="20"/>
        </w:rPr>
        <w:fldChar w:fldCharType="begin"/>
      </w:r>
      <w:r w:rsidRPr="005F5DA3">
        <w:rPr>
          <w:rFonts w:ascii="Times New Roman" w:hAnsi="Times New Roman" w:cs="Times New Roman"/>
          <w:b/>
          <w:color w:val="5B9BD5" w:themeColor="accent1"/>
          <w:sz w:val="20"/>
          <w:szCs w:val="20"/>
        </w:rPr>
        <w:instrText xml:space="preserve"> SEQ Tabuľka \* ARABIC </w:instrText>
      </w:r>
      <w:r w:rsidRPr="005F5DA3">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126</w:t>
      </w:r>
      <w:r w:rsidRPr="005F5DA3">
        <w:rPr>
          <w:rFonts w:ascii="Times New Roman" w:hAnsi="Times New Roman" w:cs="Times New Roman"/>
          <w:b/>
          <w:color w:val="5B9BD5" w:themeColor="accent1"/>
          <w:sz w:val="20"/>
          <w:szCs w:val="20"/>
        </w:rPr>
        <w:fldChar w:fldCharType="end"/>
      </w:r>
      <w:r>
        <w:rPr>
          <w:rFonts w:ascii="Times New Roman" w:hAnsi="Times New Roman" w:cs="Times New Roman"/>
          <w:b/>
          <w:color w:val="5B9BD5" w:themeColor="accent1"/>
          <w:sz w:val="20"/>
          <w:szCs w:val="20"/>
        </w:rPr>
        <w:t xml:space="preserve"> - </w:t>
      </w:r>
      <w:r w:rsidR="00DD531B" w:rsidRPr="00837309">
        <w:rPr>
          <w:rFonts w:ascii="Times New Roman" w:eastAsia="Times New Roman" w:hAnsi="Times New Roman" w:cs="Times New Roman"/>
          <w:b/>
          <w:iCs/>
          <w:color w:val="5B9BD5" w:themeColor="accent1"/>
          <w:sz w:val="20"/>
          <w:szCs w:val="20"/>
          <w:lang w:eastAsia="sk-SK"/>
        </w:rPr>
        <w:t>Príjmy kapitoly ÚÚPV SR</w:t>
      </w:r>
      <w:bookmarkEnd w:id="254"/>
    </w:p>
    <w:tbl>
      <w:tblPr>
        <w:tblW w:w="5000" w:type="pct"/>
        <w:tblCellMar>
          <w:left w:w="70" w:type="dxa"/>
          <w:right w:w="70" w:type="dxa"/>
        </w:tblCellMar>
        <w:tblLook w:val="04A0" w:firstRow="1" w:lastRow="0" w:firstColumn="1" w:lastColumn="0" w:noHBand="0" w:noVBand="1"/>
      </w:tblPr>
      <w:tblGrid>
        <w:gridCol w:w="4716"/>
        <w:gridCol w:w="589"/>
        <w:gridCol w:w="589"/>
        <w:gridCol w:w="616"/>
        <w:gridCol w:w="714"/>
        <w:gridCol w:w="616"/>
        <w:gridCol w:w="616"/>
        <w:gridCol w:w="616"/>
      </w:tblGrid>
      <w:tr w:rsidR="00DD531B" w:rsidRPr="00DD531B" w14:paraId="120A5603" w14:textId="77777777" w:rsidTr="001F24AE">
        <w:trPr>
          <w:trHeight w:val="300"/>
        </w:trPr>
        <w:tc>
          <w:tcPr>
            <w:tcW w:w="2645" w:type="pct"/>
            <w:tcBorders>
              <w:top w:val="single" w:sz="4" w:space="0" w:color="auto"/>
              <w:left w:val="nil"/>
              <w:bottom w:val="single" w:sz="4" w:space="0" w:color="auto"/>
              <w:right w:val="nil"/>
            </w:tcBorders>
            <w:shd w:val="clear" w:color="auto" w:fill="auto"/>
            <w:noWrap/>
            <w:vAlign w:val="center"/>
            <w:hideMark/>
          </w:tcPr>
          <w:p w14:paraId="3104C404" w14:textId="77777777" w:rsidR="00DD531B" w:rsidRPr="00837309" w:rsidRDefault="00DD531B" w:rsidP="00DD531B">
            <w:pPr>
              <w:spacing w:after="0" w:line="240" w:lineRule="auto"/>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v tis. eur</w:t>
            </w:r>
          </w:p>
        </w:tc>
        <w:tc>
          <w:tcPr>
            <w:tcW w:w="320" w:type="pct"/>
            <w:tcBorders>
              <w:top w:val="single" w:sz="4" w:space="0" w:color="auto"/>
              <w:left w:val="nil"/>
              <w:bottom w:val="single" w:sz="4" w:space="0" w:color="auto"/>
              <w:right w:val="nil"/>
            </w:tcBorders>
            <w:shd w:val="clear" w:color="auto" w:fill="auto"/>
            <w:noWrap/>
            <w:vAlign w:val="center"/>
            <w:hideMark/>
          </w:tcPr>
          <w:p w14:paraId="1EE08A99"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2021 S</w:t>
            </w:r>
          </w:p>
        </w:tc>
        <w:tc>
          <w:tcPr>
            <w:tcW w:w="320" w:type="pct"/>
            <w:tcBorders>
              <w:top w:val="single" w:sz="4" w:space="0" w:color="auto"/>
              <w:left w:val="nil"/>
              <w:bottom w:val="single" w:sz="4" w:space="0" w:color="auto"/>
              <w:right w:val="nil"/>
            </w:tcBorders>
            <w:shd w:val="clear" w:color="auto" w:fill="auto"/>
            <w:noWrap/>
            <w:vAlign w:val="center"/>
            <w:hideMark/>
          </w:tcPr>
          <w:p w14:paraId="2731CB74"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2022 S</w:t>
            </w:r>
          </w:p>
        </w:tc>
        <w:tc>
          <w:tcPr>
            <w:tcW w:w="331" w:type="pct"/>
            <w:tcBorders>
              <w:top w:val="single" w:sz="4" w:space="0" w:color="auto"/>
              <w:left w:val="nil"/>
              <w:bottom w:val="single" w:sz="4" w:space="0" w:color="auto"/>
              <w:right w:val="nil"/>
            </w:tcBorders>
            <w:shd w:val="clear" w:color="auto" w:fill="auto"/>
            <w:noWrap/>
            <w:vAlign w:val="center"/>
            <w:hideMark/>
          </w:tcPr>
          <w:p w14:paraId="3C56D9A3"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2023 R</w:t>
            </w:r>
          </w:p>
        </w:tc>
        <w:tc>
          <w:tcPr>
            <w:tcW w:w="393" w:type="pct"/>
            <w:tcBorders>
              <w:top w:val="single" w:sz="4" w:space="0" w:color="auto"/>
              <w:left w:val="nil"/>
              <w:bottom w:val="single" w:sz="4" w:space="0" w:color="auto"/>
              <w:right w:val="nil"/>
            </w:tcBorders>
            <w:shd w:val="clear" w:color="auto" w:fill="auto"/>
            <w:noWrap/>
            <w:vAlign w:val="center"/>
            <w:hideMark/>
          </w:tcPr>
          <w:p w14:paraId="6AE81A67"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2023 OS</w:t>
            </w:r>
          </w:p>
        </w:tc>
        <w:tc>
          <w:tcPr>
            <w:tcW w:w="331" w:type="pct"/>
            <w:tcBorders>
              <w:top w:val="single" w:sz="4" w:space="0" w:color="auto"/>
              <w:left w:val="nil"/>
              <w:bottom w:val="single" w:sz="4" w:space="0" w:color="auto"/>
              <w:right w:val="nil"/>
            </w:tcBorders>
            <w:shd w:val="clear" w:color="auto" w:fill="auto"/>
            <w:noWrap/>
            <w:vAlign w:val="center"/>
            <w:hideMark/>
          </w:tcPr>
          <w:p w14:paraId="6549D99A"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2024 N</w:t>
            </w:r>
          </w:p>
        </w:tc>
        <w:tc>
          <w:tcPr>
            <w:tcW w:w="331" w:type="pct"/>
            <w:tcBorders>
              <w:top w:val="single" w:sz="4" w:space="0" w:color="auto"/>
              <w:left w:val="nil"/>
              <w:bottom w:val="single" w:sz="4" w:space="0" w:color="auto"/>
              <w:right w:val="nil"/>
            </w:tcBorders>
            <w:shd w:val="clear" w:color="auto" w:fill="auto"/>
            <w:noWrap/>
            <w:vAlign w:val="center"/>
            <w:hideMark/>
          </w:tcPr>
          <w:p w14:paraId="5D2DD045"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2025 N</w:t>
            </w:r>
          </w:p>
        </w:tc>
        <w:tc>
          <w:tcPr>
            <w:tcW w:w="331" w:type="pct"/>
            <w:tcBorders>
              <w:top w:val="single" w:sz="4" w:space="0" w:color="auto"/>
              <w:left w:val="nil"/>
              <w:bottom w:val="single" w:sz="4" w:space="0" w:color="auto"/>
              <w:right w:val="nil"/>
            </w:tcBorders>
            <w:shd w:val="clear" w:color="auto" w:fill="auto"/>
            <w:noWrap/>
            <w:vAlign w:val="center"/>
            <w:hideMark/>
          </w:tcPr>
          <w:p w14:paraId="419BD36A"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2026 N</w:t>
            </w:r>
          </w:p>
        </w:tc>
      </w:tr>
      <w:tr w:rsidR="00DD531B" w:rsidRPr="00DD531B" w14:paraId="4032EC67" w14:textId="77777777" w:rsidTr="001F24AE">
        <w:trPr>
          <w:trHeight w:val="300"/>
        </w:trPr>
        <w:tc>
          <w:tcPr>
            <w:tcW w:w="2645" w:type="pct"/>
            <w:tcBorders>
              <w:top w:val="nil"/>
              <w:left w:val="nil"/>
              <w:bottom w:val="nil"/>
              <w:right w:val="nil"/>
            </w:tcBorders>
            <w:shd w:val="clear" w:color="auto" w:fill="auto"/>
            <w:noWrap/>
            <w:vAlign w:val="bottom"/>
            <w:hideMark/>
          </w:tcPr>
          <w:p w14:paraId="31927606" w14:textId="77777777" w:rsidR="00DD531B" w:rsidRPr="00837309" w:rsidRDefault="00DD531B" w:rsidP="00DD531B">
            <w:pPr>
              <w:spacing w:after="0" w:line="240" w:lineRule="auto"/>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Príjmy kapitoly spolu</w:t>
            </w:r>
          </w:p>
        </w:tc>
        <w:tc>
          <w:tcPr>
            <w:tcW w:w="320" w:type="pct"/>
            <w:tcBorders>
              <w:top w:val="nil"/>
              <w:left w:val="nil"/>
              <w:bottom w:val="nil"/>
              <w:right w:val="nil"/>
            </w:tcBorders>
            <w:shd w:val="clear" w:color="auto" w:fill="auto"/>
            <w:noWrap/>
            <w:vAlign w:val="bottom"/>
            <w:hideMark/>
          </w:tcPr>
          <w:p w14:paraId="5AC6A237" w14:textId="77777777" w:rsidR="00DD531B" w:rsidRPr="00837309"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0</w:t>
            </w:r>
          </w:p>
        </w:tc>
        <w:tc>
          <w:tcPr>
            <w:tcW w:w="320" w:type="pct"/>
            <w:tcBorders>
              <w:top w:val="nil"/>
              <w:left w:val="nil"/>
              <w:bottom w:val="nil"/>
              <w:right w:val="nil"/>
            </w:tcBorders>
            <w:shd w:val="clear" w:color="auto" w:fill="auto"/>
            <w:noWrap/>
            <w:vAlign w:val="bottom"/>
            <w:hideMark/>
          </w:tcPr>
          <w:p w14:paraId="1149F040" w14:textId="77777777" w:rsidR="00DD531B" w:rsidRPr="00837309"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0</w:t>
            </w:r>
          </w:p>
        </w:tc>
        <w:tc>
          <w:tcPr>
            <w:tcW w:w="331" w:type="pct"/>
            <w:tcBorders>
              <w:top w:val="nil"/>
              <w:left w:val="nil"/>
              <w:bottom w:val="nil"/>
              <w:right w:val="nil"/>
            </w:tcBorders>
            <w:shd w:val="clear" w:color="auto" w:fill="auto"/>
            <w:noWrap/>
            <w:vAlign w:val="bottom"/>
            <w:hideMark/>
          </w:tcPr>
          <w:p w14:paraId="5C9279AD" w14:textId="77777777" w:rsidR="00DD531B" w:rsidRPr="00837309"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0</w:t>
            </w:r>
          </w:p>
        </w:tc>
        <w:tc>
          <w:tcPr>
            <w:tcW w:w="393" w:type="pct"/>
            <w:tcBorders>
              <w:top w:val="nil"/>
              <w:left w:val="nil"/>
              <w:bottom w:val="nil"/>
              <w:right w:val="nil"/>
            </w:tcBorders>
            <w:shd w:val="clear" w:color="auto" w:fill="auto"/>
            <w:noWrap/>
            <w:vAlign w:val="bottom"/>
            <w:hideMark/>
          </w:tcPr>
          <w:p w14:paraId="7A52C50D" w14:textId="77777777" w:rsidR="00DD531B" w:rsidRPr="00837309"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180</w:t>
            </w:r>
          </w:p>
        </w:tc>
        <w:tc>
          <w:tcPr>
            <w:tcW w:w="331" w:type="pct"/>
            <w:tcBorders>
              <w:top w:val="nil"/>
              <w:left w:val="nil"/>
              <w:bottom w:val="nil"/>
              <w:right w:val="nil"/>
            </w:tcBorders>
            <w:shd w:val="clear" w:color="auto" w:fill="auto"/>
            <w:noWrap/>
            <w:vAlign w:val="bottom"/>
            <w:hideMark/>
          </w:tcPr>
          <w:p w14:paraId="545E7071" w14:textId="77777777" w:rsidR="00DD531B" w:rsidRPr="00837309"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0</w:t>
            </w:r>
          </w:p>
        </w:tc>
        <w:tc>
          <w:tcPr>
            <w:tcW w:w="331" w:type="pct"/>
            <w:tcBorders>
              <w:top w:val="nil"/>
              <w:left w:val="nil"/>
              <w:bottom w:val="nil"/>
              <w:right w:val="nil"/>
            </w:tcBorders>
            <w:shd w:val="clear" w:color="auto" w:fill="auto"/>
            <w:noWrap/>
            <w:vAlign w:val="bottom"/>
            <w:hideMark/>
          </w:tcPr>
          <w:p w14:paraId="460C8E78" w14:textId="77777777" w:rsidR="00DD531B" w:rsidRPr="00837309"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0</w:t>
            </w:r>
          </w:p>
        </w:tc>
        <w:tc>
          <w:tcPr>
            <w:tcW w:w="331" w:type="pct"/>
            <w:tcBorders>
              <w:top w:val="nil"/>
              <w:left w:val="nil"/>
              <w:bottom w:val="nil"/>
              <w:right w:val="nil"/>
            </w:tcBorders>
            <w:shd w:val="clear" w:color="auto" w:fill="auto"/>
            <w:noWrap/>
            <w:vAlign w:val="bottom"/>
            <w:hideMark/>
          </w:tcPr>
          <w:p w14:paraId="6AC26F40" w14:textId="77777777" w:rsidR="00DD531B" w:rsidRPr="00837309" w:rsidRDefault="00DD531B" w:rsidP="00DD531B">
            <w:pPr>
              <w:spacing w:after="0" w:line="240" w:lineRule="auto"/>
              <w:jc w:val="right"/>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0</w:t>
            </w:r>
          </w:p>
        </w:tc>
      </w:tr>
      <w:tr w:rsidR="00DD531B" w:rsidRPr="00DD531B" w14:paraId="1F9333D5" w14:textId="77777777" w:rsidTr="001F24AE">
        <w:trPr>
          <w:trHeight w:val="300"/>
        </w:trPr>
        <w:tc>
          <w:tcPr>
            <w:tcW w:w="2645" w:type="pct"/>
            <w:tcBorders>
              <w:top w:val="nil"/>
              <w:left w:val="nil"/>
              <w:bottom w:val="single" w:sz="4" w:space="0" w:color="auto"/>
              <w:right w:val="nil"/>
            </w:tcBorders>
            <w:shd w:val="clear" w:color="auto" w:fill="auto"/>
            <w:noWrap/>
            <w:vAlign w:val="bottom"/>
            <w:hideMark/>
          </w:tcPr>
          <w:p w14:paraId="7CA3F272" w14:textId="77777777" w:rsidR="00DD531B" w:rsidRPr="00837309" w:rsidRDefault="00DD531B" w:rsidP="00DD531B">
            <w:pPr>
              <w:spacing w:after="0" w:line="240" w:lineRule="auto"/>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nedaňové príjmy</w:t>
            </w:r>
          </w:p>
        </w:tc>
        <w:tc>
          <w:tcPr>
            <w:tcW w:w="320" w:type="pct"/>
            <w:tcBorders>
              <w:top w:val="nil"/>
              <w:left w:val="nil"/>
              <w:bottom w:val="single" w:sz="4" w:space="0" w:color="auto"/>
              <w:right w:val="nil"/>
            </w:tcBorders>
            <w:shd w:val="clear" w:color="auto" w:fill="auto"/>
            <w:noWrap/>
            <w:vAlign w:val="bottom"/>
            <w:hideMark/>
          </w:tcPr>
          <w:p w14:paraId="3899071C"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20" w:type="pct"/>
            <w:tcBorders>
              <w:top w:val="nil"/>
              <w:left w:val="nil"/>
              <w:bottom w:val="single" w:sz="4" w:space="0" w:color="auto"/>
              <w:right w:val="nil"/>
            </w:tcBorders>
            <w:shd w:val="clear" w:color="auto" w:fill="auto"/>
            <w:noWrap/>
            <w:vAlign w:val="bottom"/>
            <w:hideMark/>
          </w:tcPr>
          <w:p w14:paraId="61B29536"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31" w:type="pct"/>
            <w:tcBorders>
              <w:top w:val="nil"/>
              <w:left w:val="nil"/>
              <w:bottom w:val="single" w:sz="4" w:space="0" w:color="auto"/>
              <w:right w:val="nil"/>
            </w:tcBorders>
            <w:shd w:val="clear" w:color="auto" w:fill="auto"/>
            <w:noWrap/>
            <w:vAlign w:val="bottom"/>
            <w:hideMark/>
          </w:tcPr>
          <w:p w14:paraId="1B1322DE"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93" w:type="pct"/>
            <w:tcBorders>
              <w:top w:val="nil"/>
              <w:left w:val="nil"/>
              <w:bottom w:val="single" w:sz="4" w:space="0" w:color="auto"/>
              <w:right w:val="nil"/>
            </w:tcBorders>
            <w:shd w:val="clear" w:color="auto" w:fill="auto"/>
            <w:noWrap/>
            <w:vAlign w:val="bottom"/>
            <w:hideMark/>
          </w:tcPr>
          <w:p w14:paraId="482D67DA"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180</w:t>
            </w:r>
          </w:p>
        </w:tc>
        <w:tc>
          <w:tcPr>
            <w:tcW w:w="331" w:type="pct"/>
            <w:tcBorders>
              <w:top w:val="nil"/>
              <w:left w:val="nil"/>
              <w:bottom w:val="single" w:sz="4" w:space="0" w:color="auto"/>
              <w:right w:val="nil"/>
            </w:tcBorders>
            <w:shd w:val="clear" w:color="auto" w:fill="auto"/>
            <w:noWrap/>
            <w:vAlign w:val="bottom"/>
            <w:hideMark/>
          </w:tcPr>
          <w:p w14:paraId="10F601CC"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31" w:type="pct"/>
            <w:tcBorders>
              <w:top w:val="nil"/>
              <w:left w:val="nil"/>
              <w:bottom w:val="single" w:sz="4" w:space="0" w:color="auto"/>
              <w:right w:val="nil"/>
            </w:tcBorders>
            <w:shd w:val="clear" w:color="auto" w:fill="auto"/>
            <w:noWrap/>
            <w:vAlign w:val="bottom"/>
            <w:hideMark/>
          </w:tcPr>
          <w:p w14:paraId="48AF9C4A"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31" w:type="pct"/>
            <w:tcBorders>
              <w:top w:val="nil"/>
              <w:left w:val="nil"/>
              <w:bottom w:val="single" w:sz="4" w:space="0" w:color="auto"/>
              <w:right w:val="nil"/>
            </w:tcBorders>
            <w:shd w:val="clear" w:color="auto" w:fill="auto"/>
            <w:noWrap/>
            <w:vAlign w:val="bottom"/>
            <w:hideMark/>
          </w:tcPr>
          <w:p w14:paraId="140BB108"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r>
    </w:tbl>
    <w:p w14:paraId="6D38477F" w14:textId="77777777" w:rsidR="00DD531B" w:rsidRPr="00DD531B" w:rsidRDefault="00DD531B" w:rsidP="00DD531B">
      <w:pPr>
        <w:rPr>
          <w:rFonts w:ascii="Times New Roman" w:eastAsia="Calibri" w:hAnsi="Times New Roman" w:cs="Times New Roman"/>
        </w:rPr>
      </w:pPr>
    </w:p>
    <w:p w14:paraId="231BBA2A" w14:textId="41A7AB58" w:rsidR="00DD531B" w:rsidRPr="00DD531B" w:rsidRDefault="00837309" w:rsidP="00DD531B">
      <w:pPr>
        <w:keepNext/>
        <w:keepLines/>
        <w:spacing w:before="40" w:after="0"/>
        <w:outlineLvl w:val="3"/>
        <w:rPr>
          <w:rFonts w:ascii="Times New Roman" w:eastAsia="Times New Roman" w:hAnsi="Times New Roman" w:cs="Times New Roman"/>
          <w:b/>
          <w:iCs/>
          <w:color w:val="2E74B5"/>
          <w:sz w:val="20"/>
          <w:szCs w:val="20"/>
          <w:lang w:eastAsia="sk-SK"/>
        </w:rPr>
      </w:pPr>
      <w:bookmarkStart w:id="255" w:name="_Toc153013125"/>
      <w:r w:rsidRPr="00837309">
        <w:rPr>
          <w:rFonts w:ascii="Times New Roman" w:eastAsia="Times New Roman" w:hAnsi="Times New Roman" w:cs="Times New Roman"/>
          <w:b/>
          <w:iCs/>
          <w:color w:val="5B9BD5" w:themeColor="accent1"/>
          <w:sz w:val="20"/>
          <w:szCs w:val="20"/>
          <w:lang w:eastAsia="sk-SK"/>
        </w:rPr>
        <w:t xml:space="preserve">Tabuľka </w:t>
      </w:r>
      <w:r w:rsidRPr="00837309">
        <w:rPr>
          <w:rFonts w:ascii="Times New Roman" w:hAnsi="Times New Roman" w:cs="Times New Roman"/>
          <w:b/>
          <w:color w:val="5B9BD5" w:themeColor="accent1"/>
          <w:sz w:val="20"/>
          <w:szCs w:val="20"/>
        </w:rPr>
        <w:fldChar w:fldCharType="begin"/>
      </w:r>
      <w:r w:rsidRPr="00837309">
        <w:rPr>
          <w:rFonts w:ascii="Times New Roman" w:hAnsi="Times New Roman" w:cs="Times New Roman"/>
          <w:b/>
          <w:color w:val="5B9BD5" w:themeColor="accent1"/>
          <w:sz w:val="20"/>
          <w:szCs w:val="20"/>
        </w:rPr>
        <w:instrText xml:space="preserve"> SEQ Tabuľka \* ARABIC </w:instrText>
      </w:r>
      <w:r w:rsidRPr="00837309">
        <w:rPr>
          <w:rFonts w:ascii="Times New Roman" w:hAnsi="Times New Roman" w:cs="Times New Roman"/>
          <w:b/>
          <w:color w:val="5B9BD5" w:themeColor="accent1"/>
          <w:sz w:val="20"/>
          <w:szCs w:val="20"/>
        </w:rPr>
        <w:fldChar w:fldCharType="separate"/>
      </w:r>
      <w:r w:rsidR="003D5A3A">
        <w:rPr>
          <w:rFonts w:ascii="Times New Roman" w:hAnsi="Times New Roman" w:cs="Times New Roman"/>
          <w:b/>
          <w:noProof/>
          <w:color w:val="5B9BD5" w:themeColor="accent1"/>
          <w:sz w:val="20"/>
          <w:szCs w:val="20"/>
        </w:rPr>
        <w:t>127</w:t>
      </w:r>
      <w:r w:rsidRPr="00837309">
        <w:rPr>
          <w:rFonts w:ascii="Times New Roman" w:hAnsi="Times New Roman" w:cs="Times New Roman"/>
          <w:b/>
          <w:color w:val="5B9BD5" w:themeColor="accent1"/>
          <w:sz w:val="20"/>
          <w:szCs w:val="20"/>
        </w:rPr>
        <w:fldChar w:fldCharType="end"/>
      </w:r>
      <w:r w:rsidRPr="00837309">
        <w:rPr>
          <w:rFonts w:ascii="Times New Roman" w:hAnsi="Times New Roman" w:cs="Times New Roman"/>
          <w:b/>
          <w:color w:val="5B9BD5" w:themeColor="accent1"/>
          <w:sz w:val="20"/>
          <w:szCs w:val="20"/>
        </w:rPr>
        <w:t xml:space="preserve"> - </w:t>
      </w:r>
      <w:r w:rsidR="00DD531B" w:rsidRPr="00837309">
        <w:rPr>
          <w:rFonts w:ascii="Times New Roman" w:eastAsia="Times New Roman" w:hAnsi="Times New Roman" w:cs="Times New Roman"/>
          <w:b/>
          <w:iCs/>
          <w:color w:val="5B9BD5" w:themeColor="accent1"/>
          <w:sz w:val="20"/>
          <w:szCs w:val="20"/>
          <w:lang w:eastAsia="sk-SK"/>
        </w:rPr>
        <w:t>Výdavky kapitoly ÚÚPV SR</w:t>
      </w:r>
      <w:bookmarkEnd w:id="255"/>
    </w:p>
    <w:tbl>
      <w:tblPr>
        <w:tblW w:w="5000" w:type="pct"/>
        <w:tblCellMar>
          <w:left w:w="70" w:type="dxa"/>
          <w:right w:w="70" w:type="dxa"/>
        </w:tblCellMar>
        <w:tblLook w:val="04A0" w:firstRow="1" w:lastRow="0" w:firstColumn="1" w:lastColumn="0" w:noHBand="0" w:noVBand="1"/>
      </w:tblPr>
      <w:tblGrid>
        <w:gridCol w:w="4716"/>
        <w:gridCol w:w="589"/>
        <w:gridCol w:w="589"/>
        <w:gridCol w:w="616"/>
        <w:gridCol w:w="714"/>
        <w:gridCol w:w="616"/>
        <w:gridCol w:w="616"/>
        <w:gridCol w:w="616"/>
      </w:tblGrid>
      <w:tr w:rsidR="00DD531B" w:rsidRPr="00DD531B" w14:paraId="4B3734AD" w14:textId="77777777" w:rsidTr="001F24AE">
        <w:trPr>
          <w:trHeight w:val="300"/>
        </w:trPr>
        <w:tc>
          <w:tcPr>
            <w:tcW w:w="2645" w:type="pct"/>
            <w:tcBorders>
              <w:top w:val="single" w:sz="4" w:space="0" w:color="auto"/>
              <w:left w:val="nil"/>
              <w:bottom w:val="single" w:sz="4" w:space="0" w:color="auto"/>
              <w:right w:val="nil"/>
            </w:tcBorders>
            <w:shd w:val="clear" w:color="auto" w:fill="auto"/>
            <w:noWrap/>
            <w:vAlign w:val="center"/>
            <w:hideMark/>
          </w:tcPr>
          <w:p w14:paraId="79C1ADCD" w14:textId="77777777" w:rsidR="00DD531B" w:rsidRPr="00837309" w:rsidRDefault="00DD531B" w:rsidP="00DD531B">
            <w:pPr>
              <w:spacing w:after="0" w:line="240" w:lineRule="auto"/>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v tis. eur</w:t>
            </w:r>
          </w:p>
        </w:tc>
        <w:tc>
          <w:tcPr>
            <w:tcW w:w="320" w:type="pct"/>
            <w:tcBorders>
              <w:top w:val="single" w:sz="4" w:space="0" w:color="auto"/>
              <w:left w:val="nil"/>
              <w:bottom w:val="single" w:sz="4" w:space="0" w:color="auto"/>
              <w:right w:val="nil"/>
            </w:tcBorders>
            <w:shd w:val="clear" w:color="auto" w:fill="auto"/>
            <w:noWrap/>
            <w:vAlign w:val="center"/>
            <w:hideMark/>
          </w:tcPr>
          <w:p w14:paraId="16359BCB"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2021 S</w:t>
            </w:r>
          </w:p>
        </w:tc>
        <w:tc>
          <w:tcPr>
            <w:tcW w:w="320" w:type="pct"/>
            <w:tcBorders>
              <w:top w:val="single" w:sz="4" w:space="0" w:color="auto"/>
              <w:left w:val="nil"/>
              <w:bottom w:val="single" w:sz="4" w:space="0" w:color="auto"/>
              <w:right w:val="nil"/>
            </w:tcBorders>
            <w:shd w:val="clear" w:color="auto" w:fill="auto"/>
            <w:noWrap/>
            <w:vAlign w:val="center"/>
            <w:hideMark/>
          </w:tcPr>
          <w:p w14:paraId="21A67A36"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2022 S</w:t>
            </w:r>
          </w:p>
        </w:tc>
        <w:tc>
          <w:tcPr>
            <w:tcW w:w="331" w:type="pct"/>
            <w:tcBorders>
              <w:top w:val="single" w:sz="4" w:space="0" w:color="auto"/>
              <w:left w:val="nil"/>
              <w:bottom w:val="single" w:sz="4" w:space="0" w:color="auto"/>
              <w:right w:val="nil"/>
            </w:tcBorders>
            <w:shd w:val="clear" w:color="auto" w:fill="auto"/>
            <w:noWrap/>
            <w:vAlign w:val="center"/>
            <w:hideMark/>
          </w:tcPr>
          <w:p w14:paraId="0AAB3DB1"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2023 R</w:t>
            </w:r>
          </w:p>
        </w:tc>
        <w:tc>
          <w:tcPr>
            <w:tcW w:w="393" w:type="pct"/>
            <w:tcBorders>
              <w:top w:val="single" w:sz="4" w:space="0" w:color="auto"/>
              <w:left w:val="nil"/>
              <w:bottom w:val="single" w:sz="4" w:space="0" w:color="auto"/>
              <w:right w:val="nil"/>
            </w:tcBorders>
            <w:shd w:val="clear" w:color="auto" w:fill="auto"/>
            <w:noWrap/>
            <w:vAlign w:val="center"/>
            <w:hideMark/>
          </w:tcPr>
          <w:p w14:paraId="666A5B22"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2023 OS</w:t>
            </w:r>
          </w:p>
        </w:tc>
        <w:tc>
          <w:tcPr>
            <w:tcW w:w="331" w:type="pct"/>
            <w:tcBorders>
              <w:top w:val="single" w:sz="4" w:space="0" w:color="auto"/>
              <w:left w:val="nil"/>
              <w:bottom w:val="single" w:sz="4" w:space="0" w:color="auto"/>
              <w:right w:val="nil"/>
            </w:tcBorders>
            <w:shd w:val="clear" w:color="auto" w:fill="auto"/>
            <w:noWrap/>
            <w:vAlign w:val="center"/>
            <w:hideMark/>
          </w:tcPr>
          <w:p w14:paraId="19370B29"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2024 N</w:t>
            </w:r>
          </w:p>
        </w:tc>
        <w:tc>
          <w:tcPr>
            <w:tcW w:w="331" w:type="pct"/>
            <w:tcBorders>
              <w:top w:val="single" w:sz="4" w:space="0" w:color="auto"/>
              <w:left w:val="nil"/>
              <w:bottom w:val="single" w:sz="4" w:space="0" w:color="auto"/>
              <w:right w:val="nil"/>
            </w:tcBorders>
            <w:shd w:val="clear" w:color="auto" w:fill="auto"/>
            <w:noWrap/>
            <w:vAlign w:val="center"/>
            <w:hideMark/>
          </w:tcPr>
          <w:p w14:paraId="6FB3D545"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2025 N</w:t>
            </w:r>
          </w:p>
        </w:tc>
        <w:tc>
          <w:tcPr>
            <w:tcW w:w="331" w:type="pct"/>
            <w:tcBorders>
              <w:top w:val="single" w:sz="4" w:space="0" w:color="auto"/>
              <w:left w:val="nil"/>
              <w:bottom w:val="single" w:sz="4" w:space="0" w:color="auto"/>
              <w:right w:val="nil"/>
            </w:tcBorders>
            <w:shd w:val="clear" w:color="auto" w:fill="auto"/>
            <w:noWrap/>
            <w:vAlign w:val="center"/>
            <w:hideMark/>
          </w:tcPr>
          <w:p w14:paraId="6109ACCE" w14:textId="77777777" w:rsidR="00DD531B" w:rsidRPr="00837309" w:rsidRDefault="00DD531B" w:rsidP="00837309">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2026 N</w:t>
            </w:r>
          </w:p>
        </w:tc>
      </w:tr>
      <w:tr w:rsidR="00DD531B" w:rsidRPr="00DD531B" w14:paraId="00299C86" w14:textId="77777777" w:rsidTr="001F24AE">
        <w:trPr>
          <w:trHeight w:val="300"/>
        </w:trPr>
        <w:tc>
          <w:tcPr>
            <w:tcW w:w="2645" w:type="pct"/>
            <w:tcBorders>
              <w:top w:val="nil"/>
              <w:left w:val="nil"/>
              <w:bottom w:val="nil"/>
              <w:right w:val="nil"/>
            </w:tcBorders>
            <w:shd w:val="clear" w:color="auto" w:fill="auto"/>
            <w:noWrap/>
            <w:vAlign w:val="center"/>
            <w:hideMark/>
          </w:tcPr>
          <w:p w14:paraId="1FECA286" w14:textId="77777777" w:rsidR="00DD531B" w:rsidRPr="00837309" w:rsidRDefault="00DD531B" w:rsidP="00DD531B">
            <w:pPr>
              <w:spacing w:after="0" w:line="240" w:lineRule="auto"/>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Výdavky kapitoly spolu</w:t>
            </w:r>
          </w:p>
        </w:tc>
        <w:tc>
          <w:tcPr>
            <w:tcW w:w="320" w:type="pct"/>
            <w:tcBorders>
              <w:top w:val="nil"/>
              <w:left w:val="nil"/>
              <w:bottom w:val="nil"/>
              <w:right w:val="nil"/>
            </w:tcBorders>
            <w:shd w:val="clear" w:color="auto" w:fill="auto"/>
            <w:noWrap/>
            <w:vAlign w:val="center"/>
            <w:hideMark/>
          </w:tcPr>
          <w:p w14:paraId="5423A1B4"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320" w:type="pct"/>
            <w:tcBorders>
              <w:top w:val="nil"/>
              <w:left w:val="nil"/>
              <w:bottom w:val="nil"/>
              <w:right w:val="nil"/>
            </w:tcBorders>
            <w:shd w:val="clear" w:color="auto" w:fill="auto"/>
            <w:noWrap/>
            <w:vAlign w:val="center"/>
            <w:hideMark/>
          </w:tcPr>
          <w:p w14:paraId="75FF6AFA"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9 250</w:t>
            </w:r>
          </w:p>
        </w:tc>
        <w:tc>
          <w:tcPr>
            <w:tcW w:w="331" w:type="pct"/>
            <w:tcBorders>
              <w:top w:val="nil"/>
              <w:left w:val="nil"/>
              <w:bottom w:val="nil"/>
              <w:right w:val="nil"/>
            </w:tcBorders>
            <w:shd w:val="clear" w:color="auto" w:fill="auto"/>
            <w:noWrap/>
            <w:vAlign w:val="center"/>
            <w:hideMark/>
          </w:tcPr>
          <w:p w14:paraId="62B7EAEF"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55 958</w:t>
            </w:r>
          </w:p>
        </w:tc>
        <w:tc>
          <w:tcPr>
            <w:tcW w:w="393" w:type="pct"/>
            <w:tcBorders>
              <w:top w:val="nil"/>
              <w:left w:val="nil"/>
              <w:bottom w:val="nil"/>
              <w:right w:val="nil"/>
            </w:tcBorders>
            <w:shd w:val="clear" w:color="auto" w:fill="auto"/>
            <w:noWrap/>
            <w:vAlign w:val="center"/>
            <w:hideMark/>
          </w:tcPr>
          <w:p w14:paraId="44BCC53D"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65 263</w:t>
            </w:r>
          </w:p>
        </w:tc>
        <w:tc>
          <w:tcPr>
            <w:tcW w:w="331" w:type="pct"/>
            <w:tcBorders>
              <w:top w:val="nil"/>
              <w:left w:val="nil"/>
              <w:bottom w:val="nil"/>
              <w:right w:val="nil"/>
            </w:tcBorders>
            <w:shd w:val="clear" w:color="auto" w:fill="auto"/>
            <w:noWrap/>
            <w:vAlign w:val="center"/>
            <w:hideMark/>
          </w:tcPr>
          <w:p w14:paraId="18E79D03"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61 478</w:t>
            </w:r>
          </w:p>
        </w:tc>
        <w:tc>
          <w:tcPr>
            <w:tcW w:w="331" w:type="pct"/>
            <w:tcBorders>
              <w:top w:val="nil"/>
              <w:left w:val="nil"/>
              <w:bottom w:val="nil"/>
              <w:right w:val="nil"/>
            </w:tcBorders>
            <w:shd w:val="clear" w:color="auto" w:fill="auto"/>
            <w:noWrap/>
            <w:vAlign w:val="center"/>
            <w:hideMark/>
          </w:tcPr>
          <w:p w14:paraId="087F4C7E"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72 381</w:t>
            </w:r>
          </w:p>
        </w:tc>
        <w:tc>
          <w:tcPr>
            <w:tcW w:w="331" w:type="pct"/>
            <w:tcBorders>
              <w:top w:val="nil"/>
              <w:left w:val="nil"/>
              <w:bottom w:val="nil"/>
              <w:right w:val="nil"/>
            </w:tcBorders>
            <w:shd w:val="clear" w:color="auto" w:fill="auto"/>
            <w:noWrap/>
            <w:vAlign w:val="center"/>
            <w:hideMark/>
          </w:tcPr>
          <w:p w14:paraId="16A62D6E"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72 880</w:t>
            </w:r>
          </w:p>
        </w:tc>
      </w:tr>
      <w:tr w:rsidR="00DD531B" w:rsidRPr="00DD531B" w14:paraId="6C8377CC" w14:textId="77777777" w:rsidTr="001F24AE">
        <w:trPr>
          <w:trHeight w:val="300"/>
        </w:trPr>
        <w:tc>
          <w:tcPr>
            <w:tcW w:w="2645" w:type="pct"/>
            <w:tcBorders>
              <w:top w:val="nil"/>
              <w:left w:val="nil"/>
              <w:bottom w:val="nil"/>
              <w:right w:val="nil"/>
            </w:tcBorders>
            <w:shd w:val="clear" w:color="auto" w:fill="auto"/>
            <w:noWrap/>
            <w:vAlign w:val="bottom"/>
            <w:hideMark/>
          </w:tcPr>
          <w:p w14:paraId="57665FB3" w14:textId="77777777" w:rsidR="00DD531B" w:rsidRPr="00837309" w:rsidRDefault="00DD531B" w:rsidP="00DD531B">
            <w:pPr>
              <w:spacing w:after="0" w:line="240" w:lineRule="auto"/>
              <w:rPr>
                <w:rFonts w:ascii="Times New Roman" w:eastAsia="Times New Roman" w:hAnsi="Times New Roman" w:cs="Times New Roman"/>
                <w:b/>
                <w:bCs/>
                <w:color w:val="000000"/>
                <w:sz w:val="16"/>
                <w:szCs w:val="16"/>
                <w:lang w:eastAsia="sk-SK"/>
              </w:rPr>
            </w:pPr>
            <w:r w:rsidRPr="00837309">
              <w:rPr>
                <w:rFonts w:ascii="Times New Roman" w:eastAsia="Times New Roman" w:hAnsi="Times New Roman" w:cs="Times New Roman"/>
                <w:b/>
                <w:bCs/>
                <w:color w:val="000000"/>
                <w:sz w:val="16"/>
                <w:szCs w:val="16"/>
                <w:lang w:eastAsia="sk-SK"/>
              </w:rPr>
              <w:t>rozpočtové zdroje kapitoly</w:t>
            </w:r>
          </w:p>
        </w:tc>
        <w:tc>
          <w:tcPr>
            <w:tcW w:w="320" w:type="pct"/>
            <w:tcBorders>
              <w:top w:val="nil"/>
              <w:left w:val="nil"/>
              <w:bottom w:val="nil"/>
              <w:right w:val="nil"/>
            </w:tcBorders>
            <w:shd w:val="clear" w:color="auto" w:fill="auto"/>
            <w:noWrap/>
            <w:vAlign w:val="bottom"/>
            <w:hideMark/>
          </w:tcPr>
          <w:p w14:paraId="0D723784"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320" w:type="pct"/>
            <w:tcBorders>
              <w:top w:val="nil"/>
              <w:left w:val="nil"/>
              <w:bottom w:val="nil"/>
              <w:right w:val="nil"/>
            </w:tcBorders>
            <w:shd w:val="clear" w:color="auto" w:fill="auto"/>
            <w:noWrap/>
            <w:vAlign w:val="bottom"/>
            <w:hideMark/>
          </w:tcPr>
          <w:p w14:paraId="71C86A83"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9 250</w:t>
            </w:r>
          </w:p>
        </w:tc>
        <w:tc>
          <w:tcPr>
            <w:tcW w:w="331" w:type="pct"/>
            <w:tcBorders>
              <w:top w:val="nil"/>
              <w:left w:val="nil"/>
              <w:bottom w:val="nil"/>
              <w:right w:val="nil"/>
            </w:tcBorders>
            <w:shd w:val="clear" w:color="auto" w:fill="auto"/>
            <w:noWrap/>
            <w:vAlign w:val="bottom"/>
            <w:hideMark/>
          </w:tcPr>
          <w:p w14:paraId="30AB2032"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55 958</w:t>
            </w:r>
          </w:p>
        </w:tc>
        <w:tc>
          <w:tcPr>
            <w:tcW w:w="393" w:type="pct"/>
            <w:tcBorders>
              <w:top w:val="nil"/>
              <w:left w:val="nil"/>
              <w:bottom w:val="nil"/>
              <w:right w:val="nil"/>
            </w:tcBorders>
            <w:shd w:val="clear" w:color="auto" w:fill="auto"/>
            <w:noWrap/>
            <w:vAlign w:val="bottom"/>
            <w:hideMark/>
          </w:tcPr>
          <w:p w14:paraId="2FFEFAB4"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64 934</w:t>
            </w:r>
          </w:p>
        </w:tc>
        <w:tc>
          <w:tcPr>
            <w:tcW w:w="331" w:type="pct"/>
            <w:tcBorders>
              <w:top w:val="nil"/>
              <w:left w:val="nil"/>
              <w:bottom w:val="nil"/>
              <w:right w:val="nil"/>
            </w:tcBorders>
            <w:shd w:val="clear" w:color="auto" w:fill="auto"/>
            <w:noWrap/>
            <w:vAlign w:val="bottom"/>
            <w:hideMark/>
          </w:tcPr>
          <w:p w14:paraId="63E48B61"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61 478</w:t>
            </w:r>
          </w:p>
        </w:tc>
        <w:tc>
          <w:tcPr>
            <w:tcW w:w="331" w:type="pct"/>
            <w:tcBorders>
              <w:top w:val="nil"/>
              <w:left w:val="nil"/>
              <w:bottom w:val="nil"/>
              <w:right w:val="nil"/>
            </w:tcBorders>
            <w:shd w:val="clear" w:color="auto" w:fill="auto"/>
            <w:noWrap/>
            <w:vAlign w:val="bottom"/>
            <w:hideMark/>
          </w:tcPr>
          <w:p w14:paraId="51C3E6B9"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72 381</w:t>
            </w:r>
          </w:p>
        </w:tc>
        <w:tc>
          <w:tcPr>
            <w:tcW w:w="331" w:type="pct"/>
            <w:tcBorders>
              <w:top w:val="nil"/>
              <w:left w:val="nil"/>
              <w:bottom w:val="nil"/>
              <w:right w:val="nil"/>
            </w:tcBorders>
            <w:shd w:val="clear" w:color="auto" w:fill="auto"/>
            <w:noWrap/>
            <w:vAlign w:val="bottom"/>
            <w:hideMark/>
          </w:tcPr>
          <w:p w14:paraId="637722EB"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72 880</w:t>
            </w:r>
          </w:p>
        </w:tc>
      </w:tr>
      <w:tr w:rsidR="00DD531B" w:rsidRPr="00DD531B" w14:paraId="59371755" w14:textId="77777777" w:rsidTr="001F24AE">
        <w:trPr>
          <w:trHeight w:val="300"/>
        </w:trPr>
        <w:tc>
          <w:tcPr>
            <w:tcW w:w="2645" w:type="pct"/>
            <w:tcBorders>
              <w:top w:val="nil"/>
              <w:left w:val="nil"/>
              <w:bottom w:val="nil"/>
              <w:right w:val="nil"/>
            </w:tcBorders>
            <w:shd w:val="clear" w:color="auto" w:fill="auto"/>
            <w:noWrap/>
            <w:vAlign w:val="bottom"/>
            <w:hideMark/>
          </w:tcPr>
          <w:p w14:paraId="0A97B291"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bežné výdavky  600, v tom:</w:t>
            </w:r>
          </w:p>
        </w:tc>
        <w:tc>
          <w:tcPr>
            <w:tcW w:w="320" w:type="pct"/>
            <w:tcBorders>
              <w:top w:val="nil"/>
              <w:left w:val="nil"/>
              <w:bottom w:val="nil"/>
              <w:right w:val="nil"/>
            </w:tcBorders>
            <w:shd w:val="clear" w:color="auto" w:fill="auto"/>
            <w:noWrap/>
            <w:vAlign w:val="bottom"/>
            <w:hideMark/>
          </w:tcPr>
          <w:p w14:paraId="78AA160D"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20" w:type="pct"/>
            <w:tcBorders>
              <w:top w:val="nil"/>
              <w:left w:val="nil"/>
              <w:bottom w:val="nil"/>
              <w:right w:val="nil"/>
            </w:tcBorders>
            <w:shd w:val="clear" w:color="auto" w:fill="auto"/>
            <w:noWrap/>
            <w:vAlign w:val="bottom"/>
            <w:hideMark/>
          </w:tcPr>
          <w:p w14:paraId="301CE576"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9 007</w:t>
            </w:r>
          </w:p>
        </w:tc>
        <w:tc>
          <w:tcPr>
            <w:tcW w:w="331" w:type="pct"/>
            <w:tcBorders>
              <w:top w:val="nil"/>
              <w:left w:val="nil"/>
              <w:bottom w:val="nil"/>
              <w:right w:val="nil"/>
            </w:tcBorders>
            <w:shd w:val="clear" w:color="auto" w:fill="auto"/>
            <w:noWrap/>
            <w:vAlign w:val="bottom"/>
            <w:hideMark/>
          </w:tcPr>
          <w:p w14:paraId="5F9BB9B4"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32 313</w:t>
            </w:r>
          </w:p>
        </w:tc>
        <w:tc>
          <w:tcPr>
            <w:tcW w:w="393" w:type="pct"/>
            <w:tcBorders>
              <w:top w:val="nil"/>
              <w:left w:val="nil"/>
              <w:bottom w:val="nil"/>
              <w:right w:val="nil"/>
            </w:tcBorders>
            <w:shd w:val="clear" w:color="auto" w:fill="auto"/>
            <w:noWrap/>
            <w:vAlign w:val="bottom"/>
            <w:hideMark/>
          </w:tcPr>
          <w:p w14:paraId="7430266C"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41 197</w:t>
            </w:r>
          </w:p>
        </w:tc>
        <w:tc>
          <w:tcPr>
            <w:tcW w:w="331" w:type="pct"/>
            <w:tcBorders>
              <w:top w:val="nil"/>
              <w:left w:val="nil"/>
              <w:bottom w:val="nil"/>
              <w:right w:val="nil"/>
            </w:tcBorders>
            <w:shd w:val="clear" w:color="auto" w:fill="auto"/>
            <w:noWrap/>
            <w:vAlign w:val="bottom"/>
            <w:hideMark/>
          </w:tcPr>
          <w:p w14:paraId="763EFCFC"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57 721</w:t>
            </w:r>
          </w:p>
        </w:tc>
        <w:tc>
          <w:tcPr>
            <w:tcW w:w="331" w:type="pct"/>
            <w:tcBorders>
              <w:top w:val="nil"/>
              <w:left w:val="nil"/>
              <w:bottom w:val="nil"/>
              <w:right w:val="nil"/>
            </w:tcBorders>
            <w:shd w:val="clear" w:color="auto" w:fill="auto"/>
            <w:noWrap/>
            <w:vAlign w:val="bottom"/>
            <w:hideMark/>
          </w:tcPr>
          <w:p w14:paraId="697C4435"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68 623</w:t>
            </w:r>
          </w:p>
        </w:tc>
        <w:tc>
          <w:tcPr>
            <w:tcW w:w="331" w:type="pct"/>
            <w:tcBorders>
              <w:top w:val="nil"/>
              <w:left w:val="nil"/>
              <w:bottom w:val="nil"/>
              <w:right w:val="nil"/>
            </w:tcBorders>
            <w:shd w:val="clear" w:color="auto" w:fill="auto"/>
            <w:noWrap/>
            <w:vAlign w:val="bottom"/>
            <w:hideMark/>
          </w:tcPr>
          <w:p w14:paraId="5F519E69"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69 122</w:t>
            </w:r>
          </w:p>
        </w:tc>
      </w:tr>
      <w:tr w:rsidR="00DD531B" w:rsidRPr="00DD531B" w14:paraId="70CB883F" w14:textId="77777777" w:rsidTr="001F24AE">
        <w:trPr>
          <w:trHeight w:val="300"/>
        </w:trPr>
        <w:tc>
          <w:tcPr>
            <w:tcW w:w="2645" w:type="pct"/>
            <w:tcBorders>
              <w:top w:val="nil"/>
              <w:left w:val="nil"/>
              <w:bottom w:val="nil"/>
              <w:right w:val="nil"/>
            </w:tcBorders>
            <w:shd w:val="clear" w:color="auto" w:fill="auto"/>
            <w:noWrap/>
            <w:vAlign w:val="bottom"/>
            <w:hideMark/>
          </w:tcPr>
          <w:p w14:paraId="3186F504"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610 mzdy</w:t>
            </w:r>
          </w:p>
        </w:tc>
        <w:tc>
          <w:tcPr>
            <w:tcW w:w="320" w:type="pct"/>
            <w:tcBorders>
              <w:top w:val="nil"/>
              <w:left w:val="nil"/>
              <w:bottom w:val="nil"/>
              <w:right w:val="nil"/>
            </w:tcBorders>
            <w:shd w:val="clear" w:color="auto" w:fill="auto"/>
            <w:noWrap/>
            <w:vAlign w:val="bottom"/>
            <w:hideMark/>
          </w:tcPr>
          <w:p w14:paraId="21726BD4"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20" w:type="pct"/>
            <w:tcBorders>
              <w:top w:val="nil"/>
              <w:left w:val="nil"/>
              <w:bottom w:val="nil"/>
              <w:right w:val="nil"/>
            </w:tcBorders>
            <w:shd w:val="clear" w:color="auto" w:fill="auto"/>
            <w:noWrap/>
            <w:vAlign w:val="bottom"/>
            <w:hideMark/>
          </w:tcPr>
          <w:p w14:paraId="3D9F6188"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282</w:t>
            </w:r>
          </w:p>
        </w:tc>
        <w:tc>
          <w:tcPr>
            <w:tcW w:w="331" w:type="pct"/>
            <w:tcBorders>
              <w:top w:val="nil"/>
              <w:left w:val="nil"/>
              <w:bottom w:val="nil"/>
              <w:right w:val="nil"/>
            </w:tcBorders>
            <w:shd w:val="clear" w:color="auto" w:fill="auto"/>
            <w:noWrap/>
            <w:vAlign w:val="bottom"/>
            <w:hideMark/>
          </w:tcPr>
          <w:p w14:paraId="266D7D1E"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6 335</w:t>
            </w:r>
          </w:p>
        </w:tc>
        <w:tc>
          <w:tcPr>
            <w:tcW w:w="393" w:type="pct"/>
            <w:tcBorders>
              <w:top w:val="nil"/>
              <w:left w:val="nil"/>
              <w:bottom w:val="nil"/>
              <w:right w:val="nil"/>
            </w:tcBorders>
            <w:shd w:val="clear" w:color="auto" w:fill="auto"/>
            <w:noWrap/>
            <w:vAlign w:val="bottom"/>
            <w:hideMark/>
          </w:tcPr>
          <w:p w14:paraId="5165B227"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6 355</w:t>
            </w:r>
          </w:p>
        </w:tc>
        <w:tc>
          <w:tcPr>
            <w:tcW w:w="331" w:type="pct"/>
            <w:tcBorders>
              <w:top w:val="nil"/>
              <w:left w:val="nil"/>
              <w:bottom w:val="nil"/>
              <w:right w:val="nil"/>
            </w:tcBorders>
            <w:shd w:val="clear" w:color="auto" w:fill="auto"/>
            <w:noWrap/>
            <w:vAlign w:val="bottom"/>
            <w:hideMark/>
          </w:tcPr>
          <w:p w14:paraId="45705C3B"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17 578</w:t>
            </w:r>
          </w:p>
        </w:tc>
        <w:tc>
          <w:tcPr>
            <w:tcW w:w="331" w:type="pct"/>
            <w:tcBorders>
              <w:top w:val="nil"/>
              <w:left w:val="nil"/>
              <w:bottom w:val="nil"/>
              <w:right w:val="nil"/>
            </w:tcBorders>
            <w:shd w:val="clear" w:color="auto" w:fill="auto"/>
            <w:noWrap/>
            <w:vAlign w:val="bottom"/>
            <w:hideMark/>
          </w:tcPr>
          <w:p w14:paraId="028F2A04"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21 131</w:t>
            </w:r>
          </w:p>
        </w:tc>
        <w:tc>
          <w:tcPr>
            <w:tcW w:w="331" w:type="pct"/>
            <w:tcBorders>
              <w:top w:val="nil"/>
              <w:left w:val="nil"/>
              <w:bottom w:val="nil"/>
              <w:right w:val="nil"/>
            </w:tcBorders>
            <w:shd w:val="clear" w:color="auto" w:fill="auto"/>
            <w:noWrap/>
            <w:vAlign w:val="bottom"/>
            <w:hideMark/>
          </w:tcPr>
          <w:p w14:paraId="494B821E"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21 131</w:t>
            </w:r>
          </w:p>
        </w:tc>
      </w:tr>
      <w:tr w:rsidR="00DD531B" w:rsidRPr="00DD531B" w14:paraId="77C7A142" w14:textId="77777777" w:rsidTr="001F24AE">
        <w:trPr>
          <w:trHeight w:val="300"/>
        </w:trPr>
        <w:tc>
          <w:tcPr>
            <w:tcW w:w="2645" w:type="pct"/>
            <w:tcBorders>
              <w:top w:val="nil"/>
              <w:left w:val="nil"/>
              <w:bottom w:val="nil"/>
              <w:right w:val="nil"/>
            </w:tcBorders>
            <w:shd w:val="clear" w:color="auto" w:fill="auto"/>
            <w:noWrap/>
            <w:vAlign w:val="bottom"/>
            <w:hideMark/>
          </w:tcPr>
          <w:p w14:paraId="4B36D771"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620 odvody</w:t>
            </w:r>
          </w:p>
        </w:tc>
        <w:tc>
          <w:tcPr>
            <w:tcW w:w="320" w:type="pct"/>
            <w:tcBorders>
              <w:top w:val="nil"/>
              <w:left w:val="nil"/>
              <w:bottom w:val="nil"/>
              <w:right w:val="nil"/>
            </w:tcBorders>
            <w:shd w:val="clear" w:color="auto" w:fill="auto"/>
            <w:noWrap/>
            <w:vAlign w:val="bottom"/>
            <w:hideMark/>
          </w:tcPr>
          <w:p w14:paraId="11F3DBF3"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20" w:type="pct"/>
            <w:tcBorders>
              <w:top w:val="nil"/>
              <w:left w:val="nil"/>
              <w:bottom w:val="nil"/>
              <w:right w:val="nil"/>
            </w:tcBorders>
            <w:shd w:val="clear" w:color="auto" w:fill="auto"/>
            <w:noWrap/>
            <w:vAlign w:val="bottom"/>
            <w:hideMark/>
          </w:tcPr>
          <w:p w14:paraId="5349C135"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138</w:t>
            </w:r>
          </w:p>
        </w:tc>
        <w:tc>
          <w:tcPr>
            <w:tcW w:w="331" w:type="pct"/>
            <w:tcBorders>
              <w:top w:val="nil"/>
              <w:left w:val="nil"/>
              <w:bottom w:val="nil"/>
              <w:right w:val="nil"/>
            </w:tcBorders>
            <w:shd w:val="clear" w:color="auto" w:fill="auto"/>
            <w:noWrap/>
            <w:vAlign w:val="bottom"/>
            <w:hideMark/>
          </w:tcPr>
          <w:p w14:paraId="4F85F67B"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2 230</w:t>
            </w:r>
          </w:p>
        </w:tc>
        <w:tc>
          <w:tcPr>
            <w:tcW w:w="393" w:type="pct"/>
            <w:tcBorders>
              <w:top w:val="nil"/>
              <w:left w:val="nil"/>
              <w:bottom w:val="nil"/>
              <w:right w:val="nil"/>
            </w:tcBorders>
            <w:shd w:val="clear" w:color="auto" w:fill="auto"/>
            <w:noWrap/>
            <w:vAlign w:val="bottom"/>
            <w:hideMark/>
          </w:tcPr>
          <w:p w14:paraId="614D998F"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2 240</w:t>
            </w:r>
          </w:p>
        </w:tc>
        <w:tc>
          <w:tcPr>
            <w:tcW w:w="331" w:type="pct"/>
            <w:tcBorders>
              <w:top w:val="nil"/>
              <w:left w:val="nil"/>
              <w:bottom w:val="nil"/>
              <w:right w:val="nil"/>
            </w:tcBorders>
            <w:shd w:val="clear" w:color="auto" w:fill="auto"/>
            <w:noWrap/>
            <w:vAlign w:val="bottom"/>
            <w:hideMark/>
          </w:tcPr>
          <w:p w14:paraId="7908EAB9"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6 187</w:t>
            </w:r>
          </w:p>
        </w:tc>
        <w:tc>
          <w:tcPr>
            <w:tcW w:w="331" w:type="pct"/>
            <w:tcBorders>
              <w:top w:val="nil"/>
              <w:left w:val="nil"/>
              <w:bottom w:val="nil"/>
              <w:right w:val="nil"/>
            </w:tcBorders>
            <w:shd w:val="clear" w:color="auto" w:fill="auto"/>
            <w:noWrap/>
            <w:vAlign w:val="bottom"/>
            <w:hideMark/>
          </w:tcPr>
          <w:p w14:paraId="6621AAFF"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7 437</w:t>
            </w:r>
          </w:p>
        </w:tc>
        <w:tc>
          <w:tcPr>
            <w:tcW w:w="331" w:type="pct"/>
            <w:tcBorders>
              <w:top w:val="nil"/>
              <w:left w:val="nil"/>
              <w:bottom w:val="nil"/>
              <w:right w:val="nil"/>
            </w:tcBorders>
            <w:shd w:val="clear" w:color="auto" w:fill="auto"/>
            <w:noWrap/>
            <w:vAlign w:val="bottom"/>
            <w:hideMark/>
          </w:tcPr>
          <w:p w14:paraId="34A9F924"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7 437</w:t>
            </w:r>
          </w:p>
        </w:tc>
      </w:tr>
      <w:tr w:rsidR="00DD531B" w:rsidRPr="00DD531B" w14:paraId="1459EADD" w14:textId="77777777" w:rsidTr="001F24AE">
        <w:trPr>
          <w:trHeight w:val="300"/>
        </w:trPr>
        <w:tc>
          <w:tcPr>
            <w:tcW w:w="2645" w:type="pct"/>
            <w:tcBorders>
              <w:top w:val="nil"/>
              <w:left w:val="nil"/>
              <w:bottom w:val="nil"/>
              <w:right w:val="nil"/>
            </w:tcBorders>
            <w:shd w:val="clear" w:color="auto" w:fill="auto"/>
            <w:noWrap/>
            <w:vAlign w:val="bottom"/>
            <w:hideMark/>
          </w:tcPr>
          <w:p w14:paraId="4082503F"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630 tovary a služby</w:t>
            </w:r>
          </w:p>
        </w:tc>
        <w:tc>
          <w:tcPr>
            <w:tcW w:w="320" w:type="pct"/>
            <w:tcBorders>
              <w:top w:val="nil"/>
              <w:left w:val="nil"/>
              <w:bottom w:val="nil"/>
              <w:right w:val="nil"/>
            </w:tcBorders>
            <w:shd w:val="clear" w:color="auto" w:fill="auto"/>
            <w:noWrap/>
            <w:vAlign w:val="bottom"/>
            <w:hideMark/>
          </w:tcPr>
          <w:p w14:paraId="624D50AF"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20" w:type="pct"/>
            <w:tcBorders>
              <w:top w:val="nil"/>
              <w:left w:val="nil"/>
              <w:bottom w:val="nil"/>
              <w:right w:val="nil"/>
            </w:tcBorders>
            <w:shd w:val="clear" w:color="auto" w:fill="auto"/>
            <w:noWrap/>
            <w:vAlign w:val="bottom"/>
            <w:hideMark/>
          </w:tcPr>
          <w:p w14:paraId="4B1D3492"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8 583</w:t>
            </w:r>
          </w:p>
        </w:tc>
        <w:tc>
          <w:tcPr>
            <w:tcW w:w="331" w:type="pct"/>
            <w:tcBorders>
              <w:top w:val="nil"/>
              <w:left w:val="nil"/>
              <w:bottom w:val="nil"/>
              <w:right w:val="nil"/>
            </w:tcBorders>
            <w:shd w:val="clear" w:color="auto" w:fill="auto"/>
            <w:noWrap/>
            <w:vAlign w:val="bottom"/>
            <w:hideMark/>
          </w:tcPr>
          <w:p w14:paraId="3A76AD91"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15 286</w:t>
            </w:r>
          </w:p>
        </w:tc>
        <w:tc>
          <w:tcPr>
            <w:tcW w:w="393" w:type="pct"/>
            <w:tcBorders>
              <w:top w:val="nil"/>
              <w:left w:val="nil"/>
              <w:bottom w:val="nil"/>
              <w:right w:val="nil"/>
            </w:tcBorders>
            <w:shd w:val="clear" w:color="auto" w:fill="auto"/>
            <w:noWrap/>
            <w:vAlign w:val="bottom"/>
            <w:hideMark/>
          </w:tcPr>
          <w:p w14:paraId="75ED560F"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15 167</w:t>
            </w:r>
          </w:p>
        </w:tc>
        <w:tc>
          <w:tcPr>
            <w:tcW w:w="331" w:type="pct"/>
            <w:tcBorders>
              <w:top w:val="nil"/>
              <w:left w:val="nil"/>
              <w:bottom w:val="nil"/>
              <w:right w:val="nil"/>
            </w:tcBorders>
            <w:shd w:val="clear" w:color="auto" w:fill="auto"/>
            <w:noWrap/>
            <w:vAlign w:val="bottom"/>
            <w:hideMark/>
          </w:tcPr>
          <w:p w14:paraId="2D0B7B1B"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15 210</w:t>
            </w:r>
          </w:p>
        </w:tc>
        <w:tc>
          <w:tcPr>
            <w:tcW w:w="331" w:type="pct"/>
            <w:tcBorders>
              <w:top w:val="nil"/>
              <w:left w:val="nil"/>
              <w:bottom w:val="nil"/>
              <w:right w:val="nil"/>
            </w:tcBorders>
            <w:shd w:val="clear" w:color="auto" w:fill="auto"/>
            <w:noWrap/>
            <w:vAlign w:val="bottom"/>
            <w:hideMark/>
          </w:tcPr>
          <w:p w14:paraId="2C7E85D0"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18 396</w:t>
            </w:r>
          </w:p>
        </w:tc>
        <w:tc>
          <w:tcPr>
            <w:tcW w:w="331" w:type="pct"/>
            <w:tcBorders>
              <w:top w:val="nil"/>
              <w:left w:val="nil"/>
              <w:bottom w:val="nil"/>
              <w:right w:val="nil"/>
            </w:tcBorders>
            <w:shd w:val="clear" w:color="auto" w:fill="auto"/>
            <w:noWrap/>
            <w:vAlign w:val="bottom"/>
            <w:hideMark/>
          </w:tcPr>
          <w:p w14:paraId="0CE04F96"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18 895</w:t>
            </w:r>
          </w:p>
        </w:tc>
      </w:tr>
      <w:tr w:rsidR="00DD531B" w:rsidRPr="00DD531B" w14:paraId="03D8466B" w14:textId="77777777" w:rsidTr="001F24AE">
        <w:trPr>
          <w:trHeight w:val="300"/>
        </w:trPr>
        <w:tc>
          <w:tcPr>
            <w:tcW w:w="2645" w:type="pct"/>
            <w:tcBorders>
              <w:top w:val="nil"/>
              <w:left w:val="nil"/>
              <w:bottom w:val="nil"/>
              <w:right w:val="nil"/>
            </w:tcBorders>
            <w:shd w:val="clear" w:color="auto" w:fill="auto"/>
            <w:noWrap/>
            <w:vAlign w:val="bottom"/>
            <w:hideMark/>
          </w:tcPr>
          <w:p w14:paraId="5893CAB2"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640 bežné transfery</w:t>
            </w:r>
          </w:p>
        </w:tc>
        <w:tc>
          <w:tcPr>
            <w:tcW w:w="320" w:type="pct"/>
            <w:tcBorders>
              <w:top w:val="nil"/>
              <w:left w:val="nil"/>
              <w:bottom w:val="nil"/>
              <w:right w:val="nil"/>
            </w:tcBorders>
            <w:shd w:val="clear" w:color="auto" w:fill="auto"/>
            <w:noWrap/>
            <w:vAlign w:val="bottom"/>
            <w:hideMark/>
          </w:tcPr>
          <w:p w14:paraId="38D3E129"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20" w:type="pct"/>
            <w:tcBorders>
              <w:top w:val="nil"/>
              <w:left w:val="nil"/>
              <w:bottom w:val="nil"/>
              <w:right w:val="nil"/>
            </w:tcBorders>
            <w:shd w:val="clear" w:color="auto" w:fill="auto"/>
            <w:noWrap/>
            <w:vAlign w:val="bottom"/>
            <w:hideMark/>
          </w:tcPr>
          <w:p w14:paraId="3371BB36"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4</w:t>
            </w:r>
          </w:p>
        </w:tc>
        <w:tc>
          <w:tcPr>
            <w:tcW w:w="331" w:type="pct"/>
            <w:tcBorders>
              <w:top w:val="nil"/>
              <w:left w:val="nil"/>
              <w:bottom w:val="nil"/>
              <w:right w:val="nil"/>
            </w:tcBorders>
            <w:shd w:val="clear" w:color="auto" w:fill="auto"/>
            <w:noWrap/>
            <w:vAlign w:val="bottom"/>
            <w:hideMark/>
          </w:tcPr>
          <w:p w14:paraId="2D27CDE0"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8 462</w:t>
            </w:r>
          </w:p>
        </w:tc>
        <w:tc>
          <w:tcPr>
            <w:tcW w:w="393" w:type="pct"/>
            <w:tcBorders>
              <w:top w:val="nil"/>
              <w:left w:val="nil"/>
              <w:bottom w:val="nil"/>
              <w:right w:val="nil"/>
            </w:tcBorders>
            <w:shd w:val="clear" w:color="auto" w:fill="auto"/>
            <w:noWrap/>
            <w:vAlign w:val="bottom"/>
            <w:hideMark/>
          </w:tcPr>
          <w:p w14:paraId="6B11DA3F"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17 435</w:t>
            </w:r>
          </w:p>
        </w:tc>
        <w:tc>
          <w:tcPr>
            <w:tcW w:w="331" w:type="pct"/>
            <w:tcBorders>
              <w:top w:val="nil"/>
              <w:left w:val="nil"/>
              <w:bottom w:val="nil"/>
              <w:right w:val="nil"/>
            </w:tcBorders>
            <w:shd w:val="clear" w:color="auto" w:fill="auto"/>
            <w:noWrap/>
            <w:vAlign w:val="bottom"/>
            <w:hideMark/>
          </w:tcPr>
          <w:p w14:paraId="26EE94DB"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18 746</w:t>
            </w:r>
          </w:p>
        </w:tc>
        <w:tc>
          <w:tcPr>
            <w:tcW w:w="331" w:type="pct"/>
            <w:tcBorders>
              <w:top w:val="nil"/>
              <w:left w:val="nil"/>
              <w:bottom w:val="nil"/>
              <w:right w:val="nil"/>
            </w:tcBorders>
            <w:shd w:val="clear" w:color="auto" w:fill="auto"/>
            <w:noWrap/>
            <w:vAlign w:val="bottom"/>
            <w:hideMark/>
          </w:tcPr>
          <w:p w14:paraId="29D153AD"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21 659</w:t>
            </w:r>
          </w:p>
        </w:tc>
        <w:tc>
          <w:tcPr>
            <w:tcW w:w="331" w:type="pct"/>
            <w:tcBorders>
              <w:top w:val="nil"/>
              <w:left w:val="nil"/>
              <w:bottom w:val="nil"/>
              <w:right w:val="nil"/>
            </w:tcBorders>
            <w:shd w:val="clear" w:color="auto" w:fill="auto"/>
            <w:noWrap/>
            <w:vAlign w:val="bottom"/>
            <w:hideMark/>
          </w:tcPr>
          <w:p w14:paraId="5E83DD93"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21 659</w:t>
            </w:r>
          </w:p>
        </w:tc>
      </w:tr>
      <w:tr w:rsidR="00DD531B" w:rsidRPr="00DD531B" w14:paraId="4E048198" w14:textId="77777777" w:rsidTr="001F24AE">
        <w:trPr>
          <w:trHeight w:val="300"/>
        </w:trPr>
        <w:tc>
          <w:tcPr>
            <w:tcW w:w="2645" w:type="pct"/>
            <w:tcBorders>
              <w:top w:val="nil"/>
              <w:left w:val="nil"/>
              <w:bottom w:val="nil"/>
              <w:right w:val="nil"/>
            </w:tcBorders>
            <w:shd w:val="clear" w:color="auto" w:fill="auto"/>
            <w:noWrap/>
            <w:vAlign w:val="bottom"/>
            <w:hideMark/>
          </w:tcPr>
          <w:p w14:paraId="1B122D92"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kapitálové výdavky 700</w:t>
            </w:r>
          </w:p>
        </w:tc>
        <w:tc>
          <w:tcPr>
            <w:tcW w:w="320" w:type="pct"/>
            <w:tcBorders>
              <w:top w:val="nil"/>
              <w:left w:val="nil"/>
              <w:bottom w:val="nil"/>
              <w:right w:val="nil"/>
            </w:tcBorders>
            <w:shd w:val="clear" w:color="auto" w:fill="auto"/>
            <w:noWrap/>
            <w:vAlign w:val="bottom"/>
            <w:hideMark/>
          </w:tcPr>
          <w:p w14:paraId="236B0472"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20" w:type="pct"/>
            <w:tcBorders>
              <w:top w:val="nil"/>
              <w:left w:val="nil"/>
              <w:bottom w:val="nil"/>
              <w:right w:val="nil"/>
            </w:tcBorders>
            <w:shd w:val="clear" w:color="auto" w:fill="auto"/>
            <w:noWrap/>
            <w:vAlign w:val="bottom"/>
            <w:hideMark/>
          </w:tcPr>
          <w:p w14:paraId="5B964B0D"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243</w:t>
            </w:r>
          </w:p>
        </w:tc>
        <w:tc>
          <w:tcPr>
            <w:tcW w:w="331" w:type="pct"/>
            <w:tcBorders>
              <w:top w:val="nil"/>
              <w:left w:val="nil"/>
              <w:bottom w:val="nil"/>
              <w:right w:val="nil"/>
            </w:tcBorders>
            <w:shd w:val="clear" w:color="auto" w:fill="auto"/>
            <w:noWrap/>
            <w:vAlign w:val="bottom"/>
            <w:hideMark/>
          </w:tcPr>
          <w:p w14:paraId="2FCA100F"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23 645</w:t>
            </w:r>
          </w:p>
        </w:tc>
        <w:tc>
          <w:tcPr>
            <w:tcW w:w="393" w:type="pct"/>
            <w:tcBorders>
              <w:top w:val="nil"/>
              <w:left w:val="nil"/>
              <w:bottom w:val="nil"/>
              <w:right w:val="nil"/>
            </w:tcBorders>
            <w:shd w:val="clear" w:color="auto" w:fill="auto"/>
            <w:noWrap/>
            <w:vAlign w:val="bottom"/>
            <w:hideMark/>
          </w:tcPr>
          <w:p w14:paraId="75D6DD39"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23 737</w:t>
            </w:r>
          </w:p>
        </w:tc>
        <w:tc>
          <w:tcPr>
            <w:tcW w:w="331" w:type="pct"/>
            <w:tcBorders>
              <w:top w:val="nil"/>
              <w:left w:val="nil"/>
              <w:bottom w:val="nil"/>
              <w:right w:val="nil"/>
            </w:tcBorders>
            <w:shd w:val="clear" w:color="auto" w:fill="auto"/>
            <w:noWrap/>
            <w:vAlign w:val="bottom"/>
            <w:hideMark/>
          </w:tcPr>
          <w:p w14:paraId="4EF1C260"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3 757</w:t>
            </w:r>
          </w:p>
        </w:tc>
        <w:tc>
          <w:tcPr>
            <w:tcW w:w="331" w:type="pct"/>
            <w:tcBorders>
              <w:top w:val="nil"/>
              <w:left w:val="nil"/>
              <w:bottom w:val="nil"/>
              <w:right w:val="nil"/>
            </w:tcBorders>
            <w:shd w:val="clear" w:color="auto" w:fill="auto"/>
            <w:noWrap/>
            <w:vAlign w:val="bottom"/>
            <w:hideMark/>
          </w:tcPr>
          <w:p w14:paraId="2BBAC1A8"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3 758</w:t>
            </w:r>
          </w:p>
        </w:tc>
        <w:tc>
          <w:tcPr>
            <w:tcW w:w="331" w:type="pct"/>
            <w:tcBorders>
              <w:top w:val="nil"/>
              <w:left w:val="nil"/>
              <w:bottom w:val="nil"/>
              <w:right w:val="nil"/>
            </w:tcBorders>
            <w:shd w:val="clear" w:color="auto" w:fill="auto"/>
            <w:noWrap/>
            <w:vAlign w:val="bottom"/>
            <w:hideMark/>
          </w:tcPr>
          <w:p w14:paraId="36A40946"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3 758</w:t>
            </w:r>
          </w:p>
        </w:tc>
      </w:tr>
      <w:tr w:rsidR="00DD531B" w:rsidRPr="00DD531B" w14:paraId="6D364132" w14:textId="77777777" w:rsidTr="001F24AE">
        <w:trPr>
          <w:trHeight w:val="300"/>
        </w:trPr>
        <w:tc>
          <w:tcPr>
            <w:tcW w:w="2645" w:type="pct"/>
            <w:tcBorders>
              <w:top w:val="nil"/>
              <w:left w:val="nil"/>
              <w:bottom w:val="nil"/>
              <w:right w:val="nil"/>
            </w:tcBorders>
            <w:shd w:val="clear" w:color="auto" w:fill="auto"/>
            <w:noWrap/>
            <w:vAlign w:val="bottom"/>
            <w:hideMark/>
          </w:tcPr>
          <w:p w14:paraId="1DEC82C8" w14:textId="77777777" w:rsidR="00DD531B" w:rsidRPr="00837309" w:rsidRDefault="00DD531B" w:rsidP="00DD531B">
            <w:pPr>
              <w:spacing w:after="0" w:line="240" w:lineRule="auto"/>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presun z minulých rokov § 8, v tom:</w:t>
            </w:r>
          </w:p>
        </w:tc>
        <w:tc>
          <w:tcPr>
            <w:tcW w:w="320" w:type="pct"/>
            <w:tcBorders>
              <w:top w:val="nil"/>
              <w:left w:val="nil"/>
              <w:bottom w:val="nil"/>
              <w:right w:val="nil"/>
            </w:tcBorders>
            <w:shd w:val="clear" w:color="auto" w:fill="auto"/>
            <w:noWrap/>
            <w:vAlign w:val="bottom"/>
            <w:hideMark/>
          </w:tcPr>
          <w:p w14:paraId="1561EEFA"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320" w:type="pct"/>
            <w:tcBorders>
              <w:top w:val="nil"/>
              <w:left w:val="nil"/>
              <w:bottom w:val="nil"/>
              <w:right w:val="nil"/>
            </w:tcBorders>
            <w:shd w:val="clear" w:color="auto" w:fill="auto"/>
            <w:noWrap/>
            <w:vAlign w:val="bottom"/>
            <w:hideMark/>
          </w:tcPr>
          <w:p w14:paraId="6919A8C3"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331" w:type="pct"/>
            <w:tcBorders>
              <w:top w:val="nil"/>
              <w:left w:val="nil"/>
              <w:bottom w:val="nil"/>
              <w:right w:val="nil"/>
            </w:tcBorders>
            <w:shd w:val="clear" w:color="auto" w:fill="auto"/>
            <w:noWrap/>
            <w:vAlign w:val="bottom"/>
            <w:hideMark/>
          </w:tcPr>
          <w:p w14:paraId="186C26AC"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393" w:type="pct"/>
            <w:tcBorders>
              <w:top w:val="nil"/>
              <w:left w:val="nil"/>
              <w:bottom w:val="nil"/>
              <w:right w:val="nil"/>
            </w:tcBorders>
            <w:shd w:val="clear" w:color="auto" w:fill="auto"/>
            <w:noWrap/>
            <w:vAlign w:val="bottom"/>
            <w:hideMark/>
          </w:tcPr>
          <w:p w14:paraId="08144232"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329</w:t>
            </w:r>
          </w:p>
        </w:tc>
        <w:tc>
          <w:tcPr>
            <w:tcW w:w="331" w:type="pct"/>
            <w:tcBorders>
              <w:top w:val="nil"/>
              <w:left w:val="nil"/>
              <w:bottom w:val="nil"/>
              <w:right w:val="nil"/>
            </w:tcBorders>
            <w:shd w:val="clear" w:color="auto" w:fill="auto"/>
            <w:noWrap/>
            <w:vAlign w:val="bottom"/>
            <w:hideMark/>
          </w:tcPr>
          <w:p w14:paraId="0C3C2400"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331" w:type="pct"/>
            <w:tcBorders>
              <w:top w:val="nil"/>
              <w:left w:val="nil"/>
              <w:bottom w:val="nil"/>
              <w:right w:val="nil"/>
            </w:tcBorders>
            <w:shd w:val="clear" w:color="auto" w:fill="auto"/>
            <w:noWrap/>
            <w:vAlign w:val="bottom"/>
            <w:hideMark/>
          </w:tcPr>
          <w:p w14:paraId="7A3DD170"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c>
          <w:tcPr>
            <w:tcW w:w="331" w:type="pct"/>
            <w:tcBorders>
              <w:top w:val="nil"/>
              <w:left w:val="nil"/>
              <w:bottom w:val="nil"/>
              <w:right w:val="nil"/>
            </w:tcBorders>
            <w:shd w:val="clear" w:color="auto" w:fill="auto"/>
            <w:noWrap/>
            <w:vAlign w:val="bottom"/>
            <w:hideMark/>
          </w:tcPr>
          <w:p w14:paraId="3098B3CB" w14:textId="77777777" w:rsidR="00DD531B" w:rsidRPr="00837309" w:rsidRDefault="00DD531B" w:rsidP="00DD531B">
            <w:pPr>
              <w:spacing w:after="0" w:line="240" w:lineRule="auto"/>
              <w:jc w:val="right"/>
              <w:rPr>
                <w:rFonts w:ascii="Times New Roman" w:eastAsia="Times New Roman" w:hAnsi="Times New Roman" w:cs="Times New Roman"/>
                <w:b/>
                <w:bCs/>
                <w:sz w:val="16"/>
                <w:szCs w:val="16"/>
                <w:lang w:eastAsia="sk-SK"/>
              </w:rPr>
            </w:pPr>
            <w:r w:rsidRPr="00837309">
              <w:rPr>
                <w:rFonts w:ascii="Times New Roman" w:eastAsia="Times New Roman" w:hAnsi="Times New Roman" w:cs="Times New Roman"/>
                <w:b/>
                <w:bCs/>
                <w:sz w:val="16"/>
                <w:szCs w:val="16"/>
                <w:lang w:eastAsia="sk-SK"/>
              </w:rPr>
              <w:t>0</w:t>
            </w:r>
          </w:p>
        </w:tc>
      </w:tr>
      <w:tr w:rsidR="00DD531B" w:rsidRPr="00DD531B" w14:paraId="2BAABB81" w14:textId="77777777" w:rsidTr="001F24AE">
        <w:trPr>
          <w:trHeight w:val="300"/>
        </w:trPr>
        <w:tc>
          <w:tcPr>
            <w:tcW w:w="2645" w:type="pct"/>
            <w:tcBorders>
              <w:top w:val="nil"/>
              <w:left w:val="nil"/>
              <w:bottom w:val="single" w:sz="4" w:space="0" w:color="auto"/>
              <w:right w:val="nil"/>
            </w:tcBorders>
            <w:shd w:val="clear" w:color="auto" w:fill="auto"/>
            <w:noWrap/>
            <w:vAlign w:val="bottom"/>
            <w:hideMark/>
          </w:tcPr>
          <w:p w14:paraId="556FFBD2" w14:textId="77777777" w:rsidR="00DD531B" w:rsidRPr="00837309" w:rsidRDefault="00DD531B" w:rsidP="00DD531B">
            <w:pPr>
              <w:spacing w:after="0" w:line="240" w:lineRule="auto"/>
              <w:rPr>
                <w:rFonts w:ascii="Times New Roman" w:eastAsia="Times New Roman" w:hAnsi="Times New Roman" w:cs="Times New Roman"/>
                <w:color w:val="000000"/>
                <w:sz w:val="16"/>
                <w:szCs w:val="16"/>
                <w:lang w:eastAsia="sk-SK"/>
              </w:rPr>
            </w:pPr>
            <w:r w:rsidRPr="00837309">
              <w:rPr>
                <w:rFonts w:ascii="Times New Roman" w:eastAsia="Times New Roman" w:hAnsi="Times New Roman" w:cs="Times New Roman"/>
                <w:color w:val="000000"/>
                <w:sz w:val="16"/>
                <w:szCs w:val="16"/>
                <w:lang w:eastAsia="sk-SK"/>
              </w:rPr>
              <w:t>štátny rozpočet</w:t>
            </w:r>
          </w:p>
        </w:tc>
        <w:tc>
          <w:tcPr>
            <w:tcW w:w="320" w:type="pct"/>
            <w:tcBorders>
              <w:top w:val="nil"/>
              <w:left w:val="nil"/>
              <w:bottom w:val="single" w:sz="4" w:space="0" w:color="auto"/>
              <w:right w:val="nil"/>
            </w:tcBorders>
            <w:shd w:val="clear" w:color="auto" w:fill="auto"/>
            <w:noWrap/>
            <w:vAlign w:val="bottom"/>
            <w:hideMark/>
          </w:tcPr>
          <w:p w14:paraId="441C8D6B"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20" w:type="pct"/>
            <w:tcBorders>
              <w:top w:val="nil"/>
              <w:left w:val="nil"/>
              <w:bottom w:val="single" w:sz="4" w:space="0" w:color="auto"/>
              <w:right w:val="nil"/>
            </w:tcBorders>
            <w:shd w:val="clear" w:color="auto" w:fill="auto"/>
            <w:noWrap/>
            <w:vAlign w:val="bottom"/>
            <w:hideMark/>
          </w:tcPr>
          <w:p w14:paraId="166A0B74"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31" w:type="pct"/>
            <w:tcBorders>
              <w:top w:val="nil"/>
              <w:left w:val="nil"/>
              <w:bottom w:val="single" w:sz="4" w:space="0" w:color="auto"/>
              <w:right w:val="nil"/>
            </w:tcBorders>
            <w:shd w:val="clear" w:color="auto" w:fill="auto"/>
            <w:noWrap/>
            <w:vAlign w:val="bottom"/>
            <w:hideMark/>
          </w:tcPr>
          <w:p w14:paraId="7D4622D9"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93" w:type="pct"/>
            <w:tcBorders>
              <w:top w:val="nil"/>
              <w:left w:val="nil"/>
              <w:bottom w:val="single" w:sz="4" w:space="0" w:color="auto"/>
              <w:right w:val="nil"/>
            </w:tcBorders>
            <w:shd w:val="clear" w:color="auto" w:fill="auto"/>
            <w:noWrap/>
            <w:vAlign w:val="bottom"/>
            <w:hideMark/>
          </w:tcPr>
          <w:p w14:paraId="06B3EA81"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329</w:t>
            </w:r>
          </w:p>
        </w:tc>
        <w:tc>
          <w:tcPr>
            <w:tcW w:w="331" w:type="pct"/>
            <w:tcBorders>
              <w:top w:val="nil"/>
              <w:left w:val="nil"/>
              <w:bottom w:val="single" w:sz="4" w:space="0" w:color="auto"/>
              <w:right w:val="nil"/>
            </w:tcBorders>
            <w:shd w:val="clear" w:color="auto" w:fill="auto"/>
            <w:noWrap/>
            <w:vAlign w:val="bottom"/>
            <w:hideMark/>
          </w:tcPr>
          <w:p w14:paraId="3F37FA28"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31" w:type="pct"/>
            <w:tcBorders>
              <w:top w:val="nil"/>
              <w:left w:val="nil"/>
              <w:bottom w:val="single" w:sz="4" w:space="0" w:color="auto"/>
              <w:right w:val="nil"/>
            </w:tcBorders>
            <w:shd w:val="clear" w:color="auto" w:fill="auto"/>
            <w:noWrap/>
            <w:vAlign w:val="bottom"/>
            <w:hideMark/>
          </w:tcPr>
          <w:p w14:paraId="61849936"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c>
          <w:tcPr>
            <w:tcW w:w="331" w:type="pct"/>
            <w:tcBorders>
              <w:top w:val="nil"/>
              <w:left w:val="nil"/>
              <w:bottom w:val="single" w:sz="4" w:space="0" w:color="auto"/>
              <w:right w:val="nil"/>
            </w:tcBorders>
            <w:shd w:val="clear" w:color="auto" w:fill="auto"/>
            <w:noWrap/>
            <w:vAlign w:val="bottom"/>
            <w:hideMark/>
          </w:tcPr>
          <w:p w14:paraId="36F68DCD" w14:textId="77777777" w:rsidR="00DD531B" w:rsidRPr="00837309" w:rsidRDefault="00DD531B" w:rsidP="00DD531B">
            <w:pPr>
              <w:spacing w:after="0" w:line="240" w:lineRule="auto"/>
              <w:jc w:val="right"/>
              <w:rPr>
                <w:rFonts w:ascii="Times New Roman" w:eastAsia="Times New Roman" w:hAnsi="Times New Roman" w:cs="Times New Roman"/>
                <w:sz w:val="16"/>
                <w:szCs w:val="16"/>
                <w:lang w:eastAsia="sk-SK"/>
              </w:rPr>
            </w:pPr>
            <w:r w:rsidRPr="00837309">
              <w:rPr>
                <w:rFonts w:ascii="Times New Roman" w:eastAsia="Times New Roman" w:hAnsi="Times New Roman" w:cs="Times New Roman"/>
                <w:sz w:val="16"/>
                <w:szCs w:val="16"/>
                <w:lang w:eastAsia="sk-SK"/>
              </w:rPr>
              <w:t>0</w:t>
            </w:r>
          </w:p>
        </w:tc>
      </w:tr>
    </w:tbl>
    <w:p w14:paraId="4FE80905" w14:textId="77777777" w:rsidR="00DD531B" w:rsidRPr="00DD531B" w:rsidRDefault="00DD531B" w:rsidP="00DD531B">
      <w:pPr>
        <w:rPr>
          <w:rFonts w:ascii="Times New Roman" w:eastAsia="Calibri" w:hAnsi="Times New Roman" w:cs="Times New Roman"/>
        </w:rPr>
      </w:pPr>
    </w:p>
    <w:p w14:paraId="13AEF7C2" w14:textId="77777777" w:rsidR="00DD531B" w:rsidRPr="00DD531B" w:rsidRDefault="00DD531B" w:rsidP="00DD531B">
      <w:pPr>
        <w:spacing w:after="0" w:line="276" w:lineRule="auto"/>
        <w:jc w:val="both"/>
        <w:rPr>
          <w:rFonts w:ascii="Times New Roman" w:eastAsia="Times New Roman" w:hAnsi="Times New Roman" w:cs="Times New Roman"/>
          <w:color w:val="000000"/>
          <w:sz w:val="23"/>
          <w:szCs w:val="23"/>
          <w:lang w:eastAsia="sk-SK"/>
        </w:rPr>
      </w:pPr>
    </w:p>
    <w:p w14:paraId="3A639961" w14:textId="77777777" w:rsidR="00DD531B" w:rsidRPr="00DD531B" w:rsidRDefault="00DD531B" w:rsidP="00DD531B">
      <w:pPr>
        <w:spacing w:after="0" w:line="276" w:lineRule="auto"/>
        <w:rPr>
          <w:rFonts w:ascii="Times New Roman" w:eastAsia="Calibri" w:hAnsi="Times New Roman" w:cs="Times New Roman"/>
        </w:rPr>
      </w:pPr>
    </w:p>
    <w:p w14:paraId="19FFF828" w14:textId="77777777" w:rsidR="00DD531B" w:rsidRPr="00DD531B" w:rsidRDefault="00DD531B" w:rsidP="00DD531B">
      <w:pPr>
        <w:spacing w:after="0" w:line="276" w:lineRule="auto"/>
        <w:ind w:left="426" w:hanging="426"/>
        <w:contextualSpacing/>
        <w:jc w:val="both"/>
        <w:rPr>
          <w:rFonts w:ascii="Times New Roman" w:eastAsia="Times New Roman" w:hAnsi="Times New Roman" w:cs="Times New Roman"/>
          <w:b/>
          <w:bCs/>
          <w:iCs/>
          <w:sz w:val="24"/>
          <w:szCs w:val="24"/>
          <w:lang w:eastAsia="cs-CZ"/>
        </w:rPr>
      </w:pPr>
    </w:p>
    <w:p w14:paraId="18B33C68" w14:textId="00B2E178" w:rsidR="002D749C" w:rsidRPr="00976E20" w:rsidRDefault="002D749C" w:rsidP="00766585">
      <w:pPr>
        <w:spacing w:after="0"/>
        <w:rPr>
          <w:rFonts w:ascii="Times New Roman" w:hAnsi="Times New Roman"/>
          <w:b/>
          <w:color w:val="5B9BD5" w:themeColor="accent1"/>
          <w:sz w:val="24"/>
          <w:szCs w:val="24"/>
        </w:rPr>
      </w:pPr>
    </w:p>
    <w:sectPr w:rsidR="002D749C" w:rsidRPr="00976E20" w:rsidSect="002F16B8">
      <w:headerReference w:type="default" r:id="rId23"/>
      <w:footerReference w:type="defaul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D6CAA" w14:textId="77777777" w:rsidR="00A5737B" w:rsidRDefault="00A5737B" w:rsidP="00052B0A">
      <w:pPr>
        <w:spacing w:after="0" w:line="240" w:lineRule="auto"/>
      </w:pPr>
      <w:r>
        <w:separator/>
      </w:r>
    </w:p>
  </w:endnote>
  <w:endnote w:type="continuationSeparator" w:id="0">
    <w:p w14:paraId="4FD62C90" w14:textId="77777777" w:rsidR="00A5737B" w:rsidRDefault="00A5737B" w:rsidP="00052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Open Sans">
    <w:altName w:val="Arial"/>
    <w:charset w:val="00"/>
    <w:family w:val="swiss"/>
    <w:pitch w:val="variable"/>
    <w:sig w:usb0="E00002EF" w:usb1="4000205B" w:usb2="00000028" w:usb3="00000000" w:csb0="0000019F" w:csb1="00000000"/>
  </w:font>
  <w:font w:name="Dutch801 SWC">
    <w:altName w:val="Times New Roman"/>
    <w:panose1 w:val="00000000000000000000"/>
    <w:charset w:val="00"/>
    <w:family w:val="roman"/>
    <w:notTrueType/>
    <w:pitch w:val="variable"/>
    <w:sig w:usb0="00000003" w:usb1="00000000" w:usb2="00000000" w:usb3="00000000" w:csb0="00000001" w:csb1="00000000"/>
  </w:font>
  <w:font w:name="NeueHaasGroteskText W02">
    <w:altName w:val="Segoe Script"/>
    <w:charset w:val="EE"/>
    <w:family w:val="swiss"/>
    <w:pitch w:val="variable"/>
    <w:sig w:usb0="800000AF" w:usb1="4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9739277"/>
      <w:docPartObj>
        <w:docPartGallery w:val="Page Numbers (Bottom of Page)"/>
        <w:docPartUnique/>
      </w:docPartObj>
    </w:sdtPr>
    <w:sdtEndPr>
      <w:rPr>
        <w:rFonts w:ascii="Times New Roman" w:hAnsi="Times New Roman" w:cs="Times New Roman"/>
        <w:sz w:val="24"/>
      </w:rPr>
    </w:sdtEndPr>
    <w:sdtContent>
      <w:p w14:paraId="4BEFBEE1" w14:textId="642AB5DB" w:rsidR="002F44B7" w:rsidRPr="002F16B8" w:rsidRDefault="002F44B7">
        <w:pPr>
          <w:pStyle w:val="Pta"/>
          <w:jc w:val="right"/>
          <w:rPr>
            <w:rFonts w:ascii="Times New Roman" w:hAnsi="Times New Roman" w:cs="Times New Roman"/>
            <w:sz w:val="24"/>
          </w:rPr>
        </w:pPr>
        <w:r w:rsidRPr="00094104">
          <w:rPr>
            <w:noProof/>
            <w:sz w:val="28"/>
            <w:lang w:eastAsia="sk-SK"/>
          </w:rPr>
          <mc:AlternateContent>
            <mc:Choice Requires="wps">
              <w:drawing>
                <wp:anchor distT="0" distB="0" distL="114300" distR="114300" simplePos="0" relativeHeight="251663360" behindDoc="0" locked="0" layoutInCell="0" allowOverlap="1" wp14:anchorId="6BACCA20" wp14:editId="5ED30E48">
                  <wp:simplePos x="0" y="0"/>
                  <wp:positionH relativeFrom="page">
                    <wp:posOffset>6372859</wp:posOffset>
                  </wp:positionH>
                  <wp:positionV relativeFrom="page">
                    <wp:posOffset>9896475</wp:posOffset>
                  </wp:positionV>
                  <wp:extent cx="45719" cy="189865"/>
                  <wp:effectExtent l="0" t="0" r="0" b="635"/>
                  <wp:wrapNone/>
                  <wp:docPr id="23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45719" cy="189865"/>
                          </a:xfrm>
                          <a:prstGeom prst="rect">
                            <a:avLst/>
                          </a:prstGeom>
                          <a:solidFill>
                            <a:srgbClr val="37AB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C3B94" id="Rectangle 14" o:spid="_x0000_s1026" style="position:absolute;margin-left:501.8pt;margin-top:779.25pt;width:3.6pt;height:14.95pt;rotation:180;flip:x;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" o:allowincell="f" fillcolor="#37abe1" stroked="f">
                  <v:path arrowok="t"/>
                  <w10:wrap anchorx="page" anchory="page"/>
                </v:rect>
              </w:pict>
            </mc:Fallback>
          </mc:AlternateContent>
        </w:r>
        <w:r>
          <w:rPr>
            <w:noProof/>
            <w:lang w:eastAsia="sk-SK"/>
          </w:rPr>
          <mc:AlternateContent>
            <mc:Choice Requires="wps">
              <w:drawing>
                <wp:anchor distT="45720" distB="45720" distL="114300" distR="114300" simplePos="0" relativeHeight="251661312" behindDoc="0" locked="0" layoutInCell="1" allowOverlap="1" wp14:anchorId="61D7C648" wp14:editId="2DDEA81A">
                  <wp:simplePos x="0" y="0"/>
                  <wp:positionH relativeFrom="column">
                    <wp:posOffset>3546282</wp:posOffset>
                  </wp:positionH>
                  <wp:positionV relativeFrom="paragraph">
                    <wp:posOffset>-81169</wp:posOffset>
                  </wp:positionV>
                  <wp:extent cx="1894081" cy="522514"/>
                  <wp:effectExtent l="0" t="0" r="0" b="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081" cy="522514"/>
                          </a:xfrm>
                          <a:prstGeom prst="rect">
                            <a:avLst/>
                          </a:prstGeom>
                          <a:solidFill>
                            <a:srgbClr val="FFFFFF"/>
                          </a:solidFill>
                          <a:ln w="9525">
                            <a:noFill/>
                            <a:miter lim="800000"/>
                            <a:headEnd/>
                            <a:tailEnd/>
                          </a:ln>
                        </wps:spPr>
                        <wps:txbx>
                          <w:txbxContent>
                            <w:p w14:paraId="5BC2A1B9" w14:textId="77777777" w:rsidR="002F44B7" w:rsidRPr="00534786" w:rsidRDefault="002F44B7" w:rsidP="002F16B8">
                              <w:pPr>
                                <w:jc w:val="right"/>
                                <w:rPr>
                                  <w:color w:val="595959" w:themeColor="text1" w:themeTint="A6"/>
                                </w:rPr>
                              </w:pPr>
                              <w:r w:rsidRPr="00534786">
                                <w:rPr>
                                  <w:rFonts w:ascii="Times New Roman" w:hAnsi="Times New Roman" w:cs="Times New Roman"/>
                                  <w:color w:val="595959" w:themeColor="text1" w:themeTint="A6"/>
                                  <w:sz w:val="20"/>
                                </w:rPr>
                                <w:t>Návrh rozpoč</w:t>
                              </w:r>
                              <w:r>
                                <w:rPr>
                                  <w:rFonts w:ascii="Times New Roman" w:hAnsi="Times New Roman" w:cs="Times New Roman"/>
                                  <w:color w:val="595959" w:themeColor="text1" w:themeTint="A6"/>
                                  <w:sz w:val="20"/>
                                </w:rPr>
                                <w:t xml:space="preserve">tu verejnej správy </w:t>
                              </w:r>
                              <w:r>
                                <w:rPr>
                                  <w:rFonts w:ascii="Times New Roman" w:hAnsi="Times New Roman" w:cs="Times New Roman"/>
                                  <w:color w:val="595959" w:themeColor="text1" w:themeTint="A6"/>
                                  <w:sz w:val="20"/>
                                </w:rPr>
                                <w:br/>
                                <w:t>na roky 2024 až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D7C648" id="_x0000_t202" coordsize="21600,21600" o:spt="202" path="m,l,21600r21600,l21600,xe">
                  <v:stroke joinstyle="miter"/>
                  <v:path gradientshapeok="t" o:connecttype="rect"/>
                </v:shapetype>
                <v:shape id="Textové pole 2" o:spid="_x0000_s1027" type="#_x0000_t202" style="position:absolute;left:0;text-align:left;margin-left:279.25pt;margin-top:-6.4pt;width:149.15pt;height:41.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" stroked="f">
                  <v:textbox>
                    <w:txbxContent>
                      <w:p w14:paraId="5BC2A1B9" w14:textId="77777777" w:rsidR="00E077EB" w:rsidRPr="00534786" w:rsidRDefault="00E077EB" w:rsidP="002F16B8">
                        <w:pPr>
                          <w:jc w:val="right"/>
                          <w:rPr>
                            <w:color w:val="595959" w:themeColor="text1" w:themeTint="A6"/>
                          </w:rPr>
                        </w:pPr>
                        <w:r w:rsidRPr="00534786">
                          <w:rPr>
                            <w:rFonts w:ascii="Times New Roman" w:hAnsi="Times New Roman" w:cs="Times New Roman"/>
                            <w:color w:val="595959" w:themeColor="text1" w:themeTint="A6"/>
                            <w:sz w:val="20"/>
                          </w:rPr>
                          <w:t>Návrh rozpoč</w:t>
                        </w:r>
                        <w:r>
                          <w:rPr>
                            <w:rFonts w:ascii="Times New Roman" w:hAnsi="Times New Roman" w:cs="Times New Roman"/>
                            <w:color w:val="595959" w:themeColor="text1" w:themeTint="A6"/>
                            <w:sz w:val="20"/>
                          </w:rPr>
                          <w:t xml:space="preserve">tu verejnej správy </w:t>
                        </w:r>
                        <w:r>
                          <w:rPr>
                            <w:rFonts w:ascii="Times New Roman" w:hAnsi="Times New Roman" w:cs="Times New Roman"/>
                            <w:color w:val="595959" w:themeColor="text1" w:themeTint="A6"/>
                            <w:sz w:val="20"/>
                          </w:rPr>
                          <w:br/>
                          <w:t>na roky 2024 až 2026</w:t>
                        </w:r>
                      </w:p>
                    </w:txbxContent>
                  </v:textbox>
                </v:shape>
              </w:pict>
            </mc:Fallback>
          </mc:AlternateContent>
        </w:r>
        <w:r w:rsidRPr="002F16B8">
          <w:rPr>
            <w:rFonts w:ascii="Times New Roman" w:hAnsi="Times New Roman" w:cs="Times New Roman"/>
            <w:sz w:val="24"/>
          </w:rPr>
          <w:fldChar w:fldCharType="begin"/>
        </w:r>
        <w:r w:rsidRPr="002F16B8">
          <w:rPr>
            <w:rFonts w:ascii="Times New Roman" w:hAnsi="Times New Roman" w:cs="Times New Roman"/>
            <w:sz w:val="24"/>
          </w:rPr>
          <w:instrText>PAGE   \* MERGEFORMAT</w:instrText>
        </w:r>
        <w:r w:rsidRPr="002F16B8">
          <w:rPr>
            <w:rFonts w:ascii="Times New Roman" w:hAnsi="Times New Roman" w:cs="Times New Roman"/>
            <w:sz w:val="24"/>
          </w:rPr>
          <w:fldChar w:fldCharType="separate"/>
        </w:r>
        <w:r w:rsidR="00B23ED4">
          <w:rPr>
            <w:rFonts w:ascii="Times New Roman" w:hAnsi="Times New Roman" w:cs="Times New Roman"/>
            <w:noProof/>
            <w:sz w:val="24"/>
          </w:rPr>
          <w:t>124</w:t>
        </w:r>
        <w:r w:rsidRPr="002F16B8">
          <w:rPr>
            <w:rFonts w:ascii="Times New Roman" w:hAnsi="Times New Roman" w:cs="Times New Roman"/>
            <w:sz w:val="24"/>
          </w:rPr>
          <w:fldChar w:fldCharType="end"/>
        </w:r>
      </w:p>
    </w:sdtContent>
  </w:sdt>
  <w:p w14:paraId="477AA391" w14:textId="77777777" w:rsidR="002F44B7" w:rsidRDefault="002F44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2DF18" w14:textId="77777777" w:rsidR="00A5737B" w:rsidRDefault="00A5737B" w:rsidP="00052B0A">
      <w:pPr>
        <w:spacing w:after="0" w:line="240" w:lineRule="auto"/>
      </w:pPr>
      <w:r>
        <w:separator/>
      </w:r>
    </w:p>
  </w:footnote>
  <w:footnote w:type="continuationSeparator" w:id="0">
    <w:p w14:paraId="59C6F562" w14:textId="77777777" w:rsidR="00A5737B" w:rsidRDefault="00A5737B" w:rsidP="00052B0A">
      <w:pPr>
        <w:spacing w:after="0" w:line="240" w:lineRule="auto"/>
      </w:pPr>
      <w:r>
        <w:continuationSeparator/>
      </w:r>
    </w:p>
  </w:footnote>
  <w:footnote w:id="1">
    <w:p w14:paraId="51E3AF28" w14:textId="77777777" w:rsidR="002F44B7" w:rsidRPr="00825F3E" w:rsidRDefault="002F44B7" w:rsidP="007903A2">
      <w:pPr>
        <w:pStyle w:val="Textpoznmkypodiarou"/>
        <w:ind w:left="142" w:hanging="142"/>
        <w:jc w:val="both"/>
        <w:rPr>
          <w:rFonts w:ascii="Times New Roman" w:hAnsi="Times New Roman"/>
          <w:sz w:val="16"/>
          <w:szCs w:val="16"/>
        </w:rPr>
      </w:pPr>
      <w:r w:rsidRPr="00825F3E">
        <w:rPr>
          <w:rStyle w:val="Odkaznapoznmkupodiarou"/>
          <w:rFonts w:ascii="Times New Roman" w:eastAsia="Arial Narrow" w:hAnsi="Times New Roman"/>
          <w:sz w:val="16"/>
          <w:szCs w:val="16"/>
        </w:rPr>
        <w:footnoteRef/>
      </w:r>
      <w:r w:rsidRPr="00825F3E">
        <w:rPr>
          <w:rStyle w:val="Odkaznapoznmkupodiarou"/>
          <w:rFonts w:ascii="Times New Roman" w:eastAsia="Arial Narrow" w:hAnsi="Times New Roman"/>
          <w:sz w:val="16"/>
          <w:szCs w:val="16"/>
        </w:rPr>
        <w:t xml:space="preserve"> </w:t>
      </w:r>
      <w:r w:rsidRPr="00825F3E">
        <w:rPr>
          <w:rFonts w:ascii="Times New Roman" w:hAnsi="Times New Roman"/>
          <w:sz w:val="16"/>
          <w:szCs w:val="16"/>
        </w:rPr>
        <w:t xml:space="preserve"> </w:t>
      </w:r>
      <w:r w:rsidRPr="00762040">
        <w:rPr>
          <w:rFonts w:ascii="Times New Roman" w:hAnsi="Times New Roman"/>
          <w:sz w:val="16"/>
          <w:szCs w:val="16"/>
        </w:rPr>
        <w:t>Porovnanie prognózy MF SR s prognózou EK vychádza z požiadavky smernice Rady 2011/85/EÚ z 8. novembra 2011 o požiadavkách na rozpočtové rámce členských štátov.</w:t>
      </w:r>
    </w:p>
  </w:footnote>
  <w:footnote w:id="2">
    <w:p w14:paraId="26C376D6" w14:textId="77777777" w:rsidR="002F44B7" w:rsidRPr="008F11A9" w:rsidRDefault="002F44B7" w:rsidP="00F009A7">
      <w:pPr>
        <w:spacing w:after="0" w:line="240" w:lineRule="auto"/>
        <w:jc w:val="both"/>
        <w:rPr>
          <w:rFonts w:ascii="Times New Roman" w:hAnsi="Times New Roman" w:cs="Times New Roman"/>
          <w:sz w:val="16"/>
          <w:szCs w:val="16"/>
        </w:rPr>
      </w:pPr>
      <w:r w:rsidRPr="000A4B44">
        <w:rPr>
          <w:rStyle w:val="Odkaznapoznmkupodiarou"/>
          <w:rFonts w:ascii="Times New Roman" w:hAnsi="Times New Roman"/>
          <w:sz w:val="16"/>
          <w:szCs w:val="16"/>
        </w:rPr>
        <w:footnoteRef/>
      </w:r>
      <w:r w:rsidRPr="000A4B44">
        <w:rPr>
          <w:rFonts w:ascii="Times New Roman" w:hAnsi="Times New Roman" w:cs="Times New Roman"/>
          <w:sz w:val="16"/>
          <w:szCs w:val="16"/>
        </w:rPr>
        <w:t xml:space="preserve"> </w:t>
      </w:r>
      <w:r w:rsidRPr="008F11A9">
        <w:rPr>
          <w:rFonts w:ascii="Times New Roman" w:hAnsi="Times New Roman" w:cs="Times New Roman"/>
          <w:sz w:val="16"/>
          <w:szCs w:val="16"/>
        </w:rPr>
        <w:t xml:space="preserve">Metodika ESA 2010 zabezpečuje jednotný pohľad na zaznamenanie transakcií rozpočtu verejnej správy, ktorý spočíva najmä v tom, že </w:t>
      </w:r>
      <w:proofErr w:type="spellStart"/>
      <w:r w:rsidRPr="008F11A9">
        <w:rPr>
          <w:rFonts w:ascii="Times New Roman" w:hAnsi="Times New Roman" w:cs="Times New Roman"/>
          <w:sz w:val="16"/>
          <w:szCs w:val="16"/>
        </w:rPr>
        <w:t>akrualizuje</w:t>
      </w:r>
      <w:proofErr w:type="spellEnd"/>
      <w:r w:rsidRPr="008F11A9">
        <w:rPr>
          <w:rFonts w:ascii="Times New Roman" w:hAnsi="Times New Roman" w:cs="Times New Roman"/>
          <w:sz w:val="16"/>
          <w:szCs w:val="16"/>
        </w:rPr>
        <w:t xml:space="preserve"> príjmy a výdavky podľa času vzniku, nie podľa času realizácie uvedenej transakcie. Na úpravu hotovostných príjmov a výdavkov slúžia tzv. modifikujúce faktory. Zároveň pri vyčíslovaní v metodike ESA 2010 sa vzájomne vylučujú transakcie medzi jednotlivými subjektami verejnej správy, teda dochádza k tzv. konsolidácii.</w:t>
      </w:r>
    </w:p>
  </w:footnote>
  <w:footnote w:id="3">
    <w:p w14:paraId="6A7F46BC" w14:textId="77777777" w:rsidR="002F44B7" w:rsidRPr="008F11A9" w:rsidRDefault="002F44B7" w:rsidP="001177B1">
      <w:pPr>
        <w:pStyle w:val="Textpoznmkypodiarou"/>
        <w:rPr>
          <w:rFonts w:ascii="Times New Roman" w:hAnsi="Times New Roman"/>
          <w:sz w:val="16"/>
          <w:szCs w:val="16"/>
        </w:rPr>
      </w:pPr>
      <w:r w:rsidRPr="008F11A9">
        <w:rPr>
          <w:rStyle w:val="Odkaznapoznmkupodiarou"/>
          <w:rFonts w:ascii="Times New Roman" w:hAnsi="Times New Roman"/>
          <w:sz w:val="16"/>
          <w:szCs w:val="16"/>
        </w:rPr>
        <w:footnoteRef/>
      </w:r>
      <w:r w:rsidRPr="008F11A9">
        <w:rPr>
          <w:rFonts w:ascii="Times New Roman" w:hAnsi="Times New Roman"/>
          <w:sz w:val="16"/>
          <w:szCs w:val="16"/>
        </w:rPr>
        <w:t xml:space="preserve"> Prehľad Pomoci poskytovanej Ministerstvom hospodárstva SR </w:t>
      </w:r>
      <w:hyperlink r:id="rId1" w:history="1">
        <w:r w:rsidRPr="008F11A9">
          <w:rPr>
            <w:rFonts w:ascii="Times New Roman" w:hAnsi="Times New Roman"/>
            <w:color w:val="5B9BD5" w:themeColor="accent1"/>
            <w:sz w:val="16"/>
            <w:szCs w:val="16"/>
          </w:rPr>
          <w:t>https://www.mhsr.sk/prehlad-pomoci?csrt=7459046516954571966</w:t>
        </w:r>
      </w:hyperlink>
    </w:p>
  </w:footnote>
  <w:footnote w:id="4">
    <w:p w14:paraId="2FC97B7B" w14:textId="77777777" w:rsidR="002F44B7" w:rsidRPr="00AD6831" w:rsidRDefault="002F44B7" w:rsidP="001177B1">
      <w:pPr>
        <w:jc w:val="both"/>
        <w:rPr>
          <w:rFonts w:ascii="Times New Roman" w:hAnsi="Times New Roman" w:cs="Times New Roman"/>
          <w:sz w:val="16"/>
          <w:szCs w:val="16"/>
        </w:rPr>
      </w:pPr>
      <w:r w:rsidRPr="008F11A9">
        <w:rPr>
          <w:rStyle w:val="Odkaznapoznmkupodiarou"/>
          <w:rFonts w:ascii="Times New Roman" w:hAnsi="Times New Roman"/>
          <w:sz w:val="16"/>
          <w:szCs w:val="16"/>
        </w:rPr>
        <w:footnoteRef/>
      </w:r>
      <w:r w:rsidRPr="008F11A9">
        <w:rPr>
          <w:rFonts w:ascii="Times New Roman" w:hAnsi="Times New Roman" w:cs="Times New Roman"/>
          <w:sz w:val="16"/>
          <w:szCs w:val="16"/>
        </w:rPr>
        <w:t xml:space="preserve"> Zmena legislatívy EÚ pod názvom iniciatíva SAFE umožnila využiť nevyčerpané zdroje európskych štrukturálnych a investičných fondov (EŠIF) programového obdobia 2014 – 2020 na kompenzáciu zvýšených nákladov na spotrebu energie v prípade zraniteľných domácností. Na základe uvedeného bola pripravená Metodika kompenzácie rozdielov medzi trhovými cenami a regulovanými cenami pri dodávkach plynu zraniteľným domácnostiam prostredníctvom Iniciatívy SAFE. Iniciatíva SAFE stanovuje financovať výdavky energetickej krízy vo výške 100 % zo zdroja EÚ bez spolufinancovania členského štátu vzniknuté prijímateľom od 1.2.2022. Očakávaný podiel výdavkov v období január až december 2023 zraniteľných domácností na celkových výdavkoch slovenských domácností predstavuje úroveň 81,8% na podklade štatistického zisťovania Rodinných účtov. Táto hodnota predstavuje percentuálnu sadzbu, ktorá je použitá na identifikovanie sumy oprávnenej na financovanie prostredníctvom Iniciatívy SAFE. Na základe vynaložených nákladov MH SR na kompenzácie výdavkov za plyn za prvý</w:t>
      </w:r>
      <w:r w:rsidRPr="00AD6831">
        <w:rPr>
          <w:rFonts w:ascii="Times New Roman" w:hAnsi="Times New Roman" w:cs="Times New Roman"/>
          <w:sz w:val="16"/>
          <w:szCs w:val="16"/>
        </w:rPr>
        <w:t xml:space="preserve"> polrok 2023 vo výške  cca 750 mil. eur, pri použití sadzby 81,8 % predstavuje maximálna možná refundácia z prostriedkov EÚ výšku 613 mil. eur, z ktorých bolo už refundovaných v roku 2023 z prostriedkov z rozpočtu EÚ 500 mil. eur.</w:t>
      </w:r>
    </w:p>
  </w:footnote>
  <w:footnote w:id="5">
    <w:p w14:paraId="5F92E7B6" w14:textId="77777777" w:rsidR="002F44B7" w:rsidRPr="001C2FE6" w:rsidRDefault="002F44B7" w:rsidP="001177B1">
      <w:pPr>
        <w:autoSpaceDE w:val="0"/>
        <w:autoSpaceDN w:val="0"/>
        <w:adjustRightInd w:val="0"/>
        <w:rPr>
          <w:rFonts w:ascii="Times New Roman" w:hAnsi="Times New Roman" w:cs="Times New Roman"/>
          <w:sz w:val="16"/>
          <w:szCs w:val="16"/>
        </w:rPr>
      </w:pPr>
      <w:r w:rsidRPr="001C2FE6">
        <w:rPr>
          <w:rStyle w:val="Odkaznapoznmkupodiarou"/>
          <w:rFonts w:ascii="Times New Roman" w:hAnsi="Times New Roman"/>
        </w:rPr>
        <w:footnoteRef/>
      </w:r>
      <w:r w:rsidRPr="001C2FE6">
        <w:rPr>
          <w:rFonts w:ascii="Times New Roman" w:hAnsi="Times New Roman" w:cs="Times New Roman"/>
          <w:sz w:val="20"/>
          <w:szCs w:val="20"/>
        </w:rPr>
        <w:t xml:space="preserve"> </w:t>
      </w:r>
      <w:r w:rsidRPr="001C2FE6">
        <w:rPr>
          <w:rFonts w:ascii="Times New Roman" w:hAnsi="Times New Roman" w:cs="Times New Roman"/>
          <w:sz w:val="16"/>
          <w:szCs w:val="16"/>
        </w:rPr>
        <w:t>Za účelom stabilizácie ambulantného sektora z dôvodu kompenzácie zvýšených výdavkov</w:t>
      </w:r>
      <w:r>
        <w:rPr>
          <w:rFonts w:ascii="Times New Roman" w:hAnsi="Times New Roman" w:cs="Times New Roman"/>
          <w:sz w:val="16"/>
          <w:szCs w:val="16"/>
        </w:rPr>
        <w:t xml:space="preserve"> </w:t>
      </w:r>
      <w:r w:rsidRPr="001C2FE6">
        <w:rPr>
          <w:rFonts w:ascii="Times New Roman" w:hAnsi="Times New Roman" w:cs="Times New Roman"/>
          <w:sz w:val="16"/>
          <w:szCs w:val="16"/>
        </w:rPr>
        <w:t>spôsobených nárastom cien energií.</w:t>
      </w:r>
    </w:p>
  </w:footnote>
  <w:footnote w:id="6">
    <w:p w14:paraId="21D01CA4" w14:textId="77777777" w:rsidR="002F44B7" w:rsidRPr="00D937CB" w:rsidRDefault="002F44B7" w:rsidP="00E17FA8">
      <w:pPr>
        <w:spacing w:after="0"/>
        <w:jc w:val="both"/>
        <w:rPr>
          <w:rFonts w:ascii="Times New Roman" w:hAnsi="Times New Roman" w:cs="Times New Roman"/>
          <w:sz w:val="16"/>
          <w:szCs w:val="16"/>
        </w:rPr>
      </w:pPr>
      <w:r w:rsidRPr="00D937CB">
        <w:rPr>
          <w:rStyle w:val="Odkaznapoznmkupodiarou"/>
          <w:rFonts w:ascii="Times New Roman" w:hAnsi="Times New Roman"/>
          <w:sz w:val="16"/>
          <w:szCs w:val="16"/>
        </w:rPr>
        <w:footnoteRef/>
      </w:r>
      <w:r w:rsidRPr="00D937CB">
        <w:rPr>
          <w:rFonts w:ascii="Times New Roman" w:hAnsi="Times New Roman" w:cs="Times New Roman"/>
          <w:sz w:val="16"/>
          <w:szCs w:val="16"/>
        </w:rPr>
        <w:t xml:space="preserve"> Zákon č. 461/2003 Z. z.; § 293fzc(1) Ak kumulatívny medzimesačný rast spotrebiteľských cien za domácnosti dôchodcov za obdobie od 1. júla 2022 do 31. marca 2023 presiahne päť percent, dôchodková dávka vyplácaná k 1. júlu 2023 sa zvyšuje od 1. júla 2023 o percento tohto rastu vykázané štatistickým úradom a dôchodková dávka priznaná od 1. júla 2023 do 31. decembra 2023 sa zvyšuje odo dňa jej priznania o percento tohto rastu vykázané štatistickým úradom.</w:t>
      </w:r>
    </w:p>
  </w:footnote>
  <w:footnote w:id="7">
    <w:p w14:paraId="18F8A670" w14:textId="57288CBB" w:rsidR="002F44B7" w:rsidRPr="00A775CD" w:rsidRDefault="002F44B7" w:rsidP="00CA1C84">
      <w:pPr>
        <w:spacing w:after="0"/>
        <w:jc w:val="both"/>
        <w:rPr>
          <w:rFonts w:ascii="Times New Roman" w:hAnsi="Times New Roman" w:cs="Times New Roman"/>
          <w:sz w:val="16"/>
          <w:szCs w:val="16"/>
        </w:rPr>
      </w:pPr>
      <w:r w:rsidRPr="00D937CB">
        <w:rPr>
          <w:rStyle w:val="Odkaznapoznmkupodiarou"/>
          <w:rFonts w:ascii="Times New Roman" w:hAnsi="Times New Roman"/>
          <w:sz w:val="16"/>
          <w:szCs w:val="16"/>
        </w:rPr>
        <w:footnoteRef/>
      </w:r>
      <w:r w:rsidRPr="00D937CB">
        <w:rPr>
          <w:sz w:val="16"/>
          <w:szCs w:val="16"/>
        </w:rPr>
        <w:t xml:space="preserve"> </w:t>
      </w:r>
      <w:r w:rsidRPr="00D937CB">
        <w:rPr>
          <w:rFonts w:ascii="Times New Roman" w:hAnsi="Times New Roman" w:cs="Times New Roman"/>
          <w:sz w:val="16"/>
          <w:szCs w:val="16"/>
        </w:rPr>
        <w:t>Počet dávok materské a tehotenské bol pri tvorbe rozpočtu naviazaný na rastúcu zamestnanosť. Tento predpoklad sa ukázal ako optimistický, preto sa pristúpilo k naviazaniu vývoja počtu dávok na počet pôrodov, ktorý má klesajúci trend. To odzrkadľuje fakt, že sa reštriktívnejšou podmienkou pre vznik nároku na dávku stáva samotné narodenie dieťaťa</w:t>
      </w:r>
      <w:r>
        <w:rPr>
          <w:rFonts w:ascii="Times New Roman" w:hAnsi="Times New Roman" w:cs="Times New Roman"/>
          <w:sz w:val="16"/>
          <w:szCs w:val="16"/>
        </w:rPr>
        <w:t xml:space="preserve"> a nie situácia na trhu práce. </w:t>
      </w:r>
    </w:p>
  </w:footnote>
  <w:footnote w:id="8">
    <w:p w14:paraId="1615CA3E" w14:textId="77777777" w:rsidR="002F44B7" w:rsidRPr="00D937CB" w:rsidRDefault="002F44B7" w:rsidP="005D3D72">
      <w:pPr>
        <w:spacing w:after="0"/>
        <w:jc w:val="both"/>
        <w:rPr>
          <w:rFonts w:ascii="Times New Roman" w:hAnsi="Times New Roman" w:cs="Times New Roman"/>
          <w:color w:val="000000"/>
          <w:sz w:val="16"/>
          <w:szCs w:val="16"/>
        </w:rPr>
      </w:pPr>
      <w:r w:rsidRPr="00D937CB">
        <w:rPr>
          <w:rStyle w:val="Odkaznapoznmkupodiarou"/>
          <w:rFonts w:ascii="Times New Roman" w:hAnsi="Times New Roman"/>
          <w:sz w:val="16"/>
          <w:szCs w:val="16"/>
        </w:rPr>
        <w:footnoteRef/>
      </w:r>
      <w:r w:rsidRPr="00D937CB">
        <w:rPr>
          <w:rStyle w:val="Odkaznapoznmkupodiarou"/>
          <w:rFonts w:ascii="Times New Roman" w:hAnsi="Times New Roman"/>
          <w:sz w:val="16"/>
          <w:szCs w:val="16"/>
        </w:rPr>
        <w:t xml:space="preserve"> </w:t>
      </w:r>
      <w:r w:rsidRPr="00D937CB">
        <w:rPr>
          <w:rFonts w:ascii="Times New Roman" w:hAnsi="Times New Roman" w:cs="Times New Roman"/>
          <w:color w:val="000000"/>
          <w:sz w:val="16"/>
          <w:szCs w:val="16"/>
        </w:rPr>
        <w:t>Súčasťou aktuálnej daňovej prognózy je aj solidárny príspevok z činností v odvetviach ropy, zemného plynu, uhlia a rafinérií a príjem z odvodu z nadmerných príjmov (elektrárne) spolu v sume 385 mil. eur. Napriek tomu ich vplyv v porovnaní so schváleným rozpočtom na rok 2023 je negatívny v objeme 77 mil. eur.</w:t>
      </w:r>
    </w:p>
  </w:footnote>
  <w:footnote w:id="9">
    <w:p w14:paraId="5CFC5ECD" w14:textId="77777777" w:rsidR="002F44B7" w:rsidRPr="0019543E" w:rsidRDefault="002F44B7" w:rsidP="005D3D72">
      <w:pPr>
        <w:pStyle w:val="Textpoznmkypodiarou"/>
        <w:jc w:val="both"/>
        <w:rPr>
          <w:rFonts w:ascii="Times New Roman" w:hAnsi="Times New Roman"/>
          <w:sz w:val="16"/>
          <w:szCs w:val="16"/>
        </w:rPr>
      </w:pPr>
      <w:r w:rsidRPr="00D937CB">
        <w:rPr>
          <w:rStyle w:val="Odkaznapoznmkupodiarou"/>
          <w:rFonts w:ascii="Times New Roman" w:hAnsi="Times New Roman"/>
          <w:sz w:val="16"/>
          <w:szCs w:val="16"/>
        </w:rPr>
        <w:footnoteRef/>
      </w:r>
      <w:r w:rsidRPr="00D937CB">
        <w:rPr>
          <w:rFonts w:ascii="Times New Roman" w:hAnsi="Times New Roman"/>
          <w:sz w:val="16"/>
          <w:szCs w:val="16"/>
        </w:rPr>
        <w:t xml:space="preserve"> Prognóza z novembra 2023.</w:t>
      </w:r>
    </w:p>
  </w:footnote>
  <w:footnote w:id="10">
    <w:p w14:paraId="58CDB3BD" w14:textId="77777777" w:rsidR="002F44B7" w:rsidRPr="00B10329" w:rsidRDefault="002F44B7" w:rsidP="009A1FF2">
      <w:pPr>
        <w:pStyle w:val="Textpoznmkypodiarou"/>
        <w:rPr>
          <w:sz w:val="16"/>
          <w:szCs w:val="16"/>
        </w:rPr>
      </w:pPr>
      <w:r w:rsidRPr="00B10329">
        <w:rPr>
          <w:rStyle w:val="Odkaznapoznmkupodiarou"/>
          <w:rFonts w:ascii="Times New Roman" w:hAnsi="Times New Roman"/>
          <w:sz w:val="16"/>
          <w:szCs w:val="16"/>
        </w:rPr>
        <w:footnoteRef/>
      </w:r>
      <w:r w:rsidRPr="00B10329">
        <w:rPr>
          <w:sz w:val="16"/>
          <w:szCs w:val="16"/>
        </w:rPr>
        <w:t xml:space="preserve"> </w:t>
      </w:r>
      <w:r w:rsidRPr="00B10329">
        <w:rPr>
          <w:rFonts w:ascii="Times New Roman" w:hAnsi="Times New Roman"/>
          <w:sz w:val="16"/>
          <w:szCs w:val="16"/>
        </w:rPr>
        <w:t>S výnimkou zvýšenia spotrebných daní z liehu, ktoré začalo byť účinné od apríla 2023.</w:t>
      </w:r>
    </w:p>
  </w:footnote>
  <w:footnote w:id="11">
    <w:p w14:paraId="66754E9F" w14:textId="77777777" w:rsidR="002F44B7" w:rsidRPr="00B10329" w:rsidRDefault="002F44B7" w:rsidP="009A1FF2">
      <w:pPr>
        <w:pStyle w:val="Textpoznmkypodiarou"/>
        <w:jc w:val="both"/>
        <w:rPr>
          <w:sz w:val="16"/>
          <w:szCs w:val="16"/>
        </w:rPr>
      </w:pPr>
      <w:r w:rsidRPr="00B10329">
        <w:rPr>
          <w:rStyle w:val="Odkaznapoznmkupodiarou"/>
          <w:rFonts w:ascii="Times New Roman" w:hAnsi="Times New Roman"/>
          <w:sz w:val="16"/>
          <w:szCs w:val="16"/>
        </w:rPr>
        <w:footnoteRef/>
      </w:r>
      <w:r w:rsidRPr="00B10329">
        <w:rPr>
          <w:sz w:val="16"/>
          <w:szCs w:val="16"/>
        </w:rPr>
        <w:t xml:space="preserve"> </w:t>
      </w:r>
      <w:r w:rsidRPr="00B10329">
        <w:rPr>
          <w:rFonts w:ascii="Times New Roman" w:hAnsi="Times New Roman"/>
          <w:sz w:val="16"/>
          <w:szCs w:val="16"/>
        </w:rPr>
        <w:t>Zdroje z Plánu obnovy a odolnosti v sebe zahŕňajú aj DPH, ktorá ale nemá vplyv na saldo verejnej správy, nakoľko zaplatená DPH verejnými inštitúciami je zdrojom príjmov štátu.</w:t>
      </w:r>
    </w:p>
  </w:footnote>
  <w:footnote w:id="12">
    <w:p w14:paraId="3D56185B" w14:textId="77777777" w:rsidR="002F44B7" w:rsidRDefault="002F44B7" w:rsidP="009A1FF2">
      <w:pPr>
        <w:pStyle w:val="Textpoznmkypodiarou"/>
        <w:jc w:val="both"/>
      </w:pPr>
      <w:r w:rsidRPr="00B10329">
        <w:rPr>
          <w:rStyle w:val="Odkaznapoznmkupodiarou"/>
          <w:rFonts w:ascii="Times New Roman" w:hAnsi="Times New Roman"/>
          <w:sz w:val="16"/>
          <w:szCs w:val="16"/>
        </w:rPr>
        <w:footnoteRef/>
      </w:r>
      <w:r w:rsidRPr="00B10329">
        <w:rPr>
          <w:rFonts w:ascii="Times New Roman" w:hAnsi="Times New Roman"/>
          <w:sz w:val="16"/>
          <w:szCs w:val="16"/>
        </w:rPr>
        <w:t xml:space="preserve"> Dodávatelia energií (platitelia DPH) sú v tomto prípade poberateľmi tzv. dotácií k cenám tovarov, ktoré vstupujú do základu dane. Základ dane regulovaných dodávok energií je zo zákona tvorený platbami odberateľov, v tomto prípade domácností, za dodávky energií a kompenzáciami k cenám energií, ktoré prijímajú dodávatelia energií od MH SR, očistené o DPH. Táto dotácia od MH SR sa následne nenachádza v makro základni, nakoľko makro základňa obsahuje o. i. medzispotrebu vlády a dotácia má charakter transferu.</w:t>
      </w:r>
    </w:p>
  </w:footnote>
  <w:footnote w:id="13">
    <w:p w14:paraId="45263AA6" w14:textId="77777777" w:rsidR="002F44B7" w:rsidRPr="00213458" w:rsidRDefault="002F44B7" w:rsidP="00B01C4E">
      <w:pPr>
        <w:pStyle w:val="Textpoznmkypodiarou"/>
        <w:jc w:val="both"/>
        <w:rPr>
          <w:rFonts w:ascii="Times New Roman" w:hAnsi="Times New Roman"/>
          <w:sz w:val="16"/>
          <w:szCs w:val="16"/>
        </w:rPr>
      </w:pPr>
      <w:r w:rsidRPr="00213458">
        <w:rPr>
          <w:rStyle w:val="Odkaznapoznmkupodiarou"/>
          <w:sz w:val="16"/>
          <w:szCs w:val="16"/>
        </w:rPr>
        <w:footnoteRef/>
      </w:r>
      <w:r w:rsidRPr="00213458">
        <w:rPr>
          <w:rFonts w:ascii="Times New Roman" w:hAnsi="Times New Roman"/>
          <w:sz w:val="16"/>
          <w:szCs w:val="16"/>
        </w:rPr>
        <w:t xml:space="preserve"> Väčšie využitie likvidných aktív vyplýva aj z predpokladu opatrení na dosiahnutie rozpočtových cieľov v rokoch 2025 a 2026 u ostatných subjektov verejnej správy v objeme 50 %.</w:t>
      </w:r>
    </w:p>
  </w:footnote>
  <w:footnote w:id="14">
    <w:p w14:paraId="031CA681" w14:textId="77777777" w:rsidR="002F44B7" w:rsidRPr="001753F5" w:rsidRDefault="002F44B7" w:rsidP="0032421D">
      <w:pPr>
        <w:pStyle w:val="Textpoznmkypodiarou"/>
        <w:jc w:val="both"/>
        <w:rPr>
          <w:rFonts w:ascii="Times New Roman" w:hAnsi="Times New Roman"/>
          <w:sz w:val="16"/>
          <w:szCs w:val="16"/>
        </w:rPr>
      </w:pPr>
      <w:r w:rsidRPr="001753F5">
        <w:rPr>
          <w:rStyle w:val="Odkaznapoznmkupodiarou"/>
          <w:rFonts w:ascii="Times New Roman" w:hAnsi="Times New Roman"/>
          <w:sz w:val="16"/>
          <w:szCs w:val="16"/>
        </w:rPr>
        <w:footnoteRef/>
      </w:r>
      <w:r w:rsidRPr="001753F5">
        <w:rPr>
          <w:rFonts w:ascii="Times New Roman" w:hAnsi="Times New Roman"/>
          <w:sz w:val="16"/>
          <w:szCs w:val="16"/>
        </w:rPr>
        <w:t xml:space="preserve"> Spoločnosť SIH zaradil ŠÚ SR v rámci jarnej notifikácie v roku 2021. Použité údaje za spoločnosť vychádzajú z poslednej známej skutočnosti z podkladov ŠÚ SR v rámci j</w:t>
      </w:r>
      <w:r>
        <w:rPr>
          <w:rFonts w:ascii="Times New Roman" w:hAnsi="Times New Roman"/>
          <w:sz w:val="16"/>
          <w:szCs w:val="16"/>
        </w:rPr>
        <w:t>esennej</w:t>
      </w:r>
      <w:r w:rsidRPr="001753F5">
        <w:rPr>
          <w:rFonts w:ascii="Times New Roman" w:hAnsi="Times New Roman"/>
          <w:sz w:val="16"/>
          <w:szCs w:val="16"/>
        </w:rPr>
        <w:t xml:space="preserve"> notifikácie v roku 202</w:t>
      </w:r>
      <w:r>
        <w:rPr>
          <w:rFonts w:ascii="Times New Roman" w:hAnsi="Times New Roman"/>
          <w:sz w:val="16"/>
          <w:szCs w:val="16"/>
        </w:rPr>
        <w:t>3</w:t>
      </w:r>
      <w:r w:rsidRPr="001753F5">
        <w:rPr>
          <w:rFonts w:ascii="Times New Roman" w:hAnsi="Times New Roman"/>
          <w:sz w:val="16"/>
          <w:szCs w:val="16"/>
        </w:rPr>
        <w:t xml:space="preserve"> za skutočnosť roku 202</w:t>
      </w:r>
      <w:r>
        <w:rPr>
          <w:rFonts w:ascii="Times New Roman" w:hAnsi="Times New Roman"/>
          <w:sz w:val="16"/>
          <w:szCs w:val="16"/>
        </w:rPr>
        <w:t>2</w:t>
      </w:r>
      <w:r w:rsidRPr="001753F5">
        <w:rPr>
          <w:rFonts w:ascii="Times New Roman" w:hAnsi="Times New Roman"/>
          <w:sz w:val="16"/>
          <w:szCs w:val="16"/>
        </w:rPr>
        <w:t>. SIH je akciová spoločnosť v 100 % vlastníctve Slovenskej záručnej a rozvojovej banky. Hlavným cieľom spoločnosti je podpora verejných a súkromných investícií v strategických sektoroch na Slovensku.</w:t>
      </w:r>
    </w:p>
  </w:footnote>
  <w:footnote w:id="15">
    <w:p w14:paraId="7D2C65C5" w14:textId="77777777" w:rsidR="002F44B7" w:rsidRPr="008D2AF5" w:rsidRDefault="002F44B7" w:rsidP="0032421D">
      <w:pPr>
        <w:pStyle w:val="Textpoznmkypodiarou"/>
        <w:jc w:val="both"/>
        <w:rPr>
          <w:rFonts w:ascii="Times New Roman" w:hAnsi="Times New Roman"/>
          <w:sz w:val="16"/>
          <w:szCs w:val="16"/>
        </w:rPr>
      </w:pPr>
      <w:r w:rsidRPr="008D2AF5">
        <w:rPr>
          <w:rStyle w:val="Odkaznapoznmkupodiarou"/>
          <w:rFonts w:ascii="Times New Roman" w:hAnsi="Times New Roman"/>
          <w:sz w:val="16"/>
          <w:szCs w:val="16"/>
        </w:rPr>
        <w:footnoteRef/>
      </w:r>
      <w:r w:rsidRPr="008D2AF5">
        <w:rPr>
          <w:rFonts w:ascii="Times New Roman" w:hAnsi="Times New Roman"/>
          <w:sz w:val="16"/>
          <w:szCs w:val="16"/>
        </w:rPr>
        <w:t xml:space="preserve"> Zelená energia predstavuje systém podpory obnoviteľných zdrojov energie a vysoko účinnej kombinovanej výroby energie, ktorý je v zmysle metodiky ESA 2010 presmerovaný cez sektor verejnej správy. Objem inkasovanej TPS - tarifa za prevádzku systému predstavuje daňové príjmy rozpočtu verejnej správy a náklady na poskytnutie podpory predstavujú subvencie.</w:t>
      </w:r>
    </w:p>
  </w:footnote>
  <w:footnote w:id="16">
    <w:p w14:paraId="2B493EA4" w14:textId="77777777" w:rsidR="002F44B7" w:rsidRPr="00264E57" w:rsidRDefault="002F44B7" w:rsidP="0032421D">
      <w:pPr>
        <w:pStyle w:val="Textpoznmkypodiarou"/>
        <w:rPr>
          <w:rFonts w:ascii="Times New Roman" w:hAnsi="Times New Roman"/>
          <w:sz w:val="16"/>
          <w:szCs w:val="16"/>
        </w:rPr>
      </w:pPr>
      <w:r w:rsidRPr="008D2AF5">
        <w:rPr>
          <w:rStyle w:val="Odkaznapoznmkupodiarou"/>
          <w:rFonts w:ascii="Times New Roman" w:hAnsi="Times New Roman"/>
          <w:sz w:val="16"/>
          <w:szCs w:val="16"/>
        </w:rPr>
        <w:footnoteRef/>
      </w:r>
      <w:r w:rsidRPr="008D2AF5">
        <w:rPr>
          <w:rFonts w:ascii="Times New Roman" w:hAnsi="Times New Roman"/>
          <w:sz w:val="16"/>
          <w:szCs w:val="16"/>
        </w:rPr>
        <w:t xml:space="preserve"> Verejné príjmy a výdavky súkromných zdravotných poisťovní Dôvera a </w:t>
      </w:r>
      <w:proofErr w:type="spellStart"/>
      <w:r w:rsidRPr="008D2AF5">
        <w:rPr>
          <w:rFonts w:ascii="Times New Roman" w:hAnsi="Times New Roman"/>
          <w:sz w:val="16"/>
          <w:szCs w:val="16"/>
        </w:rPr>
        <w:t>Union</w:t>
      </w:r>
      <w:proofErr w:type="spellEnd"/>
      <w:r w:rsidRPr="008D2AF5">
        <w:rPr>
          <w:rFonts w:ascii="Times New Roman" w:hAnsi="Times New Roman"/>
          <w:sz w:val="16"/>
          <w:szCs w:val="16"/>
        </w:rPr>
        <w:t xml:space="preserve"> sú súčasťou verejných financií.</w:t>
      </w:r>
    </w:p>
  </w:footnote>
  <w:footnote w:id="17">
    <w:p w14:paraId="33F4DEBD" w14:textId="77777777" w:rsidR="002F44B7" w:rsidRPr="00CE66FB" w:rsidRDefault="002F44B7" w:rsidP="0025243E">
      <w:pPr>
        <w:pStyle w:val="Textpoznmkypodiarou"/>
        <w:rPr>
          <w:rFonts w:ascii="Times New Roman" w:hAnsi="Times New Roman"/>
          <w:sz w:val="16"/>
          <w:szCs w:val="16"/>
        </w:rPr>
      </w:pPr>
      <w:r w:rsidRPr="00CE66FB">
        <w:rPr>
          <w:rStyle w:val="Odkaznapoznmkupodiarou"/>
          <w:rFonts w:ascii="Times New Roman" w:hAnsi="Times New Roman"/>
          <w:sz w:val="16"/>
          <w:szCs w:val="16"/>
        </w:rPr>
        <w:footnoteRef/>
      </w:r>
      <w:r w:rsidRPr="00CE66FB">
        <w:rPr>
          <w:rFonts w:ascii="Times New Roman" w:hAnsi="Times New Roman"/>
          <w:sz w:val="16"/>
          <w:szCs w:val="16"/>
        </w:rPr>
        <w:t xml:space="preserve"> https://economy-finance.ec.europa.eu/publications/report-public-finances-emu-2015_en</w:t>
      </w:r>
    </w:p>
  </w:footnote>
  <w:footnote w:id="18">
    <w:p w14:paraId="5411C53C" w14:textId="77777777" w:rsidR="002F44B7" w:rsidRPr="00576949" w:rsidRDefault="002F44B7" w:rsidP="0025243E">
      <w:pPr>
        <w:pStyle w:val="Textpoznmkypodiarou"/>
        <w:rPr>
          <w:rFonts w:ascii="Arial Narrow" w:hAnsi="Arial Narrow"/>
          <w:sz w:val="16"/>
          <w:szCs w:val="16"/>
        </w:rPr>
      </w:pPr>
      <w:r w:rsidRPr="00CE66FB">
        <w:rPr>
          <w:rStyle w:val="Odkaznapoznmkupodiarou"/>
          <w:rFonts w:ascii="Times New Roman" w:hAnsi="Times New Roman"/>
          <w:sz w:val="16"/>
          <w:szCs w:val="16"/>
        </w:rPr>
        <w:footnoteRef/>
      </w:r>
      <w:r w:rsidRPr="00CE66FB">
        <w:rPr>
          <w:rFonts w:ascii="Times New Roman" w:hAnsi="Times New Roman"/>
          <w:sz w:val="16"/>
          <w:szCs w:val="16"/>
        </w:rPr>
        <w:t xml:space="preserve"> https://www.mfsr.sk/files/archiv/priloha-stranky/20049/47/Manual_oneoffs_20150630.pdf</w:t>
      </w:r>
    </w:p>
  </w:footnote>
  <w:footnote w:id="19">
    <w:p w14:paraId="48C88110" w14:textId="77777777" w:rsidR="002F44B7" w:rsidRPr="00072D48" w:rsidRDefault="002F44B7" w:rsidP="00D94493">
      <w:pPr>
        <w:pStyle w:val="Textpoznmkypodiarou"/>
        <w:ind w:left="142" w:hanging="142"/>
        <w:jc w:val="both"/>
        <w:rPr>
          <w:rFonts w:ascii="Times New Roman" w:hAnsi="Times New Roman"/>
          <w:sz w:val="16"/>
          <w:szCs w:val="16"/>
        </w:rPr>
      </w:pPr>
      <w:r w:rsidRPr="00072D48">
        <w:rPr>
          <w:rStyle w:val="Odkaznapoznmkupodiarou"/>
          <w:rFonts w:ascii="Times New Roman" w:hAnsi="Times New Roman"/>
          <w:sz w:val="16"/>
          <w:szCs w:val="16"/>
        </w:rPr>
        <w:footnoteRef/>
      </w:r>
      <w:r w:rsidRPr="00072D48">
        <w:rPr>
          <w:rFonts w:ascii="Times New Roman" w:hAnsi="Times New Roman"/>
          <w:sz w:val="16"/>
          <w:szCs w:val="16"/>
        </w:rPr>
        <w:t xml:space="preserve"> Ak je priemerná odchýlka prognózy člena (vyjadrená v %) od prognózy MF SR v intervale &lt;-1; 1&gt;, prognóza MF SR je realistická, ak je väčšia ako 1, tak prognóza MF SR je podhodnotená a ak je menšia ako -1, vtedy je nadhodnotená. Jednotlivé odchýlky v rokoch majú rozdielne váhy pri výpočte celkovej odchýlky od prognózy MF SR v závislosti od dôležitosti pre najbližší rozpočtový rok.</w:t>
      </w:r>
    </w:p>
  </w:footnote>
  <w:footnote w:id="20">
    <w:p w14:paraId="4F0C1CBA" w14:textId="77777777" w:rsidR="002F44B7" w:rsidRPr="00296CA4" w:rsidRDefault="002F44B7" w:rsidP="00D94493">
      <w:pPr>
        <w:pStyle w:val="Textpoznmkypodiarou"/>
        <w:rPr>
          <w:rFonts w:ascii="Times New Roman" w:hAnsi="Times New Roman"/>
          <w:sz w:val="16"/>
          <w:szCs w:val="16"/>
        </w:rPr>
      </w:pPr>
      <w:r w:rsidRPr="004B0A60">
        <w:rPr>
          <w:rFonts w:ascii="Times New Roman" w:hAnsi="Times New Roman"/>
          <w:sz w:val="16"/>
          <w:szCs w:val="16"/>
          <w:vertAlign w:val="superscript"/>
        </w:rPr>
        <w:footnoteRef/>
      </w:r>
      <w:r w:rsidRPr="00296CA4">
        <w:rPr>
          <w:rFonts w:ascii="Times New Roman" w:hAnsi="Times New Roman"/>
          <w:sz w:val="16"/>
          <w:szCs w:val="16"/>
        </w:rPr>
        <w:t xml:space="preserve"> Okrem opatrenia Zdanenie dlhopisov emitovaných domácimi emitentmi na zahraničných trhoch</w:t>
      </w:r>
    </w:p>
  </w:footnote>
  <w:footnote w:id="21">
    <w:p w14:paraId="1EB6E436" w14:textId="77777777" w:rsidR="002F44B7" w:rsidRDefault="002F44B7" w:rsidP="00D94493">
      <w:pPr>
        <w:pStyle w:val="Textpoznmkypodiarou"/>
      </w:pPr>
      <w:r w:rsidRPr="00296CA4">
        <w:rPr>
          <w:rStyle w:val="Odkaznapoznmkupodiarou"/>
          <w:rFonts w:ascii="Times New Roman" w:hAnsi="Times New Roman"/>
          <w:sz w:val="16"/>
          <w:szCs w:val="16"/>
        </w:rPr>
        <w:footnoteRef/>
      </w:r>
      <w:r w:rsidRPr="00296CA4">
        <w:rPr>
          <w:rFonts w:ascii="Times New Roman" w:hAnsi="Times New Roman"/>
          <w:sz w:val="16"/>
          <w:szCs w:val="16"/>
        </w:rPr>
        <w:t xml:space="preserve"> </w:t>
      </w:r>
      <w:r w:rsidRPr="00296CA4">
        <w:rPr>
          <w:rStyle w:val="Hypertextovprepojenie"/>
          <w:rFonts w:ascii="Times New Roman" w:hAnsi="Times New Roman"/>
          <w:sz w:val="16"/>
          <w:szCs w:val="16"/>
        </w:rPr>
        <w:t>https://www.mfsr.sk/sk/financie/verejne-financie/rozpocet-verejnej-spravy/</w:t>
      </w:r>
    </w:p>
  </w:footnote>
  <w:footnote w:id="22">
    <w:p w14:paraId="695DC0E2" w14:textId="77777777" w:rsidR="002F44B7" w:rsidRPr="00296CA4" w:rsidRDefault="002F44B7" w:rsidP="00D94493">
      <w:pPr>
        <w:pStyle w:val="Textpoznmkypodiarou"/>
        <w:rPr>
          <w:rFonts w:ascii="Times New Roman" w:hAnsi="Times New Roman"/>
          <w:sz w:val="16"/>
          <w:szCs w:val="16"/>
        </w:rPr>
      </w:pPr>
      <w:r w:rsidRPr="00296CA4">
        <w:rPr>
          <w:rFonts w:ascii="Times New Roman" w:hAnsi="Times New Roman"/>
          <w:sz w:val="16"/>
          <w:szCs w:val="16"/>
          <w:vertAlign w:val="superscript"/>
        </w:rPr>
        <w:footnoteRef/>
      </w:r>
      <w:r w:rsidRPr="00296CA4">
        <w:rPr>
          <w:rFonts w:ascii="Times New Roman" w:hAnsi="Times New Roman"/>
          <w:sz w:val="16"/>
          <w:szCs w:val="16"/>
          <w:vertAlign w:val="superscript"/>
        </w:rPr>
        <w:t xml:space="preserve"> </w:t>
      </w:r>
      <w:r w:rsidRPr="00296CA4">
        <w:rPr>
          <w:rFonts w:ascii="Times New Roman" w:hAnsi="Times New Roman"/>
          <w:sz w:val="16"/>
          <w:szCs w:val="16"/>
        </w:rPr>
        <w:t xml:space="preserve">Legislatívny proces tu: </w:t>
      </w:r>
      <w:hyperlink r:id="rId2" w:history="1">
        <w:r w:rsidRPr="00296CA4">
          <w:rPr>
            <w:rStyle w:val="Hypertextovprepojenie"/>
            <w:rFonts w:ascii="Times New Roman" w:hAnsi="Times New Roman"/>
            <w:sz w:val="16"/>
            <w:szCs w:val="16"/>
          </w:rPr>
          <w:t>https://www.nrsr.sk/web/Default.aspx?sid=zakony/zakon&amp;MasterID=8671</w:t>
        </w:r>
      </w:hyperlink>
    </w:p>
  </w:footnote>
  <w:footnote w:id="23">
    <w:p w14:paraId="4CBD9310" w14:textId="77777777" w:rsidR="002F44B7" w:rsidRPr="00072D48" w:rsidRDefault="002F44B7" w:rsidP="00D94493">
      <w:pPr>
        <w:pStyle w:val="Textpoznmkypodiarou"/>
        <w:rPr>
          <w:rFonts w:ascii="Times New Roman" w:hAnsi="Times New Roman"/>
          <w:sz w:val="16"/>
          <w:szCs w:val="16"/>
        </w:rPr>
      </w:pPr>
      <w:r w:rsidRPr="00072D48">
        <w:rPr>
          <w:rStyle w:val="Odkaznapoznmkupodiarou"/>
          <w:rFonts w:ascii="Times New Roman" w:hAnsi="Times New Roman"/>
          <w:sz w:val="16"/>
          <w:szCs w:val="16"/>
        </w:rPr>
        <w:footnoteRef/>
      </w:r>
      <w:r w:rsidRPr="00072D48">
        <w:rPr>
          <w:rFonts w:ascii="Times New Roman" w:hAnsi="Times New Roman"/>
          <w:sz w:val="16"/>
          <w:szCs w:val="16"/>
        </w:rPr>
        <w:t xml:space="preserve"> Pracujúci dôchodcovia budú môcť odvádzať príspevky do 2. piliera zo svojho vymeriavacieho základu na dôchodkové poistenie. </w:t>
      </w:r>
    </w:p>
  </w:footnote>
  <w:footnote w:id="24">
    <w:p w14:paraId="1FBFBB69" w14:textId="77777777" w:rsidR="002F44B7" w:rsidRPr="00072D48" w:rsidRDefault="002F44B7" w:rsidP="00D94493">
      <w:pPr>
        <w:pStyle w:val="Textpoznmkypodiarou"/>
        <w:rPr>
          <w:rFonts w:ascii="Times New Roman" w:hAnsi="Times New Roman"/>
          <w:sz w:val="16"/>
          <w:szCs w:val="16"/>
        </w:rPr>
      </w:pPr>
      <w:r w:rsidRPr="00072D48">
        <w:rPr>
          <w:rStyle w:val="Odkaznapoznmkupodiarou"/>
          <w:rFonts w:ascii="Times New Roman" w:hAnsi="Times New Roman"/>
          <w:sz w:val="16"/>
          <w:szCs w:val="16"/>
        </w:rPr>
        <w:footnoteRef/>
      </w:r>
      <w:r w:rsidRPr="00072D48">
        <w:rPr>
          <w:rFonts w:ascii="Times New Roman" w:hAnsi="Times New Roman"/>
          <w:sz w:val="16"/>
          <w:szCs w:val="16"/>
        </w:rPr>
        <w:t xml:space="preserve"> Návrh ruší poplatok za vedenie dôchodkového účtu a poplatok za zhodnotenie, naopak maximálny poplatok za správu dôchodkového fondu sa zvyšuje z 0,3% na 0,45% priemernej ročnej čistej hodnoty majetku v dôchodkovom fonde v roku 2023, následne 0,425% v roku 2024 a 0,4% pre nasledujúce obdobie.</w:t>
      </w:r>
    </w:p>
  </w:footnote>
  <w:footnote w:id="25">
    <w:p w14:paraId="19856285" w14:textId="77777777" w:rsidR="002F44B7" w:rsidRPr="00072D48" w:rsidRDefault="002F44B7" w:rsidP="00D94493">
      <w:pPr>
        <w:pStyle w:val="Textpoznmkypodiarou"/>
        <w:jc w:val="both"/>
        <w:rPr>
          <w:rFonts w:ascii="Times New Roman" w:hAnsi="Times New Roman"/>
          <w:sz w:val="16"/>
          <w:szCs w:val="16"/>
        </w:rPr>
      </w:pPr>
      <w:r w:rsidRPr="00072D48">
        <w:rPr>
          <w:rStyle w:val="Odkaznapoznmkupodiarou"/>
          <w:rFonts w:ascii="Times New Roman" w:hAnsi="Times New Roman"/>
          <w:sz w:val="16"/>
          <w:szCs w:val="16"/>
        </w:rPr>
        <w:footnoteRef/>
      </w:r>
      <w:r w:rsidRPr="00072D48">
        <w:rPr>
          <w:rFonts w:ascii="Times New Roman" w:hAnsi="Times New Roman"/>
          <w:sz w:val="16"/>
          <w:szCs w:val="16"/>
        </w:rPr>
        <w:t xml:space="preserve"> </w:t>
      </w:r>
      <w:hyperlink r:id="rId3" w:history="1">
        <w:r w:rsidRPr="00072D48">
          <w:rPr>
            <w:rStyle w:val="Hypertextovprepojenie"/>
            <w:rFonts w:ascii="Times New Roman" w:hAnsi="Times New Roman"/>
            <w:sz w:val="16"/>
            <w:szCs w:val="16"/>
          </w:rPr>
          <w:t>https://www.mfsr.sk/sk/financie/institut-financnej-politiky/ekonomicke-prognozy/danove-prognozy/danove-prognozy.html</w:t>
        </w:r>
      </w:hyperlink>
      <w:r w:rsidRPr="00072D48">
        <w:rPr>
          <w:rFonts w:ascii="Times New Roman" w:hAnsi="Times New Roman"/>
          <w:sz w:val="16"/>
          <w:szCs w:val="16"/>
        </w:rPr>
        <w:t xml:space="preserve"> </w:t>
      </w:r>
    </w:p>
  </w:footnote>
  <w:footnote w:id="26">
    <w:p w14:paraId="6CC3A366" w14:textId="77777777" w:rsidR="002F44B7" w:rsidRPr="00296CA4" w:rsidRDefault="002F44B7" w:rsidP="00BD3539">
      <w:pPr>
        <w:pStyle w:val="Textpoznmkypodiarou"/>
        <w:jc w:val="both"/>
        <w:rPr>
          <w:rStyle w:val="Odkaznapoznmkupodiarou"/>
          <w:rFonts w:ascii="Times New Roman" w:hAnsi="Times New Roman"/>
          <w:sz w:val="16"/>
          <w:szCs w:val="16"/>
          <w:vertAlign w:val="baseline"/>
        </w:rPr>
      </w:pPr>
      <w:r w:rsidRPr="00296CA4">
        <w:rPr>
          <w:rStyle w:val="Odkaznapoznmkupodiarou"/>
          <w:rFonts w:ascii="Times New Roman" w:hAnsi="Times New Roman"/>
          <w:sz w:val="16"/>
          <w:szCs w:val="16"/>
          <w:vertAlign w:val="baseline"/>
        </w:rPr>
        <w:footnoteRef/>
      </w:r>
      <w:r w:rsidRPr="00296CA4">
        <w:rPr>
          <w:rStyle w:val="Odkaznapoznmkupodiarou"/>
          <w:rFonts w:ascii="Times New Roman" w:hAnsi="Times New Roman"/>
          <w:sz w:val="16"/>
          <w:szCs w:val="16"/>
          <w:vertAlign w:val="baseline"/>
        </w:rPr>
        <w:t xml:space="preserve"> Systém obchodovania s emisnými povolenkami obsahuje možnosť stiahnuť určitý objem emisných kvót do tzv. tržnej rezervy (</w:t>
      </w:r>
      <w:proofErr w:type="spellStart"/>
      <w:r w:rsidRPr="00296CA4">
        <w:rPr>
          <w:rFonts w:ascii="Times New Roman" w:hAnsi="Times New Roman"/>
          <w:sz w:val="16"/>
          <w:szCs w:val="16"/>
        </w:rPr>
        <w:t>M</w:t>
      </w:r>
      <w:r w:rsidRPr="00296CA4">
        <w:rPr>
          <w:rStyle w:val="Odkaznapoznmkupodiarou"/>
          <w:rFonts w:ascii="Times New Roman" w:hAnsi="Times New Roman"/>
          <w:sz w:val="16"/>
          <w:szCs w:val="16"/>
          <w:vertAlign w:val="baseline"/>
        </w:rPr>
        <w:t>arket</w:t>
      </w:r>
      <w:proofErr w:type="spellEnd"/>
      <w:r w:rsidRPr="00296CA4">
        <w:rPr>
          <w:rStyle w:val="Odkaznapoznmkupodiarou"/>
          <w:rFonts w:ascii="Times New Roman" w:hAnsi="Times New Roman"/>
          <w:sz w:val="16"/>
          <w:szCs w:val="16"/>
          <w:vertAlign w:val="baseline"/>
        </w:rPr>
        <w:t xml:space="preserve"> </w:t>
      </w:r>
      <w:r w:rsidRPr="00296CA4">
        <w:rPr>
          <w:rFonts w:ascii="Times New Roman" w:hAnsi="Times New Roman"/>
          <w:sz w:val="16"/>
          <w:szCs w:val="16"/>
        </w:rPr>
        <w:t>S</w:t>
      </w:r>
      <w:r w:rsidRPr="00296CA4">
        <w:rPr>
          <w:rStyle w:val="Odkaznapoznmkupodiarou"/>
          <w:rFonts w:ascii="Times New Roman" w:hAnsi="Times New Roman"/>
          <w:sz w:val="16"/>
          <w:szCs w:val="16"/>
          <w:vertAlign w:val="baseline"/>
        </w:rPr>
        <w:t xml:space="preserve">tability </w:t>
      </w:r>
      <w:proofErr w:type="spellStart"/>
      <w:r w:rsidRPr="00296CA4">
        <w:rPr>
          <w:rFonts w:ascii="Times New Roman" w:hAnsi="Times New Roman"/>
          <w:sz w:val="16"/>
          <w:szCs w:val="16"/>
        </w:rPr>
        <w:t>R</w:t>
      </w:r>
      <w:r w:rsidRPr="00296CA4">
        <w:rPr>
          <w:rStyle w:val="Odkaznapoznmkupodiarou"/>
          <w:rFonts w:ascii="Times New Roman" w:hAnsi="Times New Roman"/>
          <w:sz w:val="16"/>
          <w:szCs w:val="16"/>
          <w:vertAlign w:val="baseline"/>
        </w:rPr>
        <w:t>eserve</w:t>
      </w:r>
      <w:proofErr w:type="spellEnd"/>
      <w:r w:rsidRPr="00296CA4">
        <w:rPr>
          <w:rStyle w:val="Odkaznapoznmkupodiarou"/>
          <w:rFonts w:ascii="Times New Roman" w:hAnsi="Times New Roman"/>
          <w:sz w:val="16"/>
          <w:szCs w:val="16"/>
          <w:vertAlign w:val="baseline"/>
        </w:rPr>
        <w:t>). Ide o nástroj pre dosiahnutie cien emisných povoleniek, zvyšujúcich motivácie firiem k znižovaniu emisií v súlade s emisnými cieľmi Európskej komisie.</w:t>
      </w:r>
    </w:p>
  </w:footnote>
  <w:footnote w:id="27">
    <w:p w14:paraId="286060CA" w14:textId="77777777" w:rsidR="002F44B7" w:rsidRPr="002C6A5F" w:rsidRDefault="002F44B7" w:rsidP="00BD3539">
      <w:pPr>
        <w:pStyle w:val="Textpoznmkypodiarou"/>
        <w:jc w:val="both"/>
        <w:rPr>
          <w:rStyle w:val="Odkaznapoznmkupodiarou"/>
          <w:rFonts w:ascii="Times New Roman" w:hAnsi="Times New Roman"/>
          <w:sz w:val="18"/>
          <w:szCs w:val="16"/>
        </w:rPr>
      </w:pPr>
      <w:r w:rsidRPr="00296CA4">
        <w:rPr>
          <w:rStyle w:val="Odkaznapoznmkupodiarou"/>
          <w:rFonts w:ascii="Times New Roman" w:hAnsi="Times New Roman"/>
          <w:sz w:val="16"/>
          <w:szCs w:val="16"/>
          <w:vertAlign w:val="baseline"/>
        </w:rPr>
        <w:footnoteRef/>
      </w:r>
      <w:r w:rsidRPr="00296CA4">
        <w:rPr>
          <w:rStyle w:val="Odkaznapoznmkupodiarou"/>
          <w:rFonts w:ascii="Times New Roman" w:hAnsi="Times New Roman"/>
          <w:sz w:val="16"/>
          <w:szCs w:val="16"/>
          <w:vertAlign w:val="baseline"/>
        </w:rPr>
        <w:t xml:space="preserve"> Smernica EP a Rady (EÚ) 2023/959 z 10. mája 2023, ktorou sa mení smernica 2003/87/ES o vytvorení systému obchodovania s emisnými kvótami skleníkových plynov v EÚ</w:t>
      </w:r>
    </w:p>
  </w:footnote>
  <w:footnote w:id="28">
    <w:p w14:paraId="24419740" w14:textId="77777777" w:rsidR="002F44B7" w:rsidRPr="00181EC9" w:rsidRDefault="002F44B7" w:rsidP="00E64517">
      <w:pPr>
        <w:pStyle w:val="Textpoznmkypodiarou"/>
        <w:rPr>
          <w:rFonts w:ascii="Times New Roman" w:hAnsi="Times New Roman"/>
          <w:sz w:val="16"/>
        </w:rPr>
      </w:pPr>
      <w:r w:rsidRPr="00181EC9">
        <w:rPr>
          <w:rStyle w:val="Odkaznapoznmkupodiarou"/>
          <w:rFonts w:ascii="Times New Roman" w:hAnsi="Times New Roman"/>
          <w:sz w:val="16"/>
        </w:rPr>
        <w:footnoteRef/>
      </w:r>
      <w:r w:rsidRPr="00181EC9">
        <w:rPr>
          <w:rFonts w:ascii="Times New Roman" w:hAnsi="Times New Roman"/>
          <w:sz w:val="16"/>
        </w:rPr>
        <w:t xml:space="preserve"> Železnice SR, Železničná spoločnosť Slovensko, a. s. a Národná diaľničná spoločnosť, a. s.</w:t>
      </w:r>
    </w:p>
  </w:footnote>
  <w:footnote w:id="29">
    <w:p w14:paraId="6A8BF69B" w14:textId="7A159D58" w:rsidR="002F44B7" w:rsidRPr="006C30CD" w:rsidRDefault="002F44B7" w:rsidP="006C30CD">
      <w:pPr>
        <w:pStyle w:val="Textpoznmkypodiarou"/>
        <w:ind w:left="113" w:hanging="113"/>
        <w:jc w:val="both"/>
        <w:rPr>
          <w:rFonts w:ascii="Times New Roman" w:hAnsi="Times New Roman"/>
          <w:sz w:val="16"/>
          <w:szCs w:val="16"/>
        </w:rPr>
      </w:pPr>
      <w:r w:rsidRPr="006C30CD">
        <w:rPr>
          <w:rStyle w:val="Odkaznapoznmkupodiarou"/>
          <w:rFonts w:ascii="Times New Roman" w:hAnsi="Times New Roman"/>
          <w:sz w:val="16"/>
          <w:szCs w:val="16"/>
        </w:rPr>
        <w:footnoteRef/>
      </w:r>
      <w:r>
        <w:rPr>
          <w:rFonts w:ascii="Times New Roman" w:hAnsi="Times New Roman"/>
          <w:sz w:val="16"/>
          <w:szCs w:val="16"/>
        </w:rPr>
        <w:t xml:space="preserve"> </w:t>
      </w:r>
      <w:r w:rsidRPr="006C30CD">
        <w:rPr>
          <w:rFonts w:ascii="Times New Roman" w:hAnsi="Times New Roman"/>
          <w:sz w:val="16"/>
          <w:szCs w:val="16"/>
        </w:rPr>
        <w:t xml:space="preserve">Manuál zverejňovania daňových výdavkov </w:t>
      </w:r>
      <w:r w:rsidRPr="006C30CD">
        <w:rPr>
          <w:rStyle w:val="Hypertextovprepojenie"/>
          <w:rFonts w:ascii="Times New Roman" w:hAnsi="Times New Roman"/>
          <w:sz w:val="16"/>
          <w:szCs w:val="16"/>
        </w:rPr>
        <w:t>https://finance.gov.sk/sk/financie/institut-financnej-politiky/publikacie-ifp/manualy/zverejnovanie-danovych-vydavkov.html</w:t>
      </w:r>
      <w:r w:rsidRPr="006C30CD">
        <w:rPr>
          <w:rFonts w:ascii="Times New Roman" w:hAnsi="Times New Roman"/>
          <w:sz w:val="16"/>
          <w:szCs w:val="16"/>
        </w:rPr>
        <w:t>.  Spôsob zverejňovania údajov o daňových výdavkov reflektuje aj odporúčania EK (viac v manuáli).</w:t>
      </w:r>
    </w:p>
  </w:footnote>
  <w:footnote w:id="30">
    <w:p w14:paraId="168090F2" w14:textId="77777777" w:rsidR="002F44B7" w:rsidRPr="007F6374" w:rsidRDefault="002F44B7" w:rsidP="00BD3539">
      <w:pPr>
        <w:pStyle w:val="Textpoznmkypodiarou"/>
        <w:ind w:left="113" w:hanging="113"/>
        <w:jc w:val="both"/>
        <w:rPr>
          <w:rFonts w:ascii="Times New Roman" w:hAnsi="Times New Roman"/>
          <w:sz w:val="16"/>
          <w:szCs w:val="16"/>
        </w:rPr>
      </w:pPr>
      <w:r w:rsidRPr="007F6374">
        <w:rPr>
          <w:rStyle w:val="Odkaznapoznmkupodiarou"/>
          <w:rFonts w:ascii="Times New Roman" w:hAnsi="Times New Roman"/>
          <w:sz w:val="16"/>
          <w:szCs w:val="16"/>
        </w:rPr>
        <w:footnoteRef/>
      </w:r>
      <w:r w:rsidRPr="007F6374">
        <w:rPr>
          <w:rFonts w:ascii="Times New Roman" w:hAnsi="Times New Roman"/>
          <w:sz w:val="16"/>
          <w:szCs w:val="16"/>
        </w:rPr>
        <w:t xml:space="preserve"> Príkladom daňového </w:t>
      </w:r>
      <w:proofErr w:type="spellStart"/>
      <w:r w:rsidRPr="007F6374">
        <w:rPr>
          <w:rFonts w:ascii="Times New Roman" w:hAnsi="Times New Roman"/>
          <w:sz w:val="16"/>
          <w:szCs w:val="16"/>
        </w:rPr>
        <w:t>benchmarku</w:t>
      </w:r>
      <w:proofErr w:type="spellEnd"/>
      <w:r w:rsidRPr="007F6374">
        <w:rPr>
          <w:rFonts w:ascii="Times New Roman" w:hAnsi="Times New Roman"/>
          <w:sz w:val="16"/>
          <w:szCs w:val="16"/>
        </w:rPr>
        <w:t xml:space="preserve"> v podobe štrukturálneho daňového výdavku je napríklad plnenie medzinárodných zmlúv v oblasti daní (zmluvy o zamedzení dvojitého zdanenia) alebo povinné oslobodenia od dane vyplývajúce z legislatívy v EÚ (najmä v nepriamych daniach).</w:t>
      </w:r>
    </w:p>
  </w:footnote>
  <w:footnote w:id="31">
    <w:p w14:paraId="5D455852" w14:textId="77777777" w:rsidR="002F44B7" w:rsidRPr="000B5DE9" w:rsidRDefault="002F44B7" w:rsidP="00BD3539">
      <w:pPr>
        <w:pStyle w:val="Textpoznmkypodiarou"/>
        <w:ind w:left="113" w:hanging="113"/>
        <w:jc w:val="both"/>
        <w:rPr>
          <w:sz w:val="16"/>
          <w:szCs w:val="16"/>
        </w:rPr>
      </w:pPr>
      <w:r w:rsidRPr="007F6374">
        <w:rPr>
          <w:rStyle w:val="Odkaznapoznmkupodiarou"/>
          <w:rFonts w:ascii="Times New Roman" w:hAnsi="Times New Roman"/>
          <w:sz w:val="16"/>
          <w:szCs w:val="16"/>
        </w:rPr>
        <w:footnoteRef/>
      </w:r>
      <w:r w:rsidRPr="007F6374">
        <w:rPr>
          <w:rFonts w:ascii="Times New Roman" w:hAnsi="Times New Roman"/>
          <w:sz w:val="16"/>
          <w:szCs w:val="16"/>
        </w:rPr>
        <w:t xml:space="preserve"> Nevyhnutnou podmienkou na identifikovanie daňového výdavku je splnenie prvých troch kritérií. Pre ilustráciu uvádzame príklad daňového výdavku, u ktorého nedochádza k selektívnosti. Ide o aplikáciu daňových odpisov. Rozdielna doba/sadzba daňových odpisov oproti účtovným odpisom sa považuje za štrukturálny daňový výdavok, je súčasťou </w:t>
      </w:r>
      <w:proofErr w:type="spellStart"/>
      <w:r w:rsidRPr="007F6374">
        <w:rPr>
          <w:rFonts w:ascii="Times New Roman" w:hAnsi="Times New Roman"/>
          <w:sz w:val="16"/>
          <w:szCs w:val="16"/>
        </w:rPr>
        <w:t>benchmarku</w:t>
      </w:r>
      <w:proofErr w:type="spellEnd"/>
      <w:r w:rsidRPr="007F6374">
        <w:rPr>
          <w:rFonts w:ascii="Times New Roman" w:hAnsi="Times New Roman"/>
          <w:sz w:val="16"/>
          <w:szCs w:val="16"/>
        </w:rPr>
        <w:t>. Umožnenie zrýchleného odpisovania ešte nad rámec daňových odpisov v daňovom zákone sa však už považuje za daňový výdavok. Ide však o neselektívne zvýhodnenie odpisovania pre všetkých nad rámec základnej línie odpisovania majetku v zákone, za účelom podpory investícií do hmotného majetku.</w:t>
      </w:r>
      <w:r w:rsidRPr="000B5DE9">
        <w:rPr>
          <w:sz w:val="16"/>
          <w:szCs w:val="16"/>
        </w:rPr>
        <w:t xml:space="preserve">   </w:t>
      </w:r>
    </w:p>
  </w:footnote>
  <w:footnote w:id="32">
    <w:p w14:paraId="485A3BC6" w14:textId="77777777" w:rsidR="002F44B7" w:rsidRPr="007F6374" w:rsidRDefault="002F44B7" w:rsidP="00BD3539">
      <w:pPr>
        <w:pStyle w:val="Textpoznmkypodiarou"/>
        <w:ind w:left="113" w:hanging="113"/>
        <w:jc w:val="both"/>
        <w:rPr>
          <w:rFonts w:ascii="Times New Roman" w:hAnsi="Times New Roman"/>
          <w:color w:val="FF0000"/>
          <w:sz w:val="16"/>
          <w:szCs w:val="16"/>
        </w:rPr>
      </w:pPr>
      <w:r w:rsidRPr="007F6374">
        <w:rPr>
          <w:rStyle w:val="Odkaznapoznmkupodiarou"/>
          <w:rFonts w:ascii="Times New Roman" w:hAnsi="Times New Roman"/>
          <w:sz w:val="16"/>
          <w:szCs w:val="16"/>
        </w:rPr>
        <w:footnoteRef/>
      </w:r>
      <w:r w:rsidRPr="007F6374">
        <w:rPr>
          <w:rFonts w:ascii="Times New Roman" w:hAnsi="Times New Roman"/>
          <w:sz w:val="16"/>
          <w:szCs w:val="16"/>
        </w:rPr>
        <w:t xml:space="preserve"> Subjekty verejnej správy sú povinné zostavovať svoj rozpočet najmenej na tri rozpočtové roky. Súčasťou návrhu rozpočtu je aj schválený rozpočet na bežný rozpočtový rok, údaje o očakávanej skutočnosti bežného rozpočtového roka a údaje o skutočnom plnení rozpočtu za predchádzajúce dva rozpočtové roky.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FC01D" w14:textId="77777777" w:rsidR="002F44B7" w:rsidRPr="00094104" w:rsidRDefault="002F44B7" w:rsidP="002F16B8">
    <w:pPr>
      <w:pStyle w:val="Hlavika"/>
      <w:jc w:val="right"/>
      <w:rPr>
        <w:b/>
      </w:rPr>
    </w:pPr>
    <w:r>
      <w:rPr>
        <w:noProof/>
        <w:lang w:eastAsia="sk-SK"/>
      </w:rPr>
      <w:drawing>
        <wp:anchor distT="0" distB="0" distL="114300" distR="114300" simplePos="0" relativeHeight="251659264" behindDoc="0" locked="0" layoutInCell="1" allowOverlap="1" wp14:anchorId="70ABF1EE" wp14:editId="0F6D3592">
          <wp:simplePos x="0" y="0"/>
          <wp:positionH relativeFrom="margin">
            <wp:posOffset>-75565</wp:posOffset>
          </wp:positionH>
          <wp:positionV relativeFrom="paragraph">
            <wp:posOffset>-212024</wp:posOffset>
          </wp:positionV>
          <wp:extent cx="1575435" cy="533400"/>
          <wp:effectExtent l="0" t="0" r="1905"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57543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Pr="00094104">
      <w:rPr>
        <w:rFonts w:ascii="Times New Roman" w:hAnsi="Times New Roman"/>
        <w:b/>
        <w:color w:val="595959" w:themeColor="text1" w:themeTint="A6"/>
        <w:sz w:val="20"/>
      </w:rPr>
      <w:t xml:space="preserve">Návrh rozpočtu verejnej správy </w:t>
    </w:r>
    <w:r w:rsidRPr="00094104">
      <w:rPr>
        <w:rFonts w:ascii="Times New Roman" w:hAnsi="Times New Roman"/>
        <w:b/>
        <w:color w:val="808080" w:themeColor="background1" w:themeShade="80"/>
        <w:sz w:val="20"/>
      </w:rPr>
      <w:br/>
    </w:r>
  </w:p>
  <w:p w14:paraId="0329FA2C" w14:textId="77777777" w:rsidR="002F44B7" w:rsidRDefault="002F44B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E76A5D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3DC5BF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8E4B74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434981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89ED5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0A2D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4D073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3AB5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500461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9D226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93E8B"/>
    <w:multiLevelType w:val="hybridMultilevel"/>
    <w:tmpl w:val="56160158"/>
    <w:lvl w:ilvl="0" w:tplc="26BAFF22">
      <w:start w:val="1"/>
      <w:numFmt w:val="lowerLetter"/>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AE06BF"/>
    <w:multiLevelType w:val="hybridMultilevel"/>
    <w:tmpl w:val="F7841298"/>
    <w:lvl w:ilvl="0" w:tplc="60B6C40E">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F0B43E2"/>
    <w:multiLevelType w:val="hybridMultilevel"/>
    <w:tmpl w:val="87C27C88"/>
    <w:lvl w:ilvl="0" w:tplc="099037A8">
      <w:start w:val="1"/>
      <w:numFmt w:val="decimal"/>
      <w:lvlText w:val="%1."/>
      <w:lvlJc w:val="left"/>
      <w:pPr>
        <w:ind w:left="1434" w:hanging="360"/>
      </w:pPr>
      <w:rPr>
        <w:rFonts w:cs="Times New Roman"/>
        <w:b/>
      </w:rPr>
    </w:lvl>
    <w:lvl w:ilvl="1" w:tplc="04090019" w:tentative="1">
      <w:start w:val="1"/>
      <w:numFmt w:val="lowerLetter"/>
      <w:lvlText w:val="%2."/>
      <w:lvlJc w:val="left"/>
      <w:pPr>
        <w:ind w:left="2154" w:hanging="360"/>
      </w:pPr>
      <w:rPr>
        <w:rFonts w:cs="Times New Roman"/>
      </w:rPr>
    </w:lvl>
    <w:lvl w:ilvl="2" w:tplc="0409001B" w:tentative="1">
      <w:start w:val="1"/>
      <w:numFmt w:val="lowerRoman"/>
      <w:lvlText w:val="%3."/>
      <w:lvlJc w:val="right"/>
      <w:pPr>
        <w:ind w:left="2874" w:hanging="180"/>
      </w:pPr>
      <w:rPr>
        <w:rFonts w:cs="Times New Roman"/>
      </w:rPr>
    </w:lvl>
    <w:lvl w:ilvl="3" w:tplc="0409000F" w:tentative="1">
      <w:start w:val="1"/>
      <w:numFmt w:val="decimal"/>
      <w:lvlText w:val="%4."/>
      <w:lvlJc w:val="left"/>
      <w:pPr>
        <w:ind w:left="3594" w:hanging="360"/>
      </w:pPr>
      <w:rPr>
        <w:rFonts w:cs="Times New Roman"/>
      </w:rPr>
    </w:lvl>
    <w:lvl w:ilvl="4" w:tplc="04090019" w:tentative="1">
      <w:start w:val="1"/>
      <w:numFmt w:val="lowerLetter"/>
      <w:lvlText w:val="%5."/>
      <w:lvlJc w:val="left"/>
      <w:pPr>
        <w:ind w:left="4314" w:hanging="360"/>
      </w:pPr>
      <w:rPr>
        <w:rFonts w:cs="Times New Roman"/>
      </w:rPr>
    </w:lvl>
    <w:lvl w:ilvl="5" w:tplc="0409001B" w:tentative="1">
      <w:start w:val="1"/>
      <w:numFmt w:val="lowerRoman"/>
      <w:lvlText w:val="%6."/>
      <w:lvlJc w:val="right"/>
      <w:pPr>
        <w:ind w:left="5034" w:hanging="180"/>
      </w:pPr>
      <w:rPr>
        <w:rFonts w:cs="Times New Roman"/>
      </w:rPr>
    </w:lvl>
    <w:lvl w:ilvl="6" w:tplc="0409000F" w:tentative="1">
      <w:start w:val="1"/>
      <w:numFmt w:val="decimal"/>
      <w:lvlText w:val="%7."/>
      <w:lvlJc w:val="left"/>
      <w:pPr>
        <w:ind w:left="5754" w:hanging="360"/>
      </w:pPr>
      <w:rPr>
        <w:rFonts w:cs="Times New Roman"/>
      </w:rPr>
    </w:lvl>
    <w:lvl w:ilvl="7" w:tplc="04090019" w:tentative="1">
      <w:start w:val="1"/>
      <w:numFmt w:val="lowerLetter"/>
      <w:lvlText w:val="%8."/>
      <w:lvlJc w:val="left"/>
      <w:pPr>
        <w:ind w:left="6474" w:hanging="360"/>
      </w:pPr>
      <w:rPr>
        <w:rFonts w:cs="Times New Roman"/>
      </w:rPr>
    </w:lvl>
    <w:lvl w:ilvl="8" w:tplc="0409001B" w:tentative="1">
      <w:start w:val="1"/>
      <w:numFmt w:val="lowerRoman"/>
      <w:lvlText w:val="%9."/>
      <w:lvlJc w:val="right"/>
      <w:pPr>
        <w:ind w:left="7194" w:hanging="180"/>
      </w:pPr>
      <w:rPr>
        <w:rFonts w:cs="Times New Roman"/>
      </w:rPr>
    </w:lvl>
  </w:abstractNum>
  <w:abstractNum w:abstractNumId="13" w15:restartNumberingAfterBreak="0">
    <w:nsid w:val="0FFE3F50"/>
    <w:multiLevelType w:val="hybridMultilevel"/>
    <w:tmpl w:val="9E9C56D8"/>
    <w:lvl w:ilvl="0" w:tplc="041B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3E5245"/>
    <w:multiLevelType w:val="hybridMultilevel"/>
    <w:tmpl w:val="1DCC8E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7A42F97"/>
    <w:multiLevelType w:val="hybridMultilevel"/>
    <w:tmpl w:val="5AD28298"/>
    <w:lvl w:ilvl="0" w:tplc="E41A4FD0">
      <w:start w:val="15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88439A9"/>
    <w:multiLevelType w:val="hybridMultilevel"/>
    <w:tmpl w:val="BEDA2A64"/>
    <w:lvl w:ilvl="0" w:tplc="381AC794">
      <w:start w:val="1"/>
      <w:numFmt w:val="bullet"/>
      <w:lvlText w:val=""/>
      <w:lvlJc w:val="left"/>
      <w:pPr>
        <w:ind w:left="360" w:hanging="360"/>
      </w:pPr>
      <w:rPr>
        <w:rFonts w:ascii="Wingdings" w:hAnsi="Wingdings" w:hint="default"/>
        <w:color w:val="2C9ADC"/>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9FC019A"/>
    <w:multiLevelType w:val="multilevel"/>
    <w:tmpl w:val="401AA996"/>
    <w:styleLink w:val="List172"/>
    <w:lvl w:ilvl="0">
      <w:numFmt w:val="bullet"/>
      <w:lvlText w:val="•"/>
      <w:lvlJc w:val="left"/>
      <w:rPr>
        <w:rFonts w:ascii="Arial Narrow" w:eastAsia="Arial Narrow" w:hAnsi="Arial Narrow" w:cs="Arial Narrow"/>
        <w:b/>
        <w:bCs/>
        <w:position w:val="0"/>
        <w:shd w:val="clear" w:color="auto" w:fill="FFFFFF"/>
      </w:rPr>
    </w:lvl>
    <w:lvl w:ilvl="1">
      <w:start w:val="1"/>
      <w:numFmt w:val="bullet"/>
      <w:lvlText w:val="o"/>
      <w:lvlJc w:val="left"/>
      <w:rPr>
        <w:rFonts w:ascii="Arial Narrow" w:eastAsia="Arial Narrow" w:hAnsi="Arial Narrow" w:cs="Arial Narrow"/>
        <w:b/>
        <w:bCs/>
        <w:position w:val="0"/>
        <w:shd w:val="clear" w:color="auto" w:fill="FFFFFF"/>
      </w:rPr>
    </w:lvl>
    <w:lvl w:ilvl="2">
      <w:start w:val="1"/>
      <w:numFmt w:val="bullet"/>
      <w:lvlText w:val="▪"/>
      <w:lvlJc w:val="left"/>
      <w:rPr>
        <w:rFonts w:ascii="Arial Narrow" w:eastAsia="Arial Narrow" w:hAnsi="Arial Narrow" w:cs="Arial Narrow"/>
        <w:b/>
        <w:bCs/>
        <w:position w:val="0"/>
        <w:shd w:val="clear" w:color="auto" w:fill="FFFFFF"/>
      </w:rPr>
    </w:lvl>
    <w:lvl w:ilvl="3">
      <w:start w:val="1"/>
      <w:numFmt w:val="bullet"/>
      <w:lvlText w:val="•"/>
      <w:lvlJc w:val="left"/>
      <w:rPr>
        <w:rFonts w:ascii="Arial Narrow" w:eastAsia="Arial Narrow" w:hAnsi="Arial Narrow" w:cs="Arial Narrow"/>
        <w:b/>
        <w:bCs/>
        <w:position w:val="0"/>
        <w:shd w:val="clear" w:color="auto" w:fill="FFFFFF"/>
      </w:rPr>
    </w:lvl>
    <w:lvl w:ilvl="4">
      <w:start w:val="1"/>
      <w:numFmt w:val="bullet"/>
      <w:lvlText w:val="o"/>
      <w:lvlJc w:val="left"/>
      <w:rPr>
        <w:rFonts w:ascii="Arial Narrow" w:eastAsia="Arial Narrow" w:hAnsi="Arial Narrow" w:cs="Arial Narrow"/>
        <w:b/>
        <w:bCs/>
        <w:position w:val="0"/>
        <w:shd w:val="clear" w:color="auto" w:fill="FFFFFF"/>
      </w:rPr>
    </w:lvl>
    <w:lvl w:ilvl="5">
      <w:start w:val="1"/>
      <w:numFmt w:val="bullet"/>
      <w:lvlText w:val="▪"/>
      <w:lvlJc w:val="left"/>
      <w:rPr>
        <w:rFonts w:ascii="Arial Narrow" w:eastAsia="Arial Narrow" w:hAnsi="Arial Narrow" w:cs="Arial Narrow"/>
        <w:b/>
        <w:bCs/>
        <w:position w:val="0"/>
        <w:shd w:val="clear" w:color="auto" w:fill="FFFFFF"/>
      </w:rPr>
    </w:lvl>
    <w:lvl w:ilvl="6">
      <w:start w:val="1"/>
      <w:numFmt w:val="bullet"/>
      <w:lvlText w:val="•"/>
      <w:lvlJc w:val="left"/>
      <w:rPr>
        <w:rFonts w:ascii="Arial Narrow" w:eastAsia="Arial Narrow" w:hAnsi="Arial Narrow" w:cs="Arial Narrow"/>
        <w:b/>
        <w:bCs/>
        <w:position w:val="0"/>
        <w:shd w:val="clear" w:color="auto" w:fill="FFFFFF"/>
      </w:rPr>
    </w:lvl>
    <w:lvl w:ilvl="7">
      <w:start w:val="1"/>
      <w:numFmt w:val="bullet"/>
      <w:lvlText w:val="o"/>
      <w:lvlJc w:val="left"/>
      <w:rPr>
        <w:rFonts w:ascii="Arial Narrow" w:eastAsia="Arial Narrow" w:hAnsi="Arial Narrow" w:cs="Arial Narrow"/>
        <w:b/>
        <w:bCs/>
        <w:position w:val="0"/>
        <w:shd w:val="clear" w:color="auto" w:fill="FFFFFF"/>
      </w:rPr>
    </w:lvl>
    <w:lvl w:ilvl="8">
      <w:start w:val="1"/>
      <w:numFmt w:val="bullet"/>
      <w:lvlText w:val="▪"/>
      <w:lvlJc w:val="left"/>
      <w:rPr>
        <w:rFonts w:ascii="Arial Narrow" w:eastAsia="Arial Narrow" w:hAnsi="Arial Narrow" w:cs="Arial Narrow"/>
        <w:b/>
        <w:bCs/>
        <w:position w:val="0"/>
        <w:shd w:val="clear" w:color="auto" w:fill="FFFFFF"/>
      </w:rPr>
    </w:lvl>
  </w:abstractNum>
  <w:abstractNum w:abstractNumId="18" w15:restartNumberingAfterBreak="0">
    <w:nsid w:val="214500E3"/>
    <w:multiLevelType w:val="hybridMultilevel"/>
    <w:tmpl w:val="E8546612"/>
    <w:lvl w:ilvl="0" w:tplc="93C0B344">
      <w:numFmt w:val="bullet"/>
      <w:lvlText w:val="-"/>
      <w:lvlJc w:val="left"/>
      <w:pPr>
        <w:ind w:left="361" w:hanging="360"/>
      </w:pPr>
      <w:rPr>
        <w:rFonts w:ascii="Times New Roman" w:eastAsia="Calibri" w:hAnsi="Times New Roman" w:cs="Times New Roman" w:hint="default"/>
      </w:rPr>
    </w:lvl>
    <w:lvl w:ilvl="1" w:tplc="041B0003" w:tentative="1">
      <w:start w:val="1"/>
      <w:numFmt w:val="bullet"/>
      <w:lvlText w:val="o"/>
      <w:lvlJc w:val="left"/>
      <w:pPr>
        <w:ind w:left="1081" w:hanging="360"/>
      </w:pPr>
      <w:rPr>
        <w:rFonts w:ascii="Courier New" w:hAnsi="Courier New" w:cs="Courier New" w:hint="default"/>
      </w:rPr>
    </w:lvl>
    <w:lvl w:ilvl="2" w:tplc="041B0005" w:tentative="1">
      <w:start w:val="1"/>
      <w:numFmt w:val="bullet"/>
      <w:lvlText w:val=""/>
      <w:lvlJc w:val="left"/>
      <w:pPr>
        <w:ind w:left="1801" w:hanging="360"/>
      </w:pPr>
      <w:rPr>
        <w:rFonts w:ascii="Wingdings" w:hAnsi="Wingdings" w:hint="default"/>
      </w:rPr>
    </w:lvl>
    <w:lvl w:ilvl="3" w:tplc="041B0001" w:tentative="1">
      <w:start w:val="1"/>
      <w:numFmt w:val="bullet"/>
      <w:lvlText w:val=""/>
      <w:lvlJc w:val="left"/>
      <w:pPr>
        <w:ind w:left="2521" w:hanging="360"/>
      </w:pPr>
      <w:rPr>
        <w:rFonts w:ascii="Symbol" w:hAnsi="Symbol" w:hint="default"/>
      </w:rPr>
    </w:lvl>
    <w:lvl w:ilvl="4" w:tplc="041B0003" w:tentative="1">
      <w:start w:val="1"/>
      <w:numFmt w:val="bullet"/>
      <w:lvlText w:val="o"/>
      <w:lvlJc w:val="left"/>
      <w:pPr>
        <w:ind w:left="3241" w:hanging="360"/>
      </w:pPr>
      <w:rPr>
        <w:rFonts w:ascii="Courier New" w:hAnsi="Courier New" w:cs="Courier New" w:hint="default"/>
      </w:rPr>
    </w:lvl>
    <w:lvl w:ilvl="5" w:tplc="041B0005" w:tentative="1">
      <w:start w:val="1"/>
      <w:numFmt w:val="bullet"/>
      <w:lvlText w:val=""/>
      <w:lvlJc w:val="left"/>
      <w:pPr>
        <w:ind w:left="3961" w:hanging="360"/>
      </w:pPr>
      <w:rPr>
        <w:rFonts w:ascii="Wingdings" w:hAnsi="Wingdings" w:hint="default"/>
      </w:rPr>
    </w:lvl>
    <w:lvl w:ilvl="6" w:tplc="041B0001" w:tentative="1">
      <w:start w:val="1"/>
      <w:numFmt w:val="bullet"/>
      <w:lvlText w:val=""/>
      <w:lvlJc w:val="left"/>
      <w:pPr>
        <w:ind w:left="4681" w:hanging="360"/>
      </w:pPr>
      <w:rPr>
        <w:rFonts w:ascii="Symbol" w:hAnsi="Symbol" w:hint="default"/>
      </w:rPr>
    </w:lvl>
    <w:lvl w:ilvl="7" w:tplc="041B0003" w:tentative="1">
      <w:start w:val="1"/>
      <w:numFmt w:val="bullet"/>
      <w:lvlText w:val="o"/>
      <w:lvlJc w:val="left"/>
      <w:pPr>
        <w:ind w:left="5401" w:hanging="360"/>
      </w:pPr>
      <w:rPr>
        <w:rFonts w:ascii="Courier New" w:hAnsi="Courier New" w:cs="Courier New" w:hint="default"/>
      </w:rPr>
    </w:lvl>
    <w:lvl w:ilvl="8" w:tplc="041B0005" w:tentative="1">
      <w:start w:val="1"/>
      <w:numFmt w:val="bullet"/>
      <w:lvlText w:val=""/>
      <w:lvlJc w:val="left"/>
      <w:pPr>
        <w:ind w:left="6121" w:hanging="360"/>
      </w:pPr>
      <w:rPr>
        <w:rFonts w:ascii="Wingdings" w:hAnsi="Wingdings" w:hint="default"/>
      </w:rPr>
    </w:lvl>
  </w:abstractNum>
  <w:abstractNum w:abstractNumId="19" w15:restartNumberingAfterBreak="0">
    <w:nsid w:val="21AD16D1"/>
    <w:multiLevelType w:val="hybridMultilevel"/>
    <w:tmpl w:val="0C2061E4"/>
    <w:lvl w:ilvl="0" w:tplc="4F5CD028">
      <w:start w:val="1"/>
      <w:numFmt w:val="decimalZero"/>
      <w:lvlText w:val="%1"/>
      <w:lvlJc w:val="left"/>
      <w:pPr>
        <w:ind w:left="540" w:hanging="420"/>
      </w:pPr>
      <w:rPr>
        <w:rFonts w:hint="default"/>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20" w15:restartNumberingAfterBreak="0">
    <w:nsid w:val="21FE509D"/>
    <w:multiLevelType w:val="multilevel"/>
    <w:tmpl w:val="6B0405C6"/>
    <w:lvl w:ilvl="0">
      <w:start w:val="1"/>
      <w:numFmt w:val="decimal"/>
      <w:lvlText w:val="%1."/>
      <w:lvlJc w:val="left"/>
      <w:pPr>
        <w:ind w:left="720" w:hanging="360"/>
      </w:pPr>
      <w:rPr>
        <w:rFonts w:hint="default"/>
        <w:i w:val="0"/>
        <w:color w:val="5B9BD5" w:themeColor="accent1"/>
      </w:rPr>
    </w:lvl>
    <w:lvl w:ilvl="1">
      <w:start w:val="1"/>
      <w:numFmt w:val="decimal"/>
      <w:isLgl/>
      <w:lvlText w:val="%1.%2."/>
      <w:lvlJc w:val="left"/>
      <w:pPr>
        <w:ind w:left="720" w:hanging="360"/>
      </w:pPr>
      <w:rPr>
        <w:rFonts w:hint="default"/>
        <w:color w:val="5B9BD5" w:themeColor="accent1"/>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64559AE"/>
    <w:multiLevelType w:val="hybridMultilevel"/>
    <w:tmpl w:val="43D46AB2"/>
    <w:lvl w:ilvl="0" w:tplc="212CDED6">
      <w:start w:val="1"/>
      <w:numFmt w:val="decimal"/>
      <w:lvlText w:val="%1."/>
      <w:lvlJc w:val="left"/>
      <w:pPr>
        <w:ind w:left="1434" w:hanging="360"/>
      </w:pPr>
      <w:rPr>
        <w:rFonts w:cs="Times New Roman" w:hint="default"/>
      </w:rPr>
    </w:lvl>
    <w:lvl w:ilvl="1" w:tplc="04090019" w:tentative="1">
      <w:start w:val="1"/>
      <w:numFmt w:val="lowerLetter"/>
      <w:lvlText w:val="%2."/>
      <w:lvlJc w:val="left"/>
      <w:pPr>
        <w:ind w:left="2154" w:hanging="360"/>
      </w:pPr>
      <w:rPr>
        <w:rFonts w:cs="Times New Roman"/>
      </w:rPr>
    </w:lvl>
    <w:lvl w:ilvl="2" w:tplc="0409001B" w:tentative="1">
      <w:start w:val="1"/>
      <w:numFmt w:val="lowerRoman"/>
      <w:lvlText w:val="%3."/>
      <w:lvlJc w:val="right"/>
      <w:pPr>
        <w:ind w:left="2874" w:hanging="180"/>
      </w:pPr>
      <w:rPr>
        <w:rFonts w:cs="Times New Roman"/>
      </w:rPr>
    </w:lvl>
    <w:lvl w:ilvl="3" w:tplc="0409000F" w:tentative="1">
      <w:start w:val="1"/>
      <w:numFmt w:val="decimal"/>
      <w:lvlText w:val="%4."/>
      <w:lvlJc w:val="left"/>
      <w:pPr>
        <w:ind w:left="3594" w:hanging="360"/>
      </w:pPr>
      <w:rPr>
        <w:rFonts w:cs="Times New Roman"/>
      </w:rPr>
    </w:lvl>
    <w:lvl w:ilvl="4" w:tplc="04090019" w:tentative="1">
      <w:start w:val="1"/>
      <w:numFmt w:val="lowerLetter"/>
      <w:lvlText w:val="%5."/>
      <w:lvlJc w:val="left"/>
      <w:pPr>
        <w:ind w:left="4314" w:hanging="360"/>
      </w:pPr>
      <w:rPr>
        <w:rFonts w:cs="Times New Roman"/>
      </w:rPr>
    </w:lvl>
    <w:lvl w:ilvl="5" w:tplc="0409001B" w:tentative="1">
      <w:start w:val="1"/>
      <w:numFmt w:val="lowerRoman"/>
      <w:lvlText w:val="%6."/>
      <w:lvlJc w:val="right"/>
      <w:pPr>
        <w:ind w:left="5034" w:hanging="180"/>
      </w:pPr>
      <w:rPr>
        <w:rFonts w:cs="Times New Roman"/>
      </w:rPr>
    </w:lvl>
    <w:lvl w:ilvl="6" w:tplc="0409000F" w:tentative="1">
      <w:start w:val="1"/>
      <w:numFmt w:val="decimal"/>
      <w:lvlText w:val="%7."/>
      <w:lvlJc w:val="left"/>
      <w:pPr>
        <w:ind w:left="5754" w:hanging="360"/>
      </w:pPr>
      <w:rPr>
        <w:rFonts w:cs="Times New Roman"/>
      </w:rPr>
    </w:lvl>
    <w:lvl w:ilvl="7" w:tplc="04090019" w:tentative="1">
      <w:start w:val="1"/>
      <w:numFmt w:val="lowerLetter"/>
      <w:lvlText w:val="%8."/>
      <w:lvlJc w:val="left"/>
      <w:pPr>
        <w:ind w:left="6474" w:hanging="360"/>
      </w:pPr>
      <w:rPr>
        <w:rFonts w:cs="Times New Roman"/>
      </w:rPr>
    </w:lvl>
    <w:lvl w:ilvl="8" w:tplc="0409001B" w:tentative="1">
      <w:start w:val="1"/>
      <w:numFmt w:val="lowerRoman"/>
      <w:lvlText w:val="%9."/>
      <w:lvlJc w:val="right"/>
      <w:pPr>
        <w:ind w:left="7194" w:hanging="180"/>
      </w:pPr>
      <w:rPr>
        <w:rFonts w:cs="Times New Roman"/>
      </w:rPr>
    </w:lvl>
  </w:abstractNum>
  <w:abstractNum w:abstractNumId="22" w15:restartNumberingAfterBreak="0">
    <w:nsid w:val="28267318"/>
    <w:multiLevelType w:val="multilevel"/>
    <w:tmpl w:val="86F29456"/>
    <w:styleLink w:val="List711"/>
    <w:lvl w:ilvl="0">
      <w:start w:val="1"/>
      <w:numFmt w:val="decimal"/>
      <w:lvlText w:val="%1."/>
      <w:lvlJc w:val="left"/>
      <w:rPr>
        <w:color w:val="000000"/>
        <w:position w:val="0"/>
        <w:u w:color="000000"/>
        <w:rtl w:val="0"/>
      </w:rPr>
    </w:lvl>
    <w:lvl w:ilvl="1">
      <w:numFmt w:val="bullet"/>
      <w:lvlText w:val="•"/>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23" w15:restartNumberingAfterBreak="0">
    <w:nsid w:val="28492FCE"/>
    <w:multiLevelType w:val="hybridMultilevel"/>
    <w:tmpl w:val="DBB2D5AA"/>
    <w:lvl w:ilvl="0" w:tplc="73F4EA58">
      <w:start w:val="1"/>
      <w:numFmt w:val="decimal"/>
      <w:lvlText w:val="%1."/>
      <w:lvlJc w:val="left"/>
      <w:pPr>
        <w:ind w:left="1434" w:hanging="360"/>
      </w:pPr>
      <w:rPr>
        <w:rFonts w:cs="Times New Roman"/>
        <w:b/>
        <w:i/>
      </w:rPr>
    </w:lvl>
    <w:lvl w:ilvl="1" w:tplc="04090019" w:tentative="1">
      <w:start w:val="1"/>
      <w:numFmt w:val="lowerLetter"/>
      <w:lvlText w:val="%2."/>
      <w:lvlJc w:val="left"/>
      <w:pPr>
        <w:ind w:left="2154" w:hanging="360"/>
      </w:pPr>
      <w:rPr>
        <w:rFonts w:cs="Times New Roman"/>
      </w:rPr>
    </w:lvl>
    <w:lvl w:ilvl="2" w:tplc="0409001B" w:tentative="1">
      <w:start w:val="1"/>
      <w:numFmt w:val="lowerRoman"/>
      <w:lvlText w:val="%3."/>
      <w:lvlJc w:val="right"/>
      <w:pPr>
        <w:ind w:left="2874" w:hanging="180"/>
      </w:pPr>
      <w:rPr>
        <w:rFonts w:cs="Times New Roman"/>
      </w:rPr>
    </w:lvl>
    <w:lvl w:ilvl="3" w:tplc="0409000F" w:tentative="1">
      <w:start w:val="1"/>
      <w:numFmt w:val="decimal"/>
      <w:lvlText w:val="%4."/>
      <w:lvlJc w:val="left"/>
      <w:pPr>
        <w:ind w:left="3594" w:hanging="360"/>
      </w:pPr>
      <w:rPr>
        <w:rFonts w:cs="Times New Roman"/>
      </w:rPr>
    </w:lvl>
    <w:lvl w:ilvl="4" w:tplc="04090019" w:tentative="1">
      <w:start w:val="1"/>
      <w:numFmt w:val="lowerLetter"/>
      <w:lvlText w:val="%5."/>
      <w:lvlJc w:val="left"/>
      <w:pPr>
        <w:ind w:left="4314" w:hanging="360"/>
      </w:pPr>
      <w:rPr>
        <w:rFonts w:cs="Times New Roman"/>
      </w:rPr>
    </w:lvl>
    <w:lvl w:ilvl="5" w:tplc="0409001B" w:tentative="1">
      <w:start w:val="1"/>
      <w:numFmt w:val="lowerRoman"/>
      <w:lvlText w:val="%6."/>
      <w:lvlJc w:val="right"/>
      <w:pPr>
        <w:ind w:left="5034" w:hanging="180"/>
      </w:pPr>
      <w:rPr>
        <w:rFonts w:cs="Times New Roman"/>
      </w:rPr>
    </w:lvl>
    <w:lvl w:ilvl="6" w:tplc="0409000F" w:tentative="1">
      <w:start w:val="1"/>
      <w:numFmt w:val="decimal"/>
      <w:lvlText w:val="%7."/>
      <w:lvlJc w:val="left"/>
      <w:pPr>
        <w:ind w:left="5754" w:hanging="360"/>
      </w:pPr>
      <w:rPr>
        <w:rFonts w:cs="Times New Roman"/>
      </w:rPr>
    </w:lvl>
    <w:lvl w:ilvl="7" w:tplc="04090019" w:tentative="1">
      <w:start w:val="1"/>
      <w:numFmt w:val="lowerLetter"/>
      <w:lvlText w:val="%8."/>
      <w:lvlJc w:val="left"/>
      <w:pPr>
        <w:ind w:left="6474" w:hanging="360"/>
      </w:pPr>
      <w:rPr>
        <w:rFonts w:cs="Times New Roman"/>
      </w:rPr>
    </w:lvl>
    <w:lvl w:ilvl="8" w:tplc="0409001B" w:tentative="1">
      <w:start w:val="1"/>
      <w:numFmt w:val="lowerRoman"/>
      <w:lvlText w:val="%9."/>
      <w:lvlJc w:val="right"/>
      <w:pPr>
        <w:ind w:left="7194" w:hanging="180"/>
      </w:pPr>
      <w:rPr>
        <w:rFonts w:cs="Times New Roman"/>
      </w:rPr>
    </w:lvl>
  </w:abstractNum>
  <w:abstractNum w:abstractNumId="24" w15:restartNumberingAfterBreak="0">
    <w:nsid w:val="2FC3162F"/>
    <w:multiLevelType w:val="multilevel"/>
    <w:tmpl w:val="5DCA65FE"/>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ascii="Times New Roman" w:hAnsi="Times New Roman" w:cs="Times New Roman"/>
        <w:b/>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b/>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5" w15:restartNumberingAfterBreak="0">
    <w:nsid w:val="300B5B7D"/>
    <w:multiLevelType w:val="hybridMultilevel"/>
    <w:tmpl w:val="5902153C"/>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B021A1"/>
    <w:multiLevelType w:val="hybridMultilevel"/>
    <w:tmpl w:val="87647AB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4276DE3"/>
    <w:multiLevelType w:val="hybridMultilevel"/>
    <w:tmpl w:val="FB101B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BCE1790"/>
    <w:multiLevelType w:val="hybridMultilevel"/>
    <w:tmpl w:val="55A4F21A"/>
    <w:lvl w:ilvl="0" w:tplc="041B0015">
      <w:start w:val="1"/>
      <w:numFmt w:val="upp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2A4BC4"/>
    <w:multiLevelType w:val="hybridMultilevel"/>
    <w:tmpl w:val="D20E0E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E8F4513"/>
    <w:multiLevelType w:val="hybridMultilevel"/>
    <w:tmpl w:val="96CC847A"/>
    <w:lvl w:ilvl="0" w:tplc="041B0001">
      <w:start w:val="558"/>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EAE66DC"/>
    <w:multiLevelType w:val="hybridMultilevel"/>
    <w:tmpl w:val="882C6366"/>
    <w:lvl w:ilvl="0" w:tplc="CC321F3E">
      <w:start w:val="1"/>
      <w:numFmt w:val="bullet"/>
      <w:lvlText w:val="-"/>
      <w:lvlJc w:val="left"/>
      <w:pPr>
        <w:ind w:left="7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94EB700">
      <w:start w:val="1"/>
      <w:numFmt w:val="bullet"/>
      <w:lvlText w:val="o"/>
      <w:lvlJc w:val="left"/>
      <w:pPr>
        <w:ind w:left="14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02CBF6C">
      <w:start w:val="1"/>
      <w:numFmt w:val="bullet"/>
      <w:lvlText w:val="▪"/>
      <w:lvlJc w:val="left"/>
      <w:pPr>
        <w:ind w:left="21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CBC4650">
      <w:start w:val="1"/>
      <w:numFmt w:val="bullet"/>
      <w:lvlText w:val="•"/>
      <w:lvlJc w:val="left"/>
      <w:pPr>
        <w:ind w:left="28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EB8D3EA">
      <w:start w:val="1"/>
      <w:numFmt w:val="bullet"/>
      <w:lvlText w:val="o"/>
      <w:lvlJc w:val="left"/>
      <w:pPr>
        <w:ind w:left="36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C0A6D80">
      <w:start w:val="1"/>
      <w:numFmt w:val="bullet"/>
      <w:lvlText w:val="▪"/>
      <w:lvlJc w:val="left"/>
      <w:pPr>
        <w:ind w:left="43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E8ABDD2">
      <w:start w:val="1"/>
      <w:numFmt w:val="bullet"/>
      <w:lvlText w:val="•"/>
      <w:lvlJc w:val="left"/>
      <w:pPr>
        <w:ind w:left="50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B2E49C0">
      <w:start w:val="1"/>
      <w:numFmt w:val="bullet"/>
      <w:lvlText w:val="o"/>
      <w:lvlJc w:val="left"/>
      <w:pPr>
        <w:ind w:left="57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6A04DEC">
      <w:start w:val="1"/>
      <w:numFmt w:val="bullet"/>
      <w:lvlText w:val="▪"/>
      <w:lvlJc w:val="left"/>
      <w:pPr>
        <w:ind w:left="64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9063A27"/>
    <w:multiLevelType w:val="hybridMultilevel"/>
    <w:tmpl w:val="B8DEC05E"/>
    <w:lvl w:ilvl="0" w:tplc="381AC794">
      <w:start w:val="1"/>
      <w:numFmt w:val="bullet"/>
      <w:lvlText w:val=""/>
      <w:lvlJc w:val="left"/>
      <w:pPr>
        <w:ind w:left="720" w:hanging="360"/>
      </w:pPr>
      <w:rPr>
        <w:rFonts w:ascii="Wingdings" w:hAnsi="Wingdings" w:hint="default"/>
        <w:color w:val="2C9ADC"/>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9184EDD"/>
    <w:multiLevelType w:val="multilevel"/>
    <w:tmpl w:val="94C4D012"/>
    <w:lvl w:ilvl="0">
      <w:start w:val="1"/>
      <w:numFmt w:val="upperRoman"/>
      <w:lvlText w:val="%1."/>
      <w:lvlJc w:val="left"/>
      <w:pPr>
        <w:tabs>
          <w:tab w:val="num" w:pos="0"/>
        </w:tabs>
        <w:ind w:left="680" w:hanging="680"/>
      </w:pPr>
      <w:rPr>
        <w:rFonts w:ascii="Arial Narrow" w:hAnsi="Arial Narrow" w:cs="Arial Narrow" w:hint="default"/>
        <w:b/>
        <w:bCs/>
        <w:i w:val="0"/>
        <w:iCs w:val="0"/>
        <w:sz w:val="28"/>
        <w:szCs w:val="28"/>
      </w:rPr>
    </w:lvl>
    <w:lvl w:ilvl="1">
      <w:start w:val="1"/>
      <w:numFmt w:val="decimal"/>
      <w:pStyle w:val="NRP2uroven"/>
      <w:lvlText w:val="%1.%2."/>
      <w:lvlJc w:val="left"/>
      <w:pPr>
        <w:tabs>
          <w:tab w:val="num" w:pos="2552"/>
        </w:tabs>
        <w:ind w:left="3289" w:hanging="1304"/>
      </w:pPr>
      <w:rPr>
        <w:rFonts w:ascii="Arial Narrow" w:hAnsi="Arial Narrow" w:cs="Arial Narrow" w:hint="default"/>
        <w:b/>
        <w:bCs/>
        <w:i w:val="0"/>
        <w:iCs w:val="0"/>
        <w:sz w:val="24"/>
        <w:szCs w:val="24"/>
      </w:rPr>
    </w:lvl>
    <w:lvl w:ilvl="2">
      <w:start w:val="1"/>
      <w:numFmt w:val="decimal"/>
      <w:lvlText w:val="%1.%2.%3."/>
      <w:lvlJc w:val="left"/>
      <w:pPr>
        <w:tabs>
          <w:tab w:val="num" w:pos="900"/>
        </w:tabs>
        <w:ind w:left="68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15:restartNumberingAfterBreak="0">
    <w:nsid w:val="4D2F4BA5"/>
    <w:multiLevelType w:val="multilevel"/>
    <w:tmpl w:val="605C03A4"/>
    <w:styleLink w:val="List72"/>
    <w:lvl w:ilvl="0">
      <w:start w:val="1"/>
      <w:numFmt w:val="decimal"/>
      <w:lvlText w:val="%1."/>
      <w:lvlJc w:val="left"/>
      <w:rPr>
        <w:rFonts w:ascii="Arial Narrow" w:eastAsia="Arial Narrow" w:hAnsi="Arial Narrow" w:cs="Arial Narrow"/>
        <w:b/>
        <w:bCs/>
        <w:position w:val="0"/>
      </w:rPr>
    </w:lvl>
    <w:lvl w:ilvl="1">
      <w:start w:val="1"/>
      <w:numFmt w:val="bullet"/>
      <w:lvlText w:val="•"/>
      <w:lvlJc w:val="left"/>
      <w:rPr>
        <w:rFonts w:ascii="Arial Narrow" w:eastAsia="Arial Narrow" w:hAnsi="Arial Narrow" w:cs="Arial Narrow"/>
        <w:b/>
        <w:bCs/>
        <w:position w:val="0"/>
      </w:rPr>
    </w:lvl>
    <w:lvl w:ilvl="2">
      <w:start w:val="1"/>
      <w:numFmt w:val="lowerRoman"/>
      <w:lvlText w:val="%3."/>
      <w:lvlJc w:val="left"/>
      <w:rPr>
        <w:rFonts w:ascii="Arial Narrow" w:eastAsia="Arial Narrow" w:hAnsi="Arial Narrow" w:cs="Arial Narrow"/>
        <w:b/>
        <w:bCs/>
        <w:position w:val="0"/>
      </w:rPr>
    </w:lvl>
    <w:lvl w:ilvl="3">
      <w:start w:val="1"/>
      <w:numFmt w:val="decimal"/>
      <w:lvlText w:val="%4."/>
      <w:lvlJc w:val="left"/>
      <w:rPr>
        <w:rFonts w:ascii="Arial Narrow" w:eastAsia="Arial Narrow" w:hAnsi="Arial Narrow" w:cs="Arial Narrow"/>
        <w:b/>
        <w:bCs/>
        <w:position w:val="0"/>
      </w:rPr>
    </w:lvl>
    <w:lvl w:ilvl="4">
      <w:start w:val="1"/>
      <w:numFmt w:val="lowerLetter"/>
      <w:lvlText w:val="%5."/>
      <w:lvlJc w:val="left"/>
      <w:rPr>
        <w:rFonts w:ascii="Arial Narrow" w:eastAsia="Arial Narrow" w:hAnsi="Arial Narrow" w:cs="Arial Narrow"/>
        <w:b/>
        <w:bCs/>
        <w:position w:val="0"/>
      </w:rPr>
    </w:lvl>
    <w:lvl w:ilvl="5">
      <w:start w:val="1"/>
      <w:numFmt w:val="lowerRoman"/>
      <w:lvlText w:val="%6."/>
      <w:lvlJc w:val="left"/>
      <w:rPr>
        <w:rFonts w:ascii="Arial Narrow" w:eastAsia="Arial Narrow" w:hAnsi="Arial Narrow" w:cs="Arial Narrow"/>
        <w:b/>
        <w:bCs/>
        <w:position w:val="0"/>
      </w:rPr>
    </w:lvl>
    <w:lvl w:ilvl="6">
      <w:start w:val="1"/>
      <w:numFmt w:val="decimal"/>
      <w:lvlText w:val="%7."/>
      <w:lvlJc w:val="left"/>
      <w:rPr>
        <w:rFonts w:ascii="Arial Narrow" w:eastAsia="Arial Narrow" w:hAnsi="Arial Narrow" w:cs="Arial Narrow"/>
        <w:b/>
        <w:bCs/>
        <w:position w:val="0"/>
      </w:rPr>
    </w:lvl>
    <w:lvl w:ilvl="7">
      <w:start w:val="1"/>
      <w:numFmt w:val="lowerLetter"/>
      <w:lvlText w:val="%8."/>
      <w:lvlJc w:val="left"/>
      <w:rPr>
        <w:rFonts w:ascii="Arial Narrow" w:eastAsia="Arial Narrow" w:hAnsi="Arial Narrow" w:cs="Arial Narrow"/>
        <w:b/>
        <w:bCs/>
        <w:position w:val="0"/>
      </w:rPr>
    </w:lvl>
    <w:lvl w:ilvl="8">
      <w:start w:val="1"/>
      <w:numFmt w:val="lowerRoman"/>
      <w:lvlText w:val="%9."/>
      <w:lvlJc w:val="left"/>
      <w:rPr>
        <w:rFonts w:ascii="Arial Narrow" w:eastAsia="Arial Narrow" w:hAnsi="Arial Narrow" w:cs="Arial Narrow"/>
        <w:b/>
        <w:bCs/>
        <w:position w:val="0"/>
      </w:rPr>
    </w:lvl>
  </w:abstractNum>
  <w:abstractNum w:abstractNumId="35" w15:restartNumberingAfterBreak="0">
    <w:nsid w:val="50DB36D5"/>
    <w:multiLevelType w:val="hybridMultilevel"/>
    <w:tmpl w:val="5B203A72"/>
    <w:lvl w:ilvl="0" w:tplc="529A365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24904AE"/>
    <w:multiLevelType w:val="hybridMultilevel"/>
    <w:tmpl w:val="2FA65E52"/>
    <w:lvl w:ilvl="0" w:tplc="813E9368">
      <w:start w:val="1"/>
      <w:numFmt w:val="decimal"/>
      <w:pStyle w:val="List0"/>
      <w:lvlText w:val="%1."/>
      <w:lvlJc w:val="left"/>
      <w:pPr>
        <w:ind w:left="720" w:hanging="360"/>
      </w:pPr>
      <w:rPr>
        <w:rFonts w:cs="Times New Roman" w:hint="default"/>
      </w:rPr>
    </w:lvl>
    <w:lvl w:ilvl="1" w:tplc="041B0003" w:tentative="1">
      <w:start w:val="1"/>
      <w:numFmt w:val="lowerLetter"/>
      <w:lvlText w:val="%2."/>
      <w:lvlJc w:val="left"/>
      <w:pPr>
        <w:ind w:left="1440" w:hanging="360"/>
      </w:pPr>
      <w:rPr>
        <w:rFonts w:cs="Times New Roman"/>
      </w:rPr>
    </w:lvl>
    <w:lvl w:ilvl="2" w:tplc="041B0005" w:tentative="1">
      <w:start w:val="1"/>
      <w:numFmt w:val="lowerRoman"/>
      <w:lvlText w:val="%3."/>
      <w:lvlJc w:val="right"/>
      <w:pPr>
        <w:ind w:left="2160" w:hanging="180"/>
      </w:pPr>
      <w:rPr>
        <w:rFonts w:cs="Times New Roman"/>
      </w:rPr>
    </w:lvl>
    <w:lvl w:ilvl="3" w:tplc="041B0001" w:tentative="1">
      <w:start w:val="1"/>
      <w:numFmt w:val="decimal"/>
      <w:lvlText w:val="%4."/>
      <w:lvlJc w:val="left"/>
      <w:pPr>
        <w:ind w:left="2880" w:hanging="360"/>
      </w:pPr>
      <w:rPr>
        <w:rFonts w:cs="Times New Roman"/>
      </w:rPr>
    </w:lvl>
    <w:lvl w:ilvl="4" w:tplc="041B0003" w:tentative="1">
      <w:start w:val="1"/>
      <w:numFmt w:val="lowerLetter"/>
      <w:lvlText w:val="%5."/>
      <w:lvlJc w:val="left"/>
      <w:pPr>
        <w:ind w:left="3600" w:hanging="360"/>
      </w:pPr>
      <w:rPr>
        <w:rFonts w:cs="Times New Roman"/>
      </w:rPr>
    </w:lvl>
    <w:lvl w:ilvl="5" w:tplc="041B0005" w:tentative="1">
      <w:start w:val="1"/>
      <w:numFmt w:val="lowerRoman"/>
      <w:lvlText w:val="%6."/>
      <w:lvlJc w:val="right"/>
      <w:pPr>
        <w:ind w:left="4320" w:hanging="180"/>
      </w:pPr>
      <w:rPr>
        <w:rFonts w:cs="Times New Roman"/>
      </w:rPr>
    </w:lvl>
    <w:lvl w:ilvl="6" w:tplc="041B0001" w:tentative="1">
      <w:start w:val="1"/>
      <w:numFmt w:val="decimal"/>
      <w:lvlText w:val="%7."/>
      <w:lvlJc w:val="left"/>
      <w:pPr>
        <w:ind w:left="5040" w:hanging="360"/>
      </w:pPr>
      <w:rPr>
        <w:rFonts w:cs="Times New Roman"/>
      </w:rPr>
    </w:lvl>
    <w:lvl w:ilvl="7" w:tplc="041B0003" w:tentative="1">
      <w:start w:val="1"/>
      <w:numFmt w:val="lowerLetter"/>
      <w:lvlText w:val="%8."/>
      <w:lvlJc w:val="left"/>
      <w:pPr>
        <w:ind w:left="5760" w:hanging="360"/>
      </w:pPr>
      <w:rPr>
        <w:rFonts w:cs="Times New Roman"/>
      </w:rPr>
    </w:lvl>
    <w:lvl w:ilvl="8" w:tplc="041B0005" w:tentative="1">
      <w:start w:val="1"/>
      <w:numFmt w:val="lowerRoman"/>
      <w:lvlText w:val="%9."/>
      <w:lvlJc w:val="right"/>
      <w:pPr>
        <w:ind w:left="6480" w:hanging="180"/>
      </w:pPr>
      <w:rPr>
        <w:rFonts w:cs="Times New Roman"/>
      </w:rPr>
    </w:lvl>
  </w:abstractNum>
  <w:abstractNum w:abstractNumId="37" w15:restartNumberingAfterBreak="0">
    <w:nsid w:val="586C74A6"/>
    <w:multiLevelType w:val="hybridMultilevel"/>
    <w:tmpl w:val="7084EDC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59E203AE"/>
    <w:multiLevelType w:val="hybridMultilevel"/>
    <w:tmpl w:val="8FE26B32"/>
    <w:lvl w:ilvl="0" w:tplc="BFCEE8D8">
      <w:start w:val="1"/>
      <w:numFmt w:val="bullet"/>
      <w:lvlText w:val="-"/>
      <w:lvlJc w:val="left"/>
      <w:pPr>
        <w:ind w:left="7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69A3E98">
      <w:start w:val="1"/>
      <w:numFmt w:val="bullet"/>
      <w:lvlText w:val="o"/>
      <w:lvlJc w:val="left"/>
      <w:pPr>
        <w:ind w:left="14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3922FCA">
      <w:start w:val="1"/>
      <w:numFmt w:val="bullet"/>
      <w:lvlText w:val="▪"/>
      <w:lvlJc w:val="left"/>
      <w:pPr>
        <w:ind w:left="21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566C14E">
      <w:start w:val="1"/>
      <w:numFmt w:val="bullet"/>
      <w:lvlText w:val="•"/>
      <w:lvlJc w:val="left"/>
      <w:pPr>
        <w:ind w:left="28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BA66E46">
      <w:start w:val="1"/>
      <w:numFmt w:val="bullet"/>
      <w:lvlText w:val="o"/>
      <w:lvlJc w:val="left"/>
      <w:pPr>
        <w:ind w:left="36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0A406AA">
      <w:start w:val="1"/>
      <w:numFmt w:val="bullet"/>
      <w:lvlText w:val="▪"/>
      <w:lvlJc w:val="left"/>
      <w:pPr>
        <w:ind w:left="43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59CA8EA">
      <w:start w:val="1"/>
      <w:numFmt w:val="bullet"/>
      <w:lvlText w:val="•"/>
      <w:lvlJc w:val="left"/>
      <w:pPr>
        <w:ind w:left="50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C445FCA">
      <w:start w:val="1"/>
      <w:numFmt w:val="bullet"/>
      <w:lvlText w:val="o"/>
      <w:lvlJc w:val="left"/>
      <w:pPr>
        <w:ind w:left="57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DAC652E">
      <w:start w:val="1"/>
      <w:numFmt w:val="bullet"/>
      <w:lvlText w:val="▪"/>
      <w:lvlJc w:val="left"/>
      <w:pPr>
        <w:ind w:left="64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D3A4068"/>
    <w:multiLevelType w:val="multilevel"/>
    <w:tmpl w:val="4C2458BA"/>
    <w:styleLink w:val="List1811"/>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4B53D3"/>
    <w:multiLevelType w:val="hybridMultilevel"/>
    <w:tmpl w:val="1D1E8F66"/>
    <w:lvl w:ilvl="0" w:tplc="A9D006B2">
      <w:start w:val="1"/>
      <w:numFmt w:val="decimal"/>
      <w:lvlText w:val="%1)"/>
      <w:lvlJc w:val="left"/>
      <w:pPr>
        <w:ind w:left="720" w:hanging="360"/>
      </w:pPr>
      <w:rPr>
        <w:rFonts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34935A9"/>
    <w:multiLevelType w:val="hybridMultilevel"/>
    <w:tmpl w:val="FDAA157A"/>
    <w:lvl w:ilvl="0" w:tplc="938A899E">
      <w:start w:val="1"/>
      <w:numFmt w:val="bullet"/>
      <w:pStyle w:val="Bulletslevel1"/>
      <w:lvlText w:val=""/>
      <w:lvlJc w:val="left"/>
      <w:pPr>
        <w:ind w:left="720" w:hanging="360"/>
      </w:pPr>
      <w:rPr>
        <w:rFonts w:ascii="Symbol" w:hAnsi="Symbol" w:hint="default"/>
        <w:b w:val="0"/>
        <w:i w:val="0"/>
        <w:sz w:val="19"/>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047EAB"/>
    <w:multiLevelType w:val="hybridMultilevel"/>
    <w:tmpl w:val="95F20576"/>
    <w:lvl w:ilvl="0" w:tplc="041B000F">
      <w:start w:val="1"/>
      <w:numFmt w:val="decimal"/>
      <w:lvlText w:val="%1."/>
      <w:lvlJc w:val="left"/>
      <w:pPr>
        <w:ind w:left="1434" w:hanging="360"/>
      </w:pPr>
      <w:rPr>
        <w:rFonts w:cs="Times New Roman"/>
      </w:rPr>
    </w:lvl>
    <w:lvl w:ilvl="1" w:tplc="04090019" w:tentative="1">
      <w:start w:val="1"/>
      <w:numFmt w:val="lowerLetter"/>
      <w:lvlText w:val="%2."/>
      <w:lvlJc w:val="left"/>
      <w:pPr>
        <w:ind w:left="2154" w:hanging="360"/>
      </w:pPr>
      <w:rPr>
        <w:rFonts w:cs="Times New Roman"/>
      </w:rPr>
    </w:lvl>
    <w:lvl w:ilvl="2" w:tplc="0409001B" w:tentative="1">
      <w:start w:val="1"/>
      <w:numFmt w:val="lowerRoman"/>
      <w:lvlText w:val="%3."/>
      <w:lvlJc w:val="right"/>
      <w:pPr>
        <w:ind w:left="2874" w:hanging="180"/>
      </w:pPr>
      <w:rPr>
        <w:rFonts w:cs="Times New Roman"/>
      </w:rPr>
    </w:lvl>
    <w:lvl w:ilvl="3" w:tplc="0409000F" w:tentative="1">
      <w:start w:val="1"/>
      <w:numFmt w:val="decimal"/>
      <w:lvlText w:val="%4."/>
      <w:lvlJc w:val="left"/>
      <w:pPr>
        <w:ind w:left="3594" w:hanging="360"/>
      </w:pPr>
      <w:rPr>
        <w:rFonts w:cs="Times New Roman"/>
      </w:rPr>
    </w:lvl>
    <w:lvl w:ilvl="4" w:tplc="04090019" w:tentative="1">
      <w:start w:val="1"/>
      <w:numFmt w:val="lowerLetter"/>
      <w:lvlText w:val="%5."/>
      <w:lvlJc w:val="left"/>
      <w:pPr>
        <w:ind w:left="4314" w:hanging="360"/>
      </w:pPr>
      <w:rPr>
        <w:rFonts w:cs="Times New Roman"/>
      </w:rPr>
    </w:lvl>
    <w:lvl w:ilvl="5" w:tplc="0409001B" w:tentative="1">
      <w:start w:val="1"/>
      <w:numFmt w:val="lowerRoman"/>
      <w:lvlText w:val="%6."/>
      <w:lvlJc w:val="right"/>
      <w:pPr>
        <w:ind w:left="5034" w:hanging="180"/>
      </w:pPr>
      <w:rPr>
        <w:rFonts w:cs="Times New Roman"/>
      </w:rPr>
    </w:lvl>
    <w:lvl w:ilvl="6" w:tplc="0409000F" w:tentative="1">
      <w:start w:val="1"/>
      <w:numFmt w:val="decimal"/>
      <w:lvlText w:val="%7."/>
      <w:lvlJc w:val="left"/>
      <w:pPr>
        <w:ind w:left="5754" w:hanging="360"/>
      </w:pPr>
      <w:rPr>
        <w:rFonts w:cs="Times New Roman"/>
      </w:rPr>
    </w:lvl>
    <w:lvl w:ilvl="7" w:tplc="04090019" w:tentative="1">
      <w:start w:val="1"/>
      <w:numFmt w:val="lowerLetter"/>
      <w:lvlText w:val="%8."/>
      <w:lvlJc w:val="left"/>
      <w:pPr>
        <w:ind w:left="6474" w:hanging="360"/>
      </w:pPr>
      <w:rPr>
        <w:rFonts w:cs="Times New Roman"/>
      </w:rPr>
    </w:lvl>
    <w:lvl w:ilvl="8" w:tplc="0409001B" w:tentative="1">
      <w:start w:val="1"/>
      <w:numFmt w:val="lowerRoman"/>
      <w:lvlText w:val="%9."/>
      <w:lvlJc w:val="right"/>
      <w:pPr>
        <w:ind w:left="7194" w:hanging="180"/>
      </w:pPr>
      <w:rPr>
        <w:rFonts w:cs="Times New Roman"/>
      </w:rPr>
    </w:lvl>
  </w:abstractNum>
  <w:abstractNum w:abstractNumId="43" w15:restartNumberingAfterBreak="0">
    <w:nsid w:val="72190116"/>
    <w:multiLevelType w:val="hybridMultilevel"/>
    <w:tmpl w:val="D2768EA0"/>
    <w:styleLink w:val="List1711"/>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2DE0DBC"/>
    <w:multiLevelType w:val="hybridMultilevel"/>
    <w:tmpl w:val="348E81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025BD5"/>
    <w:multiLevelType w:val="hybridMultilevel"/>
    <w:tmpl w:val="D94CE026"/>
    <w:lvl w:ilvl="0" w:tplc="99FE2D0A">
      <w:start w:val="1"/>
      <w:numFmt w:val="decimal"/>
      <w:lvlText w:val="%1."/>
      <w:lvlJc w:val="left"/>
      <w:pPr>
        <w:ind w:left="720" w:hanging="360"/>
      </w:pPr>
      <w:rPr>
        <w:rFonts w:ascii="Times New Roman" w:hAnsi="Times New Roman" w:cs="Times New Roman"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36"/>
  </w:num>
  <w:num w:numId="3">
    <w:abstractNumId w:val="41"/>
  </w:num>
  <w:num w:numId="4">
    <w:abstractNumId w:val="33"/>
  </w:num>
  <w:num w:numId="5">
    <w:abstractNumId w:val="34"/>
  </w:num>
  <w:num w:numId="6">
    <w:abstractNumId w:val="17"/>
  </w:num>
  <w:num w:numId="7">
    <w:abstractNumId w:val="22"/>
  </w:num>
  <w:num w:numId="8">
    <w:abstractNumId w:val="43"/>
  </w:num>
  <w:num w:numId="9">
    <w:abstractNumId w:val="39"/>
  </w:num>
  <w:num w:numId="10">
    <w:abstractNumId w:val="11"/>
  </w:num>
  <w:num w:numId="11">
    <w:abstractNumId w:val="31"/>
  </w:num>
  <w:num w:numId="12">
    <w:abstractNumId w:val="38"/>
  </w:num>
  <w:num w:numId="13">
    <w:abstractNumId w:val="40"/>
  </w:num>
  <w:num w:numId="14">
    <w:abstractNumId w:val="16"/>
  </w:num>
  <w:num w:numId="15">
    <w:abstractNumId w:val="32"/>
  </w:num>
  <w:num w:numId="16">
    <w:abstractNumId w:val="18"/>
  </w:num>
  <w:num w:numId="17">
    <w:abstractNumId w:val="35"/>
  </w:num>
  <w:num w:numId="18">
    <w:abstractNumId w:val="14"/>
  </w:num>
  <w:num w:numId="19">
    <w:abstractNumId w:val="27"/>
  </w:num>
  <w:num w:numId="20">
    <w:abstractNumId w:val="44"/>
  </w:num>
  <w:num w:numId="21">
    <w:abstractNumId w:val="45"/>
  </w:num>
  <w:num w:numId="22">
    <w:abstractNumId w:val="24"/>
  </w:num>
  <w:num w:numId="23">
    <w:abstractNumId w:val="13"/>
  </w:num>
  <w:num w:numId="24">
    <w:abstractNumId w:val="25"/>
  </w:num>
  <w:num w:numId="25">
    <w:abstractNumId w:val="37"/>
  </w:num>
  <w:num w:numId="26">
    <w:abstractNumId w:val="42"/>
  </w:num>
  <w:num w:numId="27">
    <w:abstractNumId w:val="21"/>
  </w:num>
  <w:num w:numId="28">
    <w:abstractNumId w:val="28"/>
  </w:num>
  <w:num w:numId="29">
    <w:abstractNumId w:val="23"/>
  </w:num>
  <w:num w:numId="30">
    <w:abstractNumId w:val="26"/>
  </w:num>
  <w:num w:numId="31">
    <w:abstractNumId w:val="8"/>
  </w:num>
  <w:num w:numId="32">
    <w:abstractNumId w:val="3"/>
  </w:num>
  <w:num w:numId="33">
    <w:abstractNumId w:val="2"/>
  </w:num>
  <w:num w:numId="34">
    <w:abstractNumId w:val="1"/>
  </w:num>
  <w:num w:numId="35">
    <w:abstractNumId w:val="0"/>
  </w:num>
  <w:num w:numId="36">
    <w:abstractNumId w:val="9"/>
  </w:num>
  <w:num w:numId="37">
    <w:abstractNumId w:val="7"/>
  </w:num>
  <w:num w:numId="38">
    <w:abstractNumId w:val="6"/>
  </w:num>
  <w:num w:numId="39">
    <w:abstractNumId w:val="5"/>
  </w:num>
  <w:num w:numId="40">
    <w:abstractNumId w:val="4"/>
  </w:num>
  <w:num w:numId="41">
    <w:abstractNumId w:val="12"/>
  </w:num>
  <w:num w:numId="42">
    <w:abstractNumId w:val="15"/>
  </w:num>
  <w:num w:numId="43">
    <w:abstractNumId w:val="30"/>
  </w:num>
  <w:num w:numId="44">
    <w:abstractNumId w:val="29"/>
  </w:num>
  <w:num w:numId="45">
    <w:abstractNumId w:val="10"/>
  </w:num>
  <w:num w:numId="46">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B0A"/>
    <w:rsid w:val="00003B02"/>
    <w:rsid w:val="000047FD"/>
    <w:rsid w:val="00005BC2"/>
    <w:rsid w:val="00005C2C"/>
    <w:rsid w:val="00006A2D"/>
    <w:rsid w:val="000110B8"/>
    <w:rsid w:val="00011315"/>
    <w:rsid w:val="00011D48"/>
    <w:rsid w:val="00011D7D"/>
    <w:rsid w:val="00012EF5"/>
    <w:rsid w:val="00013416"/>
    <w:rsid w:val="000149A9"/>
    <w:rsid w:val="0001567C"/>
    <w:rsid w:val="00015EA0"/>
    <w:rsid w:val="00020167"/>
    <w:rsid w:val="000202B6"/>
    <w:rsid w:val="000206CB"/>
    <w:rsid w:val="00022D46"/>
    <w:rsid w:val="00022E29"/>
    <w:rsid w:val="000240CE"/>
    <w:rsid w:val="00024772"/>
    <w:rsid w:val="0002668B"/>
    <w:rsid w:val="00026A06"/>
    <w:rsid w:val="00026AFB"/>
    <w:rsid w:val="00026C6A"/>
    <w:rsid w:val="00030793"/>
    <w:rsid w:val="00030E18"/>
    <w:rsid w:val="00031ED4"/>
    <w:rsid w:val="00032D76"/>
    <w:rsid w:val="00034309"/>
    <w:rsid w:val="00036A50"/>
    <w:rsid w:val="00037FE6"/>
    <w:rsid w:val="000415DC"/>
    <w:rsid w:val="00041DDE"/>
    <w:rsid w:val="00043E7B"/>
    <w:rsid w:val="00044BA4"/>
    <w:rsid w:val="00047029"/>
    <w:rsid w:val="000505B3"/>
    <w:rsid w:val="00050E66"/>
    <w:rsid w:val="00051360"/>
    <w:rsid w:val="00052B0A"/>
    <w:rsid w:val="00053B64"/>
    <w:rsid w:val="00054DA1"/>
    <w:rsid w:val="00054E87"/>
    <w:rsid w:val="00057FA8"/>
    <w:rsid w:val="000608BE"/>
    <w:rsid w:val="00060F87"/>
    <w:rsid w:val="00061D3F"/>
    <w:rsid w:val="000630E8"/>
    <w:rsid w:val="00063A91"/>
    <w:rsid w:val="000663AF"/>
    <w:rsid w:val="00066D01"/>
    <w:rsid w:val="00070053"/>
    <w:rsid w:val="00070F58"/>
    <w:rsid w:val="0007192C"/>
    <w:rsid w:val="00071AC6"/>
    <w:rsid w:val="00072D7E"/>
    <w:rsid w:val="0008360C"/>
    <w:rsid w:val="00084ECE"/>
    <w:rsid w:val="0008599D"/>
    <w:rsid w:val="0008732B"/>
    <w:rsid w:val="00091E21"/>
    <w:rsid w:val="000928B0"/>
    <w:rsid w:val="00092992"/>
    <w:rsid w:val="000933BA"/>
    <w:rsid w:val="00093A04"/>
    <w:rsid w:val="00093FDC"/>
    <w:rsid w:val="00095A86"/>
    <w:rsid w:val="0009637C"/>
    <w:rsid w:val="000964E2"/>
    <w:rsid w:val="00097555"/>
    <w:rsid w:val="000A0895"/>
    <w:rsid w:val="000A0B9B"/>
    <w:rsid w:val="000A0E2B"/>
    <w:rsid w:val="000A0F67"/>
    <w:rsid w:val="000A1FCF"/>
    <w:rsid w:val="000A4239"/>
    <w:rsid w:val="000A4B44"/>
    <w:rsid w:val="000A75BB"/>
    <w:rsid w:val="000B0143"/>
    <w:rsid w:val="000B17E3"/>
    <w:rsid w:val="000B406D"/>
    <w:rsid w:val="000B4F38"/>
    <w:rsid w:val="000B63C5"/>
    <w:rsid w:val="000B6515"/>
    <w:rsid w:val="000B6762"/>
    <w:rsid w:val="000C12F9"/>
    <w:rsid w:val="000C1A72"/>
    <w:rsid w:val="000C265D"/>
    <w:rsid w:val="000C2CEE"/>
    <w:rsid w:val="000C2FEA"/>
    <w:rsid w:val="000C3F47"/>
    <w:rsid w:val="000C41B0"/>
    <w:rsid w:val="000C433C"/>
    <w:rsid w:val="000C652F"/>
    <w:rsid w:val="000C6953"/>
    <w:rsid w:val="000C764B"/>
    <w:rsid w:val="000D22AE"/>
    <w:rsid w:val="000D32E1"/>
    <w:rsid w:val="000D4EA0"/>
    <w:rsid w:val="000D557B"/>
    <w:rsid w:val="000E1014"/>
    <w:rsid w:val="000E13CA"/>
    <w:rsid w:val="000E1665"/>
    <w:rsid w:val="000E1CA2"/>
    <w:rsid w:val="000E25E1"/>
    <w:rsid w:val="000E286E"/>
    <w:rsid w:val="000E33B3"/>
    <w:rsid w:val="000E34FA"/>
    <w:rsid w:val="000E4B45"/>
    <w:rsid w:val="000E4C64"/>
    <w:rsid w:val="000E5938"/>
    <w:rsid w:val="000E76B7"/>
    <w:rsid w:val="000F21CE"/>
    <w:rsid w:val="000F2A74"/>
    <w:rsid w:val="000F323F"/>
    <w:rsid w:val="000F4291"/>
    <w:rsid w:val="000F440B"/>
    <w:rsid w:val="000F68CC"/>
    <w:rsid w:val="000F72E0"/>
    <w:rsid w:val="001033D3"/>
    <w:rsid w:val="001037DC"/>
    <w:rsid w:val="00103AAF"/>
    <w:rsid w:val="001052C1"/>
    <w:rsid w:val="0010618B"/>
    <w:rsid w:val="001076A7"/>
    <w:rsid w:val="0010788F"/>
    <w:rsid w:val="00107951"/>
    <w:rsid w:val="00110579"/>
    <w:rsid w:val="0011062A"/>
    <w:rsid w:val="00111797"/>
    <w:rsid w:val="001126CB"/>
    <w:rsid w:val="001135CC"/>
    <w:rsid w:val="00114266"/>
    <w:rsid w:val="00114285"/>
    <w:rsid w:val="00114C4B"/>
    <w:rsid w:val="00115155"/>
    <w:rsid w:val="00115C20"/>
    <w:rsid w:val="001177B1"/>
    <w:rsid w:val="00117ADE"/>
    <w:rsid w:val="0012249D"/>
    <w:rsid w:val="00122A31"/>
    <w:rsid w:val="00122F58"/>
    <w:rsid w:val="00124F6B"/>
    <w:rsid w:val="00125B05"/>
    <w:rsid w:val="00125CC0"/>
    <w:rsid w:val="00126620"/>
    <w:rsid w:val="00126F63"/>
    <w:rsid w:val="0012793C"/>
    <w:rsid w:val="00130C46"/>
    <w:rsid w:val="001311FD"/>
    <w:rsid w:val="001319BF"/>
    <w:rsid w:val="00132650"/>
    <w:rsid w:val="0013285E"/>
    <w:rsid w:val="0013355F"/>
    <w:rsid w:val="001335BD"/>
    <w:rsid w:val="001351F8"/>
    <w:rsid w:val="00135AD5"/>
    <w:rsid w:val="00135C7F"/>
    <w:rsid w:val="00137C90"/>
    <w:rsid w:val="001402CB"/>
    <w:rsid w:val="00141C68"/>
    <w:rsid w:val="00142EB5"/>
    <w:rsid w:val="001455C3"/>
    <w:rsid w:val="00145FF9"/>
    <w:rsid w:val="00147C3A"/>
    <w:rsid w:val="001505F4"/>
    <w:rsid w:val="00151BC1"/>
    <w:rsid w:val="00151FF1"/>
    <w:rsid w:val="00152346"/>
    <w:rsid w:val="00154403"/>
    <w:rsid w:val="00154DF6"/>
    <w:rsid w:val="001565C6"/>
    <w:rsid w:val="00157000"/>
    <w:rsid w:val="00157502"/>
    <w:rsid w:val="00160077"/>
    <w:rsid w:val="00160526"/>
    <w:rsid w:val="00161065"/>
    <w:rsid w:val="001610B5"/>
    <w:rsid w:val="00163655"/>
    <w:rsid w:val="00164A62"/>
    <w:rsid w:val="00165392"/>
    <w:rsid w:val="001654DF"/>
    <w:rsid w:val="001667FB"/>
    <w:rsid w:val="00166B4C"/>
    <w:rsid w:val="00170734"/>
    <w:rsid w:val="0017106B"/>
    <w:rsid w:val="00171685"/>
    <w:rsid w:val="00173C47"/>
    <w:rsid w:val="001740AB"/>
    <w:rsid w:val="00174222"/>
    <w:rsid w:val="001753F5"/>
    <w:rsid w:val="00176825"/>
    <w:rsid w:val="00180F23"/>
    <w:rsid w:val="00181EC9"/>
    <w:rsid w:val="0018209A"/>
    <w:rsid w:val="001835E4"/>
    <w:rsid w:val="00184DFA"/>
    <w:rsid w:val="00185453"/>
    <w:rsid w:val="00186832"/>
    <w:rsid w:val="001921CA"/>
    <w:rsid w:val="00192C79"/>
    <w:rsid w:val="00193813"/>
    <w:rsid w:val="001A0C62"/>
    <w:rsid w:val="001A44D2"/>
    <w:rsid w:val="001B07B4"/>
    <w:rsid w:val="001B132F"/>
    <w:rsid w:val="001B1A5D"/>
    <w:rsid w:val="001B220E"/>
    <w:rsid w:val="001B424C"/>
    <w:rsid w:val="001B481A"/>
    <w:rsid w:val="001B6BD0"/>
    <w:rsid w:val="001B784D"/>
    <w:rsid w:val="001C168F"/>
    <w:rsid w:val="001C2F05"/>
    <w:rsid w:val="001C5690"/>
    <w:rsid w:val="001C7795"/>
    <w:rsid w:val="001C7DA0"/>
    <w:rsid w:val="001D1BC3"/>
    <w:rsid w:val="001D2664"/>
    <w:rsid w:val="001D387C"/>
    <w:rsid w:val="001D479F"/>
    <w:rsid w:val="001D4F34"/>
    <w:rsid w:val="001D520C"/>
    <w:rsid w:val="001D566F"/>
    <w:rsid w:val="001D68BE"/>
    <w:rsid w:val="001D6A9B"/>
    <w:rsid w:val="001D6BD4"/>
    <w:rsid w:val="001D789C"/>
    <w:rsid w:val="001E0E1F"/>
    <w:rsid w:val="001E1863"/>
    <w:rsid w:val="001E18C2"/>
    <w:rsid w:val="001E2730"/>
    <w:rsid w:val="001E3456"/>
    <w:rsid w:val="001E3627"/>
    <w:rsid w:val="001E3699"/>
    <w:rsid w:val="001E3DF4"/>
    <w:rsid w:val="001E50EB"/>
    <w:rsid w:val="001E55FE"/>
    <w:rsid w:val="001E62A0"/>
    <w:rsid w:val="001E6B9B"/>
    <w:rsid w:val="001E6EB5"/>
    <w:rsid w:val="001F0876"/>
    <w:rsid w:val="001F18D0"/>
    <w:rsid w:val="001F24AE"/>
    <w:rsid w:val="001F4B3A"/>
    <w:rsid w:val="001F58E6"/>
    <w:rsid w:val="001F5A11"/>
    <w:rsid w:val="00200155"/>
    <w:rsid w:val="002008BD"/>
    <w:rsid w:val="00200C87"/>
    <w:rsid w:val="00200D47"/>
    <w:rsid w:val="00200ED9"/>
    <w:rsid w:val="00201872"/>
    <w:rsid w:val="00201BC8"/>
    <w:rsid w:val="00201FE4"/>
    <w:rsid w:val="00202D3B"/>
    <w:rsid w:val="00202F66"/>
    <w:rsid w:val="00205D4A"/>
    <w:rsid w:val="00206C41"/>
    <w:rsid w:val="00206D0F"/>
    <w:rsid w:val="00206DEC"/>
    <w:rsid w:val="0020726A"/>
    <w:rsid w:val="0020775D"/>
    <w:rsid w:val="002107C9"/>
    <w:rsid w:val="00212487"/>
    <w:rsid w:val="0021294F"/>
    <w:rsid w:val="00213458"/>
    <w:rsid w:val="00213694"/>
    <w:rsid w:val="0021403B"/>
    <w:rsid w:val="00214A4A"/>
    <w:rsid w:val="00214BF0"/>
    <w:rsid w:val="00215DF1"/>
    <w:rsid w:val="002167F6"/>
    <w:rsid w:val="00216910"/>
    <w:rsid w:val="0022093A"/>
    <w:rsid w:val="00221224"/>
    <w:rsid w:val="00222095"/>
    <w:rsid w:val="0022221C"/>
    <w:rsid w:val="00222E7F"/>
    <w:rsid w:val="002233EE"/>
    <w:rsid w:val="00224A8D"/>
    <w:rsid w:val="00224A9F"/>
    <w:rsid w:val="0022547D"/>
    <w:rsid w:val="0022562D"/>
    <w:rsid w:val="00225E27"/>
    <w:rsid w:val="002267B3"/>
    <w:rsid w:val="0022688C"/>
    <w:rsid w:val="002271B6"/>
    <w:rsid w:val="00231411"/>
    <w:rsid w:val="00231C3A"/>
    <w:rsid w:val="0023254A"/>
    <w:rsid w:val="0023329A"/>
    <w:rsid w:val="00233FE5"/>
    <w:rsid w:val="0023522E"/>
    <w:rsid w:val="00236001"/>
    <w:rsid w:val="002361C1"/>
    <w:rsid w:val="00237634"/>
    <w:rsid w:val="0024278B"/>
    <w:rsid w:val="0024388C"/>
    <w:rsid w:val="00245157"/>
    <w:rsid w:val="00245F51"/>
    <w:rsid w:val="0024724D"/>
    <w:rsid w:val="0024744A"/>
    <w:rsid w:val="00247B3E"/>
    <w:rsid w:val="002515A3"/>
    <w:rsid w:val="00251738"/>
    <w:rsid w:val="00251C17"/>
    <w:rsid w:val="00251DDE"/>
    <w:rsid w:val="0025243E"/>
    <w:rsid w:val="002529CD"/>
    <w:rsid w:val="0025482A"/>
    <w:rsid w:val="00254883"/>
    <w:rsid w:val="002549EA"/>
    <w:rsid w:val="00255916"/>
    <w:rsid w:val="00263500"/>
    <w:rsid w:val="00263927"/>
    <w:rsid w:val="00264E57"/>
    <w:rsid w:val="00266AD3"/>
    <w:rsid w:val="002671E2"/>
    <w:rsid w:val="00267F18"/>
    <w:rsid w:val="0027044B"/>
    <w:rsid w:val="002714DC"/>
    <w:rsid w:val="00272075"/>
    <w:rsid w:val="0027234F"/>
    <w:rsid w:val="002723F3"/>
    <w:rsid w:val="002731F5"/>
    <w:rsid w:val="002734EA"/>
    <w:rsid w:val="002759EB"/>
    <w:rsid w:val="00276934"/>
    <w:rsid w:val="00277478"/>
    <w:rsid w:val="00277944"/>
    <w:rsid w:val="00280101"/>
    <w:rsid w:val="00281F1C"/>
    <w:rsid w:val="00285225"/>
    <w:rsid w:val="00285D5B"/>
    <w:rsid w:val="00285F6A"/>
    <w:rsid w:val="002905E6"/>
    <w:rsid w:val="00292D1F"/>
    <w:rsid w:val="002932D7"/>
    <w:rsid w:val="00294C4D"/>
    <w:rsid w:val="00296CA4"/>
    <w:rsid w:val="002A0812"/>
    <w:rsid w:val="002A21B1"/>
    <w:rsid w:val="002A40A9"/>
    <w:rsid w:val="002A5138"/>
    <w:rsid w:val="002A53C6"/>
    <w:rsid w:val="002A5E76"/>
    <w:rsid w:val="002A6A55"/>
    <w:rsid w:val="002A771C"/>
    <w:rsid w:val="002A7B73"/>
    <w:rsid w:val="002B45BA"/>
    <w:rsid w:val="002B4F2E"/>
    <w:rsid w:val="002B547D"/>
    <w:rsid w:val="002B69D4"/>
    <w:rsid w:val="002B7A26"/>
    <w:rsid w:val="002C0DDF"/>
    <w:rsid w:val="002C1F88"/>
    <w:rsid w:val="002C54ED"/>
    <w:rsid w:val="002C5D02"/>
    <w:rsid w:val="002C604C"/>
    <w:rsid w:val="002C6924"/>
    <w:rsid w:val="002C6AD7"/>
    <w:rsid w:val="002D072E"/>
    <w:rsid w:val="002D0E3A"/>
    <w:rsid w:val="002D0F9F"/>
    <w:rsid w:val="002D2AB8"/>
    <w:rsid w:val="002D5863"/>
    <w:rsid w:val="002D5918"/>
    <w:rsid w:val="002D6685"/>
    <w:rsid w:val="002D731B"/>
    <w:rsid w:val="002D749C"/>
    <w:rsid w:val="002D78E2"/>
    <w:rsid w:val="002D78EF"/>
    <w:rsid w:val="002D7C47"/>
    <w:rsid w:val="002E351D"/>
    <w:rsid w:val="002E43D0"/>
    <w:rsid w:val="002E4A62"/>
    <w:rsid w:val="002F01AB"/>
    <w:rsid w:val="002F16B8"/>
    <w:rsid w:val="002F387B"/>
    <w:rsid w:val="002F3ABA"/>
    <w:rsid w:val="002F44B7"/>
    <w:rsid w:val="002F6E98"/>
    <w:rsid w:val="0030178D"/>
    <w:rsid w:val="0030193C"/>
    <w:rsid w:val="00301CF4"/>
    <w:rsid w:val="00301FD8"/>
    <w:rsid w:val="00302344"/>
    <w:rsid w:val="003025A0"/>
    <w:rsid w:val="003026E0"/>
    <w:rsid w:val="00303843"/>
    <w:rsid w:val="003042D5"/>
    <w:rsid w:val="0030436D"/>
    <w:rsid w:val="00305080"/>
    <w:rsid w:val="00312CE7"/>
    <w:rsid w:val="00312F15"/>
    <w:rsid w:val="003135AF"/>
    <w:rsid w:val="00314ED8"/>
    <w:rsid w:val="00315B47"/>
    <w:rsid w:val="0031635B"/>
    <w:rsid w:val="0032047B"/>
    <w:rsid w:val="00321BED"/>
    <w:rsid w:val="00322344"/>
    <w:rsid w:val="003234FA"/>
    <w:rsid w:val="0032421D"/>
    <w:rsid w:val="00324C90"/>
    <w:rsid w:val="003257DA"/>
    <w:rsid w:val="003312EA"/>
    <w:rsid w:val="0033148E"/>
    <w:rsid w:val="00332455"/>
    <w:rsid w:val="00333696"/>
    <w:rsid w:val="003360AD"/>
    <w:rsid w:val="0033660F"/>
    <w:rsid w:val="00337EFE"/>
    <w:rsid w:val="00341154"/>
    <w:rsid w:val="003451B4"/>
    <w:rsid w:val="00345284"/>
    <w:rsid w:val="00346C69"/>
    <w:rsid w:val="003474BB"/>
    <w:rsid w:val="00347510"/>
    <w:rsid w:val="00347649"/>
    <w:rsid w:val="00350143"/>
    <w:rsid w:val="003501DF"/>
    <w:rsid w:val="00350557"/>
    <w:rsid w:val="00351736"/>
    <w:rsid w:val="00352781"/>
    <w:rsid w:val="00352899"/>
    <w:rsid w:val="003528CF"/>
    <w:rsid w:val="00352944"/>
    <w:rsid w:val="00356A7D"/>
    <w:rsid w:val="003576CF"/>
    <w:rsid w:val="00357FEB"/>
    <w:rsid w:val="00361D14"/>
    <w:rsid w:val="00362824"/>
    <w:rsid w:val="00363D18"/>
    <w:rsid w:val="00364FAE"/>
    <w:rsid w:val="00364FD2"/>
    <w:rsid w:val="00367617"/>
    <w:rsid w:val="00367EA8"/>
    <w:rsid w:val="00371DAE"/>
    <w:rsid w:val="00372452"/>
    <w:rsid w:val="00372AD6"/>
    <w:rsid w:val="003734B1"/>
    <w:rsid w:val="003747E0"/>
    <w:rsid w:val="00374A38"/>
    <w:rsid w:val="003758ED"/>
    <w:rsid w:val="00383AA4"/>
    <w:rsid w:val="00385861"/>
    <w:rsid w:val="00385B9E"/>
    <w:rsid w:val="0038666C"/>
    <w:rsid w:val="00386819"/>
    <w:rsid w:val="00386D37"/>
    <w:rsid w:val="0038718C"/>
    <w:rsid w:val="003877F8"/>
    <w:rsid w:val="00390E43"/>
    <w:rsid w:val="003911FD"/>
    <w:rsid w:val="0039178C"/>
    <w:rsid w:val="00392919"/>
    <w:rsid w:val="003941F9"/>
    <w:rsid w:val="00396B16"/>
    <w:rsid w:val="00396F5E"/>
    <w:rsid w:val="003A0BB6"/>
    <w:rsid w:val="003A1409"/>
    <w:rsid w:val="003A52D0"/>
    <w:rsid w:val="003A588B"/>
    <w:rsid w:val="003A5E58"/>
    <w:rsid w:val="003A77EE"/>
    <w:rsid w:val="003A79A6"/>
    <w:rsid w:val="003B0081"/>
    <w:rsid w:val="003B16BA"/>
    <w:rsid w:val="003B2260"/>
    <w:rsid w:val="003B264C"/>
    <w:rsid w:val="003B2A3F"/>
    <w:rsid w:val="003B2E7E"/>
    <w:rsid w:val="003B2F9F"/>
    <w:rsid w:val="003B3897"/>
    <w:rsid w:val="003B4C08"/>
    <w:rsid w:val="003B5140"/>
    <w:rsid w:val="003B60EE"/>
    <w:rsid w:val="003B6BB8"/>
    <w:rsid w:val="003B75D9"/>
    <w:rsid w:val="003C013B"/>
    <w:rsid w:val="003C2E68"/>
    <w:rsid w:val="003C305E"/>
    <w:rsid w:val="003C3DFF"/>
    <w:rsid w:val="003C4359"/>
    <w:rsid w:val="003C676D"/>
    <w:rsid w:val="003C6A95"/>
    <w:rsid w:val="003D09EB"/>
    <w:rsid w:val="003D0E90"/>
    <w:rsid w:val="003D2664"/>
    <w:rsid w:val="003D2EA0"/>
    <w:rsid w:val="003D5980"/>
    <w:rsid w:val="003D5A3A"/>
    <w:rsid w:val="003D676E"/>
    <w:rsid w:val="003D7D86"/>
    <w:rsid w:val="003E15A8"/>
    <w:rsid w:val="003E1EF9"/>
    <w:rsid w:val="003E2D1F"/>
    <w:rsid w:val="003E37B6"/>
    <w:rsid w:val="003E5456"/>
    <w:rsid w:val="003E60C4"/>
    <w:rsid w:val="003E65A6"/>
    <w:rsid w:val="003F1244"/>
    <w:rsid w:val="003F19AD"/>
    <w:rsid w:val="003F331A"/>
    <w:rsid w:val="003F3696"/>
    <w:rsid w:val="003F53CB"/>
    <w:rsid w:val="003F5AC8"/>
    <w:rsid w:val="003F6961"/>
    <w:rsid w:val="004004BC"/>
    <w:rsid w:val="00401F07"/>
    <w:rsid w:val="00402523"/>
    <w:rsid w:val="00403BB6"/>
    <w:rsid w:val="00403F40"/>
    <w:rsid w:val="0040403D"/>
    <w:rsid w:val="004045B1"/>
    <w:rsid w:val="00406644"/>
    <w:rsid w:val="0040692A"/>
    <w:rsid w:val="0040790F"/>
    <w:rsid w:val="004116FC"/>
    <w:rsid w:val="00413EE0"/>
    <w:rsid w:val="00414428"/>
    <w:rsid w:val="00416F2A"/>
    <w:rsid w:val="00416FAF"/>
    <w:rsid w:val="00417EA3"/>
    <w:rsid w:val="00420B0A"/>
    <w:rsid w:val="00421A7C"/>
    <w:rsid w:val="00421E5A"/>
    <w:rsid w:val="00422903"/>
    <w:rsid w:val="00422E8F"/>
    <w:rsid w:val="004248D4"/>
    <w:rsid w:val="00425153"/>
    <w:rsid w:val="004251B4"/>
    <w:rsid w:val="0042572A"/>
    <w:rsid w:val="00425A60"/>
    <w:rsid w:val="00426766"/>
    <w:rsid w:val="00426C28"/>
    <w:rsid w:val="004300FB"/>
    <w:rsid w:val="00430B8D"/>
    <w:rsid w:val="004313C5"/>
    <w:rsid w:val="00432149"/>
    <w:rsid w:val="004326A7"/>
    <w:rsid w:val="00432887"/>
    <w:rsid w:val="00435A17"/>
    <w:rsid w:val="00435E51"/>
    <w:rsid w:val="00440268"/>
    <w:rsid w:val="00440821"/>
    <w:rsid w:val="00440D2F"/>
    <w:rsid w:val="00441800"/>
    <w:rsid w:val="00443F43"/>
    <w:rsid w:val="0044453F"/>
    <w:rsid w:val="00445CEC"/>
    <w:rsid w:val="004465BC"/>
    <w:rsid w:val="00446DDA"/>
    <w:rsid w:val="00447660"/>
    <w:rsid w:val="00451061"/>
    <w:rsid w:val="00451C03"/>
    <w:rsid w:val="00451C0B"/>
    <w:rsid w:val="004528CC"/>
    <w:rsid w:val="00452F7C"/>
    <w:rsid w:val="00454322"/>
    <w:rsid w:val="00454870"/>
    <w:rsid w:val="004560F5"/>
    <w:rsid w:val="00457B1E"/>
    <w:rsid w:val="00462AF0"/>
    <w:rsid w:val="00463362"/>
    <w:rsid w:val="00463505"/>
    <w:rsid w:val="00466A51"/>
    <w:rsid w:val="00466AA3"/>
    <w:rsid w:val="004705E0"/>
    <w:rsid w:val="0047085D"/>
    <w:rsid w:val="00471E0C"/>
    <w:rsid w:val="00473788"/>
    <w:rsid w:val="0047401F"/>
    <w:rsid w:val="004742ED"/>
    <w:rsid w:val="0047519D"/>
    <w:rsid w:val="00475C9A"/>
    <w:rsid w:val="0047617A"/>
    <w:rsid w:val="004767EF"/>
    <w:rsid w:val="004800D0"/>
    <w:rsid w:val="00480D83"/>
    <w:rsid w:val="00481EE8"/>
    <w:rsid w:val="00482265"/>
    <w:rsid w:val="00483A85"/>
    <w:rsid w:val="00485571"/>
    <w:rsid w:val="00485DFB"/>
    <w:rsid w:val="004869AF"/>
    <w:rsid w:val="00486C44"/>
    <w:rsid w:val="00486E59"/>
    <w:rsid w:val="0048714C"/>
    <w:rsid w:val="00487E38"/>
    <w:rsid w:val="0049143F"/>
    <w:rsid w:val="0049157B"/>
    <w:rsid w:val="0049163E"/>
    <w:rsid w:val="004916DC"/>
    <w:rsid w:val="0049203F"/>
    <w:rsid w:val="004939A9"/>
    <w:rsid w:val="00494131"/>
    <w:rsid w:val="004947DE"/>
    <w:rsid w:val="004958FE"/>
    <w:rsid w:val="004963B7"/>
    <w:rsid w:val="0049682E"/>
    <w:rsid w:val="004A1C37"/>
    <w:rsid w:val="004A1F6B"/>
    <w:rsid w:val="004A3EB5"/>
    <w:rsid w:val="004B0A60"/>
    <w:rsid w:val="004B108F"/>
    <w:rsid w:val="004B2CB0"/>
    <w:rsid w:val="004B30E6"/>
    <w:rsid w:val="004B4270"/>
    <w:rsid w:val="004B6424"/>
    <w:rsid w:val="004B6730"/>
    <w:rsid w:val="004B6EE6"/>
    <w:rsid w:val="004B70B7"/>
    <w:rsid w:val="004C008B"/>
    <w:rsid w:val="004C1103"/>
    <w:rsid w:val="004C41A4"/>
    <w:rsid w:val="004C43A6"/>
    <w:rsid w:val="004C47E8"/>
    <w:rsid w:val="004C487C"/>
    <w:rsid w:val="004C49D4"/>
    <w:rsid w:val="004C5A50"/>
    <w:rsid w:val="004D05FC"/>
    <w:rsid w:val="004D117D"/>
    <w:rsid w:val="004D1763"/>
    <w:rsid w:val="004D1916"/>
    <w:rsid w:val="004D1BEC"/>
    <w:rsid w:val="004D1E22"/>
    <w:rsid w:val="004D239F"/>
    <w:rsid w:val="004D284D"/>
    <w:rsid w:val="004D33A7"/>
    <w:rsid w:val="004D4052"/>
    <w:rsid w:val="004D41DC"/>
    <w:rsid w:val="004D573A"/>
    <w:rsid w:val="004D57B9"/>
    <w:rsid w:val="004D5AD1"/>
    <w:rsid w:val="004D6553"/>
    <w:rsid w:val="004D7149"/>
    <w:rsid w:val="004E09C4"/>
    <w:rsid w:val="004E46D3"/>
    <w:rsid w:val="004E4EA2"/>
    <w:rsid w:val="004E580A"/>
    <w:rsid w:val="004E6D75"/>
    <w:rsid w:val="004F0544"/>
    <w:rsid w:val="004F0A0C"/>
    <w:rsid w:val="004F11B8"/>
    <w:rsid w:val="004F1BC5"/>
    <w:rsid w:val="004F2E6A"/>
    <w:rsid w:val="004F3C71"/>
    <w:rsid w:val="004F4014"/>
    <w:rsid w:val="004F568C"/>
    <w:rsid w:val="004F5F74"/>
    <w:rsid w:val="004F7612"/>
    <w:rsid w:val="00500AE2"/>
    <w:rsid w:val="0050180D"/>
    <w:rsid w:val="00501B93"/>
    <w:rsid w:val="00502124"/>
    <w:rsid w:val="00502154"/>
    <w:rsid w:val="005027A6"/>
    <w:rsid w:val="00503179"/>
    <w:rsid w:val="00503F02"/>
    <w:rsid w:val="00503FEF"/>
    <w:rsid w:val="0050420A"/>
    <w:rsid w:val="0050611D"/>
    <w:rsid w:val="00506904"/>
    <w:rsid w:val="00510EA7"/>
    <w:rsid w:val="00512E8D"/>
    <w:rsid w:val="00513AB1"/>
    <w:rsid w:val="005153CC"/>
    <w:rsid w:val="00516C12"/>
    <w:rsid w:val="00516F7F"/>
    <w:rsid w:val="00517772"/>
    <w:rsid w:val="005177C2"/>
    <w:rsid w:val="005202C6"/>
    <w:rsid w:val="00522737"/>
    <w:rsid w:val="0052441A"/>
    <w:rsid w:val="00525B46"/>
    <w:rsid w:val="00527164"/>
    <w:rsid w:val="00531304"/>
    <w:rsid w:val="00531830"/>
    <w:rsid w:val="00531D79"/>
    <w:rsid w:val="00531E67"/>
    <w:rsid w:val="005328DE"/>
    <w:rsid w:val="00533EB5"/>
    <w:rsid w:val="00534786"/>
    <w:rsid w:val="005362C2"/>
    <w:rsid w:val="00536720"/>
    <w:rsid w:val="00536DF0"/>
    <w:rsid w:val="00542491"/>
    <w:rsid w:val="00544156"/>
    <w:rsid w:val="00544ECF"/>
    <w:rsid w:val="00544F70"/>
    <w:rsid w:val="00545B11"/>
    <w:rsid w:val="005462A0"/>
    <w:rsid w:val="005466CE"/>
    <w:rsid w:val="005471F6"/>
    <w:rsid w:val="00547A27"/>
    <w:rsid w:val="00547FF4"/>
    <w:rsid w:val="005522C6"/>
    <w:rsid w:val="005528FC"/>
    <w:rsid w:val="00553E48"/>
    <w:rsid w:val="00554E5F"/>
    <w:rsid w:val="005556B0"/>
    <w:rsid w:val="0055677C"/>
    <w:rsid w:val="00560D43"/>
    <w:rsid w:val="00562519"/>
    <w:rsid w:val="00563AE1"/>
    <w:rsid w:val="00564041"/>
    <w:rsid w:val="0056699B"/>
    <w:rsid w:val="00566BE5"/>
    <w:rsid w:val="0056772C"/>
    <w:rsid w:val="00567D08"/>
    <w:rsid w:val="00567FE0"/>
    <w:rsid w:val="005711B8"/>
    <w:rsid w:val="00573EC5"/>
    <w:rsid w:val="005747C0"/>
    <w:rsid w:val="005748DC"/>
    <w:rsid w:val="005751FD"/>
    <w:rsid w:val="00576C65"/>
    <w:rsid w:val="00576E98"/>
    <w:rsid w:val="00577D3F"/>
    <w:rsid w:val="00581EF4"/>
    <w:rsid w:val="00583992"/>
    <w:rsid w:val="00583CD2"/>
    <w:rsid w:val="0058416E"/>
    <w:rsid w:val="00585F89"/>
    <w:rsid w:val="00587C08"/>
    <w:rsid w:val="00590254"/>
    <w:rsid w:val="00590631"/>
    <w:rsid w:val="00590E2B"/>
    <w:rsid w:val="0059353E"/>
    <w:rsid w:val="00593BCF"/>
    <w:rsid w:val="00594F30"/>
    <w:rsid w:val="005955ED"/>
    <w:rsid w:val="00595DAA"/>
    <w:rsid w:val="00596980"/>
    <w:rsid w:val="00597387"/>
    <w:rsid w:val="00597B63"/>
    <w:rsid w:val="005A0EEA"/>
    <w:rsid w:val="005A14D7"/>
    <w:rsid w:val="005A28C1"/>
    <w:rsid w:val="005A2C09"/>
    <w:rsid w:val="005A3390"/>
    <w:rsid w:val="005A460B"/>
    <w:rsid w:val="005A4C57"/>
    <w:rsid w:val="005A4D64"/>
    <w:rsid w:val="005A5D00"/>
    <w:rsid w:val="005A60EC"/>
    <w:rsid w:val="005A7212"/>
    <w:rsid w:val="005B05B7"/>
    <w:rsid w:val="005B0A45"/>
    <w:rsid w:val="005B23B8"/>
    <w:rsid w:val="005B27D0"/>
    <w:rsid w:val="005B2D22"/>
    <w:rsid w:val="005B36D4"/>
    <w:rsid w:val="005B468C"/>
    <w:rsid w:val="005B51E2"/>
    <w:rsid w:val="005B6A61"/>
    <w:rsid w:val="005B739C"/>
    <w:rsid w:val="005C0421"/>
    <w:rsid w:val="005C1417"/>
    <w:rsid w:val="005C2A60"/>
    <w:rsid w:val="005C4C01"/>
    <w:rsid w:val="005C5432"/>
    <w:rsid w:val="005C5884"/>
    <w:rsid w:val="005C5A0D"/>
    <w:rsid w:val="005D0203"/>
    <w:rsid w:val="005D0A61"/>
    <w:rsid w:val="005D1158"/>
    <w:rsid w:val="005D1555"/>
    <w:rsid w:val="005D1CCD"/>
    <w:rsid w:val="005D1E80"/>
    <w:rsid w:val="005D2297"/>
    <w:rsid w:val="005D2359"/>
    <w:rsid w:val="005D3543"/>
    <w:rsid w:val="005D3D72"/>
    <w:rsid w:val="005D4DD3"/>
    <w:rsid w:val="005D5804"/>
    <w:rsid w:val="005D60CF"/>
    <w:rsid w:val="005D7E07"/>
    <w:rsid w:val="005E0EDA"/>
    <w:rsid w:val="005E1648"/>
    <w:rsid w:val="005E166B"/>
    <w:rsid w:val="005E258E"/>
    <w:rsid w:val="005E3144"/>
    <w:rsid w:val="005E4B86"/>
    <w:rsid w:val="005E6719"/>
    <w:rsid w:val="005E6BD9"/>
    <w:rsid w:val="005E7AE4"/>
    <w:rsid w:val="005F019B"/>
    <w:rsid w:val="005F1B7A"/>
    <w:rsid w:val="005F2C35"/>
    <w:rsid w:val="005F5DA3"/>
    <w:rsid w:val="005F663F"/>
    <w:rsid w:val="005F74CB"/>
    <w:rsid w:val="005F7665"/>
    <w:rsid w:val="00600480"/>
    <w:rsid w:val="00600F7C"/>
    <w:rsid w:val="006023E8"/>
    <w:rsid w:val="00604CC2"/>
    <w:rsid w:val="006053E0"/>
    <w:rsid w:val="00605CB2"/>
    <w:rsid w:val="00606DD0"/>
    <w:rsid w:val="00610FB6"/>
    <w:rsid w:val="006114C9"/>
    <w:rsid w:val="00611FE7"/>
    <w:rsid w:val="00612474"/>
    <w:rsid w:val="0061259F"/>
    <w:rsid w:val="0061349B"/>
    <w:rsid w:val="0061380B"/>
    <w:rsid w:val="00613D53"/>
    <w:rsid w:val="0061423C"/>
    <w:rsid w:val="006144AE"/>
    <w:rsid w:val="00614FC8"/>
    <w:rsid w:val="006151A8"/>
    <w:rsid w:val="00615471"/>
    <w:rsid w:val="00615B3F"/>
    <w:rsid w:val="00616220"/>
    <w:rsid w:val="00622D7F"/>
    <w:rsid w:val="00623630"/>
    <w:rsid w:val="00623BB4"/>
    <w:rsid w:val="00624483"/>
    <w:rsid w:val="00624C74"/>
    <w:rsid w:val="00624D11"/>
    <w:rsid w:val="006259A6"/>
    <w:rsid w:val="00626122"/>
    <w:rsid w:val="00627657"/>
    <w:rsid w:val="0063035E"/>
    <w:rsid w:val="0063318D"/>
    <w:rsid w:val="00633933"/>
    <w:rsid w:val="00635821"/>
    <w:rsid w:val="00635E4E"/>
    <w:rsid w:val="00637395"/>
    <w:rsid w:val="00637878"/>
    <w:rsid w:val="00637A8F"/>
    <w:rsid w:val="00640D19"/>
    <w:rsid w:val="0064504E"/>
    <w:rsid w:val="0064597C"/>
    <w:rsid w:val="00647A25"/>
    <w:rsid w:val="006534DA"/>
    <w:rsid w:val="006537D2"/>
    <w:rsid w:val="0065386F"/>
    <w:rsid w:val="00653A1B"/>
    <w:rsid w:val="00653F4A"/>
    <w:rsid w:val="00654E01"/>
    <w:rsid w:val="00655223"/>
    <w:rsid w:val="00655EE2"/>
    <w:rsid w:val="00656BCD"/>
    <w:rsid w:val="0065737E"/>
    <w:rsid w:val="00657E36"/>
    <w:rsid w:val="006600CB"/>
    <w:rsid w:val="00660A0F"/>
    <w:rsid w:val="00661122"/>
    <w:rsid w:val="00661294"/>
    <w:rsid w:val="0066156F"/>
    <w:rsid w:val="00663B73"/>
    <w:rsid w:val="00666B1A"/>
    <w:rsid w:val="00666FB1"/>
    <w:rsid w:val="00670AD7"/>
    <w:rsid w:val="00671524"/>
    <w:rsid w:val="006728EC"/>
    <w:rsid w:val="006748AF"/>
    <w:rsid w:val="00681502"/>
    <w:rsid w:val="00682C1A"/>
    <w:rsid w:val="00683769"/>
    <w:rsid w:val="00683B86"/>
    <w:rsid w:val="00683CD2"/>
    <w:rsid w:val="00687078"/>
    <w:rsid w:val="0069246C"/>
    <w:rsid w:val="00693BAC"/>
    <w:rsid w:val="00694747"/>
    <w:rsid w:val="00694963"/>
    <w:rsid w:val="006949EB"/>
    <w:rsid w:val="00694C77"/>
    <w:rsid w:val="00694E8B"/>
    <w:rsid w:val="006975F8"/>
    <w:rsid w:val="006A1574"/>
    <w:rsid w:val="006A1B8F"/>
    <w:rsid w:val="006A36A0"/>
    <w:rsid w:val="006A3C7F"/>
    <w:rsid w:val="006A3C87"/>
    <w:rsid w:val="006A55CA"/>
    <w:rsid w:val="006A78DE"/>
    <w:rsid w:val="006B07C6"/>
    <w:rsid w:val="006B23C0"/>
    <w:rsid w:val="006B3422"/>
    <w:rsid w:val="006B422C"/>
    <w:rsid w:val="006B43C5"/>
    <w:rsid w:val="006B51A4"/>
    <w:rsid w:val="006B70C7"/>
    <w:rsid w:val="006B7971"/>
    <w:rsid w:val="006C0E03"/>
    <w:rsid w:val="006C243F"/>
    <w:rsid w:val="006C30CD"/>
    <w:rsid w:val="006C33B4"/>
    <w:rsid w:val="006C39DC"/>
    <w:rsid w:val="006C3B19"/>
    <w:rsid w:val="006C3FE9"/>
    <w:rsid w:val="006C496E"/>
    <w:rsid w:val="006C4B9B"/>
    <w:rsid w:val="006D0919"/>
    <w:rsid w:val="006D0B06"/>
    <w:rsid w:val="006D368C"/>
    <w:rsid w:val="006D3DB1"/>
    <w:rsid w:val="006D40CA"/>
    <w:rsid w:val="006D5008"/>
    <w:rsid w:val="006D5A45"/>
    <w:rsid w:val="006D7217"/>
    <w:rsid w:val="006D7B03"/>
    <w:rsid w:val="006E1AF6"/>
    <w:rsid w:val="006E25B5"/>
    <w:rsid w:val="006E2656"/>
    <w:rsid w:val="006E28C1"/>
    <w:rsid w:val="006E2E51"/>
    <w:rsid w:val="006E3E69"/>
    <w:rsid w:val="006E44D7"/>
    <w:rsid w:val="006E5A9E"/>
    <w:rsid w:val="006E622A"/>
    <w:rsid w:val="006E66E8"/>
    <w:rsid w:val="006E67C6"/>
    <w:rsid w:val="006F0FCB"/>
    <w:rsid w:val="006F3128"/>
    <w:rsid w:val="006F37C3"/>
    <w:rsid w:val="006F5072"/>
    <w:rsid w:val="006F5DB7"/>
    <w:rsid w:val="006F6B6A"/>
    <w:rsid w:val="00700780"/>
    <w:rsid w:val="007007C8"/>
    <w:rsid w:val="007008C4"/>
    <w:rsid w:val="00701033"/>
    <w:rsid w:val="00701DA3"/>
    <w:rsid w:val="007020FE"/>
    <w:rsid w:val="00702239"/>
    <w:rsid w:val="007039F0"/>
    <w:rsid w:val="00705EC2"/>
    <w:rsid w:val="00707E01"/>
    <w:rsid w:val="007101C6"/>
    <w:rsid w:val="00710876"/>
    <w:rsid w:val="00711C45"/>
    <w:rsid w:val="0071320C"/>
    <w:rsid w:val="00713291"/>
    <w:rsid w:val="00716683"/>
    <w:rsid w:val="00721711"/>
    <w:rsid w:val="007218A4"/>
    <w:rsid w:val="00721CBC"/>
    <w:rsid w:val="00722BC5"/>
    <w:rsid w:val="00726496"/>
    <w:rsid w:val="00730A6E"/>
    <w:rsid w:val="00730BAD"/>
    <w:rsid w:val="007317D3"/>
    <w:rsid w:val="00731DA4"/>
    <w:rsid w:val="007325DE"/>
    <w:rsid w:val="00733A4D"/>
    <w:rsid w:val="00733D57"/>
    <w:rsid w:val="007348E2"/>
    <w:rsid w:val="00743462"/>
    <w:rsid w:val="007437C3"/>
    <w:rsid w:val="00745737"/>
    <w:rsid w:val="00746302"/>
    <w:rsid w:val="007479C0"/>
    <w:rsid w:val="00751B8A"/>
    <w:rsid w:val="00754BD1"/>
    <w:rsid w:val="0075682D"/>
    <w:rsid w:val="00756EC8"/>
    <w:rsid w:val="0076063B"/>
    <w:rsid w:val="007606B0"/>
    <w:rsid w:val="00760DAF"/>
    <w:rsid w:val="00762040"/>
    <w:rsid w:val="00762B65"/>
    <w:rsid w:val="0076304F"/>
    <w:rsid w:val="00763864"/>
    <w:rsid w:val="00764B5B"/>
    <w:rsid w:val="007660A9"/>
    <w:rsid w:val="00766585"/>
    <w:rsid w:val="00766AD8"/>
    <w:rsid w:val="00767559"/>
    <w:rsid w:val="00770C4E"/>
    <w:rsid w:val="007713FF"/>
    <w:rsid w:val="00772873"/>
    <w:rsid w:val="00775CFF"/>
    <w:rsid w:val="00775F1D"/>
    <w:rsid w:val="00776107"/>
    <w:rsid w:val="007769F3"/>
    <w:rsid w:val="007771EE"/>
    <w:rsid w:val="00777768"/>
    <w:rsid w:val="00777AB4"/>
    <w:rsid w:val="00780017"/>
    <w:rsid w:val="00780DD4"/>
    <w:rsid w:val="00780FBD"/>
    <w:rsid w:val="00782B1E"/>
    <w:rsid w:val="00784378"/>
    <w:rsid w:val="00784FBA"/>
    <w:rsid w:val="00787AB0"/>
    <w:rsid w:val="0079013F"/>
    <w:rsid w:val="007903A2"/>
    <w:rsid w:val="00792001"/>
    <w:rsid w:val="00792787"/>
    <w:rsid w:val="007937E4"/>
    <w:rsid w:val="00793E6D"/>
    <w:rsid w:val="00794342"/>
    <w:rsid w:val="00794DE2"/>
    <w:rsid w:val="00796BDD"/>
    <w:rsid w:val="007974A6"/>
    <w:rsid w:val="00797C92"/>
    <w:rsid w:val="007A0270"/>
    <w:rsid w:val="007A2102"/>
    <w:rsid w:val="007A29CC"/>
    <w:rsid w:val="007A2CC2"/>
    <w:rsid w:val="007A300A"/>
    <w:rsid w:val="007A62E1"/>
    <w:rsid w:val="007A6FD9"/>
    <w:rsid w:val="007A73F1"/>
    <w:rsid w:val="007B1332"/>
    <w:rsid w:val="007B1B70"/>
    <w:rsid w:val="007B1BD5"/>
    <w:rsid w:val="007B45D1"/>
    <w:rsid w:val="007B4FDF"/>
    <w:rsid w:val="007B5094"/>
    <w:rsid w:val="007C0BF9"/>
    <w:rsid w:val="007C2A89"/>
    <w:rsid w:val="007C2BDC"/>
    <w:rsid w:val="007C46C2"/>
    <w:rsid w:val="007C4E19"/>
    <w:rsid w:val="007C551B"/>
    <w:rsid w:val="007C61F8"/>
    <w:rsid w:val="007C6238"/>
    <w:rsid w:val="007C637D"/>
    <w:rsid w:val="007C7A5B"/>
    <w:rsid w:val="007D17A7"/>
    <w:rsid w:val="007D345E"/>
    <w:rsid w:val="007D3D2F"/>
    <w:rsid w:val="007D64B2"/>
    <w:rsid w:val="007D67CD"/>
    <w:rsid w:val="007D67E8"/>
    <w:rsid w:val="007D76B2"/>
    <w:rsid w:val="007E1553"/>
    <w:rsid w:val="007E2761"/>
    <w:rsid w:val="007E4418"/>
    <w:rsid w:val="007E5133"/>
    <w:rsid w:val="007E6C6B"/>
    <w:rsid w:val="007E79C2"/>
    <w:rsid w:val="007E7E17"/>
    <w:rsid w:val="007F0293"/>
    <w:rsid w:val="007F0E24"/>
    <w:rsid w:val="007F1371"/>
    <w:rsid w:val="007F1377"/>
    <w:rsid w:val="007F202B"/>
    <w:rsid w:val="007F4C6D"/>
    <w:rsid w:val="007F5369"/>
    <w:rsid w:val="007F6374"/>
    <w:rsid w:val="007F732B"/>
    <w:rsid w:val="007F7CAB"/>
    <w:rsid w:val="007F7E61"/>
    <w:rsid w:val="0080040F"/>
    <w:rsid w:val="008006E7"/>
    <w:rsid w:val="00800C8E"/>
    <w:rsid w:val="008013CD"/>
    <w:rsid w:val="00801FF2"/>
    <w:rsid w:val="0080273B"/>
    <w:rsid w:val="00802C0F"/>
    <w:rsid w:val="00804025"/>
    <w:rsid w:val="00804037"/>
    <w:rsid w:val="0080459C"/>
    <w:rsid w:val="00804C9F"/>
    <w:rsid w:val="008058F2"/>
    <w:rsid w:val="00806EB8"/>
    <w:rsid w:val="00810870"/>
    <w:rsid w:val="0081360C"/>
    <w:rsid w:val="00813666"/>
    <w:rsid w:val="00813CD6"/>
    <w:rsid w:val="00813DA0"/>
    <w:rsid w:val="0081474F"/>
    <w:rsid w:val="00814D23"/>
    <w:rsid w:val="00814E96"/>
    <w:rsid w:val="0081587C"/>
    <w:rsid w:val="00816416"/>
    <w:rsid w:val="008204A3"/>
    <w:rsid w:val="008211E4"/>
    <w:rsid w:val="0082147B"/>
    <w:rsid w:val="00821C71"/>
    <w:rsid w:val="00822A3C"/>
    <w:rsid w:val="00825CEC"/>
    <w:rsid w:val="00827666"/>
    <w:rsid w:val="008301BA"/>
    <w:rsid w:val="0083024B"/>
    <w:rsid w:val="00830353"/>
    <w:rsid w:val="00830C2B"/>
    <w:rsid w:val="00832254"/>
    <w:rsid w:val="00832298"/>
    <w:rsid w:val="00834877"/>
    <w:rsid w:val="00835DCA"/>
    <w:rsid w:val="00835E49"/>
    <w:rsid w:val="00835E4E"/>
    <w:rsid w:val="00837309"/>
    <w:rsid w:val="00840367"/>
    <w:rsid w:val="00841141"/>
    <w:rsid w:val="00841BA5"/>
    <w:rsid w:val="00841FE8"/>
    <w:rsid w:val="00844B70"/>
    <w:rsid w:val="00845EE2"/>
    <w:rsid w:val="0084744B"/>
    <w:rsid w:val="00850281"/>
    <w:rsid w:val="008515CF"/>
    <w:rsid w:val="00851922"/>
    <w:rsid w:val="00851FEA"/>
    <w:rsid w:val="008523BD"/>
    <w:rsid w:val="0085513A"/>
    <w:rsid w:val="00855C91"/>
    <w:rsid w:val="008575FA"/>
    <w:rsid w:val="00860B29"/>
    <w:rsid w:val="00861A1A"/>
    <w:rsid w:val="00861AE3"/>
    <w:rsid w:val="0086216A"/>
    <w:rsid w:val="00862B2A"/>
    <w:rsid w:val="00862FB5"/>
    <w:rsid w:val="0086485B"/>
    <w:rsid w:val="0086666E"/>
    <w:rsid w:val="008677D6"/>
    <w:rsid w:val="00871079"/>
    <w:rsid w:val="008711B3"/>
    <w:rsid w:val="00872EC8"/>
    <w:rsid w:val="00873219"/>
    <w:rsid w:val="00874644"/>
    <w:rsid w:val="008749C8"/>
    <w:rsid w:val="00875DA5"/>
    <w:rsid w:val="008761F8"/>
    <w:rsid w:val="00877233"/>
    <w:rsid w:val="008802D1"/>
    <w:rsid w:val="00880329"/>
    <w:rsid w:val="00881CB6"/>
    <w:rsid w:val="00883492"/>
    <w:rsid w:val="00884068"/>
    <w:rsid w:val="0088407E"/>
    <w:rsid w:val="008847E4"/>
    <w:rsid w:val="00885298"/>
    <w:rsid w:val="008855B3"/>
    <w:rsid w:val="00885D84"/>
    <w:rsid w:val="00887ECD"/>
    <w:rsid w:val="00890FF0"/>
    <w:rsid w:val="0089108C"/>
    <w:rsid w:val="00893F1B"/>
    <w:rsid w:val="00893F59"/>
    <w:rsid w:val="0089669D"/>
    <w:rsid w:val="008974F6"/>
    <w:rsid w:val="0089783D"/>
    <w:rsid w:val="008A00F1"/>
    <w:rsid w:val="008A24BF"/>
    <w:rsid w:val="008A37AF"/>
    <w:rsid w:val="008A45D6"/>
    <w:rsid w:val="008A56FD"/>
    <w:rsid w:val="008A6D59"/>
    <w:rsid w:val="008A7199"/>
    <w:rsid w:val="008A7FC3"/>
    <w:rsid w:val="008B0867"/>
    <w:rsid w:val="008B0DFC"/>
    <w:rsid w:val="008B3366"/>
    <w:rsid w:val="008B3950"/>
    <w:rsid w:val="008B4629"/>
    <w:rsid w:val="008B62EF"/>
    <w:rsid w:val="008B641F"/>
    <w:rsid w:val="008B65DE"/>
    <w:rsid w:val="008B73E1"/>
    <w:rsid w:val="008B7E32"/>
    <w:rsid w:val="008C00A9"/>
    <w:rsid w:val="008C131B"/>
    <w:rsid w:val="008C196B"/>
    <w:rsid w:val="008C1C85"/>
    <w:rsid w:val="008C1DA9"/>
    <w:rsid w:val="008C3E97"/>
    <w:rsid w:val="008C5446"/>
    <w:rsid w:val="008C692E"/>
    <w:rsid w:val="008D2A76"/>
    <w:rsid w:val="008D2AF5"/>
    <w:rsid w:val="008D3020"/>
    <w:rsid w:val="008D3568"/>
    <w:rsid w:val="008D6182"/>
    <w:rsid w:val="008D6515"/>
    <w:rsid w:val="008D6A10"/>
    <w:rsid w:val="008D78D4"/>
    <w:rsid w:val="008E242C"/>
    <w:rsid w:val="008E2CCF"/>
    <w:rsid w:val="008E32BC"/>
    <w:rsid w:val="008E56EE"/>
    <w:rsid w:val="008E6CC1"/>
    <w:rsid w:val="008E7FC0"/>
    <w:rsid w:val="008F065F"/>
    <w:rsid w:val="008F09CD"/>
    <w:rsid w:val="008F11A9"/>
    <w:rsid w:val="008F1355"/>
    <w:rsid w:val="008F1E44"/>
    <w:rsid w:val="008F2F2C"/>
    <w:rsid w:val="008F3474"/>
    <w:rsid w:val="008F37FC"/>
    <w:rsid w:val="008F4215"/>
    <w:rsid w:val="008F5141"/>
    <w:rsid w:val="008F749E"/>
    <w:rsid w:val="0090121F"/>
    <w:rsid w:val="00901697"/>
    <w:rsid w:val="00901C9E"/>
    <w:rsid w:val="00902603"/>
    <w:rsid w:val="009041CA"/>
    <w:rsid w:val="009067A5"/>
    <w:rsid w:val="00906E67"/>
    <w:rsid w:val="009102F3"/>
    <w:rsid w:val="00911167"/>
    <w:rsid w:val="009121EB"/>
    <w:rsid w:val="009122CF"/>
    <w:rsid w:val="00912AE9"/>
    <w:rsid w:val="00913087"/>
    <w:rsid w:val="0091328F"/>
    <w:rsid w:val="009141A5"/>
    <w:rsid w:val="009148A6"/>
    <w:rsid w:val="0091624C"/>
    <w:rsid w:val="009209AD"/>
    <w:rsid w:val="009224A5"/>
    <w:rsid w:val="00923907"/>
    <w:rsid w:val="00923B65"/>
    <w:rsid w:val="00924889"/>
    <w:rsid w:val="0092587B"/>
    <w:rsid w:val="00925B43"/>
    <w:rsid w:val="00926F3C"/>
    <w:rsid w:val="009272C5"/>
    <w:rsid w:val="00927D4C"/>
    <w:rsid w:val="00927E74"/>
    <w:rsid w:val="00931AD2"/>
    <w:rsid w:val="00934961"/>
    <w:rsid w:val="009350D2"/>
    <w:rsid w:val="009354FF"/>
    <w:rsid w:val="00935574"/>
    <w:rsid w:val="009359FE"/>
    <w:rsid w:val="00936D04"/>
    <w:rsid w:val="009406D3"/>
    <w:rsid w:val="009417A1"/>
    <w:rsid w:val="0094217E"/>
    <w:rsid w:val="00942A58"/>
    <w:rsid w:val="009438DF"/>
    <w:rsid w:val="009456FD"/>
    <w:rsid w:val="00945922"/>
    <w:rsid w:val="00945B99"/>
    <w:rsid w:val="00946F0F"/>
    <w:rsid w:val="009501AF"/>
    <w:rsid w:val="009506B5"/>
    <w:rsid w:val="00950E0A"/>
    <w:rsid w:val="0095135F"/>
    <w:rsid w:val="009517F8"/>
    <w:rsid w:val="00955E1D"/>
    <w:rsid w:val="00956235"/>
    <w:rsid w:val="0096103F"/>
    <w:rsid w:val="009618B9"/>
    <w:rsid w:val="009618CE"/>
    <w:rsid w:val="00961A3A"/>
    <w:rsid w:val="00961C75"/>
    <w:rsid w:val="00961F0D"/>
    <w:rsid w:val="009625C0"/>
    <w:rsid w:val="009659AF"/>
    <w:rsid w:val="0096697F"/>
    <w:rsid w:val="00967C58"/>
    <w:rsid w:val="00967D6B"/>
    <w:rsid w:val="00971B59"/>
    <w:rsid w:val="00971E27"/>
    <w:rsid w:val="00973027"/>
    <w:rsid w:val="00973A24"/>
    <w:rsid w:val="00974D87"/>
    <w:rsid w:val="0097500B"/>
    <w:rsid w:val="00976E20"/>
    <w:rsid w:val="00977A35"/>
    <w:rsid w:val="00977F71"/>
    <w:rsid w:val="00980467"/>
    <w:rsid w:val="009810DC"/>
    <w:rsid w:val="00981A60"/>
    <w:rsid w:val="00981C3A"/>
    <w:rsid w:val="00981EDA"/>
    <w:rsid w:val="009821A0"/>
    <w:rsid w:val="00985376"/>
    <w:rsid w:val="00990FC1"/>
    <w:rsid w:val="00991BB3"/>
    <w:rsid w:val="00994B5E"/>
    <w:rsid w:val="00994D50"/>
    <w:rsid w:val="0099665B"/>
    <w:rsid w:val="00996D75"/>
    <w:rsid w:val="00997A01"/>
    <w:rsid w:val="009A0C62"/>
    <w:rsid w:val="009A1445"/>
    <w:rsid w:val="009A1FF2"/>
    <w:rsid w:val="009A224B"/>
    <w:rsid w:val="009A3DA3"/>
    <w:rsid w:val="009A49C8"/>
    <w:rsid w:val="009A614C"/>
    <w:rsid w:val="009A67CE"/>
    <w:rsid w:val="009A796A"/>
    <w:rsid w:val="009A7BA7"/>
    <w:rsid w:val="009A7E66"/>
    <w:rsid w:val="009B1CAE"/>
    <w:rsid w:val="009B328F"/>
    <w:rsid w:val="009B358E"/>
    <w:rsid w:val="009B3E5A"/>
    <w:rsid w:val="009B40C2"/>
    <w:rsid w:val="009B4B73"/>
    <w:rsid w:val="009B6752"/>
    <w:rsid w:val="009B6E04"/>
    <w:rsid w:val="009C0F1A"/>
    <w:rsid w:val="009C4076"/>
    <w:rsid w:val="009C61D5"/>
    <w:rsid w:val="009C79B2"/>
    <w:rsid w:val="009D0322"/>
    <w:rsid w:val="009D65C9"/>
    <w:rsid w:val="009D7DD4"/>
    <w:rsid w:val="009E1EE1"/>
    <w:rsid w:val="009E42C5"/>
    <w:rsid w:val="009E4CEF"/>
    <w:rsid w:val="009E57BC"/>
    <w:rsid w:val="009E6723"/>
    <w:rsid w:val="009E795A"/>
    <w:rsid w:val="009E7D19"/>
    <w:rsid w:val="009F0C7E"/>
    <w:rsid w:val="009F1768"/>
    <w:rsid w:val="009F3174"/>
    <w:rsid w:val="009F44B4"/>
    <w:rsid w:val="009F5321"/>
    <w:rsid w:val="009F6EB7"/>
    <w:rsid w:val="009F71B2"/>
    <w:rsid w:val="009F7203"/>
    <w:rsid w:val="009F740A"/>
    <w:rsid w:val="009F7FA3"/>
    <w:rsid w:val="00A01418"/>
    <w:rsid w:val="00A01852"/>
    <w:rsid w:val="00A024B4"/>
    <w:rsid w:val="00A02580"/>
    <w:rsid w:val="00A025F3"/>
    <w:rsid w:val="00A02C7D"/>
    <w:rsid w:val="00A02EA3"/>
    <w:rsid w:val="00A045F5"/>
    <w:rsid w:val="00A052E3"/>
    <w:rsid w:val="00A06055"/>
    <w:rsid w:val="00A105E8"/>
    <w:rsid w:val="00A11C5B"/>
    <w:rsid w:val="00A12727"/>
    <w:rsid w:val="00A15186"/>
    <w:rsid w:val="00A15B07"/>
    <w:rsid w:val="00A162CF"/>
    <w:rsid w:val="00A169AE"/>
    <w:rsid w:val="00A16F72"/>
    <w:rsid w:val="00A172C3"/>
    <w:rsid w:val="00A20914"/>
    <w:rsid w:val="00A22A26"/>
    <w:rsid w:val="00A2381A"/>
    <w:rsid w:val="00A246C0"/>
    <w:rsid w:val="00A25CA6"/>
    <w:rsid w:val="00A261A0"/>
    <w:rsid w:val="00A269D4"/>
    <w:rsid w:val="00A273CE"/>
    <w:rsid w:val="00A31255"/>
    <w:rsid w:val="00A3222C"/>
    <w:rsid w:val="00A32F3F"/>
    <w:rsid w:val="00A34210"/>
    <w:rsid w:val="00A34219"/>
    <w:rsid w:val="00A34B37"/>
    <w:rsid w:val="00A352DB"/>
    <w:rsid w:val="00A3675F"/>
    <w:rsid w:val="00A374B7"/>
    <w:rsid w:val="00A37D3B"/>
    <w:rsid w:val="00A4378C"/>
    <w:rsid w:val="00A44B10"/>
    <w:rsid w:val="00A44F64"/>
    <w:rsid w:val="00A51E57"/>
    <w:rsid w:val="00A53303"/>
    <w:rsid w:val="00A53843"/>
    <w:rsid w:val="00A541C2"/>
    <w:rsid w:val="00A5558D"/>
    <w:rsid w:val="00A571D6"/>
    <w:rsid w:val="00A5737B"/>
    <w:rsid w:val="00A574E4"/>
    <w:rsid w:val="00A6045B"/>
    <w:rsid w:val="00A61465"/>
    <w:rsid w:val="00A6338C"/>
    <w:rsid w:val="00A63B18"/>
    <w:rsid w:val="00A64D35"/>
    <w:rsid w:val="00A64EE7"/>
    <w:rsid w:val="00A6528C"/>
    <w:rsid w:val="00A669A7"/>
    <w:rsid w:val="00A7163D"/>
    <w:rsid w:val="00A71A2B"/>
    <w:rsid w:val="00A73621"/>
    <w:rsid w:val="00A73A25"/>
    <w:rsid w:val="00A74226"/>
    <w:rsid w:val="00A742DB"/>
    <w:rsid w:val="00A743E1"/>
    <w:rsid w:val="00A768CF"/>
    <w:rsid w:val="00A76E58"/>
    <w:rsid w:val="00A80078"/>
    <w:rsid w:val="00A809E7"/>
    <w:rsid w:val="00A81FC2"/>
    <w:rsid w:val="00A82023"/>
    <w:rsid w:val="00A822AB"/>
    <w:rsid w:val="00A851D2"/>
    <w:rsid w:val="00A8586E"/>
    <w:rsid w:val="00A909CA"/>
    <w:rsid w:val="00A91A1C"/>
    <w:rsid w:val="00A92198"/>
    <w:rsid w:val="00A92322"/>
    <w:rsid w:val="00A92C9B"/>
    <w:rsid w:val="00A92ED9"/>
    <w:rsid w:val="00A93875"/>
    <w:rsid w:val="00A939D7"/>
    <w:rsid w:val="00A94BEB"/>
    <w:rsid w:val="00A95CAA"/>
    <w:rsid w:val="00A977FE"/>
    <w:rsid w:val="00AA05B1"/>
    <w:rsid w:val="00AA17E3"/>
    <w:rsid w:val="00AA3416"/>
    <w:rsid w:val="00AA52D1"/>
    <w:rsid w:val="00AA69D3"/>
    <w:rsid w:val="00AA7E0D"/>
    <w:rsid w:val="00AB0127"/>
    <w:rsid w:val="00AB062C"/>
    <w:rsid w:val="00AB0905"/>
    <w:rsid w:val="00AB093D"/>
    <w:rsid w:val="00AB0C84"/>
    <w:rsid w:val="00AB1731"/>
    <w:rsid w:val="00AB2E2F"/>
    <w:rsid w:val="00AB2E4C"/>
    <w:rsid w:val="00AB4FD8"/>
    <w:rsid w:val="00AB58F8"/>
    <w:rsid w:val="00AB688F"/>
    <w:rsid w:val="00AC031F"/>
    <w:rsid w:val="00AC0B5F"/>
    <w:rsid w:val="00AC183F"/>
    <w:rsid w:val="00AC2229"/>
    <w:rsid w:val="00AC291B"/>
    <w:rsid w:val="00AC2B52"/>
    <w:rsid w:val="00AC495E"/>
    <w:rsid w:val="00AC6EB6"/>
    <w:rsid w:val="00AC6FC3"/>
    <w:rsid w:val="00AD047B"/>
    <w:rsid w:val="00AD0718"/>
    <w:rsid w:val="00AD4007"/>
    <w:rsid w:val="00AD5932"/>
    <w:rsid w:val="00AD6420"/>
    <w:rsid w:val="00AD6831"/>
    <w:rsid w:val="00AD6BB4"/>
    <w:rsid w:val="00AD769A"/>
    <w:rsid w:val="00AE0889"/>
    <w:rsid w:val="00AE16B0"/>
    <w:rsid w:val="00AE182B"/>
    <w:rsid w:val="00AE1ED0"/>
    <w:rsid w:val="00AE249A"/>
    <w:rsid w:val="00AE44E4"/>
    <w:rsid w:val="00AE5AB0"/>
    <w:rsid w:val="00AE5DD7"/>
    <w:rsid w:val="00AE7128"/>
    <w:rsid w:val="00AE763D"/>
    <w:rsid w:val="00AF160F"/>
    <w:rsid w:val="00AF2066"/>
    <w:rsid w:val="00AF27A7"/>
    <w:rsid w:val="00AF2AF3"/>
    <w:rsid w:val="00AF4F17"/>
    <w:rsid w:val="00AF5FE0"/>
    <w:rsid w:val="00AF6113"/>
    <w:rsid w:val="00AF6D19"/>
    <w:rsid w:val="00AF751E"/>
    <w:rsid w:val="00B01C4E"/>
    <w:rsid w:val="00B02926"/>
    <w:rsid w:val="00B02BD6"/>
    <w:rsid w:val="00B02E88"/>
    <w:rsid w:val="00B02F97"/>
    <w:rsid w:val="00B032EB"/>
    <w:rsid w:val="00B057D9"/>
    <w:rsid w:val="00B05C35"/>
    <w:rsid w:val="00B07740"/>
    <w:rsid w:val="00B10329"/>
    <w:rsid w:val="00B11D88"/>
    <w:rsid w:val="00B125EE"/>
    <w:rsid w:val="00B14311"/>
    <w:rsid w:val="00B1564A"/>
    <w:rsid w:val="00B17481"/>
    <w:rsid w:val="00B2157C"/>
    <w:rsid w:val="00B21BBC"/>
    <w:rsid w:val="00B2265D"/>
    <w:rsid w:val="00B234C1"/>
    <w:rsid w:val="00B23ED4"/>
    <w:rsid w:val="00B2508F"/>
    <w:rsid w:val="00B25B70"/>
    <w:rsid w:val="00B26228"/>
    <w:rsid w:val="00B271BE"/>
    <w:rsid w:val="00B302BE"/>
    <w:rsid w:val="00B32D62"/>
    <w:rsid w:val="00B331BA"/>
    <w:rsid w:val="00B34D81"/>
    <w:rsid w:val="00B352A4"/>
    <w:rsid w:val="00B35F87"/>
    <w:rsid w:val="00B373B3"/>
    <w:rsid w:val="00B37AA7"/>
    <w:rsid w:val="00B40FBE"/>
    <w:rsid w:val="00B450D6"/>
    <w:rsid w:val="00B4559D"/>
    <w:rsid w:val="00B45F0E"/>
    <w:rsid w:val="00B46D8C"/>
    <w:rsid w:val="00B501E1"/>
    <w:rsid w:val="00B50A63"/>
    <w:rsid w:val="00B51AF5"/>
    <w:rsid w:val="00B51BBF"/>
    <w:rsid w:val="00B5244A"/>
    <w:rsid w:val="00B52530"/>
    <w:rsid w:val="00B54137"/>
    <w:rsid w:val="00B55488"/>
    <w:rsid w:val="00B565B7"/>
    <w:rsid w:val="00B572C7"/>
    <w:rsid w:val="00B6017B"/>
    <w:rsid w:val="00B60308"/>
    <w:rsid w:val="00B61516"/>
    <w:rsid w:val="00B6280A"/>
    <w:rsid w:val="00B62CD7"/>
    <w:rsid w:val="00B62D11"/>
    <w:rsid w:val="00B63946"/>
    <w:rsid w:val="00B63F1A"/>
    <w:rsid w:val="00B65909"/>
    <w:rsid w:val="00B66991"/>
    <w:rsid w:val="00B677A0"/>
    <w:rsid w:val="00B70E5E"/>
    <w:rsid w:val="00B7108B"/>
    <w:rsid w:val="00B72C30"/>
    <w:rsid w:val="00B72F51"/>
    <w:rsid w:val="00B73E62"/>
    <w:rsid w:val="00B741A8"/>
    <w:rsid w:val="00B74430"/>
    <w:rsid w:val="00B74F1E"/>
    <w:rsid w:val="00B765F4"/>
    <w:rsid w:val="00B7728B"/>
    <w:rsid w:val="00B77F1C"/>
    <w:rsid w:val="00B800B6"/>
    <w:rsid w:val="00B82A7C"/>
    <w:rsid w:val="00B83EF1"/>
    <w:rsid w:val="00B8424D"/>
    <w:rsid w:val="00B8458A"/>
    <w:rsid w:val="00B84860"/>
    <w:rsid w:val="00B85B7E"/>
    <w:rsid w:val="00B86692"/>
    <w:rsid w:val="00B86798"/>
    <w:rsid w:val="00B872B2"/>
    <w:rsid w:val="00B87A2B"/>
    <w:rsid w:val="00B90499"/>
    <w:rsid w:val="00B91CF7"/>
    <w:rsid w:val="00B9291D"/>
    <w:rsid w:val="00B92A5A"/>
    <w:rsid w:val="00B9302D"/>
    <w:rsid w:val="00B932F5"/>
    <w:rsid w:val="00B949EE"/>
    <w:rsid w:val="00B94B77"/>
    <w:rsid w:val="00B94C2A"/>
    <w:rsid w:val="00B96272"/>
    <w:rsid w:val="00B9658B"/>
    <w:rsid w:val="00B96E0E"/>
    <w:rsid w:val="00BA1A93"/>
    <w:rsid w:val="00BA211E"/>
    <w:rsid w:val="00BA25E7"/>
    <w:rsid w:val="00BA3EDA"/>
    <w:rsid w:val="00BA43AC"/>
    <w:rsid w:val="00BA4F7D"/>
    <w:rsid w:val="00BA5299"/>
    <w:rsid w:val="00BA5579"/>
    <w:rsid w:val="00BA7275"/>
    <w:rsid w:val="00BB06EC"/>
    <w:rsid w:val="00BB1F06"/>
    <w:rsid w:val="00BB3718"/>
    <w:rsid w:val="00BB4216"/>
    <w:rsid w:val="00BB4664"/>
    <w:rsid w:val="00BB5A0E"/>
    <w:rsid w:val="00BB5E23"/>
    <w:rsid w:val="00BB67DE"/>
    <w:rsid w:val="00BB7C44"/>
    <w:rsid w:val="00BC155A"/>
    <w:rsid w:val="00BC2A02"/>
    <w:rsid w:val="00BC36CD"/>
    <w:rsid w:val="00BC3938"/>
    <w:rsid w:val="00BC4F20"/>
    <w:rsid w:val="00BC5BEF"/>
    <w:rsid w:val="00BC6174"/>
    <w:rsid w:val="00BC6211"/>
    <w:rsid w:val="00BC79FD"/>
    <w:rsid w:val="00BD0A02"/>
    <w:rsid w:val="00BD1137"/>
    <w:rsid w:val="00BD2260"/>
    <w:rsid w:val="00BD3539"/>
    <w:rsid w:val="00BD63B9"/>
    <w:rsid w:val="00BD6A07"/>
    <w:rsid w:val="00BD6AF7"/>
    <w:rsid w:val="00BD76A7"/>
    <w:rsid w:val="00BD773F"/>
    <w:rsid w:val="00BE0CE0"/>
    <w:rsid w:val="00BE281E"/>
    <w:rsid w:val="00BE30A1"/>
    <w:rsid w:val="00BE350D"/>
    <w:rsid w:val="00BE5059"/>
    <w:rsid w:val="00BE67A4"/>
    <w:rsid w:val="00BE7609"/>
    <w:rsid w:val="00BF11CC"/>
    <w:rsid w:val="00BF1585"/>
    <w:rsid w:val="00BF1C14"/>
    <w:rsid w:val="00BF2C12"/>
    <w:rsid w:val="00BF59BE"/>
    <w:rsid w:val="00BF5CC0"/>
    <w:rsid w:val="00BF7340"/>
    <w:rsid w:val="00C01212"/>
    <w:rsid w:val="00C0723E"/>
    <w:rsid w:val="00C07ED1"/>
    <w:rsid w:val="00C109BA"/>
    <w:rsid w:val="00C10BB8"/>
    <w:rsid w:val="00C11ADF"/>
    <w:rsid w:val="00C12DA1"/>
    <w:rsid w:val="00C138D3"/>
    <w:rsid w:val="00C13B81"/>
    <w:rsid w:val="00C14F92"/>
    <w:rsid w:val="00C166DE"/>
    <w:rsid w:val="00C16F66"/>
    <w:rsid w:val="00C1749B"/>
    <w:rsid w:val="00C20D78"/>
    <w:rsid w:val="00C23660"/>
    <w:rsid w:val="00C23EDD"/>
    <w:rsid w:val="00C264CB"/>
    <w:rsid w:val="00C2778B"/>
    <w:rsid w:val="00C3017F"/>
    <w:rsid w:val="00C305A2"/>
    <w:rsid w:val="00C3199C"/>
    <w:rsid w:val="00C31A0E"/>
    <w:rsid w:val="00C333E6"/>
    <w:rsid w:val="00C34DCA"/>
    <w:rsid w:val="00C35635"/>
    <w:rsid w:val="00C36A69"/>
    <w:rsid w:val="00C36E5D"/>
    <w:rsid w:val="00C36FDE"/>
    <w:rsid w:val="00C37395"/>
    <w:rsid w:val="00C37B40"/>
    <w:rsid w:val="00C40F9C"/>
    <w:rsid w:val="00C41474"/>
    <w:rsid w:val="00C422FB"/>
    <w:rsid w:val="00C42F2D"/>
    <w:rsid w:val="00C439E5"/>
    <w:rsid w:val="00C45BEF"/>
    <w:rsid w:val="00C4680B"/>
    <w:rsid w:val="00C51D98"/>
    <w:rsid w:val="00C51DAE"/>
    <w:rsid w:val="00C52B1B"/>
    <w:rsid w:val="00C53A28"/>
    <w:rsid w:val="00C54A0B"/>
    <w:rsid w:val="00C55010"/>
    <w:rsid w:val="00C56B90"/>
    <w:rsid w:val="00C617E4"/>
    <w:rsid w:val="00C61B05"/>
    <w:rsid w:val="00C6216E"/>
    <w:rsid w:val="00C65B24"/>
    <w:rsid w:val="00C70EE5"/>
    <w:rsid w:val="00C721AB"/>
    <w:rsid w:val="00C7238C"/>
    <w:rsid w:val="00C73E85"/>
    <w:rsid w:val="00C74943"/>
    <w:rsid w:val="00C751A3"/>
    <w:rsid w:val="00C75953"/>
    <w:rsid w:val="00C76E41"/>
    <w:rsid w:val="00C8348C"/>
    <w:rsid w:val="00C83E86"/>
    <w:rsid w:val="00C86797"/>
    <w:rsid w:val="00C86EE9"/>
    <w:rsid w:val="00C874A7"/>
    <w:rsid w:val="00C87C53"/>
    <w:rsid w:val="00C902EB"/>
    <w:rsid w:val="00C90EAA"/>
    <w:rsid w:val="00C91520"/>
    <w:rsid w:val="00C923A7"/>
    <w:rsid w:val="00C9336E"/>
    <w:rsid w:val="00C93D7B"/>
    <w:rsid w:val="00C947D4"/>
    <w:rsid w:val="00CA009A"/>
    <w:rsid w:val="00CA039C"/>
    <w:rsid w:val="00CA096E"/>
    <w:rsid w:val="00CA09A7"/>
    <w:rsid w:val="00CA1C84"/>
    <w:rsid w:val="00CA23E8"/>
    <w:rsid w:val="00CA2858"/>
    <w:rsid w:val="00CA3B06"/>
    <w:rsid w:val="00CA6142"/>
    <w:rsid w:val="00CA6DF0"/>
    <w:rsid w:val="00CA70F5"/>
    <w:rsid w:val="00CA7269"/>
    <w:rsid w:val="00CA7942"/>
    <w:rsid w:val="00CB0425"/>
    <w:rsid w:val="00CB1CE1"/>
    <w:rsid w:val="00CB1F76"/>
    <w:rsid w:val="00CB455D"/>
    <w:rsid w:val="00CB4773"/>
    <w:rsid w:val="00CB489E"/>
    <w:rsid w:val="00CB4CF7"/>
    <w:rsid w:val="00CB562B"/>
    <w:rsid w:val="00CB5BF8"/>
    <w:rsid w:val="00CB7A80"/>
    <w:rsid w:val="00CC1911"/>
    <w:rsid w:val="00CC1E94"/>
    <w:rsid w:val="00CC349F"/>
    <w:rsid w:val="00CC5857"/>
    <w:rsid w:val="00CC6F9A"/>
    <w:rsid w:val="00CD0EC9"/>
    <w:rsid w:val="00CD12FE"/>
    <w:rsid w:val="00CD1679"/>
    <w:rsid w:val="00CD437E"/>
    <w:rsid w:val="00CD460B"/>
    <w:rsid w:val="00CD4C04"/>
    <w:rsid w:val="00CD5C97"/>
    <w:rsid w:val="00CD5FF8"/>
    <w:rsid w:val="00CD63FD"/>
    <w:rsid w:val="00CD6551"/>
    <w:rsid w:val="00CD79A5"/>
    <w:rsid w:val="00CE077C"/>
    <w:rsid w:val="00CE1EF5"/>
    <w:rsid w:val="00CE26D8"/>
    <w:rsid w:val="00CE2A9F"/>
    <w:rsid w:val="00CE2D09"/>
    <w:rsid w:val="00CE2D0E"/>
    <w:rsid w:val="00CE309E"/>
    <w:rsid w:val="00CE39CF"/>
    <w:rsid w:val="00CE3C11"/>
    <w:rsid w:val="00CE655A"/>
    <w:rsid w:val="00CE66FB"/>
    <w:rsid w:val="00CE6709"/>
    <w:rsid w:val="00CE6B28"/>
    <w:rsid w:val="00CF0540"/>
    <w:rsid w:val="00CF2E25"/>
    <w:rsid w:val="00CF3220"/>
    <w:rsid w:val="00CF349E"/>
    <w:rsid w:val="00CF40A9"/>
    <w:rsid w:val="00CF487B"/>
    <w:rsid w:val="00CF5E5E"/>
    <w:rsid w:val="00CF7E00"/>
    <w:rsid w:val="00D00DFA"/>
    <w:rsid w:val="00D00E6D"/>
    <w:rsid w:val="00D0149A"/>
    <w:rsid w:val="00D022F2"/>
    <w:rsid w:val="00D02899"/>
    <w:rsid w:val="00D03732"/>
    <w:rsid w:val="00D03D2E"/>
    <w:rsid w:val="00D04305"/>
    <w:rsid w:val="00D05288"/>
    <w:rsid w:val="00D059B4"/>
    <w:rsid w:val="00D10180"/>
    <w:rsid w:val="00D1033F"/>
    <w:rsid w:val="00D10BF5"/>
    <w:rsid w:val="00D10C0E"/>
    <w:rsid w:val="00D112D2"/>
    <w:rsid w:val="00D12665"/>
    <w:rsid w:val="00D13495"/>
    <w:rsid w:val="00D14E17"/>
    <w:rsid w:val="00D15D4F"/>
    <w:rsid w:val="00D1764B"/>
    <w:rsid w:val="00D178DD"/>
    <w:rsid w:val="00D20EFC"/>
    <w:rsid w:val="00D21788"/>
    <w:rsid w:val="00D217E9"/>
    <w:rsid w:val="00D236EE"/>
    <w:rsid w:val="00D23D04"/>
    <w:rsid w:val="00D25E8C"/>
    <w:rsid w:val="00D25F31"/>
    <w:rsid w:val="00D261E5"/>
    <w:rsid w:val="00D27BBC"/>
    <w:rsid w:val="00D3061D"/>
    <w:rsid w:val="00D313E4"/>
    <w:rsid w:val="00D31A29"/>
    <w:rsid w:val="00D330FC"/>
    <w:rsid w:val="00D36C40"/>
    <w:rsid w:val="00D373CC"/>
    <w:rsid w:val="00D41C07"/>
    <w:rsid w:val="00D4243B"/>
    <w:rsid w:val="00D43621"/>
    <w:rsid w:val="00D4462C"/>
    <w:rsid w:val="00D46225"/>
    <w:rsid w:val="00D470E0"/>
    <w:rsid w:val="00D47323"/>
    <w:rsid w:val="00D478D7"/>
    <w:rsid w:val="00D51B88"/>
    <w:rsid w:val="00D52093"/>
    <w:rsid w:val="00D52D23"/>
    <w:rsid w:val="00D52D28"/>
    <w:rsid w:val="00D55229"/>
    <w:rsid w:val="00D5789B"/>
    <w:rsid w:val="00D57C80"/>
    <w:rsid w:val="00D61122"/>
    <w:rsid w:val="00D6177D"/>
    <w:rsid w:val="00D61F5C"/>
    <w:rsid w:val="00D6313C"/>
    <w:rsid w:val="00D6350B"/>
    <w:rsid w:val="00D636DE"/>
    <w:rsid w:val="00D66AF9"/>
    <w:rsid w:val="00D67CDA"/>
    <w:rsid w:val="00D71A1B"/>
    <w:rsid w:val="00D71AC9"/>
    <w:rsid w:val="00D724F2"/>
    <w:rsid w:val="00D72568"/>
    <w:rsid w:val="00D72881"/>
    <w:rsid w:val="00D8131E"/>
    <w:rsid w:val="00D824FC"/>
    <w:rsid w:val="00D82F72"/>
    <w:rsid w:val="00D856A4"/>
    <w:rsid w:val="00D8626E"/>
    <w:rsid w:val="00D86AF7"/>
    <w:rsid w:val="00D8799C"/>
    <w:rsid w:val="00D87DB6"/>
    <w:rsid w:val="00D90B31"/>
    <w:rsid w:val="00D920D0"/>
    <w:rsid w:val="00D937CB"/>
    <w:rsid w:val="00D94169"/>
    <w:rsid w:val="00D94493"/>
    <w:rsid w:val="00D9500B"/>
    <w:rsid w:val="00D9588E"/>
    <w:rsid w:val="00D96D62"/>
    <w:rsid w:val="00DA1761"/>
    <w:rsid w:val="00DA4DA0"/>
    <w:rsid w:val="00DA4E6A"/>
    <w:rsid w:val="00DA5ABA"/>
    <w:rsid w:val="00DA7B65"/>
    <w:rsid w:val="00DB18E3"/>
    <w:rsid w:val="00DB2DC9"/>
    <w:rsid w:val="00DB5297"/>
    <w:rsid w:val="00DB5A00"/>
    <w:rsid w:val="00DB5C32"/>
    <w:rsid w:val="00DC0126"/>
    <w:rsid w:val="00DC2A06"/>
    <w:rsid w:val="00DC338D"/>
    <w:rsid w:val="00DC3C69"/>
    <w:rsid w:val="00DC3CF4"/>
    <w:rsid w:val="00DC64B7"/>
    <w:rsid w:val="00DC66DE"/>
    <w:rsid w:val="00DC718E"/>
    <w:rsid w:val="00DC7866"/>
    <w:rsid w:val="00DD199C"/>
    <w:rsid w:val="00DD1F19"/>
    <w:rsid w:val="00DD1FB3"/>
    <w:rsid w:val="00DD36C5"/>
    <w:rsid w:val="00DD4339"/>
    <w:rsid w:val="00DD531B"/>
    <w:rsid w:val="00DD58A4"/>
    <w:rsid w:val="00DD6820"/>
    <w:rsid w:val="00DD6AD9"/>
    <w:rsid w:val="00DD72BC"/>
    <w:rsid w:val="00DD75E7"/>
    <w:rsid w:val="00DD77BA"/>
    <w:rsid w:val="00DD7CAF"/>
    <w:rsid w:val="00DE0713"/>
    <w:rsid w:val="00DE3601"/>
    <w:rsid w:val="00DE42FF"/>
    <w:rsid w:val="00DE5073"/>
    <w:rsid w:val="00DE7334"/>
    <w:rsid w:val="00DE7DD0"/>
    <w:rsid w:val="00DF01A5"/>
    <w:rsid w:val="00DF01E0"/>
    <w:rsid w:val="00DF0F0B"/>
    <w:rsid w:val="00DF1224"/>
    <w:rsid w:val="00DF2EBE"/>
    <w:rsid w:val="00DF3845"/>
    <w:rsid w:val="00DF43DA"/>
    <w:rsid w:val="00DF6E23"/>
    <w:rsid w:val="00DF6F90"/>
    <w:rsid w:val="00DF7D58"/>
    <w:rsid w:val="00E00225"/>
    <w:rsid w:val="00E0030D"/>
    <w:rsid w:val="00E0239C"/>
    <w:rsid w:val="00E0669C"/>
    <w:rsid w:val="00E06D49"/>
    <w:rsid w:val="00E07023"/>
    <w:rsid w:val="00E077EB"/>
    <w:rsid w:val="00E1009B"/>
    <w:rsid w:val="00E1032E"/>
    <w:rsid w:val="00E12161"/>
    <w:rsid w:val="00E1430D"/>
    <w:rsid w:val="00E14BFB"/>
    <w:rsid w:val="00E1786F"/>
    <w:rsid w:val="00E17FA8"/>
    <w:rsid w:val="00E20884"/>
    <w:rsid w:val="00E20D97"/>
    <w:rsid w:val="00E20F25"/>
    <w:rsid w:val="00E23F66"/>
    <w:rsid w:val="00E2500B"/>
    <w:rsid w:val="00E260E6"/>
    <w:rsid w:val="00E27BD7"/>
    <w:rsid w:val="00E27EBC"/>
    <w:rsid w:val="00E32376"/>
    <w:rsid w:val="00E327F8"/>
    <w:rsid w:val="00E32A3D"/>
    <w:rsid w:val="00E34105"/>
    <w:rsid w:val="00E34159"/>
    <w:rsid w:val="00E3423F"/>
    <w:rsid w:val="00E35831"/>
    <w:rsid w:val="00E409B1"/>
    <w:rsid w:val="00E41628"/>
    <w:rsid w:val="00E43A73"/>
    <w:rsid w:val="00E4417F"/>
    <w:rsid w:val="00E44DF3"/>
    <w:rsid w:val="00E45925"/>
    <w:rsid w:val="00E46FC2"/>
    <w:rsid w:val="00E50543"/>
    <w:rsid w:val="00E50BA2"/>
    <w:rsid w:val="00E515AA"/>
    <w:rsid w:val="00E52C48"/>
    <w:rsid w:val="00E541B0"/>
    <w:rsid w:val="00E54309"/>
    <w:rsid w:val="00E54AC7"/>
    <w:rsid w:val="00E55492"/>
    <w:rsid w:val="00E57CFB"/>
    <w:rsid w:val="00E57D03"/>
    <w:rsid w:val="00E60E67"/>
    <w:rsid w:val="00E62345"/>
    <w:rsid w:val="00E6375F"/>
    <w:rsid w:val="00E63CE7"/>
    <w:rsid w:val="00E64517"/>
    <w:rsid w:val="00E65C4A"/>
    <w:rsid w:val="00E67159"/>
    <w:rsid w:val="00E6748C"/>
    <w:rsid w:val="00E67D5F"/>
    <w:rsid w:val="00E72F60"/>
    <w:rsid w:val="00E73811"/>
    <w:rsid w:val="00E73A47"/>
    <w:rsid w:val="00E73A56"/>
    <w:rsid w:val="00E73BCA"/>
    <w:rsid w:val="00E73DDD"/>
    <w:rsid w:val="00E751F9"/>
    <w:rsid w:val="00E75E35"/>
    <w:rsid w:val="00E80549"/>
    <w:rsid w:val="00E80666"/>
    <w:rsid w:val="00E8083D"/>
    <w:rsid w:val="00E834EE"/>
    <w:rsid w:val="00E866EF"/>
    <w:rsid w:val="00E9407A"/>
    <w:rsid w:val="00E94EE8"/>
    <w:rsid w:val="00E955D2"/>
    <w:rsid w:val="00E97A44"/>
    <w:rsid w:val="00EA1988"/>
    <w:rsid w:val="00EA1CFD"/>
    <w:rsid w:val="00EA37AF"/>
    <w:rsid w:val="00EA4AE8"/>
    <w:rsid w:val="00EA5F79"/>
    <w:rsid w:val="00EA6B55"/>
    <w:rsid w:val="00EA6BF0"/>
    <w:rsid w:val="00EB046B"/>
    <w:rsid w:val="00EB0720"/>
    <w:rsid w:val="00EB0FB4"/>
    <w:rsid w:val="00EB1B51"/>
    <w:rsid w:val="00EB2446"/>
    <w:rsid w:val="00EB430D"/>
    <w:rsid w:val="00EB4F6B"/>
    <w:rsid w:val="00EB593B"/>
    <w:rsid w:val="00EB7370"/>
    <w:rsid w:val="00EB7446"/>
    <w:rsid w:val="00EB7F40"/>
    <w:rsid w:val="00EC0C4F"/>
    <w:rsid w:val="00EC31CB"/>
    <w:rsid w:val="00EC3EB0"/>
    <w:rsid w:val="00EC4E4D"/>
    <w:rsid w:val="00EC517A"/>
    <w:rsid w:val="00EC55FB"/>
    <w:rsid w:val="00EC6A7A"/>
    <w:rsid w:val="00ED041E"/>
    <w:rsid w:val="00ED133E"/>
    <w:rsid w:val="00ED1CC4"/>
    <w:rsid w:val="00ED2BAA"/>
    <w:rsid w:val="00ED3007"/>
    <w:rsid w:val="00ED428E"/>
    <w:rsid w:val="00ED4C2F"/>
    <w:rsid w:val="00ED5CD7"/>
    <w:rsid w:val="00ED5CFE"/>
    <w:rsid w:val="00ED7A7B"/>
    <w:rsid w:val="00ED7FF2"/>
    <w:rsid w:val="00EE0116"/>
    <w:rsid w:val="00EE056F"/>
    <w:rsid w:val="00EE0F22"/>
    <w:rsid w:val="00EE11DA"/>
    <w:rsid w:val="00EE2731"/>
    <w:rsid w:val="00EE2775"/>
    <w:rsid w:val="00EE27CE"/>
    <w:rsid w:val="00EE2D07"/>
    <w:rsid w:val="00EE3DEA"/>
    <w:rsid w:val="00EE53DA"/>
    <w:rsid w:val="00EE53E7"/>
    <w:rsid w:val="00EE68B6"/>
    <w:rsid w:val="00EE76B1"/>
    <w:rsid w:val="00EE7B33"/>
    <w:rsid w:val="00EF05DD"/>
    <w:rsid w:val="00EF0DE6"/>
    <w:rsid w:val="00EF1FFB"/>
    <w:rsid w:val="00EF65AE"/>
    <w:rsid w:val="00EF7B15"/>
    <w:rsid w:val="00F009A7"/>
    <w:rsid w:val="00F00A71"/>
    <w:rsid w:val="00F0234E"/>
    <w:rsid w:val="00F023C2"/>
    <w:rsid w:val="00F0264D"/>
    <w:rsid w:val="00F050E7"/>
    <w:rsid w:val="00F05DBC"/>
    <w:rsid w:val="00F0616E"/>
    <w:rsid w:val="00F06FF1"/>
    <w:rsid w:val="00F07F27"/>
    <w:rsid w:val="00F10DA5"/>
    <w:rsid w:val="00F1125F"/>
    <w:rsid w:val="00F112D7"/>
    <w:rsid w:val="00F11EED"/>
    <w:rsid w:val="00F12C4B"/>
    <w:rsid w:val="00F12EB6"/>
    <w:rsid w:val="00F13284"/>
    <w:rsid w:val="00F1490D"/>
    <w:rsid w:val="00F1495A"/>
    <w:rsid w:val="00F14C6A"/>
    <w:rsid w:val="00F14DDB"/>
    <w:rsid w:val="00F14F8E"/>
    <w:rsid w:val="00F15AC6"/>
    <w:rsid w:val="00F15E4E"/>
    <w:rsid w:val="00F16D9D"/>
    <w:rsid w:val="00F17420"/>
    <w:rsid w:val="00F17632"/>
    <w:rsid w:val="00F2102E"/>
    <w:rsid w:val="00F219E1"/>
    <w:rsid w:val="00F2304D"/>
    <w:rsid w:val="00F2313A"/>
    <w:rsid w:val="00F23737"/>
    <w:rsid w:val="00F23BFD"/>
    <w:rsid w:val="00F25472"/>
    <w:rsid w:val="00F26695"/>
    <w:rsid w:val="00F27966"/>
    <w:rsid w:val="00F30222"/>
    <w:rsid w:val="00F32243"/>
    <w:rsid w:val="00F323C7"/>
    <w:rsid w:val="00F324BD"/>
    <w:rsid w:val="00F325BF"/>
    <w:rsid w:val="00F34596"/>
    <w:rsid w:val="00F345D0"/>
    <w:rsid w:val="00F347BC"/>
    <w:rsid w:val="00F36FE7"/>
    <w:rsid w:val="00F37ADA"/>
    <w:rsid w:val="00F423E4"/>
    <w:rsid w:val="00F4296B"/>
    <w:rsid w:val="00F45023"/>
    <w:rsid w:val="00F4547D"/>
    <w:rsid w:val="00F46283"/>
    <w:rsid w:val="00F46D1A"/>
    <w:rsid w:val="00F52B6E"/>
    <w:rsid w:val="00F52E70"/>
    <w:rsid w:val="00F53277"/>
    <w:rsid w:val="00F536A5"/>
    <w:rsid w:val="00F540F4"/>
    <w:rsid w:val="00F545E9"/>
    <w:rsid w:val="00F54D87"/>
    <w:rsid w:val="00F5548B"/>
    <w:rsid w:val="00F55857"/>
    <w:rsid w:val="00F56FF3"/>
    <w:rsid w:val="00F57842"/>
    <w:rsid w:val="00F62FCA"/>
    <w:rsid w:val="00F6349F"/>
    <w:rsid w:val="00F63632"/>
    <w:rsid w:val="00F6452D"/>
    <w:rsid w:val="00F65642"/>
    <w:rsid w:val="00F672BD"/>
    <w:rsid w:val="00F672C2"/>
    <w:rsid w:val="00F70078"/>
    <w:rsid w:val="00F70BE2"/>
    <w:rsid w:val="00F711A7"/>
    <w:rsid w:val="00F715DF"/>
    <w:rsid w:val="00F72656"/>
    <w:rsid w:val="00F72A9D"/>
    <w:rsid w:val="00F73ED6"/>
    <w:rsid w:val="00F74E08"/>
    <w:rsid w:val="00F756CE"/>
    <w:rsid w:val="00F7633B"/>
    <w:rsid w:val="00F7722F"/>
    <w:rsid w:val="00F777E2"/>
    <w:rsid w:val="00F77B00"/>
    <w:rsid w:val="00F81735"/>
    <w:rsid w:val="00F82094"/>
    <w:rsid w:val="00F82203"/>
    <w:rsid w:val="00F8348D"/>
    <w:rsid w:val="00F8428F"/>
    <w:rsid w:val="00F84C3C"/>
    <w:rsid w:val="00F8551E"/>
    <w:rsid w:val="00F86F82"/>
    <w:rsid w:val="00F873E8"/>
    <w:rsid w:val="00F87813"/>
    <w:rsid w:val="00F93504"/>
    <w:rsid w:val="00F96BBB"/>
    <w:rsid w:val="00FA05F3"/>
    <w:rsid w:val="00FA2EDC"/>
    <w:rsid w:val="00FA355A"/>
    <w:rsid w:val="00FA41ED"/>
    <w:rsid w:val="00FA4536"/>
    <w:rsid w:val="00FA5351"/>
    <w:rsid w:val="00FA6DF5"/>
    <w:rsid w:val="00FA7122"/>
    <w:rsid w:val="00FA7DE1"/>
    <w:rsid w:val="00FB06FB"/>
    <w:rsid w:val="00FB1BF0"/>
    <w:rsid w:val="00FB2654"/>
    <w:rsid w:val="00FB4E62"/>
    <w:rsid w:val="00FC00BB"/>
    <w:rsid w:val="00FC016A"/>
    <w:rsid w:val="00FC062E"/>
    <w:rsid w:val="00FC10FC"/>
    <w:rsid w:val="00FC3450"/>
    <w:rsid w:val="00FC3EA0"/>
    <w:rsid w:val="00FC43DD"/>
    <w:rsid w:val="00FC4AE9"/>
    <w:rsid w:val="00FC797A"/>
    <w:rsid w:val="00FC7CEE"/>
    <w:rsid w:val="00FD03EA"/>
    <w:rsid w:val="00FD1B83"/>
    <w:rsid w:val="00FD4D2D"/>
    <w:rsid w:val="00FD55EE"/>
    <w:rsid w:val="00FD61F0"/>
    <w:rsid w:val="00FD70BA"/>
    <w:rsid w:val="00FD7B23"/>
    <w:rsid w:val="00FE026F"/>
    <w:rsid w:val="00FE0B71"/>
    <w:rsid w:val="00FE1284"/>
    <w:rsid w:val="00FE2855"/>
    <w:rsid w:val="00FE3CBC"/>
    <w:rsid w:val="00FE417E"/>
    <w:rsid w:val="00FE6446"/>
    <w:rsid w:val="00FE6D77"/>
    <w:rsid w:val="00FE72FA"/>
    <w:rsid w:val="00FF052D"/>
    <w:rsid w:val="00FF05A8"/>
    <w:rsid w:val="00FF10F9"/>
    <w:rsid w:val="00FF30DC"/>
    <w:rsid w:val="00FF55CD"/>
    <w:rsid w:val="00FF56F7"/>
    <w:rsid w:val="00FF7454"/>
    <w:rsid w:val="00FF7E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C9F50"/>
  <w15:chartTrackingRefBased/>
  <w15:docId w15:val="{7A1E302E-13AA-425C-8A8B-B1941A6C5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2B0A"/>
  </w:style>
  <w:style w:type="paragraph" w:styleId="Nadpis1">
    <w:name w:val="heading 1"/>
    <w:aliases w:val="Char5 Char,Nadpis 1 Char Char,Heading 1 Char Char Char Char Char,Heading 1 Char Char Char Char,Heading 1 Char Char Char,Čo robí (časť)"/>
    <w:basedOn w:val="Normlny"/>
    <w:next w:val="Normlny"/>
    <w:link w:val="Nadpis1Char"/>
    <w:uiPriority w:val="9"/>
    <w:qFormat/>
    <w:rsid w:val="00052B0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Nadpis 2 Char Char Char,Nadpis 2 Char Char Char Char,Nadpis 2 Char Char,Úloha,Char24 Char Char,Char24 Char Char Char"/>
    <w:basedOn w:val="Normlny"/>
    <w:next w:val="Normlny"/>
    <w:link w:val="Nadpis2Char"/>
    <w:uiPriority w:val="9"/>
    <w:qFormat/>
    <w:rsid w:val="00052B0A"/>
    <w:pPr>
      <w:keepNext/>
      <w:spacing w:before="240" w:after="60" w:line="240" w:lineRule="auto"/>
      <w:outlineLvl w:val="1"/>
    </w:pPr>
    <w:rPr>
      <w:rFonts w:ascii="Arial" w:eastAsia="Times New Roman" w:hAnsi="Arial" w:cs="Times New Roman"/>
      <w:b/>
      <w:bCs/>
      <w:i/>
      <w:iCs/>
      <w:sz w:val="28"/>
      <w:szCs w:val="28"/>
      <w:lang w:eastAsia="cs-CZ"/>
    </w:rPr>
  </w:style>
  <w:style w:type="paragraph" w:styleId="Nadpis3">
    <w:name w:val="heading 3"/>
    <w:aliases w:val="Char4 Char,Nadpis 3 Char Char,Heading 3 Char Char Char,Podúloha"/>
    <w:basedOn w:val="Normlny"/>
    <w:next w:val="Normlny"/>
    <w:link w:val="Nadpis3Char"/>
    <w:uiPriority w:val="9"/>
    <w:qFormat/>
    <w:rsid w:val="00A809E7"/>
    <w:pPr>
      <w:keepNext/>
      <w:spacing w:before="240" w:after="60" w:line="240" w:lineRule="auto"/>
      <w:outlineLvl w:val="2"/>
    </w:pPr>
    <w:rPr>
      <w:rFonts w:ascii="Arial" w:eastAsia="Times New Roman" w:hAnsi="Arial" w:cs="Times New Roman"/>
      <w:b/>
      <w:bCs/>
      <w:sz w:val="26"/>
      <w:szCs w:val="26"/>
      <w:lang w:eastAsia="cs-CZ"/>
    </w:rPr>
  </w:style>
  <w:style w:type="paragraph" w:styleId="Nadpis4">
    <w:name w:val="heading 4"/>
    <w:aliases w:val="Char Char,Nadpis 4 Char Char,Heading 4 Char Char Char,Termín"/>
    <w:basedOn w:val="Normlny"/>
    <w:next w:val="Normlny"/>
    <w:link w:val="Nadpis4Char"/>
    <w:uiPriority w:val="9"/>
    <w:qFormat/>
    <w:rsid w:val="00A809E7"/>
    <w:pPr>
      <w:keepNext/>
      <w:spacing w:after="0" w:line="240" w:lineRule="auto"/>
      <w:jc w:val="both"/>
      <w:outlineLvl w:val="3"/>
    </w:pPr>
    <w:rPr>
      <w:rFonts w:ascii="Arial" w:eastAsia="Times New Roman" w:hAnsi="Arial" w:cs="Times New Roman"/>
      <w:b/>
      <w:bCs/>
      <w:sz w:val="20"/>
      <w:szCs w:val="20"/>
      <w:lang w:eastAsia="cs-CZ"/>
    </w:rPr>
  </w:style>
  <w:style w:type="paragraph" w:styleId="Nadpis5">
    <w:name w:val="heading 5"/>
    <w:basedOn w:val="Normlny"/>
    <w:next w:val="Normlny"/>
    <w:link w:val="Nadpis5Char"/>
    <w:uiPriority w:val="99"/>
    <w:qFormat/>
    <w:rsid w:val="00A809E7"/>
    <w:pPr>
      <w:tabs>
        <w:tab w:val="num" w:pos="3240"/>
      </w:tabs>
      <w:spacing w:before="240" w:after="60" w:line="240" w:lineRule="auto"/>
      <w:ind w:left="2880"/>
      <w:outlineLvl w:val="4"/>
    </w:pPr>
    <w:rPr>
      <w:rFonts w:ascii="Times New Roman" w:eastAsia="Times New Roman" w:hAnsi="Times New Roman" w:cs="Times New Roman"/>
      <w:b/>
      <w:bCs/>
      <w:i/>
      <w:iCs/>
      <w:sz w:val="26"/>
      <w:szCs w:val="26"/>
      <w:lang w:eastAsia="cs-CZ"/>
    </w:rPr>
  </w:style>
  <w:style w:type="paragraph" w:styleId="Nadpis6">
    <w:name w:val="heading 6"/>
    <w:basedOn w:val="Normlny"/>
    <w:next w:val="Normlny"/>
    <w:link w:val="Nadpis6Char"/>
    <w:uiPriority w:val="99"/>
    <w:qFormat/>
    <w:rsid w:val="00A809E7"/>
    <w:pPr>
      <w:tabs>
        <w:tab w:val="num" w:pos="3960"/>
      </w:tabs>
      <w:spacing w:before="240" w:after="60" w:line="240" w:lineRule="auto"/>
      <w:ind w:left="3600"/>
      <w:outlineLvl w:val="5"/>
    </w:pPr>
    <w:rPr>
      <w:rFonts w:ascii="Times New Roman" w:eastAsia="Times New Roman" w:hAnsi="Times New Roman" w:cs="Times New Roman"/>
      <w:b/>
      <w:bCs/>
      <w:lang w:eastAsia="cs-CZ"/>
    </w:rPr>
  </w:style>
  <w:style w:type="paragraph" w:styleId="Nadpis7">
    <w:name w:val="heading 7"/>
    <w:basedOn w:val="Normlny"/>
    <w:next w:val="Normlny"/>
    <w:link w:val="Nadpis7Char"/>
    <w:uiPriority w:val="99"/>
    <w:qFormat/>
    <w:rsid w:val="00A809E7"/>
    <w:pPr>
      <w:tabs>
        <w:tab w:val="num" w:pos="4680"/>
      </w:tabs>
      <w:spacing w:before="240" w:after="60" w:line="240" w:lineRule="auto"/>
      <w:ind w:left="4320"/>
      <w:outlineLvl w:val="6"/>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uiPriority w:val="99"/>
    <w:qFormat/>
    <w:rsid w:val="00A809E7"/>
    <w:pPr>
      <w:tabs>
        <w:tab w:val="num" w:pos="5400"/>
      </w:tabs>
      <w:spacing w:before="240" w:after="60" w:line="240" w:lineRule="auto"/>
      <w:ind w:left="5040"/>
      <w:outlineLvl w:val="7"/>
    </w:pPr>
    <w:rPr>
      <w:rFonts w:ascii="Times New Roman" w:eastAsia="Times New Roman" w:hAnsi="Times New Roman" w:cs="Times New Roman"/>
      <w:i/>
      <w:iCs/>
      <w:sz w:val="24"/>
      <w:szCs w:val="24"/>
      <w:lang w:eastAsia="cs-CZ"/>
    </w:rPr>
  </w:style>
  <w:style w:type="paragraph" w:styleId="Nadpis9">
    <w:name w:val="heading 9"/>
    <w:basedOn w:val="Normlny"/>
    <w:next w:val="Normlny"/>
    <w:link w:val="Nadpis9Char"/>
    <w:uiPriority w:val="99"/>
    <w:qFormat/>
    <w:rsid w:val="00A809E7"/>
    <w:pPr>
      <w:tabs>
        <w:tab w:val="num" w:pos="6120"/>
      </w:tabs>
      <w:spacing w:before="240" w:after="60" w:line="240" w:lineRule="auto"/>
      <w:ind w:left="5760"/>
      <w:outlineLvl w:val="8"/>
    </w:pPr>
    <w:rPr>
      <w:rFonts w:ascii="Arial" w:eastAsia="Times New Roman" w:hAnsi="Arial" w:cs="Times New Roman"/>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Nadpis 2 Char Char Char Char1,Nadpis 2 Char Char Char Char Char,Nadpis 2 Char Char Char1,Úloha Char,Char24 Char Char Char1,Char24 Char Char Char Char"/>
    <w:basedOn w:val="Predvolenpsmoodseku"/>
    <w:link w:val="Nadpis2"/>
    <w:uiPriority w:val="9"/>
    <w:rsid w:val="00052B0A"/>
    <w:rPr>
      <w:rFonts w:ascii="Arial" w:eastAsia="Times New Roman" w:hAnsi="Arial" w:cs="Times New Roman"/>
      <w:b/>
      <w:bCs/>
      <w:i/>
      <w:iCs/>
      <w:sz w:val="28"/>
      <w:szCs w:val="28"/>
      <w:lang w:eastAsia="cs-CZ"/>
    </w:rPr>
  </w:style>
  <w:style w:type="paragraph" w:customStyle="1" w:styleId="NormalList">
    <w:name w:val="NormalList"/>
    <w:basedOn w:val="Normlny"/>
    <w:qFormat/>
    <w:rsid w:val="00052B0A"/>
    <w:pPr>
      <w:spacing w:after="0" w:line="240" w:lineRule="auto"/>
      <w:jc w:val="both"/>
    </w:pPr>
    <w:rPr>
      <w:rFonts w:ascii="Arial Narrow" w:eastAsia="Times New Roman" w:hAnsi="Arial Narrow" w:cs="Book Antiqua"/>
    </w:rPr>
  </w:style>
  <w:style w:type="paragraph" w:styleId="Textpoznmkypodiarou">
    <w:name w:val="footnote text"/>
    <w:aliases w:val="Footnote Text Char2,Footnote Text Char1 Char,Footnote Text Char2 Char Char,Footnote Text Char1 Char Char Char,Footnote Text Char2 Char Char Char Char,Footnote Text Char Char1 Char Char Char Char Char Char Char Char Char,f,Plonk"/>
    <w:basedOn w:val="Normlny"/>
    <w:link w:val="TextpoznmkypodiarouChar"/>
    <w:uiPriority w:val="99"/>
    <w:qFormat/>
    <w:rsid w:val="00052B0A"/>
    <w:pPr>
      <w:spacing w:after="0" w:line="240" w:lineRule="auto"/>
    </w:pPr>
    <w:rPr>
      <w:rFonts w:ascii="Book Antiqua" w:eastAsia="Times New Roman" w:hAnsi="Book Antiqua" w:cs="Times New Roman"/>
      <w:sz w:val="20"/>
      <w:szCs w:val="20"/>
      <w:lang w:eastAsia="sk-SK"/>
    </w:rPr>
  </w:style>
  <w:style w:type="character" w:customStyle="1" w:styleId="TextpoznmkypodiarouChar">
    <w:name w:val="Text poznámky pod čiarou Char"/>
    <w:aliases w:val="Footnote Text Char2 Char,Footnote Text Char1 Char Char,Footnote Text Char2 Char Char Char,Footnote Text Char1 Char Char Char Char,Footnote Text Char2 Char Char Char Char Char,f Char,Plonk Char"/>
    <w:basedOn w:val="Predvolenpsmoodseku"/>
    <w:link w:val="Textpoznmkypodiarou"/>
    <w:uiPriority w:val="99"/>
    <w:qFormat/>
    <w:rsid w:val="00052B0A"/>
    <w:rPr>
      <w:rFonts w:ascii="Book Antiqua" w:eastAsia="Times New Roman" w:hAnsi="Book Antiqua" w:cs="Times New Roman"/>
      <w:sz w:val="20"/>
      <w:szCs w:val="20"/>
      <w:lang w:eastAsia="sk-SK"/>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Footnote symbol"/>
    <w:basedOn w:val="Predvolenpsmoodseku"/>
    <w:link w:val="Char2"/>
    <w:uiPriority w:val="99"/>
    <w:qFormat/>
    <w:rsid w:val="00052B0A"/>
    <w:rPr>
      <w:rFonts w:cs="Times New Roman"/>
      <w:vertAlign w:val="superscript"/>
    </w:rPr>
  </w:style>
  <w:style w:type="paragraph" w:customStyle="1" w:styleId="Char2">
    <w:name w:val="Char2"/>
    <w:basedOn w:val="Normlny"/>
    <w:link w:val="Odkaznapoznmkupodiarou"/>
    <w:uiPriority w:val="99"/>
    <w:rsid w:val="00052B0A"/>
    <w:pPr>
      <w:spacing w:after="0" w:line="240" w:lineRule="exact"/>
    </w:pPr>
    <w:rPr>
      <w:rFonts w:cs="Times New Roman"/>
      <w:vertAlign w:val="superscript"/>
    </w:rPr>
  </w:style>
  <w:style w:type="paragraph" w:styleId="Popis">
    <w:name w:val="caption"/>
    <w:basedOn w:val="Normlny"/>
    <w:next w:val="Normlny"/>
    <w:uiPriority w:val="35"/>
    <w:unhideWhenUsed/>
    <w:qFormat/>
    <w:rsid w:val="00052B0A"/>
    <w:pPr>
      <w:spacing w:after="200" w:line="240" w:lineRule="auto"/>
    </w:pPr>
    <w:rPr>
      <w:i/>
      <w:iCs/>
      <w:color w:val="44546A" w:themeColor="text2"/>
      <w:sz w:val="18"/>
      <w:szCs w:val="18"/>
    </w:rPr>
  </w:style>
  <w:style w:type="paragraph" w:styleId="Zoznamobrzkov">
    <w:name w:val="table of figures"/>
    <w:basedOn w:val="Normlny"/>
    <w:next w:val="Normlny"/>
    <w:uiPriority w:val="99"/>
    <w:unhideWhenUsed/>
    <w:rsid w:val="00052B0A"/>
    <w:pPr>
      <w:spacing w:after="0"/>
    </w:pPr>
  </w:style>
  <w:style w:type="character" w:styleId="Hypertextovprepojenie">
    <w:name w:val="Hyperlink"/>
    <w:basedOn w:val="Predvolenpsmoodseku"/>
    <w:uiPriority w:val="99"/>
    <w:unhideWhenUsed/>
    <w:rsid w:val="00052B0A"/>
    <w:rPr>
      <w:color w:val="0563C1" w:themeColor="hyperlink"/>
      <w:u w:val="single"/>
    </w:rPr>
  </w:style>
  <w:style w:type="character" w:customStyle="1" w:styleId="Nadpis1Char">
    <w:name w:val="Nadpis 1 Char"/>
    <w:aliases w:val="Char5 Char Char,Nadpis 1 Char Char Char,Heading 1 Char Char Char Char Char Char,Heading 1 Char Char Char Char Char1,Heading 1 Char Char Char Char1,Čo robí (časť) Char"/>
    <w:basedOn w:val="Predvolenpsmoodseku"/>
    <w:link w:val="Nadpis1"/>
    <w:uiPriority w:val="9"/>
    <w:rsid w:val="00052B0A"/>
    <w:rPr>
      <w:rFonts w:asciiTheme="majorHAnsi" w:eastAsiaTheme="majorEastAsia" w:hAnsiTheme="majorHAnsi" w:cstheme="majorBidi"/>
      <w:color w:val="2E74B5" w:themeColor="accent1" w:themeShade="BF"/>
      <w:sz w:val="32"/>
      <w:szCs w:val="32"/>
    </w:rPr>
  </w:style>
  <w:style w:type="paragraph" w:styleId="Hlavikaobsahu">
    <w:name w:val="TOC Heading"/>
    <w:basedOn w:val="Nadpis1"/>
    <w:next w:val="Normlny"/>
    <w:uiPriority w:val="39"/>
    <w:unhideWhenUsed/>
    <w:qFormat/>
    <w:rsid w:val="00052B0A"/>
    <w:pPr>
      <w:outlineLvl w:val="9"/>
    </w:pPr>
    <w:rPr>
      <w:lang w:eastAsia="sk-SK"/>
    </w:rPr>
  </w:style>
  <w:style w:type="paragraph" w:styleId="Obsah1">
    <w:name w:val="toc 1"/>
    <w:basedOn w:val="Normlny"/>
    <w:next w:val="Normlny"/>
    <w:autoRedefine/>
    <w:uiPriority w:val="39"/>
    <w:unhideWhenUsed/>
    <w:rsid w:val="00052B0A"/>
    <w:pPr>
      <w:spacing w:after="100"/>
    </w:pPr>
  </w:style>
  <w:style w:type="paragraph" w:styleId="Hlavika">
    <w:name w:val="header"/>
    <w:aliases w:val="Hlavička Char Char Char"/>
    <w:basedOn w:val="Normlny"/>
    <w:link w:val="HlavikaChar"/>
    <w:uiPriority w:val="99"/>
    <w:unhideWhenUsed/>
    <w:qFormat/>
    <w:rsid w:val="002F16B8"/>
    <w:pPr>
      <w:tabs>
        <w:tab w:val="center" w:pos="4536"/>
        <w:tab w:val="right" w:pos="9072"/>
      </w:tabs>
      <w:spacing w:after="0" w:line="240" w:lineRule="auto"/>
    </w:pPr>
  </w:style>
  <w:style w:type="character" w:customStyle="1" w:styleId="HlavikaChar">
    <w:name w:val="Hlavička Char"/>
    <w:aliases w:val="Hlavička Char Char Char Char"/>
    <w:basedOn w:val="Predvolenpsmoodseku"/>
    <w:link w:val="Hlavika"/>
    <w:uiPriority w:val="99"/>
    <w:rsid w:val="002F16B8"/>
  </w:style>
  <w:style w:type="paragraph" w:styleId="Pta">
    <w:name w:val="footer"/>
    <w:aliases w:val="Char11 Char,Päta Char Char,Footer Char Char Char"/>
    <w:basedOn w:val="Normlny"/>
    <w:link w:val="PtaChar"/>
    <w:uiPriority w:val="99"/>
    <w:unhideWhenUsed/>
    <w:qFormat/>
    <w:rsid w:val="002F16B8"/>
    <w:pPr>
      <w:tabs>
        <w:tab w:val="center" w:pos="4536"/>
        <w:tab w:val="right" w:pos="9072"/>
      </w:tabs>
      <w:spacing w:after="0" w:line="240" w:lineRule="auto"/>
    </w:pPr>
  </w:style>
  <w:style w:type="character" w:customStyle="1" w:styleId="PtaChar">
    <w:name w:val="Päta Char"/>
    <w:aliases w:val="Char11 Char Char,Päta Char Char Char,Footer Char Char Char Char"/>
    <w:basedOn w:val="Predvolenpsmoodseku"/>
    <w:link w:val="Pta"/>
    <w:uiPriority w:val="99"/>
    <w:rsid w:val="002F16B8"/>
  </w:style>
  <w:style w:type="character" w:customStyle="1" w:styleId="Nadpis3Char">
    <w:name w:val="Nadpis 3 Char"/>
    <w:aliases w:val="Char4 Char Char,Nadpis 3 Char Char Char,Heading 3 Char Char Char Char,Podúloha Char"/>
    <w:basedOn w:val="Predvolenpsmoodseku"/>
    <w:link w:val="Nadpis3"/>
    <w:uiPriority w:val="9"/>
    <w:rsid w:val="00A809E7"/>
    <w:rPr>
      <w:rFonts w:ascii="Arial" w:eastAsia="Times New Roman" w:hAnsi="Arial" w:cs="Times New Roman"/>
      <w:b/>
      <w:bCs/>
      <w:sz w:val="26"/>
      <w:szCs w:val="26"/>
      <w:lang w:eastAsia="cs-CZ"/>
    </w:rPr>
  </w:style>
  <w:style w:type="character" w:customStyle="1" w:styleId="Nadpis4Char">
    <w:name w:val="Nadpis 4 Char"/>
    <w:aliases w:val="Char Char Char,Nadpis 4 Char Char Char,Heading 4 Char Char Char Char,Termín Char"/>
    <w:basedOn w:val="Predvolenpsmoodseku"/>
    <w:link w:val="Nadpis4"/>
    <w:uiPriority w:val="9"/>
    <w:rsid w:val="00A809E7"/>
    <w:rPr>
      <w:rFonts w:ascii="Arial" w:eastAsia="Times New Roman" w:hAnsi="Arial" w:cs="Times New Roman"/>
      <w:b/>
      <w:bCs/>
      <w:sz w:val="20"/>
      <w:szCs w:val="20"/>
      <w:lang w:eastAsia="cs-CZ"/>
    </w:rPr>
  </w:style>
  <w:style w:type="character" w:customStyle="1" w:styleId="Nadpis5Char">
    <w:name w:val="Nadpis 5 Char"/>
    <w:basedOn w:val="Predvolenpsmoodseku"/>
    <w:link w:val="Nadpis5"/>
    <w:uiPriority w:val="99"/>
    <w:rsid w:val="00A809E7"/>
    <w:rPr>
      <w:rFonts w:ascii="Times New Roman" w:eastAsia="Times New Roman" w:hAnsi="Times New Roman" w:cs="Times New Roman"/>
      <w:b/>
      <w:bCs/>
      <w:i/>
      <w:iCs/>
      <w:sz w:val="26"/>
      <w:szCs w:val="26"/>
      <w:lang w:eastAsia="cs-CZ"/>
    </w:rPr>
  </w:style>
  <w:style w:type="character" w:customStyle="1" w:styleId="Nadpis6Char">
    <w:name w:val="Nadpis 6 Char"/>
    <w:basedOn w:val="Predvolenpsmoodseku"/>
    <w:link w:val="Nadpis6"/>
    <w:uiPriority w:val="99"/>
    <w:rsid w:val="00A809E7"/>
    <w:rPr>
      <w:rFonts w:ascii="Times New Roman" w:eastAsia="Times New Roman" w:hAnsi="Times New Roman" w:cs="Times New Roman"/>
      <w:b/>
      <w:bCs/>
      <w:lang w:eastAsia="cs-CZ"/>
    </w:rPr>
  </w:style>
  <w:style w:type="character" w:customStyle="1" w:styleId="Nadpis7Char">
    <w:name w:val="Nadpis 7 Char"/>
    <w:basedOn w:val="Predvolenpsmoodseku"/>
    <w:link w:val="Nadpis7"/>
    <w:uiPriority w:val="99"/>
    <w:rsid w:val="00A809E7"/>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A809E7"/>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A809E7"/>
    <w:rPr>
      <w:rFonts w:ascii="Arial" w:eastAsia="Times New Roman" w:hAnsi="Arial" w:cs="Times New Roman"/>
      <w:lang w:eastAsia="cs-CZ"/>
    </w:rPr>
  </w:style>
  <w:style w:type="paragraph" w:styleId="Zkladntext">
    <w:name w:val="Body Text"/>
    <w:aliases w:val="Char14 Char Char,Základný text Char Char,Body Text Char Char Char Char Char,Body Text Char Char Char Char,Char14 Char,Body Text Char Char Char"/>
    <w:basedOn w:val="Normlny"/>
    <w:link w:val="ZkladntextChar"/>
    <w:uiPriority w:val="99"/>
    <w:qFormat/>
    <w:rsid w:val="00A809E7"/>
    <w:pPr>
      <w:spacing w:after="0" w:line="240" w:lineRule="auto"/>
      <w:jc w:val="both"/>
    </w:pPr>
    <w:rPr>
      <w:rFonts w:ascii="Courier" w:eastAsia="Times New Roman" w:hAnsi="Courier" w:cs="Courier"/>
      <w:sz w:val="24"/>
      <w:szCs w:val="24"/>
      <w:lang w:eastAsia="cs-CZ"/>
    </w:rPr>
  </w:style>
  <w:style w:type="character" w:customStyle="1" w:styleId="ZkladntextChar">
    <w:name w:val="Základný text Char"/>
    <w:aliases w:val="Char14 Char Char Char,Základný text Char Char Char,Body Text Char Char Char Char Char Char,Body Text Char Char Char Char Char1,Char14 Char Char1,Body Text Char Char Char Char1"/>
    <w:basedOn w:val="Predvolenpsmoodseku"/>
    <w:link w:val="Zkladntext"/>
    <w:uiPriority w:val="99"/>
    <w:rsid w:val="00A809E7"/>
    <w:rPr>
      <w:rFonts w:ascii="Courier" w:eastAsia="Times New Roman" w:hAnsi="Courier" w:cs="Courier"/>
      <w:sz w:val="24"/>
      <w:szCs w:val="24"/>
      <w:lang w:eastAsia="cs-CZ"/>
    </w:rPr>
  </w:style>
  <w:style w:type="paragraph" w:styleId="Zarkazkladnhotextu">
    <w:name w:val="Body Text Indent"/>
    <w:aliases w:val="Char8 Char"/>
    <w:basedOn w:val="Normlny"/>
    <w:link w:val="ZarkazkladnhotextuChar"/>
    <w:uiPriority w:val="99"/>
    <w:qFormat/>
    <w:rsid w:val="00A809E7"/>
    <w:pPr>
      <w:spacing w:after="120" w:line="480" w:lineRule="auto"/>
    </w:pPr>
    <w:rPr>
      <w:rFonts w:ascii="Courier" w:eastAsia="Times New Roman" w:hAnsi="Courier" w:cs="Courier"/>
      <w:sz w:val="24"/>
      <w:szCs w:val="24"/>
      <w:lang w:eastAsia="cs-CZ"/>
    </w:rPr>
  </w:style>
  <w:style w:type="character" w:customStyle="1" w:styleId="ZarkazkladnhotextuChar">
    <w:name w:val="Zarážka základného textu Char"/>
    <w:aliases w:val="Char8 Char Char"/>
    <w:basedOn w:val="Predvolenpsmoodseku"/>
    <w:link w:val="Zarkazkladnhotextu"/>
    <w:uiPriority w:val="99"/>
    <w:rsid w:val="00A809E7"/>
    <w:rPr>
      <w:rFonts w:ascii="Courier" w:eastAsia="Times New Roman" w:hAnsi="Courier" w:cs="Courier"/>
      <w:sz w:val="24"/>
      <w:szCs w:val="24"/>
      <w:lang w:eastAsia="cs-CZ"/>
    </w:rPr>
  </w:style>
  <w:style w:type="paragraph" w:customStyle="1" w:styleId="Zakladnystyl">
    <w:name w:val="Zakladny styl"/>
    <w:qFormat/>
    <w:rsid w:val="00A809E7"/>
    <w:pPr>
      <w:spacing w:after="0" w:line="240" w:lineRule="auto"/>
    </w:pPr>
    <w:rPr>
      <w:rFonts w:ascii="Times New Roman" w:eastAsia="Times New Roman" w:hAnsi="Times New Roman" w:cs="Times New Roman"/>
      <w:sz w:val="24"/>
      <w:szCs w:val="24"/>
      <w:lang w:eastAsia="sk-SK"/>
    </w:rPr>
  </w:style>
  <w:style w:type="paragraph" w:customStyle="1" w:styleId="CharCharCharCharChar1">
    <w:name w:val="Char Char Char Char Char1"/>
    <w:basedOn w:val="Normlny"/>
    <w:uiPriority w:val="99"/>
    <w:qFormat/>
    <w:rsid w:val="00A809E7"/>
    <w:pPr>
      <w:spacing w:line="240" w:lineRule="exact"/>
    </w:pPr>
    <w:rPr>
      <w:rFonts w:ascii="Tahoma" w:eastAsia="Times New Roman" w:hAnsi="Tahoma" w:cs="Tahoma"/>
      <w:sz w:val="20"/>
      <w:szCs w:val="20"/>
      <w:lang w:val="en-US"/>
    </w:rPr>
  </w:style>
  <w:style w:type="paragraph" w:customStyle="1" w:styleId="Zarkazkladnhotextu1">
    <w:name w:val="Zarážka základného textu1"/>
    <w:basedOn w:val="Normlny"/>
    <w:link w:val="BodyTextIndentChar"/>
    <w:qFormat/>
    <w:rsid w:val="00A809E7"/>
    <w:pPr>
      <w:spacing w:after="120" w:line="240" w:lineRule="auto"/>
      <w:ind w:left="283"/>
    </w:pPr>
    <w:rPr>
      <w:rFonts w:ascii="Courier" w:eastAsia="Times New Roman" w:hAnsi="Courier" w:cs="Courier"/>
      <w:sz w:val="24"/>
      <w:szCs w:val="24"/>
      <w:lang w:eastAsia="cs-CZ"/>
    </w:rPr>
  </w:style>
  <w:style w:type="character" w:customStyle="1" w:styleId="BodyTextIndentChar">
    <w:name w:val="Body Text Indent Char"/>
    <w:link w:val="Zarkazkladnhotextu1"/>
    <w:locked/>
    <w:rsid w:val="00A809E7"/>
    <w:rPr>
      <w:rFonts w:ascii="Courier" w:eastAsia="Times New Roman" w:hAnsi="Courier" w:cs="Courier"/>
      <w:sz w:val="24"/>
      <w:szCs w:val="24"/>
      <w:lang w:eastAsia="cs-CZ"/>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lny"/>
    <w:uiPriority w:val="99"/>
    <w:qFormat/>
    <w:rsid w:val="00A809E7"/>
    <w:pPr>
      <w:spacing w:line="240" w:lineRule="exact"/>
    </w:pPr>
    <w:rPr>
      <w:rFonts w:ascii="Tahoma" w:eastAsia="Times New Roman" w:hAnsi="Tahoma" w:cs="Times New Roman"/>
      <w:sz w:val="20"/>
      <w:szCs w:val="20"/>
      <w:lang w:val="en-US"/>
    </w:rPr>
  </w:style>
  <w:style w:type="paragraph" w:customStyle="1" w:styleId="Zarkazkladnhotextu2">
    <w:name w:val="Zarážka základného textu2"/>
    <w:basedOn w:val="Normlny"/>
    <w:uiPriority w:val="99"/>
    <w:qFormat/>
    <w:rsid w:val="00A809E7"/>
    <w:pPr>
      <w:spacing w:after="120" w:line="240" w:lineRule="auto"/>
      <w:ind w:left="283"/>
    </w:pPr>
    <w:rPr>
      <w:rFonts w:ascii="Courier" w:eastAsia="Times New Roman" w:hAnsi="Courier" w:cs="Courier"/>
      <w:sz w:val="24"/>
      <w:szCs w:val="24"/>
      <w:lang w:eastAsia="cs-CZ"/>
    </w:rPr>
  </w:style>
  <w:style w:type="paragraph" w:styleId="Textbubliny">
    <w:name w:val="Balloon Text"/>
    <w:aliases w:val="Char13 Char,Text bubliny Char Char,Balloon Text Char Char"/>
    <w:basedOn w:val="Normlny"/>
    <w:link w:val="TextbublinyChar"/>
    <w:uiPriority w:val="99"/>
    <w:semiHidden/>
    <w:unhideWhenUsed/>
    <w:qFormat/>
    <w:rsid w:val="00A809E7"/>
    <w:pPr>
      <w:spacing w:after="0" w:line="240" w:lineRule="auto"/>
    </w:pPr>
    <w:rPr>
      <w:rFonts w:ascii="Tahoma" w:eastAsia="Times New Roman" w:hAnsi="Tahoma" w:cs="Times New Roman"/>
      <w:sz w:val="16"/>
      <w:szCs w:val="16"/>
      <w:lang w:eastAsia="cs-CZ"/>
    </w:rPr>
  </w:style>
  <w:style w:type="character" w:customStyle="1" w:styleId="TextbublinyChar">
    <w:name w:val="Text bubliny Char"/>
    <w:aliases w:val="Char13 Char Char,Text bubliny Char Char Char,Balloon Text Char Char Char"/>
    <w:basedOn w:val="Predvolenpsmoodseku"/>
    <w:link w:val="Textbubliny"/>
    <w:uiPriority w:val="99"/>
    <w:semiHidden/>
    <w:rsid w:val="00A809E7"/>
    <w:rPr>
      <w:rFonts w:ascii="Tahoma" w:eastAsia="Times New Roman" w:hAnsi="Tahoma" w:cs="Times New Roman"/>
      <w:sz w:val="16"/>
      <w:szCs w:val="16"/>
      <w:lang w:eastAsia="cs-CZ"/>
    </w:rPr>
  </w:style>
  <w:style w:type="paragraph" w:styleId="Odsekzoznamu">
    <w:name w:val="List Paragraph"/>
    <w:aliases w:val="body,Odsek zoznamu2,Dot pt,No Spacing1,List Paragraph Char Char Char,Indicator Text,Numbered Para 1,List Paragraph à moi,LISTA,Listaszerű bekezdés2,Listaszerű bekezdés3,Listaszerű bekezdés1,Odsek zoznamu4,F5 List Paragraph,Recommendation,3"/>
    <w:basedOn w:val="Normlny"/>
    <w:link w:val="OdsekzoznamuChar"/>
    <w:uiPriority w:val="34"/>
    <w:qFormat/>
    <w:rsid w:val="00A809E7"/>
    <w:pPr>
      <w:spacing w:after="0" w:line="240" w:lineRule="auto"/>
      <w:ind w:left="720"/>
      <w:contextualSpacing/>
    </w:pPr>
    <w:rPr>
      <w:rFonts w:ascii="Courier" w:eastAsia="Times New Roman" w:hAnsi="Courier" w:cs="Courier"/>
      <w:sz w:val="24"/>
      <w:szCs w:val="24"/>
      <w:lang w:eastAsia="cs-CZ"/>
    </w:rPr>
  </w:style>
  <w:style w:type="paragraph" w:customStyle="1" w:styleId="Zkladntext0">
    <w:name w:val="Základní text"/>
    <w:qFormat/>
    <w:rsid w:val="00A809E7"/>
    <w:pPr>
      <w:snapToGrid w:val="0"/>
      <w:spacing w:after="0" w:line="240" w:lineRule="auto"/>
    </w:pPr>
    <w:rPr>
      <w:rFonts w:ascii="Times New Roman" w:eastAsia="Times New Roman" w:hAnsi="Times New Roman" w:cs="Times New Roman"/>
      <w:color w:val="000000"/>
      <w:sz w:val="24"/>
      <w:szCs w:val="20"/>
      <w:lang w:eastAsia="sk-SK"/>
    </w:rPr>
  </w:style>
  <w:style w:type="paragraph" w:customStyle="1" w:styleId="Default">
    <w:name w:val="Default"/>
    <w:qFormat/>
    <w:rsid w:val="00A809E7"/>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Char2">
    <w:name w:val="Char Char2"/>
    <w:basedOn w:val="Normlny"/>
    <w:uiPriority w:val="99"/>
    <w:qFormat/>
    <w:rsid w:val="00A809E7"/>
    <w:pPr>
      <w:spacing w:line="240" w:lineRule="exact"/>
    </w:pPr>
    <w:rPr>
      <w:rFonts w:ascii="Tahoma" w:eastAsia="Times New Roman" w:hAnsi="Tahoma" w:cs="Tahoma"/>
      <w:sz w:val="20"/>
      <w:szCs w:val="20"/>
      <w:lang w:val="en-US"/>
    </w:rPr>
  </w:style>
  <w:style w:type="paragraph" w:customStyle="1" w:styleId="CharCharCharCharCharCharCharCharCharCharCharChar1CharCharCharCharCharCharCharCharCharCharCharCharCharCharCharChar">
    <w:name w:val="Char Char Char Char Char Char Char Char Char Char Char Char1 Char Char Char Char Char Char Char Char Char Char Char Char Char Char Char Char"/>
    <w:basedOn w:val="Normlny"/>
    <w:uiPriority w:val="99"/>
    <w:qFormat/>
    <w:rsid w:val="00A809E7"/>
    <w:pPr>
      <w:spacing w:line="240" w:lineRule="exact"/>
    </w:pPr>
    <w:rPr>
      <w:rFonts w:ascii="Tahoma" w:eastAsia="Times New Roman" w:hAnsi="Tahoma" w:cs="Tahoma"/>
      <w:sz w:val="20"/>
      <w:szCs w:val="20"/>
      <w:lang w:val="en-US"/>
    </w:rPr>
  </w:style>
  <w:style w:type="paragraph" w:styleId="Zkladntext2">
    <w:name w:val="Body Text 2"/>
    <w:aliases w:val="Základný text 2 Char Char,Body Text 2 Char Char Char"/>
    <w:basedOn w:val="Normlny"/>
    <w:link w:val="Zkladntext2Char"/>
    <w:uiPriority w:val="99"/>
    <w:qFormat/>
    <w:rsid w:val="00A809E7"/>
    <w:pPr>
      <w:spacing w:after="120" w:line="480" w:lineRule="auto"/>
    </w:pPr>
    <w:rPr>
      <w:rFonts w:ascii="Courier" w:eastAsia="Times New Roman" w:hAnsi="Courier" w:cs="Times New Roman"/>
      <w:sz w:val="24"/>
      <w:szCs w:val="24"/>
      <w:lang w:eastAsia="cs-CZ"/>
    </w:rPr>
  </w:style>
  <w:style w:type="character" w:customStyle="1" w:styleId="Zkladntext2Char">
    <w:name w:val="Základný text 2 Char"/>
    <w:aliases w:val="Základný text 2 Char Char Char,Body Text 2 Char Char Char Char"/>
    <w:basedOn w:val="Predvolenpsmoodseku"/>
    <w:link w:val="Zkladntext2"/>
    <w:uiPriority w:val="99"/>
    <w:rsid w:val="00A809E7"/>
    <w:rPr>
      <w:rFonts w:ascii="Courier" w:eastAsia="Times New Roman" w:hAnsi="Courier" w:cs="Times New Roman"/>
      <w:sz w:val="24"/>
      <w:szCs w:val="24"/>
      <w:lang w:eastAsia="cs-CZ"/>
    </w:rPr>
  </w:style>
  <w:style w:type="paragraph" w:customStyle="1" w:styleId="INGBodyText">
    <w:name w:val="ING Body Text"/>
    <w:basedOn w:val="Normlny"/>
    <w:uiPriority w:val="99"/>
    <w:qFormat/>
    <w:rsid w:val="00A809E7"/>
    <w:pPr>
      <w:spacing w:line="280" w:lineRule="exact"/>
      <w:jc w:val="both"/>
    </w:pPr>
    <w:rPr>
      <w:rFonts w:ascii="Arial" w:eastAsia="Times New Roman" w:hAnsi="Arial" w:cs="Arial"/>
      <w:color w:val="000000"/>
      <w:sz w:val="19"/>
      <w:szCs w:val="19"/>
      <w:lang w:val="en-GB"/>
    </w:rPr>
  </w:style>
  <w:style w:type="character" w:styleId="slostrany">
    <w:name w:val="page number"/>
    <w:basedOn w:val="Predvolenpsmoodseku"/>
    <w:uiPriority w:val="99"/>
    <w:rsid w:val="00A809E7"/>
    <w:rPr>
      <w:rFonts w:cs="Times New Roman"/>
    </w:rPr>
  </w:style>
  <w:style w:type="paragraph" w:styleId="Zarkazkladnhotextu20">
    <w:name w:val="Body Text Indent 2"/>
    <w:aliases w:val="Char10 Char,Zarážka základného textu 2 Char Char,Body Text Indent 2 Char Char Char"/>
    <w:basedOn w:val="Normlny"/>
    <w:link w:val="Zarkazkladnhotextu2Char"/>
    <w:uiPriority w:val="99"/>
    <w:qFormat/>
    <w:rsid w:val="00A809E7"/>
    <w:pPr>
      <w:spacing w:after="120" w:line="480" w:lineRule="auto"/>
      <w:ind w:left="283"/>
    </w:pPr>
    <w:rPr>
      <w:rFonts w:ascii="Courier" w:eastAsia="Times New Roman" w:hAnsi="Courier" w:cs="Times New Roman"/>
      <w:sz w:val="24"/>
      <w:szCs w:val="24"/>
      <w:lang w:eastAsia="cs-CZ"/>
    </w:rPr>
  </w:style>
  <w:style w:type="character" w:customStyle="1" w:styleId="Zarkazkladnhotextu2Char">
    <w:name w:val="Zarážka základného textu 2 Char"/>
    <w:aliases w:val="Char10 Char Char,Zarážka základného textu 2 Char Char Char,Body Text Indent 2 Char Char Char Char"/>
    <w:basedOn w:val="Predvolenpsmoodseku"/>
    <w:link w:val="Zarkazkladnhotextu20"/>
    <w:uiPriority w:val="99"/>
    <w:rsid w:val="00A809E7"/>
    <w:rPr>
      <w:rFonts w:ascii="Courier" w:eastAsia="Times New Roman" w:hAnsi="Courier" w:cs="Times New Roman"/>
      <w:sz w:val="24"/>
      <w:szCs w:val="24"/>
      <w:lang w:eastAsia="cs-CZ"/>
    </w:rPr>
  </w:style>
  <w:style w:type="character" w:customStyle="1" w:styleId="truktradokumentuChar">
    <w:name w:val="Štruktúra dokumentu Char"/>
    <w:aliases w:val="Char9 Char Char,Štruktúra dokumentu Char Char Char,Document Map Char Char Char"/>
    <w:link w:val="truktradokumentu"/>
    <w:uiPriority w:val="99"/>
    <w:semiHidden/>
    <w:locked/>
    <w:rsid w:val="00A809E7"/>
    <w:rPr>
      <w:rFonts w:ascii="Tahoma" w:hAnsi="Tahoma"/>
      <w:sz w:val="24"/>
      <w:shd w:val="clear" w:color="auto" w:fill="000080"/>
    </w:rPr>
  </w:style>
  <w:style w:type="paragraph" w:styleId="truktradokumentu">
    <w:name w:val="Document Map"/>
    <w:aliases w:val="Char9 Char,Štruktúra dokumentu Char Char,Document Map Char Char"/>
    <w:basedOn w:val="Normlny"/>
    <w:link w:val="truktradokumentuChar"/>
    <w:uiPriority w:val="99"/>
    <w:semiHidden/>
    <w:qFormat/>
    <w:rsid w:val="00A809E7"/>
    <w:pPr>
      <w:shd w:val="clear" w:color="auto" w:fill="000080"/>
      <w:spacing w:after="0" w:line="240" w:lineRule="auto"/>
    </w:pPr>
    <w:rPr>
      <w:rFonts w:ascii="Tahoma" w:hAnsi="Tahoma"/>
      <w:sz w:val="24"/>
    </w:rPr>
  </w:style>
  <w:style w:type="character" w:customStyle="1" w:styleId="truktradokumentuChar1">
    <w:name w:val="Štruktúra dokumentu Char1"/>
    <w:aliases w:val="Char9 Char Char1,Štruktúra dokumentu Char Char Char1,Document Map Char Char Char1"/>
    <w:basedOn w:val="Predvolenpsmoodseku"/>
    <w:uiPriority w:val="99"/>
    <w:semiHidden/>
    <w:rsid w:val="00A809E7"/>
    <w:rPr>
      <w:rFonts w:ascii="Segoe UI" w:hAnsi="Segoe UI" w:cs="Segoe UI"/>
      <w:sz w:val="16"/>
      <w:szCs w:val="16"/>
    </w:rPr>
  </w:style>
  <w:style w:type="character" w:customStyle="1" w:styleId="truktradokumentuChar1621">
    <w:name w:val="Štruktúra dokumentu Char1621"/>
    <w:aliases w:val="Char9 Char Char1622,Štruktúra dokumentu Char Char Char1622,Document Map Char Char Char1622"/>
    <w:basedOn w:val="Predvolenpsmoodseku"/>
    <w:uiPriority w:val="99"/>
    <w:semiHidden/>
    <w:rsid w:val="00A809E7"/>
    <w:rPr>
      <w:rFonts w:ascii="Tahoma" w:hAnsi="Tahoma" w:cs="Tahoma"/>
      <w:sz w:val="16"/>
      <w:szCs w:val="16"/>
      <w:lang w:val="x-none" w:eastAsia="cs-CZ"/>
    </w:rPr>
  </w:style>
  <w:style w:type="character" w:customStyle="1" w:styleId="truktradokumentuChar1620">
    <w:name w:val="Štruktúra dokumentu Char1620"/>
    <w:aliases w:val="Char9 Char Char1621,Štruktúra dokumentu Char Char Char1621,Document Map Char Char Char1621"/>
    <w:basedOn w:val="Predvolenpsmoodseku"/>
    <w:uiPriority w:val="99"/>
    <w:semiHidden/>
    <w:rsid w:val="00A809E7"/>
    <w:rPr>
      <w:rFonts w:ascii="Tahoma" w:hAnsi="Tahoma" w:cs="Tahoma"/>
      <w:sz w:val="16"/>
      <w:szCs w:val="16"/>
      <w:lang w:val="x-none" w:eastAsia="cs-CZ"/>
    </w:rPr>
  </w:style>
  <w:style w:type="character" w:customStyle="1" w:styleId="truktradokumentuChar1614">
    <w:name w:val="Štruktúra dokumentu Char1614"/>
    <w:aliases w:val="Char9 Char Char1615,Štruktúra dokumentu Char Char Char1615,Document Map Char Char Char1615"/>
    <w:basedOn w:val="Predvolenpsmoodseku"/>
    <w:uiPriority w:val="99"/>
    <w:semiHidden/>
    <w:rsid w:val="00A809E7"/>
    <w:rPr>
      <w:rFonts w:ascii="Tahoma" w:hAnsi="Tahoma" w:cs="Tahoma"/>
      <w:sz w:val="16"/>
      <w:szCs w:val="16"/>
      <w:lang w:val="x-none" w:eastAsia="cs-CZ"/>
    </w:rPr>
  </w:style>
  <w:style w:type="character" w:customStyle="1" w:styleId="truktradokumentuChar1613">
    <w:name w:val="Štruktúra dokumentu Char1613"/>
    <w:aliases w:val="Char9 Char Char1614,Štruktúra dokumentu Char Char Char1614,Document Map Char Char Char1614"/>
    <w:basedOn w:val="Predvolenpsmoodseku"/>
    <w:uiPriority w:val="99"/>
    <w:semiHidden/>
    <w:rsid w:val="00A809E7"/>
    <w:rPr>
      <w:rFonts w:ascii="Tahoma" w:hAnsi="Tahoma" w:cs="Tahoma"/>
      <w:sz w:val="16"/>
      <w:szCs w:val="16"/>
      <w:lang w:val="x-none" w:eastAsia="cs-CZ"/>
    </w:rPr>
  </w:style>
  <w:style w:type="character" w:customStyle="1" w:styleId="truktradokumentuChar1612">
    <w:name w:val="Štruktúra dokumentu Char1612"/>
    <w:aliases w:val="Char9 Char Char1613,Štruktúra dokumentu Char Char Char1613,Document Map Char Char Char1613"/>
    <w:basedOn w:val="Predvolenpsmoodseku"/>
    <w:uiPriority w:val="99"/>
    <w:semiHidden/>
    <w:rsid w:val="00A809E7"/>
    <w:rPr>
      <w:rFonts w:ascii="Tahoma" w:hAnsi="Tahoma" w:cs="Tahoma"/>
      <w:sz w:val="16"/>
      <w:szCs w:val="16"/>
      <w:lang w:val="x-none" w:eastAsia="cs-CZ"/>
    </w:rPr>
  </w:style>
  <w:style w:type="character" w:customStyle="1" w:styleId="truktradokumentuChar1611">
    <w:name w:val="Štruktúra dokumentu Char1611"/>
    <w:aliases w:val="Char9 Char Char1612,Štruktúra dokumentu Char Char Char1612,Document Map Char Char Char1612"/>
    <w:basedOn w:val="Predvolenpsmoodseku"/>
    <w:uiPriority w:val="99"/>
    <w:semiHidden/>
    <w:rsid w:val="00A809E7"/>
    <w:rPr>
      <w:rFonts w:ascii="Tahoma" w:hAnsi="Tahoma" w:cs="Tahoma"/>
      <w:sz w:val="16"/>
      <w:szCs w:val="16"/>
      <w:lang w:val="x-none" w:eastAsia="cs-CZ"/>
    </w:rPr>
  </w:style>
  <w:style w:type="character" w:customStyle="1" w:styleId="truktradokumentuChar1610">
    <w:name w:val="Štruktúra dokumentu Char1610"/>
    <w:aliases w:val="Char9 Char Char1611,Štruktúra dokumentu Char Char Char1611,Document Map Char Char Char1611"/>
    <w:basedOn w:val="Predvolenpsmoodseku"/>
    <w:uiPriority w:val="99"/>
    <w:semiHidden/>
    <w:rsid w:val="00A809E7"/>
    <w:rPr>
      <w:rFonts w:ascii="Tahoma" w:hAnsi="Tahoma" w:cs="Tahoma"/>
      <w:sz w:val="16"/>
      <w:szCs w:val="16"/>
      <w:lang w:val="x-none" w:eastAsia="cs-CZ"/>
    </w:rPr>
  </w:style>
  <w:style w:type="character" w:customStyle="1" w:styleId="truktradokumentuChar1609">
    <w:name w:val="Štruktúra dokumentu Char1609"/>
    <w:aliases w:val="Char9 Char Char1610,Štruktúra dokumentu Char Char Char1610,Document Map Char Char Char1610"/>
    <w:basedOn w:val="Predvolenpsmoodseku"/>
    <w:uiPriority w:val="99"/>
    <w:semiHidden/>
    <w:rsid w:val="00A809E7"/>
    <w:rPr>
      <w:rFonts w:ascii="Tahoma" w:hAnsi="Tahoma" w:cs="Tahoma"/>
      <w:sz w:val="16"/>
      <w:szCs w:val="16"/>
      <w:lang w:val="x-none" w:eastAsia="cs-CZ"/>
    </w:rPr>
  </w:style>
  <w:style w:type="character" w:customStyle="1" w:styleId="truktradokumentuChar1608">
    <w:name w:val="Štruktúra dokumentu Char1608"/>
    <w:aliases w:val="Char9 Char Char1609,Štruktúra dokumentu Char Char Char1609,Document Map Char Char Char1609"/>
    <w:basedOn w:val="Predvolenpsmoodseku"/>
    <w:uiPriority w:val="99"/>
    <w:semiHidden/>
    <w:rsid w:val="00A809E7"/>
    <w:rPr>
      <w:rFonts w:ascii="Tahoma" w:hAnsi="Tahoma" w:cs="Tahoma"/>
      <w:sz w:val="16"/>
      <w:szCs w:val="16"/>
      <w:lang w:val="x-none" w:eastAsia="cs-CZ"/>
    </w:rPr>
  </w:style>
  <w:style w:type="character" w:customStyle="1" w:styleId="truktradokumentuChar1607">
    <w:name w:val="Štruktúra dokumentu Char1607"/>
    <w:aliases w:val="Char9 Char Char1608,Štruktúra dokumentu Char Char Char1608,Document Map Char Char Char1608"/>
    <w:basedOn w:val="Predvolenpsmoodseku"/>
    <w:uiPriority w:val="99"/>
    <w:semiHidden/>
    <w:rsid w:val="00A809E7"/>
    <w:rPr>
      <w:rFonts w:ascii="Tahoma" w:hAnsi="Tahoma" w:cs="Tahoma"/>
      <w:sz w:val="16"/>
      <w:szCs w:val="16"/>
      <w:lang w:val="x-none" w:eastAsia="cs-CZ"/>
    </w:rPr>
  </w:style>
  <w:style w:type="character" w:customStyle="1" w:styleId="truktradokumentuChar1606">
    <w:name w:val="Štruktúra dokumentu Char1606"/>
    <w:aliases w:val="Char9 Char Char1607,Štruktúra dokumentu Char Char Char1607,Document Map Char Char Char1607"/>
    <w:basedOn w:val="Predvolenpsmoodseku"/>
    <w:uiPriority w:val="99"/>
    <w:semiHidden/>
    <w:rsid w:val="00A809E7"/>
    <w:rPr>
      <w:rFonts w:ascii="Tahoma" w:hAnsi="Tahoma" w:cs="Tahoma"/>
      <w:sz w:val="16"/>
      <w:szCs w:val="16"/>
      <w:lang w:val="x-none" w:eastAsia="cs-CZ"/>
    </w:rPr>
  </w:style>
  <w:style w:type="character" w:customStyle="1" w:styleId="truktradokumentuChar1605">
    <w:name w:val="Štruktúra dokumentu Char1605"/>
    <w:aliases w:val="Char9 Char Char1606,Štruktúra dokumentu Char Char Char1606,Document Map Char Char Char1606"/>
    <w:basedOn w:val="Predvolenpsmoodseku"/>
    <w:uiPriority w:val="99"/>
    <w:semiHidden/>
    <w:rsid w:val="00A809E7"/>
    <w:rPr>
      <w:rFonts w:ascii="Tahoma" w:hAnsi="Tahoma" w:cs="Tahoma"/>
      <w:sz w:val="16"/>
      <w:szCs w:val="16"/>
      <w:lang w:val="x-none" w:eastAsia="cs-CZ"/>
    </w:rPr>
  </w:style>
  <w:style w:type="character" w:customStyle="1" w:styleId="truktradokumentuChar1604">
    <w:name w:val="Štruktúra dokumentu Char1604"/>
    <w:aliases w:val="Char9 Char Char1605,Štruktúra dokumentu Char Char Char1605,Document Map Char Char Char1605"/>
    <w:basedOn w:val="Predvolenpsmoodseku"/>
    <w:uiPriority w:val="99"/>
    <w:semiHidden/>
    <w:rsid w:val="00A809E7"/>
    <w:rPr>
      <w:rFonts w:ascii="Tahoma" w:hAnsi="Tahoma" w:cs="Tahoma"/>
      <w:sz w:val="16"/>
      <w:szCs w:val="16"/>
      <w:lang w:val="x-none" w:eastAsia="cs-CZ"/>
    </w:rPr>
  </w:style>
  <w:style w:type="character" w:customStyle="1" w:styleId="truktradokumentuChar1603">
    <w:name w:val="Štruktúra dokumentu Char1603"/>
    <w:aliases w:val="Char9 Char Char1604,Štruktúra dokumentu Char Char Char1604,Document Map Char Char Char1604"/>
    <w:basedOn w:val="Predvolenpsmoodseku"/>
    <w:uiPriority w:val="99"/>
    <w:semiHidden/>
    <w:rsid w:val="00A809E7"/>
    <w:rPr>
      <w:rFonts w:ascii="Tahoma" w:hAnsi="Tahoma" w:cs="Tahoma"/>
      <w:sz w:val="16"/>
      <w:szCs w:val="16"/>
      <w:lang w:val="x-none" w:eastAsia="cs-CZ"/>
    </w:rPr>
  </w:style>
  <w:style w:type="character" w:customStyle="1" w:styleId="truktradokumentuChar1602">
    <w:name w:val="Štruktúra dokumentu Char1602"/>
    <w:aliases w:val="Char9 Char Char1603,Štruktúra dokumentu Char Char Char1603,Document Map Char Char Char1603"/>
    <w:basedOn w:val="Predvolenpsmoodseku"/>
    <w:uiPriority w:val="99"/>
    <w:semiHidden/>
    <w:rsid w:val="00A809E7"/>
    <w:rPr>
      <w:rFonts w:ascii="Tahoma" w:hAnsi="Tahoma" w:cs="Tahoma"/>
      <w:sz w:val="16"/>
      <w:szCs w:val="16"/>
      <w:lang w:val="x-none" w:eastAsia="cs-CZ"/>
    </w:rPr>
  </w:style>
  <w:style w:type="character" w:customStyle="1" w:styleId="truktradokumentuChar1601">
    <w:name w:val="Štruktúra dokumentu Char1601"/>
    <w:aliases w:val="Char9 Char Char1602,Štruktúra dokumentu Char Char Char1602,Document Map Char Char Char1602"/>
    <w:basedOn w:val="Predvolenpsmoodseku"/>
    <w:uiPriority w:val="99"/>
    <w:semiHidden/>
    <w:rsid w:val="00A809E7"/>
    <w:rPr>
      <w:rFonts w:ascii="Tahoma" w:hAnsi="Tahoma" w:cs="Tahoma"/>
      <w:sz w:val="16"/>
      <w:szCs w:val="16"/>
      <w:lang w:val="x-none" w:eastAsia="cs-CZ"/>
    </w:rPr>
  </w:style>
  <w:style w:type="character" w:customStyle="1" w:styleId="truktradokumentuChar1600">
    <w:name w:val="Štruktúra dokumentu Char1600"/>
    <w:aliases w:val="Char9 Char Char1601,Štruktúra dokumentu Char Char Char1601,Document Map Char Char Char1601"/>
    <w:basedOn w:val="Predvolenpsmoodseku"/>
    <w:uiPriority w:val="99"/>
    <w:semiHidden/>
    <w:rsid w:val="00A809E7"/>
    <w:rPr>
      <w:rFonts w:ascii="Tahoma" w:hAnsi="Tahoma" w:cs="Tahoma"/>
      <w:sz w:val="16"/>
      <w:szCs w:val="16"/>
      <w:lang w:val="x-none" w:eastAsia="cs-CZ"/>
    </w:rPr>
  </w:style>
  <w:style w:type="character" w:customStyle="1" w:styleId="truktradokumentuChar1599">
    <w:name w:val="Štruktúra dokumentu Char1599"/>
    <w:aliases w:val="Char9 Char Char1600,Štruktúra dokumentu Char Char Char1600,Document Map Char Char Char1600"/>
    <w:basedOn w:val="Predvolenpsmoodseku"/>
    <w:uiPriority w:val="99"/>
    <w:semiHidden/>
    <w:rsid w:val="00A809E7"/>
    <w:rPr>
      <w:rFonts w:ascii="Tahoma" w:hAnsi="Tahoma" w:cs="Tahoma"/>
      <w:sz w:val="16"/>
      <w:szCs w:val="16"/>
      <w:lang w:val="x-none" w:eastAsia="cs-CZ"/>
    </w:rPr>
  </w:style>
  <w:style w:type="character" w:customStyle="1" w:styleId="truktradokumentuChar1598">
    <w:name w:val="Štruktúra dokumentu Char1598"/>
    <w:aliases w:val="Char9 Char Char1599,Štruktúra dokumentu Char Char Char1599,Document Map Char Char Char1599"/>
    <w:basedOn w:val="Predvolenpsmoodseku"/>
    <w:uiPriority w:val="99"/>
    <w:semiHidden/>
    <w:rsid w:val="00A809E7"/>
    <w:rPr>
      <w:rFonts w:ascii="Tahoma" w:hAnsi="Tahoma" w:cs="Tahoma"/>
      <w:sz w:val="16"/>
      <w:szCs w:val="16"/>
      <w:lang w:val="x-none" w:eastAsia="cs-CZ"/>
    </w:rPr>
  </w:style>
  <w:style w:type="character" w:customStyle="1" w:styleId="truktradokumentuChar1597">
    <w:name w:val="Štruktúra dokumentu Char1597"/>
    <w:aliases w:val="Char9 Char Char1598,Štruktúra dokumentu Char Char Char1598,Document Map Char Char Char1598"/>
    <w:basedOn w:val="Predvolenpsmoodseku"/>
    <w:uiPriority w:val="99"/>
    <w:semiHidden/>
    <w:rsid w:val="00A809E7"/>
    <w:rPr>
      <w:rFonts w:ascii="Tahoma" w:hAnsi="Tahoma" w:cs="Tahoma"/>
      <w:sz w:val="16"/>
      <w:szCs w:val="16"/>
      <w:lang w:val="x-none" w:eastAsia="cs-CZ"/>
    </w:rPr>
  </w:style>
  <w:style w:type="character" w:customStyle="1" w:styleId="truktradokumentuChar1596">
    <w:name w:val="Štruktúra dokumentu Char1596"/>
    <w:aliases w:val="Char9 Char Char1597,Štruktúra dokumentu Char Char Char1597,Document Map Char Char Char1597"/>
    <w:basedOn w:val="Predvolenpsmoodseku"/>
    <w:uiPriority w:val="99"/>
    <w:semiHidden/>
    <w:rsid w:val="00A809E7"/>
    <w:rPr>
      <w:rFonts w:ascii="Tahoma" w:hAnsi="Tahoma" w:cs="Tahoma"/>
      <w:sz w:val="16"/>
      <w:szCs w:val="16"/>
      <w:lang w:val="x-none" w:eastAsia="cs-CZ"/>
    </w:rPr>
  </w:style>
  <w:style w:type="character" w:customStyle="1" w:styleId="truktradokumentuChar1595">
    <w:name w:val="Štruktúra dokumentu Char1595"/>
    <w:aliases w:val="Char9 Char Char1596,Štruktúra dokumentu Char Char Char1596,Document Map Char Char Char1596"/>
    <w:basedOn w:val="Predvolenpsmoodseku"/>
    <w:uiPriority w:val="99"/>
    <w:semiHidden/>
    <w:rsid w:val="00A809E7"/>
    <w:rPr>
      <w:rFonts w:ascii="Tahoma" w:hAnsi="Tahoma" w:cs="Tahoma"/>
      <w:sz w:val="16"/>
      <w:szCs w:val="16"/>
      <w:lang w:val="x-none" w:eastAsia="cs-CZ"/>
    </w:rPr>
  </w:style>
  <w:style w:type="character" w:customStyle="1" w:styleId="truktradokumentuChar1594">
    <w:name w:val="Štruktúra dokumentu Char1594"/>
    <w:aliases w:val="Char9 Char Char1595,Štruktúra dokumentu Char Char Char1595,Document Map Char Char Char1595"/>
    <w:basedOn w:val="Predvolenpsmoodseku"/>
    <w:uiPriority w:val="99"/>
    <w:semiHidden/>
    <w:rsid w:val="00A809E7"/>
    <w:rPr>
      <w:rFonts w:ascii="Tahoma" w:hAnsi="Tahoma" w:cs="Tahoma"/>
      <w:sz w:val="16"/>
      <w:szCs w:val="16"/>
      <w:lang w:val="x-none" w:eastAsia="cs-CZ"/>
    </w:rPr>
  </w:style>
  <w:style w:type="character" w:customStyle="1" w:styleId="truktradokumentuChar1593">
    <w:name w:val="Štruktúra dokumentu Char1593"/>
    <w:aliases w:val="Char9 Char Char1594,Štruktúra dokumentu Char Char Char1594,Document Map Char Char Char1594"/>
    <w:basedOn w:val="Predvolenpsmoodseku"/>
    <w:uiPriority w:val="99"/>
    <w:semiHidden/>
    <w:rsid w:val="00A809E7"/>
    <w:rPr>
      <w:rFonts w:ascii="Tahoma" w:hAnsi="Tahoma" w:cs="Tahoma"/>
      <w:sz w:val="16"/>
      <w:szCs w:val="16"/>
      <w:lang w:val="x-none" w:eastAsia="cs-CZ"/>
    </w:rPr>
  </w:style>
  <w:style w:type="character" w:customStyle="1" w:styleId="truktradokumentuChar1592">
    <w:name w:val="Štruktúra dokumentu Char1592"/>
    <w:aliases w:val="Char9 Char Char1593,Štruktúra dokumentu Char Char Char1593,Document Map Char Char Char1593"/>
    <w:basedOn w:val="Predvolenpsmoodseku"/>
    <w:uiPriority w:val="99"/>
    <w:semiHidden/>
    <w:rsid w:val="00A809E7"/>
    <w:rPr>
      <w:rFonts w:ascii="Tahoma" w:hAnsi="Tahoma" w:cs="Tahoma"/>
      <w:sz w:val="16"/>
      <w:szCs w:val="16"/>
      <w:lang w:val="x-none" w:eastAsia="cs-CZ"/>
    </w:rPr>
  </w:style>
  <w:style w:type="character" w:customStyle="1" w:styleId="truktradokumentuChar1591">
    <w:name w:val="Štruktúra dokumentu Char1591"/>
    <w:aliases w:val="Char9 Char Char1592,Štruktúra dokumentu Char Char Char1592,Document Map Char Char Char1592"/>
    <w:basedOn w:val="Predvolenpsmoodseku"/>
    <w:uiPriority w:val="99"/>
    <w:semiHidden/>
    <w:rsid w:val="00A809E7"/>
    <w:rPr>
      <w:rFonts w:ascii="Tahoma" w:hAnsi="Tahoma" w:cs="Tahoma"/>
      <w:sz w:val="16"/>
      <w:szCs w:val="16"/>
      <w:lang w:val="x-none" w:eastAsia="cs-CZ"/>
    </w:rPr>
  </w:style>
  <w:style w:type="character" w:customStyle="1" w:styleId="truktradokumentuChar1590">
    <w:name w:val="Štruktúra dokumentu Char1590"/>
    <w:aliases w:val="Char9 Char Char1591,Štruktúra dokumentu Char Char Char1591,Document Map Char Char Char1591"/>
    <w:basedOn w:val="Predvolenpsmoodseku"/>
    <w:uiPriority w:val="99"/>
    <w:semiHidden/>
    <w:rsid w:val="00A809E7"/>
    <w:rPr>
      <w:rFonts w:ascii="Tahoma" w:hAnsi="Tahoma" w:cs="Tahoma"/>
      <w:sz w:val="16"/>
      <w:szCs w:val="16"/>
      <w:lang w:val="x-none" w:eastAsia="cs-CZ"/>
    </w:rPr>
  </w:style>
  <w:style w:type="character" w:customStyle="1" w:styleId="truktradokumentuChar1589">
    <w:name w:val="Štruktúra dokumentu Char1589"/>
    <w:aliases w:val="Char9 Char Char1590,Štruktúra dokumentu Char Char Char1590,Document Map Char Char Char1590"/>
    <w:basedOn w:val="Predvolenpsmoodseku"/>
    <w:uiPriority w:val="99"/>
    <w:semiHidden/>
    <w:rsid w:val="00A809E7"/>
    <w:rPr>
      <w:rFonts w:ascii="Tahoma" w:hAnsi="Tahoma" w:cs="Tahoma"/>
      <w:sz w:val="16"/>
      <w:szCs w:val="16"/>
      <w:lang w:val="x-none" w:eastAsia="cs-CZ"/>
    </w:rPr>
  </w:style>
  <w:style w:type="character" w:customStyle="1" w:styleId="truktradokumentuChar1588">
    <w:name w:val="Štruktúra dokumentu Char1588"/>
    <w:aliases w:val="Char9 Char Char1589,Štruktúra dokumentu Char Char Char1589,Document Map Char Char Char1589"/>
    <w:basedOn w:val="Predvolenpsmoodseku"/>
    <w:uiPriority w:val="99"/>
    <w:semiHidden/>
    <w:rsid w:val="00A809E7"/>
    <w:rPr>
      <w:rFonts w:ascii="Tahoma" w:hAnsi="Tahoma" w:cs="Tahoma"/>
      <w:sz w:val="16"/>
      <w:szCs w:val="16"/>
      <w:lang w:val="x-none" w:eastAsia="cs-CZ"/>
    </w:rPr>
  </w:style>
  <w:style w:type="character" w:customStyle="1" w:styleId="truktradokumentuChar1587">
    <w:name w:val="Štruktúra dokumentu Char1587"/>
    <w:aliases w:val="Char9 Char Char1588,Štruktúra dokumentu Char Char Char1588,Document Map Char Char Char1588"/>
    <w:basedOn w:val="Predvolenpsmoodseku"/>
    <w:uiPriority w:val="99"/>
    <w:semiHidden/>
    <w:rsid w:val="00A809E7"/>
    <w:rPr>
      <w:rFonts w:ascii="Tahoma" w:hAnsi="Tahoma" w:cs="Tahoma"/>
      <w:sz w:val="16"/>
      <w:szCs w:val="16"/>
      <w:lang w:val="x-none" w:eastAsia="cs-CZ"/>
    </w:rPr>
  </w:style>
  <w:style w:type="character" w:customStyle="1" w:styleId="truktradokumentuChar1586">
    <w:name w:val="Štruktúra dokumentu Char1586"/>
    <w:aliases w:val="Char9 Char Char1587,Štruktúra dokumentu Char Char Char1587,Document Map Char Char Char1587"/>
    <w:basedOn w:val="Predvolenpsmoodseku"/>
    <w:uiPriority w:val="99"/>
    <w:semiHidden/>
    <w:rsid w:val="00A809E7"/>
    <w:rPr>
      <w:rFonts w:ascii="Tahoma" w:hAnsi="Tahoma" w:cs="Tahoma"/>
      <w:sz w:val="16"/>
      <w:szCs w:val="16"/>
      <w:lang w:val="x-none" w:eastAsia="cs-CZ"/>
    </w:rPr>
  </w:style>
  <w:style w:type="character" w:customStyle="1" w:styleId="truktradokumentuChar1585">
    <w:name w:val="Štruktúra dokumentu Char1585"/>
    <w:aliases w:val="Char9 Char Char1586,Štruktúra dokumentu Char Char Char1586,Document Map Char Char Char1586"/>
    <w:basedOn w:val="Predvolenpsmoodseku"/>
    <w:uiPriority w:val="99"/>
    <w:semiHidden/>
    <w:rsid w:val="00A809E7"/>
    <w:rPr>
      <w:rFonts w:ascii="Tahoma" w:hAnsi="Tahoma" w:cs="Tahoma"/>
      <w:sz w:val="16"/>
      <w:szCs w:val="16"/>
      <w:lang w:val="x-none" w:eastAsia="cs-CZ"/>
    </w:rPr>
  </w:style>
  <w:style w:type="character" w:customStyle="1" w:styleId="truktradokumentuChar1584">
    <w:name w:val="Štruktúra dokumentu Char1584"/>
    <w:aliases w:val="Char9 Char Char1585,Štruktúra dokumentu Char Char Char1585,Document Map Char Char Char1585"/>
    <w:basedOn w:val="Predvolenpsmoodseku"/>
    <w:uiPriority w:val="99"/>
    <w:semiHidden/>
    <w:rsid w:val="00A809E7"/>
    <w:rPr>
      <w:rFonts w:ascii="Tahoma" w:hAnsi="Tahoma" w:cs="Tahoma"/>
      <w:sz w:val="16"/>
      <w:szCs w:val="16"/>
      <w:lang w:val="x-none" w:eastAsia="cs-CZ"/>
    </w:rPr>
  </w:style>
  <w:style w:type="character" w:customStyle="1" w:styleId="truktradokumentuChar1583">
    <w:name w:val="Štruktúra dokumentu Char1583"/>
    <w:aliases w:val="Char9 Char Char1584,Štruktúra dokumentu Char Char Char1584,Document Map Char Char Char1584"/>
    <w:basedOn w:val="Predvolenpsmoodseku"/>
    <w:uiPriority w:val="99"/>
    <w:semiHidden/>
    <w:rsid w:val="00A809E7"/>
    <w:rPr>
      <w:rFonts w:ascii="Tahoma" w:hAnsi="Tahoma" w:cs="Tahoma"/>
      <w:sz w:val="16"/>
      <w:szCs w:val="16"/>
      <w:lang w:val="x-none" w:eastAsia="cs-CZ"/>
    </w:rPr>
  </w:style>
  <w:style w:type="character" w:customStyle="1" w:styleId="truktradokumentuChar1582">
    <w:name w:val="Štruktúra dokumentu Char1582"/>
    <w:aliases w:val="Char9 Char Char1583,Štruktúra dokumentu Char Char Char1583,Document Map Char Char Char1583"/>
    <w:basedOn w:val="Predvolenpsmoodseku"/>
    <w:uiPriority w:val="99"/>
    <w:semiHidden/>
    <w:rsid w:val="00A809E7"/>
    <w:rPr>
      <w:rFonts w:ascii="Tahoma" w:hAnsi="Tahoma" w:cs="Tahoma"/>
      <w:sz w:val="16"/>
      <w:szCs w:val="16"/>
      <w:lang w:val="x-none" w:eastAsia="cs-CZ"/>
    </w:rPr>
  </w:style>
  <w:style w:type="character" w:customStyle="1" w:styleId="truktradokumentuChar1581">
    <w:name w:val="Štruktúra dokumentu Char1581"/>
    <w:aliases w:val="Char9 Char Char1582,Štruktúra dokumentu Char Char Char1582,Document Map Char Char Char1582"/>
    <w:basedOn w:val="Predvolenpsmoodseku"/>
    <w:uiPriority w:val="99"/>
    <w:semiHidden/>
    <w:rsid w:val="00A809E7"/>
    <w:rPr>
      <w:rFonts w:ascii="Tahoma" w:hAnsi="Tahoma" w:cs="Tahoma"/>
      <w:sz w:val="16"/>
      <w:szCs w:val="16"/>
      <w:lang w:val="x-none" w:eastAsia="cs-CZ"/>
    </w:rPr>
  </w:style>
  <w:style w:type="character" w:customStyle="1" w:styleId="truktradokumentuChar1580">
    <w:name w:val="Štruktúra dokumentu Char1580"/>
    <w:aliases w:val="Char9 Char Char1581,Štruktúra dokumentu Char Char Char1581,Document Map Char Char Char1581"/>
    <w:basedOn w:val="Predvolenpsmoodseku"/>
    <w:uiPriority w:val="99"/>
    <w:semiHidden/>
    <w:rsid w:val="00A809E7"/>
    <w:rPr>
      <w:rFonts w:ascii="Tahoma" w:hAnsi="Tahoma" w:cs="Tahoma"/>
      <w:sz w:val="16"/>
      <w:szCs w:val="16"/>
      <w:lang w:val="x-none" w:eastAsia="cs-CZ"/>
    </w:rPr>
  </w:style>
  <w:style w:type="character" w:customStyle="1" w:styleId="truktradokumentuChar1579">
    <w:name w:val="Štruktúra dokumentu Char1579"/>
    <w:aliases w:val="Char9 Char Char1580,Štruktúra dokumentu Char Char Char1580,Document Map Char Char Char1580"/>
    <w:basedOn w:val="Predvolenpsmoodseku"/>
    <w:uiPriority w:val="99"/>
    <w:semiHidden/>
    <w:rsid w:val="00A809E7"/>
    <w:rPr>
      <w:rFonts w:ascii="Tahoma" w:hAnsi="Tahoma" w:cs="Tahoma"/>
      <w:sz w:val="16"/>
      <w:szCs w:val="16"/>
      <w:lang w:val="x-none" w:eastAsia="cs-CZ"/>
    </w:rPr>
  </w:style>
  <w:style w:type="character" w:customStyle="1" w:styleId="truktradokumentuChar1578">
    <w:name w:val="Štruktúra dokumentu Char1578"/>
    <w:aliases w:val="Char9 Char Char1579,Štruktúra dokumentu Char Char Char1579,Document Map Char Char Char1579"/>
    <w:basedOn w:val="Predvolenpsmoodseku"/>
    <w:uiPriority w:val="99"/>
    <w:semiHidden/>
    <w:rsid w:val="00A809E7"/>
    <w:rPr>
      <w:rFonts w:ascii="Tahoma" w:hAnsi="Tahoma" w:cs="Tahoma"/>
      <w:sz w:val="16"/>
      <w:szCs w:val="16"/>
      <w:lang w:val="x-none" w:eastAsia="cs-CZ"/>
    </w:rPr>
  </w:style>
  <w:style w:type="character" w:customStyle="1" w:styleId="truktradokumentuChar1577">
    <w:name w:val="Štruktúra dokumentu Char1577"/>
    <w:aliases w:val="Char9 Char Char1578,Štruktúra dokumentu Char Char Char1578,Document Map Char Char Char1578"/>
    <w:basedOn w:val="Predvolenpsmoodseku"/>
    <w:uiPriority w:val="99"/>
    <w:semiHidden/>
    <w:rsid w:val="00A809E7"/>
    <w:rPr>
      <w:rFonts w:ascii="Tahoma" w:hAnsi="Tahoma" w:cs="Tahoma"/>
      <w:sz w:val="16"/>
      <w:szCs w:val="16"/>
      <w:lang w:val="x-none" w:eastAsia="cs-CZ"/>
    </w:rPr>
  </w:style>
  <w:style w:type="character" w:customStyle="1" w:styleId="truktradokumentuChar1576">
    <w:name w:val="Štruktúra dokumentu Char1576"/>
    <w:aliases w:val="Char9 Char Char1577,Štruktúra dokumentu Char Char Char1577,Document Map Char Char Char1577"/>
    <w:basedOn w:val="Predvolenpsmoodseku"/>
    <w:uiPriority w:val="99"/>
    <w:semiHidden/>
    <w:rsid w:val="00A809E7"/>
    <w:rPr>
      <w:rFonts w:ascii="Tahoma" w:hAnsi="Tahoma" w:cs="Tahoma"/>
      <w:sz w:val="16"/>
      <w:szCs w:val="16"/>
      <w:lang w:val="x-none" w:eastAsia="cs-CZ"/>
    </w:rPr>
  </w:style>
  <w:style w:type="character" w:customStyle="1" w:styleId="truktradokumentuChar1575">
    <w:name w:val="Štruktúra dokumentu Char1575"/>
    <w:aliases w:val="Char9 Char Char1576,Štruktúra dokumentu Char Char Char1576,Document Map Char Char Char1576"/>
    <w:basedOn w:val="Predvolenpsmoodseku"/>
    <w:uiPriority w:val="99"/>
    <w:semiHidden/>
    <w:rsid w:val="00A809E7"/>
    <w:rPr>
      <w:rFonts w:ascii="Tahoma" w:hAnsi="Tahoma" w:cs="Tahoma"/>
      <w:sz w:val="16"/>
      <w:szCs w:val="16"/>
      <w:lang w:val="x-none" w:eastAsia="cs-CZ"/>
    </w:rPr>
  </w:style>
  <w:style w:type="character" w:customStyle="1" w:styleId="truktradokumentuChar1574">
    <w:name w:val="Štruktúra dokumentu Char1574"/>
    <w:aliases w:val="Char9 Char Char1575,Štruktúra dokumentu Char Char Char1575,Document Map Char Char Char1575"/>
    <w:basedOn w:val="Predvolenpsmoodseku"/>
    <w:uiPriority w:val="99"/>
    <w:semiHidden/>
    <w:rsid w:val="00A809E7"/>
    <w:rPr>
      <w:rFonts w:ascii="Tahoma" w:hAnsi="Tahoma" w:cs="Tahoma"/>
      <w:sz w:val="16"/>
      <w:szCs w:val="16"/>
      <w:lang w:val="x-none" w:eastAsia="cs-CZ"/>
    </w:rPr>
  </w:style>
  <w:style w:type="character" w:customStyle="1" w:styleId="truktradokumentuChar1573">
    <w:name w:val="Štruktúra dokumentu Char1573"/>
    <w:aliases w:val="Char9 Char Char1574,Štruktúra dokumentu Char Char Char1574,Document Map Char Char Char1574"/>
    <w:basedOn w:val="Predvolenpsmoodseku"/>
    <w:uiPriority w:val="99"/>
    <w:semiHidden/>
    <w:rsid w:val="00A809E7"/>
    <w:rPr>
      <w:rFonts w:ascii="Tahoma" w:hAnsi="Tahoma" w:cs="Tahoma"/>
      <w:sz w:val="16"/>
      <w:szCs w:val="16"/>
      <w:lang w:val="x-none" w:eastAsia="cs-CZ"/>
    </w:rPr>
  </w:style>
  <w:style w:type="character" w:customStyle="1" w:styleId="truktradokumentuChar1572">
    <w:name w:val="Štruktúra dokumentu Char1572"/>
    <w:aliases w:val="Char9 Char Char1573,Štruktúra dokumentu Char Char Char1573,Document Map Char Char Char1573"/>
    <w:basedOn w:val="Predvolenpsmoodseku"/>
    <w:uiPriority w:val="99"/>
    <w:semiHidden/>
    <w:rsid w:val="00A809E7"/>
    <w:rPr>
      <w:rFonts w:ascii="Tahoma" w:hAnsi="Tahoma" w:cs="Tahoma"/>
      <w:sz w:val="16"/>
      <w:szCs w:val="16"/>
      <w:lang w:val="x-none" w:eastAsia="cs-CZ"/>
    </w:rPr>
  </w:style>
  <w:style w:type="character" w:customStyle="1" w:styleId="truktradokumentuChar1571">
    <w:name w:val="Štruktúra dokumentu Char1571"/>
    <w:aliases w:val="Char9 Char Char1572,Štruktúra dokumentu Char Char Char1572,Document Map Char Char Char1572"/>
    <w:basedOn w:val="Predvolenpsmoodseku"/>
    <w:uiPriority w:val="99"/>
    <w:semiHidden/>
    <w:rsid w:val="00A809E7"/>
    <w:rPr>
      <w:rFonts w:ascii="Tahoma" w:hAnsi="Tahoma" w:cs="Tahoma"/>
      <w:sz w:val="16"/>
      <w:szCs w:val="16"/>
      <w:lang w:val="x-none" w:eastAsia="cs-CZ"/>
    </w:rPr>
  </w:style>
  <w:style w:type="character" w:customStyle="1" w:styleId="truktradokumentuChar1570">
    <w:name w:val="Štruktúra dokumentu Char1570"/>
    <w:aliases w:val="Char9 Char Char1571,Štruktúra dokumentu Char Char Char1571,Document Map Char Char Char1571"/>
    <w:basedOn w:val="Predvolenpsmoodseku"/>
    <w:uiPriority w:val="99"/>
    <w:semiHidden/>
    <w:rsid w:val="00A809E7"/>
    <w:rPr>
      <w:rFonts w:ascii="Tahoma" w:hAnsi="Tahoma" w:cs="Tahoma"/>
      <w:sz w:val="16"/>
      <w:szCs w:val="16"/>
      <w:lang w:val="x-none" w:eastAsia="cs-CZ"/>
    </w:rPr>
  </w:style>
  <w:style w:type="character" w:customStyle="1" w:styleId="truktradokumentuChar1569">
    <w:name w:val="Štruktúra dokumentu Char1569"/>
    <w:aliases w:val="Char9 Char Char1570,Štruktúra dokumentu Char Char Char1570,Document Map Char Char Char1570"/>
    <w:basedOn w:val="Predvolenpsmoodseku"/>
    <w:uiPriority w:val="99"/>
    <w:semiHidden/>
    <w:rsid w:val="00A809E7"/>
    <w:rPr>
      <w:rFonts w:ascii="Tahoma" w:hAnsi="Tahoma" w:cs="Tahoma"/>
      <w:sz w:val="16"/>
      <w:szCs w:val="16"/>
      <w:lang w:val="x-none" w:eastAsia="cs-CZ"/>
    </w:rPr>
  </w:style>
  <w:style w:type="character" w:customStyle="1" w:styleId="truktradokumentuChar1568">
    <w:name w:val="Štruktúra dokumentu Char1568"/>
    <w:aliases w:val="Char9 Char Char1569,Štruktúra dokumentu Char Char Char1569,Document Map Char Char Char1569"/>
    <w:basedOn w:val="Predvolenpsmoodseku"/>
    <w:uiPriority w:val="99"/>
    <w:semiHidden/>
    <w:rsid w:val="00A809E7"/>
    <w:rPr>
      <w:rFonts w:ascii="Tahoma" w:hAnsi="Tahoma" w:cs="Tahoma"/>
      <w:sz w:val="16"/>
      <w:szCs w:val="16"/>
      <w:lang w:val="x-none" w:eastAsia="cs-CZ"/>
    </w:rPr>
  </w:style>
  <w:style w:type="character" w:customStyle="1" w:styleId="truktradokumentuChar1567">
    <w:name w:val="Štruktúra dokumentu Char1567"/>
    <w:aliases w:val="Char9 Char Char1568,Štruktúra dokumentu Char Char Char1568,Document Map Char Char Char1568"/>
    <w:basedOn w:val="Predvolenpsmoodseku"/>
    <w:uiPriority w:val="99"/>
    <w:semiHidden/>
    <w:rsid w:val="00A809E7"/>
    <w:rPr>
      <w:rFonts w:ascii="Tahoma" w:hAnsi="Tahoma" w:cs="Tahoma"/>
      <w:sz w:val="16"/>
      <w:szCs w:val="16"/>
      <w:lang w:val="x-none" w:eastAsia="cs-CZ"/>
    </w:rPr>
  </w:style>
  <w:style w:type="character" w:customStyle="1" w:styleId="truktradokumentuChar1566">
    <w:name w:val="Štruktúra dokumentu Char1566"/>
    <w:aliases w:val="Char9 Char Char1567,Štruktúra dokumentu Char Char Char1567,Document Map Char Char Char1567"/>
    <w:basedOn w:val="Predvolenpsmoodseku"/>
    <w:uiPriority w:val="99"/>
    <w:semiHidden/>
    <w:rsid w:val="00A809E7"/>
    <w:rPr>
      <w:rFonts w:ascii="Tahoma" w:hAnsi="Tahoma" w:cs="Tahoma"/>
      <w:sz w:val="16"/>
      <w:szCs w:val="16"/>
      <w:lang w:val="x-none" w:eastAsia="cs-CZ"/>
    </w:rPr>
  </w:style>
  <w:style w:type="character" w:customStyle="1" w:styleId="truktradokumentuChar1565">
    <w:name w:val="Štruktúra dokumentu Char1565"/>
    <w:aliases w:val="Char9 Char Char1566,Štruktúra dokumentu Char Char Char1566,Document Map Char Char Char1566"/>
    <w:basedOn w:val="Predvolenpsmoodseku"/>
    <w:uiPriority w:val="99"/>
    <w:semiHidden/>
    <w:rsid w:val="00A809E7"/>
    <w:rPr>
      <w:rFonts w:ascii="Tahoma" w:hAnsi="Tahoma" w:cs="Tahoma"/>
      <w:sz w:val="16"/>
      <w:szCs w:val="16"/>
      <w:lang w:val="x-none" w:eastAsia="cs-CZ"/>
    </w:rPr>
  </w:style>
  <w:style w:type="character" w:customStyle="1" w:styleId="truktradokumentuChar1564">
    <w:name w:val="Štruktúra dokumentu Char1564"/>
    <w:aliases w:val="Char9 Char Char1565,Štruktúra dokumentu Char Char Char1565,Document Map Char Char Char1565"/>
    <w:basedOn w:val="Predvolenpsmoodseku"/>
    <w:uiPriority w:val="99"/>
    <w:semiHidden/>
    <w:rsid w:val="00A809E7"/>
    <w:rPr>
      <w:rFonts w:ascii="Tahoma" w:hAnsi="Tahoma" w:cs="Tahoma"/>
      <w:sz w:val="16"/>
      <w:szCs w:val="16"/>
      <w:lang w:val="x-none" w:eastAsia="cs-CZ"/>
    </w:rPr>
  </w:style>
  <w:style w:type="character" w:customStyle="1" w:styleId="truktradokumentuChar1563">
    <w:name w:val="Štruktúra dokumentu Char1563"/>
    <w:aliases w:val="Char9 Char Char1564,Štruktúra dokumentu Char Char Char1564,Document Map Char Char Char1564"/>
    <w:basedOn w:val="Predvolenpsmoodseku"/>
    <w:uiPriority w:val="99"/>
    <w:semiHidden/>
    <w:rsid w:val="00A809E7"/>
    <w:rPr>
      <w:rFonts w:ascii="Tahoma" w:hAnsi="Tahoma" w:cs="Tahoma"/>
      <w:sz w:val="16"/>
      <w:szCs w:val="16"/>
      <w:lang w:val="x-none" w:eastAsia="cs-CZ"/>
    </w:rPr>
  </w:style>
  <w:style w:type="character" w:customStyle="1" w:styleId="truktradokumentuChar1562">
    <w:name w:val="Štruktúra dokumentu Char1562"/>
    <w:aliases w:val="Char9 Char Char1563,Štruktúra dokumentu Char Char Char1563,Document Map Char Char Char1563"/>
    <w:basedOn w:val="Predvolenpsmoodseku"/>
    <w:uiPriority w:val="99"/>
    <w:semiHidden/>
    <w:rsid w:val="00A809E7"/>
    <w:rPr>
      <w:rFonts w:ascii="Tahoma" w:hAnsi="Tahoma" w:cs="Tahoma"/>
      <w:sz w:val="16"/>
      <w:szCs w:val="16"/>
      <w:lang w:val="x-none" w:eastAsia="cs-CZ"/>
    </w:rPr>
  </w:style>
  <w:style w:type="character" w:customStyle="1" w:styleId="truktradokumentuChar1561">
    <w:name w:val="Štruktúra dokumentu Char1561"/>
    <w:aliases w:val="Char9 Char Char1562,Štruktúra dokumentu Char Char Char1562,Document Map Char Char Char1562"/>
    <w:basedOn w:val="Predvolenpsmoodseku"/>
    <w:uiPriority w:val="99"/>
    <w:semiHidden/>
    <w:rsid w:val="00A809E7"/>
    <w:rPr>
      <w:rFonts w:ascii="Tahoma" w:hAnsi="Tahoma" w:cs="Tahoma"/>
      <w:sz w:val="16"/>
      <w:szCs w:val="16"/>
      <w:lang w:val="x-none" w:eastAsia="cs-CZ"/>
    </w:rPr>
  </w:style>
  <w:style w:type="character" w:customStyle="1" w:styleId="truktradokumentuChar1560">
    <w:name w:val="Štruktúra dokumentu Char1560"/>
    <w:aliases w:val="Char9 Char Char1561,Štruktúra dokumentu Char Char Char1561,Document Map Char Char Char1561"/>
    <w:basedOn w:val="Predvolenpsmoodseku"/>
    <w:uiPriority w:val="99"/>
    <w:semiHidden/>
    <w:rsid w:val="00A809E7"/>
    <w:rPr>
      <w:rFonts w:ascii="Tahoma" w:hAnsi="Tahoma" w:cs="Tahoma"/>
      <w:sz w:val="16"/>
      <w:szCs w:val="16"/>
      <w:lang w:val="x-none" w:eastAsia="cs-CZ"/>
    </w:rPr>
  </w:style>
  <w:style w:type="character" w:customStyle="1" w:styleId="truktradokumentuChar1559">
    <w:name w:val="Štruktúra dokumentu Char1559"/>
    <w:aliases w:val="Char9 Char Char1560,Štruktúra dokumentu Char Char Char1560,Document Map Char Char Char1560"/>
    <w:basedOn w:val="Predvolenpsmoodseku"/>
    <w:uiPriority w:val="99"/>
    <w:semiHidden/>
    <w:rsid w:val="00A809E7"/>
    <w:rPr>
      <w:rFonts w:ascii="Tahoma" w:hAnsi="Tahoma" w:cs="Tahoma"/>
      <w:sz w:val="16"/>
      <w:szCs w:val="16"/>
      <w:lang w:val="x-none" w:eastAsia="cs-CZ"/>
    </w:rPr>
  </w:style>
  <w:style w:type="character" w:customStyle="1" w:styleId="truktradokumentuChar1558">
    <w:name w:val="Štruktúra dokumentu Char1558"/>
    <w:aliases w:val="Char9 Char Char1559,Štruktúra dokumentu Char Char Char1559,Document Map Char Char Char1559"/>
    <w:basedOn w:val="Predvolenpsmoodseku"/>
    <w:uiPriority w:val="99"/>
    <w:semiHidden/>
    <w:rsid w:val="00A809E7"/>
    <w:rPr>
      <w:rFonts w:ascii="Tahoma" w:hAnsi="Tahoma" w:cs="Tahoma"/>
      <w:sz w:val="16"/>
      <w:szCs w:val="16"/>
      <w:lang w:val="x-none" w:eastAsia="cs-CZ"/>
    </w:rPr>
  </w:style>
  <w:style w:type="character" w:customStyle="1" w:styleId="truktradokumentuChar1557">
    <w:name w:val="Štruktúra dokumentu Char1557"/>
    <w:aliases w:val="Char9 Char Char1558,Štruktúra dokumentu Char Char Char1558,Document Map Char Char Char1558"/>
    <w:basedOn w:val="Predvolenpsmoodseku"/>
    <w:uiPriority w:val="99"/>
    <w:semiHidden/>
    <w:rsid w:val="00A809E7"/>
    <w:rPr>
      <w:rFonts w:ascii="Tahoma" w:hAnsi="Tahoma" w:cs="Tahoma"/>
      <w:sz w:val="16"/>
      <w:szCs w:val="16"/>
      <w:lang w:val="x-none" w:eastAsia="cs-CZ"/>
    </w:rPr>
  </w:style>
  <w:style w:type="character" w:customStyle="1" w:styleId="truktradokumentuChar1556">
    <w:name w:val="Štruktúra dokumentu Char1556"/>
    <w:aliases w:val="Char9 Char Char1557,Štruktúra dokumentu Char Char Char1557,Document Map Char Char Char1557"/>
    <w:basedOn w:val="Predvolenpsmoodseku"/>
    <w:uiPriority w:val="99"/>
    <w:semiHidden/>
    <w:rsid w:val="00A809E7"/>
    <w:rPr>
      <w:rFonts w:ascii="Tahoma" w:hAnsi="Tahoma" w:cs="Tahoma"/>
      <w:sz w:val="16"/>
      <w:szCs w:val="16"/>
      <w:lang w:val="x-none" w:eastAsia="cs-CZ"/>
    </w:rPr>
  </w:style>
  <w:style w:type="character" w:customStyle="1" w:styleId="truktradokumentuChar1555">
    <w:name w:val="Štruktúra dokumentu Char1555"/>
    <w:aliases w:val="Char9 Char Char1556,Štruktúra dokumentu Char Char Char1556,Document Map Char Char Char1556"/>
    <w:basedOn w:val="Predvolenpsmoodseku"/>
    <w:uiPriority w:val="99"/>
    <w:semiHidden/>
    <w:rsid w:val="00A809E7"/>
    <w:rPr>
      <w:rFonts w:ascii="Tahoma" w:hAnsi="Tahoma" w:cs="Tahoma"/>
      <w:sz w:val="16"/>
      <w:szCs w:val="16"/>
      <w:lang w:val="x-none" w:eastAsia="cs-CZ"/>
    </w:rPr>
  </w:style>
  <w:style w:type="character" w:customStyle="1" w:styleId="truktradokumentuChar1554">
    <w:name w:val="Štruktúra dokumentu Char1554"/>
    <w:aliases w:val="Char9 Char Char1555,Štruktúra dokumentu Char Char Char1555,Document Map Char Char Char1555"/>
    <w:basedOn w:val="Predvolenpsmoodseku"/>
    <w:uiPriority w:val="99"/>
    <w:semiHidden/>
    <w:rsid w:val="00A809E7"/>
    <w:rPr>
      <w:rFonts w:ascii="Tahoma" w:hAnsi="Tahoma" w:cs="Tahoma"/>
      <w:sz w:val="16"/>
      <w:szCs w:val="16"/>
      <w:lang w:val="x-none" w:eastAsia="cs-CZ"/>
    </w:rPr>
  </w:style>
  <w:style w:type="character" w:customStyle="1" w:styleId="truktradokumentuChar1553">
    <w:name w:val="Štruktúra dokumentu Char1553"/>
    <w:aliases w:val="Char9 Char Char1554,Štruktúra dokumentu Char Char Char1554,Document Map Char Char Char1554"/>
    <w:basedOn w:val="Predvolenpsmoodseku"/>
    <w:uiPriority w:val="99"/>
    <w:semiHidden/>
    <w:rsid w:val="00A809E7"/>
    <w:rPr>
      <w:rFonts w:ascii="Tahoma" w:hAnsi="Tahoma" w:cs="Tahoma"/>
      <w:sz w:val="16"/>
      <w:szCs w:val="16"/>
      <w:lang w:val="x-none" w:eastAsia="cs-CZ"/>
    </w:rPr>
  </w:style>
  <w:style w:type="character" w:customStyle="1" w:styleId="truktradokumentuChar1552">
    <w:name w:val="Štruktúra dokumentu Char1552"/>
    <w:aliases w:val="Char9 Char Char1553,Štruktúra dokumentu Char Char Char1553,Document Map Char Char Char1553"/>
    <w:basedOn w:val="Predvolenpsmoodseku"/>
    <w:uiPriority w:val="99"/>
    <w:semiHidden/>
    <w:rsid w:val="00A809E7"/>
    <w:rPr>
      <w:rFonts w:ascii="Tahoma" w:hAnsi="Tahoma" w:cs="Tahoma"/>
      <w:sz w:val="16"/>
      <w:szCs w:val="16"/>
      <w:lang w:val="x-none" w:eastAsia="cs-CZ"/>
    </w:rPr>
  </w:style>
  <w:style w:type="character" w:customStyle="1" w:styleId="truktradokumentuChar1551">
    <w:name w:val="Štruktúra dokumentu Char1551"/>
    <w:aliases w:val="Char9 Char Char1552,Štruktúra dokumentu Char Char Char1552,Document Map Char Char Char1552"/>
    <w:basedOn w:val="Predvolenpsmoodseku"/>
    <w:uiPriority w:val="99"/>
    <w:semiHidden/>
    <w:rsid w:val="00A809E7"/>
    <w:rPr>
      <w:rFonts w:ascii="Tahoma" w:hAnsi="Tahoma" w:cs="Tahoma"/>
      <w:sz w:val="16"/>
      <w:szCs w:val="16"/>
      <w:lang w:val="x-none" w:eastAsia="cs-CZ"/>
    </w:rPr>
  </w:style>
  <w:style w:type="character" w:customStyle="1" w:styleId="truktradokumentuChar1550">
    <w:name w:val="Štruktúra dokumentu Char1550"/>
    <w:aliases w:val="Char9 Char Char1551,Štruktúra dokumentu Char Char Char1551,Document Map Char Char Char1551"/>
    <w:basedOn w:val="Predvolenpsmoodseku"/>
    <w:uiPriority w:val="99"/>
    <w:semiHidden/>
    <w:rsid w:val="00A809E7"/>
    <w:rPr>
      <w:rFonts w:ascii="Tahoma" w:hAnsi="Tahoma" w:cs="Tahoma"/>
      <w:sz w:val="16"/>
      <w:szCs w:val="16"/>
      <w:lang w:val="x-none" w:eastAsia="cs-CZ"/>
    </w:rPr>
  </w:style>
  <w:style w:type="character" w:customStyle="1" w:styleId="truktradokumentuChar1549">
    <w:name w:val="Štruktúra dokumentu Char1549"/>
    <w:aliases w:val="Char9 Char Char1550,Štruktúra dokumentu Char Char Char1550,Document Map Char Char Char1550"/>
    <w:basedOn w:val="Predvolenpsmoodseku"/>
    <w:uiPriority w:val="99"/>
    <w:semiHidden/>
    <w:rsid w:val="00A809E7"/>
    <w:rPr>
      <w:rFonts w:ascii="Tahoma" w:hAnsi="Tahoma" w:cs="Tahoma"/>
      <w:sz w:val="16"/>
      <w:szCs w:val="16"/>
      <w:lang w:val="x-none" w:eastAsia="cs-CZ"/>
    </w:rPr>
  </w:style>
  <w:style w:type="character" w:customStyle="1" w:styleId="truktradokumentuChar1548">
    <w:name w:val="Štruktúra dokumentu Char1548"/>
    <w:aliases w:val="Char9 Char Char1549,Štruktúra dokumentu Char Char Char1549,Document Map Char Char Char1549"/>
    <w:basedOn w:val="Predvolenpsmoodseku"/>
    <w:uiPriority w:val="99"/>
    <w:semiHidden/>
    <w:rsid w:val="00A809E7"/>
    <w:rPr>
      <w:rFonts w:ascii="Tahoma" w:hAnsi="Tahoma" w:cs="Tahoma"/>
      <w:sz w:val="16"/>
      <w:szCs w:val="16"/>
      <w:lang w:val="x-none" w:eastAsia="cs-CZ"/>
    </w:rPr>
  </w:style>
  <w:style w:type="character" w:customStyle="1" w:styleId="truktradokumentuChar1547">
    <w:name w:val="Štruktúra dokumentu Char1547"/>
    <w:aliases w:val="Char9 Char Char1548,Štruktúra dokumentu Char Char Char1548,Document Map Char Char Char1548"/>
    <w:basedOn w:val="Predvolenpsmoodseku"/>
    <w:uiPriority w:val="99"/>
    <w:semiHidden/>
    <w:rsid w:val="00A809E7"/>
    <w:rPr>
      <w:rFonts w:ascii="Tahoma" w:hAnsi="Tahoma" w:cs="Tahoma"/>
      <w:sz w:val="16"/>
      <w:szCs w:val="16"/>
      <w:lang w:val="x-none" w:eastAsia="cs-CZ"/>
    </w:rPr>
  </w:style>
  <w:style w:type="character" w:customStyle="1" w:styleId="truktradokumentuChar1546">
    <w:name w:val="Štruktúra dokumentu Char1546"/>
    <w:aliases w:val="Char9 Char Char1547,Štruktúra dokumentu Char Char Char1547,Document Map Char Char Char1547"/>
    <w:basedOn w:val="Predvolenpsmoodseku"/>
    <w:uiPriority w:val="99"/>
    <w:semiHidden/>
    <w:rsid w:val="00A809E7"/>
    <w:rPr>
      <w:rFonts w:ascii="Tahoma" w:hAnsi="Tahoma" w:cs="Tahoma"/>
      <w:sz w:val="16"/>
      <w:szCs w:val="16"/>
      <w:lang w:val="x-none" w:eastAsia="cs-CZ"/>
    </w:rPr>
  </w:style>
  <w:style w:type="character" w:customStyle="1" w:styleId="truktradokumentuChar1545">
    <w:name w:val="Štruktúra dokumentu Char1545"/>
    <w:aliases w:val="Char9 Char Char1546,Štruktúra dokumentu Char Char Char1546,Document Map Char Char Char1546"/>
    <w:basedOn w:val="Predvolenpsmoodseku"/>
    <w:uiPriority w:val="99"/>
    <w:semiHidden/>
    <w:rsid w:val="00A809E7"/>
    <w:rPr>
      <w:rFonts w:ascii="Tahoma" w:hAnsi="Tahoma" w:cs="Tahoma"/>
      <w:sz w:val="16"/>
      <w:szCs w:val="16"/>
      <w:lang w:val="x-none" w:eastAsia="cs-CZ"/>
    </w:rPr>
  </w:style>
  <w:style w:type="character" w:customStyle="1" w:styleId="truktradokumentuChar1544">
    <w:name w:val="Štruktúra dokumentu Char1544"/>
    <w:aliases w:val="Char9 Char Char1545,Štruktúra dokumentu Char Char Char1545,Document Map Char Char Char1545"/>
    <w:basedOn w:val="Predvolenpsmoodseku"/>
    <w:uiPriority w:val="99"/>
    <w:semiHidden/>
    <w:rsid w:val="00A809E7"/>
    <w:rPr>
      <w:rFonts w:ascii="Tahoma" w:hAnsi="Tahoma" w:cs="Tahoma"/>
      <w:sz w:val="16"/>
      <w:szCs w:val="16"/>
      <w:lang w:val="x-none" w:eastAsia="cs-CZ"/>
    </w:rPr>
  </w:style>
  <w:style w:type="character" w:customStyle="1" w:styleId="truktradokumentuChar1543">
    <w:name w:val="Štruktúra dokumentu Char1543"/>
    <w:aliases w:val="Char9 Char Char1544,Štruktúra dokumentu Char Char Char1544,Document Map Char Char Char1544"/>
    <w:basedOn w:val="Predvolenpsmoodseku"/>
    <w:uiPriority w:val="99"/>
    <w:semiHidden/>
    <w:rsid w:val="00A809E7"/>
    <w:rPr>
      <w:rFonts w:ascii="Tahoma" w:hAnsi="Tahoma" w:cs="Tahoma"/>
      <w:sz w:val="16"/>
      <w:szCs w:val="16"/>
      <w:lang w:val="x-none" w:eastAsia="cs-CZ"/>
    </w:rPr>
  </w:style>
  <w:style w:type="character" w:customStyle="1" w:styleId="truktradokumentuChar1542">
    <w:name w:val="Štruktúra dokumentu Char1542"/>
    <w:aliases w:val="Char9 Char Char1543,Štruktúra dokumentu Char Char Char1543,Document Map Char Char Char1543"/>
    <w:basedOn w:val="Predvolenpsmoodseku"/>
    <w:uiPriority w:val="99"/>
    <w:semiHidden/>
    <w:rsid w:val="00A809E7"/>
    <w:rPr>
      <w:rFonts w:ascii="Tahoma" w:hAnsi="Tahoma" w:cs="Tahoma"/>
      <w:sz w:val="16"/>
      <w:szCs w:val="16"/>
      <w:lang w:val="x-none" w:eastAsia="cs-CZ"/>
    </w:rPr>
  </w:style>
  <w:style w:type="character" w:customStyle="1" w:styleId="truktradokumentuChar1541">
    <w:name w:val="Štruktúra dokumentu Char1541"/>
    <w:aliases w:val="Char9 Char Char1542,Štruktúra dokumentu Char Char Char1542,Document Map Char Char Char1542"/>
    <w:basedOn w:val="Predvolenpsmoodseku"/>
    <w:uiPriority w:val="99"/>
    <w:semiHidden/>
    <w:rsid w:val="00A809E7"/>
    <w:rPr>
      <w:rFonts w:ascii="Tahoma" w:hAnsi="Tahoma" w:cs="Tahoma"/>
      <w:sz w:val="16"/>
      <w:szCs w:val="16"/>
      <w:lang w:val="x-none" w:eastAsia="cs-CZ"/>
    </w:rPr>
  </w:style>
  <w:style w:type="character" w:customStyle="1" w:styleId="truktradokumentuChar1540">
    <w:name w:val="Štruktúra dokumentu Char1540"/>
    <w:aliases w:val="Char9 Char Char1541,Štruktúra dokumentu Char Char Char1541,Document Map Char Char Char1541"/>
    <w:basedOn w:val="Predvolenpsmoodseku"/>
    <w:uiPriority w:val="99"/>
    <w:semiHidden/>
    <w:rsid w:val="00A809E7"/>
    <w:rPr>
      <w:rFonts w:ascii="Tahoma" w:hAnsi="Tahoma" w:cs="Tahoma"/>
      <w:sz w:val="16"/>
      <w:szCs w:val="16"/>
      <w:lang w:val="x-none" w:eastAsia="cs-CZ"/>
    </w:rPr>
  </w:style>
  <w:style w:type="character" w:customStyle="1" w:styleId="truktradokumentuChar1539">
    <w:name w:val="Štruktúra dokumentu Char1539"/>
    <w:aliases w:val="Char9 Char Char1540,Štruktúra dokumentu Char Char Char1540,Document Map Char Char Char1540"/>
    <w:basedOn w:val="Predvolenpsmoodseku"/>
    <w:uiPriority w:val="99"/>
    <w:semiHidden/>
    <w:rsid w:val="00A809E7"/>
    <w:rPr>
      <w:rFonts w:ascii="Tahoma" w:hAnsi="Tahoma" w:cs="Tahoma"/>
      <w:sz w:val="16"/>
      <w:szCs w:val="16"/>
      <w:lang w:val="x-none" w:eastAsia="cs-CZ"/>
    </w:rPr>
  </w:style>
  <w:style w:type="character" w:customStyle="1" w:styleId="truktradokumentuChar1538">
    <w:name w:val="Štruktúra dokumentu Char1538"/>
    <w:aliases w:val="Char9 Char Char1539,Štruktúra dokumentu Char Char Char1539,Document Map Char Char Char1539"/>
    <w:basedOn w:val="Predvolenpsmoodseku"/>
    <w:uiPriority w:val="99"/>
    <w:semiHidden/>
    <w:rsid w:val="00A809E7"/>
    <w:rPr>
      <w:rFonts w:ascii="Tahoma" w:hAnsi="Tahoma" w:cs="Tahoma"/>
      <w:sz w:val="16"/>
      <w:szCs w:val="16"/>
      <w:lang w:val="x-none" w:eastAsia="cs-CZ"/>
    </w:rPr>
  </w:style>
  <w:style w:type="character" w:customStyle="1" w:styleId="truktradokumentuChar1537">
    <w:name w:val="Štruktúra dokumentu Char1537"/>
    <w:aliases w:val="Char9 Char Char1538,Štruktúra dokumentu Char Char Char1538,Document Map Char Char Char1538"/>
    <w:basedOn w:val="Predvolenpsmoodseku"/>
    <w:uiPriority w:val="99"/>
    <w:semiHidden/>
    <w:rsid w:val="00A809E7"/>
    <w:rPr>
      <w:rFonts w:ascii="Tahoma" w:hAnsi="Tahoma" w:cs="Tahoma"/>
      <w:sz w:val="16"/>
      <w:szCs w:val="16"/>
      <w:lang w:val="x-none" w:eastAsia="cs-CZ"/>
    </w:rPr>
  </w:style>
  <w:style w:type="character" w:customStyle="1" w:styleId="truktradokumentuChar1536">
    <w:name w:val="Štruktúra dokumentu Char1536"/>
    <w:aliases w:val="Char9 Char Char1537,Štruktúra dokumentu Char Char Char1537,Document Map Char Char Char1537"/>
    <w:basedOn w:val="Predvolenpsmoodseku"/>
    <w:uiPriority w:val="99"/>
    <w:semiHidden/>
    <w:rsid w:val="00A809E7"/>
    <w:rPr>
      <w:rFonts w:ascii="Tahoma" w:hAnsi="Tahoma" w:cs="Tahoma"/>
      <w:sz w:val="16"/>
      <w:szCs w:val="16"/>
      <w:lang w:val="x-none" w:eastAsia="cs-CZ"/>
    </w:rPr>
  </w:style>
  <w:style w:type="character" w:customStyle="1" w:styleId="truktradokumentuChar1535">
    <w:name w:val="Štruktúra dokumentu Char1535"/>
    <w:aliases w:val="Char9 Char Char1536,Štruktúra dokumentu Char Char Char1536,Document Map Char Char Char1536"/>
    <w:basedOn w:val="Predvolenpsmoodseku"/>
    <w:uiPriority w:val="99"/>
    <w:semiHidden/>
    <w:rsid w:val="00A809E7"/>
    <w:rPr>
      <w:rFonts w:ascii="Tahoma" w:hAnsi="Tahoma" w:cs="Tahoma"/>
      <w:sz w:val="16"/>
      <w:szCs w:val="16"/>
      <w:lang w:val="x-none" w:eastAsia="cs-CZ"/>
    </w:rPr>
  </w:style>
  <w:style w:type="character" w:customStyle="1" w:styleId="truktradokumentuChar1534">
    <w:name w:val="Štruktúra dokumentu Char1534"/>
    <w:aliases w:val="Char9 Char Char1535,Štruktúra dokumentu Char Char Char1535,Document Map Char Char Char1535"/>
    <w:basedOn w:val="Predvolenpsmoodseku"/>
    <w:uiPriority w:val="99"/>
    <w:semiHidden/>
    <w:rsid w:val="00A809E7"/>
    <w:rPr>
      <w:rFonts w:ascii="Tahoma" w:hAnsi="Tahoma" w:cs="Tahoma"/>
      <w:sz w:val="16"/>
      <w:szCs w:val="16"/>
      <w:lang w:val="x-none" w:eastAsia="cs-CZ"/>
    </w:rPr>
  </w:style>
  <w:style w:type="character" w:customStyle="1" w:styleId="truktradokumentuChar1533">
    <w:name w:val="Štruktúra dokumentu Char1533"/>
    <w:aliases w:val="Char9 Char Char1534,Štruktúra dokumentu Char Char Char1534,Document Map Char Char Char1534"/>
    <w:basedOn w:val="Predvolenpsmoodseku"/>
    <w:uiPriority w:val="99"/>
    <w:semiHidden/>
    <w:rsid w:val="00A809E7"/>
    <w:rPr>
      <w:rFonts w:ascii="Tahoma" w:hAnsi="Tahoma" w:cs="Tahoma"/>
      <w:sz w:val="16"/>
      <w:szCs w:val="16"/>
      <w:lang w:val="x-none" w:eastAsia="cs-CZ"/>
    </w:rPr>
  </w:style>
  <w:style w:type="character" w:customStyle="1" w:styleId="truktradokumentuChar1532">
    <w:name w:val="Štruktúra dokumentu Char1532"/>
    <w:aliases w:val="Char9 Char Char1533,Štruktúra dokumentu Char Char Char1533,Document Map Char Char Char1533"/>
    <w:basedOn w:val="Predvolenpsmoodseku"/>
    <w:uiPriority w:val="99"/>
    <w:semiHidden/>
    <w:rsid w:val="00A809E7"/>
    <w:rPr>
      <w:rFonts w:ascii="Tahoma" w:hAnsi="Tahoma" w:cs="Tahoma"/>
      <w:sz w:val="16"/>
      <w:szCs w:val="16"/>
      <w:lang w:val="x-none" w:eastAsia="cs-CZ"/>
    </w:rPr>
  </w:style>
  <w:style w:type="character" w:customStyle="1" w:styleId="truktradokumentuChar1531">
    <w:name w:val="Štruktúra dokumentu Char1531"/>
    <w:aliases w:val="Char9 Char Char1532,Štruktúra dokumentu Char Char Char1532,Document Map Char Char Char1532"/>
    <w:basedOn w:val="Predvolenpsmoodseku"/>
    <w:uiPriority w:val="99"/>
    <w:semiHidden/>
    <w:rsid w:val="00A809E7"/>
    <w:rPr>
      <w:rFonts w:ascii="Tahoma" w:hAnsi="Tahoma" w:cs="Tahoma"/>
      <w:sz w:val="16"/>
      <w:szCs w:val="16"/>
      <w:lang w:val="x-none" w:eastAsia="cs-CZ"/>
    </w:rPr>
  </w:style>
  <w:style w:type="character" w:customStyle="1" w:styleId="truktradokumentuChar1530">
    <w:name w:val="Štruktúra dokumentu Char1530"/>
    <w:aliases w:val="Char9 Char Char1531,Štruktúra dokumentu Char Char Char1531,Document Map Char Char Char1531"/>
    <w:basedOn w:val="Predvolenpsmoodseku"/>
    <w:uiPriority w:val="99"/>
    <w:semiHidden/>
    <w:rsid w:val="00A809E7"/>
    <w:rPr>
      <w:rFonts w:ascii="Tahoma" w:hAnsi="Tahoma" w:cs="Tahoma"/>
      <w:sz w:val="16"/>
      <w:szCs w:val="16"/>
      <w:lang w:val="x-none" w:eastAsia="cs-CZ"/>
    </w:rPr>
  </w:style>
  <w:style w:type="character" w:customStyle="1" w:styleId="truktradokumentuChar1529">
    <w:name w:val="Štruktúra dokumentu Char1529"/>
    <w:aliases w:val="Char9 Char Char1530,Štruktúra dokumentu Char Char Char1530,Document Map Char Char Char1530"/>
    <w:basedOn w:val="Predvolenpsmoodseku"/>
    <w:uiPriority w:val="99"/>
    <w:semiHidden/>
    <w:rsid w:val="00A809E7"/>
    <w:rPr>
      <w:rFonts w:ascii="Tahoma" w:hAnsi="Tahoma" w:cs="Tahoma"/>
      <w:sz w:val="16"/>
      <w:szCs w:val="16"/>
      <w:lang w:val="x-none" w:eastAsia="cs-CZ"/>
    </w:rPr>
  </w:style>
  <w:style w:type="character" w:customStyle="1" w:styleId="truktradokumentuChar1528">
    <w:name w:val="Štruktúra dokumentu Char1528"/>
    <w:aliases w:val="Char9 Char Char1529,Štruktúra dokumentu Char Char Char1529,Document Map Char Char Char1529"/>
    <w:basedOn w:val="Predvolenpsmoodseku"/>
    <w:uiPriority w:val="99"/>
    <w:semiHidden/>
    <w:rsid w:val="00A809E7"/>
    <w:rPr>
      <w:rFonts w:ascii="Tahoma" w:hAnsi="Tahoma" w:cs="Tahoma"/>
      <w:sz w:val="16"/>
      <w:szCs w:val="16"/>
      <w:lang w:val="x-none" w:eastAsia="cs-CZ"/>
    </w:rPr>
  </w:style>
  <w:style w:type="character" w:customStyle="1" w:styleId="truktradokumentuChar1527">
    <w:name w:val="Štruktúra dokumentu Char1527"/>
    <w:aliases w:val="Char9 Char Char1528,Štruktúra dokumentu Char Char Char1528,Document Map Char Char Char1528"/>
    <w:basedOn w:val="Predvolenpsmoodseku"/>
    <w:uiPriority w:val="99"/>
    <w:semiHidden/>
    <w:rsid w:val="00A809E7"/>
    <w:rPr>
      <w:rFonts w:ascii="Tahoma" w:hAnsi="Tahoma" w:cs="Tahoma"/>
      <w:sz w:val="16"/>
      <w:szCs w:val="16"/>
      <w:lang w:val="x-none" w:eastAsia="cs-CZ"/>
    </w:rPr>
  </w:style>
  <w:style w:type="character" w:customStyle="1" w:styleId="truktradokumentuChar1526">
    <w:name w:val="Štruktúra dokumentu Char1526"/>
    <w:aliases w:val="Char9 Char Char1527,Štruktúra dokumentu Char Char Char1527,Document Map Char Char Char1527"/>
    <w:basedOn w:val="Predvolenpsmoodseku"/>
    <w:uiPriority w:val="99"/>
    <w:semiHidden/>
    <w:rsid w:val="00A809E7"/>
    <w:rPr>
      <w:rFonts w:ascii="Tahoma" w:hAnsi="Tahoma" w:cs="Tahoma"/>
      <w:sz w:val="16"/>
      <w:szCs w:val="16"/>
      <w:lang w:val="x-none" w:eastAsia="cs-CZ"/>
    </w:rPr>
  </w:style>
  <w:style w:type="character" w:customStyle="1" w:styleId="truktradokumentuChar1525">
    <w:name w:val="Štruktúra dokumentu Char1525"/>
    <w:aliases w:val="Char9 Char Char1526,Štruktúra dokumentu Char Char Char1526,Document Map Char Char Char1526"/>
    <w:basedOn w:val="Predvolenpsmoodseku"/>
    <w:uiPriority w:val="99"/>
    <w:semiHidden/>
    <w:rsid w:val="00A809E7"/>
    <w:rPr>
      <w:rFonts w:ascii="Tahoma" w:hAnsi="Tahoma" w:cs="Tahoma"/>
      <w:sz w:val="16"/>
      <w:szCs w:val="16"/>
      <w:lang w:val="x-none" w:eastAsia="cs-CZ"/>
    </w:rPr>
  </w:style>
  <w:style w:type="character" w:customStyle="1" w:styleId="truktradokumentuChar1524">
    <w:name w:val="Štruktúra dokumentu Char1524"/>
    <w:aliases w:val="Char9 Char Char1525,Štruktúra dokumentu Char Char Char1525,Document Map Char Char Char1525"/>
    <w:basedOn w:val="Predvolenpsmoodseku"/>
    <w:uiPriority w:val="99"/>
    <w:semiHidden/>
    <w:rsid w:val="00A809E7"/>
    <w:rPr>
      <w:rFonts w:ascii="Tahoma" w:hAnsi="Tahoma" w:cs="Tahoma"/>
      <w:sz w:val="16"/>
      <w:szCs w:val="16"/>
      <w:lang w:val="x-none" w:eastAsia="cs-CZ"/>
    </w:rPr>
  </w:style>
  <w:style w:type="character" w:customStyle="1" w:styleId="truktradokumentuChar1523">
    <w:name w:val="Štruktúra dokumentu Char1523"/>
    <w:aliases w:val="Char9 Char Char1524,Štruktúra dokumentu Char Char Char1524,Document Map Char Char Char1524"/>
    <w:basedOn w:val="Predvolenpsmoodseku"/>
    <w:uiPriority w:val="99"/>
    <w:semiHidden/>
    <w:rsid w:val="00A809E7"/>
    <w:rPr>
      <w:rFonts w:ascii="Tahoma" w:hAnsi="Tahoma" w:cs="Tahoma"/>
      <w:sz w:val="16"/>
      <w:szCs w:val="16"/>
      <w:lang w:val="x-none" w:eastAsia="cs-CZ"/>
    </w:rPr>
  </w:style>
  <w:style w:type="character" w:customStyle="1" w:styleId="truktradokumentuChar1522">
    <w:name w:val="Štruktúra dokumentu Char1522"/>
    <w:aliases w:val="Char9 Char Char1523,Štruktúra dokumentu Char Char Char1523,Document Map Char Char Char1523"/>
    <w:basedOn w:val="Predvolenpsmoodseku"/>
    <w:uiPriority w:val="99"/>
    <w:semiHidden/>
    <w:rsid w:val="00A809E7"/>
    <w:rPr>
      <w:rFonts w:ascii="Tahoma" w:hAnsi="Tahoma" w:cs="Tahoma"/>
      <w:sz w:val="16"/>
      <w:szCs w:val="16"/>
      <w:lang w:val="x-none" w:eastAsia="cs-CZ"/>
    </w:rPr>
  </w:style>
  <w:style w:type="character" w:customStyle="1" w:styleId="truktradokumentuChar1521">
    <w:name w:val="Štruktúra dokumentu Char1521"/>
    <w:aliases w:val="Char9 Char Char1522,Štruktúra dokumentu Char Char Char1522,Document Map Char Char Char1522"/>
    <w:basedOn w:val="Predvolenpsmoodseku"/>
    <w:uiPriority w:val="99"/>
    <w:semiHidden/>
    <w:rsid w:val="00A809E7"/>
    <w:rPr>
      <w:rFonts w:ascii="Tahoma" w:hAnsi="Tahoma" w:cs="Tahoma"/>
      <w:sz w:val="16"/>
      <w:szCs w:val="16"/>
      <w:lang w:val="x-none" w:eastAsia="cs-CZ"/>
    </w:rPr>
  </w:style>
  <w:style w:type="character" w:customStyle="1" w:styleId="truktradokumentuChar1520">
    <w:name w:val="Štruktúra dokumentu Char1520"/>
    <w:aliases w:val="Char9 Char Char1521,Štruktúra dokumentu Char Char Char1521,Document Map Char Char Char1521"/>
    <w:basedOn w:val="Predvolenpsmoodseku"/>
    <w:uiPriority w:val="99"/>
    <w:semiHidden/>
    <w:rsid w:val="00A809E7"/>
    <w:rPr>
      <w:rFonts w:ascii="Tahoma" w:hAnsi="Tahoma" w:cs="Tahoma"/>
      <w:sz w:val="16"/>
      <w:szCs w:val="16"/>
      <w:lang w:val="x-none" w:eastAsia="cs-CZ"/>
    </w:rPr>
  </w:style>
  <w:style w:type="character" w:customStyle="1" w:styleId="truktradokumentuChar1519">
    <w:name w:val="Štruktúra dokumentu Char1519"/>
    <w:aliases w:val="Char9 Char Char1520,Štruktúra dokumentu Char Char Char1520,Document Map Char Char Char1520"/>
    <w:basedOn w:val="Predvolenpsmoodseku"/>
    <w:uiPriority w:val="99"/>
    <w:semiHidden/>
    <w:rsid w:val="00A809E7"/>
    <w:rPr>
      <w:rFonts w:ascii="Tahoma" w:hAnsi="Tahoma" w:cs="Tahoma"/>
      <w:sz w:val="16"/>
      <w:szCs w:val="16"/>
      <w:lang w:val="x-none" w:eastAsia="cs-CZ"/>
    </w:rPr>
  </w:style>
  <w:style w:type="character" w:customStyle="1" w:styleId="truktradokumentuChar1518">
    <w:name w:val="Štruktúra dokumentu Char1518"/>
    <w:aliases w:val="Char9 Char Char1519,Štruktúra dokumentu Char Char Char1519,Document Map Char Char Char1519"/>
    <w:basedOn w:val="Predvolenpsmoodseku"/>
    <w:uiPriority w:val="99"/>
    <w:semiHidden/>
    <w:rsid w:val="00A809E7"/>
    <w:rPr>
      <w:rFonts w:ascii="Tahoma" w:hAnsi="Tahoma" w:cs="Tahoma"/>
      <w:sz w:val="16"/>
      <w:szCs w:val="16"/>
      <w:lang w:val="x-none" w:eastAsia="cs-CZ"/>
    </w:rPr>
  </w:style>
  <w:style w:type="character" w:customStyle="1" w:styleId="truktradokumentuChar1517">
    <w:name w:val="Štruktúra dokumentu Char1517"/>
    <w:aliases w:val="Char9 Char Char1518,Štruktúra dokumentu Char Char Char1518,Document Map Char Char Char1518"/>
    <w:basedOn w:val="Predvolenpsmoodseku"/>
    <w:uiPriority w:val="99"/>
    <w:semiHidden/>
    <w:rsid w:val="00A809E7"/>
    <w:rPr>
      <w:rFonts w:ascii="Tahoma" w:hAnsi="Tahoma" w:cs="Tahoma"/>
      <w:sz w:val="16"/>
      <w:szCs w:val="16"/>
      <w:lang w:val="x-none" w:eastAsia="cs-CZ"/>
    </w:rPr>
  </w:style>
  <w:style w:type="character" w:customStyle="1" w:styleId="truktradokumentuChar1516">
    <w:name w:val="Štruktúra dokumentu Char1516"/>
    <w:aliases w:val="Char9 Char Char1517,Štruktúra dokumentu Char Char Char1517,Document Map Char Char Char1517"/>
    <w:basedOn w:val="Predvolenpsmoodseku"/>
    <w:uiPriority w:val="99"/>
    <w:semiHidden/>
    <w:rsid w:val="00A809E7"/>
    <w:rPr>
      <w:rFonts w:ascii="Tahoma" w:hAnsi="Tahoma" w:cs="Tahoma"/>
      <w:sz w:val="16"/>
      <w:szCs w:val="16"/>
      <w:lang w:val="x-none" w:eastAsia="cs-CZ"/>
    </w:rPr>
  </w:style>
  <w:style w:type="character" w:customStyle="1" w:styleId="truktradokumentuChar1515">
    <w:name w:val="Štruktúra dokumentu Char1515"/>
    <w:aliases w:val="Char9 Char Char1516,Štruktúra dokumentu Char Char Char1516,Document Map Char Char Char1516"/>
    <w:basedOn w:val="Predvolenpsmoodseku"/>
    <w:uiPriority w:val="99"/>
    <w:semiHidden/>
    <w:rsid w:val="00A809E7"/>
    <w:rPr>
      <w:rFonts w:ascii="Tahoma" w:hAnsi="Tahoma" w:cs="Tahoma"/>
      <w:sz w:val="16"/>
      <w:szCs w:val="16"/>
      <w:lang w:val="x-none" w:eastAsia="cs-CZ"/>
    </w:rPr>
  </w:style>
  <w:style w:type="character" w:customStyle="1" w:styleId="truktradokumentuChar1514">
    <w:name w:val="Štruktúra dokumentu Char1514"/>
    <w:aliases w:val="Char9 Char Char1515,Štruktúra dokumentu Char Char Char1515,Document Map Char Char Char1515"/>
    <w:basedOn w:val="Predvolenpsmoodseku"/>
    <w:uiPriority w:val="99"/>
    <w:semiHidden/>
    <w:rsid w:val="00A809E7"/>
    <w:rPr>
      <w:rFonts w:ascii="Tahoma" w:hAnsi="Tahoma" w:cs="Tahoma"/>
      <w:sz w:val="16"/>
      <w:szCs w:val="16"/>
      <w:lang w:val="x-none" w:eastAsia="cs-CZ"/>
    </w:rPr>
  </w:style>
  <w:style w:type="character" w:customStyle="1" w:styleId="truktradokumentuChar1513">
    <w:name w:val="Štruktúra dokumentu Char1513"/>
    <w:aliases w:val="Char9 Char Char1514,Štruktúra dokumentu Char Char Char1514,Document Map Char Char Char1514"/>
    <w:uiPriority w:val="99"/>
    <w:semiHidden/>
    <w:rsid w:val="00A809E7"/>
    <w:rPr>
      <w:rFonts w:ascii="Tahoma" w:hAnsi="Tahoma"/>
      <w:sz w:val="16"/>
      <w:lang w:val="x-none" w:eastAsia="cs-CZ"/>
    </w:rPr>
  </w:style>
  <w:style w:type="character" w:customStyle="1" w:styleId="truktradokumentuChar1512">
    <w:name w:val="Štruktúra dokumentu Char1512"/>
    <w:aliases w:val="Char9 Char Char1513,Štruktúra dokumentu Char Char Char1513,Document Map Char Char Char1513"/>
    <w:uiPriority w:val="99"/>
    <w:semiHidden/>
    <w:rsid w:val="00A809E7"/>
    <w:rPr>
      <w:rFonts w:ascii="Tahoma" w:hAnsi="Tahoma"/>
      <w:sz w:val="16"/>
      <w:lang w:val="x-none" w:eastAsia="cs-CZ"/>
    </w:rPr>
  </w:style>
  <w:style w:type="character" w:customStyle="1" w:styleId="truktradokumentuChar1511">
    <w:name w:val="Štruktúra dokumentu Char1511"/>
    <w:aliases w:val="Char9 Char Char1512,Štruktúra dokumentu Char Char Char1512,Document Map Char Char Char1512"/>
    <w:uiPriority w:val="99"/>
    <w:semiHidden/>
    <w:rsid w:val="00A809E7"/>
    <w:rPr>
      <w:rFonts w:ascii="Tahoma" w:hAnsi="Tahoma"/>
      <w:sz w:val="16"/>
      <w:lang w:val="x-none" w:eastAsia="cs-CZ"/>
    </w:rPr>
  </w:style>
  <w:style w:type="character" w:customStyle="1" w:styleId="truktradokumentuChar1510">
    <w:name w:val="Štruktúra dokumentu Char1510"/>
    <w:aliases w:val="Char9 Char Char1511,Štruktúra dokumentu Char Char Char1511,Document Map Char Char Char1511"/>
    <w:uiPriority w:val="99"/>
    <w:semiHidden/>
    <w:rsid w:val="00A809E7"/>
    <w:rPr>
      <w:rFonts w:ascii="Tahoma" w:hAnsi="Tahoma"/>
      <w:sz w:val="16"/>
      <w:lang w:val="x-none" w:eastAsia="cs-CZ"/>
    </w:rPr>
  </w:style>
  <w:style w:type="character" w:customStyle="1" w:styleId="truktradokumentuChar1509">
    <w:name w:val="Štruktúra dokumentu Char1509"/>
    <w:aliases w:val="Char9 Char Char1510,Štruktúra dokumentu Char Char Char1510,Document Map Char Char Char1510"/>
    <w:uiPriority w:val="99"/>
    <w:semiHidden/>
    <w:rsid w:val="00A809E7"/>
    <w:rPr>
      <w:rFonts w:ascii="Tahoma" w:hAnsi="Tahoma"/>
      <w:sz w:val="16"/>
      <w:lang w:val="x-none" w:eastAsia="cs-CZ"/>
    </w:rPr>
  </w:style>
  <w:style w:type="character" w:customStyle="1" w:styleId="truktradokumentuChar1508">
    <w:name w:val="Štruktúra dokumentu Char1508"/>
    <w:aliases w:val="Char9 Char Char1509,Štruktúra dokumentu Char Char Char1509,Document Map Char Char Char1509"/>
    <w:uiPriority w:val="99"/>
    <w:semiHidden/>
    <w:rsid w:val="00A809E7"/>
    <w:rPr>
      <w:rFonts w:ascii="Tahoma" w:hAnsi="Tahoma"/>
      <w:sz w:val="16"/>
      <w:lang w:val="x-none" w:eastAsia="cs-CZ"/>
    </w:rPr>
  </w:style>
  <w:style w:type="character" w:customStyle="1" w:styleId="truktradokumentuChar1507">
    <w:name w:val="Štruktúra dokumentu Char1507"/>
    <w:aliases w:val="Char9 Char Char1508,Štruktúra dokumentu Char Char Char1508,Document Map Char Char Char1508"/>
    <w:uiPriority w:val="99"/>
    <w:semiHidden/>
    <w:rsid w:val="00A809E7"/>
    <w:rPr>
      <w:rFonts w:ascii="Tahoma" w:hAnsi="Tahoma"/>
      <w:sz w:val="16"/>
      <w:lang w:val="x-none" w:eastAsia="cs-CZ"/>
    </w:rPr>
  </w:style>
  <w:style w:type="character" w:customStyle="1" w:styleId="truktradokumentuChar1506">
    <w:name w:val="Štruktúra dokumentu Char1506"/>
    <w:aliases w:val="Char9 Char Char1507,Štruktúra dokumentu Char Char Char1507,Document Map Char Char Char1507"/>
    <w:uiPriority w:val="99"/>
    <w:semiHidden/>
    <w:rsid w:val="00A809E7"/>
    <w:rPr>
      <w:rFonts w:ascii="Tahoma" w:hAnsi="Tahoma"/>
      <w:sz w:val="16"/>
      <w:lang w:val="x-none" w:eastAsia="cs-CZ"/>
    </w:rPr>
  </w:style>
  <w:style w:type="character" w:customStyle="1" w:styleId="truktradokumentuChar1505">
    <w:name w:val="Štruktúra dokumentu Char1505"/>
    <w:aliases w:val="Char9 Char Char1506,Štruktúra dokumentu Char Char Char1506,Document Map Char Char Char1506"/>
    <w:uiPriority w:val="99"/>
    <w:semiHidden/>
    <w:rsid w:val="00A809E7"/>
    <w:rPr>
      <w:rFonts w:ascii="Tahoma" w:hAnsi="Tahoma"/>
      <w:sz w:val="16"/>
      <w:lang w:val="x-none" w:eastAsia="cs-CZ"/>
    </w:rPr>
  </w:style>
  <w:style w:type="character" w:customStyle="1" w:styleId="truktradokumentuChar1504">
    <w:name w:val="Štruktúra dokumentu Char1504"/>
    <w:aliases w:val="Char9 Char Char1505,Štruktúra dokumentu Char Char Char1505,Document Map Char Char Char1505"/>
    <w:uiPriority w:val="99"/>
    <w:semiHidden/>
    <w:rsid w:val="00A809E7"/>
    <w:rPr>
      <w:rFonts w:ascii="Tahoma" w:hAnsi="Tahoma"/>
      <w:sz w:val="16"/>
      <w:lang w:val="x-none" w:eastAsia="cs-CZ"/>
    </w:rPr>
  </w:style>
  <w:style w:type="character" w:customStyle="1" w:styleId="truktradokumentuChar1503">
    <w:name w:val="Štruktúra dokumentu Char1503"/>
    <w:aliases w:val="Char9 Char Char1504,Štruktúra dokumentu Char Char Char1504,Document Map Char Char Char1504"/>
    <w:uiPriority w:val="99"/>
    <w:semiHidden/>
    <w:rsid w:val="00A809E7"/>
    <w:rPr>
      <w:rFonts w:ascii="Tahoma" w:hAnsi="Tahoma"/>
      <w:sz w:val="16"/>
      <w:lang w:val="x-none" w:eastAsia="cs-CZ"/>
    </w:rPr>
  </w:style>
  <w:style w:type="character" w:customStyle="1" w:styleId="truktradokumentuChar1502">
    <w:name w:val="Štruktúra dokumentu Char1502"/>
    <w:aliases w:val="Char9 Char Char1503,Štruktúra dokumentu Char Char Char1503,Document Map Char Char Char1503"/>
    <w:uiPriority w:val="99"/>
    <w:semiHidden/>
    <w:rsid w:val="00A809E7"/>
    <w:rPr>
      <w:rFonts w:ascii="Tahoma" w:hAnsi="Tahoma"/>
      <w:sz w:val="16"/>
      <w:lang w:val="x-none" w:eastAsia="cs-CZ"/>
    </w:rPr>
  </w:style>
  <w:style w:type="character" w:customStyle="1" w:styleId="truktradokumentuChar1501">
    <w:name w:val="Štruktúra dokumentu Char1501"/>
    <w:aliases w:val="Char9 Char Char1502,Štruktúra dokumentu Char Char Char1502,Document Map Char Char Char1502"/>
    <w:uiPriority w:val="99"/>
    <w:semiHidden/>
    <w:rsid w:val="00A809E7"/>
    <w:rPr>
      <w:rFonts w:ascii="Tahoma" w:hAnsi="Tahoma"/>
      <w:sz w:val="16"/>
      <w:lang w:val="x-none" w:eastAsia="cs-CZ"/>
    </w:rPr>
  </w:style>
  <w:style w:type="character" w:customStyle="1" w:styleId="truktradokumentuChar1500">
    <w:name w:val="Štruktúra dokumentu Char1500"/>
    <w:aliases w:val="Char9 Char Char1501,Štruktúra dokumentu Char Char Char1501,Document Map Char Char Char1501"/>
    <w:uiPriority w:val="99"/>
    <w:semiHidden/>
    <w:rsid w:val="00A809E7"/>
    <w:rPr>
      <w:rFonts w:ascii="Tahoma" w:hAnsi="Tahoma"/>
      <w:sz w:val="16"/>
      <w:lang w:val="x-none" w:eastAsia="cs-CZ"/>
    </w:rPr>
  </w:style>
  <w:style w:type="character" w:customStyle="1" w:styleId="truktradokumentuChar1499">
    <w:name w:val="Štruktúra dokumentu Char1499"/>
    <w:aliases w:val="Char9 Char Char1500,Štruktúra dokumentu Char Char Char1500,Document Map Char Char Char1500"/>
    <w:uiPriority w:val="99"/>
    <w:semiHidden/>
    <w:rsid w:val="00A809E7"/>
    <w:rPr>
      <w:rFonts w:ascii="Tahoma" w:hAnsi="Tahoma"/>
      <w:sz w:val="16"/>
      <w:lang w:val="x-none" w:eastAsia="cs-CZ"/>
    </w:rPr>
  </w:style>
  <w:style w:type="character" w:customStyle="1" w:styleId="truktradokumentuChar1498">
    <w:name w:val="Štruktúra dokumentu Char1498"/>
    <w:aliases w:val="Char9 Char Char1499,Štruktúra dokumentu Char Char Char1499,Document Map Char Char Char1499"/>
    <w:uiPriority w:val="99"/>
    <w:semiHidden/>
    <w:rsid w:val="00A809E7"/>
    <w:rPr>
      <w:rFonts w:ascii="Tahoma" w:hAnsi="Tahoma"/>
      <w:sz w:val="16"/>
      <w:lang w:val="x-none" w:eastAsia="cs-CZ"/>
    </w:rPr>
  </w:style>
  <w:style w:type="character" w:customStyle="1" w:styleId="truktradokumentuChar1497">
    <w:name w:val="Štruktúra dokumentu Char1497"/>
    <w:aliases w:val="Char9 Char Char1498,Štruktúra dokumentu Char Char Char1498,Document Map Char Char Char1498"/>
    <w:uiPriority w:val="99"/>
    <w:semiHidden/>
    <w:rsid w:val="00A809E7"/>
    <w:rPr>
      <w:rFonts w:ascii="Tahoma" w:hAnsi="Tahoma"/>
      <w:sz w:val="16"/>
      <w:lang w:val="x-none" w:eastAsia="cs-CZ"/>
    </w:rPr>
  </w:style>
  <w:style w:type="character" w:customStyle="1" w:styleId="truktradokumentuChar1496">
    <w:name w:val="Štruktúra dokumentu Char1496"/>
    <w:aliases w:val="Char9 Char Char1497,Štruktúra dokumentu Char Char Char1497,Document Map Char Char Char1497"/>
    <w:uiPriority w:val="99"/>
    <w:semiHidden/>
    <w:rsid w:val="00A809E7"/>
    <w:rPr>
      <w:rFonts w:ascii="Tahoma" w:hAnsi="Tahoma"/>
      <w:sz w:val="16"/>
      <w:lang w:val="x-none" w:eastAsia="cs-CZ"/>
    </w:rPr>
  </w:style>
  <w:style w:type="character" w:customStyle="1" w:styleId="truktradokumentuChar1495">
    <w:name w:val="Štruktúra dokumentu Char1495"/>
    <w:aliases w:val="Char9 Char Char1496,Štruktúra dokumentu Char Char Char1496,Document Map Char Char Char1496"/>
    <w:uiPriority w:val="99"/>
    <w:semiHidden/>
    <w:rsid w:val="00A809E7"/>
    <w:rPr>
      <w:rFonts w:ascii="Tahoma" w:hAnsi="Tahoma"/>
      <w:sz w:val="16"/>
      <w:lang w:val="x-none" w:eastAsia="cs-CZ"/>
    </w:rPr>
  </w:style>
  <w:style w:type="character" w:customStyle="1" w:styleId="truktradokumentuChar1494">
    <w:name w:val="Štruktúra dokumentu Char1494"/>
    <w:aliases w:val="Char9 Char Char1495,Štruktúra dokumentu Char Char Char1495,Document Map Char Char Char1495"/>
    <w:uiPriority w:val="99"/>
    <w:semiHidden/>
    <w:rsid w:val="00A809E7"/>
    <w:rPr>
      <w:rFonts w:ascii="Tahoma" w:hAnsi="Tahoma"/>
      <w:sz w:val="16"/>
      <w:lang w:val="x-none" w:eastAsia="cs-CZ"/>
    </w:rPr>
  </w:style>
  <w:style w:type="character" w:customStyle="1" w:styleId="truktradokumentuChar1493">
    <w:name w:val="Štruktúra dokumentu Char1493"/>
    <w:aliases w:val="Char9 Char Char1494,Štruktúra dokumentu Char Char Char1494,Document Map Char Char Char1494"/>
    <w:uiPriority w:val="99"/>
    <w:semiHidden/>
    <w:rsid w:val="00A809E7"/>
    <w:rPr>
      <w:rFonts w:ascii="Tahoma" w:hAnsi="Tahoma"/>
      <w:sz w:val="16"/>
      <w:lang w:val="x-none" w:eastAsia="cs-CZ"/>
    </w:rPr>
  </w:style>
  <w:style w:type="character" w:customStyle="1" w:styleId="truktradokumentuChar1492">
    <w:name w:val="Štruktúra dokumentu Char1492"/>
    <w:aliases w:val="Char9 Char Char1493,Štruktúra dokumentu Char Char Char1493,Document Map Char Char Char1493"/>
    <w:uiPriority w:val="99"/>
    <w:semiHidden/>
    <w:rsid w:val="00A809E7"/>
    <w:rPr>
      <w:rFonts w:ascii="Tahoma" w:hAnsi="Tahoma"/>
      <w:sz w:val="16"/>
      <w:lang w:val="x-none" w:eastAsia="cs-CZ"/>
    </w:rPr>
  </w:style>
  <w:style w:type="character" w:customStyle="1" w:styleId="truktradokumentuChar1491">
    <w:name w:val="Štruktúra dokumentu Char1491"/>
    <w:aliases w:val="Char9 Char Char1492,Štruktúra dokumentu Char Char Char1492,Document Map Char Char Char1492"/>
    <w:uiPriority w:val="99"/>
    <w:semiHidden/>
    <w:rsid w:val="00A809E7"/>
    <w:rPr>
      <w:rFonts w:ascii="Tahoma" w:hAnsi="Tahoma"/>
      <w:sz w:val="16"/>
      <w:lang w:val="x-none" w:eastAsia="cs-CZ"/>
    </w:rPr>
  </w:style>
  <w:style w:type="character" w:customStyle="1" w:styleId="truktradokumentuChar1490">
    <w:name w:val="Štruktúra dokumentu Char1490"/>
    <w:aliases w:val="Char9 Char Char1491,Štruktúra dokumentu Char Char Char1491,Document Map Char Char Char1491"/>
    <w:uiPriority w:val="99"/>
    <w:semiHidden/>
    <w:rsid w:val="00A809E7"/>
    <w:rPr>
      <w:rFonts w:ascii="Tahoma" w:hAnsi="Tahoma"/>
      <w:sz w:val="16"/>
      <w:lang w:val="x-none" w:eastAsia="cs-CZ"/>
    </w:rPr>
  </w:style>
  <w:style w:type="character" w:customStyle="1" w:styleId="truktradokumentuChar1489">
    <w:name w:val="Štruktúra dokumentu Char1489"/>
    <w:aliases w:val="Char9 Char Char1490,Štruktúra dokumentu Char Char Char1490,Document Map Char Char Char1490"/>
    <w:uiPriority w:val="99"/>
    <w:semiHidden/>
    <w:rsid w:val="00A809E7"/>
    <w:rPr>
      <w:rFonts w:ascii="Tahoma" w:hAnsi="Tahoma"/>
      <w:sz w:val="16"/>
      <w:lang w:val="x-none" w:eastAsia="cs-CZ"/>
    </w:rPr>
  </w:style>
  <w:style w:type="character" w:customStyle="1" w:styleId="truktradokumentuChar1488">
    <w:name w:val="Štruktúra dokumentu Char1488"/>
    <w:aliases w:val="Char9 Char Char1489,Štruktúra dokumentu Char Char Char1489,Document Map Char Char Char1489"/>
    <w:uiPriority w:val="99"/>
    <w:semiHidden/>
    <w:rsid w:val="00A809E7"/>
    <w:rPr>
      <w:rFonts w:ascii="Tahoma" w:hAnsi="Tahoma"/>
      <w:sz w:val="16"/>
      <w:lang w:val="x-none" w:eastAsia="cs-CZ"/>
    </w:rPr>
  </w:style>
  <w:style w:type="character" w:customStyle="1" w:styleId="truktradokumentuChar1487">
    <w:name w:val="Štruktúra dokumentu Char1487"/>
    <w:aliases w:val="Char9 Char Char1488,Štruktúra dokumentu Char Char Char1488,Document Map Char Char Char1488"/>
    <w:uiPriority w:val="99"/>
    <w:semiHidden/>
    <w:rsid w:val="00A809E7"/>
    <w:rPr>
      <w:rFonts w:ascii="Tahoma" w:hAnsi="Tahoma"/>
      <w:sz w:val="16"/>
      <w:lang w:val="x-none" w:eastAsia="cs-CZ"/>
    </w:rPr>
  </w:style>
  <w:style w:type="character" w:customStyle="1" w:styleId="truktradokumentuChar1486">
    <w:name w:val="Štruktúra dokumentu Char1486"/>
    <w:aliases w:val="Char9 Char Char1487,Štruktúra dokumentu Char Char Char1487,Document Map Char Char Char1487"/>
    <w:uiPriority w:val="99"/>
    <w:semiHidden/>
    <w:rsid w:val="00A809E7"/>
    <w:rPr>
      <w:rFonts w:ascii="Tahoma" w:hAnsi="Tahoma"/>
      <w:sz w:val="16"/>
      <w:lang w:val="x-none" w:eastAsia="cs-CZ"/>
    </w:rPr>
  </w:style>
  <w:style w:type="character" w:customStyle="1" w:styleId="truktradokumentuChar1485">
    <w:name w:val="Štruktúra dokumentu Char1485"/>
    <w:aliases w:val="Char9 Char Char1486,Štruktúra dokumentu Char Char Char1486,Document Map Char Char Char1486"/>
    <w:uiPriority w:val="99"/>
    <w:semiHidden/>
    <w:rsid w:val="00A809E7"/>
    <w:rPr>
      <w:rFonts w:ascii="Tahoma" w:hAnsi="Tahoma"/>
      <w:sz w:val="16"/>
      <w:lang w:val="x-none" w:eastAsia="cs-CZ"/>
    </w:rPr>
  </w:style>
  <w:style w:type="character" w:customStyle="1" w:styleId="truktradokumentuChar1484">
    <w:name w:val="Štruktúra dokumentu Char1484"/>
    <w:aliases w:val="Char9 Char Char1485,Štruktúra dokumentu Char Char Char1485,Document Map Char Char Char1485"/>
    <w:uiPriority w:val="99"/>
    <w:semiHidden/>
    <w:rsid w:val="00A809E7"/>
    <w:rPr>
      <w:rFonts w:ascii="Tahoma" w:hAnsi="Tahoma"/>
      <w:sz w:val="16"/>
      <w:lang w:val="x-none" w:eastAsia="cs-CZ"/>
    </w:rPr>
  </w:style>
  <w:style w:type="character" w:customStyle="1" w:styleId="truktradokumentuChar1483">
    <w:name w:val="Štruktúra dokumentu Char1483"/>
    <w:aliases w:val="Char9 Char Char1484,Štruktúra dokumentu Char Char Char1484,Document Map Char Char Char1484"/>
    <w:uiPriority w:val="99"/>
    <w:semiHidden/>
    <w:rsid w:val="00A809E7"/>
    <w:rPr>
      <w:rFonts w:ascii="Tahoma" w:hAnsi="Tahoma"/>
      <w:sz w:val="16"/>
      <w:lang w:val="x-none" w:eastAsia="cs-CZ"/>
    </w:rPr>
  </w:style>
  <w:style w:type="character" w:customStyle="1" w:styleId="truktradokumentuChar1482">
    <w:name w:val="Štruktúra dokumentu Char1482"/>
    <w:aliases w:val="Char9 Char Char1483,Štruktúra dokumentu Char Char Char1483,Document Map Char Char Char1483"/>
    <w:uiPriority w:val="99"/>
    <w:semiHidden/>
    <w:rsid w:val="00A809E7"/>
    <w:rPr>
      <w:rFonts w:ascii="Tahoma" w:hAnsi="Tahoma"/>
      <w:sz w:val="16"/>
      <w:lang w:val="x-none" w:eastAsia="cs-CZ"/>
    </w:rPr>
  </w:style>
  <w:style w:type="character" w:customStyle="1" w:styleId="truktradokumentuChar1481">
    <w:name w:val="Štruktúra dokumentu Char1481"/>
    <w:aliases w:val="Char9 Char Char1482,Štruktúra dokumentu Char Char Char1482,Document Map Char Char Char1482"/>
    <w:uiPriority w:val="99"/>
    <w:semiHidden/>
    <w:rsid w:val="00A809E7"/>
    <w:rPr>
      <w:rFonts w:ascii="Tahoma" w:hAnsi="Tahoma"/>
      <w:sz w:val="16"/>
      <w:lang w:val="x-none" w:eastAsia="cs-CZ"/>
    </w:rPr>
  </w:style>
  <w:style w:type="character" w:customStyle="1" w:styleId="truktradokumentuChar1480">
    <w:name w:val="Štruktúra dokumentu Char1480"/>
    <w:aliases w:val="Char9 Char Char1481,Štruktúra dokumentu Char Char Char1481,Document Map Char Char Char1481"/>
    <w:uiPriority w:val="99"/>
    <w:semiHidden/>
    <w:rsid w:val="00A809E7"/>
    <w:rPr>
      <w:rFonts w:ascii="Tahoma" w:hAnsi="Tahoma"/>
      <w:sz w:val="16"/>
      <w:lang w:val="x-none" w:eastAsia="cs-CZ"/>
    </w:rPr>
  </w:style>
  <w:style w:type="character" w:customStyle="1" w:styleId="truktradokumentuChar1479">
    <w:name w:val="Štruktúra dokumentu Char1479"/>
    <w:aliases w:val="Char9 Char Char1480,Štruktúra dokumentu Char Char Char1480,Document Map Char Char Char1480"/>
    <w:uiPriority w:val="99"/>
    <w:semiHidden/>
    <w:rsid w:val="00A809E7"/>
    <w:rPr>
      <w:rFonts w:ascii="Tahoma" w:hAnsi="Tahoma"/>
      <w:sz w:val="16"/>
      <w:lang w:val="x-none" w:eastAsia="cs-CZ"/>
    </w:rPr>
  </w:style>
  <w:style w:type="character" w:customStyle="1" w:styleId="truktradokumentuChar1478">
    <w:name w:val="Štruktúra dokumentu Char1478"/>
    <w:aliases w:val="Char9 Char Char1479,Štruktúra dokumentu Char Char Char1479,Document Map Char Char Char1479"/>
    <w:uiPriority w:val="99"/>
    <w:semiHidden/>
    <w:rsid w:val="00A809E7"/>
    <w:rPr>
      <w:rFonts w:ascii="Tahoma" w:hAnsi="Tahoma"/>
      <w:sz w:val="16"/>
      <w:lang w:val="x-none" w:eastAsia="cs-CZ"/>
    </w:rPr>
  </w:style>
  <w:style w:type="character" w:customStyle="1" w:styleId="truktradokumentuChar1477">
    <w:name w:val="Štruktúra dokumentu Char1477"/>
    <w:aliases w:val="Char9 Char Char1478,Štruktúra dokumentu Char Char Char1478,Document Map Char Char Char1478"/>
    <w:uiPriority w:val="99"/>
    <w:semiHidden/>
    <w:rsid w:val="00A809E7"/>
    <w:rPr>
      <w:rFonts w:ascii="Tahoma" w:hAnsi="Tahoma"/>
      <w:sz w:val="16"/>
      <w:lang w:val="x-none" w:eastAsia="cs-CZ"/>
    </w:rPr>
  </w:style>
  <w:style w:type="character" w:customStyle="1" w:styleId="truktradokumentuChar1476">
    <w:name w:val="Štruktúra dokumentu Char1476"/>
    <w:aliases w:val="Char9 Char Char1477,Štruktúra dokumentu Char Char Char1477,Document Map Char Char Char1477"/>
    <w:uiPriority w:val="99"/>
    <w:semiHidden/>
    <w:rsid w:val="00A809E7"/>
    <w:rPr>
      <w:rFonts w:ascii="Tahoma" w:hAnsi="Tahoma"/>
      <w:sz w:val="16"/>
      <w:lang w:val="x-none" w:eastAsia="cs-CZ"/>
    </w:rPr>
  </w:style>
  <w:style w:type="character" w:customStyle="1" w:styleId="truktradokumentuChar1475">
    <w:name w:val="Štruktúra dokumentu Char1475"/>
    <w:aliases w:val="Char9 Char Char1476,Štruktúra dokumentu Char Char Char1476,Document Map Char Char Char1476"/>
    <w:uiPriority w:val="99"/>
    <w:semiHidden/>
    <w:rsid w:val="00A809E7"/>
    <w:rPr>
      <w:rFonts w:ascii="Tahoma" w:hAnsi="Tahoma"/>
      <w:sz w:val="16"/>
      <w:lang w:val="x-none" w:eastAsia="cs-CZ"/>
    </w:rPr>
  </w:style>
  <w:style w:type="character" w:customStyle="1" w:styleId="truktradokumentuChar1474">
    <w:name w:val="Štruktúra dokumentu Char1474"/>
    <w:aliases w:val="Char9 Char Char1475,Štruktúra dokumentu Char Char Char1475,Document Map Char Char Char1475"/>
    <w:uiPriority w:val="99"/>
    <w:semiHidden/>
    <w:rsid w:val="00A809E7"/>
    <w:rPr>
      <w:rFonts w:ascii="Tahoma" w:hAnsi="Tahoma"/>
      <w:sz w:val="16"/>
      <w:lang w:val="x-none" w:eastAsia="cs-CZ"/>
    </w:rPr>
  </w:style>
  <w:style w:type="character" w:customStyle="1" w:styleId="truktradokumentuChar1473">
    <w:name w:val="Štruktúra dokumentu Char1473"/>
    <w:aliases w:val="Char9 Char Char1474,Štruktúra dokumentu Char Char Char1474,Document Map Char Char Char1474"/>
    <w:uiPriority w:val="99"/>
    <w:semiHidden/>
    <w:rsid w:val="00A809E7"/>
    <w:rPr>
      <w:rFonts w:ascii="Tahoma" w:hAnsi="Tahoma"/>
      <w:sz w:val="16"/>
      <w:lang w:val="x-none" w:eastAsia="cs-CZ"/>
    </w:rPr>
  </w:style>
  <w:style w:type="character" w:customStyle="1" w:styleId="truktradokumentuChar1472">
    <w:name w:val="Štruktúra dokumentu Char1472"/>
    <w:aliases w:val="Char9 Char Char1473,Štruktúra dokumentu Char Char Char1473,Document Map Char Char Char1473"/>
    <w:uiPriority w:val="99"/>
    <w:semiHidden/>
    <w:rsid w:val="00A809E7"/>
    <w:rPr>
      <w:rFonts w:ascii="Tahoma" w:hAnsi="Tahoma"/>
      <w:sz w:val="16"/>
      <w:lang w:val="x-none" w:eastAsia="cs-CZ"/>
    </w:rPr>
  </w:style>
  <w:style w:type="character" w:customStyle="1" w:styleId="truktradokumentuChar1471">
    <w:name w:val="Štruktúra dokumentu Char1471"/>
    <w:aliases w:val="Char9 Char Char1472,Štruktúra dokumentu Char Char Char1472,Document Map Char Char Char1472"/>
    <w:uiPriority w:val="99"/>
    <w:semiHidden/>
    <w:rsid w:val="00A809E7"/>
    <w:rPr>
      <w:rFonts w:ascii="Tahoma" w:hAnsi="Tahoma"/>
      <w:sz w:val="16"/>
      <w:lang w:val="x-none" w:eastAsia="cs-CZ"/>
    </w:rPr>
  </w:style>
  <w:style w:type="character" w:customStyle="1" w:styleId="truktradokumentuChar1470">
    <w:name w:val="Štruktúra dokumentu Char1470"/>
    <w:aliases w:val="Char9 Char Char1471,Štruktúra dokumentu Char Char Char1471,Document Map Char Char Char1471"/>
    <w:uiPriority w:val="99"/>
    <w:semiHidden/>
    <w:rsid w:val="00A809E7"/>
    <w:rPr>
      <w:rFonts w:ascii="Tahoma" w:hAnsi="Tahoma"/>
      <w:sz w:val="16"/>
      <w:lang w:val="x-none" w:eastAsia="cs-CZ"/>
    </w:rPr>
  </w:style>
  <w:style w:type="character" w:customStyle="1" w:styleId="truktradokumentuChar1469">
    <w:name w:val="Štruktúra dokumentu Char1469"/>
    <w:aliases w:val="Char9 Char Char1470,Štruktúra dokumentu Char Char Char1470,Document Map Char Char Char1470"/>
    <w:uiPriority w:val="99"/>
    <w:semiHidden/>
    <w:rsid w:val="00A809E7"/>
    <w:rPr>
      <w:rFonts w:ascii="Tahoma" w:hAnsi="Tahoma"/>
      <w:sz w:val="16"/>
      <w:lang w:val="x-none" w:eastAsia="cs-CZ"/>
    </w:rPr>
  </w:style>
  <w:style w:type="character" w:customStyle="1" w:styleId="truktradokumentuChar1468">
    <w:name w:val="Štruktúra dokumentu Char1468"/>
    <w:aliases w:val="Char9 Char Char1469,Štruktúra dokumentu Char Char Char1469,Document Map Char Char Char1469"/>
    <w:uiPriority w:val="99"/>
    <w:semiHidden/>
    <w:rsid w:val="00A809E7"/>
    <w:rPr>
      <w:rFonts w:ascii="Tahoma" w:hAnsi="Tahoma"/>
      <w:sz w:val="16"/>
      <w:lang w:val="x-none" w:eastAsia="cs-CZ"/>
    </w:rPr>
  </w:style>
  <w:style w:type="character" w:customStyle="1" w:styleId="truktradokumentuChar1467">
    <w:name w:val="Štruktúra dokumentu Char1467"/>
    <w:aliases w:val="Char9 Char Char1468,Štruktúra dokumentu Char Char Char1468,Document Map Char Char Char1468"/>
    <w:uiPriority w:val="99"/>
    <w:semiHidden/>
    <w:rsid w:val="00A809E7"/>
    <w:rPr>
      <w:rFonts w:ascii="Tahoma" w:hAnsi="Tahoma"/>
      <w:sz w:val="16"/>
      <w:lang w:val="x-none" w:eastAsia="cs-CZ"/>
    </w:rPr>
  </w:style>
  <w:style w:type="character" w:customStyle="1" w:styleId="truktradokumentuChar1466">
    <w:name w:val="Štruktúra dokumentu Char1466"/>
    <w:aliases w:val="Char9 Char Char1467,Štruktúra dokumentu Char Char Char1467,Document Map Char Char Char1467"/>
    <w:uiPriority w:val="99"/>
    <w:semiHidden/>
    <w:rsid w:val="00A809E7"/>
    <w:rPr>
      <w:rFonts w:ascii="Tahoma" w:hAnsi="Tahoma"/>
      <w:sz w:val="16"/>
      <w:lang w:val="x-none" w:eastAsia="cs-CZ"/>
    </w:rPr>
  </w:style>
  <w:style w:type="character" w:customStyle="1" w:styleId="truktradokumentuChar1465">
    <w:name w:val="Štruktúra dokumentu Char1465"/>
    <w:aliases w:val="Char9 Char Char1466,Štruktúra dokumentu Char Char Char1466,Document Map Char Char Char1466"/>
    <w:uiPriority w:val="99"/>
    <w:semiHidden/>
    <w:rsid w:val="00A809E7"/>
    <w:rPr>
      <w:rFonts w:ascii="Tahoma" w:hAnsi="Tahoma"/>
      <w:sz w:val="16"/>
      <w:lang w:val="x-none" w:eastAsia="cs-CZ"/>
    </w:rPr>
  </w:style>
  <w:style w:type="character" w:customStyle="1" w:styleId="truktradokumentuChar1464">
    <w:name w:val="Štruktúra dokumentu Char1464"/>
    <w:aliases w:val="Char9 Char Char1465,Štruktúra dokumentu Char Char Char1465,Document Map Char Char Char1465"/>
    <w:uiPriority w:val="99"/>
    <w:semiHidden/>
    <w:rsid w:val="00A809E7"/>
    <w:rPr>
      <w:rFonts w:ascii="Tahoma" w:hAnsi="Tahoma"/>
      <w:sz w:val="16"/>
      <w:lang w:val="x-none" w:eastAsia="cs-CZ"/>
    </w:rPr>
  </w:style>
  <w:style w:type="character" w:customStyle="1" w:styleId="truktradokumentuChar1463">
    <w:name w:val="Štruktúra dokumentu Char1463"/>
    <w:aliases w:val="Char9 Char Char1464,Štruktúra dokumentu Char Char Char1464,Document Map Char Char Char1464"/>
    <w:uiPriority w:val="99"/>
    <w:semiHidden/>
    <w:rsid w:val="00A809E7"/>
    <w:rPr>
      <w:rFonts w:ascii="Tahoma" w:hAnsi="Tahoma"/>
      <w:sz w:val="16"/>
      <w:lang w:val="x-none" w:eastAsia="cs-CZ"/>
    </w:rPr>
  </w:style>
  <w:style w:type="character" w:customStyle="1" w:styleId="truktradokumentuChar1462">
    <w:name w:val="Štruktúra dokumentu Char1462"/>
    <w:aliases w:val="Char9 Char Char1463,Štruktúra dokumentu Char Char Char1463,Document Map Char Char Char1463"/>
    <w:uiPriority w:val="99"/>
    <w:semiHidden/>
    <w:rsid w:val="00A809E7"/>
    <w:rPr>
      <w:rFonts w:ascii="Tahoma" w:hAnsi="Tahoma"/>
      <w:sz w:val="16"/>
      <w:lang w:val="x-none" w:eastAsia="cs-CZ"/>
    </w:rPr>
  </w:style>
  <w:style w:type="character" w:customStyle="1" w:styleId="truktradokumentuChar1461">
    <w:name w:val="Štruktúra dokumentu Char1461"/>
    <w:aliases w:val="Char9 Char Char1462,Štruktúra dokumentu Char Char Char1462,Document Map Char Char Char1462"/>
    <w:uiPriority w:val="99"/>
    <w:semiHidden/>
    <w:rsid w:val="00A809E7"/>
    <w:rPr>
      <w:rFonts w:ascii="Tahoma" w:hAnsi="Tahoma"/>
      <w:sz w:val="16"/>
      <w:lang w:val="x-none" w:eastAsia="cs-CZ"/>
    </w:rPr>
  </w:style>
  <w:style w:type="character" w:customStyle="1" w:styleId="truktradokumentuChar1460">
    <w:name w:val="Štruktúra dokumentu Char1460"/>
    <w:aliases w:val="Char9 Char Char1461,Štruktúra dokumentu Char Char Char1461,Document Map Char Char Char1461"/>
    <w:uiPriority w:val="99"/>
    <w:semiHidden/>
    <w:rsid w:val="00A809E7"/>
    <w:rPr>
      <w:rFonts w:ascii="Tahoma" w:hAnsi="Tahoma"/>
      <w:sz w:val="16"/>
      <w:lang w:val="x-none" w:eastAsia="cs-CZ"/>
    </w:rPr>
  </w:style>
  <w:style w:type="character" w:customStyle="1" w:styleId="truktradokumentuChar1459">
    <w:name w:val="Štruktúra dokumentu Char1459"/>
    <w:aliases w:val="Char9 Char Char1460,Štruktúra dokumentu Char Char Char1460,Document Map Char Char Char1460"/>
    <w:uiPriority w:val="99"/>
    <w:semiHidden/>
    <w:rsid w:val="00A809E7"/>
    <w:rPr>
      <w:rFonts w:ascii="Tahoma" w:hAnsi="Tahoma"/>
      <w:sz w:val="16"/>
      <w:lang w:val="x-none" w:eastAsia="cs-CZ"/>
    </w:rPr>
  </w:style>
  <w:style w:type="character" w:customStyle="1" w:styleId="truktradokumentuChar1458">
    <w:name w:val="Štruktúra dokumentu Char1458"/>
    <w:aliases w:val="Char9 Char Char1459,Štruktúra dokumentu Char Char Char1459,Document Map Char Char Char1459"/>
    <w:uiPriority w:val="99"/>
    <w:semiHidden/>
    <w:rsid w:val="00A809E7"/>
    <w:rPr>
      <w:rFonts w:ascii="Tahoma" w:hAnsi="Tahoma"/>
      <w:sz w:val="16"/>
      <w:lang w:val="x-none" w:eastAsia="cs-CZ"/>
    </w:rPr>
  </w:style>
  <w:style w:type="character" w:customStyle="1" w:styleId="truktradokumentuChar1457">
    <w:name w:val="Štruktúra dokumentu Char1457"/>
    <w:aliases w:val="Char9 Char Char1458,Štruktúra dokumentu Char Char Char1458,Document Map Char Char Char1458"/>
    <w:uiPriority w:val="99"/>
    <w:semiHidden/>
    <w:rsid w:val="00A809E7"/>
    <w:rPr>
      <w:rFonts w:ascii="Tahoma" w:hAnsi="Tahoma"/>
      <w:sz w:val="16"/>
      <w:lang w:val="x-none" w:eastAsia="cs-CZ"/>
    </w:rPr>
  </w:style>
  <w:style w:type="character" w:customStyle="1" w:styleId="truktradokumentuChar1456">
    <w:name w:val="Štruktúra dokumentu Char1456"/>
    <w:aliases w:val="Char9 Char Char1457,Štruktúra dokumentu Char Char Char1457,Document Map Char Char Char1457"/>
    <w:uiPriority w:val="99"/>
    <w:semiHidden/>
    <w:rsid w:val="00A809E7"/>
    <w:rPr>
      <w:rFonts w:ascii="Tahoma" w:hAnsi="Tahoma"/>
      <w:sz w:val="16"/>
      <w:lang w:val="x-none" w:eastAsia="cs-CZ"/>
    </w:rPr>
  </w:style>
  <w:style w:type="character" w:customStyle="1" w:styleId="truktradokumentuChar1455">
    <w:name w:val="Štruktúra dokumentu Char1455"/>
    <w:aliases w:val="Char9 Char Char1456,Štruktúra dokumentu Char Char Char1456,Document Map Char Char Char1456"/>
    <w:uiPriority w:val="99"/>
    <w:semiHidden/>
    <w:rsid w:val="00A809E7"/>
    <w:rPr>
      <w:rFonts w:ascii="Tahoma" w:hAnsi="Tahoma"/>
      <w:sz w:val="16"/>
      <w:lang w:val="x-none" w:eastAsia="cs-CZ"/>
    </w:rPr>
  </w:style>
  <w:style w:type="character" w:customStyle="1" w:styleId="truktradokumentuChar1454">
    <w:name w:val="Štruktúra dokumentu Char1454"/>
    <w:aliases w:val="Char9 Char Char1455,Štruktúra dokumentu Char Char Char1455,Document Map Char Char Char1455"/>
    <w:uiPriority w:val="99"/>
    <w:semiHidden/>
    <w:rsid w:val="00A809E7"/>
    <w:rPr>
      <w:rFonts w:ascii="Tahoma" w:hAnsi="Tahoma"/>
      <w:sz w:val="16"/>
      <w:lang w:val="x-none" w:eastAsia="cs-CZ"/>
    </w:rPr>
  </w:style>
  <w:style w:type="character" w:customStyle="1" w:styleId="truktradokumentuChar1453">
    <w:name w:val="Štruktúra dokumentu Char1453"/>
    <w:aliases w:val="Char9 Char Char1454,Štruktúra dokumentu Char Char Char1454,Document Map Char Char Char1454"/>
    <w:uiPriority w:val="99"/>
    <w:semiHidden/>
    <w:rsid w:val="00A809E7"/>
    <w:rPr>
      <w:rFonts w:ascii="Tahoma" w:hAnsi="Tahoma"/>
      <w:sz w:val="16"/>
      <w:lang w:val="x-none" w:eastAsia="cs-CZ"/>
    </w:rPr>
  </w:style>
  <w:style w:type="character" w:customStyle="1" w:styleId="truktradokumentuChar1452">
    <w:name w:val="Štruktúra dokumentu Char1452"/>
    <w:aliases w:val="Char9 Char Char1453,Štruktúra dokumentu Char Char Char1453,Document Map Char Char Char1453"/>
    <w:uiPriority w:val="99"/>
    <w:semiHidden/>
    <w:rsid w:val="00A809E7"/>
    <w:rPr>
      <w:rFonts w:ascii="Tahoma" w:hAnsi="Tahoma"/>
      <w:sz w:val="16"/>
      <w:lang w:val="x-none" w:eastAsia="cs-CZ"/>
    </w:rPr>
  </w:style>
  <w:style w:type="character" w:customStyle="1" w:styleId="truktradokumentuChar1451">
    <w:name w:val="Štruktúra dokumentu Char1451"/>
    <w:aliases w:val="Char9 Char Char1452,Štruktúra dokumentu Char Char Char1452,Document Map Char Char Char1452"/>
    <w:uiPriority w:val="99"/>
    <w:semiHidden/>
    <w:rsid w:val="00A809E7"/>
    <w:rPr>
      <w:rFonts w:ascii="Tahoma" w:hAnsi="Tahoma"/>
      <w:sz w:val="16"/>
      <w:lang w:val="x-none" w:eastAsia="cs-CZ"/>
    </w:rPr>
  </w:style>
  <w:style w:type="character" w:customStyle="1" w:styleId="truktradokumentuChar1450">
    <w:name w:val="Štruktúra dokumentu Char1450"/>
    <w:aliases w:val="Char9 Char Char1451,Štruktúra dokumentu Char Char Char1451,Document Map Char Char Char1451"/>
    <w:uiPriority w:val="99"/>
    <w:semiHidden/>
    <w:rsid w:val="00A809E7"/>
    <w:rPr>
      <w:rFonts w:ascii="Tahoma" w:hAnsi="Tahoma"/>
      <w:sz w:val="16"/>
      <w:lang w:val="x-none" w:eastAsia="cs-CZ"/>
    </w:rPr>
  </w:style>
  <w:style w:type="character" w:customStyle="1" w:styleId="truktradokumentuChar1449">
    <w:name w:val="Štruktúra dokumentu Char1449"/>
    <w:aliases w:val="Char9 Char Char1450,Štruktúra dokumentu Char Char Char1450,Document Map Char Char Char1450"/>
    <w:uiPriority w:val="99"/>
    <w:semiHidden/>
    <w:rsid w:val="00A809E7"/>
    <w:rPr>
      <w:rFonts w:ascii="Tahoma" w:hAnsi="Tahoma"/>
      <w:sz w:val="16"/>
      <w:lang w:val="x-none" w:eastAsia="cs-CZ"/>
    </w:rPr>
  </w:style>
  <w:style w:type="character" w:customStyle="1" w:styleId="truktradokumentuChar1448">
    <w:name w:val="Štruktúra dokumentu Char1448"/>
    <w:aliases w:val="Char9 Char Char1449,Štruktúra dokumentu Char Char Char1449,Document Map Char Char Char1449"/>
    <w:uiPriority w:val="99"/>
    <w:semiHidden/>
    <w:rsid w:val="00A809E7"/>
    <w:rPr>
      <w:rFonts w:ascii="Tahoma" w:hAnsi="Tahoma"/>
      <w:sz w:val="16"/>
      <w:lang w:val="x-none" w:eastAsia="cs-CZ"/>
    </w:rPr>
  </w:style>
  <w:style w:type="character" w:customStyle="1" w:styleId="truktradokumentuChar1447">
    <w:name w:val="Štruktúra dokumentu Char1447"/>
    <w:aliases w:val="Char9 Char Char1448,Štruktúra dokumentu Char Char Char1448,Document Map Char Char Char1448"/>
    <w:uiPriority w:val="99"/>
    <w:semiHidden/>
    <w:rsid w:val="00A809E7"/>
    <w:rPr>
      <w:rFonts w:ascii="Tahoma" w:hAnsi="Tahoma"/>
      <w:sz w:val="16"/>
      <w:lang w:val="x-none" w:eastAsia="cs-CZ"/>
    </w:rPr>
  </w:style>
  <w:style w:type="character" w:customStyle="1" w:styleId="truktradokumentuChar1446">
    <w:name w:val="Štruktúra dokumentu Char1446"/>
    <w:aliases w:val="Char9 Char Char1447,Štruktúra dokumentu Char Char Char1447,Document Map Char Char Char1447"/>
    <w:uiPriority w:val="99"/>
    <w:semiHidden/>
    <w:rsid w:val="00A809E7"/>
    <w:rPr>
      <w:rFonts w:ascii="Tahoma" w:hAnsi="Tahoma"/>
      <w:sz w:val="16"/>
      <w:lang w:val="x-none" w:eastAsia="cs-CZ"/>
    </w:rPr>
  </w:style>
  <w:style w:type="character" w:customStyle="1" w:styleId="truktradokumentuChar1445">
    <w:name w:val="Štruktúra dokumentu Char1445"/>
    <w:aliases w:val="Char9 Char Char1446,Štruktúra dokumentu Char Char Char1446,Document Map Char Char Char1446"/>
    <w:uiPriority w:val="99"/>
    <w:semiHidden/>
    <w:rsid w:val="00A809E7"/>
    <w:rPr>
      <w:rFonts w:ascii="Tahoma" w:hAnsi="Tahoma"/>
      <w:sz w:val="16"/>
      <w:lang w:val="x-none" w:eastAsia="cs-CZ"/>
    </w:rPr>
  </w:style>
  <w:style w:type="character" w:customStyle="1" w:styleId="truktradokumentuChar1444">
    <w:name w:val="Štruktúra dokumentu Char1444"/>
    <w:aliases w:val="Char9 Char Char1445,Štruktúra dokumentu Char Char Char1445,Document Map Char Char Char1445"/>
    <w:uiPriority w:val="99"/>
    <w:semiHidden/>
    <w:rsid w:val="00A809E7"/>
    <w:rPr>
      <w:rFonts w:ascii="Tahoma" w:hAnsi="Tahoma"/>
      <w:sz w:val="16"/>
      <w:lang w:val="x-none" w:eastAsia="cs-CZ"/>
    </w:rPr>
  </w:style>
  <w:style w:type="character" w:customStyle="1" w:styleId="truktradokumentuChar1443">
    <w:name w:val="Štruktúra dokumentu Char1443"/>
    <w:aliases w:val="Char9 Char Char1444,Štruktúra dokumentu Char Char Char1444,Document Map Char Char Char1444"/>
    <w:uiPriority w:val="99"/>
    <w:semiHidden/>
    <w:rsid w:val="00A809E7"/>
    <w:rPr>
      <w:rFonts w:ascii="Tahoma" w:hAnsi="Tahoma"/>
      <w:sz w:val="16"/>
      <w:lang w:val="x-none" w:eastAsia="cs-CZ"/>
    </w:rPr>
  </w:style>
  <w:style w:type="character" w:customStyle="1" w:styleId="truktradokumentuChar1442">
    <w:name w:val="Štruktúra dokumentu Char1442"/>
    <w:aliases w:val="Char9 Char Char1443,Štruktúra dokumentu Char Char Char1443,Document Map Char Char Char1443"/>
    <w:uiPriority w:val="99"/>
    <w:semiHidden/>
    <w:rsid w:val="00A809E7"/>
    <w:rPr>
      <w:rFonts w:ascii="Tahoma" w:hAnsi="Tahoma"/>
      <w:sz w:val="16"/>
      <w:lang w:val="x-none" w:eastAsia="cs-CZ"/>
    </w:rPr>
  </w:style>
  <w:style w:type="character" w:customStyle="1" w:styleId="truktradokumentuChar1441">
    <w:name w:val="Štruktúra dokumentu Char1441"/>
    <w:aliases w:val="Char9 Char Char1442,Štruktúra dokumentu Char Char Char1442,Document Map Char Char Char1442"/>
    <w:uiPriority w:val="99"/>
    <w:semiHidden/>
    <w:rsid w:val="00A809E7"/>
    <w:rPr>
      <w:rFonts w:ascii="Tahoma" w:hAnsi="Tahoma"/>
      <w:sz w:val="16"/>
      <w:lang w:val="x-none" w:eastAsia="cs-CZ"/>
    </w:rPr>
  </w:style>
  <w:style w:type="character" w:customStyle="1" w:styleId="truktradokumentuChar1440">
    <w:name w:val="Štruktúra dokumentu Char1440"/>
    <w:aliases w:val="Char9 Char Char1441,Štruktúra dokumentu Char Char Char1441,Document Map Char Char Char1441"/>
    <w:uiPriority w:val="99"/>
    <w:semiHidden/>
    <w:rsid w:val="00A809E7"/>
    <w:rPr>
      <w:rFonts w:ascii="Tahoma" w:hAnsi="Tahoma"/>
      <w:sz w:val="16"/>
      <w:lang w:val="x-none" w:eastAsia="cs-CZ"/>
    </w:rPr>
  </w:style>
  <w:style w:type="character" w:customStyle="1" w:styleId="truktradokumentuChar1439">
    <w:name w:val="Štruktúra dokumentu Char1439"/>
    <w:aliases w:val="Char9 Char Char1440,Štruktúra dokumentu Char Char Char1440,Document Map Char Char Char1440"/>
    <w:uiPriority w:val="99"/>
    <w:semiHidden/>
    <w:rsid w:val="00A809E7"/>
    <w:rPr>
      <w:rFonts w:ascii="Tahoma" w:hAnsi="Tahoma"/>
      <w:sz w:val="16"/>
      <w:lang w:val="x-none" w:eastAsia="cs-CZ"/>
    </w:rPr>
  </w:style>
  <w:style w:type="character" w:customStyle="1" w:styleId="truktradokumentuChar1438">
    <w:name w:val="Štruktúra dokumentu Char1438"/>
    <w:aliases w:val="Char9 Char Char1439,Štruktúra dokumentu Char Char Char1439,Document Map Char Char Char1439"/>
    <w:uiPriority w:val="99"/>
    <w:semiHidden/>
    <w:rsid w:val="00A809E7"/>
    <w:rPr>
      <w:rFonts w:ascii="Tahoma" w:hAnsi="Tahoma"/>
      <w:sz w:val="16"/>
      <w:lang w:val="x-none" w:eastAsia="cs-CZ"/>
    </w:rPr>
  </w:style>
  <w:style w:type="character" w:customStyle="1" w:styleId="truktradokumentuChar1437">
    <w:name w:val="Štruktúra dokumentu Char1437"/>
    <w:aliases w:val="Char9 Char Char1438,Štruktúra dokumentu Char Char Char1438,Document Map Char Char Char1438"/>
    <w:uiPriority w:val="99"/>
    <w:semiHidden/>
    <w:rsid w:val="00A809E7"/>
    <w:rPr>
      <w:rFonts w:ascii="Tahoma" w:hAnsi="Tahoma"/>
      <w:sz w:val="16"/>
      <w:lang w:val="x-none" w:eastAsia="cs-CZ"/>
    </w:rPr>
  </w:style>
  <w:style w:type="character" w:customStyle="1" w:styleId="truktradokumentuChar1436">
    <w:name w:val="Štruktúra dokumentu Char1436"/>
    <w:aliases w:val="Char9 Char Char1437,Štruktúra dokumentu Char Char Char1437,Document Map Char Char Char1437"/>
    <w:uiPriority w:val="99"/>
    <w:semiHidden/>
    <w:rsid w:val="00A809E7"/>
    <w:rPr>
      <w:rFonts w:ascii="Tahoma" w:hAnsi="Tahoma"/>
      <w:sz w:val="16"/>
      <w:lang w:val="x-none" w:eastAsia="cs-CZ"/>
    </w:rPr>
  </w:style>
  <w:style w:type="character" w:customStyle="1" w:styleId="truktradokumentuChar1435">
    <w:name w:val="Štruktúra dokumentu Char1435"/>
    <w:aliases w:val="Char9 Char Char1436,Štruktúra dokumentu Char Char Char1436,Document Map Char Char Char1436"/>
    <w:uiPriority w:val="99"/>
    <w:semiHidden/>
    <w:rsid w:val="00A809E7"/>
    <w:rPr>
      <w:rFonts w:ascii="Tahoma" w:hAnsi="Tahoma"/>
      <w:sz w:val="16"/>
      <w:lang w:val="x-none" w:eastAsia="cs-CZ"/>
    </w:rPr>
  </w:style>
  <w:style w:type="character" w:customStyle="1" w:styleId="truktradokumentuChar1434">
    <w:name w:val="Štruktúra dokumentu Char1434"/>
    <w:aliases w:val="Char9 Char Char1435,Štruktúra dokumentu Char Char Char1435,Document Map Char Char Char1435"/>
    <w:uiPriority w:val="99"/>
    <w:semiHidden/>
    <w:rsid w:val="00A809E7"/>
    <w:rPr>
      <w:rFonts w:ascii="Tahoma" w:hAnsi="Tahoma"/>
      <w:sz w:val="16"/>
      <w:lang w:val="x-none" w:eastAsia="cs-CZ"/>
    </w:rPr>
  </w:style>
  <w:style w:type="character" w:customStyle="1" w:styleId="truktradokumentuChar1433">
    <w:name w:val="Štruktúra dokumentu Char1433"/>
    <w:aliases w:val="Char9 Char Char1434,Štruktúra dokumentu Char Char Char1434,Document Map Char Char Char1434"/>
    <w:uiPriority w:val="99"/>
    <w:semiHidden/>
    <w:rsid w:val="00A809E7"/>
    <w:rPr>
      <w:rFonts w:ascii="Tahoma" w:hAnsi="Tahoma"/>
      <w:sz w:val="16"/>
      <w:lang w:val="x-none" w:eastAsia="cs-CZ"/>
    </w:rPr>
  </w:style>
  <w:style w:type="character" w:customStyle="1" w:styleId="truktradokumentuChar1432">
    <w:name w:val="Štruktúra dokumentu Char1432"/>
    <w:aliases w:val="Char9 Char Char1433,Štruktúra dokumentu Char Char Char1433,Document Map Char Char Char1433"/>
    <w:uiPriority w:val="99"/>
    <w:semiHidden/>
    <w:rsid w:val="00A809E7"/>
    <w:rPr>
      <w:rFonts w:ascii="Tahoma" w:hAnsi="Tahoma"/>
      <w:sz w:val="16"/>
      <w:lang w:val="x-none" w:eastAsia="cs-CZ"/>
    </w:rPr>
  </w:style>
  <w:style w:type="character" w:customStyle="1" w:styleId="truktradokumentuChar1431">
    <w:name w:val="Štruktúra dokumentu Char1431"/>
    <w:aliases w:val="Char9 Char Char1432,Štruktúra dokumentu Char Char Char1432,Document Map Char Char Char1432"/>
    <w:uiPriority w:val="99"/>
    <w:semiHidden/>
    <w:rsid w:val="00A809E7"/>
    <w:rPr>
      <w:rFonts w:ascii="Tahoma" w:hAnsi="Tahoma"/>
      <w:sz w:val="16"/>
      <w:lang w:val="x-none" w:eastAsia="cs-CZ"/>
    </w:rPr>
  </w:style>
  <w:style w:type="character" w:customStyle="1" w:styleId="truktradokumentuChar1430">
    <w:name w:val="Štruktúra dokumentu Char1430"/>
    <w:aliases w:val="Char9 Char Char1431,Štruktúra dokumentu Char Char Char1431,Document Map Char Char Char1431"/>
    <w:uiPriority w:val="99"/>
    <w:semiHidden/>
    <w:rsid w:val="00A809E7"/>
    <w:rPr>
      <w:rFonts w:ascii="Tahoma" w:hAnsi="Tahoma"/>
      <w:sz w:val="16"/>
      <w:lang w:val="x-none" w:eastAsia="cs-CZ"/>
    </w:rPr>
  </w:style>
  <w:style w:type="character" w:customStyle="1" w:styleId="truktradokumentuChar1429">
    <w:name w:val="Štruktúra dokumentu Char1429"/>
    <w:aliases w:val="Char9 Char Char1430,Štruktúra dokumentu Char Char Char1430,Document Map Char Char Char1430"/>
    <w:uiPriority w:val="99"/>
    <w:semiHidden/>
    <w:rsid w:val="00A809E7"/>
    <w:rPr>
      <w:rFonts w:ascii="Tahoma" w:hAnsi="Tahoma"/>
      <w:sz w:val="16"/>
      <w:lang w:val="x-none" w:eastAsia="cs-CZ"/>
    </w:rPr>
  </w:style>
  <w:style w:type="character" w:customStyle="1" w:styleId="truktradokumentuChar1428">
    <w:name w:val="Štruktúra dokumentu Char1428"/>
    <w:aliases w:val="Char9 Char Char1429,Štruktúra dokumentu Char Char Char1429,Document Map Char Char Char1429"/>
    <w:uiPriority w:val="99"/>
    <w:semiHidden/>
    <w:rsid w:val="00A809E7"/>
    <w:rPr>
      <w:rFonts w:ascii="Tahoma" w:hAnsi="Tahoma"/>
      <w:sz w:val="16"/>
      <w:lang w:val="x-none" w:eastAsia="cs-CZ"/>
    </w:rPr>
  </w:style>
  <w:style w:type="character" w:customStyle="1" w:styleId="truktradokumentuChar1427">
    <w:name w:val="Štruktúra dokumentu Char1427"/>
    <w:aliases w:val="Char9 Char Char1428,Štruktúra dokumentu Char Char Char1428,Document Map Char Char Char1428"/>
    <w:uiPriority w:val="99"/>
    <w:semiHidden/>
    <w:rsid w:val="00A809E7"/>
    <w:rPr>
      <w:rFonts w:ascii="Tahoma" w:hAnsi="Tahoma"/>
      <w:sz w:val="16"/>
      <w:lang w:val="x-none" w:eastAsia="cs-CZ"/>
    </w:rPr>
  </w:style>
  <w:style w:type="character" w:customStyle="1" w:styleId="truktradokumentuChar1426">
    <w:name w:val="Štruktúra dokumentu Char1426"/>
    <w:aliases w:val="Char9 Char Char1427,Štruktúra dokumentu Char Char Char1427,Document Map Char Char Char1427"/>
    <w:uiPriority w:val="99"/>
    <w:semiHidden/>
    <w:rsid w:val="00A809E7"/>
    <w:rPr>
      <w:rFonts w:ascii="Tahoma" w:hAnsi="Tahoma"/>
      <w:sz w:val="16"/>
      <w:lang w:val="x-none" w:eastAsia="cs-CZ"/>
    </w:rPr>
  </w:style>
  <w:style w:type="character" w:customStyle="1" w:styleId="truktradokumentuChar1425">
    <w:name w:val="Štruktúra dokumentu Char1425"/>
    <w:aliases w:val="Char9 Char Char1426,Štruktúra dokumentu Char Char Char1426,Document Map Char Char Char1426"/>
    <w:uiPriority w:val="99"/>
    <w:semiHidden/>
    <w:rsid w:val="00A809E7"/>
    <w:rPr>
      <w:rFonts w:ascii="Tahoma" w:hAnsi="Tahoma"/>
      <w:sz w:val="16"/>
      <w:lang w:val="x-none" w:eastAsia="cs-CZ"/>
    </w:rPr>
  </w:style>
  <w:style w:type="character" w:customStyle="1" w:styleId="truktradokumentuChar1424">
    <w:name w:val="Štruktúra dokumentu Char1424"/>
    <w:aliases w:val="Char9 Char Char1425,Štruktúra dokumentu Char Char Char1425,Document Map Char Char Char1425"/>
    <w:uiPriority w:val="99"/>
    <w:semiHidden/>
    <w:rsid w:val="00A809E7"/>
    <w:rPr>
      <w:rFonts w:ascii="Tahoma" w:hAnsi="Tahoma"/>
      <w:sz w:val="16"/>
      <w:lang w:val="x-none" w:eastAsia="cs-CZ"/>
    </w:rPr>
  </w:style>
  <w:style w:type="character" w:customStyle="1" w:styleId="truktradokumentuChar1423">
    <w:name w:val="Štruktúra dokumentu Char1423"/>
    <w:aliases w:val="Char9 Char Char1424,Štruktúra dokumentu Char Char Char1424,Document Map Char Char Char1424"/>
    <w:uiPriority w:val="99"/>
    <w:semiHidden/>
    <w:rsid w:val="00A809E7"/>
    <w:rPr>
      <w:rFonts w:ascii="Tahoma" w:hAnsi="Tahoma"/>
      <w:sz w:val="16"/>
      <w:lang w:val="x-none" w:eastAsia="cs-CZ"/>
    </w:rPr>
  </w:style>
  <w:style w:type="character" w:customStyle="1" w:styleId="truktradokumentuChar1422">
    <w:name w:val="Štruktúra dokumentu Char1422"/>
    <w:aliases w:val="Char9 Char Char1423,Štruktúra dokumentu Char Char Char1423,Document Map Char Char Char1423"/>
    <w:uiPriority w:val="99"/>
    <w:semiHidden/>
    <w:rsid w:val="00A809E7"/>
    <w:rPr>
      <w:rFonts w:ascii="Tahoma" w:hAnsi="Tahoma"/>
      <w:sz w:val="16"/>
      <w:lang w:val="x-none" w:eastAsia="cs-CZ"/>
    </w:rPr>
  </w:style>
  <w:style w:type="character" w:customStyle="1" w:styleId="truktradokumentuChar1421">
    <w:name w:val="Štruktúra dokumentu Char1421"/>
    <w:aliases w:val="Char9 Char Char1422,Štruktúra dokumentu Char Char Char1422,Document Map Char Char Char1422"/>
    <w:uiPriority w:val="99"/>
    <w:semiHidden/>
    <w:rsid w:val="00A809E7"/>
    <w:rPr>
      <w:rFonts w:ascii="Tahoma" w:hAnsi="Tahoma"/>
      <w:sz w:val="16"/>
      <w:lang w:val="x-none" w:eastAsia="cs-CZ"/>
    </w:rPr>
  </w:style>
  <w:style w:type="character" w:customStyle="1" w:styleId="truktradokumentuChar1420">
    <w:name w:val="Štruktúra dokumentu Char1420"/>
    <w:aliases w:val="Char9 Char Char1421,Štruktúra dokumentu Char Char Char1421,Document Map Char Char Char1421"/>
    <w:uiPriority w:val="99"/>
    <w:semiHidden/>
    <w:rsid w:val="00A809E7"/>
    <w:rPr>
      <w:rFonts w:ascii="Tahoma" w:hAnsi="Tahoma"/>
      <w:sz w:val="16"/>
      <w:lang w:val="x-none" w:eastAsia="cs-CZ"/>
    </w:rPr>
  </w:style>
  <w:style w:type="character" w:customStyle="1" w:styleId="truktradokumentuChar1419">
    <w:name w:val="Štruktúra dokumentu Char1419"/>
    <w:aliases w:val="Char9 Char Char1420,Štruktúra dokumentu Char Char Char1420,Document Map Char Char Char1420"/>
    <w:uiPriority w:val="99"/>
    <w:semiHidden/>
    <w:rsid w:val="00A809E7"/>
    <w:rPr>
      <w:rFonts w:ascii="Tahoma" w:hAnsi="Tahoma"/>
      <w:sz w:val="16"/>
      <w:lang w:val="x-none" w:eastAsia="cs-CZ"/>
    </w:rPr>
  </w:style>
  <w:style w:type="character" w:customStyle="1" w:styleId="truktradokumentuChar1418">
    <w:name w:val="Štruktúra dokumentu Char1418"/>
    <w:aliases w:val="Char9 Char Char1419,Štruktúra dokumentu Char Char Char1419,Document Map Char Char Char1419"/>
    <w:uiPriority w:val="99"/>
    <w:semiHidden/>
    <w:rsid w:val="00A809E7"/>
    <w:rPr>
      <w:rFonts w:ascii="Tahoma" w:hAnsi="Tahoma"/>
      <w:sz w:val="16"/>
      <w:lang w:val="x-none" w:eastAsia="cs-CZ"/>
    </w:rPr>
  </w:style>
  <w:style w:type="character" w:customStyle="1" w:styleId="truktradokumentuChar1417">
    <w:name w:val="Štruktúra dokumentu Char1417"/>
    <w:aliases w:val="Char9 Char Char1418,Štruktúra dokumentu Char Char Char1418,Document Map Char Char Char1418"/>
    <w:uiPriority w:val="99"/>
    <w:semiHidden/>
    <w:rsid w:val="00A809E7"/>
    <w:rPr>
      <w:rFonts w:ascii="Tahoma" w:hAnsi="Tahoma"/>
      <w:sz w:val="16"/>
      <w:lang w:val="x-none" w:eastAsia="cs-CZ"/>
    </w:rPr>
  </w:style>
  <w:style w:type="character" w:customStyle="1" w:styleId="truktradokumentuChar1416">
    <w:name w:val="Štruktúra dokumentu Char1416"/>
    <w:aliases w:val="Char9 Char Char1417,Štruktúra dokumentu Char Char Char1417,Document Map Char Char Char1417"/>
    <w:uiPriority w:val="99"/>
    <w:semiHidden/>
    <w:rsid w:val="00A809E7"/>
    <w:rPr>
      <w:rFonts w:ascii="Tahoma" w:hAnsi="Tahoma"/>
      <w:sz w:val="16"/>
      <w:lang w:val="x-none" w:eastAsia="cs-CZ"/>
    </w:rPr>
  </w:style>
  <w:style w:type="character" w:customStyle="1" w:styleId="truktradokumentuChar1415">
    <w:name w:val="Štruktúra dokumentu Char1415"/>
    <w:aliases w:val="Char9 Char Char1416,Štruktúra dokumentu Char Char Char1416,Document Map Char Char Char1416"/>
    <w:uiPriority w:val="99"/>
    <w:semiHidden/>
    <w:rsid w:val="00A809E7"/>
    <w:rPr>
      <w:rFonts w:ascii="Tahoma" w:hAnsi="Tahoma"/>
      <w:sz w:val="16"/>
      <w:lang w:val="x-none" w:eastAsia="cs-CZ"/>
    </w:rPr>
  </w:style>
  <w:style w:type="character" w:customStyle="1" w:styleId="truktradokumentuChar1414">
    <w:name w:val="Štruktúra dokumentu Char1414"/>
    <w:aliases w:val="Char9 Char Char1415,Štruktúra dokumentu Char Char Char1415,Document Map Char Char Char1415"/>
    <w:uiPriority w:val="99"/>
    <w:semiHidden/>
    <w:rsid w:val="00A809E7"/>
    <w:rPr>
      <w:rFonts w:ascii="Tahoma" w:hAnsi="Tahoma"/>
      <w:sz w:val="16"/>
      <w:lang w:val="x-none" w:eastAsia="cs-CZ"/>
    </w:rPr>
  </w:style>
  <w:style w:type="character" w:customStyle="1" w:styleId="truktradokumentuChar1413">
    <w:name w:val="Štruktúra dokumentu Char1413"/>
    <w:aliases w:val="Char9 Char Char1414,Štruktúra dokumentu Char Char Char1414,Document Map Char Char Char1414"/>
    <w:uiPriority w:val="99"/>
    <w:semiHidden/>
    <w:rsid w:val="00A809E7"/>
    <w:rPr>
      <w:rFonts w:ascii="Tahoma" w:hAnsi="Tahoma"/>
      <w:sz w:val="16"/>
      <w:lang w:val="x-none" w:eastAsia="cs-CZ"/>
    </w:rPr>
  </w:style>
  <w:style w:type="character" w:customStyle="1" w:styleId="truktradokumentuChar1412">
    <w:name w:val="Štruktúra dokumentu Char1412"/>
    <w:aliases w:val="Char9 Char Char1413,Štruktúra dokumentu Char Char Char1413,Document Map Char Char Char1413"/>
    <w:uiPriority w:val="99"/>
    <w:semiHidden/>
    <w:rsid w:val="00A809E7"/>
    <w:rPr>
      <w:rFonts w:ascii="Tahoma" w:hAnsi="Tahoma"/>
      <w:sz w:val="16"/>
      <w:lang w:val="x-none" w:eastAsia="cs-CZ"/>
    </w:rPr>
  </w:style>
  <w:style w:type="character" w:customStyle="1" w:styleId="truktradokumentuChar1411">
    <w:name w:val="Štruktúra dokumentu Char1411"/>
    <w:aliases w:val="Char9 Char Char1412,Štruktúra dokumentu Char Char Char1412,Document Map Char Char Char1412"/>
    <w:uiPriority w:val="99"/>
    <w:semiHidden/>
    <w:rsid w:val="00A809E7"/>
    <w:rPr>
      <w:rFonts w:ascii="Tahoma" w:hAnsi="Tahoma"/>
      <w:sz w:val="16"/>
      <w:lang w:val="x-none" w:eastAsia="cs-CZ"/>
    </w:rPr>
  </w:style>
  <w:style w:type="character" w:customStyle="1" w:styleId="truktradokumentuChar1410">
    <w:name w:val="Štruktúra dokumentu Char1410"/>
    <w:aliases w:val="Char9 Char Char1411,Štruktúra dokumentu Char Char Char1411,Document Map Char Char Char1411"/>
    <w:uiPriority w:val="99"/>
    <w:semiHidden/>
    <w:rsid w:val="00A809E7"/>
    <w:rPr>
      <w:rFonts w:ascii="Tahoma" w:hAnsi="Tahoma"/>
      <w:sz w:val="16"/>
      <w:lang w:val="x-none" w:eastAsia="cs-CZ"/>
    </w:rPr>
  </w:style>
  <w:style w:type="character" w:customStyle="1" w:styleId="truktradokumentuChar1409">
    <w:name w:val="Štruktúra dokumentu Char1409"/>
    <w:aliases w:val="Char9 Char Char1410,Štruktúra dokumentu Char Char Char1410,Document Map Char Char Char1410"/>
    <w:uiPriority w:val="99"/>
    <w:semiHidden/>
    <w:rsid w:val="00A809E7"/>
    <w:rPr>
      <w:rFonts w:ascii="Tahoma" w:hAnsi="Tahoma"/>
      <w:sz w:val="16"/>
      <w:lang w:val="x-none" w:eastAsia="cs-CZ"/>
    </w:rPr>
  </w:style>
  <w:style w:type="character" w:customStyle="1" w:styleId="truktradokumentuChar1408">
    <w:name w:val="Štruktúra dokumentu Char1408"/>
    <w:aliases w:val="Char9 Char Char1409,Štruktúra dokumentu Char Char Char1409,Document Map Char Char Char1409"/>
    <w:uiPriority w:val="99"/>
    <w:semiHidden/>
    <w:rsid w:val="00A809E7"/>
    <w:rPr>
      <w:rFonts w:ascii="Tahoma" w:hAnsi="Tahoma"/>
      <w:sz w:val="16"/>
      <w:lang w:val="x-none" w:eastAsia="cs-CZ"/>
    </w:rPr>
  </w:style>
  <w:style w:type="character" w:customStyle="1" w:styleId="truktradokumentuChar1407">
    <w:name w:val="Štruktúra dokumentu Char1407"/>
    <w:aliases w:val="Char9 Char Char1408,Štruktúra dokumentu Char Char Char1408,Document Map Char Char Char1408"/>
    <w:uiPriority w:val="99"/>
    <w:semiHidden/>
    <w:rsid w:val="00A809E7"/>
    <w:rPr>
      <w:rFonts w:ascii="Tahoma" w:hAnsi="Tahoma"/>
      <w:sz w:val="16"/>
      <w:lang w:val="x-none" w:eastAsia="cs-CZ"/>
    </w:rPr>
  </w:style>
  <w:style w:type="character" w:customStyle="1" w:styleId="truktradokumentuChar1406">
    <w:name w:val="Štruktúra dokumentu Char1406"/>
    <w:aliases w:val="Char9 Char Char1407,Štruktúra dokumentu Char Char Char1407,Document Map Char Char Char1407"/>
    <w:uiPriority w:val="99"/>
    <w:semiHidden/>
    <w:rsid w:val="00A809E7"/>
    <w:rPr>
      <w:rFonts w:ascii="Tahoma" w:hAnsi="Tahoma"/>
      <w:sz w:val="16"/>
      <w:lang w:val="x-none" w:eastAsia="cs-CZ"/>
    </w:rPr>
  </w:style>
  <w:style w:type="character" w:customStyle="1" w:styleId="truktradokumentuChar1405">
    <w:name w:val="Štruktúra dokumentu Char1405"/>
    <w:aliases w:val="Char9 Char Char1406,Štruktúra dokumentu Char Char Char1406,Document Map Char Char Char1406"/>
    <w:uiPriority w:val="99"/>
    <w:semiHidden/>
    <w:rsid w:val="00A809E7"/>
    <w:rPr>
      <w:rFonts w:ascii="Tahoma" w:hAnsi="Tahoma"/>
      <w:sz w:val="16"/>
      <w:lang w:val="x-none" w:eastAsia="cs-CZ"/>
    </w:rPr>
  </w:style>
  <w:style w:type="character" w:customStyle="1" w:styleId="truktradokumentuChar1404">
    <w:name w:val="Štruktúra dokumentu Char1404"/>
    <w:aliases w:val="Char9 Char Char1405,Štruktúra dokumentu Char Char Char1405,Document Map Char Char Char1405"/>
    <w:uiPriority w:val="99"/>
    <w:semiHidden/>
    <w:rsid w:val="00A809E7"/>
    <w:rPr>
      <w:rFonts w:ascii="Tahoma" w:hAnsi="Tahoma"/>
      <w:sz w:val="16"/>
      <w:lang w:val="x-none" w:eastAsia="cs-CZ"/>
    </w:rPr>
  </w:style>
  <w:style w:type="character" w:customStyle="1" w:styleId="truktradokumentuChar1403">
    <w:name w:val="Štruktúra dokumentu Char1403"/>
    <w:aliases w:val="Char9 Char Char1404,Štruktúra dokumentu Char Char Char1404,Document Map Char Char Char1404"/>
    <w:uiPriority w:val="99"/>
    <w:semiHidden/>
    <w:rsid w:val="00A809E7"/>
    <w:rPr>
      <w:rFonts w:ascii="Tahoma" w:hAnsi="Tahoma"/>
      <w:sz w:val="16"/>
      <w:lang w:val="x-none" w:eastAsia="cs-CZ"/>
    </w:rPr>
  </w:style>
  <w:style w:type="character" w:customStyle="1" w:styleId="truktradokumentuChar1402">
    <w:name w:val="Štruktúra dokumentu Char1402"/>
    <w:aliases w:val="Char9 Char Char1403,Štruktúra dokumentu Char Char Char1403,Document Map Char Char Char1403"/>
    <w:uiPriority w:val="99"/>
    <w:semiHidden/>
    <w:rsid w:val="00A809E7"/>
    <w:rPr>
      <w:rFonts w:ascii="Tahoma" w:hAnsi="Tahoma"/>
      <w:sz w:val="16"/>
      <w:lang w:val="x-none" w:eastAsia="cs-CZ"/>
    </w:rPr>
  </w:style>
  <w:style w:type="character" w:customStyle="1" w:styleId="truktradokumentuChar1401">
    <w:name w:val="Štruktúra dokumentu Char1401"/>
    <w:aliases w:val="Char9 Char Char1402,Štruktúra dokumentu Char Char Char1402,Document Map Char Char Char1402"/>
    <w:uiPriority w:val="99"/>
    <w:semiHidden/>
    <w:rsid w:val="00A809E7"/>
    <w:rPr>
      <w:rFonts w:ascii="Tahoma" w:hAnsi="Tahoma"/>
      <w:sz w:val="16"/>
      <w:lang w:val="x-none" w:eastAsia="cs-CZ"/>
    </w:rPr>
  </w:style>
  <w:style w:type="character" w:customStyle="1" w:styleId="truktradokumentuChar1400">
    <w:name w:val="Štruktúra dokumentu Char1400"/>
    <w:aliases w:val="Char9 Char Char1401,Štruktúra dokumentu Char Char Char1401,Document Map Char Char Char1401"/>
    <w:uiPriority w:val="99"/>
    <w:semiHidden/>
    <w:rsid w:val="00A809E7"/>
    <w:rPr>
      <w:rFonts w:ascii="Tahoma" w:hAnsi="Tahoma"/>
      <w:sz w:val="16"/>
      <w:lang w:val="x-none" w:eastAsia="cs-CZ"/>
    </w:rPr>
  </w:style>
  <w:style w:type="character" w:customStyle="1" w:styleId="truktradokumentuChar1399">
    <w:name w:val="Štruktúra dokumentu Char1399"/>
    <w:aliases w:val="Char9 Char Char1400,Štruktúra dokumentu Char Char Char1400,Document Map Char Char Char1400"/>
    <w:uiPriority w:val="99"/>
    <w:semiHidden/>
    <w:rsid w:val="00A809E7"/>
    <w:rPr>
      <w:rFonts w:ascii="Tahoma" w:hAnsi="Tahoma"/>
      <w:sz w:val="16"/>
      <w:lang w:val="x-none" w:eastAsia="cs-CZ"/>
    </w:rPr>
  </w:style>
  <w:style w:type="character" w:customStyle="1" w:styleId="truktradokumentuChar1398">
    <w:name w:val="Štruktúra dokumentu Char1398"/>
    <w:aliases w:val="Char9 Char Char1399,Štruktúra dokumentu Char Char Char1399,Document Map Char Char Char1399"/>
    <w:uiPriority w:val="99"/>
    <w:semiHidden/>
    <w:rsid w:val="00A809E7"/>
    <w:rPr>
      <w:rFonts w:ascii="Tahoma" w:hAnsi="Tahoma"/>
      <w:sz w:val="16"/>
      <w:lang w:val="x-none" w:eastAsia="cs-CZ"/>
    </w:rPr>
  </w:style>
  <w:style w:type="character" w:customStyle="1" w:styleId="truktradokumentuChar1397">
    <w:name w:val="Štruktúra dokumentu Char1397"/>
    <w:aliases w:val="Char9 Char Char1398,Štruktúra dokumentu Char Char Char1398,Document Map Char Char Char1398"/>
    <w:uiPriority w:val="99"/>
    <w:semiHidden/>
    <w:rsid w:val="00A809E7"/>
    <w:rPr>
      <w:rFonts w:ascii="Tahoma" w:hAnsi="Tahoma"/>
      <w:sz w:val="16"/>
      <w:lang w:val="x-none" w:eastAsia="cs-CZ"/>
    </w:rPr>
  </w:style>
  <w:style w:type="character" w:customStyle="1" w:styleId="truktradokumentuChar1396">
    <w:name w:val="Štruktúra dokumentu Char1396"/>
    <w:aliases w:val="Char9 Char Char1397,Štruktúra dokumentu Char Char Char1397,Document Map Char Char Char1397"/>
    <w:uiPriority w:val="99"/>
    <w:semiHidden/>
    <w:rsid w:val="00A809E7"/>
    <w:rPr>
      <w:rFonts w:ascii="Tahoma" w:hAnsi="Tahoma"/>
      <w:sz w:val="16"/>
      <w:lang w:val="x-none" w:eastAsia="cs-CZ"/>
    </w:rPr>
  </w:style>
  <w:style w:type="character" w:customStyle="1" w:styleId="truktradokumentuChar1395">
    <w:name w:val="Štruktúra dokumentu Char1395"/>
    <w:aliases w:val="Char9 Char Char1396,Štruktúra dokumentu Char Char Char1396,Document Map Char Char Char1396"/>
    <w:uiPriority w:val="99"/>
    <w:semiHidden/>
    <w:rsid w:val="00A809E7"/>
    <w:rPr>
      <w:rFonts w:ascii="Tahoma" w:hAnsi="Tahoma"/>
      <w:sz w:val="16"/>
      <w:lang w:val="x-none" w:eastAsia="cs-CZ"/>
    </w:rPr>
  </w:style>
  <w:style w:type="character" w:customStyle="1" w:styleId="truktradokumentuChar1394">
    <w:name w:val="Štruktúra dokumentu Char1394"/>
    <w:aliases w:val="Char9 Char Char1395,Štruktúra dokumentu Char Char Char1395,Document Map Char Char Char1395"/>
    <w:uiPriority w:val="99"/>
    <w:semiHidden/>
    <w:rsid w:val="00A809E7"/>
    <w:rPr>
      <w:rFonts w:ascii="Tahoma" w:hAnsi="Tahoma"/>
      <w:sz w:val="16"/>
      <w:lang w:val="x-none" w:eastAsia="cs-CZ"/>
    </w:rPr>
  </w:style>
  <w:style w:type="character" w:customStyle="1" w:styleId="truktradokumentuChar1393">
    <w:name w:val="Štruktúra dokumentu Char1393"/>
    <w:aliases w:val="Char9 Char Char1394,Štruktúra dokumentu Char Char Char1394,Document Map Char Char Char1394"/>
    <w:uiPriority w:val="99"/>
    <w:semiHidden/>
    <w:rsid w:val="00A809E7"/>
    <w:rPr>
      <w:rFonts w:ascii="Tahoma" w:hAnsi="Tahoma"/>
      <w:sz w:val="16"/>
      <w:lang w:val="x-none" w:eastAsia="cs-CZ"/>
    </w:rPr>
  </w:style>
  <w:style w:type="character" w:customStyle="1" w:styleId="truktradokumentuChar1392">
    <w:name w:val="Štruktúra dokumentu Char1392"/>
    <w:aliases w:val="Char9 Char Char1393,Štruktúra dokumentu Char Char Char1393,Document Map Char Char Char1393"/>
    <w:uiPriority w:val="99"/>
    <w:semiHidden/>
    <w:rsid w:val="00A809E7"/>
    <w:rPr>
      <w:rFonts w:ascii="Tahoma" w:hAnsi="Tahoma"/>
      <w:sz w:val="16"/>
      <w:lang w:val="x-none" w:eastAsia="cs-CZ"/>
    </w:rPr>
  </w:style>
  <w:style w:type="character" w:customStyle="1" w:styleId="truktradokumentuChar1391">
    <w:name w:val="Štruktúra dokumentu Char1391"/>
    <w:aliases w:val="Char9 Char Char1392,Štruktúra dokumentu Char Char Char1392,Document Map Char Char Char1392"/>
    <w:uiPriority w:val="99"/>
    <w:semiHidden/>
    <w:rsid w:val="00A809E7"/>
    <w:rPr>
      <w:rFonts w:ascii="Tahoma" w:hAnsi="Tahoma"/>
      <w:sz w:val="16"/>
      <w:lang w:val="x-none" w:eastAsia="cs-CZ"/>
    </w:rPr>
  </w:style>
  <w:style w:type="character" w:customStyle="1" w:styleId="truktradokumentuChar1390">
    <w:name w:val="Štruktúra dokumentu Char1390"/>
    <w:aliases w:val="Char9 Char Char1391,Štruktúra dokumentu Char Char Char1391,Document Map Char Char Char1391"/>
    <w:uiPriority w:val="99"/>
    <w:semiHidden/>
    <w:rsid w:val="00A809E7"/>
    <w:rPr>
      <w:rFonts w:ascii="Tahoma" w:hAnsi="Tahoma"/>
      <w:sz w:val="16"/>
      <w:lang w:val="x-none" w:eastAsia="cs-CZ"/>
    </w:rPr>
  </w:style>
  <w:style w:type="character" w:customStyle="1" w:styleId="truktradokumentuChar1389">
    <w:name w:val="Štruktúra dokumentu Char1389"/>
    <w:aliases w:val="Char9 Char Char1390,Štruktúra dokumentu Char Char Char1390,Document Map Char Char Char1390"/>
    <w:uiPriority w:val="99"/>
    <w:semiHidden/>
    <w:rsid w:val="00A809E7"/>
    <w:rPr>
      <w:rFonts w:ascii="Tahoma" w:hAnsi="Tahoma"/>
      <w:sz w:val="16"/>
      <w:lang w:val="x-none" w:eastAsia="cs-CZ"/>
    </w:rPr>
  </w:style>
  <w:style w:type="character" w:customStyle="1" w:styleId="truktradokumentuChar1388">
    <w:name w:val="Štruktúra dokumentu Char1388"/>
    <w:aliases w:val="Char9 Char Char1389,Štruktúra dokumentu Char Char Char1389,Document Map Char Char Char1389"/>
    <w:uiPriority w:val="99"/>
    <w:semiHidden/>
    <w:rsid w:val="00A809E7"/>
    <w:rPr>
      <w:rFonts w:ascii="Tahoma" w:hAnsi="Tahoma"/>
      <w:sz w:val="16"/>
      <w:lang w:val="x-none" w:eastAsia="cs-CZ"/>
    </w:rPr>
  </w:style>
  <w:style w:type="character" w:customStyle="1" w:styleId="truktradokumentuChar1387">
    <w:name w:val="Štruktúra dokumentu Char1387"/>
    <w:aliases w:val="Char9 Char Char1388,Štruktúra dokumentu Char Char Char1388,Document Map Char Char Char1388"/>
    <w:uiPriority w:val="99"/>
    <w:semiHidden/>
    <w:rsid w:val="00A809E7"/>
    <w:rPr>
      <w:rFonts w:ascii="Tahoma" w:hAnsi="Tahoma"/>
      <w:sz w:val="16"/>
      <w:lang w:val="x-none" w:eastAsia="cs-CZ"/>
    </w:rPr>
  </w:style>
  <w:style w:type="character" w:customStyle="1" w:styleId="truktradokumentuChar1386">
    <w:name w:val="Štruktúra dokumentu Char1386"/>
    <w:aliases w:val="Char9 Char Char1387,Štruktúra dokumentu Char Char Char1387,Document Map Char Char Char1387"/>
    <w:uiPriority w:val="99"/>
    <w:semiHidden/>
    <w:rsid w:val="00A809E7"/>
    <w:rPr>
      <w:rFonts w:ascii="Tahoma" w:hAnsi="Tahoma"/>
      <w:sz w:val="16"/>
      <w:lang w:val="x-none" w:eastAsia="cs-CZ"/>
    </w:rPr>
  </w:style>
  <w:style w:type="character" w:customStyle="1" w:styleId="truktradokumentuChar1385">
    <w:name w:val="Štruktúra dokumentu Char1385"/>
    <w:aliases w:val="Char9 Char Char1386,Štruktúra dokumentu Char Char Char1386,Document Map Char Char Char1386"/>
    <w:uiPriority w:val="99"/>
    <w:semiHidden/>
    <w:rsid w:val="00A809E7"/>
    <w:rPr>
      <w:rFonts w:ascii="Tahoma" w:hAnsi="Tahoma"/>
      <w:sz w:val="16"/>
      <w:lang w:val="x-none" w:eastAsia="cs-CZ"/>
    </w:rPr>
  </w:style>
  <w:style w:type="character" w:customStyle="1" w:styleId="truktradokumentuChar1384">
    <w:name w:val="Štruktúra dokumentu Char1384"/>
    <w:aliases w:val="Char9 Char Char1385,Štruktúra dokumentu Char Char Char1385,Document Map Char Char Char1385"/>
    <w:uiPriority w:val="99"/>
    <w:semiHidden/>
    <w:rsid w:val="00A809E7"/>
    <w:rPr>
      <w:rFonts w:ascii="Tahoma" w:hAnsi="Tahoma"/>
      <w:sz w:val="16"/>
      <w:lang w:val="x-none" w:eastAsia="cs-CZ"/>
    </w:rPr>
  </w:style>
  <w:style w:type="character" w:customStyle="1" w:styleId="truktradokumentuChar1383">
    <w:name w:val="Štruktúra dokumentu Char1383"/>
    <w:aliases w:val="Char9 Char Char1384,Štruktúra dokumentu Char Char Char1384,Document Map Char Char Char1384"/>
    <w:uiPriority w:val="99"/>
    <w:semiHidden/>
    <w:rsid w:val="00A809E7"/>
    <w:rPr>
      <w:rFonts w:ascii="Tahoma" w:hAnsi="Tahoma"/>
      <w:sz w:val="16"/>
      <w:lang w:val="x-none" w:eastAsia="cs-CZ"/>
    </w:rPr>
  </w:style>
  <w:style w:type="character" w:customStyle="1" w:styleId="truktradokumentuChar1382">
    <w:name w:val="Štruktúra dokumentu Char1382"/>
    <w:aliases w:val="Char9 Char Char1383,Štruktúra dokumentu Char Char Char1383,Document Map Char Char Char1383"/>
    <w:uiPriority w:val="99"/>
    <w:semiHidden/>
    <w:rsid w:val="00A809E7"/>
    <w:rPr>
      <w:rFonts w:ascii="Tahoma" w:hAnsi="Tahoma"/>
      <w:sz w:val="16"/>
      <w:lang w:val="x-none" w:eastAsia="cs-CZ"/>
    </w:rPr>
  </w:style>
  <w:style w:type="character" w:customStyle="1" w:styleId="truktradokumentuChar1381">
    <w:name w:val="Štruktúra dokumentu Char1381"/>
    <w:aliases w:val="Char9 Char Char1382,Štruktúra dokumentu Char Char Char1382,Document Map Char Char Char1382"/>
    <w:uiPriority w:val="99"/>
    <w:semiHidden/>
    <w:rsid w:val="00A809E7"/>
    <w:rPr>
      <w:rFonts w:ascii="Tahoma" w:hAnsi="Tahoma"/>
      <w:sz w:val="16"/>
      <w:lang w:val="x-none" w:eastAsia="cs-CZ"/>
    </w:rPr>
  </w:style>
  <w:style w:type="character" w:customStyle="1" w:styleId="truktradokumentuChar1380">
    <w:name w:val="Štruktúra dokumentu Char1380"/>
    <w:aliases w:val="Char9 Char Char1381,Štruktúra dokumentu Char Char Char1381,Document Map Char Char Char1381"/>
    <w:uiPriority w:val="99"/>
    <w:semiHidden/>
    <w:rsid w:val="00A809E7"/>
    <w:rPr>
      <w:rFonts w:ascii="Tahoma" w:hAnsi="Tahoma"/>
      <w:sz w:val="16"/>
      <w:lang w:val="x-none" w:eastAsia="cs-CZ"/>
    </w:rPr>
  </w:style>
  <w:style w:type="character" w:customStyle="1" w:styleId="truktradokumentuChar1379">
    <w:name w:val="Štruktúra dokumentu Char1379"/>
    <w:aliases w:val="Char9 Char Char1380,Štruktúra dokumentu Char Char Char1380,Document Map Char Char Char1380"/>
    <w:uiPriority w:val="99"/>
    <w:semiHidden/>
    <w:rsid w:val="00A809E7"/>
    <w:rPr>
      <w:rFonts w:ascii="Tahoma" w:hAnsi="Tahoma"/>
      <w:sz w:val="16"/>
      <w:lang w:val="x-none" w:eastAsia="cs-CZ"/>
    </w:rPr>
  </w:style>
  <w:style w:type="character" w:customStyle="1" w:styleId="truktradokumentuChar1378">
    <w:name w:val="Štruktúra dokumentu Char1378"/>
    <w:aliases w:val="Char9 Char Char1379,Štruktúra dokumentu Char Char Char1379,Document Map Char Char Char1379"/>
    <w:uiPriority w:val="99"/>
    <w:semiHidden/>
    <w:rsid w:val="00A809E7"/>
    <w:rPr>
      <w:rFonts w:ascii="Tahoma" w:hAnsi="Tahoma"/>
      <w:sz w:val="16"/>
      <w:lang w:val="x-none" w:eastAsia="cs-CZ"/>
    </w:rPr>
  </w:style>
  <w:style w:type="character" w:customStyle="1" w:styleId="truktradokumentuChar1377">
    <w:name w:val="Štruktúra dokumentu Char1377"/>
    <w:aliases w:val="Char9 Char Char1378,Štruktúra dokumentu Char Char Char1378,Document Map Char Char Char1378"/>
    <w:uiPriority w:val="99"/>
    <w:semiHidden/>
    <w:rsid w:val="00A809E7"/>
    <w:rPr>
      <w:rFonts w:ascii="Tahoma" w:hAnsi="Tahoma"/>
      <w:sz w:val="16"/>
      <w:lang w:val="x-none" w:eastAsia="cs-CZ"/>
    </w:rPr>
  </w:style>
  <w:style w:type="character" w:customStyle="1" w:styleId="truktradokumentuChar1376">
    <w:name w:val="Štruktúra dokumentu Char1376"/>
    <w:aliases w:val="Char9 Char Char1377,Štruktúra dokumentu Char Char Char1377,Document Map Char Char Char1377"/>
    <w:uiPriority w:val="99"/>
    <w:semiHidden/>
    <w:rsid w:val="00A809E7"/>
    <w:rPr>
      <w:rFonts w:ascii="Tahoma" w:hAnsi="Tahoma"/>
      <w:sz w:val="16"/>
      <w:lang w:val="x-none" w:eastAsia="cs-CZ"/>
    </w:rPr>
  </w:style>
  <w:style w:type="character" w:customStyle="1" w:styleId="truktradokumentuChar1375">
    <w:name w:val="Štruktúra dokumentu Char1375"/>
    <w:aliases w:val="Char9 Char Char1376,Štruktúra dokumentu Char Char Char1376,Document Map Char Char Char1376"/>
    <w:uiPriority w:val="99"/>
    <w:semiHidden/>
    <w:rsid w:val="00A809E7"/>
    <w:rPr>
      <w:rFonts w:ascii="Tahoma" w:hAnsi="Tahoma"/>
      <w:sz w:val="16"/>
      <w:lang w:val="x-none" w:eastAsia="cs-CZ"/>
    </w:rPr>
  </w:style>
  <w:style w:type="character" w:customStyle="1" w:styleId="truktradokumentuChar1374">
    <w:name w:val="Štruktúra dokumentu Char1374"/>
    <w:aliases w:val="Char9 Char Char1375,Štruktúra dokumentu Char Char Char1375,Document Map Char Char Char1375"/>
    <w:uiPriority w:val="99"/>
    <w:semiHidden/>
    <w:rsid w:val="00A809E7"/>
    <w:rPr>
      <w:rFonts w:ascii="Tahoma" w:hAnsi="Tahoma"/>
      <w:sz w:val="16"/>
      <w:lang w:val="x-none" w:eastAsia="cs-CZ"/>
    </w:rPr>
  </w:style>
  <w:style w:type="character" w:customStyle="1" w:styleId="truktradokumentuChar1373">
    <w:name w:val="Štruktúra dokumentu Char1373"/>
    <w:aliases w:val="Char9 Char Char1374,Štruktúra dokumentu Char Char Char1374,Document Map Char Char Char1374"/>
    <w:uiPriority w:val="99"/>
    <w:semiHidden/>
    <w:rsid w:val="00A809E7"/>
    <w:rPr>
      <w:rFonts w:ascii="Tahoma" w:hAnsi="Tahoma"/>
      <w:sz w:val="16"/>
      <w:lang w:val="x-none" w:eastAsia="cs-CZ"/>
    </w:rPr>
  </w:style>
  <w:style w:type="character" w:customStyle="1" w:styleId="truktradokumentuChar1372">
    <w:name w:val="Štruktúra dokumentu Char1372"/>
    <w:aliases w:val="Char9 Char Char1373,Štruktúra dokumentu Char Char Char1373,Document Map Char Char Char1373"/>
    <w:uiPriority w:val="99"/>
    <w:semiHidden/>
    <w:rsid w:val="00A809E7"/>
    <w:rPr>
      <w:rFonts w:ascii="Tahoma" w:hAnsi="Tahoma"/>
      <w:sz w:val="16"/>
      <w:lang w:val="x-none" w:eastAsia="cs-CZ"/>
    </w:rPr>
  </w:style>
  <w:style w:type="character" w:customStyle="1" w:styleId="truktradokumentuChar1371">
    <w:name w:val="Štruktúra dokumentu Char1371"/>
    <w:aliases w:val="Char9 Char Char1372,Štruktúra dokumentu Char Char Char1372,Document Map Char Char Char1372"/>
    <w:uiPriority w:val="99"/>
    <w:semiHidden/>
    <w:rsid w:val="00A809E7"/>
    <w:rPr>
      <w:rFonts w:ascii="Tahoma" w:hAnsi="Tahoma"/>
      <w:sz w:val="16"/>
      <w:lang w:val="x-none" w:eastAsia="cs-CZ"/>
    </w:rPr>
  </w:style>
  <w:style w:type="character" w:customStyle="1" w:styleId="truktradokumentuChar1370">
    <w:name w:val="Štruktúra dokumentu Char1370"/>
    <w:aliases w:val="Char9 Char Char1371,Štruktúra dokumentu Char Char Char1371,Document Map Char Char Char1371"/>
    <w:uiPriority w:val="99"/>
    <w:semiHidden/>
    <w:rsid w:val="00A809E7"/>
    <w:rPr>
      <w:rFonts w:ascii="Tahoma" w:hAnsi="Tahoma"/>
      <w:sz w:val="16"/>
      <w:lang w:val="x-none" w:eastAsia="cs-CZ"/>
    </w:rPr>
  </w:style>
  <w:style w:type="character" w:customStyle="1" w:styleId="truktradokumentuChar1369">
    <w:name w:val="Štruktúra dokumentu Char1369"/>
    <w:aliases w:val="Char9 Char Char1370,Štruktúra dokumentu Char Char Char1370,Document Map Char Char Char1370"/>
    <w:uiPriority w:val="99"/>
    <w:semiHidden/>
    <w:rsid w:val="00A809E7"/>
    <w:rPr>
      <w:rFonts w:ascii="Tahoma" w:hAnsi="Tahoma"/>
      <w:sz w:val="16"/>
      <w:lang w:val="x-none" w:eastAsia="cs-CZ"/>
    </w:rPr>
  </w:style>
  <w:style w:type="character" w:customStyle="1" w:styleId="truktradokumentuChar1368">
    <w:name w:val="Štruktúra dokumentu Char1368"/>
    <w:aliases w:val="Char9 Char Char1369,Štruktúra dokumentu Char Char Char1369,Document Map Char Char Char1369"/>
    <w:uiPriority w:val="99"/>
    <w:semiHidden/>
    <w:rsid w:val="00A809E7"/>
    <w:rPr>
      <w:rFonts w:ascii="Tahoma" w:hAnsi="Tahoma"/>
      <w:sz w:val="16"/>
      <w:lang w:val="x-none" w:eastAsia="cs-CZ"/>
    </w:rPr>
  </w:style>
  <w:style w:type="character" w:customStyle="1" w:styleId="truktradokumentuChar1367">
    <w:name w:val="Štruktúra dokumentu Char1367"/>
    <w:aliases w:val="Char9 Char Char1368,Štruktúra dokumentu Char Char Char1368,Document Map Char Char Char1368"/>
    <w:uiPriority w:val="99"/>
    <w:semiHidden/>
    <w:rsid w:val="00A809E7"/>
    <w:rPr>
      <w:rFonts w:ascii="Tahoma" w:hAnsi="Tahoma"/>
      <w:sz w:val="16"/>
      <w:lang w:val="x-none" w:eastAsia="cs-CZ"/>
    </w:rPr>
  </w:style>
  <w:style w:type="character" w:customStyle="1" w:styleId="truktradokumentuChar1366">
    <w:name w:val="Štruktúra dokumentu Char1366"/>
    <w:aliases w:val="Char9 Char Char1367,Štruktúra dokumentu Char Char Char1367,Document Map Char Char Char1367"/>
    <w:uiPriority w:val="99"/>
    <w:semiHidden/>
    <w:rsid w:val="00A809E7"/>
    <w:rPr>
      <w:rFonts w:ascii="Tahoma" w:hAnsi="Tahoma"/>
      <w:sz w:val="16"/>
      <w:lang w:val="x-none" w:eastAsia="cs-CZ"/>
    </w:rPr>
  </w:style>
  <w:style w:type="character" w:customStyle="1" w:styleId="truktradokumentuChar1365">
    <w:name w:val="Štruktúra dokumentu Char1365"/>
    <w:aliases w:val="Char9 Char Char1366,Štruktúra dokumentu Char Char Char1366,Document Map Char Char Char1366"/>
    <w:uiPriority w:val="99"/>
    <w:semiHidden/>
    <w:rsid w:val="00A809E7"/>
    <w:rPr>
      <w:rFonts w:ascii="Tahoma" w:hAnsi="Tahoma"/>
      <w:sz w:val="16"/>
      <w:lang w:val="x-none" w:eastAsia="cs-CZ"/>
    </w:rPr>
  </w:style>
  <w:style w:type="character" w:customStyle="1" w:styleId="truktradokumentuChar1364">
    <w:name w:val="Štruktúra dokumentu Char1364"/>
    <w:aliases w:val="Char9 Char Char1365,Štruktúra dokumentu Char Char Char1365,Document Map Char Char Char1365"/>
    <w:uiPriority w:val="99"/>
    <w:semiHidden/>
    <w:rsid w:val="00A809E7"/>
    <w:rPr>
      <w:rFonts w:ascii="Tahoma" w:hAnsi="Tahoma"/>
      <w:sz w:val="16"/>
      <w:lang w:val="x-none" w:eastAsia="cs-CZ"/>
    </w:rPr>
  </w:style>
  <w:style w:type="character" w:customStyle="1" w:styleId="truktradokumentuChar1363">
    <w:name w:val="Štruktúra dokumentu Char1363"/>
    <w:aliases w:val="Char9 Char Char1364,Štruktúra dokumentu Char Char Char1364,Document Map Char Char Char1364"/>
    <w:uiPriority w:val="99"/>
    <w:semiHidden/>
    <w:rsid w:val="00A809E7"/>
    <w:rPr>
      <w:rFonts w:ascii="Tahoma" w:hAnsi="Tahoma"/>
      <w:sz w:val="16"/>
      <w:lang w:val="x-none" w:eastAsia="cs-CZ"/>
    </w:rPr>
  </w:style>
  <w:style w:type="character" w:customStyle="1" w:styleId="truktradokumentuChar1362">
    <w:name w:val="Štruktúra dokumentu Char1362"/>
    <w:aliases w:val="Char9 Char Char1363,Štruktúra dokumentu Char Char Char1363,Document Map Char Char Char1363"/>
    <w:uiPriority w:val="99"/>
    <w:semiHidden/>
    <w:rsid w:val="00A809E7"/>
    <w:rPr>
      <w:rFonts w:ascii="Tahoma" w:hAnsi="Tahoma"/>
      <w:sz w:val="16"/>
      <w:lang w:val="x-none" w:eastAsia="cs-CZ"/>
    </w:rPr>
  </w:style>
  <w:style w:type="character" w:customStyle="1" w:styleId="truktradokumentuChar1361">
    <w:name w:val="Štruktúra dokumentu Char1361"/>
    <w:aliases w:val="Char9 Char Char1362,Štruktúra dokumentu Char Char Char1362,Document Map Char Char Char1362"/>
    <w:uiPriority w:val="99"/>
    <w:semiHidden/>
    <w:rsid w:val="00A809E7"/>
    <w:rPr>
      <w:rFonts w:ascii="Tahoma" w:hAnsi="Tahoma"/>
      <w:sz w:val="16"/>
      <w:lang w:val="x-none" w:eastAsia="cs-CZ"/>
    </w:rPr>
  </w:style>
  <w:style w:type="character" w:customStyle="1" w:styleId="truktradokumentuChar1360">
    <w:name w:val="Štruktúra dokumentu Char1360"/>
    <w:aliases w:val="Char9 Char Char1361,Štruktúra dokumentu Char Char Char1361,Document Map Char Char Char1361"/>
    <w:uiPriority w:val="99"/>
    <w:semiHidden/>
    <w:rsid w:val="00A809E7"/>
    <w:rPr>
      <w:rFonts w:ascii="Tahoma" w:hAnsi="Tahoma"/>
      <w:sz w:val="16"/>
      <w:lang w:val="x-none" w:eastAsia="cs-CZ"/>
    </w:rPr>
  </w:style>
  <w:style w:type="character" w:customStyle="1" w:styleId="truktradokumentuChar1359">
    <w:name w:val="Štruktúra dokumentu Char1359"/>
    <w:aliases w:val="Char9 Char Char1360,Štruktúra dokumentu Char Char Char1360,Document Map Char Char Char1360"/>
    <w:uiPriority w:val="99"/>
    <w:semiHidden/>
    <w:rsid w:val="00A809E7"/>
    <w:rPr>
      <w:rFonts w:ascii="Tahoma" w:hAnsi="Tahoma"/>
      <w:sz w:val="16"/>
      <w:lang w:val="x-none" w:eastAsia="cs-CZ"/>
    </w:rPr>
  </w:style>
  <w:style w:type="character" w:customStyle="1" w:styleId="truktradokumentuChar1358">
    <w:name w:val="Štruktúra dokumentu Char1358"/>
    <w:aliases w:val="Char9 Char Char1359,Štruktúra dokumentu Char Char Char1359,Document Map Char Char Char1359"/>
    <w:uiPriority w:val="99"/>
    <w:semiHidden/>
    <w:rsid w:val="00A809E7"/>
    <w:rPr>
      <w:rFonts w:ascii="Tahoma" w:hAnsi="Tahoma"/>
      <w:sz w:val="16"/>
      <w:lang w:val="x-none" w:eastAsia="cs-CZ"/>
    </w:rPr>
  </w:style>
  <w:style w:type="character" w:customStyle="1" w:styleId="truktradokumentuChar1357">
    <w:name w:val="Štruktúra dokumentu Char1357"/>
    <w:aliases w:val="Char9 Char Char1358,Štruktúra dokumentu Char Char Char1358,Document Map Char Char Char1358"/>
    <w:uiPriority w:val="99"/>
    <w:semiHidden/>
    <w:rsid w:val="00A809E7"/>
    <w:rPr>
      <w:rFonts w:ascii="Tahoma" w:hAnsi="Tahoma"/>
      <w:sz w:val="16"/>
      <w:lang w:val="x-none" w:eastAsia="cs-CZ"/>
    </w:rPr>
  </w:style>
  <w:style w:type="character" w:customStyle="1" w:styleId="truktradokumentuChar1356">
    <w:name w:val="Štruktúra dokumentu Char1356"/>
    <w:aliases w:val="Char9 Char Char1357,Štruktúra dokumentu Char Char Char1357,Document Map Char Char Char1357"/>
    <w:uiPriority w:val="99"/>
    <w:semiHidden/>
    <w:rsid w:val="00A809E7"/>
    <w:rPr>
      <w:rFonts w:ascii="Tahoma" w:hAnsi="Tahoma"/>
      <w:sz w:val="16"/>
      <w:lang w:val="x-none" w:eastAsia="cs-CZ"/>
    </w:rPr>
  </w:style>
  <w:style w:type="character" w:customStyle="1" w:styleId="truktradokumentuChar1355">
    <w:name w:val="Štruktúra dokumentu Char1355"/>
    <w:aliases w:val="Char9 Char Char1356,Štruktúra dokumentu Char Char Char1356,Document Map Char Char Char1356"/>
    <w:uiPriority w:val="99"/>
    <w:semiHidden/>
    <w:rsid w:val="00A809E7"/>
    <w:rPr>
      <w:rFonts w:ascii="Tahoma" w:hAnsi="Tahoma"/>
      <w:sz w:val="16"/>
      <w:lang w:val="x-none" w:eastAsia="cs-CZ"/>
    </w:rPr>
  </w:style>
  <w:style w:type="character" w:customStyle="1" w:styleId="truktradokumentuChar1354">
    <w:name w:val="Štruktúra dokumentu Char1354"/>
    <w:aliases w:val="Char9 Char Char1355,Štruktúra dokumentu Char Char Char1355,Document Map Char Char Char1355"/>
    <w:uiPriority w:val="99"/>
    <w:semiHidden/>
    <w:rsid w:val="00A809E7"/>
    <w:rPr>
      <w:rFonts w:ascii="Tahoma" w:hAnsi="Tahoma"/>
      <w:sz w:val="16"/>
      <w:lang w:val="x-none" w:eastAsia="cs-CZ"/>
    </w:rPr>
  </w:style>
  <w:style w:type="character" w:customStyle="1" w:styleId="truktradokumentuChar1353">
    <w:name w:val="Štruktúra dokumentu Char1353"/>
    <w:aliases w:val="Char9 Char Char1354,Štruktúra dokumentu Char Char Char1354,Document Map Char Char Char1354"/>
    <w:uiPriority w:val="99"/>
    <w:semiHidden/>
    <w:rsid w:val="00A809E7"/>
    <w:rPr>
      <w:rFonts w:ascii="Tahoma" w:hAnsi="Tahoma"/>
      <w:sz w:val="16"/>
      <w:lang w:val="x-none" w:eastAsia="cs-CZ"/>
    </w:rPr>
  </w:style>
  <w:style w:type="character" w:customStyle="1" w:styleId="truktradokumentuChar1352">
    <w:name w:val="Štruktúra dokumentu Char1352"/>
    <w:aliases w:val="Char9 Char Char1353,Štruktúra dokumentu Char Char Char1353,Document Map Char Char Char1353"/>
    <w:uiPriority w:val="99"/>
    <w:semiHidden/>
    <w:rsid w:val="00A809E7"/>
    <w:rPr>
      <w:rFonts w:ascii="Tahoma" w:hAnsi="Tahoma"/>
      <w:sz w:val="16"/>
      <w:lang w:val="x-none" w:eastAsia="cs-CZ"/>
    </w:rPr>
  </w:style>
  <w:style w:type="character" w:customStyle="1" w:styleId="truktradokumentuChar1351">
    <w:name w:val="Štruktúra dokumentu Char1351"/>
    <w:aliases w:val="Char9 Char Char1352,Štruktúra dokumentu Char Char Char1352,Document Map Char Char Char1352"/>
    <w:uiPriority w:val="99"/>
    <w:semiHidden/>
    <w:rsid w:val="00A809E7"/>
    <w:rPr>
      <w:rFonts w:ascii="Tahoma" w:hAnsi="Tahoma"/>
      <w:sz w:val="16"/>
      <w:lang w:val="x-none" w:eastAsia="cs-CZ"/>
    </w:rPr>
  </w:style>
  <w:style w:type="character" w:customStyle="1" w:styleId="truktradokumentuChar1350">
    <w:name w:val="Štruktúra dokumentu Char1350"/>
    <w:aliases w:val="Char9 Char Char1351,Štruktúra dokumentu Char Char Char1351,Document Map Char Char Char1351"/>
    <w:uiPriority w:val="99"/>
    <w:semiHidden/>
    <w:rsid w:val="00A809E7"/>
    <w:rPr>
      <w:rFonts w:ascii="Tahoma" w:hAnsi="Tahoma"/>
      <w:sz w:val="16"/>
      <w:lang w:val="x-none" w:eastAsia="cs-CZ"/>
    </w:rPr>
  </w:style>
  <w:style w:type="character" w:customStyle="1" w:styleId="truktradokumentuChar1349">
    <w:name w:val="Štruktúra dokumentu Char1349"/>
    <w:aliases w:val="Char9 Char Char1350,Štruktúra dokumentu Char Char Char1350,Document Map Char Char Char1350"/>
    <w:uiPriority w:val="99"/>
    <w:semiHidden/>
    <w:rsid w:val="00A809E7"/>
    <w:rPr>
      <w:rFonts w:ascii="Tahoma" w:hAnsi="Tahoma"/>
      <w:sz w:val="16"/>
      <w:lang w:val="x-none" w:eastAsia="cs-CZ"/>
    </w:rPr>
  </w:style>
  <w:style w:type="character" w:customStyle="1" w:styleId="truktradokumentuChar1348">
    <w:name w:val="Štruktúra dokumentu Char1348"/>
    <w:aliases w:val="Char9 Char Char1349,Štruktúra dokumentu Char Char Char1349,Document Map Char Char Char1349"/>
    <w:uiPriority w:val="99"/>
    <w:semiHidden/>
    <w:rsid w:val="00A809E7"/>
    <w:rPr>
      <w:rFonts w:ascii="Tahoma" w:hAnsi="Tahoma"/>
      <w:sz w:val="16"/>
      <w:lang w:val="x-none" w:eastAsia="cs-CZ"/>
    </w:rPr>
  </w:style>
  <w:style w:type="character" w:customStyle="1" w:styleId="truktradokumentuChar1347">
    <w:name w:val="Štruktúra dokumentu Char1347"/>
    <w:aliases w:val="Char9 Char Char1348,Štruktúra dokumentu Char Char Char1348,Document Map Char Char Char1348"/>
    <w:uiPriority w:val="99"/>
    <w:semiHidden/>
    <w:rsid w:val="00A809E7"/>
    <w:rPr>
      <w:rFonts w:ascii="Tahoma" w:hAnsi="Tahoma"/>
      <w:sz w:val="16"/>
      <w:lang w:val="x-none" w:eastAsia="cs-CZ"/>
    </w:rPr>
  </w:style>
  <w:style w:type="character" w:customStyle="1" w:styleId="truktradokumentuChar1346">
    <w:name w:val="Štruktúra dokumentu Char1346"/>
    <w:aliases w:val="Char9 Char Char1347,Štruktúra dokumentu Char Char Char1347,Document Map Char Char Char1347"/>
    <w:uiPriority w:val="99"/>
    <w:semiHidden/>
    <w:rsid w:val="00A809E7"/>
    <w:rPr>
      <w:rFonts w:ascii="Tahoma" w:hAnsi="Tahoma"/>
      <w:sz w:val="16"/>
      <w:lang w:val="x-none" w:eastAsia="cs-CZ"/>
    </w:rPr>
  </w:style>
  <w:style w:type="character" w:customStyle="1" w:styleId="truktradokumentuChar1345">
    <w:name w:val="Štruktúra dokumentu Char1345"/>
    <w:aliases w:val="Char9 Char Char1346,Štruktúra dokumentu Char Char Char1346,Document Map Char Char Char1346"/>
    <w:uiPriority w:val="99"/>
    <w:semiHidden/>
    <w:rsid w:val="00A809E7"/>
    <w:rPr>
      <w:rFonts w:ascii="Tahoma" w:hAnsi="Tahoma"/>
      <w:sz w:val="16"/>
      <w:lang w:val="x-none" w:eastAsia="cs-CZ"/>
    </w:rPr>
  </w:style>
  <w:style w:type="character" w:customStyle="1" w:styleId="truktradokumentuChar1344">
    <w:name w:val="Štruktúra dokumentu Char1344"/>
    <w:aliases w:val="Char9 Char Char1345,Štruktúra dokumentu Char Char Char1345,Document Map Char Char Char1345"/>
    <w:uiPriority w:val="99"/>
    <w:semiHidden/>
    <w:rsid w:val="00A809E7"/>
    <w:rPr>
      <w:rFonts w:ascii="Tahoma" w:hAnsi="Tahoma"/>
      <w:sz w:val="16"/>
      <w:lang w:val="x-none" w:eastAsia="cs-CZ"/>
    </w:rPr>
  </w:style>
  <w:style w:type="character" w:customStyle="1" w:styleId="truktradokumentuChar1343">
    <w:name w:val="Štruktúra dokumentu Char1343"/>
    <w:aliases w:val="Char9 Char Char1344,Štruktúra dokumentu Char Char Char1344,Document Map Char Char Char1344"/>
    <w:uiPriority w:val="99"/>
    <w:semiHidden/>
    <w:rsid w:val="00A809E7"/>
    <w:rPr>
      <w:rFonts w:ascii="Tahoma" w:hAnsi="Tahoma"/>
      <w:sz w:val="16"/>
      <w:lang w:val="x-none" w:eastAsia="cs-CZ"/>
    </w:rPr>
  </w:style>
  <w:style w:type="character" w:customStyle="1" w:styleId="truktradokumentuChar1342">
    <w:name w:val="Štruktúra dokumentu Char1342"/>
    <w:aliases w:val="Char9 Char Char1343,Štruktúra dokumentu Char Char Char1343,Document Map Char Char Char1343"/>
    <w:uiPriority w:val="99"/>
    <w:semiHidden/>
    <w:rsid w:val="00A809E7"/>
    <w:rPr>
      <w:rFonts w:ascii="Tahoma" w:hAnsi="Tahoma"/>
      <w:sz w:val="16"/>
      <w:lang w:val="x-none" w:eastAsia="cs-CZ"/>
    </w:rPr>
  </w:style>
  <w:style w:type="character" w:customStyle="1" w:styleId="truktradokumentuChar1341">
    <w:name w:val="Štruktúra dokumentu Char1341"/>
    <w:aliases w:val="Char9 Char Char1342,Štruktúra dokumentu Char Char Char1342,Document Map Char Char Char1342"/>
    <w:uiPriority w:val="99"/>
    <w:semiHidden/>
    <w:rsid w:val="00A809E7"/>
    <w:rPr>
      <w:rFonts w:ascii="Tahoma" w:hAnsi="Tahoma"/>
      <w:sz w:val="16"/>
      <w:lang w:val="x-none" w:eastAsia="cs-CZ"/>
    </w:rPr>
  </w:style>
  <w:style w:type="character" w:customStyle="1" w:styleId="truktradokumentuChar1340">
    <w:name w:val="Štruktúra dokumentu Char1340"/>
    <w:aliases w:val="Char9 Char Char1341,Štruktúra dokumentu Char Char Char1341,Document Map Char Char Char1341"/>
    <w:uiPriority w:val="99"/>
    <w:semiHidden/>
    <w:rsid w:val="00A809E7"/>
    <w:rPr>
      <w:rFonts w:ascii="Tahoma" w:hAnsi="Tahoma"/>
      <w:sz w:val="16"/>
      <w:lang w:val="x-none" w:eastAsia="cs-CZ"/>
    </w:rPr>
  </w:style>
  <w:style w:type="character" w:customStyle="1" w:styleId="truktradokumentuChar1339">
    <w:name w:val="Štruktúra dokumentu Char1339"/>
    <w:aliases w:val="Char9 Char Char1340,Štruktúra dokumentu Char Char Char1340,Document Map Char Char Char1340"/>
    <w:uiPriority w:val="99"/>
    <w:semiHidden/>
    <w:rsid w:val="00A809E7"/>
    <w:rPr>
      <w:rFonts w:ascii="Tahoma" w:hAnsi="Tahoma"/>
      <w:sz w:val="16"/>
      <w:lang w:val="x-none" w:eastAsia="cs-CZ"/>
    </w:rPr>
  </w:style>
  <w:style w:type="character" w:customStyle="1" w:styleId="truktradokumentuChar1338">
    <w:name w:val="Štruktúra dokumentu Char1338"/>
    <w:aliases w:val="Char9 Char Char1339,Štruktúra dokumentu Char Char Char1339,Document Map Char Char Char1339"/>
    <w:uiPriority w:val="99"/>
    <w:semiHidden/>
    <w:rsid w:val="00A809E7"/>
    <w:rPr>
      <w:rFonts w:ascii="Tahoma" w:hAnsi="Tahoma"/>
      <w:sz w:val="16"/>
      <w:lang w:val="x-none" w:eastAsia="cs-CZ"/>
    </w:rPr>
  </w:style>
  <w:style w:type="character" w:customStyle="1" w:styleId="truktradokumentuChar1337">
    <w:name w:val="Štruktúra dokumentu Char1337"/>
    <w:aliases w:val="Char9 Char Char1338,Štruktúra dokumentu Char Char Char1338,Document Map Char Char Char1338"/>
    <w:uiPriority w:val="99"/>
    <w:semiHidden/>
    <w:rsid w:val="00A809E7"/>
    <w:rPr>
      <w:rFonts w:ascii="Tahoma" w:hAnsi="Tahoma"/>
      <w:sz w:val="16"/>
      <w:lang w:val="x-none" w:eastAsia="cs-CZ"/>
    </w:rPr>
  </w:style>
  <w:style w:type="character" w:customStyle="1" w:styleId="truktradokumentuChar1336">
    <w:name w:val="Štruktúra dokumentu Char1336"/>
    <w:aliases w:val="Char9 Char Char1337,Štruktúra dokumentu Char Char Char1337,Document Map Char Char Char1337"/>
    <w:uiPriority w:val="99"/>
    <w:semiHidden/>
    <w:rsid w:val="00A809E7"/>
    <w:rPr>
      <w:rFonts w:ascii="Tahoma" w:hAnsi="Tahoma"/>
      <w:sz w:val="16"/>
      <w:lang w:val="x-none" w:eastAsia="cs-CZ"/>
    </w:rPr>
  </w:style>
  <w:style w:type="character" w:customStyle="1" w:styleId="truktradokumentuChar1335">
    <w:name w:val="Štruktúra dokumentu Char1335"/>
    <w:aliases w:val="Char9 Char Char1336,Štruktúra dokumentu Char Char Char1336,Document Map Char Char Char1336"/>
    <w:uiPriority w:val="99"/>
    <w:semiHidden/>
    <w:rsid w:val="00A809E7"/>
    <w:rPr>
      <w:rFonts w:ascii="Tahoma" w:hAnsi="Tahoma"/>
      <w:sz w:val="16"/>
      <w:lang w:val="x-none" w:eastAsia="cs-CZ"/>
    </w:rPr>
  </w:style>
  <w:style w:type="character" w:customStyle="1" w:styleId="truktradokumentuChar1334">
    <w:name w:val="Štruktúra dokumentu Char1334"/>
    <w:aliases w:val="Char9 Char Char1335,Štruktúra dokumentu Char Char Char1335,Document Map Char Char Char1335"/>
    <w:uiPriority w:val="99"/>
    <w:semiHidden/>
    <w:rsid w:val="00A809E7"/>
    <w:rPr>
      <w:rFonts w:ascii="Tahoma" w:hAnsi="Tahoma"/>
      <w:sz w:val="16"/>
      <w:lang w:val="x-none" w:eastAsia="cs-CZ"/>
    </w:rPr>
  </w:style>
  <w:style w:type="character" w:customStyle="1" w:styleId="truktradokumentuChar1333">
    <w:name w:val="Štruktúra dokumentu Char1333"/>
    <w:aliases w:val="Char9 Char Char1334,Štruktúra dokumentu Char Char Char1334,Document Map Char Char Char1334"/>
    <w:uiPriority w:val="99"/>
    <w:semiHidden/>
    <w:rsid w:val="00A809E7"/>
    <w:rPr>
      <w:rFonts w:ascii="Tahoma" w:hAnsi="Tahoma"/>
      <w:sz w:val="16"/>
      <w:lang w:val="x-none" w:eastAsia="cs-CZ"/>
    </w:rPr>
  </w:style>
  <w:style w:type="character" w:customStyle="1" w:styleId="truktradokumentuChar1332">
    <w:name w:val="Štruktúra dokumentu Char1332"/>
    <w:aliases w:val="Char9 Char Char1333,Štruktúra dokumentu Char Char Char1333,Document Map Char Char Char1333"/>
    <w:uiPriority w:val="99"/>
    <w:semiHidden/>
    <w:rsid w:val="00A809E7"/>
    <w:rPr>
      <w:rFonts w:ascii="Tahoma" w:hAnsi="Tahoma"/>
      <w:sz w:val="16"/>
      <w:lang w:val="x-none" w:eastAsia="cs-CZ"/>
    </w:rPr>
  </w:style>
  <w:style w:type="character" w:customStyle="1" w:styleId="truktradokumentuChar1331">
    <w:name w:val="Štruktúra dokumentu Char1331"/>
    <w:aliases w:val="Char9 Char Char1332,Štruktúra dokumentu Char Char Char1332,Document Map Char Char Char1332"/>
    <w:uiPriority w:val="99"/>
    <w:semiHidden/>
    <w:rsid w:val="00A809E7"/>
    <w:rPr>
      <w:rFonts w:ascii="Tahoma" w:hAnsi="Tahoma"/>
      <w:sz w:val="16"/>
      <w:lang w:val="x-none" w:eastAsia="cs-CZ"/>
    </w:rPr>
  </w:style>
  <w:style w:type="character" w:customStyle="1" w:styleId="truktradokumentuChar1330">
    <w:name w:val="Štruktúra dokumentu Char1330"/>
    <w:aliases w:val="Char9 Char Char1331,Štruktúra dokumentu Char Char Char1331,Document Map Char Char Char1331"/>
    <w:uiPriority w:val="99"/>
    <w:semiHidden/>
    <w:rsid w:val="00A809E7"/>
    <w:rPr>
      <w:rFonts w:ascii="Tahoma" w:hAnsi="Tahoma"/>
      <w:sz w:val="16"/>
      <w:lang w:val="x-none" w:eastAsia="cs-CZ"/>
    </w:rPr>
  </w:style>
  <w:style w:type="character" w:customStyle="1" w:styleId="truktradokumentuChar1329">
    <w:name w:val="Štruktúra dokumentu Char1329"/>
    <w:aliases w:val="Char9 Char Char1330,Štruktúra dokumentu Char Char Char1330,Document Map Char Char Char1330"/>
    <w:uiPriority w:val="99"/>
    <w:semiHidden/>
    <w:rsid w:val="00A809E7"/>
    <w:rPr>
      <w:rFonts w:ascii="Tahoma" w:hAnsi="Tahoma"/>
      <w:sz w:val="16"/>
      <w:lang w:val="x-none" w:eastAsia="cs-CZ"/>
    </w:rPr>
  </w:style>
  <w:style w:type="character" w:customStyle="1" w:styleId="truktradokumentuChar1328">
    <w:name w:val="Štruktúra dokumentu Char1328"/>
    <w:aliases w:val="Char9 Char Char1329,Štruktúra dokumentu Char Char Char1329,Document Map Char Char Char1329"/>
    <w:uiPriority w:val="99"/>
    <w:semiHidden/>
    <w:rsid w:val="00A809E7"/>
    <w:rPr>
      <w:rFonts w:ascii="Tahoma" w:hAnsi="Tahoma"/>
      <w:sz w:val="16"/>
      <w:lang w:val="x-none" w:eastAsia="cs-CZ"/>
    </w:rPr>
  </w:style>
  <w:style w:type="character" w:customStyle="1" w:styleId="truktradokumentuChar1327">
    <w:name w:val="Štruktúra dokumentu Char1327"/>
    <w:aliases w:val="Char9 Char Char1328,Štruktúra dokumentu Char Char Char1328,Document Map Char Char Char1328"/>
    <w:uiPriority w:val="99"/>
    <w:semiHidden/>
    <w:rsid w:val="00A809E7"/>
    <w:rPr>
      <w:rFonts w:ascii="Tahoma" w:hAnsi="Tahoma"/>
      <w:sz w:val="16"/>
      <w:lang w:val="x-none" w:eastAsia="cs-CZ"/>
    </w:rPr>
  </w:style>
  <w:style w:type="character" w:customStyle="1" w:styleId="truktradokumentuChar1326">
    <w:name w:val="Štruktúra dokumentu Char1326"/>
    <w:aliases w:val="Char9 Char Char1327,Štruktúra dokumentu Char Char Char1327,Document Map Char Char Char1327"/>
    <w:uiPriority w:val="99"/>
    <w:semiHidden/>
    <w:rsid w:val="00A809E7"/>
    <w:rPr>
      <w:rFonts w:ascii="Tahoma" w:hAnsi="Tahoma"/>
      <w:sz w:val="16"/>
      <w:lang w:val="x-none" w:eastAsia="cs-CZ"/>
    </w:rPr>
  </w:style>
  <w:style w:type="character" w:customStyle="1" w:styleId="truktradokumentuChar1325">
    <w:name w:val="Štruktúra dokumentu Char1325"/>
    <w:aliases w:val="Char9 Char Char1326,Štruktúra dokumentu Char Char Char1326,Document Map Char Char Char1326"/>
    <w:uiPriority w:val="99"/>
    <w:semiHidden/>
    <w:rsid w:val="00A809E7"/>
    <w:rPr>
      <w:rFonts w:ascii="Tahoma" w:hAnsi="Tahoma"/>
      <w:sz w:val="16"/>
      <w:lang w:val="x-none" w:eastAsia="cs-CZ"/>
    </w:rPr>
  </w:style>
  <w:style w:type="character" w:customStyle="1" w:styleId="truktradokumentuChar1324">
    <w:name w:val="Štruktúra dokumentu Char1324"/>
    <w:aliases w:val="Char9 Char Char1325,Štruktúra dokumentu Char Char Char1325,Document Map Char Char Char1325"/>
    <w:uiPriority w:val="99"/>
    <w:semiHidden/>
    <w:rsid w:val="00A809E7"/>
    <w:rPr>
      <w:rFonts w:ascii="Tahoma" w:hAnsi="Tahoma"/>
      <w:sz w:val="16"/>
      <w:lang w:val="x-none" w:eastAsia="cs-CZ"/>
    </w:rPr>
  </w:style>
  <w:style w:type="character" w:customStyle="1" w:styleId="truktradokumentuChar1323">
    <w:name w:val="Štruktúra dokumentu Char1323"/>
    <w:aliases w:val="Char9 Char Char1324,Štruktúra dokumentu Char Char Char1324,Document Map Char Char Char1324"/>
    <w:uiPriority w:val="99"/>
    <w:semiHidden/>
    <w:rsid w:val="00A809E7"/>
    <w:rPr>
      <w:rFonts w:ascii="Tahoma" w:hAnsi="Tahoma"/>
      <w:sz w:val="16"/>
      <w:lang w:val="x-none" w:eastAsia="cs-CZ"/>
    </w:rPr>
  </w:style>
  <w:style w:type="character" w:customStyle="1" w:styleId="truktradokumentuChar1322">
    <w:name w:val="Štruktúra dokumentu Char1322"/>
    <w:aliases w:val="Char9 Char Char1323,Štruktúra dokumentu Char Char Char1323,Document Map Char Char Char1323"/>
    <w:uiPriority w:val="99"/>
    <w:semiHidden/>
    <w:rsid w:val="00A809E7"/>
    <w:rPr>
      <w:rFonts w:ascii="Tahoma" w:hAnsi="Tahoma"/>
      <w:sz w:val="16"/>
      <w:lang w:val="x-none" w:eastAsia="cs-CZ"/>
    </w:rPr>
  </w:style>
  <w:style w:type="character" w:customStyle="1" w:styleId="truktradokumentuChar1321">
    <w:name w:val="Štruktúra dokumentu Char1321"/>
    <w:aliases w:val="Char9 Char Char1322,Štruktúra dokumentu Char Char Char1322,Document Map Char Char Char1322"/>
    <w:uiPriority w:val="99"/>
    <w:semiHidden/>
    <w:rsid w:val="00A809E7"/>
    <w:rPr>
      <w:rFonts w:ascii="Tahoma" w:hAnsi="Tahoma"/>
      <w:sz w:val="16"/>
      <w:lang w:val="x-none" w:eastAsia="cs-CZ"/>
    </w:rPr>
  </w:style>
  <w:style w:type="character" w:customStyle="1" w:styleId="truktradokumentuChar1320">
    <w:name w:val="Štruktúra dokumentu Char1320"/>
    <w:aliases w:val="Char9 Char Char1321,Štruktúra dokumentu Char Char Char1321,Document Map Char Char Char1321"/>
    <w:uiPriority w:val="99"/>
    <w:semiHidden/>
    <w:rsid w:val="00A809E7"/>
    <w:rPr>
      <w:rFonts w:ascii="Tahoma" w:hAnsi="Tahoma"/>
      <w:sz w:val="16"/>
      <w:lang w:val="x-none" w:eastAsia="cs-CZ"/>
    </w:rPr>
  </w:style>
  <w:style w:type="character" w:customStyle="1" w:styleId="truktradokumentuChar1319">
    <w:name w:val="Štruktúra dokumentu Char1319"/>
    <w:aliases w:val="Char9 Char Char1320,Štruktúra dokumentu Char Char Char1320,Document Map Char Char Char1320"/>
    <w:uiPriority w:val="99"/>
    <w:semiHidden/>
    <w:rsid w:val="00A809E7"/>
    <w:rPr>
      <w:rFonts w:ascii="Tahoma" w:hAnsi="Tahoma"/>
      <w:sz w:val="16"/>
      <w:lang w:val="x-none" w:eastAsia="cs-CZ"/>
    </w:rPr>
  </w:style>
  <w:style w:type="character" w:customStyle="1" w:styleId="truktradokumentuChar1318">
    <w:name w:val="Štruktúra dokumentu Char1318"/>
    <w:aliases w:val="Char9 Char Char1319,Štruktúra dokumentu Char Char Char1319,Document Map Char Char Char1319"/>
    <w:uiPriority w:val="99"/>
    <w:semiHidden/>
    <w:rsid w:val="00A809E7"/>
    <w:rPr>
      <w:rFonts w:ascii="Tahoma" w:hAnsi="Tahoma"/>
      <w:sz w:val="16"/>
      <w:lang w:val="x-none" w:eastAsia="cs-CZ"/>
    </w:rPr>
  </w:style>
  <w:style w:type="character" w:customStyle="1" w:styleId="truktradokumentuChar1317">
    <w:name w:val="Štruktúra dokumentu Char1317"/>
    <w:aliases w:val="Char9 Char Char1318,Štruktúra dokumentu Char Char Char1318,Document Map Char Char Char1318"/>
    <w:uiPriority w:val="99"/>
    <w:semiHidden/>
    <w:rsid w:val="00A809E7"/>
    <w:rPr>
      <w:rFonts w:ascii="Tahoma" w:hAnsi="Tahoma"/>
      <w:sz w:val="16"/>
      <w:lang w:val="x-none" w:eastAsia="cs-CZ"/>
    </w:rPr>
  </w:style>
  <w:style w:type="character" w:customStyle="1" w:styleId="truktradokumentuChar1316">
    <w:name w:val="Štruktúra dokumentu Char1316"/>
    <w:aliases w:val="Char9 Char Char1317,Štruktúra dokumentu Char Char Char1317,Document Map Char Char Char1317"/>
    <w:uiPriority w:val="99"/>
    <w:semiHidden/>
    <w:rsid w:val="00A809E7"/>
    <w:rPr>
      <w:rFonts w:ascii="Tahoma" w:hAnsi="Tahoma"/>
      <w:sz w:val="16"/>
      <w:lang w:val="x-none" w:eastAsia="cs-CZ"/>
    </w:rPr>
  </w:style>
  <w:style w:type="character" w:customStyle="1" w:styleId="truktradokumentuChar1315">
    <w:name w:val="Štruktúra dokumentu Char1315"/>
    <w:aliases w:val="Char9 Char Char1316,Štruktúra dokumentu Char Char Char1316,Document Map Char Char Char1316"/>
    <w:uiPriority w:val="99"/>
    <w:semiHidden/>
    <w:rsid w:val="00A809E7"/>
    <w:rPr>
      <w:rFonts w:ascii="Tahoma" w:hAnsi="Tahoma"/>
      <w:sz w:val="16"/>
      <w:lang w:val="x-none" w:eastAsia="cs-CZ"/>
    </w:rPr>
  </w:style>
  <w:style w:type="character" w:customStyle="1" w:styleId="truktradokumentuChar1314">
    <w:name w:val="Štruktúra dokumentu Char1314"/>
    <w:aliases w:val="Char9 Char Char1315,Štruktúra dokumentu Char Char Char1315,Document Map Char Char Char1315"/>
    <w:uiPriority w:val="99"/>
    <w:semiHidden/>
    <w:rsid w:val="00A809E7"/>
    <w:rPr>
      <w:rFonts w:ascii="Tahoma" w:hAnsi="Tahoma"/>
      <w:sz w:val="16"/>
      <w:lang w:val="x-none" w:eastAsia="cs-CZ"/>
    </w:rPr>
  </w:style>
  <w:style w:type="character" w:customStyle="1" w:styleId="truktradokumentuChar1313">
    <w:name w:val="Štruktúra dokumentu Char1313"/>
    <w:aliases w:val="Char9 Char Char1314,Štruktúra dokumentu Char Char Char1314,Document Map Char Char Char1314"/>
    <w:uiPriority w:val="99"/>
    <w:semiHidden/>
    <w:rsid w:val="00A809E7"/>
    <w:rPr>
      <w:rFonts w:ascii="Tahoma" w:hAnsi="Tahoma"/>
      <w:sz w:val="16"/>
      <w:lang w:val="x-none" w:eastAsia="cs-CZ"/>
    </w:rPr>
  </w:style>
  <w:style w:type="character" w:customStyle="1" w:styleId="truktradokumentuChar1312">
    <w:name w:val="Štruktúra dokumentu Char1312"/>
    <w:aliases w:val="Char9 Char Char1313,Štruktúra dokumentu Char Char Char1313,Document Map Char Char Char1313"/>
    <w:uiPriority w:val="99"/>
    <w:semiHidden/>
    <w:rsid w:val="00A809E7"/>
    <w:rPr>
      <w:rFonts w:ascii="Tahoma" w:hAnsi="Tahoma"/>
      <w:sz w:val="16"/>
      <w:lang w:val="x-none" w:eastAsia="cs-CZ"/>
    </w:rPr>
  </w:style>
  <w:style w:type="character" w:customStyle="1" w:styleId="truktradokumentuChar1311">
    <w:name w:val="Štruktúra dokumentu Char1311"/>
    <w:aliases w:val="Char9 Char Char1312,Štruktúra dokumentu Char Char Char1312,Document Map Char Char Char1312"/>
    <w:uiPriority w:val="99"/>
    <w:semiHidden/>
    <w:rsid w:val="00A809E7"/>
    <w:rPr>
      <w:rFonts w:ascii="Tahoma" w:hAnsi="Tahoma"/>
      <w:sz w:val="16"/>
      <w:lang w:val="x-none" w:eastAsia="cs-CZ"/>
    </w:rPr>
  </w:style>
  <w:style w:type="character" w:customStyle="1" w:styleId="truktradokumentuChar1310">
    <w:name w:val="Štruktúra dokumentu Char1310"/>
    <w:aliases w:val="Char9 Char Char1311,Štruktúra dokumentu Char Char Char1311,Document Map Char Char Char1311"/>
    <w:uiPriority w:val="99"/>
    <w:semiHidden/>
    <w:rsid w:val="00A809E7"/>
    <w:rPr>
      <w:rFonts w:ascii="Tahoma" w:hAnsi="Tahoma"/>
      <w:sz w:val="16"/>
      <w:lang w:val="x-none" w:eastAsia="cs-CZ"/>
    </w:rPr>
  </w:style>
  <w:style w:type="character" w:customStyle="1" w:styleId="truktradokumentuChar1309">
    <w:name w:val="Štruktúra dokumentu Char1309"/>
    <w:aliases w:val="Char9 Char Char1310,Štruktúra dokumentu Char Char Char1310,Document Map Char Char Char1310"/>
    <w:uiPriority w:val="99"/>
    <w:semiHidden/>
    <w:rsid w:val="00A809E7"/>
    <w:rPr>
      <w:rFonts w:ascii="Tahoma" w:hAnsi="Tahoma"/>
      <w:sz w:val="16"/>
      <w:lang w:val="x-none" w:eastAsia="cs-CZ"/>
    </w:rPr>
  </w:style>
  <w:style w:type="character" w:customStyle="1" w:styleId="truktradokumentuChar1308">
    <w:name w:val="Štruktúra dokumentu Char1308"/>
    <w:aliases w:val="Char9 Char Char1309,Štruktúra dokumentu Char Char Char1309,Document Map Char Char Char1309"/>
    <w:uiPriority w:val="99"/>
    <w:semiHidden/>
    <w:rsid w:val="00A809E7"/>
    <w:rPr>
      <w:rFonts w:ascii="Tahoma" w:hAnsi="Tahoma"/>
      <w:sz w:val="16"/>
      <w:lang w:val="x-none" w:eastAsia="cs-CZ"/>
    </w:rPr>
  </w:style>
  <w:style w:type="character" w:customStyle="1" w:styleId="truktradokumentuChar1307">
    <w:name w:val="Štruktúra dokumentu Char1307"/>
    <w:aliases w:val="Char9 Char Char1308,Štruktúra dokumentu Char Char Char1308,Document Map Char Char Char1308"/>
    <w:uiPriority w:val="99"/>
    <w:semiHidden/>
    <w:rsid w:val="00A809E7"/>
    <w:rPr>
      <w:rFonts w:ascii="Tahoma" w:hAnsi="Tahoma"/>
      <w:sz w:val="16"/>
      <w:lang w:val="x-none" w:eastAsia="cs-CZ"/>
    </w:rPr>
  </w:style>
  <w:style w:type="character" w:customStyle="1" w:styleId="truktradokumentuChar1306">
    <w:name w:val="Štruktúra dokumentu Char1306"/>
    <w:aliases w:val="Char9 Char Char1307,Štruktúra dokumentu Char Char Char1307,Document Map Char Char Char1307"/>
    <w:uiPriority w:val="99"/>
    <w:semiHidden/>
    <w:rsid w:val="00A809E7"/>
    <w:rPr>
      <w:rFonts w:ascii="Tahoma" w:hAnsi="Tahoma"/>
      <w:sz w:val="16"/>
      <w:lang w:val="x-none" w:eastAsia="cs-CZ"/>
    </w:rPr>
  </w:style>
  <w:style w:type="character" w:customStyle="1" w:styleId="truktradokumentuChar1305">
    <w:name w:val="Štruktúra dokumentu Char1305"/>
    <w:aliases w:val="Char9 Char Char1306,Štruktúra dokumentu Char Char Char1306,Document Map Char Char Char1306"/>
    <w:uiPriority w:val="99"/>
    <w:semiHidden/>
    <w:rsid w:val="00A809E7"/>
    <w:rPr>
      <w:rFonts w:ascii="Tahoma" w:hAnsi="Tahoma"/>
      <w:sz w:val="16"/>
      <w:lang w:val="x-none" w:eastAsia="cs-CZ"/>
    </w:rPr>
  </w:style>
  <w:style w:type="character" w:customStyle="1" w:styleId="truktradokumentuChar1304">
    <w:name w:val="Štruktúra dokumentu Char1304"/>
    <w:aliases w:val="Char9 Char Char1305,Štruktúra dokumentu Char Char Char1305,Document Map Char Char Char1305"/>
    <w:uiPriority w:val="99"/>
    <w:semiHidden/>
    <w:rsid w:val="00A809E7"/>
    <w:rPr>
      <w:rFonts w:ascii="Tahoma" w:hAnsi="Tahoma"/>
      <w:sz w:val="16"/>
      <w:lang w:val="x-none" w:eastAsia="cs-CZ"/>
    </w:rPr>
  </w:style>
  <w:style w:type="character" w:customStyle="1" w:styleId="truktradokumentuChar1303">
    <w:name w:val="Štruktúra dokumentu Char1303"/>
    <w:aliases w:val="Char9 Char Char1304,Štruktúra dokumentu Char Char Char1304,Document Map Char Char Char1304"/>
    <w:uiPriority w:val="99"/>
    <w:semiHidden/>
    <w:rsid w:val="00A809E7"/>
    <w:rPr>
      <w:rFonts w:ascii="Tahoma" w:hAnsi="Tahoma"/>
      <w:sz w:val="16"/>
      <w:lang w:val="x-none" w:eastAsia="cs-CZ"/>
    </w:rPr>
  </w:style>
  <w:style w:type="character" w:customStyle="1" w:styleId="truktradokumentuChar1302">
    <w:name w:val="Štruktúra dokumentu Char1302"/>
    <w:aliases w:val="Char9 Char Char1303,Štruktúra dokumentu Char Char Char1303,Document Map Char Char Char1303"/>
    <w:uiPriority w:val="99"/>
    <w:semiHidden/>
    <w:rsid w:val="00A809E7"/>
    <w:rPr>
      <w:rFonts w:ascii="Tahoma" w:hAnsi="Tahoma"/>
      <w:sz w:val="16"/>
      <w:lang w:val="x-none" w:eastAsia="cs-CZ"/>
    </w:rPr>
  </w:style>
  <w:style w:type="character" w:customStyle="1" w:styleId="truktradokumentuChar1301">
    <w:name w:val="Štruktúra dokumentu Char1301"/>
    <w:aliases w:val="Char9 Char Char1302,Štruktúra dokumentu Char Char Char1302,Document Map Char Char Char1302"/>
    <w:uiPriority w:val="99"/>
    <w:semiHidden/>
    <w:rsid w:val="00A809E7"/>
    <w:rPr>
      <w:rFonts w:ascii="Tahoma" w:hAnsi="Tahoma"/>
      <w:sz w:val="16"/>
      <w:lang w:val="x-none" w:eastAsia="cs-CZ"/>
    </w:rPr>
  </w:style>
  <w:style w:type="character" w:customStyle="1" w:styleId="truktradokumentuChar1300">
    <w:name w:val="Štruktúra dokumentu Char1300"/>
    <w:aliases w:val="Char9 Char Char1301,Štruktúra dokumentu Char Char Char1301,Document Map Char Char Char1301"/>
    <w:uiPriority w:val="99"/>
    <w:semiHidden/>
    <w:rsid w:val="00A809E7"/>
    <w:rPr>
      <w:rFonts w:ascii="Tahoma" w:hAnsi="Tahoma"/>
      <w:sz w:val="16"/>
      <w:lang w:val="x-none" w:eastAsia="cs-CZ"/>
    </w:rPr>
  </w:style>
  <w:style w:type="character" w:customStyle="1" w:styleId="truktradokumentuChar1299">
    <w:name w:val="Štruktúra dokumentu Char1299"/>
    <w:aliases w:val="Char9 Char Char1300,Štruktúra dokumentu Char Char Char1300,Document Map Char Char Char1300"/>
    <w:uiPriority w:val="99"/>
    <w:semiHidden/>
    <w:rsid w:val="00A809E7"/>
    <w:rPr>
      <w:rFonts w:ascii="Tahoma" w:hAnsi="Tahoma"/>
      <w:sz w:val="16"/>
      <w:lang w:val="x-none" w:eastAsia="cs-CZ"/>
    </w:rPr>
  </w:style>
  <w:style w:type="character" w:customStyle="1" w:styleId="truktradokumentuChar1298">
    <w:name w:val="Štruktúra dokumentu Char1298"/>
    <w:aliases w:val="Char9 Char Char1299,Štruktúra dokumentu Char Char Char1299,Document Map Char Char Char1299"/>
    <w:uiPriority w:val="99"/>
    <w:semiHidden/>
    <w:rsid w:val="00A809E7"/>
    <w:rPr>
      <w:rFonts w:ascii="Tahoma" w:hAnsi="Tahoma"/>
      <w:sz w:val="16"/>
      <w:lang w:val="x-none" w:eastAsia="cs-CZ"/>
    </w:rPr>
  </w:style>
  <w:style w:type="character" w:customStyle="1" w:styleId="truktradokumentuChar1297">
    <w:name w:val="Štruktúra dokumentu Char1297"/>
    <w:aliases w:val="Char9 Char Char1298,Štruktúra dokumentu Char Char Char1298,Document Map Char Char Char1298"/>
    <w:uiPriority w:val="99"/>
    <w:semiHidden/>
    <w:rsid w:val="00A809E7"/>
    <w:rPr>
      <w:rFonts w:ascii="Tahoma" w:hAnsi="Tahoma"/>
      <w:sz w:val="16"/>
      <w:lang w:val="x-none" w:eastAsia="cs-CZ"/>
    </w:rPr>
  </w:style>
  <w:style w:type="character" w:customStyle="1" w:styleId="truktradokumentuChar1296">
    <w:name w:val="Štruktúra dokumentu Char1296"/>
    <w:aliases w:val="Char9 Char Char1297,Štruktúra dokumentu Char Char Char1297,Document Map Char Char Char1297"/>
    <w:uiPriority w:val="99"/>
    <w:semiHidden/>
    <w:rsid w:val="00A809E7"/>
    <w:rPr>
      <w:rFonts w:ascii="Tahoma" w:hAnsi="Tahoma"/>
      <w:sz w:val="16"/>
      <w:lang w:val="x-none" w:eastAsia="cs-CZ"/>
    </w:rPr>
  </w:style>
  <w:style w:type="character" w:customStyle="1" w:styleId="truktradokumentuChar1295">
    <w:name w:val="Štruktúra dokumentu Char1295"/>
    <w:aliases w:val="Char9 Char Char1296,Štruktúra dokumentu Char Char Char1296,Document Map Char Char Char1296"/>
    <w:uiPriority w:val="99"/>
    <w:semiHidden/>
    <w:rsid w:val="00A809E7"/>
    <w:rPr>
      <w:rFonts w:ascii="Tahoma" w:hAnsi="Tahoma"/>
      <w:sz w:val="16"/>
      <w:lang w:val="x-none" w:eastAsia="cs-CZ"/>
    </w:rPr>
  </w:style>
  <w:style w:type="character" w:customStyle="1" w:styleId="truktradokumentuChar1294">
    <w:name w:val="Štruktúra dokumentu Char1294"/>
    <w:aliases w:val="Char9 Char Char1295,Štruktúra dokumentu Char Char Char1295,Document Map Char Char Char1295"/>
    <w:uiPriority w:val="99"/>
    <w:semiHidden/>
    <w:rsid w:val="00A809E7"/>
    <w:rPr>
      <w:rFonts w:ascii="Tahoma" w:hAnsi="Tahoma"/>
      <w:sz w:val="16"/>
      <w:lang w:val="x-none" w:eastAsia="cs-CZ"/>
    </w:rPr>
  </w:style>
  <w:style w:type="character" w:customStyle="1" w:styleId="truktradokumentuChar1293">
    <w:name w:val="Štruktúra dokumentu Char1293"/>
    <w:aliases w:val="Char9 Char Char1294,Štruktúra dokumentu Char Char Char1294,Document Map Char Char Char1294"/>
    <w:uiPriority w:val="99"/>
    <w:semiHidden/>
    <w:rsid w:val="00A809E7"/>
    <w:rPr>
      <w:rFonts w:ascii="Tahoma" w:hAnsi="Tahoma"/>
      <w:sz w:val="16"/>
      <w:lang w:val="x-none" w:eastAsia="cs-CZ"/>
    </w:rPr>
  </w:style>
  <w:style w:type="character" w:customStyle="1" w:styleId="truktradokumentuChar1292">
    <w:name w:val="Štruktúra dokumentu Char1292"/>
    <w:aliases w:val="Char9 Char Char1293,Štruktúra dokumentu Char Char Char1293,Document Map Char Char Char1293"/>
    <w:uiPriority w:val="99"/>
    <w:semiHidden/>
    <w:rsid w:val="00A809E7"/>
    <w:rPr>
      <w:rFonts w:ascii="Tahoma" w:hAnsi="Tahoma"/>
      <w:sz w:val="16"/>
      <w:lang w:val="x-none" w:eastAsia="cs-CZ"/>
    </w:rPr>
  </w:style>
  <w:style w:type="character" w:customStyle="1" w:styleId="truktradokumentuChar1291">
    <w:name w:val="Štruktúra dokumentu Char1291"/>
    <w:aliases w:val="Char9 Char Char1292,Štruktúra dokumentu Char Char Char1292,Document Map Char Char Char1292"/>
    <w:uiPriority w:val="99"/>
    <w:semiHidden/>
    <w:rsid w:val="00A809E7"/>
    <w:rPr>
      <w:rFonts w:ascii="Tahoma" w:hAnsi="Tahoma"/>
      <w:sz w:val="16"/>
      <w:lang w:val="x-none" w:eastAsia="cs-CZ"/>
    </w:rPr>
  </w:style>
  <w:style w:type="character" w:customStyle="1" w:styleId="truktradokumentuChar1290">
    <w:name w:val="Štruktúra dokumentu Char1290"/>
    <w:aliases w:val="Char9 Char Char1291,Štruktúra dokumentu Char Char Char1291,Document Map Char Char Char1291"/>
    <w:uiPriority w:val="99"/>
    <w:semiHidden/>
    <w:rsid w:val="00A809E7"/>
    <w:rPr>
      <w:rFonts w:ascii="Tahoma" w:hAnsi="Tahoma"/>
      <w:sz w:val="16"/>
      <w:lang w:val="x-none" w:eastAsia="cs-CZ"/>
    </w:rPr>
  </w:style>
  <w:style w:type="character" w:customStyle="1" w:styleId="truktradokumentuChar1289">
    <w:name w:val="Štruktúra dokumentu Char1289"/>
    <w:aliases w:val="Char9 Char Char1290,Štruktúra dokumentu Char Char Char1290,Document Map Char Char Char1290"/>
    <w:uiPriority w:val="99"/>
    <w:semiHidden/>
    <w:rsid w:val="00A809E7"/>
    <w:rPr>
      <w:rFonts w:ascii="Tahoma" w:hAnsi="Tahoma"/>
      <w:sz w:val="16"/>
      <w:lang w:val="x-none" w:eastAsia="cs-CZ"/>
    </w:rPr>
  </w:style>
  <w:style w:type="character" w:customStyle="1" w:styleId="truktradokumentuChar1288">
    <w:name w:val="Štruktúra dokumentu Char1288"/>
    <w:aliases w:val="Char9 Char Char1289,Štruktúra dokumentu Char Char Char1289,Document Map Char Char Char1289"/>
    <w:uiPriority w:val="99"/>
    <w:semiHidden/>
    <w:rsid w:val="00A809E7"/>
    <w:rPr>
      <w:rFonts w:ascii="Tahoma" w:hAnsi="Tahoma"/>
      <w:sz w:val="16"/>
      <w:lang w:val="x-none" w:eastAsia="cs-CZ"/>
    </w:rPr>
  </w:style>
  <w:style w:type="character" w:customStyle="1" w:styleId="truktradokumentuChar1287">
    <w:name w:val="Štruktúra dokumentu Char1287"/>
    <w:aliases w:val="Char9 Char Char1288,Štruktúra dokumentu Char Char Char1288,Document Map Char Char Char1288"/>
    <w:uiPriority w:val="99"/>
    <w:semiHidden/>
    <w:rsid w:val="00A809E7"/>
    <w:rPr>
      <w:rFonts w:ascii="Tahoma" w:hAnsi="Tahoma"/>
      <w:sz w:val="16"/>
      <w:lang w:val="x-none" w:eastAsia="cs-CZ"/>
    </w:rPr>
  </w:style>
  <w:style w:type="character" w:customStyle="1" w:styleId="truktradokumentuChar1286">
    <w:name w:val="Štruktúra dokumentu Char1286"/>
    <w:aliases w:val="Char9 Char Char1287,Štruktúra dokumentu Char Char Char1287,Document Map Char Char Char1287"/>
    <w:uiPriority w:val="99"/>
    <w:semiHidden/>
    <w:rsid w:val="00A809E7"/>
    <w:rPr>
      <w:rFonts w:ascii="Tahoma" w:hAnsi="Tahoma"/>
      <w:sz w:val="16"/>
      <w:lang w:val="x-none" w:eastAsia="cs-CZ"/>
    </w:rPr>
  </w:style>
  <w:style w:type="character" w:customStyle="1" w:styleId="truktradokumentuChar1285">
    <w:name w:val="Štruktúra dokumentu Char1285"/>
    <w:aliases w:val="Char9 Char Char1286,Štruktúra dokumentu Char Char Char1286,Document Map Char Char Char1286"/>
    <w:uiPriority w:val="99"/>
    <w:semiHidden/>
    <w:rsid w:val="00A809E7"/>
    <w:rPr>
      <w:rFonts w:ascii="Tahoma" w:hAnsi="Tahoma"/>
      <w:sz w:val="16"/>
      <w:lang w:val="x-none" w:eastAsia="cs-CZ"/>
    </w:rPr>
  </w:style>
  <w:style w:type="character" w:customStyle="1" w:styleId="truktradokumentuChar1284">
    <w:name w:val="Štruktúra dokumentu Char1284"/>
    <w:aliases w:val="Char9 Char Char1285,Štruktúra dokumentu Char Char Char1285,Document Map Char Char Char1285"/>
    <w:uiPriority w:val="99"/>
    <w:semiHidden/>
    <w:rsid w:val="00A809E7"/>
    <w:rPr>
      <w:rFonts w:ascii="Tahoma" w:hAnsi="Tahoma"/>
      <w:sz w:val="16"/>
      <w:lang w:val="x-none" w:eastAsia="cs-CZ"/>
    </w:rPr>
  </w:style>
  <w:style w:type="character" w:customStyle="1" w:styleId="truktradokumentuChar1283">
    <w:name w:val="Štruktúra dokumentu Char1283"/>
    <w:aliases w:val="Char9 Char Char1284,Štruktúra dokumentu Char Char Char1284,Document Map Char Char Char1284"/>
    <w:uiPriority w:val="99"/>
    <w:semiHidden/>
    <w:rsid w:val="00A809E7"/>
    <w:rPr>
      <w:rFonts w:ascii="Tahoma" w:hAnsi="Tahoma"/>
      <w:sz w:val="16"/>
      <w:lang w:val="x-none" w:eastAsia="cs-CZ"/>
    </w:rPr>
  </w:style>
  <w:style w:type="character" w:customStyle="1" w:styleId="truktradokumentuChar1282">
    <w:name w:val="Štruktúra dokumentu Char1282"/>
    <w:aliases w:val="Char9 Char Char1283,Štruktúra dokumentu Char Char Char1283,Document Map Char Char Char1283"/>
    <w:uiPriority w:val="99"/>
    <w:semiHidden/>
    <w:rsid w:val="00A809E7"/>
    <w:rPr>
      <w:rFonts w:ascii="Tahoma" w:hAnsi="Tahoma"/>
      <w:sz w:val="16"/>
      <w:lang w:val="x-none" w:eastAsia="cs-CZ"/>
    </w:rPr>
  </w:style>
  <w:style w:type="character" w:customStyle="1" w:styleId="truktradokumentuChar1281">
    <w:name w:val="Štruktúra dokumentu Char1281"/>
    <w:aliases w:val="Char9 Char Char1282,Štruktúra dokumentu Char Char Char1282,Document Map Char Char Char1282"/>
    <w:uiPriority w:val="99"/>
    <w:semiHidden/>
    <w:rsid w:val="00A809E7"/>
    <w:rPr>
      <w:rFonts w:ascii="Tahoma" w:hAnsi="Tahoma"/>
      <w:sz w:val="16"/>
      <w:lang w:val="x-none" w:eastAsia="cs-CZ"/>
    </w:rPr>
  </w:style>
  <w:style w:type="character" w:customStyle="1" w:styleId="truktradokumentuChar1280">
    <w:name w:val="Štruktúra dokumentu Char1280"/>
    <w:aliases w:val="Char9 Char Char1281,Štruktúra dokumentu Char Char Char1281,Document Map Char Char Char1281"/>
    <w:uiPriority w:val="99"/>
    <w:semiHidden/>
    <w:rsid w:val="00A809E7"/>
    <w:rPr>
      <w:rFonts w:ascii="Tahoma" w:hAnsi="Tahoma"/>
      <w:sz w:val="16"/>
      <w:lang w:val="x-none" w:eastAsia="cs-CZ"/>
    </w:rPr>
  </w:style>
  <w:style w:type="character" w:customStyle="1" w:styleId="truktradokumentuChar1279">
    <w:name w:val="Štruktúra dokumentu Char1279"/>
    <w:aliases w:val="Char9 Char Char1280,Štruktúra dokumentu Char Char Char1280,Document Map Char Char Char1280"/>
    <w:uiPriority w:val="99"/>
    <w:semiHidden/>
    <w:rsid w:val="00A809E7"/>
    <w:rPr>
      <w:rFonts w:ascii="Tahoma" w:hAnsi="Tahoma"/>
      <w:sz w:val="16"/>
      <w:lang w:val="x-none" w:eastAsia="cs-CZ"/>
    </w:rPr>
  </w:style>
  <w:style w:type="character" w:customStyle="1" w:styleId="truktradokumentuChar1278">
    <w:name w:val="Štruktúra dokumentu Char1278"/>
    <w:aliases w:val="Char9 Char Char1279,Štruktúra dokumentu Char Char Char1279,Document Map Char Char Char1279"/>
    <w:uiPriority w:val="99"/>
    <w:semiHidden/>
    <w:rsid w:val="00A809E7"/>
    <w:rPr>
      <w:rFonts w:ascii="Tahoma" w:hAnsi="Tahoma"/>
      <w:sz w:val="16"/>
      <w:lang w:val="x-none" w:eastAsia="cs-CZ"/>
    </w:rPr>
  </w:style>
  <w:style w:type="character" w:customStyle="1" w:styleId="truktradokumentuChar1277">
    <w:name w:val="Štruktúra dokumentu Char1277"/>
    <w:aliases w:val="Char9 Char Char1278,Štruktúra dokumentu Char Char Char1278,Document Map Char Char Char1278"/>
    <w:uiPriority w:val="99"/>
    <w:semiHidden/>
    <w:rsid w:val="00A809E7"/>
    <w:rPr>
      <w:rFonts w:ascii="Tahoma" w:hAnsi="Tahoma"/>
      <w:sz w:val="16"/>
      <w:lang w:val="x-none" w:eastAsia="cs-CZ"/>
    </w:rPr>
  </w:style>
  <w:style w:type="character" w:customStyle="1" w:styleId="truktradokumentuChar1276">
    <w:name w:val="Štruktúra dokumentu Char1276"/>
    <w:aliases w:val="Char9 Char Char1277,Štruktúra dokumentu Char Char Char1277,Document Map Char Char Char1277"/>
    <w:uiPriority w:val="99"/>
    <w:semiHidden/>
    <w:rsid w:val="00A809E7"/>
    <w:rPr>
      <w:rFonts w:ascii="Tahoma" w:hAnsi="Tahoma"/>
      <w:sz w:val="16"/>
      <w:lang w:val="x-none" w:eastAsia="cs-CZ"/>
    </w:rPr>
  </w:style>
  <w:style w:type="character" w:customStyle="1" w:styleId="truktradokumentuChar1275">
    <w:name w:val="Štruktúra dokumentu Char1275"/>
    <w:aliases w:val="Char9 Char Char1276,Štruktúra dokumentu Char Char Char1276,Document Map Char Char Char1276"/>
    <w:uiPriority w:val="99"/>
    <w:semiHidden/>
    <w:rsid w:val="00A809E7"/>
    <w:rPr>
      <w:rFonts w:ascii="Tahoma" w:hAnsi="Tahoma"/>
      <w:sz w:val="16"/>
      <w:lang w:val="x-none" w:eastAsia="cs-CZ"/>
    </w:rPr>
  </w:style>
  <w:style w:type="character" w:customStyle="1" w:styleId="truktradokumentuChar1274">
    <w:name w:val="Štruktúra dokumentu Char1274"/>
    <w:aliases w:val="Char9 Char Char1275,Štruktúra dokumentu Char Char Char1275,Document Map Char Char Char1275"/>
    <w:uiPriority w:val="99"/>
    <w:semiHidden/>
    <w:rsid w:val="00A809E7"/>
    <w:rPr>
      <w:rFonts w:ascii="Tahoma" w:hAnsi="Tahoma"/>
      <w:sz w:val="16"/>
      <w:lang w:val="x-none" w:eastAsia="cs-CZ"/>
    </w:rPr>
  </w:style>
  <w:style w:type="character" w:customStyle="1" w:styleId="truktradokumentuChar1273">
    <w:name w:val="Štruktúra dokumentu Char1273"/>
    <w:aliases w:val="Char9 Char Char1274,Štruktúra dokumentu Char Char Char1274,Document Map Char Char Char1274"/>
    <w:uiPriority w:val="99"/>
    <w:semiHidden/>
    <w:rsid w:val="00A809E7"/>
    <w:rPr>
      <w:rFonts w:ascii="Tahoma" w:hAnsi="Tahoma"/>
      <w:sz w:val="16"/>
      <w:lang w:val="x-none" w:eastAsia="cs-CZ"/>
    </w:rPr>
  </w:style>
  <w:style w:type="character" w:customStyle="1" w:styleId="truktradokumentuChar1272">
    <w:name w:val="Štruktúra dokumentu Char1272"/>
    <w:aliases w:val="Char9 Char Char1273,Štruktúra dokumentu Char Char Char1273,Document Map Char Char Char1273"/>
    <w:uiPriority w:val="99"/>
    <w:semiHidden/>
    <w:rsid w:val="00A809E7"/>
    <w:rPr>
      <w:rFonts w:ascii="Tahoma" w:hAnsi="Tahoma"/>
      <w:sz w:val="16"/>
      <w:lang w:val="x-none" w:eastAsia="cs-CZ"/>
    </w:rPr>
  </w:style>
  <w:style w:type="character" w:customStyle="1" w:styleId="truktradokumentuChar1271">
    <w:name w:val="Štruktúra dokumentu Char1271"/>
    <w:aliases w:val="Char9 Char Char1272,Štruktúra dokumentu Char Char Char1272,Document Map Char Char Char1272"/>
    <w:uiPriority w:val="99"/>
    <w:semiHidden/>
    <w:rsid w:val="00A809E7"/>
    <w:rPr>
      <w:rFonts w:ascii="Tahoma" w:hAnsi="Tahoma"/>
      <w:sz w:val="16"/>
      <w:lang w:val="x-none" w:eastAsia="cs-CZ"/>
    </w:rPr>
  </w:style>
  <w:style w:type="character" w:customStyle="1" w:styleId="truktradokumentuChar1270">
    <w:name w:val="Štruktúra dokumentu Char1270"/>
    <w:aliases w:val="Char9 Char Char1271,Štruktúra dokumentu Char Char Char1271,Document Map Char Char Char1271"/>
    <w:uiPriority w:val="99"/>
    <w:semiHidden/>
    <w:rsid w:val="00A809E7"/>
    <w:rPr>
      <w:rFonts w:ascii="Tahoma" w:hAnsi="Tahoma"/>
      <w:sz w:val="16"/>
      <w:lang w:val="x-none" w:eastAsia="cs-CZ"/>
    </w:rPr>
  </w:style>
  <w:style w:type="character" w:customStyle="1" w:styleId="truktradokumentuChar1269">
    <w:name w:val="Štruktúra dokumentu Char1269"/>
    <w:aliases w:val="Char9 Char Char1270,Štruktúra dokumentu Char Char Char1270,Document Map Char Char Char1270"/>
    <w:uiPriority w:val="99"/>
    <w:semiHidden/>
    <w:rsid w:val="00A809E7"/>
    <w:rPr>
      <w:rFonts w:ascii="Tahoma" w:hAnsi="Tahoma"/>
      <w:sz w:val="16"/>
      <w:lang w:val="x-none" w:eastAsia="cs-CZ"/>
    </w:rPr>
  </w:style>
  <w:style w:type="character" w:customStyle="1" w:styleId="truktradokumentuChar1268">
    <w:name w:val="Štruktúra dokumentu Char1268"/>
    <w:aliases w:val="Char9 Char Char1269,Štruktúra dokumentu Char Char Char1269,Document Map Char Char Char1269"/>
    <w:uiPriority w:val="99"/>
    <w:semiHidden/>
    <w:rsid w:val="00A809E7"/>
    <w:rPr>
      <w:rFonts w:ascii="Tahoma" w:hAnsi="Tahoma"/>
      <w:sz w:val="16"/>
      <w:lang w:val="x-none" w:eastAsia="cs-CZ"/>
    </w:rPr>
  </w:style>
  <w:style w:type="character" w:customStyle="1" w:styleId="truktradokumentuChar1267">
    <w:name w:val="Štruktúra dokumentu Char1267"/>
    <w:aliases w:val="Char9 Char Char1268,Štruktúra dokumentu Char Char Char1268,Document Map Char Char Char1268"/>
    <w:uiPriority w:val="99"/>
    <w:semiHidden/>
    <w:rsid w:val="00A809E7"/>
    <w:rPr>
      <w:rFonts w:ascii="Tahoma" w:hAnsi="Tahoma"/>
      <w:sz w:val="16"/>
      <w:lang w:val="x-none" w:eastAsia="cs-CZ"/>
    </w:rPr>
  </w:style>
  <w:style w:type="character" w:customStyle="1" w:styleId="truktradokumentuChar1266">
    <w:name w:val="Štruktúra dokumentu Char1266"/>
    <w:aliases w:val="Char9 Char Char1267,Štruktúra dokumentu Char Char Char1267,Document Map Char Char Char1267"/>
    <w:uiPriority w:val="99"/>
    <w:semiHidden/>
    <w:rsid w:val="00A809E7"/>
    <w:rPr>
      <w:rFonts w:ascii="Tahoma" w:hAnsi="Tahoma"/>
      <w:sz w:val="16"/>
      <w:lang w:val="x-none" w:eastAsia="cs-CZ"/>
    </w:rPr>
  </w:style>
  <w:style w:type="character" w:customStyle="1" w:styleId="truktradokumentuChar1265">
    <w:name w:val="Štruktúra dokumentu Char1265"/>
    <w:aliases w:val="Char9 Char Char1266,Štruktúra dokumentu Char Char Char1266,Document Map Char Char Char1266"/>
    <w:uiPriority w:val="99"/>
    <w:semiHidden/>
    <w:rsid w:val="00A809E7"/>
    <w:rPr>
      <w:rFonts w:ascii="Tahoma" w:hAnsi="Tahoma"/>
      <w:sz w:val="16"/>
      <w:lang w:val="x-none" w:eastAsia="cs-CZ"/>
    </w:rPr>
  </w:style>
  <w:style w:type="character" w:customStyle="1" w:styleId="truktradokumentuChar1264">
    <w:name w:val="Štruktúra dokumentu Char1264"/>
    <w:aliases w:val="Char9 Char Char1265,Štruktúra dokumentu Char Char Char1265,Document Map Char Char Char1265"/>
    <w:uiPriority w:val="99"/>
    <w:semiHidden/>
    <w:rsid w:val="00A809E7"/>
    <w:rPr>
      <w:rFonts w:ascii="Tahoma" w:hAnsi="Tahoma"/>
      <w:sz w:val="16"/>
      <w:lang w:val="x-none" w:eastAsia="cs-CZ"/>
    </w:rPr>
  </w:style>
  <w:style w:type="character" w:customStyle="1" w:styleId="truktradokumentuChar1263">
    <w:name w:val="Štruktúra dokumentu Char1263"/>
    <w:aliases w:val="Char9 Char Char1264,Štruktúra dokumentu Char Char Char1264,Document Map Char Char Char1264"/>
    <w:uiPriority w:val="99"/>
    <w:semiHidden/>
    <w:rsid w:val="00A809E7"/>
    <w:rPr>
      <w:rFonts w:ascii="Tahoma" w:hAnsi="Tahoma"/>
      <w:sz w:val="16"/>
      <w:lang w:val="x-none" w:eastAsia="cs-CZ"/>
    </w:rPr>
  </w:style>
  <w:style w:type="character" w:customStyle="1" w:styleId="truktradokumentuChar1262">
    <w:name w:val="Štruktúra dokumentu Char1262"/>
    <w:aliases w:val="Char9 Char Char1263,Štruktúra dokumentu Char Char Char1263,Document Map Char Char Char1263"/>
    <w:uiPriority w:val="99"/>
    <w:semiHidden/>
    <w:rsid w:val="00A809E7"/>
    <w:rPr>
      <w:rFonts w:ascii="Tahoma" w:hAnsi="Tahoma"/>
      <w:sz w:val="16"/>
      <w:lang w:val="x-none" w:eastAsia="cs-CZ"/>
    </w:rPr>
  </w:style>
  <w:style w:type="character" w:customStyle="1" w:styleId="truktradokumentuChar1261">
    <w:name w:val="Štruktúra dokumentu Char1261"/>
    <w:aliases w:val="Char9 Char Char1262,Štruktúra dokumentu Char Char Char1262,Document Map Char Char Char1262"/>
    <w:uiPriority w:val="99"/>
    <w:semiHidden/>
    <w:rsid w:val="00A809E7"/>
    <w:rPr>
      <w:rFonts w:ascii="Tahoma" w:hAnsi="Tahoma"/>
      <w:sz w:val="16"/>
      <w:lang w:val="x-none" w:eastAsia="cs-CZ"/>
    </w:rPr>
  </w:style>
  <w:style w:type="character" w:customStyle="1" w:styleId="truktradokumentuChar1260">
    <w:name w:val="Štruktúra dokumentu Char1260"/>
    <w:aliases w:val="Char9 Char Char1261,Štruktúra dokumentu Char Char Char1261,Document Map Char Char Char1261"/>
    <w:uiPriority w:val="99"/>
    <w:semiHidden/>
    <w:rsid w:val="00A809E7"/>
    <w:rPr>
      <w:rFonts w:ascii="Tahoma" w:hAnsi="Tahoma"/>
      <w:sz w:val="16"/>
      <w:lang w:val="x-none" w:eastAsia="cs-CZ"/>
    </w:rPr>
  </w:style>
  <w:style w:type="character" w:customStyle="1" w:styleId="truktradokumentuChar1259">
    <w:name w:val="Štruktúra dokumentu Char1259"/>
    <w:aliases w:val="Char9 Char Char1260,Štruktúra dokumentu Char Char Char1260,Document Map Char Char Char1260"/>
    <w:uiPriority w:val="99"/>
    <w:semiHidden/>
    <w:rsid w:val="00A809E7"/>
    <w:rPr>
      <w:rFonts w:ascii="Tahoma" w:hAnsi="Tahoma"/>
      <w:sz w:val="16"/>
      <w:lang w:val="x-none" w:eastAsia="cs-CZ"/>
    </w:rPr>
  </w:style>
  <w:style w:type="character" w:customStyle="1" w:styleId="truktradokumentuChar1258">
    <w:name w:val="Štruktúra dokumentu Char1258"/>
    <w:aliases w:val="Char9 Char Char1259,Štruktúra dokumentu Char Char Char1259,Document Map Char Char Char1259"/>
    <w:uiPriority w:val="99"/>
    <w:semiHidden/>
    <w:rsid w:val="00A809E7"/>
    <w:rPr>
      <w:rFonts w:ascii="Tahoma" w:hAnsi="Tahoma"/>
      <w:sz w:val="16"/>
      <w:lang w:val="x-none" w:eastAsia="cs-CZ"/>
    </w:rPr>
  </w:style>
  <w:style w:type="character" w:customStyle="1" w:styleId="truktradokumentuChar1257">
    <w:name w:val="Štruktúra dokumentu Char1257"/>
    <w:aliases w:val="Char9 Char Char1258,Štruktúra dokumentu Char Char Char1258,Document Map Char Char Char1258"/>
    <w:uiPriority w:val="99"/>
    <w:semiHidden/>
    <w:rsid w:val="00A809E7"/>
    <w:rPr>
      <w:rFonts w:ascii="Tahoma" w:hAnsi="Tahoma"/>
      <w:sz w:val="16"/>
      <w:lang w:val="x-none" w:eastAsia="cs-CZ"/>
    </w:rPr>
  </w:style>
  <w:style w:type="character" w:customStyle="1" w:styleId="truktradokumentuChar1256">
    <w:name w:val="Štruktúra dokumentu Char1256"/>
    <w:aliases w:val="Char9 Char Char1257,Štruktúra dokumentu Char Char Char1257,Document Map Char Char Char1257"/>
    <w:uiPriority w:val="99"/>
    <w:semiHidden/>
    <w:rsid w:val="00A809E7"/>
    <w:rPr>
      <w:rFonts w:ascii="Tahoma" w:hAnsi="Tahoma"/>
      <w:sz w:val="16"/>
      <w:lang w:val="x-none" w:eastAsia="cs-CZ"/>
    </w:rPr>
  </w:style>
  <w:style w:type="character" w:customStyle="1" w:styleId="truktradokumentuChar1255">
    <w:name w:val="Štruktúra dokumentu Char1255"/>
    <w:aliases w:val="Char9 Char Char1256,Štruktúra dokumentu Char Char Char1256,Document Map Char Char Char1256"/>
    <w:uiPriority w:val="99"/>
    <w:semiHidden/>
    <w:rsid w:val="00A809E7"/>
    <w:rPr>
      <w:rFonts w:ascii="Tahoma" w:hAnsi="Tahoma"/>
      <w:sz w:val="16"/>
      <w:lang w:val="x-none" w:eastAsia="cs-CZ"/>
    </w:rPr>
  </w:style>
  <w:style w:type="character" w:customStyle="1" w:styleId="truktradokumentuChar1254">
    <w:name w:val="Štruktúra dokumentu Char1254"/>
    <w:aliases w:val="Char9 Char Char1255,Štruktúra dokumentu Char Char Char1255,Document Map Char Char Char1255"/>
    <w:uiPriority w:val="99"/>
    <w:semiHidden/>
    <w:rsid w:val="00A809E7"/>
    <w:rPr>
      <w:rFonts w:ascii="Tahoma" w:hAnsi="Tahoma"/>
      <w:sz w:val="16"/>
      <w:lang w:val="x-none" w:eastAsia="cs-CZ"/>
    </w:rPr>
  </w:style>
  <w:style w:type="character" w:customStyle="1" w:styleId="truktradokumentuChar1253">
    <w:name w:val="Štruktúra dokumentu Char1253"/>
    <w:aliases w:val="Char9 Char Char1254,Štruktúra dokumentu Char Char Char1254,Document Map Char Char Char1254"/>
    <w:uiPriority w:val="99"/>
    <w:semiHidden/>
    <w:rsid w:val="00A809E7"/>
    <w:rPr>
      <w:rFonts w:ascii="Tahoma" w:hAnsi="Tahoma"/>
      <w:sz w:val="16"/>
      <w:lang w:val="x-none" w:eastAsia="cs-CZ"/>
    </w:rPr>
  </w:style>
  <w:style w:type="character" w:customStyle="1" w:styleId="truktradokumentuChar1252">
    <w:name w:val="Štruktúra dokumentu Char1252"/>
    <w:aliases w:val="Char9 Char Char1253,Štruktúra dokumentu Char Char Char1253,Document Map Char Char Char1253"/>
    <w:uiPriority w:val="99"/>
    <w:semiHidden/>
    <w:rsid w:val="00A809E7"/>
    <w:rPr>
      <w:rFonts w:ascii="Tahoma" w:hAnsi="Tahoma"/>
      <w:sz w:val="16"/>
      <w:lang w:val="x-none" w:eastAsia="cs-CZ"/>
    </w:rPr>
  </w:style>
  <w:style w:type="character" w:customStyle="1" w:styleId="truktradokumentuChar1251">
    <w:name w:val="Štruktúra dokumentu Char1251"/>
    <w:aliases w:val="Char9 Char Char1252,Štruktúra dokumentu Char Char Char1252,Document Map Char Char Char1252"/>
    <w:uiPriority w:val="99"/>
    <w:semiHidden/>
    <w:rsid w:val="00A809E7"/>
    <w:rPr>
      <w:rFonts w:ascii="Tahoma" w:hAnsi="Tahoma"/>
      <w:sz w:val="16"/>
      <w:lang w:val="x-none" w:eastAsia="cs-CZ"/>
    </w:rPr>
  </w:style>
  <w:style w:type="character" w:customStyle="1" w:styleId="truktradokumentuChar1250">
    <w:name w:val="Štruktúra dokumentu Char1250"/>
    <w:aliases w:val="Char9 Char Char1251,Štruktúra dokumentu Char Char Char1251,Document Map Char Char Char1251"/>
    <w:uiPriority w:val="99"/>
    <w:semiHidden/>
    <w:rsid w:val="00A809E7"/>
    <w:rPr>
      <w:rFonts w:ascii="Tahoma" w:hAnsi="Tahoma"/>
      <w:sz w:val="16"/>
      <w:lang w:val="x-none" w:eastAsia="cs-CZ"/>
    </w:rPr>
  </w:style>
  <w:style w:type="character" w:customStyle="1" w:styleId="truktradokumentuChar1249">
    <w:name w:val="Štruktúra dokumentu Char1249"/>
    <w:aliases w:val="Char9 Char Char1250,Štruktúra dokumentu Char Char Char1250,Document Map Char Char Char1250"/>
    <w:uiPriority w:val="99"/>
    <w:semiHidden/>
    <w:rsid w:val="00A809E7"/>
    <w:rPr>
      <w:rFonts w:ascii="Tahoma" w:hAnsi="Tahoma"/>
      <w:sz w:val="16"/>
      <w:lang w:val="x-none" w:eastAsia="cs-CZ"/>
    </w:rPr>
  </w:style>
  <w:style w:type="character" w:customStyle="1" w:styleId="truktradokumentuChar1248">
    <w:name w:val="Štruktúra dokumentu Char1248"/>
    <w:aliases w:val="Char9 Char Char1249,Štruktúra dokumentu Char Char Char1249,Document Map Char Char Char1249"/>
    <w:uiPriority w:val="99"/>
    <w:semiHidden/>
    <w:rsid w:val="00A809E7"/>
    <w:rPr>
      <w:rFonts w:ascii="Tahoma" w:hAnsi="Tahoma"/>
      <w:sz w:val="16"/>
      <w:lang w:val="x-none" w:eastAsia="cs-CZ"/>
    </w:rPr>
  </w:style>
  <w:style w:type="character" w:customStyle="1" w:styleId="truktradokumentuChar1247">
    <w:name w:val="Štruktúra dokumentu Char1247"/>
    <w:aliases w:val="Char9 Char Char1248,Štruktúra dokumentu Char Char Char1248,Document Map Char Char Char1248"/>
    <w:uiPriority w:val="99"/>
    <w:semiHidden/>
    <w:rsid w:val="00A809E7"/>
    <w:rPr>
      <w:rFonts w:ascii="Tahoma" w:hAnsi="Tahoma"/>
      <w:sz w:val="16"/>
      <w:lang w:val="x-none" w:eastAsia="cs-CZ"/>
    </w:rPr>
  </w:style>
  <w:style w:type="character" w:customStyle="1" w:styleId="truktradokumentuChar1246">
    <w:name w:val="Štruktúra dokumentu Char1246"/>
    <w:aliases w:val="Char9 Char Char1247,Štruktúra dokumentu Char Char Char1247,Document Map Char Char Char1247"/>
    <w:uiPriority w:val="99"/>
    <w:semiHidden/>
    <w:rsid w:val="00A809E7"/>
    <w:rPr>
      <w:rFonts w:ascii="Tahoma" w:hAnsi="Tahoma"/>
      <w:sz w:val="16"/>
      <w:lang w:val="x-none" w:eastAsia="cs-CZ"/>
    </w:rPr>
  </w:style>
  <w:style w:type="character" w:customStyle="1" w:styleId="truktradokumentuChar1245">
    <w:name w:val="Štruktúra dokumentu Char1245"/>
    <w:aliases w:val="Char9 Char Char1246,Štruktúra dokumentu Char Char Char1246,Document Map Char Char Char1246"/>
    <w:uiPriority w:val="99"/>
    <w:semiHidden/>
    <w:rsid w:val="00A809E7"/>
    <w:rPr>
      <w:rFonts w:ascii="Tahoma" w:hAnsi="Tahoma"/>
      <w:sz w:val="16"/>
      <w:lang w:val="x-none" w:eastAsia="cs-CZ"/>
    </w:rPr>
  </w:style>
  <w:style w:type="character" w:customStyle="1" w:styleId="truktradokumentuChar1244">
    <w:name w:val="Štruktúra dokumentu Char1244"/>
    <w:aliases w:val="Char9 Char Char1245,Štruktúra dokumentu Char Char Char1245,Document Map Char Char Char1245"/>
    <w:uiPriority w:val="99"/>
    <w:semiHidden/>
    <w:rsid w:val="00A809E7"/>
    <w:rPr>
      <w:rFonts w:ascii="Tahoma" w:hAnsi="Tahoma"/>
      <w:sz w:val="16"/>
      <w:lang w:val="x-none" w:eastAsia="cs-CZ"/>
    </w:rPr>
  </w:style>
  <w:style w:type="character" w:customStyle="1" w:styleId="truktradokumentuChar1243">
    <w:name w:val="Štruktúra dokumentu Char1243"/>
    <w:aliases w:val="Char9 Char Char1244,Štruktúra dokumentu Char Char Char1244,Document Map Char Char Char1244"/>
    <w:uiPriority w:val="99"/>
    <w:semiHidden/>
    <w:rsid w:val="00A809E7"/>
    <w:rPr>
      <w:rFonts w:ascii="Tahoma" w:hAnsi="Tahoma"/>
      <w:sz w:val="16"/>
      <w:lang w:val="x-none" w:eastAsia="cs-CZ"/>
    </w:rPr>
  </w:style>
  <w:style w:type="character" w:customStyle="1" w:styleId="truktradokumentuChar1242">
    <w:name w:val="Štruktúra dokumentu Char1242"/>
    <w:aliases w:val="Char9 Char Char1243,Štruktúra dokumentu Char Char Char1243,Document Map Char Char Char1243"/>
    <w:uiPriority w:val="99"/>
    <w:semiHidden/>
    <w:rsid w:val="00A809E7"/>
    <w:rPr>
      <w:rFonts w:ascii="Tahoma" w:hAnsi="Tahoma"/>
      <w:sz w:val="16"/>
      <w:lang w:val="x-none" w:eastAsia="cs-CZ"/>
    </w:rPr>
  </w:style>
  <w:style w:type="character" w:customStyle="1" w:styleId="truktradokumentuChar1241">
    <w:name w:val="Štruktúra dokumentu Char1241"/>
    <w:aliases w:val="Char9 Char Char1242,Štruktúra dokumentu Char Char Char1242,Document Map Char Char Char1242"/>
    <w:uiPriority w:val="99"/>
    <w:semiHidden/>
    <w:rsid w:val="00A809E7"/>
    <w:rPr>
      <w:rFonts w:ascii="Tahoma" w:hAnsi="Tahoma"/>
      <w:sz w:val="16"/>
      <w:lang w:val="x-none" w:eastAsia="cs-CZ"/>
    </w:rPr>
  </w:style>
  <w:style w:type="character" w:customStyle="1" w:styleId="truktradokumentuChar1240">
    <w:name w:val="Štruktúra dokumentu Char1240"/>
    <w:aliases w:val="Char9 Char Char1241,Štruktúra dokumentu Char Char Char1241,Document Map Char Char Char1241"/>
    <w:uiPriority w:val="99"/>
    <w:semiHidden/>
    <w:rsid w:val="00A809E7"/>
    <w:rPr>
      <w:rFonts w:ascii="Tahoma" w:hAnsi="Tahoma"/>
      <w:sz w:val="16"/>
      <w:lang w:val="x-none" w:eastAsia="cs-CZ"/>
    </w:rPr>
  </w:style>
  <w:style w:type="character" w:customStyle="1" w:styleId="truktradokumentuChar1239">
    <w:name w:val="Štruktúra dokumentu Char1239"/>
    <w:aliases w:val="Char9 Char Char1240,Štruktúra dokumentu Char Char Char1240,Document Map Char Char Char1240"/>
    <w:uiPriority w:val="99"/>
    <w:semiHidden/>
    <w:rsid w:val="00A809E7"/>
    <w:rPr>
      <w:rFonts w:ascii="Tahoma" w:hAnsi="Tahoma"/>
      <w:sz w:val="16"/>
      <w:lang w:val="x-none" w:eastAsia="cs-CZ"/>
    </w:rPr>
  </w:style>
  <w:style w:type="character" w:customStyle="1" w:styleId="truktradokumentuChar1238">
    <w:name w:val="Štruktúra dokumentu Char1238"/>
    <w:aliases w:val="Char9 Char Char1239,Štruktúra dokumentu Char Char Char1239,Document Map Char Char Char1239"/>
    <w:uiPriority w:val="99"/>
    <w:semiHidden/>
    <w:rsid w:val="00A809E7"/>
    <w:rPr>
      <w:rFonts w:ascii="Tahoma" w:hAnsi="Tahoma"/>
      <w:sz w:val="16"/>
      <w:lang w:val="x-none" w:eastAsia="cs-CZ"/>
    </w:rPr>
  </w:style>
  <w:style w:type="character" w:customStyle="1" w:styleId="truktradokumentuChar1237">
    <w:name w:val="Štruktúra dokumentu Char1237"/>
    <w:aliases w:val="Char9 Char Char1238,Štruktúra dokumentu Char Char Char1238,Document Map Char Char Char1238"/>
    <w:uiPriority w:val="99"/>
    <w:semiHidden/>
    <w:rsid w:val="00A809E7"/>
    <w:rPr>
      <w:rFonts w:ascii="Tahoma" w:hAnsi="Tahoma"/>
      <w:sz w:val="16"/>
      <w:lang w:val="x-none" w:eastAsia="cs-CZ"/>
    </w:rPr>
  </w:style>
  <w:style w:type="character" w:customStyle="1" w:styleId="truktradokumentuChar1236">
    <w:name w:val="Štruktúra dokumentu Char1236"/>
    <w:aliases w:val="Char9 Char Char1237,Štruktúra dokumentu Char Char Char1237,Document Map Char Char Char1237"/>
    <w:uiPriority w:val="99"/>
    <w:semiHidden/>
    <w:rsid w:val="00A809E7"/>
    <w:rPr>
      <w:rFonts w:ascii="Tahoma" w:hAnsi="Tahoma"/>
      <w:sz w:val="16"/>
      <w:lang w:val="x-none" w:eastAsia="cs-CZ"/>
    </w:rPr>
  </w:style>
  <w:style w:type="character" w:customStyle="1" w:styleId="truktradokumentuChar1235">
    <w:name w:val="Štruktúra dokumentu Char1235"/>
    <w:aliases w:val="Char9 Char Char1236,Štruktúra dokumentu Char Char Char1236,Document Map Char Char Char1236"/>
    <w:uiPriority w:val="99"/>
    <w:semiHidden/>
    <w:rsid w:val="00A809E7"/>
    <w:rPr>
      <w:rFonts w:ascii="Tahoma" w:hAnsi="Tahoma"/>
      <w:sz w:val="16"/>
      <w:lang w:val="x-none" w:eastAsia="cs-CZ"/>
    </w:rPr>
  </w:style>
  <w:style w:type="character" w:customStyle="1" w:styleId="truktradokumentuChar1234">
    <w:name w:val="Štruktúra dokumentu Char1234"/>
    <w:aliases w:val="Char9 Char Char1235,Štruktúra dokumentu Char Char Char1235,Document Map Char Char Char1235"/>
    <w:uiPriority w:val="99"/>
    <w:semiHidden/>
    <w:rsid w:val="00A809E7"/>
    <w:rPr>
      <w:rFonts w:ascii="Tahoma" w:hAnsi="Tahoma"/>
      <w:sz w:val="16"/>
      <w:lang w:val="x-none" w:eastAsia="cs-CZ"/>
    </w:rPr>
  </w:style>
  <w:style w:type="character" w:customStyle="1" w:styleId="truktradokumentuChar1233">
    <w:name w:val="Štruktúra dokumentu Char1233"/>
    <w:aliases w:val="Char9 Char Char1234,Štruktúra dokumentu Char Char Char1234,Document Map Char Char Char1234"/>
    <w:uiPriority w:val="99"/>
    <w:semiHidden/>
    <w:rsid w:val="00A809E7"/>
    <w:rPr>
      <w:rFonts w:ascii="Tahoma" w:hAnsi="Tahoma"/>
      <w:sz w:val="16"/>
      <w:lang w:val="x-none" w:eastAsia="cs-CZ"/>
    </w:rPr>
  </w:style>
  <w:style w:type="character" w:customStyle="1" w:styleId="truktradokumentuChar1232">
    <w:name w:val="Štruktúra dokumentu Char1232"/>
    <w:aliases w:val="Char9 Char Char1233,Štruktúra dokumentu Char Char Char1233,Document Map Char Char Char1233"/>
    <w:uiPriority w:val="99"/>
    <w:semiHidden/>
    <w:rsid w:val="00A809E7"/>
    <w:rPr>
      <w:rFonts w:ascii="Tahoma" w:hAnsi="Tahoma"/>
      <w:sz w:val="16"/>
      <w:lang w:val="x-none" w:eastAsia="cs-CZ"/>
    </w:rPr>
  </w:style>
  <w:style w:type="character" w:customStyle="1" w:styleId="truktradokumentuChar1231">
    <w:name w:val="Štruktúra dokumentu Char1231"/>
    <w:aliases w:val="Char9 Char Char1232,Štruktúra dokumentu Char Char Char1232,Document Map Char Char Char1232"/>
    <w:uiPriority w:val="99"/>
    <w:semiHidden/>
    <w:rsid w:val="00A809E7"/>
    <w:rPr>
      <w:rFonts w:ascii="Tahoma" w:hAnsi="Tahoma"/>
      <w:sz w:val="16"/>
      <w:lang w:val="x-none" w:eastAsia="cs-CZ"/>
    </w:rPr>
  </w:style>
  <w:style w:type="character" w:customStyle="1" w:styleId="truktradokumentuChar1230">
    <w:name w:val="Štruktúra dokumentu Char1230"/>
    <w:aliases w:val="Char9 Char Char1231,Štruktúra dokumentu Char Char Char1231,Document Map Char Char Char1231"/>
    <w:uiPriority w:val="99"/>
    <w:semiHidden/>
    <w:rsid w:val="00A809E7"/>
    <w:rPr>
      <w:rFonts w:ascii="Tahoma" w:hAnsi="Tahoma"/>
      <w:sz w:val="16"/>
      <w:lang w:val="x-none" w:eastAsia="cs-CZ"/>
    </w:rPr>
  </w:style>
  <w:style w:type="character" w:customStyle="1" w:styleId="truktradokumentuChar1229">
    <w:name w:val="Štruktúra dokumentu Char1229"/>
    <w:aliases w:val="Char9 Char Char1230,Štruktúra dokumentu Char Char Char1230,Document Map Char Char Char1230"/>
    <w:uiPriority w:val="99"/>
    <w:semiHidden/>
    <w:rsid w:val="00A809E7"/>
    <w:rPr>
      <w:rFonts w:ascii="Tahoma" w:hAnsi="Tahoma"/>
      <w:sz w:val="16"/>
      <w:lang w:val="x-none" w:eastAsia="cs-CZ"/>
    </w:rPr>
  </w:style>
  <w:style w:type="character" w:customStyle="1" w:styleId="truktradokumentuChar1228">
    <w:name w:val="Štruktúra dokumentu Char1228"/>
    <w:aliases w:val="Char9 Char Char1229,Štruktúra dokumentu Char Char Char1229,Document Map Char Char Char1229"/>
    <w:uiPriority w:val="99"/>
    <w:semiHidden/>
    <w:rsid w:val="00A809E7"/>
    <w:rPr>
      <w:rFonts w:ascii="Tahoma" w:hAnsi="Tahoma"/>
      <w:sz w:val="16"/>
      <w:lang w:val="x-none" w:eastAsia="cs-CZ"/>
    </w:rPr>
  </w:style>
  <w:style w:type="character" w:customStyle="1" w:styleId="truktradokumentuChar1227">
    <w:name w:val="Štruktúra dokumentu Char1227"/>
    <w:aliases w:val="Char9 Char Char1228,Štruktúra dokumentu Char Char Char1228,Document Map Char Char Char1228"/>
    <w:uiPriority w:val="99"/>
    <w:semiHidden/>
    <w:rsid w:val="00A809E7"/>
    <w:rPr>
      <w:rFonts w:ascii="Tahoma" w:hAnsi="Tahoma"/>
      <w:sz w:val="16"/>
      <w:lang w:val="x-none" w:eastAsia="cs-CZ"/>
    </w:rPr>
  </w:style>
  <w:style w:type="character" w:customStyle="1" w:styleId="truktradokumentuChar1226">
    <w:name w:val="Štruktúra dokumentu Char1226"/>
    <w:aliases w:val="Char9 Char Char1227,Štruktúra dokumentu Char Char Char1227,Document Map Char Char Char1227"/>
    <w:uiPriority w:val="99"/>
    <w:semiHidden/>
    <w:rsid w:val="00A809E7"/>
    <w:rPr>
      <w:rFonts w:ascii="Tahoma" w:hAnsi="Tahoma"/>
      <w:sz w:val="16"/>
      <w:lang w:val="x-none" w:eastAsia="cs-CZ"/>
    </w:rPr>
  </w:style>
  <w:style w:type="character" w:customStyle="1" w:styleId="truktradokumentuChar1225">
    <w:name w:val="Štruktúra dokumentu Char1225"/>
    <w:aliases w:val="Char9 Char Char1226,Štruktúra dokumentu Char Char Char1226,Document Map Char Char Char1226"/>
    <w:uiPriority w:val="99"/>
    <w:semiHidden/>
    <w:rsid w:val="00A809E7"/>
    <w:rPr>
      <w:rFonts w:ascii="Tahoma" w:hAnsi="Tahoma"/>
      <w:sz w:val="16"/>
      <w:lang w:val="x-none" w:eastAsia="cs-CZ"/>
    </w:rPr>
  </w:style>
  <w:style w:type="character" w:customStyle="1" w:styleId="truktradokumentuChar1224">
    <w:name w:val="Štruktúra dokumentu Char1224"/>
    <w:aliases w:val="Char9 Char Char1225,Štruktúra dokumentu Char Char Char1225,Document Map Char Char Char1225"/>
    <w:uiPriority w:val="99"/>
    <w:semiHidden/>
    <w:rsid w:val="00A809E7"/>
    <w:rPr>
      <w:rFonts w:ascii="Tahoma" w:hAnsi="Tahoma"/>
      <w:sz w:val="16"/>
      <w:lang w:val="x-none" w:eastAsia="cs-CZ"/>
    </w:rPr>
  </w:style>
  <w:style w:type="character" w:customStyle="1" w:styleId="truktradokumentuChar1223">
    <w:name w:val="Štruktúra dokumentu Char1223"/>
    <w:aliases w:val="Char9 Char Char1224,Štruktúra dokumentu Char Char Char1224,Document Map Char Char Char1224"/>
    <w:uiPriority w:val="99"/>
    <w:semiHidden/>
    <w:rsid w:val="00A809E7"/>
    <w:rPr>
      <w:rFonts w:ascii="Tahoma" w:hAnsi="Tahoma"/>
      <w:sz w:val="16"/>
      <w:lang w:val="x-none" w:eastAsia="cs-CZ"/>
    </w:rPr>
  </w:style>
  <w:style w:type="character" w:customStyle="1" w:styleId="truktradokumentuChar1222">
    <w:name w:val="Štruktúra dokumentu Char1222"/>
    <w:aliases w:val="Char9 Char Char1223,Štruktúra dokumentu Char Char Char1223,Document Map Char Char Char1223"/>
    <w:uiPriority w:val="99"/>
    <w:semiHidden/>
    <w:rsid w:val="00A809E7"/>
    <w:rPr>
      <w:rFonts w:ascii="Tahoma" w:hAnsi="Tahoma"/>
      <w:sz w:val="16"/>
      <w:lang w:val="x-none" w:eastAsia="cs-CZ"/>
    </w:rPr>
  </w:style>
  <w:style w:type="character" w:customStyle="1" w:styleId="truktradokumentuChar1221">
    <w:name w:val="Štruktúra dokumentu Char1221"/>
    <w:aliases w:val="Char9 Char Char1222,Štruktúra dokumentu Char Char Char1222,Document Map Char Char Char1222"/>
    <w:uiPriority w:val="99"/>
    <w:semiHidden/>
    <w:rsid w:val="00A809E7"/>
    <w:rPr>
      <w:rFonts w:ascii="Tahoma" w:hAnsi="Tahoma"/>
      <w:sz w:val="16"/>
      <w:lang w:val="x-none" w:eastAsia="cs-CZ"/>
    </w:rPr>
  </w:style>
  <w:style w:type="character" w:customStyle="1" w:styleId="truktradokumentuChar1220">
    <w:name w:val="Štruktúra dokumentu Char1220"/>
    <w:aliases w:val="Char9 Char Char1221,Štruktúra dokumentu Char Char Char1221,Document Map Char Char Char1221"/>
    <w:uiPriority w:val="99"/>
    <w:semiHidden/>
    <w:rsid w:val="00A809E7"/>
    <w:rPr>
      <w:rFonts w:ascii="Tahoma" w:hAnsi="Tahoma"/>
      <w:sz w:val="16"/>
      <w:lang w:val="x-none" w:eastAsia="cs-CZ"/>
    </w:rPr>
  </w:style>
  <w:style w:type="character" w:customStyle="1" w:styleId="truktradokumentuChar1219">
    <w:name w:val="Štruktúra dokumentu Char1219"/>
    <w:aliases w:val="Char9 Char Char1220,Štruktúra dokumentu Char Char Char1220,Document Map Char Char Char1220"/>
    <w:uiPriority w:val="99"/>
    <w:semiHidden/>
    <w:rsid w:val="00A809E7"/>
    <w:rPr>
      <w:rFonts w:ascii="Tahoma" w:hAnsi="Tahoma"/>
      <w:sz w:val="16"/>
      <w:lang w:val="x-none" w:eastAsia="cs-CZ"/>
    </w:rPr>
  </w:style>
  <w:style w:type="character" w:customStyle="1" w:styleId="truktradokumentuChar1218">
    <w:name w:val="Štruktúra dokumentu Char1218"/>
    <w:aliases w:val="Char9 Char Char1219,Štruktúra dokumentu Char Char Char1219,Document Map Char Char Char1219"/>
    <w:uiPriority w:val="99"/>
    <w:semiHidden/>
    <w:rsid w:val="00A809E7"/>
    <w:rPr>
      <w:rFonts w:ascii="Tahoma" w:hAnsi="Tahoma"/>
      <w:sz w:val="16"/>
      <w:lang w:val="x-none" w:eastAsia="cs-CZ"/>
    </w:rPr>
  </w:style>
  <w:style w:type="character" w:customStyle="1" w:styleId="truktradokumentuChar1217">
    <w:name w:val="Štruktúra dokumentu Char1217"/>
    <w:aliases w:val="Char9 Char Char1218,Štruktúra dokumentu Char Char Char1218,Document Map Char Char Char1218"/>
    <w:uiPriority w:val="99"/>
    <w:semiHidden/>
    <w:rsid w:val="00A809E7"/>
    <w:rPr>
      <w:rFonts w:ascii="Tahoma" w:hAnsi="Tahoma"/>
      <w:sz w:val="16"/>
      <w:lang w:val="x-none" w:eastAsia="cs-CZ"/>
    </w:rPr>
  </w:style>
  <w:style w:type="character" w:customStyle="1" w:styleId="truktradokumentuChar1216">
    <w:name w:val="Štruktúra dokumentu Char1216"/>
    <w:aliases w:val="Char9 Char Char1217,Štruktúra dokumentu Char Char Char1217,Document Map Char Char Char1217"/>
    <w:uiPriority w:val="99"/>
    <w:semiHidden/>
    <w:rsid w:val="00A809E7"/>
    <w:rPr>
      <w:rFonts w:ascii="Tahoma" w:hAnsi="Tahoma"/>
      <w:sz w:val="16"/>
      <w:lang w:val="x-none" w:eastAsia="cs-CZ"/>
    </w:rPr>
  </w:style>
  <w:style w:type="character" w:customStyle="1" w:styleId="truktradokumentuChar1215">
    <w:name w:val="Štruktúra dokumentu Char1215"/>
    <w:aliases w:val="Char9 Char Char1216,Štruktúra dokumentu Char Char Char1216,Document Map Char Char Char1216"/>
    <w:uiPriority w:val="99"/>
    <w:semiHidden/>
    <w:rsid w:val="00A809E7"/>
    <w:rPr>
      <w:rFonts w:ascii="Tahoma" w:hAnsi="Tahoma"/>
      <w:sz w:val="16"/>
      <w:lang w:val="x-none" w:eastAsia="cs-CZ"/>
    </w:rPr>
  </w:style>
  <w:style w:type="character" w:customStyle="1" w:styleId="truktradokumentuChar1214">
    <w:name w:val="Štruktúra dokumentu Char1214"/>
    <w:aliases w:val="Char9 Char Char1215,Štruktúra dokumentu Char Char Char1215,Document Map Char Char Char1215"/>
    <w:uiPriority w:val="99"/>
    <w:semiHidden/>
    <w:rsid w:val="00A809E7"/>
    <w:rPr>
      <w:rFonts w:ascii="Tahoma" w:hAnsi="Tahoma"/>
      <w:sz w:val="16"/>
      <w:lang w:val="x-none" w:eastAsia="cs-CZ"/>
    </w:rPr>
  </w:style>
  <w:style w:type="character" w:customStyle="1" w:styleId="truktradokumentuChar1213">
    <w:name w:val="Štruktúra dokumentu Char1213"/>
    <w:aliases w:val="Char9 Char Char1214,Štruktúra dokumentu Char Char Char1214,Document Map Char Char Char1214"/>
    <w:uiPriority w:val="99"/>
    <w:semiHidden/>
    <w:rsid w:val="00A809E7"/>
    <w:rPr>
      <w:rFonts w:ascii="Tahoma" w:hAnsi="Tahoma"/>
      <w:sz w:val="16"/>
      <w:lang w:val="x-none" w:eastAsia="cs-CZ"/>
    </w:rPr>
  </w:style>
  <w:style w:type="character" w:customStyle="1" w:styleId="truktradokumentuChar1212">
    <w:name w:val="Štruktúra dokumentu Char1212"/>
    <w:aliases w:val="Char9 Char Char1213,Štruktúra dokumentu Char Char Char1213,Document Map Char Char Char1213"/>
    <w:uiPriority w:val="99"/>
    <w:semiHidden/>
    <w:rsid w:val="00A809E7"/>
    <w:rPr>
      <w:rFonts w:ascii="Tahoma" w:hAnsi="Tahoma"/>
      <w:sz w:val="16"/>
      <w:lang w:val="x-none" w:eastAsia="cs-CZ"/>
    </w:rPr>
  </w:style>
  <w:style w:type="character" w:customStyle="1" w:styleId="truktradokumentuChar1211">
    <w:name w:val="Štruktúra dokumentu Char1211"/>
    <w:aliases w:val="Char9 Char Char1212,Štruktúra dokumentu Char Char Char1212,Document Map Char Char Char1212"/>
    <w:uiPriority w:val="99"/>
    <w:semiHidden/>
    <w:rsid w:val="00A809E7"/>
    <w:rPr>
      <w:rFonts w:ascii="Tahoma" w:hAnsi="Tahoma"/>
      <w:sz w:val="16"/>
      <w:lang w:val="x-none" w:eastAsia="cs-CZ"/>
    </w:rPr>
  </w:style>
  <w:style w:type="character" w:customStyle="1" w:styleId="truktradokumentuChar1210">
    <w:name w:val="Štruktúra dokumentu Char1210"/>
    <w:aliases w:val="Char9 Char Char1211,Štruktúra dokumentu Char Char Char1211,Document Map Char Char Char1211"/>
    <w:uiPriority w:val="99"/>
    <w:semiHidden/>
    <w:rsid w:val="00A809E7"/>
    <w:rPr>
      <w:rFonts w:ascii="Tahoma" w:hAnsi="Tahoma"/>
      <w:sz w:val="16"/>
      <w:lang w:val="x-none" w:eastAsia="cs-CZ"/>
    </w:rPr>
  </w:style>
  <w:style w:type="character" w:customStyle="1" w:styleId="truktradokumentuChar1209">
    <w:name w:val="Štruktúra dokumentu Char1209"/>
    <w:aliases w:val="Char9 Char Char1210,Štruktúra dokumentu Char Char Char1210,Document Map Char Char Char1210"/>
    <w:uiPriority w:val="99"/>
    <w:semiHidden/>
    <w:rsid w:val="00A809E7"/>
    <w:rPr>
      <w:rFonts w:ascii="Tahoma" w:hAnsi="Tahoma"/>
      <w:sz w:val="16"/>
      <w:lang w:val="x-none" w:eastAsia="cs-CZ"/>
    </w:rPr>
  </w:style>
  <w:style w:type="character" w:customStyle="1" w:styleId="truktradokumentuChar1208">
    <w:name w:val="Štruktúra dokumentu Char1208"/>
    <w:aliases w:val="Char9 Char Char1209,Štruktúra dokumentu Char Char Char1209,Document Map Char Char Char1209"/>
    <w:uiPriority w:val="99"/>
    <w:semiHidden/>
    <w:rsid w:val="00A809E7"/>
    <w:rPr>
      <w:rFonts w:ascii="Tahoma" w:hAnsi="Tahoma"/>
      <w:sz w:val="16"/>
      <w:lang w:val="x-none" w:eastAsia="cs-CZ"/>
    </w:rPr>
  </w:style>
  <w:style w:type="character" w:customStyle="1" w:styleId="truktradokumentuChar1207">
    <w:name w:val="Štruktúra dokumentu Char1207"/>
    <w:aliases w:val="Char9 Char Char1208,Štruktúra dokumentu Char Char Char1208,Document Map Char Char Char1208"/>
    <w:uiPriority w:val="99"/>
    <w:semiHidden/>
    <w:rsid w:val="00A809E7"/>
    <w:rPr>
      <w:rFonts w:ascii="Tahoma" w:hAnsi="Tahoma"/>
      <w:sz w:val="16"/>
      <w:lang w:val="x-none" w:eastAsia="cs-CZ"/>
    </w:rPr>
  </w:style>
  <w:style w:type="character" w:customStyle="1" w:styleId="truktradokumentuChar1206">
    <w:name w:val="Štruktúra dokumentu Char1206"/>
    <w:aliases w:val="Char9 Char Char1207,Štruktúra dokumentu Char Char Char1207,Document Map Char Char Char1207"/>
    <w:uiPriority w:val="99"/>
    <w:semiHidden/>
    <w:rsid w:val="00A809E7"/>
    <w:rPr>
      <w:rFonts w:ascii="Tahoma" w:hAnsi="Tahoma"/>
      <w:sz w:val="16"/>
      <w:lang w:val="x-none" w:eastAsia="cs-CZ"/>
    </w:rPr>
  </w:style>
  <w:style w:type="character" w:customStyle="1" w:styleId="truktradokumentuChar1205">
    <w:name w:val="Štruktúra dokumentu Char1205"/>
    <w:aliases w:val="Char9 Char Char1206,Štruktúra dokumentu Char Char Char1206,Document Map Char Char Char1206"/>
    <w:uiPriority w:val="99"/>
    <w:semiHidden/>
    <w:rsid w:val="00A809E7"/>
    <w:rPr>
      <w:rFonts w:ascii="Tahoma" w:hAnsi="Tahoma"/>
      <w:sz w:val="16"/>
      <w:lang w:val="x-none" w:eastAsia="cs-CZ"/>
    </w:rPr>
  </w:style>
  <w:style w:type="character" w:customStyle="1" w:styleId="truktradokumentuChar1204">
    <w:name w:val="Štruktúra dokumentu Char1204"/>
    <w:aliases w:val="Char9 Char Char1205,Štruktúra dokumentu Char Char Char1205,Document Map Char Char Char1205"/>
    <w:uiPriority w:val="99"/>
    <w:semiHidden/>
    <w:rsid w:val="00A809E7"/>
    <w:rPr>
      <w:rFonts w:ascii="Tahoma" w:hAnsi="Tahoma"/>
      <w:sz w:val="16"/>
      <w:lang w:val="x-none" w:eastAsia="cs-CZ"/>
    </w:rPr>
  </w:style>
  <w:style w:type="character" w:customStyle="1" w:styleId="truktradokumentuChar1203">
    <w:name w:val="Štruktúra dokumentu Char1203"/>
    <w:aliases w:val="Char9 Char Char1204,Štruktúra dokumentu Char Char Char1204,Document Map Char Char Char1204"/>
    <w:uiPriority w:val="99"/>
    <w:semiHidden/>
    <w:rsid w:val="00A809E7"/>
    <w:rPr>
      <w:rFonts w:ascii="Tahoma" w:hAnsi="Tahoma"/>
      <w:sz w:val="16"/>
      <w:lang w:val="x-none" w:eastAsia="cs-CZ"/>
    </w:rPr>
  </w:style>
  <w:style w:type="character" w:customStyle="1" w:styleId="truktradokumentuChar1202">
    <w:name w:val="Štruktúra dokumentu Char1202"/>
    <w:aliases w:val="Char9 Char Char1203,Štruktúra dokumentu Char Char Char1203,Document Map Char Char Char1203"/>
    <w:uiPriority w:val="99"/>
    <w:semiHidden/>
    <w:rsid w:val="00A809E7"/>
    <w:rPr>
      <w:rFonts w:ascii="Tahoma" w:hAnsi="Tahoma"/>
      <w:sz w:val="16"/>
      <w:lang w:val="x-none" w:eastAsia="cs-CZ"/>
    </w:rPr>
  </w:style>
  <w:style w:type="character" w:customStyle="1" w:styleId="truktradokumentuChar1201">
    <w:name w:val="Štruktúra dokumentu Char1201"/>
    <w:aliases w:val="Char9 Char Char1202,Štruktúra dokumentu Char Char Char1202,Document Map Char Char Char1202"/>
    <w:uiPriority w:val="99"/>
    <w:semiHidden/>
    <w:rsid w:val="00A809E7"/>
    <w:rPr>
      <w:rFonts w:ascii="Tahoma" w:hAnsi="Tahoma"/>
      <w:sz w:val="16"/>
      <w:lang w:val="x-none" w:eastAsia="cs-CZ"/>
    </w:rPr>
  </w:style>
  <w:style w:type="character" w:customStyle="1" w:styleId="truktradokumentuChar1200">
    <w:name w:val="Štruktúra dokumentu Char1200"/>
    <w:aliases w:val="Char9 Char Char1201,Štruktúra dokumentu Char Char Char1201,Document Map Char Char Char1201"/>
    <w:uiPriority w:val="99"/>
    <w:semiHidden/>
    <w:rsid w:val="00A809E7"/>
    <w:rPr>
      <w:rFonts w:ascii="Tahoma" w:hAnsi="Tahoma"/>
      <w:sz w:val="16"/>
      <w:lang w:val="x-none" w:eastAsia="cs-CZ"/>
    </w:rPr>
  </w:style>
  <w:style w:type="character" w:customStyle="1" w:styleId="truktradokumentuChar1199">
    <w:name w:val="Štruktúra dokumentu Char1199"/>
    <w:aliases w:val="Char9 Char Char1200,Štruktúra dokumentu Char Char Char1200,Document Map Char Char Char1200"/>
    <w:uiPriority w:val="99"/>
    <w:semiHidden/>
    <w:rsid w:val="00A809E7"/>
    <w:rPr>
      <w:rFonts w:ascii="Tahoma" w:hAnsi="Tahoma"/>
      <w:sz w:val="16"/>
      <w:lang w:val="x-none" w:eastAsia="cs-CZ"/>
    </w:rPr>
  </w:style>
  <w:style w:type="character" w:customStyle="1" w:styleId="truktradokumentuChar1198">
    <w:name w:val="Štruktúra dokumentu Char1198"/>
    <w:aliases w:val="Char9 Char Char1199,Štruktúra dokumentu Char Char Char1199,Document Map Char Char Char1199"/>
    <w:uiPriority w:val="99"/>
    <w:semiHidden/>
    <w:rsid w:val="00A809E7"/>
    <w:rPr>
      <w:rFonts w:ascii="Tahoma" w:hAnsi="Tahoma"/>
      <w:sz w:val="16"/>
      <w:lang w:val="x-none" w:eastAsia="cs-CZ"/>
    </w:rPr>
  </w:style>
  <w:style w:type="character" w:customStyle="1" w:styleId="truktradokumentuChar1197">
    <w:name w:val="Štruktúra dokumentu Char1197"/>
    <w:aliases w:val="Char9 Char Char1198,Štruktúra dokumentu Char Char Char1198,Document Map Char Char Char1198"/>
    <w:uiPriority w:val="99"/>
    <w:semiHidden/>
    <w:rsid w:val="00A809E7"/>
    <w:rPr>
      <w:rFonts w:ascii="Tahoma" w:hAnsi="Tahoma"/>
      <w:sz w:val="16"/>
      <w:lang w:val="x-none" w:eastAsia="cs-CZ"/>
    </w:rPr>
  </w:style>
  <w:style w:type="character" w:customStyle="1" w:styleId="truktradokumentuChar1196">
    <w:name w:val="Štruktúra dokumentu Char1196"/>
    <w:aliases w:val="Char9 Char Char1197,Štruktúra dokumentu Char Char Char1197,Document Map Char Char Char1197"/>
    <w:uiPriority w:val="99"/>
    <w:semiHidden/>
    <w:rsid w:val="00A809E7"/>
    <w:rPr>
      <w:rFonts w:ascii="Tahoma" w:hAnsi="Tahoma"/>
      <w:sz w:val="16"/>
      <w:lang w:val="x-none" w:eastAsia="cs-CZ"/>
    </w:rPr>
  </w:style>
  <w:style w:type="character" w:customStyle="1" w:styleId="truktradokumentuChar1195">
    <w:name w:val="Štruktúra dokumentu Char1195"/>
    <w:aliases w:val="Char9 Char Char1196,Štruktúra dokumentu Char Char Char1196,Document Map Char Char Char1196"/>
    <w:uiPriority w:val="99"/>
    <w:semiHidden/>
    <w:rsid w:val="00A809E7"/>
    <w:rPr>
      <w:rFonts w:ascii="Tahoma" w:hAnsi="Tahoma"/>
      <w:sz w:val="16"/>
      <w:lang w:val="x-none" w:eastAsia="cs-CZ"/>
    </w:rPr>
  </w:style>
  <w:style w:type="character" w:customStyle="1" w:styleId="truktradokumentuChar1194">
    <w:name w:val="Štruktúra dokumentu Char1194"/>
    <w:aliases w:val="Char9 Char Char1195,Štruktúra dokumentu Char Char Char1195,Document Map Char Char Char1195"/>
    <w:uiPriority w:val="99"/>
    <w:semiHidden/>
    <w:rsid w:val="00A809E7"/>
    <w:rPr>
      <w:rFonts w:ascii="Tahoma" w:hAnsi="Tahoma"/>
      <w:sz w:val="16"/>
      <w:lang w:val="x-none" w:eastAsia="cs-CZ"/>
    </w:rPr>
  </w:style>
  <w:style w:type="character" w:customStyle="1" w:styleId="truktradokumentuChar1193">
    <w:name w:val="Štruktúra dokumentu Char1193"/>
    <w:aliases w:val="Char9 Char Char1194,Štruktúra dokumentu Char Char Char1194,Document Map Char Char Char1194"/>
    <w:uiPriority w:val="99"/>
    <w:semiHidden/>
    <w:rsid w:val="00A809E7"/>
    <w:rPr>
      <w:rFonts w:ascii="Tahoma" w:hAnsi="Tahoma"/>
      <w:sz w:val="16"/>
      <w:lang w:val="x-none" w:eastAsia="cs-CZ"/>
    </w:rPr>
  </w:style>
  <w:style w:type="character" w:customStyle="1" w:styleId="truktradokumentuChar1192">
    <w:name w:val="Štruktúra dokumentu Char1192"/>
    <w:aliases w:val="Char9 Char Char1193,Štruktúra dokumentu Char Char Char1193,Document Map Char Char Char1193"/>
    <w:uiPriority w:val="99"/>
    <w:semiHidden/>
    <w:rsid w:val="00A809E7"/>
    <w:rPr>
      <w:rFonts w:ascii="Tahoma" w:hAnsi="Tahoma"/>
      <w:sz w:val="16"/>
      <w:lang w:val="x-none" w:eastAsia="cs-CZ"/>
    </w:rPr>
  </w:style>
  <w:style w:type="character" w:customStyle="1" w:styleId="truktradokumentuChar1191">
    <w:name w:val="Štruktúra dokumentu Char1191"/>
    <w:aliases w:val="Char9 Char Char1192,Štruktúra dokumentu Char Char Char1192,Document Map Char Char Char1192"/>
    <w:uiPriority w:val="99"/>
    <w:semiHidden/>
    <w:rsid w:val="00A809E7"/>
    <w:rPr>
      <w:rFonts w:ascii="Tahoma" w:hAnsi="Tahoma"/>
      <w:sz w:val="16"/>
      <w:lang w:val="x-none" w:eastAsia="cs-CZ"/>
    </w:rPr>
  </w:style>
  <w:style w:type="character" w:customStyle="1" w:styleId="truktradokumentuChar1190">
    <w:name w:val="Štruktúra dokumentu Char1190"/>
    <w:aliases w:val="Char9 Char Char1191,Štruktúra dokumentu Char Char Char1191,Document Map Char Char Char1191"/>
    <w:uiPriority w:val="99"/>
    <w:semiHidden/>
    <w:rsid w:val="00A809E7"/>
    <w:rPr>
      <w:rFonts w:ascii="Tahoma" w:hAnsi="Tahoma"/>
      <w:sz w:val="16"/>
      <w:lang w:val="x-none" w:eastAsia="cs-CZ"/>
    </w:rPr>
  </w:style>
  <w:style w:type="character" w:customStyle="1" w:styleId="truktradokumentuChar1189">
    <w:name w:val="Štruktúra dokumentu Char1189"/>
    <w:aliases w:val="Char9 Char Char1190,Štruktúra dokumentu Char Char Char1190,Document Map Char Char Char1190"/>
    <w:uiPriority w:val="99"/>
    <w:semiHidden/>
    <w:rsid w:val="00A809E7"/>
    <w:rPr>
      <w:rFonts w:ascii="Tahoma" w:hAnsi="Tahoma"/>
      <w:sz w:val="16"/>
      <w:lang w:val="x-none" w:eastAsia="cs-CZ"/>
    </w:rPr>
  </w:style>
  <w:style w:type="character" w:customStyle="1" w:styleId="truktradokumentuChar1188">
    <w:name w:val="Štruktúra dokumentu Char1188"/>
    <w:aliases w:val="Char9 Char Char1189,Štruktúra dokumentu Char Char Char1189,Document Map Char Char Char1189"/>
    <w:uiPriority w:val="99"/>
    <w:semiHidden/>
    <w:rsid w:val="00A809E7"/>
    <w:rPr>
      <w:rFonts w:ascii="Tahoma" w:hAnsi="Tahoma"/>
      <w:sz w:val="16"/>
      <w:lang w:val="x-none" w:eastAsia="cs-CZ"/>
    </w:rPr>
  </w:style>
  <w:style w:type="character" w:customStyle="1" w:styleId="truktradokumentuChar1187">
    <w:name w:val="Štruktúra dokumentu Char1187"/>
    <w:aliases w:val="Char9 Char Char1188,Štruktúra dokumentu Char Char Char1188,Document Map Char Char Char1188"/>
    <w:uiPriority w:val="99"/>
    <w:semiHidden/>
    <w:rsid w:val="00A809E7"/>
    <w:rPr>
      <w:rFonts w:ascii="Tahoma" w:hAnsi="Tahoma"/>
      <w:sz w:val="16"/>
      <w:lang w:val="x-none" w:eastAsia="cs-CZ"/>
    </w:rPr>
  </w:style>
  <w:style w:type="character" w:customStyle="1" w:styleId="truktradokumentuChar1186">
    <w:name w:val="Štruktúra dokumentu Char1186"/>
    <w:aliases w:val="Char9 Char Char1187,Štruktúra dokumentu Char Char Char1187,Document Map Char Char Char1187"/>
    <w:uiPriority w:val="99"/>
    <w:semiHidden/>
    <w:rsid w:val="00A809E7"/>
    <w:rPr>
      <w:rFonts w:ascii="Tahoma" w:hAnsi="Tahoma"/>
      <w:sz w:val="16"/>
      <w:lang w:val="x-none" w:eastAsia="cs-CZ"/>
    </w:rPr>
  </w:style>
  <w:style w:type="character" w:customStyle="1" w:styleId="truktradokumentuChar1185">
    <w:name w:val="Štruktúra dokumentu Char1185"/>
    <w:aliases w:val="Char9 Char Char1186,Štruktúra dokumentu Char Char Char1186,Document Map Char Char Char1186"/>
    <w:uiPriority w:val="99"/>
    <w:semiHidden/>
    <w:rsid w:val="00A809E7"/>
    <w:rPr>
      <w:rFonts w:ascii="Tahoma" w:hAnsi="Tahoma"/>
      <w:sz w:val="16"/>
      <w:lang w:val="x-none" w:eastAsia="cs-CZ"/>
    </w:rPr>
  </w:style>
  <w:style w:type="character" w:customStyle="1" w:styleId="truktradokumentuChar1184">
    <w:name w:val="Štruktúra dokumentu Char1184"/>
    <w:aliases w:val="Char9 Char Char1185,Štruktúra dokumentu Char Char Char1185,Document Map Char Char Char1185"/>
    <w:uiPriority w:val="99"/>
    <w:semiHidden/>
    <w:rsid w:val="00A809E7"/>
    <w:rPr>
      <w:rFonts w:ascii="Tahoma" w:hAnsi="Tahoma"/>
      <w:sz w:val="16"/>
      <w:lang w:val="x-none" w:eastAsia="cs-CZ"/>
    </w:rPr>
  </w:style>
  <w:style w:type="character" w:customStyle="1" w:styleId="truktradokumentuChar1183">
    <w:name w:val="Štruktúra dokumentu Char1183"/>
    <w:aliases w:val="Char9 Char Char1184,Štruktúra dokumentu Char Char Char1184,Document Map Char Char Char1184"/>
    <w:uiPriority w:val="99"/>
    <w:semiHidden/>
    <w:rsid w:val="00A809E7"/>
    <w:rPr>
      <w:rFonts w:ascii="Tahoma" w:hAnsi="Tahoma"/>
      <w:sz w:val="16"/>
      <w:lang w:val="x-none" w:eastAsia="cs-CZ"/>
    </w:rPr>
  </w:style>
  <w:style w:type="character" w:customStyle="1" w:styleId="truktradokumentuChar1182">
    <w:name w:val="Štruktúra dokumentu Char1182"/>
    <w:aliases w:val="Char9 Char Char1183,Štruktúra dokumentu Char Char Char1183,Document Map Char Char Char1183"/>
    <w:uiPriority w:val="99"/>
    <w:semiHidden/>
    <w:rsid w:val="00A809E7"/>
    <w:rPr>
      <w:rFonts w:ascii="Tahoma" w:hAnsi="Tahoma"/>
      <w:sz w:val="16"/>
      <w:lang w:val="x-none" w:eastAsia="cs-CZ"/>
    </w:rPr>
  </w:style>
  <w:style w:type="character" w:customStyle="1" w:styleId="truktradokumentuChar1181">
    <w:name w:val="Štruktúra dokumentu Char1181"/>
    <w:aliases w:val="Char9 Char Char1182,Štruktúra dokumentu Char Char Char1182,Document Map Char Char Char1182"/>
    <w:uiPriority w:val="99"/>
    <w:semiHidden/>
    <w:rsid w:val="00A809E7"/>
    <w:rPr>
      <w:rFonts w:ascii="Tahoma" w:hAnsi="Tahoma"/>
      <w:sz w:val="16"/>
      <w:lang w:val="x-none" w:eastAsia="cs-CZ"/>
    </w:rPr>
  </w:style>
  <w:style w:type="character" w:customStyle="1" w:styleId="truktradokumentuChar1180">
    <w:name w:val="Štruktúra dokumentu Char1180"/>
    <w:aliases w:val="Char9 Char Char1181,Štruktúra dokumentu Char Char Char1181,Document Map Char Char Char1181"/>
    <w:uiPriority w:val="99"/>
    <w:semiHidden/>
    <w:rsid w:val="00A809E7"/>
    <w:rPr>
      <w:rFonts w:ascii="Tahoma" w:hAnsi="Tahoma"/>
      <w:sz w:val="16"/>
      <w:lang w:val="x-none" w:eastAsia="cs-CZ"/>
    </w:rPr>
  </w:style>
  <w:style w:type="character" w:customStyle="1" w:styleId="truktradokumentuChar1179">
    <w:name w:val="Štruktúra dokumentu Char1179"/>
    <w:aliases w:val="Char9 Char Char1180,Štruktúra dokumentu Char Char Char1180,Document Map Char Char Char1180"/>
    <w:uiPriority w:val="99"/>
    <w:semiHidden/>
    <w:rsid w:val="00A809E7"/>
    <w:rPr>
      <w:rFonts w:ascii="Tahoma" w:hAnsi="Tahoma"/>
      <w:sz w:val="16"/>
      <w:lang w:val="x-none" w:eastAsia="cs-CZ"/>
    </w:rPr>
  </w:style>
  <w:style w:type="character" w:customStyle="1" w:styleId="truktradokumentuChar1178">
    <w:name w:val="Štruktúra dokumentu Char1178"/>
    <w:aliases w:val="Char9 Char Char1179,Štruktúra dokumentu Char Char Char1179,Document Map Char Char Char1179"/>
    <w:uiPriority w:val="99"/>
    <w:semiHidden/>
    <w:rsid w:val="00A809E7"/>
    <w:rPr>
      <w:rFonts w:ascii="Tahoma" w:hAnsi="Tahoma"/>
      <w:sz w:val="16"/>
      <w:lang w:val="x-none" w:eastAsia="cs-CZ"/>
    </w:rPr>
  </w:style>
  <w:style w:type="character" w:customStyle="1" w:styleId="truktradokumentuChar1177">
    <w:name w:val="Štruktúra dokumentu Char1177"/>
    <w:aliases w:val="Char9 Char Char1178,Štruktúra dokumentu Char Char Char1178,Document Map Char Char Char1178"/>
    <w:uiPriority w:val="99"/>
    <w:semiHidden/>
    <w:rsid w:val="00A809E7"/>
    <w:rPr>
      <w:rFonts w:ascii="Tahoma" w:hAnsi="Tahoma"/>
      <w:sz w:val="16"/>
      <w:lang w:val="x-none" w:eastAsia="cs-CZ"/>
    </w:rPr>
  </w:style>
  <w:style w:type="character" w:customStyle="1" w:styleId="truktradokumentuChar1176">
    <w:name w:val="Štruktúra dokumentu Char1176"/>
    <w:aliases w:val="Char9 Char Char1177,Štruktúra dokumentu Char Char Char1177,Document Map Char Char Char1177"/>
    <w:uiPriority w:val="99"/>
    <w:semiHidden/>
    <w:rsid w:val="00A809E7"/>
    <w:rPr>
      <w:rFonts w:ascii="Tahoma" w:hAnsi="Tahoma"/>
      <w:sz w:val="16"/>
      <w:lang w:val="x-none" w:eastAsia="cs-CZ"/>
    </w:rPr>
  </w:style>
  <w:style w:type="character" w:customStyle="1" w:styleId="truktradokumentuChar1175">
    <w:name w:val="Štruktúra dokumentu Char1175"/>
    <w:aliases w:val="Char9 Char Char1176,Štruktúra dokumentu Char Char Char1176,Document Map Char Char Char1176"/>
    <w:uiPriority w:val="99"/>
    <w:semiHidden/>
    <w:rsid w:val="00A809E7"/>
    <w:rPr>
      <w:rFonts w:ascii="Tahoma" w:hAnsi="Tahoma"/>
      <w:sz w:val="16"/>
      <w:lang w:val="x-none" w:eastAsia="cs-CZ"/>
    </w:rPr>
  </w:style>
  <w:style w:type="character" w:customStyle="1" w:styleId="truktradokumentuChar1174">
    <w:name w:val="Štruktúra dokumentu Char1174"/>
    <w:aliases w:val="Char9 Char Char1175,Štruktúra dokumentu Char Char Char1175,Document Map Char Char Char1175"/>
    <w:uiPriority w:val="99"/>
    <w:semiHidden/>
    <w:rsid w:val="00A809E7"/>
    <w:rPr>
      <w:rFonts w:ascii="Tahoma" w:hAnsi="Tahoma"/>
      <w:sz w:val="16"/>
      <w:lang w:val="x-none" w:eastAsia="cs-CZ"/>
    </w:rPr>
  </w:style>
  <w:style w:type="character" w:customStyle="1" w:styleId="truktradokumentuChar1173">
    <w:name w:val="Štruktúra dokumentu Char1173"/>
    <w:aliases w:val="Char9 Char Char1174,Štruktúra dokumentu Char Char Char1174,Document Map Char Char Char1174"/>
    <w:uiPriority w:val="99"/>
    <w:semiHidden/>
    <w:rsid w:val="00A809E7"/>
    <w:rPr>
      <w:rFonts w:ascii="Tahoma" w:hAnsi="Tahoma"/>
      <w:sz w:val="16"/>
      <w:lang w:val="x-none" w:eastAsia="cs-CZ"/>
    </w:rPr>
  </w:style>
  <w:style w:type="character" w:customStyle="1" w:styleId="truktradokumentuChar1172">
    <w:name w:val="Štruktúra dokumentu Char1172"/>
    <w:aliases w:val="Char9 Char Char1173,Štruktúra dokumentu Char Char Char1173,Document Map Char Char Char1173"/>
    <w:uiPriority w:val="99"/>
    <w:semiHidden/>
    <w:rsid w:val="00A809E7"/>
    <w:rPr>
      <w:rFonts w:ascii="Tahoma" w:hAnsi="Tahoma"/>
      <w:sz w:val="16"/>
      <w:lang w:val="x-none" w:eastAsia="cs-CZ"/>
    </w:rPr>
  </w:style>
  <w:style w:type="character" w:customStyle="1" w:styleId="truktradokumentuChar1171">
    <w:name w:val="Štruktúra dokumentu Char1171"/>
    <w:aliases w:val="Char9 Char Char1172,Štruktúra dokumentu Char Char Char1172,Document Map Char Char Char1172"/>
    <w:uiPriority w:val="99"/>
    <w:semiHidden/>
    <w:rsid w:val="00A809E7"/>
    <w:rPr>
      <w:rFonts w:ascii="Tahoma" w:hAnsi="Tahoma"/>
      <w:sz w:val="16"/>
      <w:lang w:val="x-none" w:eastAsia="cs-CZ"/>
    </w:rPr>
  </w:style>
  <w:style w:type="character" w:customStyle="1" w:styleId="truktradokumentuChar1165">
    <w:name w:val="Štruktúra dokumentu Char1165"/>
    <w:aliases w:val="Char9 Char Char1166,Štruktúra dokumentu Char Char Char1166,Document Map Char Char Char1166"/>
    <w:uiPriority w:val="99"/>
    <w:semiHidden/>
    <w:rsid w:val="00A809E7"/>
    <w:rPr>
      <w:rFonts w:ascii="Tahoma" w:hAnsi="Tahoma"/>
      <w:sz w:val="16"/>
      <w:lang w:val="x-none" w:eastAsia="cs-CZ"/>
    </w:rPr>
  </w:style>
  <w:style w:type="character" w:customStyle="1" w:styleId="truktradokumentuChar1164">
    <w:name w:val="Štruktúra dokumentu Char1164"/>
    <w:aliases w:val="Char9 Char Char1165,Štruktúra dokumentu Char Char Char1165,Document Map Char Char Char1165"/>
    <w:uiPriority w:val="99"/>
    <w:semiHidden/>
    <w:rsid w:val="00A809E7"/>
    <w:rPr>
      <w:rFonts w:ascii="Tahoma" w:hAnsi="Tahoma"/>
      <w:sz w:val="16"/>
      <w:lang w:val="x-none" w:eastAsia="cs-CZ"/>
    </w:rPr>
  </w:style>
  <w:style w:type="character" w:customStyle="1" w:styleId="truktradokumentuChar1163">
    <w:name w:val="Štruktúra dokumentu Char1163"/>
    <w:aliases w:val="Char9 Char Char1164,Štruktúra dokumentu Char Char Char1164,Document Map Char Char Char1164"/>
    <w:uiPriority w:val="99"/>
    <w:semiHidden/>
    <w:rsid w:val="00A809E7"/>
    <w:rPr>
      <w:rFonts w:ascii="Tahoma" w:hAnsi="Tahoma"/>
      <w:sz w:val="16"/>
      <w:lang w:val="x-none" w:eastAsia="cs-CZ"/>
    </w:rPr>
  </w:style>
  <w:style w:type="character" w:customStyle="1" w:styleId="truktradokumentuChar1162">
    <w:name w:val="Štruktúra dokumentu Char1162"/>
    <w:aliases w:val="Char9 Char Char1163,Štruktúra dokumentu Char Char Char1163,Document Map Char Char Char1163"/>
    <w:uiPriority w:val="99"/>
    <w:semiHidden/>
    <w:rsid w:val="00A809E7"/>
    <w:rPr>
      <w:rFonts w:ascii="Tahoma" w:hAnsi="Tahoma"/>
      <w:sz w:val="16"/>
      <w:lang w:val="x-none" w:eastAsia="cs-CZ"/>
    </w:rPr>
  </w:style>
  <w:style w:type="character" w:customStyle="1" w:styleId="truktradokumentuChar1161">
    <w:name w:val="Štruktúra dokumentu Char1161"/>
    <w:aliases w:val="Char9 Char Char1162,Štruktúra dokumentu Char Char Char1162,Document Map Char Char Char1162"/>
    <w:uiPriority w:val="99"/>
    <w:semiHidden/>
    <w:rsid w:val="00A809E7"/>
    <w:rPr>
      <w:rFonts w:ascii="Tahoma" w:hAnsi="Tahoma"/>
      <w:sz w:val="16"/>
      <w:lang w:val="x-none" w:eastAsia="cs-CZ"/>
    </w:rPr>
  </w:style>
  <w:style w:type="character" w:customStyle="1" w:styleId="truktradokumentuChar1160">
    <w:name w:val="Štruktúra dokumentu Char1160"/>
    <w:aliases w:val="Char9 Char Char1161,Štruktúra dokumentu Char Char Char1161,Document Map Char Char Char1161"/>
    <w:uiPriority w:val="99"/>
    <w:semiHidden/>
    <w:rsid w:val="00A809E7"/>
    <w:rPr>
      <w:rFonts w:ascii="Tahoma" w:hAnsi="Tahoma"/>
      <w:sz w:val="16"/>
      <w:lang w:val="x-none" w:eastAsia="cs-CZ"/>
    </w:rPr>
  </w:style>
  <w:style w:type="character" w:customStyle="1" w:styleId="truktradokumentuChar1159">
    <w:name w:val="Štruktúra dokumentu Char1159"/>
    <w:aliases w:val="Char9 Char Char1160,Štruktúra dokumentu Char Char Char1160,Document Map Char Char Char1160"/>
    <w:uiPriority w:val="99"/>
    <w:semiHidden/>
    <w:rsid w:val="00A809E7"/>
    <w:rPr>
      <w:rFonts w:ascii="Tahoma" w:hAnsi="Tahoma"/>
      <w:sz w:val="16"/>
      <w:lang w:val="x-none" w:eastAsia="cs-CZ"/>
    </w:rPr>
  </w:style>
  <w:style w:type="character" w:customStyle="1" w:styleId="truktradokumentuChar1158">
    <w:name w:val="Štruktúra dokumentu Char1158"/>
    <w:aliases w:val="Char9 Char Char1159,Štruktúra dokumentu Char Char Char1159,Document Map Char Char Char1159"/>
    <w:uiPriority w:val="99"/>
    <w:semiHidden/>
    <w:rsid w:val="00A809E7"/>
    <w:rPr>
      <w:rFonts w:ascii="Tahoma" w:hAnsi="Tahoma"/>
      <w:sz w:val="16"/>
      <w:lang w:val="x-none" w:eastAsia="cs-CZ"/>
    </w:rPr>
  </w:style>
  <w:style w:type="character" w:customStyle="1" w:styleId="truktradokumentuChar1157">
    <w:name w:val="Štruktúra dokumentu Char1157"/>
    <w:aliases w:val="Char9 Char Char1158,Štruktúra dokumentu Char Char Char1158,Document Map Char Char Char1158"/>
    <w:uiPriority w:val="99"/>
    <w:semiHidden/>
    <w:rsid w:val="00A809E7"/>
    <w:rPr>
      <w:rFonts w:ascii="Tahoma" w:hAnsi="Tahoma"/>
      <w:sz w:val="16"/>
      <w:lang w:val="x-none" w:eastAsia="cs-CZ"/>
    </w:rPr>
  </w:style>
  <w:style w:type="character" w:customStyle="1" w:styleId="truktradokumentuChar1156">
    <w:name w:val="Štruktúra dokumentu Char1156"/>
    <w:aliases w:val="Char9 Char Char1157,Štruktúra dokumentu Char Char Char1157,Document Map Char Char Char1157"/>
    <w:uiPriority w:val="99"/>
    <w:semiHidden/>
    <w:rsid w:val="00A809E7"/>
    <w:rPr>
      <w:rFonts w:ascii="Tahoma" w:hAnsi="Tahoma"/>
      <w:sz w:val="16"/>
      <w:lang w:val="x-none" w:eastAsia="cs-CZ"/>
    </w:rPr>
  </w:style>
  <w:style w:type="character" w:customStyle="1" w:styleId="truktradokumentuChar1155">
    <w:name w:val="Štruktúra dokumentu Char1155"/>
    <w:aliases w:val="Char9 Char Char1156,Štruktúra dokumentu Char Char Char1156,Document Map Char Char Char1156"/>
    <w:uiPriority w:val="99"/>
    <w:semiHidden/>
    <w:rsid w:val="00A809E7"/>
    <w:rPr>
      <w:rFonts w:ascii="Tahoma" w:hAnsi="Tahoma"/>
      <w:sz w:val="16"/>
      <w:lang w:val="x-none" w:eastAsia="cs-CZ"/>
    </w:rPr>
  </w:style>
  <w:style w:type="character" w:customStyle="1" w:styleId="truktradokumentuChar1154">
    <w:name w:val="Štruktúra dokumentu Char1154"/>
    <w:aliases w:val="Char9 Char Char1155,Štruktúra dokumentu Char Char Char1155,Document Map Char Char Char1155"/>
    <w:uiPriority w:val="99"/>
    <w:semiHidden/>
    <w:rsid w:val="00A809E7"/>
    <w:rPr>
      <w:rFonts w:ascii="Tahoma" w:hAnsi="Tahoma"/>
      <w:sz w:val="16"/>
      <w:lang w:val="x-none" w:eastAsia="cs-CZ"/>
    </w:rPr>
  </w:style>
  <w:style w:type="character" w:customStyle="1" w:styleId="truktradokumentuChar1153">
    <w:name w:val="Štruktúra dokumentu Char1153"/>
    <w:aliases w:val="Char9 Char Char1154,Štruktúra dokumentu Char Char Char1154,Document Map Char Char Char1154"/>
    <w:uiPriority w:val="99"/>
    <w:semiHidden/>
    <w:rsid w:val="00A809E7"/>
    <w:rPr>
      <w:rFonts w:ascii="Tahoma" w:hAnsi="Tahoma"/>
      <w:sz w:val="16"/>
      <w:lang w:val="x-none" w:eastAsia="cs-CZ"/>
    </w:rPr>
  </w:style>
  <w:style w:type="character" w:customStyle="1" w:styleId="truktradokumentuChar1152">
    <w:name w:val="Štruktúra dokumentu Char1152"/>
    <w:aliases w:val="Char9 Char Char1153,Štruktúra dokumentu Char Char Char1153,Document Map Char Char Char1153"/>
    <w:uiPriority w:val="99"/>
    <w:semiHidden/>
    <w:rsid w:val="00A809E7"/>
    <w:rPr>
      <w:rFonts w:ascii="Tahoma" w:hAnsi="Tahoma"/>
      <w:sz w:val="16"/>
      <w:lang w:val="x-none" w:eastAsia="cs-CZ"/>
    </w:rPr>
  </w:style>
  <w:style w:type="character" w:customStyle="1" w:styleId="truktradokumentuChar1151">
    <w:name w:val="Štruktúra dokumentu Char1151"/>
    <w:aliases w:val="Char9 Char Char1152,Štruktúra dokumentu Char Char Char1152,Document Map Char Char Char1152"/>
    <w:uiPriority w:val="99"/>
    <w:semiHidden/>
    <w:rsid w:val="00A809E7"/>
    <w:rPr>
      <w:rFonts w:ascii="Tahoma" w:hAnsi="Tahoma"/>
      <w:sz w:val="16"/>
      <w:lang w:val="x-none" w:eastAsia="cs-CZ"/>
    </w:rPr>
  </w:style>
  <w:style w:type="character" w:customStyle="1" w:styleId="truktradokumentuChar1150">
    <w:name w:val="Štruktúra dokumentu Char1150"/>
    <w:aliases w:val="Char9 Char Char1151,Štruktúra dokumentu Char Char Char1151,Document Map Char Char Char1151"/>
    <w:uiPriority w:val="99"/>
    <w:semiHidden/>
    <w:rsid w:val="00A809E7"/>
    <w:rPr>
      <w:rFonts w:ascii="Tahoma" w:hAnsi="Tahoma"/>
      <w:sz w:val="16"/>
      <w:lang w:val="x-none" w:eastAsia="cs-CZ"/>
    </w:rPr>
  </w:style>
  <w:style w:type="character" w:customStyle="1" w:styleId="truktradokumentuChar1149">
    <w:name w:val="Štruktúra dokumentu Char1149"/>
    <w:aliases w:val="Char9 Char Char1150,Štruktúra dokumentu Char Char Char1150,Document Map Char Char Char1150"/>
    <w:uiPriority w:val="99"/>
    <w:semiHidden/>
    <w:rsid w:val="00A809E7"/>
    <w:rPr>
      <w:rFonts w:ascii="Tahoma" w:hAnsi="Tahoma"/>
      <w:sz w:val="16"/>
      <w:lang w:val="x-none" w:eastAsia="cs-CZ"/>
    </w:rPr>
  </w:style>
  <w:style w:type="character" w:customStyle="1" w:styleId="truktradokumentuChar1148">
    <w:name w:val="Štruktúra dokumentu Char1148"/>
    <w:aliases w:val="Char9 Char Char1149,Štruktúra dokumentu Char Char Char1149,Document Map Char Char Char1149"/>
    <w:uiPriority w:val="99"/>
    <w:semiHidden/>
    <w:rsid w:val="00A809E7"/>
    <w:rPr>
      <w:rFonts w:ascii="Tahoma" w:hAnsi="Tahoma"/>
      <w:sz w:val="16"/>
      <w:lang w:val="x-none" w:eastAsia="cs-CZ"/>
    </w:rPr>
  </w:style>
  <w:style w:type="character" w:customStyle="1" w:styleId="truktradokumentuChar1147">
    <w:name w:val="Štruktúra dokumentu Char1147"/>
    <w:aliases w:val="Char9 Char Char1148,Štruktúra dokumentu Char Char Char1148,Document Map Char Char Char1148"/>
    <w:uiPriority w:val="99"/>
    <w:semiHidden/>
    <w:rsid w:val="00A809E7"/>
    <w:rPr>
      <w:rFonts w:ascii="Tahoma" w:hAnsi="Tahoma"/>
      <w:sz w:val="16"/>
      <w:lang w:val="x-none" w:eastAsia="cs-CZ"/>
    </w:rPr>
  </w:style>
  <w:style w:type="character" w:customStyle="1" w:styleId="truktradokumentuChar1146">
    <w:name w:val="Štruktúra dokumentu Char1146"/>
    <w:aliases w:val="Char9 Char Char1147,Štruktúra dokumentu Char Char Char1147,Document Map Char Char Char1147"/>
    <w:uiPriority w:val="99"/>
    <w:semiHidden/>
    <w:rsid w:val="00A809E7"/>
    <w:rPr>
      <w:rFonts w:ascii="Tahoma" w:hAnsi="Tahoma"/>
      <w:sz w:val="16"/>
      <w:lang w:val="x-none" w:eastAsia="cs-CZ"/>
    </w:rPr>
  </w:style>
  <w:style w:type="character" w:customStyle="1" w:styleId="truktradokumentuChar1145">
    <w:name w:val="Štruktúra dokumentu Char1145"/>
    <w:aliases w:val="Char9 Char Char1146,Štruktúra dokumentu Char Char Char1146,Document Map Char Char Char1146"/>
    <w:uiPriority w:val="99"/>
    <w:semiHidden/>
    <w:rsid w:val="00A809E7"/>
    <w:rPr>
      <w:rFonts w:ascii="Tahoma" w:hAnsi="Tahoma"/>
      <w:sz w:val="16"/>
      <w:lang w:val="x-none" w:eastAsia="cs-CZ"/>
    </w:rPr>
  </w:style>
  <w:style w:type="character" w:customStyle="1" w:styleId="truktradokumentuChar1144">
    <w:name w:val="Štruktúra dokumentu Char1144"/>
    <w:aliases w:val="Char9 Char Char1145,Štruktúra dokumentu Char Char Char1145,Document Map Char Char Char1145"/>
    <w:uiPriority w:val="99"/>
    <w:semiHidden/>
    <w:rsid w:val="00A809E7"/>
    <w:rPr>
      <w:rFonts w:ascii="Tahoma" w:hAnsi="Tahoma"/>
      <w:sz w:val="16"/>
      <w:lang w:val="x-none" w:eastAsia="cs-CZ"/>
    </w:rPr>
  </w:style>
  <w:style w:type="character" w:customStyle="1" w:styleId="truktradokumentuChar1143">
    <w:name w:val="Štruktúra dokumentu Char1143"/>
    <w:aliases w:val="Char9 Char Char1144,Štruktúra dokumentu Char Char Char1144,Document Map Char Char Char1144"/>
    <w:uiPriority w:val="99"/>
    <w:semiHidden/>
    <w:rsid w:val="00A809E7"/>
    <w:rPr>
      <w:rFonts w:ascii="Tahoma" w:hAnsi="Tahoma"/>
      <w:sz w:val="16"/>
      <w:lang w:val="x-none" w:eastAsia="cs-CZ"/>
    </w:rPr>
  </w:style>
  <w:style w:type="character" w:customStyle="1" w:styleId="truktradokumentuChar1142">
    <w:name w:val="Štruktúra dokumentu Char1142"/>
    <w:aliases w:val="Char9 Char Char1143,Štruktúra dokumentu Char Char Char1143,Document Map Char Char Char1143"/>
    <w:uiPriority w:val="99"/>
    <w:semiHidden/>
    <w:rsid w:val="00A809E7"/>
    <w:rPr>
      <w:rFonts w:ascii="Tahoma" w:hAnsi="Tahoma"/>
      <w:sz w:val="16"/>
      <w:lang w:val="x-none" w:eastAsia="cs-CZ"/>
    </w:rPr>
  </w:style>
  <w:style w:type="character" w:customStyle="1" w:styleId="truktradokumentuChar1141">
    <w:name w:val="Štruktúra dokumentu Char1141"/>
    <w:aliases w:val="Char9 Char Char1142,Štruktúra dokumentu Char Char Char1142,Document Map Char Char Char1142"/>
    <w:uiPriority w:val="99"/>
    <w:semiHidden/>
    <w:rsid w:val="00A809E7"/>
    <w:rPr>
      <w:rFonts w:ascii="Tahoma" w:hAnsi="Tahoma"/>
      <w:sz w:val="16"/>
      <w:lang w:val="x-none" w:eastAsia="cs-CZ"/>
    </w:rPr>
  </w:style>
  <w:style w:type="character" w:customStyle="1" w:styleId="truktradokumentuChar1140">
    <w:name w:val="Štruktúra dokumentu Char1140"/>
    <w:aliases w:val="Char9 Char Char1141,Štruktúra dokumentu Char Char Char1141,Document Map Char Char Char1141"/>
    <w:uiPriority w:val="99"/>
    <w:semiHidden/>
    <w:rsid w:val="00A809E7"/>
    <w:rPr>
      <w:rFonts w:ascii="Tahoma" w:hAnsi="Tahoma"/>
      <w:sz w:val="16"/>
      <w:lang w:val="x-none" w:eastAsia="cs-CZ"/>
    </w:rPr>
  </w:style>
  <w:style w:type="character" w:customStyle="1" w:styleId="truktradokumentuChar1139">
    <w:name w:val="Štruktúra dokumentu Char1139"/>
    <w:aliases w:val="Char9 Char Char1140,Štruktúra dokumentu Char Char Char1140,Document Map Char Char Char1140"/>
    <w:uiPriority w:val="99"/>
    <w:semiHidden/>
    <w:rsid w:val="00A809E7"/>
    <w:rPr>
      <w:rFonts w:ascii="Tahoma" w:hAnsi="Tahoma"/>
      <w:sz w:val="16"/>
      <w:lang w:val="x-none" w:eastAsia="cs-CZ"/>
    </w:rPr>
  </w:style>
  <w:style w:type="character" w:customStyle="1" w:styleId="truktradokumentuChar1138">
    <w:name w:val="Štruktúra dokumentu Char1138"/>
    <w:aliases w:val="Char9 Char Char1139,Štruktúra dokumentu Char Char Char1139,Document Map Char Char Char1139"/>
    <w:uiPriority w:val="99"/>
    <w:semiHidden/>
    <w:rsid w:val="00A809E7"/>
    <w:rPr>
      <w:rFonts w:ascii="Tahoma" w:hAnsi="Tahoma"/>
      <w:sz w:val="16"/>
      <w:lang w:val="x-none" w:eastAsia="cs-CZ"/>
    </w:rPr>
  </w:style>
  <w:style w:type="character" w:customStyle="1" w:styleId="truktradokumentuChar1137">
    <w:name w:val="Štruktúra dokumentu Char1137"/>
    <w:aliases w:val="Char9 Char Char1138,Štruktúra dokumentu Char Char Char1138,Document Map Char Char Char1138"/>
    <w:uiPriority w:val="99"/>
    <w:semiHidden/>
    <w:rsid w:val="00A809E7"/>
    <w:rPr>
      <w:rFonts w:ascii="Tahoma" w:hAnsi="Tahoma"/>
      <w:sz w:val="16"/>
      <w:lang w:val="x-none" w:eastAsia="cs-CZ"/>
    </w:rPr>
  </w:style>
  <w:style w:type="character" w:customStyle="1" w:styleId="truktradokumentuChar1136">
    <w:name w:val="Štruktúra dokumentu Char1136"/>
    <w:aliases w:val="Char9 Char Char1137,Štruktúra dokumentu Char Char Char1137,Document Map Char Char Char1137"/>
    <w:uiPriority w:val="99"/>
    <w:semiHidden/>
    <w:rsid w:val="00A809E7"/>
    <w:rPr>
      <w:rFonts w:ascii="Tahoma" w:hAnsi="Tahoma"/>
      <w:sz w:val="16"/>
      <w:lang w:val="x-none" w:eastAsia="cs-CZ"/>
    </w:rPr>
  </w:style>
  <w:style w:type="character" w:customStyle="1" w:styleId="truktradokumentuChar1135">
    <w:name w:val="Štruktúra dokumentu Char1135"/>
    <w:aliases w:val="Char9 Char Char1136,Štruktúra dokumentu Char Char Char1136,Document Map Char Char Char1136"/>
    <w:uiPriority w:val="99"/>
    <w:semiHidden/>
    <w:rsid w:val="00A809E7"/>
    <w:rPr>
      <w:rFonts w:ascii="Tahoma" w:hAnsi="Tahoma"/>
      <w:sz w:val="16"/>
      <w:lang w:val="x-none" w:eastAsia="cs-CZ"/>
    </w:rPr>
  </w:style>
  <w:style w:type="character" w:customStyle="1" w:styleId="truktradokumentuChar1134">
    <w:name w:val="Štruktúra dokumentu Char1134"/>
    <w:aliases w:val="Char9 Char Char1135,Štruktúra dokumentu Char Char Char1135,Document Map Char Char Char1135"/>
    <w:uiPriority w:val="99"/>
    <w:semiHidden/>
    <w:rsid w:val="00A809E7"/>
    <w:rPr>
      <w:rFonts w:ascii="Tahoma" w:hAnsi="Tahoma"/>
      <w:sz w:val="16"/>
      <w:lang w:val="x-none" w:eastAsia="cs-CZ"/>
    </w:rPr>
  </w:style>
  <w:style w:type="character" w:customStyle="1" w:styleId="truktradokumentuChar1133">
    <w:name w:val="Štruktúra dokumentu Char1133"/>
    <w:aliases w:val="Char9 Char Char1134,Štruktúra dokumentu Char Char Char1134,Document Map Char Char Char1134"/>
    <w:uiPriority w:val="99"/>
    <w:semiHidden/>
    <w:rsid w:val="00A809E7"/>
    <w:rPr>
      <w:rFonts w:ascii="Tahoma" w:hAnsi="Tahoma"/>
      <w:sz w:val="16"/>
      <w:lang w:val="x-none" w:eastAsia="cs-CZ"/>
    </w:rPr>
  </w:style>
  <w:style w:type="character" w:customStyle="1" w:styleId="truktradokumentuChar1132">
    <w:name w:val="Štruktúra dokumentu Char1132"/>
    <w:aliases w:val="Char9 Char Char1133,Štruktúra dokumentu Char Char Char1133,Document Map Char Char Char1133"/>
    <w:uiPriority w:val="99"/>
    <w:semiHidden/>
    <w:rsid w:val="00A809E7"/>
    <w:rPr>
      <w:rFonts w:ascii="Tahoma" w:hAnsi="Tahoma"/>
      <w:sz w:val="16"/>
      <w:lang w:val="x-none" w:eastAsia="cs-CZ"/>
    </w:rPr>
  </w:style>
  <w:style w:type="character" w:customStyle="1" w:styleId="truktradokumentuChar1131">
    <w:name w:val="Štruktúra dokumentu Char1131"/>
    <w:aliases w:val="Char9 Char Char1132,Štruktúra dokumentu Char Char Char1132,Document Map Char Char Char1132"/>
    <w:uiPriority w:val="99"/>
    <w:semiHidden/>
    <w:rsid w:val="00A809E7"/>
    <w:rPr>
      <w:rFonts w:ascii="Tahoma" w:hAnsi="Tahoma"/>
      <w:sz w:val="16"/>
      <w:lang w:val="x-none" w:eastAsia="cs-CZ"/>
    </w:rPr>
  </w:style>
  <w:style w:type="character" w:customStyle="1" w:styleId="truktradokumentuChar1130">
    <w:name w:val="Štruktúra dokumentu Char1130"/>
    <w:aliases w:val="Char9 Char Char1131,Štruktúra dokumentu Char Char Char1131,Document Map Char Char Char1131"/>
    <w:uiPriority w:val="99"/>
    <w:semiHidden/>
    <w:rsid w:val="00A809E7"/>
    <w:rPr>
      <w:rFonts w:ascii="Tahoma" w:hAnsi="Tahoma"/>
      <w:sz w:val="16"/>
      <w:lang w:val="x-none" w:eastAsia="cs-CZ"/>
    </w:rPr>
  </w:style>
  <w:style w:type="character" w:customStyle="1" w:styleId="truktradokumentuChar1129">
    <w:name w:val="Štruktúra dokumentu Char1129"/>
    <w:aliases w:val="Char9 Char Char1130,Štruktúra dokumentu Char Char Char1130,Document Map Char Char Char1130"/>
    <w:uiPriority w:val="99"/>
    <w:semiHidden/>
    <w:rsid w:val="00A809E7"/>
    <w:rPr>
      <w:rFonts w:ascii="Tahoma" w:hAnsi="Tahoma"/>
      <w:sz w:val="16"/>
      <w:lang w:val="x-none" w:eastAsia="cs-CZ"/>
    </w:rPr>
  </w:style>
  <w:style w:type="character" w:customStyle="1" w:styleId="truktradokumentuChar1128">
    <w:name w:val="Štruktúra dokumentu Char1128"/>
    <w:aliases w:val="Char9 Char Char1129,Štruktúra dokumentu Char Char Char1129,Document Map Char Char Char1129"/>
    <w:uiPriority w:val="99"/>
    <w:semiHidden/>
    <w:rsid w:val="00A809E7"/>
    <w:rPr>
      <w:rFonts w:ascii="Tahoma" w:hAnsi="Tahoma"/>
      <w:sz w:val="16"/>
      <w:lang w:val="x-none" w:eastAsia="cs-CZ"/>
    </w:rPr>
  </w:style>
  <w:style w:type="character" w:customStyle="1" w:styleId="truktradokumentuChar1127">
    <w:name w:val="Štruktúra dokumentu Char1127"/>
    <w:aliases w:val="Char9 Char Char1128,Štruktúra dokumentu Char Char Char1128,Document Map Char Char Char1128"/>
    <w:uiPriority w:val="99"/>
    <w:semiHidden/>
    <w:rsid w:val="00A809E7"/>
    <w:rPr>
      <w:rFonts w:ascii="Tahoma" w:hAnsi="Tahoma"/>
      <w:sz w:val="16"/>
      <w:lang w:val="x-none" w:eastAsia="cs-CZ"/>
    </w:rPr>
  </w:style>
  <w:style w:type="character" w:customStyle="1" w:styleId="truktradokumentuChar1126">
    <w:name w:val="Štruktúra dokumentu Char1126"/>
    <w:aliases w:val="Char9 Char Char1127,Štruktúra dokumentu Char Char Char1127,Document Map Char Char Char1127"/>
    <w:uiPriority w:val="99"/>
    <w:semiHidden/>
    <w:rsid w:val="00A809E7"/>
    <w:rPr>
      <w:rFonts w:ascii="Tahoma" w:hAnsi="Tahoma"/>
      <w:sz w:val="16"/>
      <w:lang w:val="x-none" w:eastAsia="cs-CZ"/>
    </w:rPr>
  </w:style>
  <w:style w:type="character" w:customStyle="1" w:styleId="truktradokumentuChar1125">
    <w:name w:val="Štruktúra dokumentu Char1125"/>
    <w:aliases w:val="Char9 Char Char1126,Štruktúra dokumentu Char Char Char1126,Document Map Char Char Char1126"/>
    <w:uiPriority w:val="99"/>
    <w:semiHidden/>
    <w:rsid w:val="00A809E7"/>
    <w:rPr>
      <w:rFonts w:ascii="Tahoma" w:hAnsi="Tahoma"/>
      <w:sz w:val="16"/>
      <w:lang w:val="x-none" w:eastAsia="cs-CZ"/>
    </w:rPr>
  </w:style>
  <w:style w:type="character" w:customStyle="1" w:styleId="truktradokumentuChar1124">
    <w:name w:val="Štruktúra dokumentu Char1124"/>
    <w:aliases w:val="Char9 Char Char1125,Štruktúra dokumentu Char Char Char1125,Document Map Char Char Char1125"/>
    <w:uiPriority w:val="99"/>
    <w:semiHidden/>
    <w:rsid w:val="00A809E7"/>
    <w:rPr>
      <w:rFonts w:ascii="Tahoma" w:hAnsi="Tahoma"/>
      <w:sz w:val="16"/>
      <w:lang w:val="x-none" w:eastAsia="cs-CZ"/>
    </w:rPr>
  </w:style>
  <w:style w:type="character" w:customStyle="1" w:styleId="truktradokumentuChar1123">
    <w:name w:val="Štruktúra dokumentu Char1123"/>
    <w:aliases w:val="Char9 Char Char1124,Štruktúra dokumentu Char Char Char1124,Document Map Char Char Char1124"/>
    <w:uiPriority w:val="99"/>
    <w:semiHidden/>
    <w:rsid w:val="00A809E7"/>
    <w:rPr>
      <w:rFonts w:ascii="Tahoma" w:hAnsi="Tahoma"/>
      <w:sz w:val="16"/>
      <w:lang w:val="x-none" w:eastAsia="cs-CZ"/>
    </w:rPr>
  </w:style>
  <w:style w:type="character" w:customStyle="1" w:styleId="truktradokumentuChar1122">
    <w:name w:val="Štruktúra dokumentu Char1122"/>
    <w:aliases w:val="Char9 Char Char1123,Štruktúra dokumentu Char Char Char1123,Document Map Char Char Char1123"/>
    <w:uiPriority w:val="99"/>
    <w:semiHidden/>
    <w:rsid w:val="00A809E7"/>
    <w:rPr>
      <w:rFonts w:ascii="Tahoma" w:hAnsi="Tahoma"/>
      <w:sz w:val="16"/>
      <w:lang w:val="x-none" w:eastAsia="cs-CZ"/>
    </w:rPr>
  </w:style>
  <w:style w:type="character" w:customStyle="1" w:styleId="truktradokumentuChar1121">
    <w:name w:val="Štruktúra dokumentu Char1121"/>
    <w:aliases w:val="Char9 Char Char1122,Štruktúra dokumentu Char Char Char1122,Document Map Char Char Char1122"/>
    <w:uiPriority w:val="99"/>
    <w:semiHidden/>
    <w:rsid w:val="00A809E7"/>
    <w:rPr>
      <w:rFonts w:ascii="Tahoma" w:hAnsi="Tahoma"/>
      <w:sz w:val="16"/>
      <w:lang w:val="x-none" w:eastAsia="cs-CZ"/>
    </w:rPr>
  </w:style>
  <w:style w:type="character" w:customStyle="1" w:styleId="truktradokumentuChar1120">
    <w:name w:val="Štruktúra dokumentu Char1120"/>
    <w:aliases w:val="Char9 Char Char1121,Štruktúra dokumentu Char Char Char1121,Document Map Char Char Char1121"/>
    <w:uiPriority w:val="99"/>
    <w:semiHidden/>
    <w:rsid w:val="00A809E7"/>
    <w:rPr>
      <w:rFonts w:ascii="Tahoma" w:hAnsi="Tahoma"/>
      <w:sz w:val="16"/>
      <w:lang w:val="x-none" w:eastAsia="cs-CZ"/>
    </w:rPr>
  </w:style>
  <w:style w:type="character" w:customStyle="1" w:styleId="truktradokumentuChar1119">
    <w:name w:val="Štruktúra dokumentu Char1119"/>
    <w:aliases w:val="Char9 Char Char1120,Štruktúra dokumentu Char Char Char1120,Document Map Char Char Char1120"/>
    <w:uiPriority w:val="99"/>
    <w:semiHidden/>
    <w:rsid w:val="00A809E7"/>
    <w:rPr>
      <w:rFonts w:ascii="Tahoma" w:hAnsi="Tahoma"/>
      <w:sz w:val="16"/>
      <w:lang w:val="x-none" w:eastAsia="cs-CZ"/>
    </w:rPr>
  </w:style>
  <w:style w:type="character" w:customStyle="1" w:styleId="truktradokumentuChar1118">
    <w:name w:val="Štruktúra dokumentu Char1118"/>
    <w:aliases w:val="Char9 Char Char1119,Štruktúra dokumentu Char Char Char1119,Document Map Char Char Char1119"/>
    <w:uiPriority w:val="99"/>
    <w:semiHidden/>
    <w:rsid w:val="00A809E7"/>
    <w:rPr>
      <w:rFonts w:ascii="Tahoma" w:hAnsi="Tahoma"/>
      <w:sz w:val="16"/>
      <w:lang w:val="x-none" w:eastAsia="cs-CZ"/>
    </w:rPr>
  </w:style>
  <w:style w:type="character" w:customStyle="1" w:styleId="truktradokumentuChar1117">
    <w:name w:val="Štruktúra dokumentu Char1117"/>
    <w:aliases w:val="Char9 Char Char1118,Štruktúra dokumentu Char Char Char1118,Document Map Char Char Char1118"/>
    <w:uiPriority w:val="99"/>
    <w:semiHidden/>
    <w:rsid w:val="00A809E7"/>
    <w:rPr>
      <w:rFonts w:ascii="Tahoma" w:hAnsi="Tahoma"/>
      <w:sz w:val="16"/>
      <w:lang w:val="x-none" w:eastAsia="cs-CZ"/>
    </w:rPr>
  </w:style>
  <w:style w:type="character" w:customStyle="1" w:styleId="truktradokumentuChar1116">
    <w:name w:val="Štruktúra dokumentu Char1116"/>
    <w:aliases w:val="Char9 Char Char1117,Štruktúra dokumentu Char Char Char1117,Document Map Char Char Char1117"/>
    <w:uiPriority w:val="99"/>
    <w:semiHidden/>
    <w:rsid w:val="00A809E7"/>
    <w:rPr>
      <w:rFonts w:ascii="Tahoma" w:hAnsi="Tahoma"/>
      <w:sz w:val="16"/>
      <w:lang w:val="x-none" w:eastAsia="cs-CZ"/>
    </w:rPr>
  </w:style>
  <w:style w:type="character" w:customStyle="1" w:styleId="truktradokumentuChar1115">
    <w:name w:val="Štruktúra dokumentu Char1115"/>
    <w:aliases w:val="Char9 Char Char1116,Štruktúra dokumentu Char Char Char1116,Document Map Char Char Char1116"/>
    <w:uiPriority w:val="99"/>
    <w:semiHidden/>
    <w:rsid w:val="00A809E7"/>
    <w:rPr>
      <w:rFonts w:ascii="Tahoma" w:hAnsi="Tahoma"/>
      <w:sz w:val="16"/>
      <w:lang w:val="x-none" w:eastAsia="cs-CZ"/>
    </w:rPr>
  </w:style>
  <w:style w:type="character" w:customStyle="1" w:styleId="truktradokumentuChar1114">
    <w:name w:val="Štruktúra dokumentu Char1114"/>
    <w:aliases w:val="Char9 Char Char1115,Štruktúra dokumentu Char Char Char1115,Document Map Char Char Char1115"/>
    <w:uiPriority w:val="99"/>
    <w:semiHidden/>
    <w:rsid w:val="00A809E7"/>
    <w:rPr>
      <w:rFonts w:ascii="Tahoma" w:hAnsi="Tahoma"/>
      <w:sz w:val="16"/>
      <w:lang w:val="x-none" w:eastAsia="cs-CZ"/>
    </w:rPr>
  </w:style>
  <w:style w:type="character" w:customStyle="1" w:styleId="truktradokumentuChar1113">
    <w:name w:val="Štruktúra dokumentu Char1113"/>
    <w:aliases w:val="Char9 Char Char1114,Štruktúra dokumentu Char Char Char1114,Document Map Char Char Char1114"/>
    <w:uiPriority w:val="99"/>
    <w:semiHidden/>
    <w:rsid w:val="00A809E7"/>
    <w:rPr>
      <w:rFonts w:ascii="Tahoma" w:hAnsi="Tahoma"/>
      <w:sz w:val="16"/>
      <w:lang w:val="x-none" w:eastAsia="cs-CZ"/>
    </w:rPr>
  </w:style>
  <w:style w:type="character" w:customStyle="1" w:styleId="truktradokumentuChar1112">
    <w:name w:val="Štruktúra dokumentu Char1112"/>
    <w:aliases w:val="Char9 Char Char1113,Štruktúra dokumentu Char Char Char1113,Document Map Char Char Char1113"/>
    <w:uiPriority w:val="99"/>
    <w:semiHidden/>
    <w:rsid w:val="00A809E7"/>
    <w:rPr>
      <w:rFonts w:ascii="Tahoma" w:hAnsi="Tahoma"/>
      <w:sz w:val="16"/>
      <w:lang w:val="x-none" w:eastAsia="cs-CZ"/>
    </w:rPr>
  </w:style>
  <w:style w:type="character" w:customStyle="1" w:styleId="truktradokumentuChar1111">
    <w:name w:val="Štruktúra dokumentu Char1111"/>
    <w:aliases w:val="Char9 Char Char1112,Štruktúra dokumentu Char Char Char1112,Document Map Char Char Char1112"/>
    <w:uiPriority w:val="99"/>
    <w:semiHidden/>
    <w:rsid w:val="00A809E7"/>
    <w:rPr>
      <w:rFonts w:ascii="Tahoma" w:hAnsi="Tahoma"/>
      <w:sz w:val="16"/>
      <w:lang w:val="x-none" w:eastAsia="cs-CZ"/>
    </w:rPr>
  </w:style>
  <w:style w:type="character" w:customStyle="1" w:styleId="truktradokumentuChar1110">
    <w:name w:val="Štruktúra dokumentu Char1110"/>
    <w:aliases w:val="Char9 Char Char1111,Štruktúra dokumentu Char Char Char1111,Document Map Char Char Char1111"/>
    <w:uiPriority w:val="99"/>
    <w:semiHidden/>
    <w:rsid w:val="00A809E7"/>
    <w:rPr>
      <w:rFonts w:ascii="Tahoma" w:hAnsi="Tahoma"/>
      <w:sz w:val="16"/>
      <w:lang w:val="x-none" w:eastAsia="cs-CZ"/>
    </w:rPr>
  </w:style>
  <w:style w:type="character" w:customStyle="1" w:styleId="truktradokumentuChar1109">
    <w:name w:val="Štruktúra dokumentu Char1109"/>
    <w:aliases w:val="Char9 Char Char1110,Štruktúra dokumentu Char Char Char1110,Document Map Char Char Char1110"/>
    <w:uiPriority w:val="99"/>
    <w:semiHidden/>
    <w:rsid w:val="00A809E7"/>
    <w:rPr>
      <w:rFonts w:ascii="Tahoma" w:hAnsi="Tahoma"/>
      <w:sz w:val="16"/>
      <w:lang w:val="x-none" w:eastAsia="cs-CZ"/>
    </w:rPr>
  </w:style>
  <w:style w:type="character" w:customStyle="1" w:styleId="truktradokumentuChar1108">
    <w:name w:val="Štruktúra dokumentu Char1108"/>
    <w:aliases w:val="Char9 Char Char1109,Štruktúra dokumentu Char Char Char1109,Document Map Char Char Char1109"/>
    <w:uiPriority w:val="99"/>
    <w:semiHidden/>
    <w:rsid w:val="00A809E7"/>
    <w:rPr>
      <w:rFonts w:ascii="Tahoma" w:hAnsi="Tahoma"/>
      <w:sz w:val="16"/>
      <w:lang w:val="x-none" w:eastAsia="cs-CZ"/>
    </w:rPr>
  </w:style>
  <w:style w:type="character" w:customStyle="1" w:styleId="truktradokumentuChar1107">
    <w:name w:val="Štruktúra dokumentu Char1107"/>
    <w:aliases w:val="Char9 Char Char1108,Štruktúra dokumentu Char Char Char1108,Document Map Char Char Char1108"/>
    <w:uiPriority w:val="99"/>
    <w:semiHidden/>
    <w:rsid w:val="00A809E7"/>
    <w:rPr>
      <w:rFonts w:ascii="Tahoma" w:hAnsi="Tahoma"/>
      <w:sz w:val="16"/>
      <w:lang w:val="x-none" w:eastAsia="cs-CZ"/>
    </w:rPr>
  </w:style>
  <w:style w:type="character" w:customStyle="1" w:styleId="truktradokumentuChar1106">
    <w:name w:val="Štruktúra dokumentu Char1106"/>
    <w:aliases w:val="Char9 Char Char1107,Štruktúra dokumentu Char Char Char1107,Document Map Char Char Char1107"/>
    <w:uiPriority w:val="99"/>
    <w:semiHidden/>
    <w:rsid w:val="00A809E7"/>
    <w:rPr>
      <w:rFonts w:ascii="Tahoma" w:hAnsi="Tahoma"/>
      <w:sz w:val="16"/>
      <w:lang w:val="x-none" w:eastAsia="cs-CZ"/>
    </w:rPr>
  </w:style>
  <w:style w:type="character" w:customStyle="1" w:styleId="truktradokumentuChar1105">
    <w:name w:val="Štruktúra dokumentu Char1105"/>
    <w:aliases w:val="Char9 Char Char1106,Štruktúra dokumentu Char Char Char1106,Document Map Char Char Char1106"/>
    <w:uiPriority w:val="99"/>
    <w:semiHidden/>
    <w:rsid w:val="00A809E7"/>
    <w:rPr>
      <w:rFonts w:ascii="Tahoma" w:hAnsi="Tahoma"/>
      <w:sz w:val="16"/>
      <w:lang w:val="x-none" w:eastAsia="cs-CZ"/>
    </w:rPr>
  </w:style>
  <w:style w:type="character" w:customStyle="1" w:styleId="truktradokumentuChar1104">
    <w:name w:val="Štruktúra dokumentu Char1104"/>
    <w:aliases w:val="Char9 Char Char1105,Štruktúra dokumentu Char Char Char1105,Document Map Char Char Char1105"/>
    <w:uiPriority w:val="99"/>
    <w:semiHidden/>
    <w:rsid w:val="00A809E7"/>
    <w:rPr>
      <w:rFonts w:ascii="Tahoma" w:hAnsi="Tahoma"/>
      <w:sz w:val="16"/>
      <w:lang w:val="x-none" w:eastAsia="cs-CZ"/>
    </w:rPr>
  </w:style>
  <w:style w:type="character" w:customStyle="1" w:styleId="truktradokumentuChar1103">
    <w:name w:val="Štruktúra dokumentu Char1103"/>
    <w:aliases w:val="Char9 Char Char1104,Štruktúra dokumentu Char Char Char1104,Document Map Char Char Char1104"/>
    <w:uiPriority w:val="99"/>
    <w:semiHidden/>
    <w:rsid w:val="00A809E7"/>
    <w:rPr>
      <w:rFonts w:ascii="Tahoma" w:hAnsi="Tahoma"/>
      <w:sz w:val="16"/>
      <w:lang w:val="x-none" w:eastAsia="cs-CZ"/>
    </w:rPr>
  </w:style>
  <w:style w:type="character" w:customStyle="1" w:styleId="truktradokumentuChar1102">
    <w:name w:val="Štruktúra dokumentu Char1102"/>
    <w:aliases w:val="Char9 Char Char1103,Štruktúra dokumentu Char Char Char1103,Document Map Char Char Char1103"/>
    <w:uiPriority w:val="99"/>
    <w:semiHidden/>
    <w:rsid w:val="00A809E7"/>
    <w:rPr>
      <w:rFonts w:ascii="Tahoma" w:hAnsi="Tahoma"/>
      <w:sz w:val="16"/>
      <w:lang w:val="x-none" w:eastAsia="cs-CZ"/>
    </w:rPr>
  </w:style>
  <w:style w:type="character" w:customStyle="1" w:styleId="truktradokumentuChar1101">
    <w:name w:val="Štruktúra dokumentu Char1101"/>
    <w:aliases w:val="Char9 Char Char1102,Štruktúra dokumentu Char Char Char1102,Document Map Char Char Char1102"/>
    <w:uiPriority w:val="99"/>
    <w:semiHidden/>
    <w:rsid w:val="00A809E7"/>
    <w:rPr>
      <w:rFonts w:ascii="Tahoma" w:hAnsi="Tahoma"/>
      <w:sz w:val="16"/>
      <w:lang w:val="x-none" w:eastAsia="cs-CZ"/>
    </w:rPr>
  </w:style>
  <w:style w:type="character" w:customStyle="1" w:styleId="truktradokumentuChar1100">
    <w:name w:val="Štruktúra dokumentu Char1100"/>
    <w:aliases w:val="Char9 Char Char1101,Štruktúra dokumentu Char Char Char1101,Document Map Char Char Char1101"/>
    <w:uiPriority w:val="99"/>
    <w:semiHidden/>
    <w:rsid w:val="00A809E7"/>
    <w:rPr>
      <w:rFonts w:ascii="Tahoma" w:hAnsi="Tahoma"/>
      <w:sz w:val="16"/>
      <w:lang w:val="x-none" w:eastAsia="cs-CZ"/>
    </w:rPr>
  </w:style>
  <w:style w:type="character" w:customStyle="1" w:styleId="truktradokumentuChar199">
    <w:name w:val="Štruktúra dokumentu Char199"/>
    <w:aliases w:val="Char9 Char Char1100,Štruktúra dokumentu Char Char Char1100,Document Map Char Char Char1100"/>
    <w:uiPriority w:val="99"/>
    <w:semiHidden/>
    <w:rsid w:val="00A809E7"/>
    <w:rPr>
      <w:rFonts w:ascii="Tahoma" w:hAnsi="Tahoma"/>
      <w:sz w:val="16"/>
      <w:lang w:val="x-none" w:eastAsia="cs-CZ"/>
    </w:rPr>
  </w:style>
  <w:style w:type="character" w:customStyle="1" w:styleId="truktradokumentuChar198">
    <w:name w:val="Štruktúra dokumentu Char198"/>
    <w:aliases w:val="Char9 Char Char199,Štruktúra dokumentu Char Char Char199,Document Map Char Char Char199"/>
    <w:uiPriority w:val="99"/>
    <w:semiHidden/>
    <w:rsid w:val="00A809E7"/>
    <w:rPr>
      <w:rFonts w:ascii="Tahoma" w:hAnsi="Tahoma"/>
      <w:sz w:val="16"/>
      <w:lang w:val="x-none" w:eastAsia="cs-CZ"/>
    </w:rPr>
  </w:style>
  <w:style w:type="character" w:customStyle="1" w:styleId="truktradokumentuChar197">
    <w:name w:val="Štruktúra dokumentu Char197"/>
    <w:aliases w:val="Char9 Char Char198,Štruktúra dokumentu Char Char Char198,Document Map Char Char Char198"/>
    <w:uiPriority w:val="99"/>
    <w:semiHidden/>
    <w:rsid w:val="00A809E7"/>
    <w:rPr>
      <w:rFonts w:ascii="Tahoma" w:hAnsi="Tahoma"/>
      <w:sz w:val="16"/>
      <w:lang w:val="x-none" w:eastAsia="cs-CZ"/>
    </w:rPr>
  </w:style>
  <w:style w:type="character" w:customStyle="1" w:styleId="truktradokumentuChar196">
    <w:name w:val="Štruktúra dokumentu Char196"/>
    <w:aliases w:val="Char9 Char Char197,Štruktúra dokumentu Char Char Char197,Document Map Char Char Char197"/>
    <w:uiPriority w:val="99"/>
    <w:semiHidden/>
    <w:rsid w:val="00A809E7"/>
    <w:rPr>
      <w:rFonts w:ascii="Tahoma" w:hAnsi="Tahoma"/>
      <w:sz w:val="16"/>
      <w:lang w:val="x-none" w:eastAsia="cs-CZ"/>
    </w:rPr>
  </w:style>
  <w:style w:type="character" w:customStyle="1" w:styleId="truktradokumentuChar195">
    <w:name w:val="Štruktúra dokumentu Char195"/>
    <w:aliases w:val="Char9 Char Char196,Štruktúra dokumentu Char Char Char196,Document Map Char Char Char196"/>
    <w:uiPriority w:val="99"/>
    <w:semiHidden/>
    <w:rsid w:val="00A809E7"/>
    <w:rPr>
      <w:rFonts w:ascii="Tahoma" w:hAnsi="Tahoma"/>
      <w:sz w:val="16"/>
      <w:lang w:val="x-none" w:eastAsia="cs-CZ"/>
    </w:rPr>
  </w:style>
  <w:style w:type="character" w:customStyle="1" w:styleId="truktradokumentuChar194">
    <w:name w:val="Štruktúra dokumentu Char194"/>
    <w:aliases w:val="Char9 Char Char195,Štruktúra dokumentu Char Char Char195,Document Map Char Char Char195"/>
    <w:uiPriority w:val="99"/>
    <w:semiHidden/>
    <w:rsid w:val="00A809E7"/>
    <w:rPr>
      <w:rFonts w:ascii="Tahoma" w:hAnsi="Tahoma"/>
      <w:sz w:val="16"/>
      <w:lang w:val="x-none" w:eastAsia="cs-CZ"/>
    </w:rPr>
  </w:style>
  <w:style w:type="character" w:customStyle="1" w:styleId="truktradokumentuChar193">
    <w:name w:val="Štruktúra dokumentu Char193"/>
    <w:aliases w:val="Char9 Char Char194,Štruktúra dokumentu Char Char Char194,Document Map Char Char Char194"/>
    <w:uiPriority w:val="99"/>
    <w:semiHidden/>
    <w:rsid w:val="00A809E7"/>
    <w:rPr>
      <w:rFonts w:ascii="Tahoma" w:hAnsi="Tahoma"/>
      <w:sz w:val="16"/>
      <w:lang w:val="x-none" w:eastAsia="cs-CZ"/>
    </w:rPr>
  </w:style>
  <w:style w:type="character" w:customStyle="1" w:styleId="truktradokumentuChar192">
    <w:name w:val="Štruktúra dokumentu Char192"/>
    <w:aliases w:val="Char9 Char Char193,Štruktúra dokumentu Char Char Char193,Document Map Char Char Char193"/>
    <w:uiPriority w:val="99"/>
    <w:semiHidden/>
    <w:rsid w:val="00A809E7"/>
    <w:rPr>
      <w:rFonts w:ascii="Tahoma" w:hAnsi="Tahoma"/>
      <w:sz w:val="16"/>
      <w:lang w:val="x-none" w:eastAsia="cs-CZ"/>
    </w:rPr>
  </w:style>
  <w:style w:type="character" w:customStyle="1" w:styleId="truktradokumentuChar191">
    <w:name w:val="Štruktúra dokumentu Char191"/>
    <w:aliases w:val="Char9 Char Char192,Štruktúra dokumentu Char Char Char192,Document Map Char Char Char192"/>
    <w:uiPriority w:val="99"/>
    <w:semiHidden/>
    <w:rsid w:val="00A809E7"/>
    <w:rPr>
      <w:rFonts w:ascii="Tahoma" w:hAnsi="Tahoma"/>
      <w:sz w:val="16"/>
      <w:lang w:val="x-none" w:eastAsia="cs-CZ"/>
    </w:rPr>
  </w:style>
  <w:style w:type="character" w:customStyle="1" w:styleId="truktradokumentuChar190">
    <w:name w:val="Štruktúra dokumentu Char190"/>
    <w:aliases w:val="Char9 Char Char191,Štruktúra dokumentu Char Char Char191,Document Map Char Char Char191"/>
    <w:uiPriority w:val="99"/>
    <w:semiHidden/>
    <w:rsid w:val="00A809E7"/>
    <w:rPr>
      <w:rFonts w:ascii="Tahoma" w:hAnsi="Tahoma"/>
      <w:sz w:val="16"/>
      <w:lang w:val="x-none" w:eastAsia="cs-CZ"/>
    </w:rPr>
  </w:style>
  <w:style w:type="character" w:customStyle="1" w:styleId="truktradokumentuChar189">
    <w:name w:val="Štruktúra dokumentu Char189"/>
    <w:aliases w:val="Char9 Char Char190,Štruktúra dokumentu Char Char Char190,Document Map Char Char Char190"/>
    <w:uiPriority w:val="99"/>
    <w:semiHidden/>
    <w:rsid w:val="00A809E7"/>
    <w:rPr>
      <w:rFonts w:ascii="Tahoma" w:hAnsi="Tahoma"/>
      <w:sz w:val="16"/>
      <w:lang w:val="x-none" w:eastAsia="cs-CZ"/>
    </w:rPr>
  </w:style>
  <w:style w:type="character" w:customStyle="1" w:styleId="truktradokumentuChar188">
    <w:name w:val="Štruktúra dokumentu Char188"/>
    <w:aliases w:val="Char9 Char Char189,Štruktúra dokumentu Char Char Char189,Document Map Char Char Char189"/>
    <w:uiPriority w:val="99"/>
    <w:semiHidden/>
    <w:rsid w:val="00A809E7"/>
    <w:rPr>
      <w:rFonts w:ascii="Tahoma" w:hAnsi="Tahoma"/>
      <w:sz w:val="16"/>
      <w:lang w:val="x-none" w:eastAsia="cs-CZ"/>
    </w:rPr>
  </w:style>
  <w:style w:type="character" w:customStyle="1" w:styleId="truktradokumentuChar187">
    <w:name w:val="Štruktúra dokumentu Char187"/>
    <w:aliases w:val="Char9 Char Char188,Štruktúra dokumentu Char Char Char188,Document Map Char Char Char188"/>
    <w:uiPriority w:val="99"/>
    <w:semiHidden/>
    <w:rsid w:val="00A809E7"/>
    <w:rPr>
      <w:rFonts w:ascii="Tahoma" w:hAnsi="Tahoma"/>
      <w:sz w:val="16"/>
      <w:lang w:val="x-none" w:eastAsia="cs-CZ"/>
    </w:rPr>
  </w:style>
  <w:style w:type="character" w:customStyle="1" w:styleId="truktradokumentuChar186">
    <w:name w:val="Štruktúra dokumentu Char186"/>
    <w:aliases w:val="Char9 Char Char187,Štruktúra dokumentu Char Char Char187,Document Map Char Char Char187"/>
    <w:uiPriority w:val="99"/>
    <w:semiHidden/>
    <w:rsid w:val="00A809E7"/>
    <w:rPr>
      <w:rFonts w:ascii="Tahoma" w:hAnsi="Tahoma"/>
      <w:sz w:val="16"/>
      <w:lang w:val="x-none" w:eastAsia="cs-CZ"/>
    </w:rPr>
  </w:style>
  <w:style w:type="character" w:customStyle="1" w:styleId="truktradokumentuChar185">
    <w:name w:val="Štruktúra dokumentu Char185"/>
    <w:aliases w:val="Char9 Char Char186,Štruktúra dokumentu Char Char Char186,Document Map Char Char Char186"/>
    <w:uiPriority w:val="99"/>
    <w:semiHidden/>
    <w:rsid w:val="00A809E7"/>
    <w:rPr>
      <w:rFonts w:ascii="Tahoma" w:hAnsi="Tahoma"/>
      <w:sz w:val="16"/>
      <w:lang w:val="x-none" w:eastAsia="cs-CZ"/>
    </w:rPr>
  </w:style>
  <w:style w:type="character" w:customStyle="1" w:styleId="truktradokumentuChar184">
    <w:name w:val="Štruktúra dokumentu Char184"/>
    <w:aliases w:val="Char9 Char Char185,Štruktúra dokumentu Char Char Char185,Document Map Char Char Char185"/>
    <w:uiPriority w:val="99"/>
    <w:semiHidden/>
    <w:rsid w:val="00A809E7"/>
    <w:rPr>
      <w:rFonts w:ascii="Tahoma" w:hAnsi="Tahoma"/>
      <w:sz w:val="16"/>
      <w:lang w:val="x-none" w:eastAsia="cs-CZ"/>
    </w:rPr>
  </w:style>
  <w:style w:type="character" w:customStyle="1" w:styleId="truktradokumentuChar183">
    <w:name w:val="Štruktúra dokumentu Char183"/>
    <w:aliases w:val="Char9 Char Char184,Štruktúra dokumentu Char Char Char184,Document Map Char Char Char184"/>
    <w:uiPriority w:val="99"/>
    <w:semiHidden/>
    <w:rsid w:val="00A809E7"/>
    <w:rPr>
      <w:rFonts w:ascii="Tahoma" w:hAnsi="Tahoma"/>
      <w:sz w:val="16"/>
      <w:lang w:val="x-none" w:eastAsia="cs-CZ"/>
    </w:rPr>
  </w:style>
  <w:style w:type="character" w:customStyle="1" w:styleId="truktradokumentuChar182">
    <w:name w:val="Štruktúra dokumentu Char182"/>
    <w:aliases w:val="Char9 Char Char183,Štruktúra dokumentu Char Char Char183,Document Map Char Char Char183"/>
    <w:uiPriority w:val="99"/>
    <w:semiHidden/>
    <w:rsid w:val="00A809E7"/>
    <w:rPr>
      <w:rFonts w:ascii="Tahoma" w:hAnsi="Tahoma"/>
      <w:sz w:val="16"/>
      <w:lang w:val="x-none" w:eastAsia="cs-CZ"/>
    </w:rPr>
  </w:style>
  <w:style w:type="character" w:customStyle="1" w:styleId="truktradokumentuChar181">
    <w:name w:val="Štruktúra dokumentu Char181"/>
    <w:aliases w:val="Char9 Char Char182,Štruktúra dokumentu Char Char Char182,Document Map Char Char Char182"/>
    <w:uiPriority w:val="99"/>
    <w:semiHidden/>
    <w:rsid w:val="00A809E7"/>
    <w:rPr>
      <w:rFonts w:ascii="Tahoma" w:hAnsi="Tahoma"/>
      <w:sz w:val="16"/>
      <w:lang w:val="x-none" w:eastAsia="cs-CZ"/>
    </w:rPr>
  </w:style>
  <w:style w:type="character" w:customStyle="1" w:styleId="truktradokumentuChar180">
    <w:name w:val="Štruktúra dokumentu Char180"/>
    <w:aliases w:val="Char9 Char Char181,Štruktúra dokumentu Char Char Char181,Document Map Char Char Char181"/>
    <w:uiPriority w:val="99"/>
    <w:semiHidden/>
    <w:rsid w:val="00A809E7"/>
    <w:rPr>
      <w:rFonts w:ascii="Tahoma" w:hAnsi="Tahoma"/>
      <w:sz w:val="16"/>
      <w:lang w:val="x-none" w:eastAsia="cs-CZ"/>
    </w:rPr>
  </w:style>
  <w:style w:type="character" w:customStyle="1" w:styleId="truktradokumentuChar179">
    <w:name w:val="Štruktúra dokumentu Char179"/>
    <w:aliases w:val="Char9 Char Char180,Štruktúra dokumentu Char Char Char180,Document Map Char Char Char180"/>
    <w:uiPriority w:val="99"/>
    <w:semiHidden/>
    <w:rsid w:val="00A809E7"/>
    <w:rPr>
      <w:rFonts w:ascii="Tahoma" w:hAnsi="Tahoma"/>
      <w:sz w:val="16"/>
      <w:lang w:val="x-none" w:eastAsia="cs-CZ"/>
    </w:rPr>
  </w:style>
  <w:style w:type="character" w:customStyle="1" w:styleId="truktradokumentuChar178">
    <w:name w:val="Štruktúra dokumentu Char178"/>
    <w:aliases w:val="Char9 Char Char179,Štruktúra dokumentu Char Char Char179,Document Map Char Char Char179"/>
    <w:uiPriority w:val="99"/>
    <w:semiHidden/>
    <w:rsid w:val="00A809E7"/>
    <w:rPr>
      <w:rFonts w:ascii="Tahoma" w:hAnsi="Tahoma"/>
      <w:sz w:val="16"/>
      <w:lang w:val="x-none" w:eastAsia="cs-CZ"/>
    </w:rPr>
  </w:style>
  <w:style w:type="character" w:customStyle="1" w:styleId="truktradokumentuChar177">
    <w:name w:val="Štruktúra dokumentu Char177"/>
    <w:aliases w:val="Char9 Char Char178,Štruktúra dokumentu Char Char Char178,Document Map Char Char Char178"/>
    <w:uiPriority w:val="99"/>
    <w:semiHidden/>
    <w:rsid w:val="00A809E7"/>
    <w:rPr>
      <w:rFonts w:ascii="Tahoma" w:hAnsi="Tahoma"/>
      <w:sz w:val="16"/>
      <w:lang w:val="x-none" w:eastAsia="cs-CZ"/>
    </w:rPr>
  </w:style>
  <w:style w:type="character" w:customStyle="1" w:styleId="truktradokumentuChar176">
    <w:name w:val="Štruktúra dokumentu Char176"/>
    <w:aliases w:val="Char9 Char Char177,Štruktúra dokumentu Char Char Char177,Document Map Char Char Char177"/>
    <w:uiPriority w:val="99"/>
    <w:semiHidden/>
    <w:rsid w:val="00A809E7"/>
    <w:rPr>
      <w:rFonts w:ascii="Tahoma" w:hAnsi="Tahoma"/>
      <w:sz w:val="16"/>
      <w:lang w:val="x-none" w:eastAsia="cs-CZ"/>
    </w:rPr>
  </w:style>
  <w:style w:type="character" w:customStyle="1" w:styleId="truktradokumentuChar175">
    <w:name w:val="Štruktúra dokumentu Char175"/>
    <w:aliases w:val="Char9 Char Char176,Štruktúra dokumentu Char Char Char176,Document Map Char Char Char176"/>
    <w:uiPriority w:val="99"/>
    <w:semiHidden/>
    <w:rsid w:val="00A809E7"/>
    <w:rPr>
      <w:rFonts w:ascii="Tahoma" w:hAnsi="Tahoma"/>
      <w:sz w:val="16"/>
      <w:lang w:val="x-none" w:eastAsia="cs-CZ"/>
    </w:rPr>
  </w:style>
  <w:style w:type="character" w:customStyle="1" w:styleId="truktradokumentuChar174">
    <w:name w:val="Štruktúra dokumentu Char174"/>
    <w:aliases w:val="Char9 Char Char175,Štruktúra dokumentu Char Char Char175,Document Map Char Char Char175"/>
    <w:uiPriority w:val="99"/>
    <w:semiHidden/>
    <w:rsid w:val="00A809E7"/>
    <w:rPr>
      <w:rFonts w:ascii="Tahoma" w:hAnsi="Tahoma"/>
      <w:sz w:val="16"/>
      <w:lang w:val="x-none" w:eastAsia="cs-CZ"/>
    </w:rPr>
  </w:style>
  <w:style w:type="character" w:customStyle="1" w:styleId="truktradokumentuChar173">
    <w:name w:val="Štruktúra dokumentu Char173"/>
    <w:aliases w:val="Char9 Char Char174,Štruktúra dokumentu Char Char Char174,Document Map Char Char Char174"/>
    <w:uiPriority w:val="99"/>
    <w:semiHidden/>
    <w:rsid w:val="00A809E7"/>
    <w:rPr>
      <w:rFonts w:ascii="Tahoma" w:hAnsi="Tahoma"/>
      <w:sz w:val="16"/>
      <w:lang w:val="x-none" w:eastAsia="cs-CZ"/>
    </w:rPr>
  </w:style>
  <w:style w:type="character" w:customStyle="1" w:styleId="truktradokumentuChar172">
    <w:name w:val="Štruktúra dokumentu Char172"/>
    <w:aliases w:val="Char9 Char Char173,Štruktúra dokumentu Char Char Char173,Document Map Char Char Char173"/>
    <w:uiPriority w:val="99"/>
    <w:semiHidden/>
    <w:rsid w:val="00A809E7"/>
    <w:rPr>
      <w:rFonts w:ascii="Tahoma" w:hAnsi="Tahoma"/>
      <w:sz w:val="16"/>
      <w:lang w:val="x-none" w:eastAsia="cs-CZ"/>
    </w:rPr>
  </w:style>
  <w:style w:type="character" w:customStyle="1" w:styleId="truktradokumentuChar171">
    <w:name w:val="Štruktúra dokumentu Char171"/>
    <w:aliases w:val="Char9 Char Char172,Štruktúra dokumentu Char Char Char172,Document Map Char Char Char172"/>
    <w:uiPriority w:val="99"/>
    <w:semiHidden/>
    <w:rsid w:val="00A809E7"/>
    <w:rPr>
      <w:rFonts w:ascii="Tahoma" w:hAnsi="Tahoma"/>
      <w:sz w:val="16"/>
      <w:lang w:val="x-none" w:eastAsia="cs-CZ"/>
    </w:rPr>
  </w:style>
  <w:style w:type="character" w:customStyle="1" w:styleId="truktradokumentuChar170">
    <w:name w:val="Štruktúra dokumentu Char170"/>
    <w:aliases w:val="Char9 Char Char171,Štruktúra dokumentu Char Char Char171,Document Map Char Char Char171"/>
    <w:uiPriority w:val="99"/>
    <w:semiHidden/>
    <w:rsid w:val="00A809E7"/>
    <w:rPr>
      <w:rFonts w:ascii="Tahoma" w:hAnsi="Tahoma"/>
      <w:sz w:val="16"/>
      <w:lang w:val="x-none" w:eastAsia="cs-CZ"/>
    </w:rPr>
  </w:style>
  <w:style w:type="character" w:customStyle="1" w:styleId="truktradokumentuChar169">
    <w:name w:val="Štruktúra dokumentu Char169"/>
    <w:aliases w:val="Char9 Char Char170,Štruktúra dokumentu Char Char Char170,Document Map Char Char Char170"/>
    <w:uiPriority w:val="99"/>
    <w:semiHidden/>
    <w:rsid w:val="00A809E7"/>
    <w:rPr>
      <w:rFonts w:ascii="Tahoma" w:hAnsi="Tahoma"/>
      <w:sz w:val="16"/>
      <w:lang w:val="x-none" w:eastAsia="cs-CZ"/>
    </w:rPr>
  </w:style>
  <w:style w:type="character" w:customStyle="1" w:styleId="truktradokumentuChar168">
    <w:name w:val="Štruktúra dokumentu Char168"/>
    <w:aliases w:val="Char9 Char Char169,Štruktúra dokumentu Char Char Char169,Document Map Char Char Char169"/>
    <w:uiPriority w:val="99"/>
    <w:semiHidden/>
    <w:rsid w:val="00A809E7"/>
    <w:rPr>
      <w:rFonts w:ascii="Tahoma" w:hAnsi="Tahoma"/>
      <w:sz w:val="16"/>
      <w:lang w:val="x-none" w:eastAsia="cs-CZ"/>
    </w:rPr>
  </w:style>
  <w:style w:type="character" w:customStyle="1" w:styleId="truktradokumentuChar167">
    <w:name w:val="Štruktúra dokumentu Char167"/>
    <w:aliases w:val="Char9 Char Char168,Štruktúra dokumentu Char Char Char168,Document Map Char Char Char168"/>
    <w:uiPriority w:val="99"/>
    <w:semiHidden/>
    <w:rsid w:val="00A809E7"/>
    <w:rPr>
      <w:rFonts w:ascii="Tahoma" w:hAnsi="Tahoma"/>
      <w:sz w:val="16"/>
      <w:lang w:val="x-none" w:eastAsia="cs-CZ"/>
    </w:rPr>
  </w:style>
  <w:style w:type="character" w:customStyle="1" w:styleId="truktradokumentuChar166">
    <w:name w:val="Štruktúra dokumentu Char166"/>
    <w:aliases w:val="Char9 Char Char167,Štruktúra dokumentu Char Char Char167,Document Map Char Char Char167"/>
    <w:uiPriority w:val="99"/>
    <w:semiHidden/>
    <w:rsid w:val="00A809E7"/>
    <w:rPr>
      <w:rFonts w:ascii="Tahoma" w:hAnsi="Tahoma"/>
      <w:sz w:val="16"/>
      <w:lang w:val="x-none" w:eastAsia="cs-CZ"/>
    </w:rPr>
  </w:style>
  <w:style w:type="character" w:customStyle="1" w:styleId="truktradokumentuChar165">
    <w:name w:val="Štruktúra dokumentu Char165"/>
    <w:aliases w:val="Char9 Char Char166,Štruktúra dokumentu Char Char Char166,Document Map Char Char Char166"/>
    <w:uiPriority w:val="99"/>
    <w:semiHidden/>
    <w:rsid w:val="00A809E7"/>
    <w:rPr>
      <w:rFonts w:ascii="Tahoma" w:hAnsi="Tahoma"/>
      <w:sz w:val="16"/>
      <w:lang w:val="x-none" w:eastAsia="cs-CZ"/>
    </w:rPr>
  </w:style>
  <w:style w:type="character" w:customStyle="1" w:styleId="truktradokumentuChar164">
    <w:name w:val="Štruktúra dokumentu Char164"/>
    <w:aliases w:val="Char9 Char Char165,Štruktúra dokumentu Char Char Char165,Document Map Char Char Char165"/>
    <w:uiPriority w:val="99"/>
    <w:semiHidden/>
    <w:rsid w:val="00A809E7"/>
    <w:rPr>
      <w:rFonts w:ascii="Tahoma" w:hAnsi="Tahoma"/>
      <w:sz w:val="16"/>
      <w:lang w:val="x-none" w:eastAsia="cs-CZ"/>
    </w:rPr>
  </w:style>
  <w:style w:type="character" w:customStyle="1" w:styleId="truktradokumentuChar163">
    <w:name w:val="Štruktúra dokumentu Char163"/>
    <w:aliases w:val="Char9 Char Char164,Štruktúra dokumentu Char Char Char164,Document Map Char Char Char164"/>
    <w:uiPriority w:val="99"/>
    <w:semiHidden/>
    <w:rsid w:val="00A809E7"/>
    <w:rPr>
      <w:rFonts w:ascii="Tahoma" w:hAnsi="Tahoma"/>
      <w:sz w:val="16"/>
      <w:lang w:val="x-none" w:eastAsia="cs-CZ"/>
    </w:rPr>
  </w:style>
  <w:style w:type="character" w:customStyle="1" w:styleId="truktradokumentuChar162">
    <w:name w:val="Štruktúra dokumentu Char162"/>
    <w:aliases w:val="Char9 Char Char163,Štruktúra dokumentu Char Char Char163,Document Map Char Char Char163"/>
    <w:uiPriority w:val="99"/>
    <w:semiHidden/>
    <w:rsid w:val="00A809E7"/>
    <w:rPr>
      <w:rFonts w:ascii="Tahoma" w:hAnsi="Tahoma"/>
      <w:sz w:val="16"/>
      <w:lang w:val="x-none" w:eastAsia="cs-CZ"/>
    </w:rPr>
  </w:style>
  <w:style w:type="character" w:customStyle="1" w:styleId="truktradokumentuChar161">
    <w:name w:val="Štruktúra dokumentu Char161"/>
    <w:aliases w:val="Char9 Char Char162,Štruktúra dokumentu Char Char Char162,Document Map Char Char Char162"/>
    <w:uiPriority w:val="99"/>
    <w:semiHidden/>
    <w:rsid w:val="00A809E7"/>
    <w:rPr>
      <w:rFonts w:ascii="Tahoma" w:hAnsi="Tahoma"/>
      <w:sz w:val="16"/>
      <w:lang w:val="x-none" w:eastAsia="cs-CZ"/>
    </w:rPr>
  </w:style>
  <w:style w:type="character" w:customStyle="1" w:styleId="truktradokumentuChar160">
    <w:name w:val="Štruktúra dokumentu Char160"/>
    <w:aliases w:val="Char9 Char Char161,Štruktúra dokumentu Char Char Char161,Document Map Char Char Char161"/>
    <w:uiPriority w:val="99"/>
    <w:semiHidden/>
    <w:rsid w:val="00A809E7"/>
    <w:rPr>
      <w:rFonts w:ascii="Tahoma" w:hAnsi="Tahoma"/>
      <w:sz w:val="16"/>
      <w:lang w:val="x-none" w:eastAsia="cs-CZ"/>
    </w:rPr>
  </w:style>
  <w:style w:type="character" w:customStyle="1" w:styleId="truktradokumentuChar159">
    <w:name w:val="Štruktúra dokumentu Char159"/>
    <w:aliases w:val="Char9 Char Char160,Štruktúra dokumentu Char Char Char160,Document Map Char Char Char160"/>
    <w:uiPriority w:val="99"/>
    <w:semiHidden/>
    <w:rsid w:val="00A809E7"/>
    <w:rPr>
      <w:rFonts w:ascii="Tahoma" w:hAnsi="Tahoma"/>
      <w:sz w:val="16"/>
      <w:lang w:val="x-none" w:eastAsia="cs-CZ"/>
    </w:rPr>
  </w:style>
  <w:style w:type="character" w:customStyle="1" w:styleId="truktradokumentuChar158">
    <w:name w:val="Štruktúra dokumentu Char158"/>
    <w:aliases w:val="Char9 Char Char159,Štruktúra dokumentu Char Char Char159,Document Map Char Char Char159"/>
    <w:uiPriority w:val="99"/>
    <w:semiHidden/>
    <w:rsid w:val="00A809E7"/>
    <w:rPr>
      <w:rFonts w:ascii="Tahoma" w:hAnsi="Tahoma"/>
      <w:sz w:val="16"/>
      <w:lang w:val="x-none" w:eastAsia="cs-CZ"/>
    </w:rPr>
  </w:style>
  <w:style w:type="character" w:customStyle="1" w:styleId="truktradokumentuChar157">
    <w:name w:val="Štruktúra dokumentu Char157"/>
    <w:aliases w:val="Char9 Char Char158,Štruktúra dokumentu Char Char Char158,Document Map Char Char Char158"/>
    <w:uiPriority w:val="99"/>
    <w:semiHidden/>
    <w:rsid w:val="00A809E7"/>
    <w:rPr>
      <w:rFonts w:ascii="Tahoma" w:hAnsi="Tahoma"/>
      <w:sz w:val="16"/>
      <w:lang w:val="x-none" w:eastAsia="cs-CZ"/>
    </w:rPr>
  </w:style>
  <w:style w:type="character" w:customStyle="1" w:styleId="truktradokumentuChar156">
    <w:name w:val="Štruktúra dokumentu Char156"/>
    <w:aliases w:val="Char9 Char Char157,Štruktúra dokumentu Char Char Char157,Document Map Char Char Char157"/>
    <w:uiPriority w:val="99"/>
    <w:semiHidden/>
    <w:rsid w:val="00A809E7"/>
    <w:rPr>
      <w:rFonts w:ascii="Tahoma" w:hAnsi="Tahoma"/>
      <w:sz w:val="16"/>
      <w:lang w:val="x-none" w:eastAsia="cs-CZ"/>
    </w:rPr>
  </w:style>
  <w:style w:type="character" w:customStyle="1" w:styleId="truktradokumentuChar155">
    <w:name w:val="Štruktúra dokumentu Char155"/>
    <w:aliases w:val="Char9 Char Char156,Štruktúra dokumentu Char Char Char156,Document Map Char Char Char156"/>
    <w:uiPriority w:val="99"/>
    <w:semiHidden/>
    <w:rsid w:val="00A809E7"/>
    <w:rPr>
      <w:rFonts w:ascii="Tahoma" w:hAnsi="Tahoma"/>
      <w:sz w:val="16"/>
      <w:lang w:val="x-none" w:eastAsia="cs-CZ"/>
    </w:rPr>
  </w:style>
  <w:style w:type="character" w:customStyle="1" w:styleId="truktradokumentuChar154">
    <w:name w:val="Štruktúra dokumentu Char154"/>
    <w:aliases w:val="Char9 Char Char155,Štruktúra dokumentu Char Char Char155,Document Map Char Char Char155"/>
    <w:uiPriority w:val="99"/>
    <w:semiHidden/>
    <w:rsid w:val="00A809E7"/>
    <w:rPr>
      <w:rFonts w:ascii="Tahoma" w:hAnsi="Tahoma"/>
      <w:sz w:val="16"/>
      <w:lang w:val="x-none" w:eastAsia="cs-CZ"/>
    </w:rPr>
  </w:style>
  <w:style w:type="character" w:customStyle="1" w:styleId="truktradokumentuChar153">
    <w:name w:val="Štruktúra dokumentu Char153"/>
    <w:aliases w:val="Char9 Char Char154,Štruktúra dokumentu Char Char Char154,Document Map Char Char Char154"/>
    <w:uiPriority w:val="99"/>
    <w:semiHidden/>
    <w:rsid w:val="00A809E7"/>
    <w:rPr>
      <w:rFonts w:ascii="Tahoma" w:hAnsi="Tahoma"/>
      <w:sz w:val="16"/>
      <w:lang w:val="x-none" w:eastAsia="cs-CZ"/>
    </w:rPr>
  </w:style>
  <w:style w:type="character" w:customStyle="1" w:styleId="truktradokumentuChar152">
    <w:name w:val="Štruktúra dokumentu Char152"/>
    <w:aliases w:val="Char9 Char Char153,Štruktúra dokumentu Char Char Char153,Document Map Char Char Char153"/>
    <w:uiPriority w:val="99"/>
    <w:semiHidden/>
    <w:rsid w:val="00A809E7"/>
    <w:rPr>
      <w:rFonts w:ascii="Tahoma" w:hAnsi="Tahoma"/>
      <w:sz w:val="16"/>
      <w:lang w:val="x-none" w:eastAsia="cs-CZ"/>
    </w:rPr>
  </w:style>
  <w:style w:type="character" w:customStyle="1" w:styleId="truktradokumentuChar151">
    <w:name w:val="Štruktúra dokumentu Char151"/>
    <w:aliases w:val="Char9 Char Char152,Štruktúra dokumentu Char Char Char152,Document Map Char Char Char152"/>
    <w:uiPriority w:val="99"/>
    <w:semiHidden/>
    <w:rsid w:val="00A809E7"/>
    <w:rPr>
      <w:rFonts w:ascii="Tahoma" w:hAnsi="Tahoma"/>
      <w:sz w:val="16"/>
      <w:lang w:val="x-none" w:eastAsia="cs-CZ"/>
    </w:rPr>
  </w:style>
  <w:style w:type="character" w:customStyle="1" w:styleId="truktradokumentuChar150">
    <w:name w:val="Štruktúra dokumentu Char150"/>
    <w:aliases w:val="Char9 Char Char151,Štruktúra dokumentu Char Char Char151,Document Map Char Char Char151"/>
    <w:uiPriority w:val="99"/>
    <w:semiHidden/>
    <w:rsid w:val="00A809E7"/>
    <w:rPr>
      <w:rFonts w:ascii="Tahoma" w:hAnsi="Tahoma"/>
      <w:sz w:val="16"/>
      <w:lang w:val="x-none" w:eastAsia="cs-CZ"/>
    </w:rPr>
  </w:style>
  <w:style w:type="character" w:customStyle="1" w:styleId="truktradokumentuChar149">
    <w:name w:val="Štruktúra dokumentu Char149"/>
    <w:aliases w:val="Char9 Char Char150,Štruktúra dokumentu Char Char Char150,Document Map Char Char Char150"/>
    <w:uiPriority w:val="99"/>
    <w:semiHidden/>
    <w:rsid w:val="00A809E7"/>
    <w:rPr>
      <w:rFonts w:ascii="Tahoma" w:hAnsi="Tahoma"/>
      <w:sz w:val="16"/>
      <w:lang w:val="x-none" w:eastAsia="cs-CZ"/>
    </w:rPr>
  </w:style>
  <w:style w:type="character" w:customStyle="1" w:styleId="truktradokumentuChar148">
    <w:name w:val="Štruktúra dokumentu Char148"/>
    <w:aliases w:val="Char9 Char Char149,Štruktúra dokumentu Char Char Char149,Document Map Char Char Char149"/>
    <w:uiPriority w:val="99"/>
    <w:semiHidden/>
    <w:rsid w:val="00A809E7"/>
    <w:rPr>
      <w:rFonts w:ascii="Tahoma" w:hAnsi="Tahoma"/>
      <w:sz w:val="16"/>
      <w:lang w:val="x-none" w:eastAsia="cs-CZ"/>
    </w:rPr>
  </w:style>
  <w:style w:type="character" w:customStyle="1" w:styleId="truktradokumentuChar147">
    <w:name w:val="Štruktúra dokumentu Char147"/>
    <w:aliases w:val="Char9 Char Char148,Štruktúra dokumentu Char Char Char148,Document Map Char Char Char148"/>
    <w:uiPriority w:val="99"/>
    <w:semiHidden/>
    <w:rsid w:val="00A809E7"/>
    <w:rPr>
      <w:rFonts w:ascii="Tahoma" w:hAnsi="Tahoma"/>
      <w:sz w:val="16"/>
      <w:lang w:val="x-none" w:eastAsia="cs-CZ"/>
    </w:rPr>
  </w:style>
  <w:style w:type="character" w:customStyle="1" w:styleId="truktradokumentuChar146">
    <w:name w:val="Štruktúra dokumentu Char146"/>
    <w:aliases w:val="Char9 Char Char147,Štruktúra dokumentu Char Char Char147,Document Map Char Char Char147"/>
    <w:uiPriority w:val="99"/>
    <w:semiHidden/>
    <w:rsid w:val="00A809E7"/>
    <w:rPr>
      <w:rFonts w:ascii="Tahoma" w:hAnsi="Tahoma"/>
      <w:sz w:val="16"/>
      <w:lang w:val="x-none" w:eastAsia="cs-CZ"/>
    </w:rPr>
  </w:style>
  <w:style w:type="character" w:customStyle="1" w:styleId="truktradokumentuChar145">
    <w:name w:val="Štruktúra dokumentu Char145"/>
    <w:aliases w:val="Char9 Char Char146,Štruktúra dokumentu Char Char Char146,Document Map Char Char Char146"/>
    <w:uiPriority w:val="99"/>
    <w:semiHidden/>
    <w:rsid w:val="00A809E7"/>
    <w:rPr>
      <w:rFonts w:ascii="Tahoma" w:hAnsi="Tahoma"/>
      <w:sz w:val="16"/>
      <w:lang w:val="x-none" w:eastAsia="cs-CZ"/>
    </w:rPr>
  </w:style>
  <w:style w:type="character" w:customStyle="1" w:styleId="truktradokumentuChar144">
    <w:name w:val="Štruktúra dokumentu Char144"/>
    <w:aliases w:val="Char9 Char Char145,Štruktúra dokumentu Char Char Char145,Document Map Char Char Char145"/>
    <w:uiPriority w:val="99"/>
    <w:semiHidden/>
    <w:rsid w:val="00A809E7"/>
    <w:rPr>
      <w:rFonts w:ascii="Tahoma" w:hAnsi="Tahoma"/>
      <w:sz w:val="16"/>
      <w:lang w:val="x-none" w:eastAsia="cs-CZ"/>
    </w:rPr>
  </w:style>
  <w:style w:type="character" w:customStyle="1" w:styleId="truktradokumentuChar143">
    <w:name w:val="Štruktúra dokumentu Char143"/>
    <w:aliases w:val="Char9 Char Char144,Štruktúra dokumentu Char Char Char144,Document Map Char Char Char144"/>
    <w:uiPriority w:val="99"/>
    <w:semiHidden/>
    <w:rsid w:val="00A809E7"/>
    <w:rPr>
      <w:rFonts w:ascii="Tahoma" w:hAnsi="Tahoma"/>
      <w:sz w:val="16"/>
      <w:lang w:val="x-none" w:eastAsia="cs-CZ"/>
    </w:rPr>
  </w:style>
  <w:style w:type="character" w:customStyle="1" w:styleId="truktradokumentuChar142">
    <w:name w:val="Štruktúra dokumentu Char142"/>
    <w:aliases w:val="Char9 Char Char143,Štruktúra dokumentu Char Char Char143,Document Map Char Char Char143"/>
    <w:uiPriority w:val="99"/>
    <w:semiHidden/>
    <w:rsid w:val="00A809E7"/>
    <w:rPr>
      <w:rFonts w:ascii="Tahoma" w:hAnsi="Tahoma"/>
      <w:sz w:val="16"/>
      <w:lang w:val="x-none" w:eastAsia="cs-CZ"/>
    </w:rPr>
  </w:style>
  <w:style w:type="character" w:customStyle="1" w:styleId="truktradokumentuChar141">
    <w:name w:val="Štruktúra dokumentu Char141"/>
    <w:aliases w:val="Char9 Char Char142,Štruktúra dokumentu Char Char Char142,Document Map Char Char Char142"/>
    <w:uiPriority w:val="99"/>
    <w:semiHidden/>
    <w:rsid w:val="00A809E7"/>
    <w:rPr>
      <w:rFonts w:ascii="Tahoma" w:hAnsi="Tahoma"/>
      <w:sz w:val="16"/>
      <w:lang w:val="x-none" w:eastAsia="cs-CZ"/>
    </w:rPr>
  </w:style>
  <w:style w:type="character" w:customStyle="1" w:styleId="truktradokumentuChar140">
    <w:name w:val="Štruktúra dokumentu Char140"/>
    <w:aliases w:val="Char9 Char Char141,Štruktúra dokumentu Char Char Char141,Document Map Char Char Char141"/>
    <w:uiPriority w:val="99"/>
    <w:semiHidden/>
    <w:rsid w:val="00A809E7"/>
    <w:rPr>
      <w:rFonts w:ascii="Tahoma" w:hAnsi="Tahoma"/>
      <w:sz w:val="16"/>
      <w:lang w:val="x-none" w:eastAsia="cs-CZ"/>
    </w:rPr>
  </w:style>
  <w:style w:type="character" w:customStyle="1" w:styleId="truktradokumentuChar139">
    <w:name w:val="Štruktúra dokumentu Char139"/>
    <w:aliases w:val="Char9 Char Char140,Štruktúra dokumentu Char Char Char140,Document Map Char Char Char140"/>
    <w:uiPriority w:val="99"/>
    <w:semiHidden/>
    <w:rsid w:val="00A809E7"/>
    <w:rPr>
      <w:rFonts w:ascii="Tahoma" w:hAnsi="Tahoma"/>
      <w:sz w:val="16"/>
      <w:lang w:val="x-none" w:eastAsia="cs-CZ"/>
    </w:rPr>
  </w:style>
  <w:style w:type="character" w:customStyle="1" w:styleId="truktradokumentuChar138">
    <w:name w:val="Štruktúra dokumentu Char138"/>
    <w:aliases w:val="Char9 Char Char139,Štruktúra dokumentu Char Char Char139,Document Map Char Char Char139"/>
    <w:uiPriority w:val="99"/>
    <w:semiHidden/>
    <w:rsid w:val="00A809E7"/>
    <w:rPr>
      <w:rFonts w:ascii="Tahoma" w:hAnsi="Tahoma"/>
      <w:sz w:val="16"/>
      <w:lang w:val="x-none" w:eastAsia="cs-CZ"/>
    </w:rPr>
  </w:style>
  <w:style w:type="character" w:customStyle="1" w:styleId="truktradokumentuChar137">
    <w:name w:val="Štruktúra dokumentu Char137"/>
    <w:aliases w:val="Char9 Char Char138,Štruktúra dokumentu Char Char Char138,Document Map Char Char Char138"/>
    <w:uiPriority w:val="99"/>
    <w:semiHidden/>
    <w:rsid w:val="00A809E7"/>
    <w:rPr>
      <w:rFonts w:ascii="Tahoma" w:hAnsi="Tahoma"/>
      <w:sz w:val="16"/>
      <w:lang w:val="x-none" w:eastAsia="cs-CZ"/>
    </w:rPr>
  </w:style>
  <w:style w:type="character" w:customStyle="1" w:styleId="truktradokumentuChar136">
    <w:name w:val="Štruktúra dokumentu Char136"/>
    <w:aliases w:val="Char9 Char Char137,Štruktúra dokumentu Char Char Char137,Document Map Char Char Char137"/>
    <w:uiPriority w:val="99"/>
    <w:semiHidden/>
    <w:rsid w:val="00A809E7"/>
    <w:rPr>
      <w:rFonts w:ascii="Tahoma" w:hAnsi="Tahoma"/>
      <w:sz w:val="16"/>
      <w:lang w:val="x-none" w:eastAsia="cs-CZ"/>
    </w:rPr>
  </w:style>
  <w:style w:type="character" w:customStyle="1" w:styleId="truktradokumentuChar135">
    <w:name w:val="Štruktúra dokumentu Char135"/>
    <w:aliases w:val="Char9 Char Char136,Štruktúra dokumentu Char Char Char136,Document Map Char Char Char136"/>
    <w:uiPriority w:val="99"/>
    <w:semiHidden/>
    <w:rsid w:val="00A809E7"/>
    <w:rPr>
      <w:rFonts w:ascii="Tahoma" w:hAnsi="Tahoma"/>
      <w:sz w:val="16"/>
      <w:lang w:val="x-none" w:eastAsia="cs-CZ"/>
    </w:rPr>
  </w:style>
  <w:style w:type="character" w:customStyle="1" w:styleId="truktradokumentuChar134">
    <w:name w:val="Štruktúra dokumentu Char134"/>
    <w:aliases w:val="Char9 Char Char135,Štruktúra dokumentu Char Char Char135,Document Map Char Char Char135"/>
    <w:uiPriority w:val="99"/>
    <w:semiHidden/>
    <w:rsid w:val="00A809E7"/>
    <w:rPr>
      <w:rFonts w:ascii="Tahoma" w:hAnsi="Tahoma"/>
      <w:sz w:val="16"/>
      <w:lang w:val="x-none" w:eastAsia="cs-CZ"/>
    </w:rPr>
  </w:style>
  <w:style w:type="character" w:customStyle="1" w:styleId="truktradokumentuChar133">
    <w:name w:val="Štruktúra dokumentu Char133"/>
    <w:aliases w:val="Char9 Char Char134,Štruktúra dokumentu Char Char Char134,Document Map Char Char Char134"/>
    <w:uiPriority w:val="99"/>
    <w:semiHidden/>
    <w:rsid w:val="00A809E7"/>
    <w:rPr>
      <w:rFonts w:ascii="Tahoma" w:hAnsi="Tahoma"/>
      <w:sz w:val="16"/>
      <w:lang w:val="x-none" w:eastAsia="cs-CZ"/>
    </w:rPr>
  </w:style>
  <w:style w:type="character" w:customStyle="1" w:styleId="truktradokumentuChar132">
    <w:name w:val="Štruktúra dokumentu Char132"/>
    <w:aliases w:val="Char9 Char Char133,Štruktúra dokumentu Char Char Char133,Document Map Char Char Char133"/>
    <w:uiPriority w:val="99"/>
    <w:semiHidden/>
    <w:rsid w:val="00A809E7"/>
    <w:rPr>
      <w:rFonts w:ascii="Tahoma" w:hAnsi="Tahoma"/>
      <w:sz w:val="16"/>
      <w:lang w:val="x-none" w:eastAsia="cs-CZ"/>
    </w:rPr>
  </w:style>
  <w:style w:type="character" w:customStyle="1" w:styleId="truktradokumentuChar131">
    <w:name w:val="Štruktúra dokumentu Char131"/>
    <w:aliases w:val="Char9 Char Char132,Štruktúra dokumentu Char Char Char132,Document Map Char Char Char132"/>
    <w:uiPriority w:val="99"/>
    <w:semiHidden/>
    <w:rsid w:val="00A809E7"/>
    <w:rPr>
      <w:rFonts w:ascii="Tahoma" w:hAnsi="Tahoma"/>
      <w:sz w:val="16"/>
      <w:lang w:val="x-none" w:eastAsia="cs-CZ"/>
    </w:rPr>
  </w:style>
  <w:style w:type="character" w:customStyle="1" w:styleId="truktradokumentuChar130">
    <w:name w:val="Štruktúra dokumentu Char130"/>
    <w:aliases w:val="Char9 Char Char131,Štruktúra dokumentu Char Char Char131,Document Map Char Char Char131"/>
    <w:uiPriority w:val="99"/>
    <w:semiHidden/>
    <w:rsid w:val="00A809E7"/>
    <w:rPr>
      <w:rFonts w:ascii="Tahoma" w:hAnsi="Tahoma"/>
      <w:sz w:val="16"/>
      <w:lang w:val="x-none" w:eastAsia="cs-CZ"/>
    </w:rPr>
  </w:style>
  <w:style w:type="character" w:customStyle="1" w:styleId="truktradokumentuChar129">
    <w:name w:val="Štruktúra dokumentu Char129"/>
    <w:aliases w:val="Char9 Char Char130,Štruktúra dokumentu Char Char Char130,Document Map Char Char Char130"/>
    <w:uiPriority w:val="99"/>
    <w:semiHidden/>
    <w:rsid w:val="00A809E7"/>
    <w:rPr>
      <w:rFonts w:ascii="Tahoma" w:hAnsi="Tahoma"/>
      <w:sz w:val="16"/>
      <w:lang w:val="x-none" w:eastAsia="cs-CZ"/>
    </w:rPr>
  </w:style>
  <w:style w:type="character" w:customStyle="1" w:styleId="truktradokumentuChar128">
    <w:name w:val="Štruktúra dokumentu Char128"/>
    <w:aliases w:val="Char9 Char Char129,Štruktúra dokumentu Char Char Char129,Document Map Char Char Char129"/>
    <w:uiPriority w:val="99"/>
    <w:semiHidden/>
    <w:rsid w:val="00A809E7"/>
    <w:rPr>
      <w:rFonts w:ascii="Tahoma" w:hAnsi="Tahoma"/>
      <w:sz w:val="16"/>
      <w:lang w:val="x-none" w:eastAsia="cs-CZ"/>
    </w:rPr>
  </w:style>
  <w:style w:type="character" w:customStyle="1" w:styleId="truktradokumentuChar127">
    <w:name w:val="Štruktúra dokumentu Char127"/>
    <w:aliases w:val="Char9 Char Char128,Štruktúra dokumentu Char Char Char128,Document Map Char Char Char128"/>
    <w:uiPriority w:val="99"/>
    <w:semiHidden/>
    <w:rsid w:val="00A809E7"/>
    <w:rPr>
      <w:rFonts w:ascii="Tahoma" w:hAnsi="Tahoma"/>
      <w:sz w:val="16"/>
      <w:lang w:val="x-none" w:eastAsia="cs-CZ"/>
    </w:rPr>
  </w:style>
  <w:style w:type="character" w:customStyle="1" w:styleId="truktradokumentuChar126">
    <w:name w:val="Štruktúra dokumentu Char126"/>
    <w:aliases w:val="Char9 Char Char127,Štruktúra dokumentu Char Char Char127,Document Map Char Char Char127"/>
    <w:uiPriority w:val="99"/>
    <w:semiHidden/>
    <w:rsid w:val="00A809E7"/>
    <w:rPr>
      <w:rFonts w:ascii="Tahoma" w:hAnsi="Tahoma"/>
      <w:sz w:val="16"/>
      <w:lang w:val="x-none" w:eastAsia="cs-CZ"/>
    </w:rPr>
  </w:style>
  <w:style w:type="character" w:customStyle="1" w:styleId="truktradokumentuChar125">
    <w:name w:val="Štruktúra dokumentu Char125"/>
    <w:aliases w:val="Char9 Char Char126,Štruktúra dokumentu Char Char Char126,Document Map Char Char Char126"/>
    <w:uiPriority w:val="99"/>
    <w:semiHidden/>
    <w:rsid w:val="00A809E7"/>
    <w:rPr>
      <w:rFonts w:ascii="Tahoma" w:hAnsi="Tahoma"/>
      <w:sz w:val="16"/>
      <w:lang w:val="x-none" w:eastAsia="cs-CZ"/>
    </w:rPr>
  </w:style>
  <w:style w:type="character" w:customStyle="1" w:styleId="truktradokumentuChar124">
    <w:name w:val="Štruktúra dokumentu Char124"/>
    <w:aliases w:val="Char9 Char Char125,Štruktúra dokumentu Char Char Char125,Document Map Char Char Char125"/>
    <w:uiPriority w:val="99"/>
    <w:semiHidden/>
    <w:rsid w:val="00A809E7"/>
    <w:rPr>
      <w:rFonts w:ascii="Tahoma" w:hAnsi="Tahoma"/>
      <w:sz w:val="16"/>
      <w:lang w:val="x-none" w:eastAsia="cs-CZ"/>
    </w:rPr>
  </w:style>
  <w:style w:type="character" w:customStyle="1" w:styleId="truktradokumentuChar123">
    <w:name w:val="Štruktúra dokumentu Char123"/>
    <w:aliases w:val="Char9 Char Char124,Štruktúra dokumentu Char Char Char124,Document Map Char Char Char124"/>
    <w:uiPriority w:val="99"/>
    <w:semiHidden/>
    <w:rsid w:val="00A809E7"/>
    <w:rPr>
      <w:rFonts w:ascii="Tahoma" w:hAnsi="Tahoma"/>
      <w:sz w:val="16"/>
      <w:lang w:val="x-none" w:eastAsia="cs-CZ"/>
    </w:rPr>
  </w:style>
  <w:style w:type="character" w:customStyle="1" w:styleId="truktradokumentuChar122">
    <w:name w:val="Štruktúra dokumentu Char122"/>
    <w:aliases w:val="Char9 Char Char123,Štruktúra dokumentu Char Char Char123,Document Map Char Char Char123"/>
    <w:uiPriority w:val="99"/>
    <w:semiHidden/>
    <w:rsid w:val="00A809E7"/>
    <w:rPr>
      <w:rFonts w:ascii="Tahoma" w:hAnsi="Tahoma"/>
      <w:sz w:val="16"/>
      <w:lang w:val="x-none" w:eastAsia="cs-CZ"/>
    </w:rPr>
  </w:style>
  <w:style w:type="character" w:customStyle="1" w:styleId="truktradokumentuChar121">
    <w:name w:val="Štruktúra dokumentu Char121"/>
    <w:aliases w:val="Char9 Char Char122,Štruktúra dokumentu Char Char Char122,Document Map Char Char Char122"/>
    <w:uiPriority w:val="99"/>
    <w:semiHidden/>
    <w:rsid w:val="00A809E7"/>
    <w:rPr>
      <w:rFonts w:ascii="Tahoma" w:hAnsi="Tahoma"/>
      <w:sz w:val="16"/>
      <w:lang w:val="x-none" w:eastAsia="cs-CZ"/>
    </w:rPr>
  </w:style>
  <w:style w:type="character" w:customStyle="1" w:styleId="truktradokumentuChar120">
    <w:name w:val="Štruktúra dokumentu Char120"/>
    <w:aliases w:val="Char9 Char Char121,Štruktúra dokumentu Char Char Char121,Document Map Char Char Char121"/>
    <w:uiPriority w:val="99"/>
    <w:semiHidden/>
    <w:rsid w:val="00A809E7"/>
    <w:rPr>
      <w:rFonts w:ascii="Tahoma" w:hAnsi="Tahoma"/>
      <w:sz w:val="16"/>
      <w:lang w:val="x-none" w:eastAsia="cs-CZ"/>
    </w:rPr>
  </w:style>
  <w:style w:type="character" w:customStyle="1" w:styleId="truktradokumentuChar119">
    <w:name w:val="Štruktúra dokumentu Char119"/>
    <w:aliases w:val="Char9 Char Char120,Štruktúra dokumentu Char Char Char120,Document Map Char Char Char120"/>
    <w:uiPriority w:val="99"/>
    <w:semiHidden/>
    <w:rsid w:val="00A809E7"/>
    <w:rPr>
      <w:rFonts w:ascii="Tahoma" w:hAnsi="Tahoma"/>
      <w:sz w:val="16"/>
      <w:lang w:val="x-none" w:eastAsia="cs-CZ"/>
    </w:rPr>
  </w:style>
  <w:style w:type="character" w:customStyle="1" w:styleId="truktradokumentuChar118">
    <w:name w:val="Štruktúra dokumentu Char118"/>
    <w:aliases w:val="Char9 Char Char119,Štruktúra dokumentu Char Char Char119,Document Map Char Char Char119"/>
    <w:uiPriority w:val="99"/>
    <w:semiHidden/>
    <w:rsid w:val="00A809E7"/>
    <w:rPr>
      <w:rFonts w:ascii="Tahoma" w:hAnsi="Tahoma"/>
      <w:sz w:val="16"/>
      <w:lang w:val="x-none" w:eastAsia="cs-CZ"/>
    </w:rPr>
  </w:style>
  <w:style w:type="character" w:customStyle="1" w:styleId="truktradokumentuChar117">
    <w:name w:val="Štruktúra dokumentu Char117"/>
    <w:aliases w:val="Char9 Char Char118,Štruktúra dokumentu Char Char Char118,Document Map Char Char Char118"/>
    <w:uiPriority w:val="99"/>
    <w:semiHidden/>
    <w:rsid w:val="00A809E7"/>
    <w:rPr>
      <w:rFonts w:ascii="Tahoma" w:hAnsi="Tahoma"/>
      <w:sz w:val="16"/>
      <w:lang w:val="x-none" w:eastAsia="cs-CZ"/>
    </w:rPr>
  </w:style>
  <w:style w:type="character" w:customStyle="1" w:styleId="truktradokumentuChar116">
    <w:name w:val="Štruktúra dokumentu Char116"/>
    <w:aliases w:val="Char9 Char Char117,Štruktúra dokumentu Char Char Char117,Document Map Char Char Char117"/>
    <w:uiPriority w:val="99"/>
    <w:semiHidden/>
    <w:rsid w:val="00A809E7"/>
    <w:rPr>
      <w:rFonts w:ascii="Tahoma" w:hAnsi="Tahoma"/>
      <w:sz w:val="16"/>
      <w:lang w:val="x-none" w:eastAsia="cs-CZ"/>
    </w:rPr>
  </w:style>
  <w:style w:type="character" w:customStyle="1" w:styleId="truktradokumentuChar115">
    <w:name w:val="Štruktúra dokumentu Char115"/>
    <w:aliases w:val="Char9 Char Char116,Štruktúra dokumentu Char Char Char116,Document Map Char Char Char116"/>
    <w:uiPriority w:val="99"/>
    <w:semiHidden/>
    <w:rsid w:val="00A809E7"/>
    <w:rPr>
      <w:rFonts w:ascii="Tahoma" w:hAnsi="Tahoma"/>
      <w:sz w:val="16"/>
      <w:lang w:val="x-none" w:eastAsia="cs-CZ"/>
    </w:rPr>
  </w:style>
  <w:style w:type="character" w:customStyle="1" w:styleId="truktradokumentuChar114">
    <w:name w:val="Štruktúra dokumentu Char114"/>
    <w:aliases w:val="Char9 Char Char115,Štruktúra dokumentu Char Char Char115,Document Map Char Char Char115"/>
    <w:uiPriority w:val="99"/>
    <w:semiHidden/>
    <w:rsid w:val="00A809E7"/>
    <w:rPr>
      <w:rFonts w:ascii="Tahoma" w:hAnsi="Tahoma"/>
      <w:sz w:val="16"/>
      <w:lang w:val="x-none" w:eastAsia="cs-CZ"/>
    </w:rPr>
  </w:style>
  <w:style w:type="character" w:customStyle="1" w:styleId="truktradokumentuChar113">
    <w:name w:val="Štruktúra dokumentu Char113"/>
    <w:aliases w:val="Char9 Char Char114,Štruktúra dokumentu Char Char Char114,Document Map Char Char Char114"/>
    <w:uiPriority w:val="99"/>
    <w:semiHidden/>
    <w:rsid w:val="00A809E7"/>
    <w:rPr>
      <w:rFonts w:ascii="Tahoma" w:hAnsi="Tahoma"/>
      <w:sz w:val="16"/>
      <w:lang w:val="x-none" w:eastAsia="cs-CZ"/>
    </w:rPr>
  </w:style>
  <w:style w:type="character" w:customStyle="1" w:styleId="truktradokumentuChar112">
    <w:name w:val="Štruktúra dokumentu Char112"/>
    <w:aliases w:val="Char9 Char Char113,Štruktúra dokumentu Char Char Char113,Document Map Char Char Char113"/>
    <w:uiPriority w:val="99"/>
    <w:semiHidden/>
    <w:rsid w:val="00A809E7"/>
    <w:rPr>
      <w:rFonts w:ascii="Tahoma" w:hAnsi="Tahoma"/>
      <w:sz w:val="16"/>
      <w:lang w:val="x-none" w:eastAsia="cs-CZ"/>
    </w:rPr>
  </w:style>
  <w:style w:type="character" w:customStyle="1" w:styleId="truktradokumentuChar111">
    <w:name w:val="Štruktúra dokumentu Char111"/>
    <w:aliases w:val="Char9 Char Char112,Štruktúra dokumentu Char Char Char112,Document Map Char Char Char112"/>
    <w:uiPriority w:val="99"/>
    <w:semiHidden/>
    <w:rsid w:val="00A809E7"/>
    <w:rPr>
      <w:rFonts w:ascii="Tahoma" w:hAnsi="Tahoma"/>
      <w:sz w:val="16"/>
      <w:lang w:val="x-none" w:eastAsia="cs-CZ"/>
    </w:rPr>
  </w:style>
  <w:style w:type="character" w:customStyle="1" w:styleId="truktradokumentuChar110">
    <w:name w:val="Štruktúra dokumentu Char110"/>
    <w:aliases w:val="Char9 Char Char110,Štruktúra dokumentu Char Char Char110,Document Map Char Char Char110"/>
    <w:uiPriority w:val="99"/>
    <w:semiHidden/>
    <w:rsid w:val="00A809E7"/>
    <w:rPr>
      <w:rFonts w:ascii="Tahoma" w:hAnsi="Tahoma"/>
      <w:sz w:val="16"/>
      <w:lang w:val="x-none" w:eastAsia="cs-CZ"/>
    </w:rPr>
  </w:style>
  <w:style w:type="character" w:customStyle="1" w:styleId="truktradokumentuChar19">
    <w:name w:val="Štruktúra dokumentu Char19"/>
    <w:aliases w:val="Char9 Char Char19,Štruktúra dokumentu Char Char Char19,Document Map Char Char Char19"/>
    <w:uiPriority w:val="99"/>
    <w:semiHidden/>
    <w:rsid w:val="00A809E7"/>
    <w:rPr>
      <w:rFonts w:ascii="Tahoma" w:hAnsi="Tahoma"/>
      <w:sz w:val="16"/>
      <w:lang w:val="x-none" w:eastAsia="cs-CZ"/>
    </w:rPr>
  </w:style>
  <w:style w:type="character" w:customStyle="1" w:styleId="truktradokumentuChar18">
    <w:name w:val="Štruktúra dokumentu Char18"/>
    <w:aliases w:val="Char9 Char Char18,Štruktúra dokumentu Char Char Char18,Document Map Char Char Char18"/>
    <w:uiPriority w:val="99"/>
    <w:semiHidden/>
    <w:rsid w:val="00A809E7"/>
    <w:rPr>
      <w:rFonts w:ascii="Tahoma" w:hAnsi="Tahoma"/>
      <w:sz w:val="16"/>
      <w:lang w:val="x-none" w:eastAsia="cs-CZ"/>
    </w:rPr>
  </w:style>
  <w:style w:type="character" w:customStyle="1" w:styleId="truktradokumentuChar17">
    <w:name w:val="Štruktúra dokumentu Char17"/>
    <w:aliases w:val="Char9 Char Char17,Štruktúra dokumentu Char Char Char17,Document Map Char Char Char17"/>
    <w:uiPriority w:val="99"/>
    <w:semiHidden/>
    <w:rsid w:val="00A809E7"/>
    <w:rPr>
      <w:rFonts w:ascii="Tahoma" w:hAnsi="Tahoma"/>
      <w:sz w:val="16"/>
      <w:lang w:val="x-none" w:eastAsia="cs-CZ"/>
    </w:rPr>
  </w:style>
  <w:style w:type="character" w:customStyle="1" w:styleId="truktradokumentuChar16">
    <w:name w:val="Štruktúra dokumentu Char16"/>
    <w:aliases w:val="Char9 Char Char16,Štruktúra dokumentu Char Char Char16,Document Map Char Char Char16"/>
    <w:uiPriority w:val="99"/>
    <w:semiHidden/>
    <w:rsid w:val="00A809E7"/>
    <w:rPr>
      <w:rFonts w:ascii="Tahoma" w:hAnsi="Tahoma"/>
      <w:sz w:val="16"/>
      <w:lang w:val="x-none" w:eastAsia="cs-CZ"/>
    </w:rPr>
  </w:style>
  <w:style w:type="character" w:customStyle="1" w:styleId="truktradokumentuChar15">
    <w:name w:val="Štruktúra dokumentu Char15"/>
    <w:aliases w:val="Char9 Char Char15,Štruktúra dokumentu Char Char Char15,Document Map Char Char Char15"/>
    <w:uiPriority w:val="99"/>
    <w:semiHidden/>
    <w:rsid w:val="00A809E7"/>
    <w:rPr>
      <w:rFonts w:ascii="Tahoma" w:hAnsi="Tahoma"/>
      <w:sz w:val="16"/>
      <w:lang w:val="x-none" w:eastAsia="cs-CZ"/>
    </w:rPr>
  </w:style>
  <w:style w:type="character" w:customStyle="1" w:styleId="truktradokumentuChar14">
    <w:name w:val="Štruktúra dokumentu Char14"/>
    <w:aliases w:val="Char9 Char Char14,Štruktúra dokumentu Char Char Char14,Document Map Char Char Char14"/>
    <w:uiPriority w:val="99"/>
    <w:semiHidden/>
    <w:rsid w:val="00A809E7"/>
    <w:rPr>
      <w:rFonts w:ascii="Tahoma" w:hAnsi="Tahoma"/>
      <w:sz w:val="16"/>
      <w:lang w:val="x-none" w:eastAsia="cs-CZ"/>
    </w:rPr>
  </w:style>
  <w:style w:type="character" w:customStyle="1" w:styleId="truktradokumentuChar13">
    <w:name w:val="Štruktúra dokumentu Char13"/>
    <w:aliases w:val="Char9 Char Char13,Štruktúra dokumentu Char Char Char13,Document Map Char Char Char13"/>
    <w:uiPriority w:val="99"/>
    <w:semiHidden/>
    <w:rsid w:val="00A809E7"/>
    <w:rPr>
      <w:rFonts w:ascii="Tahoma" w:hAnsi="Tahoma"/>
      <w:sz w:val="16"/>
      <w:lang w:val="x-none" w:eastAsia="cs-CZ"/>
    </w:rPr>
  </w:style>
  <w:style w:type="character" w:customStyle="1" w:styleId="truktradokumentuChar12">
    <w:name w:val="Štruktúra dokumentu Char12"/>
    <w:aliases w:val="Char9 Char Char12,Štruktúra dokumentu Char Char Char12,Document Map Char Char Char12"/>
    <w:uiPriority w:val="99"/>
    <w:semiHidden/>
    <w:rsid w:val="00A809E7"/>
    <w:rPr>
      <w:rFonts w:ascii="Tahoma" w:hAnsi="Tahoma"/>
      <w:sz w:val="16"/>
      <w:lang w:val="x-none" w:eastAsia="cs-CZ"/>
    </w:rPr>
  </w:style>
  <w:style w:type="character" w:customStyle="1" w:styleId="truktradokumentuChar11">
    <w:name w:val="Štruktúra dokumentu Char11"/>
    <w:aliases w:val="Char9 Char Char11,Štruktúra dokumentu Char Char Char11,Document Map Char Char Char11,Char9 Char Char111,Štruktúra dokumentu Char Char Char111,Document Map Char Char Char111"/>
    <w:uiPriority w:val="99"/>
    <w:semiHidden/>
    <w:rsid w:val="00A809E7"/>
    <w:rPr>
      <w:rFonts w:ascii="Tahoma" w:hAnsi="Tahoma"/>
      <w:sz w:val="16"/>
      <w:lang w:val="x-none" w:eastAsia="cs-CZ"/>
    </w:rPr>
  </w:style>
  <w:style w:type="paragraph" w:customStyle="1" w:styleId="CharCharCharCharCharCharCharCharCharCharCharCharCharCharCharCharCharCharCharCharCharCharChar1CharCharCharCharChar">
    <w:name w:val="Char Char Char Char Char Char Char Char Char Char Char Char Char Char Char Char Char Char Char Char Char Char Char1 Char Char Char Char Char"/>
    <w:basedOn w:val="Normlny"/>
    <w:uiPriority w:val="99"/>
    <w:qFormat/>
    <w:rsid w:val="00A809E7"/>
    <w:pPr>
      <w:spacing w:line="240" w:lineRule="exact"/>
    </w:pPr>
    <w:rPr>
      <w:rFonts w:ascii="Tahoma" w:eastAsia="Times New Roman" w:hAnsi="Tahoma" w:cs="Tahoma"/>
      <w:sz w:val="20"/>
      <w:szCs w:val="20"/>
      <w:lang w:val="en-US"/>
    </w:rPr>
  </w:style>
  <w:style w:type="paragraph" w:customStyle="1" w:styleId="CharCharChar2CharCharCharCharCharCharCharCharCharCharChar">
    <w:name w:val="Char Char Char2 Char Char Char Char Char Char Char Char Char Char Char"/>
    <w:basedOn w:val="Normlny"/>
    <w:uiPriority w:val="99"/>
    <w:qFormat/>
    <w:rsid w:val="00A809E7"/>
    <w:pPr>
      <w:spacing w:line="240" w:lineRule="exact"/>
    </w:pPr>
    <w:rPr>
      <w:rFonts w:ascii="Tahoma" w:eastAsia="Times New Roman" w:hAnsi="Tahoma" w:cs="Tahoma"/>
      <w:sz w:val="20"/>
      <w:szCs w:val="20"/>
      <w:lang w:val="en-US"/>
    </w:rPr>
  </w:style>
  <w:style w:type="paragraph" w:customStyle="1" w:styleId="CharCharChar2CharCharCharCharCharChar">
    <w:name w:val="Char Char Char2 Char Char Char Char Char Char"/>
    <w:basedOn w:val="Normlny"/>
    <w:uiPriority w:val="99"/>
    <w:qFormat/>
    <w:rsid w:val="00A809E7"/>
    <w:pPr>
      <w:spacing w:line="240" w:lineRule="exact"/>
    </w:pPr>
    <w:rPr>
      <w:rFonts w:ascii="Tahoma" w:eastAsia="Times New Roman" w:hAnsi="Tahoma" w:cs="Tahoma"/>
      <w:sz w:val="20"/>
      <w:szCs w:val="20"/>
      <w:lang w:val="en-US"/>
    </w:rPr>
  </w:style>
  <w:style w:type="character" w:customStyle="1" w:styleId="TextkomentraChar">
    <w:name w:val="Text komentára Char"/>
    <w:aliases w:val="Char7 Char Char,Text komentára Char Char Char,Comment Text Char Char Char"/>
    <w:link w:val="Textkomentra"/>
    <w:uiPriority w:val="99"/>
    <w:locked/>
    <w:rsid w:val="00A809E7"/>
    <w:rPr>
      <w:rFonts w:ascii="Courier" w:hAnsi="Courier"/>
    </w:rPr>
  </w:style>
  <w:style w:type="paragraph" w:styleId="Textkomentra">
    <w:name w:val="annotation text"/>
    <w:aliases w:val="Char7 Char,Text komentára Char Char,Comment Text Char Char"/>
    <w:basedOn w:val="Normlny"/>
    <w:link w:val="TextkomentraChar"/>
    <w:uiPriority w:val="99"/>
    <w:qFormat/>
    <w:rsid w:val="00A809E7"/>
    <w:pPr>
      <w:spacing w:after="0" w:line="240" w:lineRule="auto"/>
    </w:pPr>
    <w:rPr>
      <w:rFonts w:ascii="Courier" w:hAnsi="Courier"/>
    </w:rPr>
  </w:style>
  <w:style w:type="character" w:customStyle="1" w:styleId="TextkomentraChar1">
    <w:name w:val="Text komentára Char1"/>
    <w:aliases w:val="Char7 Char Char1,Text komentára Char Char Char1,Comment Text Char Char Char1"/>
    <w:basedOn w:val="Predvolenpsmoodseku"/>
    <w:uiPriority w:val="99"/>
    <w:semiHidden/>
    <w:rsid w:val="00A809E7"/>
    <w:rPr>
      <w:sz w:val="20"/>
      <w:szCs w:val="20"/>
    </w:rPr>
  </w:style>
  <w:style w:type="character" w:customStyle="1" w:styleId="TextkomentraChar1621">
    <w:name w:val="Text komentára Char1621"/>
    <w:aliases w:val="Char7 Char Char1622,Text komentára Char Char Char1622,Comment Text Char Char Char1622"/>
    <w:basedOn w:val="Predvolenpsmoodseku"/>
    <w:uiPriority w:val="99"/>
    <w:semiHidden/>
    <w:rsid w:val="00A809E7"/>
    <w:rPr>
      <w:rFonts w:ascii="Courier" w:hAnsi="Courier" w:cs="Courier"/>
      <w:lang w:val="x-none" w:eastAsia="cs-CZ"/>
    </w:rPr>
  </w:style>
  <w:style w:type="character" w:customStyle="1" w:styleId="TextkomentraChar1620">
    <w:name w:val="Text komentára Char1620"/>
    <w:aliases w:val="Char7 Char Char1621,Text komentára Char Char Char1621,Comment Text Char Char Char1621"/>
    <w:basedOn w:val="Predvolenpsmoodseku"/>
    <w:uiPriority w:val="99"/>
    <w:semiHidden/>
    <w:rsid w:val="00A809E7"/>
    <w:rPr>
      <w:rFonts w:ascii="Courier" w:hAnsi="Courier" w:cs="Courier"/>
      <w:lang w:val="x-none" w:eastAsia="cs-CZ"/>
    </w:rPr>
  </w:style>
  <w:style w:type="character" w:customStyle="1" w:styleId="TextkomentraChar1614">
    <w:name w:val="Text komentára Char1614"/>
    <w:aliases w:val="Char7 Char Char1615,Text komentára Char Char Char1615,Comment Text Char Char Char1615"/>
    <w:basedOn w:val="Predvolenpsmoodseku"/>
    <w:uiPriority w:val="99"/>
    <w:semiHidden/>
    <w:rsid w:val="00A809E7"/>
    <w:rPr>
      <w:rFonts w:ascii="Courier" w:hAnsi="Courier" w:cs="Courier"/>
      <w:lang w:val="x-none" w:eastAsia="cs-CZ"/>
    </w:rPr>
  </w:style>
  <w:style w:type="character" w:customStyle="1" w:styleId="TextkomentraChar1613">
    <w:name w:val="Text komentára Char1613"/>
    <w:aliases w:val="Char7 Char Char1614,Text komentára Char Char Char1614,Comment Text Char Char Char1614"/>
    <w:basedOn w:val="Predvolenpsmoodseku"/>
    <w:uiPriority w:val="99"/>
    <w:semiHidden/>
    <w:rsid w:val="00A809E7"/>
    <w:rPr>
      <w:rFonts w:ascii="Courier" w:hAnsi="Courier" w:cs="Courier"/>
      <w:lang w:val="x-none" w:eastAsia="cs-CZ"/>
    </w:rPr>
  </w:style>
  <w:style w:type="character" w:customStyle="1" w:styleId="TextkomentraChar1612">
    <w:name w:val="Text komentára Char1612"/>
    <w:aliases w:val="Char7 Char Char1613,Text komentára Char Char Char1613,Comment Text Char Char Char1613"/>
    <w:basedOn w:val="Predvolenpsmoodseku"/>
    <w:uiPriority w:val="99"/>
    <w:semiHidden/>
    <w:rsid w:val="00A809E7"/>
    <w:rPr>
      <w:rFonts w:ascii="Courier" w:hAnsi="Courier" w:cs="Courier"/>
      <w:lang w:val="x-none" w:eastAsia="cs-CZ"/>
    </w:rPr>
  </w:style>
  <w:style w:type="character" w:customStyle="1" w:styleId="TextkomentraChar1611">
    <w:name w:val="Text komentára Char1611"/>
    <w:aliases w:val="Char7 Char Char1612,Text komentára Char Char Char1612,Comment Text Char Char Char1612"/>
    <w:basedOn w:val="Predvolenpsmoodseku"/>
    <w:uiPriority w:val="99"/>
    <w:semiHidden/>
    <w:rsid w:val="00A809E7"/>
    <w:rPr>
      <w:rFonts w:ascii="Courier" w:hAnsi="Courier" w:cs="Courier"/>
      <w:lang w:val="x-none" w:eastAsia="cs-CZ"/>
    </w:rPr>
  </w:style>
  <w:style w:type="character" w:customStyle="1" w:styleId="TextkomentraChar1610">
    <w:name w:val="Text komentára Char1610"/>
    <w:aliases w:val="Char7 Char Char1611,Text komentára Char Char Char1611,Comment Text Char Char Char1611"/>
    <w:basedOn w:val="Predvolenpsmoodseku"/>
    <w:uiPriority w:val="99"/>
    <w:semiHidden/>
    <w:rsid w:val="00A809E7"/>
    <w:rPr>
      <w:rFonts w:ascii="Courier" w:hAnsi="Courier" w:cs="Courier"/>
      <w:lang w:val="x-none" w:eastAsia="cs-CZ"/>
    </w:rPr>
  </w:style>
  <w:style w:type="character" w:customStyle="1" w:styleId="TextkomentraChar1609">
    <w:name w:val="Text komentára Char1609"/>
    <w:aliases w:val="Char7 Char Char1610,Text komentára Char Char Char1610,Comment Text Char Char Char1610"/>
    <w:basedOn w:val="Predvolenpsmoodseku"/>
    <w:uiPriority w:val="99"/>
    <w:semiHidden/>
    <w:rsid w:val="00A809E7"/>
    <w:rPr>
      <w:rFonts w:ascii="Courier" w:hAnsi="Courier" w:cs="Courier"/>
      <w:lang w:val="x-none" w:eastAsia="cs-CZ"/>
    </w:rPr>
  </w:style>
  <w:style w:type="character" w:customStyle="1" w:styleId="TextkomentraChar1608">
    <w:name w:val="Text komentára Char1608"/>
    <w:aliases w:val="Char7 Char Char1609,Text komentára Char Char Char1609,Comment Text Char Char Char1609"/>
    <w:basedOn w:val="Predvolenpsmoodseku"/>
    <w:uiPriority w:val="99"/>
    <w:semiHidden/>
    <w:rsid w:val="00A809E7"/>
    <w:rPr>
      <w:rFonts w:ascii="Courier" w:hAnsi="Courier" w:cs="Courier"/>
      <w:lang w:val="x-none" w:eastAsia="cs-CZ"/>
    </w:rPr>
  </w:style>
  <w:style w:type="character" w:customStyle="1" w:styleId="TextkomentraChar1607">
    <w:name w:val="Text komentára Char1607"/>
    <w:aliases w:val="Char7 Char Char1608,Text komentára Char Char Char1608,Comment Text Char Char Char1608"/>
    <w:basedOn w:val="Predvolenpsmoodseku"/>
    <w:uiPriority w:val="99"/>
    <w:semiHidden/>
    <w:rsid w:val="00A809E7"/>
    <w:rPr>
      <w:rFonts w:ascii="Courier" w:hAnsi="Courier" w:cs="Courier"/>
      <w:lang w:val="x-none" w:eastAsia="cs-CZ"/>
    </w:rPr>
  </w:style>
  <w:style w:type="character" w:customStyle="1" w:styleId="TextkomentraChar1606">
    <w:name w:val="Text komentára Char1606"/>
    <w:aliases w:val="Char7 Char Char1607,Text komentára Char Char Char1607,Comment Text Char Char Char1607"/>
    <w:basedOn w:val="Predvolenpsmoodseku"/>
    <w:uiPriority w:val="99"/>
    <w:semiHidden/>
    <w:rsid w:val="00A809E7"/>
    <w:rPr>
      <w:rFonts w:ascii="Courier" w:hAnsi="Courier" w:cs="Courier"/>
      <w:lang w:val="x-none" w:eastAsia="cs-CZ"/>
    </w:rPr>
  </w:style>
  <w:style w:type="character" w:customStyle="1" w:styleId="TextkomentraChar1605">
    <w:name w:val="Text komentára Char1605"/>
    <w:aliases w:val="Char7 Char Char1606,Text komentára Char Char Char1606,Comment Text Char Char Char1606"/>
    <w:basedOn w:val="Predvolenpsmoodseku"/>
    <w:uiPriority w:val="99"/>
    <w:semiHidden/>
    <w:rsid w:val="00A809E7"/>
    <w:rPr>
      <w:rFonts w:ascii="Courier" w:hAnsi="Courier" w:cs="Courier"/>
      <w:lang w:val="x-none" w:eastAsia="cs-CZ"/>
    </w:rPr>
  </w:style>
  <w:style w:type="character" w:customStyle="1" w:styleId="TextkomentraChar1604">
    <w:name w:val="Text komentára Char1604"/>
    <w:aliases w:val="Char7 Char Char1605,Text komentára Char Char Char1605,Comment Text Char Char Char1605"/>
    <w:basedOn w:val="Predvolenpsmoodseku"/>
    <w:uiPriority w:val="99"/>
    <w:semiHidden/>
    <w:rsid w:val="00A809E7"/>
    <w:rPr>
      <w:rFonts w:ascii="Courier" w:hAnsi="Courier" w:cs="Courier"/>
      <w:lang w:val="x-none" w:eastAsia="cs-CZ"/>
    </w:rPr>
  </w:style>
  <w:style w:type="character" w:customStyle="1" w:styleId="TextkomentraChar1603">
    <w:name w:val="Text komentára Char1603"/>
    <w:aliases w:val="Char7 Char Char1604,Text komentára Char Char Char1604,Comment Text Char Char Char1604"/>
    <w:basedOn w:val="Predvolenpsmoodseku"/>
    <w:uiPriority w:val="99"/>
    <w:semiHidden/>
    <w:rsid w:val="00A809E7"/>
    <w:rPr>
      <w:rFonts w:ascii="Courier" w:hAnsi="Courier" w:cs="Courier"/>
      <w:lang w:val="x-none" w:eastAsia="cs-CZ"/>
    </w:rPr>
  </w:style>
  <w:style w:type="character" w:customStyle="1" w:styleId="TextkomentraChar1602">
    <w:name w:val="Text komentára Char1602"/>
    <w:aliases w:val="Char7 Char Char1603,Text komentára Char Char Char1603,Comment Text Char Char Char1603"/>
    <w:basedOn w:val="Predvolenpsmoodseku"/>
    <w:uiPriority w:val="99"/>
    <w:semiHidden/>
    <w:rsid w:val="00A809E7"/>
    <w:rPr>
      <w:rFonts w:ascii="Courier" w:hAnsi="Courier" w:cs="Courier"/>
      <w:lang w:val="x-none" w:eastAsia="cs-CZ"/>
    </w:rPr>
  </w:style>
  <w:style w:type="character" w:customStyle="1" w:styleId="TextkomentraChar1601">
    <w:name w:val="Text komentára Char1601"/>
    <w:aliases w:val="Char7 Char Char1602,Text komentára Char Char Char1602,Comment Text Char Char Char1602"/>
    <w:basedOn w:val="Predvolenpsmoodseku"/>
    <w:uiPriority w:val="99"/>
    <w:semiHidden/>
    <w:rsid w:val="00A809E7"/>
    <w:rPr>
      <w:rFonts w:ascii="Courier" w:hAnsi="Courier" w:cs="Courier"/>
      <w:lang w:val="x-none" w:eastAsia="cs-CZ"/>
    </w:rPr>
  </w:style>
  <w:style w:type="character" w:customStyle="1" w:styleId="TextkomentraChar1600">
    <w:name w:val="Text komentára Char1600"/>
    <w:aliases w:val="Char7 Char Char1601,Text komentára Char Char Char1601,Comment Text Char Char Char1601"/>
    <w:basedOn w:val="Predvolenpsmoodseku"/>
    <w:uiPriority w:val="99"/>
    <w:semiHidden/>
    <w:rsid w:val="00A809E7"/>
    <w:rPr>
      <w:rFonts w:ascii="Courier" w:hAnsi="Courier" w:cs="Courier"/>
      <w:lang w:val="x-none" w:eastAsia="cs-CZ"/>
    </w:rPr>
  </w:style>
  <w:style w:type="character" w:customStyle="1" w:styleId="TextkomentraChar1599">
    <w:name w:val="Text komentára Char1599"/>
    <w:aliases w:val="Char7 Char Char1600,Text komentára Char Char Char1600,Comment Text Char Char Char1600"/>
    <w:basedOn w:val="Predvolenpsmoodseku"/>
    <w:uiPriority w:val="99"/>
    <w:semiHidden/>
    <w:rsid w:val="00A809E7"/>
    <w:rPr>
      <w:rFonts w:ascii="Courier" w:hAnsi="Courier" w:cs="Courier"/>
      <w:lang w:val="x-none" w:eastAsia="cs-CZ"/>
    </w:rPr>
  </w:style>
  <w:style w:type="character" w:customStyle="1" w:styleId="TextkomentraChar1598">
    <w:name w:val="Text komentára Char1598"/>
    <w:aliases w:val="Char7 Char Char1599,Text komentára Char Char Char1599,Comment Text Char Char Char1599"/>
    <w:basedOn w:val="Predvolenpsmoodseku"/>
    <w:uiPriority w:val="99"/>
    <w:semiHidden/>
    <w:rsid w:val="00A809E7"/>
    <w:rPr>
      <w:rFonts w:ascii="Courier" w:hAnsi="Courier" w:cs="Courier"/>
      <w:lang w:val="x-none" w:eastAsia="cs-CZ"/>
    </w:rPr>
  </w:style>
  <w:style w:type="character" w:customStyle="1" w:styleId="TextkomentraChar1597">
    <w:name w:val="Text komentára Char1597"/>
    <w:aliases w:val="Char7 Char Char1598,Text komentára Char Char Char1598,Comment Text Char Char Char1598"/>
    <w:basedOn w:val="Predvolenpsmoodseku"/>
    <w:uiPriority w:val="99"/>
    <w:semiHidden/>
    <w:rsid w:val="00A809E7"/>
    <w:rPr>
      <w:rFonts w:ascii="Courier" w:hAnsi="Courier" w:cs="Courier"/>
      <w:lang w:val="x-none" w:eastAsia="cs-CZ"/>
    </w:rPr>
  </w:style>
  <w:style w:type="character" w:customStyle="1" w:styleId="TextkomentraChar1596">
    <w:name w:val="Text komentára Char1596"/>
    <w:aliases w:val="Char7 Char Char1597,Text komentára Char Char Char1597,Comment Text Char Char Char1597"/>
    <w:basedOn w:val="Predvolenpsmoodseku"/>
    <w:uiPriority w:val="99"/>
    <w:semiHidden/>
    <w:rsid w:val="00A809E7"/>
    <w:rPr>
      <w:rFonts w:ascii="Courier" w:hAnsi="Courier" w:cs="Courier"/>
      <w:lang w:val="x-none" w:eastAsia="cs-CZ"/>
    </w:rPr>
  </w:style>
  <w:style w:type="character" w:customStyle="1" w:styleId="TextkomentraChar1595">
    <w:name w:val="Text komentára Char1595"/>
    <w:aliases w:val="Char7 Char Char1596,Text komentára Char Char Char1596,Comment Text Char Char Char1596"/>
    <w:basedOn w:val="Predvolenpsmoodseku"/>
    <w:uiPriority w:val="99"/>
    <w:semiHidden/>
    <w:rsid w:val="00A809E7"/>
    <w:rPr>
      <w:rFonts w:ascii="Courier" w:hAnsi="Courier" w:cs="Courier"/>
      <w:lang w:val="x-none" w:eastAsia="cs-CZ"/>
    </w:rPr>
  </w:style>
  <w:style w:type="character" w:customStyle="1" w:styleId="TextkomentraChar1594">
    <w:name w:val="Text komentára Char1594"/>
    <w:aliases w:val="Char7 Char Char1595,Text komentára Char Char Char1595,Comment Text Char Char Char1595"/>
    <w:basedOn w:val="Predvolenpsmoodseku"/>
    <w:uiPriority w:val="99"/>
    <w:semiHidden/>
    <w:rsid w:val="00A809E7"/>
    <w:rPr>
      <w:rFonts w:ascii="Courier" w:hAnsi="Courier" w:cs="Courier"/>
      <w:lang w:val="x-none" w:eastAsia="cs-CZ"/>
    </w:rPr>
  </w:style>
  <w:style w:type="character" w:customStyle="1" w:styleId="TextkomentraChar1593">
    <w:name w:val="Text komentára Char1593"/>
    <w:aliases w:val="Char7 Char Char1594,Text komentára Char Char Char1594,Comment Text Char Char Char1594"/>
    <w:basedOn w:val="Predvolenpsmoodseku"/>
    <w:uiPriority w:val="99"/>
    <w:semiHidden/>
    <w:rsid w:val="00A809E7"/>
    <w:rPr>
      <w:rFonts w:ascii="Courier" w:hAnsi="Courier" w:cs="Courier"/>
      <w:lang w:val="x-none" w:eastAsia="cs-CZ"/>
    </w:rPr>
  </w:style>
  <w:style w:type="character" w:customStyle="1" w:styleId="TextkomentraChar1592">
    <w:name w:val="Text komentára Char1592"/>
    <w:aliases w:val="Char7 Char Char1593,Text komentára Char Char Char1593,Comment Text Char Char Char1593"/>
    <w:basedOn w:val="Predvolenpsmoodseku"/>
    <w:uiPriority w:val="99"/>
    <w:semiHidden/>
    <w:rsid w:val="00A809E7"/>
    <w:rPr>
      <w:rFonts w:ascii="Courier" w:hAnsi="Courier" w:cs="Courier"/>
      <w:lang w:val="x-none" w:eastAsia="cs-CZ"/>
    </w:rPr>
  </w:style>
  <w:style w:type="character" w:customStyle="1" w:styleId="TextkomentraChar1591">
    <w:name w:val="Text komentára Char1591"/>
    <w:aliases w:val="Char7 Char Char1592,Text komentára Char Char Char1592,Comment Text Char Char Char1592"/>
    <w:basedOn w:val="Predvolenpsmoodseku"/>
    <w:uiPriority w:val="99"/>
    <w:semiHidden/>
    <w:rsid w:val="00A809E7"/>
    <w:rPr>
      <w:rFonts w:ascii="Courier" w:hAnsi="Courier" w:cs="Courier"/>
      <w:lang w:val="x-none" w:eastAsia="cs-CZ"/>
    </w:rPr>
  </w:style>
  <w:style w:type="character" w:customStyle="1" w:styleId="TextkomentraChar1590">
    <w:name w:val="Text komentára Char1590"/>
    <w:aliases w:val="Char7 Char Char1591,Text komentára Char Char Char1591,Comment Text Char Char Char1591"/>
    <w:basedOn w:val="Predvolenpsmoodseku"/>
    <w:uiPriority w:val="99"/>
    <w:semiHidden/>
    <w:rsid w:val="00A809E7"/>
    <w:rPr>
      <w:rFonts w:ascii="Courier" w:hAnsi="Courier" w:cs="Courier"/>
      <w:lang w:val="x-none" w:eastAsia="cs-CZ"/>
    </w:rPr>
  </w:style>
  <w:style w:type="character" w:customStyle="1" w:styleId="TextkomentraChar1589">
    <w:name w:val="Text komentára Char1589"/>
    <w:aliases w:val="Char7 Char Char1590,Text komentára Char Char Char1590,Comment Text Char Char Char1590"/>
    <w:basedOn w:val="Predvolenpsmoodseku"/>
    <w:uiPriority w:val="99"/>
    <w:semiHidden/>
    <w:rsid w:val="00A809E7"/>
    <w:rPr>
      <w:rFonts w:ascii="Courier" w:hAnsi="Courier" w:cs="Courier"/>
      <w:lang w:val="x-none" w:eastAsia="cs-CZ"/>
    </w:rPr>
  </w:style>
  <w:style w:type="character" w:customStyle="1" w:styleId="TextkomentraChar1588">
    <w:name w:val="Text komentára Char1588"/>
    <w:aliases w:val="Char7 Char Char1589,Text komentára Char Char Char1589,Comment Text Char Char Char1589"/>
    <w:basedOn w:val="Predvolenpsmoodseku"/>
    <w:uiPriority w:val="99"/>
    <w:semiHidden/>
    <w:rsid w:val="00A809E7"/>
    <w:rPr>
      <w:rFonts w:ascii="Courier" w:hAnsi="Courier" w:cs="Courier"/>
      <w:lang w:val="x-none" w:eastAsia="cs-CZ"/>
    </w:rPr>
  </w:style>
  <w:style w:type="character" w:customStyle="1" w:styleId="TextkomentraChar1587">
    <w:name w:val="Text komentára Char1587"/>
    <w:aliases w:val="Char7 Char Char1588,Text komentára Char Char Char1588,Comment Text Char Char Char1588"/>
    <w:basedOn w:val="Predvolenpsmoodseku"/>
    <w:uiPriority w:val="99"/>
    <w:semiHidden/>
    <w:rsid w:val="00A809E7"/>
    <w:rPr>
      <w:rFonts w:ascii="Courier" w:hAnsi="Courier" w:cs="Courier"/>
      <w:lang w:val="x-none" w:eastAsia="cs-CZ"/>
    </w:rPr>
  </w:style>
  <w:style w:type="character" w:customStyle="1" w:styleId="TextkomentraChar1586">
    <w:name w:val="Text komentára Char1586"/>
    <w:aliases w:val="Char7 Char Char1587,Text komentára Char Char Char1587,Comment Text Char Char Char1587"/>
    <w:basedOn w:val="Predvolenpsmoodseku"/>
    <w:uiPriority w:val="99"/>
    <w:semiHidden/>
    <w:rsid w:val="00A809E7"/>
    <w:rPr>
      <w:rFonts w:ascii="Courier" w:hAnsi="Courier" w:cs="Courier"/>
      <w:lang w:val="x-none" w:eastAsia="cs-CZ"/>
    </w:rPr>
  </w:style>
  <w:style w:type="character" w:customStyle="1" w:styleId="TextkomentraChar1585">
    <w:name w:val="Text komentára Char1585"/>
    <w:aliases w:val="Char7 Char Char1586,Text komentára Char Char Char1586,Comment Text Char Char Char1586"/>
    <w:basedOn w:val="Predvolenpsmoodseku"/>
    <w:uiPriority w:val="99"/>
    <w:semiHidden/>
    <w:rsid w:val="00A809E7"/>
    <w:rPr>
      <w:rFonts w:ascii="Courier" w:hAnsi="Courier" w:cs="Courier"/>
      <w:lang w:val="x-none" w:eastAsia="cs-CZ"/>
    </w:rPr>
  </w:style>
  <w:style w:type="character" w:customStyle="1" w:styleId="TextkomentraChar1584">
    <w:name w:val="Text komentára Char1584"/>
    <w:aliases w:val="Char7 Char Char1585,Text komentára Char Char Char1585,Comment Text Char Char Char1585"/>
    <w:basedOn w:val="Predvolenpsmoodseku"/>
    <w:uiPriority w:val="99"/>
    <w:semiHidden/>
    <w:rsid w:val="00A809E7"/>
    <w:rPr>
      <w:rFonts w:ascii="Courier" w:hAnsi="Courier" w:cs="Courier"/>
      <w:lang w:val="x-none" w:eastAsia="cs-CZ"/>
    </w:rPr>
  </w:style>
  <w:style w:type="character" w:customStyle="1" w:styleId="TextkomentraChar1583">
    <w:name w:val="Text komentára Char1583"/>
    <w:aliases w:val="Char7 Char Char1584,Text komentára Char Char Char1584,Comment Text Char Char Char1584"/>
    <w:basedOn w:val="Predvolenpsmoodseku"/>
    <w:uiPriority w:val="99"/>
    <w:semiHidden/>
    <w:rsid w:val="00A809E7"/>
    <w:rPr>
      <w:rFonts w:ascii="Courier" w:hAnsi="Courier" w:cs="Courier"/>
      <w:lang w:val="x-none" w:eastAsia="cs-CZ"/>
    </w:rPr>
  </w:style>
  <w:style w:type="character" w:customStyle="1" w:styleId="TextkomentraChar1582">
    <w:name w:val="Text komentára Char1582"/>
    <w:aliases w:val="Char7 Char Char1583,Text komentára Char Char Char1583,Comment Text Char Char Char1583"/>
    <w:basedOn w:val="Predvolenpsmoodseku"/>
    <w:uiPriority w:val="99"/>
    <w:semiHidden/>
    <w:rsid w:val="00A809E7"/>
    <w:rPr>
      <w:rFonts w:ascii="Courier" w:hAnsi="Courier" w:cs="Courier"/>
      <w:lang w:val="x-none" w:eastAsia="cs-CZ"/>
    </w:rPr>
  </w:style>
  <w:style w:type="character" w:customStyle="1" w:styleId="TextkomentraChar1581">
    <w:name w:val="Text komentára Char1581"/>
    <w:aliases w:val="Char7 Char Char1582,Text komentára Char Char Char1582,Comment Text Char Char Char1582"/>
    <w:basedOn w:val="Predvolenpsmoodseku"/>
    <w:uiPriority w:val="99"/>
    <w:semiHidden/>
    <w:rsid w:val="00A809E7"/>
    <w:rPr>
      <w:rFonts w:ascii="Courier" w:hAnsi="Courier" w:cs="Courier"/>
      <w:lang w:val="x-none" w:eastAsia="cs-CZ"/>
    </w:rPr>
  </w:style>
  <w:style w:type="character" w:customStyle="1" w:styleId="TextkomentraChar1580">
    <w:name w:val="Text komentára Char1580"/>
    <w:aliases w:val="Char7 Char Char1581,Text komentára Char Char Char1581,Comment Text Char Char Char1581"/>
    <w:basedOn w:val="Predvolenpsmoodseku"/>
    <w:uiPriority w:val="99"/>
    <w:semiHidden/>
    <w:rsid w:val="00A809E7"/>
    <w:rPr>
      <w:rFonts w:ascii="Courier" w:hAnsi="Courier" w:cs="Courier"/>
      <w:lang w:val="x-none" w:eastAsia="cs-CZ"/>
    </w:rPr>
  </w:style>
  <w:style w:type="character" w:customStyle="1" w:styleId="TextkomentraChar1579">
    <w:name w:val="Text komentára Char1579"/>
    <w:aliases w:val="Char7 Char Char1580,Text komentára Char Char Char1580,Comment Text Char Char Char1580"/>
    <w:basedOn w:val="Predvolenpsmoodseku"/>
    <w:uiPriority w:val="99"/>
    <w:semiHidden/>
    <w:rsid w:val="00A809E7"/>
    <w:rPr>
      <w:rFonts w:ascii="Courier" w:hAnsi="Courier" w:cs="Courier"/>
      <w:lang w:val="x-none" w:eastAsia="cs-CZ"/>
    </w:rPr>
  </w:style>
  <w:style w:type="character" w:customStyle="1" w:styleId="TextkomentraChar1578">
    <w:name w:val="Text komentára Char1578"/>
    <w:aliases w:val="Char7 Char Char1579,Text komentára Char Char Char1579,Comment Text Char Char Char1579"/>
    <w:basedOn w:val="Predvolenpsmoodseku"/>
    <w:uiPriority w:val="99"/>
    <w:semiHidden/>
    <w:rsid w:val="00A809E7"/>
    <w:rPr>
      <w:rFonts w:ascii="Courier" w:hAnsi="Courier" w:cs="Courier"/>
      <w:lang w:val="x-none" w:eastAsia="cs-CZ"/>
    </w:rPr>
  </w:style>
  <w:style w:type="character" w:customStyle="1" w:styleId="TextkomentraChar1577">
    <w:name w:val="Text komentára Char1577"/>
    <w:aliases w:val="Char7 Char Char1578,Text komentára Char Char Char1578,Comment Text Char Char Char1578"/>
    <w:basedOn w:val="Predvolenpsmoodseku"/>
    <w:uiPriority w:val="99"/>
    <w:semiHidden/>
    <w:rsid w:val="00A809E7"/>
    <w:rPr>
      <w:rFonts w:ascii="Courier" w:hAnsi="Courier" w:cs="Courier"/>
      <w:lang w:val="x-none" w:eastAsia="cs-CZ"/>
    </w:rPr>
  </w:style>
  <w:style w:type="character" w:customStyle="1" w:styleId="TextkomentraChar1576">
    <w:name w:val="Text komentára Char1576"/>
    <w:aliases w:val="Char7 Char Char1577,Text komentára Char Char Char1577,Comment Text Char Char Char1577"/>
    <w:basedOn w:val="Predvolenpsmoodseku"/>
    <w:uiPriority w:val="99"/>
    <w:semiHidden/>
    <w:rsid w:val="00A809E7"/>
    <w:rPr>
      <w:rFonts w:ascii="Courier" w:hAnsi="Courier" w:cs="Courier"/>
      <w:lang w:val="x-none" w:eastAsia="cs-CZ"/>
    </w:rPr>
  </w:style>
  <w:style w:type="character" w:customStyle="1" w:styleId="TextkomentraChar1575">
    <w:name w:val="Text komentára Char1575"/>
    <w:aliases w:val="Char7 Char Char1576,Text komentára Char Char Char1576,Comment Text Char Char Char1576"/>
    <w:basedOn w:val="Predvolenpsmoodseku"/>
    <w:uiPriority w:val="99"/>
    <w:semiHidden/>
    <w:rsid w:val="00A809E7"/>
    <w:rPr>
      <w:rFonts w:ascii="Courier" w:hAnsi="Courier" w:cs="Courier"/>
      <w:lang w:val="x-none" w:eastAsia="cs-CZ"/>
    </w:rPr>
  </w:style>
  <w:style w:type="character" w:customStyle="1" w:styleId="TextkomentraChar1574">
    <w:name w:val="Text komentára Char1574"/>
    <w:aliases w:val="Char7 Char Char1575,Text komentára Char Char Char1575,Comment Text Char Char Char1575"/>
    <w:basedOn w:val="Predvolenpsmoodseku"/>
    <w:uiPriority w:val="99"/>
    <w:semiHidden/>
    <w:rsid w:val="00A809E7"/>
    <w:rPr>
      <w:rFonts w:ascii="Courier" w:hAnsi="Courier" w:cs="Courier"/>
      <w:lang w:val="x-none" w:eastAsia="cs-CZ"/>
    </w:rPr>
  </w:style>
  <w:style w:type="character" w:customStyle="1" w:styleId="TextkomentraChar1573">
    <w:name w:val="Text komentára Char1573"/>
    <w:aliases w:val="Char7 Char Char1574,Text komentára Char Char Char1574,Comment Text Char Char Char1574"/>
    <w:basedOn w:val="Predvolenpsmoodseku"/>
    <w:uiPriority w:val="99"/>
    <w:semiHidden/>
    <w:rsid w:val="00A809E7"/>
    <w:rPr>
      <w:rFonts w:ascii="Courier" w:hAnsi="Courier" w:cs="Courier"/>
      <w:lang w:val="x-none" w:eastAsia="cs-CZ"/>
    </w:rPr>
  </w:style>
  <w:style w:type="character" w:customStyle="1" w:styleId="TextkomentraChar1572">
    <w:name w:val="Text komentára Char1572"/>
    <w:aliases w:val="Char7 Char Char1573,Text komentára Char Char Char1573,Comment Text Char Char Char1573"/>
    <w:basedOn w:val="Predvolenpsmoodseku"/>
    <w:uiPriority w:val="99"/>
    <w:semiHidden/>
    <w:rsid w:val="00A809E7"/>
    <w:rPr>
      <w:rFonts w:ascii="Courier" w:hAnsi="Courier" w:cs="Courier"/>
      <w:lang w:val="x-none" w:eastAsia="cs-CZ"/>
    </w:rPr>
  </w:style>
  <w:style w:type="character" w:customStyle="1" w:styleId="TextkomentraChar1571">
    <w:name w:val="Text komentára Char1571"/>
    <w:aliases w:val="Char7 Char Char1572,Text komentára Char Char Char1572,Comment Text Char Char Char1572"/>
    <w:basedOn w:val="Predvolenpsmoodseku"/>
    <w:uiPriority w:val="99"/>
    <w:semiHidden/>
    <w:rsid w:val="00A809E7"/>
    <w:rPr>
      <w:rFonts w:ascii="Courier" w:hAnsi="Courier" w:cs="Courier"/>
      <w:lang w:val="x-none" w:eastAsia="cs-CZ"/>
    </w:rPr>
  </w:style>
  <w:style w:type="character" w:customStyle="1" w:styleId="TextkomentraChar1570">
    <w:name w:val="Text komentára Char1570"/>
    <w:aliases w:val="Char7 Char Char1571,Text komentára Char Char Char1571,Comment Text Char Char Char1571"/>
    <w:basedOn w:val="Predvolenpsmoodseku"/>
    <w:uiPriority w:val="99"/>
    <w:semiHidden/>
    <w:rsid w:val="00A809E7"/>
    <w:rPr>
      <w:rFonts w:ascii="Courier" w:hAnsi="Courier" w:cs="Courier"/>
      <w:lang w:val="x-none" w:eastAsia="cs-CZ"/>
    </w:rPr>
  </w:style>
  <w:style w:type="character" w:customStyle="1" w:styleId="TextkomentraChar1569">
    <w:name w:val="Text komentára Char1569"/>
    <w:aliases w:val="Char7 Char Char1570,Text komentára Char Char Char1570,Comment Text Char Char Char1570"/>
    <w:basedOn w:val="Predvolenpsmoodseku"/>
    <w:uiPriority w:val="99"/>
    <w:semiHidden/>
    <w:rsid w:val="00A809E7"/>
    <w:rPr>
      <w:rFonts w:ascii="Courier" w:hAnsi="Courier" w:cs="Courier"/>
      <w:lang w:val="x-none" w:eastAsia="cs-CZ"/>
    </w:rPr>
  </w:style>
  <w:style w:type="character" w:customStyle="1" w:styleId="TextkomentraChar1568">
    <w:name w:val="Text komentára Char1568"/>
    <w:aliases w:val="Char7 Char Char1569,Text komentára Char Char Char1569,Comment Text Char Char Char1569"/>
    <w:basedOn w:val="Predvolenpsmoodseku"/>
    <w:uiPriority w:val="99"/>
    <w:semiHidden/>
    <w:rsid w:val="00A809E7"/>
    <w:rPr>
      <w:rFonts w:ascii="Courier" w:hAnsi="Courier" w:cs="Courier"/>
      <w:lang w:val="x-none" w:eastAsia="cs-CZ"/>
    </w:rPr>
  </w:style>
  <w:style w:type="character" w:customStyle="1" w:styleId="TextkomentraChar1567">
    <w:name w:val="Text komentára Char1567"/>
    <w:aliases w:val="Char7 Char Char1568,Text komentára Char Char Char1568,Comment Text Char Char Char1568"/>
    <w:basedOn w:val="Predvolenpsmoodseku"/>
    <w:uiPriority w:val="99"/>
    <w:semiHidden/>
    <w:rsid w:val="00A809E7"/>
    <w:rPr>
      <w:rFonts w:ascii="Courier" w:hAnsi="Courier" w:cs="Courier"/>
      <w:lang w:val="x-none" w:eastAsia="cs-CZ"/>
    </w:rPr>
  </w:style>
  <w:style w:type="character" w:customStyle="1" w:styleId="TextkomentraChar1566">
    <w:name w:val="Text komentára Char1566"/>
    <w:aliases w:val="Char7 Char Char1567,Text komentára Char Char Char1567,Comment Text Char Char Char1567"/>
    <w:basedOn w:val="Predvolenpsmoodseku"/>
    <w:uiPriority w:val="99"/>
    <w:semiHidden/>
    <w:rsid w:val="00A809E7"/>
    <w:rPr>
      <w:rFonts w:ascii="Courier" w:hAnsi="Courier" w:cs="Courier"/>
      <w:lang w:val="x-none" w:eastAsia="cs-CZ"/>
    </w:rPr>
  </w:style>
  <w:style w:type="character" w:customStyle="1" w:styleId="TextkomentraChar1565">
    <w:name w:val="Text komentára Char1565"/>
    <w:aliases w:val="Char7 Char Char1566,Text komentára Char Char Char1566,Comment Text Char Char Char1566"/>
    <w:basedOn w:val="Predvolenpsmoodseku"/>
    <w:uiPriority w:val="99"/>
    <w:semiHidden/>
    <w:rsid w:val="00A809E7"/>
    <w:rPr>
      <w:rFonts w:ascii="Courier" w:hAnsi="Courier" w:cs="Courier"/>
      <w:lang w:val="x-none" w:eastAsia="cs-CZ"/>
    </w:rPr>
  </w:style>
  <w:style w:type="character" w:customStyle="1" w:styleId="TextkomentraChar1564">
    <w:name w:val="Text komentára Char1564"/>
    <w:aliases w:val="Char7 Char Char1565,Text komentára Char Char Char1565,Comment Text Char Char Char1565"/>
    <w:basedOn w:val="Predvolenpsmoodseku"/>
    <w:uiPriority w:val="99"/>
    <w:semiHidden/>
    <w:rsid w:val="00A809E7"/>
    <w:rPr>
      <w:rFonts w:ascii="Courier" w:hAnsi="Courier" w:cs="Courier"/>
      <w:lang w:val="x-none" w:eastAsia="cs-CZ"/>
    </w:rPr>
  </w:style>
  <w:style w:type="character" w:customStyle="1" w:styleId="TextkomentraChar1563">
    <w:name w:val="Text komentára Char1563"/>
    <w:aliases w:val="Char7 Char Char1564,Text komentára Char Char Char1564,Comment Text Char Char Char1564"/>
    <w:basedOn w:val="Predvolenpsmoodseku"/>
    <w:uiPriority w:val="99"/>
    <w:semiHidden/>
    <w:rsid w:val="00A809E7"/>
    <w:rPr>
      <w:rFonts w:ascii="Courier" w:hAnsi="Courier" w:cs="Courier"/>
      <w:lang w:val="x-none" w:eastAsia="cs-CZ"/>
    </w:rPr>
  </w:style>
  <w:style w:type="character" w:customStyle="1" w:styleId="TextkomentraChar1562">
    <w:name w:val="Text komentára Char1562"/>
    <w:aliases w:val="Char7 Char Char1563,Text komentára Char Char Char1563,Comment Text Char Char Char1563"/>
    <w:basedOn w:val="Predvolenpsmoodseku"/>
    <w:uiPriority w:val="99"/>
    <w:semiHidden/>
    <w:rsid w:val="00A809E7"/>
    <w:rPr>
      <w:rFonts w:ascii="Courier" w:hAnsi="Courier" w:cs="Courier"/>
      <w:lang w:val="x-none" w:eastAsia="cs-CZ"/>
    </w:rPr>
  </w:style>
  <w:style w:type="character" w:customStyle="1" w:styleId="TextkomentraChar1561">
    <w:name w:val="Text komentára Char1561"/>
    <w:aliases w:val="Char7 Char Char1562,Text komentára Char Char Char1562,Comment Text Char Char Char1562"/>
    <w:basedOn w:val="Predvolenpsmoodseku"/>
    <w:uiPriority w:val="99"/>
    <w:semiHidden/>
    <w:rsid w:val="00A809E7"/>
    <w:rPr>
      <w:rFonts w:ascii="Courier" w:hAnsi="Courier" w:cs="Courier"/>
      <w:lang w:val="x-none" w:eastAsia="cs-CZ"/>
    </w:rPr>
  </w:style>
  <w:style w:type="character" w:customStyle="1" w:styleId="TextkomentraChar1560">
    <w:name w:val="Text komentára Char1560"/>
    <w:aliases w:val="Char7 Char Char1561,Text komentára Char Char Char1561,Comment Text Char Char Char1561"/>
    <w:basedOn w:val="Predvolenpsmoodseku"/>
    <w:uiPriority w:val="99"/>
    <w:semiHidden/>
    <w:rsid w:val="00A809E7"/>
    <w:rPr>
      <w:rFonts w:ascii="Courier" w:hAnsi="Courier" w:cs="Courier"/>
      <w:lang w:val="x-none" w:eastAsia="cs-CZ"/>
    </w:rPr>
  </w:style>
  <w:style w:type="character" w:customStyle="1" w:styleId="TextkomentraChar1559">
    <w:name w:val="Text komentára Char1559"/>
    <w:aliases w:val="Char7 Char Char1560,Text komentára Char Char Char1560,Comment Text Char Char Char1560"/>
    <w:basedOn w:val="Predvolenpsmoodseku"/>
    <w:uiPriority w:val="99"/>
    <w:semiHidden/>
    <w:rsid w:val="00A809E7"/>
    <w:rPr>
      <w:rFonts w:ascii="Courier" w:hAnsi="Courier" w:cs="Courier"/>
      <w:lang w:val="x-none" w:eastAsia="cs-CZ"/>
    </w:rPr>
  </w:style>
  <w:style w:type="character" w:customStyle="1" w:styleId="TextkomentraChar1558">
    <w:name w:val="Text komentára Char1558"/>
    <w:aliases w:val="Char7 Char Char1559,Text komentára Char Char Char1559,Comment Text Char Char Char1559"/>
    <w:basedOn w:val="Predvolenpsmoodseku"/>
    <w:uiPriority w:val="99"/>
    <w:semiHidden/>
    <w:rsid w:val="00A809E7"/>
    <w:rPr>
      <w:rFonts w:ascii="Courier" w:hAnsi="Courier" w:cs="Courier"/>
      <w:lang w:val="x-none" w:eastAsia="cs-CZ"/>
    </w:rPr>
  </w:style>
  <w:style w:type="character" w:customStyle="1" w:styleId="TextkomentraChar1557">
    <w:name w:val="Text komentára Char1557"/>
    <w:aliases w:val="Char7 Char Char1558,Text komentára Char Char Char1558,Comment Text Char Char Char1558"/>
    <w:basedOn w:val="Predvolenpsmoodseku"/>
    <w:uiPriority w:val="99"/>
    <w:semiHidden/>
    <w:rsid w:val="00A809E7"/>
    <w:rPr>
      <w:rFonts w:ascii="Courier" w:hAnsi="Courier" w:cs="Courier"/>
      <w:lang w:val="x-none" w:eastAsia="cs-CZ"/>
    </w:rPr>
  </w:style>
  <w:style w:type="character" w:customStyle="1" w:styleId="TextkomentraChar1556">
    <w:name w:val="Text komentára Char1556"/>
    <w:aliases w:val="Char7 Char Char1557,Text komentára Char Char Char1557,Comment Text Char Char Char1557"/>
    <w:basedOn w:val="Predvolenpsmoodseku"/>
    <w:uiPriority w:val="99"/>
    <w:semiHidden/>
    <w:rsid w:val="00A809E7"/>
    <w:rPr>
      <w:rFonts w:ascii="Courier" w:hAnsi="Courier" w:cs="Courier"/>
      <w:lang w:val="x-none" w:eastAsia="cs-CZ"/>
    </w:rPr>
  </w:style>
  <w:style w:type="character" w:customStyle="1" w:styleId="TextkomentraChar1555">
    <w:name w:val="Text komentára Char1555"/>
    <w:aliases w:val="Char7 Char Char1556,Text komentára Char Char Char1556,Comment Text Char Char Char1556"/>
    <w:basedOn w:val="Predvolenpsmoodseku"/>
    <w:uiPriority w:val="99"/>
    <w:semiHidden/>
    <w:rsid w:val="00A809E7"/>
    <w:rPr>
      <w:rFonts w:ascii="Courier" w:hAnsi="Courier" w:cs="Courier"/>
      <w:lang w:val="x-none" w:eastAsia="cs-CZ"/>
    </w:rPr>
  </w:style>
  <w:style w:type="character" w:customStyle="1" w:styleId="TextkomentraChar1554">
    <w:name w:val="Text komentára Char1554"/>
    <w:aliases w:val="Char7 Char Char1555,Text komentára Char Char Char1555,Comment Text Char Char Char1555"/>
    <w:basedOn w:val="Predvolenpsmoodseku"/>
    <w:uiPriority w:val="99"/>
    <w:semiHidden/>
    <w:rsid w:val="00A809E7"/>
    <w:rPr>
      <w:rFonts w:ascii="Courier" w:hAnsi="Courier" w:cs="Courier"/>
      <w:lang w:val="x-none" w:eastAsia="cs-CZ"/>
    </w:rPr>
  </w:style>
  <w:style w:type="character" w:customStyle="1" w:styleId="TextkomentraChar1553">
    <w:name w:val="Text komentára Char1553"/>
    <w:aliases w:val="Char7 Char Char1554,Text komentára Char Char Char1554,Comment Text Char Char Char1554"/>
    <w:basedOn w:val="Predvolenpsmoodseku"/>
    <w:uiPriority w:val="99"/>
    <w:semiHidden/>
    <w:rsid w:val="00A809E7"/>
    <w:rPr>
      <w:rFonts w:ascii="Courier" w:hAnsi="Courier" w:cs="Courier"/>
      <w:lang w:val="x-none" w:eastAsia="cs-CZ"/>
    </w:rPr>
  </w:style>
  <w:style w:type="character" w:customStyle="1" w:styleId="TextkomentraChar1552">
    <w:name w:val="Text komentára Char1552"/>
    <w:aliases w:val="Char7 Char Char1553,Text komentára Char Char Char1553,Comment Text Char Char Char1553"/>
    <w:basedOn w:val="Predvolenpsmoodseku"/>
    <w:uiPriority w:val="99"/>
    <w:semiHidden/>
    <w:rsid w:val="00A809E7"/>
    <w:rPr>
      <w:rFonts w:ascii="Courier" w:hAnsi="Courier" w:cs="Courier"/>
      <w:lang w:val="x-none" w:eastAsia="cs-CZ"/>
    </w:rPr>
  </w:style>
  <w:style w:type="character" w:customStyle="1" w:styleId="TextkomentraChar1551">
    <w:name w:val="Text komentára Char1551"/>
    <w:aliases w:val="Char7 Char Char1552,Text komentára Char Char Char1552,Comment Text Char Char Char1552"/>
    <w:basedOn w:val="Predvolenpsmoodseku"/>
    <w:uiPriority w:val="99"/>
    <w:semiHidden/>
    <w:rsid w:val="00A809E7"/>
    <w:rPr>
      <w:rFonts w:ascii="Courier" w:hAnsi="Courier" w:cs="Courier"/>
      <w:lang w:val="x-none" w:eastAsia="cs-CZ"/>
    </w:rPr>
  </w:style>
  <w:style w:type="character" w:customStyle="1" w:styleId="TextkomentraChar1550">
    <w:name w:val="Text komentára Char1550"/>
    <w:aliases w:val="Char7 Char Char1551,Text komentára Char Char Char1551,Comment Text Char Char Char1551"/>
    <w:basedOn w:val="Predvolenpsmoodseku"/>
    <w:uiPriority w:val="99"/>
    <w:semiHidden/>
    <w:rsid w:val="00A809E7"/>
    <w:rPr>
      <w:rFonts w:ascii="Courier" w:hAnsi="Courier" w:cs="Courier"/>
      <w:lang w:val="x-none" w:eastAsia="cs-CZ"/>
    </w:rPr>
  </w:style>
  <w:style w:type="character" w:customStyle="1" w:styleId="TextkomentraChar1549">
    <w:name w:val="Text komentára Char1549"/>
    <w:aliases w:val="Char7 Char Char1550,Text komentára Char Char Char1550,Comment Text Char Char Char1550"/>
    <w:basedOn w:val="Predvolenpsmoodseku"/>
    <w:uiPriority w:val="99"/>
    <w:semiHidden/>
    <w:rsid w:val="00A809E7"/>
    <w:rPr>
      <w:rFonts w:ascii="Courier" w:hAnsi="Courier" w:cs="Courier"/>
      <w:lang w:val="x-none" w:eastAsia="cs-CZ"/>
    </w:rPr>
  </w:style>
  <w:style w:type="character" w:customStyle="1" w:styleId="TextkomentraChar1548">
    <w:name w:val="Text komentára Char1548"/>
    <w:aliases w:val="Char7 Char Char1549,Text komentára Char Char Char1549,Comment Text Char Char Char1549"/>
    <w:basedOn w:val="Predvolenpsmoodseku"/>
    <w:uiPriority w:val="99"/>
    <w:semiHidden/>
    <w:rsid w:val="00A809E7"/>
    <w:rPr>
      <w:rFonts w:ascii="Courier" w:hAnsi="Courier" w:cs="Courier"/>
      <w:lang w:val="x-none" w:eastAsia="cs-CZ"/>
    </w:rPr>
  </w:style>
  <w:style w:type="character" w:customStyle="1" w:styleId="TextkomentraChar1547">
    <w:name w:val="Text komentára Char1547"/>
    <w:aliases w:val="Char7 Char Char1548,Text komentára Char Char Char1548,Comment Text Char Char Char1548"/>
    <w:basedOn w:val="Predvolenpsmoodseku"/>
    <w:uiPriority w:val="99"/>
    <w:semiHidden/>
    <w:rsid w:val="00A809E7"/>
    <w:rPr>
      <w:rFonts w:ascii="Courier" w:hAnsi="Courier" w:cs="Courier"/>
      <w:lang w:val="x-none" w:eastAsia="cs-CZ"/>
    </w:rPr>
  </w:style>
  <w:style w:type="character" w:customStyle="1" w:styleId="TextkomentraChar1546">
    <w:name w:val="Text komentára Char1546"/>
    <w:aliases w:val="Char7 Char Char1547,Text komentára Char Char Char1547,Comment Text Char Char Char1547"/>
    <w:basedOn w:val="Predvolenpsmoodseku"/>
    <w:uiPriority w:val="99"/>
    <w:semiHidden/>
    <w:rsid w:val="00A809E7"/>
    <w:rPr>
      <w:rFonts w:ascii="Courier" w:hAnsi="Courier" w:cs="Courier"/>
      <w:lang w:val="x-none" w:eastAsia="cs-CZ"/>
    </w:rPr>
  </w:style>
  <w:style w:type="character" w:customStyle="1" w:styleId="TextkomentraChar1545">
    <w:name w:val="Text komentára Char1545"/>
    <w:aliases w:val="Char7 Char Char1546,Text komentára Char Char Char1546,Comment Text Char Char Char1546"/>
    <w:basedOn w:val="Predvolenpsmoodseku"/>
    <w:uiPriority w:val="99"/>
    <w:semiHidden/>
    <w:rsid w:val="00A809E7"/>
    <w:rPr>
      <w:rFonts w:ascii="Courier" w:hAnsi="Courier" w:cs="Courier"/>
      <w:lang w:val="x-none" w:eastAsia="cs-CZ"/>
    </w:rPr>
  </w:style>
  <w:style w:type="character" w:customStyle="1" w:styleId="TextkomentraChar1544">
    <w:name w:val="Text komentára Char1544"/>
    <w:aliases w:val="Char7 Char Char1545,Text komentára Char Char Char1545,Comment Text Char Char Char1545"/>
    <w:basedOn w:val="Predvolenpsmoodseku"/>
    <w:uiPriority w:val="99"/>
    <w:semiHidden/>
    <w:rsid w:val="00A809E7"/>
    <w:rPr>
      <w:rFonts w:ascii="Courier" w:hAnsi="Courier" w:cs="Courier"/>
      <w:lang w:val="x-none" w:eastAsia="cs-CZ"/>
    </w:rPr>
  </w:style>
  <w:style w:type="character" w:customStyle="1" w:styleId="TextkomentraChar1543">
    <w:name w:val="Text komentára Char1543"/>
    <w:aliases w:val="Char7 Char Char1544,Text komentára Char Char Char1544,Comment Text Char Char Char1544"/>
    <w:basedOn w:val="Predvolenpsmoodseku"/>
    <w:uiPriority w:val="99"/>
    <w:semiHidden/>
    <w:rsid w:val="00A809E7"/>
    <w:rPr>
      <w:rFonts w:ascii="Courier" w:hAnsi="Courier" w:cs="Courier"/>
      <w:lang w:val="x-none" w:eastAsia="cs-CZ"/>
    </w:rPr>
  </w:style>
  <w:style w:type="character" w:customStyle="1" w:styleId="TextkomentraChar1542">
    <w:name w:val="Text komentára Char1542"/>
    <w:aliases w:val="Char7 Char Char1543,Text komentára Char Char Char1543,Comment Text Char Char Char1543"/>
    <w:basedOn w:val="Predvolenpsmoodseku"/>
    <w:uiPriority w:val="99"/>
    <w:semiHidden/>
    <w:rsid w:val="00A809E7"/>
    <w:rPr>
      <w:rFonts w:ascii="Courier" w:hAnsi="Courier" w:cs="Courier"/>
      <w:lang w:val="x-none" w:eastAsia="cs-CZ"/>
    </w:rPr>
  </w:style>
  <w:style w:type="character" w:customStyle="1" w:styleId="TextkomentraChar1541">
    <w:name w:val="Text komentára Char1541"/>
    <w:aliases w:val="Char7 Char Char1542,Text komentára Char Char Char1542,Comment Text Char Char Char1542"/>
    <w:basedOn w:val="Predvolenpsmoodseku"/>
    <w:uiPriority w:val="99"/>
    <w:semiHidden/>
    <w:rsid w:val="00A809E7"/>
    <w:rPr>
      <w:rFonts w:ascii="Courier" w:hAnsi="Courier" w:cs="Courier"/>
      <w:lang w:val="x-none" w:eastAsia="cs-CZ"/>
    </w:rPr>
  </w:style>
  <w:style w:type="character" w:customStyle="1" w:styleId="TextkomentraChar1540">
    <w:name w:val="Text komentára Char1540"/>
    <w:aliases w:val="Char7 Char Char1541,Text komentára Char Char Char1541,Comment Text Char Char Char1541"/>
    <w:basedOn w:val="Predvolenpsmoodseku"/>
    <w:uiPriority w:val="99"/>
    <w:semiHidden/>
    <w:rsid w:val="00A809E7"/>
    <w:rPr>
      <w:rFonts w:ascii="Courier" w:hAnsi="Courier" w:cs="Courier"/>
      <w:lang w:val="x-none" w:eastAsia="cs-CZ"/>
    </w:rPr>
  </w:style>
  <w:style w:type="character" w:customStyle="1" w:styleId="TextkomentraChar1539">
    <w:name w:val="Text komentára Char1539"/>
    <w:aliases w:val="Char7 Char Char1540,Text komentára Char Char Char1540,Comment Text Char Char Char1540"/>
    <w:basedOn w:val="Predvolenpsmoodseku"/>
    <w:uiPriority w:val="99"/>
    <w:semiHidden/>
    <w:rsid w:val="00A809E7"/>
    <w:rPr>
      <w:rFonts w:ascii="Courier" w:hAnsi="Courier" w:cs="Courier"/>
      <w:lang w:val="x-none" w:eastAsia="cs-CZ"/>
    </w:rPr>
  </w:style>
  <w:style w:type="character" w:customStyle="1" w:styleId="TextkomentraChar1538">
    <w:name w:val="Text komentára Char1538"/>
    <w:aliases w:val="Char7 Char Char1539,Text komentára Char Char Char1539,Comment Text Char Char Char1539"/>
    <w:basedOn w:val="Predvolenpsmoodseku"/>
    <w:uiPriority w:val="99"/>
    <w:semiHidden/>
    <w:rsid w:val="00A809E7"/>
    <w:rPr>
      <w:rFonts w:ascii="Courier" w:hAnsi="Courier" w:cs="Courier"/>
      <w:lang w:val="x-none" w:eastAsia="cs-CZ"/>
    </w:rPr>
  </w:style>
  <w:style w:type="character" w:customStyle="1" w:styleId="TextkomentraChar1537">
    <w:name w:val="Text komentára Char1537"/>
    <w:aliases w:val="Char7 Char Char1538,Text komentára Char Char Char1538,Comment Text Char Char Char1538"/>
    <w:basedOn w:val="Predvolenpsmoodseku"/>
    <w:uiPriority w:val="99"/>
    <w:semiHidden/>
    <w:rsid w:val="00A809E7"/>
    <w:rPr>
      <w:rFonts w:ascii="Courier" w:hAnsi="Courier" w:cs="Courier"/>
      <w:lang w:val="x-none" w:eastAsia="cs-CZ"/>
    </w:rPr>
  </w:style>
  <w:style w:type="character" w:customStyle="1" w:styleId="TextkomentraChar1536">
    <w:name w:val="Text komentára Char1536"/>
    <w:aliases w:val="Char7 Char Char1537,Text komentára Char Char Char1537,Comment Text Char Char Char1537"/>
    <w:basedOn w:val="Predvolenpsmoodseku"/>
    <w:uiPriority w:val="99"/>
    <w:semiHidden/>
    <w:rsid w:val="00A809E7"/>
    <w:rPr>
      <w:rFonts w:ascii="Courier" w:hAnsi="Courier" w:cs="Courier"/>
      <w:lang w:val="x-none" w:eastAsia="cs-CZ"/>
    </w:rPr>
  </w:style>
  <w:style w:type="character" w:customStyle="1" w:styleId="TextkomentraChar1535">
    <w:name w:val="Text komentára Char1535"/>
    <w:aliases w:val="Char7 Char Char1536,Text komentára Char Char Char1536,Comment Text Char Char Char1536"/>
    <w:basedOn w:val="Predvolenpsmoodseku"/>
    <w:uiPriority w:val="99"/>
    <w:semiHidden/>
    <w:rsid w:val="00A809E7"/>
    <w:rPr>
      <w:rFonts w:ascii="Courier" w:hAnsi="Courier" w:cs="Courier"/>
      <w:lang w:val="x-none" w:eastAsia="cs-CZ"/>
    </w:rPr>
  </w:style>
  <w:style w:type="character" w:customStyle="1" w:styleId="TextkomentraChar1534">
    <w:name w:val="Text komentára Char1534"/>
    <w:aliases w:val="Char7 Char Char1535,Text komentára Char Char Char1535,Comment Text Char Char Char1535"/>
    <w:basedOn w:val="Predvolenpsmoodseku"/>
    <w:uiPriority w:val="99"/>
    <w:semiHidden/>
    <w:rsid w:val="00A809E7"/>
    <w:rPr>
      <w:rFonts w:ascii="Courier" w:hAnsi="Courier" w:cs="Courier"/>
      <w:lang w:val="x-none" w:eastAsia="cs-CZ"/>
    </w:rPr>
  </w:style>
  <w:style w:type="character" w:customStyle="1" w:styleId="TextkomentraChar1533">
    <w:name w:val="Text komentára Char1533"/>
    <w:aliases w:val="Char7 Char Char1534,Text komentára Char Char Char1534,Comment Text Char Char Char1534"/>
    <w:basedOn w:val="Predvolenpsmoodseku"/>
    <w:uiPriority w:val="99"/>
    <w:semiHidden/>
    <w:rsid w:val="00A809E7"/>
    <w:rPr>
      <w:rFonts w:ascii="Courier" w:hAnsi="Courier" w:cs="Courier"/>
      <w:lang w:val="x-none" w:eastAsia="cs-CZ"/>
    </w:rPr>
  </w:style>
  <w:style w:type="character" w:customStyle="1" w:styleId="TextkomentraChar1532">
    <w:name w:val="Text komentára Char1532"/>
    <w:aliases w:val="Char7 Char Char1533,Text komentára Char Char Char1533,Comment Text Char Char Char1533"/>
    <w:basedOn w:val="Predvolenpsmoodseku"/>
    <w:uiPriority w:val="99"/>
    <w:semiHidden/>
    <w:rsid w:val="00A809E7"/>
    <w:rPr>
      <w:rFonts w:ascii="Courier" w:hAnsi="Courier" w:cs="Courier"/>
      <w:lang w:val="x-none" w:eastAsia="cs-CZ"/>
    </w:rPr>
  </w:style>
  <w:style w:type="character" w:customStyle="1" w:styleId="TextkomentraChar1531">
    <w:name w:val="Text komentára Char1531"/>
    <w:aliases w:val="Char7 Char Char1532,Text komentára Char Char Char1532,Comment Text Char Char Char1532"/>
    <w:basedOn w:val="Predvolenpsmoodseku"/>
    <w:uiPriority w:val="99"/>
    <w:semiHidden/>
    <w:rsid w:val="00A809E7"/>
    <w:rPr>
      <w:rFonts w:ascii="Courier" w:hAnsi="Courier" w:cs="Courier"/>
      <w:lang w:val="x-none" w:eastAsia="cs-CZ"/>
    </w:rPr>
  </w:style>
  <w:style w:type="character" w:customStyle="1" w:styleId="TextkomentraChar1530">
    <w:name w:val="Text komentára Char1530"/>
    <w:aliases w:val="Char7 Char Char1531,Text komentára Char Char Char1531,Comment Text Char Char Char1531"/>
    <w:basedOn w:val="Predvolenpsmoodseku"/>
    <w:uiPriority w:val="99"/>
    <w:semiHidden/>
    <w:rsid w:val="00A809E7"/>
    <w:rPr>
      <w:rFonts w:ascii="Courier" w:hAnsi="Courier" w:cs="Courier"/>
      <w:lang w:val="x-none" w:eastAsia="cs-CZ"/>
    </w:rPr>
  </w:style>
  <w:style w:type="character" w:customStyle="1" w:styleId="TextkomentraChar1529">
    <w:name w:val="Text komentára Char1529"/>
    <w:aliases w:val="Char7 Char Char1530,Text komentára Char Char Char1530,Comment Text Char Char Char1530"/>
    <w:basedOn w:val="Predvolenpsmoodseku"/>
    <w:uiPriority w:val="99"/>
    <w:semiHidden/>
    <w:rsid w:val="00A809E7"/>
    <w:rPr>
      <w:rFonts w:ascii="Courier" w:hAnsi="Courier" w:cs="Courier"/>
      <w:lang w:val="x-none" w:eastAsia="cs-CZ"/>
    </w:rPr>
  </w:style>
  <w:style w:type="character" w:customStyle="1" w:styleId="TextkomentraChar1528">
    <w:name w:val="Text komentára Char1528"/>
    <w:aliases w:val="Char7 Char Char1529,Text komentára Char Char Char1529,Comment Text Char Char Char1529"/>
    <w:basedOn w:val="Predvolenpsmoodseku"/>
    <w:uiPriority w:val="99"/>
    <w:semiHidden/>
    <w:rsid w:val="00A809E7"/>
    <w:rPr>
      <w:rFonts w:ascii="Courier" w:hAnsi="Courier" w:cs="Courier"/>
      <w:lang w:val="x-none" w:eastAsia="cs-CZ"/>
    </w:rPr>
  </w:style>
  <w:style w:type="character" w:customStyle="1" w:styleId="TextkomentraChar1527">
    <w:name w:val="Text komentára Char1527"/>
    <w:aliases w:val="Char7 Char Char1528,Text komentára Char Char Char1528,Comment Text Char Char Char1528"/>
    <w:basedOn w:val="Predvolenpsmoodseku"/>
    <w:uiPriority w:val="99"/>
    <w:semiHidden/>
    <w:rsid w:val="00A809E7"/>
    <w:rPr>
      <w:rFonts w:ascii="Courier" w:hAnsi="Courier" w:cs="Courier"/>
      <w:lang w:val="x-none" w:eastAsia="cs-CZ"/>
    </w:rPr>
  </w:style>
  <w:style w:type="character" w:customStyle="1" w:styleId="TextkomentraChar1526">
    <w:name w:val="Text komentára Char1526"/>
    <w:aliases w:val="Char7 Char Char1527,Text komentára Char Char Char1527,Comment Text Char Char Char1527"/>
    <w:basedOn w:val="Predvolenpsmoodseku"/>
    <w:uiPriority w:val="99"/>
    <w:semiHidden/>
    <w:rsid w:val="00A809E7"/>
    <w:rPr>
      <w:rFonts w:ascii="Courier" w:hAnsi="Courier" w:cs="Courier"/>
      <w:lang w:val="x-none" w:eastAsia="cs-CZ"/>
    </w:rPr>
  </w:style>
  <w:style w:type="character" w:customStyle="1" w:styleId="TextkomentraChar1525">
    <w:name w:val="Text komentára Char1525"/>
    <w:aliases w:val="Char7 Char Char1526,Text komentára Char Char Char1526,Comment Text Char Char Char1526"/>
    <w:basedOn w:val="Predvolenpsmoodseku"/>
    <w:uiPriority w:val="99"/>
    <w:semiHidden/>
    <w:rsid w:val="00A809E7"/>
    <w:rPr>
      <w:rFonts w:ascii="Courier" w:hAnsi="Courier" w:cs="Courier"/>
      <w:lang w:val="x-none" w:eastAsia="cs-CZ"/>
    </w:rPr>
  </w:style>
  <w:style w:type="character" w:customStyle="1" w:styleId="TextkomentraChar1524">
    <w:name w:val="Text komentára Char1524"/>
    <w:aliases w:val="Char7 Char Char1525,Text komentára Char Char Char1525,Comment Text Char Char Char1525"/>
    <w:basedOn w:val="Predvolenpsmoodseku"/>
    <w:uiPriority w:val="99"/>
    <w:semiHidden/>
    <w:rsid w:val="00A809E7"/>
    <w:rPr>
      <w:rFonts w:ascii="Courier" w:hAnsi="Courier" w:cs="Courier"/>
      <w:lang w:val="x-none" w:eastAsia="cs-CZ"/>
    </w:rPr>
  </w:style>
  <w:style w:type="character" w:customStyle="1" w:styleId="TextkomentraChar1523">
    <w:name w:val="Text komentára Char1523"/>
    <w:aliases w:val="Char7 Char Char1524,Text komentára Char Char Char1524,Comment Text Char Char Char1524"/>
    <w:basedOn w:val="Predvolenpsmoodseku"/>
    <w:uiPriority w:val="99"/>
    <w:semiHidden/>
    <w:rsid w:val="00A809E7"/>
    <w:rPr>
      <w:rFonts w:ascii="Courier" w:hAnsi="Courier" w:cs="Courier"/>
      <w:lang w:val="x-none" w:eastAsia="cs-CZ"/>
    </w:rPr>
  </w:style>
  <w:style w:type="character" w:customStyle="1" w:styleId="TextkomentraChar1522">
    <w:name w:val="Text komentára Char1522"/>
    <w:aliases w:val="Char7 Char Char1523,Text komentára Char Char Char1523,Comment Text Char Char Char1523"/>
    <w:basedOn w:val="Predvolenpsmoodseku"/>
    <w:uiPriority w:val="99"/>
    <w:semiHidden/>
    <w:rsid w:val="00A809E7"/>
    <w:rPr>
      <w:rFonts w:ascii="Courier" w:hAnsi="Courier" w:cs="Courier"/>
      <w:lang w:val="x-none" w:eastAsia="cs-CZ"/>
    </w:rPr>
  </w:style>
  <w:style w:type="character" w:customStyle="1" w:styleId="TextkomentraChar1521">
    <w:name w:val="Text komentára Char1521"/>
    <w:aliases w:val="Char7 Char Char1522,Text komentára Char Char Char1522,Comment Text Char Char Char1522"/>
    <w:basedOn w:val="Predvolenpsmoodseku"/>
    <w:uiPriority w:val="99"/>
    <w:semiHidden/>
    <w:rsid w:val="00A809E7"/>
    <w:rPr>
      <w:rFonts w:ascii="Courier" w:hAnsi="Courier" w:cs="Courier"/>
      <w:lang w:val="x-none" w:eastAsia="cs-CZ"/>
    </w:rPr>
  </w:style>
  <w:style w:type="character" w:customStyle="1" w:styleId="TextkomentraChar1520">
    <w:name w:val="Text komentára Char1520"/>
    <w:aliases w:val="Char7 Char Char1521,Text komentára Char Char Char1521,Comment Text Char Char Char1521"/>
    <w:basedOn w:val="Predvolenpsmoodseku"/>
    <w:uiPriority w:val="99"/>
    <w:semiHidden/>
    <w:rsid w:val="00A809E7"/>
    <w:rPr>
      <w:rFonts w:ascii="Courier" w:hAnsi="Courier" w:cs="Courier"/>
      <w:lang w:val="x-none" w:eastAsia="cs-CZ"/>
    </w:rPr>
  </w:style>
  <w:style w:type="character" w:customStyle="1" w:styleId="TextkomentraChar1519">
    <w:name w:val="Text komentára Char1519"/>
    <w:aliases w:val="Char7 Char Char1520,Text komentára Char Char Char1520,Comment Text Char Char Char1520"/>
    <w:basedOn w:val="Predvolenpsmoodseku"/>
    <w:uiPriority w:val="99"/>
    <w:semiHidden/>
    <w:rsid w:val="00A809E7"/>
    <w:rPr>
      <w:rFonts w:ascii="Courier" w:hAnsi="Courier" w:cs="Courier"/>
      <w:lang w:val="x-none" w:eastAsia="cs-CZ"/>
    </w:rPr>
  </w:style>
  <w:style w:type="character" w:customStyle="1" w:styleId="TextkomentraChar1518">
    <w:name w:val="Text komentára Char1518"/>
    <w:aliases w:val="Char7 Char Char1519,Text komentára Char Char Char1519,Comment Text Char Char Char1519"/>
    <w:basedOn w:val="Predvolenpsmoodseku"/>
    <w:uiPriority w:val="99"/>
    <w:semiHidden/>
    <w:rsid w:val="00A809E7"/>
    <w:rPr>
      <w:rFonts w:ascii="Courier" w:hAnsi="Courier" w:cs="Courier"/>
      <w:lang w:val="x-none" w:eastAsia="cs-CZ"/>
    </w:rPr>
  </w:style>
  <w:style w:type="character" w:customStyle="1" w:styleId="TextkomentraChar1517">
    <w:name w:val="Text komentára Char1517"/>
    <w:aliases w:val="Char7 Char Char1518,Text komentára Char Char Char1518,Comment Text Char Char Char1518"/>
    <w:basedOn w:val="Predvolenpsmoodseku"/>
    <w:uiPriority w:val="99"/>
    <w:semiHidden/>
    <w:rsid w:val="00A809E7"/>
    <w:rPr>
      <w:rFonts w:ascii="Courier" w:hAnsi="Courier" w:cs="Courier"/>
      <w:lang w:val="x-none" w:eastAsia="cs-CZ"/>
    </w:rPr>
  </w:style>
  <w:style w:type="character" w:customStyle="1" w:styleId="TextkomentraChar1516">
    <w:name w:val="Text komentára Char1516"/>
    <w:aliases w:val="Char7 Char Char1517,Text komentára Char Char Char1517,Comment Text Char Char Char1517"/>
    <w:basedOn w:val="Predvolenpsmoodseku"/>
    <w:uiPriority w:val="99"/>
    <w:semiHidden/>
    <w:rsid w:val="00A809E7"/>
    <w:rPr>
      <w:rFonts w:ascii="Courier" w:hAnsi="Courier" w:cs="Courier"/>
      <w:lang w:val="x-none" w:eastAsia="cs-CZ"/>
    </w:rPr>
  </w:style>
  <w:style w:type="character" w:customStyle="1" w:styleId="TextkomentraChar1515">
    <w:name w:val="Text komentára Char1515"/>
    <w:aliases w:val="Char7 Char Char1516,Text komentára Char Char Char1516,Comment Text Char Char Char1516"/>
    <w:basedOn w:val="Predvolenpsmoodseku"/>
    <w:uiPriority w:val="99"/>
    <w:semiHidden/>
    <w:rsid w:val="00A809E7"/>
    <w:rPr>
      <w:rFonts w:ascii="Courier" w:hAnsi="Courier" w:cs="Courier"/>
      <w:lang w:val="x-none" w:eastAsia="cs-CZ"/>
    </w:rPr>
  </w:style>
  <w:style w:type="character" w:customStyle="1" w:styleId="TextkomentraChar1514">
    <w:name w:val="Text komentára Char1514"/>
    <w:aliases w:val="Char7 Char Char1515,Text komentára Char Char Char1515,Comment Text Char Char Char1515"/>
    <w:basedOn w:val="Predvolenpsmoodseku"/>
    <w:uiPriority w:val="99"/>
    <w:semiHidden/>
    <w:rsid w:val="00A809E7"/>
    <w:rPr>
      <w:rFonts w:ascii="Courier" w:hAnsi="Courier" w:cs="Courier"/>
      <w:lang w:val="x-none" w:eastAsia="cs-CZ"/>
    </w:rPr>
  </w:style>
  <w:style w:type="character" w:customStyle="1" w:styleId="TextkomentraChar1513">
    <w:name w:val="Text komentára Char1513"/>
    <w:aliases w:val="Char7 Char Char1514,Text komentára Char Char Char1514,Comment Text Char Char Char1514"/>
    <w:uiPriority w:val="99"/>
    <w:semiHidden/>
    <w:rsid w:val="00A809E7"/>
    <w:rPr>
      <w:rFonts w:ascii="Courier" w:hAnsi="Courier"/>
      <w:lang w:val="x-none" w:eastAsia="cs-CZ"/>
    </w:rPr>
  </w:style>
  <w:style w:type="character" w:customStyle="1" w:styleId="TextkomentraChar1512">
    <w:name w:val="Text komentára Char1512"/>
    <w:aliases w:val="Char7 Char Char1513,Text komentára Char Char Char1513,Comment Text Char Char Char1513"/>
    <w:uiPriority w:val="99"/>
    <w:semiHidden/>
    <w:rsid w:val="00A809E7"/>
    <w:rPr>
      <w:rFonts w:ascii="Courier" w:hAnsi="Courier"/>
      <w:lang w:val="x-none" w:eastAsia="cs-CZ"/>
    </w:rPr>
  </w:style>
  <w:style w:type="character" w:customStyle="1" w:styleId="TextkomentraChar1511">
    <w:name w:val="Text komentára Char1511"/>
    <w:aliases w:val="Char7 Char Char1512,Text komentára Char Char Char1512,Comment Text Char Char Char1512"/>
    <w:uiPriority w:val="99"/>
    <w:semiHidden/>
    <w:rsid w:val="00A809E7"/>
    <w:rPr>
      <w:rFonts w:ascii="Courier" w:hAnsi="Courier"/>
      <w:lang w:val="x-none" w:eastAsia="cs-CZ"/>
    </w:rPr>
  </w:style>
  <w:style w:type="character" w:customStyle="1" w:styleId="TextkomentraChar1510">
    <w:name w:val="Text komentára Char1510"/>
    <w:aliases w:val="Char7 Char Char1511,Text komentára Char Char Char1511,Comment Text Char Char Char1511"/>
    <w:uiPriority w:val="99"/>
    <w:semiHidden/>
    <w:rsid w:val="00A809E7"/>
    <w:rPr>
      <w:rFonts w:ascii="Courier" w:hAnsi="Courier"/>
      <w:lang w:val="x-none" w:eastAsia="cs-CZ"/>
    </w:rPr>
  </w:style>
  <w:style w:type="character" w:customStyle="1" w:styleId="TextkomentraChar1509">
    <w:name w:val="Text komentára Char1509"/>
    <w:aliases w:val="Char7 Char Char1510,Text komentára Char Char Char1510,Comment Text Char Char Char1510"/>
    <w:uiPriority w:val="99"/>
    <w:semiHidden/>
    <w:rsid w:val="00A809E7"/>
    <w:rPr>
      <w:rFonts w:ascii="Courier" w:hAnsi="Courier"/>
      <w:lang w:val="x-none" w:eastAsia="cs-CZ"/>
    </w:rPr>
  </w:style>
  <w:style w:type="character" w:customStyle="1" w:styleId="TextkomentraChar1508">
    <w:name w:val="Text komentára Char1508"/>
    <w:aliases w:val="Char7 Char Char1509,Text komentára Char Char Char1509,Comment Text Char Char Char1509"/>
    <w:uiPriority w:val="99"/>
    <w:semiHidden/>
    <w:rsid w:val="00A809E7"/>
    <w:rPr>
      <w:rFonts w:ascii="Courier" w:hAnsi="Courier"/>
      <w:lang w:val="x-none" w:eastAsia="cs-CZ"/>
    </w:rPr>
  </w:style>
  <w:style w:type="character" w:customStyle="1" w:styleId="TextkomentraChar1507">
    <w:name w:val="Text komentára Char1507"/>
    <w:aliases w:val="Char7 Char Char1508,Text komentára Char Char Char1508,Comment Text Char Char Char1508"/>
    <w:uiPriority w:val="99"/>
    <w:semiHidden/>
    <w:rsid w:val="00A809E7"/>
    <w:rPr>
      <w:rFonts w:ascii="Courier" w:hAnsi="Courier"/>
      <w:lang w:val="x-none" w:eastAsia="cs-CZ"/>
    </w:rPr>
  </w:style>
  <w:style w:type="character" w:customStyle="1" w:styleId="TextkomentraChar1506">
    <w:name w:val="Text komentára Char1506"/>
    <w:aliases w:val="Char7 Char Char1507,Text komentára Char Char Char1507,Comment Text Char Char Char1507"/>
    <w:uiPriority w:val="99"/>
    <w:semiHidden/>
    <w:rsid w:val="00A809E7"/>
    <w:rPr>
      <w:rFonts w:ascii="Courier" w:hAnsi="Courier"/>
      <w:lang w:val="x-none" w:eastAsia="cs-CZ"/>
    </w:rPr>
  </w:style>
  <w:style w:type="character" w:customStyle="1" w:styleId="TextkomentraChar1505">
    <w:name w:val="Text komentára Char1505"/>
    <w:aliases w:val="Char7 Char Char1506,Text komentára Char Char Char1506,Comment Text Char Char Char1506"/>
    <w:uiPriority w:val="99"/>
    <w:semiHidden/>
    <w:rsid w:val="00A809E7"/>
    <w:rPr>
      <w:rFonts w:ascii="Courier" w:hAnsi="Courier"/>
      <w:lang w:val="x-none" w:eastAsia="cs-CZ"/>
    </w:rPr>
  </w:style>
  <w:style w:type="character" w:customStyle="1" w:styleId="TextkomentraChar1504">
    <w:name w:val="Text komentára Char1504"/>
    <w:aliases w:val="Char7 Char Char1505,Text komentára Char Char Char1505,Comment Text Char Char Char1505"/>
    <w:uiPriority w:val="99"/>
    <w:semiHidden/>
    <w:rsid w:val="00A809E7"/>
    <w:rPr>
      <w:rFonts w:ascii="Courier" w:hAnsi="Courier"/>
      <w:lang w:val="x-none" w:eastAsia="cs-CZ"/>
    </w:rPr>
  </w:style>
  <w:style w:type="character" w:customStyle="1" w:styleId="TextkomentraChar1503">
    <w:name w:val="Text komentára Char1503"/>
    <w:aliases w:val="Char7 Char Char1504,Text komentára Char Char Char1504,Comment Text Char Char Char1504"/>
    <w:uiPriority w:val="99"/>
    <w:semiHidden/>
    <w:rsid w:val="00A809E7"/>
    <w:rPr>
      <w:rFonts w:ascii="Courier" w:hAnsi="Courier"/>
      <w:lang w:val="x-none" w:eastAsia="cs-CZ"/>
    </w:rPr>
  </w:style>
  <w:style w:type="character" w:customStyle="1" w:styleId="TextkomentraChar1502">
    <w:name w:val="Text komentára Char1502"/>
    <w:aliases w:val="Char7 Char Char1503,Text komentára Char Char Char1503,Comment Text Char Char Char1503"/>
    <w:uiPriority w:val="99"/>
    <w:semiHidden/>
    <w:rsid w:val="00A809E7"/>
    <w:rPr>
      <w:rFonts w:ascii="Courier" w:hAnsi="Courier"/>
      <w:lang w:val="x-none" w:eastAsia="cs-CZ"/>
    </w:rPr>
  </w:style>
  <w:style w:type="character" w:customStyle="1" w:styleId="TextkomentraChar1501">
    <w:name w:val="Text komentára Char1501"/>
    <w:aliases w:val="Char7 Char Char1502,Text komentára Char Char Char1502,Comment Text Char Char Char1502"/>
    <w:uiPriority w:val="99"/>
    <w:semiHidden/>
    <w:rsid w:val="00A809E7"/>
    <w:rPr>
      <w:rFonts w:ascii="Courier" w:hAnsi="Courier"/>
      <w:lang w:val="x-none" w:eastAsia="cs-CZ"/>
    </w:rPr>
  </w:style>
  <w:style w:type="character" w:customStyle="1" w:styleId="TextkomentraChar1500">
    <w:name w:val="Text komentára Char1500"/>
    <w:aliases w:val="Char7 Char Char1501,Text komentára Char Char Char1501,Comment Text Char Char Char1501"/>
    <w:uiPriority w:val="99"/>
    <w:semiHidden/>
    <w:rsid w:val="00A809E7"/>
    <w:rPr>
      <w:rFonts w:ascii="Courier" w:hAnsi="Courier"/>
      <w:lang w:val="x-none" w:eastAsia="cs-CZ"/>
    </w:rPr>
  </w:style>
  <w:style w:type="character" w:customStyle="1" w:styleId="TextkomentraChar1499">
    <w:name w:val="Text komentára Char1499"/>
    <w:aliases w:val="Char7 Char Char1500,Text komentára Char Char Char1500,Comment Text Char Char Char1500"/>
    <w:uiPriority w:val="99"/>
    <w:semiHidden/>
    <w:rsid w:val="00A809E7"/>
    <w:rPr>
      <w:rFonts w:ascii="Courier" w:hAnsi="Courier"/>
      <w:lang w:val="x-none" w:eastAsia="cs-CZ"/>
    </w:rPr>
  </w:style>
  <w:style w:type="character" w:customStyle="1" w:styleId="TextkomentraChar1498">
    <w:name w:val="Text komentára Char1498"/>
    <w:aliases w:val="Char7 Char Char1499,Text komentára Char Char Char1499,Comment Text Char Char Char1499"/>
    <w:uiPriority w:val="99"/>
    <w:semiHidden/>
    <w:rsid w:val="00A809E7"/>
    <w:rPr>
      <w:rFonts w:ascii="Courier" w:hAnsi="Courier"/>
      <w:lang w:val="x-none" w:eastAsia="cs-CZ"/>
    </w:rPr>
  </w:style>
  <w:style w:type="character" w:customStyle="1" w:styleId="TextkomentraChar1497">
    <w:name w:val="Text komentára Char1497"/>
    <w:aliases w:val="Char7 Char Char1498,Text komentára Char Char Char1498,Comment Text Char Char Char1498"/>
    <w:uiPriority w:val="99"/>
    <w:semiHidden/>
    <w:rsid w:val="00A809E7"/>
    <w:rPr>
      <w:rFonts w:ascii="Courier" w:hAnsi="Courier"/>
      <w:lang w:val="x-none" w:eastAsia="cs-CZ"/>
    </w:rPr>
  </w:style>
  <w:style w:type="character" w:customStyle="1" w:styleId="TextkomentraChar1496">
    <w:name w:val="Text komentára Char1496"/>
    <w:aliases w:val="Char7 Char Char1497,Text komentára Char Char Char1497,Comment Text Char Char Char1497"/>
    <w:uiPriority w:val="99"/>
    <w:semiHidden/>
    <w:rsid w:val="00A809E7"/>
    <w:rPr>
      <w:rFonts w:ascii="Courier" w:hAnsi="Courier"/>
      <w:lang w:val="x-none" w:eastAsia="cs-CZ"/>
    </w:rPr>
  </w:style>
  <w:style w:type="character" w:customStyle="1" w:styleId="TextkomentraChar1495">
    <w:name w:val="Text komentára Char1495"/>
    <w:aliases w:val="Char7 Char Char1496,Text komentára Char Char Char1496,Comment Text Char Char Char1496"/>
    <w:uiPriority w:val="99"/>
    <w:semiHidden/>
    <w:rsid w:val="00A809E7"/>
    <w:rPr>
      <w:rFonts w:ascii="Courier" w:hAnsi="Courier"/>
      <w:lang w:val="x-none" w:eastAsia="cs-CZ"/>
    </w:rPr>
  </w:style>
  <w:style w:type="character" w:customStyle="1" w:styleId="TextkomentraChar1494">
    <w:name w:val="Text komentára Char1494"/>
    <w:aliases w:val="Char7 Char Char1495,Text komentára Char Char Char1495,Comment Text Char Char Char1495"/>
    <w:uiPriority w:val="99"/>
    <w:semiHidden/>
    <w:rsid w:val="00A809E7"/>
    <w:rPr>
      <w:rFonts w:ascii="Courier" w:hAnsi="Courier"/>
      <w:lang w:val="x-none" w:eastAsia="cs-CZ"/>
    </w:rPr>
  </w:style>
  <w:style w:type="character" w:customStyle="1" w:styleId="TextkomentraChar1493">
    <w:name w:val="Text komentára Char1493"/>
    <w:aliases w:val="Char7 Char Char1494,Text komentára Char Char Char1494,Comment Text Char Char Char1494"/>
    <w:uiPriority w:val="99"/>
    <w:semiHidden/>
    <w:rsid w:val="00A809E7"/>
    <w:rPr>
      <w:rFonts w:ascii="Courier" w:hAnsi="Courier"/>
      <w:lang w:val="x-none" w:eastAsia="cs-CZ"/>
    </w:rPr>
  </w:style>
  <w:style w:type="character" w:customStyle="1" w:styleId="TextkomentraChar1492">
    <w:name w:val="Text komentára Char1492"/>
    <w:aliases w:val="Char7 Char Char1493,Text komentára Char Char Char1493,Comment Text Char Char Char1493"/>
    <w:uiPriority w:val="99"/>
    <w:semiHidden/>
    <w:rsid w:val="00A809E7"/>
    <w:rPr>
      <w:rFonts w:ascii="Courier" w:hAnsi="Courier"/>
      <w:lang w:val="x-none" w:eastAsia="cs-CZ"/>
    </w:rPr>
  </w:style>
  <w:style w:type="character" w:customStyle="1" w:styleId="TextkomentraChar1491">
    <w:name w:val="Text komentára Char1491"/>
    <w:aliases w:val="Char7 Char Char1492,Text komentára Char Char Char1492,Comment Text Char Char Char1492"/>
    <w:uiPriority w:val="99"/>
    <w:semiHidden/>
    <w:rsid w:val="00A809E7"/>
    <w:rPr>
      <w:rFonts w:ascii="Courier" w:hAnsi="Courier"/>
      <w:lang w:val="x-none" w:eastAsia="cs-CZ"/>
    </w:rPr>
  </w:style>
  <w:style w:type="character" w:customStyle="1" w:styleId="TextkomentraChar1490">
    <w:name w:val="Text komentára Char1490"/>
    <w:aliases w:val="Char7 Char Char1491,Text komentára Char Char Char1491,Comment Text Char Char Char1491"/>
    <w:uiPriority w:val="99"/>
    <w:semiHidden/>
    <w:rsid w:val="00A809E7"/>
    <w:rPr>
      <w:rFonts w:ascii="Courier" w:hAnsi="Courier"/>
      <w:lang w:val="x-none" w:eastAsia="cs-CZ"/>
    </w:rPr>
  </w:style>
  <w:style w:type="character" w:customStyle="1" w:styleId="TextkomentraChar1489">
    <w:name w:val="Text komentára Char1489"/>
    <w:aliases w:val="Char7 Char Char1490,Text komentára Char Char Char1490,Comment Text Char Char Char1490"/>
    <w:uiPriority w:val="99"/>
    <w:semiHidden/>
    <w:rsid w:val="00A809E7"/>
    <w:rPr>
      <w:rFonts w:ascii="Courier" w:hAnsi="Courier"/>
      <w:lang w:val="x-none" w:eastAsia="cs-CZ"/>
    </w:rPr>
  </w:style>
  <w:style w:type="character" w:customStyle="1" w:styleId="TextkomentraChar1488">
    <w:name w:val="Text komentára Char1488"/>
    <w:aliases w:val="Char7 Char Char1489,Text komentára Char Char Char1489,Comment Text Char Char Char1489"/>
    <w:uiPriority w:val="99"/>
    <w:semiHidden/>
    <w:rsid w:val="00A809E7"/>
    <w:rPr>
      <w:rFonts w:ascii="Courier" w:hAnsi="Courier"/>
      <w:lang w:val="x-none" w:eastAsia="cs-CZ"/>
    </w:rPr>
  </w:style>
  <w:style w:type="character" w:customStyle="1" w:styleId="TextkomentraChar1487">
    <w:name w:val="Text komentára Char1487"/>
    <w:aliases w:val="Char7 Char Char1488,Text komentára Char Char Char1488,Comment Text Char Char Char1488"/>
    <w:uiPriority w:val="99"/>
    <w:semiHidden/>
    <w:rsid w:val="00A809E7"/>
    <w:rPr>
      <w:rFonts w:ascii="Courier" w:hAnsi="Courier"/>
      <w:lang w:val="x-none" w:eastAsia="cs-CZ"/>
    </w:rPr>
  </w:style>
  <w:style w:type="character" w:customStyle="1" w:styleId="TextkomentraChar1486">
    <w:name w:val="Text komentára Char1486"/>
    <w:aliases w:val="Char7 Char Char1487,Text komentára Char Char Char1487,Comment Text Char Char Char1487"/>
    <w:uiPriority w:val="99"/>
    <w:semiHidden/>
    <w:rsid w:val="00A809E7"/>
    <w:rPr>
      <w:rFonts w:ascii="Courier" w:hAnsi="Courier"/>
      <w:lang w:val="x-none" w:eastAsia="cs-CZ"/>
    </w:rPr>
  </w:style>
  <w:style w:type="character" w:customStyle="1" w:styleId="TextkomentraChar1485">
    <w:name w:val="Text komentára Char1485"/>
    <w:aliases w:val="Char7 Char Char1486,Text komentára Char Char Char1486,Comment Text Char Char Char1486"/>
    <w:uiPriority w:val="99"/>
    <w:semiHidden/>
    <w:rsid w:val="00A809E7"/>
    <w:rPr>
      <w:rFonts w:ascii="Courier" w:hAnsi="Courier"/>
      <w:lang w:val="x-none" w:eastAsia="cs-CZ"/>
    </w:rPr>
  </w:style>
  <w:style w:type="character" w:customStyle="1" w:styleId="TextkomentraChar1484">
    <w:name w:val="Text komentára Char1484"/>
    <w:aliases w:val="Char7 Char Char1485,Text komentára Char Char Char1485,Comment Text Char Char Char1485"/>
    <w:uiPriority w:val="99"/>
    <w:semiHidden/>
    <w:rsid w:val="00A809E7"/>
    <w:rPr>
      <w:rFonts w:ascii="Courier" w:hAnsi="Courier"/>
      <w:lang w:val="x-none" w:eastAsia="cs-CZ"/>
    </w:rPr>
  </w:style>
  <w:style w:type="character" w:customStyle="1" w:styleId="TextkomentraChar1483">
    <w:name w:val="Text komentára Char1483"/>
    <w:aliases w:val="Char7 Char Char1484,Text komentára Char Char Char1484,Comment Text Char Char Char1484"/>
    <w:uiPriority w:val="99"/>
    <w:semiHidden/>
    <w:rsid w:val="00A809E7"/>
    <w:rPr>
      <w:rFonts w:ascii="Courier" w:hAnsi="Courier"/>
      <w:lang w:val="x-none" w:eastAsia="cs-CZ"/>
    </w:rPr>
  </w:style>
  <w:style w:type="character" w:customStyle="1" w:styleId="TextkomentraChar1482">
    <w:name w:val="Text komentára Char1482"/>
    <w:aliases w:val="Char7 Char Char1483,Text komentára Char Char Char1483,Comment Text Char Char Char1483"/>
    <w:uiPriority w:val="99"/>
    <w:semiHidden/>
    <w:rsid w:val="00A809E7"/>
    <w:rPr>
      <w:rFonts w:ascii="Courier" w:hAnsi="Courier"/>
      <w:lang w:val="x-none" w:eastAsia="cs-CZ"/>
    </w:rPr>
  </w:style>
  <w:style w:type="character" w:customStyle="1" w:styleId="TextkomentraChar1481">
    <w:name w:val="Text komentára Char1481"/>
    <w:aliases w:val="Char7 Char Char1482,Text komentára Char Char Char1482,Comment Text Char Char Char1482"/>
    <w:uiPriority w:val="99"/>
    <w:semiHidden/>
    <w:rsid w:val="00A809E7"/>
    <w:rPr>
      <w:rFonts w:ascii="Courier" w:hAnsi="Courier"/>
      <w:lang w:val="x-none" w:eastAsia="cs-CZ"/>
    </w:rPr>
  </w:style>
  <w:style w:type="character" w:customStyle="1" w:styleId="TextkomentraChar1480">
    <w:name w:val="Text komentára Char1480"/>
    <w:aliases w:val="Char7 Char Char1481,Text komentára Char Char Char1481,Comment Text Char Char Char1481"/>
    <w:uiPriority w:val="99"/>
    <w:semiHidden/>
    <w:rsid w:val="00A809E7"/>
    <w:rPr>
      <w:rFonts w:ascii="Courier" w:hAnsi="Courier"/>
      <w:lang w:val="x-none" w:eastAsia="cs-CZ"/>
    </w:rPr>
  </w:style>
  <w:style w:type="character" w:customStyle="1" w:styleId="TextkomentraChar1479">
    <w:name w:val="Text komentára Char1479"/>
    <w:aliases w:val="Char7 Char Char1480,Text komentára Char Char Char1480,Comment Text Char Char Char1480"/>
    <w:uiPriority w:val="99"/>
    <w:semiHidden/>
    <w:rsid w:val="00A809E7"/>
    <w:rPr>
      <w:rFonts w:ascii="Courier" w:hAnsi="Courier"/>
      <w:lang w:val="x-none" w:eastAsia="cs-CZ"/>
    </w:rPr>
  </w:style>
  <w:style w:type="character" w:customStyle="1" w:styleId="TextkomentraChar1478">
    <w:name w:val="Text komentára Char1478"/>
    <w:aliases w:val="Char7 Char Char1479,Text komentára Char Char Char1479,Comment Text Char Char Char1479"/>
    <w:uiPriority w:val="99"/>
    <w:semiHidden/>
    <w:rsid w:val="00A809E7"/>
    <w:rPr>
      <w:rFonts w:ascii="Courier" w:hAnsi="Courier"/>
      <w:lang w:val="x-none" w:eastAsia="cs-CZ"/>
    </w:rPr>
  </w:style>
  <w:style w:type="character" w:customStyle="1" w:styleId="TextkomentraChar1477">
    <w:name w:val="Text komentára Char1477"/>
    <w:aliases w:val="Char7 Char Char1478,Text komentára Char Char Char1478,Comment Text Char Char Char1478"/>
    <w:uiPriority w:val="99"/>
    <w:semiHidden/>
    <w:rsid w:val="00A809E7"/>
    <w:rPr>
      <w:rFonts w:ascii="Courier" w:hAnsi="Courier"/>
      <w:lang w:val="x-none" w:eastAsia="cs-CZ"/>
    </w:rPr>
  </w:style>
  <w:style w:type="character" w:customStyle="1" w:styleId="TextkomentraChar1476">
    <w:name w:val="Text komentára Char1476"/>
    <w:aliases w:val="Char7 Char Char1477,Text komentára Char Char Char1477,Comment Text Char Char Char1477"/>
    <w:uiPriority w:val="99"/>
    <w:semiHidden/>
    <w:rsid w:val="00A809E7"/>
    <w:rPr>
      <w:rFonts w:ascii="Courier" w:hAnsi="Courier"/>
      <w:lang w:val="x-none" w:eastAsia="cs-CZ"/>
    </w:rPr>
  </w:style>
  <w:style w:type="character" w:customStyle="1" w:styleId="TextkomentraChar1475">
    <w:name w:val="Text komentára Char1475"/>
    <w:aliases w:val="Char7 Char Char1476,Text komentára Char Char Char1476,Comment Text Char Char Char1476"/>
    <w:uiPriority w:val="99"/>
    <w:semiHidden/>
    <w:rsid w:val="00A809E7"/>
    <w:rPr>
      <w:rFonts w:ascii="Courier" w:hAnsi="Courier"/>
      <w:lang w:val="x-none" w:eastAsia="cs-CZ"/>
    </w:rPr>
  </w:style>
  <w:style w:type="character" w:customStyle="1" w:styleId="TextkomentraChar1474">
    <w:name w:val="Text komentára Char1474"/>
    <w:aliases w:val="Char7 Char Char1475,Text komentára Char Char Char1475,Comment Text Char Char Char1475"/>
    <w:uiPriority w:val="99"/>
    <w:semiHidden/>
    <w:rsid w:val="00A809E7"/>
    <w:rPr>
      <w:rFonts w:ascii="Courier" w:hAnsi="Courier"/>
      <w:lang w:val="x-none" w:eastAsia="cs-CZ"/>
    </w:rPr>
  </w:style>
  <w:style w:type="character" w:customStyle="1" w:styleId="TextkomentraChar1473">
    <w:name w:val="Text komentára Char1473"/>
    <w:aliases w:val="Char7 Char Char1474,Text komentára Char Char Char1474,Comment Text Char Char Char1474"/>
    <w:uiPriority w:val="99"/>
    <w:semiHidden/>
    <w:rsid w:val="00A809E7"/>
    <w:rPr>
      <w:rFonts w:ascii="Courier" w:hAnsi="Courier"/>
      <w:lang w:val="x-none" w:eastAsia="cs-CZ"/>
    </w:rPr>
  </w:style>
  <w:style w:type="character" w:customStyle="1" w:styleId="TextkomentraChar1472">
    <w:name w:val="Text komentára Char1472"/>
    <w:aliases w:val="Char7 Char Char1473,Text komentára Char Char Char1473,Comment Text Char Char Char1473"/>
    <w:uiPriority w:val="99"/>
    <w:semiHidden/>
    <w:rsid w:val="00A809E7"/>
    <w:rPr>
      <w:rFonts w:ascii="Courier" w:hAnsi="Courier"/>
      <w:lang w:val="x-none" w:eastAsia="cs-CZ"/>
    </w:rPr>
  </w:style>
  <w:style w:type="character" w:customStyle="1" w:styleId="TextkomentraChar1471">
    <w:name w:val="Text komentára Char1471"/>
    <w:aliases w:val="Char7 Char Char1472,Text komentára Char Char Char1472,Comment Text Char Char Char1472"/>
    <w:uiPriority w:val="99"/>
    <w:semiHidden/>
    <w:rsid w:val="00A809E7"/>
    <w:rPr>
      <w:rFonts w:ascii="Courier" w:hAnsi="Courier"/>
      <w:lang w:val="x-none" w:eastAsia="cs-CZ"/>
    </w:rPr>
  </w:style>
  <w:style w:type="character" w:customStyle="1" w:styleId="TextkomentraChar1470">
    <w:name w:val="Text komentára Char1470"/>
    <w:aliases w:val="Char7 Char Char1471,Text komentára Char Char Char1471,Comment Text Char Char Char1471"/>
    <w:uiPriority w:val="99"/>
    <w:semiHidden/>
    <w:rsid w:val="00A809E7"/>
    <w:rPr>
      <w:rFonts w:ascii="Courier" w:hAnsi="Courier"/>
      <w:lang w:val="x-none" w:eastAsia="cs-CZ"/>
    </w:rPr>
  </w:style>
  <w:style w:type="character" w:customStyle="1" w:styleId="TextkomentraChar1469">
    <w:name w:val="Text komentára Char1469"/>
    <w:aliases w:val="Char7 Char Char1470,Text komentára Char Char Char1470,Comment Text Char Char Char1470"/>
    <w:uiPriority w:val="99"/>
    <w:semiHidden/>
    <w:rsid w:val="00A809E7"/>
    <w:rPr>
      <w:rFonts w:ascii="Courier" w:hAnsi="Courier"/>
      <w:lang w:val="x-none" w:eastAsia="cs-CZ"/>
    </w:rPr>
  </w:style>
  <w:style w:type="character" w:customStyle="1" w:styleId="TextkomentraChar1468">
    <w:name w:val="Text komentára Char1468"/>
    <w:aliases w:val="Char7 Char Char1469,Text komentára Char Char Char1469,Comment Text Char Char Char1469"/>
    <w:uiPriority w:val="99"/>
    <w:semiHidden/>
    <w:rsid w:val="00A809E7"/>
    <w:rPr>
      <w:rFonts w:ascii="Courier" w:hAnsi="Courier"/>
      <w:lang w:val="x-none" w:eastAsia="cs-CZ"/>
    </w:rPr>
  </w:style>
  <w:style w:type="character" w:customStyle="1" w:styleId="TextkomentraChar1467">
    <w:name w:val="Text komentára Char1467"/>
    <w:aliases w:val="Char7 Char Char1468,Text komentára Char Char Char1468,Comment Text Char Char Char1468"/>
    <w:uiPriority w:val="99"/>
    <w:semiHidden/>
    <w:rsid w:val="00A809E7"/>
    <w:rPr>
      <w:rFonts w:ascii="Courier" w:hAnsi="Courier"/>
      <w:lang w:val="x-none" w:eastAsia="cs-CZ"/>
    </w:rPr>
  </w:style>
  <w:style w:type="character" w:customStyle="1" w:styleId="TextkomentraChar1466">
    <w:name w:val="Text komentára Char1466"/>
    <w:aliases w:val="Char7 Char Char1467,Text komentára Char Char Char1467,Comment Text Char Char Char1467"/>
    <w:uiPriority w:val="99"/>
    <w:semiHidden/>
    <w:rsid w:val="00A809E7"/>
    <w:rPr>
      <w:rFonts w:ascii="Courier" w:hAnsi="Courier"/>
      <w:lang w:val="x-none" w:eastAsia="cs-CZ"/>
    </w:rPr>
  </w:style>
  <w:style w:type="character" w:customStyle="1" w:styleId="TextkomentraChar1465">
    <w:name w:val="Text komentára Char1465"/>
    <w:aliases w:val="Char7 Char Char1466,Text komentára Char Char Char1466,Comment Text Char Char Char1466"/>
    <w:uiPriority w:val="99"/>
    <w:semiHidden/>
    <w:rsid w:val="00A809E7"/>
    <w:rPr>
      <w:rFonts w:ascii="Courier" w:hAnsi="Courier"/>
      <w:lang w:val="x-none" w:eastAsia="cs-CZ"/>
    </w:rPr>
  </w:style>
  <w:style w:type="character" w:customStyle="1" w:styleId="TextkomentraChar1464">
    <w:name w:val="Text komentára Char1464"/>
    <w:aliases w:val="Char7 Char Char1465,Text komentára Char Char Char1465,Comment Text Char Char Char1465"/>
    <w:uiPriority w:val="99"/>
    <w:semiHidden/>
    <w:rsid w:val="00A809E7"/>
    <w:rPr>
      <w:rFonts w:ascii="Courier" w:hAnsi="Courier"/>
      <w:lang w:val="x-none" w:eastAsia="cs-CZ"/>
    </w:rPr>
  </w:style>
  <w:style w:type="character" w:customStyle="1" w:styleId="TextkomentraChar1463">
    <w:name w:val="Text komentára Char1463"/>
    <w:aliases w:val="Char7 Char Char1464,Text komentára Char Char Char1464,Comment Text Char Char Char1464"/>
    <w:uiPriority w:val="99"/>
    <w:semiHidden/>
    <w:rsid w:val="00A809E7"/>
    <w:rPr>
      <w:rFonts w:ascii="Courier" w:hAnsi="Courier"/>
      <w:lang w:val="x-none" w:eastAsia="cs-CZ"/>
    </w:rPr>
  </w:style>
  <w:style w:type="character" w:customStyle="1" w:styleId="TextkomentraChar1462">
    <w:name w:val="Text komentára Char1462"/>
    <w:aliases w:val="Char7 Char Char1463,Text komentára Char Char Char1463,Comment Text Char Char Char1463"/>
    <w:uiPriority w:val="99"/>
    <w:semiHidden/>
    <w:rsid w:val="00A809E7"/>
    <w:rPr>
      <w:rFonts w:ascii="Courier" w:hAnsi="Courier"/>
      <w:lang w:val="x-none" w:eastAsia="cs-CZ"/>
    </w:rPr>
  </w:style>
  <w:style w:type="character" w:customStyle="1" w:styleId="TextkomentraChar1461">
    <w:name w:val="Text komentára Char1461"/>
    <w:aliases w:val="Char7 Char Char1462,Text komentára Char Char Char1462,Comment Text Char Char Char1462"/>
    <w:uiPriority w:val="99"/>
    <w:semiHidden/>
    <w:rsid w:val="00A809E7"/>
    <w:rPr>
      <w:rFonts w:ascii="Courier" w:hAnsi="Courier"/>
      <w:lang w:val="x-none" w:eastAsia="cs-CZ"/>
    </w:rPr>
  </w:style>
  <w:style w:type="character" w:customStyle="1" w:styleId="TextkomentraChar1460">
    <w:name w:val="Text komentára Char1460"/>
    <w:aliases w:val="Char7 Char Char1461,Text komentára Char Char Char1461,Comment Text Char Char Char1461"/>
    <w:uiPriority w:val="99"/>
    <w:semiHidden/>
    <w:rsid w:val="00A809E7"/>
    <w:rPr>
      <w:rFonts w:ascii="Courier" w:hAnsi="Courier"/>
      <w:lang w:val="x-none" w:eastAsia="cs-CZ"/>
    </w:rPr>
  </w:style>
  <w:style w:type="character" w:customStyle="1" w:styleId="TextkomentraChar1459">
    <w:name w:val="Text komentára Char1459"/>
    <w:aliases w:val="Char7 Char Char1460,Text komentára Char Char Char1460,Comment Text Char Char Char1460"/>
    <w:uiPriority w:val="99"/>
    <w:semiHidden/>
    <w:rsid w:val="00A809E7"/>
    <w:rPr>
      <w:rFonts w:ascii="Courier" w:hAnsi="Courier"/>
      <w:lang w:val="x-none" w:eastAsia="cs-CZ"/>
    </w:rPr>
  </w:style>
  <w:style w:type="character" w:customStyle="1" w:styleId="TextkomentraChar1458">
    <w:name w:val="Text komentára Char1458"/>
    <w:aliases w:val="Char7 Char Char1459,Text komentára Char Char Char1459,Comment Text Char Char Char1459"/>
    <w:uiPriority w:val="99"/>
    <w:semiHidden/>
    <w:rsid w:val="00A809E7"/>
    <w:rPr>
      <w:rFonts w:ascii="Courier" w:hAnsi="Courier"/>
      <w:lang w:val="x-none" w:eastAsia="cs-CZ"/>
    </w:rPr>
  </w:style>
  <w:style w:type="character" w:customStyle="1" w:styleId="TextkomentraChar1457">
    <w:name w:val="Text komentára Char1457"/>
    <w:aliases w:val="Char7 Char Char1458,Text komentára Char Char Char1458,Comment Text Char Char Char1458"/>
    <w:uiPriority w:val="99"/>
    <w:semiHidden/>
    <w:rsid w:val="00A809E7"/>
    <w:rPr>
      <w:rFonts w:ascii="Courier" w:hAnsi="Courier"/>
      <w:lang w:val="x-none" w:eastAsia="cs-CZ"/>
    </w:rPr>
  </w:style>
  <w:style w:type="character" w:customStyle="1" w:styleId="TextkomentraChar1456">
    <w:name w:val="Text komentára Char1456"/>
    <w:aliases w:val="Char7 Char Char1457,Text komentára Char Char Char1457,Comment Text Char Char Char1457"/>
    <w:uiPriority w:val="99"/>
    <w:semiHidden/>
    <w:rsid w:val="00A809E7"/>
    <w:rPr>
      <w:rFonts w:ascii="Courier" w:hAnsi="Courier"/>
      <w:lang w:val="x-none" w:eastAsia="cs-CZ"/>
    </w:rPr>
  </w:style>
  <w:style w:type="character" w:customStyle="1" w:styleId="TextkomentraChar1455">
    <w:name w:val="Text komentára Char1455"/>
    <w:aliases w:val="Char7 Char Char1456,Text komentára Char Char Char1456,Comment Text Char Char Char1456"/>
    <w:uiPriority w:val="99"/>
    <w:semiHidden/>
    <w:rsid w:val="00A809E7"/>
    <w:rPr>
      <w:rFonts w:ascii="Courier" w:hAnsi="Courier"/>
      <w:lang w:val="x-none" w:eastAsia="cs-CZ"/>
    </w:rPr>
  </w:style>
  <w:style w:type="character" w:customStyle="1" w:styleId="TextkomentraChar1454">
    <w:name w:val="Text komentára Char1454"/>
    <w:aliases w:val="Char7 Char Char1455,Text komentára Char Char Char1455,Comment Text Char Char Char1455"/>
    <w:uiPriority w:val="99"/>
    <w:semiHidden/>
    <w:rsid w:val="00A809E7"/>
    <w:rPr>
      <w:rFonts w:ascii="Courier" w:hAnsi="Courier"/>
      <w:lang w:val="x-none" w:eastAsia="cs-CZ"/>
    </w:rPr>
  </w:style>
  <w:style w:type="character" w:customStyle="1" w:styleId="TextkomentraChar1453">
    <w:name w:val="Text komentára Char1453"/>
    <w:aliases w:val="Char7 Char Char1454,Text komentára Char Char Char1454,Comment Text Char Char Char1454"/>
    <w:uiPriority w:val="99"/>
    <w:semiHidden/>
    <w:rsid w:val="00A809E7"/>
    <w:rPr>
      <w:rFonts w:ascii="Courier" w:hAnsi="Courier"/>
      <w:lang w:val="x-none" w:eastAsia="cs-CZ"/>
    </w:rPr>
  </w:style>
  <w:style w:type="character" w:customStyle="1" w:styleId="TextkomentraChar1452">
    <w:name w:val="Text komentára Char1452"/>
    <w:aliases w:val="Char7 Char Char1453,Text komentára Char Char Char1453,Comment Text Char Char Char1453"/>
    <w:uiPriority w:val="99"/>
    <w:semiHidden/>
    <w:rsid w:val="00A809E7"/>
    <w:rPr>
      <w:rFonts w:ascii="Courier" w:hAnsi="Courier"/>
      <w:lang w:val="x-none" w:eastAsia="cs-CZ"/>
    </w:rPr>
  </w:style>
  <w:style w:type="character" w:customStyle="1" w:styleId="TextkomentraChar1451">
    <w:name w:val="Text komentára Char1451"/>
    <w:aliases w:val="Char7 Char Char1452,Text komentára Char Char Char1452,Comment Text Char Char Char1452"/>
    <w:uiPriority w:val="99"/>
    <w:semiHidden/>
    <w:rsid w:val="00A809E7"/>
    <w:rPr>
      <w:rFonts w:ascii="Courier" w:hAnsi="Courier"/>
      <w:lang w:val="x-none" w:eastAsia="cs-CZ"/>
    </w:rPr>
  </w:style>
  <w:style w:type="character" w:customStyle="1" w:styleId="TextkomentraChar1450">
    <w:name w:val="Text komentára Char1450"/>
    <w:aliases w:val="Char7 Char Char1451,Text komentára Char Char Char1451,Comment Text Char Char Char1451"/>
    <w:uiPriority w:val="99"/>
    <w:semiHidden/>
    <w:rsid w:val="00A809E7"/>
    <w:rPr>
      <w:rFonts w:ascii="Courier" w:hAnsi="Courier"/>
      <w:lang w:val="x-none" w:eastAsia="cs-CZ"/>
    </w:rPr>
  </w:style>
  <w:style w:type="character" w:customStyle="1" w:styleId="TextkomentraChar1449">
    <w:name w:val="Text komentára Char1449"/>
    <w:aliases w:val="Char7 Char Char1450,Text komentára Char Char Char1450,Comment Text Char Char Char1450"/>
    <w:uiPriority w:val="99"/>
    <w:semiHidden/>
    <w:rsid w:val="00A809E7"/>
    <w:rPr>
      <w:rFonts w:ascii="Courier" w:hAnsi="Courier"/>
      <w:lang w:val="x-none" w:eastAsia="cs-CZ"/>
    </w:rPr>
  </w:style>
  <w:style w:type="character" w:customStyle="1" w:styleId="TextkomentraChar1448">
    <w:name w:val="Text komentára Char1448"/>
    <w:aliases w:val="Char7 Char Char1449,Text komentára Char Char Char1449,Comment Text Char Char Char1449"/>
    <w:uiPriority w:val="99"/>
    <w:semiHidden/>
    <w:rsid w:val="00A809E7"/>
    <w:rPr>
      <w:rFonts w:ascii="Courier" w:hAnsi="Courier"/>
      <w:lang w:val="x-none" w:eastAsia="cs-CZ"/>
    </w:rPr>
  </w:style>
  <w:style w:type="character" w:customStyle="1" w:styleId="TextkomentraChar1447">
    <w:name w:val="Text komentára Char1447"/>
    <w:aliases w:val="Char7 Char Char1448,Text komentára Char Char Char1448,Comment Text Char Char Char1448"/>
    <w:uiPriority w:val="99"/>
    <w:semiHidden/>
    <w:rsid w:val="00A809E7"/>
    <w:rPr>
      <w:rFonts w:ascii="Courier" w:hAnsi="Courier"/>
      <w:lang w:val="x-none" w:eastAsia="cs-CZ"/>
    </w:rPr>
  </w:style>
  <w:style w:type="character" w:customStyle="1" w:styleId="TextkomentraChar1446">
    <w:name w:val="Text komentára Char1446"/>
    <w:aliases w:val="Char7 Char Char1447,Text komentára Char Char Char1447,Comment Text Char Char Char1447"/>
    <w:uiPriority w:val="99"/>
    <w:semiHidden/>
    <w:rsid w:val="00A809E7"/>
    <w:rPr>
      <w:rFonts w:ascii="Courier" w:hAnsi="Courier"/>
      <w:lang w:val="x-none" w:eastAsia="cs-CZ"/>
    </w:rPr>
  </w:style>
  <w:style w:type="character" w:customStyle="1" w:styleId="TextkomentraChar1445">
    <w:name w:val="Text komentára Char1445"/>
    <w:aliases w:val="Char7 Char Char1446,Text komentára Char Char Char1446,Comment Text Char Char Char1446"/>
    <w:uiPriority w:val="99"/>
    <w:semiHidden/>
    <w:rsid w:val="00A809E7"/>
    <w:rPr>
      <w:rFonts w:ascii="Courier" w:hAnsi="Courier"/>
      <w:lang w:val="x-none" w:eastAsia="cs-CZ"/>
    </w:rPr>
  </w:style>
  <w:style w:type="character" w:customStyle="1" w:styleId="TextkomentraChar1444">
    <w:name w:val="Text komentára Char1444"/>
    <w:aliases w:val="Char7 Char Char1445,Text komentára Char Char Char1445,Comment Text Char Char Char1445"/>
    <w:uiPriority w:val="99"/>
    <w:semiHidden/>
    <w:rsid w:val="00A809E7"/>
    <w:rPr>
      <w:rFonts w:ascii="Courier" w:hAnsi="Courier"/>
      <w:lang w:val="x-none" w:eastAsia="cs-CZ"/>
    </w:rPr>
  </w:style>
  <w:style w:type="character" w:customStyle="1" w:styleId="TextkomentraChar1443">
    <w:name w:val="Text komentára Char1443"/>
    <w:aliases w:val="Char7 Char Char1444,Text komentára Char Char Char1444,Comment Text Char Char Char1444"/>
    <w:uiPriority w:val="99"/>
    <w:semiHidden/>
    <w:rsid w:val="00A809E7"/>
    <w:rPr>
      <w:rFonts w:ascii="Courier" w:hAnsi="Courier"/>
      <w:lang w:val="x-none" w:eastAsia="cs-CZ"/>
    </w:rPr>
  </w:style>
  <w:style w:type="character" w:customStyle="1" w:styleId="TextkomentraChar1442">
    <w:name w:val="Text komentára Char1442"/>
    <w:aliases w:val="Char7 Char Char1443,Text komentára Char Char Char1443,Comment Text Char Char Char1443"/>
    <w:uiPriority w:val="99"/>
    <w:semiHidden/>
    <w:rsid w:val="00A809E7"/>
    <w:rPr>
      <w:rFonts w:ascii="Courier" w:hAnsi="Courier"/>
      <w:lang w:val="x-none" w:eastAsia="cs-CZ"/>
    </w:rPr>
  </w:style>
  <w:style w:type="character" w:customStyle="1" w:styleId="TextkomentraChar1441">
    <w:name w:val="Text komentára Char1441"/>
    <w:aliases w:val="Char7 Char Char1442,Text komentára Char Char Char1442,Comment Text Char Char Char1442"/>
    <w:uiPriority w:val="99"/>
    <w:semiHidden/>
    <w:rsid w:val="00A809E7"/>
    <w:rPr>
      <w:rFonts w:ascii="Courier" w:hAnsi="Courier"/>
      <w:lang w:val="x-none" w:eastAsia="cs-CZ"/>
    </w:rPr>
  </w:style>
  <w:style w:type="character" w:customStyle="1" w:styleId="TextkomentraChar1440">
    <w:name w:val="Text komentára Char1440"/>
    <w:aliases w:val="Char7 Char Char1441,Text komentára Char Char Char1441,Comment Text Char Char Char1441"/>
    <w:uiPriority w:val="99"/>
    <w:semiHidden/>
    <w:rsid w:val="00A809E7"/>
    <w:rPr>
      <w:rFonts w:ascii="Courier" w:hAnsi="Courier"/>
      <w:lang w:val="x-none" w:eastAsia="cs-CZ"/>
    </w:rPr>
  </w:style>
  <w:style w:type="character" w:customStyle="1" w:styleId="TextkomentraChar1439">
    <w:name w:val="Text komentára Char1439"/>
    <w:aliases w:val="Char7 Char Char1440,Text komentára Char Char Char1440,Comment Text Char Char Char1440"/>
    <w:uiPriority w:val="99"/>
    <w:semiHidden/>
    <w:rsid w:val="00A809E7"/>
    <w:rPr>
      <w:rFonts w:ascii="Courier" w:hAnsi="Courier"/>
      <w:lang w:val="x-none" w:eastAsia="cs-CZ"/>
    </w:rPr>
  </w:style>
  <w:style w:type="character" w:customStyle="1" w:styleId="TextkomentraChar1438">
    <w:name w:val="Text komentára Char1438"/>
    <w:aliases w:val="Char7 Char Char1439,Text komentára Char Char Char1439,Comment Text Char Char Char1439"/>
    <w:uiPriority w:val="99"/>
    <w:semiHidden/>
    <w:rsid w:val="00A809E7"/>
    <w:rPr>
      <w:rFonts w:ascii="Courier" w:hAnsi="Courier"/>
      <w:lang w:val="x-none" w:eastAsia="cs-CZ"/>
    </w:rPr>
  </w:style>
  <w:style w:type="character" w:customStyle="1" w:styleId="TextkomentraChar1437">
    <w:name w:val="Text komentára Char1437"/>
    <w:aliases w:val="Char7 Char Char1438,Text komentára Char Char Char1438,Comment Text Char Char Char1438"/>
    <w:uiPriority w:val="99"/>
    <w:semiHidden/>
    <w:rsid w:val="00A809E7"/>
    <w:rPr>
      <w:rFonts w:ascii="Courier" w:hAnsi="Courier"/>
      <w:lang w:val="x-none" w:eastAsia="cs-CZ"/>
    </w:rPr>
  </w:style>
  <w:style w:type="character" w:customStyle="1" w:styleId="TextkomentraChar1436">
    <w:name w:val="Text komentára Char1436"/>
    <w:aliases w:val="Char7 Char Char1437,Text komentára Char Char Char1437,Comment Text Char Char Char1437"/>
    <w:uiPriority w:val="99"/>
    <w:semiHidden/>
    <w:rsid w:val="00A809E7"/>
    <w:rPr>
      <w:rFonts w:ascii="Courier" w:hAnsi="Courier"/>
      <w:lang w:val="x-none" w:eastAsia="cs-CZ"/>
    </w:rPr>
  </w:style>
  <w:style w:type="character" w:customStyle="1" w:styleId="TextkomentraChar1435">
    <w:name w:val="Text komentára Char1435"/>
    <w:aliases w:val="Char7 Char Char1436,Text komentára Char Char Char1436,Comment Text Char Char Char1436"/>
    <w:uiPriority w:val="99"/>
    <w:semiHidden/>
    <w:rsid w:val="00A809E7"/>
    <w:rPr>
      <w:rFonts w:ascii="Courier" w:hAnsi="Courier"/>
      <w:lang w:val="x-none" w:eastAsia="cs-CZ"/>
    </w:rPr>
  </w:style>
  <w:style w:type="character" w:customStyle="1" w:styleId="TextkomentraChar1434">
    <w:name w:val="Text komentára Char1434"/>
    <w:aliases w:val="Char7 Char Char1435,Text komentára Char Char Char1435,Comment Text Char Char Char1435"/>
    <w:uiPriority w:val="99"/>
    <w:semiHidden/>
    <w:rsid w:val="00A809E7"/>
    <w:rPr>
      <w:rFonts w:ascii="Courier" w:hAnsi="Courier"/>
      <w:lang w:val="x-none" w:eastAsia="cs-CZ"/>
    </w:rPr>
  </w:style>
  <w:style w:type="character" w:customStyle="1" w:styleId="TextkomentraChar1433">
    <w:name w:val="Text komentára Char1433"/>
    <w:aliases w:val="Char7 Char Char1434,Text komentára Char Char Char1434,Comment Text Char Char Char1434"/>
    <w:uiPriority w:val="99"/>
    <w:semiHidden/>
    <w:rsid w:val="00A809E7"/>
    <w:rPr>
      <w:rFonts w:ascii="Courier" w:hAnsi="Courier"/>
      <w:lang w:val="x-none" w:eastAsia="cs-CZ"/>
    </w:rPr>
  </w:style>
  <w:style w:type="character" w:customStyle="1" w:styleId="TextkomentraChar1432">
    <w:name w:val="Text komentára Char1432"/>
    <w:aliases w:val="Char7 Char Char1433,Text komentára Char Char Char1433,Comment Text Char Char Char1433"/>
    <w:uiPriority w:val="99"/>
    <w:semiHidden/>
    <w:rsid w:val="00A809E7"/>
    <w:rPr>
      <w:rFonts w:ascii="Courier" w:hAnsi="Courier"/>
      <w:lang w:val="x-none" w:eastAsia="cs-CZ"/>
    </w:rPr>
  </w:style>
  <w:style w:type="character" w:customStyle="1" w:styleId="TextkomentraChar1431">
    <w:name w:val="Text komentára Char1431"/>
    <w:aliases w:val="Char7 Char Char1432,Text komentára Char Char Char1432,Comment Text Char Char Char1432"/>
    <w:uiPriority w:val="99"/>
    <w:semiHidden/>
    <w:rsid w:val="00A809E7"/>
    <w:rPr>
      <w:rFonts w:ascii="Courier" w:hAnsi="Courier"/>
      <w:lang w:val="x-none" w:eastAsia="cs-CZ"/>
    </w:rPr>
  </w:style>
  <w:style w:type="character" w:customStyle="1" w:styleId="TextkomentraChar1430">
    <w:name w:val="Text komentára Char1430"/>
    <w:aliases w:val="Char7 Char Char1431,Text komentára Char Char Char1431,Comment Text Char Char Char1431"/>
    <w:uiPriority w:val="99"/>
    <w:semiHidden/>
    <w:rsid w:val="00A809E7"/>
    <w:rPr>
      <w:rFonts w:ascii="Courier" w:hAnsi="Courier"/>
      <w:lang w:val="x-none" w:eastAsia="cs-CZ"/>
    </w:rPr>
  </w:style>
  <w:style w:type="character" w:customStyle="1" w:styleId="TextkomentraChar1429">
    <w:name w:val="Text komentára Char1429"/>
    <w:aliases w:val="Char7 Char Char1430,Text komentára Char Char Char1430,Comment Text Char Char Char1430"/>
    <w:uiPriority w:val="99"/>
    <w:semiHidden/>
    <w:rsid w:val="00A809E7"/>
    <w:rPr>
      <w:rFonts w:ascii="Courier" w:hAnsi="Courier"/>
      <w:lang w:val="x-none" w:eastAsia="cs-CZ"/>
    </w:rPr>
  </w:style>
  <w:style w:type="character" w:customStyle="1" w:styleId="TextkomentraChar1428">
    <w:name w:val="Text komentára Char1428"/>
    <w:aliases w:val="Char7 Char Char1429,Text komentára Char Char Char1429,Comment Text Char Char Char1429"/>
    <w:uiPriority w:val="99"/>
    <w:semiHidden/>
    <w:rsid w:val="00A809E7"/>
    <w:rPr>
      <w:rFonts w:ascii="Courier" w:hAnsi="Courier"/>
      <w:lang w:val="x-none" w:eastAsia="cs-CZ"/>
    </w:rPr>
  </w:style>
  <w:style w:type="character" w:customStyle="1" w:styleId="TextkomentraChar1427">
    <w:name w:val="Text komentára Char1427"/>
    <w:aliases w:val="Char7 Char Char1428,Text komentára Char Char Char1428,Comment Text Char Char Char1428"/>
    <w:uiPriority w:val="99"/>
    <w:semiHidden/>
    <w:rsid w:val="00A809E7"/>
    <w:rPr>
      <w:rFonts w:ascii="Courier" w:hAnsi="Courier"/>
      <w:lang w:val="x-none" w:eastAsia="cs-CZ"/>
    </w:rPr>
  </w:style>
  <w:style w:type="character" w:customStyle="1" w:styleId="TextkomentraChar1426">
    <w:name w:val="Text komentára Char1426"/>
    <w:aliases w:val="Char7 Char Char1427,Text komentára Char Char Char1427,Comment Text Char Char Char1427"/>
    <w:uiPriority w:val="99"/>
    <w:semiHidden/>
    <w:rsid w:val="00A809E7"/>
    <w:rPr>
      <w:rFonts w:ascii="Courier" w:hAnsi="Courier"/>
      <w:lang w:val="x-none" w:eastAsia="cs-CZ"/>
    </w:rPr>
  </w:style>
  <w:style w:type="character" w:customStyle="1" w:styleId="TextkomentraChar1425">
    <w:name w:val="Text komentára Char1425"/>
    <w:aliases w:val="Char7 Char Char1426,Text komentára Char Char Char1426,Comment Text Char Char Char1426"/>
    <w:uiPriority w:val="99"/>
    <w:semiHidden/>
    <w:rsid w:val="00A809E7"/>
    <w:rPr>
      <w:rFonts w:ascii="Courier" w:hAnsi="Courier"/>
      <w:lang w:val="x-none" w:eastAsia="cs-CZ"/>
    </w:rPr>
  </w:style>
  <w:style w:type="character" w:customStyle="1" w:styleId="TextkomentraChar1424">
    <w:name w:val="Text komentára Char1424"/>
    <w:aliases w:val="Char7 Char Char1425,Text komentára Char Char Char1425,Comment Text Char Char Char1425"/>
    <w:uiPriority w:val="99"/>
    <w:semiHidden/>
    <w:rsid w:val="00A809E7"/>
    <w:rPr>
      <w:rFonts w:ascii="Courier" w:hAnsi="Courier"/>
      <w:lang w:val="x-none" w:eastAsia="cs-CZ"/>
    </w:rPr>
  </w:style>
  <w:style w:type="character" w:customStyle="1" w:styleId="TextkomentraChar1423">
    <w:name w:val="Text komentára Char1423"/>
    <w:aliases w:val="Char7 Char Char1424,Text komentára Char Char Char1424,Comment Text Char Char Char1424"/>
    <w:uiPriority w:val="99"/>
    <w:semiHidden/>
    <w:rsid w:val="00A809E7"/>
    <w:rPr>
      <w:rFonts w:ascii="Courier" w:hAnsi="Courier"/>
      <w:lang w:val="x-none" w:eastAsia="cs-CZ"/>
    </w:rPr>
  </w:style>
  <w:style w:type="character" w:customStyle="1" w:styleId="TextkomentraChar1422">
    <w:name w:val="Text komentára Char1422"/>
    <w:aliases w:val="Char7 Char Char1423,Text komentára Char Char Char1423,Comment Text Char Char Char1423"/>
    <w:uiPriority w:val="99"/>
    <w:semiHidden/>
    <w:rsid w:val="00A809E7"/>
    <w:rPr>
      <w:rFonts w:ascii="Courier" w:hAnsi="Courier"/>
      <w:lang w:val="x-none" w:eastAsia="cs-CZ"/>
    </w:rPr>
  </w:style>
  <w:style w:type="character" w:customStyle="1" w:styleId="TextkomentraChar1421">
    <w:name w:val="Text komentára Char1421"/>
    <w:aliases w:val="Char7 Char Char1422,Text komentára Char Char Char1422,Comment Text Char Char Char1422"/>
    <w:uiPriority w:val="99"/>
    <w:semiHidden/>
    <w:rsid w:val="00A809E7"/>
    <w:rPr>
      <w:rFonts w:ascii="Courier" w:hAnsi="Courier"/>
      <w:lang w:val="x-none" w:eastAsia="cs-CZ"/>
    </w:rPr>
  </w:style>
  <w:style w:type="character" w:customStyle="1" w:styleId="TextkomentraChar1420">
    <w:name w:val="Text komentára Char1420"/>
    <w:aliases w:val="Char7 Char Char1421,Text komentára Char Char Char1421,Comment Text Char Char Char1421"/>
    <w:uiPriority w:val="99"/>
    <w:semiHidden/>
    <w:rsid w:val="00A809E7"/>
    <w:rPr>
      <w:rFonts w:ascii="Courier" w:hAnsi="Courier"/>
      <w:lang w:val="x-none" w:eastAsia="cs-CZ"/>
    </w:rPr>
  </w:style>
  <w:style w:type="character" w:customStyle="1" w:styleId="TextkomentraChar1419">
    <w:name w:val="Text komentára Char1419"/>
    <w:aliases w:val="Char7 Char Char1420,Text komentára Char Char Char1420,Comment Text Char Char Char1420"/>
    <w:uiPriority w:val="99"/>
    <w:semiHidden/>
    <w:rsid w:val="00A809E7"/>
    <w:rPr>
      <w:rFonts w:ascii="Courier" w:hAnsi="Courier"/>
      <w:lang w:val="x-none" w:eastAsia="cs-CZ"/>
    </w:rPr>
  </w:style>
  <w:style w:type="character" w:customStyle="1" w:styleId="TextkomentraChar1418">
    <w:name w:val="Text komentára Char1418"/>
    <w:aliases w:val="Char7 Char Char1419,Text komentára Char Char Char1419,Comment Text Char Char Char1419"/>
    <w:uiPriority w:val="99"/>
    <w:semiHidden/>
    <w:rsid w:val="00A809E7"/>
    <w:rPr>
      <w:rFonts w:ascii="Courier" w:hAnsi="Courier"/>
      <w:lang w:val="x-none" w:eastAsia="cs-CZ"/>
    </w:rPr>
  </w:style>
  <w:style w:type="character" w:customStyle="1" w:styleId="TextkomentraChar1417">
    <w:name w:val="Text komentára Char1417"/>
    <w:aliases w:val="Char7 Char Char1418,Text komentára Char Char Char1418,Comment Text Char Char Char1418"/>
    <w:uiPriority w:val="99"/>
    <w:semiHidden/>
    <w:rsid w:val="00A809E7"/>
    <w:rPr>
      <w:rFonts w:ascii="Courier" w:hAnsi="Courier"/>
      <w:lang w:val="x-none" w:eastAsia="cs-CZ"/>
    </w:rPr>
  </w:style>
  <w:style w:type="character" w:customStyle="1" w:styleId="TextkomentraChar1416">
    <w:name w:val="Text komentára Char1416"/>
    <w:aliases w:val="Char7 Char Char1417,Text komentára Char Char Char1417,Comment Text Char Char Char1417"/>
    <w:uiPriority w:val="99"/>
    <w:semiHidden/>
    <w:rsid w:val="00A809E7"/>
    <w:rPr>
      <w:rFonts w:ascii="Courier" w:hAnsi="Courier"/>
      <w:lang w:val="x-none" w:eastAsia="cs-CZ"/>
    </w:rPr>
  </w:style>
  <w:style w:type="character" w:customStyle="1" w:styleId="TextkomentraChar1415">
    <w:name w:val="Text komentára Char1415"/>
    <w:aliases w:val="Char7 Char Char1416,Text komentára Char Char Char1416,Comment Text Char Char Char1416"/>
    <w:uiPriority w:val="99"/>
    <w:semiHidden/>
    <w:rsid w:val="00A809E7"/>
    <w:rPr>
      <w:rFonts w:ascii="Courier" w:hAnsi="Courier"/>
      <w:lang w:val="x-none" w:eastAsia="cs-CZ"/>
    </w:rPr>
  </w:style>
  <w:style w:type="character" w:customStyle="1" w:styleId="TextkomentraChar1414">
    <w:name w:val="Text komentára Char1414"/>
    <w:aliases w:val="Char7 Char Char1415,Text komentára Char Char Char1415,Comment Text Char Char Char1415"/>
    <w:uiPriority w:val="99"/>
    <w:semiHidden/>
    <w:rsid w:val="00A809E7"/>
    <w:rPr>
      <w:rFonts w:ascii="Courier" w:hAnsi="Courier"/>
      <w:lang w:val="x-none" w:eastAsia="cs-CZ"/>
    </w:rPr>
  </w:style>
  <w:style w:type="character" w:customStyle="1" w:styleId="TextkomentraChar1413">
    <w:name w:val="Text komentára Char1413"/>
    <w:aliases w:val="Char7 Char Char1414,Text komentára Char Char Char1414,Comment Text Char Char Char1414"/>
    <w:uiPriority w:val="99"/>
    <w:semiHidden/>
    <w:rsid w:val="00A809E7"/>
    <w:rPr>
      <w:rFonts w:ascii="Courier" w:hAnsi="Courier"/>
      <w:lang w:val="x-none" w:eastAsia="cs-CZ"/>
    </w:rPr>
  </w:style>
  <w:style w:type="character" w:customStyle="1" w:styleId="TextkomentraChar1412">
    <w:name w:val="Text komentára Char1412"/>
    <w:aliases w:val="Char7 Char Char1413,Text komentára Char Char Char1413,Comment Text Char Char Char1413"/>
    <w:uiPriority w:val="99"/>
    <w:semiHidden/>
    <w:rsid w:val="00A809E7"/>
    <w:rPr>
      <w:rFonts w:ascii="Courier" w:hAnsi="Courier"/>
      <w:lang w:val="x-none" w:eastAsia="cs-CZ"/>
    </w:rPr>
  </w:style>
  <w:style w:type="character" w:customStyle="1" w:styleId="TextkomentraChar1411">
    <w:name w:val="Text komentára Char1411"/>
    <w:aliases w:val="Char7 Char Char1412,Text komentára Char Char Char1412,Comment Text Char Char Char1412"/>
    <w:uiPriority w:val="99"/>
    <w:semiHidden/>
    <w:rsid w:val="00A809E7"/>
    <w:rPr>
      <w:rFonts w:ascii="Courier" w:hAnsi="Courier"/>
      <w:lang w:val="x-none" w:eastAsia="cs-CZ"/>
    </w:rPr>
  </w:style>
  <w:style w:type="character" w:customStyle="1" w:styleId="TextkomentraChar1410">
    <w:name w:val="Text komentára Char1410"/>
    <w:aliases w:val="Char7 Char Char1411,Text komentára Char Char Char1411,Comment Text Char Char Char1411"/>
    <w:uiPriority w:val="99"/>
    <w:semiHidden/>
    <w:rsid w:val="00A809E7"/>
    <w:rPr>
      <w:rFonts w:ascii="Courier" w:hAnsi="Courier"/>
      <w:lang w:val="x-none" w:eastAsia="cs-CZ"/>
    </w:rPr>
  </w:style>
  <w:style w:type="character" w:customStyle="1" w:styleId="TextkomentraChar1409">
    <w:name w:val="Text komentára Char1409"/>
    <w:aliases w:val="Char7 Char Char1410,Text komentára Char Char Char1410,Comment Text Char Char Char1410"/>
    <w:uiPriority w:val="99"/>
    <w:semiHidden/>
    <w:rsid w:val="00A809E7"/>
    <w:rPr>
      <w:rFonts w:ascii="Courier" w:hAnsi="Courier"/>
      <w:lang w:val="x-none" w:eastAsia="cs-CZ"/>
    </w:rPr>
  </w:style>
  <w:style w:type="character" w:customStyle="1" w:styleId="TextkomentraChar1408">
    <w:name w:val="Text komentára Char1408"/>
    <w:aliases w:val="Char7 Char Char1409,Text komentára Char Char Char1409,Comment Text Char Char Char1409"/>
    <w:uiPriority w:val="99"/>
    <w:semiHidden/>
    <w:rsid w:val="00A809E7"/>
    <w:rPr>
      <w:rFonts w:ascii="Courier" w:hAnsi="Courier"/>
      <w:lang w:val="x-none" w:eastAsia="cs-CZ"/>
    </w:rPr>
  </w:style>
  <w:style w:type="character" w:customStyle="1" w:styleId="TextkomentraChar1407">
    <w:name w:val="Text komentára Char1407"/>
    <w:aliases w:val="Char7 Char Char1408,Text komentára Char Char Char1408,Comment Text Char Char Char1408"/>
    <w:uiPriority w:val="99"/>
    <w:semiHidden/>
    <w:rsid w:val="00A809E7"/>
    <w:rPr>
      <w:rFonts w:ascii="Courier" w:hAnsi="Courier"/>
      <w:lang w:val="x-none" w:eastAsia="cs-CZ"/>
    </w:rPr>
  </w:style>
  <w:style w:type="character" w:customStyle="1" w:styleId="TextkomentraChar1406">
    <w:name w:val="Text komentára Char1406"/>
    <w:aliases w:val="Char7 Char Char1407,Text komentára Char Char Char1407,Comment Text Char Char Char1407"/>
    <w:uiPriority w:val="99"/>
    <w:semiHidden/>
    <w:rsid w:val="00A809E7"/>
    <w:rPr>
      <w:rFonts w:ascii="Courier" w:hAnsi="Courier"/>
      <w:lang w:val="x-none" w:eastAsia="cs-CZ"/>
    </w:rPr>
  </w:style>
  <w:style w:type="character" w:customStyle="1" w:styleId="TextkomentraChar1405">
    <w:name w:val="Text komentára Char1405"/>
    <w:aliases w:val="Char7 Char Char1406,Text komentára Char Char Char1406,Comment Text Char Char Char1406"/>
    <w:uiPriority w:val="99"/>
    <w:semiHidden/>
    <w:rsid w:val="00A809E7"/>
    <w:rPr>
      <w:rFonts w:ascii="Courier" w:hAnsi="Courier"/>
      <w:lang w:val="x-none" w:eastAsia="cs-CZ"/>
    </w:rPr>
  </w:style>
  <w:style w:type="character" w:customStyle="1" w:styleId="TextkomentraChar1404">
    <w:name w:val="Text komentára Char1404"/>
    <w:aliases w:val="Char7 Char Char1405,Text komentára Char Char Char1405,Comment Text Char Char Char1405"/>
    <w:uiPriority w:val="99"/>
    <w:semiHidden/>
    <w:rsid w:val="00A809E7"/>
    <w:rPr>
      <w:rFonts w:ascii="Courier" w:hAnsi="Courier"/>
      <w:lang w:val="x-none" w:eastAsia="cs-CZ"/>
    </w:rPr>
  </w:style>
  <w:style w:type="character" w:customStyle="1" w:styleId="TextkomentraChar1403">
    <w:name w:val="Text komentára Char1403"/>
    <w:aliases w:val="Char7 Char Char1404,Text komentára Char Char Char1404,Comment Text Char Char Char1404"/>
    <w:uiPriority w:val="99"/>
    <w:semiHidden/>
    <w:rsid w:val="00A809E7"/>
    <w:rPr>
      <w:rFonts w:ascii="Courier" w:hAnsi="Courier"/>
      <w:lang w:val="x-none" w:eastAsia="cs-CZ"/>
    </w:rPr>
  </w:style>
  <w:style w:type="character" w:customStyle="1" w:styleId="TextkomentraChar1402">
    <w:name w:val="Text komentára Char1402"/>
    <w:aliases w:val="Char7 Char Char1403,Text komentára Char Char Char1403,Comment Text Char Char Char1403"/>
    <w:uiPriority w:val="99"/>
    <w:semiHidden/>
    <w:rsid w:val="00A809E7"/>
    <w:rPr>
      <w:rFonts w:ascii="Courier" w:hAnsi="Courier"/>
      <w:lang w:val="x-none" w:eastAsia="cs-CZ"/>
    </w:rPr>
  </w:style>
  <w:style w:type="character" w:customStyle="1" w:styleId="TextkomentraChar1401">
    <w:name w:val="Text komentára Char1401"/>
    <w:aliases w:val="Char7 Char Char1402,Text komentára Char Char Char1402,Comment Text Char Char Char1402"/>
    <w:uiPriority w:val="99"/>
    <w:semiHidden/>
    <w:rsid w:val="00A809E7"/>
    <w:rPr>
      <w:rFonts w:ascii="Courier" w:hAnsi="Courier"/>
      <w:lang w:val="x-none" w:eastAsia="cs-CZ"/>
    </w:rPr>
  </w:style>
  <w:style w:type="character" w:customStyle="1" w:styleId="TextkomentraChar1400">
    <w:name w:val="Text komentára Char1400"/>
    <w:aliases w:val="Char7 Char Char1401,Text komentára Char Char Char1401,Comment Text Char Char Char1401"/>
    <w:uiPriority w:val="99"/>
    <w:semiHidden/>
    <w:rsid w:val="00A809E7"/>
    <w:rPr>
      <w:rFonts w:ascii="Courier" w:hAnsi="Courier"/>
      <w:lang w:val="x-none" w:eastAsia="cs-CZ"/>
    </w:rPr>
  </w:style>
  <w:style w:type="character" w:customStyle="1" w:styleId="TextkomentraChar1399">
    <w:name w:val="Text komentára Char1399"/>
    <w:aliases w:val="Char7 Char Char1400,Text komentára Char Char Char1400,Comment Text Char Char Char1400"/>
    <w:uiPriority w:val="99"/>
    <w:semiHidden/>
    <w:rsid w:val="00A809E7"/>
    <w:rPr>
      <w:rFonts w:ascii="Courier" w:hAnsi="Courier"/>
      <w:lang w:val="x-none" w:eastAsia="cs-CZ"/>
    </w:rPr>
  </w:style>
  <w:style w:type="character" w:customStyle="1" w:styleId="TextkomentraChar1398">
    <w:name w:val="Text komentára Char1398"/>
    <w:aliases w:val="Char7 Char Char1399,Text komentára Char Char Char1399,Comment Text Char Char Char1399"/>
    <w:uiPriority w:val="99"/>
    <w:semiHidden/>
    <w:rsid w:val="00A809E7"/>
    <w:rPr>
      <w:rFonts w:ascii="Courier" w:hAnsi="Courier"/>
      <w:lang w:val="x-none" w:eastAsia="cs-CZ"/>
    </w:rPr>
  </w:style>
  <w:style w:type="character" w:customStyle="1" w:styleId="TextkomentraChar1397">
    <w:name w:val="Text komentára Char1397"/>
    <w:aliases w:val="Char7 Char Char1398,Text komentára Char Char Char1398,Comment Text Char Char Char1398"/>
    <w:uiPriority w:val="99"/>
    <w:semiHidden/>
    <w:rsid w:val="00A809E7"/>
    <w:rPr>
      <w:rFonts w:ascii="Courier" w:hAnsi="Courier"/>
      <w:lang w:val="x-none" w:eastAsia="cs-CZ"/>
    </w:rPr>
  </w:style>
  <w:style w:type="character" w:customStyle="1" w:styleId="TextkomentraChar1396">
    <w:name w:val="Text komentára Char1396"/>
    <w:aliases w:val="Char7 Char Char1397,Text komentára Char Char Char1397,Comment Text Char Char Char1397"/>
    <w:uiPriority w:val="99"/>
    <w:semiHidden/>
    <w:rsid w:val="00A809E7"/>
    <w:rPr>
      <w:rFonts w:ascii="Courier" w:hAnsi="Courier"/>
      <w:lang w:val="x-none" w:eastAsia="cs-CZ"/>
    </w:rPr>
  </w:style>
  <w:style w:type="character" w:customStyle="1" w:styleId="TextkomentraChar1395">
    <w:name w:val="Text komentára Char1395"/>
    <w:aliases w:val="Char7 Char Char1396,Text komentára Char Char Char1396,Comment Text Char Char Char1396"/>
    <w:uiPriority w:val="99"/>
    <w:semiHidden/>
    <w:rsid w:val="00A809E7"/>
    <w:rPr>
      <w:rFonts w:ascii="Courier" w:hAnsi="Courier"/>
      <w:lang w:val="x-none" w:eastAsia="cs-CZ"/>
    </w:rPr>
  </w:style>
  <w:style w:type="character" w:customStyle="1" w:styleId="TextkomentraChar1394">
    <w:name w:val="Text komentára Char1394"/>
    <w:aliases w:val="Char7 Char Char1395,Text komentára Char Char Char1395,Comment Text Char Char Char1395"/>
    <w:uiPriority w:val="99"/>
    <w:semiHidden/>
    <w:rsid w:val="00A809E7"/>
    <w:rPr>
      <w:rFonts w:ascii="Courier" w:hAnsi="Courier"/>
      <w:lang w:val="x-none" w:eastAsia="cs-CZ"/>
    </w:rPr>
  </w:style>
  <w:style w:type="character" w:customStyle="1" w:styleId="TextkomentraChar1393">
    <w:name w:val="Text komentára Char1393"/>
    <w:aliases w:val="Char7 Char Char1394,Text komentára Char Char Char1394,Comment Text Char Char Char1394"/>
    <w:uiPriority w:val="99"/>
    <w:semiHidden/>
    <w:rsid w:val="00A809E7"/>
    <w:rPr>
      <w:rFonts w:ascii="Courier" w:hAnsi="Courier"/>
      <w:lang w:val="x-none" w:eastAsia="cs-CZ"/>
    </w:rPr>
  </w:style>
  <w:style w:type="character" w:customStyle="1" w:styleId="TextkomentraChar1392">
    <w:name w:val="Text komentára Char1392"/>
    <w:aliases w:val="Char7 Char Char1393,Text komentára Char Char Char1393,Comment Text Char Char Char1393"/>
    <w:uiPriority w:val="99"/>
    <w:semiHidden/>
    <w:rsid w:val="00A809E7"/>
    <w:rPr>
      <w:rFonts w:ascii="Courier" w:hAnsi="Courier"/>
      <w:lang w:val="x-none" w:eastAsia="cs-CZ"/>
    </w:rPr>
  </w:style>
  <w:style w:type="character" w:customStyle="1" w:styleId="TextkomentraChar1391">
    <w:name w:val="Text komentára Char1391"/>
    <w:aliases w:val="Char7 Char Char1392,Text komentára Char Char Char1392,Comment Text Char Char Char1392"/>
    <w:uiPriority w:val="99"/>
    <w:semiHidden/>
    <w:rsid w:val="00A809E7"/>
    <w:rPr>
      <w:rFonts w:ascii="Courier" w:hAnsi="Courier"/>
      <w:lang w:val="x-none" w:eastAsia="cs-CZ"/>
    </w:rPr>
  </w:style>
  <w:style w:type="character" w:customStyle="1" w:styleId="TextkomentraChar1390">
    <w:name w:val="Text komentára Char1390"/>
    <w:aliases w:val="Char7 Char Char1391,Text komentára Char Char Char1391,Comment Text Char Char Char1391"/>
    <w:uiPriority w:val="99"/>
    <w:semiHidden/>
    <w:rsid w:val="00A809E7"/>
    <w:rPr>
      <w:rFonts w:ascii="Courier" w:hAnsi="Courier"/>
      <w:lang w:val="x-none" w:eastAsia="cs-CZ"/>
    </w:rPr>
  </w:style>
  <w:style w:type="character" w:customStyle="1" w:styleId="TextkomentraChar1389">
    <w:name w:val="Text komentára Char1389"/>
    <w:aliases w:val="Char7 Char Char1390,Text komentára Char Char Char1390,Comment Text Char Char Char1390"/>
    <w:uiPriority w:val="99"/>
    <w:semiHidden/>
    <w:rsid w:val="00A809E7"/>
    <w:rPr>
      <w:rFonts w:ascii="Courier" w:hAnsi="Courier"/>
      <w:lang w:val="x-none" w:eastAsia="cs-CZ"/>
    </w:rPr>
  </w:style>
  <w:style w:type="character" w:customStyle="1" w:styleId="TextkomentraChar1388">
    <w:name w:val="Text komentára Char1388"/>
    <w:aliases w:val="Char7 Char Char1389,Text komentára Char Char Char1389,Comment Text Char Char Char1389"/>
    <w:uiPriority w:val="99"/>
    <w:semiHidden/>
    <w:rsid w:val="00A809E7"/>
    <w:rPr>
      <w:rFonts w:ascii="Courier" w:hAnsi="Courier"/>
      <w:lang w:val="x-none" w:eastAsia="cs-CZ"/>
    </w:rPr>
  </w:style>
  <w:style w:type="character" w:customStyle="1" w:styleId="TextkomentraChar1387">
    <w:name w:val="Text komentára Char1387"/>
    <w:aliases w:val="Char7 Char Char1388,Text komentára Char Char Char1388,Comment Text Char Char Char1388"/>
    <w:uiPriority w:val="99"/>
    <w:semiHidden/>
    <w:rsid w:val="00A809E7"/>
    <w:rPr>
      <w:rFonts w:ascii="Courier" w:hAnsi="Courier"/>
      <w:lang w:val="x-none" w:eastAsia="cs-CZ"/>
    </w:rPr>
  </w:style>
  <w:style w:type="character" w:customStyle="1" w:styleId="TextkomentraChar1386">
    <w:name w:val="Text komentára Char1386"/>
    <w:aliases w:val="Char7 Char Char1387,Text komentára Char Char Char1387,Comment Text Char Char Char1387"/>
    <w:uiPriority w:val="99"/>
    <w:semiHidden/>
    <w:rsid w:val="00A809E7"/>
    <w:rPr>
      <w:rFonts w:ascii="Courier" w:hAnsi="Courier"/>
      <w:lang w:val="x-none" w:eastAsia="cs-CZ"/>
    </w:rPr>
  </w:style>
  <w:style w:type="character" w:customStyle="1" w:styleId="TextkomentraChar1385">
    <w:name w:val="Text komentára Char1385"/>
    <w:aliases w:val="Char7 Char Char1386,Text komentára Char Char Char1386,Comment Text Char Char Char1386"/>
    <w:uiPriority w:val="99"/>
    <w:semiHidden/>
    <w:rsid w:val="00A809E7"/>
    <w:rPr>
      <w:rFonts w:ascii="Courier" w:hAnsi="Courier"/>
      <w:lang w:val="x-none" w:eastAsia="cs-CZ"/>
    </w:rPr>
  </w:style>
  <w:style w:type="character" w:customStyle="1" w:styleId="TextkomentraChar1384">
    <w:name w:val="Text komentára Char1384"/>
    <w:aliases w:val="Char7 Char Char1385,Text komentára Char Char Char1385,Comment Text Char Char Char1385"/>
    <w:uiPriority w:val="99"/>
    <w:semiHidden/>
    <w:rsid w:val="00A809E7"/>
    <w:rPr>
      <w:rFonts w:ascii="Courier" w:hAnsi="Courier"/>
      <w:lang w:val="x-none" w:eastAsia="cs-CZ"/>
    </w:rPr>
  </w:style>
  <w:style w:type="character" w:customStyle="1" w:styleId="TextkomentraChar1383">
    <w:name w:val="Text komentára Char1383"/>
    <w:aliases w:val="Char7 Char Char1384,Text komentára Char Char Char1384,Comment Text Char Char Char1384"/>
    <w:uiPriority w:val="99"/>
    <w:semiHidden/>
    <w:rsid w:val="00A809E7"/>
    <w:rPr>
      <w:rFonts w:ascii="Courier" w:hAnsi="Courier"/>
      <w:lang w:val="x-none" w:eastAsia="cs-CZ"/>
    </w:rPr>
  </w:style>
  <w:style w:type="character" w:customStyle="1" w:styleId="TextkomentraChar1382">
    <w:name w:val="Text komentára Char1382"/>
    <w:aliases w:val="Char7 Char Char1383,Text komentára Char Char Char1383,Comment Text Char Char Char1383"/>
    <w:uiPriority w:val="99"/>
    <w:semiHidden/>
    <w:rsid w:val="00A809E7"/>
    <w:rPr>
      <w:rFonts w:ascii="Courier" w:hAnsi="Courier"/>
      <w:lang w:val="x-none" w:eastAsia="cs-CZ"/>
    </w:rPr>
  </w:style>
  <w:style w:type="character" w:customStyle="1" w:styleId="TextkomentraChar1381">
    <w:name w:val="Text komentára Char1381"/>
    <w:aliases w:val="Char7 Char Char1382,Text komentára Char Char Char1382,Comment Text Char Char Char1382"/>
    <w:uiPriority w:val="99"/>
    <w:semiHidden/>
    <w:rsid w:val="00A809E7"/>
    <w:rPr>
      <w:rFonts w:ascii="Courier" w:hAnsi="Courier"/>
      <w:lang w:val="x-none" w:eastAsia="cs-CZ"/>
    </w:rPr>
  </w:style>
  <w:style w:type="character" w:customStyle="1" w:styleId="TextkomentraChar1380">
    <w:name w:val="Text komentára Char1380"/>
    <w:aliases w:val="Char7 Char Char1381,Text komentára Char Char Char1381,Comment Text Char Char Char1381"/>
    <w:uiPriority w:val="99"/>
    <w:semiHidden/>
    <w:rsid w:val="00A809E7"/>
    <w:rPr>
      <w:rFonts w:ascii="Courier" w:hAnsi="Courier"/>
      <w:lang w:val="x-none" w:eastAsia="cs-CZ"/>
    </w:rPr>
  </w:style>
  <w:style w:type="character" w:customStyle="1" w:styleId="TextkomentraChar1379">
    <w:name w:val="Text komentára Char1379"/>
    <w:aliases w:val="Char7 Char Char1380,Text komentára Char Char Char1380,Comment Text Char Char Char1380"/>
    <w:uiPriority w:val="99"/>
    <w:semiHidden/>
    <w:rsid w:val="00A809E7"/>
    <w:rPr>
      <w:rFonts w:ascii="Courier" w:hAnsi="Courier"/>
      <w:lang w:val="x-none" w:eastAsia="cs-CZ"/>
    </w:rPr>
  </w:style>
  <w:style w:type="character" w:customStyle="1" w:styleId="TextkomentraChar1378">
    <w:name w:val="Text komentára Char1378"/>
    <w:aliases w:val="Char7 Char Char1379,Text komentára Char Char Char1379,Comment Text Char Char Char1379"/>
    <w:uiPriority w:val="99"/>
    <w:semiHidden/>
    <w:rsid w:val="00A809E7"/>
    <w:rPr>
      <w:rFonts w:ascii="Courier" w:hAnsi="Courier"/>
      <w:lang w:val="x-none" w:eastAsia="cs-CZ"/>
    </w:rPr>
  </w:style>
  <w:style w:type="character" w:customStyle="1" w:styleId="TextkomentraChar1377">
    <w:name w:val="Text komentára Char1377"/>
    <w:aliases w:val="Char7 Char Char1378,Text komentára Char Char Char1378,Comment Text Char Char Char1378"/>
    <w:uiPriority w:val="99"/>
    <w:semiHidden/>
    <w:rsid w:val="00A809E7"/>
    <w:rPr>
      <w:rFonts w:ascii="Courier" w:hAnsi="Courier"/>
      <w:lang w:val="x-none" w:eastAsia="cs-CZ"/>
    </w:rPr>
  </w:style>
  <w:style w:type="character" w:customStyle="1" w:styleId="TextkomentraChar1376">
    <w:name w:val="Text komentára Char1376"/>
    <w:aliases w:val="Char7 Char Char1377,Text komentára Char Char Char1377,Comment Text Char Char Char1377"/>
    <w:uiPriority w:val="99"/>
    <w:semiHidden/>
    <w:rsid w:val="00A809E7"/>
    <w:rPr>
      <w:rFonts w:ascii="Courier" w:hAnsi="Courier"/>
      <w:lang w:val="x-none" w:eastAsia="cs-CZ"/>
    </w:rPr>
  </w:style>
  <w:style w:type="character" w:customStyle="1" w:styleId="TextkomentraChar1375">
    <w:name w:val="Text komentára Char1375"/>
    <w:aliases w:val="Char7 Char Char1376,Text komentára Char Char Char1376,Comment Text Char Char Char1376"/>
    <w:uiPriority w:val="99"/>
    <w:semiHidden/>
    <w:rsid w:val="00A809E7"/>
    <w:rPr>
      <w:rFonts w:ascii="Courier" w:hAnsi="Courier"/>
      <w:lang w:val="x-none" w:eastAsia="cs-CZ"/>
    </w:rPr>
  </w:style>
  <w:style w:type="character" w:customStyle="1" w:styleId="TextkomentraChar1374">
    <w:name w:val="Text komentára Char1374"/>
    <w:aliases w:val="Char7 Char Char1375,Text komentára Char Char Char1375,Comment Text Char Char Char1375"/>
    <w:uiPriority w:val="99"/>
    <w:semiHidden/>
    <w:rsid w:val="00A809E7"/>
    <w:rPr>
      <w:rFonts w:ascii="Courier" w:hAnsi="Courier"/>
      <w:lang w:val="x-none" w:eastAsia="cs-CZ"/>
    </w:rPr>
  </w:style>
  <w:style w:type="character" w:customStyle="1" w:styleId="TextkomentraChar1373">
    <w:name w:val="Text komentára Char1373"/>
    <w:aliases w:val="Char7 Char Char1374,Text komentára Char Char Char1374,Comment Text Char Char Char1374"/>
    <w:uiPriority w:val="99"/>
    <w:semiHidden/>
    <w:rsid w:val="00A809E7"/>
    <w:rPr>
      <w:rFonts w:ascii="Courier" w:hAnsi="Courier"/>
      <w:lang w:val="x-none" w:eastAsia="cs-CZ"/>
    </w:rPr>
  </w:style>
  <w:style w:type="character" w:customStyle="1" w:styleId="TextkomentraChar1372">
    <w:name w:val="Text komentára Char1372"/>
    <w:aliases w:val="Char7 Char Char1373,Text komentára Char Char Char1373,Comment Text Char Char Char1373"/>
    <w:uiPriority w:val="99"/>
    <w:semiHidden/>
    <w:rsid w:val="00A809E7"/>
    <w:rPr>
      <w:rFonts w:ascii="Courier" w:hAnsi="Courier"/>
      <w:lang w:val="x-none" w:eastAsia="cs-CZ"/>
    </w:rPr>
  </w:style>
  <w:style w:type="character" w:customStyle="1" w:styleId="TextkomentraChar1371">
    <w:name w:val="Text komentára Char1371"/>
    <w:aliases w:val="Char7 Char Char1372,Text komentára Char Char Char1372,Comment Text Char Char Char1372"/>
    <w:uiPriority w:val="99"/>
    <w:semiHidden/>
    <w:rsid w:val="00A809E7"/>
    <w:rPr>
      <w:rFonts w:ascii="Courier" w:hAnsi="Courier"/>
      <w:lang w:val="x-none" w:eastAsia="cs-CZ"/>
    </w:rPr>
  </w:style>
  <w:style w:type="character" w:customStyle="1" w:styleId="TextkomentraChar1370">
    <w:name w:val="Text komentára Char1370"/>
    <w:aliases w:val="Char7 Char Char1371,Text komentára Char Char Char1371,Comment Text Char Char Char1371"/>
    <w:uiPriority w:val="99"/>
    <w:semiHidden/>
    <w:rsid w:val="00A809E7"/>
    <w:rPr>
      <w:rFonts w:ascii="Courier" w:hAnsi="Courier"/>
      <w:lang w:val="x-none" w:eastAsia="cs-CZ"/>
    </w:rPr>
  </w:style>
  <w:style w:type="character" w:customStyle="1" w:styleId="TextkomentraChar1369">
    <w:name w:val="Text komentára Char1369"/>
    <w:aliases w:val="Char7 Char Char1370,Text komentára Char Char Char1370,Comment Text Char Char Char1370"/>
    <w:uiPriority w:val="99"/>
    <w:semiHidden/>
    <w:rsid w:val="00A809E7"/>
    <w:rPr>
      <w:rFonts w:ascii="Courier" w:hAnsi="Courier"/>
      <w:lang w:val="x-none" w:eastAsia="cs-CZ"/>
    </w:rPr>
  </w:style>
  <w:style w:type="character" w:customStyle="1" w:styleId="TextkomentraChar1368">
    <w:name w:val="Text komentára Char1368"/>
    <w:aliases w:val="Char7 Char Char1369,Text komentára Char Char Char1369,Comment Text Char Char Char1369"/>
    <w:uiPriority w:val="99"/>
    <w:semiHidden/>
    <w:rsid w:val="00A809E7"/>
    <w:rPr>
      <w:rFonts w:ascii="Courier" w:hAnsi="Courier"/>
      <w:lang w:val="x-none" w:eastAsia="cs-CZ"/>
    </w:rPr>
  </w:style>
  <w:style w:type="character" w:customStyle="1" w:styleId="TextkomentraChar1367">
    <w:name w:val="Text komentára Char1367"/>
    <w:aliases w:val="Char7 Char Char1368,Text komentára Char Char Char1368,Comment Text Char Char Char1368"/>
    <w:uiPriority w:val="99"/>
    <w:semiHidden/>
    <w:rsid w:val="00A809E7"/>
    <w:rPr>
      <w:rFonts w:ascii="Courier" w:hAnsi="Courier"/>
      <w:lang w:val="x-none" w:eastAsia="cs-CZ"/>
    </w:rPr>
  </w:style>
  <w:style w:type="character" w:customStyle="1" w:styleId="TextkomentraChar1366">
    <w:name w:val="Text komentára Char1366"/>
    <w:aliases w:val="Char7 Char Char1367,Text komentára Char Char Char1367,Comment Text Char Char Char1367"/>
    <w:uiPriority w:val="99"/>
    <w:semiHidden/>
    <w:rsid w:val="00A809E7"/>
    <w:rPr>
      <w:rFonts w:ascii="Courier" w:hAnsi="Courier"/>
      <w:lang w:val="x-none" w:eastAsia="cs-CZ"/>
    </w:rPr>
  </w:style>
  <w:style w:type="character" w:customStyle="1" w:styleId="TextkomentraChar1365">
    <w:name w:val="Text komentára Char1365"/>
    <w:aliases w:val="Char7 Char Char1366,Text komentára Char Char Char1366,Comment Text Char Char Char1366"/>
    <w:uiPriority w:val="99"/>
    <w:semiHidden/>
    <w:rsid w:val="00A809E7"/>
    <w:rPr>
      <w:rFonts w:ascii="Courier" w:hAnsi="Courier"/>
      <w:lang w:val="x-none" w:eastAsia="cs-CZ"/>
    </w:rPr>
  </w:style>
  <w:style w:type="character" w:customStyle="1" w:styleId="TextkomentraChar1364">
    <w:name w:val="Text komentára Char1364"/>
    <w:aliases w:val="Char7 Char Char1365,Text komentára Char Char Char1365,Comment Text Char Char Char1365"/>
    <w:uiPriority w:val="99"/>
    <w:semiHidden/>
    <w:rsid w:val="00A809E7"/>
    <w:rPr>
      <w:rFonts w:ascii="Courier" w:hAnsi="Courier"/>
      <w:lang w:val="x-none" w:eastAsia="cs-CZ"/>
    </w:rPr>
  </w:style>
  <w:style w:type="character" w:customStyle="1" w:styleId="TextkomentraChar1363">
    <w:name w:val="Text komentára Char1363"/>
    <w:aliases w:val="Char7 Char Char1364,Text komentára Char Char Char1364,Comment Text Char Char Char1364"/>
    <w:uiPriority w:val="99"/>
    <w:semiHidden/>
    <w:rsid w:val="00A809E7"/>
    <w:rPr>
      <w:rFonts w:ascii="Courier" w:hAnsi="Courier"/>
      <w:lang w:val="x-none" w:eastAsia="cs-CZ"/>
    </w:rPr>
  </w:style>
  <w:style w:type="character" w:customStyle="1" w:styleId="TextkomentraChar1362">
    <w:name w:val="Text komentára Char1362"/>
    <w:aliases w:val="Char7 Char Char1363,Text komentára Char Char Char1363,Comment Text Char Char Char1363"/>
    <w:uiPriority w:val="99"/>
    <w:semiHidden/>
    <w:rsid w:val="00A809E7"/>
    <w:rPr>
      <w:rFonts w:ascii="Courier" w:hAnsi="Courier"/>
      <w:lang w:val="x-none" w:eastAsia="cs-CZ"/>
    </w:rPr>
  </w:style>
  <w:style w:type="character" w:customStyle="1" w:styleId="TextkomentraChar1361">
    <w:name w:val="Text komentára Char1361"/>
    <w:aliases w:val="Char7 Char Char1362,Text komentára Char Char Char1362,Comment Text Char Char Char1362"/>
    <w:uiPriority w:val="99"/>
    <w:semiHidden/>
    <w:rsid w:val="00A809E7"/>
    <w:rPr>
      <w:rFonts w:ascii="Courier" w:hAnsi="Courier"/>
      <w:lang w:val="x-none" w:eastAsia="cs-CZ"/>
    </w:rPr>
  </w:style>
  <w:style w:type="character" w:customStyle="1" w:styleId="TextkomentraChar1360">
    <w:name w:val="Text komentára Char1360"/>
    <w:aliases w:val="Char7 Char Char1361,Text komentára Char Char Char1361,Comment Text Char Char Char1361"/>
    <w:uiPriority w:val="99"/>
    <w:semiHidden/>
    <w:rsid w:val="00A809E7"/>
    <w:rPr>
      <w:rFonts w:ascii="Courier" w:hAnsi="Courier"/>
      <w:lang w:val="x-none" w:eastAsia="cs-CZ"/>
    </w:rPr>
  </w:style>
  <w:style w:type="character" w:customStyle="1" w:styleId="TextkomentraChar1359">
    <w:name w:val="Text komentára Char1359"/>
    <w:aliases w:val="Char7 Char Char1360,Text komentára Char Char Char1360,Comment Text Char Char Char1360"/>
    <w:uiPriority w:val="99"/>
    <w:semiHidden/>
    <w:rsid w:val="00A809E7"/>
    <w:rPr>
      <w:rFonts w:ascii="Courier" w:hAnsi="Courier"/>
      <w:lang w:val="x-none" w:eastAsia="cs-CZ"/>
    </w:rPr>
  </w:style>
  <w:style w:type="character" w:customStyle="1" w:styleId="TextkomentraChar1358">
    <w:name w:val="Text komentára Char1358"/>
    <w:aliases w:val="Char7 Char Char1359,Text komentára Char Char Char1359,Comment Text Char Char Char1359"/>
    <w:uiPriority w:val="99"/>
    <w:semiHidden/>
    <w:rsid w:val="00A809E7"/>
    <w:rPr>
      <w:rFonts w:ascii="Courier" w:hAnsi="Courier"/>
      <w:lang w:val="x-none" w:eastAsia="cs-CZ"/>
    </w:rPr>
  </w:style>
  <w:style w:type="character" w:customStyle="1" w:styleId="TextkomentraChar1357">
    <w:name w:val="Text komentára Char1357"/>
    <w:aliases w:val="Char7 Char Char1358,Text komentára Char Char Char1358,Comment Text Char Char Char1358"/>
    <w:uiPriority w:val="99"/>
    <w:semiHidden/>
    <w:rsid w:val="00A809E7"/>
    <w:rPr>
      <w:rFonts w:ascii="Courier" w:hAnsi="Courier"/>
      <w:lang w:val="x-none" w:eastAsia="cs-CZ"/>
    </w:rPr>
  </w:style>
  <w:style w:type="character" w:customStyle="1" w:styleId="TextkomentraChar1356">
    <w:name w:val="Text komentára Char1356"/>
    <w:aliases w:val="Char7 Char Char1357,Text komentára Char Char Char1357,Comment Text Char Char Char1357"/>
    <w:uiPriority w:val="99"/>
    <w:semiHidden/>
    <w:rsid w:val="00A809E7"/>
    <w:rPr>
      <w:rFonts w:ascii="Courier" w:hAnsi="Courier"/>
      <w:lang w:val="x-none" w:eastAsia="cs-CZ"/>
    </w:rPr>
  </w:style>
  <w:style w:type="character" w:customStyle="1" w:styleId="TextkomentraChar1355">
    <w:name w:val="Text komentára Char1355"/>
    <w:aliases w:val="Char7 Char Char1356,Text komentára Char Char Char1356,Comment Text Char Char Char1356"/>
    <w:uiPriority w:val="99"/>
    <w:semiHidden/>
    <w:rsid w:val="00A809E7"/>
    <w:rPr>
      <w:rFonts w:ascii="Courier" w:hAnsi="Courier"/>
      <w:lang w:val="x-none" w:eastAsia="cs-CZ"/>
    </w:rPr>
  </w:style>
  <w:style w:type="character" w:customStyle="1" w:styleId="TextkomentraChar1354">
    <w:name w:val="Text komentára Char1354"/>
    <w:aliases w:val="Char7 Char Char1355,Text komentára Char Char Char1355,Comment Text Char Char Char1355"/>
    <w:uiPriority w:val="99"/>
    <w:semiHidden/>
    <w:rsid w:val="00A809E7"/>
    <w:rPr>
      <w:rFonts w:ascii="Courier" w:hAnsi="Courier"/>
      <w:lang w:val="x-none" w:eastAsia="cs-CZ"/>
    </w:rPr>
  </w:style>
  <w:style w:type="character" w:customStyle="1" w:styleId="TextkomentraChar1353">
    <w:name w:val="Text komentára Char1353"/>
    <w:aliases w:val="Char7 Char Char1354,Text komentára Char Char Char1354,Comment Text Char Char Char1354"/>
    <w:uiPriority w:val="99"/>
    <w:semiHidden/>
    <w:rsid w:val="00A809E7"/>
    <w:rPr>
      <w:rFonts w:ascii="Courier" w:hAnsi="Courier"/>
      <w:lang w:val="x-none" w:eastAsia="cs-CZ"/>
    </w:rPr>
  </w:style>
  <w:style w:type="character" w:customStyle="1" w:styleId="TextkomentraChar1352">
    <w:name w:val="Text komentára Char1352"/>
    <w:aliases w:val="Char7 Char Char1353,Text komentára Char Char Char1353,Comment Text Char Char Char1353"/>
    <w:uiPriority w:val="99"/>
    <w:semiHidden/>
    <w:rsid w:val="00A809E7"/>
    <w:rPr>
      <w:rFonts w:ascii="Courier" w:hAnsi="Courier"/>
      <w:lang w:val="x-none" w:eastAsia="cs-CZ"/>
    </w:rPr>
  </w:style>
  <w:style w:type="character" w:customStyle="1" w:styleId="TextkomentraChar1351">
    <w:name w:val="Text komentára Char1351"/>
    <w:aliases w:val="Char7 Char Char1352,Text komentára Char Char Char1352,Comment Text Char Char Char1352"/>
    <w:uiPriority w:val="99"/>
    <w:semiHidden/>
    <w:rsid w:val="00A809E7"/>
    <w:rPr>
      <w:rFonts w:ascii="Courier" w:hAnsi="Courier"/>
      <w:lang w:val="x-none" w:eastAsia="cs-CZ"/>
    </w:rPr>
  </w:style>
  <w:style w:type="character" w:customStyle="1" w:styleId="TextkomentraChar1350">
    <w:name w:val="Text komentára Char1350"/>
    <w:aliases w:val="Char7 Char Char1351,Text komentára Char Char Char1351,Comment Text Char Char Char1351"/>
    <w:uiPriority w:val="99"/>
    <w:semiHidden/>
    <w:rsid w:val="00A809E7"/>
    <w:rPr>
      <w:rFonts w:ascii="Courier" w:hAnsi="Courier"/>
      <w:lang w:val="x-none" w:eastAsia="cs-CZ"/>
    </w:rPr>
  </w:style>
  <w:style w:type="character" w:customStyle="1" w:styleId="TextkomentraChar1349">
    <w:name w:val="Text komentára Char1349"/>
    <w:aliases w:val="Char7 Char Char1350,Text komentára Char Char Char1350,Comment Text Char Char Char1350"/>
    <w:uiPriority w:val="99"/>
    <w:semiHidden/>
    <w:rsid w:val="00A809E7"/>
    <w:rPr>
      <w:rFonts w:ascii="Courier" w:hAnsi="Courier"/>
      <w:lang w:val="x-none" w:eastAsia="cs-CZ"/>
    </w:rPr>
  </w:style>
  <w:style w:type="character" w:customStyle="1" w:styleId="TextkomentraChar1348">
    <w:name w:val="Text komentára Char1348"/>
    <w:aliases w:val="Char7 Char Char1349,Text komentára Char Char Char1349,Comment Text Char Char Char1349"/>
    <w:uiPriority w:val="99"/>
    <w:semiHidden/>
    <w:rsid w:val="00A809E7"/>
    <w:rPr>
      <w:rFonts w:ascii="Courier" w:hAnsi="Courier"/>
      <w:lang w:val="x-none" w:eastAsia="cs-CZ"/>
    </w:rPr>
  </w:style>
  <w:style w:type="character" w:customStyle="1" w:styleId="TextkomentraChar1347">
    <w:name w:val="Text komentára Char1347"/>
    <w:aliases w:val="Char7 Char Char1348,Text komentára Char Char Char1348,Comment Text Char Char Char1348"/>
    <w:uiPriority w:val="99"/>
    <w:semiHidden/>
    <w:rsid w:val="00A809E7"/>
    <w:rPr>
      <w:rFonts w:ascii="Courier" w:hAnsi="Courier"/>
      <w:lang w:val="x-none" w:eastAsia="cs-CZ"/>
    </w:rPr>
  </w:style>
  <w:style w:type="character" w:customStyle="1" w:styleId="TextkomentraChar1346">
    <w:name w:val="Text komentára Char1346"/>
    <w:aliases w:val="Char7 Char Char1347,Text komentára Char Char Char1347,Comment Text Char Char Char1347"/>
    <w:uiPriority w:val="99"/>
    <w:semiHidden/>
    <w:rsid w:val="00A809E7"/>
    <w:rPr>
      <w:rFonts w:ascii="Courier" w:hAnsi="Courier"/>
      <w:lang w:val="x-none" w:eastAsia="cs-CZ"/>
    </w:rPr>
  </w:style>
  <w:style w:type="character" w:customStyle="1" w:styleId="TextkomentraChar1345">
    <w:name w:val="Text komentára Char1345"/>
    <w:aliases w:val="Char7 Char Char1346,Text komentára Char Char Char1346,Comment Text Char Char Char1346"/>
    <w:uiPriority w:val="99"/>
    <w:semiHidden/>
    <w:rsid w:val="00A809E7"/>
    <w:rPr>
      <w:rFonts w:ascii="Courier" w:hAnsi="Courier"/>
      <w:lang w:val="x-none" w:eastAsia="cs-CZ"/>
    </w:rPr>
  </w:style>
  <w:style w:type="character" w:customStyle="1" w:styleId="TextkomentraChar1344">
    <w:name w:val="Text komentára Char1344"/>
    <w:aliases w:val="Char7 Char Char1345,Text komentára Char Char Char1345,Comment Text Char Char Char1345"/>
    <w:uiPriority w:val="99"/>
    <w:semiHidden/>
    <w:rsid w:val="00A809E7"/>
    <w:rPr>
      <w:rFonts w:ascii="Courier" w:hAnsi="Courier"/>
      <w:lang w:val="x-none" w:eastAsia="cs-CZ"/>
    </w:rPr>
  </w:style>
  <w:style w:type="character" w:customStyle="1" w:styleId="TextkomentraChar1343">
    <w:name w:val="Text komentára Char1343"/>
    <w:aliases w:val="Char7 Char Char1344,Text komentára Char Char Char1344,Comment Text Char Char Char1344"/>
    <w:uiPriority w:val="99"/>
    <w:semiHidden/>
    <w:rsid w:val="00A809E7"/>
    <w:rPr>
      <w:rFonts w:ascii="Courier" w:hAnsi="Courier"/>
      <w:lang w:val="x-none" w:eastAsia="cs-CZ"/>
    </w:rPr>
  </w:style>
  <w:style w:type="character" w:customStyle="1" w:styleId="TextkomentraChar1342">
    <w:name w:val="Text komentára Char1342"/>
    <w:aliases w:val="Char7 Char Char1343,Text komentára Char Char Char1343,Comment Text Char Char Char1343"/>
    <w:uiPriority w:val="99"/>
    <w:semiHidden/>
    <w:rsid w:val="00A809E7"/>
    <w:rPr>
      <w:rFonts w:ascii="Courier" w:hAnsi="Courier"/>
      <w:lang w:val="x-none" w:eastAsia="cs-CZ"/>
    </w:rPr>
  </w:style>
  <w:style w:type="character" w:customStyle="1" w:styleId="TextkomentraChar1341">
    <w:name w:val="Text komentára Char1341"/>
    <w:aliases w:val="Char7 Char Char1342,Text komentára Char Char Char1342,Comment Text Char Char Char1342"/>
    <w:uiPriority w:val="99"/>
    <w:semiHidden/>
    <w:rsid w:val="00A809E7"/>
    <w:rPr>
      <w:rFonts w:ascii="Courier" w:hAnsi="Courier"/>
      <w:lang w:val="x-none" w:eastAsia="cs-CZ"/>
    </w:rPr>
  </w:style>
  <w:style w:type="character" w:customStyle="1" w:styleId="TextkomentraChar1340">
    <w:name w:val="Text komentára Char1340"/>
    <w:aliases w:val="Char7 Char Char1341,Text komentára Char Char Char1341,Comment Text Char Char Char1341"/>
    <w:uiPriority w:val="99"/>
    <w:semiHidden/>
    <w:rsid w:val="00A809E7"/>
    <w:rPr>
      <w:rFonts w:ascii="Courier" w:hAnsi="Courier"/>
      <w:lang w:val="x-none" w:eastAsia="cs-CZ"/>
    </w:rPr>
  </w:style>
  <w:style w:type="character" w:customStyle="1" w:styleId="TextkomentraChar1339">
    <w:name w:val="Text komentára Char1339"/>
    <w:aliases w:val="Char7 Char Char1340,Text komentára Char Char Char1340,Comment Text Char Char Char1340"/>
    <w:uiPriority w:val="99"/>
    <w:semiHidden/>
    <w:rsid w:val="00A809E7"/>
    <w:rPr>
      <w:rFonts w:ascii="Courier" w:hAnsi="Courier"/>
      <w:lang w:val="x-none" w:eastAsia="cs-CZ"/>
    </w:rPr>
  </w:style>
  <w:style w:type="character" w:customStyle="1" w:styleId="TextkomentraChar1338">
    <w:name w:val="Text komentára Char1338"/>
    <w:aliases w:val="Char7 Char Char1339,Text komentára Char Char Char1339,Comment Text Char Char Char1339"/>
    <w:uiPriority w:val="99"/>
    <w:semiHidden/>
    <w:rsid w:val="00A809E7"/>
    <w:rPr>
      <w:rFonts w:ascii="Courier" w:hAnsi="Courier"/>
      <w:lang w:val="x-none" w:eastAsia="cs-CZ"/>
    </w:rPr>
  </w:style>
  <w:style w:type="character" w:customStyle="1" w:styleId="TextkomentraChar1337">
    <w:name w:val="Text komentára Char1337"/>
    <w:aliases w:val="Char7 Char Char1338,Text komentára Char Char Char1338,Comment Text Char Char Char1338"/>
    <w:uiPriority w:val="99"/>
    <w:semiHidden/>
    <w:rsid w:val="00A809E7"/>
    <w:rPr>
      <w:rFonts w:ascii="Courier" w:hAnsi="Courier"/>
      <w:lang w:val="x-none" w:eastAsia="cs-CZ"/>
    </w:rPr>
  </w:style>
  <w:style w:type="character" w:customStyle="1" w:styleId="TextkomentraChar1336">
    <w:name w:val="Text komentára Char1336"/>
    <w:aliases w:val="Char7 Char Char1337,Text komentára Char Char Char1337,Comment Text Char Char Char1337"/>
    <w:uiPriority w:val="99"/>
    <w:semiHidden/>
    <w:rsid w:val="00A809E7"/>
    <w:rPr>
      <w:rFonts w:ascii="Courier" w:hAnsi="Courier"/>
      <w:lang w:val="x-none" w:eastAsia="cs-CZ"/>
    </w:rPr>
  </w:style>
  <w:style w:type="character" w:customStyle="1" w:styleId="TextkomentraChar1335">
    <w:name w:val="Text komentára Char1335"/>
    <w:aliases w:val="Char7 Char Char1336,Text komentára Char Char Char1336,Comment Text Char Char Char1336"/>
    <w:uiPriority w:val="99"/>
    <w:semiHidden/>
    <w:rsid w:val="00A809E7"/>
    <w:rPr>
      <w:rFonts w:ascii="Courier" w:hAnsi="Courier"/>
      <w:lang w:val="x-none" w:eastAsia="cs-CZ"/>
    </w:rPr>
  </w:style>
  <w:style w:type="character" w:customStyle="1" w:styleId="TextkomentraChar1334">
    <w:name w:val="Text komentára Char1334"/>
    <w:aliases w:val="Char7 Char Char1335,Text komentára Char Char Char1335,Comment Text Char Char Char1335"/>
    <w:uiPriority w:val="99"/>
    <w:semiHidden/>
    <w:rsid w:val="00A809E7"/>
    <w:rPr>
      <w:rFonts w:ascii="Courier" w:hAnsi="Courier"/>
      <w:lang w:val="x-none" w:eastAsia="cs-CZ"/>
    </w:rPr>
  </w:style>
  <w:style w:type="character" w:customStyle="1" w:styleId="TextkomentraChar1333">
    <w:name w:val="Text komentára Char1333"/>
    <w:aliases w:val="Char7 Char Char1334,Text komentára Char Char Char1334,Comment Text Char Char Char1334"/>
    <w:uiPriority w:val="99"/>
    <w:semiHidden/>
    <w:rsid w:val="00A809E7"/>
    <w:rPr>
      <w:rFonts w:ascii="Courier" w:hAnsi="Courier"/>
      <w:lang w:val="x-none" w:eastAsia="cs-CZ"/>
    </w:rPr>
  </w:style>
  <w:style w:type="character" w:customStyle="1" w:styleId="TextkomentraChar1332">
    <w:name w:val="Text komentára Char1332"/>
    <w:aliases w:val="Char7 Char Char1333,Text komentára Char Char Char1333,Comment Text Char Char Char1333"/>
    <w:uiPriority w:val="99"/>
    <w:semiHidden/>
    <w:rsid w:val="00A809E7"/>
    <w:rPr>
      <w:rFonts w:ascii="Courier" w:hAnsi="Courier"/>
      <w:lang w:val="x-none" w:eastAsia="cs-CZ"/>
    </w:rPr>
  </w:style>
  <w:style w:type="character" w:customStyle="1" w:styleId="TextkomentraChar1331">
    <w:name w:val="Text komentára Char1331"/>
    <w:aliases w:val="Char7 Char Char1332,Text komentára Char Char Char1332,Comment Text Char Char Char1332"/>
    <w:uiPriority w:val="99"/>
    <w:semiHidden/>
    <w:rsid w:val="00A809E7"/>
    <w:rPr>
      <w:rFonts w:ascii="Courier" w:hAnsi="Courier"/>
      <w:lang w:val="x-none" w:eastAsia="cs-CZ"/>
    </w:rPr>
  </w:style>
  <w:style w:type="character" w:customStyle="1" w:styleId="TextkomentraChar1330">
    <w:name w:val="Text komentára Char1330"/>
    <w:aliases w:val="Char7 Char Char1331,Text komentára Char Char Char1331,Comment Text Char Char Char1331"/>
    <w:uiPriority w:val="99"/>
    <w:semiHidden/>
    <w:rsid w:val="00A809E7"/>
    <w:rPr>
      <w:rFonts w:ascii="Courier" w:hAnsi="Courier"/>
      <w:lang w:val="x-none" w:eastAsia="cs-CZ"/>
    </w:rPr>
  </w:style>
  <w:style w:type="character" w:customStyle="1" w:styleId="TextkomentraChar1329">
    <w:name w:val="Text komentára Char1329"/>
    <w:aliases w:val="Char7 Char Char1330,Text komentára Char Char Char1330,Comment Text Char Char Char1330"/>
    <w:uiPriority w:val="99"/>
    <w:semiHidden/>
    <w:rsid w:val="00A809E7"/>
    <w:rPr>
      <w:rFonts w:ascii="Courier" w:hAnsi="Courier"/>
      <w:lang w:val="x-none" w:eastAsia="cs-CZ"/>
    </w:rPr>
  </w:style>
  <w:style w:type="character" w:customStyle="1" w:styleId="TextkomentraChar1328">
    <w:name w:val="Text komentára Char1328"/>
    <w:aliases w:val="Char7 Char Char1329,Text komentára Char Char Char1329,Comment Text Char Char Char1329"/>
    <w:uiPriority w:val="99"/>
    <w:semiHidden/>
    <w:rsid w:val="00A809E7"/>
    <w:rPr>
      <w:rFonts w:ascii="Courier" w:hAnsi="Courier"/>
      <w:lang w:val="x-none" w:eastAsia="cs-CZ"/>
    </w:rPr>
  </w:style>
  <w:style w:type="character" w:customStyle="1" w:styleId="TextkomentraChar1327">
    <w:name w:val="Text komentára Char1327"/>
    <w:aliases w:val="Char7 Char Char1328,Text komentára Char Char Char1328,Comment Text Char Char Char1328"/>
    <w:uiPriority w:val="99"/>
    <w:semiHidden/>
    <w:rsid w:val="00A809E7"/>
    <w:rPr>
      <w:rFonts w:ascii="Courier" w:hAnsi="Courier"/>
      <w:lang w:val="x-none" w:eastAsia="cs-CZ"/>
    </w:rPr>
  </w:style>
  <w:style w:type="character" w:customStyle="1" w:styleId="TextkomentraChar1326">
    <w:name w:val="Text komentára Char1326"/>
    <w:aliases w:val="Char7 Char Char1327,Text komentára Char Char Char1327,Comment Text Char Char Char1327"/>
    <w:uiPriority w:val="99"/>
    <w:semiHidden/>
    <w:rsid w:val="00A809E7"/>
    <w:rPr>
      <w:rFonts w:ascii="Courier" w:hAnsi="Courier"/>
      <w:lang w:val="x-none" w:eastAsia="cs-CZ"/>
    </w:rPr>
  </w:style>
  <w:style w:type="character" w:customStyle="1" w:styleId="TextkomentraChar1325">
    <w:name w:val="Text komentára Char1325"/>
    <w:aliases w:val="Char7 Char Char1326,Text komentára Char Char Char1326,Comment Text Char Char Char1326"/>
    <w:uiPriority w:val="99"/>
    <w:semiHidden/>
    <w:rsid w:val="00A809E7"/>
    <w:rPr>
      <w:rFonts w:ascii="Courier" w:hAnsi="Courier"/>
      <w:lang w:val="x-none" w:eastAsia="cs-CZ"/>
    </w:rPr>
  </w:style>
  <w:style w:type="character" w:customStyle="1" w:styleId="TextkomentraChar1324">
    <w:name w:val="Text komentára Char1324"/>
    <w:aliases w:val="Char7 Char Char1325,Text komentára Char Char Char1325,Comment Text Char Char Char1325"/>
    <w:uiPriority w:val="99"/>
    <w:semiHidden/>
    <w:rsid w:val="00A809E7"/>
    <w:rPr>
      <w:rFonts w:ascii="Courier" w:hAnsi="Courier"/>
      <w:lang w:val="x-none" w:eastAsia="cs-CZ"/>
    </w:rPr>
  </w:style>
  <w:style w:type="character" w:customStyle="1" w:styleId="TextkomentraChar1323">
    <w:name w:val="Text komentára Char1323"/>
    <w:aliases w:val="Char7 Char Char1324,Text komentára Char Char Char1324,Comment Text Char Char Char1324"/>
    <w:uiPriority w:val="99"/>
    <w:semiHidden/>
    <w:rsid w:val="00A809E7"/>
    <w:rPr>
      <w:rFonts w:ascii="Courier" w:hAnsi="Courier"/>
      <w:lang w:val="x-none" w:eastAsia="cs-CZ"/>
    </w:rPr>
  </w:style>
  <w:style w:type="character" w:customStyle="1" w:styleId="TextkomentraChar1322">
    <w:name w:val="Text komentára Char1322"/>
    <w:aliases w:val="Char7 Char Char1323,Text komentára Char Char Char1323,Comment Text Char Char Char1323"/>
    <w:uiPriority w:val="99"/>
    <w:semiHidden/>
    <w:rsid w:val="00A809E7"/>
    <w:rPr>
      <w:rFonts w:ascii="Courier" w:hAnsi="Courier"/>
      <w:lang w:val="x-none" w:eastAsia="cs-CZ"/>
    </w:rPr>
  </w:style>
  <w:style w:type="character" w:customStyle="1" w:styleId="TextkomentraChar1321">
    <w:name w:val="Text komentára Char1321"/>
    <w:aliases w:val="Char7 Char Char1322,Text komentára Char Char Char1322,Comment Text Char Char Char1322"/>
    <w:uiPriority w:val="99"/>
    <w:semiHidden/>
    <w:rsid w:val="00A809E7"/>
    <w:rPr>
      <w:rFonts w:ascii="Courier" w:hAnsi="Courier"/>
      <w:lang w:val="x-none" w:eastAsia="cs-CZ"/>
    </w:rPr>
  </w:style>
  <w:style w:type="character" w:customStyle="1" w:styleId="TextkomentraChar1320">
    <w:name w:val="Text komentára Char1320"/>
    <w:aliases w:val="Char7 Char Char1321,Text komentára Char Char Char1321,Comment Text Char Char Char1321"/>
    <w:uiPriority w:val="99"/>
    <w:semiHidden/>
    <w:rsid w:val="00A809E7"/>
    <w:rPr>
      <w:rFonts w:ascii="Courier" w:hAnsi="Courier"/>
      <w:lang w:val="x-none" w:eastAsia="cs-CZ"/>
    </w:rPr>
  </w:style>
  <w:style w:type="character" w:customStyle="1" w:styleId="TextkomentraChar1319">
    <w:name w:val="Text komentára Char1319"/>
    <w:aliases w:val="Char7 Char Char1320,Text komentára Char Char Char1320,Comment Text Char Char Char1320"/>
    <w:uiPriority w:val="99"/>
    <w:semiHidden/>
    <w:rsid w:val="00A809E7"/>
    <w:rPr>
      <w:rFonts w:ascii="Courier" w:hAnsi="Courier"/>
      <w:lang w:val="x-none" w:eastAsia="cs-CZ"/>
    </w:rPr>
  </w:style>
  <w:style w:type="character" w:customStyle="1" w:styleId="TextkomentraChar1318">
    <w:name w:val="Text komentára Char1318"/>
    <w:aliases w:val="Char7 Char Char1319,Text komentára Char Char Char1319,Comment Text Char Char Char1319"/>
    <w:uiPriority w:val="99"/>
    <w:semiHidden/>
    <w:rsid w:val="00A809E7"/>
    <w:rPr>
      <w:rFonts w:ascii="Courier" w:hAnsi="Courier"/>
      <w:lang w:val="x-none" w:eastAsia="cs-CZ"/>
    </w:rPr>
  </w:style>
  <w:style w:type="character" w:customStyle="1" w:styleId="TextkomentraChar1317">
    <w:name w:val="Text komentára Char1317"/>
    <w:aliases w:val="Char7 Char Char1318,Text komentára Char Char Char1318,Comment Text Char Char Char1318"/>
    <w:uiPriority w:val="99"/>
    <w:semiHidden/>
    <w:rsid w:val="00A809E7"/>
    <w:rPr>
      <w:rFonts w:ascii="Courier" w:hAnsi="Courier"/>
      <w:lang w:val="x-none" w:eastAsia="cs-CZ"/>
    </w:rPr>
  </w:style>
  <w:style w:type="character" w:customStyle="1" w:styleId="TextkomentraChar1316">
    <w:name w:val="Text komentára Char1316"/>
    <w:aliases w:val="Char7 Char Char1317,Text komentára Char Char Char1317,Comment Text Char Char Char1317"/>
    <w:uiPriority w:val="99"/>
    <w:semiHidden/>
    <w:rsid w:val="00A809E7"/>
    <w:rPr>
      <w:rFonts w:ascii="Courier" w:hAnsi="Courier"/>
      <w:lang w:val="x-none" w:eastAsia="cs-CZ"/>
    </w:rPr>
  </w:style>
  <w:style w:type="character" w:customStyle="1" w:styleId="TextkomentraChar1315">
    <w:name w:val="Text komentára Char1315"/>
    <w:aliases w:val="Char7 Char Char1316,Text komentára Char Char Char1316,Comment Text Char Char Char1316"/>
    <w:uiPriority w:val="99"/>
    <w:semiHidden/>
    <w:rsid w:val="00A809E7"/>
    <w:rPr>
      <w:rFonts w:ascii="Courier" w:hAnsi="Courier"/>
      <w:lang w:val="x-none" w:eastAsia="cs-CZ"/>
    </w:rPr>
  </w:style>
  <w:style w:type="character" w:customStyle="1" w:styleId="TextkomentraChar1314">
    <w:name w:val="Text komentára Char1314"/>
    <w:aliases w:val="Char7 Char Char1315,Text komentára Char Char Char1315,Comment Text Char Char Char1315"/>
    <w:uiPriority w:val="99"/>
    <w:semiHidden/>
    <w:rsid w:val="00A809E7"/>
    <w:rPr>
      <w:rFonts w:ascii="Courier" w:hAnsi="Courier"/>
      <w:lang w:val="x-none" w:eastAsia="cs-CZ"/>
    </w:rPr>
  </w:style>
  <w:style w:type="character" w:customStyle="1" w:styleId="TextkomentraChar1313">
    <w:name w:val="Text komentára Char1313"/>
    <w:aliases w:val="Char7 Char Char1314,Text komentára Char Char Char1314,Comment Text Char Char Char1314"/>
    <w:uiPriority w:val="99"/>
    <w:semiHidden/>
    <w:rsid w:val="00A809E7"/>
    <w:rPr>
      <w:rFonts w:ascii="Courier" w:hAnsi="Courier"/>
      <w:lang w:val="x-none" w:eastAsia="cs-CZ"/>
    </w:rPr>
  </w:style>
  <w:style w:type="character" w:customStyle="1" w:styleId="TextkomentraChar1312">
    <w:name w:val="Text komentára Char1312"/>
    <w:aliases w:val="Char7 Char Char1313,Text komentára Char Char Char1313,Comment Text Char Char Char1313"/>
    <w:uiPriority w:val="99"/>
    <w:semiHidden/>
    <w:rsid w:val="00A809E7"/>
    <w:rPr>
      <w:rFonts w:ascii="Courier" w:hAnsi="Courier"/>
      <w:lang w:val="x-none" w:eastAsia="cs-CZ"/>
    </w:rPr>
  </w:style>
  <w:style w:type="character" w:customStyle="1" w:styleId="TextkomentraChar1311">
    <w:name w:val="Text komentára Char1311"/>
    <w:aliases w:val="Char7 Char Char1312,Text komentára Char Char Char1312,Comment Text Char Char Char1312"/>
    <w:uiPriority w:val="99"/>
    <w:semiHidden/>
    <w:rsid w:val="00A809E7"/>
    <w:rPr>
      <w:rFonts w:ascii="Courier" w:hAnsi="Courier"/>
      <w:lang w:val="x-none" w:eastAsia="cs-CZ"/>
    </w:rPr>
  </w:style>
  <w:style w:type="character" w:customStyle="1" w:styleId="TextkomentraChar1310">
    <w:name w:val="Text komentára Char1310"/>
    <w:aliases w:val="Char7 Char Char1311,Text komentára Char Char Char1311,Comment Text Char Char Char1311"/>
    <w:uiPriority w:val="99"/>
    <w:semiHidden/>
    <w:rsid w:val="00A809E7"/>
    <w:rPr>
      <w:rFonts w:ascii="Courier" w:hAnsi="Courier"/>
      <w:lang w:val="x-none" w:eastAsia="cs-CZ"/>
    </w:rPr>
  </w:style>
  <w:style w:type="character" w:customStyle="1" w:styleId="TextkomentraChar1309">
    <w:name w:val="Text komentára Char1309"/>
    <w:aliases w:val="Char7 Char Char1310,Text komentára Char Char Char1310,Comment Text Char Char Char1310"/>
    <w:uiPriority w:val="99"/>
    <w:semiHidden/>
    <w:rsid w:val="00A809E7"/>
    <w:rPr>
      <w:rFonts w:ascii="Courier" w:hAnsi="Courier"/>
      <w:lang w:val="x-none" w:eastAsia="cs-CZ"/>
    </w:rPr>
  </w:style>
  <w:style w:type="character" w:customStyle="1" w:styleId="TextkomentraChar1308">
    <w:name w:val="Text komentára Char1308"/>
    <w:aliases w:val="Char7 Char Char1309,Text komentára Char Char Char1309,Comment Text Char Char Char1309"/>
    <w:uiPriority w:val="99"/>
    <w:semiHidden/>
    <w:rsid w:val="00A809E7"/>
    <w:rPr>
      <w:rFonts w:ascii="Courier" w:hAnsi="Courier"/>
      <w:lang w:val="x-none" w:eastAsia="cs-CZ"/>
    </w:rPr>
  </w:style>
  <w:style w:type="character" w:customStyle="1" w:styleId="TextkomentraChar1307">
    <w:name w:val="Text komentára Char1307"/>
    <w:aliases w:val="Char7 Char Char1308,Text komentára Char Char Char1308,Comment Text Char Char Char1308"/>
    <w:uiPriority w:val="99"/>
    <w:semiHidden/>
    <w:rsid w:val="00A809E7"/>
    <w:rPr>
      <w:rFonts w:ascii="Courier" w:hAnsi="Courier"/>
      <w:lang w:val="x-none" w:eastAsia="cs-CZ"/>
    </w:rPr>
  </w:style>
  <w:style w:type="character" w:customStyle="1" w:styleId="TextkomentraChar1306">
    <w:name w:val="Text komentára Char1306"/>
    <w:aliases w:val="Char7 Char Char1307,Text komentára Char Char Char1307,Comment Text Char Char Char1307"/>
    <w:uiPriority w:val="99"/>
    <w:semiHidden/>
    <w:rsid w:val="00A809E7"/>
    <w:rPr>
      <w:rFonts w:ascii="Courier" w:hAnsi="Courier"/>
      <w:lang w:val="x-none" w:eastAsia="cs-CZ"/>
    </w:rPr>
  </w:style>
  <w:style w:type="character" w:customStyle="1" w:styleId="TextkomentraChar1305">
    <w:name w:val="Text komentára Char1305"/>
    <w:aliases w:val="Char7 Char Char1306,Text komentára Char Char Char1306,Comment Text Char Char Char1306"/>
    <w:uiPriority w:val="99"/>
    <w:semiHidden/>
    <w:rsid w:val="00A809E7"/>
    <w:rPr>
      <w:rFonts w:ascii="Courier" w:hAnsi="Courier"/>
      <w:lang w:val="x-none" w:eastAsia="cs-CZ"/>
    </w:rPr>
  </w:style>
  <w:style w:type="character" w:customStyle="1" w:styleId="TextkomentraChar1304">
    <w:name w:val="Text komentára Char1304"/>
    <w:aliases w:val="Char7 Char Char1305,Text komentára Char Char Char1305,Comment Text Char Char Char1305"/>
    <w:uiPriority w:val="99"/>
    <w:semiHidden/>
    <w:rsid w:val="00A809E7"/>
    <w:rPr>
      <w:rFonts w:ascii="Courier" w:hAnsi="Courier"/>
      <w:lang w:val="x-none" w:eastAsia="cs-CZ"/>
    </w:rPr>
  </w:style>
  <w:style w:type="character" w:customStyle="1" w:styleId="TextkomentraChar1303">
    <w:name w:val="Text komentára Char1303"/>
    <w:aliases w:val="Char7 Char Char1304,Text komentára Char Char Char1304,Comment Text Char Char Char1304"/>
    <w:uiPriority w:val="99"/>
    <w:semiHidden/>
    <w:rsid w:val="00A809E7"/>
    <w:rPr>
      <w:rFonts w:ascii="Courier" w:hAnsi="Courier"/>
      <w:lang w:val="x-none" w:eastAsia="cs-CZ"/>
    </w:rPr>
  </w:style>
  <w:style w:type="character" w:customStyle="1" w:styleId="TextkomentraChar1302">
    <w:name w:val="Text komentára Char1302"/>
    <w:aliases w:val="Char7 Char Char1303,Text komentára Char Char Char1303,Comment Text Char Char Char1303"/>
    <w:uiPriority w:val="99"/>
    <w:semiHidden/>
    <w:rsid w:val="00A809E7"/>
    <w:rPr>
      <w:rFonts w:ascii="Courier" w:hAnsi="Courier"/>
      <w:lang w:val="x-none" w:eastAsia="cs-CZ"/>
    </w:rPr>
  </w:style>
  <w:style w:type="character" w:customStyle="1" w:styleId="TextkomentraChar1301">
    <w:name w:val="Text komentára Char1301"/>
    <w:aliases w:val="Char7 Char Char1302,Text komentára Char Char Char1302,Comment Text Char Char Char1302"/>
    <w:uiPriority w:val="99"/>
    <w:semiHidden/>
    <w:rsid w:val="00A809E7"/>
    <w:rPr>
      <w:rFonts w:ascii="Courier" w:hAnsi="Courier"/>
      <w:lang w:val="x-none" w:eastAsia="cs-CZ"/>
    </w:rPr>
  </w:style>
  <w:style w:type="character" w:customStyle="1" w:styleId="TextkomentraChar1300">
    <w:name w:val="Text komentára Char1300"/>
    <w:aliases w:val="Char7 Char Char1301,Text komentára Char Char Char1301,Comment Text Char Char Char1301"/>
    <w:uiPriority w:val="99"/>
    <w:semiHidden/>
    <w:rsid w:val="00A809E7"/>
    <w:rPr>
      <w:rFonts w:ascii="Courier" w:hAnsi="Courier"/>
      <w:lang w:val="x-none" w:eastAsia="cs-CZ"/>
    </w:rPr>
  </w:style>
  <w:style w:type="character" w:customStyle="1" w:styleId="TextkomentraChar1299">
    <w:name w:val="Text komentára Char1299"/>
    <w:aliases w:val="Char7 Char Char1300,Text komentára Char Char Char1300,Comment Text Char Char Char1300"/>
    <w:uiPriority w:val="99"/>
    <w:semiHidden/>
    <w:rsid w:val="00A809E7"/>
    <w:rPr>
      <w:rFonts w:ascii="Courier" w:hAnsi="Courier"/>
      <w:lang w:val="x-none" w:eastAsia="cs-CZ"/>
    </w:rPr>
  </w:style>
  <w:style w:type="character" w:customStyle="1" w:styleId="TextkomentraChar1298">
    <w:name w:val="Text komentára Char1298"/>
    <w:aliases w:val="Char7 Char Char1299,Text komentára Char Char Char1299,Comment Text Char Char Char1299"/>
    <w:uiPriority w:val="99"/>
    <w:semiHidden/>
    <w:rsid w:val="00A809E7"/>
    <w:rPr>
      <w:rFonts w:ascii="Courier" w:hAnsi="Courier"/>
      <w:lang w:val="x-none" w:eastAsia="cs-CZ"/>
    </w:rPr>
  </w:style>
  <w:style w:type="character" w:customStyle="1" w:styleId="TextkomentraChar1297">
    <w:name w:val="Text komentára Char1297"/>
    <w:aliases w:val="Char7 Char Char1298,Text komentára Char Char Char1298,Comment Text Char Char Char1298"/>
    <w:uiPriority w:val="99"/>
    <w:semiHidden/>
    <w:rsid w:val="00A809E7"/>
    <w:rPr>
      <w:rFonts w:ascii="Courier" w:hAnsi="Courier"/>
      <w:lang w:val="x-none" w:eastAsia="cs-CZ"/>
    </w:rPr>
  </w:style>
  <w:style w:type="character" w:customStyle="1" w:styleId="TextkomentraChar1296">
    <w:name w:val="Text komentára Char1296"/>
    <w:aliases w:val="Char7 Char Char1297,Text komentára Char Char Char1297,Comment Text Char Char Char1297"/>
    <w:uiPriority w:val="99"/>
    <w:semiHidden/>
    <w:rsid w:val="00A809E7"/>
    <w:rPr>
      <w:rFonts w:ascii="Courier" w:hAnsi="Courier"/>
      <w:lang w:val="x-none" w:eastAsia="cs-CZ"/>
    </w:rPr>
  </w:style>
  <w:style w:type="character" w:customStyle="1" w:styleId="TextkomentraChar1295">
    <w:name w:val="Text komentára Char1295"/>
    <w:aliases w:val="Char7 Char Char1296,Text komentára Char Char Char1296,Comment Text Char Char Char1296"/>
    <w:uiPriority w:val="99"/>
    <w:semiHidden/>
    <w:rsid w:val="00A809E7"/>
    <w:rPr>
      <w:rFonts w:ascii="Courier" w:hAnsi="Courier"/>
      <w:lang w:val="x-none" w:eastAsia="cs-CZ"/>
    </w:rPr>
  </w:style>
  <w:style w:type="character" w:customStyle="1" w:styleId="TextkomentraChar1294">
    <w:name w:val="Text komentára Char1294"/>
    <w:aliases w:val="Char7 Char Char1295,Text komentára Char Char Char1295,Comment Text Char Char Char1295"/>
    <w:uiPriority w:val="99"/>
    <w:semiHidden/>
    <w:rsid w:val="00A809E7"/>
    <w:rPr>
      <w:rFonts w:ascii="Courier" w:hAnsi="Courier"/>
      <w:lang w:val="x-none" w:eastAsia="cs-CZ"/>
    </w:rPr>
  </w:style>
  <w:style w:type="character" w:customStyle="1" w:styleId="TextkomentraChar1293">
    <w:name w:val="Text komentára Char1293"/>
    <w:aliases w:val="Char7 Char Char1294,Text komentára Char Char Char1294,Comment Text Char Char Char1294"/>
    <w:uiPriority w:val="99"/>
    <w:semiHidden/>
    <w:rsid w:val="00A809E7"/>
    <w:rPr>
      <w:rFonts w:ascii="Courier" w:hAnsi="Courier"/>
      <w:lang w:val="x-none" w:eastAsia="cs-CZ"/>
    </w:rPr>
  </w:style>
  <w:style w:type="character" w:customStyle="1" w:styleId="TextkomentraChar1292">
    <w:name w:val="Text komentára Char1292"/>
    <w:aliases w:val="Char7 Char Char1293,Text komentára Char Char Char1293,Comment Text Char Char Char1293"/>
    <w:uiPriority w:val="99"/>
    <w:semiHidden/>
    <w:rsid w:val="00A809E7"/>
    <w:rPr>
      <w:rFonts w:ascii="Courier" w:hAnsi="Courier"/>
      <w:lang w:val="x-none" w:eastAsia="cs-CZ"/>
    </w:rPr>
  </w:style>
  <w:style w:type="character" w:customStyle="1" w:styleId="TextkomentraChar1291">
    <w:name w:val="Text komentára Char1291"/>
    <w:aliases w:val="Char7 Char Char1292,Text komentára Char Char Char1292,Comment Text Char Char Char1292"/>
    <w:uiPriority w:val="99"/>
    <w:semiHidden/>
    <w:rsid w:val="00A809E7"/>
    <w:rPr>
      <w:rFonts w:ascii="Courier" w:hAnsi="Courier"/>
      <w:lang w:val="x-none" w:eastAsia="cs-CZ"/>
    </w:rPr>
  </w:style>
  <w:style w:type="character" w:customStyle="1" w:styleId="TextkomentraChar1290">
    <w:name w:val="Text komentára Char1290"/>
    <w:aliases w:val="Char7 Char Char1291,Text komentára Char Char Char1291,Comment Text Char Char Char1291"/>
    <w:uiPriority w:val="99"/>
    <w:semiHidden/>
    <w:rsid w:val="00A809E7"/>
    <w:rPr>
      <w:rFonts w:ascii="Courier" w:hAnsi="Courier"/>
      <w:lang w:val="x-none" w:eastAsia="cs-CZ"/>
    </w:rPr>
  </w:style>
  <w:style w:type="character" w:customStyle="1" w:styleId="TextkomentraChar1289">
    <w:name w:val="Text komentára Char1289"/>
    <w:aliases w:val="Char7 Char Char1290,Text komentára Char Char Char1290,Comment Text Char Char Char1290"/>
    <w:uiPriority w:val="99"/>
    <w:semiHidden/>
    <w:rsid w:val="00A809E7"/>
    <w:rPr>
      <w:rFonts w:ascii="Courier" w:hAnsi="Courier"/>
      <w:lang w:val="x-none" w:eastAsia="cs-CZ"/>
    </w:rPr>
  </w:style>
  <w:style w:type="character" w:customStyle="1" w:styleId="TextkomentraChar1288">
    <w:name w:val="Text komentára Char1288"/>
    <w:aliases w:val="Char7 Char Char1289,Text komentára Char Char Char1289,Comment Text Char Char Char1289"/>
    <w:uiPriority w:val="99"/>
    <w:semiHidden/>
    <w:rsid w:val="00A809E7"/>
    <w:rPr>
      <w:rFonts w:ascii="Courier" w:hAnsi="Courier"/>
      <w:lang w:val="x-none" w:eastAsia="cs-CZ"/>
    </w:rPr>
  </w:style>
  <w:style w:type="character" w:customStyle="1" w:styleId="TextkomentraChar1287">
    <w:name w:val="Text komentára Char1287"/>
    <w:aliases w:val="Char7 Char Char1288,Text komentára Char Char Char1288,Comment Text Char Char Char1288"/>
    <w:uiPriority w:val="99"/>
    <w:semiHidden/>
    <w:rsid w:val="00A809E7"/>
    <w:rPr>
      <w:rFonts w:ascii="Courier" w:hAnsi="Courier"/>
      <w:lang w:val="x-none" w:eastAsia="cs-CZ"/>
    </w:rPr>
  </w:style>
  <w:style w:type="character" w:customStyle="1" w:styleId="TextkomentraChar1286">
    <w:name w:val="Text komentára Char1286"/>
    <w:aliases w:val="Char7 Char Char1287,Text komentára Char Char Char1287,Comment Text Char Char Char1287"/>
    <w:uiPriority w:val="99"/>
    <w:semiHidden/>
    <w:rsid w:val="00A809E7"/>
    <w:rPr>
      <w:rFonts w:ascii="Courier" w:hAnsi="Courier"/>
      <w:lang w:val="x-none" w:eastAsia="cs-CZ"/>
    </w:rPr>
  </w:style>
  <w:style w:type="character" w:customStyle="1" w:styleId="TextkomentraChar1285">
    <w:name w:val="Text komentára Char1285"/>
    <w:aliases w:val="Char7 Char Char1286,Text komentára Char Char Char1286,Comment Text Char Char Char1286"/>
    <w:uiPriority w:val="99"/>
    <w:semiHidden/>
    <w:rsid w:val="00A809E7"/>
    <w:rPr>
      <w:rFonts w:ascii="Courier" w:hAnsi="Courier"/>
      <w:lang w:val="x-none" w:eastAsia="cs-CZ"/>
    </w:rPr>
  </w:style>
  <w:style w:type="character" w:customStyle="1" w:styleId="TextkomentraChar1284">
    <w:name w:val="Text komentára Char1284"/>
    <w:aliases w:val="Char7 Char Char1285,Text komentára Char Char Char1285,Comment Text Char Char Char1285"/>
    <w:uiPriority w:val="99"/>
    <w:semiHidden/>
    <w:rsid w:val="00A809E7"/>
    <w:rPr>
      <w:rFonts w:ascii="Courier" w:hAnsi="Courier"/>
      <w:lang w:val="x-none" w:eastAsia="cs-CZ"/>
    </w:rPr>
  </w:style>
  <w:style w:type="character" w:customStyle="1" w:styleId="TextkomentraChar1283">
    <w:name w:val="Text komentára Char1283"/>
    <w:aliases w:val="Char7 Char Char1284,Text komentára Char Char Char1284,Comment Text Char Char Char1284"/>
    <w:uiPriority w:val="99"/>
    <w:semiHidden/>
    <w:rsid w:val="00A809E7"/>
    <w:rPr>
      <w:rFonts w:ascii="Courier" w:hAnsi="Courier"/>
      <w:lang w:val="x-none" w:eastAsia="cs-CZ"/>
    </w:rPr>
  </w:style>
  <w:style w:type="character" w:customStyle="1" w:styleId="TextkomentraChar1282">
    <w:name w:val="Text komentára Char1282"/>
    <w:aliases w:val="Char7 Char Char1283,Text komentára Char Char Char1283,Comment Text Char Char Char1283"/>
    <w:uiPriority w:val="99"/>
    <w:semiHidden/>
    <w:rsid w:val="00A809E7"/>
    <w:rPr>
      <w:rFonts w:ascii="Courier" w:hAnsi="Courier"/>
      <w:lang w:val="x-none" w:eastAsia="cs-CZ"/>
    </w:rPr>
  </w:style>
  <w:style w:type="character" w:customStyle="1" w:styleId="TextkomentraChar1281">
    <w:name w:val="Text komentára Char1281"/>
    <w:aliases w:val="Char7 Char Char1282,Text komentára Char Char Char1282,Comment Text Char Char Char1282"/>
    <w:uiPriority w:val="99"/>
    <w:semiHidden/>
    <w:rsid w:val="00A809E7"/>
    <w:rPr>
      <w:rFonts w:ascii="Courier" w:hAnsi="Courier"/>
      <w:lang w:val="x-none" w:eastAsia="cs-CZ"/>
    </w:rPr>
  </w:style>
  <w:style w:type="character" w:customStyle="1" w:styleId="TextkomentraChar1280">
    <w:name w:val="Text komentára Char1280"/>
    <w:aliases w:val="Char7 Char Char1281,Text komentára Char Char Char1281,Comment Text Char Char Char1281"/>
    <w:uiPriority w:val="99"/>
    <w:semiHidden/>
    <w:rsid w:val="00A809E7"/>
    <w:rPr>
      <w:rFonts w:ascii="Courier" w:hAnsi="Courier"/>
      <w:lang w:val="x-none" w:eastAsia="cs-CZ"/>
    </w:rPr>
  </w:style>
  <w:style w:type="character" w:customStyle="1" w:styleId="TextkomentraChar1279">
    <w:name w:val="Text komentára Char1279"/>
    <w:aliases w:val="Char7 Char Char1280,Text komentára Char Char Char1280,Comment Text Char Char Char1280"/>
    <w:uiPriority w:val="99"/>
    <w:semiHidden/>
    <w:rsid w:val="00A809E7"/>
    <w:rPr>
      <w:rFonts w:ascii="Courier" w:hAnsi="Courier"/>
      <w:lang w:val="x-none" w:eastAsia="cs-CZ"/>
    </w:rPr>
  </w:style>
  <w:style w:type="character" w:customStyle="1" w:styleId="TextkomentraChar1278">
    <w:name w:val="Text komentára Char1278"/>
    <w:aliases w:val="Char7 Char Char1279,Text komentára Char Char Char1279,Comment Text Char Char Char1279"/>
    <w:uiPriority w:val="99"/>
    <w:semiHidden/>
    <w:rsid w:val="00A809E7"/>
    <w:rPr>
      <w:rFonts w:ascii="Courier" w:hAnsi="Courier"/>
      <w:lang w:val="x-none" w:eastAsia="cs-CZ"/>
    </w:rPr>
  </w:style>
  <w:style w:type="character" w:customStyle="1" w:styleId="TextkomentraChar1277">
    <w:name w:val="Text komentára Char1277"/>
    <w:aliases w:val="Char7 Char Char1278,Text komentára Char Char Char1278,Comment Text Char Char Char1278"/>
    <w:uiPriority w:val="99"/>
    <w:semiHidden/>
    <w:rsid w:val="00A809E7"/>
    <w:rPr>
      <w:rFonts w:ascii="Courier" w:hAnsi="Courier"/>
      <w:lang w:val="x-none" w:eastAsia="cs-CZ"/>
    </w:rPr>
  </w:style>
  <w:style w:type="character" w:customStyle="1" w:styleId="TextkomentraChar1276">
    <w:name w:val="Text komentára Char1276"/>
    <w:aliases w:val="Char7 Char Char1277,Text komentára Char Char Char1277,Comment Text Char Char Char1277"/>
    <w:uiPriority w:val="99"/>
    <w:semiHidden/>
    <w:rsid w:val="00A809E7"/>
    <w:rPr>
      <w:rFonts w:ascii="Courier" w:hAnsi="Courier"/>
      <w:lang w:val="x-none" w:eastAsia="cs-CZ"/>
    </w:rPr>
  </w:style>
  <w:style w:type="character" w:customStyle="1" w:styleId="TextkomentraChar1275">
    <w:name w:val="Text komentára Char1275"/>
    <w:aliases w:val="Char7 Char Char1276,Text komentára Char Char Char1276,Comment Text Char Char Char1276"/>
    <w:uiPriority w:val="99"/>
    <w:semiHidden/>
    <w:rsid w:val="00A809E7"/>
    <w:rPr>
      <w:rFonts w:ascii="Courier" w:hAnsi="Courier"/>
      <w:lang w:val="x-none" w:eastAsia="cs-CZ"/>
    </w:rPr>
  </w:style>
  <w:style w:type="character" w:customStyle="1" w:styleId="TextkomentraChar1274">
    <w:name w:val="Text komentára Char1274"/>
    <w:aliases w:val="Char7 Char Char1275,Text komentára Char Char Char1275,Comment Text Char Char Char1275"/>
    <w:uiPriority w:val="99"/>
    <w:semiHidden/>
    <w:rsid w:val="00A809E7"/>
    <w:rPr>
      <w:rFonts w:ascii="Courier" w:hAnsi="Courier"/>
      <w:lang w:val="x-none" w:eastAsia="cs-CZ"/>
    </w:rPr>
  </w:style>
  <w:style w:type="character" w:customStyle="1" w:styleId="TextkomentraChar1273">
    <w:name w:val="Text komentára Char1273"/>
    <w:aliases w:val="Char7 Char Char1274,Text komentára Char Char Char1274,Comment Text Char Char Char1274"/>
    <w:uiPriority w:val="99"/>
    <w:semiHidden/>
    <w:rsid w:val="00A809E7"/>
    <w:rPr>
      <w:rFonts w:ascii="Courier" w:hAnsi="Courier"/>
      <w:lang w:val="x-none" w:eastAsia="cs-CZ"/>
    </w:rPr>
  </w:style>
  <w:style w:type="character" w:customStyle="1" w:styleId="TextkomentraChar1272">
    <w:name w:val="Text komentára Char1272"/>
    <w:aliases w:val="Char7 Char Char1273,Text komentára Char Char Char1273,Comment Text Char Char Char1273"/>
    <w:uiPriority w:val="99"/>
    <w:semiHidden/>
    <w:rsid w:val="00A809E7"/>
    <w:rPr>
      <w:rFonts w:ascii="Courier" w:hAnsi="Courier"/>
      <w:lang w:val="x-none" w:eastAsia="cs-CZ"/>
    </w:rPr>
  </w:style>
  <w:style w:type="character" w:customStyle="1" w:styleId="TextkomentraChar1271">
    <w:name w:val="Text komentára Char1271"/>
    <w:aliases w:val="Char7 Char Char1272,Text komentára Char Char Char1272,Comment Text Char Char Char1272"/>
    <w:uiPriority w:val="99"/>
    <w:semiHidden/>
    <w:rsid w:val="00A809E7"/>
    <w:rPr>
      <w:rFonts w:ascii="Courier" w:hAnsi="Courier"/>
      <w:lang w:val="x-none" w:eastAsia="cs-CZ"/>
    </w:rPr>
  </w:style>
  <w:style w:type="character" w:customStyle="1" w:styleId="TextkomentraChar1270">
    <w:name w:val="Text komentára Char1270"/>
    <w:aliases w:val="Char7 Char Char1271,Text komentára Char Char Char1271,Comment Text Char Char Char1271"/>
    <w:uiPriority w:val="99"/>
    <w:semiHidden/>
    <w:rsid w:val="00A809E7"/>
    <w:rPr>
      <w:rFonts w:ascii="Courier" w:hAnsi="Courier"/>
      <w:lang w:val="x-none" w:eastAsia="cs-CZ"/>
    </w:rPr>
  </w:style>
  <w:style w:type="character" w:customStyle="1" w:styleId="TextkomentraChar1269">
    <w:name w:val="Text komentára Char1269"/>
    <w:aliases w:val="Char7 Char Char1270,Text komentára Char Char Char1270,Comment Text Char Char Char1270"/>
    <w:uiPriority w:val="99"/>
    <w:semiHidden/>
    <w:rsid w:val="00A809E7"/>
    <w:rPr>
      <w:rFonts w:ascii="Courier" w:hAnsi="Courier"/>
      <w:lang w:val="x-none" w:eastAsia="cs-CZ"/>
    </w:rPr>
  </w:style>
  <w:style w:type="character" w:customStyle="1" w:styleId="TextkomentraChar1268">
    <w:name w:val="Text komentára Char1268"/>
    <w:aliases w:val="Char7 Char Char1269,Text komentára Char Char Char1269,Comment Text Char Char Char1269"/>
    <w:uiPriority w:val="99"/>
    <w:semiHidden/>
    <w:rsid w:val="00A809E7"/>
    <w:rPr>
      <w:rFonts w:ascii="Courier" w:hAnsi="Courier"/>
      <w:lang w:val="x-none" w:eastAsia="cs-CZ"/>
    </w:rPr>
  </w:style>
  <w:style w:type="character" w:customStyle="1" w:styleId="TextkomentraChar1267">
    <w:name w:val="Text komentára Char1267"/>
    <w:aliases w:val="Char7 Char Char1268,Text komentára Char Char Char1268,Comment Text Char Char Char1268"/>
    <w:uiPriority w:val="99"/>
    <w:semiHidden/>
    <w:rsid w:val="00A809E7"/>
    <w:rPr>
      <w:rFonts w:ascii="Courier" w:hAnsi="Courier"/>
      <w:lang w:val="x-none" w:eastAsia="cs-CZ"/>
    </w:rPr>
  </w:style>
  <w:style w:type="character" w:customStyle="1" w:styleId="TextkomentraChar1266">
    <w:name w:val="Text komentára Char1266"/>
    <w:aliases w:val="Char7 Char Char1267,Text komentára Char Char Char1267,Comment Text Char Char Char1267"/>
    <w:uiPriority w:val="99"/>
    <w:semiHidden/>
    <w:rsid w:val="00A809E7"/>
    <w:rPr>
      <w:rFonts w:ascii="Courier" w:hAnsi="Courier"/>
      <w:lang w:val="x-none" w:eastAsia="cs-CZ"/>
    </w:rPr>
  </w:style>
  <w:style w:type="character" w:customStyle="1" w:styleId="TextkomentraChar1265">
    <w:name w:val="Text komentára Char1265"/>
    <w:aliases w:val="Char7 Char Char1266,Text komentára Char Char Char1266,Comment Text Char Char Char1266"/>
    <w:uiPriority w:val="99"/>
    <w:semiHidden/>
    <w:rsid w:val="00A809E7"/>
    <w:rPr>
      <w:rFonts w:ascii="Courier" w:hAnsi="Courier"/>
      <w:lang w:val="x-none" w:eastAsia="cs-CZ"/>
    </w:rPr>
  </w:style>
  <w:style w:type="character" w:customStyle="1" w:styleId="TextkomentraChar1264">
    <w:name w:val="Text komentára Char1264"/>
    <w:aliases w:val="Char7 Char Char1265,Text komentára Char Char Char1265,Comment Text Char Char Char1265"/>
    <w:uiPriority w:val="99"/>
    <w:semiHidden/>
    <w:rsid w:val="00A809E7"/>
    <w:rPr>
      <w:rFonts w:ascii="Courier" w:hAnsi="Courier"/>
      <w:lang w:val="x-none" w:eastAsia="cs-CZ"/>
    </w:rPr>
  </w:style>
  <w:style w:type="character" w:customStyle="1" w:styleId="TextkomentraChar1263">
    <w:name w:val="Text komentára Char1263"/>
    <w:aliases w:val="Char7 Char Char1264,Text komentára Char Char Char1264,Comment Text Char Char Char1264"/>
    <w:uiPriority w:val="99"/>
    <w:semiHidden/>
    <w:rsid w:val="00A809E7"/>
    <w:rPr>
      <w:rFonts w:ascii="Courier" w:hAnsi="Courier"/>
      <w:lang w:val="x-none" w:eastAsia="cs-CZ"/>
    </w:rPr>
  </w:style>
  <w:style w:type="character" w:customStyle="1" w:styleId="TextkomentraChar1262">
    <w:name w:val="Text komentára Char1262"/>
    <w:aliases w:val="Char7 Char Char1263,Text komentára Char Char Char1263,Comment Text Char Char Char1263"/>
    <w:uiPriority w:val="99"/>
    <w:semiHidden/>
    <w:rsid w:val="00A809E7"/>
    <w:rPr>
      <w:rFonts w:ascii="Courier" w:hAnsi="Courier"/>
      <w:lang w:val="x-none" w:eastAsia="cs-CZ"/>
    </w:rPr>
  </w:style>
  <w:style w:type="character" w:customStyle="1" w:styleId="TextkomentraChar1261">
    <w:name w:val="Text komentára Char1261"/>
    <w:aliases w:val="Char7 Char Char1262,Text komentára Char Char Char1262,Comment Text Char Char Char1262"/>
    <w:uiPriority w:val="99"/>
    <w:semiHidden/>
    <w:rsid w:val="00A809E7"/>
    <w:rPr>
      <w:rFonts w:ascii="Courier" w:hAnsi="Courier"/>
      <w:lang w:val="x-none" w:eastAsia="cs-CZ"/>
    </w:rPr>
  </w:style>
  <w:style w:type="character" w:customStyle="1" w:styleId="TextkomentraChar1260">
    <w:name w:val="Text komentára Char1260"/>
    <w:aliases w:val="Char7 Char Char1261,Text komentára Char Char Char1261,Comment Text Char Char Char1261"/>
    <w:uiPriority w:val="99"/>
    <w:semiHidden/>
    <w:rsid w:val="00A809E7"/>
    <w:rPr>
      <w:rFonts w:ascii="Courier" w:hAnsi="Courier"/>
      <w:lang w:val="x-none" w:eastAsia="cs-CZ"/>
    </w:rPr>
  </w:style>
  <w:style w:type="character" w:customStyle="1" w:styleId="TextkomentraChar1259">
    <w:name w:val="Text komentára Char1259"/>
    <w:aliases w:val="Char7 Char Char1260,Text komentára Char Char Char1260,Comment Text Char Char Char1260"/>
    <w:uiPriority w:val="99"/>
    <w:semiHidden/>
    <w:rsid w:val="00A809E7"/>
    <w:rPr>
      <w:rFonts w:ascii="Courier" w:hAnsi="Courier"/>
      <w:lang w:val="x-none" w:eastAsia="cs-CZ"/>
    </w:rPr>
  </w:style>
  <w:style w:type="character" w:customStyle="1" w:styleId="TextkomentraChar1258">
    <w:name w:val="Text komentára Char1258"/>
    <w:aliases w:val="Char7 Char Char1259,Text komentára Char Char Char1259,Comment Text Char Char Char1259"/>
    <w:uiPriority w:val="99"/>
    <w:semiHidden/>
    <w:rsid w:val="00A809E7"/>
    <w:rPr>
      <w:rFonts w:ascii="Courier" w:hAnsi="Courier"/>
      <w:lang w:val="x-none" w:eastAsia="cs-CZ"/>
    </w:rPr>
  </w:style>
  <w:style w:type="character" w:customStyle="1" w:styleId="TextkomentraChar1257">
    <w:name w:val="Text komentára Char1257"/>
    <w:aliases w:val="Char7 Char Char1258,Text komentára Char Char Char1258,Comment Text Char Char Char1258"/>
    <w:uiPriority w:val="99"/>
    <w:semiHidden/>
    <w:rsid w:val="00A809E7"/>
    <w:rPr>
      <w:rFonts w:ascii="Courier" w:hAnsi="Courier"/>
      <w:lang w:val="x-none" w:eastAsia="cs-CZ"/>
    </w:rPr>
  </w:style>
  <w:style w:type="character" w:customStyle="1" w:styleId="TextkomentraChar1256">
    <w:name w:val="Text komentára Char1256"/>
    <w:aliases w:val="Char7 Char Char1257,Text komentára Char Char Char1257,Comment Text Char Char Char1257"/>
    <w:uiPriority w:val="99"/>
    <w:semiHidden/>
    <w:rsid w:val="00A809E7"/>
    <w:rPr>
      <w:rFonts w:ascii="Courier" w:hAnsi="Courier"/>
      <w:lang w:val="x-none" w:eastAsia="cs-CZ"/>
    </w:rPr>
  </w:style>
  <w:style w:type="character" w:customStyle="1" w:styleId="TextkomentraChar1255">
    <w:name w:val="Text komentára Char1255"/>
    <w:aliases w:val="Char7 Char Char1256,Text komentára Char Char Char1256,Comment Text Char Char Char1256"/>
    <w:uiPriority w:val="99"/>
    <w:semiHidden/>
    <w:rsid w:val="00A809E7"/>
    <w:rPr>
      <w:rFonts w:ascii="Courier" w:hAnsi="Courier"/>
      <w:lang w:val="x-none" w:eastAsia="cs-CZ"/>
    </w:rPr>
  </w:style>
  <w:style w:type="character" w:customStyle="1" w:styleId="TextkomentraChar1254">
    <w:name w:val="Text komentára Char1254"/>
    <w:aliases w:val="Char7 Char Char1255,Text komentára Char Char Char1255,Comment Text Char Char Char1255"/>
    <w:uiPriority w:val="99"/>
    <w:semiHidden/>
    <w:rsid w:val="00A809E7"/>
    <w:rPr>
      <w:rFonts w:ascii="Courier" w:hAnsi="Courier"/>
      <w:lang w:val="x-none" w:eastAsia="cs-CZ"/>
    </w:rPr>
  </w:style>
  <w:style w:type="character" w:customStyle="1" w:styleId="TextkomentraChar1253">
    <w:name w:val="Text komentára Char1253"/>
    <w:aliases w:val="Char7 Char Char1254,Text komentára Char Char Char1254,Comment Text Char Char Char1254"/>
    <w:uiPriority w:val="99"/>
    <w:semiHidden/>
    <w:rsid w:val="00A809E7"/>
    <w:rPr>
      <w:rFonts w:ascii="Courier" w:hAnsi="Courier"/>
      <w:lang w:val="x-none" w:eastAsia="cs-CZ"/>
    </w:rPr>
  </w:style>
  <w:style w:type="character" w:customStyle="1" w:styleId="TextkomentraChar1252">
    <w:name w:val="Text komentára Char1252"/>
    <w:aliases w:val="Char7 Char Char1253,Text komentára Char Char Char1253,Comment Text Char Char Char1253"/>
    <w:uiPriority w:val="99"/>
    <w:semiHidden/>
    <w:rsid w:val="00A809E7"/>
    <w:rPr>
      <w:rFonts w:ascii="Courier" w:hAnsi="Courier"/>
      <w:lang w:val="x-none" w:eastAsia="cs-CZ"/>
    </w:rPr>
  </w:style>
  <w:style w:type="character" w:customStyle="1" w:styleId="TextkomentraChar1251">
    <w:name w:val="Text komentára Char1251"/>
    <w:aliases w:val="Char7 Char Char1252,Text komentára Char Char Char1252,Comment Text Char Char Char1252"/>
    <w:uiPriority w:val="99"/>
    <w:semiHidden/>
    <w:rsid w:val="00A809E7"/>
    <w:rPr>
      <w:rFonts w:ascii="Courier" w:hAnsi="Courier"/>
      <w:lang w:val="x-none" w:eastAsia="cs-CZ"/>
    </w:rPr>
  </w:style>
  <w:style w:type="character" w:customStyle="1" w:styleId="TextkomentraChar1250">
    <w:name w:val="Text komentára Char1250"/>
    <w:aliases w:val="Char7 Char Char1251,Text komentára Char Char Char1251,Comment Text Char Char Char1251"/>
    <w:uiPriority w:val="99"/>
    <w:semiHidden/>
    <w:rsid w:val="00A809E7"/>
    <w:rPr>
      <w:rFonts w:ascii="Courier" w:hAnsi="Courier"/>
      <w:lang w:val="x-none" w:eastAsia="cs-CZ"/>
    </w:rPr>
  </w:style>
  <w:style w:type="character" w:customStyle="1" w:styleId="TextkomentraChar1249">
    <w:name w:val="Text komentára Char1249"/>
    <w:aliases w:val="Char7 Char Char1250,Text komentára Char Char Char1250,Comment Text Char Char Char1250"/>
    <w:uiPriority w:val="99"/>
    <w:semiHidden/>
    <w:rsid w:val="00A809E7"/>
    <w:rPr>
      <w:rFonts w:ascii="Courier" w:hAnsi="Courier"/>
      <w:lang w:val="x-none" w:eastAsia="cs-CZ"/>
    </w:rPr>
  </w:style>
  <w:style w:type="character" w:customStyle="1" w:styleId="TextkomentraChar1248">
    <w:name w:val="Text komentára Char1248"/>
    <w:aliases w:val="Char7 Char Char1249,Text komentára Char Char Char1249,Comment Text Char Char Char1249"/>
    <w:uiPriority w:val="99"/>
    <w:semiHidden/>
    <w:rsid w:val="00A809E7"/>
    <w:rPr>
      <w:rFonts w:ascii="Courier" w:hAnsi="Courier"/>
      <w:lang w:val="x-none" w:eastAsia="cs-CZ"/>
    </w:rPr>
  </w:style>
  <w:style w:type="character" w:customStyle="1" w:styleId="TextkomentraChar1247">
    <w:name w:val="Text komentára Char1247"/>
    <w:aliases w:val="Char7 Char Char1248,Text komentára Char Char Char1248,Comment Text Char Char Char1248"/>
    <w:uiPriority w:val="99"/>
    <w:semiHidden/>
    <w:rsid w:val="00A809E7"/>
    <w:rPr>
      <w:rFonts w:ascii="Courier" w:hAnsi="Courier"/>
      <w:lang w:val="x-none" w:eastAsia="cs-CZ"/>
    </w:rPr>
  </w:style>
  <w:style w:type="character" w:customStyle="1" w:styleId="TextkomentraChar1246">
    <w:name w:val="Text komentára Char1246"/>
    <w:aliases w:val="Char7 Char Char1247,Text komentára Char Char Char1247,Comment Text Char Char Char1247"/>
    <w:uiPriority w:val="99"/>
    <w:semiHidden/>
    <w:rsid w:val="00A809E7"/>
    <w:rPr>
      <w:rFonts w:ascii="Courier" w:hAnsi="Courier"/>
      <w:lang w:val="x-none" w:eastAsia="cs-CZ"/>
    </w:rPr>
  </w:style>
  <w:style w:type="character" w:customStyle="1" w:styleId="TextkomentraChar1245">
    <w:name w:val="Text komentára Char1245"/>
    <w:aliases w:val="Char7 Char Char1246,Text komentára Char Char Char1246,Comment Text Char Char Char1246"/>
    <w:uiPriority w:val="99"/>
    <w:semiHidden/>
    <w:rsid w:val="00A809E7"/>
    <w:rPr>
      <w:rFonts w:ascii="Courier" w:hAnsi="Courier"/>
      <w:lang w:val="x-none" w:eastAsia="cs-CZ"/>
    </w:rPr>
  </w:style>
  <w:style w:type="character" w:customStyle="1" w:styleId="TextkomentraChar1244">
    <w:name w:val="Text komentára Char1244"/>
    <w:aliases w:val="Char7 Char Char1245,Text komentára Char Char Char1245,Comment Text Char Char Char1245"/>
    <w:uiPriority w:val="99"/>
    <w:semiHidden/>
    <w:rsid w:val="00A809E7"/>
    <w:rPr>
      <w:rFonts w:ascii="Courier" w:hAnsi="Courier"/>
      <w:lang w:val="x-none" w:eastAsia="cs-CZ"/>
    </w:rPr>
  </w:style>
  <w:style w:type="character" w:customStyle="1" w:styleId="TextkomentraChar1243">
    <w:name w:val="Text komentára Char1243"/>
    <w:aliases w:val="Char7 Char Char1244,Text komentára Char Char Char1244,Comment Text Char Char Char1244"/>
    <w:uiPriority w:val="99"/>
    <w:semiHidden/>
    <w:rsid w:val="00A809E7"/>
    <w:rPr>
      <w:rFonts w:ascii="Courier" w:hAnsi="Courier"/>
      <w:lang w:val="x-none" w:eastAsia="cs-CZ"/>
    </w:rPr>
  </w:style>
  <w:style w:type="character" w:customStyle="1" w:styleId="TextkomentraChar1242">
    <w:name w:val="Text komentára Char1242"/>
    <w:aliases w:val="Char7 Char Char1243,Text komentára Char Char Char1243,Comment Text Char Char Char1243"/>
    <w:uiPriority w:val="99"/>
    <w:semiHidden/>
    <w:rsid w:val="00A809E7"/>
    <w:rPr>
      <w:rFonts w:ascii="Courier" w:hAnsi="Courier"/>
      <w:lang w:val="x-none" w:eastAsia="cs-CZ"/>
    </w:rPr>
  </w:style>
  <w:style w:type="character" w:customStyle="1" w:styleId="TextkomentraChar1241">
    <w:name w:val="Text komentára Char1241"/>
    <w:aliases w:val="Char7 Char Char1242,Text komentára Char Char Char1242,Comment Text Char Char Char1242"/>
    <w:uiPriority w:val="99"/>
    <w:semiHidden/>
    <w:rsid w:val="00A809E7"/>
    <w:rPr>
      <w:rFonts w:ascii="Courier" w:hAnsi="Courier"/>
      <w:lang w:val="x-none" w:eastAsia="cs-CZ"/>
    </w:rPr>
  </w:style>
  <w:style w:type="character" w:customStyle="1" w:styleId="TextkomentraChar1240">
    <w:name w:val="Text komentára Char1240"/>
    <w:aliases w:val="Char7 Char Char1241,Text komentára Char Char Char1241,Comment Text Char Char Char1241"/>
    <w:uiPriority w:val="99"/>
    <w:semiHidden/>
    <w:rsid w:val="00A809E7"/>
    <w:rPr>
      <w:rFonts w:ascii="Courier" w:hAnsi="Courier"/>
      <w:lang w:val="x-none" w:eastAsia="cs-CZ"/>
    </w:rPr>
  </w:style>
  <w:style w:type="character" w:customStyle="1" w:styleId="TextkomentraChar1239">
    <w:name w:val="Text komentára Char1239"/>
    <w:aliases w:val="Char7 Char Char1240,Text komentára Char Char Char1240,Comment Text Char Char Char1240"/>
    <w:uiPriority w:val="99"/>
    <w:semiHidden/>
    <w:rsid w:val="00A809E7"/>
    <w:rPr>
      <w:rFonts w:ascii="Courier" w:hAnsi="Courier"/>
      <w:lang w:val="x-none" w:eastAsia="cs-CZ"/>
    </w:rPr>
  </w:style>
  <w:style w:type="character" w:customStyle="1" w:styleId="TextkomentraChar1238">
    <w:name w:val="Text komentára Char1238"/>
    <w:aliases w:val="Char7 Char Char1239,Text komentára Char Char Char1239,Comment Text Char Char Char1239"/>
    <w:uiPriority w:val="99"/>
    <w:semiHidden/>
    <w:rsid w:val="00A809E7"/>
    <w:rPr>
      <w:rFonts w:ascii="Courier" w:hAnsi="Courier"/>
      <w:lang w:val="x-none" w:eastAsia="cs-CZ"/>
    </w:rPr>
  </w:style>
  <w:style w:type="character" w:customStyle="1" w:styleId="TextkomentraChar1237">
    <w:name w:val="Text komentára Char1237"/>
    <w:aliases w:val="Char7 Char Char1238,Text komentára Char Char Char1238,Comment Text Char Char Char1238"/>
    <w:uiPriority w:val="99"/>
    <w:semiHidden/>
    <w:rsid w:val="00A809E7"/>
    <w:rPr>
      <w:rFonts w:ascii="Courier" w:hAnsi="Courier"/>
      <w:lang w:val="x-none" w:eastAsia="cs-CZ"/>
    </w:rPr>
  </w:style>
  <w:style w:type="character" w:customStyle="1" w:styleId="TextkomentraChar1236">
    <w:name w:val="Text komentára Char1236"/>
    <w:aliases w:val="Char7 Char Char1237,Text komentára Char Char Char1237,Comment Text Char Char Char1237"/>
    <w:uiPriority w:val="99"/>
    <w:semiHidden/>
    <w:rsid w:val="00A809E7"/>
    <w:rPr>
      <w:rFonts w:ascii="Courier" w:hAnsi="Courier"/>
      <w:lang w:val="x-none" w:eastAsia="cs-CZ"/>
    </w:rPr>
  </w:style>
  <w:style w:type="character" w:customStyle="1" w:styleId="TextkomentraChar1235">
    <w:name w:val="Text komentára Char1235"/>
    <w:aliases w:val="Char7 Char Char1236,Text komentára Char Char Char1236,Comment Text Char Char Char1236"/>
    <w:uiPriority w:val="99"/>
    <w:semiHidden/>
    <w:rsid w:val="00A809E7"/>
    <w:rPr>
      <w:rFonts w:ascii="Courier" w:hAnsi="Courier"/>
      <w:lang w:val="x-none" w:eastAsia="cs-CZ"/>
    </w:rPr>
  </w:style>
  <w:style w:type="character" w:customStyle="1" w:styleId="TextkomentraChar1234">
    <w:name w:val="Text komentára Char1234"/>
    <w:aliases w:val="Char7 Char Char1235,Text komentára Char Char Char1235,Comment Text Char Char Char1235"/>
    <w:uiPriority w:val="99"/>
    <w:semiHidden/>
    <w:rsid w:val="00A809E7"/>
    <w:rPr>
      <w:rFonts w:ascii="Courier" w:hAnsi="Courier"/>
      <w:lang w:val="x-none" w:eastAsia="cs-CZ"/>
    </w:rPr>
  </w:style>
  <w:style w:type="character" w:customStyle="1" w:styleId="TextkomentraChar1233">
    <w:name w:val="Text komentára Char1233"/>
    <w:aliases w:val="Char7 Char Char1234,Text komentára Char Char Char1234,Comment Text Char Char Char1234"/>
    <w:uiPriority w:val="99"/>
    <w:semiHidden/>
    <w:rsid w:val="00A809E7"/>
    <w:rPr>
      <w:rFonts w:ascii="Courier" w:hAnsi="Courier"/>
      <w:lang w:val="x-none" w:eastAsia="cs-CZ"/>
    </w:rPr>
  </w:style>
  <w:style w:type="character" w:customStyle="1" w:styleId="TextkomentraChar1232">
    <w:name w:val="Text komentára Char1232"/>
    <w:aliases w:val="Char7 Char Char1233,Text komentára Char Char Char1233,Comment Text Char Char Char1233"/>
    <w:uiPriority w:val="99"/>
    <w:semiHidden/>
    <w:rsid w:val="00A809E7"/>
    <w:rPr>
      <w:rFonts w:ascii="Courier" w:hAnsi="Courier"/>
      <w:lang w:val="x-none" w:eastAsia="cs-CZ"/>
    </w:rPr>
  </w:style>
  <w:style w:type="character" w:customStyle="1" w:styleId="TextkomentraChar1231">
    <w:name w:val="Text komentára Char1231"/>
    <w:aliases w:val="Char7 Char Char1232,Text komentára Char Char Char1232,Comment Text Char Char Char1232"/>
    <w:uiPriority w:val="99"/>
    <w:semiHidden/>
    <w:rsid w:val="00A809E7"/>
    <w:rPr>
      <w:rFonts w:ascii="Courier" w:hAnsi="Courier"/>
      <w:lang w:val="x-none" w:eastAsia="cs-CZ"/>
    </w:rPr>
  </w:style>
  <w:style w:type="character" w:customStyle="1" w:styleId="TextkomentraChar1230">
    <w:name w:val="Text komentára Char1230"/>
    <w:aliases w:val="Char7 Char Char1231,Text komentára Char Char Char1231,Comment Text Char Char Char1231"/>
    <w:uiPriority w:val="99"/>
    <w:semiHidden/>
    <w:rsid w:val="00A809E7"/>
    <w:rPr>
      <w:rFonts w:ascii="Courier" w:hAnsi="Courier"/>
      <w:lang w:val="x-none" w:eastAsia="cs-CZ"/>
    </w:rPr>
  </w:style>
  <w:style w:type="character" w:customStyle="1" w:styleId="TextkomentraChar1229">
    <w:name w:val="Text komentára Char1229"/>
    <w:aliases w:val="Char7 Char Char1230,Text komentára Char Char Char1230,Comment Text Char Char Char1230"/>
    <w:uiPriority w:val="99"/>
    <w:semiHidden/>
    <w:rsid w:val="00A809E7"/>
    <w:rPr>
      <w:rFonts w:ascii="Courier" w:hAnsi="Courier"/>
      <w:lang w:val="x-none" w:eastAsia="cs-CZ"/>
    </w:rPr>
  </w:style>
  <w:style w:type="character" w:customStyle="1" w:styleId="TextkomentraChar1228">
    <w:name w:val="Text komentára Char1228"/>
    <w:aliases w:val="Char7 Char Char1229,Text komentára Char Char Char1229,Comment Text Char Char Char1229"/>
    <w:uiPriority w:val="99"/>
    <w:semiHidden/>
    <w:rsid w:val="00A809E7"/>
    <w:rPr>
      <w:rFonts w:ascii="Courier" w:hAnsi="Courier"/>
      <w:lang w:val="x-none" w:eastAsia="cs-CZ"/>
    </w:rPr>
  </w:style>
  <w:style w:type="character" w:customStyle="1" w:styleId="TextkomentraChar1227">
    <w:name w:val="Text komentára Char1227"/>
    <w:aliases w:val="Char7 Char Char1228,Text komentára Char Char Char1228,Comment Text Char Char Char1228"/>
    <w:uiPriority w:val="99"/>
    <w:semiHidden/>
    <w:rsid w:val="00A809E7"/>
    <w:rPr>
      <w:rFonts w:ascii="Courier" w:hAnsi="Courier"/>
      <w:lang w:val="x-none" w:eastAsia="cs-CZ"/>
    </w:rPr>
  </w:style>
  <w:style w:type="character" w:customStyle="1" w:styleId="TextkomentraChar1226">
    <w:name w:val="Text komentára Char1226"/>
    <w:aliases w:val="Char7 Char Char1227,Text komentára Char Char Char1227,Comment Text Char Char Char1227"/>
    <w:uiPriority w:val="99"/>
    <w:semiHidden/>
    <w:rsid w:val="00A809E7"/>
    <w:rPr>
      <w:rFonts w:ascii="Courier" w:hAnsi="Courier"/>
      <w:lang w:val="x-none" w:eastAsia="cs-CZ"/>
    </w:rPr>
  </w:style>
  <w:style w:type="character" w:customStyle="1" w:styleId="TextkomentraChar1225">
    <w:name w:val="Text komentára Char1225"/>
    <w:aliases w:val="Char7 Char Char1226,Text komentára Char Char Char1226,Comment Text Char Char Char1226"/>
    <w:uiPriority w:val="99"/>
    <w:semiHidden/>
    <w:rsid w:val="00A809E7"/>
    <w:rPr>
      <w:rFonts w:ascii="Courier" w:hAnsi="Courier"/>
      <w:lang w:val="x-none" w:eastAsia="cs-CZ"/>
    </w:rPr>
  </w:style>
  <w:style w:type="character" w:customStyle="1" w:styleId="TextkomentraChar1224">
    <w:name w:val="Text komentára Char1224"/>
    <w:aliases w:val="Char7 Char Char1225,Text komentára Char Char Char1225,Comment Text Char Char Char1225"/>
    <w:uiPriority w:val="99"/>
    <w:semiHidden/>
    <w:rsid w:val="00A809E7"/>
    <w:rPr>
      <w:rFonts w:ascii="Courier" w:hAnsi="Courier"/>
      <w:lang w:val="x-none" w:eastAsia="cs-CZ"/>
    </w:rPr>
  </w:style>
  <w:style w:type="character" w:customStyle="1" w:styleId="TextkomentraChar1223">
    <w:name w:val="Text komentára Char1223"/>
    <w:aliases w:val="Char7 Char Char1224,Text komentára Char Char Char1224,Comment Text Char Char Char1224"/>
    <w:uiPriority w:val="99"/>
    <w:semiHidden/>
    <w:rsid w:val="00A809E7"/>
    <w:rPr>
      <w:rFonts w:ascii="Courier" w:hAnsi="Courier"/>
      <w:lang w:val="x-none" w:eastAsia="cs-CZ"/>
    </w:rPr>
  </w:style>
  <w:style w:type="character" w:customStyle="1" w:styleId="TextkomentraChar1222">
    <w:name w:val="Text komentára Char1222"/>
    <w:aliases w:val="Char7 Char Char1223,Text komentára Char Char Char1223,Comment Text Char Char Char1223"/>
    <w:uiPriority w:val="99"/>
    <w:semiHidden/>
    <w:rsid w:val="00A809E7"/>
    <w:rPr>
      <w:rFonts w:ascii="Courier" w:hAnsi="Courier"/>
      <w:lang w:val="x-none" w:eastAsia="cs-CZ"/>
    </w:rPr>
  </w:style>
  <w:style w:type="character" w:customStyle="1" w:styleId="TextkomentraChar1221">
    <w:name w:val="Text komentára Char1221"/>
    <w:aliases w:val="Char7 Char Char1222,Text komentára Char Char Char1222,Comment Text Char Char Char1222"/>
    <w:uiPriority w:val="99"/>
    <w:semiHidden/>
    <w:rsid w:val="00A809E7"/>
    <w:rPr>
      <w:rFonts w:ascii="Courier" w:hAnsi="Courier"/>
      <w:lang w:val="x-none" w:eastAsia="cs-CZ"/>
    </w:rPr>
  </w:style>
  <w:style w:type="character" w:customStyle="1" w:styleId="TextkomentraChar1220">
    <w:name w:val="Text komentára Char1220"/>
    <w:aliases w:val="Char7 Char Char1221,Text komentára Char Char Char1221,Comment Text Char Char Char1221"/>
    <w:uiPriority w:val="99"/>
    <w:semiHidden/>
    <w:rsid w:val="00A809E7"/>
    <w:rPr>
      <w:rFonts w:ascii="Courier" w:hAnsi="Courier"/>
      <w:lang w:val="x-none" w:eastAsia="cs-CZ"/>
    </w:rPr>
  </w:style>
  <w:style w:type="character" w:customStyle="1" w:styleId="TextkomentraChar1219">
    <w:name w:val="Text komentára Char1219"/>
    <w:aliases w:val="Char7 Char Char1220,Text komentára Char Char Char1220,Comment Text Char Char Char1220"/>
    <w:uiPriority w:val="99"/>
    <w:semiHidden/>
    <w:rsid w:val="00A809E7"/>
    <w:rPr>
      <w:rFonts w:ascii="Courier" w:hAnsi="Courier"/>
      <w:lang w:val="x-none" w:eastAsia="cs-CZ"/>
    </w:rPr>
  </w:style>
  <w:style w:type="character" w:customStyle="1" w:styleId="TextkomentraChar1218">
    <w:name w:val="Text komentára Char1218"/>
    <w:aliases w:val="Char7 Char Char1219,Text komentára Char Char Char1219,Comment Text Char Char Char1219"/>
    <w:uiPriority w:val="99"/>
    <w:semiHidden/>
    <w:rsid w:val="00A809E7"/>
    <w:rPr>
      <w:rFonts w:ascii="Courier" w:hAnsi="Courier"/>
      <w:lang w:val="x-none" w:eastAsia="cs-CZ"/>
    </w:rPr>
  </w:style>
  <w:style w:type="character" w:customStyle="1" w:styleId="TextkomentraChar1217">
    <w:name w:val="Text komentára Char1217"/>
    <w:aliases w:val="Char7 Char Char1218,Text komentára Char Char Char1218,Comment Text Char Char Char1218"/>
    <w:uiPriority w:val="99"/>
    <w:semiHidden/>
    <w:rsid w:val="00A809E7"/>
    <w:rPr>
      <w:rFonts w:ascii="Courier" w:hAnsi="Courier"/>
      <w:lang w:val="x-none" w:eastAsia="cs-CZ"/>
    </w:rPr>
  </w:style>
  <w:style w:type="character" w:customStyle="1" w:styleId="TextkomentraChar1216">
    <w:name w:val="Text komentára Char1216"/>
    <w:aliases w:val="Char7 Char Char1217,Text komentára Char Char Char1217,Comment Text Char Char Char1217"/>
    <w:uiPriority w:val="99"/>
    <w:semiHidden/>
    <w:rsid w:val="00A809E7"/>
    <w:rPr>
      <w:rFonts w:ascii="Courier" w:hAnsi="Courier"/>
      <w:lang w:val="x-none" w:eastAsia="cs-CZ"/>
    </w:rPr>
  </w:style>
  <w:style w:type="character" w:customStyle="1" w:styleId="TextkomentraChar1215">
    <w:name w:val="Text komentára Char1215"/>
    <w:aliases w:val="Char7 Char Char1216,Text komentára Char Char Char1216,Comment Text Char Char Char1216"/>
    <w:uiPriority w:val="99"/>
    <w:semiHidden/>
    <w:rsid w:val="00A809E7"/>
    <w:rPr>
      <w:rFonts w:ascii="Courier" w:hAnsi="Courier"/>
      <w:lang w:val="x-none" w:eastAsia="cs-CZ"/>
    </w:rPr>
  </w:style>
  <w:style w:type="character" w:customStyle="1" w:styleId="TextkomentraChar1214">
    <w:name w:val="Text komentára Char1214"/>
    <w:aliases w:val="Char7 Char Char1215,Text komentára Char Char Char1215,Comment Text Char Char Char1215"/>
    <w:uiPriority w:val="99"/>
    <w:semiHidden/>
    <w:rsid w:val="00A809E7"/>
    <w:rPr>
      <w:rFonts w:ascii="Courier" w:hAnsi="Courier"/>
      <w:lang w:val="x-none" w:eastAsia="cs-CZ"/>
    </w:rPr>
  </w:style>
  <w:style w:type="character" w:customStyle="1" w:styleId="TextkomentraChar1213">
    <w:name w:val="Text komentára Char1213"/>
    <w:aliases w:val="Char7 Char Char1214,Text komentára Char Char Char1214,Comment Text Char Char Char1214"/>
    <w:uiPriority w:val="99"/>
    <w:semiHidden/>
    <w:rsid w:val="00A809E7"/>
    <w:rPr>
      <w:rFonts w:ascii="Courier" w:hAnsi="Courier"/>
      <w:lang w:val="x-none" w:eastAsia="cs-CZ"/>
    </w:rPr>
  </w:style>
  <w:style w:type="character" w:customStyle="1" w:styleId="TextkomentraChar1212">
    <w:name w:val="Text komentára Char1212"/>
    <w:aliases w:val="Char7 Char Char1213,Text komentára Char Char Char1213,Comment Text Char Char Char1213"/>
    <w:uiPriority w:val="99"/>
    <w:semiHidden/>
    <w:rsid w:val="00A809E7"/>
    <w:rPr>
      <w:rFonts w:ascii="Courier" w:hAnsi="Courier"/>
      <w:lang w:val="x-none" w:eastAsia="cs-CZ"/>
    </w:rPr>
  </w:style>
  <w:style w:type="character" w:customStyle="1" w:styleId="TextkomentraChar1211">
    <w:name w:val="Text komentára Char1211"/>
    <w:aliases w:val="Char7 Char Char1212,Text komentára Char Char Char1212,Comment Text Char Char Char1212"/>
    <w:uiPriority w:val="99"/>
    <w:semiHidden/>
    <w:rsid w:val="00A809E7"/>
    <w:rPr>
      <w:rFonts w:ascii="Courier" w:hAnsi="Courier"/>
      <w:lang w:val="x-none" w:eastAsia="cs-CZ"/>
    </w:rPr>
  </w:style>
  <w:style w:type="character" w:customStyle="1" w:styleId="TextkomentraChar1210">
    <w:name w:val="Text komentára Char1210"/>
    <w:aliases w:val="Char7 Char Char1211,Text komentára Char Char Char1211,Comment Text Char Char Char1211"/>
    <w:uiPriority w:val="99"/>
    <w:semiHidden/>
    <w:rsid w:val="00A809E7"/>
    <w:rPr>
      <w:rFonts w:ascii="Courier" w:hAnsi="Courier"/>
      <w:lang w:val="x-none" w:eastAsia="cs-CZ"/>
    </w:rPr>
  </w:style>
  <w:style w:type="character" w:customStyle="1" w:styleId="TextkomentraChar1209">
    <w:name w:val="Text komentára Char1209"/>
    <w:aliases w:val="Char7 Char Char1210,Text komentára Char Char Char1210,Comment Text Char Char Char1210"/>
    <w:uiPriority w:val="99"/>
    <w:semiHidden/>
    <w:rsid w:val="00A809E7"/>
    <w:rPr>
      <w:rFonts w:ascii="Courier" w:hAnsi="Courier"/>
      <w:lang w:val="x-none" w:eastAsia="cs-CZ"/>
    </w:rPr>
  </w:style>
  <w:style w:type="character" w:customStyle="1" w:styleId="TextkomentraChar1208">
    <w:name w:val="Text komentára Char1208"/>
    <w:aliases w:val="Char7 Char Char1209,Text komentára Char Char Char1209,Comment Text Char Char Char1209"/>
    <w:uiPriority w:val="99"/>
    <w:semiHidden/>
    <w:rsid w:val="00A809E7"/>
    <w:rPr>
      <w:rFonts w:ascii="Courier" w:hAnsi="Courier"/>
      <w:lang w:val="x-none" w:eastAsia="cs-CZ"/>
    </w:rPr>
  </w:style>
  <w:style w:type="character" w:customStyle="1" w:styleId="TextkomentraChar1207">
    <w:name w:val="Text komentára Char1207"/>
    <w:aliases w:val="Char7 Char Char1208,Text komentára Char Char Char1208,Comment Text Char Char Char1208"/>
    <w:uiPriority w:val="99"/>
    <w:semiHidden/>
    <w:rsid w:val="00A809E7"/>
    <w:rPr>
      <w:rFonts w:ascii="Courier" w:hAnsi="Courier"/>
      <w:lang w:val="x-none" w:eastAsia="cs-CZ"/>
    </w:rPr>
  </w:style>
  <w:style w:type="character" w:customStyle="1" w:styleId="TextkomentraChar1206">
    <w:name w:val="Text komentára Char1206"/>
    <w:aliases w:val="Char7 Char Char1207,Text komentára Char Char Char1207,Comment Text Char Char Char1207"/>
    <w:uiPriority w:val="99"/>
    <w:semiHidden/>
    <w:rsid w:val="00A809E7"/>
    <w:rPr>
      <w:rFonts w:ascii="Courier" w:hAnsi="Courier"/>
      <w:lang w:val="x-none" w:eastAsia="cs-CZ"/>
    </w:rPr>
  </w:style>
  <w:style w:type="character" w:customStyle="1" w:styleId="TextkomentraChar1205">
    <w:name w:val="Text komentára Char1205"/>
    <w:aliases w:val="Char7 Char Char1206,Text komentára Char Char Char1206,Comment Text Char Char Char1206"/>
    <w:uiPriority w:val="99"/>
    <w:semiHidden/>
    <w:rsid w:val="00A809E7"/>
    <w:rPr>
      <w:rFonts w:ascii="Courier" w:hAnsi="Courier"/>
      <w:lang w:val="x-none" w:eastAsia="cs-CZ"/>
    </w:rPr>
  </w:style>
  <w:style w:type="character" w:customStyle="1" w:styleId="TextkomentraChar1204">
    <w:name w:val="Text komentára Char1204"/>
    <w:aliases w:val="Char7 Char Char1205,Text komentára Char Char Char1205,Comment Text Char Char Char1205"/>
    <w:uiPriority w:val="99"/>
    <w:semiHidden/>
    <w:rsid w:val="00A809E7"/>
    <w:rPr>
      <w:rFonts w:ascii="Courier" w:hAnsi="Courier"/>
      <w:lang w:val="x-none" w:eastAsia="cs-CZ"/>
    </w:rPr>
  </w:style>
  <w:style w:type="character" w:customStyle="1" w:styleId="TextkomentraChar1203">
    <w:name w:val="Text komentára Char1203"/>
    <w:aliases w:val="Char7 Char Char1204,Text komentára Char Char Char1204,Comment Text Char Char Char1204"/>
    <w:uiPriority w:val="99"/>
    <w:semiHidden/>
    <w:rsid w:val="00A809E7"/>
    <w:rPr>
      <w:rFonts w:ascii="Courier" w:hAnsi="Courier"/>
      <w:lang w:val="x-none" w:eastAsia="cs-CZ"/>
    </w:rPr>
  </w:style>
  <w:style w:type="character" w:customStyle="1" w:styleId="TextkomentraChar1202">
    <w:name w:val="Text komentára Char1202"/>
    <w:aliases w:val="Char7 Char Char1203,Text komentára Char Char Char1203,Comment Text Char Char Char1203"/>
    <w:uiPriority w:val="99"/>
    <w:semiHidden/>
    <w:rsid w:val="00A809E7"/>
    <w:rPr>
      <w:rFonts w:ascii="Courier" w:hAnsi="Courier"/>
      <w:lang w:val="x-none" w:eastAsia="cs-CZ"/>
    </w:rPr>
  </w:style>
  <w:style w:type="character" w:customStyle="1" w:styleId="TextkomentraChar1201">
    <w:name w:val="Text komentára Char1201"/>
    <w:aliases w:val="Char7 Char Char1202,Text komentára Char Char Char1202,Comment Text Char Char Char1202"/>
    <w:uiPriority w:val="99"/>
    <w:semiHidden/>
    <w:rsid w:val="00A809E7"/>
    <w:rPr>
      <w:rFonts w:ascii="Courier" w:hAnsi="Courier"/>
      <w:lang w:val="x-none" w:eastAsia="cs-CZ"/>
    </w:rPr>
  </w:style>
  <w:style w:type="character" w:customStyle="1" w:styleId="TextkomentraChar1200">
    <w:name w:val="Text komentára Char1200"/>
    <w:aliases w:val="Char7 Char Char1201,Text komentára Char Char Char1201,Comment Text Char Char Char1201"/>
    <w:uiPriority w:val="99"/>
    <w:semiHidden/>
    <w:rsid w:val="00A809E7"/>
    <w:rPr>
      <w:rFonts w:ascii="Courier" w:hAnsi="Courier"/>
      <w:lang w:val="x-none" w:eastAsia="cs-CZ"/>
    </w:rPr>
  </w:style>
  <w:style w:type="character" w:customStyle="1" w:styleId="TextkomentraChar1199">
    <w:name w:val="Text komentára Char1199"/>
    <w:aliases w:val="Char7 Char Char1200,Text komentára Char Char Char1200,Comment Text Char Char Char1200"/>
    <w:uiPriority w:val="99"/>
    <w:semiHidden/>
    <w:rsid w:val="00A809E7"/>
    <w:rPr>
      <w:rFonts w:ascii="Courier" w:hAnsi="Courier"/>
      <w:lang w:val="x-none" w:eastAsia="cs-CZ"/>
    </w:rPr>
  </w:style>
  <w:style w:type="character" w:customStyle="1" w:styleId="TextkomentraChar1198">
    <w:name w:val="Text komentára Char1198"/>
    <w:aliases w:val="Char7 Char Char1199,Text komentára Char Char Char1199,Comment Text Char Char Char1199"/>
    <w:uiPriority w:val="99"/>
    <w:semiHidden/>
    <w:rsid w:val="00A809E7"/>
    <w:rPr>
      <w:rFonts w:ascii="Courier" w:hAnsi="Courier"/>
      <w:lang w:val="x-none" w:eastAsia="cs-CZ"/>
    </w:rPr>
  </w:style>
  <w:style w:type="character" w:customStyle="1" w:styleId="TextkomentraChar1197">
    <w:name w:val="Text komentára Char1197"/>
    <w:aliases w:val="Char7 Char Char1198,Text komentára Char Char Char1198,Comment Text Char Char Char1198"/>
    <w:uiPriority w:val="99"/>
    <w:semiHidden/>
    <w:rsid w:val="00A809E7"/>
    <w:rPr>
      <w:rFonts w:ascii="Courier" w:hAnsi="Courier"/>
      <w:lang w:val="x-none" w:eastAsia="cs-CZ"/>
    </w:rPr>
  </w:style>
  <w:style w:type="character" w:customStyle="1" w:styleId="TextkomentraChar1196">
    <w:name w:val="Text komentára Char1196"/>
    <w:aliases w:val="Char7 Char Char1197,Text komentára Char Char Char1197,Comment Text Char Char Char1197"/>
    <w:uiPriority w:val="99"/>
    <w:semiHidden/>
    <w:rsid w:val="00A809E7"/>
    <w:rPr>
      <w:rFonts w:ascii="Courier" w:hAnsi="Courier"/>
      <w:lang w:val="x-none" w:eastAsia="cs-CZ"/>
    </w:rPr>
  </w:style>
  <w:style w:type="character" w:customStyle="1" w:styleId="TextkomentraChar1195">
    <w:name w:val="Text komentára Char1195"/>
    <w:aliases w:val="Char7 Char Char1196,Text komentára Char Char Char1196,Comment Text Char Char Char1196"/>
    <w:uiPriority w:val="99"/>
    <w:semiHidden/>
    <w:rsid w:val="00A809E7"/>
    <w:rPr>
      <w:rFonts w:ascii="Courier" w:hAnsi="Courier"/>
      <w:lang w:val="x-none" w:eastAsia="cs-CZ"/>
    </w:rPr>
  </w:style>
  <w:style w:type="character" w:customStyle="1" w:styleId="TextkomentraChar1194">
    <w:name w:val="Text komentára Char1194"/>
    <w:aliases w:val="Char7 Char Char1195,Text komentára Char Char Char1195,Comment Text Char Char Char1195"/>
    <w:uiPriority w:val="99"/>
    <w:semiHidden/>
    <w:rsid w:val="00A809E7"/>
    <w:rPr>
      <w:rFonts w:ascii="Courier" w:hAnsi="Courier"/>
      <w:lang w:val="x-none" w:eastAsia="cs-CZ"/>
    </w:rPr>
  </w:style>
  <w:style w:type="character" w:customStyle="1" w:styleId="TextkomentraChar1193">
    <w:name w:val="Text komentára Char1193"/>
    <w:aliases w:val="Char7 Char Char1194,Text komentára Char Char Char1194,Comment Text Char Char Char1194"/>
    <w:uiPriority w:val="99"/>
    <w:semiHidden/>
    <w:rsid w:val="00A809E7"/>
    <w:rPr>
      <w:rFonts w:ascii="Courier" w:hAnsi="Courier"/>
      <w:lang w:val="x-none" w:eastAsia="cs-CZ"/>
    </w:rPr>
  </w:style>
  <w:style w:type="character" w:customStyle="1" w:styleId="TextkomentraChar1192">
    <w:name w:val="Text komentára Char1192"/>
    <w:aliases w:val="Char7 Char Char1193,Text komentára Char Char Char1193,Comment Text Char Char Char1193"/>
    <w:uiPriority w:val="99"/>
    <w:semiHidden/>
    <w:rsid w:val="00A809E7"/>
    <w:rPr>
      <w:rFonts w:ascii="Courier" w:hAnsi="Courier"/>
      <w:lang w:val="x-none" w:eastAsia="cs-CZ"/>
    </w:rPr>
  </w:style>
  <w:style w:type="character" w:customStyle="1" w:styleId="TextkomentraChar1191">
    <w:name w:val="Text komentára Char1191"/>
    <w:aliases w:val="Char7 Char Char1192,Text komentára Char Char Char1192,Comment Text Char Char Char1192"/>
    <w:uiPriority w:val="99"/>
    <w:semiHidden/>
    <w:rsid w:val="00A809E7"/>
    <w:rPr>
      <w:rFonts w:ascii="Courier" w:hAnsi="Courier"/>
      <w:lang w:val="x-none" w:eastAsia="cs-CZ"/>
    </w:rPr>
  </w:style>
  <w:style w:type="character" w:customStyle="1" w:styleId="TextkomentraChar1190">
    <w:name w:val="Text komentára Char1190"/>
    <w:aliases w:val="Char7 Char Char1191,Text komentára Char Char Char1191,Comment Text Char Char Char1191"/>
    <w:uiPriority w:val="99"/>
    <w:semiHidden/>
    <w:rsid w:val="00A809E7"/>
    <w:rPr>
      <w:rFonts w:ascii="Courier" w:hAnsi="Courier"/>
      <w:lang w:val="x-none" w:eastAsia="cs-CZ"/>
    </w:rPr>
  </w:style>
  <w:style w:type="character" w:customStyle="1" w:styleId="TextkomentraChar1189">
    <w:name w:val="Text komentára Char1189"/>
    <w:aliases w:val="Char7 Char Char1190,Text komentára Char Char Char1190,Comment Text Char Char Char1190"/>
    <w:uiPriority w:val="99"/>
    <w:semiHidden/>
    <w:rsid w:val="00A809E7"/>
    <w:rPr>
      <w:rFonts w:ascii="Courier" w:hAnsi="Courier"/>
      <w:lang w:val="x-none" w:eastAsia="cs-CZ"/>
    </w:rPr>
  </w:style>
  <w:style w:type="character" w:customStyle="1" w:styleId="TextkomentraChar1188">
    <w:name w:val="Text komentára Char1188"/>
    <w:aliases w:val="Char7 Char Char1189,Text komentára Char Char Char1189,Comment Text Char Char Char1189"/>
    <w:uiPriority w:val="99"/>
    <w:semiHidden/>
    <w:rsid w:val="00A809E7"/>
    <w:rPr>
      <w:rFonts w:ascii="Courier" w:hAnsi="Courier"/>
      <w:lang w:val="x-none" w:eastAsia="cs-CZ"/>
    </w:rPr>
  </w:style>
  <w:style w:type="character" w:customStyle="1" w:styleId="TextkomentraChar1187">
    <w:name w:val="Text komentára Char1187"/>
    <w:aliases w:val="Char7 Char Char1188,Text komentára Char Char Char1188,Comment Text Char Char Char1188"/>
    <w:uiPriority w:val="99"/>
    <w:semiHidden/>
    <w:rsid w:val="00A809E7"/>
    <w:rPr>
      <w:rFonts w:ascii="Courier" w:hAnsi="Courier"/>
      <w:lang w:val="x-none" w:eastAsia="cs-CZ"/>
    </w:rPr>
  </w:style>
  <w:style w:type="character" w:customStyle="1" w:styleId="TextkomentraChar1186">
    <w:name w:val="Text komentára Char1186"/>
    <w:aliases w:val="Char7 Char Char1187,Text komentára Char Char Char1187,Comment Text Char Char Char1187"/>
    <w:uiPriority w:val="99"/>
    <w:semiHidden/>
    <w:rsid w:val="00A809E7"/>
    <w:rPr>
      <w:rFonts w:ascii="Courier" w:hAnsi="Courier"/>
      <w:lang w:val="x-none" w:eastAsia="cs-CZ"/>
    </w:rPr>
  </w:style>
  <w:style w:type="character" w:customStyle="1" w:styleId="TextkomentraChar1185">
    <w:name w:val="Text komentára Char1185"/>
    <w:aliases w:val="Char7 Char Char1186,Text komentára Char Char Char1186,Comment Text Char Char Char1186"/>
    <w:uiPriority w:val="99"/>
    <w:semiHidden/>
    <w:rsid w:val="00A809E7"/>
    <w:rPr>
      <w:rFonts w:ascii="Courier" w:hAnsi="Courier"/>
      <w:lang w:val="x-none" w:eastAsia="cs-CZ"/>
    </w:rPr>
  </w:style>
  <w:style w:type="character" w:customStyle="1" w:styleId="TextkomentraChar1184">
    <w:name w:val="Text komentára Char1184"/>
    <w:aliases w:val="Char7 Char Char1185,Text komentára Char Char Char1185,Comment Text Char Char Char1185"/>
    <w:uiPriority w:val="99"/>
    <w:semiHidden/>
    <w:rsid w:val="00A809E7"/>
    <w:rPr>
      <w:rFonts w:ascii="Courier" w:hAnsi="Courier"/>
      <w:lang w:val="x-none" w:eastAsia="cs-CZ"/>
    </w:rPr>
  </w:style>
  <w:style w:type="character" w:customStyle="1" w:styleId="TextkomentraChar1183">
    <w:name w:val="Text komentára Char1183"/>
    <w:aliases w:val="Char7 Char Char1184,Text komentára Char Char Char1184,Comment Text Char Char Char1184"/>
    <w:uiPriority w:val="99"/>
    <w:semiHidden/>
    <w:rsid w:val="00A809E7"/>
    <w:rPr>
      <w:rFonts w:ascii="Courier" w:hAnsi="Courier"/>
      <w:lang w:val="x-none" w:eastAsia="cs-CZ"/>
    </w:rPr>
  </w:style>
  <w:style w:type="character" w:customStyle="1" w:styleId="TextkomentraChar1182">
    <w:name w:val="Text komentára Char1182"/>
    <w:aliases w:val="Char7 Char Char1183,Text komentára Char Char Char1183,Comment Text Char Char Char1183"/>
    <w:uiPriority w:val="99"/>
    <w:semiHidden/>
    <w:rsid w:val="00A809E7"/>
    <w:rPr>
      <w:rFonts w:ascii="Courier" w:hAnsi="Courier"/>
      <w:lang w:val="x-none" w:eastAsia="cs-CZ"/>
    </w:rPr>
  </w:style>
  <w:style w:type="character" w:customStyle="1" w:styleId="TextkomentraChar1181">
    <w:name w:val="Text komentára Char1181"/>
    <w:aliases w:val="Char7 Char Char1182,Text komentára Char Char Char1182,Comment Text Char Char Char1182"/>
    <w:uiPriority w:val="99"/>
    <w:semiHidden/>
    <w:rsid w:val="00A809E7"/>
    <w:rPr>
      <w:rFonts w:ascii="Courier" w:hAnsi="Courier"/>
      <w:lang w:val="x-none" w:eastAsia="cs-CZ"/>
    </w:rPr>
  </w:style>
  <w:style w:type="character" w:customStyle="1" w:styleId="TextkomentraChar1180">
    <w:name w:val="Text komentára Char1180"/>
    <w:aliases w:val="Char7 Char Char1181,Text komentára Char Char Char1181,Comment Text Char Char Char1181"/>
    <w:uiPriority w:val="99"/>
    <w:semiHidden/>
    <w:rsid w:val="00A809E7"/>
    <w:rPr>
      <w:rFonts w:ascii="Courier" w:hAnsi="Courier"/>
      <w:lang w:val="x-none" w:eastAsia="cs-CZ"/>
    </w:rPr>
  </w:style>
  <w:style w:type="character" w:customStyle="1" w:styleId="TextkomentraChar1179">
    <w:name w:val="Text komentára Char1179"/>
    <w:aliases w:val="Char7 Char Char1180,Text komentára Char Char Char1180,Comment Text Char Char Char1180"/>
    <w:uiPriority w:val="99"/>
    <w:semiHidden/>
    <w:rsid w:val="00A809E7"/>
    <w:rPr>
      <w:rFonts w:ascii="Courier" w:hAnsi="Courier"/>
      <w:lang w:val="x-none" w:eastAsia="cs-CZ"/>
    </w:rPr>
  </w:style>
  <w:style w:type="character" w:customStyle="1" w:styleId="TextkomentraChar1178">
    <w:name w:val="Text komentára Char1178"/>
    <w:aliases w:val="Char7 Char Char1179,Text komentára Char Char Char1179,Comment Text Char Char Char1179"/>
    <w:uiPriority w:val="99"/>
    <w:semiHidden/>
    <w:rsid w:val="00A809E7"/>
    <w:rPr>
      <w:rFonts w:ascii="Courier" w:hAnsi="Courier"/>
      <w:lang w:val="x-none" w:eastAsia="cs-CZ"/>
    </w:rPr>
  </w:style>
  <w:style w:type="character" w:customStyle="1" w:styleId="TextkomentraChar1177">
    <w:name w:val="Text komentára Char1177"/>
    <w:aliases w:val="Char7 Char Char1178,Text komentára Char Char Char1178,Comment Text Char Char Char1178"/>
    <w:uiPriority w:val="99"/>
    <w:semiHidden/>
    <w:rsid w:val="00A809E7"/>
    <w:rPr>
      <w:rFonts w:ascii="Courier" w:hAnsi="Courier"/>
      <w:lang w:val="x-none" w:eastAsia="cs-CZ"/>
    </w:rPr>
  </w:style>
  <w:style w:type="character" w:customStyle="1" w:styleId="TextkomentraChar1176">
    <w:name w:val="Text komentára Char1176"/>
    <w:aliases w:val="Char7 Char Char1177,Text komentára Char Char Char1177,Comment Text Char Char Char1177"/>
    <w:uiPriority w:val="99"/>
    <w:semiHidden/>
    <w:rsid w:val="00A809E7"/>
    <w:rPr>
      <w:rFonts w:ascii="Courier" w:hAnsi="Courier"/>
      <w:lang w:val="x-none" w:eastAsia="cs-CZ"/>
    </w:rPr>
  </w:style>
  <w:style w:type="character" w:customStyle="1" w:styleId="TextkomentraChar1175">
    <w:name w:val="Text komentára Char1175"/>
    <w:aliases w:val="Char7 Char Char1176,Text komentára Char Char Char1176,Comment Text Char Char Char1176"/>
    <w:uiPriority w:val="99"/>
    <w:semiHidden/>
    <w:rsid w:val="00A809E7"/>
    <w:rPr>
      <w:rFonts w:ascii="Courier" w:hAnsi="Courier"/>
      <w:lang w:val="x-none" w:eastAsia="cs-CZ"/>
    </w:rPr>
  </w:style>
  <w:style w:type="character" w:customStyle="1" w:styleId="TextkomentraChar1174">
    <w:name w:val="Text komentára Char1174"/>
    <w:aliases w:val="Char7 Char Char1175,Text komentára Char Char Char1175,Comment Text Char Char Char1175"/>
    <w:uiPriority w:val="99"/>
    <w:semiHidden/>
    <w:rsid w:val="00A809E7"/>
    <w:rPr>
      <w:rFonts w:ascii="Courier" w:hAnsi="Courier"/>
      <w:lang w:val="x-none" w:eastAsia="cs-CZ"/>
    </w:rPr>
  </w:style>
  <w:style w:type="character" w:customStyle="1" w:styleId="TextkomentraChar1173">
    <w:name w:val="Text komentára Char1173"/>
    <w:aliases w:val="Char7 Char Char1174,Text komentára Char Char Char1174,Comment Text Char Char Char1174"/>
    <w:uiPriority w:val="99"/>
    <w:semiHidden/>
    <w:rsid w:val="00A809E7"/>
    <w:rPr>
      <w:rFonts w:ascii="Courier" w:hAnsi="Courier"/>
      <w:lang w:val="x-none" w:eastAsia="cs-CZ"/>
    </w:rPr>
  </w:style>
  <w:style w:type="character" w:customStyle="1" w:styleId="TextkomentraChar1172">
    <w:name w:val="Text komentára Char1172"/>
    <w:aliases w:val="Char7 Char Char1173,Text komentára Char Char Char1173,Comment Text Char Char Char1173"/>
    <w:uiPriority w:val="99"/>
    <w:semiHidden/>
    <w:rsid w:val="00A809E7"/>
    <w:rPr>
      <w:rFonts w:ascii="Courier" w:hAnsi="Courier"/>
      <w:lang w:val="x-none" w:eastAsia="cs-CZ"/>
    </w:rPr>
  </w:style>
  <w:style w:type="character" w:customStyle="1" w:styleId="TextkomentraChar1171">
    <w:name w:val="Text komentára Char1171"/>
    <w:aliases w:val="Char7 Char Char1172,Text komentára Char Char Char1172,Comment Text Char Char Char1172"/>
    <w:uiPriority w:val="99"/>
    <w:semiHidden/>
    <w:rsid w:val="00A809E7"/>
    <w:rPr>
      <w:rFonts w:ascii="Courier" w:hAnsi="Courier"/>
      <w:lang w:val="x-none" w:eastAsia="cs-CZ"/>
    </w:rPr>
  </w:style>
  <w:style w:type="character" w:customStyle="1" w:styleId="TextkomentraChar1165">
    <w:name w:val="Text komentára Char1165"/>
    <w:aliases w:val="Char7 Char Char1166,Text komentára Char Char Char1166,Comment Text Char Char Char1166"/>
    <w:uiPriority w:val="99"/>
    <w:semiHidden/>
    <w:rsid w:val="00A809E7"/>
    <w:rPr>
      <w:rFonts w:ascii="Courier" w:hAnsi="Courier"/>
      <w:lang w:val="x-none" w:eastAsia="cs-CZ"/>
    </w:rPr>
  </w:style>
  <w:style w:type="character" w:customStyle="1" w:styleId="TextkomentraChar1164">
    <w:name w:val="Text komentára Char1164"/>
    <w:aliases w:val="Char7 Char Char1165,Text komentára Char Char Char1165,Comment Text Char Char Char1165"/>
    <w:uiPriority w:val="99"/>
    <w:semiHidden/>
    <w:rsid w:val="00A809E7"/>
    <w:rPr>
      <w:rFonts w:ascii="Courier" w:hAnsi="Courier"/>
      <w:lang w:val="x-none" w:eastAsia="cs-CZ"/>
    </w:rPr>
  </w:style>
  <w:style w:type="character" w:customStyle="1" w:styleId="TextkomentraChar1163">
    <w:name w:val="Text komentára Char1163"/>
    <w:aliases w:val="Char7 Char Char1164,Text komentára Char Char Char1164,Comment Text Char Char Char1164"/>
    <w:uiPriority w:val="99"/>
    <w:semiHidden/>
    <w:rsid w:val="00A809E7"/>
    <w:rPr>
      <w:rFonts w:ascii="Courier" w:hAnsi="Courier"/>
      <w:lang w:val="x-none" w:eastAsia="cs-CZ"/>
    </w:rPr>
  </w:style>
  <w:style w:type="character" w:customStyle="1" w:styleId="TextkomentraChar1162">
    <w:name w:val="Text komentára Char1162"/>
    <w:aliases w:val="Char7 Char Char1163,Text komentára Char Char Char1163,Comment Text Char Char Char1163"/>
    <w:uiPriority w:val="99"/>
    <w:semiHidden/>
    <w:rsid w:val="00A809E7"/>
    <w:rPr>
      <w:rFonts w:ascii="Courier" w:hAnsi="Courier"/>
      <w:lang w:val="x-none" w:eastAsia="cs-CZ"/>
    </w:rPr>
  </w:style>
  <w:style w:type="character" w:customStyle="1" w:styleId="TextkomentraChar1161">
    <w:name w:val="Text komentára Char1161"/>
    <w:aliases w:val="Char7 Char Char1162,Text komentára Char Char Char1162,Comment Text Char Char Char1162"/>
    <w:uiPriority w:val="99"/>
    <w:semiHidden/>
    <w:rsid w:val="00A809E7"/>
    <w:rPr>
      <w:rFonts w:ascii="Courier" w:hAnsi="Courier"/>
      <w:lang w:val="x-none" w:eastAsia="cs-CZ"/>
    </w:rPr>
  </w:style>
  <w:style w:type="character" w:customStyle="1" w:styleId="TextkomentraChar1160">
    <w:name w:val="Text komentára Char1160"/>
    <w:aliases w:val="Char7 Char Char1161,Text komentára Char Char Char1161,Comment Text Char Char Char1161"/>
    <w:uiPriority w:val="99"/>
    <w:semiHidden/>
    <w:rsid w:val="00A809E7"/>
    <w:rPr>
      <w:rFonts w:ascii="Courier" w:hAnsi="Courier"/>
      <w:lang w:val="x-none" w:eastAsia="cs-CZ"/>
    </w:rPr>
  </w:style>
  <w:style w:type="character" w:customStyle="1" w:styleId="TextkomentraChar1159">
    <w:name w:val="Text komentára Char1159"/>
    <w:aliases w:val="Char7 Char Char1160,Text komentára Char Char Char1160,Comment Text Char Char Char1160"/>
    <w:uiPriority w:val="99"/>
    <w:semiHidden/>
    <w:rsid w:val="00A809E7"/>
    <w:rPr>
      <w:rFonts w:ascii="Courier" w:hAnsi="Courier"/>
      <w:lang w:val="x-none" w:eastAsia="cs-CZ"/>
    </w:rPr>
  </w:style>
  <w:style w:type="character" w:customStyle="1" w:styleId="TextkomentraChar1158">
    <w:name w:val="Text komentára Char1158"/>
    <w:aliases w:val="Char7 Char Char1159,Text komentára Char Char Char1159,Comment Text Char Char Char1159"/>
    <w:uiPriority w:val="99"/>
    <w:semiHidden/>
    <w:rsid w:val="00A809E7"/>
    <w:rPr>
      <w:rFonts w:ascii="Courier" w:hAnsi="Courier"/>
      <w:lang w:val="x-none" w:eastAsia="cs-CZ"/>
    </w:rPr>
  </w:style>
  <w:style w:type="character" w:customStyle="1" w:styleId="TextkomentraChar1157">
    <w:name w:val="Text komentára Char1157"/>
    <w:aliases w:val="Char7 Char Char1158,Text komentára Char Char Char1158,Comment Text Char Char Char1158"/>
    <w:uiPriority w:val="99"/>
    <w:semiHidden/>
    <w:rsid w:val="00A809E7"/>
    <w:rPr>
      <w:rFonts w:ascii="Courier" w:hAnsi="Courier"/>
      <w:lang w:val="x-none" w:eastAsia="cs-CZ"/>
    </w:rPr>
  </w:style>
  <w:style w:type="character" w:customStyle="1" w:styleId="TextkomentraChar1156">
    <w:name w:val="Text komentára Char1156"/>
    <w:aliases w:val="Char7 Char Char1157,Text komentára Char Char Char1157,Comment Text Char Char Char1157"/>
    <w:uiPriority w:val="99"/>
    <w:semiHidden/>
    <w:rsid w:val="00A809E7"/>
    <w:rPr>
      <w:rFonts w:ascii="Courier" w:hAnsi="Courier"/>
      <w:lang w:val="x-none" w:eastAsia="cs-CZ"/>
    </w:rPr>
  </w:style>
  <w:style w:type="character" w:customStyle="1" w:styleId="TextkomentraChar1155">
    <w:name w:val="Text komentára Char1155"/>
    <w:aliases w:val="Char7 Char Char1156,Text komentára Char Char Char1156,Comment Text Char Char Char1156"/>
    <w:uiPriority w:val="99"/>
    <w:semiHidden/>
    <w:rsid w:val="00A809E7"/>
    <w:rPr>
      <w:rFonts w:ascii="Courier" w:hAnsi="Courier"/>
      <w:lang w:val="x-none" w:eastAsia="cs-CZ"/>
    </w:rPr>
  </w:style>
  <w:style w:type="character" w:customStyle="1" w:styleId="TextkomentraChar1154">
    <w:name w:val="Text komentára Char1154"/>
    <w:aliases w:val="Char7 Char Char1155,Text komentára Char Char Char1155,Comment Text Char Char Char1155"/>
    <w:uiPriority w:val="99"/>
    <w:semiHidden/>
    <w:rsid w:val="00A809E7"/>
    <w:rPr>
      <w:rFonts w:ascii="Courier" w:hAnsi="Courier"/>
      <w:lang w:val="x-none" w:eastAsia="cs-CZ"/>
    </w:rPr>
  </w:style>
  <w:style w:type="character" w:customStyle="1" w:styleId="TextkomentraChar1153">
    <w:name w:val="Text komentára Char1153"/>
    <w:aliases w:val="Char7 Char Char1154,Text komentára Char Char Char1154,Comment Text Char Char Char1154"/>
    <w:uiPriority w:val="99"/>
    <w:semiHidden/>
    <w:rsid w:val="00A809E7"/>
    <w:rPr>
      <w:rFonts w:ascii="Courier" w:hAnsi="Courier"/>
      <w:lang w:val="x-none" w:eastAsia="cs-CZ"/>
    </w:rPr>
  </w:style>
  <w:style w:type="character" w:customStyle="1" w:styleId="TextkomentraChar1152">
    <w:name w:val="Text komentára Char1152"/>
    <w:aliases w:val="Char7 Char Char1153,Text komentára Char Char Char1153,Comment Text Char Char Char1153"/>
    <w:uiPriority w:val="99"/>
    <w:semiHidden/>
    <w:rsid w:val="00A809E7"/>
    <w:rPr>
      <w:rFonts w:ascii="Courier" w:hAnsi="Courier"/>
      <w:lang w:val="x-none" w:eastAsia="cs-CZ"/>
    </w:rPr>
  </w:style>
  <w:style w:type="character" w:customStyle="1" w:styleId="TextkomentraChar1151">
    <w:name w:val="Text komentára Char1151"/>
    <w:aliases w:val="Char7 Char Char1152,Text komentára Char Char Char1152,Comment Text Char Char Char1152"/>
    <w:uiPriority w:val="99"/>
    <w:semiHidden/>
    <w:rsid w:val="00A809E7"/>
    <w:rPr>
      <w:rFonts w:ascii="Courier" w:hAnsi="Courier"/>
      <w:lang w:val="x-none" w:eastAsia="cs-CZ"/>
    </w:rPr>
  </w:style>
  <w:style w:type="character" w:customStyle="1" w:styleId="TextkomentraChar1150">
    <w:name w:val="Text komentára Char1150"/>
    <w:aliases w:val="Char7 Char Char1151,Text komentára Char Char Char1151,Comment Text Char Char Char1151"/>
    <w:uiPriority w:val="99"/>
    <w:semiHidden/>
    <w:rsid w:val="00A809E7"/>
    <w:rPr>
      <w:rFonts w:ascii="Courier" w:hAnsi="Courier"/>
      <w:lang w:val="x-none" w:eastAsia="cs-CZ"/>
    </w:rPr>
  </w:style>
  <w:style w:type="character" w:customStyle="1" w:styleId="TextkomentraChar1149">
    <w:name w:val="Text komentára Char1149"/>
    <w:aliases w:val="Char7 Char Char1150,Text komentára Char Char Char1150,Comment Text Char Char Char1150"/>
    <w:uiPriority w:val="99"/>
    <w:semiHidden/>
    <w:rsid w:val="00A809E7"/>
    <w:rPr>
      <w:rFonts w:ascii="Courier" w:hAnsi="Courier"/>
      <w:lang w:val="x-none" w:eastAsia="cs-CZ"/>
    </w:rPr>
  </w:style>
  <w:style w:type="character" w:customStyle="1" w:styleId="TextkomentraChar1148">
    <w:name w:val="Text komentára Char1148"/>
    <w:aliases w:val="Char7 Char Char1149,Text komentára Char Char Char1149,Comment Text Char Char Char1149"/>
    <w:uiPriority w:val="99"/>
    <w:semiHidden/>
    <w:rsid w:val="00A809E7"/>
    <w:rPr>
      <w:rFonts w:ascii="Courier" w:hAnsi="Courier"/>
      <w:lang w:val="x-none" w:eastAsia="cs-CZ"/>
    </w:rPr>
  </w:style>
  <w:style w:type="character" w:customStyle="1" w:styleId="TextkomentraChar1147">
    <w:name w:val="Text komentára Char1147"/>
    <w:aliases w:val="Char7 Char Char1148,Text komentára Char Char Char1148,Comment Text Char Char Char1148"/>
    <w:uiPriority w:val="99"/>
    <w:semiHidden/>
    <w:rsid w:val="00A809E7"/>
    <w:rPr>
      <w:rFonts w:ascii="Courier" w:hAnsi="Courier"/>
      <w:lang w:val="x-none" w:eastAsia="cs-CZ"/>
    </w:rPr>
  </w:style>
  <w:style w:type="character" w:customStyle="1" w:styleId="TextkomentraChar1146">
    <w:name w:val="Text komentára Char1146"/>
    <w:aliases w:val="Char7 Char Char1147,Text komentára Char Char Char1147,Comment Text Char Char Char1147"/>
    <w:uiPriority w:val="99"/>
    <w:semiHidden/>
    <w:rsid w:val="00A809E7"/>
    <w:rPr>
      <w:rFonts w:ascii="Courier" w:hAnsi="Courier"/>
      <w:lang w:val="x-none" w:eastAsia="cs-CZ"/>
    </w:rPr>
  </w:style>
  <w:style w:type="character" w:customStyle="1" w:styleId="TextkomentraChar1145">
    <w:name w:val="Text komentára Char1145"/>
    <w:aliases w:val="Char7 Char Char1146,Text komentára Char Char Char1146,Comment Text Char Char Char1146"/>
    <w:uiPriority w:val="99"/>
    <w:semiHidden/>
    <w:rsid w:val="00A809E7"/>
    <w:rPr>
      <w:rFonts w:ascii="Courier" w:hAnsi="Courier"/>
      <w:lang w:val="x-none" w:eastAsia="cs-CZ"/>
    </w:rPr>
  </w:style>
  <w:style w:type="character" w:customStyle="1" w:styleId="TextkomentraChar1144">
    <w:name w:val="Text komentára Char1144"/>
    <w:aliases w:val="Char7 Char Char1145,Text komentára Char Char Char1145,Comment Text Char Char Char1145"/>
    <w:uiPriority w:val="99"/>
    <w:semiHidden/>
    <w:rsid w:val="00A809E7"/>
    <w:rPr>
      <w:rFonts w:ascii="Courier" w:hAnsi="Courier"/>
      <w:lang w:val="x-none" w:eastAsia="cs-CZ"/>
    </w:rPr>
  </w:style>
  <w:style w:type="character" w:customStyle="1" w:styleId="TextkomentraChar1143">
    <w:name w:val="Text komentára Char1143"/>
    <w:aliases w:val="Char7 Char Char1144,Text komentára Char Char Char1144,Comment Text Char Char Char1144"/>
    <w:uiPriority w:val="99"/>
    <w:semiHidden/>
    <w:rsid w:val="00A809E7"/>
    <w:rPr>
      <w:rFonts w:ascii="Courier" w:hAnsi="Courier"/>
      <w:lang w:val="x-none" w:eastAsia="cs-CZ"/>
    </w:rPr>
  </w:style>
  <w:style w:type="character" w:customStyle="1" w:styleId="TextkomentraChar1142">
    <w:name w:val="Text komentára Char1142"/>
    <w:aliases w:val="Char7 Char Char1143,Text komentára Char Char Char1143,Comment Text Char Char Char1143"/>
    <w:uiPriority w:val="99"/>
    <w:semiHidden/>
    <w:rsid w:val="00A809E7"/>
    <w:rPr>
      <w:rFonts w:ascii="Courier" w:hAnsi="Courier"/>
      <w:lang w:val="x-none" w:eastAsia="cs-CZ"/>
    </w:rPr>
  </w:style>
  <w:style w:type="character" w:customStyle="1" w:styleId="TextkomentraChar1141">
    <w:name w:val="Text komentára Char1141"/>
    <w:aliases w:val="Char7 Char Char1142,Text komentára Char Char Char1142,Comment Text Char Char Char1142"/>
    <w:uiPriority w:val="99"/>
    <w:semiHidden/>
    <w:rsid w:val="00A809E7"/>
    <w:rPr>
      <w:rFonts w:ascii="Courier" w:hAnsi="Courier"/>
      <w:lang w:val="x-none" w:eastAsia="cs-CZ"/>
    </w:rPr>
  </w:style>
  <w:style w:type="character" w:customStyle="1" w:styleId="TextkomentraChar1140">
    <w:name w:val="Text komentára Char1140"/>
    <w:aliases w:val="Char7 Char Char1141,Text komentára Char Char Char1141,Comment Text Char Char Char1141"/>
    <w:uiPriority w:val="99"/>
    <w:semiHidden/>
    <w:rsid w:val="00A809E7"/>
    <w:rPr>
      <w:rFonts w:ascii="Courier" w:hAnsi="Courier"/>
      <w:lang w:val="x-none" w:eastAsia="cs-CZ"/>
    </w:rPr>
  </w:style>
  <w:style w:type="character" w:customStyle="1" w:styleId="TextkomentraChar1139">
    <w:name w:val="Text komentára Char1139"/>
    <w:aliases w:val="Char7 Char Char1140,Text komentára Char Char Char1140,Comment Text Char Char Char1140"/>
    <w:uiPriority w:val="99"/>
    <w:semiHidden/>
    <w:rsid w:val="00A809E7"/>
    <w:rPr>
      <w:rFonts w:ascii="Courier" w:hAnsi="Courier"/>
      <w:lang w:val="x-none" w:eastAsia="cs-CZ"/>
    </w:rPr>
  </w:style>
  <w:style w:type="character" w:customStyle="1" w:styleId="TextkomentraChar1138">
    <w:name w:val="Text komentára Char1138"/>
    <w:aliases w:val="Char7 Char Char1139,Text komentára Char Char Char1139,Comment Text Char Char Char1139"/>
    <w:uiPriority w:val="99"/>
    <w:semiHidden/>
    <w:rsid w:val="00A809E7"/>
    <w:rPr>
      <w:rFonts w:ascii="Courier" w:hAnsi="Courier"/>
      <w:lang w:val="x-none" w:eastAsia="cs-CZ"/>
    </w:rPr>
  </w:style>
  <w:style w:type="character" w:customStyle="1" w:styleId="TextkomentraChar1137">
    <w:name w:val="Text komentára Char1137"/>
    <w:aliases w:val="Char7 Char Char1138,Text komentára Char Char Char1138,Comment Text Char Char Char1138"/>
    <w:uiPriority w:val="99"/>
    <w:semiHidden/>
    <w:rsid w:val="00A809E7"/>
    <w:rPr>
      <w:rFonts w:ascii="Courier" w:hAnsi="Courier"/>
      <w:lang w:val="x-none" w:eastAsia="cs-CZ"/>
    </w:rPr>
  </w:style>
  <w:style w:type="character" w:customStyle="1" w:styleId="TextkomentraChar1136">
    <w:name w:val="Text komentára Char1136"/>
    <w:aliases w:val="Char7 Char Char1137,Text komentára Char Char Char1137,Comment Text Char Char Char1137"/>
    <w:uiPriority w:val="99"/>
    <w:semiHidden/>
    <w:rsid w:val="00A809E7"/>
    <w:rPr>
      <w:rFonts w:ascii="Courier" w:hAnsi="Courier"/>
      <w:lang w:val="x-none" w:eastAsia="cs-CZ"/>
    </w:rPr>
  </w:style>
  <w:style w:type="character" w:customStyle="1" w:styleId="TextkomentraChar1135">
    <w:name w:val="Text komentára Char1135"/>
    <w:aliases w:val="Char7 Char Char1136,Text komentára Char Char Char1136,Comment Text Char Char Char1136"/>
    <w:uiPriority w:val="99"/>
    <w:semiHidden/>
    <w:rsid w:val="00A809E7"/>
    <w:rPr>
      <w:rFonts w:ascii="Courier" w:hAnsi="Courier"/>
      <w:lang w:val="x-none" w:eastAsia="cs-CZ"/>
    </w:rPr>
  </w:style>
  <w:style w:type="character" w:customStyle="1" w:styleId="TextkomentraChar1134">
    <w:name w:val="Text komentára Char1134"/>
    <w:aliases w:val="Char7 Char Char1135,Text komentára Char Char Char1135,Comment Text Char Char Char1135"/>
    <w:uiPriority w:val="99"/>
    <w:semiHidden/>
    <w:rsid w:val="00A809E7"/>
    <w:rPr>
      <w:rFonts w:ascii="Courier" w:hAnsi="Courier"/>
      <w:lang w:val="x-none" w:eastAsia="cs-CZ"/>
    </w:rPr>
  </w:style>
  <w:style w:type="character" w:customStyle="1" w:styleId="TextkomentraChar1133">
    <w:name w:val="Text komentára Char1133"/>
    <w:aliases w:val="Char7 Char Char1134,Text komentára Char Char Char1134,Comment Text Char Char Char1134"/>
    <w:uiPriority w:val="99"/>
    <w:semiHidden/>
    <w:rsid w:val="00A809E7"/>
    <w:rPr>
      <w:rFonts w:ascii="Courier" w:hAnsi="Courier"/>
      <w:lang w:val="x-none" w:eastAsia="cs-CZ"/>
    </w:rPr>
  </w:style>
  <w:style w:type="character" w:customStyle="1" w:styleId="TextkomentraChar1132">
    <w:name w:val="Text komentára Char1132"/>
    <w:aliases w:val="Char7 Char Char1133,Text komentára Char Char Char1133,Comment Text Char Char Char1133"/>
    <w:uiPriority w:val="99"/>
    <w:semiHidden/>
    <w:rsid w:val="00A809E7"/>
    <w:rPr>
      <w:rFonts w:ascii="Courier" w:hAnsi="Courier"/>
      <w:lang w:val="x-none" w:eastAsia="cs-CZ"/>
    </w:rPr>
  </w:style>
  <w:style w:type="character" w:customStyle="1" w:styleId="TextkomentraChar1131">
    <w:name w:val="Text komentára Char1131"/>
    <w:aliases w:val="Char7 Char Char1132,Text komentára Char Char Char1132,Comment Text Char Char Char1132"/>
    <w:uiPriority w:val="99"/>
    <w:semiHidden/>
    <w:rsid w:val="00A809E7"/>
    <w:rPr>
      <w:rFonts w:ascii="Courier" w:hAnsi="Courier"/>
      <w:lang w:val="x-none" w:eastAsia="cs-CZ"/>
    </w:rPr>
  </w:style>
  <w:style w:type="character" w:customStyle="1" w:styleId="TextkomentraChar1130">
    <w:name w:val="Text komentára Char1130"/>
    <w:aliases w:val="Char7 Char Char1131,Text komentára Char Char Char1131,Comment Text Char Char Char1131"/>
    <w:uiPriority w:val="99"/>
    <w:semiHidden/>
    <w:rsid w:val="00A809E7"/>
    <w:rPr>
      <w:rFonts w:ascii="Courier" w:hAnsi="Courier"/>
      <w:lang w:val="x-none" w:eastAsia="cs-CZ"/>
    </w:rPr>
  </w:style>
  <w:style w:type="character" w:customStyle="1" w:styleId="TextkomentraChar1129">
    <w:name w:val="Text komentára Char1129"/>
    <w:aliases w:val="Char7 Char Char1130,Text komentára Char Char Char1130,Comment Text Char Char Char1130"/>
    <w:uiPriority w:val="99"/>
    <w:semiHidden/>
    <w:rsid w:val="00A809E7"/>
    <w:rPr>
      <w:rFonts w:ascii="Courier" w:hAnsi="Courier"/>
      <w:lang w:val="x-none" w:eastAsia="cs-CZ"/>
    </w:rPr>
  </w:style>
  <w:style w:type="character" w:customStyle="1" w:styleId="TextkomentraChar1128">
    <w:name w:val="Text komentára Char1128"/>
    <w:aliases w:val="Char7 Char Char1129,Text komentára Char Char Char1129,Comment Text Char Char Char1129"/>
    <w:uiPriority w:val="99"/>
    <w:semiHidden/>
    <w:rsid w:val="00A809E7"/>
    <w:rPr>
      <w:rFonts w:ascii="Courier" w:hAnsi="Courier"/>
      <w:lang w:val="x-none" w:eastAsia="cs-CZ"/>
    </w:rPr>
  </w:style>
  <w:style w:type="character" w:customStyle="1" w:styleId="TextkomentraChar1127">
    <w:name w:val="Text komentára Char1127"/>
    <w:aliases w:val="Char7 Char Char1128,Text komentára Char Char Char1128,Comment Text Char Char Char1128"/>
    <w:uiPriority w:val="99"/>
    <w:semiHidden/>
    <w:rsid w:val="00A809E7"/>
    <w:rPr>
      <w:rFonts w:ascii="Courier" w:hAnsi="Courier"/>
      <w:lang w:val="x-none" w:eastAsia="cs-CZ"/>
    </w:rPr>
  </w:style>
  <w:style w:type="character" w:customStyle="1" w:styleId="TextkomentraChar1126">
    <w:name w:val="Text komentára Char1126"/>
    <w:aliases w:val="Char7 Char Char1127,Text komentára Char Char Char1127,Comment Text Char Char Char1127"/>
    <w:uiPriority w:val="99"/>
    <w:semiHidden/>
    <w:rsid w:val="00A809E7"/>
    <w:rPr>
      <w:rFonts w:ascii="Courier" w:hAnsi="Courier"/>
      <w:lang w:val="x-none" w:eastAsia="cs-CZ"/>
    </w:rPr>
  </w:style>
  <w:style w:type="character" w:customStyle="1" w:styleId="TextkomentraChar1125">
    <w:name w:val="Text komentára Char1125"/>
    <w:aliases w:val="Char7 Char Char1126,Text komentára Char Char Char1126,Comment Text Char Char Char1126"/>
    <w:uiPriority w:val="99"/>
    <w:semiHidden/>
    <w:rsid w:val="00A809E7"/>
    <w:rPr>
      <w:rFonts w:ascii="Courier" w:hAnsi="Courier"/>
      <w:lang w:val="x-none" w:eastAsia="cs-CZ"/>
    </w:rPr>
  </w:style>
  <w:style w:type="character" w:customStyle="1" w:styleId="TextkomentraChar1124">
    <w:name w:val="Text komentára Char1124"/>
    <w:aliases w:val="Char7 Char Char1125,Text komentára Char Char Char1125,Comment Text Char Char Char1125"/>
    <w:uiPriority w:val="99"/>
    <w:semiHidden/>
    <w:rsid w:val="00A809E7"/>
    <w:rPr>
      <w:rFonts w:ascii="Courier" w:hAnsi="Courier"/>
      <w:lang w:val="x-none" w:eastAsia="cs-CZ"/>
    </w:rPr>
  </w:style>
  <w:style w:type="character" w:customStyle="1" w:styleId="TextkomentraChar1123">
    <w:name w:val="Text komentára Char1123"/>
    <w:aliases w:val="Char7 Char Char1124,Text komentára Char Char Char1124,Comment Text Char Char Char1124"/>
    <w:uiPriority w:val="99"/>
    <w:semiHidden/>
    <w:rsid w:val="00A809E7"/>
    <w:rPr>
      <w:rFonts w:ascii="Courier" w:hAnsi="Courier"/>
      <w:lang w:val="x-none" w:eastAsia="cs-CZ"/>
    </w:rPr>
  </w:style>
  <w:style w:type="character" w:customStyle="1" w:styleId="TextkomentraChar1122">
    <w:name w:val="Text komentára Char1122"/>
    <w:aliases w:val="Char7 Char Char1123,Text komentára Char Char Char1123,Comment Text Char Char Char1123"/>
    <w:uiPriority w:val="99"/>
    <w:semiHidden/>
    <w:rsid w:val="00A809E7"/>
    <w:rPr>
      <w:rFonts w:ascii="Courier" w:hAnsi="Courier"/>
      <w:lang w:val="x-none" w:eastAsia="cs-CZ"/>
    </w:rPr>
  </w:style>
  <w:style w:type="character" w:customStyle="1" w:styleId="TextkomentraChar1121">
    <w:name w:val="Text komentára Char1121"/>
    <w:aliases w:val="Char7 Char Char1122,Text komentára Char Char Char1122,Comment Text Char Char Char1122"/>
    <w:uiPriority w:val="99"/>
    <w:semiHidden/>
    <w:rsid w:val="00A809E7"/>
    <w:rPr>
      <w:rFonts w:ascii="Courier" w:hAnsi="Courier"/>
      <w:lang w:val="x-none" w:eastAsia="cs-CZ"/>
    </w:rPr>
  </w:style>
  <w:style w:type="character" w:customStyle="1" w:styleId="TextkomentraChar1120">
    <w:name w:val="Text komentára Char1120"/>
    <w:aliases w:val="Char7 Char Char1121,Text komentára Char Char Char1121,Comment Text Char Char Char1121"/>
    <w:uiPriority w:val="99"/>
    <w:semiHidden/>
    <w:rsid w:val="00A809E7"/>
    <w:rPr>
      <w:rFonts w:ascii="Courier" w:hAnsi="Courier"/>
      <w:lang w:val="x-none" w:eastAsia="cs-CZ"/>
    </w:rPr>
  </w:style>
  <w:style w:type="character" w:customStyle="1" w:styleId="TextkomentraChar1119">
    <w:name w:val="Text komentára Char1119"/>
    <w:aliases w:val="Char7 Char Char1120,Text komentára Char Char Char1120,Comment Text Char Char Char1120"/>
    <w:uiPriority w:val="99"/>
    <w:semiHidden/>
    <w:rsid w:val="00A809E7"/>
    <w:rPr>
      <w:rFonts w:ascii="Courier" w:hAnsi="Courier"/>
      <w:lang w:val="x-none" w:eastAsia="cs-CZ"/>
    </w:rPr>
  </w:style>
  <w:style w:type="character" w:customStyle="1" w:styleId="TextkomentraChar1118">
    <w:name w:val="Text komentára Char1118"/>
    <w:aliases w:val="Char7 Char Char1119,Text komentára Char Char Char1119,Comment Text Char Char Char1119"/>
    <w:uiPriority w:val="99"/>
    <w:semiHidden/>
    <w:rsid w:val="00A809E7"/>
    <w:rPr>
      <w:rFonts w:ascii="Courier" w:hAnsi="Courier"/>
      <w:lang w:val="x-none" w:eastAsia="cs-CZ"/>
    </w:rPr>
  </w:style>
  <w:style w:type="character" w:customStyle="1" w:styleId="TextkomentraChar1117">
    <w:name w:val="Text komentára Char1117"/>
    <w:aliases w:val="Char7 Char Char1118,Text komentára Char Char Char1118,Comment Text Char Char Char1118"/>
    <w:uiPriority w:val="99"/>
    <w:semiHidden/>
    <w:rsid w:val="00A809E7"/>
    <w:rPr>
      <w:rFonts w:ascii="Courier" w:hAnsi="Courier"/>
      <w:lang w:val="x-none" w:eastAsia="cs-CZ"/>
    </w:rPr>
  </w:style>
  <w:style w:type="character" w:customStyle="1" w:styleId="TextkomentraChar1116">
    <w:name w:val="Text komentára Char1116"/>
    <w:aliases w:val="Char7 Char Char1117,Text komentára Char Char Char1117,Comment Text Char Char Char1117"/>
    <w:uiPriority w:val="99"/>
    <w:semiHidden/>
    <w:rsid w:val="00A809E7"/>
    <w:rPr>
      <w:rFonts w:ascii="Courier" w:hAnsi="Courier"/>
      <w:lang w:val="x-none" w:eastAsia="cs-CZ"/>
    </w:rPr>
  </w:style>
  <w:style w:type="character" w:customStyle="1" w:styleId="TextkomentraChar1115">
    <w:name w:val="Text komentára Char1115"/>
    <w:aliases w:val="Char7 Char Char1116,Text komentára Char Char Char1116,Comment Text Char Char Char1116"/>
    <w:uiPriority w:val="99"/>
    <w:semiHidden/>
    <w:rsid w:val="00A809E7"/>
    <w:rPr>
      <w:rFonts w:ascii="Courier" w:hAnsi="Courier"/>
      <w:lang w:val="x-none" w:eastAsia="cs-CZ"/>
    </w:rPr>
  </w:style>
  <w:style w:type="character" w:customStyle="1" w:styleId="TextkomentraChar1114">
    <w:name w:val="Text komentára Char1114"/>
    <w:aliases w:val="Char7 Char Char1115,Text komentára Char Char Char1115,Comment Text Char Char Char1115"/>
    <w:uiPriority w:val="99"/>
    <w:semiHidden/>
    <w:rsid w:val="00A809E7"/>
    <w:rPr>
      <w:rFonts w:ascii="Courier" w:hAnsi="Courier"/>
      <w:lang w:val="x-none" w:eastAsia="cs-CZ"/>
    </w:rPr>
  </w:style>
  <w:style w:type="character" w:customStyle="1" w:styleId="TextkomentraChar1113">
    <w:name w:val="Text komentára Char1113"/>
    <w:aliases w:val="Char7 Char Char1114,Text komentára Char Char Char1114,Comment Text Char Char Char1114"/>
    <w:uiPriority w:val="99"/>
    <w:semiHidden/>
    <w:rsid w:val="00A809E7"/>
    <w:rPr>
      <w:rFonts w:ascii="Courier" w:hAnsi="Courier"/>
      <w:lang w:val="x-none" w:eastAsia="cs-CZ"/>
    </w:rPr>
  </w:style>
  <w:style w:type="character" w:customStyle="1" w:styleId="TextkomentraChar1112">
    <w:name w:val="Text komentára Char1112"/>
    <w:aliases w:val="Char7 Char Char1113,Text komentára Char Char Char1113,Comment Text Char Char Char1113"/>
    <w:uiPriority w:val="99"/>
    <w:semiHidden/>
    <w:rsid w:val="00A809E7"/>
    <w:rPr>
      <w:rFonts w:ascii="Courier" w:hAnsi="Courier"/>
      <w:lang w:val="x-none" w:eastAsia="cs-CZ"/>
    </w:rPr>
  </w:style>
  <w:style w:type="character" w:customStyle="1" w:styleId="TextkomentraChar1111">
    <w:name w:val="Text komentára Char1111"/>
    <w:aliases w:val="Char7 Char Char1112,Text komentára Char Char Char1112,Comment Text Char Char Char1112"/>
    <w:uiPriority w:val="99"/>
    <w:semiHidden/>
    <w:rsid w:val="00A809E7"/>
    <w:rPr>
      <w:rFonts w:ascii="Courier" w:hAnsi="Courier"/>
      <w:lang w:val="x-none" w:eastAsia="cs-CZ"/>
    </w:rPr>
  </w:style>
  <w:style w:type="character" w:customStyle="1" w:styleId="TextkomentraChar1110">
    <w:name w:val="Text komentára Char1110"/>
    <w:aliases w:val="Char7 Char Char1111,Text komentára Char Char Char1111,Comment Text Char Char Char1111"/>
    <w:uiPriority w:val="99"/>
    <w:semiHidden/>
    <w:rsid w:val="00A809E7"/>
    <w:rPr>
      <w:rFonts w:ascii="Courier" w:hAnsi="Courier"/>
      <w:lang w:val="x-none" w:eastAsia="cs-CZ"/>
    </w:rPr>
  </w:style>
  <w:style w:type="character" w:customStyle="1" w:styleId="TextkomentraChar1109">
    <w:name w:val="Text komentára Char1109"/>
    <w:aliases w:val="Char7 Char Char1110,Text komentára Char Char Char1110,Comment Text Char Char Char1110"/>
    <w:uiPriority w:val="99"/>
    <w:semiHidden/>
    <w:rsid w:val="00A809E7"/>
    <w:rPr>
      <w:rFonts w:ascii="Courier" w:hAnsi="Courier"/>
      <w:lang w:val="x-none" w:eastAsia="cs-CZ"/>
    </w:rPr>
  </w:style>
  <w:style w:type="character" w:customStyle="1" w:styleId="TextkomentraChar1108">
    <w:name w:val="Text komentára Char1108"/>
    <w:aliases w:val="Char7 Char Char1109,Text komentára Char Char Char1109,Comment Text Char Char Char1109"/>
    <w:uiPriority w:val="99"/>
    <w:semiHidden/>
    <w:rsid w:val="00A809E7"/>
    <w:rPr>
      <w:rFonts w:ascii="Courier" w:hAnsi="Courier"/>
      <w:lang w:val="x-none" w:eastAsia="cs-CZ"/>
    </w:rPr>
  </w:style>
  <w:style w:type="character" w:customStyle="1" w:styleId="TextkomentraChar1107">
    <w:name w:val="Text komentára Char1107"/>
    <w:aliases w:val="Char7 Char Char1108,Text komentára Char Char Char1108,Comment Text Char Char Char1108"/>
    <w:uiPriority w:val="99"/>
    <w:semiHidden/>
    <w:rsid w:val="00A809E7"/>
    <w:rPr>
      <w:rFonts w:ascii="Courier" w:hAnsi="Courier"/>
      <w:lang w:val="x-none" w:eastAsia="cs-CZ"/>
    </w:rPr>
  </w:style>
  <w:style w:type="character" w:customStyle="1" w:styleId="TextkomentraChar1106">
    <w:name w:val="Text komentára Char1106"/>
    <w:aliases w:val="Char7 Char Char1107,Text komentára Char Char Char1107,Comment Text Char Char Char1107"/>
    <w:uiPriority w:val="99"/>
    <w:semiHidden/>
    <w:rsid w:val="00A809E7"/>
    <w:rPr>
      <w:rFonts w:ascii="Courier" w:hAnsi="Courier"/>
      <w:lang w:val="x-none" w:eastAsia="cs-CZ"/>
    </w:rPr>
  </w:style>
  <w:style w:type="character" w:customStyle="1" w:styleId="TextkomentraChar1105">
    <w:name w:val="Text komentára Char1105"/>
    <w:aliases w:val="Char7 Char Char1106,Text komentára Char Char Char1106,Comment Text Char Char Char1106"/>
    <w:uiPriority w:val="99"/>
    <w:semiHidden/>
    <w:rsid w:val="00A809E7"/>
    <w:rPr>
      <w:rFonts w:ascii="Courier" w:hAnsi="Courier"/>
      <w:lang w:val="x-none" w:eastAsia="cs-CZ"/>
    </w:rPr>
  </w:style>
  <w:style w:type="character" w:customStyle="1" w:styleId="TextkomentraChar1104">
    <w:name w:val="Text komentára Char1104"/>
    <w:aliases w:val="Char7 Char Char1105,Text komentára Char Char Char1105,Comment Text Char Char Char1105"/>
    <w:uiPriority w:val="99"/>
    <w:semiHidden/>
    <w:rsid w:val="00A809E7"/>
    <w:rPr>
      <w:rFonts w:ascii="Courier" w:hAnsi="Courier"/>
      <w:lang w:val="x-none" w:eastAsia="cs-CZ"/>
    </w:rPr>
  </w:style>
  <w:style w:type="character" w:customStyle="1" w:styleId="TextkomentraChar1103">
    <w:name w:val="Text komentára Char1103"/>
    <w:aliases w:val="Char7 Char Char1104,Text komentára Char Char Char1104,Comment Text Char Char Char1104"/>
    <w:uiPriority w:val="99"/>
    <w:semiHidden/>
    <w:rsid w:val="00A809E7"/>
    <w:rPr>
      <w:rFonts w:ascii="Courier" w:hAnsi="Courier"/>
      <w:lang w:val="x-none" w:eastAsia="cs-CZ"/>
    </w:rPr>
  </w:style>
  <w:style w:type="character" w:customStyle="1" w:styleId="TextkomentraChar1102">
    <w:name w:val="Text komentára Char1102"/>
    <w:aliases w:val="Char7 Char Char1103,Text komentára Char Char Char1103,Comment Text Char Char Char1103"/>
    <w:uiPriority w:val="99"/>
    <w:semiHidden/>
    <w:rsid w:val="00A809E7"/>
    <w:rPr>
      <w:rFonts w:ascii="Courier" w:hAnsi="Courier"/>
      <w:lang w:val="x-none" w:eastAsia="cs-CZ"/>
    </w:rPr>
  </w:style>
  <w:style w:type="character" w:customStyle="1" w:styleId="TextkomentraChar1101">
    <w:name w:val="Text komentára Char1101"/>
    <w:aliases w:val="Char7 Char Char1102,Text komentára Char Char Char1102,Comment Text Char Char Char1102"/>
    <w:uiPriority w:val="99"/>
    <w:semiHidden/>
    <w:rsid w:val="00A809E7"/>
    <w:rPr>
      <w:rFonts w:ascii="Courier" w:hAnsi="Courier"/>
      <w:lang w:val="x-none" w:eastAsia="cs-CZ"/>
    </w:rPr>
  </w:style>
  <w:style w:type="character" w:customStyle="1" w:styleId="TextkomentraChar1100">
    <w:name w:val="Text komentára Char1100"/>
    <w:aliases w:val="Char7 Char Char1101,Text komentára Char Char Char1101,Comment Text Char Char Char1101"/>
    <w:uiPriority w:val="99"/>
    <w:semiHidden/>
    <w:rsid w:val="00A809E7"/>
    <w:rPr>
      <w:rFonts w:ascii="Courier" w:hAnsi="Courier"/>
      <w:lang w:val="x-none" w:eastAsia="cs-CZ"/>
    </w:rPr>
  </w:style>
  <w:style w:type="character" w:customStyle="1" w:styleId="TextkomentraChar199">
    <w:name w:val="Text komentára Char199"/>
    <w:aliases w:val="Char7 Char Char1100,Text komentára Char Char Char1100,Comment Text Char Char Char1100"/>
    <w:uiPriority w:val="99"/>
    <w:semiHidden/>
    <w:rsid w:val="00A809E7"/>
    <w:rPr>
      <w:rFonts w:ascii="Courier" w:hAnsi="Courier"/>
      <w:lang w:val="x-none" w:eastAsia="cs-CZ"/>
    </w:rPr>
  </w:style>
  <w:style w:type="character" w:customStyle="1" w:styleId="TextkomentraChar198">
    <w:name w:val="Text komentára Char198"/>
    <w:aliases w:val="Char7 Char Char199,Text komentára Char Char Char199,Comment Text Char Char Char199"/>
    <w:uiPriority w:val="99"/>
    <w:semiHidden/>
    <w:rsid w:val="00A809E7"/>
    <w:rPr>
      <w:rFonts w:ascii="Courier" w:hAnsi="Courier"/>
      <w:lang w:val="x-none" w:eastAsia="cs-CZ"/>
    </w:rPr>
  </w:style>
  <w:style w:type="character" w:customStyle="1" w:styleId="TextkomentraChar197">
    <w:name w:val="Text komentára Char197"/>
    <w:aliases w:val="Char7 Char Char198,Text komentára Char Char Char198,Comment Text Char Char Char198"/>
    <w:uiPriority w:val="99"/>
    <w:semiHidden/>
    <w:rsid w:val="00A809E7"/>
    <w:rPr>
      <w:rFonts w:ascii="Courier" w:hAnsi="Courier"/>
      <w:lang w:val="x-none" w:eastAsia="cs-CZ"/>
    </w:rPr>
  </w:style>
  <w:style w:type="character" w:customStyle="1" w:styleId="TextkomentraChar196">
    <w:name w:val="Text komentára Char196"/>
    <w:aliases w:val="Char7 Char Char197,Text komentára Char Char Char197,Comment Text Char Char Char197"/>
    <w:uiPriority w:val="99"/>
    <w:semiHidden/>
    <w:rsid w:val="00A809E7"/>
    <w:rPr>
      <w:rFonts w:ascii="Courier" w:hAnsi="Courier"/>
      <w:lang w:val="x-none" w:eastAsia="cs-CZ"/>
    </w:rPr>
  </w:style>
  <w:style w:type="character" w:customStyle="1" w:styleId="TextkomentraChar195">
    <w:name w:val="Text komentára Char195"/>
    <w:aliases w:val="Char7 Char Char196,Text komentára Char Char Char196,Comment Text Char Char Char196"/>
    <w:uiPriority w:val="99"/>
    <w:semiHidden/>
    <w:rsid w:val="00A809E7"/>
    <w:rPr>
      <w:rFonts w:ascii="Courier" w:hAnsi="Courier"/>
      <w:lang w:val="x-none" w:eastAsia="cs-CZ"/>
    </w:rPr>
  </w:style>
  <w:style w:type="character" w:customStyle="1" w:styleId="TextkomentraChar194">
    <w:name w:val="Text komentára Char194"/>
    <w:aliases w:val="Char7 Char Char195,Text komentára Char Char Char195,Comment Text Char Char Char195"/>
    <w:uiPriority w:val="99"/>
    <w:semiHidden/>
    <w:rsid w:val="00A809E7"/>
    <w:rPr>
      <w:rFonts w:ascii="Courier" w:hAnsi="Courier"/>
      <w:lang w:val="x-none" w:eastAsia="cs-CZ"/>
    </w:rPr>
  </w:style>
  <w:style w:type="character" w:customStyle="1" w:styleId="TextkomentraChar193">
    <w:name w:val="Text komentára Char193"/>
    <w:aliases w:val="Char7 Char Char194,Text komentára Char Char Char194,Comment Text Char Char Char194"/>
    <w:uiPriority w:val="99"/>
    <w:semiHidden/>
    <w:rsid w:val="00A809E7"/>
    <w:rPr>
      <w:rFonts w:ascii="Courier" w:hAnsi="Courier"/>
      <w:lang w:val="x-none" w:eastAsia="cs-CZ"/>
    </w:rPr>
  </w:style>
  <w:style w:type="character" w:customStyle="1" w:styleId="TextkomentraChar192">
    <w:name w:val="Text komentára Char192"/>
    <w:aliases w:val="Char7 Char Char193,Text komentára Char Char Char193,Comment Text Char Char Char193"/>
    <w:uiPriority w:val="99"/>
    <w:semiHidden/>
    <w:rsid w:val="00A809E7"/>
    <w:rPr>
      <w:rFonts w:ascii="Courier" w:hAnsi="Courier"/>
      <w:lang w:val="x-none" w:eastAsia="cs-CZ"/>
    </w:rPr>
  </w:style>
  <w:style w:type="character" w:customStyle="1" w:styleId="TextkomentraChar191">
    <w:name w:val="Text komentára Char191"/>
    <w:aliases w:val="Char7 Char Char192,Text komentára Char Char Char192,Comment Text Char Char Char192"/>
    <w:uiPriority w:val="99"/>
    <w:semiHidden/>
    <w:rsid w:val="00A809E7"/>
    <w:rPr>
      <w:rFonts w:ascii="Courier" w:hAnsi="Courier"/>
      <w:lang w:val="x-none" w:eastAsia="cs-CZ"/>
    </w:rPr>
  </w:style>
  <w:style w:type="character" w:customStyle="1" w:styleId="TextkomentraChar190">
    <w:name w:val="Text komentára Char190"/>
    <w:aliases w:val="Char7 Char Char191,Text komentára Char Char Char191,Comment Text Char Char Char191"/>
    <w:uiPriority w:val="99"/>
    <w:semiHidden/>
    <w:rsid w:val="00A809E7"/>
    <w:rPr>
      <w:rFonts w:ascii="Courier" w:hAnsi="Courier"/>
      <w:lang w:val="x-none" w:eastAsia="cs-CZ"/>
    </w:rPr>
  </w:style>
  <w:style w:type="character" w:customStyle="1" w:styleId="TextkomentraChar189">
    <w:name w:val="Text komentára Char189"/>
    <w:aliases w:val="Char7 Char Char190,Text komentára Char Char Char190,Comment Text Char Char Char190"/>
    <w:uiPriority w:val="99"/>
    <w:semiHidden/>
    <w:rsid w:val="00A809E7"/>
    <w:rPr>
      <w:rFonts w:ascii="Courier" w:hAnsi="Courier"/>
      <w:lang w:val="x-none" w:eastAsia="cs-CZ"/>
    </w:rPr>
  </w:style>
  <w:style w:type="character" w:customStyle="1" w:styleId="TextkomentraChar188">
    <w:name w:val="Text komentára Char188"/>
    <w:aliases w:val="Char7 Char Char189,Text komentára Char Char Char189,Comment Text Char Char Char189"/>
    <w:uiPriority w:val="99"/>
    <w:semiHidden/>
    <w:rsid w:val="00A809E7"/>
    <w:rPr>
      <w:rFonts w:ascii="Courier" w:hAnsi="Courier"/>
      <w:lang w:val="x-none" w:eastAsia="cs-CZ"/>
    </w:rPr>
  </w:style>
  <w:style w:type="character" w:customStyle="1" w:styleId="TextkomentraChar187">
    <w:name w:val="Text komentára Char187"/>
    <w:aliases w:val="Char7 Char Char188,Text komentára Char Char Char188,Comment Text Char Char Char188"/>
    <w:uiPriority w:val="99"/>
    <w:semiHidden/>
    <w:rsid w:val="00A809E7"/>
    <w:rPr>
      <w:rFonts w:ascii="Courier" w:hAnsi="Courier"/>
      <w:lang w:val="x-none" w:eastAsia="cs-CZ"/>
    </w:rPr>
  </w:style>
  <w:style w:type="character" w:customStyle="1" w:styleId="TextkomentraChar186">
    <w:name w:val="Text komentára Char186"/>
    <w:aliases w:val="Char7 Char Char187,Text komentára Char Char Char187,Comment Text Char Char Char187"/>
    <w:uiPriority w:val="99"/>
    <w:semiHidden/>
    <w:rsid w:val="00A809E7"/>
    <w:rPr>
      <w:rFonts w:ascii="Courier" w:hAnsi="Courier"/>
      <w:lang w:val="x-none" w:eastAsia="cs-CZ"/>
    </w:rPr>
  </w:style>
  <w:style w:type="character" w:customStyle="1" w:styleId="TextkomentraChar185">
    <w:name w:val="Text komentára Char185"/>
    <w:aliases w:val="Char7 Char Char186,Text komentára Char Char Char186,Comment Text Char Char Char186"/>
    <w:uiPriority w:val="99"/>
    <w:semiHidden/>
    <w:rsid w:val="00A809E7"/>
    <w:rPr>
      <w:rFonts w:ascii="Courier" w:hAnsi="Courier"/>
      <w:lang w:val="x-none" w:eastAsia="cs-CZ"/>
    </w:rPr>
  </w:style>
  <w:style w:type="character" w:customStyle="1" w:styleId="TextkomentraChar184">
    <w:name w:val="Text komentára Char184"/>
    <w:aliases w:val="Char7 Char Char185,Text komentára Char Char Char185,Comment Text Char Char Char185"/>
    <w:uiPriority w:val="99"/>
    <w:semiHidden/>
    <w:rsid w:val="00A809E7"/>
    <w:rPr>
      <w:rFonts w:ascii="Courier" w:hAnsi="Courier"/>
      <w:lang w:val="x-none" w:eastAsia="cs-CZ"/>
    </w:rPr>
  </w:style>
  <w:style w:type="character" w:customStyle="1" w:styleId="TextkomentraChar183">
    <w:name w:val="Text komentára Char183"/>
    <w:aliases w:val="Char7 Char Char184,Text komentára Char Char Char184,Comment Text Char Char Char184"/>
    <w:uiPriority w:val="99"/>
    <w:semiHidden/>
    <w:rsid w:val="00A809E7"/>
    <w:rPr>
      <w:rFonts w:ascii="Courier" w:hAnsi="Courier"/>
      <w:lang w:val="x-none" w:eastAsia="cs-CZ"/>
    </w:rPr>
  </w:style>
  <w:style w:type="character" w:customStyle="1" w:styleId="TextkomentraChar182">
    <w:name w:val="Text komentára Char182"/>
    <w:aliases w:val="Char7 Char Char183,Text komentára Char Char Char183,Comment Text Char Char Char183"/>
    <w:uiPriority w:val="99"/>
    <w:semiHidden/>
    <w:rsid w:val="00A809E7"/>
    <w:rPr>
      <w:rFonts w:ascii="Courier" w:hAnsi="Courier"/>
      <w:lang w:val="x-none" w:eastAsia="cs-CZ"/>
    </w:rPr>
  </w:style>
  <w:style w:type="character" w:customStyle="1" w:styleId="TextkomentraChar181">
    <w:name w:val="Text komentára Char181"/>
    <w:aliases w:val="Char7 Char Char182,Text komentára Char Char Char182,Comment Text Char Char Char182"/>
    <w:uiPriority w:val="99"/>
    <w:semiHidden/>
    <w:rsid w:val="00A809E7"/>
    <w:rPr>
      <w:rFonts w:ascii="Courier" w:hAnsi="Courier"/>
      <w:lang w:val="x-none" w:eastAsia="cs-CZ"/>
    </w:rPr>
  </w:style>
  <w:style w:type="character" w:customStyle="1" w:styleId="TextkomentraChar180">
    <w:name w:val="Text komentára Char180"/>
    <w:aliases w:val="Char7 Char Char181,Text komentára Char Char Char181,Comment Text Char Char Char181"/>
    <w:uiPriority w:val="99"/>
    <w:semiHidden/>
    <w:rsid w:val="00A809E7"/>
    <w:rPr>
      <w:rFonts w:ascii="Courier" w:hAnsi="Courier"/>
      <w:lang w:val="x-none" w:eastAsia="cs-CZ"/>
    </w:rPr>
  </w:style>
  <w:style w:type="character" w:customStyle="1" w:styleId="TextkomentraChar179">
    <w:name w:val="Text komentára Char179"/>
    <w:aliases w:val="Char7 Char Char180,Text komentára Char Char Char180,Comment Text Char Char Char180"/>
    <w:uiPriority w:val="99"/>
    <w:semiHidden/>
    <w:rsid w:val="00A809E7"/>
    <w:rPr>
      <w:rFonts w:ascii="Courier" w:hAnsi="Courier"/>
      <w:lang w:val="x-none" w:eastAsia="cs-CZ"/>
    </w:rPr>
  </w:style>
  <w:style w:type="character" w:customStyle="1" w:styleId="TextkomentraChar178">
    <w:name w:val="Text komentára Char178"/>
    <w:aliases w:val="Char7 Char Char179,Text komentára Char Char Char179,Comment Text Char Char Char179"/>
    <w:uiPriority w:val="99"/>
    <w:semiHidden/>
    <w:rsid w:val="00A809E7"/>
    <w:rPr>
      <w:rFonts w:ascii="Courier" w:hAnsi="Courier"/>
      <w:lang w:val="x-none" w:eastAsia="cs-CZ"/>
    </w:rPr>
  </w:style>
  <w:style w:type="character" w:customStyle="1" w:styleId="TextkomentraChar177">
    <w:name w:val="Text komentára Char177"/>
    <w:aliases w:val="Char7 Char Char178,Text komentára Char Char Char178,Comment Text Char Char Char178"/>
    <w:uiPriority w:val="99"/>
    <w:semiHidden/>
    <w:rsid w:val="00A809E7"/>
    <w:rPr>
      <w:rFonts w:ascii="Courier" w:hAnsi="Courier"/>
      <w:lang w:val="x-none" w:eastAsia="cs-CZ"/>
    </w:rPr>
  </w:style>
  <w:style w:type="character" w:customStyle="1" w:styleId="TextkomentraChar176">
    <w:name w:val="Text komentára Char176"/>
    <w:aliases w:val="Char7 Char Char177,Text komentára Char Char Char177,Comment Text Char Char Char177"/>
    <w:uiPriority w:val="99"/>
    <w:semiHidden/>
    <w:rsid w:val="00A809E7"/>
    <w:rPr>
      <w:rFonts w:ascii="Courier" w:hAnsi="Courier"/>
      <w:lang w:val="x-none" w:eastAsia="cs-CZ"/>
    </w:rPr>
  </w:style>
  <w:style w:type="character" w:customStyle="1" w:styleId="TextkomentraChar175">
    <w:name w:val="Text komentára Char175"/>
    <w:aliases w:val="Char7 Char Char176,Text komentára Char Char Char176,Comment Text Char Char Char176"/>
    <w:uiPriority w:val="99"/>
    <w:semiHidden/>
    <w:rsid w:val="00A809E7"/>
    <w:rPr>
      <w:rFonts w:ascii="Courier" w:hAnsi="Courier"/>
      <w:lang w:val="x-none" w:eastAsia="cs-CZ"/>
    </w:rPr>
  </w:style>
  <w:style w:type="character" w:customStyle="1" w:styleId="TextkomentraChar174">
    <w:name w:val="Text komentára Char174"/>
    <w:aliases w:val="Char7 Char Char175,Text komentára Char Char Char175,Comment Text Char Char Char175"/>
    <w:uiPriority w:val="99"/>
    <w:semiHidden/>
    <w:rsid w:val="00A809E7"/>
    <w:rPr>
      <w:rFonts w:ascii="Courier" w:hAnsi="Courier"/>
      <w:lang w:val="x-none" w:eastAsia="cs-CZ"/>
    </w:rPr>
  </w:style>
  <w:style w:type="character" w:customStyle="1" w:styleId="TextkomentraChar173">
    <w:name w:val="Text komentára Char173"/>
    <w:aliases w:val="Char7 Char Char174,Text komentára Char Char Char174,Comment Text Char Char Char174"/>
    <w:uiPriority w:val="99"/>
    <w:semiHidden/>
    <w:rsid w:val="00A809E7"/>
    <w:rPr>
      <w:rFonts w:ascii="Courier" w:hAnsi="Courier"/>
      <w:lang w:val="x-none" w:eastAsia="cs-CZ"/>
    </w:rPr>
  </w:style>
  <w:style w:type="character" w:customStyle="1" w:styleId="TextkomentraChar172">
    <w:name w:val="Text komentára Char172"/>
    <w:aliases w:val="Char7 Char Char173,Text komentára Char Char Char173,Comment Text Char Char Char173"/>
    <w:uiPriority w:val="99"/>
    <w:semiHidden/>
    <w:rsid w:val="00A809E7"/>
    <w:rPr>
      <w:rFonts w:ascii="Courier" w:hAnsi="Courier"/>
      <w:lang w:val="x-none" w:eastAsia="cs-CZ"/>
    </w:rPr>
  </w:style>
  <w:style w:type="character" w:customStyle="1" w:styleId="TextkomentraChar171">
    <w:name w:val="Text komentára Char171"/>
    <w:aliases w:val="Char7 Char Char172,Text komentára Char Char Char172,Comment Text Char Char Char172"/>
    <w:uiPriority w:val="99"/>
    <w:semiHidden/>
    <w:rsid w:val="00A809E7"/>
    <w:rPr>
      <w:rFonts w:ascii="Courier" w:hAnsi="Courier"/>
      <w:lang w:val="x-none" w:eastAsia="cs-CZ"/>
    </w:rPr>
  </w:style>
  <w:style w:type="character" w:customStyle="1" w:styleId="TextkomentraChar170">
    <w:name w:val="Text komentára Char170"/>
    <w:aliases w:val="Char7 Char Char171,Text komentára Char Char Char171,Comment Text Char Char Char171"/>
    <w:uiPriority w:val="99"/>
    <w:semiHidden/>
    <w:rsid w:val="00A809E7"/>
    <w:rPr>
      <w:rFonts w:ascii="Courier" w:hAnsi="Courier"/>
      <w:lang w:val="x-none" w:eastAsia="cs-CZ"/>
    </w:rPr>
  </w:style>
  <w:style w:type="character" w:customStyle="1" w:styleId="TextkomentraChar169">
    <w:name w:val="Text komentára Char169"/>
    <w:aliases w:val="Char7 Char Char170,Text komentára Char Char Char170,Comment Text Char Char Char170"/>
    <w:uiPriority w:val="99"/>
    <w:semiHidden/>
    <w:rsid w:val="00A809E7"/>
    <w:rPr>
      <w:rFonts w:ascii="Courier" w:hAnsi="Courier"/>
      <w:lang w:val="x-none" w:eastAsia="cs-CZ"/>
    </w:rPr>
  </w:style>
  <w:style w:type="character" w:customStyle="1" w:styleId="TextkomentraChar168">
    <w:name w:val="Text komentára Char168"/>
    <w:aliases w:val="Char7 Char Char169,Text komentára Char Char Char169,Comment Text Char Char Char169"/>
    <w:uiPriority w:val="99"/>
    <w:semiHidden/>
    <w:rsid w:val="00A809E7"/>
    <w:rPr>
      <w:rFonts w:ascii="Courier" w:hAnsi="Courier"/>
      <w:lang w:val="x-none" w:eastAsia="cs-CZ"/>
    </w:rPr>
  </w:style>
  <w:style w:type="character" w:customStyle="1" w:styleId="TextkomentraChar167">
    <w:name w:val="Text komentára Char167"/>
    <w:aliases w:val="Char7 Char Char168,Text komentára Char Char Char168,Comment Text Char Char Char168"/>
    <w:uiPriority w:val="99"/>
    <w:semiHidden/>
    <w:rsid w:val="00A809E7"/>
    <w:rPr>
      <w:rFonts w:ascii="Courier" w:hAnsi="Courier"/>
      <w:lang w:val="x-none" w:eastAsia="cs-CZ"/>
    </w:rPr>
  </w:style>
  <w:style w:type="character" w:customStyle="1" w:styleId="TextkomentraChar166">
    <w:name w:val="Text komentára Char166"/>
    <w:aliases w:val="Char7 Char Char167,Text komentára Char Char Char167,Comment Text Char Char Char167"/>
    <w:uiPriority w:val="99"/>
    <w:semiHidden/>
    <w:rsid w:val="00A809E7"/>
    <w:rPr>
      <w:rFonts w:ascii="Courier" w:hAnsi="Courier"/>
      <w:lang w:val="x-none" w:eastAsia="cs-CZ"/>
    </w:rPr>
  </w:style>
  <w:style w:type="character" w:customStyle="1" w:styleId="TextkomentraChar165">
    <w:name w:val="Text komentára Char165"/>
    <w:aliases w:val="Char7 Char Char166,Text komentára Char Char Char166,Comment Text Char Char Char166"/>
    <w:uiPriority w:val="99"/>
    <w:semiHidden/>
    <w:rsid w:val="00A809E7"/>
    <w:rPr>
      <w:rFonts w:ascii="Courier" w:hAnsi="Courier"/>
      <w:lang w:val="x-none" w:eastAsia="cs-CZ"/>
    </w:rPr>
  </w:style>
  <w:style w:type="character" w:customStyle="1" w:styleId="TextkomentraChar164">
    <w:name w:val="Text komentára Char164"/>
    <w:aliases w:val="Char7 Char Char165,Text komentára Char Char Char165,Comment Text Char Char Char165"/>
    <w:uiPriority w:val="99"/>
    <w:semiHidden/>
    <w:rsid w:val="00A809E7"/>
    <w:rPr>
      <w:rFonts w:ascii="Courier" w:hAnsi="Courier"/>
      <w:lang w:val="x-none" w:eastAsia="cs-CZ"/>
    </w:rPr>
  </w:style>
  <w:style w:type="character" w:customStyle="1" w:styleId="TextkomentraChar163">
    <w:name w:val="Text komentára Char163"/>
    <w:aliases w:val="Char7 Char Char164,Text komentára Char Char Char164,Comment Text Char Char Char164"/>
    <w:uiPriority w:val="99"/>
    <w:semiHidden/>
    <w:rsid w:val="00A809E7"/>
    <w:rPr>
      <w:rFonts w:ascii="Courier" w:hAnsi="Courier"/>
      <w:lang w:val="x-none" w:eastAsia="cs-CZ"/>
    </w:rPr>
  </w:style>
  <w:style w:type="character" w:customStyle="1" w:styleId="TextkomentraChar162">
    <w:name w:val="Text komentára Char162"/>
    <w:aliases w:val="Char7 Char Char163,Text komentára Char Char Char163,Comment Text Char Char Char163"/>
    <w:uiPriority w:val="99"/>
    <w:semiHidden/>
    <w:rsid w:val="00A809E7"/>
    <w:rPr>
      <w:rFonts w:ascii="Courier" w:hAnsi="Courier"/>
      <w:lang w:val="x-none" w:eastAsia="cs-CZ"/>
    </w:rPr>
  </w:style>
  <w:style w:type="character" w:customStyle="1" w:styleId="TextkomentraChar161">
    <w:name w:val="Text komentára Char161"/>
    <w:aliases w:val="Char7 Char Char162,Text komentára Char Char Char162,Comment Text Char Char Char162"/>
    <w:uiPriority w:val="99"/>
    <w:semiHidden/>
    <w:rsid w:val="00A809E7"/>
    <w:rPr>
      <w:rFonts w:ascii="Courier" w:hAnsi="Courier"/>
      <w:lang w:val="x-none" w:eastAsia="cs-CZ"/>
    </w:rPr>
  </w:style>
  <w:style w:type="character" w:customStyle="1" w:styleId="TextkomentraChar160">
    <w:name w:val="Text komentára Char160"/>
    <w:aliases w:val="Char7 Char Char161,Text komentára Char Char Char161,Comment Text Char Char Char161"/>
    <w:uiPriority w:val="99"/>
    <w:semiHidden/>
    <w:rsid w:val="00A809E7"/>
    <w:rPr>
      <w:rFonts w:ascii="Courier" w:hAnsi="Courier"/>
      <w:lang w:val="x-none" w:eastAsia="cs-CZ"/>
    </w:rPr>
  </w:style>
  <w:style w:type="character" w:customStyle="1" w:styleId="TextkomentraChar159">
    <w:name w:val="Text komentára Char159"/>
    <w:aliases w:val="Char7 Char Char160,Text komentára Char Char Char160,Comment Text Char Char Char160"/>
    <w:uiPriority w:val="99"/>
    <w:semiHidden/>
    <w:rsid w:val="00A809E7"/>
    <w:rPr>
      <w:rFonts w:ascii="Courier" w:hAnsi="Courier"/>
      <w:lang w:val="x-none" w:eastAsia="cs-CZ"/>
    </w:rPr>
  </w:style>
  <w:style w:type="character" w:customStyle="1" w:styleId="TextkomentraChar158">
    <w:name w:val="Text komentára Char158"/>
    <w:aliases w:val="Char7 Char Char159,Text komentára Char Char Char159,Comment Text Char Char Char159"/>
    <w:uiPriority w:val="99"/>
    <w:semiHidden/>
    <w:rsid w:val="00A809E7"/>
    <w:rPr>
      <w:rFonts w:ascii="Courier" w:hAnsi="Courier"/>
      <w:lang w:val="x-none" w:eastAsia="cs-CZ"/>
    </w:rPr>
  </w:style>
  <w:style w:type="character" w:customStyle="1" w:styleId="TextkomentraChar157">
    <w:name w:val="Text komentára Char157"/>
    <w:aliases w:val="Char7 Char Char158,Text komentára Char Char Char158,Comment Text Char Char Char158"/>
    <w:uiPriority w:val="99"/>
    <w:semiHidden/>
    <w:rsid w:val="00A809E7"/>
    <w:rPr>
      <w:rFonts w:ascii="Courier" w:hAnsi="Courier"/>
      <w:lang w:val="x-none" w:eastAsia="cs-CZ"/>
    </w:rPr>
  </w:style>
  <w:style w:type="character" w:customStyle="1" w:styleId="TextkomentraChar156">
    <w:name w:val="Text komentára Char156"/>
    <w:aliases w:val="Char7 Char Char157,Text komentára Char Char Char157,Comment Text Char Char Char157"/>
    <w:uiPriority w:val="99"/>
    <w:semiHidden/>
    <w:rsid w:val="00A809E7"/>
    <w:rPr>
      <w:rFonts w:ascii="Courier" w:hAnsi="Courier"/>
      <w:lang w:val="x-none" w:eastAsia="cs-CZ"/>
    </w:rPr>
  </w:style>
  <w:style w:type="character" w:customStyle="1" w:styleId="TextkomentraChar155">
    <w:name w:val="Text komentára Char155"/>
    <w:aliases w:val="Char7 Char Char156,Text komentára Char Char Char156,Comment Text Char Char Char156"/>
    <w:uiPriority w:val="99"/>
    <w:semiHidden/>
    <w:rsid w:val="00A809E7"/>
    <w:rPr>
      <w:rFonts w:ascii="Courier" w:hAnsi="Courier"/>
      <w:lang w:val="x-none" w:eastAsia="cs-CZ"/>
    </w:rPr>
  </w:style>
  <w:style w:type="character" w:customStyle="1" w:styleId="TextkomentraChar154">
    <w:name w:val="Text komentára Char154"/>
    <w:aliases w:val="Char7 Char Char155,Text komentára Char Char Char155,Comment Text Char Char Char155"/>
    <w:uiPriority w:val="99"/>
    <w:semiHidden/>
    <w:rsid w:val="00A809E7"/>
    <w:rPr>
      <w:rFonts w:ascii="Courier" w:hAnsi="Courier"/>
      <w:lang w:val="x-none" w:eastAsia="cs-CZ"/>
    </w:rPr>
  </w:style>
  <w:style w:type="character" w:customStyle="1" w:styleId="TextkomentraChar153">
    <w:name w:val="Text komentára Char153"/>
    <w:aliases w:val="Char7 Char Char154,Text komentára Char Char Char154,Comment Text Char Char Char154"/>
    <w:uiPriority w:val="99"/>
    <w:semiHidden/>
    <w:rsid w:val="00A809E7"/>
    <w:rPr>
      <w:rFonts w:ascii="Courier" w:hAnsi="Courier"/>
      <w:lang w:val="x-none" w:eastAsia="cs-CZ"/>
    </w:rPr>
  </w:style>
  <w:style w:type="character" w:customStyle="1" w:styleId="TextkomentraChar152">
    <w:name w:val="Text komentára Char152"/>
    <w:aliases w:val="Char7 Char Char153,Text komentára Char Char Char153,Comment Text Char Char Char153"/>
    <w:uiPriority w:val="99"/>
    <w:semiHidden/>
    <w:rsid w:val="00A809E7"/>
    <w:rPr>
      <w:rFonts w:ascii="Courier" w:hAnsi="Courier"/>
      <w:lang w:val="x-none" w:eastAsia="cs-CZ"/>
    </w:rPr>
  </w:style>
  <w:style w:type="character" w:customStyle="1" w:styleId="TextkomentraChar151">
    <w:name w:val="Text komentára Char151"/>
    <w:aliases w:val="Char7 Char Char152,Text komentára Char Char Char152,Comment Text Char Char Char152"/>
    <w:uiPriority w:val="99"/>
    <w:semiHidden/>
    <w:rsid w:val="00A809E7"/>
    <w:rPr>
      <w:rFonts w:ascii="Courier" w:hAnsi="Courier"/>
      <w:lang w:val="x-none" w:eastAsia="cs-CZ"/>
    </w:rPr>
  </w:style>
  <w:style w:type="character" w:customStyle="1" w:styleId="TextkomentraChar150">
    <w:name w:val="Text komentára Char150"/>
    <w:aliases w:val="Char7 Char Char151,Text komentára Char Char Char151,Comment Text Char Char Char151"/>
    <w:uiPriority w:val="99"/>
    <w:semiHidden/>
    <w:rsid w:val="00A809E7"/>
    <w:rPr>
      <w:rFonts w:ascii="Courier" w:hAnsi="Courier"/>
      <w:lang w:val="x-none" w:eastAsia="cs-CZ"/>
    </w:rPr>
  </w:style>
  <w:style w:type="character" w:customStyle="1" w:styleId="TextkomentraChar149">
    <w:name w:val="Text komentára Char149"/>
    <w:aliases w:val="Char7 Char Char150,Text komentára Char Char Char150,Comment Text Char Char Char150"/>
    <w:uiPriority w:val="99"/>
    <w:semiHidden/>
    <w:rsid w:val="00A809E7"/>
    <w:rPr>
      <w:rFonts w:ascii="Courier" w:hAnsi="Courier"/>
      <w:lang w:val="x-none" w:eastAsia="cs-CZ"/>
    </w:rPr>
  </w:style>
  <w:style w:type="character" w:customStyle="1" w:styleId="TextkomentraChar148">
    <w:name w:val="Text komentára Char148"/>
    <w:aliases w:val="Char7 Char Char149,Text komentára Char Char Char149,Comment Text Char Char Char149"/>
    <w:uiPriority w:val="99"/>
    <w:semiHidden/>
    <w:rsid w:val="00A809E7"/>
    <w:rPr>
      <w:rFonts w:ascii="Courier" w:hAnsi="Courier"/>
      <w:lang w:val="x-none" w:eastAsia="cs-CZ"/>
    </w:rPr>
  </w:style>
  <w:style w:type="character" w:customStyle="1" w:styleId="TextkomentraChar147">
    <w:name w:val="Text komentára Char147"/>
    <w:aliases w:val="Char7 Char Char148,Text komentára Char Char Char148,Comment Text Char Char Char148"/>
    <w:uiPriority w:val="99"/>
    <w:semiHidden/>
    <w:rsid w:val="00A809E7"/>
    <w:rPr>
      <w:rFonts w:ascii="Courier" w:hAnsi="Courier"/>
      <w:lang w:val="x-none" w:eastAsia="cs-CZ"/>
    </w:rPr>
  </w:style>
  <w:style w:type="character" w:customStyle="1" w:styleId="TextkomentraChar146">
    <w:name w:val="Text komentára Char146"/>
    <w:aliases w:val="Char7 Char Char147,Text komentára Char Char Char147,Comment Text Char Char Char147"/>
    <w:uiPriority w:val="99"/>
    <w:semiHidden/>
    <w:rsid w:val="00A809E7"/>
    <w:rPr>
      <w:rFonts w:ascii="Courier" w:hAnsi="Courier"/>
      <w:lang w:val="x-none" w:eastAsia="cs-CZ"/>
    </w:rPr>
  </w:style>
  <w:style w:type="character" w:customStyle="1" w:styleId="TextkomentraChar145">
    <w:name w:val="Text komentára Char145"/>
    <w:aliases w:val="Char7 Char Char146,Text komentára Char Char Char146,Comment Text Char Char Char146"/>
    <w:uiPriority w:val="99"/>
    <w:semiHidden/>
    <w:rsid w:val="00A809E7"/>
    <w:rPr>
      <w:rFonts w:ascii="Courier" w:hAnsi="Courier"/>
      <w:lang w:val="x-none" w:eastAsia="cs-CZ"/>
    </w:rPr>
  </w:style>
  <w:style w:type="character" w:customStyle="1" w:styleId="TextkomentraChar144">
    <w:name w:val="Text komentára Char144"/>
    <w:aliases w:val="Char7 Char Char145,Text komentára Char Char Char145,Comment Text Char Char Char145"/>
    <w:uiPriority w:val="99"/>
    <w:semiHidden/>
    <w:rsid w:val="00A809E7"/>
    <w:rPr>
      <w:rFonts w:ascii="Courier" w:hAnsi="Courier"/>
      <w:lang w:val="x-none" w:eastAsia="cs-CZ"/>
    </w:rPr>
  </w:style>
  <w:style w:type="character" w:customStyle="1" w:styleId="TextkomentraChar143">
    <w:name w:val="Text komentára Char143"/>
    <w:aliases w:val="Char7 Char Char144,Text komentára Char Char Char144,Comment Text Char Char Char144"/>
    <w:uiPriority w:val="99"/>
    <w:semiHidden/>
    <w:rsid w:val="00A809E7"/>
    <w:rPr>
      <w:rFonts w:ascii="Courier" w:hAnsi="Courier"/>
      <w:lang w:val="x-none" w:eastAsia="cs-CZ"/>
    </w:rPr>
  </w:style>
  <w:style w:type="character" w:customStyle="1" w:styleId="TextkomentraChar142">
    <w:name w:val="Text komentára Char142"/>
    <w:aliases w:val="Char7 Char Char143,Text komentára Char Char Char143,Comment Text Char Char Char143"/>
    <w:uiPriority w:val="99"/>
    <w:semiHidden/>
    <w:rsid w:val="00A809E7"/>
    <w:rPr>
      <w:rFonts w:ascii="Courier" w:hAnsi="Courier"/>
      <w:lang w:val="x-none" w:eastAsia="cs-CZ"/>
    </w:rPr>
  </w:style>
  <w:style w:type="character" w:customStyle="1" w:styleId="TextkomentraChar141">
    <w:name w:val="Text komentára Char141"/>
    <w:aliases w:val="Char7 Char Char142,Text komentára Char Char Char142,Comment Text Char Char Char142"/>
    <w:uiPriority w:val="99"/>
    <w:semiHidden/>
    <w:rsid w:val="00A809E7"/>
    <w:rPr>
      <w:rFonts w:ascii="Courier" w:hAnsi="Courier"/>
      <w:lang w:val="x-none" w:eastAsia="cs-CZ"/>
    </w:rPr>
  </w:style>
  <w:style w:type="character" w:customStyle="1" w:styleId="TextkomentraChar140">
    <w:name w:val="Text komentára Char140"/>
    <w:aliases w:val="Char7 Char Char141,Text komentára Char Char Char141,Comment Text Char Char Char141"/>
    <w:uiPriority w:val="99"/>
    <w:semiHidden/>
    <w:rsid w:val="00A809E7"/>
    <w:rPr>
      <w:rFonts w:ascii="Courier" w:hAnsi="Courier"/>
      <w:lang w:val="x-none" w:eastAsia="cs-CZ"/>
    </w:rPr>
  </w:style>
  <w:style w:type="character" w:customStyle="1" w:styleId="TextkomentraChar139">
    <w:name w:val="Text komentára Char139"/>
    <w:aliases w:val="Char7 Char Char140,Text komentára Char Char Char140,Comment Text Char Char Char140"/>
    <w:uiPriority w:val="99"/>
    <w:semiHidden/>
    <w:rsid w:val="00A809E7"/>
    <w:rPr>
      <w:rFonts w:ascii="Courier" w:hAnsi="Courier"/>
      <w:lang w:val="x-none" w:eastAsia="cs-CZ"/>
    </w:rPr>
  </w:style>
  <w:style w:type="character" w:customStyle="1" w:styleId="TextkomentraChar138">
    <w:name w:val="Text komentára Char138"/>
    <w:aliases w:val="Char7 Char Char139,Text komentára Char Char Char139,Comment Text Char Char Char139"/>
    <w:uiPriority w:val="99"/>
    <w:semiHidden/>
    <w:rsid w:val="00A809E7"/>
    <w:rPr>
      <w:rFonts w:ascii="Courier" w:hAnsi="Courier"/>
      <w:lang w:val="x-none" w:eastAsia="cs-CZ"/>
    </w:rPr>
  </w:style>
  <w:style w:type="character" w:customStyle="1" w:styleId="TextkomentraChar137">
    <w:name w:val="Text komentára Char137"/>
    <w:aliases w:val="Char7 Char Char138,Text komentára Char Char Char138,Comment Text Char Char Char138"/>
    <w:uiPriority w:val="99"/>
    <w:semiHidden/>
    <w:rsid w:val="00A809E7"/>
    <w:rPr>
      <w:rFonts w:ascii="Courier" w:hAnsi="Courier"/>
      <w:lang w:val="x-none" w:eastAsia="cs-CZ"/>
    </w:rPr>
  </w:style>
  <w:style w:type="character" w:customStyle="1" w:styleId="TextkomentraChar136">
    <w:name w:val="Text komentára Char136"/>
    <w:aliases w:val="Char7 Char Char137,Text komentára Char Char Char137,Comment Text Char Char Char137"/>
    <w:uiPriority w:val="99"/>
    <w:semiHidden/>
    <w:rsid w:val="00A809E7"/>
    <w:rPr>
      <w:rFonts w:ascii="Courier" w:hAnsi="Courier"/>
      <w:lang w:val="x-none" w:eastAsia="cs-CZ"/>
    </w:rPr>
  </w:style>
  <w:style w:type="character" w:customStyle="1" w:styleId="TextkomentraChar135">
    <w:name w:val="Text komentára Char135"/>
    <w:aliases w:val="Char7 Char Char136,Text komentára Char Char Char136,Comment Text Char Char Char136"/>
    <w:uiPriority w:val="99"/>
    <w:semiHidden/>
    <w:rsid w:val="00A809E7"/>
    <w:rPr>
      <w:rFonts w:ascii="Courier" w:hAnsi="Courier"/>
      <w:lang w:val="x-none" w:eastAsia="cs-CZ"/>
    </w:rPr>
  </w:style>
  <w:style w:type="character" w:customStyle="1" w:styleId="TextkomentraChar134">
    <w:name w:val="Text komentára Char134"/>
    <w:aliases w:val="Char7 Char Char135,Text komentára Char Char Char135,Comment Text Char Char Char135"/>
    <w:uiPriority w:val="99"/>
    <w:semiHidden/>
    <w:rsid w:val="00A809E7"/>
    <w:rPr>
      <w:rFonts w:ascii="Courier" w:hAnsi="Courier"/>
      <w:lang w:val="x-none" w:eastAsia="cs-CZ"/>
    </w:rPr>
  </w:style>
  <w:style w:type="character" w:customStyle="1" w:styleId="TextkomentraChar133">
    <w:name w:val="Text komentára Char133"/>
    <w:aliases w:val="Char7 Char Char134,Text komentára Char Char Char134,Comment Text Char Char Char134"/>
    <w:uiPriority w:val="99"/>
    <w:semiHidden/>
    <w:rsid w:val="00A809E7"/>
    <w:rPr>
      <w:rFonts w:ascii="Courier" w:hAnsi="Courier"/>
      <w:lang w:val="x-none" w:eastAsia="cs-CZ"/>
    </w:rPr>
  </w:style>
  <w:style w:type="character" w:customStyle="1" w:styleId="TextkomentraChar132">
    <w:name w:val="Text komentára Char132"/>
    <w:aliases w:val="Char7 Char Char133,Text komentára Char Char Char133,Comment Text Char Char Char133"/>
    <w:uiPriority w:val="99"/>
    <w:semiHidden/>
    <w:rsid w:val="00A809E7"/>
    <w:rPr>
      <w:rFonts w:ascii="Courier" w:hAnsi="Courier"/>
      <w:lang w:val="x-none" w:eastAsia="cs-CZ"/>
    </w:rPr>
  </w:style>
  <w:style w:type="character" w:customStyle="1" w:styleId="TextkomentraChar131">
    <w:name w:val="Text komentára Char131"/>
    <w:aliases w:val="Char7 Char Char132,Text komentára Char Char Char132,Comment Text Char Char Char132"/>
    <w:uiPriority w:val="99"/>
    <w:semiHidden/>
    <w:rsid w:val="00A809E7"/>
    <w:rPr>
      <w:rFonts w:ascii="Courier" w:hAnsi="Courier"/>
      <w:lang w:val="x-none" w:eastAsia="cs-CZ"/>
    </w:rPr>
  </w:style>
  <w:style w:type="character" w:customStyle="1" w:styleId="TextkomentraChar130">
    <w:name w:val="Text komentára Char130"/>
    <w:aliases w:val="Char7 Char Char131,Text komentára Char Char Char131,Comment Text Char Char Char131"/>
    <w:uiPriority w:val="99"/>
    <w:semiHidden/>
    <w:rsid w:val="00A809E7"/>
    <w:rPr>
      <w:rFonts w:ascii="Courier" w:hAnsi="Courier"/>
      <w:lang w:val="x-none" w:eastAsia="cs-CZ"/>
    </w:rPr>
  </w:style>
  <w:style w:type="character" w:customStyle="1" w:styleId="TextkomentraChar129">
    <w:name w:val="Text komentára Char129"/>
    <w:aliases w:val="Char7 Char Char130,Text komentára Char Char Char130,Comment Text Char Char Char130"/>
    <w:uiPriority w:val="99"/>
    <w:semiHidden/>
    <w:rsid w:val="00A809E7"/>
    <w:rPr>
      <w:rFonts w:ascii="Courier" w:hAnsi="Courier"/>
      <w:lang w:val="x-none" w:eastAsia="cs-CZ"/>
    </w:rPr>
  </w:style>
  <w:style w:type="character" w:customStyle="1" w:styleId="TextkomentraChar128">
    <w:name w:val="Text komentára Char128"/>
    <w:aliases w:val="Char7 Char Char129,Text komentára Char Char Char129,Comment Text Char Char Char129"/>
    <w:uiPriority w:val="99"/>
    <w:semiHidden/>
    <w:rsid w:val="00A809E7"/>
    <w:rPr>
      <w:rFonts w:ascii="Courier" w:hAnsi="Courier"/>
      <w:lang w:val="x-none" w:eastAsia="cs-CZ"/>
    </w:rPr>
  </w:style>
  <w:style w:type="character" w:customStyle="1" w:styleId="TextkomentraChar127">
    <w:name w:val="Text komentára Char127"/>
    <w:aliases w:val="Char7 Char Char128,Text komentára Char Char Char128,Comment Text Char Char Char128"/>
    <w:uiPriority w:val="99"/>
    <w:semiHidden/>
    <w:rsid w:val="00A809E7"/>
    <w:rPr>
      <w:rFonts w:ascii="Courier" w:hAnsi="Courier"/>
      <w:lang w:val="x-none" w:eastAsia="cs-CZ"/>
    </w:rPr>
  </w:style>
  <w:style w:type="character" w:customStyle="1" w:styleId="TextkomentraChar126">
    <w:name w:val="Text komentára Char126"/>
    <w:aliases w:val="Char7 Char Char127,Text komentára Char Char Char127,Comment Text Char Char Char127"/>
    <w:uiPriority w:val="99"/>
    <w:semiHidden/>
    <w:rsid w:val="00A809E7"/>
    <w:rPr>
      <w:rFonts w:ascii="Courier" w:hAnsi="Courier"/>
      <w:lang w:val="x-none" w:eastAsia="cs-CZ"/>
    </w:rPr>
  </w:style>
  <w:style w:type="character" w:customStyle="1" w:styleId="TextkomentraChar125">
    <w:name w:val="Text komentára Char125"/>
    <w:aliases w:val="Char7 Char Char126,Text komentára Char Char Char126,Comment Text Char Char Char126"/>
    <w:uiPriority w:val="99"/>
    <w:semiHidden/>
    <w:rsid w:val="00A809E7"/>
    <w:rPr>
      <w:rFonts w:ascii="Courier" w:hAnsi="Courier"/>
      <w:lang w:val="x-none" w:eastAsia="cs-CZ"/>
    </w:rPr>
  </w:style>
  <w:style w:type="character" w:customStyle="1" w:styleId="TextkomentraChar124">
    <w:name w:val="Text komentára Char124"/>
    <w:aliases w:val="Char7 Char Char125,Text komentára Char Char Char125,Comment Text Char Char Char125"/>
    <w:uiPriority w:val="99"/>
    <w:semiHidden/>
    <w:rsid w:val="00A809E7"/>
    <w:rPr>
      <w:rFonts w:ascii="Courier" w:hAnsi="Courier"/>
      <w:lang w:val="x-none" w:eastAsia="cs-CZ"/>
    </w:rPr>
  </w:style>
  <w:style w:type="character" w:customStyle="1" w:styleId="TextkomentraChar123">
    <w:name w:val="Text komentára Char123"/>
    <w:aliases w:val="Char7 Char Char124,Text komentára Char Char Char124,Comment Text Char Char Char124"/>
    <w:uiPriority w:val="99"/>
    <w:semiHidden/>
    <w:rsid w:val="00A809E7"/>
    <w:rPr>
      <w:rFonts w:ascii="Courier" w:hAnsi="Courier"/>
      <w:lang w:val="x-none" w:eastAsia="cs-CZ"/>
    </w:rPr>
  </w:style>
  <w:style w:type="character" w:customStyle="1" w:styleId="TextkomentraChar122">
    <w:name w:val="Text komentára Char122"/>
    <w:aliases w:val="Char7 Char Char123,Text komentára Char Char Char123,Comment Text Char Char Char123"/>
    <w:uiPriority w:val="99"/>
    <w:semiHidden/>
    <w:rsid w:val="00A809E7"/>
    <w:rPr>
      <w:rFonts w:ascii="Courier" w:hAnsi="Courier"/>
      <w:lang w:val="x-none" w:eastAsia="cs-CZ"/>
    </w:rPr>
  </w:style>
  <w:style w:type="character" w:customStyle="1" w:styleId="TextkomentraChar121">
    <w:name w:val="Text komentára Char121"/>
    <w:aliases w:val="Char7 Char Char122,Text komentára Char Char Char122,Comment Text Char Char Char122"/>
    <w:uiPriority w:val="99"/>
    <w:semiHidden/>
    <w:rsid w:val="00A809E7"/>
    <w:rPr>
      <w:rFonts w:ascii="Courier" w:hAnsi="Courier"/>
      <w:lang w:val="x-none" w:eastAsia="cs-CZ"/>
    </w:rPr>
  </w:style>
  <w:style w:type="character" w:customStyle="1" w:styleId="TextkomentraChar120">
    <w:name w:val="Text komentára Char120"/>
    <w:aliases w:val="Char7 Char Char121,Text komentára Char Char Char121,Comment Text Char Char Char121"/>
    <w:uiPriority w:val="99"/>
    <w:semiHidden/>
    <w:rsid w:val="00A809E7"/>
    <w:rPr>
      <w:rFonts w:ascii="Courier" w:hAnsi="Courier"/>
      <w:lang w:val="x-none" w:eastAsia="cs-CZ"/>
    </w:rPr>
  </w:style>
  <w:style w:type="character" w:customStyle="1" w:styleId="TextkomentraChar119">
    <w:name w:val="Text komentára Char119"/>
    <w:aliases w:val="Char7 Char Char120,Text komentára Char Char Char120,Comment Text Char Char Char120"/>
    <w:uiPriority w:val="99"/>
    <w:semiHidden/>
    <w:rsid w:val="00A809E7"/>
    <w:rPr>
      <w:rFonts w:ascii="Courier" w:hAnsi="Courier"/>
      <w:lang w:val="x-none" w:eastAsia="cs-CZ"/>
    </w:rPr>
  </w:style>
  <w:style w:type="character" w:customStyle="1" w:styleId="TextkomentraChar118">
    <w:name w:val="Text komentára Char118"/>
    <w:aliases w:val="Char7 Char Char119,Text komentára Char Char Char119,Comment Text Char Char Char119"/>
    <w:uiPriority w:val="99"/>
    <w:semiHidden/>
    <w:rsid w:val="00A809E7"/>
    <w:rPr>
      <w:rFonts w:ascii="Courier" w:hAnsi="Courier"/>
      <w:lang w:val="x-none" w:eastAsia="cs-CZ"/>
    </w:rPr>
  </w:style>
  <w:style w:type="character" w:customStyle="1" w:styleId="TextkomentraChar117">
    <w:name w:val="Text komentára Char117"/>
    <w:aliases w:val="Char7 Char Char118,Text komentára Char Char Char118,Comment Text Char Char Char118"/>
    <w:uiPriority w:val="99"/>
    <w:semiHidden/>
    <w:rsid w:val="00A809E7"/>
    <w:rPr>
      <w:rFonts w:ascii="Courier" w:hAnsi="Courier"/>
      <w:lang w:val="x-none" w:eastAsia="cs-CZ"/>
    </w:rPr>
  </w:style>
  <w:style w:type="character" w:customStyle="1" w:styleId="TextkomentraChar116">
    <w:name w:val="Text komentára Char116"/>
    <w:aliases w:val="Char7 Char Char117,Text komentára Char Char Char117,Comment Text Char Char Char117"/>
    <w:uiPriority w:val="99"/>
    <w:semiHidden/>
    <w:rsid w:val="00A809E7"/>
    <w:rPr>
      <w:rFonts w:ascii="Courier" w:hAnsi="Courier"/>
      <w:lang w:val="x-none" w:eastAsia="cs-CZ"/>
    </w:rPr>
  </w:style>
  <w:style w:type="character" w:customStyle="1" w:styleId="TextkomentraChar115">
    <w:name w:val="Text komentára Char115"/>
    <w:aliases w:val="Char7 Char Char116,Text komentára Char Char Char116,Comment Text Char Char Char116"/>
    <w:uiPriority w:val="99"/>
    <w:semiHidden/>
    <w:rsid w:val="00A809E7"/>
    <w:rPr>
      <w:rFonts w:ascii="Courier" w:hAnsi="Courier"/>
      <w:lang w:val="x-none" w:eastAsia="cs-CZ"/>
    </w:rPr>
  </w:style>
  <w:style w:type="character" w:customStyle="1" w:styleId="TextkomentraChar114">
    <w:name w:val="Text komentára Char114"/>
    <w:aliases w:val="Char7 Char Char115,Text komentára Char Char Char115,Comment Text Char Char Char115"/>
    <w:uiPriority w:val="99"/>
    <w:semiHidden/>
    <w:rsid w:val="00A809E7"/>
    <w:rPr>
      <w:rFonts w:ascii="Courier" w:hAnsi="Courier"/>
      <w:lang w:val="x-none" w:eastAsia="cs-CZ"/>
    </w:rPr>
  </w:style>
  <w:style w:type="character" w:customStyle="1" w:styleId="TextkomentraChar113">
    <w:name w:val="Text komentára Char113"/>
    <w:aliases w:val="Char7 Char Char114,Text komentára Char Char Char114,Comment Text Char Char Char114"/>
    <w:uiPriority w:val="99"/>
    <w:semiHidden/>
    <w:rsid w:val="00A809E7"/>
    <w:rPr>
      <w:rFonts w:ascii="Courier" w:hAnsi="Courier"/>
      <w:lang w:val="x-none" w:eastAsia="cs-CZ"/>
    </w:rPr>
  </w:style>
  <w:style w:type="character" w:customStyle="1" w:styleId="TextkomentraChar112">
    <w:name w:val="Text komentára Char112"/>
    <w:aliases w:val="Char7 Char Char113,Text komentára Char Char Char113,Comment Text Char Char Char113"/>
    <w:uiPriority w:val="99"/>
    <w:semiHidden/>
    <w:rsid w:val="00A809E7"/>
    <w:rPr>
      <w:rFonts w:ascii="Courier" w:hAnsi="Courier"/>
      <w:lang w:val="x-none" w:eastAsia="cs-CZ"/>
    </w:rPr>
  </w:style>
  <w:style w:type="character" w:customStyle="1" w:styleId="TextkomentraChar111">
    <w:name w:val="Text komentára Char111"/>
    <w:aliases w:val="Char7 Char Char112,Text komentára Char Char Char112,Comment Text Char Char Char112"/>
    <w:uiPriority w:val="99"/>
    <w:semiHidden/>
    <w:rsid w:val="00A809E7"/>
    <w:rPr>
      <w:rFonts w:ascii="Courier" w:hAnsi="Courier"/>
      <w:lang w:val="x-none" w:eastAsia="cs-CZ"/>
    </w:rPr>
  </w:style>
  <w:style w:type="character" w:customStyle="1" w:styleId="TextkomentraChar110">
    <w:name w:val="Text komentára Char110"/>
    <w:aliases w:val="Char7 Char Char110,Text komentára Char Char Char110,Comment Text Char Char Char110"/>
    <w:uiPriority w:val="99"/>
    <w:semiHidden/>
    <w:rsid w:val="00A809E7"/>
    <w:rPr>
      <w:rFonts w:ascii="Courier" w:hAnsi="Courier"/>
      <w:lang w:val="x-none" w:eastAsia="cs-CZ"/>
    </w:rPr>
  </w:style>
  <w:style w:type="character" w:customStyle="1" w:styleId="TextkomentraChar19">
    <w:name w:val="Text komentára Char19"/>
    <w:aliases w:val="Char7 Char Char19,Text komentára Char Char Char19,Comment Text Char Char Char19"/>
    <w:uiPriority w:val="99"/>
    <w:semiHidden/>
    <w:rsid w:val="00A809E7"/>
    <w:rPr>
      <w:rFonts w:ascii="Courier" w:hAnsi="Courier"/>
      <w:lang w:val="x-none" w:eastAsia="cs-CZ"/>
    </w:rPr>
  </w:style>
  <w:style w:type="character" w:customStyle="1" w:styleId="TextkomentraChar18">
    <w:name w:val="Text komentára Char18"/>
    <w:aliases w:val="Char7 Char Char18,Text komentára Char Char Char18,Comment Text Char Char Char18"/>
    <w:uiPriority w:val="99"/>
    <w:semiHidden/>
    <w:rsid w:val="00A809E7"/>
    <w:rPr>
      <w:rFonts w:ascii="Courier" w:hAnsi="Courier"/>
      <w:lang w:val="x-none" w:eastAsia="cs-CZ"/>
    </w:rPr>
  </w:style>
  <w:style w:type="character" w:customStyle="1" w:styleId="TextkomentraChar17">
    <w:name w:val="Text komentára Char17"/>
    <w:aliases w:val="Char7 Char Char17,Text komentára Char Char Char17,Comment Text Char Char Char17"/>
    <w:uiPriority w:val="99"/>
    <w:semiHidden/>
    <w:rsid w:val="00A809E7"/>
    <w:rPr>
      <w:rFonts w:ascii="Courier" w:hAnsi="Courier"/>
      <w:lang w:val="x-none" w:eastAsia="cs-CZ"/>
    </w:rPr>
  </w:style>
  <w:style w:type="character" w:customStyle="1" w:styleId="TextkomentraChar16">
    <w:name w:val="Text komentára Char16"/>
    <w:aliases w:val="Char7 Char Char16,Text komentára Char Char Char16,Comment Text Char Char Char16"/>
    <w:uiPriority w:val="99"/>
    <w:semiHidden/>
    <w:rsid w:val="00A809E7"/>
    <w:rPr>
      <w:rFonts w:ascii="Courier" w:hAnsi="Courier"/>
      <w:lang w:val="x-none" w:eastAsia="cs-CZ"/>
    </w:rPr>
  </w:style>
  <w:style w:type="character" w:customStyle="1" w:styleId="TextkomentraChar15">
    <w:name w:val="Text komentára Char15"/>
    <w:aliases w:val="Char7 Char Char15,Text komentára Char Char Char15,Comment Text Char Char Char15"/>
    <w:uiPriority w:val="99"/>
    <w:semiHidden/>
    <w:rsid w:val="00A809E7"/>
    <w:rPr>
      <w:rFonts w:ascii="Courier" w:hAnsi="Courier"/>
      <w:lang w:val="x-none" w:eastAsia="cs-CZ"/>
    </w:rPr>
  </w:style>
  <w:style w:type="character" w:customStyle="1" w:styleId="TextkomentraChar14">
    <w:name w:val="Text komentára Char14"/>
    <w:aliases w:val="Char7 Char Char14,Text komentára Char Char Char14,Comment Text Char Char Char14"/>
    <w:uiPriority w:val="99"/>
    <w:semiHidden/>
    <w:rsid w:val="00A809E7"/>
    <w:rPr>
      <w:rFonts w:ascii="Courier" w:hAnsi="Courier"/>
      <w:lang w:val="x-none" w:eastAsia="cs-CZ"/>
    </w:rPr>
  </w:style>
  <w:style w:type="character" w:customStyle="1" w:styleId="TextkomentraChar13">
    <w:name w:val="Text komentára Char13"/>
    <w:aliases w:val="Char7 Char Char13,Text komentára Char Char Char13,Comment Text Char Char Char13"/>
    <w:uiPriority w:val="99"/>
    <w:semiHidden/>
    <w:rsid w:val="00A809E7"/>
    <w:rPr>
      <w:rFonts w:ascii="Courier" w:hAnsi="Courier"/>
      <w:lang w:val="x-none" w:eastAsia="cs-CZ"/>
    </w:rPr>
  </w:style>
  <w:style w:type="character" w:customStyle="1" w:styleId="TextkomentraChar12">
    <w:name w:val="Text komentára Char12"/>
    <w:aliases w:val="Char7 Char Char12,Text komentára Char Char Char12,Comment Text Char Char Char12"/>
    <w:uiPriority w:val="99"/>
    <w:semiHidden/>
    <w:rsid w:val="00A809E7"/>
    <w:rPr>
      <w:rFonts w:ascii="Courier" w:hAnsi="Courier"/>
      <w:lang w:val="x-none" w:eastAsia="cs-CZ"/>
    </w:rPr>
  </w:style>
  <w:style w:type="character" w:customStyle="1" w:styleId="TextkomentraChar11">
    <w:name w:val="Text komentára Char11"/>
    <w:aliases w:val="Char7 Char Char11,Text komentára Char Char Char11,Comment Text Char Char Char11,Char7 Char Char111,Text komentára Char Char Char111,Comment Text Char Char Char111"/>
    <w:uiPriority w:val="99"/>
    <w:semiHidden/>
    <w:rsid w:val="00A809E7"/>
    <w:rPr>
      <w:rFonts w:ascii="Courier" w:hAnsi="Courier"/>
      <w:lang w:val="x-none" w:eastAsia="cs-CZ"/>
    </w:rPr>
  </w:style>
  <w:style w:type="character" w:customStyle="1" w:styleId="PredmetkomentraChar">
    <w:name w:val="Predmet komentára Char"/>
    <w:aliases w:val="Char6 Char Char,Predmet komentára Char Char Char,Comment Subject Char Char Char"/>
    <w:link w:val="Predmetkomentra"/>
    <w:uiPriority w:val="99"/>
    <w:semiHidden/>
    <w:locked/>
    <w:rsid w:val="00A809E7"/>
    <w:rPr>
      <w:rFonts w:ascii="Courier" w:hAnsi="Courier"/>
      <w:b/>
    </w:rPr>
  </w:style>
  <w:style w:type="paragraph" w:styleId="Predmetkomentra">
    <w:name w:val="annotation subject"/>
    <w:aliases w:val="Char6 Char,Predmet komentára Char Char,Comment Subject Char Char"/>
    <w:basedOn w:val="Textkomentra"/>
    <w:next w:val="Textkomentra"/>
    <w:link w:val="PredmetkomentraChar"/>
    <w:uiPriority w:val="99"/>
    <w:semiHidden/>
    <w:qFormat/>
    <w:rsid w:val="00A809E7"/>
    <w:rPr>
      <w:b/>
    </w:rPr>
  </w:style>
  <w:style w:type="character" w:customStyle="1" w:styleId="PredmetkomentraChar1">
    <w:name w:val="Predmet komentára Char1"/>
    <w:aliases w:val="Char6 Char Char1,Predmet komentára Char Char Char1,Comment Subject Char Char Char1"/>
    <w:basedOn w:val="TextkomentraChar1"/>
    <w:uiPriority w:val="99"/>
    <w:semiHidden/>
    <w:rsid w:val="00A809E7"/>
    <w:rPr>
      <w:b/>
      <w:bCs/>
      <w:sz w:val="20"/>
      <w:szCs w:val="20"/>
    </w:rPr>
  </w:style>
  <w:style w:type="character" w:customStyle="1" w:styleId="PredmetkomentraChar1621">
    <w:name w:val="Predmet komentára Char1621"/>
    <w:aliases w:val="Char6 Char Char1622,Predmet komentára Char Char Char1622,Comment Subject Char Char Char1622"/>
    <w:basedOn w:val="TextkomentraChar"/>
    <w:uiPriority w:val="99"/>
    <w:semiHidden/>
    <w:rsid w:val="00A809E7"/>
    <w:rPr>
      <w:rFonts w:ascii="Courier" w:hAnsi="Courier" w:cs="Courier"/>
      <w:b/>
      <w:bCs/>
      <w:lang w:val="x-none" w:eastAsia="cs-CZ"/>
    </w:rPr>
  </w:style>
  <w:style w:type="character" w:customStyle="1" w:styleId="PredmetkomentraChar1620">
    <w:name w:val="Predmet komentára Char1620"/>
    <w:aliases w:val="Char6 Char Char1621,Predmet komentára Char Char Char1621,Comment Subject Char Char Char1621"/>
    <w:basedOn w:val="TextkomentraChar"/>
    <w:uiPriority w:val="99"/>
    <w:semiHidden/>
    <w:rsid w:val="00A809E7"/>
    <w:rPr>
      <w:rFonts w:ascii="Courier" w:hAnsi="Courier" w:cs="Courier"/>
      <w:b/>
      <w:bCs/>
      <w:lang w:val="x-none" w:eastAsia="cs-CZ"/>
    </w:rPr>
  </w:style>
  <w:style w:type="character" w:customStyle="1" w:styleId="PredmetkomentraChar1614">
    <w:name w:val="Predmet komentára Char1614"/>
    <w:aliases w:val="Char6 Char Char1615,Predmet komentára Char Char Char1615,Comment Subject Char Char Char1615"/>
    <w:basedOn w:val="TextkomentraChar"/>
    <w:uiPriority w:val="99"/>
    <w:semiHidden/>
    <w:rsid w:val="00A809E7"/>
    <w:rPr>
      <w:rFonts w:ascii="Courier" w:hAnsi="Courier" w:cs="Courier"/>
      <w:b/>
      <w:bCs/>
      <w:lang w:val="x-none" w:eastAsia="cs-CZ"/>
    </w:rPr>
  </w:style>
  <w:style w:type="character" w:customStyle="1" w:styleId="PredmetkomentraChar1613">
    <w:name w:val="Predmet komentára Char1613"/>
    <w:aliases w:val="Char6 Char Char1614,Predmet komentára Char Char Char1614,Comment Subject Char Char Char1614"/>
    <w:basedOn w:val="TextkomentraChar"/>
    <w:uiPriority w:val="99"/>
    <w:semiHidden/>
    <w:rsid w:val="00A809E7"/>
    <w:rPr>
      <w:rFonts w:ascii="Courier" w:hAnsi="Courier" w:cs="Courier"/>
      <w:b/>
      <w:bCs/>
      <w:lang w:val="x-none" w:eastAsia="cs-CZ"/>
    </w:rPr>
  </w:style>
  <w:style w:type="character" w:customStyle="1" w:styleId="PredmetkomentraChar1612">
    <w:name w:val="Predmet komentára Char1612"/>
    <w:aliases w:val="Char6 Char Char1613,Predmet komentára Char Char Char1613,Comment Subject Char Char Char1613"/>
    <w:basedOn w:val="TextkomentraChar"/>
    <w:uiPriority w:val="99"/>
    <w:semiHidden/>
    <w:rsid w:val="00A809E7"/>
    <w:rPr>
      <w:rFonts w:ascii="Courier" w:hAnsi="Courier" w:cs="Courier"/>
      <w:b/>
      <w:bCs/>
      <w:lang w:val="x-none" w:eastAsia="cs-CZ"/>
    </w:rPr>
  </w:style>
  <w:style w:type="character" w:customStyle="1" w:styleId="PredmetkomentraChar1611">
    <w:name w:val="Predmet komentára Char1611"/>
    <w:aliases w:val="Char6 Char Char1612,Predmet komentára Char Char Char1612,Comment Subject Char Char Char1612"/>
    <w:basedOn w:val="TextkomentraChar"/>
    <w:uiPriority w:val="99"/>
    <w:semiHidden/>
    <w:rsid w:val="00A809E7"/>
    <w:rPr>
      <w:rFonts w:ascii="Courier" w:hAnsi="Courier" w:cs="Courier"/>
      <w:b/>
      <w:bCs/>
      <w:lang w:val="x-none" w:eastAsia="cs-CZ"/>
    </w:rPr>
  </w:style>
  <w:style w:type="character" w:customStyle="1" w:styleId="PredmetkomentraChar1610">
    <w:name w:val="Predmet komentára Char1610"/>
    <w:aliases w:val="Char6 Char Char1611,Predmet komentára Char Char Char1611,Comment Subject Char Char Char1611"/>
    <w:basedOn w:val="TextkomentraChar"/>
    <w:uiPriority w:val="99"/>
    <w:semiHidden/>
    <w:rsid w:val="00A809E7"/>
    <w:rPr>
      <w:rFonts w:ascii="Courier" w:hAnsi="Courier" w:cs="Courier"/>
      <w:b/>
      <w:bCs/>
      <w:lang w:val="x-none" w:eastAsia="cs-CZ"/>
    </w:rPr>
  </w:style>
  <w:style w:type="character" w:customStyle="1" w:styleId="PredmetkomentraChar1609">
    <w:name w:val="Predmet komentára Char1609"/>
    <w:aliases w:val="Char6 Char Char1610,Predmet komentára Char Char Char1610,Comment Subject Char Char Char1610"/>
    <w:basedOn w:val="TextkomentraChar"/>
    <w:uiPriority w:val="99"/>
    <w:semiHidden/>
    <w:rsid w:val="00A809E7"/>
    <w:rPr>
      <w:rFonts w:ascii="Courier" w:hAnsi="Courier" w:cs="Courier"/>
      <w:b/>
      <w:bCs/>
      <w:lang w:val="x-none" w:eastAsia="cs-CZ"/>
    </w:rPr>
  </w:style>
  <w:style w:type="character" w:customStyle="1" w:styleId="PredmetkomentraChar1608">
    <w:name w:val="Predmet komentára Char1608"/>
    <w:aliases w:val="Char6 Char Char1609,Predmet komentára Char Char Char1609,Comment Subject Char Char Char1609"/>
    <w:basedOn w:val="TextkomentraChar"/>
    <w:uiPriority w:val="99"/>
    <w:semiHidden/>
    <w:rsid w:val="00A809E7"/>
    <w:rPr>
      <w:rFonts w:ascii="Courier" w:hAnsi="Courier" w:cs="Courier"/>
      <w:b/>
      <w:bCs/>
      <w:lang w:val="x-none" w:eastAsia="cs-CZ"/>
    </w:rPr>
  </w:style>
  <w:style w:type="character" w:customStyle="1" w:styleId="PredmetkomentraChar1607">
    <w:name w:val="Predmet komentára Char1607"/>
    <w:aliases w:val="Char6 Char Char1608,Predmet komentára Char Char Char1608,Comment Subject Char Char Char1608"/>
    <w:basedOn w:val="TextkomentraChar"/>
    <w:uiPriority w:val="99"/>
    <w:semiHidden/>
    <w:rsid w:val="00A809E7"/>
    <w:rPr>
      <w:rFonts w:ascii="Courier" w:hAnsi="Courier" w:cs="Courier"/>
      <w:b/>
      <w:bCs/>
      <w:lang w:val="x-none" w:eastAsia="cs-CZ"/>
    </w:rPr>
  </w:style>
  <w:style w:type="character" w:customStyle="1" w:styleId="PredmetkomentraChar1606">
    <w:name w:val="Predmet komentára Char1606"/>
    <w:aliases w:val="Char6 Char Char1607,Predmet komentára Char Char Char1607,Comment Subject Char Char Char1607"/>
    <w:basedOn w:val="TextkomentraChar"/>
    <w:uiPriority w:val="99"/>
    <w:semiHidden/>
    <w:rsid w:val="00A809E7"/>
    <w:rPr>
      <w:rFonts w:ascii="Courier" w:hAnsi="Courier" w:cs="Courier"/>
      <w:b/>
      <w:bCs/>
      <w:lang w:val="x-none" w:eastAsia="cs-CZ"/>
    </w:rPr>
  </w:style>
  <w:style w:type="character" w:customStyle="1" w:styleId="PredmetkomentraChar1605">
    <w:name w:val="Predmet komentára Char1605"/>
    <w:aliases w:val="Char6 Char Char1606,Predmet komentára Char Char Char1606,Comment Subject Char Char Char1606"/>
    <w:basedOn w:val="TextkomentraChar"/>
    <w:uiPriority w:val="99"/>
    <w:semiHidden/>
    <w:rsid w:val="00A809E7"/>
    <w:rPr>
      <w:rFonts w:ascii="Courier" w:hAnsi="Courier" w:cs="Courier"/>
      <w:b/>
      <w:bCs/>
      <w:lang w:val="x-none" w:eastAsia="cs-CZ"/>
    </w:rPr>
  </w:style>
  <w:style w:type="character" w:customStyle="1" w:styleId="PredmetkomentraChar1604">
    <w:name w:val="Predmet komentára Char1604"/>
    <w:aliases w:val="Char6 Char Char1605,Predmet komentára Char Char Char1605,Comment Subject Char Char Char1605"/>
    <w:basedOn w:val="TextkomentraChar"/>
    <w:uiPriority w:val="99"/>
    <w:semiHidden/>
    <w:rsid w:val="00A809E7"/>
    <w:rPr>
      <w:rFonts w:ascii="Courier" w:hAnsi="Courier" w:cs="Courier"/>
      <w:b/>
      <w:bCs/>
      <w:lang w:val="x-none" w:eastAsia="cs-CZ"/>
    </w:rPr>
  </w:style>
  <w:style w:type="character" w:customStyle="1" w:styleId="PredmetkomentraChar1603">
    <w:name w:val="Predmet komentára Char1603"/>
    <w:aliases w:val="Char6 Char Char1604,Predmet komentára Char Char Char1604,Comment Subject Char Char Char1604"/>
    <w:basedOn w:val="TextkomentraChar"/>
    <w:uiPriority w:val="99"/>
    <w:semiHidden/>
    <w:rsid w:val="00A809E7"/>
    <w:rPr>
      <w:rFonts w:ascii="Courier" w:hAnsi="Courier" w:cs="Courier"/>
      <w:b/>
      <w:bCs/>
      <w:lang w:val="x-none" w:eastAsia="cs-CZ"/>
    </w:rPr>
  </w:style>
  <w:style w:type="character" w:customStyle="1" w:styleId="PredmetkomentraChar1602">
    <w:name w:val="Predmet komentára Char1602"/>
    <w:aliases w:val="Char6 Char Char1603,Predmet komentára Char Char Char1603,Comment Subject Char Char Char1603"/>
    <w:basedOn w:val="TextkomentraChar"/>
    <w:uiPriority w:val="99"/>
    <w:semiHidden/>
    <w:rsid w:val="00A809E7"/>
    <w:rPr>
      <w:rFonts w:ascii="Courier" w:hAnsi="Courier" w:cs="Courier"/>
      <w:b/>
      <w:bCs/>
      <w:lang w:val="x-none" w:eastAsia="cs-CZ"/>
    </w:rPr>
  </w:style>
  <w:style w:type="character" w:customStyle="1" w:styleId="PredmetkomentraChar1601">
    <w:name w:val="Predmet komentára Char1601"/>
    <w:aliases w:val="Char6 Char Char1602,Predmet komentára Char Char Char1602,Comment Subject Char Char Char1602"/>
    <w:basedOn w:val="TextkomentraChar"/>
    <w:uiPriority w:val="99"/>
    <w:semiHidden/>
    <w:rsid w:val="00A809E7"/>
    <w:rPr>
      <w:rFonts w:ascii="Courier" w:hAnsi="Courier" w:cs="Courier"/>
      <w:b/>
      <w:bCs/>
      <w:lang w:val="x-none" w:eastAsia="cs-CZ"/>
    </w:rPr>
  </w:style>
  <w:style w:type="character" w:customStyle="1" w:styleId="PredmetkomentraChar1600">
    <w:name w:val="Predmet komentára Char1600"/>
    <w:aliases w:val="Char6 Char Char1601,Predmet komentára Char Char Char1601,Comment Subject Char Char Char1601"/>
    <w:basedOn w:val="TextkomentraChar"/>
    <w:uiPriority w:val="99"/>
    <w:semiHidden/>
    <w:rsid w:val="00A809E7"/>
    <w:rPr>
      <w:rFonts w:ascii="Courier" w:hAnsi="Courier" w:cs="Courier"/>
      <w:b/>
      <w:bCs/>
      <w:lang w:val="x-none" w:eastAsia="cs-CZ"/>
    </w:rPr>
  </w:style>
  <w:style w:type="character" w:customStyle="1" w:styleId="PredmetkomentraChar1599">
    <w:name w:val="Predmet komentára Char1599"/>
    <w:aliases w:val="Char6 Char Char1600,Predmet komentára Char Char Char1600,Comment Subject Char Char Char1600"/>
    <w:basedOn w:val="TextkomentraChar"/>
    <w:uiPriority w:val="99"/>
    <w:semiHidden/>
    <w:rsid w:val="00A809E7"/>
    <w:rPr>
      <w:rFonts w:ascii="Courier" w:hAnsi="Courier" w:cs="Courier"/>
      <w:b/>
      <w:bCs/>
      <w:lang w:val="x-none" w:eastAsia="cs-CZ"/>
    </w:rPr>
  </w:style>
  <w:style w:type="character" w:customStyle="1" w:styleId="PredmetkomentraChar1598">
    <w:name w:val="Predmet komentára Char1598"/>
    <w:aliases w:val="Char6 Char Char1599,Predmet komentára Char Char Char1599,Comment Subject Char Char Char1599"/>
    <w:basedOn w:val="TextkomentraChar"/>
    <w:uiPriority w:val="99"/>
    <w:semiHidden/>
    <w:rsid w:val="00A809E7"/>
    <w:rPr>
      <w:rFonts w:ascii="Courier" w:hAnsi="Courier" w:cs="Courier"/>
      <w:b/>
      <w:bCs/>
      <w:lang w:val="x-none" w:eastAsia="cs-CZ"/>
    </w:rPr>
  </w:style>
  <w:style w:type="character" w:customStyle="1" w:styleId="PredmetkomentraChar1597">
    <w:name w:val="Predmet komentára Char1597"/>
    <w:aliases w:val="Char6 Char Char1598,Predmet komentára Char Char Char1598,Comment Subject Char Char Char1598"/>
    <w:basedOn w:val="TextkomentraChar"/>
    <w:uiPriority w:val="99"/>
    <w:semiHidden/>
    <w:rsid w:val="00A809E7"/>
    <w:rPr>
      <w:rFonts w:ascii="Courier" w:hAnsi="Courier" w:cs="Courier"/>
      <w:b/>
      <w:bCs/>
      <w:lang w:val="x-none" w:eastAsia="cs-CZ"/>
    </w:rPr>
  </w:style>
  <w:style w:type="character" w:customStyle="1" w:styleId="PredmetkomentraChar1596">
    <w:name w:val="Predmet komentára Char1596"/>
    <w:aliases w:val="Char6 Char Char1597,Predmet komentára Char Char Char1597,Comment Subject Char Char Char1597"/>
    <w:basedOn w:val="TextkomentraChar"/>
    <w:uiPriority w:val="99"/>
    <w:semiHidden/>
    <w:rsid w:val="00A809E7"/>
    <w:rPr>
      <w:rFonts w:ascii="Courier" w:hAnsi="Courier" w:cs="Courier"/>
      <w:b/>
      <w:bCs/>
      <w:lang w:val="x-none" w:eastAsia="cs-CZ"/>
    </w:rPr>
  </w:style>
  <w:style w:type="character" w:customStyle="1" w:styleId="PredmetkomentraChar1595">
    <w:name w:val="Predmet komentára Char1595"/>
    <w:aliases w:val="Char6 Char Char1596,Predmet komentára Char Char Char1596,Comment Subject Char Char Char1596"/>
    <w:basedOn w:val="TextkomentraChar"/>
    <w:uiPriority w:val="99"/>
    <w:semiHidden/>
    <w:rsid w:val="00A809E7"/>
    <w:rPr>
      <w:rFonts w:ascii="Courier" w:hAnsi="Courier" w:cs="Courier"/>
      <w:b/>
      <w:bCs/>
      <w:lang w:val="x-none" w:eastAsia="cs-CZ"/>
    </w:rPr>
  </w:style>
  <w:style w:type="character" w:customStyle="1" w:styleId="PredmetkomentraChar1594">
    <w:name w:val="Predmet komentára Char1594"/>
    <w:aliases w:val="Char6 Char Char1595,Predmet komentára Char Char Char1595,Comment Subject Char Char Char1595"/>
    <w:basedOn w:val="TextkomentraChar"/>
    <w:uiPriority w:val="99"/>
    <w:semiHidden/>
    <w:rsid w:val="00A809E7"/>
    <w:rPr>
      <w:rFonts w:ascii="Courier" w:hAnsi="Courier" w:cs="Courier"/>
      <w:b/>
      <w:bCs/>
      <w:lang w:val="x-none" w:eastAsia="cs-CZ"/>
    </w:rPr>
  </w:style>
  <w:style w:type="character" w:customStyle="1" w:styleId="PredmetkomentraChar1593">
    <w:name w:val="Predmet komentára Char1593"/>
    <w:aliases w:val="Char6 Char Char1594,Predmet komentára Char Char Char1594,Comment Subject Char Char Char1594"/>
    <w:basedOn w:val="TextkomentraChar"/>
    <w:uiPriority w:val="99"/>
    <w:semiHidden/>
    <w:rsid w:val="00A809E7"/>
    <w:rPr>
      <w:rFonts w:ascii="Courier" w:hAnsi="Courier" w:cs="Courier"/>
      <w:b/>
      <w:bCs/>
      <w:lang w:val="x-none" w:eastAsia="cs-CZ"/>
    </w:rPr>
  </w:style>
  <w:style w:type="character" w:customStyle="1" w:styleId="PredmetkomentraChar1592">
    <w:name w:val="Predmet komentára Char1592"/>
    <w:aliases w:val="Char6 Char Char1593,Predmet komentára Char Char Char1593,Comment Subject Char Char Char1593"/>
    <w:basedOn w:val="TextkomentraChar"/>
    <w:uiPriority w:val="99"/>
    <w:semiHidden/>
    <w:rsid w:val="00A809E7"/>
    <w:rPr>
      <w:rFonts w:ascii="Courier" w:hAnsi="Courier" w:cs="Courier"/>
      <w:b/>
      <w:bCs/>
      <w:lang w:val="x-none" w:eastAsia="cs-CZ"/>
    </w:rPr>
  </w:style>
  <w:style w:type="character" w:customStyle="1" w:styleId="PredmetkomentraChar1591">
    <w:name w:val="Predmet komentára Char1591"/>
    <w:aliases w:val="Char6 Char Char1592,Predmet komentára Char Char Char1592,Comment Subject Char Char Char1592"/>
    <w:basedOn w:val="TextkomentraChar"/>
    <w:uiPriority w:val="99"/>
    <w:semiHidden/>
    <w:rsid w:val="00A809E7"/>
    <w:rPr>
      <w:rFonts w:ascii="Courier" w:hAnsi="Courier" w:cs="Courier"/>
      <w:b/>
      <w:bCs/>
      <w:lang w:val="x-none" w:eastAsia="cs-CZ"/>
    </w:rPr>
  </w:style>
  <w:style w:type="character" w:customStyle="1" w:styleId="PredmetkomentraChar1590">
    <w:name w:val="Predmet komentára Char1590"/>
    <w:aliases w:val="Char6 Char Char1591,Predmet komentára Char Char Char1591,Comment Subject Char Char Char1591"/>
    <w:basedOn w:val="TextkomentraChar"/>
    <w:uiPriority w:val="99"/>
    <w:semiHidden/>
    <w:rsid w:val="00A809E7"/>
    <w:rPr>
      <w:rFonts w:ascii="Courier" w:hAnsi="Courier" w:cs="Courier"/>
      <w:b/>
      <w:bCs/>
      <w:lang w:val="x-none" w:eastAsia="cs-CZ"/>
    </w:rPr>
  </w:style>
  <w:style w:type="character" w:customStyle="1" w:styleId="PredmetkomentraChar1589">
    <w:name w:val="Predmet komentára Char1589"/>
    <w:aliases w:val="Char6 Char Char1590,Predmet komentára Char Char Char1590,Comment Subject Char Char Char1590"/>
    <w:basedOn w:val="TextkomentraChar"/>
    <w:uiPriority w:val="99"/>
    <w:semiHidden/>
    <w:rsid w:val="00A809E7"/>
    <w:rPr>
      <w:rFonts w:ascii="Courier" w:hAnsi="Courier" w:cs="Courier"/>
      <w:b/>
      <w:bCs/>
      <w:lang w:val="x-none" w:eastAsia="cs-CZ"/>
    </w:rPr>
  </w:style>
  <w:style w:type="character" w:customStyle="1" w:styleId="PredmetkomentraChar1588">
    <w:name w:val="Predmet komentára Char1588"/>
    <w:aliases w:val="Char6 Char Char1589,Predmet komentára Char Char Char1589,Comment Subject Char Char Char1589"/>
    <w:basedOn w:val="TextkomentraChar"/>
    <w:uiPriority w:val="99"/>
    <w:semiHidden/>
    <w:rsid w:val="00A809E7"/>
    <w:rPr>
      <w:rFonts w:ascii="Courier" w:hAnsi="Courier" w:cs="Courier"/>
      <w:b/>
      <w:bCs/>
      <w:lang w:val="x-none" w:eastAsia="cs-CZ"/>
    </w:rPr>
  </w:style>
  <w:style w:type="character" w:customStyle="1" w:styleId="PredmetkomentraChar1587">
    <w:name w:val="Predmet komentára Char1587"/>
    <w:aliases w:val="Char6 Char Char1588,Predmet komentára Char Char Char1588,Comment Subject Char Char Char1588"/>
    <w:basedOn w:val="TextkomentraChar"/>
    <w:uiPriority w:val="99"/>
    <w:semiHidden/>
    <w:rsid w:val="00A809E7"/>
    <w:rPr>
      <w:rFonts w:ascii="Courier" w:hAnsi="Courier" w:cs="Courier"/>
      <w:b/>
      <w:bCs/>
      <w:lang w:val="x-none" w:eastAsia="cs-CZ"/>
    </w:rPr>
  </w:style>
  <w:style w:type="character" w:customStyle="1" w:styleId="PredmetkomentraChar1586">
    <w:name w:val="Predmet komentára Char1586"/>
    <w:aliases w:val="Char6 Char Char1587,Predmet komentára Char Char Char1587,Comment Subject Char Char Char1587"/>
    <w:basedOn w:val="TextkomentraChar"/>
    <w:uiPriority w:val="99"/>
    <w:semiHidden/>
    <w:rsid w:val="00A809E7"/>
    <w:rPr>
      <w:rFonts w:ascii="Courier" w:hAnsi="Courier" w:cs="Courier"/>
      <w:b/>
      <w:bCs/>
      <w:lang w:val="x-none" w:eastAsia="cs-CZ"/>
    </w:rPr>
  </w:style>
  <w:style w:type="character" w:customStyle="1" w:styleId="PredmetkomentraChar1585">
    <w:name w:val="Predmet komentára Char1585"/>
    <w:aliases w:val="Char6 Char Char1586,Predmet komentára Char Char Char1586,Comment Subject Char Char Char1586"/>
    <w:basedOn w:val="TextkomentraChar"/>
    <w:uiPriority w:val="99"/>
    <w:semiHidden/>
    <w:rsid w:val="00A809E7"/>
    <w:rPr>
      <w:rFonts w:ascii="Courier" w:hAnsi="Courier" w:cs="Courier"/>
      <w:b/>
      <w:bCs/>
      <w:lang w:val="x-none" w:eastAsia="cs-CZ"/>
    </w:rPr>
  </w:style>
  <w:style w:type="character" w:customStyle="1" w:styleId="PredmetkomentraChar1584">
    <w:name w:val="Predmet komentára Char1584"/>
    <w:aliases w:val="Char6 Char Char1585,Predmet komentára Char Char Char1585,Comment Subject Char Char Char1585"/>
    <w:basedOn w:val="TextkomentraChar"/>
    <w:uiPriority w:val="99"/>
    <w:semiHidden/>
    <w:rsid w:val="00A809E7"/>
    <w:rPr>
      <w:rFonts w:ascii="Courier" w:hAnsi="Courier" w:cs="Courier"/>
      <w:b/>
      <w:bCs/>
      <w:lang w:val="x-none" w:eastAsia="cs-CZ"/>
    </w:rPr>
  </w:style>
  <w:style w:type="character" w:customStyle="1" w:styleId="PredmetkomentraChar1583">
    <w:name w:val="Predmet komentára Char1583"/>
    <w:aliases w:val="Char6 Char Char1584,Predmet komentára Char Char Char1584,Comment Subject Char Char Char1584"/>
    <w:basedOn w:val="TextkomentraChar"/>
    <w:uiPriority w:val="99"/>
    <w:semiHidden/>
    <w:rsid w:val="00A809E7"/>
    <w:rPr>
      <w:rFonts w:ascii="Courier" w:hAnsi="Courier" w:cs="Courier"/>
      <w:b/>
      <w:bCs/>
      <w:lang w:val="x-none" w:eastAsia="cs-CZ"/>
    </w:rPr>
  </w:style>
  <w:style w:type="character" w:customStyle="1" w:styleId="PredmetkomentraChar1582">
    <w:name w:val="Predmet komentára Char1582"/>
    <w:aliases w:val="Char6 Char Char1583,Predmet komentára Char Char Char1583,Comment Subject Char Char Char1583"/>
    <w:basedOn w:val="TextkomentraChar"/>
    <w:uiPriority w:val="99"/>
    <w:semiHidden/>
    <w:rsid w:val="00A809E7"/>
    <w:rPr>
      <w:rFonts w:ascii="Courier" w:hAnsi="Courier" w:cs="Courier"/>
      <w:b/>
      <w:bCs/>
      <w:lang w:val="x-none" w:eastAsia="cs-CZ"/>
    </w:rPr>
  </w:style>
  <w:style w:type="character" w:customStyle="1" w:styleId="PredmetkomentraChar1581">
    <w:name w:val="Predmet komentára Char1581"/>
    <w:aliases w:val="Char6 Char Char1582,Predmet komentára Char Char Char1582,Comment Subject Char Char Char1582"/>
    <w:basedOn w:val="TextkomentraChar"/>
    <w:uiPriority w:val="99"/>
    <w:semiHidden/>
    <w:rsid w:val="00A809E7"/>
    <w:rPr>
      <w:rFonts w:ascii="Courier" w:hAnsi="Courier" w:cs="Courier"/>
      <w:b/>
      <w:bCs/>
      <w:lang w:val="x-none" w:eastAsia="cs-CZ"/>
    </w:rPr>
  </w:style>
  <w:style w:type="character" w:customStyle="1" w:styleId="PredmetkomentraChar1580">
    <w:name w:val="Predmet komentára Char1580"/>
    <w:aliases w:val="Char6 Char Char1581,Predmet komentára Char Char Char1581,Comment Subject Char Char Char1581"/>
    <w:basedOn w:val="TextkomentraChar"/>
    <w:uiPriority w:val="99"/>
    <w:semiHidden/>
    <w:rsid w:val="00A809E7"/>
    <w:rPr>
      <w:rFonts w:ascii="Courier" w:hAnsi="Courier" w:cs="Courier"/>
      <w:b/>
      <w:bCs/>
      <w:lang w:val="x-none" w:eastAsia="cs-CZ"/>
    </w:rPr>
  </w:style>
  <w:style w:type="character" w:customStyle="1" w:styleId="PredmetkomentraChar1579">
    <w:name w:val="Predmet komentára Char1579"/>
    <w:aliases w:val="Char6 Char Char1580,Predmet komentára Char Char Char1580,Comment Subject Char Char Char1580"/>
    <w:basedOn w:val="TextkomentraChar"/>
    <w:uiPriority w:val="99"/>
    <w:semiHidden/>
    <w:rsid w:val="00A809E7"/>
    <w:rPr>
      <w:rFonts w:ascii="Courier" w:hAnsi="Courier" w:cs="Courier"/>
      <w:b/>
      <w:bCs/>
      <w:lang w:val="x-none" w:eastAsia="cs-CZ"/>
    </w:rPr>
  </w:style>
  <w:style w:type="character" w:customStyle="1" w:styleId="PredmetkomentraChar1578">
    <w:name w:val="Predmet komentára Char1578"/>
    <w:aliases w:val="Char6 Char Char1579,Predmet komentára Char Char Char1579,Comment Subject Char Char Char1579"/>
    <w:basedOn w:val="TextkomentraChar"/>
    <w:uiPriority w:val="99"/>
    <w:semiHidden/>
    <w:rsid w:val="00A809E7"/>
    <w:rPr>
      <w:rFonts w:ascii="Courier" w:hAnsi="Courier" w:cs="Courier"/>
      <w:b/>
      <w:bCs/>
      <w:lang w:val="x-none" w:eastAsia="cs-CZ"/>
    </w:rPr>
  </w:style>
  <w:style w:type="character" w:customStyle="1" w:styleId="PredmetkomentraChar1577">
    <w:name w:val="Predmet komentára Char1577"/>
    <w:aliases w:val="Char6 Char Char1578,Predmet komentára Char Char Char1578,Comment Subject Char Char Char1578"/>
    <w:basedOn w:val="TextkomentraChar"/>
    <w:uiPriority w:val="99"/>
    <w:semiHidden/>
    <w:rsid w:val="00A809E7"/>
    <w:rPr>
      <w:rFonts w:ascii="Courier" w:hAnsi="Courier" w:cs="Courier"/>
      <w:b/>
      <w:bCs/>
      <w:lang w:val="x-none" w:eastAsia="cs-CZ"/>
    </w:rPr>
  </w:style>
  <w:style w:type="character" w:customStyle="1" w:styleId="PredmetkomentraChar1576">
    <w:name w:val="Predmet komentára Char1576"/>
    <w:aliases w:val="Char6 Char Char1577,Predmet komentára Char Char Char1577,Comment Subject Char Char Char1577"/>
    <w:basedOn w:val="TextkomentraChar"/>
    <w:uiPriority w:val="99"/>
    <w:semiHidden/>
    <w:rsid w:val="00A809E7"/>
    <w:rPr>
      <w:rFonts w:ascii="Courier" w:hAnsi="Courier" w:cs="Courier"/>
      <w:b/>
      <w:bCs/>
      <w:lang w:val="x-none" w:eastAsia="cs-CZ"/>
    </w:rPr>
  </w:style>
  <w:style w:type="character" w:customStyle="1" w:styleId="PredmetkomentraChar1575">
    <w:name w:val="Predmet komentára Char1575"/>
    <w:aliases w:val="Char6 Char Char1576,Predmet komentára Char Char Char1576,Comment Subject Char Char Char1576"/>
    <w:basedOn w:val="TextkomentraChar"/>
    <w:uiPriority w:val="99"/>
    <w:semiHidden/>
    <w:rsid w:val="00A809E7"/>
    <w:rPr>
      <w:rFonts w:ascii="Courier" w:hAnsi="Courier" w:cs="Courier"/>
      <w:b/>
      <w:bCs/>
      <w:lang w:val="x-none" w:eastAsia="cs-CZ"/>
    </w:rPr>
  </w:style>
  <w:style w:type="character" w:customStyle="1" w:styleId="PredmetkomentraChar1574">
    <w:name w:val="Predmet komentára Char1574"/>
    <w:aliases w:val="Char6 Char Char1575,Predmet komentára Char Char Char1575,Comment Subject Char Char Char1575"/>
    <w:basedOn w:val="TextkomentraChar"/>
    <w:uiPriority w:val="99"/>
    <w:semiHidden/>
    <w:rsid w:val="00A809E7"/>
    <w:rPr>
      <w:rFonts w:ascii="Courier" w:hAnsi="Courier" w:cs="Courier"/>
      <w:b/>
      <w:bCs/>
      <w:lang w:val="x-none" w:eastAsia="cs-CZ"/>
    </w:rPr>
  </w:style>
  <w:style w:type="character" w:customStyle="1" w:styleId="PredmetkomentraChar1573">
    <w:name w:val="Predmet komentára Char1573"/>
    <w:aliases w:val="Char6 Char Char1574,Predmet komentára Char Char Char1574,Comment Subject Char Char Char1574"/>
    <w:basedOn w:val="TextkomentraChar"/>
    <w:uiPriority w:val="99"/>
    <w:semiHidden/>
    <w:rsid w:val="00A809E7"/>
    <w:rPr>
      <w:rFonts w:ascii="Courier" w:hAnsi="Courier" w:cs="Courier"/>
      <w:b/>
      <w:bCs/>
      <w:lang w:val="x-none" w:eastAsia="cs-CZ"/>
    </w:rPr>
  </w:style>
  <w:style w:type="character" w:customStyle="1" w:styleId="PredmetkomentraChar1572">
    <w:name w:val="Predmet komentára Char1572"/>
    <w:aliases w:val="Char6 Char Char1573,Predmet komentára Char Char Char1573,Comment Subject Char Char Char1573"/>
    <w:basedOn w:val="TextkomentraChar"/>
    <w:uiPriority w:val="99"/>
    <w:semiHidden/>
    <w:rsid w:val="00A809E7"/>
    <w:rPr>
      <w:rFonts w:ascii="Courier" w:hAnsi="Courier" w:cs="Courier"/>
      <w:b/>
      <w:bCs/>
      <w:lang w:val="x-none" w:eastAsia="cs-CZ"/>
    </w:rPr>
  </w:style>
  <w:style w:type="character" w:customStyle="1" w:styleId="PredmetkomentraChar1571">
    <w:name w:val="Predmet komentára Char1571"/>
    <w:aliases w:val="Char6 Char Char1572,Predmet komentára Char Char Char1572,Comment Subject Char Char Char1572"/>
    <w:basedOn w:val="TextkomentraChar"/>
    <w:uiPriority w:val="99"/>
    <w:semiHidden/>
    <w:rsid w:val="00A809E7"/>
    <w:rPr>
      <w:rFonts w:ascii="Courier" w:hAnsi="Courier" w:cs="Courier"/>
      <w:b/>
      <w:bCs/>
      <w:lang w:val="x-none" w:eastAsia="cs-CZ"/>
    </w:rPr>
  </w:style>
  <w:style w:type="character" w:customStyle="1" w:styleId="PredmetkomentraChar1570">
    <w:name w:val="Predmet komentára Char1570"/>
    <w:aliases w:val="Char6 Char Char1571,Predmet komentára Char Char Char1571,Comment Subject Char Char Char1571"/>
    <w:basedOn w:val="TextkomentraChar"/>
    <w:uiPriority w:val="99"/>
    <w:semiHidden/>
    <w:rsid w:val="00A809E7"/>
    <w:rPr>
      <w:rFonts w:ascii="Courier" w:hAnsi="Courier" w:cs="Courier"/>
      <w:b/>
      <w:bCs/>
      <w:lang w:val="x-none" w:eastAsia="cs-CZ"/>
    </w:rPr>
  </w:style>
  <w:style w:type="character" w:customStyle="1" w:styleId="PredmetkomentraChar1569">
    <w:name w:val="Predmet komentára Char1569"/>
    <w:aliases w:val="Char6 Char Char1570,Predmet komentára Char Char Char1570,Comment Subject Char Char Char1570"/>
    <w:basedOn w:val="TextkomentraChar"/>
    <w:uiPriority w:val="99"/>
    <w:semiHidden/>
    <w:rsid w:val="00A809E7"/>
    <w:rPr>
      <w:rFonts w:ascii="Courier" w:hAnsi="Courier" w:cs="Courier"/>
      <w:b/>
      <w:bCs/>
      <w:lang w:val="x-none" w:eastAsia="cs-CZ"/>
    </w:rPr>
  </w:style>
  <w:style w:type="character" w:customStyle="1" w:styleId="PredmetkomentraChar1568">
    <w:name w:val="Predmet komentára Char1568"/>
    <w:aliases w:val="Char6 Char Char1569,Predmet komentára Char Char Char1569,Comment Subject Char Char Char1569"/>
    <w:basedOn w:val="TextkomentraChar"/>
    <w:uiPriority w:val="99"/>
    <w:semiHidden/>
    <w:rsid w:val="00A809E7"/>
    <w:rPr>
      <w:rFonts w:ascii="Courier" w:hAnsi="Courier" w:cs="Courier"/>
      <w:b/>
      <w:bCs/>
      <w:lang w:val="x-none" w:eastAsia="cs-CZ"/>
    </w:rPr>
  </w:style>
  <w:style w:type="character" w:customStyle="1" w:styleId="PredmetkomentraChar1567">
    <w:name w:val="Predmet komentára Char1567"/>
    <w:aliases w:val="Char6 Char Char1568,Predmet komentára Char Char Char1568,Comment Subject Char Char Char1568"/>
    <w:basedOn w:val="TextkomentraChar"/>
    <w:uiPriority w:val="99"/>
    <w:semiHidden/>
    <w:rsid w:val="00A809E7"/>
    <w:rPr>
      <w:rFonts w:ascii="Courier" w:hAnsi="Courier" w:cs="Courier"/>
      <w:b/>
      <w:bCs/>
      <w:lang w:val="x-none" w:eastAsia="cs-CZ"/>
    </w:rPr>
  </w:style>
  <w:style w:type="character" w:customStyle="1" w:styleId="PredmetkomentraChar1566">
    <w:name w:val="Predmet komentára Char1566"/>
    <w:aliases w:val="Char6 Char Char1567,Predmet komentára Char Char Char1567,Comment Subject Char Char Char1567"/>
    <w:basedOn w:val="TextkomentraChar"/>
    <w:uiPriority w:val="99"/>
    <w:semiHidden/>
    <w:rsid w:val="00A809E7"/>
    <w:rPr>
      <w:rFonts w:ascii="Courier" w:hAnsi="Courier" w:cs="Courier"/>
      <w:b/>
      <w:bCs/>
      <w:lang w:val="x-none" w:eastAsia="cs-CZ"/>
    </w:rPr>
  </w:style>
  <w:style w:type="character" w:customStyle="1" w:styleId="PredmetkomentraChar1565">
    <w:name w:val="Predmet komentára Char1565"/>
    <w:aliases w:val="Char6 Char Char1566,Predmet komentára Char Char Char1566,Comment Subject Char Char Char1566"/>
    <w:basedOn w:val="TextkomentraChar"/>
    <w:uiPriority w:val="99"/>
    <w:semiHidden/>
    <w:rsid w:val="00A809E7"/>
    <w:rPr>
      <w:rFonts w:ascii="Courier" w:hAnsi="Courier" w:cs="Courier"/>
      <w:b/>
      <w:bCs/>
      <w:lang w:val="x-none" w:eastAsia="cs-CZ"/>
    </w:rPr>
  </w:style>
  <w:style w:type="character" w:customStyle="1" w:styleId="PredmetkomentraChar1564">
    <w:name w:val="Predmet komentára Char1564"/>
    <w:aliases w:val="Char6 Char Char1565,Predmet komentára Char Char Char1565,Comment Subject Char Char Char1565"/>
    <w:basedOn w:val="TextkomentraChar"/>
    <w:uiPriority w:val="99"/>
    <w:semiHidden/>
    <w:rsid w:val="00A809E7"/>
    <w:rPr>
      <w:rFonts w:ascii="Courier" w:hAnsi="Courier" w:cs="Courier"/>
      <w:b/>
      <w:bCs/>
      <w:lang w:val="x-none" w:eastAsia="cs-CZ"/>
    </w:rPr>
  </w:style>
  <w:style w:type="character" w:customStyle="1" w:styleId="PredmetkomentraChar1563">
    <w:name w:val="Predmet komentára Char1563"/>
    <w:aliases w:val="Char6 Char Char1564,Predmet komentára Char Char Char1564,Comment Subject Char Char Char1564"/>
    <w:basedOn w:val="TextkomentraChar"/>
    <w:uiPriority w:val="99"/>
    <w:semiHidden/>
    <w:rsid w:val="00A809E7"/>
    <w:rPr>
      <w:rFonts w:ascii="Courier" w:hAnsi="Courier" w:cs="Courier"/>
      <w:b/>
      <w:bCs/>
      <w:lang w:val="x-none" w:eastAsia="cs-CZ"/>
    </w:rPr>
  </w:style>
  <w:style w:type="character" w:customStyle="1" w:styleId="PredmetkomentraChar1562">
    <w:name w:val="Predmet komentára Char1562"/>
    <w:aliases w:val="Char6 Char Char1563,Predmet komentára Char Char Char1563,Comment Subject Char Char Char1563"/>
    <w:basedOn w:val="TextkomentraChar"/>
    <w:uiPriority w:val="99"/>
    <w:semiHidden/>
    <w:rsid w:val="00A809E7"/>
    <w:rPr>
      <w:rFonts w:ascii="Courier" w:hAnsi="Courier" w:cs="Courier"/>
      <w:b/>
      <w:bCs/>
      <w:lang w:val="x-none" w:eastAsia="cs-CZ"/>
    </w:rPr>
  </w:style>
  <w:style w:type="character" w:customStyle="1" w:styleId="PredmetkomentraChar1561">
    <w:name w:val="Predmet komentára Char1561"/>
    <w:aliases w:val="Char6 Char Char1562,Predmet komentára Char Char Char1562,Comment Subject Char Char Char1562"/>
    <w:basedOn w:val="TextkomentraChar"/>
    <w:uiPriority w:val="99"/>
    <w:semiHidden/>
    <w:rsid w:val="00A809E7"/>
    <w:rPr>
      <w:rFonts w:ascii="Courier" w:hAnsi="Courier" w:cs="Courier"/>
      <w:b/>
      <w:bCs/>
      <w:lang w:val="x-none" w:eastAsia="cs-CZ"/>
    </w:rPr>
  </w:style>
  <w:style w:type="character" w:customStyle="1" w:styleId="PredmetkomentraChar1560">
    <w:name w:val="Predmet komentára Char1560"/>
    <w:aliases w:val="Char6 Char Char1561,Predmet komentára Char Char Char1561,Comment Subject Char Char Char1561"/>
    <w:basedOn w:val="TextkomentraChar"/>
    <w:uiPriority w:val="99"/>
    <w:semiHidden/>
    <w:rsid w:val="00A809E7"/>
    <w:rPr>
      <w:rFonts w:ascii="Courier" w:hAnsi="Courier" w:cs="Courier"/>
      <w:b/>
      <w:bCs/>
      <w:lang w:val="x-none" w:eastAsia="cs-CZ"/>
    </w:rPr>
  </w:style>
  <w:style w:type="character" w:customStyle="1" w:styleId="PredmetkomentraChar1559">
    <w:name w:val="Predmet komentára Char1559"/>
    <w:aliases w:val="Char6 Char Char1560,Predmet komentára Char Char Char1560,Comment Subject Char Char Char1560"/>
    <w:basedOn w:val="TextkomentraChar"/>
    <w:uiPriority w:val="99"/>
    <w:semiHidden/>
    <w:rsid w:val="00A809E7"/>
    <w:rPr>
      <w:rFonts w:ascii="Courier" w:hAnsi="Courier" w:cs="Courier"/>
      <w:b/>
      <w:bCs/>
      <w:lang w:val="x-none" w:eastAsia="cs-CZ"/>
    </w:rPr>
  </w:style>
  <w:style w:type="character" w:customStyle="1" w:styleId="PredmetkomentraChar1558">
    <w:name w:val="Predmet komentára Char1558"/>
    <w:aliases w:val="Char6 Char Char1559,Predmet komentára Char Char Char1559,Comment Subject Char Char Char1559"/>
    <w:basedOn w:val="TextkomentraChar"/>
    <w:uiPriority w:val="99"/>
    <w:semiHidden/>
    <w:rsid w:val="00A809E7"/>
    <w:rPr>
      <w:rFonts w:ascii="Courier" w:hAnsi="Courier" w:cs="Courier"/>
      <w:b/>
      <w:bCs/>
      <w:lang w:val="x-none" w:eastAsia="cs-CZ"/>
    </w:rPr>
  </w:style>
  <w:style w:type="character" w:customStyle="1" w:styleId="PredmetkomentraChar1557">
    <w:name w:val="Predmet komentára Char1557"/>
    <w:aliases w:val="Char6 Char Char1558,Predmet komentára Char Char Char1558,Comment Subject Char Char Char1558"/>
    <w:basedOn w:val="TextkomentraChar"/>
    <w:uiPriority w:val="99"/>
    <w:semiHidden/>
    <w:rsid w:val="00A809E7"/>
    <w:rPr>
      <w:rFonts w:ascii="Courier" w:hAnsi="Courier" w:cs="Courier"/>
      <w:b/>
      <w:bCs/>
      <w:lang w:val="x-none" w:eastAsia="cs-CZ"/>
    </w:rPr>
  </w:style>
  <w:style w:type="character" w:customStyle="1" w:styleId="PredmetkomentraChar1556">
    <w:name w:val="Predmet komentára Char1556"/>
    <w:aliases w:val="Char6 Char Char1557,Predmet komentára Char Char Char1557,Comment Subject Char Char Char1557"/>
    <w:basedOn w:val="TextkomentraChar"/>
    <w:uiPriority w:val="99"/>
    <w:semiHidden/>
    <w:rsid w:val="00A809E7"/>
    <w:rPr>
      <w:rFonts w:ascii="Courier" w:hAnsi="Courier" w:cs="Courier"/>
      <w:b/>
      <w:bCs/>
      <w:lang w:val="x-none" w:eastAsia="cs-CZ"/>
    </w:rPr>
  </w:style>
  <w:style w:type="character" w:customStyle="1" w:styleId="PredmetkomentraChar1555">
    <w:name w:val="Predmet komentára Char1555"/>
    <w:aliases w:val="Char6 Char Char1556,Predmet komentára Char Char Char1556,Comment Subject Char Char Char1556"/>
    <w:basedOn w:val="TextkomentraChar"/>
    <w:uiPriority w:val="99"/>
    <w:semiHidden/>
    <w:rsid w:val="00A809E7"/>
    <w:rPr>
      <w:rFonts w:ascii="Courier" w:hAnsi="Courier" w:cs="Courier"/>
      <w:b/>
      <w:bCs/>
      <w:lang w:val="x-none" w:eastAsia="cs-CZ"/>
    </w:rPr>
  </w:style>
  <w:style w:type="character" w:customStyle="1" w:styleId="PredmetkomentraChar1554">
    <w:name w:val="Predmet komentára Char1554"/>
    <w:aliases w:val="Char6 Char Char1555,Predmet komentára Char Char Char1555,Comment Subject Char Char Char1555"/>
    <w:basedOn w:val="TextkomentraChar"/>
    <w:uiPriority w:val="99"/>
    <w:semiHidden/>
    <w:rsid w:val="00A809E7"/>
    <w:rPr>
      <w:rFonts w:ascii="Courier" w:hAnsi="Courier" w:cs="Courier"/>
      <w:b/>
      <w:bCs/>
      <w:lang w:val="x-none" w:eastAsia="cs-CZ"/>
    </w:rPr>
  </w:style>
  <w:style w:type="character" w:customStyle="1" w:styleId="PredmetkomentraChar1553">
    <w:name w:val="Predmet komentára Char1553"/>
    <w:aliases w:val="Char6 Char Char1554,Predmet komentára Char Char Char1554,Comment Subject Char Char Char1554"/>
    <w:basedOn w:val="TextkomentraChar"/>
    <w:uiPriority w:val="99"/>
    <w:semiHidden/>
    <w:rsid w:val="00A809E7"/>
    <w:rPr>
      <w:rFonts w:ascii="Courier" w:hAnsi="Courier" w:cs="Courier"/>
      <w:b/>
      <w:bCs/>
      <w:lang w:val="x-none" w:eastAsia="cs-CZ"/>
    </w:rPr>
  </w:style>
  <w:style w:type="character" w:customStyle="1" w:styleId="PredmetkomentraChar1552">
    <w:name w:val="Predmet komentára Char1552"/>
    <w:aliases w:val="Char6 Char Char1553,Predmet komentára Char Char Char1553,Comment Subject Char Char Char1553"/>
    <w:basedOn w:val="TextkomentraChar"/>
    <w:uiPriority w:val="99"/>
    <w:semiHidden/>
    <w:rsid w:val="00A809E7"/>
    <w:rPr>
      <w:rFonts w:ascii="Courier" w:hAnsi="Courier" w:cs="Courier"/>
      <w:b/>
      <w:bCs/>
      <w:lang w:val="x-none" w:eastAsia="cs-CZ"/>
    </w:rPr>
  </w:style>
  <w:style w:type="character" w:customStyle="1" w:styleId="PredmetkomentraChar1551">
    <w:name w:val="Predmet komentára Char1551"/>
    <w:aliases w:val="Char6 Char Char1552,Predmet komentára Char Char Char1552,Comment Subject Char Char Char1552"/>
    <w:basedOn w:val="TextkomentraChar"/>
    <w:uiPriority w:val="99"/>
    <w:semiHidden/>
    <w:rsid w:val="00A809E7"/>
    <w:rPr>
      <w:rFonts w:ascii="Courier" w:hAnsi="Courier" w:cs="Courier"/>
      <w:b/>
      <w:bCs/>
      <w:lang w:val="x-none" w:eastAsia="cs-CZ"/>
    </w:rPr>
  </w:style>
  <w:style w:type="character" w:customStyle="1" w:styleId="PredmetkomentraChar1550">
    <w:name w:val="Predmet komentára Char1550"/>
    <w:aliases w:val="Char6 Char Char1551,Predmet komentára Char Char Char1551,Comment Subject Char Char Char1551"/>
    <w:basedOn w:val="TextkomentraChar"/>
    <w:uiPriority w:val="99"/>
    <w:semiHidden/>
    <w:rsid w:val="00A809E7"/>
    <w:rPr>
      <w:rFonts w:ascii="Courier" w:hAnsi="Courier" w:cs="Courier"/>
      <w:b/>
      <w:bCs/>
      <w:lang w:val="x-none" w:eastAsia="cs-CZ"/>
    </w:rPr>
  </w:style>
  <w:style w:type="character" w:customStyle="1" w:styleId="PredmetkomentraChar1549">
    <w:name w:val="Predmet komentára Char1549"/>
    <w:aliases w:val="Char6 Char Char1550,Predmet komentára Char Char Char1550,Comment Subject Char Char Char1550"/>
    <w:basedOn w:val="TextkomentraChar"/>
    <w:uiPriority w:val="99"/>
    <w:semiHidden/>
    <w:rsid w:val="00A809E7"/>
    <w:rPr>
      <w:rFonts w:ascii="Courier" w:hAnsi="Courier" w:cs="Courier"/>
      <w:b/>
      <w:bCs/>
      <w:lang w:val="x-none" w:eastAsia="cs-CZ"/>
    </w:rPr>
  </w:style>
  <w:style w:type="character" w:customStyle="1" w:styleId="PredmetkomentraChar1548">
    <w:name w:val="Predmet komentára Char1548"/>
    <w:aliases w:val="Char6 Char Char1549,Predmet komentára Char Char Char1549,Comment Subject Char Char Char1549"/>
    <w:basedOn w:val="TextkomentraChar"/>
    <w:uiPriority w:val="99"/>
    <w:semiHidden/>
    <w:rsid w:val="00A809E7"/>
    <w:rPr>
      <w:rFonts w:ascii="Courier" w:hAnsi="Courier" w:cs="Courier"/>
      <w:b/>
      <w:bCs/>
      <w:lang w:val="x-none" w:eastAsia="cs-CZ"/>
    </w:rPr>
  </w:style>
  <w:style w:type="character" w:customStyle="1" w:styleId="PredmetkomentraChar1547">
    <w:name w:val="Predmet komentára Char1547"/>
    <w:aliases w:val="Char6 Char Char1548,Predmet komentára Char Char Char1548,Comment Subject Char Char Char1548"/>
    <w:basedOn w:val="TextkomentraChar"/>
    <w:uiPriority w:val="99"/>
    <w:semiHidden/>
    <w:rsid w:val="00A809E7"/>
    <w:rPr>
      <w:rFonts w:ascii="Courier" w:hAnsi="Courier" w:cs="Courier"/>
      <w:b/>
      <w:bCs/>
      <w:lang w:val="x-none" w:eastAsia="cs-CZ"/>
    </w:rPr>
  </w:style>
  <w:style w:type="character" w:customStyle="1" w:styleId="PredmetkomentraChar1546">
    <w:name w:val="Predmet komentára Char1546"/>
    <w:aliases w:val="Char6 Char Char1547,Predmet komentára Char Char Char1547,Comment Subject Char Char Char1547"/>
    <w:basedOn w:val="TextkomentraChar"/>
    <w:uiPriority w:val="99"/>
    <w:semiHidden/>
    <w:rsid w:val="00A809E7"/>
    <w:rPr>
      <w:rFonts w:ascii="Courier" w:hAnsi="Courier" w:cs="Courier"/>
      <w:b/>
      <w:bCs/>
      <w:lang w:val="x-none" w:eastAsia="cs-CZ"/>
    </w:rPr>
  </w:style>
  <w:style w:type="character" w:customStyle="1" w:styleId="PredmetkomentraChar1545">
    <w:name w:val="Predmet komentára Char1545"/>
    <w:aliases w:val="Char6 Char Char1546,Predmet komentára Char Char Char1546,Comment Subject Char Char Char1546"/>
    <w:basedOn w:val="TextkomentraChar"/>
    <w:uiPriority w:val="99"/>
    <w:semiHidden/>
    <w:rsid w:val="00A809E7"/>
    <w:rPr>
      <w:rFonts w:ascii="Courier" w:hAnsi="Courier" w:cs="Courier"/>
      <w:b/>
      <w:bCs/>
      <w:lang w:val="x-none" w:eastAsia="cs-CZ"/>
    </w:rPr>
  </w:style>
  <w:style w:type="character" w:customStyle="1" w:styleId="PredmetkomentraChar1544">
    <w:name w:val="Predmet komentára Char1544"/>
    <w:aliases w:val="Char6 Char Char1545,Predmet komentára Char Char Char1545,Comment Subject Char Char Char1545"/>
    <w:basedOn w:val="TextkomentraChar"/>
    <w:uiPriority w:val="99"/>
    <w:semiHidden/>
    <w:rsid w:val="00A809E7"/>
    <w:rPr>
      <w:rFonts w:ascii="Courier" w:hAnsi="Courier" w:cs="Courier"/>
      <w:b/>
      <w:bCs/>
      <w:lang w:val="x-none" w:eastAsia="cs-CZ"/>
    </w:rPr>
  </w:style>
  <w:style w:type="character" w:customStyle="1" w:styleId="PredmetkomentraChar1543">
    <w:name w:val="Predmet komentára Char1543"/>
    <w:aliases w:val="Char6 Char Char1544,Predmet komentára Char Char Char1544,Comment Subject Char Char Char1544"/>
    <w:basedOn w:val="TextkomentraChar"/>
    <w:uiPriority w:val="99"/>
    <w:semiHidden/>
    <w:rsid w:val="00A809E7"/>
    <w:rPr>
      <w:rFonts w:ascii="Courier" w:hAnsi="Courier" w:cs="Courier"/>
      <w:b/>
      <w:bCs/>
      <w:lang w:val="x-none" w:eastAsia="cs-CZ"/>
    </w:rPr>
  </w:style>
  <w:style w:type="character" w:customStyle="1" w:styleId="PredmetkomentraChar1542">
    <w:name w:val="Predmet komentára Char1542"/>
    <w:aliases w:val="Char6 Char Char1543,Predmet komentára Char Char Char1543,Comment Subject Char Char Char1543"/>
    <w:basedOn w:val="TextkomentraChar"/>
    <w:uiPriority w:val="99"/>
    <w:semiHidden/>
    <w:rsid w:val="00A809E7"/>
    <w:rPr>
      <w:rFonts w:ascii="Courier" w:hAnsi="Courier" w:cs="Courier"/>
      <w:b/>
      <w:bCs/>
      <w:lang w:val="x-none" w:eastAsia="cs-CZ"/>
    </w:rPr>
  </w:style>
  <w:style w:type="character" w:customStyle="1" w:styleId="PredmetkomentraChar1541">
    <w:name w:val="Predmet komentára Char1541"/>
    <w:aliases w:val="Char6 Char Char1542,Predmet komentára Char Char Char1542,Comment Subject Char Char Char1542"/>
    <w:basedOn w:val="TextkomentraChar"/>
    <w:uiPriority w:val="99"/>
    <w:semiHidden/>
    <w:rsid w:val="00A809E7"/>
    <w:rPr>
      <w:rFonts w:ascii="Courier" w:hAnsi="Courier" w:cs="Courier"/>
      <w:b/>
      <w:bCs/>
      <w:lang w:val="x-none" w:eastAsia="cs-CZ"/>
    </w:rPr>
  </w:style>
  <w:style w:type="character" w:customStyle="1" w:styleId="PredmetkomentraChar1540">
    <w:name w:val="Predmet komentára Char1540"/>
    <w:aliases w:val="Char6 Char Char1541,Predmet komentára Char Char Char1541,Comment Subject Char Char Char1541"/>
    <w:basedOn w:val="TextkomentraChar"/>
    <w:uiPriority w:val="99"/>
    <w:semiHidden/>
    <w:rsid w:val="00A809E7"/>
    <w:rPr>
      <w:rFonts w:ascii="Courier" w:hAnsi="Courier" w:cs="Courier"/>
      <w:b/>
      <w:bCs/>
      <w:lang w:val="x-none" w:eastAsia="cs-CZ"/>
    </w:rPr>
  </w:style>
  <w:style w:type="character" w:customStyle="1" w:styleId="PredmetkomentraChar1539">
    <w:name w:val="Predmet komentára Char1539"/>
    <w:aliases w:val="Char6 Char Char1540,Predmet komentára Char Char Char1540,Comment Subject Char Char Char1540"/>
    <w:basedOn w:val="TextkomentraChar"/>
    <w:uiPriority w:val="99"/>
    <w:semiHidden/>
    <w:rsid w:val="00A809E7"/>
    <w:rPr>
      <w:rFonts w:ascii="Courier" w:hAnsi="Courier" w:cs="Courier"/>
      <w:b/>
      <w:bCs/>
      <w:lang w:val="x-none" w:eastAsia="cs-CZ"/>
    </w:rPr>
  </w:style>
  <w:style w:type="character" w:customStyle="1" w:styleId="PredmetkomentraChar1538">
    <w:name w:val="Predmet komentára Char1538"/>
    <w:aliases w:val="Char6 Char Char1539,Predmet komentára Char Char Char1539,Comment Subject Char Char Char1539"/>
    <w:basedOn w:val="TextkomentraChar"/>
    <w:uiPriority w:val="99"/>
    <w:semiHidden/>
    <w:rsid w:val="00A809E7"/>
    <w:rPr>
      <w:rFonts w:ascii="Courier" w:hAnsi="Courier" w:cs="Courier"/>
      <w:b/>
      <w:bCs/>
      <w:lang w:val="x-none" w:eastAsia="cs-CZ"/>
    </w:rPr>
  </w:style>
  <w:style w:type="character" w:customStyle="1" w:styleId="PredmetkomentraChar1537">
    <w:name w:val="Predmet komentára Char1537"/>
    <w:aliases w:val="Char6 Char Char1538,Predmet komentára Char Char Char1538,Comment Subject Char Char Char1538"/>
    <w:basedOn w:val="TextkomentraChar"/>
    <w:uiPriority w:val="99"/>
    <w:semiHidden/>
    <w:rsid w:val="00A809E7"/>
    <w:rPr>
      <w:rFonts w:ascii="Courier" w:hAnsi="Courier" w:cs="Courier"/>
      <w:b/>
      <w:bCs/>
      <w:lang w:val="x-none" w:eastAsia="cs-CZ"/>
    </w:rPr>
  </w:style>
  <w:style w:type="character" w:customStyle="1" w:styleId="PredmetkomentraChar1536">
    <w:name w:val="Predmet komentára Char1536"/>
    <w:aliases w:val="Char6 Char Char1537,Predmet komentára Char Char Char1537,Comment Subject Char Char Char1537"/>
    <w:basedOn w:val="TextkomentraChar"/>
    <w:uiPriority w:val="99"/>
    <w:semiHidden/>
    <w:rsid w:val="00A809E7"/>
    <w:rPr>
      <w:rFonts w:ascii="Courier" w:hAnsi="Courier" w:cs="Courier"/>
      <w:b/>
      <w:bCs/>
      <w:lang w:val="x-none" w:eastAsia="cs-CZ"/>
    </w:rPr>
  </w:style>
  <w:style w:type="character" w:customStyle="1" w:styleId="PredmetkomentraChar1535">
    <w:name w:val="Predmet komentára Char1535"/>
    <w:aliases w:val="Char6 Char Char1536,Predmet komentára Char Char Char1536,Comment Subject Char Char Char1536"/>
    <w:basedOn w:val="TextkomentraChar"/>
    <w:uiPriority w:val="99"/>
    <w:semiHidden/>
    <w:rsid w:val="00A809E7"/>
    <w:rPr>
      <w:rFonts w:ascii="Courier" w:hAnsi="Courier" w:cs="Courier"/>
      <w:b/>
      <w:bCs/>
      <w:lang w:val="x-none" w:eastAsia="cs-CZ"/>
    </w:rPr>
  </w:style>
  <w:style w:type="character" w:customStyle="1" w:styleId="PredmetkomentraChar1534">
    <w:name w:val="Predmet komentára Char1534"/>
    <w:aliases w:val="Char6 Char Char1535,Predmet komentára Char Char Char1535,Comment Subject Char Char Char1535"/>
    <w:basedOn w:val="TextkomentraChar"/>
    <w:uiPriority w:val="99"/>
    <w:semiHidden/>
    <w:rsid w:val="00A809E7"/>
    <w:rPr>
      <w:rFonts w:ascii="Courier" w:hAnsi="Courier" w:cs="Courier"/>
      <w:b/>
      <w:bCs/>
      <w:lang w:val="x-none" w:eastAsia="cs-CZ"/>
    </w:rPr>
  </w:style>
  <w:style w:type="character" w:customStyle="1" w:styleId="PredmetkomentraChar1533">
    <w:name w:val="Predmet komentára Char1533"/>
    <w:aliases w:val="Char6 Char Char1534,Predmet komentára Char Char Char1534,Comment Subject Char Char Char1534"/>
    <w:basedOn w:val="TextkomentraChar"/>
    <w:uiPriority w:val="99"/>
    <w:semiHidden/>
    <w:rsid w:val="00A809E7"/>
    <w:rPr>
      <w:rFonts w:ascii="Courier" w:hAnsi="Courier" w:cs="Courier"/>
      <w:b/>
      <w:bCs/>
      <w:lang w:val="x-none" w:eastAsia="cs-CZ"/>
    </w:rPr>
  </w:style>
  <w:style w:type="character" w:customStyle="1" w:styleId="PredmetkomentraChar1532">
    <w:name w:val="Predmet komentára Char1532"/>
    <w:aliases w:val="Char6 Char Char1533,Predmet komentára Char Char Char1533,Comment Subject Char Char Char1533"/>
    <w:basedOn w:val="TextkomentraChar"/>
    <w:uiPriority w:val="99"/>
    <w:semiHidden/>
    <w:rsid w:val="00A809E7"/>
    <w:rPr>
      <w:rFonts w:ascii="Courier" w:hAnsi="Courier" w:cs="Courier"/>
      <w:b/>
      <w:bCs/>
      <w:lang w:val="x-none" w:eastAsia="cs-CZ"/>
    </w:rPr>
  </w:style>
  <w:style w:type="character" w:customStyle="1" w:styleId="PredmetkomentraChar1531">
    <w:name w:val="Predmet komentára Char1531"/>
    <w:aliases w:val="Char6 Char Char1532,Predmet komentára Char Char Char1532,Comment Subject Char Char Char1532"/>
    <w:basedOn w:val="TextkomentraChar"/>
    <w:uiPriority w:val="99"/>
    <w:semiHidden/>
    <w:rsid w:val="00A809E7"/>
    <w:rPr>
      <w:rFonts w:ascii="Courier" w:hAnsi="Courier" w:cs="Courier"/>
      <w:b/>
      <w:bCs/>
      <w:lang w:val="x-none" w:eastAsia="cs-CZ"/>
    </w:rPr>
  </w:style>
  <w:style w:type="character" w:customStyle="1" w:styleId="PredmetkomentraChar1530">
    <w:name w:val="Predmet komentára Char1530"/>
    <w:aliases w:val="Char6 Char Char1531,Predmet komentára Char Char Char1531,Comment Subject Char Char Char1531"/>
    <w:basedOn w:val="TextkomentraChar"/>
    <w:uiPriority w:val="99"/>
    <w:semiHidden/>
    <w:rsid w:val="00A809E7"/>
    <w:rPr>
      <w:rFonts w:ascii="Courier" w:hAnsi="Courier" w:cs="Courier"/>
      <w:b/>
      <w:bCs/>
      <w:lang w:val="x-none" w:eastAsia="cs-CZ"/>
    </w:rPr>
  </w:style>
  <w:style w:type="character" w:customStyle="1" w:styleId="PredmetkomentraChar1529">
    <w:name w:val="Predmet komentára Char1529"/>
    <w:aliases w:val="Char6 Char Char1530,Predmet komentára Char Char Char1530,Comment Subject Char Char Char1530"/>
    <w:basedOn w:val="TextkomentraChar"/>
    <w:uiPriority w:val="99"/>
    <w:semiHidden/>
    <w:rsid w:val="00A809E7"/>
    <w:rPr>
      <w:rFonts w:ascii="Courier" w:hAnsi="Courier" w:cs="Courier"/>
      <w:b/>
      <w:bCs/>
      <w:lang w:val="x-none" w:eastAsia="cs-CZ"/>
    </w:rPr>
  </w:style>
  <w:style w:type="character" w:customStyle="1" w:styleId="PredmetkomentraChar1528">
    <w:name w:val="Predmet komentára Char1528"/>
    <w:aliases w:val="Char6 Char Char1529,Predmet komentára Char Char Char1529,Comment Subject Char Char Char1529"/>
    <w:basedOn w:val="TextkomentraChar"/>
    <w:uiPriority w:val="99"/>
    <w:semiHidden/>
    <w:rsid w:val="00A809E7"/>
    <w:rPr>
      <w:rFonts w:ascii="Courier" w:hAnsi="Courier" w:cs="Courier"/>
      <w:b/>
      <w:bCs/>
      <w:lang w:val="x-none" w:eastAsia="cs-CZ"/>
    </w:rPr>
  </w:style>
  <w:style w:type="character" w:customStyle="1" w:styleId="PredmetkomentraChar1527">
    <w:name w:val="Predmet komentára Char1527"/>
    <w:aliases w:val="Char6 Char Char1528,Predmet komentára Char Char Char1528,Comment Subject Char Char Char1528"/>
    <w:basedOn w:val="TextkomentraChar"/>
    <w:uiPriority w:val="99"/>
    <w:semiHidden/>
    <w:rsid w:val="00A809E7"/>
    <w:rPr>
      <w:rFonts w:ascii="Courier" w:hAnsi="Courier" w:cs="Courier"/>
      <w:b/>
      <w:bCs/>
      <w:lang w:val="x-none" w:eastAsia="cs-CZ"/>
    </w:rPr>
  </w:style>
  <w:style w:type="character" w:customStyle="1" w:styleId="PredmetkomentraChar1526">
    <w:name w:val="Predmet komentára Char1526"/>
    <w:aliases w:val="Char6 Char Char1527,Predmet komentára Char Char Char1527,Comment Subject Char Char Char1527"/>
    <w:basedOn w:val="TextkomentraChar"/>
    <w:uiPriority w:val="99"/>
    <w:semiHidden/>
    <w:rsid w:val="00A809E7"/>
    <w:rPr>
      <w:rFonts w:ascii="Courier" w:hAnsi="Courier" w:cs="Courier"/>
      <w:b/>
      <w:bCs/>
      <w:lang w:val="x-none" w:eastAsia="cs-CZ"/>
    </w:rPr>
  </w:style>
  <w:style w:type="character" w:customStyle="1" w:styleId="PredmetkomentraChar1525">
    <w:name w:val="Predmet komentára Char1525"/>
    <w:aliases w:val="Char6 Char Char1526,Predmet komentára Char Char Char1526,Comment Subject Char Char Char1526"/>
    <w:basedOn w:val="TextkomentraChar"/>
    <w:uiPriority w:val="99"/>
    <w:semiHidden/>
    <w:rsid w:val="00A809E7"/>
    <w:rPr>
      <w:rFonts w:ascii="Courier" w:hAnsi="Courier" w:cs="Courier"/>
      <w:b/>
      <w:bCs/>
      <w:lang w:val="x-none" w:eastAsia="cs-CZ"/>
    </w:rPr>
  </w:style>
  <w:style w:type="character" w:customStyle="1" w:styleId="PredmetkomentraChar1524">
    <w:name w:val="Predmet komentára Char1524"/>
    <w:aliases w:val="Char6 Char Char1525,Predmet komentára Char Char Char1525,Comment Subject Char Char Char1525"/>
    <w:basedOn w:val="TextkomentraChar"/>
    <w:uiPriority w:val="99"/>
    <w:semiHidden/>
    <w:rsid w:val="00A809E7"/>
    <w:rPr>
      <w:rFonts w:ascii="Courier" w:hAnsi="Courier" w:cs="Courier"/>
      <w:b/>
      <w:bCs/>
      <w:lang w:val="x-none" w:eastAsia="cs-CZ"/>
    </w:rPr>
  </w:style>
  <w:style w:type="character" w:customStyle="1" w:styleId="PredmetkomentraChar1523">
    <w:name w:val="Predmet komentára Char1523"/>
    <w:aliases w:val="Char6 Char Char1524,Predmet komentára Char Char Char1524,Comment Subject Char Char Char1524"/>
    <w:basedOn w:val="TextkomentraChar"/>
    <w:uiPriority w:val="99"/>
    <w:semiHidden/>
    <w:rsid w:val="00A809E7"/>
    <w:rPr>
      <w:rFonts w:ascii="Courier" w:hAnsi="Courier" w:cs="Courier"/>
      <w:b/>
      <w:bCs/>
      <w:lang w:val="x-none" w:eastAsia="cs-CZ"/>
    </w:rPr>
  </w:style>
  <w:style w:type="character" w:customStyle="1" w:styleId="PredmetkomentraChar1522">
    <w:name w:val="Predmet komentára Char1522"/>
    <w:aliases w:val="Char6 Char Char1523,Predmet komentára Char Char Char1523,Comment Subject Char Char Char1523"/>
    <w:basedOn w:val="TextkomentraChar"/>
    <w:uiPriority w:val="99"/>
    <w:semiHidden/>
    <w:rsid w:val="00A809E7"/>
    <w:rPr>
      <w:rFonts w:ascii="Courier" w:hAnsi="Courier" w:cs="Courier"/>
      <w:b/>
      <w:bCs/>
      <w:lang w:val="x-none" w:eastAsia="cs-CZ"/>
    </w:rPr>
  </w:style>
  <w:style w:type="character" w:customStyle="1" w:styleId="PredmetkomentraChar1521">
    <w:name w:val="Predmet komentára Char1521"/>
    <w:aliases w:val="Char6 Char Char1522,Predmet komentára Char Char Char1522,Comment Subject Char Char Char1522"/>
    <w:basedOn w:val="TextkomentraChar"/>
    <w:uiPriority w:val="99"/>
    <w:semiHidden/>
    <w:rsid w:val="00A809E7"/>
    <w:rPr>
      <w:rFonts w:ascii="Courier" w:hAnsi="Courier" w:cs="Courier"/>
      <w:b/>
      <w:bCs/>
      <w:lang w:val="x-none" w:eastAsia="cs-CZ"/>
    </w:rPr>
  </w:style>
  <w:style w:type="character" w:customStyle="1" w:styleId="PredmetkomentraChar1520">
    <w:name w:val="Predmet komentára Char1520"/>
    <w:aliases w:val="Char6 Char Char1521,Predmet komentára Char Char Char1521,Comment Subject Char Char Char1521"/>
    <w:basedOn w:val="TextkomentraChar"/>
    <w:uiPriority w:val="99"/>
    <w:semiHidden/>
    <w:rsid w:val="00A809E7"/>
    <w:rPr>
      <w:rFonts w:ascii="Courier" w:hAnsi="Courier" w:cs="Courier"/>
      <w:b/>
      <w:bCs/>
      <w:lang w:val="x-none" w:eastAsia="cs-CZ"/>
    </w:rPr>
  </w:style>
  <w:style w:type="character" w:customStyle="1" w:styleId="PredmetkomentraChar1519">
    <w:name w:val="Predmet komentára Char1519"/>
    <w:aliases w:val="Char6 Char Char1520,Predmet komentára Char Char Char1520,Comment Subject Char Char Char1520"/>
    <w:basedOn w:val="TextkomentraChar"/>
    <w:uiPriority w:val="99"/>
    <w:semiHidden/>
    <w:rsid w:val="00A809E7"/>
    <w:rPr>
      <w:rFonts w:ascii="Courier" w:hAnsi="Courier" w:cs="Courier"/>
      <w:b/>
      <w:bCs/>
      <w:lang w:val="x-none" w:eastAsia="cs-CZ"/>
    </w:rPr>
  </w:style>
  <w:style w:type="character" w:customStyle="1" w:styleId="PredmetkomentraChar1518">
    <w:name w:val="Predmet komentára Char1518"/>
    <w:aliases w:val="Char6 Char Char1519,Predmet komentára Char Char Char1519,Comment Subject Char Char Char1519"/>
    <w:basedOn w:val="TextkomentraChar"/>
    <w:uiPriority w:val="99"/>
    <w:semiHidden/>
    <w:rsid w:val="00A809E7"/>
    <w:rPr>
      <w:rFonts w:ascii="Courier" w:hAnsi="Courier" w:cs="Courier"/>
      <w:b/>
      <w:bCs/>
      <w:lang w:val="x-none" w:eastAsia="cs-CZ"/>
    </w:rPr>
  </w:style>
  <w:style w:type="character" w:customStyle="1" w:styleId="PredmetkomentraChar1517">
    <w:name w:val="Predmet komentára Char1517"/>
    <w:aliases w:val="Char6 Char Char1518,Predmet komentára Char Char Char1518,Comment Subject Char Char Char1518"/>
    <w:basedOn w:val="TextkomentraChar"/>
    <w:uiPriority w:val="99"/>
    <w:semiHidden/>
    <w:rsid w:val="00A809E7"/>
    <w:rPr>
      <w:rFonts w:ascii="Courier" w:hAnsi="Courier" w:cs="Courier"/>
      <w:b/>
      <w:bCs/>
      <w:lang w:val="x-none" w:eastAsia="cs-CZ"/>
    </w:rPr>
  </w:style>
  <w:style w:type="character" w:customStyle="1" w:styleId="PredmetkomentraChar1516">
    <w:name w:val="Predmet komentára Char1516"/>
    <w:aliases w:val="Char6 Char Char1517,Predmet komentára Char Char Char1517,Comment Subject Char Char Char1517"/>
    <w:basedOn w:val="TextkomentraChar"/>
    <w:uiPriority w:val="99"/>
    <w:semiHidden/>
    <w:rsid w:val="00A809E7"/>
    <w:rPr>
      <w:rFonts w:ascii="Courier" w:hAnsi="Courier" w:cs="Courier"/>
      <w:b/>
      <w:bCs/>
      <w:lang w:val="x-none" w:eastAsia="cs-CZ"/>
    </w:rPr>
  </w:style>
  <w:style w:type="character" w:customStyle="1" w:styleId="PredmetkomentraChar1515">
    <w:name w:val="Predmet komentára Char1515"/>
    <w:aliases w:val="Char6 Char Char1516,Predmet komentára Char Char Char1516,Comment Subject Char Char Char1516"/>
    <w:basedOn w:val="TextkomentraChar"/>
    <w:uiPriority w:val="99"/>
    <w:semiHidden/>
    <w:rsid w:val="00A809E7"/>
    <w:rPr>
      <w:rFonts w:ascii="Courier" w:hAnsi="Courier" w:cs="Courier"/>
      <w:b/>
      <w:bCs/>
      <w:lang w:val="x-none" w:eastAsia="cs-CZ"/>
    </w:rPr>
  </w:style>
  <w:style w:type="character" w:customStyle="1" w:styleId="PredmetkomentraChar1514">
    <w:name w:val="Predmet komentára Char1514"/>
    <w:aliases w:val="Char6 Char Char1515,Predmet komentára Char Char Char1515,Comment Subject Char Char Char1515"/>
    <w:basedOn w:val="TextkomentraChar"/>
    <w:uiPriority w:val="99"/>
    <w:semiHidden/>
    <w:rsid w:val="00A809E7"/>
    <w:rPr>
      <w:rFonts w:ascii="Courier" w:hAnsi="Courier" w:cs="Courier"/>
      <w:b/>
      <w:bCs/>
      <w:lang w:val="x-none" w:eastAsia="cs-CZ"/>
    </w:rPr>
  </w:style>
  <w:style w:type="character" w:customStyle="1" w:styleId="PredmetkomentraChar1513">
    <w:name w:val="Predmet komentára Char1513"/>
    <w:aliases w:val="Char6 Char Char1514,Predmet komentára Char Char Char1514,Comment Subject Char Char Char1514"/>
    <w:uiPriority w:val="99"/>
    <w:semiHidden/>
    <w:rsid w:val="00A809E7"/>
    <w:rPr>
      <w:rFonts w:ascii="Courier" w:hAnsi="Courier"/>
      <w:b/>
      <w:lang w:val="x-none" w:eastAsia="cs-CZ"/>
    </w:rPr>
  </w:style>
  <w:style w:type="character" w:customStyle="1" w:styleId="PredmetkomentraChar1512">
    <w:name w:val="Predmet komentára Char1512"/>
    <w:aliases w:val="Char6 Char Char1513,Predmet komentára Char Char Char1513,Comment Subject Char Char Char1513"/>
    <w:uiPriority w:val="99"/>
    <w:semiHidden/>
    <w:rsid w:val="00A809E7"/>
    <w:rPr>
      <w:rFonts w:ascii="Courier" w:hAnsi="Courier"/>
      <w:b/>
      <w:lang w:val="x-none" w:eastAsia="cs-CZ"/>
    </w:rPr>
  </w:style>
  <w:style w:type="character" w:customStyle="1" w:styleId="PredmetkomentraChar1511">
    <w:name w:val="Predmet komentára Char1511"/>
    <w:aliases w:val="Char6 Char Char1512,Predmet komentára Char Char Char1512,Comment Subject Char Char Char1512"/>
    <w:uiPriority w:val="99"/>
    <w:semiHidden/>
    <w:rsid w:val="00A809E7"/>
    <w:rPr>
      <w:rFonts w:ascii="Courier" w:hAnsi="Courier"/>
      <w:b/>
      <w:lang w:val="x-none" w:eastAsia="cs-CZ"/>
    </w:rPr>
  </w:style>
  <w:style w:type="character" w:customStyle="1" w:styleId="PredmetkomentraChar1510">
    <w:name w:val="Predmet komentára Char1510"/>
    <w:aliases w:val="Char6 Char Char1511,Predmet komentára Char Char Char1511,Comment Subject Char Char Char1511"/>
    <w:uiPriority w:val="99"/>
    <w:semiHidden/>
    <w:rsid w:val="00A809E7"/>
    <w:rPr>
      <w:rFonts w:ascii="Courier" w:hAnsi="Courier"/>
      <w:b/>
      <w:lang w:val="x-none" w:eastAsia="cs-CZ"/>
    </w:rPr>
  </w:style>
  <w:style w:type="character" w:customStyle="1" w:styleId="PredmetkomentraChar1509">
    <w:name w:val="Predmet komentára Char1509"/>
    <w:aliases w:val="Char6 Char Char1510,Predmet komentára Char Char Char1510,Comment Subject Char Char Char1510"/>
    <w:uiPriority w:val="99"/>
    <w:semiHidden/>
    <w:rsid w:val="00A809E7"/>
    <w:rPr>
      <w:rFonts w:ascii="Courier" w:hAnsi="Courier"/>
      <w:b/>
      <w:lang w:val="x-none" w:eastAsia="cs-CZ"/>
    </w:rPr>
  </w:style>
  <w:style w:type="character" w:customStyle="1" w:styleId="PredmetkomentraChar1508">
    <w:name w:val="Predmet komentára Char1508"/>
    <w:aliases w:val="Char6 Char Char1509,Predmet komentára Char Char Char1509,Comment Subject Char Char Char1509"/>
    <w:uiPriority w:val="99"/>
    <w:semiHidden/>
    <w:rsid w:val="00A809E7"/>
    <w:rPr>
      <w:rFonts w:ascii="Courier" w:hAnsi="Courier"/>
      <w:b/>
      <w:lang w:val="x-none" w:eastAsia="cs-CZ"/>
    </w:rPr>
  </w:style>
  <w:style w:type="character" w:customStyle="1" w:styleId="PredmetkomentraChar1507">
    <w:name w:val="Predmet komentára Char1507"/>
    <w:aliases w:val="Char6 Char Char1508,Predmet komentára Char Char Char1508,Comment Subject Char Char Char1508"/>
    <w:uiPriority w:val="99"/>
    <w:semiHidden/>
    <w:rsid w:val="00A809E7"/>
    <w:rPr>
      <w:rFonts w:ascii="Courier" w:hAnsi="Courier"/>
      <w:b/>
      <w:lang w:val="x-none" w:eastAsia="cs-CZ"/>
    </w:rPr>
  </w:style>
  <w:style w:type="character" w:customStyle="1" w:styleId="PredmetkomentraChar1506">
    <w:name w:val="Predmet komentára Char1506"/>
    <w:aliases w:val="Char6 Char Char1507,Predmet komentára Char Char Char1507,Comment Subject Char Char Char1507"/>
    <w:uiPriority w:val="99"/>
    <w:semiHidden/>
    <w:rsid w:val="00A809E7"/>
    <w:rPr>
      <w:rFonts w:ascii="Courier" w:hAnsi="Courier"/>
      <w:b/>
      <w:lang w:val="x-none" w:eastAsia="cs-CZ"/>
    </w:rPr>
  </w:style>
  <w:style w:type="character" w:customStyle="1" w:styleId="PredmetkomentraChar1505">
    <w:name w:val="Predmet komentára Char1505"/>
    <w:aliases w:val="Char6 Char Char1506,Predmet komentára Char Char Char1506,Comment Subject Char Char Char1506"/>
    <w:uiPriority w:val="99"/>
    <w:semiHidden/>
    <w:rsid w:val="00A809E7"/>
    <w:rPr>
      <w:rFonts w:ascii="Courier" w:hAnsi="Courier"/>
      <w:b/>
      <w:lang w:val="x-none" w:eastAsia="cs-CZ"/>
    </w:rPr>
  </w:style>
  <w:style w:type="character" w:customStyle="1" w:styleId="PredmetkomentraChar1504">
    <w:name w:val="Predmet komentára Char1504"/>
    <w:aliases w:val="Char6 Char Char1505,Predmet komentára Char Char Char1505,Comment Subject Char Char Char1505"/>
    <w:uiPriority w:val="99"/>
    <w:semiHidden/>
    <w:rsid w:val="00A809E7"/>
    <w:rPr>
      <w:rFonts w:ascii="Courier" w:hAnsi="Courier"/>
      <w:b/>
      <w:lang w:val="x-none" w:eastAsia="cs-CZ"/>
    </w:rPr>
  </w:style>
  <w:style w:type="character" w:customStyle="1" w:styleId="PredmetkomentraChar1503">
    <w:name w:val="Predmet komentára Char1503"/>
    <w:aliases w:val="Char6 Char Char1504,Predmet komentára Char Char Char1504,Comment Subject Char Char Char1504"/>
    <w:uiPriority w:val="99"/>
    <w:semiHidden/>
    <w:rsid w:val="00A809E7"/>
    <w:rPr>
      <w:rFonts w:ascii="Courier" w:hAnsi="Courier"/>
      <w:b/>
      <w:lang w:val="x-none" w:eastAsia="cs-CZ"/>
    </w:rPr>
  </w:style>
  <w:style w:type="character" w:customStyle="1" w:styleId="PredmetkomentraChar1502">
    <w:name w:val="Predmet komentára Char1502"/>
    <w:aliases w:val="Char6 Char Char1503,Predmet komentára Char Char Char1503,Comment Subject Char Char Char1503"/>
    <w:uiPriority w:val="99"/>
    <w:semiHidden/>
    <w:rsid w:val="00A809E7"/>
    <w:rPr>
      <w:rFonts w:ascii="Courier" w:hAnsi="Courier"/>
      <w:b/>
      <w:lang w:val="x-none" w:eastAsia="cs-CZ"/>
    </w:rPr>
  </w:style>
  <w:style w:type="character" w:customStyle="1" w:styleId="PredmetkomentraChar1501">
    <w:name w:val="Predmet komentára Char1501"/>
    <w:aliases w:val="Char6 Char Char1502,Predmet komentára Char Char Char1502,Comment Subject Char Char Char1502"/>
    <w:uiPriority w:val="99"/>
    <w:semiHidden/>
    <w:rsid w:val="00A809E7"/>
    <w:rPr>
      <w:rFonts w:ascii="Courier" w:hAnsi="Courier"/>
      <w:b/>
      <w:lang w:val="x-none" w:eastAsia="cs-CZ"/>
    </w:rPr>
  </w:style>
  <w:style w:type="character" w:customStyle="1" w:styleId="PredmetkomentraChar1500">
    <w:name w:val="Predmet komentára Char1500"/>
    <w:aliases w:val="Char6 Char Char1501,Predmet komentára Char Char Char1501,Comment Subject Char Char Char1501"/>
    <w:uiPriority w:val="99"/>
    <w:semiHidden/>
    <w:rsid w:val="00A809E7"/>
    <w:rPr>
      <w:rFonts w:ascii="Courier" w:hAnsi="Courier"/>
      <w:b/>
      <w:lang w:val="x-none" w:eastAsia="cs-CZ"/>
    </w:rPr>
  </w:style>
  <w:style w:type="character" w:customStyle="1" w:styleId="PredmetkomentraChar1499">
    <w:name w:val="Predmet komentára Char1499"/>
    <w:aliases w:val="Char6 Char Char1500,Predmet komentára Char Char Char1500,Comment Subject Char Char Char1500"/>
    <w:uiPriority w:val="99"/>
    <w:semiHidden/>
    <w:rsid w:val="00A809E7"/>
    <w:rPr>
      <w:rFonts w:ascii="Courier" w:hAnsi="Courier"/>
      <w:b/>
      <w:lang w:val="x-none" w:eastAsia="cs-CZ"/>
    </w:rPr>
  </w:style>
  <w:style w:type="character" w:customStyle="1" w:styleId="PredmetkomentraChar1498">
    <w:name w:val="Predmet komentára Char1498"/>
    <w:aliases w:val="Char6 Char Char1499,Predmet komentára Char Char Char1499,Comment Subject Char Char Char1499"/>
    <w:uiPriority w:val="99"/>
    <w:semiHidden/>
    <w:rsid w:val="00A809E7"/>
    <w:rPr>
      <w:rFonts w:ascii="Courier" w:hAnsi="Courier"/>
      <w:b/>
      <w:lang w:val="x-none" w:eastAsia="cs-CZ"/>
    </w:rPr>
  </w:style>
  <w:style w:type="character" w:customStyle="1" w:styleId="PredmetkomentraChar1497">
    <w:name w:val="Predmet komentára Char1497"/>
    <w:aliases w:val="Char6 Char Char1498,Predmet komentára Char Char Char1498,Comment Subject Char Char Char1498"/>
    <w:uiPriority w:val="99"/>
    <w:semiHidden/>
    <w:rsid w:val="00A809E7"/>
    <w:rPr>
      <w:rFonts w:ascii="Courier" w:hAnsi="Courier"/>
      <w:b/>
      <w:lang w:val="x-none" w:eastAsia="cs-CZ"/>
    </w:rPr>
  </w:style>
  <w:style w:type="character" w:customStyle="1" w:styleId="PredmetkomentraChar1496">
    <w:name w:val="Predmet komentára Char1496"/>
    <w:aliases w:val="Char6 Char Char1497,Predmet komentára Char Char Char1497,Comment Subject Char Char Char1497"/>
    <w:uiPriority w:val="99"/>
    <w:semiHidden/>
    <w:rsid w:val="00A809E7"/>
    <w:rPr>
      <w:rFonts w:ascii="Courier" w:hAnsi="Courier"/>
      <w:b/>
      <w:lang w:val="x-none" w:eastAsia="cs-CZ"/>
    </w:rPr>
  </w:style>
  <w:style w:type="character" w:customStyle="1" w:styleId="PredmetkomentraChar1495">
    <w:name w:val="Predmet komentára Char1495"/>
    <w:aliases w:val="Char6 Char Char1496,Predmet komentára Char Char Char1496,Comment Subject Char Char Char1496"/>
    <w:uiPriority w:val="99"/>
    <w:semiHidden/>
    <w:rsid w:val="00A809E7"/>
    <w:rPr>
      <w:rFonts w:ascii="Courier" w:hAnsi="Courier"/>
      <w:b/>
      <w:lang w:val="x-none" w:eastAsia="cs-CZ"/>
    </w:rPr>
  </w:style>
  <w:style w:type="character" w:customStyle="1" w:styleId="PredmetkomentraChar1494">
    <w:name w:val="Predmet komentára Char1494"/>
    <w:aliases w:val="Char6 Char Char1495,Predmet komentára Char Char Char1495,Comment Subject Char Char Char1495"/>
    <w:uiPriority w:val="99"/>
    <w:semiHidden/>
    <w:rsid w:val="00A809E7"/>
    <w:rPr>
      <w:rFonts w:ascii="Courier" w:hAnsi="Courier"/>
      <w:b/>
      <w:lang w:val="x-none" w:eastAsia="cs-CZ"/>
    </w:rPr>
  </w:style>
  <w:style w:type="character" w:customStyle="1" w:styleId="PredmetkomentraChar1493">
    <w:name w:val="Predmet komentára Char1493"/>
    <w:aliases w:val="Char6 Char Char1494,Predmet komentára Char Char Char1494,Comment Subject Char Char Char1494"/>
    <w:uiPriority w:val="99"/>
    <w:semiHidden/>
    <w:rsid w:val="00A809E7"/>
    <w:rPr>
      <w:rFonts w:ascii="Courier" w:hAnsi="Courier"/>
      <w:b/>
      <w:lang w:val="x-none" w:eastAsia="cs-CZ"/>
    </w:rPr>
  </w:style>
  <w:style w:type="character" w:customStyle="1" w:styleId="PredmetkomentraChar1492">
    <w:name w:val="Predmet komentára Char1492"/>
    <w:aliases w:val="Char6 Char Char1493,Predmet komentára Char Char Char1493,Comment Subject Char Char Char1493"/>
    <w:uiPriority w:val="99"/>
    <w:semiHidden/>
    <w:rsid w:val="00A809E7"/>
    <w:rPr>
      <w:rFonts w:ascii="Courier" w:hAnsi="Courier"/>
      <w:b/>
      <w:lang w:val="x-none" w:eastAsia="cs-CZ"/>
    </w:rPr>
  </w:style>
  <w:style w:type="character" w:customStyle="1" w:styleId="PredmetkomentraChar1491">
    <w:name w:val="Predmet komentára Char1491"/>
    <w:aliases w:val="Char6 Char Char1492,Predmet komentára Char Char Char1492,Comment Subject Char Char Char1492"/>
    <w:uiPriority w:val="99"/>
    <w:semiHidden/>
    <w:rsid w:val="00A809E7"/>
    <w:rPr>
      <w:rFonts w:ascii="Courier" w:hAnsi="Courier"/>
      <w:b/>
      <w:lang w:val="x-none" w:eastAsia="cs-CZ"/>
    </w:rPr>
  </w:style>
  <w:style w:type="character" w:customStyle="1" w:styleId="PredmetkomentraChar1490">
    <w:name w:val="Predmet komentára Char1490"/>
    <w:aliases w:val="Char6 Char Char1491,Predmet komentára Char Char Char1491,Comment Subject Char Char Char1491"/>
    <w:uiPriority w:val="99"/>
    <w:semiHidden/>
    <w:rsid w:val="00A809E7"/>
    <w:rPr>
      <w:rFonts w:ascii="Courier" w:hAnsi="Courier"/>
      <w:b/>
      <w:lang w:val="x-none" w:eastAsia="cs-CZ"/>
    </w:rPr>
  </w:style>
  <w:style w:type="character" w:customStyle="1" w:styleId="PredmetkomentraChar1489">
    <w:name w:val="Predmet komentára Char1489"/>
    <w:aliases w:val="Char6 Char Char1490,Predmet komentára Char Char Char1490,Comment Subject Char Char Char1490"/>
    <w:uiPriority w:val="99"/>
    <w:semiHidden/>
    <w:rsid w:val="00A809E7"/>
    <w:rPr>
      <w:rFonts w:ascii="Courier" w:hAnsi="Courier"/>
      <w:b/>
      <w:lang w:val="x-none" w:eastAsia="cs-CZ"/>
    </w:rPr>
  </w:style>
  <w:style w:type="character" w:customStyle="1" w:styleId="PredmetkomentraChar1488">
    <w:name w:val="Predmet komentára Char1488"/>
    <w:aliases w:val="Char6 Char Char1489,Predmet komentára Char Char Char1489,Comment Subject Char Char Char1489"/>
    <w:uiPriority w:val="99"/>
    <w:semiHidden/>
    <w:rsid w:val="00A809E7"/>
    <w:rPr>
      <w:rFonts w:ascii="Courier" w:hAnsi="Courier"/>
      <w:b/>
      <w:lang w:val="x-none" w:eastAsia="cs-CZ"/>
    </w:rPr>
  </w:style>
  <w:style w:type="character" w:customStyle="1" w:styleId="PredmetkomentraChar1487">
    <w:name w:val="Predmet komentára Char1487"/>
    <w:aliases w:val="Char6 Char Char1488,Predmet komentára Char Char Char1488,Comment Subject Char Char Char1488"/>
    <w:uiPriority w:val="99"/>
    <w:semiHidden/>
    <w:rsid w:val="00A809E7"/>
    <w:rPr>
      <w:rFonts w:ascii="Courier" w:hAnsi="Courier"/>
      <w:b/>
      <w:lang w:val="x-none" w:eastAsia="cs-CZ"/>
    </w:rPr>
  </w:style>
  <w:style w:type="character" w:customStyle="1" w:styleId="PredmetkomentraChar1486">
    <w:name w:val="Predmet komentára Char1486"/>
    <w:aliases w:val="Char6 Char Char1487,Predmet komentára Char Char Char1487,Comment Subject Char Char Char1487"/>
    <w:uiPriority w:val="99"/>
    <w:semiHidden/>
    <w:rsid w:val="00A809E7"/>
    <w:rPr>
      <w:rFonts w:ascii="Courier" w:hAnsi="Courier"/>
      <w:b/>
      <w:lang w:val="x-none" w:eastAsia="cs-CZ"/>
    </w:rPr>
  </w:style>
  <w:style w:type="character" w:customStyle="1" w:styleId="PredmetkomentraChar1485">
    <w:name w:val="Predmet komentára Char1485"/>
    <w:aliases w:val="Char6 Char Char1486,Predmet komentára Char Char Char1486,Comment Subject Char Char Char1486"/>
    <w:uiPriority w:val="99"/>
    <w:semiHidden/>
    <w:rsid w:val="00A809E7"/>
    <w:rPr>
      <w:rFonts w:ascii="Courier" w:hAnsi="Courier"/>
      <w:b/>
      <w:lang w:val="x-none" w:eastAsia="cs-CZ"/>
    </w:rPr>
  </w:style>
  <w:style w:type="character" w:customStyle="1" w:styleId="PredmetkomentraChar1484">
    <w:name w:val="Predmet komentára Char1484"/>
    <w:aliases w:val="Char6 Char Char1485,Predmet komentára Char Char Char1485,Comment Subject Char Char Char1485"/>
    <w:uiPriority w:val="99"/>
    <w:semiHidden/>
    <w:rsid w:val="00A809E7"/>
    <w:rPr>
      <w:rFonts w:ascii="Courier" w:hAnsi="Courier"/>
      <w:b/>
      <w:lang w:val="x-none" w:eastAsia="cs-CZ"/>
    </w:rPr>
  </w:style>
  <w:style w:type="character" w:customStyle="1" w:styleId="PredmetkomentraChar1483">
    <w:name w:val="Predmet komentára Char1483"/>
    <w:aliases w:val="Char6 Char Char1484,Predmet komentára Char Char Char1484,Comment Subject Char Char Char1484"/>
    <w:uiPriority w:val="99"/>
    <w:semiHidden/>
    <w:rsid w:val="00A809E7"/>
    <w:rPr>
      <w:rFonts w:ascii="Courier" w:hAnsi="Courier"/>
      <w:b/>
      <w:lang w:val="x-none" w:eastAsia="cs-CZ"/>
    </w:rPr>
  </w:style>
  <w:style w:type="character" w:customStyle="1" w:styleId="PredmetkomentraChar1482">
    <w:name w:val="Predmet komentára Char1482"/>
    <w:aliases w:val="Char6 Char Char1483,Predmet komentára Char Char Char1483,Comment Subject Char Char Char1483"/>
    <w:uiPriority w:val="99"/>
    <w:semiHidden/>
    <w:rsid w:val="00A809E7"/>
    <w:rPr>
      <w:rFonts w:ascii="Courier" w:hAnsi="Courier"/>
      <w:b/>
      <w:lang w:val="x-none" w:eastAsia="cs-CZ"/>
    </w:rPr>
  </w:style>
  <w:style w:type="character" w:customStyle="1" w:styleId="PredmetkomentraChar1481">
    <w:name w:val="Predmet komentára Char1481"/>
    <w:aliases w:val="Char6 Char Char1482,Predmet komentára Char Char Char1482,Comment Subject Char Char Char1482"/>
    <w:uiPriority w:val="99"/>
    <w:semiHidden/>
    <w:rsid w:val="00A809E7"/>
    <w:rPr>
      <w:rFonts w:ascii="Courier" w:hAnsi="Courier"/>
      <w:b/>
      <w:lang w:val="x-none" w:eastAsia="cs-CZ"/>
    </w:rPr>
  </w:style>
  <w:style w:type="character" w:customStyle="1" w:styleId="PredmetkomentraChar1480">
    <w:name w:val="Predmet komentára Char1480"/>
    <w:aliases w:val="Char6 Char Char1481,Predmet komentára Char Char Char1481,Comment Subject Char Char Char1481"/>
    <w:uiPriority w:val="99"/>
    <w:semiHidden/>
    <w:rsid w:val="00A809E7"/>
    <w:rPr>
      <w:rFonts w:ascii="Courier" w:hAnsi="Courier"/>
      <w:b/>
      <w:lang w:val="x-none" w:eastAsia="cs-CZ"/>
    </w:rPr>
  </w:style>
  <w:style w:type="character" w:customStyle="1" w:styleId="PredmetkomentraChar1479">
    <w:name w:val="Predmet komentára Char1479"/>
    <w:aliases w:val="Char6 Char Char1480,Predmet komentára Char Char Char1480,Comment Subject Char Char Char1480"/>
    <w:uiPriority w:val="99"/>
    <w:semiHidden/>
    <w:rsid w:val="00A809E7"/>
    <w:rPr>
      <w:rFonts w:ascii="Courier" w:hAnsi="Courier"/>
      <w:b/>
      <w:lang w:val="x-none" w:eastAsia="cs-CZ"/>
    </w:rPr>
  </w:style>
  <w:style w:type="character" w:customStyle="1" w:styleId="PredmetkomentraChar1478">
    <w:name w:val="Predmet komentára Char1478"/>
    <w:aliases w:val="Char6 Char Char1479,Predmet komentára Char Char Char1479,Comment Subject Char Char Char1479"/>
    <w:uiPriority w:val="99"/>
    <w:semiHidden/>
    <w:rsid w:val="00A809E7"/>
    <w:rPr>
      <w:rFonts w:ascii="Courier" w:hAnsi="Courier"/>
      <w:b/>
      <w:lang w:val="x-none" w:eastAsia="cs-CZ"/>
    </w:rPr>
  </w:style>
  <w:style w:type="character" w:customStyle="1" w:styleId="PredmetkomentraChar1477">
    <w:name w:val="Predmet komentára Char1477"/>
    <w:aliases w:val="Char6 Char Char1478,Predmet komentára Char Char Char1478,Comment Subject Char Char Char1478"/>
    <w:uiPriority w:val="99"/>
    <w:semiHidden/>
    <w:rsid w:val="00A809E7"/>
    <w:rPr>
      <w:rFonts w:ascii="Courier" w:hAnsi="Courier"/>
      <w:b/>
      <w:lang w:val="x-none" w:eastAsia="cs-CZ"/>
    </w:rPr>
  </w:style>
  <w:style w:type="character" w:customStyle="1" w:styleId="PredmetkomentraChar1476">
    <w:name w:val="Predmet komentára Char1476"/>
    <w:aliases w:val="Char6 Char Char1477,Predmet komentára Char Char Char1477,Comment Subject Char Char Char1477"/>
    <w:uiPriority w:val="99"/>
    <w:semiHidden/>
    <w:rsid w:val="00A809E7"/>
    <w:rPr>
      <w:rFonts w:ascii="Courier" w:hAnsi="Courier"/>
      <w:b/>
      <w:lang w:val="x-none" w:eastAsia="cs-CZ"/>
    </w:rPr>
  </w:style>
  <w:style w:type="character" w:customStyle="1" w:styleId="PredmetkomentraChar1475">
    <w:name w:val="Predmet komentára Char1475"/>
    <w:aliases w:val="Char6 Char Char1476,Predmet komentára Char Char Char1476,Comment Subject Char Char Char1476"/>
    <w:uiPriority w:val="99"/>
    <w:semiHidden/>
    <w:rsid w:val="00A809E7"/>
    <w:rPr>
      <w:rFonts w:ascii="Courier" w:hAnsi="Courier"/>
      <w:b/>
      <w:lang w:val="x-none" w:eastAsia="cs-CZ"/>
    </w:rPr>
  </w:style>
  <w:style w:type="character" w:customStyle="1" w:styleId="PredmetkomentraChar1474">
    <w:name w:val="Predmet komentára Char1474"/>
    <w:aliases w:val="Char6 Char Char1475,Predmet komentára Char Char Char1475,Comment Subject Char Char Char1475"/>
    <w:uiPriority w:val="99"/>
    <w:semiHidden/>
    <w:rsid w:val="00A809E7"/>
    <w:rPr>
      <w:rFonts w:ascii="Courier" w:hAnsi="Courier"/>
      <w:b/>
      <w:lang w:val="x-none" w:eastAsia="cs-CZ"/>
    </w:rPr>
  </w:style>
  <w:style w:type="character" w:customStyle="1" w:styleId="PredmetkomentraChar1473">
    <w:name w:val="Predmet komentára Char1473"/>
    <w:aliases w:val="Char6 Char Char1474,Predmet komentára Char Char Char1474,Comment Subject Char Char Char1474"/>
    <w:uiPriority w:val="99"/>
    <w:semiHidden/>
    <w:rsid w:val="00A809E7"/>
    <w:rPr>
      <w:rFonts w:ascii="Courier" w:hAnsi="Courier"/>
      <w:b/>
      <w:lang w:val="x-none" w:eastAsia="cs-CZ"/>
    </w:rPr>
  </w:style>
  <w:style w:type="character" w:customStyle="1" w:styleId="PredmetkomentraChar1472">
    <w:name w:val="Predmet komentára Char1472"/>
    <w:aliases w:val="Char6 Char Char1473,Predmet komentára Char Char Char1473,Comment Subject Char Char Char1473"/>
    <w:uiPriority w:val="99"/>
    <w:semiHidden/>
    <w:rsid w:val="00A809E7"/>
    <w:rPr>
      <w:rFonts w:ascii="Courier" w:hAnsi="Courier"/>
      <w:b/>
      <w:lang w:val="x-none" w:eastAsia="cs-CZ"/>
    </w:rPr>
  </w:style>
  <w:style w:type="character" w:customStyle="1" w:styleId="PredmetkomentraChar1471">
    <w:name w:val="Predmet komentára Char1471"/>
    <w:aliases w:val="Char6 Char Char1472,Predmet komentára Char Char Char1472,Comment Subject Char Char Char1472"/>
    <w:uiPriority w:val="99"/>
    <w:semiHidden/>
    <w:rsid w:val="00A809E7"/>
    <w:rPr>
      <w:rFonts w:ascii="Courier" w:hAnsi="Courier"/>
      <w:b/>
      <w:lang w:val="x-none" w:eastAsia="cs-CZ"/>
    </w:rPr>
  </w:style>
  <w:style w:type="character" w:customStyle="1" w:styleId="PredmetkomentraChar1470">
    <w:name w:val="Predmet komentára Char1470"/>
    <w:aliases w:val="Char6 Char Char1471,Predmet komentára Char Char Char1471,Comment Subject Char Char Char1471"/>
    <w:uiPriority w:val="99"/>
    <w:semiHidden/>
    <w:rsid w:val="00A809E7"/>
    <w:rPr>
      <w:rFonts w:ascii="Courier" w:hAnsi="Courier"/>
      <w:b/>
      <w:lang w:val="x-none" w:eastAsia="cs-CZ"/>
    </w:rPr>
  </w:style>
  <w:style w:type="character" w:customStyle="1" w:styleId="PredmetkomentraChar1469">
    <w:name w:val="Predmet komentára Char1469"/>
    <w:aliases w:val="Char6 Char Char1470,Predmet komentára Char Char Char1470,Comment Subject Char Char Char1470"/>
    <w:uiPriority w:val="99"/>
    <w:semiHidden/>
    <w:rsid w:val="00A809E7"/>
    <w:rPr>
      <w:rFonts w:ascii="Courier" w:hAnsi="Courier"/>
      <w:b/>
      <w:lang w:val="x-none" w:eastAsia="cs-CZ"/>
    </w:rPr>
  </w:style>
  <w:style w:type="character" w:customStyle="1" w:styleId="PredmetkomentraChar1468">
    <w:name w:val="Predmet komentára Char1468"/>
    <w:aliases w:val="Char6 Char Char1469,Predmet komentára Char Char Char1469,Comment Subject Char Char Char1469"/>
    <w:uiPriority w:val="99"/>
    <w:semiHidden/>
    <w:rsid w:val="00A809E7"/>
    <w:rPr>
      <w:rFonts w:ascii="Courier" w:hAnsi="Courier"/>
      <w:b/>
      <w:lang w:val="x-none" w:eastAsia="cs-CZ"/>
    </w:rPr>
  </w:style>
  <w:style w:type="character" w:customStyle="1" w:styleId="PredmetkomentraChar1467">
    <w:name w:val="Predmet komentára Char1467"/>
    <w:aliases w:val="Char6 Char Char1468,Predmet komentára Char Char Char1468,Comment Subject Char Char Char1468"/>
    <w:uiPriority w:val="99"/>
    <w:semiHidden/>
    <w:rsid w:val="00A809E7"/>
    <w:rPr>
      <w:rFonts w:ascii="Courier" w:hAnsi="Courier"/>
      <w:b/>
      <w:lang w:val="x-none" w:eastAsia="cs-CZ"/>
    </w:rPr>
  </w:style>
  <w:style w:type="character" w:customStyle="1" w:styleId="PredmetkomentraChar1466">
    <w:name w:val="Predmet komentára Char1466"/>
    <w:aliases w:val="Char6 Char Char1467,Predmet komentára Char Char Char1467,Comment Subject Char Char Char1467"/>
    <w:uiPriority w:val="99"/>
    <w:semiHidden/>
    <w:rsid w:val="00A809E7"/>
    <w:rPr>
      <w:rFonts w:ascii="Courier" w:hAnsi="Courier"/>
      <w:b/>
      <w:lang w:val="x-none" w:eastAsia="cs-CZ"/>
    </w:rPr>
  </w:style>
  <w:style w:type="character" w:customStyle="1" w:styleId="PredmetkomentraChar1465">
    <w:name w:val="Predmet komentára Char1465"/>
    <w:aliases w:val="Char6 Char Char1466,Predmet komentára Char Char Char1466,Comment Subject Char Char Char1466"/>
    <w:uiPriority w:val="99"/>
    <w:semiHidden/>
    <w:rsid w:val="00A809E7"/>
    <w:rPr>
      <w:rFonts w:ascii="Courier" w:hAnsi="Courier"/>
      <w:b/>
      <w:lang w:val="x-none" w:eastAsia="cs-CZ"/>
    </w:rPr>
  </w:style>
  <w:style w:type="character" w:customStyle="1" w:styleId="PredmetkomentraChar1464">
    <w:name w:val="Predmet komentára Char1464"/>
    <w:aliases w:val="Char6 Char Char1465,Predmet komentára Char Char Char1465,Comment Subject Char Char Char1465"/>
    <w:uiPriority w:val="99"/>
    <w:semiHidden/>
    <w:rsid w:val="00A809E7"/>
    <w:rPr>
      <w:rFonts w:ascii="Courier" w:hAnsi="Courier"/>
      <w:b/>
      <w:lang w:val="x-none" w:eastAsia="cs-CZ"/>
    </w:rPr>
  </w:style>
  <w:style w:type="character" w:customStyle="1" w:styleId="PredmetkomentraChar1463">
    <w:name w:val="Predmet komentára Char1463"/>
    <w:aliases w:val="Char6 Char Char1464,Predmet komentára Char Char Char1464,Comment Subject Char Char Char1464"/>
    <w:uiPriority w:val="99"/>
    <w:semiHidden/>
    <w:rsid w:val="00A809E7"/>
    <w:rPr>
      <w:rFonts w:ascii="Courier" w:hAnsi="Courier"/>
      <w:b/>
      <w:lang w:val="x-none" w:eastAsia="cs-CZ"/>
    </w:rPr>
  </w:style>
  <w:style w:type="character" w:customStyle="1" w:styleId="PredmetkomentraChar1462">
    <w:name w:val="Predmet komentára Char1462"/>
    <w:aliases w:val="Char6 Char Char1463,Predmet komentára Char Char Char1463,Comment Subject Char Char Char1463"/>
    <w:uiPriority w:val="99"/>
    <w:semiHidden/>
    <w:rsid w:val="00A809E7"/>
    <w:rPr>
      <w:rFonts w:ascii="Courier" w:hAnsi="Courier"/>
      <w:b/>
      <w:lang w:val="x-none" w:eastAsia="cs-CZ"/>
    </w:rPr>
  </w:style>
  <w:style w:type="character" w:customStyle="1" w:styleId="PredmetkomentraChar1461">
    <w:name w:val="Predmet komentára Char1461"/>
    <w:aliases w:val="Char6 Char Char1462,Predmet komentára Char Char Char1462,Comment Subject Char Char Char1462"/>
    <w:uiPriority w:val="99"/>
    <w:semiHidden/>
    <w:rsid w:val="00A809E7"/>
    <w:rPr>
      <w:rFonts w:ascii="Courier" w:hAnsi="Courier"/>
      <w:b/>
      <w:lang w:val="x-none" w:eastAsia="cs-CZ"/>
    </w:rPr>
  </w:style>
  <w:style w:type="character" w:customStyle="1" w:styleId="PredmetkomentraChar1460">
    <w:name w:val="Predmet komentára Char1460"/>
    <w:aliases w:val="Char6 Char Char1461,Predmet komentára Char Char Char1461,Comment Subject Char Char Char1461"/>
    <w:uiPriority w:val="99"/>
    <w:semiHidden/>
    <w:rsid w:val="00A809E7"/>
    <w:rPr>
      <w:rFonts w:ascii="Courier" w:hAnsi="Courier"/>
      <w:b/>
      <w:lang w:val="x-none" w:eastAsia="cs-CZ"/>
    </w:rPr>
  </w:style>
  <w:style w:type="character" w:customStyle="1" w:styleId="PredmetkomentraChar1459">
    <w:name w:val="Predmet komentára Char1459"/>
    <w:aliases w:val="Char6 Char Char1460,Predmet komentára Char Char Char1460,Comment Subject Char Char Char1460"/>
    <w:uiPriority w:val="99"/>
    <w:semiHidden/>
    <w:rsid w:val="00A809E7"/>
    <w:rPr>
      <w:rFonts w:ascii="Courier" w:hAnsi="Courier"/>
      <w:b/>
      <w:lang w:val="x-none" w:eastAsia="cs-CZ"/>
    </w:rPr>
  </w:style>
  <w:style w:type="character" w:customStyle="1" w:styleId="PredmetkomentraChar1458">
    <w:name w:val="Predmet komentára Char1458"/>
    <w:aliases w:val="Char6 Char Char1459,Predmet komentára Char Char Char1459,Comment Subject Char Char Char1459"/>
    <w:uiPriority w:val="99"/>
    <w:semiHidden/>
    <w:rsid w:val="00A809E7"/>
    <w:rPr>
      <w:rFonts w:ascii="Courier" w:hAnsi="Courier"/>
      <w:b/>
      <w:lang w:val="x-none" w:eastAsia="cs-CZ"/>
    </w:rPr>
  </w:style>
  <w:style w:type="character" w:customStyle="1" w:styleId="PredmetkomentraChar1457">
    <w:name w:val="Predmet komentára Char1457"/>
    <w:aliases w:val="Char6 Char Char1458,Predmet komentára Char Char Char1458,Comment Subject Char Char Char1458"/>
    <w:uiPriority w:val="99"/>
    <w:semiHidden/>
    <w:rsid w:val="00A809E7"/>
    <w:rPr>
      <w:rFonts w:ascii="Courier" w:hAnsi="Courier"/>
      <w:b/>
      <w:lang w:val="x-none" w:eastAsia="cs-CZ"/>
    </w:rPr>
  </w:style>
  <w:style w:type="character" w:customStyle="1" w:styleId="PredmetkomentraChar1456">
    <w:name w:val="Predmet komentára Char1456"/>
    <w:aliases w:val="Char6 Char Char1457,Predmet komentára Char Char Char1457,Comment Subject Char Char Char1457"/>
    <w:uiPriority w:val="99"/>
    <w:semiHidden/>
    <w:rsid w:val="00A809E7"/>
    <w:rPr>
      <w:rFonts w:ascii="Courier" w:hAnsi="Courier"/>
      <w:b/>
      <w:lang w:val="x-none" w:eastAsia="cs-CZ"/>
    </w:rPr>
  </w:style>
  <w:style w:type="character" w:customStyle="1" w:styleId="PredmetkomentraChar1455">
    <w:name w:val="Predmet komentára Char1455"/>
    <w:aliases w:val="Char6 Char Char1456,Predmet komentára Char Char Char1456,Comment Subject Char Char Char1456"/>
    <w:uiPriority w:val="99"/>
    <w:semiHidden/>
    <w:rsid w:val="00A809E7"/>
    <w:rPr>
      <w:rFonts w:ascii="Courier" w:hAnsi="Courier"/>
      <w:b/>
      <w:lang w:val="x-none" w:eastAsia="cs-CZ"/>
    </w:rPr>
  </w:style>
  <w:style w:type="character" w:customStyle="1" w:styleId="PredmetkomentraChar1454">
    <w:name w:val="Predmet komentára Char1454"/>
    <w:aliases w:val="Char6 Char Char1455,Predmet komentára Char Char Char1455,Comment Subject Char Char Char1455"/>
    <w:uiPriority w:val="99"/>
    <w:semiHidden/>
    <w:rsid w:val="00A809E7"/>
    <w:rPr>
      <w:rFonts w:ascii="Courier" w:hAnsi="Courier"/>
      <w:b/>
      <w:lang w:val="x-none" w:eastAsia="cs-CZ"/>
    </w:rPr>
  </w:style>
  <w:style w:type="character" w:customStyle="1" w:styleId="PredmetkomentraChar1453">
    <w:name w:val="Predmet komentára Char1453"/>
    <w:aliases w:val="Char6 Char Char1454,Predmet komentára Char Char Char1454,Comment Subject Char Char Char1454"/>
    <w:uiPriority w:val="99"/>
    <w:semiHidden/>
    <w:rsid w:val="00A809E7"/>
    <w:rPr>
      <w:rFonts w:ascii="Courier" w:hAnsi="Courier"/>
      <w:b/>
      <w:lang w:val="x-none" w:eastAsia="cs-CZ"/>
    </w:rPr>
  </w:style>
  <w:style w:type="character" w:customStyle="1" w:styleId="PredmetkomentraChar1452">
    <w:name w:val="Predmet komentára Char1452"/>
    <w:aliases w:val="Char6 Char Char1453,Predmet komentára Char Char Char1453,Comment Subject Char Char Char1453"/>
    <w:uiPriority w:val="99"/>
    <w:semiHidden/>
    <w:rsid w:val="00A809E7"/>
    <w:rPr>
      <w:rFonts w:ascii="Courier" w:hAnsi="Courier"/>
      <w:b/>
      <w:lang w:val="x-none" w:eastAsia="cs-CZ"/>
    </w:rPr>
  </w:style>
  <w:style w:type="character" w:customStyle="1" w:styleId="PredmetkomentraChar1451">
    <w:name w:val="Predmet komentára Char1451"/>
    <w:aliases w:val="Char6 Char Char1452,Predmet komentára Char Char Char1452,Comment Subject Char Char Char1452"/>
    <w:uiPriority w:val="99"/>
    <w:semiHidden/>
    <w:rsid w:val="00A809E7"/>
    <w:rPr>
      <w:rFonts w:ascii="Courier" w:hAnsi="Courier"/>
      <w:b/>
      <w:lang w:val="x-none" w:eastAsia="cs-CZ"/>
    </w:rPr>
  </w:style>
  <w:style w:type="character" w:customStyle="1" w:styleId="PredmetkomentraChar1450">
    <w:name w:val="Predmet komentára Char1450"/>
    <w:aliases w:val="Char6 Char Char1451,Predmet komentára Char Char Char1451,Comment Subject Char Char Char1451"/>
    <w:uiPriority w:val="99"/>
    <w:semiHidden/>
    <w:rsid w:val="00A809E7"/>
    <w:rPr>
      <w:rFonts w:ascii="Courier" w:hAnsi="Courier"/>
      <w:b/>
      <w:lang w:val="x-none" w:eastAsia="cs-CZ"/>
    </w:rPr>
  </w:style>
  <w:style w:type="character" w:customStyle="1" w:styleId="PredmetkomentraChar1449">
    <w:name w:val="Predmet komentára Char1449"/>
    <w:aliases w:val="Char6 Char Char1450,Predmet komentára Char Char Char1450,Comment Subject Char Char Char1450"/>
    <w:uiPriority w:val="99"/>
    <w:semiHidden/>
    <w:rsid w:val="00A809E7"/>
    <w:rPr>
      <w:rFonts w:ascii="Courier" w:hAnsi="Courier"/>
      <w:b/>
      <w:lang w:val="x-none" w:eastAsia="cs-CZ"/>
    </w:rPr>
  </w:style>
  <w:style w:type="character" w:customStyle="1" w:styleId="PredmetkomentraChar1448">
    <w:name w:val="Predmet komentára Char1448"/>
    <w:aliases w:val="Char6 Char Char1449,Predmet komentára Char Char Char1449,Comment Subject Char Char Char1449"/>
    <w:uiPriority w:val="99"/>
    <w:semiHidden/>
    <w:rsid w:val="00A809E7"/>
    <w:rPr>
      <w:rFonts w:ascii="Courier" w:hAnsi="Courier"/>
      <w:b/>
      <w:lang w:val="x-none" w:eastAsia="cs-CZ"/>
    </w:rPr>
  </w:style>
  <w:style w:type="character" w:customStyle="1" w:styleId="PredmetkomentraChar1447">
    <w:name w:val="Predmet komentára Char1447"/>
    <w:aliases w:val="Char6 Char Char1448,Predmet komentára Char Char Char1448,Comment Subject Char Char Char1448"/>
    <w:uiPriority w:val="99"/>
    <w:semiHidden/>
    <w:rsid w:val="00A809E7"/>
    <w:rPr>
      <w:rFonts w:ascii="Courier" w:hAnsi="Courier"/>
      <w:b/>
      <w:lang w:val="x-none" w:eastAsia="cs-CZ"/>
    </w:rPr>
  </w:style>
  <w:style w:type="character" w:customStyle="1" w:styleId="PredmetkomentraChar1446">
    <w:name w:val="Predmet komentára Char1446"/>
    <w:aliases w:val="Char6 Char Char1447,Predmet komentára Char Char Char1447,Comment Subject Char Char Char1447"/>
    <w:uiPriority w:val="99"/>
    <w:semiHidden/>
    <w:rsid w:val="00A809E7"/>
    <w:rPr>
      <w:rFonts w:ascii="Courier" w:hAnsi="Courier"/>
      <w:b/>
      <w:lang w:val="x-none" w:eastAsia="cs-CZ"/>
    </w:rPr>
  </w:style>
  <w:style w:type="character" w:customStyle="1" w:styleId="PredmetkomentraChar1445">
    <w:name w:val="Predmet komentára Char1445"/>
    <w:aliases w:val="Char6 Char Char1446,Predmet komentára Char Char Char1446,Comment Subject Char Char Char1446"/>
    <w:uiPriority w:val="99"/>
    <w:semiHidden/>
    <w:rsid w:val="00A809E7"/>
    <w:rPr>
      <w:rFonts w:ascii="Courier" w:hAnsi="Courier"/>
      <w:b/>
      <w:lang w:val="x-none" w:eastAsia="cs-CZ"/>
    </w:rPr>
  </w:style>
  <w:style w:type="character" w:customStyle="1" w:styleId="PredmetkomentraChar1444">
    <w:name w:val="Predmet komentára Char1444"/>
    <w:aliases w:val="Char6 Char Char1445,Predmet komentára Char Char Char1445,Comment Subject Char Char Char1445"/>
    <w:uiPriority w:val="99"/>
    <w:semiHidden/>
    <w:rsid w:val="00A809E7"/>
    <w:rPr>
      <w:rFonts w:ascii="Courier" w:hAnsi="Courier"/>
      <w:b/>
      <w:lang w:val="x-none" w:eastAsia="cs-CZ"/>
    </w:rPr>
  </w:style>
  <w:style w:type="character" w:customStyle="1" w:styleId="PredmetkomentraChar1443">
    <w:name w:val="Predmet komentára Char1443"/>
    <w:aliases w:val="Char6 Char Char1444,Predmet komentára Char Char Char1444,Comment Subject Char Char Char1444"/>
    <w:uiPriority w:val="99"/>
    <w:semiHidden/>
    <w:rsid w:val="00A809E7"/>
    <w:rPr>
      <w:rFonts w:ascii="Courier" w:hAnsi="Courier"/>
      <w:b/>
      <w:lang w:val="x-none" w:eastAsia="cs-CZ"/>
    </w:rPr>
  </w:style>
  <w:style w:type="character" w:customStyle="1" w:styleId="PredmetkomentraChar1442">
    <w:name w:val="Predmet komentára Char1442"/>
    <w:aliases w:val="Char6 Char Char1443,Predmet komentára Char Char Char1443,Comment Subject Char Char Char1443"/>
    <w:uiPriority w:val="99"/>
    <w:semiHidden/>
    <w:rsid w:val="00A809E7"/>
    <w:rPr>
      <w:rFonts w:ascii="Courier" w:hAnsi="Courier"/>
      <w:b/>
      <w:lang w:val="x-none" w:eastAsia="cs-CZ"/>
    </w:rPr>
  </w:style>
  <w:style w:type="character" w:customStyle="1" w:styleId="PredmetkomentraChar1441">
    <w:name w:val="Predmet komentára Char1441"/>
    <w:aliases w:val="Char6 Char Char1442,Predmet komentára Char Char Char1442,Comment Subject Char Char Char1442"/>
    <w:uiPriority w:val="99"/>
    <w:semiHidden/>
    <w:rsid w:val="00A809E7"/>
    <w:rPr>
      <w:rFonts w:ascii="Courier" w:hAnsi="Courier"/>
      <w:b/>
      <w:lang w:val="x-none" w:eastAsia="cs-CZ"/>
    </w:rPr>
  </w:style>
  <w:style w:type="character" w:customStyle="1" w:styleId="PredmetkomentraChar1440">
    <w:name w:val="Predmet komentára Char1440"/>
    <w:aliases w:val="Char6 Char Char1441,Predmet komentára Char Char Char1441,Comment Subject Char Char Char1441"/>
    <w:uiPriority w:val="99"/>
    <w:semiHidden/>
    <w:rsid w:val="00A809E7"/>
    <w:rPr>
      <w:rFonts w:ascii="Courier" w:hAnsi="Courier"/>
      <w:b/>
      <w:lang w:val="x-none" w:eastAsia="cs-CZ"/>
    </w:rPr>
  </w:style>
  <w:style w:type="character" w:customStyle="1" w:styleId="PredmetkomentraChar1439">
    <w:name w:val="Predmet komentára Char1439"/>
    <w:aliases w:val="Char6 Char Char1440,Predmet komentára Char Char Char1440,Comment Subject Char Char Char1440"/>
    <w:uiPriority w:val="99"/>
    <w:semiHidden/>
    <w:rsid w:val="00A809E7"/>
    <w:rPr>
      <w:rFonts w:ascii="Courier" w:hAnsi="Courier"/>
      <w:b/>
      <w:lang w:val="x-none" w:eastAsia="cs-CZ"/>
    </w:rPr>
  </w:style>
  <w:style w:type="character" w:customStyle="1" w:styleId="PredmetkomentraChar1438">
    <w:name w:val="Predmet komentára Char1438"/>
    <w:aliases w:val="Char6 Char Char1439,Predmet komentára Char Char Char1439,Comment Subject Char Char Char1439"/>
    <w:uiPriority w:val="99"/>
    <w:semiHidden/>
    <w:rsid w:val="00A809E7"/>
    <w:rPr>
      <w:rFonts w:ascii="Courier" w:hAnsi="Courier"/>
      <w:b/>
      <w:lang w:val="x-none" w:eastAsia="cs-CZ"/>
    </w:rPr>
  </w:style>
  <w:style w:type="character" w:customStyle="1" w:styleId="PredmetkomentraChar1437">
    <w:name w:val="Predmet komentára Char1437"/>
    <w:aliases w:val="Char6 Char Char1438,Predmet komentára Char Char Char1438,Comment Subject Char Char Char1438"/>
    <w:uiPriority w:val="99"/>
    <w:semiHidden/>
    <w:rsid w:val="00A809E7"/>
    <w:rPr>
      <w:rFonts w:ascii="Courier" w:hAnsi="Courier"/>
      <w:b/>
      <w:lang w:val="x-none" w:eastAsia="cs-CZ"/>
    </w:rPr>
  </w:style>
  <w:style w:type="character" w:customStyle="1" w:styleId="PredmetkomentraChar1436">
    <w:name w:val="Predmet komentára Char1436"/>
    <w:aliases w:val="Char6 Char Char1437,Predmet komentára Char Char Char1437,Comment Subject Char Char Char1437"/>
    <w:uiPriority w:val="99"/>
    <w:semiHidden/>
    <w:rsid w:val="00A809E7"/>
    <w:rPr>
      <w:rFonts w:ascii="Courier" w:hAnsi="Courier"/>
      <w:b/>
      <w:lang w:val="x-none" w:eastAsia="cs-CZ"/>
    </w:rPr>
  </w:style>
  <w:style w:type="character" w:customStyle="1" w:styleId="PredmetkomentraChar1435">
    <w:name w:val="Predmet komentára Char1435"/>
    <w:aliases w:val="Char6 Char Char1436,Predmet komentára Char Char Char1436,Comment Subject Char Char Char1436"/>
    <w:uiPriority w:val="99"/>
    <w:semiHidden/>
    <w:rsid w:val="00A809E7"/>
    <w:rPr>
      <w:rFonts w:ascii="Courier" w:hAnsi="Courier"/>
      <w:b/>
      <w:lang w:val="x-none" w:eastAsia="cs-CZ"/>
    </w:rPr>
  </w:style>
  <w:style w:type="character" w:customStyle="1" w:styleId="PredmetkomentraChar1434">
    <w:name w:val="Predmet komentára Char1434"/>
    <w:aliases w:val="Char6 Char Char1435,Predmet komentára Char Char Char1435,Comment Subject Char Char Char1435"/>
    <w:uiPriority w:val="99"/>
    <w:semiHidden/>
    <w:rsid w:val="00A809E7"/>
    <w:rPr>
      <w:rFonts w:ascii="Courier" w:hAnsi="Courier"/>
      <w:b/>
      <w:lang w:val="x-none" w:eastAsia="cs-CZ"/>
    </w:rPr>
  </w:style>
  <w:style w:type="character" w:customStyle="1" w:styleId="PredmetkomentraChar1433">
    <w:name w:val="Predmet komentára Char1433"/>
    <w:aliases w:val="Char6 Char Char1434,Predmet komentára Char Char Char1434,Comment Subject Char Char Char1434"/>
    <w:uiPriority w:val="99"/>
    <w:semiHidden/>
    <w:rsid w:val="00A809E7"/>
    <w:rPr>
      <w:rFonts w:ascii="Courier" w:hAnsi="Courier"/>
      <w:b/>
      <w:lang w:val="x-none" w:eastAsia="cs-CZ"/>
    </w:rPr>
  </w:style>
  <w:style w:type="character" w:customStyle="1" w:styleId="PredmetkomentraChar1432">
    <w:name w:val="Predmet komentára Char1432"/>
    <w:aliases w:val="Char6 Char Char1433,Predmet komentára Char Char Char1433,Comment Subject Char Char Char1433"/>
    <w:uiPriority w:val="99"/>
    <w:semiHidden/>
    <w:rsid w:val="00A809E7"/>
    <w:rPr>
      <w:rFonts w:ascii="Courier" w:hAnsi="Courier"/>
      <w:b/>
      <w:lang w:val="x-none" w:eastAsia="cs-CZ"/>
    </w:rPr>
  </w:style>
  <w:style w:type="character" w:customStyle="1" w:styleId="PredmetkomentraChar1431">
    <w:name w:val="Predmet komentára Char1431"/>
    <w:aliases w:val="Char6 Char Char1432,Predmet komentára Char Char Char1432,Comment Subject Char Char Char1432"/>
    <w:uiPriority w:val="99"/>
    <w:semiHidden/>
    <w:rsid w:val="00A809E7"/>
    <w:rPr>
      <w:rFonts w:ascii="Courier" w:hAnsi="Courier"/>
      <w:b/>
      <w:lang w:val="x-none" w:eastAsia="cs-CZ"/>
    </w:rPr>
  </w:style>
  <w:style w:type="character" w:customStyle="1" w:styleId="PredmetkomentraChar1430">
    <w:name w:val="Predmet komentára Char1430"/>
    <w:aliases w:val="Char6 Char Char1431,Predmet komentára Char Char Char1431,Comment Subject Char Char Char1431"/>
    <w:uiPriority w:val="99"/>
    <w:semiHidden/>
    <w:rsid w:val="00A809E7"/>
    <w:rPr>
      <w:rFonts w:ascii="Courier" w:hAnsi="Courier"/>
      <w:b/>
      <w:lang w:val="x-none" w:eastAsia="cs-CZ"/>
    </w:rPr>
  </w:style>
  <w:style w:type="character" w:customStyle="1" w:styleId="PredmetkomentraChar1429">
    <w:name w:val="Predmet komentára Char1429"/>
    <w:aliases w:val="Char6 Char Char1430,Predmet komentára Char Char Char1430,Comment Subject Char Char Char1430"/>
    <w:uiPriority w:val="99"/>
    <w:semiHidden/>
    <w:rsid w:val="00A809E7"/>
    <w:rPr>
      <w:rFonts w:ascii="Courier" w:hAnsi="Courier"/>
      <w:b/>
      <w:lang w:val="x-none" w:eastAsia="cs-CZ"/>
    </w:rPr>
  </w:style>
  <w:style w:type="character" w:customStyle="1" w:styleId="PredmetkomentraChar1428">
    <w:name w:val="Predmet komentára Char1428"/>
    <w:aliases w:val="Char6 Char Char1429,Predmet komentára Char Char Char1429,Comment Subject Char Char Char1429"/>
    <w:uiPriority w:val="99"/>
    <w:semiHidden/>
    <w:rsid w:val="00A809E7"/>
    <w:rPr>
      <w:rFonts w:ascii="Courier" w:hAnsi="Courier"/>
      <w:b/>
      <w:lang w:val="x-none" w:eastAsia="cs-CZ"/>
    </w:rPr>
  </w:style>
  <w:style w:type="character" w:customStyle="1" w:styleId="PredmetkomentraChar1427">
    <w:name w:val="Predmet komentára Char1427"/>
    <w:aliases w:val="Char6 Char Char1428,Predmet komentára Char Char Char1428,Comment Subject Char Char Char1428"/>
    <w:uiPriority w:val="99"/>
    <w:semiHidden/>
    <w:rsid w:val="00A809E7"/>
    <w:rPr>
      <w:rFonts w:ascii="Courier" w:hAnsi="Courier"/>
      <w:b/>
      <w:lang w:val="x-none" w:eastAsia="cs-CZ"/>
    </w:rPr>
  </w:style>
  <w:style w:type="character" w:customStyle="1" w:styleId="PredmetkomentraChar1426">
    <w:name w:val="Predmet komentára Char1426"/>
    <w:aliases w:val="Char6 Char Char1427,Predmet komentára Char Char Char1427,Comment Subject Char Char Char1427"/>
    <w:uiPriority w:val="99"/>
    <w:semiHidden/>
    <w:rsid w:val="00A809E7"/>
    <w:rPr>
      <w:rFonts w:ascii="Courier" w:hAnsi="Courier"/>
      <w:b/>
      <w:lang w:val="x-none" w:eastAsia="cs-CZ"/>
    </w:rPr>
  </w:style>
  <w:style w:type="character" w:customStyle="1" w:styleId="PredmetkomentraChar1425">
    <w:name w:val="Predmet komentára Char1425"/>
    <w:aliases w:val="Char6 Char Char1426,Predmet komentára Char Char Char1426,Comment Subject Char Char Char1426"/>
    <w:uiPriority w:val="99"/>
    <w:semiHidden/>
    <w:rsid w:val="00A809E7"/>
    <w:rPr>
      <w:rFonts w:ascii="Courier" w:hAnsi="Courier"/>
      <w:b/>
      <w:lang w:val="x-none" w:eastAsia="cs-CZ"/>
    </w:rPr>
  </w:style>
  <w:style w:type="character" w:customStyle="1" w:styleId="PredmetkomentraChar1424">
    <w:name w:val="Predmet komentára Char1424"/>
    <w:aliases w:val="Char6 Char Char1425,Predmet komentára Char Char Char1425,Comment Subject Char Char Char1425"/>
    <w:uiPriority w:val="99"/>
    <w:semiHidden/>
    <w:rsid w:val="00A809E7"/>
    <w:rPr>
      <w:rFonts w:ascii="Courier" w:hAnsi="Courier"/>
      <w:b/>
      <w:lang w:val="x-none" w:eastAsia="cs-CZ"/>
    </w:rPr>
  </w:style>
  <w:style w:type="character" w:customStyle="1" w:styleId="PredmetkomentraChar1423">
    <w:name w:val="Predmet komentára Char1423"/>
    <w:aliases w:val="Char6 Char Char1424,Predmet komentára Char Char Char1424,Comment Subject Char Char Char1424"/>
    <w:uiPriority w:val="99"/>
    <w:semiHidden/>
    <w:rsid w:val="00A809E7"/>
    <w:rPr>
      <w:rFonts w:ascii="Courier" w:hAnsi="Courier"/>
      <w:b/>
      <w:lang w:val="x-none" w:eastAsia="cs-CZ"/>
    </w:rPr>
  </w:style>
  <w:style w:type="character" w:customStyle="1" w:styleId="PredmetkomentraChar1422">
    <w:name w:val="Predmet komentára Char1422"/>
    <w:aliases w:val="Char6 Char Char1423,Predmet komentára Char Char Char1423,Comment Subject Char Char Char1423"/>
    <w:uiPriority w:val="99"/>
    <w:semiHidden/>
    <w:rsid w:val="00A809E7"/>
    <w:rPr>
      <w:rFonts w:ascii="Courier" w:hAnsi="Courier"/>
      <w:b/>
      <w:lang w:val="x-none" w:eastAsia="cs-CZ"/>
    </w:rPr>
  </w:style>
  <w:style w:type="character" w:customStyle="1" w:styleId="PredmetkomentraChar1421">
    <w:name w:val="Predmet komentára Char1421"/>
    <w:aliases w:val="Char6 Char Char1422,Predmet komentára Char Char Char1422,Comment Subject Char Char Char1422"/>
    <w:uiPriority w:val="99"/>
    <w:semiHidden/>
    <w:rsid w:val="00A809E7"/>
    <w:rPr>
      <w:rFonts w:ascii="Courier" w:hAnsi="Courier"/>
      <w:b/>
      <w:lang w:val="x-none" w:eastAsia="cs-CZ"/>
    </w:rPr>
  </w:style>
  <w:style w:type="character" w:customStyle="1" w:styleId="PredmetkomentraChar1420">
    <w:name w:val="Predmet komentára Char1420"/>
    <w:aliases w:val="Char6 Char Char1421,Predmet komentára Char Char Char1421,Comment Subject Char Char Char1421"/>
    <w:uiPriority w:val="99"/>
    <w:semiHidden/>
    <w:rsid w:val="00A809E7"/>
    <w:rPr>
      <w:rFonts w:ascii="Courier" w:hAnsi="Courier"/>
      <w:b/>
      <w:lang w:val="x-none" w:eastAsia="cs-CZ"/>
    </w:rPr>
  </w:style>
  <w:style w:type="character" w:customStyle="1" w:styleId="PredmetkomentraChar1419">
    <w:name w:val="Predmet komentára Char1419"/>
    <w:aliases w:val="Char6 Char Char1420,Predmet komentára Char Char Char1420,Comment Subject Char Char Char1420"/>
    <w:uiPriority w:val="99"/>
    <w:semiHidden/>
    <w:rsid w:val="00A809E7"/>
    <w:rPr>
      <w:rFonts w:ascii="Courier" w:hAnsi="Courier"/>
      <w:b/>
      <w:lang w:val="x-none" w:eastAsia="cs-CZ"/>
    </w:rPr>
  </w:style>
  <w:style w:type="character" w:customStyle="1" w:styleId="PredmetkomentraChar1418">
    <w:name w:val="Predmet komentára Char1418"/>
    <w:aliases w:val="Char6 Char Char1419,Predmet komentára Char Char Char1419,Comment Subject Char Char Char1419"/>
    <w:uiPriority w:val="99"/>
    <w:semiHidden/>
    <w:rsid w:val="00A809E7"/>
    <w:rPr>
      <w:rFonts w:ascii="Courier" w:hAnsi="Courier"/>
      <w:b/>
      <w:lang w:val="x-none" w:eastAsia="cs-CZ"/>
    </w:rPr>
  </w:style>
  <w:style w:type="character" w:customStyle="1" w:styleId="PredmetkomentraChar1417">
    <w:name w:val="Predmet komentára Char1417"/>
    <w:aliases w:val="Char6 Char Char1418,Predmet komentára Char Char Char1418,Comment Subject Char Char Char1418"/>
    <w:uiPriority w:val="99"/>
    <w:semiHidden/>
    <w:rsid w:val="00A809E7"/>
    <w:rPr>
      <w:rFonts w:ascii="Courier" w:hAnsi="Courier"/>
      <w:b/>
      <w:lang w:val="x-none" w:eastAsia="cs-CZ"/>
    </w:rPr>
  </w:style>
  <w:style w:type="character" w:customStyle="1" w:styleId="PredmetkomentraChar1416">
    <w:name w:val="Predmet komentára Char1416"/>
    <w:aliases w:val="Char6 Char Char1417,Predmet komentára Char Char Char1417,Comment Subject Char Char Char1417"/>
    <w:uiPriority w:val="99"/>
    <w:semiHidden/>
    <w:rsid w:val="00A809E7"/>
    <w:rPr>
      <w:rFonts w:ascii="Courier" w:hAnsi="Courier"/>
      <w:b/>
      <w:lang w:val="x-none" w:eastAsia="cs-CZ"/>
    </w:rPr>
  </w:style>
  <w:style w:type="character" w:customStyle="1" w:styleId="PredmetkomentraChar1415">
    <w:name w:val="Predmet komentára Char1415"/>
    <w:aliases w:val="Char6 Char Char1416,Predmet komentára Char Char Char1416,Comment Subject Char Char Char1416"/>
    <w:uiPriority w:val="99"/>
    <w:semiHidden/>
    <w:rsid w:val="00A809E7"/>
    <w:rPr>
      <w:rFonts w:ascii="Courier" w:hAnsi="Courier"/>
      <w:b/>
      <w:lang w:val="x-none" w:eastAsia="cs-CZ"/>
    </w:rPr>
  </w:style>
  <w:style w:type="character" w:customStyle="1" w:styleId="PredmetkomentraChar1414">
    <w:name w:val="Predmet komentára Char1414"/>
    <w:aliases w:val="Char6 Char Char1415,Predmet komentára Char Char Char1415,Comment Subject Char Char Char1415"/>
    <w:uiPriority w:val="99"/>
    <w:semiHidden/>
    <w:rsid w:val="00A809E7"/>
    <w:rPr>
      <w:rFonts w:ascii="Courier" w:hAnsi="Courier"/>
      <w:b/>
      <w:lang w:val="x-none" w:eastAsia="cs-CZ"/>
    </w:rPr>
  </w:style>
  <w:style w:type="character" w:customStyle="1" w:styleId="PredmetkomentraChar1413">
    <w:name w:val="Predmet komentára Char1413"/>
    <w:aliases w:val="Char6 Char Char1414,Predmet komentára Char Char Char1414,Comment Subject Char Char Char1414"/>
    <w:uiPriority w:val="99"/>
    <w:semiHidden/>
    <w:rsid w:val="00A809E7"/>
    <w:rPr>
      <w:rFonts w:ascii="Courier" w:hAnsi="Courier"/>
      <w:b/>
      <w:lang w:val="x-none" w:eastAsia="cs-CZ"/>
    </w:rPr>
  </w:style>
  <w:style w:type="character" w:customStyle="1" w:styleId="PredmetkomentraChar1412">
    <w:name w:val="Predmet komentára Char1412"/>
    <w:aliases w:val="Char6 Char Char1413,Predmet komentára Char Char Char1413,Comment Subject Char Char Char1413"/>
    <w:uiPriority w:val="99"/>
    <w:semiHidden/>
    <w:rsid w:val="00A809E7"/>
    <w:rPr>
      <w:rFonts w:ascii="Courier" w:hAnsi="Courier"/>
      <w:b/>
      <w:lang w:val="x-none" w:eastAsia="cs-CZ"/>
    </w:rPr>
  </w:style>
  <w:style w:type="character" w:customStyle="1" w:styleId="PredmetkomentraChar1411">
    <w:name w:val="Predmet komentára Char1411"/>
    <w:aliases w:val="Char6 Char Char1412,Predmet komentára Char Char Char1412,Comment Subject Char Char Char1412"/>
    <w:uiPriority w:val="99"/>
    <w:semiHidden/>
    <w:rsid w:val="00A809E7"/>
    <w:rPr>
      <w:rFonts w:ascii="Courier" w:hAnsi="Courier"/>
      <w:b/>
      <w:lang w:val="x-none" w:eastAsia="cs-CZ"/>
    </w:rPr>
  </w:style>
  <w:style w:type="character" w:customStyle="1" w:styleId="PredmetkomentraChar1410">
    <w:name w:val="Predmet komentára Char1410"/>
    <w:aliases w:val="Char6 Char Char1411,Predmet komentára Char Char Char1411,Comment Subject Char Char Char1411"/>
    <w:uiPriority w:val="99"/>
    <w:semiHidden/>
    <w:rsid w:val="00A809E7"/>
    <w:rPr>
      <w:rFonts w:ascii="Courier" w:hAnsi="Courier"/>
      <w:b/>
      <w:lang w:val="x-none" w:eastAsia="cs-CZ"/>
    </w:rPr>
  </w:style>
  <w:style w:type="character" w:customStyle="1" w:styleId="PredmetkomentraChar1409">
    <w:name w:val="Predmet komentára Char1409"/>
    <w:aliases w:val="Char6 Char Char1410,Predmet komentára Char Char Char1410,Comment Subject Char Char Char1410"/>
    <w:uiPriority w:val="99"/>
    <w:semiHidden/>
    <w:rsid w:val="00A809E7"/>
    <w:rPr>
      <w:rFonts w:ascii="Courier" w:hAnsi="Courier"/>
      <w:b/>
      <w:lang w:val="x-none" w:eastAsia="cs-CZ"/>
    </w:rPr>
  </w:style>
  <w:style w:type="character" w:customStyle="1" w:styleId="PredmetkomentraChar1408">
    <w:name w:val="Predmet komentára Char1408"/>
    <w:aliases w:val="Char6 Char Char1409,Predmet komentára Char Char Char1409,Comment Subject Char Char Char1409"/>
    <w:uiPriority w:val="99"/>
    <w:semiHidden/>
    <w:rsid w:val="00A809E7"/>
    <w:rPr>
      <w:rFonts w:ascii="Courier" w:hAnsi="Courier"/>
      <w:b/>
      <w:lang w:val="x-none" w:eastAsia="cs-CZ"/>
    </w:rPr>
  </w:style>
  <w:style w:type="character" w:customStyle="1" w:styleId="PredmetkomentraChar1407">
    <w:name w:val="Predmet komentára Char1407"/>
    <w:aliases w:val="Char6 Char Char1408,Predmet komentára Char Char Char1408,Comment Subject Char Char Char1408"/>
    <w:uiPriority w:val="99"/>
    <w:semiHidden/>
    <w:rsid w:val="00A809E7"/>
    <w:rPr>
      <w:rFonts w:ascii="Courier" w:hAnsi="Courier"/>
      <w:b/>
      <w:lang w:val="x-none" w:eastAsia="cs-CZ"/>
    </w:rPr>
  </w:style>
  <w:style w:type="character" w:customStyle="1" w:styleId="PredmetkomentraChar1406">
    <w:name w:val="Predmet komentára Char1406"/>
    <w:aliases w:val="Char6 Char Char1407,Predmet komentára Char Char Char1407,Comment Subject Char Char Char1407"/>
    <w:uiPriority w:val="99"/>
    <w:semiHidden/>
    <w:rsid w:val="00A809E7"/>
    <w:rPr>
      <w:rFonts w:ascii="Courier" w:hAnsi="Courier"/>
      <w:b/>
      <w:lang w:val="x-none" w:eastAsia="cs-CZ"/>
    </w:rPr>
  </w:style>
  <w:style w:type="character" w:customStyle="1" w:styleId="PredmetkomentraChar1405">
    <w:name w:val="Predmet komentára Char1405"/>
    <w:aliases w:val="Char6 Char Char1406,Predmet komentára Char Char Char1406,Comment Subject Char Char Char1406"/>
    <w:uiPriority w:val="99"/>
    <w:semiHidden/>
    <w:rsid w:val="00A809E7"/>
    <w:rPr>
      <w:rFonts w:ascii="Courier" w:hAnsi="Courier"/>
      <w:b/>
      <w:lang w:val="x-none" w:eastAsia="cs-CZ"/>
    </w:rPr>
  </w:style>
  <w:style w:type="character" w:customStyle="1" w:styleId="PredmetkomentraChar1404">
    <w:name w:val="Predmet komentára Char1404"/>
    <w:aliases w:val="Char6 Char Char1405,Predmet komentára Char Char Char1405,Comment Subject Char Char Char1405"/>
    <w:uiPriority w:val="99"/>
    <w:semiHidden/>
    <w:rsid w:val="00A809E7"/>
    <w:rPr>
      <w:rFonts w:ascii="Courier" w:hAnsi="Courier"/>
      <w:b/>
      <w:lang w:val="x-none" w:eastAsia="cs-CZ"/>
    </w:rPr>
  </w:style>
  <w:style w:type="character" w:customStyle="1" w:styleId="PredmetkomentraChar1403">
    <w:name w:val="Predmet komentára Char1403"/>
    <w:aliases w:val="Char6 Char Char1404,Predmet komentára Char Char Char1404,Comment Subject Char Char Char1404"/>
    <w:uiPriority w:val="99"/>
    <w:semiHidden/>
    <w:rsid w:val="00A809E7"/>
    <w:rPr>
      <w:rFonts w:ascii="Courier" w:hAnsi="Courier"/>
      <w:b/>
      <w:lang w:val="x-none" w:eastAsia="cs-CZ"/>
    </w:rPr>
  </w:style>
  <w:style w:type="character" w:customStyle="1" w:styleId="PredmetkomentraChar1402">
    <w:name w:val="Predmet komentára Char1402"/>
    <w:aliases w:val="Char6 Char Char1403,Predmet komentára Char Char Char1403,Comment Subject Char Char Char1403"/>
    <w:uiPriority w:val="99"/>
    <w:semiHidden/>
    <w:rsid w:val="00A809E7"/>
    <w:rPr>
      <w:rFonts w:ascii="Courier" w:hAnsi="Courier"/>
      <w:b/>
      <w:lang w:val="x-none" w:eastAsia="cs-CZ"/>
    </w:rPr>
  </w:style>
  <w:style w:type="character" w:customStyle="1" w:styleId="PredmetkomentraChar1401">
    <w:name w:val="Predmet komentára Char1401"/>
    <w:aliases w:val="Char6 Char Char1402,Predmet komentára Char Char Char1402,Comment Subject Char Char Char1402"/>
    <w:uiPriority w:val="99"/>
    <w:semiHidden/>
    <w:rsid w:val="00A809E7"/>
    <w:rPr>
      <w:rFonts w:ascii="Courier" w:hAnsi="Courier"/>
      <w:b/>
      <w:lang w:val="x-none" w:eastAsia="cs-CZ"/>
    </w:rPr>
  </w:style>
  <w:style w:type="character" w:customStyle="1" w:styleId="PredmetkomentraChar1400">
    <w:name w:val="Predmet komentára Char1400"/>
    <w:aliases w:val="Char6 Char Char1401,Predmet komentára Char Char Char1401,Comment Subject Char Char Char1401"/>
    <w:uiPriority w:val="99"/>
    <w:semiHidden/>
    <w:rsid w:val="00A809E7"/>
    <w:rPr>
      <w:rFonts w:ascii="Courier" w:hAnsi="Courier"/>
      <w:b/>
      <w:lang w:val="x-none" w:eastAsia="cs-CZ"/>
    </w:rPr>
  </w:style>
  <w:style w:type="character" w:customStyle="1" w:styleId="PredmetkomentraChar1399">
    <w:name w:val="Predmet komentára Char1399"/>
    <w:aliases w:val="Char6 Char Char1400,Predmet komentára Char Char Char1400,Comment Subject Char Char Char1400"/>
    <w:uiPriority w:val="99"/>
    <w:semiHidden/>
    <w:rsid w:val="00A809E7"/>
    <w:rPr>
      <w:rFonts w:ascii="Courier" w:hAnsi="Courier"/>
      <w:b/>
      <w:lang w:val="x-none" w:eastAsia="cs-CZ"/>
    </w:rPr>
  </w:style>
  <w:style w:type="character" w:customStyle="1" w:styleId="PredmetkomentraChar1398">
    <w:name w:val="Predmet komentára Char1398"/>
    <w:aliases w:val="Char6 Char Char1399,Predmet komentára Char Char Char1399,Comment Subject Char Char Char1399"/>
    <w:uiPriority w:val="99"/>
    <w:semiHidden/>
    <w:rsid w:val="00A809E7"/>
    <w:rPr>
      <w:rFonts w:ascii="Courier" w:hAnsi="Courier"/>
      <w:b/>
      <w:lang w:val="x-none" w:eastAsia="cs-CZ"/>
    </w:rPr>
  </w:style>
  <w:style w:type="character" w:customStyle="1" w:styleId="PredmetkomentraChar1397">
    <w:name w:val="Predmet komentára Char1397"/>
    <w:aliases w:val="Char6 Char Char1398,Predmet komentára Char Char Char1398,Comment Subject Char Char Char1398"/>
    <w:uiPriority w:val="99"/>
    <w:semiHidden/>
    <w:rsid w:val="00A809E7"/>
    <w:rPr>
      <w:rFonts w:ascii="Courier" w:hAnsi="Courier"/>
      <w:b/>
      <w:lang w:val="x-none" w:eastAsia="cs-CZ"/>
    </w:rPr>
  </w:style>
  <w:style w:type="character" w:customStyle="1" w:styleId="PredmetkomentraChar1396">
    <w:name w:val="Predmet komentára Char1396"/>
    <w:aliases w:val="Char6 Char Char1397,Predmet komentára Char Char Char1397,Comment Subject Char Char Char1397"/>
    <w:uiPriority w:val="99"/>
    <w:semiHidden/>
    <w:rsid w:val="00A809E7"/>
    <w:rPr>
      <w:rFonts w:ascii="Courier" w:hAnsi="Courier"/>
      <w:b/>
      <w:lang w:val="x-none" w:eastAsia="cs-CZ"/>
    </w:rPr>
  </w:style>
  <w:style w:type="character" w:customStyle="1" w:styleId="PredmetkomentraChar1395">
    <w:name w:val="Predmet komentára Char1395"/>
    <w:aliases w:val="Char6 Char Char1396,Predmet komentára Char Char Char1396,Comment Subject Char Char Char1396"/>
    <w:uiPriority w:val="99"/>
    <w:semiHidden/>
    <w:rsid w:val="00A809E7"/>
    <w:rPr>
      <w:rFonts w:ascii="Courier" w:hAnsi="Courier"/>
      <w:b/>
      <w:lang w:val="x-none" w:eastAsia="cs-CZ"/>
    </w:rPr>
  </w:style>
  <w:style w:type="character" w:customStyle="1" w:styleId="PredmetkomentraChar1394">
    <w:name w:val="Predmet komentára Char1394"/>
    <w:aliases w:val="Char6 Char Char1395,Predmet komentára Char Char Char1395,Comment Subject Char Char Char1395"/>
    <w:uiPriority w:val="99"/>
    <w:semiHidden/>
    <w:rsid w:val="00A809E7"/>
    <w:rPr>
      <w:rFonts w:ascii="Courier" w:hAnsi="Courier"/>
      <w:b/>
      <w:lang w:val="x-none" w:eastAsia="cs-CZ"/>
    </w:rPr>
  </w:style>
  <w:style w:type="character" w:customStyle="1" w:styleId="PredmetkomentraChar1393">
    <w:name w:val="Predmet komentára Char1393"/>
    <w:aliases w:val="Char6 Char Char1394,Predmet komentára Char Char Char1394,Comment Subject Char Char Char1394"/>
    <w:uiPriority w:val="99"/>
    <w:semiHidden/>
    <w:rsid w:val="00A809E7"/>
    <w:rPr>
      <w:rFonts w:ascii="Courier" w:hAnsi="Courier"/>
      <w:b/>
      <w:lang w:val="x-none" w:eastAsia="cs-CZ"/>
    </w:rPr>
  </w:style>
  <w:style w:type="character" w:customStyle="1" w:styleId="PredmetkomentraChar1392">
    <w:name w:val="Predmet komentára Char1392"/>
    <w:aliases w:val="Char6 Char Char1393,Predmet komentára Char Char Char1393,Comment Subject Char Char Char1393"/>
    <w:uiPriority w:val="99"/>
    <w:semiHidden/>
    <w:rsid w:val="00A809E7"/>
    <w:rPr>
      <w:rFonts w:ascii="Courier" w:hAnsi="Courier"/>
      <w:b/>
      <w:lang w:val="x-none" w:eastAsia="cs-CZ"/>
    </w:rPr>
  </w:style>
  <w:style w:type="character" w:customStyle="1" w:styleId="PredmetkomentraChar1391">
    <w:name w:val="Predmet komentára Char1391"/>
    <w:aliases w:val="Char6 Char Char1392,Predmet komentára Char Char Char1392,Comment Subject Char Char Char1392"/>
    <w:uiPriority w:val="99"/>
    <w:semiHidden/>
    <w:rsid w:val="00A809E7"/>
    <w:rPr>
      <w:rFonts w:ascii="Courier" w:hAnsi="Courier"/>
      <w:b/>
      <w:lang w:val="x-none" w:eastAsia="cs-CZ"/>
    </w:rPr>
  </w:style>
  <w:style w:type="character" w:customStyle="1" w:styleId="PredmetkomentraChar1390">
    <w:name w:val="Predmet komentára Char1390"/>
    <w:aliases w:val="Char6 Char Char1391,Predmet komentára Char Char Char1391,Comment Subject Char Char Char1391"/>
    <w:uiPriority w:val="99"/>
    <w:semiHidden/>
    <w:rsid w:val="00A809E7"/>
    <w:rPr>
      <w:rFonts w:ascii="Courier" w:hAnsi="Courier"/>
      <w:b/>
      <w:lang w:val="x-none" w:eastAsia="cs-CZ"/>
    </w:rPr>
  </w:style>
  <w:style w:type="character" w:customStyle="1" w:styleId="PredmetkomentraChar1389">
    <w:name w:val="Predmet komentára Char1389"/>
    <w:aliases w:val="Char6 Char Char1390,Predmet komentára Char Char Char1390,Comment Subject Char Char Char1390"/>
    <w:uiPriority w:val="99"/>
    <w:semiHidden/>
    <w:rsid w:val="00A809E7"/>
    <w:rPr>
      <w:rFonts w:ascii="Courier" w:hAnsi="Courier"/>
      <w:b/>
      <w:lang w:val="x-none" w:eastAsia="cs-CZ"/>
    </w:rPr>
  </w:style>
  <w:style w:type="character" w:customStyle="1" w:styleId="PredmetkomentraChar1388">
    <w:name w:val="Predmet komentára Char1388"/>
    <w:aliases w:val="Char6 Char Char1389,Predmet komentára Char Char Char1389,Comment Subject Char Char Char1389"/>
    <w:uiPriority w:val="99"/>
    <w:semiHidden/>
    <w:rsid w:val="00A809E7"/>
    <w:rPr>
      <w:rFonts w:ascii="Courier" w:hAnsi="Courier"/>
      <w:b/>
      <w:lang w:val="x-none" w:eastAsia="cs-CZ"/>
    </w:rPr>
  </w:style>
  <w:style w:type="character" w:customStyle="1" w:styleId="PredmetkomentraChar1387">
    <w:name w:val="Predmet komentára Char1387"/>
    <w:aliases w:val="Char6 Char Char1388,Predmet komentára Char Char Char1388,Comment Subject Char Char Char1388"/>
    <w:uiPriority w:val="99"/>
    <w:semiHidden/>
    <w:rsid w:val="00A809E7"/>
    <w:rPr>
      <w:rFonts w:ascii="Courier" w:hAnsi="Courier"/>
      <w:b/>
      <w:lang w:val="x-none" w:eastAsia="cs-CZ"/>
    </w:rPr>
  </w:style>
  <w:style w:type="character" w:customStyle="1" w:styleId="PredmetkomentraChar1386">
    <w:name w:val="Predmet komentára Char1386"/>
    <w:aliases w:val="Char6 Char Char1387,Predmet komentára Char Char Char1387,Comment Subject Char Char Char1387"/>
    <w:uiPriority w:val="99"/>
    <w:semiHidden/>
    <w:rsid w:val="00A809E7"/>
    <w:rPr>
      <w:rFonts w:ascii="Courier" w:hAnsi="Courier"/>
      <w:b/>
      <w:lang w:val="x-none" w:eastAsia="cs-CZ"/>
    </w:rPr>
  </w:style>
  <w:style w:type="character" w:customStyle="1" w:styleId="PredmetkomentraChar1385">
    <w:name w:val="Predmet komentára Char1385"/>
    <w:aliases w:val="Char6 Char Char1386,Predmet komentára Char Char Char1386,Comment Subject Char Char Char1386"/>
    <w:uiPriority w:val="99"/>
    <w:semiHidden/>
    <w:rsid w:val="00A809E7"/>
    <w:rPr>
      <w:rFonts w:ascii="Courier" w:hAnsi="Courier"/>
      <w:b/>
      <w:lang w:val="x-none" w:eastAsia="cs-CZ"/>
    </w:rPr>
  </w:style>
  <w:style w:type="character" w:customStyle="1" w:styleId="PredmetkomentraChar1384">
    <w:name w:val="Predmet komentára Char1384"/>
    <w:aliases w:val="Char6 Char Char1385,Predmet komentára Char Char Char1385,Comment Subject Char Char Char1385"/>
    <w:uiPriority w:val="99"/>
    <w:semiHidden/>
    <w:rsid w:val="00A809E7"/>
    <w:rPr>
      <w:rFonts w:ascii="Courier" w:hAnsi="Courier"/>
      <w:b/>
      <w:lang w:val="x-none" w:eastAsia="cs-CZ"/>
    </w:rPr>
  </w:style>
  <w:style w:type="character" w:customStyle="1" w:styleId="PredmetkomentraChar1383">
    <w:name w:val="Predmet komentára Char1383"/>
    <w:aliases w:val="Char6 Char Char1384,Predmet komentára Char Char Char1384,Comment Subject Char Char Char1384"/>
    <w:uiPriority w:val="99"/>
    <w:semiHidden/>
    <w:rsid w:val="00A809E7"/>
    <w:rPr>
      <w:rFonts w:ascii="Courier" w:hAnsi="Courier"/>
      <w:b/>
      <w:lang w:val="x-none" w:eastAsia="cs-CZ"/>
    </w:rPr>
  </w:style>
  <w:style w:type="character" w:customStyle="1" w:styleId="PredmetkomentraChar1382">
    <w:name w:val="Predmet komentára Char1382"/>
    <w:aliases w:val="Char6 Char Char1383,Predmet komentára Char Char Char1383,Comment Subject Char Char Char1383"/>
    <w:uiPriority w:val="99"/>
    <w:semiHidden/>
    <w:rsid w:val="00A809E7"/>
    <w:rPr>
      <w:rFonts w:ascii="Courier" w:hAnsi="Courier"/>
      <w:b/>
      <w:lang w:val="x-none" w:eastAsia="cs-CZ"/>
    </w:rPr>
  </w:style>
  <w:style w:type="character" w:customStyle="1" w:styleId="PredmetkomentraChar1381">
    <w:name w:val="Predmet komentára Char1381"/>
    <w:aliases w:val="Char6 Char Char1382,Predmet komentára Char Char Char1382,Comment Subject Char Char Char1382"/>
    <w:uiPriority w:val="99"/>
    <w:semiHidden/>
    <w:rsid w:val="00A809E7"/>
    <w:rPr>
      <w:rFonts w:ascii="Courier" w:hAnsi="Courier"/>
      <w:b/>
      <w:lang w:val="x-none" w:eastAsia="cs-CZ"/>
    </w:rPr>
  </w:style>
  <w:style w:type="character" w:customStyle="1" w:styleId="PredmetkomentraChar1380">
    <w:name w:val="Predmet komentára Char1380"/>
    <w:aliases w:val="Char6 Char Char1381,Predmet komentára Char Char Char1381,Comment Subject Char Char Char1381"/>
    <w:uiPriority w:val="99"/>
    <w:semiHidden/>
    <w:rsid w:val="00A809E7"/>
    <w:rPr>
      <w:rFonts w:ascii="Courier" w:hAnsi="Courier"/>
      <w:b/>
      <w:lang w:val="x-none" w:eastAsia="cs-CZ"/>
    </w:rPr>
  </w:style>
  <w:style w:type="character" w:customStyle="1" w:styleId="PredmetkomentraChar1379">
    <w:name w:val="Predmet komentára Char1379"/>
    <w:aliases w:val="Char6 Char Char1380,Predmet komentára Char Char Char1380,Comment Subject Char Char Char1380"/>
    <w:uiPriority w:val="99"/>
    <w:semiHidden/>
    <w:rsid w:val="00A809E7"/>
    <w:rPr>
      <w:rFonts w:ascii="Courier" w:hAnsi="Courier"/>
      <w:b/>
      <w:lang w:val="x-none" w:eastAsia="cs-CZ"/>
    </w:rPr>
  </w:style>
  <w:style w:type="character" w:customStyle="1" w:styleId="PredmetkomentraChar1378">
    <w:name w:val="Predmet komentára Char1378"/>
    <w:aliases w:val="Char6 Char Char1379,Predmet komentára Char Char Char1379,Comment Subject Char Char Char1379"/>
    <w:uiPriority w:val="99"/>
    <w:semiHidden/>
    <w:rsid w:val="00A809E7"/>
    <w:rPr>
      <w:rFonts w:ascii="Courier" w:hAnsi="Courier"/>
      <w:b/>
      <w:lang w:val="x-none" w:eastAsia="cs-CZ"/>
    </w:rPr>
  </w:style>
  <w:style w:type="character" w:customStyle="1" w:styleId="PredmetkomentraChar1377">
    <w:name w:val="Predmet komentára Char1377"/>
    <w:aliases w:val="Char6 Char Char1378,Predmet komentára Char Char Char1378,Comment Subject Char Char Char1378"/>
    <w:uiPriority w:val="99"/>
    <w:semiHidden/>
    <w:rsid w:val="00A809E7"/>
    <w:rPr>
      <w:rFonts w:ascii="Courier" w:hAnsi="Courier"/>
      <w:b/>
      <w:lang w:val="x-none" w:eastAsia="cs-CZ"/>
    </w:rPr>
  </w:style>
  <w:style w:type="character" w:customStyle="1" w:styleId="PredmetkomentraChar1376">
    <w:name w:val="Predmet komentára Char1376"/>
    <w:aliases w:val="Char6 Char Char1377,Predmet komentára Char Char Char1377,Comment Subject Char Char Char1377"/>
    <w:uiPriority w:val="99"/>
    <w:semiHidden/>
    <w:rsid w:val="00A809E7"/>
    <w:rPr>
      <w:rFonts w:ascii="Courier" w:hAnsi="Courier"/>
      <w:b/>
      <w:lang w:val="x-none" w:eastAsia="cs-CZ"/>
    </w:rPr>
  </w:style>
  <w:style w:type="character" w:customStyle="1" w:styleId="PredmetkomentraChar1375">
    <w:name w:val="Predmet komentára Char1375"/>
    <w:aliases w:val="Char6 Char Char1376,Predmet komentára Char Char Char1376,Comment Subject Char Char Char1376"/>
    <w:uiPriority w:val="99"/>
    <w:semiHidden/>
    <w:rsid w:val="00A809E7"/>
    <w:rPr>
      <w:rFonts w:ascii="Courier" w:hAnsi="Courier"/>
      <w:b/>
      <w:lang w:val="x-none" w:eastAsia="cs-CZ"/>
    </w:rPr>
  </w:style>
  <w:style w:type="character" w:customStyle="1" w:styleId="PredmetkomentraChar1374">
    <w:name w:val="Predmet komentára Char1374"/>
    <w:aliases w:val="Char6 Char Char1375,Predmet komentára Char Char Char1375,Comment Subject Char Char Char1375"/>
    <w:uiPriority w:val="99"/>
    <w:semiHidden/>
    <w:rsid w:val="00A809E7"/>
    <w:rPr>
      <w:rFonts w:ascii="Courier" w:hAnsi="Courier"/>
      <w:b/>
      <w:lang w:val="x-none" w:eastAsia="cs-CZ"/>
    </w:rPr>
  </w:style>
  <w:style w:type="character" w:customStyle="1" w:styleId="PredmetkomentraChar1373">
    <w:name w:val="Predmet komentára Char1373"/>
    <w:aliases w:val="Char6 Char Char1374,Predmet komentára Char Char Char1374,Comment Subject Char Char Char1374"/>
    <w:uiPriority w:val="99"/>
    <w:semiHidden/>
    <w:rsid w:val="00A809E7"/>
    <w:rPr>
      <w:rFonts w:ascii="Courier" w:hAnsi="Courier"/>
      <w:b/>
      <w:lang w:val="x-none" w:eastAsia="cs-CZ"/>
    </w:rPr>
  </w:style>
  <w:style w:type="character" w:customStyle="1" w:styleId="PredmetkomentraChar1372">
    <w:name w:val="Predmet komentára Char1372"/>
    <w:aliases w:val="Char6 Char Char1373,Predmet komentára Char Char Char1373,Comment Subject Char Char Char1373"/>
    <w:uiPriority w:val="99"/>
    <w:semiHidden/>
    <w:rsid w:val="00A809E7"/>
    <w:rPr>
      <w:rFonts w:ascii="Courier" w:hAnsi="Courier"/>
      <w:b/>
      <w:lang w:val="x-none" w:eastAsia="cs-CZ"/>
    </w:rPr>
  </w:style>
  <w:style w:type="character" w:customStyle="1" w:styleId="PredmetkomentraChar1371">
    <w:name w:val="Predmet komentára Char1371"/>
    <w:aliases w:val="Char6 Char Char1372,Predmet komentára Char Char Char1372,Comment Subject Char Char Char1372"/>
    <w:uiPriority w:val="99"/>
    <w:semiHidden/>
    <w:rsid w:val="00A809E7"/>
    <w:rPr>
      <w:rFonts w:ascii="Courier" w:hAnsi="Courier"/>
      <w:b/>
      <w:lang w:val="x-none" w:eastAsia="cs-CZ"/>
    </w:rPr>
  </w:style>
  <w:style w:type="character" w:customStyle="1" w:styleId="PredmetkomentraChar1370">
    <w:name w:val="Predmet komentára Char1370"/>
    <w:aliases w:val="Char6 Char Char1371,Predmet komentára Char Char Char1371,Comment Subject Char Char Char1371"/>
    <w:uiPriority w:val="99"/>
    <w:semiHidden/>
    <w:rsid w:val="00A809E7"/>
    <w:rPr>
      <w:rFonts w:ascii="Courier" w:hAnsi="Courier"/>
      <w:b/>
      <w:lang w:val="x-none" w:eastAsia="cs-CZ"/>
    </w:rPr>
  </w:style>
  <w:style w:type="character" w:customStyle="1" w:styleId="PredmetkomentraChar1369">
    <w:name w:val="Predmet komentára Char1369"/>
    <w:aliases w:val="Char6 Char Char1370,Predmet komentára Char Char Char1370,Comment Subject Char Char Char1370"/>
    <w:uiPriority w:val="99"/>
    <w:semiHidden/>
    <w:rsid w:val="00A809E7"/>
    <w:rPr>
      <w:rFonts w:ascii="Courier" w:hAnsi="Courier"/>
      <w:b/>
      <w:lang w:val="x-none" w:eastAsia="cs-CZ"/>
    </w:rPr>
  </w:style>
  <w:style w:type="character" w:customStyle="1" w:styleId="PredmetkomentraChar1368">
    <w:name w:val="Predmet komentára Char1368"/>
    <w:aliases w:val="Char6 Char Char1369,Predmet komentára Char Char Char1369,Comment Subject Char Char Char1369"/>
    <w:uiPriority w:val="99"/>
    <w:semiHidden/>
    <w:rsid w:val="00A809E7"/>
    <w:rPr>
      <w:rFonts w:ascii="Courier" w:hAnsi="Courier"/>
      <w:b/>
      <w:lang w:val="x-none" w:eastAsia="cs-CZ"/>
    </w:rPr>
  </w:style>
  <w:style w:type="character" w:customStyle="1" w:styleId="PredmetkomentraChar1367">
    <w:name w:val="Predmet komentára Char1367"/>
    <w:aliases w:val="Char6 Char Char1368,Predmet komentára Char Char Char1368,Comment Subject Char Char Char1368"/>
    <w:uiPriority w:val="99"/>
    <w:semiHidden/>
    <w:rsid w:val="00A809E7"/>
    <w:rPr>
      <w:rFonts w:ascii="Courier" w:hAnsi="Courier"/>
      <w:b/>
      <w:lang w:val="x-none" w:eastAsia="cs-CZ"/>
    </w:rPr>
  </w:style>
  <w:style w:type="character" w:customStyle="1" w:styleId="PredmetkomentraChar1366">
    <w:name w:val="Predmet komentára Char1366"/>
    <w:aliases w:val="Char6 Char Char1367,Predmet komentára Char Char Char1367,Comment Subject Char Char Char1367"/>
    <w:uiPriority w:val="99"/>
    <w:semiHidden/>
    <w:rsid w:val="00A809E7"/>
    <w:rPr>
      <w:rFonts w:ascii="Courier" w:hAnsi="Courier"/>
      <w:b/>
      <w:lang w:val="x-none" w:eastAsia="cs-CZ"/>
    </w:rPr>
  </w:style>
  <w:style w:type="character" w:customStyle="1" w:styleId="PredmetkomentraChar1365">
    <w:name w:val="Predmet komentára Char1365"/>
    <w:aliases w:val="Char6 Char Char1366,Predmet komentára Char Char Char1366,Comment Subject Char Char Char1366"/>
    <w:uiPriority w:val="99"/>
    <w:semiHidden/>
    <w:rsid w:val="00A809E7"/>
    <w:rPr>
      <w:rFonts w:ascii="Courier" w:hAnsi="Courier"/>
      <w:b/>
      <w:lang w:val="x-none" w:eastAsia="cs-CZ"/>
    </w:rPr>
  </w:style>
  <w:style w:type="character" w:customStyle="1" w:styleId="PredmetkomentraChar1364">
    <w:name w:val="Predmet komentára Char1364"/>
    <w:aliases w:val="Char6 Char Char1365,Predmet komentára Char Char Char1365,Comment Subject Char Char Char1365"/>
    <w:uiPriority w:val="99"/>
    <w:semiHidden/>
    <w:rsid w:val="00A809E7"/>
    <w:rPr>
      <w:rFonts w:ascii="Courier" w:hAnsi="Courier"/>
      <w:b/>
      <w:lang w:val="x-none" w:eastAsia="cs-CZ"/>
    </w:rPr>
  </w:style>
  <w:style w:type="character" w:customStyle="1" w:styleId="PredmetkomentraChar1363">
    <w:name w:val="Predmet komentára Char1363"/>
    <w:aliases w:val="Char6 Char Char1364,Predmet komentára Char Char Char1364,Comment Subject Char Char Char1364"/>
    <w:uiPriority w:val="99"/>
    <w:semiHidden/>
    <w:rsid w:val="00A809E7"/>
    <w:rPr>
      <w:rFonts w:ascii="Courier" w:hAnsi="Courier"/>
      <w:b/>
      <w:lang w:val="x-none" w:eastAsia="cs-CZ"/>
    </w:rPr>
  </w:style>
  <w:style w:type="character" w:customStyle="1" w:styleId="PredmetkomentraChar1362">
    <w:name w:val="Predmet komentára Char1362"/>
    <w:aliases w:val="Char6 Char Char1363,Predmet komentára Char Char Char1363,Comment Subject Char Char Char1363"/>
    <w:uiPriority w:val="99"/>
    <w:semiHidden/>
    <w:rsid w:val="00A809E7"/>
    <w:rPr>
      <w:rFonts w:ascii="Courier" w:hAnsi="Courier"/>
      <w:b/>
      <w:lang w:val="x-none" w:eastAsia="cs-CZ"/>
    </w:rPr>
  </w:style>
  <w:style w:type="character" w:customStyle="1" w:styleId="PredmetkomentraChar1361">
    <w:name w:val="Predmet komentára Char1361"/>
    <w:aliases w:val="Char6 Char Char1362,Predmet komentára Char Char Char1362,Comment Subject Char Char Char1362"/>
    <w:uiPriority w:val="99"/>
    <w:semiHidden/>
    <w:rsid w:val="00A809E7"/>
    <w:rPr>
      <w:rFonts w:ascii="Courier" w:hAnsi="Courier"/>
      <w:b/>
      <w:lang w:val="x-none" w:eastAsia="cs-CZ"/>
    </w:rPr>
  </w:style>
  <w:style w:type="character" w:customStyle="1" w:styleId="PredmetkomentraChar1360">
    <w:name w:val="Predmet komentára Char1360"/>
    <w:aliases w:val="Char6 Char Char1361,Predmet komentára Char Char Char1361,Comment Subject Char Char Char1361"/>
    <w:uiPriority w:val="99"/>
    <w:semiHidden/>
    <w:rsid w:val="00A809E7"/>
    <w:rPr>
      <w:rFonts w:ascii="Courier" w:hAnsi="Courier"/>
      <w:b/>
      <w:lang w:val="x-none" w:eastAsia="cs-CZ"/>
    </w:rPr>
  </w:style>
  <w:style w:type="character" w:customStyle="1" w:styleId="PredmetkomentraChar1359">
    <w:name w:val="Predmet komentára Char1359"/>
    <w:aliases w:val="Char6 Char Char1360,Predmet komentára Char Char Char1360,Comment Subject Char Char Char1360"/>
    <w:uiPriority w:val="99"/>
    <w:semiHidden/>
    <w:rsid w:val="00A809E7"/>
    <w:rPr>
      <w:rFonts w:ascii="Courier" w:hAnsi="Courier"/>
      <w:b/>
      <w:lang w:val="x-none" w:eastAsia="cs-CZ"/>
    </w:rPr>
  </w:style>
  <w:style w:type="character" w:customStyle="1" w:styleId="PredmetkomentraChar1358">
    <w:name w:val="Predmet komentára Char1358"/>
    <w:aliases w:val="Char6 Char Char1359,Predmet komentára Char Char Char1359,Comment Subject Char Char Char1359"/>
    <w:uiPriority w:val="99"/>
    <w:semiHidden/>
    <w:rsid w:val="00A809E7"/>
    <w:rPr>
      <w:rFonts w:ascii="Courier" w:hAnsi="Courier"/>
      <w:b/>
      <w:lang w:val="x-none" w:eastAsia="cs-CZ"/>
    </w:rPr>
  </w:style>
  <w:style w:type="character" w:customStyle="1" w:styleId="PredmetkomentraChar1357">
    <w:name w:val="Predmet komentára Char1357"/>
    <w:aliases w:val="Char6 Char Char1358,Predmet komentára Char Char Char1358,Comment Subject Char Char Char1358"/>
    <w:uiPriority w:val="99"/>
    <w:semiHidden/>
    <w:rsid w:val="00A809E7"/>
    <w:rPr>
      <w:rFonts w:ascii="Courier" w:hAnsi="Courier"/>
      <w:b/>
      <w:lang w:val="x-none" w:eastAsia="cs-CZ"/>
    </w:rPr>
  </w:style>
  <w:style w:type="character" w:customStyle="1" w:styleId="PredmetkomentraChar1356">
    <w:name w:val="Predmet komentára Char1356"/>
    <w:aliases w:val="Char6 Char Char1357,Predmet komentára Char Char Char1357,Comment Subject Char Char Char1357"/>
    <w:uiPriority w:val="99"/>
    <w:semiHidden/>
    <w:rsid w:val="00A809E7"/>
    <w:rPr>
      <w:rFonts w:ascii="Courier" w:hAnsi="Courier"/>
      <w:b/>
      <w:lang w:val="x-none" w:eastAsia="cs-CZ"/>
    </w:rPr>
  </w:style>
  <w:style w:type="character" w:customStyle="1" w:styleId="PredmetkomentraChar1355">
    <w:name w:val="Predmet komentára Char1355"/>
    <w:aliases w:val="Char6 Char Char1356,Predmet komentára Char Char Char1356,Comment Subject Char Char Char1356"/>
    <w:uiPriority w:val="99"/>
    <w:semiHidden/>
    <w:rsid w:val="00A809E7"/>
    <w:rPr>
      <w:rFonts w:ascii="Courier" w:hAnsi="Courier"/>
      <w:b/>
      <w:lang w:val="x-none" w:eastAsia="cs-CZ"/>
    </w:rPr>
  </w:style>
  <w:style w:type="character" w:customStyle="1" w:styleId="PredmetkomentraChar1354">
    <w:name w:val="Predmet komentára Char1354"/>
    <w:aliases w:val="Char6 Char Char1355,Predmet komentára Char Char Char1355,Comment Subject Char Char Char1355"/>
    <w:uiPriority w:val="99"/>
    <w:semiHidden/>
    <w:rsid w:val="00A809E7"/>
    <w:rPr>
      <w:rFonts w:ascii="Courier" w:hAnsi="Courier"/>
      <w:b/>
      <w:lang w:val="x-none" w:eastAsia="cs-CZ"/>
    </w:rPr>
  </w:style>
  <w:style w:type="character" w:customStyle="1" w:styleId="PredmetkomentraChar1353">
    <w:name w:val="Predmet komentára Char1353"/>
    <w:aliases w:val="Char6 Char Char1354,Predmet komentára Char Char Char1354,Comment Subject Char Char Char1354"/>
    <w:uiPriority w:val="99"/>
    <w:semiHidden/>
    <w:rsid w:val="00A809E7"/>
    <w:rPr>
      <w:rFonts w:ascii="Courier" w:hAnsi="Courier"/>
      <w:b/>
      <w:lang w:val="x-none" w:eastAsia="cs-CZ"/>
    </w:rPr>
  </w:style>
  <w:style w:type="character" w:customStyle="1" w:styleId="PredmetkomentraChar1352">
    <w:name w:val="Predmet komentára Char1352"/>
    <w:aliases w:val="Char6 Char Char1353,Predmet komentára Char Char Char1353,Comment Subject Char Char Char1353"/>
    <w:uiPriority w:val="99"/>
    <w:semiHidden/>
    <w:rsid w:val="00A809E7"/>
    <w:rPr>
      <w:rFonts w:ascii="Courier" w:hAnsi="Courier"/>
      <w:b/>
      <w:lang w:val="x-none" w:eastAsia="cs-CZ"/>
    </w:rPr>
  </w:style>
  <w:style w:type="character" w:customStyle="1" w:styleId="PredmetkomentraChar1351">
    <w:name w:val="Predmet komentára Char1351"/>
    <w:aliases w:val="Char6 Char Char1352,Predmet komentára Char Char Char1352,Comment Subject Char Char Char1352"/>
    <w:uiPriority w:val="99"/>
    <w:semiHidden/>
    <w:rsid w:val="00A809E7"/>
    <w:rPr>
      <w:rFonts w:ascii="Courier" w:hAnsi="Courier"/>
      <w:b/>
      <w:lang w:val="x-none" w:eastAsia="cs-CZ"/>
    </w:rPr>
  </w:style>
  <w:style w:type="character" w:customStyle="1" w:styleId="PredmetkomentraChar1350">
    <w:name w:val="Predmet komentára Char1350"/>
    <w:aliases w:val="Char6 Char Char1351,Predmet komentára Char Char Char1351,Comment Subject Char Char Char1351"/>
    <w:uiPriority w:val="99"/>
    <w:semiHidden/>
    <w:rsid w:val="00A809E7"/>
    <w:rPr>
      <w:rFonts w:ascii="Courier" w:hAnsi="Courier"/>
      <w:b/>
      <w:lang w:val="x-none" w:eastAsia="cs-CZ"/>
    </w:rPr>
  </w:style>
  <w:style w:type="character" w:customStyle="1" w:styleId="PredmetkomentraChar1349">
    <w:name w:val="Predmet komentára Char1349"/>
    <w:aliases w:val="Char6 Char Char1350,Predmet komentára Char Char Char1350,Comment Subject Char Char Char1350"/>
    <w:uiPriority w:val="99"/>
    <w:semiHidden/>
    <w:rsid w:val="00A809E7"/>
    <w:rPr>
      <w:rFonts w:ascii="Courier" w:hAnsi="Courier"/>
      <w:b/>
      <w:lang w:val="x-none" w:eastAsia="cs-CZ"/>
    </w:rPr>
  </w:style>
  <w:style w:type="character" w:customStyle="1" w:styleId="PredmetkomentraChar1348">
    <w:name w:val="Predmet komentára Char1348"/>
    <w:aliases w:val="Char6 Char Char1349,Predmet komentára Char Char Char1349,Comment Subject Char Char Char1349"/>
    <w:uiPriority w:val="99"/>
    <w:semiHidden/>
    <w:rsid w:val="00A809E7"/>
    <w:rPr>
      <w:rFonts w:ascii="Courier" w:hAnsi="Courier"/>
      <w:b/>
      <w:lang w:val="x-none" w:eastAsia="cs-CZ"/>
    </w:rPr>
  </w:style>
  <w:style w:type="character" w:customStyle="1" w:styleId="PredmetkomentraChar1347">
    <w:name w:val="Predmet komentára Char1347"/>
    <w:aliases w:val="Char6 Char Char1348,Predmet komentára Char Char Char1348,Comment Subject Char Char Char1348"/>
    <w:uiPriority w:val="99"/>
    <w:semiHidden/>
    <w:rsid w:val="00A809E7"/>
    <w:rPr>
      <w:rFonts w:ascii="Courier" w:hAnsi="Courier"/>
      <w:b/>
      <w:lang w:val="x-none" w:eastAsia="cs-CZ"/>
    </w:rPr>
  </w:style>
  <w:style w:type="character" w:customStyle="1" w:styleId="PredmetkomentraChar1346">
    <w:name w:val="Predmet komentára Char1346"/>
    <w:aliases w:val="Char6 Char Char1347,Predmet komentára Char Char Char1347,Comment Subject Char Char Char1347"/>
    <w:uiPriority w:val="99"/>
    <w:semiHidden/>
    <w:rsid w:val="00A809E7"/>
    <w:rPr>
      <w:rFonts w:ascii="Courier" w:hAnsi="Courier"/>
      <w:b/>
      <w:lang w:val="x-none" w:eastAsia="cs-CZ"/>
    </w:rPr>
  </w:style>
  <w:style w:type="character" w:customStyle="1" w:styleId="PredmetkomentraChar1345">
    <w:name w:val="Predmet komentára Char1345"/>
    <w:aliases w:val="Char6 Char Char1346,Predmet komentára Char Char Char1346,Comment Subject Char Char Char1346"/>
    <w:uiPriority w:val="99"/>
    <w:semiHidden/>
    <w:rsid w:val="00A809E7"/>
    <w:rPr>
      <w:rFonts w:ascii="Courier" w:hAnsi="Courier"/>
      <w:b/>
      <w:lang w:val="x-none" w:eastAsia="cs-CZ"/>
    </w:rPr>
  </w:style>
  <w:style w:type="character" w:customStyle="1" w:styleId="PredmetkomentraChar1344">
    <w:name w:val="Predmet komentára Char1344"/>
    <w:aliases w:val="Char6 Char Char1345,Predmet komentára Char Char Char1345,Comment Subject Char Char Char1345"/>
    <w:uiPriority w:val="99"/>
    <w:semiHidden/>
    <w:rsid w:val="00A809E7"/>
    <w:rPr>
      <w:rFonts w:ascii="Courier" w:hAnsi="Courier"/>
      <w:b/>
      <w:lang w:val="x-none" w:eastAsia="cs-CZ"/>
    </w:rPr>
  </w:style>
  <w:style w:type="character" w:customStyle="1" w:styleId="PredmetkomentraChar1343">
    <w:name w:val="Predmet komentára Char1343"/>
    <w:aliases w:val="Char6 Char Char1344,Predmet komentára Char Char Char1344,Comment Subject Char Char Char1344"/>
    <w:uiPriority w:val="99"/>
    <w:semiHidden/>
    <w:rsid w:val="00A809E7"/>
    <w:rPr>
      <w:rFonts w:ascii="Courier" w:hAnsi="Courier"/>
      <w:b/>
      <w:lang w:val="x-none" w:eastAsia="cs-CZ"/>
    </w:rPr>
  </w:style>
  <w:style w:type="character" w:customStyle="1" w:styleId="PredmetkomentraChar1342">
    <w:name w:val="Predmet komentára Char1342"/>
    <w:aliases w:val="Char6 Char Char1343,Predmet komentára Char Char Char1343,Comment Subject Char Char Char1343"/>
    <w:uiPriority w:val="99"/>
    <w:semiHidden/>
    <w:rsid w:val="00A809E7"/>
    <w:rPr>
      <w:rFonts w:ascii="Courier" w:hAnsi="Courier"/>
      <w:b/>
      <w:lang w:val="x-none" w:eastAsia="cs-CZ"/>
    </w:rPr>
  </w:style>
  <w:style w:type="character" w:customStyle="1" w:styleId="PredmetkomentraChar1341">
    <w:name w:val="Predmet komentára Char1341"/>
    <w:aliases w:val="Char6 Char Char1342,Predmet komentára Char Char Char1342,Comment Subject Char Char Char1342"/>
    <w:uiPriority w:val="99"/>
    <w:semiHidden/>
    <w:rsid w:val="00A809E7"/>
    <w:rPr>
      <w:rFonts w:ascii="Courier" w:hAnsi="Courier"/>
      <w:b/>
      <w:lang w:val="x-none" w:eastAsia="cs-CZ"/>
    </w:rPr>
  </w:style>
  <w:style w:type="character" w:customStyle="1" w:styleId="PredmetkomentraChar1340">
    <w:name w:val="Predmet komentára Char1340"/>
    <w:aliases w:val="Char6 Char Char1341,Predmet komentára Char Char Char1341,Comment Subject Char Char Char1341"/>
    <w:uiPriority w:val="99"/>
    <w:semiHidden/>
    <w:rsid w:val="00A809E7"/>
    <w:rPr>
      <w:rFonts w:ascii="Courier" w:hAnsi="Courier"/>
      <w:b/>
      <w:lang w:val="x-none" w:eastAsia="cs-CZ"/>
    </w:rPr>
  </w:style>
  <w:style w:type="character" w:customStyle="1" w:styleId="PredmetkomentraChar1339">
    <w:name w:val="Predmet komentára Char1339"/>
    <w:aliases w:val="Char6 Char Char1340,Predmet komentára Char Char Char1340,Comment Subject Char Char Char1340"/>
    <w:uiPriority w:val="99"/>
    <w:semiHidden/>
    <w:rsid w:val="00A809E7"/>
    <w:rPr>
      <w:rFonts w:ascii="Courier" w:hAnsi="Courier"/>
      <w:b/>
      <w:lang w:val="x-none" w:eastAsia="cs-CZ"/>
    </w:rPr>
  </w:style>
  <w:style w:type="character" w:customStyle="1" w:styleId="PredmetkomentraChar1338">
    <w:name w:val="Predmet komentára Char1338"/>
    <w:aliases w:val="Char6 Char Char1339,Predmet komentára Char Char Char1339,Comment Subject Char Char Char1339"/>
    <w:uiPriority w:val="99"/>
    <w:semiHidden/>
    <w:rsid w:val="00A809E7"/>
    <w:rPr>
      <w:rFonts w:ascii="Courier" w:hAnsi="Courier"/>
      <w:b/>
      <w:lang w:val="x-none" w:eastAsia="cs-CZ"/>
    </w:rPr>
  </w:style>
  <w:style w:type="character" w:customStyle="1" w:styleId="PredmetkomentraChar1337">
    <w:name w:val="Predmet komentára Char1337"/>
    <w:aliases w:val="Char6 Char Char1338,Predmet komentára Char Char Char1338,Comment Subject Char Char Char1338"/>
    <w:uiPriority w:val="99"/>
    <w:semiHidden/>
    <w:rsid w:val="00A809E7"/>
    <w:rPr>
      <w:rFonts w:ascii="Courier" w:hAnsi="Courier"/>
      <w:b/>
      <w:lang w:val="x-none" w:eastAsia="cs-CZ"/>
    </w:rPr>
  </w:style>
  <w:style w:type="character" w:customStyle="1" w:styleId="PredmetkomentraChar1336">
    <w:name w:val="Predmet komentára Char1336"/>
    <w:aliases w:val="Char6 Char Char1337,Predmet komentára Char Char Char1337,Comment Subject Char Char Char1337"/>
    <w:uiPriority w:val="99"/>
    <w:semiHidden/>
    <w:rsid w:val="00A809E7"/>
    <w:rPr>
      <w:rFonts w:ascii="Courier" w:hAnsi="Courier"/>
      <w:b/>
      <w:lang w:val="x-none" w:eastAsia="cs-CZ"/>
    </w:rPr>
  </w:style>
  <w:style w:type="character" w:customStyle="1" w:styleId="PredmetkomentraChar1335">
    <w:name w:val="Predmet komentára Char1335"/>
    <w:aliases w:val="Char6 Char Char1336,Predmet komentára Char Char Char1336,Comment Subject Char Char Char1336"/>
    <w:uiPriority w:val="99"/>
    <w:semiHidden/>
    <w:rsid w:val="00A809E7"/>
    <w:rPr>
      <w:rFonts w:ascii="Courier" w:hAnsi="Courier"/>
      <w:b/>
      <w:lang w:val="x-none" w:eastAsia="cs-CZ"/>
    </w:rPr>
  </w:style>
  <w:style w:type="character" w:customStyle="1" w:styleId="PredmetkomentraChar1334">
    <w:name w:val="Predmet komentára Char1334"/>
    <w:aliases w:val="Char6 Char Char1335,Predmet komentára Char Char Char1335,Comment Subject Char Char Char1335"/>
    <w:uiPriority w:val="99"/>
    <w:semiHidden/>
    <w:rsid w:val="00A809E7"/>
    <w:rPr>
      <w:rFonts w:ascii="Courier" w:hAnsi="Courier"/>
      <w:b/>
      <w:lang w:val="x-none" w:eastAsia="cs-CZ"/>
    </w:rPr>
  </w:style>
  <w:style w:type="character" w:customStyle="1" w:styleId="PredmetkomentraChar1333">
    <w:name w:val="Predmet komentára Char1333"/>
    <w:aliases w:val="Char6 Char Char1334,Predmet komentára Char Char Char1334,Comment Subject Char Char Char1334"/>
    <w:uiPriority w:val="99"/>
    <w:semiHidden/>
    <w:rsid w:val="00A809E7"/>
    <w:rPr>
      <w:rFonts w:ascii="Courier" w:hAnsi="Courier"/>
      <w:b/>
      <w:lang w:val="x-none" w:eastAsia="cs-CZ"/>
    </w:rPr>
  </w:style>
  <w:style w:type="character" w:customStyle="1" w:styleId="PredmetkomentraChar1332">
    <w:name w:val="Predmet komentára Char1332"/>
    <w:aliases w:val="Char6 Char Char1333,Predmet komentára Char Char Char1333,Comment Subject Char Char Char1333"/>
    <w:uiPriority w:val="99"/>
    <w:semiHidden/>
    <w:rsid w:val="00A809E7"/>
    <w:rPr>
      <w:rFonts w:ascii="Courier" w:hAnsi="Courier"/>
      <w:b/>
      <w:lang w:val="x-none" w:eastAsia="cs-CZ"/>
    </w:rPr>
  </w:style>
  <w:style w:type="character" w:customStyle="1" w:styleId="PredmetkomentraChar1331">
    <w:name w:val="Predmet komentára Char1331"/>
    <w:aliases w:val="Char6 Char Char1332,Predmet komentára Char Char Char1332,Comment Subject Char Char Char1332"/>
    <w:uiPriority w:val="99"/>
    <w:semiHidden/>
    <w:rsid w:val="00A809E7"/>
    <w:rPr>
      <w:rFonts w:ascii="Courier" w:hAnsi="Courier"/>
      <w:b/>
      <w:lang w:val="x-none" w:eastAsia="cs-CZ"/>
    </w:rPr>
  </w:style>
  <w:style w:type="character" w:customStyle="1" w:styleId="PredmetkomentraChar1330">
    <w:name w:val="Predmet komentára Char1330"/>
    <w:aliases w:val="Char6 Char Char1331,Predmet komentára Char Char Char1331,Comment Subject Char Char Char1331"/>
    <w:uiPriority w:val="99"/>
    <w:semiHidden/>
    <w:rsid w:val="00A809E7"/>
    <w:rPr>
      <w:rFonts w:ascii="Courier" w:hAnsi="Courier"/>
      <w:b/>
      <w:lang w:val="x-none" w:eastAsia="cs-CZ"/>
    </w:rPr>
  </w:style>
  <w:style w:type="character" w:customStyle="1" w:styleId="PredmetkomentraChar1329">
    <w:name w:val="Predmet komentára Char1329"/>
    <w:aliases w:val="Char6 Char Char1330,Predmet komentára Char Char Char1330,Comment Subject Char Char Char1330"/>
    <w:uiPriority w:val="99"/>
    <w:semiHidden/>
    <w:rsid w:val="00A809E7"/>
    <w:rPr>
      <w:rFonts w:ascii="Courier" w:hAnsi="Courier"/>
      <w:b/>
      <w:lang w:val="x-none" w:eastAsia="cs-CZ"/>
    </w:rPr>
  </w:style>
  <w:style w:type="character" w:customStyle="1" w:styleId="PredmetkomentraChar1328">
    <w:name w:val="Predmet komentára Char1328"/>
    <w:aliases w:val="Char6 Char Char1329,Predmet komentára Char Char Char1329,Comment Subject Char Char Char1329"/>
    <w:uiPriority w:val="99"/>
    <w:semiHidden/>
    <w:rsid w:val="00A809E7"/>
    <w:rPr>
      <w:rFonts w:ascii="Courier" w:hAnsi="Courier"/>
      <w:b/>
      <w:lang w:val="x-none" w:eastAsia="cs-CZ"/>
    </w:rPr>
  </w:style>
  <w:style w:type="character" w:customStyle="1" w:styleId="PredmetkomentraChar1327">
    <w:name w:val="Predmet komentára Char1327"/>
    <w:aliases w:val="Char6 Char Char1328,Predmet komentára Char Char Char1328,Comment Subject Char Char Char1328"/>
    <w:uiPriority w:val="99"/>
    <w:semiHidden/>
    <w:rsid w:val="00A809E7"/>
    <w:rPr>
      <w:rFonts w:ascii="Courier" w:hAnsi="Courier"/>
      <w:b/>
      <w:lang w:val="x-none" w:eastAsia="cs-CZ"/>
    </w:rPr>
  </w:style>
  <w:style w:type="character" w:customStyle="1" w:styleId="PredmetkomentraChar1326">
    <w:name w:val="Predmet komentára Char1326"/>
    <w:aliases w:val="Char6 Char Char1327,Predmet komentára Char Char Char1327,Comment Subject Char Char Char1327"/>
    <w:uiPriority w:val="99"/>
    <w:semiHidden/>
    <w:rsid w:val="00A809E7"/>
    <w:rPr>
      <w:rFonts w:ascii="Courier" w:hAnsi="Courier"/>
      <w:b/>
      <w:lang w:val="x-none" w:eastAsia="cs-CZ"/>
    </w:rPr>
  </w:style>
  <w:style w:type="character" w:customStyle="1" w:styleId="PredmetkomentraChar1325">
    <w:name w:val="Predmet komentára Char1325"/>
    <w:aliases w:val="Char6 Char Char1326,Predmet komentára Char Char Char1326,Comment Subject Char Char Char1326"/>
    <w:uiPriority w:val="99"/>
    <w:semiHidden/>
    <w:rsid w:val="00A809E7"/>
    <w:rPr>
      <w:rFonts w:ascii="Courier" w:hAnsi="Courier"/>
      <w:b/>
      <w:lang w:val="x-none" w:eastAsia="cs-CZ"/>
    </w:rPr>
  </w:style>
  <w:style w:type="character" w:customStyle="1" w:styleId="PredmetkomentraChar1324">
    <w:name w:val="Predmet komentára Char1324"/>
    <w:aliases w:val="Char6 Char Char1325,Predmet komentára Char Char Char1325,Comment Subject Char Char Char1325"/>
    <w:uiPriority w:val="99"/>
    <w:semiHidden/>
    <w:rsid w:val="00A809E7"/>
    <w:rPr>
      <w:rFonts w:ascii="Courier" w:hAnsi="Courier"/>
      <w:b/>
      <w:lang w:val="x-none" w:eastAsia="cs-CZ"/>
    </w:rPr>
  </w:style>
  <w:style w:type="character" w:customStyle="1" w:styleId="PredmetkomentraChar1323">
    <w:name w:val="Predmet komentára Char1323"/>
    <w:aliases w:val="Char6 Char Char1324,Predmet komentára Char Char Char1324,Comment Subject Char Char Char1324"/>
    <w:uiPriority w:val="99"/>
    <w:semiHidden/>
    <w:rsid w:val="00A809E7"/>
    <w:rPr>
      <w:rFonts w:ascii="Courier" w:hAnsi="Courier"/>
      <w:b/>
      <w:lang w:val="x-none" w:eastAsia="cs-CZ"/>
    </w:rPr>
  </w:style>
  <w:style w:type="character" w:customStyle="1" w:styleId="PredmetkomentraChar1322">
    <w:name w:val="Predmet komentára Char1322"/>
    <w:aliases w:val="Char6 Char Char1323,Predmet komentára Char Char Char1323,Comment Subject Char Char Char1323"/>
    <w:uiPriority w:val="99"/>
    <w:semiHidden/>
    <w:rsid w:val="00A809E7"/>
    <w:rPr>
      <w:rFonts w:ascii="Courier" w:hAnsi="Courier"/>
      <w:b/>
      <w:lang w:val="x-none" w:eastAsia="cs-CZ"/>
    </w:rPr>
  </w:style>
  <w:style w:type="character" w:customStyle="1" w:styleId="PredmetkomentraChar1321">
    <w:name w:val="Predmet komentára Char1321"/>
    <w:aliases w:val="Char6 Char Char1322,Predmet komentára Char Char Char1322,Comment Subject Char Char Char1322"/>
    <w:uiPriority w:val="99"/>
    <w:semiHidden/>
    <w:rsid w:val="00A809E7"/>
    <w:rPr>
      <w:rFonts w:ascii="Courier" w:hAnsi="Courier"/>
      <w:b/>
      <w:lang w:val="x-none" w:eastAsia="cs-CZ"/>
    </w:rPr>
  </w:style>
  <w:style w:type="character" w:customStyle="1" w:styleId="PredmetkomentraChar1320">
    <w:name w:val="Predmet komentára Char1320"/>
    <w:aliases w:val="Char6 Char Char1321,Predmet komentára Char Char Char1321,Comment Subject Char Char Char1321"/>
    <w:uiPriority w:val="99"/>
    <w:semiHidden/>
    <w:rsid w:val="00A809E7"/>
    <w:rPr>
      <w:rFonts w:ascii="Courier" w:hAnsi="Courier"/>
      <w:b/>
      <w:lang w:val="x-none" w:eastAsia="cs-CZ"/>
    </w:rPr>
  </w:style>
  <w:style w:type="character" w:customStyle="1" w:styleId="PredmetkomentraChar1319">
    <w:name w:val="Predmet komentára Char1319"/>
    <w:aliases w:val="Char6 Char Char1320,Predmet komentára Char Char Char1320,Comment Subject Char Char Char1320"/>
    <w:uiPriority w:val="99"/>
    <w:semiHidden/>
    <w:rsid w:val="00A809E7"/>
    <w:rPr>
      <w:rFonts w:ascii="Courier" w:hAnsi="Courier"/>
      <w:b/>
      <w:lang w:val="x-none" w:eastAsia="cs-CZ"/>
    </w:rPr>
  </w:style>
  <w:style w:type="character" w:customStyle="1" w:styleId="PredmetkomentraChar1318">
    <w:name w:val="Predmet komentára Char1318"/>
    <w:aliases w:val="Char6 Char Char1319,Predmet komentára Char Char Char1319,Comment Subject Char Char Char1319"/>
    <w:uiPriority w:val="99"/>
    <w:semiHidden/>
    <w:rsid w:val="00A809E7"/>
    <w:rPr>
      <w:rFonts w:ascii="Courier" w:hAnsi="Courier"/>
      <w:b/>
      <w:lang w:val="x-none" w:eastAsia="cs-CZ"/>
    </w:rPr>
  </w:style>
  <w:style w:type="character" w:customStyle="1" w:styleId="PredmetkomentraChar1317">
    <w:name w:val="Predmet komentára Char1317"/>
    <w:aliases w:val="Char6 Char Char1318,Predmet komentára Char Char Char1318,Comment Subject Char Char Char1318"/>
    <w:uiPriority w:val="99"/>
    <w:semiHidden/>
    <w:rsid w:val="00A809E7"/>
    <w:rPr>
      <w:rFonts w:ascii="Courier" w:hAnsi="Courier"/>
      <w:b/>
      <w:lang w:val="x-none" w:eastAsia="cs-CZ"/>
    </w:rPr>
  </w:style>
  <w:style w:type="character" w:customStyle="1" w:styleId="PredmetkomentraChar1316">
    <w:name w:val="Predmet komentára Char1316"/>
    <w:aliases w:val="Char6 Char Char1317,Predmet komentára Char Char Char1317,Comment Subject Char Char Char1317"/>
    <w:uiPriority w:val="99"/>
    <w:semiHidden/>
    <w:rsid w:val="00A809E7"/>
    <w:rPr>
      <w:rFonts w:ascii="Courier" w:hAnsi="Courier"/>
      <w:b/>
      <w:lang w:val="x-none" w:eastAsia="cs-CZ"/>
    </w:rPr>
  </w:style>
  <w:style w:type="character" w:customStyle="1" w:styleId="PredmetkomentraChar1315">
    <w:name w:val="Predmet komentára Char1315"/>
    <w:aliases w:val="Char6 Char Char1316,Predmet komentára Char Char Char1316,Comment Subject Char Char Char1316"/>
    <w:uiPriority w:val="99"/>
    <w:semiHidden/>
    <w:rsid w:val="00A809E7"/>
    <w:rPr>
      <w:rFonts w:ascii="Courier" w:hAnsi="Courier"/>
      <w:b/>
      <w:lang w:val="x-none" w:eastAsia="cs-CZ"/>
    </w:rPr>
  </w:style>
  <w:style w:type="character" w:customStyle="1" w:styleId="PredmetkomentraChar1314">
    <w:name w:val="Predmet komentára Char1314"/>
    <w:aliases w:val="Char6 Char Char1315,Predmet komentára Char Char Char1315,Comment Subject Char Char Char1315"/>
    <w:uiPriority w:val="99"/>
    <w:semiHidden/>
    <w:rsid w:val="00A809E7"/>
    <w:rPr>
      <w:rFonts w:ascii="Courier" w:hAnsi="Courier"/>
      <w:b/>
      <w:lang w:val="x-none" w:eastAsia="cs-CZ"/>
    </w:rPr>
  </w:style>
  <w:style w:type="character" w:customStyle="1" w:styleId="PredmetkomentraChar1313">
    <w:name w:val="Predmet komentára Char1313"/>
    <w:aliases w:val="Char6 Char Char1314,Predmet komentára Char Char Char1314,Comment Subject Char Char Char1314"/>
    <w:uiPriority w:val="99"/>
    <w:semiHidden/>
    <w:rsid w:val="00A809E7"/>
    <w:rPr>
      <w:rFonts w:ascii="Courier" w:hAnsi="Courier"/>
      <w:b/>
      <w:lang w:val="x-none" w:eastAsia="cs-CZ"/>
    </w:rPr>
  </w:style>
  <w:style w:type="character" w:customStyle="1" w:styleId="PredmetkomentraChar1312">
    <w:name w:val="Predmet komentára Char1312"/>
    <w:aliases w:val="Char6 Char Char1313,Predmet komentára Char Char Char1313,Comment Subject Char Char Char1313"/>
    <w:uiPriority w:val="99"/>
    <w:semiHidden/>
    <w:rsid w:val="00A809E7"/>
    <w:rPr>
      <w:rFonts w:ascii="Courier" w:hAnsi="Courier"/>
      <w:b/>
      <w:lang w:val="x-none" w:eastAsia="cs-CZ"/>
    </w:rPr>
  </w:style>
  <w:style w:type="character" w:customStyle="1" w:styleId="PredmetkomentraChar1311">
    <w:name w:val="Predmet komentára Char1311"/>
    <w:aliases w:val="Char6 Char Char1312,Predmet komentára Char Char Char1312,Comment Subject Char Char Char1312"/>
    <w:uiPriority w:val="99"/>
    <w:semiHidden/>
    <w:rsid w:val="00A809E7"/>
    <w:rPr>
      <w:rFonts w:ascii="Courier" w:hAnsi="Courier"/>
      <w:b/>
      <w:lang w:val="x-none" w:eastAsia="cs-CZ"/>
    </w:rPr>
  </w:style>
  <w:style w:type="character" w:customStyle="1" w:styleId="PredmetkomentraChar1310">
    <w:name w:val="Predmet komentára Char1310"/>
    <w:aliases w:val="Char6 Char Char1311,Predmet komentára Char Char Char1311,Comment Subject Char Char Char1311"/>
    <w:uiPriority w:val="99"/>
    <w:semiHidden/>
    <w:rsid w:val="00A809E7"/>
    <w:rPr>
      <w:rFonts w:ascii="Courier" w:hAnsi="Courier"/>
      <w:b/>
      <w:lang w:val="x-none" w:eastAsia="cs-CZ"/>
    </w:rPr>
  </w:style>
  <w:style w:type="character" w:customStyle="1" w:styleId="PredmetkomentraChar1309">
    <w:name w:val="Predmet komentára Char1309"/>
    <w:aliases w:val="Char6 Char Char1310,Predmet komentára Char Char Char1310,Comment Subject Char Char Char1310"/>
    <w:uiPriority w:val="99"/>
    <w:semiHidden/>
    <w:rsid w:val="00A809E7"/>
    <w:rPr>
      <w:rFonts w:ascii="Courier" w:hAnsi="Courier"/>
      <w:b/>
      <w:lang w:val="x-none" w:eastAsia="cs-CZ"/>
    </w:rPr>
  </w:style>
  <w:style w:type="character" w:customStyle="1" w:styleId="PredmetkomentraChar1308">
    <w:name w:val="Predmet komentára Char1308"/>
    <w:aliases w:val="Char6 Char Char1309,Predmet komentára Char Char Char1309,Comment Subject Char Char Char1309"/>
    <w:uiPriority w:val="99"/>
    <w:semiHidden/>
    <w:rsid w:val="00A809E7"/>
    <w:rPr>
      <w:rFonts w:ascii="Courier" w:hAnsi="Courier"/>
      <w:b/>
      <w:lang w:val="x-none" w:eastAsia="cs-CZ"/>
    </w:rPr>
  </w:style>
  <w:style w:type="character" w:customStyle="1" w:styleId="PredmetkomentraChar1307">
    <w:name w:val="Predmet komentára Char1307"/>
    <w:aliases w:val="Char6 Char Char1308,Predmet komentára Char Char Char1308,Comment Subject Char Char Char1308"/>
    <w:uiPriority w:val="99"/>
    <w:semiHidden/>
    <w:rsid w:val="00A809E7"/>
    <w:rPr>
      <w:rFonts w:ascii="Courier" w:hAnsi="Courier"/>
      <w:b/>
      <w:lang w:val="x-none" w:eastAsia="cs-CZ"/>
    </w:rPr>
  </w:style>
  <w:style w:type="character" w:customStyle="1" w:styleId="PredmetkomentraChar1306">
    <w:name w:val="Predmet komentára Char1306"/>
    <w:aliases w:val="Char6 Char Char1307,Predmet komentára Char Char Char1307,Comment Subject Char Char Char1307"/>
    <w:uiPriority w:val="99"/>
    <w:semiHidden/>
    <w:rsid w:val="00A809E7"/>
    <w:rPr>
      <w:rFonts w:ascii="Courier" w:hAnsi="Courier"/>
      <w:b/>
      <w:lang w:val="x-none" w:eastAsia="cs-CZ"/>
    </w:rPr>
  </w:style>
  <w:style w:type="character" w:customStyle="1" w:styleId="PredmetkomentraChar1305">
    <w:name w:val="Predmet komentára Char1305"/>
    <w:aliases w:val="Char6 Char Char1306,Predmet komentára Char Char Char1306,Comment Subject Char Char Char1306"/>
    <w:uiPriority w:val="99"/>
    <w:semiHidden/>
    <w:rsid w:val="00A809E7"/>
    <w:rPr>
      <w:rFonts w:ascii="Courier" w:hAnsi="Courier"/>
      <w:b/>
      <w:lang w:val="x-none" w:eastAsia="cs-CZ"/>
    </w:rPr>
  </w:style>
  <w:style w:type="character" w:customStyle="1" w:styleId="PredmetkomentraChar1304">
    <w:name w:val="Predmet komentára Char1304"/>
    <w:aliases w:val="Char6 Char Char1305,Predmet komentára Char Char Char1305,Comment Subject Char Char Char1305"/>
    <w:uiPriority w:val="99"/>
    <w:semiHidden/>
    <w:rsid w:val="00A809E7"/>
    <w:rPr>
      <w:rFonts w:ascii="Courier" w:hAnsi="Courier"/>
      <w:b/>
      <w:lang w:val="x-none" w:eastAsia="cs-CZ"/>
    </w:rPr>
  </w:style>
  <w:style w:type="character" w:customStyle="1" w:styleId="PredmetkomentraChar1303">
    <w:name w:val="Predmet komentára Char1303"/>
    <w:aliases w:val="Char6 Char Char1304,Predmet komentára Char Char Char1304,Comment Subject Char Char Char1304"/>
    <w:uiPriority w:val="99"/>
    <w:semiHidden/>
    <w:rsid w:val="00A809E7"/>
    <w:rPr>
      <w:rFonts w:ascii="Courier" w:hAnsi="Courier"/>
      <w:b/>
      <w:lang w:val="x-none" w:eastAsia="cs-CZ"/>
    </w:rPr>
  </w:style>
  <w:style w:type="character" w:customStyle="1" w:styleId="PredmetkomentraChar1302">
    <w:name w:val="Predmet komentára Char1302"/>
    <w:aliases w:val="Char6 Char Char1303,Predmet komentára Char Char Char1303,Comment Subject Char Char Char1303"/>
    <w:uiPriority w:val="99"/>
    <w:semiHidden/>
    <w:rsid w:val="00A809E7"/>
    <w:rPr>
      <w:rFonts w:ascii="Courier" w:hAnsi="Courier"/>
      <w:b/>
      <w:lang w:val="x-none" w:eastAsia="cs-CZ"/>
    </w:rPr>
  </w:style>
  <w:style w:type="character" w:customStyle="1" w:styleId="PredmetkomentraChar1301">
    <w:name w:val="Predmet komentára Char1301"/>
    <w:aliases w:val="Char6 Char Char1302,Predmet komentára Char Char Char1302,Comment Subject Char Char Char1302"/>
    <w:uiPriority w:val="99"/>
    <w:semiHidden/>
    <w:rsid w:val="00A809E7"/>
    <w:rPr>
      <w:rFonts w:ascii="Courier" w:hAnsi="Courier"/>
      <w:b/>
      <w:lang w:val="x-none" w:eastAsia="cs-CZ"/>
    </w:rPr>
  </w:style>
  <w:style w:type="character" w:customStyle="1" w:styleId="PredmetkomentraChar1300">
    <w:name w:val="Predmet komentára Char1300"/>
    <w:aliases w:val="Char6 Char Char1301,Predmet komentára Char Char Char1301,Comment Subject Char Char Char1301"/>
    <w:uiPriority w:val="99"/>
    <w:semiHidden/>
    <w:rsid w:val="00A809E7"/>
    <w:rPr>
      <w:rFonts w:ascii="Courier" w:hAnsi="Courier"/>
      <w:b/>
      <w:lang w:val="x-none" w:eastAsia="cs-CZ"/>
    </w:rPr>
  </w:style>
  <w:style w:type="character" w:customStyle="1" w:styleId="PredmetkomentraChar1299">
    <w:name w:val="Predmet komentára Char1299"/>
    <w:aliases w:val="Char6 Char Char1300,Predmet komentára Char Char Char1300,Comment Subject Char Char Char1300"/>
    <w:uiPriority w:val="99"/>
    <w:semiHidden/>
    <w:rsid w:val="00A809E7"/>
    <w:rPr>
      <w:rFonts w:ascii="Courier" w:hAnsi="Courier"/>
      <w:b/>
      <w:lang w:val="x-none" w:eastAsia="cs-CZ"/>
    </w:rPr>
  </w:style>
  <w:style w:type="character" w:customStyle="1" w:styleId="PredmetkomentraChar1298">
    <w:name w:val="Predmet komentára Char1298"/>
    <w:aliases w:val="Char6 Char Char1299,Predmet komentára Char Char Char1299,Comment Subject Char Char Char1299"/>
    <w:uiPriority w:val="99"/>
    <w:semiHidden/>
    <w:rsid w:val="00A809E7"/>
    <w:rPr>
      <w:rFonts w:ascii="Courier" w:hAnsi="Courier"/>
      <w:b/>
      <w:lang w:val="x-none" w:eastAsia="cs-CZ"/>
    </w:rPr>
  </w:style>
  <w:style w:type="character" w:customStyle="1" w:styleId="PredmetkomentraChar1297">
    <w:name w:val="Predmet komentára Char1297"/>
    <w:aliases w:val="Char6 Char Char1298,Predmet komentára Char Char Char1298,Comment Subject Char Char Char1298"/>
    <w:uiPriority w:val="99"/>
    <w:semiHidden/>
    <w:rsid w:val="00A809E7"/>
    <w:rPr>
      <w:rFonts w:ascii="Courier" w:hAnsi="Courier"/>
      <w:b/>
      <w:lang w:val="x-none" w:eastAsia="cs-CZ"/>
    </w:rPr>
  </w:style>
  <w:style w:type="character" w:customStyle="1" w:styleId="PredmetkomentraChar1296">
    <w:name w:val="Predmet komentára Char1296"/>
    <w:aliases w:val="Char6 Char Char1297,Predmet komentára Char Char Char1297,Comment Subject Char Char Char1297"/>
    <w:uiPriority w:val="99"/>
    <w:semiHidden/>
    <w:rsid w:val="00A809E7"/>
    <w:rPr>
      <w:rFonts w:ascii="Courier" w:hAnsi="Courier"/>
      <w:b/>
      <w:lang w:val="x-none" w:eastAsia="cs-CZ"/>
    </w:rPr>
  </w:style>
  <w:style w:type="character" w:customStyle="1" w:styleId="PredmetkomentraChar1295">
    <w:name w:val="Predmet komentára Char1295"/>
    <w:aliases w:val="Char6 Char Char1296,Predmet komentára Char Char Char1296,Comment Subject Char Char Char1296"/>
    <w:uiPriority w:val="99"/>
    <w:semiHidden/>
    <w:rsid w:val="00A809E7"/>
    <w:rPr>
      <w:rFonts w:ascii="Courier" w:hAnsi="Courier"/>
      <w:b/>
      <w:lang w:val="x-none" w:eastAsia="cs-CZ"/>
    </w:rPr>
  </w:style>
  <w:style w:type="character" w:customStyle="1" w:styleId="PredmetkomentraChar1294">
    <w:name w:val="Predmet komentára Char1294"/>
    <w:aliases w:val="Char6 Char Char1295,Predmet komentára Char Char Char1295,Comment Subject Char Char Char1295"/>
    <w:uiPriority w:val="99"/>
    <w:semiHidden/>
    <w:rsid w:val="00A809E7"/>
    <w:rPr>
      <w:rFonts w:ascii="Courier" w:hAnsi="Courier"/>
      <w:b/>
      <w:lang w:val="x-none" w:eastAsia="cs-CZ"/>
    </w:rPr>
  </w:style>
  <w:style w:type="character" w:customStyle="1" w:styleId="PredmetkomentraChar1293">
    <w:name w:val="Predmet komentára Char1293"/>
    <w:aliases w:val="Char6 Char Char1294,Predmet komentára Char Char Char1294,Comment Subject Char Char Char1294"/>
    <w:uiPriority w:val="99"/>
    <w:semiHidden/>
    <w:rsid w:val="00A809E7"/>
    <w:rPr>
      <w:rFonts w:ascii="Courier" w:hAnsi="Courier"/>
      <w:b/>
      <w:lang w:val="x-none" w:eastAsia="cs-CZ"/>
    </w:rPr>
  </w:style>
  <w:style w:type="character" w:customStyle="1" w:styleId="PredmetkomentraChar1292">
    <w:name w:val="Predmet komentára Char1292"/>
    <w:aliases w:val="Char6 Char Char1293,Predmet komentára Char Char Char1293,Comment Subject Char Char Char1293"/>
    <w:uiPriority w:val="99"/>
    <w:semiHidden/>
    <w:rsid w:val="00A809E7"/>
    <w:rPr>
      <w:rFonts w:ascii="Courier" w:hAnsi="Courier"/>
      <w:b/>
      <w:lang w:val="x-none" w:eastAsia="cs-CZ"/>
    </w:rPr>
  </w:style>
  <w:style w:type="character" w:customStyle="1" w:styleId="PredmetkomentraChar1291">
    <w:name w:val="Predmet komentára Char1291"/>
    <w:aliases w:val="Char6 Char Char1292,Predmet komentára Char Char Char1292,Comment Subject Char Char Char1292"/>
    <w:uiPriority w:val="99"/>
    <w:semiHidden/>
    <w:rsid w:val="00A809E7"/>
    <w:rPr>
      <w:rFonts w:ascii="Courier" w:hAnsi="Courier"/>
      <w:b/>
      <w:lang w:val="x-none" w:eastAsia="cs-CZ"/>
    </w:rPr>
  </w:style>
  <w:style w:type="character" w:customStyle="1" w:styleId="PredmetkomentraChar1290">
    <w:name w:val="Predmet komentára Char1290"/>
    <w:aliases w:val="Char6 Char Char1291,Predmet komentára Char Char Char1291,Comment Subject Char Char Char1291"/>
    <w:uiPriority w:val="99"/>
    <w:semiHidden/>
    <w:rsid w:val="00A809E7"/>
    <w:rPr>
      <w:rFonts w:ascii="Courier" w:hAnsi="Courier"/>
      <w:b/>
      <w:lang w:val="x-none" w:eastAsia="cs-CZ"/>
    </w:rPr>
  </w:style>
  <w:style w:type="character" w:customStyle="1" w:styleId="PredmetkomentraChar1289">
    <w:name w:val="Predmet komentára Char1289"/>
    <w:aliases w:val="Char6 Char Char1290,Predmet komentára Char Char Char1290,Comment Subject Char Char Char1290"/>
    <w:uiPriority w:val="99"/>
    <w:semiHidden/>
    <w:rsid w:val="00A809E7"/>
    <w:rPr>
      <w:rFonts w:ascii="Courier" w:hAnsi="Courier"/>
      <w:b/>
      <w:lang w:val="x-none" w:eastAsia="cs-CZ"/>
    </w:rPr>
  </w:style>
  <w:style w:type="character" w:customStyle="1" w:styleId="PredmetkomentraChar1288">
    <w:name w:val="Predmet komentára Char1288"/>
    <w:aliases w:val="Char6 Char Char1289,Predmet komentára Char Char Char1289,Comment Subject Char Char Char1289"/>
    <w:uiPriority w:val="99"/>
    <w:semiHidden/>
    <w:rsid w:val="00A809E7"/>
    <w:rPr>
      <w:rFonts w:ascii="Courier" w:hAnsi="Courier"/>
      <w:b/>
      <w:lang w:val="x-none" w:eastAsia="cs-CZ"/>
    </w:rPr>
  </w:style>
  <w:style w:type="character" w:customStyle="1" w:styleId="PredmetkomentraChar1287">
    <w:name w:val="Predmet komentára Char1287"/>
    <w:aliases w:val="Char6 Char Char1288,Predmet komentára Char Char Char1288,Comment Subject Char Char Char1288"/>
    <w:uiPriority w:val="99"/>
    <w:semiHidden/>
    <w:rsid w:val="00A809E7"/>
    <w:rPr>
      <w:rFonts w:ascii="Courier" w:hAnsi="Courier"/>
      <w:b/>
      <w:lang w:val="x-none" w:eastAsia="cs-CZ"/>
    </w:rPr>
  </w:style>
  <w:style w:type="character" w:customStyle="1" w:styleId="PredmetkomentraChar1286">
    <w:name w:val="Predmet komentára Char1286"/>
    <w:aliases w:val="Char6 Char Char1287,Predmet komentára Char Char Char1287,Comment Subject Char Char Char1287"/>
    <w:uiPriority w:val="99"/>
    <w:semiHidden/>
    <w:rsid w:val="00A809E7"/>
    <w:rPr>
      <w:rFonts w:ascii="Courier" w:hAnsi="Courier"/>
      <w:b/>
      <w:lang w:val="x-none" w:eastAsia="cs-CZ"/>
    </w:rPr>
  </w:style>
  <w:style w:type="character" w:customStyle="1" w:styleId="PredmetkomentraChar1285">
    <w:name w:val="Predmet komentára Char1285"/>
    <w:aliases w:val="Char6 Char Char1286,Predmet komentára Char Char Char1286,Comment Subject Char Char Char1286"/>
    <w:uiPriority w:val="99"/>
    <w:semiHidden/>
    <w:rsid w:val="00A809E7"/>
    <w:rPr>
      <w:rFonts w:ascii="Courier" w:hAnsi="Courier"/>
      <w:b/>
      <w:lang w:val="x-none" w:eastAsia="cs-CZ"/>
    </w:rPr>
  </w:style>
  <w:style w:type="character" w:customStyle="1" w:styleId="PredmetkomentraChar1284">
    <w:name w:val="Predmet komentára Char1284"/>
    <w:aliases w:val="Char6 Char Char1285,Predmet komentára Char Char Char1285,Comment Subject Char Char Char1285"/>
    <w:uiPriority w:val="99"/>
    <w:semiHidden/>
    <w:rsid w:val="00A809E7"/>
    <w:rPr>
      <w:rFonts w:ascii="Courier" w:hAnsi="Courier"/>
      <w:b/>
      <w:lang w:val="x-none" w:eastAsia="cs-CZ"/>
    </w:rPr>
  </w:style>
  <w:style w:type="character" w:customStyle="1" w:styleId="PredmetkomentraChar1283">
    <w:name w:val="Predmet komentára Char1283"/>
    <w:aliases w:val="Char6 Char Char1284,Predmet komentára Char Char Char1284,Comment Subject Char Char Char1284"/>
    <w:uiPriority w:val="99"/>
    <w:semiHidden/>
    <w:rsid w:val="00A809E7"/>
    <w:rPr>
      <w:rFonts w:ascii="Courier" w:hAnsi="Courier"/>
      <w:b/>
      <w:lang w:val="x-none" w:eastAsia="cs-CZ"/>
    </w:rPr>
  </w:style>
  <w:style w:type="character" w:customStyle="1" w:styleId="PredmetkomentraChar1282">
    <w:name w:val="Predmet komentára Char1282"/>
    <w:aliases w:val="Char6 Char Char1283,Predmet komentára Char Char Char1283,Comment Subject Char Char Char1283"/>
    <w:uiPriority w:val="99"/>
    <w:semiHidden/>
    <w:rsid w:val="00A809E7"/>
    <w:rPr>
      <w:rFonts w:ascii="Courier" w:hAnsi="Courier"/>
      <w:b/>
      <w:lang w:val="x-none" w:eastAsia="cs-CZ"/>
    </w:rPr>
  </w:style>
  <w:style w:type="character" w:customStyle="1" w:styleId="PredmetkomentraChar1281">
    <w:name w:val="Predmet komentára Char1281"/>
    <w:aliases w:val="Char6 Char Char1282,Predmet komentára Char Char Char1282,Comment Subject Char Char Char1282"/>
    <w:uiPriority w:val="99"/>
    <w:semiHidden/>
    <w:rsid w:val="00A809E7"/>
    <w:rPr>
      <w:rFonts w:ascii="Courier" w:hAnsi="Courier"/>
      <w:b/>
      <w:lang w:val="x-none" w:eastAsia="cs-CZ"/>
    </w:rPr>
  </w:style>
  <w:style w:type="character" w:customStyle="1" w:styleId="PredmetkomentraChar1280">
    <w:name w:val="Predmet komentára Char1280"/>
    <w:aliases w:val="Char6 Char Char1281,Predmet komentára Char Char Char1281,Comment Subject Char Char Char1281"/>
    <w:uiPriority w:val="99"/>
    <w:semiHidden/>
    <w:rsid w:val="00A809E7"/>
    <w:rPr>
      <w:rFonts w:ascii="Courier" w:hAnsi="Courier"/>
      <w:b/>
      <w:lang w:val="x-none" w:eastAsia="cs-CZ"/>
    </w:rPr>
  </w:style>
  <w:style w:type="character" w:customStyle="1" w:styleId="PredmetkomentraChar1279">
    <w:name w:val="Predmet komentára Char1279"/>
    <w:aliases w:val="Char6 Char Char1280,Predmet komentára Char Char Char1280,Comment Subject Char Char Char1280"/>
    <w:uiPriority w:val="99"/>
    <w:semiHidden/>
    <w:rsid w:val="00A809E7"/>
    <w:rPr>
      <w:rFonts w:ascii="Courier" w:hAnsi="Courier"/>
      <w:b/>
      <w:lang w:val="x-none" w:eastAsia="cs-CZ"/>
    </w:rPr>
  </w:style>
  <w:style w:type="character" w:customStyle="1" w:styleId="PredmetkomentraChar1278">
    <w:name w:val="Predmet komentára Char1278"/>
    <w:aliases w:val="Char6 Char Char1279,Predmet komentára Char Char Char1279,Comment Subject Char Char Char1279"/>
    <w:uiPriority w:val="99"/>
    <w:semiHidden/>
    <w:rsid w:val="00A809E7"/>
    <w:rPr>
      <w:rFonts w:ascii="Courier" w:hAnsi="Courier"/>
      <w:b/>
      <w:lang w:val="x-none" w:eastAsia="cs-CZ"/>
    </w:rPr>
  </w:style>
  <w:style w:type="character" w:customStyle="1" w:styleId="PredmetkomentraChar1277">
    <w:name w:val="Predmet komentára Char1277"/>
    <w:aliases w:val="Char6 Char Char1278,Predmet komentára Char Char Char1278,Comment Subject Char Char Char1278"/>
    <w:uiPriority w:val="99"/>
    <w:semiHidden/>
    <w:rsid w:val="00A809E7"/>
    <w:rPr>
      <w:rFonts w:ascii="Courier" w:hAnsi="Courier"/>
      <w:b/>
      <w:lang w:val="x-none" w:eastAsia="cs-CZ"/>
    </w:rPr>
  </w:style>
  <w:style w:type="character" w:customStyle="1" w:styleId="PredmetkomentraChar1276">
    <w:name w:val="Predmet komentára Char1276"/>
    <w:aliases w:val="Char6 Char Char1277,Predmet komentára Char Char Char1277,Comment Subject Char Char Char1277"/>
    <w:uiPriority w:val="99"/>
    <w:semiHidden/>
    <w:rsid w:val="00A809E7"/>
    <w:rPr>
      <w:rFonts w:ascii="Courier" w:hAnsi="Courier"/>
      <w:b/>
      <w:lang w:val="x-none" w:eastAsia="cs-CZ"/>
    </w:rPr>
  </w:style>
  <w:style w:type="character" w:customStyle="1" w:styleId="PredmetkomentraChar1275">
    <w:name w:val="Predmet komentára Char1275"/>
    <w:aliases w:val="Char6 Char Char1276,Predmet komentára Char Char Char1276,Comment Subject Char Char Char1276"/>
    <w:uiPriority w:val="99"/>
    <w:semiHidden/>
    <w:rsid w:val="00A809E7"/>
    <w:rPr>
      <w:rFonts w:ascii="Courier" w:hAnsi="Courier"/>
      <w:b/>
      <w:lang w:val="x-none" w:eastAsia="cs-CZ"/>
    </w:rPr>
  </w:style>
  <w:style w:type="character" w:customStyle="1" w:styleId="PredmetkomentraChar1274">
    <w:name w:val="Predmet komentára Char1274"/>
    <w:aliases w:val="Char6 Char Char1275,Predmet komentára Char Char Char1275,Comment Subject Char Char Char1275"/>
    <w:uiPriority w:val="99"/>
    <w:semiHidden/>
    <w:rsid w:val="00A809E7"/>
    <w:rPr>
      <w:rFonts w:ascii="Courier" w:hAnsi="Courier"/>
      <w:b/>
      <w:lang w:val="x-none" w:eastAsia="cs-CZ"/>
    </w:rPr>
  </w:style>
  <w:style w:type="character" w:customStyle="1" w:styleId="PredmetkomentraChar1273">
    <w:name w:val="Predmet komentára Char1273"/>
    <w:aliases w:val="Char6 Char Char1274,Predmet komentára Char Char Char1274,Comment Subject Char Char Char1274"/>
    <w:uiPriority w:val="99"/>
    <w:semiHidden/>
    <w:rsid w:val="00A809E7"/>
    <w:rPr>
      <w:rFonts w:ascii="Courier" w:hAnsi="Courier"/>
      <w:b/>
      <w:lang w:val="x-none" w:eastAsia="cs-CZ"/>
    </w:rPr>
  </w:style>
  <w:style w:type="character" w:customStyle="1" w:styleId="PredmetkomentraChar1272">
    <w:name w:val="Predmet komentára Char1272"/>
    <w:aliases w:val="Char6 Char Char1273,Predmet komentára Char Char Char1273,Comment Subject Char Char Char1273"/>
    <w:uiPriority w:val="99"/>
    <w:semiHidden/>
    <w:rsid w:val="00A809E7"/>
    <w:rPr>
      <w:rFonts w:ascii="Courier" w:hAnsi="Courier"/>
      <w:b/>
      <w:lang w:val="x-none" w:eastAsia="cs-CZ"/>
    </w:rPr>
  </w:style>
  <w:style w:type="character" w:customStyle="1" w:styleId="PredmetkomentraChar1271">
    <w:name w:val="Predmet komentára Char1271"/>
    <w:aliases w:val="Char6 Char Char1272,Predmet komentára Char Char Char1272,Comment Subject Char Char Char1272"/>
    <w:uiPriority w:val="99"/>
    <w:semiHidden/>
    <w:rsid w:val="00A809E7"/>
    <w:rPr>
      <w:rFonts w:ascii="Courier" w:hAnsi="Courier"/>
      <w:b/>
      <w:lang w:val="x-none" w:eastAsia="cs-CZ"/>
    </w:rPr>
  </w:style>
  <w:style w:type="character" w:customStyle="1" w:styleId="PredmetkomentraChar1270">
    <w:name w:val="Predmet komentára Char1270"/>
    <w:aliases w:val="Char6 Char Char1271,Predmet komentára Char Char Char1271,Comment Subject Char Char Char1271"/>
    <w:uiPriority w:val="99"/>
    <w:semiHidden/>
    <w:rsid w:val="00A809E7"/>
    <w:rPr>
      <w:rFonts w:ascii="Courier" w:hAnsi="Courier"/>
      <w:b/>
      <w:lang w:val="x-none" w:eastAsia="cs-CZ"/>
    </w:rPr>
  </w:style>
  <w:style w:type="character" w:customStyle="1" w:styleId="PredmetkomentraChar1269">
    <w:name w:val="Predmet komentára Char1269"/>
    <w:aliases w:val="Char6 Char Char1270,Predmet komentára Char Char Char1270,Comment Subject Char Char Char1270"/>
    <w:uiPriority w:val="99"/>
    <w:semiHidden/>
    <w:rsid w:val="00A809E7"/>
    <w:rPr>
      <w:rFonts w:ascii="Courier" w:hAnsi="Courier"/>
      <w:b/>
      <w:lang w:val="x-none" w:eastAsia="cs-CZ"/>
    </w:rPr>
  </w:style>
  <w:style w:type="character" w:customStyle="1" w:styleId="PredmetkomentraChar1268">
    <w:name w:val="Predmet komentára Char1268"/>
    <w:aliases w:val="Char6 Char Char1269,Predmet komentára Char Char Char1269,Comment Subject Char Char Char1269"/>
    <w:uiPriority w:val="99"/>
    <w:semiHidden/>
    <w:rsid w:val="00A809E7"/>
    <w:rPr>
      <w:rFonts w:ascii="Courier" w:hAnsi="Courier"/>
      <w:b/>
      <w:lang w:val="x-none" w:eastAsia="cs-CZ"/>
    </w:rPr>
  </w:style>
  <w:style w:type="character" w:customStyle="1" w:styleId="PredmetkomentraChar1267">
    <w:name w:val="Predmet komentára Char1267"/>
    <w:aliases w:val="Char6 Char Char1268,Predmet komentára Char Char Char1268,Comment Subject Char Char Char1268"/>
    <w:uiPriority w:val="99"/>
    <w:semiHidden/>
    <w:rsid w:val="00A809E7"/>
    <w:rPr>
      <w:rFonts w:ascii="Courier" w:hAnsi="Courier"/>
      <w:b/>
      <w:lang w:val="x-none" w:eastAsia="cs-CZ"/>
    </w:rPr>
  </w:style>
  <w:style w:type="character" w:customStyle="1" w:styleId="PredmetkomentraChar1266">
    <w:name w:val="Predmet komentára Char1266"/>
    <w:aliases w:val="Char6 Char Char1267,Predmet komentára Char Char Char1267,Comment Subject Char Char Char1267"/>
    <w:uiPriority w:val="99"/>
    <w:semiHidden/>
    <w:rsid w:val="00A809E7"/>
    <w:rPr>
      <w:rFonts w:ascii="Courier" w:hAnsi="Courier"/>
      <w:b/>
      <w:lang w:val="x-none" w:eastAsia="cs-CZ"/>
    </w:rPr>
  </w:style>
  <w:style w:type="character" w:customStyle="1" w:styleId="PredmetkomentraChar1265">
    <w:name w:val="Predmet komentára Char1265"/>
    <w:aliases w:val="Char6 Char Char1266,Predmet komentára Char Char Char1266,Comment Subject Char Char Char1266"/>
    <w:uiPriority w:val="99"/>
    <w:semiHidden/>
    <w:rsid w:val="00A809E7"/>
    <w:rPr>
      <w:rFonts w:ascii="Courier" w:hAnsi="Courier"/>
      <w:b/>
      <w:lang w:val="x-none" w:eastAsia="cs-CZ"/>
    </w:rPr>
  </w:style>
  <w:style w:type="character" w:customStyle="1" w:styleId="PredmetkomentraChar1264">
    <w:name w:val="Predmet komentára Char1264"/>
    <w:aliases w:val="Char6 Char Char1265,Predmet komentára Char Char Char1265,Comment Subject Char Char Char1265"/>
    <w:uiPriority w:val="99"/>
    <w:semiHidden/>
    <w:rsid w:val="00A809E7"/>
    <w:rPr>
      <w:rFonts w:ascii="Courier" w:hAnsi="Courier"/>
      <w:b/>
      <w:lang w:val="x-none" w:eastAsia="cs-CZ"/>
    </w:rPr>
  </w:style>
  <w:style w:type="character" w:customStyle="1" w:styleId="PredmetkomentraChar1263">
    <w:name w:val="Predmet komentára Char1263"/>
    <w:aliases w:val="Char6 Char Char1264,Predmet komentára Char Char Char1264,Comment Subject Char Char Char1264"/>
    <w:uiPriority w:val="99"/>
    <w:semiHidden/>
    <w:rsid w:val="00A809E7"/>
    <w:rPr>
      <w:rFonts w:ascii="Courier" w:hAnsi="Courier"/>
      <w:b/>
      <w:lang w:val="x-none" w:eastAsia="cs-CZ"/>
    </w:rPr>
  </w:style>
  <w:style w:type="character" w:customStyle="1" w:styleId="PredmetkomentraChar1262">
    <w:name w:val="Predmet komentára Char1262"/>
    <w:aliases w:val="Char6 Char Char1263,Predmet komentára Char Char Char1263,Comment Subject Char Char Char1263"/>
    <w:uiPriority w:val="99"/>
    <w:semiHidden/>
    <w:rsid w:val="00A809E7"/>
    <w:rPr>
      <w:rFonts w:ascii="Courier" w:hAnsi="Courier"/>
      <w:b/>
      <w:lang w:val="x-none" w:eastAsia="cs-CZ"/>
    </w:rPr>
  </w:style>
  <w:style w:type="character" w:customStyle="1" w:styleId="PredmetkomentraChar1261">
    <w:name w:val="Predmet komentára Char1261"/>
    <w:aliases w:val="Char6 Char Char1262,Predmet komentára Char Char Char1262,Comment Subject Char Char Char1262"/>
    <w:uiPriority w:val="99"/>
    <w:semiHidden/>
    <w:rsid w:val="00A809E7"/>
    <w:rPr>
      <w:rFonts w:ascii="Courier" w:hAnsi="Courier"/>
      <w:b/>
      <w:lang w:val="x-none" w:eastAsia="cs-CZ"/>
    </w:rPr>
  </w:style>
  <w:style w:type="character" w:customStyle="1" w:styleId="PredmetkomentraChar1260">
    <w:name w:val="Predmet komentára Char1260"/>
    <w:aliases w:val="Char6 Char Char1261,Predmet komentára Char Char Char1261,Comment Subject Char Char Char1261"/>
    <w:uiPriority w:val="99"/>
    <w:semiHidden/>
    <w:rsid w:val="00A809E7"/>
    <w:rPr>
      <w:rFonts w:ascii="Courier" w:hAnsi="Courier"/>
      <w:b/>
      <w:lang w:val="x-none" w:eastAsia="cs-CZ"/>
    </w:rPr>
  </w:style>
  <w:style w:type="character" w:customStyle="1" w:styleId="PredmetkomentraChar1259">
    <w:name w:val="Predmet komentára Char1259"/>
    <w:aliases w:val="Char6 Char Char1260,Predmet komentára Char Char Char1260,Comment Subject Char Char Char1260"/>
    <w:uiPriority w:val="99"/>
    <w:semiHidden/>
    <w:rsid w:val="00A809E7"/>
    <w:rPr>
      <w:rFonts w:ascii="Courier" w:hAnsi="Courier"/>
      <w:b/>
      <w:lang w:val="x-none" w:eastAsia="cs-CZ"/>
    </w:rPr>
  </w:style>
  <w:style w:type="character" w:customStyle="1" w:styleId="PredmetkomentraChar1258">
    <w:name w:val="Predmet komentára Char1258"/>
    <w:aliases w:val="Char6 Char Char1259,Predmet komentára Char Char Char1259,Comment Subject Char Char Char1259"/>
    <w:uiPriority w:val="99"/>
    <w:semiHidden/>
    <w:rsid w:val="00A809E7"/>
    <w:rPr>
      <w:rFonts w:ascii="Courier" w:hAnsi="Courier"/>
      <w:b/>
      <w:lang w:val="x-none" w:eastAsia="cs-CZ"/>
    </w:rPr>
  </w:style>
  <w:style w:type="character" w:customStyle="1" w:styleId="PredmetkomentraChar1257">
    <w:name w:val="Predmet komentára Char1257"/>
    <w:aliases w:val="Char6 Char Char1258,Predmet komentára Char Char Char1258,Comment Subject Char Char Char1258"/>
    <w:uiPriority w:val="99"/>
    <w:semiHidden/>
    <w:rsid w:val="00A809E7"/>
    <w:rPr>
      <w:rFonts w:ascii="Courier" w:hAnsi="Courier"/>
      <w:b/>
      <w:lang w:val="x-none" w:eastAsia="cs-CZ"/>
    </w:rPr>
  </w:style>
  <w:style w:type="character" w:customStyle="1" w:styleId="PredmetkomentraChar1256">
    <w:name w:val="Predmet komentára Char1256"/>
    <w:aliases w:val="Char6 Char Char1257,Predmet komentára Char Char Char1257,Comment Subject Char Char Char1257"/>
    <w:uiPriority w:val="99"/>
    <w:semiHidden/>
    <w:rsid w:val="00A809E7"/>
    <w:rPr>
      <w:rFonts w:ascii="Courier" w:hAnsi="Courier"/>
      <w:b/>
      <w:lang w:val="x-none" w:eastAsia="cs-CZ"/>
    </w:rPr>
  </w:style>
  <w:style w:type="character" w:customStyle="1" w:styleId="PredmetkomentraChar1255">
    <w:name w:val="Predmet komentára Char1255"/>
    <w:aliases w:val="Char6 Char Char1256,Predmet komentára Char Char Char1256,Comment Subject Char Char Char1256"/>
    <w:uiPriority w:val="99"/>
    <w:semiHidden/>
    <w:rsid w:val="00A809E7"/>
    <w:rPr>
      <w:rFonts w:ascii="Courier" w:hAnsi="Courier"/>
      <w:b/>
      <w:lang w:val="x-none" w:eastAsia="cs-CZ"/>
    </w:rPr>
  </w:style>
  <w:style w:type="character" w:customStyle="1" w:styleId="PredmetkomentraChar1254">
    <w:name w:val="Predmet komentára Char1254"/>
    <w:aliases w:val="Char6 Char Char1255,Predmet komentára Char Char Char1255,Comment Subject Char Char Char1255"/>
    <w:uiPriority w:val="99"/>
    <w:semiHidden/>
    <w:rsid w:val="00A809E7"/>
    <w:rPr>
      <w:rFonts w:ascii="Courier" w:hAnsi="Courier"/>
      <w:b/>
      <w:lang w:val="x-none" w:eastAsia="cs-CZ"/>
    </w:rPr>
  </w:style>
  <w:style w:type="character" w:customStyle="1" w:styleId="PredmetkomentraChar1253">
    <w:name w:val="Predmet komentára Char1253"/>
    <w:aliases w:val="Char6 Char Char1254,Predmet komentára Char Char Char1254,Comment Subject Char Char Char1254"/>
    <w:uiPriority w:val="99"/>
    <w:semiHidden/>
    <w:rsid w:val="00A809E7"/>
    <w:rPr>
      <w:rFonts w:ascii="Courier" w:hAnsi="Courier"/>
      <w:b/>
      <w:lang w:val="x-none" w:eastAsia="cs-CZ"/>
    </w:rPr>
  </w:style>
  <w:style w:type="character" w:customStyle="1" w:styleId="PredmetkomentraChar1252">
    <w:name w:val="Predmet komentára Char1252"/>
    <w:aliases w:val="Char6 Char Char1253,Predmet komentára Char Char Char1253,Comment Subject Char Char Char1253"/>
    <w:uiPriority w:val="99"/>
    <w:semiHidden/>
    <w:rsid w:val="00A809E7"/>
    <w:rPr>
      <w:rFonts w:ascii="Courier" w:hAnsi="Courier"/>
      <w:b/>
      <w:lang w:val="x-none" w:eastAsia="cs-CZ"/>
    </w:rPr>
  </w:style>
  <w:style w:type="character" w:customStyle="1" w:styleId="PredmetkomentraChar1251">
    <w:name w:val="Predmet komentára Char1251"/>
    <w:aliases w:val="Char6 Char Char1252,Predmet komentára Char Char Char1252,Comment Subject Char Char Char1252"/>
    <w:uiPriority w:val="99"/>
    <w:semiHidden/>
    <w:rsid w:val="00A809E7"/>
    <w:rPr>
      <w:rFonts w:ascii="Courier" w:hAnsi="Courier"/>
      <w:b/>
      <w:lang w:val="x-none" w:eastAsia="cs-CZ"/>
    </w:rPr>
  </w:style>
  <w:style w:type="character" w:customStyle="1" w:styleId="PredmetkomentraChar1250">
    <w:name w:val="Predmet komentára Char1250"/>
    <w:aliases w:val="Char6 Char Char1251,Predmet komentára Char Char Char1251,Comment Subject Char Char Char1251"/>
    <w:uiPriority w:val="99"/>
    <w:semiHidden/>
    <w:rsid w:val="00A809E7"/>
    <w:rPr>
      <w:rFonts w:ascii="Courier" w:hAnsi="Courier"/>
      <w:b/>
      <w:lang w:val="x-none" w:eastAsia="cs-CZ"/>
    </w:rPr>
  </w:style>
  <w:style w:type="character" w:customStyle="1" w:styleId="PredmetkomentraChar1249">
    <w:name w:val="Predmet komentára Char1249"/>
    <w:aliases w:val="Char6 Char Char1250,Predmet komentára Char Char Char1250,Comment Subject Char Char Char1250"/>
    <w:uiPriority w:val="99"/>
    <w:semiHidden/>
    <w:rsid w:val="00A809E7"/>
    <w:rPr>
      <w:rFonts w:ascii="Courier" w:hAnsi="Courier"/>
      <w:b/>
      <w:lang w:val="x-none" w:eastAsia="cs-CZ"/>
    </w:rPr>
  </w:style>
  <w:style w:type="character" w:customStyle="1" w:styleId="PredmetkomentraChar1248">
    <w:name w:val="Predmet komentára Char1248"/>
    <w:aliases w:val="Char6 Char Char1249,Predmet komentára Char Char Char1249,Comment Subject Char Char Char1249"/>
    <w:uiPriority w:val="99"/>
    <w:semiHidden/>
    <w:rsid w:val="00A809E7"/>
    <w:rPr>
      <w:rFonts w:ascii="Courier" w:hAnsi="Courier"/>
      <w:b/>
      <w:lang w:val="x-none" w:eastAsia="cs-CZ"/>
    </w:rPr>
  </w:style>
  <w:style w:type="character" w:customStyle="1" w:styleId="PredmetkomentraChar1247">
    <w:name w:val="Predmet komentára Char1247"/>
    <w:aliases w:val="Char6 Char Char1248,Predmet komentára Char Char Char1248,Comment Subject Char Char Char1248"/>
    <w:uiPriority w:val="99"/>
    <w:semiHidden/>
    <w:rsid w:val="00A809E7"/>
    <w:rPr>
      <w:rFonts w:ascii="Courier" w:hAnsi="Courier"/>
      <w:b/>
      <w:lang w:val="x-none" w:eastAsia="cs-CZ"/>
    </w:rPr>
  </w:style>
  <w:style w:type="character" w:customStyle="1" w:styleId="PredmetkomentraChar1246">
    <w:name w:val="Predmet komentára Char1246"/>
    <w:aliases w:val="Char6 Char Char1247,Predmet komentára Char Char Char1247,Comment Subject Char Char Char1247"/>
    <w:uiPriority w:val="99"/>
    <w:semiHidden/>
    <w:rsid w:val="00A809E7"/>
    <w:rPr>
      <w:rFonts w:ascii="Courier" w:hAnsi="Courier"/>
      <w:b/>
      <w:lang w:val="x-none" w:eastAsia="cs-CZ"/>
    </w:rPr>
  </w:style>
  <w:style w:type="character" w:customStyle="1" w:styleId="PredmetkomentraChar1245">
    <w:name w:val="Predmet komentára Char1245"/>
    <w:aliases w:val="Char6 Char Char1246,Predmet komentára Char Char Char1246,Comment Subject Char Char Char1246"/>
    <w:uiPriority w:val="99"/>
    <w:semiHidden/>
    <w:rsid w:val="00A809E7"/>
    <w:rPr>
      <w:rFonts w:ascii="Courier" w:hAnsi="Courier"/>
      <w:b/>
      <w:lang w:val="x-none" w:eastAsia="cs-CZ"/>
    </w:rPr>
  </w:style>
  <w:style w:type="character" w:customStyle="1" w:styleId="PredmetkomentraChar1244">
    <w:name w:val="Predmet komentára Char1244"/>
    <w:aliases w:val="Char6 Char Char1245,Predmet komentára Char Char Char1245,Comment Subject Char Char Char1245"/>
    <w:uiPriority w:val="99"/>
    <w:semiHidden/>
    <w:rsid w:val="00A809E7"/>
    <w:rPr>
      <w:rFonts w:ascii="Courier" w:hAnsi="Courier"/>
      <w:b/>
      <w:lang w:val="x-none" w:eastAsia="cs-CZ"/>
    </w:rPr>
  </w:style>
  <w:style w:type="character" w:customStyle="1" w:styleId="PredmetkomentraChar1243">
    <w:name w:val="Predmet komentára Char1243"/>
    <w:aliases w:val="Char6 Char Char1244,Predmet komentára Char Char Char1244,Comment Subject Char Char Char1244"/>
    <w:uiPriority w:val="99"/>
    <w:semiHidden/>
    <w:rsid w:val="00A809E7"/>
    <w:rPr>
      <w:rFonts w:ascii="Courier" w:hAnsi="Courier"/>
      <w:b/>
      <w:lang w:val="x-none" w:eastAsia="cs-CZ"/>
    </w:rPr>
  </w:style>
  <w:style w:type="character" w:customStyle="1" w:styleId="PredmetkomentraChar1242">
    <w:name w:val="Predmet komentára Char1242"/>
    <w:aliases w:val="Char6 Char Char1243,Predmet komentára Char Char Char1243,Comment Subject Char Char Char1243"/>
    <w:uiPriority w:val="99"/>
    <w:semiHidden/>
    <w:rsid w:val="00A809E7"/>
    <w:rPr>
      <w:rFonts w:ascii="Courier" w:hAnsi="Courier"/>
      <w:b/>
      <w:lang w:val="x-none" w:eastAsia="cs-CZ"/>
    </w:rPr>
  </w:style>
  <w:style w:type="character" w:customStyle="1" w:styleId="PredmetkomentraChar1241">
    <w:name w:val="Predmet komentára Char1241"/>
    <w:aliases w:val="Char6 Char Char1242,Predmet komentára Char Char Char1242,Comment Subject Char Char Char1242"/>
    <w:uiPriority w:val="99"/>
    <w:semiHidden/>
    <w:rsid w:val="00A809E7"/>
    <w:rPr>
      <w:rFonts w:ascii="Courier" w:hAnsi="Courier"/>
      <w:b/>
      <w:lang w:val="x-none" w:eastAsia="cs-CZ"/>
    </w:rPr>
  </w:style>
  <w:style w:type="character" w:customStyle="1" w:styleId="PredmetkomentraChar1240">
    <w:name w:val="Predmet komentára Char1240"/>
    <w:aliases w:val="Char6 Char Char1241,Predmet komentára Char Char Char1241,Comment Subject Char Char Char1241"/>
    <w:uiPriority w:val="99"/>
    <w:semiHidden/>
    <w:rsid w:val="00A809E7"/>
    <w:rPr>
      <w:rFonts w:ascii="Courier" w:hAnsi="Courier"/>
      <w:b/>
      <w:lang w:val="x-none" w:eastAsia="cs-CZ"/>
    </w:rPr>
  </w:style>
  <w:style w:type="character" w:customStyle="1" w:styleId="PredmetkomentraChar1239">
    <w:name w:val="Predmet komentára Char1239"/>
    <w:aliases w:val="Char6 Char Char1240,Predmet komentára Char Char Char1240,Comment Subject Char Char Char1240"/>
    <w:uiPriority w:val="99"/>
    <w:semiHidden/>
    <w:rsid w:val="00A809E7"/>
    <w:rPr>
      <w:rFonts w:ascii="Courier" w:hAnsi="Courier"/>
      <w:b/>
      <w:lang w:val="x-none" w:eastAsia="cs-CZ"/>
    </w:rPr>
  </w:style>
  <w:style w:type="character" w:customStyle="1" w:styleId="PredmetkomentraChar1238">
    <w:name w:val="Predmet komentára Char1238"/>
    <w:aliases w:val="Char6 Char Char1239,Predmet komentára Char Char Char1239,Comment Subject Char Char Char1239"/>
    <w:uiPriority w:val="99"/>
    <w:semiHidden/>
    <w:rsid w:val="00A809E7"/>
    <w:rPr>
      <w:rFonts w:ascii="Courier" w:hAnsi="Courier"/>
      <w:b/>
      <w:lang w:val="x-none" w:eastAsia="cs-CZ"/>
    </w:rPr>
  </w:style>
  <w:style w:type="character" w:customStyle="1" w:styleId="PredmetkomentraChar1237">
    <w:name w:val="Predmet komentára Char1237"/>
    <w:aliases w:val="Char6 Char Char1238,Predmet komentára Char Char Char1238,Comment Subject Char Char Char1238"/>
    <w:uiPriority w:val="99"/>
    <w:semiHidden/>
    <w:rsid w:val="00A809E7"/>
    <w:rPr>
      <w:rFonts w:ascii="Courier" w:hAnsi="Courier"/>
      <w:b/>
      <w:lang w:val="x-none" w:eastAsia="cs-CZ"/>
    </w:rPr>
  </w:style>
  <w:style w:type="character" w:customStyle="1" w:styleId="PredmetkomentraChar1236">
    <w:name w:val="Predmet komentára Char1236"/>
    <w:aliases w:val="Char6 Char Char1237,Predmet komentára Char Char Char1237,Comment Subject Char Char Char1237"/>
    <w:uiPriority w:val="99"/>
    <w:semiHidden/>
    <w:rsid w:val="00A809E7"/>
    <w:rPr>
      <w:rFonts w:ascii="Courier" w:hAnsi="Courier"/>
      <w:b/>
      <w:lang w:val="x-none" w:eastAsia="cs-CZ"/>
    </w:rPr>
  </w:style>
  <w:style w:type="character" w:customStyle="1" w:styleId="PredmetkomentraChar1235">
    <w:name w:val="Predmet komentára Char1235"/>
    <w:aliases w:val="Char6 Char Char1236,Predmet komentára Char Char Char1236,Comment Subject Char Char Char1236"/>
    <w:uiPriority w:val="99"/>
    <w:semiHidden/>
    <w:rsid w:val="00A809E7"/>
    <w:rPr>
      <w:rFonts w:ascii="Courier" w:hAnsi="Courier"/>
      <w:b/>
      <w:lang w:val="x-none" w:eastAsia="cs-CZ"/>
    </w:rPr>
  </w:style>
  <w:style w:type="character" w:customStyle="1" w:styleId="PredmetkomentraChar1234">
    <w:name w:val="Predmet komentára Char1234"/>
    <w:aliases w:val="Char6 Char Char1235,Predmet komentára Char Char Char1235,Comment Subject Char Char Char1235"/>
    <w:uiPriority w:val="99"/>
    <w:semiHidden/>
    <w:rsid w:val="00A809E7"/>
    <w:rPr>
      <w:rFonts w:ascii="Courier" w:hAnsi="Courier"/>
      <w:b/>
      <w:lang w:val="x-none" w:eastAsia="cs-CZ"/>
    </w:rPr>
  </w:style>
  <w:style w:type="character" w:customStyle="1" w:styleId="PredmetkomentraChar1233">
    <w:name w:val="Predmet komentára Char1233"/>
    <w:aliases w:val="Char6 Char Char1234,Predmet komentára Char Char Char1234,Comment Subject Char Char Char1234"/>
    <w:uiPriority w:val="99"/>
    <w:semiHidden/>
    <w:rsid w:val="00A809E7"/>
    <w:rPr>
      <w:rFonts w:ascii="Courier" w:hAnsi="Courier"/>
      <w:b/>
      <w:lang w:val="x-none" w:eastAsia="cs-CZ"/>
    </w:rPr>
  </w:style>
  <w:style w:type="character" w:customStyle="1" w:styleId="PredmetkomentraChar1232">
    <w:name w:val="Predmet komentára Char1232"/>
    <w:aliases w:val="Char6 Char Char1233,Predmet komentára Char Char Char1233,Comment Subject Char Char Char1233"/>
    <w:uiPriority w:val="99"/>
    <w:semiHidden/>
    <w:rsid w:val="00A809E7"/>
    <w:rPr>
      <w:rFonts w:ascii="Courier" w:hAnsi="Courier"/>
      <w:b/>
      <w:lang w:val="x-none" w:eastAsia="cs-CZ"/>
    </w:rPr>
  </w:style>
  <w:style w:type="character" w:customStyle="1" w:styleId="PredmetkomentraChar1231">
    <w:name w:val="Predmet komentára Char1231"/>
    <w:aliases w:val="Char6 Char Char1232,Predmet komentára Char Char Char1232,Comment Subject Char Char Char1232"/>
    <w:uiPriority w:val="99"/>
    <w:semiHidden/>
    <w:rsid w:val="00A809E7"/>
    <w:rPr>
      <w:rFonts w:ascii="Courier" w:hAnsi="Courier"/>
      <w:b/>
      <w:lang w:val="x-none" w:eastAsia="cs-CZ"/>
    </w:rPr>
  </w:style>
  <w:style w:type="character" w:customStyle="1" w:styleId="PredmetkomentraChar1230">
    <w:name w:val="Predmet komentára Char1230"/>
    <w:aliases w:val="Char6 Char Char1231,Predmet komentára Char Char Char1231,Comment Subject Char Char Char1231"/>
    <w:uiPriority w:val="99"/>
    <w:semiHidden/>
    <w:rsid w:val="00A809E7"/>
    <w:rPr>
      <w:rFonts w:ascii="Courier" w:hAnsi="Courier"/>
      <w:b/>
      <w:lang w:val="x-none" w:eastAsia="cs-CZ"/>
    </w:rPr>
  </w:style>
  <w:style w:type="character" w:customStyle="1" w:styleId="PredmetkomentraChar1229">
    <w:name w:val="Predmet komentára Char1229"/>
    <w:aliases w:val="Char6 Char Char1230,Predmet komentára Char Char Char1230,Comment Subject Char Char Char1230"/>
    <w:uiPriority w:val="99"/>
    <w:semiHidden/>
    <w:rsid w:val="00A809E7"/>
    <w:rPr>
      <w:rFonts w:ascii="Courier" w:hAnsi="Courier"/>
      <w:b/>
      <w:lang w:val="x-none" w:eastAsia="cs-CZ"/>
    </w:rPr>
  </w:style>
  <w:style w:type="character" w:customStyle="1" w:styleId="PredmetkomentraChar1228">
    <w:name w:val="Predmet komentára Char1228"/>
    <w:aliases w:val="Char6 Char Char1229,Predmet komentára Char Char Char1229,Comment Subject Char Char Char1229"/>
    <w:uiPriority w:val="99"/>
    <w:semiHidden/>
    <w:rsid w:val="00A809E7"/>
    <w:rPr>
      <w:rFonts w:ascii="Courier" w:hAnsi="Courier"/>
      <w:b/>
      <w:lang w:val="x-none" w:eastAsia="cs-CZ"/>
    </w:rPr>
  </w:style>
  <w:style w:type="character" w:customStyle="1" w:styleId="PredmetkomentraChar1227">
    <w:name w:val="Predmet komentára Char1227"/>
    <w:aliases w:val="Char6 Char Char1228,Predmet komentára Char Char Char1228,Comment Subject Char Char Char1228"/>
    <w:uiPriority w:val="99"/>
    <w:semiHidden/>
    <w:rsid w:val="00A809E7"/>
    <w:rPr>
      <w:rFonts w:ascii="Courier" w:hAnsi="Courier"/>
      <w:b/>
      <w:lang w:val="x-none" w:eastAsia="cs-CZ"/>
    </w:rPr>
  </w:style>
  <w:style w:type="character" w:customStyle="1" w:styleId="PredmetkomentraChar1226">
    <w:name w:val="Predmet komentára Char1226"/>
    <w:aliases w:val="Char6 Char Char1227,Predmet komentára Char Char Char1227,Comment Subject Char Char Char1227"/>
    <w:uiPriority w:val="99"/>
    <w:semiHidden/>
    <w:rsid w:val="00A809E7"/>
    <w:rPr>
      <w:rFonts w:ascii="Courier" w:hAnsi="Courier"/>
      <w:b/>
      <w:lang w:val="x-none" w:eastAsia="cs-CZ"/>
    </w:rPr>
  </w:style>
  <w:style w:type="character" w:customStyle="1" w:styleId="PredmetkomentraChar1225">
    <w:name w:val="Predmet komentára Char1225"/>
    <w:aliases w:val="Char6 Char Char1226,Predmet komentára Char Char Char1226,Comment Subject Char Char Char1226"/>
    <w:uiPriority w:val="99"/>
    <w:semiHidden/>
    <w:rsid w:val="00A809E7"/>
    <w:rPr>
      <w:rFonts w:ascii="Courier" w:hAnsi="Courier"/>
      <w:b/>
      <w:lang w:val="x-none" w:eastAsia="cs-CZ"/>
    </w:rPr>
  </w:style>
  <w:style w:type="character" w:customStyle="1" w:styleId="PredmetkomentraChar1224">
    <w:name w:val="Predmet komentára Char1224"/>
    <w:aliases w:val="Char6 Char Char1225,Predmet komentára Char Char Char1225,Comment Subject Char Char Char1225"/>
    <w:uiPriority w:val="99"/>
    <w:semiHidden/>
    <w:rsid w:val="00A809E7"/>
    <w:rPr>
      <w:rFonts w:ascii="Courier" w:hAnsi="Courier"/>
      <w:b/>
      <w:lang w:val="x-none" w:eastAsia="cs-CZ"/>
    </w:rPr>
  </w:style>
  <w:style w:type="character" w:customStyle="1" w:styleId="PredmetkomentraChar1223">
    <w:name w:val="Predmet komentára Char1223"/>
    <w:aliases w:val="Char6 Char Char1224,Predmet komentára Char Char Char1224,Comment Subject Char Char Char1224"/>
    <w:uiPriority w:val="99"/>
    <w:semiHidden/>
    <w:rsid w:val="00A809E7"/>
    <w:rPr>
      <w:rFonts w:ascii="Courier" w:hAnsi="Courier"/>
      <w:b/>
      <w:lang w:val="x-none" w:eastAsia="cs-CZ"/>
    </w:rPr>
  </w:style>
  <w:style w:type="character" w:customStyle="1" w:styleId="PredmetkomentraChar1222">
    <w:name w:val="Predmet komentára Char1222"/>
    <w:aliases w:val="Char6 Char Char1223,Predmet komentára Char Char Char1223,Comment Subject Char Char Char1223"/>
    <w:uiPriority w:val="99"/>
    <w:semiHidden/>
    <w:rsid w:val="00A809E7"/>
    <w:rPr>
      <w:rFonts w:ascii="Courier" w:hAnsi="Courier"/>
      <w:b/>
      <w:lang w:val="x-none" w:eastAsia="cs-CZ"/>
    </w:rPr>
  </w:style>
  <w:style w:type="character" w:customStyle="1" w:styleId="PredmetkomentraChar1221">
    <w:name w:val="Predmet komentára Char1221"/>
    <w:aliases w:val="Char6 Char Char1222,Predmet komentára Char Char Char1222,Comment Subject Char Char Char1222"/>
    <w:uiPriority w:val="99"/>
    <w:semiHidden/>
    <w:rsid w:val="00A809E7"/>
    <w:rPr>
      <w:rFonts w:ascii="Courier" w:hAnsi="Courier"/>
      <w:b/>
      <w:lang w:val="x-none" w:eastAsia="cs-CZ"/>
    </w:rPr>
  </w:style>
  <w:style w:type="character" w:customStyle="1" w:styleId="PredmetkomentraChar1220">
    <w:name w:val="Predmet komentára Char1220"/>
    <w:aliases w:val="Char6 Char Char1221,Predmet komentára Char Char Char1221,Comment Subject Char Char Char1221"/>
    <w:uiPriority w:val="99"/>
    <w:semiHidden/>
    <w:rsid w:val="00A809E7"/>
    <w:rPr>
      <w:rFonts w:ascii="Courier" w:hAnsi="Courier"/>
      <w:b/>
      <w:lang w:val="x-none" w:eastAsia="cs-CZ"/>
    </w:rPr>
  </w:style>
  <w:style w:type="character" w:customStyle="1" w:styleId="PredmetkomentraChar1219">
    <w:name w:val="Predmet komentára Char1219"/>
    <w:aliases w:val="Char6 Char Char1220,Predmet komentára Char Char Char1220,Comment Subject Char Char Char1220"/>
    <w:uiPriority w:val="99"/>
    <w:semiHidden/>
    <w:rsid w:val="00A809E7"/>
    <w:rPr>
      <w:rFonts w:ascii="Courier" w:hAnsi="Courier"/>
      <w:b/>
      <w:lang w:val="x-none" w:eastAsia="cs-CZ"/>
    </w:rPr>
  </w:style>
  <w:style w:type="character" w:customStyle="1" w:styleId="PredmetkomentraChar1218">
    <w:name w:val="Predmet komentára Char1218"/>
    <w:aliases w:val="Char6 Char Char1219,Predmet komentára Char Char Char1219,Comment Subject Char Char Char1219"/>
    <w:uiPriority w:val="99"/>
    <w:semiHidden/>
    <w:rsid w:val="00A809E7"/>
    <w:rPr>
      <w:rFonts w:ascii="Courier" w:hAnsi="Courier"/>
      <w:b/>
      <w:lang w:val="x-none" w:eastAsia="cs-CZ"/>
    </w:rPr>
  </w:style>
  <w:style w:type="character" w:customStyle="1" w:styleId="PredmetkomentraChar1217">
    <w:name w:val="Predmet komentára Char1217"/>
    <w:aliases w:val="Char6 Char Char1218,Predmet komentára Char Char Char1218,Comment Subject Char Char Char1218"/>
    <w:uiPriority w:val="99"/>
    <w:semiHidden/>
    <w:rsid w:val="00A809E7"/>
    <w:rPr>
      <w:rFonts w:ascii="Courier" w:hAnsi="Courier"/>
      <w:b/>
      <w:lang w:val="x-none" w:eastAsia="cs-CZ"/>
    </w:rPr>
  </w:style>
  <w:style w:type="character" w:customStyle="1" w:styleId="PredmetkomentraChar1216">
    <w:name w:val="Predmet komentára Char1216"/>
    <w:aliases w:val="Char6 Char Char1217,Predmet komentára Char Char Char1217,Comment Subject Char Char Char1217"/>
    <w:uiPriority w:val="99"/>
    <w:semiHidden/>
    <w:rsid w:val="00A809E7"/>
    <w:rPr>
      <w:rFonts w:ascii="Courier" w:hAnsi="Courier"/>
      <w:b/>
      <w:lang w:val="x-none" w:eastAsia="cs-CZ"/>
    </w:rPr>
  </w:style>
  <w:style w:type="character" w:customStyle="1" w:styleId="PredmetkomentraChar1215">
    <w:name w:val="Predmet komentára Char1215"/>
    <w:aliases w:val="Char6 Char Char1216,Predmet komentára Char Char Char1216,Comment Subject Char Char Char1216"/>
    <w:uiPriority w:val="99"/>
    <w:semiHidden/>
    <w:rsid w:val="00A809E7"/>
    <w:rPr>
      <w:rFonts w:ascii="Courier" w:hAnsi="Courier"/>
      <w:b/>
      <w:lang w:val="x-none" w:eastAsia="cs-CZ"/>
    </w:rPr>
  </w:style>
  <w:style w:type="character" w:customStyle="1" w:styleId="PredmetkomentraChar1214">
    <w:name w:val="Predmet komentára Char1214"/>
    <w:aliases w:val="Char6 Char Char1215,Predmet komentára Char Char Char1215,Comment Subject Char Char Char1215"/>
    <w:uiPriority w:val="99"/>
    <w:semiHidden/>
    <w:rsid w:val="00A809E7"/>
    <w:rPr>
      <w:rFonts w:ascii="Courier" w:hAnsi="Courier"/>
      <w:b/>
      <w:lang w:val="x-none" w:eastAsia="cs-CZ"/>
    </w:rPr>
  </w:style>
  <w:style w:type="character" w:customStyle="1" w:styleId="PredmetkomentraChar1213">
    <w:name w:val="Predmet komentára Char1213"/>
    <w:aliases w:val="Char6 Char Char1214,Predmet komentára Char Char Char1214,Comment Subject Char Char Char1214"/>
    <w:uiPriority w:val="99"/>
    <w:semiHidden/>
    <w:rsid w:val="00A809E7"/>
    <w:rPr>
      <w:rFonts w:ascii="Courier" w:hAnsi="Courier"/>
      <w:b/>
      <w:lang w:val="x-none" w:eastAsia="cs-CZ"/>
    </w:rPr>
  </w:style>
  <w:style w:type="character" w:customStyle="1" w:styleId="PredmetkomentraChar1212">
    <w:name w:val="Predmet komentára Char1212"/>
    <w:aliases w:val="Char6 Char Char1213,Predmet komentára Char Char Char1213,Comment Subject Char Char Char1213"/>
    <w:uiPriority w:val="99"/>
    <w:semiHidden/>
    <w:rsid w:val="00A809E7"/>
    <w:rPr>
      <w:rFonts w:ascii="Courier" w:hAnsi="Courier"/>
      <w:b/>
      <w:lang w:val="x-none" w:eastAsia="cs-CZ"/>
    </w:rPr>
  </w:style>
  <w:style w:type="character" w:customStyle="1" w:styleId="PredmetkomentraChar1211">
    <w:name w:val="Predmet komentára Char1211"/>
    <w:aliases w:val="Char6 Char Char1212,Predmet komentára Char Char Char1212,Comment Subject Char Char Char1212"/>
    <w:uiPriority w:val="99"/>
    <w:semiHidden/>
    <w:rsid w:val="00A809E7"/>
    <w:rPr>
      <w:rFonts w:ascii="Courier" w:hAnsi="Courier"/>
      <w:b/>
      <w:lang w:val="x-none" w:eastAsia="cs-CZ"/>
    </w:rPr>
  </w:style>
  <w:style w:type="character" w:customStyle="1" w:styleId="PredmetkomentraChar1210">
    <w:name w:val="Predmet komentára Char1210"/>
    <w:aliases w:val="Char6 Char Char1211,Predmet komentára Char Char Char1211,Comment Subject Char Char Char1211"/>
    <w:uiPriority w:val="99"/>
    <w:semiHidden/>
    <w:rsid w:val="00A809E7"/>
    <w:rPr>
      <w:rFonts w:ascii="Courier" w:hAnsi="Courier"/>
      <w:b/>
      <w:lang w:val="x-none" w:eastAsia="cs-CZ"/>
    </w:rPr>
  </w:style>
  <w:style w:type="character" w:customStyle="1" w:styleId="PredmetkomentraChar1209">
    <w:name w:val="Predmet komentára Char1209"/>
    <w:aliases w:val="Char6 Char Char1210,Predmet komentára Char Char Char1210,Comment Subject Char Char Char1210"/>
    <w:uiPriority w:val="99"/>
    <w:semiHidden/>
    <w:rsid w:val="00A809E7"/>
    <w:rPr>
      <w:rFonts w:ascii="Courier" w:hAnsi="Courier"/>
      <w:b/>
      <w:lang w:val="x-none" w:eastAsia="cs-CZ"/>
    </w:rPr>
  </w:style>
  <w:style w:type="character" w:customStyle="1" w:styleId="PredmetkomentraChar1208">
    <w:name w:val="Predmet komentára Char1208"/>
    <w:aliases w:val="Char6 Char Char1209,Predmet komentára Char Char Char1209,Comment Subject Char Char Char1209"/>
    <w:uiPriority w:val="99"/>
    <w:semiHidden/>
    <w:rsid w:val="00A809E7"/>
    <w:rPr>
      <w:rFonts w:ascii="Courier" w:hAnsi="Courier"/>
      <w:b/>
      <w:lang w:val="x-none" w:eastAsia="cs-CZ"/>
    </w:rPr>
  </w:style>
  <w:style w:type="character" w:customStyle="1" w:styleId="PredmetkomentraChar1207">
    <w:name w:val="Predmet komentára Char1207"/>
    <w:aliases w:val="Char6 Char Char1208,Predmet komentára Char Char Char1208,Comment Subject Char Char Char1208"/>
    <w:uiPriority w:val="99"/>
    <w:semiHidden/>
    <w:rsid w:val="00A809E7"/>
    <w:rPr>
      <w:rFonts w:ascii="Courier" w:hAnsi="Courier"/>
      <w:b/>
      <w:lang w:val="x-none" w:eastAsia="cs-CZ"/>
    </w:rPr>
  </w:style>
  <w:style w:type="character" w:customStyle="1" w:styleId="PredmetkomentraChar1206">
    <w:name w:val="Predmet komentára Char1206"/>
    <w:aliases w:val="Char6 Char Char1207,Predmet komentára Char Char Char1207,Comment Subject Char Char Char1207"/>
    <w:uiPriority w:val="99"/>
    <w:semiHidden/>
    <w:rsid w:val="00A809E7"/>
    <w:rPr>
      <w:rFonts w:ascii="Courier" w:hAnsi="Courier"/>
      <w:b/>
      <w:lang w:val="x-none" w:eastAsia="cs-CZ"/>
    </w:rPr>
  </w:style>
  <w:style w:type="character" w:customStyle="1" w:styleId="PredmetkomentraChar1205">
    <w:name w:val="Predmet komentára Char1205"/>
    <w:aliases w:val="Char6 Char Char1206,Predmet komentára Char Char Char1206,Comment Subject Char Char Char1206"/>
    <w:uiPriority w:val="99"/>
    <w:semiHidden/>
    <w:rsid w:val="00A809E7"/>
    <w:rPr>
      <w:rFonts w:ascii="Courier" w:hAnsi="Courier"/>
      <w:b/>
      <w:lang w:val="x-none" w:eastAsia="cs-CZ"/>
    </w:rPr>
  </w:style>
  <w:style w:type="character" w:customStyle="1" w:styleId="PredmetkomentraChar1204">
    <w:name w:val="Predmet komentára Char1204"/>
    <w:aliases w:val="Char6 Char Char1205,Predmet komentára Char Char Char1205,Comment Subject Char Char Char1205"/>
    <w:uiPriority w:val="99"/>
    <w:semiHidden/>
    <w:rsid w:val="00A809E7"/>
    <w:rPr>
      <w:rFonts w:ascii="Courier" w:hAnsi="Courier"/>
      <w:b/>
      <w:lang w:val="x-none" w:eastAsia="cs-CZ"/>
    </w:rPr>
  </w:style>
  <w:style w:type="character" w:customStyle="1" w:styleId="PredmetkomentraChar1203">
    <w:name w:val="Predmet komentára Char1203"/>
    <w:aliases w:val="Char6 Char Char1204,Predmet komentára Char Char Char1204,Comment Subject Char Char Char1204"/>
    <w:uiPriority w:val="99"/>
    <w:semiHidden/>
    <w:rsid w:val="00A809E7"/>
    <w:rPr>
      <w:rFonts w:ascii="Courier" w:hAnsi="Courier"/>
      <w:b/>
      <w:lang w:val="x-none" w:eastAsia="cs-CZ"/>
    </w:rPr>
  </w:style>
  <w:style w:type="character" w:customStyle="1" w:styleId="PredmetkomentraChar1202">
    <w:name w:val="Predmet komentára Char1202"/>
    <w:aliases w:val="Char6 Char Char1203,Predmet komentára Char Char Char1203,Comment Subject Char Char Char1203"/>
    <w:uiPriority w:val="99"/>
    <w:semiHidden/>
    <w:rsid w:val="00A809E7"/>
    <w:rPr>
      <w:rFonts w:ascii="Courier" w:hAnsi="Courier"/>
      <w:b/>
      <w:lang w:val="x-none" w:eastAsia="cs-CZ"/>
    </w:rPr>
  </w:style>
  <w:style w:type="character" w:customStyle="1" w:styleId="PredmetkomentraChar1201">
    <w:name w:val="Predmet komentára Char1201"/>
    <w:aliases w:val="Char6 Char Char1202,Predmet komentára Char Char Char1202,Comment Subject Char Char Char1202"/>
    <w:uiPriority w:val="99"/>
    <w:semiHidden/>
    <w:rsid w:val="00A809E7"/>
    <w:rPr>
      <w:rFonts w:ascii="Courier" w:hAnsi="Courier"/>
      <w:b/>
      <w:lang w:val="x-none" w:eastAsia="cs-CZ"/>
    </w:rPr>
  </w:style>
  <w:style w:type="character" w:customStyle="1" w:styleId="PredmetkomentraChar1200">
    <w:name w:val="Predmet komentára Char1200"/>
    <w:aliases w:val="Char6 Char Char1201,Predmet komentára Char Char Char1201,Comment Subject Char Char Char1201"/>
    <w:uiPriority w:val="99"/>
    <w:semiHidden/>
    <w:rsid w:val="00A809E7"/>
    <w:rPr>
      <w:rFonts w:ascii="Courier" w:hAnsi="Courier"/>
      <w:b/>
      <w:lang w:val="x-none" w:eastAsia="cs-CZ"/>
    </w:rPr>
  </w:style>
  <w:style w:type="character" w:customStyle="1" w:styleId="PredmetkomentraChar1199">
    <w:name w:val="Predmet komentára Char1199"/>
    <w:aliases w:val="Char6 Char Char1200,Predmet komentára Char Char Char1200,Comment Subject Char Char Char1200"/>
    <w:uiPriority w:val="99"/>
    <w:semiHidden/>
    <w:rsid w:val="00A809E7"/>
    <w:rPr>
      <w:rFonts w:ascii="Courier" w:hAnsi="Courier"/>
      <w:b/>
      <w:lang w:val="x-none" w:eastAsia="cs-CZ"/>
    </w:rPr>
  </w:style>
  <w:style w:type="character" w:customStyle="1" w:styleId="PredmetkomentraChar1198">
    <w:name w:val="Predmet komentára Char1198"/>
    <w:aliases w:val="Char6 Char Char1199,Predmet komentára Char Char Char1199,Comment Subject Char Char Char1199"/>
    <w:uiPriority w:val="99"/>
    <w:semiHidden/>
    <w:rsid w:val="00A809E7"/>
    <w:rPr>
      <w:rFonts w:ascii="Courier" w:hAnsi="Courier"/>
      <w:b/>
      <w:lang w:val="x-none" w:eastAsia="cs-CZ"/>
    </w:rPr>
  </w:style>
  <w:style w:type="character" w:customStyle="1" w:styleId="PredmetkomentraChar1197">
    <w:name w:val="Predmet komentára Char1197"/>
    <w:aliases w:val="Char6 Char Char1198,Predmet komentára Char Char Char1198,Comment Subject Char Char Char1198"/>
    <w:uiPriority w:val="99"/>
    <w:semiHidden/>
    <w:rsid w:val="00A809E7"/>
    <w:rPr>
      <w:rFonts w:ascii="Courier" w:hAnsi="Courier"/>
      <w:b/>
      <w:lang w:val="x-none" w:eastAsia="cs-CZ"/>
    </w:rPr>
  </w:style>
  <w:style w:type="character" w:customStyle="1" w:styleId="PredmetkomentraChar1196">
    <w:name w:val="Predmet komentára Char1196"/>
    <w:aliases w:val="Char6 Char Char1197,Predmet komentára Char Char Char1197,Comment Subject Char Char Char1197"/>
    <w:uiPriority w:val="99"/>
    <w:semiHidden/>
    <w:rsid w:val="00A809E7"/>
    <w:rPr>
      <w:rFonts w:ascii="Courier" w:hAnsi="Courier"/>
      <w:b/>
      <w:lang w:val="x-none" w:eastAsia="cs-CZ"/>
    </w:rPr>
  </w:style>
  <w:style w:type="character" w:customStyle="1" w:styleId="PredmetkomentraChar1195">
    <w:name w:val="Predmet komentára Char1195"/>
    <w:aliases w:val="Char6 Char Char1196,Predmet komentára Char Char Char1196,Comment Subject Char Char Char1196"/>
    <w:uiPriority w:val="99"/>
    <w:semiHidden/>
    <w:rsid w:val="00A809E7"/>
    <w:rPr>
      <w:rFonts w:ascii="Courier" w:hAnsi="Courier"/>
      <w:b/>
      <w:lang w:val="x-none" w:eastAsia="cs-CZ"/>
    </w:rPr>
  </w:style>
  <w:style w:type="character" w:customStyle="1" w:styleId="PredmetkomentraChar1194">
    <w:name w:val="Predmet komentára Char1194"/>
    <w:aliases w:val="Char6 Char Char1195,Predmet komentára Char Char Char1195,Comment Subject Char Char Char1195"/>
    <w:uiPriority w:val="99"/>
    <w:semiHidden/>
    <w:rsid w:val="00A809E7"/>
    <w:rPr>
      <w:rFonts w:ascii="Courier" w:hAnsi="Courier"/>
      <w:b/>
      <w:lang w:val="x-none" w:eastAsia="cs-CZ"/>
    </w:rPr>
  </w:style>
  <w:style w:type="character" w:customStyle="1" w:styleId="PredmetkomentraChar1193">
    <w:name w:val="Predmet komentára Char1193"/>
    <w:aliases w:val="Char6 Char Char1194,Predmet komentára Char Char Char1194,Comment Subject Char Char Char1194"/>
    <w:uiPriority w:val="99"/>
    <w:semiHidden/>
    <w:rsid w:val="00A809E7"/>
    <w:rPr>
      <w:rFonts w:ascii="Courier" w:hAnsi="Courier"/>
      <w:b/>
      <w:lang w:val="x-none" w:eastAsia="cs-CZ"/>
    </w:rPr>
  </w:style>
  <w:style w:type="character" w:customStyle="1" w:styleId="PredmetkomentraChar1192">
    <w:name w:val="Predmet komentára Char1192"/>
    <w:aliases w:val="Char6 Char Char1193,Predmet komentára Char Char Char1193,Comment Subject Char Char Char1193"/>
    <w:uiPriority w:val="99"/>
    <w:semiHidden/>
    <w:rsid w:val="00A809E7"/>
    <w:rPr>
      <w:rFonts w:ascii="Courier" w:hAnsi="Courier"/>
      <w:b/>
      <w:lang w:val="x-none" w:eastAsia="cs-CZ"/>
    </w:rPr>
  </w:style>
  <w:style w:type="character" w:customStyle="1" w:styleId="PredmetkomentraChar1191">
    <w:name w:val="Predmet komentára Char1191"/>
    <w:aliases w:val="Char6 Char Char1192,Predmet komentára Char Char Char1192,Comment Subject Char Char Char1192"/>
    <w:uiPriority w:val="99"/>
    <w:semiHidden/>
    <w:rsid w:val="00A809E7"/>
    <w:rPr>
      <w:rFonts w:ascii="Courier" w:hAnsi="Courier"/>
      <w:b/>
      <w:lang w:val="x-none" w:eastAsia="cs-CZ"/>
    </w:rPr>
  </w:style>
  <w:style w:type="character" w:customStyle="1" w:styleId="PredmetkomentraChar1190">
    <w:name w:val="Predmet komentára Char1190"/>
    <w:aliases w:val="Char6 Char Char1191,Predmet komentára Char Char Char1191,Comment Subject Char Char Char1191"/>
    <w:uiPriority w:val="99"/>
    <w:semiHidden/>
    <w:rsid w:val="00A809E7"/>
    <w:rPr>
      <w:rFonts w:ascii="Courier" w:hAnsi="Courier"/>
      <w:b/>
      <w:lang w:val="x-none" w:eastAsia="cs-CZ"/>
    </w:rPr>
  </w:style>
  <w:style w:type="character" w:customStyle="1" w:styleId="PredmetkomentraChar1189">
    <w:name w:val="Predmet komentára Char1189"/>
    <w:aliases w:val="Char6 Char Char1190,Predmet komentára Char Char Char1190,Comment Subject Char Char Char1190"/>
    <w:uiPriority w:val="99"/>
    <w:semiHidden/>
    <w:rsid w:val="00A809E7"/>
    <w:rPr>
      <w:rFonts w:ascii="Courier" w:hAnsi="Courier"/>
      <w:b/>
      <w:lang w:val="x-none" w:eastAsia="cs-CZ"/>
    </w:rPr>
  </w:style>
  <w:style w:type="character" w:customStyle="1" w:styleId="PredmetkomentraChar1188">
    <w:name w:val="Predmet komentára Char1188"/>
    <w:aliases w:val="Char6 Char Char1189,Predmet komentára Char Char Char1189,Comment Subject Char Char Char1189"/>
    <w:uiPriority w:val="99"/>
    <w:semiHidden/>
    <w:rsid w:val="00A809E7"/>
    <w:rPr>
      <w:rFonts w:ascii="Courier" w:hAnsi="Courier"/>
      <w:b/>
      <w:lang w:val="x-none" w:eastAsia="cs-CZ"/>
    </w:rPr>
  </w:style>
  <w:style w:type="character" w:customStyle="1" w:styleId="PredmetkomentraChar1187">
    <w:name w:val="Predmet komentára Char1187"/>
    <w:aliases w:val="Char6 Char Char1188,Predmet komentára Char Char Char1188,Comment Subject Char Char Char1188"/>
    <w:uiPriority w:val="99"/>
    <w:semiHidden/>
    <w:rsid w:val="00A809E7"/>
    <w:rPr>
      <w:rFonts w:ascii="Courier" w:hAnsi="Courier"/>
      <w:b/>
      <w:lang w:val="x-none" w:eastAsia="cs-CZ"/>
    </w:rPr>
  </w:style>
  <w:style w:type="character" w:customStyle="1" w:styleId="PredmetkomentraChar1186">
    <w:name w:val="Predmet komentára Char1186"/>
    <w:aliases w:val="Char6 Char Char1187,Predmet komentára Char Char Char1187,Comment Subject Char Char Char1187"/>
    <w:uiPriority w:val="99"/>
    <w:semiHidden/>
    <w:rsid w:val="00A809E7"/>
    <w:rPr>
      <w:rFonts w:ascii="Courier" w:hAnsi="Courier"/>
      <w:b/>
      <w:lang w:val="x-none" w:eastAsia="cs-CZ"/>
    </w:rPr>
  </w:style>
  <w:style w:type="character" w:customStyle="1" w:styleId="PredmetkomentraChar1185">
    <w:name w:val="Predmet komentára Char1185"/>
    <w:aliases w:val="Char6 Char Char1186,Predmet komentára Char Char Char1186,Comment Subject Char Char Char1186"/>
    <w:uiPriority w:val="99"/>
    <w:semiHidden/>
    <w:rsid w:val="00A809E7"/>
    <w:rPr>
      <w:rFonts w:ascii="Courier" w:hAnsi="Courier"/>
      <w:b/>
      <w:lang w:val="x-none" w:eastAsia="cs-CZ"/>
    </w:rPr>
  </w:style>
  <w:style w:type="character" w:customStyle="1" w:styleId="PredmetkomentraChar1184">
    <w:name w:val="Predmet komentára Char1184"/>
    <w:aliases w:val="Char6 Char Char1185,Predmet komentára Char Char Char1185,Comment Subject Char Char Char1185"/>
    <w:uiPriority w:val="99"/>
    <w:semiHidden/>
    <w:rsid w:val="00A809E7"/>
    <w:rPr>
      <w:rFonts w:ascii="Courier" w:hAnsi="Courier"/>
      <w:b/>
      <w:lang w:val="x-none" w:eastAsia="cs-CZ"/>
    </w:rPr>
  </w:style>
  <w:style w:type="character" w:customStyle="1" w:styleId="PredmetkomentraChar1183">
    <w:name w:val="Predmet komentára Char1183"/>
    <w:aliases w:val="Char6 Char Char1184,Predmet komentára Char Char Char1184,Comment Subject Char Char Char1184"/>
    <w:uiPriority w:val="99"/>
    <w:semiHidden/>
    <w:rsid w:val="00A809E7"/>
    <w:rPr>
      <w:rFonts w:ascii="Courier" w:hAnsi="Courier"/>
      <w:b/>
      <w:lang w:val="x-none" w:eastAsia="cs-CZ"/>
    </w:rPr>
  </w:style>
  <w:style w:type="character" w:customStyle="1" w:styleId="PredmetkomentraChar1182">
    <w:name w:val="Predmet komentára Char1182"/>
    <w:aliases w:val="Char6 Char Char1183,Predmet komentára Char Char Char1183,Comment Subject Char Char Char1183"/>
    <w:uiPriority w:val="99"/>
    <w:semiHidden/>
    <w:rsid w:val="00A809E7"/>
    <w:rPr>
      <w:rFonts w:ascii="Courier" w:hAnsi="Courier"/>
      <w:b/>
      <w:lang w:val="x-none" w:eastAsia="cs-CZ"/>
    </w:rPr>
  </w:style>
  <w:style w:type="character" w:customStyle="1" w:styleId="PredmetkomentraChar1181">
    <w:name w:val="Predmet komentára Char1181"/>
    <w:aliases w:val="Char6 Char Char1182,Predmet komentára Char Char Char1182,Comment Subject Char Char Char1182"/>
    <w:uiPriority w:val="99"/>
    <w:semiHidden/>
    <w:rsid w:val="00A809E7"/>
    <w:rPr>
      <w:rFonts w:ascii="Courier" w:hAnsi="Courier"/>
      <w:b/>
      <w:lang w:val="x-none" w:eastAsia="cs-CZ"/>
    </w:rPr>
  </w:style>
  <w:style w:type="character" w:customStyle="1" w:styleId="PredmetkomentraChar1180">
    <w:name w:val="Predmet komentára Char1180"/>
    <w:aliases w:val="Char6 Char Char1181,Predmet komentára Char Char Char1181,Comment Subject Char Char Char1181"/>
    <w:uiPriority w:val="99"/>
    <w:semiHidden/>
    <w:rsid w:val="00A809E7"/>
    <w:rPr>
      <w:rFonts w:ascii="Courier" w:hAnsi="Courier"/>
      <w:b/>
      <w:lang w:val="x-none" w:eastAsia="cs-CZ"/>
    </w:rPr>
  </w:style>
  <w:style w:type="character" w:customStyle="1" w:styleId="PredmetkomentraChar1179">
    <w:name w:val="Predmet komentára Char1179"/>
    <w:aliases w:val="Char6 Char Char1180,Predmet komentára Char Char Char1180,Comment Subject Char Char Char1180"/>
    <w:uiPriority w:val="99"/>
    <w:semiHidden/>
    <w:rsid w:val="00A809E7"/>
    <w:rPr>
      <w:rFonts w:ascii="Courier" w:hAnsi="Courier"/>
      <w:b/>
      <w:lang w:val="x-none" w:eastAsia="cs-CZ"/>
    </w:rPr>
  </w:style>
  <w:style w:type="character" w:customStyle="1" w:styleId="PredmetkomentraChar1178">
    <w:name w:val="Predmet komentára Char1178"/>
    <w:aliases w:val="Char6 Char Char1179,Predmet komentára Char Char Char1179,Comment Subject Char Char Char1179"/>
    <w:uiPriority w:val="99"/>
    <w:semiHidden/>
    <w:rsid w:val="00A809E7"/>
    <w:rPr>
      <w:rFonts w:ascii="Courier" w:hAnsi="Courier"/>
      <w:b/>
      <w:lang w:val="x-none" w:eastAsia="cs-CZ"/>
    </w:rPr>
  </w:style>
  <w:style w:type="character" w:customStyle="1" w:styleId="PredmetkomentraChar1177">
    <w:name w:val="Predmet komentára Char1177"/>
    <w:aliases w:val="Char6 Char Char1178,Predmet komentára Char Char Char1178,Comment Subject Char Char Char1178"/>
    <w:uiPriority w:val="99"/>
    <w:semiHidden/>
    <w:rsid w:val="00A809E7"/>
    <w:rPr>
      <w:rFonts w:ascii="Courier" w:hAnsi="Courier"/>
      <w:b/>
      <w:lang w:val="x-none" w:eastAsia="cs-CZ"/>
    </w:rPr>
  </w:style>
  <w:style w:type="character" w:customStyle="1" w:styleId="PredmetkomentraChar1176">
    <w:name w:val="Predmet komentára Char1176"/>
    <w:aliases w:val="Char6 Char Char1177,Predmet komentára Char Char Char1177,Comment Subject Char Char Char1177"/>
    <w:uiPriority w:val="99"/>
    <w:semiHidden/>
    <w:rsid w:val="00A809E7"/>
    <w:rPr>
      <w:rFonts w:ascii="Courier" w:hAnsi="Courier"/>
      <w:b/>
      <w:lang w:val="x-none" w:eastAsia="cs-CZ"/>
    </w:rPr>
  </w:style>
  <w:style w:type="character" w:customStyle="1" w:styleId="PredmetkomentraChar1175">
    <w:name w:val="Predmet komentára Char1175"/>
    <w:aliases w:val="Char6 Char Char1176,Predmet komentára Char Char Char1176,Comment Subject Char Char Char1176"/>
    <w:uiPriority w:val="99"/>
    <w:semiHidden/>
    <w:rsid w:val="00A809E7"/>
    <w:rPr>
      <w:rFonts w:ascii="Courier" w:hAnsi="Courier"/>
      <w:b/>
      <w:lang w:val="x-none" w:eastAsia="cs-CZ"/>
    </w:rPr>
  </w:style>
  <w:style w:type="character" w:customStyle="1" w:styleId="PredmetkomentraChar1174">
    <w:name w:val="Predmet komentára Char1174"/>
    <w:aliases w:val="Char6 Char Char1175,Predmet komentára Char Char Char1175,Comment Subject Char Char Char1175"/>
    <w:uiPriority w:val="99"/>
    <w:semiHidden/>
    <w:rsid w:val="00A809E7"/>
    <w:rPr>
      <w:rFonts w:ascii="Courier" w:hAnsi="Courier"/>
      <w:b/>
      <w:lang w:val="x-none" w:eastAsia="cs-CZ"/>
    </w:rPr>
  </w:style>
  <w:style w:type="character" w:customStyle="1" w:styleId="PredmetkomentraChar1173">
    <w:name w:val="Predmet komentára Char1173"/>
    <w:aliases w:val="Char6 Char Char1174,Predmet komentára Char Char Char1174,Comment Subject Char Char Char1174"/>
    <w:uiPriority w:val="99"/>
    <w:semiHidden/>
    <w:rsid w:val="00A809E7"/>
    <w:rPr>
      <w:rFonts w:ascii="Courier" w:hAnsi="Courier"/>
      <w:b/>
      <w:lang w:val="x-none" w:eastAsia="cs-CZ"/>
    </w:rPr>
  </w:style>
  <w:style w:type="character" w:customStyle="1" w:styleId="PredmetkomentraChar1172">
    <w:name w:val="Predmet komentára Char1172"/>
    <w:aliases w:val="Char6 Char Char1173,Predmet komentára Char Char Char1173,Comment Subject Char Char Char1173"/>
    <w:uiPriority w:val="99"/>
    <w:semiHidden/>
    <w:rsid w:val="00A809E7"/>
    <w:rPr>
      <w:rFonts w:ascii="Courier" w:hAnsi="Courier"/>
      <w:b/>
      <w:lang w:val="x-none" w:eastAsia="cs-CZ"/>
    </w:rPr>
  </w:style>
  <w:style w:type="character" w:customStyle="1" w:styleId="PredmetkomentraChar1171">
    <w:name w:val="Predmet komentára Char1171"/>
    <w:aliases w:val="Char6 Char Char1172,Predmet komentára Char Char Char1172,Comment Subject Char Char Char1172"/>
    <w:uiPriority w:val="99"/>
    <w:semiHidden/>
    <w:rsid w:val="00A809E7"/>
    <w:rPr>
      <w:rFonts w:ascii="Courier" w:hAnsi="Courier"/>
      <w:b/>
      <w:lang w:val="x-none" w:eastAsia="cs-CZ"/>
    </w:rPr>
  </w:style>
  <w:style w:type="character" w:customStyle="1" w:styleId="PredmetkomentraChar1165">
    <w:name w:val="Predmet komentára Char1165"/>
    <w:aliases w:val="Char6 Char Char1166,Predmet komentára Char Char Char1166,Comment Subject Char Char Char1166"/>
    <w:uiPriority w:val="99"/>
    <w:semiHidden/>
    <w:rsid w:val="00A809E7"/>
    <w:rPr>
      <w:rFonts w:ascii="Courier" w:hAnsi="Courier"/>
      <w:b/>
      <w:lang w:val="x-none" w:eastAsia="cs-CZ"/>
    </w:rPr>
  </w:style>
  <w:style w:type="character" w:customStyle="1" w:styleId="PredmetkomentraChar1164">
    <w:name w:val="Predmet komentára Char1164"/>
    <w:aliases w:val="Char6 Char Char1165,Predmet komentára Char Char Char1165,Comment Subject Char Char Char1165"/>
    <w:uiPriority w:val="99"/>
    <w:semiHidden/>
    <w:rsid w:val="00A809E7"/>
    <w:rPr>
      <w:rFonts w:ascii="Courier" w:hAnsi="Courier"/>
      <w:b/>
      <w:lang w:val="x-none" w:eastAsia="cs-CZ"/>
    </w:rPr>
  </w:style>
  <w:style w:type="character" w:customStyle="1" w:styleId="PredmetkomentraChar1163">
    <w:name w:val="Predmet komentára Char1163"/>
    <w:aliases w:val="Char6 Char Char1164,Predmet komentára Char Char Char1164,Comment Subject Char Char Char1164"/>
    <w:uiPriority w:val="99"/>
    <w:semiHidden/>
    <w:rsid w:val="00A809E7"/>
    <w:rPr>
      <w:rFonts w:ascii="Courier" w:hAnsi="Courier"/>
      <w:b/>
      <w:lang w:val="x-none" w:eastAsia="cs-CZ"/>
    </w:rPr>
  </w:style>
  <w:style w:type="character" w:customStyle="1" w:styleId="PredmetkomentraChar1162">
    <w:name w:val="Predmet komentára Char1162"/>
    <w:aliases w:val="Char6 Char Char1163,Predmet komentára Char Char Char1163,Comment Subject Char Char Char1163"/>
    <w:uiPriority w:val="99"/>
    <w:semiHidden/>
    <w:rsid w:val="00A809E7"/>
    <w:rPr>
      <w:rFonts w:ascii="Courier" w:hAnsi="Courier"/>
      <w:b/>
      <w:lang w:val="x-none" w:eastAsia="cs-CZ"/>
    </w:rPr>
  </w:style>
  <w:style w:type="character" w:customStyle="1" w:styleId="PredmetkomentraChar1161">
    <w:name w:val="Predmet komentára Char1161"/>
    <w:aliases w:val="Char6 Char Char1162,Predmet komentára Char Char Char1162,Comment Subject Char Char Char1162"/>
    <w:uiPriority w:val="99"/>
    <w:semiHidden/>
    <w:rsid w:val="00A809E7"/>
    <w:rPr>
      <w:rFonts w:ascii="Courier" w:hAnsi="Courier"/>
      <w:b/>
      <w:lang w:val="x-none" w:eastAsia="cs-CZ"/>
    </w:rPr>
  </w:style>
  <w:style w:type="character" w:customStyle="1" w:styleId="PredmetkomentraChar1160">
    <w:name w:val="Predmet komentára Char1160"/>
    <w:aliases w:val="Char6 Char Char1161,Predmet komentára Char Char Char1161,Comment Subject Char Char Char1161"/>
    <w:uiPriority w:val="99"/>
    <w:semiHidden/>
    <w:rsid w:val="00A809E7"/>
    <w:rPr>
      <w:rFonts w:ascii="Courier" w:hAnsi="Courier"/>
      <w:b/>
      <w:lang w:val="x-none" w:eastAsia="cs-CZ"/>
    </w:rPr>
  </w:style>
  <w:style w:type="character" w:customStyle="1" w:styleId="PredmetkomentraChar1159">
    <w:name w:val="Predmet komentára Char1159"/>
    <w:aliases w:val="Char6 Char Char1160,Predmet komentára Char Char Char1160,Comment Subject Char Char Char1160"/>
    <w:uiPriority w:val="99"/>
    <w:semiHidden/>
    <w:rsid w:val="00A809E7"/>
    <w:rPr>
      <w:rFonts w:ascii="Courier" w:hAnsi="Courier"/>
      <w:b/>
      <w:lang w:val="x-none" w:eastAsia="cs-CZ"/>
    </w:rPr>
  </w:style>
  <w:style w:type="character" w:customStyle="1" w:styleId="PredmetkomentraChar1158">
    <w:name w:val="Predmet komentára Char1158"/>
    <w:aliases w:val="Char6 Char Char1159,Predmet komentára Char Char Char1159,Comment Subject Char Char Char1159"/>
    <w:uiPriority w:val="99"/>
    <w:semiHidden/>
    <w:rsid w:val="00A809E7"/>
    <w:rPr>
      <w:rFonts w:ascii="Courier" w:hAnsi="Courier"/>
      <w:b/>
      <w:lang w:val="x-none" w:eastAsia="cs-CZ"/>
    </w:rPr>
  </w:style>
  <w:style w:type="character" w:customStyle="1" w:styleId="PredmetkomentraChar1157">
    <w:name w:val="Predmet komentára Char1157"/>
    <w:aliases w:val="Char6 Char Char1158,Predmet komentára Char Char Char1158,Comment Subject Char Char Char1158"/>
    <w:uiPriority w:val="99"/>
    <w:semiHidden/>
    <w:rsid w:val="00A809E7"/>
    <w:rPr>
      <w:rFonts w:ascii="Courier" w:hAnsi="Courier"/>
      <w:b/>
      <w:lang w:val="x-none" w:eastAsia="cs-CZ"/>
    </w:rPr>
  </w:style>
  <w:style w:type="character" w:customStyle="1" w:styleId="PredmetkomentraChar1156">
    <w:name w:val="Predmet komentára Char1156"/>
    <w:aliases w:val="Char6 Char Char1157,Predmet komentára Char Char Char1157,Comment Subject Char Char Char1157"/>
    <w:uiPriority w:val="99"/>
    <w:semiHidden/>
    <w:rsid w:val="00A809E7"/>
    <w:rPr>
      <w:rFonts w:ascii="Courier" w:hAnsi="Courier"/>
      <w:b/>
      <w:lang w:val="x-none" w:eastAsia="cs-CZ"/>
    </w:rPr>
  </w:style>
  <w:style w:type="character" w:customStyle="1" w:styleId="PredmetkomentraChar1155">
    <w:name w:val="Predmet komentára Char1155"/>
    <w:aliases w:val="Char6 Char Char1156,Predmet komentára Char Char Char1156,Comment Subject Char Char Char1156"/>
    <w:uiPriority w:val="99"/>
    <w:semiHidden/>
    <w:rsid w:val="00A809E7"/>
    <w:rPr>
      <w:rFonts w:ascii="Courier" w:hAnsi="Courier"/>
      <w:b/>
      <w:lang w:val="x-none" w:eastAsia="cs-CZ"/>
    </w:rPr>
  </w:style>
  <w:style w:type="character" w:customStyle="1" w:styleId="PredmetkomentraChar1154">
    <w:name w:val="Predmet komentára Char1154"/>
    <w:aliases w:val="Char6 Char Char1155,Predmet komentára Char Char Char1155,Comment Subject Char Char Char1155"/>
    <w:uiPriority w:val="99"/>
    <w:semiHidden/>
    <w:rsid w:val="00A809E7"/>
    <w:rPr>
      <w:rFonts w:ascii="Courier" w:hAnsi="Courier"/>
      <w:b/>
      <w:lang w:val="x-none" w:eastAsia="cs-CZ"/>
    </w:rPr>
  </w:style>
  <w:style w:type="character" w:customStyle="1" w:styleId="PredmetkomentraChar1153">
    <w:name w:val="Predmet komentára Char1153"/>
    <w:aliases w:val="Char6 Char Char1154,Predmet komentára Char Char Char1154,Comment Subject Char Char Char1154"/>
    <w:uiPriority w:val="99"/>
    <w:semiHidden/>
    <w:rsid w:val="00A809E7"/>
    <w:rPr>
      <w:rFonts w:ascii="Courier" w:hAnsi="Courier"/>
      <w:b/>
      <w:lang w:val="x-none" w:eastAsia="cs-CZ"/>
    </w:rPr>
  </w:style>
  <w:style w:type="character" w:customStyle="1" w:styleId="PredmetkomentraChar1152">
    <w:name w:val="Predmet komentára Char1152"/>
    <w:aliases w:val="Char6 Char Char1153,Predmet komentára Char Char Char1153,Comment Subject Char Char Char1153"/>
    <w:uiPriority w:val="99"/>
    <w:semiHidden/>
    <w:rsid w:val="00A809E7"/>
    <w:rPr>
      <w:rFonts w:ascii="Courier" w:hAnsi="Courier"/>
      <w:b/>
      <w:lang w:val="x-none" w:eastAsia="cs-CZ"/>
    </w:rPr>
  </w:style>
  <w:style w:type="character" w:customStyle="1" w:styleId="PredmetkomentraChar1151">
    <w:name w:val="Predmet komentára Char1151"/>
    <w:aliases w:val="Char6 Char Char1152,Predmet komentára Char Char Char1152,Comment Subject Char Char Char1152"/>
    <w:uiPriority w:val="99"/>
    <w:semiHidden/>
    <w:rsid w:val="00A809E7"/>
    <w:rPr>
      <w:rFonts w:ascii="Courier" w:hAnsi="Courier"/>
      <w:b/>
      <w:lang w:val="x-none" w:eastAsia="cs-CZ"/>
    </w:rPr>
  </w:style>
  <w:style w:type="character" w:customStyle="1" w:styleId="PredmetkomentraChar1150">
    <w:name w:val="Predmet komentára Char1150"/>
    <w:aliases w:val="Char6 Char Char1151,Predmet komentára Char Char Char1151,Comment Subject Char Char Char1151"/>
    <w:uiPriority w:val="99"/>
    <w:semiHidden/>
    <w:rsid w:val="00A809E7"/>
    <w:rPr>
      <w:rFonts w:ascii="Courier" w:hAnsi="Courier"/>
      <w:b/>
      <w:lang w:val="x-none" w:eastAsia="cs-CZ"/>
    </w:rPr>
  </w:style>
  <w:style w:type="character" w:customStyle="1" w:styleId="PredmetkomentraChar1149">
    <w:name w:val="Predmet komentára Char1149"/>
    <w:aliases w:val="Char6 Char Char1150,Predmet komentára Char Char Char1150,Comment Subject Char Char Char1150"/>
    <w:uiPriority w:val="99"/>
    <w:semiHidden/>
    <w:rsid w:val="00A809E7"/>
    <w:rPr>
      <w:rFonts w:ascii="Courier" w:hAnsi="Courier"/>
      <w:b/>
      <w:lang w:val="x-none" w:eastAsia="cs-CZ"/>
    </w:rPr>
  </w:style>
  <w:style w:type="character" w:customStyle="1" w:styleId="PredmetkomentraChar1148">
    <w:name w:val="Predmet komentára Char1148"/>
    <w:aliases w:val="Char6 Char Char1149,Predmet komentára Char Char Char1149,Comment Subject Char Char Char1149"/>
    <w:uiPriority w:val="99"/>
    <w:semiHidden/>
    <w:rsid w:val="00A809E7"/>
    <w:rPr>
      <w:rFonts w:ascii="Courier" w:hAnsi="Courier"/>
      <w:b/>
      <w:lang w:val="x-none" w:eastAsia="cs-CZ"/>
    </w:rPr>
  </w:style>
  <w:style w:type="character" w:customStyle="1" w:styleId="PredmetkomentraChar1147">
    <w:name w:val="Predmet komentára Char1147"/>
    <w:aliases w:val="Char6 Char Char1148,Predmet komentára Char Char Char1148,Comment Subject Char Char Char1148"/>
    <w:uiPriority w:val="99"/>
    <w:semiHidden/>
    <w:rsid w:val="00A809E7"/>
    <w:rPr>
      <w:rFonts w:ascii="Courier" w:hAnsi="Courier"/>
      <w:b/>
      <w:lang w:val="x-none" w:eastAsia="cs-CZ"/>
    </w:rPr>
  </w:style>
  <w:style w:type="character" w:customStyle="1" w:styleId="PredmetkomentraChar1146">
    <w:name w:val="Predmet komentára Char1146"/>
    <w:aliases w:val="Char6 Char Char1147,Predmet komentára Char Char Char1147,Comment Subject Char Char Char1147"/>
    <w:uiPriority w:val="99"/>
    <w:semiHidden/>
    <w:rsid w:val="00A809E7"/>
    <w:rPr>
      <w:rFonts w:ascii="Courier" w:hAnsi="Courier"/>
      <w:b/>
      <w:lang w:val="x-none" w:eastAsia="cs-CZ"/>
    </w:rPr>
  </w:style>
  <w:style w:type="character" w:customStyle="1" w:styleId="PredmetkomentraChar1145">
    <w:name w:val="Predmet komentára Char1145"/>
    <w:aliases w:val="Char6 Char Char1146,Predmet komentára Char Char Char1146,Comment Subject Char Char Char1146"/>
    <w:uiPriority w:val="99"/>
    <w:semiHidden/>
    <w:rsid w:val="00A809E7"/>
    <w:rPr>
      <w:rFonts w:ascii="Courier" w:hAnsi="Courier"/>
      <w:b/>
      <w:lang w:val="x-none" w:eastAsia="cs-CZ"/>
    </w:rPr>
  </w:style>
  <w:style w:type="character" w:customStyle="1" w:styleId="PredmetkomentraChar1144">
    <w:name w:val="Predmet komentára Char1144"/>
    <w:aliases w:val="Char6 Char Char1145,Predmet komentára Char Char Char1145,Comment Subject Char Char Char1145"/>
    <w:uiPriority w:val="99"/>
    <w:semiHidden/>
    <w:rsid w:val="00A809E7"/>
    <w:rPr>
      <w:rFonts w:ascii="Courier" w:hAnsi="Courier"/>
      <w:b/>
      <w:lang w:val="x-none" w:eastAsia="cs-CZ"/>
    </w:rPr>
  </w:style>
  <w:style w:type="character" w:customStyle="1" w:styleId="PredmetkomentraChar1143">
    <w:name w:val="Predmet komentára Char1143"/>
    <w:aliases w:val="Char6 Char Char1144,Predmet komentára Char Char Char1144,Comment Subject Char Char Char1144"/>
    <w:uiPriority w:val="99"/>
    <w:semiHidden/>
    <w:rsid w:val="00A809E7"/>
    <w:rPr>
      <w:rFonts w:ascii="Courier" w:hAnsi="Courier"/>
      <w:b/>
      <w:lang w:val="x-none" w:eastAsia="cs-CZ"/>
    </w:rPr>
  </w:style>
  <w:style w:type="character" w:customStyle="1" w:styleId="PredmetkomentraChar1142">
    <w:name w:val="Predmet komentára Char1142"/>
    <w:aliases w:val="Char6 Char Char1143,Predmet komentára Char Char Char1143,Comment Subject Char Char Char1143"/>
    <w:uiPriority w:val="99"/>
    <w:semiHidden/>
    <w:rsid w:val="00A809E7"/>
    <w:rPr>
      <w:rFonts w:ascii="Courier" w:hAnsi="Courier"/>
      <w:b/>
      <w:lang w:val="x-none" w:eastAsia="cs-CZ"/>
    </w:rPr>
  </w:style>
  <w:style w:type="character" w:customStyle="1" w:styleId="PredmetkomentraChar1141">
    <w:name w:val="Predmet komentára Char1141"/>
    <w:aliases w:val="Char6 Char Char1142,Predmet komentára Char Char Char1142,Comment Subject Char Char Char1142"/>
    <w:uiPriority w:val="99"/>
    <w:semiHidden/>
    <w:rsid w:val="00A809E7"/>
    <w:rPr>
      <w:rFonts w:ascii="Courier" w:hAnsi="Courier"/>
      <w:b/>
      <w:lang w:val="x-none" w:eastAsia="cs-CZ"/>
    </w:rPr>
  </w:style>
  <w:style w:type="character" w:customStyle="1" w:styleId="PredmetkomentraChar1140">
    <w:name w:val="Predmet komentára Char1140"/>
    <w:aliases w:val="Char6 Char Char1141,Predmet komentára Char Char Char1141,Comment Subject Char Char Char1141"/>
    <w:uiPriority w:val="99"/>
    <w:semiHidden/>
    <w:rsid w:val="00A809E7"/>
    <w:rPr>
      <w:rFonts w:ascii="Courier" w:hAnsi="Courier"/>
      <w:b/>
      <w:lang w:val="x-none" w:eastAsia="cs-CZ"/>
    </w:rPr>
  </w:style>
  <w:style w:type="character" w:customStyle="1" w:styleId="PredmetkomentraChar1139">
    <w:name w:val="Predmet komentára Char1139"/>
    <w:aliases w:val="Char6 Char Char1140,Predmet komentára Char Char Char1140,Comment Subject Char Char Char1140"/>
    <w:uiPriority w:val="99"/>
    <w:semiHidden/>
    <w:rsid w:val="00A809E7"/>
    <w:rPr>
      <w:rFonts w:ascii="Courier" w:hAnsi="Courier"/>
      <w:b/>
      <w:lang w:val="x-none" w:eastAsia="cs-CZ"/>
    </w:rPr>
  </w:style>
  <w:style w:type="character" w:customStyle="1" w:styleId="PredmetkomentraChar1138">
    <w:name w:val="Predmet komentára Char1138"/>
    <w:aliases w:val="Char6 Char Char1139,Predmet komentára Char Char Char1139,Comment Subject Char Char Char1139"/>
    <w:uiPriority w:val="99"/>
    <w:semiHidden/>
    <w:rsid w:val="00A809E7"/>
    <w:rPr>
      <w:rFonts w:ascii="Courier" w:hAnsi="Courier"/>
      <w:b/>
      <w:lang w:val="x-none" w:eastAsia="cs-CZ"/>
    </w:rPr>
  </w:style>
  <w:style w:type="character" w:customStyle="1" w:styleId="PredmetkomentraChar1137">
    <w:name w:val="Predmet komentára Char1137"/>
    <w:aliases w:val="Char6 Char Char1138,Predmet komentára Char Char Char1138,Comment Subject Char Char Char1138"/>
    <w:uiPriority w:val="99"/>
    <w:semiHidden/>
    <w:rsid w:val="00A809E7"/>
    <w:rPr>
      <w:rFonts w:ascii="Courier" w:hAnsi="Courier"/>
      <w:b/>
      <w:lang w:val="x-none" w:eastAsia="cs-CZ"/>
    </w:rPr>
  </w:style>
  <w:style w:type="character" w:customStyle="1" w:styleId="PredmetkomentraChar1136">
    <w:name w:val="Predmet komentára Char1136"/>
    <w:aliases w:val="Char6 Char Char1137,Predmet komentára Char Char Char1137,Comment Subject Char Char Char1137"/>
    <w:uiPriority w:val="99"/>
    <w:semiHidden/>
    <w:rsid w:val="00A809E7"/>
    <w:rPr>
      <w:rFonts w:ascii="Courier" w:hAnsi="Courier"/>
      <w:b/>
      <w:lang w:val="x-none" w:eastAsia="cs-CZ"/>
    </w:rPr>
  </w:style>
  <w:style w:type="character" w:customStyle="1" w:styleId="PredmetkomentraChar1135">
    <w:name w:val="Predmet komentára Char1135"/>
    <w:aliases w:val="Char6 Char Char1136,Predmet komentára Char Char Char1136,Comment Subject Char Char Char1136"/>
    <w:uiPriority w:val="99"/>
    <w:semiHidden/>
    <w:rsid w:val="00A809E7"/>
    <w:rPr>
      <w:rFonts w:ascii="Courier" w:hAnsi="Courier"/>
      <w:b/>
      <w:lang w:val="x-none" w:eastAsia="cs-CZ"/>
    </w:rPr>
  </w:style>
  <w:style w:type="character" w:customStyle="1" w:styleId="PredmetkomentraChar1134">
    <w:name w:val="Predmet komentára Char1134"/>
    <w:aliases w:val="Char6 Char Char1135,Predmet komentára Char Char Char1135,Comment Subject Char Char Char1135"/>
    <w:uiPriority w:val="99"/>
    <w:semiHidden/>
    <w:rsid w:val="00A809E7"/>
    <w:rPr>
      <w:rFonts w:ascii="Courier" w:hAnsi="Courier"/>
      <w:b/>
      <w:lang w:val="x-none" w:eastAsia="cs-CZ"/>
    </w:rPr>
  </w:style>
  <w:style w:type="character" w:customStyle="1" w:styleId="PredmetkomentraChar1133">
    <w:name w:val="Predmet komentára Char1133"/>
    <w:aliases w:val="Char6 Char Char1134,Predmet komentára Char Char Char1134,Comment Subject Char Char Char1134"/>
    <w:uiPriority w:val="99"/>
    <w:semiHidden/>
    <w:rsid w:val="00A809E7"/>
    <w:rPr>
      <w:rFonts w:ascii="Courier" w:hAnsi="Courier"/>
      <w:b/>
      <w:lang w:val="x-none" w:eastAsia="cs-CZ"/>
    </w:rPr>
  </w:style>
  <w:style w:type="character" w:customStyle="1" w:styleId="PredmetkomentraChar1132">
    <w:name w:val="Predmet komentára Char1132"/>
    <w:aliases w:val="Char6 Char Char1133,Predmet komentára Char Char Char1133,Comment Subject Char Char Char1133"/>
    <w:uiPriority w:val="99"/>
    <w:semiHidden/>
    <w:rsid w:val="00A809E7"/>
    <w:rPr>
      <w:rFonts w:ascii="Courier" w:hAnsi="Courier"/>
      <w:b/>
      <w:lang w:val="x-none" w:eastAsia="cs-CZ"/>
    </w:rPr>
  </w:style>
  <w:style w:type="character" w:customStyle="1" w:styleId="PredmetkomentraChar1131">
    <w:name w:val="Predmet komentára Char1131"/>
    <w:aliases w:val="Char6 Char Char1132,Predmet komentára Char Char Char1132,Comment Subject Char Char Char1132"/>
    <w:uiPriority w:val="99"/>
    <w:semiHidden/>
    <w:rsid w:val="00A809E7"/>
    <w:rPr>
      <w:rFonts w:ascii="Courier" w:hAnsi="Courier"/>
      <w:b/>
      <w:lang w:val="x-none" w:eastAsia="cs-CZ"/>
    </w:rPr>
  </w:style>
  <w:style w:type="character" w:customStyle="1" w:styleId="PredmetkomentraChar1130">
    <w:name w:val="Predmet komentára Char1130"/>
    <w:aliases w:val="Char6 Char Char1131,Predmet komentára Char Char Char1131,Comment Subject Char Char Char1131"/>
    <w:uiPriority w:val="99"/>
    <w:semiHidden/>
    <w:rsid w:val="00A809E7"/>
    <w:rPr>
      <w:rFonts w:ascii="Courier" w:hAnsi="Courier"/>
      <w:b/>
      <w:lang w:val="x-none" w:eastAsia="cs-CZ"/>
    </w:rPr>
  </w:style>
  <w:style w:type="character" w:customStyle="1" w:styleId="PredmetkomentraChar1129">
    <w:name w:val="Predmet komentára Char1129"/>
    <w:aliases w:val="Char6 Char Char1130,Predmet komentára Char Char Char1130,Comment Subject Char Char Char1130"/>
    <w:uiPriority w:val="99"/>
    <w:semiHidden/>
    <w:rsid w:val="00A809E7"/>
    <w:rPr>
      <w:rFonts w:ascii="Courier" w:hAnsi="Courier"/>
      <w:b/>
      <w:lang w:val="x-none" w:eastAsia="cs-CZ"/>
    </w:rPr>
  </w:style>
  <w:style w:type="character" w:customStyle="1" w:styleId="PredmetkomentraChar1128">
    <w:name w:val="Predmet komentára Char1128"/>
    <w:aliases w:val="Char6 Char Char1129,Predmet komentára Char Char Char1129,Comment Subject Char Char Char1129"/>
    <w:uiPriority w:val="99"/>
    <w:semiHidden/>
    <w:rsid w:val="00A809E7"/>
    <w:rPr>
      <w:rFonts w:ascii="Courier" w:hAnsi="Courier"/>
      <w:b/>
      <w:lang w:val="x-none" w:eastAsia="cs-CZ"/>
    </w:rPr>
  </w:style>
  <w:style w:type="character" w:customStyle="1" w:styleId="PredmetkomentraChar1127">
    <w:name w:val="Predmet komentára Char1127"/>
    <w:aliases w:val="Char6 Char Char1128,Predmet komentára Char Char Char1128,Comment Subject Char Char Char1128"/>
    <w:uiPriority w:val="99"/>
    <w:semiHidden/>
    <w:rsid w:val="00A809E7"/>
    <w:rPr>
      <w:rFonts w:ascii="Courier" w:hAnsi="Courier"/>
      <w:b/>
      <w:lang w:val="x-none" w:eastAsia="cs-CZ"/>
    </w:rPr>
  </w:style>
  <w:style w:type="character" w:customStyle="1" w:styleId="PredmetkomentraChar1126">
    <w:name w:val="Predmet komentára Char1126"/>
    <w:aliases w:val="Char6 Char Char1127,Predmet komentára Char Char Char1127,Comment Subject Char Char Char1127"/>
    <w:uiPriority w:val="99"/>
    <w:semiHidden/>
    <w:rsid w:val="00A809E7"/>
    <w:rPr>
      <w:rFonts w:ascii="Courier" w:hAnsi="Courier"/>
      <w:b/>
      <w:lang w:val="x-none" w:eastAsia="cs-CZ"/>
    </w:rPr>
  </w:style>
  <w:style w:type="character" w:customStyle="1" w:styleId="PredmetkomentraChar1125">
    <w:name w:val="Predmet komentára Char1125"/>
    <w:aliases w:val="Char6 Char Char1126,Predmet komentára Char Char Char1126,Comment Subject Char Char Char1126"/>
    <w:uiPriority w:val="99"/>
    <w:semiHidden/>
    <w:rsid w:val="00A809E7"/>
    <w:rPr>
      <w:rFonts w:ascii="Courier" w:hAnsi="Courier"/>
      <w:b/>
      <w:lang w:val="x-none" w:eastAsia="cs-CZ"/>
    </w:rPr>
  </w:style>
  <w:style w:type="character" w:customStyle="1" w:styleId="PredmetkomentraChar1124">
    <w:name w:val="Predmet komentára Char1124"/>
    <w:aliases w:val="Char6 Char Char1125,Predmet komentára Char Char Char1125,Comment Subject Char Char Char1125"/>
    <w:uiPriority w:val="99"/>
    <w:semiHidden/>
    <w:rsid w:val="00A809E7"/>
    <w:rPr>
      <w:rFonts w:ascii="Courier" w:hAnsi="Courier"/>
      <w:b/>
      <w:lang w:val="x-none" w:eastAsia="cs-CZ"/>
    </w:rPr>
  </w:style>
  <w:style w:type="character" w:customStyle="1" w:styleId="PredmetkomentraChar1123">
    <w:name w:val="Predmet komentára Char1123"/>
    <w:aliases w:val="Char6 Char Char1124,Predmet komentára Char Char Char1124,Comment Subject Char Char Char1124"/>
    <w:uiPriority w:val="99"/>
    <w:semiHidden/>
    <w:rsid w:val="00A809E7"/>
    <w:rPr>
      <w:rFonts w:ascii="Courier" w:hAnsi="Courier"/>
      <w:b/>
      <w:lang w:val="x-none" w:eastAsia="cs-CZ"/>
    </w:rPr>
  </w:style>
  <w:style w:type="character" w:customStyle="1" w:styleId="PredmetkomentraChar1122">
    <w:name w:val="Predmet komentára Char1122"/>
    <w:aliases w:val="Char6 Char Char1123,Predmet komentára Char Char Char1123,Comment Subject Char Char Char1123"/>
    <w:uiPriority w:val="99"/>
    <w:semiHidden/>
    <w:rsid w:val="00A809E7"/>
    <w:rPr>
      <w:rFonts w:ascii="Courier" w:hAnsi="Courier"/>
      <w:b/>
      <w:lang w:val="x-none" w:eastAsia="cs-CZ"/>
    </w:rPr>
  </w:style>
  <w:style w:type="character" w:customStyle="1" w:styleId="PredmetkomentraChar1121">
    <w:name w:val="Predmet komentára Char1121"/>
    <w:aliases w:val="Char6 Char Char1122,Predmet komentára Char Char Char1122,Comment Subject Char Char Char1122"/>
    <w:uiPriority w:val="99"/>
    <w:semiHidden/>
    <w:rsid w:val="00A809E7"/>
    <w:rPr>
      <w:rFonts w:ascii="Courier" w:hAnsi="Courier"/>
      <w:b/>
      <w:lang w:val="x-none" w:eastAsia="cs-CZ"/>
    </w:rPr>
  </w:style>
  <w:style w:type="character" w:customStyle="1" w:styleId="PredmetkomentraChar1120">
    <w:name w:val="Predmet komentára Char1120"/>
    <w:aliases w:val="Char6 Char Char1121,Predmet komentára Char Char Char1121,Comment Subject Char Char Char1121"/>
    <w:uiPriority w:val="99"/>
    <w:semiHidden/>
    <w:rsid w:val="00A809E7"/>
    <w:rPr>
      <w:rFonts w:ascii="Courier" w:hAnsi="Courier"/>
      <w:b/>
      <w:lang w:val="x-none" w:eastAsia="cs-CZ"/>
    </w:rPr>
  </w:style>
  <w:style w:type="character" w:customStyle="1" w:styleId="PredmetkomentraChar1119">
    <w:name w:val="Predmet komentára Char1119"/>
    <w:aliases w:val="Char6 Char Char1120,Predmet komentára Char Char Char1120,Comment Subject Char Char Char1120"/>
    <w:uiPriority w:val="99"/>
    <w:semiHidden/>
    <w:rsid w:val="00A809E7"/>
    <w:rPr>
      <w:rFonts w:ascii="Courier" w:hAnsi="Courier"/>
      <w:b/>
      <w:lang w:val="x-none" w:eastAsia="cs-CZ"/>
    </w:rPr>
  </w:style>
  <w:style w:type="character" w:customStyle="1" w:styleId="PredmetkomentraChar1118">
    <w:name w:val="Predmet komentára Char1118"/>
    <w:aliases w:val="Char6 Char Char1119,Predmet komentára Char Char Char1119,Comment Subject Char Char Char1119"/>
    <w:uiPriority w:val="99"/>
    <w:semiHidden/>
    <w:rsid w:val="00A809E7"/>
    <w:rPr>
      <w:rFonts w:ascii="Courier" w:hAnsi="Courier"/>
      <w:b/>
      <w:lang w:val="x-none" w:eastAsia="cs-CZ"/>
    </w:rPr>
  </w:style>
  <w:style w:type="character" w:customStyle="1" w:styleId="PredmetkomentraChar1117">
    <w:name w:val="Predmet komentára Char1117"/>
    <w:aliases w:val="Char6 Char Char1118,Predmet komentára Char Char Char1118,Comment Subject Char Char Char1118"/>
    <w:uiPriority w:val="99"/>
    <w:semiHidden/>
    <w:rsid w:val="00A809E7"/>
    <w:rPr>
      <w:rFonts w:ascii="Courier" w:hAnsi="Courier"/>
      <w:b/>
      <w:lang w:val="x-none" w:eastAsia="cs-CZ"/>
    </w:rPr>
  </w:style>
  <w:style w:type="character" w:customStyle="1" w:styleId="PredmetkomentraChar1116">
    <w:name w:val="Predmet komentára Char1116"/>
    <w:aliases w:val="Char6 Char Char1117,Predmet komentára Char Char Char1117,Comment Subject Char Char Char1117"/>
    <w:uiPriority w:val="99"/>
    <w:semiHidden/>
    <w:rsid w:val="00A809E7"/>
    <w:rPr>
      <w:rFonts w:ascii="Courier" w:hAnsi="Courier"/>
      <w:b/>
      <w:lang w:val="x-none" w:eastAsia="cs-CZ"/>
    </w:rPr>
  </w:style>
  <w:style w:type="character" w:customStyle="1" w:styleId="PredmetkomentraChar1115">
    <w:name w:val="Predmet komentára Char1115"/>
    <w:aliases w:val="Char6 Char Char1116,Predmet komentára Char Char Char1116,Comment Subject Char Char Char1116"/>
    <w:uiPriority w:val="99"/>
    <w:semiHidden/>
    <w:rsid w:val="00A809E7"/>
    <w:rPr>
      <w:rFonts w:ascii="Courier" w:hAnsi="Courier"/>
      <w:b/>
      <w:lang w:val="x-none" w:eastAsia="cs-CZ"/>
    </w:rPr>
  </w:style>
  <w:style w:type="character" w:customStyle="1" w:styleId="PredmetkomentraChar1114">
    <w:name w:val="Predmet komentára Char1114"/>
    <w:aliases w:val="Char6 Char Char1115,Predmet komentára Char Char Char1115,Comment Subject Char Char Char1115"/>
    <w:uiPriority w:val="99"/>
    <w:semiHidden/>
    <w:rsid w:val="00A809E7"/>
    <w:rPr>
      <w:rFonts w:ascii="Courier" w:hAnsi="Courier"/>
      <w:b/>
      <w:lang w:val="x-none" w:eastAsia="cs-CZ"/>
    </w:rPr>
  </w:style>
  <w:style w:type="character" w:customStyle="1" w:styleId="PredmetkomentraChar1113">
    <w:name w:val="Predmet komentára Char1113"/>
    <w:aliases w:val="Char6 Char Char1114,Predmet komentára Char Char Char1114,Comment Subject Char Char Char1114"/>
    <w:uiPriority w:val="99"/>
    <w:semiHidden/>
    <w:rsid w:val="00A809E7"/>
    <w:rPr>
      <w:rFonts w:ascii="Courier" w:hAnsi="Courier"/>
      <w:b/>
      <w:lang w:val="x-none" w:eastAsia="cs-CZ"/>
    </w:rPr>
  </w:style>
  <w:style w:type="character" w:customStyle="1" w:styleId="PredmetkomentraChar1112">
    <w:name w:val="Predmet komentára Char1112"/>
    <w:aliases w:val="Char6 Char Char1113,Predmet komentára Char Char Char1113,Comment Subject Char Char Char1113"/>
    <w:uiPriority w:val="99"/>
    <w:semiHidden/>
    <w:rsid w:val="00A809E7"/>
    <w:rPr>
      <w:rFonts w:ascii="Courier" w:hAnsi="Courier"/>
      <w:b/>
      <w:lang w:val="x-none" w:eastAsia="cs-CZ"/>
    </w:rPr>
  </w:style>
  <w:style w:type="character" w:customStyle="1" w:styleId="PredmetkomentraChar1111">
    <w:name w:val="Predmet komentára Char1111"/>
    <w:aliases w:val="Char6 Char Char1112,Predmet komentára Char Char Char1112,Comment Subject Char Char Char1112"/>
    <w:uiPriority w:val="99"/>
    <w:semiHidden/>
    <w:rsid w:val="00A809E7"/>
    <w:rPr>
      <w:rFonts w:ascii="Courier" w:hAnsi="Courier"/>
      <w:b/>
      <w:lang w:val="x-none" w:eastAsia="cs-CZ"/>
    </w:rPr>
  </w:style>
  <w:style w:type="character" w:customStyle="1" w:styleId="PredmetkomentraChar1110">
    <w:name w:val="Predmet komentára Char1110"/>
    <w:aliases w:val="Char6 Char Char1111,Predmet komentára Char Char Char1111,Comment Subject Char Char Char1111"/>
    <w:uiPriority w:val="99"/>
    <w:semiHidden/>
    <w:rsid w:val="00A809E7"/>
    <w:rPr>
      <w:rFonts w:ascii="Courier" w:hAnsi="Courier"/>
      <w:b/>
      <w:lang w:val="x-none" w:eastAsia="cs-CZ"/>
    </w:rPr>
  </w:style>
  <w:style w:type="character" w:customStyle="1" w:styleId="PredmetkomentraChar1109">
    <w:name w:val="Predmet komentára Char1109"/>
    <w:aliases w:val="Char6 Char Char1110,Predmet komentára Char Char Char1110,Comment Subject Char Char Char1110"/>
    <w:uiPriority w:val="99"/>
    <w:semiHidden/>
    <w:rsid w:val="00A809E7"/>
    <w:rPr>
      <w:rFonts w:ascii="Courier" w:hAnsi="Courier"/>
      <w:b/>
      <w:lang w:val="x-none" w:eastAsia="cs-CZ"/>
    </w:rPr>
  </w:style>
  <w:style w:type="character" w:customStyle="1" w:styleId="PredmetkomentraChar1108">
    <w:name w:val="Predmet komentára Char1108"/>
    <w:aliases w:val="Char6 Char Char1109,Predmet komentára Char Char Char1109,Comment Subject Char Char Char1109"/>
    <w:uiPriority w:val="99"/>
    <w:semiHidden/>
    <w:rsid w:val="00A809E7"/>
    <w:rPr>
      <w:rFonts w:ascii="Courier" w:hAnsi="Courier"/>
      <w:b/>
      <w:lang w:val="x-none" w:eastAsia="cs-CZ"/>
    </w:rPr>
  </w:style>
  <w:style w:type="character" w:customStyle="1" w:styleId="PredmetkomentraChar1107">
    <w:name w:val="Predmet komentára Char1107"/>
    <w:aliases w:val="Char6 Char Char1108,Predmet komentára Char Char Char1108,Comment Subject Char Char Char1108"/>
    <w:uiPriority w:val="99"/>
    <w:semiHidden/>
    <w:rsid w:val="00A809E7"/>
    <w:rPr>
      <w:rFonts w:ascii="Courier" w:hAnsi="Courier"/>
      <w:b/>
      <w:lang w:val="x-none" w:eastAsia="cs-CZ"/>
    </w:rPr>
  </w:style>
  <w:style w:type="character" w:customStyle="1" w:styleId="PredmetkomentraChar1106">
    <w:name w:val="Predmet komentára Char1106"/>
    <w:aliases w:val="Char6 Char Char1107,Predmet komentára Char Char Char1107,Comment Subject Char Char Char1107"/>
    <w:uiPriority w:val="99"/>
    <w:semiHidden/>
    <w:rsid w:val="00A809E7"/>
    <w:rPr>
      <w:rFonts w:ascii="Courier" w:hAnsi="Courier"/>
      <w:b/>
      <w:lang w:val="x-none" w:eastAsia="cs-CZ"/>
    </w:rPr>
  </w:style>
  <w:style w:type="character" w:customStyle="1" w:styleId="PredmetkomentraChar1105">
    <w:name w:val="Predmet komentára Char1105"/>
    <w:aliases w:val="Char6 Char Char1106,Predmet komentára Char Char Char1106,Comment Subject Char Char Char1106"/>
    <w:uiPriority w:val="99"/>
    <w:semiHidden/>
    <w:rsid w:val="00A809E7"/>
    <w:rPr>
      <w:rFonts w:ascii="Courier" w:hAnsi="Courier"/>
      <w:b/>
      <w:lang w:val="x-none" w:eastAsia="cs-CZ"/>
    </w:rPr>
  </w:style>
  <w:style w:type="character" w:customStyle="1" w:styleId="PredmetkomentraChar1104">
    <w:name w:val="Predmet komentára Char1104"/>
    <w:aliases w:val="Char6 Char Char1105,Predmet komentára Char Char Char1105,Comment Subject Char Char Char1105"/>
    <w:uiPriority w:val="99"/>
    <w:semiHidden/>
    <w:rsid w:val="00A809E7"/>
    <w:rPr>
      <w:rFonts w:ascii="Courier" w:hAnsi="Courier"/>
      <w:b/>
      <w:lang w:val="x-none" w:eastAsia="cs-CZ"/>
    </w:rPr>
  </w:style>
  <w:style w:type="character" w:customStyle="1" w:styleId="PredmetkomentraChar1103">
    <w:name w:val="Predmet komentára Char1103"/>
    <w:aliases w:val="Char6 Char Char1104,Predmet komentára Char Char Char1104,Comment Subject Char Char Char1104"/>
    <w:uiPriority w:val="99"/>
    <w:semiHidden/>
    <w:rsid w:val="00A809E7"/>
    <w:rPr>
      <w:rFonts w:ascii="Courier" w:hAnsi="Courier"/>
      <w:b/>
      <w:lang w:val="x-none" w:eastAsia="cs-CZ"/>
    </w:rPr>
  </w:style>
  <w:style w:type="character" w:customStyle="1" w:styleId="PredmetkomentraChar1102">
    <w:name w:val="Predmet komentára Char1102"/>
    <w:aliases w:val="Char6 Char Char1103,Predmet komentára Char Char Char1103,Comment Subject Char Char Char1103"/>
    <w:uiPriority w:val="99"/>
    <w:semiHidden/>
    <w:rsid w:val="00A809E7"/>
    <w:rPr>
      <w:rFonts w:ascii="Courier" w:hAnsi="Courier"/>
      <w:b/>
      <w:lang w:val="x-none" w:eastAsia="cs-CZ"/>
    </w:rPr>
  </w:style>
  <w:style w:type="character" w:customStyle="1" w:styleId="PredmetkomentraChar1101">
    <w:name w:val="Predmet komentára Char1101"/>
    <w:aliases w:val="Char6 Char Char1102,Predmet komentára Char Char Char1102,Comment Subject Char Char Char1102"/>
    <w:uiPriority w:val="99"/>
    <w:semiHidden/>
    <w:rsid w:val="00A809E7"/>
    <w:rPr>
      <w:rFonts w:ascii="Courier" w:hAnsi="Courier"/>
      <w:b/>
      <w:lang w:val="x-none" w:eastAsia="cs-CZ"/>
    </w:rPr>
  </w:style>
  <w:style w:type="character" w:customStyle="1" w:styleId="PredmetkomentraChar1100">
    <w:name w:val="Predmet komentára Char1100"/>
    <w:aliases w:val="Char6 Char Char1101,Predmet komentára Char Char Char1101,Comment Subject Char Char Char1101"/>
    <w:uiPriority w:val="99"/>
    <w:semiHidden/>
    <w:rsid w:val="00A809E7"/>
    <w:rPr>
      <w:rFonts w:ascii="Courier" w:hAnsi="Courier"/>
      <w:b/>
      <w:lang w:val="x-none" w:eastAsia="cs-CZ"/>
    </w:rPr>
  </w:style>
  <w:style w:type="character" w:customStyle="1" w:styleId="PredmetkomentraChar199">
    <w:name w:val="Predmet komentára Char199"/>
    <w:aliases w:val="Char6 Char Char1100,Predmet komentára Char Char Char1100,Comment Subject Char Char Char1100"/>
    <w:uiPriority w:val="99"/>
    <w:semiHidden/>
    <w:rsid w:val="00A809E7"/>
    <w:rPr>
      <w:rFonts w:ascii="Courier" w:hAnsi="Courier"/>
      <w:b/>
      <w:lang w:val="x-none" w:eastAsia="cs-CZ"/>
    </w:rPr>
  </w:style>
  <w:style w:type="character" w:customStyle="1" w:styleId="PredmetkomentraChar198">
    <w:name w:val="Predmet komentára Char198"/>
    <w:aliases w:val="Char6 Char Char199,Predmet komentára Char Char Char199,Comment Subject Char Char Char199"/>
    <w:uiPriority w:val="99"/>
    <w:semiHidden/>
    <w:rsid w:val="00A809E7"/>
    <w:rPr>
      <w:rFonts w:ascii="Courier" w:hAnsi="Courier"/>
      <w:b/>
      <w:lang w:val="x-none" w:eastAsia="cs-CZ"/>
    </w:rPr>
  </w:style>
  <w:style w:type="character" w:customStyle="1" w:styleId="PredmetkomentraChar197">
    <w:name w:val="Predmet komentára Char197"/>
    <w:aliases w:val="Char6 Char Char198,Predmet komentára Char Char Char198,Comment Subject Char Char Char198"/>
    <w:uiPriority w:val="99"/>
    <w:semiHidden/>
    <w:rsid w:val="00A809E7"/>
    <w:rPr>
      <w:rFonts w:ascii="Courier" w:hAnsi="Courier"/>
      <w:b/>
      <w:lang w:val="x-none" w:eastAsia="cs-CZ"/>
    </w:rPr>
  </w:style>
  <w:style w:type="character" w:customStyle="1" w:styleId="PredmetkomentraChar196">
    <w:name w:val="Predmet komentára Char196"/>
    <w:aliases w:val="Char6 Char Char197,Predmet komentára Char Char Char197,Comment Subject Char Char Char197"/>
    <w:uiPriority w:val="99"/>
    <w:semiHidden/>
    <w:rsid w:val="00A809E7"/>
    <w:rPr>
      <w:rFonts w:ascii="Courier" w:hAnsi="Courier"/>
      <w:b/>
      <w:lang w:val="x-none" w:eastAsia="cs-CZ"/>
    </w:rPr>
  </w:style>
  <w:style w:type="character" w:customStyle="1" w:styleId="PredmetkomentraChar195">
    <w:name w:val="Predmet komentára Char195"/>
    <w:aliases w:val="Char6 Char Char196,Predmet komentára Char Char Char196,Comment Subject Char Char Char196"/>
    <w:uiPriority w:val="99"/>
    <w:semiHidden/>
    <w:rsid w:val="00A809E7"/>
    <w:rPr>
      <w:rFonts w:ascii="Courier" w:hAnsi="Courier"/>
      <w:b/>
      <w:lang w:val="x-none" w:eastAsia="cs-CZ"/>
    </w:rPr>
  </w:style>
  <w:style w:type="character" w:customStyle="1" w:styleId="PredmetkomentraChar194">
    <w:name w:val="Predmet komentára Char194"/>
    <w:aliases w:val="Char6 Char Char195,Predmet komentára Char Char Char195,Comment Subject Char Char Char195"/>
    <w:uiPriority w:val="99"/>
    <w:semiHidden/>
    <w:rsid w:val="00A809E7"/>
    <w:rPr>
      <w:rFonts w:ascii="Courier" w:hAnsi="Courier"/>
      <w:b/>
      <w:lang w:val="x-none" w:eastAsia="cs-CZ"/>
    </w:rPr>
  </w:style>
  <w:style w:type="character" w:customStyle="1" w:styleId="PredmetkomentraChar193">
    <w:name w:val="Predmet komentára Char193"/>
    <w:aliases w:val="Char6 Char Char194,Predmet komentára Char Char Char194,Comment Subject Char Char Char194"/>
    <w:uiPriority w:val="99"/>
    <w:semiHidden/>
    <w:rsid w:val="00A809E7"/>
    <w:rPr>
      <w:rFonts w:ascii="Courier" w:hAnsi="Courier"/>
      <w:b/>
      <w:lang w:val="x-none" w:eastAsia="cs-CZ"/>
    </w:rPr>
  </w:style>
  <w:style w:type="character" w:customStyle="1" w:styleId="PredmetkomentraChar192">
    <w:name w:val="Predmet komentára Char192"/>
    <w:aliases w:val="Char6 Char Char193,Predmet komentára Char Char Char193,Comment Subject Char Char Char193"/>
    <w:uiPriority w:val="99"/>
    <w:semiHidden/>
    <w:rsid w:val="00A809E7"/>
    <w:rPr>
      <w:rFonts w:ascii="Courier" w:hAnsi="Courier"/>
      <w:b/>
      <w:lang w:val="x-none" w:eastAsia="cs-CZ"/>
    </w:rPr>
  </w:style>
  <w:style w:type="character" w:customStyle="1" w:styleId="PredmetkomentraChar191">
    <w:name w:val="Predmet komentára Char191"/>
    <w:aliases w:val="Char6 Char Char192,Predmet komentára Char Char Char192,Comment Subject Char Char Char192"/>
    <w:uiPriority w:val="99"/>
    <w:semiHidden/>
    <w:rsid w:val="00A809E7"/>
    <w:rPr>
      <w:rFonts w:ascii="Courier" w:hAnsi="Courier"/>
      <w:b/>
      <w:lang w:val="x-none" w:eastAsia="cs-CZ"/>
    </w:rPr>
  </w:style>
  <w:style w:type="character" w:customStyle="1" w:styleId="PredmetkomentraChar190">
    <w:name w:val="Predmet komentára Char190"/>
    <w:aliases w:val="Char6 Char Char191,Predmet komentára Char Char Char191,Comment Subject Char Char Char191"/>
    <w:uiPriority w:val="99"/>
    <w:semiHidden/>
    <w:rsid w:val="00A809E7"/>
    <w:rPr>
      <w:rFonts w:ascii="Courier" w:hAnsi="Courier"/>
      <w:b/>
      <w:lang w:val="x-none" w:eastAsia="cs-CZ"/>
    </w:rPr>
  </w:style>
  <w:style w:type="character" w:customStyle="1" w:styleId="PredmetkomentraChar189">
    <w:name w:val="Predmet komentára Char189"/>
    <w:aliases w:val="Char6 Char Char190,Predmet komentára Char Char Char190,Comment Subject Char Char Char190"/>
    <w:uiPriority w:val="99"/>
    <w:semiHidden/>
    <w:rsid w:val="00A809E7"/>
    <w:rPr>
      <w:rFonts w:ascii="Courier" w:hAnsi="Courier"/>
      <w:b/>
      <w:lang w:val="x-none" w:eastAsia="cs-CZ"/>
    </w:rPr>
  </w:style>
  <w:style w:type="character" w:customStyle="1" w:styleId="PredmetkomentraChar188">
    <w:name w:val="Predmet komentára Char188"/>
    <w:aliases w:val="Char6 Char Char189,Predmet komentára Char Char Char189,Comment Subject Char Char Char189"/>
    <w:uiPriority w:val="99"/>
    <w:semiHidden/>
    <w:rsid w:val="00A809E7"/>
    <w:rPr>
      <w:rFonts w:ascii="Courier" w:hAnsi="Courier"/>
      <w:b/>
      <w:lang w:val="x-none" w:eastAsia="cs-CZ"/>
    </w:rPr>
  </w:style>
  <w:style w:type="character" w:customStyle="1" w:styleId="PredmetkomentraChar187">
    <w:name w:val="Predmet komentára Char187"/>
    <w:aliases w:val="Char6 Char Char188,Predmet komentára Char Char Char188,Comment Subject Char Char Char188"/>
    <w:uiPriority w:val="99"/>
    <w:semiHidden/>
    <w:rsid w:val="00A809E7"/>
    <w:rPr>
      <w:rFonts w:ascii="Courier" w:hAnsi="Courier"/>
      <w:b/>
      <w:lang w:val="x-none" w:eastAsia="cs-CZ"/>
    </w:rPr>
  </w:style>
  <w:style w:type="character" w:customStyle="1" w:styleId="PredmetkomentraChar186">
    <w:name w:val="Predmet komentára Char186"/>
    <w:aliases w:val="Char6 Char Char187,Predmet komentára Char Char Char187,Comment Subject Char Char Char187"/>
    <w:uiPriority w:val="99"/>
    <w:semiHidden/>
    <w:rsid w:val="00A809E7"/>
    <w:rPr>
      <w:rFonts w:ascii="Courier" w:hAnsi="Courier"/>
      <w:b/>
      <w:lang w:val="x-none" w:eastAsia="cs-CZ"/>
    </w:rPr>
  </w:style>
  <w:style w:type="character" w:customStyle="1" w:styleId="PredmetkomentraChar185">
    <w:name w:val="Predmet komentára Char185"/>
    <w:aliases w:val="Char6 Char Char186,Predmet komentára Char Char Char186,Comment Subject Char Char Char186"/>
    <w:uiPriority w:val="99"/>
    <w:semiHidden/>
    <w:rsid w:val="00A809E7"/>
    <w:rPr>
      <w:rFonts w:ascii="Courier" w:hAnsi="Courier"/>
      <w:b/>
      <w:lang w:val="x-none" w:eastAsia="cs-CZ"/>
    </w:rPr>
  </w:style>
  <w:style w:type="character" w:customStyle="1" w:styleId="PredmetkomentraChar184">
    <w:name w:val="Predmet komentára Char184"/>
    <w:aliases w:val="Char6 Char Char185,Predmet komentára Char Char Char185,Comment Subject Char Char Char185"/>
    <w:uiPriority w:val="99"/>
    <w:semiHidden/>
    <w:rsid w:val="00A809E7"/>
    <w:rPr>
      <w:rFonts w:ascii="Courier" w:hAnsi="Courier"/>
      <w:b/>
      <w:lang w:val="x-none" w:eastAsia="cs-CZ"/>
    </w:rPr>
  </w:style>
  <w:style w:type="character" w:customStyle="1" w:styleId="PredmetkomentraChar183">
    <w:name w:val="Predmet komentára Char183"/>
    <w:aliases w:val="Char6 Char Char184,Predmet komentára Char Char Char184,Comment Subject Char Char Char184"/>
    <w:uiPriority w:val="99"/>
    <w:semiHidden/>
    <w:rsid w:val="00A809E7"/>
    <w:rPr>
      <w:rFonts w:ascii="Courier" w:hAnsi="Courier"/>
      <w:b/>
      <w:lang w:val="x-none" w:eastAsia="cs-CZ"/>
    </w:rPr>
  </w:style>
  <w:style w:type="character" w:customStyle="1" w:styleId="PredmetkomentraChar182">
    <w:name w:val="Predmet komentára Char182"/>
    <w:aliases w:val="Char6 Char Char183,Predmet komentára Char Char Char183,Comment Subject Char Char Char183"/>
    <w:uiPriority w:val="99"/>
    <w:semiHidden/>
    <w:rsid w:val="00A809E7"/>
    <w:rPr>
      <w:rFonts w:ascii="Courier" w:hAnsi="Courier"/>
      <w:b/>
      <w:lang w:val="x-none" w:eastAsia="cs-CZ"/>
    </w:rPr>
  </w:style>
  <w:style w:type="character" w:customStyle="1" w:styleId="PredmetkomentraChar181">
    <w:name w:val="Predmet komentára Char181"/>
    <w:aliases w:val="Char6 Char Char182,Predmet komentára Char Char Char182,Comment Subject Char Char Char182"/>
    <w:uiPriority w:val="99"/>
    <w:semiHidden/>
    <w:rsid w:val="00A809E7"/>
    <w:rPr>
      <w:rFonts w:ascii="Courier" w:hAnsi="Courier"/>
      <w:b/>
      <w:lang w:val="x-none" w:eastAsia="cs-CZ"/>
    </w:rPr>
  </w:style>
  <w:style w:type="character" w:customStyle="1" w:styleId="PredmetkomentraChar180">
    <w:name w:val="Predmet komentára Char180"/>
    <w:aliases w:val="Char6 Char Char181,Predmet komentára Char Char Char181,Comment Subject Char Char Char181"/>
    <w:uiPriority w:val="99"/>
    <w:semiHidden/>
    <w:rsid w:val="00A809E7"/>
    <w:rPr>
      <w:rFonts w:ascii="Courier" w:hAnsi="Courier"/>
      <w:b/>
      <w:lang w:val="x-none" w:eastAsia="cs-CZ"/>
    </w:rPr>
  </w:style>
  <w:style w:type="character" w:customStyle="1" w:styleId="PredmetkomentraChar179">
    <w:name w:val="Predmet komentára Char179"/>
    <w:aliases w:val="Char6 Char Char180,Predmet komentára Char Char Char180,Comment Subject Char Char Char180"/>
    <w:uiPriority w:val="99"/>
    <w:semiHidden/>
    <w:rsid w:val="00A809E7"/>
    <w:rPr>
      <w:rFonts w:ascii="Courier" w:hAnsi="Courier"/>
      <w:b/>
      <w:lang w:val="x-none" w:eastAsia="cs-CZ"/>
    </w:rPr>
  </w:style>
  <w:style w:type="character" w:customStyle="1" w:styleId="PredmetkomentraChar178">
    <w:name w:val="Predmet komentára Char178"/>
    <w:aliases w:val="Char6 Char Char179,Predmet komentára Char Char Char179,Comment Subject Char Char Char179"/>
    <w:uiPriority w:val="99"/>
    <w:semiHidden/>
    <w:rsid w:val="00A809E7"/>
    <w:rPr>
      <w:rFonts w:ascii="Courier" w:hAnsi="Courier"/>
      <w:b/>
      <w:lang w:val="x-none" w:eastAsia="cs-CZ"/>
    </w:rPr>
  </w:style>
  <w:style w:type="character" w:customStyle="1" w:styleId="PredmetkomentraChar177">
    <w:name w:val="Predmet komentára Char177"/>
    <w:aliases w:val="Char6 Char Char178,Predmet komentára Char Char Char178,Comment Subject Char Char Char178"/>
    <w:uiPriority w:val="99"/>
    <w:semiHidden/>
    <w:rsid w:val="00A809E7"/>
    <w:rPr>
      <w:rFonts w:ascii="Courier" w:hAnsi="Courier"/>
      <w:b/>
      <w:lang w:val="x-none" w:eastAsia="cs-CZ"/>
    </w:rPr>
  </w:style>
  <w:style w:type="character" w:customStyle="1" w:styleId="PredmetkomentraChar176">
    <w:name w:val="Predmet komentára Char176"/>
    <w:aliases w:val="Char6 Char Char177,Predmet komentára Char Char Char177,Comment Subject Char Char Char177"/>
    <w:uiPriority w:val="99"/>
    <w:semiHidden/>
    <w:rsid w:val="00A809E7"/>
    <w:rPr>
      <w:rFonts w:ascii="Courier" w:hAnsi="Courier"/>
      <w:b/>
      <w:lang w:val="x-none" w:eastAsia="cs-CZ"/>
    </w:rPr>
  </w:style>
  <w:style w:type="character" w:customStyle="1" w:styleId="PredmetkomentraChar175">
    <w:name w:val="Predmet komentára Char175"/>
    <w:aliases w:val="Char6 Char Char176,Predmet komentára Char Char Char176,Comment Subject Char Char Char176"/>
    <w:uiPriority w:val="99"/>
    <w:semiHidden/>
    <w:rsid w:val="00A809E7"/>
    <w:rPr>
      <w:rFonts w:ascii="Courier" w:hAnsi="Courier"/>
      <w:b/>
      <w:lang w:val="x-none" w:eastAsia="cs-CZ"/>
    </w:rPr>
  </w:style>
  <w:style w:type="character" w:customStyle="1" w:styleId="PredmetkomentraChar174">
    <w:name w:val="Predmet komentára Char174"/>
    <w:aliases w:val="Char6 Char Char175,Predmet komentára Char Char Char175,Comment Subject Char Char Char175"/>
    <w:uiPriority w:val="99"/>
    <w:semiHidden/>
    <w:rsid w:val="00A809E7"/>
    <w:rPr>
      <w:rFonts w:ascii="Courier" w:hAnsi="Courier"/>
      <w:b/>
      <w:lang w:val="x-none" w:eastAsia="cs-CZ"/>
    </w:rPr>
  </w:style>
  <w:style w:type="character" w:customStyle="1" w:styleId="PredmetkomentraChar173">
    <w:name w:val="Predmet komentára Char173"/>
    <w:aliases w:val="Char6 Char Char174,Predmet komentára Char Char Char174,Comment Subject Char Char Char174"/>
    <w:uiPriority w:val="99"/>
    <w:semiHidden/>
    <w:rsid w:val="00A809E7"/>
    <w:rPr>
      <w:rFonts w:ascii="Courier" w:hAnsi="Courier"/>
      <w:b/>
      <w:lang w:val="x-none" w:eastAsia="cs-CZ"/>
    </w:rPr>
  </w:style>
  <w:style w:type="character" w:customStyle="1" w:styleId="PredmetkomentraChar172">
    <w:name w:val="Predmet komentára Char172"/>
    <w:aliases w:val="Char6 Char Char173,Predmet komentára Char Char Char173,Comment Subject Char Char Char173"/>
    <w:uiPriority w:val="99"/>
    <w:semiHidden/>
    <w:rsid w:val="00A809E7"/>
    <w:rPr>
      <w:rFonts w:ascii="Courier" w:hAnsi="Courier"/>
      <w:b/>
      <w:lang w:val="x-none" w:eastAsia="cs-CZ"/>
    </w:rPr>
  </w:style>
  <w:style w:type="character" w:customStyle="1" w:styleId="PredmetkomentraChar171">
    <w:name w:val="Predmet komentára Char171"/>
    <w:aliases w:val="Char6 Char Char172,Predmet komentára Char Char Char172,Comment Subject Char Char Char172"/>
    <w:uiPriority w:val="99"/>
    <w:semiHidden/>
    <w:rsid w:val="00A809E7"/>
    <w:rPr>
      <w:rFonts w:ascii="Courier" w:hAnsi="Courier"/>
      <w:b/>
      <w:lang w:val="x-none" w:eastAsia="cs-CZ"/>
    </w:rPr>
  </w:style>
  <w:style w:type="character" w:customStyle="1" w:styleId="PredmetkomentraChar170">
    <w:name w:val="Predmet komentára Char170"/>
    <w:aliases w:val="Char6 Char Char171,Predmet komentára Char Char Char171,Comment Subject Char Char Char171"/>
    <w:uiPriority w:val="99"/>
    <w:semiHidden/>
    <w:rsid w:val="00A809E7"/>
    <w:rPr>
      <w:rFonts w:ascii="Courier" w:hAnsi="Courier"/>
      <w:b/>
      <w:lang w:val="x-none" w:eastAsia="cs-CZ"/>
    </w:rPr>
  </w:style>
  <w:style w:type="character" w:customStyle="1" w:styleId="PredmetkomentraChar169">
    <w:name w:val="Predmet komentára Char169"/>
    <w:aliases w:val="Char6 Char Char170,Predmet komentára Char Char Char170,Comment Subject Char Char Char170"/>
    <w:uiPriority w:val="99"/>
    <w:semiHidden/>
    <w:rsid w:val="00A809E7"/>
    <w:rPr>
      <w:rFonts w:ascii="Courier" w:hAnsi="Courier"/>
      <w:b/>
      <w:lang w:val="x-none" w:eastAsia="cs-CZ"/>
    </w:rPr>
  </w:style>
  <w:style w:type="character" w:customStyle="1" w:styleId="PredmetkomentraChar168">
    <w:name w:val="Predmet komentára Char168"/>
    <w:aliases w:val="Char6 Char Char169,Predmet komentára Char Char Char169,Comment Subject Char Char Char169"/>
    <w:uiPriority w:val="99"/>
    <w:semiHidden/>
    <w:rsid w:val="00A809E7"/>
    <w:rPr>
      <w:rFonts w:ascii="Courier" w:hAnsi="Courier"/>
      <w:b/>
      <w:lang w:val="x-none" w:eastAsia="cs-CZ"/>
    </w:rPr>
  </w:style>
  <w:style w:type="character" w:customStyle="1" w:styleId="PredmetkomentraChar167">
    <w:name w:val="Predmet komentára Char167"/>
    <w:aliases w:val="Char6 Char Char168,Predmet komentára Char Char Char168,Comment Subject Char Char Char168"/>
    <w:uiPriority w:val="99"/>
    <w:semiHidden/>
    <w:rsid w:val="00A809E7"/>
    <w:rPr>
      <w:rFonts w:ascii="Courier" w:hAnsi="Courier"/>
      <w:b/>
      <w:lang w:val="x-none" w:eastAsia="cs-CZ"/>
    </w:rPr>
  </w:style>
  <w:style w:type="character" w:customStyle="1" w:styleId="PredmetkomentraChar166">
    <w:name w:val="Predmet komentára Char166"/>
    <w:aliases w:val="Char6 Char Char167,Predmet komentára Char Char Char167,Comment Subject Char Char Char167"/>
    <w:uiPriority w:val="99"/>
    <w:semiHidden/>
    <w:rsid w:val="00A809E7"/>
    <w:rPr>
      <w:rFonts w:ascii="Courier" w:hAnsi="Courier"/>
      <w:b/>
      <w:lang w:val="x-none" w:eastAsia="cs-CZ"/>
    </w:rPr>
  </w:style>
  <w:style w:type="character" w:customStyle="1" w:styleId="PredmetkomentraChar165">
    <w:name w:val="Predmet komentára Char165"/>
    <w:aliases w:val="Char6 Char Char166,Predmet komentára Char Char Char166,Comment Subject Char Char Char166"/>
    <w:uiPriority w:val="99"/>
    <w:semiHidden/>
    <w:rsid w:val="00A809E7"/>
    <w:rPr>
      <w:rFonts w:ascii="Courier" w:hAnsi="Courier"/>
      <w:b/>
      <w:lang w:val="x-none" w:eastAsia="cs-CZ"/>
    </w:rPr>
  </w:style>
  <w:style w:type="character" w:customStyle="1" w:styleId="PredmetkomentraChar164">
    <w:name w:val="Predmet komentára Char164"/>
    <w:aliases w:val="Char6 Char Char165,Predmet komentára Char Char Char165,Comment Subject Char Char Char165"/>
    <w:uiPriority w:val="99"/>
    <w:semiHidden/>
    <w:rsid w:val="00A809E7"/>
    <w:rPr>
      <w:rFonts w:ascii="Courier" w:hAnsi="Courier"/>
      <w:b/>
      <w:lang w:val="x-none" w:eastAsia="cs-CZ"/>
    </w:rPr>
  </w:style>
  <w:style w:type="character" w:customStyle="1" w:styleId="PredmetkomentraChar163">
    <w:name w:val="Predmet komentára Char163"/>
    <w:aliases w:val="Char6 Char Char164,Predmet komentára Char Char Char164,Comment Subject Char Char Char164"/>
    <w:uiPriority w:val="99"/>
    <w:semiHidden/>
    <w:rsid w:val="00A809E7"/>
    <w:rPr>
      <w:rFonts w:ascii="Courier" w:hAnsi="Courier"/>
      <w:b/>
      <w:lang w:val="x-none" w:eastAsia="cs-CZ"/>
    </w:rPr>
  </w:style>
  <w:style w:type="character" w:customStyle="1" w:styleId="PredmetkomentraChar162">
    <w:name w:val="Predmet komentára Char162"/>
    <w:aliases w:val="Char6 Char Char163,Predmet komentára Char Char Char163,Comment Subject Char Char Char163"/>
    <w:uiPriority w:val="99"/>
    <w:semiHidden/>
    <w:rsid w:val="00A809E7"/>
    <w:rPr>
      <w:rFonts w:ascii="Courier" w:hAnsi="Courier"/>
      <w:b/>
      <w:lang w:val="x-none" w:eastAsia="cs-CZ"/>
    </w:rPr>
  </w:style>
  <w:style w:type="character" w:customStyle="1" w:styleId="PredmetkomentraChar161">
    <w:name w:val="Predmet komentára Char161"/>
    <w:aliases w:val="Char6 Char Char162,Predmet komentára Char Char Char162,Comment Subject Char Char Char162"/>
    <w:uiPriority w:val="99"/>
    <w:semiHidden/>
    <w:rsid w:val="00A809E7"/>
    <w:rPr>
      <w:rFonts w:ascii="Courier" w:hAnsi="Courier"/>
      <w:b/>
      <w:lang w:val="x-none" w:eastAsia="cs-CZ"/>
    </w:rPr>
  </w:style>
  <w:style w:type="character" w:customStyle="1" w:styleId="PredmetkomentraChar160">
    <w:name w:val="Predmet komentára Char160"/>
    <w:aliases w:val="Char6 Char Char161,Predmet komentára Char Char Char161,Comment Subject Char Char Char161"/>
    <w:uiPriority w:val="99"/>
    <w:semiHidden/>
    <w:rsid w:val="00A809E7"/>
    <w:rPr>
      <w:rFonts w:ascii="Courier" w:hAnsi="Courier"/>
      <w:b/>
      <w:lang w:val="x-none" w:eastAsia="cs-CZ"/>
    </w:rPr>
  </w:style>
  <w:style w:type="character" w:customStyle="1" w:styleId="PredmetkomentraChar159">
    <w:name w:val="Predmet komentára Char159"/>
    <w:aliases w:val="Char6 Char Char160,Predmet komentára Char Char Char160,Comment Subject Char Char Char160"/>
    <w:uiPriority w:val="99"/>
    <w:semiHidden/>
    <w:rsid w:val="00A809E7"/>
    <w:rPr>
      <w:rFonts w:ascii="Courier" w:hAnsi="Courier"/>
      <w:b/>
      <w:lang w:val="x-none" w:eastAsia="cs-CZ"/>
    </w:rPr>
  </w:style>
  <w:style w:type="character" w:customStyle="1" w:styleId="PredmetkomentraChar158">
    <w:name w:val="Predmet komentára Char158"/>
    <w:aliases w:val="Char6 Char Char159,Predmet komentára Char Char Char159,Comment Subject Char Char Char159"/>
    <w:uiPriority w:val="99"/>
    <w:semiHidden/>
    <w:rsid w:val="00A809E7"/>
    <w:rPr>
      <w:rFonts w:ascii="Courier" w:hAnsi="Courier"/>
      <w:b/>
      <w:lang w:val="x-none" w:eastAsia="cs-CZ"/>
    </w:rPr>
  </w:style>
  <w:style w:type="character" w:customStyle="1" w:styleId="PredmetkomentraChar157">
    <w:name w:val="Predmet komentára Char157"/>
    <w:aliases w:val="Char6 Char Char158,Predmet komentára Char Char Char158,Comment Subject Char Char Char158"/>
    <w:uiPriority w:val="99"/>
    <w:semiHidden/>
    <w:rsid w:val="00A809E7"/>
    <w:rPr>
      <w:rFonts w:ascii="Courier" w:hAnsi="Courier"/>
      <w:b/>
      <w:lang w:val="x-none" w:eastAsia="cs-CZ"/>
    </w:rPr>
  </w:style>
  <w:style w:type="character" w:customStyle="1" w:styleId="PredmetkomentraChar156">
    <w:name w:val="Predmet komentára Char156"/>
    <w:aliases w:val="Char6 Char Char157,Predmet komentára Char Char Char157,Comment Subject Char Char Char157"/>
    <w:uiPriority w:val="99"/>
    <w:semiHidden/>
    <w:rsid w:val="00A809E7"/>
    <w:rPr>
      <w:rFonts w:ascii="Courier" w:hAnsi="Courier"/>
      <w:b/>
      <w:lang w:val="x-none" w:eastAsia="cs-CZ"/>
    </w:rPr>
  </w:style>
  <w:style w:type="character" w:customStyle="1" w:styleId="PredmetkomentraChar155">
    <w:name w:val="Predmet komentára Char155"/>
    <w:aliases w:val="Char6 Char Char156,Predmet komentára Char Char Char156,Comment Subject Char Char Char156"/>
    <w:uiPriority w:val="99"/>
    <w:semiHidden/>
    <w:rsid w:val="00A809E7"/>
    <w:rPr>
      <w:rFonts w:ascii="Courier" w:hAnsi="Courier"/>
      <w:b/>
      <w:lang w:val="x-none" w:eastAsia="cs-CZ"/>
    </w:rPr>
  </w:style>
  <w:style w:type="character" w:customStyle="1" w:styleId="PredmetkomentraChar154">
    <w:name w:val="Predmet komentára Char154"/>
    <w:aliases w:val="Char6 Char Char155,Predmet komentára Char Char Char155,Comment Subject Char Char Char155"/>
    <w:uiPriority w:val="99"/>
    <w:semiHidden/>
    <w:rsid w:val="00A809E7"/>
    <w:rPr>
      <w:rFonts w:ascii="Courier" w:hAnsi="Courier"/>
      <w:b/>
      <w:lang w:val="x-none" w:eastAsia="cs-CZ"/>
    </w:rPr>
  </w:style>
  <w:style w:type="character" w:customStyle="1" w:styleId="PredmetkomentraChar153">
    <w:name w:val="Predmet komentára Char153"/>
    <w:aliases w:val="Char6 Char Char154,Predmet komentára Char Char Char154,Comment Subject Char Char Char154"/>
    <w:uiPriority w:val="99"/>
    <w:semiHidden/>
    <w:rsid w:val="00A809E7"/>
    <w:rPr>
      <w:rFonts w:ascii="Courier" w:hAnsi="Courier"/>
      <w:b/>
      <w:lang w:val="x-none" w:eastAsia="cs-CZ"/>
    </w:rPr>
  </w:style>
  <w:style w:type="character" w:customStyle="1" w:styleId="PredmetkomentraChar152">
    <w:name w:val="Predmet komentára Char152"/>
    <w:aliases w:val="Char6 Char Char153,Predmet komentára Char Char Char153,Comment Subject Char Char Char153"/>
    <w:uiPriority w:val="99"/>
    <w:semiHidden/>
    <w:rsid w:val="00A809E7"/>
    <w:rPr>
      <w:rFonts w:ascii="Courier" w:hAnsi="Courier"/>
      <w:b/>
      <w:lang w:val="x-none" w:eastAsia="cs-CZ"/>
    </w:rPr>
  </w:style>
  <w:style w:type="character" w:customStyle="1" w:styleId="PredmetkomentraChar151">
    <w:name w:val="Predmet komentára Char151"/>
    <w:aliases w:val="Char6 Char Char152,Predmet komentára Char Char Char152,Comment Subject Char Char Char152"/>
    <w:uiPriority w:val="99"/>
    <w:semiHidden/>
    <w:rsid w:val="00A809E7"/>
    <w:rPr>
      <w:rFonts w:ascii="Courier" w:hAnsi="Courier"/>
      <w:b/>
      <w:lang w:val="x-none" w:eastAsia="cs-CZ"/>
    </w:rPr>
  </w:style>
  <w:style w:type="character" w:customStyle="1" w:styleId="PredmetkomentraChar150">
    <w:name w:val="Predmet komentára Char150"/>
    <w:aliases w:val="Char6 Char Char151,Predmet komentára Char Char Char151,Comment Subject Char Char Char151"/>
    <w:uiPriority w:val="99"/>
    <w:semiHidden/>
    <w:rsid w:val="00A809E7"/>
    <w:rPr>
      <w:rFonts w:ascii="Courier" w:hAnsi="Courier"/>
      <w:b/>
      <w:lang w:val="x-none" w:eastAsia="cs-CZ"/>
    </w:rPr>
  </w:style>
  <w:style w:type="character" w:customStyle="1" w:styleId="PredmetkomentraChar149">
    <w:name w:val="Predmet komentára Char149"/>
    <w:aliases w:val="Char6 Char Char150,Predmet komentára Char Char Char150,Comment Subject Char Char Char150"/>
    <w:uiPriority w:val="99"/>
    <w:semiHidden/>
    <w:rsid w:val="00A809E7"/>
    <w:rPr>
      <w:rFonts w:ascii="Courier" w:hAnsi="Courier"/>
      <w:b/>
      <w:lang w:val="x-none" w:eastAsia="cs-CZ"/>
    </w:rPr>
  </w:style>
  <w:style w:type="character" w:customStyle="1" w:styleId="PredmetkomentraChar148">
    <w:name w:val="Predmet komentára Char148"/>
    <w:aliases w:val="Char6 Char Char149,Predmet komentára Char Char Char149,Comment Subject Char Char Char149"/>
    <w:uiPriority w:val="99"/>
    <w:semiHidden/>
    <w:rsid w:val="00A809E7"/>
    <w:rPr>
      <w:rFonts w:ascii="Courier" w:hAnsi="Courier"/>
      <w:b/>
      <w:lang w:val="x-none" w:eastAsia="cs-CZ"/>
    </w:rPr>
  </w:style>
  <w:style w:type="character" w:customStyle="1" w:styleId="PredmetkomentraChar147">
    <w:name w:val="Predmet komentára Char147"/>
    <w:aliases w:val="Char6 Char Char148,Predmet komentára Char Char Char148,Comment Subject Char Char Char148"/>
    <w:uiPriority w:val="99"/>
    <w:semiHidden/>
    <w:rsid w:val="00A809E7"/>
    <w:rPr>
      <w:rFonts w:ascii="Courier" w:hAnsi="Courier"/>
      <w:b/>
      <w:lang w:val="x-none" w:eastAsia="cs-CZ"/>
    </w:rPr>
  </w:style>
  <w:style w:type="character" w:customStyle="1" w:styleId="PredmetkomentraChar146">
    <w:name w:val="Predmet komentára Char146"/>
    <w:aliases w:val="Char6 Char Char147,Predmet komentára Char Char Char147,Comment Subject Char Char Char147"/>
    <w:uiPriority w:val="99"/>
    <w:semiHidden/>
    <w:rsid w:val="00A809E7"/>
    <w:rPr>
      <w:rFonts w:ascii="Courier" w:hAnsi="Courier"/>
      <w:b/>
      <w:lang w:val="x-none" w:eastAsia="cs-CZ"/>
    </w:rPr>
  </w:style>
  <w:style w:type="character" w:customStyle="1" w:styleId="PredmetkomentraChar145">
    <w:name w:val="Predmet komentára Char145"/>
    <w:aliases w:val="Char6 Char Char146,Predmet komentára Char Char Char146,Comment Subject Char Char Char146"/>
    <w:uiPriority w:val="99"/>
    <w:semiHidden/>
    <w:rsid w:val="00A809E7"/>
    <w:rPr>
      <w:rFonts w:ascii="Courier" w:hAnsi="Courier"/>
      <w:b/>
      <w:lang w:val="x-none" w:eastAsia="cs-CZ"/>
    </w:rPr>
  </w:style>
  <w:style w:type="character" w:customStyle="1" w:styleId="PredmetkomentraChar144">
    <w:name w:val="Predmet komentára Char144"/>
    <w:aliases w:val="Char6 Char Char145,Predmet komentára Char Char Char145,Comment Subject Char Char Char145"/>
    <w:uiPriority w:val="99"/>
    <w:semiHidden/>
    <w:rsid w:val="00A809E7"/>
    <w:rPr>
      <w:rFonts w:ascii="Courier" w:hAnsi="Courier"/>
      <w:b/>
      <w:lang w:val="x-none" w:eastAsia="cs-CZ"/>
    </w:rPr>
  </w:style>
  <w:style w:type="character" w:customStyle="1" w:styleId="PredmetkomentraChar143">
    <w:name w:val="Predmet komentára Char143"/>
    <w:aliases w:val="Char6 Char Char144,Predmet komentára Char Char Char144,Comment Subject Char Char Char144"/>
    <w:uiPriority w:val="99"/>
    <w:semiHidden/>
    <w:rsid w:val="00A809E7"/>
    <w:rPr>
      <w:rFonts w:ascii="Courier" w:hAnsi="Courier"/>
      <w:b/>
      <w:lang w:val="x-none" w:eastAsia="cs-CZ"/>
    </w:rPr>
  </w:style>
  <w:style w:type="character" w:customStyle="1" w:styleId="PredmetkomentraChar142">
    <w:name w:val="Predmet komentára Char142"/>
    <w:aliases w:val="Char6 Char Char143,Predmet komentára Char Char Char143,Comment Subject Char Char Char143"/>
    <w:uiPriority w:val="99"/>
    <w:semiHidden/>
    <w:rsid w:val="00A809E7"/>
    <w:rPr>
      <w:rFonts w:ascii="Courier" w:hAnsi="Courier"/>
      <w:b/>
      <w:lang w:val="x-none" w:eastAsia="cs-CZ"/>
    </w:rPr>
  </w:style>
  <w:style w:type="character" w:customStyle="1" w:styleId="PredmetkomentraChar141">
    <w:name w:val="Predmet komentára Char141"/>
    <w:aliases w:val="Char6 Char Char142,Predmet komentára Char Char Char142,Comment Subject Char Char Char142"/>
    <w:uiPriority w:val="99"/>
    <w:semiHidden/>
    <w:rsid w:val="00A809E7"/>
    <w:rPr>
      <w:rFonts w:ascii="Courier" w:hAnsi="Courier"/>
      <w:b/>
      <w:lang w:val="x-none" w:eastAsia="cs-CZ"/>
    </w:rPr>
  </w:style>
  <w:style w:type="character" w:customStyle="1" w:styleId="PredmetkomentraChar140">
    <w:name w:val="Predmet komentára Char140"/>
    <w:aliases w:val="Char6 Char Char141,Predmet komentára Char Char Char141,Comment Subject Char Char Char141"/>
    <w:uiPriority w:val="99"/>
    <w:semiHidden/>
    <w:rsid w:val="00A809E7"/>
    <w:rPr>
      <w:rFonts w:ascii="Courier" w:hAnsi="Courier"/>
      <w:b/>
      <w:lang w:val="x-none" w:eastAsia="cs-CZ"/>
    </w:rPr>
  </w:style>
  <w:style w:type="character" w:customStyle="1" w:styleId="PredmetkomentraChar139">
    <w:name w:val="Predmet komentára Char139"/>
    <w:aliases w:val="Char6 Char Char140,Predmet komentára Char Char Char140,Comment Subject Char Char Char140"/>
    <w:uiPriority w:val="99"/>
    <w:semiHidden/>
    <w:rsid w:val="00A809E7"/>
    <w:rPr>
      <w:rFonts w:ascii="Courier" w:hAnsi="Courier"/>
      <w:b/>
      <w:lang w:val="x-none" w:eastAsia="cs-CZ"/>
    </w:rPr>
  </w:style>
  <w:style w:type="character" w:customStyle="1" w:styleId="PredmetkomentraChar138">
    <w:name w:val="Predmet komentára Char138"/>
    <w:aliases w:val="Char6 Char Char139,Predmet komentára Char Char Char139,Comment Subject Char Char Char139"/>
    <w:uiPriority w:val="99"/>
    <w:semiHidden/>
    <w:rsid w:val="00A809E7"/>
    <w:rPr>
      <w:rFonts w:ascii="Courier" w:hAnsi="Courier"/>
      <w:b/>
      <w:lang w:val="x-none" w:eastAsia="cs-CZ"/>
    </w:rPr>
  </w:style>
  <w:style w:type="character" w:customStyle="1" w:styleId="PredmetkomentraChar137">
    <w:name w:val="Predmet komentára Char137"/>
    <w:aliases w:val="Char6 Char Char138,Predmet komentára Char Char Char138,Comment Subject Char Char Char138"/>
    <w:uiPriority w:val="99"/>
    <w:semiHidden/>
    <w:rsid w:val="00A809E7"/>
    <w:rPr>
      <w:rFonts w:ascii="Courier" w:hAnsi="Courier"/>
      <w:b/>
      <w:lang w:val="x-none" w:eastAsia="cs-CZ"/>
    </w:rPr>
  </w:style>
  <w:style w:type="character" w:customStyle="1" w:styleId="PredmetkomentraChar136">
    <w:name w:val="Predmet komentára Char136"/>
    <w:aliases w:val="Char6 Char Char137,Predmet komentára Char Char Char137,Comment Subject Char Char Char137"/>
    <w:uiPriority w:val="99"/>
    <w:semiHidden/>
    <w:rsid w:val="00A809E7"/>
    <w:rPr>
      <w:rFonts w:ascii="Courier" w:hAnsi="Courier"/>
      <w:b/>
      <w:lang w:val="x-none" w:eastAsia="cs-CZ"/>
    </w:rPr>
  </w:style>
  <w:style w:type="character" w:customStyle="1" w:styleId="PredmetkomentraChar135">
    <w:name w:val="Predmet komentára Char135"/>
    <w:aliases w:val="Char6 Char Char136,Predmet komentára Char Char Char136,Comment Subject Char Char Char136"/>
    <w:uiPriority w:val="99"/>
    <w:semiHidden/>
    <w:rsid w:val="00A809E7"/>
    <w:rPr>
      <w:rFonts w:ascii="Courier" w:hAnsi="Courier"/>
      <w:b/>
      <w:lang w:val="x-none" w:eastAsia="cs-CZ"/>
    </w:rPr>
  </w:style>
  <w:style w:type="character" w:customStyle="1" w:styleId="PredmetkomentraChar134">
    <w:name w:val="Predmet komentára Char134"/>
    <w:aliases w:val="Char6 Char Char135,Predmet komentára Char Char Char135,Comment Subject Char Char Char135"/>
    <w:uiPriority w:val="99"/>
    <w:semiHidden/>
    <w:rsid w:val="00A809E7"/>
    <w:rPr>
      <w:rFonts w:ascii="Courier" w:hAnsi="Courier"/>
      <w:b/>
      <w:lang w:val="x-none" w:eastAsia="cs-CZ"/>
    </w:rPr>
  </w:style>
  <w:style w:type="character" w:customStyle="1" w:styleId="PredmetkomentraChar133">
    <w:name w:val="Predmet komentára Char133"/>
    <w:aliases w:val="Char6 Char Char134,Predmet komentára Char Char Char134,Comment Subject Char Char Char134"/>
    <w:uiPriority w:val="99"/>
    <w:semiHidden/>
    <w:rsid w:val="00A809E7"/>
    <w:rPr>
      <w:rFonts w:ascii="Courier" w:hAnsi="Courier"/>
      <w:b/>
      <w:lang w:val="x-none" w:eastAsia="cs-CZ"/>
    </w:rPr>
  </w:style>
  <w:style w:type="character" w:customStyle="1" w:styleId="PredmetkomentraChar132">
    <w:name w:val="Predmet komentára Char132"/>
    <w:aliases w:val="Char6 Char Char133,Predmet komentára Char Char Char133,Comment Subject Char Char Char133"/>
    <w:uiPriority w:val="99"/>
    <w:semiHidden/>
    <w:rsid w:val="00A809E7"/>
    <w:rPr>
      <w:rFonts w:ascii="Courier" w:hAnsi="Courier"/>
      <w:b/>
      <w:lang w:val="x-none" w:eastAsia="cs-CZ"/>
    </w:rPr>
  </w:style>
  <w:style w:type="character" w:customStyle="1" w:styleId="PredmetkomentraChar131">
    <w:name w:val="Predmet komentára Char131"/>
    <w:aliases w:val="Char6 Char Char132,Predmet komentára Char Char Char132,Comment Subject Char Char Char132"/>
    <w:uiPriority w:val="99"/>
    <w:semiHidden/>
    <w:rsid w:val="00A809E7"/>
    <w:rPr>
      <w:rFonts w:ascii="Courier" w:hAnsi="Courier"/>
      <w:b/>
      <w:lang w:val="x-none" w:eastAsia="cs-CZ"/>
    </w:rPr>
  </w:style>
  <w:style w:type="character" w:customStyle="1" w:styleId="PredmetkomentraChar130">
    <w:name w:val="Predmet komentára Char130"/>
    <w:aliases w:val="Char6 Char Char131,Predmet komentára Char Char Char131,Comment Subject Char Char Char131"/>
    <w:uiPriority w:val="99"/>
    <w:semiHidden/>
    <w:rsid w:val="00A809E7"/>
    <w:rPr>
      <w:rFonts w:ascii="Courier" w:hAnsi="Courier"/>
      <w:b/>
      <w:lang w:val="x-none" w:eastAsia="cs-CZ"/>
    </w:rPr>
  </w:style>
  <w:style w:type="character" w:customStyle="1" w:styleId="PredmetkomentraChar129">
    <w:name w:val="Predmet komentára Char129"/>
    <w:aliases w:val="Char6 Char Char130,Predmet komentára Char Char Char130,Comment Subject Char Char Char130"/>
    <w:uiPriority w:val="99"/>
    <w:semiHidden/>
    <w:rsid w:val="00A809E7"/>
    <w:rPr>
      <w:rFonts w:ascii="Courier" w:hAnsi="Courier"/>
      <w:b/>
      <w:lang w:val="x-none" w:eastAsia="cs-CZ"/>
    </w:rPr>
  </w:style>
  <w:style w:type="character" w:customStyle="1" w:styleId="PredmetkomentraChar128">
    <w:name w:val="Predmet komentára Char128"/>
    <w:aliases w:val="Char6 Char Char129,Predmet komentára Char Char Char129,Comment Subject Char Char Char129"/>
    <w:uiPriority w:val="99"/>
    <w:semiHidden/>
    <w:rsid w:val="00A809E7"/>
    <w:rPr>
      <w:rFonts w:ascii="Courier" w:hAnsi="Courier"/>
      <w:b/>
      <w:lang w:val="x-none" w:eastAsia="cs-CZ"/>
    </w:rPr>
  </w:style>
  <w:style w:type="character" w:customStyle="1" w:styleId="PredmetkomentraChar127">
    <w:name w:val="Predmet komentára Char127"/>
    <w:aliases w:val="Char6 Char Char128,Predmet komentára Char Char Char128,Comment Subject Char Char Char128"/>
    <w:uiPriority w:val="99"/>
    <w:semiHidden/>
    <w:rsid w:val="00A809E7"/>
    <w:rPr>
      <w:rFonts w:ascii="Courier" w:hAnsi="Courier"/>
      <w:b/>
      <w:lang w:val="x-none" w:eastAsia="cs-CZ"/>
    </w:rPr>
  </w:style>
  <w:style w:type="character" w:customStyle="1" w:styleId="PredmetkomentraChar126">
    <w:name w:val="Predmet komentára Char126"/>
    <w:aliases w:val="Char6 Char Char127,Predmet komentára Char Char Char127,Comment Subject Char Char Char127"/>
    <w:uiPriority w:val="99"/>
    <w:semiHidden/>
    <w:rsid w:val="00A809E7"/>
    <w:rPr>
      <w:rFonts w:ascii="Courier" w:hAnsi="Courier"/>
      <w:b/>
      <w:lang w:val="x-none" w:eastAsia="cs-CZ"/>
    </w:rPr>
  </w:style>
  <w:style w:type="character" w:customStyle="1" w:styleId="PredmetkomentraChar125">
    <w:name w:val="Predmet komentára Char125"/>
    <w:aliases w:val="Char6 Char Char126,Predmet komentára Char Char Char126,Comment Subject Char Char Char126"/>
    <w:uiPriority w:val="99"/>
    <w:semiHidden/>
    <w:rsid w:val="00A809E7"/>
    <w:rPr>
      <w:rFonts w:ascii="Courier" w:hAnsi="Courier"/>
      <w:b/>
      <w:lang w:val="x-none" w:eastAsia="cs-CZ"/>
    </w:rPr>
  </w:style>
  <w:style w:type="character" w:customStyle="1" w:styleId="PredmetkomentraChar124">
    <w:name w:val="Predmet komentára Char124"/>
    <w:aliases w:val="Char6 Char Char125,Predmet komentára Char Char Char125,Comment Subject Char Char Char125"/>
    <w:uiPriority w:val="99"/>
    <w:semiHidden/>
    <w:rsid w:val="00A809E7"/>
    <w:rPr>
      <w:rFonts w:ascii="Courier" w:hAnsi="Courier"/>
      <w:b/>
      <w:lang w:val="x-none" w:eastAsia="cs-CZ"/>
    </w:rPr>
  </w:style>
  <w:style w:type="character" w:customStyle="1" w:styleId="PredmetkomentraChar123">
    <w:name w:val="Predmet komentára Char123"/>
    <w:aliases w:val="Char6 Char Char124,Predmet komentára Char Char Char124,Comment Subject Char Char Char124"/>
    <w:uiPriority w:val="99"/>
    <w:semiHidden/>
    <w:rsid w:val="00A809E7"/>
    <w:rPr>
      <w:rFonts w:ascii="Courier" w:hAnsi="Courier"/>
      <w:b/>
      <w:lang w:val="x-none" w:eastAsia="cs-CZ"/>
    </w:rPr>
  </w:style>
  <w:style w:type="character" w:customStyle="1" w:styleId="PredmetkomentraChar122">
    <w:name w:val="Predmet komentára Char122"/>
    <w:aliases w:val="Char6 Char Char123,Predmet komentára Char Char Char123,Comment Subject Char Char Char123"/>
    <w:uiPriority w:val="99"/>
    <w:semiHidden/>
    <w:rsid w:val="00A809E7"/>
    <w:rPr>
      <w:rFonts w:ascii="Courier" w:hAnsi="Courier"/>
      <w:b/>
      <w:lang w:val="x-none" w:eastAsia="cs-CZ"/>
    </w:rPr>
  </w:style>
  <w:style w:type="character" w:customStyle="1" w:styleId="PredmetkomentraChar121">
    <w:name w:val="Predmet komentára Char121"/>
    <w:aliases w:val="Char6 Char Char122,Predmet komentára Char Char Char122,Comment Subject Char Char Char122"/>
    <w:uiPriority w:val="99"/>
    <w:semiHidden/>
    <w:rsid w:val="00A809E7"/>
    <w:rPr>
      <w:rFonts w:ascii="Courier" w:hAnsi="Courier"/>
      <w:b/>
      <w:lang w:val="x-none" w:eastAsia="cs-CZ"/>
    </w:rPr>
  </w:style>
  <w:style w:type="character" w:customStyle="1" w:styleId="PredmetkomentraChar120">
    <w:name w:val="Predmet komentára Char120"/>
    <w:aliases w:val="Char6 Char Char121,Predmet komentára Char Char Char121,Comment Subject Char Char Char121"/>
    <w:uiPriority w:val="99"/>
    <w:semiHidden/>
    <w:rsid w:val="00A809E7"/>
    <w:rPr>
      <w:rFonts w:ascii="Courier" w:hAnsi="Courier"/>
      <w:b/>
      <w:lang w:val="x-none" w:eastAsia="cs-CZ"/>
    </w:rPr>
  </w:style>
  <w:style w:type="character" w:customStyle="1" w:styleId="PredmetkomentraChar119">
    <w:name w:val="Predmet komentára Char119"/>
    <w:aliases w:val="Char6 Char Char120,Predmet komentára Char Char Char120,Comment Subject Char Char Char120"/>
    <w:uiPriority w:val="99"/>
    <w:semiHidden/>
    <w:rsid w:val="00A809E7"/>
    <w:rPr>
      <w:rFonts w:ascii="Courier" w:hAnsi="Courier"/>
      <w:b/>
      <w:lang w:val="x-none" w:eastAsia="cs-CZ"/>
    </w:rPr>
  </w:style>
  <w:style w:type="character" w:customStyle="1" w:styleId="PredmetkomentraChar118">
    <w:name w:val="Predmet komentára Char118"/>
    <w:aliases w:val="Char6 Char Char119,Predmet komentára Char Char Char119,Comment Subject Char Char Char119"/>
    <w:uiPriority w:val="99"/>
    <w:semiHidden/>
    <w:rsid w:val="00A809E7"/>
    <w:rPr>
      <w:rFonts w:ascii="Courier" w:hAnsi="Courier"/>
      <w:b/>
      <w:lang w:val="x-none" w:eastAsia="cs-CZ"/>
    </w:rPr>
  </w:style>
  <w:style w:type="character" w:customStyle="1" w:styleId="PredmetkomentraChar117">
    <w:name w:val="Predmet komentára Char117"/>
    <w:aliases w:val="Char6 Char Char118,Predmet komentára Char Char Char118,Comment Subject Char Char Char118"/>
    <w:uiPriority w:val="99"/>
    <w:semiHidden/>
    <w:rsid w:val="00A809E7"/>
    <w:rPr>
      <w:rFonts w:ascii="Courier" w:hAnsi="Courier"/>
      <w:b/>
      <w:lang w:val="x-none" w:eastAsia="cs-CZ"/>
    </w:rPr>
  </w:style>
  <w:style w:type="character" w:customStyle="1" w:styleId="PredmetkomentraChar116">
    <w:name w:val="Predmet komentára Char116"/>
    <w:aliases w:val="Char6 Char Char117,Predmet komentára Char Char Char117,Comment Subject Char Char Char117"/>
    <w:uiPriority w:val="99"/>
    <w:semiHidden/>
    <w:rsid w:val="00A809E7"/>
    <w:rPr>
      <w:rFonts w:ascii="Courier" w:hAnsi="Courier"/>
      <w:b/>
      <w:lang w:val="x-none" w:eastAsia="cs-CZ"/>
    </w:rPr>
  </w:style>
  <w:style w:type="character" w:customStyle="1" w:styleId="PredmetkomentraChar115">
    <w:name w:val="Predmet komentára Char115"/>
    <w:aliases w:val="Char6 Char Char116,Predmet komentára Char Char Char116,Comment Subject Char Char Char116"/>
    <w:uiPriority w:val="99"/>
    <w:semiHidden/>
    <w:rsid w:val="00A809E7"/>
    <w:rPr>
      <w:rFonts w:ascii="Courier" w:hAnsi="Courier"/>
      <w:b/>
      <w:lang w:val="x-none" w:eastAsia="cs-CZ"/>
    </w:rPr>
  </w:style>
  <w:style w:type="character" w:customStyle="1" w:styleId="PredmetkomentraChar114">
    <w:name w:val="Predmet komentára Char114"/>
    <w:aliases w:val="Char6 Char Char115,Predmet komentára Char Char Char115,Comment Subject Char Char Char115"/>
    <w:uiPriority w:val="99"/>
    <w:semiHidden/>
    <w:rsid w:val="00A809E7"/>
    <w:rPr>
      <w:rFonts w:ascii="Courier" w:hAnsi="Courier"/>
      <w:b/>
      <w:lang w:val="x-none" w:eastAsia="cs-CZ"/>
    </w:rPr>
  </w:style>
  <w:style w:type="character" w:customStyle="1" w:styleId="PredmetkomentraChar113">
    <w:name w:val="Predmet komentára Char113"/>
    <w:aliases w:val="Char6 Char Char114,Predmet komentára Char Char Char114,Comment Subject Char Char Char114"/>
    <w:uiPriority w:val="99"/>
    <w:semiHidden/>
    <w:rsid w:val="00A809E7"/>
    <w:rPr>
      <w:rFonts w:ascii="Courier" w:hAnsi="Courier"/>
      <w:b/>
      <w:lang w:val="x-none" w:eastAsia="cs-CZ"/>
    </w:rPr>
  </w:style>
  <w:style w:type="character" w:customStyle="1" w:styleId="PredmetkomentraChar112">
    <w:name w:val="Predmet komentára Char112"/>
    <w:aliases w:val="Char6 Char Char113,Predmet komentára Char Char Char113,Comment Subject Char Char Char113"/>
    <w:uiPriority w:val="99"/>
    <w:semiHidden/>
    <w:rsid w:val="00A809E7"/>
    <w:rPr>
      <w:rFonts w:ascii="Courier" w:hAnsi="Courier"/>
      <w:b/>
      <w:lang w:val="x-none" w:eastAsia="cs-CZ"/>
    </w:rPr>
  </w:style>
  <w:style w:type="character" w:customStyle="1" w:styleId="PredmetkomentraChar111">
    <w:name w:val="Predmet komentára Char111"/>
    <w:aliases w:val="Char6 Char Char112,Predmet komentára Char Char Char112,Comment Subject Char Char Char112"/>
    <w:uiPriority w:val="99"/>
    <w:semiHidden/>
    <w:rsid w:val="00A809E7"/>
    <w:rPr>
      <w:rFonts w:ascii="Courier" w:hAnsi="Courier"/>
      <w:b/>
      <w:lang w:val="x-none" w:eastAsia="cs-CZ"/>
    </w:rPr>
  </w:style>
  <w:style w:type="character" w:customStyle="1" w:styleId="PredmetkomentraChar110">
    <w:name w:val="Predmet komentára Char110"/>
    <w:aliases w:val="Char6 Char Char110,Predmet komentára Char Char Char110,Comment Subject Char Char Char110"/>
    <w:uiPriority w:val="99"/>
    <w:semiHidden/>
    <w:rsid w:val="00A809E7"/>
    <w:rPr>
      <w:rFonts w:ascii="Courier" w:hAnsi="Courier"/>
      <w:b/>
      <w:lang w:val="x-none" w:eastAsia="cs-CZ"/>
    </w:rPr>
  </w:style>
  <w:style w:type="character" w:customStyle="1" w:styleId="PredmetkomentraChar19">
    <w:name w:val="Predmet komentára Char19"/>
    <w:aliases w:val="Char6 Char Char19,Predmet komentára Char Char Char19,Comment Subject Char Char Char19"/>
    <w:uiPriority w:val="99"/>
    <w:semiHidden/>
    <w:rsid w:val="00A809E7"/>
    <w:rPr>
      <w:rFonts w:ascii="Courier" w:hAnsi="Courier"/>
      <w:b/>
      <w:lang w:val="x-none" w:eastAsia="cs-CZ"/>
    </w:rPr>
  </w:style>
  <w:style w:type="character" w:customStyle="1" w:styleId="PredmetkomentraChar18">
    <w:name w:val="Predmet komentára Char18"/>
    <w:aliases w:val="Char6 Char Char18,Predmet komentára Char Char Char18,Comment Subject Char Char Char18"/>
    <w:uiPriority w:val="99"/>
    <w:semiHidden/>
    <w:rsid w:val="00A809E7"/>
    <w:rPr>
      <w:rFonts w:ascii="Courier" w:hAnsi="Courier"/>
      <w:b/>
      <w:lang w:val="x-none" w:eastAsia="cs-CZ"/>
    </w:rPr>
  </w:style>
  <w:style w:type="character" w:customStyle="1" w:styleId="PredmetkomentraChar17">
    <w:name w:val="Predmet komentára Char17"/>
    <w:aliases w:val="Char6 Char Char17,Predmet komentára Char Char Char17,Comment Subject Char Char Char17"/>
    <w:uiPriority w:val="99"/>
    <w:semiHidden/>
    <w:rsid w:val="00A809E7"/>
    <w:rPr>
      <w:rFonts w:ascii="Courier" w:hAnsi="Courier"/>
      <w:b/>
      <w:lang w:val="x-none" w:eastAsia="cs-CZ"/>
    </w:rPr>
  </w:style>
  <w:style w:type="character" w:customStyle="1" w:styleId="PredmetkomentraChar16">
    <w:name w:val="Predmet komentára Char16"/>
    <w:aliases w:val="Char6 Char Char16,Predmet komentára Char Char Char16,Comment Subject Char Char Char16"/>
    <w:uiPriority w:val="99"/>
    <w:semiHidden/>
    <w:rsid w:val="00A809E7"/>
    <w:rPr>
      <w:rFonts w:ascii="Courier" w:hAnsi="Courier"/>
      <w:b/>
      <w:lang w:val="x-none" w:eastAsia="cs-CZ"/>
    </w:rPr>
  </w:style>
  <w:style w:type="character" w:customStyle="1" w:styleId="PredmetkomentraChar15">
    <w:name w:val="Predmet komentára Char15"/>
    <w:aliases w:val="Char6 Char Char15,Predmet komentára Char Char Char15,Comment Subject Char Char Char15"/>
    <w:uiPriority w:val="99"/>
    <w:semiHidden/>
    <w:rsid w:val="00A809E7"/>
    <w:rPr>
      <w:rFonts w:ascii="Courier" w:hAnsi="Courier"/>
      <w:b/>
      <w:lang w:val="x-none" w:eastAsia="cs-CZ"/>
    </w:rPr>
  </w:style>
  <w:style w:type="character" w:customStyle="1" w:styleId="PredmetkomentraChar14">
    <w:name w:val="Predmet komentára Char14"/>
    <w:aliases w:val="Char6 Char Char14,Predmet komentára Char Char Char14,Comment Subject Char Char Char14"/>
    <w:uiPriority w:val="99"/>
    <w:semiHidden/>
    <w:rsid w:val="00A809E7"/>
    <w:rPr>
      <w:rFonts w:ascii="Courier" w:hAnsi="Courier"/>
      <w:b/>
      <w:lang w:val="x-none" w:eastAsia="cs-CZ"/>
    </w:rPr>
  </w:style>
  <w:style w:type="character" w:customStyle="1" w:styleId="PredmetkomentraChar13">
    <w:name w:val="Predmet komentára Char13"/>
    <w:aliases w:val="Char6 Char Char13,Predmet komentára Char Char Char13,Comment Subject Char Char Char13"/>
    <w:uiPriority w:val="99"/>
    <w:semiHidden/>
    <w:rsid w:val="00A809E7"/>
    <w:rPr>
      <w:rFonts w:ascii="Courier" w:hAnsi="Courier"/>
      <w:b/>
      <w:lang w:val="x-none" w:eastAsia="cs-CZ"/>
    </w:rPr>
  </w:style>
  <w:style w:type="character" w:customStyle="1" w:styleId="PredmetkomentraChar12">
    <w:name w:val="Predmet komentára Char12"/>
    <w:aliases w:val="Char6 Char Char12,Predmet komentára Char Char Char12,Comment Subject Char Char Char12"/>
    <w:uiPriority w:val="99"/>
    <w:semiHidden/>
    <w:rsid w:val="00A809E7"/>
    <w:rPr>
      <w:rFonts w:ascii="Courier" w:hAnsi="Courier"/>
      <w:b/>
      <w:lang w:val="x-none" w:eastAsia="cs-CZ"/>
    </w:rPr>
  </w:style>
  <w:style w:type="character" w:customStyle="1" w:styleId="PredmetkomentraChar11">
    <w:name w:val="Predmet komentára Char11"/>
    <w:aliases w:val="Char6 Char Char11,Predmet komentára Char Char Char11,Comment Subject Char Char Char11,Char6 Char Char111,Predmet komentára Char Char Char111,Comment Subject Char Char Char111"/>
    <w:uiPriority w:val="99"/>
    <w:semiHidden/>
    <w:rsid w:val="00A809E7"/>
    <w:rPr>
      <w:rFonts w:ascii="Courier" w:hAnsi="Courier"/>
      <w:b/>
      <w:lang w:val="x-none" w:eastAsia="cs-CZ"/>
    </w:rPr>
  </w:style>
  <w:style w:type="paragraph" w:customStyle="1" w:styleId="CharCharCharCharCharCharCharCharChar">
    <w:name w:val="Char Char Char Char Char Char Char Char Char"/>
    <w:basedOn w:val="Normlny"/>
    <w:uiPriority w:val="99"/>
    <w:qFormat/>
    <w:rsid w:val="00A809E7"/>
    <w:pPr>
      <w:spacing w:line="240" w:lineRule="exact"/>
    </w:pPr>
    <w:rPr>
      <w:rFonts w:ascii="Tahoma" w:eastAsia="Times New Roman" w:hAnsi="Tahoma" w:cs="Tahoma"/>
      <w:sz w:val="20"/>
      <w:szCs w:val="20"/>
      <w:lang w:val="en-US"/>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Normlny"/>
    <w:uiPriority w:val="99"/>
    <w:qFormat/>
    <w:rsid w:val="00A809E7"/>
    <w:pPr>
      <w:spacing w:line="240" w:lineRule="exact"/>
    </w:pPr>
    <w:rPr>
      <w:rFonts w:ascii="Tahoma" w:eastAsia="Times New Roman" w:hAnsi="Tahoma" w:cs="Tahoma"/>
      <w:sz w:val="20"/>
      <w:szCs w:val="20"/>
      <w:lang w:val="en-US"/>
    </w:rPr>
  </w:style>
  <w:style w:type="paragraph" w:customStyle="1" w:styleId="CharCharCharCharCharCharCharCharCharCharCharCharCharCharChar">
    <w:name w:val="Char Char Char Char Char Char Char Char Char Char Char Char Char Char Char"/>
    <w:basedOn w:val="Normlny"/>
    <w:uiPriority w:val="99"/>
    <w:qFormat/>
    <w:rsid w:val="00A809E7"/>
    <w:pPr>
      <w:spacing w:line="240" w:lineRule="exact"/>
    </w:pPr>
    <w:rPr>
      <w:rFonts w:ascii="Tahoma" w:eastAsia="Times New Roman" w:hAnsi="Tahoma" w:cs="Tahoma"/>
      <w:sz w:val="20"/>
      <w:szCs w:val="20"/>
      <w:lang w:val="en-US"/>
    </w:rPr>
  </w:style>
  <w:style w:type="paragraph" w:customStyle="1" w:styleId="Char3">
    <w:name w:val="Char3"/>
    <w:basedOn w:val="Normlny"/>
    <w:uiPriority w:val="99"/>
    <w:qFormat/>
    <w:rsid w:val="00A809E7"/>
    <w:pPr>
      <w:spacing w:line="240" w:lineRule="exact"/>
    </w:pPr>
    <w:rPr>
      <w:rFonts w:ascii="Tahoma" w:eastAsia="Times New Roman" w:hAnsi="Tahoma" w:cs="Tahoma"/>
      <w:sz w:val="20"/>
      <w:szCs w:val="20"/>
      <w:lang w:val="en-US"/>
    </w:rPr>
  </w:style>
  <w:style w:type="paragraph" w:styleId="Zarkazkladnhotextu3">
    <w:name w:val="Body Text Indent 3"/>
    <w:aliases w:val="Char2 Char,Zarážka základného textu 3 Char Char,Body Text Indent 3 Char Char Char"/>
    <w:basedOn w:val="Normlny"/>
    <w:link w:val="Zarkazkladnhotextu3Char"/>
    <w:uiPriority w:val="99"/>
    <w:qFormat/>
    <w:rsid w:val="00A809E7"/>
    <w:pPr>
      <w:spacing w:after="120" w:line="240" w:lineRule="auto"/>
      <w:ind w:left="283"/>
    </w:pPr>
    <w:rPr>
      <w:rFonts w:ascii="Courier" w:eastAsia="Times New Roman" w:hAnsi="Courier" w:cs="Times New Roman"/>
      <w:sz w:val="16"/>
      <w:szCs w:val="16"/>
      <w:lang w:eastAsia="cs-CZ"/>
    </w:rPr>
  </w:style>
  <w:style w:type="character" w:customStyle="1" w:styleId="Zarkazkladnhotextu3Char">
    <w:name w:val="Zarážka základného textu 3 Char"/>
    <w:aliases w:val="Char2 Char Char,Zarážka základného textu 3 Char Char Char,Body Text Indent 3 Char Char Char Char"/>
    <w:basedOn w:val="Predvolenpsmoodseku"/>
    <w:link w:val="Zarkazkladnhotextu3"/>
    <w:uiPriority w:val="99"/>
    <w:rsid w:val="00A809E7"/>
    <w:rPr>
      <w:rFonts w:ascii="Courier" w:eastAsia="Times New Roman" w:hAnsi="Courier" w:cs="Times New Roman"/>
      <w:sz w:val="16"/>
      <w:szCs w:val="16"/>
      <w:lang w:eastAsia="cs-CZ"/>
    </w:rPr>
  </w:style>
  <w:style w:type="paragraph" w:customStyle="1" w:styleId="CharChar1">
    <w:name w:val="Char Char1"/>
    <w:basedOn w:val="Normlny"/>
    <w:uiPriority w:val="99"/>
    <w:qFormat/>
    <w:rsid w:val="00A809E7"/>
    <w:pPr>
      <w:spacing w:line="240" w:lineRule="exact"/>
    </w:pPr>
    <w:rPr>
      <w:rFonts w:ascii="Tahoma" w:eastAsia="Times New Roman" w:hAnsi="Tahoma" w:cs="Tahoma"/>
      <w:sz w:val="20"/>
      <w:szCs w:val="20"/>
      <w:lang w:val="en-US"/>
    </w:rPr>
  </w:style>
  <w:style w:type="paragraph" w:customStyle="1" w:styleId="Char1">
    <w:name w:val="Char1"/>
    <w:basedOn w:val="Normlny"/>
    <w:uiPriority w:val="99"/>
    <w:qFormat/>
    <w:rsid w:val="00A809E7"/>
    <w:pPr>
      <w:spacing w:line="240" w:lineRule="exact"/>
    </w:pPr>
    <w:rPr>
      <w:rFonts w:ascii="Tahoma" w:eastAsia="Times New Roman" w:hAnsi="Tahoma" w:cs="Tahoma"/>
      <w:sz w:val="20"/>
      <w:szCs w:val="20"/>
      <w:lang w:val="en-US"/>
    </w:rPr>
  </w:style>
  <w:style w:type="character" w:customStyle="1" w:styleId="BodyTextIndentCharChar">
    <w:name w:val="Body Text Indent Char Char"/>
    <w:uiPriority w:val="99"/>
    <w:rsid w:val="00A809E7"/>
    <w:rPr>
      <w:rFonts w:ascii="Courier" w:hAnsi="Courier"/>
      <w:sz w:val="24"/>
      <w:lang w:val="x-none" w:eastAsia="cs-CZ"/>
    </w:rPr>
  </w:style>
  <w:style w:type="paragraph" w:customStyle="1" w:styleId="CharCharCharCharCharCharCharCharCharCharCharCharCharCharCharCharCharCharCharCharCharCharChar1">
    <w:name w:val="Char Char Char Char Char Char Char Char Char Char Char Char Char Char Char Char Char Char Char Char Char Char Char1"/>
    <w:basedOn w:val="Normlny"/>
    <w:uiPriority w:val="99"/>
    <w:qFormat/>
    <w:rsid w:val="00A809E7"/>
    <w:pPr>
      <w:spacing w:line="240" w:lineRule="exact"/>
    </w:pPr>
    <w:rPr>
      <w:rFonts w:ascii="Tahoma" w:eastAsia="Times New Roman" w:hAnsi="Tahoma" w:cs="Tahoma"/>
      <w:sz w:val="20"/>
      <w:szCs w:val="20"/>
      <w:lang w:val="en-US"/>
    </w:rPr>
  </w:style>
  <w:style w:type="paragraph" w:customStyle="1" w:styleId="CharCharCharCharCharCharCharCharChar1">
    <w:name w:val="Char Char Char Char Char Char Char Char Char1"/>
    <w:basedOn w:val="Normlny"/>
    <w:uiPriority w:val="99"/>
    <w:qFormat/>
    <w:rsid w:val="00A809E7"/>
    <w:pPr>
      <w:spacing w:line="240" w:lineRule="exact"/>
    </w:pPr>
    <w:rPr>
      <w:rFonts w:ascii="Tahoma" w:eastAsia="Times New Roman" w:hAnsi="Tahoma" w:cs="Tahoma"/>
      <w:sz w:val="20"/>
      <w:szCs w:val="20"/>
      <w:lang w:val="en-US"/>
    </w:rPr>
  </w:style>
  <w:style w:type="paragraph" w:customStyle="1" w:styleId="CharCharChar2CharCharCharCharCharCharCharCharCharCharChar1">
    <w:name w:val="Char Char Char2 Char Char Char Char Char Char Char Char Char Char Char1"/>
    <w:basedOn w:val="Normlny"/>
    <w:uiPriority w:val="99"/>
    <w:qFormat/>
    <w:rsid w:val="00A809E7"/>
    <w:pPr>
      <w:spacing w:line="240" w:lineRule="exact"/>
    </w:pPr>
    <w:rPr>
      <w:rFonts w:ascii="Tahoma" w:eastAsia="Times New Roman" w:hAnsi="Tahoma" w:cs="Tahoma"/>
      <w:sz w:val="20"/>
      <w:szCs w:val="20"/>
      <w:lang w:val="en-US"/>
    </w:rPr>
  </w:style>
  <w:style w:type="paragraph" w:customStyle="1" w:styleId="CharCharCharCharCharCharCharCharCharCharCharCharCharCharCharCharCharCharCharCharCharCharChar1CharCharCharCharChar1">
    <w:name w:val="Char Char Char Char Char Char Char Char Char Char Char Char Char Char Char Char Char Char Char Char Char Char Char1 Char Char Char Char Char1"/>
    <w:basedOn w:val="Normlny"/>
    <w:uiPriority w:val="99"/>
    <w:qFormat/>
    <w:rsid w:val="00A809E7"/>
    <w:pPr>
      <w:spacing w:line="240" w:lineRule="exact"/>
    </w:pPr>
    <w:rPr>
      <w:rFonts w:ascii="Tahoma" w:eastAsia="Times New Roman" w:hAnsi="Tahoma" w:cs="Tahoma"/>
      <w:sz w:val="20"/>
      <w:szCs w:val="20"/>
      <w:lang w:val="en-US"/>
    </w:rPr>
  </w:style>
  <w:style w:type="paragraph" w:customStyle="1" w:styleId="CharCharCharCharCharCharCharCharCharCharCharCharCharCharChar1">
    <w:name w:val="Char Char Char Char Char Char Char Char Char Char Char Char Char Char Char1"/>
    <w:basedOn w:val="Normlny"/>
    <w:uiPriority w:val="99"/>
    <w:qFormat/>
    <w:rsid w:val="00A809E7"/>
    <w:pPr>
      <w:spacing w:line="240" w:lineRule="exact"/>
    </w:pPr>
    <w:rPr>
      <w:rFonts w:ascii="Tahoma" w:eastAsia="Times New Roman" w:hAnsi="Tahoma" w:cs="Tahoma"/>
      <w:sz w:val="20"/>
      <w:szCs w:val="20"/>
      <w:lang w:val="en-US"/>
    </w:rPr>
  </w:style>
  <w:style w:type="character" w:customStyle="1" w:styleId="ObyajntextChar">
    <w:name w:val="Obyčajný text Char"/>
    <w:aliases w:val="Obyčajný text Char Char Char Char"/>
    <w:link w:val="Obyajntext"/>
    <w:uiPriority w:val="99"/>
    <w:locked/>
    <w:rsid w:val="00A809E7"/>
    <w:rPr>
      <w:rFonts w:ascii="Consolas" w:hAnsi="Consolas"/>
      <w:sz w:val="21"/>
    </w:rPr>
  </w:style>
  <w:style w:type="paragraph" w:styleId="Obyajntext">
    <w:name w:val="Plain Text"/>
    <w:aliases w:val="Obyčajný text Char Char Char"/>
    <w:basedOn w:val="Normlny"/>
    <w:link w:val="ObyajntextChar"/>
    <w:uiPriority w:val="99"/>
    <w:qFormat/>
    <w:rsid w:val="00A809E7"/>
    <w:pPr>
      <w:spacing w:after="0" w:line="240" w:lineRule="auto"/>
    </w:pPr>
    <w:rPr>
      <w:rFonts w:ascii="Consolas" w:hAnsi="Consolas"/>
      <w:sz w:val="21"/>
    </w:rPr>
  </w:style>
  <w:style w:type="character" w:customStyle="1" w:styleId="ObyajntextChar1">
    <w:name w:val="Obyčajný text Char1"/>
    <w:aliases w:val="Obyčajný text Char Char Char Char1"/>
    <w:basedOn w:val="Predvolenpsmoodseku"/>
    <w:uiPriority w:val="99"/>
    <w:semiHidden/>
    <w:rsid w:val="00A809E7"/>
    <w:rPr>
      <w:rFonts w:ascii="Consolas" w:hAnsi="Consolas" w:cs="Consolas"/>
      <w:sz w:val="21"/>
      <w:szCs w:val="21"/>
    </w:rPr>
  </w:style>
  <w:style w:type="character" w:customStyle="1" w:styleId="ObyajntextChar1621">
    <w:name w:val="Obyčajný text Char1621"/>
    <w:aliases w:val="Obyčajný text Char Char Char Char1622"/>
    <w:basedOn w:val="Predvolenpsmoodseku"/>
    <w:uiPriority w:val="99"/>
    <w:semiHidden/>
    <w:rsid w:val="00A809E7"/>
    <w:rPr>
      <w:rFonts w:ascii="Courier New" w:hAnsi="Courier New" w:cs="Courier New"/>
      <w:lang w:val="x-none" w:eastAsia="cs-CZ"/>
    </w:rPr>
  </w:style>
  <w:style w:type="character" w:customStyle="1" w:styleId="ObyajntextChar1620">
    <w:name w:val="Obyčajný text Char1620"/>
    <w:aliases w:val="Obyčajný text Char Char Char Char1621"/>
    <w:basedOn w:val="Predvolenpsmoodseku"/>
    <w:uiPriority w:val="99"/>
    <w:semiHidden/>
    <w:rsid w:val="00A809E7"/>
    <w:rPr>
      <w:rFonts w:ascii="Courier New" w:hAnsi="Courier New" w:cs="Courier New"/>
      <w:lang w:val="x-none" w:eastAsia="cs-CZ"/>
    </w:rPr>
  </w:style>
  <w:style w:type="character" w:customStyle="1" w:styleId="ObyajntextChar1614">
    <w:name w:val="Obyčajný text Char1614"/>
    <w:aliases w:val="Obyčajný text Char Char Char Char1615"/>
    <w:basedOn w:val="Predvolenpsmoodseku"/>
    <w:uiPriority w:val="99"/>
    <w:semiHidden/>
    <w:rsid w:val="00A809E7"/>
    <w:rPr>
      <w:rFonts w:ascii="Courier New" w:hAnsi="Courier New" w:cs="Courier New"/>
      <w:lang w:val="x-none" w:eastAsia="cs-CZ"/>
    </w:rPr>
  </w:style>
  <w:style w:type="character" w:customStyle="1" w:styleId="ObyajntextChar1613">
    <w:name w:val="Obyčajný text Char1613"/>
    <w:aliases w:val="Obyčajný text Char Char Char Char1614"/>
    <w:basedOn w:val="Predvolenpsmoodseku"/>
    <w:uiPriority w:val="99"/>
    <w:semiHidden/>
    <w:rsid w:val="00A809E7"/>
    <w:rPr>
      <w:rFonts w:ascii="Courier New" w:hAnsi="Courier New" w:cs="Courier New"/>
      <w:lang w:val="x-none" w:eastAsia="cs-CZ"/>
    </w:rPr>
  </w:style>
  <w:style w:type="character" w:customStyle="1" w:styleId="ObyajntextChar1612">
    <w:name w:val="Obyčajný text Char1612"/>
    <w:aliases w:val="Obyčajný text Char Char Char Char1613"/>
    <w:basedOn w:val="Predvolenpsmoodseku"/>
    <w:uiPriority w:val="99"/>
    <w:semiHidden/>
    <w:rsid w:val="00A809E7"/>
    <w:rPr>
      <w:rFonts w:ascii="Courier New" w:hAnsi="Courier New" w:cs="Courier New"/>
      <w:lang w:val="x-none" w:eastAsia="cs-CZ"/>
    </w:rPr>
  </w:style>
  <w:style w:type="character" w:customStyle="1" w:styleId="ObyajntextChar1611">
    <w:name w:val="Obyčajný text Char1611"/>
    <w:aliases w:val="Obyčajný text Char Char Char Char1612"/>
    <w:basedOn w:val="Predvolenpsmoodseku"/>
    <w:uiPriority w:val="99"/>
    <w:semiHidden/>
    <w:rsid w:val="00A809E7"/>
    <w:rPr>
      <w:rFonts w:ascii="Courier New" w:hAnsi="Courier New" w:cs="Courier New"/>
      <w:lang w:val="x-none" w:eastAsia="cs-CZ"/>
    </w:rPr>
  </w:style>
  <w:style w:type="character" w:customStyle="1" w:styleId="ObyajntextChar1610">
    <w:name w:val="Obyčajný text Char1610"/>
    <w:aliases w:val="Obyčajný text Char Char Char Char1611"/>
    <w:basedOn w:val="Predvolenpsmoodseku"/>
    <w:uiPriority w:val="99"/>
    <w:semiHidden/>
    <w:rsid w:val="00A809E7"/>
    <w:rPr>
      <w:rFonts w:ascii="Courier New" w:hAnsi="Courier New" w:cs="Courier New"/>
      <w:lang w:val="x-none" w:eastAsia="cs-CZ"/>
    </w:rPr>
  </w:style>
  <w:style w:type="character" w:customStyle="1" w:styleId="ObyajntextChar1609">
    <w:name w:val="Obyčajný text Char1609"/>
    <w:aliases w:val="Obyčajný text Char Char Char Char1610"/>
    <w:basedOn w:val="Predvolenpsmoodseku"/>
    <w:uiPriority w:val="99"/>
    <w:semiHidden/>
    <w:rsid w:val="00A809E7"/>
    <w:rPr>
      <w:rFonts w:ascii="Courier New" w:hAnsi="Courier New" w:cs="Courier New"/>
      <w:lang w:val="x-none" w:eastAsia="cs-CZ"/>
    </w:rPr>
  </w:style>
  <w:style w:type="character" w:customStyle="1" w:styleId="ObyajntextChar1608">
    <w:name w:val="Obyčajný text Char1608"/>
    <w:aliases w:val="Obyčajný text Char Char Char Char1609"/>
    <w:basedOn w:val="Predvolenpsmoodseku"/>
    <w:uiPriority w:val="99"/>
    <w:semiHidden/>
    <w:rsid w:val="00A809E7"/>
    <w:rPr>
      <w:rFonts w:ascii="Courier New" w:hAnsi="Courier New" w:cs="Courier New"/>
      <w:lang w:val="x-none" w:eastAsia="cs-CZ"/>
    </w:rPr>
  </w:style>
  <w:style w:type="character" w:customStyle="1" w:styleId="ObyajntextChar1607">
    <w:name w:val="Obyčajný text Char1607"/>
    <w:aliases w:val="Obyčajný text Char Char Char Char1608"/>
    <w:basedOn w:val="Predvolenpsmoodseku"/>
    <w:uiPriority w:val="99"/>
    <w:semiHidden/>
    <w:rsid w:val="00A809E7"/>
    <w:rPr>
      <w:rFonts w:ascii="Courier New" w:hAnsi="Courier New" w:cs="Courier New"/>
      <w:lang w:val="x-none" w:eastAsia="cs-CZ"/>
    </w:rPr>
  </w:style>
  <w:style w:type="character" w:customStyle="1" w:styleId="ObyajntextChar1606">
    <w:name w:val="Obyčajný text Char1606"/>
    <w:aliases w:val="Obyčajný text Char Char Char Char1607"/>
    <w:basedOn w:val="Predvolenpsmoodseku"/>
    <w:uiPriority w:val="99"/>
    <w:semiHidden/>
    <w:rsid w:val="00A809E7"/>
    <w:rPr>
      <w:rFonts w:ascii="Courier New" w:hAnsi="Courier New" w:cs="Courier New"/>
      <w:lang w:val="x-none" w:eastAsia="cs-CZ"/>
    </w:rPr>
  </w:style>
  <w:style w:type="character" w:customStyle="1" w:styleId="ObyajntextChar1605">
    <w:name w:val="Obyčajný text Char1605"/>
    <w:aliases w:val="Obyčajný text Char Char Char Char1606"/>
    <w:basedOn w:val="Predvolenpsmoodseku"/>
    <w:uiPriority w:val="99"/>
    <w:semiHidden/>
    <w:rsid w:val="00A809E7"/>
    <w:rPr>
      <w:rFonts w:ascii="Courier New" w:hAnsi="Courier New" w:cs="Courier New"/>
      <w:lang w:val="x-none" w:eastAsia="cs-CZ"/>
    </w:rPr>
  </w:style>
  <w:style w:type="character" w:customStyle="1" w:styleId="ObyajntextChar1604">
    <w:name w:val="Obyčajný text Char1604"/>
    <w:aliases w:val="Obyčajný text Char Char Char Char1605"/>
    <w:basedOn w:val="Predvolenpsmoodseku"/>
    <w:uiPriority w:val="99"/>
    <w:semiHidden/>
    <w:rsid w:val="00A809E7"/>
    <w:rPr>
      <w:rFonts w:ascii="Courier New" w:hAnsi="Courier New" w:cs="Courier New"/>
      <w:lang w:val="x-none" w:eastAsia="cs-CZ"/>
    </w:rPr>
  </w:style>
  <w:style w:type="character" w:customStyle="1" w:styleId="ObyajntextChar1603">
    <w:name w:val="Obyčajný text Char1603"/>
    <w:aliases w:val="Obyčajný text Char Char Char Char1604"/>
    <w:basedOn w:val="Predvolenpsmoodseku"/>
    <w:uiPriority w:val="99"/>
    <w:semiHidden/>
    <w:rsid w:val="00A809E7"/>
    <w:rPr>
      <w:rFonts w:ascii="Courier New" w:hAnsi="Courier New" w:cs="Courier New"/>
      <w:lang w:val="x-none" w:eastAsia="cs-CZ"/>
    </w:rPr>
  </w:style>
  <w:style w:type="character" w:customStyle="1" w:styleId="ObyajntextChar1602">
    <w:name w:val="Obyčajný text Char1602"/>
    <w:aliases w:val="Obyčajný text Char Char Char Char1603"/>
    <w:basedOn w:val="Predvolenpsmoodseku"/>
    <w:uiPriority w:val="99"/>
    <w:semiHidden/>
    <w:rsid w:val="00A809E7"/>
    <w:rPr>
      <w:rFonts w:ascii="Courier New" w:hAnsi="Courier New" w:cs="Courier New"/>
      <w:lang w:val="x-none" w:eastAsia="cs-CZ"/>
    </w:rPr>
  </w:style>
  <w:style w:type="character" w:customStyle="1" w:styleId="ObyajntextChar1601">
    <w:name w:val="Obyčajný text Char1601"/>
    <w:aliases w:val="Obyčajný text Char Char Char Char1602"/>
    <w:basedOn w:val="Predvolenpsmoodseku"/>
    <w:uiPriority w:val="99"/>
    <w:semiHidden/>
    <w:rsid w:val="00A809E7"/>
    <w:rPr>
      <w:rFonts w:ascii="Courier New" w:hAnsi="Courier New" w:cs="Courier New"/>
      <w:lang w:val="x-none" w:eastAsia="cs-CZ"/>
    </w:rPr>
  </w:style>
  <w:style w:type="character" w:customStyle="1" w:styleId="ObyajntextChar1600">
    <w:name w:val="Obyčajný text Char1600"/>
    <w:aliases w:val="Obyčajný text Char Char Char Char1601"/>
    <w:basedOn w:val="Predvolenpsmoodseku"/>
    <w:uiPriority w:val="99"/>
    <w:semiHidden/>
    <w:rsid w:val="00A809E7"/>
    <w:rPr>
      <w:rFonts w:ascii="Courier New" w:hAnsi="Courier New" w:cs="Courier New"/>
      <w:lang w:val="x-none" w:eastAsia="cs-CZ"/>
    </w:rPr>
  </w:style>
  <w:style w:type="character" w:customStyle="1" w:styleId="ObyajntextChar1599">
    <w:name w:val="Obyčajný text Char1599"/>
    <w:aliases w:val="Obyčajný text Char Char Char Char1600"/>
    <w:basedOn w:val="Predvolenpsmoodseku"/>
    <w:uiPriority w:val="99"/>
    <w:semiHidden/>
    <w:rsid w:val="00A809E7"/>
    <w:rPr>
      <w:rFonts w:ascii="Courier New" w:hAnsi="Courier New" w:cs="Courier New"/>
      <w:lang w:val="x-none" w:eastAsia="cs-CZ"/>
    </w:rPr>
  </w:style>
  <w:style w:type="character" w:customStyle="1" w:styleId="ObyajntextChar1598">
    <w:name w:val="Obyčajný text Char1598"/>
    <w:aliases w:val="Obyčajný text Char Char Char Char1599"/>
    <w:basedOn w:val="Predvolenpsmoodseku"/>
    <w:uiPriority w:val="99"/>
    <w:semiHidden/>
    <w:rsid w:val="00A809E7"/>
    <w:rPr>
      <w:rFonts w:ascii="Courier New" w:hAnsi="Courier New" w:cs="Courier New"/>
      <w:lang w:val="x-none" w:eastAsia="cs-CZ"/>
    </w:rPr>
  </w:style>
  <w:style w:type="character" w:customStyle="1" w:styleId="ObyajntextChar1597">
    <w:name w:val="Obyčajný text Char1597"/>
    <w:aliases w:val="Obyčajný text Char Char Char Char1598"/>
    <w:basedOn w:val="Predvolenpsmoodseku"/>
    <w:uiPriority w:val="99"/>
    <w:semiHidden/>
    <w:rsid w:val="00A809E7"/>
    <w:rPr>
      <w:rFonts w:ascii="Courier New" w:hAnsi="Courier New" w:cs="Courier New"/>
      <w:lang w:val="x-none" w:eastAsia="cs-CZ"/>
    </w:rPr>
  </w:style>
  <w:style w:type="character" w:customStyle="1" w:styleId="ObyajntextChar1596">
    <w:name w:val="Obyčajný text Char1596"/>
    <w:aliases w:val="Obyčajný text Char Char Char Char1597"/>
    <w:basedOn w:val="Predvolenpsmoodseku"/>
    <w:uiPriority w:val="99"/>
    <w:semiHidden/>
    <w:rsid w:val="00A809E7"/>
    <w:rPr>
      <w:rFonts w:ascii="Courier New" w:hAnsi="Courier New" w:cs="Courier New"/>
      <w:lang w:val="x-none" w:eastAsia="cs-CZ"/>
    </w:rPr>
  </w:style>
  <w:style w:type="character" w:customStyle="1" w:styleId="ObyajntextChar1595">
    <w:name w:val="Obyčajný text Char1595"/>
    <w:aliases w:val="Obyčajný text Char Char Char Char1596"/>
    <w:basedOn w:val="Predvolenpsmoodseku"/>
    <w:uiPriority w:val="99"/>
    <w:semiHidden/>
    <w:rsid w:val="00A809E7"/>
    <w:rPr>
      <w:rFonts w:ascii="Courier New" w:hAnsi="Courier New" w:cs="Courier New"/>
      <w:lang w:val="x-none" w:eastAsia="cs-CZ"/>
    </w:rPr>
  </w:style>
  <w:style w:type="character" w:customStyle="1" w:styleId="ObyajntextChar1594">
    <w:name w:val="Obyčajný text Char1594"/>
    <w:aliases w:val="Obyčajný text Char Char Char Char1595"/>
    <w:basedOn w:val="Predvolenpsmoodseku"/>
    <w:uiPriority w:val="99"/>
    <w:semiHidden/>
    <w:rsid w:val="00A809E7"/>
    <w:rPr>
      <w:rFonts w:ascii="Courier New" w:hAnsi="Courier New" w:cs="Courier New"/>
      <w:lang w:val="x-none" w:eastAsia="cs-CZ"/>
    </w:rPr>
  </w:style>
  <w:style w:type="character" w:customStyle="1" w:styleId="ObyajntextChar1593">
    <w:name w:val="Obyčajný text Char1593"/>
    <w:aliases w:val="Obyčajný text Char Char Char Char1594"/>
    <w:basedOn w:val="Predvolenpsmoodseku"/>
    <w:uiPriority w:val="99"/>
    <w:semiHidden/>
    <w:rsid w:val="00A809E7"/>
    <w:rPr>
      <w:rFonts w:ascii="Courier New" w:hAnsi="Courier New" w:cs="Courier New"/>
      <w:lang w:val="x-none" w:eastAsia="cs-CZ"/>
    </w:rPr>
  </w:style>
  <w:style w:type="character" w:customStyle="1" w:styleId="ObyajntextChar1592">
    <w:name w:val="Obyčajný text Char1592"/>
    <w:aliases w:val="Obyčajný text Char Char Char Char1593"/>
    <w:basedOn w:val="Predvolenpsmoodseku"/>
    <w:uiPriority w:val="99"/>
    <w:semiHidden/>
    <w:rsid w:val="00A809E7"/>
    <w:rPr>
      <w:rFonts w:ascii="Courier New" w:hAnsi="Courier New" w:cs="Courier New"/>
      <w:lang w:val="x-none" w:eastAsia="cs-CZ"/>
    </w:rPr>
  </w:style>
  <w:style w:type="character" w:customStyle="1" w:styleId="ObyajntextChar1591">
    <w:name w:val="Obyčajný text Char1591"/>
    <w:aliases w:val="Obyčajný text Char Char Char Char1592"/>
    <w:basedOn w:val="Predvolenpsmoodseku"/>
    <w:uiPriority w:val="99"/>
    <w:semiHidden/>
    <w:rsid w:val="00A809E7"/>
    <w:rPr>
      <w:rFonts w:ascii="Courier New" w:hAnsi="Courier New" w:cs="Courier New"/>
      <w:lang w:val="x-none" w:eastAsia="cs-CZ"/>
    </w:rPr>
  </w:style>
  <w:style w:type="character" w:customStyle="1" w:styleId="ObyajntextChar1590">
    <w:name w:val="Obyčajný text Char1590"/>
    <w:aliases w:val="Obyčajný text Char Char Char Char1591"/>
    <w:basedOn w:val="Predvolenpsmoodseku"/>
    <w:uiPriority w:val="99"/>
    <w:semiHidden/>
    <w:rsid w:val="00A809E7"/>
    <w:rPr>
      <w:rFonts w:ascii="Courier New" w:hAnsi="Courier New" w:cs="Courier New"/>
      <w:lang w:val="x-none" w:eastAsia="cs-CZ"/>
    </w:rPr>
  </w:style>
  <w:style w:type="character" w:customStyle="1" w:styleId="ObyajntextChar1589">
    <w:name w:val="Obyčajný text Char1589"/>
    <w:aliases w:val="Obyčajný text Char Char Char Char1590"/>
    <w:basedOn w:val="Predvolenpsmoodseku"/>
    <w:uiPriority w:val="99"/>
    <w:semiHidden/>
    <w:rsid w:val="00A809E7"/>
    <w:rPr>
      <w:rFonts w:ascii="Courier New" w:hAnsi="Courier New" w:cs="Courier New"/>
      <w:lang w:val="x-none" w:eastAsia="cs-CZ"/>
    </w:rPr>
  </w:style>
  <w:style w:type="character" w:customStyle="1" w:styleId="ObyajntextChar1588">
    <w:name w:val="Obyčajný text Char1588"/>
    <w:aliases w:val="Obyčajný text Char Char Char Char1589"/>
    <w:basedOn w:val="Predvolenpsmoodseku"/>
    <w:uiPriority w:val="99"/>
    <w:semiHidden/>
    <w:rsid w:val="00A809E7"/>
    <w:rPr>
      <w:rFonts w:ascii="Courier New" w:hAnsi="Courier New" w:cs="Courier New"/>
      <w:lang w:val="x-none" w:eastAsia="cs-CZ"/>
    </w:rPr>
  </w:style>
  <w:style w:type="character" w:customStyle="1" w:styleId="ObyajntextChar1587">
    <w:name w:val="Obyčajný text Char1587"/>
    <w:aliases w:val="Obyčajný text Char Char Char Char1588"/>
    <w:basedOn w:val="Predvolenpsmoodseku"/>
    <w:uiPriority w:val="99"/>
    <w:semiHidden/>
    <w:rsid w:val="00A809E7"/>
    <w:rPr>
      <w:rFonts w:ascii="Courier New" w:hAnsi="Courier New" w:cs="Courier New"/>
      <w:lang w:val="x-none" w:eastAsia="cs-CZ"/>
    </w:rPr>
  </w:style>
  <w:style w:type="character" w:customStyle="1" w:styleId="ObyajntextChar1586">
    <w:name w:val="Obyčajný text Char1586"/>
    <w:aliases w:val="Obyčajný text Char Char Char Char1587"/>
    <w:basedOn w:val="Predvolenpsmoodseku"/>
    <w:uiPriority w:val="99"/>
    <w:semiHidden/>
    <w:rsid w:val="00A809E7"/>
    <w:rPr>
      <w:rFonts w:ascii="Courier New" w:hAnsi="Courier New" w:cs="Courier New"/>
      <w:lang w:val="x-none" w:eastAsia="cs-CZ"/>
    </w:rPr>
  </w:style>
  <w:style w:type="character" w:customStyle="1" w:styleId="ObyajntextChar1585">
    <w:name w:val="Obyčajný text Char1585"/>
    <w:aliases w:val="Obyčajný text Char Char Char Char1586"/>
    <w:basedOn w:val="Predvolenpsmoodseku"/>
    <w:uiPriority w:val="99"/>
    <w:semiHidden/>
    <w:rsid w:val="00A809E7"/>
    <w:rPr>
      <w:rFonts w:ascii="Courier New" w:hAnsi="Courier New" w:cs="Courier New"/>
      <w:lang w:val="x-none" w:eastAsia="cs-CZ"/>
    </w:rPr>
  </w:style>
  <w:style w:type="character" w:customStyle="1" w:styleId="ObyajntextChar1584">
    <w:name w:val="Obyčajný text Char1584"/>
    <w:aliases w:val="Obyčajný text Char Char Char Char1585"/>
    <w:basedOn w:val="Predvolenpsmoodseku"/>
    <w:uiPriority w:val="99"/>
    <w:semiHidden/>
    <w:rsid w:val="00A809E7"/>
    <w:rPr>
      <w:rFonts w:ascii="Courier New" w:hAnsi="Courier New" w:cs="Courier New"/>
      <w:lang w:val="x-none" w:eastAsia="cs-CZ"/>
    </w:rPr>
  </w:style>
  <w:style w:type="character" w:customStyle="1" w:styleId="ObyajntextChar1583">
    <w:name w:val="Obyčajný text Char1583"/>
    <w:aliases w:val="Obyčajný text Char Char Char Char1584"/>
    <w:basedOn w:val="Predvolenpsmoodseku"/>
    <w:uiPriority w:val="99"/>
    <w:semiHidden/>
    <w:rsid w:val="00A809E7"/>
    <w:rPr>
      <w:rFonts w:ascii="Courier New" w:hAnsi="Courier New" w:cs="Courier New"/>
      <w:lang w:val="x-none" w:eastAsia="cs-CZ"/>
    </w:rPr>
  </w:style>
  <w:style w:type="character" w:customStyle="1" w:styleId="ObyajntextChar1582">
    <w:name w:val="Obyčajný text Char1582"/>
    <w:aliases w:val="Obyčajný text Char Char Char Char1583"/>
    <w:basedOn w:val="Predvolenpsmoodseku"/>
    <w:uiPriority w:val="99"/>
    <w:semiHidden/>
    <w:rsid w:val="00A809E7"/>
    <w:rPr>
      <w:rFonts w:ascii="Courier New" w:hAnsi="Courier New" w:cs="Courier New"/>
      <w:lang w:val="x-none" w:eastAsia="cs-CZ"/>
    </w:rPr>
  </w:style>
  <w:style w:type="character" w:customStyle="1" w:styleId="ObyajntextChar1581">
    <w:name w:val="Obyčajný text Char1581"/>
    <w:aliases w:val="Obyčajný text Char Char Char Char1582"/>
    <w:basedOn w:val="Predvolenpsmoodseku"/>
    <w:uiPriority w:val="99"/>
    <w:semiHidden/>
    <w:rsid w:val="00A809E7"/>
    <w:rPr>
      <w:rFonts w:ascii="Courier New" w:hAnsi="Courier New" w:cs="Courier New"/>
      <w:lang w:val="x-none" w:eastAsia="cs-CZ"/>
    </w:rPr>
  </w:style>
  <w:style w:type="character" w:customStyle="1" w:styleId="ObyajntextChar1580">
    <w:name w:val="Obyčajný text Char1580"/>
    <w:aliases w:val="Obyčajný text Char Char Char Char1581"/>
    <w:basedOn w:val="Predvolenpsmoodseku"/>
    <w:uiPriority w:val="99"/>
    <w:semiHidden/>
    <w:rsid w:val="00A809E7"/>
    <w:rPr>
      <w:rFonts w:ascii="Courier New" w:hAnsi="Courier New" w:cs="Courier New"/>
      <w:lang w:val="x-none" w:eastAsia="cs-CZ"/>
    </w:rPr>
  </w:style>
  <w:style w:type="character" w:customStyle="1" w:styleId="ObyajntextChar1579">
    <w:name w:val="Obyčajný text Char1579"/>
    <w:aliases w:val="Obyčajný text Char Char Char Char1580"/>
    <w:basedOn w:val="Predvolenpsmoodseku"/>
    <w:uiPriority w:val="99"/>
    <w:semiHidden/>
    <w:rsid w:val="00A809E7"/>
    <w:rPr>
      <w:rFonts w:ascii="Courier New" w:hAnsi="Courier New" w:cs="Courier New"/>
      <w:lang w:val="x-none" w:eastAsia="cs-CZ"/>
    </w:rPr>
  </w:style>
  <w:style w:type="character" w:customStyle="1" w:styleId="ObyajntextChar1578">
    <w:name w:val="Obyčajný text Char1578"/>
    <w:aliases w:val="Obyčajný text Char Char Char Char1579"/>
    <w:basedOn w:val="Predvolenpsmoodseku"/>
    <w:uiPriority w:val="99"/>
    <w:semiHidden/>
    <w:rsid w:val="00A809E7"/>
    <w:rPr>
      <w:rFonts w:ascii="Courier New" w:hAnsi="Courier New" w:cs="Courier New"/>
      <w:lang w:val="x-none" w:eastAsia="cs-CZ"/>
    </w:rPr>
  </w:style>
  <w:style w:type="character" w:customStyle="1" w:styleId="ObyajntextChar1577">
    <w:name w:val="Obyčajný text Char1577"/>
    <w:aliases w:val="Obyčajný text Char Char Char Char1578"/>
    <w:basedOn w:val="Predvolenpsmoodseku"/>
    <w:uiPriority w:val="99"/>
    <w:semiHidden/>
    <w:rsid w:val="00A809E7"/>
    <w:rPr>
      <w:rFonts w:ascii="Courier New" w:hAnsi="Courier New" w:cs="Courier New"/>
      <w:lang w:val="x-none" w:eastAsia="cs-CZ"/>
    </w:rPr>
  </w:style>
  <w:style w:type="character" w:customStyle="1" w:styleId="ObyajntextChar1576">
    <w:name w:val="Obyčajný text Char1576"/>
    <w:aliases w:val="Obyčajný text Char Char Char Char1577"/>
    <w:basedOn w:val="Predvolenpsmoodseku"/>
    <w:uiPriority w:val="99"/>
    <w:semiHidden/>
    <w:rsid w:val="00A809E7"/>
    <w:rPr>
      <w:rFonts w:ascii="Courier New" w:hAnsi="Courier New" w:cs="Courier New"/>
      <w:lang w:val="x-none" w:eastAsia="cs-CZ"/>
    </w:rPr>
  </w:style>
  <w:style w:type="character" w:customStyle="1" w:styleId="ObyajntextChar1575">
    <w:name w:val="Obyčajný text Char1575"/>
    <w:aliases w:val="Obyčajný text Char Char Char Char1576"/>
    <w:basedOn w:val="Predvolenpsmoodseku"/>
    <w:uiPriority w:val="99"/>
    <w:semiHidden/>
    <w:rsid w:val="00A809E7"/>
    <w:rPr>
      <w:rFonts w:ascii="Courier New" w:hAnsi="Courier New" w:cs="Courier New"/>
      <w:lang w:val="x-none" w:eastAsia="cs-CZ"/>
    </w:rPr>
  </w:style>
  <w:style w:type="character" w:customStyle="1" w:styleId="ObyajntextChar1574">
    <w:name w:val="Obyčajný text Char1574"/>
    <w:aliases w:val="Obyčajný text Char Char Char Char1575"/>
    <w:basedOn w:val="Predvolenpsmoodseku"/>
    <w:uiPriority w:val="99"/>
    <w:semiHidden/>
    <w:rsid w:val="00A809E7"/>
    <w:rPr>
      <w:rFonts w:ascii="Courier New" w:hAnsi="Courier New" w:cs="Courier New"/>
      <w:lang w:val="x-none" w:eastAsia="cs-CZ"/>
    </w:rPr>
  </w:style>
  <w:style w:type="character" w:customStyle="1" w:styleId="ObyajntextChar1573">
    <w:name w:val="Obyčajný text Char1573"/>
    <w:aliases w:val="Obyčajný text Char Char Char Char1574"/>
    <w:basedOn w:val="Predvolenpsmoodseku"/>
    <w:uiPriority w:val="99"/>
    <w:semiHidden/>
    <w:rsid w:val="00A809E7"/>
    <w:rPr>
      <w:rFonts w:ascii="Courier New" w:hAnsi="Courier New" w:cs="Courier New"/>
      <w:lang w:val="x-none" w:eastAsia="cs-CZ"/>
    </w:rPr>
  </w:style>
  <w:style w:type="character" w:customStyle="1" w:styleId="ObyajntextChar1572">
    <w:name w:val="Obyčajný text Char1572"/>
    <w:aliases w:val="Obyčajný text Char Char Char Char1573"/>
    <w:basedOn w:val="Predvolenpsmoodseku"/>
    <w:uiPriority w:val="99"/>
    <w:semiHidden/>
    <w:rsid w:val="00A809E7"/>
    <w:rPr>
      <w:rFonts w:ascii="Courier New" w:hAnsi="Courier New" w:cs="Courier New"/>
      <w:lang w:val="x-none" w:eastAsia="cs-CZ"/>
    </w:rPr>
  </w:style>
  <w:style w:type="character" w:customStyle="1" w:styleId="ObyajntextChar1571">
    <w:name w:val="Obyčajný text Char1571"/>
    <w:aliases w:val="Obyčajný text Char Char Char Char1572"/>
    <w:basedOn w:val="Predvolenpsmoodseku"/>
    <w:uiPriority w:val="99"/>
    <w:semiHidden/>
    <w:rsid w:val="00A809E7"/>
    <w:rPr>
      <w:rFonts w:ascii="Courier New" w:hAnsi="Courier New" w:cs="Courier New"/>
      <w:lang w:val="x-none" w:eastAsia="cs-CZ"/>
    </w:rPr>
  </w:style>
  <w:style w:type="character" w:customStyle="1" w:styleId="ObyajntextChar1570">
    <w:name w:val="Obyčajný text Char1570"/>
    <w:aliases w:val="Obyčajný text Char Char Char Char1571"/>
    <w:basedOn w:val="Predvolenpsmoodseku"/>
    <w:uiPriority w:val="99"/>
    <w:semiHidden/>
    <w:rsid w:val="00A809E7"/>
    <w:rPr>
      <w:rFonts w:ascii="Courier New" w:hAnsi="Courier New" w:cs="Courier New"/>
      <w:lang w:val="x-none" w:eastAsia="cs-CZ"/>
    </w:rPr>
  </w:style>
  <w:style w:type="character" w:customStyle="1" w:styleId="ObyajntextChar1569">
    <w:name w:val="Obyčajný text Char1569"/>
    <w:aliases w:val="Obyčajný text Char Char Char Char1570"/>
    <w:basedOn w:val="Predvolenpsmoodseku"/>
    <w:uiPriority w:val="99"/>
    <w:semiHidden/>
    <w:rsid w:val="00A809E7"/>
    <w:rPr>
      <w:rFonts w:ascii="Courier New" w:hAnsi="Courier New" w:cs="Courier New"/>
      <w:lang w:val="x-none" w:eastAsia="cs-CZ"/>
    </w:rPr>
  </w:style>
  <w:style w:type="character" w:customStyle="1" w:styleId="ObyajntextChar1568">
    <w:name w:val="Obyčajný text Char1568"/>
    <w:aliases w:val="Obyčajný text Char Char Char Char1569"/>
    <w:basedOn w:val="Predvolenpsmoodseku"/>
    <w:uiPriority w:val="99"/>
    <w:semiHidden/>
    <w:rsid w:val="00A809E7"/>
    <w:rPr>
      <w:rFonts w:ascii="Courier New" w:hAnsi="Courier New" w:cs="Courier New"/>
      <w:lang w:val="x-none" w:eastAsia="cs-CZ"/>
    </w:rPr>
  </w:style>
  <w:style w:type="character" w:customStyle="1" w:styleId="ObyajntextChar1567">
    <w:name w:val="Obyčajný text Char1567"/>
    <w:aliases w:val="Obyčajný text Char Char Char Char1568"/>
    <w:basedOn w:val="Predvolenpsmoodseku"/>
    <w:uiPriority w:val="99"/>
    <w:semiHidden/>
    <w:rsid w:val="00A809E7"/>
    <w:rPr>
      <w:rFonts w:ascii="Courier New" w:hAnsi="Courier New" w:cs="Courier New"/>
      <w:lang w:val="x-none" w:eastAsia="cs-CZ"/>
    </w:rPr>
  </w:style>
  <w:style w:type="character" w:customStyle="1" w:styleId="ObyajntextChar1566">
    <w:name w:val="Obyčajný text Char1566"/>
    <w:aliases w:val="Obyčajný text Char Char Char Char1567"/>
    <w:basedOn w:val="Predvolenpsmoodseku"/>
    <w:uiPriority w:val="99"/>
    <w:semiHidden/>
    <w:rsid w:val="00A809E7"/>
    <w:rPr>
      <w:rFonts w:ascii="Courier New" w:hAnsi="Courier New" w:cs="Courier New"/>
      <w:lang w:val="x-none" w:eastAsia="cs-CZ"/>
    </w:rPr>
  </w:style>
  <w:style w:type="character" w:customStyle="1" w:styleId="ObyajntextChar1565">
    <w:name w:val="Obyčajný text Char1565"/>
    <w:aliases w:val="Obyčajný text Char Char Char Char1566"/>
    <w:basedOn w:val="Predvolenpsmoodseku"/>
    <w:uiPriority w:val="99"/>
    <w:semiHidden/>
    <w:rsid w:val="00A809E7"/>
    <w:rPr>
      <w:rFonts w:ascii="Courier New" w:hAnsi="Courier New" w:cs="Courier New"/>
      <w:lang w:val="x-none" w:eastAsia="cs-CZ"/>
    </w:rPr>
  </w:style>
  <w:style w:type="character" w:customStyle="1" w:styleId="ObyajntextChar1564">
    <w:name w:val="Obyčajný text Char1564"/>
    <w:aliases w:val="Obyčajný text Char Char Char Char1565"/>
    <w:basedOn w:val="Predvolenpsmoodseku"/>
    <w:uiPriority w:val="99"/>
    <w:semiHidden/>
    <w:rsid w:val="00A809E7"/>
    <w:rPr>
      <w:rFonts w:ascii="Courier New" w:hAnsi="Courier New" w:cs="Courier New"/>
      <w:lang w:val="x-none" w:eastAsia="cs-CZ"/>
    </w:rPr>
  </w:style>
  <w:style w:type="character" w:customStyle="1" w:styleId="ObyajntextChar1563">
    <w:name w:val="Obyčajný text Char1563"/>
    <w:aliases w:val="Obyčajný text Char Char Char Char1564"/>
    <w:basedOn w:val="Predvolenpsmoodseku"/>
    <w:uiPriority w:val="99"/>
    <w:semiHidden/>
    <w:rsid w:val="00A809E7"/>
    <w:rPr>
      <w:rFonts w:ascii="Courier New" w:hAnsi="Courier New" w:cs="Courier New"/>
      <w:lang w:val="x-none" w:eastAsia="cs-CZ"/>
    </w:rPr>
  </w:style>
  <w:style w:type="character" w:customStyle="1" w:styleId="ObyajntextChar1562">
    <w:name w:val="Obyčajný text Char1562"/>
    <w:aliases w:val="Obyčajný text Char Char Char Char1563"/>
    <w:basedOn w:val="Predvolenpsmoodseku"/>
    <w:uiPriority w:val="99"/>
    <w:semiHidden/>
    <w:rsid w:val="00A809E7"/>
    <w:rPr>
      <w:rFonts w:ascii="Courier New" w:hAnsi="Courier New" w:cs="Courier New"/>
      <w:lang w:val="x-none" w:eastAsia="cs-CZ"/>
    </w:rPr>
  </w:style>
  <w:style w:type="character" w:customStyle="1" w:styleId="ObyajntextChar1561">
    <w:name w:val="Obyčajný text Char1561"/>
    <w:aliases w:val="Obyčajný text Char Char Char Char1562"/>
    <w:basedOn w:val="Predvolenpsmoodseku"/>
    <w:uiPriority w:val="99"/>
    <w:semiHidden/>
    <w:rsid w:val="00A809E7"/>
    <w:rPr>
      <w:rFonts w:ascii="Courier New" w:hAnsi="Courier New" w:cs="Courier New"/>
      <w:lang w:val="x-none" w:eastAsia="cs-CZ"/>
    </w:rPr>
  </w:style>
  <w:style w:type="character" w:customStyle="1" w:styleId="ObyajntextChar1560">
    <w:name w:val="Obyčajný text Char1560"/>
    <w:aliases w:val="Obyčajný text Char Char Char Char1561"/>
    <w:basedOn w:val="Predvolenpsmoodseku"/>
    <w:uiPriority w:val="99"/>
    <w:semiHidden/>
    <w:rsid w:val="00A809E7"/>
    <w:rPr>
      <w:rFonts w:ascii="Courier New" w:hAnsi="Courier New" w:cs="Courier New"/>
      <w:lang w:val="x-none" w:eastAsia="cs-CZ"/>
    </w:rPr>
  </w:style>
  <w:style w:type="character" w:customStyle="1" w:styleId="ObyajntextChar1559">
    <w:name w:val="Obyčajný text Char1559"/>
    <w:aliases w:val="Obyčajný text Char Char Char Char1560"/>
    <w:basedOn w:val="Predvolenpsmoodseku"/>
    <w:uiPriority w:val="99"/>
    <w:semiHidden/>
    <w:rsid w:val="00A809E7"/>
    <w:rPr>
      <w:rFonts w:ascii="Courier New" w:hAnsi="Courier New" w:cs="Courier New"/>
      <w:lang w:val="x-none" w:eastAsia="cs-CZ"/>
    </w:rPr>
  </w:style>
  <w:style w:type="character" w:customStyle="1" w:styleId="ObyajntextChar1558">
    <w:name w:val="Obyčajný text Char1558"/>
    <w:aliases w:val="Obyčajný text Char Char Char Char1559"/>
    <w:basedOn w:val="Predvolenpsmoodseku"/>
    <w:uiPriority w:val="99"/>
    <w:semiHidden/>
    <w:rsid w:val="00A809E7"/>
    <w:rPr>
      <w:rFonts w:ascii="Courier New" w:hAnsi="Courier New" w:cs="Courier New"/>
      <w:lang w:val="x-none" w:eastAsia="cs-CZ"/>
    </w:rPr>
  </w:style>
  <w:style w:type="character" w:customStyle="1" w:styleId="ObyajntextChar1557">
    <w:name w:val="Obyčajný text Char1557"/>
    <w:aliases w:val="Obyčajný text Char Char Char Char1558"/>
    <w:basedOn w:val="Predvolenpsmoodseku"/>
    <w:uiPriority w:val="99"/>
    <w:semiHidden/>
    <w:rsid w:val="00A809E7"/>
    <w:rPr>
      <w:rFonts w:ascii="Courier New" w:hAnsi="Courier New" w:cs="Courier New"/>
      <w:lang w:val="x-none" w:eastAsia="cs-CZ"/>
    </w:rPr>
  </w:style>
  <w:style w:type="character" w:customStyle="1" w:styleId="ObyajntextChar1556">
    <w:name w:val="Obyčajný text Char1556"/>
    <w:aliases w:val="Obyčajný text Char Char Char Char1557"/>
    <w:basedOn w:val="Predvolenpsmoodseku"/>
    <w:uiPriority w:val="99"/>
    <w:semiHidden/>
    <w:rsid w:val="00A809E7"/>
    <w:rPr>
      <w:rFonts w:ascii="Courier New" w:hAnsi="Courier New" w:cs="Courier New"/>
      <w:lang w:val="x-none" w:eastAsia="cs-CZ"/>
    </w:rPr>
  </w:style>
  <w:style w:type="character" w:customStyle="1" w:styleId="ObyajntextChar1555">
    <w:name w:val="Obyčajný text Char1555"/>
    <w:aliases w:val="Obyčajný text Char Char Char Char1556"/>
    <w:basedOn w:val="Predvolenpsmoodseku"/>
    <w:uiPriority w:val="99"/>
    <w:semiHidden/>
    <w:rsid w:val="00A809E7"/>
    <w:rPr>
      <w:rFonts w:ascii="Courier New" w:hAnsi="Courier New" w:cs="Courier New"/>
      <w:lang w:val="x-none" w:eastAsia="cs-CZ"/>
    </w:rPr>
  </w:style>
  <w:style w:type="character" w:customStyle="1" w:styleId="ObyajntextChar1554">
    <w:name w:val="Obyčajný text Char1554"/>
    <w:aliases w:val="Obyčajný text Char Char Char Char1555"/>
    <w:basedOn w:val="Predvolenpsmoodseku"/>
    <w:uiPriority w:val="99"/>
    <w:semiHidden/>
    <w:rsid w:val="00A809E7"/>
    <w:rPr>
      <w:rFonts w:ascii="Courier New" w:hAnsi="Courier New" w:cs="Courier New"/>
      <w:lang w:val="x-none" w:eastAsia="cs-CZ"/>
    </w:rPr>
  </w:style>
  <w:style w:type="character" w:customStyle="1" w:styleId="ObyajntextChar1553">
    <w:name w:val="Obyčajný text Char1553"/>
    <w:aliases w:val="Obyčajný text Char Char Char Char1554"/>
    <w:basedOn w:val="Predvolenpsmoodseku"/>
    <w:uiPriority w:val="99"/>
    <w:semiHidden/>
    <w:rsid w:val="00A809E7"/>
    <w:rPr>
      <w:rFonts w:ascii="Courier New" w:hAnsi="Courier New" w:cs="Courier New"/>
      <w:lang w:val="x-none" w:eastAsia="cs-CZ"/>
    </w:rPr>
  </w:style>
  <w:style w:type="character" w:customStyle="1" w:styleId="ObyajntextChar1552">
    <w:name w:val="Obyčajný text Char1552"/>
    <w:aliases w:val="Obyčajný text Char Char Char Char1553"/>
    <w:basedOn w:val="Predvolenpsmoodseku"/>
    <w:uiPriority w:val="99"/>
    <w:semiHidden/>
    <w:rsid w:val="00A809E7"/>
    <w:rPr>
      <w:rFonts w:ascii="Courier New" w:hAnsi="Courier New" w:cs="Courier New"/>
      <w:lang w:val="x-none" w:eastAsia="cs-CZ"/>
    </w:rPr>
  </w:style>
  <w:style w:type="character" w:customStyle="1" w:styleId="ObyajntextChar1551">
    <w:name w:val="Obyčajný text Char1551"/>
    <w:aliases w:val="Obyčajný text Char Char Char Char1552"/>
    <w:basedOn w:val="Predvolenpsmoodseku"/>
    <w:uiPriority w:val="99"/>
    <w:semiHidden/>
    <w:rsid w:val="00A809E7"/>
    <w:rPr>
      <w:rFonts w:ascii="Courier New" w:hAnsi="Courier New" w:cs="Courier New"/>
      <w:lang w:val="x-none" w:eastAsia="cs-CZ"/>
    </w:rPr>
  </w:style>
  <w:style w:type="character" w:customStyle="1" w:styleId="ObyajntextChar1550">
    <w:name w:val="Obyčajný text Char1550"/>
    <w:aliases w:val="Obyčajný text Char Char Char Char1551"/>
    <w:basedOn w:val="Predvolenpsmoodseku"/>
    <w:uiPriority w:val="99"/>
    <w:semiHidden/>
    <w:rsid w:val="00A809E7"/>
    <w:rPr>
      <w:rFonts w:ascii="Courier New" w:hAnsi="Courier New" w:cs="Courier New"/>
      <w:lang w:val="x-none" w:eastAsia="cs-CZ"/>
    </w:rPr>
  </w:style>
  <w:style w:type="character" w:customStyle="1" w:styleId="ObyajntextChar1549">
    <w:name w:val="Obyčajný text Char1549"/>
    <w:aliases w:val="Obyčajný text Char Char Char Char1550"/>
    <w:basedOn w:val="Predvolenpsmoodseku"/>
    <w:uiPriority w:val="99"/>
    <w:semiHidden/>
    <w:rsid w:val="00A809E7"/>
    <w:rPr>
      <w:rFonts w:ascii="Courier New" w:hAnsi="Courier New" w:cs="Courier New"/>
      <w:lang w:val="x-none" w:eastAsia="cs-CZ"/>
    </w:rPr>
  </w:style>
  <w:style w:type="character" w:customStyle="1" w:styleId="ObyajntextChar1548">
    <w:name w:val="Obyčajný text Char1548"/>
    <w:aliases w:val="Obyčajný text Char Char Char Char1549"/>
    <w:basedOn w:val="Predvolenpsmoodseku"/>
    <w:uiPriority w:val="99"/>
    <w:semiHidden/>
    <w:rsid w:val="00A809E7"/>
    <w:rPr>
      <w:rFonts w:ascii="Courier New" w:hAnsi="Courier New" w:cs="Courier New"/>
      <w:lang w:val="x-none" w:eastAsia="cs-CZ"/>
    </w:rPr>
  </w:style>
  <w:style w:type="character" w:customStyle="1" w:styleId="ObyajntextChar1547">
    <w:name w:val="Obyčajný text Char1547"/>
    <w:aliases w:val="Obyčajný text Char Char Char Char1548"/>
    <w:basedOn w:val="Predvolenpsmoodseku"/>
    <w:uiPriority w:val="99"/>
    <w:semiHidden/>
    <w:rsid w:val="00A809E7"/>
    <w:rPr>
      <w:rFonts w:ascii="Courier New" w:hAnsi="Courier New" w:cs="Courier New"/>
      <w:lang w:val="x-none" w:eastAsia="cs-CZ"/>
    </w:rPr>
  </w:style>
  <w:style w:type="character" w:customStyle="1" w:styleId="ObyajntextChar1546">
    <w:name w:val="Obyčajný text Char1546"/>
    <w:aliases w:val="Obyčajný text Char Char Char Char1547"/>
    <w:basedOn w:val="Predvolenpsmoodseku"/>
    <w:uiPriority w:val="99"/>
    <w:semiHidden/>
    <w:rsid w:val="00A809E7"/>
    <w:rPr>
      <w:rFonts w:ascii="Courier New" w:hAnsi="Courier New" w:cs="Courier New"/>
      <w:lang w:val="x-none" w:eastAsia="cs-CZ"/>
    </w:rPr>
  </w:style>
  <w:style w:type="character" w:customStyle="1" w:styleId="ObyajntextChar1545">
    <w:name w:val="Obyčajný text Char1545"/>
    <w:aliases w:val="Obyčajný text Char Char Char Char1546"/>
    <w:basedOn w:val="Predvolenpsmoodseku"/>
    <w:uiPriority w:val="99"/>
    <w:semiHidden/>
    <w:rsid w:val="00A809E7"/>
    <w:rPr>
      <w:rFonts w:ascii="Courier New" w:hAnsi="Courier New" w:cs="Courier New"/>
      <w:lang w:val="x-none" w:eastAsia="cs-CZ"/>
    </w:rPr>
  </w:style>
  <w:style w:type="character" w:customStyle="1" w:styleId="ObyajntextChar1544">
    <w:name w:val="Obyčajný text Char1544"/>
    <w:aliases w:val="Obyčajný text Char Char Char Char1545"/>
    <w:basedOn w:val="Predvolenpsmoodseku"/>
    <w:uiPriority w:val="99"/>
    <w:semiHidden/>
    <w:rsid w:val="00A809E7"/>
    <w:rPr>
      <w:rFonts w:ascii="Courier New" w:hAnsi="Courier New" w:cs="Courier New"/>
      <w:lang w:val="x-none" w:eastAsia="cs-CZ"/>
    </w:rPr>
  </w:style>
  <w:style w:type="character" w:customStyle="1" w:styleId="ObyajntextChar1543">
    <w:name w:val="Obyčajný text Char1543"/>
    <w:aliases w:val="Obyčajný text Char Char Char Char1544"/>
    <w:basedOn w:val="Predvolenpsmoodseku"/>
    <w:uiPriority w:val="99"/>
    <w:semiHidden/>
    <w:rsid w:val="00A809E7"/>
    <w:rPr>
      <w:rFonts w:ascii="Courier New" w:hAnsi="Courier New" w:cs="Courier New"/>
      <w:lang w:val="x-none" w:eastAsia="cs-CZ"/>
    </w:rPr>
  </w:style>
  <w:style w:type="character" w:customStyle="1" w:styleId="ObyajntextChar1542">
    <w:name w:val="Obyčajný text Char1542"/>
    <w:aliases w:val="Obyčajný text Char Char Char Char1543"/>
    <w:basedOn w:val="Predvolenpsmoodseku"/>
    <w:uiPriority w:val="99"/>
    <w:semiHidden/>
    <w:rsid w:val="00A809E7"/>
    <w:rPr>
      <w:rFonts w:ascii="Courier New" w:hAnsi="Courier New" w:cs="Courier New"/>
      <w:lang w:val="x-none" w:eastAsia="cs-CZ"/>
    </w:rPr>
  </w:style>
  <w:style w:type="character" w:customStyle="1" w:styleId="ObyajntextChar1541">
    <w:name w:val="Obyčajný text Char1541"/>
    <w:aliases w:val="Obyčajný text Char Char Char Char1542"/>
    <w:basedOn w:val="Predvolenpsmoodseku"/>
    <w:uiPriority w:val="99"/>
    <w:semiHidden/>
    <w:rsid w:val="00A809E7"/>
    <w:rPr>
      <w:rFonts w:ascii="Courier New" w:hAnsi="Courier New" w:cs="Courier New"/>
      <w:lang w:val="x-none" w:eastAsia="cs-CZ"/>
    </w:rPr>
  </w:style>
  <w:style w:type="character" w:customStyle="1" w:styleId="ObyajntextChar1540">
    <w:name w:val="Obyčajný text Char1540"/>
    <w:aliases w:val="Obyčajný text Char Char Char Char1541"/>
    <w:basedOn w:val="Predvolenpsmoodseku"/>
    <w:uiPriority w:val="99"/>
    <w:semiHidden/>
    <w:rsid w:val="00A809E7"/>
    <w:rPr>
      <w:rFonts w:ascii="Courier New" w:hAnsi="Courier New" w:cs="Courier New"/>
      <w:lang w:val="x-none" w:eastAsia="cs-CZ"/>
    </w:rPr>
  </w:style>
  <w:style w:type="character" w:customStyle="1" w:styleId="ObyajntextChar1539">
    <w:name w:val="Obyčajný text Char1539"/>
    <w:aliases w:val="Obyčajný text Char Char Char Char1540"/>
    <w:basedOn w:val="Predvolenpsmoodseku"/>
    <w:uiPriority w:val="99"/>
    <w:semiHidden/>
    <w:rsid w:val="00A809E7"/>
    <w:rPr>
      <w:rFonts w:ascii="Courier New" w:hAnsi="Courier New" w:cs="Courier New"/>
      <w:lang w:val="x-none" w:eastAsia="cs-CZ"/>
    </w:rPr>
  </w:style>
  <w:style w:type="character" w:customStyle="1" w:styleId="ObyajntextChar1538">
    <w:name w:val="Obyčajný text Char1538"/>
    <w:aliases w:val="Obyčajný text Char Char Char Char1539"/>
    <w:basedOn w:val="Predvolenpsmoodseku"/>
    <w:uiPriority w:val="99"/>
    <w:semiHidden/>
    <w:rsid w:val="00A809E7"/>
    <w:rPr>
      <w:rFonts w:ascii="Courier New" w:hAnsi="Courier New" w:cs="Courier New"/>
      <w:lang w:val="x-none" w:eastAsia="cs-CZ"/>
    </w:rPr>
  </w:style>
  <w:style w:type="character" w:customStyle="1" w:styleId="ObyajntextChar1537">
    <w:name w:val="Obyčajný text Char1537"/>
    <w:aliases w:val="Obyčajný text Char Char Char Char1538"/>
    <w:basedOn w:val="Predvolenpsmoodseku"/>
    <w:uiPriority w:val="99"/>
    <w:semiHidden/>
    <w:rsid w:val="00A809E7"/>
    <w:rPr>
      <w:rFonts w:ascii="Courier New" w:hAnsi="Courier New" w:cs="Courier New"/>
      <w:lang w:val="x-none" w:eastAsia="cs-CZ"/>
    </w:rPr>
  </w:style>
  <w:style w:type="character" w:customStyle="1" w:styleId="ObyajntextChar1536">
    <w:name w:val="Obyčajný text Char1536"/>
    <w:aliases w:val="Obyčajný text Char Char Char Char1537"/>
    <w:basedOn w:val="Predvolenpsmoodseku"/>
    <w:uiPriority w:val="99"/>
    <w:semiHidden/>
    <w:rsid w:val="00A809E7"/>
    <w:rPr>
      <w:rFonts w:ascii="Courier New" w:hAnsi="Courier New" w:cs="Courier New"/>
      <w:lang w:val="x-none" w:eastAsia="cs-CZ"/>
    </w:rPr>
  </w:style>
  <w:style w:type="character" w:customStyle="1" w:styleId="ObyajntextChar1535">
    <w:name w:val="Obyčajný text Char1535"/>
    <w:aliases w:val="Obyčajný text Char Char Char Char1536"/>
    <w:basedOn w:val="Predvolenpsmoodseku"/>
    <w:uiPriority w:val="99"/>
    <w:semiHidden/>
    <w:rsid w:val="00A809E7"/>
    <w:rPr>
      <w:rFonts w:ascii="Courier New" w:hAnsi="Courier New" w:cs="Courier New"/>
      <w:lang w:val="x-none" w:eastAsia="cs-CZ"/>
    </w:rPr>
  </w:style>
  <w:style w:type="character" w:customStyle="1" w:styleId="ObyajntextChar1534">
    <w:name w:val="Obyčajný text Char1534"/>
    <w:aliases w:val="Obyčajný text Char Char Char Char1535"/>
    <w:basedOn w:val="Predvolenpsmoodseku"/>
    <w:uiPriority w:val="99"/>
    <w:semiHidden/>
    <w:rsid w:val="00A809E7"/>
    <w:rPr>
      <w:rFonts w:ascii="Courier New" w:hAnsi="Courier New" w:cs="Courier New"/>
      <w:lang w:val="x-none" w:eastAsia="cs-CZ"/>
    </w:rPr>
  </w:style>
  <w:style w:type="character" w:customStyle="1" w:styleId="ObyajntextChar1533">
    <w:name w:val="Obyčajný text Char1533"/>
    <w:aliases w:val="Obyčajný text Char Char Char Char1534"/>
    <w:basedOn w:val="Predvolenpsmoodseku"/>
    <w:uiPriority w:val="99"/>
    <w:semiHidden/>
    <w:rsid w:val="00A809E7"/>
    <w:rPr>
      <w:rFonts w:ascii="Courier New" w:hAnsi="Courier New" w:cs="Courier New"/>
      <w:lang w:val="x-none" w:eastAsia="cs-CZ"/>
    </w:rPr>
  </w:style>
  <w:style w:type="character" w:customStyle="1" w:styleId="ObyajntextChar1532">
    <w:name w:val="Obyčajný text Char1532"/>
    <w:aliases w:val="Obyčajný text Char Char Char Char1533"/>
    <w:basedOn w:val="Predvolenpsmoodseku"/>
    <w:uiPriority w:val="99"/>
    <w:semiHidden/>
    <w:rsid w:val="00A809E7"/>
    <w:rPr>
      <w:rFonts w:ascii="Courier New" w:hAnsi="Courier New" w:cs="Courier New"/>
      <w:lang w:val="x-none" w:eastAsia="cs-CZ"/>
    </w:rPr>
  </w:style>
  <w:style w:type="character" w:customStyle="1" w:styleId="ObyajntextChar1531">
    <w:name w:val="Obyčajný text Char1531"/>
    <w:aliases w:val="Obyčajný text Char Char Char Char1532"/>
    <w:basedOn w:val="Predvolenpsmoodseku"/>
    <w:uiPriority w:val="99"/>
    <w:semiHidden/>
    <w:rsid w:val="00A809E7"/>
    <w:rPr>
      <w:rFonts w:ascii="Courier New" w:hAnsi="Courier New" w:cs="Courier New"/>
      <w:lang w:val="x-none" w:eastAsia="cs-CZ"/>
    </w:rPr>
  </w:style>
  <w:style w:type="character" w:customStyle="1" w:styleId="ObyajntextChar1530">
    <w:name w:val="Obyčajný text Char1530"/>
    <w:aliases w:val="Obyčajný text Char Char Char Char1531"/>
    <w:basedOn w:val="Predvolenpsmoodseku"/>
    <w:uiPriority w:val="99"/>
    <w:semiHidden/>
    <w:rsid w:val="00A809E7"/>
    <w:rPr>
      <w:rFonts w:ascii="Courier New" w:hAnsi="Courier New" w:cs="Courier New"/>
      <w:lang w:val="x-none" w:eastAsia="cs-CZ"/>
    </w:rPr>
  </w:style>
  <w:style w:type="character" w:customStyle="1" w:styleId="ObyajntextChar1529">
    <w:name w:val="Obyčajný text Char1529"/>
    <w:aliases w:val="Obyčajný text Char Char Char Char1530"/>
    <w:basedOn w:val="Predvolenpsmoodseku"/>
    <w:uiPriority w:val="99"/>
    <w:semiHidden/>
    <w:rsid w:val="00A809E7"/>
    <w:rPr>
      <w:rFonts w:ascii="Courier New" w:hAnsi="Courier New" w:cs="Courier New"/>
      <w:lang w:val="x-none" w:eastAsia="cs-CZ"/>
    </w:rPr>
  </w:style>
  <w:style w:type="character" w:customStyle="1" w:styleId="ObyajntextChar1528">
    <w:name w:val="Obyčajný text Char1528"/>
    <w:aliases w:val="Obyčajný text Char Char Char Char1529"/>
    <w:basedOn w:val="Predvolenpsmoodseku"/>
    <w:uiPriority w:val="99"/>
    <w:semiHidden/>
    <w:rsid w:val="00A809E7"/>
    <w:rPr>
      <w:rFonts w:ascii="Courier New" w:hAnsi="Courier New" w:cs="Courier New"/>
      <w:lang w:val="x-none" w:eastAsia="cs-CZ"/>
    </w:rPr>
  </w:style>
  <w:style w:type="character" w:customStyle="1" w:styleId="ObyajntextChar1527">
    <w:name w:val="Obyčajný text Char1527"/>
    <w:aliases w:val="Obyčajný text Char Char Char Char1528"/>
    <w:basedOn w:val="Predvolenpsmoodseku"/>
    <w:uiPriority w:val="99"/>
    <w:semiHidden/>
    <w:rsid w:val="00A809E7"/>
    <w:rPr>
      <w:rFonts w:ascii="Courier New" w:hAnsi="Courier New" w:cs="Courier New"/>
      <w:lang w:val="x-none" w:eastAsia="cs-CZ"/>
    </w:rPr>
  </w:style>
  <w:style w:type="character" w:customStyle="1" w:styleId="ObyajntextChar1526">
    <w:name w:val="Obyčajný text Char1526"/>
    <w:aliases w:val="Obyčajný text Char Char Char Char1527"/>
    <w:basedOn w:val="Predvolenpsmoodseku"/>
    <w:uiPriority w:val="99"/>
    <w:semiHidden/>
    <w:rsid w:val="00A809E7"/>
    <w:rPr>
      <w:rFonts w:ascii="Courier New" w:hAnsi="Courier New" w:cs="Courier New"/>
      <w:lang w:val="x-none" w:eastAsia="cs-CZ"/>
    </w:rPr>
  </w:style>
  <w:style w:type="character" w:customStyle="1" w:styleId="ObyajntextChar1525">
    <w:name w:val="Obyčajný text Char1525"/>
    <w:aliases w:val="Obyčajný text Char Char Char Char1526"/>
    <w:basedOn w:val="Predvolenpsmoodseku"/>
    <w:uiPriority w:val="99"/>
    <w:semiHidden/>
    <w:rsid w:val="00A809E7"/>
    <w:rPr>
      <w:rFonts w:ascii="Courier New" w:hAnsi="Courier New" w:cs="Courier New"/>
      <w:lang w:val="x-none" w:eastAsia="cs-CZ"/>
    </w:rPr>
  </w:style>
  <w:style w:type="character" w:customStyle="1" w:styleId="ObyajntextChar1524">
    <w:name w:val="Obyčajný text Char1524"/>
    <w:aliases w:val="Obyčajný text Char Char Char Char1525"/>
    <w:basedOn w:val="Predvolenpsmoodseku"/>
    <w:uiPriority w:val="99"/>
    <w:semiHidden/>
    <w:rsid w:val="00A809E7"/>
    <w:rPr>
      <w:rFonts w:ascii="Courier New" w:hAnsi="Courier New" w:cs="Courier New"/>
      <w:lang w:val="x-none" w:eastAsia="cs-CZ"/>
    </w:rPr>
  </w:style>
  <w:style w:type="character" w:customStyle="1" w:styleId="ObyajntextChar1523">
    <w:name w:val="Obyčajný text Char1523"/>
    <w:aliases w:val="Obyčajný text Char Char Char Char1524"/>
    <w:basedOn w:val="Predvolenpsmoodseku"/>
    <w:uiPriority w:val="99"/>
    <w:semiHidden/>
    <w:rsid w:val="00A809E7"/>
    <w:rPr>
      <w:rFonts w:ascii="Courier New" w:hAnsi="Courier New" w:cs="Courier New"/>
      <w:lang w:val="x-none" w:eastAsia="cs-CZ"/>
    </w:rPr>
  </w:style>
  <w:style w:type="character" w:customStyle="1" w:styleId="ObyajntextChar1522">
    <w:name w:val="Obyčajný text Char1522"/>
    <w:aliases w:val="Obyčajný text Char Char Char Char1523"/>
    <w:basedOn w:val="Predvolenpsmoodseku"/>
    <w:uiPriority w:val="99"/>
    <w:semiHidden/>
    <w:rsid w:val="00A809E7"/>
    <w:rPr>
      <w:rFonts w:ascii="Courier New" w:hAnsi="Courier New" w:cs="Courier New"/>
      <w:lang w:val="x-none" w:eastAsia="cs-CZ"/>
    </w:rPr>
  </w:style>
  <w:style w:type="character" w:customStyle="1" w:styleId="ObyajntextChar1521">
    <w:name w:val="Obyčajný text Char1521"/>
    <w:aliases w:val="Obyčajný text Char Char Char Char1522"/>
    <w:basedOn w:val="Predvolenpsmoodseku"/>
    <w:uiPriority w:val="99"/>
    <w:semiHidden/>
    <w:rsid w:val="00A809E7"/>
    <w:rPr>
      <w:rFonts w:ascii="Courier New" w:hAnsi="Courier New" w:cs="Courier New"/>
      <w:lang w:val="x-none" w:eastAsia="cs-CZ"/>
    </w:rPr>
  </w:style>
  <w:style w:type="character" w:customStyle="1" w:styleId="ObyajntextChar1520">
    <w:name w:val="Obyčajný text Char1520"/>
    <w:aliases w:val="Obyčajný text Char Char Char Char1521"/>
    <w:basedOn w:val="Predvolenpsmoodseku"/>
    <w:uiPriority w:val="99"/>
    <w:semiHidden/>
    <w:rsid w:val="00A809E7"/>
    <w:rPr>
      <w:rFonts w:ascii="Courier New" w:hAnsi="Courier New" w:cs="Courier New"/>
      <w:lang w:val="x-none" w:eastAsia="cs-CZ"/>
    </w:rPr>
  </w:style>
  <w:style w:type="character" w:customStyle="1" w:styleId="ObyajntextChar1519">
    <w:name w:val="Obyčajný text Char1519"/>
    <w:aliases w:val="Obyčajný text Char Char Char Char1520"/>
    <w:basedOn w:val="Predvolenpsmoodseku"/>
    <w:uiPriority w:val="99"/>
    <w:semiHidden/>
    <w:rsid w:val="00A809E7"/>
    <w:rPr>
      <w:rFonts w:ascii="Courier New" w:hAnsi="Courier New" w:cs="Courier New"/>
      <w:lang w:val="x-none" w:eastAsia="cs-CZ"/>
    </w:rPr>
  </w:style>
  <w:style w:type="character" w:customStyle="1" w:styleId="ObyajntextChar1518">
    <w:name w:val="Obyčajný text Char1518"/>
    <w:aliases w:val="Obyčajný text Char Char Char Char1519"/>
    <w:basedOn w:val="Predvolenpsmoodseku"/>
    <w:uiPriority w:val="99"/>
    <w:semiHidden/>
    <w:rsid w:val="00A809E7"/>
    <w:rPr>
      <w:rFonts w:ascii="Courier New" w:hAnsi="Courier New" w:cs="Courier New"/>
      <w:lang w:val="x-none" w:eastAsia="cs-CZ"/>
    </w:rPr>
  </w:style>
  <w:style w:type="character" w:customStyle="1" w:styleId="ObyajntextChar1517">
    <w:name w:val="Obyčajný text Char1517"/>
    <w:aliases w:val="Obyčajný text Char Char Char Char1518"/>
    <w:basedOn w:val="Predvolenpsmoodseku"/>
    <w:uiPriority w:val="99"/>
    <w:semiHidden/>
    <w:rsid w:val="00A809E7"/>
    <w:rPr>
      <w:rFonts w:ascii="Courier New" w:hAnsi="Courier New" w:cs="Courier New"/>
      <w:lang w:val="x-none" w:eastAsia="cs-CZ"/>
    </w:rPr>
  </w:style>
  <w:style w:type="character" w:customStyle="1" w:styleId="ObyajntextChar1516">
    <w:name w:val="Obyčajný text Char1516"/>
    <w:aliases w:val="Obyčajný text Char Char Char Char1517"/>
    <w:basedOn w:val="Predvolenpsmoodseku"/>
    <w:uiPriority w:val="99"/>
    <w:semiHidden/>
    <w:rsid w:val="00A809E7"/>
    <w:rPr>
      <w:rFonts w:ascii="Courier New" w:hAnsi="Courier New" w:cs="Courier New"/>
      <w:lang w:val="x-none" w:eastAsia="cs-CZ"/>
    </w:rPr>
  </w:style>
  <w:style w:type="character" w:customStyle="1" w:styleId="ObyajntextChar1515">
    <w:name w:val="Obyčajný text Char1515"/>
    <w:aliases w:val="Obyčajný text Char Char Char Char1516"/>
    <w:basedOn w:val="Predvolenpsmoodseku"/>
    <w:uiPriority w:val="99"/>
    <w:semiHidden/>
    <w:rsid w:val="00A809E7"/>
    <w:rPr>
      <w:rFonts w:ascii="Courier New" w:hAnsi="Courier New" w:cs="Courier New"/>
      <w:lang w:val="x-none" w:eastAsia="cs-CZ"/>
    </w:rPr>
  </w:style>
  <w:style w:type="character" w:customStyle="1" w:styleId="ObyajntextChar1514">
    <w:name w:val="Obyčajný text Char1514"/>
    <w:aliases w:val="Obyčajný text Char Char Char Char1515"/>
    <w:basedOn w:val="Predvolenpsmoodseku"/>
    <w:uiPriority w:val="99"/>
    <w:semiHidden/>
    <w:rsid w:val="00A809E7"/>
    <w:rPr>
      <w:rFonts w:ascii="Courier New" w:hAnsi="Courier New" w:cs="Courier New"/>
      <w:lang w:val="x-none" w:eastAsia="cs-CZ"/>
    </w:rPr>
  </w:style>
  <w:style w:type="character" w:customStyle="1" w:styleId="ObyajntextChar1513">
    <w:name w:val="Obyčajný text Char1513"/>
    <w:aliases w:val="Obyčajný text Char Char Char Char1514"/>
    <w:uiPriority w:val="99"/>
    <w:semiHidden/>
    <w:rsid w:val="00A809E7"/>
    <w:rPr>
      <w:rFonts w:ascii="Courier New" w:hAnsi="Courier New"/>
      <w:lang w:val="x-none" w:eastAsia="cs-CZ"/>
    </w:rPr>
  </w:style>
  <w:style w:type="character" w:customStyle="1" w:styleId="ObyajntextChar1512">
    <w:name w:val="Obyčajný text Char1512"/>
    <w:aliases w:val="Obyčajný text Char Char Char Char1513"/>
    <w:uiPriority w:val="99"/>
    <w:semiHidden/>
    <w:rsid w:val="00A809E7"/>
    <w:rPr>
      <w:rFonts w:ascii="Courier New" w:hAnsi="Courier New"/>
      <w:lang w:val="x-none" w:eastAsia="cs-CZ"/>
    </w:rPr>
  </w:style>
  <w:style w:type="character" w:customStyle="1" w:styleId="ObyajntextChar1511">
    <w:name w:val="Obyčajný text Char1511"/>
    <w:aliases w:val="Obyčajný text Char Char Char Char1512"/>
    <w:uiPriority w:val="99"/>
    <w:semiHidden/>
    <w:rsid w:val="00A809E7"/>
    <w:rPr>
      <w:rFonts w:ascii="Courier New" w:hAnsi="Courier New"/>
      <w:lang w:val="x-none" w:eastAsia="cs-CZ"/>
    </w:rPr>
  </w:style>
  <w:style w:type="character" w:customStyle="1" w:styleId="ObyajntextChar1510">
    <w:name w:val="Obyčajný text Char1510"/>
    <w:aliases w:val="Obyčajný text Char Char Char Char1511"/>
    <w:uiPriority w:val="99"/>
    <w:semiHidden/>
    <w:rsid w:val="00A809E7"/>
    <w:rPr>
      <w:rFonts w:ascii="Courier New" w:hAnsi="Courier New"/>
      <w:lang w:val="x-none" w:eastAsia="cs-CZ"/>
    </w:rPr>
  </w:style>
  <w:style w:type="character" w:customStyle="1" w:styleId="ObyajntextChar1509">
    <w:name w:val="Obyčajný text Char1509"/>
    <w:aliases w:val="Obyčajný text Char Char Char Char1510"/>
    <w:uiPriority w:val="99"/>
    <w:semiHidden/>
    <w:rsid w:val="00A809E7"/>
    <w:rPr>
      <w:rFonts w:ascii="Courier New" w:hAnsi="Courier New"/>
      <w:lang w:val="x-none" w:eastAsia="cs-CZ"/>
    </w:rPr>
  </w:style>
  <w:style w:type="character" w:customStyle="1" w:styleId="ObyajntextChar1508">
    <w:name w:val="Obyčajný text Char1508"/>
    <w:aliases w:val="Obyčajný text Char Char Char Char1509"/>
    <w:uiPriority w:val="99"/>
    <w:semiHidden/>
    <w:rsid w:val="00A809E7"/>
    <w:rPr>
      <w:rFonts w:ascii="Courier New" w:hAnsi="Courier New"/>
      <w:lang w:val="x-none" w:eastAsia="cs-CZ"/>
    </w:rPr>
  </w:style>
  <w:style w:type="character" w:customStyle="1" w:styleId="ObyajntextChar1507">
    <w:name w:val="Obyčajný text Char1507"/>
    <w:aliases w:val="Obyčajný text Char Char Char Char1508"/>
    <w:uiPriority w:val="99"/>
    <w:semiHidden/>
    <w:rsid w:val="00A809E7"/>
    <w:rPr>
      <w:rFonts w:ascii="Courier New" w:hAnsi="Courier New"/>
      <w:lang w:val="x-none" w:eastAsia="cs-CZ"/>
    </w:rPr>
  </w:style>
  <w:style w:type="character" w:customStyle="1" w:styleId="ObyajntextChar1506">
    <w:name w:val="Obyčajný text Char1506"/>
    <w:aliases w:val="Obyčajný text Char Char Char Char1507"/>
    <w:uiPriority w:val="99"/>
    <w:semiHidden/>
    <w:rsid w:val="00A809E7"/>
    <w:rPr>
      <w:rFonts w:ascii="Courier New" w:hAnsi="Courier New"/>
      <w:lang w:val="x-none" w:eastAsia="cs-CZ"/>
    </w:rPr>
  </w:style>
  <w:style w:type="character" w:customStyle="1" w:styleId="ObyajntextChar1505">
    <w:name w:val="Obyčajný text Char1505"/>
    <w:aliases w:val="Obyčajný text Char Char Char Char1506"/>
    <w:uiPriority w:val="99"/>
    <w:semiHidden/>
    <w:rsid w:val="00A809E7"/>
    <w:rPr>
      <w:rFonts w:ascii="Courier New" w:hAnsi="Courier New"/>
      <w:lang w:val="x-none" w:eastAsia="cs-CZ"/>
    </w:rPr>
  </w:style>
  <w:style w:type="character" w:customStyle="1" w:styleId="ObyajntextChar1504">
    <w:name w:val="Obyčajný text Char1504"/>
    <w:aliases w:val="Obyčajný text Char Char Char Char1505"/>
    <w:uiPriority w:val="99"/>
    <w:semiHidden/>
    <w:rsid w:val="00A809E7"/>
    <w:rPr>
      <w:rFonts w:ascii="Courier New" w:hAnsi="Courier New"/>
      <w:lang w:val="x-none" w:eastAsia="cs-CZ"/>
    </w:rPr>
  </w:style>
  <w:style w:type="character" w:customStyle="1" w:styleId="ObyajntextChar1503">
    <w:name w:val="Obyčajný text Char1503"/>
    <w:aliases w:val="Obyčajný text Char Char Char Char1504"/>
    <w:uiPriority w:val="99"/>
    <w:semiHidden/>
    <w:rsid w:val="00A809E7"/>
    <w:rPr>
      <w:rFonts w:ascii="Courier New" w:hAnsi="Courier New"/>
      <w:lang w:val="x-none" w:eastAsia="cs-CZ"/>
    </w:rPr>
  </w:style>
  <w:style w:type="character" w:customStyle="1" w:styleId="ObyajntextChar1502">
    <w:name w:val="Obyčajný text Char1502"/>
    <w:aliases w:val="Obyčajný text Char Char Char Char1503"/>
    <w:uiPriority w:val="99"/>
    <w:semiHidden/>
    <w:rsid w:val="00A809E7"/>
    <w:rPr>
      <w:rFonts w:ascii="Courier New" w:hAnsi="Courier New"/>
      <w:lang w:val="x-none" w:eastAsia="cs-CZ"/>
    </w:rPr>
  </w:style>
  <w:style w:type="character" w:customStyle="1" w:styleId="ObyajntextChar1501">
    <w:name w:val="Obyčajný text Char1501"/>
    <w:aliases w:val="Obyčajný text Char Char Char Char1502"/>
    <w:uiPriority w:val="99"/>
    <w:semiHidden/>
    <w:rsid w:val="00A809E7"/>
    <w:rPr>
      <w:rFonts w:ascii="Courier New" w:hAnsi="Courier New"/>
      <w:lang w:val="x-none" w:eastAsia="cs-CZ"/>
    </w:rPr>
  </w:style>
  <w:style w:type="character" w:customStyle="1" w:styleId="ObyajntextChar1500">
    <w:name w:val="Obyčajný text Char1500"/>
    <w:aliases w:val="Obyčajný text Char Char Char Char1501"/>
    <w:uiPriority w:val="99"/>
    <w:semiHidden/>
    <w:rsid w:val="00A809E7"/>
    <w:rPr>
      <w:rFonts w:ascii="Courier New" w:hAnsi="Courier New"/>
      <w:lang w:val="x-none" w:eastAsia="cs-CZ"/>
    </w:rPr>
  </w:style>
  <w:style w:type="character" w:customStyle="1" w:styleId="ObyajntextChar1499">
    <w:name w:val="Obyčajný text Char1499"/>
    <w:aliases w:val="Obyčajný text Char Char Char Char1500"/>
    <w:uiPriority w:val="99"/>
    <w:semiHidden/>
    <w:rsid w:val="00A809E7"/>
    <w:rPr>
      <w:rFonts w:ascii="Courier New" w:hAnsi="Courier New"/>
      <w:lang w:val="x-none" w:eastAsia="cs-CZ"/>
    </w:rPr>
  </w:style>
  <w:style w:type="character" w:customStyle="1" w:styleId="ObyajntextChar1498">
    <w:name w:val="Obyčajný text Char1498"/>
    <w:aliases w:val="Obyčajný text Char Char Char Char1499"/>
    <w:uiPriority w:val="99"/>
    <w:semiHidden/>
    <w:rsid w:val="00A809E7"/>
    <w:rPr>
      <w:rFonts w:ascii="Courier New" w:hAnsi="Courier New"/>
      <w:lang w:val="x-none" w:eastAsia="cs-CZ"/>
    </w:rPr>
  </w:style>
  <w:style w:type="character" w:customStyle="1" w:styleId="ObyajntextChar1497">
    <w:name w:val="Obyčajný text Char1497"/>
    <w:aliases w:val="Obyčajný text Char Char Char Char1498"/>
    <w:uiPriority w:val="99"/>
    <w:semiHidden/>
    <w:rsid w:val="00A809E7"/>
    <w:rPr>
      <w:rFonts w:ascii="Courier New" w:hAnsi="Courier New"/>
      <w:lang w:val="x-none" w:eastAsia="cs-CZ"/>
    </w:rPr>
  </w:style>
  <w:style w:type="character" w:customStyle="1" w:styleId="ObyajntextChar1496">
    <w:name w:val="Obyčajný text Char1496"/>
    <w:aliases w:val="Obyčajný text Char Char Char Char1497"/>
    <w:uiPriority w:val="99"/>
    <w:semiHidden/>
    <w:rsid w:val="00A809E7"/>
    <w:rPr>
      <w:rFonts w:ascii="Courier New" w:hAnsi="Courier New"/>
      <w:lang w:val="x-none" w:eastAsia="cs-CZ"/>
    </w:rPr>
  </w:style>
  <w:style w:type="character" w:customStyle="1" w:styleId="ObyajntextChar1495">
    <w:name w:val="Obyčajný text Char1495"/>
    <w:aliases w:val="Obyčajný text Char Char Char Char1496"/>
    <w:uiPriority w:val="99"/>
    <w:semiHidden/>
    <w:rsid w:val="00A809E7"/>
    <w:rPr>
      <w:rFonts w:ascii="Courier New" w:hAnsi="Courier New"/>
      <w:lang w:val="x-none" w:eastAsia="cs-CZ"/>
    </w:rPr>
  </w:style>
  <w:style w:type="character" w:customStyle="1" w:styleId="ObyajntextChar1494">
    <w:name w:val="Obyčajný text Char1494"/>
    <w:aliases w:val="Obyčajný text Char Char Char Char1495"/>
    <w:uiPriority w:val="99"/>
    <w:semiHidden/>
    <w:rsid w:val="00A809E7"/>
    <w:rPr>
      <w:rFonts w:ascii="Courier New" w:hAnsi="Courier New"/>
      <w:lang w:val="x-none" w:eastAsia="cs-CZ"/>
    </w:rPr>
  </w:style>
  <w:style w:type="character" w:customStyle="1" w:styleId="ObyajntextChar1493">
    <w:name w:val="Obyčajný text Char1493"/>
    <w:aliases w:val="Obyčajný text Char Char Char Char1494"/>
    <w:uiPriority w:val="99"/>
    <w:semiHidden/>
    <w:rsid w:val="00A809E7"/>
    <w:rPr>
      <w:rFonts w:ascii="Courier New" w:hAnsi="Courier New"/>
      <w:lang w:val="x-none" w:eastAsia="cs-CZ"/>
    </w:rPr>
  </w:style>
  <w:style w:type="character" w:customStyle="1" w:styleId="ObyajntextChar1492">
    <w:name w:val="Obyčajný text Char1492"/>
    <w:aliases w:val="Obyčajný text Char Char Char Char1493"/>
    <w:uiPriority w:val="99"/>
    <w:semiHidden/>
    <w:rsid w:val="00A809E7"/>
    <w:rPr>
      <w:rFonts w:ascii="Courier New" w:hAnsi="Courier New"/>
      <w:lang w:val="x-none" w:eastAsia="cs-CZ"/>
    </w:rPr>
  </w:style>
  <w:style w:type="character" w:customStyle="1" w:styleId="ObyajntextChar1491">
    <w:name w:val="Obyčajný text Char1491"/>
    <w:aliases w:val="Obyčajný text Char Char Char Char1492"/>
    <w:uiPriority w:val="99"/>
    <w:semiHidden/>
    <w:rsid w:val="00A809E7"/>
    <w:rPr>
      <w:rFonts w:ascii="Courier New" w:hAnsi="Courier New"/>
      <w:lang w:val="x-none" w:eastAsia="cs-CZ"/>
    </w:rPr>
  </w:style>
  <w:style w:type="character" w:customStyle="1" w:styleId="ObyajntextChar1490">
    <w:name w:val="Obyčajný text Char1490"/>
    <w:aliases w:val="Obyčajný text Char Char Char Char1491"/>
    <w:uiPriority w:val="99"/>
    <w:semiHidden/>
    <w:rsid w:val="00A809E7"/>
    <w:rPr>
      <w:rFonts w:ascii="Courier New" w:hAnsi="Courier New"/>
      <w:lang w:val="x-none" w:eastAsia="cs-CZ"/>
    </w:rPr>
  </w:style>
  <w:style w:type="character" w:customStyle="1" w:styleId="ObyajntextChar1489">
    <w:name w:val="Obyčajný text Char1489"/>
    <w:aliases w:val="Obyčajný text Char Char Char Char1490"/>
    <w:uiPriority w:val="99"/>
    <w:semiHidden/>
    <w:rsid w:val="00A809E7"/>
    <w:rPr>
      <w:rFonts w:ascii="Courier New" w:hAnsi="Courier New"/>
      <w:lang w:val="x-none" w:eastAsia="cs-CZ"/>
    </w:rPr>
  </w:style>
  <w:style w:type="character" w:customStyle="1" w:styleId="ObyajntextChar1488">
    <w:name w:val="Obyčajný text Char1488"/>
    <w:aliases w:val="Obyčajný text Char Char Char Char1489"/>
    <w:uiPriority w:val="99"/>
    <w:semiHidden/>
    <w:rsid w:val="00A809E7"/>
    <w:rPr>
      <w:rFonts w:ascii="Courier New" w:hAnsi="Courier New"/>
      <w:lang w:val="x-none" w:eastAsia="cs-CZ"/>
    </w:rPr>
  </w:style>
  <w:style w:type="character" w:customStyle="1" w:styleId="ObyajntextChar1487">
    <w:name w:val="Obyčajný text Char1487"/>
    <w:aliases w:val="Obyčajný text Char Char Char Char1488"/>
    <w:uiPriority w:val="99"/>
    <w:semiHidden/>
    <w:rsid w:val="00A809E7"/>
    <w:rPr>
      <w:rFonts w:ascii="Courier New" w:hAnsi="Courier New"/>
      <w:lang w:val="x-none" w:eastAsia="cs-CZ"/>
    </w:rPr>
  </w:style>
  <w:style w:type="character" w:customStyle="1" w:styleId="ObyajntextChar1486">
    <w:name w:val="Obyčajný text Char1486"/>
    <w:aliases w:val="Obyčajný text Char Char Char Char1487"/>
    <w:uiPriority w:val="99"/>
    <w:semiHidden/>
    <w:rsid w:val="00A809E7"/>
    <w:rPr>
      <w:rFonts w:ascii="Courier New" w:hAnsi="Courier New"/>
      <w:lang w:val="x-none" w:eastAsia="cs-CZ"/>
    </w:rPr>
  </w:style>
  <w:style w:type="character" w:customStyle="1" w:styleId="ObyajntextChar1485">
    <w:name w:val="Obyčajný text Char1485"/>
    <w:aliases w:val="Obyčajný text Char Char Char Char1486"/>
    <w:uiPriority w:val="99"/>
    <w:semiHidden/>
    <w:rsid w:val="00A809E7"/>
    <w:rPr>
      <w:rFonts w:ascii="Courier New" w:hAnsi="Courier New"/>
      <w:lang w:val="x-none" w:eastAsia="cs-CZ"/>
    </w:rPr>
  </w:style>
  <w:style w:type="character" w:customStyle="1" w:styleId="ObyajntextChar1484">
    <w:name w:val="Obyčajný text Char1484"/>
    <w:aliases w:val="Obyčajný text Char Char Char Char1485"/>
    <w:uiPriority w:val="99"/>
    <w:semiHidden/>
    <w:rsid w:val="00A809E7"/>
    <w:rPr>
      <w:rFonts w:ascii="Courier New" w:hAnsi="Courier New"/>
      <w:lang w:val="x-none" w:eastAsia="cs-CZ"/>
    </w:rPr>
  </w:style>
  <w:style w:type="character" w:customStyle="1" w:styleId="ObyajntextChar1483">
    <w:name w:val="Obyčajný text Char1483"/>
    <w:aliases w:val="Obyčajný text Char Char Char Char1484"/>
    <w:uiPriority w:val="99"/>
    <w:semiHidden/>
    <w:rsid w:val="00A809E7"/>
    <w:rPr>
      <w:rFonts w:ascii="Courier New" w:hAnsi="Courier New"/>
      <w:lang w:val="x-none" w:eastAsia="cs-CZ"/>
    </w:rPr>
  </w:style>
  <w:style w:type="character" w:customStyle="1" w:styleId="ObyajntextChar1482">
    <w:name w:val="Obyčajný text Char1482"/>
    <w:aliases w:val="Obyčajný text Char Char Char Char1483"/>
    <w:uiPriority w:val="99"/>
    <w:semiHidden/>
    <w:rsid w:val="00A809E7"/>
    <w:rPr>
      <w:rFonts w:ascii="Courier New" w:hAnsi="Courier New"/>
      <w:lang w:val="x-none" w:eastAsia="cs-CZ"/>
    </w:rPr>
  </w:style>
  <w:style w:type="character" w:customStyle="1" w:styleId="ObyajntextChar1481">
    <w:name w:val="Obyčajný text Char1481"/>
    <w:aliases w:val="Obyčajný text Char Char Char Char1482"/>
    <w:uiPriority w:val="99"/>
    <w:semiHidden/>
    <w:rsid w:val="00A809E7"/>
    <w:rPr>
      <w:rFonts w:ascii="Courier New" w:hAnsi="Courier New"/>
      <w:lang w:val="x-none" w:eastAsia="cs-CZ"/>
    </w:rPr>
  </w:style>
  <w:style w:type="character" w:customStyle="1" w:styleId="ObyajntextChar1480">
    <w:name w:val="Obyčajný text Char1480"/>
    <w:aliases w:val="Obyčajný text Char Char Char Char1481"/>
    <w:uiPriority w:val="99"/>
    <w:semiHidden/>
    <w:rsid w:val="00A809E7"/>
    <w:rPr>
      <w:rFonts w:ascii="Courier New" w:hAnsi="Courier New"/>
      <w:lang w:val="x-none" w:eastAsia="cs-CZ"/>
    </w:rPr>
  </w:style>
  <w:style w:type="character" w:customStyle="1" w:styleId="ObyajntextChar1479">
    <w:name w:val="Obyčajný text Char1479"/>
    <w:aliases w:val="Obyčajný text Char Char Char Char1480"/>
    <w:uiPriority w:val="99"/>
    <w:semiHidden/>
    <w:rsid w:val="00A809E7"/>
    <w:rPr>
      <w:rFonts w:ascii="Courier New" w:hAnsi="Courier New"/>
      <w:lang w:val="x-none" w:eastAsia="cs-CZ"/>
    </w:rPr>
  </w:style>
  <w:style w:type="character" w:customStyle="1" w:styleId="ObyajntextChar1478">
    <w:name w:val="Obyčajný text Char1478"/>
    <w:aliases w:val="Obyčajný text Char Char Char Char1479"/>
    <w:uiPriority w:val="99"/>
    <w:semiHidden/>
    <w:rsid w:val="00A809E7"/>
    <w:rPr>
      <w:rFonts w:ascii="Courier New" w:hAnsi="Courier New"/>
      <w:lang w:val="x-none" w:eastAsia="cs-CZ"/>
    </w:rPr>
  </w:style>
  <w:style w:type="character" w:customStyle="1" w:styleId="ObyajntextChar1477">
    <w:name w:val="Obyčajný text Char1477"/>
    <w:aliases w:val="Obyčajný text Char Char Char Char1478"/>
    <w:uiPriority w:val="99"/>
    <w:semiHidden/>
    <w:rsid w:val="00A809E7"/>
    <w:rPr>
      <w:rFonts w:ascii="Courier New" w:hAnsi="Courier New"/>
      <w:lang w:val="x-none" w:eastAsia="cs-CZ"/>
    </w:rPr>
  </w:style>
  <w:style w:type="character" w:customStyle="1" w:styleId="ObyajntextChar1476">
    <w:name w:val="Obyčajný text Char1476"/>
    <w:aliases w:val="Obyčajný text Char Char Char Char1477"/>
    <w:uiPriority w:val="99"/>
    <w:semiHidden/>
    <w:rsid w:val="00A809E7"/>
    <w:rPr>
      <w:rFonts w:ascii="Courier New" w:hAnsi="Courier New"/>
      <w:lang w:val="x-none" w:eastAsia="cs-CZ"/>
    </w:rPr>
  </w:style>
  <w:style w:type="character" w:customStyle="1" w:styleId="ObyajntextChar1475">
    <w:name w:val="Obyčajný text Char1475"/>
    <w:aliases w:val="Obyčajný text Char Char Char Char1476"/>
    <w:uiPriority w:val="99"/>
    <w:semiHidden/>
    <w:rsid w:val="00A809E7"/>
    <w:rPr>
      <w:rFonts w:ascii="Courier New" w:hAnsi="Courier New"/>
      <w:lang w:val="x-none" w:eastAsia="cs-CZ"/>
    </w:rPr>
  </w:style>
  <w:style w:type="character" w:customStyle="1" w:styleId="ObyajntextChar1474">
    <w:name w:val="Obyčajný text Char1474"/>
    <w:aliases w:val="Obyčajný text Char Char Char Char1475"/>
    <w:uiPriority w:val="99"/>
    <w:semiHidden/>
    <w:rsid w:val="00A809E7"/>
    <w:rPr>
      <w:rFonts w:ascii="Courier New" w:hAnsi="Courier New"/>
      <w:lang w:val="x-none" w:eastAsia="cs-CZ"/>
    </w:rPr>
  </w:style>
  <w:style w:type="character" w:customStyle="1" w:styleId="ObyajntextChar1473">
    <w:name w:val="Obyčajný text Char1473"/>
    <w:aliases w:val="Obyčajný text Char Char Char Char1474"/>
    <w:uiPriority w:val="99"/>
    <w:semiHidden/>
    <w:rsid w:val="00A809E7"/>
    <w:rPr>
      <w:rFonts w:ascii="Courier New" w:hAnsi="Courier New"/>
      <w:lang w:val="x-none" w:eastAsia="cs-CZ"/>
    </w:rPr>
  </w:style>
  <w:style w:type="character" w:customStyle="1" w:styleId="ObyajntextChar1472">
    <w:name w:val="Obyčajný text Char1472"/>
    <w:aliases w:val="Obyčajný text Char Char Char Char1473"/>
    <w:uiPriority w:val="99"/>
    <w:semiHidden/>
    <w:rsid w:val="00A809E7"/>
    <w:rPr>
      <w:rFonts w:ascii="Courier New" w:hAnsi="Courier New"/>
      <w:lang w:val="x-none" w:eastAsia="cs-CZ"/>
    </w:rPr>
  </w:style>
  <w:style w:type="character" w:customStyle="1" w:styleId="ObyajntextChar1471">
    <w:name w:val="Obyčajný text Char1471"/>
    <w:aliases w:val="Obyčajný text Char Char Char Char1472"/>
    <w:uiPriority w:val="99"/>
    <w:semiHidden/>
    <w:rsid w:val="00A809E7"/>
    <w:rPr>
      <w:rFonts w:ascii="Courier New" w:hAnsi="Courier New"/>
      <w:lang w:val="x-none" w:eastAsia="cs-CZ"/>
    </w:rPr>
  </w:style>
  <w:style w:type="character" w:customStyle="1" w:styleId="ObyajntextChar1470">
    <w:name w:val="Obyčajný text Char1470"/>
    <w:aliases w:val="Obyčajný text Char Char Char Char1471"/>
    <w:uiPriority w:val="99"/>
    <w:semiHidden/>
    <w:rsid w:val="00A809E7"/>
    <w:rPr>
      <w:rFonts w:ascii="Courier New" w:hAnsi="Courier New"/>
      <w:lang w:val="x-none" w:eastAsia="cs-CZ"/>
    </w:rPr>
  </w:style>
  <w:style w:type="character" w:customStyle="1" w:styleId="ObyajntextChar1469">
    <w:name w:val="Obyčajný text Char1469"/>
    <w:aliases w:val="Obyčajný text Char Char Char Char1470"/>
    <w:uiPriority w:val="99"/>
    <w:semiHidden/>
    <w:rsid w:val="00A809E7"/>
    <w:rPr>
      <w:rFonts w:ascii="Courier New" w:hAnsi="Courier New"/>
      <w:lang w:val="x-none" w:eastAsia="cs-CZ"/>
    </w:rPr>
  </w:style>
  <w:style w:type="character" w:customStyle="1" w:styleId="ObyajntextChar1468">
    <w:name w:val="Obyčajný text Char1468"/>
    <w:aliases w:val="Obyčajný text Char Char Char Char1469"/>
    <w:uiPriority w:val="99"/>
    <w:semiHidden/>
    <w:rsid w:val="00A809E7"/>
    <w:rPr>
      <w:rFonts w:ascii="Courier New" w:hAnsi="Courier New"/>
      <w:lang w:val="x-none" w:eastAsia="cs-CZ"/>
    </w:rPr>
  </w:style>
  <w:style w:type="character" w:customStyle="1" w:styleId="ObyajntextChar1467">
    <w:name w:val="Obyčajný text Char1467"/>
    <w:aliases w:val="Obyčajný text Char Char Char Char1468"/>
    <w:uiPriority w:val="99"/>
    <w:semiHidden/>
    <w:rsid w:val="00A809E7"/>
    <w:rPr>
      <w:rFonts w:ascii="Courier New" w:hAnsi="Courier New"/>
      <w:lang w:val="x-none" w:eastAsia="cs-CZ"/>
    </w:rPr>
  </w:style>
  <w:style w:type="character" w:customStyle="1" w:styleId="ObyajntextChar1466">
    <w:name w:val="Obyčajný text Char1466"/>
    <w:aliases w:val="Obyčajný text Char Char Char Char1467"/>
    <w:uiPriority w:val="99"/>
    <w:semiHidden/>
    <w:rsid w:val="00A809E7"/>
    <w:rPr>
      <w:rFonts w:ascii="Courier New" w:hAnsi="Courier New"/>
      <w:lang w:val="x-none" w:eastAsia="cs-CZ"/>
    </w:rPr>
  </w:style>
  <w:style w:type="character" w:customStyle="1" w:styleId="ObyajntextChar1465">
    <w:name w:val="Obyčajný text Char1465"/>
    <w:aliases w:val="Obyčajný text Char Char Char Char1466"/>
    <w:uiPriority w:val="99"/>
    <w:semiHidden/>
    <w:rsid w:val="00A809E7"/>
    <w:rPr>
      <w:rFonts w:ascii="Courier New" w:hAnsi="Courier New"/>
      <w:lang w:val="x-none" w:eastAsia="cs-CZ"/>
    </w:rPr>
  </w:style>
  <w:style w:type="character" w:customStyle="1" w:styleId="ObyajntextChar1464">
    <w:name w:val="Obyčajný text Char1464"/>
    <w:aliases w:val="Obyčajný text Char Char Char Char1465"/>
    <w:uiPriority w:val="99"/>
    <w:semiHidden/>
    <w:rsid w:val="00A809E7"/>
    <w:rPr>
      <w:rFonts w:ascii="Courier New" w:hAnsi="Courier New"/>
      <w:lang w:val="x-none" w:eastAsia="cs-CZ"/>
    </w:rPr>
  </w:style>
  <w:style w:type="character" w:customStyle="1" w:styleId="ObyajntextChar1463">
    <w:name w:val="Obyčajný text Char1463"/>
    <w:aliases w:val="Obyčajný text Char Char Char Char1464"/>
    <w:uiPriority w:val="99"/>
    <w:semiHidden/>
    <w:rsid w:val="00A809E7"/>
    <w:rPr>
      <w:rFonts w:ascii="Courier New" w:hAnsi="Courier New"/>
      <w:lang w:val="x-none" w:eastAsia="cs-CZ"/>
    </w:rPr>
  </w:style>
  <w:style w:type="character" w:customStyle="1" w:styleId="ObyajntextChar1462">
    <w:name w:val="Obyčajný text Char1462"/>
    <w:aliases w:val="Obyčajný text Char Char Char Char1463"/>
    <w:uiPriority w:val="99"/>
    <w:semiHidden/>
    <w:rsid w:val="00A809E7"/>
    <w:rPr>
      <w:rFonts w:ascii="Courier New" w:hAnsi="Courier New"/>
      <w:lang w:val="x-none" w:eastAsia="cs-CZ"/>
    </w:rPr>
  </w:style>
  <w:style w:type="character" w:customStyle="1" w:styleId="ObyajntextChar1461">
    <w:name w:val="Obyčajný text Char1461"/>
    <w:aliases w:val="Obyčajný text Char Char Char Char1462"/>
    <w:uiPriority w:val="99"/>
    <w:semiHidden/>
    <w:rsid w:val="00A809E7"/>
    <w:rPr>
      <w:rFonts w:ascii="Courier New" w:hAnsi="Courier New"/>
      <w:lang w:val="x-none" w:eastAsia="cs-CZ"/>
    </w:rPr>
  </w:style>
  <w:style w:type="character" w:customStyle="1" w:styleId="ObyajntextChar1460">
    <w:name w:val="Obyčajný text Char1460"/>
    <w:aliases w:val="Obyčajný text Char Char Char Char1461"/>
    <w:uiPriority w:val="99"/>
    <w:semiHidden/>
    <w:rsid w:val="00A809E7"/>
    <w:rPr>
      <w:rFonts w:ascii="Courier New" w:hAnsi="Courier New"/>
      <w:lang w:val="x-none" w:eastAsia="cs-CZ"/>
    </w:rPr>
  </w:style>
  <w:style w:type="character" w:customStyle="1" w:styleId="ObyajntextChar1459">
    <w:name w:val="Obyčajný text Char1459"/>
    <w:aliases w:val="Obyčajný text Char Char Char Char1460"/>
    <w:uiPriority w:val="99"/>
    <w:semiHidden/>
    <w:rsid w:val="00A809E7"/>
    <w:rPr>
      <w:rFonts w:ascii="Courier New" w:hAnsi="Courier New"/>
      <w:lang w:val="x-none" w:eastAsia="cs-CZ"/>
    </w:rPr>
  </w:style>
  <w:style w:type="character" w:customStyle="1" w:styleId="ObyajntextChar1458">
    <w:name w:val="Obyčajný text Char1458"/>
    <w:aliases w:val="Obyčajný text Char Char Char Char1459"/>
    <w:uiPriority w:val="99"/>
    <w:semiHidden/>
    <w:rsid w:val="00A809E7"/>
    <w:rPr>
      <w:rFonts w:ascii="Courier New" w:hAnsi="Courier New"/>
      <w:lang w:val="x-none" w:eastAsia="cs-CZ"/>
    </w:rPr>
  </w:style>
  <w:style w:type="character" w:customStyle="1" w:styleId="ObyajntextChar1457">
    <w:name w:val="Obyčajný text Char1457"/>
    <w:aliases w:val="Obyčajný text Char Char Char Char1458"/>
    <w:uiPriority w:val="99"/>
    <w:semiHidden/>
    <w:rsid w:val="00A809E7"/>
    <w:rPr>
      <w:rFonts w:ascii="Courier New" w:hAnsi="Courier New"/>
      <w:lang w:val="x-none" w:eastAsia="cs-CZ"/>
    </w:rPr>
  </w:style>
  <w:style w:type="character" w:customStyle="1" w:styleId="ObyajntextChar1456">
    <w:name w:val="Obyčajný text Char1456"/>
    <w:aliases w:val="Obyčajný text Char Char Char Char1457"/>
    <w:uiPriority w:val="99"/>
    <w:semiHidden/>
    <w:rsid w:val="00A809E7"/>
    <w:rPr>
      <w:rFonts w:ascii="Courier New" w:hAnsi="Courier New"/>
      <w:lang w:val="x-none" w:eastAsia="cs-CZ"/>
    </w:rPr>
  </w:style>
  <w:style w:type="character" w:customStyle="1" w:styleId="ObyajntextChar1455">
    <w:name w:val="Obyčajný text Char1455"/>
    <w:aliases w:val="Obyčajný text Char Char Char Char1456"/>
    <w:uiPriority w:val="99"/>
    <w:semiHidden/>
    <w:rsid w:val="00A809E7"/>
    <w:rPr>
      <w:rFonts w:ascii="Courier New" w:hAnsi="Courier New"/>
      <w:lang w:val="x-none" w:eastAsia="cs-CZ"/>
    </w:rPr>
  </w:style>
  <w:style w:type="character" w:customStyle="1" w:styleId="ObyajntextChar1454">
    <w:name w:val="Obyčajný text Char1454"/>
    <w:aliases w:val="Obyčajný text Char Char Char Char1455"/>
    <w:uiPriority w:val="99"/>
    <w:semiHidden/>
    <w:rsid w:val="00A809E7"/>
    <w:rPr>
      <w:rFonts w:ascii="Courier New" w:hAnsi="Courier New"/>
      <w:lang w:val="x-none" w:eastAsia="cs-CZ"/>
    </w:rPr>
  </w:style>
  <w:style w:type="character" w:customStyle="1" w:styleId="ObyajntextChar1453">
    <w:name w:val="Obyčajný text Char1453"/>
    <w:aliases w:val="Obyčajný text Char Char Char Char1454"/>
    <w:uiPriority w:val="99"/>
    <w:semiHidden/>
    <w:rsid w:val="00A809E7"/>
    <w:rPr>
      <w:rFonts w:ascii="Courier New" w:hAnsi="Courier New"/>
      <w:lang w:val="x-none" w:eastAsia="cs-CZ"/>
    </w:rPr>
  </w:style>
  <w:style w:type="character" w:customStyle="1" w:styleId="ObyajntextChar1452">
    <w:name w:val="Obyčajný text Char1452"/>
    <w:aliases w:val="Obyčajný text Char Char Char Char1453"/>
    <w:uiPriority w:val="99"/>
    <w:semiHidden/>
    <w:rsid w:val="00A809E7"/>
    <w:rPr>
      <w:rFonts w:ascii="Courier New" w:hAnsi="Courier New"/>
      <w:lang w:val="x-none" w:eastAsia="cs-CZ"/>
    </w:rPr>
  </w:style>
  <w:style w:type="character" w:customStyle="1" w:styleId="ObyajntextChar1451">
    <w:name w:val="Obyčajný text Char1451"/>
    <w:aliases w:val="Obyčajný text Char Char Char Char1452"/>
    <w:uiPriority w:val="99"/>
    <w:semiHidden/>
    <w:rsid w:val="00A809E7"/>
    <w:rPr>
      <w:rFonts w:ascii="Courier New" w:hAnsi="Courier New"/>
      <w:lang w:val="x-none" w:eastAsia="cs-CZ"/>
    </w:rPr>
  </w:style>
  <w:style w:type="character" w:customStyle="1" w:styleId="ObyajntextChar1450">
    <w:name w:val="Obyčajný text Char1450"/>
    <w:aliases w:val="Obyčajný text Char Char Char Char1451"/>
    <w:uiPriority w:val="99"/>
    <w:semiHidden/>
    <w:rsid w:val="00A809E7"/>
    <w:rPr>
      <w:rFonts w:ascii="Courier New" w:hAnsi="Courier New"/>
      <w:lang w:val="x-none" w:eastAsia="cs-CZ"/>
    </w:rPr>
  </w:style>
  <w:style w:type="character" w:customStyle="1" w:styleId="ObyajntextChar1449">
    <w:name w:val="Obyčajný text Char1449"/>
    <w:aliases w:val="Obyčajný text Char Char Char Char1450"/>
    <w:uiPriority w:val="99"/>
    <w:semiHidden/>
    <w:rsid w:val="00A809E7"/>
    <w:rPr>
      <w:rFonts w:ascii="Courier New" w:hAnsi="Courier New"/>
      <w:lang w:val="x-none" w:eastAsia="cs-CZ"/>
    </w:rPr>
  </w:style>
  <w:style w:type="character" w:customStyle="1" w:styleId="ObyajntextChar1448">
    <w:name w:val="Obyčajný text Char1448"/>
    <w:aliases w:val="Obyčajný text Char Char Char Char1449"/>
    <w:uiPriority w:val="99"/>
    <w:semiHidden/>
    <w:rsid w:val="00A809E7"/>
    <w:rPr>
      <w:rFonts w:ascii="Courier New" w:hAnsi="Courier New"/>
      <w:lang w:val="x-none" w:eastAsia="cs-CZ"/>
    </w:rPr>
  </w:style>
  <w:style w:type="character" w:customStyle="1" w:styleId="ObyajntextChar1447">
    <w:name w:val="Obyčajný text Char1447"/>
    <w:aliases w:val="Obyčajný text Char Char Char Char1448"/>
    <w:uiPriority w:val="99"/>
    <w:semiHidden/>
    <w:rsid w:val="00A809E7"/>
    <w:rPr>
      <w:rFonts w:ascii="Courier New" w:hAnsi="Courier New"/>
      <w:lang w:val="x-none" w:eastAsia="cs-CZ"/>
    </w:rPr>
  </w:style>
  <w:style w:type="character" w:customStyle="1" w:styleId="ObyajntextChar1446">
    <w:name w:val="Obyčajný text Char1446"/>
    <w:aliases w:val="Obyčajný text Char Char Char Char1447"/>
    <w:uiPriority w:val="99"/>
    <w:semiHidden/>
    <w:rsid w:val="00A809E7"/>
    <w:rPr>
      <w:rFonts w:ascii="Courier New" w:hAnsi="Courier New"/>
      <w:lang w:val="x-none" w:eastAsia="cs-CZ"/>
    </w:rPr>
  </w:style>
  <w:style w:type="character" w:customStyle="1" w:styleId="ObyajntextChar1445">
    <w:name w:val="Obyčajný text Char1445"/>
    <w:aliases w:val="Obyčajný text Char Char Char Char1446"/>
    <w:uiPriority w:val="99"/>
    <w:semiHidden/>
    <w:rsid w:val="00A809E7"/>
    <w:rPr>
      <w:rFonts w:ascii="Courier New" w:hAnsi="Courier New"/>
      <w:lang w:val="x-none" w:eastAsia="cs-CZ"/>
    </w:rPr>
  </w:style>
  <w:style w:type="character" w:customStyle="1" w:styleId="ObyajntextChar1444">
    <w:name w:val="Obyčajný text Char1444"/>
    <w:aliases w:val="Obyčajný text Char Char Char Char1445"/>
    <w:uiPriority w:val="99"/>
    <w:semiHidden/>
    <w:rsid w:val="00A809E7"/>
    <w:rPr>
      <w:rFonts w:ascii="Courier New" w:hAnsi="Courier New"/>
      <w:lang w:val="x-none" w:eastAsia="cs-CZ"/>
    </w:rPr>
  </w:style>
  <w:style w:type="character" w:customStyle="1" w:styleId="ObyajntextChar1443">
    <w:name w:val="Obyčajný text Char1443"/>
    <w:aliases w:val="Obyčajný text Char Char Char Char1444"/>
    <w:uiPriority w:val="99"/>
    <w:semiHidden/>
    <w:rsid w:val="00A809E7"/>
    <w:rPr>
      <w:rFonts w:ascii="Courier New" w:hAnsi="Courier New"/>
      <w:lang w:val="x-none" w:eastAsia="cs-CZ"/>
    </w:rPr>
  </w:style>
  <w:style w:type="character" w:customStyle="1" w:styleId="ObyajntextChar1442">
    <w:name w:val="Obyčajný text Char1442"/>
    <w:aliases w:val="Obyčajný text Char Char Char Char1443"/>
    <w:uiPriority w:val="99"/>
    <w:semiHidden/>
    <w:rsid w:val="00A809E7"/>
    <w:rPr>
      <w:rFonts w:ascii="Courier New" w:hAnsi="Courier New"/>
      <w:lang w:val="x-none" w:eastAsia="cs-CZ"/>
    </w:rPr>
  </w:style>
  <w:style w:type="character" w:customStyle="1" w:styleId="ObyajntextChar1441">
    <w:name w:val="Obyčajný text Char1441"/>
    <w:aliases w:val="Obyčajný text Char Char Char Char1442"/>
    <w:uiPriority w:val="99"/>
    <w:semiHidden/>
    <w:rsid w:val="00A809E7"/>
    <w:rPr>
      <w:rFonts w:ascii="Courier New" w:hAnsi="Courier New"/>
      <w:lang w:val="x-none" w:eastAsia="cs-CZ"/>
    </w:rPr>
  </w:style>
  <w:style w:type="character" w:customStyle="1" w:styleId="ObyajntextChar1440">
    <w:name w:val="Obyčajný text Char1440"/>
    <w:aliases w:val="Obyčajný text Char Char Char Char1441"/>
    <w:uiPriority w:val="99"/>
    <w:semiHidden/>
    <w:rsid w:val="00A809E7"/>
    <w:rPr>
      <w:rFonts w:ascii="Courier New" w:hAnsi="Courier New"/>
      <w:lang w:val="x-none" w:eastAsia="cs-CZ"/>
    </w:rPr>
  </w:style>
  <w:style w:type="character" w:customStyle="1" w:styleId="ObyajntextChar1439">
    <w:name w:val="Obyčajný text Char1439"/>
    <w:aliases w:val="Obyčajný text Char Char Char Char1440"/>
    <w:uiPriority w:val="99"/>
    <w:semiHidden/>
    <w:rsid w:val="00A809E7"/>
    <w:rPr>
      <w:rFonts w:ascii="Courier New" w:hAnsi="Courier New"/>
      <w:lang w:val="x-none" w:eastAsia="cs-CZ"/>
    </w:rPr>
  </w:style>
  <w:style w:type="character" w:customStyle="1" w:styleId="ObyajntextChar1438">
    <w:name w:val="Obyčajný text Char1438"/>
    <w:aliases w:val="Obyčajný text Char Char Char Char1439"/>
    <w:uiPriority w:val="99"/>
    <w:semiHidden/>
    <w:rsid w:val="00A809E7"/>
    <w:rPr>
      <w:rFonts w:ascii="Courier New" w:hAnsi="Courier New"/>
      <w:lang w:val="x-none" w:eastAsia="cs-CZ"/>
    </w:rPr>
  </w:style>
  <w:style w:type="character" w:customStyle="1" w:styleId="ObyajntextChar1437">
    <w:name w:val="Obyčajný text Char1437"/>
    <w:aliases w:val="Obyčajný text Char Char Char Char1438"/>
    <w:uiPriority w:val="99"/>
    <w:semiHidden/>
    <w:rsid w:val="00A809E7"/>
    <w:rPr>
      <w:rFonts w:ascii="Courier New" w:hAnsi="Courier New"/>
      <w:lang w:val="x-none" w:eastAsia="cs-CZ"/>
    </w:rPr>
  </w:style>
  <w:style w:type="character" w:customStyle="1" w:styleId="ObyajntextChar1436">
    <w:name w:val="Obyčajný text Char1436"/>
    <w:aliases w:val="Obyčajný text Char Char Char Char1437"/>
    <w:uiPriority w:val="99"/>
    <w:semiHidden/>
    <w:rsid w:val="00A809E7"/>
    <w:rPr>
      <w:rFonts w:ascii="Courier New" w:hAnsi="Courier New"/>
      <w:lang w:val="x-none" w:eastAsia="cs-CZ"/>
    </w:rPr>
  </w:style>
  <w:style w:type="character" w:customStyle="1" w:styleId="ObyajntextChar1435">
    <w:name w:val="Obyčajný text Char1435"/>
    <w:aliases w:val="Obyčajný text Char Char Char Char1436"/>
    <w:uiPriority w:val="99"/>
    <w:semiHidden/>
    <w:rsid w:val="00A809E7"/>
    <w:rPr>
      <w:rFonts w:ascii="Courier New" w:hAnsi="Courier New"/>
      <w:lang w:val="x-none" w:eastAsia="cs-CZ"/>
    </w:rPr>
  </w:style>
  <w:style w:type="character" w:customStyle="1" w:styleId="ObyajntextChar1434">
    <w:name w:val="Obyčajný text Char1434"/>
    <w:aliases w:val="Obyčajný text Char Char Char Char1435"/>
    <w:uiPriority w:val="99"/>
    <w:semiHidden/>
    <w:rsid w:val="00A809E7"/>
    <w:rPr>
      <w:rFonts w:ascii="Courier New" w:hAnsi="Courier New"/>
      <w:lang w:val="x-none" w:eastAsia="cs-CZ"/>
    </w:rPr>
  </w:style>
  <w:style w:type="character" w:customStyle="1" w:styleId="ObyajntextChar1433">
    <w:name w:val="Obyčajný text Char1433"/>
    <w:aliases w:val="Obyčajný text Char Char Char Char1434"/>
    <w:uiPriority w:val="99"/>
    <w:semiHidden/>
    <w:rsid w:val="00A809E7"/>
    <w:rPr>
      <w:rFonts w:ascii="Courier New" w:hAnsi="Courier New"/>
      <w:lang w:val="x-none" w:eastAsia="cs-CZ"/>
    </w:rPr>
  </w:style>
  <w:style w:type="character" w:customStyle="1" w:styleId="ObyajntextChar1432">
    <w:name w:val="Obyčajný text Char1432"/>
    <w:aliases w:val="Obyčajný text Char Char Char Char1433"/>
    <w:uiPriority w:val="99"/>
    <w:semiHidden/>
    <w:rsid w:val="00A809E7"/>
    <w:rPr>
      <w:rFonts w:ascii="Courier New" w:hAnsi="Courier New"/>
      <w:lang w:val="x-none" w:eastAsia="cs-CZ"/>
    </w:rPr>
  </w:style>
  <w:style w:type="character" w:customStyle="1" w:styleId="ObyajntextChar1431">
    <w:name w:val="Obyčajný text Char1431"/>
    <w:aliases w:val="Obyčajný text Char Char Char Char1432"/>
    <w:uiPriority w:val="99"/>
    <w:semiHidden/>
    <w:rsid w:val="00A809E7"/>
    <w:rPr>
      <w:rFonts w:ascii="Courier New" w:hAnsi="Courier New"/>
      <w:lang w:val="x-none" w:eastAsia="cs-CZ"/>
    </w:rPr>
  </w:style>
  <w:style w:type="character" w:customStyle="1" w:styleId="ObyajntextChar1430">
    <w:name w:val="Obyčajný text Char1430"/>
    <w:aliases w:val="Obyčajný text Char Char Char Char1431"/>
    <w:uiPriority w:val="99"/>
    <w:semiHidden/>
    <w:rsid w:val="00A809E7"/>
    <w:rPr>
      <w:rFonts w:ascii="Courier New" w:hAnsi="Courier New"/>
      <w:lang w:val="x-none" w:eastAsia="cs-CZ"/>
    </w:rPr>
  </w:style>
  <w:style w:type="character" w:customStyle="1" w:styleId="ObyajntextChar1429">
    <w:name w:val="Obyčajný text Char1429"/>
    <w:aliases w:val="Obyčajný text Char Char Char Char1430"/>
    <w:uiPriority w:val="99"/>
    <w:semiHidden/>
    <w:rsid w:val="00A809E7"/>
    <w:rPr>
      <w:rFonts w:ascii="Courier New" w:hAnsi="Courier New"/>
      <w:lang w:val="x-none" w:eastAsia="cs-CZ"/>
    </w:rPr>
  </w:style>
  <w:style w:type="character" w:customStyle="1" w:styleId="ObyajntextChar1428">
    <w:name w:val="Obyčajný text Char1428"/>
    <w:aliases w:val="Obyčajný text Char Char Char Char1429"/>
    <w:uiPriority w:val="99"/>
    <w:semiHidden/>
    <w:rsid w:val="00A809E7"/>
    <w:rPr>
      <w:rFonts w:ascii="Courier New" w:hAnsi="Courier New"/>
      <w:lang w:val="x-none" w:eastAsia="cs-CZ"/>
    </w:rPr>
  </w:style>
  <w:style w:type="character" w:customStyle="1" w:styleId="ObyajntextChar1427">
    <w:name w:val="Obyčajný text Char1427"/>
    <w:aliases w:val="Obyčajný text Char Char Char Char1428"/>
    <w:uiPriority w:val="99"/>
    <w:semiHidden/>
    <w:rsid w:val="00A809E7"/>
    <w:rPr>
      <w:rFonts w:ascii="Courier New" w:hAnsi="Courier New"/>
      <w:lang w:val="x-none" w:eastAsia="cs-CZ"/>
    </w:rPr>
  </w:style>
  <w:style w:type="character" w:customStyle="1" w:styleId="ObyajntextChar1426">
    <w:name w:val="Obyčajný text Char1426"/>
    <w:aliases w:val="Obyčajný text Char Char Char Char1427"/>
    <w:uiPriority w:val="99"/>
    <w:semiHidden/>
    <w:rsid w:val="00A809E7"/>
    <w:rPr>
      <w:rFonts w:ascii="Courier New" w:hAnsi="Courier New"/>
      <w:lang w:val="x-none" w:eastAsia="cs-CZ"/>
    </w:rPr>
  </w:style>
  <w:style w:type="character" w:customStyle="1" w:styleId="ObyajntextChar1425">
    <w:name w:val="Obyčajný text Char1425"/>
    <w:aliases w:val="Obyčajný text Char Char Char Char1426"/>
    <w:uiPriority w:val="99"/>
    <w:semiHidden/>
    <w:rsid w:val="00A809E7"/>
    <w:rPr>
      <w:rFonts w:ascii="Courier New" w:hAnsi="Courier New"/>
      <w:lang w:val="x-none" w:eastAsia="cs-CZ"/>
    </w:rPr>
  </w:style>
  <w:style w:type="character" w:customStyle="1" w:styleId="ObyajntextChar1424">
    <w:name w:val="Obyčajný text Char1424"/>
    <w:aliases w:val="Obyčajný text Char Char Char Char1425"/>
    <w:uiPriority w:val="99"/>
    <w:semiHidden/>
    <w:rsid w:val="00A809E7"/>
    <w:rPr>
      <w:rFonts w:ascii="Courier New" w:hAnsi="Courier New"/>
      <w:lang w:val="x-none" w:eastAsia="cs-CZ"/>
    </w:rPr>
  </w:style>
  <w:style w:type="character" w:customStyle="1" w:styleId="ObyajntextChar1423">
    <w:name w:val="Obyčajný text Char1423"/>
    <w:aliases w:val="Obyčajný text Char Char Char Char1424"/>
    <w:uiPriority w:val="99"/>
    <w:semiHidden/>
    <w:rsid w:val="00A809E7"/>
    <w:rPr>
      <w:rFonts w:ascii="Courier New" w:hAnsi="Courier New"/>
      <w:lang w:val="x-none" w:eastAsia="cs-CZ"/>
    </w:rPr>
  </w:style>
  <w:style w:type="character" w:customStyle="1" w:styleId="ObyajntextChar1422">
    <w:name w:val="Obyčajný text Char1422"/>
    <w:aliases w:val="Obyčajný text Char Char Char Char1423"/>
    <w:uiPriority w:val="99"/>
    <w:semiHidden/>
    <w:rsid w:val="00A809E7"/>
    <w:rPr>
      <w:rFonts w:ascii="Courier New" w:hAnsi="Courier New"/>
      <w:lang w:val="x-none" w:eastAsia="cs-CZ"/>
    </w:rPr>
  </w:style>
  <w:style w:type="character" w:customStyle="1" w:styleId="ObyajntextChar1421">
    <w:name w:val="Obyčajný text Char1421"/>
    <w:aliases w:val="Obyčajný text Char Char Char Char1422"/>
    <w:uiPriority w:val="99"/>
    <w:semiHidden/>
    <w:rsid w:val="00A809E7"/>
    <w:rPr>
      <w:rFonts w:ascii="Courier New" w:hAnsi="Courier New"/>
      <w:lang w:val="x-none" w:eastAsia="cs-CZ"/>
    </w:rPr>
  </w:style>
  <w:style w:type="character" w:customStyle="1" w:styleId="ObyajntextChar1420">
    <w:name w:val="Obyčajný text Char1420"/>
    <w:aliases w:val="Obyčajný text Char Char Char Char1421"/>
    <w:uiPriority w:val="99"/>
    <w:semiHidden/>
    <w:rsid w:val="00A809E7"/>
    <w:rPr>
      <w:rFonts w:ascii="Courier New" w:hAnsi="Courier New"/>
      <w:lang w:val="x-none" w:eastAsia="cs-CZ"/>
    </w:rPr>
  </w:style>
  <w:style w:type="character" w:customStyle="1" w:styleId="ObyajntextChar1419">
    <w:name w:val="Obyčajný text Char1419"/>
    <w:aliases w:val="Obyčajný text Char Char Char Char1420"/>
    <w:uiPriority w:val="99"/>
    <w:semiHidden/>
    <w:rsid w:val="00A809E7"/>
    <w:rPr>
      <w:rFonts w:ascii="Courier New" w:hAnsi="Courier New"/>
      <w:lang w:val="x-none" w:eastAsia="cs-CZ"/>
    </w:rPr>
  </w:style>
  <w:style w:type="character" w:customStyle="1" w:styleId="ObyajntextChar1418">
    <w:name w:val="Obyčajný text Char1418"/>
    <w:aliases w:val="Obyčajný text Char Char Char Char1419"/>
    <w:uiPriority w:val="99"/>
    <w:semiHidden/>
    <w:rsid w:val="00A809E7"/>
    <w:rPr>
      <w:rFonts w:ascii="Courier New" w:hAnsi="Courier New"/>
      <w:lang w:val="x-none" w:eastAsia="cs-CZ"/>
    </w:rPr>
  </w:style>
  <w:style w:type="character" w:customStyle="1" w:styleId="ObyajntextChar1417">
    <w:name w:val="Obyčajný text Char1417"/>
    <w:aliases w:val="Obyčajný text Char Char Char Char1418"/>
    <w:uiPriority w:val="99"/>
    <w:semiHidden/>
    <w:rsid w:val="00A809E7"/>
    <w:rPr>
      <w:rFonts w:ascii="Courier New" w:hAnsi="Courier New"/>
      <w:lang w:val="x-none" w:eastAsia="cs-CZ"/>
    </w:rPr>
  </w:style>
  <w:style w:type="character" w:customStyle="1" w:styleId="ObyajntextChar1416">
    <w:name w:val="Obyčajný text Char1416"/>
    <w:aliases w:val="Obyčajný text Char Char Char Char1417"/>
    <w:uiPriority w:val="99"/>
    <w:semiHidden/>
    <w:rsid w:val="00A809E7"/>
    <w:rPr>
      <w:rFonts w:ascii="Courier New" w:hAnsi="Courier New"/>
      <w:lang w:val="x-none" w:eastAsia="cs-CZ"/>
    </w:rPr>
  </w:style>
  <w:style w:type="character" w:customStyle="1" w:styleId="ObyajntextChar1415">
    <w:name w:val="Obyčajný text Char1415"/>
    <w:aliases w:val="Obyčajný text Char Char Char Char1416"/>
    <w:uiPriority w:val="99"/>
    <w:semiHidden/>
    <w:rsid w:val="00A809E7"/>
    <w:rPr>
      <w:rFonts w:ascii="Courier New" w:hAnsi="Courier New"/>
      <w:lang w:val="x-none" w:eastAsia="cs-CZ"/>
    </w:rPr>
  </w:style>
  <w:style w:type="character" w:customStyle="1" w:styleId="ObyajntextChar1414">
    <w:name w:val="Obyčajný text Char1414"/>
    <w:aliases w:val="Obyčajný text Char Char Char Char1415"/>
    <w:uiPriority w:val="99"/>
    <w:semiHidden/>
    <w:rsid w:val="00A809E7"/>
    <w:rPr>
      <w:rFonts w:ascii="Courier New" w:hAnsi="Courier New"/>
      <w:lang w:val="x-none" w:eastAsia="cs-CZ"/>
    </w:rPr>
  </w:style>
  <w:style w:type="character" w:customStyle="1" w:styleId="ObyajntextChar1413">
    <w:name w:val="Obyčajný text Char1413"/>
    <w:aliases w:val="Obyčajný text Char Char Char Char1414"/>
    <w:uiPriority w:val="99"/>
    <w:semiHidden/>
    <w:rsid w:val="00A809E7"/>
    <w:rPr>
      <w:rFonts w:ascii="Courier New" w:hAnsi="Courier New"/>
      <w:lang w:val="x-none" w:eastAsia="cs-CZ"/>
    </w:rPr>
  </w:style>
  <w:style w:type="character" w:customStyle="1" w:styleId="ObyajntextChar1412">
    <w:name w:val="Obyčajný text Char1412"/>
    <w:aliases w:val="Obyčajný text Char Char Char Char1413"/>
    <w:uiPriority w:val="99"/>
    <w:semiHidden/>
    <w:rsid w:val="00A809E7"/>
    <w:rPr>
      <w:rFonts w:ascii="Courier New" w:hAnsi="Courier New"/>
      <w:lang w:val="x-none" w:eastAsia="cs-CZ"/>
    </w:rPr>
  </w:style>
  <w:style w:type="character" w:customStyle="1" w:styleId="ObyajntextChar1411">
    <w:name w:val="Obyčajný text Char1411"/>
    <w:aliases w:val="Obyčajný text Char Char Char Char1412"/>
    <w:uiPriority w:val="99"/>
    <w:semiHidden/>
    <w:rsid w:val="00A809E7"/>
    <w:rPr>
      <w:rFonts w:ascii="Courier New" w:hAnsi="Courier New"/>
      <w:lang w:val="x-none" w:eastAsia="cs-CZ"/>
    </w:rPr>
  </w:style>
  <w:style w:type="character" w:customStyle="1" w:styleId="ObyajntextChar1410">
    <w:name w:val="Obyčajný text Char1410"/>
    <w:aliases w:val="Obyčajný text Char Char Char Char1411"/>
    <w:uiPriority w:val="99"/>
    <w:semiHidden/>
    <w:rsid w:val="00A809E7"/>
    <w:rPr>
      <w:rFonts w:ascii="Courier New" w:hAnsi="Courier New"/>
      <w:lang w:val="x-none" w:eastAsia="cs-CZ"/>
    </w:rPr>
  </w:style>
  <w:style w:type="character" w:customStyle="1" w:styleId="ObyajntextChar1409">
    <w:name w:val="Obyčajný text Char1409"/>
    <w:aliases w:val="Obyčajný text Char Char Char Char1410"/>
    <w:uiPriority w:val="99"/>
    <w:semiHidden/>
    <w:rsid w:val="00A809E7"/>
    <w:rPr>
      <w:rFonts w:ascii="Courier New" w:hAnsi="Courier New"/>
      <w:lang w:val="x-none" w:eastAsia="cs-CZ"/>
    </w:rPr>
  </w:style>
  <w:style w:type="character" w:customStyle="1" w:styleId="ObyajntextChar1408">
    <w:name w:val="Obyčajný text Char1408"/>
    <w:aliases w:val="Obyčajný text Char Char Char Char1409"/>
    <w:uiPriority w:val="99"/>
    <w:semiHidden/>
    <w:rsid w:val="00A809E7"/>
    <w:rPr>
      <w:rFonts w:ascii="Courier New" w:hAnsi="Courier New"/>
      <w:lang w:val="x-none" w:eastAsia="cs-CZ"/>
    </w:rPr>
  </w:style>
  <w:style w:type="character" w:customStyle="1" w:styleId="ObyajntextChar1407">
    <w:name w:val="Obyčajný text Char1407"/>
    <w:aliases w:val="Obyčajný text Char Char Char Char1408"/>
    <w:uiPriority w:val="99"/>
    <w:semiHidden/>
    <w:rsid w:val="00A809E7"/>
    <w:rPr>
      <w:rFonts w:ascii="Courier New" w:hAnsi="Courier New"/>
      <w:lang w:val="x-none" w:eastAsia="cs-CZ"/>
    </w:rPr>
  </w:style>
  <w:style w:type="character" w:customStyle="1" w:styleId="ObyajntextChar1406">
    <w:name w:val="Obyčajný text Char1406"/>
    <w:aliases w:val="Obyčajný text Char Char Char Char1407"/>
    <w:uiPriority w:val="99"/>
    <w:semiHidden/>
    <w:rsid w:val="00A809E7"/>
    <w:rPr>
      <w:rFonts w:ascii="Courier New" w:hAnsi="Courier New"/>
      <w:lang w:val="x-none" w:eastAsia="cs-CZ"/>
    </w:rPr>
  </w:style>
  <w:style w:type="character" w:customStyle="1" w:styleId="ObyajntextChar1405">
    <w:name w:val="Obyčajný text Char1405"/>
    <w:aliases w:val="Obyčajný text Char Char Char Char1406"/>
    <w:uiPriority w:val="99"/>
    <w:semiHidden/>
    <w:rsid w:val="00A809E7"/>
    <w:rPr>
      <w:rFonts w:ascii="Courier New" w:hAnsi="Courier New"/>
      <w:lang w:val="x-none" w:eastAsia="cs-CZ"/>
    </w:rPr>
  </w:style>
  <w:style w:type="character" w:customStyle="1" w:styleId="ObyajntextChar1404">
    <w:name w:val="Obyčajný text Char1404"/>
    <w:aliases w:val="Obyčajný text Char Char Char Char1405"/>
    <w:uiPriority w:val="99"/>
    <w:semiHidden/>
    <w:rsid w:val="00A809E7"/>
    <w:rPr>
      <w:rFonts w:ascii="Courier New" w:hAnsi="Courier New"/>
      <w:lang w:val="x-none" w:eastAsia="cs-CZ"/>
    </w:rPr>
  </w:style>
  <w:style w:type="character" w:customStyle="1" w:styleId="ObyajntextChar1403">
    <w:name w:val="Obyčajný text Char1403"/>
    <w:aliases w:val="Obyčajný text Char Char Char Char1404"/>
    <w:uiPriority w:val="99"/>
    <w:semiHidden/>
    <w:rsid w:val="00A809E7"/>
    <w:rPr>
      <w:rFonts w:ascii="Courier New" w:hAnsi="Courier New"/>
      <w:lang w:val="x-none" w:eastAsia="cs-CZ"/>
    </w:rPr>
  </w:style>
  <w:style w:type="character" w:customStyle="1" w:styleId="ObyajntextChar1402">
    <w:name w:val="Obyčajný text Char1402"/>
    <w:aliases w:val="Obyčajný text Char Char Char Char1403"/>
    <w:uiPriority w:val="99"/>
    <w:semiHidden/>
    <w:rsid w:val="00A809E7"/>
    <w:rPr>
      <w:rFonts w:ascii="Courier New" w:hAnsi="Courier New"/>
      <w:lang w:val="x-none" w:eastAsia="cs-CZ"/>
    </w:rPr>
  </w:style>
  <w:style w:type="character" w:customStyle="1" w:styleId="ObyajntextChar1401">
    <w:name w:val="Obyčajný text Char1401"/>
    <w:aliases w:val="Obyčajný text Char Char Char Char1402"/>
    <w:uiPriority w:val="99"/>
    <w:semiHidden/>
    <w:rsid w:val="00A809E7"/>
    <w:rPr>
      <w:rFonts w:ascii="Courier New" w:hAnsi="Courier New"/>
      <w:lang w:val="x-none" w:eastAsia="cs-CZ"/>
    </w:rPr>
  </w:style>
  <w:style w:type="character" w:customStyle="1" w:styleId="ObyajntextChar1400">
    <w:name w:val="Obyčajný text Char1400"/>
    <w:aliases w:val="Obyčajný text Char Char Char Char1401"/>
    <w:uiPriority w:val="99"/>
    <w:semiHidden/>
    <w:rsid w:val="00A809E7"/>
    <w:rPr>
      <w:rFonts w:ascii="Courier New" w:hAnsi="Courier New"/>
      <w:lang w:val="x-none" w:eastAsia="cs-CZ"/>
    </w:rPr>
  </w:style>
  <w:style w:type="character" w:customStyle="1" w:styleId="ObyajntextChar1399">
    <w:name w:val="Obyčajný text Char1399"/>
    <w:aliases w:val="Obyčajný text Char Char Char Char1400"/>
    <w:uiPriority w:val="99"/>
    <w:semiHidden/>
    <w:rsid w:val="00A809E7"/>
    <w:rPr>
      <w:rFonts w:ascii="Courier New" w:hAnsi="Courier New"/>
      <w:lang w:val="x-none" w:eastAsia="cs-CZ"/>
    </w:rPr>
  </w:style>
  <w:style w:type="character" w:customStyle="1" w:styleId="ObyajntextChar1398">
    <w:name w:val="Obyčajný text Char1398"/>
    <w:aliases w:val="Obyčajný text Char Char Char Char1399"/>
    <w:uiPriority w:val="99"/>
    <w:semiHidden/>
    <w:rsid w:val="00A809E7"/>
    <w:rPr>
      <w:rFonts w:ascii="Courier New" w:hAnsi="Courier New"/>
      <w:lang w:val="x-none" w:eastAsia="cs-CZ"/>
    </w:rPr>
  </w:style>
  <w:style w:type="character" w:customStyle="1" w:styleId="ObyajntextChar1397">
    <w:name w:val="Obyčajný text Char1397"/>
    <w:aliases w:val="Obyčajný text Char Char Char Char1398"/>
    <w:uiPriority w:val="99"/>
    <w:semiHidden/>
    <w:rsid w:val="00A809E7"/>
    <w:rPr>
      <w:rFonts w:ascii="Courier New" w:hAnsi="Courier New"/>
      <w:lang w:val="x-none" w:eastAsia="cs-CZ"/>
    </w:rPr>
  </w:style>
  <w:style w:type="character" w:customStyle="1" w:styleId="ObyajntextChar1396">
    <w:name w:val="Obyčajný text Char1396"/>
    <w:aliases w:val="Obyčajný text Char Char Char Char1397"/>
    <w:uiPriority w:val="99"/>
    <w:semiHidden/>
    <w:rsid w:val="00A809E7"/>
    <w:rPr>
      <w:rFonts w:ascii="Courier New" w:hAnsi="Courier New"/>
      <w:lang w:val="x-none" w:eastAsia="cs-CZ"/>
    </w:rPr>
  </w:style>
  <w:style w:type="character" w:customStyle="1" w:styleId="ObyajntextChar1395">
    <w:name w:val="Obyčajný text Char1395"/>
    <w:aliases w:val="Obyčajný text Char Char Char Char1396"/>
    <w:uiPriority w:val="99"/>
    <w:semiHidden/>
    <w:rsid w:val="00A809E7"/>
    <w:rPr>
      <w:rFonts w:ascii="Courier New" w:hAnsi="Courier New"/>
      <w:lang w:val="x-none" w:eastAsia="cs-CZ"/>
    </w:rPr>
  </w:style>
  <w:style w:type="character" w:customStyle="1" w:styleId="ObyajntextChar1394">
    <w:name w:val="Obyčajný text Char1394"/>
    <w:aliases w:val="Obyčajný text Char Char Char Char1395"/>
    <w:uiPriority w:val="99"/>
    <w:semiHidden/>
    <w:rsid w:val="00A809E7"/>
    <w:rPr>
      <w:rFonts w:ascii="Courier New" w:hAnsi="Courier New"/>
      <w:lang w:val="x-none" w:eastAsia="cs-CZ"/>
    </w:rPr>
  </w:style>
  <w:style w:type="character" w:customStyle="1" w:styleId="ObyajntextChar1393">
    <w:name w:val="Obyčajný text Char1393"/>
    <w:aliases w:val="Obyčajný text Char Char Char Char1394"/>
    <w:uiPriority w:val="99"/>
    <w:semiHidden/>
    <w:rsid w:val="00A809E7"/>
    <w:rPr>
      <w:rFonts w:ascii="Courier New" w:hAnsi="Courier New"/>
      <w:lang w:val="x-none" w:eastAsia="cs-CZ"/>
    </w:rPr>
  </w:style>
  <w:style w:type="character" w:customStyle="1" w:styleId="ObyajntextChar1392">
    <w:name w:val="Obyčajný text Char1392"/>
    <w:aliases w:val="Obyčajný text Char Char Char Char1393"/>
    <w:uiPriority w:val="99"/>
    <w:semiHidden/>
    <w:rsid w:val="00A809E7"/>
    <w:rPr>
      <w:rFonts w:ascii="Courier New" w:hAnsi="Courier New"/>
      <w:lang w:val="x-none" w:eastAsia="cs-CZ"/>
    </w:rPr>
  </w:style>
  <w:style w:type="character" w:customStyle="1" w:styleId="ObyajntextChar1391">
    <w:name w:val="Obyčajný text Char1391"/>
    <w:aliases w:val="Obyčajný text Char Char Char Char1392"/>
    <w:uiPriority w:val="99"/>
    <w:semiHidden/>
    <w:rsid w:val="00A809E7"/>
    <w:rPr>
      <w:rFonts w:ascii="Courier New" w:hAnsi="Courier New"/>
      <w:lang w:val="x-none" w:eastAsia="cs-CZ"/>
    </w:rPr>
  </w:style>
  <w:style w:type="character" w:customStyle="1" w:styleId="ObyajntextChar1390">
    <w:name w:val="Obyčajný text Char1390"/>
    <w:aliases w:val="Obyčajný text Char Char Char Char1391"/>
    <w:uiPriority w:val="99"/>
    <w:semiHidden/>
    <w:rsid w:val="00A809E7"/>
    <w:rPr>
      <w:rFonts w:ascii="Courier New" w:hAnsi="Courier New"/>
      <w:lang w:val="x-none" w:eastAsia="cs-CZ"/>
    </w:rPr>
  </w:style>
  <w:style w:type="character" w:customStyle="1" w:styleId="ObyajntextChar1389">
    <w:name w:val="Obyčajný text Char1389"/>
    <w:aliases w:val="Obyčajný text Char Char Char Char1390"/>
    <w:uiPriority w:val="99"/>
    <w:semiHidden/>
    <w:rsid w:val="00A809E7"/>
    <w:rPr>
      <w:rFonts w:ascii="Courier New" w:hAnsi="Courier New"/>
      <w:lang w:val="x-none" w:eastAsia="cs-CZ"/>
    </w:rPr>
  </w:style>
  <w:style w:type="character" w:customStyle="1" w:styleId="ObyajntextChar1388">
    <w:name w:val="Obyčajný text Char1388"/>
    <w:aliases w:val="Obyčajný text Char Char Char Char1389"/>
    <w:uiPriority w:val="99"/>
    <w:semiHidden/>
    <w:rsid w:val="00A809E7"/>
    <w:rPr>
      <w:rFonts w:ascii="Courier New" w:hAnsi="Courier New"/>
      <w:lang w:val="x-none" w:eastAsia="cs-CZ"/>
    </w:rPr>
  </w:style>
  <w:style w:type="character" w:customStyle="1" w:styleId="ObyajntextChar1387">
    <w:name w:val="Obyčajný text Char1387"/>
    <w:aliases w:val="Obyčajný text Char Char Char Char1388"/>
    <w:uiPriority w:val="99"/>
    <w:semiHidden/>
    <w:rsid w:val="00A809E7"/>
    <w:rPr>
      <w:rFonts w:ascii="Courier New" w:hAnsi="Courier New"/>
      <w:lang w:val="x-none" w:eastAsia="cs-CZ"/>
    </w:rPr>
  </w:style>
  <w:style w:type="character" w:customStyle="1" w:styleId="ObyajntextChar1386">
    <w:name w:val="Obyčajný text Char1386"/>
    <w:aliases w:val="Obyčajný text Char Char Char Char1387"/>
    <w:uiPriority w:val="99"/>
    <w:semiHidden/>
    <w:rsid w:val="00A809E7"/>
    <w:rPr>
      <w:rFonts w:ascii="Courier New" w:hAnsi="Courier New"/>
      <w:lang w:val="x-none" w:eastAsia="cs-CZ"/>
    </w:rPr>
  </w:style>
  <w:style w:type="character" w:customStyle="1" w:styleId="ObyajntextChar1385">
    <w:name w:val="Obyčajný text Char1385"/>
    <w:aliases w:val="Obyčajný text Char Char Char Char1386"/>
    <w:uiPriority w:val="99"/>
    <w:semiHidden/>
    <w:rsid w:val="00A809E7"/>
    <w:rPr>
      <w:rFonts w:ascii="Courier New" w:hAnsi="Courier New"/>
      <w:lang w:val="x-none" w:eastAsia="cs-CZ"/>
    </w:rPr>
  </w:style>
  <w:style w:type="character" w:customStyle="1" w:styleId="ObyajntextChar1384">
    <w:name w:val="Obyčajný text Char1384"/>
    <w:aliases w:val="Obyčajný text Char Char Char Char1385"/>
    <w:uiPriority w:val="99"/>
    <w:semiHidden/>
    <w:rsid w:val="00A809E7"/>
    <w:rPr>
      <w:rFonts w:ascii="Courier New" w:hAnsi="Courier New"/>
      <w:lang w:val="x-none" w:eastAsia="cs-CZ"/>
    </w:rPr>
  </w:style>
  <w:style w:type="character" w:customStyle="1" w:styleId="ObyajntextChar1383">
    <w:name w:val="Obyčajný text Char1383"/>
    <w:aliases w:val="Obyčajný text Char Char Char Char1384"/>
    <w:uiPriority w:val="99"/>
    <w:semiHidden/>
    <w:rsid w:val="00A809E7"/>
    <w:rPr>
      <w:rFonts w:ascii="Courier New" w:hAnsi="Courier New"/>
      <w:lang w:val="x-none" w:eastAsia="cs-CZ"/>
    </w:rPr>
  </w:style>
  <w:style w:type="character" w:customStyle="1" w:styleId="ObyajntextChar1382">
    <w:name w:val="Obyčajný text Char1382"/>
    <w:aliases w:val="Obyčajný text Char Char Char Char1383"/>
    <w:uiPriority w:val="99"/>
    <w:semiHidden/>
    <w:rsid w:val="00A809E7"/>
    <w:rPr>
      <w:rFonts w:ascii="Courier New" w:hAnsi="Courier New"/>
      <w:lang w:val="x-none" w:eastAsia="cs-CZ"/>
    </w:rPr>
  </w:style>
  <w:style w:type="character" w:customStyle="1" w:styleId="ObyajntextChar1381">
    <w:name w:val="Obyčajný text Char1381"/>
    <w:aliases w:val="Obyčajný text Char Char Char Char1382"/>
    <w:uiPriority w:val="99"/>
    <w:semiHidden/>
    <w:rsid w:val="00A809E7"/>
    <w:rPr>
      <w:rFonts w:ascii="Courier New" w:hAnsi="Courier New"/>
      <w:lang w:val="x-none" w:eastAsia="cs-CZ"/>
    </w:rPr>
  </w:style>
  <w:style w:type="character" w:customStyle="1" w:styleId="ObyajntextChar1380">
    <w:name w:val="Obyčajný text Char1380"/>
    <w:aliases w:val="Obyčajný text Char Char Char Char1381"/>
    <w:uiPriority w:val="99"/>
    <w:semiHidden/>
    <w:rsid w:val="00A809E7"/>
    <w:rPr>
      <w:rFonts w:ascii="Courier New" w:hAnsi="Courier New"/>
      <w:lang w:val="x-none" w:eastAsia="cs-CZ"/>
    </w:rPr>
  </w:style>
  <w:style w:type="character" w:customStyle="1" w:styleId="ObyajntextChar1379">
    <w:name w:val="Obyčajný text Char1379"/>
    <w:aliases w:val="Obyčajný text Char Char Char Char1380"/>
    <w:uiPriority w:val="99"/>
    <w:semiHidden/>
    <w:rsid w:val="00A809E7"/>
    <w:rPr>
      <w:rFonts w:ascii="Courier New" w:hAnsi="Courier New"/>
      <w:lang w:val="x-none" w:eastAsia="cs-CZ"/>
    </w:rPr>
  </w:style>
  <w:style w:type="character" w:customStyle="1" w:styleId="ObyajntextChar1378">
    <w:name w:val="Obyčajný text Char1378"/>
    <w:aliases w:val="Obyčajný text Char Char Char Char1379"/>
    <w:uiPriority w:val="99"/>
    <w:semiHidden/>
    <w:rsid w:val="00A809E7"/>
    <w:rPr>
      <w:rFonts w:ascii="Courier New" w:hAnsi="Courier New"/>
      <w:lang w:val="x-none" w:eastAsia="cs-CZ"/>
    </w:rPr>
  </w:style>
  <w:style w:type="character" w:customStyle="1" w:styleId="ObyajntextChar1377">
    <w:name w:val="Obyčajný text Char1377"/>
    <w:aliases w:val="Obyčajný text Char Char Char Char1378"/>
    <w:uiPriority w:val="99"/>
    <w:semiHidden/>
    <w:rsid w:val="00A809E7"/>
    <w:rPr>
      <w:rFonts w:ascii="Courier New" w:hAnsi="Courier New"/>
      <w:lang w:val="x-none" w:eastAsia="cs-CZ"/>
    </w:rPr>
  </w:style>
  <w:style w:type="character" w:customStyle="1" w:styleId="ObyajntextChar1376">
    <w:name w:val="Obyčajný text Char1376"/>
    <w:aliases w:val="Obyčajný text Char Char Char Char1377"/>
    <w:uiPriority w:val="99"/>
    <w:semiHidden/>
    <w:rsid w:val="00A809E7"/>
    <w:rPr>
      <w:rFonts w:ascii="Courier New" w:hAnsi="Courier New"/>
      <w:lang w:val="x-none" w:eastAsia="cs-CZ"/>
    </w:rPr>
  </w:style>
  <w:style w:type="character" w:customStyle="1" w:styleId="ObyajntextChar1375">
    <w:name w:val="Obyčajný text Char1375"/>
    <w:aliases w:val="Obyčajný text Char Char Char Char1376"/>
    <w:uiPriority w:val="99"/>
    <w:semiHidden/>
    <w:rsid w:val="00A809E7"/>
    <w:rPr>
      <w:rFonts w:ascii="Courier New" w:hAnsi="Courier New"/>
      <w:lang w:val="x-none" w:eastAsia="cs-CZ"/>
    </w:rPr>
  </w:style>
  <w:style w:type="character" w:customStyle="1" w:styleId="ObyajntextChar1374">
    <w:name w:val="Obyčajný text Char1374"/>
    <w:aliases w:val="Obyčajný text Char Char Char Char1375"/>
    <w:uiPriority w:val="99"/>
    <w:semiHidden/>
    <w:rsid w:val="00A809E7"/>
    <w:rPr>
      <w:rFonts w:ascii="Courier New" w:hAnsi="Courier New"/>
      <w:lang w:val="x-none" w:eastAsia="cs-CZ"/>
    </w:rPr>
  </w:style>
  <w:style w:type="character" w:customStyle="1" w:styleId="ObyajntextChar1373">
    <w:name w:val="Obyčajný text Char1373"/>
    <w:aliases w:val="Obyčajný text Char Char Char Char1374"/>
    <w:uiPriority w:val="99"/>
    <w:semiHidden/>
    <w:rsid w:val="00A809E7"/>
    <w:rPr>
      <w:rFonts w:ascii="Courier New" w:hAnsi="Courier New"/>
      <w:lang w:val="x-none" w:eastAsia="cs-CZ"/>
    </w:rPr>
  </w:style>
  <w:style w:type="character" w:customStyle="1" w:styleId="ObyajntextChar1372">
    <w:name w:val="Obyčajný text Char1372"/>
    <w:aliases w:val="Obyčajný text Char Char Char Char1373"/>
    <w:uiPriority w:val="99"/>
    <w:semiHidden/>
    <w:rsid w:val="00A809E7"/>
    <w:rPr>
      <w:rFonts w:ascii="Courier New" w:hAnsi="Courier New"/>
      <w:lang w:val="x-none" w:eastAsia="cs-CZ"/>
    </w:rPr>
  </w:style>
  <w:style w:type="character" w:customStyle="1" w:styleId="ObyajntextChar1371">
    <w:name w:val="Obyčajný text Char1371"/>
    <w:aliases w:val="Obyčajný text Char Char Char Char1372"/>
    <w:uiPriority w:val="99"/>
    <w:semiHidden/>
    <w:rsid w:val="00A809E7"/>
    <w:rPr>
      <w:rFonts w:ascii="Courier New" w:hAnsi="Courier New"/>
      <w:lang w:val="x-none" w:eastAsia="cs-CZ"/>
    </w:rPr>
  </w:style>
  <w:style w:type="character" w:customStyle="1" w:styleId="ObyajntextChar1370">
    <w:name w:val="Obyčajný text Char1370"/>
    <w:aliases w:val="Obyčajný text Char Char Char Char1371"/>
    <w:uiPriority w:val="99"/>
    <w:semiHidden/>
    <w:rsid w:val="00A809E7"/>
    <w:rPr>
      <w:rFonts w:ascii="Courier New" w:hAnsi="Courier New"/>
      <w:lang w:val="x-none" w:eastAsia="cs-CZ"/>
    </w:rPr>
  </w:style>
  <w:style w:type="character" w:customStyle="1" w:styleId="ObyajntextChar1369">
    <w:name w:val="Obyčajný text Char1369"/>
    <w:aliases w:val="Obyčajný text Char Char Char Char1370"/>
    <w:uiPriority w:val="99"/>
    <w:semiHidden/>
    <w:rsid w:val="00A809E7"/>
    <w:rPr>
      <w:rFonts w:ascii="Courier New" w:hAnsi="Courier New"/>
      <w:lang w:val="x-none" w:eastAsia="cs-CZ"/>
    </w:rPr>
  </w:style>
  <w:style w:type="character" w:customStyle="1" w:styleId="ObyajntextChar1368">
    <w:name w:val="Obyčajný text Char1368"/>
    <w:aliases w:val="Obyčajný text Char Char Char Char1369"/>
    <w:uiPriority w:val="99"/>
    <w:semiHidden/>
    <w:rsid w:val="00A809E7"/>
    <w:rPr>
      <w:rFonts w:ascii="Courier New" w:hAnsi="Courier New"/>
      <w:lang w:val="x-none" w:eastAsia="cs-CZ"/>
    </w:rPr>
  </w:style>
  <w:style w:type="character" w:customStyle="1" w:styleId="ObyajntextChar1367">
    <w:name w:val="Obyčajný text Char1367"/>
    <w:aliases w:val="Obyčajný text Char Char Char Char1368"/>
    <w:uiPriority w:val="99"/>
    <w:semiHidden/>
    <w:rsid w:val="00A809E7"/>
    <w:rPr>
      <w:rFonts w:ascii="Courier New" w:hAnsi="Courier New"/>
      <w:lang w:val="x-none" w:eastAsia="cs-CZ"/>
    </w:rPr>
  </w:style>
  <w:style w:type="character" w:customStyle="1" w:styleId="ObyajntextChar1366">
    <w:name w:val="Obyčajný text Char1366"/>
    <w:aliases w:val="Obyčajný text Char Char Char Char1367"/>
    <w:uiPriority w:val="99"/>
    <w:semiHidden/>
    <w:rsid w:val="00A809E7"/>
    <w:rPr>
      <w:rFonts w:ascii="Courier New" w:hAnsi="Courier New"/>
      <w:lang w:val="x-none" w:eastAsia="cs-CZ"/>
    </w:rPr>
  </w:style>
  <w:style w:type="character" w:customStyle="1" w:styleId="ObyajntextChar1365">
    <w:name w:val="Obyčajný text Char1365"/>
    <w:aliases w:val="Obyčajný text Char Char Char Char1366"/>
    <w:uiPriority w:val="99"/>
    <w:semiHidden/>
    <w:rsid w:val="00A809E7"/>
    <w:rPr>
      <w:rFonts w:ascii="Courier New" w:hAnsi="Courier New"/>
      <w:lang w:val="x-none" w:eastAsia="cs-CZ"/>
    </w:rPr>
  </w:style>
  <w:style w:type="character" w:customStyle="1" w:styleId="ObyajntextChar1364">
    <w:name w:val="Obyčajný text Char1364"/>
    <w:aliases w:val="Obyčajný text Char Char Char Char1365"/>
    <w:uiPriority w:val="99"/>
    <w:semiHidden/>
    <w:rsid w:val="00A809E7"/>
    <w:rPr>
      <w:rFonts w:ascii="Courier New" w:hAnsi="Courier New"/>
      <w:lang w:val="x-none" w:eastAsia="cs-CZ"/>
    </w:rPr>
  </w:style>
  <w:style w:type="character" w:customStyle="1" w:styleId="ObyajntextChar1363">
    <w:name w:val="Obyčajný text Char1363"/>
    <w:aliases w:val="Obyčajný text Char Char Char Char1364"/>
    <w:uiPriority w:val="99"/>
    <w:semiHidden/>
    <w:rsid w:val="00A809E7"/>
    <w:rPr>
      <w:rFonts w:ascii="Courier New" w:hAnsi="Courier New"/>
      <w:lang w:val="x-none" w:eastAsia="cs-CZ"/>
    </w:rPr>
  </w:style>
  <w:style w:type="character" w:customStyle="1" w:styleId="ObyajntextChar1362">
    <w:name w:val="Obyčajný text Char1362"/>
    <w:aliases w:val="Obyčajný text Char Char Char Char1363"/>
    <w:uiPriority w:val="99"/>
    <w:semiHidden/>
    <w:rsid w:val="00A809E7"/>
    <w:rPr>
      <w:rFonts w:ascii="Courier New" w:hAnsi="Courier New"/>
      <w:lang w:val="x-none" w:eastAsia="cs-CZ"/>
    </w:rPr>
  </w:style>
  <w:style w:type="character" w:customStyle="1" w:styleId="ObyajntextChar1361">
    <w:name w:val="Obyčajný text Char1361"/>
    <w:aliases w:val="Obyčajný text Char Char Char Char1362"/>
    <w:uiPriority w:val="99"/>
    <w:semiHidden/>
    <w:rsid w:val="00A809E7"/>
    <w:rPr>
      <w:rFonts w:ascii="Courier New" w:hAnsi="Courier New"/>
      <w:lang w:val="x-none" w:eastAsia="cs-CZ"/>
    </w:rPr>
  </w:style>
  <w:style w:type="character" w:customStyle="1" w:styleId="ObyajntextChar1360">
    <w:name w:val="Obyčajný text Char1360"/>
    <w:aliases w:val="Obyčajný text Char Char Char Char1361"/>
    <w:uiPriority w:val="99"/>
    <w:semiHidden/>
    <w:rsid w:val="00A809E7"/>
    <w:rPr>
      <w:rFonts w:ascii="Courier New" w:hAnsi="Courier New"/>
      <w:lang w:val="x-none" w:eastAsia="cs-CZ"/>
    </w:rPr>
  </w:style>
  <w:style w:type="character" w:customStyle="1" w:styleId="ObyajntextChar1359">
    <w:name w:val="Obyčajný text Char1359"/>
    <w:aliases w:val="Obyčajný text Char Char Char Char1360"/>
    <w:uiPriority w:val="99"/>
    <w:semiHidden/>
    <w:rsid w:val="00A809E7"/>
    <w:rPr>
      <w:rFonts w:ascii="Courier New" w:hAnsi="Courier New"/>
      <w:lang w:val="x-none" w:eastAsia="cs-CZ"/>
    </w:rPr>
  </w:style>
  <w:style w:type="character" w:customStyle="1" w:styleId="ObyajntextChar1358">
    <w:name w:val="Obyčajný text Char1358"/>
    <w:aliases w:val="Obyčajný text Char Char Char Char1359"/>
    <w:uiPriority w:val="99"/>
    <w:semiHidden/>
    <w:rsid w:val="00A809E7"/>
    <w:rPr>
      <w:rFonts w:ascii="Courier New" w:hAnsi="Courier New"/>
      <w:lang w:val="x-none" w:eastAsia="cs-CZ"/>
    </w:rPr>
  </w:style>
  <w:style w:type="character" w:customStyle="1" w:styleId="ObyajntextChar1357">
    <w:name w:val="Obyčajný text Char1357"/>
    <w:aliases w:val="Obyčajný text Char Char Char Char1358"/>
    <w:uiPriority w:val="99"/>
    <w:semiHidden/>
    <w:rsid w:val="00A809E7"/>
    <w:rPr>
      <w:rFonts w:ascii="Courier New" w:hAnsi="Courier New"/>
      <w:lang w:val="x-none" w:eastAsia="cs-CZ"/>
    </w:rPr>
  </w:style>
  <w:style w:type="character" w:customStyle="1" w:styleId="ObyajntextChar1356">
    <w:name w:val="Obyčajný text Char1356"/>
    <w:aliases w:val="Obyčajný text Char Char Char Char1357"/>
    <w:uiPriority w:val="99"/>
    <w:semiHidden/>
    <w:rsid w:val="00A809E7"/>
    <w:rPr>
      <w:rFonts w:ascii="Courier New" w:hAnsi="Courier New"/>
      <w:lang w:val="x-none" w:eastAsia="cs-CZ"/>
    </w:rPr>
  </w:style>
  <w:style w:type="character" w:customStyle="1" w:styleId="ObyajntextChar1355">
    <w:name w:val="Obyčajný text Char1355"/>
    <w:aliases w:val="Obyčajný text Char Char Char Char1356"/>
    <w:uiPriority w:val="99"/>
    <w:semiHidden/>
    <w:rsid w:val="00A809E7"/>
    <w:rPr>
      <w:rFonts w:ascii="Courier New" w:hAnsi="Courier New"/>
      <w:lang w:val="x-none" w:eastAsia="cs-CZ"/>
    </w:rPr>
  </w:style>
  <w:style w:type="character" w:customStyle="1" w:styleId="ObyajntextChar1354">
    <w:name w:val="Obyčajný text Char1354"/>
    <w:aliases w:val="Obyčajný text Char Char Char Char1355"/>
    <w:uiPriority w:val="99"/>
    <w:semiHidden/>
    <w:rsid w:val="00A809E7"/>
    <w:rPr>
      <w:rFonts w:ascii="Courier New" w:hAnsi="Courier New"/>
      <w:lang w:val="x-none" w:eastAsia="cs-CZ"/>
    </w:rPr>
  </w:style>
  <w:style w:type="character" w:customStyle="1" w:styleId="ObyajntextChar1353">
    <w:name w:val="Obyčajný text Char1353"/>
    <w:aliases w:val="Obyčajný text Char Char Char Char1354"/>
    <w:uiPriority w:val="99"/>
    <w:semiHidden/>
    <w:rsid w:val="00A809E7"/>
    <w:rPr>
      <w:rFonts w:ascii="Courier New" w:hAnsi="Courier New"/>
      <w:lang w:val="x-none" w:eastAsia="cs-CZ"/>
    </w:rPr>
  </w:style>
  <w:style w:type="character" w:customStyle="1" w:styleId="ObyajntextChar1352">
    <w:name w:val="Obyčajný text Char1352"/>
    <w:aliases w:val="Obyčajný text Char Char Char Char1353"/>
    <w:uiPriority w:val="99"/>
    <w:semiHidden/>
    <w:rsid w:val="00A809E7"/>
    <w:rPr>
      <w:rFonts w:ascii="Courier New" w:hAnsi="Courier New"/>
      <w:lang w:val="x-none" w:eastAsia="cs-CZ"/>
    </w:rPr>
  </w:style>
  <w:style w:type="character" w:customStyle="1" w:styleId="ObyajntextChar1351">
    <w:name w:val="Obyčajný text Char1351"/>
    <w:aliases w:val="Obyčajný text Char Char Char Char1352"/>
    <w:uiPriority w:val="99"/>
    <w:semiHidden/>
    <w:rsid w:val="00A809E7"/>
    <w:rPr>
      <w:rFonts w:ascii="Courier New" w:hAnsi="Courier New"/>
      <w:lang w:val="x-none" w:eastAsia="cs-CZ"/>
    </w:rPr>
  </w:style>
  <w:style w:type="character" w:customStyle="1" w:styleId="ObyajntextChar1350">
    <w:name w:val="Obyčajný text Char1350"/>
    <w:aliases w:val="Obyčajný text Char Char Char Char1351"/>
    <w:uiPriority w:val="99"/>
    <w:semiHidden/>
    <w:rsid w:val="00A809E7"/>
    <w:rPr>
      <w:rFonts w:ascii="Courier New" w:hAnsi="Courier New"/>
      <w:lang w:val="x-none" w:eastAsia="cs-CZ"/>
    </w:rPr>
  </w:style>
  <w:style w:type="character" w:customStyle="1" w:styleId="ObyajntextChar1349">
    <w:name w:val="Obyčajný text Char1349"/>
    <w:aliases w:val="Obyčajný text Char Char Char Char1350"/>
    <w:uiPriority w:val="99"/>
    <w:semiHidden/>
    <w:rsid w:val="00A809E7"/>
    <w:rPr>
      <w:rFonts w:ascii="Courier New" w:hAnsi="Courier New"/>
      <w:lang w:val="x-none" w:eastAsia="cs-CZ"/>
    </w:rPr>
  </w:style>
  <w:style w:type="character" w:customStyle="1" w:styleId="ObyajntextChar1348">
    <w:name w:val="Obyčajný text Char1348"/>
    <w:aliases w:val="Obyčajný text Char Char Char Char1349"/>
    <w:uiPriority w:val="99"/>
    <w:semiHidden/>
    <w:rsid w:val="00A809E7"/>
    <w:rPr>
      <w:rFonts w:ascii="Courier New" w:hAnsi="Courier New"/>
      <w:lang w:val="x-none" w:eastAsia="cs-CZ"/>
    </w:rPr>
  </w:style>
  <w:style w:type="character" w:customStyle="1" w:styleId="ObyajntextChar1347">
    <w:name w:val="Obyčajný text Char1347"/>
    <w:aliases w:val="Obyčajný text Char Char Char Char1348"/>
    <w:uiPriority w:val="99"/>
    <w:semiHidden/>
    <w:rsid w:val="00A809E7"/>
    <w:rPr>
      <w:rFonts w:ascii="Courier New" w:hAnsi="Courier New"/>
      <w:lang w:val="x-none" w:eastAsia="cs-CZ"/>
    </w:rPr>
  </w:style>
  <w:style w:type="character" w:customStyle="1" w:styleId="ObyajntextChar1346">
    <w:name w:val="Obyčajný text Char1346"/>
    <w:aliases w:val="Obyčajný text Char Char Char Char1347"/>
    <w:uiPriority w:val="99"/>
    <w:semiHidden/>
    <w:rsid w:val="00A809E7"/>
    <w:rPr>
      <w:rFonts w:ascii="Courier New" w:hAnsi="Courier New"/>
      <w:lang w:val="x-none" w:eastAsia="cs-CZ"/>
    </w:rPr>
  </w:style>
  <w:style w:type="character" w:customStyle="1" w:styleId="ObyajntextChar1345">
    <w:name w:val="Obyčajný text Char1345"/>
    <w:aliases w:val="Obyčajný text Char Char Char Char1346"/>
    <w:uiPriority w:val="99"/>
    <w:semiHidden/>
    <w:rsid w:val="00A809E7"/>
    <w:rPr>
      <w:rFonts w:ascii="Courier New" w:hAnsi="Courier New"/>
      <w:lang w:val="x-none" w:eastAsia="cs-CZ"/>
    </w:rPr>
  </w:style>
  <w:style w:type="character" w:customStyle="1" w:styleId="ObyajntextChar1344">
    <w:name w:val="Obyčajný text Char1344"/>
    <w:aliases w:val="Obyčajný text Char Char Char Char1345"/>
    <w:uiPriority w:val="99"/>
    <w:semiHidden/>
    <w:rsid w:val="00A809E7"/>
    <w:rPr>
      <w:rFonts w:ascii="Courier New" w:hAnsi="Courier New"/>
      <w:lang w:val="x-none" w:eastAsia="cs-CZ"/>
    </w:rPr>
  </w:style>
  <w:style w:type="character" w:customStyle="1" w:styleId="ObyajntextChar1343">
    <w:name w:val="Obyčajný text Char1343"/>
    <w:aliases w:val="Obyčajný text Char Char Char Char1344"/>
    <w:uiPriority w:val="99"/>
    <w:semiHidden/>
    <w:rsid w:val="00A809E7"/>
    <w:rPr>
      <w:rFonts w:ascii="Courier New" w:hAnsi="Courier New"/>
      <w:lang w:val="x-none" w:eastAsia="cs-CZ"/>
    </w:rPr>
  </w:style>
  <w:style w:type="character" w:customStyle="1" w:styleId="ObyajntextChar1342">
    <w:name w:val="Obyčajný text Char1342"/>
    <w:aliases w:val="Obyčajný text Char Char Char Char1343"/>
    <w:uiPriority w:val="99"/>
    <w:semiHidden/>
    <w:rsid w:val="00A809E7"/>
    <w:rPr>
      <w:rFonts w:ascii="Courier New" w:hAnsi="Courier New"/>
      <w:lang w:val="x-none" w:eastAsia="cs-CZ"/>
    </w:rPr>
  </w:style>
  <w:style w:type="character" w:customStyle="1" w:styleId="ObyajntextChar1341">
    <w:name w:val="Obyčajný text Char1341"/>
    <w:aliases w:val="Obyčajný text Char Char Char Char1342"/>
    <w:uiPriority w:val="99"/>
    <w:semiHidden/>
    <w:rsid w:val="00A809E7"/>
    <w:rPr>
      <w:rFonts w:ascii="Courier New" w:hAnsi="Courier New"/>
      <w:lang w:val="x-none" w:eastAsia="cs-CZ"/>
    </w:rPr>
  </w:style>
  <w:style w:type="character" w:customStyle="1" w:styleId="ObyajntextChar1340">
    <w:name w:val="Obyčajný text Char1340"/>
    <w:aliases w:val="Obyčajný text Char Char Char Char1341"/>
    <w:uiPriority w:val="99"/>
    <w:semiHidden/>
    <w:rsid w:val="00A809E7"/>
    <w:rPr>
      <w:rFonts w:ascii="Courier New" w:hAnsi="Courier New"/>
      <w:lang w:val="x-none" w:eastAsia="cs-CZ"/>
    </w:rPr>
  </w:style>
  <w:style w:type="character" w:customStyle="1" w:styleId="ObyajntextChar1339">
    <w:name w:val="Obyčajný text Char1339"/>
    <w:aliases w:val="Obyčajný text Char Char Char Char1340"/>
    <w:uiPriority w:val="99"/>
    <w:semiHidden/>
    <w:rsid w:val="00A809E7"/>
    <w:rPr>
      <w:rFonts w:ascii="Courier New" w:hAnsi="Courier New"/>
      <w:lang w:val="x-none" w:eastAsia="cs-CZ"/>
    </w:rPr>
  </w:style>
  <w:style w:type="character" w:customStyle="1" w:styleId="ObyajntextChar1338">
    <w:name w:val="Obyčajný text Char1338"/>
    <w:aliases w:val="Obyčajný text Char Char Char Char1339"/>
    <w:uiPriority w:val="99"/>
    <w:semiHidden/>
    <w:rsid w:val="00A809E7"/>
    <w:rPr>
      <w:rFonts w:ascii="Courier New" w:hAnsi="Courier New"/>
      <w:lang w:val="x-none" w:eastAsia="cs-CZ"/>
    </w:rPr>
  </w:style>
  <w:style w:type="character" w:customStyle="1" w:styleId="ObyajntextChar1337">
    <w:name w:val="Obyčajný text Char1337"/>
    <w:aliases w:val="Obyčajný text Char Char Char Char1338"/>
    <w:uiPriority w:val="99"/>
    <w:semiHidden/>
    <w:rsid w:val="00A809E7"/>
    <w:rPr>
      <w:rFonts w:ascii="Courier New" w:hAnsi="Courier New"/>
      <w:lang w:val="x-none" w:eastAsia="cs-CZ"/>
    </w:rPr>
  </w:style>
  <w:style w:type="character" w:customStyle="1" w:styleId="ObyajntextChar1336">
    <w:name w:val="Obyčajný text Char1336"/>
    <w:aliases w:val="Obyčajný text Char Char Char Char1337"/>
    <w:uiPriority w:val="99"/>
    <w:semiHidden/>
    <w:rsid w:val="00A809E7"/>
    <w:rPr>
      <w:rFonts w:ascii="Courier New" w:hAnsi="Courier New"/>
      <w:lang w:val="x-none" w:eastAsia="cs-CZ"/>
    </w:rPr>
  </w:style>
  <w:style w:type="character" w:customStyle="1" w:styleId="ObyajntextChar1335">
    <w:name w:val="Obyčajný text Char1335"/>
    <w:aliases w:val="Obyčajný text Char Char Char Char1336"/>
    <w:uiPriority w:val="99"/>
    <w:semiHidden/>
    <w:rsid w:val="00A809E7"/>
    <w:rPr>
      <w:rFonts w:ascii="Courier New" w:hAnsi="Courier New"/>
      <w:lang w:val="x-none" w:eastAsia="cs-CZ"/>
    </w:rPr>
  </w:style>
  <w:style w:type="character" w:customStyle="1" w:styleId="ObyajntextChar1334">
    <w:name w:val="Obyčajný text Char1334"/>
    <w:aliases w:val="Obyčajný text Char Char Char Char1335"/>
    <w:uiPriority w:val="99"/>
    <w:semiHidden/>
    <w:rsid w:val="00A809E7"/>
    <w:rPr>
      <w:rFonts w:ascii="Courier New" w:hAnsi="Courier New"/>
      <w:lang w:val="x-none" w:eastAsia="cs-CZ"/>
    </w:rPr>
  </w:style>
  <w:style w:type="character" w:customStyle="1" w:styleId="ObyajntextChar1333">
    <w:name w:val="Obyčajný text Char1333"/>
    <w:aliases w:val="Obyčajný text Char Char Char Char1334"/>
    <w:uiPriority w:val="99"/>
    <w:semiHidden/>
    <w:rsid w:val="00A809E7"/>
    <w:rPr>
      <w:rFonts w:ascii="Courier New" w:hAnsi="Courier New"/>
      <w:lang w:val="x-none" w:eastAsia="cs-CZ"/>
    </w:rPr>
  </w:style>
  <w:style w:type="character" w:customStyle="1" w:styleId="ObyajntextChar1332">
    <w:name w:val="Obyčajný text Char1332"/>
    <w:aliases w:val="Obyčajný text Char Char Char Char1333"/>
    <w:uiPriority w:val="99"/>
    <w:semiHidden/>
    <w:rsid w:val="00A809E7"/>
    <w:rPr>
      <w:rFonts w:ascii="Courier New" w:hAnsi="Courier New"/>
      <w:lang w:val="x-none" w:eastAsia="cs-CZ"/>
    </w:rPr>
  </w:style>
  <w:style w:type="character" w:customStyle="1" w:styleId="ObyajntextChar1331">
    <w:name w:val="Obyčajný text Char1331"/>
    <w:aliases w:val="Obyčajný text Char Char Char Char1332"/>
    <w:uiPriority w:val="99"/>
    <w:semiHidden/>
    <w:rsid w:val="00A809E7"/>
    <w:rPr>
      <w:rFonts w:ascii="Courier New" w:hAnsi="Courier New"/>
      <w:lang w:val="x-none" w:eastAsia="cs-CZ"/>
    </w:rPr>
  </w:style>
  <w:style w:type="character" w:customStyle="1" w:styleId="ObyajntextChar1330">
    <w:name w:val="Obyčajný text Char1330"/>
    <w:aliases w:val="Obyčajný text Char Char Char Char1331"/>
    <w:uiPriority w:val="99"/>
    <w:semiHidden/>
    <w:rsid w:val="00A809E7"/>
    <w:rPr>
      <w:rFonts w:ascii="Courier New" w:hAnsi="Courier New"/>
      <w:lang w:val="x-none" w:eastAsia="cs-CZ"/>
    </w:rPr>
  </w:style>
  <w:style w:type="character" w:customStyle="1" w:styleId="ObyajntextChar1329">
    <w:name w:val="Obyčajný text Char1329"/>
    <w:aliases w:val="Obyčajný text Char Char Char Char1330"/>
    <w:uiPriority w:val="99"/>
    <w:semiHidden/>
    <w:rsid w:val="00A809E7"/>
    <w:rPr>
      <w:rFonts w:ascii="Courier New" w:hAnsi="Courier New"/>
      <w:lang w:val="x-none" w:eastAsia="cs-CZ"/>
    </w:rPr>
  </w:style>
  <w:style w:type="character" w:customStyle="1" w:styleId="ObyajntextChar1328">
    <w:name w:val="Obyčajný text Char1328"/>
    <w:aliases w:val="Obyčajný text Char Char Char Char1329"/>
    <w:uiPriority w:val="99"/>
    <w:semiHidden/>
    <w:rsid w:val="00A809E7"/>
    <w:rPr>
      <w:rFonts w:ascii="Courier New" w:hAnsi="Courier New"/>
      <w:lang w:val="x-none" w:eastAsia="cs-CZ"/>
    </w:rPr>
  </w:style>
  <w:style w:type="character" w:customStyle="1" w:styleId="ObyajntextChar1327">
    <w:name w:val="Obyčajný text Char1327"/>
    <w:aliases w:val="Obyčajný text Char Char Char Char1328"/>
    <w:uiPriority w:val="99"/>
    <w:semiHidden/>
    <w:rsid w:val="00A809E7"/>
    <w:rPr>
      <w:rFonts w:ascii="Courier New" w:hAnsi="Courier New"/>
      <w:lang w:val="x-none" w:eastAsia="cs-CZ"/>
    </w:rPr>
  </w:style>
  <w:style w:type="character" w:customStyle="1" w:styleId="ObyajntextChar1326">
    <w:name w:val="Obyčajný text Char1326"/>
    <w:aliases w:val="Obyčajný text Char Char Char Char1327"/>
    <w:uiPriority w:val="99"/>
    <w:semiHidden/>
    <w:rsid w:val="00A809E7"/>
    <w:rPr>
      <w:rFonts w:ascii="Courier New" w:hAnsi="Courier New"/>
      <w:lang w:val="x-none" w:eastAsia="cs-CZ"/>
    </w:rPr>
  </w:style>
  <w:style w:type="character" w:customStyle="1" w:styleId="ObyajntextChar1325">
    <w:name w:val="Obyčajný text Char1325"/>
    <w:aliases w:val="Obyčajný text Char Char Char Char1326"/>
    <w:uiPriority w:val="99"/>
    <w:semiHidden/>
    <w:rsid w:val="00A809E7"/>
    <w:rPr>
      <w:rFonts w:ascii="Courier New" w:hAnsi="Courier New"/>
      <w:lang w:val="x-none" w:eastAsia="cs-CZ"/>
    </w:rPr>
  </w:style>
  <w:style w:type="character" w:customStyle="1" w:styleId="ObyajntextChar1324">
    <w:name w:val="Obyčajný text Char1324"/>
    <w:aliases w:val="Obyčajný text Char Char Char Char1325"/>
    <w:uiPriority w:val="99"/>
    <w:semiHidden/>
    <w:rsid w:val="00A809E7"/>
    <w:rPr>
      <w:rFonts w:ascii="Courier New" w:hAnsi="Courier New"/>
      <w:lang w:val="x-none" w:eastAsia="cs-CZ"/>
    </w:rPr>
  </w:style>
  <w:style w:type="character" w:customStyle="1" w:styleId="ObyajntextChar1323">
    <w:name w:val="Obyčajný text Char1323"/>
    <w:aliases w:val="Obyčajný text Char Char Char Char1324"/>
    <w:uiPriority w:val="99"/>
    <w:semiHidden/>
    <w:rsid w:val="00A809E7"/>
    <w:rPr>
      <w:rFonts w:ascii="Courier New" w:hAnsi="Courier New"/>
      <w:lang w:val="x-none" w:eastAsia="cs-CZ"/>
    </w:rPr>
  </w:style>
  <w:style w:type="character" w:customStyle="1" w:styleId="ObyajntextChar1322">
    <w:name w:val="Obyčajný text Char1322"/>
    <w:aliases w:val="Obyčajný text Char Char Char Char1323"/>
    <w:uiPriority w:val="99"/>
    <w:semiHidden/>
    <w:rsid w:val="00A809E7"/>
    <w:rPr>
      <w:rFonts w:ascii="Courier New" w:hAnsi="Courier New"/>
      <w:lang w:val="x-none" w:eastAsia="cs-CZ"/>
    </w:rPr>
  </w:style>
  <w:style w:type="character" w:customStyle="1" w:styleId="ObyajntextChar1321">
    <w:name w:val="Obyčajný text Char1321"/>
    <w:aliases w:val="Obyčajný text Char Char Char Char1322"/>
    <w:uiPriority w:val="99"/>
    <w:semiHidden/>
    <w:rsid w:val="00A809E7"/>
    <w:rPr>
      <w:rFonts w:ascii="Courier New" w:hAnsi="Courier New"/>
      <w:lang w:val="x-none" w:eastAsia="cs-CZ"/>
    </w:rPr>
  </w:style>
  <w:style w:type="character" w:customStyle="1" w:styleId="ObyajntextChar1320">
    <w:name w:val="Obyčajný text Char1320"/>
    <w:aliases w:val="Obyčajný text Char Char Char Char1321"/>
    <w:uiPriority w:val="99"/>
    <w:semiHidden/>
    <w:rsid w:val="00A809E7"/>
    <w:rPr>
      <w:rFonts w:ascii="Courier New" w:hAnsi="Courier New"/>
      <w:lang w:val="x-none" w:eastAsia="cs-CZ"/>
    </w:rPr>
  </w:style>
  <w:style w:type="character" w:customStyle="1" w:styleId="ObyajntextChar1319">
    <w:name w:val="Obyčajný text Char1319"/>
    <w:aliases w:val="Obyčajný text Char Char Char Char1320"/>
    <w:uiPriority w:val="99"/>
    <w:semiHidden/>
    <w:rsid w:val="00A809E7"/>
    <w:rPr>
      <w:rFonts w:ascii="Courier New" w:hAnsi="Courier New"/>
      <w:lang w:val="x-none" w:eastAsia="cs-CZ"/>
    </w:rPr>
  </w:style>
  <w:style w:type="character" w:customStyle="1" w:styleId="ObyajntextChar1318">
    <w:name w:val="Obyčajný text Char1318"/>
    <w:aliases w:val="Obyčajný text Char Char Char Char1319"/>
    <w:uiPriority w:val="99"/>
    <w:semiHidden/>
    <w:rsid w:val="00A809E7"/>
    <w:rPr>
      <w:rFonts w:ascii="Courier New" w:hAnsi="Courier New"/>
      <w:lang w:val="x-none" w:eastAsia="cs-CZ"/>
    </w:rPr>
  </w:style>
  <w:style w:type="character" w:customStyle="1" w:styleId="ObyajntextChar1317">
    <w:name w:val="Obyčajný text Char1317"/>
    <w:aliases w:val="Obyčajný text Char Char Char Char1318"/>
    <w:uiPriority w:val="99"/>
    <w:semiHidden/>
    <w:rsid w:val="00A809E7"/>
    <w:rPr>
      <w:rFonts w:ascii="Courier New" w:hAnsi="Courier New"/>
      <w:lang w:val="x-none" w:eastAsia="cs-CZ"/>
    </w:rPr>
  </w:style>
  <w:style w:type="character" w:customStyle="1" w:styleId="ObyajntextChar1316">
    <w:name w:val="Obyčajný text Char1316"/>
    <w:aliases w:val="Obyčajný text Char Char Char Char1317"/>
    <w:uiPriority w:val="99"/>
    <w:semiHidden/>
    <w:rsid w:val="00A809E7"/>
    <w:rPr>
      <w:rFonts w:ascii="Courier New" w:hAnsi="Courier New"/>
      <w:lang w:val="x-none" w:eastAsia="cs-CZ"/>
    </w:rPr>
  </w:style>
  <w:style w:type="character" w:customStyle="1" w:styleId="ObyajntextChar1315">
    <w:name w:val="Obyčajný text Char1315"/>
    <w:aliases w:val="Obyčajný text Char Char Char Char1316"/>
    <w:uiPriority w:val="99"/>
    <w:semiHidden/>
    <w:rsid w:val="00A809E7"/>
    <w:rPr>
      <w:rFonts w:ascii="Courier New" w:hAnsi="Courier New"/>
      <w:lang w:val="x-none" w:eastAsia="cs-CZ"/>
    </w:rPr>
  </w:style>
  <w:style w:type="character" w:customStyle="1" w:styleId="ObyajntextChar1314">
    <w:name w:val="Obyčajný text Char1314"/>
    <w:aliases w:val="Obyčajný text Char Char Char Char1315"/>
    <w:uiPriority w:val="99"/>
    <w:semiHidden/>
    <w:rsid w:val="00A809E7"/>
    <w:rPr>
      <w:rFonts w:ascii="Courier New" w:hAnsi="Courier New"/>
      <w:lang w:val="x-none" w:eastAsia="cs-CZ"/>
    </w:rPr>
  </w:style>
  <w:style w:type="character" w:customStyle="1" w:styleId="ObyajntextChar1313">
    <w:name w:val="Obyčajný text Char1313"/>
    <w:aliases w:val="Obyčajný text Char Char Char Char1314"/>
    <w:uiPriority w:val="99"/>
    <w:semiHidden/>
    <w:rsid w:val="00A809E7"/>
    <w:rPr>
      <w:rFonts w:ascii="Courier New" w:hAnsi="Courier New"/>
      <w:lang w:val="x-none" w:eastAsia="cs-CZ"/>
    </w:rPr>
  </w:style>
  <w:style w:type="character" w:customStyle="1" w:styleId="ObyajntextChar1312">
    <w:name w:val="Obyčajný text Char1312"/>
    <w:aliases w:val="Obyčajný text Char Char Char Char1313"/>
    <w:uiPriority w:val="99"/>
    <w:semiHidden/>
    <w:rsid w:val="00A809E7"/>
    <w:rPr>
      <w:rFonts w:ascii="Courier New" w:hAnsi="Courier New"/>
      <w:lang w:val="x-none" w:eastAsia="cs-CZ"/>
    </w:rPr>
  </w:style>
  <w:style w:type="character" w:customStyle="1" w:styleId="ObyajntextChar1311">
    <w:name w:val="Obyčajný text Char1311"/>
    <w:aliases w:val="Obyčajný text Char Char Char Char1312"/>
    <w:uiPriority w:val="99"/>
    <w:semiHidden/>
    <w:rsid w:val="00A809E7"/>
    <w:rPr>
      <w:rFonts w:ascii="Courier New" w:hAnsi="Courier New"/>
      <w:lang w:val="x-none" w:eastAsia="cs-CZ"/>
    </w:rPr>
  </w:style>
  <w:style w:type="character" w:customStyle="1" w:styleId="ObyajntextChar1310">
    <w:name w:val="Obyčajný text Char1310"/>
    <w:aliases w:val="Obyčajný text Char Char Char Char1311"/>
    <w:uiPriority w:val="99"/>
    <w:semiHidden/>
    <w:rsid w:val="00A809E7"/>
    <w:rPr>
      <w:rFonts w:ascii="Courier New" w:hAnsi="Courier New"/>
      <w:lang w:val="x-none" w:eastAsia="cs-CZ"/>
    </w:rPr>
  </w:style>
  <w:style w:type="character" w:customStyle="1" w:styleId="ObyajntextChar1309">
    <w:name w:val="Obyčajný text Char1309"/>
    <w:aliases w:val="Obyčajný text Char Char Char Char1310"/>
    <w:uiPriority w:val="99"/>
    <w:semiHidden/>
    <w:rsid w:val="00A809E7"/>
    <w:rPr>
      <w:rFonts w:ascii="Courier New" w:hAnsi="Courier New"/>
      <w:lang w:val="x-none" w:eastAsia="cs-CZ"/>
    </w:rPr>
  </w:style>
  <w:style w:type="character" w:customStyle="1" w:styleId="ObyajntextChar1308">
    <w:name w:val="Obyčajný text Char1308"/>
    <w:aliases w:val="Obyčajný text Char Char Char Char1309"/>
    <w:uiPriority w:val="99"/>
    <w:semiHidden/>
    <w:rsid w:val="00A809E7"/>
    <w:rPr>
      <w:rFonts w:ascii="Courier New" w:hAnsi="Courier New"/>
      <w:lang w:val="x-none" w:eastAsia="cs-CZ"/>
    </w:rPr>
  </w:style>
  <w:style w:type="character" w:customStyle="1" w:styleId="ObyajntextChar1307">
    <w:name w:val="Obyčajný text Char1307"/>
    <w:aliases w:val="Obyčajný text Char Char Char Char1308"/>
    <w:uiPriority w:val="99"/>
    <w:semiHidden/>
    <w:rsid w:val="00A809E7"/>
    <w:rPr>
      <w:rFonts w:ascii="Courier New" w:hAnsi="Courier New"/>
      <w:lang w:val="x-none" w:eastAsia="cs-CZ"/>
    </w:rPr>
  </w:style>
  <w:style w:type="character" w:customStyle="1" w:styleId="ObyajntextChar1306">
    <w:name w:val="Obyčajný text Char1306"/>
    <w:aliases w:val="Obyčajný text Char Char Char Char1307"/>
    <w:uiPriority w:val="99"/>
    <w:semiHidden/>
    <w:rsid w:val="00A809E7"/>
    <w:rPr>
      <w:rFonts w:ascii="Courier New" w:hAnsi="Courier New"/>
      <w:lang w:val="x-none" w:eastAsia="cs-CZ"/>
    </w:rPr>
  </w:style>
  <w:style w:type="character" w:customStyle="1" w:styleId="ObyajntextChar1305">
    <w:name w:val="Obyčajný text Char1305"/>
    <w:aliases w:val="Obyčajný text Char Char Char Char1306"/>
    <w:uiPriority w:val="99"/>
    <w:semiHidden/>
    <w:rsid w:val="00A809E7"/>
    <w:rPr>
      <w:rFonts w:ascii="Courier New" w:hAnsi="Courier New"/>
      <w:lang w:val="x-none" w:eastAsia="cs-CZ"/>
    </w:rPr>
  </w:style>
  <w:style w:type="character" w:customStyle="1" w:styleId="ObyajntextChar1304">
    <w:name w:val="Obyčajný text Char1304"/>
    <w:aliases w:val="Obyčajný text Char Char Char Char1305"/>
    <w:uiPriority w:val="99"/>
    <w:semiHidden/>
    <w:rsid w:val="00A809E7"/>
    <w:rPr>
      <w:rFonts w:ascii="Courier New" w:hAnsi="Courier New"/>
      <w:lang w:val="x-none" w:eastAsia="cs-CZ"/>
    </w:rPr>
  </w:style>
  <w:style w:type="character" w:customStyle="1" w:styleId="ObyajntextChar1303">
    <w:name w:val="Obyčajný text Char1303"/>
    <w:aliases w:val="Obyčajný text Char Char Char Char1304"/>
    <w:uiPriority w:val="99"/>
    <w:semiHidden/>
    <w:rsid w:val="00A809E7"/>
    <w:rPr>
      <w:rFonts w:ascii="Courier New" w:hAnsi="Courier New"/>
      <w:lang w:val="x-none" w:eastAsia="cs-CZ"/>
    </w:rPr>
  </w:style>
  <w:style w:type="character" w:customStyle="1" w:styleId="ObyajntextChar1302">
    <w:name w:val="Obyčajný text Char1302"/>
    <w:aliases w:val="Obyčajný text Char Char Char Char1303"/>
    <w:uiPriority w:val="99"/>
    <w:semiHidden/>
    <w:rsid w:val="00A809E7"/>
    <w:rPr>
      <w:rFonts w:ascii="Courier New" w:hAnsi="Courier New"/>
      <w:lang w:val="x-none" w:eastAsia="cs-CZ"/>
    </w:rPr>
  </w:style>
  <w:style w:type="character" w:customStyle="1" w:styleId="ObyajntextChar1301">
    <w:name w:val="Obyčajný text Char1301"/>
    <w:aliases w:val="Obyčajný text Char Char Char Char1302"/>
    <w:uiPriority w:val="99"/>
    <w:semiHidden/>
    <w:rsid w:val="00A809E7"/>
    <w:rPr>
      <w:rFonts w:ascii="Courier New" w:hAnsi="Courier New"/>
      <w:lang w:val="x-none" w:eastAsia="cs-CZ"/>
    </w:rPr>
  </w:style>
  <w:style w:type="character" w:customStyle="1" w:styleId="ObyajntextChar1300">
    <w:name w:val="Obyčajný text Char1300"/>
    <w:aliases w:val="Obyčajný text Char Char Char Char1301"/>
    <w:uiPriority w:val="99"/>
    <w:semiHidden/>
    <w:rsid w:val="00A809E7"/>
    <w:rPr>
      <w:rFonts w:ascii="Courier New" w:hAnsi="Courier New"/>
      <w:lang w:val="x-none" w:eastAsia="cs-CZ"/>
    </w:rPr>
  </w:style>
  <w:style w:type="character" w:customStyle="1" w:styleId="ObyajntextChar1299">
    <w:name w:val="Obyčajný text Char1299"/>
    <w:aliases w:val="Obyčajný text Char Char Char Char1300"/>
    <w:uiPriority w:val="99"/>
    <w:semiHidden/>
    <w:rsid w:val="00A809E7"/>
    <w:rPr>
      <w:rFonts w:ascii="Courier New" w:hAnsi="Courier New"/>
      <w:lang w:val="x-none" w:eastAsia="cs-CZ"/>
    </w:rPr>
  </w:style>
  <w:style w:type="character" w:customStyle="1" w:styleId="ObyajntextChar1298">
    <w:name w:val="Obyčajný text Char1298"/>
    <w:aliases w:val="Obyčajný text Char Char Char Char1299"/>
    <w:uiPriority w:val="99"/>
    <w:semiHidden/>
    <w:rsid w:val="00A809E7"/>
    <w:rPr>
      <w:rFonts w:ascii="Courier New" w:hAnsi="Courier New"/>
      <w:lang w:val="x-none" w:eastAsia="cs-CZ"/>
    </w:rPr>
  </w:style>
  <w:style w:type="character" w:customStyle="1" w:styleId="ObyajntextChar1297">
    <w:name w:val="Obyčajný text Char1297"/>
    <w:aliases w:val="Obyčajný text Char Char Char Char1298"/>
    <w:uiPriority w:val="99"/>
    <w:semiHidden/>
    <w:rsid w:val="00A809E7"/>
    <w:rPr>
      <w:rFonts w:ascii="Courier New" w:hAnsi="Courier New"/>
      <w:lang w:val="x-none" w:eastAsia="cs-CZ"/>
    </w:rPr>
  </w:style>
  <w:style w:type="character" w:customStyle="1" w:styleId="ObyajntextChar1296">
    <w:name w:val="Obyčajný text Char1296"/>
    <w:aliases w:val="Obyčajný text Char Char Char Char1297"/>
    <w:uiPriority w:val="99"/>
    <w:semiHidden/>
    <w:rsid w:val="00A809E7"/>
    <w:rPr>
      <w:rFonts w:ascii="Courier New" w:hAnsi="Courier New"/>
      <w:lang w:val="x-none" w:eastAsia="cs-CZ"/>
    </w:rPr>
  </w:style>
  <w:style w:type="character" w:customStyle="1" w:styleId="ObyajntextChar1295">
    <w:name w:val="Obyčajný text Char1295"/>
    <w:aliases w:val="Obyčajný text Char Char Char Char1296"/>
    <w:uiPriority w:val="99"/>
    <w:semiHidden/>
    <w:rsid w:val="00A809E7"/>
    <w:rPr>
      <w:rFonts w:ascii="Courier New" w:hAnsi="Courier New"/>
      <w:lang w:val="x-none" w:eastAsia="cs-CZ"/>
    </w:rPr>
  </w:style>
  <w:style w:type="character" w:customStyle="1" w:styleId="ObyajntextChar1294">
    <w:name w:val="Obyčajný text Char1294"/>
    <w:aliases w:val="Obyčajný text Char Char Char Char1295"/>
    <w:uiPriority w:val="99"/>
    <w:semiHidden/>
    <w:rsid w:val="00A809E7"/>
    <w:rPr>
      <w:rFonts w:ascii="Courier New" w:hAnsi="Courier New"/>
      <w:lang w:val="x-none" w:eastAsia="cs-CZ"/>
    </w:rPr>
  </w:style>
  <w:style w:type="character" w:customStyle="1" w:styleId="ObyajntextChar1293">
    <w:name w:val="Obyčajný text Char1293"/>
    <w:aliases w:val="Obyčajný text Char Char Char Char1294"/>
    <w:uiPriority w:val="99"/>
    <w:semiHidden/>
    <w:rsid w:val="00A809E7"/>
    <w:rPr>
      <w:rFonts w:ascii="Courier New" w:hAnsi="Courier New"/>
      <w:lang w:val="x-none" w:eastAsia="cs-CZ"/>
    </w:rPr>
  </w:style>
  <w:style w:type="character" w:customStyle="1" w:styleId="ObyajntextChar1292">
    <w:name w:val="Obyčajný text Char1292"/>
    <w:aliases w:val="Obyčajný text Char Char Char Char1293"/>
    <w:uiPriority w:val="99"/>
    <w:semiHidden/>
    <w:rsid w:val="00A809E7"/>
    <w:rPr>
      <w:rFonts w:ascii="Courier New" w:hAnsi="Courier New"/>
      <w:lang w:val="x-none" w:eastAsia="cs-CZ"/>
    </w:rPr>
  </w:style>
  <w:style w:type="character" w:customStyle="1" w:styleId="ObyajntextChar1291">
    <w:name w:val="Obyčajný text Char1291"/>
    <w:aliases w:val="Obyčajný text Char Char Char Char1292"/>
    <w:uiPriority w:val="99"/>
    <w:semiHidden/>
    <w:rsid w:val="00A809E7"/>
    <w:rPr>
      <w:rFonts w:ascii="Courier New" w:hAnsi="Courier New"/>
      <w:lang w:val="x-none" w:eastAsia="cs-CZ"/>
    </w:rPr>
  </w:style>
  <w:style w:type="character" w:customStyle="1" w:styleId="ObyajntextChar1290">
    <w:name w:val="Obyčajný text Char1290"/>
    <w:aliases w:val="Obyčajný text Char Char Char Char1291"/>
    <w:uiPriority w:val="99"/>
    <w:semiHidden/>
    <w:rsid w:val="00A809E7"/>
    <w:rPr>
      <w:rFonts w:ascii="Courier New" w:hAnsi="Courier New"/>
      <w:lang w:val="x-none" w:eastAsia="cs-CZ"/>
    </w:rPr>
  </w:style>
  <w:style w:type="character" w:customStyle="1" w:styleId="ObyajntextChar1289">
    <w:name w:val="Obyčajný text Char1289"/>
    <w:aliases w:val="Obyčajný text Char Char Char Char1290"/>
    <w:uiPriority w:val="99"/>
    <w:semiHidden/>
    <w:rsid w:val="00A809E7"/>
    <w:rPr>
      <w:rFonts w:ascii="Courier New" w:hAnsi="Courier New"/>
      <w:lang w:val="x-none" w:eastAsia="cs-CZ"/>
    </w:rPr>
  </w:style>
  <w:style w:type="character" w:customStyle="1" w:styleId="ObyajntextChar1288">
    <w:name w:val="Obyčajný text Char1288"/>
    <w:aliases w:val="Obyčajný text Char Char Char Char1289"/>
    <w:uiPriority w:val="99"/>
    <w:semiHidden/>
    <w:rsid w:val="00A809E7"/>
    <w:rPr>
      <w:rFonts w:ascii="Courier New" w:hAnsi="Courier New"/>
      <w:lang w:val="x-none" w:eastAsia="cs-CZ"/>
    </w:rPr>
  </w:style>
  <w:style w:type="character" w:customStyle="1" w:styleId="ObyajntextChar1287">
    <w:name w:val="Obyčajný text Char1287"/>
    <w:aliases w:val="Obyčajný text Char Char Char Char1288"/>
    <w:uiPriority w:val="99"/>
    <w:semiHidden/>
    <w:rsid w:val="00A809E7"/>
    <w:rPr>
      <w:rFonts w:ascii="Courier New" w:hAnsi="Courier New"/>
      <w:lang w:val="x-none" w:eastAsia="cs-CZ"/>
    </w:rPr>
  </w:style>
  <w:style w:type="character" w:customStyle="1" w:styleId="ObyajntextChar1286">
    <w:name w:val="Obyčajný text Char1286"/>
    <w:aliases w:val="Obyčajný text Char Char Char Char1287"/>
    <w:uiPriority w:val="99"/>
    <w:semiHidden/>
    <w:rsid w:val="00A809E7"/>
    <w:rPr>
      <w:rFonts w:ascii="Courier New" w:hAnsi="Courier New"/>
      <w:lang w:val="x-none" w:eastAsia="cs-CZ"/>
    </w:rPr>
  </w:style>
  <w:style w:type="character" w:customStyle="1" w:styleId="ObyajntextChar1285">
    <w:name w:val="Obyčajný text Char1285"/>
    <w:aliases w:val="Obyčajný text Char Char Char Char1286"/>
    <w:uiPriority w:val="99"/>
    <w:semiHidden/>
    <w:rsid w:val="00A809E7"/>
    <w:rPr>
      <w:rFonts w:ascii="Courier New" w:hAnsi="Courier New"/>
      <w:lang w:val="x-none" w:eastAsia="cs-CZ"/>
    </w:rPr>
  </w:style>
  <w:style w:type="character" w:customStyle="1" w:styleId="ObyajntextChar1284">
    <w:name w:val="Obyčajný text Char1284"/>
    <w:aliases w:val="Obyčajný text Char Char Char Char1285"/>
    <w:uiPriority w:val="99"/>
    <w:semiHidden/>
    <w:rsid w:val="00A809E7"/>
    <w:rPr>
      <w:rFonts w:ascii="Courier New" w:hAnsi="Courier New"/>
      <w:lang w:val="x-none" w:eastAsia="cs-CZ"/>
    </w:rPr>
  </w:style>
  <w:style w:type="character" w:customStyle="1" w:styleId="ObyajntextChar1283">
    <w:name w:val="Obyčajný text Char1283"/>
    <w:aliases w:val="Obyčajný text Char Char Char Char1284"/>
    <w:uiPriority w:val="99"/>
    <w:semiHidden/>
    <w:rsid w:val="00A809E7"/>
    <w:rPr>
      <w:rFonts w:ascii="Courier New" w:hAnsi="Courier New"/>
      <w:lang w:val="x-none" w:eastAsia="cs-CZ"/>
    </w:rPr>
  </w:style>
  <w:style w:type="character" w:customStyle="1" w:styleId="ObyajntextChar1282">
    <w:name w:val="Obyčajný text Char1282"/>
    <w:aliases w:val="Obyčajný text Char Char Char Char1283"/>
    <w:uiPriority w:val="99"/>
    <w:semiHidden/>
    <w:rsid w:val="00A809E7"/>
    <w:rPr>
      <w:rFonts w:ascii="Courier New" w:hAnsi="Courier New"/>
      <w:lang w:val="x-none" w:eastAsia="cs-CZ"/>
    </w:rPr>
  </w:style>
  <w:style w:type="character" w:customStyle="1" w:styleId="ObyajntextChar1281">
    <w:name w:val="Obyčajný text Char1281"/>
    <w:aliases w:val="Obyčajný text Char Char Char Char1282"/>
    <w:uiPriority w:val="99"/>
    <w:semiHidden/>
    <w:rsid w:val="00A809E7"/>
    <w:rPr>
      <w:rFonts w:ascii="Courier New" w:hAnsi="Courier New"/>
      <w:lang w:val="x-none" w:eastAsia="cs-CZ"/>
    </w:rPr>
  </w:style>
  <w:style w:type="character" w:customStyle="1" w:styleId="ObyajntextChar1280">
    <w:name w:val="Obyčajný text Char1280"/>
    <w:aliases w:val="Obyčajný text Char Char Char Char1281"/>
    <w:uiPriority w:val="99"/>
    <w:semiHidden/>
    <w:rsid w:val="00A809E7"/>
    <w:rPr>
      <w:rFonts w:ascii="Courier New" w:hAnsi="Courier New"/>
      <w:lang w:val="x-none" w:eastAsia="cs-CZ"/>
    </w:rPr>
  </w:style>
  <w:style w:type="character" w:customStyle="1" w:styleId="ObyajntextChar1279">
    <w:name w:val="Obyčajný text Char1279"/>
    <w:aliases w:val="Obyčajný text Char Char Char Char1280"/>
    <w:uiPriority w:val="99"/>
    <w:semiHidden/>
    <w:rsid w:val="00A809E7"/>
    <w:rPr>
      <w:rFonts w:ascii="Courier New" w:hAnsi="Courier New"/>
      <w:lang w:val="x-none" w:eastAsia="cs-CZ"/>
    </w:rPr>
  </w:style>
  <w:style w:type="character" w:customStyle="1" w:styleId="ObyajntextChar1278">
    <w:name w:val="Obyčajný text Char1278"/>
    <w:aliases w:val="Obyčajný text Char Char Char Char1279"/>
    <w:uiPriority w:val="99"/>
    <w:semiHidden/>
    <w:rsid w:val="00A809E7"/>
    <w:rPr>
      <w:rFonts w:ascii="Courier New" w:hAnsi="Courier New"/>
      <w:lang w:val="x-none" w:eastAsia="cs-CZ"/>
    </w:rPr>
  </w:style>
  <w:style w:type="character" w:customStyle="1" w:styleId="ObyajntextChar1277">
    <w:name w:val="Obyčajný text Char1277"/>
    <w:aliases w:val="Obyčajný text Char Char Char Char1278"/>
    <w:uiPriority w:val="99"/>
    <w:semiHidden/>
    <w:rsid w:val="00A809E7"/>
    <w:rPr>
      <w:rFonts w:ascii="Courier New" w:hAnsi="Courier New"/>
      <w:lang w:val="x-none" w:eastAsia="cs-CZ"/>
    </w:rPr>
  </w:style>
  <w:style w:type="character" w:customStyle="1" w:styleId="ObyajntextChar1276">
    <w:name w:val="Obyčajný text Char1276"/>
    <w:aliases w:val="Obyčajný text Char Char Char Char1277"/>
    <w:uiPriority w:val="99"/>
    <w:semiHidden/>
    <w:rsid w:val="00A809E7"/>
    <w:rPr>
      <w:rFonts w:ascii="Courier New" w:hAnsi="Courier New"/>
      <w:lang w:val="x-none" w:eastAsia="cs-CZ"/>
    </w:rPr>
  </w:style>
  <w:style w:type="character" w:customStyle="1" w:styleId="ObyajntextChar1275">
    <w:name w:val="Obyčajný text Char1275"/>
    <w:aliases w:val="Obyčajný text Char Char Char Char1276"/>
    <w:uiPriority w:val="99"/>
    <w:semiHidden/>
    <w:rsid w:val="00A809E7"/>
    <w:rPr>
      <w:rFonts w:ascii="Courier New" w:hAnsi="Courier New"/>
      <w:lang w:val="x-none" w:eastAsia="cs-CZ"/>
    </w:rPr>
  </w:style>
  <w:style w:type="character" w:customStyle="1" w:styleId="ObyajntextChar1274">
    <w:name w:val="Obyčajný text Char1274"/>
    <w:aliases w:val="Obyčajný text Char Char Char Char1275"/>
    <w:uiPriority w:val="99"/>
    <w:semiHidden/>
    <w:rsid w:val="00A809E7"/>
    <w:rPr>
      <w:rFonts w:ascii="Courier New" w:hAnsi="Courier New"/>
      <w:lang w:val="x-none" w:eastAsia="cs-CZ"/>
    </w:rPr>
  </w:style>
  <w:style w:type="character" w:customStyle="1" w:styleId="ObyajntextChar1273">
    <w:name w:val="Obyčajný text Char1273"/>
    <w:aliases w:val="Obyčajný text Char Char Char Char1274"/>
    <w:uiPriority w:val="99"/>
    <w:semiHidden/>
    <w:rsid w:val="00A809E7"/>
    <w:rPr>
      <w:rFonts w:ascii="Courier New" w:hAnsi="Courier New"/>
      <w:lang w:val="x-none" w:eastAsia="cs-CZ"/>
    </w:rPr>
  </w:style>
  <w:style w:type="character" w:customStyle="1" w:styleId="ObyajntextChar1272">
    <w:name w:val="Obyčajný text Char1272"/>
    <w:aliases w:val="Obyčajný text Char Char Char Char1273"/>
    <w:uiPriority w:val="99"/>
    <w:semiHidden/>
    <w:rsid w:val="00A809E7"/>
    <w:rPr>
      <w:rFonts w:ascii="Courier New" w:hAnsi="Courier New"/>
      <w:lang w:val="x-none" w:eastAsia="cs-CZ"/>
    </w:rPr>
  </w:style>
  <w:style w:type="character" w:customStyle="1" w:styleId="ObyajntextChar1271">
    <w:name w:val="Obyčajný text Char1271"/>
    <w:aliases w:val="Obyčajný text Char Char Char Char1272"/>
    <w:uiPriority w:val="99"/>
    <w:semiHidden/>
    <w:rsid w:val="00A809E7"/>
    <w:rPr>
      <w:rFonts w:ascii="Courier New" w:hAnsi="Courier New"/>
      <w:lang w:val="x-none" w:eastAsia="cs-CZ"/>
    </w:rPr>
  </w:style>
  <w:style w:type="character" w:customStyle="1" w:styleId="ObyajntextChar1270">
    <w:name w:val="Obyčajný text Char1270"/>
    <w:aliases w:val="Obyčajný text Char Char Char Char1271"/>
    <w:uiPriority w:val="99"/>
    <w:semiHidden/>
    <w:rsid w:val="00A809E7"/>
    <w:rPr>
      <w:rFonts w:ascii="Courier New" w:hAnsi="Courier New"/>
      <w:lang w:val="x-none" w:eastAsia="cs-CZ"/>
    </w:rPr>
  </w:style>
  <w:style w:type="character" w:customStyle="1" w:styleId="ObyajntextChar1269">
    <w:name w:val="Obyčajný text Char1269"/>
    <w:aliases w:val="Obyčajný text Char Char Char Char1270"/>
    <w:uiPriority w:val="99"/>
    <w:semiHidden/>
    <w:rsid w:val="00A809E7"/>
    <w:rPr>
      <w:rFonts w:ascii="Courier New" w:hAnsi="Courier New"/>
      <w:lang w:val="x-none" w:eastAsia="cs-CZ"/>
    </w:rPr>
  </w:style>
  <w:style w:type="character" w:customStyle="1" w:styleId="ObyajntextChar1268">
    <w:name w:val="Obyčajný text Char1268"/>
    <w:aliases w:val="Obyčajný text Char Char Char Char1269"/>
    <w:uiPriority w:val="99"/>
    <w:semiHidden/>
    <w:rsid w:val="00A809E7"/>
    <w:rPr>
      <w:rFonts w:ascii="Courier New" w:hAnsi="Courier New"/>
      <w:lang w:val="x-none" w:eastAsia="cs-CZ"/>
    </w:rPr>
  </w:style>
  <w:style w:type="character" w:customStyle="1" w:styleId="ObyajntextChar1267">
    <w:name w:val="Obyčajný text Char1267"/>
    <w:aliases w:val="Obyčajný text Char Char Char Char1268"/>
    <w:uiPriority w:val="99"/>
    <w:semiHidden/>
    <w:rsid w:val="00A809E7"/>
    <w:rPr>
      <w:rFonts w:ascii="Courier New" w:hAnsi="Courier New"/>
      <w:lang w:val="x-none" w:eastAsia="cs-CZ"/>
    </w:rPr>
  </w:style>
  <w:style w:type="character" w:customStyle="1" w:styleId="ObyajntextChar1266">
    <w:name w:val="Obyčajný text Char1266"/>
    <w:aliases w:val="Obyčajný text Char Char Char Char1267"/>
    <w:uiPriority w:val="99"/>
    <w:semiHidden/>
    <w:rsid w:val="00A809E7"/>
    <w:rPr>
      <w:rFonts w:ascii="Courier New" w:hAnsi="Courier New"/>
      <w:lang w:val="x-none" w:eastAsia="cs-CZ"/>
    </w:rPr>
  </w:style>
  <w:style w:type="character" w:customStyle="1" w:styleId="ObyajntextChar1265">
    <w:name w:val="Obyčajný text Char1265"/>
    <w:aliases w:val="Obyčajný text Char Char Char Char1266"/>
    <w:uiPriority w:val="99"/>
    <w:semiHidden/>
    <w:rsid w:val="00A809E7"/>
    <w:rPr>
      <w:rFonts w:ascii="Courier New" w:hAnsi="Courier New"/>
      <w:lang w:val="x-none" w:eastAsia="cs-CZ"/>
    </w:rPr>
  </w:style>
  <w:style w:type="character" w:customStyle="1" w:styleId="ObyajntextChar1264">
    <w:name w:val="Obyčajný text Char1264"/>
    <w:aliases w:val="Obyčajný text Char Char Char Char1265"/>
    <w:uiPriority w:val="99"/>
    <w:semiHidden/>
    <w:rsid w:val="00A809E7"/>
    <w:rPr>
      <w:rFonts w:ascii="Courier New" w:hAnsi="Courier New"/>
      <w:lang w:val="x-none" w:eastAsia="cs-CZ"/>
    </w:rPr>
  </w:style>
  <w:style w:type="character" w:customStyle="1" w:styleId="ObyajntextChar1263">
    <w:name w:val="Obyčajný text Char1263"/>
    <w:aliases w:val="Obyčajný text Char Char Char Char1264"/>
    <w:uiPriority w:val="99"/>
    <w:semiHidden/>
    <w:rsid w:val="00A809E7"/>
    <w:rPr>
      <w:rFonts w:ascii="Courier New" w:hAnsi="Courier New"/>
      <w:lang w:val="x-none" w:eastAsia="cs-CZ"/>
    </w:rPr>
  </w:style>
  <w:style w:type="character" w:customStyle="1" w:styleId="ObyajntextChar1262">
    <w:name w:val="Obyčajný text Char1262"/>
    <w:aliases w:val="Obyčajný text Char Char Char Char1263"/>
    <w:uiPriority w:val="99"/>
    <w:semiHidden/>
    <w:rsid w:val="00A809E7"/>
    <w:rPr>
      <w:rFonts w:ascii="Courier New" w:hAnsi="Courier New"/>
      <w:lang w:val="x-none" w:eastAsia="cs-CZ"/>
    </w:rPr>
  </w:style>
  <w:style w:type="character" w:customStyle="1" w:styleId="ObyajntextChar1261">
    <w:name w:val="Obyčajný text Char1261"/>
    <w:aliases w:val="Obyčajný text Char Char Char Char1262"/>
    <w:uiPriority w:val="99"/>
    <w:semiHidden/>
    <w:rsid w:val="00A809E7"/>
    <w:rPr>
      <w:rFonts w:ascii="Courier New" w:hAnsi="Courier New"/>
      <w:lang w:val="x-none" w:eastAsia="cs-CZ"/>
    </w:rPr>
  </w:style>
  <w:style w:type="character" w:customStyle="1" w:styleId="ObyajntextChar1260">
    <w:name w:val="Obyčajný text Char1260"/>
    <w:aliases w:val="Obyčajný text Char Char Char Char1261"/>
    <w:uiPriority w:val="99"/>
    <w:semiHidden/>
    <w:rsid w:val="00A809E7"/>
    <w:rPr>
      <w:rFonts w:ascii="Courier New" w:hAnsi="Courier New"/>
      <w:lang w:val="x-none" w:eastAsia="cs-CZ"/>
    </w:rPr>
  </w:style>
  <w:style w:type="character" w:customStyle="1" w:styleId="ObyajntextChar1259">
    <w:name w:val="Obyčajný text Char1259"/>
    <w:aliases w:val="Obyčajný text Char Char Char Char1260"/>
    <w:uiPriority w:val="99"/>
    <w:semiHidden/>
    <w:rsid w:val="00A809E7"/>
    <w:rPr>
      <w:rFonts w:ascii="Courier New" w:hAnsi="Courier New"/>
      <w:lang w:val="x-none" w:eastAsia="cs-CZ"/>
    </w:rPr>
  </w:style>
  <w:style w:type="character" w:customStyle="1" w:styleId="ObyajntextChar1258">
    <w:name w:val="Obyčajný text Char1258"/>
    <w:aliases w:val="Obyčajný text Char Char Char Char1259"/>
    <w:uiPriority w:val="99"/>
    <w:semiHidden/>
    <w:rsid w:val="00A809E7"/>
    <w:rPr>
      <w:rFonts w:ascii="Courier New" w:hAnsi="Courier New"/>
      <w:lang w:val="x-none" w:eastAsia="cs-CZ"/>
    </w:rPr>
  </w:style>
  <w:style w:type="character" w:customStyle="1" w:styleId="ObyajntextChar1257">
    <w:name w:val="Obyčajný text Char1257"/>
    <w:aliases w:val="Obyčajný text Char Char Char Char1258"/>
    <w:uiPriority w:val="99"/>
    <w:semiHidden/>
    <w:rsid w:val="00A809E7"/>
    <w:rPr>
      <w:rFonts w:ascii="Courier New" w:hAnsi="Courier New"/>
      <w:lang w:val="x-none" w:eastAsia="cs-CZ"/>
    </w:rPr>
  </w:style>
  <w:style w:type="character" w:customStyle="1" w:styleId="ObyajntextChar1256">
    <w:name w:val="Obyčajný text Char1256"/>
    <w:aliases w:val="Obyčajný text Char Char Char Char1257"/>
    <w:uiPriority w:val="99"/>
    <w:semiHidden/>
    <w:rsid w:val="00A809E7"/>
    <w:rPr>
      <w:rFonts w:ascii="Courier New" w:hAnsi="Courier New"/>
      <w:lang w:val="x-none" w:eastAsia="cs-CZ"/>
    </w:rPr>
  </w:style>
  <w:style w:type="character" w:customStyle="1" w:styleId="ObyajntextChar1255">
    <w:name w:val="Obyčajný text Char1255"/>
    <w:aliases w:val="Obyčajný text Char Char Char Char1256"/>
    <w:uiPriority w:val="99"/>
    <w:semiHidden/>
    <w:rsid w:val="00A809E7"/>
    <w:rPr>
      <w:rFonts w:ascii="Courier New" w:hAnsi="Courier New"/>
      <w:lang w:val="x-none" w:eastAsia="cs-CZ"/>
    </w:rPr>
  </w:style>
  <w:style w:type="character" w:customStyle="1" w:styleId="ObyajntextChar1254">
    <w:name w:val="Obyčajný text Char1254"/>
    <w:aliases w:val="Obyčajný text Char Char Char Char1255"/>
    <w:uiPriority w:val="99"/>
    <w:semiHidden/>
    <w:rsid w:val="00A809E7"/>
    <w:rPr>
      <w:rFonts w:ascii="Courier New" w:hAnsi="Courier New"/>
      <w:lang w:val="x-none" w:eastAsia="cs-CZ"/>
    </w:rPr>
  </w:style>
  <w:style w:type="character" w:customStyle="1" w:styleId="ObyajntextChar1253">
    <w:name w:val="Obyčajný text Char1253"/>
    <w:aliases w:val="Obyčajný text Char Char Char Char1254"/>
    <w:uiPriority w:val="99"/>
    <w:semiHidden/>
    <w:rsid w:val="00A809E7"/>
    <w:rPr>
      <w:rFonts w:ascii="Courier New" w:hAnsi="Courier New"/>
      <w:lang w:val="x-none" w:eastAsia="cs-CZ"/>
    </w:rPr>
  </w:style>
  <w:style w:type="character" w:customStyle="1" w:styleId="ObyajntextChar1252">
    <w:name w:val="Obyčajný text Char1252"/>
    <w:aliases w:val="Obyčajný text Char Char Char Char1253"/>
    <w:uiPriority w:val="99"/>
    <w:semiHidden/>
    <w:rsid w:val="00A809E7"/>
    <w:rPr>
      <w:rFonts w:ascii="Courier New" w:hAnsi="Courier New"/>
      <w:lang w:val="x-none" w:eastAsia="cs-CZ"/>
    </w:rPr>
  </w:style>
  <w:style w:type="character" w:customStyle="1" w:styleId="ObyajntextChar1251">
    <w:name w:val="Obyčajný text Char1251"/>
    <w:aliases w:val="Obyčajný text Char Char Char Char1252"/>
    <w:uiPriority w:val="99"/>
    <w:semiHidden/>
    <w:rsid w:val="00A809E7"/>
    <w:rPr>
      <w:rFonts w:ascii="Courier New" w:hAnsi="Courier New"/>
      <w:lang w:val="x-none" w:eastAsia="cs-CZ"/>
    </w:rPr>
  </w:style>
  <w:style w:type="character" w:customStyle="1" w:styleId="ObyajntextChar1250">
    <w:name w:val="Obyčajný text Char1250"/>
    <w:aliases w:val="Obyčajný text Char Char Char Char1251"/>
    <w:uiPriority w:val="99"/>
    <w:semiHidden/>
    <w:rsid w:val="00A809E7"/>
    <w:rPr>
      <w:rFonts w:ascii="Courier New" w:hAnsi="Courier New"/>
      <w:lang w:val="x-none" w:eastAsia="cs-CZ"/>
    </w:rPr>
  </w:style>
  <w:style w:type="character" w:customStyle="1" w:styleId="ObyajntextChar1249">
    <w:name w:val="Obyčajný text Char1249"/>
    <w:aliases w:val="Obyčajný text Char Char Char Char1250"/>
    <w:uiPriority w:val="99"/>
    <w:semiHidden/>
    <w:rsid w:val="00A809E7"/>
    <w:rPr>
      <w:rFonts w:ascii="Courier New" w:hAnsi="Courier New"/>
      <w:lang w:val="x-none" w:eastAsia="cs-CZ"/>
    </w:rPr>
  </w:style>
  <w:style w:type="character" w:customStyle="1" w:styleId="ObyajntextChar1248">
    <w:name w:val="Obyčajný text Char1248"/>
    <w:aliases w:val="Obyčajný text Char Char Char Char1249"/>
    <w:uiPriority w:val="99"/>
    <w:semiHidden/>
    <w:rsid w:val="00A809E7"/>
    <w:rPr>
      <w:rFonts w:ascii="Courier New" w:hAnsi="Courier New"/>
      <w:lang w:val="x-none" w:eastAsia="cs-CZ"/>
    </w:rPr>
  </w:style>
  <w:style w:type="character" w:customStyle="1" w:styleId="ObyajntextChar1247">
    <w:name w:val="Obyčajný text Char1247"/>
    <w:aliases w:val="Obyčajný text Char Char Char Char1248"/>
    <w:uiPriority w:val="99"/>
    <w:semiHidden/>
    <w:rsid w:val="00A809E7"/>
    <w:rPr>
      <w:rFonts w:ascii="Courier New" w:hAnsi="Courier New"/>
      <w:lang w:val="x-none" w:eastAsia="cs-CZ"/>
    </w:rPr>
  </w:style>
  <w:style w:type="character" w:customStyle="1" w:styleId="ObyajntextChar1246">
    <w:name w:val="Obyčajný text Char1246"/>
    <w:aliases w:val="Obyčajný text Char Char Char Char1247"/>
    <w:uiPriority w:val="99"/>
    <w:semiHidden/>
    <w:rsid w:val="00A809E7"/>
    <w:rPr>
      <w:rFonts w:ascii="Courier New" w:hAnsi="Courier New"/>
      <w:lang w:val="x-none" w:eastAsia="cs-CZ"/>
    </w:rPr>
  </w:style>
  <w:style w:type="character" w:customStyle="1" w:styleId="ObyajntextChar1245">
    <w:name w:val="Obyčajný text Char1245"/>
    <w:aliases w:val="Obyčajný text Char Char Char Char1246"/>
    <w:uiPriority w:val="99"/>
    <w:semiHidden/>
    <w:rsid w:val="00A809E7"/>
    <w:rPr>
      <w:rFonts w:ascii="Courier New" w:hAnsi="Courier New"/>
      <w:lang w:val="x-none" w:eastAsia="cs-CZ"/>
    </w:rPr>
  </w:style>
  <w:style w:type="character" w:customStyle="1" w:styleId="ObyajntextChar1244">
    <w:name w:val="Obyčajný text Char1244"/>
    <w:aliases w:val="Obyčajný text Char Char Char Char1245"/>
    <w:uiPriority w:val="99"/>
    <w:semiHidden/>
    <w:rsid w:val="00A809E7"/>
    <w:rPr>
      <w:rFonts w:ascii="Courier New" w:hAnsi="Courier New"/>
      <w:lang w:val="x-none" w:eastAsia="cs-CZ"/>
    </w:rPr>
  </w:style>
  <w:style w:type="character" w:customStyle="1" w:styleId="ObyajntextChar1243">
    <w:name w:val="Obyčajný text Char1243"/>
    <w:aliases w:val="Obyčajný text Char Char Char Char1244"/>
    <w:uiPriority w:val="99"/>
    <w:semiHidden/>
    <w:rsid w:val="00A809E7"/>
    <w:rPr>
      <w:rFonts w:ascii="Courier New" w:hAnsi="Courier New"/>
      <w:lang w:val="x-none" w:eastAsia="cs-CZ"/>
    </w:rPr>
  </w:style>
  <w:style w:type="character" w:customStyle="1" w:styleId="ObyajntextChar1242">
    <w:name w:val="Obyčajný text Char1242"/>
    <w:aliases w:val="Obyčajný text Char Char Char Char1243"/>
    <w:uiPriority w:val="99"/>
    <w:semiHidden/>
    <w:rsid w:val="00A809E7"/>
    <w:rPr>
      <w:rFonts w:ascii="Courier New" w:hAnsi="Courier New"/>
      <w:lang w:val="x-none" w:eastAsia="cs-CZ"/>
    </w:rPr>
  </w:style>
  <w:style w:type="character" w:customStyle="1" w:styleId="ObyajntextChar1241">
    <w:name w:val="Obyčajný text Char1241"/>
    <w:aliases w:val="Obyčajný text Char Char Char Char1242"/>
    <w:uiPriority w:val="99"/>
    <w:semiHidden/>
    <w:rsid w:val="00A809E7"/>
    <w:rPr>
      <w:rFonts w:ascii="Courier New" w:hAnsi="Courier New"/>
      <w:lang w:val="x-none" w:eastAsia="cs-CZ"/>
    </w:rPr>
  </w:style>
  <w:style w:type="character" w:customStyle="1" w:styleId="ObyajntextChar1240">
    <w:name w:val="Obyčajný text Char1240"/>
    <w:aliases w:val="Obyčajný text Char Char Char Char1241"/>
    <w:uiPriority w:val="99"/>
    <w:semiHidden/>
    <w:rsid w:val="00A809E7"/>
    <w:rPr>
      <w:rFonts w:ascii="Courier New" w:hAnsi="Courier New"/>
      <w:lang w:val="x-none" w:eastAsia="cs-CZ"/>
    </w:rPr>
  </w:style>
  <w:style w:type="character" w:customStyle="1" w:styleId="ObyajntextChar1239">
    <w:name w:val="Obyčajný text Char1239"/>
    <w:aliases w:val="Obyčajný text Char Char Char Char1240"/>
    <w:uiPriority w:val="99"/>
    <w:semiHidden/>
    <w:rsid w:val="00A809E7"/>
    <w:rPr>
      <w:rFonts w:ascii="Courier New" w:hAnsi="Courier New"/>
      <w:lang w:val="x-none" w:eastAsia="cs-CZ"/>
    </w:rPr>
  </w:style>
  <w:style w:type="character" w:customStyle="1" w:styleId="ObyajntextChar1238">
    <w:name w:val="Obyčajný text Char1238"/>
    <w:aliases w:val="Obyčajný text Char Char Char Char1239"/>
    <w:uiPriority w:val="99"/>
    <w:semiHidden/>
    <w:rsid w:val="00A809E7"/>
    <w:rPr>
      <w:rFonts w:ascii="Courier New" w:hAnsi="Courier New"/>
      <w:lang w:val="x-none" w:eastAsia="cs-CZ"/>
    </w:rPr>
  </w:style>
  <w:style w:type="character" w:customStyle="1" w:styleId="ObyajntextChar1237">
    <w:name w:val="Obyčajný text Char1237"/>
    <w:aliases w:val="Obyčajný text Char Char Char Char1238"/>
    <w:uiPriority w:val="99"/>
    <w:semiHidden/>
    <w:rsid w:val="00A809E7"/>
    <w:rPr>
      <w:rFonts w:ascii="Courier New" w:hAnsi="Courier New"/>
      <w:lang w:val="x-none" w:eastAsia="cs-CZ"/>
    </w:rPr>
  </w:style>
  <w:style w:type="character" w:customStyle="1" w:styleId="ObyajntextChar1236">
    <w:name w:val="Obyčajný text Char1236"/>
    <w:aliases w:val="Obyčajný text Char Char Char Char1237"/>
    <w:uiPriority w:val="99"/>
    <w:semiHidden/>
    <w:rsid w:val="00A809E7"/>
    <w:rPr>
      <w:rFonts w:ascii="Courier New" w:hAnsi="Courier New"/>
      <w:lang w:val="x-none" w:eastAsia="cs-CZ"/>
    </w:rPr>
  </w:style>
  <w:style w:type="character" w:customStyle="1" w:styleId="ObyajntextChar1235">
    <w:name w:val="Obyčajný text Char1235"/>
    <w:aliases w:val="Obyčajný text Char Char Char Char1236"/>
    <w:uiPriority w:val="99"/>
    <w:semiHidden/>
    <w:rsid w:val="00A809E7"/>
    <w:rPr>
      <w:rFonts w:ascii="Courier New" w:hAnsi="Courier New"/>
      <w:lang w:val="x-none" w:eastAsia="cs-CZ"/>
    </w:rPr>
  </w:style>
  <w:style w:type="character" w:customStyle="1" w:styleId="ObyajntextChar1234">
    <w:name w:val="Obyčajný text Char1234"/>
    <w:aliases w:val="Obyčajný text Char Char Char Char1235"/>
    <w:uiPriority w:val="99"/>
    <w:semiHidden/>
    <w:rsid w:val="00A809E7"/>
    <w:rPr>
      <w:rFonts w:ascii="Courier New" w:hAnsi="Courier New"/>
      <w:lang w:val="x-none" w:eastAsia="cs-CZ"/>
    </w:rPr>
  </w:style>
  <w:style w:type="character" w:customStyle="1" w:styleId="ObyajntextChar1233">
    <w:name w:val="Obyčajný text Char1233"/>
    <w:aliases w:val="Obyčajný text Char Char Char Char1234"/>
    <w:uiPriority w:val="99"/>
    <w:semiHidden/>
    <w:rsid w:val="00A809E7"/>
    <w:rPr>
      <w:rFonts w:ascii="Courier New" w:hAnsi="Courier New"/>
      <w:lang w:val="x-none" w:eastAsia="cs-CZ"/>
    </w:rPr>
  </w:style>
  <w:style w:type="character" w:customStyle="1" w:styleId="ObyajntextChar1232">
    <w:name w:val="Obyčajný text Char1232"/>
    <w:aliases w:val="Obyčajný text Char Char Char Char1233"/>
    <w:uiPriority w:val="99"/>
    <w:semiHidden/>
    <w:rsid w:val="00A809E7"/>
    <w:rPr>
      <w:rFonts w:ascii="Courier New" w:hAnsi="Courier New"/>
      <w:lang w:val="x-none" w:eastAsia="cs-CZ"/>
    </w:rPr>
  </w:style>
  <w:style w:type="character" w:customStyle="1" w:styleId="ObyajntextChar1231">
    <w:name w:val="Obyčajný text Char1231"/>
    <w:aliases w:val="Obyčajný text Char Char Char Char1232"/>
    <w:uiPriority w:val="99"/>
    <w:semiHidden/>
    <w:rsid w:val="00A809E7"/>
    <w:rPr>
      <w:rFonts w:ascii="Courier New" w:hAnsi="Courier New"/>
      <w:lang w:val="x-none" w:eastAsia="cs-CZ"/>
    </w:rPr>
  </w:style>
  <w:style w:type="character" w:customStyle="1" w:styleId="ObyajntextChar1230">
    <w:name w:val="Obyčajný text Char1230"/>
    <w:aliases w:val="Obyčajný text Char Char Char Char1231"/>
    <w:uiPriority w:val="99"/>
    <w:semiHidden/>
    <w:rsid w:val="00A809E7"/>
    <w:rPr>
      <w:rFonts w:ascii="Courier New" w:hAnsi="Courier New"/>
      <w:lang w:val="x-none" w:eastAsia="cs-CZ"/>
    </w:rPr>
  </w:style>
  <w:style w:type="character" w:customStyle="1" w:styleId="ObyajntextChar1229">
    <w:name w:val="Obyčajný text Char1229"/>
    <w:aliases w:val="Obyčajný text Char Char Char Char1230"/>
    <w:uiPriority w:val="99"/>
    <w:semiHidden/>
    <w:rsid w:val="00A809E7"/>
    <w:rPr>
      <w:rFonts w:ascii="Courier New" w:hAnsi="Courier New"/>
      <w:lang w:val="x-none" w:eastAsia="cs-CZ"/>
    </w:rPr>
  </w:style>
  <w:style w:type="character" w:customStyle="1" w:styleId="ObyajntextChar1228">
    <w:name w:val="Obyčajný text Char1228"/>
    <w:aliases w:val="Obyčajný text Char Char Char Char1229"/>
    <w:uiPriority w:val="99"/>
    <w:semiHidden/>
    <w:rsid w:val="00A809E7"/>
    <w:rPr>
      <w:rFonts w:ascii="Courier New" w:hAnsi="Courier New"/>
      <w:lang w:val="x-none" w:eastAsia="cs-CZ"/>
    </w:rPr>
  </w:style>
  <w:style w:type="character" w:customStyle="1" w:styleId="ObyajntextChar1227">
    <w:name w:val="Obyčajný text Char1227"/>
    <w:aliases w:val="Obyčajný text Char Char Char Char1228"/>
    <w:uiPriority w:val="99"/>
    <w:semiHidden/>
    <w:rsid w:val="00A809E7"/>
    <w:rPr>
      <w:rFonts w:ascii="Courier New" w:hAnsi="Courier New"/>
      <w:lang w:val="x-none" w:eastAsia="cs-CZ"/>
    </w:rPr>
  </w:style>
  <w:style w:type="character" w:customStyle="1" w:styleId="ObyajntextChar1226">
    <w:name w:val="Obyčajný text Char1226"/>
    <w:aliases w:val="Obyčajný text Char Char Char Char1227"/>
    <w:uiPriority w:val="99"/>
    <w:semiHidden/>
    <w:rsid w:val="00A809E7"/>
    <w:rPr>
      <w:rFonts w:ascii="Courier New" w:hAnsi="Courier New"/>
      <w:lang w:val="x-none" w:eastAsia="cs-CZ"/>
    </w:rPr>
  </w:style>
  <w:style w:type="character" w:customStyle="1" w:styleId="ObyajntextChar1225">
    <w:name w:val="Obyčajný text Char1225"/>
    <w:aliases w:val="Obyčajný text Char Char Char Char1226"/>
    <w:uiPriority w:val="99"/>
    <w:semiHidden/>
    <w:rsid w:val="00A809E7"/>
    <w:rPr>
      <w:rFonts w:ascii="Courier New" w:hAnsi="Courier New"/>
      <w:lang w:val="x-none" w:eastAsia="cs-CZ"/>
    </w:rPr>
  </w:style>
  <w:style w:type="character" w:customStyle="1" w:styleId="ObyajntextChar1224">
    <w:name w:val="Obyčajný text Char1224"/>
    <w:aliases w:val="Obyčajný text Char Char Char Char1225"/>
    <w:uiPriority w:val="99"/>
    <w:semiHidden/>
    <w:rsid w:val="00A809E7"/>
    <w:rPr>
      <w:rFonts w:ascii="Courier New" w:hAnsi="Courier New"/>
      <w:lang w:val="x-none" w:eastAsia="cs-CZ"/>
    </w:rPr>
  </w:style>
  <w:style w:type="character" w:customStyle="1" w:styleId="ObyajntextChar1223">
    <w:name w:val="Obyčajný text Char1223"/>
    <w:aliases w:val="Obyčajný text Char Char Char Char1224"/>
    <w:uiPriority w:val="99"/>
    <w:semiHidden/>
    <w:rsid w:val="00A809E7"/>
    <w:rPr>
      <w:rFonts w:ascii="Courier New" w:hAnsi="Courier New"/>
      <w:lang w:val="x-none" w:eastAsia="cs-CZ"/>
    </w:rPr>
  </w:style>
  <w:style w:type="character" w:customStyle="1" w:styleId="ObyajntextChar1222">
    <w:name w:val="Obyčajný text Char1222"/>
    <w:aliases w:val="Obyčajný text Char Char Char Char1223"/>
    <w:uiPriority w:val="99"/>
    <w:semiHidden/>
    <w:rsid w:val="00A809E7"/>
    <w:rPr>
      <w:rFonts w:ascii="Courier New" w:hAnsi="Courier New"/>
      <w:lang w:val="x-none" w:eastAsia="cs-CZ"/>
    </w:rPr>
  </w:style>
  <w:style w:type="character" w:customStyle="1" w:styleId="ObyajntextChar1221">
    <w:name w:val="Obyčajný text Char1221"/>
    <w:aliases w:val="Obyčajný text Char Char Char Char1222"/>
    <w:uiPriority w:val="99"/>
    <w:semiHidden/>
    <w:rsid w:val="00A809E7"/>
    <w:rPr>
      <w:rFonts w:ascii="Courier New" w:hAnsi="Courier New"/>
      <w:lang w:val="x-none" w:eastAsia="cs-CZ"/>
    </w:rPr>
  </w:style>
  <w:style w:type="character" w:customStyle="1" w:styleId="ObyajntextChar1220">
    <w:name w:val="Obyčajný text Char1220"/>
    <w:aliases w:val="Obyčajný text Char Char Char Char1221"/>
    <w:uiPriority w:val="99"/>
    <w:semiHidden/>
    <w:rsid w:val="00A809E7"/>
    <w:rPr>
      <w:rFonts w:ascii="Courier New" w:hAnsi="Courier New"/>
      <w:lang w:val="x-none" w:eastAsia="cs-CZ"/>
    </w:rPr>
  </w:style>
  <w:style w:type="character" w:customStyle="1" w:styleId="ObyajntextChar1219">
    <w:name w:val="Obyčajný text Char1219"/>
    <w:aliases w:val="Obyčajný text Char Char Char Char1220"/>
    <w:uiPriority w:val="99"/>
    <w:semiHidden/>
    <w:rsid w:val="00A809E7"/>
    <w:rPr>
      <w:rFonts w:ascii="Courier New" w:hAnsi="Courier New"/>
      <w:lang w:val="x-none" w:eastAsia="cs-CZ"/>
    </w:rPr>
  </w:style>
  <w:style w:type="character" w:customStyle="1" w:styleId="ObyajntextChar1218">
    <w:name w:val="Obyčajný text Char1218"/>
    <w:aliases w:val="Obyčajný text Char Char Char Char1219"/>
    <w:uiPriority w:val="99"/>
    <w:semiHidden/>
    <w:rsid w:val="00A809E7"/>
    <w:rPr>
      <w:rFonts w:ascii="Courier New" w:hAnsi="Courier New"/>
      <w:lang w:val="x-none" w:eastAsia="cs-CZ"/>
    </w:rPr>
  </w:style>
  <w:style w:type="character" w:customStyle="1" w:styleId="ObyajntextChar1217">
    <w:name w:val="Obyčajný text Char1217"/>
    <w:aliases w:val="Obyčajný text Char Char Char Char1218"/>
    <w:uiPriority w:val="99"/>
    <w:semiHidden/>
    <w:rsid w:val="00A809E7"/>
    <w:rPr>
      <w:rFonts w:ascii="Courier New" w:hAnsi="Courier New"/>
      <w:lang w:val="x-none" w:eastAsia="cs-CZ"/>
    </w:rPr>
  </w:style>
  <w:style w:type="character" w:customStyle="1" w:styleId="ObyajntextChar1216">
    <w:name w:val="Obyčajný text Char1216"/>
    <w:aliases w:val="Obyčajný text Char Char Char Char1217"/>
    <w:uiPriority w:val="99"/>
    <w:semiHidden/>
    <w:rsid w:val="00A809E7"/>
    <w:rPr>
      <w:rFonts w:ascii="Courier New" w:hAnsi="Courier New"/>
      <w:lang w:val="x-none" w:eastAsia="cs-CZ"/>
    </w:rPr>
  </w:style>
  <w:style w:type="character" w:customStyle="1" w:styleId="ObyajntextChar1215">
    <w:name w:val="Obyčajný text Char1215"/>
    <w:aliases w:val="Obyčajný text Char Char Char Char1216"/>
    <w:uiPriority w:val="99"/>
    <w:semiHidden/>
    <w:rsid w:val="00A809E7"/>
    <w:rPr>
      <w:rFonts w:ascii="Courier New" w:hAnsi="Courier New"/>
      <w:lang w:val="x-none" w:eastAsia="cs-CZ"/>
    </w:rPr>
  </w:style>
  <w:style w:type="character" w:customStyle="1" w:styleId="ObyajntextChar1214">
    <w:name w:val="Obyčajný text Char1214"/>
    <w:aliases w:val="Obyčajný text Char Char Char Char1215"/>
    <w:uiPriority w:val="99"/>
    <w:semiHidden/>
    <w:rsid w:val="00A809E7"/>
    <w:rPr>
      <w:rFonts w:ascii="Courier New" w:hAnsi="Courier New"/>
      <w:lang w:val="x-none" w:eastAsia="cs-CZ"/>
    </w:rPr>
  </w:style>
  <w:style w:type="character" w:customStyle="1" w:styleId="ObyajntextChar1213">
    <w:name w:val="Obyčajný text Char1213"/>
    <w:aliases w:val="Obyčajný text Char Char Char Char1214"/>
    <w:uiPriority w:val="99"/>
    <w:semiHidden/>
    <w:rsid w:val="00A809E7"/>
    <w:rPr>
      <w:rFonts w:ascii="Courier New" w:hAnsi="Courier New"/>
      <w:lang w:val="x-none" w:eastAsia="cs-CZ"/>
    </w:rPr>
  </w:style>
  <w:style w:type="character" w:customStyle="1" w:styleId="ObyajntextChar1212">
    <w:name w:val="Obyčajný text Char1212"/>
    <w:aliases w:val="Obyčajný text Char Char Char Char1213"/>
    <w:uiPriority w:val="99"/>
    <w:semiHidden/>
    <w:rsid w:val="00A809E7"/>
    <w:rPr>
      <w:rFonts w:ascii="Courier New" w:hAnsi="Courier New"/>
      <w:lang w:val="x-none" w:eastAsia="cs-CZ"/>
    </w:rPr>
  </w:style>
  <w:style w:type="character" w:customStyle="1" w:styleId="ObyajntextChar1211">
    <w:name w:val="Obyčajný text Char1211"/>
    <w:aliases w:val="Obyčajný text Char Char Char Char1212"/>
    <w:uiPriority w:val="99"/>
    <w:semiHidden/>
    <w:rsid w:val="00A809E7"/>
    <w:rPr>
      <w:rFonts w:ascii="Courier New" w:hAnsi="Courier New"/>
      <w:lang w:val="x-none" w:eastAsia="cs-CZ"/>
    </w:rPr>
  </w:style>
  <w:style w:type="character" w:customStyle="1" w:styleId="ObyajntextChar1210">
    <w:name w:val="Obyčajný text Char1210"/>
    <w:aliases w:val="Obyčajný text Char Char Char Char1211"/>
    <w:uiPriority w:val="99"/>
    <w:semiHidden/>
    <w:rsid w:val="00A809E7"/>
    <w:rPr>
      <w:rFonts w:ascii="Courier New" w:hAnsi="Courier New"/>
      <w:lang w:val="x-none" w:eastAsia="cs-CZ"/>
    </w:rPr>
  </w:style>
  <w:style w:type="character" w:customStyle="1" w:styleId="ObyajntextChar1209">
    <w:name w:val="Obyčajný text Char1209"/>
    <w:aliases w:val="Obyčajný text Char Char Char Char1210"/>
    <w:uiPriority w:val="99"/>
    <w:semiHidden/>
    <w:rsid w:val="00A809E7"/>
    <w:rPr>
      <w:rFonts w:ascii="Courier New" w:hAnsi="Courier New"/>
      <w:lang w:val="x-none" w:eastAsia="cs-CZ"/>
    </w:rPr>
  </w:style>
  <w:style w:type="character" w:customStyle="1" w:styleId="ObyajntextChar1208">
    <w:name w:val="Obyčajný text Char1208"/>
    <w:aliases w:val="Obyčajný text Char Char Char Char1209"/>
    <w:uiPriority w:val="99"/>
    <w:semiHidden/>
    <w:rsid w:val="00A809E7"/>
    <w:rPr>
      <w:rFonts w:ascii="Courier New" w:hAnsi="Courier New"/>
      <w:lang w:val="x-none" w:eastAsia="cs-CZ"/>
    </w:rPr>
  </w:style>
  <w:style w:type="character" w:customStyle="1" w:styleId="ObyajntextChar1207">
    <w:name w:val="Obyčajný text Char1207"/>
    <w:aliases w:val="Obyčajný text Char Char Char Char1208"/>
    <w:uiPriority w:val="99"/>
    <w:semiHidden/>
    <w:rsid w:val="00A809E7"/>
    <w:rPr>
      <w:rFonts w:ascii="Courier New" w:hAnsi="Courier New"/>
      <w:lang w:val="x-none" w:eastAsia="cs-CZ"/>
    </w:rPr>
  </w:style>
  <w:style w:type="character" w:customStyle="1" w:styleId="ObyajntextChar1206">
    <w:name w:val="Obyčajný text Char1206"/>
    <w:aliases w:val="Obyčajný text Char Char Char Char1207"/>
    <w:uiPriority w:val="99"/>
    <w:semiHidden/>
    <w:rsid w:val="00A809E7"/>
    <w:rPr>
      <w:rFonts w:ascii="Courier New" w:hAnsi="Courier New"/>
      <w:lang w:val="x-none" w:eastAsia="cs-CZ"/>
    </w:rPr>
  </w:style>
  <w:style w:type="character" w:customStyle="1" w:styleId="ObyajntextChar1205">
    <w:name w:val="Obyčajný text Char1205"/>
    <w:aliases w:val="Obyčajný text Char Char Char Char1206"/>
    <w:uiPriority w:val="99"/>
    <w:semiHidden/>
    <w:rsid w:val="00A809E7"/>
    <w:rPr>
      <w:rFonts w:ascii="Courier New" w:hAnsi="Courier New"/>
      <w:lang w:val="x-none" w:eastAsia="cs-CZ"/>
    </w:rPr>
  </w:style>
  <w:style w:type="character" w:customStyle="1" w:styleId="ObyajntextChar1204">
    <w:name w:val="Obyčajný text Char1204"/>
    <w:aliases w:val="Obyčajný text Char Char Char Char1205"/>
    <w:uiPriority w:val="99"/>
    <w:semiHidden/>
    <w:rsid w:val="00A809E7"/>
    <w:rPr>
      <w:rFonts w:ascii="Courier New" w:hAnsi="Courier New"/>
      <w:lang w:val="x-none" w:eastAsia="cs-CZ"/>
    </w:rPr>
  </w:style>
  <w:style w:type="character" w:customStyle="1" w:styleId="ObyajntextChar1203">
    <w:name w:val="Obyčajný text Char1203"/>
    <w:aliases w:val="Obyčajný text Char Char Char Char1204"/>
    <w:uiPriority w:val="99"/>
    <w:semiHidden/>
    <w:rsid w:val="00A809E7"/>
    <w:rPr>
      <w:rFonts w:ascii="Courier New" w:hAnsi="Courier New"/>
      <w:lang w:val="x-none" w:eastAsia="cs-CZ"/>
    </w:rPr>
  </w:style>
  <w:style w:type="character" w:customStyle="1" w:styleId="ObyajntextChar1202">
    <w:name w:val="Obyčajný text Char1202"/>
    <w:aliases w:val="Obyčajný text Char Char Char Char1203"/>
    <w:uiPriority w:val="99"/>
    <w:semiHidden/>
    <w:rsid w:val="00A809E7"/>
    <w:rPr>
      <w:rFonts w:ascii="Courier New" w:hAnsi="Courier New"/>
      <w:lang w:val="x-none" w:eastAsia="cs-CZ"/>
    </w:rPr>
  </w:style>
  <w:style w:type="character" w:customStyle="1" w:styleId="ObyajntextChar1201">
    <w:name w:val="Obyčajný text Char1201"/>
    <w:aliases w:val="Obyčajný text Char Char Char Char1202"/>
    <w:uiPriority w:val="99"/>
    <w:semiHidden/>
    <w:rsid w:val="00A809E7"/>
    <w:rPr>
      <w:rFonts w:ascii="Courier New" w:hAnsi="Courier New"/>
      <w:lang w:val="x-none" w:eastAsia="cs-CZ"/>
    </w:rPr>
  </w:style>
  <w:style w:type="character" w:customStyle="1" w:styleId="ObyajntextChar1200">
    <w:name w:val="Obyčajný text Char1200"/>
    <w:aliases w:val="Obyčajný text Char Char Char Char1201"/>
    <w:uiPriority w:val="99"/>
    <w:semiHidden/>
    <w:rsid w:val="00A809E7"/>
    <w:rPr>
      <w:rFonts w:ascii="Courier New" w:hAnsi="Courier New"/>
      <w:lang w:val="x-none" w:eastAsia="cs-CZ"/>
    </w:rPr>
  </w:style>
  <w:style w:type="character" w:customStyle="1" w:styleId="ObyajntextChar1199">
    <w:name w:val="Obyčajný text Char1199"/>
    <w:aliases w:val="Obyčajný text Char Char Char Char1200"/>
    <w:uiPriority w:val="99"/>
    <w:semiHidden/>
    <w:rsid w:val="00A809E7"/>
    <w:rPr>
      <w:rFonts w:ascii="Courier New" w:hAnsi="Courier New"/>
      <w:lang w:val="x-none" w:eastAsia="cs-CZ"/>
    </w:rPr>
  </w:style>
  <w:style w:type="character" w:customStyle="1" w:styleId="ObyajntextChar1198">
    <w:name w:val="Obyčajný text Char1198"/>
    <w:aliases w:val="Obyčajný text Char Char Char Char1199"/>
    <w:uiPriority w:val="99"/>
    <w:semiHidden/>
    <w:rsid w:val="00A809E7"/>
    <w:rPr>
      <w:rFonts w:ascii="Courier New" w:hAnsi="Courier New"/>
      <w:lang w:val="x-none" w:eastAsia="cs-CZ"/>
    </w:rPr>
  </w:style>
  <w:style w:type="character" w:customStyle="1" w:styleId="ObyajntextChar1197">
    <w:name w:val="Obyčajný text Char1197"/>
    <w:aliases w:val="Obyčajný text Char Char Char Char1198"/>
    <w:uiPriority w:val="99"/>
    <w:semiHidden/>
    <w:rsid w:val="00A809E7"/>
    <w:rPr>
      <w:rFonts w:ascii="Courier New" w:hAnsi="Courier New"/>
      <w:lang w:val="x-none" w:eastAsia="cs-CZ"/>
    </w:rPr>
  </w:style>
  <w:style w:type="character" w:customStyle="1" w:styleId="ObyajntextChar1196">
    <w:name w:val="Obyčajný text Char1196"/>
    <w:aliases w:val="Obyčajný text Char Char Char Char1197"/>
    <w:uiPriority w:val="99"/>
    <w:semiHidden/>
    <w:rsid w:val="00A809E7"/>
    <w:rPr>
      <w:rFonts w:ascii="Courier New" w:hAnsi="Courier New"/>
      <w:lang w:val="x-none" w:eastAsia="cs-CZ"/>
    </w:rPr>
  </w:style>
  <w:style w:type="character" w:customStyle="1" w:styleId="ObyajntextChar1195">
    <w:name w:val="Obyčajný text Char1195"/>
    <w:aliases w:val="Obyčajný text Char Char Char Char1196"/>
    <w:uiPriority w:val="99"/>
    <w:semiHidden/>
    <w:rsid w:val="00A809E7"/>
    <w:rPr>
      <w:rFonts w:ascii="Courier New" w:hAnsi="Courier New"/>
      <w:lang w:val="x-none" w:eastAsia="cs-CZ"/>
    </w:rPr>
  </w:style>
  <w:style w:type="character" w:customStyle="1" w:styleId="ObyajntextChar1194">
    <w:name w:val="Obyčajný text Char1194"/>
    <w:aliases w:val="Obyčajný text Char Char Char Char1195"/>
    <w:uiPriority w:val="99"/>
    <w:semiHidden/>
    <w:rsid w:val="00A809E7"/>
    <w:rPr>
      <w:rFonts w:ascii="Courier New" w:hAnsi="Courier New"/>
      <w:lang w:val="x-none" w:eastAsia="cs-CZ"/>
    </w:rPr>
  </w:style>
  <w:style w:type="character" w:customStyle="1" w:styleId="ObyajntextChar1193">
    <w:name w:val="Obyčajný text Char1193"/>
    <w:aliases w:val="Obyčajný text Char Char Char Char1194"/>
    <w:uiPriority w:val="99"/>
    <w:semiHidden/>
    <w:rsid w:val="00A809E7"/>
    <w:rPr>
      <w:rFonts w:ascii="Courier New" w:hAnsi="Courier New"/>
      <w:lang w:val="x-none" w:eastAsia="cs-CZ"/>
    </w:rPr>
  </w:style>
  <w:style w:type="character" w:customStyle="1" w:styleId="ObyajntextChar1192">
    <w:name w:val="Obyčajný text Char1192"/>
    <w:aliases w:val="Obyčajný text Char Char Char Char1193"/>
    <w:uiPriority w:val="99"/>
    <w:semiHidden/>
    <w:rsid w:val="00A809E7"/>
    <w:rPr>
      <w:rFonts w:ascii="Courier New" w:hAnsi="Courier New"/>
      <w:lang w:val="x-none" w:eastAsia="cs-CZ"/>
    </w:rPr>
  </w:style>
  <w:style w:type="character" w:customStyle="1" w:styleId="ObyajntextChar1191">
    <w:name w:val="Obyčajný text Char1191"/>
    <w:aliases w:val="Obyčajný text Char Char Char Char1192"/>
    <w:uiPriority w:val="99"/>
    <w:semiHidden/>
    <w:rsid w:val="00A809E7"/>
    <w:rPr>
      <w:rFonts w:ascii="Courier New" w:hAnsi="Courier New"/>
      <w:lang w:val="x-none" w:eastAsia="cs-CZ"/>
    </w:rPr>
  </w:style>
  <w:style w:type="character" w:customStyle="1" w:styleId="ObyajntextChar1190">
    <w:name w:val="Obyčajný text Char1190"/>
    <w:aliases w:val="Obyčajný text Char Char Char Char1191"/>
    <w:uiPriority w:val="99"/>
    <w:semiHidden/>
    <w:rsid w:val="00A809E7"/>
    <w:rPr>
      <w:rFonts w:ascii="Courier New" w:hAnsi="Courier New"/>
      <w:lang w:val="x-none" w:eastAsia="cs-CZ"/>
    </w:rPr>
  </w:style>
  <w:style w:type="character" w:customStyle="1" w:styleId="ObyajntextChar1189">
    <w:name w:val="Obyčajný text Char1189"/>
    <w:aliases w:val="Obyčajný text Char Char Char Char1190"/>
    <w:uiPriority w:val="99"/>
    <w:semiHidden/>
    <w:rsid w:val="00A809E7"/>
    <w:rPr>
      <w:rFonts w:ascii="Courier New" w:hAnsi="Courier New"/>
      <w:lang w:val="x-none" w:eastAsia="cs-CZ"/>
    </w:rPr>
  </w:style>
  <w:style w:type="character" w:customStyle="1" w:styleId="ObyajntextChar1188">
    <w:name w:val="Obyčajný text Char1188"/>
    <w:aliases w:val="Obyčajný text Char Char Char Char1189"/>
    <w:uiPriority w:val="99"/>
    <w:semiHidden/>
    <w:rsid w:val="00A809E7"/>
    <w:rPr>
      <w:rFonts w:ascii="Courier New" w:hAnsi="Courier New"/>
      <w:lang w:val="x-none" w:eastAsia="cs-CZ"/>
    </w:rPr>
  </w:style>
  <w:style w:type="character" w:customStyle="1" w:styleId="ObyajntextChar1187">
    <w:name w:val="Obyčajný text Char1187"/>
    <w:aliases w:val="Obyčajný text Char Char Char Char1188"/>
    <w:uiPriority w:val="99"/>
    <w:semiHidden/>
    <w:rsid w:val="00A809E7"/>
    <w:rPr>
      <w:rFonts w:ascii="Courier New" w:hAnsi="Courier New"/>
      <w:lang w:val="x-none" w:eastAsia="cs-CZ"/>
    </w:rPr>
  </w:style>
  <w:style w:type="character" w:customStyle="1" w:styleId="ObyajntextChar1186">
    <w:name w:val="Obyčajný text Char1186"/>
    <w:aliases w:val="Obyčajný text Char Char Char Char1187"/>
    <w:uiPriority w:val="99"/>
    <w:semiHidden/>
    <w:rsid w:val="00A809E7"/>
    <w:rPr>
      <w:rFonts w:ascii="Courier New" w:hAnsi="Courier New"/>
      <w:lang w:val="x-none" w:eastAsia="cs-CZ"/>
    </w:rPr>
  </w:style>
  <w:style w:type="character" w:customStyle="1" w:styleId="ObyajntextChar1185">
    <w:name w:val="Obyčajný text Char1185"/>
    <w:aliases w:val="Obyčajný text Char Char Char Char1186"/>
    <w:uiPriority w:val="99"/>
    <w:semiHidden/>
    <w:rsid w:val="00A809E7"/>
    <w:rPr>
      <w:rFonts w:ascii="Courier New" w:hAnsi="Courier New"/>
      <w:lang w:val="x-none" w:eastAsia="cs-CZ"/>
    </w:rPr>
  </w:style>
  <w:style w:type="character" w:customStyle="1" w:styleId="ObyajntextChar1184">
    <w:name w:val="Obyčajný text Char1184"/>
    <w:aliases w:val="Obyčajný text Char Char Char Char1185"/>
    <w:uiPriority w:val="99"/>
    <w:semiHidden/>
    <w:rsid w:val="00A809E7"/>
    <w:rPr>
      <w:rFonts w:ascii="Courier New" w:hAnsi="Courier New"/>
      <w:lang w:val="x-none" w:eastAsia="cs-CZ"/>
    </w:rPr>
  </w:style>
  <w:style w:type="character" w:customStyle="1" w:styleId="ObyajntextChar1183">
    <w:name w:val="Obyčajný text Char1183"/>
    <w:aliases w:val="Obyčajný text Char Char Char Char1184"/>
    <w:uiPriority w:val="99"/>
    <w:semiHidden/>
    <w:rsid w:val="00A809E7"/>
    <w:rPr>
      <w:rFonts w:ascii="Courier New" w:hAnsi="Courier New"/>
      <w:lang w:val="x-none" w:eastAsia="cs-CZ"/>
    </w:rPr>
  </w:style>
  <w:style w:type="character" w:customStyle="1" w:styleId="ObyajntextChar1182">
    <w:name w:val="Obyčajný text Char1182"/>
    <w:aliases w:val="Obyčajný text Char Char Char Char1183"/>
    <w:uiPriority w:val="99"/>
    <w:semiHidden/>
    <w:rsid w:val="00A809E7"/>
    <w:rPr>
      <w:rFonts w:ascii="Courier New" w:hAnsi="Courier New"/>
      <w:lang w:val="x-none" w:eastAsia="cs-CZ"/>
    </w:rPr>
  </w:style>
  <w:style w:type="character" w:customStyle="1" w:styleId="ObyajntextChar1181">
    <w:name w:val="Obyčajný text Char1181"/>
    <w:aliases w:val="Obyčajný text Char Char Char Char1182"/>
    <w:uiPriority w:val="99"/>
    <w:semiHidden/>
    <w:rsid w:val="00A809E7"/>
    <w:rPr>
      <w:rFonts w:ascii="Courier New" w:hAnsi="Courier New"/>
      <w:lang w:val="x-none" w:eastAsia="cs-CZ"/>
    </w:rPr>
  </w:style>
  <w:style w:type="character" w:customStyle="1" w:styleId="ObyajntextChar1180">
    <w:name w:val="Obyčajný text Char1180"/>
    <w:aliases w:val="Obyčajný text Char Char Char Char1181"/>
    <w:uiPriority w:val="99"/>
    <w:semiHidden/>
    <w:rsid w:val="00A809E7"/>
    <w:rPr>
      <w:rFonts w:ascii="Courier New" w:hAnsi="Courier New"/>
      <w:lang w:val="x-none" w:eastAsia="cs-CZ"/>
    </w:rPr>
  </w:style>
  <w:style w:type="character" w:customStyle="1" w:styleId="ObyajntextChar1179">
    <w:name w:val="Obyčajný text Char1179"/>
    <w:aliases w:val="Obyčajný text Char Char Char Char1180"/>
    <w:uiPriority w:val="99"/>
    <w:semiHidden/>
    <w:rsid w:val="00A809E7"/>
    <w:rPr>
      <w:rFonts w:ascii="Courier New" w:hAnsi="Courier New"/>
      <w:lang w:val="x-none" w:eastAsia="cs-CZ"/>
    </w:rPr>
  </w:style>
  <w:style w:type="character" w:customStyle="1" w:styleId="ObyajntextChar1178">
    <w:name w:val="Obyčajný text Char1178"/>
    <w:aliases w:val="Obyčajný text Char Char Char Char1179"/>
    <w:uiPriority w:val="99"/>
    <w:semiHidden/>
    <w:rsid w:val="00A809E7"/>
    <w:rPr>
      <w:rFonts w:ascii="Courier New" w:hAnsi="Courier New"/>
      <w:lang w:val="x-none" w:eastAsia="cs-CZ"/>
    </w:rPr>
  </w:style>
  <w:style w:type="character" w:customStyle="1" w:styleId="ObyajntextChar1177">
    <w:name w:val="Obyčajný text Char1177"/>
    <w:aliases w:val="Obyčajný text Char Char Char Char1178"/>
    <w:uiPriority w:val="99"/>
    <w:semiHidden/>
    <w:rsid w:val="00A809E7"/>
    <w:rPr>
      <w:rFonts w:ascii="Courier New" w:hAnsi="Courier New"/>
      <w:lang w:val="x-none" w:eastAsia="cs-CZ"/>
    </w:rPr>
  </w:style>
  <w:style w:type="character" w:customStyle="1" w:styleId="ObyajntextChar1176">
    <w:name w:val="Obyčajný text Char1176"/>
    <w:aliases w:val="Obyčajný text Char Char Char Char1177"/>
    <w:uiPriority w:val="99"/>
    <w:semiHidden/>
    <w:rsid w:val="00A809E7"/>
    <w:rPr>
      <w:rFonts w:ascii="Courier New" w:hAnsi="Courier New"/>
      <w:lang w:val="x-none" w:eastAsia="cs-CZ"/>
    </w:rPr>
  </w:style>
  <w:style w:type="character" w:customStyle="1" w:styleId="ObyajntextChar1175">
    <w:name w:val="Obyčajný text Char1175"/>
    <w:aliases w:val="Obyčajný text Char Char Char Char1176"/>
    <w:uiPriority w:val="99"/>
    <w:semiHidden/>
    <w:rsid w:val="00A809E7"/>
    <w:rPr>
      <w:rFonts w:ascii="Courier New" w:hAnsi="Courier New"/>
      <w:lang w:val="x-none" w:eastAsia="cs-CZ"/>
    </w:rPr>
  </w:style>
  <w:style w:type="character" w:customStyle="1" w:styleId="ObyajntextChar1174">
    <w:name w:val="Obyčajný text Char1174"/>
    <w:aliases w:val="Obyčajný text Char Char Char Char1175"/>
    <w:uiPriority w:val="99"/>
    <w:semiHidden/>
    <w:rsid w:val="00A809E7"/>
    <w:rPr>
      <w:rFonts w:ascii="Courier New" w:hAnsi="Courier New"/>
      <w:lang w:val="x-none" w:eastAsia="cs-CZ"/>
    </w:rPr>
  </w:style>
  <w:style w:type="character" w:customStyle="1" w:styleId="ObyajntextChar1173">
    <w:name w:val="Obyčajný text Char1173"/>
    <w:aliases w:val="Obyčajný text Char Char Char Char1174"/>
    <w:uiPriority w:val="99"/>
    <w:semiHidden/>
    <w:rsid w:val="00A809E7"/>
    <w:rPr>
      <w:rFonts w:ascii="Courier New" w:hAnsi="Courier New"/>
      <w:lang w:val="x-none" w:eastAsia="cs-CZ"/>
    </w:rPr>
  </w:style>
  <w:style w:type="character" w:customStyle="1" w:styleId="ObyajntextChar1172">
    <w:name w:val="Obyčajný text Char1172"/>
    <w:aliases w:val="Obyčajný text Char Char Char Char1173"/>
    <w:uiPriority w:val="99"/>
    <w:semiHidden/>
    <w:rsid w:val="00A809E7"/>
    <w:rPr>
      <w:rFonts w:ascii="Courier New" w:hAnsi="Courier New"/>
      <w:lang w:val="x-none" w:eastAsia="cs-CZ"/>
    </w:rPr>
  </w:style>
  <w:style w:type="character" w:customStyle="1" w:styleId="ObyajntextChar1171">
    <w:name w:val="Obyčajný text Char1171"/>
    <w:aliases w:val="Obyčajný text Char Char Char Char1172"/>
    <w:uiPriority w:val="99"/>
    <w:semiHidden/>
    <w:rsid w:val="00A809E7"/>
    <w:rPr>
      <w:rFonts w:ascii="Courier New" w:hAnsi="Courier New"/>
      <w:lang w:val="x-none" w:eastAsia="cs-CZ"/>
    </w:rPr>
  </w:style>
  <w:style w:type="character" w:customStyle="1" w:styleId="ObyajntextChar1165">
    <w:name w:val="Obyčajný text Char1165"/>
    <w:aliases w:val="Obyčajný text Char Char Char Char1166"/>
    <w:uiPriority w:val="99"/>
    <w:semiHidden/>
    <w:rsid w:val="00A809E7"/>
    <w:rPr>
      <w:rFonts w:ascii="Courier New" w:hAnsi="Courier New"/>
      <w:lang w:val="x-none" w:eastAsia="cs-CZ"/>
    </w:rPr>
  </w:style>
  <w:style w:type="character" w:customStyle="1" w:styleId="ObyajntextChar1164">
    <w:name w:val="Obyčajný text Char1164"/>
    <w:aliases w:val="Obyčajný text Char Char Char Char1165"/>
    <w:uiPriority w:val="99"/>
    <w:semiHidden/>
    <w:rsid w:val="00A809E7"/>
    <w:rPr>
      <w:rFonts w:ascii="Courier New" w:hAnsi="Courier New"/>
      <w:lang w:val="x-none" w:eastAsia="cs-CZ"/>
    </w:rPr>
  </w:style>
  <w:style w:type="character" w:customStyle="1" w:styleId="ObyajntextChar1163">
    <w:name w:val="Obyčajný text Char1163"/>
    <w:aliases w:val="Obyčajný text Char Char Char Char1164"/>
    <w:uiPriority w:val="99"/>
    <w:semiHidden/>
    <w:rsid w:val="00A809E7"/>
    <w:rPr>
      <w:rFonts w:ascii="Courier New" w:hAnsi="Courier New"/>
      <w:lang w:val="x-none" w:eastAsia="cs-CZ"/>
    </w:rPr>
  </w:style>
  <w:style w:type="character" w:customStyle="1" w:styleId="ObyajntextChar1162">
    <w:name w:val="Obyčajný text Char1162"/>
    <w:aliases w:val="Obyčajný text Char Char Char Char1163"/>
    <w:uiPriority w:val="99"/>
    <w:semiHidden/>
    <w:rsid w:val="00A809E7"/>
    <w:rPr>
      <w:rFonts w:ascii="Courier New" w:hAnsi="Courier New"/>
      <w:lang w:val="x-none" w:eastAsia="cs-CZ"/>
    </w:rPr>
  </w:style>
  <w:style w:type="character" w:customStyle="1" w:styleId="ObyajntextChar1161">
    <w:name w:val="Obyčajný text Char1161"/>
    <w:aliases w:val="Obyčajný text Char Char Char Char1162"/>
    <w:uiPriority w:val="99"/>
    <w:semiHidden/>
    <w:rsid w:val="00A809E7"/>
    <w:rPr>
      <w:rFonts w:ascii="Courier New" w:hAnsi="Courier New"/>
      <w:lang w:val="x-none" w:eastAsia="cs-CZ"/>
    </w:rPr>
  </w:style>
  <w:style w:type="character" w:customStyle="1" w:styleId="ObyajntextChar1160">
    <w:name w:val="Obyčajný text Char1160"/>
    <w:aliases w:val="Obyčajný text Char Char Char Char1161"/>
    <w:uiPriority w:val="99"/>
    <w:semiHidden/>
    <w:rsid w:val="00A809E7"/>
    <w:rPr>
      <w:rFonts w:ascii="Courier New" w:hAnsi="Courier New"/>
      <w:lang w:val="x-none" w:eastAsia="cs-CZ"/>
    </w:rPr>
  </w:style>
  <w:style w:type="character" w:customStyle="1" w:styleId="ObyajntextChar1159">
    <w:name w:val="Obyčajný text Char1159"/>
    <w:aliases w:val="Obyčajný text Char Char Char Char1160"/>
    <w:uiPriority w:val="99"/>
    <w:semiHidden/>
    <w:rsid w:val="00A809E7"/>
    <w:rPr>
      <w:rFonts w:ascii="Courier New" w:hAnsi="Courier New"/>
      <w:lang w:val="x-none" w:eastAsia="cs-CZ"/>
    </w:rPr>
  </w:style>
  <w:style w:type="character" w:customStyle="1" w:styleId="ObyajntextChar1158">
    <w:name w:val="Obyčajný text Char1158"/>
    <w:aliases w:val="Obyčajný text Char Char Char Char1159"/>
    <w:uiPriority w:val="99"/>
    <w:semiHidden/>
    <w:rsid w:val="00A809E7"/>
    <w:rPr>
      <w:rFonts w:ascii="Courier New" w:hAnsi="Courier New"/>
      <w:lang w:val="x-none" w:eastAsia="cs-CZ"/>
    </w:rPr>
  </w:style>
  <w:style w:type="character" w:customStyle="1" w:styleId="ObyajntextChar1157">
    <w:name w:val="Obyčajný text Char1157"/>
    <w:aliases w:val="Obyčajný text Char Char Char Char1158"/>
    <w:uiPriority w:val="99"/>
    <w:semiHidden/>
    <w:rsid w:val="00A809E7"/>
    <w:rPr>
      <w:rFonts w:ascii="Courier New" w:hAnsi="Courier New"/>
      <w:lang w:val="x-none" w:eastAsia="cs-CZ"/>
    </w:rPr>
  </w:style>
  <w:style w:type="character" w:customStyle="1" w:styleId="ObyajntextChar1156">
    <w:name w:val="Obyčajný text Char1156"/>
    <w:aliases w:val="Obyčajný text Char Char Char Char1157"/>
    <w:uiPriority w:val="99"/>
    <w:semiHidden/>
    <w:rsid w:val="00A809E7"/>
    <w:rPr>
      <w:rFonts w:ascii="Courier New" w:hAnsi="Courier New"/>
      <w:lang w:val="x-none" w:eastAsia="cs-CZ"/>
    </w:rPr>
  </w:style>
  <w:style w:type="character" w:customStyle="1" w:styleId="ObyajntextChar1155">
    <w:name w:val="Obyčajný text Char1155"/>
    <w:aliases w:val="Obyčajný text Char Char Char Char1156"/>
    <w:uiPriority w:val="99"/>
    <w:semiHidden/>
    <w:rsid w:val="00A809E7"/>
    <w:rPr>
      <w:rFonts w:ascii="Courier New" w:hAnsi="Courier New"/>
      <w:lang w:val="x-none" w:eastAsia="cs-CZ"/>
    </w:rPr>
  </w:style>
  <w:style w:type="character" w:customStyle="1" w:styleId="ObyajntextChar1154">
    <w:name w:val="Obyčajný text Char1154"/>
    <w:aliases w:val="Obyčajný text Char Char Char Char1155"/>
    <w:uiPriority w:val="99"/>
    <w:semiHidden/>
    <w:rsid w:val="00A809E7"/>
    <w:rPr>
      <w:rFonts w:ascii="Courier New" w:hAnsi="Courier New"/>
      <w:lang w:val="x-none" w:eastAsia="cs-CZ"/>
    </w:rPr>
  </w:style>
  <w:style w:type="character" w:customStyle="1" w:styleId="ObyajntextChar1153">
    <w:name w:val="Obyčajný text Char1153"/>
    <w:aliases w:val="Obyčajný text Char Char Char Char1154"/>
    <w:uiPriority w:val="99"/>
    <w:semiHidden/>
    <w:rsid w:val="00A809E7"/>
    <w:rPr>
      <w:rFonts w:ascii="Courier New" w:hAnsi="Courier New"/>
      <w:lang w:val="x-none" w:eastAsia="cs-CZ"/>
    </w:rPr>
  </w:style>
  <w:style w:type="character" w:customStyle="1" w:styleId="ObyajntextChar1152">
    <w:name w:val="Obyčajný text Char1152"/>
    <w:aliases w:val="Obyčajný text Char Char Char Char1153"/>
    <w:uiPriority w:val="99"/>
    <w:semiHidden/>
    <w:rsid w:val="00A809E7"/>
    <w:rPr>
      <w:rFonts w:ascii="Courier New" w:hAnsi="Courier New"/>
      <w:lang w:val="x-none" w:eastAsia="cs-CZ"/>
    </w:rPr>
  </w:style>
  <w:style w:type="character" w:customStyle="1" w:styleId="ObyajntextChar1151">
    <w:name w:val="Obyčajný text Char1151"/>
    <w:aliases w:val="Obyčajný text Char Char Char Char1152"/>
    <w:uiPriority w:val="99"/>
    <w:semiHidden/>
    <w:rsid w:val="00A809E7"/>
    <w:rPr>
      <w:rFonts w:ascii="Courier New" w:hAnsi="Courier New"/>
      <w:lang w:val="x-none" w:eastAsia="cs-CZ"/>
    </w:rPr>
  </w:style>
  <w:style w:type="character" w:customStyle="1" w:styleId="ObyajntextChar1150">
    <w:name w:val="Obyčajný text Char1150"/>
    <w:aliases w:val="Obyčajný text Char Char Char Char1151"/>
    <w:uiPriority w:val="99"/>
    <w:semiHidden/>
    <w:rsid w:val="00A809E7"/>
    <w:rPr>
      <w:rFonts w:ascii="Courier New" w:hAnsi="Courier New"/>
      <w:lang w:val="x-none" w:eastAsia="cs-CZ"/>
    </w:rPr>
  </w:style>
  <w:style w:type="character" w:customStyle="1" w:styleId="ObyajntextChar1149">
    <w:name w:val="Obyčajný text Char1149"/>
    <w:aliases w:val="Obyčajný text Char Char Char Char1150"/>
    <w:uiPriority w:val="99"/>
    <w:semiHidden/>
    <w:rsid w:val="00A809E7"/>
    <w:rPr>
      <w:rFonts w:ascii="Courier New" w:hAnsi="Courier New"/>
      <w:lang w:val="x-none" w:eastAsia="cs-CZ"/>
    </w:rPr>
  </w:style>
  <w:style w:type="character" w:customStyle="1" w:styleId="ObyajntextChar1148">
    <w:name w:val="Obyčajný text Char1148"/>
    <w:aliases w:val="Obyčajný text Char Char Char Char1149"/>
    <w:uiPriority w:val="99"/>
    <w:semiHidden/>
    <w:rsid w:val="00A809E7"/>
    <w:rPr>
      <w:rFonts w:ascii="Courier New" w:hAnsi="Courier New"/>
      <w:lang w:val="x-none" w:eastAsia="cs-CZ"/>
    </w:rPr>
  </w:style>
  <w:style w:type="character" w:customStyle="1" w:styleId="ObyajntextChar1147">
    <w:name w:val="Obyčajný text Char1147"/>
    <w:aliases w:val="Obyčajný text Char Char Char Char1148"/>
    <w:uiPriority w:val="99"/>
    <w:semiHidden/>
    <w:rsid w:val="00A809E7"/>
    <w:rPr>
      <w:rFonts w:ascii="Courier New" w:hAnsi="Courier New"/>
      <w:lang w:val="x-none" w:eastAsia="cs-CZ"/>
    </w:rPr>
  </w:style>
  <w:style w:type="character" w:customStyle="1" w:styleId="ObyajntextChar1146">
    <w:name w:val="Obyčajný text Char1146"/>
    <w:aliases w:val="Obyčajný text Char Char Char Char1147"/>
    <w:uiPriority w:val="99"/>
    <w:semiHidden/>
    <w:rsid w:val="00A809E7"/>
    <w:rPr>
      <w:rFonts w:ascii="Courier New" w:hAnsi="Courier New"/>
      <w:lang w:val="x-none" w:eastAsia="cs-CZ"/>
    </w:rPr>
  </w:style>
  <w:style w:type="character" w:customStyle="1" w:styleId="ObyajntextChar1145">
    <w:name w:val="Obyčajný text Char1145"/>
    <w:aliases w:val="Obyčajný text Char Char Char Char1146"/>
    <w:uiPriority w:val="99"/>
    <w:semiHidden/>
    <w:rsid w:val="00A809E7"/>
    <w:rPr>
      <w:rFonts w:ascii="Courier New" w:hAnsi="Courier New"/>
      <w:lang w:val="x-none" w:eastAsia="cs-CZ"/>
    </w:rPr>
  </w:style>
  <w:style w:type="character" w:customStyle="1" w:styleId="ObyajntextChar1144">
    <w:name w:val="Obyčajný text Char1144"/>
    <w:aliases w:val="Obyčajný text Char Char Char Char1145"/>
    <w:uiPriority w:val="99"/>
    <w:semiHidden/>
    <w:rsid w:val="00A809E7"/>
    <w:rPr>
      <w:rFonts w:ascii="Courier New" w:hAnsi="Courier New"/>
      <w:lang w:val="x-none" w:eastAsia="cs-CZ"/>
    </w:rPr>
  </w:style>
  <w:style w:type="character" w:customStyle="1" w:styleId="ObyajntextChar1143">
    <w:name w:val="Obyčajný text Char1143"/>
    <w:aliases w:val="Obyčajný text Char Char Char Char1144"/>
    <w:uiPriority w:val="99"/>
    <w:semiHidden/>
    <w:rsid w:val="00A809E7"/>
    <w:rPr>
      <w:rFonts w:ascii="Courier New" w:hAnsi="Courier New"/>
      <w:lang w:val="x-none" w:eastAsia="cs-CZ"/>
    </w:rPr>
  </w:style>
  <w:style w:type="character" w:customStyle="1" w:styleId="ObyajntextChar1142">
    <w:name w:val="Obyčajný text Char1142"/>
    <w:aliases w:val="Obyčajný text Char Char Char Char1143"/>
    <w:uiPriority w:val="99"/>
    <w:semiHidden/>
    <w:rsid w:val="00A809E7"/>
    <w:rPr>
      <w:rFonts w:ascii="Courier New" w:hAnsi="Courier New"/>
      <w:lang w:val="x-none" w:eastAsia="cs-CZ"/>
    </w:rPr>
  </w:style>
  <w:style w:type="character" w:customStyle="1" w:styleId="ObyajntextChar1141">
    <w:name w:val="Obyčajný text Char1141"/>
    <w:aliases w:val="Obyčajný text Char Char Char Char1142"/>
    <w:uiPriority w:val="99"/>
    <w:semiHidden/>
    <w:rsid w:val="00A809E7"/>
    <w:rPr>
      <w:rFonts w:ascii="Courier New" w:hAnsi="Courier New"/>
      <w:lang w:val="x-none" w:eastAsia="cs-CZ"/>
    </w:rPr>
  </w:style>
  <w:style w:type="character" w:customStyle="1" w:styleId="ObyajntextChar1140">
    <w:name w:val="Obyčajný text Char1140"/>
    <w:aliases w:val="Obyčajný text Char Char Char Char1141"/>
    <w:uiPriority w:val="99"/>
    <w:semiHidden/>
    <w:rsid w:val="00A809E7"/>
    <w:rPr>
      <w:rFonts w:ascii="Courier New" w:hAnsi="Courier New"/>
      <w:lang w:val="x-none" w:eastAsia="cs-CZ"/>
    </w:rPr>
  </w:style>
  <w:style w:type="character" w:customStyle="1" w:styleId="ObyajntextChar1139">
    <w:name w:val="Obyčajný text Char1139"/>
    <w:aliases w:val="Obyčajný text Char Char Char Char1140"/>
    <w:uiPriority w:val="99"/>
    <w:semiHidden/>
    <w:rsid w:val="00A809E7"/>
    <w:rPr>
      <w:rFonts w:ascii="Courier New" w:hAnsi="Courier New"/>
      <w:lang w:val="x-none" w:eastAsia="cs-CZ"/>
    </w:rPr>
  </w:style>
  <w:style w:type="character" w:customStyle="1" w:styleId="ObyajntextChar1138">
    <w:name w:val="Obyčajný text Char1138"/>
    <w:aliases w:val="Obyčajný text Char Char Char Char1139"/>
    <w:uiPriority w:val="99"/>
    <w:semiHidden/>
    <w:rsid w:val="00A809E7"/>
    <w:rPr>
      <w:rFonts w:ascii="Courier New" w:hAnsi="Courier New"/>
      <w:lang w:val="x-none" w:eastAsia="cs-CZ"/>
    </w:rPr>
  </w:style>
  <w:style w:type="character" w:customStyle="1" w:styleId="ObyajntextChar1137">
    <w:name w:val="Obyčajný text Char1137"/>
    <w:aliases w:val="Obyčajný text Char Char Char Char1138"/>
    <w:uiPriority w:val="99"/>
    <w:semiHidden/>
    <w:rsid w:val="00A809E7"/>
    <w:rPr>
      <w:rFonts w:ascii="Courier New" w:hAnsi="Courier New"/>
      <w:lang w:val="x-none" w:eastAsia="cs-CZ"/>
    </w:rPr>
  </w:style>
  <w:style w:type="character" w:customStyle="1" w:styleId="ObyajntextChar1136">
    <w:name w:val="Obyčajný text Char1136"/>
    <w:aliases w:val="Obyčajný text Char Char Char Char1137"/>
    <w:uiPriority w:val="99"/>
    <w:semiHidden/>
    <w:rsid w:val="00A809E7"/>
    <w:rPr>
      <w:rFonts w:ascii="Courier New" w:hAnsi="Courier New"/>
      <w:lang w:val="x-none" w:eastAsia="cs-CZ"/>
    </w:rPr>
  </w:style>
  <w:style w:type="character" w:customStyle="1" w:styleId="ObyajntextChar1135">
    <w:name w:val="Obyčajný text Char1135"/>
    <w:aliases w:val="Obyčajný text Char Char Char Char1136"/>
    <w:uiPriority w:val="99"/>
    <w:semiHidden/>
    <w:rsid w:val="00A809E7"/>
    <w:rPr>
      <w:rFonts w:ascii="Courier New" w:hAnsi="Courier New"/>
      <w:lang w:val="x-none" w:eastAsia="cs-CZ"/>
    </w:rPr>
  </w:style>
  <w:style w:type="character" w:customStyle="1" w:styleId="ObyajntextChar1134">
    <w:name w:val="Obyčajný text Char1134"/>
    <w:aliases w:val="Obyčajný text Char Char Char Char1135"/>
    <w:uiPriority w:val="99"/>
    <w:semiHidden/>
    <w:rsid w:val="00A809E7"/>
    <w:rPr>
      <w:rFonts w:ascii="Courier New" w:hAnsi="Courier New"/>
      <w:lang w:val="x-none" w:eastAsia="cs-CZ"/>
    </w:rPr>
  </w:style>
  <w:style w:type="character" w:customStyle="1" w:styleId="ObyajntextChar1133">
    <w:name w:val="Obyčajný text Char1133"/>
    <w:aliases w:val="Obyčajný text Char Char Char Char1134"/>
    <w:uiPriority w:val="99"/>
    <w:semiHidden/>
    <w:rsid w:val="00A809E7"/>
    <w:rPr>
      <w:rFonts w:ascii="Courier New" w:hAnsi="Courier New"/>
      <w:lang w:val="x-none" w:eastAsia="cs-CZ"/>
    </w:rPr>
  </w:style>
  <w:style w:type="character" w:customStyle="1" w:styleId="ObyajntextChar1132">
    <w:name w:val="Obyčajný text Char1132"/>
    <w:aliases w:val="Obyčajný text Char Char Char Char1133"/>
    <w:uiPriority w:val="99"/>
    <w:semiHidden/>
    <w:rsid w:val="00A809E7"/>
    <w:rPr>
      <w:rFonts w:ascii="Courier New" w:hAnsi="Courier New"/>
      <w:lang w:val="x-none" w:eastAsia="cs-CZ"/>
    </w:rPr>
  </w:style>
  <w:style w:type="character" w:customStyle="1" w:styleId="ObyajntextChar1131">
    <w:name w:val="Obyčajný text Char1131"/>
    <w:aliases w:val="Obyčajný text Char Char Char Char1132"/>
    <w:uiPriority w:val="99"/>
    <w:semiHidden/>
    <w:rsid w:val="00A809E7"/>
    <w:rPr>
      <w:rFonts w:ascii="Courier New" w:hAnsi="Courier New"/>
      <w:lang w:val="x-none" w:eastAsia="cs-CZ"/>
    </w:rPr>
  </w:style>
  <w:style w:type="character" w:customStyle="1" w:styleId="ObyajntextChar1130">
    <w:name w:val="Obyčajný text Char1130"/>
    <w:aliases w:val="Obyčajný text Char Char Char Char1131"/>
    <w:uiPriority w:val="99"/>
    <w:semiHidden/>
    <w:rsid w:val="00A809E7"/>
    <w:rPr>
      <w:rFonts w:ascii="Courier New" w:hAnsi="Courier New"/>
      <w:lang w:val="x-none" w:eastAsia="cs-CZ"/>
    </w:rPr>
  </w:style>
  <w:style w:type="character" w:customStyle="1" w:styleId="ObyajntextChar1129">
    <w:name w:val="Obyčajný text Char1129"/>
    <w:aliases w:val="Obyčajný text Char Char Char Char1130"/>
    <w:uiPriority w:val="99"/>
    <w:semiHidden/>
    <w:rsid w:val="00A809E7"/>
    <w:rPr>
      <w:rFonts w:ascii="Courier New" w:hAnsi="Courier New"/>
      <w:lang w:val="x-none" w:eastAsia="cs-CZ"/>
    </w:rPr>
  </w:style>
  <w:style w:type="character" w:customStyle="1" w:styleId="ObyajntextChar1128">
    <w:name w:val="Obyčajný text Char1128"/>
    <w:aliases w:val="Obyčajný text Char Char Char Char1129"/>
    <w:uiPriority w:val="99"/>
    <w:semiHidden/>
    <w:rsid w:val="00A809E7"/>
    <w:rPr>
      <w:rFonts w:ascii="Courier New" w:hAnsi="Courier New"/>
      <w:lang w:val="x-none" w:eastAsia="cs-CZ"/>
    </w:rPr>
  </w:style>
  <w:style w:type="character" w:customStyle="1" w:styleId="ObyajntextChar1127">
    <w:name w:val="Obyčajný text Char1127"/>
    <w:aliases w:val="Obyčajný text Char Char Char Char1128"/>
    <w:uiPriority w:val="99"/>
    <w:semiHidden/>
    <w:rsid w:val="00A809E7"/>
    <w:rPr>
      <w:rFonts w:ascii="Courier New" w:hAnsi="Courier New"/>
      <w:lang w:val="x-none" w:eastAsia="cs-CZ"/>
    </w:rPr>
  </w:style>
  <w:style w:type="character" w:customStyle="1" w:styleId="ObyajntextChar1126">
    <w:name w:val="Obyčajný text Char1126"/>
    <w:aliases w:val="Obyčajný text Char Char Char Char1127"/>
    <w:uiPriority w:val="99"/>
    <w:semiHidden/>
    <w:rsid w:val="00A809E7"/>
    <w:rPr>
      <w:rFonts w:ascii="Courier New" w:hAnsi="Courier New"/>
      <w:lang w:val="x-none" w:eastAsia="cs-CZ"/>
    </w:rPr>
  </w:style>
  <w:style w:type="character" w:customStyle="1" w:styleId="ObyajntextChar1125">
    <w:name w:val="Obyčajný text Char1125"/>
    <w:aliases w:val="Obyčajný text Char Char Char Char1126"/>
    <w:uiPriority w:val="99"/>
    <w:semiHidden/>
    <w:rsid w:val="00A809E7"/>
    <w:rPr>
      <w:rFonts w:ascii="Courier New" w:hAnsi="Courier New"/>
      <w:lang w:val="x-none" w:eastAsia="cs-CZ"/>
    </w:rPr>
  </w:style>
  <w:style w:type="character" w:customStyle="1" w:styleId="ObyajntextChar1124">
    <w:name w:val="Obyčajný text Char1124"/>
    <w:aliases w:val="Obyčajný text Char Char Char Char1125"/>
    <w:uiPriority w:val="99"/>
    <w:semiHidden/>
    <w:rsid w:val="00A809E7"/>
    <w:rPr>
      <w:rFonts w:ascii="Courier New" w:hAnsi="Courier New"/>
      <w:lang w:val="x-none" w:eastAsia="cs-CZ"/>
    </w:rPr>
  </w:style>
  <w:style w:type="character" w:customStyle="1" w:styleId="ObyajntextChar1123">
    <w:name w:val="Obyčajný text Char1123"/>
    <w:aliases w:val="Obyčajný text Char Char Char Char1124"/>
    <w:uiPriority w:val="99"/>
    <w:semiHidden/>
    <w:rsid w:val="00A809E7"/>
    <w:rPr>
      <w:rFonts w:ascii="Courier New" w:hAnsi="Courier New"/>
      <w:lang w:val="x-none" w:eastAsia="cs-CZ"/>
    </w:rPr>
  </w:style>
  <w:style w:type="character" w:customStyle="1" w:styleId="ObyajntextChar1122">
    <w:name w:val="Obyčajný text Char1122"/>
    <w:aliases w:val="Obyčajný text Char Char Char Char1123"/>
    <w:uiPriority w:val="99"/>
    <w:semiHidden/>
    <w:rsid w:val="00A809E7"/>
    <w:rPr>
      <w:rFonts w:ascii="Courier New" w:hAnsi="Courier New"/>
      <w:lang w:val="x-none" w:eastAsia="cs-CZ"/>
    </w:rPr>
  </w:style>
  <w:style w:type="character" w:customStyle="1" w:styleId="ObyajntextChar1121">
    <w:name w:val="Obyčajný text Char1121"/>
    <w:aliases w:val="Obyčajný text Char Char Char Char1122"/>
    <w:uiPriority w:val="99"/>
    <w:semiHidden/>
    <w:rsid w:val="00A809E7"/>
    <w:rPr>
      <w:rFonts w:ascii="Courier New" w:hAnsi="Courier New"/>
      <w:lang w:val="x-none" w:eastAsia="cs-CZ"/>
    </w:rPr>
  </w:style>
  <w:style w:type="character" w:customStyle="1" w:styleId="ObyajntextChar1120">
    <w:name w:val="Obyčajný text Char1120"/>
    <w:aliases w:val="Obyčajný text Char Char Char Char1121"/>
    <w:uiPriority w:val="99"/>
    <w:semiHidden/>
    <w:rsid w:val="00A809E7"/>
    <w:rPr>
      <w:rFonts w:ascii="Courier New" w:hAnsi="Courier New"/>
      <w:lang w:val="x-none" w:eastAsia="cs-CZ"/>
    </w:rPr>
  </w:style>
  <w:style w:type="character" w:customStyle="1" w:styleId="ObyajntextChar1119">
    <w:name w:val="Obyčajný text Char1119"/>
    <w:aliases w:val="Obyčajný text Char Char Char Char1120"/>
    <w:uiPriority w:val="99"/>
    <w:semiHidden/>
    <w:rsid w:val="00A809E7"/>
    <w:rPr>
      <w:rFonts w:ascii="Courier New" w:hAnsi="Courier New"/>
      <w:lang w:val="x-none" w:eastAsia="cs-CZ"/>
    </w:rPr>
  </w:style>
  <w:style w:type="character" w:customStyle="1" w:styleId="ObyajntextChar1118">
    <w:name w:val="Obyčajný text Char1118"/>
    <w:aliases w:val="Obyčajný text Char Char Char Char1119"/>
    <w:uiPriority w:val="99"/>
    <w:semiHidden/>
    <w:rsid w:val="00A809E7"/>
    <w:rPr>
      <w:rFonts w:ascii="Courier New" w:hAnsi="Courier New"/>
      <w:lang w:val="x-none" w:eastAsia="cs-CZ"/>
    </w:rPr>
  </w:style>
  <w:style w:type="character" w:customStyle="1" w:styleId="ObyajntextChar1117">
    <w:name w:val="Obyčajný text Char1117"/>
    <w:aliases w:val="Obyčajný text Char Char Char Char1118"/>
    <w:uiPriority w:val="99"/>
    <w:semiHidden/>
    <w:rsid w:val="00A809E7"/>
    <w:rPr>
      <w:rFonts w:ascii="Courier New" w:hAnsi="Courier New"/>
      <w:lang w:val="x-none" w:eastAsia="cs-CZ"/>
    </w:rPr>
  </w:style>
  <w:style w:type="character" w:customStyle="1" w:styleId="ObyajntextChar1116">
    <w:name w:val="Obyčajný text Char1116"/>
    <w:aliases w:val="Obyčajný text Char Char Char Char1117"/>
    <w:uiPriority w:val="99"/>
    <w:semiHidden/>
    <w:rsid w:val="00A809E7"/>
    <w:rPr>
      <w:rFonts w:ascii="Courier New" w:hAnsi="Courier New"/>
      <w:lang w:val="x-none" w:eastAsia="cs-CZ"/>
    </w:rPr>
  </w:style>
  <w:style w:type="character" w:customStyle="1" w:styleId="ObyajntextChar1115">
    <w:name w:val="Obyčajný text Char1115"/>
    <w:aliases w:val="Obyčajný text Char Char Char Char1116"/>
    <w:uiPriority w:val="99"/>
    <w:semiHidden/>
    <w:rsid w:val="00A809E7"/>
    <w:rPr>
      <w:rFonts w:ascii="Courier New" w:hAnsi="Courier New"/>
      <w:lang w:val="x-none" w:eastAsia="cs-CZ"/>
    </w:rPr>
  </w:style>
  <w:style w:type="character" w:customStyle="1" w:styleId="ObyajntextChar1114">
    <w:name w:val="Obyčajný text Char1114"/>
    <w:aliases w:val="Obyčajný text Char Char Char Char1115"/>
    <w:uiPriority w:val="99"/>
    <w:semiHidden/>
    <w:rsid w:val="00A809E7"/>
    <w:rPr>
      <w:rFonts w:ascii="Courier New" w:hAnsi="Courier New"/>
      <w:lang w:val="x-none" w:eastAsia="cs-CZ"/>
    </w:rPr>
  </w:style>
  <w:style w:type="character" w:customStyle="1" w:styleId="ObyajntextChar1113">
    <w:name w:val="Obyčajný text Char1113"/>
    <w:aliases w:val="Obyčajný text Char Char Char Char1114"/>
    <w:uiPriority w:val="99"/>
    <w:semiHidden/>
    <w:rsid w:val="00A809E7"/>
    <w:rPr>
      <w:rFonts w:ascii="Courier New" w:hAnsi="Courier New"/>
      <w:lang w:val="x-none" w:eastAsia="cs-CZ"/>
    </w:rPr>
  </w:style>
  <w:style w:type="character" w:customStyle="1" w:styleId="ObyajntextChar1112">
    <w:name w:val="Obyčajný text Char1112"/>
    <w:aliases w:val="Obyčajný text Char Char Char Char1113"/>
    <w:uiPriority w:val="99"/>
    <w:semiHidden/>
    <w:rsid w:val="00A809E7"/>
    <w:rPr>
      <w:rFonts w:ascii="Courier New" w:hAnsi="Courier New"/>
      <w:lang w:val="x-none" w:eastAsia="cs-CZ"/>
    </w:rPr>
  </w:style>
  <w:style w:type="character" w:customStyle="1" w:styleId="ObyajntextChar1111">
    <w:name w:val="Obyčajný text Char1111"/>
    <w:aliases w:val="Obyčajný text Char Char Char Char1112"/>
    <w:uiPriority w:val="99"/>
    <w:semiHidden/>
    <w:rsid w:val="00A809E7"/>
    <w:rPr>
      <w:rFonts w:ascii="Courier New" w:hAnsi="Courier New"/>
      <w:lang w:val="x-none" w:eastAsia="cs-CZ"/>
    </w:rPr>
  </w:style>
  <w:style w:type="character" w:customStyle="1" w:styleId="ObyajntextChar1110">
    <w:name w:val="Obyčajný text Char1110"/>
    <w:aliases w:val="Obyčajný text Char Char Char Char1111"/>
    <w:uiPriority w:val="99"/>
    <w:semiHidden/>
    <w:rsid w:val="00A809E7"/>
    <w:rPr>
      <w:rFonts w:ascii="Courier New" w:hAnsi="Courier New"/>
      <w:lang w:val="x-none" w:eastAsia="cs-CZ"/>
    </w:rPr>
  </w:style>
  <w:style w:type="character" w:customStyle="1" w:styleId="ObyajntextChar1109">
    <w:name w:val="Obyčajný text Char1109"/>
    <w:aliases w:val="Obyčajný text Char Char Char Char1110"/>
    <w:uiPriority w:val="99"/>
    <w:semiHidden/>
    <w:rsid w:val="00A809E7"/>
    <w:rPr>
      <w:rFonts w:ascii="Courier New" w:hAnsi="Courier New"/>
      <w:lang w:val="x-none" w:eastAsia="cs-CZ"/>
    </w:rPr>
  </w:style>
  <w:style w:type="character" w:customStyle="1" w:styleId="ObyajntextChar1108">
    <w:name w:val="Obyčajný text Char1108"/>
    <w:aliases w:val="Obyčajný text Char Char Char Char1109"/>
    <w:uiPriority w:val="99"/>
    <w:semiHidden/>
    <w:rsid w:val="00A809E7"/>
    <w:rPr>
      <w:rFonts w:ascii="Courier New" w:hAnsi="Courier New"/>
      <w:lang w:val="x-none" w:eastAsia="cs-CZ"/>
    </w:rPr>
  </w:style>
  <w:style w:type="character" w:customStyle="1" w:styleId="ObyajntextChar1107">
    <w:name w:val="Obyčajný text Char1107"/>
    <w:aliases w:val="Obyčajný text Char Char Char Char1108"/>
    <w:uiPriority w:val="99"/>
    <w:semiHidden/>
    <w:rsid w:val="00A809E7"/>
    <w:rPr>
      <w:rFonts w:ascii="Courier New" w:hAnsi="Courier New"/>
      <w:lang w:val="x-none" w:eastAsia="cs-CZ"/>
    </w:rPr>
  </w:style>
  <w:style w:type="character" w:customStyle="1" w:styleId="ObyajntextChar1106">
    <w:name w:val="Obyčajný text Char1106"/>
    <w:aliases w:val="Obyčajný text Char Char Char Char1107"/>
    <w:uiPriority w:val="99"/>
    <w:semiHidden/>
    <w:rsid w:val="00A809E7"/>
    <w:rPr>
      <w:rFonts w:ascii="Courier New" w:hAnsi="Courier New"/>
      <w:lang w:val="x-none" w:eastAsia="cs-CZ"/>
    </w:rPr>
  </w:style>
  <w:style w:type="character" w:customStyle="1" w:styleId="ObyajntextChar1105">
    <w:name w:val="Obyčajný text Char1105"/>
    <w:aliases w:val="Obyčajný text Char Char Char Char1106"/>
    <w:uiPriority w:val="99"/>
    <w:semiHidden/>
    <w:rsid w:val="00A809E7"/>
    <w:rPr>
      <w:rFonts w:ascii="Courier New" w:hAnsi="Courier New"/>
      <w:lang w:val="x-none" w:eastAsia="cs-CZ"/>
    </w:rPr>
  </w:style>
  <w:style w:type="character" w:customStyle="1" w:styleId="ObyajntextChar1104">
    <w:name w:val="Obyčajný text Char1104"/>
    <w:aliases w:val="Obyčajný text Char Char Char Char1105"/>
    <w:uiPriority w:val="99"/>
    <w:semiHidden/>
    <w:rsid w:val="00A809E7"/>
    <w:rPr>
      <w:rFonts w:ascii="Courier New" w:hAnsi="Courier New"/>
      <w:lang w:val="x-none" w:eastAsia="cs-CZ"/>
    </w:rPr>
  </w:style>
  <w:style w:type="character" w:customStyle="1" w:styleId="ObyajntextChar1103">
    <w:name w:val="Obyčajný text Char1103"/>
    <w:aliases w:val="Obyčajný text Char Char Char Char1104"/>
    <w:uiPriority w:val="99"/>
    <w:semiHidden/>
    <w:rsid w:val="00A809E7"/>
    <w:rPr>
      <w:rFonts w:ascii="Courier New" w:hAnsi="Courier New"/>
      <w:lang w:val="x-none" w:eastAsia="cs-CZ"/>
    </w:rPr>
  </w:style>
  <w:style w:type="character" w:customStyle="1" w:styleId="ObyajntextChar1102">
    <w:name w:val="Obyčajný text Char1102"/>
    <w:aliases w:val="Obyčajný text Char Char Char Char1103"/>
    <w:uiPriority w:val="99"/>
    <w:semiHidden/>
    <w:rsid w:val="00A809E7"/>
    <w:rPr>
      <w:rFonts w:ascii="Courier New" w:hAnsi="Courier New"/>
      <w:lang w:val="x-none" w:eastAsia="cs-CZ"/>
    </w:rPr>
  </w:style>
  <w:style w:type="character" w:customStyle="1" w:styleId="ObyajntextChar1101">
    <w:name w:val="Obyčajný text Char1101"/>
    <w:aliases w:val="Obyčajný text Char Char Char Char1102"/>
    <w:uiPriority w:val="99"/>
    <w:semiHidden/>
    <w:rsid w:val="00A809E7"/>
    <w:rPr>
      <w:rFonts w:ascii="Courier New" w:hAnsi="Courier New"/>
      <w:lang w:val="x-none" w:eastAsia="cs-CZ"/>
    </w:rPr>
  </w:style>
  <w:style w:type="character" w:customStyle="1" w:styleId="ObyajntextChar1100">
    <w:name w:val="Obyčajný text Char1100"/>
    <w:aliases w:val="Obyčajný text Char Char Char Char1101"/>
    <w:uiPriority w:val="99"/>
    <w:semiHidden/>
    <w:rsid w:val="00A809E7"/>
    <w:rPr>
      <w:rFonts w:ascii="Courier New" w:hAnsi="Courier New"/>
      <w:lang w:val="x-none" w:eastAsia="cs-CZ"/>
    </w:rPr>
  </w:style>
  <w:style w:type="character" w:customStyle="1" w:styleId="ObyajntextChar199">
    <w:name w:val="Obyčajný text Char199"/>
    <w:aliases w:val="Obyčajný text Char Char Char Char1100"/>
    <w:uiPriority w:val="99"/>
    <w:semiHidden/>
    <w:rsid w:val="00A809E7"/>
    <w:rPr>
      <w:rFonts w:ascii="Courier New" w:hAnsi="Courier New"/>
      <w:lang w:val="x-none" w:eastAsia="cs-CZ"/>
    </w:rPr>
  </w:style>
  <w:style w:type="character" w:customStyle="1" w:styleId="ObyajntextChar198">
    <w:name w:val="Obyčajný text Char198"/>
    <w:aliases w:val="Obyčajný text Char Char Char Char199"/>
    <w:uiPriority w:val="99"/>
    <w:semiHidden/>
    <w:rsid w:val="00A809E7"/>
    <w:rPr>
      <w:rFonts w:ascii="Courier New" w:hAnsi="Courier New"/>
      <w:lang w:val="x-none" w:eastAsia="cs-CZ"/>
    </w:rPr>
  </w:style>
  <w:style w:type="character" w:customStyle="1" w:styleId="ObyajntextChar197">
    <w:name w:val="Obyčajný text Char197"/>
    <w:aliases w:val="Obyčajný text Char Char Char Char198"/>
    <w:uiPriority w:val="99"/>
    <w:semiHidden/>
    <w:rsid w:val="00A809E7"/>
    <w:rPr>
      <w:rFonts w:ascii="Courier New" w:hAnsi="Courier New"/>
      <w:lang w:val="x-none" w:eastAsia="cs-CZ"/>
    </w:rPr>
  </w:style>
  <w:style w:type="character" w:customStyle="1" w:styleId="ObyajntextChar196">
    <w:name w:val="Obyčajný text Char196"/>
    <w:aliases w:val="Obyčajný text Char Char Char Char197"/>
    <w:uiPriority w:val="99"/>
    <w:semiHidden/>
    <w:rsid w:val="00A809E7"/>
    <w:rPr>
      <w:rFonts w:ascii="Courier New" w:hAnsi="Courier New"/>
      <w:lang w:val="x-none" w:eastAsia="cs-CZ"/>
    </w:rPr>
  </w:style>
  <w:style w:type="character" w:customStyle="1" w:styleId="ObyajntextChar195">
    <w:name w:val="Obyčajný text Char195"/>
    <w:aliases w:val="Obyčajný text Char Char Char Char196"/>
    <w:uiPriority w:val="99"/>
    <w:semiHidden/>
    <w:rsid w:val="00A809E7"/>
    <w:rPr>
      <w:rFonts w:ascii="Courier New" w:hAnsi="Courier New"/>
      <w:lang w:val="x-none" w:eastAsia="cs-CZ"/>
    </w:rPr>
  </w:style>
  <w:style w:type="character" w:customStyle="1" w:styleId="ObyajntextChar194">
    <w:name w:val="Obyčajný text Char194"/>
    <w:aliases w:val="Obyčajný text Char Char Char Char195"/>
    <w:uiPriority w:val="99"/>
    <w:semiHidden/>
    <w:rsid w:val="00A809E7"/>
    <w:rPr>
      <w:rFonts w:ascii="Courier New" w:hAnsi="Courier New"/>
      <w:lang w:val="x-none" w:eastAsia="cs-CZ"/>
    </w:rPr>
  </w:style>
  <w:style w:type="character" w:customStyle="1" w:styleId="ObyajntextChar193">
    <w:name w:val="Obyčajný text Char193"/>
    <w:aliases w:val="Obyčajný text Char Char Char Char194"/>
    <w:uiPriority w:val="99"/>
    <w:semiHidden/>
    <w:rsid w:val="00A809E7"/>
    <w:rPr>
      <w:rFonts w:ascii="Courier New" w:hAnsi="Courier New"/>
      <w:lang w:val="x-none" w:eastAsia="cs-CZ"/>
    </w:rPr>
  </w:style>
  <w:style w:type="character" w:customStyle="1" w:styleId="ObyajntextChar192">
    <w:name w:val="Obyčajný text Char192"/>
    <w:aliases w:val="Obyčajný text Char Char Char Char193"/>
    <w:uiPriority w:val="99"/>
    <w:semiHidden/>
    <w:rsid w:val="00A809E7"/>
    <w:rPr>
      <w:rFonts w:ascii="Courier New" w:hAnsi="Courier New"/>
      <w:lang w:val="x-none" w:eastAsia="cs-CZ"/>
    </w:rPr>
  </w:style>
  <w:style w:type="character" w:customStyle="1" w:styleId="ObyajntextChar191">
    <w:name w:val="Obyčajný text Char191"/>
    <w:aliases w:val="Obyčajný text Char Char Char Char192"/>
    <w:uiPriority w:val="99"/>
    <w:semiHidden/>
    <w:rsid w:val="00A809E7"/>
    <w:rPr>
      <w:rFonts w:ascii="Courier New" w:hAnsi="Courier New"/>
      <w:lang w:val="x-none" w:eastAsia="cs-CZ"/>
    </w:rPr>
  </w:style>
  <w:style w:type="character" w:customStyle="1" w:styleId="ObyajntextChar190">
    <w:name w:val="Obyčajný text Char190"/>
    <w:aliases w:val="Obyčajný text Char Char Char Char191"/>
    <w:uiPriority w:val="99"/>
    <w:semiHidden/>
    <w:rsid w:val="00A809E7"/>
    <w:rPr>
      <w:rFonts w:ascii="Courier New" w:hAnsi="Courier New"/>
      <w:lang w:val="x-none" w:eastAsia="cs-CZ"/>
    </w:rPr>
  </w:style>
  <w:style w:type="character" w:customStyle="1" w:styleId="ObyajntextChar189">
    <w:name w:val="Obyčajný text Char189"/>
    <w:aliases w:val="Obyčajný text Char Char Char Char190"/>
    <w:uiPriority w:val="99"/>
    <w:semiHidden/>
    <w:rsid w:val="00A809E7"/>
    <w:rPr>
      <w:rFonts w:ascii="Courier New" w:hAnsi="Courier New"/>
      <w:lang w:val="x-none" w:eastAsia="cs-CZ"/>
    </w:rPr>
  </w:style>
  <w:style w:type="character" w:customStyle="1" w:styleId="ObyajntextChar188">
    <w:name w:val="Obyčajný text Char188"/>
    <w:aliases w:val="Obyčajný text Char Char Char Char189"/>
    <w:uiPriority w:val="99"/>
    <w:semiHidden/>
    <w:rsid w:val="00A809E7"/>
    <w:rPr>
      <w:rFonts w:ascii="Courier New" w:hAnsi="Courier New"/>
      <w:lang w:val="x-none" w:eastAsia="cs-CZ"/>
    </w:rPr>
  </w:style>
  <w:style w:type="character" w:customStyle="1" w:styleId="ObyajntextChar187">
    <w:name w:val="Obyčajný text Char187"/>
    <w:aliases w:val="Obyčajný text Char Char Char Char188"/>
    <w:uiPriority w:val="99"/>
    <w:semiHidden/>
    <w:rsid w:val="00A809E7"/>
    <w:rPr>
      <w:rFonts w:ascii="Courier New" w:hAnsi="Courier New"/>
      <w:lang w:val="x-none" w:eastAsia="cs-CZ"/>
    </w:rPr>
  </w:style>
  <w:style w:type="character" w:customStyle="1" w:styleId="ObyajntextChar186">
    <w:name w:val="Obyčajný text Char186"/>
    <w:aliases w:val="Obyčajný text Char Char Char Char187"/>
    <w:uiPriority w:val="99"/>
    <w:semiHidden/>
    <w:rsid w:val="00A809E7"/>
    <w:rPr>
      <w:rFonts w:ascii="Courier New" w:hAnsi="Courier New"/>
      <w:lang w:val="x-none" w:eastAsia="cs-CZ"/>
    </w:rPr>
  </w:style>
  <w:style w:type="character" w:customStyle="1" w:styleId="ObyajntextChar185">
    <w:name w:val="Obyčajný text Char185"/>
    <w:aliases w:val="Obyčajný text Char Char Char Char186"/>
    <w:uiPriority w:val="99"/>
    <w:semiHidden/>
    <w:rsid w:val="00A809E7"/>
    <w:rPr>
      <w:rFonts w:ascii="Courier New" w:hAnsi="Courier New"/>
      <w:lang w:val="x-none" w:eastAsia="cs-CZ"/>
    </w:rPr>
  </w:style>
  <w:style w:type="character" w:customStyle="1" w:styleId="ObyajntextChar184">
    <w:name w:val="Obyčajný text Char184"/>
    <w:aliases w:val="Obyčajný text Char Char Char Char185"/>
    <w:uiPriority w:val="99"/>
    <w:semiHidden/>
    <w:rsid w:val="00A809E7"/>
    <w:rPr>
      <w:rFonts w:ascii="Courier New" w:hAnsi="Courier New"/>
      <w:lang w:val="x-none" w:eastAsia="cs-CZ"/>
    </w:rPr>
  </w:style>
  <w:style w:type="character" w:customStyle="1" w:styleId="ObyajntextChar183">
    <w:name w:val="Obyčajný text Char183"/>
    <w:aliases w:val="Obyčajný text Char Char Char Char184"/>
    <w:uiPriority w:val="99"/>
    <w:semiHidden/>
    <w:rsid w:val="00A809E7"/>
    <w:rPr>
      <w:rFonts w:ascii="Courier New" w:hAnsi="Courier New"/>
      <w:lang w:val="x-none" w:eastAsia="cs-CZ"/>
    </w:rPr>
  </w:style>
  <w:style w:type="character" w:customStyle="1" w:styleId="ObyajntextChar182">
    <w:name w:val="Obyčajný text Char182"/>
    <w:aliases w:val="Obyčajný text Char Char Char Char183"/>
    <w:uiPriority w:val="99"/>
    <w:semiHidden/>
    <w:rsid w:val="00A809E7"/>
    <w:rPr>
      <w:rFonts w:ascii="Courier New" w:hAnsi="Courier New"/>
      <w:lang w:val="x-none" w:eastAsia="cs-CZ"/>
    </w:rPr>
  </w:style>
  <w:style w:type="character" w:customStyle="1" w:styleId="ObyajntextChar181">
    <w:name w:val="Obyčajný text Char181"/>
    <w:aliases w:val="Obyčajný text Char Char Char Char182"/>
    <w:uiPriority w:val="99"/>
    <w:semiHidden/>
    <w:rsid w:val="00A809E7"/>
    <w:rPr>
      <w:rFonts w:ascii="Courier New" w:hAnsi="Courier New"/>
      <w:lang w:val="x-none" w:eastAsia="cs-CZ"/>
    </w:rPr>
  </w:style>
  <w:style w:type="character" w:customStyle="1" w:styleId="ObyajntextChar180">
    <w:name w:val="Obyčajný text Char180"/>
    <w:aliases w:val="Obyčajný text Char Char Char Char181"/>
    <w:uiPriority w:val="99"/>
    <w:semiHidden/>
    <w:rsid w:val="00A809E7"/>
    <w:rPr>
      <w:rFonts w:ascii="Courier New" w:hAnsi="Courier New"/>
      <w:lang w:val="x-none" w:eastAsia="cs-CZ"/>
    </w:rPr>
  </w:style>
  <w:style w:type="character" w:customStyle="1" w:styleId="ObyajntextChar179">
    <w:name w:val="Obyčajný text Char179"/>
    <w:aliases w:val="Obyčajný text Char Char Char Char180"/>
    <w:uiPriority w:val="99"/>
    <w:semiHidden/>
    <w:rsid w:val="00A809E7"/>
    <w:rPr>
      <w:rFonts w:ascii="Courier New" w:hAnsi="Courier New"/>
      <w:lang w:val="x-none" w:eastAsia="cs-CZ"/>
    </w:rPr>
  </w:style>
  <w:style w:type="character" w:customStyle="1" w:styleId="ObyajntextChar178">
    <w:name w:val="Obyčajný text Char178"/>
    <w:aliases w:val="Obyčajný text Char Char Char Char179"/>
    <w:uiPriority w:val="99"/>
    <w:semiHidden/>
    <w:rsid w:val="00A809E7"/>
    <w:rPr>
      <w:rFonts w:ascii="Courier New" w:hAnsi="Courier New"/>
      <w:lang w:val="x-none" w:eastAsia="cs-CZ"/>
    </w:rPr>
  </w:style>
  <w:style w:type="character" w:customStyle="1" w:styleId="ObyajntextChar177">
    <w:name w:val="Obyčajný text Char177"/>
    <w:aliases w:val="Obyčajný text Char Char Char Char178"/>
    <w:uiPriority w:val="99"/>
    <w:semiHidden/>
    <w:rsid w:val="00A809E7"/>
    <w:rPr>
      <w:rFonts w:ascii="Courier New" w:hAnsi="Courier New"/>
      <w:lang w:val="x-none" w:eastAsia="cs-CZ"/>
    </w:rPr>
  </w:style>
  <w:style w:type="character" w:customStyle="1" w:styleId="ObyajntextChar176">
    <w:name w:val="Obyčajný text Char176"/>
    <w:aliases w:val="Obyčajný text Char Char Char Char177"/>
    <w:uiPriority w:val="99"/>
    <w:semiHidden/>
    <w:rsid w:val="00A809E7"/>
    <w:rPr>
      <w:rFonts w:ascii="Courier New" w:hAnsi="Courier New"/>
      <w:lang w:val="x-none" w:eastAsia="cs-CZ"/>
    </w:rPr>
  </w:style>
  <w:style w:type="character" w:customStyle="1" w:styleId="ObyajntextChar175">
    <w:name w:val="Obyčajný text Char175"/>
    <w:aliases w:val="Obyčajný text Char Char Char Char176"/>
    <w:uiPriority w:val="99"/>
    <w:semiHidden/>
    <w:rsid w:val="00A809E7"/>
    <w:rPr>
      <w:rFonts w:ascii="Courier New" w:hAnsi="Courier New"/>
      <w:lang w:val="x-none" w:eastAsia="cs-CZ"/>
    </w:rPr>
  </w:style>
  <w:style w:type="character" w:customStyle="1" w:styleId="ObyajntextChar174">
    <w:name w:val="Obyčajný text Char174"/>
    <w:aliases w:val="Obyčajný text Char Char Char Char175"/>
    <w:uiPriority w:val="99"/>
    <w:semiHidden/>
    <w:rsid w:val="00A809E7"/>
    <w:rPr>
      <w:rFonts w:ascii="Courier New" w:hAnsi="Courier New"/>
      <w:lang w:val="x-none" w:eastAsia="cs-CZ"/>
    </w:rPr>
  </w:style>
  <w:style w:type="character" w:customStyle="1" w:styleId="ObyajntextChar173">
    <w:name w:val="Obyčajný text Char173"/>
    <w:aliases w:val="Obyčajný text Char Char Char Char174"/>
    <w:uiPriority w:val="99"/>
    <w:semiHidden/>
    <w:rsid w:val="00A809E7"/>
    <w:rPr>
      <w:rFonts w:ascii="Courier New" w:hAnsi="Courier New"/>
      <w:lang w:val="x-none" w:eastAsia="cs-CZ"/>
    </w:rPr>
  </w:style>
  <w:style w:type="character" w:customStyle="1" w:styleId="ObyajntextChar172">
    <w:name w:val="Obyčajný text Char172"/>
    <w:aliases w:val="Obyčajný text Char Char Char Char173"/>
    <w:uiPriority w:val="99"/>
    <w:semiHidden/>
    <w:rsid w:val="00A809E7"/>
    <w:rPr>
      <w:rFonts w:ascii="Courier New" w:hAnsi="Courier New"/>
      <w:lang w:val="x-none" w:eastAsia="cs-CZ"/>
    </w:rPr>
  </w:style>
  <w:style w:type="character" w:customStyle="1" w:styleId="ObyajntextChar171">
    <w:name w:val="Obyčajný text Char171"/>
    <w:aliases w:val="Obyčajný text Char Char Char Char172"/>
    <w:uiPriority w:val="99"/>
    <w:semiHidden/>
    <w:rsid w:val="00A809E7"/>
    <w:rPr>
      <w:rFonts w:ascii="Courier New" w:hAnsi="Courier New"/>
      <w:lang w:val="x-none" w:eastAsia="cs-CZ"/>
    </w:rPr>
  </w:style>
  <w:style w:type="character" w:customStyle="1" w:styleId="ObyajntextChar170">
    <w:name w:val="Obyčajný text Char170"/>
    <w:aliases w:val="Obyčajný text Char Char Char Char171"/>
    <w:uiPriority w:val="99"/>
    <w:semiHidden/>
    <w:rsid w:val="00A809E7"/>
    <w:rPr>
      <w:rFonts w:ascii="Courier New" w:hAnsi="Courier New"/>
      <w:lang w:val="x-none" w:eastAsia="cs-CZ"/>
    </w:rPr>
  </w:style>
  <w:style w:type="character" w:customStyle="1" w:styleId="ObyajntextChar169">
    <w:name w:val="Obyčajný text Char169"/>
    <w:aliases w:val="Obyčajný text Char Char Char Char170"/>
    <w:uiPriority w:val="99"/>
    <w:semiHidden/>
    <w:rsid w:val="00A809E7"/>
    <w:rPr>
      <w:rFonts w:ascii="Courier New" w:hAnsi="Courier New"/>
      <w:lang w:val="x-none" w:eastAsia="cs-CZ"/>
    </w:rPr>
  </w:style>
  <w:style w:type="character" w:customStyle="1" w:styleId="ObyajntextChar168">
    <w:name w:val="Obyčajný text Char168"/>
    <w:aliases w:val="Obyčajný text Char Char Char Char169"/>
    <w:uiPriority w:val="99"/>
    <w:semiHidden/>
    <w:rsid w:val="00A809E7"/>
    <w:rPr>
      <w:rFonts w:ascii="Courier New" w:hAnsi="Courier New"/>
      <w:lang w:val="x-none" w:eastAsia="cs-CZ"/>
    </w:rPr>
  </w:style>
  <w:style w:type="character" w:customStyle="1" w:styleId="ObyajntextChar167">
    <w:name w:val="Obyčajný text Char167"/>
    <w:aliases w:val="Obyčajný text Char Char Char Char168"/>
    <w:uiPriority w:val="99"/>
    <w:semiHidden/>
    <w:rsid w:val="00A809E7"/>
    <w:rPr>
      <w:rFonts w:ascii="Courier New" w:hAnsi="Courier New"/>
      <w:lang w:val="x-none" w:eastAsia="cs-CZ"/>
    </w:rPr>
  </w:style>
  <w:style w:type="character" w:customStyle="1" w:styleId="ObyajntextChar166">
    <w:name w:val="Obyčajný text Char166"/>
    <w:aliases w:val="Obyčajný text Char Char Char Char167"/>
    <w:uiPriority w:val="99"/>
    <w:semiHidden/>
    <w:rsid w:val="00A809E7"/>
    <w:rPr>
      <w:rFonts w:ascii="Courier New" w:hAnsi="Courier New"/>
      <w:lang w:val="x-none" w:eastAsia="cs-CZ"/>
    </w:rPr>
  </w:style>
  <w:style w:type="character" w:customStyle="1" w:styleId="ObyajntextChar165">
    <w:name w:val="Obyčajný text Char165"/>
    <w:aliases w:val="Obyčajný text Char Char Char Char166"/>
    <w:uiPriority w:val="99"/>
    <w:semiHidden/>
    <w:rsid w:val="00A809E7"/>
    <w:rPr>
      <w:rFonts w:ascii="Courier New" w:hAnsi="Courier New"/>
      <w:lang w:val="x-none" w:eastAsia="cs-CZ"/>
    </w:rPr>
  </w:style>
  <w:style w:type="character" w:customStyle="1" w:styleId="ObyajntextChar164">
    <w:name w:val="Obyčajný text Char164"/>
    <w:aliases w:val="Obyčajný text Char Char Char Char165"/>
    <w:uiPriority w:val="99"/>
    <w:semiHidden/>
    <w:rsid w:val="00A809E7"/>
    <w:rPr>
      <w:rFonts w:ascii="Courier New" w:hAnsi="Courier New"/>
      <w:lang w:val="x-none" w:eastAsia="cs-CZ"/>
    </w:rPr>
  </w:style>
  <w:style w:type="character" w:customStyle="1" w:styleId="ObyajntextChar163">
    <w:name w:val="Obyčajný text Char163"/>
    <w:aliases w:val="Obyčajný text Char Char Char Char164"/>
    <w:uiPriority w:val="99"/>
    <w:semiHidden/>
    <w:rsid w:val="00A809E7"/>
    <w:rPr>
      <w:rFonts w:ascii="Courier New" w:hAnsi="Courier New"/>
      <w:lang w:val="x-none" w:eastAsia="cs-CZ"/>
    </w:rPr>
  </w:style>
  <w:style w:type="character" w:customStyle="1" w:styleId="ObyajntextChar162">
    <w:name w:val="Obyčajný text Char162"/>
    <w:aliases w:val="Obyčajný text Char Char Char Char163"/>
    <w:uiPriority w:val="99"/>
    <w:semiHidden/>
    <w:rsid w:val="00A809E7"/>
    <w:rPr>
      <w:rFonts w:ascii="Courier New" w:hAnsi="Courier New"/>
      <w:lang w:val="x-none" w:eastAsia="cs-CZ"/>
    </w:rPr>
  </w:style>
  <w:style w:type="character" w:customStyle="1" w:styleId="ObyajntextChar161">
    <w:name w:val="Obyčajný text Char161"/>
    <w:aliases w:val="Obyčajný text Char Char Char Char162"/>
    <w:uiPriority w:val="99"/>
    <w:semiHidden/>
    <w:rsid w:val="00A809E7"/>
    <w:rPr>
      <w:rFonts w:ascii="Courier New" w:hAnsi="Courier New"/>
      <w:lang w:val="x-none" w:eastAsia="cs-CZ"/>
    </w:rPr>
  </w:style>
  <w:style w:type="character" w:customStyle="1" w:styleId="ObyajntextChar160">
    <w:name w:val="Obyčajný text Char160"/>
    <w:aliases w:val="Obyčajný text Char Char Char Char161"/>
    <w:uiPriority w:val="99"/>
    <w:semiHidden/>
    <w:rsid w:val="00A809E7"/>
    <w:rPr>
      <w:rFonts w:ascii="Courier New" w:hAnsi="Courier New"/>
      <w:lang w:val="x-none" w:eastAsia="cs-CZ"/>
    </w:rPr>
  </w:style>
  <w:style w:type="character" w:customStyle="1" w:styleId="ObyajntextChar159">
    <w:name w:val="Obyčajný text Char159"/>
    <w:aliases w:val="Obyčajný text Char Char Char Char160"/>
    <w:uiPriority w:val="99"/>
    <w:semiHidden/>
    <w:rsid w:val="00A809E7"/>
    <w:rPr>
      <w:rFonts w:ascii="Courier New" w:hAnsi="Courier New"/>
      <w:lang w:val="x-none" w:eastAsia="cs-CZ"/>
    </w:rPr>
  </w:style>
  <w:style w:type="character" w:customStyle="1" w:styleId="ObyajntextChar158">
    <w:name w:val="Obyčajný text Char158"/>
    <w:aliases w:val="Obyčajný text Char Char Char Char159"/>
    <w:uiPriority w:val="99"/>
    <w:semiHidden/>
    <w:rsid w:val="00A809E7"/>
    <w:rPr>
      <w:rFonts w:ascii="Courier New" w:hAnsi="Courier New"/>
      <w:lang w:val="x-none" w:eastAsia="cs-CZ"/>
    </w:rPr>
  </w:style>
  <w:style w:type="character" w:customStyle="1" w:styleId="ObyajntextChar157">
    <w:name w:val="Obyčajný text Char157"/>
    <w:aliases w:val="Obyčajný text Char Char Char Char158"/>
    <w:uiPriority w:val="99"/>
    <w:semiHidden/>
    <w:rsid w:val="00A809E7"/>
    <w:rPr>
      <w:rFonts w:ascii="Courier New" w:hAnsi="Courier New"/>
      <w:lang w:val="x-none" w:eastAsia="cs-CZ"/>
    </w:rPr>
  </w:style>
  <w:style w:type="character" w:customStyle="1" w:styleId="ObyajntextChar156">
    <w:name w:val="Obyčajný text Char156"/>
    <w:aliases w:val="Obyčajný text Char Char Char Char157"/>
    <w:uiPriority w:val="99"/>
    <w:semiHidden/>
    <w:rsid w:val="00A809E7"/>
    <w:rPr>
      <w:rFonts w:ascii="Courier New" w:hAnsi="Courier New"/>
      <w:lang w:val="x-none" w:eastAsia="cs-CZ"/>
    </w:rPr>
  </w:style>
  <w:style w:type="character" w:customStyle="1" w:styleId="ObyajntextChar155">
    <w:name w:val="Obyčajný text Char155"/>
    <w:aliases w:val="Obyčajný text Char Char Char Char156"/>
    <w:uiPriority w:val="99"/>
    <w:semiHidden/>
    <w:rsid w:val="00A809E7"/>
    <w:rPr>
      <w:rFonts w:ascii="Courier New" w:hAnsi="Courier New"/>
      <w:lang w:val="x-none" w:eastAsia="cs-CZ"/>
    </w:rPr>
  </w:style>
  <w:style w:type="character" w:customStyle="1" w:styleId="ObyajntextChar154">
    <w:name w:val="Obyčajný text Char154"/>
    <w:aliases w:val="Obyčajný text Char Char Char Char155"/>
    <w:uiPriority w:val="99"/>
    <w:semiHidden/>
    <w:rsid w:val="00A809E7"/>
    <w:rPr>
      <w:rFonts w:ascii="Courier New" w:hAnsi="Courier New"/>
      <w:lang w:val="x-none" w:eastAsia="cs-CZ"/>
    </w:rPr>
  </w:style>
  <w:style w:type="character" w:customStyle="1" w:styleId="ObyajntextChar153">
    <w:name w:val="Obyčajný text Char153"/>
    <w:aliases w:val="Obyčajný text Char Char Char Char154"/>
    <w:uiPriority w:val="99"/>
    <w:semiHidden/>
    <w:rsid w:val="00A809E7"/>
    <w:rPr>
      <w:rFonts w:ascii="Courier New" w:hAnsi="Courier New"/>
      <w:lang w:val="x-none" w:eastAsia="cs-CZ"/>
    </w:rPr>
  </w:style>
  <w:style w:type="character" w:customStyle="1" w:styleId="ObyajntextChar152">
    <w:name w:val="Obyčajný text Char152"/>
    <w:aliases w:val="Obyčajný text Char Char Char Char153"/>
    <w:uiPriority w:val="99"/>
    <w:semiHidden/>
    <w:rsid w:val="00A809E7"/>
    <w:rPr>
      <w:rFonts w:ascii="Courier New" w:hAnsi="Courier New"/>
      <w:lang w:val="x-none" w:eastAsia="cs-CZ"/>
    </w:rPr>
  </w:style>
  <w:style w:type="character" w:customStyle="1" w:styleId="ObyajntextChar151">
    <w:name w:val="Obyčajný text Char151"/>
    <w:aliases w:val="Obyčajný text Char Char Char Char152"/>
    <w:uiPriority w:val="99"/>
    <w:semiHidden/>
    <w:rsid w:val="00A809E7"/>
    <w:rPr>
      <w:rFonts w:ascii="Courier New" w:hAnsi="Courier New"/>
      <w:lang w:val="x-none" w:eastAsia="cs-CZ"/>
    </w:rPr>
  </w:style>
  <w:style w:type="character" w:customStyle="1" w:styleId="ObyajntextChar150">
    <w:name w:val="Obyčajný text Char150"/>
    <w:aliases w:val="Obyčajný text Char Char Char Char151"/>
    <w:uiPriority w:val="99"/>
    <w:semiHidden/>
    <w:rsid w:val="00A809E7"/>
    <w:rPr>
      <w:rFonts w:ascii="Courier New" w:hAnsi="Courier New"/>
      <w:lang w:val="x-none" w:eastAsia="cs-CZ"/>
    </w:rPr>
  </w:style>
  <w:style w:type="character" w:customStyle="1" w:styleId="ObyajntextChar149">
    <w:name w:val="Obyčajný text Char149"/>
    <w:aliases w:val="Obyčajný text Char Char Char Char150"/>
    <w:uiPriority w:val="99"/>
    <w:semiHidden/>
    <w:rsid w:val="00A809E7"/>
    <w:rPr>
      <w:rFonts w:ascii="Courier New" w:hAnsi="Courier New"/>
      <w:lang w:val="x-none" w:eastAsia="cs-CZ"/>
    </w:rPr>
  </w:style>
  <w:style w:type="character" w:customStyle="1" w:styleId="ObyajntextChar148">
    <w:name w:val="Obyčajný text Char148"/>
    <w:aliases w:val="Obyčajný text Char Char Char Char149"/>
    <w:uiPriority w:val="99"/>
    <w:semiHidden/>
    <w:rsid w:val="00A809E7"/>
    <w:rPr>
      <w:rFonts w:ascii="Courier New" w:hAnsi="Courier New"/>
      <w:lang w:val="x-none" w:eastAsia="cs-CZ"/>
    </w:rPr>
  </w:style>
  <w:style w:type="character" w:customStyle="1" w:styleId="ObyajntextChar147">
    <w:name w:val="Obyčajný text Char147"/>
    <w:aliases w:val="Obyčajný text Char Char Char Char148"/>
    <w:uiPriority w:val="99"/>
    <w:semiHidden/>
    <w:rsid w:val="00A809E7"/>
    <w:rPr>
      <w:rFonts w:ascii="Courier New" w:hAnsi="Courier New"/>
      <w:lang w:val="x-none" w:eastAsia="cs-CZ"/>
    </w:rPr>
  </w:style>
  <w:style w:type="character" w:customStyle="1" w:styleId="ObyajntextChar146">
    <w:name w:val="Obyčajný text Char146"/>
    <w:aliases w:val="Obyčajný text Char Char Char Char147"/>
    <w:uiPriority w:val="99"/>
    <w:semiHidden/>
    <w:rsid w:val="00A809E7"/>
    <w:rPr>
      <w:rFonts w:ascii="Courier New" w:hAnsi="Courier New"/>
      <w:lang w:val="x-none" w:eastAsia="cs-CZ"/>
    </w:rPr>
  </w:style>
  <w:style w:type="character" w:customStyle="1" w:styleId="ObyajntextChar145">
    <w:name w:val="Obyčajný text Char145"/>
    <w:aliases w:val="Obyčajný text Char Char Char Char146"/>
    <w:uiPriority w:val="99"/>
    <w:semiHidden/>
    <w:rsid w:val="00A809E7"/>
    <w:rPr>
      <w:rFonts w:ascii="Courier New" w:hAnsi="Courier New"/>
      <w:lang w:val="x-none" w:eastAsia="cs-CZ"/>
    </w:rPr>
  </w:style>
  <w:style w:type="character" w:customStyle="1" w:styleId="ObyajntextChar144">
    <w:name w:val="Obyčajný text Char144"/>
    <w:aliases w:val="Obyčajný text Char Char Char Char145"/>
    <w:uiPriority w:val="99"/>
    <w:semiHidden/>
    <w:rsid w:val="00A809E7"/>
    <w:rPr>
      <w:rFonts w:ascii="Courier New" w:hAnsi="Courier New"/>
      <w:lang w:val="x-none" w:eastAsia="cs-CZ"/>
    </w:rPr>
  </w:style>
  <w:style w:type="character" w:customStyle="1" w:styleId="ObyajntextChar143">
    <w:name w:val="Obyčajný text Char143"/>
    <w:aliases w:val="Obyčajný text Char Char Char Char144"/>
    <w:uiPriority w:val="99"/>
    <w:semiHidden/>
    <w:rsid w:val="00A809E7"/>
    <w:rPr>
      <w:rFonts w:ascii="Courier New" w:hAnsi="Courier New"/>
      <w:lang w:val="x-none" w:eastAsia="cs-CZ"/>
    </w:rPr>
  </w:style>
  <w:style w:type="character" w:customStyle="1" w:styleId="ObyajntextChar142">
    <w:name w:val="Obyčajný text Char142"/>
    <w:aliases w:val="Obyčajný text Char Char Char Char143"/>
    <w:uiPriority w:val="99"/>
    <w:semiHidden/>
    <w:rsid w:val="00A809E7"/>
    <w:rPr>
      <w:rFonts w:ascii="Courier New" w:hAnsi="Courier New"/>
      <w:lang w:val="x-none" w:eastAsia="cs-CZ"/>
    </w:rPr>
  </w:style>
  <w:style w:type="character" w:customStyle="1" w:styleId="ObyajntextChar141">
    <w:name w:val="Obyčajný text Char141"/>
    <w:aliases w:val="Obyčajný text Char Char Char Char142"/>
    <w:uiPriority w:val="99"/>
    <w:semiHidden/>
    <w:rsid w:val="00A809E7"/>
    <w:rPr>
      <w:rFonts w:ascii="Courier New" w:hAnsi="Courier New"/>
      <w:lang w:val="x-none" w:eastAsia="cs-CZ"/>
    </w:rPr>
  </w:style>
  <w:style w:type="character" w:customStyle="1" w:styleId="ObyajntextChar140">
    <w:name w:val="Obyčajný text Char140"/>
    <w:aliases w:val="Obyčajný text Char Char Char Char141"/>
    <w:uiPriority w:val="99"/>
    <w:semiHidden/>
    <w:rsid w:val="00A809E7"/>
    <w:rPr>
      <w:rFonts w:ascii="Courier New" w:hAnsi="Courier New"/>
      <w:lang w:val="x-none" w:eastAsia="cs-CZ"/>
    </w:rPr>
  </w:style>
  <w:style w:type="character" w:customStyle="1" w:styleId="ObyajntextChar139">
    <w:name w:val="Obyčajný text Char139"/>
    <w:aliases w:val="Obyčajný text Char Char Char Char140"/>
    <w:uiPriority w:val="99"/>
    <w:semiHidden/>
    <w:rsid w:val="00A809E7"/>
    <w:rPr>
      <w:rFonts w:ascii="Courier New" w:hAnsi="Courier New"/>
      <w:lang w:val="x-none" w:eastAsia="cs-CZ"/>
    </w:rPr>
  </w:style>
  <w:style w:type="character" w:customStyle="1" w:styleId="ObyajntextChar138">
    <w:name w:val="Obyčajný text Char138"/>
    <w:aliases w:val="Obyčajný text Char Char Char Char139"/>
    <w:uiPriority w:val="99"/>
    <w:semiHidden/>
    <w:rsid w:val="00A809E7"/>
    <w:rPr>
      <w:rFonts w:ascii="Courier New" w:hAnsi="Courier New"/>
      <w:lang w:val="x-none" w:eastAsia="cs-CZ"/>
    </w:rPr>
  </w:style>
  <w:style w:type="character" w:customStyle="1" w:styleId="ObyajntextChar137">
    <w:name w:val="Obyčajný text Char137"/>
    <w:aliases w:val="Obyčajný text Char Char Char Char138"/>
    <w:uiPriority w:val="99"/>
    <w:semiHidden/>
    <w:rsid w:val="00A809E7"/>
    <w:rPr>
      <w:rFonts w:ascii="Courier New" w:hAnsi="Courier New"/>
      <w:lang w:val="x-none" w:eastAsia="cs-CZ"/>
    </w:rPr>
  </w:style>
  <w:style w:type="character" w:customStyle="1" w:styleId="ObyajntextChar136">
    <w:name w:val="Obyčajný text Char136"/>
    <w:aliases w:val="Obyčajný text Char Char Char Char137"/>
    <w:uiPriority w:val="99"/>
    <w:semiHidden/>
    <w:rsid w:val="00A809E7"/>
    <w:rPr>
      <w:rFonts w:ascii="Courier New" w:hAnsi="Courier New"/>
      <w:lang w:val="x-none" w:eastAsia="cs-CZ"/>
    </w:rPr>
  </w:style>
  <w:style w:type="character" w:customStyle="1" w:styleId="ObyajntextChar135">
    <w:name w:val="Obyčajný text Char135"/>
    <w:aliases w:val="Obyčajný text Char Char Char Char136"/>
    <w:uiPriority w:val="99"/>
    <w:semiHidden/>
    <w:rsid w:val="00A809E7"/>
    <w:rPr>
      <w:rFonts w:ascii="Courier New" w:hAnsi="Courier New"/>
      <w:lang w:val="x-none" w:eastAsia="cs-CZ"/>
    </w:rPr>
  </w:style>
  <w:style w:type="character" w:customStyle="1" w:styleId="ObyajntextChar134">
    <w:name w:val="Obyčajný text Char134"/>
    <w:aliases w:val="Obyčajný text Char Char Char Char135"/>
    <w:uiPriority w:val="99"/>
    <w:semiHidden/>
    <w:rsid w:val="00A809E7"/>
    <w:rPr>
      <w:rFonts w:ascii="Courier New" w:hAnsi="Courier New"/>
      <w:lang w:val="x-none" w:eastAsia="cs-CZ"/>
    </w:rPr>
  </w:style>
  <w:style w:type="character" w:customStyle="1" w:styleId="ObyajntextChar133">
    <w:name w:val="Obyčajný text Char133"/>
    <w:aliases w:val="Obyčajný text Char Char Char Char134"/>
    <w:uiPriority w:val="99"/>
    <w:semiHidden/>
    <w:rsid w:val="00A809E7"/>
    <w:rPr>
      <w:rFonts w:ascii="Courier New" w:hAnsi="Courier New"/>
      <w:lang w:val="x-none" w:eastAsia="cs-CZ"/>
    </w:rPr>
  </w:style>
  <w:style w:type="character" w:customStyle="1" w:styleId="ObyajntextChar132">
    <w:name w:val="Obyčajný text Char132"/>
    <w:aliases w:val="Obyčajný text Char Char Char Char133"/>
    <w:uiPriority w:val="99"/>
    <w:semiHidden/>
    <w:rsid w:val="00A809E7"/>
    <w:rPr>
      <w:rFonts w:ascii="Courier New" w:hAnsi="Courier New"/>
      <w:lang w:val="x-none" w:eastAsia="cs-CZ"/>
    </w:rPr>
  </w:style>
  <w:style w:type="character" w:customStyle="1" w:styleId="ObyajntextChar131">
    <w:name w:val="Obyčajný text Char131"/>
    <w:aliases w:val="Obyčajný text Char Char Char Char132"/>
    <w:uiPriority w:val="99"/>
    <w:semiHidden/>
    <w:rsid w:val="00A809E7"/>
    <w:rPr>
      <w:rFonts w:ascii="Courier New" w:hAnsi="Courier New"/>
      <w:lang w:val="x-none" w:eastAsia="cs-CZ"/>
    </w:rPr>
  </w:style>
  <w:style w:type="character" w:customStyle="1" w:styleId="ObyajntextChar130">
    <w:name w:val="Obyčajný text Char130"/>
    <w:aliases w:val="Obyčajný text Char Char Char Char131"/>
    <w:uiPriority w:val="99"/>
    <w:semiHidden/>
    <w:rsid w:val="00A809E7"/>
    <w:rPr>
      <w:rFonts w:ascii="Courier New" w:hAnsi="Courier New"/>
      <w:lang w:val="x-none" w:eastAsia="cs-CZ"/>
    </w:rPr>
  </w:style>
  <w:style w:type="character" w:customStyle="1" w:styleId="ObyajntextChar129">
    <w:name w:val="Obyčajný text Char129"/>
    <w:aliases w:val="Obyčajný text Char Char Char Char130"/>
    <w:uiPriority w:val="99"/>
    <w:semiHidden/>
    <w:rsid w:val="00A809E7"/>
    <w:rPr>
      <w:rFonts w:ascii="Courier New" w:hAnsi="Courier New"/>
      <w:lang w:val="x-none" w:eastAsia="cs-CZ"/>
    </w:rPr>
  </w:style>
  <w:style w:type="character" w:customStyle="1" w:styleId="ObyajntextChar128">
    <w:name w:val="Obyčajný text Char128"/>
    <w:aliases w:val="Obyčajný text Char Char Char Char129"/>
    <w:uiPriority w:val="99"/>
    <w:semiHidden/>
    <w:rsid w:val="00A809E7"/>
    <w:rPr>
      <w:rFonts w:ascii="Courier New" w:hAnsi="Courier New"/>
      <w:lang w:val="x-none" w:eastAsia="cs-CZ"/>
    </w:rPr>
  </w:style>
  <w:style w:type="character" w:customStyle="1" w:styleId="ObyajntextChar127">
    <w:name w:val="Obyčajný text Char127"/>
    <w:aliases w:val="Obyčajný text Char Char Char Char128"/>
    <w:uiPriority w:val="99"/>
    <w:semiHidden/>
    <w:rsid w:val="00A809E7"/>
    <w:rPr>
      <w:rFonts w:ascii="Courier New" w:hAnsi="Courier New"/>
      <w:lang w:val="x-none" w:eastAsia="cs-CZ"/>
    </w:rPr>
  </w:style>
  <w:style w:type="character" w:customStyle="1" w:styleId="ObyajntextChar126">
    <w:name w:val="Obyčajný text Char126"/>
    <w:aliases w:val="Obyčajný text Char Char Char Char127"/>
    <w:uiPriority w:val="99"/>
    <w:semiHidden/>
    <w:rsid w:val="00A809E7"/>
    <w:rPr>
      <w:rFonts w:ascii="Courier New" w:hAnsi="Courier New"/>
      <w:lang w:val="x-none" w:eastAsia="cs-CZ"/>
    </w:rPr>
  </w:style>
  <w:style w:type="character" w:customStyle="1" w:styleId="ObyajntextChar125">
    <w:name w:val="Obyčajný text Char125"/>
    <w:aliases w:val="Obyčajný text Char Char Char Char126"/>
    <w:uiPriority w:val="99"/>
    <w:semiHidden/>
    <w:rsid w:val="00A809E7"/>
    <w:rPr>
      <w:rFonts w:ascii="Courier New" w:hAnsi="Courier New"/>
      <w:lang w:val="x-none" w:eastAsia="cs-CZ"/>
    </w:rPr>
  </w:style>
  <w:style w:type="character" w:customStyle="1" w:styleId="ObyajntextChar124">
    <w:name w:val="Obyčajný text Char124"/>
    <w:aliases w:val="Obyčajný text Char Char Char Char125"/>
    <w:uiPriority w:val="99"/>
    <w:semiHidden/>
    <w:rsid w:val="00A809E7"/>
    <w:rPr>
      <w:rFonts w:ascii="Courier New" w:hAnsi="Courier New"/>
      <w:lang w:val="x-none" w:eastAsia="cs-CZ"/>
    </w:rPr>
  </w:style>
  <w:style w:type="character" w:customStyle="1" w:styleId="ObyajntextChar123">
    <w:name w:val="Obyčajný text Char123"/>
    <w:aliases w:val="Obyčajný text Char Char Char Char124"/>
    <w:uiPriority w:val="99"/>
    <w:semiHidden/>
    <w:rsid w:val="00A809E7"/>
    <w:rPr>
      <w:rFonts w:ascii="Courier New" w:hAnsi="Courier New"/>
      <w:lang w:val="x-none" w:eastAsia="cs-CZ"/>
    </w:rPr>
  </w:style>
  <w:style w:type="character" w:customStyle="1" w:styleId="ObyajntextChar122">
    <w:name w:val="Obyčajný text Char122"/>
    <w:aliases w:val="Obyčajný text Char Char Char Char123"/>
    <w:uiPriority w:val="99"/>
    <w:semiHidden/>
    <w:rsid w:val="00A809E7"/>
    <w:rPr>
      <w:rFonts w:ascii="Courier New" w:hAnsi="Courier New"/>
      <w:lang w:val="x-none" w:eastAsia="cs-CZ"/>
    </w:rPr>
  </w:style>
  <w:style w:type="character" w:customStyle="1" w:styleId="ObyajntextChar121">
    <w:name w:val="Obyčajný text Char121"/>
    <w:aliases w:val="Obyčajný text Char Char Char Char122"/>
    <w:uiPriority w:val="99"/>
    <w:semiHidden/>
    <w:rsid w:val="00A809E7"/>
    <w:rPr>
      <w:rFonts w:ascii="Courier New" w:hAnsi="Courier New"/>
      <w:lang w:val="x-none" w:eastAsia="cs-CZ"/>
    </w:rPr>
  </w:style>
  <w:style w:type="character" w:customStyle="1" w:styleId="ObyajntextChar120">
    <w:name w:val="Obyčajný text Char120"/>
    <w:aliases w:val="Obyčajný text Char Char Char Char121"/>
    <w:uiPriority w:val="99"/>
    <w:semiHidden/>
    <w:rsid w:val="00A809E7"/>
    <w:rPr>
      <w:rFonts w:ascii="Courier New" w:hAnsi="Courier New"/>
      <w:lang w:val="x-none" w:eastAsia="cs-CZ"/>
    </w:rPr>
  </w:style>
  <w:style w:type="character" w:customStyle="1" w:styleId="ObyajntextChar119">
    <w:name w:val="Obyčajný text Char119"/>
    <w:aliases w:val="Obyčajný text Char Char Char Char120"/>
    <w:uiPriority w:val="99"/>
    <w:semiHidden/>
    <w:rsid w:val="00A809E7"/>
    <w:rPr>
      <w:rFonts w:ascii="Courier New" w:hAnsi="Courier New"/>
      <w:lang w:val="x-none" w:eastAsia="cs-CZ"/>
    </w:rPr>
  </w:style>
  <w:style w:type="character" w:customStyle="1" w:styleId="ObyajntextChar118">
    <w:name w:val="Obyčajný text Char118"/>
    <w:aliases w:val="Obyčajný text Char Char Char Char119"/>
    <w:uiPriority w:val="99"/>
    <w:semiHidden/>
    <w:rsid w:val="00A809E7"/>
    <w:rPr>
      <w:rFonts w:ascii="Courier New" w:hAnsi="Courier New"/>
      <w:lang w:val="x-none" w:eastAsia="cs-CZ"/>
    </w:rPr>
  </w:style>
  <w:style w:type="character" w:customStyle="1" w:styleId="ObyajntextChar117">
    <w:name w:val="Obyčajný text Char117"/>
    <w:aliases w:val="Obyčajný text Char Char Char Char118"/>
    <w:uiPriority w:val="99"/>
    <w:semiHidden/>
    <w:rsid w:val="00A809E7"/>
    <w:rPr>
      <w:rFonts w:ascii="Courier New" w:hAnsi="Courier New"/>
      <w:lang w:val="x-none" w:eastAsia="cs-CZ"/>
    </w:rPr>
  </w:style>
  <w:style w:type="character" w:customStyle="1" w:styleId="ObyajntextChar116">
    <w:name w:val="Obyčajný text Char116"/>
    <w:aliases w:val="Obyčajný text Char Char Char Char117"/>
    <w:uiPriority w:val="99"/>
    <w:semiHidden/>
    <w:rsid w:val="00A809E7"/>
    <w:rPr>
      <w:rFonts w:ascii="Courier New" w:hAnsi="Courier New"/>
      <w:lang w:val="x-none" w:eastAsia="cs-CZ"/>
    </w:rPr>
  </w:style>
  <w:style w:type="character" w:customStyle="1" w:styleId="ObyajntextChar115">
    <w:name w:val="Obyčajný text Char115"/>
    <w:aliases w:val="Obyčajný text Char Char Char Char116"/>
    <w:uiPriority w:val="99"/>
    <w:semiHidden/>
    <w:rsid w:val="00A809E7"/>
    <w:rPr>
      <w:rFonts w:ascii="Courier New" w:hAnsi="Courier New"/>
      <w:lang w:val="x-none" w:eastAsia="cs-CZ"/>
    </w:rPr>
  </w:style>
  <w:style w:type="character" w:customStyle="1" w:styleId="ObyajntextChar114">
    <w:name w:val="Obyčajný text Char114"/>
    <w:aliases w:val="Obyčajný text Char Char Char Char115"/>
    <w:uiPriority w:val="99"/>
    <w:semiHidden/>
    <w:rsid w:val="00A809E7"/>
    <w:rPr>
      <w:rFonts w:ascii="Courier New" w:hAnsi="Courier New"/>
      <w:lang w:val="x-none" w:eastAsia="cs-CZ"/>
    </w:rPr>
  </w:style>
  <w:style w:type="character" w:customStyle="1" w:styleId="ObyajntextChar113">
    <w:name w:val="Obyčajný text Char113"/>
    <w:aliases w:val="Obyčajný text Char Char Char Char114"/>
    <w:uiPriority w:val="99"/>
    <w:semiHidden/>
    <w:rsid w:val="00A809E7"/>
    <w:rPr>
      <w:rFonts w:ascii="Courier New" w:hAnsi="Courier New"/>
      <w:lang w:val="x-none" w:eastAsia="cs-CZ"/>
    </w:rPr>
  </w:style>
  <w:style w:type="character" w:customStyle="1" w:styleId="ObyajntextChar112">
    <w:name w:val="Obyčajný text Char112"/>
    <w:aliases w:val="Obyčajný text Char Char Char Char113"/>
    <w:uiPriority w:val="99"/>
    <w:semiHidden/>
    <w:rsid w:val="00A809E7"/>
    <w:rPr>
      <w:rFonts w:ascii="Courier New" w:hAnsi="Courier New"/>
      <w:lang w:val="x-none" w:eastAsia="cs-CZ"/>
    </w:rPr>
  </w:style>
  <w:style w:type="character" w:customStyle="1" w:styleId="ObyajntextChar111">
    <w:name w:val="Obyčajný text Char111"/>
    <w:aliases w:val="Obyčajný text Char Char Char Char112"/>
    <w:uiPriority w:val="99"/>
    <w:semiHidden/>
    <w:rsid w:val="00A809E7"/>
    <w:rPr>
      <w:rFonts w:ascii="Courier New" w:hAnsi="Courier New"/>
      <w:lang w:val="x-none" w:eastAsia="cs-CZ"/>
    </w:rPr>
  </w:style>
  <w:style w:type="character" w:customStyle="1" w:styleId="ObyajntextChar110">
    <w:name w:val="Obyčajný text Char110"/>
    <w:aliases w:val="Obyčajný text Char Char Char Char110"/>
    <w:uiPriority w:val="99"/>
    <w:semiHidden/>
    <w:rsid w:val="00A809E7"/>
    <w:rPr>
      <w:rFonts w:ascii="Courier New" w:hAnsi="Courier New"/>
      <w:lang w:val="x-none" w:eastAsia="cs-CZ"/>
    </w:rPr>
  </w:style>
  <w:style w:type="character" w:customStyle="1" w:styleId="ObyajntextChar19">
    <w:name w:val="Obyčajný text Char19"/>
    <w:aliases w:val="Obyčajný text Char Char Char Char19"/>
    <w:uiPriority w:val="99"/>
    <w:semiHidden/>
    <w:rsid w:val="00A809E7"/>
    <w:rPr>
      <w:rFonts w:ascii="Courier New" w:hAnsi="Courier New"/>
      <w:lang w:val="x-none" w:eastAsia="cs-CZ"/>
    </w:rPr>
  </w:style>
  <w:style w:type="character" w:customStyle="1" w:styleId="ObyajntextChar18">
    <w:name w:val="Obyčajný text Char18"/>
    <w:aliases w:val="Obyčajný text Char Char Char Char18"/>
    <w:uiPriority w:val="99"/>
    <w:semiHidden/>
    <w:rsid w:val="00A809E7"/>
    <w:rPr>
      <w:rFonts w:ascii="Courier New" w:hAnsi="Courier New"/>
      <w:lang w:val="x-none" w:eastAsia="cs-CZ"/>
    </w:rPr>
  </w:style>
  <w:style w:type="character" w:customStyle="1" w:styleId="ObyajntextChar17">
    <w:name w:val="Obyčajný text Char17"/>
    <w:aliases w:val="Obyčajný text Char Char Char Char17"/>
    <w:uiPriority w:val="99"/>
    <w:semiHidden/>
    <w:rsid w:val="00A809E7"/>
    <w:rPr>
      <w:rFonts w:ascii="Courier New" w:hAnsi="Courier New"/>
      <w:lang w:val="x-none" w:eastAsia="cs-CZ"/>
    </w:rPr>
  </w:style>
  <w:style w:type="character" w:customStyle="1" w:styleId="ObyajntextChar16">
    <w:name w:val="Obyčajný text Char16"/>
    <w:aliases w:val="Obyčajný text Char Char Char Char16"/>
    <w:uiPriority w:val="99"/>
    <w:semiHidden/>
    <w:rsid w:val="00A809E7"/>
    <w:rPr>
      <w:rFonts w:ascii="Courier New" w:hAnsi="Courier New"/>
      <w:lang w:val="x-none" w:eastAsia="cs-CZ"/>
    </w:rPr>
  </w:style>
  <w:style w:type="character" w:customStyle="1" w:styleId="ObyajntextChar15">
    <w:name w:val="Obyčajný text Char15"/>
    <w:aliases w:val="Obyčajný text Char Char Char Char15"/>
    <w:uiPriority w:val="99"/>
    <w:semiHidden/>
    <w:rsid w:val="00A809E7"/>
    <w:rPr>
      <w:rFonts w:ascii="Courier New" w:hAnsi="Courier New"/>
      <w:lang w:val="x-none" w:eastAsia="cs-CZ"/>
    </w:rPr>
  </w:style>
  <w:style w:type="character" w:customStyle="1" w:styleId="ObyajntextChar14">
    <w:name w:val="Obyčajný text Char14"/>
    <w:aliases w:val="Obyčajný text Char Char Char Char14"/>
    <w:uiPriority w:val="99"/>
    <w:semiHidden/>
    <w:rsid w:val="00A809E7"/>
    <w:rPr>
      <w:rFonts w:ascii="Courier New" w:hAnsi="Courier New"/>
      <w:lang w:val="x-none" w:eastAsia="cs-CZ"/>
    </w:rPr>
  </w:style>
  <w:style w:type="character" w:customStyle="1" w:styleId="ObyajntextChar13">
    <w:name w:val="Obyčajný text Char13"/>
    <w:aliases w:val="Obyčajný text Char Char Char Char13"/>
    <w:uiPriority w:val="99"/>
    <w:semiHidden/>
    <w:rsid w:val="00A809E7"/>
    <w:rPr>
      <w:rFonts w:ascii="Courier New" w:hAnsi="Courier New"/>
      <w:lang w:val="x-none" w:eastAsia="cs-CZ"/>
    </w:rPr>
  </w:style>
  <w:style w:type="character" w:customStyle="1" w:styleId="ObyajntextChar12">
    <w:name w:val="Obyčajný text Char12"/>
    <w:aliases w:val="Obyčajný text Char Char Char Char12"/>
    <w:uiPriority w:val="99"/>
    <w:semiHidden/>
    <w:rsid w:val="00A809E7"/>
    <w:rPr>
      <w:rFonts w:ascii="Courier New" w:hAnsi="Courier New"/>
      <w:lang w:val="x-none" w:eastAsia="cs-CZ"/>
    </w:rPr>
  </w:style>
  <w:style w:type="character" w:customStyle="1" w:styleId="ObyajntextChar11">
    <w:name w:val="Obyčajný text Char11"/>
    <w:aliases w:val="Obyčajný text Char Char Char Char11,Obyčajný text Char Char Char Char111"/>
    <w:uiPriority w:val="99"/>
    <w:semiHidden/>
    <w:rsid w:val="00A809E7"/>
    <w:rPr>
      <w:rFonts w:ascii="Courier New" w:hAnsi="Courier New"/>
      <w:lang w:val="x-none" w:eastAsia="cs-CZ"/>
    </w:rPr>
  </w:style>
  <w:style w:type="paragraph" w:customStyle="1" w:styleId="CharCharCharCharCharCharCharCharCharCharChar">
    <w:name w:val="Char Char Char Char Char Char Char Char Char Char Char"/>
    <w:basedOn w:val="Normlny"/>
    <w:uiPriority w:val="99"/>
    <w:qFormat/>
    <w:rsid w:val="00A809E7"/>
    <w:pPr>
      <w:spacing w:line="240" w:lineRule="exact"/>
    </w:pPr>
    <w:rPr>
      <w:rFonts w:ascii="Tahoma" w:eastAsia="Times New Roman" w:hAnsi="Tahoma" w:cs="Tahoma"/>
      <w:sz w:val="20"/>
      <w:szCs w:val="20"/>
      <w:lang w:val="en-US"/>
    </w:rPr>
  </w:style>
  <w:style w:type="paragraph" w:styleId="Nzov">
    <w:name w:val="Title"/>
    <w:basedOn w:val="Normlny"/>
    <w:link w:val="NzovChar"/>
    <w:qFormat/>
    <w:rsid w:val="00A809E7"/>
    <w:pPr>
      <w:spacing w:after="0" w:line="240" w:lineRule="auto"/>
      <w:jc w:val="center"/>
    </w:pPr>
    <w:rPr>
      <w:rFonts w:ascii="Arial Black" w:eastAsia="Times New Roman" w:hAnsi="Arial Black" w:cs="Times New Roman"/>
      <w:b/>
      <w:bCs/>
      <w:sz w:val="24"/>
      <w:szCs w:val="24"/>
      <w:lang w:eastAsia="cs-CZ"/>
    </w:rPr>
  </w:style>
  <w:style w:type="character" w:customStyle="1" w:styleId="NzovChar">
    <w:name w:val="Názov Char"/>
    <w:basedOn w:val="Predvolenpsmoodseku"/>
    <w:link w:val="Nzov"/>
    <w:rsid w:val="00A809E7"/>
    <w:rPr>
      <w:rFonts w:ascii="Arial Black" w:eastAsia="Times New Roman" w:hAnsi="Arial Black" w:cs="Times New Roman"/>
      <w:b/>
      <w:bCs/>
      <w:sz w:val="24"/>
      <w:szCs w:val="24"/>
      <w:lang w:eastAsia="cs-CZ"/>
    </w:rPr>
  </w:style>
  <w:style w:type="paragraph" w:customStyle="1" w:styleId="CharCharCharCharChar">
    <w:name w:val="Char Char Char Char Char"/>
    <w:basedOn w:val="Normlny"/>
    <w:uiPriority w:val="99"/>
    <w:qFormat/>
    <w:rsid w:val="00A809E7"/>
    <w:pPr>
      <w:spacing w:line="240" w:lineRule="exact"/>
    </w:pPr>
    <w:rPr>
      <w:rFonts w:ascii="Tahoma" w:eastAsia="Times New Roman" w:hAnsi="Tahoma" w:cs="Tahoma"/>
      <w:sz w:val="20"/>
      <w:szCs w:val="20"/>
      <w:lang w:val="en-US"/>
    </w:rPr>
  </w:style>
  <w:style w:type="character" w:customStyle="1" w:styleId="Heading2Char">
    <w:name w:val="Heading 2 Char"/>
    <w:uiPriority w:val="99"/>
    <w:rsid w:val="00A809E7"/>
    <w:rPr>
      <w:rFonts w:ascii="Arial" w:hAnsi="Arial"/>
      <w:b/>
      <w:i/>
      <w:sz w:val="28"/>
      <w:lang w:val="x-none" w:eastAsia="cs-CZ"/>
    </w:rPr>
  </w:style>
  <w:style w:type="character" w:customStyle="1" w:styleId="ZarkazkladnhotextuChar1">
    <w:name w:val="Zarážka základného textu Char1"/>
    <w:aliases w:val="Char8 Char Char1"/>
    <w:uiPriority w:val="99"/>
    <w:rsid w:val="00A809E7"/>
    <w:rPr>
      <w:rFonts w:ascii="Courier" w:hAnsi="Courier"/>
      <w:sz w:val="24"/>
      <w:lang w:val="x-none" w:eastAsia="cs-CZ"/>
    </w:rPr>
  </w:style>
  <w:style w:type="character" w:customStyle="1" w:styleId="TitleChar">
    <w:name w:val="Title Char"/>
    <w:uiPriority w:val="99"/>
    <w:rsid w:val="00A809E7"/>
    <w:rPr>
      <w:rFonts w:ascii="Arial Black" w:hAnsi="Arial Black"/>
      <w:b/>
      <w:sz w:val="24"/>
      <w:lang w:val="x-none" w:eastAsia="sk-SK"/>
    </w:rPr>
  </w:style>
  <w:style w:type="paragraph" w:styleId="Normlnywebov">
    <w:name w:val="Normal (Web)"/>
    <w:aliases w:val="webb"/>
    <w:basedOn w:val="Normlny"/>
    <w:uiPriority w:val="99"/>
    <w:unhideWhenUsed/>
    <w:qFormat/>
    <w:rsid w:val="00A809E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A809E7"/>
    <w:pPr>
      <w:tabs>
        <w:tab w:val="right" w:leader="dot" w:pos="9062"/>
      </w:tabs>
      <w:spacing w:after="0" w:line="240" w:lineRule="auto"/>
      <w:ind w:left="240"/>
    </w:pPr>
    <w:rPr>
      <w:rFonts w:ascii="Times New Roman" w:eastAsia="Times New Roman" w:hAnsi="Times New Roman" w:cs="Times New Roman"/>
      <w:bCs/>
      <w:iCs/>
      <w:noProof/>
      <w:sz w:val="24"/>
      <w:szCs w:val="24"/>
      <w:lang w:eastAsia="cs-CZ"/>
    </w:rPr>
  </w:style>
  <w:style w:type="character" w:customStyle="1" w:styleId="spanr">
    <w:name w:val="span_r"/>
    <w:rsid w:val="00A809E7"/>
  </w:style>
  <w:style w:type="character" w:styleId="Siln">
    <w:name w:val="Strong"/>
    <w:basedOn w:val="Predvolenpsmoodseku"/>
    <w:uiPriority w:val="22"/>
    <w:qFormat/>
    <w:rsid w:val="00A809E7"/>
    <w:rPr>
      <w:rFonts w:cs="Times New Roman"/>
      <w:b/>
    </w:rPr>
  </w:style>
  <w:style w:type="paragraph" w:customStyle="1" w:styleId="Char">
    <w:name w:val="Char"/>
    <w:basedOn w:val="Normlny"/>
    <w:qFormat/>
    <w:rsid w:val="00A809E7"/>
    <w:pPr>
      <w:spacing w:line="240" w:lineRule="exact"/>
    </w:pPr>
    <w:rPr>
      <w:rFonts w:ascii="Tahoma" w:eastAsia="Times New Roman" w:hAnsi="Tahoma" w:cs="Tahoma"/>
      <w:sz w:val="20"/>
      <w:szCs w:val="20"/>
      <w:lang w:val="en-US"/>
    </w:rPr>
  </w:style>
  <w:style w:type="character" w:customStyle="1" w:styleId="st1">
    <w:name w:val="st1"/>
    <w:rsid w:val="00A809E7"/>
  </w:style>
  <w:style w:type="paragraph" w:customStyle="1" w:styleId="BodyText25">
    <w:name w:val="Body Text 25"/>
    <w:basedOn w:val="Normlny"/>
    <w:qFormat/>
    <w:rsid w:val="00A809E7"/>
    <w:pPr>
      <w:overflowPunct w:val="0"/>
      <w:autoSpaceDE w:val="0"/>
      <w:autoSpaceDN w:val="0"/>
      <w:adjustRightInd w:val="0"/>
      <w:spacing w:after="0" w:line="240" w:lineRule="auto"/>
      <w:ind w:left="4111" w:hanging="3403"/>
      <w:textAlignment w:val="baseline"/>
    </w:pPr>
    <w:rPr>
      <w:rFonts w:ascii="Times New Roman" w:eastAsia="Times New Roman" w:hAnsi="Times New Roman" w:cs="Times New Roman"/>
      <w:b/>
      <w:i/>
      <w:sz w:val="26"/>
      <w:szCs w:val="20"/>
      <w:lang w:eastAsia="sk-SK"/>
    </w:rPr>
  </w:style>
  <w:style w:type="table" w:styleId="Mriekatabuky">
    <w:name w:val="Table Grid"/>
    <w:basedOn w:val="Normlnatabuka"/>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809E7"/>
    <w:pPr>
      <w:spacing w:after="0" w:line="240" w:lineRule="auto"/>
    </w:pPr>
    <w:rPr>
      <w:rFonts w:ascii="Arial Narrow" w:eastAsia="Times New Roman" w:hAnsi="Arial Narrow" w:cs="Times New Roman"/>
      <w:szCs w:val="36"/>
    </w:rPr>
  </w:style>
  <w:style w:type="character" w:styleId="PouitHypertextovPrepojenie">
    <w:name w:val="FollowedHyperlink"/>
    <w:basedOn w:val="Predvolenpsmoodseku"/>
    <w:uiPriority w:val="99"/>
    <w:semiHidden/>
    <w:unhideWhenUsed/>
    <w:rsid w:val="00A809E7"/>
    <w:rPr>
      <w:rFonts w:cs="Times New Roman"/>
      <w:color w:val="800080"/>
      <w:u w:val="single"/>
    </w:rPr>
  </w:style>
  <w:style w:type="character" w:customStyle="1" w:styleId="Nadpis1Char1">
    <w:name w:val="Nadpis 1 Char1"/>
    <w:aliases w:val="Char5 Char Char1,Nadpis 1 Char Char Char1,Heading 1 Char Char Char Char Char Char1,Heading 1 Char Char Char Char Char2,Heading 1 Char Char Char Char2,Čo robí (časť) Char1"/>
    <w:uiPriority w:val="99"/>
    <w:rsid w:val="00A809E7"/>
    <w:rPr>
      <w:rFonts w:ascii="Cambria" w:hAnsi="Cambria"/>
      <w:b/>
      <w:color w:val="365F91"/>
      <w:sz w:val="28"/>
      <w:lang w:val="x-none" w:eastAsia="cs-CZ"/>
    </w:rPr>
  </w:style>
  <w:style w:type="character" w:customStyle="1" w:styleId="Nadpis2Char1">
    <w:name w:val="Nadpis 2 Char1"/>
    <w:aliases w:val="Nadpis 2 Char Char Char Char2,Nadpis 2 Char Char Char Char Char1,Nadpis 2 Char Char Char2,Úloha Char1"/>
    <w:uiPriority w:val="99"/>
    <w:semiHidden/>
    <w:rsid w:val="00A809E7"/>
    <w:rPr>
      <w:rFonts w:ascii="Cambria" w:hAnsi="Cambria"/>
      <w:b/>
      <w:color w:val="4F81BD"/>
      <w:sz w:val="26"/>
      <w:lang w:val="x-none" w:eastAsia="cs-CZ"/>
    </w:rPr>
  </w:style>
  <w:style w:type="character" w:customStyle="1" w:styleId="Nadpis3Char1">
    <w:name w:val="Nadpis 3 Char1"/>
    <w:aliases w:val="Char4 Char Char1,Nadpis 3 Char Char Char1,Heading 3 Char Char Char Char1,Podúloha Char1"/>
    <w:semiHidden/>
    <w:rsid w:val="00A809E7"/>
    <w:rPr>
      <w:rFonts w:ascii="Cambria" w:hAnsi="Cambria"/>
      <w:b/>
      <w:color w:val="4F81BD"/>
      <w:sz w:val="24"/>
      <w:lang w:val="x-none" w:eastAsia="cs-CZ"/>
    </w:rPr>
  </w:style>
  <w:style w:type="character" w:customStyle="1" w:styleId="Nadpis4Char1">
    <w:name w:val="Nadpis 4 Char1"/>
    <w:aliases w:val="Char Char Char1,Nadpis 4 Char Char Char1,Heading 4 Char Char Char Char1,Termín Char1"/>
    <w:semiHidden/>
    <w:rsid w:val="00A809E7"/>
    <w:rPr>
      <w:rFonts w:ascii="Cambria" w:hAnsi="Cambria"/>
      <w:b/>
      <w:i/>
      <w:color w:val="4F81BD"/>
      <w:sz w:val="24"/>
      <w:lang w:val="x-none" w:eastAsia="cs-CZ"/>
    </w:rPr>
  </w:style>
  <w:style w:type="character" w:customStyle="1" w:styleId="TextpoznmkypodiarouChar1">
    <w:name w:val="Text poznámky pod čiarou Char1"/>
    <w:aliases w:val="Footnote Text Char2 Char1,Footnote Text Char1 Char Char1,Footnote Text Char2 Char Char Char1,Footnote Text Char1 Char Char Char Char1,Footnote Text Char2 Char Char Char Char Char1,Footnote Text Char1 Char2"/>
    <w:uiPriority w:val="99"/>
    <w:semiHidden/>
    <w:rsid w:val="00A809E7"/>
    <w:rPr>
      <w:rFonts w:ascii="Courier" w:hAnsi="Courier"/>
      <w:lang w:val="x-none" w:eastAsia="cs-CZ"/>
    </w:rPr>
  </w:style>
  <w:style w:type="character" w:customStyle="1" w:styleId="HlavikaChar1">
    <w:name w:val="Hlavička Char1"/>
    <w:aliases w:val="Hlavička Char Char Char Char1"/>
    <w:uiPriority w:val="99"/>
    <w:semiHidden/>
    <w:rsid w:val="00A809E7"/>
    <w:rPr>
      <w:rFonts w:ascii="Courier" w:hAnsi="Courier"/>
      <w:sz w:val="24"/>
      <w:lang w:val="x-none" w:eastAsia="cs-CZ"/>
    </w:rPr>
  </w:style>
  <w:style w:type="character" w:customStyle="1" w:styleId="PtaChar1">
    <w:name w:val="Päta Char1"/>
    <w:aliases w:val="Char11 Char Char1,Päta Char Char Char1,Footer Char Char Char Char1"/>
    <w:uiPriority w:val="99"/>
    <w:semiHidden/>
    <w:rsid w:val="00A809E7"/>
    <w:rPr>
      <w:rFonts w:ascii="Courier" w:hAnsi="Courier"/>
      <w:sz w:val="24"/>
      <w:lang w:val="x-none" w:eastAsia="cs-CZ"/>
    </w:rPr>
  </w:style>
  <w:style w:type="character" w:customStyle="1" w:styleId="ZkladntextChar1">
    <w:name w:val="Základný text Char1"/>
    <w:aliases w:val="Char14 Char Char Char1,Základný text Char Char Char1,Body Text Char Char Char Char Char Char1,Body Text Char Char Char Char Char2,Char14 Char Char2,Body Text Char Char Char Char2"/>
    <w:semiHidden/>
    <w:rsid w:val="00A809E7"/>
    <w:rPr>
      <w:rFonts w:ascii="Courier" w:hAnsi="Courier"/>
      <w:sz w:val="24"/>
      <w:lang w:val="x-none" w:eastAsia="cs-CZ"/>
    </w:rPr>
  </w:style>
  <w:style w:type="character" w:customStyle="1" w:styleId="Zkladntext2Char1">
    <w:name w:val="Základný text 2 Char1"/>
    <w:aliases w:val="Základný text 2 Char Char Char1,Body Text 2 Char Char Char Char1"/>
    <w:uiPriority w:val="99"/>
    <w:semiHidden/>
    <w:rsid w:val="00A809E7"/>
    <w:rPr>
      <w:rFonts w:ascii="Courier" w:hAnsi="Courier"/>
      <w:sz w:val="24"/>
      <w:lang w:val="x-none" w:eastAsia="cs-CZ"/>
    </w:rPr>
  </w:style>
  <w:style w:type="character" w:customStyle="1" w:styleId="Zarkazkladnhotextu2Char1">
    <w:name w:val="Zarážka základného textu 2 Char1"/>
    <w:aliases w:val="Char10 Char Char1,Zarážka základného textu 2 Char Char Char1,Body Text Indent 2 Char Char Char Char1"/>
    <w:uiPriority w:val="99"/>
    <w:semiHidden/>
    <w:rsid w:val="00A809E7"/>
    <w:rPr>
      <w:rFonts w:ascii="Courier" w:hAnsi="Courier"/>
      <w:sz w:val="24"/>
      <w:lang w:val="x-none" w:eastAsia="cs-CZ"/>
    </w:rPr>
  </w:style>
  <w:style w:type="character" w:customStyle="1" w:styleId="Zarkazkladnhotextu3Char1">
    <w:name w:val="Zarážka základného textu 3 Char1"/>
    <w:aliases w:val="Char2 Char Char1,Zarážka základného textu 3 Char Char Char1,Body Text Indent 3 Char Char Char Char1"/>
    <w:uiPriority w:val="99"/>
    <w:semiHidden/>
    <w:rsid w:val="00A809E7"/>
    <w:rPr>
      <w:rFonts w:ascii="Courier" w:hAnsi="Courier"/>
      <w:sz w:val="16"/>
      <w:lang w:val="x-none" w:eastAsia="cs-CZ"/>
    </w:rPr>
  </w:style>
  <w:style w:type="character" w:customStyle="1" w:styleId="TextbublinyChar1">
    <w:name w:val="Text bubliny Char1"/>
    <w:aliases w:val="Char13 Char Char1,Text bubliny Char Char Char1,Balloon Text Char Char Char1"/>
    <w:uiPriority w:val="99"/>
    <w:semiHidden/>
    <w:rsid w:val="00A809E7"/>
    <w:rPr>
      <w:rFonts w:ascii="Tahoma" w:hAnsi="Tahoma"/>
      <w:sz w:val="16"/>
      <w:lang w:val="x-none" w:eastAsia="cs-CZ"/>
    </w:rPr>
  </w:style>
  <w:style w:type="character" w:styleId="Odkaznakomentr">
    <w:name w:val="annotation reference"/>
    <w:basedOn w:val="Predvolenpsmoodseku"/>
    <w:uiPriority w:val="99"/>
    <w:unhideWhenUsed/>
    <w:qFormat/>
    <w:rsid w:val="00A809E7"/>
    <w:rPr>
      <w:rFonts w:cs="Times New Roman"/>
      <w:sz w:val="16"/>
    </w:rPr>
  </w:style>
  <w:style w:type="character" w:customStyle="1" w:styleId="NzovChar1">
    <w:name w:val="Názov Char1"/>
    <w:uiPriority w:val="99"/>
    <w:rsid w:val="00A809E7"/>
    <w:rPr>
      <w:rFonts w:ascii="Arial Black" w:hAnsi="Arial Black"/>
      <w:b/>
      <w:sz w:val="24"/>
      <w:lang w:val="x-none" w:eastAsia="sk-SK"/>
    </w:rPr>
  </w:style>
  <w:style w:type="paragraph" w:styleId="Revzia">
    <w:name w:val="Revision"/>
    <w:hidden/>
    <w:uiPriority w:val="99"/>
    <w:semiHidden/>
    <w:rsid w:val="00A809E7"/>
    <w:pPr>
      <w:spacing w:after="0" w:line="240" w:lineRule="auto"/>
    </w:pPr>
    <w:rPr>
      <w:rFonts w:ascii="Courier" w:eastAsia="Times New Roman" w:hAnsi="Courier" w:cs="Courier"/>
      <w:sz w:val="24"/>
      <w:szCs w:val="24"/>
      <w:lang w:eastAsia="cs-CZ"/>
    </w:rPr>
  </w:style>
  <w:style w:type="paragraph" w:customStyle="1" w:styleId="Par-numbera">
    <w:name w:val="Par-number (a)"/>
    <w:basedOn w:val="Normlny"/>
    <w:qFormat/>
    <w:rsid w:val="00A809E7"/>
    <w:pPr>
      <w:spacing w:after="0" w:line="360" w:lineRule="auto"/>
    </w:pPr>
    <w:rPr>
      <w:rFonts w:ascii="Times New Roman" w:eastAsia="Times New Roman" w:hAnsi="Times New Roman" w:cs="Times New Roman"/>
      <w:sz w:val="24"/>
      <w:szCs w:val="24"/>
      <w:lang w:eastAsia="fr-BE"/>
    </w:rPr>
  </w:style>
  <w:style w:type="table" w:customStyle="1" w:styleId="Mriekatabuky1">
    <w:name w:val="Mriežka tabuľky1"/>
    <w:basedOn w:val="Normlnatabuka"/>
    <w:next w:val="Mriekatabuky"/>
    <w:uiPriority w:val="3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uktradokumentuChar1170">
    <w:name w:val="Štruktúra dokumentu Char1170"/>
    <w:aliases w:val="Char9 Char Char1171,Štruktúra dokumentu Char Char Char1171,Document Map Char Char Char1171"/>
    <w:uiPriority w:val="99"/>
    <w:semiHidden/>
    <w:rsid w:val="00A809E7"/>
    <w:rPr>
      <w:rFonts w:ascii="Tahoma" w:hAnsi="Tahoma"/>
      <w:sz w:val="16"/>
      <w:lang w:val="x-none" w:eastAsia="cs-CZ"/>
    </w:rPr>
  </w:style>
  <w:style w:type="character" w:customStyle="1" w:styleId="truktradokumentuChar1169">
    <w:name w:val="Štruktúra dokumentu Char1169"/>
    <w:aliases w:val="Char9 Char Char1170,Štruktúra dokumentu Char Char Char1170,Document Map Char Char Char1170"/>
    <w:uiPriority w:val="99"/>
    <w:semiHidden/>
    <w:rsid w:val="00A809E7"/>
    <w:rPr>
      <w:rFonts w:ascii="Tahoma" w:hAnsi="Tahoma"/>
      <w:sz w:val="16"/>
      <w:lang w:val="x-none" w:eastAsia="cs-CZ"/>
    </w:rPr>
  </w:style>
  <w:style w:type="character" w:customStyle="1" w:styleId="truktradokumentuChar1168">
    <w:name w:val="Štruktúra dokumentu Char1168"/>
    <w:aliases w:val="Char9 Char Char1169,Štruktúra dokumentu Char Char Char1169,Document Map Char Char Char1169"/>
    <w:uiPriority w:val="99"/>
    <w:semiHidden/>
    <w:rsid w:val="00A809E7"/>
    <w:rPr>
      <w:rFonts w:ascii="Tahoma" w:hAnsi="Tahoma"/>
      <w:sz w:val="16"/>
      <w:lang w:val="x-none" w:eastAsia="cs-CZ"/>
    </w:rPr>
  </w:style>
  <w:style w:type="character" w:customStyle="1" w:styleId="truktradokumentuChar1167">
    <w:name w:val="Štruktúra dokumentu Char1167"/>
    <w:aliases w:val="Char9 Char Char1168,Štruktúra dokumentu Char Char Char1168,Document Map Char Char Char1168"/>
    <w:uiPriority w:val="99"/>
    <w:semiHidden/>
    <w:rsid w:val="00A809E7"/>
    <w:rPr>
      <w:rFonts w:ascii="Tahoma" w:hAnsi="Tahoma"/>
      <w:sz w:val="16"/>
      <w:lang w:val="x-none" w:eastAsia="cs-CZ"/>
    </w:rPr>
  </w:style>
  <w:style w:type="character" w:customStyle="1" w:styleId="truktradokumentuChar1166">
    <w:name w:val="Štruktúra dokumentu Char1166"/>
    <w:aliases w:val="Char9 Char Char1167,Štruktúra dokumentu Char Char Char1167,Document Map Char Char Char1167"/>
    <w:uiPriority w:val="99"/>
    <w:semiHidden/>
    <w:rsid w:val="00A809E7"/>
    <w:rPr>
      <w:rFonts w:ascii="Tahoma" w:hAnsi="Tahoma"/>
      <w:sz w:val="16"/>
      <w:lang w:val="x-none" w:eastAsia="cs-CZ"/>
    </w:rPr>
  </w:style>
  <w:style w:type="character" w:customStyle="1" w:styleId="TextkomentraChar1170">
    <w:name w:val="Text komentára Char1170"/>
    <w:aliases w:val="Char7 Char Char1171,Text komentára Char Char Char1171,Comment Text Char Char Char1171"/>
    <w:uiPriority w:val="99"/>
    <w:semiHidden/>
    <w:rsid w:val="00A809E7"/>
    <w:rPr>
      <w:rFonts w:ascii="Courier" w:hAnsi="Courier"/>
      <w:lang w:val="x-none" w:eastAsia="cs-CZ"/>
    </w:rPr>
  </w:style>
  <w:style w:type="character" w:customStyle="1" w:styleId="TextkomentraChar1169">
    <w:name w:val="Text komentára Char1169"/>
    <w:aliases w:val="Char7 Char Char1170,Text komentára Char Char Char1170,Comment Text Char Char Char1170"/>
    <w:uiPriority w:val="99"/>
    <w:semiHidden/>
    <w:rsid w:val="00A809E7"/>
    <w:rPr>
      <w:rFonts w:ascii="Courier" w:hAnsi="Courier"/>
      <w:lang w:val="x-none" w:eastAsia="cs-CZ"/>
    </w:rPr>
  </w:style>
  <w:style w:type="character" w:customStyle="1" w:styleId="TextkomentraChar1168">
    <w:name w:val="Text komentára Char1168"/>
    <w:aliases w:val="Char7 Char Char1169,Text komentára Char Char Char1169,Comment Text Char Char Char1169"/>
    <w:uiPriority w:val="99"/>
    <w:semiHidden/>
    <w:rsid w:val="00A809E7"/>
    <w:rPr>
      <w:rFonts w:ascii="Courier" w:hAnsi="Courier"/>
      <w:lang w:val="x-none" w:eastAsia="cs-CZ"/>
    </w:rPr>
  </w:style>
  <w:style w:type="character" w:customStyle="1" w:styleId="TextkomentraChar1167">
    <w:name w:val="Text komentára Char1167"/>
    <w:aliases w:val="Char7 Char Char1168,Text komentára Char Char Char1168,Comment Text Char Char Char1168"/>
    <w:uiPriority w:val="99"/>
    <w:semiHidden/>
    <w:rsid w:val="00A809E7"/>
    <w:rPr>
      <w:rFonts w:ascii="Courier" w:hAnsi="Courier"/>
      <w:lang w:val="x-none" w:eastAsia="cs-CZ"/>
    </w:rPr>
  </w:style>
  <w:style w:type="character" w:customStyle="1" w:styleId="TextkomentraChar1166">
    <w:name w:val="Text komentára Char1166"/>
    <w:aliases w:val="Char7 Char Char1167,Text komentára Char Char Char1167,Comment Text Char Char Char1167"/>
    <w:uiPriority w:val="99"/>
    <w:semiHidden/>
    <w:rsid w:val="00A809E7"/>
    <w:rPr>
      <w:rFonts w:ascii="Courier" w:hAnsi="Courier"/>
      <w:lang w:val="x-none" w:eastAsia="cs-CZ"/>
    </w:rPr>
  </w:style>
  <w:style w:type="character" w:customStyle="1" w:styleId="PredmetkomentraChar1170">
    <w:name w:val="Predmet komentára Char1170"/>
    <w:aliases w:val="Char6 Char Char1171,Predmet komentára Char Char Char1171,Comment Subject Char Char Char1171"/>
    <w:uiPriority w:val="99"/>
    <w:semiHidden/>
    <w:rsid w:val="00A809E7"/>
    <w:rPr>
      <w:rFonts w:ascii="Courier" w:hAnsi="Courier"/>
      <w:b/>
      <w:lang w:val="x-none" w:eastAsia="cs-CZ"/>
    </w:rPr>
  </w:style>
  <w:style w:type="character" w:customStyle="1" w:styleId="PredmetkomentraChar1169">
    <w:name w:val="Predmet komentára Char1169"/>
    <w:aliases w:val="Char6 Char Char1170,Predmet komentára Char Char Char1170,Comment Subject Char Char Char1170"/>
    <w:uiPriority w:val="99"/>
    <w:semiHidden/>
    <w:rsid w:val="00A809E7"/>
    <w:rPr>
      <w:rFonts w:ascii="Courier" w:hAnsi="Courier"/>
      <w:b/>
      <w:lang w:val="x-none" w:eastAsia="cs-CZ"/>
    </w:rPr>
  </w:style>
  <w:style w:type="character" w:customStyle="1" w:styleId="PredmetkomentraChar1168">
    <w:name w:val="Predmet komentára Char1168"/>
    <w:aliases w:val="Char6 Char Char1169,Predmet komentára Char Char Char1169,Comment Subject Char Char Char1169"/>
    <w:uiPriority w:val="99"/>
    <w:semiHidden/>
    <w:rsid w:val="00A809E7"/>
    <w:rPr>
      <w:rFonts w:ascii="Courier" w:hAnsi="Courier"/>
      <w:b/>
      <w:lang w:val="x-none" w:eastAsia="cs-CZ"/>
    </w:rPr>
  </w:style>
  <w:style w:type="character" w:customStyle="1" w:styleId="PredmetkomentraChar1167">
    <w:name w:val="Predmet komentára Char1167"/>
    <w:aliases w:val="Char6 Char Char1168,Predmet komentára Char Char Char1168,Comment Subject Char Char Char1168"/>
    <w:uiPriority w:val="99"/>
    <w:semiHidden/>
    <w:rsid w:val="00A809E7"/>
    <w:rPr>
      <w:rFonts w:ascii="Courier" w:hAnsi="Courier"/>
      <w:b/>
      <w:lang w:val="x-none" w:eastAsia="cs-CZ"/>
    </w:rPr>
  </w:style>
  <w:style w:type="character" w:customStyle="1" w:styleId="PredmetkomentraChar1166">
    <w:name w:val="Predmet komentára Char1166"/>
    <w:aliases w:val="Char6 Char Char1167,Predmet komentára Char Char Char1167,Comment Subject Char Char Char1167"/>
    <w:uiPriority w:val="99"/>
    <w:semiHidden/>
    <w:rsid w:val="00A809E7"/>
    <w:rPr>
      <w:rFonts w:ascii="Courier" w:hAnsi="Courier"/>
      <w:b/>
      <w:lang w:val="x-none" w:eastAsia="cs-CZ"/>
    </w:rPr>
  </w:style>
  <w:style w:type="character" w:customStyle="1" w:styleId="ObyajntextChar1170">
    <w:name w:val="Obyčajný text Char1170"/>
    <w:aliases w:val="Obyčajný text Char Char Char Char1171"/>
    <w:uiPriority w:val="99"/>
    <w:semiHidden/>
    <w:rsid w:val="00A809E7"/>
    <w:rPr>
      <w:rFonts w:ascii="Courier New" w:hAnsi="Courier New"/>
      <w:lang w:val="x-none" w:eastAsia="cs-CZ"/>
    </w:rPr>
  </w:style>
  <w:style w:type="character" w:customStyle="1" w:styleId="ObyajntextChar1169">
    <w:name w:val="Obyčajný text Char1169"/>
    <w:aliases w:val="Obyčajný text Char Char Char Char1170"/>
    <w:uiPriority w:val="99"/>
    <w:semiHidden/>
    <w:rsid w:val="00A809E7"/>
    <w:rPr>
      <w:rFonts w:ascii="Courier New" w:hAnsi="Courier New"/>
      <w:lang w:val="x-none" w:eastAsia="cs-CZ"/>
    </w:rPr>
  </w:style>
  <w:style w:type="character" w:customStyle="1" w:styleId="ObyajntextChar1168">
    <w:name w:val="Obyčajný text Char1168"/>
    <w:aliases w:val="Obyčajný text Char Char Char Char1169"/>
    <w:uiPriority w:val="99"/>
    <w:semiHidden/>
    <w:rsid w:val="00A809E7"/>
    <w:rPr>
      <w:rFonts w:ascii="Courier New" w:hAnsi="Courier New"/>
      <w:lang w:val="x-none" w:eastAsia="cs-CZ"/>
    </w:rPr>
  </w:style>
  <w:style w:type="character" w:customStyle="1" w:styleId="ObyajntextChar1167">
    <w:name w:val="Obyčajný text Char1167"/>
    <w:aliases w:val="Obyčajný text Char Char Char Char1168"/>
    <w:uiPriority w:val="99"/>
    <w:semiHidden/>
    <w:rsid w:val="00A809E7"/>
    <w:rPr>
      <w:rFonts w:ascii="Courier New" w:hAnsi="Courier New"/>
      <w:lang w:val="x-none" w:eastAsia="cs-CZ"/>
    </w:rPr>
  </w:style>
  <w:style w:type="character" w:customStyle="1" w:styleId="ObyajntextChar1166">
    <w:name w:val="Obyčajný text Char1166"/>
    <w:aliases w:val="Obyčajný text Char Char Char Char1167"/>
    <w:uiPriority w:val="99"/>
    <w:semiHidden/>
    <w:rsid w:val="00A809E7"/>
    <w:rPr>
      <w:rFonts w:ascii="Courier New" w:hAnsi="Courier New"/>
      <w:lang w:val="x-none" w:eastAsia="cs-CZ"/>
    </w:rPr>
  </w:style>
  <w:style w:type="paragraph" w:customStyle="1" w:styleId="Bulletslevel1">
    <w:name w:val="Bullets level 1"/>
    <w:basedOn w:val="Normlny"/>
    <w:link w:val="Bulletslevel1Char"/>
    <w:qFormat/>
    <w:rsid w:val="00A809E7"/>
    <w:pPr>
      <w:numPr>
        <w:numId w:val="3"/>
      </w:numPr>
      <w:spacing w:before="120" w:after="120" w:line="240" w:lineRule="auto"/>
      <w:contextualSpacing/>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A809E7"/>
    <w:rPr>
      <w:rFonts w:ascii="Arial" w:eastAsia="Times New Roman" w:hAnsi="Arial" w:cs="Times New Roman"/>
      <w:color w:val="000000"/>
      <w:sz w:val="19"/>
      <w:szCs w:val="20"/>
      <w:lang w:val="en-GB"/>
    </w:rPr>
  </w:style>
  <w:style w:type="paragraph" w:customStyle="1" w:styleId="List0">
    <w:name w:val="List 0"/>
    <w:basedOn w:val="Normlny"/>
    <w:semiHidden/>
    <w:qFormat/>
    <w:rsid w:val="00A809E7"/>
    <w:pPr>
      <w:numPr>
        <w:numId w:val="2"/>
      </w:numPr>
      <w:spacing w:after="0" w:line="240" w:lineRule="auto"/>
    </w:pPr>
    <w:rPr>
      <w:rFonts w:ascii="Times New Roman" w:eastAsia="Times New Roman" w:hAnsi="Times New Roman" w:cs="Times New Roman"/>
      <w:sz w:val="20"/>
      <w:szCs w:val="20"/>
      <w:lang w:eastAsia="sk-SK"/>
    </w:rPr>
  </w:style>
  <w:style w:type="paragraph" w:styleId="Obsah3">
    <w:name w:val="toc 3"/>
    <w:basedOn w:val="Normlny"/>
    <w:next w:val="Normlny"/>
    <w:autoRedefine/>
    <w:uiPriority w:val="39"/>
    <w:unhideWhenUsed/>
    <w:rsid w:val="00A809E7"/>
    <w:pPr>
      <w:spacing w:after="100" w:line="276" w:lineRule="auto"/>
      <w:ind w:left="440"/>
    </w:pPr>
    <w:rPr>
      <w:rFonts w:ascii="Calibri" w:eastAsia="Times New Roman" w:hAnsi="Calibri" w:cs="Times New Roman"/>
      <w:lang w:eastAsia="sk-SK"/>
    </w:rPr>
  </w:style>
  <w:style w:type="paragraph" w:styleId="Obsah4">
    <w:name w:val="toc 4"/>
    <w:basedOn w:val="Normlny"/>
    <w:next w:val="Normlny"/>
    <w:autoRedefine/>
    <w:uiPriority w:val="39"/>
    <w:unhideWhenUsed/>
    <w:rsid w:val="00A809E7"/>
    <w:pPr>
      <w:spacing w:after="100" w:line="276" w:lineRule="auto"/>
      <w:ind w:left="660"/>
    </w:pPr>
    <w:rPr>
      <w:rFonts w:ascii="Calibri" w:eastAsia="Times New Roman" w:hAnsi="Calibri" w:cs="Times New Roman"/>
      <w:lang w:eastAsia="sk-SK"/>
    </w:rPr>
  </w:style>
  <w:style w:type="paragraph" w:styleId="Obsah5">
    <w:name w:val="toc 5"/>
    <w:basedOn w:val="Normlny"/>
    <w:next w:val="Normlny"/>
    <w:autoRedefine/>
    <w:uiPriority w:val="39"/>
    <w:unhideWhenUsed/>
    <w:rsid w:val="00A809E7"/>
    <w:pPr>
      <w:spacing w:after="100" w:line="276" w:lineRule="auto"/>
      <w:ind w:left="880"/>
    </w:pPr>
    <w:rPr>
      <w:rFonts w:ascii="Calibri" w:eastAsia="Times New Roman" w:hAnsi="Calibri" w:cs="Times New Roman"/>
      <w:lang w:eastAsia="sk-SK"/>
    </w:rPr>
  </w:style>
  <w:style w:type="paragraph" w:styleId="Obsah6">
    <w:name w:val="toc 6"/>
    <w:basedOn w:val="Normlny"/>
    <w:next w:val="Normlny"/>
    <w:autoRedefine/>
    <w:uiPriority w:val="39"/>
    <w:unhideWhenUsed/>
    <w:rsid w:val="00A809E7"/>
    <w:pPr>
      <w:spacing w:after="100" w:line="276" w:lineRule="auto"/>
      <w:ind w:left="1100"/>
    </w:pPr>
    <w:rPr>
      <w:rFonts w:ascii="Calibri" w:eastAsia="Times New Roman" w:hAnsi="Calibri" w:cs="Times New Roman"/>
      <w:lang w:eastAsia="sk-SK"/>
    </w:rPr>
  </w:style>
  <w:style w:type="paragraph" w:styleId="Obsah7">
    <w:name w:val="toc 7"/>
    <w:basedOn w:val="Normlny"/>
    <w:next w:val="Normlny"/>
    <w:autoRedefine/>
    <w:uiPriority w:val="39"/>
    <w:unhideWhenUsed/>
    <w:rsid w:val="00A809E7"/>
    <w:pPr>
      <w:spacing w:after="100" w:line="276" w:lineRule="auto"/>
      <w:ind w:left="1320"/>
    </w:pPr>
    <w:rPr>
      <w:rFonts w:ascii="Calibri" w:eastAsia="Times New Roman" w:hAnsi="Calibri" w:cs="Times New Roman"/>
      <w:lang w:eastAsia="sk-SK"/>
    </w:rPr>
  </w:style>
  <w:style w:type="paragraph" w:styleId="Obsah8">
    <w:name w:val="toc 8"/>
    <w:basedOn w:val="Normlny"/>
    <w:next w:val="Normlny"/>
    <w:autoRedefine/>
    <w:uiPriority w:val="39"/>
    <w:unhideWhenUsed/>
    <w:rsid w:val="00A809E7"/>
    <w:pPr>
      <w:spacing w:after="100" w:line="276" w:lineRule="auto"/>
      <w:ind w:left="1540"/>
    </w:pPr>
    <w:rPr>
      <w:rFonts w:ascii="Calibri" w:eastAsia="Times New Roman" w:hAnsi="Calibri" w:cs="Times New Roman"/>
      <w:lang w:eastAsia="sk-SK"/>
    </w:rPr>
  </w:style>
  <w:style w:type="paragraph" w:styleId="Obsah9">
    <w:name w:val="toc 9"/>
    <w:basedOn w:val="Normlny"/>
    <w:next w:val="Normlny"/>
    <w:autoRedefine/>
    <w:uiPriority w:val="39"/>
    <w:unhideWhenUsed/>
    <w:rsid w:val="00A809E7"/>
    <w:pPr>
      <w:spacing w:after="100" w:line="276" w:lineRule="auto"/>
      <w:ind w:left="1760"/>
    </w:pPr>
    <w:rPr>
      <w:rFonts w:ascii="Calibri" w:eastAsia="Times New Roman" w:hAnsi="Calibri" w:cs="Times New Roman"/>
      <w:lang w:eastAsia="sk-SK"/>
    </w:rPr>
  </w:style>
  <w:style w:type="paragraph" w:customStyle="1" w:styleId="titulok">
    <w:name w:val="titulok"/>
    <w:basedOn w:val="Normlny"/>
    <w:qFormat/>
    <w:rsid w:val="00A809E7"/>
    <w:pPr>
      <w:spacing w:before="100" w:beforeAutospacing="1" w:after="100" w:afterAutospacing="1" w:line="240" w:lineRule="auto"/>
      <w:jc w:val="center"/>
    </w:pPr>
    <w:rPr>
      <w:rFonts w:ascii="Arial" w:eastAsia="Times New Roman" w:hAnsi="Arial" w:cs="Arial"/>
      <w:b/>
      <w:bCs/>
      <w:color w:val="007060"/>
      <w:sz w:val="24"/>
      <w:szCs w:val="24"/>
      <w:lang w:eastAsia="sk-SK"/>
    </w:rPr>
  </w:style>
  <w:style w:type="table" w:customStyle="1" w:styleId="Mriekatabuky3">
    <w:name w:val="Mriežka tabuľky3"/>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A809E7"/>
    <w:pPr>
      <w:spacing w:after="0" w:line="240" w:lineRule="auto"/>
    </w:pPr>
    <w:rPr>
      <w:rFonts w:ascii="Courier" w:eastAsia="Times New Roman" w:hAnsi="Courier" w:cs="Courier"/>
      <w:sz w:val="20"/>
      <w:szCs w:val="20"/>
      <w:lang w:eastAsia="cs-CZ"/>
    </w:rPr>
  </w:style>
  <w:style w:type="character" w:customStyle="1" w:styleId="TextvysvetlivkyChar">
    <w:name w:val="Text vysvetlivky Char"/>
    <w:basedOn w:val="Predvolenpsmoodseku"/>
    <w:link w:val="Textvysvetlivky"/>
    <w:uiPriority w:val="99"/>
    <w:semiHidden/>
    <w:rsid w:val="00A809E7"/>
    <w:rPr>
      <w:rFonts w:ascii="Courier" w:eastAsia="Times New Roman" w:hAnsi="Courier" w:cs="Courier"/>
      <w:sz w:val="20"/>
      <w:szCs w:val="20"/>
      <w:lang w:eastAsia="cs-CZ"/>
    </w:rPr>
  </w:style>
  <w:style w:type="character" w:styleId="Odkaznavysvetlivku">
    <w:name w:val="endnote reference"/>
    <w:basedOn w:val="Predvolenpsmoodseku"/>
    <w:uiPriority w:val="99"/>
    <w:semiHidden/>
    <w:unhideWhenUsed/>
    <w:rsid w:val="00A809E7"/>
    <w:rPr>
      <w:rFonts w:cs="Times New Roman"/>
      <w:vertAlign w:val="superscript"/>
    </w:rPr>
  </w:style>
  <w:style w:type="character" w:customStyle="1" w:styleId="Nadpis7Char1">
    <w:name w:val="Nadpis 7 Char1"/>
    <w:uiPriority w:val="99"/>
    <w:semiHidden/>
    <w:rsid w:val="00A809E7"/>
    <w:rPr>
      <w:rFonts w:ascii="Cambria" w:hAnsi="Cambria"/>
      <w:i/>
      <w:color w:val="404040"/>
      <w:sz w:val="24"/>
      <w:lang w:val="x-none" w:eastAsia="cs-CZ"/>
    </w:rPr>
  </w:style>
  <w:style w:type="character" w:customStyle="1" w:styleId="Nadpis8Char1">
    <w:name w:val="Nadpis 8 Char1"/>
    <w:uiPriority w:val="99"/>
    <w:semiHidden/>
    <w:rsid w:val="00A809E7"/>
    <w:rPr>
      <w:rFonts w:ascii="Cambria" w:hAnsi="Cambria"/>
      <w:color w:val="404040"/>
      <w:lang w:val="x-none" w:eastAsia="cs-CZ"/>
    </w:rPr>
  </w:style>
  <w:style w:type="character" w:customStyle="1" w:styleId="Nadpis9Char1">
    <w:name w:val="Nadpis 9 Char1"/>
    <w:uiPriority w:val="99"/>
    <w:semiHidden/>
    <w:rsid w:val="00A809E7"/>
    <w:rPr>
      <w:rFonts w:ascii="Cambria" w:hAnsi="Cambria"/>
      <w:i/>
      <w:color w:val="404040"/>
      <w:lang w:val="x-none" w:eastAsia="cs-CZ"/>
    </w:rPr>
  </w:style>
  <w:style w:type="character" w:customStyle="1" w:styleId="TextvysvetlivkyChar1">
    <w:name w:val="Text vysvetlivky Char1"/>
    <w:uiPriority w:val="99"/>
    <w:semiHidden/>
    <w:rsid w:val="00A809E7"/>
    <w:rPr>
      <w:rFonts w:ascii="Courier" w:hAnsi="Courier"/>
      <w:sz w:val="20"/>
      <w:lang w:val="x-none" w:eastAsia="cs-CZ"/>
    </w:rPr>
  </w:style>
  <w:style w:type="table" w:customStyle="1" w:styleId="Mriekatabuky4">
    <w:name w:val="Mriežka tabuľky4"/>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
    <w:name w:val="Mriežka tabuľky22"/>
    <w:basedOn w:val="Normlnatabuka"/>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
    <w:name w:val="Mriežka tabuľky112"/>
    <w:basedOn w:val="Normlnatabuka"/>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
    <w:name w:val="Mriežka tabuľky121"/>
    <w:basedOn w:val="Normlnatabuka"/>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
    <w:name w:val="Mriežka tabuľky211"/>
    <w:basedOn w:val="Normlnatabuka"/>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uktradokumentuChar1619">
    <w:name w:val="Štruktúra dokumentu Char1619"/>
    <w:aliases w:val="Char9 Char Char1620,Štruktúra dokumentu Char Char Char1620,Document Map Char Char Char1620"/>
    <w:uiPriority w:val="99"/>
    <w:semiHidden/>
    <w:rsid w:val="00A809E7"/>
    <w:rPr>
      <w:rFonts w:ascii="Tahoma" w:hAnsi="Tahoma"/>
      <w:sz w:val="16"/>
      <w:lang w:val="x-none" w:eastAsia="cs-CZ"/>
    </w:rPr>
  </w:style>
  <w:style w:type="character" w:customStyle="1" w:styleId="truktradokumentuChar1618">
    <w:name w:val="Štruktúra dokumentu Char1618"/>
    <w:aliases w:val="Char9 Char Char1619,Štruktúra dokumentu Char Char Char1619,Document Map Char Char Char1619"/>
    <w:uiPriority w:val="99"/>
    <w:semiHidden/>
    <w:rsid w:val="00A809E7"/>
    <w:rPr>
      <w:rFonts w:ascii="Tahoma" w:hAnsi="Tahoma"/>
      <w:sz w:val="16"/>
      <w:lang w:val="x-none" w:eastAsia="cs-CZ"/>
    </w:rPr>
  </w:style>
  <w:style w:type="character" w:customStyle="1" w:styleId="truktradokumentuChar1617">
    <w:name w:val="Štruktúra dokumentu Char1617"/>
    <w:aliases w:val="Char9 Char Char1618,Štruktúra dokumentu Char Char Char1618,Document Map Char Char Char1618"/>
    <w:uiPriority w:val="99"/>
    <w:semiHidden/>
    <w:rsid w:val="00A809E7"/>
    <w:rPr>
      <w:rFonts w:ascii="Tahoma" w:hAnsi="Tahoma"/>
      <w:sz w:val="16"/>
      <w:lang w:val="x-none" w:eastAsia="cs-CZ"/>
    </w:rPr>
  </w:style>
  <w:style w:type="character" w:customStyle="1" w:styleId="truktradokumentuChar1616">
    <w:name w:val="Štruktúra dokumentu Char1616"/>
    <w:aliases w:val="Char9 Char Char1617,Štruktúra dokumentu Char Char Char1617,Document Map Char Char Char1617"/>
    <w:uiPriority w:val="99"/>
    <w:semiHidden/>
    <w:rsid w:val="00A809E7"/>
    <w:rPr>
      <w:rFonts w:ascii="Tahoma" w:hAnsi="Tahoma"/>
      <w:sz w:val="16"/>
      <w:lang w:val="x-none" w:eastAsia="cs-CZ"/>
    </w:rPr>
  </w:style>
  <w:style w:type="character" w:customStyle="1" w:styleId="truktradokumentuChar1615">
    <w:name w:val="Štruktúra dokumentu Char1615"/>
    <w:aliases w:val="Char9 Char Char1616,Štruktúra dokumentu Char Char Char1616,Document Map Char Char Char1616"/>
    <w:uiPriority w:val="99"/>
    <w:semiHidden/>
    <w:rsid w:val="00A809E7"/>
    <w:rPr>
      <w:rFonts w:ascii="Tahoma" w:hAnsi="Tahoma"/>
      <w:sz w:val="16"/>
      <w:lang w:val="x-none" w:eastAsia="cs-CZ"/>
    </w:rPr>
  </w:style>
  <w:style w:type="character" w:customStyle="1" w:styleId="TextkomentraChar1619">
    <w:name w:val="Text komentára Char1619"/>
    <w:aliases w:val="Char7 Char Char1620,Text komentára Char Char Char1620,Comment Text Char Char Char1620"/>
    <w:uiPriority w:val="99"/>
    <w:semiHidden/>
    <w:rsid w:val="00A809E7"/>
    <w:rPr>
      <w:rFonts w:ascii="Courier" w:hAnsi="Courier"/>
      <w:lang w:val="x-none" w:eastAsia="cs-CZ"/>
    </w:rPr>
  </w:style>
  <w:style w:type="character" w:customStyle="1" w:styleId="TextkomentraChar1618">
    <w:name w:val="Text komentára Char1618"/>
    <w:aliases w:val="Char7 Char Char1619,Text komentára Char Char Char1619,Comment Text Char Char Char1619"/>
    <w:uiPriority w:val="99"/>
    <w:semiHidden/>
    <w:rsid w:val="00A809E7"/>
    <w:rPr>
      <w:rFonts w:ascii="Courier" w:hAnsi="Courier"/>
      <w:lang w:val="x-none" w:eastAsia="cs-CZ"/>
    </w:rPr>
  </w:style>
  <w:style w:type="character" w:customStyle="1" w:styleId="TextkomentraChar1617">
    <w:name w:val="Text komentára Char1617"/>
    <w:aliases w:val="Char7 Char Char1618,Text komentára Char Char Char1618,Comment Text Char Char Char1618"/>
    <w:uiPriority w:val="99"/>
    <w:semiHidden/>
    <w:rsid w:val="00A809E7"/>
    <w:rPr>
      <w:rFonts w:ascii="Courier" w:hAnsi="Courier"/>
      <w:lang w:val="x-none" w:eastAsia="cs-CZ"/>
    </w:rPr>
  </w:style>
  <w:style w:type="character" w:customStyle="1" w:styleId="TextkomentraChar1616">
    <w:name w:val="Text komentára Char1616"/>
    <w:aliases w:val="Char7 Char Char1617,Text komentára Char Char Char1617,Comment Text Char Char Char1617"/>
    <w:uiPriority w:val="99"/>
    <w:semiHidden/>
    <w:rsid w:val="00A809E7"/>
    <w:rPr>
      <w:rFonts w:ascii="Courier" w:hAnsi="Courier"/>
      <w:lang w:val="x-none" w:eastAsia="cs-CZ"/>
    </w:rPr>
  </w:style>
  <w:style w:type="character" w:customStyle="1" w:styleId="TextkomentraChar1615">
    <w:name w:val="Text komentára Char1615"/>
    <w:aliases w:val="Char7 Char Char1616,Text komentára Char Char Char1616,Comment Text Char Char Char1616"/>
    <w:uiPriority w:val="99"/>
    <w:semiHidden/>
    <w:rsid w:val="00A809E7"/>
    <w:rPr>
      <w:rFonts w:ascii="Courier" w:hAnsi="Courier"/>
      <w:lang w:val="x-none" w:eastAsia="cs-CZ"/>
    </w:rPr>
  </w:style>
  <w:style w:type="character" w:customStyle="1" w:styleId="PredmetkomentraChar1619">
    <w:name w:val="Predmet komentára Char1619"/>
    <w:aliases w:val="Char6 Char Char1620,Predmet komentára Char Char Char1620,Comment Subject Char Char Char1620"/>
    <w:uiPriority w:val="99"/>
    <w:semiHidden/>
    <w:rsid w:val="00A809E7"/>
    <w:rPr>
      <w:rFonts w:ascii="Courier" w:hAnsi="Courier"/>
      <w:b/>
      <w:lang w:val="x-none" w:eastAsia="cs-CZ"/>
    </w:rPr>
  </w:style>
  <w:style w:type="character" w:customStyle="1" w:styleId="PredmetkomentraChar1618">
    <w:name w:val="Predmet komentára Char1618"/>
    <w:aliases w:val="Char6 Char Char1619,Predmet komentára Char Char Char1619,Comment Subject Char Char Char1619"/>
    <w:uiPriority w:val="99"/>
    <w:semiHidden/>
    <w:rsid w:val="00A809E7"/>
    <w:rPr>
      <w:rFonts w:ascii="Courier" w:hAnsi="Courier"/>
      <w:b/>
      <w:lang w:val="x-none" w:eastAsia="cs-CZ"/>
    </w:rPr>
  </w:style>
  <w:style w:type="character" w:customStyle="1" w:styleId="PredmetkomentraChar1617">
    <w:name w:val="Predmet komentára Char1617"/>
    <w:aliases w:val="Char6 Char Char1618,Predmet komentára Char Char Char1618,Comment Subject Char Char Char1618"/>
    <w:uiPriority w:val="99"/>
    <w:semiHidden/>
    <w:rsid w:val="00A809E7"/>
    <w:rPr>
      <w:rFonts w:ascii="Courier" w:hAnsi="Courier"/>
      <w:b/>
      <w:lang w:val="x-none" w:eastAsia="cs-CZ"/>
    </w:rPr>
  </w:style>
  <w:style w:type="character" w:customStyle="1" w:styleId="PredmetkomentraChar1616">
    <w:name w:val="Predmet komentára Char1616"/>
    <w:aliases w:val="Char6 Char Char1617,Predmet komentára Char Char Char1617,Comment Subject Char Char Char1617"/>
    <w:uiPriority w:val="99"/>
    <w:semiHidden/>
    <w:rsid w:val="00A809E7"/>
    <w:rPr>
      <w:rFonts w:ascii="Courier" w:hAnsi="Courier"/>
      <w:b/>
      <w:lang w:val="x-none" w:eastAsia="cs-CZ"/>
    </w:rPr>
  </w:style>
  <w:style w:type="character" w:customStyle="1" w:styleId="PredmetkomentraChar1615">
    <w:name w:val="Predmet komentára Char1615"/>
    <w:aliases w:val="Char6 Char Char1616,Predmet komentára Char Char Char1616,Comment Subject Char Char Char1616"/>
    <w:uiPriority w:val="99"/>
    <w:semiHidden/>
    <w:rsid w:val="00A809E7"/>
    <w:rPr>
      <w:rFonts w:ascii="Courier" w:hAnsi="Courier"/>
      <w:b/>
      <w:lang w:val="x-none" w:eastAsia="cs-CZ"/>
    </w:rPr>
  </w:style>
  <w:style w:type="character" w:customStyle="1" w:styleId="ObyajntextChar1619">
    <w:name w:val="Obyčajný text Char1619"/>
    <w:aliases w:val="Obyčajný text Char Char Char Char1620"/>
    <w:uiPriority w:val="99"/>
    <w:semiHidden/>
    <w:rsid w:val="00A809E7"/>
    <w:rPr>
      <w:rFonts w:ascii="Courier New" w:hAnsi="Courier New"/>
      <w:lang w:val="x-none" w:eastAsia="cs-CZ"/>
    </w:rPr>
  </w:style>
  <w:style w:type="character" w:customStyle="1" w:styleId="ObyajntextChar1618">
    <w:name w:val="Obyčajný text Char1618"/>
    <w:aliases w:val="Obyčajný text Char Char Char Char1619"/>
    <w:uiPriority w:val="99"/>
    <w:semiHidden/>
    <w:rsid w:val="00A809E7"/>
    <w:rPr>
      <w:rFonts w:ascii="Courier New" w:hAnsi="Courier New"/>
      <w:lang w:val="x-none" w:eastAsia="cs-CZ"/>
    </w:rPr>
  </w:style>
  <w:style w:type="character" w:customStyle="1" w:styleId="ObyajntextChar1617">
    <w:name w:val="Obyčajný text Char1617"/>
    <w:aliases w:val="Obyčajný text Char Char Char Char1618"/>
    <w:uiPriority w:val="99"/>
    <w:semiHidden/>
    <w:rsid w:val="00A809E7"/>
    <w:rPr>
      <w:rFonts w:ascii="Courier New" w:hAnsi="Courier New"/>
      <w:lang w:val="x-none" w:eastAsia="cs-CZ"/>
    </w:rPr>
  </w:style>
  <w:style w:type="character" w:customStyle="1" w:styleId="ObyajntextChar1616">
    <w:name w:val="Obyčajný text Char1616"/>
    <w:aliases w:val="Obyčajný text Char Char Char Char1617"/>
    <w:uiPriority w:val="99"/>
    <w:semiHidden/>
    <w:rsid w:val="00A809E7"/>
    <w:rPr>
      <w:rFonts w:ascii="Courier New" w:hAnsi="Courier New"/>
      <w:lang w:val="x-none" w:eastAsia="cs-CZ"/>
    </w:rPr>
  </w:style>
  <w:style w:type="character" w:customStyle="1" w:styleId="ObyajntextChar1615">
    <w:name w:val="Obyčajný text Char1615"/>
    <w:aliases w:val="Obyčajný text Char Char Char Char1616"/>
    <w:uiPriority w:val="99"/>
    <w:semiHidden/>
    <w:rsid w:val="00A809E7"/>
    <w:rPr>
      <w:rFonts w:ascii="Courier New" w:hAnsi="Courier New"/>
      <w:lang w:val="x-none" w:eastAsia="cs-CZ"/>
    </w:rPr>
  </w:style>
  <w:style w:type="table" w:customStyle="1" w:styleId="Kalendr2">
    <w:name w:val="Kalendár 2"/>
    <w:basedOn w:val="Normlnatabuka"/>
    <w:uiPriority w:val="99"/>
    <w:qFormat/>
    <w:rsid w:val="00A809E7"/>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
    <w:name w:val="Bez zoznamu1"/>
    <w:next w:val="Bezzoznamu"/>
    <w:uiPriority w:val="99"/>
    <w:semiHidden/>
    <w:unhideWhenUsed/>
    <w:rsid w:val="00A809E7"/>
  </w:style>
  <w:style w:type="character" w:customStyle="1" w:styleId="truktradokumentuChar1630">
    <w:name w:val="Štruktúra dokumentu Char1630"/>
    <w:aliases w:val="Char9 Char Char1631,Štruktúra dokumentu Char Char Char1631,Document Map Char Char Char1631"/>
    <w:basedOn w:val="Predvolenpsmoodseku"/>
    <w:uiPriority w:val="99"/>
    <w:semiHidden/>
    <w:rsid w:val="00A809E7"/>
    <w:rPr>
      <w:rFonts w:ascii="Tahoma" w:hAnsi="Tahoma" w:cs="Tahoma"/>
      <w:sz w:val="16"/>
      <w:szCs w:val="16"/>
      <w:lang w:val="x-none" w:eastAsia="cs-CZ"/>
    </w:rPr>
  </w:style>
  <w:style w:type="character" w:customStyle="1" w:styleId="truktradokumentuChar1629">
    <w:name w:val="Štruktúra dokumentu Char1629"/>
    <w:aliases w:val="Char9 Char Char1630,Štruktúra dokumentu Char Char Char1630,Document Map Char Char Char1630"/>
    <w:basedOn w:val="Predvolenpsmoodseku"/>
    <w:uiPriority w:val="99"/>
    <w:semiHidden/>
    <w:rsid w:val="00A809E7"/>
    <w:rPr>
      <w:rFonts w:ascii="Tahoma" w:hAnsi="Tahoma" w:cs="Tahoma"/>
      <w:sz w:val="16"/>
      <w:szCs w:val="16"/>
      <w:lang w:val="x-none" w:eastAsia="cs-CZ"/>
    </w:rPr>
  </w:style>
  <w:style w:type="character" w:customStyle="1" w:styleId="truktradokumentuChar1628">
    <w:name w:val="Štruktúra dokumentu Char1628"/>
    <w:aliases w:val="Char9 Char Char1629,Štruktúra dokumentu Char Char Char1629,Document Map Char Char Char1629"/>
    <w:basedOn w:val="Predvolenpsmoodseku"/>
    <w:uiPriority w:val="99"/>
    <w:semiHidden/>
    <w:rsid w:val="00A809E7"/>
    <w:rPr>
      <w:rFonts w:ascii="Tahoma" w:hAnsi="Tahoma" w:cs="Tahoma"/>
      <w:sz w:val="16"/>
      <w:szCs w:val="16"/>
      <w:lang w:val="x-none" w:eastAsia="cs-CZ"/>
    </w:rPr>
  </w:style>
  <w:style w:type="character" w:customStyle="1" w:styleId="truktradokumentuChar1627">
    <w:name w:val="Štruktúra dokumentu Char1627"/>
    <w:aliases w:val="Char9 Char Char1628,Štruktúra dokumentu Char Char Char1628,Document Map Char Char Char1628"/>
    <w:basedOn w:val="Predvolenpsmoodseku"/>
    <w:uiPriority w:val="99"/>
    <w:semiHidden/>
    <w:rsid w:val="00A809E7"/>
    <w:rPr>
      <w:rFonts w:ascii="Tahoma" w:hAnsi="Tahoma" w:cs="Tahoma"/>
      <w:sz w:val="16"/>
      <w:szCs w:val="16"/>
      <w:lang w:val="x-none" w:eastAsia="cs-CZ"/>
    </w:rPr>
  </w:style>
  <w:style w:type="character" w:customStyle="1" w:styleId="truktradokumentuChar1626">
    <w:name w:val="Štruktúra dokumentu Char1626"/>
    <w:aliases w:val="Char9 Char Char1627,Štruktúra dokumentu Char Char Char1627,Document Map Char Char Char1627"/>
    <w:basedOn w:val="Predvolenpsmoodseku"/>
    <w:uiPriority w:val="99"/>
    <w:semiHidden/>
    <w:rsid w:val="00A809E7"/>
    <w:rPr>
      <w:rFonts w:ascii="Tahoma" w:hAnsi="Tahoma" w:cs="Tahoma"/>
      <w:sz w:val="16"/>
      <w:szCs w:val="16"/>
      <w:lang w:val="x-none" w:eastAsia="cs-CZ"/>
    </w:rPr>
  </w:style>
  <w:style w:type="character" w:customStyle="1" w:styleId="truktradokumentuChar1625">
    <w:name w:val="Štruktúra dokumentu Char1625"/>
    <w:aliases w:val="Char9 Char Char1626,Štruktúra dokumentu Char Char Char1626,Document Map Char Char Char1626"/>
    <w:basedOn w:val="Predvolenpsmoodseku"/>
    <w:uiPriority w:val="99"/>
    <w:semiHidden/>
    <w:rsid w:val="00A809E7"/>
    <w:rPr>
      <w:rFonts w:ascii="Tahoma" w:hAnsi="Tahoma" w:cs="Tahoma"/>
      <w:sz w:val="16"/>
      <w:szCs w:val="16"/>
      <w:lang w:val="x-none" w:eastAsia="cs-CZ"/>
    </w:rPr>
  </w:style>
  <w:style w:type="character" w:customStyle="1" w:styleId="truktradokumentuChar1624">
    <w:name w:val="Štruktúra dokumentu Char1624"/>
    <w:aliases w:val="Char9 Char Char1625,Štruktúra dokumentu Char Char Char1625,Document Map Char Char Char1625"/>
    <w:basedOn w:val="Predvolenpsmoodseku"/>
    <w:uiPriority w:val="99"/>
    <w:semiHidden/>
    <w:rsid w:val="00A809E7"/>
    <w:rPr>
      <w:rFonts w:ascii="Tahoma" w:hAnsi="Tahoma" w:cs="Tahoma"/>
      <w:sz w:val="16"/>
      <w:szCs w:val="16"/>
      <w:lang w:val="x-none" w:eastAsia="cs-CZ"/>
    </w:rPr>
  </w:style>
  <w:style w:type="character" w:customStyle="1" w:styleId="truktradokumentuChar1623">
    <w:name w:val="Štruktúra dokumentu Char1623"/>
    <w:aliases w:val="Char9 Char Char1624,Štruktúra dokumentu Char Char Char1624,Document Map Char Char Char1624"/>
    <w:basedOn w:val="Predvolenpsmoodseku"/>
    <w:uiPriority w:val="99"/>
    <w:semiHidden/>
    <w:rsid w:val="00A809E7"/>
    <w:rPr>
      <w:rFonts w:ascii="Tahoma" w:hAnsi="Tahoma" w:cs="Tahoma"/>
      <w:sz w:val="16"/>
      <w:szCs w:val="16"/>
      <w:lang w:val="x-none" w:eastAsia="cs-CZ"/>
    </w:rPr>
  </w:style>
  <w:style w:type="character" w:customStyle="1" w:styleId="truktradokumentuChar1622">
    <w:name w:val="Štruktúra dokumentu Char1622"/>
    <w:aliases w:val="Char9 Char Char1623,Štruktúra dokumentu Char Char Char1623,Document Map Char Char Char1623"/>
    <w:basedOn w:val="Predvolenpsmoodseku"/>
    <w:uiPriority w:val="99"/>
    <w:semiHidden/>
    <w:rsid w:val="00A809E7"/>
    <w:rPr>
      <w:rFonts w:ascii="Tahoma" w:hAnsi="Tahoma" w:cs="Tahoma"/>
      <w:sz w:val="16"/>
      <w:szCs w:val="16"/>
      <w:lang w:val="x-none" w:eastAsia="cs-CZ"/>
    </w:rPr>
  </w:style>
  <w:style w:type="character" w:customStyle="1" w:styleId="TextkomentraChar1630">
    <w:name w:val="Text komentára Char1630"/>
    <w:aliases w:val="Char7 Char Char1631,Text komentára Char Char Char1631,Comment Text Char Char Char1631"/>
    <w:basedOn w:val="Predvolenpsmoodseku"/>
    <w:uiPriority w:val="99"/>
    <w:semiHidden/>
    <w:rsid w:val="00A809E7"/>
    <w:rPr>
      <w:rFonts w:ascii="Courier" w:hAnsi="Courier" w:cs="Courier"/>
      <w:lang w:val="x-none" w:eastAsia="cs-CZ"/>
    </w:rPr>
  </w:style>
  <w:style w:type="character" w:customStyle="1" w:styleId="TextkomentraChar1629">
    <w:name w:val="Text komentára Char1629"/>
    <w:aliases w:val="Char7 Char Char1630,Text komentára Char Char Char1630,Comment Text Char Char Char1630"/>
    <w:basedOn w:val="Predvolenpsmoodseku"/>
    <w:uiPriority w:val="99"/>
    <w:semiHidden/>
    <w:rsid w:val="00A809E7"/>
    <w:rPr>
      <w:rFonts w:ascii="Courier" w:hAnsi="Courier" w:cs="Courier"/>
      <w:lang w:val="x-none" w:eastAsia="cs-CZ"/>
    </w:rPr>
  </w:style>
  <w:style w:type="character" w:customStyle="1" w:styleId="TextkomentraChar1628">
    <w:name w:val="Text komentára Char1628"/>
    <w:aliases w:val="Char7 Char Char1629,Text komentára Char Char Char1629,Comment Text Char Char Char1629"/>
    <w:basedOn w:val="Predvolenpsmoodseku"/>
    <w:uiPriority w:val="99"/>
    <w:semiHidden/>
    <w:rsid w:val="00A809E7"/>
    <w:rPr>
      <w:rFonts w:ascii="Courier" w:hAnsi="Courier" w:cs="Courier"/>
      <w:lang w:val="x-none" w:eastAsia="cs-CZ"/>
    </w:rPr>
  </w:style>
  <w:style w:type="character" w:customStyle="1" w:styleId="TextkomentraChar1627">
    <w:name w:val="Text komentára Char1627"/>
    <w:aliases w:val="Char7 Char Char1628,Text komentára Char Char Char1628,Comment Text Char Char Char1628"/>
    <w:basedOn w:val="Predvolenpsmoodseku"/>
    <w:uiPriority w:val="99"/>
    <w:semiHidden/>
    <w:rsid w:val="00A809E7"/>
    <w:rPr>
      <w:rFonts w:ascii="Courier" w:hAnsi="Courier" w:cs="Courier"/>
      <w:lang w:val="x-none" w:eastAsia="cs-CZ"/>
    </w:rPr>
  </w:style>
  <w:style w:type="character" w:customStyle="1" w:styleId="TextkomentraChar1626">
    <w:name w:val="Text komentára Char1626"/>
    <w:aliases w:val="Char7 Char Char1627,Text komentára Char Char Char1627,Comment Text Char Char Char1627"/>
    <w:basedOn w:val="Predvolenpsmoodseku"/>
    <w:uiPriority w:val="99"/>
    <w:semiHidden/>
    <w:rsid w:val="00A809E7"/>
    <w:rPr>
      <w:rFonts w:ascii="Courier" w:hAnsi="Courier" w:cs="Courier"/>
      <w:lang w:val="x-none" w:eastAsia="cs-CZ"/>
    </w:rPr>
  </w:style>
  <w:style w:type="character" w:customStyle="1" w:styleId="TextkomentraChar1625">
    <w:name w:val="Text komentára Char1625"/>
    <w:aliases w:val="Char7 Char Char1626,Text komentára Char Char Char1626,Comment Text Char Char Char1626"/>
    <w:basedOn w:val="Predvolenpsmoodseku"/>
    <w:uiPriority w:val="99"/>
    <w:semiHidden/>
    <w:rsid w:val="00A809E7"/>
    <w:rPr>
      <w:rFonts w:ascii="Courier" w:hAnsi="Courier" w:cs="Courier"/>
      <w:lang w:val="x-none" w:eastAsia="cs-CZ"/>
    </w:rPr>
  </w:style>
  <w:style w:type="character" w:customStyle="1" w:styleId="TextkomentraChar1624">
    <w:name w:val="Text komentára Char1624"/>
    <w:aliases w:val="Char7 Char Char1625,Text komentára Char Char Char1625,Comment Text Char Char Char1625"/>
    <w:basedOn w:val="Predvolenpsmoodseku"/>
    <w:uiPriority w:val="99"/>
    <w:semiHidden/>
    <w:rsid w:val="00A809E7"/>
    <w:rPr>
      <w:rFonts w:ascii="Courier" w:hAnsi="Courier" w:cs="Courier"/>
      <w:lang w:val="x-none" w:eastAsia="cs-CZ"/>
    </w:rPr>
  </w:style>
  <w:style w:type="character" w:customStyle="1" w:styleId="TextkomentraChar1623">
    <w:name w:val="Text komentára Char1623"/>
    <w:aliases w:val="Char7 Char Char1624,Text komentára Char Char Char1624,Comment Text Char Char Char1624"/>
    <w:basedOn w:val="Predvolenpsmoodseku"/>
    <w:uiPriority w:val="99"/>
    <w:semiHidden/>
    <w:rsid w:val="00A809E7"/>
    <w:rPr>
      <w:rFonts w:ascii="Courier" w:hAnsi="Courier" w:cs="Courier"/>
      <w:lang w:val="x-none" w:eastAsia="cs-CZ"/>
    </w:rPr>
  </w:style>
  <w:style w:type="character" w:customStyle="1" w:styleId="TextkomentraChar1622">
    <w:name w:val="Text komentára Char1622"/>
    <w:aliases w:val="Char7 Char Char1623,Text komentára Char Char Char1623,Comment Text Char Char Char1623"/>
    <w:basedOn w:val="Predvolenpsmoodseku"/>
    <w:uiPriority w:val="99"/>
    <w:semiHidden/>
    <w:rsid w:val="00A809E7"/>
    <w:rPr>
      <w:rFonts w:ascii="Courier" w:hAnsi="Courier" w:cs="Courier"/>
      <w:lang w:val="x-none" w:eastAsia="cs-CZ"/>
    </w:rPr>
  </w:style>
  <w:style w:type="character" w:customStyle="1" w:styleId="PredmetkomentraChar1630">
    <w:name w:val="Predmet komentára Char1630"/>
    <w:aliases w:val="Char6 Char Char1631,Predmet komentára Char Char Char1631,Comment Subject Char Char Char1631"/>
    <w:basedOn w:val="TextkomentraChar"/>
    <w:uiPriority w:val="99"/>
    <w:semiHidden/>
    <w:rsid w:val="00A809E7"/>
    <w:rPr>
      <w:rFonts w:ascii="Courier" w:hAnsi="Courier" w:cs="Courier"/>
      <w:b/>
      <w:bCs/>
      <w:lang w:val="x-none" w:eastAsia="cs-CZ"/>
    </w:rPr>
  </w:style>
  <w:style w:type="character" w:customStyle="1" w:styleId="PredmetkomentraChar1629">
    <w:name w:val="Predmet komentára Char1629"/>
    <w:aliases w:val="Char6 Char Char1630,Predmet komentára Char Char Char1630,Comment Subject Char Char Char1630"/>
    <w:basedOn w:val="TextkomentraChar"/>
    <w:uiPriority w:val="99"/>
    <w:semiHidden/>
    <w:rsid w:val="00A809E7"/>
    <w:rPr>
      <w:rFonts w:ascii="Courier" w:hAnsi="Courier" w:cs="Courier"/>
      <w:b/>
      <w:bCs/>
      <w:lang w:val="x-none" w:eastAsia="cs-CZ"/>
    </w:rPr>
  </w:style>
  <w:style w:type="character" w:customStyle="1" w:styleId="PredmetkomentraChar1628">
    <w:name w:val="Predmet komentára Char1628"/>
    <w:aliases w:val="Char6 Char Char1629,Predmet komentára Char Char Char1629,Comment Subject Char Char Char1629"/>
    <w:basedOn w:val="TextkomentraChar"/>
    <w:uiPriority w:val="99"/>
    <w:semiHidden/>
    <w:rsid w:val="00A809E7"/>
    <w:rPr>
      <w:rFonts w:ascii="Courier" w:hAnsi="Courier" w:cs="Courier"/>
      <w:b/>
      <w:bCs/>
      <w:lang w:val="x-none" w:eastAsia="cs-CZ"/>
    </w:rPr>
  </w:style>
  <w:style w:type="character" w:customStyle="1" w:styleId="PredmetkomentraChar1627">
    <w:name w:val="Predmet komentára Char1627"/>
    <w:aliases w:val="Char6 Char Char1628,Predmet komentára Char Char Char1628,Comment Subject Char Char Char1628"/>
    <w:basedOn w:val="TextkomentraChar"/>
    <w:uiPriority w:val="99"/>
    <w:semiHidden/>
    <w:rsid w:val="00A809E7"/>
    <w:rPr>
      <w:rFonts w:ascii="Courier" w:hAnsi="Courier" w:cs="Courier"/>
      <w:b/>
      <w:bCs/>
      <w:lang w:val="x-none" w:eastAsia="cs-CZ"/>
    </w:rPr>
  </w:style>
  <w:style w:type="character" w:customStyle="1" w:styleId="PredmetkomentraChar1626">
    <w:name w:val="Predmet komentára Char1626"/>
    <w:aliases w:val="Char6 Char Char1627,Predmet komentára Char Char Char1627,Comment Subject Char Char Char1627"/>
    <w:basedOn w:val="TextkomentraChar"/>
    <w:uiPriority w:val="99"/>
    <w:semiHidden/>
    <w:rsid w:val="00A809E7"/>
    <w:rPr>
      <w:rFonts w:ascii="Courier" w:hAnsi="Courier" w:cs="Courier"/>
      <w:b/>
      <w:bCs/>
      <w:lang w:val="x-none" w:eastAsia="cs-CZ"/>
    </w:rPr>
  </w:style>
  <w:style w:type="character" w:customStyle="1" w:styleId="PredmetkomentraChar1625">
    <w:name w:val="Predmet komentára Char1625"/>
    <w:aliases w:val="Char6 Char Char1626,Predmet komentára Char Char Char1626,Comment Subject Char Char Char1626"/>
    <w:basedOn w:val="TextkomentraChar"/>
    <w:uiPriority w:val="99"/>
    <w:semiHidden/>
    <w:rsid w:val="00A809E7"/>
    <w:rPr>
      <w:rFonts w:ascii="Courier" w:hAnsi="Courier" w:cs="Courier"/>
      <w:b/>
      <w:bCs/>
      <w:lang w:val="x-none" w:eastAsia="cs-CZ"/>
    </w:rPr>
  </w:style>
  <w:style w:type="character" w:customStyle="1" w:styleId="PredmetkomentraChar1624">
    <w:name w:val="Predmet komentára Char1624"/>
    <w:aliases w:val="Char6 Char Char1625,Predmet komentára Char Char Char1625,Comment Subject Char Char Char1625"/>
    <w:basedOn w:val="TextkomentraChar"/>
    <w:uiPriority w:val="99"/>
    <w:semiHidden/>
    <w:rsid w:val="00A809E7"/>
    <w:rPr>
      <w:rFonts w:ascii="Courier" w:hAnsi="Courier" w:cs="Courier"/>
      <w:b/>
      <w:bCs/>
      <w:lang w:val="x-none" w:eastAsia="cs-CZ"/>
    </w:rPr>
  </w:style>
  <w:style w:type="character" w:customStyle="1" w:styleId="PredmetkomentraChar1623">
    <w:name w:val="Predmet komentára Char1623"/>
    <w:aliases w:val="Char6 Char Char1624,Predmet komentára Char Char Char1624,Comment Subject Char Char Char1624"/>
    <w:basedOn w:val="TextkomentraChar"/>
    <w:uiPriority w:val="99"/>
    <w:semiHidden/>
    <w:rsid w:val="00A809E7"/>
    <w:rPr>
      <w:rFonts w:ascii="Courier" w:hAnsi="Courier" w:cs="Courier"/>
      <w:b/>
      <w:bCs/>
      <w:lang w:val="x-none" w:eastAsia="cs-CZ"/>
    </w:rPr>
  </w:style>
  <w:style w:type="character" w:customStyle="1" w:styleId="PredmetkomentraChar1622">
    <w:name w:val="Predmet komentára Char1622"/>
    <w:aliases w:val="Char6 Char Char1623,Predmet komentára Char Char Char1623,Comment Subject Char Char Char1623"/>
    <w:basedOn w:val="TextkomentraChar"/>
    <w:uiPriority w:val="99"/>
    <w:semiHidden/>
    <w:rsid w:val="00A809E7"/>
    <w:rPr>
      <w:rFonts w:ascii="Courier" w:hAnsi="Courier" w:cs="Courier"/>
      <w:b/>
      <w:bCs/>
      <w:lang w:val="x-none" w:eastAsia="cs-CZ"/>
    </w:rPr>
  </w:style>
  <w:style w:type="character" w:customStyle="1" w:styleId="ObyajntextChar1630">
    <w:name w:val="Obyčajný text Char1630"/>
    <w:aliases w:val="Obyčajný text Char Char Char Char1631"/>
    <w:basedOn w:val="Predvolenpsmoodseku"/>
    <w:uiPriority w:val="99"/>
    <w:semiHidden/>
    <w:rsid w:val="00A809E7"/>
    <w:rPr>
      <w:rFonts w:ascii="Courier New" w:hAnsi="Courier New" w:cs="Courier New"/>
      <w:lang w:val="x-none" w:eastAsia="cs-CZ"/>
    </w:rPr>
  </w:style>
  <w:style w:type="character" w:customStyle="1" w:styleId="ObyajntextChar1629">
    <w:name w:val="Obyčajný text Char1629"/>
    <w:aliases w:val="Obyčajný text Char Char Char Char1630"/>
    <w:basedOn w:val="Predvolenpsmoodseku"/>
    <w:uiPriority w:val="99"/>
    <w:semiHidden/>
    <w:rsid w:val="00A809E7"/>
    <w:rPr>
      <w:rFonts w:ascii="Courier New" w:hAnsi="Courier New" w:cs="Courier New"/>
      <w:lang w:val="x-none" w:eastAsia="cs-CZ"/>
    </w:rPr>
  </w:style>
  <w:style w:type="character" w:customStyle="1" w:styleId="ObyajntextChar1628">
    <w:name w:val="Obyčajný text Char1628"/>
    <w:aliases w:val="Obyčajný text Char Char Char Char1629"/>
    <w:basedOn w:val="Predvolenpsmoodseku"/>
    <w:uiPriority w:val="99"/>
    <w:semiHidden/>
    <w:rsid w:val="00A809E7"/>
    <w:rPr>
      <w:rFonts w:ascii="Courier New" w:hAnsi="Courier New" w:cs="Courier New"/>
      <w:lang w:val="x-none" w:eastAsia="cs-CZ"/>
    </w:rPr>
  </w:style>
  <w:style w:type="character" w:customStyle="1" w:styleId="ObyajntextChar1627">
    <w:name w:val="Obyčajný text Char1627"/>
    <w:aliases w:val="Obyčajný text Char Char Char Char1628"/>
    <w:basedOn w:val="Predvolenpsmoodseku"/>
    <w:uiPriority w:val="99"/>
    <w:semiHidden/>
    <w:rsid w:val="00A809E7"/>
    <w:rPr>
      <w:rFonts w:ascii="Courier New" w:hAnsi="Courier New" w:cs="Courier New"/>
      <w:lang w:val="x-none" w:eastAsia="cs-CZ"/>
    </w:rPr>
  </w:style>
  <w:style w:type="character" w:customStyle="1" w:styleId="ObyajntextChar1626">
    <w:name w:val="Obyčajný text Char1626"/>
    <w:aliases w:val="Obyčajný text Char Char Char Char1627"/>
    <w:basedOn w:val="Predvolenpsmoodseku"/>
    <w:uiPriority w:val="99"/>
    <w:semiHidden/>
    <w:rsid w:val="00A809E7"/>
    <w:rPr>
      <w:rFonts w:ascii="Courier New" w:hAnsi="Courier New" w:cs="Courier New"/>
      <w:lang w:val="x-none" w:eastAsia="cs-CZ"/>
    </w:rPr>
  </w:style>
  <w:style w:type="character" w:customStyle="1" w:styleId="ObyajntextChar1625">
    <w:name w:val="Obyčajný text Char1625"/>
    <w:aliases w:val="Obyčajný text Char Char Char Char1626"/>
    <w:basedOn w:val="Predvolenpsmoodseku"/>
    <w:uiPriority w:val="99"/>
    <w:semiHidden/>
    <w:rsid w:val="00A809E7"/>
    <w:rPr>
      <w:rFonts w:ascii="Courier New" w:hAnsi="Courier New" w:cs="Courier New"/>
      <w:lang w:val="x-none" w:eastAsia="cs-CZ"/>
    </w:rPr>
  </w:style>
  <w:style w:type="character" w:customStyle="1" w:styleId="ObyajntextChar1624">
    <w:name w:val="Obyčajný text Char1624"/>
    <w:aliases w:val="Obyčajný text Char Char Char Char1625"/>
    <w:basedOn w:val="Predvolenpsmoodseku"/>
    <w:uiPriority w:val="99"/>
    <w:semiHidden/>
    <w:rsid w:val="00A809E7"/>
    <w:rPr>
      <w:rFonts w:ascii="Courier New" w:hAnsi="Courier New" w:cs="Courier New"/>
      <w:lang w:val="x-none" w:eastAsia="cs-CZ"/>
    </w:rPr>
  </w:style>
  <w:style w:type="character" w:customStyle="1" w:styleId="ObyajntextChar1623">
    <w:name w:val="Obyčajný text Char1623"/>
    <w:aliases w:val="Obyčajný text Char Char Char Char1624"/>
    <w:basedOn w:val="Predvolenpsmoodseku"/>
    <w:uiPriority w:val="99"/>
    <w:semiHidden/>
    <w:rsid w:val="00A809E7"/>
    <w:rPr>
      <w:rFonts w:ascii="Courier New" w:hAnsi="Courier New" w:cs="Courier New"/>
      <w:lang w:val="x-none" w:eastAsia="cs-CZ"/>
    </w:rPr>
  </w:style>
  <w:style w:type="character" w:customStyle="1" w:styleId="ObyajntextChar1622">
    <w:name w:val="Obyčajný text Char1622"/>
    <w:aliases w:val="Obyčajný text Char Char Char Char1623"/>
    <w:basedOn w:val="Predvolenpsmoodseku"/>
    <w:uiPriority w:val="99"/>
    <w:semiHidden/>
    <w:rsid w:val="00A809E7"/>
    <w:rPr>
      <w:rFonts w:ascii="Courier New" w:hAnsi="Courier New" w:cs="Courier New"/>
      <w:lang w:val="x-none" w:eastAsia="cs-CZ"/>
    </w:rPr>
  </w:style>
  <w:style w:type="table" w:customStyle="1" w:styleId="Mriekatabuky5">
    <w:name w:val="Mriežka tabuľky5"/>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
    <w:name w:val="Mriežka tabuľky23"/>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
    <w:name w:val="Mriežka tabuľky113"/>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
    <w:name w:val="Mriežka tabuľky32"/>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
    <w:name w:val="Mriežka tabuľky122"/>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
    <w:name w:val="Mriežka tabuľky212"/>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
    <w:name w:val="Mriežka tabuľky1112"/>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A809E7"/>
    <w:rPr>
      <w:rFonts w:ascii="Times New Roman" w:hAnsi="Times New Roman"/>
      <w:color w:val="808080"/>
    </w:rPr>
  </w:style>
  <w:style w:type="numbering" w:customStyle="1" w:styleId="Bezzoznamu2">
    <w:name w:val="Bez zoznamu2"/>
    <w:next w:val="Bezzoznamu"/>
    <w:uiPriority w:val="99"/>
    <w:semiHidden/>
    <w:unhideWhenUsed/>
    <w:rsid w:val="00A809E7"/>
  </w:style>
  <w:style w:type="table" w:customStyle="1" w:styleId="Mriekatabuky6">
    <w:name w:val="Mriežka tabuľky6"/>
    <w:basedOn w:val="Normlnatabuka"/>
    <w:next w:val="Mriekatabuky"/>
    <w:rsid w:val="00A809E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1">
    <w:name w:val="Základný text 21"/>
    <w:basedOn w:val="Normlny"/>
    <w:rsid w:val="00A809E7"/>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character" w:customStyle="1" w:styleId="Textzstupnhosymbolu1">
    <w:name w:val="Text zástupného symbolu1"/>
    <w:semiHidden/>
    <w:rsid w:val="00A809E7"/>
    <w:rPr>
      <w:rFonts w:cs="Times New Roman"/>
      <w:color w:val="808080"/>
    </w:rPr>
  </w:style>
  <w:style w:type="numbering" w:customStyle="1" w:styleId="Bezzoznamu3">
    <w:name w:val="Bez zoznamu3"/>
    <w:next w:val="Bezzoznamu"/>
    <w:uiPriority w:val="99"/>
    <w:semiHidden/>
    <w:unhideWhenUsed/>
    <w:rsid w:val="00A809E7"/>
  </w:style>
  <w:style w:type="table" w:customStyle="1" w:styleId="Mriekatabuky7">
    <w:name w:val="Mriežka tabuľky7"/>
    <w:basedOn w:val="Normlnatabuka"/>
    <w:next w:val="Mriekatabuky"/>
    <w:rsid w:val="00A809E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ite">
    <w:name w:val="Nositeľ"/>
    <w:basedOn w:val="Normlny"/>
    <w:next w:val="Nadpis2"/>
    <w:rsid w:val="00A809E7"/>
    <w:pPr>
      <w:spacing w:before="240" w:after="120" w:line="240" w:lineRule="auto"/>
      <w:ind w:left="567"/>
    </w:pPr>
    <w:rPr>
      <w:rFonts w:ascii="Times New Roman" w:eastAsia="Times New Roman" w:hAnsi="Times New Roman" w:cs="Times New Roman"/>
      <w:b/>
      <w:bCs/>
      <w:sz w:val="24"/>
      <w:szCs w:val="24"/>
      <w:lang w:eastAsia="sk-SK"/>
    </w:rPr>
  </w:style>
  <w:style w:type="numbering" w:customStyle="1" w:styleId="Bezzoznamu11">
    <w:name w:val="Bez zoznamu11"/>
    <w:next w:val="Bezzoznamu"/>
    <w:uiPriority w:val="99"/>
    <w:semiHidden/>
    <w:unhideWhenUsed/>
    <w:rsid w:val="00A809E7"/>
  </w:style>
  <w:style w:type="paragraph" w:customStyle="1" w:styleId="font5">
    <w:name w:val="font5"/>
    <w:basedOn w:val="Normlny"/>
    <w:rsid w:val="00A809E7"/>
    <w:pPr>
      <w:spacing w:before="100" w:beforeAutospacing="1" w:after="100" w:afterAutospacing="1" w:line="240" w:lineRule="auto"/>
    </w:pPr>
    <w:rPr>
      <w:rFonts w:ascii="Segoe UI" w:eastAsia="Times New Roman" w:hAnsi="Segoe UI" w:cs="Segoe UI"/>
      <w:color w:val="000000"/>
      <w:sz w:val="18"/>
      <w:szCs w:val="18"/>
      <w:lang w:eastAsia="sk-SK"/>
    </w:rPr>
  </w:style>
  <w:style w:type="paragraph" w:customStyle="1" w:styleId="font6">
    <w:name w:val="font6"/>
    <w:basedOn w:val="Normlny"/>
    <w:rsid w:val="00A809E7"/>
    <w:pPr>
      <w:spacing w:before="100" w:beforeAutospacing="1" w:after="100" w:afterAutospacing="1" w:line="240" w:lineRule="auto"/>
    </w:pPr>
    <w:rPr>
      <w:rFonts w:ascii="Segoe UI" w:eastAsia="Times New Roman" w:hAnsi="Segoe UI" w:cs="Segoe UI"/>
      <w:b/>
      <w:bCs/>
      <w:color w:val="000000"/>
      <w:sz w:val="18"/>
      <w:szCs w:val="18"/>
      <w:lang w:eastAsia="sk-SK"/>
    </w:rPr>
  </w:style>
  <w:style w:type="paragraph" w:customStyle="1" w:styleId="xl204">
    <w:name w:val="xl204"/>
    <w:basedOn w:val="Normlny"/>
    <w:rsid w:val="00A809E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sk-SK"/>
    </w:rPr>
  </w:style>
  <w:style w:type="paragraph" w:customStyle="1" w:styleId="xl205">
    <w:name w:val="xl205"/>
    <w:basedOn w:val="Normlny"/>
    <w:rsid w:val="00A809E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sz w:val="14"/>
      <w:szCs w:val="14"/>
      <w:lang w:eastAsia="sk-SK"/>
    </w:rPr>
  </w:style>
  <w:style w:type="paragraph" w:customStyle="1" w:styleId="xl206">
    <w:name w:val="xl206"/>
    <w:basedOn w:val="Normlny"/>
    <w:rsid w:val="00A809E7"/>
    <w:pPr>
      <w:pBdr>
        <w:top w:val="single" w:sz="4" w:space="0" w:color="auto"/>
        <w:left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14"/>
      <w:szCs w:val="14"/>
      <w:lang w:eastAsia="sk-SK"/>
    </w:rPr>
  </w:style>
  <w:style w:type="paragraph" w:customStyle="1" w:styleId="xl207">
    <w:name w:val="xl207"/>
    <w:basedOn w:val="Normlny"/>
    <w:rsid w:val="00A809E7"/>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cs="Times New Roman"/>
      <w:b/>
      <w:bCs/>
      <w:sz w:val="14"/>
      <w:szCs w:val="14"/>
      <w:lang w:eastAsia="sk-SK"/>
    </w:rPr>
  </w:style>
  <w:style w:type="paragraph" w:customStyle="1" w:styleId="xl208">
    <w:name w:val="xl208"/>
    <w:basedOn w:val="Normlny"/>
    <w:rsid w:val="00A809E7"/>
    <w:pPr>
      <w:pBdr>
        <w:left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eastAsia="Times New Roman" w:hAnsi="Times New Roman" w:cs="Times New Roman"/>
      <w:b/>
      <w:bCs/>
      <w:i/>
      <w:iCs/>
      <w:sz w:val="14"/>
      <w:szCs w:val="14"/>
      <w:lang w:eastAsia="sk-SK"/>
    </w:rPr>
  </w:style>
  <w:style w:type="paragraph" w:customStyle="1" w:styleId="xl209">
    <w:name w:val="xl209"/>
    <w:basedOn w:val="Normlny"/>
    <w:rsid w:val="00A809E7"/>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14"/>
      <w:szCs w:val="14"/>
      <w:lang w:eastAsia="sk-SK"/>
    </w:rPr>
  </w:style>
  <w:style w:type="paragraph" w:customStyle="1" w:styleId="xl210">
    <w:name w:val="xl210"/>
    <w:basedOn w:val="Normlny"/>
    <w:rsid w:val="00A809E7"/>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4"/>
      <w:szCs w:val="14"/>
      <w:lang w:eastAsia="sk-SK"/>
    </w:rPr>
  </w:style>
  <w:style w:type="paragraph" w:customStyle="1" w:styleId="xl211">
    <w:name w:val="xl211"/>
    <w:basedOn w:val="Normlny"/>
    <w:rsid w:val="00A809E7"/>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i/>
      <w:iCs/>
      <w:sz w:val="14"/>
      <w:szCs w:val="14"/>
      <w:lang w:eastAsia="sk-SK"/>
    </w:rPr>
  </w:style>
  <w:style w:type="paragraph" w:customStyle="1" w:styleId="xl212">
    <w:name w:val="xl212"/>
    <w:basedOn w:val="Normlny"/>
    <w:rsid w:val="00A809E7"/>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13">
    <w:name w:val="xl213"/>
    <w:basedOn w:val="Normlny"/>
    <w:rsid w:val="00A809E7"/>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14">
    <w:name w:val="xl214"/>
    <w:basedOn w:val="Normlny"/>
    <w:rsid w:val="00A809E7"/>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14"/>
      <w:szCs w:val="14"/>
      <w:lang w:eastAsia="sk-SK"/>
    </w:rPr>
  </w:style>
  <w:style w:type="paragraph" w:customStyle="1" w:styleId="xl215">
    <w:name w:val="xl215"/>
    <w:basedOn w:val="Normlny"/>
    <w:rsid w:val="00A809E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14"/>
      <w:szCs w:val="14"/>
      <w:lang w:eastAsia="sk-SK"/>
    </w:rPr>
  </w:style>
  <w:style w:type="paragraph" w:customStyle="1" w:styleId="xl216">
    <w:name w:val="xl216"/>
    <w:basedOn w:val="Normlny"/>
    <w:rsid w:val="00A809E7"/>
    <w:pPr>
      <w:pBdr>
        <w:left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cs="Times New Roman"/>
      <w:b/>
      <w:bCs/>
      <w:i/>
      <w:iCs/>
      <w:sz w:val="14"/>
      <w:szCs w:val="14"/>
      <w:lang w:eastAsia="sk-SK"/>
    </w:rPr>
  </w:style>
  <w:style w:type="paragraph" w:customStyle="1" w:styleId="xl217">
    <w:name w:val="xl217"/>
    <w:basedOn w:val="Normlny"/>
    <w:rsid w:val="00A809E7"/>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i/>
      <w:iCs/>
      <w:sz w:val="14"/>
      <w:szCs w:val="14"/>
      <w:lang w:eastAsia="sk-SK"/>
    </w:rPr>
  </w:style>
  <w:style w:type="paragraph" w:customStyle="1" w:styleId="xl218">
    <w:name w:val="xl218"/>
    <w:basedOn w:val="Normlny"/>
    <w:rsid w:val="00A809E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14"/>
      <w:szCs w:val="14"/>
      <w:lang w:eastAsia="sk-SK"/>
    </w:rPr>
  </w:style>
  <w:style w:type="paragraph" w:customStyle="1" w:styleId="xl219">
    <w:name w:val="xl219"/>
    <w:basedOn w:val="Normlny"/>
    <w:rsid w:val="00A809E7"/>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20">
    <w:name w:val="xl220"/>
    <w:basedOn w:val="Normlny"/>
    <w:rsid w:val="00A809E7"/>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21">
    <w:name w:val="xl221"/>
    <w:basedOn w:val="Normlny"/>
    <w:rsid w:val="00A809E7"/>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4"/>
      <w:szCs w:val="14"/>
      <w:lang w:eastAsia="sk-SK"/>
    </w:rPr>
  </w:style>
  <w:style w:type="paragraph" w:customStyle="1" w:styleId="xl222">
    <w:name w:val="xl222"/>
    <w:basedOn w:val="Normlny"/>
    <w:rsid w:val="00A809E7"/>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sk-SK"/>
    </w:rPr>
  </w:style>
  <w:style w:type="paragraph" w:customStyle="1" w:styleId="xl223">
    <w:name w:val="xl223"/>
    <w:basedOn w:val="Normlny"/>
    <w:rsid w:val="00A809E7"/>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sk-SK"/>
    </w:rPr>
  </w:style>
  <w:style w:type="paragraph" w:customStyle="1" w:styleId="xl224">
    <w:name w:val="xl224"/>
    <w:basedOn w:val="Normlny"/>
    <w:rsid w:val="00A809E7"/>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sk-SK"/>
    </w:rPr>
  </w:style>
  <w:style w:type="paragraph" w:customStyle="1" w:styleId="xl225">
    <w:name w:val="xl225"/>
    <w:basedOn w:val="Normlny"/>
    <w:rsid w:val="00A809E7"/>
    <w:pPr>
      <w:pBdr>
        <w:left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cs="Times New Roman"/>
      <w:i/>
      <w:iCs/>
      <w:sz w:val="14"/>
      <w:szCs w:val="14"/>
      <w:lang w:eastAsia="sk-SK"/>
    </w:rPr>
  </w:style>
  <w:style w:type="paragraph" w:customStyle="1" w:styleId="xl226">
    <w:name w:val="xl226"/>
    <w:basedOn w:val="Normlny"/>
    <w:rsid w:val="00A809E7"/>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27">
    <w:name w:val="xl227"/>
    <w:basedOn w:val="Normlny"/>
    <w:rsid w:val="00A809E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28">
    <w:name w:val="xl228"/>
    <w:basedOn w:val="Normlny"/>
    <w:rsid w:val="00A809E7"/>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cs="Times New Roman"/>
      <w:i/>
      <w:iCs/>
      <w:sz w:val="14"/>
      <w:szCs w:val="14"/>
      <w:lang w:eastAsia="sk-SK"/>
    </w:rPr>
  </w:style>
  <w:style w:type="paragraph" w:customStyle="1" w:styleId="xl229">
    <w:name w:val="xl229"/>
    <w:basedOn w:val="Normlny"/>
    <w:rsid w:val="00A809E7"/>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4"/>
      <w:szCs w:val="14"/>
      <w:lang w:eastAsia="sk-SK"/>
    </w:rPr>
  </w:style>
  <w:style w:type="paragraph" w:customStyle="1" w:styleId="xl230">
    <w:name w:val="xl230"/>
    <w:basedOn w:val="Normlny"/>
    <w:rsid w:val="00A809E7"/>
    <w:pPr>
      <w:pBdr>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i/>
      <w:iCs/>
      <w:sz w:val="14"/>
      <w:szCs w:val="14"/>
      <w:lang w:eastAsia="sk-SK"/>
    </w:rPr>
  </w:style>
  <w:style w:type="paragraph" w:customStyle="1" w:styleId="xl231">
    <w:name w:val="xl231"/>
    <w:basedOn w:val="Normlny"/>
    <w:rsid w:val="00A809E7"/>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32">
    <w:name w:val="xl232"/>
    <w:basedOn w:val="Normlny"/>
    <w:rsid w:val="00A809E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33">
    <w:name w:val="xl233"/>
    <w:basedOn w:val="Normlny"/>
    <w:rsid w:val="00A809E7"/>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sk-SK"/>
    </w:rPr>
  </w:style>
  <w:style w:type="paragraph" w:customStyle="1" w:styleId="xl234">
    <w:name w:val="xl234"/>
    <w:basedOn w:val="Normlny"/>
    <w:rsid w:val="00A809E7"/>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sk-SK"/>
    </w:rPr>
  </w:style>
  <w:style w:type="paragraph" w:customStyle="1" w:styleId="xl235">
    <w:name w:val="xl235"/>
    <w:basedOn w:val="Normlny"/>
    <w:rsid w:val="00A809E7"/>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sk-SK"/>
    </w:rPr>
  </w:style>
  <w:style w:type="paragraph" w:customStyle="1" w:styleId="xl236">
    <w:name w:val="xl236"/>
    <w:basedOn w:val="Normlny"/>
    <w:rsid w:val="00A809E7"/>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i/>
      <w:iCs/>
      <w:sz w:val="14"/>
      <w:szCs w:val="14"/>
      <w:lang w:eastAsia="sk-SK"/>
    </w:rPr>
  </w:style>
  <w:style w:type="paragraph" w:customStyle="1" w:styleId="xl237">
    <w:name w:val="xl237"/>
    <w:basedOn w:val="Normlny"/>
    <w:rsid w:val="00A809E7"/>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table" w:customStyle="1" w:styleId="Mriekatabukysvetl1">
    <w:name w:val="Mriežka tabuľky – svetlá1"/>
    <w:basedOn w:val="Normlnatabuka"/>
    <w:uiPriority w:val="40"/>
    <w:rsid w:val="00A809E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295pt">
    <w:name w:val="Body text (2) + 9.5 pt"/>
    <w:aliases w:val="Bold"/>
    <w:basedOn w:val="Predvolenpsmoodseku"/>
    <w:qFormat/>
    <w:rsid w:val="00A809E7"/>
    <w:rPr>
      <w:rFonts w:ascii="Arial Narrow" w:eastAsia="Arial" w:hAnsi="Arial Narrow" w:cs="Arial"/>
      <w:color w:val="000000"/>
      <w:sz w:val="20"/>
      <w:szCs w:val="19"/>
      <w:lang w:val="fr-FR" w:eastAsia="fr-FR" w:bidi="fr-FR"/>
    </w:rPr>
  </w:style>
  <w:style w:type="numbering" w:customStyle="1" w:styleId="Bezzoznamu4">
    <w:name w:val="Bez zoznamu4"/>
    <w:next w:val="Bezzoznamu"/>
    <w:uiPriority w:val="99"/>
    <w:semiHidden/>
    <w:unhideWhenUsed/>
    <w:rsid w:val="00A809E7"/>
  </w:style>
  <w:style w:type="numbering" w:customStyle="1" w:styleId="Bezzoznamu111">
    <w:name w:val="Bez zoznamu111"/>
    <w:next w:val="Bezzoznamu"/>
    <w:uiPriority w:val="99"/>
    <w:semiHidden/>
    <w:unhideWhenUsed/>
    <w:rsid w:val="00A809E7"/>
  </w:style>
  <w:style w:type="paragraph" w:customStyle="1" w:styleId="Popis1">
    <w:name w:val="Popis1"/>
    <w:basedOn w:val="Normlny"/>
    <w:next w:val="Normlny"/>
    <w:uiPriority w:val="35"/>
    <w:unhideWhenUsed/>
    <w:qFormat/>
    <w:rsid w:val="00A809E7"/>
    <w:pPr>
      <w:spacing w:after="200" w:line="240" w:lineRule="auto"/>
    </w:pPr>
    <w:rPr>
      <w:rFonts w:ascii="Arial Narrow" w:hAnsi="Arial Narrow"/>
      <w:i/>
      <w:iCs/>
      <w:color w:val="1F497D"/>
      <w:sz w:val="18"/>
      <w:szCs w:val="18"/>
    </w:rPr>
  </w:style>
  <w:style w:type="table" w:customStyle="1" w:styleId="Mriekatabuky8">
    <w:name w:val="Mriežka tabuľky8"/>
    <w:basedOn w:val="Normlnatabuka"/>
    <w:next w:val="Mriekatabuky"/>
    <w:rsid w:val="00A809E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
    <w:name w:val="Bez zoznamu5"/>
    <w:next w:val="Bezzoznamu"/>
    <w:uiPriority w:val="99"/>
    <w:semiHidden/>
    <w:unhideWhenUsed/>
    <w:rsid w:val="00A809E7"/>
  </w:style>
  <w:style w:type="numbering" w:customStyle="1" w:styleId="Bezzoznamu12">
    <w:name w:val="Bez zoznamu12"/>
    <w:next w:val="Bezzoznamu"/>
    <w:uiPriority w:val="99"/>
    <w:semiHidden/>
    <w:unhideWhenUsed/>
    <w:rsid w:val="00A809E7"/>
  </w:style>
  <w:style w:type="table" w:customStyle="1" w:styleId="Mriekatabuky9">
    <w:name w:val="Mriežka tabuľky9"/>
    <w:basedOn w:val="Normlnatabuka"/>
    <w:next w:val="Mriekatabuky"/>
    <w:uiPriority w:val="3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3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
    <w:name w:val="Mriežka tabuľky24"/>
    <w:basedOn w:val="Normlnatabuka"/>
    <w:next w:val="Mriekatabuky"/>
    <w:uiPriority w:val="3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
    <w:name w:val="Mriežka tabuľky114"/>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
    <w:name w:val="Mriežka tabuľky33"/>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
    <w:name w:val="Mriežka tabuľky123"/>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
    <w:name w:val="Mriežka tabuľky213"/>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
    <w:name w:val="Mriežka tabuľky1113"/>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
    <w:name w:val="Mriežka tabuľky41"/>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
    <w:name w:val="Mriežka tabuľky131"/>
    <w:basedOn w:val="Normlnatabuka"/>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
    <w:name w:val="Mriežka tabuľky221"/>
    <w:basedOn w:val="Normlnatabuka"/>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
    <w:name w:val="Mriežka tabuľky1121"/>
    <w:basedOn w:val="Normlnatabuka"/>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
    <w:name w:val="Mriežka tabuľky311"/>
    <w:basedOn w:val="Normlnatabuka"/>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
    <w:name w:val="Mriežka tabuľky1211"/>
    <w:basedOn w:val="Normlnatabuka"/>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
    <w:name w:val="Mriežka tabuľky2111"/>
    <w:basedOn w:val="Normlnatabuka"/>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
    <w:name w:val="Mriežka tabuľky11111"/>
    <w:basedOn w:val="Normlnatabuka"/>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
    <w:name w:val="Kalendár 21"/>
    <w:basedOn w:val="Normlnatabuka"/>
    <w:uiPriority w:val="99"/>
    <w:qFormat/>
    <w:rsid w:val="00A809E7"/>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
    <w:name w:val="Bez zoznamu112"/>
    <w:next w:val="Bezzoznamu"/>
    <w:uiPriority w:val="99"/>
    <w:semiHidden/>
    <w:unhideWhenUsed/>
    <w:rsid w:val="00A809E7"/>
  </w:style>
  <w:style w:type="table" w:customStyle="1" w:styleId="Mriekatabuky51">
    <w:name w:val="Mriežka tabuľky51"/>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
    <w:name w:val="Mriežka tabuľky141"/>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
    <w:name w:val="Mriežka tabuľky231"/>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
    <w:name w:val="Mriežka tabuľky1131"/>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
    <w:name w:val="Mriežka tabuľky321"/>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
    <w:name w:val="Mriežka tabuľky1221"/>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
    <w:name w:val="Mriežka tabuľky2121"/>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
    <w:name w:val="Mriežka tabuľky11121"/>
    <w:basedOn w:val="Normlnatabuka"/>
    <w:next w:val="Mriekatabuky"/>
    <w:uiPriority w:val="59"/>
    <w:rsid w:val="00A809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
    <w:name w:val="Bez zoznamu21"/>
    <w:next w:val="Bezzoznamu"/>
    <w:uiPriority w:val="99"/>
    <w:semiHidden/>
    <w:unhideWhenUsed/>
    <w:rsid w:val="00A809E7"/>
  </w:style>
  <w:style w:type="table" w:customStyle="1" w:styleId="Mriekatabuky61">
    <w:name w:val="Mriežka tabuľky61"/>
    <w:basedOn w:val="Normlnatabuka"/>
    <w:next w:val="Mriekatabuky"/>
    <w:rsid w:val="00A809E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
    <w:name w:val="Bez zoznamu31"/>
    <w:next w:val="Bezzoznamu"/>
    <w:uiPriority w:val="99"/>
    <w:semiHidden/>
    <w:unhideWhenUsed/>
    <w:rsid w:val="00A809E7"/>
  </w:style>
  <w:style w:type="table" w:customStyle="1" w:styleId="Mriekatabuky71">
    <w:name w:val="Mriežka tabuľky71"/>
    <w:basedOn w:val="Normlnatabuka"/>
    <w:next w:val="Mriekatabuky"/>
    <w:rsid w:val="00A809E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
    <w:name w:val="Bez zoznamu1111"/>
    <w:next w:val="Bezzoznamu"/>
    <w:uiPriority w:val="99"/>
    <w:semiHidden/>
    <w:unhideWhenUsed/>
    <w:rsid w:val="00A809E7"/>
  </w:style>
  <w:style w:type="table" w:customStyle="1" w:styleId="Mriekatabukysvetl11">
    <w:name w:val="Mriežka tabuľky – svetlá11"/>
    <w:basedOn w:val="Normlnatabuka"/>
    <w:uiPriority w:val="40"/>
    <w:rsid w:val="00A809E7"/>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opis2">
    <w:name w:val="Popis2"/>
    <w:basedOn w:val="Normlny"/>
    <w:next w:val="Normlny"/>
    <w:uiPriority w:val="35"/>
    <w:unhideWhenUsed/>
    <w:qFormat/>
    <w:rsid w:val="00A809E7"/>
    <w:pPr>
      <w:spacing w:after="200" w:line="240" w:lineRule="auto"/>
    </w:pPr>
    <w:rPr>
      <w:rFonts w:ascii="Arial Narrow" w:hAnsi="Arial Narrow"/>
      <w:i/>
      <w:iCs/>
      <w:color w:val="1F497D"/>
      <w:sz w:val="18"/>
      <w:szCs w:val="18"/>
    </w:rPr>
  </w:style>
  <w:style w:type="numbering" w:customStyle="1" w:styleId="Bezzoznamu6">
    <w:name w:val="Bez zoznamu6"/>
    <w:next w:val="Bezzoznamu"/>
    <w:uiPriority w:val="99"/>
    <w:semiHidden/>
    <w:unhideWhenUsed/>
    <w:rsid w:val="00A809E7"/>
  </w:style>
  <w:style w:type="table" w:customStyle="1" w:styleId="UHPGRAF11">
    <w:name w:val="UHP_GRAF11"/>
    <w:basedOn w:val="Normlnatabuka"/>
    <w:uiPriority w:val="99"/>
    <w:rsid w:val="00A809E7"/>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
    <w:name w:val="UHP_GRAF12"/>
    <w:basedOn w:val="Normlnatabuka"/>
    <w:uiPriority w:val="99"/>
    <w:rsid w:val="00A809E7"/>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ndard6za">
    <w:name w:val="štandard 6 za"/>
    <w:basedOn w:val="Zarkazkladnhotextu"/>
    <w:rsid w:val="00A809E7"/>
    <w:pPr>
      <w:spacing w:line="240" w:lineRule="auto"/>
      <w:jc w:val="both"/>
    </w:pPr>
    <w:rPr>
      <w:rFonts w:ascii="Times New Roman" w:hAnsi="Times New Roman" w:cs="Times New Roman"/>
      <w:szCs w:val="20"/>
      <w:lang w:eastAsia="sk-SK"/>
    </w:rPr>
  </w:style>
  <w:style w:type="character" w:customStyle="1" w:styleId="OdsekzoznamuChar">
    <w:name w:val="Odsek zoznamu Char"/>
    <w:aliases w:val="body Char,Odsek zoznamu2 Char,Dot pt Char,No Spacing1 Char,List Paragraph Char Char Char Char,Indicator Text Char,Numbered Para 1 Char,List Paragraph à moi Char,LISTA Char,Listaszerű bekezdés2 Char,Listaszerű bekezdés3 Char,3 Char"/>
    <w:basedOn w:val="Predvolenpsmoodseku"/>
    <w:link w:val="Odsekzoznamu"/>
    <w:uiPriority w:val="34"/>
    <w:qFormat/>
    <w:rsid w:val="00A809E7"/>
    <w:rPr>
      <w:rFonts w:ascii="Courier" w:eastAsia="Times New Roman" w:hAnsi="Courier" w:cs="Courier"/>
      <w:sz w:val="24"/>
      <w:szCs w:val="24"/>
      <w:lang w:eastAsia="cs-CZ"/>
    </w:rPr>
  </w:style>
  <w:style w:type="character" w:styleId="Jemnodkaz">
    <w:name w:val="Subtle Reference"/>
    <w:uiPriority w:val="31"/>
    <w:qFormat/>
    <w:rsid w:val="00A809E7"/>
    <w:rPr>
      <w:rFonts w:eastAsia="Times New Roman" w:cs="Times New Roman"/>
      <w:bCs/>
      <w:i/>
      <w:sz w:val="18"/>
      <w:lang w:eastAsia="zh-TW"/>
    </w:rPr>
  </w:style>
  <w:style w:type="table" w:customStyle="1" w:styleId="Mriekatabuky10">
    <w:name w:val="Mriežka tabuľky10"/>
    <w:basedOn w:val="Normlnatabuka"/>
    <w:next w:val="Mriekatabuky"/>
    <w:rsid w:val="00A809E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
    <w:name w:val="Bez zoznamu11111"/>
    <w:next w:val="Bezzoznamu"/>
    <w:uiPriority w:val="99"/>
    <w:semiHidden/>
    <w:unhideWhenUsed/>
    <w:rsid w:val="00A809E7"/>
  </w:style>
  <w:style w:type="table" w:customStyle="1" w:styleId="Mriekatabuky80">
    <w:name w:val="Mriežka tabuľky80"/>
    <w:basedOn w:val="Normlnatabuka"/>
    <w:next w:val="Mriekatabuky"/>
    <w:uiPriority w:val="39"/>
    <w:rsid w:val="00051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HPGRAF1">
    <w:name w:val="UHP_GRAF1"/>
    <w:basedOn w:val="Normlnatabuka"/>
    <w:uiPriority w:val="99"/>
    <w:rsid w:val="00051360"/>
    <w:pPr>
      <w:spacing w:before="160" w:after="0" w:line="240" w:lineRule="auto"/>
      <w:contextualSpacing/>
      <w:jc w:val="both"/>
    </w:pPr>
    <w:rPr>
      <w:rFonts w:ascii="Arial Narrow" w:hAnsi="Arial Narrow"/>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riekatabuky16">
    <w:name w:val="Mriežka tabuľky16"/>
    <w:basedOn w:val="Normlnatabuka"/>
    <w:next w:val="Mriekatabuky"/>
    <w:uiPriority w:val="59"/>
    <w:rsid w:val="00446DDA"/>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af">
    <w:name w:val="Graf"/>
    <w:autoRedefine/>
    <w:qFormat/>
    <w:rsid w:val="00446DDA"/>
    <w:pPr>
      <w:spacing w:before="120" w:after="120" w:line="276" w:lineRule="auto"/>
      <w:jc w:val="both"/>
    </w:pPr>
    <w:rPr>
      <w:rFonts w:ascii="Arial Narrow" w:eastAsia="Arial Narrow" w:hAnsi="Arial Narrow" w:cs="Arial Narrow"/>
      <w:b/>
      <w:bCs/>
      <w:noProof/>
      <w:color w:val="2C9ADC"/>
      <w:sz w:val="20"/>
      <w:szCs w:val="36"/>
      <w:lang w:eastAsia="sk-SK"/>
    </w:rPr>
  </w:style>
  <w:style w:type="paragraph" w:customStyle="1" w:styleId="Tabuka">
    <w:name w:val="Tabuľka"/>
    <w:basedOn w:val="Graf"/>
    <w:autoRedefine/>
    <w:qFormat/>
    <w:rsid w:val="00446DDA"/>
    <w:pPr>
      <w:pBdr>
        <w:top w:val="nil"/>
        <w:left w:val="nil"/>
        <w:bottom w:val="nil"/>
        <w:right w:val="nil"/>
        <w:between w:val="nil"/>
        <w:bar w:val="nil"/>
      </w:pBdr>
      <w:spacing w:before="0" w:after="0" w:line="240" w:lineRule="auto"/>
    </w:pPr>
    <w:rPr>
      <w:rFonts w:ascii="Times New Roman" w:hAnsi="Times New Roman" w:cs="Times New Roman"/>
      <w:szCs w:val="24"/>
      <w:bdr w:val="nil"/>
    </w:rPr>
  </w:style>
  <w:style w:type="paragraph" w:customStyle="1" w:styleId="Box">
    <w:name w:val="Box"/>
    <w:qFormat/>
    <w:rsid w:val="00446DDA"/>
    <w:pPr>
      <w:spacing w:before="120" w:after="240" w:line="240" w:lineRule="auto"/>
    </w:pPr>
    <w:rPr>
      <w:rFonts w:ascii="Arial Narrow" w:eastAsia="Times New Roman" w:hAnsi="Arial Narrow" w:cs="Times New Roman"/>
      <w:b/>
      <w:bCs/>
      <w:sz w:val="20"/>
      <w:szCs w:val="36"/>
    </w:rPr>
  </w:style>
  <w:style w:type="paragraph" w:customStyle="1" w:styleId="NRPtabulka">
    <w:name w:val="NRP tabulka"/>
    <w:basedOn w:val="Normlny"/>
    <w:link w:val="NRPtabulkaChar"/>
    <w:qFormat/>
    <w:rsid w:val="00446DDA"/>
    <w:pPr>
      <w:spacing w:after="0" w:line="276" w:lineRule="auto"/>
    </w:pPr>
    <w:rPr>
      <w:rFonts w:ascii="Arial Narrow" w:hAnsi="Arial Narrow" w:cs="Times New Roman"/>
      <w:b/>
      <w:bCs/>
      <w:color w:val="FFFFFF"/>
      <w:sz w:val="20"/>
      <w:szCs w:val="14"/>
    </w:rPr>
  </w:style>
  <w:style w:type="character" w:customStyle="1" w:styleId="NRPtabulkaChar">
    <w:name w:val="NRP tabulka Char"/>
    <w:basedOn w:val="Predvolenpsmoodseku"/>
    <w:link w:val="NRPtabulka"/>
    <w:rsid w:val="00446DDA"/>
    <w:rPr>
      <w:rFonts w:ascii="Arial Narrow" w:hAnsi="Arial Narrow" w:cs="Times New Roman"/>
      <w:b/>
      <w:bCs/>
      <w:color w:val="FFFFFF"/>
      <w:sz w:val="20"/>
      <w:szCs w:val="14"/>
    </w:rPr>
  </w:style>
  <w:style w:type="paragraph" w:customStyle="1" w:styleId="NRP2uroven">
    <w:name w:val="NRP_2uroven"/>
    <w:basedOn w:val="Nadpis2"/>
    <w:qFormat/>
    <w:rsid w:val="00446DDA"/>
    <w:pPr>
      <w:numPr>
        <w:ilvl w:val="1"/>
        <w:numId w:val="4"/>
      </w:numPr>
      <w:spacing w:before="0" w:after="120"/>
      <w:jc w:val="both"/>
    </w:pPr>
    <w:rPr>
      <w:rFonts w:ascii="Arial Narrow" w:hAnsi="Arial Narrow" w:cs="Arial Narrow"/>
      <w:bCs w:val="0"/>
      <w:i w:val="0"/>
      <w:iCs w:val="0"/>
      <w:sz w:val="24"/>
      <w:szCs w:val="24"/>
      <w:lang w:eastAsia="sk-SK"/>
    </w:rPr>
  </w:style>
  <w:style w:type="character" w:customStyle="1" w:styleId="apple-converted-space">
    <w:name w:val="apple-converted-space"/>
    <w:basedOn w:val="Predvolenpsmoodseku"/>
    <w:rsid w:val="00446DDA"/>
  </w:style>
  <w:style w:type="table" w:customStyle="1" w:styleId="Mriekatabuky17">
    <w:name w:val="Mriežka tabuľky17"/>
    <w:basedOn w:val="Normlnatabuka"/>
    <w:next w:val="Mriekatabuky"/>
    <w:uiPriority w:val="39"/>
    <w:rsid w:val="00446DDA"/>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basedOn w:val="Predvolenpsmoodseku"/>
    <w:rsid w:val="00446DDA"/>
    <w:rPr>
      <w:rFonts w:ascii="Arial Narrow" w:eastAsia="Arial Narrow" w:hAnsi="Arial Narrow" w:cs="Arial Narrow"/>
      <w:color w:val="0563C1"/>
      <w:sz w:val="16"/>
      <w:szCs w:val="16"/>
      <w:u w:val="single" w:color="0563C1"/>
    </w:rPr>
  </w:style>
  <w:style w:type="table" w:customStyle="1" w:styleId="Mriekatabuky25">
    <w:name w:val="Mriežka tabuľky25"/>
    <w:basedOn w:val="Normlnatabuka"/>
    <w:next w:val="Mriekatabuky"/>
    <w:uiPriority w:val="59"/>
    <w:rsid w:val="00446DDA"/>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446DD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Ind w:w="0" w:type="dxa"/>
      <w:tblCellMar>
        <w:top w:w="0" w:type="dxa"/>
        <w:left w:w="0" w:type="dxa"/>
        <w:bottom w:w="0" w:type="dxa"/>
        <w:right w:w="0" w:type="dxa"/>
      </w:tblCellMar>
    </w:tblPr>
  </w:style>
  <w:style w:type="character" w:customStyle="1" w:styleId="Hyperlink1">
    <w:name w:val="Hyperlink.1"/>
    <w:basedOn w:val="Predvolenpsmoodseku"/>
    <w:rsid w:val="00446DDA"/>
    <w:rPr>
      <w:rFonts w:ascii="Arial Narrow" w:eastAsia="Arial Narrow" w:hAnsi="Arial Narrow" w:cs="Arial Narrow"/>
      <w:color w:val="0000FF"/>
      <w:sz w:val="18"/>
      <w:szCs w:val="18"/>
      <w:u w:val="single" w:color="0000FF"/>
    </w:rPr>
  </w:style>
  <w:style w:type="numbering" w:customStyle="1" w:styleId="List7">
    <w:name w:val="List 7"/>
    <w:basedOn w:val="Bezzoznamu"/>
    <w:rsid w:val="00446DDA"/>
  </w:style>
  <w:style w:type="numbering" w:customStyle="1" w:styleId="List17">
    <w:name w:val="List 17"/>
    <w:basedOn w:val="Bezzoznamu"/>
    <w:rsid w:val="00446DDA"/>
  </w:style>
  <w:style w:type="numbering" w:customStyle="1" w:styleId="List18">
    <w:name w:val="List 18"/>
    <w:basedOn w:val="Bezzoznamu"/>
    <w:rsid w:val="00446DDA"/>
  </w:style>
  <w:style w:type="table" w:customStyle="1" w:styleId="TableNormal2">
    <w:name w:val="Table Normal2"/>
    <w:rsid w:val="00446DDA"/>
    <w:pPr>
      <w:spacing w:after="200" w:line="276" w:lineRule="auto"/>
    </w:pPr>
    <w:rPr>
      <w:rFonts w:ascii="Arial Narrow" w:eastAsia="Arial Narrow" w:hAnsi="Arial Narrow" w:cs="Arial Narrow"/>
      <w:color w:val="000000"/>
      <w:lang w:val="en-US"/>
    </w:rPr>
    <w:tblPr>
      <w:tblCellMar>
        <w:top w:w="0" w:type="dxa"/>
        <w:left w:w="0" w:type="dxa"/>
        <w:bottom w:w="0" w:type="dxa"/>
        <w:right w:w="0" w:type="dxa"/>
      </w:tblCellMar>
    </w:tblPr>
  </w:style>
  <w:style w:type="paragraph" w:styleId="Podtitul">
    <w:name w:val="Subtitle"/>
    <w:basedOn w:val="Normlny"/>
    <w:next w:val="Normlny"/>
    <w:link w:val="PodtitulChar"/>
    <w:rsid w:val="00446DDA"/>
    <w:pPr>
      <w:keepNext/>
      <w:keepLines/>
      <w:spacing w:before="360" w:after="80" w:line="276" w:lineRule="auto"/>
      <w:contextualSpacing/>
    </w:pPr>
    <w:rPr>
      <w:rFonts w:ascii="Georgia" w:eastAsia="Georgia" w:hAnsi="Georgia" w:cs="Georgia"/>
      <w:i/>
      <w:color w:val="666666"/>
      <w:sz w:val="48"/>
      <w:szCs w:val="48"/>
      <w:lang w:val="en-US"/>
    </w:rPr>
  </w:style>
  <w:style w:type="character" w:customStyle="1" w:styleId="PodtitulChar">
    <w:name w:val="Podtitul Char"/>
    <w:basedOn w:val="Predvolenpsmoodseku"/>
    <w:link w:val="Podtitul"/>
    <w:rsid w:val="00446DDA"/>
    <w:rPr>
      <w:rFonts w:ascii="Georgia" w:eastAsia="Georgia" w:hAnsi="Georgia" w:cs="Georgia"/>
      <w:i/>
      <w:color w:val="666666"/>
      <w:sz w:val="48"/>
      <w:szCs w:val="48"/>
      <w:lang w:val="en-US"/>
    </w:rPr>
  </w:style>
  <w:style w:type="paragraph" w:styleId="Register1">
    <w:name w:val="index 1"/>
    <w:basedOn w:val="Normlny"/>
    <w:next w:val="Normlny"/>
    <w:autoRedefine/>
    <w:uiPriority w:val="99"/>
    <w:semiHidden/>
    <w:unhideWhenUsed/>
    <w:rsid w:val="00446DDA"/>
    <w:pPr>
      <w:spacing w:after="0" w:line="240" w:lineRule="auto"/>
      <w:ind w:left="220" w:hanging="220"/>
    </w:pPr>
    <w:rPr>
      <w:rFonts w:ascii="Arial Narrow" w:hAnsi="Arial Narrow"/>
      <w:szCs w:val="36"/>
    </w:rPr>
  </w:style>
  <w:style w:type="paragraph" w:customStyle="1" w:styleId="Odsekzoznamu1">
    <w:name w:val="Odsek zoznamu1"/>
    <w:basedOn w:val="Normlny"/>
    <w:rsid w:val="00446DDA"/>
    <w:pPr>
      <w:spacing w:after="0" w:line="240" w:lineRule="auto"/>
      <w:ind w:left="720"/>
      <w:contextualSpacing/>
    </w:pPr>
    <w:rPr>
      <w:rFonts w:ascii="Arial Narrow" w:eastAsia="Times New Roman" w:hAnsi="Arial Narrow" w:cs="Book Antiqua"/>
      <w:lang w:eastAsia="sk-SK"/>
    </w:rPr>
  </w:style>
  <w:style w:type="paragraph" w:customStyle="1" w:styleId="Normlny1">
    <w:name w:val="Normálny1"/>
    <w:rsid w:val="00446DDA"/>
    <w:pPr>
      <w:widowControl w:val="0"/>
    </w:pPr>
    <w:rPr>
      <w:rFonts w:ascii="Calibri" w:eastAsia="Calibri" w:hAnsi="Calibri" w:cs="Calibri"/>
      <w:color w:val="000000"/>
      <w:lang w:eastAsia="sk-SK"/>
    </w:rPr>
  </w:style>
  <w:style w:type="paragraph" w:customStyle="1" w:styleId="Odsek">
    <w:name w:val="Odsek"/>
    <w:basedOn w:val="Normlny"/>
    <w:link w:val="OdsekChar"/>
    <w:qFormat/>
    <w:rsid w:val="00446DDA"/>
    <w:pPr>
      <w:spacing w:after="240" w:line="240" w:lineRule="auto"/>
      <w:jc w:val="both"/>
    </w:pPr>
    <w:rPr>
      <w:rFonts w:ascii="Arial Narrow" w:eastAsia="Times New Roman" w:hAnsi="Arial Narrow" w:cs="Book Antiqua"/>
      <w:lang w:eastAsia="sk-SK"/>
    </w:rPr>
  </w:style>
  <w:style w:type="character" w:customStyle="1" w:styleId="OdsekChar">
    <w:name w:val="Odsek Char"/>
    <w:basedOn w:val="Predvolenpsmoodseku"/>
    <w:link w:val="Odsek"/>
    <w:rsid w:val="00446DDA"/>
    <w:rPr>
      <w:rFonts w:ascii="Arial Narrow" w:eastAsia="Times New Roman" w:hAnsi="Arial Narrow" w:cs="Book Antiqua"/>
      <w:lang w:eastAsia="sk-SK"/>
    </w:rPr>
  </w:style>
  <w:style w:type="table" w:customStyle="1" w:styleId="TableNormal">
    <w:name w:val="Table Normal"/>
    <w:rsid w:val="00446DDA"/>
    <w:pPr>
      <w:spacing w:after="200" w:line="276" w:lineRule="auto"/>
    </w:pPr>
    <w:rPr>
      <w:rFonts w:ascii="Arial Narrow" w:eastAsia="Arial Narrow" w:hAnsi="Arial Narrow" w:cs="Arial Narrow"/>
      <w:color w:val="000000"/>
      <w:lang w:val="en-US"/>
    </w:rPr>
    <w:tblPr>
      <w:tblCellMar>
        <w:top w:w="0" w:type="dxa"/>
        <w:left w:w="0" w:type="dxa"/>
        <w:bottom w:w="0" w:type="dxa"/>
        <w:right w:w="0" w:type="dxa"/>
      </w:tblCellMar>
    </w:tblPr>
  </w:style>
  <w:style w:type="table" w:customStyle="1" w:styleId="Tabukasmriekou1svetlzvraznenie11">
    <w:name w:val="Tabuľka s mriežkou 1 – svetlá – zvýraznenie 11"/>
    <w:basedOn w:val="Normlnatabuka"/>
    <w:next w:val="Tabukasmriekou1svetlzvraznenie1"/>
    <w:uiPriority w:val="46"/>
    <w:rsid w:val="00446DDA"/>
    <w:pPr>
      <w:spacing w:after="0" w:line="240" w:lineRule="auto"/>
    </w:pPr>
    <w:tblPr>
      <w:tblStyleRowBandSize w:val="1"/>
      <w:tblStyleColBandSize w:val="1"/>
      <w:tblBorders>
        <w:top w:val="single" w:sz="4" w:space="0" w:color="AAD6F1"/>
        <w:left w:val="single" w:sz="4" w:space="0" w:color="AAD6F1"/>
        <w:bottom w:val="single" w:sz="4" w:space="0" w:color="AAD6F1"/>
        <w:right w:val="single" w:sz="4" w:space="0" w:color="AAD6F1"/>
        <w:insideH w:val="single" w:sz="4" w:space="0" w:color="AAD6F1"/>
        <w:insideV w:val="single" w:sz="4" w:space="0" w:color="AAD6F1"/>
      </w:tblBorders>
    </w:tblPr>
    <w:tblStylePr w:type="firstRow">
      <w:rPr>
        <w:b/>
        <w:bCs/>
      </w:rPr>
      <w:tblPr/>
      <w:tcPr>
        <w:tcBorders>
          <w:bottom w:val="single" w:sz="12" w:space="0" w:color="80C2EA"/>
        </w:tcBorders>
      </w:tcPr>
    </w:tblStylePr>
    <w:tblStylePr w:type="lastRow">
      <w:rPr>
        <w:b/>
        <w:bCs/>
      </w:rPr>
      <w:tblPr/>
      <w:tcPr>
        <w:tcBorders>
          <w:top w:val="double" w:sz="2" w:space="0" w:color="80C2EA"/>
        </w:tcBorders>
      </w:tcPr>
    </w:tblStylePr>
    <w:tblStylePr w:type="firstCol">
      <w:rPr>
        <w:b/>
        <w:bCs/>
      </w:rPr>
    </w:tblStylePr>
    <w:tblStylePr w:type="lastCol">
      <w:rPr>
        <w:b/>
        <w:bCs/>
      </w:rPr>
    </w:tblStylePr>
  </w:style>
  <w:style w:type="table" w:styleId="Tabukasmriekou1svetlzvraznenie1">
    <w:name w:val="Grid Table 1 Light Accent 1"/>
    <w:basedOn w:val="Normlnatabuka"/>
    <w:uiPriority w:val="46"/>
    <w:rsid w:val="00446DDA"/>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Zvraznenie">
    <w:name w:val="Emphasis"/>
    <w:basedOn w:val="Predvolenpsmoodseku"/>
    <w:uiPriority w:val="20"/>
    <w:qFormat/>
    <w:rsid w:val="0063035E"/>
    <w:rPr>
      <w:b/>
      <w:bCs/>
      <w:i w:val="0"/>
      <w:iCs w:val="0"/>
    </w:rPr>
  </w:style>
  <w:style w:type="table" w:customStyle="1" w:styleId="TableGrid2">
    <w:name w:val="Table Grid2"/>
    <w:basedOn w:val="Normlnatabuka"/>
    <w:uiPriority w:val="39"/>
    <w:rsid w:val="00C36E5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Normlnatabuka"/>
    <w:uiPriority w:val="39"/>
    <w:rsid w:val="00C36E5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lny"/>
    <w:rsid w:val="00C36E5D"/>
    <w:pPr>
      <w:spacing w:line="240" w:lineRule="exact"/>
    </w:pPr>
    <w:rPr>
      <w:rFonts w:ascii="Tahoma" w:eastAsia="Times New Roman" w:hAnsi="Tahoma" w:cs="Tahoma"/>
      <w:sz w:val="20"/>
      <w:szCs w:val="20"/>
    </w:rPr>
  </w:style>
  <w:style w:type="paragraph" w:customStyle="1" w:styleId="default0">
    <w:name w:val="default"/>
    <w:basedOn w:val="Normlny"/>
    <w:rsid w:val="00C36E5D"/>
    <w:pPr>
      <w:spacing w:before="180" w:after="0" w:line="240" w:lineRule="auto"/>
    </w:pPr>
    <w:rPr>
      <w:rFonts w:ascii="Times New Roman" w:eastAsia="Times New Roman" w:hAnsi="Times New Roman" w:cs="Times New Roman"/>
      <w:sz w:val="24"/>
      <w:szCs w:val="24"/>
      <w:lang w:eastAsia="sk-SK"/>
    </w:rPr>
  </w:style>
  <w:style w:type="table" w:styleId="Obyajntabuka4">
    <w:name w:val="Plain Table 4"/>
    <w:basedOn w:val="Normlnatabuka"/>
    <w:uiPriority w:val="44"/>
    <w:rsid w:val="00C36E5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Bezzoznamu111111">
    <w:name w:val="Bez zoznamu111111"/>
    <w:next w:val="Bezzoznamu"/>
    <w:uiPriority w:val="99"/>
    <w:semiHidden/>
    <w:unhideWhenUsed/>
    <w:rsid w:val="00C36E5D"/>
  </w:style>
  <w:style w:type="numbering" w:customStyle="1" w:styleId="Bezzoznamu1111111">
    <w:name w:val="Bez zoznamu1111111"/>
    <w:next w:val="Bezzoznamu"/>
    <w:uiPriority w:val="99"/>
    <w:semiHidden/>
    <w:unhideWhenUsed/>
    <w:rsid w:val="00C36E5D"/>
  </w:style>
  <w:style w:type="character" w:customStyle="1" w:styleId="awspan1">
    <w:name w:val="awspan1"/>
    <w:basedOn w:val="Predvolenpsmoodseku"/>
    <w:rsid w:val="00C36E5D"/>
    <w:rPr>
      <w:color w:val="000000"/>
      <w:sz w:val="24"/>
      <w:szCs w:val="24"/>
    </w:rPr>
  </w:style>
  <w:style w:type="table" w:customStyle="1" w:styleId="Obyajntabuka41">
    <w:name w:val="Obyčajná tabuľka 41"/>
    <w:basedOn w:val="Normlnatabuka"/>
    <w:next w:val="Obyajntabuka4"/>
    <w:uiPriority w:val="44"/>
    <w:rsid w:val="00C36E5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Bezzoznamu7">
    <w:name w:val="Bez zoznamu7"/>
    <w:next w:val="Bezzoznamu"/>
    <w:uiPriority w:val="99"/>
    <w:semiHidden/>
    <w:unhideWhenUsed/>
    <w:rsid w:val="00C36E5D"/>
  </w:style>
  <w:style w:type="table" w:customStyle="1" w:styleId="Mriekatabuky18">
    <w:name w:val="Mriežka tabuľky18"/>
    <w:basedOn w:val="Normlnatabuka"/>
    <w:next w:val="Mriekatabuky"/>
    <w:uiPriority w:val="3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
    <w:name w:val="Mriežka tabuľky115"/>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
    <w:name w:val="Mriežka tabuľky34"/>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
    <w:name w:val="Mriežka tabuľky124"/>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
    <w:name w:val="Mriežka tabuľky214"/>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
    <w:name w:val="Mriežka tabuľky1114"/>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
    <w:name w:val="Mriežka tabuľky42"/>
    <w:basedOn w:val="Normlnatabuka"/>
    <w:next w:val="Mriekatabuky"/>
    <w:uiPriority w:val="59"/>
    <w:rsid w:val="00C36E5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2">
    <w:name w:val="Mriežka tabuľky132"/>
    <w:basedOn w:val="Normlnatabuka"/>
    <w:uiPriority w:val="59"/>
    <w:rsid w:val="00C36E5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2">
    <w:name w:val="Mriežka tabuľky222"/>
    <w:basedOn w:val="Normlnatabuka"/>
    <w:uiPriority w:val="59"/>
    <w:rsid w:val="00C36E5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2">
    <w:name w:val="Mriežka tabuľky1122"/>
    <w:basedOn w:val="Normlnatabuka"/>
    <w:uiPriority w:val="59"/>
    <w:rsid w:val="00C36E5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
    <w:name w:val="Mriežka tabuľky312"/>
    <w:basedOn w:val="Normlnatabuka"/>
    <w:uiPriority w:val="59"/>
    <w:rsid w:val="00C36E5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2">
    <w:name w:val="Mriežka tabuľky1212"/>
    <w:basedOn w:val="Normlnatabuka"/>
    <w:uiPriority w:val="59"/>
    <w:rsid w:val="00C36E5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2">
    <w:name w:val="Mriežka tabuľky2112"/>
    <w:basedOn w:val="Normlnatabuka"/>
    <w:uiPriority w:val="59"/>
    <w:rsid w:val="00C36E5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2">
    <w:name w:val="Mriežka tabuľky11112"/>
    <w:basedOn w:val="Normlnatabuka"/>
    <w:uiPriority w:val="59"/>
    <w:rsid w:val="00C36E5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2">
    <w:name w:val="Kalendár 22"/>
    <w:basedOn w:val="Normlnatabuka"/>
    <w:uiPriority w:val="99"/>
    <w:qFormat/>
    <w:rsid w:val="00C36E5D"/>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3">
    <w:name w:val="Bez zoznamu13"/>
    <w:next w:val="Bezzoznamu"/>
    <w:uiPriority w:val="99"/>
    <w:semiHidden/>
    <w:unhideWhenUsed/>
    <w:rsid w:val="00C36E5D"/>
  </w:style>
  <w:style w:type="table" w:customStyle="1" w:styleId="Mriekatabuky52">
    <w:name w:val="Mriežka tabuľky52"/>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2">
    <w:name w:val="Mriežka tabuľky142"/>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2">
    <w:name w:val="Mriežka tabuľky232"/>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2">
    <w:name w:val="Mriežka tabuľky1132"/>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2">
    <w:name w:val="Mriežka tabuľky322"/>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2">
    <w:name w:val="Mriežka tabuľky1222"/>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2">
    <w:name w:val="Mriežka tabuľky2122"/>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2">
    <w:name w:val="Mriežka tabuľky11122"/>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
    <w:name w:val="Bez zoznamu22"/>
    <w:next w:val="Bezzoznamu"/>
    <w:uiPriority w:val="99"/>
    <w:semiHidden/>
    <w:unhideWhenUsed/>
    <w:rsid w:val="00C36E5D"/>
  </w:style>
  <w:style w:type="table" w:customStyle="1" w:styleId="Mriekatabuky62">
    <w:name w:val="Mriežka tabuľky62"/>
    <w:basedOn w:val="Normlnatabuka"/>
    <w:next w:val="Mriekatabuky"/>
    <w:rsid w:val="00C36E5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2">
    <w:name w:val="Bez zoznamu32"/>
    <w:next w:val="Bezzoznamu"/>
    <w:uiPriority w:val="99"/>
    <w:semiHidden/>
    <w:unhideWhenUsed/>
    <w:rsid w:val="00C36E5D"/>
  </w:style>
  <w:style w:type="table" w:customStyle="1" w:styleId="Mriekatabuky72">
    <w:name w:val="Mriežka tabuľky72"/>
    <w:basedOn w:val="Normlnatabuka"/>
    <w:next w:val="Mriekatabuky"/>
    <w:rsid w:val="00C36E5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3">
    <w:name w:val="Bez zoznamu113"/>
    <w:next w:val="Bezzoznamu"/>
    <w:uiPriority w:val="99"/>
    <w:semiHidden/>
    <w:unhideWhenUsed/>
    <w:rsid w:val="00C36E5D"/>
  </w:style>
  <w:style w:type="table" w:customStyle="1" w:styleId="Mriekatabukysvetl12">
    <w:name w:val="Mriežka tabuľky – svetlá12"/>
    <w:basedOn w:val="Normlnatabuka"/>
    <w:uiPriority w:val="40"/>
    <w:rsid w:val="00C36E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41">
    <w:name w:val="Bez zoznamu41"/>
    <w:next w:val="Bezzoznamu"/>
    <w:uiPriority w:val="99"/>
    <w:semiHidden/>
    <w:unhideWhenUsed/>
    <w:rsid w:val="00C36E5D"/>
  </w:style>
  <w:style w:type="numbering" w:customStyle="1" w:styleId="Bezzoznamu1112">
    <w:name w:val="Bez zoznamu1112"/>
    <w:next w:val="Bezzoznamu"/>
    <w:uiPriority w:val="99"/>
    <w:semiHidden/>
    <w:unhideWhenUsed/>
    <w:rsid w:val="00C36E5D"/>
  </w:style>
  <w:style w:type="table" w:customStyle="1" w:styleId="Mriekatabuky81">
    <w:name w:val="Mriežka tabuľky81"/>
    <w:basedOn w:val="Normlnatabuka"/>
    <w:next w:val="Mriekatabuky"/>
    <w:rsid w:val="00C36E5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1">
    <w:name w:val="Bez zoznamu51"/>
    <w:next w:val="Bezzoznamu"/>
    <w:uiPriority w:val="99"/>
    <w:semiHidden/>
    <w:unhideWhenUsed/>
    <w:rsid w:val="00C36E5D"/>
  </w:style>
  <w:style w:type="numbering" w:customStyle="1" w:styleId="Bezzoznamu121">
    <w:name w:val="Bez zoznamu121"/>
    <w:next w:val="Bezzoznamu"/>
    <w:uiPriority w:val="99"/>
    <w:semiHidden/>
    <w:unhideWhenUsed/>
    <w:rsid w:val="00C36E5D"/>
  </w:style>
  <w:style w:type="table" w:customStyle="1" w:styleId="Mriekatabuky91">
    <w:name w:val="Mriežka tabuľky91"/>
    <w:basedOn w:val="Normlnatabuka"/>
    <w:next w:val="Mriekatabuky"/>
    <w:uiPriority w:val="3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1">
    <w:name w:val="Mriežka tabuľky151"/>
    <w:basedOn w:val="Normlnatabuka"/>
    <w:next w:val="Mriekatabuky"/>
    <w:uiPriority w:val="3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1">
    <w:name w:val="Mriežka tabuľky241"/>
    <w:basedOn w:val="Normlnatabuka"/>
    <w:next w:val="Mriekatabuky"/>
    <w:uiPriority w:val="3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1">
    <w:name w:val="Mriežka tabuľky1141"/>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1">
    <w:name w:val="Mriežka tabuľky331"/>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1">
    <w:name w:val="Mriežka tabuľky1231"/>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1">
    <w:name w:val="Mriežka tabuľky2131"/>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1">
    <w:name w:val="Mriežka tabuľky11131"/>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
    <w:name w:val="Mriežka tabuľky411"/>
    <w:basedOn w:val="Normlnatabuka"/>
    <w:next w:val="Mriekatabuky"/>
    <w:uiPriority w:val="59"/>
    <w:rsid w:val="00C36E5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1">
    <w:name w:val="Mriežka tabuľky1311"/>
    <w:basedOn w:val="Normlnatabuka"/>
    <w:uiPriority w:val="59"/>
    <w:rsid w:val="00C36E5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1">
    <w:name w:val="Mriežka tabuľky2211"/>
    <w:basedOn w:val="Normlnatabuka"/>
    <w:uiPriority w:val="59"/>
    <w:rsid w:val="00C36E5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1">
    <w:name w:val="Mriežka tabuľky11211"/>
    <w:basedOn w:val="Normlnatabuka"/>
    <w:uiPriority w:val="59"/>
    <w:rsid w:val="00C36E5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1">
    <w:name w:val="Mriežka tabuľky3111"/>
    <w:basedOn w:val="Normlnatabuka"/>
    <w:uiPriority w:val="59"/>
    <w:rsid w:val="00C36E5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1">
    <w:name w:val="Mriežka tabuľky12111"/>
    <w:basedOn w:val="Normlnatabuka"/>
    <w:uiPriority w:val="59"/>
    <w:rsid w:val="00C36E5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1">
    <w:name w:val="Mriežka tabuľky21111"/>
    <w:basedOn w:val="Normlnatabuka"/>
    <w:uiPriority w:val="59"/>
    <w:rsid w:val="00C36E5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1">
    <w:name w:val="Mriežka tabuľky111111"/>
    <w:basedOn w:val="Normlnatabuka"/>
    <w:uiPriority w:val="59"/>
    <w:rsid w:val="00C36E5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1">
    <w:name w:val="Kalendár 211"/>
    <w:basedOn w:val="Normlnatabuka"/>
    <w:uiPriority w:val="99"/>
    <w:qFormat/>
    <w:rsid w:val="00C36E5D"/>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1">
    <w:name w:val="Bez zoznamu1121"/>
    <w:next w:val="Bezzoznamu"/>
    <w:uiPriority w:val="99"/>
    <w:semiHidden/>
    <w:unhideWhenUsed/>
    <w:rsid w:val="00C36E5D"/>
  </w:style>
  <w:style w:type="table" w:customStyle="1" w:styleId="Mriekatabuky511">
    <w:name w:val="Mriežka tabuľky511"/>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1">
    <w:name w:val="Mriežka tabuľky1411"/>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1">
    <w:name w:val="Mriežka tabuľky2311"/>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1">
    <w:name w:val="Mriežka tabuľky11311"/>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1">
    <w:name w:val="Mriežka tabuľky3211"/>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1">
    <w:name w:val="Mriežka tabuľky12211"/>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1">
    <w:name w:val="Mriežka tabuľky21211"/>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1">
    <w:name w:val="Mriežka tabuľky111211"/>
    <w:basedOn w:val="Normlnatabuka"/>
    <w:next w:val="Mriekatabuky"/>
    <w:uiPriority w:val="59"/>
    <w:rsid w:val="00C36E5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
    <w:name w:val="Bez zoznamu211"/>
    <w:next w:val="Bezzoznamu"/>
    <w:uiPriority w:val="99"/>
    <w:semiHidden/>
    <w:unhideWhenUsed/>
    <w:rsid w:val="00C36E5D"/>
  </w:style>
  <w:style w:type="table" w:customStyle="1" w:styleId="Mriekatabuky611">
    <w:name w:val="Mriežka tabuľky611"/>
    <w:basedOn w:val="Normlnatabuka"/>
    <w:next w:val="Mriekatabuky"/>
    <w:rsid w:val="00C36E5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1">
    <w:name w:val="Bez zoznamu311"/>
    <w:next w:val="Bezzoznamu"/>
    <w:uiPriority w:val="99"/>
    <w:semiHidden/>
    <w:unhideWhenUsed/>
    <w:rsid w:val="00C36E5D"/>
  </w:style>
  <w:style w:type="table" w:customStyle="1" w:styleId="Mriekatabuky711">
    <w:name w:val="Mriežka tabuľky711"/>
    <w:basedOn w:val="Normlnatabuka"/>
    <w:next w:val="Mriekatabuky"/>
    <w:rsid w:val="00C36E5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2">
    <w:name w:val="Bez zoznamu11112"/>
    <w:next w:val="Bezzoznamu"/>
    <w:uiPriority w:val="99"/>
    <w:semiHidden/>
    <w:unhideWhenUsed/>
    <w:rsid w:val="00C36E5D"/>
  </w:style>
  <w:style w:type="table" w:customStyle="1" w:styleId="Mriekatabukysvetl111">
    <w:name w:val="Mriežka tabuľky – svetlá111"/>
    <w:basedOn w:val="Normlnatabuka"/>
    <w:uiPriority w:val="40"/>
    <w:rsid w:val="00C36E5D"/>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61">
    <w:name w:val="Bez zoznamu61"/>
    <w:next w:val="Bezzoznamu"/>
    <w:uiPriority w:val="99"/>
    <w:semiHidden/>
    <w:unhideWhenUsed/>
    <w:rsid w:val="00C36E5D"/>
  </w:style>
  <w:style w:type="table" w:customStyle="1" w:styleId="UHPGRAF111">
    <w:name w:val="UHP_GRAF111"/>
    <w:basedOn w:val="Normlnatabuka"/>
    <w:uiPriority w:val="99"/>
    <w:rsid w:val="00C36E5D"/>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
    <w:name w:val="UHP_GRAF121"/>
    <w:basedOn w:val="Normlnatabuka"/>
    <w:uiPriority w:val="99"/>
    <w:rsid w:val="00C36E5D"/>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riekatabuky101">
    <w:name w:val="Mriežka tabuľky101"/>
    <w:basedOn w:val="Normlnatabuka"/>
    <w:next w:val="Mriekatabuky"/>
    <w:rsid w:val="00C36E5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2">
    <w:name w:val="Bez zoznamu111112"/>
    <w:next w:val="Bezzoznamu"/>
    <w:uiPriority w:val="99"/>
    <w:semiHidden/>
    <w:unhideWhenUsed/>
    <w:rsid w:val="00C36E5D"/>
  </w:style>
  <w:style w:type="table" w:customStyle="1" w:styleId="Obyajntabuka42">
    <w:name w:val="Obyčajná tabuľka 42"/>
    <w:basedOn w:val="Normlnatabuka"/>
    <w:next w:val="Obyajntabuka4"/>
    <w:uiPriority w:val="44"/>
    <w:rsid w:val="00C36E5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Mriekatabuky161">
    <w:name w:val="Mriežka tabuľky161"/>
    <w:basedOn w:val="Normlnatabuka"/>
    <w:next w:val="Mriekatabuky"/>
    <w:uiPriority w:val="59"/>
    <w:rsid w:val="00C36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8">
    <w:name w:val="Bez zoznamu8"/>
    <w:next w:val="Bezzoznamu"/>
    <w:uiPriority w:val="99"/>
    <w:semiHidden/>
    <w:unhideWhenUsed/>
    <w:rsid w:val="00C36E5D"/>
  </w:style>
  <w:style w:type="numbering" w:customStyle="1" w:styleId="Bezzoznamu14">
    <w:name w:val="Bez zoznamu14"/>
    <w:next w:val="Bezzoznamu"/>
    <w:uiPriority w:val="99"/>
    <w:semiHidden/>
    <w:unhideWhenUsed/>
    <w:rsid w:val="00C36E5D"/>
  </w:style>
  <w:style w:type="numbering" w:customStyle="1" w:styleId="Bezzoznamu23">
    <w:name w:val="Bez zoznamu23"/>
    <w:next w:val="Bezzoznamu"/>
    <w:uiPriority w:val="99"/>
    <w:semiHidden/>
    <w:unhideWhenUsed/>
    <w:rsid w:val="00C36E5D"/>
  </w:style>
  <w:style w:type="numbering" w:customStyle="1" w:styleId="Bezzoznamu33">
    <w:name w:val="Bez zoznamu33"/>
    <w:next w:val="Bezzoznamu"/>
    <w:uiPriority w:val="99"/>
    <w:semiHidden/>
    <w:unhideWhenUsed/>
    <w:rsid w:val="00C36E5D"/>
  </w:style>
  <w:style w:type="numbering" w:customStyle="1" w:styleId="Bezzoznamu114">
    <w:name w:val="Bez zoznamu114"/>
    <w:next w:val="Bezzoznamu"/>
    <w:uiPriority w:val="99"/>
    <w:semiHidden/>
    <w:unhideWhenUsed/>
    <w:rsid w:val="00C36E5D"/>
  </w:style>
  <w:style w:type="numbering" w:customStyle="1" w:styleId="Bezzoznamu42">
    <w:name w:val="Bez zoznamu42"/>
    <w:next w:val="Bezzoznamu"/>
    <w:uiPriority w:val="99"/>
    <w:semiHidden/>
    <w:unhideWhenUsed/>
    <w:rsid w:val="00C36E5D"/>
  </w:style>
  <w:style w:type="numbering" w:customStyle="1" w:styleId="Bezzoznamu1113">
    <w:name w:val="Bez zoznamu1113"/>
    <w:next w:val="Bezzoznamu"/>
    <w:uiPriority w:val="99"/>
    <w:semiHidden/>
    <w:unhideWhenUsed/>
    <w:rsid w:val="00C36E5D"/>
  </w:style>
  <w:style w:type="numbering" w:customStyle="1" w:styleId="Bezzoznamu52">
    <w:name w:val="Bez zoznamu52"/>
    <w:next w:val="Bezzoznamu"/>
    <w:uiPriority w:val="99"/>
    <w:semiHidden/>
    <w:unhideWhenUsed/>
    <w:rsid w:val="00C36E5D"/>
  </w:style>
  <w:style w:type="numbering" w:customStyle="1" w:styleId="Bezzoznamu122">
    <w:name w:val="Bez zoznamu122"/>
    <w:next w:val="Bezzoznamu"/>
    <w:uiPriority w:val="99"/>
    <w:semiHidden/>
    <w:unhideWhenUsed/>
    <w:rsid w:val="00C36E5D"/>
  </w:style>
  <w:style w:type="numbering" w:customStyle="1" w:styleId="Bezzoznamu1122">
    <w:name w:val="Bez zoznamu1122"/>
    <w:next w:val="Bezzoznamu"/>
    <w:uiPriority w:val="99"/>
    <w:semiHidden/>
    <w:unhideWhenUsed/>
    <w:rsid w:val="00C36E5D"/>
  </w:style>
  <w:style w:type="numbering" w:customStyle="1" w:styleId="Bezzoznamu212">
    <w:name w:val="Bez zoznamu212"/>
    <w:next w:val="Bezzoznamu"/>
    <w:uiPriority w:val="99"/>
    <w:semiHidden/>
    <w:unhideWhenUsed/>
    <w:rsid w:val="00C36E5D"/>
  </w:style>
  <w:style w:type="numbering" w:customStyle="1" w:styleId="Bezzoznamu312">
    <w:name w:val="Bez zoznamu312"/>
    <w:next w:val="Bezzoznamu"/>
    <w:uiPriority w:val="99"/>
    <w:semiHidden/>
    <w:unhideWhenUsed/>
    <w:rsid w:val="00C36E5D"/>
  </w:style>
  <w:style w:type="numbering" w:customStyle="1" w:styleId="Bezzoznamu11113">
    <w:name w:val="Bez zoznamu11113"/>
    <w:next w:val="Bezzoznamu"/>
    <w:uiPriority w:val="99"/>
    <w:semiHidden/>
    <w:unhideWhenUsed/>
    <w:rsid w:val="00C36E5D"/>
  </w:style>
  <w:style w:type="numbering" w:customStyle="1" w:styleId="Bezzoznamu62">
    <w:name w:val="Bez zoznamu62"/>
    <w:next w:val="Bezzoznamu"/>
    <w:uiPriority w:val="99"/>
    <w:semiHidden/>
    <w:unhideWhenUsed/>
    <w:rsid w:val="00C36E5D"/>
  </w:style>
  <w:style w:type="numbering" w:customStyle="1" w:styleId="Bezzoznamu111113">
    <w:name w:val="Bez zoznamu111113"/>
    <w:next w:val="Bezzoznamu"/>
    <w:uiPriority w:val="99"/>
    <w:semiHidden/>
    <w:unhideWhenUsed/>
    <w:rsid w:val="00C36E5D"/>
  </w:style>
  <w:style w:type="paragraph" w:customStyle="1" w:styleId="xl65">
    <w:name w:val="xl65"/>
    <w:basedOn w:val="Normlny"/>
    <w:rsid w:val="0024724D"/>
    <w:pPr>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66">
    <w:name w:val="xl66"/>
    <w:basedOn w:val="Normlny"/>
    <w:rsid w:val="0024724D"/>
    <w:pPr>
      <w:spacing w:before="100" w:beforeAutospacing="1" w:after="100" w:afterAutospacing="1" w:line="240" w:lineRule="auto"/>
      <w:jc w:val="right"/>
      <w:textAlignment w:val="center"/>
    </w:pPr>
    <w:rPr>
      <w:rFonts w:ascii="Times New Roman" w:eastAsia="Times New Roman" w:hAnsi="Times New Roman" w:cs="Times New Roman"/>
      <w:i/>
      <w:iCs/>
      <w:sz w:val="16"/>
      <w:szCs w:val="16"/>
      <w:lang w:eastAsia="sk-SK"/>
    </w:rPr>
  </w:style>
  <w:style w:type="paragraph" w:customStyle="1" w:styleId="xl67">
    <w:name w:val="xl67"/>
    <w:basedOn w:val="Normlny"/>
    <w:rsid w:val="0024724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k-SK"/>
    </w:rPr>
  </w:style>
  <w:style w:type="paragraph" w:customStyle="1" w:styleId="xl68">
    <w:name w:val="xl68"/>
    <w:basedOn w:val="Normlny"/>
    <w:rsid w:val="0024724D"/>
    <w:pPr>
      <w:spacing w:before="100" w:beforeAutospacing="1" w:after="100" w:afterAutospacing="1" w:line="240" w:lineRule="auto"/>
      <w:textAlignment w:val="center"/>
    </w:pPr>
    <w:rPr>
      <w:rFonts w:ascii="Times New Roman" w:eastAsia="Times New Roman" w:hAnsi="Times New Roman" w:cs="Times New Roman"/>
      <w:sz w:val="16"/>
      <w:szCs w:val="16"/>
      <w:lang w:eastAsia="sk-SK"/>
    </w:rPr>
  </w:style>
  <w:style w:type="paragraph" w:customStyle="1" w:styleId="xl69">
    <w:name w:val="xl69"/>
    <w:basedOn w:val="Normlny"/>
    <w:rsid w:val="0024724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sk-SK"/>
    </w:rPr>
  </w:style>
  <w:style w:type="paragraph" w:customStyle="1" w:styleId="xl70">
    <w:name w:val="xl70"/>
    <w:basedOn w:val="Normlny"/>
    <w:rsid w:val="0024724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sk-SK"/>
    </w:rPr>
  </w:style>
  <w:style w:type="paragraph" w:customStyle="1" w:styleId="xl71">
    <w:name w:val="xl71"/>
    <w:basedOn w:val="Normlny"/>
    <w:rsid w:val="0024724D"/>
    <w:pPr>
      <w:spacing w:before="100" w:beforeAutospacing="1" w:after="100" w:afterAutospacing="1" w:line="240" w:lineRule="auto"/>
      <w:textAlignment w:val="center"/>
    </w:pPr>
    <w:rPr>
      <w:rFonts w:ascii="Times New Roman" w:eastAsia="Times New Roman" w:hAnsi="Times New Roman" w:cs="Times New Roman"/>
      <w:sz w:val="16"/>
      <w:szCs w:val="16"/>
      <w:lang w:eastAsia="sk-SK"/>
    </w:rPr>
  </w:style>
  <w:style w:type="paragraph" w:customStyle="1" w:styleId="xl72">
    <w:name w:val="xl72"/>
    <w:basedOn w:val="Normlny"/>
    <w:rsid w:val="0024724D"/>
    <w:pPr>
      <w:spacing w:before="100" w:beforeAutospacing="1" w:after="100" w:afterAutospacing="1" w:line="240" w:lineRule="auto"/>
      <w:textAlignment w:val="center"/>
    </w:pPr>
    <w:rPr>
      <w:rFonts w:ascii="Times New Roman" w:eastAsia="Times New Roman" w:hAnsi="Times New Roman" w:cs="Times New Roman"/>
      <w:sz w:val="16"/>
      <w:szCs w:val="16"/>
      <w:lang w:eastAsia="sk-SK"/>
    </w:rPr>
  </w:style>
  <w:style w:type="paragraph" w:customStyle="1" w:styleId="xl73">
    <w:name w:val="xl73"/>
    <w:basedOn w:val="Normlny"/>
    <w:rsid w:val="0024724D"/>
    <w:pPr>
      <w:spacing w:before="100" w:beforeAutospacing="1" w:after="100" w:afterAutospacing="1" w:line="240" w:lineRule="auto"/>
      <w:textAlignment w:val="center"/>
    </w:pPr>
    <w:rPr>
      <w:rFonts w:ascii="Times New Roman" w:eastAsia="Times New Roman" w:hAnsi="Times New Roman" w:cs="Times New Roman"/>
      <w:sz w:val="16"/>
      <w:szCs w:val="16"/>
      <w:lang w:eastAsia="sk-SK"/>
    </w:rPr>
  </w:style>
  <w:style w:type="paragraph" w:customStyle="1" w:styleId="xl74">
    <w:name w:val="xl74"/>
    <w:basedOn w:val="Normlny"/>
    <w:rsid w:val="0024724D"/>
    <w:pPr>
      <w:spacing w:before="100" w:beforeAutospacing="1" w:after="100" w:afterAutospacing="1" w:line="240" w:lineRule="auto"/>
      <w:textAlignment w:val="center"/>
    </w:pPr>
    <w:rPr>
      <w:rFonts w:ascii="Times New Roman" w:eastAsia="Times New Roman" w:hAnsi="Times New Roman" w:cs="Times New Roman"/>
      <w:sz w:val="16"/>
      <w:szCs w:val="16"/>
      <w:lang w:eastAsia="sk-SK"/>
    </w:rPr>
  </w:style>
  <w:style w:type="paragraph" w:customStyle="1" w:styleId="xl75">
    <w:name w:val="xl75"/>
    <w:basedOn w:val="Normlny"/>
    <w:rsid w:val="0024724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k-SK"/>
    </w:rPr>
  </w:style>
  <w:style w:type="paragraph" w:customStyle="1" w:styleId="xl76">
    <w:name w:val="xl76"/>
    <w:basedOn w:val="Normlny"/>
    <w:rsid w:val="0024724D"/>
    <w:pPr>
      <w:spacing w:before="100" w:beforeAutospacing="1" w:after="100" w:afterAutospacing="1" w:line="240" w:lineRule="auto"/>
      <w:jc w:val="right"/>
      <w:textAlignment w:val="center"/>
    </w:pPr>
    <w:rPr>
      <w:rFonts w:ascii="Times New Roman" w:eastAsia="Times New Roman" w:hAnsi="Times New Roman" w:cs="Times New Roman"/>
      <w:sz w:val="16"/>
      <w:szCs w:val="16"/>
      <w:lang w:eastAsia="sk-SK"/>
    </w:rPr>
  </w:style>
  <w:style w:type="character" w:customStyle="1" w:styleId="s1">
    <w:name w:val="s1"/>
    <w:basedOn w:val="Predvolenpsmoodseku"/>
    <w:rsid w:val="00BA211E"/>
  </w:style>
  <w:style w:type="numbering" w:customStyle="1" w:styleId="Bezzoznamu9">
    <w:name w:val="Bez zoznamu9"/>
    <w:next w:val="Bezzoznamu"/>
    <w:uiPriority w:val="99"/>
    <w:semiHidden/>
    <w:unhideWhenUsed/>
    <w:rsid w:val="000E5938"/>
  </w:style>
  <w:style w:type="paragraph" w:customStyle="1" w:styleId="xmsonormal">
    <w:name w:val="x_msonormal"/>
    <w:basedOn w:val="Normlny"/>
    <w:uiPriority w:val="99"/>
    <w:semiHidden/>
    <w:rsid w:val="00AA17E3"/>
    <w:pPr>
      <w:spacing w:after="0" w:line="240" w:lineRule="auto"/>
    </w:pPr>
    <w:rPr>
      <w:rFonts w:ascii="Times New Roman" w:hAnsi="Times New Roman" w:cs="Times New Roman"/>
      <w:sz w:val="24"/>
      <w:szCs w:val="24"/>
      <w:lang w:eastAsia="sk-SK"/>
    </w:rPr>
  </w:style>
  <w:style w:type="table" w:customStyle="1" w:styleId="Mriekatabuky19">
    <w:name w:val="Mriežka tabuľky19"/>
    <w:basedOn w:val="Normlnatabuka"/>
    <w:next w:val="Mriekatabuky"/>
    <w:uiPriority w:val="59"/>
    <w:rsid w:val="00AA1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7">
    <w:name w:val="xl77"/>
    <w:basedOn w:val="Normlny"/>
    <w:rsid w:val="00AA17E3"/>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line="240" w:lineRule="auto"/>
    </w:pPr>
    <w:rPr>
      <w:rFonts w:ascii="Times New Roman" w:eastAsia="Times New Roman" w:hAnsi="Times New Roman" w:cs="Times New Roman"/>
      <w:color w:val="FFFFFF"/>
      <w:sz w:val="24"/>
      <w:szCs w:val="24"/>
      <w:lang w:eastAsia="sk-SK"/>
    </w:rPr>
  </w:style>
  <w:style w:type="paragraph" w:customStyle="1" w:styleId="xl78">
    <w:name w:val="xl78"/>
    <w:basedOn w:val="Normlny"/>
    <w:rsid w:val="00AA1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AA17E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0">
    <w:name w:val="xl80"/>
    <w:basedOn w:val="Normlny"/>
    <w:rsid w:val="00AA1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sk-SK"/>
    </w:rPr>
  </w:style>
  <w:style w:type="paragraph" w:customStyle="1" w:styleId="xl81">
    <w:name w:val="xl81"/>
    <w:basedOn w:val="Normlny"/>
    <w:rsid w:val="00AA17E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Calibri" w:eastAsia="Times New Roman" w:hAnsi="Calibri" w:cs="Times New Roman"/>
      <w:sz w:val="24"/>
      <w:szCs w:val="24"/>
      <w:lang w:eastAsia="sk-SK"/>
    </w:rPr>
  </w:style>
  <w:style w:type="paragraph" w:customStyle="1" w:styleId="xl82">
    <w:name w:val="xl82"/>
    <w:basedOn w:val="Normlny"/>
    <w:rsid w:val="00AA17E3"/>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line="240" w:lineRule="auto"/>
      <w:jc w:val="right"/>
    </w:pPr>
    <w:rPr>
      <w:rFonts w:ascii="Times New Roman" w:eastAsia="Times New Roman" w:hAnsi="Times New Roman" w:cs="Times New Roman"/>
      <w:color w:val="FFFFFF"/>
      <w:sz w:val="24"/>
      <w:szCs w:val="24"/>
      <w:lang w:eastAsia="sk-SK"/>
    </w:rPr>
  </w:style>
  <w:style w:type="paragraph" w:customStyle="1" w:styleId="xl83">
    <w:name w:val="xl83"/>
    <w:basedOn w:val="Normlny"/>
    <w:rsid w:val="00AA1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4">
    <w:name w:val="xl84"/>
    <w:basedOn w:val="Normlny"/>
    <w:rsid w:val="00AA17E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5">
    <w:name w:val="xl85"/>
    <w:basedOn w:val="Normlny"/>
    <w:rsid w:val="00AA1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Times New Roman"/>
      <w:sz w:val="24"/>
      <w:szCs w:val="24"/>
      <w:lang w:eastAsia="sk-SK"/>
    </w:rPr>
  </w:style>
  <w:style w:type="paragraph" w:customStyle="1" w:styleId="xl86">
    <w:name w:val="xl86"/>
    <w:basedOn w:val="Normlny"/>
    <w:rsid w:val="00AA17E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Calibri" w:eastAsia="Times New Roman" w:hAnsi="Calibri" w:cs="Times New Roman"/>
      <w:sz w:val="24"/>
      <w:szCs w:val="24"/>
      <w:lang w:eastAsia="sk-SK"/>
    </w:rPr>
  </w:style>
  <w:style w:type="table" w:customStyle="1" w:styleId="Obyajntabuka43">
    <w:name w:val="Obyčajná tabuľka 43"/>
    <w:basedOn w:val="Normlnatabuka"/>
    <w:next w:val="Obyajntabuka4"/>
    <w:uiPriority w:val="44"/>
    <w:rsid w:val="00AA17E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Bezzoznamu15">
    <w:name w:val="Bez zoznamu15"/>
    <w:next w:val="Bezzoznamu"/>
    <w:uiPriority w:val="99"/>
    <w:semiHidden/>
    <w:unhideWhenUsed/>
    <w:rsid w:val="00AA17E3"/>
  </w:style>
  <w:style w:type="table" w:customStyle="1" w:styleId="Mriekatabuky110">
    <w:name w:val="Mriežka tabuľky110"/>
    <w:basedOn w:val="Normlnatabuka"/>
    <w:next w:val="Mriekatabuky"/>
    <w:uiPriority w:val="3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6">
    <w:name w:val="Mriežka tabuľky26"/>
    <w:basedOn w:val="Normlnatabuka"/>
    <w:next w:val="Mriekatabuky"/>
    <w:uiPriority w:val="3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6">
    <w:name w:val="Mriežka tabuľky116"/>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
    <w:name w:val="Mriežka tabuľky35"/>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5">
    <w:name w:val="Mriežka tabuľky125"/>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5">
    <w:name w:val="Mriežka tabuľky215"/>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5">
    <w:name w:val="Mriežka tabuľky1115"/>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
    <w:name w:val="Mriežka tabuľky43"/>
    <w:basedOn w:val="Normlnatabuka"/>
    <w:next w:val="Mriekatabuky"/>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3">
    <w:name w:val="Mriežka tabuľky133"/>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3">
    <w:name w:val="Mriežka tabuľky223"/>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3">
    <w:name w:val="Mriežka tabuľky1123"/>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
    <w:name w:val="Mriežka tabuľky313"/>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3">
    <w:name w:val="Mriežka tabuľky1213"/>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3">
    <w:name w:val="Mriežka tabuľky2113"/>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3">
    <w:name w:val="Mriežka tabuľky11113"/>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3">
    <w:name w:val="Kalendár 23"/>
    <w:basedOn w:val="Normlnatabuka"/>
    <w:uiPriority w:val="99"/>
    <w:qFormat/>
    <w:rsid w:val="00AA17E3"/>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5">
    <w:name w:val="Bez zoznamu115"/>
    <w:next w:val="Bezzoznamu"/>
    <w:uiPriority w:val="99"/>
    <w:semiHidden/>
    <w:unhideWhenUsed/>
    <w:rsid w:val="00AA17E3"/>
  </w:style>
  <w:style w:type="table" w:customStyle="1" w:styleId="Mriekatabuky53">
    <w:name w:val="Mriežka tabuľky53"/>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3">
    <w:name w:val="Mriežka tabuľky143"/>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3">
    <w:name w:val="Mriežka tabuľky233"/>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3">
    <w:name w:val="Mriežka tabuľky1133"/>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3">
    <w:name w:val="Mriežka tabuľky323"/>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3">
    <w:name w:val="Mriežka tabuľky1223"/>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3">
    <w:name w:val="Mriežka tabuľky2123"/>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3">
    <w:name w:val="Mriežka tabuľky11123"/>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4">
    <w:name w:val="Bez zoznamu24"/>
    <w:next w:val="Bezzoznamu"/>
    <w:uiPriority w:val="99"/>
    <w:semiHidden/>
    <w:unhideWhenUsed/>
    <w:rsid w:val="00AA17E3"/>
  </w:style>
  <w:style w:type="table" w:customStyle="1" w:styleId="Mriekatabuky63">
    <w:name w:val="Mriežka tabuľky63"/>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4">
    <w:name w:val="Bez zoznamu34"/>
    <w:next w:val="Bezzoznamu"/>
    <w:uiPriority w:val="99"/>
    <w:semiHidden/>
    <w:unhideWhenUsed/>
    <w:rsid w:val="00AA17E3"/>
  </w:style>
  <w:style w:type="table" w:customStyle="1" w:styleId="Mriekatabuky73">
    <w:name w:val="Mriežka tabuľky73"/>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4">
    <w:name w:val="Bez zoznamu1114"/>
    <w:next w:val="Bezzoznamu"/>
    <w:uiPriority w:val="99"/>
    <w:semiHidden/>
    <w:unhideWhenUsed/>
    <w:rsid w:val="00AA17E3"/>
  </w:style>
  <w:style w:type="table" w:customStyle="1" w:styleId="Mriekatabukysvetl13">
    <w:name w:val="Mriežka tabuľky – svetlá13"/>
    <w:basedOn w:val="Normlnatabuka"/>
    <w:uiPriority w:val="40"/>
    <w:rsid w:val="00AA17E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43">
    <w:name w:val="Bez zoznamu43"/>
    <w:next w:val="Bezzoznamu"/>
    <w:uiPriority w:val="99"/>
    <w:semiHidden/>
    <w:unhideWhenUsed/>
    <w:rsid w:val="00AA17E3"/>
  </w:style>
  <w:style w:type="numbering" w:customStyle="1" w:styleId="Bezzoznamu11114">
    <w:name w:val="Bez zoznamu11114"/>
    <w:next w:val="Bezzoznamu"/>
    <w:uiPriority w:val="99"/>
    <w:semiHidden/>
    <w:unhideWhenUsed/>
    <w:rsid w:val="00AA17E3"/>
  </w:style>
  <w:style w:type="table" w:customStyle="1" w:styleId="Mriekatabuky82">
    <w:name w:val="Mriežka tabuľky82"/>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3">
    <w:name w:val="Bez zoznamu53"/>
    <w:next w:val="Bezzoznamu"/>
    <w:uiPriority w:val="99"/>
    <w:semiHidden/>
    <w:unhideWhenUsed/>
    <w:rsid w:val="00AA17E3"/>
  </w:style>
  <w:style w:type="numbering" w:customStyle="1" w:styleId="Bezzoznamu123">
    <w:name w:val="Bez zoznamu123"/>
    <w:next w:val="Bezzoznamu"/>
    <w:uiPriority w:val="99"/>
    <w:semiHidden/>
    <w:unhideWhenUsed/>
    <w:rsid w:val="00AA17E3"/>
  </w:style>
  <w:style w:type="table" w:customStyle="1" w:styleId="Mriekatabuky92">
    <w:name w:val="Mriežka tabuľky92"/>
    <w:basedOn w:val="Normlnatabuka"/>
    <w:next w:val="Mriekatabuky"/>
    <w:uiPriority w:val="3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2">
    <w:name w:val="Mriežka tabuľky152"/>
    <w:basedOn w:val="Normlnatabuka"/>
    <w:next w:val="Mriekatabuky"/>
    <w:uiPriority w:val="3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2">
    <w:name w:val="Mriežka tabuľky242"/>
    <w:basedOn w:val="Normlnatabuka"/>
    <w:next w:val="Mriekatabuky"/>
    <w:uiPriority w:val="3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2">
    <w:name w:val="Mriežka tabuľky114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2">
    <w:name w:val="Mriežka tabuľky33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2">
    <w:name w:val="Mriežka tabuľky123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2">
    <w:name w:val="Mriežka tabuľky213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2">
    <w:name w:val="Mriežka tabuľky1113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2">
    <w:name w:val="Mriežka tabuľky412"/>
    <w:basedOn w:val="Normlnatabuka"/>
    <w:next w:val="Mriekatabuky"/>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2">
    <w:name w:val="Mriežka tabuľky1312"/>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2">
    <w:name w:val="Mriežka tabuľky2212"/>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2">
    <w:name w:val="Mriežka tabuľky11212"/>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2">
    <w:name w:val="Mriežka tabuľky3112"/>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2">
    <w:name w:val="Mriežka tabuľky12112"/>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2">
    <w:name w:val="Mriežka tabuľky21112"/>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2">
    <w:name w:val="Mriežka tabuľky111112"/>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2">
    <w:name w:val="Kalendár 212"/>
    <w:basedOn w:val="Normlnatabuka"/>
    <w:uiPriority w:val="99"/>
    <w:qFormat/>
    <w:rsid w:val="00AA17E3"/>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3">
    <w:name w:val="Bez zoznamu1123"/>
    <w:next w:val="Bezzoznamu"/>
    <w:uiPriority w:val="99"/>
    <w:semiHidden/>
    <w:unhideWhenUsed/>
    <w:rsid w:val="00AA17E3"/>
  </w:style>
  <w:style w:type="table" w:customStyle="1" w:styleId="Mriekatabuky512">
    <w:name w:val="Mriežka tabuľky51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2">
    <w:name w:val="Mriežka tabuľky141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2">
    <w:name w:val="Mriežka tabuľky231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2">
    <w:name w:val="Mriežka tabuľky1131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2">
    <w:name w:val="Mriežka tabuľky321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2">
    <w:name w:val="Mriežka tabuľky1221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2">
    <w:name w:val="Mriežka tabuľky2121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2">
    <w:name w:val="Mriežka tabuľky11121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3">
    <w:name w:val="Bez zoznamu213"/>
    <w:next w:val="Bezzoznamu"/>
    <w:uiPriority w:val="99"/>
    <w:semiHidden/>
    <w:unhideWhenUsed/>
    <w:rsid w:val="00AA17E3"/>
  </w:style>
  <w:style w:type="table" w:customStyle="1" w:styleId="Mriekatabuky612">
    <w:name w:val="Mriežka tabuľky612"/>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3">
    <w:name w:val="Bez zoznamu313"/>
    <w:next w:val="Bezzoznamu"/>
    <w:uiPriority w:val="99"/>
    <w:semiHidden/>
    <w:unhideWhenUsed/>
    <w:rsid w:val="00AA17E3"/>
  </w:style>
  <w:style w:type="table" w:customStyle="1" w:styleId="Mriekatabuky712">
    <w:name w:val="Mriežka tabuľky712"/>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4">
    <w:name w:val="Bez zoznamu111114"/>
    <w:next w:val="Bezzoznamu"/>
    <w:uiPriority w:val="99"/>
    <w:semiHidden/>
    <w:unhideWhenUsed/>
    <w:rsid w:val="00AA17E3"/>
  </w:style>
  <w:style w:type="table" w:customStyle="1" w:styleId="Mriekatabukysvetl112">
    <w:name w:val="Mriežka tabuľky – svetlá112"/>
    <w:basedOn w:val="Normlnatabuka"/>
    <w:uiPriority w:val="40"/>
    <w:rsid w:val="00AA17E3"/>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63">
    <w:name w:val="Bez zoznamu63"/>
    <w:next w:val="Bezzoznamu"/>
    <w:uiPriority w:val="99"/>
    <w:semiHidden/>
    <w:unhideWhenUsed/>
    <w:rsid w:val="00AA17E3"/>
  </w:style>
  <w:style w:type="table" w:customStyle="1" w:styleId="UHPGRAF112">
    <w:name w:val="UHP_GRAF112"/>
    <w:basedOn w:val="Normlnatabuka"/>
    <w:uiPriority w:val="99"/>
    <w:rsid w:val="00AA17E3"/>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2">
    <w:name w:val="UHP_GRAF122"/>
    <w:basedOn w:val="Normlnatabuka"/>
    <w:uiPriority w:val="99"/>
    <w:rsid w:val="00AA17E3"/>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riekatabuky102">
    <w:name w:val="Mriežka tabuľky102"/>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12">
    <w:name w:val="Bez zoznamu1111112"/>
    <w:next w:val="Bezzoznamu"/>
    <w:uiPriority w:val="99"/>
    <w:semiHidden/>
    <w:unhideWhenUsed/>
    <w:rsid w:val="00AA17E3"/>
  </w:style>
  <w:style w:type="table" w:customStyle="1" w:styleId="Obyajntabuka411">
    <w:name w:val="Obyčajná tabuľka 411"/>
    <w:basedOn w:val="Normlnatabuka"/>
    <w:next w:val="Obyajntabuka4"/>
    <w:uiPriority w:val="44"/>
    <w:rsid w:val="00AA17E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Mriekatabuky162">
    <w:name w:val="Mriežka tabuľky162"/>
    <w:basedOn w:val="Normlnatabuka"/>
    <w:next w:val="Mriekatabuky"/>
    <w:uiPriority w:val="59"/>
    <w:rsid w:val="00AA1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71">
    <w:name w:val="Bez zoznamu71"/>
    <w:next w:val="Bezzoznamu"/>
    <w:uiPriority w:val="99"/>
    <w:semiHidden/>
    <w:unhideWhenUsed/>
    <w:rsid w:val="00AA17E3"/>
  </w:style>
  <w:style w:type="table" w:customStyle="1" w:styleId="Mriekatabuky171">
    <w:name w:val="Mriežka tabuľky171"/>
    <w:basedOn w:val="Normlnatabuka"/>
    <w:next w:val="Mriekatabuky"/>
    <w:uiPriority w:val="3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1">
    <w:name w:val="Mriežka tabuľky181"/>
    <w:basedOn w:val="Normlnatabuka"/>
    <w:next w:val="Mriekatabuky"/>
    <w:uiPriority w:val="3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1">
    <w:name w:val="Mriežka tabuľky251"/>
    <w:basedOn w:val="Normlnatabuka"/>
    <w:next w:val="Mriekatabuky"/>
    <w:uiPriority w:val="3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1">
    <w:name w:val="Mriežka tabuľky115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1">
    <w:name w:val="Mriežka tabuľky34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1">
    <w:name w:val="Mriežka tabuľky124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1">
    <w:name w:val="Mriežka tabuľky214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1">
    <w:name w:val="Mriežka tabuľky1114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1">
    <w:name w:val="Mriežka tabuľky421"/>
    <w:basedOn w:val="Normlnatabuka"/>
    <w:next w:val="Mriekatabuky"/>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21">
    <w:name w:val="Mriežka tabuľky1321"/>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21">
    <w:name w:val="Mriežka tabuľky2221"/>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21">
    <w:name w:val="Mriežka tabuľky11221"/>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1">
    <w:name w:val="Mriežka tabuľky3121"/>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21">
    <w:name w:val="Mriežka tabuľky12121"/>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21">
    <w:name w:val="Mriežka tabuľky21121"/>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21">
    <w:name w:val="Mriežka tabuľky111121"/>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21">
    <w:name w:val="Kalendár 221"/>
    <w:basedOn w:val="Normlnatabuka"/>
    <w:uiPriority w:val="99"/>
    <w:qFormat/>
    <w:rsid w:val="00AA17E3"/>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31">
    <w:name w:val="Bez zoznamu131"/>
    <w:next w:val="Bezzoznamu"/>
    <w:uiPriority w:val="99"/>
    <w:semiHidden/>
    <w:unhideWhenUsed/>
    <w:rsid w:val="00AA17E3"/>
  </w:style>
  <w:style w:type="table" w:customStyle="1" w:styleId="Mriekatabuky521">
    <w:name w:val="Mriežka tabuľky52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21">
    <w:name w:val="Mriežka tabuľky142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21">
    <w:name w:val="Mriežka tabuľky232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21">
    <w:name w:val="Mriežka tabuľky1132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21">
    <w:name w:val="Mriežka tabuľky322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21">
    <w:name w:val="Mriežka tabuľky1222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21">
    <w:name w:val="Mriežka tabuľky2122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21">
    <w:name w:val="Mriežka tabuľky11122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1">
    <w:name w:val="Bez zoznamu221"/>
    <w:next w:val="Bezzoznamu"/>
    <w:uiPriority w:val="99"/>
    <w:semiHidden/>
    <w:unhideWhenUsed/>
    <w:rsid w:val="00AA17E3"/>
  </w:style>
  <w:style w:type="table" w:customStyle="1" w:styleId="Mriekatabuky621">
    <w:name w:val="Mriežka tabuľky621"/>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21">
    <w:name w:val="Bez zoznamu321"/>
    <w:next w:val="Bezzoznamu"/>
    <w:uiPriority w:val="99"/>
    <w:semiHidden/>
    <w:unhideWhenUsed/>
    <w:rsid w:val="00AA17E3"/>
  </w:style>
  <w:style w:type="table" w:customStyle="1" w:styleId="Mriekatabuky721">
    <w:name w:val="Mriežka tabuľky721"/>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31">
    <w:name w:val="Bez zoznamu1131"/>
    <w:next w:val="Bezzoznamu"/>
    <w:uiPriority w:val="99"/>
    <w:semiHidden/>
    <w:unhideWhenUsed/>
    <w:rsid w:val="00AA17E3"/>
  </w:style>
  <w:style w:type="table" w:customStyle="1" w:styleId="Mriekatabukysvetl121">
    <w:name w:val="Mriežka tabuľky – svetlá121"/>
    <w:basedOn w:val="Normlnatabuka"/>
    <w:uiPriority w:val="40"/>
    <w:rsid w:val="00AA17E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411">
    <w:name w:val="Bez zoznamu411"/>
    <w:next w:val="Bezzoznamu"/>
    <w:uiPriority w:val="99"/>
    <w:semiHidden/>
    <w:unhideWhenUsed/>
    <w:rsid w:val="00AA17E3"/>
  </w:style>
  <w:style w:type="numbering" w:customStyle="1" w:styleId="Bezzoznamu11121">
    <w:name w:val="Bez zoznamu11121"/>
    <w:next w:val="Bezzoznamu"/>
    <w:uiPriority w:val="99"/>
    <w:semiHidden/>
    <w:unhideWhenUsed/>
    <w:rsid w:val="00AA17E3"/>
  </w:style>
  <w:style w:type="table" w:customStyle="1" w:styleId="Mriekatabuky811">
    <w:name w:val="Mriežka tabuľky811"/>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11">
    <w:name w:val="Bez zoznamu511"/>
    <w:next w:val="Bezzoznamu"/>
    <w:uiPriority w:val="99"/>
    <w:semiHidden/>
    <w:unhideWhenUsed/>
    <w:rsid w:val="00AA17E3"/>
  </w:style>
  <w:style w:type="numbering" w:customStyle="1" w:styleId="Bezzoznamu1211">
    <w:name w:val="Bez zoznamu1211"/>
    <w:next w:val="Bezzoznamu"/>
    <w:uiPriority w:val="99"/>
    <w:semiHidden/>
    <w:unhideWhenUsed/>
    <w:rsid w:val="00AA17E3"/>
  </w:style>
  <w:style w:type="table" w:customStyle="1" w:styleId="Mriekatabuky911">
    <w:name w:val="Mriežka tabuľky911"/>
    <w:basedOn w:val="Normlnatabuka"/>
    <w:next w:val="Mriekatabuky"/>
    <w:uiPriority w:val="3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11">
    <w:name w:val="Mriežka tabuľky1511"/>
    <w:basedOn w:val="Normlnatabuka"/>
    <w:next w:val="Mriekatabuky"/>
    <w:uiPriority w:val="3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11">
    <w:name w:val="Mriežka tabuľky2411"/>
    <w:basedOn w:val="Normlnatabuka"/>
    <w:next w:val="Mriekatabuky"/>
    <w:uiPriority w:val="3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11">
    <w:name w:val="Mriežka tabuľky1141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11">
    <w:name w:val="Mriežka tabuľky331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11">
    <w:name w:val="Mriežka tabuľky1231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11">
    <w:name w:val="Mriežka tabuľky2131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11">
    <w:name w:val="Mriežka tabuľky11131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1">
    <w:name w:val="Mriežka tabuľky4111"/>
    <w:basedOn w:val="Normlnatabuka"/>
    <w:next w:val="Mriekatabuky"/>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11">
    <w:name w:val="Mriežka tabuľky13111"/>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11">
    <w:name w:val="Mriežka tabuľky22111"/>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11">
    <w:name w:val="Mriežka tabuľky112111"/>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11">
    <w:name w:val="Mriežka tabuľky31111"/>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11">
    <w:name w:val="Mriežka tabuľky121111"/>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11">
    <w:name w:val="Mriežka tabuľky211111"/>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11">
    <w:name w:val="Mriežka tabuľky1111111"/>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11">
    <w:name w:val="Kalendár 2111"/>
    <w:basedOn w:val="Normlnatabuka"/>
    <w:uiPriority w:val="99"/>
    <w:qFormat/>
    <w:rsid w:val="00AA17E3"/>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11">
    <w:name w:val="Bez zoznamu11211"/>
    <w:next w:val="Bezzoznamu"/>
    <w:uiPriority w:val="99"/>
    <w:semiHidden/>
    <w:unhideWhenUsed/>
    <w:rsid w:val="00AA17E3"/>
  </w:style>
  <w:style w:type="table" w:customStyle="1" w:styleId="Mriekatabuky5111">
    <w:name w:val="Mriežka tabuľky511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11">
    <w:name w:val="Mriežka tabuľky1411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11">
    <w:name w:val="Mriežka tabuľky2311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11">
    <w:name w:val="Mriežka tabuľky11311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11">
    <w:name w:val="Mriežka tabuľky3211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11">
    <w:name w:val="Mriežka tabuľky12211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11">
    <w:name w:val="Mriežka tabuľky21211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11">
    <w:name w:val="Mriežka tabuľky1112111"/>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1">
    <w:name w:val="Bez zoznamu2111"/>
    <w:next w:val="Bezzoznamu"/>
    <w:uiPriority w:val="99"/>
    <w:semiHidden/>
    <w:unhideWhenUsed/>
    <w:rsid w:val="00AA17E3"/>
  </w:style>
  <w:style w:type="table" w:customStyle="1" w:styleId="Mriekatabuky6111">
    <w:name w:val="Mriežka tabuľky6111"/>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11">
    <w:name w:val="Bez zoznamu3111"/>
    <w:next w:val="Bezzoznamu"/>
    <w:uiPriority w:val="99"/>
    <w:semiHidden/>
    <w:unhideWhenUsed/>
    <w:rsid w:val="00AA17E3"/>
  </w:style>
  <w:style w:type="table" w:customStyle="1" w:styleId="Mriekatabuky7111">
    <w:name w:val="Mriežka tabuľky7111"/>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21">
    <w:name w:val="Bez zoznamu111121"/>
    <w:next w:val="Bezzoznamu"/>
    <w:uiPriority w:val="99"/>
    <w:semiHidden/>
    <w:unhideWhenUsed/>
    <w:rsid w:val="00AA17E3"/>
  </w:style>
  <w:style w:type="table" w:customStyle="1" w:styleId="Mriekatabukysvetl1111">
    <w:name w:val="Mriežka tabuľky – svetlá1111"/>
    <w:basedOn w:val="Normlnatabuka"/>
    <w:uiPriority w:val="40"/>
    <w:rsid w:val="00AA17E3"/>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611">
    <w:name w:val="Bez zoznamu611"/>
    <w:next w:val="Bezzoznamu"/>
    <w:uiPriority w:val="99"/>
    <w:semiHidden/>
    <w:unhideWhenUsed/>
    <w:rsid w:val="00AA17E3"/>
  </w:style>
  <w:style w:type="table" w:customStyle="1" w:styleId="UHPGRAF1111">
    <w:name w:val="UHP_GRAF1111"/>
    <w:basedOn w:val="Normlnatabuka"/>
    <w:uiPriority w:val="99"/>
    <w:rsid w:val="00AA17E3"/>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1">
    <w:name w:val="UHP_GRAF1211"/>
    <w:basedOn w:val="Normlnatabuka"/>
    <w:uiPriority w:val="99"/>
    <w:rsid w:val="00AA17E3"/>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riekatabuky1011">
    <w:name w:val="Mriežka tabuľky1011"/>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21">
    <w:name w:val="Bez zoznamu1111121"/>
    <w:next w:val="Bezzoznamu"/>
    <w:uiPriority w:val="99"/>
    <w:semiHidden/>
    <w:unhideWhenUsed/>
    <w:rsid w:val="00AA17E3"/>
  </w:style>
  <w:style w:type="table" w:customStyle="1" w:styleId="Obyajntabuka421">
    <w:name w:val="Obyčajná tabuľka 421"/>
    <w:basedOn w:val="Normlnatabuka"/>
    <w:next w:val="Obyajntabuka4"/>
    <w:uiPriority w:val="44"/>
    <w:rsid w:val="00AA17E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Mriekatabuky1611">
    <w:name w:val="Mriežka tabuľky1611"/>
    <w:basedOn w:val="Normlnatabuka"/>
    <w:next w:val="Mriekatabuky"/>
    <w:uiPriority w:val="59"/>
    <w:rsid w:val="00AA1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81">
    <w:name w:val="Bez zoznamu81"/>
    <w:next w:val="Bezzoznamu"/>
    <w:uiPriority w:val="99"/>
    <w:semiHidden/>
    <w:unhideWhenUsed/>
    <w:rsid w:val="00AA17E3"/>
  </w:style>
  <w:style w:type="numbering" w:customStyle="1" w:styleId="Bezzoznamu141">
    <w:name w:val="Bez zoznamu141"/>
    <w:next w:val="Bezzoznamu"/>
    <w:uiPriority w:val="99"/>
    <w:semiHidden/>
    <w:unhideWhenUsed/>
    <w:rsid w:val="00AA17E3"/>
  </w:style>
  <w:style w:type="numbering" w:customStyle="1" w:styleId="Bezzoznamu231">
    <w:name w:val="Bez zoznamu231"/>
    <w:next w:val="Bezzoznamu"/>
    <w:uiPriority w:val="99"/>
    <w:semiHidden/>
    <w:unhideWhenUsed/>
    <w:rsid w:val="00AA17E3"/>
  </w:style>
  <w:style w:type="numbering" w:customStyle="1" w:styleId="Bezzoznamu331">
    <w:name w:val="Bez zoznamu331"/>
    <w:next w:val="Bezzoznamu"/>
    <w:uiPriority w:val="99"/>
    <w:semiHidden/>
    <w:unhideWhenUsed/>
    <w:rsid w:val="00AA17E3"/>
  </w:style>
  <w:style w:type="numbering" w:customStyle="1" w:styleId="Bezzoznamu1141">
    <w:name w:val="Bez zoznamu1141"/>
    <w:next w:val="Bezzoznamu"/>
    <w:uiPriority w:val="99"/>
    <w:semiHidden/>
    <w:unhideWhenUsed/>
    <w:rsid w:val="00AA17E3"/>
  </w:style>
  <w:style w:type="numbering" w:customStyle="1" w:styleId="Bezzoznamu421">
    <w:name w:val="Bez zoznamu421"/>
    <w:next w:val="Bezzoznamu"/>
    <w:uiPriority w:val="99"/>
    <w:semiHidden/>
    <w:unhideWhenUsed/>
    <w:rsid w:val="00AA17E3"/>
  </w:style>
  <w:style w:type="numbering" w:customStyle="1" w:styleId="Bezzoznamu11131">
    <w:name w:val="Bez zoznamu11131"/>
    <w:next w:val="Bezzoznamu"/>
    <w:uiPriority w:val="99"/>
    <w:semiHidden/>
    <w:unhideWhenUsed/>
    <w:rsid w:val="00AA17E3"/>
  </w:style>
  <w:style w:type="numbering" w:customStyle="1" w:styleId="Bezzoznamu521">
    <w:name w:val="Bez zoznamu521"/>
    <w:next w:val="Bezzoznamu"/>
    <w:uiPriority w:val="99"/>
    <w:semiHidden/>
    <w:unhideWhenUsed/>
    <w:rsid w:val="00AA17E3"/>
  </w:style>
  <w:style w:type="numbering" w:customStyle="1" w:styleId="Bezzoznamu1221">
    <w:name w:val="Bez zoznamu1221"/>
    <w:next w:val="Bezzoznamu"/>
    <w:uiPriority w:val="99"/>
    <w:semiHidden/>
    <w:unhideWhenUsed/>
    <w:rsid w:val="00AA17E3"/>
  </w:style>
  <w:style w:type="numbering" w:customStyle="1" w:styleId="Bezzoznamu11221">
    <w:name w:val="Bez zoznamu11221"/>
    <w:next w:val="Bezzoznamu"/>
    <w:uiPriority w:val="99"/>
    <w:semiHidden/>
    <w:unhideWhenUsed/>
    <w:rsid w:val="00AA17E3"/>
  </w:style>
  <w:style w:type="numbering" w:customStyle="1" w:styleId="Bezzoznamu2121">
    <w:name w:val="Bez zoznamu2121"/>
    <w:next w:val="Bezzoznamu"/>
    <w:uiPriority w:val="99"/>
    <w:semiHidden/>
    <w:unhideWhenUsed/>
    <w:rsid w:val="00AA17E3"/>
  </w:style>
  <w:style w:type="numbering" w:customStyle="1" w:styleId="Bezzoznamu3121">
    <w:name w:val="Bez zoznamu3121"/>
    <w:next w:val="Bezzoznamu"/>
    <w:uiPriority w:val="99"/>
    <w:semiHidden/>
    <w:unhideWhenUsed/>
    <w:rsid w:val="00AA17E3"/>
  </w:style>
  <w:style w:type="numbering" w:customStyle="1" w:styleId="Bezzoznamu111131">
    <w:name w:val="Bez zoznamu111131"/>
    <w:next w:val="Bezzoznamu"/>
    <w:uiPriority w:val="99"/>
    <w:semiHidden/>
    <w:unhideWhenUsed/>
    <w:rsid w:val="00AA17E3"/>
  </w:style>
  <w:style w:type="numbering" w:customStyle="1" w:styleId="Bezzoznamu621">
    <w:name w:val="Bez zoznamu621"/>
    <w:next w:val="Bezzoznamu"/>
    <w:uiPriority w:val="99"/>
    <w:semiHidden/>
    <w:unhideWhenUsed/>
    <w:rsid w:val="00AA17E3"/>
  </w:style>
  <w:style w:type="numbering" w:customStyle="1" w:styleId="Bezzoznamu1111131">
    <w:name w:val="Bez zoznamu1111131"/>
    <w:next w:val="Bezzoznamu"/>
    <w:uiPriority w:val="99"/>
    <w:semiHidden/>
    <w:unhideWhenUsed/>
    <w:rsid w:val="00AA17E3"/>
  </w:style>
  <w:style w:type="table" w:customStyle="1" w:styleId="Mriekatabuky163">
    <w:name w:val="Mriežka tabuľky163"/>
    <w:basedOn w:val="Normlnatabuka"/>
    <w:next w:val="Mriekatabuky"/>
    <w:uiPriority w:val="59"/>
    <w:rsid w:val="00AA1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72">
    <w:name w:val="Mriežka tabuľky172"/>
    <w:basedOn w:val="Normlnatabuka"/>
    <w:next w:val="Mriekatabuky"/>
    <w:uiPriority w:val="3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2">
    <w:name w:val="Mriežka tabuľky252"/>
    <w:basedOn w:val="Normlnatabuka"/>
    <w:next w:val="Mriekatabuky"/>
    <w:uiPriority w:val="3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
    <w:name w:val="Bez zoznamu10"/>
    <w:next w:val="Bezzoznamu"/>
    <w:uiPriority w:val="99"/>
    <w:semiHidden/>
    <w:unhideWhenUsed/>
    <w:rsid w:val="00AA17E3"/>
  </w:style>
  <w:style w:type="table" w:customStyle="1" w:styleId="Mriekatabuky20">
    <w:name w:val="Mriežka tabuľky20"/>
    <w:basedOn w:val="Normlnatabuka"/>
    <w:next w:val="Mriekatabuky"/>
    <w:uiPriority w:val="39"/>
    <w:rsid w:val="00AA1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
    <w:name w:val="Mriežka tabuľky36"/>
    <w:basedOn w:val="Normlnatabuka"/>
    <w:next w:val="Mriekatabuky"/>
    <w:uiPriority w:val="39"/>
    <w:rsid w:val="00AA1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4">
    <w:name w:val="Mriežka tabuľky64"/>
    <w:basedOn w:val="Normlnatabuka"/>
    <w:next w:val="Mriekatabuky"/>
    <w:uiPriority w:val="39"/>
    <w:rsid w:val="00AA1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4">
    <w:name w:val="Mriežka tabuľky314"/>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6">
    <w:name w:val="Bez zoznamu16"/>
    <w:next w:val="Bezzoznamu"/>
    <w:uiPriority w:val="99"/>
    <w:semiHidden/>
    <w:unhideWhenUsed/>
    <w:rsid w:val="00AA17E3"/>
  </w:style>
  <w:style w:type="table" w:customStyle="1" w:styleId="Mriekatabuky27">
    <w:name w:val="Mriežka tabuľky27"/>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7">
    <w:name w:val="Mriežka tabuľky117"/>
    <w:basedOn w:val="Normlnatabuka"/>
    <w:next w:val="Mriekatabuky"/>
    <w:uiPriority w:val="3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8">
    <w:name w:val="Mriežka tabuľky28"/>
    <w:basedOn w:val="Normlnatabuka"/>
    <w:next w:val="Mriekatabuky"/>
    <w:uiPriority w:val="3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8">
    <w:name w:val="Mriežka tabuľky118"/>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7">
    <w:name w:val="Mriežka tabuľky37"/>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6">
    <w:name w:val="Mriežka tabuľky126"/>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6">
    <w:name w:val="Mriežka tabuľky216"/>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6">
    <w:name w:val="Mriežka tabuľky1116"/>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
    <w:name w:val="Mriežka tabuľky44"/>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4">
    <w:name w:val="Mriežka tabuľky134"/>
    <w:basedOn w:val="Normlnatabuka"/>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4">
    <w:name w:val="Mriežka tabuľky224"/>
    <w:basedOn w:val="Normlnatabuka"/>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4">
    <w:name w:val="Mriežka tabuľky1124"/>
    <w:basedOn w:val="Normlnatabuka"/>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5">
    <w:name w:val="Mriežka tabuľky315"/>
    <w:basedOn w:val="Normlnatabuka"/>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4">
    <w:name w:val="Mriežka tabuľky1214"/>
    <w:basedOn w:val="Normlnatabuka"/>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4">
    <w:name w:val="Mriežka tabuľky2114"/>
    <w:basedOn w:val="Normlnatabuka"/>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4">
    <w:name w:val="Mriežka tabuľky11114"/>
    <w:basedOn w:val="Normlnatabuka"/>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4">
    <w:name w:val="Kalendár 24"/>
    <w:basedOn w:val="Normlnatabuka"/>
    <w:uiPriority w:val="99"/>
    <w:qFormat/>
    <w:rsid w:val="00AA17E3"/>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7">
    <w:name w:val="Bez zoznamu17"/>
    <w:next w:val="Bezzoznamu"/>
    <w:uiPriority w:val="99"/>
    <w:semiHidden/>
    <w:unhideWhenUsed/>
    <w:rsid w:val="00AA17E3"/>
  </w:style>
  <w:style w:type="table" w:customStyle="1" w:styleId="Mriekatabuky54">
    <w:name w:val="Mriežka tabuľky54"/>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4">
    <w:name w:val="Mriežka tabuľky144"/>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4">
    <w:name w:val="Mriežka tabuľky234"/>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4">
    <w:name w:val="Mriežka tabuľky1134"/>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4">
    <w:name w:val="Mriežka tabuľky324"/>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4">
    <w:name w:val="Mriežka tabuľky1224"/>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4">
    <w:name w:val="Mriežka tabuľky2124"/>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4">
    <w:name w:val="Mriežka tabuľky11124"/>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5">
    <w:name w:val="Bez zoznamu25"/>
    <w:next w:val="Bezzoznamu"/>
    <w:uiPriority w:val="99"/>
    <w:semiHidden/>
    <w:unhideWhenUsed/>
    <w:rsid w:val="00AA17E3"/>
  </w:style>
  <w:style w:type="table" w:customStyle="1" w:styleId="Mriekatabuky65">
    <w:name w:val="Mriežka tabuľky65"/>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5">
    <w:name w:val="Bez zoznamu35"/>
    <w:next w:val="Bezzoznamu"/>
    <w:uiPriority w:val="99"/>
    <w:semiHidden/>
    <w:unhideWhenUsed/>
    <w:rsid w:val="00AA17E3"/>
  </w:style>
  <w:style w:type="table" w:customStyle="1" w:styleId="Mriekatabuky74">
    <w:name w:val="Mriežka tabuľky74"/>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6">
    <w:name w:val="Bez zoznamu116"/>
    <w:next w:val="Bezzoznamu"/>
    <w:uiPriority w:val="99"/>
    <w:semiHidden/>
    <w:unhideWhenUsed/>
    <w:rsid w:val="00AA17E3"/>
  </w:style>
  <w:style w:type="table" w:customStyle="1" w:styleId="Mriekatabukysvetl14">
    <w:name w:val="Mriežka tabuľky – svetlá14"/>
    <w:basedOn w:val="Normlnatabuka"/>
    <w:uiPriority w:val="40"/>
    <w:rsid w:val="00AA17E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44">
    <w:name w:val="Bez zoznamu44"/>
    <w:next w:val="Bezzoznamu"/>
    <w:uiPriority w:val="99"/>
    <w:semiHidden/>
    <w:unhideWhenUsed/>
    <w:rsid w:val="00AA17E3"/>
  </w:style>
  <w:style w:type="numbering" w:customStyle="1" w:styleId="Bezzoznamu1115">
    <w:name w:val="Bez zoznamu1115"/>
    <w:next w:val="Bezzoznamu"/>
    <w:uiPriority w:val="99"/>
    <w:semiHidden/>
    <w:unhideWhenUsed/>
    <w:rsid w:val="00AA17E3"/>
  </w:style>
  <w:style w:type="table" w:customStyle="1" w:styleId="Mriekatabuky83">
    <w:name w:val="Mriežka tabuľky83"/>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4">
    <w:name w:val="Bez zoznamu54"/>
    <w:next w:val="Bezzoznamu"/>
    <w:uiPriority w:val="99"/>
    <w:semiHidden/>
    <w:unhideWhenUsed/>
    <w:rsid w:val="00AA17E3"/>
  </w:style>
  <w:style w:type="numbering" w:customStyle="1" w:styleId="Bezzoznamu124">
    <w:name w:val="Bez zoznamu124"/>
    <w:next w:val="Bezzoznamu"/>
    <w:uiPriority w:val="99"/>
    <w:semiHidden/>
    <w:unhideWhenUsed/>
    <w:rsid w:val="00AA17E3"/>
  </w:style>
  <w:style w:type="table" w:customStyle="1" w:styleId="Mriekatabuky93">
    <w:name w:val="Mriežka tabuľky93"/>
    <w:basedOn w:val="Normlnatabuka"/>
    <w:next w:val="Mriekatabuky"/>
    <w:uiPriority w:val="3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3">
    <w:name w:val="Mriežka tabuľky153"/>
    <w:basedOn w:val="Normlnatabuka"/>
    <w:next w:val="Mriekatabuky"/>
    <w:uiPriority w:val="3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3">
    <w:name w:val="Mriežka tabuľky243"/>
    <w:basedOn w:val="Normlnatabuka"/>
    <w:next w:val="Mriekatabuky"/>
    <w:uiPriority w:val="3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3">
    <w:name w:val="Mriežka tabuľky1143"/>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3">
    <w:name w:val="Mriežka tabuľky333"/>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3">
    <w:name w:val="Mriežka tabuľky1233"/>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3">
    <w:name w:val="Mriežka tabuľky2133"/>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3">
    <w:name w:val="Mriežka tabuľky11133"/>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3">
    <w:name w:val="Mriežka tabuľky413"/>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3">
    <w:name w:val="Mriežka tabuľky1313"/>
    <w:basedOn w:val="Normlnatabuka"/>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3">
    <w:name w:val="Mriežka tabuľky2213"/>
    <w:basedOn w:val="Normlnatabuka"/>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3">
    <w:name w:val="Mriežka tabuľky11213"/>
    <w:basedOn w:val="Normlnatabuka"/>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3">
    <w:name w:val="Mriežka tabuľky3113"/>
    <w:basedOn w:val="Normlnatabuka"/>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3">
    <w:name w:val="Mriežka tabuľky12113"/>
    <w:basedOn w:val="Normlnatabuka"/>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3">
    <w:name w:val="Mriežka tabuľky21113"/>
    <w:basedOn w:val="Normlnatabuka"/>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3">
    <w:name w:val="Mriežka tabuľky111113"/>
    <w:basedOn w:val="Normlnatabuka"/>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3">
    <w:name w:val="Kalendár 213"/>
    <w:basedOn w:val="Normlnatabuka"/>
    <w:uiPriority w:val="99"/>
    <w:qFormat/>
    <w:rsid w:val="00AA17E3"/>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4">
    <w:name w:val="Bez zoznamu1124"/>
    <w:next w:val="Bezzoznamu"/>
    <w:uiPriority w:val="99"/>
    <w:semiHidden/>
    <w:unhideWhenUsed/>
    <w:rsid w:val="00AA17E3"/>
  </w:style>
  <w:style w:type="table" w:customStyle="1" w:styleId="Mriekatabuky513">
    <w:name w:val="Mriežka tabuľky513"/>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3">
    <w:name w:val="Mriežka tabuľky1413"/>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3">
    <w:name w:val="Mriežka tabuľky2313"/>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3">
    <w:name w:val="Mriežka tabuľky11313"/>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3">
    <w:name w:val="Mriežka tabuľky3213"/>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3">
    <w:name w:val="Mriežka tabuľky12213"/>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3">
    <w:name w:val="Mriežka tabuľky21213"/>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3">
    <w:name w:val="Mriežka tabuľky111213"/>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4">
    <w:name w:val="Bez zoznamu214"/>
    <w:next w:val="Bezzoznamu"/>
    <w:uiPriority w:val="99"/>
    <w:semiHidden/>
    <w:unhideWhenUsed/>
    <w:rsid w:val="00AA17E3"/>
  </w:style>
  <w:style w:type="table" w:customStyle="1" w:styleId="Mriekatabuky613">
    <w:name w:val="Mriežka tabuľky613"/>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4">
    <w:name w:val="Bez zoznamu314"/>
    <w:next w:val="Bezzoznamu"/>
    <w:uiPriority w:val="99"/>
    <w:semiHidden/>
    <w:unhideWhenUsed/>
    <w:rsid w:val="00AA17E3"/>
  </w:style>
  <w:style w:type="table" w:customStyle="1" w:styleId="Mriekatabuky713">
    <w:name w:val="Mriežka tabuľky713"/>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5">
    <w:name w:val="Bez zoznamu11115"/>
    <w:next w:val="Bezzoznamu"/>
    <w:uiPriority w:val="99"/>
    <w:semiHidden/>
    <w:unhideWhenUsed/>
    <w:rsid w:val="00AA17E3"/>
  </w:style>
  <w:style w:type="table" w:customStyle="1" w:styleId="Mriekatabukysvetl113">
    <w:name w:val="Mriežka tabuľky – svetlá113"/>
    <w:basedOn w:val="Normlnatabuka"/>
    <w:uiPriority w:val="40"/>
    <w:rsid w:val="00AA17E3"/>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64">
    <w:name w:val="Bez zoznamu64"/>
    <w:next w:val="Bezzoznamu"/>
    <w:uiPriority w:val="99"/>
    <w:semiHidden/>
    <w:unhideWhenUsed/>
    <w:rsid w:val="00AA17E3"/>
  </w:style>
  <w:style w:type="table" w:customStyle="1" w:styleId="UHPGRAF113">
    <w:name w:val="UHP_GRAF113"/>
    <w:basedOn w:val="Normlnatabuka"/>
    <w:uiPriority w:val="99"/>
    <w:rsid w:val="00AA17E3"/>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3">
    <w:name w:val="UHP_GRAF123"/>
    <w:basedOn w:val="Normlnatabuka"/>
    <w:uiPriority w:val="99"/>
    <w:rsid w:val="00AA17E3"/>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riekatabuky103">
    <w:name w:val="Mriežka tabuľky103"/>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5">
    <w:name w:val="Bez zoznamu111115"/>
    <w:next w:val="Bezzoznamu"/>
    <w:uiPriority w:val="99"/>
    <w:semiHidden/>
    <w:unhideWhenUsed/>
    <w:rsid w:val="00AA17E3"/>
  </w:style>
  <w:style w:type="table" w:customStyle="1" w:styleId="Mriekatabuky801">
    <w:name w:val="Mriežka tabuľky801"/>
    <w:basedOn w:val="Normlnatabuka"/>
    <w:next w:val="Mriekatabuky"/>
    <w:uiPriority w:val="39"/>
    <w:rsid w:val="00AA1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HPGRAF13">
    <w:name w:val="UHP_GRAF13"/>
    <w:basedOn w:val="Normlnatabuka"/>
    <w:uiPriority w:val="99"/>
    <w:rsid w:val="00AA17E3"/>
    <w:pPr>
      <w:spacing w:before="160" w:after="0" w:line="240" w:lineRule="auto"/>
      <w:contextualSpacing/>
      <w:jc w:val="both"/>
    </w:pPr>
    <w:rPr>
      <w:rFonts w:ascii="Arial Narrow" w:hAnsi="Arial Narrow"/>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riekatabuky164">
    <w:name w:val="Mriežka tabuľky164"/>
    <w:basedOn w:val="Normlnatabuka"/>
    <w:next w:val="Mriekatabuky"/>
    <w:uiPriority w:val="59"/>
    <w:rsid w:val="00AA17E3"/>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73">
    <w:name w:val="Mriežka tabuľky173"/>
    <w:basedOn w:val="Normlnatabuka"/>
    <w:next w:val="Mriekatabuky"/>
    <w:uiPriority w:val="39"/>
    <w:rsid w:val="00AA17E3"/>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3">
    <w:name w:val="Mriežka tabuľky253"/>
    <w:basedOn w:val="Normlnatabuka"/>
    <w:next w:val="Mriekatabuky"/>
    <w:uiPriority w:val="59"/>
    <w:rsid w:val="00AA17E3"/>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AA17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Ind w:w="0" w:type="dxa"/>
      <w:tblCellMar>
        <w:top w:w="0" w:type="dxa"/>
        <w:left w:w="0" w:type="dxa"/>
        <w:bottom w:w="0" w:type="dxa"/>
        <w:right w:w="0" w:type="dxa"/>
      </w:tblCellMar>
    </w:tblPr>
  </w:style>
  <w:style w:type="table" w:customStyle="1" w:styleId="TableNormal21">
    <w:name w:val="Table Normal21"/>
    <w:rsid w:val="00AA17E3"/>
    <w:pPr>
      <w:spacing w:after="200" w:line="276" w:lineRule="auto"/>
    </w:pPr>
    <w:rPr>
      <w:rFonts w:ascii="Arial Narrow" w:eastAsia="Arial Narrow" w:hAnsi="Arial Narrow" w:cs="Arial Narrow"/>
      <w:color w:val="000000"/>
      <w:lang w:val="en-US"/>
    </w:rPr>
    <w:tblPr>
      <w:tblCellMar>
        <w:top w:w="0" w:type="dxa"/>
        <w:left w:w="0" w:type="dxa"/>
        <w:bottom w:w="0" w:type="dxa"/>
        <w:right w:w="0" w:type="dxa"/>
      </w:tblCellMar>
    </w:tblPr>
  </w:style>
  <w:style w:type="table" w:customStyle="1" w:styleId="TableNormal3">
    <w:name w:val="Table Normal3"/>
    <w:rsid w:val="00AA17E3"/>
    <w:pPr>
      <w:spacing w:after="200" w:line="276" w:lineRule="auto"/>
    </w:pPr>
    <w:rPr>
      <w:rFonts w:ascii="Arial Narrow" w:eastAsia="Arial Narrow" w:hAnsi="Arial Narrow" w:cs="Arial Narrow"/>
      <w:color w:val="000000"/>
      <w:lang w:val="en-US"/>
    </w:rPr>
    <w:tblPr>
      <w:tblCellMar>
        <w:top w:w="0" w:type="dxa"/>
        <w:left w:w="0" w:type="dxa"/>
        <w:bottom w:w="0" w:type="dxa"/>
        <w:right w:w="0" w:type="dxa"/>
      </w:tblCellMar>
    </w:tblPr>
  </w:style>
  <w:style w:type="table" w:customStyle="1" w:styleId="Tabukasmriekou1svetlzvraznenie111">
    <w:name w:val="Tabuľka s mriežkou 1 – svetlá – zvýraznenie 111"/>
    <w:basedOn w:val="Normlnatabuka"/>
    <w:next w:val="Tabukasmriekou1svetlzvraznenie1"/>
    <w:uiPriority w:val="46"/>
    <w:rsid w:val="00AA17E3"/>
    <w:pPr>
      <w:spacing w:after="0" w:line="240" w:lineRule="auto"/>
    </w:pPr>
    <w:tblPr>
      <w:tblStyleRowBandSize w:val="1"/>
      <w:tblStyleColBandSize w:val="1"/>
      <w:tblBorders>
        <w:top w:val="single" w:sz="4" w:space="0" w:color="AAD6F1"/>
        <w:left w:val="single" w:sz="4" w:space="0" w:color="AAD6F1"/>
        <w:bottom w:val="single" w:sz="4" w:space="0" w:color="AAD6F1"/>
        <w:right w:val="single" w:sz="4" w:space="0" w:color="AAD6F1"/>
        <w:insideH w:val="single" w:sz="4" w:space="0" w:color="AAD6F1"/>
        <w:insideV w:val="single" w:sz="4" w:space="0" w:color="AAD6F1"/>
      </w:tblBorders>
    </w:tblPr>
    <w:tblStylePr w:type="firstRow">
      <w:rPr>
        <w:b/>
        <w:bCs/>
      </w:rPr>
      <w:tblPr/>
      <w:tcPr>
        <w:tcBorders>
          <w:bottom w:val="single" w:sz="12" w:space="0" w:color="80C2EA"/>
        </w:tcBorders>
      </w:tcPr>
    </w:tblStylePr>
    <w:tblStylePr w:type="lastRow">
      <w:rPr>
        <w:b/>
        <w:bCs/>
      </w:rPr>
      <w:tblPr/>
      <w:tcPr>
        <w:tcBorders>
          <w:top w:val="double" w:sz="2" w:space="0" w:color="80C2EA"/>
        </w:tcBorders>
      </w:tcPr>
    </w:tblStylePr>
    <w:tblStylePr w:type="firstCol">
      <w:rPr>
        <w:b/>
        <w:bCs/>
      </w:rPr>
    </w:tblStylePr>
    <w:tblStylePr w:type="lastCol">
      <w:rPr>
        <w:b/>
        <w:bCs/>
      </w:rPr>
    </w:tblStylePr>
  </w:style>
  <w:style w:type="table" w:customStyle="1" w:styleId="Tabukasmriekou1svetlzvraznenie12">
    <w:name w:val="Tabuľka s mriežkou 1 – svetlá – zvýraznenie 12"/>
    <w:basedOn w:val="Normlnatabuka"/>
    <w:next w:val="Tabukasmriekou1svetlzvraznenie1"/>
    <w:uiPriority w:val="46"/>
    <w:rsid w:val="00AA17E3"/>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eGrid22">
    <w:name w:val="Table Grid22"/>
    <w:basedOn w:val="Normlnatabuka"/>
    <w:uiPriority w:val="39"/>
    <w:rsid w:val="00AA17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Normlnatabuka"/>
    <w:uiPriority w:val="39"/>
    <w:rsid w:val="00AA17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byajntabuka44">
    <w:name w:val="Obyčajná tabuľka 44"/>
    <w:basedOn w:val="Normlnatabuka"/>
    <w:next w:val="Obyajntabuka4"/>
    <w:uiPriority w:val="44"/>
    <w:rsid w:val="00AA17E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Bezzoznamu1111113">
    <w:name w:val="Bez zoznamu1111113"/>
    <w:next w:val="Bezzoznamu"/>
    <w:uiPriority w:val="99"/>
    <w:semiHidden/>
    <w:unhideWhenUsed/>
    <w:rsid w:val="00AA17E3"/>
  </w:style>
  <w:style w:type="numbering" w:customStyle="1" w:styleId="Bezzoznamu11111111">
    <w:name w:val="Bez zoznamu11111111"/>
    <w:next w:val="Bezzoznamu"/>
    <w:uiPriority w:val="99"/>
    <w:semiHidden/>
    <w:unhideWhenUsed/>
    <w:rsid w:val="00AA17E3"/>
  </w:style>
  <w:style w:type="table" w:customStyle="1" w:styleId="Obyajntabuka412">
    <w:name w:val="Obyčajná tabuľka 412"/>
    <w:basedOn w:val="Normlnatabuka"/>
    <w:next w:val="Obyajntabuka4"/>
    <w:uiPriority w:val="44"/>
    <w:rsid w:val="00AA17E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Bezzoznamu72">
    <w:name w:val="Bez zoznamu72"/>
    <w:next w:val="Bezzoznamu"/>
    <w:uiPriority w:val="99"/>
    <w:semiHidden/>
    <w:unhideWhenUsed/>
    <w:rsid w:val="00AA17E3"/>
  </w:style>
  <w:style w:type="table" w:customStyle="1" w:styleId="Mriekatabuky182">
    <w:name w:val="Mriežka tabuľky182"/>
    <w:basedOn w:val="Normlnatabuka"/>
    <w:next w:val="Mriekatabuky"/>
    <w:uiPriority w:val="3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2">
    <w:name w:val="Mriežka tabuľky115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2">
    <w:name w:val="Mriežka tabuľky34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2">
    <w:name w:val="Mriežka tabuľky124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2">
    <w:name w:val="Mriežka tabuľky214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2">
    <w:name w:val="Mriežka tabuľky1114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2">
    <w:name w:val="Mriežka tabuľky422"/>
    <w:basedOn w:val="Normlnatabuka"/>
    <w:next w:val="Mriekatabuky"/>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22">
    <w:name w:val="Mriežka tabuľky1322"/>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22">
    <w:name w:val="Mriežka tabuľky2222"/>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22">
    <w:name w:val="Mriežka tabuľky11222"/>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2">
    <w:name w:val="Mriežka tabuľky3122"/>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22">
    <w:name w:val="Mriežka tabuľky12122"/>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22">
    <w:name w:val="Mriežka tabuľky21122"/>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22">
    <w:name w:val="Mriežka tabuľky111122"/>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22">
    <w:name w:val="Kalendár 222"/>
    <w:basedOn w:val="Normlnatabuka"/>
    <w:uiPriority w:val="99"/>
    <w:qFormat/>
    <w:rsid w:val="00AA17E3"/>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32">
    <w:name w:val="Bez zoznamu132"/>
    <w:next w:val="Bezzoznamu"/>
    <w:uiPriority w:val="99"/>
    <w:semiHidden/>
    <w:unhideWhenUsed/>
    <w:rsid w:val="00AA17E3"/>
  </w:style>
  <w:style w:type="table" w:customStyle="1" w:styleId="Mriekatabuky522">
    <w:name w:val="Mriežka tabuľky52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22">
    <w:name w:val="Mriežka tabuľky142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22">
    <w:name w:val="Mriežka tabuľky232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22">
    <w:name w:val="Mriežka tabuľky1132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22">
    <w:name w:val="Mriežka tabuľky322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22">
    <w:name w:val="Mriežka tabuľky1222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22">
    <w:name w:val="Mriežka tabuľky2122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22">
    <w:name w:val="Mriežka tabuľky11122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2">
    <w:name w:val="Bez zoznamu222"/>
    <w:next w:val="Bezzoznamu"/>
    <w:uiPriority w:val="99"/>
    <w:semiHidden/>
    <w:unhideWhenUsed/>
    <w:rsid w:val="00AA17E3"/>
  </w:style>
  <w:style w:type="table" w:customStyle="1" w:styleId="Mriekatabuky622">
    <w:name w:val="Mriežka tabuľky622"/>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22">
    <w:name w:val="Bez zoznamu322"/>
    <w:next w:val="Bezzoznamu"/>
    <w:uiPriority w:val="99"/>
    <w:semiHidden/>
    <w:unhideWhenUsed/>
    <w:rsid w:val="00AA17E3"/>
  </w:style>
  <w:style w:type="table" w:customStyle="1" w:styleId="Mriekatabuky722">
    <w:name w:val="Mriežka tabuľky722"/>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32">
    <w:name w:val="Bez zoznamu1132"/>
    <w:next w:val="Bezzoznamu"/>
    <w:uiPriority w:val="99"/>
    <w:semiHidden/>
    <w:unhideWhenUsed/>
    <w:rsid w:val="00AA17E3"/>
  </w:style>
  <w:style w:type="table" w:customStyle="1" w:styleId="Mriekatabukysvetl122">
    <w:name w:val="Mriežka tabuľky – svetlá122"/>
    <w:basedOn w:val="Normlnatabuka"/>
    <w:uiPriority w:val="40"/>
    <w:rsid w:val="00AA17E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412">
    <w:name w:val="Bez zoznamu412"/>
    <w:next w:val="Bezzoznamu"/>
    <w:uiPriority w:val="99"/>
    <w:semiHidden/>
    <w:unhideWhenUsed/>
    <w:rsid w:val="00AA17E3"/>
  </w:style>
  <w:style w:type="numbering" w:customStyle="1" w:styleId="Bezzoznamu11122">
    <w:name w:val="Bez zoznamu11122"/>
    <w:next w:val="Bezzoznamu"/>
    <w:uiPriority w:val="99"/>
    <w:semiHidden/>
    <w:unhideWhenUsed/>
    <w:rsid w:val="00AA17E3"/>
  </w:style>
  <w:style w:type="table" w:customStyle="1" w:styleId="Mriekatabuky812">
    <w:name w:val="Mriežka tabuľky812"/>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12">
    <w:name w:val="Bez zoznamu512"/>
    <w:next w:val="Bezzoznamu"/>
    <w:uiPriority w:val="99"/>
    <w:semiHidden/>
    <w:unhideWhenUsed/>
    <w:rsid w:val="00AA17E3"/>
  </w:style>
  <w:style w:type="numbering" w:customStyle="1" w:styleId="Bezzoznamu1212">
    <w:name w:val="Bez zoznamu1212"/>
    <w:next w:val="Bezzoznamu"/>
    <w:uiPriority w:val="99"/>
    <w:semiHidden/>
    <w:unhideWhenUsed/>
    <w:rsid w:val="00AA17E3"/>
  </w:style>
  <w:style w:type="table" w:customStyle="1" w:styleId="Mriekatabuky912">
    <w:name w:val="Mriežka tabuľky912"/>
    <w:basedOn w:val="Normlnatabuka"/>
    <w:next w:val="Mriekatabuky"/>
    <w:uiPriority w:val="3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12">
    <w:name w:val="Mriežka tabuľky1512"/>
    <w:basedOn w:val="Normlnatabuka"/>
    <w:next w:val="Mriekatabuky"/>
    <w:uiPriority w:val="3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12">
    <w:name w:val="Mriežka tabuľky2412"/>
    <w:basedOn w:val="Normlnatabuka"/>
    <w:next w:val="Mriekatabuky"/>
    <w:uiPriority w:val="3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12">
    <w:name w:val="Mriežka tabuľky1141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12">
    <w:name w:val="Mriežka tabuľky331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12">
    <w:name w:val="Mriežka tabuľky1231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12">
    <w:name w:val="Mriežka tabuľky2131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12">
    <w:name w:val="Mriežka tabuľky11131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2">
    <w:name w:val="Mriežka tabuľky4112"/>
    <w:basedOn w:val="Normlnatabuka"/>
    <w:next w:val="Mriekatabuky"/>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12">
    <w:name w:val="Mriežka tabuľky13112"/>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12">
    <w:name w:val="Mriežka tabuľky22112"/>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12">
    <w:name w:val="Mriežka tabuľky112112"/>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12">
    <w:name w:val="Mriežka tabuľky31112"/>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12">
    <w:name w:val="Mriežka tabuľky121112"/>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12">
    <w:name w:val="Mriežka tabuľky211112"/>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12">
    <w:name w:val="Mriežka tabuľky1111112"/>
    <w:basedOn w:val="Normlnatabuka"/>
    <w:uiPriority w:val="59"/>
    <w:rsid w:val="00AA17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12">
    <w:name w:val="Kalendár 2112"/>
    <w:basedOn w:val="Normlnatabuka"/>
    <w:uiPriority w:val="99"/>
    <w:qFormat/>
    <w:rsid w:val="00AA17E3"/>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12">
    <w:name w:val="Bez zoznamu11212"/>
    <w:next w:val="Bezzoznamu"/>
    <w:uiPriority w:val="99"/>
    <w:semiHidden/>
    <w:unhideWhenUsed/>
    <w:rsid w:val="00AA17E3"/>
  </w:style>
  <w:style w:type="table" w:customStyle="1" w:styleId="Mriekatabuky5112">
    <w:name w:val="Mriežka tabuľky511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12">
    <w:name w:val="Mriežka tabuľky1411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12">
    <w:name w:val="Mriežka tabuľky2311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12">
    <w:name w:val="Mriežka tabuľky11311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12">
    <w:name w:val="Mriežka tabuľky3211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12">
    <w:name w:val="Mriežka tabuľky12211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12">
    <w:name w:val="Mriežka tabuľky21211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12">
    <w:name w:val="Mriežka tabuľky1112112"/>
    <w:basedOn w:val="Normlnatabuka"/>
    <w:next w:val="Mriekatabuky"/>
    <w:uiPriority w:val="59"/>
    <w:rsid w:val="00AA17E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2">
    <w:name w:val="Bez zoznamu2112"/>
    <w:next w:val="Bezzoznamu"/>
    <w:uiPriority w:val="99"/>
    <w:semiHidden/>
    <w:unhideWhenUsed/>
    <w:rsid w:val="00AA17E3"/>
  </w:style>
  <w:style w:type="table" w:customStyle="1" w:styleId="Mriekatabuky6112">
    <w:name w:val="Mriežka tabuľky6112"/>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12">
    <w:name w:val="Bez zoznamu3112"/>
    <w:next w:val="Bezzoznamu"/>
    <w:uiPriority w:val="99"/>
    <w:semiHidden/>
    <w:unhideWhenUsed/>
    <w:rsid w:val="00AA17E3"/>
  </w:style>
  <w:style w:type="table" w:customStyle="1" w:styleId="Mriekatabuky7112">
    <w:name w:val="Mriežka tabuľky7112"/>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22">
    <w:name w:val="Bez zoznamu111122"/>
    <w:next w:val="Bezzoznamu"/>
    <w:uiPriority w:val="99"/>
    <w:semiHidden/>
    <w:unhideWhenUsed/>
    <w:rsid w:val="00AA17E3"/>
  </w:style>
  <w:style w:type="table" w:customStyle="1" w:styleId="Mriekatabukysvetl1112">
    <w:name w:val="Mriežka tabuľky – svetlá1112"/>
    <w:basedOn w:val="Normlnatabuka"/>
    <w:uiPriority w:val="40"/>
    <w:rsid w:val="00AA17E3"/>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612">
    <w:name w:val="Bez zoznamu612"/>
    <w:next w:val="Bezzoznamu"/>
    <w:uiPriority w:val="99"/>
    <w:semiHidden/>
    <w:unhideWhenUsed/>
    <w:rsid w:val="00AA17E3"/>
  </w:style>
  <w:style w:type="table" w:customStyle="1" w:styleId="UHPGRAF1112">
    <w:name w:val="UHP_GRAF1112"/>
    <w:basedOn w:val="Normlnatabuka"/>
    <w:uiPriority w:val="99"/>
    <w:rsid w:val="00AA17E3"/>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2">
    <w:name w:val="UHP_GRAF1212"/>
    <w:basedOn w:val="Normlnatabuka"/>
    <w:uiPriority w:val="99"/>
    <w:rsid w:val="00AA17E3"/>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riekatabuky1012">
    <w:name w:val="Mriežka tabuľky1012"/>
    <w:basedOn w:val="Normlnatabuka"/>
    <w:next w:val="Mriekatabuky"/>
    <w:rsid w:val="00AA17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22">
    <w:name w:val="Bez zoznamu1111122"/>
    <w:next w:val="Bezzoznamu"/>
    <w:uiPriority w:val="99"/>
    <w:semiHidden/>
    <w:unhideWhenUsed/>
    <w:rsid w:val="00AA17E3"/>
  </w:style>
  <w:style w:type="table" w:customStyle="1" w:styleId="Obyajntabuka422">
    <w:name w:val="Obyčajná tabuľka 422"/>
    <w:basedOn w:val="Normlnatabuka"/>
    <w:next w:val="Obyajntabuka4"/>
    <w:uiPriority w:val="44"/>
    <w:rsid w:val="00AA17E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Mriekatabuky1612">
    <w:name w:val="Mriežka tabuľky1612"/>
    <w:basedOn w:val="Normlnatabuka"/>
    <w:next w:val="Mriekatabuky"/>
    <w:uiPriority w:val="59"/>
    <w:rsid w:val="00AA1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82">
    <w:name w:val="Bez zoznamu82"/>
    <w:next w:val="Bezzoznamu"/>
    <w:uiPriority w:val="99"/>
    <w:semiHidden/>
    <w:unhideWhenUsed/>
    <w:rsid w:val="00AA17E3"/>
  </w:style>
  <w:style w:type="numbering" w:customStyle="1" w:styleId="Bezzoznamu142">
    <w:name w:val="Bez zoznamu142"/>
    <w:next w:val="Bezzoznamu"/>
    <w:uiPriority w:val="99"/>
    <w:semiHidden/>
    <w:unhideWhenUsed/>
    <w:rsid w:val="00AA17E3"/>
  </w:style>
  <w:style w:type="numbering" w:customStyle="1" w:styleId="Bezzoznamu232">
    <w:name w:val="Bez zoznamu232"/>
    <w:next w:val="Bezzoznamu"/>
    <w:uiPriority w:val="99"/>
    <w:semiHidden/>
    <w:unhideWhenUsed/>
    <w:rsid w:val="00AA17E3"/>
  </w:style>
  <w:style w:type="numbering" w:customStyle="1" w:styleId="Bezzoznamu332">
    <w:name w:val="Bez zoznamu332"/>
    <w:next w:val="Bezzoznamu"/>
    <w:uiPriority w:val="99"/>
    <w:semiHidden/>
    <w:unhideWhenUsed/>
    <w:rsid w:val="00AA17E3"/>
  </w:style>
  <w:style w:type="numbering" w:customStyle="1" w:styleId="Bezzoznamu1142">
    <w:name w:val="Bez zoznamu1142"/>
    <w:next w:val="Bezzoznamu"/>
    <w:uiPriority w:val="99"/>
    <w:semiHidden/>
    <w:unhideWhenUsed/>
    <w:rsid w:val="00AA17E3"/>
  </w:style>
  <w:style w:type="numbering" w:customStyle="1" w:styleId="Bezzoznamu422">
    <w:name w:val="Bez zoznamu422"/>
    <w:next w:val="Bezzoznamu"/>
    <w:uiPriority w:val="99"/>
    <w:semiHidden/>
    <w:unhideWhenUsed/>
    <w:rsid w:val="00AA17E3"/>
  </w:style>
  <w:style w:type="numbering" w:customStyle="1" w:styleId="Bezzoznamu11132">
    <w:name w:val="Bez zoznamu11132"/>
    <w:next w:val="Bezzoznamu"/>
    <w:uiPriority w:val="99"/>
    <w:semiHidden/>
    <w:unhideWhenUsed/>
    <w:rsid w:val="00AA17E3"/>
  </w:style>
  <w:style w:type="numbering" w:customStyle="1" w:styleId="Bezzoznamu522">
    <w:name w:val="Bez zoznamu522"/>
    <w:next w:val="Bezzoznamu"/>
    <w:uiPriority w:val="99"/>
    <w:semiHidden/>
    <w:unhideWhenUsed/>
    <w:rsid w:val="00AA17E3"/>
  </w:style>
  <w:style w:type="numbering" w:customStyle="1" w:styleId="Bezzoznamu1222">
    <w:name w:val="Bez zoznamu1222"/>
    <w:next w:val="Bezzoznamu"/>
    <w:uiPriority w:val="99"/>
    <w:semiHidden/>
    <w:unhideWhenUsed/>
    <w:rsid w:val="00AA17E3"/>
  </w:style>
  <w:style w:type="numbering" w:customStyle="1" w:styleId="Bezzoznamu11222">
    <w:name w:val="Bez zoznamu11222"/>
    <w:next w:val="Bezzoznamu"/>
    <w:uiPriority w:val="99"/>
    <w:semiHidden/>
    <w:unhideWhenUsed/>
    <w:rsid w:val="00AA17E3"/>
  </w:style>
  <w:style w:type="numbering" w:customStyle="1" w:styleId="Bezzoznamu2122">
    <w:name w:val="Bez zoznamu2122"/>
    <w:next w:val="Bezzoznamu"/>
    <w:uiPriority w:val="99"/>
    <w:semiHidden/>
    <w:unhideWhenUsed/>
    <w:rsid w:val="00AA17E3"/>
  </w:style>
  <w:style w:type="numbering" w:customStyle="1" w:styleId="Bezzoznamu3122">
    <w:name w:val="Bez zoznamu3122"/>
    <w:next w:val="Bezzoznamu"/>
    <w:uiPriority w:val="99"/>
    <w:semiHidden/>
    <w:unhideWhenUsed/>
    <w:rsid w:val="00AA17E3"/>
  </w:style>
  <w:style w:type="numbering" w:customStyle="1" w:styleId="Bezzoznamu111132">
    <w:name w:val="Bez zoznamu111132"/>
    <w:next w:val="Bezzoznamu"/>
    <w:uiPriority w:val="99"/>
    <w:semiHidden/>
    <w:unhideWhenUsed/>
    <w:rsid w:val="00AA17E3"/>
  </w:style>
  <w:style w:type="numbering" w:customStyle="1" w:styleId="Bezzoznamu622">
    <w:name w:val="Bez zoznamu622"/>
    <w:next w:val="Bezzoznamu"/>
    <w:uiPriority w:val="99"/>
    <w:semiHidden/>
    <w:unhideWhenUsed/>
    <w:rsid w:val="00AA17E3"/>
  </w:style>
  <w:style w:type="numbering" w:customStyle="1" w:styleId="Bezzoznamu1111132">
    <w:name w:val="Bez zoznamu1111132"/>
    <w:next w:val="Bezzoznamu"/>
    <w:uiPriority w:val="99"/>
    <w:semiHidden/>
    <w:unhideWhenUsed/>
    <w:rsid w:val="00AA17E3"/>
  </w:style>
  <w:style w:type="character" w:customStyle="1" w:styleId="normaltextrun">
    <w:name w:val="normaltextrun"/>
    <w:basedOn w:val="Predvolenpsmoodseku"/>
    <w:rsid w:val="0061380B"/>
  </w:style>
  <w:style w:type="character" w:styleId="Intenzvnyodkaz">
    <w:name w:val="Intense Reference"/>
    <w:basedOn w:val="Predvolenpsmoodseku"/>
    <w:uiPriority w:val="32"/>
    <w:qFormat/>
    <w:rsid w:val="00660A0F"/>
    <w:rPr>
      <w:b/>
      <w:bCs/>
      <w:smallCaps/>
      <w:color w:val="5B9BD5" w:themeColor="accent1"/>
      <w:spacing w:val="5"/>
    </w:rPr>
  </w:style>
  <w:style w:type="table" w:customStyle="1" w:styleId="UHPGRAF114">
    <w:name w:val="UHP_GRAF114"/>
    <w:basedOn w:val="Normlnatabuka"/>
    <w:uiPriority w:val="99"/>
    <w:rsid w:val="001667FB"/>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4">
    <w:name w:val="UHP_GRAF124"/>
    <w:basedOn w:val="Normlnatabuka"/>
    <w:uiPriority w:val="99"/>
    <w:rsid w:val="001667FB"/>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4">
    <w:name w:val="UHP_GRAF14"/>
    <w:basedOn w:val="Normlnatabuka"/>
    <w:uiPriority w:val="99"/>
    <w:rsid w:val="001667FB"/>
    <w:pPr>
      <w:spacing w:before="160" w:after="0" w:line="240" w:lineRule="auto"/>
      <w:contextualSpacing/>
      <w:jc w:val="both"/>
    </w:pPr>
    <w:rPr>
      <w:rFonts w:ascii="Arial Narrow" w:hAnsi="Arial Narrow"/>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List71">
    <w:name w:val="List 71"/>
    <w:basedOn w:val="Bezzoznamu"/>
    <w:rsid w:val="001667FB"/>
  </w:style>
  <w:style w:type="numbering" w:customStyle="1" w:styleId="List171">
    <w:name w:val="List 171"/>
    <w:basedOn w:val="Bezzoznamu"/>
    <w:rsid w:val="001667FB"/>
  </w:style>
  <w:style w:type="numbering" w:customStyle="1" w:styleId="List181">
    <w:name w:val="List 181"/>
    <w:basedOn w:val="Bezzoznamu"/>
    <w:rsid w:val="001667FB"/>
  </w:style>
  <w:style w:type="table" w:customStyle="1" w:styleId="NormalTable0">
    <w:name w:val="Normal Table0"/>
    <w:rsid w:val="001667FB"/>
    <w:pPr>
      <w:spacing w:after="200" w:line="276" w:lineRule="auto"/>
    </w:pPr>
    <w:rPr>
      <w:rFonts w:ascii="Arial Narrow" w:eastAsia="Arial Narrow" w:hAnsi="Arial Narrow" w:cs="Arial Narrow"/>
      <w:color w:val="000000"/>
      <w:lang w:val="en-US"/>
    </w:rPr>
    <w:tblPr>
      <w:tblCellMar>
        <w:top w:w="0" w:type="dxa"/>
        <w:left w:w="0" w:type="dxa"/>
        <w:bottom w:w="0" w:type="dxa"/>
        <w:right w:w="0" w:type="dxa"/>
      </w:tblCellMar>
    </w:tblPr>
  </w:style>
  <w:style w:type="table" w:customStyle="1" w:styleId="UHPGRAF1113">
    <w:name w:val="UHP_GRAF1113"/>
    <w:basedOn w:val="Normlnatabuka"/>
    <w:uiPriority w:val="99"/>
    <w:rsid w:val="001667FB"/>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3">
    <w:name w:val="UHP_GRAF1213"/>
    <w:basedOn w:val="Normlnatabuka"/>
    <w:uiPriority w:val="99"/>
    <w:rsid w:val="001667FB"/>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121">
    <w:name w:val="UHP_GRAF1121"/>
    <w:basedOn w:val="Normlnatabuka"/>
    <w:uiPriority w:val="99"/>
    <w:rsid w:val="001667FB"/>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21">
    <w:name w:val="UHP_GRAF1221"/>
    <w:basedOn w:val="Normlnatabuka"/>
    <w:uiPriority w:val="99"/>
    <w:rsid w:val="001667FB"/>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1111">
    <w:name w:val="UHP_GRAF11111"/>
    <w:basedOn w:val="Normlnatabuka"/>
    <w:uiPriority w:val="99"/>
    <w:rsid w:val="001667FB"/>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11">
    <w:name w:val="UHP_GRAF12111"/>
    <w:basedOn w:val="Normlnatabuka"/>
    <w:uiPriority w:val="99"/>
    <w:rsid w:val="001667FB"/>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131">
    <w:name w:val="UHP_GRAF1131"/>
    <w:basedOn w:val="Normlnatabuka"/>
    <w:uiPriority w:val="99"/>
    <w:rsid w:val="001667FB"/>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31">
    <w:name w:val="UHP_GRAF1231"/>
    <w:basedOn w:val="Normlnatabuka"/>
    <w:uiPriority w:val="99"/>
    <w:rsid w:val="001667FB"/>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31">
    <w:name w:val="UHP_GRAF131"/>
    <w:basedOn w:val="Normlnatabuka"/>
    <w:uiPriority w:val="99"/>
    <w:rsid w:val="001667FB"/>
    <w:pPr>
      <w:spacing w:before="160" w:after="0" w:line="240" w:lineRule="auto"/>
      <w:contextualSpacing/>
      <w:jc w:val="both"/>
    </w:pPr>
    <w:rPr>
      <w:rFonts w:ascii="Arial Narrow" w:hAnsi="Arial Narrow"/>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1121">
    <w:name w:val="UHP_GRAF11121"/>
    <w:basedOn w:val="Normlnatabuka"/>
    <w:uiPriority w:val="99"/>
    <w:rsid w:val="001667FB"/>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21">
    <w:name w:val="UHP_GRAF12121"/>
    <w:basedOn w:val="Normlnatabuka"/>
    <w:uiPriority w:val="99"/>
    <w:rsid w:val="001667FB"/>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riekatabuky29">
    <w:name w:val="Mriežka tabuľky29"/>
    <w:basedOn w:val="Normlnatabuka"/>
    <w:next w:val="Mriekatabuky"/>
    <w:uiPriority w:val="39"/>
    <w:rsid w:val="00236001"/>
    <w:pPr>
      <w:spacing w:after="0" w:line="240" w:lineRule="auto"/>
    </w:pPr>
    <w:rPr>
      <w:rFonts w:ascii="Dutch801 SWC" w:eastAsia="Times New Roman" w:hAnsi="Dutch801 SWC" w:cs="Dutch801 SWC"/>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HPGRAF115">
    <w:name w:val="UHP_GRAF115"/>
    <w:basedOn w:val="Normlnatabuka"/>
    <w:uiPriority w:val="99"/>
    <w:rsid w:val="00095A86"/>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5">
    <w:name w:val="UHP_GRAF125"/>
    <w:basedOn w:val="Normlnatabuka"/>
    <w:uiPriority w:val="99"/>
    <w:rsid w:val="00095A86"/>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5">
    <w:name w:val="UHP_GRAF15"/>
    <w:basedOn w:val="Normlnatabuka"/>
    <w:uiPriority w:val="99"/>
    <w:rsid w:val="00095A86"/>
    <w:pPr>
      <w:spacing w:before="160" w:after="0" w:line="240" w:lineRule="auto"/>
      <w:contextualSpacing/>
      <w:jc w:val="both"/>
    </w:pPr>
    <w:rPr>
      <w:rFonts w:ascii="Arial Narrow" w:hAnsi="Arial Narrow"/>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List72">
    <w:name w:val="List 72"/>
    <w:basedOn w:val="Bezzoznamu"/>
    <w:rsid w:val="00095A86"/>
    <w:pPr>
      <w:numPr>
        <w:numId w:val="5"/>
      </w:numPr>
    </w:pPr>
  </w:style>
  <w:style w:type="numbering" w:customStyle="1" w:styleId="List172">
    <w:name w:val="List 172"/>
    <w:basedOn w:val="Bezzoznamu"/>
    <w:rsid w:val="00095A86"/>
    <w:pPr>
      <w:numPr>
        <w:numId w:val="6"/>
      </w:numPr>
    </w:pPr>
  </w:style>
  <w:style w:type="numbering" w:customStyle="1" w:styleId="List182">
    <w:name w:val="List 182"/>
    <w:basedOn w:val="Bezzoznamu"/>
    <w:rsid w:val="00095A86"/>
  </w:style>
  <w:style w:type="table" w:customStyle="1" w:styleId="UHPGRAF1114">
    <w:name w:val="UHP_GRAF1114"/>
    <w:basedOn w:val="Normlnatabuka"/>
    <w:uiPriority w:val="99"/>
    <w:rsid w:val="00095A86"/>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4">
    <w:name w:val="UHP_GRAF1214"/>
    <w:basedOn w:val="Normlnatabuka"/>
    <w:uiPriority w:val="99"/>
    <w:rsid w:val="00095A86"/>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122">
    <w:name w:val="UHP_GRAF1122"/>
    <w:basedOn w:val="Normlnatabuka"/>
    <w:uiPriority w:val="99"/>
    <w:rsid w:val="00095A86"/>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22">
    <w:name w:val="UHP_GRAF1222"/>
    <w:basedOn w:val="Normlnatabuka"/>
    <w:uiPriority w:val="99"/>
    <w:rsid w:val="00095A86"/>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1112">
    <w:name w:val="UHP_GRAF11112"/>
    <w:basedOn w:val="Normlnatabuka"/>
    <w:uiPriority w:val="99"/>
    <w:rsid w:val="00095A86"/>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12">
    <w:name w:val="UHP_GRAF12112"/>
    <w:basedOn w:val="Normlnatabuka"/>
    <w:uiPriority w:val="99"/>
    <w:rsid w:val="00095A86"/>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132">
    <w:name w:val="UHP_GRAF1132"/>
    <w:basedOn w:val="Normlnatabuka"/>
    <w:uiPriority w:val="99"/>
    <w:rsid w:val="00095A86"/>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32">
    <w:name w:val="UHP_GRAF1232"/>
    <w:basedOn w:val="Normlnatabuka"/>
    <w:uiPriority w:val="99"/>
    <w:rsid w:val="00095A86"/>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32">
    <w:name w:val="UHP_GRAF132"/>
    <w:basedOn w:val="Normlnatabuka"/>
    <w:uiPriority w:val="99"/>
    <w:rsid w:val="00095A86"/>
    <w:pPr>
      <w:spacing w:before="160" w:after="0" w:line="240" w:lineRule="auto"/>
      <w:contextualSpacing/>
      <w:jc w:val="both"/>
    </w:pPr>
    <w:rPr>
      <w:rFonts w:ascii="Arial Narrow" w:hAnsi="Arial Narrow"/>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1122">
    <w:name w:val="UHP_GRAF11122"/>
    <w:basedOn w:val="Normlnatabuka"/>
    <w:uiPriority w:val="99"/>
    <w:rsid w:val="00095A86"/>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22">
    <w:name w:val="UHP_GRAF12122"/>
    <w:basedOn w:val="Normlnatabuka"/>
    <w:uiPriority w:val="99"/>
    <w:rsid w:val="00095A86"/>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Bezzoznamu18">
    <w:name w:val="Bez zoznamu18"/>
    <w:next w:val="Bezzoznamu"/>
    <w:uiPriority w:val="99"/>
    <w:semiHidden/>
    <w:unhideWhenUsed/>
    <w:rsid w:val="002C604C"/>
  </w:style>
  <w:style w:type="numbering" w:customStyle="1" w:styleId="List73">
    <w:name w:val="List 73"/>
    <w:basedOn w:val="Bezzoznamu"/>
    <w:rsid w:val="00352899"/>
  </w:style>
  <w:style w:type="numbering" w:customStyle="1" w:styleId="List173">
    <w:name w:val="List 173"/>
    <w:basedOn w:val="Bezzoznamu"/>
    <w:rsid w:val="00352899"/>
  </w:style>
  <w:style w:type="numbering" w:customStyle="1" w:styleId="List183">
    <w:name w:val="List 183"/>
    <w:basedOn w:val="Bezzoznamu"/>
    <w:rsid w:val="00352899"/>
  </w:style>
  <w:style w:type="table" w:customStyle="1" w:styleId="Mriekatabuky191">
    <w:name w:val="Mriežka tabuľky191"/>
    <w:basedOn w:val="Normlnatabuka"/>
    <w:next w:val="Mriekatabuky"/>
    <w:uiPriority w:val="59"/>
    <w:rsid w:val="00352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91">
    <w:name w:val="Mriežka tabuľky291"/>
    <w:basedOn w:val="Normlnatabuka"/>
    <w:next w:val="Mriekatabuky"/>
    <w:uiPriority w:val="3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byajntabuka45">
    <w:name w:val="Obyčajná tabuľka 45"/>
    <w:basedOn w:val="Normlnatabuka"/>
    <w:next w:val="Obyajntabuka4"/>
    <w:uiPriority w:val="44"/>
    <w:rsid w:val="0035289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Bezzoznamu19">
    <w:name w:val="Bez zoznamu19"/>
    <w:next w:val="Bezzoznamu"/>
    <w:uiPriority w:val="99"/>
    <w:semiHidden/>
    <w:unhideWhenUsed/>
    <w:rsid w:val="00352899"/>
  </w:style>
  <w:style w:type="table" w:customStyle="1" w:styleId="Mriekatabuky119">
    <w:name w:val="Mriežka tabuľky119"/>
    <w:basedOn w:val="Normlnatabuka"/>
    <w:next w:val="Mriekatabuky"/>
    <w:uiPriority w:val="3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0">
    <w:name w:val="Mriežka tabuľky210"/>
    <w:basedOn w:val="Normlnatabuka"/>
    <w:next w:val="Mriekatabuky"/>
    <w:uiPriority w:val="3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0">
    <w:name w:val="Mriežka tabuľky1110"/>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8">
    <w:name w:val="Mriežka tabuľky38"/>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7">
    <w:name w:val="Mriežka tabuľky127"/>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7">
    <w:name w:val="Mriežka tabuľky217"/>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7">
    <w:name w:val="Mriežka tabuľky1117"/>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5">
    <w:name w:val="Mriežka tabuľky45"/>
    <w:basedOn w:val="Normlnatabuka"/>
    <w:next w:val="Mriekatabuky"/>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5">
    <w:name w:val="Mriežka tabuľky135"/>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5">
    <w:name w:val="Mriežka tabuľky225"/>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5">
    <w:name w:val="Mriežka tabuľky1125"/>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6">
    <w:name w:val="Mriežka tabuľky316"/>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5">
    <w:name w:val="Mriežka tabuľky1215"/>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5">
    <w:name w:val="Mriežka tabuľky2115"/>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5">
    <w:name w:val="Mriežka tabuľky11115"/>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5">
    <w:name w:val="Kalendár 25"/>
    <w:basedOn w:val="Normlnatabuka"/>
    <w:uiPriority w:val="99"/>
    <w:qFormat/>
    <w:rsid w:val="00352899"/>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7">
    <w:name w:val="Bez zoznamu117"/>
    <w:next w:val="Bezzoznamu"/>
    <w:uiPriority w:val="99"/>
    <w:semiHidden/>
    <w:unhideWhenUsed/>
    <w:rsid w:val="00352899"/>
  </w:style>
  <w:style w:type="table" w:customStyle="1" w:styleId="Mriekatabuky55">
    <w:name w:val="Mriežka tabuľky55"/>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5">
    <w:name w:val="Mriežka tabuľky145"/>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5">
    <w:name w:val="Mriežka tabuľky235"/>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5">
    <w:name w:val="Mriežka tabuľky1135"/>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5">
    <w:name w:val="Mriežka tabuľky325"/>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5">
    <w:name w:val="Mriežka tabuľky1225"/>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5">
    <w:name w:val="Mriežka tabuľky2125"/>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5">
    <w:name w:val="Mriežka tabuľky11125"/>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6">
    <w:name w:val="Bez zoznamu26"/>
    <w:next w:val="Bezzoznamu"/>
    <w:uiPriority w:val="99"/>
    <w:semiHidden/>
    <w:unhideWhenUsed/>
    <w:rsid w:val="00352899"/>
  </w:style>
  <w:style w:type="table" w:customStyle="1" w:styleId="Mriekatabuky66">
    <w:name w:val="Mriežka tabuľky66"/>
    <w:basedOn w:val="Normlnatabuka"/>
    <w:next w:val="Mriekatabuky"/>
    <w:rsid w:val="0035289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6">
    <w:name w:val="Bez zoznamu36"/>
    <w:next w:val="Bezzoznamu"/>
    <w:uiPriority w:val="99"/>
    <w:semiHidden/>
    <w:unhideWhenUsed/>
    <w:rsid w:val="00352899"/>
  </w:style>
  <w:style w:type="table" w:customStyle="1" w:styleId="Mriekatabuky75">
    <w:name w:val="Mriežka tabuľky75"/>
    <w:basedOn w:val="Normlnatabuka"/>
    <w:next w:val="Mriekatabuky"/>
    <w:rsid w:val="0035289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6">
    <w:name w:val="Bez zoznamu1116"/>
    <w:next w:val="Bezzoznamu"/>
    <w:uiPriority w:val="99"/>
    <w:semiHidden/>
    <w:unhideWhenUsed/>
    <w:rsid w:val="00352899"/>
  </w:style>
  <w:style w:type="table" w:customStyle="1" w:styleId="Mriekatabukysvetl15">
    <w:name w:val="Mriežka tabuľky – svetlá15"/>
    <w:basedOn w:val="Normlnatabuka"/>
    <w:uiPriority w:val="40"/>
    <w:rsid w:val="003528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45">
    <w:name w:val="Bez zoznamu45"/>
    <w:next w:val="Bezzoznamu"/>
    <w:uiPriority w:val="99"/>
    <w:semiHidden/>
    <w:unhideWhenUsed/>
    <w:rsid w:val="00352899"/>
  </w:style>
  <w:style w:type="numbering" w:customStyle="1" w:styleId="Bezzoznamu11116">
    <w:name w:val="Bez zoznamu11116"/>
    <w:next w:val="Bezzoznamu"/>
    <w:uiPriority w:val="99"/>
    <w:semiHidden/>
    <w:unhideWhenUsed/>
    <w:rsid w:val="00352899"/>
  </w:style>
  <w:style w:type="table" w:customStyle="1" w:styleId="Mriekatabuky84">
    <w:name w:val="Mriežka tabuľky84"/>
    <w:basedOn w:val="Normlnatabuka"/>
    <w:next w:val="Mriekatabuky"/>
    <w:rsid w:val="0035289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5">
    <w:name w:val="Bez zoznamu55"/>
    <w:next w:val="Bezzoznamu"/>
    <w:uiPriority w:val="99"/>
    <w:semiHidden/>
    <w:unhideWhenUsed/>
    <w:rsid w:val="00352899"/>
  </w:style>
  <w:style w:type="numbering" w:customStyle="1" w:styleId="Bezzoznamu125">
    <w:name w:val="Bez zoznamu125"/>
    <w:next w:val="Bezzoznamu"/>
    <w:uiPriority w:val="99"/>
    <w:semiHidden/>
    <w:unhideWhenUsed/>
    <w:rsid w:val="00352899"/>
  </w:style>
  <w:style w:type="table" w:customStyle="1" w:styleId="Mriekatabuky94">
    <w:name w:val="Mriežka tabuľky94"/>
    <w:basedOn w:val="Normlnatabuka"/>
    <w:next w:val="Mriekatabuky"/>
    <w:uiPriority w:val="3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4">
    <w:name w:val="Mriežka tabuľky154"/>
    <w:basedOn w:val="Normlnatabuka"/>
    <w:next w:val="Mriekatabuky"/>
    <w:uiPriority w:val="3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4">
    <w:name w:val="Mriežka tabuľky244"/>
    <w:basedOn w:val="Normlnatabuka"/>
    <w:next w:val="Mriekatabuky"/>
    <w:uiPriority w:val="3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4">
    <w:name w:val="Mriežka tabuľky1144"/>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4">
    <w:name w:val="Mriežka tabuľky334"/>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4">
    <w:name w:val="Mriežka tabuľky1234"/>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4">
    <w:name w:val="Mriežka tabuľky2134"/>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4">
    <w:name w:val="Mriežka tabuľky11134"/>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4">
    <w:name w:val="Mriežka tabuľky414"/>
    <w:basedOn w:val="Normlnatabuka"/>
    <w:next w:val="Mriekatabuky"/>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4">
    <w:name w:val="Mriežka tabuľky1314"/>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4">
    <w:name w:val="Mriežka tabuľky2214"/>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4">
    <w:name w:val="Mriežka tabuľky11214"/>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4">
    <w:name w:val="Mriežka tabuľky3114"/>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4">
    <w:name w:val="Mriežka tabuľky12114"/>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4">
    <w:name w:val="Mriežka tabuľky21114"/>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4">
    <w:name w:val="Mriežka tabuľky111114"/>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4">
    <w:name w:val="Kalendár 214"/>
    <w:basedOn w:val="Normlnatabuka"/>
    <w:uiPriority w:val="99"/>
    <w:qFormat/>
    <w:rsid w:val="00352899"/>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5">
    <w:name w:val="Bez zoznamu1125"/>
    <w:next w:val="Bezzoznamu"/>
    <w:uiPriority w:val="99"/>
    <w:semiHidden/>
    <w:unhideWhenUsed/>
    <w:rsid w:val="00352899"/>
  </w:style>
  <w:style w:type="table" w:customStyle="1" w:styleId="Mriekatabuky514">
    <w:name w:val="Mriežka tabuľky514"/>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4">
    <w:name w:val="Mriežka tabuľky1414"/>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4">
    <w:name w:val="Mriežka tabuľky2314"/>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4">
    <w:name w:val="Mriežka tabuľky11314"/>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4">
    <w:name w:val="Mriežka tabuľky3214"/>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4">
    <w:name w:val="Mriežka tabuľky12214"/>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4">
    <w:name w:val="Mriežka tabuľky21214"/>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4">
    <w:name w:val="Mriežka tabuľky111214"/>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5">
    <w:name w:val="Bez zoznamu215"/>
    <w:next w:val="Bezzoznamu"/>
    <w:uiPriority w:val="99"/>
    <w:semiHidden/>
    <w:unhideWhenUsed/>
    <w:rsid w:val="00352899"/>
  </w:style>
  <w:style w:type="table" w:customStyle="1" w:styleId="Mriekatabuky614">
    <w:name w:val="Mriežka tabuľky614"/>
    <w:basedOn w:val="Normlnatabuka"/>
    <w:next w:val="Mriekatabuky"/>
    <w:rsid w:val="0035289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5">
    <w:name w:val="Bez zoznamu315"/>
    <w:next w:val="Bezzoznamu"/>
    <w:uiPriority w:val="99"/>
    <w:semiHidden/>
    <w:unhideWhenUsed/>
    <w:rsid w:val="00352899"/>
  </w:style>
  <w:style w:type="table" w:customStyle="1" w:styleId="Mriekatabuky714">
    <w:name w:val="Mriežka tabuľky714"/>
    <w:basedOn w:val="Normlnatabuka"/>
    <w:next w:val="Mriekatabuky"/>
    <w:rsid w:val="0035289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6">
    <w:name w:val="Bez zoznamu111116"/>
    <w:next w:val="Bezzoznamu"/>
    <w:uiPriority w:val="99"/>
    <w:semiHidden/>
    <w:unhideWhenUsed/>
    <w:rsid w:val="00352899"/>
  </w:style>
  <w:style w:type="table" w:customStyle="1" w:styleId="Mriekatabukysvetl114">
    <w:name w:val="Mriežka tabuľky – svetlá114"/>
    <w:basedOn w:val="Normlnatabuka"/>
    <w:uiPriority w:val="40"/>
    <w:rsid w:val="00352899"/>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65">
    <w:name w:val="Bez zoznamu65"/>
    <w:next w:val="Bezzoznamu"/>
    <w:uiPriority w:val="99"/>
    <w:semiHidden/>
    <w:unhideWhenUsed/>
    <w:rsid w:val="00352899"/>
  </w:style>
  <w:style w:type="table" w:customStyle="1" w:styleId="UHPGRAF1141">
    <w:name w:val="UHP_GRAF1141"/>
    <w:basedOn w:val="Normlnatabuka"/>
    <w:uiPriority w:val="99"/>
    <w:rsid w:val="00352899"/>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41">
    <w:name w:val="UHP_GRAF1241"/>
    <w:basedOn w:val="Normlnatabuka"/>
    <w:uiPriority w:val="99"/>
    <w:rsid w:val="00352899"/>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riekatabuky104">
    <w:name w:val="Mriežka tabuľky104"/>
    <w:basedOn w:val="Normlnatabuka"/>
    <w:next w:val="Mriekatabuky"/>
    <w:rsid w:val="0035289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14">
    <w:name w:val="Bez zoznamu1111114"/>
    <w:next w:val="Bezzoznamu"/>
    <w:uiPriority w:val="99"/>
    <w:semiHidden/>
    <w:unhideWhenUsed/>
    <w:rsid w:val="00352899"/>
  </w:style>
  <w:style w:type="table" w:customStyle="1" w:styleId="Obyajntabuka413">
    <w:name w:val="Obyčajná tabuľka 413"/>
    <w:basedOn w:val="Normlnatabuka"/>
    <w:next w:val="Obyajntabuka4"/>
    <w:uiPriority w:val="44"/>
    <w:rsid w:val="0035289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Mriekatabuky165">
    <w:name w:val="Mriežka tabuľky165"/>
    <w:basedOn w:val="Normlnatabuka"/>
    <w:next w:val="Mriekatabuky"/>
    <w:uiPriority w:val="59"/>
    <w:rsid w:val="00352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73">
    <w:name w:val="Bez zoznamu73"/>
    <w:next w:val="Bezzoznamu"/>
    <w:uiPriority w:val="99"/>
    <w:semiHidden/>
    <w:unhideWhenUsed/>
    <w:rsid w:val="00352899"/>
  </w:style>
  <w:style w:type="table" w:customStyle="1" w:styleId="Mriekatabuky174">
    <w:name w:val="Mriežka tabuľky174"/>
    <w:basedOn w:val="Normlnatabuka"/>
    <w:next w:val="Mriekatabuky"/>
    <w:uiPriority w:val="3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3">
    <w:name w:val="Mriežka tabuľky183"/>
    <w:basedOn w:val="Normlnatabuka"/>
    <w:next w:val="Mriekatabuky"/>
    <w:uiPriority w:val="3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4">
    <w:name w:val="Mriežka tabuľky254"/>
    <w:basedOn w:val="Normlnatabuka"/>
    <w:next w:val="Mriekatabuky"/>
    <w:uiPriority w:val="3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3">
    <w:name w:val="Mriežka tabuľky115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3">
    <w:name w:val="Mriežka tabuľky34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3">
    <w:name w:val="Mriežka tabuľky124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3">
    <w:name w:val="Mriežka tabuľky214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3">
    <w:name w:val="Mriežka tabuľky1114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3">
    <w:name w:val="Mriežka tabuľky423"/>
    <w:basedOn w:val="Normlnatabuka"/>
    <w:next w:val="Mriekatabuky"/>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23">
    <w:name w:val="Mriežka tabuľky1323"/>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23">
    <w:name w:val="Mriežka tabuľky2223"/>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23">
    <w:name w:val="Mriežka tabuľky11223"/>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3">
    <w:name w:val="Mriežka tabuľky3123"/>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23">
    <w:name w:val="Mriežka tabuľky12123"/>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23">
    <w:name w:val="Mriežka tabuľky21123"/>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23">
    <w:name w:val="Mriežka tabuľky111123"/>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23">
    <w:name w:val="Kalendár 223"/>
    <w:basedOn w:val="Normlnatabuka"/>
    <w:uiPriority w:val="99"/>
    <w:qFormat/>
    <w:rsid w:val="00352899"/>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33">
    <w:name w:val="Bez zoznamu133"/>
    <w:next w:val="Bezzoznamu"/>
    <w:uiPriority w:val="99"/>
    <w:semiHidden/>
    <w:unhideWhenUsed/>
    <w:rsid w:val="00352899"/>
  </w:style>
  <w:style w:type="table" w:customStyle="1" w:styleId="Mriekatabuky523">
    <w:name w:val="Mriežka tabuľky52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23">
    <w:name w:val="Mriežka tabuľky142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23">
    <w:name w:val="Mriežka tabuľky232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23">
    <w:name w:val="Mriežka tabuľky1132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23">
    <w:name w:val="Mriežka tabuľky322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23">
    <w:name w:val="Mriežka tabuľky1222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23">
    <w:name w:val="Mriežka tabuľky2122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23">
    <w:name w:val="Mriežka tabuľky11122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3">
    <w:name w:val="Bez zoznamu223"/>
    <w:next w:val="Bezzoznamu"/>
    <w:uiPriority w:val="99"/>
    <w:semiHidden/>
    <w:unhideWhenUsed/>
    <w:rsid w:val="00352899"/>
  </w:style>
  <w:style w:type="table" w:customStyle="1" w:styleId="Mriekatabuky623">
    <w:name w:val="Mriežka tabuľky623"/>
    <w:basedOn w:val="Normlnatabuka"/>
    <w:next w:val="Mriekatabuky"/>
    <w:rsid w:val="0035289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23">
    <w:name w:val="Bez zoznamu323"/>
    <w:next w:val="Bezzoznamu"/>
    <w:uiPriority w:val="99"/>
    <w:semiHidden/>
    <w:unhideWhenUsed/>
    <w:rsid w:val="00352899"/>
  </w:style>
  <w:style w:type="table" w:customStyle="1" w:styleId="Mriekatabuky723">
    <w:name w:val="Mriežka tabuľky723"/>
    <w:basedOn w:val="Normlnatabuka"/>
    <w:next w:val="Mriekatabuky"/>
    <w:rsid w:val="0035289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33">
    <w:name w:val="Bez zoznamu1133"/>
    <w:next w:val="Bezzoznamu"/>
    <w:uiPriority w:val="99"/>
    <w:semiHidden/>
    <w:unhideWhenUsed/>
    <w:rsid w:val="00352899"/>
  </w:style>
  <w:style w:type="table" w:customStyle="1" w:styleId="Mriekatabukysvetl123">
    <w:name w:val="Mriežka tabuľky – svetlá123"/>
    <w:basedOn w:val="Normlnatabuka"/>
    <w:uiPriority w:val="40"/>
    <w:rsid w:val="003528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413">
    <w:name w:val="Bez zoznamu413"/>
    <w:next w:val="Bezzoznamu"/>
    <w:uiPriority w:val="99"/>
    <w:semiHidden/>
    <w:unhideWhenUsed/>
    <w:rsid w:val="00352899"/>
  </w:style>
  <w:style w:type="numbering" w:customStyle="1" w:styleId="Bezzoznamu11123">
    <w:name w:val="Bez zoznamu11123"/>
    <w:next w:val="Bezzoznamu"/>
    <w:uiPriority w:val="99"/>
    <w:semiHidden/>
    <w:unhideWhenUsed/>
    <w:rsid w:val="00352899"/>
  </w:style>
  <w:style w:type="table" w:customStyle="1" w:styleId="Mriekatabuky813">
    <w:name w:val="Mriežka tabuľky813"/>
    <w:basedOn w:val="Normlnatabuka"/>
    <w:next w:val="Mriekatabuky"/>
    <w:rsid w:val="0035289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13">
    <w:name w:val="Bez zoznamu513"/>
    <w:next w:val="Bezzoznamu"/>
    <w:uiPriority w:val="99"/>
    <w:semiHidden/>
    <w:unhideWhenUsed/>
    <w:rsid w:val="00352899"/>
  </w:style>
  <w:style w:type="numbering" w:customStyle="1" w:styleId="Bezzoznamu1213">
    <w:name w:val="Bez zoznamu1213"/>
    <w:next w:val="Bezzoznamu"/>
    <w:uiPriority w:val="99"/>
    <w:semiHidden/>
    <w:unhideWhenUsed/>
    <w:rsid w:val="00352899"/>
  </w:style>
  <w:style w:type="table" w:customStyle="1" w:styleId="Mriekatabuky913">
    <w:name w:val="Mriežka tabuľky913"/>
    <w:basedOn w:val="Normlnatabuka"/>
    <w:next w:val="Mriekatabuky"/>
    <w:uiPriority w:val="3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13">
    <w:name w:val="Mriežka tabuľky1513"/>
    <w:basedOn w:val="Normlnatabuka"/>
    <w:next w:val="Mriekatabuky"/>
    <w:uiPriority w:val="3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13">
    <w:name w:val="Mriežka tabuľky2413"/>
    <w:basedOn w:val="Normlnatabuka"/>
    <w:next w:val="Mriekatabuky"/>
    <w:uiPriority w:val="3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13">
    <w:name w:val="Mriežka tabuľky1141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13">
    <w:name w:val="Mriežka tabuľky331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13">
    <w:name w:val="Mriežka tabuľky1231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13">
    <w:name w:val="Mriežka tabuľky2131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13">
    <w:name w:val="Mriežka tabuľky11131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3">
    <w:name w:val="Mriežka tabuľky4113"/>
    <w:basedOn w:val="Normlnatabuka"/>
    <w:next w:val="Mriekatabuky"/>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13">
    <w:name w:val="Mriežka tabuľky13113"/>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13">
    <w:name w:val="Mriežka tabuľky22113"/>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13">
    <w:name w:val="Mriežka tabuľky112113"/>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13">
    <w:name w:val="Mriežka tabuľky31113"/>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13">
    <w:name w:val="Mriežka tabuľky121113"/>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13">
    <w:name w:val="Mriežka tabuľky211113"/>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13">
    <w:name w:val="Mriežka tabuľky1111113"/>
    <w:basedOn w:val="Normlnatabuka"/>
    <w:uiPriority w:val="59"/>
    <w:rsid w:val="003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13">
    <w:name w:val="Kalendár 2113"/>
    <w:basedOn w:val="Normlnatabuka"/>
    <w:uiPriority w:val="99"/>
    <w:qFormat/>
    <w:rsid w:val="00352899"/>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13">
    <w:name w:val="Bez zoznamu11213"/>
    <w:next w:val="Bezzoznamu"/>
    <w:uiPriority w:val="99"/>
    <w:semiHidden/>
    <w:unhideWhenUsed/>
    <w:rsid w:val="00352899"/>
  </w:style>
  <w:style w:type="table" w:customStyle="1" w:styleId="Mriekatabuky5113">
    <w:name w:val="Mriežka tabuľky511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13">
    <w:name w:val="Mriežka tabuľky1411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13">
    <w:name w:val="Mriežka tabuľky2311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13">
    <w:name w:val="Mriežka tabuľky11311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13">
    <w:name w:val="Mriežka tabuľky3211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13">
    <w:name w:val="Mriežka tabuľky12211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13">
    <w:name w:val="Mriežka tabuľky21211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13">
    <w:name w:val="Mriežka tabuľky1112113"/>
    <w:basedOn w:val="Normlnatabuka"/>
    <w:next w:val="Mriekatabuky"/>
    <w:uiPriority w:val="59"/>
    <w:rsid w:val="0035289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3">
    <w:name w:val="Bez zoznamu2113"/>
    <w:next w:val="Bezzoznamu"/>
    <w:uiPriority w:val="99"/>
    <w:semiHidden/>
    <w:unhideWhenUsed/>
    <w:rsid w:val="00352899"/>
  </w:style>
  <w:style w:type="table" w:customStyle="1" w:styleId="Mriekatabuky6113">
    <w:name w:val="Mriežka tabuľky6113"/>
    <w:basedOn w:val="Normlnatabuka"/>
    <w:next w:val="Mriekatabuky"/>
    <w:rsid w:val="0035289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13">
    <w:name w:val="Bez zoznamu3113"/>
    <w:next w:val="Bezzoznamu"/>
    <w:uiPriority w:val="99"/>
    <w:semiHidden/>
    <w:unhideWhenUsed/>
    <w:rsid w:val="00352899"/>
  </w:style>
  <w:style w:type="table" w:customStyle="1" w:styleId="Mriekatabuky7113">
    <w:name w:val="Mriežka tabuľky7113"/>
    <w:basedOn w:val="Normlnatabuka"/>
    <w:next w:val="Mriekatabuky"/>
    <w:rsid w:val="0035289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23">
    <w:name w:val="Bez zoznamu111123"/>
    <w:next w:val="Bezzoznamu"/>
    <w:uiPriority w:val="99"/>
    <w:semiHidden/>
    <w:unhideWhenUsed/>
    <w:rsid w:val="00352899"/>
  </w:style>
  <w:style w:type="table" w:customStyle="1" w:styleId="Mriekatabukysvetl1113">
    <w:name w:val="Mriežka tabuľky – svetlá1113"/>
    <w:basedOn w:val="Normlnatabuka"/>
    <w:uiPriority w:val="40"/>
    <w:rsid w:val="00352899"/>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613">
    <w:name w:val="Bez zoznamu613"/>
    <w:next w:val="Bezzoznamu"/>
    <w:uiPriority w:val="99"/>
    <w:semiHidden/>
    <w:unhideWhenUsed/>
    <w:rsid w:val="00352899"/>
  </w:style>
  <w:style w:type="table" w:customStyle="1" w:styleId="UHPGRAF11131">
    <w:name w:val="UHP_GRAF11131"/>
    <w:basedOn w:val="Normlnatabuka"/>
    <w:uiPriority w:val="99"/>
    <w:rsid w:val="00352899"/>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31">
    <w:name w:val="UHP_GRAF12131"/>
    <w:basedOn w:val="Normlnatabuka"/>
    <w:uiPriority w:val="99"/>
    <w:rsid w:val="00352899"/>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riekatabuky1013">
    <w:name w:val="Mriežka tabuľky1013"/>
    <w:basedOn w:val="Normlnatabuka"/>
    <w:next w:val="Mriekatabuky"/>
    <w:rsid w:val="0035289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23">
    <w:name w:val="Bez zoznamu1111123"/>
    <w:next w:val="Bezzoznamu"/>
    <w:uiPriority w:val="99"/>
    <w:semiHidden/>
    <w:unhideWhenUsed/>
    <w:rsid w:val="00352899"/>
  </w:style>
  <w:style w:type="table" w:customStyle="1" w:styleId="Obyajntabuka423">
    <w:name w:val="Obyčajná tabuľka 423"/>
    <w:basedOn w:val="Normlnatabuka"/>
    <w:next w:val="Obyajntabuka4"/>
    <w:uiPriority w:val="44"/>
    <w:rsid w:val="0035289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Mriekatabuky1613">
    <w:name w:val="Mriežka tabuľky1613"/>
    <w:basedOn w:val="Normlnatabuka"/>
    <w:next w:val="Mriekatabuky"/>
    <w:uiPriority w:val="59"/>
    <w:rsid w:val="00352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83">
    <w:name w:val="Bez zoznamu83"/>
    <w:next w:val="Bezzoznamu"/>
    <w:uiPriority w:val="99"/>
    <w:semiHidden/>
    <w:unhideWhenUsed/>
    <w:rsid w:val="00352899"/>
  </w:style>
  <w:style w:type="numbering" w:customStyle="1" w:styleId="Bezzoznamu143">
    <w:name w:val="Bez zoznamu143"/>
    <w:next w:val="Bezzoznamu"/>
    <w:uiPriority w:val="99"/>
    <w:semiHidden/>
    <w:unhideWhenUsed/>
    <w:rsid w:val="00352899"/>
  </w:style>
  <w:style w:type="numbering" w:customStyle="1" w:styleId="Bezzoznamu233">
    <w:name w:val="Bez zoznamu233"/>
    <w:next w:val="Bezzoznamu"/>
    <w:uiPriority w:val="99"/>
    <w:semiHidden/>
    <w:unhideWhenUsed/>
    <w:rsid w:val="00352899"/>
  </w:style>
  <w:style w:type="numbering" w:customStyle="1" w:styleId="Bezzoznamu333">
    <w:name w:val="Bez zoznamu333"/>
    <w:next w:val="Bezzoznamu"/>
    <w:uiPriority w:val="99"/>
    <w:semiHidden/>
    <w:unhideWhenUsed/>
    <w:rsid w:val="00352899"/>
  </w:style>
  <w:style w:type="numbering" w:customStyle="1" w:styleId="Bezzoznamu1143">
    <w:name w:val="Bez zoznamu1143"/>
    <w:next w:val="Bezzoznamu"/>
    <w:uiPriority w:val="99"/>
    <w:semiHidden/>
    <w:unhideWhenUsed/>
    <w:rsid w:val="00352899"/>
  </w:style>
  <w:style w:type="numbering" w:customStyle="1" w:styleId="Bezzoznamu423">
    <w:name w:val="Bez zoznamu423"/>
    <w:next w:val="Bezzoznamu"/>
    <w:uiPriority w:val="99"/>
    <w:semiHidden/>
    <w:unhideWhenUsed/>
    <w:rsid w:val="00352899"/>
  </w:style>
  <w:style w:type="numbering" w:customStyle="1" w:styleId="Bezzoznamu11133">
    <w:name w:val="Bez zoznamu11133"/>
    <w:next w:val="Bezzoznamu"/>
    <w:uiPriority w:val="99"/>
    <w:semiHidden/>
    <w:unhideWhenUsed/>
    <w:rsid w:val="00352899"/>
  </w:style>
  <w:style w:type="numbering" w:customStyle="1" w:styleId="Bezzoznamu523">
    <w:name w:val="Bez zoznamu523"/>
    <w:next w:val="Bezzoznamu"/>
    <w:uiPriority w:val="99"/>
    <w:semiHidden/>
    <w:unhideWhenUsed/>
    <w:rsid w:val="00352899"/>
  </w:style>
  <w:style w:type="numbering" w:customStyle="1" w:styleId="Bezzoznamu1223">
    <w:name w:val="Bez zoznamu1223"/>
    <w:next w:val="Bezzoznamu"/>
    <w:uiPriority w:val="99"/>
    <w:semiHidden/>
    <w:unhideWhenUsed/>
    <w:rsid w:val="00352899"/>
  </w:style>
  <w:style w:type="numbering" w:customStyle="1" w:styleId="Bezzoznamu11223">
    <w:name w:val="Bez zoznamu11223"/>
    <w:next w:val="Bezzoznamu"/>
    <w:uiPriority w:val="99"/>
    <w:semiHidden/>
    <w:unhideWhenUsed/>
    <w:rsid w:val="00352899"/>
  </w:style>
  <w:style w:type="numbering" w:customStyle="1" w:styleId="Bezzoznamu2123">
    <w:name w:val="Bez zoznamu2123"/>
    <w:next w:val="Bezzoznamu"/>
    <w:uiPriority w:val="99"/>
    <w:semiHidden/>
    <w:unhideWhenUsed/>
    <w:rsid w:val="00352899"/>
  </w:style>
  <w:style w:type="numbering" w:customStyle="1" w:styleId="Bezzoznamu3123">
    <w:name w:val="Bez zoznamu3123"/>
    <w:next w:val="Bezzoznamu"/>
    <w:uiPriority w:val="99"/>
    <w:semiHidden/>
    <w:unhideWhenUsed/>
    <w:rsid w:val="00352899"/>
  </w:style>
  <w:style w:type="numbering" w:customStyle="1" w:styleId="Bezzoznamu111133">
    <w:name w:val="Bez zoznamu111133"/>
    <w:next w:val="Bezzoznamu"/>
    <w:uiPriority w:val="99"/>
    <w:semiHidden/>
    <w:unhideWhenUsed/>
    <w:rsid w:val="00352899"/>
  </w:style>
  <w:style w:type="numbering" w:customStyle="1" w:styleId="Bezzoznamu623">
    <w:name w:val="Bez zoznamu623"/>
    <w:next w:val="Bezzoznamu"/>
    <w:uiPriority w:val="99"/>
    <w:semiHidden/>
    <w:unhideWhenUsed/>
    <w:rsid w:val="00352899"/>
  </w:style>
  <w:style w:type="numbering" w:customStyle="1" w:styleId="Bezzoznamu1111133">
    <w:name w:val="Bez zoznamu1111133"/>
    <w:next w:val="Bezzoznamu"/>
    <w:uiPriority w:val="99"/>
    <w:semiHidden/>
    <w:unhideWhenUsed/>
    <w:rsid w:val="00352899"/>
  </w:style>
  <w:style w:type="numbering" w:customStyle="1" w:styleId="List74">
    <w:name w:val="List 74"/>
    <w:basedOn w:val="Bezzoznamu"/>
    <w:rsid w:val="00C34DCA"/>
  </w:style>
  <w:style w:type="numbering" w:customStyle="1" w:styleId="List174">
    <w:name w:val="List 174"/>
    <w:basedOn w:val="Bezzoznamu"/>
    <w:rsid w:val="00C34DCA"/>
  </w:style>
  <w:style w:type="numbering" w:customStyle="1" w:styleId="List184">
    <w:name w:val="List 184"/>
    <w:basedOn w:val="Bezzoznamu"/>
    <w:rsid w:val="00C34DCA"/>
  </w:style>
  <w:style w:type="table" w:customStyle="1" w:styleId="Mriekatabuky292">
    <w:name w:val="Mriežka tabuľky292"/>
    <w:basedOn w:val="Normlnatabuka"/>
    <w:next w:val="Mriekatabuky"/>
    <w:uiPriority w:val="39"/>
    <w:rsid w:val="00C34DC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HPGRAF1142">
    <w:name w:val="UHP_GRAF1142"/>
    <w:basedOn w:val="Normlnatabuka"/>
    <w:uiPriority w:val="99"/>
    <w:rsid w:val="00C34DCA"/>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42">
    <w:name w:val="UHP_GRAF1242"/>
    <w:basedOn w:val="Normlnatabuka"/>
    <w:uiPriority w:val="99"/>
    <w:rsid w:val="00C34DCA"/>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1132">
    <w:name w:val="UHP_GRAF11132"/>
    <w:basedOn w:val="Normlnatabuka"/>
    <w:uiPriority w:val="99"/>
    <w:rsid w:val="00C34DCA"/>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32">
    <w:name w:val="UHP_GRAF12132"/>
    <w:basedOn w:val="Normlnatabuka"/>
    <w:uiPriority w:val="99"/>
    <w:rsid w:val="00C34DCA"/>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List75">
    <w:name w:val="List 75"/>
    <w:basedOn w:val="Bezzoznamu"/>
    <w:rsid w:val="003E5456"/>
  </w:style>
  <w:style w:type="numbering" w:customStyle="1" w:styleId="List175">
    <w:name w:val="List 175"/>
    <w:basedOn w:val="Bezzoznamu"/>
    <w:rsid w:val="003E5456"/>
  </w:style>
  <w:style w:type="numbering" w:customStyle="1" w:styleId="List185">
    <w:name w:val="List 185"/>
    <w:basedOn w:val="Bezzoznamu"/>
    <w:rsid w:val="003E5456"/>
  </w:style>
  <w:style w:type="table" w:customStyle="1" w:styleId="Mriekatabuky293">
    <w:name w:val="Mriežka tabuľky293"/>
    <w:basedOn w:val="Normlnatabuka"/>
    <w:next w:val="Mriekatabuky"/>
    <w:uiPriority w:val="39"/>
    <w:rsid w:val="003E545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HPGRAF1143">
    <w:name w:val="UHP_GRAF1143"/>
    <w:basedOn w:val="Normlnatabuka"/>
    <w:uiPriority w:val="99"/>
    <w:rsid w:val="003E5456"/>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43">
    <w:name w:val="UHP_GRAF1243"/>
    <w:basedOn w:val="Normlnatabuka"/>
    <w:uiPriority w:val="99"/>
    <w:rsid w:val="003E5456"/>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1133">
    <w:name w:val="UHP_GRAF11133"/>
    <w:basedOn w:val="Normlnatabuka"/>
    <w:uiPriority w:val="99"/>
    <w:rsid w:val="003E5456"/>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33">
    <w:name w:val="UHP_GRAF12133"/>
    <w:basedOn w:val="Normlnatabuka"/>
    <w:uiPriority w:val="99"/>
    <w:rsid w:val="003E5456"/>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List76">
    <w:name w:val="List 76"/>
    <w:basedOn w:val="Bezzoznamu"/>
    <w:rsid w:val="002E43D0"/>
  </w:style>
  <w:style w:type="numbering" w:customStyle="1" w:styleId="List176">
    <w:name w:val="List 176"/>
    <w:basedOn w:val="Bezzoznamu"/>
    <w:rsid w:val="002E43D0"/>
  </w:style>
  <w:style w:type="numbering" w:customStyle="1" w:styleId="List186">
    <w:name w:val="List 186"/>
    <w:basedOn w:val="Bezzoznamu"/>
    <w:rsid w:val="002E43D0"/>
  </w:style>
  <w:style w:type="table" w:customStyle="1" w:styleId="Mriekatabuky294">
    <w:name w:val="Mriežka tabuľky294"/>
    <w:basedOn w:val="Normlnatabuka"/>
    <w:next w:val="Mriekatabuky"/>
    <w:uiPriority w:val="39"/>
    <w:rsid w:val="002E43D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HPGRAF1144">
    <w:name w:val="UHP_GRAF1144"/>
    <w:basedOn w:val="Normlnatabuka"/>
    <w:uiPriority w:val="99"/>
    <w:rsid w:val="002E43D0"/>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44">
    <w:name w:val="UHP_GRAF1244"/>
    <w:basedOn w:val="Normlnatabuka"/>
    <w:uiPriority w:val="99"/>
    <w:rsid w:val="002E43D0"/>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1134">
    <w:name w:val="UHP_GRAF11134"/>
    <w:basedOn w:val="Normlnatabuka"/>
    <w:uiPriority w:val="99"/>
    <w:rsid w:val="002E43D0"/>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34">
    <w:name w:val="UHP_GRAF12134"/>
    <w:basedOn w:val="Normlnatabuka"/>
    <w:uiPriority w:val="99"/>
    <w:rsid w:val="002E43D0"/>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List77">
    <w:name w:val="List 77"/>
    <w:basedOn w:val="Bezzoznamu"/>
    <w:rsid w:val="00C83E86"/>
  </w:style>
  <w:style w:type="numbering" w:customStyle="1" w:styleId="List177">
    <w:name w:val="List 177"/>
    <w:basedOn w:val="Bezzoznamu"/>
    <w:rsid w:val="00C83E86"/>
  </w:style>
  <w:style w:type="numbering" w:customStyle="1" w:styleId="List187">
    <w:name w:val="List 187"/>
    <w:basedOn w:val="Bezzoznamu"/>
    <w:rsid w:val="00C83E86"/>
  </w:style>
  <w:style w:type="table" w:customStyle="1" w:styleId="Mriekatabuky295">
    <w:name w:val="Mriežka tabuľky295"/>
    <w:basedOn w:val="Normlnatabuka"/>
    <w:next w:val="Mriekatabuky"/>
    <w:uiPriority w:val="39"/>
    <w:rsid w:val="00C83E8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HPGRAF1145">
    <w:name w:val="UHP_GRAF1145"/>
    <w:basedOn w:val="Normlnatabuka"/>
    <w:uiPriority w:val="99"/>
    <w:rsid w:val="00C83E86"/>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45">
    <w:name w:val="UHP_GRAF1245"/>
    <w:basedOn w:val="Normlnatabuka"/>
    <w:uiPriority w:val="99"/>
    <w:rsid w:val="00C83E86"/>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1135">
    <w:name w:val="UHP_GRAF11135"/>
    <w:basedOn w:val="Normlnatabuka"/>
    <w:uiPriority w:val="99"/>
    <w:rsid w:val="00C83E86"/>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35">
    <w:name w:val="UHP_GRAF12135"/>
    <w:basedOn w:val="Normlnatabuka"/>
    <w:uiPriority w:val="99"/>
    <w:rsid w:val="00C83E86"/>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
    <w:name w:val="TableGrid"/>
    <w:rsid w:val="005E6BD9"/>
    <w:pPr>
      <w:spacing w:after="0" w:line="240" w:lineRule="auto"/>
    </w:pPr>
    <w:rPr>
      <w:rFonts w:eastAsia="Times New Roman"/>
      <w:lang w:eastAsia="sk-SK"/>
    </w:rPr>
    <w:tblPr>
      <w:tblCellMar>
        <w:top w:w="0" w:type="dxa"/>
        <w:left w:w="0" w:type="dxa"/>
        <w:bottom w:w="0" w:type="dxa"/>
        <w:right w:w="0" w:type="dxa"/>
      </w:tblCellMar>
    </w:tblPr>
  </w:style>
  <w:style w:type="table" w:customStyle="1" w:styleId="TableGrid1">
    <w:name w:val="TableGrid1"/>
    <w:rsid w:val="005E6BD9"/>
    <w:pPr>
      <w:spacing w:after="0" w:line="240" w:lineRule="auto"/>
    </w:pPr>
    <w:rPr>
      <w:rFonts w:eastAsia="Times New Roman"/>
      <w:lang w:eastAsia="sk-SK"/>
    </w:rPr>
    <w:tblPr>
      <w:tblCellMar>
        <w:top w:w="0" w:type="dxa"/>
        <w:left w:w="0" w:type="dxa"/>
        <w:bottom w:w="0" w:type="dxa"/>
        <w:right w:w="0" w:type="dxa"/>
      </w:tblCellMar>
    </w:tblPr>
  </w:style>
  <w:style w:type="table" w:customStyle="1" w:styleId="TableGrid20">
    <w:name w:val="TableGrid2"/>
    <w:rsid w:val="005E6BD9"/>
    <w:pPr>
      <w:spacing w:after="0" w:line="240" w:lineRule="auto"/>
    </w:pPr>
    <w:rPr>
      <w:rFonts w:eastAsia="Times New Roman"/>
      <w:lang w:eastAsia="sk-SK"/>
    </w:rPr>
    <w:tblPr>
      <w:tblCellMar>
        <w:top w:w="0" w:type="dxa"/>
        <w:left w:w="0" w:type="dxa"/>
        <w:bottom w:w="0" w:type="dxa"/>
        <w:right w:w="0" w:type="dxa"/>
      </w:tblCellMar>
    </w:tblPr>
  </w:style>
  <w:style w:type="numbering" w:customStyle="1" w:styleId="List78">
    <w:name w:val="List 78"/>
    <w:basedOn w:val="Bezzoznamu"/>
    <w:rsid w:val="00885D84"/>
  </w:style>
  <w:style w:type="numbering" w:customStyle="1" w:styleId="List178">
    <w:name w:val="List 178"/>
    <w:basedOn w:val="Bezzoznamu"/>
    <w:rsid w:val="00885D84"/>
  </w:style>
  <w:style w:type="numbering" w:customStyle="1" w:styleId="List188">
    <w:name w:val="List 188"/>
    <w:basedOn w:val="Bezzoznamu"/>
    <w:rsid w:val="00885D84"/>
  </w:style>
  <w:style w:type="table" w:customStyle="1" w:styleId="Mriekatabuky296">
    <w:name w:val="Mriežka tabuľky296"/>
    <w:basedOn w:val="Normlnatabuka"/>
    <w:next w:val="Mriekatabuky"/>
    <w:uiPriority w:val="39"/>
    <w:rsid w:val="00885D8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HPGRAF1146">
    <w:name w:val="UHP_GRAF1146"/>
    <w:basedOn w:val="Normlnatabuka"/>
    <w:uiPriority w:val="99"/>
    <w:rsid w:val="00885D84"/>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46">
    <w:name w:val="UHP_GRAF1246"/>
    <w:basedOn w:val="Normlnatabuka"/>
    <w:uiPriority w:val="99"/>
    <w:rsid w:val="00885D84"/>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1136">
    <w:name w:val="UHP_GRAF11136"/>
    <w:basedOn w:val="Normlnatabuka"/>
    <w:uiPriority w:val="99"/>
    <w:rsid w:val="00885D84"/>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36">
    <w:name w:val="UHP_GRAF12136"/>
    <w:basedOn w:val="Normlnatabuka"/>
    <w:uiPriority w:val="99"/>
    <w:rsid w:val="00885D84"/>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16">
    <w:name w:val="UHP_GRAF116"/>
    <w:basedOn w:val="Normlnatabuka"/>
    <w:uiPriority w:val="99"/>
    <w:rsid w:val="003312EA"/>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6">
    <w:name w:val="UHP_GRAF126"/>
    <w:basedOn w:val="Normlnatabuka"/>
    <w:uiPriority w:val="99"/>
    <w:rsid w:val="003312EA"/>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6">
    <w:name w:val="UHP_GRAF16"/>
    <w:basedOn w:val="Normlnatabuka"/>
    <w:uiPriority w:val="99"/>
    <w:rsid w:val="003312EA"/>
    <w:pPr>
      <w:spacing w:before="160" w:after="0" w:line="240" w:lineRule="auto"/>
      <w:contextualSpacing/>
      <w:jc w:val="both"/>
    </w:pPr>
    <w:rPr>
      <w:rFonts w:ascii="Arial Narrow" w:hAnsi="Arial Narrow"/>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List79">
    <w:name w:val="List 79"/>
    <w:basedOn w:val="Bezzoznamu"/>
    <w:rsid w:val="003312EA"/>
  </w:style>
  <w:style w:type="numbering" w:customStyle="1" w:styleId="List179">
    <w:name w:val="List 179"/>
    <w:basedOn w:val="Bezzoznamu"/>
    <w:rsid w:val="003312EA"/>
  </w:style>
  <w:style w:type="numbering" w:customStyle="1" w:styleId="List189">
    <w:name w:val="List 189"/>
    <w:basedOn w:val="Bezzoznamu"/>
    <w:rsid w:val="003312EA"/>
  </w:style>
  <w:style w:type="table" w:customStyle="1" w:styleId="UHPGRAF1115">
    <w:name w:val="UHP_GRAF1115"/>
    <w:basedOn w:val="Normlnatabuka"/>
    <w:uiPriority w:val="99"/>
    <w:rsid w:val="003312EA"/>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5">
    <w:name w:val="UHP_GRAF1215"/>
    <w:basedOn w:val="Normlnatabuka"/>
    <w:uiPriority w:val="99"/>
    <w:rsid w:val="003312EA"/>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123">
    <w:name w:val="UHP_GRAF1123"/>
    <w:basedOn w:val="Normlnatabuka"/>
    <w:uiPriority w:val="99"/>
    <w:rsid w:val="003312EA"/>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23">
    <w:name w:val="UHP_GRAF1223"/>
    <w:basedOn w:val="Normlnatabuka"/>
    <w:uiPriority w:val="99"/>
    <w:rsid w:val="003312EA"/>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1113">
    <w:name w:val="UHP_GRAF11113"/>
    <w:basedOn w:val="Normlnatabuka"/>
    <w:uiPriority w:val="99"/>
    <w:rsid w:val="003312EA"/>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13">
    <w:name w:val="UHP_GRAF12113"/>
    <w:basedOn w:val="Normlnatabuka"/>
    <w:uiPriority w:val="99"/>
    <w:rsid w:val="003312EA"/>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133">
    <w:name w:val="UHP_GRAF1133"/>
    <w:basedOn w:val="Normlnatabuka"/>
    <w:uiPriority w:val="99"/>
    <w:rsid w:val="003312EA"/>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33">
    <w:name w:val="UHP_GRAF1233"/>
    <w:basedOn w:val="Normlnatabuka"/>
    <w:uiPriority w:val="99"/>
    <w:rsid w:val="003312EA"/>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33">
    <w:name w:val="UHP_GRAF133"/>
    <w:basedOn w:val="Normlnatabuka"/>
    <w:uiPriority w:val="99"/>
    <w:rsid w:val="003312EA"/>
    <w:pPr>
      <w:spacing w:before="160" w:after="0" w:line="240" w:lineRule="auto"/>
      <w:contextualSpacing/>
      <w:jc w:val="both"/>
    </w:pPr>
    <w:rPr>
      <w:rFonts w:ascii="Arial Narrow" w:hAnsi="Arial Narrow"/>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1123">
    <w:name w:val="UHP_GRAF11123"/>
    <w:basedOn w:val="Normlnatabuka"/>
    <w:uiPriority w:val="99"/>
    <w:rsid w:val="003312EA"/>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23">
    <w:name w:val="UHP_GRAF12123"/>
    <w:basedOn w:val="Normlnatabuka"/>
    <w:uiPriority w:val="99"/>
    <w:rsid w:val="003312EA"/>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Open Sans" w:hAnsi="Open Sans"/>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uiPriority w:val="99"/>
    <w:rsid w:val="00E955D2"/>
    <w:pPr>
      <w:spacing w:line="240" w:lineRule="exact"/>
      <w:jc w:val="both"/>
    </w:pPr>
    <w:rPr>
      <w:vertAlign w:val="superscript"/>
    </w:rPr>
  </w:style>
  <w:style w:type="paragraph" w:customStyle="1" w:styleId="paragraph">
    <w:name w:val="paragraph"/>
    <w:basedOn w:val="Normlny"/>
    <w:rsid w:val="0024388C"/>
    <w:pPr>
      <w:spacing w:before="100" w:beforeAutospacing="1" w:after="100" w:afterAutospacing="1" w:line="240" w:lineRule="auto"/>
    </w:pPr>
    <w:rPr>
      <w:rFonts w:ascii="Times New Roman" w:eastAsia="Times New Roman" w:hAnsi="Times New Roman" w:cs="Times New Roman"/>
      <w:sz w:val="24"/>
      <w:szCs w:val="24"/>
      <w:lang w:eastAsia="sk-SK"/>
    </w:rPr>
  </w:style>
  <w:style w:type="numbering" w:customStyle="1" w:styleId="List710">
    <w:name w:val="List 710"/>
    <w:basedOn w:val="Bezzoznamu"/>
    <w:rsid w:val="007A2CC2"/>
  </w:style>
  <w:style w:type="numbering" w:customStyle="1" w:styleId="List1710">
    <w:name w:val="List 1710"/>
    <w:basedOn w:val="Bezzoznamu"/>
    <w:rsid w:val="007A2CC2"/>
  </w:style>
  <w:style w:type="numbering" w:customStyle="1" w:styleId="List1810">
    <w:name w:val="List 1810"/>
    <w:basedOn w:val="Bezzoznamu"/>
    <w:rsid w:val="007A2CC2"/>
  </w:style>
  <w:style w:type="character" w:customStyle="1" w:styleId="eop">
    <w:name w:val="eop"/>
    <w:basedOn w:val="Predvolenpsmoodseku"/>
    <w:rsid w:val="007A2CC2"/>
  </w:style>
  <w:style w:type="table" w:customStyle="1" w:styleId="Mriekatabuky30">
    <w:name w:val="Mriežka tabuľky30"/>
    <w:basedOn w:val="Normlnatabuka"/>
    <w:next w:val="Mriekatabuky"/>
    <w:uiPriority w:val="39"/>
    <w:rsid w:val="00B02926"/>
    <w:pPr>
      <w:spacing w:after="0" w:line="240" w:lineRule="auto"/>
    </w:pPr>
    <w:rPr>
      <w:rFonts w:ascii="Dutch801 SWC" w:eastAsia="Times New Roman" w:hAnsi="Dutch801 SWC" w:cs="Dutch801 SWC"/>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
    <w:name w:val="Bez zoznamu20"/>
    <w:next w:val="Bezzoznamu"/>
    <w:uiPriority w:val="99"/>
    <w:semiHidden/>
    <w:unhideWhenUsed/>
    <w:rsid w:val="0095135F"/>
  </w:style>
  <w:style w:type="table" w:customStyle="1" w:styleId="Mriekatabuky39">
    <w:name w:val="Mriežka tabuľky39"/>
    <w:basedOn w:val="Normlnatabuka"/>
    <w:next w:val="Mriekatabuky"/>
    <w:uiPriority w:val="39"/>
    <w:rsid w:val="005D3D72"/>
    <w:pPr>
      <w:spacing w:after="0" w:line="240" w:lineRule="auto"/>
    </w:pPr>
    <w:rPr>
      <w:rFonts w:ascii="Dutch801 SWC" w:eastAsia="Times New Roman" w:hAnsi="Dutch801 SWC" w:cs="Dutch801 SWC"/>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BC2A02"/>
    <w:pPr>
      <w:spacing w:after="0" w:line="240" w:lineRule="auto"/>
    </w:pPr>
    <w:rPr>
      <w:rFonts w:eastAsia="Times New Roman"/>
      <w:lang w:eastAsia="sk-SK"/>
    </w:rPr>
    <w:tblPr>
      <w:tblCellMar>
        <w:top w:w="0" w:type="dxa"/>
        <w:left w:w="0" w:type="dxa"/>
        <w:bottom w:w="0" w:type="dxa"/>
        <w:right w:w="0" w:type="dxa"/>
      </w:tblCellMar>
    </w:tblPr>
  </w:style>
  <w:style w:type="table" w:customStyle="1" w:styleId="TableGrid11">
    <w:name w:val="TableGrid11"/>
    <w:rsid w:val="00BC2A02"/>
    <w:pPr>
      <w:spacing w:after="0" w:line="240" w:lineRule="auto"/>
    </w:pPr>
    <w:rPr>
      <w:rFonts w:eastAsia="Times New Roman"/>
      <w:lang w:eastAsia="sk-SK"/>
    </w:rPr>
    <w:tblPr>
      <w:tblCellMar>
        <w:top w:w="0" w:type="dxa"/>
        <w:left w:w="0" w:type="dxa"/>
        <w:bottom w:w="0" w:type="dxa"/>
        <w:right w:w="0" w:type="dxa"/>
      </w:tblCellMar>
    </w:tblPr>
  </w:style>
  <w:style w:type="table" w:customStyle="1" w:styleId="TableGrid210">
    <w:name w:val="TableGrid21"/>
    <w:rsid w:val="00BC2A02"/>
    <w:pPr>
      <w:spacing w:after="0" w:line="240" w:lineRule="auto"/>
    </w:pPr>
    <w:rPr>
      <w:rFonts w:eastAsia="Times New Roman"/>
      <w:lang w:eastAsia="sk-SK"/>
    </w:rPr>
    <w:tblPr>
      <w:tblCellMar>
        <w:top w:w="0" w:type="dxa"/>
        <w:left w:w="0" w:type="dxa"/>
        <w:bottom w:w="0" w:type="dxa"/>
        <w:right w:w="0" w:type="dxa"/>
      </w:tblCellMar>
    </w:tblPr>
  </w:style>
  <w:style w:type="numbering" w:customStyle="1" w:styleId="Bezzoznamu27">
    <w:name w:val="Bez zoznamu27"/>
    <w:next w:val="Bezzoznamu"/>
    <w:uiPriority w:val="99"/>
    <w:semiHidden/>
    <w:unhideWhenUsed/>
    <w:rsid w:val="007F6374"/>
  </w:style>
  <w:style w:type="paragraph" w:customStyle="1" w:styleId="msonormal0">
    <w:name w:val="msonormal"/>
    <w:basedOn w:val="Normlny"/>
    <w:rsid w:val="007F637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06">
    <w:name w:val="xl106"/>
    <w:basedOn w:val="Normlny"/>
    <w:rsid w:val="007F6374"/>
    <w:pPr>
      <w:spacing w:before="100" w:beforeAutospacing="1" w:after="100" w:afterAutospacing="1" w:line="240" w:lineRule="auto"/>
      <w:ind w:firstLineChars="100" w:firstLine="100"/>
      <w:textAlignment w:val="center"/>
    </w:pPr>
    <w:rPr>
      <w:rFonts w:ascii="Arial Narrow" w:eastAsia="Times New Roman" w:hAnsi="Arial Narrow" w:cs="Times New Roman"/>
      <w:color w:val="000000"/>
      <w:sz w:val="18"/>
      <w:szCs w:val="18"/>
      <w:lang w:eastAsia="sk-SK"/>
    </w:rPr>
  </w:style>
  <w:style w:type="paragraph" w:customStyle="1" w:styleId="xl107">
    <w:name w:val="xl107"/>
    <w:basedOn w:val="Normlny"/>
    <w:rsid w:val="007F6374"/>
    <w:pPr>
      <w:spacing w:before="100" w:beforeAutospacing="1" w:after="100" w:afterAutospacing="1" w:line="240" w:lineRule="auto"/>
    </w:pPr>
    <w:rPr>
      <w:rFonts w:ascii="Arial" w:eastAsia="Times New Roman" w:hAnsi="Arial" w:cs="Arial"/>
      <w:sz w:val="16"/>
      <w:szCs w:val="16"/>
      <w:lang w:eastAsia="sk-SK"/>
    </w:rPr>
  </w:style>
  <w:style w:type="paragraph" w:customStyle="1" w:styleId="xl108">
    <w:name w:val="xl108"/>
    <w:basedOn w:val="Normlny"/>
    <w:rsid w:val="007F6374"/>
    <w:pPr>
      <w:spacing w:before="100" w:beforeAutospacing="1" w:after="100" w:afterAutospacing="1" w:line="240" w:lineRule="auto"/>
      <w:jc w:val="center"/>
      <w:textAlignment w:val="center"/>
    </w:pPr>
    <w:rPr>
      <w:rFonts w:ascii="Arial Narrow" w:eastAsia="Times New Roman" w:hAnsi="Arial Narrow" w:cs="Times New Roman"/>
      <w:sz w:val="16"/>
      <w:szCs w:val="16"/>
      <w:lang w:eastAsia="sk-SK"/>
    </w:rPr>
  </w:style>
  <w:style w:type="paragraph" w:customStyle="1" w:styleId="xl109">
    <w:name w:val="xl109"/>
    <w:basedOn w:val="Normlny"/>
    <w:rsid w:val="007F6374"/>
    <w:pPr>
      <w:spacing w:before="100" w:beforeAutospacing="1" w:after="100" w:afterAutospacing="1" w:line="240" w:lineRule="auto"/>
      <w:jc w:val="center"/>
      <w:textAlignment w:val="center"/>
    </w:pPr>
    <w:rPr>
      <w:rFonts w:ascii="Arial Narrow" w:eastAsia="Times New Roman" w:hAnsi="Arial Narrow" w:cs="Times New Roman"/>
      <w:b/>
      <w:bCs/>
      <w:color w:val="000000"/>
      <w:sz w:val="16"/>
      <w:szCs w:val="16"/>
      <w:lang w:eastAsia="sk-SK"/>
    </w:rPr>
  </w:style>
  <w:style w:type="paragraph" w:customStyle="1" w:styleId="xl110">
    <w:name w:val="xl110"/>
    <w:basedOn w:val="Normlny"/>
    <w:rsid w:val="007F6374"/>
    <w:pPr>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sk-SK"/>
    </w:rPr>
  </w:style>
  <w:style w:type="paragraph" w:customStyle="1" w:styleId="xl111">
    <w:name w:val="xl111"/>
    <w:basedOn w:val="Normlny"/>
    <w:rsid w:val="007F6374"/>
    <w:pPr>
      <w:spacing w:before="100" w:beforeAutospacing="1" w:after="100" w:afterAutospacing="1" w:line="240" w:lineRule="auto"/>
      <w:ind w:firstLineChars="100" w:firstLine="100"/>
      <w:textAlignment w:val="center"/>
    </w:pPr>
    <w:rPr>
      <w:rFonts w:ascii="Arial Narrow" w:eastAsia="Times New Roman" w:hAnsi="Arial Narrow" w:cs="Times New Roman"/>
      <w:sz w:val="16"/>
      <w:szCs w:val="16"/>
      <w:lang w:eastAsia="sk-SK"/>
    </w:rPr>
  </w:style>
  <w:style w:type="paragraph" w:customStyle="1" w:styleId="xl112">
    <w:name w:val="xl112"/>
    <w:basedOn w:val="Normlny"/>
    <w:rsid w:val="007F6374"/>
    <w:pPr>
      <w:spacing w:before="100" w:beforeAutospacing="1" w:after="100" w:afterAutospacing="1" w:line="240" w:lineRule="auto"/>
      <w:textAlignment w:val="center"/>
    </w:pPr>
    <w:rPr>
      <w:rFonts w:ascii="Arial Narrow" w:eastAsia="Times New Roman" w:hAnsi="Arial Narrow" w:cs="Times New Roman"/>
      <w:b/>
      <w:bCs/>
      <w:color w:val="000000"/>
      <w:sz w:val="16"/>
      <w:szCs w:val="16"/>
      <w:lang w:eastAsia="sk-SK"/>
    </w:rPr>
  </w:style>
  <w:style w:type="paragraph" w:customStyle="1" w:styleId="xl113">
    <w:name w:val="xl113"/>
    <w:basedOn w:val="Normlny"/>
    <w:rsid w:val="007F6374"/>
    <w:pPr>
      <w:spacing w:before="100" w:beforeAutospacing="1" w:after="100" w:afterAutospacing="1" w:line="240" w:lineRule="auto"/>
      <w:ind w:firstLineChars="100" w:firstLine="100"/>
      <w:textAlignment w:val="center"/>
    </w:pPr>
    <w:rPr>
      <w:rFonts w:ascii="Arial Narrow" w:eastAsia="Times New Roman" w:hAnsi="Arial Narrow" w:cs="Times New Roman"/>
      <w:color w:val="000000"/>
      <w:sz w:val="16"/>
      <w:szCs w:val="16"/>
      <w:lang w:eastAsia="sk-SK"/>
    </w:rPr>
  </w:style>
  <w:style w:type="paragraph" w:customStyle="1" w:styleId="xl114">
    <w:name w:val="xl114"/>
    <w:basedOn w:val="Normlny"/>
    <w:rsid w:val="007F6374"/>
    <w:pP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sk-SK"/>
    </w:rPr>
  </w:style>
  <w:style w:type="paragraph" w:customStyle="1" w:styleId="xl115">
    <w:name w:val="xl115"/>
    <w:basedOn w:val="Normlny"/>
    <w:rsid w:val="007F6374"/>
    <w:pPr>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sk-SK"/>
    </w:rPr>
  </w:style>
  <w:style w:type="paragraph" w:customStyle="1" w:styleId="xl116">
    <w:name w:val="xl116"/>
    <w:basedOn w:val="Normlny"/>
    <w:rsid w:val="007F6374"/>
    <w:pPr>
      <w:spacing w:before="100" w:beforeAutospacing="1" w:after="100" w:afterAutospacing="1" w:line="240" w:lineRule="auto"/>
      <w:textAlignment w:val="center"/>
    </w:pPr>
    <w:rPr>
      <w:rFonts w:ascii="Arial Narrow" w:eastAsia="Times New Roman" w:hAnsi="Arial Narrow" w:cs="Times New Roman"/>
      <w:b/>
      <w:bCs/>
      <w:sz w:val="16"/>
      <w:szCs w:val="16"/>
      <w:lang w:eastAsia="sk-SK"/>
    </w:rPr>
  </w:style>
  <w:style w:type="paragraph" w:customStyle="1" w:styleId="xl117">
    <w:name w:val="xl117"/>
    <w:basedOn w:val="Normlny"/>
    <w:rsid w:val="007F6374"/>
    <w:pPr>
      <w:spacing w:before="100" w:beforeAutospacing="1" w:after="100" w:afterAutospacing="1" w:line="240" w:lineRule="auto"/>
      <w:ind w:firstLineChars="100" w:firstLine="100"/>
      <w:textAlignment w:val="center"/>
    </w:pPr>
    <w:rPr>
      <w:rFonts w:ascii="Arial Narrow" w:eastAsia="Times New Roman" w:hAnsi="Arial Narrow" w:cs="Times New Roman"/>
      <w:sz w:val="16"/>
      <w:szCs w:val="16"/>
      <w:lang w:eastAsia="sk-SK"/>
    </w:rPr>
  </w:style>
  <w:style w:type="paragraph" w:customStyle="1" w:styleId="xl118">
    <w:name w:val="xl118"/>
    <w:basedOn w:val="Normlny"/>
    <w:rsid w:val="007F6374"/>
    <w:pPr>
      <w:spacing w:before="100" w:beforeAutospacing="1" w:after="100" w:afterAutospacing="1" w:line="240" w:lineRule="auto"/>
      <w:ind w:firstLineChars="100" w:firstLine="100"/>
      <w:textAlignment w:val="center"/>
    </w:pPr>
    <w:rPr>
      <w:rFonts w:ascii="Arial Narrow" w:eastAsia="Times New Roman" w:hAnsi="Arial Narrow" w:cs="Times New Roman"/>
      <w:sz w:val="16"/>
      <w:szCs w:val="16"/>
      <w:lang w:eastAsia="sk-SK"/>
    </w:rPr>
  </w:style>
  <w:style w:type="paragraph" w:customStyle="1" w:styleId="xl119">
    <w:name w:val="xl119"/>
    <w:basedOn w:val="Normlny"/>
    <w:rsid w:val="007F6374"/>
    <w:pP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color w:val="000000"/>
      <w:sz w:val="16"/>
      <w:szCs w:val="16"/>
      <w:lang w:eastAsia="sk-SK"/>
    </w:rPr>
  </w:style>
  <w:style w:type="paragraph" w:customStyle="1" w:styleId="xl120">
    <w:name w:val="xl120"/>
    <w:basedOn w:val="Normlny"/>
    <w:rsid w:val="007F6374"/>
    <w:pPr>
      <w:pBdr>
        <w:bottom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color w:val="000000"/>
      <w:sz w:val="16"/>
      <w:szCs w:val="16"/>
      <w:lang w:eastAsia="sk-SK"/>
    </w:rPr>
  </w:style>
  <w:style w:type="paragraph" w:customStyle="1" w:styleId="xl121">
    <w:name w:val="xl121"/>
    <w:basedOn w:val="Normlny"/>
    <w:rsid w:val="007F6374"/>
    <w:pPr>
      <w:shd w:val="clear" w:color="000000" w:fill="BFBFBF"/>
      <w:spacing w:before="100" w:beforeAutospacing="1" w:after="100" w:afterAutospacing="1" w:line="240" w:lineRule="auto"/>
      <w:textAlignment w:val="center"/>
    </w:pPr>
    <w:rPr>
      <w:rFonts w:ascii="Arial Narrow" w:eastAsia="Times New Roman" w:hAnsi="Arial Narrow" w:cs="Times New Roman"/>
      <w:b/>
      <w:bCs/>
      <w:sz w:val="16"/>
      <w:szCs w:val="16"/>
      <w:lang w:eastAsia="sk-SK"/>
    </w:rPr>
  </w:style>
  <w:style w:type="paragraph" w:customStyle="1" w:styleId="xl122">
    <w:name w:val="xl122"/>
    <w:basedOn w:val="Normlny"/>
    <w:rsid w:val="007F6374"/>
    <w:pPr>
      <w:pBdr>
        <w:bottom w:val="single" w:sz="4" w:space="0" w:color="auto"/>
      </w:pBdr>
      <w:shd w:val="clear" w:color="000000" w:fill="BFBFBF"/>
      <w:spacing w:before="100" w:beforeAutospacing="1" w:after="100" w:afterAutospacing="1" w:line="240" w:lineRule="auto"/>
      <w:textAlignment w:val="center"/>
    </w:pPr>
    <w:rPr>
      <w:rFonts w:ascii="Arial Narrow" w:eastAsia="Times New Roman" w:hAnsi="Arial Narrow" w:cs="Times New Roman"/>
      <w:b/>
      <w:bCs/>
      <w:sz w:val="16"/>
      <w:szCs w:val="16"/>
      <w:lang w:eastAsia="sk-SK"/>
    </w:rPr>
  </w:style>
  <w:style w:type="numbering" w:customStyle="1" w:styleId="List711">
    <w:name w:val="List 711"/>
    <w:basedOn w:val="Bezzoznamu"/>
    <w:rsid w:val="00B45F0E"/>
    <w:pPr>
      <w:numPr>
        <w:numId w:val="7"/>
      </w:numPr>
    </w:pPr>
  </w:style>
  <w:style w:type="numbering" w:customStyle="1" w:styleId="List1711">
    <w:name w:val="List 1711"/>
    <w:basedOn w:val="Bezzoznamu"/>
    <w:rsid w:val="00B45F0E"/>
    <w:pPr>
      <w:numPr>
        <w:numId w:val="8"/>
      </w:numPr>
    </w:pPr>
  </w:style>
  <w:style w:type="numbering" w:customStyle="1" w:styleId="List1811">
    <w:name w:val="List 1811"/>
    <w:basedOn w:val="Bezzoznamu"/>
    <w:rsid w:val="00B45F0E"/>
    <w:pPr>
      <w:numPr>
        <w:numId w:val="9"/>
      </w:numPr>
    </w:pPr>
  </w:style>
  <w:style w:type="numbering" w:customStyle="1" w:styleId="List7101">
    <w:name w:val="List 7101"/>
    <w:basedOn w:val="Bezzoznamu"/>
    <w:rsid w:val="00D94493"/>
  </w:style>
  <w:style w:type="numbering" w:customStyle="1" w:styleId="List7102">
    <w:name w:val="List 7102"/>
    <w:basedOn w:val="Bezzoznamu"/>
    <w:rsid w:val="00D94493"/>
  </w:style>
  <w:style w:type="numbering" w:customStyle="1" w:styleId="List17101">
    <w:name w:val="List 17101"/>
    <w:basedOn w:val="Bezzoznamu"/>
    <w:rsid w:val="00D94493"/>
  </w:style>
  <w:style w:type="numbering" w:customStyle="1" w:styleId="List18101">
    <w:name w:val="List 18101"/>
    <w:basedOn w:val="Bezzoznamu"/>
    <w:rsid w:val="00D94493"/>
  </w:style>
  <w:style w:type="paragraph" w:customStyle="1" w:styleId="poznmka">
    <w:name w:val="poznámka"/>
    <w:basedOn w:val="Normlny"/>
    <w:link w:val="poznmkaChar"/>
    <w:qFormat/>
    <w:rsid w:val="00D94493"/>
    <w:pPr>
      <w:spacing w:before="40" w:after="0" w:line="240" w:lineRule="auto"/>
      <w:jc w:val="right"/>
    </w:pPr>
    <w:rPr>
      <w:rFonts w:ascii="Arial Narrow" w:eastAsia="Times New Roman" w:hAnsi="Arial Narrow" w:cs="Arial Narrow"/>
      <w:i/>
      <w:iCs/>
      <w:sz w:val="16"/>
      <w:szCs w:val="16"/>
      <w:lang w:eastAsia="sk-SK"/>
    </w:rPr>
  </w:style>
  <w:style w:type="character" w:customStyle="1" w:styleId="poznmkaChar">
    <w:name w:val="poznámka Char"/>
    <w:basedOn w:val="Predvolenpsmoodseku"/>
    <w:link w:val="poznmka"/>
    <w:rsid w:val="00D94493"/>
    <w:rPr>
      <w:rFonts w:ascii="Arial Narrow" w:eastAsia="Times New Roman" w:hAnsi="Arial Narrow" w:cs="Arial Narrow"/>
      <w:i/>
      <w:iCs/>
      <w:sz w:val="16"/>
      <w:szCs w:val="16"/>
      <w:lang w:eastAsia="sk-SK"/>
    </w:rPr>
  </w:style>
  <w:style w:type="numbering" w:customStyle="1" w:styleId="Bezzoznamu28">
    <w:name w:val="Bez zoznamu28"/>
    <w:next w:val="Bezzoznamu"/>
    <w:uiPriority w:val="99"/>
    <w:semiHidden/>
    <w:unhideWhenUsed/>
    <w:rsid w:val="00BD3539"/>
  </w:style>
  <w:style w:type="table" w:customStyle="1" w:styleId="Mriekatabuky40">
    <w:name w:val="Mriežka tabuľky40"/>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0">
    <w:name w:val="Mriežka tabuľky120"/>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8">
    <w:name w:val="Mriežka tabuľky218"/>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8">
    <w:name w:val="Mriežka tabuľky1118"/>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0">
    <w:name w:val="Mriežka tabuľky310"/>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8">
    <w:name w:val="Mriežka tabuľky128"/>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9">
    <w:name w:val="Mriežka tabuľky219"/>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9">
    <w:name w:val="Mriežka tabuľky1119"/>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6">
    <w:name w:val="Mriežka tabuľky46"/>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6">
    <w:name w:val="Mriežka tabuľky136"/>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6">
    <w:name w:val="Mriežka tabuľky226"/>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6">
    <w:name w:val="Mriežka tabuľky1126"/>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7">
    <w:name w:val="Mriežka tabuľky317"/>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6">
    <w:name w:val="Mriežka tabuľky1216"/>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6">
    <w:name w:val="Mriežka tabuľky2116"/>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6">
    <w:name w:val="Mriežka tabuľky11116"/>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6">
    <w:name w:val="Kalendár 26"/>
    <w:basedOn w:val="Normlnatabuka"/>
    <w:uiPriority w:val="99"/>
    <w:qFormat/>
    <w:rsid w:val="00BD3539"/>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0">
    <w:name w:val="Bez zoznamu110"/>
    <w:next w:val="Bezzoznamu"/>
    <w:uiPriority w:val="99"/>
    <w:semiHidden/>
    <w:unhideWhenUsed/>
    <w:rsid w:val="00BD3539"/>
  </w:style>
  <w:style w:type="table" w:customStyle="1" w:styleId="Mriekatabuky56">
    <w:name w:val="Mriežka tabuľky56"/>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6">
    <w:name w:val="Mriežka tabuľky146"/>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6">
    <w:name w:val="Mriežka tabuľky236"/>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6">
    <w:name w:val="Mriežka tabuľky1136"/>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6">
    <w:name w:val="Mriežka tabuľky326"/>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6">
    <w:name w:val="Mriežka tabuľky1226"/>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6">
    <w:name w:val="Mriežka tabuľky2126"/>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6">
    <w:name w:val="Mriežka tabuľky11126"/>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9">
    <w:name w:val="Bez zoznamu29"/>
    <w:next w:val="Bezzoznamu"/>
    <w:uiPriority w:val="99"/>
    <w:semiHidden/>
    <w:unhideWhenUsed/>
    <w:rsid w:val="00BD3539"/>
  </w:style>
  <w:style w:type="table" w:customStyle="1" w:styleId="Mriekatabuky67">
    <w:name w:val="Mriežka tabuľky67"/>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7">
    <w:name w:val="Bez zoznamu37"/>
    <w:next w:val="Bezzoznamu"/>
    <w:uiPriority w:val="99"/>
    <w:semiHidden/>
    <w:unhideWhenUsed/>
    <w:rsid w:val="00BD3539"/>
  </w:style>
  <w:style w:type="table" w:customStyle="1" w:styleId="Mriekatabuky76">
    <w:name w:val="Mriežka tabuľky76"/>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8">
    <w:name w:val="Bez zoznamu118"/>
    <w:next w:val="Bezzoznamu"/>
    <w:uiPriority w:val="99"/>
    <w:semiHidden/>
    <w:unhideWhenUsed/>
    <w:rsid w:val="00BD3539"/>
  </w:style>
  <w:style w:type="table" w:customStyle="1" w:styleId="Mriekatabukysvetl16">
    <w:name w:val="Mriežka tabuľky – svetlá16"/>
    <w:basedOn w:val="Normlnatabuka"/>
    <w:uiPriority w:val="40"/>
    <w:rsid w:val="00BD353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46">
    <w:name w:val="Bez zoznamu46"/>
    <w:next w:val="Bezzoznamu"/>
    <w:uiPriority w:val="99"/>
    <w:semiHidden/>
    <w:unhideWhenUsed/>
    <w:rsid w:val="00BD3539"/>
  </w:style>
  <w:style w:type="numbering" w:customStyle="1" w:styleId="Bezzoznamu1117">
    <w:name w:val="Bez zoznamu1117"/>
    <w:next w:val="Bezzoznamu"/>
    <w:uiPriority w:val="99"/>
    <w:semiHidden/>
    <w:unhideWhenUsed/>
    <w:rsid w:val="00BD3539"/>
  </w:style>
  <w:style w:type="table" w:customStyle="1" w:styleId="Mriekatabuky85">
    <w:name w:val="Mriežka tabuľky85"/>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6">
    <w:name w:val="Bez zoznamu56"/>
    <w:next w:val="Bezzoznamu"/>
    <w:uiPriority w:val="99"/>
    <w:semiHidden/>
    <w:unhideWhenUsed/>
    <w:rsid w:val="00BD3539"/>
  </w:style>
  <w:style w:type="numbering" w:customStyle="1" w:styleId="Bezzoznamu126">
    <w:name w:val="Bez zoznamu126"/>
    <w:next w:val="Bezzoznamu"/>
    <w:uiPriority w:val="99"/>
    <w:semiHidden/>
    <w:unhideWhenUsed/>
    <w:rsid w:val="00BD3539"/>
  </w:style>
  <w:style w:type="table" w:customStyle="1" w:styleId="Mriekatabuky95">
    <w:name w:val="Mriežka tabuľky95"/>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5">
    <w:name w:val="Mriežka tabuľky155"/>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5">
    <w:name w:val="Mriežka tabuľky245"/>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5">
    <w:name w:val="Mriežka tabuľky1145"/>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5">
    <w:name w:val="Mriežka tabuľky335"/>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5">
    <w:name w:val="Mriežka tabuľky1235"/>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5">
    <w:name w:val="Mriežka tabuľky2135"/>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5">
    <w:name w:val="Mriežka tabuľky11135"/>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5">
    <w:name w:val="Mriežka tabuľky415"/>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5">
    <w:name w:val="Mriežka tabuľky1315"/>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5">
    <w:name w:val="Mriežka tabuľky2215"/>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5">
    <w:name w:val="Mriežka tabuľky11215"/>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5">
    <w:name w:val="Mriežka tabuľky3115"/>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5">
    <w:name w:val="Mriežka tabuľky12115"/>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5">
    <w:name w:val="Mriežka tabuľky21115"/>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5">
    <w:name w:val="Mriežka tabuľky111115"/>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5">
    <w:name w:val="Kalendár 215"/>
    <w:basedOn w:val="Normlnatabuka"/>
    <w:uiPriority w:val="99"/>
    <w:qFormat/>
    <w:rsid w:val="00BD3539"/>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6">
    <w:name w:val="Bez zoznamu1126"/>
    <w:next w:val="Bezzoznamu"/>
    <w:uiPriority w:val="99"/>
    <w:semiHidden/>
    <w:unhideWhenUsed/>
    <w:rsid w:val="00BD3539"/>
  </w:style>
  <w:style w:type="table" w:customStyle="1" w:styleId="Mriekatabuky515">
    <w:name w:val="Mriežka tabuľky515"/>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5">
    <w:name w:val="Mriežka tabuľky1415"/>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5">
    <w:name w:val="Mriežka tabuľky2315"/>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5">
    <w:name w:val="Mriežka tabuľky11315"/>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5">
    <w:name w:val="Mriežka tabuľky3215"/>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5">
    <w:name w:val="Mriežka tabuľky12215"/>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5">
    <w:name w:val="Mriežka tabuľky21215"/>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5">
    <w:name w:val="Mriežka tabuľky111215"/>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6">
    <w:name w:val="Bez zoznamu216"/>
    <w:next w:val="Bezzoznamu"/>
    <w:uiPriority w:val="99"/>
    <w:semiHidden/>
    <w:unhideWhenUsed/>
    <w:rsid w:val="00BD3539"/>
  </w:style>
  <w:style w:type="table" w:customStyle="1" w:styleId="Mriekatabuky615">
    <w:name w:val="Mriežka tabuľky615"/>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6">
    <w:name w:val="Bez zoznamu316"/>
    <w:next w:val="Bezzoznamu"/>
    <w:uiPriority w:val="99"/>
    <w:semiHidden/>
    <w:unhideWhenUsed/>
    <w:rsid w:val="00BD3539"/>
  </w:style>
  <w:style w:type="table" w:customStyle="1" w:styleId="Mriekatabuky715">
    <w:name w:val="Mriežka tabuľky715"/>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7">
    <w:name w:val="Bez zoznamu11117"/>
    <w:next w:val="Bezzoznamu"/>
    <w:uiPriority w:val="99"/>
    <w:semiHidden/>
    <w:unhideWhenUsed/>
    <w:rsid w:val="00BD3539"/>
  </w:style>
  <w:style w:type="table" w:customStyle="1" w:styleId="Mriekatabukysvetl115">
    <w:name w:val="Mriežka tabuľky – svetlá115"/>
    <w:basedOn w:val="Normlnatabuka"/>
    <w:uiPriority w:val="40"/>
    <w:rsid w:val="00BD3539"/>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66">
    <w:name w:val="Bez zoznamu66"/>
    <w:next w:val="Bezzoznamu"/>
    <w:uiPriority w:val="99"/>
    <w:semiHidden/>
    <w:unhideWhenUsed/>
    <w:rsid w:val="00BD3539"/>
  </w:style>
  <w:style w:type="table" w:customStyle="1" w:styleId="UHPGRAF117">
    <w:name w:val="UHP_GRAF117"/>
    <w:basedOn w:val="Normlnatabuka"/>
    <w:uiPriority w:val="99"/>
    <w:rsid w:val="00BD3539"/>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7">
    <w:name w:val="UHP_GRAF127"/>
    <w:basedOn w:val="Normlnatabuka"/>
    <w:uiPriority w:val="99"/>
    <w:rsid w:val="00BD3539"/>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riekatabuky105">
    <w:name w:val="Mriežka tabuľky105"/>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7">
    <w:name w:val="Bez zoznamu111117"/>
    <w:next w:val="Bezzoznamu"/>
    <w:uiPriority w:val="99"/>
    <w:semiHidden/>
    <w:unhideWhenUsed/>
    <w:rsid w:val="00BD3539"/>
  </w:style>
  <w:style w:type="table" w:customStyle="1" w:styleId="Mriekatabuky802">
    <w:name w:val="Mriežka tabuľky802"/>
    <w:basedOn w:val="Normlnatabuka"/>
    <w:next w:val="Mriekatabuky"/>
    <w:uiPriority w:val="39"/>
    <w:rsid w:val="00BD3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HPGRAF17">
    <w:name w:val="UHP_GRAF17"/>
    <w:basedOn w:val="Normlnatabuka"/>
    <w:uiPriority w:val="99"/>
    <w:rsid w:val="00BD3539"/>
    <w:pPr>
      <w:spacing w:before="160" w:after="0" w:line="240" w:lineRule="auto"/>
      <w:contextualSpacing/>
      <w:jc w:val="both"/>
    </w:pPr>
    <w:rPr>
      <w:rFonts w:ascii="Arial Narrow" w:hAnsi="Arial Narrow"/>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riekatabuky166">
    <w:name w:val="Mriežka tabuľky166"/>
    <w:basedOn w:val="Normlnatabuka"/>
    <w:next w:val="Mriekatabuky"/>
    <w:uiPriority w:val="59"/>
    <w:rsid w:val="00BD3539"/>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75">
    <w:name w:val="Mriežka tabuľky175"/>
    <w:basedOn w:val="Normlnatabuka"/>
    <w:next w:val="Mriekatabuky"/>
    <w:uiPriority w:val="39"/>
    <w:rsid w:val="00BD3539"/>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5">
    <w:name w:val="Mriežka tabuľky255"/>
    <w:basedOn w:val="Normlnatabuka"/>
    <w:next w:val="Mriekatabuky"/>
    <w:uiPriority w:val="59"/>
    <w:rsid w:val="00BD3539"/>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BD353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Ind w:w="0" w:type="dxa"/>
      <w:tblCellMar>
        <w:top w:w="0" w:type="dxa"/>
        <w:left w:w="0" w:type="dxa"/>
        <w:bottom w:w="0" w:type="dxa"/>
        <w:right w:w="0" w:type="dxa"/>
      </w:tblCellMar>
    </w:tblPr>
  </w:style>
  <w:style w:type="numbering" w:customStyle="1" w:styleId="List712">
    <w:name w:val="List 712"/>
    <w:basedOn w:val="Bezzoznamu"/>
    <w:rsid w:val="00BD3539"/>
  </w:style>
  <w:style w:type="numbering" w:customStyle="1" w:styleId="List1712">
    <w:name w:val="List 1712"/>
    <w:basedOn w:val="Bezzoznamu"/>
    <w:rsid w:val="00BD3539"/>
  </w:style>
  <w:style w:type="numbering" w:customStyle="1" w:styleId="List1812">
    <w:name w:val="List 1812"/>
    <w:basedOn w:val="Bezzoznamu"/>
    <w:rsid w:val="00BD3539"/>
  </w:style>
  <w:style w:type="table" w:customStyle="1" w:styleId="TableNormal22">
    <w:name w:val="Table Normal22"/>
    <w:rsid w:val="00BD3539"/>
    <w:pPr>
      <w:spacing w:after="200" w:line="276" w:lineRule="auto"/>
    </w:pPr>
    <w:rPr>
      <w:rFonts w:ascii="Arial Narrow" w:eastAsia="Arial Narrow" w:hAnsi="Arial Narrow" w:cs="Arial Narrow"/>
      <w:color w:val="000000"/>
      <w:lang w:val="en-US"/>
    </w:rPr>
    <w:tblPr>
      <w:tblCellMar>
        <w:top w:w="0" w:type="dxa"/>
        <w:left w:w="0" w:type="dxa"/>
        <w:bottom w:w="0" w:type="dxa"/>
        <w:right w:w="0" w:type="dxa"/>
      </w:tblCellMar>
    </w:tblPr>
  </w:style>
  <w:style w:type="table" w:customStyle="1" w:styleId="TableNormal4">
    <w:name w:val="Table Normal4"/>
    <w:rsid w:val="00BD3539"/>
    <w:pPr>
      <w:spacing w:after="200" w:line="276" w:lineRule="auto"/>
    </w:pPr>
    <w:rPr>
      <w:rFonts w:ascii="Arial Narrow" w:eastAsia="Arial Narrow" w:hAnsi="Arial Narrow" w:cs="Arial Narrow"/>
      <w:color w:val="000000"/>
      <w:lang w:val="en-US"/>
    </w:rPr>
    <w:tblPr>
      <w:tblCellMar>
        <w:top w:w="0" w:type="dxa"/>
        <w:left w:w="0" w:type="dxa"/>
        <w:bottom w:w="0" w:type="dxa"/>
        <w:right w:w="0" w:type="dxa"/>
      </w:tblCellMar>
    </w:tblPr>
  </w:style>
  <w:style w:type="table" w:customStyle="1" w:styleId="Tabukasmriekou1svetlzvraznenie112">
    <w:name w:val="Tabuľka s mriežkou 1 – svetlá – zvýraznenie 112"/>
    <w:basedOn w:val="Normlnatabuka"/>
    <w:next w:val="Tabukasmriekou1svetlzvraznenie1"/>
    <w:uiPriority w:val="46"/>
    <w:rsid w:val="00BD3539"/>
    <w:pPr>
      <w:spacing w:after="0" w:line="240" w:lineRule="auto"/>
    </w:pPr>
    <w:tblPr>
      <w:tblStyleRowBandSize w:val="1"/>
      <w:tblStyleColBandSize w:val="1"/>
      <w:tblBorders>
        <w:top w:val="single" w:sz="4" w:space="0" w:color="AAD6F1"/>
        <w:left w:val="single" w:sz="4" w:space="0" w:color="AAD6F1"/>
        <w:bottom w:val="single" w:sz="4" w:space="0" w:color="AAD6F1"/>
        <w:right w:val="single" w:sz="4" w:space="0" w:color="AAD6F1"/>
        <w:insideH w:val="single" w:sz="4" w:space="0" w:color="AAD6F1"/>
        <w:insideV w:val="single" w:sz="4" w:space="0" w:color="AAD6F1"/>
      </w:tblBorders>
    </w:tblPr>
    <w:tblStylePr w:type="firstRow">
      <w:rPr>
        <w:b/>
        <w:bCs/>
      </w:rPr>
      <w:tblPr/>
      <w:tcPr>
        <w:tcBorders>
          <w:bottom w:val="single" w:sz="12" w:space="0" w:color="80C2EA"/>
        </w:tcBorders>
      </w:tcPr>
    </w:tblStylePr>
    <w:tblStylePr w:type="lastRow">
      <w:rPr>
        <w:b/>
        <w:bCs/>
      </w:rPr>
      <w:tblPr/>
      <w:tcPr>
        <w:tcBorders>
          <w:top w:val="double" w:sz="2" w:space="0" w:color="80C2EA"/>
        </w:tcBorders>
      </w:tcPr>
    </w:tblStylePr>
    <w:tblStylePr w:type="firstCol">
      <w:rPr>
        <w:b/>
        <w:bCs/>
      </w:rPr>
    </w:tblStylePr>
    <w:tblStylePr w:type="lastCol">
      <w:rPr>
        <w:b/>
        <w:bCs/>
      </w:rPr>
    </w:tblStylePr>
  </w:style>
  <w:style w:type="table" w:customStyle="1" w:styleId="Tabukasmriekou1svetlzvraznenie13">
    <w:name w:val="Tabuľka s mriežkou 1 – svetlá – zvýraznenie 13"/>
    <w:basedOn w:val="Normlnatabuka"/>
    <w:next w:val="Tabukasmriekou1svetlzvraznenie1"/>
    <w:uiPriority w:val="46"/>
    <w:rsid w:val="00BD3539"/>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eGrid23">
    <w:name w:val="Table Grid23"/>
    <w:basedOn w:val="Normlnatabuka"/>
    <w:uiPriority w:val="39"/>
    <w:rsid w:val="00BD353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Normlnatabuka"/>
    <w:uiPriority w:val="39"/>
    <w:rsid w:val="00BD353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byajntabuka46">
    <w:name w:val="Obyčajná tabuľka 46"/>
    <w:basedOn w:val="Normlnatabuka"/>
    <w:next w:val="Obyajntabuka4"/>
    <w:uiPriority w:val="44"/>
    <w:rsid w:val="00BD353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Bezzoznamu1111115">
    <w:name w:val="Bez zoznamu1111115"/>
    <w:next w:val="Bezzoznamu"/>
    <w:uiPriority w:val="99"/>
    <w:semiHidden/>
    <w:unhideWhenUsed/>
    <w:rsid w:val="00BD3539"/>
  </w:style>
  <w:style w:type="numbering" w:customStyle="1" w:styleId="Bezzoznamu11111112">
    <w:name w:val="Bez zoznamu11111112"/>
    <w:next w:val="Bezzoznamu"/>
    <w:uiPriority w:val="99"/>
    <w:semiHidden/>
    <w:unhideWhenUsed/>
    <w:rsid w:val="00BD3539"/>
  </w:style>
  <w:style w:type="table" w:customStyle="1" w:styleId="Obyajntabuka414">
    <w:name w:val="Obyčajná tabuľka 414"/>
    <w:basedOn w:val="Normlnatabuka"/>
    <w:next w:val="Obyajntabuka4"/>
    <w:uiPriority w:val="44"/>
    <w:rsid w:val="00BD353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Bezzoznamu74">
    <w:name w:val="Bez zoznamu74"/>
    <w:next w:val="Bezzoznamu"/>
    <w:uiPriority w:val="99"/>
    <w:semiHidden/>
    <w:unhideWhenUsed/>
    <w:rsid w:val="00BD3539"/>
  </w:style>
  <w:style w:type="table" w:customStyle="1" w:styleId="Mriekatabuky184">
    <w:name w:val="Mriežka tabuľky184"/>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4">
    <w:name w:val="Mriežka tabuľky115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4">
    <w:name w:val="Mriežka tabuľky34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4">
    <w:name w:val="Mriežka tabuľky124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4">
    <w:name w:val="Mriežka tabuľky214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4">
    <w:name w:val="Mriežka tabuľky1114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4">
    <w:name w:val="Mriežka tabuľky424"/>
    <w:basedOn w:val="Normlnatabuka"/>
    <w:next w:val="Mriekatabuky"/>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24">
    <w:name w:val="Mriežka tabuľky1324"/>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24">
    <w:name w:val="Mriežka tabuľky2224"/>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24">
    <w:name w:val="Mriežka tabuľky11224"/>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4">
    <w:name w:val="Mriežka tabuľky3124"/>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24">
    <w:name w:val="Mriežka tabuľky12124"/>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24">
    <w:name w:val="Mriežka tabuľky21124"/>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24">
    <w:name w:val="Mriežka tabuľky111124"/>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24">
    <w:name w:val="Kalendár 224"/>
    <w:basedOn w:val="Normlnatabuka"/>
    <w:uiPriority w:val="99"/>
    <w:qFormat/>
    <w:rsid w:val="00BD3539"/>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34">
    <w:name w:val="Bez zoznamu134"/>
    <w:next w:val="Bezzoznamu"/>
    <w:uiPriority w:val="99"/>
    <w:semiHidden/>
    <w:unhideWhenUsed/>
    <w:rsid w:val="00BD3539"/>
  </w:style>
  <w:style w:type="table" w:customStyle="1" w:styleId="Mriekatabuky524">
    <w:name w:val="Mriežka tabuľky52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24">
    <w:name w:val="Mriežka tabuľky142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24">
    <w:name w:val="Mriežka tabuľky232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24">
    <w:name w:val="Mriežka tabuľky1132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24">
    <w:name w:val="Mriežka tabuľky322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24">
    <w:name w:val="Mriežka tabuľky1222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24">
    <w:name w:val="Mriežka tabuľky2122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24">
    <w:name w:val="Mriežka tabuľky11122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4">
    <w:name w:val="Bez zoznamu224"/>
    <w:next w:val="Bezzoznamu"/>
    <w:uiPriority w:val="99"/>
    <w:semiHidden/>
    <w:unhideWhenUsed/>
    <w:rsid w:val="00BD3539"/>
  </w:style>
  <w:style w:type="table" w:customStyle="1" w:styleId="Mriekatabuky624">
    <w:name w:val="Mriežka tabuľky624"/>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24">
    <w:name w:val="Bez zoznamu324"/>
    <w:next w:val="Bezzoznamu"/>
    <w:uiPriority w:val="99"/>
    <w:semiHidden/>
    <w:unhideWhenUsed/>
    <w:rsid w:val="00BD3539"/>
  </w:style>
  <w:style w:type="table" w:customStyle="1" w:styleId="Mriekatabuky724">
    <w:name w:val="Mriežka tabuľky724"/>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34">
    <w:name w:val="Bez zoznamu1134"/>
    <w:next w:val="Bezzoznamu"/>
    <w:uiPriority w:val="99"/>
    <w:semiHidden/>
    <w:unhideWhenUsed/>
    <w:rsid w:val="00BD3539"/>
  </w:style>
  <w:style w:type="table" w:customStyle="1" w:styleId="Mriekatabukysvetl124">
    <w:name w:val="Mriežka tabuľky – svetlá124"/>
    <w:basedOn w:val="Normlnatabuka"/>
    <w:uiPriority w:val="40"/>
    <w:rsid w:val="00BD353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414">
    <w:name w:val="Bez zoznamu414"/>
    <w:next w:val="Bezzoznamu"/>
    <w:uiPriority w:val="99"/>
    <w:semiHidden/>
    <w:unhideWhenUsed/>
    <w:rsid w:val="00BD3539"/>
  </w:style>
  <w:style w:type="numbering" w:customStyle="1" w:styleId="Bezzoznamu11124">
    <w:name w:val="Bez zoznamu11124"/>
    <w:next w:val="Bezzoznamu"/>
    <w:uiPriority w:val="99"/>
    <w:semiHidden/>
    <w:unhideWhenUsed/>
    <w:rsid w:val="00BD3539"/>
  </w:style>
  <w:style w:type="table" w:customStyle="1" w:styleId="Mriekatabuky814">
    <w:name w:val="Mriežka tabuľky814"/>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14">
    <w:name w:val="Bez zoznamu514"/>
    <w:next w:val="Bezzoznamu"/>
    <w:uiPriority w:val="99"/>
    <w:semiHidden/>
    <w:unhideWhenUsed/>
    <w:rsid w:val="00BD3539"/>
  </w:style>
  <w:style w:type="numbering" w:customStyle="1" w:styleId="Bezzoznamu1214">
    <w:name w:val="Bez zoznamu1214"/>
    <w:next w:val="Bezzoznamu"/>
    <w:uiPriority w:val="99"/>
    <w:semiHidden/>
    <w:unhideWhenUsed/>
    <w:rsid w:val="00BD3539"/>
  </w:style>
  <w:style w:type="table" w:customStyle="1" w:styleId="Mriekatabuky914">
    <w:name w:val="Mriežka tabuľky914"/>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14">
    <w:name w:val="Mriežka tabuľky1514"/>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14">
    <w:name w:val="Mriežka tabuľky2414"/>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14">
    <w:name w:val="Mriežka tabuľky1141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14">
    <w:name w:val="Mriežka tabuľky331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14">
    <w:name w:val="Mriežka tabuľky1231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14">
    <w:name w:val="Mriežka tabuľky2131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14">
    <w:name w:val="Mriežka tabuľky11131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4">
    <w:name w:val="Mriežka tabuľky4114"/>
    <w:basedOn w:val="Normlnatabuka"/>
    <w:next w:val="Mriekatabuky"/>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14">
    <w:name w:val="Mriežka tabuľky13114"/>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14">
    <w:name w:val="Mriežka tabuľky22114"/>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14">
    <w:name w:val="Mriežka tabuľky112114"/>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14">
    <w:name w:val="Mriežka tabuľky31114"/>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14">
    <w:name w:val="Mriežka tabuľky121114"/>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14">
    <w:name w:val="Mriežka tabuľky211114"/>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14">
    <w:name w:val="Mriežka tabuľky1111114"/>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14">
    <w:name w:val="Kalendár 2114"/>
    <w:basedOn w:val="Normlnatabuka"/>
    <w:uiPriority w:val="99"/>
    <w:qFormat/>
    <w:rsid w:val="00BD3539"/>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14">
    <w:name w:val="Bez zoznamu11214"/>
    <w:next w:val="Bezzoznamu"/>
    <w:uiPriority w:val="99"/>
    <w:semiHidden/>
    <w:unhideWhenUsed/>
    <w:rsid w:val="00BD3539"/>
  </w:style>
  <w:style w:type="table" w:customStyle="1" w:styleId="Mriekatabuky5114">
    <w:name w:val="Mriežka tabuľky511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14">
    <w:name w:val="Mriežka tabuľky1411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14">
    <w:name w:val="Mriežka tabuľky2311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14">
    <w:name w:val="Mriežka tabuľky11311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14">
    <w:name w:val="Mriežka tabuľky3211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14">
    <w:name w:val="Mriežka tabuľky12211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14">
    <w:name w:val="Mriežka tabuľky21211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14">
    <w:name w:val="Mriežka tabuľky1112114"/>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4">
    <w:name w:val="Bez zoznamu2114"/>
    <w:next w:val="Bezzoznamu"/>
    <w:uiPriority w:val="99"/>
    <w:semiHidden/>
    <w:unhideWhenUsed/>
    <w:rsid w:val="00BD3539"/>
  </w:style>
  <w:style w:type="table" w:customStyle="1" w:styleId="Mriekatabuky6114">
    <w:name w:val="Mriežka tabuľky6114"/>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14">
    <w:name w:val="Bez zoznamu3114"/>
    <w:next w:val="Bezzoznamu"/>
    <w:uiPriority w:val="99"/>
    <w:semiHidden/>
    <w:unhideWhenUsed/>
    <w:rsid w:val="00BD3539"/>
  </w:style>
  <w:style w:type="table" w:customStyle="1" w:styleId="Mriekatabuky7114">
    <w:name w:val="Mriežka tabuľky7114"/>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24">
    <w:name w:val="Bez zoznamu111124"/>
    <w:next w:val="Bezzoznamu"/>
    <w:uiPriority w:val="99"/>
    <w:semiHidden/>
    <w:unhideWhenUsed/>
    <w:rsid w:val="00BD3539"/>
  </w:style>
  <w:style w:type="table" w:customStyle="1" w:styleId="Mriekatabukysvetl1114">
    <w:name w:val="Mriežka tabuľky – svetlá1114"/>
    <w:basedOn w:val="Normlnatabuka"/>
    <w:uiPriority w:val="40"/>
    <w:rsid w:val="00BD3539"/>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614">
    <w:name w:val="Bez zoznamu614"/>
    <w:next w:val="Bezzoznamu"/>
    <w:uiPriority w:val="99"/>
    <w:semiHidden/>
    <w:unhideWhenUsed/>
    <w:rsid w:val="00BD3539"/>
  </w:style>
  <w:style w:type="table" w:customStyle="1" w:styleId="UHPGRAF1116">
    <w:name w:val="UHP_GRAF1116"/>
    <w:basedOn w:val="Normlnatabuka"/>
    <w:uiPriority w:val="99"/>
    <w:rsid w:val="00BD3539"/>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6">
    <w:name w:val="UHP_GRAF1216"/>
    <w:basedOn w:val="Normlnatabuka"/>
    <w:uiPriority w:val="99"/>
    <w:rsid w:val="00BD3539"/>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riekatabuky1014">
    <w:name w:val="Mriežka tabuľky1014"/>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24">
    <w:name w:val="Bez zoznamu1111124"/>
    <w:next w:val="Bezzoznamu"/>
    <w:uiPriority w:val="99"/>
    <w:semiHidden/>
    <w:unhideWhenUsed/>
    <w:rsid w:val="00BD3539"/>
  </w:style>
  <w:style w:type="table" w:customStyle="1" w:styleId="Obyajntabuka424">
    <w:name w:val="Obyčajná tabuľka 424"/>
    <w:basedOn w:val="Normlnatabuka"/>
    <w:next w:val="Obyajntabuka4"/>
    <w:uiPriority w:val="44"/>
    <w:rsid w:val="00BD353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Mriekatabuky1614">
    <w:name w:val="Mriežka tabuľky1614"/>
    <w:basedOn w:val="Normlnatabuka"/>
    <w:next w:val="Mriekatabuky"/>
    <w:uiPriority w:val="59"/>
    <w:rsid w:val="00BD3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84">
    <w:name w:val="Bez zoznamu84"/>
    <w:next w:val="Bezzoznamu"/>
    <w:uiPriority w:val="99"/>
    <w:semiHidden/>
    <w:unhideWhenUsed/>
    <w:rsid w:val="00BD3539"/>
  </w:style>
  <w:style w:type="numbering" w:customStyle="1" w:styleId="Bezzoznamu144">
    <w:name w:val="Bez zoznamu144"/>
    <w:next w:val="Bezzoznamu"/>
    <w:uiPriority w:val="99"/>
    <w:semiHidden/>
    <w:unhideWhenUsed/>
    <w:rsid w:val="00BD3539"/>
  </w:style>
  <w:style w:type="numbering" w:customStyle="1" w:styleId="Bezzoznamu234">
    <w:name w:val="Bez zoznamu234"/>
    <w:next w:val="Bezzoznamu"/>
    <w:uiPriority w:val="99"/>
    <w:semiHidden/>
    <w:unhideWhenUsed/>
    <w:rsid w:val="00BD3539"/>
  </w:style>
  <w:style w:type="numbering" w:customStyle="1" w:styleId="Bezzoznamu334">
    <w:name w:val="Bez zoznamu334"/>
    <w:next w:val="Bezzoznamu"/>
    <w:uiPriority w:val="99"/>
    <w:semiHidden/>
    <w:unhideWhenUsed/>
    <w:rsid w:val="00BD3539"/>
  </w:style>
  <w:style w:type="numbering" w:customStyle="1" w:styleId="Bezzoznamu1144">
    <w:name w:val="Bez zoznamu1144"/>
    <w:next w:val="Bezzoznamu"/>
    <w:uiPriority w:val="99"/>
    <w:semiHidden/>
    <w:unhideWhenUsed/>
    <w:rsid w:val="00BD3539"/>
  </w:style>
  <w:style w:type="numbering" w:customStyle="1" w:styleId="Bezzoznamu424">
    <w:name w:val="Bez zoznamu424"/>
    <w:next w:val="Bezzoznamu"/>
    <w:uiPriority w:val="99"/>
    <w:semiHidden/>
    <w:unhideWhenUsed/>
    <w:rsid w:val="00BD3539"/>
  </w:style>
  <w:style w:type="numbering" w:customStyle="1" w:styleId="Bezzoznamu11134">
    <w:name w:val="Bez zoznamu11134"/>
    <w:next w:val="Bezzoznamu"/>
    <w:uiPriority w:val="99"/>
    <w:semiHidden/>
    <w:unhideWhenUsed/>
    <w:rsid w:val="00BD3539"/>
  </w:style>
  <w:style w:type="numbering" w:customStyle="1" w:styleId="Bezzoznamu524">
    <w:name w:val="Bez zoznamu524"/>
    <w:next w:val="Bezzoznamu"/>
    <w:uiPriority w:val="99"/>
    <w:semiHidden/>
    <w:unhideWhenUsed/>
    <w:rsid w:val="00BD3539"/>
  </w:style>
  <w:style w:type="numbering" w:customStyle="1" w:styleId="Bezzoznamu1224">
    <w:name w:val="Bez zoznamu1224"/>
    <w:next w:val="Bezzoznamu"/>
    <w:uiPriority w:val="99"/>
    <w:semiHidden/>
    <w:unhideWhenUsed/>
    <w:rsid w:val="00BD3539"/>
  </w:style>
  <w:style w:type="numbering" w:customStyle="1" w:styleId="Bezzoznamu11224">
    <w:name w:val="Bez zoznamu11224"/>
    <w:next w:val="Bezzoznamu"/>
    <w:uiPriority w:val="99"/>
    <w:semiHidden/>
    <w:unhideWhenUsed/>
    <w:rsid w:val="00BD3539"/>
  </w:style>
  <w:style w:type="numbering" w:customStyle="1" w:styleId="Bezzoznamu2124">
    <w:name w:val="Bez zoznamu2124"/>
    <w:next w:val="Bezzoznamu"/>
    <w:uiPriority w:val="99"/>
    <w:semiHidden/>
    <w:unhideWhenUsed/>
    <w:rsid w:val="00BD3539"/>
  </w:style>
  <w:style w:type="numbering" w:customStyle="1" w:styleId="Bezzoznamu3124">
    <w:name w:val="Bez zoznamu3124"/>
    <w:next w:val="Bezzoznamu"/>
    <w:uiPriority w:val="99"/>
    <w:semiHidden/>
    <w:unhideWhenUsed/>
    <w:rsid w:val="00BD3539"/>
  </w:style>
  <w:style w:type="numbering" w:customStyle="1" w:styleId="Bezzoznamu111134">
    <w:name w:val="Bez zoznamu111134"/>
    <w:next w:val="Bezzoznamu"/>
    <w:uiPriority w:val="99"/>
    <w:semiHidden/>
    <w:unhideWhenUsed/>
    <w:rsid w:val="00BD3539"/>
  </w:style>
  <w:style w:type="numbering" w:customStyle="1" w:styleId="Bezzoznamu624">
    <w:name w:val="Bez zoznamu624"/>
    <w:next w:val="Bezzoznamu"/>
    <w:uiPriority w:val="99"/>
    <w:semiHidden/>
    <w:unhideWhenUsed/>
    <w:rsid w:val="00BD3539"/>
  </w:style>
  <w:style w:type="numbering" w:customStyle="1" w:styleId="Bezzoznamu1111134">
    <w:name w:val="Bez zoznamu1111134"/>
    <w:next w:val="Bezzoznamu"/>
    <w:uiPriority w:val="99"/>
    <w:semiHidden/>
    <w:unhideWhenUsed/>
    <w:rsid w:val="00BD3539"/>
  </w:style>
  <w:style w:type="numbering" w:customStyle="1" w:styleId="Bezzoznamu91">
    <w:name w:val="Bez zoznamu91"/>
    <w:next w:val="Bezzoznamu"/>
    <w:uiPriority w:val="99"/>
    <w:semiHidden/>
    <w:unhideWhenUsed/>
    <w:rsid w:val="00BD3539"/>
  </w:style>
  <w:style w:type="table" w:customStyle="1" w:styleId="Mriekatabuky192">
    <w:name w:val="Mriežka tabuľky192"/>
    <w:basedOn w:val="Normlnatabuka"/>
    <w:next w:val="Mriekatabuky"/>
    <w:uiPriority w:val="59"/>
    <w:rsid w:val="00BD3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byajntabuka431">
    <w:name w:val="Obyčajná tabuľka 431"/>
    <w:basedOn w:val="Normlnatabuka"/>
    <w:next w:val="Obyajntabuka4"/>
    <w:uiPriority w:val="44"/>
    <w:rsid w:val="00BD353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Bezzoznamu151">
    <w:name w:val="Bez zoznamu151"/>
    <w:next w:val="Bezzoznamu"/>
    <w:uiPriority w:val="99"/>
    <w:semiHidden/>
    <w:unhideWhenUsed/>
    <w:rsid w:val="00BD3539"/>
  </w:style>
  <w:style w:type="table" w:customStyle="1" w:styleId="Mriekatabuky1101">
    <w:name w:val="Mriežka tabuľky1101"/>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61">
    <w:name w:val="Mriežka tabuľky261"/>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61">
    <w:name w:val="Mriežka tabuľky116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1">
    <w:name w:val="Mriežka tabuľky35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51">
    <w:name w:val="Mriežka tabuľky125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51">
    <w:name w:val="Mriežka tabuľky215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51">
    <w:name w:val="Mriežka tabuľky1115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1">
    <w:name w:val="Mriežka tabuľky431"/>
    <w:basedOn w:val="Normlnatabuka"/>
    <w:next w:val="Mriekatabuky"/>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31">
    <w:name w:val="Mriežka tabuľky133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31">
    <w:name w:val="Mriežka tabuľky223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31">
    <w:name w:val="Mriežka tabuľky1123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1">
    <w:name w:val="Mriežka tabuľky313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31">
    <w:name w:val="Mriežka tabuľky1213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31">
    <w:name w:val="Mriežka tabuľky2113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31">
    <w:name w:val="Mriežka tabuľky11113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31">
    <w:name w:val="Kalendár 231"/>
    <w:basedOn w:val="Normlnatabuka"/>
    <w:uiPriority w:val="99"/>
    <w:qFormat/>
    <w:rsid w:val="00BD3539"/>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51">
    <w:name w:val="Bez zoznamu1151"/>
    <w:next w:val="Bezzoznamu"/>
    <w:uiPriority w:val="99"/>
    <w:semiHidden/>
    <w:unhideWhenUsed/>
    <w:rsid w:val="00BD3539"/>
  </w:style>
  <w:style w:type="table" w:customStyle="1" w:styleId="Mriekatabuky531">
    <w:name w:val="Mriežka tabuľky53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31">
    <w:name w:val="Mriežka tabuľky143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31">
    <w:name w:val="Mriežka tabuľky233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31">
    <w:name w:val="Mriežka tabuľky1133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31">
    <w:name w:val="Mriežka tabuľky323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31">
    <w:name w:val="Mriežka tabuľky1223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31">
    <w:name w:val="Mriežka tabuľky2123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31">
    <w:name w:val="Mriežka tabuľky11123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41">
    <w:name w:val="Bez zoznamu241"/>
    <w:next w:val="Bezzoznamu"/>
    <w:uiPriority w:val="99"/>
    <w:semiHidden/>
    <w:unhideWhenUsed/>
    <w:rsid w:val="00BD3539"/>
  </w:style>
  <w:style w:type="table" w:customStyle="1" w:styleId="Mriekatabuky631">
    <w:name w:val="Mriežka tabuľky631"/>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41">
    <w:name w:val="Bez zoznamu341"/>
    <w:next w:val="Bezzoznamu"/>
    <w:uiPriority w:val="99"/>
    <w:semiHidden/>
    <w:unhideWhenUsed/>
    <w:rsid w:val="00BD3539"/>
  </w:style>
  <w:style w:type="table" w:customStyle="1" w:styleId="Mriekatabuky731">
    <w:name w:val="Mriežka tabuľky731"/>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41">
    <w:name w:val="Bez zoznamu11141"/>
    <w:next w:val="Bezzoznamu"/>
    <w:uiPriority w:val="99"/>
    <w:semiHidden/>
    <w:unhideWhenUsed/>
    <w:rsid w:val="00BD3539"/>
  </w:style>
  <w:style w:type="table" w:customStyle="1" w:styleId="Mriekatabukysvetl131">
    <w:name w:val="Mriežka tabuľky – svetlá131"/>
    <w:basedOn w:val="Normlnatabuka"/>
    <w:uiPriority w:val="40"/>
    <w:rsid w:val="00BD353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431">
    <w:name w:val="Bez zoznamu431"/>
    <w:next w:val="Bezzoznamu"/>
    <w:uiPriority w:val="99"/>
    <w:semiHidden/>
    <w:unhideWhenUsed/>
    <w:rsid w:val="00BD3539"/>
  </w:style>
  <w:style w:type="numbering" w:customStyle="1" w:styleId="Bezzoznamu111141">
    <w:name w:val="Bez zoznamu111141"/>
    <w:next w:val="Bezzoznamu"/>
    <w:uiPriority w:val="99"/>
    <w:semiHidden/>
    <w:unhideWhenUsed/>
    <w:rsid w:val="00BD3539"/>
  </w:style>
  <w:style w:type="table" w:customStyle="1" w:styleId="Mriekatabuky821">
    <w:name w:val="Mriežka tabuľky821"/>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31">
    <w:name w:val="Bez zoznamu531"/>
    <w:next w:val="Bezzoznamu"/>
    <w:uiPriority w:val="99"/>
    <w:semiHidden/>
    <w:unhideWhenUsed/>
    <w:rsid w:val="00BD3539"/>
  </w:style>
  <w:style w:type="numbering" w:customStyle="1" w:styleId="Bezzoznamu1231">
    <w:name w:val="Bez zoznamu1231"/>
    <w:next w:val="Bezzoznamu"/>
    <w:uiPriority w:val="99"/>
    <w:semiHidden/>
    <w:unhideWhenUsed/>
    <w:rsid w:val="00BD3539"/>
  </w:style>
  <w:style w:type="table" w:customStyle="1" w:styleId="Mriekatabuky921">
    <w:name w:val="Mriežka tabuľky921"/>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21">
    <w:name w:val="Mriežka tabuľky1521"/>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21">
    <w:name w:val="Mriežka tabuľky2421"/>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21">
    <w:name w:val="Mriežka tabuľky114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21">
    <w:name w:val="Mriežka tabuľky33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21">
    <w:name w:val="Mriežka tabuľky123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21">
    <w:name w:val="Mriežka tabuľky213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21">
    <w:name w:val="Mriežka tabuľky1113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21">
    <w:name w:val="Mriežka tabuľky4121"/>
    <w:basedOn w:val="Normlnatabuka"/>
    <w:next w:val="Mriekatabuky"/>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21">
    <w:name w:val="Mriežka tabuľky1312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21">
    <w:name w:val="Mriežka tabuľky2212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21">
    <w:name w:val="Mriežka tabuľky11212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21">
    <w:name w:val="Mriežka tabuľky3112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21">
    <w:name w:val="Mriežka tabuľky12112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21">
    <w:name w:val="Mriežka tabuľky21112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21">
    <w:name w:val="Mriežka tabuľky111112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21">
    <w:name w:val="Kalendár 2121"/>
    <w:basedOn w:val="Normlnatabuka"/>
    <w:uiPriority w:val="99"/>
    <w:qFormat/>
    <w:rsid w:val="00BD3539"/>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31">
    <w:name w:val="Bez zoznamu11231"/>
    <w:next w:val="Bezzoznamu"/>
    <w:uiPriority w:val="99"/>
    <w:semiHidden/>
    <w:unhideWhenUsed/>
    <w:rsid w:val="00BD3539"/>
  </w:style>
  <w:style w:type="table" w:customStyle="1" w:styleId="Mriekatabuky5121">
    <w:name w:val="Mriežka tabuľky51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21">
    <w:name w:val="Mriežka tabuľky141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21">
    <w:name w:val="Mriežka tabuľky231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21">
    <w:name w:val="Mriežka tabuľky1131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21">
    <w:name w:val="Mriežka tabuľky321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21">
    <w:name w:val="Mriežka tabuľky1221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21">
    <w:name w:val="Mriežka tabuľky2121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21">
    <w:name w:val="Mriežka tabuľky11121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31">
    <w:name w:val="Bez zoznamu2131"/>
    <w:next w:val="Bezzoznamu"/>
    <w:uiPriority w:val="99"/>
    <w:semiHidden/>
    <w:unhideWhenUsed/>
    <w:rsid w:val="00BD3539"/>
  </w:style>
  <w:style w:type="table" w:customStyle="1" w:styleId="Mriekatabuky6121">
    <w:name w:val="Mriežka tabuľky6121"/>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31">
    <w:name w:val="Bez zoznamu3131"/>
    <w:next w:val="Bezzoznamu"/>
    <w:uiPriority w:val="99"/>
    <w:semiHidden/>
    <w:unhideWhenUsed/>
    <w:rsid w:val="00BD3539"/>
  </w:style>
  <w:style w:type="table" w:customStyle="1" w:styleId="Mriekatabuky7121">
    <w:name w:val="Mriežka tabuľky7121"/>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41">
    <w:name w:val="Bez zoznamu1111141"/>
    <w:next w:val="Bezzoznamu"/>
    <w:uiPriority w:val="99"/>
    <w:semiHidden/>
    <w:unhideWhenUsed/>
    <w:rsid w:val="00BD3539"/>
  </w:style>
  <w:style w:type="table" w:customStyle="1" w:styleId="Mriekatabukysvetl1121">
    <w:name w:val="Mriežka tabuľky – svetlá1121"/>
    <w:basedOn w:val="Normlnatabuka"/>
    <w:uiPriority w:val="40"/>
    <w:rsid w:val="00BD3539"/>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631">
    <w:name w:val="Bez zoznamu631"/>
    <w:next w:val="Bezzoznamu"/>
    <w:uiPriority w:val="99"/>
    <w:semiHidden/>
    <w:unhideWhenUsed/>
    <w:rsid w:val="00BD3539"/>
  </w:style>
  <w:style w:type="table" w:customStyle="1" w:styleId="UHPGRAF1124">
    <w:name w:val="UHP_GRAF1124"/>
    <w:basedOn w:val="Normlnatabuka"/>
    <w:uiPriority w:val="99"/>
    <w:rsid w:val="00BD3539"/>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24">
    <w:name w:val="UHP_GRAF1224"/>
    <w:basedOn w:val="Normlnatabuka"/>
    <w:uiPriority w:val="99"/>
    <w:rsid w:val="00BD3539"/>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riekatabuky1021">
    <w:name w:val="Mriežka tabuľky1021"/>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121">
    <w:name w:val="Bez zoznamu11111121"/>
    <w:next w:val="Bezzoznamu"/>
    <w:uiPriority w:val="99"/>
    <w:semiHidden/>
    <w:unhideWhenUsed/>
    <w:rsid w:val="00BD3539"/>
  </w:style>
  <w:style w:type="table" w:customStyle="1" w:styleId="Obyajntabuka4111">
    <w:name w:val="Obyčajná tabuľka 4111"/>
    <w:basedOn w:val="Normlnatabuka"/>
    <w:next w:val="Obyajntabuka4"/>
    <w:uiPriority w:val="44"/>
    <w:rsid w:val="00BD353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Mriekatabuky1621">
    <w:name w:val="Mriežka tabuľky1621"/>
    <w:basedOn w:val="Normlnatabuka"/>
    <w:next w:val="Mriekatabuky"/>
    <w:uiPriority w:val="59"/>
    <w:rsid w:val="00BD3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711">
    <w:name w:val="Bez zoznamu711"/>
    <w:next w:val="Bezzoznamu"/>
    <w:uiPriority w:val="99"/>
    <w:semiHidden/>
    <w:unhideWhenUsed/>
    <w:rsid w:val="00BD3539"/>
  </w:style>
  <w:style w:type="table" w:customStyle="1" w:styleId="Mriekatabuky1711">
    <w:name w:val="Mriežka tabuľky1711"/>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11">
    <w:name w:val="Mriežka tabuľky1811"/>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11">
    <w:name w:val="Mriežka tabuľky2511"/>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11">
    <w:name w:val="Mriežka tabuľky115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11">
    <w:name w:val="Mriežka tabuľky34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11">
    <w:name w:val="Mriežka tabuľky124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11">
    <w:name w:val="Mriežka tabuľky214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11">
    <w:name w:val="Mriežka tabuľky1114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11">
    <w:name w:val="Mriežka tabuľky4211"/>
    <w:basedOn w:val="Normlnatabuka"/>
    <w:next w:val="Mriekatabuky"/>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211">
    <w:name w:val="Mriežka tabuľky1321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211">
    <w:name w:val="Mriežka tabuľky2221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211">
    <w:name w:val="Mriežka tabuľky11221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11">
    <w:name w:val="Mriežka tabuľky3121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211">
    <w:name w:val="Mriežka tabuľky12121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211">
    <w:name w:val="Mriežka tabuľky21121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211">
    <w:name w:val="Mriežka tabuľky111121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211">
    <w:name w:val="Kalendár 2211"/>
    <w:basedOn w:val="Normlnatabuka"/>
    <w:uiPriority w:val="99"/>
    <w:qFormat/>
    <w:rsid w:val="00BD3539"/>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311">
    <w:name w:val="Bez zoznamu1311"/>
    <w:next w:val="Bezzoznamu"/>
    <w:uiPriority w:val="99"/>
    <w:semiHidden/>
    <w:unhideWhenUsed/>
    <w:rsid w:val="00BD3539"/>
  </w:style>
  <w:style w:type="table" w:customStyle="1" w:styleId="Mriekatabuky5211">
    <w:name w:val="Mriežka tabuľky52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211">
    <w:name w:val="Mriežka tabuľky142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211">
    <w:name w:val="Mriežka tabuľky232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211">
    <w:name w:val="Mriežka tabuľky1132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211">
    <w:name w:val="Mriežka tabuľky322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211">
    <w:name w:val="Mriežka tabuľky1222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211">
    <w:name w:val="Mriežka tabuľky2122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211">
    <w:name w:val="Mriežka tabuľky11122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11">
    <w:name w:val="Bez zoznamu2211"/>
    <w:next w:val="Bezzoznamu"/>
    <w:uiPriority w:val="99"/>
    <w:semiHidden/>
    <w:unhideWhenUsed/>
    <w:rsid w:val="00BD3539"/>
  </w:style>
  <w:style w:type="table" w:customStyle="1" w:styleId="Mriekatabuky6211">
    <w:name w:val="Mriežka tabuľky6211"/>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211">
    <w:name w:val="Bez zoznamu3211"/>
    <w:next w:val="Bezzoznamu"/>
    <w:uiPriority w:val="99"/>
    <w:semiHidden/>
    <w:unhideWhenUsed/>
    <w:rsid w:val="00BD3539"/>
  </w:style>
  <w:style w:type="table" w:customStyle="1" w:styleId="Mriekatabuky7211">
    <w:name w:val="Mriežka tabuľky7211"/>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311">
    <w:name w:val="Bez zoznamu11311"/>
    <w:next w:val="Bezzoznamu"/>
    <w:uiPriority w:val="99"/>
    <w:semiHidden/>
    <w:unhideWhenUsed/>
    <w:rsid w:val="00BD3539"/>
  </w:style>
  <w:style w:type="table" w:customStyle="1" w:styleId="Mriekatabukysvetl1211">
    <w:name w:val="Mriežka tabuľky – svetlá1211"/>
    <w:basedOn w:val="Normlnatabuka"/>
    <w:uiPriority w:val="40"/>
    <w:rsid w:val="00BD353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4111">
    <w:name w:val="Bez zoznamu4111"/>
    <w:next w:val="Bezzoznamu"/>
    <w:uiPriority w:val="99"/>
    <w:semiHidden/>
    <w:unhideWhenUsed/>
    <w:rsid w:val="00BD3539"/>
  </w:style>
  <w:style w:type="numbering" w:customStyle="1" w:styleId="Bezzoznamu111211">
    <w:name w:val="Bez zoznamu111211"/>
    <w:next w:val="Bezzoznamu"/>
    <w:uiPriority w:val="99"/>
    <w:semiHidden/>
    <w:unhideWhenUsed/>
    <w:rsid w:val="00BD3539"/>
  </w:style>
  <w:style w:type="table" w:customStyle="1" w:styleId="Mriekatabuky8111">
    <w:name w:val="Mriežka tabuľky8111"/>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111">
    <w:name w:val="Bez zoznamu5111"/>
    <w:next w:val="Bezzoznamu"/>
    <w:uiPriority w:val="99"/>
    <w:semiHidden/>
    <w:unhideWhenUsed/>
    <w:rsid w:val="00BD3539"/>
  </w:style>
  <w:style w:type="numbering" w:customStyle="1" w:styleId="Bezzoznamu12111">
    <w:name w:val="Bez zoznamu12111"/>
    <w:next w:val="Bezzoznamu"/>
    <w:uiPriority w:val="99"/>
    <w:semiHidden/>
    <w:unhideWhenUsed/>
    <w:rsid w:val="00BD3539"/>
  </w:style>
  <w:style w:type="table" w:customStyle="1" w:styleId="Mriekatabuky9111">
    <w:name w:val="Mriežka tabuľky9111"/>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111">
    <w:name w:val="Mriežka tabuľky15111"/>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111">
    <w:name w:val="Mriežka tabuľky24111"/>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111">
    <w:name w:val="Mriežka tabuľky1141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111">
    <w:name w:val="Mriežka tabuľky331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111">
    <w:name w:val="Mriežka tabuľky1231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111">
    <w:name w:val="Mriežka tabuľky2131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111">
    <w:name w:val="Mriežka tabuľky11131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11">
    <w:name w:val="Mriežka tabuľky41111"/>
    <w:basedOn w:val="Normlnatabuka"/>
    <w:next w:val="Mriekatabuky"/>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111">
    <w:name w:val="Mriežka tabuľky13111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111">
    <w:name w:val="Mriežka tabuľky22111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111">
    <w:name w:val="Mriežka tabuľky112111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111">
    <w:name w:val="Mriežka tabuľky31111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111">
    <w:name w:val="Mriežka tabuľky121111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111">
    <w:name w:val="Mriežka tabuľky211111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111">
    <w:name w:val="Mriežka tabuľky1111111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111">
    <w:name w:val="Kalendár 21111"/>
    <w:basedOn w:val="Normlnatabuka"/>
    <w:uiPriority w:val="99"/>
    <w:qFormat/>
    <w:rsid w:val="00BD3539"/>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111">
    <w:name w:val="Bez zoznamu112111"/>
    <w:next w:val="Bezzoznamu"/>
    <w:uiPriority w:val="99"/>
    <w:semiHidden/>
    <w:unhideWhenUsed/>
    <w:rsid w:val="00BD3539"/>
  </w:style>
  <w:style w:type="table" w:customStyle="1" w:styleId="Mriekatabuky51111">
    <w:name w:val="Mriežka tabuľky511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111">
    <w:name w:val="Mriežka tabuľky1411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111">
    <w:name w:val="Mriežka tabuľky2311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111">
    <w:name w:val="Mriežka tabuľky11311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111">
    <w:name w:val="Mriežka tabuľky3211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111">
    <w:name w:val="Mriežka tabuľky12211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111">
    <w:name w:val="Mriežka tabuľky21211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111">
    <w:name w:val="Mriežka tabuľky1112111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11">
    <w:name w:val="Bez zoznamu21111"/>
    <w:next w:val="Bezzoznamu"/>
    <w:uiPriority w:val="99"/>
    <w:semiHidden/>
    <w:unhideWhenUsed/>
    <w:rsid w:val="00BD3539"/>
  </w:style>
  <w:style w:type="table" w:customStyle="1" w:styleId="Mriekatabuky61111">
    <w:name w:val="Mriežka tabuľky61111"/>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111">
    <w:name w:val="Bez zoznamu31111"/>
    <w:next w:val="Bezzoznamu"/>
    <w:uiPriority w:val="99"/>
    <w:semiHidden/>
    <w:unhideWhenUsed/>
    <w:rsid w:val="00BD3539"/>
  </w:style>
  <w:style w:type="table" w:customStyle="1" w:styleId="Mriekatabuky71111">
    <w:name w:val="Mriežka tabuľky71111"/>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211">
    <w:name w:val="Bez zoznamu1111211"/>
    <w:next w:val="Bezzoznamu"/>
    <w:uiPriority w:val="99"/>
    <w:semiHidden/>
    <w:unhideWhenUsed/>
    <w:rsid w:val="00BD3539"/>
  </w:style>
  <w:style w:type="table" w:customStyle="1" w:styleId="Mriekatabukysvetl11111">
    <w:name w:val="Mriežka tabuľky – svetlá11111"/>
    <w:basedOn w:val="Normlnatabuka"/>
    <w:uiPriority w:val="40"/>
    <w:rsid w:val="00BD3539"/>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6111">
    <w:name w:val="Bez zoznamu6111"/>
    <w:next w:val="Bezzoznamu"/>
    <w:uiPriority w:val="99"/>
    <w:semiHidden/>
    <w:unhideWhenUsed/>
    <w:rsid w:val="00BD3539"/>
  </w:style>
  <w:style w:type="table" w:customStyle="1" w:styleId="UHPGRAF11114">
    <w:name w:val="UHP_GRAF11114"/>
    <w:basedOn w:val="Normlnatabuka"/>
    <w:uiPriority w:val="99"/>
    <w:rsid w:val="00BD3539"/>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14">
    <w:name w:val="UHP_GRAF12114"/>
    <w:basedOn w:val="Normlnatabuka"/>
    <w:uiPriority w:val="99"/>
    <w:rsid w:val="00BD3539"/>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riekatabuky10111">
    <w:name w:val="Mriežka tabuľky10111"/>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211">
    <w:name w:val="Bez zoznamu11111211"/>
    <w:next w:val="Bezzoznamu"/>
    <w:uiPriority w:val="99"/>
    <w:semiHidden/>
    <w:unhideWhenUsed/>
    <w:rsid w:val="00BD3539"/>
  </w:style>
  <w:style w:type="table" w:customStyle="1" w:styleId="Obyajntabuka4211">
    <w:name w:val="Obyčajná tabuľka 4211"/>
    <w:basedOn w:val="Normlnatabuka"/>
    <w:next w:val="Obyajntabuka4"/>
    <w:uiPriority w:val="44"/>
    <w:rsid w:val="00BD353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Mriekatabuky16111">
    <w:name w:val="Mriežka tabuľky16111"/>
    <w:basedOn w:val="Normlnatabuka"/>
    <w:next w:val="Mriekatabuky"/>
    <w:uiPriority w:val="59"/>
    <w:rsid w:val="00BD3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811">
    <w:name w:val="Bez zoznamu811"/>
    <w:next w:val="Bezzoznamu"/>
    <w:uiPriority w:val="99"/>
    <w:semiHidden/>
    <w:unhideWhenUsed/>
    <w:rsid w:val="00BD3539"/>
  </w:style>
  <w:style w:type="numbering" w:customStyle="1" w:styleId="Bezzoznamu1411">
    <w:name w:val="Bez zoznamu1411"/>
    <w:next w:val="Bezzoznamu"/>
    <w:uiPriority w:val="99"/>
    <w:semiHidden/>
    <w:unhideWhenUsed/>
    <w:rsid w:val="00BD3539"/>
  </w:style>
  <w:style w:type="numbering" w:customStyle="1" w:styleId="Bezzoznamu2311">
    <w:name w:val="Bez zoznamu2311"/>
    <w:next w:val="Bezzoznamu"/>
    <w:uiPriority w:val="99"/>
    <w:semiHidden/>
    <w:unhideWhenUsed/>
    <w:rsid w:val="00BD3539"/>
  </w:style>
  <w:style w:type="numbering" w:customStyle="1" w:styleId="Bezzoznamu3311">
    <w:name w:val="Bez zoznamu3311"/>
    <w:next w:val="Bezzoznamu"/>
    <w:uiPriority w:val="99"/>
    <w:semiHidden/>
    <w:unhideWhenUsed/>
    <w:rsid w:val="00BD3539"/>
  </w:style>
  <w:style w:type="numbering" w:customStyle="1" w:styleId="Bezzoznamu11411">
    <w:name w:val="Bez zoznamu11411"/>
    <w:next w:val="Bezzoznamu"/>
    <w:uiPriority w:val="99"/>
    <w:semiHidden/>
    <w:unhideWhenUsed/>
    <w:rsid w:val="00BD3539"/>
  </w:style>
  <w:style w:type="numbering" w:customStyle="1" w:styleId="Bezzoznamu4211">
    <w:name w:val="Bez zoznamu4211"/>
    <w:next w:val="Bezzoznamu"/>
    <w:uiPriority w:val="99"/>
    <w:semiHidden/>
    <w:unhideWhenUsed/>
    <w:rsid w:val="00BD3539"/>
  </w:style>
  <w:style w:type="numbering" w:customStyle="1" w:styleId="Bezzoznamu111311">
    <w:name w:val="Bez zoznamu111311"/>
    <w:next w:val="Bezzoznamu"/>
    <w:uiPriority w:val="99"/>
    <w:semiHidden/>
    <w:unhideWhenUsed/>
    <w:rsid w:val="00BD3539"/>
  </w:style>
  <w:style w:type="numbering" w:customStyle="1" w:styleId="Bezzoznamu5211">
    <w:name w:val="Bez zoznamu5211"/>
    <w:next w:val="Bezzoznamu"/>
    <w:uiPriority w:val="99"/>
    <w:semiHidden/>
    <w:unhideWhenUsed/>
    <w:rsid w:val="00BD3539"/>
  </w:style>
  <w:style w:type="numbering" w:customStyle="1" w:styleId="Bezzoznamu12211">
    <w:name w:val="Bez zoznamu12211"/>
    <w:next w:val="Bezzoznamu"/>
    <w:uiPriority w:val="99"/>
    <w:semiHidden/>
    <w:unhideWhenUsed/>
    <w:rsid w:val="00BD3539"/>
  </w:style>
  <w:style w:type="numbering" w:customStyle="1" w:styleId="Bezzoznamu112211">
    <w:name w:val="Bez zoznamu112211"/>
    <w:next w:val="Bezzoznamu"/>
    <w:uiPriority w:val="99"/>
    <w:semiHidden/>
    <w:unhideWhenUsed/>
    <w:rsid w:val="00BD3539"/>
  </w:style>
  <w:style w:type="numbering" w:customStyle="1" w:styleId="Bezzoznamu21211">
    <w:name w:val="Bez zoznamu21211"/>
    <w:next w:val="Bezzoznamu"/>
    <w:uiPriority w:val="99"/>
    <w:semiHidden/>
    <w:unhideWhenUsed/>
    <w:rsid w:val="00BD3539"/>
  </w:style>
  <w:style w:type="numbering" w:customStyle="1" w:styleId="Bezzoznamu31211">
    <w:name w:val="Bez zoznamu31211"/>
    <w:next w:val="Bezzoznamu"/>
    <w:uiPriority w:val="99"/>
    <w:semiHidden/>
    <w:unhideWhenUsed/>
    <w:rsid w:val="00BD3539"/>
  </w:style>
  <w:style w:type="numbering" w:customStyle="1" w:styleId="Bezzoznamu1111311">
    <w:name w:val="Bez zoznamu1111311"/>
    <w:next w:val="Bezzoznamu"/>
    <w:uiPriority w:val="99"/>
    <w:semiHidden/>
    <w:unhideWhenUsed/>
    <w:rsid w:val="00BD3539"/>
  </w:style>
  <w:style w:type="numbering" w:customStyle="1" w:styleId="Bezzoznamu6211">
    <w:name w:val="Bez zoznamu6211"/>
    <w:next w:val="Bezzoznamu"/>
    <w:uiPriority w:val="99"/>
    <w:semiHidden/>
    <w:unhideWhenUsed/>
    <w:rsid w:val="00BD3539"/>
  </w:style>
  <w:style w:type="numbering" w:customStyle="1" w:styleId="Bezzoznamu11111311">
    <w:name w:val="Bez zoznamu11111311"/>
    <w:next w:val="Bezzoznamu"/>
    <w:uiPriority w:val="99"/>
    <w:semiHidden/>
    <w:unhideWhenUsed/>
    <w:rsid w:val="00BD3539"/>
  </w:style>
  <w:style w:type="table" w:customStyle="1" w:styleId="Mriekatabuky1631">
    <w:name w:val="Mriežka tabuľky1631"/>
    <w:basedOn w:val="Normlnatabuka"/>
    <w:next w:val="Mriekatabuky"/>
    <w:uiPriority w:val="59"/>
    <w:rsid w:val="00BD3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721">
    <w:name w:val="Mriežka tabuľky1721"/>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21">
    <w:name w:val="Mriežka tabuľky2521"/>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
    <w:name w:val="Bez zoznamu101"/>
    <w:next w:val="Bezzoznamu"/>
    <w:uiPriority w:val="99"/>
    <w:semiHidden/>
    <w:unhideWhenUsed/>
    <w:rsid w:val="00BD3539"/>
  </w:style>
  <w:style w:type="table" w:customStyle="1" w:styleId="Mriekatabuky201">
    <w:name w:val="Mriežka tabuľky201"/>
    <w:basedOn w:val="Normlnatabuka"/>
    <w:next w:val="Mriekatabuky"/>
    <w:uiPriority w:val="39"/>
    <w:rsid w:val="00BD3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1">
    <w:name w:val="Mriežka tabuľky361"/>
    <w:basedOn w:val="Normlnatabuka"/>
    <w:next w:val="Mriekatabuky"/>
    <w:uiPriority w:val="39"/>
    <w:rsid w:val="00BD3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41">
    <w:name w:val="Mriežka tabuľky641"/>
    <w:basedOn w:val="Normlnatabuka"/>
    <w:next w:val="Mriekatabuky"/>
    <w:uiPriority w:val="39"/>
    <w:rsid w:val="00BD3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41">
    <w:name w:val="Mriežka tabuľky314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61">
    <w:name w:val="Bez zoznamu161"/>
    <w:next w:val="Bezzoznamu"/>
    <w:uiPriority w:val="99"/>
    <w:semiHidden/>
    <w:unhideWhenUsed/>
    <w:rsid w:val="00BD3539"/>
  </w:style>
  <w:style w:type="table" w:customStyle="1" w:styleId="Mriekatabuky271">
    <w:name w:val="Mriežka tabuľky27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71">
    <w:name w:val="Mriežka tabuľky1171"/>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81">
    <w:name w:val="Mriežka tabuľky281"/>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81">
    <w:name w:val="Mriežka tabuľky118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71">
    <w:name w:val="Mriežka tabuľky37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61">
    <w:name w:val="Mriežka tabuľky126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61">
    <w:name w:val="Mriežka tabuľky216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61">
    <w:name w:val="Mriežka tabuľky1116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1">
    <w:name w:val="Mriežka tabuľky44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41">
    <w:name w:val="Mriežka tabuľky1341"/>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41">
    <w:name w:val="Mriežka tabuľky2241"/>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41">
    <w:name w:val="Mriežka tabuľky11241"/>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51">
    <w:name w:val="Mriežka tabuľky3151"/>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41">
    <w:name w:val="Mriežka tabuľky12141"/>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41">
    <w:name w:val="Mriežka tabuľky21141"/>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41">
    <w:name w:val="Mriežka tabuľky111141"/>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41">
    <w:name w:val="Kalendár 241"/>
    <w:basedOn w:val="Normlnatabuka"/>
    <w:uiPriority w:val="99"/>
    <w:qFormat/>
    <w:rsid w:val="00BD3539"/>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71">
    <w:name w:val="Bez zoznamu171"/>
    <w:next w:val="Bezzoznamu"/>
    <w:uiPriority w:val="99"/>
    <w:semiHidden/>
    <w:unhideWhenUsed/>
    <w:rsid w:val="00BD3539"/>
  </w:style>
  <w:style w:type="table" w:customStyle="1" w:styleId="Mriekatabuky541">
    <w:name w:val="Mriežka tabuľky54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41">
    <w:name w:val="Mriežka tabuľky144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41">
    <w:name w:val="Mriežka tabuľky234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41">
    <w:name w:val="Mriežka tabuľky1134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41">
    <w:name w:val="Mriežka tabuľky324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41">
    <w:name w:val="Mriežka tabuľky1224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41">
    <w:name w:val="Mriežka tabuľky2124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41">
    <w:name w:val="Mriežka tabuľky11124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51">
    <w:name w:val="Bez zoznamu251"/>
    <w:next w:val="Bezzoznamu"/>
    <w:uiPriority w:val="99"/>
    <w:semiHidden/>
    <w:unhideWhenUsed/>
    <w:rsid w:val="00BD3539"/>
  </w:style>
  <w:style w:type="table" w:customStyle="1" w:styleId="Mriekatabuky651">
    <w:name w:val="Mriežka tabuľky651"/>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51">
    <w:name w:val="Bez zoznamu351"/>
    <w:next w:val="Bezzoznamu"/>
    <w:uiPriority w:val="99"/>
    <w:semiHidden/>
    <w:unhideWhenUsed/>
    <w:rsid w:val="00BD3539"/>
  </w:style>
  <w:style w:type="table" w:customStyle="1" w:styleId="Mriekatabuky741">
    <w:name w:val="Mriežka tabuľky741"/>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61">
    <w:name w:val="Bez zoznamu1161"/>
    <w:next w:val="Bezzoznamu"/>
    <w:uiPriority w:val="99"/>
    <w:semiHidden/>
    <w:unhideWhenUsed/>
    <w:rsid w:val="00BD3539"/>
  </w:style>
  <w:style w:type="table" w:customStyle="1" w:styleId="Mriekatabukysvetl141">
    <w:name w:val="Mriežka tabuľky – svetlá141"/>
    <w:basedOn w:val="Normlnatabuka"/>
    <w:uiPriority w:val="40"/>
    <w:rsid w:val="00BD353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441">
    <w:name w:val="Bez zoznamu441"/>
    <w:next w:val="Bezzoznamu"/>
    <w:uiPriority w:val="99"/>
    <w:semiHidden/>
    <w:unhideWhenUsed/>
    <w:rsid w:val="00BD3539"/>
  </w:style>
  <w:style w:type="numbering" w:customStyle="1" w:styleId="Bezzoznamu11151">
    <w:name w:val="Bez zoznamu11151"/>
    <w:next w:val="Bezzoznamu"/>
    <w:uiPriority w:val="99"/>
    <w:semiHidden/>
    <w:unhideWhenUsed/>
    <w:rsid w:val="00BD3539"/>
  </w:style>
  <w:style w:type="table" w:customStyle="1" w:styleId="Mriekatabuky831">
    <w:name w:val="Mriežka tabuľky831"/>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41">
    <w:name w:val="Bez zoznamu541"/>
    <w:next w:val="Bezzoznamu"/>
    <w:uiPriority w:val="99"/>
    <w:semiHidden/>
    <w:unhideWhenUsed/>
    <w:rsid w:val="00BD3539"/>
  </w:style>
  <w:style w:type="numbering" w:customStyle="1" w:styleId="Bezzoznamu1241">
    <w:name w:val="Bez zoznamu1241"/>
    <w:next w:val="Bezzoznamu"/>
    <w:uiPriority w:val="99"/>
    <w:semiHidden/>
    <w:unhideWhenUsed/>
    <w:rsid w:val="00BD3539"/>
  </w:style>
  <w:style w:type="table" w:customStyle="1" w:styleId="Mriekatabuky931">
    <w:name w:val="Mriežka tabuľky931"/>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31">
    <w:name w:val="Mriežka tabuľky1531"/>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31">
    <w:name w:val="Mriežka tabuľky2431"/>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31">
    <w:name w:val="Mriežka tabuľky1143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31">
    <w:name w:val="Mriežka tabuľky333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31">
    <w:name w:val="Mriežka tabuľky1233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31">
    <w:name w:val="Mriežka tabuľky2133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31">
    <w:name w:val="Mriežka tabuľky11133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31">
    <w:name w:val="Mriežka tabuľky413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31">
    <w:name w:val="Mriežka tabuľky13131"/>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31">
    <w:name w:val="Mriežka tabuľky22131"/>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31">
    <w:name w:val="Mriežka tabuľky112131"/>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31">
    <w:name w:val="Mriežka tabuľky31131"/>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31">
    <w:name w:val="Mriežka tabuľky121131"/>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31">
    <w:name w:val="Mriežka tabuľky211131"/>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31">
    <w:name w:val="Mriežka tabuľky1111131"/>
    <w:basedOn w:val="Normlnatabuka"/>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31">
    <w:name w:val="Kalendár 2131"/>
    <w:basedOn w:val="Normlnatabuka"/>
    <w:uiPriority w:val="99"/>
    <w:qFormat/>
    <w:rsid w:val="00BD3539"/>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41">
    <w:name w:val="Bez zoznamu11241"/>
    <w:next w:val="Bezzoznamu"/>
    <w:uiPriority w:val="99"/>
    <w:semiHidden/>
    <w:unhideWhenUsed/>
    <w:rsid w:val="00BD3539"/>
  </w:style>
  <w:style w:type="table" w:customStyle="1" w:styleId="Mriekatabuky5131">
    <w:name w:val="Mriežka tabuľky513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31">
    <w:name w:val="Mriežka tabuľky1413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31">
    <w:name w:val="Mriežka tabuľky2313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31">
    <w:name w:val="Mriežka tabuľky11313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31">
    <w:name w:val="Mriežka tabuľky3213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31">
    <w:name w:val="Mriežka tabuľky12213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31">
    <w:name w:val="Mriežka tabuľky21213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31">
    <w:name w:val="Mriežka tabuľky111213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41">
    <w:name w:val="Bez zoznamu2141"/>
    <w:next w:val="Bezzoznamu"/>
    <w:uiPriority w:val="99"/>
    <w:semiHidden/>
    <w:unhideWhenUsed/>
    <w:rsid w:val="00BD3539"/>
  </w:style>
  <w:style w:type="table" w:customStyle="1" w:styleId="Mriekatabuky6131">
    <w:name w:val="Mriežka tabuľky6131"/>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41">
    <w:name w:val="Bez zoznamu3141"/>
    <w:next w:val="Bezzoznamu"/>
    <w:uiPriority w:val="99"/>
    <w:semiHidden/>
    <w:unhideWhenUsed/>
    <w:rsid w:val="00BD3539"/>
  </w:style>
  <w:style w:type="table" w:customStyle="1" w:styleId="Mriekatabuky7131">
    <w:name w:val="Mriežka tabuľky7131"/>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51">
    <w:name w:val="Bez zoznamu111151"/>
    <w:next w:val="Bezzoznamu"/>
    <w:uiPriority w:val="99"/>
    <w:semiHidden/>
    <w:unhideWhenUsed/>
    <w:rsid w:val="00BD3539"/>
  </w:style>
  <w:style w:type="table" w:customStyle="1" w:styleId="Mriekatabukysvetl1131">
    <w:name w:val="Mriežka tabuľky – svetlá1131"/>
    <w:basedOn w:val="Normlnatabuka"/>
    <w:uiPriority w:val="40"/>
    <w:rsid w:val="00BD3539"/>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641">
    <w:name w:val="Bez zoznamu641"/>
    <w:next w:val="Bezzoznamu"/>
    <w:uiPriority w:val="99"/>
    <w:semiHidden/>
    <w:unhideWhenUsed/>
    <w:rsid w:val="00BD3539"/>
  </w:style>
  <w:style w:type="table" w:customStyle="1" w:styleId="UHPGRAF1134">
    <w:name w:val="UHP_GRAF1134"/>
    <w:basedOn w:val="Normlnatabuka"/>
    <w:uiPriority w:val="99"/>
    <w:rsid w:val="00BD3539"/>
    <w:pPr>
      <w:spacing w:before="160" w:after="0" w:line="240" w:lineRule="auto"/>
      <w:contextualSpacing/>
      <w:jc w:val="both"/>
    </w:pPr>
    <w:rPr>
      <w:rFonts w:ascii="Arial Narrow" w:eastAsia="Calibri" w:hAnsi="Arial Narrow"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34">
    <w:name w:val="UHP_GRAF1234"/>
    <w:basedOn w:val="Normlnatabuka"/>
    <w:uiPriority w:val="99"/>
    <w:rsid w:val="00BD3539"/>
    <w:pPr>
      <w:spacing w:before="160" w:after="0" w:line="240" w:lineRule="auto"/>
      <w:contextualSpacing/>
      <w:jc w:val="both"/>
    </w:pPr>
    <w:rPr>
      <w:rFonts w:ascii="Arial Narrow" w:eastAsia="Calibri" w:hAnsi="Arial Narrow"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riekatabuky1031">
    <w:name w:val="Mriežka tabuľky1031"/>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51">
    <w:name w:val="Bez zoznamu1111151"/>
    <w:next w:val="Bezzoznamu"/>
    <w:uiPriority w:val="99"/>
    <w:semiHidden/>
    <w:unhideWhenUsed/>
    <w:rsid w:val="00BD3539"/>
  </w:style>
  <w:style w:type="table" w:customStyle="1" w:styleId="Mriekatabuky8011">
    <w:name w:val="Mriežka tabuľky8011"/>
    <w:basedOn w:val="Normlnatabuka"/>
    <w:next w:val="Mriekatabuky"/>
    <w:uiPriority w:val="39"/>
    <w:rsid w:val="00BD3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HPGRAF134">
    <w:name w:val="UHP_GRAF134"/>
    <w:basedOn w:val="Normlnatabuka"/>
    <w:uiPriority w:val="99"/>
    <w:rsid w:val="00BD3539"/>
    <w:pPr>
      <w:spacing w:before="160" w:after="0" w:line="240" w:lineRule="auto"/>
      <w:contextualSpacing/>
      <w:jc w:val="both"/>
    </w:pPr>
    <w:rPr>
      <w:rFonts w:ascii="Arial Narrow" w:hAnsi="Arial Narrow"/>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riekatabuky1641">
    <w:name w:val="Mriežka tabuľky1641"/>
    <w:basedOn w:val="Normlnatabuka"/>
    <w:next w:val="Mriekatabuky"/>
    <w:uiPriority w:val="59"/>
    <w:rsid w:val="00BD3539"/>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731">
    <w:name w:val="Mriežka tabuľky1731"/>
    <w:basedOn w:val="Normlnatabuka"/>
    <w:next w:val="Mriekatabuky"/>
    <w:uiPriority w:val="39"/>
    <w:rsid w:val="00BD3539"/>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31">
    <w:name w:val="Mriežka tabuľky2531"/>
    <w:basedOn w:val="Normlnatabuka"/>
    <w:next w:val="Mriekatabuky"/>
    <w:uiPriority w:val="59"/>
    <w:rsid w:val="00BD3539"/>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BD353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Ind w:w="0" w:type="dxa"/>
      <w:tblCellMar>
        <w:top w:w="0" w:type="dxa"/>
        <w:left w:w="0" w:type="dxa"/>
        <w:bottom w:w="0" w:type="dxa"/>
        <w:right w:w="0" w:type="dxa"/>
      </w:tblCellMar>
    </w:tblPr>
  </w:style>
  <w:style w:type="table" w:customStyle="1" w:styleId="TableNormal211">
    <w:name w:val="Table Normal211"/>
    <w:rsid w:val="00BD3539"/>
    <w:pPr>
      <w:spacing w:after="200" w:line="276" w:lineRule="auto"/>
    </w:pPr>
    <w:rPr>
      <w:rFonts w:ascii="Arial Narrow" w:eastAsia="Arial Narrow" w:hAnsi="Arial Narrow" w:cs="Arial Narrow"/>
      <w:color w:val="000000"/>
      <w:lang w:val="en-US"/>
    </w:rPr>
    <w:tblPr>
      <w:tblCellMar>
        <w:top w:w="0" w:type="dxa"/>
        <w:left w:w="0" w:type="dxa"/>
        <w:bottom w:w="0" w:type="dxa"/>
        <w:right w:w="0" w:type="dxa"/>
      </w:tblCellMar>
    </w:tblPr>
  </w:style>
  <w:style w:type="table" w:customStyle="1" w:styleId="TableNormal31">
    <w:name w:val="Table Normal31"/>
    <w:rsid w:val="00BD3539"/>
    <w:pPr>
      <w:spacing w:after="200" w:line="276" w:lineRule="auto"/>
    </w:pPr>
    <w:rPr>
      <w:rFonts w:ascii="Arial Narrow" w:eastAsia="Arial Narrow" w:hAnsi="Arial Narrow" w:cs="Arial Narrow"/>
      <w:color w:val="000000"/>
      <w:lang w:val="en-US"/>
    </w:rPr>
    <w:tblPr>
      <w:tblCellMar>
        <w:top w:w="0" w:type="dxa"/>
        <w:left w:w="0" w:type="dxa"/>
        <w:bottom w:w="0" w:type="dxa"/>
        <w:right w:w="0" w:type="dxa"/>
      </w:tblCellMar>
    </w:tblPr>
  </w:style>
  <w:style w:type="table" w:customStyle="1" w:styleId="Tabukasmriekou1svetlzvraznenie1111">
    <w:name w:val="Tabuľka s mriežkou 1 – svetlá – zvýraznenie 1111"/>
    <w:basedOn w:val="Normlnatabuka"/>
    <w:next w:val="Tabukasmriekou1svetlzvraznenie1"/>
    <w:uiPriority w:val="46"/>
    <w:rsid w:val="00BD3539"/>
    <w:pPr>
      <w:spacing w:after="0" w:line="240" w:lineRule="auto"/>
    </w:pPr>
    <w:tblPr>
      <w:tblStyleRowBandSize w:val="1"/>
      <w:tblStyleColBandSize w:val="1"/>
      <w:tblBorders>
        <w:top w:val="single" w:sz="4" w:space="0" w:color="AAD6F1"/>
        <w:left w:val="single" w:sz="4" w:space="0" w:color="AAD6F1"/>
        <w:bottom w:val="single" w:sz="4" w:space="0" w:color="AAD6F1"/>
        <w:right w:val="single" w:sz="4" w:space="0" w:color="AAD6F1"/>
        <w:insideH w:val="single" w:sz="4" w:space="0" w:color="AAD6F1"/>
        <w:insideV w:val="single" w:sz="4" w:space="0" w:color="AAD6F1"/>
      </w:tblBorders>
    </w:tblPr>
    <w:tblStylePr w:type="firstRow">
      <w:rPr>
        <w:b/>
        <w:bCs/>
      </w:rPr>
      <w:tblPr/>
      <w:tcPr>
        <w:tcBorders>
          <w:bottom w:val="single" w:sz="12" w:space="0" w:color="80C2EA"/>
        </w:tcBorders>
      </w:tcPr>
    </w:tblStylePr>
    <w:tblStylePr w:type="lastRow">
      <w:rPr>
        <w:b/>
        <w:bCs/>
      </w:rPr>
      <w:tblPr/>
      <w:tcPr>
        <w:tcBorders>
          <w:top w:val="double" w:sz="2" w:space="0" w:color="80C2EA"/>
        </w:tcBorders>
      </w:tcPr>
    </w:tblStylePr>
    <w:tblStylePr w:type="firstCol">
      <w:rPr>
        <w:b/>
        <w:bCs/>
      </w:rPr>
    </w:tblStylePr>
    <w:tblStylePr w:type="lastCol">
      <w:rPr>
        <w:b/>
        <w:bCs/>
      </w:rPr>
    </w:tblStylePr>
  </w:style>
  <w:style w:type="table" w:customStyle="1" w:styleId="Tabukasmriekou1svetlzvraznenie121">
    <w:name w:val="Tabuľka s mriežkou 1 – svetlá – zvýraznenie 121"/>
    <w:basedOn w:val="Normlnatabuka"/>
    <w:next w:val="Tabukasmriekou1svetlzvraznenie1"/>
    <w:uiPriority w:val="46"/>
    <w:rsid w:val="00BD3539"/>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eGrid221">
    <w:name w:val="Table Grid221"/>
    <w:basedOn w:val="Normlnatabuka"/>
    <w:uiPriority w:val="39"/>
    <w:rsid w:val="00BD353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Normlnatabuka"/>
    <w:uiPriority w:val="39"/>
    <w:rsid w:val="00BD353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byajntabuka441">
    <w:name w:val="Obyčajná tabuľka 441"/>
    <w:basedOn w:val="Normlnatabuka"/>
    <w:next w:val="Obyajntabuka4"/>
    <w:uiPriority w:val="44"/>
    <w:rsid w:val="00BD353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Bezzoznamu11111131">
    <w:name w:val="Bez zoznamu11111131"/>
    <w:next w:val="Bezzoznamu"/>
    <w:uiPriority w:val="99"/>
    <w:semiHidden/>
    <w:unhideWhenUsed/>
    <w:rsid w:val="00BD3539"/>
  </w:style>
  <w:style w:type="numbering" w:customStyle="1" w:styleId="Bezzoznamu111111111">
    <w:name w:val="Bez zoznamu111111111"/>
    <w:next w:val="Bezzoznamu"/>
    <w:uiPriority w:val="99"/>
    <w:semiHidden/>
    <w:unhideWhenUsed/>
    <w:rsid w:val="00BD3539"/>
  </w:style>
  <w:style w:type="table" w:customStyle="1" w:styleId="Obyajntabuka4121">
    <w:name w:val="Obyčajná tabuľka 4121"/>
    <w:basedOn w:val="Normlnatabuka"/>
    <w:next w:val="Obyajntabuka4"/>
    <w:uiPriority w:val="44"/>
    <w:rsid w:val="00BD353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Bezzoznamu721">
    <w:name w:val="Bez zoznamu721"/>
    <w:next w:val="Bezzoznamu"/>
    <w:uiPriority w:val="99"/>
    <w:semiHidden/>
    <w:unhideWhenUsed/>
    <w:rsid w:val="00BD3539"/>
  </w:style>
  <w:style w:type="table" w:customStyle="1" w:styleId="Mriekatabuky1821">
    <w:name w:val="Mriežka tabuľky1821"/>
    <w:basedOn w:val="Normlnatabuka"/>
    <w:next w:val="Mriekatabuky"/>
    <w:uiPriority w:val="3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21">
    <w:name w:val="Mriežka tabuľky115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21">
    <w:name w:val="Mriežka tabuľky34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21">
    <w:name w:val="Mriežka tabuľky124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21">
    <w:name w:val="Mriežka tabuľky214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21">
    <w:name w:val="Mriežka tabuľky1114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21">
    <w:name w:val="Mriežka tabuľky4221"/>
    <w:basedOn w:val="Normlnatabuka"/>
    <w:next w:val="Mriekatabuky"/>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221">
    <w:name w:val="Mriežka tabuľky1322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221">
    <w:name w:val="Mriežka tabuľky2222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221">
    <w:name w:val="Mriežka tabuľky11222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21">
    <w:name w:val="Mriežka tabuľky3122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221">
    <w:name w:val="Mriežka tabuľky12122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221">
    <w:name w:val="Mriežka tabuľky21122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221">
    <w:name w:val="Mriežka tabuľky1111221"/>
    <w:basedOn w:val="Normlnatabuka"/>
    <w:uiPriority w:val="59"/>
    <w:rsid w:val="00BD353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221">
    <w:name w:val="Kalendár 2221"/>
    <w:basedOn w:val="Normlnatabuka"/>
    <w:uiPriority w:val="99"/>
    <w:qFormat/>
    <w:rsid w:val="00BD3539"/>
    <w:pPr>
      <w:spacing w:after="0" w:line="240" w:lineRule="auto"/>
      <w:jc w:val="center"/>
    </w:pPr>
    <w:rPr>
      <w:rFonts w:ascii="Calibri" w:eastAsia="Times New Roman" w:hAnsi="Calibri" w:cs="Times New Roman"/>
      <w:sz w:val="28"/>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321">
    <w:name w:val="Bez zoznamu1321"/>
    <w:next w:val="Bezzoznamu"/>
    <w:uiPriority w:val="99"/>
    <w:semiHidden/>
    <w:unhideWhenUsed/>
    <w:rsid w:val="00BD3539"/>
  </w:style>
  <w:style w:type="table" w:customStyle="1" w:styleId="Mriekatabuky5221">
    <w:name w:val="Mriežka tabuľky52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221">
    <w:name w:val="Mriežka tabuľky142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221">
    <w:name w:val="Mriežka tabuľky232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221">
    <w:name w:val="Mriežka tabuľky1132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221">
    <w:name w:val="Mriežka tabuľky322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221">
    <w:name w:val="Mriežka tabuľky1222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221">
    <w:name w:val="Mriežka tabuľky2122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221">
    <w:name w:val="Mriežka tabuľky1112221"/>
    <w:basedOn w:val="Normlnatabuka"/>
    <w:next w:val="Mriekatabuky"/>
    <w:uiPriority w:val="59"/>
    <w:rsid w:val="00BD353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21">
    <w:name w:val="Bez zoznamu2221"/>
    <w:next w:val="Bezzoznamu"/>
    <w:uiPriority w:val="99"/>
    <w:semiHidden/>
    <w:unhideWhenUsed/>
    <w:rsid w:val="00BD3539"/>
  </w:style>
  <w:style w:type="table" w:customStyle="1" w:styleId="Mriekatabuky6221">
    <w:name w:val="Mriežka tabuľky6221"/>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221">
    <w:name w:val="Bez zoznamu3221"/>
    <w:next w:val="Bezzoznamu"/>
    <w:uiPriority w:val="99"/>
    <w:semiHidden/>
    <w:unhideWhenUsed/>
    <w:rsid w:val="00BD3539"/>
  </w:style>
  <w:style w:type="table" w:customStyle="1" w:styleId="Mriekatabuky7221">
    <w:name w:val="Mriežka tabuľky7221"/>
    <w:basedOn w:val="Normlnatabuka"/>
    <w:next w:val="Mriekatabuky"/>
    <w:rsid w:val="00BD353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321">
    <w:name w:val="Bez zoznamu11321"/>
    <w:next w:val="Bezzoznamu"/>
    <w:uiPriority w:val="99"/>
    <w:semiHidden/>
    <w:unhideWhenUsed/>
    <w:rsid w:val="00BD3539"/>
  </w:style>
  <w:style w:type="table" w:customStyle="1" w:styleId="Mriekatabukysvetl1221">
    <w:name w:val="Mriežka tabuľky – svetlá1221"/>
    <w:basedOn w:val="Normlnatabuka"/>
    <w:uiPriority w:val="40"/>
    <w:rsid w:val="00BD353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4121">
    <w:name w:val="Bez zoznamu4121"/>
    <w:next w:val="Bezzoznamu"/>
    <w:uiPriority w:val="99"/>
    <w:semiHidden/>
    <w:unhideWhenUsed/>
    <w:rsid w:val="00BD3539"/>
  </w:style>
  <w:style w:type="numbering" w:customStyle="1" w:styleId="Bezzoznamu111221">
    <w:name w:val="Bez zoznamu111221"/>
    <w:next w:val="Bezzoznamu"/>
    <w:uiPriority w:val="99"/>
    <w:semiHidden/>
    <w:unhideWhenUsed/>
    <w:rsid w:val="00BD3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1697">
      <w:bodyDiv w:val="1"/>
      <w:marLeft w:val="0"/>
      <w:marRight w:val="0"/>
      <w:marTop w:val="0"/>
      <w:marBottom w:val="0"/>
      <w:divBdr>
        <w:top w:val="none" w:sz="0" w:space="0" w:color="auto"/>
        <w:left w:val="none" w:sz="0" w:space="0" w:color="auto"/>
        <w:bottom w:val="none" w:sz="0" w:space="0" w:color="auto"/>
        <w:right w:val="none" w:sz="0" w:space="0" w:color="auto"/>
      </w:divBdr>
    </w:div>
    <w:div w:id="33508936">
      <w:bodyDiv w:val="1"/>
      <w:marLeft w:val="0"/>
      <w:marRight w:val="0"/>
      <w:marTop w:val="0"/>
      <w:marBottom w:val="0"/>
      <w:divBdr>
        <w:top w:val="none" w:sz="0" w:space="0" w:color="auto"/>
        <w:left w:val="none" w:sz="0" w:space="0" w:color="auto"/>
        <w:bottom w:val="none" w:sz="0" w:space="0" w:color="auto"/>
        <w:right w:val="none" w:sz="0" w:space="0" w:color="auto"/>
      </w:divBdr>
    </w:div>
    <w:div w:id="151912539">
      <w:bodyDiv w:val="1"/>
      <w:marLeft w:val="0"/>
      <w:marRight w:val="0"/>
      <w:marTop w:val="0"/>
      <w:marBottom w:val="0"/>
      <w:divBdr>
        <w:top w:val="none" w:sz="0" w:space="0" w:color="auto"/>
        <w:left w:val="none" w:sz="0" w:space="0" w:color="auto"/>
        <w:bottom w:val="none" w:sz="0" w:space="0" w:color="auto"/>
        <w:right w:val="none" w:sz="0" w:space="0" w:color="auto"/>
      </w:divBdr>
    </w:div>
    <w:div w:id="267279744">
      <w:bodyDiv w:val="1"/>
      <w:marLeft w:val="0"/>
      <w:marRight w:val="0"/>
      <w:marTop w:val="0"/>
      <w:marBottom w:val="0"/>
      <w:divBdr>
        <w:top w:val="none" w:sz="0" w:space="0" w:color="auto"/>
        <w:left w:val="none" w:sz="0" w:space="0" w:color="auto"/>
        <w:bottom w:val="none" w:sz="0" w:space="0" w:color="auto"/>
        <w:right w:val="none" w:sz="0" w:space="0" w:color="auto"/>
      </w:divBdr>
    </w:div>
    <w:div w:id="406847973">
      <w:bodyDiv w:val="1"/>
      <w:marLeft w:val="0"/>
      <w:marRight w:val="0"/>
      <w:marTop w:val="0"/>
      <w:marBottom w:val="0"/>
      <w:divBdr>
        <w:top w:val="none" w:sz="0" w:space="0" w:color="auto"/>
        <w:left w:val="none" w:sz="0" w:space="0" w:color="auto"/>
        <w:bottom w:val="none" w:sz="0" w:space="0" w:color="auto"/>
        <w:right w:val="none" w:sz="0" w:space="0" w:color="auto"/>
      </w:divBdr>
    </w:div>
    <w:div w:id="413354048">
      <w:bodyDiv w:val="1"/>
      <w:marLeft w:val="0"/>
      <w:marRight w:val="0"/>
      <w:marTop w:val="0"/>
      <w:marBottom w:val="0"/>
      <w:divBdr>
        <w:top w:val="none" w:sz="0" w:space="0" w:color="auto"/>
        <w:left w:val="none" w:sz="0" w:space="0" w:color="auto"/>
        <w:bottom w:val="none" w:sz="0" w:space="0" w:color="auto"/>
        <w:right w:val="none" w:sz="0" w:space="0" w:color="auto"/>
      </w:divBdr>
    </w:div>
    <w:div w:id="426315682">
      <w:bodyDiv w:val="1"/>
      <w:marLeft w:val="0"/>
      <w:marRight w:val="0"/>
      <w:marTop w:val="0"/>
      <w:marBottom w:val="0"/>
      <w:divBdr>
        <w:top w:val="none" w:sz="0" w:space="0" w:color="auto"/>
        <w:left w:val="none" w:sz="0" w:space="0" w:color="auto"/>
        <w:bottom w:val="none" w:sz="0" w:space="0" w:color="auto"/>
        <w:right w:val="none" w:sz="0" w:space="0" w:color="auto"/>
      </w:divBdr>
    </w:div>
    <w:div w:id="595211516">
      <w:bodyDiv w:val="1"/>
      <w:marLeft w:val="0"/>
      <w:marRight w:val="0"/>
      <w:marTop w:val="0"/>
      <w:marBottom w:val="0"/>
      <w:divBdr>
        <w:top w:val="none" w:sz="0" w:space="0" w:color="auto"/>
        <w:left w:val="none" w:sz="0" w:space="0" w:color="auto"/>
        <w:bottom w:val="none" w:sz="0" w:space="0" w:color="auto"/>
        <w:right w:val="none" w:sz="0" w:space="0" w:color="auto"/>
      </w:divBdr>
    </w:div>
    <w:div w:id="620767577">
      <w:bodyDiv w:val="1"/>
      <w:marLeft w:val="0"/>
      <w:marRight w:val="0"/>
      <w:marTop w:val="0"/>
      <w:marBottom w:val="0"/>
      <w:divBdr>
        <w:top w:val="none" w:sz="0" w:space="0" w:color="auto"/>
        <w:left w:val="none" w:sz="0" w:space="0" w:color="auto"/>
        <w:bottom w:val="none" w:sz="0" w:space="0" w:color="auto"/>
        <w:right w:val="none" w:sz="0" w:space="0" w:color="auto"/>
      </w:divBdr>
    </w:div>
    <w:div w:id="681661750">
      <w:bodyDiv w:val="1"/>
      <w:marLeft w:val="0"/>
      <w:marRight w:val="0"/>
      <w:marTop w:val="0"/>
      <w:marBottom w:val="0"/>
      <w:divBdr>
        <w:top w:val="none" w:sz="0" w:space="0" w:color="auto"/>
        <w:left w:val="none" w:sz="0" w:space="0" w:color="auto"/>
        <w:bottom w:val="none" w:sz="0" w:space="0" w:color="auto"/>
        <w:right w:val="none" w:sz="0" w:space="0" w:color="auto"/>
      </w:divBdr>
    </w:div>
    <w:div w:id="728959699">
      <w:bodyDiv w:val="1"/>
      <w:marLeft w:val="0"/>
      <w:marRight w:val="0"/>
      <w:marTop w:val="0"/>
      <w:marBottom w:val="0"/>
      <w:divBdr>
        <w:top w:val="none" w:sz="0" w:space="0" w:color="auto"/>
        <w:left w:val="none" w:sz="0" w:space="0" w:color="auto"/>
        <w:bottom w:val="none" w:sz="0" w:space="0" w:color="auto"/>
        <w:right w:val="none" w:sz="0" w:space="0" w:color="auto"/>
      </w:divBdr>
    </w:div>
    <w:div w:id="731731721">
      <w:bodyDiv w:val="1"/>
      <w:marLeft w:val="0"/>
      <w:marRight w:val="0"/>
      <w:marTop w:val="0"/>
      <w:marBottom w:val="0"/>
      <w:divBdr>
        <w:top w:val="none" w:sz="0" w:space="0" w:color="auto"/>
        <w:left w:val="none" w:sz="0" w:space="0" w:color="auto"/>
        <w:bottom w:val="none" w:sz="0" w:space="0" w:color="auto"/>
        <w:right w:val="none" w:sz="0" w:space="0" w:color="auto"/>
      </w:divBdr>
    </w:div>
    <w:div w:id="1005129816">
      <w:bodyDiv w:val="1"/>
      <w:marLeft w:val="0"/>
      <w:marRight w:val="0"/>
      <w:marTop w:val="0"/>
      <w:marBottom w:val="0"/>
      <w:divBdr>
        <w:top w:val="none" w:sz="0" w:space="0" w:color="auto"/>
        <w:left w:val="none" w:sz="0" w:space="0" w:color="auto"/>
        <w:bottom w:val="none" w:sz="0" w:space="0" w:color="auto"/>
        <w:right w:val="none" w:sz="0" w:space="0" w:color="auto"/>
      </w:divBdr>
    </w:div>
    <w:div w:id="1011838649">
      <w:bodyDiv w:val="1"/>
      <w:marLeft w:val="0"/>
      <w:marRight w:val="0"/>
      <w:marTop w:val="0"/>
      <w:marBottom w:val="0"/>
      <w:divBdr>
        <w:top w:val="none" w:sz="0" w:space="0" w:color="auto"/>
        <w:left w:val="none" w:sz="0" w:space="0" w:color="auto"/>
        <w:bottom w:val="none" w:sz="0" w:space="0" w:color="auto"/>
        <w:right w:val="none" w:sz="0" w:space="0" w:color="auto"/>
      </w:divBdr>
    </w:div>
    <w:div w:id="1020740455">
      <w:bodyDiv w:val="1"/>
      <w:marLeft w:val="0"/>
      <w:marRight w:val="0"/>
      <w:marTop w:val="0"/>
      <w:marBottom w:val="0"/>
      <w:divBdr>
        <w:top w:val="none" w:sz="0" w:space="0" w:color="auto"/>
        <w:left w:val="none" w:sz="0" w:space="0" w:color="auto"/>
        <w:bottom w:val="none" w:sz="0" w:space="0" w:color="auto"/>
        <w:right w:val="none" w:sz="0" w:space="0" w:color="auto"/>
      </w:divBdr>
    </w:div>
    <w:div w:id="1097140304">
      <w:bodyDiv w:val="1"/>
      <w:marLeft w:val="0"/>
      <w:marRight w:val="0"/>
      <w:marTop w:val="0"/>
      <w:marBottom w:val="0"/>
      <w:divBdr>
        <w:top w:val="none" w:sz="0" w:space="0" w:color="auto"/>
        <w:left w:val="none" w:sz="0" w:space="0" w:color="auto"/>
        <w:bottom w:val="none" w:sz="0" w:space="0" w:color="auto"/>
        <w:right w:val="none" w:sz="0" w:space="0" w:color="auto"/>
      </w:divBdr>
    </w:div>
    <w:div w:id="1306473876">
      <w:bodyDiv w:val="1"/>
      <w:marLeft w:val="0"/>
      <w:marRight w:val="0"/>
      <w:marTop w:val="0"/>
      <w:marBottom w:val="0"/>
      <w:divBdr>
        <w:top w:val="none" w:sz="0" w:space="0" w:color="auto"/>
        <w:left w:val="none" w:sz="0" w:space="0" w:color="auto"/>
        <w:bottom w:val="none" w:sz="0" w:space="0" w:color="auto"/>
        <w:right w:val="none" w:sz="0" w:space="0" w:color="auto"/>
      </w:divBdr>
    </w:div>
    <w:div w:id="1355039380">
      <w:bodyDiv w:val="1"/>
      <w:marLeft w:val="0"/>
      <w:marRight w:val="0"/>
      <w:marTop w:val="0"/>
      <w:marBottom w:val="0"/>
      <w:divBdr>
        <w:top w:val="none" w:sz="0" w:space="0" w:color="auto"/>
        <w:left w:val="none" w:sz="0" w:space="0" w:color="auto"/>
        <w:bottom w:val="none" w:sz="0" w:space="0" w:color="auto"/>
        <w:right w:val="none" w:sz="0" w:space="0" w:color="auto"/>
      </w:divBdr>
    </w:div>
    <w:div w:id="1426799752">
      <w:bodyDiv w:val="1"/>
      <w:marLeft w:val="0"/>
      <w:marRight w:val="0"/>
      <w:marTop w:val="0"/>
      <w:marBottom w:val="0"/>
      <w:divBdr>
        <w:top w:val="none" w:sz="0" w:space="0" w:color="auto"/>
        <w:left w:val="none" w:sz="0" w:space="0" w:color="auto"/>
        <w:bottom w:val="none" w:sz="0" w:space="0" w:color="auto"/>
        <w:right w:val="none" w:sz="0" w:space="0" w:color="auto"/>
      </w:divBdr>
    </w:div>
    <w:div w:id="1750421697">
      <w:bodyDiv w:val="1"/>
      <w:marLeft w:val="0"/>
      <w:marRight w:val="0"/>
      <w:marTop w:val="0"/>
      <w:marBottom w:val="0"/>
      <w:divBdr>
        <w:top w:val="none" w:sz="0" w:space="0" w:color="auto"/>
        <w:left w:val="none" w:sz="0" w:space="0" w:color="auto"/>
        <w:bottom w:val="none" w:sz="0" w:space="0" w:color="auto"/>
        <w:right w:val="none" w:sz="0" w:space="0" w:color="auto"/>
      </w:divBdr>
    </w:div>
    <w:div w:id="1820149220">
      <w:bodyDiv w:val="1"/>
      <w:marLeft w:val="0"/>
      <w:marRight w:val="0"/>
      <w:marTop w:val="0"/>
      <w:marBottom w:val="0"/>
      <w:divBdr>
        <w:top w:val="none" w:sz="0" w:space="0" w:color="auto"/>
        <w:left w:val="none" w:sz="0" w:space="0" w:color="auto"/>
        <w:bottom w:val="none" w:sz="0" w:space="0" w:color="auto"/>
        <w:right w:val="none" w:sz="0" w:space="0" w:color="auto"/>
      </w:divBdr>
    </w:div>
    <w:div w:id="1862813457">
      <w:bodyDiv w:val="1"/>
      <w:marLeft w:val="0"/>
      <w:marRight w:val="0"/>
      <w:marTop w:val="0"/>
      <w:marBottom w:val="0"/>
      <w:divBdr>
        <w:top w:val="none" w:sz="0" w:space="0" w:color="auto"/>
        <w:left w:val="none" w:sz="0" w:space="0" w:color="auto"/>
        <w:bottom w:val="none" w:sz="0" w:space="0" w:color="auto"/>
        <w:right w:val="none" w:sz="0" w:space="0" w:color="auto"/>
      </w:divBdr>
    </w:div>
    <w:div w:id="1904751736">
      <w:bodyDiv w:val="1"/>
      <w:marLeft w:val="0"/>
      <w:marRight w:val="0"/>
      <w:marTop w:val="0"/>
      <w:marBottom w:val="0"/>
      <w:divBdr>
        <w:top w:val="none" w:sz="0" w:space="0" w:color="auto"/>
        <w:left w:val="none" w:sz="0" w:space="0" w:color="auto"/>
        <w:bottom w:val="none" w:sz="0" w:space="0" w:color="auto"/>
        <w:right w:val="none" w:sz="0" w:space="0" w:color="auto"/>
      </w:divBdr>
    </w:div>
    <w:div w:id="209978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chart" Target="charts/chart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rozpoctovarada.sk/images/Legislativa_SR/Zakon_493_2011_20121028.pdf" TargetMode="Externa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eur-lex.europa.eu/legal-content/SK/TXT/PDF/?uri=CELEX:32011L0085&amp;from=SK" TargetMode="External"/><Relationship Id="rId23" Type="http://schemas.openxmlformats.org/officeDocument/2006/relationships/header" Target="header1.xml"/><Relationship Id="rId10" Type="http://schemas.openxmlformats.org/officeDocument/2006/relationships/chart" Target="charts/chart1.xm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chart" Target="charts/chart8.xml"/></Relationships>
</file>

<file path=word/_rels/footnotes.xml.rels><?xml version="1.0" encoding="UTF-8" standalone="yes"?>
<Relationships xmlns="http://schemas.openxmlformats.org/package/2006/relationships"><Relationship Id="rId3" Type="http://schemas.openxmlformats.org/officeDocument/2006/relationships/hyperlink" Target="https://www.mfsr.sk/sk/financie/institut-financnej-politiky/ekonomicke-prognozy/danove-prognozy/danove-prognozy.html" TargetMode="External"/><Relationship Id="rId2" Type="http://schemas.openxmlformats.org/officeDocument/2006/relationships/hyperlink" Target="https://www.nrsr.sk/web/Default.aspx?sid=zakony/zakon&amp;MasterID=8671" TargetMode="External"/><Relationship Id="rId1" Type="http://schemas.openxmlformats.org/officeDocument/2006/relationships/hyperlink" Target="https://www.mhsr.sk/prehlad-pomoci?csrt=7459046516954571966"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VM-DFS.mf.mfsr.sk\FileShare\ADRESARE\IFP_NEW\5_MATERIALY\5_3_Strategicke_materialy\Rozpocet\56_RVS_2024_2026_december_2023\fiskal\DLH_Model_2023_DBP_ciele.xlsm"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VM-DFS.mf.mfsr.sk\FileShare\ADRESARE\IFP_NEW\5_MATERIALY\5_3_Strategicke_materialy\Rozpocet\56_RVS_2024_2026_december_2023\fiskal\DLH_Model_2023_DBP_ciele.xlsm"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mtoceny\Desktop\MF%20SR%20-%20moje%20v&#253;stupy\data%20BR\tabu&#318;ky%20do%20knihy\NRV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mtoceny\Desktop\MF%20SR%20-%20moje%20v&#253;stupy\data%20BR\tabu&#318;ky%20do%20knihy\NRV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mtoceny\Desktop\MF%20SR%20-%20moje%20v&#253;stupy\data%20BR\tabu&#318;ky%20do%20knihy\NRVS.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mtoceny\Desktop\MF%20SR%20-%20moje%20v&#253;stupy\data%20BR\tabu&#318;ky%20do%20knihy\NRVS.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mtoceny\Desktop\MF%20SR%20-%20moje%20v&#253;stupy\data%20BR\tabu&#318;ky%20do%20knihy\NRVS.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VM-DFS.mf.mfsr.sk\FileShare\ADRESARE\VPS_VPS\ROZPOCET\VPS2024\VLADA\TEXT%20KNIHA\Parlamentn&#225;%20kniha_realistick&#253;\Master%20tabu&#318;ky\Master_tabu&#318;ky_parlamentn&#225;%20kniha_24_2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192709210695847E-2"/>
          <c:y val="4.2553191489361701E-2"/>
          <c:w val="0.90847981747355289"/>
          <c:h val="0.67187816512562482"/>
        </c:manualLayout>
      </c:layout>
      <c:areaChart>
        <c:grouping val="stacked"/>
        <c:varyColors val="0"/>
        <c:ser>
          <c:idx val="0"/>
          <c:order val="0"/>
          <c:tx>
            <c:v>Čistý dlh VS</c:v>
          </c:tx>
          <c:spPr>
            <a:solidFill>
              <a:srgbClr val="2C9ADC"/>
            </a:solidFill>
            <a:ln w="19050" cap="rnd">
              <a:noFill/>
              <a:round/>
            </a:ln>
            <a:effectLst/>
          </c:spPr>
          <c:cat>
            <c:numRef>
              <c:f>'Cisty dlh'!$D$2:$AC$2</c:f>
              <c:numCache>
                <c:formatCode>General</c:formatCode>
                <c:ptCount val="11"/>
                <c:pt idx="0">
                  <c:v>2016</c:v>
                </c:pt>
                <c:pt idx="1">
                  <c:v>2017</c:v>
                </c:pt>
                <c:pt idx="2">
                  <c:v>2018</c:v>
                </c:pt>
                <c:pt idx="3">
                  <c:v>2019</c:v>
                </c:pt>
                <c:pt idx="4">
                  <c:v>2020</c:v>
                </c:pt>
                <c:pt idx="5">
                  <c:v>2021</c:v>
                </c:pt>
                <c:pt idx="6">
                  <c:v>2022</c:v>
                </c:pt>
                <c:pt idx="7">
                  <c:v>2023</c:v>
                </c:pt>
                <c:pt idx="8">
                  <c:v>2024</c:v>
                </c:pt>
                <c:pt idx="9">
                  <c:v>2025</c:v>
                </c:pt>
                <c:pt idx="10">
                  <c:v>2026</c:v>
                </c:pt>
              </c:numCache>
              <c:extLst/>
            </c:numRef>
          </c:cat>
          <c:val>
            <c:numRef>
              <c:f>'Cisty dlh'!$D$21:$AC$21</c:f>
              <c:numCache>
                <c:formatCode>#\ ##0.0</c:formatCode>
                <c:ptCount val="11"/>
                <c:pt idx="0">
                  <c:v>46.928444657557399</c:v>
                </c:pt>
                <c:pt idx="1">
                  <c:v>45.741709297628958</c:v>
                </c:pt>
                <c:pt idx="2">
                  <c:v>43.330589179314366</c:v>
                </c:pt>
                <c:pt idx="3">
                  <c:v>43.084427199593719</c:v>
                </c:pt>
                <c:pt idx="4">
                  <c:v>48.882573597801191</c:v>
                </c:pt>
                <c:pt idx="5">
                  <c:v>49.641014501307112</c:v>
                </c:pt>
                <c:pt idx="6">
                  <c:v>47.682873148354609</c:v>
                </c:pt>
                <c:pt idx="7">
                  <c:v>49.625551710882938</c:v>
                </c:pt>
                <c:pt idx="8">
                  <c:v>52.670774720755666</c:v>
                </c:pt>
                <c:pt idx="9">
                  <c:v>54.525204277360842</c:v>
                </c:pt>
                <c:pt idx="10">
                  <c:v>56.760777749091496</c:v>
                </c:pt>
              </c:numCache>
              <c:extLst/>
            </c:numRef>
          </c:val>
          <c:extLst>
            <c:ext xmlns:c16="http://schemas.microsoft.com/office/drawing/2014/chart" uri="{C3380CC4-5D6E-409C-BE32-E72D297353CC}">
              <c16:uniqueId val="{00000000-53C2-46BD-AFD6-15FB7E8F1989}"/>
            </c:ext>
          </c:extLst>
        </c:ser>
        <c:ser>
          <c:idx val="1"/>
          <c:order val="1"/>
          <c:tx>
            <c:v>Likvidné finančné aktíva</c:v>
          </c:tx>
          <c:spPr>
            <a:solidFill>
              <a:schemeClr val="accent1">
                <a:lumMod val="40000"/>
                <a:lumOff val="60000"/>
              </a:schemeClr>
            </a:solidFill>
            <a:ln w="25400">
              <a:noFill/>
            </a:ln>
          </c:spPr>
          <c:cat>
            <c:numRef>
              <c:f>'Cisty dlh'!$D$2:$AC$2</c:f>
              <c:numCache>
                <c:formatCode>General</c:formatCode>
                <c:ptCount val="11"/>
                <c:pt idx="0">
                  <c:v>2016</c:v>
                </c:pt>
                <c:pt idx="1">
                  <c:v>2017</c:v>
                </c:pt>
                <c:pt idx="2">
                  <c:v>2018</c:v>
                </c:pt>
                <c:pt idx="3">
                  <c:v>2019</c:v>
                </c:pt>
                <c:pt idx="4">
                  <c:v>2020</c:v>
                </c:pt>
                <c:pt idx="5">
                  <c:v>2021</c:v>
                </c:pt>
                <c:pt idx="6">
                  <c:v>2022</c:v>
                </c:pt>
                <c:pt idx="7">
                  <c:v>2023</c:v>
                </c:pt>
                <c:pt idx="8">
                  <c:v>2024</c:v>
                </c:pt>
                <c:pt idx="9">
                  <c:v>2025</c:v>
                </c:pt>
                <c:pt idx="10">
                  <c:v>2026</c:v>
                </c:pt>
              </c:numCache>
              <c:extLst/>
            </c:numRef>
          </c:cat>
          <c:val>
            <c:numRef>
              <c:f>'Cisty dlh'!$D$14:$AC$14</c:f>
              <c:numCache>
                <c:formatCode>#\ ##0.0</c:formatCode>
                <c:ptCount val="11"/>
                <c:pt idx="0">
                  <c:v>5.3464461545574054</c:v>
                </c:pt>
                <c:pt idx="1">
                  <c:v>5.7198618583088301</c:v>
                </c:pt>
                <c:pt idx="2">
                  <c:v>6.0774616498550937</c:v>
                </c:pt>
                <c:pt idx="3">
                  <c:v>4.8936916416602427</c:v>
                </c:pt>
                <c:pt idx="4">
                  <c:v>9.9685270645670307</c:v>
                </c:pt>
                <c:pt idx="5">
                  <c:v>11.440544126155155</c:v>
                </c:pt>
                <c:pt idx="6">
                  <c:v>10.11991552679596</c:v>
                </c:pt>
                <c:pt idx="7">
                  <c:v>7.1422987896275378</c:v>
                </c:pt>
                <c:pt idx="8">
                  <c:v>5.6425900118217847</c:v>
                </c:pt>
                <c:pt idx="9">
                  <c:v>5.0779857263714359</c:v>
                </c:pt>
                <c:pt idx="10">
                  <c:v>4.5926789943817052</c:v>
                </c:pt>
              </c:numCache>
              <c:extLst/>
            </c:numRef>
          </c:val>
          <c:extLst>
            <c:ext xmlns:c16="http://schemas.microsoft.com/office/drawing/2014/chart" uri="{C3380CC4-5D6E-409C-BE32-E72D297353CC}">
              <c16:uniqueId val="{00000001-53C2-46BD-AFD6-15FB7E8F1989}"/>
            </c:ext>
          </c:extLst>
        </c:ser>
        <c:dLbls>
          <c:showLegendKey val="0"/>
          <c:showVal val="0"/>
          <c:showCatName val="0"/>
          <c:showSerName val="0"/>
          <c:showPercent val="0"/>
          <c:showBubbleSize val="0"/>
        </c:dLbls>
        <c:axId val="560515240"/>
        <c:axId val="560515632"/>
      </c:areaChart>
      <c:lineChart>
        <c:grouping val="standard"/>
        <c:varyColors val="0"/>
        <c:ser>
          <c:idx val="2"/>
          <c:order val="2"/>
          <c:tx>
            <c:v>Hrubý dlh VS</c:v>
          </c:tx>
          <c:spPr>
            <a:ln>
              <a:noFill/>
            </a:ln>
          </c:spPr>
          <c:marker>
            <c:symbol val="circle"/>
            <c:size val="4"/>
            <c:spPr>
              <a:solidFill>
                <a:srgbClr val="002060"/>
              </a:solidFill>
              <a:ln>
                <a:noFill/>
              </a:ln>
            </c:spPr>
          </c:marker>
          <c:dLbls>
            <c:dLbl>
              <c:idx val="8"/>
              <c:layout>
                <c:manualLayout>
                  <c:x val="-5.1546577980497214E-2"/>
                  <c:y val="4.4178210866795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3C2-46BD-AFD6-15FB7E8F1989}"/>
                </c:ext>
              </c:extLst>
            </c:dLbl>
            <c:dLbl>
              <c:idx val="9"/>
              <c:layout>
                <c:manualLayout>
                  <c:x val="-5.5643259668330072E-2"/>
                  <c:y val="3.89914888750938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3C2-46BD-AFD6-15FB7E8F1989}"/>
                </c:ext>
              </c:extLst>
            </c:dLbl>
            <c:dLbl>
              <c:idx val="10"/>
              <c:layout>
                <c:manualLayout>
                  <c:x val="-1.5020992664931414E-16"/>
                  <c:y val="-1.03734439834024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3C2-46BD-AFD6-15FB7E8F1989}"/>
                </c:ext>
              </c:extLst>
            </c:dLbl>
            <c:numFmt formatCode="#,##0.0" sourceLinked="0"/>
            <c:spPr>
              <a:noFill/>
              <a:ln>
                <a:noFill/>
              </a:ln>
              <a:effectLst/>
            </c:spPr>
            <c:txPr>
              <a:bodyPr/>
              <a:lstStyle/>
              <a:p>
                <a:pPr>
                  <a:defRPr b="1"/>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Lit>
              <c:ptCount val="11"/>
              <c:pt idx="0">
                <c:v>2016</c:v>
              </c:pt>
              <c:pt idx="1">
                <c:v>2017</c:v>
              </c:pt>
              <c:pt idx="2">
                <c:v>2018</c:v>
              </c:pt>
              <c:pt idx="3">
                <c:v>2019</c:v>
              </c:pt>
              <c:pt idx="4">
                <c:v>2020</c:v>
              </c:pt>
              <c:pt idx="5">
                <c:v>2021</c:v>
              </c:pt>
              <c:pt idx="6">
                <c:v>2022</c:v>
              </c:pt>
              <c:pt idx="7">
                <c:v>2023</c:v>
              </c:pt>
              <c:pt idx="8">
                <c:v>2024</c:v>
              </c:pt>
              <c:pt idx="9">
                <c:v>2025</c:v>
              </c:pt>
              <c:pt idx="10">
                <c:v>2026</c:v>
              </c:pt>
              <c:extLst>
                <c:ext xmlns:c15="http://schemas.microsoft.com/office/drawing/2012/chart" uri="{02D57815-91ED-43cb-92C2-25804820EDAC}">
                  <c15:autoCat val="1"/>
                </c:ext>
              </c:extLst>
            </c:strLit>
          </c:cat>
          <c:val>
            <c:numRef>
              <c:f>'Cisty dlh'!$D$4:$AC$4</c:f>
              <c:numCache>
                <c:formatCode>#\ ##0.0</c:formatCode>
                <c:ptCount val="11"/>
                <c:pt idx="0">
                  <c:v>52.274890812114805</c:v>
                </c:pt>
                <c:pt idx="1">
                  <c:v>51.46157115593779</c:v>
                </c:pt>
                <c:pt idx="2">
                  <c:v>49.408050829169454</c:v>
                </c:pt>
                <c:pt idx="3">
                  <c:v>47.978118841253959</c:v>
                </c:pt>
                <c:pt idx="4">
                  <c:v>58.851100662368225</c:v>
                </c:pt>
                <c:pt idx="5">
                  <c:v>61.081558627462272</c:v>
                </c:pt>
                <c:pt idx="6">
                  <c:v>57.802788675150573</c:v>
                </c:pt>
                <c:pt idx="7">
                  <c:v>56.767850500510477</c:v>
                </c:pt>
                <c:pt idx="8">
                  <c:v>58.31336473257744</c:v>
                </c:pt>
                <c:pt idx="9">
                  <c:v>59.603190003732273</c:v>
                </c:pt>
                <c:pt idx="10">
                  <c:v>61.353456743473203</c:v>
                </c:pt>
              </c:numCache>
              <c:extLst/>
            </c:numRef>
          </c:val>
          <c:smooth val="0"/>
          <c:extLst>
            <c:ext xmlns:c16="http://schemas.microsoft.com/office/drawing/2014/chart" uri="{C3380CC4-5D6E-409C-BE32-E72D297353CC}">
              <c16:uniqueId val="{00000005-53C2-46BD-AFD6-15FB7E8F1989}"/>
            </c:ext>
          </c:extLst>
        </c:ser>
        <c:ser>
          <c:idx val="3"/>
          <c:order val="3"/>
          <c:spPr>
            <a:ln w="28575">
              <a:noFill/>
            </a:ln>
          </c:spPr>
          <c:marker>
            <c:symbol val="diamond"/>
            <c:size val="7"/>
            <c:spPr>
              <a:noFill/>
              <a:ln>
                <a:noFill/>
              </a:ln>
            </c:spPr>
          </c:marker>
          <c:cat>
            <c:strLit>
              <c:ptCount val="11"/>
              <c:pt idx="0">
                <c:v>2016</c:v>
              </c:pt>
              <c:pt idx="1">
                <c:v>2017</c:v>
              </c:pt>
              <c:pt idx="2">
                <c:v>2018</c:v>
              </c:pt>
              <c:pt idx="3">
                <c:v>2019</c:v>
              </c:pt>
              <c:pt idx="4">
                <c:v>2020</c:v>
              </c:pt>
              <c:pt idx="5">
                <c:v>2021</c:v>
              </c:pt>
              <c:pt idx="6">
                <c:v>2022</c:v>
              </c:pt>
              <c:pt idx="7">
                <c:v>2023</c:v>
              </c:pt>
              <c:pt idx="8">
                <c:v>2024</c:v>
              </c:pt>
              <c:pt idx="9">
                <c:v>2025</c:v>
              </c:pt>
              <c:pt idx="10">
                <c:v>2026</c:v>
              </c:pt>
              <c:extLst>
                <c:ext xmlns:c15="http://schemas.microsoft.com/office/drawing/2012/chart" uri="{02D57815-91ED-43cb-92C2-25804820EDAC}">
                  <c15:autoCat val="1"/>
                </c:ext>
              </c:extLst>
            </c:strLit>
          </c:cat>
          <c:val>
            <c:numRef>
              <c:f>'Cisty dlh'!$D$21:$AC$21</c:f>
              <c:numCache>
                <c:formatCode>#\ ##0.0</c:formatCode>
                <c:ptCount val="11"/>
                <c:pt idx="0">
                  <c:v>46.928444657557399</c:v>
                </c:pt>
                <c:pt idx="1">
                  <c:v>45.741709297628958</c:v>
                </c:pt>
                <c:pt idx="2">
                  <c:v>43.330589179314366</c:v>
                </c:pt>
                <c:pt idx="3">
                  <c:v>43.084427199593719</c:v>
                </c:pt>
                <c:pt idx="4">
                  <c:v>48.882573597801191</c:v>
                </c:pt>
                <c:pt idx="5">
                  <c:v>49.641014501307112</c:v>
                </c:pt>
                <c:pt idx="6">
                  <c:v>47.682873148354609</c:v>
                </c:pt>
                <c:pt idx="7">
                  <c:v>49.625551710882938</c:v>
                </c:pt>
                <c:pt idx="8">
                  <c:v>52.670774720755666</c:v>
                </c:pt>
                <c:pt idx="9">
                  <c:v>54.525204277360842</c:v>
                </c:pt>
                <c:pt idx="10">
                  <c:v>56.760777749091496</c:v>
                </c:pt>
              </c:numCache>
              <c:extLst/>
            </c:numRef>
          </c:val>
          <c:smooth val="0"/>
          <c:extLst>
            <c:ext xmlns:c16="http://schemas.microsoft.com/office/drawing/2014/chart" uri="{C3380CC4-5D6E-409C-BE32-E72D297353CC}">
              <c16:uniqueId val="{00000006-53C2-46BD-AFD6-15FB7E8F1989}"/>
            </c:ext>
          </c:extLst>
        </c:ser>
        <c:ser>
          <c:idx val="4"/>
          <c:order val="4"/>
          <c:tx>
            <c:v>Horné sankčné pásmo hrubého dlhu</c:v>
          </c:tx>
          <c:spPr>
            <a:ln w="19050">
              <a:solidFill>
                <a:srgbClr val="FF0000"/>
              </a:solidFill>
              <a:prstDash val="sysDot"/>
            </a:ln>
          </c:spPr>
          <c:marker>
            <c:symbol val="none"/>
          </c:marker>
          <c:cat>
            <c:strLit>
              <c:ptCount val="11"/>
              <c:pt idx="0">
                <c:v>2016</c:v>
              </c:pt>
              <c:pt idx="1">
                <c:v>2017</c:v>
              </c:pt>
              <c:pt idx="2">
                <c:v>2018</c:v>
              </c:pt>
              <c:pt idx="3">
                <c:v>2019</c:v>
              </c:pt>
              <c:pt idx="4">
                <c:v>2020</c:v>
              </c:pt>
              <c:pt idx="5">
                <c:v>2021</c:v>
              </c:pt>
              <c:pt idx="6">
                <c:v>2022</c:v>
              </c:pt>
              <c:pt idx="7">
                <c:v>2023</c:v>
              </c:pt>
              <c:pt idx="8">
                <c:v>2024</c:v>
              </c:pt>
              <c:pt idx="9">
                <c:v>2025</c:v>
              </c:pt>
              <c:pt idx="10">
                <c:v>2026</c:v>
              </c:pt>
              <c:extLst>
                <c:ext xmlns:c15="http://schemas.microsoft.com/office/drawing/2012/chart" uri="{02D57815-91ED-43cb-92C2-25804820EDAC}">
                  <c15:autoCat val="1"/>
                </c:ext>
              </c:extLst>
            </c:strLit>
          </c:cat>
          <c:val>
            <c:numRef>
              <c:f>'Cisty dlh'!$D$29:$AC$29</c:f>
              <c:numCache>
                <c:formatCode>General</c:formatCode>
                <c:ptCount val="11"/>
                <c:pt idx="0">
                  <c:v>60</c:v>
                </c:pt>
                <c:pt idx="1">
                  <c:v>60</c:v>
                </c:pt>
                <c:pt idx="2">
                  <c:v>59</c:v>
                </c:pt>
                <c:pt idx="3">
                  <c:v>58</c:v>
                </c:pt>
                <c:pt idx="4">
                  <c:v>57</c:v>
                </c:pt>
                <c:pt idx="5">
                  <c:v>56</c:v>
                </c:pt>
                <c:pt idx="6">
                  <c:v>55</c:v>
                </c:pt>
                <c:pt idx="7">
                  <c:v>54</c:v>
                </c:pt>
                <c:pt idx="8">
                  <c:v>53</c:v>
                </c:pt>
                <c:pt idx="9">
                  <c:v>52</c:v>
                </c:pt>
                <c:pt idx="10">
                  <c:v>51</c:v>
                </c:pt>
              </c:numCache>
              <c:extLst/>
            </c:numRef>
          </c:val>
          <c:smooth val="0"/>
          <c:extLst>
            <c:ext xmlns:c16="http://schemas.microsoft.com/office/drawing/2014/chart" uri="{C3380CC4-5D6E-409C-BE32-E72D297353CC}">
              <c16:uniqueId val="{00000007-53C2-46BD-AFD6-15FB7E8F1989}"/>
            </c:ext>
          </c:extLst>
        </c:ser>
        <c:ser>
          <c:idx val="6"/>
          <c:order val="7"/>
          <c:spPr>
            <a:ln w="28575">
              <a:noFill/>
            </a:ln>
          </c:spPr>
          <c:marker>
            <c:symbol val="none"/>
          </c:marker>
          <c:cat>
            <c:strLit>
              <c:ptCount val="11"/>
              <c:pt idx="0">
                <c:v>2016</c:v>
              </c:pt>
              <c:pt idx="1">
                <c:v>2017</c:v>
              </c:pt>
              <c:pt idx="2">
                <c:v>2018</c:v>
              </c:pt>
              <c:pt idx="3">
                <c:v>2019</c:v>
              </c:pt>
              <c:pt idx="4">
                <c:v>2020</c:v>
              </c:pt>
              <c:pt idx="5">
                <c:v>2021</c:v>
              </c:pt>
              <c:pt idx="6">
                <c:v>2022</c:v>
              </c:pt>
              <c:pt idx="7">
                <c:v>2023</c:v>
              </c:pt>
              <c:pt idx="8">
                <c:v>2024</c:v>
              </c:pt>
              <c:pt idx="9">
                <c:v>2025</c:v>
              </c:pt>
              <c:pt idx="10">
                <c:v>2026</c:v>
              </c:pt>
              <c:extLst>
                <c:ext xmlns:c15="http://schemas.microsoft.com/office/drawing/2012/chart" uri="{02D57815-91ED-43cb-92C2-25804820EDAC}">
                  <c15:autoCat val="1"/>
                </c:ext>
              </c:extLst>
            </c:strLit>
          </c:cat>
          <c:val>
            <c:numRef>
              <c:f>'Cisty dlh'!$D$21:$AC$21</c:f>
              <c:numCache>
                <c:formatCode>#\ ##0.0</c:formatCode>
                <c:ptCount val="11"/>
                <c:pt idx="0">
                  <c:v>46.928444657557399</c:v>
                </c:pt>
                <c:pt idx="1">
                  <c:v>45.741709297628958</c:v>
                </c:pt>
                <c:pt idx="2">
                  <c:v>43.330589179314366</c:v>
                </c:pt>
                <c:pt idx="3">
                  <c:v>43.084427199593719</c:v>
                </c:pt>
                <c:pt idx="4">
                  <c:v>48.882573597801191</c:v>
                </c:pt>
                <c:pt idx="5">
                  <c:v>49.641014501307112</c:v>
                </c:pt>
                <c:pt idx="6">
                  <c:v>47.682873148354609</c:v>
                </c:pt>
                <c:pt idx="7">
                  <c:v>49.625551710882938</c:v>
                </c:pt>
                <c:pt idx="8">
                  <c:v>52.670774720755666</c:v>
                </c:pt>
                <c:pt idx="9">
                  <c:v>54.525204277360842</c:v>
                </c:pt>
                <c:pt idx="10">
                  <c:v>56.760777749091496</c:v>
                </c:pt>
              </c:numCache>
              <c:extLst/>
            </c:numRef>
          </c:val>
          <c:smooth val="0"/>
          <c:extLst>
            <c:ext xmlns:c16="http://schemas.microsoft.com/office/drawing/2014/chart" uri="{C3380CC4-5D6E-409C-BE32-E72D297353CC}">
              <c16:uniqueId val="{00000008-53C2-46BD-AFD6-15FB7E8F1989}"/>
            </c:ext>
          </c:extLst>
        </c:ser>
        <c:ser>
          <c:idx val="9"/>
          <c:order val="8"/>
          <c:tx>
            <c:strRef>
              <c:f>Dashboard!$P$52</c:f>
              <c:strCache>
                <c:ptCount val="1"/>
                <c:pt idx="0">
                  <c:v>Hrubý dlh v scenári bez zmeny politík</c:v>
                </c:pt>
              </c:strCache>
            </c:strRef>
          </c:tx>
          <c:spPr>
            <a:ln w="19050">
              <a:solidFill>
                <a:srgbClr val="FF0000"/>
              </a:solidFill>
              <a:prstDash val="sysDash"/>
            </a:ln>
          </c:spPr>
          <c:marker>
            <c:symbol val="circle"/>
            <c:size val="4"/>
            <c:spPr>
              <a:solidFill>
                <a:srgbClr val="FF0000"/>
              </a:solidFill>
              <a:ln w="19050">
                <a:noFill/>
              </a:ln>
            </c:spPr>
          </c:marker>
          <c:dLbls>
            <c:spPr>
              <a:noFill/>
              <a:ln>
                <a:noFill/>
              </a:ln>
              <a:effectLst/>
            </c:spPr>
            <c:txPr>
              <a:bodyPr/>
              <a:lstStyle/>
              <a:p>
                <a:pPr>
                  <a:defRPr b="1">
                    <a:solidFill>
                      <a:srgbClr val="FF0000"/>
                    </a:solidFill>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Lit>
              <c:ptCount val="11"/>
              <c:pt idx="0">
                <c:v>2016</c:v>
              </c:pt>
              <c:pt idx="1">
                <c:v>2017</c:v>
              </c:pt>
              <c:pt idx="2">
                <c:v>2018</c:v>
              </c:pt>
              <c:pt idx="3">
                <c:v>2019</c:v>
              </c:pt>
              <c:pt idx="4">
                <c:v>2020</c:v>
              </c:pt>
              <c:pt idx="5">
                <c:v>2021</c:v>
              </c:pt>
              <c:pt idx="6">
                <c:v>2022</c:v>
              </c:pt>
              <c:pt idx="7">
                <c:v>2023</c:v>
              </c:pt>
              <c:pt idx="8">
                <c:v>2024</c:v>
              </c:pt>
              <c:pt idx="9">
                <c:v>2025</c:v>
              </c:pt>
              <c:pt idx="10">
                <c:v>2026</c:v>
              </c:pt>
              <c:extLst>
                <c:ext xmlns:c15="http://schemas.microsoft.com/office/drawing/2012/chart" uri="{02D57815-91ED-43cb-92C2-25804820EDAC}">
                  <c15:autoCat val="1"/>
                </c:ext>
              </c:extLst>
            </c:strLit>
          </c:cat>
          <c:val>
            <c:numRef>
              <c:f>Dashboard!$T$52:$AS$52</c:f>
              <c:numCache>
                <c:formatCode>0.0</c:formatCode>
                <c:ptCount val="11"/>
                <c:pt idx="0">
                  <c:v>#N/A</c:v>
                </c:pt>
                <c:pt idx="1">
                  <c:v>#N/A</c:v>
                </c:pt>
                <c:pt idx="2">
                  <c:v>#N/A</c:v>
                </c:pt>
                <c:pt idx="3">
                  <c:v>#N/A</c:v>
                </c:pt>
                <c:pt idx="4">
                  <c:v>#N/A</c:v>
                </c:pt>
                <c:pt idx="5">
                  <c:v>#N/A</c:v>
                </c:pt>
                <c:pt idx="6">
                  <c:v>#N/A</c:v>
                </c:pt>
                <c:pt idx="7">
                  <c:v>#N/A</c:v>
                </c:pt>
                <c:pt idx="8">
                  <c:v>58.313448871709262</c:v>
                </c:pt>
                <c:pt idx="9">
                  <c:v>60.896242269580846</c:v>
                </c:pt>
                <c:pt idx="10">
                  <c:v>64.286683641123901</c:v>
                </c:pt>
              </c:numCache>
              <c:extLst/>
            </c:numRef>
          </c:val>
          <c:smooth val="0"/>
          <c:extLst>
            <c:ext xmlns:c16="http://schemas.microsoft.com/office/drawing/2014/chart" uri="{C3380CC4-5D6E-409C-BE32-E72D297353CC}">
              <c16:uniqueId val="{00000009-53C2-46BD-AFD6-15FB7E8F1989}"/>
            </c:ext>
          </c:extLst>
        </c:ser>
        <c:ser>
          <c:idx val="10"/>
          <c:order val="9"/>
          <c:tx>
            <c:strRef>
              <c:f>Dashboard!$P$53</c:f>
              <c:strCache>
                <c:ptCount val="1"/>
                <c:pt idx="0">
                  <c:v>Čistý dlh v scenári bez zmeny politík</c:v>
                </c:pt>
              </c:strCache>
            </c:strRef>
          </c:tx>
          <c:spPr>
            <a:ln w="19050">
              <a:solidFill>
                <a:srgbClr val="FF6161"/>
              </a:solidFill>
              <a:prstDash val="sysDash"/>
            </a:ln>
          </c:spPr>
          <c:marker>
            <c:symbol val="none"/>
          </c:marker>
          <c:cat>
            <c:strLit>
              <c:ptCount val="11"/>
              <c:pt idx="0">
                <c:v>2016</c:v>
              </c:pt>
              <c:pt idx="1">
                <c:v>2017</c:v>
              </c:pt>
              <c:pt idx="2">
                <c:v>2018</c:v>
              </c:pt>
              <c:pt idx="3">
                <c:v>2019</c:v>
              </c:pt>
              <c:pt idx="4">
                <c:v>2020</c:v>
              </c:pt>
              <c:pt idx="5">
                <c:v>2021</c:v>
              </c:pt>
              <c:pt idx="6">
                <c:v>2022</c:v>
              </c:pt>
              <c:pt idx="7">
                <c:v>2023</c:v>
              </c:pt>
              <c:pt idx="8">
                <c:v>2024</c:v>
              </c:pt>
              <c:pt idx="9">
                <c:v>2025</c:v>
              </c:pt>
              <c:pt idx="10">
                <c:v>2026</c:v>
              </c:pt>
              <c:extLst>
                <c:ext xmlns:c15="http://schemas.microsoft.com/office/drawing/2012/chart" uri="{02D57815-91ED-43cb-92C2-25804820EDAC}">
                  <c15:autoCat val="1"/>
                </c:ext>
              </c:extLst>
            </c:strLit>
          </c:cat>
          <c:val>
            <c:numRef>
              <c:f>Dashboard!$T$53:$AS$53</c:f>
              <c:numCache>
                <c:formatCode>0.0</c:formatCode>
                <c:ptCount val="11"/>
                <c:pt idx="0">
                  <c:v>#N/A</c:v>
                </c:pt>
                <c:pt idx="1">
                  <c:v>#N/A</c:v>
                </c:pt>
                <c:pt idx="2">
                  <c:v>#N/A</c:v>
                </c:pt>
                <c:pt idx="3">
                  <c:v>#N/A</c:v>
                </c:pt>
                <c:pt idx="4">
                  <c:v>#N/A</c:v>
                </c:pt>
                <c:pt idx="5">
                  <c:v>#N/A</c:v>
                </c:pt>
                <c:pt idx="6">
                  <c:v>#N/A</c:v>
                </c:pt>
                <c:pt idx="7">
                  <c:v>#N/A</c:v>
                </c:pt>
                <c:pt idx="8">
                  <c:v>52.628643296002977</c:v>
                </c:pt>
                <c:pt idx="9">
                  <c:v>55.617328798643726</c:v>
                </c:pt>
                <c:pt idx="10">
                  <c:v>59.365423527046055</c:v>
                </c:pt>
              </c:numCache>
              <c:extLst/>
            </c:numRef>
          </c:val>
          <c:smooth val="0"/>
          <c:extLst>
            <c:ext xmlns:c16="http://schemas.microsoft.com/office/drawing/2014/chart" uri="{C3380CC4-5D6E-409C-BE32-E72D297353CC}">
              <c16:uniqueId val="{0000000A-53C2-46BD-AFD6-15FB7E8F1989}"/>
            </c:ext>
          </c:extLst>
        </c:ser>
        <c:dLbls>
          <c:showLegendKey val="0"/>
          <c:showVal val="0"/>
          <c:showCatName val="0"/>
          <c:showSerName val="0"/>
          <c:showPercent val="0"/>
          <c:showBubbleSize val="0"/>
        </c:dLbls>
        <c:marker val="1"/>
        <c:smooth val="0"/>
        <c:axId val="560515240"/>
        <c:axId val="560515632"/>
        <c:extLst>
          <c:ext xmlns:c15="http://schemas.microsoft.com/office/drawing/2012/chart" uri="{02D57815-91ED-43cb-92C2-25804820EDAC}">
            <c15:filteredLineSeries>
              <c15:ser>
                <c:idx val="7"/>
                <c:order val="5"/>
                <c:tx>
                  <c:v>Gross debt (reaching budgetary targets)</c:v>
                </c:tx>
                <c:spPr>
                  <a:ln w="19050">
                    <a:solidFill>
                      <a:schemeClr val="tx1"/>
                    </a:solidFill>
                    <a:prstDash val="sysDash"/>
                  </a:ln>
                </c:spPr>
                <c:marker>
                  <c:symbol val="none"/>
                </c:marker>
                <c:val>
                  <c:numRef>
                    <c:extLst>
                      <c:ext uri="{02D57815-91ED-43cb-92C2-25804820EDAC}">
                        <c15:formulaRef>
                          <c15:sqref>'Súhrnná tabuľka'!$AB$127:$AT$127</c15:sqref>
                        </c15:formulaRef>
                      </c:ext>
                    </c:extLst>
                    <c:numCache>
                      <c:formatCode>0.0</c:formatCode>
                      <c:ptCount val="4"/>
                      <c:pt idx="0">
                        <c:v>57.802788675150573</c:v>
                      </c:pt>
                      <c:pt idx="1">
                        <c:v>56.767850318396931</c:v>
                      </c:pt>
                      <c:pt idx="2">
                        <c:v>57.445233162202868</c:v>
                      </c:pt>
                      <c:pt idx="3">
                        <c:v>57.428812011009796</c:v>
                      </c:pt>
                    </c:numCache>
                  </c:numRef>
                </c:val>
                <c:smooth val="0"/>
                <c:extLst>
                  <c:ext xmlns:c16="http://schemas.microsoft.com/office/drawing/2014/chart" uri="{C3380CC4-5D6E-409C-BE32-E72D297353CC}">
                    <c16:uniqueId val="{0000000B-53C2-46BD-AFD6-15FB7E8F1989}"/>
                  </c:ext>
                </c:extLst>
              </c15:ser>
            </c15:filteredLineSeries>
            <c15:filteredLineSeries>
              <c15:ser>
                <c:idx val="8"/>
                <c:order val="6"/>
                <c:tx>
                  <c:v>Net debt (reaching budgetary targets)</c:v>
                </c:tx>
                <c:spPr>
                  <a:ln w="19050">
                    <a:solidFill>
                      <a:schemeClr val="bg1">
                        <a:lumMod val="85000"/>
                      </a:schemeClr>
                    </a:solidFill>
                    <a:prstDash val="sysDash"/>
                  </a:ln>
                </c:spPr>
                <c:marker>
                  <c:symbol val="none"/>
                </c:marker>
                <c:val>
                  <c:numRef>
                    <c:extLst xmlns:c15="http://schemas.microsoft.com/office/drawing/2012/chart">
                      <c:ext xmlns:c15="http://schemas.microsoft.com/office/drawing/2012/chart" uri="{02D57815-91ED-43cb-92C2-25804820EDAC}">
                        <c15:formulaRef>
                          <c15:sqref>'Súhrnná tabuľka'!$AB$128:$AT$128</c15:sqref>
                        </c15:formulaRef>
                      </c:ext>
                    </c:extLst>
                    <c:numCache>
                      <c:formatCode>0.0</c:formatCode>
                      <c:ptCount val="4"/>
                      <c:pt idx="0">
                        <c:v>47.682873148354609</c:v>
                      </c:pt>
                      <c:pt idx="1">
                        <c:v>49.625551528769385</c:v>
                      </c:pt>
                      <c:pt idx="2">
                        <c:v>51.80264315038108</c:v>
                      </c:pt>
                      <c:pt idx="3">
                        <c:v>52.350826284638366</c:v>
                      </c:pt>
                    </c:numCache>
                  </c:numRef>
                </c:val>
                <c:smooth val="0"/>
                <c:extLst xmlns:c15="http://schemas.microsoft.com/office/drawing/2012/chart">
                  <c:ext xmlns:c16="http://schemas.microsoft.com/office/drawing/2014/chart" uri="{C3380CC4-5D6E-409C-BE32-E72D297353CC}">
                    <c16:uniqueId val="{0000000C-53C2-46BD-AFD6-15FB7E8F1989}"/>
                  </c:ext>
                </c:extLst>
              </c15:ser>
            </c15:filteredLineSeries>
          </c:ext>
        </c:extLst>
      </c:lineChart>
      <c:catAx>
        <c:axId val="560515240"/>
        <c:scaling>
          <c:orientation val="minMax"/>
        </c:scaling>
        <c:delete val="0"/>
        <c:axPos val="b"/>
        <c:numFmt formatCode="General" sourceLinked="1"/>
        <c:majorTickMark val="none"/>
        <c:minorTickMark val="none"/>
        <c:tickLblPos val="low"/>
        <c:spPr>
          <a:noFill/>
          <a:ln w="3175" cap="flat" cmpd="sng" algn="ctr">
            <a:solidFill>
              <a:schemeClr val="tx1"/>
            </a:solidFill>
            <a:round/>
          </a:ln>
          <a:effectLst/>
        </c:spPr>
        <c:txPr>
          <a:bodyPr rot="-60000000" vert="horz"/>
          <a:lstStyle/>
          <a:p>
            <a:pPr>
              <a:defRPr/>
            </a:pPr>
            <a:endParaRPr lang="sk-SK"/>
          </a:p>
        </c:txPr>
        <c:crossAx val="560515632"/>
        <c:crosses val="autoZero"/>
        <c:auto val="0"/>
        <c:lblAlgn val="ctr"/>
        <c:lblOffset val="100"/>
        <c:noMultiLvlLbl val="0"/>
      </c:catAx>
      <c:valAx>
        <c:axId val="560515632"/>
        <c:scaling>
          <c:orientation val="minMax"/>
          <c:min val="30"/>
        </c:scaling>
        <c:delete val="0"/>
        <c:axPos val="l"/>
        <c:majorGridlines>
          <c:spPr>
            <a:ln w="3175" cap="flat" cmpd="sng" algn="ctr">
              <a:solidFill>
                <a:schemeClr val="tx1">
                  <a:lumMod val="15000"/>
                  <a:lumOff val="85000"/>
                </a:schemeClr>
              </a:solidFill>
              <a:prstDash val="dash"/>
              <a:round/>
            </a:ln>
            <a:effectLst/>
          </c:spPr>
        </c:majorGridlines>
        <c:numFmt formatCode="0" sourceLinked="0"/>
        <c:majorTickMark val="none"/>
        <c:minorTickMark val="none"/>
        <c:tickLblPos val="nextTo"/>
        <c:spPr>
          <a:noFill/>
          <a:ln w="3175">
            <a:solidFill>
              <a:schemeClr val="tx1"/>
            </a:solidFill>
          </a:ln>
          <a:effectLst/>
        </c:spPr>
        <c:txPr>
          <a:bodyPr rot="-60000000" vert="horz"/>
          <a:lstStyle/>
          <a:p>
            <a:pPr>
              <a:defRPr/>
            </a:pPr>
            <a:endParaRPr lang="sk-SK"/>
          </a:p>
        </c:txPr>
        <c:crossAx val="560515240"/>
        <c:crosses val="autoZero"/>
        <c:crossBetween val="between"/>
      </c:valAx>
      <c:spPr>
        <a:noFill/>
        <a:ln w="3175">
          <a:noFill/>
          <a:prstDash val="sysDot"/>
        </a:ln>
        <a:effectLst/>
      </c:spPr>
    </c:plotArea>
    <c:legend>
      <c:legendPos val="t"/>
      <c:legendEntry>
        <c:idx val="3"/>
        <c:delete val="1"/>
      </c:legendEntry>
      <c:legendEntry>
        <c:idx val="5"/>
        <c:delete val="1"/>
      </c:legendEntry>
      <c:layout>
        <c:manualLayout>
          <c:xMode val="edge"/>
          <c:yMode val="edge"/>
          <c:x val="5.430327588995856E-3"/>
          <c:y val="0.81532533407390462"/>
          <c:w val="0.97922885612260369"/>
          <c:h val="0.18467466592609533"/>
        </c:manualLayout>
      </c:layout>
      <c:overlay val="0"/>
      <c:txPr>
        <a:bodyPr/>
        <a:lstStyle/>
        <a:p>
          <a:pPr>
            <a:defRPr sz="600"/>
          </a:pPr>
          <a:endParaRPr lang="sk-SK"/>
        </a:p>
      </c:txPr>
    </c:legend>
    <c:plotVisOnly val="1"/>
    <c:dispBlanksAs val="gap"/>
    <c:showDLblsOverMax val="0"/>
  </c:chart>
  <c:spPr>
    <a:noFill/>
    <a:ln w="9525" cap="flat" cmpd="sng" algn="ctr">
      <a:noFill/>
      <a:round/>
    </a:ln>
    <a:effectLst/>
  </c:spPr>
  <c:txPr>
    <a:bodyPr/>
    <a:lstStyle/>
    <a:p>
      <a:pPr>
        <a:defRPr sz="700">
          <a:latin typeface="Times New Roman" panose="02020603050405020304" pitchFamily="18" charset="0"/>
          <a:cs typeface="Times New Roman" panose="02020603050405020304" pitchFamily="18" charset="0"/>
        </a:defRPr>
      </a:pPr>
      <a:endParaRPr lang="sk-SK"/>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7787773402629306E-2"/>
          <c:y val="3.7486892271914186E-2"/>
          <c:w val="0.49497507566522642"/>
          <c:h val="0.74356124894802955"/>
        </c:manualLayout>
      </c:layout>
      <c:barChart>
        <c:barDir val="col"/>
        <c:grouping val="stacked"/>
        <c:varyColors val="0"/>
        <c:ser>
          <c:idx val="3"/>
          <c:order val="1"/>
          <c:tx>
            <c:strRef>
              <c:f>'Súhrnná tabuľka'!$AN$88</c:f>
              <c:strCache>
                <c:ptCount val="1"/>
                <c:pt idx="0">
                  <c:v>Deflátor HDP</c:v>
                </c:pt>
              </c:strCache>
            </c:strRef>
          </c:tx>
          <c:spPr>
            <a:solidFill>
              <a:srgbClr val="002060"/>
            </a:solidFill>
            <a:ln>
              <a:noFill/>
            </a:ln>
          </c:spPr>
          <c:invertIfNegative val="0"/>
          <c:cat>
            <c:strRef>
              <c:f>'Súhrnná tabuľka'!$AO$81:$AU$81</c:f>
              <c:strCache>
                <c:ptCount val="5"/>
                <c:pt idx="0">
                  <c:v>2022</c:v>
                </c:pt>
                <c:pt idx="1">
                  <c:v>2023</c:v>
                </c:pt>
                <c:pt idx="2">
                  <c:v>2024</c:v>
                </c:pt>
                <c:pt idx="3">
                  <c:v>2025</c:v>
                </c:pt>
                <c:pt idx="4">
                  <c:v>2026</c:v>
                </c:pt>
              </c:strCache>
              <c:extLst/>
            </c:strRef>
          </c:cat>
          <c:val>
            <c:numRef>
              <c:f>'Súhrnná tabuľka'!$AO$88:$AU$88</c:f>
              <c:numCache>
                <c:formatCode>#\ ##0.0</c:formatCode>
                <c:ptCount val="5"/>
                <c:pt idx="0">
                  <c:v>-4.253077972784105</c:v>
                </c:pt>
                <c:pt idx="1">
                  <c:v>-5.1738704097436585</c:v>
                </c:pt>
                <c:pt idx="2">
                  <c:v>-2.6540715456248707</c:v>
                </c:pt>
                <c:pt idx="3">
                  <c:v>-1.7659584292064603</c:v>
                </c:pt>
                <c:pt idx="4">
                  <c:v>-1.7889302885651348</c:v>
                </c:pt>
              </c:numCache>
              <c:extLst/>
            </c:numRef>
          </c:val>
          <c:extLst>
            <c:ext xmlns:c16="http://schemas.microsoft.com/office/drawing/2014/chart" uri="{C3380CC4-5D6E-409C-BE32-E72D297353CC}">
              <c16:uniqueId val="{00000000-4777-4E29-8550-3F12D64530D9}"/>
            </c:ext>
          </c:extLst>
        </c:ser>
        <c:ser>
          <c:idx val="1"/>
          <c:order val="2"/>
          <c:tx>
            <c:strRef>
              <c:f>'Súhrnná tabuľka'!$AN$87</c:f>
              <c:strCache>
                <c:ptCount val="1"/>
                <c:pt idx="0">
                  <c:v>Rast reálneho HDP</c:v>
                </c:pt>
              </c:strCache>
            </c:strRef>
          </c:tx>
          <c:spPr>
            <a:solidFill>
              <a:srgbClr val="2C9ADC">
                <a:lumMod val="75000"/>
              </a:srgbClr>
            </a:solidFill>
          </c:spPr>
          <c:invertIfNegative val="0"/>
          <c:cat>
            <c:strRef>
              <c:f>'Súhrnná tabuľka'!$AO$81:$AU$81</c:f>
              <c:strCache>
                <c:ptCount val="5"/>
                <c:pt idx="0">
                  <c:v>2022</c:v>
                </c:pt>
                <c:pt idx="1">
                  <c:v>2023</c:v>
                </c:pt>
                <c:pt idx="2">
                  <c:v>2024</c:v>
                </c:pt>
                <c:pt idx="3">
                  <c:v>2025</c:v>
                </c:pt>
                <c:pt idx="4">
                  <c:v>2026</c:v>
                </c:pt>
              </c:strCache>
              <c:extLst/>
            </c:strRef>
          </c:cat>
          <c:val>
            <c:numRef>
              <c:f>'Súhrnná tabuľka'!$AO$87:$AU$87</c:f>
              <c:numCache>
                <c:formatCode>#\ ##0.0</c:formatCode>
                <c:ptCount val="5"/>
                <c:pt idx="0">
                  <c:v>-0.97764000124828798</c:v>
                </c:pt>
                <c:pt idx="1">
                  <c:v>-0.63798297683384153</c:v>
                </c:pt>
                <c:pt idx="2">
                  <c:v>-1.4232777081888219</c:v>
                </c:pt>
                <c:pt idx="3">
                  <c:v>-1.5344781920124777</c:v>
                </c:pt>
                <c:pt idx="4">
                  <c:v>-1.2139498096093264</c:v>
                </c:pt>
              </c:numCache>
              <c:extLst/>
            </c:numRef>
          </c:val>
          <c:extLst>
            <c:ext xmlns:c16="http://schemas.microsoft.com/office/drawing/2014/chart" uri="{C3380CC4-5D6E-409C-BE32-E72D297353CC}">
              <c16:uniqueId val="{00000001-4777-4E29-8550-3F12D64530D9}"/>
            </c:ext>
          </c:extLst>
        </c:ser>
        <c:ser>
          <c:idx val="2"/>
          <c:order val="3"/>
          <c:tx>
            <c:strRef>
              <c:f>'Súhrnná tabuľka'!$AN$82</c:f>
              <c:strCache>
                <c:ptCount val="1"/>
                <c:pt idx="0">
                  <c:v>Primárne saldo</c:v>
                </c:pt>
              </c:strCache>
            </c:strRef>
          </c:tx>
          <c:spPr>
            <a:solidFill>
              <a:srgbClr val="369ADC"/>
            </a:solidFill>
            <a:ln w="12700">
              <a:noFill/>
              <a:prstDash val="solid"/>
            </a:ln>
          </c:spPr>
          <c:invertIfNegative val="0"/>
          <c:cat>
            <c:strRef>
              <c:f>'Súhrnná tabuľka'!$AO$81:$AU$81</c:f>
              <c:strCache>
                <c:ptCount val="5"/>
                <c:pt idx="0">
                  <c:v>2022</c:v>
                </c:pt>
                <c:pt idx="1">
                  <c:v>2023</c:v>
                </c:pt>
                <c:pt idx="2">
                  <c:v>2024</c:v>
                </c:pt>
                <c:pt idx="3">
                  <c:v>2025</c:v>
                </c:pt>
                <c:pt idx="4">
                  <c:v>2026</c:v>
                </c:pt>
              </c:strCache>
              <c:extLst/>
            </c:strRef>
          </c:cat>
          <c:val>
            <c:numRef>
              <c:f>'Súhrnná tabuľka'!$AO$82:$AU$82</c:f>
              <c:numCache>
                <c:formatCode>#\ ##0.0</c:formatCode>
                <c:ptCount val="5"/>
                <c:pt idx="0">
                  <c:v>0.98659326432431538</c:v>
                </c:pt>
                <c:pt idx="1">
                  <c:v>5.6234039011672019</c:v>
                </c:pt>
                <c:pt idx="2">
                  <c:v>4.5769254479817123</c:v>
                </c:pt>
                <c:pt idx="3">
                  <c:v>3.394638621870854</c:v>
                </c:pt>
                <c:pt idx="4">
                  <c:v>2.2586154407681467</c:v>
                </c:pt>
              </c:numCache>
              <c:extLst/>
            </c:numRef>
          </c:val>
          <c:extLst>
            <c:ext xmlns:c16="http://schemas.microsoft.com/office/drawing/2014/chart" uri="{C3380CC4-5D6E-409C-BE32-E72D297353CC}">
              <c16:uniqueId val="{00000002-4777-4E29-8550-3F12D64530D9}"/>
            </c:ext>
          </c:extLst>
        </c:ser>
        <c:ser>
          <c:idx val="4"/>
          <c:order val="4"/>
          <c:tx>
            <c:strRef>
              <c:f>'Súhrnná tabuľka'!$AN$84</c:f>
              <c:strCache>
                <c:ptCount val="1"/>
                <c:pt idx="0">
                  <c:v>Úroky</c:v>
                </c:pt>
              </c:strCache>
            </c:strRef>
          </c:tx>
          <c:spPr>
            <a:solidFill>
              <a:srgbClr val="2C9ADC">
                <a:lumMod val="40000"/>
                <a:lumOff val="60000"/>
              </a:srgbClr>
            </a:solidFill>
            <a:ln w="12700">
              <a:noFill/>
              <a:prstDash val="solid"/>
            </a:ln>
          </c:spPr>
          <c:invertIfNegative val="0"/>
          <c:cat>
            <c:strRef>
              <c:f>'Súhrnná tabuľka'!$AO$81:$AU$81</c:f>
              <c:strCache>
                <c:ptCount val="5"/>
                <c:pt idx="0">
                  <c:v>2022</c:v>
                </c:pt>
                <c:pt idx="1">
                  <c:v>2023</c:v>
                </c:pt>
                <c:pt idx="2">
                  <c:v>2024</c:v>
                </c:pt>
                <c:pt idx="3">
                  <c:v>2025</c:v>
                </c:pt>
                <c:pt idx="4">
                  <c:v>2026</c:v>
                </c:pt>
              </c:strCache>
              <c:extLst/>
            </c:strRef>
          </c:cat>
          <c:val>
            <c:numRef>
              <c:f>'Súhrnná tabuľka'!$AO$84:$AU$84</c:f>
              <c:numCache>
                <c:formatCode>#\ ##0.0</c:formatCode>
                <c:ptCount val="5"/>
                <c:pt idx="0">
                  <c:v>1.0340727778796011</c:v>
                </c:pt>
                <c:pt idx="1">
                  <c:v>0.89702898635279049</c:v>
                </c:pt>
                <c:pt idx="2">
                  <c:v>1.3930745567107494</c:v>
                </c:pt>
                <c:pt idx="3">
                  <c:v>1.5753613773916999</c:v>
                </c:pt>
                <c:pt idx="4">
                  <c:v>1.711384558531128</c:v>
                </c:pt>
              </c:numCache>
              <c:extLst/>
            </c:numRef>
          </c:val>
          <c:extLst>
            <c:ext xmlns:c16="http://schemas.microsoft.com/office/drawing/2014/chart" uri="{C3380CC4-5D6E-409C-BE32-E72D297353CC}">
              <c16:uniqueId val="{00000003-4777-4E29-8550-3F12D64530D9}"/>
            </c:ext>
          </c:extLst>
        </c:ser>
        <c:ser>
          <c:idx val="7"/>
          <c:order val="5"/>
          <c:tx>
            <c:strRef>
              <c:f>'Súhrnná tabuľka'!$AN$90</c:f>
              <c:strCache>
                <c:ptCount val="1"/>
                <c:pt idx="0">
                  <c:v>Zmena hotovosti VS</c:v>
                </c:pt>
              </c:strCache>
            </c:strRef>
          </c:tx>
          <c:spPr>
            <a:solidFill>
              <a:sysClr val="window" lastClr="FFFFFF">
                <a:lumMod val="65000"/>
              </a:sysClr>
            </a:solidFill>
            <a:ln w="28575">
              <a:noFill/>
            </a:ln>
          </c:spPr>
          <c:invertIfNegative val="0"/>
          <c:cat>
            <c:strRef>
              <c:f>'Súhrnná tabuľka'!$AO$81:$AU$81</c:f>
              <c:strCache>
                <c:ptCount val="5"/>
                <c:pt idx="0">
                  <c:v>2022</c:v>
                </c:pt>
                <c:pt idx="1">
                  <c:v>2023</c:v>
                </c:pt>
                <c:pt idx="2">
                  <c:v>2024</c:v>
                </c:pt>
                <c:pt idx="3">
                  <c:v>2025</c:v>
                </c:pt>
                <c:pt idx="4">
                  <c:v>2026</c:v>
                </c:pt>
              </c:strCache>
              <c:extLst/>
            </c:strRef>
          </c:cat>
          <c:val>
            <c:numRef>
              <c:f>'Súhrnná tabuľka'!$AO$90:$AU$90</c:f>
              <c:numCache>
                <c:formatCode>#\ ##0.0</c:formatCode>
                <c:ptCount val="5"/>
                <c:pt idx="0">
                  <c:v>-0.31813435599688539</c:v>
                </c:pt>
                <c:pt idx="1">
                  <c:v>-1.9600972251457769</c:v>
                </c:pt>
                <c:pt idx="2">
                  <c:v>-0.98747478062132621</c:v>
                </c:pt>
                <c:pt idx="3">
                  <c:v>-0.79470965185836928</c:v>
                </c:pt>
                <c:pt idx="4">
                  <c:v>-1.0218548344091323</c:v>
                </c:pt>
              </c:numCache>
              <c:extLst/>
            </c:numRef>
          </c:val>
          <c:extLst>
            <c:ext xmlns:c16="http://schemas.microsoft.com/office/drawing/2014/chart" uri="{C3380CC4-5D6E-409C-BE32-E72D297353CC}">
              <c16:uniqueId val="{00000004-4777-4E29-8550-3F12D64530D9}"/>
            </c:ext>
          </c:extLst>
        </c:ser>
        <c:ser>
          <c:idx val="6"/>
          <c:order val="6"/>
          <c:tx>
            <c:strRef>
              <c:f>'Súhrnná tabuľka'!$AN$89</c:f>
              <c:strCache>
                <c:ptCount val="1"/>
                <c:pt idx="0">
                  <c:v>Zosúladenie deficitu a dlhu (bez hotovosti VS)</c:v>
                </c:pt>
              </c:strCache>
            </c:strRef>
          </c:tx>
          <c:spPr>
            <a:solidFill>
              <a:sysClr val="window" lastClr="FFFFFF">
                <a:lumMod val="85000"/>
              </a:sysClr>
            </a:solidFill>
            <a:ln w="12700">
              <a:noFill/>
              <a:prstDash val="solid"/>
            </a:ln>
          </c:spPr>
          <c:invertIfNegative val="0"/>
          <c:cat>
            <c:strRef>
              <c:f>'Súhrnná tabuľka'!$AO$81:$AU$81</c:f>
              <c:strCache>
                <c:ptCount val="5"/>
                <c:pt idx="0">
                  <c:v>2022</c:v>
                </c:pt>
                <c:pt idx="1">
                  <c:v>2023</c:v>
                </c:pt>
                <c:pt idx="2">
                  <c:v>2024</c:v>
                </c:pt>
                <c:pt idx="3">
                  <c:v>2025</c:v>
                </c:pt>
                <c:pt idx="4">
                  <c:v>2026</c:v>
                </c:pt>
              </c:strCache>
              <c:extLst/>
            </c:strRef>
          </c:cat>
          <c:val>
            <c:numRef>
              <c:f>'Súhrnná tabuľka'!$AO$89:$AU$89</c:f>
              <c:numCache>
                <c:formatCode>#\ ##0.0</c:formatCode>
                <c:ptCount val="5"/>
                <c:pt idx="0">
                  <c:v>0.24941633551366355</c:v>
                </c:pt>
                <c:pt idx="1">
                  <c:v>0.21657954956318815</c:v>
                </c:pt>
                <c:pt idx="2">
                  <c:v>0.6403382618095208</c:v>
                </c:pt>
                <c:pt idx="3">
                  <c:v>0.41497154496958577</c:v>
                </c:pt>
                <c:pt idx="4">
                  <c:v>1.8050016730252485</c:v>
                </c:pt>
              </c:numCache>
              <c:extLst/>
            </c:numRef>
          </c:val>
          <c:extLst>
            <c:ext xmlns:c16="http://schemas.microsoft.com/office/drawing/2014/chart" uri="{C3380CC4-5D6E-409C-BE32-E72D297353CC}">
              <c16:uniqueId val="{00000005-4777-4E29-8550-3F12D64530D9}"/>
            </c:ext>
          </c:extLst>
        </c:ser>
        <c:dLbls>
          <c:showLegendKey val="0"/>
          <c:showVal val="0"/>
          <c:showCatName val="0"/>
          <c:showSerName val="0"/>
          <c:showPercent val="0"/>
          <c:showBubbleSize val="0"/>
        </c:dLbls>
        <c:gapWidth val="50"/>
        <c:overlap val="100"/>
        <c:axId val="547679416"/>
        <c:axId val="547679808"/>
        <c:extLst/>
      </c:barChart>
      <c:lineChart>
        <c:grouping val="standard"/>
        <c:varyColors val="0"/>
        <c:ser>
          <c:idx val="0"/>
          <c:order val="0"/>
          <c:tx>
            <c:strRef>
              <c:f>'Súhrnná tabuľka'!$AN$91</c:f>
              <c:strCache>
                <c:ptCount val="1"/>
                <c:pt idx="0">
                  <c:v>Zmena hrubého dlhu VS</c:v>
                </c:pt>
              </c:strCache>
            </c:strRef>
          </c:tx>
          <c:spPr>
            <a:ln w="25400" cmpd="sng">
              <a:noFill/>
              <a:prstDash val="solid"/>
            </a:ln>
          </c:spPr>
          <c:marker>
            <c:symbol val="circle"/>
            <c:size val="5"/>
            <c:spPr>
              <a:solidFill>
                <a:sysClr val="windowText" lastClr="000000"/>
              </a:solidFill>
              <a:ln w="3175">
                <a:solidFill>
                  <a:sysClr val="window" lastClr="FFFFFF"/>
                </a:solidFill>
              </a:ln>
            </c:spPr>
          </c:marker>
          <c:dPt>
            <c:idx val="10"/>
            <c:bubble3D val="0"/>
            <c:extLst>
              <c:ext xmlns:c16="http://schemas.microsoft.com/office/drawing/2014/chart" uri="{C3380CC4-5D6E-409C-BE32-E72D297353CC}">
                <c16:uniqueId val="{00000006-4777-4E29-8550-3F12D64530D9}"/>
              </c:ext>
            </c:extLst>
          </c:dPt>
          <c:dLbls>
            <c:numFmt formatCode="#,##0.0" sourceLinked="0"/>
            <c:spPr>
              <a:solidFill>
                <a:sysClr val="window" lastClr="FFFFFF"/>
              </a:solidFill>
              <a:ln>
                <a:solidFill>
                  <a:sysClr val="windowText" lastClr="000000"/>
                </a:solidFill>
              </a:ln>
              <a:effectLst/>
            </c:spPr>
            <c:txPr>
              <a:bodyPr/>
              <a:lstStyle/>
              <a:p>
                <a:pPr>
                  <a:defRPr sz="600" b="1"/>
                </a:pPr>
                <a:endParaRPr lang="sk-SK"/>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'Súhrnná tabuľka'!$AO$81:$AU$81</c:f>
              <c:strCache>
                <c:ptCount val="5"/>
                <c:pt idx="0">
                  <c:v>2022</c:v>
                </c:pt>
                <c:pt idx="1">
                  <c:v>2023</c:v>
                </c:pt>
                <c:pt idx="2">
                  <c:v>2024</c:v>
                </c:pt>
                <c:pt idx="3">
                  <c:v>2025</c:v>
                </c:pt>
                <c:pt idx="4">
                  <c:v>2026</c:v>
                </c:pt>
              </c:strCache>
              <c:extLst/>
            </c:strRef>
          </c:cat>
          <c:val>
            <c:numRef>
              <c:f>'Súhrnná tabuľka'!$AO$91:$AU$91</c:f>
              <c:numCache>
                <c:formatCode>#\ ##0.0</c:formatCode>
                <c:ptCount val="5"/>
                <c:pt idx="0">
                  <c:v>-3.2787699523116984</c:v>
                </c:pt>
                <c:pt idx="1">
                  <c:v>-1.0349381746400965</c:v>
                </c:pt>
                <c:pt idx="2">
                  <c:v>1.5455142320669637</c:v>
                </c:pt>
                <c:pt idx="3">
                  <c:v>1.2898252711548324</c:v>
                </c:pt>
                <c:pt idx="4">
                  <c:v>1.7502667397409297</c:v>
                </c:pt>
              </c:numCache>
              <c:extLst/>
            </c:numRef>
          </c:val>
          <c:smooth val="0"/>
          <c:extLst>
            <c:ext xmlns:c16="http://schemas.microsoft.com/office/drawing/2014/chart" uri="{C3380CC4-5D6E-409C-BE32-E72D297353CC}">
              <c16:uniqueId val="{00000007-4777-4E29-8550-3F12D64530D9}"/>
            </c:ext>
          </c:extLst>
        </c:ser>
        <c:dLbls>
          <c:showLegendKey val="0"/>
          <c:showVal val="0"/>
          <c:showCatName val="0"/>
          <c:showSerName val="0"/>
          <c:showPercent val="0"/>
          <c:showBubbleSize val="0"/>
        </c:dLbls>
        <c:marker val="1"/>
        <c:smooth val="0"/>
        <c:axId val="547679416"/>
        <c:axId val="547679808"/>
      </c:lineChart>
      <c:catAx>
        <c:axId val="547679416"/>
        <c:scaling>
          <c:orientation val="minMax"/>
        </c:scaling>
        <c:delete val="0"/>
        <c:axPos val="b"/>
        <c:numFmt formatCode="General" sourceLinked="1"/>
        <c:majorTickMark val="out"/>
        <c:minorTickMark val="none"/>
        <c:tickLblPos val="low"/>
        <c:spPr>
          <a:ln w="3175">
            <a:solidFill>
              <a:sysClr val="windowText" lastClr="000000"/>
            </a:solidFill>
            <a:prstDash val="solid"/>
          </a:ln>
        </c:spPr>
        <c:txPr>
          <a:bodyPr rot="0" vert="horz"/>
          <a:lstStyle/>
          <a:p>
            <a:pPr>
              <a:defRPr/>
            </a:pPr>
            <a:endParaRPr lang="sk-SK"/>
          </a:p>
        </c:txPr>
        <c:crossAx val="547679808"/>
        <c:crosses val="autoZero"/>
        <c:auto val="1"/>
        <c:lblAlgn val="ctr"/>
        <c:lblOffset val="100"/>
        <c:tickLblSkip val="1"/>
        <c:tickMarkSkip val="1"/>
        <c:noMultiLvlLbl val="0"/>
      </c:catAx>
      <c:valAx>
        <c:axId val="547679808"/>
        <c:scaling>
          <c:orientation val="minMax"/>
          <c:min val="-10"/>
        </c:scaling>
        <c:delete val="0"/>
        <c:axPos val="l"/>
        <c:majorGridlines>
          <c:spPr>
            <a:ln w="3175">
              <a:solidFill>
                <a:sysClr val="window" lastClr="FFFFFF">
                  <a:lumMod val="85000"/>
                </a:sysClr>
              </a:solidFill>
              <a:prstDash val="dash"/>
            </a:ln>
          </c:spPr>
        </c:majorGridlines>
        <c:numFmt formatCode="#,##0" sourceLinked="0"/>
        <c:majorTickMark val="none"/>
        <c:minorTickMark val="none"/>
        <c:tickLblPos val="nextTo"/>
        <c:spPr>
          <a:ln w="3175">
            <a:solidFill>
              <a:srgbClr val="000000"/>
            </a:solidFill>
            <a:prstDash val="sysDot"/>
          </a:ln>
        </c:spPr>
        <c:txPr>
          <a:bodyPr rot="0" vert="horz"/>
          <a:lstStyle/>
          <a:p>
            <a:pPr>
              <a:defRPr/>
            </a:pPr>
            <a:endParaRPr lang="sk-SK"/>
          </a:p>
        </c:txPr>
        <c:crossAx val="547679416"/>
        <c:crosses val="autoZero"/>
        <c:crossBetween val="between"/>
      </c:valAx>
      <c:spPr>
        <a:noFill/>
        <a:ln w="25400">
          <a:noFill/>
        </a:ln>
      </c:spPr>
    </c:plotArea>
    <c:legend>
      <c:legendPos val="r"/>
      <c:layout>
        <c:manualLayout>
          <c:xMode val="edge"/>
          <c:yMode val="edge"/>
          <c:x val="0.65088711486121975"/>
          <c:y val="2.4679204699865905E-2"/>
          <c:w val="0.32759986987769718"/>
          <c:h val="0.86632112329115563"/>
        </c:manualLayout>
      </c:layout>
      <c:overlay val="0"/>
      <c:spPr>
        <a:solidFill>
          <a:srgbClr val="FFFFFF"/>
        </a:solidFill>
        <a:ln w="25400">
          <a:noFill/>
        </a:ln>
      </c:spPr>
      <c:txPr>
        <a:bodyPr/>
        <a:lstStyle/>
        <a:p>
          <a:pPr>
            <a:defRPr sz="600"/>
          </a:pPr>
          <a:endParaRPr lang="sk-SK"/>
        </a:p>
      </c:txPr>
    </c:legend>
    <c:plotVisOnly val="1"/>
    <c:dispBlanksAs val="gap"/>
    <c:showDLblsOverMax val="0"/>
  </c:chart>
  <c:spPr>
    <a:noFill/>
    <a:ln w="9525">
      <a:noFill/>
    </a:ln>
  </c:spPr>
  <c:txPr>
    <a:bodyPr/>
    <a:lstStyle/>
    <a:p>
      <a:pPr>
        <a:defRPr sz="7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sk-SK"/>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mn-cs"/>
              </a:defRPr>
            </a:pPr>
            <a:r>
              <a:rPr lang="en-US" sz="1000" b="1" baseline="0">
                <a:latin typeface="Times New Roman" panose="02020603050405020304" pitchFamily="18" charset="0"/>
              </a:rPr>
              <a:t>Medziročn</a:t>
            </a:r>
            <a:r>
              <a:rPr lang="sk-SK" sz="1000" b="1" baseline="0">
                <a:latin typeface="Times New Roman" panose="02020603050405020304" pitchFamily="18" charset="0"/>
              </a:rPr>
              <a:t>á zmena </a:t>
            </a:r>
            <a:r>
              <a:rPr lang="en-US" sz="1000" b="1" baseline="0">
                <a:latin typeface="Times New Roman" panose="02020603050405020304" pitchFamily="18" charset="0"/>
              </a:rPr>
              <a:t>počtu zamestnancov</a:t>
            </a:r>
            <a:r>
              <a:rPr lang="sk-SK" sz="1000" b="1" baseline="0">
                <a:latin typeface="Times New Roman" panose="02020603050405020304" pitchFamily="18" charset="0"/>
              </a:rPr>
              <a:t> </a:t>
            </a:r>
            <a:r>
              <a:rPr lang="en-US" sz="1000" b="1" baseline="0">
                <a:latin typeface="Times New Roman" panose="02020603050405020304" pitchFamily="18" charset="0"/>
              </a:rPr>
              <a:t>podľa jednotlivých oblas</a:t>
            </a:r>
            <a:r>
              <a:rPr lang="sk-SK" sz="1000" b="1" baseline="0">
                <a:latin typeface="Times New Roman" panose="02020603050405020304" pitchFamily="18" charset="0"/>
              </a:rPr>
              <a:t>tí verejnej správy</a:t>
            </a:r>
          </a:p>
          <a:p>
            <a:pPr>
              <a:defRPr sz="1000" b="1">
                <a:latin typeface="Times New Roman" panose="02020603050405020304" pitchFamily="18" charset="0"/>
              </a:defRPr>
            </a:pPr>
            <a:r>
              <a:rPr lang="sk-SK" sz="800" b="0" baseline="0">
                <a:latin typeface="Times New Roman" panose="02020603050405020304" pitchFamily="18" charset="0"/>
              </a:rPr>
              <a:t>(NRVS 2024)</a:t>
            </a:r>
            <a:endParaRPr lang="en-US" sz="800" b="0" baseline="0">
              <a:latin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mn-cs"/>
            </a:defRPr>
          </a:pPr>
          <a:endParaRPr lang="sk-SK"/>
        </a:p>
      </c:txPr>
    </c:title>
    <c:autoTitleDeleted val="0"/>
    <c:plotArea>
      <c:layout/>
      <c:barChart>
        <c:barDir val="col"/>
        <c:grouping val="clustered"/>
        <c:varyColors val="0"/>
        <c:ser>
          <c:idx val="0"/>
          <c:order val="0"/>
          <c:tx>
            <c:strRef>
              <c:f>'G5 nárast počtu VS'!$B$1</c:f>
              <c:strCache>
                <c:ptCount val="1"/>
                <c:pt idx="0">
                  <c:v>Medziročný nárast, respektíve pokles počtu zamestnancov podľa jednotlivých oblasí verejnej správy</c:v>
                </c:pt>
              </c:strCache>
            </c:strRef>
          </c:tx>
          <c:spPr>
            <a:solidFill>
              <a:srgbClr val="00B0F0"/>
            </a:solidFill>
            <a:ln>
              <a:noFill/>
            </a:ln>
            <a:effectLst/>
          </c:spPr>
          <c:invertIfNegative val="0"/>
          <c:dPt>
            <c:idx val="0"/>
            <c:invertIfNegative val="0"/>
            <c:bubble3D val="0"/>
            <c:spPr>
              <a:solidFill>
                <a:schemeClr val="bg1">
                  <a:lumMod val="50000"/>
                </a:schemeClr>
              </a:solidFill>
              <a:ln>
                <a:noFill/>
              </a:ln>
              <a:effectLst/>
            </c:spPr>
            <c:extLst>
              <c:ext xmlns:c16="http://schemas.microsoft.com/office/drawing/2014/chart" uri="{C3380CC4-5D6E-409C-BE32-E72D297353CC}">
                <c16:uniqueId val="{00000001-FD25-4F21-99E3-83DCD6F2FE65}"/>
              </c:ext>
            </c:extLst>
          </c:dPt>
          <c:dPt>
            <c:idx val="1"/>
            <c:invertIfNegative val="0"/>
            <c:bubble3D val="0"/>
            <c:spPr>
              <a:solidFill>
                <a:srgbClr val="00B0F0"/>
              </a:solidFill>
              <a:ln>
                <a:noFill/>
              </a:ln>
              <a:effectLst/>
            </c:spPr>
            <c:extLst>
              <c:ext xmlns:c16="http://schemas.microsoft.com/office/drawing/2014/chart" uri="{C3380CC4-5D6E-409C-BE32-E72D297353CC}">
                <c16:uniqueId val="{00000003-FD25-4F21-99E3-83DCD6F2FE65}"/>
              </c:ext>
            </c:extLst>
          </c:dPt>
          <c:dPt>
            <c:idx val="2"/>
            <c:invertIfNegative val="0"/>
            <c:bubble3D val="0"/>
            <c:spPr>
              <a:solidFill>
                <a:srgbClr val="00B0F0"/>
              </a:solidFill>
              <a:ln>
                <a:noFill/>
              </a:ln>
              <a:effectLst/>
            </c:spPr>
            <c:extLst>
              <c:ext xmlns:c16="http://schemas.microsoft.com/office/drawing/2014/chart" uri="{C3380CC4-5D6E-409C-BE32-E72D297353CC}">
                <c16:uniqueId val="{00000005-FD25-4F21-99E3-83DCD6F2FE65}"/>
              </c:ext>
            </c:extLst>
          </c:dPt>
          <c:dPt>
            <c:idx val="3"/>
            <c:invertIfNegative val="0"/>
            <c:bubble3D val="0"/>
            <c:spPr>
              <a:solidFill>
                <a:srgbClr val="00B0F0"/>
              </a:solidFill>
              <a:ln>
                <a:noFill/>
              </a:ln>
              <a:effectLst/>
            </c:spPr>
            <c:extLst>
              <c:ext xmlns:c16="http://schemas.microsoft.com/office/drawing/2014/chart" uri="{C3380CC4-5D6E-409C-BE32-E72D297353CC}">
                <c16:uniqueId val="{00000007-FD25-4F21-99E3-83DCD6F2FE65}"/>
              </c:ext>
            </c:extLst>
          </c:dPt>
          <c:dPt>
            <c:idx val="6"/>
            <c:invertIfNegative val="0"/>
            <c:bubble3D val="0"/>
            <c:spPr>
              <a:solidFill>
                <a:schemeClr val="bg1">
                  <a:lumMod val="75000"/>
                </a:schemeClr>
              </a:solidFill>
              <a:ln>
                <a:noFill/>
              </a:ln>
              <a:effectLst/>
            </c:spPr>
            <c:extLst>
              <c:ext xmlns:c16="http://schemas.microsoft.com/office/drawing/2014/chart" uri="{C3380CC4-5D6E-409C-BE32-E72D297353CC}">
                <c16:uniqueId val="{00000009-FD25-4F21-99E3-83DCD6F2FE65}"/>
              </c:ext>
            </c:extLst>
          </c:dPt>
          <c:dPt>
            <c:idx val="7"/>
            <c:invertIfNegative val="0"/>
            <c:bubble3D val="0"/>
            <c:spPr>
              <a:solidFill>
                <a:schemeClr val="bg1">
                  <a:lumMod val="75000"/>
                </a:schemeClr>
              </a:solidFill>
              <a:ln>
                <a:noFill/>
              </a:ln>
              <a:effectLst/>
            </c:spPr>
            <c:extLst>
              <c:ext xmlns:c16="http://schemas.microsoft.com/office/drawing/2014/chart" uri="{C3380CC4-5D6E-409C-BE32-E72D297353CC}">
                <c16:uniqueId val="{0000000B-FD25-4F21-99E3-83DCD6F2FE65}"/>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'G5 nárast počtu VS'!$A$2:$A$5</c:f>
              <c:strCache>
                <c:ptCount val="4"/>
                <c:pt idx="0">
                  <c:v>verejná správa</c:v>
                </c:pt>
                <c:pt idx="1">
                  <c:v>ústredná správa</c:v>
                </c:pt>
                <c:pt idx="2">
                  <c:v>územná samospráva</c:v>
                </c:pt>
                <c:pt idx="3">
                  <c:v>fondy soc. a zdravotného poistenia</c:v>
                </c:pt>
              </c:strCache>
            </c:strRef>
          </c:cat>
          <c:val>
            <c:numRef>
              <c:f>'G5 nárast počtu VS'!$B$2:$B$5</c:f>
              <c:numCache>
                <c:formatCode>#,##0</c:formatCode>
                <c:ptCount val="4"/>
                <c:pt idx="0">
                  <c:v>12458</c:v>
                </c:pt>
                <c:pt idx="1">
                  <c:v>3841</c:v>
                </c:pt>
                <c:pt idx="2">
                  <c:v>8584</c:v>
                </c:pt>
                <c:pt idx="3">
                  <c:v>33</c:v>
                </c:pt>
              </c:numCache>
            </c:numRef>
          </c:val>
          <c:extLst>
            <c:ext xmlns:c16="http://schemas.microsoft.com/office/drawing/2014/chart" uri="{C3380CC4-5D6E-409C-BE32-E72D297353CC}">
              <c16:uniqueId val="{0000000C-FD25-4F21-99E3-83DCD6F2FE65}"/>
            </c:ext>
          </c:extLst>
        </c:ser>
        <c:dLbls>
          <c:dLblPos val="outEnd"/>
          <c:showLegendKey val="0"/>
          <c:showVal val="1"/>
          <c:showCatName val="0"/>
          <c:showSerName val="0"/>
          <c:showPercent val="0"/>
          <c:showBubbleSize val="0"/>
        </c:dLbls>
        <c:gapWidth val="219"/>
        <c:overlap val="-27"/>
        <c:axId val="489205360"/>
        <c:axId val="489205752"/>
      </c:barChart>
      <c:catAx>
        <c:axId val="4892053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k-SK"/>
          </a:p>
        </c:txPr>
        <c:crossAx val="489205752"/>
        <c:crosses val="autoZero"/>
        <c:auto val="1"/>
        <c:lblAlgn val="ctr"/>
        <c:lblOffset val="100"/>
        <c:noMultiLvlLbl val="0"/>
      </c:catAx>
      <c:valAx>
        <c:axId val="4892057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r>
                  <a:rPr lang="sk-SK" sz="800" baseline="0">
                    <a:latin typeface="Times New Roman" panose="02020603050405020304" pitchFamily="18" charset="0"/>
                  </a:rPr>
                  <a:t>počet zamestnancov </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k-SK"/>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k-SK"/>
          </a:p>
        </c:txPr>
        <c:crossAx val="489205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mn-cs"/>
              </a:defRPr>
            </a:pPr>
            <a:r>
              <a:rPr lang="en-US" sz="1000" b="1" baseline="0">
                <a:latin typeface="Times New Roman" panose="02020603050405020304" pitchFamily="18" charset="0"/>
              </a:rPr>
              <a:t>Medziročn</a:t>
            </a:r>
            <a:r>
              <a:rPr lang="sk-SK" sz="1000" b="1" baseline="0">
                <a:latin typeface="Times New Roman" panose="02020603050405020304" pitchFamily="18" charset="0"/>
              </a:rPr>
              <a:t>á zmena </a:t>
            </a:r>
            <a:r>
              <a:rPr lang="en-US" sz="1000" b="1" baseline="0">
                <a:latin typeface="Times New Roman" panose="02020603050405020304" pitchFamily="18" charset="0"/>
              </a:rPr>
              <a:t>počtu</a:t>
            </a:r>
            <a:r>
              <a:rPr lang="sk-SK" sz="1000" b="1" baseline="0">
                <a:latin typeface="Times New Roman" panose="02020603050405020304" pitchFamily="18" charset="0"/>
              </a:rPr>
              <a:t> </a:t>
            </a:r>
            <a:r>
              <a:rPr lang="en-US" sz="1000" b="1" baseline="0">
                <a:latin typeface="Times New Roman" panose="02020603050405020304" pitchFamily="18" charset="0"/>
              </a:rPr>
              <a:t>zamestnancov</a:t>
            </a:r>
            <a:r>
              <a:rPr lang="sk-SK" sz="1000" b="1" baseline="0">
                <a:latin typeface="Times New Roman" panose="02020603050405020304" pitchFamily="18" charset="0"/>
              </a:rPr>
              <a:t> </a:t>
            </a:r>
          </a:p>
          <a:p>
            <a:pPr>
              <a:defRPr sz="1000" b="1">
                <a:latin typeface="Times New Roman" panose="02020603050405020304" pitchFamily="18" charset="0"/>
              </a:defRPr>
            </a:pPr>
            <a:r>
              <a:rPr lang="sk-SK" sz="1000" b="1" baseline="0">
                <a:latin typeface="Times New Roman" panose="02020603050405020304" pitchFamily="18" charset="0"/>
              </a:rPr>
              <a:t>financovaných zo štátneho rozpočtu</a:t>
            </a:r>
          </a:p>
          <a:p>
            <a:pPr>
              <a:defRPr sz="1000" b="1">
                <a:latin typeface="Times New Roman" panose="02020603050405020304" pitchFamily="18" charset="0"/>
              </a:defRPr>
            </a:pPr>
            <a:r>
              <a:rPr lang="sk-SK" sz="800" b="0" baseline="0">
                <a:latin typeface="Times New Roman" panose="02020603050405020304" pitchFamily="18" charset="0"/>
              </a:rPr>
              <a:t>(NRVS 2024)</a:t>
            </a:r>
            <a:endParaRPr lang="en-US" sz="800" b="0" baseline="0">
              <a:latin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mn-cs"/>
            </a:defRPr>
          </a:pPr>
          <a:endParaRPr lang="sk-SK"/>
        </a:p>
      </c:txPr>
    </c:title>
    <c:autoTitleDeleted val="0"/>
    <c:plotArea>
      <c:layout/>
      <c:barChart>
        <c:barDir val="col"/>
        <c:grouping val="clustered"/>
        <c:varyColors val="0"/>
        <c:ser>
          <c:idx val="0"/>
          <c:order val="0"/>
          <c:tx>
            <c:strRef>
              <c:f>'G6 nárast počtu ŠR'!$B$1</c:f>
              <c:strCache>
                <c:ptCount val="1"/>
                <c:pt idx="0">
                  <c:v>Medziročný nárast, respektíve pokles počtu zamestnancov financovaných zo štátneho rozpočtu</c:v>
                </c:pt>
              </c:strCache>
            </c:strRef>
          </c:tx>
          <c:spPr>
            <a:solidFill>
              <a:srgbClr val="00B0F0"/>
            </a:solidFill>
            <a:ln>
              <a:noFill/>
            </a:ln>
            <a:effectLst/>
          </c:spPr>
          <c:invertIfNegative val="0"/>
          <c:dPt>
            <c:idx val="0"/>
            <c:invertIfNegative val="0"/>
            <c:bubble3D val="0"/>
            <c:spPr>
              <a:solidFill>
                <a:schemeClr val="bg1">
                  <a:lumMod val="50000"/>
                </a:schemeClr>
              </a:solidFill>
              <a:ln>
                <a:noFill/>
              </a:ln>
              <a:effectLst/>
            </c:spPr>
            <c:extLst>
              <c:ext xmlns:c16="http://schemas.microsoft.com/office/drawing/2014/chart" uri="{C3380CC4-5D6E-409C-BE32-E72D297353CC}">
                <c16:uniqueId val="{00000001-2538-4E23-8494-FB777419F116}"/>
              </c:ext>
            </c:extLst>
          </c:dPt>
          <c:dPt>
            <c:idx val="1"/>
            <c:invertIfNegative val="0"/>
            <c:bubble3D val="0"/>
            <c:spPr>
              <a:solidFill>
                <a:srgbClr val="00B0F0"/>
              </a:solidFill>
              <a:ln>
                <a:noFill/>
              </a:ln>
              <a:effectLst/>
            </c:spPr>
            <c:extLst>
              <c:ext xmlns:c16="http://schemas.microsoft.com/office/drawing/2014/chart" uri="{C3380CC4-5D6E-409C-BE32-E72D297353CC}">
                <c16:uniqueId val="{00000003-2538-4E23-8494-FB777419F116}"/>
              </c:ext>
            </c:extLst>
          </c:dPt>
          <c:dPt>
            <c:idx val="6"/>
            <c:invertIfNegative val="0"/>
            <c:bubble3D val="0"/>
            <c:spPr>
              <a:solidFill>
                <a:srgbClr val="00B0F0"/>
              </a:solidFill>
              <a:ln>
                <a:noFill/>
              </a:ln>
              <a:effectLst/>
            </c:spPr>
            <c:extLst>
              <c:ext xmlns:c16="http://schemas.microsoft.com/office/drawing/2014/chart" uri="{C3380CC4-5D6E-409C-BE32-E72D297353CC}">
                <c16:uniqueId val="{00000005-2538-4E23-8494-FB777419F116}"/>
              </c:ext>
            </c:extLst>
          </c:dPt>
          <c:dPt>
            <c:idx val="7"/>
            <c:invertIfNegative val="0"/>
            <c:bubble3D val="0"/>
            <c:spPr>
              <a:solidFill>
                <a:srgbClr val="00B0F0"/>
              </a:solidFill>
              <a:ln>
                <a:noFill/>
              </a:ln>
              <a:effectLst/>
            </c:spPr>
            <c:extLst>
              <c:ext xmlns:c16="http://schemas.microsoft.com/office/drawing/2014/chart" uri="{C3380CC4-5D6E-409C-BE32-E72D297353CC}">
                <c16:uniqueId val="{00000007-2538-4E23-8494-FB777419F116}"/>
              </c:ext>
            </c:extLst>
          </c:dPt>
          <c:dLbls>
            <c:dLbl>
              <c:idx val="0"/>
              <c:layout>
                <c:manualLayout>
                  <c:x val="0"/>
                  <c:y val="-7.831310627599355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38-4E23-8494-FB777419F116}"/>
                </c:ext>
              </c:extLst>
            </c:dLbl>
            <c:dLbl>
              <c:idx val="2"/>
              <c:layout>
                <c:manualLayout>
                  <c:x val="0"/>
                  <c:y val="1.17474284385817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538-4E23-8494-FB777419F116}"/>
                </c:ext>
              </c:extLst>
            </c:dLbl>
            <c:dLbl>
              <c:idx val="3"/>
              <c:layout>
                <c:manualLayout>
                  <c:x val="0"/>
                  <c:y val="8.6764168349864348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538-4E23-8494-FB777419F11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'G6 nárast počtu ŠR'!$A$3:$A$9</c:f>
              <c:strCache>
                <c:ptCount val="7"/>
                <c:pt idx="0">
                  <c:v>SPOLU     </c:v>
                </c:pt>
                <c:pt idx="1">
                  <c:v>RŠ v územnej samospráve</c:v>
                </c:pt>
                <c:pt idx="2">
                  <c:v>štátne rozpočtové organizácie</c:v>
                </c:pt>
                <c:pt idx="3">
                  <c:v>RŠ súkromných a cirkevných zriaď.</c:v>
                </c:pt>
                <c:pt idx="4">
                  <c:v>štátne príspevkové organizácie</c:v>
                </c:pt>
                <c:pt idx="5">
                  <c:v>verejné výskumné inštitúcie</c:v>
                </c:pt>
                <c:pt idx="6">
                  <c:v>verejné vysoké školy</c:v>
                </c:pt>
              </c:strCache>
            </c:strRef>
          </c:cat>
          <c:val>
            <c:numRef>
              <c:f>'G6 nárast počtu ŠR'!$B$3:$B$9</c:f>
              <c:numCache>
                <c:formatCode>#,##0</c:formatCode>
                <c:ptCount val="7"/>
                <c:pt idx="0">
                  <c:v>13338</c:v>
                </c:pt>
                <c:pt idx="1">
                  <c:v>7462</c:v>
                </c:pt>
                <c:pt idx="2">
                  <c:v>3207</c:v>
                </c:pt>
                <c:pt idx="3">
                  <c:v>2519</c:v>
                </c:pt>
                <c:pt idx="4">
                  <c:v>80</c:v>
                </c:pt>
                <c:pt idx="5">
                  <c:v>70</c:v>
                </c:pt>
                <c:pt idx="6">
                  <c:v>0</c:v>
                </c:pt>
              </c:numCache>
            </c:numRef>
          </c:val>
          <c:extLst>
            <c:ext xmlns:c16="http://schemas.microsoft.com/office/drawing/2014/chart" uri="{C3380CC4-5D6E-409C-BE32-E72D297353CC}">
              <c16:uniqueId val="{0000000A-2538-4E23-8494-FB777419F116}"/>
            </c:ext>
          </c:extLst>
        </c:ser>
        <c:dLbls>
          <c:dLblPos val="outEnd"/>
          <c:showLegendKey val="0"/>
          <c:showVal val="1"/>
          <c:showCatName val="0"/>
          <c:showSerName val="0"/>
          <c:showPercent val="0"/>
          <c:showBubbleSize val="0"/>
        </c:dLbls>
        <c:gapWidth val="219"/>
        <c:overlap val="-27"/>
        <c:axId val="489206536"/>
        <c:axId val="497236456"/>
      </c:barChart>
      <c:catAx>
        <c:axId val="48920653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k-SK"/>
          </a:p>
        </c:txPr>
        <c:crossAx val="497236456"/>
        <c:crosses val="autoZero"/>
        <c:auto val="1"/>
        <c:lblAlgn val="ctr"/>
        <c:lblOffset val="100"/>
        <c:noMultiLvlLbl val="0"/>
      </c:catAx>
      <c:valAx>
        <c:axId val="497236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r>
                  <a:rPr lang="sk-SK" sz="800" baseline="0">
                    <a:latin typeface="Times New Roman" panose="02020603050405020304" pitchFamily="18" charset="0"/>
                  </a:rPr>
                  <a:t>počet zamestnancov </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k-SK"/>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k-SK"/>
          </a:p>
        </c:txPr>
        <c:crossAx val="489206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mn-cs"/>
              </a:defRPr>
            </a:pPr>
            <a:r>
              <a:rPr lang="sk-SK" sz="1000" b="1" baseline="0">
                <a:latin typeface="Times New Roman" panose="02020603050405020304" pitchFamily="18" charset="0"/>
              </a:rPr>
              <a:t>Počet zamestnancov </a:t>
            </a:r>
            <a:r>
              <a:rPr lang="en-US" sz="1000" b="1" baseline="0">
                <a:latin typeface="Times New Roman" panose="02020603050405020304" pitchFamily="18" charset="0"/>
              </a:rPr>
              <a:t>na realizáciu Plánu obnovy a odolnosti SR podľa kapitol ŠR</a:t>
            </a:r>
            <a:r>
              <a:rPr lang="sk-SK" sz="1000" b="1" baseline="0">
                <a:latin typeface="Times New Roman" panose="02020603050405020304" pitchFamily="18" charset="0"/>
              </a:rPr>
              <a:t/>
            </a:r>
            <a:br>
              <a:rPr lang="sk-SK" sz="1000" b="1" baseline="0">
                <a:latin typeface="Times New Roman" panose="02020603050405020304" pitchFamily="18" charset="0"/>
              </a:rPr>
            </a:br>
            <a:r>
              <a:rPr lang="sk-SK" sz="800" b="0" baseline="0">
                <a:latin typeface="Times New Roman" panose="02020603050405020304" pitchFamily="18" charset="0"/>
              </a:rPr>
              <a:t>(NRVS 2024)</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mn-cs"/>
            </a:defRPr>
          </a:pPr>
          <a:endParaRPr lang="sk-SK"/>
        </a:p>
      </c:txPr>
    </c:title>
    <c:autoTitleDeleted val="0"/>
    <c:plotArea>
      <c:layout/>
      <c:barChart>
        <c:barDir val="col"/>
        <c:grouping val="clustered"/>
        <c:varyColors val="0"/>
        <c:ser>
          <c:idx val="0"/>
          <c:order val="0"/>
          <c:tx>
            <c:strRef>
              <c:f>'G12 POO kapitoly ŠR osoby'!$B$2</c:f>
              <c:strCache>
                <c:ptCount val="1"/>
                <c:pt idx="0">
                  <c:v>Počet zamestnancov na realizáciu Plánu obnovy a odolnosti SR podľa kapitol ŠR (zdroj 111 a 1P01)</c:v>
                </c:pt>
              </c:strCache>
            </c:strRef>
          </c:tx>
          <c:spPr>
            <a:solidFill>
              <a:srgbClr val="00B0F0"/>
            </a:solidFill>
            <a:ln>
              <a:noFill/>
            </a:ln>
            <a:effectLst/>
          </c:spPr>
          <c:invertIfNegative val="0"/>
          <c:dPt>
            <c:idx val="0"/>
            <c:invertIfNegative val="0"/>
            <c:bubble3D val="0"/>
            <c:spPr>
              <a:solidFill>
                <a:srgbClr val="00B0F0"/>
              </a:solidFill>
              <a:ln>
                <a:noFill/>
              </a:ln>
              <a:effectLst/>
            </c:spPr>
            <c:extLst>
              <c:ext xmlns:c16="http://schemas.microsoft.com/office/drawing/2014/chart" uri="{C3380CC4-5D6E-409C-BE32-E72D297353CC}">
                <c16:uniqueId val="{00000001-916D-4AAF-BBE7-41C4DFF4215B}"/>
              </c:ext>
            </c:extLst>
          </c:dPt>
          <c:dPt>
            <c:idx val="1"/>
            <c:invertIfNegative val="0"/>
            <c:bubble3D val="0"/>
            <c:spPr>
              <a:solidFill>
                <a:srgbClr val="00B0F0"/>
              </a:solidFill>
              <a:ln>
                <a:noFill/>
              </a:ln>
              <a:effectLst/>
            </c:spPr>
            <c:extLst>
              <c:ext xmlns:c16="http://schemas.microsoft.com/office/drawing/2014/chart" uri="{C3380CC4-5D6E-409C-BE32-E72D297353CC}">
                <c16:uniqueId val="{00000003-916D-4AAF-BBE7-41C4DFF4215B}"/>
              </c:ext>
            </c:extLst>
          </c:dPt>
          <c:dPt>
            <c:idx val="6"/>
            <c:invertIfNegative val="0"/>
            <c:bubble3D val="0"/>
            <c:spPr>
              <a:solidFill>
                <a:srgbClr val="00B0F0"/>
              </a:solidFill>
              <a:ln>
                <a:noFill/>
              </a:ln>
              <a:effectLst/>
            </c:spPr>
            <c:extLst>
              <c:ext xmlns:c16="http://schemas.microsoft.com/office/drawing/2014/chart" uri="{C3380CC4-5D6E-409C-BE32-E72D297353CC}">
                <c16:uniqueId val="{00000005-916D-4AAF-BBE7-41C4DFF4215B}"/>
              </c:ext>
            </c:extLst>
          </c:dPt>
          <c:dPt>
            <c:idx val="7"/>
            <c:invertIfNegative val="0"/>
            <c:bubble3D val="0"/>
            <c:spPr>
              <a:solidFill>
                <a:srgbClr val="00B0F0"/>
              </a:solidFill>
              <a:ln>
                <a:noFill/>
              </a:ln>
              <a:effectLst/>
            </c:spPr>
            <c:extLst>
              <c:ext xmlns:c16="http://schemas.microsoft.com/office/drawing/2014/chart" uri="{C3380CC4-5D6E-409C-BE32-E72D297353CC}">
                <c16:uniqueId val="{00000007-916D-4AAF-BBE7-41C4DFF4215B}"/>
              </c:ext>
            </c:extLst>
          </c:dPt>
          <c:dLbls>
            <c:dLbl>
              <c:idx val="0"/>
              <c:layout>
                <c:manualLayout>
                  <c:x val="0"/>
                  <c:y val="-7.831310627599355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16D-4AAF-BBE7-41C4DFF4215B}"/>
                </c:ext>
              </c:extLst>
            </c:dLbl>
            <c:dLbl>
              <c:idx val="2"/>
              <c:layout>
                <c:manualLayout>
                  <c:x val="0"/>
                  <c:y val="1.17474284385817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16D-4AAF-BBE7-41C4DFF4215B}"/>
                </c:ext>
              </c:extLst>
            </c:dLbl>
            <c:dLbl>
              <c:idx val="3"/>
              <c:layout>
                <c:manualLayout>
                  <c:x val="0"/>
                  <c:y val="1.56632379181090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16D-4AAF-BBE7-41C4DFF4215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'G12 POO kapitoly ŠR osoby'!$A$3:$A$15</c:f>
              <c:strCache>
                <c:ptCount val="13"/>
                <c:pt idx="0">
                  <c:v>MŽP SR</c:v>
                </c:pt>
                <c:pt idx="1">
                  <c:v>MŠVVŠ SR</c:v>
                </c:pt>
                <c:pt idx="2">
                  <c:v>ÚV SR</c:v>
                </c:pt>
                <c:pt idx="3">
                  <c:v>MIRRI SR</c:v>
                </c:pt>
                <c:pt idx="4">
                  <c:v>MZ SR</c:v>
                </c:pt>
                <c:pt idx="5">
                  <c:v>MH SR</c:v>
                </c:pt>
                <c:pt idx="6">
                  <c:v>ÚVO</c:v>
                </c:pt>
                <c:pt idx="7">
                  <c:v>MS SR</c:v>
                </c:pt>
                <c:pt idx="8">
                  <c:v>MD SR</c:v>
                </c:pt>
                <c:pt idx="9">
                  <c:v>MF SR</c:v>
                </c:pt>
                <c:pt idx="10">
                  <c:v>MV SR</c:v>
                </c:pt>
                <c:pt idx="11">
                  <c:v>MPSVR SR</c:v>
                </c:pt>
                <c:pt idx="12">
                  <c:v>KNSS SR</c:v>
                </c:pt>
              </c:strCache>
            </c:strRef>
          </c:cat>
          <c:val>
            <c:numRef>
              <c:f>'G12 POO kapitoly ŠR osoby'!$B$3:$B$15</c:f>
              <c:numCache>
                <c:formatCode>#,##0</c:formatCode>
                <c:ptCount val="13"/>
                <c:pt idx="0">
                  <c:v>424</c:v>
                </c:pt>
                <c:pt idx="1">
                  <c:v>394</c:v>
                </c:pt>
                <c:pt idx="2">
                  <c:v>273</c:v>
                </c:pt>
                <c:pt idx="3">
                  <c:v>199</c:v>
                </c:pt>
                <c:pt idx="4">
                  <c:v>144</c:v>
                </c:pt>
                <c:pt idx="5">
                  <c:v>89</c:v>
                </c:pt>
                <c:pt idx="6">
                  <c:v>61</c:v>
                </c:pt>
                <c:pt idx="7">
                  <c:v>49</c:v>
                </c:pt>
                <c:pt idx="8">
                  <c:v>45</c:v>
                </c:pt>
                <c:pt idx="9">
                  <c:v>38</c:v>
                </c:pt>
                <c:pt idx="10">
                  <c:v>38</c:v>
                </c:pt>
                <c:pt idx="11">
                  <c:v>35</c:v>
                </c:pt>
                <c:pt idx="12">
                  <c:v>3</c:v>
                </c:pt>
              </c:numCache>
            </c:numRef>
          </c:val>
          <c:extLst>
            <c:ext xmlns:c16="http://schemas.microsoft.com/office/drawing/2014/chart" uri="{C3380CC4-5D6E-409C-BE32-E72D297353CC}">
              <c16:uniqueId val="{0000000A-916D-4AAF-BBE7-41C4DFF4215B}"/>
            </c:ext>
          </c:extLst>
        </c:ser>
        <c:dLbls>
          <c:dLblPos val="outEnd"/>
          <c:showLegendKey val="0"/>
          <c:showVal val="1"/>
          <c:showCatName val="0"/>
          <c:showSerName val="0"/>
          <c:showPercent val="0"/>
          <c:showBubbleSize val="0"/>
        </c:dLbls>
        <c:gapWidth val="219"/>
        <c:overlap val="-27"/>
        <c:axId val="609026536"/>
        <c:axId val="609026928"/>
      </c:barChart>
      <c:catAx>
        <c:axId val="60902653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k-SK"/>
          </a:p>
        </c:txPr>
        <c:crossAx val="609026928"/>
        <c:crosses val="autoZero"/>
        <c:auto val="1"/>
        <c:lblAlgn val="ctr"/>
        <c:lblOffset val="100"/>
        <c:noMultiLvlLbl val="0"/>
      </c:catAx>
      <c:valAx>
        <c:axId val="609026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r>
                  <a:rPr lang="sk-SK" sz="800" baseline="0">
                    <a:latin typeface="Times New Roman" panose="02020603050405020304" pitchFamily="18" charset="0"/>
                  </a:rPr>
                  <a:t>počet zamestnancov</a:t>
                </a:r>
              </a:p>
            </c:rich>
          </c:tx>
          <c:layout>
            <c:manualLayout>
              <c:xMode val="edge"/>
              <c:yMode val="edge"/>
              <c:x val="2.5418833044482957E-2"/>
              <c:y val="0.37510688587071317"/>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k-SK"/>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k-SK"/>
          </a:p>
        </c:txPr>
        <c:crossAx val="609026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mn-cs"/>
              </a:defRPr>
            </a:pPr>
            <a:r>
              <a:rPr lang="en-US" sz="1000" b="1" baseline="0">
                <a:latin typeface="Times New Roman" panose="02020603050405020304" pitchFamily="18" charset="0"/>
              </a:rPr>
              <a:t>Osobné výdavky zamestnancov financovaných zo štátneho rozpočtu</a:t>
            </a:r>
            <a:r>
              <a:rPr lang="sk-SK" sz="1000" b="1" baseline="0">
                <a:latin typeface="Times New Roman" panose="02020603050405020304" pitchFamily="18" charset="0"/>
              </a:rPr>
              <a:t/>
            </a:r>
            <a:br>
              <a:rPr lang="sk-SK" sz="1000" b="1" baseline="0">
                <a:latin typeface="Times New Roman" panose="02020603050405020304" pitchFamily="18" charset="0"/>
              </a:rPr>
            </a:br>
            <a:r>
              <a:rPr lang="sk-SK" sz="800" b="0" baseline="0">
                <a:latin typeface="Times New Roman" panose="02020603050405020304" pitchFamily="18" charset="0"/>
              </a:rPr>
              <a:t>(v mil. eur; NRVS 2024)</a:t>
            </a:r>
            <a:endParaRPr lang="en-US" sz="800" b="0" baseline="0">
              <a:latin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mn-cs"/>
            </a:defRPr>
          </a:pPr>
          <a:endParaRPr lang="sk-SK"/>
        </a:p>
      </c:txPr>
    </c:title>
    <c:autoTitleDeleted val="0"/>
    <c:plotArea>
      <c:layout/>
      <c:barChart>
        <c:barDir val="col"/>
        <c:grouping val="clustered"/>
        <c:varyColors val="0"/>
        <c:ser>
          <c:idx val="0"/>
          <c:order val="0"/>
          <c:tx>
            <c:strRef>
              <c:f>'G2 výdavky'!$B$1</c:f>
              <c:strCache>
                <c:ptCount val="1"/>
                <c:pt idx="0">
                  <c:v>Osobné výdavky na zamestnancov financovaných zo štátneho rozpočtu, vrátane prenesených kompetencií a VVŠ podľa odmeňovacích predpisov</c:v>
                </c:pt>
              </c:strCache>
            </c:strRef>
          </c:tx>
          <c:spPr>
            <a:solidFill>
              <a:srgbClr val="00B0F0"/>
            </a:solidFill>
            <a:ln>
              <a:noFill/>
            </a:ln>
            <a:effectLst/>
          </c:spPr>
          <c:invertIfNegative val="0"/>
          <c:dLbls>
            <c:dLbl>
              <c:idx val="1"/>
              <c:layout>
                <c:manualLayout>
                  <c:x val="-4.2884494848067341E-17"/>
                  <c:y val="-1.335707925200352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5D8-4297-B4F0-DACA7E9D245E}"/>
                </c:ext>
              </c:extLst>
            </c:dLbl>
            <c:dLbl>
              <c:idx val="2"/>
              <c:layout>
                <c:manualLayout>
                  <c:x val="0"/>
                  <c:y val="-1.335707925200364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D8-4297-B4F0-DACA7E9D245E}"/>
                </c:ext>
              </c:extLst>
            </c:dLbl>
            <c:dLbl>
              <c:idx val="3"/>
              <c:layout>
                <c:manualLayout>
                  <c:x val="0"/>
                  <c:y val="1.780943900267141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D8-4297-B4F0-DACA7E9D245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'G2 výdavky'!$A$2:$A$10</c:f>
              <c:strCache>
                <c:ptCount val="9"/>
                <c:pt idx="0">
                  <c:v>pedagogickí a odborní zam.</c:v>
                </c:pt>
                <c:pt idx="1">
                  <c:v>verejna služba (ostatní)</c:v>
                </c:pt>
                <c:pt idx="2">
                  <c:v>štátni zamestnanci</c:v>
                </c:pt>
                <c:pt idx="3">
                  <c:v>policajti</c:v>
                </c:pt>
                <c:pt idx="4">
                  <c:v>učitelia VŠ</c:v>
                </c:pt>
                <c:pt idx="5">
                  <c:v>profesionálni vojaci</c:v>
                </c:pt>
                <c:pt idx="6">
                  <c:v>príslušníci FS</c:v>
                </c:pt>
                <c:pt idx="7">
                  <c:v>ústavní čin. vr. prokurátorov</c:v>
                </c:pt>
                <c:pt idx="8">
                  <c:v>príslušníci HZZ a HZS</c:v>
                </c:pt>
              </c:strCache>
            </c:strRef>
          </c:cat>
          <c:val>
            <c:numRef>
              <c:f>'G2 výdavky'!$B$2:$B$10</c:f>
              <c:numCache>
                <c:formatCode>#,##0</c:formatCode>
                <c:ptCount val="9"/>
                <c:pt idx="0">
                  <c:v>2186.7968430000001</c:v>
                </c:pt>
                <c:pt idx="1">
                  <c:v>1252.2096879999999</c:v>
                </c:pt>
                <c:pt idx="2">
                  <c:v>1049.5241570000001</c:v>
                </c:pt>
                <c:pt idx="3">
                  <c:v>1029.1993090000001</c:v>
                </c:pt>
                <c:pt idx="4">
                  <c:v>562.67722700000002</c:v>
                </c:pt>
                <c:pt idx="5">
                  <c:v>541.06877499999996</c:v>
                </c:pt>
                <c:pt idx="6">
                  <c:v>301.918972</c:v>
                </c:pt>
                <c:pt idx="7">
                  <c:v>259.67281000000003</c:v>
                </c:pt>
                <c:pt idx="8">
                  <c:v>149.90100200000001</c:v>
                </c:pt>
              </c:numCache>
            </c:numRef>
          </c:val>
          <c:extLst>
            <c:ext xmlns:c16="http://schemas.microsoft.com/office/drawing/2014/chart" uri="{C3380CC4-5D6E-409C-BE32-E72D297353CC}">
              <c16:uniqueId val="{00000003-25D8-4297-B4F0-DACA7E9D245E}"/>
            </c:ext>
          </c:extLst>
        </c:ser>
        <c:dLbls>
          <c:dLblPos val="outEnd"/>
          <c:showLegendKey val="0"/>
          <c:showVal val="1"/>
          <c:showCatName val="0"/>
          <c:showSerName val="0"/>
          <c:showPercent val="0"/>
          <c:showBubbleSize val="0"/>
        </c:dLbls>
        <c:gapWidth val="219"/>
        <c:overlap val="-27"/>
        <c:axId val="488319752"/>
        <c:axId val="488320144"/>
      </c:barChart>
      <c:catAx>
        <c:axId val="488319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k-SK"/>
          </a:p>
        </c:txPr>
        <c:crossAx val="488320144"/>
        <c:crosses val="autoZero"/>
        <c:auto val="1"/>
        <c:lblAlgn val="ctr"/>
        <c:lblOffset val="100"/>
        <c:noMultiLvlLbl val="0"/>
      </c:catAx>
      <c:valAx>
        <c:axId val="488320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r>
                  <a:rPr lang="sk-SK" sz="800" baseline="0">
                    <a:latin typeface="Times New Roman" panose="02020603050405020304" pitchFamily="18" charset="0"/>
                  </a:rPr>
                  <a:t>osobné výdavky v mil. eur</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k-SK"/>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k-SK"/>
          </a:p>
        </c:txPr>
        <c:crossAx val="488319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mn-cs"/>
              </a:defRPr>
            </a:pPr>
            <a:r>
              <a:rPr lang="en-US" sz="1000" b="1" baseline="0">
                <a:latin typeface="Times New Roman" panose="02020603050405020304" pitchFamily="18" charset="0"/>
              </a:rPr>
              <a:t>Počet zamestnancov </a:t>
            </a:r>
            <a:r>
              <a:rPr lang="sk-SK" sz="1000" b="1" baseline="0">
                <a:latin typeface="Times New Roman" panose="02020603050405020304" pitchFamily="18" charset="0"/>
              </a:rPr>
              <a:t/>
            </a:r>
            <a:br>
              <a:rPr lang="sk-SK" sz="1000" b="1" baseline="0">
                <a:latin typeface="Times New Roman" panose="02020603050405020304" pitchFamily="18" charset="0"/>
              </a:rPr>
            </a:br>
            <a:r>
              <a:rPr lang="en-US" sz="1000" b="1" baseline="0">
                <a:latin typeface="Times New Roman" panose="02020603050405020304" pitchFamily="18" charset="0"/>
              </a:rPr>
              <a:t>financovaných zo štátneho rozpočtu</a:t>
            </a:r>
            <a:r>
              <a:rPr lang="sk-SK" sz="1000" b="1" baseline="0">
                <a:latin typeface="Times New Roman" panose="02020603050405020304" pitchFamily="18" charset="0"/>
              </a:rPr>
              <a:t> </a:t>
            </a:r>
            <a:br>
              <a:rPr lang="sk-SK" sz="1000" b="1" baseline="0">
                <a:latin typeface="Times New Roman" panose="02020603050405020304" pitchFamily="18" charset="0"/>
              </a:rPr>
            </a:br>
            <a:r>
              <a:rPr lang="sk-SK" sz="800" b="0" baseline="0">
                <a:latin typeface="Times New Roman" panose="02020603050405020304" pitchFamily="18" charset="0"/>
              </a:rPr>
              <a:t>(v tis. zamestnancov; NRVS 2024)</a:t>
            </a:r>
            <a:endParaRPr lang="en-US" sz="800" b="0" baseline="0">
              <a:latin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mn-cs"/>
            </a:defRPr>
          </a:pPr>
          <a:endParaRPr lang="sk-SK"/>
        </a:p>
      </c:txPr>
    </c:title>
    <c:autoTitleDeleted val="0"/>
    <c:plotArea>
      <c:layout/>
      <c:barChart>
        <c:barDir val="col"/>
        <c:grouping val="clustered"/>
        <c:varyColors val="0"/>
        <c:ser>
          <c:idx val="0"/>
          <c:order val="0"/>
          <c:tx>
            <c:strRef>
              <c:f>'G1 počty'!$B$1</c:f>
              <c:strCache>
                <c:ptCount val="1"/>
                <c:pt idx="0">
                  <c:v>Počet zamestnancov financovaných zo štátneho rozpočtu, vrátane prenesených kompetencií a VVŠ podľa odmeňovacích predpisov</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'G1 počty'!$A$2:$A$10</c:f>
              <c:strCache>
                <c:ptCount val="9"/>
                <c:pt idx="0">
                  <c:v>pedagogickí a odborní zam.</c:v>
                </c:pt>
                <c:pt idx="1">
                  <c:v>verejna služba (ostatní)</c:v>
                </c:pt>
                <c:pt idx="2">
                  <c:v>štátni zamestnanci</c:v>
                </c:pt>
                <c:pt idx="3">
                  <c:v>policajti</c:v>
                </c:pt>
                <c:pt idx="4">
                  <c:v>profesionálni vojaci</c:v>
                </c:pt>
                <c:pt idx="5">
                  <c:v>učitelia VŠ</c:v>
                </c:pt>
                <c:pt idx="6">
                  <c:v>príslušníci FS</c:v>
                </c:pt>
                <c:pt idx="7">
                  <c:v>príslušníci HZZ a HZS</c:v>
                </c:pt>
                <c:pt idx="8">
                  <c:v>ústavní čin. vr. prokurátorov</c:v>
                </c:pt>
              </c:strCache>
            </c:strRef>
          </c:cat>
          <c:val>
            <c:numRef>
              <c:f>'G1 počty'!$B$2:$B$10</c:f>
              <c:numCache>
                <c:formatCode>#,##0</c:formatCode>
                <c:ptCount val="9"/>
                <c:pt idx="0">
                  <c:v>77.018000000000001</c:v>
                </c:pt>
                <c:pt idx="1">
                  <c:v>58.598999999999997</c:v>
                </c:pt>
                <c:pt idx="2">
                  <c:v>37.317999999999998</c:v>
                </c:pt>
                <c:pt idx="3">
                  <c:v>27.978999999999999</c:v>
                </c:pt>
                <c:pt idx="4">
                  <c:v>14.98</c:v>
                </c:pt>
                <c:pt idx="5">
                  <c:v>13.353999999999999</c:v>
                </c:pt>
                <c:pt idx="6">
                  <c:v>8.7680000000000007</c:v>
                </c:pt>
                <c:pt idx="7">
                  <c:v>4.609</c:v>
                </c:pt>
                <c:pt idx="8">
                  <c:v>2.823</c:v>
                </c:pt>
              </c:numCache>
            </c:numRef>
          </c:val>
          <c:extLst>
            <c:ext xmlns:c16="http://schemas.microsoft.com/office/drawing/2014/chart" uri="{C3380CC4-5D6E-409C-BE32-E72D297353CC}">
              <c16:uniqueId val="{00000000-0919-4545-ADAD-36AA64215162}"/>
            </c:ext>
          </c:extLst>
        </c:ser>
        <c:dLbls>
          <c:dLblPos val="outEnd"/>
          <c:showLegendKey val="0"/>
          <c:showVal val="1"/>
          <c:showCatName val="0"/>
          <c:showSerName val="0"/>
          <c:showPercent val="0"/>
          <c:showBubbleSize val="0"/>
        </c:dLbls>
        <c:gapWidth val="219"/>
        <c:overlap val="-27"/>
        <c:axId val="497237240"/>
        <c:axId val="488320928"/>
      </c:barChart>
      <c:catAx>
        <c:axId val="497237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k-SK"/>
          </a:p>
        </c:txPr>
        <c:crossAx val="488320928"/>
        <c:crosses val="autoZero"/>
        <c:auto val="1"/>
        <c:lblAlgn val="ctr"/>
        <c:lblOffset val="100"/>
        <c:noMultiLvlLbl val="0"/>
      </c:catAx>
      <c:valAx>
        <c:axId val="488320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r>
                  <a:rPr lang="sk-SK" sz="800" baseline="0">
                    <a:latin typeface="Times New Roman" panose="02020603050405020304" pitchFamily="18" charset="0"/>
                  </a:rPr>
                  <a:t>počet zamestnancov v tis.</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k-SK"/>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k-SK"/>
          </a:p>
        </c:txPr>
        <c:crossAx val="497237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lumMod val="95000"/>
                    <a:lumOff val="5000"/>
                  </a:schemeClr>
                </a:solidFill>
                <a:latin typeface="Times New Roman" panose="02020603050405020304" pitchFamily="18" charset="0"/>
                <a:ea typeface="+mn-ea"/>
                <a:cs typeface="+mn-cs"/>
              </a:defRPr>
            </a:pPr>
            <a:r>
              <a:rPr lang="sk-SK"/>
              <a:t>v tis. eur</a:t>
            </a:r>
          </a:p>
        </c:rich>
      </c:tx>
      <c:layout>
        <c:manualLayout>
          <c:xMode val="edge"/>
          <c:yMode val="edge"/>
          <c:x val="7.1715042910923711E-3"/>
          <c:y val="2.3441660260202429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95000"/>
                  <a:lumOff val="5000"/>
                </a:schemeClr>
              </a:solidFill>
              <a:latin typeface="Times New Roman" panose="02020603050405020304" pitchFamily="18" charset="0"/>
              <a:ea typeface="+mn-ea"/>
              <a:cs typeface="+mn-cs"/>
            </a:defRPr>
          </a:pPr>
          <a:endParaRPr lang="sk-SK"/>
        </a:p>
      </c:txPr>
    </c:title>
    <c:autoTitleDeleted val="0"/>
    <c:plotArea>
      <c:layout>
        <c:manualLayout>
          <c:layoutTarget val="inner"/>
          <c:xMode val="edge"/>
          <c:yMode val="edge"/>
          <c:x val="0.10720921479703821"/>
          <c:y val="0.11856378915202445"/>
          <c:w val="0.87386035453566413"/>
          <c:h val="0.72526933464867693"/>
        </c:manualLayout>
      </c:layout>
      <c:barChart>
        <c:barDir val="col"/>
        <c:grouping val="stacked"/>
        <c:varyColors val="0"/>
        <c:ser>
          <c:idx val="0"/>
          <c:order val="0"/>
          <c:tx>
            <c:strRef>
              <c:f>grafy!$M$23</c:f>
              <c:strCache>
                <c:ptCount val="1"/>
                <c:pt idx="0">
                  <c:v>Mzdy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Times New Roman" panose="02020603050405020304" pitchFamily="18" charset="0"/>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grafy!$N$22:$Q$22</c:f>
              <c:strCache>
                <c:ptCount val="4"/>
                <c:pt idx="0">
                  <c:v>2023 R</c:v>
                </c:pt>
                <c:pt idx="1">
                  <c:v>2024 N</c:v>
                </c:pt>
                <c:pt idx="2">
                  <c:v>2025 N</c:v>
                </c:pt>
                <c:pt idx="3">
                  <c:v>2026 N</c:v>
                </c:pt>
              </c:strCache>
            </c:strRef>
          </c:cat>
          <c:val>
            <c:numRef>
              <c:f>grafy!$N$23:$Q$23</c:f>
              <c:numCache>
                <c:formatCode>#,##0</c:formatCode>
                <c:ptCount val="4"/>
                <c:pt idx="0">
                  <c:v>187661.84400000001</c:v>
                </c:pt>
                <c:pt idx="1">
                  <c:v>175424.21599999999</c:v>
                </c:pt>
                <c:pt idx="2">
                  <c:v>397326.74900000001</c:v>
                </c:pt>
                <c:pt idx="3">
                  <c:v>621303.06599999999</c:v>
                </c:pt>
              </c:numCache>
            </c:numRef>
          </c:val>
          <c:extLst>
            <c:ext xmlns:c16="http://schemas.microsoft.com/office/drawing/2014/chart" uri="{C3380CC4-5D6E-409C-BE32-E72D297353CC}">
              <c16:uniqueId val="{00000000-533C-4E47-AEDD-54E6686F53A5}"/>
            </c:ext>
          </c:extLst>
        </c:ser>
        <c:ser>
          <c:idx val="1"/>
          <c:order val="1"/>
          <c:tx>
            <c:strRef>
              <c:f>grafy!$M$24</c:f>
              <c:strCache>
                <c:ptCount val="1"/>
                <c:pt idx="0">
                  <c:v>Krízové situácie</c:v>
                </c:pt>
              </c:strCache>
            </c:strRef>
          </c:tx>
          <c:spPr>
            <a:solidFill>
              <a:schemeClr val="accent4">
                <a:lumMod val="20000"/>
                <a:lumOff val="80000"/>
              </a:schemeClr>
            </a:solidFill>
            <a:ln>
              <a:noFill/>
            </a:ln>
            <a:effectLst/>
          </c:spPr>
          <c:invertIfNegative val="0"/>
          <c:cat>
            <c:strRef>
              <c:f>grafy!$N$22:$Q$22</c:f>
              <c:strCache>
                <c:ptCount val="4"/>
                <c:pt idx="0">
                  <c:v>2023 R</c:v>
                </c:pt>
                <c:pt idx="1">
                  <c:v>2024 N</c:v>
                </c:pt>
                <c:pt idx="2">
                  <c:v>2025 N</c:v>
                </c:pt>
                <c:pt idx="3">
                  <c:v>2026 N</c:v>
                </c:pt>
              </c:strCache>
            </c:strRef>
          </c:cat>
          <c:val>
            <c:numRef>
              <c:f>grafy!$N$24:$Q$24</c:f>
              <c:numCache>
                <c:formatCode>#,##0</c:formatCode>
                <c:ptCount val="4"/>
                <c:pt idx="0">
                  <c:v>21000</c:v>
                </c:pt>
                <c:pt idx="1">
                  <c:v>21000</c:v>
                </c:pt>
                <c:pt idx="2">
                  <c:v>21000</c:v>
                </c:pt>
                <c:pt idx="3">
                  <c:v>21000</c:v>
                </c:pt>
              </c:numCache>
            </c:numRef>
          </c:val>
          <c:extLst>
            <c:ext xmlns:c16="http://schemas.microsoft.com/office/drawing/2014/chart" uri="{C3380CC4-5D6E-409C-BE32-E72D297353CC}">
              <c16:uniqueId val="{00000001-533C-4E47-AEDD-54E6686F53A5}"/>
            </c:ext>
          </c:extLst>
        </c:ser>
        <c:ser>
          <c:idx val="2"/>
          <c:order val="2"/>
          <c:tx>
            <c:strRef>
              <c:f>grafy!$M$25</c:f>
              <c:strCache>
                <c:ptCount val="1"/>
                <c:pt idx="0">
                  <c:v>Súdne a exekučné</c:v>
                </c:pt>
              </c:strCache>
            </c:strRef>
          </c:tx>
          <c:spPr>
            <a:solidFill>
              <a:schemeClr val="accent3"/>
            </a:solidFill>
            <a:ln>
              <a:noFill/>
            </a:ln>
            <a:effectLst/>
          </c:spPr>
          <c:invertIfNegative val="0"/>
          <c:cat>
            <c:strRef>
              <c:f>grafy!$N$22:$Q$22</c:f>
              <c:strCache>
                <c:ptCount val="4"/>
                <c:pt idx="0">
                  <c:v>2023 R</c:v>
                </c:pt>
                <c:pt idx="1">
                  <c:v>2024 N</c:v>
                </c:pt>
                <c:pt idx="2">
                  <c:v>2025 N</c:v>
                </c:pt>
                <c:pt idx="3">
                  <c:v>2026 N</c:v>
                </c:pt>
              </c:strCache>
            </c:strRef>
          </c:cat>
          <c:val>
            <c:numRef>
              <c:f>grafy!$N$25:$Q$25</c:f>
              <c:numCache>
                <c:formatCode>#,##0</c:formatCode>
                <c:ptCount val="4"/>
                <c:pt idx="0">
                  <c:v>10000</c:v>
                </c:pt>
                <c:pt idx="1">
                  <c:v>10000</c:v>
                </c:pt>
                <c:pt idx="2">
                  <c:v>10000</c:v>
                </c:pt>
                <c:pt idx="3">
                  <c:v>10000</c:v>
                </c:pt>
              </c:numCache>
            </c:numRef>
          </c:val>
          <c:extLst>
            <c:ext xmlns:c16="http://schemas.microsoft.com/office/drawing/2014/chart" uri="{C3380CC4-5D6E-409C-BE32-E72D297353CC}">
              <c16:uniqueId val="{00000002-533C-4E47-AEDD-54E6686F53A5}"/>
            </c:ext>
          </c:extLst>
        </c:ser>
        <c:ser>
          <c:idx val="3"/>
          <c:order val="3"/>
          <c:tx>
            <c:strRef>
              <c:f>grafy!$M$26</c:f>
              <c:strCache>
                <c:ptCount val="1"/>
                <c:pt idx="0">
                  <c:v>Vláda</c:v>
                </c:pt>
              </c:strCache>
            </c:strRef>
          </c:tx>
          <c:spPr>
            <a:solidFill>
              <a:schemeClr val="accent4"/>
            </a:solidFill>
            <a:ln>
              <a:noFill/>
            </a:ln>
            <a:effectLst/>
          </c:spPr>
          <c:invertIfNegative val="0"/>
          <c:cat>
            <c:strRef>
              <c:f>grafy!$N$22:$Q$22</c:f>
              <c:strCache>
                <c:ptCount val="4"/>
                <c:pt idx="0">
                  <c:v>2023 R</c:v>
                </c:pt>
                <c:pt idx="1">
                  <c:v>2024 N</c:v>
                </c:pt>
                <c:pt idx="2">
                  <c:v>2025 N</c:v>
                </c:pt>
                <c:pt idx="3">
                  <c:v>2026 N</c:v>
                </c:pt>
              </c:strCache>
            </c:strRef>
          </c:cat>
          <c:val>
            <c:numRef>
              <c:f>grafy!$N$26:$Q$26</c:f>
              <c:numCache>
                <c:formatCode>#,##0</c:formatCode>
                <c:ptCount val="4"/>
                <c:pt idx="0">
                  <c:v>5000</c:v>
                </c:pt>
                <c:pt idx="1">
                  <c:v>5000</c:v>
                </c:pt>
                <c:pt idx="2">
                  <c:v>5000</c:v>
                </c:pt>
                <c:pt idx="3">
                  <c:v>5000</c:v>
                </c:pt>
              </c:numCache>
            </c:numRef>
          </c:val>
          <c:extLst>
            <c:ext xmlns:c16="http://schemas.microsoft.com/office/drawing/2014/chart" uri="{C3380CC4-5D6E-409C-BE32-E72D297353CC}">
              <c16:uniqueId val="{00000003-533C-4E47-AEDD-54E6686F53A5}"/>
            </c:ext>
          </c:extLst>
        </c:ser>
        <c:ser>
          <c:idx val="4"/>
          <c:order val="4"/>
          <c:tx>
            <c:strRef>
              <c:f>grafy!$M$27</c:f>
              <c:strCache>
                <c:ptCount val="1"/>
                <c:pt idx="0">
                  <c:v>Energie</c:v>
                </c:pt>
              </c:strCache>
            </c:strRef>
          </c:tx>
          <c:spPr>
            <a:solidFill>
              <a:schemeClr val="accent1">
                <a:lumMod val="60000"/>
                <a:lumOff val="40000"/>
              </a:schemeClr>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4-533C-4E47-AEDD-54E6686F53A5}"/>
                </c:ext>
              </c:extLst>
            </c:dLbl>
            <c:dLbl>
              <c:idx val="3"/>
              <c:delete val="1"/>
              <c:extLst>
                <c:ext xmlns:c15="http://schemas.microsoft.com/office/drawing/2012/chart" uri="{CE6537A1-D6FC-4f65-9D91-7224C49458BB}"/>
                <c:ext xmlns:c16="http://schemas.microsoft.com/office/drawing/2014/chart" uri="{C3380CC4-5D6E-409C-BE32-E72D297353CC}">
                  <c16:uniqueId val="{00000005-533C-4E47-AEDD-54E6686F53A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Times New Roman" panose="02020603050405020304" pitchFamily="18" charset="0"/>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grafy!$N$22:$Q$22</c:f>
              <c:strCache>
                <c:ptCount val="4"/>
                <c:pt idx="0">
                  <c:v>2023 R</c:v>
                </c:pt>
                <c:pt idx="1">
                  <c:v>2024 N</c:v>
                </c:pt>
                <c:pt idx="2">
                  <c:v>2025 N</c:v>
                </c:pt>
                <c:pt idx="3">
                  <c:v>2026 N</c:v>
                </c:pt>
              </c:strCache>
            </c:strRef>
          </c:cat>
          <c:val>
            <c:numRef>
              <c:f>grafy!$N$27:$Q$27</c:f>
              <c:numCache>
                <c:formatCode>#,##0</c:formatCode>
                <c:ptCount val="4"/>
                <c:pt idx="0">
                  <c:v>860000</c:v>
                </c:pt>
                <c:pt idx="1">
                  <c:v>800000</c:v>
                </c:pt>
                <c:pt idx="2">
                  <c:v>0</c:v>
                </c:pt>
                <c:pt idx="3">
                  <c:v>0</c:v>
                </c:pt>
              </c:numCache>
            </c:numRef>
          </c:val>
          <c:extLst>
            <c:ext xmlns:c16="http://schemas.microsoft.com/office/drawing/2014/chart" uri="{C3380CC4-5D6E-409C-BE32-E72D297353CC}">
              <c16:uniqueId val="{00000006-533C-4E47-AEDD-54E6686F53A5}"/>
            </c:ext>
          </c:extLst>
        </c:ser>
        <c:ser>
          <c:idx val="5"/>
          <c:order val="5"/>
          <c:tx>
            <c:strRef>
              <c:f>grafy!$M$28</c:f>
              <c:strCache>
                <c:ptCount val="1"/>
                <c:pt idx="0">
                  <c:v>Legislatíva</c:v>
                </c:pt>
              </c:strCache>
            </c:strRef>
          </c:tx>
          <c:spPr>
            <a:solidFill>
              <a:sysClr val="window" lastClr="FFFFFF">
                <a:lumMod val="75000"/>
              </a:sys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Times New Roman" panose="02020603050405020304" pitchFamily="18" charset="0"/>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grafy!$N$22:$Q$22</c:f>
              <c:strCache>
                <c:ptCount val="4"/>
                <c:pt idx="0">
                  <c:v>2023 R</c:v>
                </c:pt>
                <c:pt idx="1">
                  <c:v>2024 N</c:v>
                </c:pt>
                <c:pt idx="2">
                  <c:v>2025 N</c:v>
                </c:pt>
                <c:pt idx="3">
                  <c:v>2026 N</c:v>
                </c:pt>
              </c:strCache>
            </c:strRef>
          </c:cat>
          <c:val>
            <c:numRef>
              <c:f>grafy!$N$28:$Q$28</c:f>
              <c:numCache>
                <c:formatCode>#,##0</c:formatCode>
                <c:ptCount val="4"/>
                <c:pt idx="0">
                  <c:v>857992.28200000001</c:v>
                </c:pt>
                <c:pt idx="1">
                  <c:v>1235741.5379999999</c:v>
                </c:pt>
                <c:pt idx="2">
                  <c:v>1027301.643</c:v>
                </c:pt>
                <c:pt idx="3">
                  <c:v>1099406.128</c:v>
                </c:pt>
              </c:numCache>
            </c:numRef>
          </c:val>
          <c:extLst>
            <c:ext xmlns:c16="http://schemas.microsoft.com/office/drawing/2014/chart" uri="{C3380CC4-5D6E-409C-BE32-E72D297353CC}">
              <c16:uniqueId val="{00000007-533C-4E47-AEDD-54E6686F53A5}"/>
            </c:ext>
          </c:extLst>
        </c:ser>
        <c:ser>
          <c:idx val="6"/>
          <c:order val="6"/>
          <c:tx>
            <c:strRef>
              <c:f>grafy!$M$29</c:f>
              <c:strCache>
                <c:ptCount val="1"/>
                <c:pt idx="0">
                  <c:v>EÚ</c:v>
                </c:pt>
              </c:strCache>
            </c:strRef>
          </c:tx>
          <c:spPr>
            <a:solidFill>
              <a:sysClr val="window" lastClr="FFFFFF">
                <a:lumMod val="85000"/>
              </a:sysClr>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8-533C-4E47-AEDD-54E6686F53A5}"/>
                </c:ext>
              </c:extLst>
            </c:dLbl>
            <c:dLbl>
              <c:idx val="3"/>
              <c:delete val="1"/>
              <c:extLst>
                <c:ext xmlns:c15="http://schemas.microsoft.com/office/drawing/2012/chart" uri="{CE6537A1-D6FC-4f65-9D91-7224C49458BB}"/>
                <c:ext xmlns:c16="http://schemas.microsoft.com/office/drawing/2014/chart" uri="{C3380CC4-5D6E-409C-BE32-E72D297353CC}">
                  <c16:uniqueId val="{00000009-533C-4E47-AEDD-54E6686F53A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Times New Roman" panose="02020603050405020304" pitchFamily="18" charset="0"/>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grafy!$N$22:$Q$22</c:f>
              <c:strCache>
                <c:ptCount val="4"/>
                <c:pt idx="0">
                  <c:v>2023 R</c:v>
                </c:pt>
                <c:pt idx="1">
                  <c:v>2024 N</c:v>
                </c:pt>
                <c:pt idx="2">
                  <c:v>2025 N</c:v>
                </c:pt>
                <c:pt idx="3">
                  <c:v>2026 N</c:v>
                </c:pt>
              </c:strCache>
            </c:strRef>
          </c:cat>
          <c:val>
            <c:numRef>
              <c:f>grafy!$N$29:$Q$29</c:f>
              <c:numCache>
                <c:formatCode>#,##0</c:formatCode>
                <c:ptCount val="4"/>
                <c:pt idx="0">
                  <c:v>404870</c:v>
                </c:pt>
                <c:pt idx="1">
                  <c:v>249370</c:v>
                </c:pt>
                <c:pt idx="2">
                  <c:v>0</c:v>
                </c:pt>
                <c:pt idx="3">
                  <c:v>0</c:v>
                </c:pt>
              </c:numCache>
            </c:numRef>
          </c:val>
          <c:extLst>
            <c:ext xmlns:c16="http://schemas.microsoft.com/office/drawing/2014/chart" uri="{C3380CC4-5D6E-409C-BE32-E72D297353CC}">
              <c16:uniqueId val="{0000000A-533C-4E47-AEDD-54E6686F53A5}"/>
            </c:ext>
          </c:extLst>
        </c:ser>
        <c:ser>
          <c:idx val="7"/>
          <c:order val="7"/>
          <c:tx>
            <c:strRef>
              <c:f>grafy!$M$30</c:f>
              <c:strCache>
                <c:ptCount val="1"/>
                <c:pt idx="0">
                  <c:v>Ukrajina</c:v>
                </c:pt>
              </c:strCache>
            </c:strRef>
          </c:tx>
          <c:spPr>
            <a:solidFill>
              <a:srgbClr val="1F497D">
                <a:lumMod val="20000"/>
                <a:lumOff val="80000"/>
              </a:srgbClr>
            </a:solidFill>
            <a:ln>
              <a:noFill/>
            </a:ln>
            <a:effectLst/>
          </c:spPr>
          <c:invertIfNegative val="0"/>
          <c:dLbls>
            <c:dLbl>
              <c:idx val="0"/>
              <c:layout>
                <c:manualLayout>
                  <c:x val="2.2214817283127846E-3"/>
                  <c:y val="4.023335345001005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33C-4E47-AEDD-54E6686F53A5}"/>
                </c:ext>
              </c:extLst>
            </c:dLbl>
            <c:dLbl>
              <c:idx val="1"/>
              <c:delete val="1"/>
              <c:extLst>
                <c:ext xmlns:c15="http://schemas.microsoft.com/office/drawing/2012/chart" uri="{CE6537A1-D6FC-4f65-9D91-7224C49458BB}"/>
                <c:ext xmlns:c16="http://schemas.microsoft.com/office/drawing/2014/chart" uri="{C3380CC4-5D6E-409C-BE32-E72D297353CC}">
                  <c16:uniqueId val="{0000000C-533C-4E47-AEDD-54E6686F53A5}"/>
                </c:ext>
              </c:extLst>
            </c:dLbl>
            <c:dLbl>
              <c:idx val="2"/>
              <c:delete val="1"/>
              <c:extLst>
                <c:ext xmlns:c15="http://schemas.microsoft.com/office/drawing/2012/chart" uri="{CE6537A1-D6FC-4f65-9D91-7224C49458BB}"/>
                <c:ext xmlns:c16="http://schemas.microsoft.com/office/drawing/2014/chart" uri="{C3380CC4-5D6E-409C-BE32-E72D297353CC}">
                  <c16:uniqueId val="{0000000D-533C-4E47-AEDD-54E6686F53A5}"/>
                </c:ext>
              </c:extLst>
            </c:dLbl>
            <c:dLbl>
              <c:idx val="3"/>
              <c:delete val="1"/>
              <c:extLst>
                <c:ext xmlns:c15="http://schemas.microsoft.com/office/drawing/2012/chart" uri="{CE6537A1-D6FC-4f65-9D91-7224C49458BB}"/>
                <c:ext xmlns:c16="http://schemas.microsoft.com/office/drawing/2014/chart" uri="{C3380CC4-5D6E-409C-BE32-E72D297353CC}">
                  <c16:uniqueId val="{0000000E-533C-4E47-AEDD-54E6686F53A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Times New Roman" panose="02020603050405020304" pitchFamily="18" charset="0"/>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grafy!$N$22:$Q$22</c:f>
              <c:strCache>
                <c:ptCount val="4"/>
                <c:pt idx="0">
                  <c:v>2023 R</c:v>
                </c:pt>
                <c:pt idx="1">
                  <c:v>2024 N</c:v>
                </c:pt>
                <c:pt idx="2">
                  <c:v>2025 N</c:v>
                </c:pt>
                <c:pt idx="3">
                  <c:v>2026 N</c:v>
                </c:pt>
              </c:strCache>
            </c:strRef>
          </c:cat>
          <c:val>
            <c:numRef>
              <c:f>grafy!$N$30:$Q$30</c:f>
              <c:numCache>
                <c:formatCode>#,##0</c:formatCode>
                <c:ptCount val="4"/>
                <c:pt idx="0">
                  <c:v>100000</c:v>
                </c:pt>
                <c:pt idx="1">
                  <c:v>0</c:v>
                </c:pt>
                <c:pt idx="2">
                  <c:v>0</c:v>
                </c:pt>
                <c:pt idx="3">
                  <c:v>0</c:v>
                </c:pt>
              </c:numCache>
            </c:numRef>
          </c:val>
          <c:extLst>
            <c:ext xmlns:c16="http://schemas.microsoft.com/office/drawing/2014/chart" uri="{C3380CC4-5D6E-409C-BE32-E72D297353CC}">
              <c16:uniqueId val="{0000000F-533C-4E47-AEDD-54E6686F53A5}"/>
            </c:ext>
          </c:extLst>
        </c:ser>
        <c:dLbls>
          <c:showLegendKey val="0"/>
          <c:showVal val="0"/>
          <c:showCatName val="0"/>
          <c:showSerName val="0"/>
          <c:showPercent val="0"/>
          <c:showBubbleSize val="0"/>
        </c:dLbls>
        <c:gapWidth val="150"/>
        <c:overlap val="100"/>
        <c:axId val="429892384"/>
        <c:axId val="429887136"/>
      </c:barChart>
      <c:catAx>
        <c:axId val="429892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Times New Roman" panose="02020603050405020304" pitchFamily="18" charset="0"/>
                <a:ea typeface="+mn-ea"/>
                <a:cs typeface="+mn-cs"/>
              </a:defRPr>
            </a:pPr>
            <a:endParaRPr lang="sk-SK"/>
          </a:p>
        </c:txPr>
        <c:crossAx val="429887136"/>
        <c:crosses val="autoZero"/>
        <c:auto val="1"/>
        <c:lblAlgn val="ctr"/>
        <c:lblOffset val="100"/>
        <c:noMultiLvlLbl val="0"/>
      </c:catAx>
      <c:valAx>
        <c:axId val="429887136"/>
        <c:scaling>
          <c:orientation val="minMax"/>
          <c:max val="250000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Times New Roman" panose="02020603050405020304" pitchFamily="18" charset="0"/>
                <a:ea typeface="+mn-ea"/>
                <a:cs typeface="+mn-cs"/>
              </a:defRPr>
            </a:pPr>
            <a:endParaRPr lang="sk-SK"/>
          </a:p>
        </c:txPr>
        <c:crossAx val="429892384"/>
        <c:crosses val="autoZero"/>
        <c:crossBetween val="between"/>
      </c:valAx>
      <c:spPr>
        <a:noFill/>
        <a:ln>
          <a:noFill/>
        </a:ln>
        <a:effectLst/>
      </c:spPr>
    </c:plotArea>
    <c:legend>
      <c:legendPos val="b"/>
      <c:layout>
        <c:manualLayout>
          <c:xMode val="edge"/>
          <c:yMode val="edge"/>
          <c:x val="3.9854854448941365E-2"/>
          <c:y val="0.91884786393254458"/>
          <c:w val="0.92740984557449224"/>
          <c:h val="5.7710475807252949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Times New Roman" panose="02020603050405020304" pitchFamily="18" charset="0"/>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baseline="0">
          <a:solidFill>
            <a:schemeClr val="tx1">
              <a:lumMod val="95000"/>
              <a:lumOff val="5000"/>
            </a:schemeClr>
          </a:solidFill>
          <a:latin typeface="Times New Roman" panose="02020603050405020304" pitchFamily="18" charset="0"/>
        </a:defRPr>
      </a:pPr>
      <a:endParaRPr lang="sk-SK"/>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0.72029</cdr:x>
      <cdr:y>0.25454</cdr:y>
    </cdr:from>
    <cdr:to>
      <cdr:x>0.72029</cdr:x>
      <cdr:y>0.81342</cdr:y>
    </cdr:to>
    <cdr:cxnSp macro="">
      <cdr:nvCxnSpPr>
        <cdr:cNvPr id="3" name="Rovná spojnica 2"/>
        <cdr:cNvCxnSpPr/>
      </cdr:nvCxnSpPr>
      <cdr:spPr>
        <a:xfrm xmlns:a="http://schemas.openxmlformats.org/drawingml/2006/main">
          <a:off x="2232944" y="623268"/>
          <a:ext cx="0" cy="1368439"/>
        </a:xfrm>
        <a:prstGeom xmlns:a="http://schemas.openxmlformats.org/drawingml/2006/main" prst="line">
          <a:avLst/>
        </a:prstGeom>
        <a:ln xmlns:a="http://schemas.openxmlformats.org/drawingml/2006/main" w="3175">
          <a:solidFill>
            <a:schemeClr val="bg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Vlastné 2">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Vlastné 2">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2421E-2852-4440-AF23-AC9B3E093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124</Pages>
  <Words>47232</Words>
  <Characters>269227</Characters>
  <Application>Microsoft Office Word</Application>
  <DocSecurity>0</DocSecurity>
  <Lines>2243</Lines>
  <Paragraphs>631</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315828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Michlo Martin</dc:creator>
  <cp:keywords/>
  <dc:description/>
  <cp:lastModifiedBy>Tobias Jakub</cp:lastModifiedBy>
  <cp:revision>17</cp:revision>
  <cp:lastPrinted>2023-12-09T10:26:00Z</cp:lastPrinted>
  <dcterms:created xsi:type="dcterms:W3CDTF">2023-12-11T07:56:00Z</dcterms:created>
  <dcterms:modified xsi:type="dcterms:W3CDTF">2023-12-11T10:42:00Z</dcterms:modified>
</cp:coreProperties>
</file>